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png" ContentType="image/png"/>
  <Default Extension="gif" ContentType="image/gif"/>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The_Python_programming_2">
        <w:r>
          <w:rPr>
            <w:color w:val="0000FF" w:themeColor="hyperlink"/>
            <w:u w:val="single"/>
          </w:rPr>
          <w:t>Preface</w:t>
        </w:r>
      </w:hyperlink>
    </w:p>
    <w:p>
      <w:pPr>
        <w:pStyle w:val="Normal"/>
        <w:ind w:left="0" w:firstLineChars="0" w:firstLine="0" w:leftChars="200"/>
      </w:pPr>
      <w:hyperlink w:anchor="How_To_Use_This_Book__While_you">
        <w:r>
          <w:rPr>
            <w:color w:val="0000FF" w:themeColor="hyperlink"/>
            <w:u w:val="single"/>
          </w:rPr>
          <w:t>How To Use This Book</w:t>
        </w:r>
      </w:hyperlink>
    </w:p>
    <w:p>
      <w:pPr>
        <w:pStyle w:val="Normal"/>
        <w:ind w:left="0" w:firstLineChars="0" w:firstLine="0" w:leftChars="400"/>
      </w:pPr>
      <w:hyperlink w:anchor="Part_I__Getting_Started_with_Pyt">
        <w:r>
          <w:rPr>
            <w:color w:val="0000FF" w:themeColor="hyperlink"/>
            <w:u w:val="single"/>
          </w:rPr>
          <w:t>Part I, Getting Started with Python</w:t>
        </w:r>
      </w:hyperlink>
    </w:p>
    <w:p>
      <w:pPr>
        <w:pStyle w:val="Normal"/>
        <w:ind w:left="0" w:firstLineChars="0" w:firstLine="0" w:leftChars="400"/>
      </w:pPr>
      <w:hyperlink w:anchor="Part_II__Core_Python_Language_an">
        <w:r>
          <w:rPr>
            <w:color w:val="0000FF" w:themeColor="hyperlink"/>
            <w:u w:val="single"/>
          </w:rPr>
          <w:t>Part II, Core Python Language and Built-ins</w:t>
        </w:r>
      </w:hyperlink>
    </w:p>
    <w:p>
      <w:pPr>
        <w:pStyle w:val="Normal"/>
        <w:ind w:left="0" w:firstLineChars="0" w:firstLine="0" w:leftChars="400"/>
      </w:pPr>
      <w:hyperlink w:anchor="Part_III__Python_Library_and_Ext">
        <w:r>
          <w:rPr>
            <w:color w:val="0000FF" w:themeColor="hyperlink"/>
            <w:u w:val="single"/>
          </w:rPr>
          <w:t>Part III, Python Library and Extension Modules</w:t>
        </w:r>
      </w:hyperlink>
    </w:p>
    <w:p>
      <w:pPr>
        <w:pStyle w:val="Normal"/>
        <w:ind w:left="0" w:firstLineChars="0" w:firstLine="0" w:leftChars="400"/>
      </w:pPr>
      <w:hyperlink w:anchor="Part_IV__Network_and_Web_Program">
        <w:r>
          <w:rPr>
            <w:color w:val="0000FF" w:themeColor="hyperlink"/>
            <w:u w:val="single"/>
          </w:rPr>
          <w:t>Part IV, Network and Web Programming</w:t>
        </w:r>
      </w:hyperlink>
    </w:p>
    <w:p>
      <w:pPr>
        <w:pStyle w:val="Normal"/>
        <w:ind w:left="0" w:firstLineChars="0" w:firstLine="0" w:leftChars="400"/>
      </w:pPr>
      <w:hyperlink w:anchor="Part_V__Extending__Distributing">
        <w:r>
          <w:rPr>
            <w:color w:val="0000FF" w:themeColor="hyperlink"/>
            <w:u w:val="single"/>
          </w:rPr>
          <w:t>Part V, Extending, Distributing, and Version Upgrade and Migration</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400"/>
      </w:pPr>
      <w:hyperlink w:anchor="Reference_Conventions__In_the_fu">
        <w:r>
          <w:rPr>
            <w:color w:val="0000FF" w:themeColor="hyperlink"/>
            <w:u w:val="single"/>
          </w:rPr>
          <w:t>Reference Conventions</w:t>
        </w:r>
      </w:hyperlink>
    </w:p>
    <w:p>
      <w:pPr>
        <w:pStyle w:val="Normal"/>
        <w:ind w:left="0" w:firstLineChars="0" w:firstLine="0" w:leftChars="400"/>
      </w:pPr>
      <w:hyperlink w:anchor="Version_Conventions__This_book_c">
        <w:r>
          <w:rPr>
            <w:color w:val="0000FF" w:themeColor="hyperlink"/>
            <w:u w:val="single"/>
          </w:rPr>
          <w:t>Version Conventions</w:t>
        </w:r>
      </w:hyperlink>
    </w:p>
    <w:p>
      <w:pPr>
        <w:pStyle w:val="Normal"/>
        <w:ind w:left="0" w:firstLineChars="0" w:firstLine="0" w:leftChars="400"/>
      </w:pPr>
      <w:hyperlink w:anchor="Typographic_Conventions__Please">
        <w:r>
          <w:rPr>
            <w:color w:val="0000FF" w:themeColor="hyperlink"/>
            <w:u w:val="single"/>
          </w:rPr>
          <w:t>Typographic Conventions</w:t>
        </w:r>
      </w:hyperlink>
    </w:p>
    <w:p>
      <w:pPr>
        <w:pStyle w:val="Normal"/>
        <w:ind w:left="0" w:firstLineChars="0" w:firstLine="0" w:leftChars="200"/>
      </w:pPr>
      <w:hyperlink w:anchor="Using_Code_Examples__This_book_i">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_Many_thanks_to">
        <w:r>
          <w:rPr>
            <w:color w:val="0000FF" w:themeColor="hyperlink"/>
            <w:u w:val="single"/>
          </w:rPr>
          <w:t>Acknowledgments</w:t>
        </w:r>
      </w:hyperlink>
    </w:p>
    <w:p>
      <w:pPr>
        <w:pStyle w:val="Normal"/>
        <w:ind w:left="0" w:firstLineChars="0" w:firstLine="0" w:leftChars="0"/>
      </w:pPr>
      <w:hyperlink w:anchor="Chapter_1__Introduction_to_Pytho_2">
        <w:r>
          <w:rPr>
            <w:color w:val="0000FF" w:themeColor="hyperlink"/>
            <w:u w:val="single"/>
          </w:rPr>
          <w:t>1. Introduction to Python</w:t>
        </w:r>
      </w:hyperlink>
    </w:p>
    <w:p>
      <w:pPr>
        <w:pStyle w:val="Normal"/>
        <w:ind w:left="0" w:firstLineChars="0" w:firstLine="0" w:leftChars="200"/>
      </w:pPr>
      <w:hyperlink w:anchor="The_Python_Language__The_Python">
        <w:r>
          <w:rPr>
            <w:color w:val="0000FF" w:themeColor="hyperlink"/>
            <w:u w:val="single"/>
          </w:rPr>
          <w:t>The Python Language</w:t>
        </w:r>
      </w:hyperlink>
    </w:p>
    <w:p>
      <w:pPr>
        <w:pStyle w:val="Normal"/>
        <w:ind w:left="0" w:firstLineChars="0" w:firstLine="0" w:leftChars="200"/>
      </w:pPr>
      <w:hyperlink w:anchor="The_Python_Standard_Library_and">
        <w:r>
          <w:rPr>
            <w:color w:val="0000FF" w:themeColor="hyperlink"/>
            <w:u w:val="single"/>
          </w:rPr>
          <w:t>The Python Standard Library and Extension Modules</w:t>
        </w:r>
      </w:hyperlink>
    </w:p>
    <w:p>
      <w:pPr>
        <w:pStyle w:val="Normal"/>
        <w:ind w:left="0" w:firstLineChars="0" w:firstLine="0" w:leftChars="200"/>
      </w:pPr>
      <w:hyperlink w:anchor="Python_Implementations__At_the_t">
        <w:r>
          <w:rPr>
            <w:color w:val="0000FF" w:themeColor="hyperlink"/>
            <w:u w:val="single"/>
          </w:rPr>
          <w:t>Python Implementations</w:t>
        </w:r>
      </w:hyperlink>
    </w:p>
    <w:p>
      <w:pPr>
        <w:pStyle w:val="Normal"/>
        <w:ind w:left="0" w:firstLineChars="0" w:firstLine="0" w:leftChars="400"/>
      </w:pPr>
      <w:hyperlink w:anchor="CPython__Classic_Python__also_kn">
        <w:r>
          <w:rPr>
            <w:color w:val="0000FF" w:themeColor="hyperlink"/>
            <w:u w:val="single"/>
          </w:rPr>
          <w:t>CPython</w:t>
        </w:r>
      </w:hyperlink>
    </w:p>
    <w:p>
      <w:pPr>
        <w:pStyle w:val="Normal"/>
        <w:ind w:left="0" w:firstLineChars="0" w:firstLine="0" w:leftChars="400"/>
      </w:pPr>
      <w:hyperlink w:anchor="PyPy__PyPy_is_a_fast_and_flexibl">
        <w:r>
          <w:rPr>
            <w:color w:val="0000FF" w:themeColor="hyperlink"/>
            <w:u w:val="single"/>
          </w:rPr>
          <w:t>PyPy</w:t>
        </w:r>
      </w:hyperlink>
    </w:p>
    <w:p>
      <w:pPr>
        <w:pStyle w:val="Normal"/>
        <w:ind w:left="0" w:firstLineChars="0" w:firstLine="0" w:leftChars="400"/>
      </w:pPr>
      <w:hyperlink w:anchor="Choosing_Between_CPython__PyPy">
        <w:r>
          <w:rPr>
            <w:color w:val="0000FF" w:themeColor="hyperlink"/>
            <w:u w:val="single"/>
          </w:rPr>
          <w:t>Choosing Between CPython, PyPy, and Other Implementations</w:t>
        </w:r>
      </w:hyperlink>
    </w:p>
    <w:p>
      <w:pPr>
        <w:pStyle w:val="Normal"/>
        <w:ind w:left="0" w:firstLineChars="0" w:firstLine="0" w:leftChars="400"/>
      </w:pPr>
      <w:hyperlink w:anchor="Other_Developments__Implementati">
        <w:r>
          <w:rPr>
            <w:color w:val="0000FF" w:themeColor="hyperlink"/>
            <w:u w:val="single"/>
          </w:rPr>
          <w:t>Other Developments, Implementations, and Distributions</w:t>
        </w:r>
      </w:hyperlink>
    </w:p>
    <w:p>
      <w:pPr>
        <w:pStyle w:val="Normal"/>
        <w:ind w:left="0" w:firstLineChars="0" w:firstLine="0" w:leftChars="400"/>
      </w:pPr>
      <w:hyperlink w:anchor="Licensing_and_Price_Issues__CPyt">
        <w:r>
          <w:rPr>
            <w:color w:val="0000FF" w:themeColor="hyperlink"/>
            <w:u w:val="single"/>
          </w:rPr>
          <w:t>Licensing and Price Issues</w:t>
        </w:r>
      </w:hyperlink>
    </w:p>
    <w:p>
      <w:pPr>
        <w:pStyle w:val="Normal"/>
        <w:ind w:left="0" w:firstLineChars="0" w:firstLine="0" w:leftChars="200"/>
      </w:pPr>
      <w:hyperlink w:anchor="Python_Development_and_Versions">
        <w:r>
          <w:rPr>
            <w:color w:val="0000FF" w:themeColor="hyperlink"/>
            <w:u w:val="single"/>
          </w:rPr>
          <w:t>Python Development and Versions</w:t>
        </w:r>
      </w:hyperlink>
    </w:p>
    <w:p>
      <w:pPr>
        <w:pStyle w:val="Normal"/>
        <w:ind w:left="0" w:firstLineChars="0" w:firstLine="0" w:leftChars="200"/>
      </w:pPr>
      <w:hyperlink w:anchor="Python_Resources__The_richest_Py">
        <w:r>
          <w:rPr>
            <w:color w:val="0000FF" w:themeColor="hyperlink"/>
            <w:u w:val="single"/>
          </w:rPr>
          <w:t>Python Resources</w:t>
        </w:r>
      </w:hyperlink>
    </w:p>
    <w:p>
      <w:pPr>
        <w:pStyle w:val="Normal"/>
        <w:ind w:left="0" w:firstLineChars="0" w:firstLine="0" w:leftChars="400"/>
      </w:pPr>
      <w:hyperlink w:anchor="Documentation__Both_CPython_and">
        <w:r>
          <w:rPr>
            <w:color w:val="0000FF" w:themeColor="hyperlink"/>
            <w:u w:val="single"/>
          </w:rPr>
          <w:t>Documentation</w:t>
        </w:r>
      </w:hyperlink>
    </w:p>
    <w:p>
      <w:pPr>
        <w:pStyle w:val="Normal"/>
        <w:ind w:left="0" w:firstLineChars="0" w:firstLine="0" w:leftChars="400"/>
      </w:pPr>
      <w:hyperlink w:anchor="Community__One_of_the_greatest_s">
        <w:r>
          <w:rPr>
            <w:color w:val="0000FF" w:themeColor="hyperlink"/>
            <w:u w:val="single"/>
          </w:rPr>
          <w:t>Community</w:t>
        </w:r>
      </w:hyperlink>
    </w:p>
    <w:p>
      <w:pPr>
        <w:pStyle w:val="Normal"/>
        <w:ind w:left="0" w:firstLineChars="0" w:firstLine="0" w:leftChars="200"/>
      </w:pPr>
      <w:hyperlink w:anchor="Installation__You_can_install_th">
        <w:r>
          <w:rPr>
            <w:color w:val="0000FF" w:themeColor="hyperlink"/>
            <w:u w:val="single"/>
          </w:rPr>
          <w:t>Installation</w:t>
        </w:r>
      </w:hyperlink>
    </w:p>
    <w:p>
      <w:pPr>
        <w:pStyle w:val="Normal"/>
        <w:ind w:left="0" w:firstLineChars="0" w:firstLine="0" w:leftChars="200"/>
      </w:pPr>
      <w:hyperlink w:anchor="Installing_Python_from_Binaries">
        <w:r>
          <w:rPr>
            <w:color w:val="0000FF" w:themeColor="hyperlink"/>
            <w:u w:val="single"/>
          </w:rPr>
          <w:t>Installing Python from Binaries</w:t>
        </w:r>
      </w:hyperlink>
    </w:p>
    <w:p>
      <w:pPr>
        <w:pStyle w:val="Normal"/>
        <w:ind w:left="0" w:firstLineChars="0" w:firstLine="0" w:leftChars="200"/>
      </w:pPr>
      <w:hyperlink w:anchor="Installing_Python_from_Source_Co">
        <w:r>
          <w:rPr>
            <w:color w:val="0000FF" w:themeColor="hyperlink"/>
            <w:u w:val="single"/>
          </w:rPr>
          <w:t>Installing Python from Source Code</w:t>
        </w:r>
      </w:hyperlink>
    </w:p>
    <w:p>
      <w:pPr>
        <w:pStyle w:val="Normal"/>
        <w:ind w:left="0" w:firstLineChars="0" w:firstLine="0" w:leftChars="400"/>
      </w:pPr>
      <w:hyperlink w:anchor="Microsoft_Windows__On_Windows__i">
        <w:r>
          <w:rPr>
            <w:color w:val="0000FF" w:themeColor="hyperlink"/>
            <w:u w:val="single"/>
          </w:rPr>
          <w:t>Microsoft Windows</w:t>
        </w:r>
      </w:hyperlink>
    </w:p>
    <w:p>
      <w:pPr>
        <w:pStyle w:val="Normal"/>
        <w:ind w:left="0" w:firstLineChars="0" w:firstLine="0" w:leftChars="400"/>
      </w:pPr>
      <w:hyperlink w:anchor="Unix_Like_Platforms__On_Unix_lik">
        <w:r>
          <w:rPr>
            <w:color w:val="0000FF" w:themeColor="hyperlink"/>
            <w:u w:val="single"/>
          </w:rPr>
          <w:t>Unix-Like Platforms</w:t>
        </w:r>
      </w:hyperlink>
    </w:p>
    <w:p>
      <w:pPr>
        <w:pStyle w:val="Normal"/>
        <w:ind w:left="0" w:firstLineChars="0" w:firstLine="0" w:leftChars="0"/>
      </w:pPr>
      <w:hyperlink w:anchor="Chapter_2__The_Python_Interprete_2">
        <w:r>
          <w:rPr>
            <w:color w:val="0000FF" w:themeColor="hyperlink"/>
            <w:u w:val="single"/>
          </w:rPr>
          <w:t>2. The Python Interpreter</w:t>
        </w:r>
      </w:hyperlink>
    </w:p>
    <w:p>
      <w:pPr>
        <w:pStyle w:val="Normal"/>
        <w:ind w:left="0" w:firstLineChars="0" w:firstLine="0" w:leftChars="200"/>
      </w:pPr>
      <w:hyperlink w:anchor="The_python_Program__The_Python_i">
        <w:r>
          <w:rPr>
            <w:color w:val="0000FF" w:themeColor="hyperlink"/>
            <w:u w:val="single"/>
          </w:rPr>
          <w:t>The python Program</w:t>
        </w:r>
      </w:hyperlink>
    </w:p>
    <w:p>
      <w:pPr>
        <w:pStyle w:val="Normal"/>
        <w:ind w:left="0" w:firstLineChars="0" w:firstLine="0" w:leftChars="400"/>
      </w:pPr>
      <w:hyperlink w:anchor="Environment_Variables__Besides_P">
        <w:r>
          <w:rPr>
            <w:color w:val="0000FF" w:themeColor="hyperlink"/>
            <w:u w:val="single"/>
          </w:rPr>
          <w:t>Environment Variables</w:t>
        </w:r>
      </w:hyperlink>
    </w:p>
    <w:p>
      <w:pPr>
        <w:pStyle w:val="Normal"/>
        <w:ind w:left="0" w:firstLineChars="0" w:firstLine="0" w:leftChars="400"/>
      </w:pPr>
      <w:hyperlink w:anchor="Command_Line_Syntax_and_Options">
        <w:r>
          <w:rPr>
            <w:color w:val="0000FF" w:themeColor="hyperlink"/>
            <w:u w:val="single"/>
          </w:rPr>
          <w:t>Command-Line Syntax and Options</w:t>
        </w:r>
      </w:hyperlink>
    </w:p>
    <w:p>
      <w:pPr>
        <w:pStyle w:val="Normal"/>
        <w:ind w:left="0" w:firstLineChars="0" w:firstLine="0" w:leftChars="400"/>
      </w:pPr>
      <w:hyperlink w:anchor="The_Windows_py_Launcher__On_Wind">
        <w:r>
          <w:rPr>
            <w:color w:val="0000FF" w:themeColor="hyperlink"/>
            <w:u w:val="single"/>
          </w:rPr>
          <w:t>The Windows py Launcher</w:t>
        </w:r>
      </w:hyperlink>
    </w:p>
    <w:p>
      <w:pPr>
        <w:pStyle w:val="Normal"/>
        <w:ind w:left="0" w:firstLineChars="0" w:firstLine="0" w:leftChars="400"/>
      </w:pPr>
      <w:hyperlink w:anchor="The_PyPy_Interpreter__PyPy__writ">
        <w:r>
          <w:rPr>
            <w:color w:val="0000FF" w:themeColor="hyperlink"/>
            <w:u w:val="single"/>
          </w:rPr>
          <w:t>The PyPy Interpreter</w:t>
        </w:r>
      </w:hyperlink>
    </w:p>
    <w:p>
      <w:pPr>
        <w:pStyle w:val="Normal"/>
        <w:ind w:left="0" w:firstLineChars="0" w:firstLine="0" w:leftChars="400"/>
      </w:pPr>
      <w:hyperlink w:anchor="Interactive_Sessions__When_you_r">
        <w:r>
          <w:rPr>
            <w:color w:val="0000FF" w:themeColor="hyperlink"/>
            <w:u w:val="single"/>
          </w:rPr>
          <w:t>Interactive Sessions</w:t>
        </w:r>
      </w:hyperlink>
    </w:p>
    <w:p>
      <w:pPr>
        <w:pStyle w:val="Normal"/>
        <w:ind w:left="0" w:firstLineChars="0" w:firstLine="0" w:leftChars="200"/>
      </w:pPr>
      <w:hyperlink w:anchor="Python_Development_Environments">
        <w:r>
          <w:rPr>
            <w:color w:val="0000FF" w:themeColor="hyperlink"/>
            <w:u w:val="single"/>
          </w:rPr>
          <w:t>Python Development Environments</w:t>
        </w:r>
      </w:hyperlink>
    </w:p>
    <w:p>
      <w:pPr>
        <w:pStyle w:val="Normal"/>
        <w:ind w:left="0" w:firstLineChars="0" w:firstLine="0" w:leftChars="400"/>
      </w:pPr>
      <w:hyperlink w:anchor="IDLE__Python_s_Integrated_Develo">
        <w:r>
          <w:rPr>
            <w:color w:val="0000FF" w:themeColor="hyperlink"/>
            <w:u w:val="single"/>
          </w:rPr>
          <w:t>IDLE</w:t>
        </w:r>
      </w:hyperlink>
    </w:p>
    <w:p>
      <w:pPr>
        <w:pStyle w:val="Normal"/>
        <w:ind w:left="0" w:firstLineChars="0" w:firstLine="0" w:leftChars="400"/>
      </w:pPr>
      <w:hyperlink w:anchor="Other_Python_IDEs__IDLE_is_matur">
        <w:r>
          <w:rPr>
            <w:color w:val="0000FF" w:themeColor="hyperlink"/>
            <w:u w:val="single"/>
          </w:rPr>
          <w:t>Other Python IDEs</w:t>
        </w:r>
      </w:hyperlink>
    </w:p>
    <w:p>
      <w:pPr>
        <w:pStyle w:val="Normal"/>
        <w:ind w:left="0" w:firstLineChars="0" w:firstLine="0" w:leftChars="400"/>
      </w:pPr>
      <w:hyperlink w:anchor="Free_Text_Editors_with_Python_Su">
        <w:r>
          <w:rPr>
            <w:color w:val="0000FF" w:themeColor="hyperlink"/>
            <w:u w:val="single"/>
          </w:rPr>
          <w:t>Free Text Editors with Python Support</w:t>
        </w:r>
      </w:hyperlink>
    </w:p>
    <w:p>
      <w:pPr>
        <w:pStyle w:val="Normal"/>
        <w:ind w:left="0" w:firstLineChars="0" w:firstLine="0" w:leftChars="400"/>
      </w:pPr>
      <w:hyperlink w:anchor="Tools_for_Checking_Python_Progra">
        <w:r>
          <w:rPr>
            <w:color w:val="0000FF" w:themeColor="hyperlink"/>
            <w:u w:val="single"/>
          </w:rPr>
          <w:t>Tools for Checking Python Programs</w:t>
        </w:r>
      </w:hyperlink>
    </w:p>
    <w:p>
      <w:pPr>
        <w:pStyle w:val="Normal"/>
        <w:ind w:left="0" w:firstLineChars="0" w:firstLine="0" w:leftChars="200"/>
      </w:pPr>
      <w:hyperlink w:anchor="Running_Python_Programs__Whateve">
        <w:r>
          <w:rPr>
            <w:color w:val="0000FF" w:themeColor="hyperlink"/>
            <w:u w:val="single"/>
          </w:rPr>
          <w:t>Running Python Programs</w:t>
        </w:r>
      </w:hyperlink>
    </w:p>
    <w:p>
      <w:pPr>
        <w:pStyle w:val="Normal"/>
        <w:ind w:left="0" w:firstLineChars="0" w:firstLine="0" w:leftChars="200"/>
      </w:pPr>
      <w:hyperlink w:anchor="Running_Python_in_the_Browser__T">
        <w:r>
          <w:rPr>
            <w:color w:val="0000FF" w:themeColor="hyperlink"/>
            <w:u w:val="single"/>
          </w:rPr>
          <w:t>Running Python in the Browser</w:t>
        </w:r>
      </w:hyperlink>
    </w:p>
    <w:p>
      <w:pPr>
        <w:pStyle w:val="Normal"/>
        <w:ind w:left="0" w:firstLineChars="0" w:firstLine="0" w:leftChars="400"/>
      </w:pPr>
      <w:hyperlink w:anchor="PyScript__A_recent_development_i">
        <w:r>
          <w:rPr>
            <w:color w:val="0000FF" w:themeColor="hyperlink"/>
            <w:u w:val="single"/>
          </w:rPr>
          <w:t>PyScript</w:t>
        </w:r>
      </w:hyperlink>
    </w:p>
    <w:p>
      <w:pPr>
        <w:pStyle w:val="Normal"/>
        <w:ind w:left="0" w:firstLineChars="0" w:firstLine="0" w:leftChars="400"/>
      </w:pPr>
      <w:hyperlink w:anchor="Jupyter__The_extensions_to_the_i">
        <w:r>
          <w:rPr>
            <w:color w:val="0000FF" w:themeColor="hyperlink"/>
            <w:u w:val="single"/>
          </w:rPr>
          <w:t>Jupyter</w:t>
        </w:r>
      </w:hyperlink>
    </w:p>
    <w:p>
      <w:pPr>
        <w:pStyle w:val="Normal"/>
        <w:ind w:left="0" w:firstLineChars="0" w:firstLine="0" w:leftChars="0"/>
      </w:pPr>
      <w:hyperlink w:anchor="Chapter_3__The_Python_Language_2">
        <w:r>
          <w:rPr>
            <w:color w:val="0000FF" w:themeColor="hyperlink"/>
            <w:u w:val="single"/>
          </w:rPr>
          <w:t>3. The Python Language</w:t>
        </w:r>
      </w:hyperlink>
    </w:p>
    <w:p>
      <w:pPr>
        <w:pStyle w:val="Normal"/>
        <w:ind w:left="0" w:firstLineChars="0" w:firstLine="0" w:leftChars="200"/>
      </w:pPr>
      <w:hyperlink w:anchor="Lexical_Structure__The_lexical_s">
        <w:r>
          <w:rPr>
            <w:color w:val="0000FF" w:themeColor="hyperlink"/>
            <w:u w:val="single"/>
          </w:rPr>
          <w:t>Lexical Structure</w:t>
        </w:r>
      </w:hyperlink>
    </w:p>
    <w:p>
      <w:pPr>
        <w:pStyle w:val="Normal"/>
        <w:ind w:left="0" w:firstLineChars="0" w:firstLine="0" w:leftChars="400"/>
      </w:pPr>
      <w:hyperlink w:anchor="Lines_and_Indentation__A_Python">
        <w:r>
          <w:rPr>
            <w:color w:val="0000FF" w:themeColor="hyperlink"/>
            <w:u w:val="single"/>
          </w:rPr>
          <w:t>Lines and Indentation</w:t>
        </w:r>
      </w:hyperlink>
    </w:p>
    <w:p>
      <w:pPr>
        <w:pStyle w:val="Normal"/>
        <w:ind w:left="0" w:firstLineChars="0" w:firstLine="0" w:leftChars="400"/>
      </w:pPr>
      <w:hyperlink w:anchor="Character_Sets__A_Python_source">
        <w:r>
          <w:rPr>
            <w:color w:val="0000FF" w:themeColor="hyperlink"/>
            <w:u w:val="single"/>
          </w:rPr>
          <w:t>Character Sets</w:t>
        </w:r>
      </w:hyperlink>
    </w:p>
    <w:p>
      <w:pPr>
        <w:pStyle w:val="Normal"/>
        <w:ind w:left="0" w:firstLineChars="0" w:firstLine="0" w:leftChars="400"/>
      </w:pPr>
      <w:hyperlink w:anchor="Tokens__Python_breaks_each_logic">
        <w:r>
          <w:rPr>
            <w:color w:val="0000FF" w:themeColor="hyperlink"/>
            <w:u w:val="single"/>
          </w:rPr>
          <w:t>Tokens</w:t>
        </w:r>
      </w:hyperlink>
    </w:p>
    <w:p>
      <w:pPr>
        <w:pStyle w:val="Normal"/>
        <w:ind w:left="0" w:firstLineChars="0" w:firstLine="0" w:leftChars="400"/>
      </w:pPr>
      <w:hyperlink w:anchor="Statements__You_can_look_at_a_Py">
        <w:r>
          <w:rPr>
            <w:color w:val="0000FF" w:themeColor="hyperlink"/>
            <w:u w:val="single"/>
          </w:rPr>
          <w:t>Statements</w:t>
        </w:r>
      </w:hyperlink>
    </w:p>
    <w:p>
      <w:pPr>
        <w:pStyle w:val="Normal"/>
        <w:ind w:left="0" w:firstLineChars="0" w:firstLine="0" w:leftChars="200"/>
      </w:pPr>
      <w:hyperlink w:anchor="Data_Types__The_operation_of_a_P">
        <w:r>
          <w:rPr>
            <w:color w:val="0000FF" w:themeColor="hyperlink"/>
            <w:u w:val="single"/>
          </w:rPr>
          <w:t>Data Types</w:t>
        </w:r>
      </w:hyperlink>
    </w:p>
    <w:p>
      <w:pPr>
        <w:pStyle w:val="Normal"/>
        <w:ind w:left="0" w:firstLineChars="0" w:firstLine="0" w:leftChars="400"/>
      </w:pPr>
      <w:hyperlink w:anchor="Numbers__The_built_in_numeric_ty">
        <w:r>
          <w:rPr>
            <w:color w:val="0000FF" w:themeColor="hyperlink"/>
            <w:u w:val="single"/>
          </w:rPr>
          <w:t>Numbers</w:t>
        </w:r>
      </w:hyperlink>
    </w:p>
    <w:p>
      <w:pPr>
        <w:pStyle w:val="Normal"/>
        <w:ind w:left="0" w:firstLineChars="0" w:firstLine="0" w:leftChars="400"/>
      </w:pPr>
      <w:hyperlink w:anchor="Sequences__A_sequence_is_an_orde">
        <w:r>
          <w:rPr>
            <w:color w:val="0000FF" w:themeColor="hyperlink"/>
            <w:u w:val="single"/>
          </w:rPr>
          <w:t>Sequences</w:t>
        </w:r>
      </w:hyperlink>
    </w:p>
    <w:p>
      <w:pPr>
        <w:pStyle w:val="Normal"/>
        <w:ind w:left="0" w:firstLineChars="0" w:firstLine="0" w:leftChars="400"/>
      </w:pPr>
      <w:hyperlink w:anchor="Sets__Python_has_two_built_in_se">
        <w:r>
          <w:rPr>
            <w:color w:val="0000FF" w:themeColor="hyperlink"/>
            <w:u w:val="single"/>
          </w:rPr>
          <w:t>Sets</w:t>
        </w:r>
      </w:hyperlink>
    </w:p>
    <w:p>
      <w:pPr>
        <w:pStyle w:val="Normal"/>
        <w:ind w:left="0" w:firstLineChars="0" w:firstLine="0" w:leftChars="400"/>
      </w:pPr>
      <w:hyperlink w:anchor="Dictionaries__A_mapping_is_an_ar">
        <w:r>
          <w:rPr>
            <w:color w:val="0000FF" w:themeColor="hyperlink"/>
            <w:u w:val="single"/>
          </w:rPr>
          <w:t>Dictionaries</w:t>
        </w:r>
      </w:hyperlink>
    </w:p>
    <w:p>
      <w:pPr>
        <w:pStyle w:val="Normal"/>
        <w:ind w:left="0" w:firstLineChars="0" w:firstLine="0" w:leftChars="400"/>
      </w:pPr>
      <w:hyperlink w:anchor="None__The_built_in_None_denotes">
        <w:r>
          <w:rPr>
            <w:color w:val="0000FF" w:themeColor="hyperlink"/>
            <w:u w:val="single"/>
          </w:rPr>
          <w:t>None</w:t>
        </w:r>
      </w:hyperlink>
    </w:p>
    <w:p>
      <w:pPr>
        <w:pStyle w:val="Normal"/>
        <w:ind w:left="0" w:firstLineChars="0" w:firstLine="0" w:leftChars="400"/>
      </w:pPr>
      <w:hyperlink w:anchor="Ellipsis________The_Ellipsis__wr">
        <w:r>
          <w:rPr>
            <w:color w:val="0000FF" w:themeColor="hyperlink"/>
            <w:u w:val="single"/>
          </w:rPr>
          <w:t>Ellipsis (...)</w:t>
        </w:r>
      </w:hyperlink>
    </w:p>
    <w:p>
      <w:pPr>
        <w:pStyle w:val="Normal"/>
        <w:ind w:left="0" w:firstLineChars="0" w:firstLine="0" w:leftChars="400"/>
      </w:pPr>
      <w:hyperlink w:anchor="Callables__In_Python__callable_t">
        <w:r>
          <w:rPr>
            <w:color w:val="0000FF" w:themeColor="hyperlink"/>
            <w:u w:val="single"/>
          </w:rPr>
          <w:t>Callables</w:t>
        </w:r>
      </w:hyperlink>
    </w:p>
    <w:p>
      <w:pPr>
        <w:pStyle w:val="Normal"/>
        <w:ind w:left="0" w:firstLineChars="0" w:firstLine="0" w:leftChars="400"/>
      </w:pPr>
      <w:hyperlink w:anchor="Boolean_Values__Any11_data_value">
        <w:r>
          <w:rPr>
            <w:color w:val="0000FF" w:themeColor="hyperlink"/>
            <w:u w:val="single"/>
          </w:rPr>
          <w:t>Boolean Values</w:t>
        </w:r>
      </w:hyperlink>
    </w:p>
    <w:p>
      <w:pPr>
        <w:pStyle w:val="Normal"/>
        <w:ind w:left="0" w:firstLineChars="0" w:firstLine="0" w:leftChars="200"/>
      </w:pPr>
      <w:hyperlink w:anchor="Variables_and_Other_References">
        <w:r>
          <w:rPr>
            <w:color w:val="0000FF" w:themeColor="hyperlink"/>
            <w:u w:val="single"/>
          </w:rPr>
          <w:t>Variables and Other References</w:t>
        </w:r>
      </w:hyperlink>
    </w:p>
    <w:p>
      <w:pPr>
        <w:pStyle w:val="Normal"/>
        <w:ind w:left="0" w:firstLineChars="0" w:firstLine="0" w:leftChars="400"/>
      </w:pPr>
      <w:hyperlink w:anchor="Variables__In_Python__there_are">
        <w:r>
          <w:rPr>
            <w:color w:val="0000FF" w:themeColor="hyperlink"/>
            <w:u w:val="single"/>
          </w:rPr>
          <w:t>Variables</w:t>
        </w:r>
      </w:hyperlink>
    </w:p>
    <w:p>
      <w:pPr>
        <w:pStyle w:val="Normal"/>
        <w:ind w:left="0" w:firstLineChars="0" w:firstLine="0" w:leftChars="400"/>
      </w:pPr>
      <w:hyperlink w:anchor="Assignment_Statements__Assignmen">
        <w:r>
          <w:rPr>
            <w:color w:val="0000FF" w:themeColor="hyperlink"/>
            <w:u w:val="single"/>
          </w:rPr>
          <w:t>Assignment Statements</w:t>
        </w:r>
      </w:hyperlink>
    </w:p>
    <w:p>
      <w:pPr>
        <w:pStyle w:val="Normal"/>
        <w:ind w:left="0" w:firstLineChars="0" w:firstLine="0" w:leftChars="400"/>
      </w:pPr>
      <w:hyperlink w:anchor="del_Statements__Despite_its_name">
        <w:r>
          <w:rPr>
            <w:color w:val="0000FF" w:themeColor="hyperlink"/>
            <w:u w:val="single"/>
          </w:rPr>
          <w:t>del Statements</w:t>
        </w:r>
      </w:hyperlink>
    </w:p>
    <w:p>
      <w:pPr>
        <w:pStyle w:val="Normal"/>
        <w:ind w:left="0" w:firstLineChars="0" w:firstLine="0" w:leftChars="200"/>
      </w:pPr>
      <w:hyperlink w:anchor="Expressions_and_Operators__An_ex">
        <w:r>
          <w:rPr>
            <w:color w:val="0000FF" w:themeColor="hyperlink"/>
            <w:u w:val="single"/>
          </w:rPr>
          <w:t>Expressions and Operators</w:t>
        </w:r>
      </w:hyperlink>
    </w:p>
    <w:p>
      <w:pPr>
        <w:pStyle w:val="Normal"/>
        <w:ind w:left="0" w:firstLineChars="0" w:firstLine="0" w:leftChars="400"/>
      </w:pPr>
      <w:hyperlink w:anchor="Comparison_Chaining__You_can_cha">
        <w:r>
          <w:rPr>
            <w:color w:val="0000FF" w:themeColor="hyperlink"/>
            <w:u w:val="single"/>
          </w:rPr>
          <w:t>Comparison Chaining</w:t>
        </w:r>
      </w:hyperlink>
    </w:p>
    <w:p>
      <w:pPr>
        <w:pStyle w:val="Normal"/>
        <w:ind w:left="0" w:firstLineChars="0" w:firstLine="0" w:leftChars="400"/>
      </w:pPr>
      <w:hyperlink w:anchor="Short_Circuiting_Operators__The">
        <w:r>
          <w:rPr>
            <w:color w:val="0000FF" w:themeColor="hyperlink"/>
            <w:u w:val="single"/>
          </w:rPr>
          <w:t>Short-Circuiting Operators</w:t>
        </w:r>
      </w:hyperlink>
    </w:p>
    <w:p>
      <w:pPr>
        <w:pStyle w:val="Normal"/>
        <w:ind w:left="0" w:firstLineChars="0" w:firstLine="0" w:leftChars="400"/>
      </w:pPr>
      <w:hyperlink w:anchor="Assignment_Expressions__3_8__You">
        <w:r>
          <w:rPr>
            <w:color w:val="0000FF" w:themeColor="hyperlink"/>
            <w:u w:val="single"/>
          </w:rPr>
          <w:t>Assignment Expressions</w:t>
        </w:r>
      </w:hyperlink>
    </w:p>
    <w:p>
      <w:pPr>
        <w:pStyle w:val="Normal"/>
        <w:ind w:left="0" w:firstLineChars="0" w:firstLine="0" w:leftChars="200"/>
      </w:pPr>
      <w:hyperlink w:anchor="Numeric_Operations__Python_offer">
        <w:r>
          <w:rPr>
            <w:color w:val="0000FF" w:themeColor="hyperlink"/>
            <w:u w:val="single"/>
          </w:rPr>
          <w:t>Numeric Operations</w:t>
        </w:r>
      </w:hyperlink>
    </w:p>
    <w:p>
      <w:pPr>
        <w:pStyle w:val="Normal"/>
        <w:ind w:left="0" w:firstLineChars="0" w:firstLine="0" w:leftChars="400"/>
      </w:pPr>
      <w:hyperlink w:anchor="Numeric_Conversions__You_can_per">
        <w:r>
          <w:rPr>
            <w:color w:val="0000FF" w:themeColor="hyperlink"/>
            <w:u w:val="single"/>
          </w:rPr>
          <w:t>Numeric Conversions</w:t>
        </w:r>
      </w:hyperlink>
    </w:p>
    <w:p>
      <w:pPr>
        <w:pStyle w:val="Normal"/>
        <w:ind w:left="0" w:firstLineChars="0" w:firstLine="0" w:leftChars="400"/>
      </w:pPr>
      <w:hyperlink w:anchor="Arithmetic_Operations__Arithmeti">
        <w:r>
          <w:rPr>
            <w:color w:val="0000FF" w:themeColor="hyperlink"/>
            <w:u w:val="single"/>
          </w:rPr>
          <w:t>Arithmetic Operations</w:t>
        </w:r>
      </w:hyperlink>
    </w:p>
    <w:p>
      <w:pPr>
        <w:pStyle w:val="Normal"/>
        <w:ind w:left="0" w:firstLineChars="0" w:firstLine="0" w:leftChars="400"/>
      </w:pPr>
      <w:hyperlink w:anchor="Bitwise_Operations_on_Integers">
        <w:r>
          <w:rPr>
            <w:color w:val="0000FF" w:themeColor="hyperlink"/>
            <w:u w:val="single"/>
          </w:rPr>
          <w:t>Bitwise Operations on Integers</w:t>
        </w:r>
      </w:hyperlink>
    </w:p>
    <w:p>
      <w:pPr>
        <w:pStyle w:val="Normal"/>
        <w:ind w:left="0" w:firstLineChars="0" w:firstLine="0" w:leftChars="200"/>
      </w:pPr>
      <w:hyperlink w:anchor="Sequence_Operations__Python_supp">
        <w:r>
          <w:rPr>
            <w:color w:val="0000FF" w:themeColor="hyperlink"/>
            <w:u w:val="single"/>
          </w:rPr>
          <w:t>Sequence Operations</w:t>
        </w:r>
      </w:hyperlink>
    </w:p>
    <w:p>
      <w:pPr>
        <w:pStyle w:val="Normal"/>
        <w:ind w:left="0" w:firstLineChars="0" w:firstLine="0" w:leftChars="400"/>
      </w:pPr>
      <w:hyperlink w:anchor="Sequences_in_General__Sequences">
        <w:r>
          <w:rPr>
            <w:color w:val="0000FF" w:themeColor="hyperlink"/>
            <w:u w:val="single"/>
          </w:rPr>
          <w:t>Sequences in General</w:t>
        </w:r>
      </w:hyperlink>
    </w:p>
    <w:p>
      <w:pPr>
        <w:pStyle w:val="Normal"/>
        <w:ind w:left="0" w:firstLineChars="0" w:firstLine="0" w:leftChars="400"/>
      </w:pPr>
      <w:hyperlink w:anchor="Strings__String_objects__both_st">
        <w:r>
          <w:rPr>
            <w:color w:val="0000FF" w:themeColor="hyperlink"/>
            <w:u w:val="single"/>
          </w:rPr>
          <w:t>Strings</w:t>
        </w:r>
      </w:hyperlink>
    </w:p>
    <w:p>
      <w:pPr>
        <w:pStyle w:val="Normal"/>
        <w:ind w:left="0" w:firstLineChars="0" w:firstLine="0" w:leftChars="400"/>
      </w:pPr>
      <w:hyperlink w:anchor="Tuples__Tuple_objects_are_immuta">
        <w:r>
          <w:rPr>
            <w:color w:val="0000FF" w:themeColor="hyperlink"/>
            <w:u w:val="single"/>
          </w:rPr>
          <w:t>Tuples</w:t>
        </w:r>
      </w:hyperlink>
    </w:p>
    <w:p>
      <w:pPr>
        <w:pStyle w:val="Normal"/>
        <w:ind w:left="0" w:firstLineChars="0" w:firstLine="0" w:leftChars="400"/>
      </w:pPr>
      <w:hyperlink w:anchor="Lists__List_objects_are_mutable">
        <w:r>
          <w:rPr>
            <w:color w:val="0000FF" w:themeColor="hyperlink"/>
            <w:u w:val="single"/>
          </w:rPr>
          <w:t>Lists</w:t>
        </w:r>
      </w:hyperlink>
    </w:p>
    <w:p>
      <w:pPr>
        <w:pStyle w:val="Normal"/>
        <w:ind w:left="0" w:firstLineChars="0" w:firstLine="0" w:leftChars="200"/>
      </w:pPr>
      <w:hyperlink w:anchor="Set_Operations__Python_provides">
        <w:r>
          <w:rPr>
            <w:color w:val="0000FF" w:themeColor="hyperlink"/>
            <w:u w:val="single"/>
          </w:rPr>
          <w:t>Set Operations</w:t>
        </w:r>
      </w:hyperlink>
    </w:p>
    <w:p>
      <w:pPr>
        <w:pStyle w:val="Normal"/>
        <w:ind w:left="0" w:firstLineChars="0" w:firstLine="0" w:leftChars="400"/>
      </w:pPr>
      <w:hyperlink w:anchor="Set_Membership__The_k_in_S_opera">
        <w:r>
          <w:rPr>
            <w:color w:val="0000FF" w:themeColor="hyperlink"/>
            <w:u w:val="single"/>
          </w:rPr>
          <w:t>Set Membership</w:t>
        </w:r>
      </w:hyperlink>
    </w:p>
    <w:p>
      <w:pPr>
        <w:pStyle w:val="Normal"/>
        <w:ind w:left="0" w:firstLineChars="0" w:firstLine="0" w:leftChars="400"/>
      </w:pPr>
      <w:hyperlink w:anchor="Set_Methods__Set_objects_provide">
        <w:r>
          <w:rPr>
            <w:color w:val="0000FF" w:themeColor="hyperlink"/>
            <w:u w:val="single"/>
          </w:rPr>
          <w:t>Set Methods</w:t>
        </w:r>
      </w:hyperlink>
    </w:p>
    <w:p>
      <w:pPr>
        <w:pStyle w:val="Normal"/>
        <w:ind w:left="0" w:firstLineChars="0" w:firstLine="0" w:leftChars="200"/>
      </w:pPr>
      <w:hyperlink w:anchor="Dictionary_Operations__Python_pr">
        <w:r>
          <w:rPr>
            <w:color w:val="0000FF" w:themeColor="hyperlink"/>
            <w:u w:val="single"/>
          </w:rPr>
          <w:t>Dictionary Operations</w:t>
        </w:r>
      </w:hyperlink>
    </w:p>
    <w:p>
      <w:pPr>
        <w:pStyle w:val="Normal"/>
        <w:ind w:left="0" w:firstLineChars="0" w:firstLine="0" w:leftChars="400"/>
      </w:pPr>
      <w:hyperlink w:anchor="Dictionary_Membership__The_k_in">
        <w:r>
          <w:rPr>
            <w:color w:val="0000FF" w:themeColor="hyperlink"/>
            <w:u w:val="single"/>
          </w:rPr>
          <w:t>Dictionary Membership</w:t>
        </w:r>
      </w:hyperlink>
    </w:p>
    <w:p>
      <w:pPr>
        <w:pStyle w:val="Normal"/>
        <w:ind w:left="0" w:firstLineChars="0" w:firstLine="0" w:leftChars="400"/>
      </w:pPr>
      <w:hyperlink w:anchor="Indexing_a_Dictionary__To_denote">
        <w:r>
          <w:rPr>
            <w:color w:val="0000FF" w:themeColor="hyperlink"/>
            <w:u w:val="single"/>
          </w:rPr>
          <w:t>Indexing a Dictionary</w:t>
        </w:r>
      </w:hyperlink>
    </w:p>
    <w:p>
      <w:pPr>
        <w:pStyle w:val="Normal"/>
        <w:ind w:left="0" w:firstLineChars="0" w:firstLine="0" w:leftChars="400"/>
      </w:pPr>
      <w:hyperlink w:anchor="Dictionary_Methods__Dictionary_o">
        <w:r>
          <w:rPr>
            <w:color w:val="0000FF" w:themeColor="hyperlink"/>
            <w:u w:val="single"/>
          </w:rPr>
          <w:t>Dictionary Methods</w:t>
        </w:r>
      </w:hyperlink>
    </w:p>
    <w:p>
      <w:pPr>
        <w:pStyle w:val="Normal"/>
        <w:ind w:left="0" w:firstLineChars="0" w:firstLine="0" w:leftChars="200"/>
      </w:pPr>
      <w:hyperlink w:anchor="Control_Flow_Statements__A_progr">
        <w:r>
          <w:rPr>
            <w:color w:val="0000FF" w:themeColor="hyperlink"/>
            <w:u w:val="single"/>
          </w:rPr>
          <w:t>Control Flow Statements</w:t>
        </w:r>
      </w:hyperlink>
    </w:p>
    <w:p>
      <w:pPr>
        <w:pStyle w:val="Normal"/>
        <w:ind w:left="0" w:firstLineChars="0" w:firstLine="0" w:leftChars="400"/>
      </w:pPr>
      <w:hyperlink w:anchor="The_if_Statement__Often__you_ll">
        <w:r>
          <w:rPr>
            <w:color w:val="0000FF" w:themeColor="hyperlink"/>
            <w:u w:val="single"/>
          </w:rPr>
          <w:t>The if Statement</w:t>
        </w:r>
      </w:hyperlink>
    </w:p>
    <w:p>
      <w:pPr>
        <w:pStyle w:val="Normal"/>
        <w:ind w:left="0" w:firstLineChars="0" w:firstLine="0" w:leftChars="400"/>
      </w:pPr>
      <w:hyperlink w:anchor="The_match_Statement__3_10__The_m">
        <w:r>
          <w:rPr>
            <w:color w:val="0000FF" w:themeColor="hyperlink"/>
            <w:u w:val="single"/>
          </w:rPr>
          <w:t>The match Statement</w:t>
        </w:r>
      </w:hyperlink>
    </w:p>
    <w:p>
      <w:pPr>
        <w:pStyle w:val="Normal"/>
        <w:ind w:left="0" w:firstLineChars="0" w:firstLine="0" w:leftChars="400"/>
      </w:pPr>
      <w:hyperlink w:anchor="The_while_Statement__The_while_s">
        <w:r>
          <w:rPr>
            <w:color w:val="0000FF" w:themeColor="hyperlink"/>
            <w:u w:val="single"/>
          </w:rPr>
          <w:t>The while Statement</w:t>
        </w:r>
      </w:hyperlink>
    </w:p>
    <w:p>
      <w:pPr>
        <w:pStyle w:val="Normal"/>
        <w:ind w:left="0" w:firstLineChars="0" w:firstLine="0" w:leftChars="400"/>
      </w:pPr>
      <w:hyperlink w:anchor="The_for_Statement__The_for_state">
        <w:r>
          <w:rPr>
            <w:color w:val="0000FF" w:themeColor="hyperlink"/>
            <w:u w:val="single"/>
          </w:rPr>
          <w:t>The for Statement</w:t>
        </w:r>
      </w:hyperlink>
    </w:p>
    <w:p>
      <w:pPr>
        <w:pStyle w:val="Normal"/>
        <w:ind w:left="0" w:firstLineChars="0" w:firstLine="0" w:leftChars="400"/>
      </w:pPr>
      <w:hyperlink w:anchor="The_break_Statement__You_can_use">
        <w:r>
          <w:rPr>
            <w:color w:val="0000FF" w:themeColor="hyperlink"/>
            <w:u w:val="single"/>
          </w:rPr>
          <w:t>The break Statement</w:t>
        </w:r>
      </w:hyperlink>
    </w:p>
    <w:p>
      <w:pPr>
        <w:pStyle w:val="Normal"/>
        <w:ind w:left="0" w:firstLineChars="0" w:firstLine="0" w:leftChars="400"/>
      </w:pPr>
      <w:hyperlink w:anchor="The_continue_Statement__Like_bre">
        <w:r>
          <w:rPr>
            <w:color w:val="0000FF" w:themeColor="hyperlink"/>
            <w:u w:val="single"/>
          </w:rPr>
          <w:t>The continue Statement</w:t>
        </w:r>
      </w:hyperlink>
    </w:p>
    <w:p>
      <w:pPr>
        <w:pStyle w:val="Normal"/>
        <w:ind w:left="0" w:firstLineChars="0" w:firstLine="0" w:leftChars="400"/>
      </w:pPr>
      <w:hyperlink w:anchor="The_else_Clause_on_Loop_Statemen">
        <w:r>
          <w:rPr>
            <w:color w:val="0000FF" w:themeColor="hyperlink"/>
            <w:u w:val="single"/>
          </w:rPr>
          <w:t>The else Clause on Loop Statements</w:t>
        </w:r>
      </w:hyperlink>
    </w:p>
    <w:p>
      <w:pPr>
        <w:pStyle w:val="Normal"/>
        <w:ind w:left="0" w:firstLineChars="0" w:firstLine="0" w:leftChars="400"/>
      </w:pPr>
      <w:hyperlink w:anchor="The_pass_Statement__The_body_of">
        <w:r>
          <w:rPr>
            <w:color w:val="0000FF" w:themeColor="hyperlink"/>
            <w:u w:val="single"/>
          </w:rPr>
          <w:t>The pass Statement</w:t>
        </w:r>
      </w:hyperlink>
    </w:p>
    <w:p>
      <w:pPr>
        <w:pStyle w:val="Normal"/>
        <w:ind w:left="0" w:firstLineChars="0" w:firstLine="0" w:leftChars="400"/>
      </w:pPr>
      <w:hyperlink w:anchor="The_try_and_raise_Statements__Py">
        <w:r>
          <w:rPr>
            <w:color w:val="0000FF" w:themeColor="hyperlink"/>
            <w:u w:val="single"/>
          </w:rPr>
          <w:t>The try and raise Statements</w:t>
        </w:r>
      </w:hyperlink>
    </w:p>
    <w:p>
      <w:pPr>
        <w:pStyle w:val="Normal"/>
        <w:ind w:left="0" w:firstLineChars="0" w:firstLine="0" w:leftChars="400"/>
      </w:pPr>
      <w:hyperlink w:anchor="The_with_Statement__A_with_state">
        <w:r>
          <w:rPr>
            <w:color w:val="0000FF" w:themeColor="hyperlink"/>
            <w:u w:val="single"/>
          </w:rPr>
          <w:t>The with Statement</w:t>
        </w:r>
      </w:hyperlink>
    </w:p>
    <w:p>
      <w:pPr>
        <w:pStyle w:val="Normal"/>
        <w:ind w:left="0" w:firstLineChars="0" w:firstLine="0" w:leftChars="200"/>
      </w:pPr>
      <w:hyperlink w:anchor="Functions__Most_statements_in_a">
        <w:r>
          <w:rPr>
            <w:color w:val="0000FF" w:themeColor="hyperlink"/>
            <w:u w:val="single"/>
          </w:rPr>
          <w:t>Functions</w:t>
        </w:r>
      </w:hyperlink>
    </w:p>
    <w:p>
      <w:pPr>
        <w:pStyle w:val="Normal"/>
        <w:ind w:left="0" w:firstLineChars="0" w:firstLine="0" w:leftChars="400"/>
      </w:pPr>
      <w:hyperlink w:anchor="Defining_Functions__The_def_Stat">
        <w:r>
          <w:rPr>
            <w:color w:val="0000FF" w:themeColor="hyperlink"/>
            <w:u w:val="single"/>
          </w:rPr>
          <w:t>Defining Functions: The def Statement</w:t>
        </w:r>
      </w:hyperlink>
    </w:p>
    <w:p>
      <w:pPr>
        <w:pStyle w:val="Normal"/>
        <w:ind w:left="0" w:firstLineChars="0" w:firstLine="0" w:leftChars="400"/>
      </w:pPr>
      <w:hyperlink w:anchor="Parameters__Parameters__pedantic">
        <w:r>
          <w:rPr>
            <w:color w:val="0000FF" w:themeColor="hyperlink"/>
            <w:u w:val="single"/>
          </w:rPr>
          <w:t>Parameters</w:t>
        </w:r>
      </w:hyperlink>
    </w:p>
    <w:p>
      <w:pPr>
        <w:pStyle w:val="Normal"/>
        <w:ind w:left="0" w:firstLineChars="0" w:firstLine="0" w:leftChars="400"/>
      </w:pPr>
      <w:hyperlink w:anchor="Attributes_of_Function_Objects">
        <w:r>
          <w:rPr>
            <w:color w:val="0000FF" w:themeColor="hyperlink"/>
            <w:u w:val="single"/>
          </w:rPr>
          <w:t>Attributes of Function Objects</w:t>
        </w:r>
      </w:hyperlink>
    </w:p>
    <w:p>
      <w:pPr>
        <w:pStyle w:val="Normal"/>
        <w:ind w:left="0" w:firstLineChars="0" w:firstLine="0" w:leftChars="400"/>
      </w:pPr>
      <w:hyperlink w:anchor="Function_Annotations__Every_para">
        <w:r>
          <w:rPr>
            <w:color w:val="0000FF" w:themeColor="hyperlink"/>
            <w:u w:val="single"/>
          </w:rPr>
          <w:t>Function Annotations</w:t>
        </w:r>
      </w:hyperlink>
    </w:p>
    <w:p>
      <w:pPr>
        <w:pStyle w:val="Normal"/>
        <w:ind w:left="0" w:firstLineChars="0" w:firstLine="0" w:leftChars="400"/>
      </w:pPr>
      <w:hyperlink w:anchor="The_return_Statement__You_can_us">
        <w:r>
          <w:rPr>
            <w:color w:val="0000FF" w:themeColor="hyperlink"/>
            <w:u w:val="single"/>
          </w:rPr>
          <w:t>The return Statement</w:t>
        </w:r>
      </w:hyperlink>
    </w:p>
    <w:p>
      <w:pPr>
        <w:pStyle w:val="Normal"/>
        <w:ind w:left="0" w:firstLineChars="0" w:firstLine="0" w:leftChars="400"/>
      </w:pPr>
      <w:hyperlink w:anchor="Calling_Functions__A_function_ca">
        <w:r>
          <w:rPr>
            <w:color w:val="0000FF" w:themeColor="hyperlink"/>
            <w:u w:val="single"/>
          </w:rPr>
          <w:t>Calling Functions</w:t>
        </w:r>
      </w:hyperlink>
    </w:p>
    <w:p>
      <w:pPr>
        <w:pStyle w:val="Normal"/>
        <w:ind w:left="0" w:firstLineChars="0" w:firstLine="0" w:leftChars="400"/>
      </w:pPr>
      <w:hyperlink w:anchor="Namespaces__A_function_s_paramet">
        <w:r>
          <w:rPr>
            <w:color w:val="0000FF" w:themeColor="hyperlink"/>
            <w:u w:val="single"/>
          </w:rPr>
          <w:t>Namespaces</w:t>
        </w:r>
      </w:hyperlink>
    </w:p>
    <w:p>
      <w:pPr>
        <w:pStyle w:val="Normal"/>
        <w:ind w:left="0" w:firstLineChars="0" w:firstLine="0" w:leftChars="400"/>
      </w:pPr>
      <w:hyperlink w:anchor="lambda_Expressions__If_a_functio">
        <w:r>
          <w:rPr>
            <w:color w:val="0000FF" w:themeColor="hyperlink"/>
            <w:u w:val="single"/>
          </w:rPr>
          <w:t>lambda Expressions</w:t>
        </w:r>
      </w:hyperlink>
    </w:p>
    <w:p>
      <w:pPr>
        <w:pStyle w:val="Normal"/>
        <w:ind w:left="0" w:firstLineChars="0" w:firstLine="0" w:leftChars="400"/>
      </w:pPr>
      <w:hyperlink w:anchor="Generators__When_the_body_of_a_f">
        <w:r>
          <w:rPr>
            <w:color w:val="0000FF" w:themeColor="hyperlink"/>
            <w:u w:val="single"/>
          </w:rPr>
          <w:t>Generators</w:t>
        </w:r>
      </w:hyperlink>
    </w:p>
    <w:p>
      <w:pPr>
        <w:pStyle w:val="Normal"/>
        <w:ind w:left="0" w:firstLineChars="0" w:firstLine="0" w:leftChars="400"/>
      </w:pPr>
      <w:hyperlink w:anchor="Recursion__Python_supports_recur">
        <w:r>
          <w:rPr>
            <w:color w:val="0000FF" w:themeColor="hyperlink"/>
            <w:u w:val="single"/>
          </w:rPr>
          <w:t>Recursion</w:t>
        </w:r>
      </w:hyperlink>
    </w:p>
    <w:p>
      <w:pPr>
        <w:pStyle w:val="Normal"/>
        <w:ind w:left="0" w:firstLineChars="0" w:firstLine="0" w:leftChars="0"/>
      </w:pPr>
      <w:hyperlink w:anchor="Chapter_4__Object_Oriented_Pytho_2">
        <w:r>
          <w:rPr>
            <w:color w:val="0000FF" w:themeColor="hyperlink"/>
            <w:u w:val="single"/>
          </w:rPr>
          <w:t>4. Object-Oriented Python</w:t>
        </w:r>
      </w:hyperlink>
    </w:p>
    <w:p>
      <w:pPr>
        <w:pStyle w:val="Normal"/>
        <w:ind w:left="0" w:firstLineChars="0" w:firstLine="0" w:leftChars="200"/>
      </w:pPr>
      <w:hyperlink w:anchor="Classes_and_Instances__If_you_re">
        <w:r>
          <w:rPr>
            <w:color w:val="0000FF" w:themeColor="hyperlink"/>
            <w:u w:val="single"/>
          </w:rPr>
          <w:t>Classes and Instances</w:t>
        </w:r>
      </w:hyperlink>
    </w:p>
    <w:p>
      <w:pPr>
        <w:pStyle w:val="Normal"/>
        <w:ind w:left="0" w:firstLineChars="0" w:firstLine="0" w:leftChars="400"/>
      </w:pPr>
      <w:hyperlink w:anchor="Python_Classes__A_class_is_a_Pyt">
        <w:r>
          <w:rPr>
            <w:color w:val="0000FF" w:themeColor="hyperlink"/>
            <w:u w:val="single"/>
          </w:rPr>
          <w:t>Python Classes</w:t>
        </w:r>
      </w:hyperlink>
    </w:p>
    <w:p>
      <w:pPr>
        <w:pStyle w:val="Normal"/>
        <w:ind w:left="0" w:firstLineChars="0" w:firstLine="0" w:leftChars="400"/>
      </w:pPr>
      <w:hyperlink w:anchor="The_class_Statement__The_class_s">
        <w:r>
          <w:rPr>
            <w:color w:val="0000FF" w:themeColor="hyperlink"/>
            <w:u w:val="single"/>
          </w:rPr>
          <w:t>The class Statement</w:t>
        </w:r>
      </w:hyperlink>
    </w:p>
    <w:p>
      <w:pPr>
        <w:pStyle w:val="Normal"/>
        <w:ind w:left="0" w:firstLineChars="0" w:firstLine="0" w:leftChars="400"/>
      </w:pPr>
      <w:hyperlink w:anchor="The_Class_Body__The_body_of_a_cl">
        <w:r>
          <w:rPr>
            <w:color w:val="0000FF" w:themeColor="hyperlink"/>
            <w:u w:val="single"/>
          </w:rPr>
          <w:t>The Class Body</w:t>
        </w:r>
      </w:hyperlink>
    </w:p>
    <w:p>
      <w:pPr>
        <w:pStyle w:val="Normal"/>
        <w:ind w:left="0" w:firstLineChars="0" w:firstLine="0" w:leftChars="400"/>
      </w:pPr>
      <w:hyperlink w:anchor="Descriptors__A_descriptor_is_an">
        <w:r>
          <w:rPr>
            <w:color w:val="0000FF" w:themeColor="hyperlink"/>
            <w:u w:val="single"/>
          </w:rPr>
          <w:t>Descriptors</w:t>
        </w:r>
      </w:hyperlink>
    </w:p>
    <w:p>
      <w:pPr>
        <w:pStyle w:val="Normal"/>
        <w:ind w:left="0" w:firstLineChars="0" w:firstLine="0" w:leftChars="400"/>
      </w:pPr>
      <w:hyperlink w:anchor="Instances__To_create_an_instance">
        <w:r>
          <w:rPr>
            <w:color w:val="0000FF" w:themeColor="hyperlink"/>
            <w:u w:val="single"/>
          </w:rPr>
          <w:t>Instances</w:t>
        </w:r>
      </w:hyperlink>
    </w:p>
    <w:p>
      <w:pPr>
        <w:pStyle w:val="Normal"/>
        <w:ind w:left="0" w:firstLineChars="0" w:firstLine="0" w:leftChars="400"/>
      </w:pPr>
      <w:hyperlink w:anchor="Attribute_Reference_Basics__An_a">
        <w:r>
          <w:rPr>
            <w:color w:val="0000FF" w:themeColor="hyperlink"/>
            <w:u w:val="single"/>
          </w:rPr>
          <w:t>Attribute Reference Basics</w:t>
        </w:r>
      </w:hyperlink>
    </w:p>
    <w:p>
      <w:pPr>
        <w:pStyle w:val="Normal"/>
        <w:ind w:left="0" w:firstLineChars="0" w:firstLine="0" w:leftChars="400"/>
      </w:pPr>
      <w:hyperlink w:anchor="Bound_and_Unbound_Methods__The_m">
        <w:r>
          <w:rPr>
            <w:color w:val="0000FF" w:themeColor="hyperlink"/>
            <w:u w:val="single"/>
          </w:rPr>
          <w:t>Bound and Unbound Methods</w:t>
        </w:r>
      </w:hyperlink>
    </w:p>
    <w:p>
      <w:pPr>
        <w:pStyle w:val="Normal"/>
        <w:ind w:left="0" w:firstLineChars="0" w:firstLine="0" w:leftChars="400"/>
      </w:pPr>
      <w:hyperlink w:anchor="Inheritance__When_you_use_an_att">
        <w:r>
          <w:rPr>
            <w:color w:val="0000FF" w:themeColor="hyperlink"/>
            <w:u w:val="single"/>
          </w:rPr>
          <w:t>Inheritance</w:t>
        </w:r>
      </w:hyperlink>
    </w:p>
    <w:p>
      <w:pPr>
        <w:pStyle w:val="Normal"/>
        <w:ind w:left="0" w:firstLineChars="0" w:firstLine="0" w:leftChars="400"/>
      </w:pPr>
      <w:hyperlink w:anchor="The_Built_in_object_Type__The_bu">
        <w:r>
          <w:rPr>
            <w:color w:val="0000FF" w:themeColor="hyperlink"/>
            <w:u w:val="single"/>
          </w:rPr>
          <w:t>The Built-in object Type</w:t>
        </w:r>
      </w:hyperlink>
    </w:p>
    <w:p>
      <w:pPr>
        <w:pStyle w:val="Normal"/>
        <w:ind w:left="0" w:firstLineChars="0" w:firstLine="0" w:leftChars="400"/>
      </w:pPr>
      <w:hyperlink w:anchor="Class_Level_Methods__Python_supp">
        <w:r>
          <w:rPr>
            <w:color w:val="0000FF" w:themeColor="hyperlink"/>
            <w:u w:val="single"/>
          </w:rPr>
          <w:t>Class-Level Methods</w:t>
        </w:r>
      </w:hyperlink>
    </w:p>
    <w:p>
      <w:pPr>
        <w:pStyle w:val="Normal"/>
        <w:ind w:left="0" w:firstLineChars="0" w:firstLine="0" w:leftChars="400"/>
      </w:pPr>
      <w:hyperlink w:anchor="Properties__Python_supplies_a_bu">
        <w:r>
          <w:rPr>
            <w:color w:val="0000FF" w:themeColor="hyperlink"/>
            <w:u w:val="single"/>
          </w:rPr>
          <w:t>Properties</w:t>
        </w:r>
      </w:hyperlink>
    </w:p>
    <w:p>
      <w:pPr>
        <w:pStyle w:val="Normal"/>
        <w:ind w:left="0" w:firstLineChars="0" w:firstLine="0" w:leftChars="400"/>
      </w:pPr>
      <w:hyperlink w:anchor="__slots____Normally__each_instan">
        <w:r>
          <w:rPr>
            <w:color w:val="0000FF" w:themeColor="hyperlink"/>
            <w:u w:val="single"/>
          </w:rPr>
          <w:t>__slots__</w:t>
        </w:r>
      </w:hyperlink>
    </w:p>
    <w:p>
      <w:pPr>
        <w:pStyle w:val="Normal"/>
        <w:ind w:left="0" w:firstLineChars="0" w:firstLine="0" w:leftChars="400"/>
      </w:pPr>
      <w:hyperlink w:anchor="__getattribute____All_references">
        <w:r>
          <w:rPr>
            <w:color w:val="0000FF" w:themeColor="hyperlink"/>
            <w:u w:val="single"/>
          </w:rPr>
          <w:t>__getattribute__</w:t>
        </w:r>
      </w:hyperlink>
    </w:p>
    <w:p>
      <w:pPr>
        <w:pStyle w:val="Normal"/>
        <w:ind w:left="0" w:firstLineChars="0" w:firstLine="0" w:leftChars="400"/>
      </w:pPr>
      <w:hyperlink w:anchor="Per_Instance_Methods__An_instanc">
        <w:r>
          <w:rPr>
            <w:color w:val="0000FF" w:themeColor="hyperlink"/>
            <w:u w:val="single"/>
          </w:rPr>
          <w:t>Per Instance Methods</w:t>
        </w:r>
      </w:hyperlink>
    </w:p>
    <w:p>
      <w:pPr>
        <w:pStyle w:val="Normal"/>
        <w:ind w:left="0" w:firstLineChars="0" w:firstLine="0" w:leftChars="400"/>
      </w:pPr>
      <w:hyperlink w:anchor="Inheritance_from_Built_in_Types">
        <w:r>
          <w:rPr>
            <w:color w:val="0000FF" w:themeColor="hyperlink"/>
            <w:u w:val="single"/>
          </w:rPr>
          <w:t>Inheritance from Built-in Types</w:t>
        </w:r>
      </w:hyperlink>
    </w:p>
    <w:p>
      <w:pPr>
        <w:pStyle w:val="Normal"/>
        <w:ind w:left="0" w:firstLineChars="0" w:firstLine="0" w:leftChars="200"/>
      </w:pPr>
      <w:hyperlink w:anchor="Special_Methods__A_class_may_def">
        <w:r>
          <w:rPr>
            <w:color w:val="0000FF" w:themeColor="hyperlink"/>
            <w:u w:val="single"/>
          </w:rPr>
          <w:t>Special Methods</w:t>
        </w:r>
      </w:hyperlink>
    </w:p>
    <w:p>
      <w:pPr>
        <w:pStyle w:val="Normal"/>
        <w:ind w:left="0" w:firstLineChars="0" w:firstLine="0" w:leftChars="400"/>
      </w:pPr>
      <w:hyperlink w:anchor="General_Purpose_Special_Methods">
        <w:r>
          <w:rPr>
            <w:color w:val="0000FF" w:themeColor="hyperlink"/>
            <w:u w:val="single"/>
          </w:rPr>
          <w:t>General-Purpose Special Methods</w:t>
        </w:r>
      </w:hyperlink>
    </w:p>
    <w:p>
      <w:pPr>
        <w:pStyle w:val="Normal"/>
        <w:ind w:left="0" w:firstLineChars="0" w:firstLine="0" w:leftChars="400"/>
      </w:pPr>
      <w:hyperlink w:anchor="Special_Methods_for_Containers">
        <w:r>
          <w:rPr>
            <w:color w:val="0000FF" w:themeColor="hyperlink"/>
            <w:u w:val="single"/>
          </w:rPr>
          <w:t>Special Methods for Containers</w:t>
        </w:r>
      </w:hyperlink>
    </w:p>
    <w:p>
      <w:pPr>
        <w:pStyle w:val="Normal"/>
        <w:ind w:left="0" w:firstLineChars="0" w:firstLine="0" w:leftChars="400"/>
      </w:pPr>
      <w:hyperlink w:anchor="Abstract_Base_Classes__Abstract">
        <w:r>
          <w:rPr>
            <w:color w:val="0000FF" w:themeColor="hyperlink"/>
            <w:u w:val="single"/>
          </w:rPr>
          <w:t>Abstract Base Classes</w:t>
        </w:r>
      </w:hyperlink>
    </w:p>
    <w:p>
      <w:pPr>
        <w:pStyle w:val="Normal"/>
        <w:ind w:left="0" w:firstLineChars="0" w:firstLine="0" w:leftChars="400"/>
      </w:pPr>
      <w:hyperlink w:anchor="Special_Methods_for_Numeric_Obje">
        <w:r>
          <w:rPr>
            <w:color w:val="0000FF" w:themeColor="hyperlink"/>
            <w:u w:val="single"/>
          </w:rPr>
          <w:t>Special Methods for Numeric Objects</w:t>
        </w:r>
      </w:hyperlink>
    </w:p>
    <w:p>
      <w:pPr>
        <w:pStyle w:val="Normal"/>
        <w:ind w:left="0" w:firstLineChars="0" w:firstLine="0" w:leftChars="200"/>
      </w:pPr>
      <w:hyperlink w:anchor="Decorators__In_Python__you_often">
        <w:r>
          <w:rPr>
            <w:color w:val="0000FF" w:themeColor="hyperlink"/>
            <w:u w:val="single"/>
          </w:rPr>
          <w:t>Decorators</w:t>
        </w:r>
      </w:hyperlink>
    </w:p>
    <w:p>
      <w:pPr>
        <w:pStyle w:val="Normal"/>
        <w:ind w:left="0" w:firstLineChars="0" w:firstLine="0" w:leftChars="200"/>
      </w:pPr>
      <w:hyperlink w:anchor="Metaclasses__Any_object__even_a">
        <w:r>
          <w:rPr>
            <w:color w:val="0000FF" w:themeColor="hyperlink"/>
            <w:u w:val="single"/>
          </w:rPr>
          <w:t>Metaclasses</w:t>
        </w:r>
      </w:hyperlink>
    </w:p>
    <w:p>
      <w:pPr>
        <w:pStyle w:val="Normal"/>
        <w:ind w:left="0" w:firstLineChars="0" w:firstLine="0" w:leftChars="400"/>
      </w:pPr>
      <w:hyperlink w:anchor="Alternatives_to_Custom_Metaclass">
        <w:r>
          <w:rPr>
            <w:color w:val="0000FF" w:themeColor="hyperlink"/>
            <w:u w:val="single"/>
          </w:rPr>
          <w:t>Alternatives to Custom Metaclasses for Simple Class Customization</w:t>
        </w:r>
      </w:hyperlink>
    </w:p>
    <w:p>
      <w:pPr>
        <w:pStyle w:val="Normal"/>
        <w:ind w:left="0" w:firstLineChars="0" w:firstLine="0" w:leftChars="400"/>
      </w:pPr>
      <w:hyperlink w:anchor="How_Python_Determines_a_Class_s">
        <w:r>
          <w:rPr>
            <w:color w:val="0000FF" w:themeColor="hyperlink"/>
            <w:u w:val="single"/>
          </w:rPr>
          <w:t>How Python Determines a Class’s Metaclass</w:t>
        </w:r>
      </w:hyperlink>
    </w:p>
    <w:p>
      <w:pPr>
        <w:pStyle w:val="Normal"/>
        <w:ind w:left="0" w:firstLineChars="0" w:firstLine="0" w:leftChars="400"/>
      </w:pPr>
      <w:hyperlink w:anchor="How_a_Metaclass_Creates_a_Class">
        <w:r>
          <w:rPr>
            <w:color w:val="0000FF" w:themeColor="hyperlink"/>
            <w:u w:val="single"/>
          </w:rPr>
          <w:t>How a Metaclass Creates a Class</w:t>
        </w:r>
      </w:hyperlink>
    </w:p>
    <w:p>
      <w:pPr>
        <w:pStyle w:val="Normal"/>
        <w:ind w:left="0" w:firstLineChars="0" w:firstLine="0" w:leftChars="400"/>
      </w:pPr>
      <w:hyperlink w:anchor="Data_Classes__As_the_previous_Bu">
        <w:r>
          <w:rPr>
            <w:color w:val="0000FF" w:themeColor="hyperlink"/>
            <w:u w:val="single"/>
          </w:rPr>
          <w:t>Data Classes</w:t>
        </w:r>
      </w:hyperlink>
    </w:p>
    <w:p>
      <w:pPr>
        <w:pStyle w:val="Normal"/>
        <w:ind w:left="0" w:firstLineChars="0" w:firstLine="0" w:leftChars="400"/>
      </w:pPr>
      <w:hyperlink w:anchor="Enumerated_Types__Enums___When_p">
        <w:r>
          <w:rPr>
            <w:color w:val="0000FF" w:themeColor="hyperlink"/>
            <w:u w:val="single"/>
          </w:rPr>
          <w:t>Enumerated Types (Enums)</w:t>
        </w:r>
      </w:hyperlink>
    </w:p>
    <w:p>
      <w:pPr>
        <w:pStyle w:val="Normal"/>
        <w:ind w:left="0" w:firstLineChars="0" w:firstLine="0" w:leftChars="0"/>
      </w:pPr>
      <w:hyperlink w:anchor="Chapter_5__Type_Annotations__Ann_2">
        <w:r>
          <w:rPr>
            <w:color w:val="0000FF" w:themeColor="hyperlink"/>
            <w:u w:val="single"/>
          </w:rPr>
          <w:t>5. Type Annotations</w:t>
        </w:r>
      </w:hyperlink>
    </w:p>
    <w:p>
      <w:pPr>
        <w:pStyle w:val="Normal"/>
        <w:ind w:left="0" w:firstLineChars="0" w:firstLine="0" w:leftChars="200"/>
      </w:pPr>
      <w:hyperlink w:anchor="History__Python_is__fundamentall">
        <w:r>
          <w:rPr>
            <w:color w:val="0000FF" w:themeColor="hyperlink"/>
            <w:u w:val="single"/>
          </w:rPr>
          <w:t>History</w:t>
        </w:r>
      </w:hyperlink>
    </w:p>
    <w:p>
      <w:pPr>
        <w:pStyle w:val="Normal"/>
        <w:ind w:left="0" w:firstLineChars="0" w:firstLine="0" w:leftChars="200"/>
      </w:pPr>
      <w:hyperlink w:anchor="Type_Checking_Utilities__As_type">
        <w:r>
          <w:rPr>
            <w:color w:val="0000FF" w:themeColor="hyperlink"/>
            <w:u w:val="single"/>
          </w:rPr>
          <w:t>Type-Checking Utilities</w:t>
        </w:r>
      </w:hyperlink>
    </w:p>
    <w:p>
      <w:pPr>
        <w:pStyle w:val="Normal"/>
        <w:ind w:left="0" w:firstLineChars="0" w:firstLine="0" w:leftChars="400"/>
      </w:pPr>
      <w:hyperlink w:anchor="mypy__The_standalone_mypy_utilit">
        <w:r>
          <w:rPr>
            <w:color w:val="0000FF" w:themeColor="hyperlink"/>
            <w:u w:val="single"/>
          </w:rPr>
          <w:t>mypy</w:t>
        </w:r>
      </w:hyperlink>
    </w:p>
    <w:p>
      <w:pPr>
        <w:pStyle w:val="Normal"/>
        <w:ind w:left="0" w:firstLineChars="0" w:firstLine="0" w:leftChars="400"/>
      </w:pPr>
      <w:hyperlink w:anchor="Other_Type_Checkers__Other_type">
        <w:r>
          <w:rPr>
            <w:color w:val="0000FF" w:themeColor="hyperlink"/>
            <w:u w:val="single"/>
          </w:rPr>
          <w:t>Other Type Checkers</w:t>
        </w:r>
      </w:hyperlink>
    </w:p>
    <w:p>
      <w:pPr>
        <w:pStyle w:val="Normal"/>
        <w:ind w:left="0" w:firstLineChars="0" w:firstLine="0" w:leftChars="200"/>
      </w:pPr>
      <w:hyperlink w:anchor="Type_Annotation_Syntax__A_type_a">
        <w:r>
          <w:rPr>
            <w:color w:val="0000FF" w:themeColor="hyperlink"/>
            <w:u w:val="single"/>
          </w:rPr>
          <w:t>Type Annotation Syntax</w:t>
        </w:r>
      </w:hyperlink>
    </w:p>
    <w:p>
      <w:pPr>
        <w:pStyle w:val="Normal"/>
        <w:ind w:left="0" w:firstLineChars="0" w:firstLine="0" w:leftChars="200"/>
      </w:pPr>
      <w:hyperlink w:anchor="The_typing_Module__The_typing_mo">
        <w:r>
          <w:rPr>
            <w:color w:val="0000FF" w:themeColor="hyperlink"/>
            <w:u w:val="single"/>
          </w:rPr>
          <w:t>The typing Module</w:t>
        </w:r>
      </w:hyperlink>
    </w:p>
    <w:p>
      <w:pPr>
        <w:pStyle w:val="Normal"/>
        <w:ind w:left="0" w:firstLineChars="0" w:firstLine="0" w:leftChars="400"/>
      </w:pPr>
      <w:hyperlink w:anchor="Types__The_initial_implementatio">
        <w:r>
          <w:rPr>
            <w:color w:val="0000FF" w:themeColor="hyperlink"/>
            <w:u w:val="single"/>
          </w:rPr>
          <w:t>Types</w:t>
        </w:r>
      </w:hyperlink>
    </w:p>
    <w:p>
      <w:pPr>
        <w:pStyle w:val="Normal"/>
        <w:ind w:left="0" w:firstLineChars="0" w:firstLine="0" w:leftChars="400"/>
      </w:pPr>
      <w:hyperlink w:anchor="Type_Expression_Parameters__Some">
        <w:r>
          <w:rPr>
            <w:color w:val="0000FF" w:themeColor="hyperlink"/>
            <w:u w:val="single"/>
          </w:rPr>
          <w:t>Type Expression Parameters</w:t>
        </w:r>
      </w:hyperlink>
    </w:p>
    <w:p>
      <w:pPr>
        <w:pStyle w:val="Normal"/>
        <w:ind w:left="0" w:firstLineChars="0" w:firstLine="0" w:leftChars="400"/>
      </w:pPr>
      <w:hyperlink w:anchor="Abstract_Base_Classes__Just_as_f">
        <w:r>
          <w:rPr>
            <w:color w:val="0000FF" w:themeColor="hyperlink"/>
            <w:u w:val="single"/>
          </w:rPr>
          <w:t>Abstract Base Classes</w:t>
        </w:r>
      </w:hyperlink>
    </w:p>
    <w:p>
      <w:pPr>
        <w:pStyle w:val="Normal"/>
        <w:ind w:left="0" w:firstLineChars="0" w:firstLine="0" w:leftChars="400"/>
      </w:pPr>
      <w:hyperlink w:anchor="Protocols__The_typing_module_def">
        <w:r>
          <w:rPr>
            <w:color w:val="0000FF" w:themeColor="hyperlink"/>
            <w:u w:val="single"/>
          </w:rPr>
          <w:t>Protocols</w:t>
        </w:r>
      </w:hyperlink>
    </w:p>
    <w:p>
      <w:pPr>
        <w:pStyle w:val="Normal"/>
        <w:ind w:left="0" w:firstLineChars="0" w:firstLine="0" w:leftChars="400"/>
      </w:pPr>
      <w:hyperlink w:anchor="Utilities_and_Decorators__Table">
        <w:r>
          <w:rPr>
            <w:color w:val="0000FF" w:themeColor="hyperlink"/>
            <w:u w:val="single"/>
          </w:rPr>
          <w:t>Utilities and Decorators</w:t>
        </w:r>
      </w:hyperlink>
    </w:p>
    <w:p>
      <w:pPr>
        <w:pStyle w:val="Normal"/>
        <w:ind w:left="0" w:firstLineChars="0" w:firstLine="0" w:leftChars="400"/>
      </w:pPr>
      <w:hyperlink w:anchor="Defining_Custom_Types__Just_as_P">
        <w:r>
          <w:rPr>
            <w:color w:val="0000FF" w:themeColor="hyperlink"/>
            <w:u w:val="single"/>
          </w:rPr>
          <w:t>Defining Custom Types</w:t>
        </w:r>
      </w:hyperlink>
    </w:p>
    <w:p>
      <w:pPr>
        <w:pStyle w:val="Normal"/>
        <w:ind w:left="0" w:firstLineChars="0" w:firstLine="0" w:leftChars="200"/>
      </w:pPr>
      <w:hyperlink w:anchor="Using_Type_Annotations_at_Runtim">
        <w:r>
          <w:rPr>
            <w:color w:val="0000FF" w:themeColor="hyperlink"/>
            <w:u w:val="single"/>
          </w:rPr>
          <w:t>Using Type Annotations at Runtime</w:t>
        </w:r>
      </w:hyperlink>
    </w:p>
    <w:p>
      <w:pPr>
        <w:pStyle w:val="Normal"/>
        <w:ind w:left="0" w:firstLineChars="0" w:firstLine="0" w:leftChars="200"/>
      </w:pPr>
      <w:hyperlink w:anchor="How_to_Add_Type_Annotations_to_Y">
        <w:r>
          <w:rPr>
            <w:color w:val="0000FF" w:themeColor="hyperlink"/>
            <w:u w:val="single"/>
          </w:rPr>
          <w:t>How to Add Type Annotations to Your Code</w:t>
        </w:r>
      </w:hyperlink>
    </w:p>
    <w:p>
      <w:pPr>
        <w:pStyle w:val="Normal"/>
        <w:ind w:left="0" w:firstLineChars="0" w:firstLine="0" w:leftChars="400"/>
      </w:pPr>
      <w:hyperlink w:anchor="Adding_Type_Annotations_to_New_C">
        <w:r>
          <w:rPr>
            <w:color w:val="0000FF" w:themeColor="hyperlink"/>
            <w:u w:val="single"/>
          </w:rPr>
          <w:t>Adding Type Annotations to New Code</w:t>
        </w:r>
      </w:hyperlink>
    </w:p>
    <w:p>
      <w:pPr>
        <w:pStyle w:val="Normal"/>
        <w:ind w:left="0" w:firstLineChars="0" w:firstLine="0" w:leftChars="400"/>
      </w:pPr>
      <w:hyperlink w:anchor="Adding_Type_Annotations_to_Exist">
        <w:r>
          <w:rPr>
            <w:color w:val="0000FF" w:themeColor="hyperlink"/>
            <w:u w:val="single"/>
          </w:rPr>
          <w:t>Adding Type Annotations to Existing Code (Gradual Typing)</w:t>
        </w:r>
      </w:hyperlink>
    </w:p>
    <w:p>
      <w:pPr>
        <w:pStyle w:val="Normal"/>
        <w:ind w:left="0" w:firstLineChars="0" w:firstLine="0" w:leftChars="400"/>
      </w:pPr>
      <w:hyperlink w:anchor="Using__pyi_Stub_Files__Sometimes">
        <w:r>
          <w:rPr>
            <w:color w:val="0000FF" w:themeColor="hyperlink"/>
            <w:u w:val="single"/>
          </w:rPr>
          <w:t>Using .pyi Stub Files</w:t>
        </w:r>
      </w:hyperlink>
    </w:p>
    <w:p>
      <w:pPr>
        <w:pStyle w:val="Normal"/>
        <w:ind w:left="0" w:firstLineChars="0" w:firstLine="0" w:leftChars="200"/>
      </w:pPr>
      <w:hyperlink w:anchor="Summary__Python_has_steadily_ris">
        <w:r>
          <w:rPr>
            <w:color w:val="0000FF" w:themeColor="hyperlink"/>
            <w:u w:val="single"/>
          </w:rPr>
          <w:t>Summary</w:t>
        </w:r>
      </w:hyperlink>
    </w:p>
    <w:p>
      <w:pPr>
        <w:pStyle w:val="Normal"/>
        <w:ind w:left="0" w:firstLineChars="0" w:firstLine="0" w:leftChars="0"/>
      </w:pPr>
      <w:hyperlink w:anchor="Chapter_6__Exceptions__Python_us_2">
        <w:r>
          <w:rPr>
            <w:color w:val="0000FF" w:themeColor="hyperlink"/>
            <w:u w:val="single"/>
          </w:rPr>
          <w:t>6. Exceptions</w:t>
        </w:r>
      </w:hyperlink>
    </w:p>
    <w:p>
      <w:pPr>
        <w:pStyle w:val="Normal"/>
        <w:ind w:left="0" w:firstLineChars="0" w:firstLine="0" w:leftChars="200"/>
      </w:pPr>
      <w:hyperlink w:anchor="The_try_Statement__The_try_state">
        <w:r>
          <w:rPr>
            <w:color w:val="0000FF" w:themeColor="hyperlink"/>
            <w:u w:val="single"/>
          </w:rPr>
          <w:t>The try Statement</w:t>
        </w:r>
      </w:hyperlink>
    </w:p>
    <w:p>
      <w:pPr>
        <w:pStyle w:val="Normal"/>
        <w:ind w:left="0" w:firstLineChars="0" w:firstLine="0" w:leftChars="400"/>
      </w:pPr>
      <w:hyperlink w:anchor="try_except__Here_s_the_syntax_fo">
        <w:r>
          <w:rPr>
            <w:color w:val="0000FF" w:themeColor="hyperlink"/>
            <w:u w:val="single"/>
          </w:rPr>
          <w:t>try/except</w:t>
        </w:r>
      </w:hyperlink>
    </w:p>
    <w:p>
      <w:pPr>
        <w:pStyle w:val="Normal"/>
        <w:ind w:left="0" w:firstLineChars="0" w:firstLine="0" w:leftChars="400"/>
      </w:pPr>
      <w:hyperlink w:anchor="try_finally__Here_s_the_syntax_f">
        <w:r>
          <w:rPr>
            <w:color w:val="0000FF" w:themeColor="hyperlink"/>
            <w:u w:val="single"/>
          </w:rPr>
          <w:t>try/finally</w:t>
        </w:r>
      </w:hyperlink>
    </w:p>
    <w:p>
      <w:pPr>
        <w:pStyle w:val="Normal"/>
        <w:ind w:left="0" w:firstLineChars="0" w:firstLine="0" w:leftChars="400"/>
      </w:pPr>
      <w:hyperlink w:anchor="try_except_finally__A_try_except">
        <w:r>
          <w:rPr>
            <w:color w:val="0000FF" w:themeColor="hyperlink"/>
            <w:u w:val="single"/>
          </w:rPr>
          <w:t>try/except/finally</w:t>
        </w:r>
      </w:hyperlink>
    </w:p>
    <w:p>
      <w:pPr>
        <w:pStyle w:val="Normal"/>
        <w:ind w:left="0" w:firstLineChars="0" w:firstLine="0" w:leftChars="200"/>
      </w:pPr>
      <w:hyperlink w:anchor="The_raise_Statement__You_can_use">
        <w:r>
          <w:rPr>
            <w:color w:val="0000FF" w:themeColor="hyperlink"/>
            <w:u w:val="single"/>
          </w:rPr>
          <w:t>The raise Statement</w:t>
        </w:r>
      </w:hyperlink>
    </w:p>
    <w:p>
      <w:pPr>
        <w:pStyle w:val="Normal"/>
        <w:ind w:left="0" w:firstLineChars="0" w:firstLine="0" w:leftChars="200"/>
      </w:pPr>
      <w:hyperlink w:anchor="The_with_Statement_and_Context_M">
        <w:r>
          <w:rPr>
            <w:color w:val="0000FF" w:themeColor="hyperlink"/>
            <w:u w:val="single"/>
          </w:rPr>
          <w:t>The with Statement and Context Managers</w:t>
        </w:r>
      </w:hyperlink>
    </w:p>
    <w:p>
      <w:pPr>
        <w:pStyle w:val="Normal"/>
        <w:ind w:left="0" w:firstLineChars="0" w:firstLine="0" w:leftChars="200"/>
      </w:pPr>
      <w:hyperlink w:anchor="Generators_and_Exceptions__To_he">
        <w:r>
          <w:rPr>
            <w:color w:val="0000FF" w:themeColor="hyperlink"/>
            <w:u w:val="single"/>
          </w:rPr>
          <w:t>Generators and Exceptions</w:t>
        </w:r>
      </w:hyperlink>
    </w:p>
    <w:p>
      <w:pPr>
        <w:pStyle w:val="Normal"/>
        <w:ind w:left="0" w:firstLineChars="0" w:firstLine="0" w:leftChars="200"/>
      </w:pPr>
      <w:hyperlink w:anchor="Exception_Propagation__When_an_e">
        <w:r>
          <w:rPr>
            <w:color w:val="0000FF" w:themeColor="hyperlink"/>
            <w:u w:val="single"/>
          </w:rPr>
          <w:t>Exception Propagation</w:t>
        </w:r>
      </w:hyperlink>
    </w:p>
    <w:p>
      <w:pPr>
        <w:pStyle w:val="Normal"/>
        <w:ind w:left="0" w:firstLineChars="0" w:firstLine="0" w:leftChars="200"/>
      </w:pPr>
      <w:hyperlink w:anchor="Exception_Objects__Exceptions_ar">
        <w:r>
          <w:rPr>
            <w:color w:val="0000FF" w:themeColor="hyperlink"/>
            <w:u w:val="single"/>
          </w:rPr>
          <w:t>Exception Objects</w:t>
        </w:r>
      </w:hyperlink>
    </w:p>
    <w:p>
      <w:pPr>
        <w:pStyle w:val="Normal"/>
        <w:ind w:left="0" w:firstLineChars="0" w:firstLine="0" w:leftChars="400"/>
      </w:pPr>
      <w:hyperlink w:anchor="The_Hierarchy_of_Standard_Except">
        <w:r>
          <w:rPr>
            <w:color w:val="0000FF" w:themeColor="hyperlink"/>
            <w:u w:val="single"/>
          </w:rPr>
          <w:t>The Hierarchy of Standard Exceptions</w:t>
        </w:r>
      </w:hyperlink>
    </w:p>
    <w:p>
      <w:pPr>
        <w:pStyle w:val="Normal"/>
        <w:ind w:left="0" w:firstLineChars="0" w:firstLine="0" w:leftChars="400"/>
      </w:pPr>
      <w:hyperlink w:anchor="Standard_Exception_Classes__Tabl">
        <w:r>
          <w:rPr>
            <w:color w:val="0000FF" w:themeColor="hyperlink"/>
            <w:u w:val="single"/>
          </w:rPr>
          <w:t>Standard Exception Classes</w:t>
        </w:r>
      </w:hyperlink>
    </w:p>
    <w:p>
      <w:pPr>
        <w:pStyle w:val="Normal"/>
        <w:ind w:left="0" w:firstLineChars="0" w:firstLine="0" w:leftChars="200"/>
      </w:pPr>
      <w:hyperlink w:anchor="Custom_Exception_Classes__You_ca">
        <w:r>
          <w:rPr>
            <w:color w:val="0000FF" w:themeColor="hyperlink"/>
            <w:u w:val="single"/>
          </w:rPr>
          <w:t>Custom Exception Classes</w:t>
        </w:r>
      </w:hyperlink>
    </w:p>
    <w:p>
      <w:pPr>
        <w:pStyle w:val="Normal"/>
        <w:ind w:left="0" w:firstLineChars="0" w:firstLine="0" w:leftChars="400"/>
      </w:pPr>
      <w:hyperlink w:anchor="Custom_Exceptions_and_Multiple_I">
        <w:r>
          <w:rPr>
            <w:color w:val="0000FF" w:themeColor="hyperlink"/>
            <w:u w:val="single"/>
          </w:rPr>
          <w:t>Custom Exceptions and Multiple Inheritance</w:t>
        </w:r>
      </w:hyperlink>
    </w:p>
    <w:p>
      <w:pPr>
        <w:pStyle w:val="Normal"/>
        <w:ind w:left="0" w:firstLineChars="0" w:firstLine="0" w:leftChars="400"/>
      </w:pPr>
      <w:hyperlink w:anchor="Other_Exceptions_Used_in_the_Sta">
        <w:r>
          <w:rPr>
            <w:color w:val="0000FF" w:themeColor="hyperlink"/>
            <w:u w:val="single"/>
          </w:rPr>
          <w:t>Other Exceptions Used in the Standard Library</w:t>
        </w:r>
      </w:hyperlink>
    </w:p>
    <w:p>
      <w:pPr>
        <w:pStyle w:val="Normal"/>
        <w:ind w:left="0" w:firstLineChars="0" w:firstLine="0" w:leftChars="200"/>
      </w:pPr>
      <w:hyperlink w:anchor="ExceptionGroup_and_except___3_11">
        <w:r>
          <w:rPr>
            <w:color w:val="0000FF" w:themeColor="hyperlink"/>
            <w:u w:val="single"/>
          </w:rPr>
          <w:t>ExceptionGroup and except*</w:t>
        </w:r>
      </w:hyperlink>
    </w:p>
    <w:p>
      <w:pPr>
        <w:pStyle w:val="Normal"/>
        <w:ind w:left="0" w:firstLineChars="0" w:firstLine="0" w:leftChars="200"/>
      </w:pPr>
      <w:hyperlink w:anchor="Error_Checking_Strategies__Most">
        <w:r>
          <w:rPr>
            <w:color w:val="0000FF" w:themeColor="hyperlink"/>
            <w:u w:val="single"/>
          </w:rPr>
          <w:t>Error-Checking Strategies</w:t>
        </w:r>
      </w:hyperlink>
    </w:p>
    <w:p>
      <w:pPr>
        <w:pStyle w:val="Normal"/>
        <w:ind w:left="0" w:firstLineChars="0" w:firstLine="0" w:leftChars="400"/>
      </w:pPr>
      <w:hyperlink w:anchor="LBYL_Versus_EAFP__A_common_idiom">
        <w:r>
          <w:rPr>
            <w:color w:val="0000FF" w:themeColor="hyperlink"/>
            <w:u w:val="single"/>
          </w:rPr>
          <w:t>LBYL Versus EAFP</w:t>
        </w:r>
      </w:hyperlink>
    </w:p>
    <w:p>
      <w:pPr>
        <w:pStyle w:val="Normal"/>
        <w:ind w:left="0" w:firstLineChars="0" w:firstLine="0" w:leftChars="400"/>
      </w:pPr>
      <w:hyperlink w:anchor="Handling_Errors_in_Large_Program">
        <w:r>
          <w:rPr>
            <w:color w:val="0000FF" w:themeColor="hyperlink"/>
            <w:u w:val="single"/>
          </w:rPr>
          <w:t>Handling Errors in Large Programs</w:t>
        </w:r>
      </w:hyperlink>
    </w:p>
    <w:p>
      <w:pPr>
        <w:pStyle w:val="Normal"/>
        <w:ind w:left="0" w:firstLineChars="0" w:firstLine="0" w:leftChars="400"/>
      </w:pPr>
      <w:hyperlink w:anchor="Logging_Errors__When_Python_prop">
        <w:r>
          <w:rPr>
            <w:color w:val="0000FF" w:themeColor="hyperlink"/>
            <w:u w:val="single"/>
          </w:rPr>
          <w:t>Logging Errors</w:t>
        </w:r>
      </w:hyperlink>
    </w:p>
    <w:p>
      <w:pPr>
        <w:pStyle w:val="Normal"/>
        <w:ind w:left="0" w:firstLineChars="0" w:firstLine="0" w:leftChars="200"/>
      </w:pPr>
      <w:hyperlink w:anchor="The_assert_Statement__The_assert">
        <w:r>
          <w:rPr>
            <w:color w:val="0000FF" w:themeColor="hyperlink"/>
            <w:u w:val="single"/>
          </w:rPr>
          <w:t>The assert Statement</w:t>
        </w:r>
      </w:hyperlink>
    </w:p>
    <w:p>
      <w:pPr>
        <w:pStyle w:val="Normal"/>
        <w:ind w:left="0" w:firstLineChars="0" w:firstLine="0" w:leftChars="0"/>
      </w:pPr>
      <w:hyperlink w:anchor="Chapter_7__Modules_and_Packages_2">
        <w:r>
          <w:rPr>
            <w:color w:val="0000FF" w:themeColor="hyperlink"/>
            <w:u w:val="single"/>
          </w:rPr>
          <w:t>7. Modules and Packages</w:t>
        </w:r>
      </w:hyperlink>
    </w:p>
    <w:p>
      <w:pPr>
        <w:pStyle w:val="Normal"/>
        <w:ind w:left="0" w:firstLineChars="0" w:firstLine="0" w:leftChars="200"/>
      </w:pPr>
      <w:hyperlink w:anchor="Module_Objects__In_Python__a_mod">
        <w:r>
          <w:rPr>
            <w:color w:val="0000FF" w:themeColor="hyperlink"/>
            <w:u w:val="single"/>
          </w:rPr>
          <w:t>Module Objects</w:t>
        </w:r>
      </w:hyperlink>
    </w:p>
    <w:p>
      <w:pPr>
        <w:pStyle w:val="Normal"/>
        <w:ind w:left="0" w:firstLineChars="0" w:firstLine="0" w:leftChars="400"/>
      </w:pPr>
      <w:hyperlink w:anchor="The_import_Statement__The_Python">
        <w:r>
          <w:rPr>
            <w:color w:val="0000FF" w:themeColor="hyperlink"/>
            <w:u w:val="single"/>
          </w:rPr>
          <w:t>The import Statement</w:t>
        </w:r>
      </w:hyperlink>
    </w:p>
    <w:p>
      <w:pPr>
        <w:pStyle w:val="Normal"/>
        <w:ind w:left="0" w:firstLineChars="0" w:firstLine="0" w:leftChars="400"/>
      </w:pPr>
      <w:hyperlink w:anchor="The_from_Statement__Python_s_fro">
        <w:r>
          <w:rPr>
            <w:color w:val="0000FF" w:themeColor="hyperlink"/>
            <w:u w:val="single"/>
          </w:rPr>
          <w:t>The from Statement</w:t>
        </w:r>
      </w:hyperlink>
    </w:p>
    <w:p>
      <w:pPr>
        <w:pStyle w:val="Normal"/>
        <w:ind w:left="0" w:firstLineChars="0" w:firstLine="0" w:leftChars="200"/>
      </w:pPr>
      <w:hyperlink w:anchor="Module_Loading__Module_loading_o">
        <w:r>
          <w:rPr>
            <w:color w:val="0000FF" w:themeColor="hyperlink"/>
            <w:u w:val="single"/>
          </w:rPr>
          <w:t>Module Loading</w:t>
        </w:r>
      </w:hyperlink>
    </w:p>
    <w:p>
      <w:pPr>
        <w:pStyle w:val="Normal"/>
        <w:ind w:left="0" w:firstLineChars="0" w:firstLine="0" w:leftChars="400"/>
      </w:pPr>
      <w:hyperlink w:anchor="Built_in_Modules__When_a_module">
        <w:r>
          <w:rPr>
            <w:color w:val="0000FF" w:themeColor="hyperlink"/>
            <w:u w:val="single"/>
          </w:rPr>
          <w:t>Built-in Modules</w:t>
        </w:r>
      </w:hyperlink>
    </w:p>
    <w:p>
      <w:pPr>
        <w:pStyle w:val="Normal"/>
        <w:ind w:left="0" w:firstLineChars="0" w:firstLine="0" w:leftChars="400"/>
      </w:pPr>
      <w:hyperlink w:anchor="Searching_the_Filesystem_for_a_M">
        <w:r>
          <w:rPr>
            <w:color w:val="0000FF" w:themeColor="hyperlink"/>
            <w:u w:val="single"/>
          </w:rPr>
          <w:t>Searching the Filesystem for a Module</w:t>
        </w:r>
      </w:hyperlink>
    </w:p>
    <w:p>
      <w:pPr>
        <w:pStyle w:val="Normal"/>
        <w:ind w:left="0" w:firstLineChars="0" w:firstLine="0" w:leftChars="400"/>
      </w:pPr>
      <w:hyperlink w:anchor="The_Main_Program__Execution_of_a">
        <w:r>
          <w:rPr>
            <w:color w:val="0000FF" w:themeColor="hyperlink"/>
            <w:u w:val="single"/>
          </w:rPr>
          <w:t>The Main Program</w:t>
        </w:r>
      </w:hyperlink>
    </w:p>
    <w:p>
      <w:pPr>
        <w:pStyle w:val="Normal"/>
        <w:ind w:left="0" w:firstLineChars="0" w:firstLine="0" w:leftChars="400"/>
      </w:pPr>
      <w:hyperlink w:anchor="Reloading_Modules__Python_loads">
        <w:r>
          <w:rPr>
            <w:color w:val="0000FF" w:themeColor="hyperlink"/>
            <w:u w:val="single"/>
          </w:rPr>
          <w:t>Reloading Modules</w:t>
        </w:r>
      </w:hyperlink>
    </w:p>
    <w:p>
      <w:pPr>
        <w:pStyle w:val="Normal"/>
        <w:ind w:left="0" w:firstLineChars="0" w:firstLine="0" w:leftChars="400"/>
      </w:pPr>
      <w:hyperlink w:anchor="Circular_Imports__Python_lets_yo">
        <w:r>
          <w:rPr>
            <w:color w:val="0000FF" w:themeColor="hyperlink"/>
            <w:u w:val="single"/>
          </w:rPr>
          <w:t>Circular Imports</w:t>
        </w:r>
      </w:hyperlink>
    </w:p>
    <w:p>
      <w:pPr>
        <w:pStyle w:val="Normal"/>
        <w:ind w:left="0" w:firstLineChars="0" w:firstLine="0" w:leftChars="400"/>
      </w:pPr>
      <w:hyperlink w:anchor="Custom_Importers__Another_advanc">
        <w:r>
          <w:rPr>
            <w:color w:val="0000FF" w:themeColor="hyperlink"/>
            <w:u w:val="single"/>
          </w:rPr>
          <w:t>Custom Importers</w:t>
        </w:r>
      </w:hyperlink>
    </w:p>
    <w:p>
      <w:pPr>
        <w:pStyle w:val="Normal"/>
        <w:ind w:left="0" w:firstLineChars="0" w:firstLine="0" w:leftChars="200"/>
      </w:pPr>
      <w:hyperlink w:anchor="Packages__As_mentioned_at_the_be">
        <w:r>
          <w:rPr>
            <w:color w:val="0000FF" w:themeColor="hyperlink"/>
            <w:u w:val="single"/>
          </w:rPr>
          <w:t>Packages</w:t>
        </w:r>
      </w:hyperlink>
    </w:p>
    <w:p>
      <w:pPr>
        <w:pStyle w:val="Normal"/>
        <w:ind w:left="0" w:firstLineChars="0" w:firstLine="0" w:leftChars="400"/>
      </w:pPr>
      <w:hyperlink w:anchor="Special_Attributes_of_Package_Ob">
        <w:r>
          <w:rPr>
            <w:color w:val="0000FF" w:themeColor="hyperlink"/>
            <w:u w:val="single"/>
          </w:rPr>
          <w:t>Special Attributes of Package Objects</w:t>
        </w:r>
      </w:hyperlink>
    </w:p>
    <w:p>
      <w:pPr>
        <w:pStyle w:val="Normal"/>
        <w:ind w:left="0" w:firstLineChars="0" w:firstLine="0" w:leftChars="400"/>
      </w:pPr>
      <w:hyperlink w:anchor="Absolute_Versus_Relative_Imports">
        <w:r>
          <w:rPr>
            <w:color w:val="0000FF" w:themeColor="hyperlink"/>
            <w:u w:val="single"/>
          </w:rPr>
          <w:t>Absolute Versus Relative Imports</w:t>
        </w:r>
      </w:hyperlink>
    </w:p>
    <w:p>
      <w:pPr>
        <w:pStyle w:val="Normal"/>
        <w:ind w:left="0" w:firstLineChars="0" w:firstLine="0" w:leftChars="200"/>
      </w:pPr>
      <w:hyperlink w:anchor="Distribution_Utilities__distutil">
        <w:r>
          <w:rPr>
            <w:color w:val="0000FF" w:themeColor="hyperlink"/>
            <w:u w:val="single"/>
          </w:rPr>
          <w:t>Distribution Utilities (distutils) and setuptools</w:t>
        </w:r>
      </w:hyperlink>
    </w:p>
    <w:p>
      <w:pPr>
        <w:pStyle w:val="Normal"/>
        <w:ind w:left="0" w:firstLineChars="0" w:firstLine="0" w:leftChars="200"/>
      </w:pPr>
      <w:hyperlink w:anchor="Python_Environments__A_typical_P">
        <w:r>
          <w:rPr>
            <w:color w:val="0000FF" w:themeColor="hyperlink"/>
            <w:u w:val="single"/>
          </w:rPr>
          <w:t>Python Environments</w:t>
        </w:r>
      </w:hyperlink>
    </w:p>
    <w:p>
      <w:pPr>
        <w:pStyle w:val="Normal"/>
        <w:ind w:left="0" w:firstLineChars="0" w:firstLine="0" w:leftChars="400"/>
      </w:pPr>
      <w:hyperlink w:anchor="Enter_the_Virtual_Environment__T">
        <w:r>
          <w:rPr>
            <w:color w:val="0000FF" w:themeColor="hyperlink"/>
            <w:u w:val="single"/>
          </w:rPr>
          <w:t>Enter the Virtual Environment</w:t>
        </w:r>
      </w:hyperlink>
    </w:p>
    <w:p>
      <w:pPr>
        <w:pStyle w:val="Normal"/>
        <w:ind w:left="0" w:firstLineChars="0" w:firstLine="0" w:leftChars="400"/>
      </w:pPr>
      <w:hyperlink w:anchor="What_Is_a_Virtual_Environment">
        <w:r>
          <w:rPr>
            <w:color w:val="0000FF" w:themeColor="hyperlink"/>
            <w:u w:val="single"/>
          </w:rPr>
          <w:t>What Is a Virtual Environment?</w:t>
        </w:r>
      </w:hyperlink>
    </w:p>
    <w:p>
      <w:pPr>
        <w:pStyle w:val="Normal"/>
        <w:ind w:left="0" w:firstLineChars="0" w:firstLine="0" w:leftChars="400"/>
      </w:pPr>
      <w:hyperlink w:anchor="Creating_and_Deleting_Virtual_En">
        <w:r>
          <w:rPr>
            <w:color w:val="0000FF" w:themeColor="hyperlink"/>
            <w:u w:val="single"/>
          </w:rPr>
          <w:t>Creating and Deleting Virtual Environments</w:t>
        </w:r>
      </w:hyperlink>
    </w:p>
    <w:p>
      <w:pPr>
        <w:pStyle w:val="Normal"/>
        <w:ind w:left="0" w:firstLineChars="0" w:firstLine="0" w:leftChars="400"/>
      </w:pPr>
      <w:hyperlink w:anchor="Working_with_Virtual_Environment">
        <w:r>
          <w:rPr>
            <w:color w:val="0000FF" w:themeColor="hyperlink"/>
            <w:u w:val="single"/>
          </w:rPr>
          <w:t>Working with Virtual Environments</w:t>
        </w:r>
      </w:hyperlink>
    </w:p>
    <w:p>
      <w:pPr>
        <w:pStyle w:val="Normal"/>
        <w:ind w:left="0" w:firstLineChars="0" w:firstLine="0" w:leftChars="400"/>
      </w:pPr>
      <w:hyperlink w:anchor="Managing_Dependency_Requirements">
        <w:r>
          <w:rPr>
            <w:color w:val="0000FF" w:themeColor="hyperlink"/>
            <w:u w:val="single"/>
          </w:rPr>
          <w:t>Managing Dependency Requirements</w:t>
        </w:r>
      </w:hyperlink>
    </w:p>
    <w:p>
      <w:pPr>
        <w:pStyle w:val="Normal"/>
        <w:ind w:left="0" w:firstLineChars="0" w:firstLine="0" w:leftChars="400"/>
      </w:pPr>
      <w:hyperlink w:anchor="Other_Environment_Management_Sol">
        <w:r>
          <w:rPr>
            <w:color w:val="0000FF" w:themeColor="hyperlink"/>
            <w:u w:val="single"/>
          </w:rPr>
          <w:t>Other Environment Management Solutions</w:t>
        </w:r>
      </w:hyperlink>
    </w:p>
    <w:p>
      <w:pPr>
        <w:pStyle w:val="Normal"/>
        <w:ind w:left="0" w:firstLineChars="0" w:firstLine="0" w:leftChars="400"/>
      </w:pPr>
      <w:hyperlink w:anchor="Best_Practices_with_Virtualenvs">
        <w:r>
          <w:rPr>
            <w:color w:val="0000FF" w:themeColor="hyperlink"/>
            <w:u w:val="single"/>
          </w:rPr>
          <w:t>Best Practices with Virtualenvs</w:t>
        </w:r>
      </w:hyperlink>
    </w:p>
    <w:p>
      <w:pPr>
        <w:pStyle w:val="Normal"/>
        <w:ind w:left="0" w:firstLineChars="0" w:firstLine="0" w:leftChars="0"/>
      </w:pPr>
      <w:hyperlink w:anchor="Chapter_8__Core_Built_ins_and_St_2">
        <w:r>
          <w:rPr>
            <w:color w:val="0000FF" w:themeColor="hyperlink"/>
            <w:u w:val="single"/>
          </w:rPr>
          <w:t>8. Core Built-ins and Standard Library Modules</w:t>
        </w:r>
      </w:hyperlink>
    </w:p>
    <w:p>
      <w:pPr>
        <w:pStyle w:val="Normal"/>
        <w:ind w:left="0" w:firstLineChars="0" w:firstLine="0" w:leftChars="200"/>
      </w:pPr>
      <w:hyperlink w:anchor="Built_in_Types__Table_8_1_provid">
        <w:r>
          <w:rPr>
            <w:color w:val="0000FF" w:themeColor="hyperlink"/>
            <w:u w:val="single"/>
          </w:rPr>
          <w:t>Built-in Types</w:t>
        </w:r>
      </w:hyperlink>
    </w:p>
    <w:p>
      <w:pPr>
        <w:pStyle w:val="Normal"/>
        <w:ind w:left="0" w:firstLineChars="0" w:firstLine="0" w:leftChars="200"/>
      </w:pPr>
      <w:hyperlink w:anchor="Built_in_Functions__Table_8_2_co">
        <w:r>
          <w:rPr>
            <w:color w:val="0000FF" w:themeColor="hyperlink"/>
            <w:u w:val="single"/>
          </w:rPr>
          <w:t>Built-in Functions</w:t>
        </w:r>
      </w:hyperlink>
    </w:p>
    <w:p>
      <w:pPr>
        <w:pStyle w:val="Normal"/>
        <w:ind w:left="0" w:firstLineChars="0" w:firstLine="0" w:leftChars="200"/>
      </w:pPr>
      <w:hyperlink w:anchor="The_sys_Module__The_attributes_o">
        <w:r>
          <w:rPr>
            <w:color w:val="0000FF" w:themeColor="hyperlink"/>
            <w:u w:val="single"/>
          </w:rPr>
          <w:t>The sys Module</w:t>
        </w:r>
      </w:hyperlink>
    </w:p>
    <w:p>
      <w:pPr>
        <w:pStyle w:val="Normal"/>
        <w:ind w:left="0" w:firstLineChars="0" w:firstLine="0" w:leftChars="200"/>
      </w:pPr>
      <w:hyperlink w:anchor="The_copy_Module__As_discussed_in">
        <w:r>
          <w:rPr>
            <w:color w:val="0000FF" w:themeColor="hyperlink"/>
            <w:u w:val="single"/>
          </w:rPr>
          <w:t>The copy Module</w:t>
        </w:r>
      </w:hyperlink>
    </w:p>
    <w:p>
      <w:pPr>
        <w:pStyle w:val="Normal"/>
        <w:ind w:left="0" w:firstLineChars="0" w:firstLine="0" w:leftChars="200"/>
      </w:pPr>
      <w:hyperlink w:anchor="The_collections_Module__The_coll">
        <w:r>
          <w:rPr>
            <w:color w:val="0000FF" w:themeColor="hyperlink"/>
            <w:u w:val="single"/>
          </w:rPr>
          <w:t>The collections Module</w:t>
        </w:r>
      </w:hyperlink>
    </w:p>
    <w:p>
      <w:pPr>
        <w:pStyle w:val="Normal"/>
        <w:ind w:left="0" w:firstLineChars="0" w:firstLine="0" w:leftChars="400"/>
      </w:pPr>
      <w:hyperlink w:anchor="ChainMap__ChainMap__chains__mult">
        <w:r>
          <w:rPr>
            <w:color w:val="0000FF" w:themeColor="hyperlink"/>
            <w:u w:val="single"/>
          </w:rPr>
          <w:t>ChainMap</w:t>
        </w:r>
      </w:hyperlink>
    </w:p>
    <w:p>
      <w:pPr>
        <w:pStyle w:val="Normal"/>
        <w:ind w:left="0" w:firstLineChars="0" w:firstLine="0" w:leftChars="400"/>
      </w:pPr>
      <w:hyperlink w:anchor="Counter__Counter_is_a_subclass_o">
        <w:r>
          <w:rPr>
            <w:color w:val="0000FF" w:themeColor="hyperlink"/>
            <w:u w:val="single"/>
          </w:rPr>
          <w:t>Counter</w:t>
        </w:r>
      </w:hyperlink>
    </w:p>
    <w:p>
      <w:pPr>
        <w:pStyle w:val="Normal"/>
        <w:ind w:left="0" w:firstLineChars="0" w:firstLine="0" w:leftChars="400"/>
      </w:pPr>
      <w:hyperlink w:anchor="OrderedDict__OrderedDict_is_a_su">
        <w:r>
          <w:rPr>
            <w:color w:val="0000FF" w:themeColor="hyperlink"/>
            <w:u w:val="single"/>
          </w:rPr>
          <w:t>OrderedDict</w:t>
        </w:r>
      </w:hyperlink>
    </w:p>
    <w:p>
      <w:pPr>
        <w:pStyle w:val="Normal"/>
        <w:ind w:left="0" w:firstLineChars="0" w:firstLine="0" w:leftChars="400"/>
      </w:pPr>
      <w:hyperlink w:anchor="defaultdict__defaultdict_extends">
        <w:r>
          <w:rPr>
            <w:color w:val="0000FF" w:themeColor="hyperlink"/>
            <w:u w:val="single"/>
          </w:rPr>
          <w:t>defaultdict</w:t>
        </w:r>
      </w:hyperlink>
    </w:p>
    <w:p>
      <w:pPr>
        <w:pStyle w:val="Normal"/>
        <w:ind w:left="0" w:firstLineChars="0" w:firstLine="0" w:leftChars="400"/>
      </w:pPr>
      <w:hyperlink w:anchor="deque__deque_is_a_sequence_type">
        <w:r>
          <w:rPr>
            <w:color w:val="0000FF" w:themeColor="hyperlink"/>
            <w:u w:val="single"/>
          </w:rPr>
          <w:t>deque</w:t>
        </w:r>
      </w:hyperlink>
    </w:p>
    <w:p>
      <w:pPr>
        <w:pStyle w:val="Normal"/>
        <w:ind w:left="0" w:firstLineChars="0" w:firstLine="0" w:leftChars="200"/>
      </w:pPr>
      <w:hyperlink w:anchor="The_functools_Module__The_functo">
        <w:r>
          <w:rPr>
            <w:color w:val="0000FF" w:themeColor="hyperlink"/>
            <w:u w:val="single"/>
          </w:rPr>
          <w:t>The functools Module</w:t>
        </w:r>
      </w:hyperlink>
    </w:p>
    <w:p>
      <w:pPr>
        <w:pStyle w:val="Normal"/>
        <w:ind w:left="0" w:firstLineChars="0" w:firstLine="0" w:leftChars="200"/>
      </w:pPr>
      <w:hyperlink w:anchor="The_heapq_Module__The_heapq_modu">
        <w:r>
          <w:rPr>
            <w:color w:val="0000FF" w:themeColor="hyperlink"/>
            <w:u w:val="single"/>
          </w:rPr>
          <w:t>The heapq Module</w:t>
        </w:r>
      </w:hyperlink>
    </w:p>
    <w:p>
      <w:pPr>
        <w:pStyle w:val="Normal"/>
        <w:ind w:left="0" w:firstLineChars="0" w:firstLine="0" w:leftChars="400"/>
      </w:pPr>
      <w:hyperlink w:anchor="The_Decorate_Sort_Undecorate_Idi">
        <w:r>
          <w:rPr>
            <w:color w:val="0000FF" w:themeColor="hyperlink"/>
            <w:u w:val="single"/>
          </w:rPr>
          <w:t>The Decorate–Sort–Undecorate Idiom</w:t>
        </w:r>
      </w:hyperlink>
    </w:p>
    <w:p>
      <w:pPr>
        <w:pStyle w:val="Normal"/>
        <w:ind w:left="0" w:firstLineChars="0" w:firstLine="0" w:leftChars="200"/>
      </w:pPr>
      <w:hyperlink w:anchor="The_argparse_Module__When_you_wr">
        <w:r>
          <w:rPr>
            <w:color w:val="0000FF" w:themeColor="hyperlink"/>
            <w:u w:val="single"/>
          </w:rPr>
          <w:t>The argparse Module</w:t>
        </w:r>
      </w:hyperlink>
    </w:p>
    <w:p>
      <w:pPr>
        <w:pStyle w:val="Normal"/>
        <w:ind w:left="0" w:firstLineChars="0" w:firstLine="0" w:leftChars="200"/>
      </w:pPr>
      <w:hyperlink w:anchor="The_itertools_Module__The_iterto">
        <w:r>
          <w:rPr>
            <w:color w:val="0000FF" w:themeColor="hyperlink"/>
            <w:u w:val="single"/>
          </w:rPr>
          <w:t>The itertools Module</w:t>
        </w:r>
      </w:hyperlink>
    </w:p>
    <w:p>
      <w:pPr>
        <w:pStyle w:val="Normal"/>
        <w:ind w:left="0" w:firstLineChars="0" w:firstLine="0" w:leftChars="0"/>
      </w:pPr>
      <w:hyperlink w:anchor="Chapter_9__Strings_and_Things__P_2">
        <w:r>
          <w:rPr>
            <w:color w:val="0000FF" w:themeColor="hyperlink"/>
            <w:u w:val="single"/>
          </w:rPr>
          <w:t>9. Strings and Things</w:t>
        </w:r>
      </w:hyperlink>
    </w:p>
    <w:p>
      <w:pPr>
        <w:pStyle w:val="Normal"/>
        <w:ind w:left="0" w:firstLineChars="0" w:firstLine="0" w:leftChars="200"/>
      </w:pPr>
      <w:hyperlink w:anchor="Methods_of_String_Objects__str">
        <w:r>
          <w:rPr>
            <w:color w:val="0000FF" w:themeColor="hyperlink"/>
            <w:u w:val="single"/>
          </w:rPr>
          <w:t>Methods of String Objects</w:t>
        </w:r>
      </w:hyperlink>
    </w:p>
    <w:p>
      <w:pPr>
        <w:pStyle w:val="Normal"/>
        <w:ind w:left="0" w:firstLineChars="0" w:firstLine="0" w:leftChars="200"/>
      </w:pPr>
      <w:hyperlink w:anchor="The_string_Module__The_string_mo">
        <w:r>
          <w:rPr>
            <w:color w:val="0000FF" w:themeColor="hyperlink"/>
            <w:u w:val="single"/>
          </w:rPr>
          <w:t>The string Module</w:t>
        </w:r>
      </w:hyperlink>
    </w:p>
    <w:p>
      <w:pPr>
        <w:pStyle w:val="Normal"/>
        <w:ind w:left="0" w:firstLineChars="0" w:firstLine="0" w:leftChars="200"/>
      </w:pPr>
      <w:hyperlink w:anchor="String_Formatting__Python_provid">
        <w:r>
          <w:rPr>
            <w:color w:val="0000FF" w:themeColor="hyperlink"/>
            <w:u w:val="single"/>
          </w:rPr>
          <w:t>String Formatting</w:t>
        </w:r>
      </w:hyperlink>
    </w:p>
    <w:p>
      <w:pPr>
        <w:pStyle w:val="Normal"/>
        <w:ind w:left="0" w:firstLineChars="0" w:firstLine="0" w:leftChars="400"/>
      </w:pPr>
      <w:hyperlink w:anchor="Formatted_String_Literals__F_Str">
        <w:r>
          <w:rPr>
            <w:color w:val="0000FF" w:themeColor="hyperlink"/>
            <w:u w:val="single"/>
          </w:rPr>
          <w:t>Formatted String Literals (F-Strings)</w:t>
        </w:r>
      </w:hyperlink>
    </w:p>
    <w:p>
      <w:pPr>
        <w:pStyle w:val="Normal"/>
        <w:ind w:left="0" w:firstLineChars="0" w:firstLine="0" w:leftChars="400"/>
      </w:pPr>
      <w:hyperlink w:anchor="Formatting_Using_format_Calls__T">
        <w:r>
          <w:rPr>
            <w:color w:val="0000FF" w:themeColor="hyperlink"/>
            <w:u w:val="single"/>
          </w:rPr>
          <w:t>Formatting Using format Calls</w:t>
        </w:r>
      </w:hyperlink>
    </w:p>
    <w:p>
      <w:pPr>
        <w:pStyle w:val="Normal"/>
        <w:ind w:left="0" w:firstLineChars="0" w:firstLine="0" w:leftChars="400"/>
      </w:pPr>
      <w:hyperlink w:anchor="Value_Conversion__You_may_apply">
        <w:r>
          <w:rPr>
            <w:color w:val="0000FF" w:themeColor="hyperlink"/>
            <w:u w:val="single"/>
          </w:rPr>
          <w:t>Value Conversion</w:t>
        </w:r>
      </w:hyperlink>
    </w:p>
    <w:p>
      <w:pPr>
        <w:pStyle w:val="Normal"/>
        <w:ind w:left="0" w:firstLineChars="0" w:firstLine="0" w:leftChars="400"/>
      </w:pPr>
      <w:hyperlink w:anchor="Value_Formatting__The_Format_Spe">
        <w:r>
          <w:rPr>
            <w:color w:val="0000FF" w:themeColor="hyperlink"/>
            <w:u w:val="single"/>
          </w:rPr>
          <w:t>Value Formatting: The Format Specifier</w:t>
        </w:r>
      </w:hyperlink>
    </w:p>
    <w:p>
      <w:pPr>
        <w:pStyle w:val="Normal"/>
        <w:ind w:left="0" w:firstLineChars="0" w:firstLine="0" w:leftChars="400"/>
      </w:pPr>
      <w:hyperlink w:anchor="Nested_Format_Specifications__In">
        <w:r>
          <w:rPr>
            <w:color w:val="0000FF" w:themeColor="hyperlink"/>
            <w:u w:val="single"/>
          </w:rPr>
          <w:t>Nested Format Specifications</w:t>
        </w:r>
      </w:hyperlink>
    </w:p>
    <w:p>
      <w:pPr>
        <w:pStyle w:val="Normal"/>
        <w:ind w:left="0" w:firstLineChars="0" w:firstLine="0" w:leftChars="400"/>
      </w:pPr>
      <w:hyperlink w:anchor="Formatting_of_User_Coded_Classes">
        <w:r>
          <w:rPr>
            <w:color w:val="0000FF" w:themeColor="hyperlink"/>
            <w:u w:val="single"/>
          </w:rPr>
          <w:t>Formatting of User-Coded Classes</w:t>
        </w:r>
      </w:hyperlink>
    </w:p>
    <w:p>
      <w:pPr>
        <w:pStyle w:val="Normal"/>
        <w:ind w:left="0" w:firstLineChars="0" w:firstLine="0" w:leftChars="400"/>
      </w:pPr>
      <w:hyperlink w:anchor="Legacy_String_Formatting_with">
        <w:r>
          <w:rPr>
            <w:color w:val="0000FF" w:themeColor="hyperlink"/>
            <w:u w:val="single"/>
          </w:rPr>
          <w:t>Legacy String Formatting with %</w:t>
        </w:r>
      </w:hyperlink>
    </w:p>
    <w:p>
      <w:pPr>
        <w:pStyle w:val="Normal"/>
        <w:ind w:left="0" w:firstLineChars="0" w:firstLine="0" w:leftChars="400"/>
      </w:pPr>
      <w:hyperlink w:anchor="Format_Specifier_Syntax__Each_fo">
        <w:r>
          <w:rPr>
            <w:color w:val="0000FF" w:themeColor="hyperlink"/>
            <w:u w:val="single"/>
          </w:rPr>
          <w:t>Format Specifier Syntax</w:t>
        </w:r>
      </w:hyperlink>
    </w:p>
    <w:p>
      <w:pPr>
        <w:pStyle w:val="Normal"/>
        <w:ind w:left="0" w:firstLineChars="0" w:firstLine="0" w:leftChars="200"/>
      </w:pPr>
      <w:hyperlink w:anchor="Text_Wrapping_and_Filling__The_t">
        <w:r>
          <w:rPr>
            <w:color w:val="0000FF" w:themeColor="hyperlink"/>
            <w:u w:val="single"/>
          </w:rPr>
          <w:t>Text Wrapping and Filling</w:t>
        </w:r>
      </w:hyperlink>
    </w:p>
    <w:p>
      <w:pPr>
        <w:pStyle w:val="Normal"/>
        <w:ind w:left="0" w:firstLineChars="0" w:firstLine="0" w:leftChars="200"/>
      </w:pPr>
      <w:hyperlink w:anchor="The_pprint_Module__The_pprint_mo">
        <w:r>
          <w:rPr>
            <w:color w:val="0000FF" w:themeColor="hyperlink"/>
            <w:u w:val="single"/>
          </w:rPr>
          <w:t>The pprint Module</w:t>
        </w:r>
      </w:hyperlink>
    </w:p>
    <w:p>
      <w:pPr>
        <w:pStyle w:val="Normal"/>
        <w:ind w:left="0" w:firstLineChars="0" w:firstLine="0" w:leftChars="200"/>
      </w:pPr>
      <w:hyperlink w:anchor="The_reprlib_Module__The_reprlib">
        <w:r>
          <w:rPr>
            <w:color w:val="0000FF" w:themeColor="hyperlink"/>
            <w:u w:val="single"/>
          </w:rPr>
          <w:t>The reprlib Module</w:t>
        </w:r>
      </w:hyperlink>
    </w:p>
    <w:p>
      <w:pPr>
        <w:pStyle w:val="Normal"/>
        <w:ind w:left="0" w:firstLineChars="0" w:firstLine="0" w:leftChars="200"/>
      </w:pPr>
      <w:hyperlink w:anchor="Unicode__To_convert_bytestrings">
        <w:r>
          <w:rPr>
            <w:color w:val="0000FF" w:themeColor="hyperlink"/>
            <w:u w:val="single"/>
          </w:rPr>
          <w:t>Unicode</w:t>
        </w:r>
      </w:hyperlink>
    </w:p>
    <w:p>
      <w:pPr>
        <w:pStyle w:val="Normal"/>
        <w:ind w:left="0" w:firstLineChars="0" w:firstLine="0" w:leftChars="400"/>
      </w:pPr>
      <w:hyperlink w:anchor="The_codecs_Module__The_mapping_o">
        <w:r>
          <w:rPr>
            <w:color w:val="0000FF" w:themeColor="hyperlink"/>
            <w:u w:val="single"/>
          </w:rPr>
          <w:t>The codecs Module</w:t>
        </w:r>
      </w:hyperlink>
    </w:p>
    <w:p>
      <w:pPr>
        <w:pStyle w:val="Normal"/>
        <w:ind w:left="0" w:firstLineChars="0" w:firstLine="0" w:leftChars="400"/>
      </w:pPr>
      <w:hyperlink w:anchor="The_unicodedata_Module__The_unic">
        <w:r>
          <w:rPr>
            <w:color w:val="0000FF" w:themeColor="hyperlink"/>
            <w:u w:val="single"/>
          </w:rPr>
          <w:t>The unicodedata Module</w:t>
        </w:r>
      </w:hyperlink>
    </w:p>
    <w:p>
      <w:pPr>
        <w:pStyle w:val="Normal"/>
        <w:ind w:left="0" w:firstLineChars="0" w:firstLine="0" w:leftChars="0"/>
      </w:pPr>
      <w:hyperlink w:anchor="Chapter_10__Regular_Expressions_2">
        <w:r>
          <w:rPr>
            <w:color w:val="0000FF" w:themeColor="hyperlink"/>
            <w:u w:val="single"/>
          </w:rPr>
          <w:t>10. Regular Expressions</w:t>
        </w:r>
      </w:hyperlink>
    </w:p>
    <w:p>
      <w:pPr>
        <w:pStyle w:val="Normal"/>
        <w:ind w:left="0" w:firstLineChars="0" w:firstLine="0" w:leftChars="200"/>
      </w:pPr>
      <w:hyperlink w:anchor="Regular_Expressions_and_the_re_M">
        <w:r>
          <w:rPr>
            <w:color w:val="0000FF" w:themeColor="hyperlink"/>
            <w:u w:val="single"/>
          </w:rPr>
          <w:t>Regular Expressions and the re Module</w:t>
        </w:r>
      </w:hyperlink>
    </w:p>
    <w:p>
      <w:pPr>
        <w:pStyle w:val="Normal"/>
        <w:ind w:left="0" w:firstLineChars="0" w:firstLine="0" w:leftChars="400"/>
      </w:pPr>
      <w:hyperlink w:anchor="REs_and_bytes_Versus_str__REs_in">
        <w:r>
          <w:rPr>
            <w:color w:val="0000FF" w:themeColor="hyperlink"/>
            <w:u w:val="single"/>
          </w:rPr>
          <w:t>REs and bytes Versus str</w:t>
        </w:r>
      </w:hyperlink>
    </w:p>
    <w:p>
      <w:pPr>
        <w:pStyle w:val="Normal"/>
        <w:ind w:left="0" w:firstLineChars="0" w:firstLine="0" w:leftChars="400"/>
      </w:pPr>
      <w:hyperlink w:anchor="Pattern_String_Syntax__The_patte">
        <w:r>
          <w:rPr>
            <w:color w:val="0000FF" w:themeColor="hyperlink"/>
            <w:u w:val="single"/>
          </w:rPr>
          <w:t>Pattern String Syntax</w:t>
        </w:r>
      </w:hyperlink>
    </w:p>
    <w:p>
      <w:pPr>
        <w:pStyle w:val="Normal"/>
        <w:ind w:left="0" w:firstLineChars="0" w:firstLine="0" w:leftChars="400"/>
      </w:pPr>
      <w:hyperlink w:anchor="Common_Regular_Expression_Idioms">
        <w:r>
          <w:rPr>
            <w:color w:val="0000FF" w:themeColor="hyperlink"/>
            <w:u w:val="single"/>
          </w:rPr>
          <w:t>Common Regular Expression Idioms</w:t>
        </w:r>
      </w:hyperlink>
    </w:p>
    <w:p>
      <w:pPr>
        <w:pStyle w:val="Normal"/>
        <w:ind w:left="0" w:firstLineChars="0" w:firstLine="0" w:leftChars="400"/>
      </w:pPr>
      <w:hyperlink w:anchor="Sets_of_Characters__You_denote_s">
        <w:r>
          <w:rPr>
            <w:color w:val="0000FF" w:themeColor="hyperlink"/>
            <w:u w:val="single"/>
          </w:rPr>
          <w:t>Sets of Characters</w:t>
        </w:r>
      </w:hyperlink>
    </w:p>
    <w:p>
      <w:pPr>
        <w:pStyle w:val="Normal"/>
        <w:ind w:left="0" w:firstLineChars="0" w:firstLine="0" w:leftChars="400"/>
      </w:pPr>
      <w:hyperlink w:anchor="Alternatives__A_vertical_bar">
        <w:r>
          <w:rPr>
            <w:color w:val="0000FF" w:themeColor="hyperlink"/>
            <w:u w:val="single"/>
          </w:rPr>
          <w:t>Alternatives</w:t>
        </w:r>
      </w:hyperlink>
    </w:p>
    <w:p>
      <w:pPr>
        <w:pStyle w:val="Normal"/>
        <w:ind w:left="0" w:firstLineChars="0" w:firstLine="0" w:leftChars="400"/>
      </w:pPr>
      <w:hyperlink w:anchor="Groups__A_regular_expression_can">
        <w:r>
          <w:rPr>
            <w:color w:val="0000FF" w:themeColor="hyperlink"/>
            <w:u w:val="single"/>
          </w:rPr>
          <w:t>Groups</w:t>
        </w:r>
      </w:hyperlink>
    </w:p>
    <w:p>
      <w:pPr>
        <w:pStyle w:val="Normal"/>
        <w:ind w:left="0" w:firstLineChars="0" w:firstLine="0" w:leftChars="200"/>
      </w:pPr>
      <w:hyperlink w:anchor="Optional_Flags__The_optional_fla">
        <w:r>
          <w:rPr>
            <w:color w:val="0000FF" w:themeColor="hyperlink"/>
            <w:u w:val="single"/>
          </w:rPr>
          <w:t>Optional Flags</w:t>
        </w:r>
      </w:hyperlink>
    </w:p>
    <w:p>
      <w:pPr>
        <w:pStyle w:val="Normal"/>
        <w:ind w:left="0" w:firstLineChars="0" w:firstLine="0" w:leftChars="200"/>
      </w:pPr>
      <w:hyperlink w:anchor="Match_Versus_Search__So_far__we">
        <w:r>
          <w:rPr>
            <w:color w:val="0000FF" w:themeColor="hyperlink"/>
            <w:u w:val="single"/>
          </w:rPr>
          <w:t>Match Versus Search</w:t>
        </w:r>
      </w:hyperlink>
    </w:p>
    <w:p>
      <w:pPr>
        <w:pStyle w:val="Normal"/>
        <w:ind w:left="0" w:firstLineChars="0" w:firstLine="0" w:leftChars="200"/>
      </w:pPr>
      <w:hyperlink w:anchor="Anchoring_at_String_Start_and_En">
        <w:r>
          <w:rPr>
            <w:color w:val="0000FF" w:themeColor="hyperlink"/>
            <w:u w:val="single"/>
          </w:rPr>
          <w:t>Anchoring at String Start and End</w:t>
        </w:r>
      </w:hyperlink>
    </w:p>
    <w:p>
      <w:pPr>
        <w:pStyle w:val="Normal"/>
        <w:ind w:left="0" w:firstLineChars="0" w:firstLine="0" w:leftChars="200"/>
      </w:pPr>
      <w:hyperlink w:anchor="Regular_Expression_Objects__Tabl">
        <w:r>
          <w:rPr>
            <w:color w:val="0000FF" w:themeColor="hyperlink"/>
            <w:u w:val="single"/>
          </w:rPr>
          <w:t>Regular Expression Objects</w:t>
        </w:r>
      </w:hyperlink>
    </w:p>
    <w:p>
      <w:pPr>
        <w:pStyle w:val="Normal"/>
        <w:ind w:left="0" w:firstLineChars="0" w:firstLine="0" w:leftChars="200"/>
      </w:pPr>
      <w:hyperlink w:anchor="Match_Objects__Match_objects_are">
        <w:r>
          <w:rPr>
            <w:color w:val="0000FF" w:themeColor="hyperlink"/>
            <w:u w:val="single"/>
          </w:rPr>
          <w:t>Match Objects</w:t>
        </w:r>
      </w:hyperlink>
    </w:p>
    <w:p>
      <w:pPr>
        <w:pStyle w:val="Normal"/>
        <w:ind w:left="0" w:firstLineChars="0" w:firstLine="0" w:leftChars="200"/>
      </w:pPr>
      <w:hyperlink w:anchor="Functions_of_the_re_Module__In_a">
        <w:r>
          <w:rPr>
            <w:color w:val="0000FF" w:themeColor="hyperlink"/>
            <w:u w:val="single"/>
          </w:rPr>
          <w:t>Functions of the re Module</w:t>
        </w:r>
      </w:hyperlink>
    </w:p>
    <w:p>
      <w:pPr>
        <w:pStyle w:val="Normal"/>
        <w:ind w:left="0" w:firstLineChars="0" w:firstLine="0" w:leftChars="200"/>
      </w:pPr>
      <w:hyperlink w:anchor="REs_and_the____Operator__The_int">
        <w:r>
          <w:rPr>
            <w:color w:val="0000FF" w:themeColor="hyperlink"/>
            <w:u w:val="single"/>
          </w:rPr>
          <w:t>REs and the := Operator</w:t>
        </w:r>
      </w:hyperlink>
    </w:p>
    <w:p>
      <w:pPr>
        <w:pStyle w:val="Normal"/>
        <w:ind w:left="0" w:firstLineChars="0" w:firstLine="0" w:leftChars="200"/>
      </w:pPr>
      <w:hyperlink w:anchor="The_Third_Party_regex_Module__As">
        <w:r>
          <w:rPr>
            <w:color w:val="0000FF" w:themeColor="hyperlink"/>
            <w:u w:val="single"/>
          </w:rPr>
          <w:t>The Third-Party regex Module</w:t>
        </w:r>
      </w:hyperlink>
    </w:p>
    <w:p>
      <w:pPr>
        <w:pStyle w:val="Normal"/>
        <w:ind w:left="0" w:firstLineChars="0" w:firstLine="0" w:leftChars="0"/>
      </w:pPr>
      <w:hyperlink w:anchor="Chapter_11__File_and_Text_Operat_2">
        <w:r>
          <w:rPr>
            <w:color w:val="0000FF" w:themeColor="hyperlink"/>
            <w:u w:val="single"/>
          </w:rPr>
          <w:t>11. File and Text Operations</w:t>
        </w:r>
      </w:hyperlink>
    </w:p>
    <w:p>
      <w:pPr>
        <w:pStyle w:val="Normal"/>
        <w:ind w:left="0" w:firstLineChars="0" w:firstLine="0" w:leftChars="200"/>
      </w:pPr>
      <w:hyperlink w:anchor="The_io_Module__As_mentioned_in_t">
        <w:r>
          <w:rPr>
            <w:color w:val="0000FF" w:themeColor="hyperlink"/>
            <w:u w:val="single"/>
          </w:rPr>
          <w:t>The io Module</w:t>
        </w:r>
      </w:hyperlink>
    </w:p>
    <w:p>
      <w:pPr>
        <w:pStyle w:val="Normal"/>
        <w:ind w:left="0" w:firstLineChars="0" w:firstLine="0" w:leftChars="400"/>
      </w:pPr>
      <w:hyperlink w:anchor="Creating_a_File_Object_with_open">
        <w:r>
          <w:rPr>
            <w:color w:val="0000FF" w:themeColor="hyperlink"/>
            <w:u w:val="single"/>
          </w:rPr>
          <w:t>Creating a File Object with open</w:t>
        </w:r>
      </w:hyperlink>
    </w:p>
    <w:p>
      <w:pPr>
        <w:pStyle w:val="Normal"/>
        <w:ind w:left="0" w:firstLineChars="0" w:firstLine="0" w:leftChars="400"/>
      </w:pPr>
      <w:hyperlink w:anchor="Attributes_and_Methods_of_File_O">
        <w:r>
          <w:rPr>
            <w:color w:val="0000FF" w:themeColor="hyperlink"/>
            <w:u w:val="single"/>
          </w:rPr>
          <w:t>Attributes and Methods of File Objects</w:t>
        </w:r>
      </w:hyperlink>
    </w:p>
    <w:p>
      <w:pPr>
        <w:pStyle w:val="Normal"/>
        <w:ind w:left="0" w:firstLineChars="0" w:firstLine="0" w:leftChars="400"/>
      </w:pPr>
      <w:hyperlink w:anchor="Iteration_on_File_Objects__A_fil">
        <w:r>
          <w:rPr>
            <w:color w:val="0000FF" w:themeColor="hyperlink"/>
            <w:u w:val="single"/>
          </w:rPr>
          <w:t>Iteration on File Objects</w:t>
        </w:r>
      </w:hyperlink>
    </w:p>
    <w:p>
      <w:pPr>
        <w:pStyle w:val="Normal"/>
        <w:ind w:left="0" w:firstLineChars="0" w:firstLine="0" w:leftChars="400"/>
      </w:pPr>
      <w:hyperlink w:anchor="File_Like_Objects_and_Polymorphi">
        <w:r>
          <w:rPr>
            <w:color w:val="0000FF" w:themeColor="hyperlink"/>
            <w:u w:val="single"/>
          </w:rPr>
          <w:t>File-Like Objects and Polymorphism</w:t>
        </w:r>
      </w:hyperlink>
    </w:p>
    <w:p>
      <w:pPr>
        <w:pStyle w:val="Normal"/>
        <w:ind w:left="0" w:firstLineChars="0" w:firstLine="0" w:leftChars="200"/>
      </w:pPr>
      <w:hyperlink w:anchor="The_tempfile_Module__The_tempfil">
        <w:r>
          <w:rPr>
            <w:color w:val="0000FF" w:themeColor="hyperlink"/>
            <w:u w:val="single"/>
          </w:rPr>
          <w:t>The tempfile Module</w:t>
        </w:r>
      </w:hyperlink>
    </w:p>
    <w:p>
      <w:pPr>
        <w:pStyle w:val="Normal"/>
        <w:ind w:left="0" w:firstLineChars="0" w:firstLine="0" w:leftChars="200"/>
      </w:pPr>
      <w:hyperlink w:anchor="Auxiliary_Modules_for_File_I_O">
        <w:r>
          <w:rPr>
            <w:color w:val="0000FF" w:themeColor="hyperlink"/>
            <w:u w:val="single"/>
          </w:rPr>
          <w:t>Auxiliary Modules for File I/O</w:t>
        </w:r>
      </w:hyperlink>
    </w:p>
    <w:p>
      <w:pPr>
        <w:pStyle w:val="Normal"/>
        <w:ind w:left="0" w:firstLineChars="0" w:firstLine="0" w:leftChars="400"/>
      </w:pPr>
      <w:hyperlink w:anchor="The_fileinput_Module__The_filein">
        <w:r>
          <w:rPr>
            <w:color w:val="0000FF" w:themeColor="hyperlink"/>
            <w:u w:val="single"/>
          </w:rPr>
          <w:t>The fileinput Module</w:t>
        </w:r>
      </w:hyperlink>
    </w:p>
    <w:p>
      <w:pPr>
        <w:pStyle w:val="Normal"/>
        <w:ind w:left="0" w:firstLineChars="0" w:firstLine="0" w:leftChars="400"/>
      </w:pPr>
      <w:hyperlink w:anchor="The_struct_Module__The_struct_mo">
        <w:r>
          <w:rPr>
            <w:color w:val="0000FF" w:themeColor="hyperlink"/>
            <w:u w:val="single"/>
          </w:rPr>
          <w:t>The struct Module</w:t>
        </w:r>
      </w:hyperlink>
    </w:p>
    <w:p>
      <w:pPr>
        <w:pStyle w:val="Normal"/>
        <w:ind w:left="0" w:firstLineChars="0" w:firstLine="0" w:leftChars="200"/>
      </w:pPr>
      <w:hyperlink w:anchor="In_Memory_Files__io_StringIO_and">
        <w:r>
          <w:rPr>
            <w:color w:val="0000FF" w:themeColor="hyperlink"/>
            <w:u w:val="single"/>
          </w:rPr>
          <w:t>In-Memory Files: io.StringIO and io.BytesIO</w:t>
        </w:r>
      </w:hyperlink>
    </w:p>
    <w:p>
      <w:pPr>
        <w:pStyle w:val="Normal"/>
        <w:ind w:left="0" w:firstLineChars="0" w:firstLine="0" w:leftChars="200"/>
      </w:pPr>
      <w:hyperlink w:anchor="Archived_and_Compressed_Files__S">
        <w:r>
          <w:rPr>
            <w:color w:val="0000FF" w:themeColor="hyperlink"/>
            <w:u w:val="single"/>
          </w:rPr>
          <w:t>Archived and Compressed Files</w:t>
        </w:r>
      </w:hyperlink>
    </w:p>
    <w:p>
      <w:pPr>
        <w:pStyle w:val="Normal"/>
        <w:ind w:left="0" w:firstLineChars="0" w:firstLine="0" w:leftChars="400"/>
      </w:pPr>
      <w:hyperlink w:anchor="The_tarfile_Module__The_tarfile">
        <w:r>
          <w:rPr>
            <w:color w:val="0000FF" w:themeColor="hyperlink"/>
            <w:u w:val="single"/>
          </w:rPr>
          <w:t>The tarfile Module</w:t>
        </w:r>
      </w:hyperlink>
    </w:p>
    <w:p>
      <w:pPr>
        <w:pStyle w:val="Normal"/>
        <w:ind w:left="0" w:firstLineChars="0" w:firstLine="0" w:leftChars="400"/>
      </w:pPr>
      <w:hyperlink w:anchor="The_zipfile_Module__The_zipfile">
        <w:r>
          <w:rPr>
            <w:color w:val="0000FF" w:themeColor="hyperlink"/>
            <w:u w:val="single"/>
          </w:rPr>
          <w:t>The zipfile Module</w:t>
        </w:r>
      </w:hyperlink>
    </w:p>
    <w:p>
      <w:pPr>
        <w:pStyle w:val="Normal"/>
        <w:ind w:left="0" w:firstLineChars="0" w:firstLine="0" w:leftChars="200"/>
      </w:pPr>
      <w:hyperlink w:anchor="The_os_Module__os_is_an_umbrella">
        <w:r>
          <w:rPr>
            <w:color w:val="0000FF" w:themeColor="hyperlink"/>
            <w:u w:val="single"/>
          </w:rPr>
          <w:t>The os Module</w:t>
        </w:r>
      </w:hyperlink>
    </w:p>
    <w:p>
      <w:pPr>
        <w:pStyle w:val="Normal"/>
        <w:ind w:left="0" w:firstLineChars="0" w:firstLine="0" w:leftChars="400"/>
      </w:pPr>
      <w:hyperlink w:anchor="Filesystem_Operations__Using_the">
        <w:r>
          <w:rPr>
            <w:color w:val="0000FF" w:themeColor="hyperlink"/>
            <w:u w:val="single"/>
          </w:rPr>
          <w:t>Filesystem Operations</w:t>
        </w:r>
      </w:hyperlink>
    </w:p>
    <w:p>
      <w:pPr>
        <w:pStyle w:val="Normal"/>
        <w:ind w:left="0" w:firstLineChars="0" w:firstLine="0" w:leftChars="400"/>
      </w:pPr>
      <w:hyperlink w:anchor="The_os_path_Module__The_os_path">
        <w:r>
          <w:rPr>
            <w:color w:val="0000FF" w:themeColor="hyperlink"/>
            <w:u w:val="single"/>
          </w:rPr>
          <w:t>The os.path Module</w:t>
        </w:r>
      </w:hyperlink>
    </w:p>
    <w:p>
      <w:pPr>
        <w:pStyle w:val="Normal"/>
        <w:ind w:left="0" w:firstLineChars="0" w:firstLine="0" w:leftChars="400"/>
      </w:pPr>
      <w:hyperlink w:anchor="OSError_Exceptions__When_a_reque">
        <w:r>
          <w:rPr>
            <w:color w:val="0000FF" w:themeColor="hyperlink"/>
            <w:u w:val="single"/>
          </w:rPr>
          <w:t>OSError Exceptions</w:t>
        </w:r>
      </w:hyperlink>
    </w:p>
    <w:p>
      <w:pPr>
        <w:pStyle w:val="Normal"/>
        <w:ind w:left="0" w:firstLineChars="0" w:firstLine="0" w:leftChars="200"/>
      </w:pPr>
      <w:hyperlink w:anchor="The_errno_Module__The_errno_modu">
        <w:r>
          <w:rPr>
            <w:color w:val="0000FF" w:themeColor="hyperlink"/>
            <w:u w:val="single"/>
          </w:rPr>
          <w:t>The errno Module</w:t>
        </w:r>
      </w:hyperlink>
    </w:p>
    <w:p>
      <w:pPr>
        <w:pStyle w:val="Normal"/>
        <w:ind w:left="0" w:firstLineChars="0" w:firstLine="0" w:leftChars="200"/>
      </w:pPr>
      <w:hyperlink w:anchor="The_pathlib_Module__The_pathlib">
        <w:r>
          <w:rPr>
            <w:color w:val="0000FF" w:themeColor="hyperlink"/>
            <w:u w:val="single"/>
          </w:rPr>
          <w:t>The pathlib Module</w:t>
        </w:r>
      </w:hyperlink>
    </w:p>
    <w:p>
      <w:pPr>
        <w:pStyle w:val="Normal"/>
        <w:ind w:left="0" w:firstLineChars="0" w:firstLine="0" w:leftChars="200"/>
      </w:pPr>
      <w:hyperlink w:anchor="The_stat_Module__The_function_os">
        <w:r>
          <w:rPr>
            <w:color w:val="0000FF" w:themeColor="hyperlink"/>
            <w:u w:val="single"/>
          </w:rPr>
          <w:t>The stat Module</w:t>
        </w:r>
      </w:hyperlink>
    </w:p>
    <w:p>
      <w:pPr>
        <w:pStyle w:val="Normal"/>
        <w:ind w:left="0" w:firstLineChars="0" w:firstLine="0" w:leftChars="200"/>
      </w:pPr>
      <w:hyperlink w:anchor="The_filecmp_Module__The_filecmp">
        <w:r>
          <w:rPr>
            <w:color w:val="0000FF" w:themeColor="hyperlink"/>
            <w:u w:val="single"/>
          </w:rPr>
          <w:t>The filecmp Module</w:t>
        </w:r>
      </w:hyperlink>
    </w:p>
    <w:p>
      <w:pPr>
        <w:pStyle w:val="Normal"/>
        <w:ind w:left="0" w:firstLineChars="0" w:firstLine="0" w:leftChars="200"/>
      </w:pPr>
      <w:hyperlink w:anchor="The_fnmatch_Module__The_fnmatch">
        <w:r>
          <w:rPr>
            <w:color w:val="0000FF" w:themeColor="hyperlink"/>
            <w:u w:val="single"/>
          </w:rPr>
          <w:t>The fnmatch Module</w:t>
        </w:r>
      </w:hyperlink>
    </w:p>
    <w:p>
      <w:pPr>
        <w:pStyle w:val="Normal"/>
        <w:ind w:left="0" w:firstLineChars="0" w:firstLine="0" w:leftChars="200"/>
      </w:pPr>
      <w:hyperlink w:anchor="The_glob_Module__The_glob_module">
        <w:r>
          <w:rPr>
            <w:color w:val="0000FF" w:themeColor="hyperlink"/>
            <w:u w:val="single"/>
          </w:rPr>
          <w:t>The glob Module</w:t>
        </w:r>
      </w:hyperlink>
    </w:p>
    <w:p>
      <w:pPr>
        <w:pStyle w:val="Normal"/>
        <w:ind w:left="0" w:firstLineChars="0" w:firstLine="0" w:leftChars="200"/>
      </w:pPr>
      <w:hyperlink w:anchor="The_shutil_Module__The_shutil_mo">
        <w:r>
          <w:rPr>
            <w:color w:val="0000FF" w:themeColor="hyperlink"/>
            <w:u w:val="single"/>
          </w:rPr>
          <w:t>The shutil Module</w:t>
        </w:r>
      </w:hyperlink>
    </w:p>
    <w:p>
      <w:pPr>
        <w:pStyle w:val="Normal"/>
        <w:ind w:left="0" w:firstLineChars="0" w:firstLine="0" w:leftChars="200"/>
      </w:pPr>
      <w:hyperlink w:anchor="Text_Input_and_Output__Python_pr">
        <w:r>
          <w:rPr>
            <w:color w:val="0000FF" w:themeColor="hyperlink"/>
            <w:u w:val="single"/>
          </w:rPr>
          <w:t>Text Input and Output</w:t>
        </w:r>
      </w:hyperlink>
    </w:p>
    <w:p>
      <w:pPr>
        <w:pStyle w:val="Normal"/>
        <w:ind w:left="0" w:firstLineChars="0" w:firstLine="0" w:leftChars="400"/>
      </w:pPr>
      <w:hyperlink w:anchor="Standard_Output_and_Standard_Err">
        <w:r>
          <w:rPr>
            <w:color w:val="0000FF" w:themeColor="hyperlink"/>
            <w:u w:val="single"/>
          </w:rPr>
          <w:t>Standard Output and Standard Error</w:t>
        </w:r>
      </w:hyperlink>
    </w:p>
    <w:p>
      <w:pPr>
        <w:pStyle w:val="Normal"/>
        <w:ind w:left="0" w:firstLineChars="0" w:firstLine="0" w:leftChars="400"/>
      </w:pPr>
      <w:hyperlink w:anchor="The_print_Function__Programs_tha">
        <w:r>
          <w:rPr>
            <w:color w:val="0000FF" w:themeColor="hyperlink"/>
            <w:u w:val="single"/>
          </w:rPr>
          <w:t>The print Function</w:t>
        </w:r>
      </w:hyperlink>
    </w:p>
    <w:p>
      <w:pPr>
        <w:pStyle w:val="Normal"/>
        <w:ind w:left="0" w:firstLineChars="0" w:firstLine="0" w:leftChars="400"/>
      </w:pPr>
      <w:hyperlink w:anchor="Standard_Input__In_addition_to_s">
        <w:r>
          <w:rPr>
            <w:color w:val="0000FF" w:themeColor="hyperlink"/>
            <w:u w:val="single"/>
          </w:rPr>
          <w:t>Standard Input</w:t>
        </w:r>
      </w:hyperlink>
    </w:p>
    <w:p>
      <w:pPr>
        <w:pStyle w:val="Normal"/>
        <w:ind w:left="0" w:firstLineChars="0" w:firstLine="0" w:leftChars="400"/>
      </w:pPr>
      <w:hyperlink w:anchor="The_getpass_Module__Very_occasio">
        <w:r>
          <w:rPr>
            <w:color w:val="0000FF" w:themeColor="hyperlink"/>
            <w:u w:val="single"/>
          </w:rPr>
          <w:t>The getpass Module</w:t>
        </w:r>
      </w:hyperlink>
    </w:p>
    <w:p>
      <w:pPr>
        <w:pStyle w:val="Normal"/>
        <w:ind w:left="0" w:firstLineChars="0" w:firstLine="0" w:leftChars="200"/>
      </w:pPr>
      <w:hyperlink w:anchor="Richer_Text_I_O__The_text_I_O_mo">
        <w:r>
          <w:rPr>
            <w:color w:val="0000FF" w:themeColor="hyperlink"/>
            <w:u w:val="single"/>
          </w:rPr>
          <w:t>Richer-Text I/O</w:t>
        </w:r>
      </w:hyperlink>
    </w:p>
    <w:p>
      <w:pPr>
        <w:pStyle w:val="Normal"/>
        <w:ind w:left="0" w:firstLineChars="0" w:firstLine="0" w:leftChars="400"/>
      </w:pPr>
      <w:hyperlink w:anchor="The_readline_Module__The_readlin">
        <w:r>
          <w:rPr>
            <w:color w:val="0000FF" w:themeColor="hyperlink"/>
            <w:u w:val="single"/>
          </w:rPr>
          <w:t>The readline Module</w:t>
        </w:r>
      </w:hyperlink>
    </w:p>
    <w:p>
      <w:pPr>
        <w:pStyle w:val="Normal"/>
        <w:ind w:left="0" w:firstLineChars="0" w:firstLine="0" w:leftChars="400"/>
      </w:pPr>
      <w:hyperlink w:anchor="Console_I_O__As_mentioned_previo">
        <w:r>
          <w:rPr>
            <w:color w:val="0000FF" w:themeColor="hyperlink"/>
            <w:u w:val="single"/>
          </w:rPr>
          <w:t>Console I/O</w:t>
        </w:r>
      </w:hyperlink>
    </w:p>
    <w:p>
      <w:pPr>
        <w:pStyle w:val="Normal"/>
        <w:ind w:left="0" w:firstLineChars="0" w:firstLine="0" w:leftChars="200"/>
      </w:pPr>
      <w:hyperlink w:anchor="Internationalization__Many_progr">
        <w:r>
          <w:rPr>
            <w:color w:val="0000FF" w:themeColor="hyperlink"/>
            <w:u w:val="single"/>
          </w:rPr>
          <w:t>Internationalization</w:t>
        </w:r>
      </w:hyperlink>
    </w:p>
    <w:p>
      <w:pPr>
        <w:pStyle w:val="Normal"/>
        <w:ind w:left="0" w:firstLineChars="0" w:firstLine="0" w:leftChars="400"/>
      </w:pPr>
      <w:hyperlink w:anchor="The_locale_Module__Python_s_supp">
        <w:r>
          <w:rPr>
            <w:color w:val="0000FF" w:themeColor="hyperlink"/>
            <w:u w:val="single"/>
          </w:rPr>
          <w:t>The locale Module</w:t>
        </w:r>
      </w:hyperlink>
    </w:p>
    <w:p>
      <w:pPr>
        <w:pStyle w:val="Normal"/>
        <w:ind w:left="0" w:firstLineChars="0" w:firstLine="0" w:leftChars="400"/>
      </w:pPr>
      <w:hyperlink w:anchor="The_gettext_Module__A_key_issue">
        <w:r>
          <w:rPr>
            <w:color w:val="0000FF" w:themeColor="hyperlink"/>
            <w:u w:val="single"/>
          </w:rPr>
          <w:t>The gettext Module</w:t>
        </w:r>
      </w:hyperlink>
    </w:p>
    <w:p>
      <w:pPr>
        <w:pStyle w:val="Normal"/>
        <w:ind w:left="0" w:firstLineChars="0" w:firstLine="0" w:leftChars="400"/>
      </w:pPr>
      <w:hyperlink w:anchor="More_Internationalization_Resour">
        <w:r>
          <w:rPr>
            <w:color w:val="0000FF" w:themeColor="hyperlink"/>
            <w:u w:val="single"/>
          </w:rPr>
          <w:t>More Internationalization Resources</w:t>
        </w:r>
      </w:hyperlink>
    </w:p>
    <w:p>
      <w:pPr>
        <w:pStyle w:val="Normal"/>
        <w:ind w:left="0" w:firstLineChars="0" w:firstLine="0" w:leftChars="0"/>
      </w:pPr>
      <w:hyperlink w:anchor="Chapter_12__Persistence_and_Data_2">
        <w:r>
          <w:rPr>
            <w:color w:val="0000FF" w:themeColor="hyperlink"/>
            <w:u w:val="single"/>
          </w:rPr>
          <w:t>12. Persistence and Databases</w:t>
        </w:r>
      </w:hyperlink>
    </w:p>
    <w:p>
      <w:pPr>
        <w:pStyle w:val="Normal"/>
        <w:ind w:left="0" w:firstLineChars="0" w:firstLine="0" w:leftChars="200"/>
      </w:pPr>
      <w:hyperlink w:anchor="Serialization__Python_supplies_s">
        <w:r>
          <w:rPr>
            <w:color w:val="0000FF" w:themeColor="hyperlink"/>
            <w:u w:val="single"/>
          </w:rPr>
          <w:t>Serialization</w:t>
        </w:r>
      </w:hyperlink>
    </w:p>
    <w:p>
      <w:pPr>
        <w:pStyle w:val="Normal"/>
        <w:ind w:left="0" w:firstLineChars="0" w:firstLine="0" w:leftChars="400"/>
      </w:pPr>
      <w:hyperlink w:anchor="The_csv_Module__While_the_CSV__s">
        <w:r>
          <w:rPr>
            <w:color w:val="0000FF" w:themeColor="hyperlink"/>
            <w:u w:val="single"/>
          </w:rPr>
          <w:t>The csv Module</w:t>
        </w:r>
      </w:hyperlink>
    </w:p>
    <w:p>
      <w:pPr>
        <w:pStyle w:val="Normal"/>
        <w:ind w:left="0" w:firstLineChars="0" w:firstLine="0" w:leftChars="400"/>
      </w:pPr>
      <w:hyperlink w:anchor="The_json_Module__The_standard_li">
        <w:r>
          <w:rPr>
            <w:color w:val="0000FF" w:themeColor="hyperlink"/>
            <w:u w:val="single"/>
          </w:rPr>
          <w:t>The json Module</w:t>
        </w:r>
      </w:hyperlink>
    </w:p>
    <w:p>
      <w:pPr>
        <w:pStyle w:val="Normal"/>
        <w:ind w:left="0" w:firstLineChars="0" w:firstLine="0" w:leftChars="400"/>
      </w:pPr>
      <w:hyperlink w:anchor="The_pickle_Module__The_pickle_mo">
        <w:r>
          <w:rPr>
            <w:color w:val="0000FF" w:themeColor="hyperlink"/>
            <w:u w:val="single"/>
          </w:rPr>
          <w:t>The pickle Module</w:t>
        </w:r>
      </w:hyperlink>
    </w:p>
    <w:p>
      <w:pPr>
        <w:pStyle w:val="Normal"/>
        <w:ind w:left="0" w:firstLineChars="0" w:firstLine="0" w:leftChars="400"/>
      </w:pPr>
      <w:hyperlink w:anchor="The_shelve_Module__The_shelve_mo">
        <w:r>
          <w:rPr>
            <w:color w:val="0000FF" w:themeColor="hyperlink"/>
            <w:u w:val="single"/>
          </w:rPr>
          <w:t>The shelve Module</w:t>
        </w:r>
      </w:hyperlink>
    </w:p>
    <w:p>
      <w:pPr>
        <w:pStyle w:val="Normal"/>
        <w:ind w:left="0" w:firstLineChars="0" w:firstLine="0" w:leftChars="200"/>
      </w:pPr>
      <w:hyperlink w:anchor="DBM_Modules__DBM__a_longtime_Uni">
        <w:r>
          <w:rPr>
            <w:color w:val="0000FF" w:themeColor="hyperlink"/>
            <w:u w:val="single"/>
          </w:rPr>
          <w:t>DBM Modules</w:t>
        </w:r>
      </w:hyperlink>
    </w:p>
    <w:p>
      <w:pPr>
        <w:pStyle w:val="Normal"/>
        <w:ind w:left="0" w:firstLineChars="0" w:firstLine="0" w:leftChars="400"/>
      </w:pPr>
      <w:hyperlink w:anchor="The_dbm_Package__The_dbm_package">
        <w:r>
          <w:rPr>
            <w:color w:val="0000FF" w:themeColor="hyperlink"/>
            <w:u w:val="single"/>
          </w:rPr>
          <w:t>The dbm Package</w:t>
        </w:r>
      </w:hyperlink>
    </w:p>
    <w:p>
      <w:pPr>
        <w:pStyle w:val="Normal"/>
        <w:ind w:left="0" w:firstLineChars="0" w:firstLine="0" w:leftChars="400"/>
      </w:pPr>
      <w:hyperlink w:anchor="Examples_of_DBM_Like_File_Use__D">
        <w:r>
          <w:rPr>
            <w:color w:val="0000FF" w:themeColor="hyperlink"/>
            <w:u w:val="single"/>
          </w:rPr>
          <w:t>Examples of DBM-Like File Use</w:t>
        </w:r>
      </w:hyperlink>
    </w:p>
    <w:p>
      <w:pPr>
        <w:pStyle w:val="Normal"/>
        <w:ind w:left="0" w:firstLineChars="0" w:firstLine="0" w:leftChars="200"/>
      </w:pPr>
      <w:hyperlink w:anchor="The_Python_Database_API__DBAPI">
        <w:r>
          <w:rPr>
            <w:color w:val="0000FF" w:themeColor="hyperlink"/>
            <w:u w:val="single"/>
          </w:rPr>
          <w:t>The Python Database API (DBAPI)</w:t>
        </w:r>
      </w:hyperlink>
    </w:p>
    <w:p>
      <w:pPr>
        <w:pStyle w:val="Normal"/>
        <w:ind w:left="0" w:firstLineChars="0" w:firstLine="0" w:leftChars="400"/>
      </w:pPr>
      <w:hyperlink w:anchor="Exception_Classes__A_DBAPI_compl">
        <w:r>
          <w:rPr>
            <w:color w:val="0000FF" w:themeColor="hyperlink"/>
            <w:u w:val="single"/>
          </w:rPr>
          <w:t>Exception Classes</w:t>
        </w:r>
      </w:hyperlink>
    </w:p>
    <w:p>
      <w:pPr>
        <w:pStyle w:val="Normal"/>
        <w:ind w:left="0" w:firstLineChars="0" w:firstLine="0" w:leftChars="400"/>
      </w:pPr>
      <w:hyperlink w:anchor="Thread_Safety__When_a_DBAPI_comp">
        <w:r>
          <w:rPr>
            <w:color w:val="0000FF" w:themeColor="hyperlink"/>
            <w:u w:val="single"/>
          </w:rPr>
          <w:t>Thread Safety</w:t>
        </w:r>
      </w:hyperlink>
    </w:p>
    <w:p>
      <w:pPr>
        <w:pStyle w:val="Normal"/>
        <w:ind w:left="0" w:firstLineChars="0" w:firstLine="0" w:leftChars="400"/>
      </w:pPr>
      <w:hyperlink w:anchor="Parameter_Style__A_DBAPI_complia">
        <w:r>
          <w:rPr>
            <w:color w:val="0000FF" w:themeColor="hyperlink"/>
            <w:u w:val="single"/>
          </w:rPr>
          <w:t>Parameter Style</w:t>
        </w:r>
      </w:hyperlink>
    </w:p>
    <w:p>
      <w:pPr>
        <w:pStyle w:val="Normal"/>
        <w:ind w:left="0" w:firstLineChars="0" w:firstLine="0" w:leftChars="400"/>
      </w:pPr>
      <w:hyperlink w:anchor="Factory_Functions__Parameters_pa">
        <w:r>
          <w:rPr>
            <w:color w:val="0000FF" w:themeColor="hyperlink"/>
            <w:u w:val="single"/>
          </w:rPr>
          <w:t>Factory Functions</w:t>
        </w:r>
      </w:hyperlink>
    </w:p>
    <w:p>
      <w:pPr>
        <w:pStyle w:val="Normal"/>
        <w:ind w:left="0" w:firstLineChars="0" w:firstLine="0" w:leftChars="400"/>
      </w:pPr>
      <w:hyperlink w:anchor="Type_Description_Attributes__A_C">
        <w:r>
          <w:rPr>
            <w:color w:val="0000FF" w:themeColor="hyperlink"/>
            <w:u w:val="single"/>
          </w:rPr>
          <w:t>Type Description Attributes</w:t>
        </w:r>
      </w:hyperlink>
    </w:p>
    <w:p>
      <w:pPr>
        <w:pStyle w:val="Normal"/>
        <w:ind w:left="0" w:firstLineChars="0" w:firstLine="0" w:leftChars="400"/>
      </w:pPr>
      <w:hyperlink w:anchor="The_connect_Function__A_DBAPI_co">
        <w:r>
          <w:rPr>
            <w:color w:val="0000FF" w:themeColor="hyperlink"/>
            <w:u w:val="single"/>
          </w:rPr>
          <w:t>The connect Function</w:t>
        </w:r>
      </w:hyperlink>
    </w:p>
    <w:p>
      <w:pPr>
        <w:pStyle w:val="Normal"/>
        <w:ind w:left="0" w:firstLineChars="0" w:firstLine="0" w:leftChars="400"/>
      </w:pPr>
      <w:hyperlink w:anchor="Connection_Objects__A_DBAPI_comp">
        <w:r>
          <w:rPr>
            <w:color w:val="0000FF" w:themeColor="hyperlink"/>
            <w:u w:val="single"/>
          </w:rPr>
          <w:t>Connection Objects</w:t>
        </w:r>
      </w:hyperlink>
    </w:p>
    <w:p>
      <w:pPr>
        <w:pStyle w:val="Normal"/>
        <w:ind w:left="0" w:firstLineChars="0" w:firstLine="0" w:leftChars="400"/>
      </w:pPr>
      <w:hyperlink w:anchor="Cursor_Objects__A_Connection_ins">
        <w:r>
          <w:rPr>
            <w:color w:val="0000FF" w:themeColor="hyperlink"/>
            <w:u w:val="single"/>
          </w:rPr>
          <w:t>Cursor Objects</w:t>
        </w:r>
      </w:hyperlink>
    </w:p>
    <w:p>
      <w:pPr>
        <w:pStyle w:val="Normal"/>
        <w:ind w:left="0" w:firstLineChars="0" w:firstLine="0" w:leftChars="400"/>
      </w:pPr>
      <w:hyperlink w:anchor="DBAPI_Compliant_Modules__Whateve">
        <w:r>
          <w:rPr>
            <w:color w:val="0000FF" w:themeColor="hyperlink"/>
            <w:u w:val="single"/>
          </w:rPr>
          <w:t>DBAPI-Compliant Modules</w:t>
        </w:r>
      </w:hyperlink>
    </w:p>
    <w:p>
      <w:pPr>
        <w:pStyle w:val="Normal"/>
        <w:ind w:left="0" w:firstLineChars="0" w:firstLine="0" w:leftChars="400"/>
      </w:pPr>
      <w:hyperlink w:anchor="SQLite__SQLite_is_a_C_coded_libr">
        <w:r>
          <w:rPr>
            <w:color w:val="0000FF" w:themeColor="hyperlink"/>
            <w:u w:val="single"/>
          </w:rPr>
          <w:t>SQLite</w:t>
        </w:r>
      </w:hyperlink>
    </w:p>
    <w:p>
      <w:pPr>
        <w:pStyle w:val="Normal"/>
        <w:ind w:left="0" w:firstLineChars="0" w:firstLine="0" w:leftChars="0"/>
      </w:pPr>
      <w:hyperlink w:anchor="Chapter_13__Time_Operations__A_P_2">
        <w:r>
          <w:rPr>
            <w:color w:val="0000FF" w:themeColor="hyperlink"/>
            <w:u w:val="single"/>
          </w:rPr>
          <w:t>13. Time Operations</w:t>
        </w:r>
      </w:hyperlink>
    </w:p>
    <w:p>
      <w:pPr>
        <w:pStyle w:val="Normal"/>
        <w:ind w:left="0" w:firstLineChars="0" w:firstLine="0" w:leftChars="200"/>
      </w:pPr>
      <w:hyperlink w:anchor="The_time_Module__The_time_module">
        <w:r>
          <w:rPr>
            <w:color w:val="0000FF" w:themeColor="hyperlink"/>
            <w:u w:val="single"/>
          </w:rPr>
          <w:t>The time Module</w:t>
        </w:r>
      </w:hyperlink>
    </w:p>
    <w:p>
      <w:pPr>
        <w:pStyle w:val="Normal"/>
        <w:ind w:left="0" w:firstLineChars="0" w:firstLine="0" w:leftChars="200"/>
      </w:pPr>
      <w:hyperlink w:anchor="The_datetime_Module__datetime_pr">
        <w:r>
          <w:rPr>
            <w:color w:val="0000FF" w:themeColor="hyperlink"/>
            <w:u w:val="single"/>
          </w:rPr>
          <w:t>The datetime Module</w:t>
        </w:r>
      </w:hyperlink>
    </w:p>
    <w:p>
      <w:pPr>
        <w:pStyle w:val="Normal"/>
        <w:ind w:left="0" w:firstLineChars="0" w:firstLine="0" w:leftChars="400"/>
      </w:pPr>
      <w:hyperlink w:anchor="The_date_Class__Instances_of_the">
        <w:r>
          <w:rPr>
            <w:color w:val="0000FF" w:themeColor="hyperlink"/>
            <w:u w:val="single"/>
          </w:rPr>
          <w:t>The date Class</w:t>
        </w:r>
      </w:hyperlink>
    </w:p>
    <w:p>
      <w:pPr>
        <w:pStyle w:val="Normal"/>
        <w:ind w:left="0" w:firstLineChars="0" w:firstLine="0" w:leftChars="400"/>
      </w:pPr>
      <w:hyperlink w:anchor="The_time_Class__Instances_of_the">
        <w:r>
          <w:rPr>
            <w:color w:val="0000FF" w:themeColor="hyperlink"/>
            <w:u w:val="single"/>
          </w:rPr>
          <w:t>The time Class</w:t>
        </w:r>
      </w:hyperlink>
    </w:p>
    <w:p>
      <w:pPr>
        <w:pStyle w:val="Normal"/>
        <w:ind w:left="0" w:firstLineChars="0" w:firstLine="0" w:leftChars="400"/>
      </w:pPr>
      <w:hyperlink w:anchor="The_datetime_Class__Instances_of">
        <w:r>
          <w:rPr>
            <w:color w:val="0000FF" w:themeColor="hyperlink"/>
            <w:u w:val="single"/>
          </w:rPr>
          <w:t>The datetime Class</w:t>
        </w:r>
      </w:hyperlink>
    </w:p>
    <w:p>
      <w:pPr>
        <w:pStyle w:val="Normal"/>
        <w:ind w:left="0" w:firstLineChars="0" w:firstLine="0" w:leftChars="400"/>
      </w:pPr>
      <w:hyperlink w:anchor="The_timedelta_Class__Instances_o">
        <w:r>
          <w:rPr>
            <w:color w:val="0000FF" w:themeColor="hyperlink"/>
            <w:u w:val="single"/>
          </w:rPr>
          <w:t>The timedelta Class</w:t>
        </w:r>
      </w:hyperlink>
    </w:p>
    <w:p>
      <w:pPr>
        <w:pStyle w:val="Normal"/>
        <w:ind w:left="0" w:firstLineChars="0" w:firstLine="0" w:leftChars="400"/>
      </w:pPr>
      <w:hyperlink w:anchor="The_tzinfo_Abstract_Class__The_t">
        <w:r>
          <w:rPr>
            <w:color w:val="0000FF" w:themeColor="hyperlink"/>
            <w:u w:val="single"/>
          </w:rPr>
          <w:t>The tzinfo Abstract Class</w:t>
        </w:r>
      </w:hyperlink>
    </w:p>
    <w:p>
      <w:pPr>
        <w:pStyle w:val="Normal"/>
        <w:ind w:left="0" w:firstLineChars="0" w:firstLine="0" w:leftChars="400"/>
      </w:pPr>
      <w:hyperlink w:anchor="The_timezone_Class__The_timezone">
        <w:r>
          <w:rPr>
            <w:color w:val="0000FF" w:themeColor="hyperlink"/>
            <w:u w:val="single"/>
          </w:rPr>
          <w:t>The timezone Class</w:t>
        </w:r>
      </w:hyperlink>
    </w:p>
    <w:p>
      <w:pPr>
        <w:pStyle w:val="Normal"/>
        <w:ind w:left="0" w:firstLineChars="0" w:firstLine="0" w:leftChars="200"/>
      </w:pPr>
      <w:hyperlink w:anchor="The_zoneinfo_Module__3_9__The_zo">
        <w:r>
          <w:rPr>
            <w:color w:val="0000FF" w:themeColor="hyperlink"/>
            <w:u w:val="single"/>
          </w:rPr>
          <w:t>The zoneinfo Module</w:t>
        </w:r>
      </w:hyperlink>
    </w:p>
    <w:p>
      <w:pPr>
        <w:pStyle w:val="Normal"/>
        <w:ind w:left="0" w:firstLineChars="0" w:firstLine="0" w:leftChars="200"/>
      </w:pPr>
      <w:hyperlink w:anchor="The_dateutil_Module__The_third_p">
        <w:r>
          <w:rPr>
            <w:color w:val="0000FF" w:themeColor="hyperlink"/>
            <w:u w:val="single"/>
          </w:rPr>
          <w:t>The dateutil Module</w:t>
        </w:r>
      </w:hyperlink>
    </w:p>
    <w:p>
      <w:pPr>
        <w:pStyle w:val="Normal"/>
        <w:ind w:left="0" w:firstLineChars="0" w:firstLine="0" w:leftChars="200"/>
      </w:pPr>
      <w:hyperlink w:anchor="The_sched_Module__The_sched_modu">
        <w:r>
          <w:rPr>
            <w:color w:val="0000FF" w:themeColor="hyperlink"/>
            <w:u w:val="single"/>
          </w:rPr>
          <w:t>The sched Module</w:t>
        </w:r>
      </w:hyperlink>
    </w:p>
    <w:p>
      <w:pPr>
        <w:pStyle w:val="Normal"/>
        <w:ind w:left="0" w:firstLineChars="0" w:firstLine="0" w:leftChars="200"/>
      </w:pPr>
      <w:hyperlink w:anchor="The_calendar_Module__The_calenda">
        <w:r>
          <w:rPr>
            <w:color w:val="0000FF" w:themeColor="hyperlink"/>
            <w:u w:val="single"/>
          </w:rPr>
          <w:t>The calendar Module</w:t>
        </w:r>
      </w:hyperlink>
    </w:p>
    <w:p>
      <w:pPr>
        <w:pStyle w:val="Normal"/>
        <w:ind w:left="0" w:firstLineChars="0" w:firstLine="0" w:leftChars="0"/>
      </w:pPr>
      <w:hyperlink w:anchor="Chapter_14__Customizing_Executio_2">
        <w:r>
          <w:rPr>
            <w:color w:val="0000FF" w:themeColor="hyperlink"/>
            <w:u w:val="single"/>
          </w:rPr>
          <w:t>14. Customizing Execution</w:t>
        </w:r>
      </w:hyperlink>
    </w:p>
    <w:p>
      <w:pPr>
        <w:pStyle w:val="Normal"/>
        <w:ind w:left="0" w:firstLineChars="0" w:firstLine="0" w:leftChars="200"/>
      </w:pPr>
      <w:hyperlink w:anchor="Per_Site_Customization__Python_p">
        <w:r>
          <w:rPr>
            <w:color w:val="0000FF" w:themeColor="hyperlink"/>
            <w:u w:val="single"/>
          </w:rPr>
          <w:t>Per-Site Customization</w:t>
        </w:r>
      </w:hyperlink>
    </w:p>
    <w:p>
      <w:pPr>
        <w:pStyle w:val="Normal"/>
        <w:ind w:left="0" w:firstLineChars="0" w:firstLine="0" w:leftChars="200"/>
      </w:pPr>
      <w:hyperlink w:anchor="Termination_Functions__The_atexi">
        <w:r>
          <w:rPr>
            <w:color w:val="0000FF" w:themeColor="hyperlink"/>
            <w:u w:val="single"/>
          </w:rPr>
          <w:t>Termination Functions</w:t>
        </w:r>
      </w:hyperlink>
    </w:p>
    <w:p>
      <w:pPr>
        <w:pStyle w:val="Normal"/>
        <w:ind w:left="0" w:firstLineChars="0" w:firstLine="0" w:leftChars="200"/>
      </w:pPr>
      <w:hyperlink w:anchor="Dynamic_Execution_and_exec__Pyth">
        <w:r>
          <w:rPr>
            <w:color w:val="0000FF" w:themeColor="hyperlink"/>
            <w:u w:val="single"/>
          </w:rPr>
          <w:t>Dynamic Execution and exec</w:t>
        </w:r>
      </w:hyperlink>
    </w:p>
    <w:p>
      <w:pPr>
        <w:pStyle w:val="Normal"/>
        <w:ind w:left="0" w:firstLineChars="0" w:firstLine="0" w:leftChars="400"/>
      </w:pPr>
      <w:hyperlink w:anchor="Avoiding_exec__A_frequently_aske">
        <w:r>
          <w:rPr>
            <w:color w:val="0000FF" w:themeColor="hyperlink"/>
            <w:u w:val="single"/>
          </w:rPr>
          <w:t>Avoiding exec</w:t>
        </w:r>
      </w:hyperlink>
    </w:p>
    <w:p>
      <w:pPr>
        <w:pStyle w:val="Normal"/>
        <w:ind w:left="0" w:firstLineChars="0" w:firstLine="0" w:leftChars="400"/>
      </w:pPr>
      <w:hyperlink w:anchor="Expressions__exec_can_execute_an">
        <w:r>
          <w:rPr>
            <w:color w:val="0000FF" w:themeColor="hyperlink"/>
            <w:u w:val="single"/>
          </w:rPr>
          <w:t>Expressions</w:t>
        </w:r>
      </w:hyperlink>
    </w:p>
    <w:p>
      <w:pPr>
        <w:pStyle w:val="Normal"/>
        <w:ind w:left="0" w:firstLineChars="0" w:firstLine="0" w:leftChars="400"/>
      </w:pPr>
      <w:hyperlink w:anchor="compile_and_Code_Objects__To_mak">
        <w:r>
          <w:rPr>
            <w:color w:val="0000FF" w:themeColor="hyperlink"/>
            <w:u w:val="single"/>
          </w:rPr>
          <w:t>compile and Code Objects</w:t>
        </w:r>
      </w:hyperlink>
    </w:p>
    <w:p>
      <w:pPr>
        <w:pStyle w:val="Normal"/>
        <w:ind w:left="0" w:firstLineChars="0" w:firstLine="0" w:leftChars="400"/>
      </w:pPr>
      <w:hyperlink w:anchor="Never_exec_or_eval_Untrusted_Cod">
        <w:r>
          <w:rPr>
            <w:color w:val="0000FF" w:themeColor="hyperlink"/>
            <w:u w:val="single"/>
          </w:rPr>
          <w:t>Never exec or eval Untrusted Code</w:t>
        </w:r>
      </w:hyperlink>
    </w:p>
    <w:p>
      <w:pPr>
        <w:pStyle w:val="Normal"/>
        <w:ind w:left="0" w:firstLineChars="0" w:firstLine="0" w:leftChars="200"/>
      </w:pPr>
      <w:hyperlink w:anchor="Internal_Types__Some_of_the_inte">
        <w:r>
          <w:rPr>
            <w:color w:val="0000FF" w:themeColor="hyperlink"/>
            <w:u w:val="single"/>
          </w:rPr>
          <w:t>Internal Types</w:t>
        </w:r>
      </w:hyperlink>
    </w:p>
    <w:p>
      <w:pPr>
        <w:pStyle w:val="Normal"/>
        <w:ind w:left="0" w:firstLineChars="0" w:firstLine="0" w:leftChars="400"/>
      </w:pPr>
      <w:hyperlink w:anchor="Type_Objects__The_built_in_type">
        <w:r>
          <w:rPr>
            <w:color w:val="0000FF" w:themeColor="hyperlink"/>
            <w:u w:val="single"/>
          </w:rPr>
          <w:t>Type Objects</w:t>
        </w:r>
      </w:hyperlink>
    </w:p>
    <w:p>
      <w:pPr>
        <w:pStyle w:val="Normal"/>
        <w:ind w:left="0" w:firstLineChars="0" w:firstLine="0" w:leftChars="400"/>
      </w:pPr>
      <w:hyperlink w:anchor="The_Code_Object_Type__Besides_us">
        <w:r>
          <w:rPr>
            <w:color w:val="0000FF" w:themeColor="hyperlink"/>
            <w:u w:val="single"/>
          </w:rPr>
          <w:t>The Code Object Type</w:t>
        </w:r>
      </w:hyperlink>
    </w:p>
    <w:p>
      <w:pPr>
        <w:pStyle w:val="Normal"/>
        <w:ind w:left="0" w:firstLineChars="0" w:firstLine="0" w:leftChars="400"/>
      </w:pPr>
      <w:hyperlink w:anchor="The_Frame_Type__The_function__ge">
        <w:r>
          <w:rPr>
            <w:color w:val="0000FF" w:themeColor="hyperlink"/>
            <w:u w:val="single"/>
          </w:rPr>
          <w:t>The Frame Type</w:t>
        </w:r>
      </w:hyperlink>
    </w:p>
    <w:p>
      <w:pPr>
        <w:pStyle w:val="Normal"/>
        <w:ind w:left="0" w:firstLineChars="0" w:firstLine="0" w:leftChars="200"/>
      </w:pPr>
      <w:hyperlink w:anchor="Garbage_Collection__Python_s_gar">
        <w:r>
          <w:rPr>
            <w:color w:val="0000FF" w:themeColor="hyperlink"/>
            <w:u w:val="single"/>
          </w:rPr>
          <w:t>Garbage Collection</w:t>
        </w:r>
      </w:hyperlink>
    </w:p>
    <w:p>
      <w:pPr>
        <w:pStyle w:val="Normal"/>
        <w:ind w:left="0" w:firstLineChars="0" w:firstLine="0" w:leftChars="400"/>
      </w:pPr>
      <w:hyperlink w:anchor="The_gc_Module__The_gc_module_exp">
        <w:r>
          <w:rPr>
            <w:color w:val="0000FF" w:themeColor="hyperlink"/>
            <w:u w:val="single"/>
          </w:rPr>
          <w:t>The gc Module</w:t>
        </w:r>
      </w:hyperlink>
    </w:p>
    <w:p>
      <w:pPr>
        <w:pStyle w:val="Normal"/>
        <w:ind w:left="0" w:firstLineChars="0" w:firstLine="0" w:leftChars="400"/>
      </w:pPr>
      <w:hyperlink w:anchor="The_weakref_Module__Careful_desi">
        <w:r>
          <w:rPr>
            <w:color w:val="0000FF" w:themeColor="hyperlink"/>
            <w:u w:val="single"/>
          </w:rPr>
          <w:t>The weakref Module</w:t>
        </w:r>
      </w:hyperlink>
    </w:p>
    <w:p>
      <w:pPr>
        <w:pStyle w:val="Normal"/>
        <w:ind w:left="0" w:firstLineChars="0" w:firstLine="0" w:leftChars="0"/>
      </w:pPr>
      <w:hyperlink w:anchor="Chapter_15__Concurrency__Threads_2">
        <w:r>
          <w:rPr>
            <w:color w:val="0000FF" w:themeColor="hyperlink"/>
            <w:u w:val="single"/>
          </w:rPr>
          <w:t>15. Concurrency: Threads and Processes</w:t>
        </w:r>
      </w:hyperlink>
    </w:p>
    <w:p>
      <w:pPr>
        <w:pStyle w:val="Normal"/>
        <w:ind w:left="0" w:firstLineChars="0" w:firstLine="0" w:leftChars="200"/>
      </w:pPr>
      <w:hyperlink w:anchor="Threads_in_Python__Python_suppor">
        <w:r>
          <w:rPr>
            <w:color w:val="0000FF" w:themeColor="hyperlink"/>
            <w:u w:val="single"/>
          </w:rPr>
          <w:t>Threads in Python</w:t>
        </w:r>
      </w:hyperlink>
    </w:p>
    <w:p>
      <w:pPr>
        <w:pStyle w:val="Normal"/>
        <w:ind w:left="0" w:firstLineChars="0" w:firstLine="0" w:leftChars="200"/>
      </w:pPr>
      <w:hyperlink w:anchor="The_threading_Module__The_thread">
        <w:r>
          <w:rPr>
            <w:color w:val="0000FF" w:themeColor="hyperlink"/>
            <w:u w:val="single"/>
          </w:rPr>
          <w:t>The threading Module</w:t>
        </w:r>
      </w:hyperlink>
    </w:p>
    <w:p>
      <w:pPr>
        <w:pStyle w:val="Normal"/>
        <w:ind w:left="0" w:firstLineChars="0" w:firstLine="0" w:leftChars="400"/>
      </w:pPr>
      <w:hyperlink w:anchor="Thread_Objects__A_Thread_instanc">
        <w:r>
          <w:rPr>
            <w:color w:val="0000FF" w:themeColor="hyperlink"/>
            <w:u w:val="single"/>
          </w:rPr>
          <w:t>Thread Objects</w:t>
        </w:r>
      </w:hyperlink>
    </w:p>
    <w:p>
      <w:pPr>
        <w:pStyle w:val="Normal"/>
        <w:ind w:left="0" w:firstLineChars="0" w:firstLine="0" w:leftChars="400"/>
      </w:pPr>
      <w:hyperlink w:anchor="Thread_Synchronization_Objects">
        <w:r>
          <w:rPr>
            <w:color w:val="0000FF" w:themeColor="hyperlink"/>
            <w:u w:val="single"/>
          </w:rPr>
          <w:t>Thread Synchronization Objects</w:t>
        </w:r>
      </w:hyperlink>
    </w:p>
    <w:p>
      <w:pPr>
        <w:pStyle w:val="Normal"/>
        <w:ind w:left="0" w:firstLineChars="0" w:firstLine="0" w:leftChars="400"/>
      </w:pPr>
      <w:hyperlink w:anchor="Thread_Local_Storage__The_thread">
        <w:r>
          <w:rPr>
            <w:color w:val="0000FF" w:themeColor="hyperlink"/>
            <w:u w:val="single"/>
          </w:rPr>
          <w:t>Thread Local Storage</w:t>
        </w:r>
      </w:hyperlink>
    </w:p>
    <w:p>
      <w:pPr>
        <w:pStyle w:val="Normal"/>
        <w:ind w:left="0" w:firstLineChars="0" w:firstLine="0" w:leftChars="200"/>
      </w:pPr>
      <w:hyperlink w:anchor="The_queue_Module__The_queue_modu">
        <w:r>
          <w:rPr>
            <w:color w:val="0000FF" w:themeColor="hyperlink"/>
            <w:u w:val="single"/>
          </w:rPr>
          <w:t>The queue Module</w:t>
        </w:r>
      </w:hyperlink>
    </w:p>
    <w:p>
      <w:pPr>
        <w:pStyle w:val="Normal"/>
        <w:ind w:left="0" w:firstLineChars="0" w:firstLine="0" w:leftChars="200"/>
      </w:pPr>
      <w:hyperlink w:anchor="The_multiprocessing_Module__The">
        <w:r>
          <w:rPr>
            <w:color w:val="0000FF" w:themeColor="hyperlink"/>
            <w:u w:val="single"/>
          </w:rPr>
          <w:t>The multiprocessing Module</w:t>
        </w:r>
      </w:hyperlink>
    </w:p>
    <w:p>
      <w:pPr>
        <w:pStyle w:val="Normal"/>
        <w:ind w:left="0" w:firstLineChars="0" w:firstLine="0" w:leftChars="400"/>
      </w:pPr>
      <w:hyperlink w:anchor="Differences_Between_multiprocess">
        <w:r>
          <w:rPr>
            <w:color w:val="0000FF" w:themeColor="hyperlink"/>
            <w:u w:val="single"/>
          </w:rPr>
          <w:t>Differences Between multiprocessing and threading</w:t>
        </w:r>
      </w:hyperlink>
    </w:p>
    <w:p>
      <w:pPr>
        <w:pStyle w:val="Normal"/>
        <w:ind w:left="0" w:firstLineChars="0" w:firstLine="0" w:leftChars="400"/>
      </w:pPr>
      <w:hyperlink w:anchor="Sharing_State__Classes_Value__Ar">
        <w:r>
          <w:rPr>
            <w:color w:val="0000FF" w:themeColor="hyperlink"/>
            <w:u w:val="single"/>
          </w:rPr>
          <w:t>Sharing State: Classes Value, Array, and Manager</w:t>
        </w:r>
      </w:hyperlink>
    </w:p>
    <w:p>
      <w:pPr>
        <w:pStyle w:val="Normal"/>
        <w:ind w:left="0" w:firstLineChars="0" w:firstLine="0" w:leftChars="400"/>
      </w:pPr>
      <w:hyperlink w:anchor="Process_Pools__In_real_life__you">
        <w:r>
          <w:rPr>
            <w:color w:val="0000FF" w:themeColor="hyperlink"/>
            <w:u w:val="single"/>
          </w:rPr>
          <w:t>Process Pools</w:t>
        </w:r>
      </w:hyperlink>
    </w:p>
    <w:p>
      <w:pPr>
        <w:pStyle w:val="Normal"/>
        <w:ind w:left="0" w:firstLineChars="0" w:firstLine="0" w:leftChars="200"/>
      </w:pPr>
      <w:hyperlink w:anchor="The_concurrent_futures_Module__T">
        <w:r>
          <w:rPr>
            <w:color w:val="0000FF" w:themeColor="hyperlink"/>
            <w:u w:val="single"/>
          </w:rPr>
          <w:t>The concurrent.futures Module</w:t>
        </w:r>
      </w:hyperlink>
    </w:p>
    <w:p>
      <w:pPr>
        <w:pStyle w:val="Normal"/>
        <w:ind w:left="0" w:firstLineChars="0" w:firstLine="0" w:leftChars="200"/>
      </w:pPr>
      <w:hyperlink w:anchor="Threaded_Program_Architecture__A">
        <w:r>
          <w:rPr>
            <w:color w:val="0000FF" w:themeColor="hyperlink"/>
            <w:u w:val="single"/>
          </w:rPr>
          <w:t>Threaded Program Architecture</w:t>
        </w:r>
      </w:hyperlink>
    </w:p>
    <w:p>
      <w:pPr>
        <w:pStyle w:val="Normal"/>
        <w:ind w:left="0" w:firstLineChars="0" w:firstLine="0" w:leftChars="200"/>
      </w:pPr>
      <w:hyperlink w:anchor="Process_Environment__The_operati">
        <w:r>
          <w:rPr>
            <w:color w:val="0000FF" w:themeColor="hyperlink"/>
            <w:u w:val="single"/>
          </w:rPr>
          <w:t>Process Environment</w:t>
        </w:r>
      </w:hyperlink>
    </w:p>
    <w:p>
      <w:pPr>
        <w:pStyle w:val="Normal"/>
        <w:ind w:left="0" w:firstLineChars="0" w:firstLine="0" w:leftChars="200"/>
      </w:pPr>
      <w:hyperlink w:anchor="Running_Other_Programs__You_can">
        <w:r>
          <w:rPr>
            <w:color w:val="0000FF" w:themeColor="hyperlink"/>
            <w:u w:val="single"/>
          </w:rPr>
          <w:t>Running Other Programs</w:t>
        </w:r>
      </w:hyperlink>
    </w:p>
    <w:p>
      <w:pPr>
        <w:pStyle w:val="Normal"/>
        <w:ind w:left="0" w:firstLineChars="0" w:firstLine="0" w:leftChars="400"/>
      </w:pPr>
      <w:hyperlink w:anchor="Using_the_Subprocess_Module__The">
        <w:r>
          <w:rPr>
            <w:color w:val="0000FF" w:themeColor="hyperlink"/>
            <w:u w:val="single"/>
          </w:rPr>
          <w:t>Using the Subprocess Module</w:t>
        </w:r>
      </w:hyperlink>
    </w:p>
    <w:p>
      <w:pPr>
        <w:pStyle w:val="Normal"/>
        <w:ind w:left="0" w:firstLineChars="0" w:firstLine="0" w:leftChars="400"/>
      </w:pPr>
      <w:hyperlink w:anchor="Running_Other_Programs_with_the">
        <w:r>
          <w:rPr>
            <w:color w:val="0000FF" w:themeColor="hyperlink"/>
            <w:u w:val="single"/>
          </w:rPr>
          <w:t>Running Other Programs with the os Module</w:t>
        </w:r>
      </w:hyperlink>
    </w:p>
    <w:p>
      <w:pPr>
        <w:pStyle w:val="Normal"/>
        <w:ind w:left="0" w:firstLineChars="0" w:firstLine="0" w:leftChars="200"/>
      </w:pPr>
      <w:hyperlink w:anchor="The_mmap_Module__The_mmap_module">
        <w:r>
          <w:rPr>
            <w:color w:val="0000FF" w:themeColor="hyperlink"/>
            <w:u w:val="single"/>
          </w:rPr>
          <w:t>The mmap Module</w:t>
        </w:r>
      </w:hyperlink>
    </w:p>
    <w:p>
      <w:pPr>
        <w:pStyle w:val="Normal"/>
        <w:ind w:left="0" w:firstLineChars="0" w:firstLine="0" w:leftChars="400"/>
      </w:pPr>
      <w:hyperlink w:anchor="Methods_of_mmap_Objects__An_mmap">
        <w:r>
          <w:rPr>
            <w:color w:val="0000FF" w:themeColor="hyperlink"/>
            <w:u w:val="single"/>
          </w:rPr>
          <w:t>Methods of mmap Objects</w:t>
        </w:r>
      </w:hyperlink>
    </w:p>
    <w:p>
      <w:pPr>
        <w:pStyle w:val="Normal"/>
        <w:ind w:left="0" w:firstLineChars="0" w:firstLine="0" w:leftChars="400"/>
      </w:pPr>
      <w:hyperlink w:anchor="Using_mmap_Objects_for_IPC__Proc">
        <w:r>
          <w:rPr>
            <w:color w:val="0000FF" w:themeColor="hyperlink"/>
            <w:u w:val="single"/>
          </w:rPr>
          <w:t>Using mmap Objects for IPC</w:t>
        </w:r>
      </w:hyperlink>
    </w:p>
    <w:p>
      <w:pPr>
        <w:pStyle w:val="Normal"/>
        <w:ind w:left="0" w:firstLineChars="0" w:firstLine="0" w:leftChars="0"/>
      </w:pPr>
      <w:hyperlink w:anchor="Chapter_16__Numeric_Processing_2">
        <w:r>
          <w:rPr>
            <w:color w:val="0000FF" w:themeColor="hyperlink"/>
            <w:u w:val="single"/>
          </w:rPr>
          <w:t>16. Numeric Processing</w:t>
        </w:r>
      </w:hyperlink>
    </w:p>
    <w:p>
      <w:pPr>
        <w:pStyle w:val="Normal"/>
        <w:ind w:left="0" w:firstLineChars="0" w:firstLine="0" w:leftChars="200"/>
      </w:pPr>
      <w:hyperlink w:anchor="Floating_Point_Values__Python_re">
        <w:r>
          <w:rPr>
            <w:color w:val="0000FF" w:themeColor="hyperlink"/>
            <w:u w:val="single"/>
          </w:rPr>
          <w:t>Floating-Point Values</w:t>
        </w:r>
      </w:hyperlink>
    </w:p>
    <w:p>
      <w:pPr>
        <w:pStyle w:val="Normal"/>
        <w:ind w:left="0" w:firstLineChars="0" w:firstLine="0" w:leftChars="200"/>
      </w:pPr>
      <w:hyperlink w:anchor="The_math_and_cmath_Modules__The">
        <w:r>
          <w:rPr>
            <w:color w:val="0000FF" w:themeColor="hyperlink"/>
            <w:u w:val="single"/>
          </w:rPr>
          <w:t>The math and cmath Modules</w:t>
        </w:r>
      </w:hyperlink>
    </w:p>
    <w:p>
      <w:pPr>
        <w:pStyle w:val="Normal"/>
        <w:ind w:left="0" w:firstLineChars="0" w:firstLine="0" w:leftChars="200"/>
      </w:pPr>
      <w:hyperlink w:anchor="The_statistics_Module__The_stati">
        <w:r>
          <w:rPr>
            <w:color w:val="0000FF" w:themeColor="hyperlink"/>
            <w:u w:val="single"/>
          </w:rPr>
          <w:t>The statistics Module</w:t>
        </w:r>
      </w:hyperlink>
    </w:p>
    <w:p>
      <w:pPr>
        <w:pStyle w:val="Normal"/>
        <w:ind w:left="0" w:firstLineChars="0" w:firstLine="0" w:leftChars="200"/>
      </w:pPr>
      <w:hyperlink w:anchor="The_operator_Module__The_operato">
        <w:r>
          <w:rPr>
            <w:color w:val="0000FF" w:themeColor="hyperlink"/>
            <w:u w:val="single"/>
          </w:rPr>
          <w:t>The operator Module</w:t>
        </w:r>
      </w:hyperlink>
    </w:p>
    <w:p>
      <w:pPr>
        <w:pStyle w:val="Normal"/>
        <w:ind w:left="0" w:firstLineChars="0" w:firstLine="0" w:leftChars="200"/>
      </w:pPr>
      <w:hyperlink w:anchor="Random_and_Pseudorandom_Numbers">
        <w:r>
          <w:rPr>
            <w:color w:val="0000FF" w:themeColor="hyperlink"/>
            <w:u w:val="single"/>
          </w:rPr>
          <w:t>Random and Pseudorandom Numbers</w:t>
        </w:r>
      </w:hyperlink>
    </w:p>
    <w:p>
      <w:pPr>
        <w:pStyle w:val="Normal"/>
        <w:ind w:left="0" w:firstLineChars="0" w:firstLine="0" w:leftChars="400"/>
      </w:pPr>
      <w:hyperlink w:anchor="The_random_Module__All_functions">
        <w:r>
          <w:rPr>
            <w:color w:val="0000FF" w:themeColor="hyperlink"/>
            <w:u w:val="single"/>
          </w:rPr>
          <w:t>The random Module</w:t>
        </w:r>
      </w:hyperlink>
    </w:p>
    <w:p>
      <w:pPr>
        <w:pStyle w:val="Normal"/>
        <w:ind w:left="0" w:firstLineChars="0" w:firstLine="0" w:leftChars="400"/>
      </w:pPr>
      <w:hyperlink w:anchor="Crypto_Quality_Random_Numbers__T">
        <w:r>
          <w:rPr>
            <w:color w:val="0000FF" w:themeColor="hyperlink"/>
            <w:u w:val="single"/>
          </w:rPr>
          <w:t>Crypto-Quality Random Numbers: The secrets Module</w:t>
        </w:r>
      </w:hyperlink>
    </w:p>
    <w:p>
      <w:pPr>
        <w:pStyle w:val="Normal"/>
        <w:ind w:left="0" w:firstLineChars="0" w:firstLine="0" w:leftChars="200"/>
      </w:pPr>
      <w:hyperlink w:anchor="The_fractions_Module__The_fracti">
        <w:r>
          <w:rPr>
            <w:color w:val="0000FF" w:themeColor="hyperlink"/>
            <w:u w:val="single"/>
          </w:rPr>
          <w:t>The fractions Module</w:t>
        </w:r>
      </w:hyperlink>
    </w:p>
    <w:p>
      <w:pPr>
        <w:pStyle w:val="Normal"/>
        <w:ind w:left="0" w:firstLineChars="0" w:firstLine="0" w:leftChars="200"/>
      </w:pPr>
      <w:hyperlink w:anchor="The_decimal_Module__A_Python_flo">
        <w:r>
          <w:rPr>
            <w:color w:val="0000FF" w:themeColor="hyperlink"/>
            <w:u w:val="single"/>
          </w:rPr>
          <w:t>The decimal Module</w:t>
        </w:r>
      </w:hyperlink>
    </w:p>
    <w:p>
      <w:pPr>
        <w:pStyle w:val="Normal"/>
        <w:ind w:left="0" w:firstLineChars="0" w:firstLine="0" w:leftChars="200"/>
      </w:pPr>
      <w:hyperlink w:anchor="Array_Processing__You_can_repres">
        <w:r>
          <w:rPr>
            <w:color w:val="0000FF" w:themeColor="hyperlink"/>
            <w:u w:val="single"/>
          </w:rPr>
          <w:t>Array Processing</w:t>
        </w:r>
      </w:hyperlink>
    </w:p>
    <w:p>
      <w:pPr>
        <w:pStyle w:val="Normal"/>
        <w:ind w:left="0" w:firstLineChars="0" w:firstLine="0" w:leftChars="400"/>
      </w:pPr>
      <w:hyperlink w:anchor="The_array_Module__The_array_modu">
        <w:r>
          <w:rPr>
            <w:color w:val="0000FF" w:themeColor="hyperlink"/>
            <w:u w:val="single"/>
          </w:rPr>
          <w:t>The array Module</w:t>
        </w:r>
      </w:hyperlink>
    </w:p>
    <w:p>
      <w:pPr>
        <w:pStyle w:val="Normal"/>
        <w:ind w:left="0" w:firstLineChars="0" w:firstLine="0" w:leftChars="400"/>
      </w:pPr>
      <w:hyperlink w:anchor="Extensions_for_Numeric_Array_Com">
        <w:r>
          <w:rPr>
            <w:color w:val="0000FF" w:themeColor="hyperlink"/>
            <w:u w:val="single"/>
          </w:rPr>
          <w:t>Extensions for Numeric Array Computation</w:t>
        </w:r>
      </w:hyperlink>
    </w:p>
    <w:p>
      <w:pPr>
        <w:pStyle w:val="Normal"/>
        <w:ind w:left="0" w:firstLineChars="0" w:firstLine="0" w:leftChars="0"/>
      </w:pPr>
      <w:hyperlink w:anchor="Chapter_17__Testing__Debugging_2">
        <w:r>
          <w:rPr>
            <w:color w:val="0000FF" w:themeColor="hyperlink"/>
            <w:u w:val="single"/>
          </w:rPr>
          <w:t>17. Testing, Debugging, and Optimizing</w:t>
        </w:r>
      </w:hyperlink>
    </w:p>
    <w:p>
      <w:pPr>
        <w:pStyle w:val="Normal"/>
        <w:ind w:left="0" w:firstLineChars="0" w:firstLine="0" w:leftChars="200"/>
      </w:pPr>
      <w:hyperlink w:anchor="Testing__In_this_chapter__we_dis">
        <w:r>
          <w:rPr>
            <w:color w:val="0000FF" w:themeColor="hyperlink"/>
            <w:u w:val="single"/>
          </w:rPr>
          <w:t>Testing</w:t>
        </w:r>
      </w:hyperlink>
    </w:p>
    <w:p>
      <w:pPr>
        <w:pStyle w:val="Normal"/>
        <w:ind w:left="0" w:firstLineChars="0" w:firstLine="0" w:leftChars="400"/>
      </w:pPr>
      <w:hyperlink w:anchor="Unit_Testing_and_System_Testing">
        <w:r>
          <w:rPr>
            <w:color w:val="0000FF" w:themeColor="hyperlink"/>
            <w:u w:val="single"/>
          </w:rPr>
          <w:t>Unit Testing and System Testing</w:t>
        </w:r>
      </w:hyperlink>
    </w:p>
    <w:p>
      <w:pPr>
        <w:pStyle w:val="Normal"/>
        <w:ind w:left="0" w:firstLineChars="0" w:firstLine="0" w:leftChars="400"/>
      </w:pPr>
      <w:hyperlink w:anchor="The_doctest_Module__The_doctest">
        <w:r>
          <w:rPr>
            <w:color w:val="0000FF" w:themeColor="hyperlink"/>
            <w:u w:val="single"/>
          </w:rPr>
          <w:t>The doctest Module</w:t>
        </w:r>
      </w:hyperlink>
    </w:p>
    <w:p>
      <w:pPr>
        <w:pStyle w:val="Normal"/>
        <w:ind w:left="0" w:firstLineChars="0" w:firstLine="0" w:leftChars="400"/>
      </w:pPr>
      <w:hyperlink w:anchor="The_unittest_Module__The_unittes">
        <w:r>
          <w:rPr>
            <w:color w:val="0000FF" w:themeColor="hyperlink"/>
            <w:u w:val="single"/>
          </w:rPr>
          <w:t>The unittest Module</w:t>
        </w:r>
      </w:hyperlink>
    </w:p>
    <w:p>
      <w:pPr>
        <w:pStyle w:val="Normal"/>
        <w:ind w:left="0" w:firstLineChars="0" w:firstLine="0" w:leftChars="400"/>
      </w:pPr>
      <w:hyperlink w:anchor="Testing_with_nose2__nose2_is_a_p">
        <w:r>
          <w:rPr>
            <w:color w:val="0000FF" w:themeColor="hyperlink"/>
            <w:u w:val="single"/>
          </w:rPr>
          <w:t>Testing with nose2</w:t>
        </w:r>
      </w:hyperlink>
    </w:p>
    <w:p>
      <w:pPr>
        <w:pStyle w:val="Normal"/>
        <w:ind w:left="0" w:firstLineChars="0" w:firstLine="0" w:leftChars="400"/>
      </w:pPr>
      <w:hyperlink w:anchor="Testing_with_pytest__The_pytest">
        <w:r>
          <w:rPr>
            <w:color w:val="0000FF" w:themeColor="hyperlink"/>
            <w:u w:val="single"/>
          </w:rPr>
          <w:t>Testing with pytest</w:t>
        </w:r>
      </w:hyperlink>
    </w:p>
    <w:p>
      <w:pPr>
        <w:pStyle w:val="Normal"/>
        <w:ind w:left="0" w:firstLineChars="0" w:firstLine="0" w:leftChars="200"/>
      </w:pPr>
      <w:hyperlink w:anchor="Debugging__Since_Python_s_develo">
        <w:r>
          <w:rPr>
            <w:color w:val="0000FF" w:themeColor="hyperlink"/>
            <w:u w:val="single"/>
          </w:rPr>
          <w:t>Debugging</w:t>
        </w:r>
      </w:hyperlink>
    </w:p>
    <w:p>
      <w:pPr>
        <w:pStyle w:val="Normal"/>
        <w:ind w:left="0" w:firstLineChars="0" w:firstLine="0" w:leftChars="400"/>
      </w:pPr>
      <w:hyperlink w:anchor="Before_You_Debug__Before_you_emb">
        <w:r>
          <w:rPr>
            <w:color w:val="0000FF" w:themeColor="hyperlink"/>
            <w:u w:val="single"/>
          </w:rPr>
          <w:t>Before You Debug</w:t>
        </w:r>
      </w:hyperlink>
    </w:p>
    <w:p>
      <w:pPr>
        <w:pStyle w:val="Normal"/>
        <w:ind w:left="0" w:firstLineChars="0" w:firstLine="0" w:leftChars="400"/>
      </w:pPr>
      <w:hyperlink w:anchor="The_inspect_Module__The_inspect">
        <w:r>
          <w:rPr>
            <w:color w:val="0000FF" w:themeColor="hyperlink"/>
            <w:u w:val="single"/>
          </w:rPr>
          <w:t>The inspect Module</w:t>
        </w:r>
      </w:hyperlink>
    </w:p>
    <w:p>
      <w:pPr>
        <w:pStyle w:val="Normal"/>
        <w:ind w:left="0" w:firstLineChars="0" w:firstLine="0" w:leftChars="400"/>
      </w:pPr>
      <w:hyperlink w:anchor="The_traceback_Module__The_traceb">
        <w:r>
          <w:rPr>
            <w:color w:val="0000FF" w:themeColor="hyperlink"/>
            <w:u w:val="single"/>
          </w:rPr>
          <w:t>The traceback Module</w:t>
        </w:r>
      </w:hyperlink>
    </w:p>
    <w:p>
      <w:pPr>
        <w:pStyle w:val="Normal"/>
        <w:ind w:left="0" w:firstLineChars="0" w:firstLine="0" w:leftChars="400"/>
      </w:pPr>
      <w:hyperlink w:anchor="The_pdb_Module__The_pdb_module_u">
        <w:r>
          <w:rPr>
            <w:color w:val="0000FF" w:themeColor="hyperlink"/>
            <w:u w:val="single"/>
          </w:rPr>
          <w:t>The pdb Module</w:t>
        </w:r>
      </w:hyperlink>
    </w:p>
    <w:p>
      <w:pPr>
        <w:pStyle w:val="Normal"/>
        <w:ind w:left="0" w:firstLineChars="0" w:firstLine="0" w:leftChars="400"/>
      </w:pPr>
      <w:hyperlink w:anchor="Other_Debugging_Modules__While_p">
        <w:r>
          <w:rPr>
            <w:color w:val="0000FF" w:themeColor="hyperlink"/>
            <w:u w:val="single"/>
          </w:rPr>
          <w:t>Other Debugging Modules</w:t>
        </w:r>
      </w:hyperlink>
    </w:p>
    <w:p>
      <w:pPr>
        <w:pStyle w:val="Normal"/>
        <w:ind w:left="0" w:firstLineChars="0" w:firstLine="0" w:leftChars="200"/>
      </w:pPr>
      <w:hyperlink w:anchor="The_warnings_Module__Warnings_ar">
        <w:r>
          <w:rPr>
            <w:color w:val="0000FF" w:themeColor="hyperlink"/>
            <w:u w:val="single"/>
          </w:rPr>
          <w:t>The warnings Module</w:t>
        </w:r>
      </w:hyperlink>
    </w:p>
    <w:p>
      <w:pPr>
        <w:pStyle w:val="Normal"/>
        <w:ind w:left="0" w:firstLineChars="0" w:firstLine="0" w:leftChars="400"/>
      </w:pPr>
      <w:hyperlink w:anchor="Classes__Exception_classes_that">
        <w:r>
          <w:rPr>
            <w:color w:val="0000FF" w:themeColor="hyperlink"/>
            <w:u w:val="single"/>
          </w:rPr>
          <w:t>Classes</w:t>
        </w:r>
      </w:hyperlink>
    </w:p>
    <w:p>
      <w:pPr>
        <w:pStyle w:val="Normal"/>
        <w:ind w:left="0" w:firstLineChars="0" w:firstLine="0" w:leftChars="400"/>
      </w:pPr>
      <w:hyperlink w:anchor="Objects__Python_supplies_no_conc">
        <w:r>
          <w:rPr>
            <w:color w:val="0000FF" w:themeColor="hyperlink"/>
            <w:u w:val="single"/>
          </w:rPr>
          <w:t>Objects</w:t>
        </w:r>
      </w:hyperlink>
    </w:p>
    <w:p>
      <w:pPr>
        <w:pStyle w:val="Normal"/>
        <w:ind w:left="0" w:firstLineChars="0" w:firstLine="0" w:leftChars="400"/>
      </w:pPr>
      <w:hyperlink w:anchor="Filters__At_any_time__the_warnin">
        <w:r>
          <w:rPr>
            <w:color w:val="0000FF" w:themeColor="hyperlink"/>
            <w:u w:val="single"/>
          </w:rPr>
          <w:t>Filters</w:t>
        </w:r>
      </w:hyperlink>
    </w:p>
    <w:p>
      <w:pPr>
        <w:pStyle w:val="Normal"/>
        <w:ind w:left="0" w:firstLineChars="0" w:firstLine="0" w:leftChars="400"/>
      </w:pPr>
      <w:hyperlink w:anchor="Functions__The_warnings_module_s">
        <w:r>
          <w:rPr>
            <w:color w:val="0000FF" w:themeColor="hyperlink"/>
            <w:u w:val="single"/>
          </w:rPr>
          <w:t>Functions</w:t>
        </w:r>
      </w:hyperlink>
    </w:p>
    <w:p>
      <w:pPr>
        <w:pStyle w:val="Normal"/>
        <w:ind w:left="0" w:firstLineChars="0" w:firstLine="0" w:leftChars="200"/>
      </w:pPr>
      <w:hyperlink w:anchor="Optimization___First_make_it_wor">
        <w:r>
          <w:rPr>
            <w:color w:val="0000FF" w:themeColor="hyperlink"/>
            <w:u w:val="single"/>
          </w:rPr>
          <w:t>Optimization</w:t>
        </w:r>
      </w:hyperlink>
    </w:p>
    <w:p>
      <w:pPr>
        <w:pStyle w:val="Normal"/>
        <w:ind w:left="0" w:firstLineChars="0" w:firstLine="0" w:leftChars="400"/>
      </w:pPr>
      <w:hyperlink w:anchor="Developing_a_Fast_Enough_Python">
        <w:r>
          <w:rPr>
            <w:color w:val="0000FF" w:themeColor="hyperlink"/>
            <w:u w:val="single"/>
          </w:rPr>
          <w:t>Developing a Fast-Enough Python Application</w:t>
        </w:r>
      </w:hyperlink>
    </w:p>
    <w:p>
      <w:pPr>
        <w:pStyle w:val="Normal"/>
        <w:ind w:left="0" w:firstLineChars="0" w:firstLine="0" w:leftChars="400"/>
      </w:pPr>
      <w:hyperlink w:anchor="Benchmarking__Benchmarking__also">
        <w:r>
          <w:rPr>
            <w:color w:val="0000FF" w:themeColor="hyperlink"/>
            <w:u w:val="single"/>
          </w:rPr>
          <w:t>Benchmarking</w:t>
        </w:r>
      </w:hyperlink>
    </w:p>
    <w:p>
      <w:pPr>
        <w:pStyle w:val="Normal"/>
        <w:ind w:left="0" w:firstLineChars="0" w:firstLine="0" w:leftChars="400"/>
      </w:pPr>
      <w:hyperlink w:anchor="Large_Scale_Optimization__The_as">
        <w:r>
          <w:rPr>
            <w:color w:val="0000FF" w:themeColor="hyperlink"/>
            <w:u w:val="single"/>
          </w:rPr>
          <w:t>Large-Scale Optimization</w:t>
        </w:r>
      </w:hyperlink>
    </w:p>
    <w:p>
      <w:pPr>
        <w:pStyle w:val="Normal"/>
        <w:ind w:left="0" w:firstLineChars="0" w:firstLine="0" w:leftChars="400"/>
      </w:pPr>
      <w:hyperlink w:anchor="Profiling__As_mentioned_at_the_s">
        <w:r>
          <w:rPr>
            <w:color w:val="0000FF" w:themeColor="hyperlink"/>
            <w:u w:val="single"/>
          </w:rPr>
          <w:t>Profiling</w:t>
        </w:r>
      </w:hyperlink>
    </w:p>
    <w:p>
      <w:pPr>
        <w:pStyle w:val="Normal"/>
        <w:ind w:left="0" w:firstLineChars="0" w:firstLine="0" w:leftChars="400"/>
      </w:pPr>
      <w:hyperlink w:anchor="Small_Scale_Optimization__Fine_t">
        <w:r>
          <w:rPr>
            <w:color w:val="0000FF" w:themeColor="hyperlink"/>
            <w:u w:val="single"/>
          </w:rPr>
          <w:t>Small-Scale Optimization</w:t>
        </w:r>
      </w:hyperlink>
    </w:p>
    <w:p>
      <w:pPr>
        <w:pStyle w:val="Normal"/>
        <w:ind w:left="0" w:firstLineChars="0" w:firstLine="0" w:leftChars="0"/>
      </w:pPr>
      <w:hyperlink w:anchor="Chapter_18__Networking_Basics__C_2">
        <w:r>
          <w:rPr>
            <w:color w:val="0000FF" w:themeColor="hyperlink"/>
            <w:u w:val="single"/>
          </w:rPr>
          <w:t>18. Networking Basics</w:t>
        </w:r>
      </w:hyperlink>
    </w:p>
    <w:p>
      <w:pPr>
        <w:pStyle w:val="Normal"/>
        <w:ind w:left="0" w:firstLineChars="0" w:firstLine="0" w:leftChars="200"/>
      </w:pPr>
      <w:hyperlink w:anchor="The_Berkeley_Socket_Interface__M">
        <w:r>
          <w:rPr>
            <w:color w:val="0000FF" w:themeColor="hyperlink"/>
            <w:u w:val="single"/>
          </w:rPr>
          <w:t>The Berkeley Socket Interface</w:t>
        </w:r>
      </w:hyperlink>
    </w:p>
    <w:p>
      <w:pPr>
        <w:pStyle w:val="Normal"/>
        <w:ind w:left="0" w:firstLineChars="0" w:firstLine="0" w:leftChars="400"/>
      </w:pPr>
      <w:hyperlink w:anchor="Socket_Addresses__The_different">
        <w:r>
          <w:rPr>
            <w:color w:val="0000FF" w:themeColor="hyperlink"/>
            <w:u w:val="single"/>
          </w:rPr>
          <w:t>Socket Addresses</w:t>
        </w:r>
      </w:hyperlink>
    </w:p>
    <w:p>
      <w:pPr>
        <w:pStyle w:val="Normal"/>
        <w:ind w:left="0" w:firstLineChars="0" w:firstLine="0" w:leftChars="400"/>
      </w:pPr>
      <w:hyperlink w:anchor="Client_Server_Computing__The_pat">
        <w:r>
          <w:rPr>
            <w:color w:val="0000FF" w:themeColor="hyperlink"/>
            <w:u w:val="single"/>
          </w:rPr>
          <w:t>Client/Server Computing</w:t>
        </w:r>
      </w:hyperlink>
    </w:p>
    <w:p>
      <w:pPr>
        <w:pStyle w:val="Normal"/>
        <w:ind w:left="0" w:firstLineChars="0" w:firstLine="0" w:leftChars="400"/>
      </w:pPr>
      <w:hyperlink w:anchor="The_socket_Module__Python_s_sock">
        <w:r>
          <w:rPr>
            <w:color w:val="0000FF" w:themeColor="hyperlink"/>
            <w:u w:val="single"/>
          </w:rPr>
          <w:t>The socket Module</w:t>
        </w:r>
      </w:hyperlink>
    </w:p>
    <w:p>
      <w:pPr>
        <w:pStyle w:val="Normal"/>
        <w:ind w:left="0" w:firstLineChars="0" w:firstLine="0" w:leftChars="400"/>
      </w:pPr>
      <w:hyperlink w:anchor="Socket_Objects__The_socket_objec">
        <w:r>
          <w:rPr>
            <w:color w:val="0000FF" w:themeColor="hyperlink"/>
            <w:u w:val="single"/>
          </w:rPr>
          <w:t>Socket Objects</w:t>
        </w:r>
      </w:hyperlink>
    </w:p>
    <w:p>
      <w:pPr>
        <w:pStyle w:val="Normal"/>
        <w:ind w:left="0" w:firstLineChars="0" w:firstLine="0" w:leftChars="400"/>
      </w:pPr>
      <w:hyperlink w:anchor="A_Connectionless_Socket_Client">
        <w:r>
          <w:rPr>
            <w:color w:val="0000FF" w:themeColor="hyperlink"/>
            <w:u w:val="single"/>
          </w:rPr>
          <w:t>A Connectionless Socket Client</w:t>
        </w:r>
      </w:hyperlink>
    </w:p>
    <w:p>
      <w:pPr>
        <w:pStyle w:val="Normal"/>
        <w:ind w:left="0" w:firstLineChars="0" w:firstLine="0" w:leftChars="400"/>
      </w:pPr>
      <w:hyperlink w:anchor="A_Connectionless_Socket_Server">
        <w:r>
          <w:rPr>
            <w:color w:val="0000FF" w:themeColor="hyperlink"/>
            <w:u w:val="single"/>
          </w:rPr>
          <w:t>A Connectionless Socket Server</w:t>
        </w:r>
      </w:hyperlink>
    </w:p>
    <w:p>
      <w:pPr>
        <w:pStyle w:val="Normal"/>
        <w:ind w:left="0" w:firstLineChars="0" w:firstLine="0" w:leftChars="400"/>
      </w:pPr>
      <w:hyperlink w:anchor="A_Connection_Oriented_Socket_Cli">
        <w:r>
          <w:rPr>
            <w:color w:val="0000FF" w:themeColor="hyperlink"/>
            <w:u w:val="single"/>
          </w:rPr>
          <w:t>A Connection-Oriented Socket Client</w:t>
        </w:r>
      </w:hyperlink>
    </w:p>
    <w:p>
      <w:pPr>
        <w:pStyle w:val="Normal"/>
        <w:ind w:left="0" w:firstLineChars="0" w:firstLine="0" w:leftChars="400"/>
      </w:pPr>
      <w:hyperlink w:anchor="A_Connection_Oriented_Socket_Ser">
        <w:r>
          <w:rPr>
            <w:color w:val="0000FF" w:themeColor="hyperlink"/>
            <w:u w:val="single"/>
          </w:rPr>
          <w:t>A Connection-Oriented Socket Server</w:t>
        </w:r>
      </w:hyperlink>
    </w:p>
    <w:p>
      <w:pPr>
        <w:pStyle w:val="Normal"/>
        <w:ind w:left="0" w:firstLineChars="0" w:firstLine="0" w:leftChars="200"/>
      </w:pPr>
      <w:hyperlink w:anchor="Transport_Layer_Security__Transp">
        <w:r>
          <w:rPr>
            <w:color w:val="0000FF" w:themeColor="hyperlink"/>
            <w:u w:val="single"/>
          </w:rPr>
          <w:t>Transport Layer Security</w:t>
        </w:r>
      </w:hyperlink>
    </w:p>
    <w:p>
      <w:pPr>
        <w:pStyle w:val="Normal"/>
        <w:ind w:left="0" w:firstLineChars="0" w:firstLine="0" w:leftChars="200"/>
      </w:pPr>
      <w:hyperlink w:anchor="SSLContext__The_ssl_module_suppl">
        <w:r>
          <w:rPr>
            <w:color w:val="0000FF" w:themeColor="hyperlink"/>
            <w:u w:val="single"/>
          </w:rPr>
          <w:t>SSLContext</w:t>
        </w:r>
      </w:hyperlink>
    </w:p>
    <w:p>
      <w:pPr>
        <w:pStyle w:val="Normal"/>
        <w:ind w:left="0" w:firstLineChars="0" w:firstLine="0" w:leftChars="0"/>
      </w:pPr>
      <w:hyperlink w:anchor="Chapter_19__Client_Side_Network_2">
        <w:r>
          <w:rPr>
            <w:color w:val="0000FF" w:themeColor="hyperlink"/>
            <w:u w:val="single"/>
          </w:rPr>
          <w:t>19. Client-Side Network Protocol Modules</w:t>
        </w:r>
      </w:hyperlink>
    </w:p>
    <w:p>
      <w:pPr>
        <w:pStyle w:val="Normal"/>
        <w:ind w:left="0" w:firstLineChars="0" w:firstLine="0" w:leftChars="200"/>
      </w:pPr>
      <w:hyperlink w:anchor="Email_Protocols__Most_email_toda">
        <w:r>
          <w:rPr>
            <w:color w:val="0000FF" w:themeColor="hyperlink"/>
            <w:u w:val="single"/>
          </w:rPr>
          <w:t>Email Protocols</w:t>
        </w:r>
      </w:hyperlink>
    </w:p>
    <w:p>
      <w:pPr>
        <w:pStyle w:val="Normal"/>
        <w:ind w:left="0" w:firstLineChars="0" w:firstLine="0" w:leftChars="400"/>
      </w:pPr>
      <w:hyperlink w:anchor="The_poplib_Module__The_poplib_mo">
        <w:r>
          <w:rPr>
            <w:color w:val="0000FF" w:themeColor="hyperlink"/>
            <w:u w:val="single"/>
          </w:rPr>
          <w:t>The poplib Module</w:t>
        </w:r>
      </w:hyperlink>
    </w:p>
    <w:p>
      <w:pPr>
        <w:pStyle w:val="Normal"/>
        <w:ind w:left="0" w:firstLineChars="0" w:firstLine="0" w:leftChars="400"/>
      </w:pPr>
      <w:hyperlink w:anchor="The_smtplib_Module__The_smtplib">
        <w:r>
          <w:rPr>
            <w:color w:val="0000FF" w:themeColor="hyperlink"/>
            <w:u w:val="single"/>
          </w:rPr>
          <w:t>The smtplib Module</w:t>
        </w:r>
      </w:hyperlink>
    </w:p>
    <w:p>
      <w:pPr>
        <w:pStyle w:val="Normal"/>
        <w:ind w:left="0" w:firstLineChars="0" w:firstLine="0" w:leftChars="200"/>
      </w:pPr>
      <w:hyperlink w:anchor="HTTP_and_URL_Clients__Most_of_th">
        <w:r>
          <w:rPr>
            <w:color w:val="0000FF" w:themeColor="hyperlink"/>
            <w:u w:val="single"/>
          </w:rPr>
          <w:t>HTTP and URL Clients</w:t>
        </w:r>
      </w:hyperlink>
    </w:p>
    <w:p>
      <w:pPr>
        <w:pStyle w:val="Normal"/>
        <w:ind w:left="0" w:firstLineChars="0" w:firstLine="0" w:leftChars="400"/>
      </w:pPr>
      <w:hyperlink w:anchor="URL_Access__A_URL_is_a_type_of_u">
        <w:r>
          <w:rPr>
            <w:color w:val="0000FF" w:themeColor="hyperlink"/>
            <w:u w:val="single"/>
          </w:rPr>
          <w:t>URL Access</w:t>
        </w:r>
      </w:hyperlink>
    </w:p>
    <w:p>
      <w:pPr>
        <w:pStyle w:val="Normal"/>
        <w:ind w:left="0" w:firstLineChars="0" w:firstLine="0" w:leftChars="400"/>
      </w:pPr>
      <w:hyperlink w:anchor="The_urllib_Package__The_urllib_p">
        <w:r>
          <w:rPr>
            <w:color w:val="0000FF" w:themeColor="hyperlink"/>
            <w:u w:val="single"/>
          </w:rPr>
          <w:t>The urllib Package</w:t>
        </w:r>
      </w:hyperlink>
    </w:p>
    <w:p>
      <w:pPr>
        <w:pStyle w:val="Normal"/>
        <w:ind w:left="0" w:firstLineChars="0" w:firstLine="0" w:leftChars="400"/>
      </w:pPr>
      <w:hyperlink w:anchor="The_Third_Party_requests_Package">
        <w:r>
          <w:rPr>
            <w:color w:val="0000FF" w:themeColor="hyperlink"/>
            <w:u w:val="single"/>
          </w:rPr>
          <w:t>The Third-Party requests Package</w:t>
        </w:r>
      </w:hyperlink>
    </w:p>
    <w:p>
      <w:pPr>
        <w:pStyle w:val="Normal"/>
        <w:ind w:left="0" w:firstLineChars="0" w:firstLine="0" w:leftChars="200"/>
      </w:pPr>
      <w:hyperlink w:anchor="Other_Network_Protocols__Many__m">
        <w:r>
          <w:rPr>
            <w:color w:val="0000FF" w:themeColor="hyperlink"/>
            <w:u w:val="single"/>
          </w:rPr>
          <w:t>Other Network Protocols</w:t>
        </w:r>
      </w:hyperlink>
    </w:p>
    <w:p>
      <w:pPr>
        <w:pStyle w:val="Normal"/>
        <w:ind w:left="0" w:firstLineChars="0" w:firstLine="0" w:leftChars="0"/>
      </w:pPr>
      <w:hyperlink w:anchor="Chapter_20__Serving_HTTP__When_a_2">
        <w:r>
          <w:rPr>
            <w:color w:val="0000FF" w:themeColor="hyperlink"/>
            <w:u w:val="single"/>
          </w:rPr>
          <w:t>20. Serving HTTP</w:t>
        </w:r>
      </w:hyperlink>
    </w:p>
    <w:p>
      <w:pPr>
        <w:pStyle w:val="Normal"/>
        <w:ind w:left="0" w:firstLineChars="0" w:firstLine="0" w:leftChars="200"/>
      </w:pPr>
      <w:hyperlink w:anchor="http_server__Python_s_standard_l">
        <w:r>
          <w:rPr>
            <w:color w:val="0000FF" w:themeColor="hyperlink"/>
            <w:u w:val="single"/>
          </w:rPr>
          <w:t>http.server</w:t>
        </w:r>
      </w:hyperlink>
    </w:p>
    <w:p>
      <w:pPr>
        <w:pStyle w:val="Normal"/>
        <w:ind w:left="0" w:firstLineChars="0" w:firstLine="0" w:leftChars="200"/>
      </w:pPr>
      <w:hyperlink w:anchor="WSGI__Python_s_Web_Server_Gatewa">
        <w:r>
          <w:rPr>
            <w:color w:val="0000FF" w:themeColor="hyperlink"/>
            <w:u w:val="single"/>
          </w:rPr>
          <w:t>WSGI</w:t>
        </w:r>
      </w:hyperlink>
    </w:p>
    <w:p>
      <w:pPr>
        <w:pStyle w:val="Normal"/>
        <w:ind w:left="0" w:firstLineChars="0" w:firstLine="0" w:leftChars="400"/>
      </w:pPr>
      <w:hyperlink w:anchor="WSGI_Servers__An_extensive_list">
        <w:r>
          <w:rPr>
            <w:color w:val="0000FF" w:themeColor="hyperlink"/>
            <w:u w:val="single"/>
          </w:rPr>
          <w:t>WSGI Servers</w:t>
        </w:r>
      </w:hyperlink>
    </w:p>
    <w:p>
      <w:pPr>
        <w:pStyle w:val="Normal"/>
        <w:ind w:left="0" w:firstLineChars="0" w:firstLine="0" w:leftChars="400"/>
      </w:pPr>
      <w:hyperlink w:anchor="ASGI__If_you_re_into_asynchronou">
        <w:r>
          <w:rPr>
            <w:color w:val="0000FF" w:themeColor="hyperlink"/>
            <w:u w:val="single"/>
          </w:rPr>
          <w:t>ASGI</w:t>
        </w:r>
      </w:hyperlink>
    </w:p>
    <w:p>
      <w:pPr>
        <w:pStyle w:val="Normal"/>
        <w:ind w:left="0" w:firstLineChars="0" w:firstLine="0" w:leftChars="200"/>
      </w:pPr>
      <w:hyperlink w:anchor="Python_Web_Frameworks__For_a_sur">
        <w:r>
          <w:rPr>
            <w:color w:val="0000FF" w:themeColor="hyperlink"/>
            <w:u w:val="single"/>
          </w:rPr>
          <w:t>Python Web Frameworks</w:t>
        </w:r>
      </w:hyperlink>
    </w:p>
    <w:p>
      <w:pPr>
        <w:pStyle w:val="Normal"/>
        <w:ind w:left="0" w:firstLineChars="0" w:firstLine="0" w:leftChars="400"/>
      </w:pPr>
      <w:hyperlink w:anchor="_Full_Stack__Versus__Lightweight">
        <w:r>
          <w:rPr>
            <w:color w:val="0000FF" w:themeColor="hyperlink"/>
            <w:u w:val="single"/>
          </w:rPr>
          <w:t>“Full-Stack” Versus “Lightweight” Frameworks</w:t>
        </w:r>
      </w:hyperlink>
    </w:p>
    <w:p>
      <w:pPr>
        <w:pStyle w:val="Normal"/>
        <w:ind w:left="0" w:firstLineChars="0" w:firstLine="0" w:leftChars="400"/>
      </w:pPr>
      <w:hyperlink w:anchor="A_Few_Popular_Full_Stack_Framewo">
        <w:r>
          <w:rPr>
            <w:color w:val="0000FF" w:themeColor="hyperlink"/>
            <w:u w:val="single"/>
          </w:rPr>
          <w:t>A Few Popular Full-Stack Frameworks</w:t>
        </w:r>
      </w:hyperlink>
    </w:p>
    <w:p>
      <w:pPr>
        <w:pStyle w:val="Normal"/>
        <w:ind w:left="0" w:firstLineChars="0" w:firstLine="0" w:leftChars="400"/>
      </w:pPr>
      <w:hyperlink w:anchor="Considerations_When_Using_Lightw">
        <w:r>
          <w:rPr>
            <w:color w:val="0000FF" w:themeColor="hyperlink"/>
            <w:u w:val="single"/>
          </w:rPr>
          <w:t>Considerations When Using Lightweight Frameworks</w:t>
        </w:r>
      </w:hyperlink>
    </w:p>
    <w:p>
      <w:pPr>
        <w:pStyle w:val="Normal"/>
        <w:ind w:left="0" w:firstLineChars="0" w:firstLine="0" w:leftChars="400"/>
      </w:pPr>
      <w:hyperlink w:anchor="A_Few_Popular_Lightweight_Framew">
        <w:r>
          <w:rPr>
            <w:color w:val="0000FF" w:themeColor="hyperlink"/>
            <w:u w:val="single"/>
          </w:rPr>
          <w:t>A Few Popular Lightweight Frameworks</w:t>
        </w:r>
      </w:hyperlink>
    </w:p>
    <w:p>
      <w:pPr>
        <w:pStyle w:val="Normal"/>
        <w:ind w:left="0" w:firstLineChars="0" w:firstLine="0" w:leftChars="0"/>
      </w:pPr>
      <w:hyperlink w:anchor="Chapter_21__Email__MIME__and_Oth_2">
        <w:r>
          <w:rPr>
            <w:color w:val="0000FF" w:themeColor="hyperlink"/>
            <w:u w:val="single"/>
          </w:rPr>
          <w:t>21. Email, MIME, and Other Network Encodings</w:t>
        </w:r>
      </w:hyperlink>
    </w:p>
    <w:p>
      <w:pPr>
        <w:pStyle w:val="Normal"/>
        <w:ind w:left="0" w:firstLineChars="0" w:firstLine="0" w:leftChars="200"/>
      </w:pPr>
      <w:hyperlink w:anchor="MIME_and_Email_Format_Handling">
        <w:r>
          <w:rPr>
            <w:color w:val="0000FF" w:themeColor="hyperlink"/>
            <w:u w:val="single"/>
          </w:rPr>
          <w:t>MIME and Email Format Handling</w:t>
        </w:r>
      </w:hyperlink>
    </w:p>
    <w:p>
      <w:pPr>
        <w:pStyle w:val="Normal"/>
        <w:ind w:left="0" w:firstLineChars="0" w:firstLine="0" w:leftChars="400"/>
      </w:pPr>
      <w:hyperlink w:anchor="Functions_in_the_email_Package">
        <w:r>
          <w:rPr>
            <w:color w:val="0000FF" w:themeColor="hyperlink"/>
            <w:u w:val="single"/>
          </w:rPr>
          <w:t>Functions in the email Package</w:t>
        </w:r>
      </w:hyperlink>
    </w:p>
    <w:p>
      <w:pPr>
        <w:pStyle w:val="Normal"/>
        <w:ind w:left="0" w:firstLineChars="0" w:firstLine="0" w:leftChars="400"/>
      </w:pPr>
      <w:hyperlink w:anchor="The_email_message_Module__The_em">
        <w:r>
          <w:rPr>
            <w:color w:val="0000FF" w:themeColor="hyperlink"/>
            <w:u w:val="single"/>
          </w:rPr>
          <w:t>The email.message Module</w:t>
        </w:r>
      </w:hyperlink>
    </w:p>
    <w:p>
      <w:pPr>
        <w:pStyle w:val="Normal"/>
        <w:ind w:left="0" w:firstLineChars="0" w:firstLine="0" w:leftChars="400"/>
      </w:pPr>
      <w:hyperlink w:anchor="The_email_Generator_Module__The">
        <w:r>
          <w:rPr>
            <w:color w:val="0000FF" w:themeColor="hyperlink"/>
            <w:u w:val="single"/>
          </w:rPr>
          <w:t>The email.Generator Module</w:t>
        </w:r>
      </w:hyperlink>
    </w:p>
    <w:p>
      <w:pPr>
        <w:pStyle w:val="Normal"/>
        <w:ind w:left="0" w:firstLineChars="0" w:firstLine="0" w:leftChars="400"/>
      </w:pPr>
      <w:hyperlink w:anchor="Creating_Messages__The_subpackag">
        <w:r>
          <w:rPr>
            <w:color w:val="0000FF" w:themeColor="hyperlink"/>
            <w:u w:val="single"/>
          </w:rPr>
          <w:t>Creating Messages</w:t>
        </w:r>
      </w:hyperlink>
    </w:p>
    <w:p>
      <w:pPr>
        <w:pStyle w:val="Normal"/>
        <w:ind w:left="0" w:firstLineChars="0" w:firstLine="0" w:leftChars="400"/>
      </w:pPr>
      <w:hyperlink w:anchor="The_email_encoders_Module__The_e">
        <w:r>
          <w:rPr>
            <w:color w:val="0000FF" w:themeColor="hyperlink"/>
            <w:u w:val="single"/>
          </w:rPr>
          <w:t>The email.encoders Module</w:t>
        </w:r>
      </w:hyperlink>
    </w:p>
    <w:p>
      <w:pPr>
        <w:pStyle w:val="Normal"/>
        <w:ind w:left="0" w:firstLineChars="0" w:firstLine="0" w:leftChars="400"/>
      </w:pPr>
      <w:hyperlink w:anchor="The_email_utils_Module__The_emai">
        <w:r>
          <w:rPr>
            <w:color w:val="0000FF" w:themeColor="hyperlink"/>
            <w:u w:val="single"/>
          </w:rPr>
          <w:t>The email.utils Module</w:t>
        </w:r>
      </w:hyperlink>
    </w:p>
    <w:p>
      <w:pPr>
        <w:pStyle w:val="Normal"/>
        <w:ind w:left="0" w:firstLineChars="0" w:firstLine="0" w:leftChars="400"/>
      </w:pPr>
      <w:hyperlink w:anchor="Example_Uses_of_the_email_Packag">
        <w:r>
          <w:rPr>
            <w:color w:val="0000FF" w:themeColor="hyperlink"/>
            <w:u w:val="single"/>
          </w:rPr>
          <w:t>Example Uses of the email Package</w:t>
        </w:r>
      </w:hyperlink>
    </w:p>
    <w:p>
      <w:pPr>
        <w:pStyle w:val="Normal"/>
        <w:ind w:left="0" w:firstLineChars="0" w:firstLine="0" w:leftChars="200"/>
      </w:pPr>
      <w:hyperlink w:anchor="Encoding_Binary_Data_as_ASCII_Te">
        <w:r>
          <w:rPr>
            <w:color w:val="0000FF" w:themeColor="hyperlink"/>
            <w:u w:val="single"/>
          </w:rPr>
          <w:t>Encoding Binary Data as ASCII Text</w:t>
        </w:r>
      </w:hyperlink>
    </w:p>
    <w:p>
      <w:pPr>
        <w:pStyle w:val="Normal"/>
        <w:ind w:left="0" w:firstLineChars="0" w:firstLine="0" w:leftChars="400"/>
      </w:pPr>
      <w:hyperlink w:anchor="The_base64_Module__The_base64_mo">
        <w:r>
          <w:rPr>
            <w:color w:val="0000FF" w:themeColor="hyperlink"/>
            <w:u w:val="single"/>
          </w:rPr>
          <w:t>The base64 Module</w:t>
        </w:r>
      </w:hyperlink>
    </w:p>
    <w:p>
      <w:pPr>
        <w:pStyle w:val="Normal"/>
        <w:ind w:left="0" w:firstLineChars="0" w:firstLine="0" w:leftChars="400"/>
      </w:pPr>
      <w:hyperlink w:anchor="The_quopri_Module__The_quopri_mo">
        <w:r>
          <w:rPr>
            <w:color w:val="0000FF" w:themeColor="hyperlink"/>
            <w:u w:val="single"/>
          </w:rPr>
          <w:t>The quopri Module</w:t>
        </w:r>
      </w:hyperlink>
    </w:p>
    <w:p>
      <w:pPr>
        <w:pStyle w:val="Normal"/>
        <w:ind w:left="0" w:firstLineChars="0" w:firstLine="0" w:leftChars="400"/>
      </w:pPr>
      <w:hyperlink w:anchor="The_uu_Module__The_uu_module1_su">
        <w:r>
          <w:rPr>
            <w:color w:val="0000FF" w:themeColor="hyperlink"/>
            <w:u w:val="single"/>
          </w:rPr>
          <w:t>The uu Module</w:t>
        </w:r>
      </w:hyperlink>
    </w:p>
    <w:p>
      <w:pPr>
        <w:pStyle w:val="Normal"/>
        <w:ind w:left="0" w:firstLineChars="0" w:firstLine="0" w:leftChars="0"/>
      </w:pPr>
      <w:hyperlink w:anchor="Chapter_22__Structured_Text__HTM_2">
        <w:r>
          <w:rPr>
            <w:color w:val="0000FF" w:themeColor="hyperlink"/>
            <w:u w:val="single"/>
          </w:rPr>
          <w:t>22. Structured Text: HTML</w:t>
        </w:r>
      </w:hyperlink>
    </w:p>
    <w:p>
      <w:pPr>
        <w:pStyle w:val="Normal"/>
        <w:ind w:left="0" w:firstLineChars="0" w:firstLine="0" w:leftChars="200"/>
      </w:pPr>
      <w:hyperlink w:anchor="The_html_entities_Module__The_ht">
        <w:r>
          <w:rPr>
            <w:color w:val="0000FF" w:themeColor="hyperlink"/>
            <w:u w:val="single"/>
          </w:rPr>
          <w:t>The html.entities Module</w:t>
        </w:r>
      </w:hyperlink>
    </w:p>
    <w:p>
      <w:pPr>
        <w:pStyle w:val="Normal"/>
        <w:ind w:left="0" w:firstLineChars="0" w:firstLine="0" w:leftChars="200"/>
      </w:pPr>
      <w:hyperlink w:anchor="The_BeautifulSoup_Third_Party_Pa">
        <w:r>
          <w:rPr>
            <w:color w:val="0000FF" w:themeColor="hyperlink"/>
            <w:u w:val="single"/>
          </w:rPr>
          <w:t>The BeautifulSoup Third-Party Package</w:t>
        </w:r>
      </w:hyperlink>
    </w:p>
    <w:p>
      <w:pPr>
        <w:pStyle w:val="Normal"/>
        <w:ind w:left="0" w:firstLineChars="0" w:firstLine="0" w:leftChars="400"/>
      </w:pPr>
      <w:hyperlink w:anchor="The_BeautifulSoup_Class__The_bs4">
        <w:r>
          <w:rPr>
            <w:color w:val="0000FF" w:themeColor="hyperlink"/>
            <w:u w:val="single"/>
          </w:rPr>
          <w:t>The BeautifulSoup Class</w:t>
        </w:r>
      </w:hyperlink>
    </w:p>
    <w:p>
      <w:pPr>
        <w:pStyle w:val="Normal"/>
        <w:ind w:left="0" w:firstLineChars="0" w:firstLine="0" w:leftChars="400"/>
      </w:pPr>
      <w:hyperlink w:anchor="The_Navigable_Classes_of_bs4__An">
        <w:r>
          <w:rPr>
            <w:color w:val="0000FF" w:themeColor="hyperlink"/>
            <w:u w:val="single"/>
          </w:rPr>
          <w:t>The Navigable Classes of bs4</w:t>
        </w:r>
      </w:hyperlink>
    </w:p>
    <w:p>
      <w:pPr>
        <w:pStyle w:val="Normal"/>
        <w:ind w:left="0" w:firstLineChars="0" w:firstLine="0" w:leftChars="400"/>
      </w:pPr>
      <w:hyperlink w:anchor="bs4_find____Methods__aka_Search">
        <w:r>
          <w:rPr>
            <w:color w:val="0000FF" w:themeColor="hyperlink"/>
            <w:u w:val="single"/>
          </w:rPr>
          <w:t>bs4 find… Methods (aka Search Methods)</w:t>
        </w:r>
      </w:hyperlink>
    </w:p>
    <w:p>
      <w:pPr>
        <w:pStyle w:val="Normal"/>
        <w:ind w:left="0" w:firstLineChars="0" w:firstLine="0" w:leftChars="400"/>
      </w:pPr>
      <w:hyperlink w:anchor="bs4_CSS_Selectors__bs4_tags_supp">
        <w:r>
          <w:rPr>
            <w:color w:val="0000FF" w:themeColor="hyperlink"/>
            <w:u w:val="single"/>
          </w:rPr>
          <w:t>bs4 CSS Selectors</w:t>
        </w:r>
      </w:hyperlink>
    </w:p>
    <w:p>
      <w:pPr>
        <w:pStyle w:val="Normal"/>
        <w:ind w:left="0" w:firstLineChars="0" w:firstLine="0" w:leftChars="400"/>
      </w:pPr>
      <w:hyperlink w:anchor="An_HTML_Parsing_Example_with_Bea">
        <w:r>
          <w:rPr>
            <w:color w:val="0000FF" w:themeColor="hyperlink"/>
            <w:u w:val="single"/>
          </w:rPr>
          <w:t>An HTML Parsing Example with BeautifulSoup</w:t>
        </w:r>
      </w:hyperlink>
    </w:p>
    <w:p>
      <w:pPr>
        <w:pStyle w:val="Normal"/>
        <w:ind w:left="0" w:firstLineChars="0" w:firstLine="0" w:leftChars="200"/>
      </w:pPr>
      <w:hyperlink w:anchor="Generating_HTML__Python_does_not">
        <w:r>
          <w:rPr>
            <w:color w:val="0000FF" w:themeColor="hyperlink"/>
            <w:u w:val="single"/>
          </w:rPr>
          <w:t>Generating HTML</w:t>
        </w:r>
      </w:hyperlink>
    </w:p>
    <w:p>
      <w:pPr>
        <w:pStyle w:val="Normal"/>
        <w:ind w:left="0" w:firstLineChars="0" w:firstLine="0" w:leftChars="400"/>
      </w:pPr>
      <w:hyperlink w:anchor="Editing_and_Creating_HTML_with_b">
        <w:r>
          <w:rPr>
            <w:color w:val="0000FF" w:themeColor="hyperlink"/>
            <w:u w:val="single"/>
          </w:rPr>
          <w:t>Editing and Creating HTML with bs4</w:t>
        </w:r>
      </w:hyperlink>
    </w:p>
    <w:p>
      <w:pPr>
        <w:pStyle w:val="Normal"/>
        <w:ind w:left="0" w:firstLineChars="0" w:firstLine="0" w:leftChars="400"/>
      </w:pPr>
      <w:hyperlink w:anchor="Building_HTML_with_bs4__Here_s_a">
        <w:r>
          <w:rPr>
            <w:color w:val="0000FF" w:themeColor="hyperlink"/>
            <w:u w:val="single"/>
          </w:rPr>
          <w:t>Building HTML with bs4</w:t>
        </w:r>
      </w:hyperlink>
    </w:p>
    <w:p>
      <w:pPr>
        <w:pStyle w:val="Normal"/>
        <w:ind w:left="0" w:firstLineChars="0" w:firstLine="0" w:leftChars="400"/>
      </w:pPr>
      <w:hyperlink w:anchor="Templating__To_generate_HTML__th">
        <w:r>
          <w:rPr>
            <w:color w:val="0000FF" w:themeColor="hyperlink"/>
            <w:u w:val="single"/>
          </w:rPr>
          <w:t>Templating</w:t>
        </w:r>
      </w:hyperlink>
    </w:p>
    <w:p>
      <w:pPr>
        <w:pStyle w:val="Normal"/>
        <w:ind w:left="0" w:firstLineChars="0" w:firstLine="0" w:leftChars="400"/>
      </w:pPr>
      <w:hyperlink w:anchor="The_jinja2_Package__For_serious">
        <w:r>
          <w:rPr>
            <w:color w:val="0000FF" w:themeColor="hyperlink"/>
            <w:u w:val="single"/>
          </w:rPr>
          <w:t>The jinja2 Package</w:t>
        </w:r>
      </w:hyperlink>
    </w:p>
    <w:p>
      <w:pPr>
        <w:pStyle w:val="Normal"/>
        <w:ind w:left="0" w:firstLineChars="0" w:firstLine="0" w:leftChars="0"/>
      </w:pPr>
      <w:hyperlink w:anchor="Chapter_23__Structured_Text__XML_2">
        <w:r>
          <w:rPr>
            <w:color w:val="0000FF" w:themeColor="hyperlink"/>
            <w:u w:val="single"/>
          </w:rPr>
          <w:t>23. Structured Text: XML</w:t>
        </w:r>
      </w:hyperlink>
    </w:p>
    <w:p>
      <w:pPr>
        <w:pStyle w:val="Normal"/>
        <w:ind w:left="0" w:firstLineChars="0" w:firstLine="0" w:leftChars="200"/>
      </w:pPr>
      <w:hyperlink w:anchor="ElementTree__Python_and_third_pa">
        <w:r>
          <w:rPr>
            <w:color w:val="0000FF" w:themeColor="hyperlink"/>
            <w:u w:val="single"/>
          </w:rPr>
          <w:t>ElementTree</w:t>
        </w:r>
      </w:hyperlink>
    </w:p>
    <w:p>
      <w:pPr>
        <w:pStyle w:val="Normal"/>
        <w:ind w:left="0" w:firstLineChars="0" w:firstLine="0" w:leftChars="400"/>
      </w:pPr>
      <w:hyperlink w:anchor="The_Element_Class__The_Element_c">
        <w:r>
          <w:rPr>
            <w:color w:val="0000FF" w:themeColor="hyperlink"/>
            <w:u w:val="single"/>
          </w:rPr>
          <w:t>The Element Class</w:t>
        </w:r>
      </w:hyperlink>
    </w:p>
    <w:p>
      <w:pPr>
        <w:pStyle w:val="Normal"/>
        <w:ind w:left="0" w:firstLineChars="0" w:firstLine="0" w:leftChars="400"/>
      </w:pPr>
      <w:hyperlink w:anchor="The_ElementTree_Class__The_Eleme">
        <w:r>
          <w:rPr>
            <w:color w:val="0000FF" w:themeColor="hyperlink"/>
            <w:u w:val="single"/>
          </w:rPr>
          <w:t>The ElementTree Class</w:t>
        </w:r>
      </w:hyperlink>
    </w:p>
    <w:p>
      <w:pPr>
        <w:pStyle w:val="Normal"/>
        <w:ind w:left="0" w:firstLineChars="0" w:firstLine="0" w:leftChars="400"/>
      </w:pPr>
      <w:hyperlink w:anchor="Functions_in_the_ElementTree_Mod">
        <w:r>
          <w:rPr>
            <w:color w:val="0000FF" w:themeColor="hyperlink"/>
            <w:u w:val="single"/>
          </w:rPr>
          <w:t>Functions in the ElementTree Module</w:t>
        </w:r>
      </w:hyperlink>
    </w:p>
    <w:p>
      <w:pPr>
        <w:pStyle w:val="Normal"/>
        <w:ind w:left="0" w:firstLineChars="0" w:firstLine="0" w:leftChars="200"/>
      </w:pPr>
      <w:hyperlink w:anchor="Parsing_XML_with_ElementTree_par">
        <w:r>
          <w:rPr>
            <w:color w:val="0000FF" w:themeColor="hyperlink"/>
            <w:u w:val="single"/>
          </w:rPr>
          <w:t>Parsing XML with ElementTree.parse</w:t>
        </w:r>
      </w:hyperlink>
    </w:p>
    <w:p>
      <w:pPr>
        <w:pStyle w:val="Normal"/>
        <w:ind w:left="0" w:firstLineChars="0" w:firstLine="0" w:leftChars="400"/>
      </w:pPr>
      <w:hyperlink w:anchor="Selecting_Elements_from_an_Eleme">
        <w:r>
          <w:rPr>
            <w:color w:val="0000FF" w:themeColor="hyperlink"/>
            <w:u w:val="single"/>
          </w:rPr>
          <w:t>Selecting Elements from an ElementTree</w:t>
        </w:r>
      </w:hyperlink>
    </w:p>
    <w:p>
      <w:pPr>
        <w:pStyle w:val="Normal"/>
        <w:ind w:left="0" w:firstLineChars="0" w:firstLine="0" w:leftChars="400"/>
      </w:pPr>
      <w:hyperlink w:anchor="Editing_an_ElementTree__Once_an">
        <w:r>
          <w:rPr>
            <w:color w:val="0000FF" w:themeColor="hyperlink"/>
            <w:u w:val="single"/>
          </w:rPr>
          <w:t>Editing an ElementTree</w:t>
        </w:r>
      </w:hyperlink>
    </w:p>
    <w:p>
      <w:pPr>
        <w:pStyle w:val="Normal"/>
        <w:ind w:left="0" w:firstLineChars="0" w:firstLine="0" w:leftChars="200"/>
      </w:pPr>
      <w:hyperlink w:anchor="Building_an_ElementTree_from_Scr">
        <w:r>
          <w:rPr>
            <w:color w:val="0000FF" w:themeColor="hyperlink"/>
            <w:u w:val="single"/>
          </w:rPr>
          <w:t>Building an ElementTree from Scratch</w:t>
        </w:r>
      </w:hyperlink>
    </w:p>
    <w:p>
      <w:pPr>
        <w:pStyle w:val="Normal"/>
        <w:ind w:left="0" w:firstLineChars="0" w:firstLine="0" w:leftChars="200"/>
      </w:pPr>
      <w:hyperlink w:anchor="Parsing_XML_Iteratively__For_tas">
        <w:r>
          <w:rPr>
            <w:color w:val="0000FF" w:themeColor="hyperlink"/>
            <w:u w:val="single"/>
          </w:rPr>
          <w:t>Parsing XML Iteratively</w:t>
        </w:r>
      </w:hyperlink>
    </w:p>
    <w:p>
      <w:pPr>
        <w:pStyle w:val="Normal"/>
        <w:ind w:left="0" w:firstLineChars="0" w:firstLine="0" w:leftChars="0"/>
      </w:pPr>
      <w:hyperlink w:anchor="Chapter_24__Packaging_Programs_a_2">
        <w:r>
          <w:rPr>
            <w:color w:val="0000FF" w:themeColor="hyperlink"/>
            <w:u w:val="single"/>
          </w:rPr>
          <w:t>24. Packaging Programs and Extensions</w:t>
        </w:r>
      </w:hyperlink>
    </w:p>
    <w:p>
      <w:pPr>
        <w:pStyle w:val="Normal"/>
        <w:ind w:left="0" w:firstLineChars="0" w:firstLine="0" w:leftChars="200"/>
      </w:pPr>
      <w:hyperlink w:anchor="What_We_Don_t_Cover_in_This_Chap">
        <w:r>
          <w:rPr>
            <w:color w:val="0000FF" w:themeColor="hyperlink"/>
            <w:u w:val="single"/>
          </w:rPr>
          <w:t>What We Don’t Cover in This Chapter</w:t>
        </w:r>
      </w:hyperlink>
    </w:p>
    <w:p>
      <w:pPr>
        <w:pStyle w:val="Normal"/>
        <w:ind w:left="0" w:firstLineChars="0" w:firstLine="0" w:leftChars="200"/>
      </w:pPr>
      <w:hyperlink w:anchor="A_Brief_History_of_Python_Packag">
        <w:r>
          <w:rPr>
            <w:color w:val="0000FF" w:themeColor="hyperlink"/>
            <w:u w:val="single"/>
          </w:rPr>
          <w:t>A Brief History of Python Packaging</w:t>
        </w:r>
      </w:hyperlink>
    </w:p>
    <w:p>
      <w:pPr>
        <w:pStyle w:val="Normal"/>
        <w:ind w:left="0" w:firstLineChars="0" w:firstLine="0" w:leftChars="200"/>
      </w:pPr>
      <w:hyperlink w:anchor="Online_Material__As_mentioned_at">
        <w:r>
          <w:rPr>
            <w:color w:val="0000FF" w:themeColor="hyperlink"/>
            <w:u w:val="single"/>
          </w:rPr>
          <w:t>Online Material</w:t>
        </w:r>
      </w:hyperlink>
    </w:p>
    <w:p>
      <w:pPr>
        <w:pStyle w:val="Normal"/>
        <w:ind w:left="0" w:firstLineChars="0" w:firstLine="0" w:leftChars="0"/>
      </w:pPr>
      <w:hyperlink w:anchor="Chapter_25__Extending_and_Embedd_2">
        <w:r>
          <w:rPr>
            <w:color w:val="0000FF" w:themeColor="hyperlink"/>
            <w:u w:val="single"/>
          </w:rPr>
          <w:t>25. Extending and Embedding Classic Python</w:t>
        </w:r>
      </w:hyperlink>
    </w:p>
    <w:p>
      <w:pPr>
        <w:pStyle w:val="Normal"/>
        <w:ind w:left="0" w:firstLineChars="0" w:firstLine="0" w:leftChars="200"/>
      </w:pPr>
      <w:hyperlink w:anchor="Online_Material___This_Chapter_A">
        <w:r>
          <w:rPr>
            <w:color w:val="0000FF" w:themeColor="hyperlink"/>
            <w:u w:val="single"/>
          </w:rPr>
          <w:t>Online Material</w:t>
        </w:r>
      </w:hyperlink>
    </w:p>
    <w:p>
      <w:pPr>
        <w:pStyle w:val="Normal"/>
        <w:ind w:left="0" w:firstLineChars="0" w:firstLine="0" w:leftChars="0"/>
      </w:pPr>
      <w:hyperlink w:anchor="Chapter_26__v3_7_to_v3_n_Migrati_2">
        <w:r>
          <w:rPr>
            <w:color w:val="0000FF" w:themeColor="hyperlink"/>
            <w:u w:val="single"/>
          </w:rPr>
          <w:t>26. v3.7 to v3.n Migration</w:t>
        </w:r>
      </w:hyperlink>
    </w:p>
    <w:p>
      <w:pPr>
        <w:pStyle w:val="Normal"/>
        <w:ind w:left="0" w:firstLineChars="0" w:firstLine="0" w:leftChars="200"/>
      </w:pPr>
      <w:hyperlink w:anchor="Significant_Changes_in_Python_Th">
        <w:r>
          <w:rPr>
            <w:color w:val="0000FF" w:themeColor="hyperlink"/>
            <w:u w:val="single"/>
          </w:rPr>
          <w:t>Significant Changes in Python Through 3.11</w:t>
        </w:r>
      </w:hyperlink>
    </w:p>
    <w:p>
      <w:pPr>
        <w:pStyle w:val="Normal"/>
        <w:ind w:left="0" w:firstLineChars="0" w:firstLine="0" w:leftChars="200"/>
      </w:pPr>
      <w:hyperlink w:anchor="Planning_a_Python_Version_Upgrad">
        <w:r>
          <w:rPr>
            <w:color w:val="0000FF" w:themeColor="hyperlink"/>
            <w:u w:val="single"/>
          </w:rPr>
          <w:t>Planning a Python Version Upgrade</w:t>
        </w:r>
      </w:hyperlink>
    </w:p>
    <w:p>
      <w:pPr>
        <w:pStyle w:val="Normal"/>
        <w:ind w:left="0" w:firstLineChars="0" w:firstLine="0" w:leftChars="400"/>
      </w:pPr>
      <w:hyperlink w:anchor="Choosing_a_Target_Version__Befor">
        <w:r>
          <w:rPr>
            <w:color w:val="0000FF" w:themeColor="hyperlink"/>
            <w:u w:val="single"/>
          </w:rPr>
          <w:t>Choosing a Target Version</w:t>
        </w:r>
      </w:hyperlink>
    </w:p>
    <w:p>
      <w:pPr>
        <w:pStyle w:val="Normal"/>
        <w:ind w:left="0" w:firstLineChars="0" w:firstLine="0" w:leftChars="400"/>
      </w:pPr>
      <w:hyperlink w:anchor="Scoping_the_Work__After_you_have">
        <w:r>
          <w:rPr>
            <w:color w:val="0000FF" w:themeColor="hyperlink"/>
            <w:u w:val="single"/>
          </w:rPr>
          <w:t>Scoping the Work</w:t>
        </w:r>
      </w:hyperlink>
    </w:p>
    <w:p>
      <w:pPr>
        <w:pStyle w:val="Normal"/>
        <w:ind w:left="0" w:firstLineChars="0" w:firstLine="0" w:leftChars="400"/>
      </w:pPr>
      <w:hyperlink w:anchor="Applying_the_Code_Changes__Once">
        <w:r>
          <w:rPr>
            <w:color w:val="0000FF" w:themeColor="hyperlink"/>
            <w:u w:val="single"/>
          </w:rPr>
          <w:t>Applying the Code Changes</w:t>
        </w:r>
      </w:hyperlink>
    </w:p>
    <w:p>
      <w:pPr>
        <w:pStyle w:val="Normal"/>
        <w:ind w:left="0" w:firstLineChars="0" w:firstLine="0" w:leftChars="400"/>
      </w:pPr>
      <w:hyperlink w:anchor="Upgrade_Automation_Using_pyupgra">
        <w:r>
          <w:rPr>
            <w:color w:val="0000FF" w:themeColor="hyperlink"/>
            <w:u w:val="single"/>
          </w:rPr>
          <w:t>Upgrade Automation Using pyupgrade</w:t>
        </w:r>
      </w:hyperlink>
    </w:p>
    <w:p>
      <w:pPr>
        <w:pStyle w:val="Normal"/>
        <w:ind w:left="0" w:firstLineChars="0" w:firstLine="0" w:leftChars="400"/>
      </w:pPr>
      <w:hyperlink w:anchor="Multiversion_Testing__Make_sure">
        <w:r>
          <w:rPr>
            <w:color w:val="0000FF" w:themeColor="hyperlink"/>
            <w:u w:val="single"/>
          </w:rPr>
          <w:t>Multiversion Testing</w:t>
        </w:r>
      </w:hyperlink>
    </w:p>
    <w:p>
      <w:pPr>
        <w:pStyle w:val="Normal"/>
        <w:ind w:left="0" w:firstLineChars="0" w:firstLine="0" w:leftChars="400"/>
      </w:pPr>
      <w:hyperlink w:anchor="Use_a_Controlled_Deployment_Proc">
        <w:r>
          <w:rPr>
            <w:color w:val="0000FF" w:themeColor="hyperlink"/>
            <w:u w:val="single"/>
          </w:rPr>
          <w:t>Use a Controlled Deployment Process</w:t>
        </w:r>
      </w:hyperlink>
    </w:p>
    <w:p>
      <w:pPr>
        <w:pStyle w:val="Normal"/>
        <w:ind w:left="0" w:firstLineChars="0" w:firstLine="0" w:leftChars="400"/>
      </w:pPr>
      <w:hyperlink w:anchor="How_Often_Should_You_Upgrade___T">
        <w:r>
          <w:rPr>
            <w:color w:val="0000FF" w:themeColor="hyperlink"/>
            <w:u w:val="single"/>
          </w:rPr>
          <w:t>How Often Should You Upgrade?</w:t>
        </w:r>
      </w:hyperlink>
    </w:p>
    <w:p>
      <w:pPr>
        <w:pStyle w:val="Normal"/>
        <w:ind w:left="0" w:firstLineChars="0" w:firstLine="0" w:leftChars="200"/>
      </w:pPr>
      <w:hyperlink w:anchor="Summary__Maintaining_the_version">
        <w:r>
          <w:rPr>
            <w:color w:val="0000FF" w:themeColor="hyperlink"/>
            <w:u w:val="single"/>
          </w:rPr>
          <w:t>Summary</w:t>
        </w:r>
      </w:hyperlink>
    </w:p>
    <w:p>
      <w:pPr>
        <w:pStyle w:val="Normal"/>
        <w:ind w:left="0" w:firstLineChars="0" w:firstLine="0" w:leftChars="0"/>
      </w:pPr>
      <w:hyperlink w:anchor="Appendix__New_Features_and_Chang_2">
        <w:r>
          <w:rPr>
            <w:color w:val="0000FF" w:themeColor="hyperlink"/>
            <w:u w:val="single"/>
          </w:rPr>
          <w:t>Appendix. New Features and Changes in Python 3.7 Through 3.11</w:t>
        </w:r>
      </w:hyperlink>
    </w:p>
    <w:p>
      <w:pPr>
        <w:pStyle w:val="Normal"/>
        <w:ind w:left="0" w:firstLineChars="0" w:firstLine="0" w:leftChars="200"/>
      </w:pPr>
      <w:hyperlink w:anchor="Python_3_7__The_following_table">
        <w:r>
          <w:rPr>
            <w:color w:val="0000FF" w:themeColor="hyperlink"/>
            <w:u w:val="single"/>
          </w:rPr>
          <w:t>Python 3.7</w:t>
        </w:r>
      </w:hyperlink>
    </w:p>
    <w:p>
      <w:pPr>
        <w:pStyle w:val="Normal"/>
        <w:ind w:left="0" w:firstLineChars="0" w:firstLine="0" w:leftChars="200"/>
      </w:pPr>
      <w:hyperlink w:anchor="Python_3_8__The_following_table">
        <w:r>
          <w:rPr>
            <w:color w:val="0000FF" w:themeColor="hyperlink"/>
            <w:u w:val="single"/>
          </w:rPr>
          <w:t>Python 3.8</w:t>
        </w:r>
      </w:hyperlink>
    </w:p>
    <w:p>
      <w:pPr>
        <w:pStyle w:val="Normal"/>
        <w:ind w:left="0" w:firstLineChars="0" w:firstLine="0" w:leftChars="200"/>
      </w:pPr>
      <w:hyperlink w:anchor="Python_3_9__The_following_table">
        <w:r>
          <w:rPr>
            <w:color w:val="0000FF" w:themeColor="hyperlink"/>
            <w:u w:val="single"/>
          </w:rPr>
          <w:t>Python 3.9</w:t>
        </w:r>
      </w:hyperlink>
    </w:p>
    <w:p>
      <w:pPr>
        <w:pStyle w:val="Normal"/>
        <w:ind w:left="0" w:firstLineChars="0" w:firstLine="0" w:leftChars="200"/>
      </w:pPr>
      <w:hyperlink w:anchor="Python_3_10__The_following_table">
        <w:r>
          <w:rPr>
            <w:color w:val="0000FF" w:themeColor="hyperlink"/>
            <w:u w:val="single"/>
          </w:rPr>
          <w:t>Python 3.10</w:t>
        </w:r>
      </w:hyperlink>
    </w:p>
    <w:p>
      <w:pPr>
        <w:pStyle w:val="Normal"/>
        <w:ind w:left="0" w:firstLineChars="0" w:firstLine="0" w:leftChars="200"/>
      </w:pPr>
      <w:hyperlink w:anchor="Python_3_11__The_following_table">
        <w:r>
          <w:rPr>
            <w:color w:val="0000FF" w:themeColor="hyperlink"/>
            <w:u w:val="single"/>
          </w:rPr>
          <w:t>Python 3.11</w:t>
        </w:r>
      </w:hyperlink>
    </w:p>
    <w:p>
      <w:pPr>
        <w:pStyle w:val="Normal"/>
        <w:ind w:left="0" w:firstLineChars="0" w:firstLine="0" w:leftChars="0"/>
      </w:pPr>
      <w:hyperlink w:anchor="IndexSymbols___exclamation_point_2">
        <w:r>
          <w:rPr>
            <w:color w:val="0000FF" w:themeColor="hyperlink"/>
            <w:u w:val="single"/>
          </w:rPr>
          <w:t>Index</w:t>
        </w:r>
      </w:hyperlink>
    </w:p>
    <w:p>
      <w:pPr>
        <w:pStyle w:val="Normal"/>
        <w:ind w:left="0" w:firstLineChars="0" w:firstLine="0" w:leftChars="0"/>
      </w:pPr>
      <w:hyperlink w:anchor="About_the_Authors__Alex_Martelli_2">
        <w:r>
          <w:rPr>
            <w:color w:val="0000FF" w:themeColor="hyperlink"/>
            <w:u w:val="single"/>
          </w:rPr>
          <w:t>About the Authors</w:t>
        </w:r>
      </w:hyperlink>
      <w:r>
        <w:fldChar w:fldCharType="end"/>
      </w:r>
    </w:p>
    <w:p>
      <w:bookmarkStart w:id="1" w:name="Python_in_a_Nutshell_A_Desktop_Q_2"/>
      <w:bookmarkStart w:id="2" w:name="Python_in_a_Nutshell_A_Desktop_Q"/>
      <w:bookmarkStart w:id="3" w:name="Python_in_a_Nutshell_A_Desktop_Q_1"/>
      <w:pPr>
        <w:keepNext/>
        <w:pStyle w:val="Heading 1"/>
        <w:pageBreakBefore w:val="on"/>
      </w:pPr>
      <w:r>
        <w:t>Python in a Nutshell</w:t>
      </w:r>
      <w:bookmarkEnd w:id="1"/>
      <w:bookmarkEnd w:id="2"/>
      <w:bookmarkEnd w:id="3"/>
    </w:p>
    <w:p>
      <w:pPr>
        <w:pStyle w:val="Normal"/>
      </w:pPr>
      <w:r>
        <w:t>A Desktop Quick Reference</w:t>
      </w:r>
    </w:p>
    <w:p>
      <w:pPr>
        <w:pStyle w:val="Para 093"/>
      </w:pPr>
      <w:r>
        <w:t>Fourth Edition</w:t>
      </w:r>
    </w:p>
    <w:p>
      <w:pPr>
        <w:pStyle w:val="Normal"/>
      </w:pPr>
      <w:r>
        <w:t xml:space="preserve">Alex Martelli, Anna Martelli Ravenscroft, </w:t>
        <w:t>Steve Holden</w:t>
        <w:t>, and Paul McGuire</w:t>
      </w:r>
    </w:p>
    <w:p>
      <w:bookmarkStart w:id="4" w:name="Python_in_a_Nutshell__by_Alex__M_2"/>
      <w:bookmarkStart w:id="5" w:name="Python_in_a_Nutshell__by_Alex__M"/>
      <w:bookmarkStart w:id="6" w:name="Python_in_a_Nutshell__by_Alex__M_1"/>
      <w:bookmarkStart w:id="7" w:name="Top_of_copyright_page01_html"/>
      <w:pPr>
        <w:keepNext/>
        <w:pStyle w:val="Heading 1"/>
        <w:pageBreakBefore w:val="on"/>
      </w:pPr>
      <w:r>
        <w:t>Python in a Nutshell</w:t>
      </w:r>
      <w:bookmarkEnd w:id="4"/>
      <w:bookmarkEnd w:id="5"/>
      <w:bookmarkEnd w:id="6"/>
      <w:bookmarkEnd w:id="7"/>
    </w:p>
    <w:p>
      <w:pPr>
        <w:pStyle w:val="Normal"/>
      </w:pPr>
      <w:r>
        <w:t xml:space="preserve">by </w:t>
        <w:t xml:space="preserve">Alex </w:t>
        <w:t xml:space="preserve"> </w:t>
        <w:t>Martelli</w:t>
        <w:t xml:space="preserve">, </w:t>
        <w:t xml:space="preserve">Anna </w:t>
        <w:t xml:space="preserve"> </w:t>
        <w:t>Martelli Ravenscroft</w:t>
        <w:t xml:space="preserve">, </w:t>
        <w:t xml:space="preserve">Steve </w:t>
        <w:t xml:space="preserve"> </w:t>
        <w:t>Holden</w:t>
        <w:t xml:space="preserve">, and </w:t>
        <w:t xml:space="preserve">Paul </w:t>
        <w:t xml:space="preserve"> </w:t>
        <w:t>McGuire</w:t>
      </w:r>
    </w:p>
    <w:p>
      <w:pPr>
        <w:pStyle w:val="Normal"/>
      </w:pPr>
      <w:r>
        <w:t>Copyright © 2023 Alex Martelli, Anna Martelli Ravenscroft, Steve Holden, and Paul McGuire.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13">
        <w:r>
          <w:rPr>
            <w:rStyle w:val="Text24"/>
          </w:rPr>
          <w:t>http://oreilly.com</w:t>
        </w:r>
      </w:hyperlink>
      <w:r>
        <w:t xml:space="preserve">). For more information, contact our corporate/institutional sales department: 800-998-9938 or </w:t>
      </w:r>
      <w:r>
        <w:rPr>
          <w:rStyle w:val="Text4"/>
        </w:rPr>
        <w:t>corporate@oreilly.com</w:t>
      </w:r>
      <w:r>
        <w:t>.</w:t>
      </w:r>
    </w:p>
    <w:p>
      <w:pPr>
        <w:pStyle w:val="Para 023"/>
      </w:pPr>
      <w:r>
        <w:t/>
        <w:t>Acquisitions Editor:</w:t>
        <w:t xml:space="preserve"> Brian Guerin </w:t>
      </w:r>
    </w:p>
    <w:p>
      <w:pPr>
        <w:pStyle w:val="Para 023"/>
      </w:pPr>
      <w:r>
        <w:t/>
        <w:t>Development Editor:</w:t>
        <w:t xml:space="preserve"> Angela Rufino </w:t>
      </w:r>
    </w:p>
    <w:p>
      <w:pPr>
        <w:pStyle w:val="Para 023"/>
      </w:pPr>
      <w:r>
        <w:t/>
        <w:t>Production Editor:</w:t>
        <w:t xml:space="preserve"> Christopher Faucher </w:t>
      </w:r>
    </w:p>
    <w:p>
      <w:pPr>
        <w:pStyle w:val="Para 023"/>
      </w:pPr>
      <w:r>
        <w:t/>
        <w:t>Copyeditor:</w:t>
        <w:t xml:space="preserve"> Rachel Head </w:t>
      </w:r>
    </w:p>
    <w:p>
      <w:pPr>
        <w:pStyle w:val="Para 023"/>
      </w:pPr>
      <w:r>
        <w:t/>
        <w:t>Proofreader:</w:t>
        <w:t xml:space="preserve"> Sonia Saruba </w:t>
      </w:r>
    </w:p>
    <w:p>
      <w:pPr>
        <w:pStyle w:val="Para 023"/>
      </w:pPr>
      <w:r>
        <w:t/>
        <w:t>Indexer:</w:t>
        <w:t xml:space="preserve"> Judith McConville </w:t>
      </w:r>
    </w:p>
    <w:p>
      <w:pPr>
        <w:pStyle w:val="Para 023"/>
      </w:pPr>
      <w:r>
        <w:t/>
        <w:t>Interior Designer:</w:t>
        <w:t xml:space="preserve"> David Futato </w:t>
      </w:r>
    </w:p>
    <w:p>
      <w:pPr>
        <w:pStyle w:val="Para 023"/>
      </w:pPr>
      <w:r>
        <w:t/>
        <w:t>Cover Designer:</w:t>
        <w:t xml:space="preserve"> Karen Montgomery </w:t>
      </w:r>
    </w:p>
    <w:p>
      <w:pPr>
        <w:pStyle w:val="Para 023"/>
      </w:pPr>
      <w:r>
        <w:t/>
        <w:t>Illustrator:</w:t>
        <w:t xml:space="preserve"> O’Reilly Media, Inc. </w:t>
      </w:r>
    </w:p>
    <w:p>
      <w:pPr>
        <w:pStyle w:val="Para 078"/>
      </w:pPr>
      <w:r>
        <w:t xml:space="preserve"> </w:t>
      </w:r>
    </w:p>
    <w:p>
      <w:pPr>
        <w:pStyle w:val="Para 023"/>
      </w:pPr>
      <w:r>
        <w:t>March 2003:</w:t>
        <w:t xml:space="preserve"> First Edition</w:t>
      </w:r>
    </w:p>
    <w:p>
      <w:pPr>
        <w:pStyle w:val="Para 023"/>
      </w:pPr>
      <w:r>
        <w:t>July 2006:</w:t>
        <w:t xml:space="preserve"> Second Edition</w:t>
      </w:r>
    </w:p>
    <w:p>
      <w:pPr>
        <w:pStyle w:val="Para 023"/>
      </w:pPr>
      <w:r>
        <w:t>April 2017:</w:t>
        <w:t xml:space="preserve"> Third Edition</w:t>
      </w:r>
    </w:p>
    <w:p>
      <w:pPr>
        <w:pStyle w:val="Para 023"/>
      </w:pPr>
      <w:r>
        <w:t>January 2023:</w:t>
        <w:t xml:space="preserve"> Fourth Edition</w:t>
      </w:r>
    </w:p>
    <w:p>
      <w:pPr>
        <w:pStyle w:val="Para 078"/>
      </w:pPr>
      <w:r>
        <w:t xml:space="preserve"> </w:t>
      </w:r>
    </w:p>
    <w:p>
      <w:pPr>
        <w:keepNext/>
        <w:pStyle w:val="Heading 1"/>
      </w:pPr>
      <w:r>
        <w:t>Revision History for the Fourth Edition</w:t>
      </w:r>
    </w:p>
    <w:p>
      <w:pPr>
        <w:pStyle w:val="Para 023"/>
      </w:pPr>
      <w:r>
        <w:t>2023-01-09:</w:t>
        <w:t xml:space="preserve"> First Release</w:t>
      </w:r>
    </w:p>
    <w:p>
      <w:pPr>
        <w:pStyle w:val="Para 060"/>
      </w:pPr>
      <w:r>
        <w:rPr>
          <w:rStyle w:val="Text52"/>
        </w:rPr>
        <w:t xml:space="preserve">See </w:t>
      </w:r>
      <w:hyperlink r:id="rId14">
        <w:r>
          <w:t>https://www.oreilly.com/catalog/errata.csp?isbn=0636920602804</w:t>
        </w:r>
      </w:hyperlink>
      <w:r>
        <w:rPr>
          <w:rStyle w:val="Text52"/>
        </w:rPr>
        <w:t xml:space="preserve"> for release details.</w:t>
      </w:r>
    </w:p>
    <w:p>
      <w:pPr>
        <w:pStyle w:val="Normal"/>
      </w:pPr>
      <w:r>
        <w:t xml:space="preserve">The O’Reilly logo is a registered trademark of O’Reilly Media, Inc. </w:t>
      </w:r>
      <w:r>
        <w:rPr>
          <w:rStyle w:val="Text4"/>
        </w:rPr>
        <w:t>Python in a Nutshell</w:t>
      </w:r>
      <w:r>
        <w:t>, the cover image, and related trade dress are trademarks of O’Reilly Media, Inc.</w:t>
      </w:r>
    </w:p>
    <w:p>
      <w:pPr>
        <w:pStyle w:val="Normal"/>
      </w:pPr>
      <w:r>
        <w:t xml:space="preserve">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978-1-098-11355-1</w:t>
      </w:r>
    </w:p>
    <w:p>
      <w:pPr>
        <w:pStyle w:val="Normal"/>
      </w:pPr>
      <w:r>
        <w:t>[LSI]</w:t>
      </w:r>
    </w:p>
    <w:p>
      <w:bookmarkStart w:id="8" w:name="Preface__The_Python_programming_2"/>
      <w:bookmarkStart w:id="9" w:name="Top_of_preface01_html"/>
      <w:bookmarkStart w:id="10" w:name="Preface__The_Python_programming_1"/>
      <w:bookmarkStart w:id="11" w:name="Preface__The_Python_programming"/>
      <w:pPr>
        <w:keepNext/>
        <w:pStyle w:val="Heading 1"/>
        <w:pageBreakBefore w:val="on"/>
      </w:pPr>
      <w:r>
        <w:t>Preface</w:t>
      </w:r>
      <w:bookmarkEnd w:id="8"/>
      <w:bookmarkEnd w:id="9"/>
      <w:bookmarkEnd w:id="10"/>
      <w:bookmarkEnd w:id="11"/>
    </w:p>
    <w:p>
      <w:pPr>
        <w:pStyle w:val="Normal"/>
      </w:pPr>
      <w:r>
        <w:t>The Python programming language reconciles many apparent contradictions: elegant yet pragmatic, simple yet powerful, it’s very high-level yet doesn’t get in your way when you need to fiddle with bits and bytes, and it’s suitable for novice programmers and great for experts, too.</w:t>
      </w:r>
    </w:p>
    <w:p>
      <w:pPr>
        <w:pStyle w:val="Normal"/>
      </w:pPr>
      <w:r>
        <w:t>This book is intended for programmers with some previous exposure to Python, as well as experienced programmers coming to Python for the first time from other languages. It provides a quick reference to Python itself, the most commonly used parts of its vast standard library, and a few of the most popular and useful third-party modules and packages. The Python ecosystem has grown so much in richness, scope, and complexity that a single volume can no longer reasonably hope to be encyclopedic. Still, the book covers a wide range of application areas, including web and network programming, XML handling, database interactions, and high-speed numeric computing. It also explores Python’s cross-platform capabilities and the basics of extending Python and embedding it in other applications.</w:t>
      </w:r>
    </w:p>
    <w:p>
      <w:bookmarkStart w:id="12" w:name="How_To_Use_This_Book__While_you"/>
      <w:pPr>
        <w:keepNext/>
        <w:pStyle w:val="Heading 1"/>
      </w:pPr>
      <w:r>
        <w:t>How To Use This Book</w:t>
      </w:r>
      <w:bookmarkEnd w:id="12"/>
    </w:p>
    <w:p>
      <w:pPr>
        <w:pStyle w:val="Normal"/>
      </w:pPr>
      <w:r>
        <w:t>While you can read this volume linearly from the beginning, we also aim for it to be a useful reference for the working programmer. You may choose to use the index to locate items of interest, or to read specific chapters for coverage of their particular topics. However you use it, we sincerely hope you enjoy reading what represents the fruit of the best part of a year’s work for the team.</w:t>
      </w:r>
    </w:p>
    <w:p>
      <w:pPr>
        <w:pStyle w:val="Normal"/>
      </w:pPr>
      <w:r>
        <w:t>The</w:t>
      </w:r>
      <w:r>
        <w:rPr>
          <w:rStyle w:val="Text111"/>
        </w:rPr>
        <w:bookmarkStart w:id="13" w:name="idm45965284108752"/>
        <w:t/>
        <w:bookmarkEnd w:id="13"/>
      </w:r>
      <w:r>
        <w:t xml:space="preserve"> book has five parts, as follows.</w:t>
      </w:r>
    </w:p>
    <w:p>
      <w:bookmarkStart w:id="14" w:name="Part_I__Getting_Started_with_Pyt"/>
      <w:pPr>
        <w:pStyle w:val="0 Block"/>
      </w:pPr>
      <w:bookmarkEnd w:id="14"/>
    </w:p>
    <w:p>
      <w:pPr>
        <w:keepNext/>
        <w:pStyle w:val="Heading 2"/>
      </w:pPr>
      <w:r>
        <w:t>Part I, Getting Started with Python</w:t>
      </w:r>
    </w:p>
    <w:p>
      <w:pPr>
        <w:pStyle w:val="Para 031"/>
      </w:pPr>
      <w:hyperlink w:anchor="Chapter_1__Introduction_to_Pytho_2">
        <w:r>
          <w:t>Chapter 1, “Introduction to Python”</w:t>
        </w:r>
      </w:hyperlink>
    </w:p>
    <w:p>
      <w:pPr>
        <w:pStyle w:val="Para 016"/>
      </w:pPr>
      <w:r>
        <w:t>Covers the general characteristics of the Python language, its implementations, where to get help and information, how to participate in the Python community, and how to obtain and install Python on your computer(s) or run it in your browser.</w:t>
      </w:r>
    </w:p>
    <w:p>
      <w:pPr>
        <w:pStyle w:val="Para 031"/>
      </w:pPr>
      <w:hyperlink w:anchor="Chapter_2__The_Python_Interprete_2">
        <w:r>
          <w:t>Chapter 2, “The Python Interpreter”</w:t>
        </w:r>
      </w:hyperlink>
    </w:p>
    <w:p>
      <w:pPr>
        <w:pStyle w:val="Para 016"/>
      </w:pPr>
      <w:r>
        <w:t>Covers the Python interpreter program, its command-line options, and how to use it to run Python programs and in interactive sessions. The chapter mentions text editors for editing Python programs and auxiliary programs for checking your Python sources, along with some full-fledged integrated development environments, including IDLE, which comes free with standard Python. The chapter also covers running Python programs from the command line.</w:t>
      </w:r>
    </w:p>
    <w:p>
      <w:bookmarkStart w:id="15" w:name="Part_II__Core_Python_Language_an"/>
      <w:pPr>
        <w:pStyle w:val="0 Block"/>
      </w:pPr>
      <w:bookmarkEnd w:id="15"/>
    </w:p>
    <w:p>
      <w:pPr>
        <w:keepNext/>
        <w:pStyle w:val="Heading 2"/>
      </w:pPr>
      <w:r>
        <w:t>Part II, Core Python Language and Built-ins</w:t>
      </w:r>
    </w:p>
    <w:p>
      <w:pPr>
        <w:pStyle w:val="Para 031"/>
      </w:pPr>
      <w:hyperlink w:anchor="Chapter_3__The_Python_Language_2">
        <w:r>
          <w:t>Chapter 3, “The Python Language”</w:t>
        </w:r>
      </w:hyperlink>
    </w:p>
    <w:p>
      <w:pPr>
        <w:pStyle w:val="Para 016"/>
      </w:pPr>
      <w:r>
        <w:t>Covers Python syntax, built-in data types, expressions, statements, control flow, and how to write and call functions.</w:t>
      </w:r>
    </w:p>
    <w:p>
      <w:pPr>
        <w:pStyle w:val="Para 031"/>
      </w:pPr>
      <w:hyperlink w:anchor="Chapter_4__Object_Oriented_Pytho_2">
        <w:r>
          <w:t>Chapter 4, “Object-Oriented Python”</w:t>
        </w:r>
      </w:hyperlink>
    </w:p>
    <w:p>
      <w:pPr>
        <w:pStyle w:val="Para 016"/>
      </w:pPr>
      <w:r>
        <w:t>Covers object-oriented programming in Python.</w:t>
      </w:r>
    </w:p>
    <w:p>
      <w:pPr>
        <w:pStyle w:val="Para 031"/>
      </w:pPr>
      <w:hyperlink w:anchor="Chapter_5__Type_Annotations__Ann_2">
        <w:r>
          <w:t>Chapter 5, “Type Annotations”</w:t>
        </w:r>
      </w:hyperlink>
    </w:p>
    <w:p>
      <w:pPr>
        <w:pStyle w:val="Para 016"/>
      </w:pPr>
      <w:r>
        <w:t>Covers how to add type information to your Python code, to gain type hinting and autocomplete help from modern code editors and support static type checking from type checkers and linters.</w:t>
      </w:r>
    </w:p>
    <w:p>
      <w:pPr>
        <w:pStyle w:val="Para 031"/>
      </w:pPr>
      <w:hyperlink w:anchor="Chapter_6__Exceptions__Python_us_2">
        <w:r>
          <w:t>Chapter 6, “Exceptions”</w:t>
        </w:r>
      </w:hyperlink>
    </w:p>
    <w:p>
      <w:pPr>
        <w:pStyle w:val="Para 016"/>
      </w:pPr>
      <w:r>
        <w:t>Covers how to use exceptions for errors and special situations, logging, and how to write code to automatically clean up when exceptions occur.</w:t>
      </w:r>
    </w:p>
    <w:p>
      <w:pPr>
        <w:pStyle w:val="Para 031"/>
      </w:pPr>
      <w:hyperlink w:anchor="Chapter_7__Modules_and_Packages_2">
        <w:r>
          <w:t>Chapter 7, “Modules and Packages”</w:t>
        </w:r>
      </w:hyperlink>
    </w:p>
    <w:p>
      <w:pPr>
        <w:pStyle w:val="Para 016"/>
      </w:pPr>
      <w:r>
        <w:t>Covers how Python lets you group code into modules and packages, how to define and import modules, and how to install third-party Python packages. This chapter also covers working with virtual environments to isolate project dependencies.</w:t>
      </w:r>
    </w:p>
    <w:p>
      <w:pPr>
        <w:pStyle w:val="Para 031"/>
      </w:pPr>
      <w:hyperlink w:anchor="Chapter_8__Core_Built_ins_and_St_2">
        <w:r>
          <w:t>Chapter 8, “Core Built-ins and Standard Library Modules”</w:t>
        </w:r>
      </w:hyperlink>
    </w:p>
    <w:p>
      <w:pPr>
        <w:pStyle w:val="Para 016"/>
      </w:pPr>
      <w:r>
        <w:t>Covers built-in data types and functions, and some of the most fundamental modules in the Python standard library (roughly speaking, the set of modules supplying functionality that, in some other languages, is built into the language itself).</w:t>
      </w:r>
    </w:p>
    <w:p>
      <w:pPr>
        <w:pStyle w:val="Para 031"/>
      </w:pPr>
      <w:hyperlink w:anchor="Chapter_9__Strings_and_Things__P_2">
        <w:r>
          <w:t>Chapter 9, “Strings and Things”</w:t>
        </w:r>
      </w:hyperlink>
    </w:p>
    <w:p>
      <w:pPr>
        <w:pStyle w:val="Para 016"/>
      </w:pPr>
      <w:r>
        <w:t>Covers Python’s facilities for processing strings, including Unicode strings, bytestrings, and string literals.</w:t>
      </w:r>
    </w:p>
    <w:p>
      <w:pPr>
        <w:pStyle w:val="Para 031"/>
      </w:pPr>
      <w:hyperlink w:anchor="Chapter_10__Regular_Expressions_2">
        <w:r>
          <w:t>Chapter 10, “Regular Expressions”</w:t>
        </w:r>
      </w:hyperlink>
    </w:p>
    <w:p>
      <w:pPr>
        <w:pStyle w:val="Para 016"/>
      </w:pPr>
      <w:r>
        <w:t>Covers Python’s support for regular expressions.</w:t>
      </w:r>
    </w:p>
    <w:p>
      <w:bookmarkStart w:id="16" w:name="Part_III__Python_Library_and_Ext"/>
      <w:pPr>
        <w:pStyle w:val="0 Block"/>
      </w:pPr>
      <w:bookmarkEnd w:id="16"/>
    </w:p>
    <w:p>
      <w:pPr>
        <w:keepNext/>
        <w:pStyle w:val="Heading 2"/>
      </w:pPr>
      <w:r>
        <w:t>Part III, Python Library and Extension Modules</w:t>
      </w:r>
    </w:p>
    <w:p>
      <w:pPr>
        <w:pStyle w:val="Para 031"/>
      </w:pPr>
      <w:hyperlink w:anchor="Chapter_11__File_and_Text_Operat_2">
        <w:r>
          <w:t>Chapter 11, “File and Text Operations”</w:t>
        </w:r>
      </w:hyperlink>
    </w:p>
    <w:p>
      <w:pPr>
        <w:pStyle w:val="Para 016"/>
      </w:pPr>
      <w:r>
        <w:t>Covers dealing with files and text with many modules from Python’s standard library and platform-specific extensions for rich text I/O. This chapter also covers issues regarding internationalization and localization.</w:t>
      </w:r>
    </w:p>
    <w:p>
      <w:pPr>
        <w:pStyle w:val="Para 031"/>
      </w:pPr>
      <w:hyperlink w:anchor="Chapter_12__Persistence_and_Data_2">
        <w:r>
          <w:t>Chapter 12, “Persistence and Databases”</w:t>
        </w:r>
      </w:hyperlink>
    </w:p>
    <w:p>
      <w:pPr>
        <w:pStyle w:val="Para 016"/>
      </w:pPr>
      <w:r>
        <w:t>Covers Python’s serialization and persistence mechanisms and its interfaces to DBM databases and relational (SQL-based) databases, particularly the handy SQLite that comes with Python’s standard library.</w:t>
      </w:r>
    </w:p>
    <w:p>
      <w:pPr>
        <w:pStyle w:val="Para 031"/>
      </w:pPr>
      <w:hyperlink w:anchor="Chapter_13__Time_Operations__A_P_2">
        <w:r>
          <w:t>Chapter 13, “Time Operations”</w:t>
        </w:r>
      </w:hyperlink>
    </w:p>
    <w:p>
      <w:pPr>
        <w:pStyle w:val="Para 016"/>
      </w:pPr>
      <w:r>
        <w:t>Covers dealing with times and dates in Python, with the standard library and third-party extensions.</w:t>
      </w:r>
    </w:p>
    <w:p>
      <w:pPr>
        <w:pStyle w:val="Para 031"/>
      </w:pPr>
      <w:hyperlink w:anchor="Chapter_14__Customizing_Executio_2">
        <w:r>
          <w:t>Chapter 14, “Customizing Execution”</w:t>
        </w:r>
      </w:hyperlink>
    </w:p>
    <w:p>
      <w:pPr>
        <w:pStyle w:val="Para 016"/>
      </w:pPr>
      <w:r>
        <w:t>Covers ways to achieve advanced execution control in Python, including execution of dynamically generated code and control of garbage collection. This chapter also covers some Python internal types, and the specific issue of registering “cleanup” functions to execute at program termination time.</w:t>
      </w:r>
    </w:p>
    <w:p>
      <w:pPr>
        <w:pStyle w:val="Para 031"/>
      </w:pPr>
      <w:hyperlink w:anchor="Chapter_15__Concurrency__Threads_2">
        <w:r>
          <w:t>Chapter 15, “Concurrency: Threads and Processes”</w:t>
        </w:r>
      </w:hyperlink>
    </w:p>
    <w:p>
      <w:pPr>
        <w:pStyle w:val="Para 016"/>
      </w:pPr>
      <w:r>
        <w:t>Covers Python’s functionality for concurrent execution, both via multiple threads running within one process and via multiple processes running on a single machine.</w:t>
      </w:r>
      <w:hyperlink w:anchor="1_The_separate_chapter_on_asynch">
        <w:r>
          <w:rPr>
            <w:rStyle w:val="Text95"/>
          </w:rPr>
          <w:bookmarkStart w:id="17" w:name="1"/>
          <w:t>1</w:t>
          <w:bookmarkEnd w:id="17"/>
        </w:r>
      </w:hyperlink>
      <w:r>
        <w:t xml:space="preserve"> This chapter also covers how to access the process’s environment, and how to access files via memory-mapping mechanisms.</w:t>
      </w:r>
    </w:p>
    <w:p>
      <w:pPr>
        <w:pStyle w:val="Para 031"/>
      </w:pPr>
      <w:hyperlink w:anchor="Chapter_16__Numeric_Processing_2">
        <w:r>
          <w:t>Chapter 16, “Numeric Processing”</w:t>
        </w:r>
      </w:hyperlink>
    </w:p>
    <w:p>
      <w:pPr>
        <w:pStyle w:val="Para 016"/>
      </w:pPr>
      <w:r>
        <w:t>Covers Python’s features for numeric computations, both in standard library modules and in third-party extension packages; in particular, how to use decimal numbers or fractions instead of the default binary floating-point numbers. This chapter also covers how to get and use pseudorandom and truly random numbers, and how to speedily process whole arrays (and matrices) of numbers.</w:t>
      </w:r>
    </w:p>
    <w:p>
      <w:pPr>
        <w:pStyle w:val="Para 031"/>
      </w:pPr>
      <w:hyperlink w:anchor="Chapter_17__Testing__Debugging_2">
        <w:r>
          <w:t>Chapter 17, “Testing, Debugging, and Optimizing”</w:t>
        </w:r>
      </w:hyperlink>
    </w:p>
    <w:p>
      <w:pPr>
        <w:pStyle w:val="Para 016"/>
      </w:pPr>
      <w:r>
        <w:t>Covers Python tools and approaches that help you make sure that your programs are correct (i.e., that they do what they’re meant to do), find and fix errors in your programs, and check and enhance your programs’ performance. This chapter also covers the concept of warnings and the Python library module that deals with them.</w:t>
      </w:r>
    </w:p>
    <w:p>
      <w:bookmarkStart w:id="18" w:name="Part_IV__Network_and_Web_Program"/>
      <w:pPr>
        <w:pStyle w:val="0 Block"/>
      </w:pPr>
      <w:bookmarkEnd w:id="18"/>
    </w:p>
    <w:p>
      <w:pPr>
        <w:keepNext/>
        <w:pStyle w:val="Heading 2"/>
      </w:pPr>
      <w:r>
        <w:t>Part IV, Network and Web Programming</w:t>
      </w:r>
    </w:p>
    <w:p>
      <w:pPr>
        <w:pStyle w:val="Para 031"/>
      </w:pPr>
      <w:hyperlink w:anchor="Chapter_18__Networking_Basics__C_2">
        <w:r>
          <w:t>Chapter 18, “Networking Basics”</w:t>
        </w:r>
      </w:hyperlink>
    </w:p>
    <w:p>
      <w:pPr>
        <w:pStyle w:val="Para 016"/>
      </w:pPr>
      <w:r>
        <w:t>Covers the basics of networking with Python.</w:t>
      </w:r>
    </w:p>
    <w:p>
      <w:pPr>
        <w:pStyle w:val="Para 031"/>
      </w:pPr>
      <w:hyperlink w:anchor="Chapter_19__Client_Side_Network_2">
        <w:r>
          <w:t xml:space="preserve">Chapter 19, “Client-Side Network </w:t>
          <w:t>Protocol Modules</w:t>
          <w:t>”</w:t>
        </w:r>
      </w:hyperlink>
    </w:p>
    <w:p>
      <w:pPr>
        <w:pStyle w:val="Para 016"/>
      </w:pPr>
      <w:r>
        <w:t>Covers modules in Python’s standard library to write network client programs, particularly for dealing with various network protocols from the client side, sending and receiving emails, and handling URLs.</w:t>
      </w:r>
    </w:p>
    <w:p>
      <w:pPr>
        <w:pStyle w:val="Para 031"/>
      </w:pPr>
      <w:hyperlink w:anchor="Chapter_20__Serving_HTTP__When_a_2">
        <w:r>
          <w:t>Chapter 20, “Serving HTTP”</w:t>
        </w:r>
      </w:hyperlink>
    </w:p>
    <w:p>
      <w:pPr>
        <w:pStyle w:val="Para 016"/>
      </w:pPr>
      <w:r>
        <w:t>Covers how to serve HTTP for web applications in Python, using popular third-party lightweight Python frameworks leveraging Python’s WSGI standard interface to web servers.</w:t>
      </w:r>
    </w:p>
    <w:p>
      <w:pPr>
        <w:pStyle w:val="Para 031"/>
      </w:pPr>
      <w:hyperlink w:anchor="Chapter_21__Email__MIME__and_Oth_2">
        <w:r>
          <w:t xml:space="preserve">Chapter 21, “Email, MIME, and Other </w:t>
          <w:t>Network Encodings</w:t>
          <w:t>”</w:t>
        </w:r>
      </w:hyperlink>
    </w:p>
    <w:p>
      <w:pPr>
        <w:pStyle w:val="Para 016"/>
      </w:pPr>
      <w:r>
        <w:t>Covers how to process email messages and other network-structured and encoded documents in Python.</w:t>
      </w:r>
    </w:p>
    <w:p>
      <w:pPr>
        <w:pStyle w:val="Para 031"/>
      </w:pPr>
      <w:hyperlink w:anchor="Chapter_22__Structured_Text__HTM_2">
        <w:r>
          <w:t>Chapter 22, “Structured Text: HTML”</w:t>
        </w:r>
      </w:hyperlink>
    </w:p>
    <w:p>
      <w:pPr>
        <w:pStyle w:val="Para 016"/>
      </w:pPr>
      <w:r>
        <w:t>Covers popular third-party Python extension modules to process, modify, and generate HTML documents.</w:t>
      </w:r>
    </w:p>
    <w:p>
      <w:pPr>
        <w:pStyle w:val="Para 031"/>
      </w:pPr>
      <w:hyperlink w:anchor="Chapter_23__Structured_Text__XML_2">
        <w:r>
          <w:t>Chapter 23, “Structured Text: XML”</w:t>
        </w:r>
      </w:hyperlink>
    </w:p>
    <w:p>
      <w:pPr>
        <w:pStyle w:val="Para 016"/>
      </w:pPr>
      <w:r>
        <w:t>Covers Python library modules and popular extensions to process, modify, and generate XML documents.</w:t>
      </w:r>
    </w:p>
    <w:p>
      <w:bookmarkStart w:id="19" w:name="Part_V__Extending__Distributing"/>
      <w:pPr>
        <w:pStyle w:val="0 Block"/>
      </w:pPr>
      <w:bookmarkEnd w:id="19"/>
    </w:p>
    <w:p>
      <w:pPr>
        <w:keepNext/>
        <w:pStyle w:val="Heading 2"/>
      </w:pPr>
      <w:r>
        <w:t>Part V, Extending, Distributing, and Version Upgrade and Migration</w:t>
      </w:r>
    </w:p>
    <w:p>
      <w:pPr>
        <w:pStyle w:val="Normal"/>
      </w:pPr>
      <w:r>
        <w:t xml:space="preserve">Chapters 24 and 25 are included in summary form in the print edition of this book. You will find the full content of these chapters in the supporting online repository, described in </w:t>
      </w:r>
      <w:hyperlink w:anchor="How_to_Contact_Us_Please_address">
        <w:r>
          <w:rPr>
            <w:rStyle w:val="Text1"/>
          </w:rPr>
          <w:t>“How to Contact Us”</w:t>
        </w:r>
      </w:hyperlink>
      <w:r>
        <w:t>.</w:t>
      </w:r>
    </w:p>
    <w:p>
      <w:pPr>
        <w:pStyle w:val="Para 031"/>
      </w:pPr>
      <w:hyperlink w:anchor="Chapter_24__Packaging_Programs_a_2">
        <w:r>
          <w:t>Chapter 24, “Packaging Programs and Extensions”</w:t>
        </w:r>
      </w:hyperlink>
    </w:p>
    <w:p>
      <w:pPr>
        <w:pStyle w:val="Para 016"/>
      </w:pPr>
      <w:r>
        <w:t>Covers tools and modules to package and share Python modules and applications.</w:t>
      </w:r>
    </w:p>
    <w:p>
      <w:pPr>
        <w:pStyle w:val="Para 031"/>
      </w:pPr>
      <w:hyperlink w:anchor="Chapter_25__Extending_and_Embedd_2">
        <w:r>
          <w:t>Chapter 25, “Extending and Embedding Classic Python”</w:t>
        </w:r>
      </w:hyperlink>
    </w:p>
    <w:p>
      <w:pPr>
        <w:pStyle w:val="Para 016"/>
      </w:pPr>
      <w:r>
        <w:t>Covers how to code Python extension modules using Python’s C API, Cython, and other tools.</w:t>
      </w:r>
    </w:p>
    <w:p>
      <w:pPr>
        <w:pStyle w:val="Para 031"/>
      </w:pPr>
      <w:hyperlink w:anchor="Chapter_26__v3_7_to_v3_n_Migrati_2">
        <w:r>
          <w:t>Chapter 26, “v3.7 to v3.n Migration”</w:t>
        </w:r>
      </w:hyperlink>
    </w:p>
    <w:p>
      <w:pPr>
        <w:pStyle w:val="Para 016"/>
      </w:pPr>
      <w:r>
        <w:t>Covers topics and best practices for planning and deploying version upgrades for Python users ranging from individuals to library maintainers to enterprise-wide deployment and support staff.</w:t>
      </w:r>
    </w:p>
    <w:p>
      <w:pPr>
        <w:pStyle w:val="Para 031"/>
      </w:pPr>
      <w:hyperlink w:anchor="Appendix__New_Features_and_Chang_2">
        <w:r>
          <w:t>Appendix, “New Features and Changes in Python 3.7 Through 3.11”</w:t>
        </w:r>
      </w:hyperlink>
    </w:p>
    <w:p>
      <w:pPr>
        <w:pStyle w:val="Para 016"/>
      </w:pPr>
      <w:r>
        <w:t>Provides a detailed list of features and changes in Python language syntax and the standard library, by version.</w:t>
      </w:r>
    </w:p>
    <w:p>
      <w:bookmarkStart w:id="20" w:name="Conventions_Used_in_This_Book__T"/>
      <w:pPr>
        <w:keepNext/>
        <w:pStyle w:val="Heading 1"/>
      </w:pPr>
      <w:r>
        <w:t>Conventions Used in This Book</w:t>
      </w:r>
      <w:bookmarkEnd w:id="20"/>
    </w:p>
    <w:p>
      <w:pPr>
        <w:pStyle w:val="Normal"/>
      </w:pPr>
      <w:r>
        <w:t>The following conventions are used throughout this book.</w:t>
      </w:r>
    </w:p>
    <w:p>
      <w:bookmarkStart w:id="21" w:name="Reference_Conventions__In_the_fu"/>
      <w:pPr>
        <w:keepNext/>
        <w:pStyle w:val="Heading 2"/>
      </w:pPr>
      <w:r>
        <w:t>Reference Conventions</w:t>
      </w:r>
      <w:bookmarkEnd w:id="21"/>
    </w:p>
    <w:p>
      <w:pPr>
        <w:pStyle w:val="Normal"/>
      </w:pPr>
      <w:r>
        <w:t xml:space="preserve">In the function/method reference entries, when feasible, each optional parameter is shown with a default value using the Python syntax </w:t>
      </w:r>
      <w:r>
        <w:rPr>
          <w:rStyle w:val="Text3"/>
        </w:rPr>
        <w:t>name=value</w:t>
      </w:r>
      <w:r>
        <w:t>. Built-in functions need not accept named parameters, so parameter names may not be significant. Some optional parameters are best explained in terms of their presence or absence, rather than through default values. In such cases, we indicate that a parameter is optional by enclosing it in brackets (</w:t>
      </w:r>
      <w:r>
        <w:rPr>
          <w:rStyle w:val="Text0"/>
        </w:rPr>
        <w:t>[]</w:t>
      </w:r>
      <w:r>
        <w:t>). When more than one argument is optional, brackets can be nested.</w:t>
      </w:r>
    </w:p>
    <w:p>
      <w:bookmarkStart w:id="22" w:name="Version_Conventions__This_book_c"/>
      <w:pPr>
        <w:keepNext/>
        <w:pStyle w:val="Heading 2"/>
      </w:pPr>
      <w:r>
        <w:t>Version Conventions</w:t>
      </w:r>
      <w:bookmarkEnd w:id="22"/>
    </w:p>
    <w:p>
      <w:pPr>
        <w:pStyle w:val="Normal"/>
      </w:pPr>
      <w:r>
        <w:t>This</w:t>
      </w:r>
      <w:r>
        <w:rPr>
          <w:rStyle w:val="Text111"/>
        </w:rPr>
        <w:bookmarkStart w:id="23" w:name="idm45965284116816"/>
        <w:t/>
        <w:bookmarkEnd w:id="23"/>
        <w:bookmarkStart w:id="24" w:name="idm45965284115408"/>
        <w:t/>
        <w:bookmarkEnd w:id="24"/>
        <w:bookmarkStart w:id="25" w:name="idm45965284114304"/>
        <w:t/>
        <w:bookmarkEnd w:id="25"/>
        <w:bookmarkStart w:id="26" w:name="idm45965284113200"/>
        <w:t/>
        <w:bookmarkEnd w:id="26"/>
        <w:bookmarkStart w:id="27" w:name="idm45965284111760"/>
        <w:t/>
        <w:bookmarkEnd w:id="27"/>
      </w:r>
      <w:r>
        <w:t xml:space="preserve"> book covers changes and features in Python versions 3.7 through 3.11.</w:t>
      </w:r>
    </w:p>
    <w:p>
      <w:pPr>
        <w:pStyle w:val="Normal"/>
      </w:pPr>
      <w:r>
        <w:t>Python 3.7 serves as the base version for all tables and code examples, unless otherwise noted.</w:t>
      </w:r>
      <w:hyperlink w:anchor="2_For_example__to_accommodate_th">
        <w:r>
          <w:rPr>
            <w:rStyle w:val="Text41"/>
          </w:rPr>
          <w:bookmarkStart w:id="28" w:name="2"/>
          <w:t>2</w:t>
          <w:bookmarkEnd w:id="28"/>
        </w:r>
      </w:hyperlink>
      <w:r>
        <w:t xml:space="preserve"> You will see these notations to indicate changes or features added and removed across the range of covered versions:</w:t>
      </w:r>
    </w:p>
    <w:p>
      <w:pPr>
        <w:pStyle w:val="Para 010"/>
      </w:pPr>
      <w:r>
        <w:rPr>
          <w:rStyle w:val="Text34"/>
        </w:rPr>
        <w:t>3.x+</w:t>
      </w:r>
      <w:r>
        <w:t xml:space="preserve"> marks a feature introduced in version 3.x, not available in prior versions.</w:t>
      </w:r>
    </w:p>
    <w:p>
      <w:pPr>
        <w:pStyle w:val="Para 010"/>
      </w:pPr>
      <w:r>
        <w:rPr>
          <w:rStyle w:val="Text34"/>
        </w:rPr>
        <w:t>-3.x</w:t>
      </w:r>
      <w:r>
        <w:t xml:space="preserve"> marks a feature removed in version 3.x, available only in prior versions.</w:t>
      </w:r>
    </w:p>
    <w:p>
      <w:bookmarkStart w:id="29" w:name="Typographic_Conventions__Please"/>
      <w:pPr>
        <w:keepNext/>
        <w:pStyle w:val="Heading 2"/>
      </w:pPr>
      <w:r>
        <w:t>Typographic Conventions</w:t>
      </w:r>
      <w:bookmarkEnd w:id="29"/>
    </w:p>
    <w:p>
      <w:pPr>
        <w:pStyle w:val="Normal"/>
      </w:pPr>
      <w:r>
        <w:rPr>
          <w:rStyle w:val="Text111"/>
        </w:rPr>
        <w:bookmarkStart w:id="30" w:name="idm45965278248592"/>
        <w:t/>
        <w:bookmarkEnd w:id="30"/>
      </w:r>
      <w:r>
        <w:t xml:space="preserve">Please note that, for display reasons, our code snippets and samples may sometimes depart from </w:t>
      </w:r>
      <w:hyperlink r:id="rId15">
        <w:r>
          <w:rPr>
            <w:rStyle w:val="Text1"/>
          </w:rPr>
          <w:t>PEP 8</w:t>
        </w:r>
      </w:hyperlink>
      <w:r>
        <w:t xml:space="preserve">. We do not recommend taking such liberties in your code. Instead, use a utility like </w:t>
      </w:r>
      <w:hyperlink r:id="rId16">
        <w:r>
          <w:rPr>
            <w:rStyle w:val="Text30"/>
          </w:rPr>
          <w:t>black</w:t>
        </w:r>
      </w:hyperlink>
      <w:r>
        <w:t xml:space="preserve"> to adopt a canonical layout style.</w:t>
      </w:r>
    </w:p>
    <w:p>
      <w:pPr>
        <w:pStyle w:val="Normal"/>
      </w:pPr>
      <w:r>
        <w:t>The following typographical conventions are used in this book:</w:t>
      </w:r>
    </w:p>
    <w:p>
      <w:pPr>
        <w:pStyle w:val="Para 094"/>
      </w:pPr>
      <w:r>
        <w:t>Italic</w:t>
      </w:r>
    </w:p>
    <w:p>
      <w:pPr>
        <w:pStyle w:val="Para 016"/>
      </w:pPr>
      <w:r>
        <w:t>Used for file and directory names, program names, URLs, and to introduce new terms.</w:t>
      </w:r>
    </w:p>
    <w:p>
      <w:pPr>
        <w:pStyle w:val="Para 030"/>
      </w:pPr>
      <w:r>
        <w:t>Constant width</w:t>
      </w:r>
    </w:p>
    <w:p>
      <w:pPr>
        <w:pStyle w:val="Para 016"/>
      </w:pPr>
      <w:r>
        <w:t>Used for command-line output and code examples, as well as for code elements that appear in the text, including methods, functions, classes, and modules.</w:t>
      </w:r>
    </w:p>
    <w:p>
      <w:pPr>
        <w:pStyle w:val="Para 055"/>
      </w:pPr>
      <w:r>
        <w:t>Constant width italic</w:t>
      </w:r>
    </w:p>
    <w:p>
      <w:pPr>
        <w:pStyle w:val="Para 016"/>
      </w:pPr>
      <w:r>
        <w:t>Used to show text to be replaced with user-supplied values in code examples and commands.</w:t>
      </w:r>
    </w:p>
    <w:p>
      <w:pPr>
        <w:pStyle w:val="Para 079"/>
      </w:pPr>
      <w:r>
        <w:t>Constant width bold</w:t>
      </w:r>
    </w:p>
    <w:p>
      <w:pPr>
        <w:pStyle w:val="Normal"/>
      </w:pPr>
      <w:r>
        <w:t>Used for commands to be typed at a system command line and to indicate code output in Python interpreter session examples. Also used for Python keywords.</w:t>
      </w:r>
    </w:p>
    <w:p>
      <w:pPr>
        <w:pStyle w:val="Heading 5"/>
        <w:keepLines w:val="on"/>
      </w:pPr>
      <w:r>
        <w:t>Tip</w:t>
      </w:r>
    </w:p>
    <w:p>
      <w:pPr>
        <w:pStyle w:val="Para 012"/>
        <w:keepLines w:val="on"/>
      </w:pPr>
      <w:r>
        <w:t>This element signifies a tip or suggestion.</w:t>
      </w:r>
    </w:p>
    <w:p>
      <w:pPr>
        <w:pStyle w:val="Heading 5"/>
        <w:keepLines w:val="on"/>
      </w:pPr>
      <w:r>
        <w:t>Note</w:t>
      </w:r>
    </w:p>
    <w:p>
      <w:pPr>
        <w:pStyle w:val="Para 012"/>
        <w:keepLines w:val="on"/>
      </w:pPr>
      <w:r>
        <w:t>This element signifies a general note.</w:t>
      </w:r>
    </w:p>
    <w:p>
      <w:pPr>
        <w:pStyle w:val="Heading 6"/>
        <w:keepLines w:val="on"/>
      </w:pPr>
      <w:r>
        <w:t>Warning</w:t>
      </w:r>
    </w:p>
    <w:p>
      <w:pPr>
        <w:pStyle w:val="Para 012"/>
        <w:keepLines w:val="on"/>
      </w:pPr>
      <w:r>
        <w:t>This element indicates a warning or caution.</w:t>
      </w:r>
    </w:p>
    <w:p>
      <w:bookmarkStart w:id="31" w:name="Using_Code_Examples__This_book_i"/>
      <w:pPr>
        <w:keepNext/>
        <w:pStyle w:val="Heading 1"/>
      </w:pPr>
      <w:r>
        <w:t>Using Code Examples</w:t>
      </w:r>
      <w:bookmarkEnd w:id="31"/>
    </w:p>
    <w:p>
      <w:pPr>
        <w:pStyle w:val="Normal"/>
      </w:pPr>
      <w:r>
        <w:rPr>
          <w:rStyle w:val="Text111"/>
        </w:rPr>
        <w:bookmarkStart w:id="32" w:name="idm45965283820064"/>
        <w:t/>
        <w:bookmarkEnd w:id="32"/>
      </w: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4"/>
        </w:rPr>
        <w:t>Python in a Nutshell</w:t>
      </w:r>
      <w:r>
        <w:t>, 4th ed., by Alex Martelli, Anna Martelli Ravenscroft, Steve Holden, and Paul McGuire. Copyright 2023, 978-1-098-11355-1.”</w:t>
      </w:r>
    </w:p>
    <w:p>
      <w:pPr>
        <w:pStyle w:val="Normal"/>
      </w:pPr>
      <w:r>
        <w:t xml:space="preserve">If you feel your use of code examples falls outside fair use or the permission given above, feel free to contact us at </w:t>
      </w:r>
      <w:r>
        <w:rPr>
          <w:rStyle w:val="Text1"/>
        </w:rPr>
        <w:t>permissions@oreilly.com</w:t>
      </w:r>
      <w:r>
        <w:t>.</w:t>
      </w:r>
    </w:p>
    <w:p>
      <w:bookmarkStart w:id="33" w:name="O_Reilly_Online_Learning_Note_Fo"/>
      <w:pPr>
        <w:keepNext/>
        <w:pStyle w:val="Heading 1"/>
      </w:pPr>
      <w:r>
        <w:t>O’Reilly Online Learning</w:t>
      </w:r>
      <w:bookmarkEnd w:id="33"/>
    </w:p>
    <w:p>
      <w:pPr>
        <w:pStyle w:val="Heading 5"/>
        <w:keepLines w:val="on"/>
      </w:pPr>
      <w:r>
        <w:t>Note</w:t>
      </w:r>
    </w:p>
    <w:p>
      <w:pPr>
        <w:pStyle w:val="Para 012"/>
        <w:keepLines w:val="on"/>
      </w:pPr>
      <w:r>
        <w:t xml:space="preserve">For more than 40 years, </w:t>
      </w:r>
      <w:hyperlink r:id="rId17">
        <w:r>
          <w:rPr>
            <w:rStyle w:val="Text2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7">
        <w:r>
          <w:rPr>
            <w:rStyle w:val="Text24"/>
          </w:rPr>
          <w:t>https://oreilly.com</w:t>
        </w:r>
      </w:hyperlink>
      <w:r>
        <w:t>.</w:t>
      </w:r>
    </w:p>
    <w:p>
      <w:bookmarkStart w:id="34" w:name="How_to_Contact_Us_Please_address"/>
      <w:pPr>
        <w:keepNext/>
        <w:pStyle w:val="Heading 1"/>
      </w:pPr>
      <w:r>
        <w:t>How to Contact Us</w:t>
      </w:r>
      <w:bookmarkEnd w:id="34"/>
    </w:p>
    <w:p>
      <w:pPr>
        <w:pStyle w:val="Normal"/>
      </w:pPr>
      <w:r>
        <w:t>Please address comments and questions concerning this book to the publisher:</w:t>
      </w:r>
    </w:p>
    <w:p>
      <w:pPr>
        <w:pStyle w:val="Para 023"/>
      </w:pPr>
      <w:r>
        <w:t>O’Reilly Media, Inc.</w:t>
      </w:r>
    </w:p>
    <w:p>
      <w:pPr>
        <w:pStyle w:val="Para 023"/>
      </w:pPr>
      <w:r>
        <w:t>1005 Gravenstein Highway North</w:t>
      </w:r>
    </w:p>
    <w:p>
      <w:pPr>
        <w:pStyle w:val="Para 023"/>
      </w:pPr>
      <w:r>
        <w:t>Sebastopol, CA 95472</w:t>
      </w:r>
    </w:p>
    <w:p>
      <w:pPr>
        <w:pStyle w:val="Para 023"/>
      </w:pPr>
      <w:r>
        <w:t>800-998-9938 (in the United States or Canada)</w:t>
      </w:r>
    </w:p>
    <w:p>
      <w:pPr>
        <w:pStyle w:val="Para 023"/>
      </w:pPr>
      <w:r>
        <w:t>707-829-0515 (international or local)</w:t>
      </w:r>
    </w:p>
    <w:p>
      <w:pPr>
        <w:pStyle w:val="Para 023"/>
      </w:pPr>
      <w:r>
        <w:t>707-829-0104 (fax)</w:t>
      </w:r>
    </w:p>
    <w:p>
      <w:pPr>
        <w:pStyle w:val="Normal"/>
      </w:pPr>
      <w:r>
        <w:t>The</w:t>
      </w:r>
      <w:r>
        <w:rPr>
          <w:rStyle w:val="Text111"/>
        </w:rPr>
        <w:bookmarkStart w:id="35" w:name="idm45965252649472"/>
        <w:t/>
        <w:bookmarkEnd w:id="35"/>
        <w:bookmarkStart w:id="36" w:name="idm45965252648320"/>
        <w:t/>
        <w:bookmarkEnd w:id="36"/>
      </w:r>
      <w:r>
        <w:t xml:space="preserve"> book has its own GitHub repository, where we list errata, examples, and any additional information. The repository also contains the full content of Chapters </w:t>
      </w:r>
      <w:hyperlink w:anchor="Chapter_24__Packaging_Programs_a_2">
        <w:r>
          <w:rPr>
            <w:rStyle w:val="Text1"/>
          </w:rPr>
          <w:t>24</w:t>
        </w:r>
      </w:hyperlink>
      <w:r>
        <w:t xml:space="preserve"> and </w:t>
      </w:r>
      <w:hyperlink w:anchor="Chapter_25__Extending_and_Embedd_2">
        <w:r>
          <w:rPr>
            <w:rStyle w:val="Text1"/>
          </w:rPr>
          <w:t>25</w:t>
        </w:r>
      </w:hyperlink>
      <w:r>
        <w:t xml:space="preserve">, for which there was insufficient space in the printed volume. You will find it at </w:t>
      </w:r>
      <w:hyperlink r:id="rId18">
        <w:r>
          <w:rPr>
            <w:rStyle w:val="Text24"/>
          </w:rPr>
          <w:t>https://github.com/pynutshell/pynut4</w:t>
        </w:r>
      </w:hyperlink>
      <w:r>
        <w:t>.</w:t>
      </w:r>
    </w:p>
    <w:p>
      <w:pPr>
        <w:pStyle w:val="Normal"/>
      </w:pPr>
      <w:r>
        <w:t>We have tested and verified the information in this book to the best of our ability, but you may find that features have changed (or even that we have made mistakes!). Please let the publisher know about any errors you find, as well as your suggestions for future editions.</w:t>
      </w:r>
    </w:p>
    <w:p>
      <w:pPr>
        <w:pStyle w:val="Normal"/>
      </w:pPr>
      <w:r>
        <w:t xml:space="preserve">O’Reilly </w:t>
      </w:r>
      <w:r>
        <w:rPr>
          <w:rStyle w:val="Text111"/>
        </w:rPr>
        <w:bookmarkStart w:id="37" w:name="idm45965252642592"/>
        <w:t/>
        <w:bookmarkEnd w:id="37"/>
        <w:bookmarkStart w:id="38" w:name="idm45965252641456"/>
        <w:t/>
        <w:bookmarkEnd w:id="38"/>
      </w:r>
      <w:r>
        <w:t xml:space="preserve">has a web page for this book, where they list errata, examples, and any additional information. You can access this page at </w:t>
      </w:r>
      <w:hyperlink r:id="rId19">
        <w:r>
          <w:rPr>
            <w:rStyle w:val="Text24"/>
          </w:rPr>
          <w:t>https://oreil.ly/python-nutshell-4e</w:t>
        </w:r>
      </w:hyperlink>
      <w:r>
        <w:t>.</w:t>
      </w:r>
    </w:p>
    <w:p>
      <w:pPr>
        <w:pStyle w:val="Para 095"/>
      </w:pPr>
      <w:r>
        <w:t xml:space="preserve"> </w:t>
      </w:r>
    </w:p>
    <w:p>
      <w:pPr>
        <w:pStyle w:val="Normal"/>
      </w:pPr>
      <w:r>
        <w:t xml:space="preserve">To comment or ask technical questions about this book, send email to </w:t>
      </w:r>
      <w:r>
        <w:rPr>
          <w:rStyle w:val="Text1"/>
        </w:rPr>
        <w:t>pynut4@gmail.com</w:t>
      </w:r>
      <w:r>
        <w:t>.</w:t>
      </w:r>
    </w:p>
    <w:p>
      <w:pPr>
        <w:pStyle w:val="Normal"/>
      </w:pPr>
      <w:r>
        <w:t xml:space="preserve">For news and information about our books and courses, visit </w:t>
      </w:r>
      <w:hyperlink r:id="rId17">
        <w:r>
          <w:rPr>
            <w:rStyle w:val="Text24"/>
          </w:rPr>
          <w:t>https://oreilly.com</w:t>
        </w:r>
      </w:hyperlink>
      <w:r>
        <w:t>.</w:t>
      </w:r>
    </w:p>
    <w:p>
      <w:pPr>
        <w:pStyle w:val="Para 060"/>
      </w:pPr>
      <w:r>
        <w:rPr>
          <w:rStyle w:val="Text52"/>
        </w:rPr>
        <w:t xml:space="preserve">Find us on LinkedIn: </w:t>
      </w:r>
      <w:hyperlink r:id="rId20">
        <w:r>
          <w:t>https://linkedin.com/company/oreilly-media</w:t>
        </w:r>
      </w:hyperlink>
      <w:r>
        <w:rPr>
          <w:rStyle w:val="Text52"/>
        </w:rPr>
        <w:t>.</w:t>
      </w:r>
    </w:p>
    <w:p>
      <w:pPr>
        <w:pStyle w:val="Para 060"/>
      </w:pPr>
      <w:r>
        <w:rPr>
          <w:rStyle w:val="Text52"/>
        </w:rPr>
        <w:t xml:space="preserve">Follow us on Twitter: </w:t>
      </w:r>
      <w:hyperlink r:id="rId21">
        <w:r>
          <w:t>https://twitter.com/oreillymedia</w:t>
        </w:r>
      </w:hyperlink>
      <w:r>
        <w:rPr>
          <w:rStyle w:val="Text52"/>
        </w:rPr>
        <w:t>.</w:t>
      </w:r>
    </w:p>
    <w:p>
      <w:pPr>
        <w:pStyle w:val="Para 060"/>
      </w:pPr>
      <w:r>
        <w:rPr>
          <w:rStyle w:val="Text52"/>
        </w:rPr>
        <w:t xml:space="preserve">Watch us on YouTube: </w:t>
      </w:r>
      <w:hyperlink r:id="rId22">
        <w:r>
          <w:t>https://www.youtube.com/oreillymedia</w:t>
        </w:r>
      </w:hyperlink>
      <w:r>
        <w:rPr>
          <w:rStyle w:val="Text52"/>
        </w:rPr>
        <w:t>.</w:t>
      </w:r>
    </w:p>
    <w:p>
      <w:bookmarkStart w:id="39" w:name="Acknowledgments__Many_thanks_to"/>
      <w:pPr>
        <w:keepNext/>
        <w:pStyle w:val="Heading 1"/>
      </w:pPr>
      <w:r>
        <w:t>Acknowledgments</w:t>
      </w:r>
      <w:bookmarkEnd w:id="39"/>
    </w:p>
    <w:p>
      <w:pPr>
        <w:pStyle w:val="Normal"/>
      </w:pPr>
      <w:r>
        <w:t>Many thanks to O’Reilly editors and staff Amanda Quinn, Brian Guerin, Zan McQuade, and Kristen Brown. Special thanks to our editor, Angela Rufino, who did the heavy lifting to keep us on track to get this book completed on time! Also, thanks to our excellent copyeditor Rachel Head for helping us to seem more erudite than we are, and to our production editor, Christopher Faucher, for helping ensure the book looked its best in both printed and electronic formats.</w:t>
      </w:r>
    </w:p>
    <w:p>
      <w:pPr>
        <w:pStyle w:val="Normal"/>
      </w:pPr>
      <w:r>
        <w:t>Thanks to our hardworking tech reviewers, David Mertz, Mark Summerfield, and Pankaj Gaijar, who read through every explanation and example in the book’s draft. Without them, this book would not have been as accurate.</w:t>
      </w:r>
      <w:hyperlink w:anchor="3_Nor_would_it_have_so_many_foot">
        <w:r>
          <w:rPr>
            <w:rStyle w:val="Text41"/>
          </w:rPr>
          <w:bookmarkStart w:id="40" w:name="3"/>
          <w:t>3</w:t>
          <w:bookmarkEnd w:id="40"/>
        </w:r>
      </w:hyperlink>
      <w:r>
        <w:t xml:space="preserve"> All errors that remain are entirely our own.</w:t>
      </w:r>
    </w:p>
    <w:p>
      <w:pPr>
        <w:pStyle w:val="Normal"/>
      </w:pPr>
      <w:r>
        <w:t>Thanks also to Luciano Ramalho, the whole PyPy team, Sebastián Ramírez, Fabio Pliger, Miguel Grinberg, and the Python Packaging Authority team for their help on selected portions of the book, and to Google for its useful Workspace online collaboration tools, without which our intense communication (and coordination among authors on different continents!) would have been far less easy and efficient.</w:t>
      </w:r>
    </w:p>
    <w:p>
      <w:pPr>
        <w:pStyle w:val="Normal"/>
      </w:pPr>
      <w:r>
        <w:t>Last but by no means least, the authors and all readers of this book owe a huge debt of thanks to the core developers of the Python language itself, without whose heroic efforts there would be no need for this book.</w:t>
      </w:r>
    </w:p>
    <w:p>
      <w:bookmarkStart w:id="41" w:name="1_The_separate_chapter_on_asynch"/>
      <w:pPr>
        <w:pStyle w:val="Para 035"/>
      </w:pPr>
      <w:hyperlink w:anchor="1">
        <w:r>
          <w:rPr>
            <w:rStyle w:val="Text1"/>
          </w:rPr>
          <w:t>1</w:t>
        </w:r>
      </w:hyperlink>
      <w:r>
        <w:t xml:space="preserve"> The separate chapter on asynchronous programming in the third edition has been dropped in this edition, deferring to more thorough coverage of this growing topic in references found in </w:t>
      </w:r>
      <w:hyperlink w:anchor="Chapter_15__Concurrency__Threads_2">
        <w:r>
          <w:rPr>
            <w:rStyle w:val="Text1"/>
          </w:rPr>
          <w:t>Chapter 15</w:t>
        </w:r>
      </w:hyperlink>
      <w:r>
        <w:t>.</w:t>
      </w:r>
      <w:bookmarkEnd w:id="41"/>
    </w:p>
    <w:p>
      <w:bookmarkStart w:id="42" w:name="2_For_example__to_accommodate_th"/>
      <w:pPr>
        <w:pStyle w:val="Para 015"/>
      </w:pPr>
      <w:hyperlink w:anchor="2">
        <w:r>
          <w:rPr>
            <w:rStyle w:val="Text1"/>
          </w:rPr>
          <w:t>2</w:t>
        </w:r>
      </w:hyperlink>
      <w:r>
        <w:t xml:space="preserve"> For example, to accommodate the widespread changes in Python 3.9 and 3.10 in type annotations, most of </w:t>
      </w:r>
      <w:hyperlink w:anchor="Chapter_5__Type_Annotations__Ann_2">
        <w:r>
          <w:rPr>
            <w:rStyle w:val="Text1"/>
          </w:rPr>
          <w:t>Chapter 5</w:t>
        </w:r>
      </w:hyperlink>
      <w:r>
        <w:t xml:space="preserve"> uses Python 3.10 as the base version for features and examples.</w:t>
      </w:r>
      <w:bookmarkEnd w:id="42"/>
    </w:p>
    <w:p>
      <w:bookmarkStart w:id="43" w:name="3_Nor_would_it_have_so_many_foot"/>
      <w:pPr>
        <w:pStyle w:val="Para 015"/>
      </w:pPr>
      <w:hyperlink w:anchor="3">
        <w:r>
          <w:rPr>
            <w:rStyle w:val="Text1"/>
          </w:rPr>
          <w:t>3</w:t>
        </w:r>
      </w:hyperlink>
      <w:r>
        <w:t xml:space="preserve"> Nor would it have so many footnotes!</w:t>
      </w:r>
      <w:bookmarkEnd w:id="43"/>
    </w:p>
    <w:p>
      <w:bookmarkStart w:id="44" w:name="Top_of_ch01_html"/>
      <w:bookmarkStart w:id="45" w:name="Chapter_1__Introduction_to_Pytho_2"/>
      <w:bookmarkStart w:id="46" w:name="Chapter_1__Introduction_to_Pytho_1"/>
      <w:bookmarkStart w:id="47" w:name="Chapter_1__Introduction_to_Pytho"/>
      <w:pPr>
        <w:keepNext/>
        <w:pStyle w:val="Heading 1"/>
        <w:pageBreakBefore w:val="on"/>
      </w:pPr>
      <w:r>
        <w:t xml:space="preserve">Chapter 1. </w:t>
        <w:t>Introduction to Python</w:t>
      </w:r>
      <w:bookmarkEnd w:id="44"/>
      <w:bookmarkEnd w:id="45"/>
      <w:bookmarkEnd w:id="46"/>
      <w:bookmarkEnd w:id="47"/>
    </w:p>
    <w:p>
      <w:pPr>
        <w:pStyle w:val="Normal"/>
      </w:pPr>
      <w:r>
        <w:t>Python</w:t>
      </w:r>
      <w:r>
        <w:rPr>
          <w:rStyle w:val="Text111"/>
        </w:rPr>
        <w:bookmarkStart w:id="48" w:name="PLintro01"/>
        <w:t/>
        <w:bookmarkEnd w:id="48"/>
      </w:r>
      <w:r>
        <w:t xml:space="preserve"> is a well-established general-purpose programming language, first released by its creator, Guido van Rossum, in 1991. This stable and mature language is high-level, dynamic, object-oriented, and cross-platform—all very attractive characteristics. Python runs on macOS, most current Unix variants including Linux, Windows, and, with some tweaks, mobile platforms.</w:t>
      </w:r>
      <w:hyperlink w:anchor="1_For_Android__see_https___wiki">
        <w:r>
          <w:rPr>
            <w:rStyle w:val="Text41"/>
          </w:rPr>
          <w:bookmarkStart w:id="49" w:name="1_1"/>
          <w:t>1</w:t>
          <w:bookmarkEnd w:id="49"/>
        </w:r>
      </w:hyperlink>
    </w:p>
    <w:p>
      <w:pPr>
        <w:pStyle w:val="Normal"/>
      </w:pPr>
      <w:r>
        <w:t xml:space="preserve">Python offers high productivity for all phases of the software life cycle: analysis, design, prototyping, coding, testing, debugging, tuning, documentation, and, of course, maintenance. The language’s popularity has seen steadily increasing growth for many years, becoming the </w:t>
      </w:r>
      <w:hyperlink r:id="rId23">
        <w:r>
          <w:rPr>
            <w:rStyle w:val="Text1"/>
          </w:rPr>
          <w:t>TIOBE index</w:t>
        </w:r>
      </w:hyperlink>
      <w:r>
        <w:t xml:space="preserve"> leader in October 2021. Today, familiarity with Python is a plus for every programmer: it has snuck into most niches, with useful roles to play in any software solution.</w:t>
      </w:r>
    </w:p>
    <w:p>
      <w:pPr>
        <w:pStyle w:val="Normal"/>
      </w:pPr>
      <w:r>
        <w:t>Python provides a unique mix of elegance, simplicity, practicality, and sheer power. You’ll quickly become productive with Python, thanks to its consistency and regularity, its rich standard library, and the many third-party packages and tools that are readily available for it. Python is easy to learn, so it is quite suitable if you are new to programming, yet is also powerful enough for the most sophisticated expert.</w:t>
      </w:r>
    </w:p>
    <w:p>
      <w:bookmarkStart w:id="50" w:name="The_Python_Language__The_Python"/>
      <w:pPr>
        <w:keepNext/>
        <w:pStyle w:val="Heading 1"/>
      </w:pPr>
      <w:r>
        <w:t>The Python Language</w:t>
      </w:r>
      <w:bookmarkEnd w:id="50"/>
    </w:p>
    <w:p>
      <w:pPr>
        <w:pStyle w:val="Normal"/>
      </w:pPr>
      <w:r>
        <w:t>The Python language, while not minimalist, is spare, for good pragmatic reasons. Once a language offers one good way to express a design, adding other ways has, at best, modest benefits; the cost of language complexity, though, grows more than linearly with the number of features. A complicated language is harder to learn and master (and to implement efficiently and without bugs) than a simpler one. Complications and quirks in a language hamper productivity in software development, particularly in large projects, where many developers cooperate and, often, maintain code originally written by others.</w:t>
      </w:r>
    </w:p>
    <w:p>
      <w:pPr>
        <w:pStyle w:val="Normal"/>
      </w:pPr>
      <w:r>
        <w:t>Python is fairly simple, but not simplistic. It adheres to the idea that, if a language behaves a certain way in some contexts, it should ideally work similarly in all contexts. Python follows the principle that a language should not have “convenient” shortcuts, special cases, ad hoc exceptions, overly subtle distinctions, or mysterious and tricky under-the-covers optimizations. A good language, like any other well-designed artifact, must balance general principles with taste, common sense, and a lot of practicality.</w:t>
      </w:r>
    </w:p>
    <w:p>
      <w:pPr>
        <w:pStyle w:val="Normal"/>
      </w:pPr>
      <w:r>
        <w:t>Python is a general-purpose programming language: its traits are useful in almost any area of software development. There is no area where Python cannot be part of a solution. “Part” is important here; while many developers find that Python fills all of their needs, it does not have to stand alone. Python programs can cooperate with a variety of other software components, making it the right language for gluing together components in other languages. A design goal of the language is, and has long been, to “play well with others.”</w:t>
      </w:r>
    </w:p>
    <w:p>
      <w:pPr>
        <w:pStyle w:val="Normal"/>
      </w:pPr>
      <w:r>
        <w:t>Python is a</w:t>
      </w:r>
      <w:r>
        <w:rPr>
          <w:rStyle w:val="Text111"/>
        </w:rPr>
        <w:bookmarkStart w:id="51" w:name="idm45965283910752"/>
        <w:t/>
        <w:bookmarkEnd w:id="51"/>
      </w:r>
      <w:r>
        <w:t xml:space="preserve"> very high-level language (VHLL). This means that it uses a higher level of abstraction, conceptually further away from the underlying machine, than classic compiled languages such as C, C++, and Rust, traditionally called “high-level languages.” Python is simpler, faster to process (both for humans and for tools), and more regular than classic high-level languages. This affords high programmer productivity, making Python a strong development tool. Good compilers for classic compiled languages can generate binary code that runs faster than Python. In most cases, however, the performance of Python-coded applications is sufficient. When it isn’t, apply the optimization techniques covered in </w:t>
      </w:r>
      <w:hyperlink w:anchor="Optimization___First_make_it_wor">
        <w:r>
          <w:rPr>
            <w:rStyle w:val="Text1"/>
          </w:rPr>
          <w:t>“Optimization”</w:t>
        </w:r>
      </w:hyperlink>
      <w:r>
        <w:t xml:space="preserve"> to improve your program’s performance while keeping the benefit of high productivity.</w:t>
      </w:r>
    </w:p>
    <w:p>
      <w:pPr>
        <w:pStyle w:val="Normal"/>
      </w:pPr>
      <w:r>
        <w:t>In terms of language level, Python is comparable to other powerful VHLLs like JavaScript, Ruby, and Perl. The advantages of simplicity and regularity, however, remain on Python’s side.</w:t>
      </w:r>
    </w:p>
    <w:p>
      <w:pPr>
        <w:pStyle w:val="Normal"/>
      </w:pPr>
      <w:r>
        <w:t>Python is an object-oriented programming language, but it lets you program in both object-oriented and procedural styles, with a touch of functional programming too, mixing and matching as your application requires. Python’s object-oriented features are conceptually similar to those of C++ but simpler to use.</w:t>
      </w:r>
      <w:r>
        <w:rPr>
          <w:rStyle w:val="Text111"/>
        </w:rPr>
        <w:bookmarkStart w:id="52" w:name="idm45965283907520"/>
        <w:t/>
        <w:bookmarkEnd w:id="52"/>
      </w:r>
    </w:p>
    <w:p>
      <w:bookmarkStart w:id="53" w:name="The_Python_Standard_Library_and"/>
      <w:pPr>
        <w:keepNext/>
        <w:pStyle w:val="Heading 1"/>
      </w:pPr>
      <w:r>
        <w:t>The Python Standard Library and Extension Modules</w:t>
      </w:r>
      <w:bookmarkEnd w:id="53"/>
    </w:p>
    <w:p>
      <w:pPr>
        <w:pStyle w:val="Normal"/>
      </w:pPr>
      <w:r>
        <w:t>There</w:t>
      </w:r>
      <w:r>
        <w:rPr>
          <w:rStyle w:val="Text111"/>
        </w:rPr>
        <w:bookmarkStart w:id="54" w:name="idm45965283904352"/>
        <w:t/>
        <w:bookmarkEnd w:id="54"/>
        <w:bookmarkStart w:id="55" w:name="idm45965283902928"/>
        <w:t/>
        <w:bookmarkEnd w:id="55"/>
      </w:r>
      <w:r>
        <w:t xml:space="preserve"> is more to Python programming than just the language: the standard library and other extension modules are almost as important for Python use as the language itself. The Python standard library supplies many well-designed, solid Python modules for convenient reuse. It includes modules for such tasks as representing data, processing text, interacting with the operating system and filesystem, and web programming, and works on all platforms supported by Python.</w:t>
      </w:r>
    </w:p>
    <w:p>
      <w:pPr>
        <w:pStyle w:val="Normal"/>
      </w:pPr>
      <w:r>
        <w:t>Extension modules, from the standard library or elsewhere, let Python code access functionality supplied by the underlying operating system or other software components, such as graphical user interfaces (GUIs), databases, and networks. Extensions also afford great speed in computationally intensive tasks such as XML parsing and numeric array computations. Extension modules that are not coded in Python, however, do not necessarily enjoy the same cross-platform portability as pure Python code.</w:t>
      </w:r>
    </w:p>
    <w:p>
      <w:pPr>
        <w:pStyle w:val="Normal"/>
      </w:pPr>
      <w:r>
        <w:t xml:space="preserve">You can write extension modules in lower-level languages to optimize performance for small, computationally intensive parts that you originally prototyped in Python. You can also use tools such as </w:t>
      </w:r>
      <w:r>
        <w:rPr>
          <w:rStyle w:val="Text111"/>
        </w:rPr>
        <w:bookmarkStart w:id="56" w:name="idm45965262202896"/>
        <w:t/>
        <w:bookmarkEnd w:id="56"/>
      </w:r>
      <w:r>
        <w:t>Cython, ctypes,</w:t>
      </w:r>
      <w:r>
        <w:rPr>
          <w:rStyle w:val="Text111"/>
        </w:rPr>
        <w:bookmarkStart w:id="57" w:name="idm45965262201664"/>
        <w:t/>
        <w:bookmarkEnd w:id="57"/>
      </w:r>
      <w:r>
        <w:t xml:space="preserve"> and CFFI</w:t>
      </w:r>
      <w:r>
        <w:rPr>
          <w:rStyle w:val="Text111"/>
        </w:rPr>
        <w:bookmarkStart w:id="58" w:name="idm45965262200400"/>
        <w:t/>
        <w:bookmarkEnd w:id="58"/>
      </w:r>
      <w:r>
        <w:t xml:space="preserve"> to wrap existing </w:t>
        <w:t>C/C++</w:t>
        <w:t xml:space="preserve"> libraries into Python extension modules, as covered in “Extending Python Without Python’s C API” in </w:t>
      </w:r>
      <w:hyperlink w:anchor="Chapter_25__Extending_and_Embedd_2">
        <w:r>
          <w:rPr>
            <w:rStyle w:val="Text1"/>
          </w:rPr>
          <w:t>Chapter 25</w:t>
        </w:r>
      </w:hyperlink>
      <w:r>
        <w:t xml:space="preserve"> (available </w:t>
      </w:r>
      <w:hyperlink r:id="rId24">
        <w:r>
          <w:rPr>
            <w:rStyle w:val="Text1"/>
          </w:rPr>
          <w:t>online</w:t>
        </w:r>
      </w:hyperlink>
      <w:r>
        <w:t>). You can also embed Python in applications coded in other languages, exposing application functionality to Python via app-specific Python extension modules.</w:t>
      </w:r>
    </w:p>
    <w:p>
      <w:pPr>
        <w:pStyle w:val="Normal"/>
      </w:pPr>
      <w:r>
        <w:t>This book documents many modules, from the standard library and other sources, for client- and server-side network programming, databases, processing text and binary files, and interacting with operating systems.</w:t>
      </w:r>
    </w:p>
    <w:p>
      <w:bookmarkStart w:id="59" w:name="Python_Implementations__At_the_t"/>
      <w:pPr>
        <w:keepNext/>
        <w:pStyle w:val="Heading 1"/>
      </w:pPr>
      <w:r>
        <w:t>Python Implementations</w:t>
      </w:r>
      <w:bookmarkEnd w:id="59"/>
    </w:p>
    <w:p>
      <w:pPr>
        <w:pStyle w:val="Normal"/>
      </w:pPr>
      <w:r>
        <w:t>At</w:t>
      </w:r>
      <w:r>
        <w:rPr>
          <w:rStyle w:val="Text111"/>
        </w:rPr>
        <w:bookmarkStart w:id="60" w:name="PLimp01"/>
        <w:t/>
        <w:bookmarkEnd w:id="60"/>
      </w:r>
      <w:r>
        <w:t xml:space="preserve"> the time of this writing, Python has two full production-quality implementations (CPython and PyPy) and several newer, high-performance ones in somewhat earlier stages of development, such</w:t>
      </w:r>
      <w:r>
        <w:rPr>
          <w:rStyle w:val="Text111"/>
        </w:rPr>
        <w:bookmarkStart w:id="61" w:name="idm45965262192240"/>
        <w:t/>
        <w:bookmarkEnd w:id="61"/>
        <w:bookmarkStart w:id="62" w:name="idm45965262191136"/>
        <w:t/>
        <w:bookmarkEnd w:id="62"/>
        <w:bookmarkStart w:id="63" w:name="idm45965262190032"/>
        <w:t/>
        <w:bookmarkEnd w:id="63"/>
      </w:r>
      <w:r>
        <w:t xml:space="preserve"> as </w:t>
      </w:r>
      <w:hyperlink r:id="rId25">
        <w:r>
          <w:rPr>
            <w:rStyle w:val="Text1"/>
          </w:rPr>
          <w:t>Nuitka</w:t>
        </w:r>
      </w:hyperlink>
      <w:r>
        <w:t xml:space="preserve">, </w:t>
      </w:r>
      <w:hyperlink r:id="rId26">
        <w:r>
          <w:rPr>
            <w:rStyle w:val="Text1"/>
          </w:rPr>
          <w:t>RustPython</w:t>
        </w:r>
      </w:hyperlink>
      <w:r>
        <w:t xml:space="preserve">, </w:t>
      </w:r>
      <w:hyperlink r:id="rId27">
        <w:r>
          <w:rPr>
            <w:rStyle w:val="Text1"/>
          </w:rPr>
          <w:t>GraalVM Python</w:t>
        </w:r>
      </w:hyperlink>
      <w:r>
        <w:t xml:space="preserve">, and </w:t>
      </w:r>
      <w:hyperlink r:id="rId28">
        <w:r>
          <w:rPr>
            <w:rStyle w:val="Text1"/>
          </w:rPr>
          <w:t>Pyston</w:t>
        </w:r>
      </w:hyperlink>
      <w:r>
        <w:t xml:space="preserve">, which we do not cover further. In </w:t>
      </w:r>
      <w:hyperlink w:anchor="Other_Developments__Implementati">
        <w:r>
          <w:rPr>
            <w:rStyle w:val="Text1"/>
          </w:rPr>
          <w:t>“Other Developments, Implementations, and Distributions”</w:t>
        </w:r>
      </w:hyperlink>
      <w:r>
        <w:t xml:space="preserve"> we also mention some other, even earlier-stage implementations.</w:t>
      </w:r>
    </w:p>
    <w:p>
      <w:pPr>
        <w:pStyle w:val="Normal"/>
      </w:pPr>
      <w:r>
        <w:t>This book primarily addresses CPython, the most widely used implementation, which we often call just “Python” for simplicity. However, the distinction between a language and its implementations is important!</w:t>
      </w:r>
    </w:p>
    <w:p>
      <w:bookmarkStart w:id="64" w:name="CPython__Classic_Python__also_kn"/>
      <w:pPr>
        <w:keepNext/>
        <w:pStyle w:val="Heading 2"/>
      </w:pPr>
      <w:r>
        <w:t>CPython</w:t>
      </w:r>
      <w:bookmarkEnd w:id="64"/>
    </w:p>
    <w:p>
      <w:pPr>
        <w:pStyle w:val="Normal"/>
      </w:pPr>
      <w:hyperlink r:id="rId29">
        <w:r>
          <w:rPr>
            <w:rStyle w:val="Text1"/>
          </w:rPr>
          <w:t>Classic Python</w:t>
        </w:r>
      </w:hyperlink>
      <w:r>
        <w:t>—also</w:t>
      </w:r>
      <w:r>
        <w:rPr>
          <w:rStyle w:val="Text111"/>
        </w:rPr>
        <w:bookmarkStart w:id="65" w:name="cpy01"/>
        <w:t/>
        <w:bookmarkEnd w:id="65"/>
      </w:r>
      <w:r>
        <w:t xml:space="preserve"> known as CPython, often just called Python—is the most up-to-date, solid, and complete production-quality implementation of Python. It is the “reference implementation” of the language. CPython is a bytecode compiler, interpreter, and set of built-in and optional modules, all coded in standard C.</w:t>
      </w:r>
    </w:p>
    <w:p>
      <w:pPr>
        <w:pStyle w:val="Normal"/>
      </w:pPr>
      <w:r>
        <w:t>CPython can be used on any platform where the C compiler complies with the ISO/IEC 9899:1990 standard</w:t>
      </w:r>
      <w:hyperlink w:anchor="2_Python_versions_from_3_11_use">
        <w:r>
          <w:rPr>
            <w:rStyle w:val="Text41"/>
          </w:rPr>
          <w:bookmarkStart w:id="66" w:name="2_1"/>
          <w:t>2</w:t>
          <w:bookmarkEnd w:id="66"/>
        </w:r>
      </w:hyperlink>
      <w:r>
        <w:t xml:space="preserve"> (i.e., all modern, popular platforms). In </w:t>
      </w:r>
      <w:hyperlink w:anchor="Installation__You_can_install_th">
        <w:r>
          <w:rPr>
            <w:rStyle w:val="Text1"/>
          </w:rPr>
          <w:t>“Installation”</w:t>
        </w:r>
      </w:hyperlink>
      <w:r>
        <w:t>, we explain how to download and install CPython. All of this book, except a few sections explicitly marked otherwise, applies to CPython. As of this writing, CPython’s current version, just released, is 3.11.</w:t>
      </w:r>
    </w:p>
    <w:p>
      <w:bookmarkStart w:id="67" w:name="PyPy__PyPy_is_a_fast_and_flexibl"/>
      <w:pPr>
        <w:keepNext/>
        <w:pStyle w:val="Heading 2"/>
      </w:pPr>
      <w:r>
        <w:t>PyPy</w:t>
      </w:r>
      <w:bookmarkEnd w:id="67"/>
    </w:p>
    <w:p>
      <w:pPr>
        <w:pStyle w:val="Normal"/>
      </w:pPr>
      <w:hyperlink r:id="rId30">
        <w:r>
          <w:rPr>
            <w:rStyle w:val="Text1"/>
          </w:rPr>
          <w:t>PyPy</w:t>
        </w:r>
      </w:hyperlink>
      <w:r>
        <w:t xml:space="preserve"> is</w:t>
      </w:r>
      <w:r>
        <w:rPr>
          <w:rStyle w:val="Text111"/>
        </w:rPr>
        <w:bookmarkStart w:id="68" w:name="idm45965264051040"/>
        <w:t/>
        <w:bookmarkEnd w:id="68"/>
      </w:r>
      <w:r>
        <w:t xml:space="preserve"> a fast and flexible implementation of Python, coded in a subset of Python itself, able to target several lower-level languages and virtual machines using advanced techniques such as type inferencing. PyPy’s greatest strength is its ability to generate native machine code “just in time” as it runs your Python program; it has substantial advantages in execution speed. PyPy currently implements 3.8 (with 3.9 in beta).</w:t>
      </w:r>
    </w:p>
    <w:p>
      <w:bookmarkStart w:id="69" w:name="Choosing_Between_CPython__PyPy"/>
      <w:pPr>
        <w:keepNext/>
        <w:pStyle w:val="Heading 2"/>
      </w:pPr>
      <w:r>
        <w:t>Choosing Between CPython, PyPy, and Other Implementations</w:t>
      </w:r>
      <w:bookmarkEnd w:id="69"/>
    </w:p>
    <w:p>
      <w:pPr>
        <w:pStyle w:val="Normal"/>
      </w:pPr>
      <w:r>
        <w:t>If your platform, as most are, is able to run CPython, PyPy, and several of the other Python implementations we mention, how do you choose among them? First of all, don’t choose prematurely: download and install them all. They coexist without problems, and they’re all free (some of them also offer commercial versions with added value such as tech support, but the respective free versions are fine, too). Having them all on your development machine costs only some download time and a little disk space, and lets you compare them directly. That said, here are a few general tips.</w:t>
      </w:r>
    </w:p>
    <w:p>
      <w:pPr>
        <w:pStyle w:val="Normal"/>
      </w:pPr>
      <w:r>
        <w:t>If you need a custom version of Python, or high performance for long-running programs, consider PyPy (or, if you’re OK with versions that are not quite production-ready yet, one of the others we mention).</w:t>
      </w:r>
    </w:p>
    <w:p>
      <w:pPr>
        <w:pStyle w:val="Normal"/>
      </w:pPr>
      <w:r>
        <w:t>To work mostly in a traditional environment, CPython is an excellent fit. If you don’t have a strong alternative preference, start with the standard CPython reference implementation, which is most widely supported by third-party add-ons and extensions and offers the most up-to-date version.</w:t>
      </w:r>
    </w:p>
    <w:p>
      <w:pPr>
        <w:pStyle w:val="Normal"/>
      </w:pPr>
      <w:r>
        <w:t>In other words, to experiment, learn, and try things out, use CPython. To develop and deploy, your best choice depends on the extension modules you want to use and how you want to distribute your programs. CPython, by definition, supports all Python extensions; however, PyPy supports most extensions, and it can often be faster for long-running programs thanks to just-in-time compilation to machine code—to check on that, benchmark your CPython code against PyPy (and, to be sure, other implementations as well).</w:t>
      </w:r>
    </w:p>
    <w:p>
      <w:pPr>
        <w:pStyle w:val="Normal"/>
      </w:pPr>
      <w:r>
        <w:t>CPython is most mature: it has been around longer, while PyPy (and the others) are newer and less proven in the field. The development of CPython versions proceeds ahead of that of other implementations.</w:t>
      </w:r>
    </w:p>
    <w:p>
      <w:pPr>
        <w:pStyle w:val="Normal"/>
      </w:pPr>
      <w:r>
        <w:t>PyPy, CPython, and other implementations we mention are all good, faithful implementations of Python, reasonably close to each other in terms of usability and performance. It is wise to become familiar with the strengths and weaknesses of each, and then choose optimally for each development task.</w:t>
      </w:r>
      <w:r>
        <w:rPr>
          <w:rStyle w:val="Text111"/>
        </w:rPr>
        <w:bookmarkStart w:id="70" w:name="idm45965264045392"/>
        <w:t/>
        <w:bookmarkEnd w:id="70"/>
      </w:r>
    </w:p>
    <w:p>
      <w:bookmarkStart w:id="71" w:name="Other_Developments__Implementati"/>
      <w:pPr>
        <w:keepNext/>
        <w:pStyle w:val="Heading 2"/>
      </w:pPr>
      <w:r>
        <w:t>Other Developments, Implementations, and Distributions</w:t>
      </w:r>
      <w:bookmarkEnd w:id="71"/>
    </w:p>
    <w:p>
      <w:pPr>
        <w:pStyle w:val="Normal"/>
      </w:pPr>
      <w:r>
        <w:t>Python has become so popular that several groups and individuals have taken an interest in its development and have provided features and implementations outside the core development team’s focus.</w:t>
      </w:r>
    </w:p>
    <w:p>
      <w:pPr>
        <w:pStyle w:val="Normal"/>
      </w:pPr>
      <w:r>
        <w:t>Nowadays, most Unix-based systems include Python—typically version 3.</w:t>
      </w:r>
      <w:r>
        <w:rPr>
          <w:rStyle w:val="Text4"/>
        </w:rPr>
        <w:t>x</w:t>
      </w:r>
      <w:r>
        <w:t xml:space="preserve"> for some value of </w:t>
      </w:r>
      <w:r>
        <w:rPr>
          <w:rStyle w:val="Text4"/>
        </w:rPr>
        <w:t>x</w:t>
      </w:r>
      <w:r>
        <w:t>—as the “system Python.” To get Python on Windows or macOS, you usually download and run an</w:t>
      </w:r>
      <w:r>
        <w:rPr>
          <w:rStyle w:val="Text111"/>
        </w:rPr>
        <w:bookmarkStart w:id="72" w:name="idm45965264039776"/>
        <w:t/>
        <w:bookmarkEnd w:id="72"/>
      </w:r>
      <w:r>
        <w:t xml:space="preserve"> </w:t>
      </w:r>
      <w:hyperlink r:id="rId31">
        <w:r>
          <w:rPr>
            <w:rStyle w:val="Text1"/>
          </w:rPr>
          <w:t>installer</w:t>
        </w:r>
      </w:hyperlink>
      <w:r>
        <w:t xml:space="preserve"> (see also </w:t>
      </w:r>
      <w:hyperlink w:anchor="macOS__The_popular_third_party_m">
        <w:r>
          <w:rPr>
            <w:rStyle w:val="Text1"/>
          </w:rPr>
          <w:t>“macOS”</w:t>
        </w:r>
      </w:hyperlink>
      <w:r>
        <w:t xml:space="preserve">.) If you are serious about software development in Python, the first thing you should do is </w:t>
      </w:r>
      <w:r>
        <w:rPr>
          <w:rStyle w:val="Text4"/>
        </w:rPr>
        <w:t>leave your system-installed Python alone!</w:t>
      </w:r>
      <w:r>
        <w:t xml:space="preserve"> Quite apart from anything else, Python is increasingly used by some parts of the operating system itself, so tweaking the Python installation could lead to trouble.</w:t>
      </w:r>
    </w:p>
    <w:p>
      <w:pPr>
        <w:pStyle w:val="Normal"/>
      </w:pPr>
      <w:r>
        <w:t>Thus, even if your system comes with a “system Python,” consider installing one or more Python implementations to freely use for your development convenience, safe in the knowledge that nothing you do will affect the operating system. We also strongly recommend the use of</w:t>
      </w:r>
      <w:r>
        <w:rPr>
          <w:rStyle w:val="Text111"/>
        </w:rPr>
        <w:bookmarkStart w:id="73" w:name="idm45965284104992"/>
        <w:t/>
        <w:bookmarkEnd w:id="73"/>
      </w:r>
      <w:r>
        <w:t xml:space="preserve"> </w:t>
      </w:r>
      <w:r>
        <w:rPr>
          <w:rStyle w:val="Text4"/>
        </w:rPr>
        <w:t>virtual environments</w:t>
      </w:r>
      <w:r>
        <w:t xml:space="preserve"> (see </w:t>
      </w:r>
      <w:hyperlink w:anchor="Python_Environments__A_typical_P">
        <w:r>
          <w:rPr>
            <w:rStyle w:val="Text1"/>
          </w:rPr>
          <w:t>“Python Environments”</w:t>
        </w:r>
      </w:hyperlink>
      <w:r>
        <w:t>) to isolate projects from each other, letting them have what might otherwise be conflicting dependencies (e.g., if two of your projects require different versions of the same third-party module). Alternatively, it is possible to locally install multiple Pythons side by side.</w:t>
      </w:r>
    </w:p>
    <w:p>
      <w:pPr>
        <w:pStyle w:val="Normal"/>
      </w:pPr>
      <w:r>
        <w:t>Python’s popularity has led to the creation of many active communities, and the language’s ecosystem is very active. The following sections outline some of the more interesting developments: note that our failure to include a project here reflects limitations of space and time, rather than implying any disapproval!</w:t>
      </w:r>
    </w:p>
    <w:p>
      <w:bookmarkStart w:id="74" w:name="Jython_and_IronPython__Jython__s"/>
      <w:pPr>
        <w:keepNext/>
        <w:pStyle w:val="Heading 2"/>
      </w:pPr>
      <w:r>
        <w:t>Jython and IronPython</w:t>
      </w:r>
      <w:bookmarkEnd w:id="74"/>
    </w:p>
    <w:p>
      <w:pPr>
        <w:pStyle w:val="Normal"/>
      </w:pPr>
      <w:hyperlink r:id="rId32">
        <w:r>
          <w:rPr>
            <w:rStyle w:val="Text1"/>
          </w:rPr>
          <w:t>Jython</w:t>
        </w:r>
      </w:hyperlink>
      <w:r>
        <w:t>, supporting</w:t>
      </w:r>
      <w:r>
        <w:rPr>
          <w:rStyle w:val="Text111"/>
        </w:rPr>
        <w:bookmarkStart w:id="75" w:name="idm45965284099120"/>
        <w:t/>
        <w:bookmarkEnd w:id="75"/>
        <w:bookmarkStart w:id="76" w:name="idm45965284097984"/>
        <w:t/>
        <w:bookmarkEnd w:id="76"/>
      </w:r>
      <w:r>
        <w:t xml:space="preserve"> Python on top of a </w:t>
      </w:r>
      <w:hyperlink r:id="rId33">
        <w:r>
          <w:rPr>
            <w:rStyle w:val="Text1"/>
          </w:rPr>
          <w:t>JVM</w:t>
        </w:r>
      </w:hyperlink>
      <w:r>
        <w:t xml:space="preserve">, and </w:t>
      </w:r>
      <w:hyperlink r:id="rId34">
        <w:r>
          <w:rPr>
            <w:rStyle w:val="Text1"/>
          </w:rPr>
          <w:t>IronPython</w:t>
        </w:r>
      </w:hyperlink>
      <w:r>
        <w:t xml:space="preserve">, supporting Python on top of </w:t>
      </w:r>
      <w:hyperlink r:id="rId35">
        <w:r>
          <w:rPr>
            <w:rStyle w:val="Text1"/>
          </w:rPr>
          <w:t>.NET</w:t>
        </w:r>
      </w:hyperlink>
      <w:r>
        <w:t>, are open source projects that, while offering production-level quality for the Python versions they support, appear to be “stalled” at the time of this writing, since the latest versions they support are substantially behind CPython’s. Any “stalled” open source project could, potentially, come back to life again: all it takes is one or more enthusiastic, committed developers to devote themselves to “reviving” it. As an alternative to Jython for the JVM, you might also</w:t>
      </w:r>
      <w:r>
        <w:rPr>
          <w:rStyle w:val="Text111"/>
        </w:rPr>
        <w:bookmarkStart w:id="77" w:name="idm45965284094624"/>
        <w:t/>
        <w:bookmarkEnd w:id="77"/>
      </w:r>
      <w:r>
        <w:t xml:space="preserve"> consider GraalVM Python, mentioned earlier.</w:t>
      </w:r>
    </w:p>
    <w:p>
      <w:bookmarkStart w:id="78" w:name="Numba__Numba_is_an_open_source_j"/>
      <w:pPr>
        <w:keepNext/>
        <w:pStyle w:val="Heading 2"/>
      </w:pPr>
      <w:r>
        <w:t>Numba</w:t>
      </w:r>
      <w:bookmarkEnd w:id="78"/>
    </w:p>
    <w:p>
      <w:pPr>
        <w:pStyle w:val="Normal"/>
      </w:pPr>
      <w:hyperlink r:id="rId36">
        <w:r>
          <w:rPr>
            <w:rStyle w:val="Text1"/>
          </w:rPr>
          <w:t>Numba</w:t>
        </w:r>
      </w:hyperlink>
      <w:r>
        <w:t xml:space="preserve"> is</w:t>
      </w:r>
      <w:r>
        <w:rPr>
          <w:rStyle w:val="Text111"/>
        </w:rPr>
        <w:bookmarkStart w:id="79" w:name="idm45965284090528"/>
        <w:t/>
        <w:bookmarkEnd w:id="79"/>
      </w:r>
      <w:r>
        <w:t xml:space="preserve"> an open source just-in-time (JIT) compiler that translates a subset of Python and NumPy. Given its strong focus on numeric processing, we mention it again in </w:t>
      </w:r>
      <w:hyperlink w:anchor="Chapter_16__Numeric_Processing_2">
        <w:r>
          <w:rPr>
            <w:rStyle w:val="Text1"/>
          </w:rPr>
          <w:t>Chapter 16</w:t>
        </w:r>
      </w:hyperlink>
      <w:r>
        <w:t>.</w:t>
      </w:r>
    </w:p>
    <w:p>
      <w:bookmarkStart w:id="80" w:name="Pyjion__Pyjion_is_an_open_source"/>
      <w:pPr>
        <w:keepNext/>
        <w:pStyle w:val="Heading 2"/>
      </w:pPr>
      <w:r>
        <w:t>Pyjion</w:t>
      </w:r>
      <w:bookmarkEnd w:id="80"/>
    </w:p>
    <w:p>
      <w:pPr>
        <w:pStyle w:val="Normal"/>
      </w:pPr>
      <w:hyperlink r:id="rId37">
        <w:r>
          <w:rPr>
            <w:rStyle w:val="Text1"/>
          </w:rPr>
          <w:t>Pyjion</w:t>
        </w:r>
      </w:hyperlink>
      <w:r>
        <w:t xml:space="preserve"> is</w:t>
      </w:r>
      <w:r>
        <w:rPr>
          <w:rStyle w:val="Text111"/>
        </w:rPr>
        <w:bookmarkStart w:id="81" w:name="idm45965283420368"/>
        <w:t/>
        <w:bookmarkEnd w:id="81"/>
      </w:r>
      <w:r>
        <w:t xml:space="preserve"> an open source project, originally started by Microsoft, with the key goal of adding an API to CPython to manage JIT compilers. Secondary goals include offering a JIT compiler for Microsoft’s open source </w:t>
      </w:r>
      <w:hyperlink r:id="rId38">
        <w:r>
          <w:rPr>
            <w:rStyle w:val="Text1"/>
          </w:rPr>
          <w:t>CLR</w:t>
        </w:r>
      </w:hyperlink>
      <w:r>
        <w:t xml:space="preserve"> environment (which is part of .NET) and a framework to develop JIT compilers. Pyjion does not </w:t>
      </w:r>
      <w:r>
        <w:rPr>
          <w:rStyle w:val="Text4"/>
        </w:rPr>
        <w:t>replace</w:t>
      </w:r>
      <w:r>
        <w:t xml:space="preserve"> CPython; rather, it is a module that you import from CPython (it currently requires 3.10) that lets you translate CPython’s bytecode, “just in time,” into machine code for several different environments. Integration of Pyjion with CPython is enabled by </w:t>
      </w:r>
      <w:hyperlink r:id="rId39">
        <w:r>
          <w:rPr>
            <w:rStyle w:val="Text1"/>
          </w:rPr>
          <w:t>PEP 523</w:t>
        </w:r>
      </w:hyperlink>
      <w:r>
        <w:t>; however, since building Pyjion requires several tools in addition to a C compiler (which is all it takes to build CPython), the Python Software Foundation (PSF) will likely never bundle Pyjion into the CPython releases it distributes.</w:t>
      </w:r>
    </w:p>
    <w:p>
      <w:bookmarkStart w:id="82" w:name="IPython__IPython_enhances_CPytho"/>
      <w:pPr>
        <w:keepNext/>
        <w:pStyle w:val="Heading 2"/>
      </w:pPr>
      <w:r>
        <w:t>IPython</w:t>
      </w:r>
      <w:bookmarkEnd w:id="82"/>
    </w:p>
    <w:p>
      <w:pPr>
        <w:pStyle w:val="Normal"/>
      </w:pPr>
      <w:hyperlink r:id="rId40">
        <w:r>
          <w:rPr>
            <w:rStyle w:val="Text1"/>
          </w:rPr>
          <w:t>IPython</w:t>
        </w:r>
      </w:hyperlink>
      <w:r>
        <w:t xml:space="preserve"> enhances</w:t>
      </w:r>
      <w:r>
        <w:rPr>
          <w:rStyle w:val="Text111"/>
        </w:rPr>
        <w:bookmarkStart w:id="83" w:name="idm45965283414384"/>
        <w:t/>
        <w:bookmarkEnd w:id="83"/>
      </w:r>
      <w:r>
        <w:t xml:space="preserve"> CPython’s interactive interpreter to make it more powerful and convenient. It allows abbreviated function call syntax, and extensible functionality known as </w:t>
      </w:r>
      <w:r>
        <w:rPr>
          <w:rStyle w:val="Text4"/>
        </w:rPr>
        <w:t>magics</w:t>
      </w:r>
      <w:r>
        <w:t xml:space="preserve"> introduced by the percent (</w:t>
      </w:r>
      <w:r>
        <w:rPr>
          <w:rStyle w:val="Text0"/>
        </w:rPr>
        <w:t>%</w:t>
      </w:r>
      <w:r>
        <w:t>) character. It also provides shell escapes, allowing a Python variable to receive the result of a shell command. You can use a question mark to query an object’s documentation (or two question marks for extended documentation); all the standard features of the Python interactive interpreter are also available.</w:t>
      </w:r>
    </w:p>
    <w:p>
      <w:pPr>
        <w:pStyle w:val="Normal"/>
      </w:pPr>
      <w:r>
        <w:t xml:space="preserve">IPython has made particular strides in the scientific and data-focused world, and has slowly morphed (through the development of IPython Notebook, now refactored and renamed Jupyter Notebook, discussed in </w:t>
      </w:r>
      <w:hyperlink w:anchor="Jupyter__The_extensions_to_the_i">
        <w:r>
          <w:rPr>
            <w:rStyle w:val="Text1"/>
          </w:rPr>
          <w:t>“Jupyter”</w:t>
        </w:r>
      </w:hyperlink>
      <w:r>
        <w:t>) into an interactive programming environment that, among snippets of code,</w:t>
      </w:r>
      <w:hyperlink w:anchor="3_Which_can_be_in_many_programmi">
        <w:r>
          <w:rPr>
            <w:rStyle w:val="Text41"/>
          </w:rPr>
          <w:bookmarkStart w:id="84" w:name="3_1"/>
          <w:t>3</w:t>
          <w:bookmarkEnd w:id="84"/>
        </w:r>
      </w:hyperlink>
      <w:r>
        <w:t xml:space="preserve"> also lets you embed commentary in </w:t>
      </w:r>
      <w:hyperlink r:id="rId41">
        <w:r>
          <w:rPr>
            <w:rStyle w:val="Text1"/>
          </w:rPr>
          <w:t>literate programming</w:t>
        </w:r>
      </w:hyperlink>
      <w:r>
        <w:t xml:space="preserve"> style (including mathematical notation) and show the output of executing code, optionally with advanced graphics produced by such subsystems as </w:t>
      </w:r>
      <w:r>
        <w:rPr>
          <w:rStyle w:val="Text0"/>
        </w:rPr>
        <w:t>matplotlib</w:t>
      </w:r>
      <w:r>
        <w:t xml:space="preserve"> and </w:t>
      </w:r>
      <w:r>
        <w:rPr>
          <w:rStyle w:val="Text0"/>
        </w:rPr>
        <w:t>bokeh</w:t>
      </w:r>
      <w:r>
        <w:t xml:space="preserve">. An example of </w:t>
      </w:r>
      <w:r>
        <w:rPr>
          <w:rStyle w:val="Text0"/>
        </w:rPr>
        <w:t>matplotlib</w:t>
      </w:r>
      <w:r>
        <w:t xml:space="preserve"> graphics embedded in a Jupyter Notebook is shown in the bottom half of </w:t>
      </w:r>
      <w:hyperlink w:anchor="Figure_1_1__An_example_Jupyter_N">
        <w:r>
          <w:rPr>
            <w:rStyle w:val="Text1"/>
          </w:rPr>
          <w:t>Figure 1-1</w:t>
        </w:r>
      </w:hyperlink>
      <w:r>
        <w:t>. Jupyter/IPython is one of Python’s prominent success stories.</w:t>
      </w:r>
    </w:p>
    <w:p>
      <w:bookmarkStart w:id="85" w:name="Figure_1_1__An_example_Jupyter_N"/>
      <w:pPr>
        <w:pStyle w:val="Para 048"/>
        <w:keepLines w:val="on"/>
      </w:pPr>
      <w:r>
        <w:drawing>
          <wp:inline>
            <wp:extent cx="2984500" cy="3263900"/>
            <wp:effectExtent l="0" r="0" t="0" b="43426"/>
            <wp:docPr id="1" name="pns4_0101.png" descr="An example Jupyter Notebook with embedded matplotlib graph"/>
            <wp:cNvGraphicFramePr>
              <a:graphicFrameLocks noChangeAspect="1"/>
            </wp:cNvGraphicFramePr>
            <a:graphic>
              <a:graphicData uri="http://schemas.openxmlformats.org/drawingml/2006/picture">
                <pic:pic>
                  <pic:nvPicPr>
                    <pic:cNvPr id="0" name="pns4_0101.png" descr="An example Jupyter Notebook with embedded matplotlib graph"/>
                    <pic:cNvPicPr/>
                  </pic:nvPicPr>
                  <pic:blipFill>
                    <a:blip r:embed="rId5"/>
                    <a:stretch>
                      <a:fillRect/>
                    </a:stretch>
                  </pic:blipFill>
                  <pic:spPr>
                    <a:xfrm>
                      <a:off x="0" y="0"/>
                      <a:ext cx="2984500" cy="3263900"/>
                    </a:xfrm>
                    <a:prstGeom prst="rect">
                      <a:avLst/>
                    </a:prstGeom>
                  </pic:spPr>
                </pic:pic>
              </a:graphicData>
            </a:graphic>
          </wp:inline>
        </w:drawing>
      </w:r>
      <w:r>
        <w:rPr>
          <w:lang w:bidi="en" w:val="en" w:eastAsia="en"/>
        </w:rPr>
        <w:t xml:space="preserve"> </w:t>
      </w:r>
      <w:bookmarkEnd w:id="85"/>
    </w:p>
    <w:p>
      <w:pPr>
        <w:keepNext/>
        <w:pStyle w:val="Para 067"/>
        <w:keepLines w:val="on"/>
      </w:pPr>
      <w:r>
        <w:t xml:space="preserve">Figure 1-1. </w:t>
        <w:t>An example Jupyter Notebook with embedded matplotlib graph</w:t>
      </w:r>
    </w:p>
    <w:p>
      <w:bookmarkStart w:id="86" w:name="MicroPython__The_continued_trend"/>
      <w:pPr>
        <w:keepNext/>
        <w:pStyle w:val="Heading 2"/>
      </w:pPr>
      <w:r>
        <w:t>MicroPython</w:t>
      </w:r>
      <w:bookmarkEnd w:id="86"/>
    </w:p>
    <w:p>
      <w:pPr>
        <w:pStyle w:val="Normal"/>
      </w:pPr>
      <w:r>
        <w:t>The</w:t>
      </w:r>
      <w:r>
        <w:rPr>
          <w:rStyle w:val="Text111"/>
        </w:rPr>
        <w:bookmarkStart w:id="87" w:name="idm45965283401168"/>
        <w:t/>
        <w:bookmarkEnd w:id="87"/>
      </w:r>
      <w:r>
        <w:t xml:space="preserve"> continued trend in miniaturization has brought Python well within the range of the hobbyist. Single-board computers like the </w:t>
      </w:r>
      <w:hyperlink r:id="rId42">
        <w:r>
          <w:rPr>
            <w:rStyle w:val="Text1"/>
          </w:rPr>
          <w:t>Raspberry Pi</w:t>
        </w:r>
      </w:hyperlink>
      <w:r>
        <w:t xml:space="preserve"> and </w:t>
      </w:r>
      <w:hyperlink r:id="rId43">
        <w:r>
          <w:rPr>
            <w:rStyle w:val="Text1"/>
          </w:rPr>
          <w:t>Beagle boards</w:t>
        </w:r>
      </w:hyperlink>
      <w:r>
        <w:t xml:space="preserve"> let you run Python in a full Linux environment. Below this level, there is a class of devices known as </w:t>
      </w:r>
      <w:r>
        <w:rPr>
          <w:rStyle w:val="Text4"/>
        </w:rPr>
        <w:t>microcontrollers</w:t>
      </w:r>
      <w:r>
        <w:t>—programmable chips with configurable hardware—that extend the scope of hobby and professional projects, for example by making analog and digital sensing easy, enabling such applications as light and temperature measurements with little additional hardware.</w:t>
      </w:r>
    </w:p>
    <w:p>
      <w:pPr>
        <w:pStyle w:val="Normal"/>
      </w:pPr>
      <w:r>
        <w:t xml:space="preserve">Both hobbyists and professional engineers are making increasing use of these devices, which appear (and sometimes disappear) all the time. Thanks to the </w:t>
      </w:r>
      <w:hyperlink r:id="rId44">
        <w:r>
          <w:rPr>
            <w:rStyle w:val="Text1"/>
          </w:rPr>
          <w:t>MicroPython</w:t>
        </w:r>
      </w:hyperlink>
      <w:r>
        <w:t xml:space="preserve"> project, the rich functionality of </w:t>
      </w:r>
      <w:hyperlink r:id="rId45">
        <w:r>
          <w:rPr>
            <w:rStyle w:val="Text1"/>
          </w:rPr>
          <w:t>many such devices</w:t>
        </w:r>
      </w:hyperlink>
      <w:r>
        <w:t xml:space="preserve"> (</w:t>
      </w:r>
      <w:hyperlink r:id="rId46">
        <w:r>
          <w:rPr>
            <w:rStyle w:val="Text1"/>
          </w:rPr>
          <w:t>micro:bit</w:t>
        </w:r>
      </w:hyperlink>
      <w:r>
        <w:t xml:space="preserve">, </w:t>
      </w:r>
      <w:hyperlink r:id="rId47">
        <w:r>
          <w:rPr>
            <w:rStyle w:val="Text1"/>
          </w:rPr>
          <w:t>Arduino</w:t>
        </w:r>
      </w:hyperlink>
      <w:r>
        <w:t xml:space="preserve">, </w:t>
      </w:r>
      <w:hyperlink r:id="rId48">
        <w:r>
          <w:rPr>
            <w:rStyle w:val="Text1"/>
          </w:rPr>
          <w:t>pyboard</w:t>
        </w:r>
      </w:hyperlink>
      <w:r>
        <w:t xml:space="preserve">, </w:t>
      </w:r>
      <w:hyperlink r:id="rId49">
        <w:r>
          <w:rPr>
            <w:rStyle w:val="Text1"/>
          </w:rPr>
          <w:t>LEGO</w:t>
        </w:r>
      </w:hyperlink>
      <w:hyperlink r:id="rId49">
        <w:r>
          <w:rPr>
            <w:rStyle w:val="Text41"/>
          </w:rPr>
          <w:t>Ⓡ</w:t>
        </w:r>
      </w:hyperlink>
      <w:hyperlink r:id="rId49">
        <w:r>
          <w:rPr>
            <w:rStyle w:val="Text1"/>
          </w:rPr>
          <w:t xml:space="preserve"> MINDSTORMS</w:t>
        </w:r>
      </w:hyperlink>
      <w:hyperlink r:id="rId49">
        <w:r>
          <w:rPr>
            <w:rStyle w:val="Text41"/>
          </w:rPr>
          <w:t>Ⓡ</w:t>
        </w:r>
      </w:hyperlink>
      <w:hyperlink r:id="rId49">
        <w:r>
          <w:rPr>
            <w:rStyle w:val="Text1"/>
          </w:rPr>
          <w:t xml:space="preserve"> EV3</w:t>
        </w:r>
      </w:hyperlink>
      <w:r>
        <w:t xml:space="preserve">, </w:t>
      </w:r>
      <w:hyperlink r:id="rId50">
        <w:r>
          <w:rPr>
            <w:rStyle w:val="Text1"/>
          </w:rPr>
          <w:t>HiFive</w:t>
        </w:r>
      </w:hyperlink>
      <w:r>
        <w:t xml:space="preserve">, etc.) can now be programmed in (limited dialects of) Python. Of note at the time of writing is the introduction of the </w:t>
      </w:r>
      <w:hyperlink r:id="rId51">
        <w:r>
          <w:rPr>
            <w:rStyle w:val="Text1"/>
          </w:rPr>
          <w:t>Raspberry Pi Pico</w:t>
        </w:r>
      </w:hyperlink>
      <w:r>
        <w:t>. Given the success of the Raspberry Pi in the education world, and Pico’s ability to run MicroPython, it seems that Python is consolidating its position as the programming language with the broadest range of applications.</w:t>
      </w:r>
    </w:p>
    <w:p>
      <w:pPr>
        <w:pStyle w:val="Normal"/>
      </w:pPr>
      <w:r>
        <w:t xml:space="preserve">MicroPython is a Python 3.4 implementation (“with selected features from later versions,” to quote </w:t>
      </w:r>
      <w:hyperlink r:id="rId52">
        <w:r>
          <w:rPr>
            <w:rStyle w:val="Text1"/>
          </w:rPr>
          <w:t>its docs</w:t>
        </w:r>
      </w:hyperlink>
      <w:r>
        <w:t>) producing bytecode or executable machine code (many users will be happily unaware of the latter fact). It fully implements Python 3.4’s syntax, but lacks most of the standard library. Special hardware driver modules let you control various parts of built-in hardware; access to Python’s socket library lets devices interact with network services. External devices and timer events can trigger code. Thanks to MicroPython, the Python language can fully play in the Internet of Things.</w:t>
      </w:r>
    </w:p>
    <w:p>
      <w:pPr>
        <w:pStyle w:val="Normal"/>
      </w:pPr>
      <w:r>
        <w:t xml:space="preserve">A device typically offers interpreter access through a USB serial port, or through a browser </w:t>
      </w:r>
      <w:hyperlink r:id="rId53">
        <w:r>
          <w:rPr>
            <w:rStyle w:val="Text1"/>
          </w:rPr>
          <w:t>using the WebREPL protocol</w:t>
        </w:r>
      </w:hyperlink>
      <w:r>
        <w:t xml:space="preserve"> (we aren’t aware of any fully working </w:t>
      </w:r>
      <w:r>
        <w:rPr>
          <w:rStyle w:val="Text0"/>
        </w:rPr>
        <w:t>ssh</w:t>
      </w:r>
      <w:r>
        <w:t xml:space="preserve"> implementations yet, though, so, take care to firewall these devices properly: </w:t>
      </w:r>
      <w:r>
        <w:rPr>
          <w:rStyle w:val="Text4"/>
        </w:rPr>
        <w:t xml:space="preserve">they should </w:t>
      </w:r>
      <w:r>
        <w:rPr>
          <w:rStyle w:val="Text37"/>
        </w:rPr>
        <w:t>not</w:t>
      </w:r>
      <w:r>
        <w:rPr>
          <w:rStyle w:val="Text4"/>
        </w:rPr>
        <w:t xml:space="preserve"> be directly accessible across the internet without proper, strong precautions!</w:t>
      </w:r>
      <w:r>
        <w:t xml:space="preserve">). You can program the device’s power-on bootstrap sequence in Python by creating a </w:t>
      </w:r>
      <w:r>
        <w:rPr>
          <w:rStyle w:val="Text4"/>
        </w:rPr>
        <w:t>boot.py</w:t>
      </w:r>
      <w:r>
        <w:t xml:space="preserve"> file in the device’s memory, and this file can execute arbitrary MicroPython code of any complexity.</w:t>
      </w:r>
    </w:p>
    <w:p>
      <w:bookmarkStart w:id="88" w:name="Anaconda_and_Miniconda__One_of_t"/>
      <w:pPr>
        <w:keepNext/>
        <w:pStyle w:val="Heading 2"/>
      </w:pPr>
      <w:r>
        <w:t>Anaconda and Miniconda</w:t>
      </w:r>
      <w:bookmarkEnd w:id="88"/>
    </w:p>
    <w:p>
      <w:pPr>
        <w:pStyle w:val="Normal"/>
      </w:pPr>
      <w:r>
        <w:t>One of the most successful Python distributions</w:t>
      </w:r>
      <w:hyperlink w:anchor="4_In_fact__conda_s_capabilities">
        <w:r>
          <w:rPr>
            <w:rStyle w:val="Text41"/>
          </w:rPr>
          <w:bookmarkStart w:id="89" w:name="4"/>
          <w:t>4</w:t>
          <w:bookmarkEnd w:id="89"/>
        </w:r>
      </w:hyperlink>
      <w:r>
        <w:t xml:space="preserve"> in recent years is</w:t>
      </w:r>
      <w:r>
        <w:rPr>
          <w:rStyle w:val="Text111"/>
        </w:rPr>
        <w:bookmarkStart w:id="90" w:name="idm45965284202672"/>
        <w:t/>
        <w:bookmarkEnd w:id="90"/>
      </w:r>
      <w:r>
        <w:t xml:space="preserve"> </w:t>
      </w:r>
      <w:hyperlink r:id="rId54">
        <w:r>
          <w:rPr>
            <w:rStyle w:val="Text1"/>
          </w:rPr>
          <w:t>Anaconda</w:t>
        </w:r>
      </w:hyperlink>
      <w:r>
        <w:t>. This open source package comes with a vast number</w:t>
      </w:r>
      <w:hyperlink w:anchor="5_250__automatically_installed_w">
        <w:r>
          <w:rPr>
            <w:rStyle w:val="Text41"/>
          </w:rPr>
          <w:bookmarkStart w:id="91" w:name="5"/>
          <w:t>5</w:t>
          <w:bookmarkEnd w:id="91"/>
        </w:r>
      </w:hyperlink>
      <w:r>
        <w:t xml:space="preserve"> of preconfigured and tested extension modules in addition to the standard library. In many cases, you might find that it contains all the necessary dependencies for your work. If your dependencies aren’t supported, you can also install modules with </w:t>
      </w:r>
      <w:r>
        <w:rPr>
          <w:rStyle w:val="Text0"/>
        </w:rPr>
        <w:t>pip</w:t>
      </w:r>
      <w:r>
        <w:t xml:space="preserve">. On Unix-based systems, it installs very simply in a single directory: to activate it, just add the Anaconda </w:t>
      </w:r>
      <w:r>
        <w:rPr>
          <w:rStyle w:val="Text4"/>
        </w:rPr>
        <w:t>bin</w:t>
      </w:r>
      <w:r>
        <w:t xml:space="preserve"> subdirectory at the front of your shell </w:t>
      </w:r>
      <w:r>
        <w:rPr>
          <w:rStyle w:val="Text0"/>
        </w:rPr>
        <w:t>PATH</w:t>
      </w:r>
      <w:r>
        <w:t>.</w:t>
      </w:r>
    </w:p>
    <w:p>
      <w:pPr>
        <w:pStyle w:val="Normal"/>
      </w:pPr>
      <w:r>
        <w:t xml:space="preserve">Anaconda is based on a packaging technology called </w:t>
      </w:r>
      <w:r>
        <w:rPr>
          <w:rStyle w:val="Text0"/>
        </w:rPr>
        <w:t>conda</w:t>
      </w:r>
      <w:r>
        <w:t>. A sister</w:t>
      </w:r>
      <w:r>
        <w:rPr>
          <w:rStyle w:val="Text111"/>
        </w:rPr>
        <w:bookmarkStart w:id="92" w:name="idm45965258111456"/>
        <w:t/>
        <w:bookmarkEnd w:id="92"/>
      </w:r>
      <w:r>
        <w:t xml:space="preserve"> implementation, </w:t>
      </w:r>
      <w:hyperlink r:id="rId55">
        <w:r>
          <w:rPr>
            <w:rStyle w:val="Text1"/>
          </w:rPr>
          <w:t>Miniconda</w:t>
        </w:r>
      </w:hyperlink>
      <w:r>
        <w:t xml:space="preserve">, gives access to the same extensions but does not come with them preloaded; it instead downloads them as required, making it a better choice for creating tailored environments. </w:t>
      </w:r>
      <w:r>
        <w:rPr>
          <w:rStyle w:val="Text0"/>
        </w:rPr>
        <w:t>conda</w:t>
      </w:r>
      <w:r>
        <w:t xml:space="preserve"> does not use the standard virtual environments, but contains equivalent facilities to allow separation of the dependencies for multiple projects.</w:t>
      </w:r>
    </w:p>
    <w:p>
      <w:bookmarkStart w:id="93" w:name="pyenv__Simple_support_for_multip"/>
      <w:pPr>
        <w:keepNext/>
        <w:pStyle w:val="Heading 2"/>
      </w:pPr>
      <w:r>
        <w:t>pyenv: Simple support for multiple versions</w:t>
      </w:r>
      <w:bookmarkEnd w:id="93"/>
    </w:p>
    <w:p>
      <w:pPr>
        <w:pStyle w:val="Normal"/>
      </w:pPr>
      <w:r>
        <w:t>The</w:t>
      </w:r>
      <w:r>
        <w:rPr>
          <w:rStyle w:val="Text111"/>
        </w:rPr>
        <w:bookmarkStart w:id="94" w:name="idm45965258106592"/>
        <w:t/>
        <w:bookmarkEnd w:id="94"/>
      </w:r>
      <w:r>
        <w:t xml:space="preserve"> basic purpose of </w:t>
      </w:r>
      <w:hyperlink r:id="rId56">
        <w:r>
          <w:rPr>
            <w:rStyle w:val="Text30"/>
          </w:rPr>
          <w:t>pyenv</w:t>
        </w:r>
      </w:hyperlink>
      <w:r>
        <w:t xml:space="preserve"> is to make it easy to access as many different versions of Python as you need. It does so by installing so-called </w:t>
      </w:r>
      <w:r>
        <w:rPr>
          <w:rStyle w:val="Text4"/>
        </w:rPr>
        <w:t>shim</w:t>
      </w:r>
      <w:r>
        <w:t xml:space="preserve"> scripts for each executable, which dynamically compute the version required by looking at various sources of information in the following order:</w:t>
      </w:r>
    </w:p>
    <w:p>
      <w:pPr>
        <w:pStyle w:val="Para 010"/>
      </w:pPr>
      <w:r>
        <w:t xml:space="preserve">The </w:t>
      </w:r>
      <w:r>
        <w:rPr>
          <w:rStyle w:val="Text0"/>
        </w:rPr>
        <w:t>PYENV_VERSION</w:t>
      </w:r>
      <w:r>
        <w:t xml:space="preserve"> environment variable (if set).</w:t>
      </w:r>
    </w:p>
    <w:p>
      <w:pPr>
        <w:pStyle w:val="Para 010"/>
      </w:pPr>
      <w:r>
        <w:t xml:space="preserve">The </w:t>
      </w:r>
      <w:r>
        <w:rPr>
          <w:rStyle w:val="Text4"/>
        </w:rPr>
        <w:t>.pyenv_version</w:t>
      </w:r>
      <w:r>
        <w:t xml:space="preserve"> file in the current directory (if present)—you can set this with the </w:t>
      </w:r>
      <w:r>
        <w:rPr>
          <w:rStyle w:val="Text5"/>
        </w:rPr>
        <w:t>pyenv local</w:t>
      </w:r>
      <w:r>
        <w:t xml:space="preserve"> command.</w:t>
      </w:r>
    </w:p>
    <w:p>
      <w:pPr>
        <w:pStyle w:val="Para 010"/>
      </w:pPr>
      <w:r>
        <w:t xml:space="preserve">The first </w:t>
      </w:r>
      <w:r>
        <w:rPr>
          <w:rStyle w:val="Text4"/>
        </w:rPr>
        <w:t>.pyenv_version</w:t>
      </w:r>
      <w:r>
        <w:t xml:space="preserve"> file found when climbing the directory tree (if one is found).</w:t>
      </w:r>
    </w:p>
    <w:p>
      <w:pPr>
        <w:pStyle w:val="Para 010"/>
      </w:pPr>
      <w:r>
        <w:t xml:space="preserve">The </w:t>
      </w:r>
      <w:r>
        <w:rPr>
          <w:rStyle w:val="Text4"/>
        </w:rPr>
        <w:t>version</w:t>
      </w:r>
      <w:r>
        <w:t xml:space="preserve"> file in the </w:t>
      </w:r>
      <w:r>
        <w:rPr>
          <w:rStyle w:val="Text0"/>
        </w:rPr>
        <w:t>pyenv</w:t>
      </w:r>
      <w:r>
        <w:t xml:space="preserve"> installation root directory—you can set this with the </w:t>
      </w:r>
      <w:r>
        <w:rPr>
          <w:rStyle w:val="Text5"/>
        </w:rPr>
        <w:t>pyenv global</w:t>
      </w:r>
      <w:r>
        <w:t xml:space="preserve"> command.</w:t>
      </w:r>
    </w:p>
    <w:p>
      <w:pPr>
        <w:pStyle w:val="Normal"/>
      </w:pPr>
      <w:r>
        <w:rPr>
          <w:rStyle w:val="Text0"/>
        </w:rPr>
        <w:t>pyenv</w:t>
      </w:r>
      <w:r>
        <w:t xml:space="preserve"> installs its Python interpreters underneath its home directory (normally </w:t>
      </w:r>
      <w:r>
        <w:rPr>
          <w:rStyle w:val="Text4"/>
        </w:rPr>
        <w:t>~/.pyenv</w:t>
      </w:r>
      <w:r>
        <w:t>), and, once available, a specific interpreter can be installed as the default Python in any project directory. Alternatively (e.g., when testing code under multiple versions), you can use scripting to change the interpreter dynamically as the script proceeds.</w:t>
      </w:r>
    </w:p>
    <w:p>
      <w:pPr>
        <w:pStyle w:val="Normal"/>
      </w:pPr>
      <w:r>
        <w:t xml:space="preserve">The </w:t>
      </w:r>
      <w:r>
        <w:rPr>
          <w:rStyle w:val="Text5"/>
        </w:rPr>
        <w:t>pyenv install –list</w:t>
      </w:r>
      <w:r>
        <w:t xml:space="preserve"> command shows an impressive list of over 500 supported distributions, including PyPy, Miniconda, MicroPython, and several others, plus every official CPython implementation from 2.1.3 to (at the time of writing) 3.11.0rc1.</w:t>
      </w:r>
    </w:p>
    <w:p>
      <w:bookmarkStart w:id="95" w:name="Transcrypt__Convert_your_Python"/>
      <w:pPr>
        <w:keepNext/>
        <w:pStyle w:val="Heading 2"/>
      </w:pPr>
      <w:r>
        <w:t>Transcrypt: Convert your Python to JavaScript</w:t>
      </w:r>
      <w:bookmarkEnd w:id="95"/>
    </w:p>
    <w:p>
      <w:pPr>
        <w:pStyle w:val="Normal"/>
      </w:pPr>
      <w:r>
        <w:t>Many</w:t>
      </w:r>
      <w:r>
        <w:rPr>
          <w:rStyle w:val="Text111"/>
        </w:rPr>
        <w:bookmarkStart w:id="96" w:name="idm45965258090080"/>
        <w:t/>
        <w:bookmarkEnd w:id="96"/>
      </w:r>
      <w:r>
        <w:t xml:space="preserve"> attempts have been made to make Python into a browser-based language, but JavaScript’s hold has been tenacious. The </w:t>
      </w:r>
      <w:hyperlink r:id="rId57">
        <w:r>
          <w:rPr>
            <w:rStyle w:val="Text1"/>
          </w:rPr>
          <w:t>Transcrypt</w:t>
        </w:r>
      </w:hyperlink>
      <w:r>
        <w:t xml:space="preserve"> system is a </w:t>
      </w:r>
      <w:r>
        <w:rPr>
          <w:rStyle w:val="Text0"/>
        </w:rPr>
        <w:t>pip</w:t>
      </w:r>
      <w:r>
        <w:t>-installable Python package to convert Python code (currently, up to version 3.9) into browser-executable JavaScript. You have full access to the browser’s DOM, allowing your code to dynamically manipulate window content and use JavaScript libraries.</w:t>
      </w:r>
    </w:p>
    <w:p>
      <w:pPr>
        <w:pStyle w:val="Normal"/>
      </w:pPr>
      <w:r>
        <w:t xml:space="preserve">Although it creates minified code, Transcrypt provides full </w:t>
      </w:r>
      <w:hyperlink r:id="rId58">
        <w:r>
          <w:rPr>
            <w:rStyle w:val="Text1"/>
          </w:rPr>
          <w:t>sourcemaps</w:t>
        </w:r>
      </w:hyperlink>
      <w:r>
        <w:t xml:space="preserve"> that allow you to debug with reference to the Python source rather than the generated JavaScript. You can write browser event handlers in Python, mixing it freely with HTML and JavaScript. Python may never replace JavaScript as the embedded browser language, but Transcrypt means you might no longer need to worry about that.</w:t>
      </w:r>
    </w:p>
    <w:p>
      <w:pPr>
        <w:pStyle w:val="Normal"/>
      </w:pPr>
      <w:r>
        <w:t xml:space="preserve">Another very active project that lets you script your web pages with Python (up to 3.10) is </w:t>
      </w:r>
      <w:hyperlink r:id="rId59">
        <w:r>
          <w:rPr>
            <w:rStyle w:val="Text1"/>
          </w:rPr>
          <w:t>Brython</w:t>
        </w:r>
      </w:hyperlink>
      <w:r>
        <w:t xml:space="preserve">, and there are others yet: </w:t>
      </w:r>
      <w:hyperlink r:id="rId60">
        <w:r>
          <w:rPr>
            <w:rStyle w:val="Text1"/>
          </w:rPr>
          <w:t>Skulpt</w:t>
        </w:r>
      </w:hyperlink>
      <w:r>
        <w:t xml:space="preserve">, not quite up to Python 3 yet but moving in that direction; </w:t>
      </w:r>
      <w:hyperlink r:id="rId61">
        <w:r>
          <w:rPr>
            <w:rStyle w:val="Text1"/>
          </w:rPr>
          <w:t>PyPy.js</w:t>
        </w:r>
      </w:hyperlink>
      <w:r>
        <w:t xml:space="preserve">, ditto; </w:t>
      </w:r>
      <w:hyperlink r:id="rId62">
        <w:r>
          <w:rPr>
            <w:rStyle w:val="Text1"/>
          </w:rPr>
          <w:t>Pyodide</w:t>
        </w:r>
      </w:hyperlink>
      <w:r>
        <w:t xml:space="preserve">, currently supporting Python 3.10 and many scientific extensions, and centered on </w:t>
      </w:r>
      <w:hyperlink r:id="rId63">
        <w:r>
          <w:rPr>
            <w:rStyle w:val="Text1"/>
          </w:rPr>
          <w:t>Wasm</w:t>
        </w:r>
      </w:hyperlink>
      <w:r>
        <w:t xml:space="preserve">; and, most recently, Anaconda’s </w:t>
      </w:r>
      <w:hyperlink r:id="rId64">
        <w:r>
          <w:rPr>
            <w:rStyle w:val="Text1"/>
          </w:rPr>
          <w:t>PyScript</w:t>
        </w:r>
      </w:hyperlink>
      <w:r>
        <w:t xml:space="preserve">, built on top of Pyodide. We describe several of these projects in more detail in </w:t>
      </w:r>
      <w:hyperlink w:anchor="Running_Python_in_the_Browser__T">
        <w:r>
          <w:rPr>
            <w:rStyle w:val="Text1"/>
          </w:rPr>
          <w:t>“Running Python in the Browser”</w:t>
        </w:r>
      </w:hyperlink>
      <w:r>
        <w:t>.</w:t>
      </w:r>
      <w:r>
        <w:rPr>
          <w:rStyle w:val="Text111"/>
        </w:rPr>
        <w:bookmarkStart w:id="97" w:name="idm45965258737520"/>
        <w:t/>
        <w:bookmarkEnd w:id="97"/>
      </w:r>
    </w:p>
    <w:p>
      <w:bookmarkStart w:id="98" w:name="Licensing_and_Price_Issues__CPyt"/>
      <w:pPr>
        <w:keepNext/>
        <w:pStyle w:val="Heading 2"/>
      </w:pPr>
      <w:r>
        <w:t>Licensing and Price Issues</w:t>
      </w:r>
      <w:bookmarkEnd w:id="98"/>
    </w:p>
    <w:p>
      <w:pPr>
        <w:pStyle w:val="Normal"/>
      </w:pPr>
      <w:r>
        <w:t>CPython</w:t>
      </w:r>
      <w:r>
        <w:rPr>
          <w:rStyle w:val="Text111"/>
        </w:rPr>
        <w:bookmarkStart w:id="99" w:name="idm45965258734080"/>
        <w:t/>
        <w:bookmarkEnd w:id="99"/>
        <w:bookmarkStart w:id="100" w:name="idm45965258732656"/>
        <w:t/>
        <w:bookmarkEnd w:id="100"/>
        <w:bookmarkStart w:id="101" w:name="idm45965258731552"/>
        <w:t/>
        <w:bookmarkEnd w:id="101"/>
      </w:r>
      <w:r>
        <w:t xml:space="preserve"> is covered by the</w:t>
      </w:r>
      <w:r>
        <w:rPr>
          <w:rStyle w:val="Text111"/>
        </w:rPr>
        <w:bookmarkStart w:id="102" w:name="idm45965258730320"/>
        <w:t/>
        <w:bookmarkEnd w:id="102"/>
      </w:r>
      <w:r>
        <w:t xml:space="preserve"> </w:t>
      </w:r>
      <w:hyperlink r:id="rId65">
        <w:r>
          <w:rPr>
            <w:rStyle w:val="Text1"/>
          </w:rPr>
          <w:t>Python Software Foundation License Version 2</w:t>
        </w:r>
      </w:hyperlink>
      <w:r>
        <w:t>, which is</w:t>
      </w:r>
      <w:r>
        <w:rPr>
          <w:rStyle w:val="Text111"/>
        </w:rPr>
        <w:bookmarkStart w:id="103" w:name="idm45965258727968"/>
        <w:t/>
        <w:bookmarkEnd w:id="103"/>
      </w:r>
      <w:r>
        <w:t xml:space="preserve"> GNU Public License (GPL) compatible but lets you use Python for any proprietary, free, or other open source software development, similar to BSD/Apache/MIT licenses. Licenses for PyPy and other implementations are similarly liberal. Anything you download from the main Python and PyPy sites won’t cost you a penny. Further, these licenses do not constrain what licensing and pricing conditions you can use for software you develop using the tools, libraries, and documentation they cover.</w:t>
      </w:r>
    </w:p>
    <w:p>
      <w:pPr>
        <w:pStyle w:val="Normal"/>
      </w:pPr>
      <w:r>
        <w:t>However, not everything Python-related is free from licensing costs or hassles. Many third-party Python sources, tools, and extension modules that you can freely download have liberal licenses, similar to that of Python itself. Others are covered by the GPL or</w:t>
      </w:r>
      <w:r>
        <w:rPr>
          <w:rStyle w:val="Text111"/>
        </w:rPr>
        <w:bookmarkStart w:id="104" w:name="idm45965258726432"/>
        <w:t/>
        <w:bookmarkEnd w:id="104"/>
        <w:bookmarkStart w:id="105" w:name="idm45965258725328"/>
        <w:t/>
        <w:bookmarkEnd w:id="105"/>
      </w:r>
      <w:r>
        <w:t xml:space="preserve"> Lesser GPL (LGPL), constraining the licensing conditions you can place on derived works. Some commercially developed modules and tools may require you to pay a fee, either unconditionally or if you use them for profit.</w:t>
      </w:r>
      <w:hyperlink w:anchor="6_A_popular_business_model_is_fr">
        <w:r>
          <w:rPr>
            <w:rStyle w:val="Text41"/>
          </w:rPr>
          <w:bookmarkStart w:id="106" w:name="6"/>
          <w:t>6</w:t>
          <w:bookmarkEnd w:id="106"/>
        </w:r>
      </w:hyperlink>
    </w:p>
    <w:p>
      <w:pPr>
        <w:pStyle w:val="Normal"/>
      </w:pPr>
      <w:r>
        <w:t>There is no substitute for careful examination of licensing conditions and prices. Before you invest time and energy into any software tool or component, check that you can live with its license. Often, especially in a corporate environment, such legal matters may involve consulting lawyers. Modules and tools covered in this book, unless we explicitly say otherwise, can be taken to be, at the time of this writing, freely downloadable, open source, and covered by a liberal license akin to Python’s. However, we claim no legal expertise, and licenses can change over time, so double-checking is always prudent.</w:t>
      </w:r>
    </w:p>
    <w:p>
      <w:bookmarkStart w:id="107" w:name="Python_Development_and_Versions"/>
      <w:pPr>
        <w:keepNext/>
        <w:pStyle w:val="Heading 1"/>
      </w:pPr>
      <w:r>
        <w:t>Python Development and Versions</w:t>
      </w:r>
      <w:bookmarkEnd w:id="107"/>
    </w:p>
    <w:p>
      <w:pPr>
        <w:pStyle w:val="Normal"/>
      </w:pPr>
      <w:r>
        <w:t>Python</w:t>
      </w:r>
      <w:r>
        <w:rPr>
          <w:rStyle w:val="Text111"/>
        </w:rPr>
        <w:bookmarkStart w:id="108" w:name="idm45965258720272"/>
        <w:t/>
        <w:bookmarkEnd w:id="108"/>
        <w:bookmarkStart w:id="109" w:name="idm45965258718848"/>
        <w:t/>
        <w:bookmarkEnd w:id="109"/>
        <w:bookmarkStart w:id="110" w:name="idm45965258717440"/>
        <w:t/>
        <w:bookmarkEnd w:id="110"/>
      </w:r>
      <w:r>
        <w:t xml:space="preserve"> is developed, maintained, and released by a team of core developers led</w:t>
      </w:r>
      <w:r>
        <w:rPr>
          <w:rStyle w:val="Text111"/>
        </w:rPr>
        <w:bookmarkStart w:id="111" w:name="idm45965258716208"/>
        <w:t/>
        <w:bookmarkEnd w:id="111"/>
      </w:r>
      <w:r>
        <w:t xml:space="preserve"> by Guido van Rossum, Python’s inventor, architect, and now</w:t>
      </w:r>
      <w:r>
        <w:rPr>
          <w:rStyle w:val="Text111"/>
        </w:rPr>
        <w:bookmarkStart w:id="112" w:name="idm45965258714976"/>
        <w:t/>
        <w:bookmarkEnd w:id="112"/>
        <w:bookmarkStart w:id="113" w:name="idm45965283898656"/>
        <w:t/>
        <w:bookmarkEnd w:id="113"/>
      </w:r>
      <w:r>
        <w:t xml:space="preserve"> “ex” Benevolent Dictator for Life (BDFL). This title meant that Guido had the final say on what became part of the Python language and standard library. Once Guido decided to retire as BDFL, his decision-making role was taken over by a small “Steering Council,” elected for yearly terms by PSF members.</w:t>
      </w:r>
    </w:p>
    <w:p>
      <w:pPr>
        <w:pStyle w:val="Normal"/>
      </w:pPr>
      <w:r>
        <w:t xml:space="preserve">Python’s intellectual property is vested in the PSF, a nonprofit corporation devoted to promoting Python, described in </w:t>
      </w:r>
      <w:hyperlink w:anchor="Python_Software_Foundation__Besi">
        <w:r>
          <w:rPr>
            <w:rStyle w:val="Text1"/>
          </w:rPr>
          <w:t>“Python Software Foundation”</w:t>
        </w:r>
      </w:hyperlink>
      <w:r>
        <w:t xml:space="preserve">. Many PSF Fellows and members have commit privileges to Python’s </w:t>
      </w:r>
      <w:hyperlink r:id="rId66">
        <w:r>
          <w:rPr>
            <w:rStyle w:val="Text1"/>
          </w:rPr>
          <w:t>reference source repositories</w:t>
        </w:r>
      </w:hyperlink>
      <w:r>
        <w:t xml:space="preserve">, as documented in the </w:t>
      </w:r>
      <w:hyperlink r:id="rId67">
        <w:r>
          <w:rPr>
            <w:rStyle w:val="Text1"/>
          </w:rPr>
          <w:t>“Python Developer’s Guide”</w:t>
        </w:r>
      </w:hyperlink>
      <w:r>
        <w:rPr>
          <w:rStyle w:val="Text111"/>
        </w:rPr>
        <w:bookmarkStart w:id="114" w:name="idm45965283894464"/>
        <w:t/>
        <w:bookmarkEnd w:id="114"/>
      </w:r>
      <w:r>
        <w:t>, and most Python committers are members or Fellows of the PSF.</w:t>
      </w:r>
    </w:p>
    <w:p>
      <w:pPr>
        <w:pStyle w:val="Normal"/>
      </w:pPr>
      <w:r>
        <w:t>Proposed</w:t>
      </w:r>
      <w:r>
        <w:rPr>
          <w:rStyle w:val="Text111"/>
        </w:rPr>
        <w:bookmarkStart w:id="115" w:name="idm45965283892704"/>
        <w:t/>
        <w:bookmarkEnd w:id="115"/>
        <w:bookmarkStart w:id="116" w:name="idm45965283891552"/>
        <w:t/>
        <w:bookmarkEnd w:id="116"/>
      </w:r>
      <w:r>
        <w:t xml:space="preserve"> changes to Python are detailed in public docs called </w:t>
      </w:r>
      <w:hyperlink r:id="rId68">
        <w:r>
          <w:rPr>
            <w:rStyle w:val="Text1"/>
          </w:rPr>
          <w:t>Python Enhancement Proposals (PEPs)</w:t>
        </w:r>
      </w:hyperlink>
      <w:r>
        <w:t>. PEPs are debated by Python developers and the wider Python community, and finally approved or rejected by the Steering Council. (The Steering Council may take debates and preliminary votes into account but are not bound by them.) Hundreds of people contribute to Python development through PEPs, discussion, bug reports, and patches to Python sources, libraries, and docs.</w:t>
      </w:r>
    </w:p>
    <w:p>
      <w:pPr>
        <w:pStyle w:val="Normal"/>
      </w:pPr>
      <w:r>
        <w:t>The Python core team releases minor versions of Python (3.</w:t>
      </w:r>
      <w:r>
        <w:rPr>
          <w:rStyle w:val="Text4"/>
        </w:rPr>
        <w:t>x</w:t>
      </w:r>
      <w:r>
        <w:t xml:space="preserve"> for growing values of </w:t>
      </w:r>
      <w:r>
        <w:rPr>
          <w:rStyle w:val="Text4"/>
        </w:rPr>
        <w:t>x</w:t>
      </w:r>
      <w:r>
        <w:t xml:space="preserve">), also known as “feature releases,” currently at a pace of </w:t>
      </w:r>
      <w:hyperlink r:id="rId69">
        <w:r>
          <w:rPr>
            <w:rStyle w:val="Text1"/>
          </w:rPr>
          <w:t>once a year</w:t>
        </w:r>
      </w:hyperlink>
      <w:r>
        <w:t>.</w:t>
      </w:r>
    </w:p>
    <w:p>
      <w:pPr>
        <w:pStyle w:val="Normal"/>
      </w:pPr>
      <w:r>
        <w:t>Each</w:t>
      </w:r>
      <w:r>
        <w:rPr>
          <w:rStyle w:val="Text111"/>
        </w:rPr>
        <w:bookmarkStart w:id="117" w:name="idm45965283887008"/>
        <w:t/>
        <w:bookmarkEnd w:id="117"/>
      </w:r>
      <w:r>
        <w:t xml:space="preserve"> minor release (as opposed to bug-fix microreleases) adds features that make Python more powerful, but also takes care to maintain backward compatibility. Python 3.0, which was allowed to break backward compatibility in order to remove redundant “legacy” features and simplify the language, was first released in December 2008. Python 3.11 (the most recent stable version at the time of publication) was first released in October 2022.</w:t>
      </w:r>
    </w:p>
    <w:p>
      <w:pPr>
        <w:pStyle w:val="Normal"/>
      </w:pPr>
      <w:r>
        <w:t>Each minor release 3.</w:t>
      </w:r>
      <w:r>
        <w:rPr>
          <w:rStyle w:val="Text4"/>
        </w:rPr>
        <w:t>x</w:t>
      </w:r>
      <w:r>
        <w:t xml:space="preserve"> is first made available in alpha releases, tagged as 3.</w:t>
      </w:r>
      <w:r>
        <w:rPr>
          <w:rStyle w:val="Text4"/>
        </w:rPr>
        <w:t>x</w:t>
      </w:r>
      <w:r>
        <w:t>a0, 3.</w:t>
      </w:r>
      <w:r>
        <w:rPr>
          <w:rStyle w:val="Text4"/>
        </w:rPr>
        <w:t>x</w:t>
      </w:r>
      <w:r>
        <w:t>a1, and so on. After the alphas comes at least one beta release, 3.</w:t>
      </w:r>
      <w:r>
        <w:rPr>
          <w:rStyle w:val="Text4"/>
        </w:rPr>
        <w:t>x</w:t>
      </w:r>
      <w:r>
        <w:t>b1, and after the betas, at least one release candidate, 3.</w:t>
      </w:r>
      <w:r>
        <w:rPr>
          <w:rStyle w:val="Text4"/>
        </w:rPr>
        <w:t>x</w:t>
      </w:r>
      <w:r>
        <w:t>rc1. By the time the final release of 3.</w:t>
      </w:r>
      <w:r>
        <w:rPr>
          <w:rStyle w:val="Text4"/>
        </w:rPr>
        <w:t>x</w:t>
      </w:r>
      <w:r>
        <w:t xml:space="preserve"> (3.</w:t>
      </w:r>
      <w:r>
        <w:rPr>
          <w:rStyle w:val="Text4"/>
        </w:rPr>
        <w:t>x</w:t>
      </w:r>
      <w:r>
        <w:t>.0) comes out, it is solid, reliable, and tested on all major platforms. Any Python programmer can help ensure this by downloading alphas, betas, and release candidates, trying them out, and filing bug reports for any problems that emerge.</w:t>
      </w:r>
    </w:p>
    <w:p>
      <w:pPr>
        <w:pStyle w:val="Normal"/>
      </w:pPr>
      <w:r>
        <w:t>Once a minor release is out, part of the attention of the core team switches to the next minor release. However, a minor release normally gets successive point releases (i.e., 3.</w:t>
      </w:r>
      <w:r>
        <w:rPr>
          <w:rStyle w:val="Text4"/>
        </w:rPr>
        <w:t>x</w:t>
      </w:r>
      <w:r>
        <w:t>.1, 3.</w:t>
      </w:r>
      <w:r>
        <w:rPr>
          <w:rStyle w:val="Text4"/>
        </w:rPr>
        <w:t>x</w:t>
      </w:r>
      <w:r>
        <w:t>.2, and so on), one every two months, that add no functionality but can fix errors, address security issues, port Python to new platforms, enhance documentation, and add tools and (100% backward compatible!) optimizations.</w:t>
      </w:r>
    </w:p>
    <w:p>
      <w:pPr>
        <w:pStyle w:val="Normal"/>
      </w:pPr>
      <w:r>
        <w:t xml:space="preserve">Python’s backward compatibility is fairly good within major releases. You can find code and documentation </w:t>
      </w:r>
      <w:hyperlink r:id="rId70">
        <w:r>
          <w:rPr>
            <w:rStyle w:val="Text1"/>
          </w:rPr>
          <w:t>online</w:t>
        </w:r>
      </w:hyperlink>
      <w:r>
        <w:t xml:space="preserve"> for all old releases of Python, and the </w:t>
      </w:r>
      <w:hyperlink w:anchor="Appendix__New_Features_and_Chang_2">
        <w:r>
          <w:rPr>
            <w:rStyle w:val="Text1"/>
          </w:rPr>
          <w:t>Appendix</w:t>
        </w:r>
      </w:hyperlink>
      <w:r>
        <w:t xml:space="preserve"> contains a summary list of changes in each of the releases covered in this book.</w:t>
      </w:r>
    </w:p>
    <w:p>
      <w:bookmarkStart w:id="118" w:name="Python_Resources__The_richest_Py"/>
      <w:pPr>
        <w:keepNext/>
        <w:pStyle w:val="Heading 1"/>
      </w:pPr>
      <w:r>
        <w:t>Python Resources</w:t>
      </w:r>
      <w:bookmarkEnd w:id="118"/>
    </w:p>
    <w:p>
      <w:pPr>
        <w:pStyle w:val="Normal"/>
      </w:pPr>
      <w:r>
        <w:t>The</w:t>
      </w:r>
      <w:r>
        <w:rPr>
          <w:rStyle w:val="Text111"/>
        </w:rPr>
        <w:bookmarkStart w:id="119" w:name="PLresource01"/>
        <w:t/>
        <w:bookmarkEnd w:id="119"/>
      </w:r>
      <w:r>
        <w:t xml:space="preserve"> richest Python resource is the web: start at Python’s </w:t>
      </w:r>
      <w:hyperlink r:id="rId29">
        <w:r>
          <w:rPr>
            <w:rStyle w:val="Text1"/>
          </w:rPr>
          <w:t>home page</w:t>
        </w:r>
      </w:hyperlink>
      <w:r>
        <w:t>, which is full of links to explore.</w:t>
      </w:r>
    </w:p>
    <w:p>
      <w:bookmarkStart w:id="120" w:name="Documentation__Both_CPython_and"/>
      <w:pPr>
        <w:keepNext/>
        <w:pStyle w:val="Heading 2"/>
      </w:pPr>
      <w:r>
        <w:t>Documentation</w:t>
      </w:r>
      <w:bookmarkEnd w:id="120"/>
    </w:p>
    <w:p>
      <w:pPr>
        <w:pStyle w:val="Normal"/>
      </w:pPr>
      <w:r>
        <w:t>Both</w:t>
      </w:r>
      <w:r>
        <w:rPr>
          <w:rStyle w:val="Text111"/>
        </w:rPr>
        <w:bookmarkStart w:id="121" w:name="Rdoc01"/>
        <w:t/>
        <w:bookmarkEnd w:id="121"/>
        <w:bookmarkStart w:id="122" w:name="doc01"/>
        <w:t/>
        <w:bookmarkEnd w:id="122"/>
      </w:r>
      <w:r>
        <w:t xml:space="preserve"> CPython and PyPy come with good documentation. You can read CPython’s manuals </w:t>
      </w:r>
      <w:hyperlink r:id="rId71">
        <w:r>
          <w:rPr>
            <w:rStyle w:val="Text1"/>
          </w:rPr>
          <w:t>online</w:t>
        </w:r>
      </w:hyperlink>
      <w:r>
        <w:t xml:space="preserve"> (we often refer to these as “the online docs”), and various downloadable formats suitable for offline viewing, searching, and printing are also available. The Python </w:t>
      </w:r>
      <w:hyperlink r:id="rId72">
        <w:r>
          <w:rPr>
            <w:rStyle w:val="Text1"/>
          </w:rPr>
          <w:t>documentation page</w:t>
        </w:r>
      </w:hyperlink>
      <w:r>
        <w:t xml:space="preserve"> contains additional pointers to a large variety of other documents. There is also a </w:t>
      </w:r>
      <w:hyperlink r:id="rId73">
        <w:r>
          <w:rPr>
            <w:rStyle w:val="Text1"/>
          </w:rPr>
          <w:t>documentation page</w:t>
        </w:r>
      </w:hyperlink>
      <w:r>
        <w:t xml:space="preserve"> for</w:t>
      </w:r>
      <w:r>
        <w:rPr>
          <w:rStyle w:val="Text111"/>
        </w:rPr>
        <w:bookmarkStart w:id="123" w:name="idm45965278380592"/>
        <w:t/>
        <w:bookmarkEnd w:id="123"/>
      </w:r>
      <w:r>
        <w:t xml:space="preserve"> PyPy, and you can find online FAQs for both </w:t>
      </w:r>
      <w:hyperlink r:id="rId74">
        <w:r>
          <w:rPr>
            <w:rStyle w:val="Text1"/>
          </w:rPr>
          <w:t>Python</w:t>
        </w:r>
      </w:hyperlink>
      <w:r>
        <w:t xml:space="preserve"> and </w:t>
      </w:r>
      <w:hyperlink r:id="rId75">
        <w:r>
          <w:rPr>
            <w:rStyle w:val="Text1"/>
          </w:rPr>
          <w:t>PyPy</w:t>
        </w:r>
      </w:hyperlink>
      <w:r>
        <w:t>.</w:t>
      </w:r>
    </w:p>
    <w:p>
      <w:bookmarkStart w:id="124" w:name="Python_documentation_for_nonprog"/>
      <w:pPr>
        <w:keepNext/>
        <w:pStyle w:val="Heading 2"/>
      </w:pPr>
      <w:r>
        <w:t>Python documentation for nonprogrammers</w:t>
      </w:r>
      <w:bookmarkEnd w:id="124"/>
    </w:p>
    <w:p>
      <w:pPr>
        <w:pStyle w:val="Normal"/>
      </w:pPr>
      <w:r>
        <w:t>Most Python documentation (including this book) assumes some software development knowledge. However, Python is quite suitable for first-time programmers, so there are exceptions to this rule. Good introductory, free online texts for nonprogrammers include:</w:t>
      </w:r>
    </w:p>
    <w:p>
      <w:pPr>
        <w:pStyle w:val="Para 010"/>
      </w:pPr>
      <w:r>
        <w:t xml:space="preserve">Josh Cogliati’s </w:t>
      </w:r>
      <w:hyperlink r:id="rId76">
        <w:r>
          <w:rPr>
            <w:rStyle w:val="Text1"/>
          </w:rPr>
          <w:t>“Non-Programmers Tutorial for Python 3”</w:t>
        </w:r>
      </w:hyperlink>
      <w:r>
        <w:t xml:space="preserve"> (currently centered on Python 3.9)</w:t>
      </w:r>
    </w:p>
    <w:p>
      <w:pPr>
        <w:pStyle w:val="Para 010"/>
      </w:pPr>
      <w:r>
        <w:t xml:space="preserve">Alan Gauld’s </w:t>
      </w:r>
      <w:hyperlink r:id="rId77">
        <w:r>
          <w:rPr>
            <w:rStyle w:val="Text1"/>
          </w:rPr>
          <w:t>“Learning to Program”</w:t>
        </w:r>
      </w:hyperlink>
      <w:r>
        <w:t xml:space="preserve"> (currently centered on Python 3.6)</w:t>
      </w:r>
    </w:p>
    <w:p>
      <w:pPr>
        <w:pStyle w:val="Para 010"/>
      </w:pPr>
      <w:r>
        <w:t xml:space="preserve">Allen Downey’s </w:t>
      </w:r>
      <w:hyperlink r:id="rId78">
        <w:r>
          <w:rPr>
            <w:rStyle w:val="Text24"/>
          </w:rPr>
          <w:t>Think Python</w:t>
        </w:r>
      </w:hyperlink>
      <w:hyperlink r:id="rId78">
        <w:r>
          <w:rPr>
            <w:rStyle w:val="Text1"/>
          </w:rPr>
          <w:t>, 2nd edition</w:t>
        </w:r>
      </w:hyperlink>
      <w:r>
        <w:t xml:space="preserve"> (centered on an unspecified version of Python 3.</w:t>
      </w:r>
      <w:r>
        <w:rPr>
          <w:rStyle w:val="Text4"/>
        </w:rPr>
        <w:t>x</w:t>
      </w:r>
      <w:r>
        <w:t>)</w:t>
      </w:r>
    </w:p>
    <w:p>
      <w:pPr>
        <w:pStyle w:val="Normal"/>
      </w:pPr>
      <w:r>
        <w:t xml:space="preserve">An excellent resource for learning Python (for nonprogrammers, and for less experienced programmers too) is the </w:t>
      </w:r>
      <w:hyperlink r:id="rId79">
        <w:r>
          <w:rPr>
            <w:rStyle w:val="Text1"/>
          </w:rPr>
          <w:t>“Beginners’ Guide to Python” wiki</w:t>
        </w:r>
      </w:hyperlink>
      <w:r>
        <w:t>, which includes a wealth of links and advice. It’s community curated, so it will stay up-to-date as available books, courses, tools, and so on keep evolving and improving.</w:t>
      </w:r>
    </w:p>
    <w:p>
      <w:bookmarkStart w:id="125" w:name="Extension_modules_and_Python_sou"/>
      <w:pPr>
        <w:keepNext/>
        <w:pStyle w:val="Heading 2"/>
      </w:pPr>
      <w:r>
        <w:t>Extension modules and Python sources</w:t>
      </w:r>
      <w:bookmarkEnd w:id="125"/>
    </w:p>
    <w:p>
      <w:pPr>
        <w:pStyle w:val="Normal"/>
      </w:pPr>
      <w:r>
        <w:t>A</w:t>
      </w:r>
      <w:r>
        <w:rPr>
          <w:rStyle w:val="Text111"/>
        </w:rPr>
        <w:bookmarkStart w:id="126" w:name="idm45965278366320"/>
        <w:t/>
        <w:bookmarkEnd w:id="126"/>
      </w:r>
      <w:r>
        <w:t xml:space="preserve"> good starting point to explore Python extension binaries and sources is</w:t>
      </w:r>
      <w:r>
        <w:rPr>
          <w:rStyle w:val="Text111"/>
        </w:rPr>
        <w:bookmarkStart w:id="127" w:name="idm45965278364784"/>
        <w:t/>
        <w:bookmarkEnd w:id="127"/>
        <w:bookmarkStart w:id="128" w:name="idm45965278363616"/>
        <w:t/>
        <w:bookmarkEnd w:id="128"/>
      </w:r>
      <w:r>
        <w:t xml:space="preserve"> the </w:t>
      </w:r>
      <w:hyperlink r:id="rId80">
        <w:r>
          <w:rPr>
            <w:rStyle w:val="Text1"/>
          </w:rPr>
          <w:t>Python Package Index</w:t>
        </w:r>
      </w:hyperlink>
      <w:r>
        <w:t xml:space="preserve"> (still fondly known to a few of us old-timers as “The Cheese Shop,” but generally referred to now as PyPI), which at the time of this writing offers more than 400,000 packages, each with descriptions and pointers.</w:t>
      </w:r>
    </w:p>
    <w:p>
      <w:pPr>
        <w:pStyle w:val="Normal"/>
      </w:pPr>
      <w:r>
        <w:t>The</w:t>
      </w:r>
      <w:r>
        <w:rPr>
          <w:rStyle w:val="Text111"/>
        </w:rPr>
        <w:bookmarkStart w:id="129" w:name="idm45965278361232"/>
        <w:t/>
        <w:bookmarkEnd w:id="129"/>
      </w:r>
      <w:r>
        <w:t xml:space="preserve"> standard Python source distribution contains excellent Python source code in the standard library and in the </w:t>
      </w:r>
      <w:r>
        <w:rPr>
          <w:rStyle w:val="Text4"/>
        </w:rPr>
        <w:t>Tools</w:t>
      </w:r>
      <w:r>
        <w:t xml:space="preserve"> directory, as well as C source for the many built-in extension modules. Even if you have no interest in building Python from source, we suggest you download and unpack the Python source distribution (e.g., the latest stable release of </w:t>
      </w:r>
      <w:hyperlink r:id="rId81">
        <w:r>
          <w:rPr>
            <w:rStyle w:val="Text1"/>
          </w:rPr>
          <w:t>Python 3.11</w:t>
        </w:r>
      </w:hyperlink>
      <w:r>
        <w:t xml:space="preserve">) for the sole purpose of studying it; or, if you so choose, peruse the current bleeding-edge version of Python’s standard library </w:t>
      </w:r>
      <w:hyperlink r:id="rId82">
        <w:r>
          <w:rPr>
            <w:rStyle w:val="Text1"/>
          </w:rPr>
          <w:t>online</w:t>
        </w:r>
      </w:hyperlink>
      <w:r>
        <w:t>.</w:t>
      </w:r>
    </w:p>
    <w:p>
      <w:pPr>
        <w:pStyle w:val="Normal"/>
      </w:pPr>
      <w:r>
        <w:t>Many Python modules and tools covered in this book also have dedicated sites. We include references to such sites in the appropriate chapters.</w:t>
      </w:r>
    </w:p>
    <w:p>
      <w:bookmarkStart w:id="130" w:name="Books__Although_the_web_is_a_ric"/>
      <w:pPr>
        <w:keepNext/>
        <w:pStyle w:val="Heading 2"/>
      </w:pPr>
      <w:r>
        <w:t>Books</w:t>
      </w:r>
      <w:bookmarkEnd w:id="130"/>
    </w:p>
    <w:p>
      <w:pPr>
        <w:pStyle w:val="Normal"/>
      </w:pPr>
      <w:r>
        <w:t>Although</w:t>
      </w:r>
      <w:r>
        <w:rPr>
          <w:rStyle w:val="Text111"/>
        </w:rPr>
        <w:bookmarkStart w:id="131" w:name="idm45965278355312"/>
        <w:t/>
        <w:bookmarkEnd w:id="131"/>
      </w:r>
      <w:r>
        <w:t xml:space="preserve"> the web is a rich source of information, books still have their place (if you didn’t agree with us on this, we wouldn’t have written this book, and you wouldn’t be reading it). Books about Python are numerous. Here are a few we recommend (some cover older Python 3 versions, rather than current ones):</w:t>
      </w:r>
    </w:p>
    <w:p>
      <w:pPr>
        <w:pStyle w:val="Para 010"/>
      </w:pPr>
      <w:r>
        <w:t xml:space="preserve">If you know some programming but are just starting to learn Python, and you like graphical approaches to instruction, </w:t>
      </w:r>
      <w:hyperlink r:id="rId83">
        <w:r>
          <w:rPr>
            <w:rStyle w:val="Text24"/>
          </w:rPr>
          <w:t>Head First Python</w:t>
        </w:r>
      </w:hyperlink>
      <w:hyperlink r:id="rId83">
        <w:r>
          <w:rPr>
            <w:rStyle w:val="Text1"/>
          </w:rPr>
          <w:t>, 2nd edition</w:t>
        </w:r>
      </w:hyperlink>
      <w:r>
        <w:t>, by Paul Barry (O’Reilly) may serve you well. Like all the books in the Head First series, it uses graphics and humor to teach its subject.</w:t>
      </w:r>
    </w:p>
    <w:p>
      <w:pPr>
        <w:pStyle w:val="Para 010"/>
      </w:pPr>
      <w:hyperlink r:id="rId84">
        <w:r>
          <w:rPr>
            <w:rStyle w:val="Text24"/>
          </w:rPr>
          <w:t>Dive Into Python 3</w:t>
        </w:r>
      </w:hyperlink>
      <w:r>
        <w:t>, by Mark Pilgrim (Apress), teaches by example in a fast-paced and thorough way that is quite suitable for people who are already expert programmers in other languages.</w:t>
      </w:r>
    </w:p>
    <w:p>
      <w:pPr>
        <w:pStyle w:val="Para 010"/>
      </w:pPr>
      <w:hyperlink r:id="rId85">
        <w:r>
          <w:rPr>
            <w:rStyle w:val="Text24"/>
          </w:rPr>
          <w:t>Beginning Python: From Novice to Professional</w:t>
        </w:r>
      </w:hyperlink>
      <w:r>
        <w:t>, by Magnus Lie Hetland (Apress), teaches both via thorough explanations and by fully developing complete programs in various application areas.</w:t>
      </w:r>
    </w:p>
    <w:p>
      <w:pPr>
        <w:pStyle w:val="Para 010"/>
      </w:pPr>
      <w:hyperlink r:id="rId86">
        <w:r>
          <w:rPr>
            <w:rStyle w:val="Text24"/>
          </w:rPr>
          <w:t>Fluent Python</w:t>
        </w:r>
      </w:hyperlink>
      <w:r>
        <w:t>, by Luciano Ramalho (O’Reilly), is an excellent book for more experienced developers who want to use more Pythonic idioms and features.</w:t>
      </w:r>
      <w:r>
        <w:rPr>
          <w:rStyle w:val="Text111"/>
        </w:rPr>
        <w:bookmarkStart w:id="132" w:name="idm45965278345408"/>
        <w:t/>
        <w:bookmarkEnd w:id="132"/>
        <w:bookmarkStart w:id="133" w:name="idm45965284062080"/>
        <w:t/>
        <w:bookmarkEnd w:id="133"/>
      </w:r>
    </w:p>
    <w:p>
      <w:bookmarkStart w:id="134" w:name="Community__One_of_the_greatest_s"/>
      <w:pPr>
        <w:keepNext/>
        <w:pStyle w:val="Heading 2"/>
      </w:pPr>
      <w:r>
        <w:t>Community</w:t>
      </w:r>
      <w:bookmarkEnd w:id="134"/>
    </w:p>
    <w:p>
      <w:pPr>
        <w:pStyle w:val="Normal"/>
      </w:pPr>
      <w:r>
        <w:t>One</w:t>
      </w:r>
      <w:r>
        <w:rPr>
          <w:rStyle w:val="Text111"/>
        </w:rPr>
        <w:bookmarkStart w:id="135" w:name="Rcommun01"/>
        <w:t/>
        <w:bookmarkEnd w:id="135"/>
        <w:bookmarkStart w:id="136" w:name="Pcom01"/>
        <w:t/>
        <w:bookmarkEnd w:id="136"/>
      </w:r>
      <w:r>
        <w:t xml:space="preserve"> of the greatest strengths of Python is its robust, friendly, welcoming community. Python programmers and contributors meet at conferences, “hackathons” (often known as </w:t>
      </w:r>
      <w:hyperlink r:id="rId87">
        <w:r>
          <w:rPr>
            <w:rStyle w:val="Text24"/>
          </w:rPr>
          <w:t>sprints</w:t>
        </w:r>
      </w:hyperlink>
      <w:r>
        <w:t xml:space="preserve"> in the Python community), and local user groups; actively discuss shared interests; and help each other on mailing lists and social media. For a complete list of ways to connect, visit </w:t>
      </w:r>
      <w:hyperlink r:id="rId88">
        <w:r>
          <w:rPr>
            <w:rStyle w:val="Text24"/>
          </w:rPr>
          <w:t>https://www.python.org/community</w:t>
        </w:r>
      </w:hyperlink>
      <w:r>
        <w:t>.</w:t>
      </w:r>
    </w:p>
    <w:p>
      <w:bookmarkStart w:id="137" w:name="Python_Software_Foundation__Besi"/>
      <w:pPr>
        <w:keepNext/>
        <w:pStyle w:val="Heading 2"/>
      </w:pPr>
      <w:r>
        <w:t>Python Software Foundation</w:t>
      </w:r>
      <w:bookmarkEnd w:id="137"/>
    </w:p>
    <w:p>
      <w:pPr>
        <w:pStyle w:val="Normal"/>
      </w:pPr>
      <w:r>
        <w:t>Besides</w:t>
      </w:r>
      <w:r>
        <w:rPr>
          <w:rStyle w:val="Text111"/>
        </w:rPr>
        <w:bookmarkStart w:id="138" w:name="idm45965284050912"/>
        <w:t/>
        <w:bookmarkEnd w:id="138"/>
      </w:r>
      <w:r>
        <w:t xml:space="preserve"> holding the intellectual property rights for the Python programming language, the PSF promotes the Python community. It sponsors user groups, conferences, and sprints, and provides grants for development, outreach, and education, among other activities. The PSF has dozens of </w:t>
      </w:r>
      <w:hyperlink r:id="rId89">
        <w:r>
          <w:rPr>
            <w:rStyle w:val="Text1"/>
          </w:rPr>
          <w:t>Fellows</w:t>
        </w:r>
      </w:hyperlink>
      <w:r>
        <w:t xml:space="preserve"> (nominated for their contributions to Python, including all of the Python core team, as well as three of the authors of this book); hundreds of members who contribute time, work, and money (including many who’ve earned </w:t>
      </w:r>
      <w:hyperlink r:id="rId90">
        <w:r>
          <w:rPr>
            <w:rStyle w:val="Text1"/>
          </w:rPr>
          <w:t>Community Service Awards</w:t>
        </w:r>
      </w:hyperlink>
      <w:r>
        <w:t xml:space="preserve">); and dozens of </w:t>
      </w:r>
      <w:hyperlink r:id="rId91">
        <w:r>
          <w:rPr>
            <w:rStyle w:val="Text1"/>
          </w:rPr>
          <w:t>corporate sponsors</w:t>
        </w:r>
      </w:hyperlink>
      <w:r>
        <w:t>. Anyone who uses and supports Python can become a member of the PSF.</w:t>
      </w:r>
      <w:hyperlink w:anchor="7_The_Python_Software_Foundation">
        <w:r>
          <w:rPr>
            <w:rStyle w:val="Text41"/>
          </w:rPr>
          <w:bookmarkStart w:id="139" w:name="7"/>
          <w:t>7</w:t>
          <w:bookmarkEnd w:id="139"/>
        </w:r>
      </w:hyperlink>
      <w:r>
        <w:t xml:space="preserve"> Check out the </w:t>
      </w:r>
      <w:hyperlink r:id="rId92">
        <w:r>
          <w:rPr>
            <w:rStyle w:val="Text1"/>
          </w:rPr>
          <w:t>membership page</w:t>
        </w:r>
      </w:hyperlink>
      <w:r>
        <w:t xml:space="preserve"> for information on the various membership levels, and on how to become a member of the PSF. If you’re interested in contributing to Python itself, see the </w:t>
      </w:r>
      <w:hyperlink r:id="rId93">
        <w:r>
          <w:rPr>
            <w:rStyle w:val="Text1"/>
          </w:rPr>
          <w:t>“Python Developer’s Guide”</w:t>
        </w:r>
      </w:hyperlink>
      <w:r>
        <w:t>.</w:t>
      </w:r>
    </w:p>
    <w:p>
      <w:bookmarkStart w:id="140" w:name="Workgroups__Workgroups_are_commi"/>
      <w:pPr>
        <w:keepNext/>
        <w:pStyle w:val="Heading 2"/>
      </w:pPr>
      <w:r>
        <w:t>Workgroups</w:t>
      </w:r>
      <w:bookmarkEnd w:id="140"/>
    </w:p>
    <w:p>
      <w:pPr>
        <w:pStyle w:val="Normal"/>
      </w:pPr>
      <w:hyperlink r:id="rId94">
        <w:r>
          <w:rPr>
            <w:rStyle w:val="Text1"/>
          </w:rPr>
          <w:t>Workgroups</w:t>
        </w:r>
      </w:hyperlink>
      <w:r>
        <w:t xml:space="preserve"> are</w:t>
      </w:r>
      <w:r>
        <w:rPr>
          <w:rStyle w:val="Text111"/>
        </w:rPr>
        <w:bookmarkStart w:id="141" w:name="idm45965284042288"/>
        <w:t/>
        <w:bookmarkEnd w:id="141"/>
      </w:r>
      <w:r>
        <w:t xml:space="preserve"> committees established by the PSF to do specific, important projects for Python. Here are some examples of active workgroups at the time of writing:</w:t>
      </w:r>
    </w:p>
    <w:p>
      <w:pPr>
        <w:pStyle w:val="Para 010"/>
      </w:pPr>
      <w:r>
        <w:t>The</w:t>
      </w:r>
      <w:r>
        <w:rPr>
          <w:rStyle w:val="Text111"/>
        </w:rPr>
        <w:bookmarkStart w:id="142" w:name="idm45965284039808"/>
        <w:t/>
        <w:bookmarkEnd w:id="142"/>
        <w:bookmarkStart w:id="143" w:name="idm45965284038608"/>
        <w:t/>
        <w:bookmarkEnd w:id="143"/>
      </w:r>
      <w:r>
        <w:t xml:space="preserve"> </w:t>
      </w:r>
      <w:hyperlink r:id="rId95">
        <w:r>
          <w:rPr>
            <w:rStyle w:val="Text1"/>
          </w:rPr>
          <w:t>Python Packaging Authority (PyPA)</w:t>
        </w:r>
      </w:hyperlink>
      <w:r>
        <w:t xml:space="preserve"> improves and maintains the Python packaging ecosystem and publishes the </w:t>
      </w:r>
      <w:hyperlink r:id="rId96">
        <w:r>
          <w:rPr>
            <w:rStyle w:val="Text1"/>
          </w:rPr>
          <w:t>“Python Packaging User Guide”</w:t>
        </w:r>
      </w:hyperlink>
      <w:r>
        <w:t>.</w:t>
      </w:r>
    </w:p>
    <w:p>
      <w:pPr>
        <w:pStyle w:val="Para 010"/>
      </w:pPr>
      <w:r>
        <w:t>The</w:t>
      </w:r>
      <w:r>
        <w:rPr>
          <w:rStyle w:val="Text111"/>
        </w:rPr>
        <w:bookmarkStart w:id="144" w:name="idm45965284035056"/>
        <w:t/>
        <w:bookmarkEnd w:id="144"/>
      </w:r>
      <w:r>
        <w:t xml:space="preserve"> </w:t>
      </w:r>
      <w:hyperlink r:id="rId97">
        <w:r>
          <w:rPr>
            <w:rStyle w:val="Text1"/>
          </w:rPr>
          <w:t>Python Education workgroup</w:t>
        </w:r>
      </w:hyperlink>
      <w:r>
        <w:t xml:space="preserve"> promotes education and learning with Python.</w:t>
      </w:r>
    </w:p>
    <w:p>
      <w:pPr>
        <w:pStyle w:val="Para 010"/>
      </w:pPr>
      <w:r>
        <w:t>The</w:t>
      </w:r>
      <w:r>
        <w:rPr>
          <w:rStyle w:val="Text111"/>
        </w:rPr>
        <w:bookmarkStart w:id="145" w:name="idm45965284032176"/>
        <w:t/>
        <w:bookmarkEnd w:id="145"/>
      </w:r>
      <w:r>
        <w:t xml:space="preserve"> </w:t>
      </w:r>
      <w:hyperlink r:id="rId98">
        <w:r>
          <w:rPr>
            <w:rStyle w:val="Text1"/>
          </w:rPr>
          <w:t>Diversity and Inclusion workgroup</w:t>
        </w:r>
      </w:hyperlink>
      <w:r>
        <w:t xml:space="preserve"> supports and facilitates the growth of a diverse and international community of Python programmers.</w:t>
      </w:r>
    </w:p>
    <w:p>
      <w:bookmarkStart w:id="146" w:name="Python_conferences__There_are_lo"/>
      <w:pPr>
        <w:keepNext/>
        <w:pStyle w:val="Heading 2"/>
      </w:pPr>
      <w:r>
        <w:t>Python conferences</w:t>
      </w:r>
      <w:bookmarkEnd w:id="146"/>
    </w:p>
    <w:p>
      <w:pPr>
        <w:pStyle w:val="Normal"/>
      </w:pPr>
      <w:r>
        <w:t>There</w:t>
      </w:r>
      <w:r>
        <w:rPr>
          <w:rStyle w:val="Text111"/>
        </w:rPr>
        <w:bookmarkStart w:id="147" w:name="idm45965284027712"/>
        <w:t/>
        <w:bookmarkEnd w:id="147"/>
      </w:r>
      <w:r>
        <w:t xml:space="preserve"> are lots of Python conferences worldwide. General Python conferences include international and regional ones, such as </w:t>
      </w:r>
      <w:hyperlink r:id="rId99">
        <w:r>
          <w:rPr>
            <w:rStyle w:val="Text1"/>
          </w:rPr>
          <w:t>PyCon</w:t>
        </w:r>
      </w:hyperlink>
      <w:r>
        <w:t xml:space="preserve"> and </w:t>
      </w:r>
      <w:hyperlink r:id="rId100">
        <w:r>
          <w:rPr>
            <w:rStyle w:val="Text1"/>
          </w:rPr>
          <w:t>EuroPython</w:t>
        </w:r>
      </w:hyperlink>
      <w:r>
        <w:t xml:space="preserve">, and other more local ones such as </w:t>
      </w:r>
      <w:hyperlink r:id="rId101">
        <w:r>
          <w:rPr>
            <w:rStyle w:val="Text1"/>
          </w:rPr>
          <w:t>PyOhio</w:t>
        </w:r>
      </w:hyperlink>
      <w:r>
        <w:t xml:space="preserve"> and </w:t>
      </w:r>
      <w:hyperlink r:id="rId102">
        <w:r>
          <w:rPr>
            <w:rStyle w:val="Text1"/>
          </w:rPr>
          <w:t>PyCon Italia</w:t>
        </w:r>
      </w:hyperlink>
      <w:r>
        <w:t xml:space="preserve">. Topical conferences include </w:t>
      </w:r>
      <w:hyperlink r:id="rId103">
        <w:r>
          <w:rPr>
            <w:rStyle w:val="Text1"/>
          </w:rPr>
          <w:t>SciPy</w:t>
        </w:r>
      </w:hyperlink>
      <w:r>
        <w:t xml:space="preserve"> and </w:t>
      </w:r>
      <w:hyperlink r:id="rId104">
        <w:r>
          <w:rPr>
            <w:rStyle w:val="Text1"/>
          </w:rPr>
          <w:t>PyData</w:t>
        </w:r>
      </w:hyperlink>
      <w:r>
        <w:t xml:space="preserve">. Conferences are often followed by coding sprints, where Python contributors get together for several days of coding focused on particular open source projects and abundant camaraderie. You can find a listing of conferences on the Community </w:t>
      </w:r>
      <w:hyperlink r:id="rId105">
        <w:r>
          <w:rPr>
            <w:rStyle w:val="Text1"/>
          </w:rPr>
          <w:t>Conferences and Workshops page</w:t>
        </w:r>
      </w:hyperlink>
      <w:r>
        <w:t xml:space="preserve">. More than 17,000 videos of talks about Python, from more than 450 conferences, are available at the </w:t>
      </w:r>
      <w:hyperlink r:id="rId106">
        <w:r>
          <w:rPr>
            <w:rStyle w:val="Text1"/>
          </w:rPr>
          <w:t>PyVideo site</w:t>
        </w:r>
      </w:hyperlink>
      <w:r>
        <w:t>.</w:t>
      </w:r>
    </w:p>
    <w:p>
      <w:bookmarkStart w:id="148" w:name="User_groups_and_organizations__T"/>
      <w:pPr>
        <w:keepNext/>
        <w:pStyle w:val="Heading 2"/>
      </w:pPr>
      <w:r>
        <w:t>User groups and organizations</w:t>
      </w:r>
      <w:bookmarkEnd w:id="148"/>
    </w:p>
    <w:p>
      <w:pPr>
        <w:pStyle w:val="Normal"/>
      </w:pPr>
      <w:r>
        <w:t>The</w:t>
      </w:r>
      <w:r>
        <w:rPr>
          <w:rStyle w:val="Text111"/>
        </w:rPr>
        <w:bookmarkStart w:id="149" w:name="idm45965279054480"/>
        <w:t/>
        <w:bookmarkEnd w:id="149"/>
      </w:r>
      <w:r>
        <w:t xml:space="preserve"> Python community has local user groups on every continent except Antarctica</w:t>
      </w:r>
      <w:hyperlink w:anchor="8_We_need_to_mobilize_to_get_mor">
        <w:r>
          <w:rPr>
            <w:rStyle w:val="Text41"/>
          </w:rPr>
          <w:bookmarkStart w:id="150" w:name="8"/>
          <w:t>8</w:t>
          <w:bookmarkEnd w:id="150"/>
        </w:r>
      </w:hyperlink>
      <w:r>
        <w:t xml:space="preserve">—more than 1,600 of them, according to the list on the </w:t>
      </w:r>
      <w:hyperlink r:id="rId107">
        <w:r>
          <w:rPr>
            <w:rStyle w:val="Text1"/>
          </w:rPr>
          <w:t>LocalUserGroups wiki</w:t>
        </w:r>
      </w:hyperlink>
      <w:r>
        <w:t xml:space="preserve">. There are Python </w:t>
      </w:r>
      <w:hyperlink r:id="rId108">
        <w:r>
          <w:rPr>
            <w:rStyle w:val="Text1"/>
          </w:rPr>
          <w:t>meetups</w:t>
        </w:r>
      </w:hyperlink>
      <w:r>
        <w:t xml:space="preserve"> around the world. </w:t>
      </w:r>
      <w:hyperlink r:id="rId109">
        <w:r>
          <w:rPr>
            <w:rStyle w:val="Text1"/>
          </w:rPr>
          <w:t>PyLadies</w:t>
        </w:r>
      </w:hyperlink>
      <w:r>
        <w:t xml:space="preserve"> is an international mentorship group, with local chapters, to promote women in Python; anyone with an interest in Python is welcome. </w:t>
      </w:r>
      <w:hyperlink r:id="rId110">
        <w:r>
          <w:rPr>
            <w:rStyle w:val="Text1"/>
          </w:rPr>
          <w:t>NumFOCUS</w:t>
        </w:r>
      </w:hyperlink>
      <w:r>
        <w:t>, a nonprofit charity promoting open practices in research, data, and scientific computing, sponsors the PyData conference and other projects.</w:t>
      </w:r>
    </w:p>
    <w:p>
      <w:bookmarkStart w:id="151" w:name="Mailing_lists__The_Community_Mai"/>
      <w:pPr>
        <w:keepNext/>
        <w:pStyle w:val="Heading 2"/>
      </w:pPr>
      <w:r>
        <w:t>Mailing lists</w:t>
      </w:r>
      <w:bookmarkEnd w:id="151"/>
    </w:p>
    <w:p>
      <w:pPr>
        <w:pStyle w:val="Normal"/>
      </w:pPr>
      <w:r>
        <w:t>The</w:t>
      </w:r>
      <w:r>
        <w:rPr>
          <w:rStyle w:val="Text111"/>
        </w:rPr>
        <w:bookmarkStart w:id="152" w:name="idm45965279045664"/>
        <w:t/>
        <w:bookmarkEnd w:id="152"/>
      </w:r>
      <w:r>
        <w:t xml:space="preserve"> Community </w:t>
      </w:r>
      <w:hyperlink r:id="rId111">
        <w:r>
          <w:rPr>
            <w:rStyle w:val="Text1"/>
          </w:rPr>
          <w:t>Mailing Lists page</w:t>
        </w:r>
      </w:hyperlink>
      <w:r>
        <w:t xml:space="preserve"> has links to several Python-related mailing lists (and some Usenet groups, for those of us old enough to remember </w:t>
      </w:r>
      <w:hyperlink r:id="rId112">
        <w:r>
          <w:rPr>
            <w:rStyle w:val="Text1"/>
          </w:rPr>
          <w:t>Usenet</w:t>
        </w:r>
      </w:hyperlink>
      <w:r>
        <w:t xml:space="preserve">!). Alternatively, search </w:t>
      </w:r>
      <w:hyperlink r:id="rId113">
        <w:r>
          <w:rPr>
            <w:rStyle w:val="Text1"/>
          </w:rPr>
          <w:t>Mailman</w:t>
        </w:r>
      </w:hyperlink>
      <w:r>
        <w:t xml:space="preserve"> to find active mailing lists covering a wide variety of interests. Python-related official announcements are posted to the </w:t>
      </w:r>
      <w:hyperlink r:id="rId114">
        <w:r>
          <w:rPr>
            <w:rStyle w:val="Text1"/>
          </w:rPr>
          <w:t>python-announce list</w:t>
        </w:r>
      </w:hyperlink>
      <w:r>
        <w:t xml:space="preserve">. To ask for help with specific problems, write to </w:t>
      </w:r>
      <w:r>
        <w:rPr>
          <w:rStyle w:val="Text24"/>
        </w:rPr>
        <w:t>help@python.org</w:t>
      </w:r>
      <w:r>
        <w:t>. For</w:t>
      </w:r>
      <w:r>
        <w:rPr>
          <w:rStyle w:val="Text111"/>
        </w:rPr>
        <w:bookmarkStart w:id="153" w:name="idm45965279040352"/>
        <w:t/>
        <w:bookmarkEnd w:id="153"/>
        <w:bookmarkStart w:id="154" w:name="idm45965279039248"/>
        <w:t/>
        <w:bookmarkEnd w:id="154"/>
      </w:r>
      <w:r>
        <w:t xml:space="preserve"> help learning or teaching Python, write to </w:t>
      </w:r>
      <w:r>
        <w:rPr>
          <w:rStyle w:val="Text24"/>
        </w:rPr>
        <w:t>tutor@python.org</w:t>
      </w:r>
      <w:r>
        <w:t xml:space="preserve">, or, better yet, join the </w:t>
      </w:r>
      <w:hyperlink r:id="rId115">
        <w:r>
          <w:rPr>
            <w:rStyle w:val="Text1"/>
          </w:rPr>
          <w:t>list</w:t>
        </w:r>
      </w:hyperlink>
      <w:r>
        <w:t xml:space="preserve">. For a useful weekly roundup of Python-related news and articles, subscribe to </w:t>
      </w:r>
      <w:hyperlink r:id="rId116">
        <w:r>
          <w:rPr>
            <w:rStyle w:val="Text1"/>
          </w:rPr>
          <w:t>Python Weekly</w:t>
        </w:r>
      </w:hyperlink>
      <w:r>
        <w:t xml:space="preserve">. You can also follow Python Weekly at </w:t>
      </w:r>
      <w:r>
        <w:rPr>
          <w:rStyle w:val="Text4"/>
        </w:rPr>
        <w:t>@python_discussions@mastodon.social</w:t>
      </w:r>
      <w:r>
        <w:t>.</w:t>
      </w:r>
    </w:p>
    <w:p>
      <w:bookmarkStart w:id="155" w:name="Social_media__For_an_RSS_feed_of"/>
      <w:pPr>
        <w:keepNext/>
        <w:pStyle w:val="Heading 2"/>
      </w:pPr>
      <w:r>
        <w:t>Social media</w:t>
      </w:r>
      <w:bookmarkEnd w:id="155"/>
    </w:p>
    <w:p>
      <w:pPr>
        <w:pStyle w:val="Normal"/>
      </w:pPr>
      <w:r>
        <w:t>For</w:t>
      </w:r>
      <w:r>
        <w:rPr>
          <w:rStyle w:val="Text111"/>
        </w:rPr>
        <w:bookmarkStart w:id="156" w:name="idm45965279033632"/>
        <w:t/>
        <w:bookmarkEnd w:id="156"/>
      </w:r>
      <w:r>
        <w:t xml:space="preserve"> an </w:t>
      </w:r>
      <w:hyperlink r:id="rId117">
        <w:r>
          <w:rPr>
            <w:rStyle w:val="Text1"/>
          </w:rPr>
          <w:t>RSS feed</w:t>
        </w:r>
      </w:hyperlink>
      <w:r>
        <w:t xml:space="preserve"> of Python-related blogs, see </w:t>
      </w:r>
      <w:hyperlink r:id="rId118">
        <w:r>
          <w:rPr>
            <w:rStyle w:val="Text1"/>
          </w:rPr>
          <w:t>Planet Python</w:t>
        </w:r>
      </w:hyperlink>
      <w:r>
        <w:t xml:space="preserve">. If you’re interested in tracking language developments, check out </w:t>
      </w:r>
      <w:hyperlink r:id="rId119">
        <w:r>
          <w:rPr>
            <w:rStyle w:val="Text24"/>
          </w:rPr>
          <w:t>discuss.python.org</w:t>
        </w:r>
      </w:hyperlink>
      <w:r>
        <w:t xml:space="preserve">—it sends useful summaries if you don’t visit regularly. On Twitter, follow @ThePSF. </w:t>
      </w:r>
      <w:hyperlink r:id="rId120">
        <w:r>
          <w:rPr>
            <w:rStyle w:val="Text1"/>
          </w:rPr>
          <w:t>Libera.Chat</w:t>
        </w:r>
      </w:hyperlink>
      <w:r>
        <w:t xml:space="preserve"> on </w:t>
      </w:r>
      <w:hyperlink r:id="rId121">
        <w:r>
          <w:rPr>
            <w:rStyle w:val="Text1"/>
          </w:rPr>
          <w:t>IRC</w:t>
        </w:r>
      </w:hyperlink>
      <w:r>
        <w:t xml:space="preserve"> hosts several Python-related channels: the main one is </w:t>
      </w:r>
      <w:r>
        <w:rPr>
          <w:rStyle w:val="Text0"/>
        </w:rPr>
        <w:t>#python</w:t>
      </w:r>
      <w:r>
        <w:t xml:space="preserve">. </w:t>
      </w:r>
      <w:hyperlink r:id="rId122">
        <w:r>
          <w:rPr>
            <w:rStyle w:val="Text1"/>
          </w:rPr>
          <w:t>LinkedIn</w:t>
        </w:r>
      </w:hyperlink>
      <w:r>
        <w:t xml:space="preserve"> has many Python groups, including </w:t>
      </w:r>
      <w:hyperlink r:id="rId123">
        <w:r>
          <w:rPr>
            <w:rStyle w:val="Text1"/>
          </w:rPr>
          <w:t>Python Web Developers</w:t>
        </w:r>
      </w:hyperlink>
      <w:r>
        <w:t xml:space="preserve">. On Slack, join the </w:t>
      </w:r>
      <w:hyperlink r:id="rId124">
        <w:r>
          <w:rPr>
            <w:rStyle w:val="Text1"/>
          </w:rPr>
          <w:t>PySlackers</w:t>
        </w:r>
      </w:hyperlink>
      <w:r>
        <w:t xml:space="preserve"> community. On Discord, check out </w:t>
      </w:r>
      <w:hyperlink r:id="rId125">
        <w:r>
          <w:rPr>
            <w:rStyle w:val="Text1"/>
          </w:rPr>
          <w:t>Python Discord</w:t>
        </w:r>
      </w:hyperlink>
      <w:r>
        <w:t xml:space="preserve">. Technical questions and answers about Python programming can also be found and followed on </w:t>
      </w:r>
      <w:hyperlink r:id="rId126">
        <w:r>
          <w:rPr>
            <w:rStyle w:val="Text1"/>
          </w:rPr>
          <w:t>Stack Overflow</w:t>
        </w:r>
      </w:hyperlink>
      <w:r>
        <w:t xml:space="preserve"> under a variety of tags, including </w:t>
      </w:r>
      <w:hyperlink r:id="rId127">
        <w:r>
          <w:rPr>
            <w:rStyle w:val="Text1"/>
          </w:rPr>
          <w:t>[python]</w:t>
        </w:r>
      </w:hyperlink>
      <w:r>
        <w:t xml:space="preserve">. Python is currently the </w:t>
      </w:r>
      <w:hyperlink r:id="rId128">
        <w:r>
          <w:rPr>
            <w:rStyle w:val="Text1"/>
          </w:rPr>
          <w:t>most active</w:t>
        </w:r>
      </w:hyperlink>
      <w:r>
        <w:t xml:space="preserve"> programming language on Stack Overflow, and many useful answers with illuminating discussions can be found there. If you like podcasts, check out Python podcasts, such as </w:t>
      </w:r>
      <w:hyperlink r:id="rId129">
        <w:r>
          <w:rPr>
            <w:rStyle w:val="Text1"/>
          </w:rPr>
          <w:t>Python Bytes</w:t>
        </w:r>
      </w:hyperlink>
      <w:r>
        <w:t>.</w:t>
      </w:r>
      <w:r>
        <w:rPr>
          <w:rStyle w:val="Text111"/>
        </w:rPr>
        <w:bookmarkStart w:id="157" w:name="idm45965283816432"/>
        <w:t/>
        <w:bookmarkEnd w:id="157"/>
        <w:bookmarkStart w:id="158" w:name="idm45965283815024"/>
        <w:t/>
        <w:bookmarkEnd w:id="158"/>
        <w:bookmarkStart w:id="159" w:name="idm45965283813648"/>
        <w:t/>
        <w:bookmarkEnd w:id="159"/>
      </w:r>
    </w:p>
    <w:p>
      <w:bookmarkStart w:id="160" w:name="Installation__You_can_install_th"/>
      <w:pPr>
        <w:keepNext/>
        <w:pStyle w:val="Heading 1"/>
      </w:pPr>
      <w:r>
        <w:t>Installation</w:t>
      </w:r>
      <w:bookmarkEnd w:id="160"/>
    </w:p>
    <w:p>
      <w:pPr>
        <w:pStyle w:val="Normal"/>
      </w:pPr>
      <w:r>
        <w:t>You</w:t>
      </w:r>
      <w:r>
        <w:rPr>
          <w:rStyle w:val="Text111"/>
        </w:rPr>
        <w:bookmarkStart w:id="161" w:name="PLinstall01"/>
        <w:t/>
        <w:bookmarkEnd w:id="161"/>
        <w:bookmarkStart w:id="162" w:name="install01"/>
        <w:t/>
        <w:bookmarkEnd w:id="162"/>
      </w:r>
      <w:r>
        <w:t xml:space="preserve"> can install the classic (CPython) and PyPy versions of Python on most platforms. With a suitable development system (C for CPython; PyPy, coded in Python itself, only needs CPython installed first), you can install Python versions from the respective source code distributions. On popular platforms, you also have the recommended alternative of installing prebuilt binary distributions.</w:t>
      </w:r>
    </w:p>
    <w:p>
      <w:pPr>
        <w:keepNext/>
        <w:pStyle w:val="Heading 5"/>
        <w:keepLines w:val="on"/>
      </w:pPr>
      <w:r>
        <w:t>Installing Python if It Comes Preinstalled</w:t>
      </w:r>
    </w:p>
    <w:p>
      <w:pPr>
        <w:pStyle w:val="Para 012"/>
        <w:keepLines w:val="on"/>
      </w:pPr>
      <w:r>
        <w:t>If</w:t>
      </w:r>
      <w:r>
        <w:rPr>
          <w:rStyle w:val="Text111"/>
        </w:rPr>
        <w:bookmarkStart w:id="163" w:name="idm45965283805888"/>
        <w:t/>
        <w:bookmarkEnd w:id="163"/>
      </w:r>
      <w:r>
        <w:t xml:space="preserve"> your platform comes with a preinstalled version of Python, you’re still best advised to install a separate up-to-date version for your own code development. When you do, do </w:t>
      </w:r>
      <w:r>
        <w:rPr>
          <w:rStyle w:val="Text4"/>
        </w:rPr>
        <w:t>not</w:t>
      </w:r>
      <w:r>
        <w:t xml:space="preserve"> remove or overwrite your platform’s original version: rather, install the new version alongside the first one. This way, you won’t disturb any other software that is part of your platform: such software might rely on the specific Python version that came with the platform itself.</w:t>
      </w:r>
    </w:p>
    <w:p>
      <w:pPr>
        <w:pStyle w:val="Normal"/>
      </w:pPr>
      <w:r>
        <w:t>Installing CPython from a binary distribution is faster, saves you substantial work on some platforms, and is the only possibility if you have no suitable C compiler. Installing from source code gives you more control and flexibility, and is a must if you can’t find a suitable prebuilt binary distribution for your platform. Even if you install from binaries, it’s best to also download the source distribution, since it can include examples, demos, and tools that are usually missing from prebuilt binaries. We’ll look at how to do both next.</w:t>
      </w:r>
    </w:p>
    <w:p>
      <w:bookmarkStart w:id="164" w:name="Installing_Python_from_Binaries"/>
      <w:pPr>
        <w:keepNext/>
        <w:pStyle w:val="Heading 1"/>
      </w:pPr>
      <w:r>
        <w:t>Installing Python from Binaries</w:t>
      </w:r>
      <w:bookmarkEnd w:id="164"/>
    </w:p>
    <w:p>
      <w:pPr>
        <w:pStyle w:val="Normal"/>
      </w:pPr>
      <w:r>
        <w:t>If</w:t>
      </w:r>
      <w:r>
        <w:rPr>
          <w:rStyle w:val="Text111"/>
        </w:rPr>
        <w:bookmarkStart w:id="165" w:name="idm45965283801296"/>
        <w:t/>
        <w:bookmarkEnd w:id="165"/>
      </w:r>
      <w:r>
        <w:t xml:space="preserve"> your platform is popular and current, you’ll easily find prebuilt, packaged binary versions of Python ready for installation. Binary packages are typically self-installing, either directly as executable programs or via appropriate system tools, such as the Red Hat Package Manager (RPM) on some versions of Linux, and the Microsoft Installer (MSI) on Windows. After downloading a package, install it by running the program and choosing installation parameters, such as the directory where Python is to be installed. In Windows, select the option labeled “Add Python 3.10 to PATH” to have the installer add the install location into the PATH in order to easily use Python at a command prompt (see </w:t>
      </w:r>
      <w:hyperlink w:anchor="The_python_Program__The_Python_i">
        <w:r>
          <w:rPr>
            <w:rStyle w:val="Text1"/>
          </w:rPr>
          <w:t>“The python Program”</w:t>
        </w:r>
      </w:hyperlink>
      <w:r>
        <w:t>).</w:t>
      </w:r>
    </w:p>
    <w:p>
      <w:pPr>
        <w:pStyle w:val="Normal"/>
      </w:pPr>
      <w:r>
        <w:t xml:space="preserve">You can get the “official” binaries from the </w:t>
      </w:r>
      <w:hyperlink r:id="rId130">
        <w:r>
          <w:rPr>
            <w:rStyle w:val="Text1"/>
          </w:rPr>
          <w:t>Downloads page</w:t>
        </w:r>
      </w:hyperlink>
      <w:r>
        <w:t xml:space="preserve"> on the Python website: click the button labeled “Download Python 3.11.x” to download the most recent binary suitable for your browser’s platform.</w:t>
      </w:r>
    </w:p>
    <w:p>
      <w:pPr>
        <w:pStyle w:val="Normal"/>
      </w:pPr>
      <w:r>
        <w:t xml:space="preserve">Many third parties supply free binary Python installers for other platforms. Installers exist for Linux distributions, whether your distribution is </w:t>
      </w:r>
      <w:hyperlink r:id="rId131">
        <w:r>
          <w:rPr>
            <w:rStyle w:val="Text1"/>
          </w:rPr>
          <w:t>RPM-based</w:t>
        </w:r>
      </w:hyperlink>
      <w:r>
        <w:t xml:space="preserve"> (Red Hat, Fedora, Mandriva, SUSE, etc.) or </w:t>
      </w:r>
      <w:hyperlink r:id="rId132">
        <w:r>
          <w:rPr>
            <w:rStyle w:val="Text1"/>
          </w:rPr>
          <w:t>Debian-based</w:t>
        </w:r>
      </w:hyperlink>
      <w:r>
        <w:t xml:space="preserve"> (including Ubuntu, probably the most popular Linux distribution at the time of this writing). The </w:t>
      </w:r>
      <w:hyperlink r:id="rId133">
        <w:r>
          <w:rPr>
            <w:rStyle w:val="Text1"/>
          </w:rPr>
          <w:t>Other Platforms page</w:t>
        </w:r>
      </w:hyperlink>
      <w:r>
        <w:t xml:space="preserve"> provides links to binary distributions for now somewhat exotic platforms such as AIX, OS/2, RISC OS, IBM AS/400, Solaris, HP-UX, and so forth (often not the latest Python versions, given the now “quaint” nature of such platforms), as well as one for the very current </w:t>
      </w:r>
      <w:hyperlink r:id="rId134">
        <w:r>
          <w:rPr>
            <w:rStyle w:val="Text1"/>
          </w:rPr>
          <w:t>iOS platform</w:t>
        </w:r>
      </w:hyperlink>
      <w:r>
        <w:t xml:space="preserve">, the operating system of the popular </w:t>
      </w:r>
      <w:hyperlink r:id="rId135">
        <w:r>
          <w:rPr>
            <w:rStyle w:val="Text1"/>
          </w:rPr>
          <w:t>iPhone</w:t>
        </w:r>
      </w:hyperlink>
      <w:r>
        <w:t xml:space="preserve"> and </w:t>
      </w:r>
      <w:hyperlink r:id="rId136">
        <w:r>
          <w:rPr>
            <w:rStyle w:val="Text1"/>
          </w:rPr>
          <w:t>iPad</w:t>
        </w:r>
      </w:hyperlink>
      <w:r>
        <w:t xml:space="preserve"> devices.</w:t>
      </w:r>
    </w:p>
    <w:p>
      <w:pPr>
        <w:pStyle w:val="Normal"/>
      </w:pPr>
      <w:hyperlink r:id="rId137">
        <w:r>
          <w:rPr>
            <w:rStyle w:val="Text1"/>
          </w:rPr>
          <w:t>Anaconda</w:t>
        </w:r>
      </w:hyperlink>
      <w:r>
        <w:t xml:space="preserve">, mentioned earlier in this chapter, is a binary distribution including Python, plus the </w:t>
      </w:r>
      <w:hyperlink r:id="rId138">
        <w:r>
          <w:rPr>
            <w:rStyle w:val="Text30"/>
          </w:rPr>
          <w:t>conda</w:t>
        </w:r>
      </w:hyperlink>
      <w:r>
        <w:t xml:space="preserve"> package manager, plus hundreds of third-party extensions, particularly for science, math, engineering, and data analysis. It’s available for Linux, Windows, and macOS. </w:t>
      </w:r>
      <w:hyperlink r:id="rId139">
        <w:r>
          <w:rPr>
            <w:rStyle w:val="Text1"/>
          </w:rPr>
          <w:t>Miniconda</w:t>
        </w:r>
      </w:hyperlink>
      <w:r>
        <w:t xml:space="preserve">, also mentioned earlier in this chapter, is the same package but without all of those extensions; you can selectively install subsets of them with </w:t>
      </w:r>
      <w:r>
        <w:rPr>
          <w:rStyle w:val="Text0"/>
        </w:rPr>
        <w:t>conda</w:t>
      </w:r>
      <w:r>
        <w:t>.</w:t>
      </w:r>
    </w:p>
    <w:p>
      <w:bookmarkStart w:id="166" w:name="macOS__The_popular_third_party_m"/>
      <w:pPr>
        <w:keepNext/>
        <w:pStyle w:val="Heading 5"/>
        <w:keepLines w:val="on"/>
      </w:pPr>
      <w:r>
        <w:t>macOS</w:t>
      </w:r>
      <w:bookmarkEnd w:id="166"/>
    </w:p>
    <w:p>
      <w:pPr>
        <w:pStyle w:val="Para 012"/>
        <w:keepLines w:val="on"/>
      </w:pPr>
      <w:r>
        <w:t>The</w:t>
      </w:r>
      <w:r>
        <w:rPr>
          <w:rStyle w:val="Text111"/>
        </w:rPr>
        <w:bookmarkStart w:id="167" w:name="idm45965283786592"/>
        <w:t/>
        <w:bookmarkEnd w:id="167"/>
      </w:r>
      <w:r>
        <w:t xml:space="preserve"> popular third-party macOS open source package manager </w:t>
      </w:r>
      <w:hyperlink r:id="rId140">
        <w:r>
          <w:rPr>
            <w:rStyle w:val="Text1"/>
          </w:rPr>
          <w:t>Homebrew</w:t>
        </w:r>
      </w:hyperlink>
      <w:r>
        <w:t xml:space="preserve"> offers, among many other open source packages, excellent versions of </w:t>
      </w:r>
      <w:hyperlink r:id="rId141">
        <w:r>
          <w:rPr>
            <w:rStyle w:val="Text1"/>
          </w:rPr>
          <w:t>Python</w:t>
        </w:r>
      </w:hyperlink>
      <w:r>
        <w:t xml:space="preserve">. </w:t>
      </w:r>
      <w:r>
        <w:rPr>
          <w:rStyle w:val="Text0"/>
        </w:rPr>
        <w:t>conda</w:t>
      </w:r>
      <w:r>
        <w:t xml:space="preserve">, mentioned in </w:t>
      </w:r>
      <w:hyperlink w:anchor="Anaconda_and_Miniconda__One_of_t">
        <w:r>
          <w:rPr>
            <w:rStyle w:val="Text1"/>
          </w:rPr>
          <w:t>“Anaconda and Miniconda”</w:t>
        </w:r>
      </w:hyperlink>
      <w:r>
        <w:t>, also works well in macOS.</w:t>
      </w:r>
    </w:p>
    <w:p>
      <w:bookmarkStart w:id="168" w:name="Installing_Python_from_Source_Co"/>
      <w:pPr>
        <w:keepNext/>
        <w:pStyle w:val="Heading 1"/>
      </w:pPr>
      <w:r>
        <w:t>Installing Python from Source Code</w:t>
      </w:r>
      <w:bookmarkEnd w:id="168"/>
    </w:p>
    <w:p>
      <w:pPr>
        <w:pStyle w:val="Normal"/>
      </w:pPr>
      <w:r>
        <w:t>To</w:t>
      </w:r>
      <w:r>
        <w:rPr>
          <w:rStyle w:val="Text111"/>
        </w:rPr>
        <w:bookmarkStart w:id="169" w:name="idm45965283070864"/>
        <w:t/>
        <w:bookmarkEnd w:id="169"/>
        <w:bookmarkStart w:id="170" w:name="idm45965283069456"/>
        <w:t/>
        <w:bookmarkEnd w:id="170"/>
      </w:r>
      <w:r>
        <w:t xml:space="preserve"> install CPython from source code, you need a platform with an ISO-compliant C compiler and tools such as </w:t>
      </w:r>
      <w:r>
        <w:rPr>
          <w:rStyle w:val="Text0"/>
        </w:rPr>
        <w:t>make</w:t>
      </w:r>
      <w:r>
        <w:t xml:space="preserve">. On Windows, the normal way to build Python is with Visual Studio (ideally </w:t>
      </w:r>
      <w:hyperlink r:id="rId142">
        <w:r>
          <w:rPr>
            <w:rStyle w:val="Text1"/>
          </w:rPr>
          <w:t>VS 2022</w:t>
        </w:r>
      </w:hyperlink>
      <w:r>
        <w:t xml:space="preserve">, currently available to developers </w:t>
      </w:r>
      <w:hyperlink r:id="rId143">
        <w:r>
          <w:rPr>
            <w:rStyle w:val="Text1"/>
          </w:rPr>
          <w:t>for free</w:t>
        </w:r>
      </w:hyperlink>
      <w:r>
        <w:t>).</w:t>
      </w:r>
    </w:p>
    <w:p>
      <w:pPr>
        <w:pStyle w:val="Normal"/>
      </w:pPr>
      <w:r>
        <w:t xml:space="preserve">To download the Python source code, visit the </w:t>
      </w:r>
      <w:hyperlink r:id="rId144">
        <w:r>
          <w:rPr>
            <w:rStyle w:val="Text1"/>
          </w:rPr>
          <w:t>Python Source Releases</w:t>
        </w:r>
      </w:hyperlink>
      <w:r>
        <w:t xml:space="preserve"> page (on the Python website, hover over Downloads in the menu bar and select “Source code”) and choose your version.</w:t>
      </w:r>
    </w:p>
    <w:p>
      <w:pPr>
        <w:pStyle w:val="Normal"/>
      </w:pPr>
      <w:r>
        <w:t xml:space="preserve">The file under the link labeled “Gzipped source tarball” has a </w:t>
      </w:r>
      <w:r>
        <w:rPr>
          <w:rStyle w:val="Text4"/>
        </w:rPr>
        <w:t>.tgz</w:t>
      </w:r>
      <w:r>
        <w:t xml:space="preserve"> file extension; this is equivalent to </w:t>
      </w:r>
      <w:r>
        <w:rPr>
          <w:rStyle w:val="Text4"/>
        </w:rPr>
        <w:t>.tar.gz</w:t>
      </w:r>
      <w:r>
        <w:t xml:space="preserve"> (i.e., a </w:t>
      </w:r>
      <w:r>
        <w:rPr>
          <w:rStyle w:val="Text4"/>
        </w:rPr>
        <w:t>tar</w:t>
      </w:r>
      <w:r>
        <w:t xml:space="preserve"> archive of files, compressed by the popular </w:t>
      </w:r>
      <w:r>
        <w:rPr>
          <w:rStyle w:val="Text0"/>
        </w:rPr>
        <w:t>gzip</w:t>
      </w:r>
      <w:r>
        <w:t xml:space="preserve"> compressor). Alternatively, you can use the link labeled “XZ compressed source tarball” to get a version with an extension of </w:t>
      </w:r>
      <w:r>
        <w:rPr>
          <w:rStyle w:val="Text4"/>
        </w:rPr>
        <w:t>.tar.xz</w:t>
      </w:r>
      <w:r>
        <w:t xml:space="preserve"> instead of </w:t>
      </w:r>
      <w:r>
        <w:rPr>
          <w:rStyle w:val="Text4"/>
        </w:rPr>
        <w:t>.tgz</w:t>
      </w:r>
      <w:r>
        <w:t xml:space="preserve">, compressed with the even more powerful </w:t>
      </w:r>
      <w:r>
        <w:rPr>
          <w:rStyle w:val="Text0"/>
        </w:rPr>
        <w:t>xz</w:t>
      </w:r>
      <w:r>
        <w:t xml:space="preserve"> compressor, if you have all the needed tools to deal with XZ compression.</w:t>
      </w:r>
    </w:p>
    <w:p>
      <w:bookmarkStart w:id="171" w:name="Microsoft_Windows__On_Windows__i"/>
      <w:pPr>
        <w:keepNext/>
        <w:pStyle w:val="Heading 2"/>
      </w:pPr>
      <w:r>
        <w:t>Microsoft Windows</w:t>
      </w:r>
      <w:bookmarkEnd w:id="171"/>
    </w:p>
    <w:p>
      <w:pPr>
        <w:pStyle w:val="Normal"/>
      </w:pPr>
      <w:r>
        <w:t>On</w:t>
      </w:r>
      <w:r>
        <w:rPr>
          <w:rStyle w:val="Text111"/>
        </w:rPr>
        <w:bookmarkStart w:id="172" w:name="idm45965283058400"/>
        <w:t/>
        <w:bookmarkEnd w:id="172"/>
        <w:bookmarkStart w:id="173" w:name="idm45965283056992"/>
        <w:t/>
        <w:bookmarkEnd w:id="173"/>
      </w:r>
      <w:r>
        <w:t xml:space="preserve"> Windows, installing Python from source code can be a chore unless you are familiar with Visual Studio and used to working in the text-oriented window known as the </w:t>
      </w:r>
      <w:r>
        <w:rPr>
          <w:rStyle w:val="Text4"/>
        </w:rPr>
        <w:t>command prompt</w:t>
      </w:r>
      <w:hyperlink w:anchor="9_Or__in_modern_Windows_versions">
        <w:r>
          <w:rPr>
            <w:rStyle w:val="Text41"/>
          </w:rPr>
          <w:bookmarkStart w:id="174" w:name="9"/>
          <w:t>9</w:t>
          <w:bookmarkEnd w:id="174"/>
        </w:r>
      </w:hyperlink>
      <w:r>
        <w:t xml:space="preserve">—most Windows users prefer to simply download the prebuilt </w:t>
      </w:r>
      <w:hyperlink r:id="rId145">
        <w:r>
          <w:rPr>
            <w:rStyle w:val="Text1"/>
          </w:rPr>
          <w:t>Python from the Microsoft Store</w:t>
        </w:r>
      </w:hyperlink>
      <w:r>
        <w:t>.</w:t>
      </w:r>
    </w:p>
    <w:p>
      <w:pPr>
        <w:pStyle w:val="Normal"/>
      </w:pPr>
      <w:r>
        <w:t>If the following instructions give you any trouble, stick with installing Python from binaries, as described in the previous section. It’s best to do a separate installation from binaries anyway, even if you also install from source. If you notice anything strange while using the version you installed from source, double-check with the installation from binaries. If the strangeness goes away, it must be due to some quirk in your installation from source, so you know you must double-check the details of how you chose to build the latter.</w:t>
      </w:r>
    </w:p>
    <w:p>
      <w:pPr>
        <w:pStyle w:val="Normal"/>
      </w:pPr>
      <w:r>
        <w:t xml:space="preserve">In the following sections, for clarity, we assume you have made a new folder called </w:t>
      </w:r>
      <w:r>
        <w:rPr>
          <w:rStyle w:val="Text4"/>
        </w:rPr>
        <w:t>%USERPROFILE%\py</w:t>
      </w:r>
      <w:r>
        <w:t xml:space="preserve"> (e.g., </w:t>
      </w:r>
      <w:r>
        <w:rPr>
          <w:rStyle w:val="Text4"/>
        </w:rPr>
        <w:t>c:\users\tim\py</w:t>
      </w:r>
      <w:r>
        <w:t xml:space="preserve">), which you can do, for example, by typing the </w:t>
      </w:r>
      <w:r>
        <w:rPr>
          <w:rStyle w:val="Text5"/>
        </w:rPr>
        <w:t>mkdir</w:t>
      </w:r>
      <w:r>
        <w:t xml:space="preserve"> command in any command window. Download the source </w:t>
      </w:r>
      <w:r>
        <w:rPr>
          <w:rStyle w:val="Text4"/>
        </w:rPr>
        <w:t>.tgz</w:t>
      </w:r>
      <w:r>
        <w:t xml:space="preserve"> file—for example, </w:t>
      </w:r>
      <w:r>
        <w:rPr>
          <w:rStyle w:val="Text4"/>
        </w:rPr>
        <w:t>Python-3.11.0.tgz</w:t>
      </w:r>
      <w:r>
        <w:t>—to that folder. Of course, you can name and place the folder as it best suits you: our name choice is just for expository purposes.</w:t>
      </w:r>
    </w:p>
    <w:p>
      <w:bookmarkStart w:id="175" w:name="Uncompressing_and_unpacking_the"/>
      <w:pPr>
        <w:keepNext/>
        <w:pStyle w:val="Heading 2"/>
      </w:pPr>
      <w:r>
        <w:t>Uncompressing and unpacking the Python source code</w:t>
      </w:r>
      <w:bookmarkEnd w:id="175"/>
    </w:p>
    <w:p>
      <w:pPr>
        <w:pStyle w:val="Normal"/>
      </w:pPr>
      <w:r>
        <w:t xml:space="preserve">You can uncompress and unpack a </w:t>
      </w:r>
      <w:r>
        <w:rPr>
          <w:rStyle w:val="Text4"/>
        </w:rPr>
        <w:t>.tgz</w:t>
      </w:r>
      <w:r>
        <w:t xml:space="preserve"> or </w:t>
      </w:r>
      <w:r>
        <w:rPr>
          <w:rStyle w:val="Text4"/>
        </w:rPr>
        <w:t>.tar.xz</w:t>
      </w:r>
      <w:r>
        <w:t xml:space="preserve"> file with, for example, the free program </w:t>
      </w:r>
      <w:hyperlink r:id="rId146">
        <w:r>
          <w:rPr>
            <w:rStyle w:val="Text1"/>
          </w:rPr>
          <w:t>7-Zip</w:t>
        </w:r>
      </w:hyperlink>
      <w:r>
        <w:t xml:space="preserve">. Download the appropriate version from the </w:t>
      </w:r>
      <w:hyperlink r:id="rId147">
        <w:r>
          <w:rPr>
            <w:rStyle w:val="Text1"/>
          </w:rPr>
          <w:t>Download page</w:t>
        </w:r>
      </w:hyperlink>
      <w:r>
        <w:t xml:space="preserve">, install it, and run it on the </w:t>
      </w:r>
      <w:r>
        <w:rPr>
          <w:rStyle w:val="Text4"/>
        </w:rPr>
        <w:t>.tgz</w:t>
      </w:r>
      <w:r>
        <w:t xml:space="preserve"> file (e.g., </w:t>
      </w:r>
      <w:r>
        <w:rPr>
          <w:rStyle w:val="Text4"/>
        </w:rPr>
        <w:t>c:\users\alex\py\Python-3.11.0.tgz</w:t>
      </w:r>
      <w:r>
        <w:t xml:space="preserve">) that you downloaded from the Python website. Assuming you downloaded this file into your </w:t>
      </w:r>
      <w:r>
        <w:rPr>
          <w:rStyle w:val="Text4"/>
        </w:rPr>
        <w:t>%USERPROFILE%\py</w:t>
      </w:r>
      <w:r>
        <w:t xml:space="preserve"> folder (or moved it there from </w:t>
      </w:r>
      <w:r>
        <w:rPr>
          <w:rStyle w:val="Text4"/>
        </w:rPr>
        <w:t>%USERPROFILE%\downloads</w:t>
      </w:r>
      <w:r>
        <w:t xml:space="preserve">, if necessary), you will now have a folder called </w:t>
      </w:r>
      <w:r>
        <w:rPr>
          <w:rStyle w:val="Text4"/>
        </w:rPr>
        <w:t>%USERPROFILE%\py\Python-3.11.0</w:t>
      </w:r>
      <w:r>
        <w:t xml:space="preserve"> or similar, depending on the version you downloaded. This is the root of a tree that contains the entire standard Python distribution in source form.</w:t>
      </w:r>
    </w:p>
    <w:p>
      <w:bookmarkStart w:id="176" w:name="Building_the_Python_source_code"/>
      <w:pPr>
        <w:keepNext/>
        <w:pStyle w:val="Heading 2"/>
      </w:pPr>
      <w:r>
        <w:t>Building the Python source code</w:t>
      </w:r>
      <w:bookmarkEnd w:id="176"/>
    </w:p>
    <w:p>
      <w:pPr>
        <w:pStyle w:val="Normal"/>
      </w:pPr>
      <w:r>
        <w:t xml:space="preserve">Open the </w:t>
      </w:r>
      <w:r>
        <w:rPr>
          <w:rStyle w:val="Text4"/>
        </w:rPr>
        <w:t>readme.txt</w:t>
      </w:r>
      <w:r>
        <w:t xml:space="preserve"> file located in the </w:t>
      </w:r>
      <w:r>
        <w:rPr>
          <w:rStyle w:val="Text4"/>
        </w:rPr>
        <w:t>PCBuild</w:t>
      </w:r>
      <w:r>
        <w:t xml:space="preserve"> subdirectory of this root folder with any text editor, and follow the detailed instructions found there.</w:t>
      </w:r>
    </w:p>
    <w:p>
      <w:bookmarkStart w:id="177" w:name="Unix_Like_Platforms__On_Unix_lik"/>
      <w:pPr>
        <w:keepNext/>
        <w:pStyle w:val="Heading 2"/>
      </w:pPr>
      <w:r>
        <w:t>Unix-Like Platforms</w:t>
      </w:r>
      <w:bookmarkEnd w:id="177"/>
    </w:p>
    <w:p>
      <w:pPr>
        <w:pStyle w:val="Normal"/>
      </w:pPr>
      <w:r>
        <w:t>On</w:t>
      </w:r>
      <w:r>
        <w:rPr>
          <w:rStyle w:val="Text111"/>
        </w:rPr>
        <w:bookmarkStart w:id="178" w:name="idm45965283036864"/>
        <w:t/>
        <w:bookmarkEnd w:id="178"/>
        <w:bookmarkStart w:id="179" w:name="idm45965283035456"/>
        <w:t/>
        <w:bookmarkEnd w:id="179"/>
      </w:r>
      <w:r>
        <w:t xml:space="preserve"> Unix-like platforms, installing Python from source code is generally simple.</w:t>
      </w:r>
      <w:hyperlink w:anchor="10_Most_problems_with_source_ins">
        <w:r>
          <w:rPr>
            <w:rStyle w:val="Text41"/>
          </w:rPr>
          <w:bookmarkStart w:id="180" w:name="10"/>
          <w:t>10</w:t>
          <w:bookmarkEnd w:id="180"/>
        </w:r>
      </w:hyperlink>
      <w:r>
        <w:t xml:space="preserve"> In the following sections, for clarity, we assume you have created a new directory named </w:t>
      </w:r>
      <w:r>
        <w:rPr>
          <w:rStyle w:val="Text4"/>
        </w:rPr>
        <w:t>~/py</w:t>
      </w:r>
      <w:r>
        <w:t xml:space="preserve"> and downloaded the source </w:t>
      </w:r>
      <w:r>
        <w:rPr>
          <w:rStyle w:val="Text4"/>
        </w:rPr>
        <w:t>.tgz</w:t>
      </w:r>
      <w:r>
        <w:t xml:space="preserve"> file—for example, </w:t>
      </w:r>
      <w:r>
        <w:rPr>
          <w:rStyle w:val="Text4"/>
        </w:rPr>
        <w:t>Python-3.11.0.tgz</w:t>
      </w:r>
      <w:r>
        <w:t>—to that directory. Of course, you can name and place the directory as it best suits you: our name choice is just for expository purposes.</w:t>
      </w:r>
    </w:p>
    <w:p>
      <w:bookmarkStart w:id="181" w:name="Uncompressing_and_unpacking_the_1"/>
      <w:pPr>
        <w:keepNext/>
        <w:pStyle w:val="Heading 2"/>
      </w:pPr>
      <w:r>
        <w:t>Uncompressing and unpacking the Python source code</w:t>
      </w:r>
      <w:bookmarkEnd w:id="181"/>
    </w:p>
    <w:p>
      <w:pPr>
        <w:pStyle w:val="Normal"/>
      </w:pPr>
      <w:r>
        <w:t xml:space="preserve">You can uncompress and unpack a </w:t>
      </w:r>
      <w:r>
        <w:rPr>
          <w:rStyle w:val="Text4"/>
        </w:rPr>
        <w:t>.tgz</w:t>
      </w:r>
      <w:r>
        <w:t xml:space="preserve"> or </w:t>
      </w:r>
      <w:r>
        <w:rPr>
          <w:rStyle w:val="Text4"/>
        </w:rPr>
        <w:t>.tar.xz</w:t>
      </w:r>
      <w:r>
        <w:t xml:space="preserve"> file with the popular GNU version of </w:t>
      </w:r>
      <w:r>
        <w:rPr>
          <w:rStyle w:val="Text0"/>
        </w:rPr>
        <w:t>tar</w:t>
      </w:r>
      <w:r>
        <w:t>. Just type the following at a shell prompt:</w:t>
      </w:r>
    </w:p>
    <w:p>
      <w:pPr>
        <w:pStyle w:val="Para 008"/>
      </w:pPr>
      <w:r>
        <w:rPr>
          <w:rStyle w:val="Text48"/>
        </w:rPr>
        <w:t xml:space="preserve"/>
        <w:br w:clear="none"/>
        <w:t xml:space="preserve">$ </w:t>
        <w:br w:clear="none"/>
      </w:r>
      <w:r>
        <w:t xml:space="preserve">cd ~/py &amp;&amp; tar xzf Python-3.11.0.tgz</w:t>
        <w:br w:clear="none"/>
      </w:r>
    </w:p>
    <w:p>
      <w:pPr>
        <w:pStyle w:val="Normal"/>
      </w:pPr>
      <w:r>
        <w:t xml:space="preserve">You now have a directory called </w:t>
      </w:r>
      <w:r>
        <w:rPr>
          <w:rStyle w:val="Text4"/>
        </w:rPr>
        <w:t>~/py/Python-3.11.0</w:t>
      </w:r>
      <w:r>
        <w:t xml:space="preserve"> or similar, depending on the version you downloaded. This is the root of a tree that contains the entire standard Python distribution in source form.</w:t>
      </w:r>
    </w:p>
    <w:p>
      <w:bookmarkStart w:id="182" w:name="Configuring__building__and_testi"/>
      <w:pPr>
        <w:keepNext/>
        <w:pStyle w:val="Heading 2"/>
      </w:pPr>
      <w:r>
        <w:t>Configuring, building, and testing</w:t>
      </w:r>
      <w:bookmarkEnd w:id="182"/>
    </w:p>
    <w:p>
      <w:pPr>
        <w:pStyle w:val="Normal"/>
      </w:pPr>
      <w:r>
        <w:t xml:space="preserve">You’ll find detailed notes in the </w:t>
      </w:r>
      <w:r>
        <w:rPr>
          <w:rStyle w:val="Text4"/>
        </w:rPr>
        <w:t>README</w:t>
      </w:r>
      <w:r>
        <w:t xml:space="preserve"> file inside this directory, under the heading “Build instructions,” and we recommend you study those notes. In the simplest case, however, all you need may be to give the following commands at a shell prompt:</w:t>
      </w:r>
    </w:p>
    <w:p>
      <w:pPr>
        <w:pStyle w:val="Para 038"/>
      </w:pPr>
      <w:r>
        <w:t xml:space="preserve"/>
        <w:br w:clear="none"/>
        <w:t xml:space="preserve">$ </w:t>
        <w:br w:clear="none"/>
      </w:r>
      <w:r>
        <w:rPr>
          <w:rStyle w:val="Text5"/>
        </w:rPr>
        <w:t xml:space="preserve">cd ~/py/Python-3.11/0</w:t>
        <w:br w:clear="none"/>
      </w:r>
      <w:r>
        <w:t xml:space="preserve"/>
        <w:br w:clear="none"/>
        <w:t xml:space="preserve">$ </w:t>
        <w:br w:clear="none"/>
      </w:r>
      <w:r>
        <w:rPr>
          <w:rStyle w:val="Text5"/>
        </w:rPr>
        <w:t xml:space="preserve">./configure</w:t>
        <w:br w:clear="none"/>
      </w:r>
      <w:r>
        <w:t xml:space="preserve"/>
        <w:br w:clear="none"/>
        <w:t xml:space="preserve">    [configure writes much information, snipped here]</w:t>
        <w:br w:clear="none"/>
        <w:t xml:space="preserve">$ </w:t>
        <w:br w:clear="none"/>
      </w:r>
      <w:r>
        <w:rPr>
          <w:rStyle w:val="Text5"/>
        </w:rPr>
        <w:t xml:space="preserve">make</w:t>
        <w:br w:clear="none"/>
      </w:r>
      <w:r>
        <w:t xml:space="preserve"/>
        <w:br w:clear="none"/>
        <w:t xml:space="preserve">    [make takes quite a while and emits much information, snipped here]</w:t>
        <w:br w:clear="none"/>
      </w:r>
    </w:p>
    <w:p>
      <w:pPr>
        <w:pStyle w:val="Normal"/>
      </w:pPr>
      <w:r>
        <w:t xml:space="preserve">If you run </w:t>
      </w:r>
      <w:r>
        <w:rPr>
          <w:rStyle w:val="Text5"/>
        </w:rPr>
        <w:t>make</w:t>
      </w:r>
      <w:r>
        <w:t xml:space="preserve"> without first running </w:t>
      </w:r>
      <w:r>
        <w:rPr>
          <w:rStyle w:val="Text5"/>
        </w:rPr>
        <w:t>./configure</w:t>
      </w:r>
      <w:r>
        <w:t xml:space="preserve">, </w:t>
      </w:r>
      <w:r>
        <w:rPr>
          <w:rStyle w:val="Text5"/>
        </w:rPr>
        <w:t>make</w:t>
      </w:r>
      <w:r>
        <w:t xml:space="preserve"> implicitly runs </w:t>
      </w:r>
      <w:r>
        <w:rPr>
          <w:rStyle w:val="Text5"/>
        </w:rPr>
        <w:t>./configure</w:t>
      </w:r>
      <w:r>
        <w:t xml:space="preserve">. When </w:t>
      </w:r>
      <w:r>
        <w:rPr>
          <w:rStyle w:val="Text5"/>
        </w:rPr>
        <w:t>make</w:t>
      </w:r>
      <w:r>
        <w:t xml:space="preserve"> finishes, check that the Python you have just built works as expected:</w:t>
      </w:r>
    </w:p>
    <w:p>
      <w:pPr>
        <w:pStyle w:val="Para 038"/>
      </w:pPr>
      <w:r>
        <w:t xml:space="preserve"/>
        <w:br w:clear="none"/>
        <w:t xml:space="preserve">$ </w:t>
        <w:br w:clear="none"/>
      </w:r>
      <w:r>
        <w:rPr>
          <w:rStyle w:val="Text5"/>
        </w:rPr>
        <w:t xml:space="preserve">make test</w:t>
        <w:br w:clear="none"/>
      </w:r>
      <w:r>
        <w:t xml:space="preserve"/>
        <w:br w:clear="none"/>
        <w:t xml:space="preserve">    [takes quite a while, emits much information, snipped here]</w:t>
        <w:br w:clear="none"/>
      </w:r>
    </w:p>
    <w:p>
      <w:pPr>
        <w:pStyle w:val="Normal"/>
      </w:pPr>
      <w:r>
        <w:t xml:space="preserve">Usually, </w:t>
      </w:r>
      <w:r>
        <w:rPr>
          <w:rStyle w:val="Text5"/>
        </w:rPr>
        <w:t>make test</w:t>
      </w:r>
      <w:r>
        <w:t xml:space="preserve"> confirms that your build is working, but also informs you that some tests have been skipped because optional modules were missing.</w:t>
      </w:r>
    </w:p>
    <w:p>
      <w:pPr>
        <w:pStyle w:val="Normal"/>
      </w:pPr>
      <w:r>
        <w:t xml:space="preserve">Some of the modules are platform-specific (e.g., some may work only on machines running SGI’s ancient </w:t>
      </w:r>
      <w:hyperlink r:id="rId148">
        <w:r>
          <w:rPr>
            <w:rStyle w:val="Text1"/>
          </w:rPr>
          <w:t>IRIX</w:t>
        </w:r>
      </w:hyperlink>
      <w:r>
        <w:t xml:space="preserve"> operating system); you don’t need to worry about them. However, other modules may be skipped because they depend on other open source packages that are currently not installed on your machine. For example, on Unix, the module </w:t>
      </w:r>
      <w:r>
        <w:rPr>
          <w:rStyle w:val="Text0"/>
        </w:rPr>
        <w:t>_tkinter</w:t>
      </w:r>
      <w:r>
        <w:t xml:space="preserve">—needed to run the Tkinter GUI package and the IDLE integrated development environment, which come with Python—can be built only if </w:t>
      </w:r>
      <w:r>
        <w:rPr>
          <w:rStyle w:val="Text5"/>
        </w:rPr>
        <w:t>./configure</w:t>
      </w:r>
      <w:r>
        <w:t xml:space="preserve"> can find an installation of Tcl/Tk 8.0 or later on your machine. See the </w:t>
      </w:r>
      <w:r>
        <w:rPr>
          <w:rStyle w:val="Text4"/>
        </w:rPr>
        <w:t>README</w:t>
      </w:r>
      <w:r>
        <w:t xml:space="preserve"> file for more details and specific caveats about different Unix and Unix-like platforms.</w:t>
      </w:r>
    </w:p>
    <w:p>
      <w:pPr>
        <w:pStyle w:val="Normal"/>
      </w:pPr>
      <w:r>
        <w:t xml:space="preserve">Building from source code lets you tweak your configuration in several ways. For example, you can build Python in a special way that helps you debug memory leaks when you develop C-coded Python extensions, covered in “Building and Installing C-Coded Python Extensions” in </w:t>
      </w:r>
      <w:hyperlink r:id="rId24">
        <w:r>
          <w:rPr>
            <w:rStyle w:val="Text1"/>
          </w:rPr>
          <w:t>Chapter 25</w:t>
        </w:r>
      </w:hyperlink>
      <w:r>
        <w:t xml:space="preserve">. </w:t>
      </w:r>
      <w:r>
        <w:rPr>
          <w:rStyle w:val="Text5"/>
        </w:rPr>
        <w:t>./configure --help</w:t>
      </w:r>
      <w:r>
        <w:t xml:space="preserve"> is a good source of information about the configuration options you can use.</w:t>
      </w:r>
    </w:p>
    <w:p>
      <w:bookmarkStart w:id="183" w:name="Installing_after_the_build__By_d"/>
      <w:pPr>
        <w:keepNext/>
        <w:pStyle w:val="Heading 2"/>
      </w:pPr>
      <w:r>
        <w:t>Installing after the build</w:t>
      </w:r>
      <w:bookmarkEnd w:id="183"/>
    </w:p>
    <w:p>
      <w:pPr>
        <w:pStyle w:val="Normal"/>
      </w:pPr>
      <w:r>
        <w:t xml:space="preserve">By default, </w:t>
      </w:r>
      <w:r>
        <w:rPr>
          <w:rStyle w:val="Text5"/>
        </w:rPr>
        <w:t>./configure</w:t>
      </w:r>
      <w:r>
        <w:t xml:space="preserve"> prepares Python for installation in </w:t>
      </w:r>
      <w:r>
        <w:rPr>
          <w:rStyle w:val="Text4"/>
        </w:rPr>
        <w:t>/usr/local/bin</w:t>
      </w:r>
      <w:r>
        <w:t xml:space="preserve"> and </w:t>
      </w:r>
      <w:r>
        <w:rPr>
          <w:rStyle w:val="Text4"/>
        </w:rPr>
        <w:t>/usr/local/lib</w:t>
      </w:r>
      <w:r>
        <w:t xml:space="preserve">. You can change these settings by running </w:t>
      </w:r>
      <w:r>
        <w:rPr>
          <w:rStyle w:val="Text5"/>
        </w:rPr>
        <w:t>./configure</w:t>
      </w:r>
      <w:r>
        <w:t xml:space="preserve"> with the option </w:t>
      </w:r>
      <w:r>
        <w:rPr>
          <w:rStyle w:val="Text5"/>
        </w:rPr>
        <w:t>--prefix</w:t>
      </w:r>
      <w:r>
        <w:t xml:space="preserve"> before running </w:t>
      </w:r>
      <w:r>
        <w:rPr>
          <w:rStyle w:val="Text5"/>
        </w:rPr>
        <w:t>make</w:t>
      </w:r>
      <w:r>
        <w:t xml:space="preserve">. For example, if you want a private installation of Python in the subdirectory </w:t>
      </w:r>
      <w:r>
        <w:rPr>
          <w:rStyle w:val="Text4"/>
        </w:rPr>
        <w:t>py311</w:t>
      </w:r>
      <w:r>
        <w:t xml:space="preserve"> of your home directory, run:</w:t>
      </w:r>
    </w:p>
    <w:p>
      <w:pPr>
        <w:pStyle w:val="Para 008"/>
      </w:pPr>
      <w:r>
        <w:rPr>
          <w:rStyle w:val="Text48"/>
        </w:rPr>
        <w:t xml:space="preserve"/>
        <w:br w:clear="none"/>
        <w:t xml:space="preserve">$ </w:t>
        <w:br w:clear="none"/>
      </w:r>
      <w:r>
        <w:t xml:space="preserve">cd ~/py/Python-3.11.0</w:t>
        <w:br w:clear="none"/>
      </w:r>
      <w:r>
        <w:rPr>
          <w:rStyle w:val="Text48"/>
        </w:rPr>
        <w:t xml:space="preserve"/>
        <w:br w:clear="none"/>
        <w:t xml:space="preserve">$ </w:t>
        <w:br w:clear="none"/>
      </w:r>
      <w:r>
        <w:t xml:space="preserve">./configure --prefix=~/py311</w:t>
        <w:br w:clear="none"/>
      </w:r>
    </w:p>
    <w:p>
      <w:pPr>
        <w:pStyle w:val="Normal"/>
      </w:pPr>
      <w:r>
        <w:t xml:space="preserve">and continue with </w:t>
      </w:r>
      <w:r>
        <w:rPr>
          <w:rStyle w:val="Text5"/>
        </w:rPr>
        <w:t>make</w:t>
      </w:r>
      <w:r>
        <w:t xml:space="preserve"> as in the previous section. Once you’re done building and testing Python, to perform the actual installation of all files, run the following command:</w:t>
      </w:r>
      <w:hyperlink w:anchor="11_Or_make_altinstall__if_you_wa">
        <w:r>
          <w:rPr>
            <w:rStyle w:val="Text41"/>
          </w:rPr>
          <w:bookmarkStart w:id="184" w:name="11"/>
          <w:t>11</w:t>
          <w:bookmarkEnd w:id="184"/>
        </w:r>
      </w:hyperlink>
    </w:p>
    <w:p>
      <w:pPr>
        <w:pStyle w:val="Para 008"/>
      </w:pPr>
      <w:r>
        <w:rPr>
          <w:rStyle w:val="Text48"/>
        </w:rPr>
        <w:t xml:space="preserve"/>
        <w:br w:clear="none"/>
        <w:t xml:space="preserve">$ </w:t>
        <w:br w:clear="none"/>
      </w:r>
      <w:r>
        <w:t xml:space="preserve">make install</w:t>
        <w:br w:clear="none"/>
      </w:r>
    </w:p>
    <w:p>
      <w:pPr>
        <w:pStyle w:val="Normal"/>
      </w:pPr>
      <w:r>
        <w:t xml:space="preserve">The user running </w:t>
      </w:r>
      <w:r>
        <w:rPr>
          <w:rStyle w:val="Text5"/>
        </w:rPr>
        <w:t>make install</w:t>
      </w:r>
      <w:r>
        <w:t xml:space="preserve"> must have write permissions on the target directories. Depending on your choice of target directories, and the permissions on those directories, you may need to </w:t>
      </w:r>
      <w:r>
        <w:rPr>
          <w:rStyle w:val="Text5"/>
        </w:rPr>
        <w:t>su</w:t>
      </w:r>
      <w:r>
        <w:t xml:space="preserve"> to </w:t>
      </w:r>
      <w:r>
        <w:rPr>
          <w:rStyle w:val="Text4"/>
        </w:rPr>
        <w:t>root, bin</w:t>
      </w:r>
      <w:r>
        <w:t xml:space="preserve">, or some other user when you run </w:t>
      </w:r>
      <w:r>
        <w:rPr>
          <w:rStyle w:val="Text5"/>
        </w:rPr>
        <w:t>make install</w:t>
      </w:r>
      <w:r>
        <w:t xml:space="preserve">. The common idiom for this purpose is </w:t>
      </w:r>
      <w:r>
        <w:rPr>
          <w:rStyle w:val="Text5"/>
        </w:rPr>
        <w:t>sudo make install</w:t>
      </w:r>
      <w:r>
        <w:t xml:space="preserve">: if </w:t>
      </w:r>
      <w:r>
        <w:rPr>
          <w:rStyle w:val="Text5"/>
        </w:rPr>
        <w:t>sudo</w:t>
      </w:r>
      <w:r>
        <w:t xml:space="preserve"> prompts for a password, enter your current user’s password, not </w:t>
      </w:r>
      <w:r>
        <w:rPr>
          <w:rStyle w:val="Text4"/>
        </w:rPr>
        <w:t>root</w:t>
      </w:r>
      <w:r>
        <w:t xml:space="preserve">’s. An alternative, and recommended, approach is to install into a virtual environment, as covered in </w:t>
      </w:r>
      <w:hyperlink w:anchor="Python_Environments__A_typical_P">
        <w:r>
          <w:rPr>
            <w:rStyle w:val="Text1"/>
          </w:rPr>
          <w:t>“Python Environments”</w:t>
        </w:r>
      </w:hyperlink>
      <w:r>
        <w:t>.</w:t>
      </w:r>
      <w:r>
        <w:rPr>
          <w:rStyle w:val="Text111"/>
        </w:rPr>
        <w:bookmarkStart w:id="185" w:name="idm45965284278176"/>
        <w:t/>
        <w:bookmarkEnd w:id="185"/>
        <w:bookmarkStart w:id="186" w:name="idm45965274974832"/>
        <w:t/>
        <w:bookmarkEnd w:id="186"/>
      </w:r>
    </w:p>
    <w:p>
      <w:bookmarkStart w:id="187" w:name="1_For_Android__see_https___wiki"/>
      <w:pPr>
        <w:pStyle w:val="Para 035"/>
      </w:pPr>
      <w:hyperlink w:anchor="1_1">
        <w:r>
          <w:rPr>
            <w:rStyle w:val="Text1"/>
          </w:rPr>
          <w:t>1</w:t>
        </w:r>
      </w:hyperlink>
      <w:r>
        <w:t xml:space="preserve"> For Android, see </w:t>
      </w:r>
      <w:hyperlink r:id="rId149">
        <w:r>
          <w:rPr>
            <w:rStyle w:val="Text24"/>
          </w:rPr>
          <w:t>https://wiki.python.org/moin/Android</w:t>
        </w:r>
      </w:hyperlink>
      <w:r>
        <w:t xml:space="preserve">, and for iPhone and iPad, see </w:t>
      </w:r>
      <w:hyperlink r:id="rId150">
        <w:r>
          <w:rPr>
            <w:rStyle w:val="Text1"/>
          </w:rPr>
          <w:t>Python for iOS and iPadOS</w:t>
        </w:r>
      </w:hyperlink>
      <w:r>
        <w:t>.</w:t>
      </w:r>
      <w:bookmarkEnd w:id="187"/>
    </w:p>
    <w:p>
      <w:bookmarkStart w:id="188" w:name="2_Python_versions_from_3_11_use"/>
      <w:pPr>
        <w:pStyle w:val="Para 015"/>
      </w:pPr>
      <w:hyperlink w:anchor="2_1">
        <w:r>
          <w:rPr>
            <w:rStyle w:val="Text1"/>
          </w:rPr>
          <w:t>2</w:t>
        </w:r>
      </w:hyperlink>
      <w:r>
        <w:t xml:space="preserve"> Python versions from 3.11 use “C11 without optional features” and specify that “the public API should be compatible with C++.”</w:t>
      </w:r>
      <w:bookmarkEnd w:id="188"/>
    </w:p>
    <w:p>
      <w:bookmarkStart w:id="189" w:name="3_Which_can_be_in_many_programmi"/>
      <w:pPr>
        <w:pStyle w:val="Para 015"/>
      </w:pPr>
      <w:hyperlink w:anchor="3_1">
        <w:r>
          <w:rPr>
            <w:rStyle w:val="Text1"/>
          </w:rPr>
          <w:t>3</w:t>
        </w:r>
      </w:hyperlink>
      <w:r>
        <w:t xml:space="preserve"> Which can be in many programming languages, not just Python.</w:t>
      </w:r>
      <w:bookmarkEnd w:id="189"/>
    </w:p>
    <w:p>
      <w:bookmarkStart w:id="190" w:name="4_In_fact__conda_s_capabilities"/>
      <w:pPr>
        <w:pStyle w:val="Para 015"/>
      </w:pPr>
      <w:hyperlink w:anchor="4">
        <w:r>
          <w:rPr>
            <w:rStyle w:val="Text1"/>
          </w:rPr>
          <w:t>4</w:t>
        </w:r>
      </w:hyperlink>
      <w:r>
        <w:t xml:space="preserve"> In fact, </w:t>
      </w:r>
      <w:r>
        <w:rPr>
          <w:rStyle w:val="Text25"/>
        </w:rPr>
        <w:t>conda</w:t>
      </w:r>
      <w:r>
        <w:t>’s capabilities extend to other languages, and Python is simply another dependency.</w:t>
      </w:r>
      <w:bookmarkEnd w:id="190"/>
    </w:p>
    <w:p>
      <w:bookmarkStart w:id="191" w:name="5_250__automatically_installed_w"/>
      <w:pPr>
        <w:pStyle w:val="Para 015"/>
      </w:pPr>
      <w:hyperlink w:anchor="5">
        <w:r>
          <w:rPr>
            <w:rStyle w:val="Text1"/>
          </w:rPr>
          <w:t>5</w:t>
        </w:r>
      </w:hyperlink>
      <w:r>
        <w:t xml:space="preserve"> 250+ automatically installed with Anaconda, 7,500+ explicitly installable with </w:t>
      </w:r>
      <w:r>
        <w:rPr>
          <w:rStyle w:val="Text5"/>
        </w:rPr>
        <w:t>conda install</w:t>
      </w:r>
      <w:r>
        <w:t>.</w:t>
      </w:r>
      <w:bookmarkEnd w:id="191"/>
    </w:p>
    <w:p>
      <w:bookmarkStart w:id="192" w:name="6_A_popular_business_model_is_fr"/>
      <w:pPr>
        <w:pStyle w:val="Para 015"/>
      </w:pPr>
      <w:hyperlink w:anchor="6">
        <w:r>
          <w:rPr>
            <w:rStyle w:val="Text1"/>
          </w:rPr>
          <w:t>6</w:t>
        </w:r>
      </w:hyperlink>
      <w:r>
        <w:t xml:space="preserve"> A popular business model is </w:t>
      </w:r>
      <w:r>
        <w:rPr>
          <w:rStyle w:val="Text4"/>
        </w:rPr>
        <w:t>freemium</w:t>
      </w:r>
      <w:r>
        <w:t>: releasing both a free version and a commercial “premium” version with tech support and, perhaps, extra features.</w:t>
      </w:r>
      <w:bookmarkEnd w:id="192"/>
    </w:p>
    <w:p>
      <w:bookmarkStart w:id="193" w:name="7_The_Python_Software_Foundation"/>
      <w:pPr>
        <w:pStyle w:val="Para 015"/>
      </w:pPr>
      <w:hyperlink w:anchor="7">
        <w:r>
          <w:rPr>
            <w:rStyle w:val="Text1"/>
          </w:rPr>
          <w:t>7</w:t>
        </w:r>
      </w:hyperlink>
      <w:r>
        <w:t xml:space="preserve"> The Python Software Foundation runs significant infrastructure to support the Python ecosystem. Donations to the PSF are always welcome.</w:t>
      </w:r>
      <w:bookmarkEnd w:id="193"/>
    </w:p>
    <w:p>
      <w:bookmarkStart w:id="194" w:name="8_We_need_to_mobilize_to_get_mor"/>
      <w:pPr>
        <w:pStyle w:val="Para 015"/>
      </w:pPr>
      <w:hyperlink w:anchor="8">
        <w:r>
          <w:rPr>
            <w:rStyle w:val="Text1"/>
          </w:rPr>
          <w:t>8</w:t>
        </w:r>
      </w:hyperlink>
      <w:r>
        <w:t xml:space="preserve"> We need to mobilize to get more </w:t>
      </w:r>
      <w:hyperlink r:id="rId151">
        <w:r>
          <w:rPr>
            <w:rStyle w:val="Text1"/>
          </w:rPr>
          <w:t>penguins</w:t>
        </w:r>
      </w:hyperlink>
      <w:r>
        <w:t xml:space="preserve"> interested in our language!</w:t>
      </w:r>
      <w:bookmarkEnd w:id="194"/>
    </w:p>
    <w:p>
      <w:bookmarkStart w:id="195" w:name="9_Or__in_modern_Windows_versions"/>
      <w:pPr>
        <w:pStyle w:val="Para 015"/>
      </w:pPr>
      <w:hyperlink w:anchor="9">
        <w:r>
          <w:rPr>
            <w:rStyle w:val="Text1"/>
          </w:rPr>
          <w:t>9</w:t>
        </w:r>
      </w:hyperlink>
      <w:r>
        <w:t xml:space="preserve"> Or, in modern Windows versions, the vastly preferable </w:t>
      </w:r>
      <w:hyperlink r:id="rId152">
        <w:r>
          <w:rPr>
            <w:rStyle w:val="Text1"/>
          </w:rPr>
          <w:t>Windows Terminal</w:t>
        </w:r>
      </w:hyperlink>
      <w:r>
        <w:t>.</w:t>
      </w:r>
      <w:bookmarkEnd w:id="195"/>
    </w:p>
    <w:p>
      <w:bookmarkStart w:id="196" w:name="10_Most_problems_with_source_ins"/>
      <w:pPr>
        <w:pStyle w:val="Para 015"/>
      </w:pPr>
      <w:hyperlink w:anchor="10">
        <w:r>
          <w:rPr>
            <w:rStyle w:val="Text1"/>
          </w:rPr>
          <w:t>10</w:t>
        </w:r>
      </w:hyperlink>
      <w:r>
        <w:t xml:space="preserve"> Most problems with source installations concern the absence of various supporting libraries, which may cause some features to be missing from the built interpreter. The “Python Developers’ Guide” explains </w:t>
      </w:r>
      <w:hyperlink r:id="rId153">
        <w:r>
          <w:rPr>
            <w:rStyle w:val="Text1"/>
          </w:rPr>
          <w:t>how to handle dependencies on various platforms</w:t>
        </w:r>
      </w:hyperlink>
      <w:r>
        <w:t xml:space="preserve">. </w:t>
      </w:r>
      <w:hyperlink r:id="rId154">
        <w:r>
          <w:rPr>
            <w:rStyle w:val="Text24"/>
          </w:rPr>
          <w:t>build-python-from-source.com</w:t>
        </w:r>
      </w:hyperlink>
      <w:r>
        <w:t xml:space="preserve"> is a helpful site that shows you all the commands necessary to download, build, and install a specific version of Python, plus most of the needed supporting libraries on several Linux platforms.</w:t>
      </w:r>
      <w:bookmarkEnd w:id="196"/>
    </w:p>
    <w:p>
      <w:bookmarkStart w:id="197" w:name="11_Or_make_altinstall__if_you_wa"/>
      <w:pPr>
        <w:pStyle w:val="Para 015"/>
      </w:pPr>
      <w:hyperlink w:anchor="11">
        <w:r>
          <w:rPr>
            <w:rStyle w:val="Text1"/>
          </w:rPr>
          <w:t>11</w:t>
        </w:r>
      </w:hyperlink>
      <w:r>
        <w:t xml:space="preserve"> Or </w:t>
      </w:r>
      <w:r>
        <w:rPr>
          <w:rStyle w:val="Text5"/>
        </w:rPr>
        <w:t>make altinstall</w:t>
      </w:r>
      <w:r>
        <w:t>, if you want to avoid creating links to the Python executable and manual pages.</w:t>
      </w:r>
      <w:bookmarkEnd w:id="197"/>
    </w:p>
    <w:p>
      <w:bookmarkStart w:id="198" w:name="Chapter_2__The_Python_Interprete_2"/>
      <w:bookmarkStart w:id="199" w:name="Chapter_2__The_Python_Interprete"/>
      <w:bookmarkStart w:id="200" w:name="Chapter_2__The_Python_Interprete_1"/>
      <w:bookmarkStart w:id="201" w:name="Top_of_ch02_html"/>
      <w:pPr>
        <w:keepNext/>
        <w:pStyle w:val="Heading 1"/>
        <w:pageBreakBefore w:val="on"/>
      </w:pPr>
      <w:r>
        <w:t xml:space="preserve">Chapter 2. </w:t>
        <w:t>The Python Interpreter</w:t>
      </w:r>
      <w:bookmarkEnd w:id="198"/>
      <w:bookmarkEnd w:id="199"/>
      <w:bookmarkEnd w:id="200"/>
      <w:bookmarkEnd w:id="201"/>
    </w:p>
    <w:p>
      <w:pPr>
        <w:pStyle w:val="Normal"/>
      </w:pPr>
      <w:r>
        <w:t>To</w:t>
      </w:r>
      <w:r>
        <w:rPr>
          <w:rStyle w:val="Text111"/>
        </w:rPr>
        <w:bookmarkStart w:id="202" w:name="idm45965274971376"/>
        <w:t/>
        <w:bookmarkEnd w:id="202"/>
      </w:r>
      <w:r>
        <w:t xml:space="preserve"> develop software systems in Python, you usually write text files that contain Python source code. You can do this using any text editor, including those we list in </w:t>
      </w:r>
      <w:hyperlink w:anchor="Python_Development_Environments">
        <w:r>
          <w:rPr>
            <w:rStyle w:val="Text1"/>
          </w:rPr>
          <w:t>“Python Development Environments”</w:t>
        </w:r>
      </w:hyperlink>
      <w:r>
        <w:t>. Then you process the source files with the Python compiler and interpreter. You can do this directly, within an integrated development environment (IDE), or via another program that embeds Python. The Python interpreter also lets you execute Python code interactively, as do IDEs.</w:t>
      </w:r>
    </w:p>
    <w:p>
      <w:bookmarkStart w:id="203" w:name="The_python_Program__The_Python_i"/>
      <w:pPr>
        <w:keepNext/>
        <w:pStyle w:val="Heading 1"/>
      </w:pPr>
      <w:r>
        <w:t>The python Program</w:t>
      </w:r>
      <w:bookmarkEnd w:id="203"/>
    </w:p>
    <w:p>
      <w:pPr>
        <w:pStyle w:val="Normal"/>
      </w:pPr>
      <w:r>
        <w:t>The</w:t>
      </w:r>
      <w:r>
        <w:rPr>
          <w:rStyle w:val="Text111"/>
        </w:rPr>
        <w:bookmarkStart w:id="204" w:name="PIppyprog02"/>
        <w:t/>
        <w:bookmarkEnd w:id="204"/>
        <w:bookmarkStart w:id="205" w:name="pyprog02"/>
        <w:t/>
        <w:bookmarkEnd w:id="205"/>
      </w:r>
      <w:r>
        <w:t xml:space="preserve"> Python interpreter program is run as </w:t>
      </w:r>
      <w:r>
        <w:rPr>
          <w:rStyle w:val="Text5"/>
        </w:rPr>
        <w:t>python</w:t>
      </w:r>
      <w:r>
        <w:t xml:space="preserve"> (it’s named</w:t>
      </w:r>
      <w:r>
        <w:rPr>
          <w:rStyle w:val="Text111"/>
        </w:rPr>
        <w:bookmarkStart w:id="206" w:name="idm45965274962608"/>
        <w:t/>
        <w:bookmarkEnd w:id="206"/>
      </w:r>
      <w:r>
        <w:t xml:space="preserve"> </w:t>
      </w:r>
      <w:r>
        <w:rPr>
          <w:rStyle w:val="Text4"/>
        </w:rPr>
        <w:t>python.exe</w:t>
      </w:r>
      <w:r>
        <w:t xml:space="preserve"> on Windows). The program includes both the interpreter itself and the Python compiler, which is implicitly invoked as needed on imported modules. Depending on your system, the program may have to be in a directory listed in your </w:t>
      </w:r>
      <w:r>
        <w:rPr>
          <w:rStyle w:val="Text0"/>
        </w:rPr>
        <w:t>PATH</w:t>
      </w:r>
      <w:r>
        <w:t xml:space="preserve"> environment variable. Alternatively, as with any other program, you can provide its complete pathname at a command (shell) prompt or in the shell script (or shortcut target, etc.) that runs it.</w:t>
      </w:r>
      <w:hyperlink w:anchor="1_This_may_involve_using_quotes">
        <w:r>
          <w:rPr>
            <w:rStyle w:val="Text41"/>
          </w:rPr>
          <w:bookmarkStart w:id="207" w:name="1_2"/>
          <w:t>1</w:t>
          <w:bookmarkEnd w:id="207"/>
        </w:r>
      </w:hyperlink>
    </w:p>
    <w:p>
      <w:pPr>
        <w:pStyle w:val="Normal"/>
      </w:pPr>
      <w:r>
        <w:t xml:space="preserve">On Windows, press the Windows key and start typing </w:t>
      </w:r>
      <w:r>
        <w:rPr>
          <w:rStyle w:val="Text5"/>
        </w:rPr>
        <w:t>python</w:t>
      </w:r>
      <w:r>
        <w:t>. “Python 3.x” (the command-line version) appears, along with other choices, such as “IDLE” (the Python GUI).</w:t>
      </w:r>
    </w:p>
    <w:p>
      <w:bookmarkStart w:id="208" w:name="Environment_Variables__Besides_P"/>
      <w:pPr>
        <w:keepNext/>
        <w:pStyle w:val="Heading 2"/>
      </w:pPr>
      <w:r>
        <w:t>Environment Variables</w:t>
      </w:r>
      <w:bookmarkEnd w:id="208"/>
    </w:p>
    <w:p>
      <w:pPr>
        <w:pStyle w:val="Normal"/>
      </w:pPr>
      <w:r>
        <w:t>Besides</w:t>
      </w:r>
      <w:r>
        <w:rPr>
          <w:rStyle w:val="Text111"/>
        </w:rPr>
        <w:bookmarkStart w:id="209" w:name="idm45965274955232"/>
        <w:t/>
        <w:bookmarkEnd w:id="209"/>
      </w:r>
      <w:r>
        <w:t xml:space="preserve"> </w:t>
      </w:r>
      <w:r>
        <w:rPr>
          <w:rStyle w:val="Text0"/>
        </w:rPr>
        <w:t>PATH</w:t>
      </w:r>
      <w:r>
        <w:t xml:space="preserve">, other environment variables affect the </w:t>
      </w:r>
      <w:r>
        <w:rPr>
          <w:rStyle w:val="Text5"/>
        </w:rPr>
        <w:t>python</w:t>
      </w:r>
      <w:r>
        <w:t xml:space="preserve"> program. Some of these have the same effects as options passed to </w:t>
      </w:r>
      <w:r>
        <w:rPr>
          <w:rStyle w:val="Text5"/>
        </w:rPr>
        <w:t>python</w:t>
      </w:r>
      <w:r>
        <w:t xml:space="preserve"> on the command line, as we show in the next section, but several environment variables provide settings not available via command-line options. The following list introduces some frequently used ones; for complete details, see the</w:t>
      </w:r>
      <w:r>
        <w:rPr>
          <w:rStyle w:val="Text111"/>
        </w:rPr>
        <w:bookmarkStart w:id="210" w:name="idm45965274950928"/>
        <w:t/>
        <w:bookmarkEnd w:id="210"/>
      </w:r>
      <w:r>
        <w:t xml:space="preserve"> </w:t>
      </w:r>
      <w:hyperlink r:id="rId155">
        <w:r>
          <w:rPr>
            <w:rStyle w:val="Text1"/>
          </w:rPr>
          <w:t>online docs</w:t>
        </w:r>
      </w:hyperlink>
      <w:r>
        <w:t>:</w:t>
      </w:r>
    </w:p>
    <w:p>
      <w:pPr>
        <w:pStyle w:val="Para 030"/>
      </w:pPr>
      <w:r>
        <w:t>PYTHONHOME</w:t>
      </w:r>
    </w:p>
    <w:p>
      <w:pPr>
        <w:pStyle w:val="Para 016"/>
      </w:pPr>
      <w:r>
        <w:t>The</w:t>
      </w:r>
      <w:r>
        <w:rPr>
          <w:rStyle w:val="Text115"/>
        </w:rPr>
        <w:bookmarkStart w:id="211" w:name="idm45965274946528"/>
        <w:t/>
        <w:bookmarkEnd w:id="211"/>
      </w:r>
      <w:r>
        <w:t xml:space="preserve"> Python installation directory. A </w:t>
      </w:r>
      <w:r>
        <w:rPr>
          <w:rStyle w:val="Text4"/>
        </w:rPr>
        <w:t>lib</w:t>
      </w:r>
      <w:r>
        <w:t xml:space="preserve"> subdirectory, containing the Python standard library, must be under this directory. On Unix-like systems, standard library modules should be in </w:t>
      </w:r>
      <w:r>
        <w:rPr>
          <w:rStyle w:val="Text4"/>
        </w:rPr>
        <w:t>lib/python-3.x</w:t>
      </w:r>
      <w:r>
        <w:t xml:space="preserve"> for Python 3</w:t>
      </w:r>
      <w:r>
        <w:rPr>
          <w:rStyle w:val="Text4"/>
        </w:rPr>
        <w:t>.x</w:t>
      </w:r>
      <w:r>
        <w:t xml:space="preserve">, where </w:t>
      </w:r>
      <w:r>
        <w:rPr>
          <w:rStyle w:val="Text4"/>
        </w:rPr>
        <w:t>x</w:t>
      </w:r>
      <w:r>
        <w:t xml:space="preserve"> is the minor Python version. If </w:t>
      </w:r>
      <w:r>
        <w:rPr>
          <w:rStyle w:val="Text0"/>
        </w:rPr>
        <w:t>PYTHONHOME</w:t>
      </w:r>
      <w:r>
        <w:t xml:space="preserve"> is not set, Python makes an informed guess about the installation directory.</w:t>
      </w:r>
    </w:p>
    <w:p>
      <w:pPr>
        <w:pStyle w:val="Para 030"/>
      </w:pPr>
      <w:r>
        <w:t>PYTHONPATH</w:t>
      </w:r>
    </w:p>
    <w:p>
      <w:pPr>
        <w:pStyle w:val="Para 016"/>
      </w:pPr>
      <w:r>
        <w:t>A</w:t>
      </w:r>
      <w:r>
        <w:rPr>
          <w:rStyle w:val="Text115"/>
        </w:rPr>
        <w:bookmarkStart w:id="212" w:name="idm45965274941008"/>
        <w:t/>
        <w:bookmarkEnd w:id="212"/>
      </w:r>
      <w:r>
        <w:t xml:space="preserve"> list of directories, separated by colons on Unix-like systems and by semicolons on Windows, from which Python can import modules. This list extends the initial value for Python’s </w:t>
      </w:r>
      <w:r>
        <w:rPr>
          <w:rStyle w:val="Text0"/>
        </w:rPr>
        <w:t>sys.path</w:t>
      </w:r>
      <w:r>
        <w:t xml:space="preserve"> variable. We cover modules, importing, and </w:t>
      </w:r>
      <w:r>
        <w:rPr>
          <w:rStyle w:val="Text0"/>
        </w:rPr>
        <w:t>sys.path</w:t>
      </w:r>
      <w:r>
        <w:t xml:space="preserve"> in </w:t>
      </w:r>
      <w:hyperlink w:anchor="Chapter_7__Modules_and_Packages_2">
        <w:r>
          <w:rPr>
            <w:rStyle w:val="Text43"/>
          </w:rPr>
          <w:t>Chapter 7</w:t>
        </w:r>
      </w:hyperlink>
      <w:r>
        <w:t>.</w:t>
      </w:r>
    </w:p>
    <w:p>
      <w:pPr>
        <w:pStyle w:val="Para 030"/>
      </w:pPr>
      <w:r>
        <w:t>PYTHONSTARTUP</w:t>
      </w:r>
    </w:p>
    <w:p>
      <w:pPr>
        <w:pStyle w:val="Para 016"/>
      </w:pPr>
      <w:r>
        <w:t>The</w:t>
      </w:r>
      <w:r>
        <w:rPr>
          <w:rStyle w:val="Text115"/>
        </w:rPr>
        <w:bookmarkStart w:id="213" w:name="idm45965274935280"/>
        <w:t/>
        <w:bookmarkEnd w:id="213"/>
      </w:r>
      <w:r>
        <w:t xml:space="preserve"> name of a Python source file to run each time an interactive interpreter session starts. No such file runs if you don’t set this variable, or set it to the path of a file that is not found. The </w:t>
      </w:r>
      <w:r>
        <w:rPr>
          <w:rStyle w:val="Text0"/>
        </w:rPr>
        <w:t>PYTHONSTARTUP</w:t>
      </w:r>
      <w:r>
        <w:t xml:space="preserve"> file does not run when you run a Python script; it runs only when you start an interactive session.</w:t>
      </w:r>
    </w:p>
    <w:p>
      <w:pPr>
        <w:pStyle w:val="Normal"/>
      </w:pPr>
      <w:r>
        <w:t xml:space="preserve">How to set and examine environment variables depends on your operating system. In Unix, use shell commands, often within startup shell scripts. On Windows, press the Windows key and start typing </w:t>
      </w:r>
      <w:r>
        <w:rPr>
          <w:rStyle w:val="Text5"/>
        </w:rPr>
        <w:t>environment</w:t>
      </w:r>
      <w:r>
        <w:t xml:space="preserve"> </w:t>
      </w:r>
      <w:r>
        <w:rPr>
          <w:rStyle w:val="Text5"/>
        </w:rPr>
        <w:t>var</w:t>
      </w:r>
      <w:r>
        <w:t xml:space="preserve">, and a couple of shortcuts appear: one for user environment variables, the other for system ones. On a Mac, you can work just as on other Unix-like systems, but you have more options, including a MacPython-specific IDE. For more information about Python on the Mac, see </w:t>
      </w:r>
      <w:hyperlink r:id="rId156">
        <w:r>
          <w:rPr>
            <w:rStyle w:val="Text1"/>
          </w:rPr>
          <w:t>“Using Python on a Mac” in the online docs</w:t>
        </w:r>
      </w:hyperlink>
      <w:r>
        <w:t>.</w:t>
      </w:r>
    </w:p>
    <w:p>
      <w:bookmarkStart w:id="214" w:name="Command_Line_Syntax_and_Options"/>
      <w:pPr>
        <w:keepNext/>
        <w:pStyle w:val="Heading 2"/>
      </w:pPr>
      <w:r>
        <w:t>Command-Line Syntax and Options</w:t>
      </w:r>
      <w:bookmarkEnd w:id="214"/>
    </w:p>
    <w:p>
      <w:pPr>
        <w:pStyle w:val="Normal"/>
      </w:pPr>
      <w:r>
        <w:t>The</w:t>
      </w:r>
      <w:r>
        <w:rPr>
          <w:rStyle w:val="Text111"/>
        </w:rPr>
        <w:bookmarkStart w:id="215" w:name="idm45965274926432"/>
        <w:t/>
        <w:bookmarkEnd w:id="215"/>
        <w:bookmarkStart w:id="216" w:name="clinesyn02"/>
        <w:t/>
        <w:bookmarkEnd w:id="216"/>
        <w:bookmarkStart w:id="217" w:name="opcl02"/>
        <w:t/>
        <w:bookmarkEnd w:id="217"/>
      </w:r>
      <w:r>
        <w:t xml:space="preserve"> Python interpreter’s command-line syntax can be summarized as follows:</w:t>
      </w:r>
    </w:p>
    <w:p>
      <w:pPr>
        <w:pStyle w:val="Para 032"/>
      </w:pPr>
      <w:r>
        <w:rPr>
          <w:rStyle w:val="Text116"/>
        </w:rPr>
        <w:t xml:space="preserve"/>
        <w:br w:clear="none"/>
      </w:r>
      <w:r>
        <w:rPr>
          <w:rStyle w:val="Text19"/>
        </w:rPr>
        <w:t xml:space="preserve">[</w:t>
        <w:br w:clear="none"/>
      </w:r>
      <w:r>
        <w:t xml:space="preserve">path</w:t>
        <w:br w:clear="none"/>
      </w:r>
      <w:r>
        <w:rPr>
          <w:rStyle w:val="Text19"/>
        </w:rPr>
        <w:t xml:space="preserve">]</w:t>
        <w:br w:clear="none"/>
      </w:r>
      <w:r>
        <w:rPr>
          <w:rStyle w:val="Text92"/>
        </w:rPr>
        <w:t xml:space="preserve">python</w:t>
        <w:br w:clear="none"/>
      </w:r>
      <w:r>
        <w:rPr>
          <w:rStyle w:val="Text11"/>
        </w:rPr>
        <w:t xml:space="preserve"> </w:t>
        <w:br w:clear="none"/>
      </w:r>
      <w:r>
        <w:rPr>
          <w:rStyle w:val="Text19"/>
        </w:rPr>
        <w:t xml:space="preserve">{</w:t>
        <w:br w:clear="none"/>
      </w:r>
      <w:r>
        <w:t xml:space="preserve">options</w:t>
        <w:br w:clear="none"/>
      </w:r>
      <w:r>
        <w:rPr>
          <w:rStyle w:val="Text19"/>
        </w:rPr>
        <w:t xml:space="preserve">}</w:t>
        <w:br w:clear="none"/>
      </w:r>
      <w:r>
        <w:rPr>
          <w:rStyle w:val="Text11"/>
        </w:rPr>
        <w:t xml:space="preserve"> </w:t>
        <w:br w:clear="none"/>
      </w:r>
      <w:r>
        <w:rPr>
          <w:rStyle w:val="Text19"/>
        </w:rPr>
        <w:t xml:space="preserve">[</w:t>
        <w:br w:clear="none"/>
      </w:r>
      <w:r>
        <w:rPr>
          <w:rStyle w:val="Text28"/>
        </w:rPr>
        <w:t xml:space="preserve">-</w:t>
        <w:br w:clear="none"/>
      </w:r>
      <w:r>
        <w:rPr>
          <w:rStyle w:val="Text92"/>
        </w:rPr>
        <w:t xml:space="preserve">c</w:t>
        <w:br w:clear="none"/>
      </w:r>
      <w:r>
        <w:rPr>
          <w:rStyle w:val="Text11"/>
        </w:rPr>
        <w:t xml:space="preserve"> </w:t>
        <w:br w:clear="none"/>
      </w:r>
      <w:r>
        <w:t xml:space="preserve">command</w:t>
        <w:br w:clear="none"/>
      </w:r>
      <w:r>
        <w:rPr>
          <w:rStyle w:val="Text11"/>
        </w:rPr>
        <w:t xml:space="preserve"> </w:t>
        <w:br w:clear="none"/>
      </w:r>
      <w:r>
        <w:rPr>
          <w:rStyle w:val="Text28"/>
        </w:rPr>
        <w:t xml:space="preserve">|</w:t>
        <w:br w:clear="none"/>
      </w:r>
      <w:r>
        <w:rPr>
          <w:rStyle w:val="Text11"/>
        </w:rPr>
        <w:t xml:space="preserve"> </w:t>
        <w:br w:clear="none"/>
      </w:r>
      <w:r>
        <w:rPr>
          <w:rStyle w:val="Text28"/>
        </w:rPr>
        <w:t xml:space="preserve">-</w:t>
        <w:br w:clear="none"/>
      </w:r>
      <w:r>
        <w:rPr>
          <w:rStyle w:val="Text92"/>
        </w:rPr>
        <w:t xml:space="preserve">m</w:t>
        <w:br w:clear="none"/>
      </w:r>
      <w:r>
        <w:rPr>
          <w:rStyle w:val="Text11"/>
        </w:rPr>
        <w:t xml:space="preserve"> </w:t>
        <w:br w:clear="none"/>
      </w:r>
      <w:r>
        <w:t xml:space="preserve">module</w:t>
        <w:br w:clear="none"/>
      </w:r>
      <w:r>
        <w:rPr>
          <w:rStyle w:val="Text11"/>
        </w:rPr>
        <w:t xml:space="preserve"> </w:t>
        <w:br w:clear="none"/>
      </w:r>
      <w:r>
        <w:rPr>
          <w:rStyle w:val="Text28"/>
        </w:rPr>
        <w:t xml:space="preserve">|</w:t>
        <w:br w:clear="none"/>
      </w:r>
      <w:r>
        <w:rPr>
          <w:rStyle w:val="Text11"/>
        </w:rPr>
        <w:t xml:space="preserve"> </w:t>
        <w:br w:clear="none"/>
      </w:r>
      <w:r>
        <w:t xml:space="preserve">file</w:t>
        <w:br w:clear="none"/>
      </w:r>
      <w:r>
        <w:rPr>
          <w:rStyle w:val="Text11"/>
        </w:rPr>
        <w:t xml:space="preserve"> </w:t>
        <w:br w:clear="none"/>
      </w:r>
      <w:r>
        <w:rPr>
          <w:rStyle w:val="Text28"/>
        </w:rPr>
        <w:t xml:space="preserve">|</w:t>
        <w:br w:clear="none"/>
      </w:r>
      <w:r>
        <w:rPr>
          <w:rStyle w:val="Text11"/>
        </w:rPr>
        <w:t xml:space="preserve"> </w:t>
        <w:br w:clear="none"/>
      </w:r>
      <w:r>
        <w:rPr>
          <w:rStyle w:val="Text28"/>
        </w:rPr>
        <w:t xml:space="preserve">-</w:t>
        <w:br w:clear="none"/>
      </w:r>
      <w:r>
        <w:rPr>
          <w:rStyle w:val="Text19"/>
        </w:rPr>
        <w:t xml:space="preserve">]</w:t>
        <w:br w:clear="none"/>
      </w:r>
      <w:r>
        <w:rPr>
          <w:rStyle w:val="Text11"/>
        </w:rPr>
        <w:t xml:space="preserve"> </w:t>
        <w:br w:clear="none"/>
      </w:r>
      <w:r>
        <w:rPr>
          <w:rStyle w:val="Text19"/>
        </w:rPr>
        <w:t xml:space="preserve">{</w:t>
        <w:br w:clear="none"/>
      </w:r>
      <w:r>
        <w:t xml:space="preserve">args</w:t>
        <w:br w:clear="none"/>
      </w:r>
      <w:r>
        <w:rPr>
          <w:rStyle w:val="Text19"/>
        </w:rPr>
        <w:t xml:space="preserve">}</w:t>
        <w:br w:clear="none"/>
      </w:r>
    </w:p>
    <w:p>
      <w:pPr>
        <w:pStyle w:val="Normal"/>
      </w:pPr>
      <w:r>
        <w:t>Brackets (</w:t>
      </w:r>
      <w:r>
        <w:rPr>
          <w:rStyle w:val="Text0"/>
        </w:rPr>
        <w:t>[]</w:t>
      </w:r>
      <w:r>
        <w:t>) enclose</w:t>
      </w:r>
      <w:r>
        <w:rPr>
          <w:rStyle w:val="Text111"/>
        </w:rPr>
        <w:bookmarkStart w:id="218" w:name="idm45965282986336"/>
        <w:t/>
        <w:bookmarkEnd w:id="218"/>
        <w:bookmarkStart w:id="219" w:name="idm45965282985088"/>
        <w:t/>
        <w:bookmarkEnd w:id="219"/>
      </w:r>
      <w:r>
        <w:t xml:space="preserve"> what’s optional, braces (</w:t>
      </w:r>
      <w:r>
        <w:rPr>
          <w:rStyle w:val="Text0"/>
        </w:rPr>
        <w:t>{}</w:t>
      </w:r>
      <w:r>
        <w:t>) enclose</w:t>
      </w:r>
      <w:r>
        <w:rPr>
          <w:rStyle w:val="Text111"/>
        </w:rPr>
        <w:bookmarkStart w:id="220" w:name="idm45965282982624"/>
        <w:t/>
        <w:bookmarkEnd w:id="220"/>
        <w:bookmarkStart w:id="221" w:name="idm45965283011968"/>
        <w:t/>
        <w:bookmarkEnd w:id="221"/>
      </w:r>
      <w:r>
        <w:t xml:space="preserve"> items of which zero or more may be present, and bars (</w:t>
      </w:r>
      <w:r>
        <w:rPr>
          <w:rStyle w:val="Text0"/>
        </w:rPr>
        <w:t>|</w:t>
      </w:r>
      <w:r>
        <w:t>) mean</w:t>
      </w:r>
      <w:r>
        <w:rPr>
          <w:rStyle w:val="Text111"/>
        </w:rPr>
        <w:bookmarkStart w:id="222" w:name="idm45965283009808"/>
        <w:t/>
        <w:bookmarkEnd w:id="222"/>
        <w:bookmarkStart w:id="223" w:name="idm45965283008672"/>
        <w:t/>
        <w:bookmarkEnd w:id="223"/>
      </w:r>
      <w:r>
        <w:t xml:space="preserve"> a choice among alternatives. Python uses a slash (</w:t>
      </w:r>
      <w:r>
        <w:rPr>
          <w:rStyle w:val="Text0"/>
        </w:rPr>
        <w:t>/</w:t>
      </w:r>
      <w:r>
        <w:t>) for</w:t>
      </w:r>
      <w:r>
        <w:rPr>
          <w:rStyle w:val="Text111"/>
        </w:rPr>
        <w:bookmarkStart w:id="224" w:name="idm45965283006752"/>
        <w:t/>
        <w:bookmarkEnd w:id="224"/>
        <w:bookmarkStart w:id="225" w:name="idm45965283005072"/>
        <w:t/>
        <w:bookmarkEnd w:id="225"/>
      </w:r>
      <w:r>
        <w:t xml:space="preserve"> filepaths, as in Unix.</w:t>
      </w:r>
    </w:p>
    <w:p>
      <w:pPr>
        <w:pStyle w:val="Normal"/>
      </w:pPr>
      <w:r>
        <w:t>Running a Python script at a command line can be as simple as:</w:t>
      </w:r>
    </w:p>
    <w:p>
      <w:pPr>
        <w:pStyle w:val="Para 008"/>
      </w:pPr>
      <w:r>
        <w:rPr>
          <w:rStyle w:val="Text48"/>
        </w:rPr>
        <w:t xml:space="preserve"/>
        <w:br w:clear="none"/>
        <w:t xml:space="preserve">$ </w:t>
        <w:br w:clear="none"/>
      </w:r>
      <w:r>
        <w:t xml:space="preserve">python hello.py</w:t>
        <w:br w:clear="none"/>
      </w:r>
      <w:r>
        <w:rPr>
          <w:rStyle w:val="Text48"/>
        </w:rPr>
        <w:t xml:space="preserve"/>
        <w:br w:clear="none"/>
        <w:t xml:space="preserve">Hello World</w:t>
        <w:br w:clear="none"/>
      </w:r>
    </w:p>
    <w:p>
      <w:pPr>
        <w:pStyle w:val="Normal"/>
      </w:pPr>
      <w:r>
        <w:t>You can also explicitly provide the path to the script:</w:t>
      </w:r>
    </w:p>
    <w:p>
      <w:pPr>
        <w:pStyle w:val="Para 008"/>
      </w:pPr>
      <w:r>
        <w:rPr>
          <w:rStyle w:val="Text48"/>
        </w:rPr>
        <w:t xml:space="preserve"/>
        <w:br w:clear="none"/>
        <w:t xml:space="preserve">$ </w:t>
        <w:br w:clear="none"/>
      </w:r>
      <w:r>
        <w:t xml:space="preserve">python ./hello/hello.py</w:t>
        <w:br w:clear="none"/>
      </w:r>
      <w:r>
        <w:rPr>
          <w:rStyle w:val="Text48"/>
        </w:rPr>
        <w:t xml:space="preserve"> Hello World</w:t>
        <w:br w:clear="none"/>
      </w:r>
    </w:p>
    <w:p>
      <w:pPr>
        <w:pStyle w:val="Normal"/>
      </w:pPr>
      <w:r>
        <w:t xml:space="preserve">The filename of the script can be an absolute or relative filepath, and need not have any specific extension (although it is conventional to use a </w:t>
      </w:r>
      <w:r>
        <w:rPr>
          <w:rStyle w:val="Text4"/>
        </w:rPr>
        <w:t>.py</w:t>
      </w:r>
      <w:r>
        <w:t xml:space="preserve"> extension).</w:t>
      </w:r>
    </w:p>
    <w:p>
      <w:pPr>
        <w:pStyle w:val="Normal"/>
      </w:pPr>
      <w:r>
        <w:rPr>
          <w:rStyle w:val="Text3"/>
        </w:rPr>
        <w:t>options</w:t>
      </w:r>
      <w:r>
        <w:t xml:space="preserve"> are case-sensitive short strings, starting with a hyphen, that ask </w:t>
      </w:r>
      <w:r>
        <w:rPr>
          <w:rStyle w:val="Text5"/>
        </w:rPr>
        <w:t>python</w:t>
      </w:r>
      <w:r>
        <w:t xml:space="preserve"> for nondefault behavior. </w:t>
      </w:r>
      <w:r>
        <w:rPr>
          <w:rStyle w:val="Text5"/>
        </w:rPr>
        <w:t>python</w:t>
      </w:r>
      <w:r>
        <w:t xml:space="preserve"> accepts only options that start with a hyphen (</w:t>
      </w:r>
      <w:r>
        <w:rPr>
          <w:rStyle w:val="Text0"/>
        </w:rPr>
        <w:t>-</w:t>
      </w:r>
      <w:r>
        <w:t xml:space="preserve">). The most frequently used options are listed in </w:t>
      </w:r>
      <w:hyperlink w:anchor="Table_2_1__Frequently_used_pytho">
        <w:r>
          <w:rPr>
            <w:rStyle w:val="Text1"/>
          </w:rPr>
          <w:t>Table 2-1</w:t>
        </w:r>
      </w:hyperlink>
      <w:r>
        <w:t xml:space="preserve">. Each option’s description gives the environment variable (if any) that, when set, requests that behavior. Many options have longer versions, starting with two hyphens, as shown by </w:t>
      </w:r>
      <w:r>
        <w:rPr>
          <w:rStyle w:val="Text5"/>
        </w:rPr>
        <w:t>python -h</w:t>
      </w:r>
      <w:r>
        <w:t xml:space="preserve">. For full details, see the </w:t>
      </w:r>
      <w:hyperlink r:id="rId157">
        <w:r>
          <w:rPr>
            <w:rStyle w:val="Text1"/>
          </w:rPr>
          <w:t>online docs</w:t>
        </w:r>
      </w:hyperlink>
      <w:r>
        <w:t>.</w:t>
      </w:r>
    </w:p>
    <w:tbl>
      <w:tblPr>
        <w:tblW w:type="auto" w:w="0"/>
      </w:tblPr>
      <w:tr>
        <w:tc>
          <w:tcPr>
            <w:tcW w:type="auto" w:w="0"/>
            <w:tcMar>
              <w:left w:type="dxa" w:w="200"/>
              <w:top w:type="dxa" w:w="200"/>
              <w:right w:type="dxa" w:w="200"/>
              <w:bottom w:type="dxa" w:w="200"/>
            </w:tcMar>
            <w:vAlign w:val="center"/>
          </w:tcPr>
          <w:p>
            <w:bookmarkStart w:id="226" w:name="Table_2_1__Frequently_used_pytho"/>
            <w:pPr>
              <w:pStyle w:val="Para 011"/>
            </w:pPr>
            <w:r>
              <w:rPr>
                <w:rStyle w:val="Text117"/>
              </w:rPr>
              <w:t/>
            </w:r>
            <w:r>
              <w:t xml:space="preserve">Table 2-1. </w:t>
              <w:t xml:space="preserve">Frequently used </w:t>
            </w:r>
            <w:r>
              <w:rPr>
                <w:rStyle w:val="Text0"/>
              </w:rPr>
              <w:t>python</w:t>
            </w:r>
            <w:r>
              <w:t xml:space="preserve"> command-line options</w:t>
            </w:r>
            <w:bookmarkEnd w:id="226"/>
          </w:p>
          <w:p>
            <w:pPr>
              <w:pStyle w:val="Para 013"/>
            </w:pPr>
            <w:r>
              <w:t>Option</w:t>
            </w:r>
          </w:p>
        </w:tc>
        <w:tc>
          <w:tcPr>
            <w:tcW w:type="auto" w:w="0"/>
            <w:tcMar>
              <w:left w:type="dxa" w:w="200"/>
              <w:top w:type="dxa" w:w="200"/>
              <w:right w:type="dxa" w:w="200"/>
              <w:bottom w:type="dxa" w:w="200"/>
            </w:tcMar>
            <w:vAlign w:val="center"/>
          </w:tcPr>
          <w:p>
            <w:pPr>
              <w:pStyle w:val="Para 013"/>
            </w:pPr>
            <w:r>
              <w:t>Meaning (and corresponding environment variable, if any)</w:t>
            </w:r>
          </w:p>
        </w:tc>
      </w:tr>
    </w:tbl>
    <w:tbl>
      <w:tblPr>
        <w:tblW w:type="auto" w:w="0"/>
      </w:tblPr>
      <w:tr>
        <w:tc>
          <w:tcPr>
            <w:tcW w:type="auto" w:w="0"/>
            <w:tcMar>
              <w:left w:type="dxa" w:w="200"/>
              <w:top w:type="dxa" w:w="200"/>
              <w:right w:type="dxa" w:w="200"/>
              <w:bottom w:type="dxa" w:w="200"/>
            </w:tcMar>
          </w:tcPr>
          <w:p>
            <w:pPr>
              <w:pStyle w:val="Para 021"/>
            </w:pPr>
            <w:r>
              <w:t>-B</w:t>
            </w:r>
          </w:p>
        </w:tc>
        <w:tc>
          <w:tcPr>
            <w:tcW w:type="auto" w:w="0"/>
            <w:tcMar>
              <w:left w:type="dxa" w:w="200"/>
              <w:top w:type="dxa" w:w="200"/>
              <w:right w:type="dxa" w:w="200"/>
              <w:bottom w:type="dxa" w:w="200"/>
            </w:tcMar>
          </w:tcPr>
          <w:p>
            <w:pPr>
              <w:pStyle w:val="Para 002"/>
            </w:pPr>
            <w:r>
              <w:t>Don’t save bytecode files to disk</w:t>
            </w:r>
            <w:r>
              <w:rPr>
                <w:rStyle w:val="Text111"/>
              </w:rPr>
              <w:bookmarkStart w:id="227" w:name="idm45965265825600"/>
              <w:t/>
              <w:bookmarkEnd w:id="227"/>
            </w:r>
            <w:r>
              <w:t xml:space="preserve"> (</w:t>
            </w:r>
            <w:r>
              <w:rPr>
                <w:rStyle w:val="Text0"/>
              </w:rPr>
              <w:t>PYTHONDONTWRITEBYTECODE</w:t>
            </w:r>
            <w:r>
              <w:t>)</w:t>
            </w:r>
          </w:p>
        </w:tc>
      </w:tr>
    </w:tbl>
    <w:tbl>
      <w:tblPr>
        <w:tblW w:type="auto" w:w="0"/>
      </w:tblPr>
      <w:tr>
        <w:tc>
          <w:tcPr>
            <w:tcW w:type="auto" w:w="0"/>
            <w:shd w:val="clear" w:color="auto" w:fill="EEF2F6"/>
            <w:tcMar>
              <w:left w:type="dxa" w:w="200"/>
              <w:top w:type="dxa" w:w="200"/>
              <w:right w:type="dxa" w:w="200"/>
              <w:bottom w:type="dxa" w:w="200"/>
            </w:tcMar>
          </w:tcPr>
          <w:p>
            <w:pPr>
              <w:pStyle w:val="Para 021"/>
            </w:pPr>
            <w:r>
              <w:t>-c</w:t>
            </w:r>
          </w:p>
        </w:tc>
        <w:tc>
          <w:tcPr>
            <w:tcW w:type="auto" w:w="0"/>
            <w:shd w:val="clear" w:color="auto" w:fill="EEF2F6"/>
            <w:tcMar>
              <w:left w:type="dxa" w:w="200"/>
              <w:top w:type="dxa" w:w="200"/>
              <w:right w:type="dxa" w:w="200"/>
              <w:bottom w:type="dxa" w:w="200"/>
            </w:tcMar>
          </w:tcPr>
          <w:p>
            <w:pPr>
              <w:pStyle w:val="Para 002"/>
            </w:pPr>
            <w:r>
              <w:t>Gives Python statements within the command line</w:t>
            </w:r>
          </w:p>
        </w:tc>
      </w:tr>
    </w:tbl>
    <w:tbl>
      <w:tblPr>
        <w:tblW w:type="auto" w:w="0"/>
      </w:tblPr>
      <w:tr>
        <w:tc>
          <w:tcPr>
            <w:tcW w:type="auto" w:w="0"/>
            <w:tcMar>
              <w:left w:type="dxa" w:w="200"/>
              <w:top w:type="dxa" w:w="200"/>
              <w:right w:type="dxa" w:w="200"/>
              <w:bottom w:type="dxa" w:w="200"/>
            </w:tcMar>
          </w:tcPr>
          <w:p>
            <w:pPr>
              <w:pStyle w:val="Para 021"/>
            </w:pPr>
            <w:r>
              <w:t>-E</w:t>
            </w:r>
          </w:p>
        </w:tc>
        <w:tc>
          <w:tcPr>
            <w:tcW w:type="auto" w:w="0"/>
            <w:tcMar>
              <w:left w:type="dxa" w:w="200"/>
              <w:top w:type="dxa" w:w="200"/>
              <w:right w:type="dxa" w:w="200"/>
              <w:bottom w:type="dxa" w:w="200"/>
            </w:tcMar>
          </w:tcPr>
          <w:p>
            <w:pPr>
              <w:pStyle w:val="Para 002"/>
            </w:pPr>
            <w:r>
              <w:t>Ignores all environment variables</w:t>
            </w:r>
          </w:p>
        </w:tc>
      </w:tr>
    </w:tbl>
    <w:tbl>
      <w:tblPr>
        <w:tblW w:type="auto" w:w="0"/>
      </w:tblPr>
      <w:tr>
        <w:tc>
          <w:tcPr>
            <w:tcW w:type="auto" w:w="0"/>
            <w:shd w:val="clear" w:color="auto" w:fill="EEF2F6"/>
            <w:tcMar>
              <w:left w:type="dxa" w:w="200"/>
              <w:top w:type="dxa" w:w="200"/>
              <w:right w:type="dxa" w:w="200"/>
              <w:bottom w:type="dxa" w:w="200"/>
            </w:tcMar>
          </w:tcPr>
          <w:p>
            <w:pPr>
              <w:pStyle w:val="Para 021"/>
            </w:pPr>
            <w:r>
              <w:t>-h</w:t>
            </w:r>
          </w:p>
        </w:tc>
        <w:tc>
          <w:tcPr>
            <w:tcW w:type="auto" w:w="0"/>
            <w:shd w:val="clear" w:color="auto" w:fill="EEF2F6"/>
            <w:tcMar>
              <w:left w:type="dxa" w:w="200"/>
              <w:top w:type="dxa" w:w="200"/>
              <w:right w:type="dxa" w:w="200"/>
              <w:bottom w:type="dxa" w:w="200"/>
            </w:tcMar>
          </w:tcPr>
          <w:p>
            <w:pPr>
              <w:pStyle w:val="Para 002"/>
            </w:pPr>
            <w:r>
              <w:t>Shows the full list of options, then terminates</w:t>
            </w:r>
          </w:p>
        </w:tc>
      </w:tr>
    </w:tbl>
    <w:tbl>
      <w:tblPr>
        <w:tblW w:type="auto" w:w="0"/>
      </w:tblPr>
      <w:tr>
        <w:tc>
          <w:tcPr>
            <w:tcW w:type="auto" w:w="0"/>
            <w:tcMar>
              <w:left w:type="dxa" w:w="200"/>
              <w:top w:type="dxa" w:w="200"/>
              <w:right w:type="dxa" w:w="200"/>
              <w:bottom w:type="dxa" w:w="200"/>
            </w:tcMar>
          </w:tcPr>
          <w:p>
            <w:pPr>
              <w:pStyle w:val="Para 021"/>
            </w:pPr>
            <w:r>
              <w:t>-i</w:t>
            </w:r>
          </w:p>
        </w:tc>
        <w:tc>
          <w:tcPr>
            <w:tcW w:type="auto" w:w="0"/>
            <w:tcMar>
              <w:left w:type="dxa" w:w="200"/>
              <w:top w:type="dxa" w:w="200"/>
              <w:right w:type="dxa" w:w="200"/>
              <w:bottom w:type="dxa" w:w="200"/>
            </w:tcMar>
          </w:tcPr>
          <w:p>
            <w:pPr>
              <w:pStyle w:val="Para 002"/>
            </w:pPr>
            <w:r>
              <w:t>Runs an interactive session after the file or command runs</w:t>
            </w:r>
            <w:r>
              <w:rPr>
                <w:rStyle w:val="Text111"/>
              </w:rPr>
              <w:bookmarkStart w:id="228" w:name="idm45965265815984"/>
              <w:t/>
              <w:bookmarkEnd w:id="228"/>
            </w:r>
            <w:r>
              <w:t xml:space="preserve"> (</w:t>
            </w:r>
            <w:r>
              <w:rPr>
                <w:rStyle w:val="Text0"/>
              </w:rPr>
              <w:t>PYTHONINSPECT</w:t>
            </w:r>
            <w:r>
              <w:t>)</w:t>
            </w:r>
          </w:p>
        </w:tc>
      </w:tr>
    </w:tbl>
    <w:tbl>
      <w:tblPr>
        <w:tblW w:type="auto" w:w="0"/>
      </w:tblPr>
      <w:tr>
        <w:tc>
          <w:tcPr>
            <w:tcW w:type="auto" w:w="0"/>
            <w:shd w:val="clear" w:color="auto" w:fill="EEF2F6"/>
            <w:tcMar>
              <w:left w:type="dxa" w:w="200"/>
              <w:top w:type="dxa" w:w="200"/>
              <w:right w:type="dxa" w:w="200"/>
              <w:bottom w:type="dxa" w:w="200"/>
            </w:tcMar>
          </w:tcPr>
          <w:p>
            <w:pPr>
              <w:pStyle w:val="Para 021"/>
            </w:pPr>
            <w:r>
              <w:t>-m</w:t>
            </w:r>
          </w:p>
        </w:tc>
        <w:tc>
          <w:tcPr>
            <w:tcW w:type="auto" w:w="0"/>
            <w:shd w:val="clear" w:color="auto" w:fill="EEF2F6"/>
            <w:tcMar>
              <w:left w:type="dxa" w:w="200"/>
              <w:top w:type="dxa" w:w="200"/>
              <w:right w:type="dxa" w:w="200"/>
              <w:bottom w:type="dxa" w:w="200"/>
            </w:tcMar>
          </w:tcPr>
          <w:p>
            <w:pPr>
              <w:pStyle w:val="Para 002"/>
            </w:pPr>
            <w:r>
              <w:t>Specifies a Python module to run as the main script</w:t>
            </w:r>
          </w:p>
        </w:tc>
      </w:tr>
    </w:tbl>
    <w:tbl>
      <w:tblPr>
        <w:tblW w:type="auto" w:w="0"/>
      </w:tblPr>
      <w:tr>
        <w:tc>
          <w:tcPr>
            <w:tcW w:type="auto" w:w="0"/>
            <w:tcMar>
              <w:left w:type="dxa" w:w="200"/>
              <w:top w:type="dxa" w:w="200"/>
              <w:right w:type="dxa" w:w="200"/>
              <w:bottom w:type="dxa" w:w="200"/>
            </w:tcMar>
          </w:tcPr>
          <w:p>
            <w:pPr>
              <w:pStyle w:val="Para 021"/>
            </w:pPr>
            <w:r>
              <w:t>-O</w:t>
            </w:r>
          </w:p>
        </w:tc>
        <w:tc>
          <w:tcPr>
            <w:tcW w:type="auto" w:w="0"/>
            <w:tcMar>
              <w:left w:type="dxa" w:w="200"/>
              <w:top w:type="dxa" w:w="200"/>
              <w:right w:type="dxa" w:w="200"/>
              <w:bottom w:type="dxa" w:w="200"/>
            </w:tcMar>
          </w:tcPr>
          <w:p>
            <w:pPr>
              <w:pStyle w:val="Para 002"/>
            </w:pPr>
            <w:r>
              <w:t>Optimizes bytecode</w:t>
            </w:r>
            <w:r>
              <w:rPr>
                <w:rStyle w:val="Text111"/>
              </w:rPr>
              <w:bookmarkStart w:id="229" w:name="idm45965265810048"/>
              <w:t/>
              <w:bookmarkEnd w:id="229"/>
            </w:r>
            <w:r>
              <w:t xml:space="preserve"> (</w:t>
            </w:r>
            <w:r>
              <w:rPr>
                <w:rStyle w:val="Text0"/>
              </w:rPr>
              <w:t>PYTHONOPTIMIZE</w:t>
            </w:r>
            <w:r>
              <w:t xml:space="preserve">)—note that this is an uppercase letter </w:t>
            </w:r>
            <w:r>
              <w:rPr>
                <w:rStyle w:val="Text0"/>
              </w:rPr>
              <w:t>O</w:t>
            </w:r>
            <w:r>
              <w:t xml:space="preserve">, not the digit </w:t>
            </w:r>
            <w:r>
              <w:rPr>
                <w:rStyle w:val="Text0"/>
              </w:rPr>
              <w:t>0</w:t>
            </w:r>
          </w:p>
        </w:tc>
      </w:tr>
    </w:tbl>
    <w:tbl>
      <w:tblPr>
        <w:tblW w:type="auto" w:w="0"/>
      </w:tblPr>
      <w:tr>
        <w:tc>
          <w:tcPr>
            <w:tcW w:type="auto" w:w="0"/>
            <w:shd w:val="clear" w:color="auto" w:fill="EEF2F6"/>
            <w:tcMar>
              <w:left w:type="dxa" w:w="200"/>
              <w:top w:type="dxa" w:w="200"/>
              <w:right w:type="dxa" w:w="200"/>
              <w:bottom w:type="dxa" w:w="200"/>
            </w:tcMar>
          </w:tcPr>
          <w:p>
            <w:pPr>
              <w:pStyle w:val="Para 021"/>
            </w:pPr>
            <w:r>
              <w:t>-OO</w:t>
            </w:r>
          </w:p>
        </w:tc>
        <w:tc>
          <w:tcPr>
            <w:tcW w:type="auto" w:w="0"/>
            <w:shd w:val="clear" w:color="auto" w:fill="EEF2F6"/>
            <w:tcMar>
              <w:left w:type="dxa" w:w="200"/>
              <w:top w:type="dxa" w:w="200"/>
              <w:right w:type="dxa" w:w="200"/>
              <w:bottom w:type="dxa" w:w="200"/>
            </w:tcMar>
          </w:tcPr>
          <w:p>
            <w:pPr>
              <w:pStyle w:val="Para 002"/>
            </w:pPr>
            <w:r>
              <w:t xml:space="preserve">Like </w:t>
            </w:r>
            <w:r>
              <w:rPr>
                <w:rStyle w:val="Text5"/>
              </w:rPr>
              <w:t>-O</w:t>
            </w:r>
            <w:r>
              <w:t>, but also removes docstrings from the bytecode</w:t>
            </w:r>
          </w:p>
        </w:tc>
      </w:tr>
    </w:tbl>
    <w:tbl>
      <w:tblPr>
        <w:tblW w:type="auto" w:w="0"/>
      </w:tblPr>
      <w:tr>
        <w:tc>
          <w:tcPr>
            <w:tcW w:type="auto" w:w="0"/>
            <w:tcMar>
              <w:left w:type="dxa" w:w="200"/>
              <w:top w:type="dxa" w:w="200"/>
              <w:right w:type="dxa" w:w="200"/>
              <w:bottom w:type="dxa" w:w="200"/>
            </w:tcMar>
          </w:tcPr>
          <w:p>
            <w:pPr>
              <w:pStyle w:val="Para 021"/>
            </w:pPr>
            <w:r>
              <w:t>-S</w:t>
            </w:r>
          </w:p>
        </w:tc>
        <w:tc>
          <w:tcPr>
            <w:tcW w:type="auto" w:w="0"/>
            <w:tcMar>
              <w:left w:type="dxa" w:w="200"/>
              <w:top w:type="dxa" w:w="200"/>
              <w:right w:type="dxa" w:w="200"/>
              <w:bottom w:type="dxa" w:w="200"/>
            </w:tcMar>
          </w:tcPr>
          <w:p>
            <w:pPr>
              <w:pStyle w:val="Para 002"/>
            </w:pPr>
            <w:r>
              <w:t xml:space="preserve">Omits the implicit </w:t>
            </w:r>
            <w:r>
              <w:rPr>
                <w:rStyle w:val="Text5"/>
              </w:rPr>
              <w:t>import</w:t>
            </w:r>
            <w:r>
              <w:t xml:space="preserve"> </w:t>
            </w:r>
            <w:r>
              <w:rPr>
                <w:rStyle w:val="Text0"/>
              </w:rPr>
              <w:t>site</w:t>
            </w:r>
            <w:r>
              <w:t xml:space="preserve"> on startup (covered in </w:t>
            </w:r>
            <w:hyperlink w:anchor="Per_Site_Customization__Python_p">
              <w:r>
                <w:rPr>
                  <w:rStyle w:val="Text1"/>
                </w:rPr>
                <w:t>“Per-Site Customization”</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21"/>
            </w:pPr>
            <w:r>
              <w:t>-t</w:t>
            </w:r>
            <w:r>
              <w:rPr>
                <w:rStyle w:val="Text60"/>
              </w:rPr>
              <w:t xml:space="preserve">, </w:t>
            </w:r>
            <w:r>
              <w:t>-tt</w:t>
            </w:r>
          </w:p>
        </w:tc>
        <w:tc>
          <w:tcPr>
            <w:tcW w:type="auto" w:w="0"/>
            <w:shd w:val="clear" w:color="auto" w:fill="EEF2F6"/>
            <w:tcMar>
              <w:left w:type="dxa" w:w="200"/>
              <w:top w:type="dxa" w:w="200"/>
              <w:right w:type="dxa" w:w="200"/>
              <w:bottom w:type="dxa" w:w="200"/>
            </w:tcMar>
          </w:tcPr>
          <w:p>
            <w:pPr>
              <w:pStyle w:val="Para 002"/>
            </w:pPr>
            <w:r>
              <w:t>Issues warnings about inconsistent tab usage (</w:t>
            </w:r>
            <w:r>
              <w:rPr>
                <w:rStyle w:val="Text5"/>
              </w:rPr>
              <w:t>-tt</w:t>
            </w:r>
            <w:r>
              <w:t xml:space="preserve"> issues errors, rather than just warnings, for the same issues)</w:t>
            </w:r>
          </w:p>
        </w:tc>
      </w:tr>
    </w:tbl>
    <w:tbl>
      <w:tblPr>
        <w:tblW w:type="auto" w:w="0"/>
      </w:tblPr>
      <w:tr>
        <w:tc>
          <w:tcPr>
            <w:tcW w:type="auto" w:w="0"/>
            <w:tcMar>
              <w:left w:type="dxa" w:w="200"/>
              <w:top w:type="dxa" w:w="200"/>
              <w:right w:type="dxa" w:w="200"/>
              <w:bottom w:type="dxa" w:w="200"/>
            </w:tcMar>
          </w:tcPr>
          <w:p>
            <w:pPr>
              <w:pStyle w:val="Para 021"/>
            </w:pPr>
            <w:r>
              <w:t>-u</w:t>
            </w:r>
          </w:p>
        </w:tc>
        <w:tc>
          <w:tcPr>
            <w:tcW w:type="auto" w:w="0"/>
            <w:tcMar>
              <w:left w:type="dxa" w:w="200"/>
              <w:top w:type="dxa" w:w="200"/>
              <w:right w:type="dxa" w:w="200"/>
              <w:bottom w:type="dxa" w:w="200"/>
            </w:tcMar>
          </w:tcPr>
          <w:p>
            <w:pPr>
              <w:pStyle w:val="Para 002"/>
            </w:pPr>
            <w:r>
              <w:t>Uses unbuffered binary files for standard output and standard</w:t>
            </w:r>
            <w:r>
              <w:rPr>
                <w:rStyle w:val="Text111"/>
              </w:rPr>
              <w:bookmarkStart w:id="230" w:name="idm45965265793952"/>
              <w:t/>
              <w:bookmarkEnd w:id="230"/>
            </w:r>
            <w:r>
              <w:t xml:space="preserve"> error (</w:t>
            </w:r>
            <w:r>
              <w:rPr>
                <w:rStyle w:val="Text0"/>
              </w:rPr>
              <w:t>PYTHONUNBUFFERED</w:t>
            </w:r>
            <w:r>
              <w:t>)</w:t>
            </w:r>
          </w:p>
        </w:tc>
      </w:tr>
    </w:tbl>
    <w:tbl>
      <w:tblPr>
        <w:tblW w:type="auto" w:w="0"/>
      </w:tblPr>
      <w:tr>
        <w:tc>
          <w:tcPr>
            <w:tcW w:type="auto" w:w="0"/>
            <w:shd w:val="clear" w:color="auto" w:fill="EEF2F6"/>
            <w:tcMar>
              <w:left w:type="dxa" w:w="200"/>
              <w:top w:type="dxa" w:w="200"/>
              <w:right w:type="dxa" w:w="200"/>
              <w:bottom w:type="dxa" w:w="200"/>
            </w:tcMar>
          </w:tcPr>
          <w:p>
            <w:pPr>
              <w:pStyle w:val="Para 021"/>
            </w:pPr>
            <w:r>
              <w:t>-v</w:t>
            </w:r>
          </w:p>
        </w:tc>
        <w:tc>
          <w:tcPr>
            <w:tcW w:type="auto" w:w="0"/>
            <w:shd w:val="clear" w:color="auto" w:fill="EEF2F6"/>
            <w:tcMar>
              <w:left w:type="dxa" w:w="200"/>
              <w:top w:type="dxa" w:w="200"/>
              <w:right w:type="dxa" w:w="200"/>
              <w:bottom w:type="dxa" w:w="200"/>
            </w:tcMar>
          </w:tcPr>
          <w:p>
            <w:pPr>
              <w:pStyle w:val="Para 002"/>
            </w:pPr>
            <w:r>
              <w:t>Verbosely traces module import and cleanup actions</w:t>
            </w:r>
            <w:r>
              <w:rPr>
                <w:rStyle w:val="Text111"/>
              </w:rPr>
              <w:bookmarkStart w:id="231" w:name="idm45965265789792"/>
              <w:t/>
              <w:bookmarkEnd w:id="231"/>
            </w:r>
            <w:r>
              <w:t xml:space="preserve"> (</w:t>
            </w:r>
            <w:r>
              <w:rPr>
                <w:rStyle w:val="Text0"/>
              </w:rPr>
              <w:t>PYTHONVERBOSE</w:t>
            </w:r>
            <w:r>
              <w:t>)</w:t>
            </w:r>
          </w:p>
        </w:tc>
      </w:tr>
    </w:tbl>
    <w:tbl>
      <w:tblPr>
        <w:tblW w:type="auto" w:w="0"/>
      </w:tblPr>
      <w:tr>
        <w:tc>
          <w:tcPr>
            <w:tcW w:type="auto" w:w="0"/>
            <w:tcMar>
              <w:left w:type="dxa" w:w="200"/>
              <w:top w:type="dxa" w:w="200"/>
              <w:right w:type="dxa" w:w="200"/>
              <w:bottom w:type="dxa" w:w="200"/>
            </w:tcMar>
          </w:tcPr>
          <w:p>
            <w:pPr>
              <w:pStyle w:val="Para 021"/>
            </w:pPr>
            <w:r>
              <w:t>-V</w:t>
            </w:r>
          </w:p>
        </w:tc>
        <w:tc>
          <w:tcPr>
            <w:tcW w:type="auto" w:w="0"/>
            <w:tcMar>
              <w:left w:type="dxa" w:w="200"/>
              <w:top w:type="dxa" w:w="200"/>
              <w:right w:type="dxa" w:w="200"/>
              <w:bottom w:type="dxa" w:w="200"/>
            </w:tcMar>
          </w:tcPr>
          <w:p>
            <w:pPr>
              <w:pStyle w:val="Para 002"/>
            </w:pPr>
            <w:r>
              <w:t>Prints the Python version number, then terminates</w:t>
            </w:r>
          </w:p>
        </w:tc>
      </w:tr>
    </w:tbl>
    <w:tbl>
      <w:tblPr>
        <w:tblW w:type="auto" w:w="0"/>
      </w:tblPr>
      <w:tr>
        <w:tc>
          <w:tcPr>
            <w:tcW w:type="auto" w:w="0"/>
            <w:shd w:val="clear" w:color="auto" w:fill="EEF2F6"/>
            <w:tcMar>
              <w:left w:type="dxa" w:w="200"/>
              <w:top w:type="dxa" w:w="200"/>
              <w:right w:type="dxa" w:w="200"/>
              <w:bottom w:type="dxa" w:w="200"/>
            </w:tcMar>
          </w:tcPr>
          <w:p>
            <w:pPr>
              <w:pStyle w:val="Para 021"/>
            </w:pPr>
            <w:r>
              <w:t>-W arg</w:t>
            </w:r>
          </w:p>
        </w:tc>
        <w:tc>
          <w:tcPr>
            <w:tcW w:type="auto" w:w="0"/>
            <w:shd w:val="clear" w:color="auto" w:fill="EEF2F6"/>
            <w:tcMar>
              <w:left w:type="dxa" w:w="200"/>
              <w:top w:type="dxa" w:w="200"/>
              <w:right w:type="dxa" w:w="200"/>
              <w:bottom w:type="dxa" w:w="200"/>
            </w:tcMar>
          </w:tcPr>
          <w:p>
            <w:pPr>
              <w:pStyle w:val="Para 002"/>
            </w:pPr>
            <w:r>
              <w:t xml:space="preserve">Adds an entry to the warnings filter (see </w:t>
            </w:r>
            <w:hyperlink w:anchor="The_warnings_Module__Warnings_ar">
              <w:r>
                <w:rPr>
                  <w:rStyle w:val="Text1"/>
                </w:rPr>
                <w:t>“The warnings Module”</w:t>
              </w:r>
            </w:hyperlink>
            <w:r>
              <w:t>)</w:t>
            </w:r>
          </w:p>
        </w:tc>
      </w:tr>
    </w:tbl>
    <w:tbl>
      <w:tblPr>
        <w:tblW w:type="auto" w:w="0"/>
      </w:tblPr>
      <w:tr>
        <w:tc>
          <w:tcPr>
            <w:tcW w:type="auto" w:w="0"/>
            <w:tcMar>
              <w:left w:type="dxa" w:w="200"/>
              <w:top w:type="dxa" w:w="200"/>
              <w:right w:type="dxa" w:w="200"/>
              <w:bottom w:type="dxa" w:w="200"/>
            </w:tcMar>
          </w:tcPr>
          <w:p>
            <w:pPr>
              <w:pStyle w:val="Para 021"/>
            </w:pPr>
            <w:r>
              <w:t>-x</w:t>
            </w:r>
          </w:p>
        </w:tc>
        <w:tc>
          <w:tcPr>
            <w:tcW w:type="auto" w:w="0"/>
            <w:tcMar>
              <w:left w:type="dxa" w:w="200"/>
              <w:top w:type="dxa" w:w="200"/>
              <w:right w:type="dxa" w:w="200"/>
              <w:bottom w:type="dxa" w:w="200"/>
            </w:tcMar>
          </w:tcPr>
          <w:p>
            <w:pPr>
              <w:pStyle w:val="Para 002"/>
            </w:pPr>
            <w:r>
              <w:t>Excludes (skips) the first line of the script’s source</w:t>
            </w:r>
          </w:p>
        </w:tc>
      </w:tr>
    </w:tbl>
    <w:p>
      <w:pPr>
        <w:pStyle w:val="Normal"/>
      </w:pPr>
      <w:r>
        <w:t xml:space="preserve">Use </w:t>
      </w:r>
      <w:r>
        <w:rPr>
          <w:rStyle w:val="Text5"/>
        </w:rPr>
        <w:t>-i</w:t>
      </w:r>
      <w:r>
        <w:t xml:space="preserve"> when you want to get an interactive session immediately after running some script, with top-level variables still intact and available for inspection. You do not need </w:t>
      </w:r>
      <w:r>
        <w:rPr>
          <w:rStyle w:val="Text5"/>
        </w:rPr>
        <w:t>-i</w:t>
      </w:r>
      <w:r>
        <w:t xml:space="preserve"> for normal interactive sessions, though it does no harm.</w:t>
      </w:r>
    </w:p>
    <w:p>
      <w:pPr>
        <w:pStyle w:val="Normal"/>
      </w:pPr>
      <w:r>
        <w:rPr>
          <w:rStyle w:val="Text5"/>
        </w:rPr>
        <w:t>-O</w:t>
      </w:r>
      <w:r>
        <w:t xml:space="preserve"> and </w:t>
      </w:r>
      <w:r>
        <w:rPr>
          <w:rStyle w:val="Text5"/>
        </w:rPr>
        <w:t>-OO</w:t>
      </w:r>
      <w:r>
        <w:t xml:space="preserve"> yield small savings of time and space in bytecode generated for modules you import, turning </w:t>
      </w:r>
      <w:r>
        <w:rPr>
          <w:rStyle w:val="Text5"/>
        </w:rPr>
        <w:t>assert</w:t>
      </w:r>
      <w:r>
        <w:t xml:space="preserve"> statements into no-operations, as covered in </w:t>
      </w:r>
      <w:hyperlink w:anchor="The_assert_Statement__The_assert">
        <w:r>
          <w:rPr>
            <w:rStyle w:val="Text1"/>
          </w:rPr>
          <w:t>“The assert Statement”</w:t>
        </w:r>
      </w:hyperlink>
      <w:r>
        <w:t xml:space="preserve">. </w:t>
      </w:r>
      <w:r>
        <w:rPr>
          <w:rStyle w:val="Text5"/>
        </w:rPr>
        <w:t>-OO</w:t>
      </w:r>
      <w:r>
        <w:t xml:space="preserve"> also discards documentation strings.</w:t>
      </w:r>
      <w:hyperlink w:anchor="2_This_may_affect_code_that_pars">
        <w:r>
          <w:rPr>
            <w:rStyle w:val="Text41"/>
          </w:rPr>
          <w:bookmarkStart w:id="232" w:name="2_2"/>
          <w:t>2</w:t>
          <w:bookmarkEnd w:id="232"/>
        </w:r>
      </w:hyperlink>
    </w:p>
    <w:p>
      <w:pPr>
        <w:pStyle w:val="Normal"/>
      </w:pPr>
      <w:r>
        <w:t xml:space="preserve">After the options, if any, tell Python which script to run by adding the filepath to that script. Instead of a filepath, you can use </w:t>
      </w:r>
      <w:r>
        <w:rPr>
          <w:rStyle w:val="Text5"/>
        </w:rPr>
        <w:t>-c</w:t>
      </w:r>
      <w:r>
        <w:t xml:space="preserve"> </w:t>
      </w:r>
      <w:r>
        <w:rPr>
          <w:rStyle w:val="Text3"/>
        </w:rPr>
        <w:t>command</w:t>
      </w:r>
      <w:r>
        <w:t xml:space="preserve"> to execute a Python code string command. A </w:t>
      </w:r>
      <w:r>
        <w:rPr>
          <w:rStyle w:val="Text3"/>
        </w:rPr>
        <w:t>command</w:t>
      </w:r>
      <w:r>
        <w:t xml:space="preserve"> normally contains spaces, so you’ll need to add quotes around it to satisfy your operating system’s shell or command-line processor. Some shells (e.g., </w:t>
      </w:r>
      <w:hyperlink r:id="rId158">
        <w:r>
          <w:rPr>
            <w:rStyle w:val="Text103"/>
          </w:rPr>
          <w:t>bash</w:t>
        </w:r>
      </w:hyperlink>
      <w:r>
        <w:t xml:space="preserve">) let you enter multiple lines as a single argument, so that </w:t>
      </w:r>
      <w:r>
        <w:rPr>
          <w:rStyle w:val="Text3"/>
        </w:rPr>
        <w:t>command</w:t>
      </w:r>
      <w:r>
        <w:t xml:space="preserve"> can be a series of Python statements. Other shells (e.g., Windows shells) limit you to a single line; </w:t>
      </w:r>
      <w:r>
        <w:rPr>
          <w:rStyle w:val="Text3"/>
        </w:rPr>
        <w:t>command</w:t>
      </w:r>
      <w:r>
        <w:t xml:space="preserve"> can then be one or more simple statements separated by semicolons (</w:t>
      </w:r>
      <w:r>
        <w:rPr>
          <w:rStyle w:val="Text0"/>
        </w:rPr>
        <w:t>;</w:t>
      </w:r>
      <w:r>
        <w:t xml:space="preserve">), as we discuss in </w:t>
      </w:r>
      <w:hyperlink w:anchor="Statements__You_can_look_at_a_Py">
        <w:r>
          <w:rPr>
            <w:rStyle w:val="Text1"/>
          </w:rPr>
          <w:t>“Statements”</w:t>
        </w:r>
      </w:hyperlink>
      <w:r>
        <w:t>.</w:t>
      </w:r>
    </w:p>
    <w:p>
      <w:pPr>
        <w:pStyle w:val="Normal"/>
      </w:pPr>
      <w:r>
        <w:t xml:space="preserve">Another way to specify which Python script to run is with </w:t>
      </w:r>
      <w:r>
        <w:rPr>
          <w:rStyle w:val="Text5"/>
        </w:rPr>
        <w:t>-m</w:t>
      </w:r>
      <w:r>
        <w:t xml:space="preserve"> </w:t>
      </w:r>
      <w:r>
        <w:rPr>
          <w:rStyle w:val="Text3"/>
        </w:rPr>
        <w:t>module</w:t>
      </w:r>
      <w:r>
        <w:t xml:space="preserve">. This option tells Python to load and run a module named </w:t>
      </w:r>
      <w:r>
        <w:rPr>
          <w:rStyle w:val="Text40"/>
        </w:rPr>
        <w:t>module</w:t>
      </w:r>
      <w:r>
        <w:t xml:space="preserve"> (or the </w:t>
      </w:r>
      <w:r>
        <w:rPr>
          <w:rStyle w:val="Text4"/>
        </w:rPr>
        <w:t>__main__.py</w:t>
      </w:r>
      <w:r>
        <w:t xml:space="preserve"> member of a package or ZIP file named </w:t>
      </w:r>
      <w:r>
        <w:rPr>
          <w:rStyle w:val="Text3"/>
        </w:rPr>
        <w:t>module</w:t>
      </w:r>
      <w:r>
        <w:t xml:space="preserve">) from some directory that is part of Python’s </w:t>
      </w:r>
      <w:r>
        <w:rPr>
          <w:rStyle w:val="Text0"/>
        </w:rPr>
        <w:t>sys.path</w:t>
      </w:r>
      <w:r>
        <w:t xml:space="preserve">; this is useful with several modules from Python’s standard library. For example, as covered in </w:t>
      </w:r>
      <w:hyperlink w:anchor="The_timeit_module__The_standard">
        <w:r>
          <w:rPr>
            <w:rStyle w:val="Text1"/>
          </w:rPr>
          <w:t>“The timeit module”</w:t>
        </w:r>
      </w:hyperlink>
      <w:r>
        <w:t xml:space="preserve">, </w:t>
      </w:r>
      <w:r>
        <w:rPr>
          <w:rStyle w:val="Text5"/>
        </w:rPr>
        <w:t>-m timeit</w:t>
      </w:r>
      <w:r>
        <w:t xml:space="preserve"> is often the best way to perform micro-benchmarking of Python statements.</w:t>
      </w:r>
    </w:p>
    <w:p>
      <w:pPr>
        <w:pStyle w:val="Normal"/>
      </w:pPr>
      <w:r>
        <w:t>A hyphen (</w:t>
      </w:r>
      <w:r>
        <w:rPr>
          <w:rStyle w:val="Text5"/>
        </w:rPr>
        <w:t>-</w:t>
      </w:r>
      <w:r>
        <w:t xml:space="preserve">), or the lack of any token in this position, tells the interpreter to read the program source from standard input—normally, an interactive session. You need a hyphen only if further arguments follow. </w:t>
      </w:r>
      <w:r>
        <w:rPr>
          <w:rStyle w:val="Text4"/>
        </w:rPr>
        <w:t>args</w:t>
      </w:r>
      <w:r>
        <w:t xml:space="preserve"> are arbitrary strings; the Python you run can access these strings as items of the list </w:t>
      </w:r>
      <w:r>
        <w:rPr>
          <w:rStyle w:val="Text0"/>
        </w:rPr>
        <w:t>sys.argv</w:t>
      </w:r>
      <w:r>
        <w:t>.</w:t>
      </w:r>
    </w:p>
    <w:p>
      <w:pPr>
        <w:pStyle w:val="Normal"/>
      </w:pPr>
      <w:r>
        <w:t>For example, enter the following at a command prompt to have Python show the current date and time:</w:t>
      </w:r>
    </w:p>
    <w:p>
      <w:pPr>
        <w:pStyle w:val="Para 008"/>
      </w:pPr>
      <w:r>
        <w:rPr>
          <w:rStyle w:val="Text48"/>
        </w:rPr>
        <w:t xml:space="preserve"/>
        <w:br w:clear="none"/>
        <w:t xml:space="preserve">$ </w:t>
        <w:br w:clear="none"/>
      </w:r>
      <w:r>
        <w:t xml:space="preserve">python -c "import time; print(time.asctime())"</w:t>
        <w:br w:clear="none"/>
      </w:r>
    </w:p>
    <w:p>
      <w:pPr>
        <w:pStyle w:val="Normal"/>
      </w:pPr>
      <w:r>
        <w:t xml:space="preserve">You can start the command with just </w:t>
      </w:r>
      <w:r>
        <w:rPr>
          <w:rStyle w:val="Text5"/>
        </w:rPr>
        <w:t>python</w:t>
      </w:r>
      <w:r>
        <w:t xml:space="preserve"> (you do not have to specify the full path to Python) if the directory of the Python executable is in your </w:t>
      </w:r>
      <w:r>
        <w:rPr>
          <w:rStyle w:val="Text0"/>
        </w:rPr>
        <w:t>PATH</w:t>
      </w:r>
      <w:r>
        <w:t xml:space="preserve"> environment variable. (If you have multiple versions of Python installed, you can specify the version with, for example, </w:t>
      </w:r>
      <w:r>
        <w:rPr>
          <w:rStyle w:val="Text5"/>
        </w:rPr>
        <w:t>python3</w:t>
      </w:r>
      <w:r>
        <w:t xml:space="preserve"> or </w:t>
      </w:r>
      <w:r>
        <w:rPr>
          <w:rStyle w:val="Text5"/>
        </w:rPr>
        <w:t>python3.10</w:t>
      </w:r>
      <w:r>
        <w:t xml:space="preserve">, as appropriate; then, the version used if you just say </w:t>
      </w:r>
      <w:r>
        <w:rPr>
          <w:rStyle w:val="Text5"/>
        </w:rPr>
        <w:t>python</w:t>
      </w:r>
      <w:r>
        <w:t xml:space="preserve"> is the one you installed most recently.)</w:t>
      </w:r>
      <w:r>
        <w:rPr>
          <w:rStyle w:val="Text111"/>
        </w:rPr>
        <w:bookmarkStart w:id="233" w:name="idm45965265747360"/>
        <w:t/>
        <w:bookmarkEnd w:id="233"/>
        <w:bookmarkStart w:id="234" w:name="idm45965265746016"/>
        <w:t/>
        <w:bookmarkEnd w:id="234"/>
      </w:r>
    </w:p>
    <w:p>
      <w:bookmarkStart w:id="235" w:name="The_Windows_py_Launcher__On_Wind"/>
      <w:pPr>
        <w:keepNext/>
        <w:pStyle w:val="Heading 2"/>
      </w:pPr>
      <w:r>
        <w:t>The Windows py Launcher</w:t>
      </w:r>
      <w:bookmarkEnd w:id="235"/>
    </w:p>
    <w:p>
      <w:pPr>
        <w:pStyle w:val="Normal"/>
      </w:pPr>
      <w:r>
        <w:t>On</w:t>
      </w:r>
      <w:r>
        <w:rPr>
          <w:rStyle w:val="Text111"/>
        </w:rPr>
        <w:bookmarkStart w:id="236" w:name="idm45965265743088"/>
        <w:t/>
        <w:bookmarkEnd w:id="236"/>
        <w:bookmarkStart w:id="237" w:name="idm45965265741680"/>
        <w:t/>
        <w:bookmarkEnd w:id="237"/>
        <w:bookmarkStart w:id="238" w:name="idm45965265740304"/>
        <w:t/>
        <w:bookmarkEnd w:id="238"/>
        <w:bookmarkStart w:id="239" w:name="idm45965265739200"/>
        <w:t/>
        <w:bookmarkEnd w:id="239"/>
      </w:r>
      <w:r>
        <w:t xml:space="preserve"> Windows, Python provides the </w:t>
      </w:r>
      <w:r>
        <w:rPr>
          <w:rStyle w:val="Text5"/>
        </w:rPr>
        <w:t>py</w:t>
      </w:r>
      <w:r>
        <w:t xml:space="preserve"> launcher to install and run multiple Python versions on a machine. At the bottom of the installer, you’ll find an option to install the launcher for all users (it’s checked by default). When you have multiple versions, you can select a specific version using </w:t>
      </w:r>
      <w:r>
        <w:rPr>
          <w:rStyle w:val="Text5"/>
        </w:rPr>
        <w:t>py</w:t>
      </w:r>
      <w:r>
        <w:t xml:space="preserve"> followed by a version option instead of the plain </w:t>
      </w:r>
      <w:r>
        <w:rPr>
          <w:rStyle w:val="Text5"/>
        </w:rPr>
        <w:t>python</w:t>
      </w:r>
      <w:r>
        <w:t xml:space="preserve"> command. Common </w:t>
      </w:r>
      <w:r>
        <w:rPr>
          <w:rStyle w:val="Text5"/>
        </w:rPr>
        <w:t>py</w:t>
      </w:r>
      <w:r>
        <w:t xml:space="preserve"> command options are listed in </w:t>
      </w:r>
      <w:hyperlink w:anchor="Table_2_2__Frequently_used_py_co">
        <w:r>
          <w:rPr>
            <w:rStyle w:val="Text1"/>
          </w:rPr>
          <w:t>Table 2-2</w:t>
        </w:r>
      </w:hyperlink>
      <w:r>
        <w:t xml:space="preserve"> (use </w:t>
      </w:r>
      <w:r>
        <w:rPr>
          <w:rStyle w:val="Text5"/>
        </w:rPr>
        <w:t>py -h</w:t>
      </w:r>
      <w:r>
        <w:t xml:space="preserve"> to see all the options).</w:t>
      </w:r>
    </w:p>
    <w:tbl>
      <w:tblPr>
        <w:tblW w:type="auto" w:w="0"/>
      </w:tblPr>
      <w:tr>
        <w:tc>
          <w:tcPr>
            <w:tcW w:type="auto" w:w="0"/>
            <w:tcMar>
              <w:left w:type="dxa" w:w="200"/>
              <w:top w:type="dxa" w:w="200"/>
              <w:right w:type="dxa" w:w="200"/>
              <w:bottom w:type="dxa" w:w="200"/>
            </w:tcMar>
            <w:vAlign w:val="center"/>
          </w:tcPr>
          <w:p>
            <w:bookmarkStart w:id="240" w:name="Table_2_2__Frequently_used_py_co"/>
            <w:pPr>
              <w:pStyle w:val="Para 011"/>
            </w:pPr>
            <w:r>
              <w:rPr>
                <w:rStyle w:val="Text117"/>
              </w:rPr>
              <w:t/>
            </w:r>
            <w:r>
              <w:t xml:space="preserve">Table 2-2. </w:t>
              <w:t xml:space="preserve">Frequently used </w:t>
            </w:r>
            <w:r>
              <w:rPr>
                <w:rStyle w:val="Text0"/>
              </w:rPr>
              <w:t>py</w:t>
            </w:r>
            <w:r>
              <w:t xml:space="preserve"> command-line options</w:t>
            </w:r>
            <w:bookmarkEnd w:id="240"/>
          </w:p>
          <w:p>
            <w:pPr>
              <w:pStyle w:val="Para 013"/>
            </w:pPr>
            <w:r>
              <w:t>Option</w:t>
            </w:r>
          </w:p>
        </w:tc>
        <w:tc>
          <w:tcPr>
            <w:tcW w:type="auto" w:w="0"/>
            <w:tcMar>
              <w:left w:type="dxa" w:w="200"/>
              <w:top w:type="dxa" w:w="200"/>
              <w:right w:type="dxa" w:w="200"/>
              <w:bottom w:type="dxa" w:w="200"/>
            </w:tcMar>
            <w:vAlign w:val="center"/>
          </w:tcPr>
          <w:p>
            <w:pPr>
              <w:pStyle w:val="Para 013"/>
            </w:pPr>
            <w:r>
              <w:t>Meaning</w:t>
            </w:r>
          </w:p>
        </w:tc>
      </w:tr>
    </w:tbl>
    <w:tbl>
      <w:tblPr>
        <w:tblW w:type="auto" w:w="0"/>
      </w:tblPr>
      <w:tr>
        <w:tc>
          <w:tcPr>
            <w:tcW w:type="auto" w:w="0"/>
            <w:tcMar>
              <w:left w:type="dxa" w:w="200"/>
              <w:top w:type="dxa" w:w="200"/>
              <w:right w:type="dxa" w:w="200"/>
              <w:bottom w:type="dxa" w:w="200"/>
            </w:tcMar>
          </w:tcPr>
          <w:p>
            <w:pPr>
              <w:pStyle w:val="Para 021"/>
            </w:pPr>
            <w:r>
              <w:t>-2</w:t>
            </w:r>
          </w:p>
        </w:tc>
        <w:tc>
          <w:tcPr>
            <w:tcW w:type="auto" w:w="0"/>
            <w:tcMar>
              <w:left w:type="dxa" w:w="200"/>
              <w:top w:type="dxa" w:w="200"/>
              <w:right w:type="dxa" w:w="200"/>
              <w:bottom w:type="dxa" w:w="200"/>
            </w:tcMar>
          </w:tcPr>
          <w:p>
            <w:pPr>
              <w:pStyle w:val="Para 002"/>
            </w:pPr>
            <w:r>
              <w:t>Run the latest installed Python 2 version.</w:t>
            </w:r>
          </w:p>
        </w:tc>
      </w:tr>
    </w:tbl>
    <w:tbl>
      <w:tblPr>
        <w:tblW w:type="auto" w:w="0"/>
      </w:tblPr>
      <w:tr>
        <w:tc>
          <w:tcPr>
            <w:tcW w:type="auto" w:w="0"/>
            <w:shd w:val="clear" w:color="auto" w:fill="EEF2F6"/>
            <w:tcMar>
              <w:left w:type="dxa" w:w="200"/>
              <w:top w:type="dxa" w:w="200"/>
              <w:right w:type="dxa" w:w="200"/>
              <w:bottom w:type="dxa" w:w="200"/>
            </w:tcMar>
          </w:tcPr>
          <w:p>
            <w:pPr>
              <w:pStyle w:val="Para 021"/>
            </w:pPr>
            <w:r>
              <w:t>-3</w:t>
            </w:r>
          </w:p>
        </w:tc>
        <w:tc>
          <w:tcPr>
            <w:tcW w:type="auto" w:w="0"/>
            <w:shd w:val="clear" w:color="auto" w:fill="EEF2F6"/>
            <w:tcMar>
              <w:left w:type="dxa" w:w="200"/>
              <w:top w:type="dxa" w:w="200"/>
              <w:right w:type="dxa" w:w="200"/>
              <w:bottom w:type="dxa" w:w="200"/>
            </w:tcMar>
          </w:tcPr>
          <w:p>
            <w:pPr>
              <w:pStyle w:val="Para 002"/>
            </w:pPr>
            <w:r>
              <w:t>Run the latest installed Python 3 version.</w:t>
            </w:r>
          </w:p>
        </w:tc>
      </w:tr>
    </w:tbl>
    <w:tbl>
      <w:tblPr>
        <w:tblW w:type="auto" w:w="0"/>
      </w:tblPr>
      <w:tr>
        <w:tc>
          <w:tcPr>
            <w:tcW w:type="auto" w:w="0"/>
            <w:tcMar>
              <w:left w:type="dxa" w:w="200"/>
              <w:top w:type="dxa" w:w="200"/>
              <w:right w:type="dxa" w:w="200"/>
              <w:bottom w:type="dxa" w:w="200"/>
            </w:tcMar>
          </w:tcPr>
          <w:p>
            <w:pPr>
              <w:pStyle w:val="Para 021"/>
            </w:pPr>
            <w:r>
              <w:t>-3.</w:t>
            </w:r>
            <w:r>
              <w:rPr>
                <w:rStyle w:val="Text79"/>
              </w:rPr>
              <w:t>x</w:t>
            </w:r>
            <w:r>
              <w:rPr>
                <w:rStyle w:val="Text60"/>
              </w:rPr>
              <w:t xml:space="preserve"> or </w:t>
            </w:r>
            <w:r>
              <w:t>-3.</w:t>
            </w:r>
            <w:r>
              <w:rPr>
                <w:rStyle w:val="Text79"/>
              </w:rPr>
              <w:t>x</w:t>
            </w:r>
            <w:r>
              <w:t>-</w:t>
            </w:r>
            <w:r>
              <w:rPr>
                <w:rStyle w:val="Text79"/>
              </w:rPr>
              <w:t>nn</w:t>
            </w:r>
          </w:p>
        </w:tc>
        <w:tc>
          <w:tcPr>
            <w:tcW w:type="auto" w:w="0"/>
            <w:tcMar>
              <w:left w:type="dxa" w:w="200"/>
              <w:top w:type="dxa" w:w="200"/>
              <w:right w:type="dxa" w:w="200"/>
              <w:bottom w:type="dxa" w:w="200"/>
            </w:tcMar>
          </w:tcPr>
          <w:p>
            <w:pPr>
              <w:pStyle w:val="Para 002"/>
            </w:pPr>
            <w:r>
              <w:t xml:space="preserve">Run a specific Python 3 version. When referenced as just </w:t>
            </w:r>
            <w:r>
              <w:rPr>
                <w:rStyle w:val="Text5"/>
              </w:rPr>
              <w:t>-3.10</w:t>
            </w:r>
            <w:r>
              <w:t xml:space="preserve">, uses the 64-bit version, or the 32-bit version if no 64-bit version is available. </w:t>
            </w:r>
            <w:r>
              <w:rPr>
                <w:rStyle w:val="Text5"/>
              </w:rPr>
              <w:t>-3.10-32</w:t>
            </w:r>
            <w:r>
              <w:t xml:space="preserve"> or </w:t>
            </w:r>
            <w:r>
              <w:rPr>
                <w:rStyle w:val="Text5"/>
              </w:rPr>
              <w:t>-3.10-64</w:t>
            </w:r>
            <w:r>
              <w:t xml:space="preserve"> picks a specific build when both are installed.</w:t>
            </w:r>
          </w:p>
        </w:tc>
      </w:tr>
    </w:tbl>
    <w:tbl>
      <w:tblPr>
        <w:tblW w:type="auto" w:w="0"/>
      </w:tblPr>
      <w:tr>
        <w:tc>
          <w:tcPr>
            <w:tcW w:type="auto" w:w="0"/>
            <w:shd w:val="clear" w:color="auto" w:fill="EEF2F6"/>
            <w:tcMar>
              <w:left w:type="dxa" w:w="200"/>
              <w:top w:type="dxa" w:w="200"/>
              <w:right w:type="dxa" w:w="200"/>
              <w:bottom w:type="dxa" w:w="200"/>
            </w:tcMar>
          </w:tcPr>
          <w:p>
            <w:pPr>
              <w:pStyle w:val="Para 021"/>
            </w:pPr>
            <w:r>
              <w:t>-0</w:t>
            </w:r>
            <w:r>
              <w:rPr>
                <w:rStyle w:val="Text60"/>
              </w:rPr>
              <w:t xml:space="preserve"> or </w:t>
            </w:r>
            <w:r>
              <w:t>--list</w:t>
            </w:r>
          </w:p>
        </w:tc>
        <w:tc>
          <w:tcPr>
            <w:tcW w:type="auto" w:w="0"/>
            <w:shd w:val="clear" w:color="auto" w:fill="EEF2F6"/>
            <w:tcMar>
              <w:left w:type="dxa" w:w="200"/>
              <w:top w:type="dxa" w:w="200"/>
              <w:right w:type="dxa" w:w="200"/>
              <w:bottom w:type="dxa" w:w="200"/>
            </w:tcMar>
          </w:tcPr>
          <w:p>
            <w:pPr>
              <w:pStyle w:val="Para 002"/>
            </w:pPr>
            <w:r>
              <w:t xml:space="preserve">List all installed Python versions, including an indication of whether a build is 32- or 64-bit, such as </w:t>
            </w:r>
            <w:r>
              <w:rPr>
                <w:rStyle w:val="Text5"/>
              </w:rPr>
              <w:t>3.10-64</w:t>
            </w:r>
            <w:r>
              <w:t>.</w:t>
            </w:r>
          </w:p>
        </w:tc>
      </w:tr>
    </w:tbl>
    <w:tbl>
      <w:tblPr>
        <w:tblW w:type="auto" w:w="0"/>
      </w:tblPr>
      <w:tr>
        <w:tc>
          <w:tcPr>
            <w:tcW w:type="auto" w:w="0"/>
            <w:tcMar>
              <w:left w:type="dxa" w:w="200"/>
              <w:top w:type="dxa" w:w="200"/>
              <w:right w:type="dxa" w:w="200"/>
              <w:bottom w:type="dxa" w:w="200"/>
            </w:tcMar>
          </w:tcPr>
          <w:p>
            <w:pPr>
              <w:pStyle w:val="Para 021"/>
            </w:pPr>
            <w:r>
              <w:t>-h</w:t>
            </w:r>
          </w:p>
        </w:tc>
        <w:tc>
          <w:tcPr>
            <w:tcW w:type="auto" w:w="0"/>
            <w:tcMar>
              <w:left w:type="dxa" w:w="200"/>
              <w:top w:type="dxa" w:w="200"/>
              <w:right w:type="dxa" w:w="200"/>
              <w:bottom w:type="dxa" w:w="200"/>
            </w:tcMar>
          </w:tcPr>
          <w:p>
            <w:pPr>
              <w:pStyle w:val="Para 002"/>
            </w:pPr>
            <w:r>
              <w:t xml:space="preserve">List all </w:t>
            </w:r>
            <w:r>
              <w:rPr>
                <w:rStyle w:val="Text5"/>
              </w:rPr>
              <w:t>py</w:t>
            </w:r>
            <w:r>
              <w:t xml:space="preserve"> command options, followed by standard Python help.</w:t>
            </w:r>
          </w:p>
        </w:tc>
      </w:tr>
    </w:tbl>
    <w:p>
      <w:pPr>
        <w:pStyle w:val="Normal"/>
      </w:pPr>
      <w:r>
        <w:t xml:space="preserve">If no version option is given, </w:t>
      </w:r>
      <w:r>
        <w:rPr>
          <w:rStyle w:val="Text5"/>
        </w:rPr>
        <w:t>py</w:t>
      </w:r>
      <w:r>
        <w:t xml:space="preserve"> runs the latest installed Python.</w:t>
      </w:r>
    </w:p>
    <w:p>
      <w:pPr>
        <w:pStyle w:val="Normal"/>
      </w:pPr>
      <w:r>
        <w:t>For example, to show the local time using the installed Python 3.9 64-bit version, you can run this command:</w:t>
      </w:r>
    </w:p>
    <w:p>
      <w:pPr>
        <w:pStyle w:val="Para 008"/>
      </w:pPr>
      <w:r>
        <w:rPr>
          <w:rStyle w:val="Text48"/>
        </w:rPr>
        <w:t xml:space="preserve"/>
        <w:br w:clear="none"/>
        <w:t xml:space="preserve">C:\&gt; </w:t>
        <w:br w:clear="none"/>
      </w:r>
      <w:r>
        <w:t xml:space="preserve">py -3.9 -c "import time; print(time.asctime())"</w:t>
        <w:br w:clear="none"/>
      </w:r>
    </w:p>
    <w:p>
      <w:pPr>
        <w:pStyle w:val="Normal"/>
      </w:pPr>
      <w:r>
        <w:t xml:space="preserve">(Typically, there is no need to give a path to </w:t>
      </w:r>
      <w:r>
        <w:rPr>
          <w:rStyle w:val="Text5"/>
        </w:rPr>
        <w:t>py</w:t>
      </w:r>
      <w:r>
        <w:t xml:space="preserve">, since installing Python adds </w:t>
      </w:r>
      <w:r>
        <w:rPr>
          <w:rStyle w:val="Text5"/>
        </w:rPr>
        <w:t>py</w:t>
      </w:r>
      <w:r>
        <w:t xml:space="preserve"> to the system </w:t>
      </w:r>
      <w:r>
        <w:rPr>
          <w:rStyle w:val="Text0"/>
        </w:rPr>
        <w:t>PATH</w:t>
      </w:r>
      <w:r>
        <w:t>.)</w:t>
      </w:r>
    </w:p>
    <w:p>
      <w:bookmarkStart w:id="241" w:name="The_PyPy_Interpreter__PyPy__writ"/>
      <w:pPr>
        <w:keepNext/>
        <w:pStyle w:val="Heading 2"/>
      </w:pPr>
      <w:r>
        <w:t>The PyPy Interpreter</w:t>
      </w:r>
      <w:bookmarkEnd w:id="241"/>
    </w:p>
    <w:p>
      <w:pPr>
        <w:pStyle w:val="Normal"/>
      </w:pPr>
      <w:r>
        <w:rPr>
          <w:rStyle w:val="Text4"/>
        </w:rPr>
        <w:t>PyPy</w:t>
      </w:r>
      <w:r>
        <w:t>, written</w:t>
      </w:r>
      <w:r>
        <w:rPr>
          <w:rStyle w:val="Text111"/>
        </w:rPr>
        <w:bookmarkStart w:id="242" w:name="idm45965265703088"/>
        <w:t/>
        <w:bookmarkEnd w:id="242"/>
        <w:bookmarkStart w:id="243" w:name="idm45965265701680"/>
        <w:t/>
        <w:bookmarkEnd w:id="243"/>
      </w:r>
      <w:r>
        <w:t xml:space="preserve"> in Python, implements its own compiler to generate LLVM intermediate code to run on an LLVM backend. The PyPy project offers some improvements over standard CPython, most notably in the areas of performance and multithreading. (At this writing, PyPy is up-to-date with Python 3.9.)</w:t>
      </w:r>
    </w:p>
    <w:p>
      <w:pPr>
        <w:pStyle w:val="Normal"/>
      </w:pPr>
      <w:r>
        <w:rPr>
          <w:rStyle w:val="Text5"/>
        </w:rPr>
        <w:t>pypy</w:t>
      </w:r>
      <w:r>
        <w:t xml:space="preserve"> may be run similarly to </w:t>
      </w:r>
      <w:r>
        <w:rPr>
          <w:rStyle w:val="Text5"/>
        </w:rPr>
        <w:t>python</w:t>
      </w:r>
      <w:r>
        <w:t>:</w:t>
      </w:r>
    </w:p>
    <w:p>
      <w:pPr>
        <w:pStyle w:val="Para 042"/>
      </w:pPr>
      <w:r>
        <w:rPr>
          <w:rStyle w:val="Text55"/>
        </w:rPr>
        <w:t xml:space="preserve"/>
        <w:br w:clear="none"/>
      </w:r>
      <w:r>
        <w:rPr>
          <w:rStyle w:val="Text40"/>
        </w:rPr>
        <w:t xml:space="preserve">[</w:t>
        <w:br w:clear="none"/>
      </w:r>
      <w:r>
        <w:t xml:space="preserve">path</w:t>
        <w:br w:clear="none"/>
      </w:r>
      <w:r>
        <w:rPr>
          <w:rStyle w:val="Text40"/>
        </w:rPr>
        <w:t xml:space="preserve">]pypy {</w:t>
        <w:br w:clear="none"/>
      </w:r>
      <w:r>
        <w:t xml:space="preserve">options</w:t>
        <w:br w:clear="none"/>
      </w:r>
      <w:r>
        <w:rPr>
          <w:rStyle w:val="Text40"/>
        </w:rPr>
        <w:t xml:space="preserve">} [-c</w:t>
        <w:br w:clear="none"/>
      </w:r>
      <w:r>
        <w:rPr>
          <w:rStyle w:val="Text55"/>
        </w:rPr>
        <w:t xml:space="preserve"> </w:t>
        <w:br w:clear="none"/>
      </w:r>
      <w:r>
        <w:t xml:space="preserve">command</w:t>
        <w:br w:clear="none"/>
      </w:r>
      <w:r>
        <w:rPr>
          <w:rStyle w:val="Text55"/>
        </w:rPr>
        <w:t xml:space="preserve"> </w:t>
        <w:br w:clear="none"/>
      </w:r>
      <w:r>
        <w:rPr>
          <w:rStyle w:val="Text40"/>
        </w:rPr>
        <w:t xml:space="preserve">|</w:t>
        <w:br w:clear="none"/>
      </w:r>
      <w:r>
        <w:rPr>
          <w:rStyle w:val="Text55"/>
        </w:rPr>
        <w:t xml:space="preserve"> </w:t>
        <w:br w:clear="none"/>
      </w:r>
      <w:r>
        <w:t xml:space="preserve">file</w:t>
        <w:br w:clear="none"/>
      </w:r>
      <w:r>
        <w:rPr>
          <w:rStyle w:val="Text55"/>
        </w:rPr>
        <w:t xml:space="preserve"> </w:t>
        <w:br w:clear="none"/>
      </w:r>
      <w:r>
        <w:rPr>
          <w:rStyle w:val="Text40"/>
        </w:rPr>
        <w:t xml:space="preserve">| - ] {</w:t>
        <w:br w:clear="none"/>
      </w:r>
      <w:r>
        <w:t xml:space="preserve">args</w:t>
        <w:br w:clear="none"/>
      </w:r>
      <w:r>
        <w:rPr>
          <w:rStyle w:val="Text40"/>
        </w:rPr>
        <w:t xml:space="preserve">}</w:t>
        <w:br w:clear="none"/>
      </w:r>
    </w:p>
    <w:p>
      <w:pPr>
        <w:pStyle w:val="Normal"/>
      </w:pPr>
      <w:r>
        <w:t xml:space="preserve">See the PyPy </w:t>
      </w:r>
      <w:hyperlink r:id="rId159">
        <w:r>
          <w:rPr>
            <w:rStyle w:val="Text1"/>
          </w:rPr>
          <w:t>home page</w:t>
        </w:r>
      </w:hyperlink>
      <w:r>
        <w:t xml:space="preserve"> for installation instructions and complete up-to-date information.</w:t>
      </w:r>
    </w:p>
    <w:p>
      <w:bookmarkStart w:id="244" w:name="Interactive_Sessions__When_you_r"/>
      <w:pPr>
        <w:keepNext/>
        <w:pStyle w:val="Heading 2"/>
      </w:pPr>
      <w:r>
        <w:t>Interactive Sessions</w:t>
      </w:r>
      <w:bookmarkEnd w:id="244"/>
    </w:p>
    <w:p>
      <w:pPr>
        <w:pStyle w:val="Normal"/>
      </w:pPr>
      <w:r>
        <w:t>When</w:t>
      </w:r>
      <w:r>
        <w:rPr>
          <w:rStyle w:val="Text111"/>
        </w:rPr>
        <w:bookmarkStart w:id="245" w:name="idm45965265690816"/>
        <w:t/>
        <w:bookmarkEnd w:id="245"/>
        <w:bookmarkStart w:id="246" w:name="intses02"/>
        <w:t/>
        <w:bookmarkEnd w:id="246"/>
      </w:r>
      <w:r>
        <w:t xml:space="preserve"> you run </w:t>
      </w:r>
      <w:r>
        <w:rPr>
          <w:rStyle w:val="Text5"/>
        </w:rPr>
        <w:t>python</w:t>
      </w:r>
      <w:r>
        <w:t xml:space="preserve"> without a script argument, Python starts an interactive session and prompts you to enter Python statements or expressions. Interactive sessions are useful to explore, to check things out, and to use Python as a powerful, extensible interactive calculator. (Jupyter Notebook, discussed briefly at the end of this chapter, is like a “Python on steroids” specifically for interactive session usage.) This mode is often referred to as a </w:t>
      </w:r>
      <w:r>
        <w:rPr>
          <w:rStyle w:val="Text4"/>
        </w:rPr>
        <w:t>REPL</w:t>
      </w:r>
      <w:r>
        <w:t>, or read–evaluate–print loop, since that’s pretty much what the interpreter then does.</w:t>
      </w:r>
    </w:p>
    <w:p>
      <w:pPr>
        <w:pStyle w:val="Normal"/>
      </w:pPr>
      <w:r>
        <w:t xml:space="preserve">When you enter a complete statement, Python executes it. When you enter a complete expression, Python evaluates it. If the expression has a result, Python outputs a string representing the result and also assigns the result to the variable named </w:t>
      </w:r>
      <w:r>
        <w:rPr>
          <w:rStyle w:val="Text0"/>
        </w:rPr>
        <w:t>_</w:t>
      </w:r>
      <w:r>
        <w:t xml:space="preserve"> (a single underscore) so that you can immediately use that result in another expression. The</w:t>
      </w:r>
      <w:r>
        <w:rPr>
          <w:rStyle w:val="Text111"/>
        </w:rPr>
        <w:bookmarkStart w:id="247" w:name="idm45965278341696"/>
        <w:t/>
        <w:bookmarkEnd w:id="247"/>
        <w:bookmarkStart w:id="248" w:name="idm45965278340592"/>
        <w:t/>
        <w:bookmarkEnd w:id="248"/>
      </w:r>
      <w:r>
        <w:t xml:space="preserve"> prompt string is </w:t>
      </w:r>
      <w:r>
        <w:rPr>
          <w:rStyle w:val="Text0"/>
        </w:rPr>
        <w:t>&gt;&gt;&gt;</w:t>
      </w:r>
      <w:r>
        <w:t xml:space="preserve"> when Python expects a statement or expression, and</w:t>
      </w:r>
      <w:r>
        <w:rPr>
          <w:rStyle w:val="Text111"/>
        </w:rPr>
        <w:bookmarkStart w:id="249" w:name="idm45965278338640"/>
        <w:t/>
        <w:bookmarkEnd w:id="249"/>
        <w:bookmarkStart w:id="250" w:name="idm45965278337536"/>
        <w:t/>
        <w:bookmarkEnd w:id="250"/>
      </w:r>
      <w:r>
        <w:t xml:space="preserve"> </w:t>
      </w:r>
      <w:r>
        <w:rPr>
          <w:rStyle w:val="Text0"/>
        </w:rPr>
        <w:t>...</w:t>
      </w:r>
      <w:r>
        <w:t xml:space="preserve"> when a statement or expression has been started but not completed. In particular, Python prompts with </w:t>
      </w:r>
      <w:r>
        <w:rPr>
          <w:rStyle w:val="Text0"/>
        </w:rPr>
        <w:t>...</w:t>
      </w:r>
      <w:r>
        <w:t xml:space="preserve"> when you have opened a parenthesis, bracket, or brace on a previous line and haven’t closed it yet.</w:t>
      </w:r>
    </w:p>
    <w:p>
      <w:pPr>
        <w:pStyle w:val="Normal"/>
      </w:pPr>
      <w:r>
        <w:t>While</w:t>
      </w:r>
      <w:r>
        <w:rPr>
          <w:rStyle w:val="Text111"/>
        </w:rPr>
        <w:bookmarkStart w:id="251" w:name="idm45965278334160"/>
        <w:t/>
        <w:bookmarkEnd w:id="251"/>
      </w:r>
      <w:r>
        <w:t xml:space="preserve"> working in the interactive Python environment, you can use the built-in </w:t>
      </w:r>
      <w:r>
        <w:rPr>
          <w:rStyle w:val="Text5"/>
        </w:rPr>
        <w:t>help()</w:t>
      </w:r>
      <w:r>
        <w:t xml:space="preserve"> function to drop into a help utility that offers useful information about Python’s keywords and operators, installed modules, and general topics. When paging through a long help description, press </w:t>
      </w:r>
      <w:r>
        <w:rPr>
          <w:rStyle w:val="Text5"/>
        </w:rPr>
        <w:t>q</w:t>
      </w:r>
      <w:r>
        <w:t xml:space="preserve"> to return to the </w:t>
      </w:r>
      <w:r>
        <w:rPr>
          <w:rStyle w:val="Text0"/>
        </w:rPr>
        <w:t>help&gt;</w:t>
      </w:r>
      <w:r>
        <w:t xml:space="preserve"> prompt. To exit the utility and return to the Python </w:t>
      </w:r>
      <w:r>
        <w:rPr>
          <w:rStyle w:val="Text0"/>
        </w:rPr>
        <w:t>&gt;&gt;&gt;</w:t>
      </w:r>
      <w:r>
        <w:t xml:space="preserve"> prompt, type </w:t>
      </w:r>
      <w:r>
        <w:rPr>
          <w:rStyle w:val="Text5"/>
        </w:rPr>
        <w:t>quit</w:t>
      </w:r>
      <w:r>
        <w:t xml:space="preserve">. You can also get help on specific objects at the Python prompt without entering the help utility by typing </w:t>
      </w:r>
      <w:r>
        <w:rPr>
          <w:rStyle w:val="Text5"/>
        </w:rPr>
        <w:t>help(</w:t>
      </w:r>
      <w:r>
        <w:rPr>
          <w:rStyle w:val="Text3"/>
        </w:rPr>
        <w:t>obj</w:t>
      </w:r>
      <w:r>
        <w:rPr>
          <w:rStyle w:val="Text5"/>
        </w:rPr>
        <w:t>)</w:t>
      </w:r>
      <w:r>
        <w:t xml:space="preserve">, where </w:t>
      </w:r>
      <w:r>
        <w:rPr>
          <w:rStyle w:val="Text3"/>
        </w:rPr>
        <w:t>obj</w:t>
      </w:r>
      <w:r>
        <w:t xml:space="preserve"> is the program object you want more help with.</w:t>
      </w:r>
    </w:p>
    <w:p>
      <w:pPr>
        <w:pStyle w:val="Normal"/>
      </w:pPr>
      <w:r>
        <w:t>There are several ways you can end an interactive session. The most common are:</w:t>
      </w:r>
    </w:p>
    <w:p>
      <w:pPr>
        <w:pStyle w:val="Para 010"/>
      </w:pPr>
      <w:r>
        <w:t>Enter the end-of-file keystroke for your OS (Ctrl-Z on Windows, Ctrl-D on Unix-like systems).</w:t>
      </w:r>
    </w:p>
    <w:p>
      <w:pPr>
        <w:pStyle w:val="Para 010"/>
      </w:pPr>
      <w:r>
        <w:t xml:space="preserve">Execute either of the built-in functions </w:t>
      </w:r>
      <w:r>
        <w:rPr>
          <w:rStyle w:val="Text0"/>
        </w:rPr>
        <w:t>quit</w:t>
      </w:r>
      <w:r>
        <w:t xml:space="preserve"> or </w:t>
      </w:r>
      <w:r>
        <w:rPr>
          <w:rStyle w:val="Text0"/>
        </w:rPr>
        <w:t>exit</w:t>
      </w:r>
      <w:r>
        <w:t xml:space="preserve">, using the form </w:t>
      </w:r>
      <w:r>
        <w:rPr>
          <w:rStyle w:val="Text0"/>
        </w:rPr>
        <w:t>quit()</w:t>
      </w:r>
      <w:r>
        <w:t xml:space="preserve"> or </w:t>
      </w:r>
      <w:r>
        <w:rPr>
          <w:rStyle w:val="Text0"/>
        </w:rPr>
        <w:t>exit()</w:t>
      </w:r>
      <w:r>
        <w:t xml:space="preserve">. (Omitting the trailing </w:t>
      </w:r>
      <w:r>
        <w:rPr>
          <w:rStyle w:val="Text0"/>
        </w:rPr>
        <w:t>()</w:t>
      </w:r>
      <w:r>
        <w:t xml:space="preserve"> will display a message like “Use quit() or Ctrl-D (i.e., EOF) to exit,” but will still leave you in the interpreter.)</w:t>
      </w:r>
    </w:p>
    <w:p>
      <w:pPr>
        <w:pStyle w:val="Para 010"/>
      </w:pPr>
      <w:r>
        <w:t xml:space="preserve">Execute the statement </w:t>
      </w:r>
      <w:r>
        <w:rPr>
          <w:rStyle w:val="Text5"/>
        </w:rPr>
        <w:t>raise</w:t>
      </w:r>
      <w:r>
        <w:t xml:space="preserve"> </w:t>
      </w:r>
      <w:r>
        <w:rPr>
          <w:rStyle w:val="Text0"/>
        </w:rPr>
        <w:t>SystemExit</w:t>
      </w:r>
      <w:r>
        <w:t xml:space="preserve">, or call </w:t>
      </w:r>
      <w:r>
        <w:rPr>
          <w:rStyle w:val="Text0"/>
        </w:rPr>
        <w:t>sys.exit()</w:t>
      </w:r>
      <w:r>
        <w:t xml:space="preserve"> (we cover </w:t>
      </w:r>
      <w:r>
        <w:rPr>
          <w:rStyle w:val="Text0"/>
        </w:rPr>
        <w:t>SystemExit</w:t>
      </w:r>
      <w:r>
        <w:t xml:space="preserve"> and </w:t>
      </w:r>
      <w:r>
        <w:rPr>
          <w:rStyle w:val="Text5"/>
        </w:rPr>
        <w:t>raise</w:t>
      </w:r>
      <w:r>
        <w:t xml:space="preserve"> in </w:t>
      </w:r>
      <w:hyperlink w:anchor="Chapter_6__Exceptions__Python_us_2">
        <w:r>
          <w:rPr>
            <w:rStyle w:val="Text1"/>
          </w:rPr>
          <w:t>Chapter 6</w:t>
        </w:r>
      </w:hyperlink>
      <w:r>
        <w:t xml:space="preserve">, and the </w:t>
      </w:r>
      <w:r>
        <w:rPr>
          <w:rStyle w:val="Text0"/>
        </w:rPr>
        <w:t>sys</w:t>
      </w:r>
      <w:r>
        <w:t xml:space="preserve"> module in </w:t>
      </w:r>
      <w:hyperlink w:anchor="Chapter_8__Core_Built_ins_and_St_2">
        <w:r>
          <w:rPr>
            <w:rStyle w:val="Text1"/>
          </w:rPr>
          <w:t>Chapter 8</w:t>
        </w:r>
      </w:hyperlink>
      <w:r>
        <w:t>).</w:t>
      </w:r>
    </w:p>
    <w:p>
      <w:pPr>
        <w:keepNext/>
        <w:pStyle w:val="Heading 5"/>
        <w:keepLines w:val="on"/>
      </w:pPr>
      <w:r>
        <w:t>Use the Python Interactive Interpreter to Experiment</w:t>
      </w:r>
    </w:p>
    <w:p>
      <w:pPr>
        <w:pStyle w:val="Para 012"/>
        <w:keepLines w:val="on"/>
      </w:pPr>
      <w:r>
        <w:t xml:space="preserve">Trying out Python statements in the interactive interpreter is a quick way to experiment with Python and immediately see the results. For example, here is a simple use of the built-in </w:t>
      </w:r>
      <w:r>
        <w:rPr>
          <w:rStyle w:val="Text0"/>
        </w:rPr>
        <w:t>enumerate</w:t>
      </w:r>
      <w:r>
        <w:t xml:space="preserve"> function:</w:t>
      </w:r>
    </w:p>
    <w:p>
      <w:pPr>
        <w:pStyle w:val="Para 096"/>
        <w:keepLines w:val="on"/>
      </w:pPr>
      <w:r>
        <w:rPr>
          <w:rStyle w:val="Text23"/>
        </w:rPr>
        <w:t xml:space="preserve"/>
        <w:br w:clear="none"/>
      </w:r>
      <w:r>
        <w:rPr>
          <w:rStyle w:val="Text13"/>
        </w:rPr>
        <w:t xml:space="preserve">&gt;&gt;&gt;</w:t>
        <w:br w:clear="none"/>
      </w:r>
      <w:r>
        <w:rPr>
          <w:rStyle w:val="Text23"/>
        </w:rPr>
        <w:t xml:space="preserve"> </w:t>
        <w:br w:clear="none"/>
      </w:r>
      <w:r>
        <w:t xml:space="preserve">print</w:t>
        <w:br w:clear="none"/>
      </w:r>
      <w:r>
        <w:rPr>
          <w:rStyle w:val="Text7"/>
        </w:rPr>
        <w:t xml:space="preserve">(</w:t>
        <w:br w:clear="none"/>
      </w:r>
      <w:r>
        <w:t xml:space="preserve">list</w:t>
        <w:br w:clear="none"/>
      </w:r>
      <w:r>
        <w:rPr>
          <w:rStyle w:val="Text7"/>
        </w:rPr>
        <w:t xml:space="preserve">(</w:t>
        <w:br w:clear="none"/>
      </w:r>
      <w:r>
        <w:t xml:space="preserve">enumerate</w:t>
        <w:br w:clear="none"/>
      </w:r>
      <w:r>
        <w:rPr>
          <w:rStyle w:val="Text7"/>
        </w:rPr>
        <w:t xml:space="preserve">(</w:t>
        <w:br w:clear="none"/>
      </w:r>
      <w:r>
        <w:rPr>
          <w:rStyle w:val="Text8"/>
        </w:rPr>
        <w:t xml:space="preserve">"abc"</w:t>
        <w:br w:clear="none"/>
      </w:r>
      <w:r>
        <w:rPr>
          <w:rStyle w:val="Text7"/>
        </w:rPr>
        <w:t xml:space="preserve">)))</w:t>
        <w:br w:clear="none"/>
      </w:r>
    </w:p>
    <w:p>
      <w:pPr>
        <w:pStyle w:val="Para 080"/>
        <w:keepLines w:val="on"/>
      </w:pPr>
      <w:r>
        <w:rPr>
          <w:rStyle w:val="Text48"/>
        </w:rPr>
        <w:t xml:space="preserve"/>
        <w:br w:clear="none"/>
      </w:r>
      <w:r>
        <w:t xml:space="preserve">[(0, 'a'), (1, 'b'), (2, 'c')]</w:t>
        <w:br w:clear="none"/>
      </w:r>
    </w:p>
    <w:p>
      <w:pPr>
        <w:pStyle w:val="Para 012"/>
        <w:keepLines w:val="on"/>
      </w:pPr>
      <w:r>
        <w:t>The interactive interpreter is a good introductory platform to learn core Python syntax and features. (Experienced Python developers often open a Python interpreter to quickly check out an infrequently used command or function.)</w:t>
      </w:r>
    </w:p>
    <w:p>
      <w:pPr>
        <w:pStyle w:val="Normal"/>
      </w:pPr>
      <w:r>
        <w:t xml:space="preserve">Line-editing and history facilities depend in part on how Python was built: if the </w:t>
      </w:r>
      <w:r>
        <w:rPr>
          <w:rStyle w:val="Text0"/>
        </w:rPr>
        <w:t>readline</w:t>
      </w:r>
      <w:r>
        <w:t xml:space="preserve"> module was included, all features of the GNU </w:t>
      </w:r>
      <w:r>
        <w:rPr>
          <w:rStyle w:val="Text0"/>
        </w:rPr>
        <w:t>readline</w:t>
      </w:r>
      <w:r>
        <w:t xml:space="preserve"> library are available. Windows has a simple but usable history facility for interactive text mode programs like </w:t>
      </w:r>
      <w:r>
        <w:rPr>
          <w:rStyle w:val="Text5"/>
        </w:rPr>
        <w:t>python</w:t>
      </w:r>
      <w:r>
        <w:t>.</w:t>
      </w:r>
    </w:p>
    <w:p>
      <w:pPr>
        <w:pStyle w:val="Normal"/>
      </w:pPr>
      <w:r>
        <w:t xml:space="preserve">In addition to the built-in Python interactive environment, and those offered as part of richer development environments covered in the next section, you can freely download other powerful interactive environments. The most popular one is </w:t>
      </w:r>
      <w:hyperlink r:id="rId160">
        <w:r>
          <w:rPr>
            <w:rStyle w:val="Text24"/>
          </w:rPr>
          <w:t>IPython</w:t>
        </w:r>
      </w:hyperlink>
      <w:r>
        <w:t xml:space="preserve">, covered in </w:t>
      </w:r>
      <w:hyperlink w:anchor="IPython__IPython_enhances_CPytho">
        <w:r>
          <w:rPr>
            <w:rStyle w:val="Text1"/>
          </w:rPr>
          <w:t>“IPython”</w:t>
        </w:r>
      </w:hyperlink>
      <w:r>
        <w:t xml:space="preserve">, which offers a dazzling wealth of features. A simpler, lighter weight, but still quite handy alternative read-line interpreter is </w:t>
      </w:r>
      <w:hyperlink r:id="rId161">
        <w:r>
          <w:rPr>
            <w:rStyle w:val="Text24"/>
          </w:rPr>
          <w:t>bpython</w:t>
        </w:r>
      </w:hyperlink>
      <w:r>
        <w:t>.</w:t>
      </w:r>
      <w:r>
        <w:rPr>
          <w:rStyle w:val="Text111"/>
        </w:rPr>
        <w:bookmarkStart w:id="252" w:name="idm45965278302256"/>
        <w:t/>
        <w:bookmarkEnd w:id="252"/>
        <w:bookmarkStart w:id="253" w:name="idm45965278300880"/>
        <w:t/>
        <w:bookmarkEnd w:id="253"/>
        <w:bookmarkStart w:id="254" w:name="idm45965278299504"/>
        <w:t/>
        <w:bookmarkEnd w:id="254"/>
      </w:r>
    </w:p>
    <w:p>
      <w:bookmarkStart w:id="255" w:name="Python_Development_Environments"/>
      <w:pPr>
        <w:keepNext/>
        <w:pStyle w:val="Heading 1"/>
      </w:pPr>
      <w:r>
        <w:t>Python Development Environments</w:t>
      </w:r>
      <w:bookmarkEnd w:id="255"/>
    </w:p>
    <w:p>
      <w:pPr>
        <w:pStyle w:val="Normal"/>
      </w:pPr>
      <w:r>
        <w:t>The</w:t>
      </w:r>
      <w:r>
        <w:rPr>
          <w:rStyle w:val="Text111"/>
        </w:rPr>
        <w:bookmarkStart w:id="256" w:name="PIdevenv02"/>
        <w:t/>
        <w:bookmarkEnd w:id="256"/>
        <w:bookmarkStart w:id="257" w:name="devenv02"/>
        <w:t/>
        <w:bookmarkEnd w:id="257"/>
      </w:r>
      <w:r>
        <w:t xml:space="preserve"> Python interpreter’s built-in interactive mode is the simplest development environment for Python. It is primitive, but it’s lightweight, has a small footprint, and starts fast. Together with a good text editor (as discussed in </w:t>
      </w:r>
      <w:hyperlink w:anchor="Free_Text_Editors_with_Python_Su">
        <w:r>
          <w:rPr>
            <w:rStyle w:val="Text1"/>
          </w:rPr>
          <w:t>“Free Text Editors with Python Support”</w:t>
        </w:r>
      </w:hyperlink>
      <w:r>
        <w:t>) and line-editing and history facilities, the interactive interpreter (or, alternatively, the much more powerful IPython/Jupyter command-line interpreter) is a usable development environment. However, there are several other development environments you can use.</w:t>
      </w:r>
    </w:p>
    <w:p>
      <w:bookmarkStart w:id="258" w:name="IDLE__Python_s_Integrated_Develo"/>
      <w:pPr>
        <w:keepNext/>
        <w:pStyle w:val="Heading 2"/>
      </w:pPr>
      <w:r>
        <w:t>IDLE</w:t>
      </w:r>
      <w:bookmarkEnd w:id="258"/>
    </w:p>
    <w:p>
      <w:pPr>
        <w:pStyle w:val="Normal"/>
      </w:pPr>
      <w:r>
        <w:t>Python’s</w:t>
      </w:r>
      <w:r>
        <w:rPr>
          <w:rStyle w:val="Text111"/>
        </w:rPr>
        <w:bookmarkStart w:id="259" w:name="idm45965276493088"/>
        <w:t/>
        <w:bookmarkEnd w:id="259"/>
        <w:bookmarkStart w:id="260" w:name="idm45965276491984"/>
        <w:t/>
        <w:bookmarkEnd w:id="260"/>
        <w:bookmarkStart w:id="261" w:name="idm45965276490912"/>
        <w:t/>
        <w:bookmarkEnd w:id="261"/>
      </w:r>
      <w:r>
        <w:t xml:space="preserve"> </w:t>
      </w:r>
      <w:hyperlink r:id="rId162">
        <w:r>
          <w:rPr>
            <w:rStyle w:val="Text1"/>
          </w:rPr>
          <w:t>Integrated Development and Learning Environment (IDLE)</w:t>
        </w:r>
      </w:hyperlink>
      <w:r>
        <w:t xml:space="preserve"> comes with standard Python distributions on most platforms. IDLE is a cross-platform, 100% pure Python application based on the Tkinter GUI. It offers a Python shell similar to the interactive Python interpreter, but richer. It also includes a text editor optimized to edit Python source code, an integrated interactive debugger, and several specialized browsers/viewers.</w:t>
      </w:r>
    </w:p>
    <w:p>
      <w:pPr>
        <w:pStyle w:val="Normal"/>
      </w:pPr>
      <w:r>
        <w:t xml:space="preserve">For more functionality in IDLE, install </w:t>
      </w:r>
      <w:hyperlink r:id="rId163">
        <w:r>
          <w:rPr>
            <w:rStyle w:val="Text1"/>
          </w:rPr>
          <w:t>IdleX</w:t>
        </w:r>
      </w:hyperlink>
      <w:r>
        <w:t>, a substantial collection of free third-party extensions.</w:t>
      </w:r>
    </w:p>
    <w:p>
      <w:pPr>
        <w:pStyle w:val="Normal"/>
      </w:pPr>
      <w:r>
        <w:t xml:space="preserve">To install and use IDLE on macOS, follow the specific </w:t>
      </w:r>
      <w:hyperlink r:id="rId164">
        <w:r>
          <w:rPr>
            <w:rStyle w:val="Text1"/>
          </w:rPr>
          <w:t>instructions</w:t>
        </w:r>
      </w:hyperlink>
      <w:r>
        <w:t xml:space="preserve"> on the Python website.</w:t>
      </w:r>
    </w:p>
    <w:p>
      <w:bookmarkStart w:id="262" w:name="Other_Python_IDEs__IDLE_is_matur"/>
      <w:pPr>
        <w:keepNext/>
        <w:pStyle w:val="Heading 2"/>
      </w:pPr>
      <w:r>
        <w:t>Other Python IDEs</w:t>
      </w:r>
      <w:bookmarkEnd w:id="262"/>
    </w:p>
    <w:p>
      <w:pPr>
        <w:pStyle w:val="Normal"/>
      </w:pPr>
      <w:r>
        <w:t>IDLE</w:t>
      </w:r>
      <w:r>
        <w:rPr>
          <w:rStyle w:val="Text111"/>
        </w:rPr>
        <w:bookmarkStart w:id="263" w:name="idm45965276484640"/>
        <w:t/>
        <w:bookmarkEnd w:id="263"/>
      </w:r>
      <w:r>
        <w:t xml:space="preserve"> is mature, stable, easy, fairly rich, and extensible. There are, however, many other IDEs: cross-platform or platform specific, free or commercial (including commercial IDEs with free offerings, especially if you’re developing open source software), standalone or add-ons to other IDEs.</w:t>
      </w:r>
    </w:p>
    <w:p>
      <w:pPr>
        <w:pStyle w:val="Normal"/>
      </w:pPr>
      <w:r>
        <w:t xml:space="preserve">Some of these IDEs sport features such as static analysis, GUI builders, debuggers, and so on. Python’s IDE </w:t>
      </w:r>
      <w:hyperlink r:id="rId165">
        <w:r>
          <w:rPr>
            <w:rStyle w:val="Text1"/>
          </w:rPr>
          <w:t>wiki page</w:t>
        </w:r>
      </w:hyperlink>
      <w:r>
        <w:t xml:space="preserve"> lists over 30, and points to many other URLs with reviews and comparisons. If you’re an IDE collector, happy hunting!</w:t>
      </w:r>
    </w:p>
    <w:p>
      <w:pPr>
        <w:pStyle w:val="Normal"/>
      </w:pPr>
      <w:r>
        <w:t xml:space="preserve">We can’t do justice to even a tiny subset of all the available IDEs. The free third-party plug-in </w:t>
      </w:r>
      <w:hyperlink r:id="rId166">
        <w:r>
          <w:rPr>
            <w:rStyle w:val="Text1"/>
          </w:rPr>
          <w:t>PyDev</w:t>
        </w:r>
      </w:hyperlink>
      <w:r>
        <w:t xml:space="preserve"> for the popular cross-platform, cross-language modular IDE </w:t>
      </w:r>
      <w:hyperlink r:id="rId167">
        <w:r>
          <w:rPr>
            <w:rStyle w:val="Text1"/>
          </w:rPr>
          <w:t>Eclipse</w:t>
        </w:r>
      </w:hyperlink>
      <w:r>
        <w:t xml:space="preserve"> has excellent Python support. Steve is a longtime user of </w:t>
      </w:r>
      <w:hyperlink r:id="rId168">
        <w:r>
          <w:rPr>
            <w:rStyle w:val="Text1"/>
          </w:rPr>
          <w:t>Wing</w:t>
        </w:r>
      </w:hyperlink>
      <w:r>
        <w:t xml:space="preserve"> by Archaeopteryx, the most venerable Python-specific IDE. Paul’s IDE of choice, and perhaps the single most popular third-party Python IDE today, is </w:t>
      </w:r>
      <w:hyperlink r:id="rId169">
        <w:r>
          <w:rPr>
            <w:rStyle w:val="Text1"/>
          </w:rPr>
          <w:t>PyCharm</w:t>
        </w:r>
      </w:hyperlink>
      <w:r>
        <w:t xml:space="preserve"> by JetBrains. </w:t>
      </w:r>
      <w:hyperlink r:id="rId170">
        <w:r>
          <w:rPr>
            <w:rStyle w:val="Text1"/>
          </w:rPr>
          <w:t>Thonny</w:t>
        </w:r>
      </w:hyperlink>
      <w:r>
        <w:t xml:space="preserve"> is a popular beginner’s IDE, lightweight but full featured and easily installed on the Raspberry Pi (or just about any other popular platform). And not to be overlooked is Microsoft’s </w:t>
      </w:r>
      <w:hyperlink r:id="rId171">
        <w:r>
          <w:rPr>
            <w:rStyle w:val="Text1"/>
          </w:rPr>
          <w:t>Visual Studio Code</w:t>
        </w:r>
      </w:hyperlink>
      <w:r>
        <w:t xml:space="preserve">, an excellent, very popular cross-platform IDE with support (via plug-ins) for a number of languages, including Python. If you use Visual Studio, check out </w:t>
      </w:r>
      <w:hyperlink r:id="rId172">
        <w:r>
          <w:rPr>
            <w:rStyle w:val="Text1"/>
          </w:rPr>
          <w:t>PTVS</w:t>
        </w:r>
      </w:hyperlink>
      <w:r>
        <w:t>, an open source plug-in that’s particularly good at allowing mixed-language debugging in Python and C as and when needed.</w:t>
      </w:r>
    </w:p>
    <w:p>
      <w:bookmarkStart w:id="264" w:name="Free_Text_Editors_with_Python_Su"/>
      <w:pPr>
        <w:keepNext/>
        <w:pStyle w:val="Heading 2"/>
      </w:pPr>
      <w:r>
        <w:t>Free Text Editors with Python Support</w:t>
      </w:r>
      <w:bookmarkEnd w:id="264"/>
    </w:p>
    <w:p>
      <w:pPr>
        <w:pStyle w:val="Normal"/>
      </w:pPr>
      <w:r>
        <w:t>You</w:t>
      </w:r>
      <w:r>
        <w:rPr>
          <w:rStyle w:val="Text111"/>
        </w:rPr>
        <w:bookmarkStart w:id="265" w:name="idm45965276474544"/>
        <w:t/>
        <w:bookmarkEnd w:id="265"/>
        <w:bookmarkStart w:id="266" w:name="idm45965276473120"/>
        <w:t/>
        <w:bookmarkEnd w:id="266"/>
      </w:r>
      <w:r>
        <w:t xml:space="preserve"> can edit Python source code with any text editor, even simple ones such as Notepad on Windows or </w:t>
      </w:r>
      <w:r>
        <w:rPr>
          <w:rStyle w:val="Text4"/>
        </w:rPr>
        <w:t>ed</w:t>
      </w:r>
      <w:r>
        <w:t xml:space="preserve"> on Linux. Many powerful free editors support Python with extra features such as syntax-based colorization and automatic indentation. Cross-platform editors let you work in uniform ways on different platforms. Good text editors also let you run, from within the editor, tools of your choice on the source code you’re editing. An up-to-date list of editors for Python can be found on the </w:t>
      </w:r>
      <w:hyperlink r:id="rId173">
        <w:r>
          <w:rPr>
            <w:rStyle w:val="Text1"/>
          </w:rPr>
          <w:t>PythonEditors wiki</w:t>
        </w:r>
      </w:hyperlink>
      <w:r>
        <w:t>, which lists dozens of them.</w:t>
      </w:r>
    </w:p>
    <w:p>
      <w:pPr>
        <w:pStyle w:val="Normal"/>
      </w:pPr>
      <w:r>
        <w:t>The very best for sheer editing power may be classic</w:t>
      </w:r>
      <w:r>
        <w:rPr>
          <w:rStyle w:val="Text111"/>
        </w:rPr>
        <w:bookmarkStart w:id="267" w:name="idm45965276470256"/>
        <w:t/>
        <w:bookmarkEnd w:id="267"/>
      </w:r>
      <w:r>
        <w:t xml:space="preserve"> </w:t>
      </w:r>
      <w:hyperlink r:id="rId174">
        <w:r>
          <w:rPr>
            <w:rStyle w:val="Text1"/>
          </w:rPr>
          <w:t>Emacs</w:t>
        </w:r>
      </w:hyperlink>
      <w:r>
        <w:t xml:space="preserve"> (see the Python </w:t>
      </w:r>
      <w:hyperlink r:id="rId175">
        <w:r>
          <w:rPr>
            <w:rStyle w:val="Text1"/>
          </w:rPr>
          <w:t>wiki page</w:t>
        </w:r>
      </w:hyperlink>
      <w:r>
        <w:t xml:space="preserve"> for Python-specific add-ons). Emacs is not easy to learn, nor is it lightweight.</w:t>
      </w:r>
      <w:hyperlink w:anchor="3_A_great_place_to_start_is_Lear">
        <w:r>
          <w:rPr>
            <w:rStyle w:val="Text41"/>
          </w:rPr>
          <w:bookmarkStart w:id="268" w:name="3_2"/>
          <w:t>3</w:t>
          <w:bookmarkEnd w:id="268"/>
        </w:r>
      </w:hyperlink>
      <w:r>
        <w:t xml:space="preserve"> Alex’s personal favorite</w:t>
      </w:r>
      <w:hyperlink w:anchor="4_Not_only_as__an_editor___but_a">
        <w:r>
          <w:rPr>
            <w:rStyle w:val="Text41"/>
          </w:rPr>
          <w:bookmarkStart w:id="269" w:name="4_1"/>
          <w:t>4</w:t>
          <w:bookmarkEnd w:id="269"/>
        </w:r>
      </w:hyperlink>
      <w:r>
        <w:t xml:space="preserve"> is another</w:t>
      </w:r>
      <w:r>
        <w:rPr>
          <w:rStyle w:val="Text111"/>
        </w:rPr>
        <w:bookmarkStart w:id="270" w:name="idm45965276464160"/>
        <w:t/>
        <w:bookmarkEnd w:id="270"/>
      </w:r>
      <w:r>
        <w:t xml:space="preserve"> classic: </w:t>
      </w:r>
      <w:hyperlink r:id="rId176">
        <w:r>
          <w:rPr>
            <w:rStyle w:val="Text1"/>
          </w:rPr>
          <w:t>Vim</w:t>
        </w:r>
      </w:hyperlink>
      <w:r>
        <w:t xml:space="preserve">, Bram Moolenaar’s improved version of the traditional Unix editor </w:t>
      </w:r>
      <w:r>
        <w:rPr>
          <w:rStyle w:val="Text4"/>
        </w:rPr>
        <w:t>vi</w:t>
      </w:r>
      <w:r>
        <w:t xml:space="preserve">. It’s arguably not </w:t>
      </w:r>
      <w:r>
        <w:rPr>
          <w:rStyle w:val="Text4"/>
        </w:rPr>
        <w:t>quite</w:t>
      </w:r>
      <w:r>
        <w:t xml:space="preserve"> as powerful as Emacs, but still well worth considering—it’s fast, lightweight, Python programmable, and runs everywhere in both text mode and GUI versions. For excellent Vim coverage, see </w:t>
      </w:r>
      <w:hyperlink r:id="rId177">
        <w:r>
          <w:rPr>
            <w:rStyle w:val="Text24"/>
          </w:rPr>
          <w:t>Learning the vi and Vim Editors</w:t>
        </w:r>
      </w:hyperlink>
      <w:r>
        <w:t xml:space="preserve">, 8th edition, by Arnold Robbins and Elbert Hannah (O’Reilly); see the Python </w:t>
      </w:r>
      <w:hyperlink r:id="rId178">
        <w:r>
          <w:rPr>
            <w:rStyle w:val="Text1"/>
          </w:rPr>
          <w:t>wiki page</w:t>
        </w:r>
      </w:hyperlink>
      <w:r>
        <w:t xml:space="preserve"> for Python-specific tips and add-ons. Steve and Anna use Vim too, and where it’s available, Steve also uses the commercial editor</w:t>
      </w:r>
      <w:r>
        <w:rPr>
          <w:rStyle w:val="Text111"/>
        </w:rPr>
        <w:bookmarkStart w:id="271" w:name="idm45965276459584"/>
        <w:t/>
        <w:bookmarkEnd w:id="271"/>
      </w:r>
      <w:r>
        <w:t xml:space="preserve"> </w:t>
      </w:r>
      <w:hyperlink r:id="rId179">
        <w:r>
          <w:rPr>
            <w:rStyle w:val="Text1"/>
          </w:rPr>
          <w:t>Sublime Text</w:t>
        </w:r>
      </w:hyperlink>
      <w:r>
        <w:t xml:space="preserve">, with good syntax coloring and enough integration to run your programs from inside the editor. For quick editing and executing of short Python scripts (and as a fast and lightweight general text editor, even for multimegabyte text files), </w:t>
      </w:r>
      <w:hyperlink r:id="rId180">
        <w:r>
          <w:rPr>
            <w:rStyle w:val="Text1"/>
          </w:rPr>
          <w:t>SciTE</w:t>
        </w:r>
      </w:hyperlink>
      <w:r>
        <w:t xml:space="preserve"> is</w:t>
      </w:r>
      <w:r>
        <w:rPr>
          <w:rStyle w:val="Text111"/>
        </w:rPr>
        <w:bookmarkStart w:id="272" w:name="idm45965276456848"/>
        <w:t/>
        <w:bookmarkEnd w:id="272"/>
      </w:r>
      <w:r>
        <w:t xml:space="preserve"> Paul’s go-to editor.</w:t>
      </w:r>
    </w:p>
    <w:p>
      <w:bookmarkStart w:id="273" w:name="Tools_for_Checking_Python_Progra"/>
      <w:pPr>
        <w:keepNext/>
        <w:pStyle w:val="Heading 2"/>
      </w:pPr>
      <w:r>
        <w:t>Tools for Checking Python Programs</w:t>
      </w:r>
      <w:bookmarkEnd w:id="273"/>
    </w:p>
    <w:p>
      <w:pPr>
        <w:pStyle w:val="Normal"/>
      </w:pPr>
      <w:r>
        <w:t>The</w:t>
      </w:r>
      <w:r>
        <w:rPr>
          <w:rStyle w:val="Text111"/>
        </w:rPr>
        <w:bookmarkStart w:id="274" w:name="idm45965276453968"/>
        <w:t/>
        <w:bookmarkEnd w:id="274"/>
        <w:bookmarkStart w:id="275" w:name="idm45965276452224"/>
        <w:t/>
        <w:bookmarkEnd w:id="275"/>
      </w:r>
      <w:r>
        <w:t xml:space="preserve"> Python compiler checks program syntax sufficiently to be able to run the program, or to report a syntax error. If you want more thorough checks of your Python code, you can download and install one or more third-party tools for the purpose. </w:t>
      </w:r>
      <w:hyperlink r:id="rId181">
        <w:r>
          <w:rPr>
            <w:rStyle w:val="Text30"/>
          </w:rPr>
          <w:t>pyflakes</w:t>
        </w:r>
      </w:hyperlink>
      <w:r>
        <w:t xml:space="preserve"> is</w:t>
      </w:r>
      <w:r>
        <w:rPr>
          <w:rStyle w:val="Text111"/>
        </w:rPr>
        <w:bookmarkStart w:id="276" w:name="idm45965276449600"/>
        <w:t/>
        <w:bookmarkEnd w:id="276"/>
      </w:r>
      <w:r>
        <w:t xml:space="preserve"> a very quick, lightweight checker: it’s not thorough, but it doesn’t import the modules it’s checking, which makes using it fast and safe. At the other end of the spectrum, </w:t>
      </w:r>
      <w:hyperlink r:id="rId182">
        <w:r>
          <w:rPr>
            <w:rStyle w:val="Text30"/>
          </w:rPr>
          <w:t>pylint</w:t>
        </w:r>
      </w:hyperlink>
      <w:r>
        <w:t xml:space="preserve"> is very powerful and highly configurable; it’s not lightweight, but repays that by being able to check many style details in highly customizable ways based on editable configuration files.</w:t>
      </w:r>
      <w:hyperlink w:anchor="5_pylint_also_includes_the_usefu">
        <w:r>
          <w:rPr>
            <w:rStyle w:val="Text41"/>
          </w:rPr>
          <w:bookmarkStart w:id="277" w:name="5_1"/>
          <w:t>5</w:t>
          <w:bookmarkEnd w:id="277"/>
        </w:r>
      </w:hyperlink>
      <w:r>
        <w:t xml:space="preserve"> </w:t>
      </w:r>
      <w:hyperlink r:id="rId183">
        <w:r>
          <w:rPr>
            <w:rStyle w:val="Text30"/>
          </w:rPr>
          <w:t>flake8</w:t>
        </w:r>
      </w:hyperlink>
      <w:r>
        <w:t xml:space="preserve"> bundles</w:t>
      </w:r>
      <w:r>
        <w:rPr>
          <w:rStyle w:val="Text111"/>
        </w:rPr>
        <w:bookmarkStart w:id="278" w:name="idm45965276442512"/>
        <w:t/>
        <w:bookmarkEnd w:id="278"/>
      </w:r>
      <w:r>
        <w:t xml:space="preserve"> </w:t>
      </w:r>
      <w:r>
        <w:rPr>
          <w:rStyle w:val="Text0"/>
        </w:rPr>
        <w:t>pyflakes</w:t>
      </w:r>
      <w:r>
        <w:t xml:space="preserve"> with other formatters and custom plug-ins, and can handle large codebases by spreading work across multiple processes. </w:t>
      </w:r>
      <w:hyperlink r:id="rId184">
        <w:r>
          <w:rPr>
            <w:rStyle w:val="Text30"/>
          </w:rPr>
          <w:t>black</w:t>
        </w:r>
      </w:hyperlink>
      <w:r>
        <w:t xml:space="preserve"> and</w:t>
      </w:r>
      <w:r>
        <w:rPr>
          <w:rStyle w:val="Text111"/>
        </w:rPr>
        <w:bookmarkStart w:id="279" w:name="idm45965276439424"/>
        <w:t/>
        <w:bookmarkEnd w:id="279"/>
        <w:bookmarkStart w:id="280" w:name="idm45965276438320"/>
        <w:t/>
        <w:bookmarkEnd w:id="280"/>
      </w:r>
      <w:r>
        <w:t xml:space="preserve"> its variant </w:t>
      </w:r>
      <w:hyperlink r:id="rId185">
        <w:r>
          <w:rPr>
            <w:rStyle w:val="Text30"/>
          </w:rPr>
          <w:t>blue</w:t>
        </w:r>
      </w:hyperlink>
      <w:r>
        <w:t xml:space="preserve"> are intentionally less configurable; this makes them popular with widely dispersed project teams and open source projects in order to enforce a common Python style. To make sure you don’t forget to run them, you can incorporate one or more of these checkers/formatters into your workflow using the</w:t>
      </w:r>
      <w:r>
        <w:rPr>
          <w:rStyle w:val="Text111"/>
        </w:rPr>
        <w:bookmarkStart w:id="281" w:name="idm45965276435920"/>
        <w:t/>
        <w:bookmarkEnd w:id="281"/>
      </w:r>
      <w:r>
        <w:t xml:space="preserve"> </w:t>
      </w:r>
      <w:hyperlink r:id="rId186">
        <w:r>
          <w:rPr>
            <w:rStyle w:val="Text30"/>
          </w:rPr>
          <w:t>pre-commit</w:t>
        </w:r>
      </w:hyperlink>
      <w:hyperlink r:id="rId186">
        <w:r>
          <w:rPr>
            <w:rStyle w:val="Text1"/>
          </w:rPr>
          <w:t xml:space="preserve"> package</w:t>
        </w:r>
      </w:hyperlink>
      <w:r>
        <w:t>.</w:t>
      </w:r>
    </w:p>
    <w:p>
      <w:pPr>
        <w:pStyle w:val="Normal"/>
      </w:pPr>
      <w:r>
        <w:t xml:space="preserve">For more thorough checking of Python code for proper type usages, use tools like </w:t>
      </w:r>
      <w:hyperlink r:id="rId187">
        <w:r>
          <w:rPr>
            <w:rStyle w:val="Text30"/>
          </w:rPr>
          <w:t>mypy</w:t>
        </w:r>
      </w:hyperlink>
      <w:r>
        <w:t xml:space="preserve">; see </w:t>
      </w:r>
      <w:hyperlink w:anchor="Chapter_5__Type_Annotations__Ann_2">
        <w:r>
          <w:rPr>
            <w:rStyle w:val="Text1"/>
          </w:rPr>
          <w:t>Chapter 5</w:t>
        </w:r>
      </w:hyperlink>
      <w:r>
        <w:t xml:space="preserve"> for more on this topic.</w:t>
      </w:r>
      <w:r>
        <w:rPr>
          <w:rStyle w:val="Text111"/>
        </w:rPr>
        <w:bookmarkStart w:id="282" w:name="idm45965276431088"/>
        <w:t/>
        <w:bookmarkEnd w:id="282"/>
        <w:bookmarkStart w:id="283" w:name="idm45965276429712"/>
        <w:t/>
        <w:bookmarkEnd w:id="283"/>
      </w:r>
    </w:p>
    <w:p>
      <w:bookmarkStart w:id="284" w:name="Running_Python_Programs__Whateve"/>
      <w:pPr>
        <w:keepNext/>
        <w:pStyle w:val="Heading 1"/>
      </w:pPr>
      <w:r>
        <w:t>Running Python Programs</w:t>
      </w:r>
      <w:bookmarkEnd w:id="284"/>
    </w:p>
    <w:p>
      <w:pPr>
        <w:pStyle w:val="Normal"/>
      </w:pPr>
      <w:r>
        <w:t>Whatever</w:t>
      </w:r>
      <w:r>
        <w:rPr>
          <w:rStyle w:val="Text111"/>
        </w:rPr>
        <w:bookmarkStart w:id="285" w:name="idm45965276426080"/>
        <w:t/>
        <w:bookmarkEnd w:id="285"/>
        <w:bookmarkStart w:id="286" w:name="idm45965276424288"/>
        <w:t/>
        <w:bookmarkEnd w:id="286"/>
      </w:r>
      <w:r>
        <w:t xml:space="preserve"> tools you use to produce your Python application, you can see your application as a set of Python source files, which are normal text files that typically have the extension </w:t>
      </w:r>
      <w:r>
        <w:rPr>
          <w:rStyle w:val="Text4"/>
        </w:rPr>
        <w:t>.py</w:t>
      </w:r>
      <w:r>
        <w:t>. A</w:t>
      </w:r>
      <w:r>
        <w:rPr>
          <w:rStyle w:val="Text111"/>
        </w:rPr>
        <w:bookmarkStart w:id="287" w:name="idm45965276422368"/>
        <w:t/>
        <w:bookmarkEnd w:id="287"/>
      </w:r>
      <w:r>
        <w:t xml:space="preserve"> </w:t>
      </w:r>
      <w:r>
        <w:rPr>
          <w:rStyle w:val="Text4"/>
        </w:rPr>
        <w:t>script</w:t>
      </w:r>
      <w:r>
        <w:t xml:space="preserve"> is a file that you can run directly. A</w:t>
      </w:r>
      <w:r>
        <w:rPr>
          <w:rStyle w:val="Text111"/>
        </w:rPr>
        <w:bookmarkStart w:id="288" w:name="idm45965276420688"/>
        <w:t/>
        <w:bookmarkEnd w:id="288"/>
      </w:r>
      <w:r>
        <w:t xml:space="preserve"> </w:t>
      </w:r>
      <w:r>
        <w:rPr>
          <w:rStyle w:val="Text4"/>
        </w:rPr>
        <w:t>module</w:t>
      </w:r>
      <w:r>
        <w:t xml:space="preserve"> is a file that you can import (as covered in </w:t>
      </w:r>
      <w:hyperlink w:anchor="Chapter_7__Modules_and_Packages_2">
        <w:r>
          <w:rPr>
            <w:rStyle w:val="Text1"/>
          </w:rPr>
          <w:t>Chapter 7</w:t>
        </w:r>
      </w:hyperlink>
      <w:r>
        <w:t xml:space="preserve">) to provide some functionality to other files or interactive sessions. A Python file can be </w:t>
      </w:r>
      <w:r>
        <w:rPr>
          <w:rStyle w:val="Text4"/>
        </w:rPr>
        <w:t>both</w:t>
      </w:r>
      <w:r>
        <w:t xml:space="preserve"> a module (providing functionality when imported) </w:t>
      </w:r>
      <w:r>
        <w:rPr>
          <w:rStyle w:val="Text4"/>
        </w:rPr>
        <w:t>and</w:t>
      </w:r>
      <w:r>
        <w:t xml:space="preserve"> a script (OK to run directly). A useful and widespread convention is that Python files that are primarily intended to be imported as modules, when run directly, should execute some self-test operations, as covered in </w:t>
      </w:r>
      <w:hyperlink w:anchor="Testing__In_this_chapter__we_dis">
        <w:r>
          <w:rPr>
            <w:rStyle w:val="Text1"/>
          </w:rPr>
          <w:t>“Testing”</w:t>
        </w:r>
      </w:hyperlink>
      <w:r>
        <w:t>.</w:t>
      </w:r>
    </w:p>
    <w:p>
      <w:pPr>
        <w:pStyle w:val="Normal"/>
      </w:pPr>
      <w:r>
        <w:t xml:space="preserve">The Python interpreter automatically compiles Python source files as needed. Python saves the compiled bytecode in a subdirectory called </w:t>
      </w:r>
      <w:r>
        <w:rPr>
          <w:rStyle w:val="Text4"/>
        </w:rPr>
        <w:t>__pycache__</w:t>
      </w:r>
      <w:r>
        <w:t xml:space="preserve"> within the directory with the module’s source, with a version-specific extension annotated to denote the optimization level.</w:t>
      </w:r>
    </w:p>
    <w:p>
      <w:pPr>
        <w:pStyle w:val="Normal"/>
      </w:pPr>
      <w:r>
        <w:t xml:space="preserve">To avoid saving compiled bytecode to disk, you can run Python with the option </w:t>
      </w:r>
      <w:r>
        <w:rPr>
          <w:rStyle w:val="Text5"/>
        </w:rPr>
        <w:t>-B</w:t>
      </w:r>
      <w:r>
        <w:t xml:space="preserve">, which can be handy when you import modules from a read-only disk. Also, Python does not save the compiled bytecode form of a script when you run the script directly; instead, Python recompiles the script each time you run it. Python saves bytecode files only for modules you import. It automatically rebuilds each module’s bytecode file whenever necessary—for example, when you edit the module’s source. Eventually, for deployment, you may package Python modules using tools covered in </w:t>
      </w:r>
      <w:hyperlink w:anchor="Chapter_24__Packaging_Programs_a_2">
        <w:r>
          <w:rPr>
            <w:rStyle w:val="Text1"/>
          </w:rPr>
          <w:t>Chapter 24</w:t>
        </w:r>
      </w:hyperlink>
      <w:r>
        <w:t xml:space="preserve"> (available </w:t>
      </w:r>
      <w:hyperlink r:id="rId188">
        <w:r>
          <w:rPr>
            <w:rStyle w:val="Text1"/>
          </w:rPr>
          <w:t>online</w:t>
        </w:r>
      </w:hyperlink>
      <w:r>
        <w:t>).</w:t>
      </w:r>
    </w:p>
    <w:p>
      <w:pPr>
        <w:pStyle w:val="Normal"/>
      </w:pPr>
      <w:r>
        <w:t>You can run Python code with the Python interpreter or an IDE.</w:t>
      </w:r>
      <w:hyperlink w:anchor="6_Or_online__Paul__for_example">
        <w:r>
          <w:rPr>
            <w:rStyle w:val="Text41"/>
          </w:rPr>
          <w:bookmarkStart w:id="289" w:name="6_1"/>
          <w:t>6</w:t>
          <w:bookmarkEnd w:id="289"/>
        </w:r>
      </w:hyperlink>
      <w:r>
        <w:t xml:space="preserve"> Normally, you start execution by running a top-level script. To run a script, give its path as an argument to </w:t>
      </w:r>
      <w:r>
        <w:rPr>
          <w:rStyle w:val="Text5"/>
        </w:rPr>
        <w:t>python</w:t>
      </w:r>
      <w:r>
        <w:t xml:space="preserve">, as covered in </w:t>
      </w:r>
      <w:hyperlink w:anchor="The_python_Program__The_Python_i">
        <w:r>
          <w:rPr>
            <w:rStyle w:val="Text1"/>
          </w:rPr>
          <w:t>“The python Program”</w:t>
        </w:r>
      </w:hyperlink>
      <w:r>
        <w:t xml:space="preserve">. Depending on your operating system, you can invoke </w:t>
      </w:r>
      <w:r>
        <w:rPr>
          <w:rStyle w:val="Text5"/>
        </w:rPr>
        <w:t>python</w:t>
      </w:r>
      <w:r>
        <w:t xml:space="preserve"> directly from a shell script or command file. On Unix-like systems, you can make a Python script directly executable by setting the file’s permission bits </w:t>
      </w:r>
      <w:r>
        <w:rPr>
          <w:rStyle w:val="Text0"/>
        </w:rPr>
        <w:t>x</w:t>
      </w:r>
      <w:r>
        <w:t xml:space="preserve"> and </w:t>
      </w:r>
      <w:r>
        <w:rPr>
          <w:rStyle w:val="Text0"/>
        </w:rPr>
        <w:t>r</w:t>
      </w:r>
      <w:r>
        <w:t>, and beginning the script with a</w:t>
      </w:r>
      <w:r>
        <w:rPr>
          <w:rStyle w:val="Text111"/>
        </w:rPr>
        <w:bookmarkStart w:id="290" w:name="idm45965278465216"/>
        <w:t/>
        <w:bookmarkEnd w:id="290"/>
        <w:bookmarkStart w:id="291" w:name="idm45965278464112"/>
        <w:t/>
        <w:bookmarkEnd w:id="291"/>
      </w:r>
      <w:r>
        <w:t xml:space="preserve"> </w:t>
      </w:r>
      <w:r>
        <w:rPr>
          <w:rStyle w:val="Text4"/>
        </w:rPr>
        <w:t>shebang</w:t>
      </w:r>
      <w:r>
        <w:t xml:space="preserve"> line, a line such as:</w:t>
      </w:r>
    </w:p>
    <w:p>
      <w:pPr>
        <w:pStyle w:val="Para 046"/>
      </w:pPr>
      <w:r>
        <w:rPr>
          <w:rStyle w:val="Text23"/>
        </w:rPr>
        <w:t xml:space="preserve"/>
        <w:br w:clear="none"/>
      </w:r>
      <w:r>
        <w:t xml:space="preserve">#!/usr/bin/env python</w:t>
        <w:br w:clear="none"/>
      </w:r>
    </w:p>
    <w:p>
      <w:pPr>
        <w:pStyle w:val="Normal"/>
      </w:pPr>
      <w:r>
        <w:t xml:space="preserve">or some other line starting with </w:t>
      </w:r>
      <w:r>
        <w:rPr>
          <w:rStyle w:val="Text0"/>
        </w:rPr>
        <w:t>#!</w:t>
      </w:r>
      <w:r>
        <w:t xml:space="preserve"> followed by a path to the </w:t>
      </w:r>
      <w:r>
        <w:rPr>
          <w:rStyle w:val="Text0"/>
        </w:rPr>
        <w:t>python</w:t>
      </w:r>
      <w:r>
        <w:t xml:space="preserve"> interpreter program, in which case you can optionally add a single word of options—for example:</w:t>
      </w:r>
    </w:p>
    <w:p>
      <w:pPr>
        <w:pStyle w:val="Para 046"/>
      </w:pPr>
      <w:r>
        <w:rPr>
          <w:rStyle w:val="Text23"/>
        </w:rPr>
        <w:t xml:space="preserve"/>
        <w:br w:clear="none"/>
      </w:r>
      <w:r>
        <w:t xml:space="preserve">#!/usr/bin/python -OB</w:t>
        <w:br w:clear="none"/>
      </w:r>
    </w:p>
    <w:p>
      <w:pPr>
        <w:pStyle w:val="Normal"/>
      </w:pPr>
      <w:r>
        <w:t>On</w:t>
      </w:r>
      <w:r>
        <w:rPr>
          <w:rStyle w:val="Text111"/>
        </w:rPr>
        <w:bookmarkStart w:id="292" w:name="idm45965278445808"/>
        <w:t/>
        <w:bookmarkEnd w:id="292"/>
      </w:r>
      <w:r>
        <w:t xml:space="preserve"> Windows, you can use the same style </w:t>
      </w:r>
      <w:r>
        <w:rPr>
          <w:rStyle w:val="Text0"/>
        </w:rPr>
        <w:t>#!</w:t>
      </w:r>
      <w:r>
        <w:t xml:space="preserve"> line, in accordance with </w:t>
      </w:r>
      <w:hyperlink r:id="rId189">
        <w:r>
          <w:rPr>
            <w:rStyle w:val="Text1"/>
          </w:rPr>
          <w:t>PEP 397</w:t>
        </w:r>
      </w:hyperlink>
      <w:r>
        <w:t>, to specify a particular version of Python, so your scripts can be cross-platform between Unix-like and Windows systems. You can also run Python scripts with the usual Windows mechanisms, such as double-clicking their icons. When you run a Python script by double-clicking the script’s icon, Windows automatically closes the text-mode console associated with the script as soon as the script terminates. If you want the console to linger (to allow the user to read the script’s output on the screen), ensure the script doesn’t terminate too soon. For example, use, as the script’s last statement:</w:t>
      </w:r>
    </w:p>
    <w:p>
      <w:pPr>
        <w:pStyle w:val="Para 020"/>
      </w:pPr>
      <w:r>
        <w:rPr>
          <w:rStyle w:val="Text23"/>
        </w:rPr>
        <w:t xml:space="preserve"/>
        <w:br w:clear="none"/>
      </w:r>
      <w:r>
        <w:rPr>
          <w:rStyle w:val="Text16"/>
        </w:rPr>
        <w:t xml:space="preserve">input</w:t>
        <w:br w:clear="none"/>
      </w:r>
      <w:r>
        <w:rPr>
          <w:rStyle w:val="Text7"/>
        </w:rPr>
        <w:t xml:space="preserve">(</w:t>
        <w:br w:clear="none"/>
      </w:r>
      <w:r>
        <w:t xml:space="preserve">'Press Enter to terminate'</w:t>
        <w:br w:clear="none"/>
      </w:r>
      <w:r>
        <w:rPr>
          <w:rStyle w:val="Text7"/>
        </w:rPr>
        <w:t xml:space="preserve">)</w:t>
        <w:br w:clear="none"/>
      </w:r>
    </w:p>
    <w:p>
      <w:pPr>
        <w:pStyle w:val="Normal"/>
      </w:pPr>
      <w:r>
        <w:t>This is not necessary when you run the script from a command prompt.</w:t>
      </w:r>
    </w:p>
    <w:p>
      <w:pPr>
        <w:pStyle w:val="Normal"/>
      </w:pPr>
      <w:r>
        <w:t xml:space="preserve">On Windows, you can also use the extension </w:t>
      </w:r>
      <w:r>
        <w:rPr>
          <w:rStyle w:val="Text4"/>
        </w:rPr>
        <w:t>.pyw</w:t>
      </w:r>
      <w:r>
        <w:t xml:space="preserve"> and interpreter program </w:t>
      </w:r>
      <w:r>
        <w:rPr>
          <w:rStyle w:val="Text4"/>
        </w:rPr>
        <w:t>pythonw.exe</w:t>
      </w:r>
      <w:r>
        <w:t xml:space="preserve"> instead of </w:t>
      </w:r>
      <w:r>
        <w:rPr>
          <w:rStyle w:val="Text4"/>
        </w:rPr>
        <w:t>.py</w:t>
      </w:r>
      <w:r>
        <w:t xml:space="preserve"> and </w:t>
      </w:r>
      <w:r>
        <w:rPr>
          <w:rStyle w:val="Text4"/>
        </w:rPr>
        <w:t>python.exe</w:t>
      </w:r>
      <w:r>
        <w:t xml:space="preserve">. The </w:t>
      </w:r>
      <w:r>
        <w:rPr>
          <w:rStyle w:val="Text4"/>
        </w:rPr>
        <w:t>w</w:t>
      </w:r>
      <w:r>
        <w:t xml:space="preserve"> variants run Python without a text-mode console, and thus without standard input and output. This is good for scripts that rely on GUIs or run invisibly in the background. Use them only when a program is fully debugged, to keep standard output and error available for information, warnings, and error messages during development.</w:t>
      </w:r>
    </w:p>
    <w:p>
      <w:pPr>
        <w:pStyle w:val="Normal"/>
      </w:pPr>
      <w:r>
        <w:t xml:space="preserve">Applications coded in other languages may embed Python, controlling the execution of Python for their own purposes. We examine this briefly in “Embedding Python” in </w:t>
      </w:r>
      <w:hyperlink w:anchor="Chapter_25__Extending_and_Embedd_2">
        <w:r>
          <w:rPr>
            <w:rStyle w:val="Text1"/>
          </w:rPr>
          <w:t>Chapter 25</w:t>
        </w:r>
      </w:hyperlink>
      <w:r>
        <w:t xml:space="preserve"> (available </w:t>
      </w:r>
      <w:hyperlink r:id="rId24">
        <w:r>
          <w:rPr>
            <w:rStyle w:val="Text1"/>
          </w:rPr>
          <w:t>online</w:t>
        </w:r>
      </w:hyperlink>
      <w:r>
        <w:t>).</w:t>
      </w:r>
    </w:p>
    <w:p>
      <w:bookmarkStart w:id="293" w:name="Running_Python_in_the_Browser__T"/>
      <w:pPr>
        <w:keepNext/>
        <w:pStyle w:val="Heading 1"/>
      </w:pPr>
      <w:r>
        <w:t>Running Python in the Browser</w:t>
      </w:r>
      <w:bookmarkEnd w:id="293"/>
    </w:p>
    <w:p>
      <w:pPr>
        <w:pStyle w:val="Normal"/>
      </w:pPr>
      <w:r>
        <w:t>There</w:t>
      </w:r>
      <w:r>
        <w:rPr>
          <w:rStyle w:val="Text111"/>
        </w:rPr>
        <w:bookmarkStart w:id="294" w:name="idm45965278410448"/>
        <w:t/>
        <w:bookmarkEnd w:id="294"/>
        <w:bookmarkStart w:id="295" w:name="idm45965278393008"/>
        <w:t/>
        <w:bookmarkEnd w:id="295"/>
        <w:bookmarkStart w:id="296" w:name="browrun02"/>
        <w:t/>
        <w:bookmarkEnd w:id="296"/>
      </w:r>
      <w:r>
        <w:t xml:space="preserve"> are also options for running Python code within a browser session, executed in either the browser process or some separate server-based component. PyScript exemplifies the former approach, and Jupyter the latter.</w:t>
      </w:r>
    </w:p>
    <w:p>
      <w:bookmarkStart w:id="297" w:name="PyScript__A_recent_development_i"/>
      <w:pPr>
        <w:keepNext/>
        <w:pStyle w:val="Heading 2"/>
      </w:pPr>
      <w:r>
        <w:t>PyScript</w:t>
      </w:r>
      <w:bookmarkEnd w:id="297"/>
    </w:p>
    <w:p>
      <w:pPr>
        <w:pStyle w:val="Normal"/>
      </w:pPr>
      <w:r>
        <w:t>A</w:t>
      </w:r>
      <w:r>
        <w:rPr>
          <w:rStyle w:val="Text111"/>
        </w:rPr>
        <w:bookmarkStart w:id="298" w:name="idm45965278388144"/>
        <w:t/>
        <w:bookmarkEnd w:id="298"/>
      </w:r>
      <w:r>
        <w:t xml:space="preserve"> recent development in the Python-in-a-browser endeavor is the release of </w:t>
      </w:r>
      <w:hyperlink r:id="rId64">
        <w:r>
          <w:rPr>
            <w:rStyle w:val="Text1"/>
          </w:rPr>
          <w:t>PyScript</w:t>
        </w:r>
      </w:hyperlink>
      <w:r>
        <w:t xml:space="preserve"> by Anaconda. PyScript is built on top of Pyodide,</w:t>
      </w:r>
      <w:hyperlink w:anchor="7_A_great_example_of_the_synergy">
        <w:r>
          <w:rPr>
            <w:rStyle w:val="Text41"/>
          </w:rPr>
          <w:bookmarkStart w:id="299" w:name="7_1"/>
          <w:t>7</w:t>
          <w:bookmarkEnd w:id="299"/>
        </w:r>
      </w:hyperlink>
      <w:r>
        <w:t xml:space="preserve"> which uses WebAssembly to bring up a full Python engine in the browser. PyScript introduces custom HTML tags so that you can write Python code without having to know or use JavaScript. Using these tags, you can create a static HTML file containing Python code that will run in a remote browser, with no additional installed software required.</w:t>
      </w:r>
    </w:p>
    <w:p>
      <w:pPr>
        <w:pStyle w:val="Normal"/>
      </w:pPr>
      <w:r>
        <w:t>A simple PyScript “Hello, World!” HTML file might look like this:</w:t>
      </w:r>
    </w:p>
    <w:p>
      <w:pPr>
        <w:pStyle w:val="Para 020"/>
      </w:pPr>
      <w:r>
        <w:rPr>
          <w:rStyle w:val="Text23"/>
        </w:rPr>
        <w:t xml:space="preserve"/>
        <w:br w:clear="none"/>
      </w:r>
      <w:r>
        <w:rPr>
          <w:rStyle w:val="Text13"/>
        </w:rPr>
        <w:t xml:space="preserve">&lt;</w:t>
        <w:br w:clear="none"/>
      </w:r>
      <w:r>
        <w:rPr>
          <w:rStyle w:val="Text9"/>
        </w:rPr>
        <w:t xml:space="preserve">html</w:t>
        <w:br w:clear="none"/>
      </w:r>
      <w:r>
        <w:rPr>
          <w:rStyle w:val="Text13"/>
        </w:rPr>
        <w:t xml:space="preserve">&gt;</w:t>
        <w:br w:clear="none"/>
      </w:r>
      <w:r>
        <w:rPr>
          <w:rStyle w:val="Text6"/>
        </w:rPr>
        <w:t xml:space="preserve"/>
        <w:br w:clear="none"/>
      </w:r>
      <w:r>
        <w:rPr>
          <w:rStyle w:val="Text13"/>
        </w:rPr>
        <w:t xml:space="preserve">&lt;</w:t>
        <w:br w:clear="none"/>
      </w:r>
      <w:r>
        <w:rPr>
          <w:rStyle w:val="Text9"/>
        </w:rPr>
        <w:t xml:space="preserve">head</w:t>
        <w:br w:clear="none"/>
      </w:r>
      <w:r>
        <w:rPr>
          <w:rStyle w:val="Text13"/>
        </w:rPr>
        <w:t xml:space="preserve">&gt;</w:t>
        <w:br w:clear="none"/>
      </w:r>
      <w:r>
        <w:rPr>
          <w:rStyle w:val="Text6"/>
        </w:rPr>
        <w:t xml:space="preserve"/>
        <w:br w:clear="none"/>
        <w:t xml:space="preserve">    </w:t>
        <w:br w:clear="none"/>
      </w:r>
      <w:r>
        <w:rPr>
          <w:rStyle w:val="Text13"/>
        </w:rPr>
        <w:t xml:space="preserve">&lt;</w:t>
        <w:br w:clear="none"/>
      </w:r>
      <w:r>
        <w:rPr>
          <w:rStyle w:val="Text9"/>
        </w:rPr>
        <w:t xml:space="preserve">link</w:t>
        <w:br w:clear="none"/>
      </w:r>
      <w:r>
        <w:rPr>
          <w:rStyle w:val="Text6"/>
        </w:rPr>
        <w:t xml:space="preserve"> </w:t>
        <w:br w:clear="none"/>
      </w:r>
      <w:r>
        <w:rPr>
          <w:rStyle w:val="Text9"/>
        </w:rPr>
        <w:t xml:space="preserve">rel</w:t>
        <w:br w:clear="none"/>
      </w:r>
      <w:r>
        <w:rPr>
          <w:rStyle w:val="Text13"/>
        </w:rPr>
        <w:t xml:space="preserve">=</w:t>
        <w:br w:clear="none"/>
      </w:r>
      <w:r>
        <w:t xml:space="preserve">'</w:t>
        <w:br w:clear="none"/>
        <w:t xml:space="preserve">stylesheet</w:t>
        <w:br w:clear="none"/>
        <w:t xml:space="preserve">'</w:t>
        <w:br w:clear="none"/>
      </w:r>
      <w:r>
        <w:rPr>
          <w:rStyle w:val="Text6"/>
        </w:rPr>
        <w:t xml:space="preserve"> </w:t>
        <w:br w:clear="none"/>
        <w:t xml:space="preserve"/>
        <w:br w:clear="none"/>
        <w:t xml:space="preserve"> </w:t>
        <w:br w:clear="none"/>
      </w:r>
      <w:r>
        <w:rPr>
          <w:rStyle w:val="Text9"/>
        </w:rPr>
        <w:t xml:space="preserve">href</w:t>
        <w:br w:clear="none"/>
      </w:r>
      <w:r>
        <w:rPr>
          <w:rStyle w:val="Text13"/>
        </w:rPr>
        <w:t xml:space="preserve">=</w:t>
        <w:br w:clear="none"/>
      </w:r>
      <w:r>
        <w:t xml:space="preserve">'</w:t>
        <w:br w:clear="none"/>
        <w:t xml:space="preserve">https://pyscript.net/releases/2022.06.1/pyscript.css</w:t>
        <w:br w:clear="none"/>
        <w:t xml:space="preserve">'</w:t>
        <w:br w:clear="none"/>
      </w:r>
      <w:r>
        <w:rPr>
          <w:rStyle w:val="Text6"/>
        </w:rPr>
        <w:t xml:space="preserve"> </w:t>
        <w:br w:clear="none"/>
      </w:r>
      <w:r>
        <w:rPr>
          <w:rStyle w:val="Text13"/>
        </w:rPr>
        <w:t xml:space="preserve">/</w:t>
        <w:br w:clear="none"/>
        <w:t xml:space="preserve">&gt;</w:t>
        <w:br w:clear="none"/>
      </w:r>
      <w:r>
        <w:rPr>
          <w:rStyle w:val="Text6"/>
        </w:rPr>
        <w:t xml:space="preserve"/>
        <w:br w:clear="none"/>
        <w:t xml:space="preserve">    </w:t>
        <w:br w:clear="none"/>
      </w:r>
      <w:r>
        <w:rPr>
          <w:rStyle w:val="Text13"/>
        </w:rPr>
        <w:t xml:space="preserve">&lt;</w:t>
        <w:br w:clear="none"/>
      </w:r>
      <w:r>
        <w:rPr>
          <w:rStyle w:val="Text9"/>
        </w:rPr>
        <w:t xml:space="preserve">script</w:t>
        <w:br w:clear="none"/>
      </w:r>
      <w:r>
        <w:rPr>
          <w:rStyle w:val="Text6"/>
        </w:rPr>
        <w:t xml:space="preserve"> </w:t>
        <w:br w:clear="none"/>
      </w:r>
      <w:r>
        <w:rPr>
          <w:rStyle w:val="Text9"/>
        </w:rPr>
        <w:t xml:space="preserve">defer</w:t>
        <w:br w:clear="none"/>
      </w:r>
      <w:r>
        <w:rPr>
          <w:rStyle w:val="Text6"/>
        </w:rPr>
        <w:t xml:space="preserve"> </w:t>
        <w:br w:clear="none"/>
        <w:t xml:space="preserve"/>
        <w:br w:clear="none"/>
        <w:t xml:space="preserve"> </w:t>
        <w:br w:clear="none"/>
      </w:r>
      <w:r>
        <w:rPr>
          <w:rStyle w:val="Text9"/>
        </w:rPr>
        <w:t xml:space="preserve">src</w:t>
        <w:br w:clear="none"/>
      </w:r>
      <w:r>
        <w:rPr>
          <w:rStyle w:val="Text13"/>
        </w:rPr>
        <w:t xml:space="preserve">=</w:t>
        <w:br w:clear="none"/>
      </w:r>
      <w:r>
        <w:t xml:space="preserve">'</w:t>
        <w:br w:clear="none"/>
        <w:t xml:space="preserve">https://pyscript.net/releases/2022.06.1/pyscript.js</w:t>
        <w:br w:clear="none"/>
        <w:t xml:space="preserve">'</w:t>
        <w:br w:clear="none"/>
      </w:r>
      <w:r>
        <w:rPr>
          <w:rStyle w:val="Text13"/>
        </w:rPr>
        <w:t xml:space="preserve">&gt;</w:t>
        <w:br w:clear="none"/>
        <w:t xml:space="preserve">&lt;</w:t>
        <w:br w:clear="none"/>
        <w:t xml:space="preserve">/</w:t>
        <w:br w:clear="none"/>
      </w:r>
      <w:r>
        <w:rPr>
          <w:rStyle w:val="Text9"/>
        </w:rPr>
        <w:t xml:space="preserve">script</w:t>
        <w:br w:clear="none"/>
      </w:r>
      <w:r>
        <w:rPr>
          <w:rStyle w:val="Text13"/>
        </w:rPr>
        <w:t xml:space="preserve">&gt;</w:t>
        <w:br w:clear="none"/>
      </w:r>
      <w:r>
        <w:rPr>
          <w:rStyle w:val="Text6"/>
        </w:rPr>
        <w:t xml:space="preserve"/>
        <w:br w:clear="none"/>
      </w:r>
      <w:r>
        <w:rPr>
          <w:rStyle w:val="Text13"/>
        </w:rPr>
        <w:t xml:space="preserve">&lt;</w:t>
        <w:br w:clear="none"/>
        <w:t xml:space="preserve">/</w:t>
        <w:br w:clear="none"/>
      </w:r>
      <w:r>
        <w:rPr>
          <w:rStyle w:val="Text9"/>
        </w:rPr>
        <w:t xml:space="preserve">head</w:t>
        <w:br w:clear="none"/>
      </w:r>
      <w:r>
        <w:rPr>
          <w:rStyle w:val="Text13"/>
        </w:rPr>
        <w:t xml:space="preserve">&gt;</w:t>
        <w:br w:clear="none"/>
      </w:r>
      <w:r>
        <w:rPr>
          <w:rStyle w:val="Text6"/>
        </w:rPr>
        <w:t xml:space="preserve"/>
        <w:br w:clear="none"/>
      </w:r>
      <w:r>
        <w:rPr>
          <w:rStyle w:val="Text13"/>
        </w:rPr>
        <w:t xml:space="preserve">&lt;</w:t>
        <w:br w:clear="none"/>
      </w:r>
      <w:r>
        <w:rPr>
          <w:rStyle w:val="Text9"/>
        </w:rPr>
        <w:t xml:space="preserve">body</w:t>
        <w:br w:clear="none"/>
      </w:r>
      <w:r>
        <w:rPr>
          <w:rStyle w:val="Text13"/>
        </w:rPr>
        <w:t xml:space="preserve">&gt;</w:t>
        <w:br w:clear="none"/>
      </w:r>
      <w:r>
        <w:rPr>
          <w:rStyle w:val="Text6"/>
        </w:rPr>
        <w:t xml:space="preserve"/>
        <w:br w:clear="none"/>
      </w:r>
      <w:r>
        <w:rPr>
          <w:rStyle w:val="Text13"/>
        </w:rPr>
        <w:t xml:space="preserve">&lt;</w:t>
        <w:br w:clear="none"/>
      </w:r>
      <w:r>
        <w:rPr>
          <w:rStyle w:val="Text9"/>
        </w:rPr>
        <w:t xml:space="preserve">py</w:t>
        <w:br w:clear="none"/>
      </w:r>
      <w:r>
        <w:rPr>
          <w:rStyle w:val="Text13"/>
        </w:rPr>
        <w:t xml:space="preserve">-</w:t>
        <w:br w:clear="none"/>
      </w:r>
      <w:r>
        <w:rPr>
          <w:rStyle w:val="Text9"/>
        </w:rPr>
        <w:t xml:space="preserve">script</w:t>
        <w:br w:clear="none"/>
      </w:r>
      <w:r>
        <w:rPr>
          <w:rStyle w:val="Text13"/>
        </w:rPr>
        <w:t xml:space="preserve">&gt;</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time</w:t>
        <w:br w:clear="none"/>
      </w:r>
      <w:r>
        <w:rPr>
          <w:rStyle w:val="Text6"/>
        </w:rPr>
        <w:t xml:space="preserve"/>
        <w:br w:clear="none"/>
      </w:r>
      <w:r>
        <w:rPr>
          <w:rStyle w:val="Text16"/>
        </w:rPr>
        <w:t xml:space="preserve">print</w:t>
        <w:br w:clear="none"/>
      </w:r>
      <w:r>
        <w:rPr>
          <w:rStyle w:val="Text7"/>
        </w:rPr>
        <w:t xml:space="preserve">(</w:t>
        <w:br w:clear="none"/>
      </w:r>
      <w:r>
        <w:t xml:space="preserve">'</w:t>
        <w:br w:clear="none"/>
        <w:t xml:space="preserve">Hello, World!</w:t>
        <w:br w:clear="none"/>
        <w:t xml:space="preserve">'</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The current local time is </w:t>
        <w:br w:clear="none"/>
      </w:r>
      <w:r>
        <w:rPr>
          <w:rStyle w:val="Text32"/>
        </w:rPr>
        <w:t xml:space="preserve">{</w:t>
        <w:br w:clear="none"/>
      </w:r>
      <w:r>
        <w:rPr>
          <w:rStyle w:val="Text9"/>
        </w:rPr>
        <w:t xml:space="preserve">time</w:t>
        <w:br w:clear="none"/>
      </w:r>
      <w:r>
        <w:rPr>
          <w:rStyle w:val="Text13"/>
        </w:rPr>
        <w:t xml:space="preserve">.</w:t>
        <w:br w:clear="none"/>
      </w:r>
      <w:r>
        <w:rPr>
          <w:rStyle w:val="Text9"/>
        </w:rPr>
        <w:t xml:space="preserve">asctime</w:t>
        <w:br w:clear="none"/>
      </w:r>
      <w:r>
        <w:rPr>
          <w:rStyle w:val="Text7"/>
        </w:rPr>
        <w:t xml:space="preserve">(</w:t>
        <w:br w:clear="none"/>
        <w:t xml:space="preserve">)</w:t>
        <w:br w:clear="none"/>
      </w:r>
      <w:r>
        <w:rPr>
          <w:rStyle w:val="Text32"/>
        </w:rPr>
        <w:t xml:space="preserve">}</w:t>
        <w:br w:clear="none"/>
      </w:r>
      <w:r>
        <w:t xml:space="preserve">'</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The current UTC time is </w:t>
        <w:br w:clear="none"/>
      </w:r>
      <w:r>
        <w:rPr>
          <w:rStyle w:val="Text32"/>
        </w:rPr>
        <w:t xml:space="preserve">{</w:t>
        <w:br w:clear="none"/>
      </w:r>
      <w:r>
        <w:rPr>
          <w:rStyle w:val="Text9"/>
        </w:rPr>
        <w:t xml:space="preserve">time</w:t>
        <w:br w:clear="none"/>
      </w:r>
      <w:r>
        <w:rPr>
          <w:rStyle w:val="Text13"/>
        </w:rPr>
        <w:t xml:space="preserve">.</w:t>
        <w:br w:clear="none"/>
      </w:r>
      <w:r>
        <w:rPr>
          <w:rStyle w:val="Text9"/>
        </w:rPr>
        <w:t xml:space="preserve">asctime</w:t>
        <w:br w:clear="none"/>
      </w:r>
      <w:r>
        <w:rPr>
          <w:rStyle w:val="Text7"/>
        </w:rPr>
        <w:t xml:space="preserve">(</w:t>
        <w:br w:clear="none"/>
      </w:r>
      <w:r>
        <w:rPr>
          <w:rStyle w:val="Text9"/>
        </w:rPr>
        <w:t xml:space="preserve">time</w:t>
        <w:br w:clear="none"/>
      </w:r>
      <w:r>
        <w:rPr>
          <w:rStyle w:val="Text13"/>
        </w:rPr>
        <w:t xml:space="preserve">.</w:t>
        <w:br w:clear="none"/>
      </w:r>
      <w:r>
        <w:rPr>
          <w:rStyle w:val="Text9"/>
        </w:rPr>
        <w:t xml:space="preserve">gmtime</w:t>
        <w:br w:clear="none"/>
      </w:r>
      <w:r>
        <w:rPr>
          <w:rStyle w:val="Text7"/>
        </w:rPr>
        <w:t xml:space="preserve">(</w:t>
        <w:br w:clear="none"/>
        <w:t xml:space="preserve">)</w:t>
        <w:br w:clear="none"/>
        <w:t xml:space="preserve">)</w:t>
        <w:br w:clear="none"/>
      </w:r>
      <w:r>
        <w:rPr>
          <w:rStyle w:val="Text32"/>
        </w:rPr>
        <w:t xml:space="preserve">}</w:t>
        <w:br w:clear="none"/>
      </w:r>
      <w:r>
        <w:t xml:space="preserve">'</w:t>
        <w:br w:clear="none"/>
      </w:r>
      <w:r>
        <w:rPr>
          <w:rStyle w:val="Text7"/>
        </w:rPr>
        <w:t xml:space="preserve">)</w:t>
        <w:br w:clear="none"/>
      </w:r>
      <w:r>
        <w:rPr>
          <w:rStyle w:val="Text6"/>
        </w:rPr>
        <w:t xml:space="preserve"/>
        <w:br w:clear="none"/>
      </w:r>
      <w:r>
        <w:rPr>
          <w:rStyle w:val="Text13"/>
        </w:rPr>
        <w:t xml:space="preserve">&lt;</w:t>
        <w:br w:clear="none"/>
        <w:t xml:space="preserve">/</w:t>
        <w:br w:clear="none"/>
      </w:r>
      <w:r>
        <w:rPr>
          <w:rStyle w:val="Text9"/>
        </w:rPr>
        <w:t xml:space="preserve">py</w:t>
        <w:br w:clear="none"/>
      </w:r>
      <w:r>
        <w:rPr>
          <w:rStyle w:val="Text13"/>
        </w:rPr>
        <w:t xml:space="preserve">-</w:t>
        <w:br w:clear="none"/>
      </w:r>
      <w:r>
        <w:rPr>
          <w:rStyle w:val="Text9"/>
        </w:rPr>
        <w:t xml:space="preserve">script</w:t>
        <w:br w:clear="none"/>
      </w:r>
      <w:r>
        <w:rPr>
          <w:rStyle w:val="Text13"/>
        </w:rPr>
        <w:t xml:space="preserve">&gt;</w:t>
        <w:br w:clear="none"/>
      </w:r>
      <w:r>
        <w:rPr>
          <w:rStyle w:val="Text6"/>
        </w:rPr>
        <w:t xml:space="preserve"/>
        <w:br w:clear="none"/>
      </w:r>
      <w:r>
        <w:rPr>
          <w:rStyle w:val="Text13"/>
        </w:rPr>
        <w:t xml:space="preserve">&lt;</w:t>
        <w:br w:clear="none"/>
        <w:t xml:space="preserve">/</w:t>
        <w:br w:clear="none"/>
      </w:r>
      <w:r>
        <w:rPr>
          <w:rStyle w:val="Text9"/>
        </w:rPr>
        <w:t xml:space="preserve">body</w:t>
        <w:br w:clear="none"/>
      </w:r>
      <w:r>
        <w:rPr>
          <w:rStyle w:val="Text13"/>
        </w:rPr>
        <w:t xml:space="preserve">&gt;</w:t>
        <w:br w:clear="none"/>
      </w:r>
      <w:r>
        <w:rPr>
          <w:rStyle w:val="Text6"/>
        </w:rPr>
        <w:t xml:space="preserve"/>
        <w:br w:clear="none"/>
      </w:r>
      <w:r>
        <w:rPr>
          <w:rStyle w:val="Text13"/>
        </w:rPr>
        <w:t xml:space="preserve">&lt;</w:t>
        <w:br w:clear="none"/>
        <w:t xml:space="preserve">/</w:t>
        <w:br w:clear="none"/>
      </w:r>
      <w:r>
        <w:rPr>
          <w:rStyle w:val="Text9"/>
        </w:rPr>
        <w:t xml:space="preserve">html</w:t>
        <w:br w:clear="none"/>
      </w:r>
      <w:r>
        <w:rPr>
          <w:rStyle w:val="Text13"/>
        </w:rPr>
        <w:t xml:space="preserve">&gt;</w:t>
        <w:br w:clear="none"/>
      </w:r>
    </w:p>
    <w:p>
      <w:pPr>
        <w:pStyle w:val="Normal"/>
      </w:pPr>
      <w:r>
        <w:t>You can save this code snippet as a static HTML file and successfully run it in a client browser, even if Python isn’t installed on your computer.</w:t>
      </w:r>
    </w:p>
    <w:p>
      <w:pPr>
        <w:keepNext/>
        <w:pStyle w:val="Heading 5"/>
        <w:keepLines w:val="on"/>
      </w:pPr>
      <w:r>
        <w:t>Changes Are Coming to PyScript</w:t>
      </w:r>
    </w:p>
    <w:p>
      <w:pPr>
        <w:pStyle w:val="Para 012"/>
        <w:keepLines w:val="on"/>
      </w:pPr>
      <w:r>
        <w:t>PyScript is still in early development at the time of publication, so the specific tags and APIs shown here are likely to change as the package undergoes further development.</w:t>
      </w:r>
    </w:p>
    <w:p>
      <w:pPr>
        <w:pStyle w:val="Normal"/>
      </w:pPr>
      <w:r>
        <w:t xml:space="preserve">For more complete and up-to-date information, see the </w:t>
      </w:r>
      <w:hyperlink r:id="rId64">
        <w:r>
          <w:rPr>
            <w:rStyle w:val="Text1"/>
          </w:rPr>
          <w:t>PyScript website</w:t>
        </w:r>
      </w:hyperlink>
      <w:r>
        <w:t>.</w:t>
      </w:r>
    </w:p>
    <w:p>
      <w:bookmarkStart w:id="300" w:name="Jupyter__The_extensions_to_the_i"/>
      <w:pPr>
        <w:keepNext/>
        <w:pStyle w:val="Heading 2"/>
      </w:pPr>
      <w:r>
        <w:t>Jupyter</w:t>
      </w:r>
      <w:bookmarkEnd w:id="300"/>
    </w:p>
    <w:p>
      <w:pPr>
        <w:pStyle w:val="Normal"/>
      </w:pPr>
      <w:r>
        <w:t>The</w:t>
      </w:r>
      <w:r>
        <w:rPr>
          <w:rStyle w:val="Text111"/>
        </w:rPr>
        <w:bookmarkStart w:id="301" w:name="idm45965274031616"/>
        <w:t/>
        <w:bookmarkEnd w:id="301"/>
      </w:r>
      <w:r>
        <w:t xml:space="preserve"> extensions to the interactive interpreter in IPython (covered in </w:t>
      </w:r>
      <w:hyperlink w:anchor="IPython__IPython_enhances_CPytho">
        <w:r>
          <w:rPr>
            <w:rStyle w:val="Text1"/>
          </w:rPr>
          <w:t>“IPython”</w:t>
        </w:r>
      </w:hyperlink>
      <w:r>
        <w:t xml:space="preserve">) were further extended by the </w:t>
      </w:r>
      <w:hyperlink r:id="rId190">
        <w:r>
          <w:rPr>
            <w:rStyle w:val="Text1"/>
          </w:rPr>
          <w:t>Jupyter project</w:t>
        </w:r>
      </w:hyperlink>
      <w:r>
        <w:t xml:space="preserve">, best known for the Jupyter Notebook, which offers Python developers a </w:t>
      </w:r>
      <w:hyperlink r:id="rId191">
        <w:r>
          <w:rPr>
            <w:rStyle w:val="Text1"/>
          </w:rPr>
          <w:t xml:space="preserve">“literate </w:t>
          <w:t>programming”</w:t>
        </w:r>
      </w:hyperlink>
      <w:r>
        <w:t xml:space="preserve"> tool. A notebook server, typically accessed via a website, saves and loads each notebook, creating a Python kernel process to execute its Python commands interactively.</w:t>
      </w:r>
    </w:p>
    <w:p>
      <w:pPr>
        <w:pStyle w:val="Normal"/>
      </w:pPr>
      <w:r>
        <w:t xml:space="preserve">Notebooks are a rich environment. Each one is a sequence of cells whose contents may either be code or rich text formatted with the Markdown language extended with LaTeX, allowing complex mathematics to be included. Code cells can produce rich outputs too, including most popular image formats as well as scripted HTML. Special integrations adapt the </w:t>
      </w:r>
      <w:r>
        <w:rPr>
          <w:rStyle w:val="Text0"/>
        </w:rPr>
        <w:t>matplotlib</w:t>
      </w:r>
      <w:r>
        <w:t xml:space="preserve"> library to the web, and there are an increasing number of mechanisms for interaction with notebook code.</w:t>
      </w:r>
    </w:p>
    <w:p>
      <w:pPr>
        <w:pStyle w:val="Normal"/>
      </w:pPr>
      <w:r>
        <w:t xml:space="preserve">Further integrations allow notebooks to appear in other ways. For example, with the right extension, you can easily format a Jupyter notebook as a </w:t>
      </w:r>
      <w:hyperlink r:id="rId192">
        <w:r>
          <w:rPr>
            <w:rStyle w:val="Text1"/>
          </w:rPr>
          <w:t>reveal.js</w:t>
        </w:r>
      </w:hyperlink>
      <w:r>
        <w:t xml:space="preserve"> slideshow for presentations in which the code cells can be interactively executed. </w:t>
      </w:r>
      <w:hyperlink r:id="rId193">
        <w:r>
          <w:rPr>
            <w:rStyle w:val="Text1"/>
          </w:rPr>
          <w:t>Jupyter Book</w:t>
        </w:r>
      </w:hyperlink>
      <w:r>
        <w:t xml:space="preserve"> allows you to collect notebooks together as chapters and publish the collection as a book. GitHub allows browsing (but not executing) of uploaded notebooks (a special renderer provides correct formatting of the notebook).</w:t>
      </w:r>
    </w:p>
    <w:p>
      <w:pPr>
        <w:pStyle w:val="Normal"/>
      </w:pPr>
      <w:r>
        <w:t xml:space="preserve">There are many examples of Jupyter notebooks available on the internet. For a good demonstration of its features, take a look at the </w:t>
      </w:r>
      <w:hyperlink r:id="rId194">
        <w:r>
          <w:rPr>
            <w:rStyle w:val="Text1"/>
          </w:rPr>
          <w:t>Executable Books website</w:t>
        </w:r>
      </w:hyperlink>
      <w:r>
        <w:t>; notebooks underpin its publishing format.</w:t>
      </w:r>
      <w:r>
        <w:rPr>
          <w:rStyle w:val="Text111"/>
        </w:rPr>
        <w:bookmarkStart w:id="302" w:name="idm45965273976416"/>
        <w:t/>
        <w:bookmarkEnd w:id="302"/>
      </w:r>
    </w:p>
    <w:p>
      <w:bookmarkStart w:id="303" w:name="1_This_may_involve_using_quotes"/>
      <w:pPr>
        <w:pStyle w:val="Para 035"/>
      </w:pPr>
      <w:hyperlink w:anchor="1_2">
        <w:r>
          <w:rPr>
            <w:rStyle w:val="Text1"/>
          </w:rPr>
          <w:t>1</w:t>
        </w:r>
      </w:hyperlink>
      <w:r>
        <w:t xml:space="preserve"> This may involve using quotes if the pathname contains spaces—again, this depends on your operating system.</w:t>
      </w:r>
      <w:bookmarkEnd w:id="303"/>
    </w:p>
    <w:p>
      <w:bookmarkStart w:id="304" w:name="2_This_may_affect_code_that_pars"/>
      <w:pPr>
        <w:pStyle w:val="Para 015"/>
      </w:pPr>
      <w:hyperlink w:anchor="2_2">
        <w:r>
          <w:rPr>
            <w:rStyle w:val="Text1"/>
          </w:rPr>
          <w:t>2</w:t>
        </w:r>
      </w:hyperlink>
      <w:r>
        <w:t xml:space="preserve"> This may affect code that parses docstrings for meaningful purposes; we suggest you avoid writing such code.</w:t>
      </w:r>
      <w:bookmarkEnd w:id="304"/>
    </w:p>
    <w:p>
      <w:bookmarkStart w:id="305" w:name="3_A_great_place_to_start_is_Lear"/>
      <w:pPr>
        <w:pStyle w:val="Para 015"/>
      </w:pPr>
      <w:hyperlink w:anchor="3_2">
        <w:r>
          <w:rPr>
            <w:rStyle w:val="Text1"/>
          </w:rPr>
          <w:t>3</w:t>
        </w:r>
      </w:hyperlink>
      <w:r>
        <w:t xml:space="preserve"> A great place to start is </w:t>
      </w:r>
      <w:hyperlink r:id="rId195">
        <w:r>
          <w:rPr>
            <w:rStyle w:val="Text24"/>
          </w:rPr>
          <w:t>Learning GNU Emacs</w:t>
        </w:r>
      </w:hyperlink>
      <w:hyperlink r:id="rId195">
        <w:r>
          <w:rPr>
            <w:rStyle w:val="Text1"/>
          </w:rPr>
          <w:t>, 3rd edition</w:t>
        </w:r>
      </w:hyperlink>
      <w:r>
        <w:t xml:space="preserve"> (O’Reilly).</w:t>
      </w:r>
      <w:bookmarkEnd w:id="305"/>
    </w:p>
    <w:p>
      <w:bookmarkStart w:id="306" w:name="4_Not_only_as__an_editor___but_a"/>
      <w:pPr>
        <w:pStyle w:val="Para 015"/>
      </w:pPr>
      <w:hyperlink w:anchor="4_1">
        <w:r>
          <w:rPr>
            <w:rStyle w:val="Text1"/>
          </w:rPr>
          <w:t>4</w:t>
        </w:r>
      </w:hyperlink>
      <w:r>
        <w:t xml:space="preserve"> Not only as “an editor,” but also as Alex’s favorite “as close to an IDE as Alex will go” tool!</w:t>
      </w:r>
      <w:bookmarkEnd w:id="306"/>
    </w:p>
    <w:p>
      <w:bookmarkStart w:id="307" w:name="5_pylint_also_includes_the_usefu"/>
      <w:pPr>
        <w:pStyle w:val="Para 015"/>
      </w:pPr>
      <w:hyperlink w:anchor="5_1">
        <w:r>
          <w:rPr>
            <w:rStyle w:val="Text1"/>
          </w:rPr>
          <w:t>5</w:t>
        </w:r>
      </w:hyperlink>
      <w:r>
        <w:t xml:space="preserve"> </w:t>
      </w:r>
      <w:r>
        <w:rPr>
          <w:rStyle w:val="Text25"/>
        </w:rPr>
        <w:t>pylint</w:t>
      </w:r>
      <w:r>
        <w:t xml:space="preserve"> also includes the useful </w:t>
      </w:r>
      <w:hyperlink r:id="rId196">
        <w:r>
          <w:rPr>
            <w:rStyle w:val="Text74"/>
          </w:rPr>
          <w:t>pyreverse</w:t>
        </w:r>
      </w:hyperlink>
      <w:r>
        <w:t xml:space="preserve"> utility to autogenerate </w:t>
      </w:r>
      <w:hyperlink r:id="rId197">
        <w:r>
          <w:rPr>
            <w:rStyle w:val="Text1"/>
          </w:rPr>
          <w:t>UML</w:t>
        </w:r>
      </w:hyperlink>
      <w:r>
        <w:t xml:space="preserve"> class and package diagrams directly from your Python code.</w:t>
      </w:r>
      <w:bookmarkEnd w:id="307"/>
    </w:p>
    <w:p>
      <w:bookmarkStart w:id="308" w:name="6_Or_online__Paul__for_example"/>
      <w:pPr>
        <w:pStyle w:val="Para 015"/>
      </w:pPr>
      <w:hyperlink w:anchor="6_1">
        <w:r>
          <w:rPr>
            <w:rStyle w:val="Text1"/>
          </w:rPr>
          <w:t>6</w:t>
        </w:r>
      </w:hyperlink>
      <w:r>
        <w:t xml:space="preserve"> Or online: Paul, for example, maintains a </w:t>
      </w:r>
      <w:hyperlink r:id="rId198">
        <w:r>
          <w:rPr>
            <w:rStyle w:val="Text1"/>
          </w:rPr>
          <w:t>list</w:t>
        </w:r>
      </w:hyperlink>
      <w:r>
        <w:t xml:space="preserve"> of online Python </w:t>
        <w:t>interpreters</w:t>
        <w:t>.</w:t>
      </w:r>
      <w:bookmarkEnd w:id="308"/>
    </w:p>
    <w:p>
      <w:bookmarkStart w:id="309" w:name="7_A_great_example_of_the_synergy"/>
      <w:pPr>
        <w:pStyle w:val="Para 015"/>
      </w:pPr>
      <w:hyperlink w:anchor="7_1">
        <w:r>
          <w:rPr>
            <w:rStyle w:val="Text1"/>
          </w:rPr>
          <w:t>7</w:t>
        </w:r>
      </w:hyperlink>
      <w:r>
        <w:t xml:space="preserve"> A great example of the synergy open source gets by projects “standing on the shoulders of giants” as an ordinary, everyday thing!</w:t>
      </w:r>
      <w:bookmarkEnd w:id="309"/>
    </w:p>
    <w:p>
      <w:bookmarkStart w:id="310" w:name="Top_of_ch03_html"/>
      <w:bookmarkStart w:id="311" w:name="Chapter_3__The_Python_Language_1"/>
      <w:bookmarkStart w:id="312" w:name="Chapter_3__The_Python_Language_2"/>
      <w:bookmarkStart w:id="313" w:name="Chapter_3__The_Python_Language"/>
      <w:pPr>
        <w:keepNext/>
        <w:pStyle w:val="Heading 1"/>
        <w:pageBreakBefore w:val="on"/>
      </w:pPr>
      <w:r>
        <w:t xml:space="preserve">Chapter 3. </w:t>
        <w:t>The Python Language</w:t>
      </w:r>
      <w:bookmarkEnd w:id="310"/>
      <w:bookmarkEnd w:id="311"/>
      <w:bookmarkEnd w:id="312"/>
      <w:bookmarkEnd w:id="313"/>
    </w:p>
    <w:p>
      <w:pPr>
        <w:pStyle w:val="Normal"/>
      </w:pPr>
      <w:r>
        <w:t>This chapter is a guide to the Python language. To learn Python from scratch, we suggest you start with the appropriate links from the</w:t>
      </w:r>
      <w:r>
        <w:rPr>
          <w:rStyle w:val="Text111"/>
        </w:rPr>
        <w:bookmarkStart w:id="314" w:name="idm45965273972560"/>
        <w:t/>
        <w:bookmarkEnd w:id="314"/>
      </w:r>
      <w:r>
        <w:t xml:space="preserve"> </w:t>
      </w:r>
      <w:hyperlink r:id="rId199">
        <w:r>
          <w:rPr>
            <w:rStyle w:val="Text1"/>
          </w:rPr>
          <w:t>online docs</w:t>
        </w:r>
      </w:hyperlink>
      <w:r>
        <w:t xml:space="preserve"> and the resources mentioned in </w:t>
      </w:r>
      <w:hyperlink w:anchor="Python_documentation_for_nonprog">
        <w:r>
          <w:rPr>
            <w:rStyle w:val="Text1"/>
          </w:rPr>
          <w:t>“Python documentation for nonprogrammers”</w:t>
        </w:r>
      </w:hyperlink>
      <w:r>
        <w:t>. If you already know at least one other programming language well, and just want to learn specifics about Python, this chapter is for you. However, we’re not trying to teach Python: we cover a lot of ground at a pretty fast pace. We focus on the rules, and only secondarily point out best practices and style; as your</w:t>
      </w:r>
      <w:r>
        <w:rPr>
          <w:rStyle w:val="Text111"/>
        </w:rPr>
        <w:bookmarkStart w:id="315" w:name="idm45965273969408"/>
        <w:t/>
        <w:bookmarkEnd w:id="315"/>
      </w:r>
      <w:r>
        <w:t xml:space="preserve"> Python style guide, use </w:t>
      </w:r>
      <w:hyperlink r:id="rId200">
        <w:r>
          <w:rPr>
            <w:rStyle w:val="Text1"/>
          </w:rPr>
          <w:t>PEP 8</w:t>
        </w:r>
      </w:hyperlink>
      <w:r>
        <w:t xml:space="preserve"> (optionally augmented by extra guidelines such as those of </w:t>
      </w:r>
      <w:hyperlink r:id="rId201">
        <w:r>
          <w:rPr>
            <w:rStyle w:val="Text1"/>
          </w:rPr>
          <w:t>“The Hitchhiker’s Guide to Python”</w:t>
        </w:r>
      </w:hyperlink>
      <w:r>
        <w:t xml:space="preserve">, </w:t>
      </w:r>
      <w:hyperlink r:id="rId202">
        <w:r>
          <w:rPr>
            <w:rStyle w:val="Text1"/>
          </w:rPr>
          <w:t>CKAN</w:t>
        </w:r>
      </w:hyperlink>
      <w:r>
        <w:t xml:space="preserve">, and </w:t>
      </w:r>
      <w:hyperlink r:id="rId203">
        <w:r>
          <w:rPr>
            <w:rStyle w:val="Text1"/>
          </w:rPr>
          <w:t>Google</w:t>
        </w:r>
      </w:hyperlink>
      <w:r>
        <w:t>).</w:t>
      </w:r>
    </w:p>
    <w:p>
      <w:bookmarkStart w:id="316" w:name="Lexical_Structure__The_lexical_s"/>
      <w:pPr>
        <w:keepNext/>
        <w:pStyle w:val="Heading 1"/>
      </w:pPr>
      <w:r>
        <w:t>Lexical Structure</w:t>
      </w:r>
      <w:bookmarkEnd w:id="316"/>
    </w:p>
    <w:p>
      <w:pPr>
        <w:pStyle w:val="Normal"/>
      </w:pPr>
      <w:r>
        <w:t>The</w:t>
      </w:r>
      <w:r>
        <w:rPr>
          <w:rStyle w:val="Text111"/>
        </w:rPr>
        <w:bookmarkStart w:id="317" w:name="PLlex03"/>
        <w:t/>
        <w:bookmarkEnd w:id="317"/>
        <w:bookmarkStart w:id="318" w:name="lexst03"/>
        <w:t/>
        <w:bookmarkEnd w:id="318"/>
        <w:bookmarkStart w:id="319" w:name="idm45965274436208"/>
        <w:t/>
        <w:bookmarkEnd w:id="319"/>
      </w:r>
      <w:r>
        <w:t xml:space="preserve"> </w:t>
      </w:r>
      <w:r>
        <w:rPr>
          <w:rStyle w:val="Text4"/>
        </w:rPr>
        <w:t>lexical structure</w:t>
      </w:r>
      <w:r>
        <w:t xml:space="preserve"> of a programming language is the set of basic rules that govern how you write programs in that language. It is the lowest-level syntax of the language, specifying such things as what variable names look like and how to denote comments. Each Python source file, like any other text file, is a sequence of characters. You can also usefully consider it a sequence of lines, tokens, or statements. These different lexical views complement each other. Python is very particular about program layout, especially lines and indentation: pay attention to this information if you are coming to Python from another language.</w:t>
      </w:r>
    </w:p>
    <w:p>
      <w:bookmarkStart w:id="320" w:name="Lines_and_Indentation__A_Python"/>
      <w:pPr>
        <w:keepNext/>
        <w:pStyle w:val="Heading 2"/>
      </w:pPr>
      <w:r>
        <w:t>Lines and Indentation</w:t>
      </w:r>
      <w:bookmarkEnd w:id="320"/>
    </w:p>
    <w:p>
      <w:pPr>
        <w:pStyle w:val="Normal"/>
      </w:pPr>
      <w:r>
        <w:t>A</w:t>
      </w:r>
      <w:r>
        <w:rPr>
          <w:rStyle w:val="Text111"/>
        </w:rPr>
        <w:bookmarkStart w:id="321" w:name="idm45965274431616"/>
        <w:t/>
        <w:bookmarkEnd w:id="321"/>
        <w:bookmarkStart w:id="322" w:name="idm45965274430208"/>
        <w:t/>
        <w:bookmarkEnd w:id="322"/>
        <w:bookmarkStart w:id="323" w:name="idm45965274429104"/>
        <w:t/>
        <w:bookmarkEnd w:id="323"/>
        <w:bookmarkStart w:id="324" w:name="idm45965274428000"/>
        <w:t/>
        <w:bookmarkEnd w:id="324"/>
        <w:bookmarkStart w:id="325" w:name="idm45965274426896"/>
        <w:t/>
        <w:bookmarkEnd w:id="325"/>
      </w:r>
      <w:r>
        <w:t xml:space="preserve"> Python program is a sequence of </w:t>
      </w:r>
      <w:r>
        <w:rPr>
          <w:rStyle w:val="Text4"/>
        </w:rPr>
        <w:t>logical lines</w:t>
      </w:r>
      <w:r>
        <w:t xml:space="preserve">, each made up of one or more </w:t>
      </w:r>
      <w:r>
        <w:rPr>
          <w:rStyle w:val="Text4"/>
        </w:rPr>
        <w:t>physical lines</w:t>
      </w:r>
      <w:r>
        <w:t>. Each physical line may end with a comment. A</w:t>
      </w:r>
      <w:r>
        <w:rPr>
          <w:rStyle w:val="Text111"/>
        </w:rPr>
        <w:bookmarkStart w:id="326" w:name="idm45965274424832"/>
        <w:t/>
        <w:bookmarkEnd w:id="326"/>
        <w:bookmarkStart w:id="327" w:name="idm45965274423728"/>
        <w:t/>
        <w:bookmarkEnd w:id="327"/>
      </w:r>
      <w:r>
        <w:t xml:space="preserve"> hash sign (</w:t>
      </w:r>
      <w:r>
        <w:rPr>
          <w:rStyle w:val="Text0"/>
        </w:rPr>
        <w:t>#</w:t>
      </w:r>
      <w:r>
        <w:t xml:space="preserve">) that is not inside a string literal starts a comment. All characters after the </w:t>
      </w:r>
      <w:r>
        <w:rPr>
          <w:rStyle w:val="Text0"/>
        </w:rPr>
        <w:t>#</w:t>
      </w:r>
      <w:r>
        <w:t>, up to but excluding the line end, are the comment: Python ignores them. A line containing only whitespace, possibly with a comment, is a</w:t>
      </w:r>
      <w:r>
        <w:rPr>
          <w:rStyle w:val="Text111"/>
        </w:rPr>
        <w:bookmarkStart w:id="328" w:name="idm45965274421088"/>
        <w:t/>
        <w:bookmarkEnd w:id="328"/>
      </w:r>
      <w:r>
        <w:t xml:space="preserve"> </w:t>
      </w:r>
      <w:r>
        <w:rPr>
          <w:rStyle w:val="Text4"/>
        </w:rPr>
        <w:t>blank line</w:t>
      </w:r>
      <w:r>
        <w:t>: Python ignores it. In an interactive interpreter session, you must enter an</w:t>
      </w:r>
      <w:r>
        <w:rPr>
          <w:rStyle w:val="Text111"/>
        </w:rPr>
        <w:bookmarkStart w:id="329" w:name="idm45965274419408"/>
        <w:t/>
        <w:bookmarkEnd w:id="329"/>
      </w:r>
      <w:r>
        <w:t xml:space="preserve"> empty physical line (without any whitespace or comment) to terminate a multiline statement.</w:t>
      </w:r>
    </w:p>
    <w:p>
      <w:pPr>
        <w:pStyle w:val="Normal"/>
      </w:pPr>
      <w:r>
        <w:t>In Python, the end of a physical line marks the end of most statements. Unlike in other languages, you don’t normally terminate Python statements with a delimiter, such as a</w:t>
      </w:r>
      <w:r>
        <w:rPr>
          <w:rStyle w:val="Text111"/>
        </w:rPr>
        <w:bookmarkStart w:id="330" w:name="idm45965274417936"/>
        <w:t/>
        <w:bookmarkEnd w:id="330"/>
        <w:bookmarkStart w:id="331" w:name="idm45965274416176"/>
        <w:t/>
        <w:bookmarkEnd w:id="331"/>
      </w:r>
      <w:r>
        <w:t xml:space="preserve"> semicolon (</w:t>
      </w:r>
      <w:r>
        <w:rPr>
          <w:rStyle w:val="Text0"/>
        </w:rPr>
        <w:t>;</w:t>
      </w:r>
      <w:r>
        <w:t>). When a statement is too long to fit on a physical line, you can join two adjacent physical lines into a logical line by ensuring that the first physical line does not contain a comment and ends with a</w:t>
      </w:r>
      <w:r>
        <w:rPr>
          <w:rStyle w:val="Text111"/>
        </w:rPr>
        <w:bookmarkStart w:id="332" w:name="idm45965274413952"/>
        <w:t/>
        <w:bookmarkEnd w:id="332"/>
        <w:bookmarkStart w:id="333" w:name="idm45965274412576"/>
        <w:t/>
        <w:bookmarkEnd w:id="333"/>
      </w:r>
      <w:r>
        <w:t xml:space="preserve"> backslash (</w:t>
      </w:r>
      <w:r>
        <w:rPr>
          <w:rStyle w:val="Text0"/>
        </w:rPr>
        <w:t>\</w:t>
      </w:r>
      <w:r>
        <w:t>). More elegantly, Python also automatically joins adjacent physical lines into one logical line if an open</w:t>
      </w:r>
      <w:r>
        <w:rPr>
          <w:rStyle w:val="Text111"/>
        </w:rPr>
        <w:bookmarkStart w:id="334" w:name="idm45965274409952"/>
        <w:t/>
        <w:bookmarkEnd w:id="334"/>
        <w:bookmarkStart w:id="335" w:name="idm45965274408576"/>
        <w:t/>
        <w:bookmarkEnd w:id="335"/>
        <w:bookmarkStart w:id="336" w:name="idm45965274407200"/>
        <w:t/>
        <w:bookmarkEnd w:id="336"/>
        <w:bookmarkStart w:id="337" w:name="idm45965274405824"/>
        <w:t/>
        <w:bookmarkEnd w:id="337"/>
        <w:bookmarkStart w:id="338" w:name="idm45965274404176"/>
        <w:t/>
        <w:bookmarkEnd w:id="338"/>
        <w:bookmarkStart w:id="339" w:name="idm45965274402800"/>
        <w:t/>
        <w:bookmarkEnd w:id="339"/>
      </w:r>
      <w:r>
        <w:t xml:space="preserve"> parenthesis (</w:t>
      </w:r>
      <w:r>
        <w:rPr>
          <w:rStyle w:val="Text0"/>
        </w:rPr>
        <w:t>(</w:t>
      </w:r>
      <w:r>
        <w:t>), bracket (</w:t>
      </w:r>
      <w:r>
        <w:rPr>
          <w:rStyle w:val="Text0"/>
        </w:rPr>
        <w:t>[</w:t>
      </w:r>
      <w:r>
        <w:t>), or brace (</w:t>
      </w:r>
      <w:r>
        <w:rPr>
          <w:rStyle w:val="Text0"/>
        </w:rPr>
        <w:t>{</w:t>
      </w:r>
      <w:r>
        <w:t>) has not yet been closed: take advantage of this mechanism to produce more readable code than you’d get with backslashes at line ends. Triple-quoted string literals can also span physical lines. Physical lines after the first one in a logical line are known</w:t>
      </w:r>
      <w:r>
        <w:rPr>
          <w:rStyle w:val="Text111"/>
        </w:rPr>
        <w:bookmarkStart w:id="340" w:name="idm45965274399136"/>
        <w:t/>
        <w:bookmarkEnd w:id="340"/>
      </w:r>
      <w:r>
        <w:t xml:space="preserve"> as </w:t>
      </w:r>
      <w:r>
        <w:rPr>
          <w:rStyle w:val="Text4"/>
        </w:rPr>
        <w:t>continuation lines</w:t>
      </w:r>
      <w:r>
        <w:t>. Indentation rules apply to the first physical line of each logical line, not to continuation lines.</w:t>
      </w:r>
    </w:p>
    <w:p>
      <w:pPr>
        <w:pStyle w:val="Normal"/>
      </w:pPr>
      <w:r>
        <w:t>Python uses indentation to express the</w:t>
      </w:r>
      <w:r>
        <w:rPr>
          <w:rStyle w:val="Text111"/>
        </w:rPr>
        <w:bookmarkStart w:id="341" w:name="idm45965274396992"/>
        <w:t/>
        <w:bookmarkEnd w:id="341"/>
        <w:bookmarkStart w:id="342" w:name="idm45965274395888"/>
        <w:t/>
        <w:bookmarkEnd w:id="342"/>
      </w:r>
      <w:r>
        <w:t xml:space="preserve"> block structure of a program. Python does not use braces, or other begin/end delimiters, around blocks of statements; indentation is the only way to denote blocks. Each logical line in a Python program is </w:t>
      </w:r>
      <w:r>
        <w:rPr>
          <w:rStyle w:val="Text4"/>
        </w:rPr>
        <w:t>indented</w:t>
      </w:r>
      <w:r>
        <w:t xml:space="preserve"> by the</w:t>
      </w:r>
      <w:r>
        <w:rPr>
          <w:rStyle w:val="Text111"/>
        </w:rPr>
        <w:bookmarkStart w:id="343" w:name="idm45965274393968"/>
        <w:t/>
        <w:bookmarkEnd w:id="343"/>
      </w:r>
      <w:r>
        <w:t xml:space="preserve"> whitespace on its left. A </w:t>
      </w:r>
      <w:r>
        <w:rPr>
          <w:rStyle w:val="Text4"/>
        </w:rPr>
        <w:t>block</w:t>
      </w:r>
      <w:r>
        <w:t xml:space="preserve"> is a contiguous sequence of logical lines, all indented by the same amount; a logical line with less indentation ends the block. All statements in a block must have the same indentation, as must all clauses in a compound statement. The first statement in a source file must have no indentation (i.e., must not begin with any whitespace). Statements that you type at the interactive interpreter primary prompt, </w:t>
      </w:r>
      <w:r>
        <w:rPr>
          <w:rStyle w:val="Text0"/>
        </w:rPr>
        <w:t>&gt;&gt;&gt;</w:t>
      </w:r>
      <w:r>
        <w:t xml:space="preserve"> (covered in </w:t>
      </w:r>
      <w:hyperlink w:anchor="Interactive_Sessions__When_you_r">
        <w:r>
          <w:rPr>
            <w:rStyle w:val="Text1"/>
          </w:rPr>
          <w:t>“Interactive Sessions”</w:t>
        </w:r>
      </w:hyperlink>
      <w:r>
        <w:t>), must also have no indentation.</w:t>
      </w:r>
    </w:p>
    <w:p>
      <w:pPr>
        <w:pStyle w:val="Normal"/>
      </w:pPr>
      <w:r>
        <w:t>Python treats each</w:t>
      </w:r>
      <w:r>
        <w:rPr>
          <w:rStyle w:val="Text111"/>
        </w:rPr>
        <w:bookmarkStart w:id="344" w:name="idm45965274390272"/>
        <w:t/>
        <w:bookmarkEnd w:id="344"/>
      </w:r>
      <w:r>
        <w:t xml:space="preserve"> tab as if it was up to 8 spaces, so that the next character after the tab falls into logical column 9, 17, 25, and so on. Standard Python style is to use four spaces (</w:t>
      </w:r>
      <w:r>
        <w:rPr>
          <w:rStyle w:val="Text4"/>
        </w:rPr>
        <w:t>never</w:t>
      </w:r>
      <w:r>
        <w:t xml:space="preserve"> tabs) per indentation level.</w:t>
      </w:r>
    </w:p>
    <w:p>
      <w:pPr>
        <w:pStyle w:val="Normal"/>
      </w:pPr>
      <w:r>
        <w:t>If you must use tabs, Python does not allow mixing tabs and</w:t>
      </w:r>
      <w:r>
        <w:rPr>
          <w:rStyle w:val="Text111"/>
        </w:rPr>
        <w:bookmarkStart w:id="345" w:name="idm45965274388176"/>
        <w:t/>
        <w:bookmarkEnd w:id="345"/>
      </w:r>
      <w:r>
        <w:t xml:space="preserve"> spaces for indentation.</w:t>
      </w:r>
    </w:p>
    <w:p>
      <w:pPr>
        <w:keepNext/>
        <w:pStyle w:val="Heading 5"/>
        <w:keepLines w:val="on"/>
      </w:pPr>
      <w:r>
        <w:t>Use Spaces, Not Tabs</w:t>
      </w:r>
    </w:p>
    <w:p>
      <w:pPr>
        <w:pStyle w:val="Para 012"/>
        <w:keepLines w:val="on"/>
      </w:pPr>
      <w:r>
        <w:t>Configure your favorite editor to expand a Tab keypress to four spaces, so that all Python source code you write contains just spaces, not tabs. This way, all tools, including Python itself, are consistent in handling indentation in your Python source files. Optimal Python style is to indent blocks by exactly four spaces; use no tab characters.</w:t>
      </w:r>
    </w:p>
    <w:p>
      <w:bookmarkStart w:id="346" w:name="Character_Sets__A_Python_source"/>
      <w:pPr>
        <w:keepNext/>
        <w:pStyle w:val="Heading 2"/>
      </w:pPr>
      <w:r>
        <w:t>Character Sets</w:t>
      </w:r>
      <w:bookmarkEnd w:id="346"/>
    </w:p>
    <w:p>
      <w:pPr>
        <w:pStyle w:val="Normal"/>
      </w:pPr>
      <w:r>
        <w:t>A</w:t>
      </w:r>
      <w:r>
        <w:rPr>
          <w:rStyle w:val="Text111"/>
        </w:rPr>
        <w:bookmarkStart w:id="347" w:name="idm45965274383504"/>
        <w:t/>
        <w:bookmarkEnd w:id="347"/>
        <w:bookmarkStart w:id="348" w:name="idm45965274382096"/>
        <w:t/>
        <w:bookmarkEnd w:id="348"/>
      </w:r>
      <w:r>
        <w:t xml:space="preserve"> Python source file can use any Unicode character, encoded by default as</w:t>
      </w:r>
      <w:r>
        <w:rPr>
          <w:rStyle w:val="Text111"/>
        </w:rPr>
        <w:bookmarkStart w:id="349" w:name="idm45965274380864"/>
        <w:t/>
        <w:bookmarkEnd w:id="349"/>
      </w:r>
      <w:r>
        <w:t xml:space="preserve"> UTF-8. (Characters with codes between 0 and 127, the 7-bit</w:t>
      </w:r>
      <w:r>
        <w:rPr>
          <w:rStyle w:val="Text111"/>
        </w:rPr>
        <w:bookmarkStart w:id="350" w:name="idm45965274379632"/>
        <w:t/>
        <w:bookmarkEnd w:id="350"/>
      </w:r>
      <w:r>
        <w:t xml:space="preserve"> </w:t>
      </w:r>
      <w:r>
        <w:rPr>
          <w:rStyle w:val="Text4"/>
        </w:rPr>
        <w:t>ASCII characters</w:t>
      </w:r>
      <w:r>
        <w:t>, encode in UTF-8 into the respective single bytes, so an ASCII text file is a fine Python source file, too.)</w:t>
      </w:r>
    </w:p>
    <w:p>
      <w:pPr>
        <w:pStyle w:val="Normal"/>
      </w:pPr>
      <w:r>
        <w:t>You may choose to tell Python that a certain source file is written in a different encoding. In this case, Python uses that encoding to read the file. To let Python know that a source file is written with a nonstandard encoding, start your source file with a comment whose form must be, for example:</w:t>
      </w:r>
    </w:p>
    <w:p>
      <w:pPr>
        <w:pStyle w:val="Para 046"/>
      </w:pPr>
      <w:r>
        <w:rPr>
          <w:rStyle w:val="Text23"/>
        </w:rPr>
        <w:t xml:space="preserve"/>
        <w:br w:clear="none"/>
      </w:r>
      <w:r>
        <w:t xml:space="preserve"># coding: iso-8859-1</w:t>
        <w:br w:clear="none"/>
      </w:r>
    </w:p>
    <w:p>
      <w:pPr>
        <w:pStyle w:val="Normal"/>
      </w:pPr>
      <w:r>
        <w:t xml:space="preserve">After </w:t>
      </w:r>
      <w:r>
        <w:rPr>
          <w:rStyle w:val="Text0"/>
        </w:rPr>
        <w:t>coding:</w:t>
      </w:r>
      <w:r>
        <w:t xml:space="preserve">, write the name of an ASCII-compatible codec from the </w:t>
      </w:r>
      <w:r>
        <w:rPr>
          <w:rStyle w:val="Text0"/>
        </w:rPr>
        <w:t>codecs</w:t>
      </w:r>
      <w:r>
        <w:t xml:space="preserve"> module, such as </w:t>
      </w:r>
      <w:r>
        <w:rPr>
          <w:rStyle w:val="Text0"/>
        </w:rPr>
        <w:t>utf-8</w:t>
      </w:r>
      <w:r>
        <w:t xml:space="preserve"> or </w:t>
      </w:r>
      <w:r>
        <w:rPr>
          <w:rStyle w:val="Text0"/>
        </w:rPr>
        <w:t>iso-8859-1</w:t>
      </w:r>
      <w:r>
        <w:t>. Note that this</w:t>
      </w:r>
      <w:r>
        <w:rPr>
          <w:rStyle w:val="Text111"/>
        </w:rPr>
        <w:bookmarkStart w:id="351" w:name="idm45965284074320"/>
        <w:t/>
        <w:bookmarkEnd w:id="351"/>
      </w:r>
      <w:r>
        <w:t xml:space="preserve"> </w:t>
      </w:r>
      <w:r>
        <w:rPr>
          <w:rStyle w:val="Text4"/>
        </w:rPr>
        <w:t>coding directive</w:t>
      </w:r>
      <w:r>
        <w:t xml:space="preserve"> comment (also known as an</w:t>
      </w:r>
      <w:r>
        <w:rPr>
          <w:rStyle w:val="Text111"/>
        </w:rPr>
        <w:bookmarkStart w:id="352" w:name="idm45965284072640"/>
        <w:t/>
        <w:bookmarkEnd w:id="352"/>
      </w:r>
      <w:r>
        <w:t xml:space="preserve"> </w:t>
      </w:r>
      <w:r>
        <w:rPr>
          <w:rStyle w:val="Text4"/>
        </w:rPr>
        <w:t>encoding declaration</w:t>
      </w:r>
      <w:r>
        <w:t>) is taken as such only if it is at the start of a source file (possibly after the</w:t>
      </w:r>
      <w:r>
        <w:rPr>
          <w:rStyle w:val="Text111"/>
        </w:rPr>
        <w:bookmarkStart w:id="353" w:name="idm45965284070160"/>
        <w:t/>
        <w:bookmarkEnd w:id="353"/>
        <w:bookmarkStart w:id="354" w:name="idm45965284069056"/>
        <w:t/>
        <w:bookmarkEnd w:id="354"/>
      </w:r>
      <w:r>
        <w:t xml:space="preserve"> “shebang line” covered in </w:t>
      </w:r>
      <w:hyperlink w:anchor="Running_Python_Programs__Whateve">
        <w:r>
          <w:rPr>
            <w:rStyle w:val="Text1"/>
          </w:rPr>
          <w:t>“Running Python Programs”</w:t>
        </w:r>
      </w:hyperlink>
      <w:r>
        <w:t xml:space="preserve">). Best practice is to use </w:t>
      </w:r>
      <w:r>
        <w:rPr>
          <w:rStyle w:val="Text0"/>
        </w:rPr>
        <w:t>utf-8</w:t>
      </w:r>
      <w:r>
        <w:t xml:space="preserve"> for all of your text files, including Python source files.</w:t>
      </w:r>
    </w:p>
    <w:p>
      <w:bookmarkStart w:id="355" w:name="Tokens__Python_breaks_each_logic"/>
      <w:pPr>
        <w:keepNext/>
        <w:pStyle w:val="Heading 2"/>
      </w:pPr>
      <w:r>
        <w:t>Tokens</w:t>
      </w:r>
      <w:bookmarkEnd w:id="355"/>
    </w:p>
    <w:p>
      <w:pPr>
        <w:pStyle w:val="Normal"/>
      </w:pPr>
      <w:r>
        <w:t>Python</w:t>
      </w:r>
      <w:r>
        <w:rPr>
          <w:rStyle w:val="Text111"/>
        </w:rPr>
        <w:bookmarkStart w:id="356" w:name="idm45965274371104"/>
        <w:t/>
        <w:bookmarkEnd w:id="356"/>
        <w:bookmarkStart w:id="357" w:name="tokens03"/>
        <w:t/>
        <w:bookmarkEnd w:id="357"/>
      </w:r>
      <w:r>
        <w:t xml:space="preserve"> breaks each logical line into a sequence of elementary lexical components known as </w:t>
      </w:r>
      <w:r>
        <w:rPr>
          <w:rStyle w:val="Text4"/>
        </w:rPr>
        <w:t>tokens</w:t>
      </w:r>
      <w:r>
        <w:t>. Each token corresponds to a substring of the logical line. The normal</w:t>
      </w:r>
      <w:r>
        <w:rPr>
          <w:rStyle w:val="Text111"/>
        </w:rPr>
        <w:bookmarkStart w:id="358" w:name="idm45965274364112"/>
        <w:t/>
        <w:bookmarkEnd w:id="358"/>
      </w:r>
      <w:r>
        <w:t xml:space="preserve"> token types are </w:t>
      </w:r>
      <w:r>
        <w:rPr>
          <w:rStyle w:val="Text4"/>
        </w:rPr>
        <w:t>identifiers</w:t>
      </w:r>
      <w:r>
        <w:t xml:space="preserve">, </w:t>
      </w:r>
      <w:r>
        <w:rPr>
          <w:rStyle w:val="Text4"/>
        </w:rPr>
        <w:t>keywords</w:t>
      </w:r>
      <w:r>
        <w:t xml:space="preserve">, </w:t>
      </w:r>
      <w:r>
        <w:rPr>
          <w:rStyle w:val="Text4"/>
        </w:rPr>
        <w:t>operators</w:t>
      </w:r>
      <w:r>
        <w:t xml:space="preserve">, </w:t>
      </w:r>
      <w:r>
        <w:rPr>
          <w:rStyle w:val="Text4"/>
        </w:rPr>
        <w:t>delimiters</w:t>
      </w:r>
      <w:r>
        <w:t xml:space="preserve">, and </w:t>
      </w:r>
      <w:r>
        <w:rPr>
          <w:rStyle w:val="Text4"/>
        </w:rPr>
        <w:t>literals</w:t>
      </w:r>
      <w:r>
        <w:t xml:space="preserve">, which we cover in the following sections. You may freely use whitespace between tokens to separate them. Some whitespace separation is necessary between logically adjacent identifiers or keywords; otherwise, Python would parse them as a single longer identifier. For example, </w:t>
      </w:r>
      <w:r>
        <w:rPr>
          <w:rStyle w:val="Text0"/>
        </w:rPr>
        <w:t>ifx</w:t>
      </w:r>
      <w:r>
        <w:t xml:space="preserve"> is a single identifier; to write the keyword </w:t>
      </w:r>
      <w:r>
        <w:rPr>
          <w:rStyle w:val="Text5"/>
        </w:rPr>
        <w:t>if</w:t>
      </w:r>
      <w:r>
        <w:t xml:space="preserve"> followed by the identifier </w:t>
      </w:r>
      <w:r>
        <w:rPr>
          <w:rStyle w:val="Text0"/>
        </w:rPr>
        <w:t>x</w:t>
      </w:r>
      <w:r>
        <w:t xml:space="preserve">, you need to insert some whitespace (typically only one space character, i.e., </w:t>
      </w:r>
      <w:r>
        <w:rPr>
          <w:rStyle w:val="Text5"/>
        </w:rPr>
        <w:t>if</w:t>
      </w:r>
      <w:r>
        <w:t xml:space="preserve"> </w:t>
      </w:r>
      <w:r>
        <w:rPr>
          <w:rStyle w:val="Text0"/>
        </w:rPr>
        <w:t>x</w:t>
      </w:r>
      <w:r>
        <w:t>).</w:t>
      </w:r>
    </w:p>
    <w:p>
      <w:bookmarkStart w:id="359" w:name="Identifiers__An_identifier_is_a"/>
      <w:pPr>
        <w:keepNext/>
        <w:pStyle w:val="Heading 2"/>
      </w:pPr>
      <w:r>
        <w:t>Identifiers</w:t>
      </w:r>
      <w:bookmarkEnd w:id="359"/>
    </w:p>
    <w:p>
      <w:pPr>
        <w:pStyle w:val="Normal"/>
      </w:pPr>
      <w:r>
        <w:t>An</w:t>
      </w:r>
      <w:r>
        <w:rPr>
          <w:rStyle w:val="Text111"/>
        </w:rPr>
        <w:bookmarkStart w:id="360" w:name="idm45965274350480"/>
        <w:t/>
        <w:bookmarkEnd w:id="360"/>
        <w:bookmarkStart w:id="361" w:name="idm45965274349072"/>
        <w:t/>
        <w:bookmarkEnd w:id="361"/>
      </w:r>
      <w:r>
        <w:t xml:space="preserve"> </w:t>
      </w:r>
      <w:r>
        <w:rPr>
          <w:rStyle w:val="Text4"/>
        </w:rPr>
        <w:t>identifier</w:t>
      </w:r>
      <w:r>
        <w:t xml:space="preserve"> is a name used to specify a variable, function, class, module, or other object. An identifier starts with a letter (that is, any character that Unicode classifies as a letter) or an</w:t>
      </w:r>
      <w:r>
        <w:rPr>
          <w:rStyle w:val="Text111"/>
        </w:rPr>
        <w:bookmarkStart w:id="362" w:name="idm45965274347392"/>
        <w:t/>
        <w:bookmarkEnd w:id="362"/>
        <w:bookmarkStart w:id="363" w:name="idm45965274345744"/>
        <w:t/>
        <w:bookmarkEnd w:id="363"/>
      </w:r>
      <w:r>
        <w:t xml:space="preserve"> underscore (</w:t>
      </w:r>
      <w:r>
        <w:rPr>
          <w:rStyle w:val="Text0"/>
        </w:rPr>
        <w:t>_</w:t>
      </w:r>
      <w:r>
        <w:t xml:space="preserve">), followed by zero or more letters, underscores, digits, or other characters that Unicode classifies as letters, digits, or combining marks (as defined in </w:t>
      </w:r>
      <w:hyperlink r:id="rId204">
        <w:r>
          <w:rPr>
            <w:rStyle w:val="Text1"/>
          </w:rPr>
          <w:t>Unicode Standard Annex #31</w:t>
        </w:r>
      </w:hyperlink>
      <w:r>
        <w:t>).</w:t>
      </w:r>
    </w:p>
    <w:p>
      <w:pPr>
        <w:pStyle w:val="Normal"/>
      </w:pPr>
      <w:r>
        <w:t>For example, in the Unicode Latin-1 character range, the valid leading characters for an identifier are:</w:t>
      </w:r>
    </w:p>
    <w:p>
      <w:pPr>
        <w:pStyle w:val="Para 038"/>
      </w:pPr>
      <w:r>
        <w:t xml:space="preserve"/>
        <w:br w:clear="none"/>
        <w:t xml:space="preserve">ABCDEFGHIJKLMNOPQRSTUVWXYZ_abcdefghijklmnopqrstuvwxyz</w:t>
        <w:br w:clear="none"/>
        <w:t xml:space="preserve">ªµºÀÁÂÃÄÅÆÇÈÉÊËÌÍÎÏÐÑÒÓÔÕÖØÙÚÛÜÝÞßàáâãäåæçèéêëìíîïðñòóôõöøùúûüýþÿ</w:t>
        <w:br w:clear="none"/>
      </w:r>
    </w:p>
    <w:p>
      <w:pPr>
        <w:pStyle w:val="Normal"/>
      </w:pPr>
      <w:r>
        <w:t>After the leading character, the valid identifier body characters are just the same, plus the digits and</w:t>
      </w:r>
      <w:r>
        <w:rPr>
          <w:rStyle w:val="Text111"/>
        </w:rPr>
        <w:bookmarkStart w:id="364" w:name="idm45965284338720"/>
        <w:t/>
        <w:bookmarkEnd w:id="364"/>
        <w:bookmarkStart w:id="365" w:name="idm45965284337616"/>
        <w:t/>
        <w:bookmarkEnd w:id="365"/>
      </w:r>
      <w:r>
        <w:t xml:space="preserve"> </w:t>
      </w:r>
      <w:r>
        <w:rPr>
          <w:rStyle w:val="Text0"/>
        </w:rPr>
        <w:t>·</w:t>
      </w:r>
      <w:r>
        <w:t xml:space="preserve"> (Unicode MIDDLE DOT) character:</w:t>
      </w:r>
    </w:p>
    <w:p>
      <w:pPr>
        <w:pStyle w:val="Para 038"/>
      </w:pPr>
      <w:r>
        <w:t xml:space="preserve"/>
        <w:br w:clear="none"/>
        <w:t xml:space="preserve">0123456789ABCDEFGHIJKLMNOPQRSTUVWXYZ_abcdefghijklmnopqrstuvwxyz</w:t>
        <w:br w:clear="none"/>
        <w:t xml:space="preserve">ªµ·ºÀÁÂÃÄÅÆÇÈÉÊËÌÍÎÏÐÑÒÓÔÕÖØÙÚÛÜÝÞßàáâãäåæçèéêëìíîïðñòóôõöøùúûüýþÿ</w:t>
        <w:br w:clear="none"/>
      </w:r>
    </w:p>
    <w:p>
      <w:pPr>
        <w:pStyle w:val="Normal"/>
      </w:pPr>
      <w:r>
        <w:t>Case</w:t>
      </w:r>
      <w:r>
        <w:rPr>
          <w:rStyle w:val="Text111"/>
        </w:rPr>
        <w:bookmarkStart w:id="366" w:name="idm45965284334336"/>
        <w:t/>
        <w:bookmarkEnd w:id="366"/>
        <w:bookmarkStart w:id="367" w:name="lcletter03"/>
        <w:t/>
        <w:bookmarkEnd w:id="367"/>
        <w:bookmarkStart w:id="368" w:name="idm45965284331552"/>
        <w:t/>
        <w:bookmarkEnd w:id="368"/>
        <w:bookmarkStart w:id="369" w:name="idm45965284330176"/>
        <w:t/>
        <w:bookmarkEnd w:id="369"/>
      </w:r>
      <w:r>
        <w:t xml:space="preserve"> is significant: lowercase and uppercase letters are distinct. Punctuation characters</w:t>
      </w:r>
      <w:r>
        <w:rPr>
          <w:rStyle w:val="Text111"/>
        </w:rPr>
        <w:bookmarkStart w:id="370" w:name="idm45965284328672"/>
        <w:t/>
        <w:bookmarkEnd w:id="370"/>
        <w:bookmarkStart w:id="371" w:name="idm45965284327568"/>
        <w:t/>
        <w:bookmarkEnd w:id="371"/>
        <w:bookmarkStart w:id="372" w:name="idm45965284326464"/>
        <w:t/>
        <w:bookmarkEnd w:id="372"/>
        <w:bookmarkStart w:id="373" w:name="idm45965284325360"/>
        <w:t/>
        <w:bookmarkEnd w:id="373"/>
      </w:r>
      <w:r>
        <w:t xml:space="preserve"> such as </w:t>
      </w:r>
      <w:r>
        <w:rPr>
          <w:rStyle w:val="Text0"/>
        </w:rPr>
        <w:t>@</w:t>
      </w:r>
      <w:r>
        <w:t xml:space="preserve">, </w:t>
      </w:r>
      <w:r>
        <w:rPr>
          <w:rStyle w:val="Text0"/>
        </w:rPr>
        <w:t>$</w:t>
      </w:r>
      <w:r>
        <w:t xml:space="preserve">, and </w:t>
      </w:r>
      <w:r>
        <w:rPr>
          <w:rStyle w:val="Text0"/>
        </w:rPr>
        <w:t>!</w:t>
      </w:r>
      <w:r>
        <w:t xml:space="preserve"> are not allowed in identifiers.</w:t>
      </w:r>
    </w:p>
    <w:p>
      <w:pPr>
        <w:keepNext/>
        <w:pStyle w:val="Heading 6"/>
        <w:keepLines w:val="on"/>
      </w:pPr>
      <w:r>
        <w:t>Beware of Using Unicode Characters That Are Homoglyphs</w:t>
      </w:r>
    </w:p>
    <w:p>
      <w:pPr>
        <w:pStyle w:val="Para 012"/>
        <w:keepLines w:val="on"/>
      </w:pPr>
      <w:r>
        <w:t>Some</w:t>
      </w:r>
      <w:r>
        <w:rPr>
          <w:rStyle w:val="Text111"/>
        </w:rPr>
        <w:bookmarkStart w:id="374" w:name="idm45965252601776"/>
        <w:t/>
        <w:bookmarkEnd w:id="374"/>
      </w:r>
      <w:r>
        <w:t xml:space="preserve"> Unicode characters look very similar to, if not indistinguishable from, other characters. Such character pairs are called</w:t>
      </w:r>
      <w:r>
        <w:rPr>
          <w:rStyle w:val="Text111"/>
        </w:rPr>
        <w:bookmarkStart w:id="375" w:name="idm45965252600240"/>
        <w:t/>
        <w:bookmarkEnd w:id="375"/>
      </w:r>
      <w:r>
        <w:t xml:space="preserve"> </w:t>
      </w:r>
      <w:r>
        <w:rPr>
          <w:rStyle w:val="Text4"/>
        </w:rPr>
        <w:t>homoglyphs</w:t>
      </w:r>
      <w:r>
        <w:t>. For instance, compare the capital letter A and the capital Greek letter alpha (Α). These are actually two different letters that just look very similar (or identical) in most fonts. In Python, they define two different variables:</w:t>
      </w:r>
    </w:p>
    <w:p>
      <w:pPr>
        <w:pStyle w:val="Para 047"/>
        <w:keepLines w:val="on"/>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100</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t xml:space="preserve"># this variable is GREEK CAPITAL LETTER ALPHA:</w:t>
        <w:br w:clear="none"/>
      </w:r>
      <w:r>
        <w:rPr>
          <w:rStyle w:val="Text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Α</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200</w:t>
        <w:br w:clear="none"/>
      </w:r>
      <w:r>
        <w:rPr>
          <w:rStyle w:val="Text11"/>
        </w:rPr>
        <w:t xml:space="preserve">  </w:t>
        <w:br w:clear="none"/>
        <w:t xml:space="preserve"/>
        <w:br w:clear="none"/>
      </w:r>
      <w:r>
        <w:rPr>
          <w:rStyle w:val="Text28"/>
        </w:rPr>
        <w:t xml:space="preserve">&gt;&gt;</w:t>
        <w:br w:clear="none"/>
        <w:t xml:space="preserve">&gt;</w:t>
        <w:br w:clear="none"/>
      </w:r>
      <w:r>
        <w:rPr>
          <w:rStyle w:val="Text11"/>
        </w:rPr>
        <w:t xml:space="preserve"> </w:t>
        <w:br w:clear="none"/>
      </w:r>
      <w:r>
        <w:rPr>
          <w:rStyle w:val="Text21"/>
        </w:rPr>
        <w:t xml:space="preserve">print</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Α</w:t>
        <w:br w:clear="none"/>
      </w:r>
      <w:r>
        <w:rPr>
          <w:rStyle w:val="Text19"/>
        </w:rPr>
        <w:t xml:space="preserve">)</w:t>
        <w:br w:clear="none"/>
      </w:r>
    </w:p>
    <w:p>
      <w:pPr>
        <w:pStyle w:val="Para 080"/>
        <w:keepLines w:val="on"/>
      </w:pPr>
      <w:r>
        <w:rPr>
          <w:rStyle w:val="Text48"/>
        </w:rPr>
        <w:t xml:space="preserve"/>
        <w:br w:clear="none"/>
      </w:r>
      <w:r>
        <w:t xml:space="preserve">100 200</w:t>
        <w:br w:clear="none"/>
      </w:r>
    </w:p>
    <w:p>
      <w:pPr>
        <w:pStyle w:val="Para 012"/>
        <w:keepLines w:val="on"/>
      </w:pPr>
      <w:r>
        <w:t>If</w:t>
      </w:r>
      <w:r>
        <w:rPr>
          <w:rStyle w:val="Text111"/>
        </w:rPr>
        <w:bookmarkStart w:id="376" w:name="idm45965258448688"/>
        <w:t/>
        <w:bookmarkEnd w:id="376"/>
      </w:r>
      <w:r>
        <w:t xml:space="preserve"> you want to make your Python code widely usable, we recommend a policy that all identifiers, comments, and documentation are written in English, avoiding, in particular, non-English homoglyph characters. For more information, see </w:t>
      </w:r>
      <w:hyperlink r:id="rId205">
        <w:r>
          <w:rPr>
            <w:rStyle w:val="Text1"/>
          </w:rPr>
          <w:t>PEP 3131</w:t>
        </w:r>
      </w:hyperlink>
      <w:r>
        <w:t>.</w:t>
      </w:r>
    </w:p>
    <w:p>
      <w:pPr>
        <w:pStyle w:val="Normal"/>
      </w:pPr>
      <w:r>
        <w:t>Unicode</w:t>
      </w:r>
      <w:r>
        <w:rPr>
          <w:rStyle w:val="Text111"/>
        </w:rPr>
        <w:bookmarkStart w:id="377" w:name="idm45965258446064"/>
        <w:t/>
        <w:bookmarkEnd w:id="377"/>
      </w:r>
      <w:r>
        <w:t xml:space="preserve"> normalization strategies add further complexities (Python</w:t>
      </w:r>
      <w:r>
        <w:rPr>
          <w:rStyle w:val="Text111"/>
        </w:rPr>
        <w:bookmarkStart w:id="378" w:name="idm45965258444560"/>
        <w:t/>
        <w:bookmarkEnd w:id="378"/>
        <w:bookmarkStart w:id="379" w:name="idm45965258443456"/>
        <w:t/>
        <w:bookmarkEnd w:id="379"/>
      </w:r>
      <w:r>
        <w:t xml:space="preserve"> uses </w:t>
      </w:r>
      <w:hyperlink r:id="rId206">
        <w:r>
          <w:rPr>
            <w:rStyle w:val="Text1"/>
          </w:rPr>
          <w:t>NFKC normalization</w:t>
        </w:r>
      </w:hyperlink>
      <w:r>
        <w:t xml:space="preserve"> when parsing identifiers containing Unicode characters). See Jukka K. Korpela’s </w:t>
      </w:r>
      <w:hyperlink r:id="rId207">
        <w:r>
          <w:rPr>
            <w:rStyle w:val="Text24"/>
          </w:rPr>
          <w:t>Unicode Explained</w:t>
        </w:r>
      </w:hyperlink>
      <w:r>
        <w:t xml:space="preserve"> (O’Reilly) and other technical information provided on the </w:t>
      </w:r>
      <w:hyperlink r:id="rId208">
        <w:r>
          <w:rPr>
            <w:rStyle w:val="Text1"/>
          </w:rPr>
          <w:t>Unicode website</w:t>
        </w:r>
      </w:hyperlink>
      <w:r>
        <w:t xml:space="preserve"> and in the </w:t>
      </w:r>
      <w:hyperlink r:id="rId209">
        <w:r>
          <w:rPr>
            <w:rStyle w:val="Text1"/>
          </w:rPr>
          <w:t>books that site references</w:t>
        </w:r>
      </w:hyperlink>
      <w:r>
        <w:t xml:space="preserve"> for more information.</w:t>
      </w:r>
    </w:p>
    <w:p>
      <w:pPr>
        <w:keepNext/>
        <w:pStyle w:val="Heading 6"/>
        <w:keepLines w:val="on"/>
      </w:pPr>
      <w:r>
        <w:t>Avoid Normalizable Unicode Characters in Identifiers</w:t>
      </w:r>
    </w:p>
    <w:p>
      <w:pPr>
        <w:pStyle w:val="Para 012"/>
        <w:keepLines w:val="on"/>
      </w:pPr>
      <w:r>
        <w:t>Python may create unintended aliases between variables when names contain certain Unicode characters, by internally converting the name as shown in the Python script to one using normalized characters. For example, the letters ª and º normalize to the ASCII lowercase letters a and o, so variables using these letters could clash with other variables:</w:t>
      </w:r>
    </w:p>
    <w:p>
      <w:pPr>
        <w:pStyle w:val="Para 068"/>
        <w:keepLines w:val="on"/>
      </w:pPr>
      <w:r>
        <w:t xml:space="preserve"/>
        <w:br w:clear="none"/>
      </w:r>
      <w:r>
        <w:rPr>
          <w:rStyle w:val="Text65"/>
        </w:rPr>
        <w:t xml:space="preserve">&gt;&gt;&gt;</w:t>
        <w:br w:clear="none"/>
      </w:r>
      <w:r>
        <w:t xml:space="preserve"> </w:t>
        <w:br w:clear="none"/>
      </w:r>
      <w:r>
        <w:rPr>
          <w:rStyle w:val="Text49"/>
        </w:rPr>
        <w:t xml:space="preserve">a</w:t>
        <w:br w:clear="none"/>
      </w:r>
      <w:r>
        <w:rPr>
          <w:rStyle w:val="Text58"/>
        </w:rPr>
        <w:t xml:space="preserve">,</w:t>
        <w:br w:clear="none"/>
      </w:r>
      <w:r>
        <w:t xml:space="preserve"> </w:t>
        <w:br w:clear="none"/>
      </w:r>
      <w:r>
        <w:rPr>
          <w:rStyle w:val="Text49"/>
        </w:rPr>
        <w:t xml:space="preserve">o</w:t>
        <w:br w:clear="none"/>
      </w:r>
      <w:r>
        <w:t xml:space="preserve"> </w:t>
        <w:br w:clear="none"/>
      </w:r>
      <w:r>
        <w:rPr>
          <w:rStyle w:val="Text65"/>
        </w:rPr>
        <w:t xml:space="preserve">=</w:t>
        <w:br w:clear="none"/>
      </w:r>
      <w:r>
        <w:t xml:space="preserve"> </w:t>
        <w:br w:clear="none"/>
      </w:r>
      <w:r>
        <w:rPr>
          <w:rStyle w:val="Text86"/>
        </w:rPr>
        <w:t xml:space="preserve">100</w:t>
        <w:br w:clear="none"/>
      </w:r>
      <w:r>
        <w:rPr>
          <w:rStyle w:val="Text58"/>
        </w:rPr>
        <w:t xml:space="preserve">,</w:t>
        <w:br w:clear="none"/>
      </w:r>
      <w:r>
        <w:t xml:space="preserve"> </w:t>
        <w:br w:clear="none"/>
      </w:r>
      <w:r>
        <w:rPr>
          <w:rStyle w:val="Text86"/>
        </w:rPr>
        <w:t xml:space="preserve">101</w:t>
        <w:br w:clear="none"/>
      </w:r>
      <w:r>
        <w:t xml:space="preserve"/>
        <w:br w:clear="none"/>
      </w:r>
      <w:r>
        <w:rPr>
          <w:rStyle w:val="Text65"/>
        </w:rPr>
        <w:t xml:space="preserve">&gt;&gt;&gt;</w:t>
        <w:br w:clear="none"/>
      </w:r>
      <w:r>
        <w:t xml:space="preserve"> </w:t>
        <w:br w:clear="none"/>
      </w:r>
      <w:r>
        <w:rPr>
          <w:rStyle w:val="Text49"/>
        </w:rPr>
        <w:t xml:space="preserve">ª</w:t>
        <w:br w:clear="none"/>
      </w:r>
      <w:r>
        <w:rPr>
          <w:rStyle w:val="Text58"/>
        </w:rPr>
        <w:t xml:space="preserve">,</w:t>
        <w:br w:clear="none"/>
      </w:r>
      <w:r>
        <w:t xml:space="preserve"> </w:t>
        <w:br w:clear="none"/>
      </w:r>
      <w:r>
        <w:rPr>
          <w:rStyle w:val="Text49"/>
        </w:rPr>
        <w:t xml:space="preserve">º</w:t>
        <w:br w:clear="none"/>
      </w:r>
      <w:r>
        <w:t xml:space="preserve"> </w:t>
        <w:br w:clear="none"/>
      </w:r>
      <w:r>
        <w:rPr>
          <w:rStyle w:val="Text65"/>
        </w:rPr>
        <w:t xml:space="preserve">=</w:t>
        <w:br w:clear="none"/>
      </w:r>
      <w:r>
        <w:t xml:space="preserve"> </w:t>
        <w:br w:clear="none"/>
      </w:r>
      <w:r>
        <w:rPr>
          <w:rStyle w:val="Text86"/>
        </w:rPr>
        <w:t xml:space="preserve">200</w:t>
        <w:br w:clear="none"/>
      </w:r>
      <w:r>
        <w:rPr>
          <w:rStyle w:val="Text58"/>
        </w:rPr>
        <w:t xml:space="preserve">,</w:t>
        <w:br w:clear="none"/>
      </w:r>
      <w:r>
        <w:t xml:space="preserve"> </w:t>
        <w:br w:clear="none"/>
      </w:r>
      <w:r>
        <w:rPr>
          <w:rStyle w:val="Text86"/>
        </w:rPr>
        <w:t xml:space="preserve">201</w:t>
        <w:br w:clear="none"/>
      </w:r>
      <w:r>
        <w:t xml:space="preserve"/>
        <w:br w:clear="none"/>
      </w:r>
      <w:r>
        <w:rPr>
          <w:rStyle w:val="Text65"/>
        </w:rPr>
        <w:t xml:space="preserve">&gt;&gt;&gt;</w:t>
        <w:br w:clear="none"/>
      </w:r>
      <w:r>
        <w:t xml:space="preserve"> </w:t>
        <w:br w:clear="none"/>
      </w:r>
      <w:r>
        <w:rPr>
          <w:rStyle w:val="Text62"/>
        </w:rPr>
        <w:t xml:space="preserve">print</w:t>
        <w:br w:clear="none"/>
      </w:r>
      <w:r>
        <w:rPr>
          <w:rStyle w:val="Text58"/>
        </w:rPr>
        <w:t xml:space="preserve">(</w:t>
        <w:br w:clear="none"/>
      </w:r>
      <w:r>
        <w:rPr>
          <w:rStyle w:val="Text49"/>
        </w:rPr>
        <w:t xml:space="preserve">a</w:t>
        <w:br w:clear="none"/>
      </w:r>
      <w:r>
        <w:rPr>
          <w:rStyle w:val="Text58"/>
        </w:rPr>
        <w:t xml:space="preserve">,</w:t>
        <w:br w:clear="none"/>
      </w:r>
      <w:r>
        <w:t xml:space="preserve"> </w:t>
        <w:br w:clear="none"/>
      </w:r>
      <w:r>
        <w:rPr>
          <w:rStyle w:val="Text49"/>
        </w:rPr>
        <w:t xml:space="preserve">o</w:t>
        <w:br w:clear="none"/>
      </w:r>
      <w:r>
        <w:rPr>
          <w:rStyle w:val="Text58"/>
        </w:rPr>
        <w:t xml:space="preserve">,</w:t>
        <w:br w:clear="none"/>
      </w:r>
      <w:r>
        <w:t xml:space="preserve"> </w:t>
        <w:br w:clear="none"/>
      </w:r>
      <w:r>
        <w:rPr>
          <w:rStyle w:val="Text49"/>
        </w:rPr>
        <w:t xml:space="preserve">ª</w:t>
        <w:br w:clear="none"/>
      </w:r>
      <w:r>
        <w:rPr>
          <w:rStyle w:val="Text58"/>
        </w:rPr>
        <w:t xml:space="preserve">,</w:t>
        <w:br w:clear="none"/>
      </w:r>
      <w:r>
        <w:t xml:space="preserve"> </w:t>
        <w:br w:clear="none"/>
      </w:r>
      <w:r>
        <w:rPr>
          <w:rStyle w:val="Text49"/>
        </w:rPr>
        <w:t xml:space="preserve">º</w:t>
        <w:br w:clear="none"/>
      </w:r>
      <w:r>
        <w:rPr>
          <w:rStyle w:val="Text58"/>
        </w:rPr>
        <w:t xml:space="preserve">)</w:t>
        <w:br w:clear="none"/>
      </w:r>
    </w:p>
    <w:p>
      <w:pPr>
        <w:pStyle w:val="Para 097"/>
        <w:keepLines w:val="on"/>
      </w:pPr>
      <w:r>
        <w:rPr>
          <w:rStyle w:val="Text55"/>
        </w:rPr>
        <w:t xml:space="preserve"/>
        <w:br w:clear="none"/>
      </w:r>
      <w:r>
        <w:rPr>
          <w:rStyle w:val="Text40"/>
        </w:rPr>
        <w:t xml:space="preserve">200 201 200 201</w:t>
        <w:br w:clear="none"/>
      </w:r>
      <w:r>
        <w:rPr>
          <w:rStyle w:val="Text55"/>
        </w:rPr>
        <w:t xml:space="preserve">  </w:t>
        <w:br w:clear="none"/>
      </w:r>
      <w:r>
        <w:t xml:space="preserve"># expected "100 101 200 201"</w:t>
        <w:br w:clear="none"/>
      </w:r>
    </w:p>
    <w:p>
      <w:pPr>
        <w:pStyle w:val="Para 012"/>
        <w:keepLines w:val="on"/>
      </w:pPr>
      <w:r>
        <w:t>It is best to avoid using normalizable Unicode characters in your Python identifiers.</w:t>
      </w:r>
    </w:p>
    <w:p>
      <w:pPr>
        <w:pStyle w:val="Normal"/>
      </w:pPr>
      <w:r>
        <w:t>Normal Python style is to start</w:t>
      </w:r>
      <w:r>
        <w:rPr>
          <w:rStyle w:val="Text111"/>
        </w:rPr>
        <w:bookmarkStart w:id="380" w:name="idm45965258396304"/>
        <w:t/>
        <w:bookmarkEnd w:id="380"/>
        <w:bookmarkStart w:id="381" w:name="idm45965258394816"/>
        <w:t/>
        <w:bookmarkEnd w:id="381"/>
        <w:bookmarkStart w:id="382" w:name="idm45965276623216"/>
        <w:t/>
        <w:bookmarkEnd w:id="382"/>
        <w:bookmarkStart w:id="383" w:name="idm45965276621840"/>
        <w:t/>
        <w:bookmarkEnd w:id="383"/>
      </w:r>
      <w:r>
        <w:t xml:space="preserve"> class names with an uppercase letter, and most</w:t>
      </w:r>
      <w:hyperlink w:anchor="1_Identifiers_referring_to_const">
        <w:r>
          <w:rPr>
            <w:rStyle w:val="Text41"/>
          </w:rPr>
          <w:bookmarkStart w:id="384" w:name="1_3"/>
          <w:t>1</w:t>
          <w:bookmarkEnd w:id="384"/>
        </w:r>
      </w:hyperlink>
      <w:r>
        <w:t xml:space="preserve"> other identifiers with a lowercase letter. Starting an identifier with a single leading underscore indicates by convention that the identifier is meant to be private. Starting an identifier with two leading underscores indicates a</w:t>
      </w:r>
      <w:r>
        <w:rPr>
          <w:rStyle w:val="Text111"/>
        </w:rPr>
        <w:bookmarkStart w:id="385" w:name="idm45965276619376"/>
        <w:t/>
        <w:bookmarkEnd w:id="385"/>
      </w:r>
      <w:r>
        <w:t xml:space="preserve"> </w:t>
      </w:r>
      <w:r>
        <w:rPr>
          <w:rStyle w:val="Text4"/>
        </w:rPr>
        <w:t>strongly private</w:t>
      </w:r>
      <w:r>
        <w:t xml:space="preserve"> identifier; if the identifier also </w:t>
      </w:r>
      <w:r>
        <w:rPr>
          <w:rStyle w:val="Text4"/>
        </w:rPr>
        <w:t>ends</w:t>
      </w:r>
      <w:r>
        <w:t xml:space="preserve"> with two trailing underscores, however, this means that it’s a language-defined special name. Identifiers composed of multiple words should be all lowercase with underscores between words, as in </w:t>
      </w:r>
      <w:r>
        <w:rPr>
          <w:rStyle w:val="Text0"/>
        </w:rPr>
        <w:t>login_password</w:t>
      </w:r>
      <w:r>
        <w:t>. This is sometimes referred to as</w:t>
      </w:r>
      <w:r>
        <w:rPr>
          <w:rStyle w:val="Text111"/>
        </w:rPr>
        <w:bookmarkStart w:id="386" w:name="idm45965276616656"/>
        <w:t/>
        <w:bookmarkEnd w:id="386"/>
        <w:bookmarkStart w:id="387" w:name="idm45965276615552"/>
        <w:t/>
        <w:bookmarkEnd w:id="387"/>
      </w:r>
      <w:r>
        <w:t xml:space="preserve"> </w:t>
      </w:r>
      <w:r>
        <w:rPr>
          <w:rStyle w:val="Text4"/>
        </w:rPr>
        <w:t>snake case</w:t>
      </w:r>
      <w:r>
        <w:t>.</w:t>
      </w:r>
    </w:p>
    <w:p>
      <w:pPr>
        <w:keepNext/>
        <w:pStyle w:val="Heading 5"/>
        <w:keepLines w:val="on"/>
      </w:pPr>
      <w:r>
        <w:t>The Single Underscore (_) in the Interactive Interpreter</w:t>
      </w:r>
    </w:p>
    <w:p>
      <w:pPr>
        <w:pStyle w:val="Para 012"/>
        <w:keepLines w:val="on"/>
      </w:pPr>
      <w:r>
        <w:t>The</w:t>
      </w:r>
      <w:r>
        <w:rPr>
          <w:rStyle w:val="Text111"/>
        </w:rPr>
        <w:bookmarkStart w:id="388" w:name="idm45965276612464"/>
        <w:t/>
        <w:bookmarkEnd w:id="388"/>
        <w:bookmarkStart w:id="389" w:name="idm45965276611056"/>
        <w:t/>
        <w:bookmarkEnd w:id="389"/>
        <w:bookmarkStart w:id="390" w:name="idm45965276609440"/>
        <w:t/>
        <w:bookmarkEnd w:id="390"/>
      </w:r>
      <w:r>
        <w:t xml:space="preserve"> identifier </w:t>
      </w:r>
      <w:r>
        <w:rPr>
          <w:rStyle w:val="Text5"/>
        </w:rPr>
        <w:t>_</w:t>
      </w:r>
      <w:r>
        <w:t xml:space="preserve"> (a single underscore) is special in interactive interpreter sessions: the interpreter binds </w:t>
      </w:r>
      <w:r>
        <w:rPr>
          <w:rStyle w:val="Text5"/>
        </w:rPr>
        <w:t>_</w:t>
      </w:r>
      <w:r>
        <w:t xml:space="preserve"> to the result of the last expression statement it has evaluated interactively, if any.</w:t>
      </w:r>
    </w:p>
    <w:p>
      <w:bookmarkStart w:id="391" w:name="Keywords__Python_has_35_keywords"/>
      <w:pPr>
        <w:keepNext/>
        <w:pStyle w:val="Heading 2"/>
      </w:pPr>
      <w:r>
        <w:t>Keywords</w:t>
      </w:r>
      <w:bookmarkEnd w:id="391"/>
    </w:p>
    <w:p>
      <w:pPr>
        <w:pStyle w:val="Normal"/>
      </w:pPr>
      <w:r>
        <w:t>Python</w:t>
      </w:r>
      <w:r>
        <w:rPr>
          <w:rStyle w:val="Text111"/>
        </w:rPr>
        <w:bookmarkStart w:id="392" w:name="idm45965276603728"/>
        <w:t/>
        <w:bookmarkEnd w:id="392"/>
        <w:bookmarkStart w:id="393" w:name="idm45965276602352"/>
        <w:t/>
        <w:bookmarkEnd w:id="393"/>
        <w:bookmarkStart w:id="394" w:name="idm45965276600976"/>
        <w:t/>
        <w:bookmarkEnd w:id="394"/>
        <w:bookmarkStart w:id="395" w:name="idm45965276599872"/>
        <w:t/>
        <w:bookmarkEnd w:id="395"/>
      </w:r>
      <w:r>
        <w:t xml:space="preserve"> has 35 </w:t>
      </w:r>
      <w:r>
        <w:rPr>
          <w:rStyle w:val="Text4"/>
        </w:rPr>
        <w:t>keywords</w:t>
      </w:r>
      <w:r>
        <w:t xml:space="preserve">, or identifiers that it reserves for special syntactic uses. Like identifiers, keywords are case-sensitive. You cannot use keywords as regular identifiers (thus, they’re sometimes known as “reserved words”). Some keywords begin simple statements or clauses of compound statements, while other keywords are operators. We cover all the keywords in detail in this book, either in this chapter or in Chapters </w:t>
      </w:r>
      <w:hyperlink w:anchor="Chapter_4__Object_Oriented_Pytho_2">
        <w:r>
          <w:rPr>
            <w:rStyle w:val="Text1"/>
          </w:rPr>
          <w:t>4</w:t>
        </w:r>
      </w:hyperlink>
      <w:r>
        <w:t xml:space="preserve">, </w:t>
      </w:r>
      <w:hyperlink w:anchor="Chapter_6__Exceptions__Python_us_2">
        <w:r>
          <w:rPr>
            <w:rStyle w:val="Text1"/>
          </w:rPr>
          <w:t>6</w:t>
        </w:r>
      </w:hyperlink>
      <w:r>
        <w:t xml:space="preserve">, and </w:t>
      </w:r>
      <w:hyperlink w:anchor="Chapter_7__Modules_and_Packages_2">
        <w:r>
          <w:rPr>
            <w:rStyle w:val="Text1"/>
          </w:rPr>
          <w:t>7</w:t>
        </w:r>
      </w:hyperlink>
      <w:r>
        <w:t>. The keywords in Python are:</w:t>
      </w:r>
    </w:p>
    <w:tbl>
      <w:tblPr>
        <w:tblW w:type="auto" w:w="0"/>
      </w:tblPr>
      <w:tr>
        <w:tc>
          <w:tcPr>
            <w:tcW w:type="auto" w:w="0"/>
            <w:tcMar>
              <w:left w:type="dxa" w:w="200"/>
              <w:top w:type="dxa" w:w="200"/>
              <w:right w:type="dxa" w:w="200"/>
              <w:bottom w:type="dxa" w:w="200"/>
            </w:tcMar>
          </w:tcPr>
          <w:p>
            <w:pPr>
              <w:pStyle w:val="Para 119"/>
            </w:pPr>
            <w:r>
              <w:t/>
            </w:r>
          </w:p>
          <w:p>
            <w:pPr>
              <w:pStyle w:val="Para 021"/>
            </w:pPr>
            <w:r>
              <w:t>and</w:t>
            </w:r>
          </w:p>
        </w:tc>
        <w:tc>
          <w:tcPr>
            <w:tcW w:type="auto" w:w="0"/>
            <w:tcMar>
              <w:left w:type="dxa" w:w="200"/>
              <w:top w:type="dxa" w:w="200"/>
              <w:right w:type="dxa" w:w="200"/>
              <w:bottom w:type="dxa" w:w="200"/>
            </w:tcMar>
          </w:tcPr>
          <w:p>
            <w:pPr>
              <w:pStyle w:val="Para 021"/>
            </w:pPr>
            <w:r>
              <w:t>break</w:t>
            </w:r>
          </w:p>
        </w:tc>
        <w:tc>
          <w:tcPr>
            <w:tcW w:type="auto" w:w="0"/>
            <w:tcMar>
              <w:left w:type="dxa" w:w="200"/>
              <w:top w:type="dxa" w:w="200"/>
              <w:right w:type="dxa" w:w="200"/>
              <w:bottom w:type="dxa" w:w="200"/>
            </w:tcMar>
          </w:tcPr>
          <w:p>
            <w:pPr>
              <w:pStyle w:val="Para 021"/>
            </w:pPr>
            <w:r>
              <w:t>elif</w:t>
            </w:r>
          </w:p>
        </w:tc>
        <w:tc>
          <w:tcPr>
            <w:tcW w:type="auto" w:w="0"/>
            <w:tcMar>
              <w:left w:type="dxa" w:w="200"/>
              <w:top w:type="dxa" w:w="200"/>
              <w:right w:type="dxa" w:w="200"/>
              <w:bottom w:type="dxa" w:w="200"/>
            </w:tcMar>
          </w:tcPr>
          <w:p>
            <w:pPr>
              <w:pStyle w:val="Para 021"/>
            </w:pPr>
            <w:r>
              <w:t>from</w:t>
            </w:r>
          </w:p>
        </w:tc>
        <w:tc>
          <w:tcPr>
            <w:tcW w:type="auto" w:w="0"/>
            <w:tcMar>
              <w:left w:type="dxa" w:w="200"/>
              <w:top w:type="dxa" w:w="200"/>
              <w:right w:type="dxa" w:w="200"/>
              <w:bottom w:type="dxa" w:w="200"/>
            </w:tcMar>
          </w:tcPr>
          <w:p>
            <w:pPr>
              <w:pStyle w:val="Para 021"/>
            </w:pPr>
            <w:r>
              <w:t>is</w:t>
            </w:r>
          </w:p>
        </w:tc>
        <w:tc>
          <w:tcPr>
            <w:tcW w:type="auto" w:w="0"/>
            <w:tcMar>
              <w:left w:type="dxa" w:w="200"/>
              <w:top w:type="dxa" w:w="200"/>
              <w:right w:type="dxa" w:w="200"/>
              <w:bottom w:type="dxa" w:w="200"/>
            </w:tcMar>
          </w:tcPr>
          <w:p>
            <w:pPr>
              <w:pStyle w:val="Para 021"/>
            </w:pPr>
            <w:r>
              <w:t>pass</w:t>
            </w:r>
          </w:p>
        </w:tc>
        <w:tc>
          <w:tcPr>
            <w:tcW w:type="auto" w:w="0"/>
            <w:tcMar>
              <w:left w:type="dxa" w:w="200"/>
              <w:top w:type="dxa" w:w="200"/>
              <w:right w:type="dxa" w:w="200"/>
              <w:bottom w:type="dxa" w:w="200"/>
            </w:tcMar>
          </w:tcPr>
          <w:p>
            <w:pPr>
              <w:pStyle w:val="Para 021"/>
            </w:pPr>
            <w:r>
              <w:t>with</w:t>
            </w:r>
          </w:p>
        </w:tc>
      </w:tr>
    </w:tbl>
    <w:tbl>
      <w:tblPr>
        <w:tblW w:type="auto" w:w="0"/>
      </w:tblPr>
      <w:tr>
        <w:tc>
          <w:tcPr>
            <w:tcW w:type="auto" w:w="0"/>
            <w:shd w:val="clear" w:color="auto" w:fill="EEF2F6"/>
            <w:tcMar>
              <w:left w:type="dxa" w:w="200"/>
              <w:top w:type="dxa" w:w="200"/>
              <w:right w:type="dxa" w:w="200"/>
              <w:bottom w:type="dxa" w:w="200"/>
            </w:tcMar>
          </w:tcPr>
          <w:p>
            <w:pPr>
              <w:pStyle w:val="Para 021"/>
            </w:pPr>
            <w:r>
              <w:t>as</w:t>
            </w:r>
          </w:p>
        </w:tc>
        <w:tc>
          <w:tcPr>
            <w:tcW w:type="auto" w:w="0"/>
            <w:shd w:val="clear" w:color="auto" w:fill="EEF2F6"/>
            <w:tcMar>
              <w:left w:type="dxa" w:w="200"/>
              <w:top w:type="dxa" w:w="200"/>
              <w:right w:type="dxa" w:w="200"/>
              <w:bottom w:type="dxa" w:w="200"/>
            </w:tcMar>
          </w:tcPr>
          <w:p>
            <w:pPr>
              <w:pStyle w:val="Para 021"/>
            </w:pPr>
            <w:r>
              <w:t>class</w:t>
            </w:r>
          </w:p>
        </w:tc>
        <w:tc>
          <w:tcPr>
            <w:tcW w:type="auto" w:w="0"/>
            <w:shd w:val="clear" w:color="auto" w:fill="EEF2F6"/>
            <w:tcMar>
              <w:left w:type="dxa" w:w="200"/>
              <w:top w:type="dxa" w:w="200"/>
              <w:right w:type="dxa" w:w="200"/>
              <w:bottom w:type="dxa" w:w="200"/>
            </w:tcMar>
          </w:tcPr>
          <w:p>
            <w:pPr>
              <w:pStyle w:val="Para 021"/>
            </w:pPr>
            <w:r>
              <w:t>else</w:t>
            </w:r>
          </w:p>
        </w:tc>
        <w:tc>
          <w:tcPr>
            <w:tcW w:type="auto" w:w="0"/>
            <w:shd w:val="clear" w:color="auto" w:fill="EEF2F6"/>
            <w:tcMar>
              <w:left w:type="dxa" w:w="200"/>
              <w:top w:type="dxa" w:w="200"/>
              <w:right w:type="dxa" w:w="200"/>
              <w:bottom w:type="dxa" w:w="200"/>
            </w:tcMar>
          </w:tcPr>
          <w:p>
            <w:pPr>
              <w:pStyle w:val="Para 021"/>
            </w:pPr>
            <w:r>
              <w:t>global</w:t>
            </w:r>
          </w:p>
        </w:tc>
        <w:tc>
          <w:tcPr>
            <w:tcW w:type="auto" w:w="0"/>
            <w:shd w:val="clear" w:color="auto" w:fill="EEF2F6"/>
            <w:tcMar>
              <w:left w:type="dxa" w:w="200"/>
              <w:top w:type="dxa" w:w="200"/>
              <w:right w:type="dxa" w:w="200"/>
              <w:bottom w:type="dxa" w:w="200"/>
            </w:tcMar>
          </w:tcPr>
          <w:p>
            <w:pPr>
              <w:pStyle w:val="Para 021"/>
            </w:pPr>
            <w:r>
              <w:t>lambda</w:t>
            </w:r>
          </w:p>
        </w:tc>
        <w:tc>
          <w:tcPr>
            <w:tcW w:type="auto" w:w="0"/>
            <w:shd w:val="clear" w:color="auto" w:fill="EEF2F6"/>
            <w:tcMar>
              <w:left w:type="dxa" w:w="200"/>
              <w:top w:type="dxa" w:w="200"/>
              <w:right w:type="dxa" w:w="200"/>
              <w:bottom w:type="dxa" w:w="200"/>
            </w:tcMar>
          </w:tcPr>
          <w:p>
            <w:pPr>
              <w:pStyle w:val="Para 021"/>
            </w:pPr>
            <w:r>
              <w:t>raise</w:t>
            </w:r>
          </w:p>
        </w:tc>
        <w:tc>
          <w:tcPr>
            <w:tcW w:type="auto" w:w="0"/>
            <w:shd w:val="clear" w:color="auto" w:fill="EEF2F6"/>
            <w:tcMar>
              <w:left w:type="dxa" w:w="200"/>
              <w:top w:type="dxa" w:w="200"/>
              <w:right w:type="dxa" w:w="200"/>
              <w:bottom w:type="dxa" w:w="200"/>
            </w:tcMar>
          </w:tcPr>
          <w:p>
            <w:pPr>
              <w:pStyle w:val="Para 021"/>
            </w:pPr>
            <w:r>
              <w:t>yield</w:t>
            </w:r>
          </w:p>
        </w:tc>
      </w:tr>
    </w:tbl>
    <w:tbl>
      <w:tblPr>
        <w:tblW w:type="auto" w:w="0"/>
      </w:tblPr>
      <w:tr>
        <w:tc>
          <w:tcPr>
            <w:tcW w:type="auto" w:w="0"/>
            <w:tcMar>
              <w:left w:type="dxa" w:w="200"/>
              <w:top w:type="dxa" w:w="200"/>
              <w:right w:type="dxa" w:w="200"/>
              <w:bottom w:type="dxa" w:w="200"/>
            </w:tcMar>
          </w:tcPr>
          <w:p>
            <w:pPr>
              <w:pStyle w:val="Para 021"/>
            </w:pPr>
            <w:r>
              <w:t>assert</w:t>
            </w:r>
          </w:p>
        </w:tc>
        <w:tc>
          <w:tcPr>
            <w:tcW w:type="auto" w:w="0"/>
            <w:tcMar>
              <w:left w:type="dxa" w:w="200"/>
              <w:top w:type="dxa" w:w="200"/>
              <w:right w:type="dxa" w:w="200"/>
              <w:bottom w:type="dxa" w:w="200"/>
            </w:tcMar>
          </w:tcPr>
          <w:p>
            <w:pPr>
              <w:pStyle w:val="Para 021"/>
            </w:pPr>
            <w:r>
              <w:t>continue</w:t>
            </w:r>
          </w:p>
        </w:tc>
        <w:tc>
          <w:tcPr>
            <w:tcW w:type="auto" w:w="0"/>
            <w:tcMar>
              <w:left w:type="dxa" w:w="200"/>
              <w:top w:type="dxa" w:w="200"/>
              <w:right w:type="dxa" w:w="200"/>
              <w:bottom w:type="dxa" w:w="200"/>
            </w:tcMar>
          </w:tcPr>
          <w:p>
            <w:pPr>
              <w:pStyle w:val="Para 021"/>
            </w:pPr>
            <w:r>
              <w:t>except</w:t>
            </w:r>
          </w:p>
        </w:tc>
        <w:tc>
          <w:tcPr>
            <w:tcW w:type="auto" w:w="0"/>
            <w:tcMar>
              <w:left w:type="dxa" w:w="200"/>
              <w:top w:type="dxa" w:w="200"/>
              <w:right w:type="dxa" w:w="200"/>
              <w:bottom w:type="dxa" w:w="200"/>
            </w:tcMar>
          </w:tcPr>
          <w:p>
            <w:pPr>
              <w:pStyle w:val="Para 021"/>
            </w:pPr>
            <w:r>
              <w:t>if</w:t>
            </w:r>
          </w:p>
        </w:tc>
        <w:tc>
          <w:tcPr>
            <w:tcW w:type="auto" w:w="0"/>
            <w:tcMar>
              <w:left w:type="dxa" w:w="200"/>
              <w:top w:type="dxa" w:w="200"/>
              <w:right w:type="dxa" w:w="200"/>
              <w:bottom w:type="dxa" w:w="200"/>
            </w:tcMar>
          </w:tcPr>
          <w:p>
            <w:pPr>
              <w:pStyle w:val="Para 021"/>
            </w:pPr>
            <w:r>
              <w:t>nonlocal</w:t>
            </w:r>
          </w:p>
        </w:tc>
        <w:tc>
          <w:tcPr>
            <w:tcW w:type="auto" w:w="0"/>
            <w:tcMar>
              <w:left w:type="dxa" w:w="200"/>
              <w:top w:type="dxa" w:w="200"/>
              <w:right w:type="dxa" w:w="200"/>
              <w:bottom w:type="dxa" w:w="200"/>
            </w:tcMar>
          </w:tcPr>
          <w:p>
            <w:pPr>
              <w:pStyle w:val="Para 021"/>
            </w:pPr>
            <w:r>
              <w:t>return</w:t>
            </w:r>
          </w:p>
        </w:tc>
        <w:tc>
          <w:tcPr>
            <w:tcW w:type="auto" w:w="0"/>
            <w:tcMar>
              <w:left w:type="dxa" w:w="200"/>
              <w:top w:type="dxa" w:w="200"/>
              <w:right w:type="dxa" w:w="200"/>
              <w:bottom w:type="dxa" w:w="200"/>
            </w:tcMar>
          </w:tcPr>
          <w:p>
            <w:pPr>
              <w:pStyle w:val="Para 021"/>
            </w:pPr>
            <w:r>
              <w:t>False</w:t>
            </w:r>
          </w:p>
        </w:tc>
      </w:tr>
    </w:tbl>
    <w:tbl>
      <w:tblPr>
        <w:tblW w:type="auto" w:w="0"/>
      </w:tblPr>
      <w:tr>
        <w:tc>
          <w:tcPr>
            <w:tcW w:type="auto" w:w="0"/>
            <w:shd w:val="clear" w:color="auto" w:fill="EEF2F6"/>
            <w:tcMar>
              <w:left w:type="dxa" w:w="200"/>
              <w:top w:type="dxa" w:w="200"/>
              <w:right w:type="dxa" w:w="200"/>
              <w:bottom w:type="dxa" w:w="200"/>
            </w:tcMar>
          </w:tcPr>
          <w:p>
            <w:pPr>
              <w:pStyle w:val="Para 021"/>
            </w:pPr>
            <w:r>
              <w:t>async</w:t>
            </w:r>
          </w:p>
        </w:tc>
        <w:tc>
          <w:tcPr>
            <w:tcW w:type="auto" w:w="0"/>
            <w:shd w:val="clear" w:color="auto" w:fill="EEF2F6"/>
            <w:tcMar>
              <w:left w:type="dxa" w:w="200"/>
              <w:top w:type="dxa" w:w="200"/>
              <w:right w:type="dxa" w:w="200"/>
              <w:bottom w:type="dxa" w:w="200"/>
            </w:tcMar>
          </w:tcPr>
          <w:p>
            <w:pPr>
              <w:pStyle w:val="Para 021"/>
            </w:pPr>
            <w:r>
              <w:t>def</w:t>
            </w:r>
          </w:p>
        </w:tc>
        <w:tc>
          <w:tcPr>
            <w:tcW w:type="auto" w:w="0"/>
            <w:shd w:val="clear" w:color="auto" w:fill="EEF2F6"/>
            <w:tcMar>
              <w:left w:type="dxa" w:w="200"/>
              <w:top w:type="dxa" w:w="200"/>
              <w:right w:type="dxa" w:w="200"/>
              <w:bottom w:type="dxa" w:w="200"/>
            </w:tcMar>
          </w:tcPr>
          <w:p>
            <w:pPr>
              <w:pStyle w:val="Para 021"/>
            </w:pPr>
            <w:r>
              <w:t>finally</w:t>
            </w:r>
          </w:p>
        </w:tc>
        <w:tc>
          <w:tcPr>
            <w:tcW w:type="auto" w:w="0"/>
            <w:shd w:val="clear" w:color="auto" w:fill="EEF2F6"/>
            <w:tcMar>
              <w:left w:type="dxa" w:w="200"/>
              <w:top w:type="dxa" w:w="200"/>
              <w:right w:type="dxa" w:w="200"/>
              <w:bottom w:type="dxa" w:w="200"/>
            </w:tcMar>
          </w:tcPr>
          <w:p>
            <w:pPr>
              <w:pStyle w:val="Para 021"/>
            </w:pPr>
            <w:r>
              <w:t>import</w:t>
            </w:r>
          </w:p>
        </w:tc>
        <w:tc>
          <w:tcPr>
            <w:tcW w:type="auto" w:w="0"/>
            <w:shd w:val="clear" w:color="auto" w:fill="EEF2F6"/>
            <w:tcMar>
              <w:left w:type="dxa" w:w="200"/>
              <w:top w:type="dxa" w:w="200"/>
              <w:right w:type="dxa" w:w="200"/>
              <w:bottom w:type="dxa" w:w="200"/>
            </w:tcMar>
          </w:tcPr>
          <w:p>
            <w:pPr>
              <w:pStyle w:val="Para 021"/>
            </w:pPr>
            <w:r>
              <w:t>not</w:t>
            </w:r>
          </w:p>
        </w:tc>
        <w:tc>
          <w:tcPr>
            <w:tcW w:type="auto" w:w="0"/>
            <w:shd w:val="clear" w:color="auto" w:fill="EEF2F6"/>
            <w:tcMar>
              <w:left w:type="dxa" w:w="200"/>
              <w:top w:type="dxa" w:w="200"/>
              <w:right w:type="dxa" w:w="200"/>
              <w:bottom w:type="dxa" w:w="200"/>
            </w:tcMar>
          </w:tcPr>
          <w:p>
            <w:pPr>
              <w:pStyle w:val="Para 021"/>
            </w:pPr>
            <w:r>
              <w:t>try</w:t>
            </w:r>
          </w:p>
        </w:tc>
        <w:tc>
          <w:tcPr>
            <w:tcW w:type="auto" w:w="0"/>
            <w:shd w:val="clear" w:color="auto" w:fill="EEF2F6"/>
            <w:tcMar>
              <w:left w:type="dxa" w:w="200"/>
              <w:top w:type="dxa" w:w="200"/>
              <w:right w:type="dxa" w:w="200"/>
              <w:bottom w:type="dxa" w:w="200"/>
            </w:tcMar>
          </w:tcPr>
          <w:p>
            <w:pPr>
              <w:pStyle w:val="Para 021"/>
            </w:pPr>
            <w:r>
              <w:t>None</w:t>
            </w:r>
          </w:p>
        </w:tc>
      </w:tr>
    </w:tbl>
    <w:tbl>
      <w:tblPr>
        <w:tblW w:type="auto" w:w="0"/>
      </w:tblPr>
      <w:tr>
        <w:tc>
          <w:tcPr>
            <w:tcW w:type="auto" w:w="0"/>
            <w:tcMar>
              <w:left w:type="dxa" w:w="200"/>
              <w:top w:type="dxa" w:w="200"/>
              <w:right w:type="dxa" w:w="200"/>
              <w:bottom w:type="dxa" w:w="200"/>
            </w:tcMar>
          </w:tcPr>
          <w:p>
            <w:pPr>
              <w:pStyle w:val="Para 021"/>
            </w:pPr>
            <w:r>
              <w:t>await</w:t>
            </w:r>
          </w:p>
        </w:tc>
        <w:tc>
          <w:tcPr>
            <w:tcW w:type="auto" w:w="0"/>
            <w:tcMar>
              <w:left w:type="dxa" w:w="200"/>
              <w:top w:type="dxa" w:w="200"/>
              <w:right w:type="dxa" w:w="200"/>
              <w:bottom w:type="dxa" w:w="200"/>
            </w:tcMar>
          </w:tcPr>
          <w:p>
            <w:pPr>
              <w:pStyle w:val="Para 021"/>
            </w:pPr>
            <w:r>
              <w:t>del</w:t>
            </w:r>
          </w:p>
        </w:tc>
        <w:tc>
          <w:tcPr>
            <w:tcW w:type="auto" w:w="0"/>
            <w:tcMar>
              <w:left w:type="dxa" w:w="200"/>
              <w:top w:type="dxa" w:w="200"/>
              <w:right w:type="dxa" w:w="200"/>
              <w:bottom w:type="dxa" w:w="200"/>
            </w:tcMar>
          </w:tcPr>
          <w:p>
            <w:pPr>
              <w:pStyle w:val="Para 021"/>
            </w:pPr>
            <w:r>
              <w:t>for</w:t>
            </w:r>
          </w:p>
        </w:tc>
        <w:tc>
          <w:tcPr>
            <w:tcW w:type="auto" w:w="0"/>
            <w:tcMar>
              <w:left w:type="dxa" w:w="200"/>
              <w:top w:type="dxa" w:w="200"/>
              <w:right w:type="dxa" w:w="200"/>
              <w:bottom w:type="dxa" w:w="200"/>
            </w:tcMar>
          </w:tcPr>
          <w:p>
            <w:pPr>
              <w:pStyle w:val="Para 021"/>
            </w:pPr>
            <w:r>
              <w:t>in</w:t>
            </w:r>
          </w:p>
        </w:tc>
        <w:tc>
          <w:tcPr>
            <w:tcW w:type="auto" w:w="0"/>
            <w:tcMar>
              <w:left w:type="dxa" w:w="200"/>
              <w:top w:type="dxa" w:w="200"/>
              <w:right w:type="dxa" w:w="200"/>
              <w:bottom w:type="dxa" w:w="200"/>
            </w:tcMar>
          </w:tcPr>
          <w:p>
            <w:pPr>
              <w:pStyle w:val="Para 021"/>
            </w:pPr>
            <w:r>
              <w:t>or</w:t>
            </w:r>
          </w:p>
        </w:tc>
        <w:tc>
          <w:tcPr>
            <w:tcW w:type="auto" w:w="0"/>
            <w:tcMar>
              <w:left w:type="dxa" w:w="200"/>
              <w:top w:type="dxa" w:w="200"/>
              <w:right w:type="dxa" w:w="200"/>
              <w:bottom w:type="dxa" w:w="200"/>
            </w:tcMar>
          </w:tcPr>
          <w:p>
            <w:pPr>
              <w:pStyle w:val="Para 021"/>
            </w:pPr>
            <w:r>
              <w:t>while</w:t>
            </w:r>
          </w:p>
        </w:tc>
        <w:tc>
          <w:tcPr>
            <w:tcW w:type="auto" w:w="0"/>
            <w:tcMar>
              <w:left w:type="dxa" w:w="200"/>
              <w:top w:type="dxa" w:w="200"/>
              <w:right w:type="dxa" w:w="200"/>
              <w:bottom w:type="dxa" w:w="200"/>
            </w:tcMar>
          </w:tcPr>
          <w:p>
            <w:pPr>
              <w:pStyle w:val="Para 021"/>
            </w:pPr>
            <w:r>
              <w:t>True</w:t>
            </w:r>
          </w:p>
        </w:tc>
      </w:tr>
    </w:tbl>
    <w:p>
      <w:pPr>
        <w:pStyle w:val="Normal"/>
      </w:pPr>
      <w:r>
        <w:t xml:space="preserve">You can list them by importing the </w:t>
      </w:r>
      <w:r>
        <w:rPr>
          <w:rStyle w:val="Text0"/>
        </w:rPr>
        <w:t>keyword</w:t>
      </w:r>
      <w:r>
        <w:t xml:space="preserve"> module and printing </w:t>
      </w:r>
      <w:r>
        <w:rPr>
          <w:rStyle w:val="Text0"/>
        </w:rPr>
        <w:t>keyword.kwlist</w:t>
      </w:r>
      <w:r>
        <w:t>.</w:t>
      </w:r>
    </w:p>
    <w:p>
      <w:pPr>
        <w:pStyle w:val="Normal"/>
      </w:pPr>
      <w:r>
        <w:rPr>
          <w:rStyle w:val="Text34"/>
        </w:rPr>
        <w:t>3.9+</w:t>
      </w:r>
      <w:r>
        <w:t xml:space="preserve"> In addition, Python 3.9 introduced the concept of</w:t>
      </w:r>
      <w:r>
        <w:rPr>
          <w:rStyle w:val="Text111"/>
        </w:rPr>
        <w:bookmarkStart w:id="396" w:name="idm45965276553584"/>
        <w:t/>
        <w:bookmarkEnd w:id="396"/>
      </w:r>
      <w:r>
        <w:t xml:space="preserve"> </w:t>
      </w:r>
      <w:r>
        <w:rPr>
          <w:rStyle w:val="Text4"/>
        </w:rPr>
        <w:t>soft keywords</w:t>
      </w:r>
      <w:r>
        <w:t xml:space="preserve">, which are keywords that are context sensitive. That is, they are language keywords for some specific syntax constructs, but outside of those constructs they may be used as variable or function names, so they are not </w:t>
      </w:r>
      <w:r>
        <w:rPr>
          <w:rStyle w:val="Text4"/>
        </w:rPr>
        <w:t>reserved</w:t>
      </w:r>
      <w:r>
        <w:t xml:space="preserve"> words. No soft keywords were defined in Python 3.9, but Python 3.10 introduced the following</w:t>
      </w:r>
      <w:r>
        <w:rPr>
          <w:rStyle w:val="Text111"/>
        </w:rPr>
        <w:bookmarkStart w:id="397" w:name="idm45965276551376"/>
        <w:t/>
        <w:bookmarkEnd w:id="397"/>
      </w:r>
      <w:r>
        <w:t xml:space="preserve"> soft keywords:</w:t>
      </w:r>
    </w:p>
    <w:tbl>
      <w:tblPr>
        <w:tblW w:type="auto" w:w="0"/>
      </w:tblPr>
      <w:tr>
        <w:tc>
          <w:tcPr>
            <w:tcW w:type="auto" w:w="0"/>
            <w:tcMar>
              <w:left w:type="dxa" w:w="200"/>
              <w:top w:type="dxa" w:w="200"/>
              <w:right w:type="dxa" w:w="200"/>
              <w:bottom w:type="dxa" w:w="200"/>
            </w:tcMar>
          </w:tcPr>
          <w:p>
            <w:pPr>
              <w:pStyle w:val="Para 119"/>
            </w:pPr>
            <w:r>
              <w:t/>
            </w:r>
          </w:p>
          <w:p>
            <w:pPr>
              <w:pStyle w:val="Para 021"/>
            </w:pPr>
            <w:r>
              <w:t>_</w:t>
            </w:r>
          </w:p>
        </w:tc>
        <w:tc>
          <w:tcPr>
            <w:tcW w:type="auto" w:w="0"/>
            <w:tcMar>
              <w:left w:type="dxa" w:w="200"/>
              <w:top w:type="dxa" w:w="200"/>
              <w:right w:type="dxa" w:w="200"/>
              <w:bottom w:type="dxa" w:w="200"/>
            </w:tcMar>
          </w:tcPr>
          <w:p>
            <w:pPr>
              <w:pStyle w:val="Para 021"/>
            </w:pPr>
            <w:r>
              <w:t>case</w:t>
            </w:r>
          </w:p>
        </w:tc>
        <w:tc>
          <w:tcPr>
            <w:tcW w:type="auto" w:w="0"/>
            <w:tcMar>
              <w:left w:type="dxa" w:w="200"/>
              <w:top w:type="dxa" w:w="200"/>
              <w:right w:type="dxa" w:w="200"/>
              <w:bottom w:type="dxa" w:w="200"/>
            </w:tcMar>
          </w:tcPr>
          <w:p>
            <w:pPr>
              <w:pStyle w:val="Para 021"/>
            </w:pPr>
            <w:r>
              <w:t>match</w:t>
            </w:r>
          </w:p>
        </w:tc>
      </w:tr>
    </w:tbl>
    <w:p>
      <w:pPr>
        <w:pStyle w:val="Normal"/>
      </w:pPr>
      <w:r>
        <w:t xml:space="preserve">You can list them from the </w:t>
      </w:r>
      <w:r>
        <w:rPr>
          <w:rStyle w:val="Text0"/>
        </w:rPr>
        <w:t>keyword</w:t>
      </w:r>
      <w:r>
        <w:t xml:space="preserve"> module by printing </w:t>
      </w:r>
      <w:r>
        <w:rPr>
          <w:rStyle w:val="Text0"/>
        </w:rPr>
        <w:t>keyword.softkwlist</w:t>
      </w:r>
      <w:r>
        <w:t>.</w:t>
      </w:r>
    </w:p>
    <w:p>
      <w:bookmarkStart w:id="398" w:name="Operators__Python_uses_nonalphan"/>
      <w:pPr>
        <w:keepNext/>
        <w:pStyle w:val="Heading 2"/>
      </w:pPr>
      <w:r>
        <w:t>Operators</w:t>
      </w:r>
      <w:bookmarkEnd w:id="398"/>
    </w:p>
    <w:p>
      <w:pPr>
        <w:pStyle w:val="Normal"/>
      </w:pPr>
      <w:r>
        <w:t xml:space="preserve">Python uses nonalphanumeric characters and character combinations as operators. Python recognizes the following operators, which are covered in detail in </w:t>
      </w:r>
      <w:hyperlink w:anchor="Expressions_and_Operators__An_ex">
        <w:r>
          <w:rPr>
            <w:rStyle w:val="Text1"/>
          </w:rPr>
          <w:t>“Expressions and Operators”</w:t>
        </w:r>
      </w:hyperlink>
      <w:r>
        <w:t>:</w:t>
      </w:r>
    </w:p>
    <w:p>
      <w:pPr>
        <w:pStyle w:val="Para 038"/>
      </w:pPr>
      <w:r>
        <w:t xml:space="preserve"/>
        <w:br w:clear="none"/>
        <w:t xml:space="preserve">+  -  *  /  %   **  //  &lt;&lt;  &gt;&gt;  &amp;   @</w:t>
        <w:br w:clear="none"/>
        <w:t xml:space="preserve"/>
        <w:br w:clear="none"/>
        <w:t xml:space="preserve">|  ^  ~  &lt;  &lt;=  &gt;   &gt;=  !=  ==  @=  :=</w:t>
        <w:br w:clear="none"/>
      </w:r>
    </w:p>
    <w:p>
      <w:pPr>
        <w:pStyle w:val="Normal"/>
      </w:pPr>
      <w:r>
        <w:t>You can use</w:t>
      </w:r>
      <w:r>
        <w:rPr>
          <w:rStyle w:val="Text111"/>
        </w:rPr>
        <w:bookmarkStart w:id="399" w:name="idm45965276539792"/>
        <w:t/>
        <w:bookmarkEnd w:id="399"/>
      </w:r>
      <w:r>
        <w:t xml:space="preserve"> </w:t>
      </w:r>
      <w:r>
        <w:rPr>
          <w:rStyle w:val="Text0"/>
        </w:rPr>
        <w:t>@</w:t>
      </w:r>
      <w:r>
        <w:t xml:space="preserve"> as an operator (in matrix multiplication, covered in </w:t>
      </w:r>
      <w:hyperlink w:anchor="Chapter_16__Numeric_Processing_2">
        <w:r>
          <w:rPr>
            <w:rStyle w:val="Text1"/>
          </w:rPr>
          <w:t>Chapter 16</w:t>
        </w:r>
      </w:hyperlink>
      <w:r>
        <w:t>), although (pedantically speaking!) the character is actually a delimiter.</w:t>
      </w:r>
    </w:p>
    <w:p>
      <w:bookmarkStart w:id="400" w:name="Delimiters__Python_uses_the_foll"/>
      <w:pPr>
        <w:keepNext/>
        <w:pStyle w:val="Heading 2"/>
      </w:pPr>
      <w:r>
        <w:t>Delimiters</w:t>
      </w:r>
      <w:bookmarkEnd w:id="400"/>
    </w:p>
    <w:p>
      <w:pPr>
        <w:pStyle w:val="Normal"/>
      </w:pPr>
      <w:r>
        <w:t>Python</w:t>
      </w:r>
      <w:r>
        <w:rPr>
          <w:rStyle w:val="Text111"/>
        </w:rPr>
        <w:bookmarkStart w:id="401" w:name="idm45965276534752"/>
        <w:t/>
        <w:bookmarkEnd w:id="401"/>
        <w:bookmarkStart w:id="402" w:name="idm45965276533296"/>
        <w:t/>
        <w:bookmarkEnd w:id="402"/>
        <w:bookmarkStart w:id="403" w:name="idm45965276531920"/>
        <w:t/>
        <w:bookmarkEnd w:id="403"/>
        <w:bookmarkStart w:id="404" w:name="idm45965276530544"/>
        <w:t/>
        <w:bookmarkEnd w:id="404"/>
        <w:bookmarkStart w:id="405" w:name="idm45965276529168"/>
        <w:t/>
        <w:bookmarkEnd w:id="405"/>
        <w:bookmarkStart w:id="406" w:name="idm45965276528064"/>
        <w:t/>
        <w:bookmarkEnd w:id="406"/>
        <w:bookmarkStart w:id="407" w:name="idm45965276526960"/>
        <w:t/>
        <w:bookmarkEnd w:id="407"/>
        <w:bookmarkStart w:id="408" w:name="idm45965276525584"/>
        <w:t/>
        <w:bookmarkEnd w:id="408"/>
        <w:bookmarkStart w:id="409" w:name="idm45965276524208"/>
        <w:t/>
        <w:bookmarkEnd w:id="409"/>
        <w:bookmarkStart w:id="410" w:name="idm45965276522832"/>
        <w:t/>
        <w:bookmarkEnd w:id="410"/>
        <w:bookmarkStart w:id="411" w:name="idm45965276521728"/>
        <w:t/>
        <w:bookmarkEnd w:id="411"/>
        <w:bookmarkStart w:id="412" w:name="idm45965276520624"/>
        <w:t/>
        <w:bookmarkEnd w:id="412"/>
        <w:bookmarkStart w:id="413" w:name="idm45965276519520"/>
        <w:t/>
        <w:bookmarkEnd w:id="413"/>
        <w:bookmarkStart w:id="414" w:name="idm45965276518416"/>
        <w:t/>
        <w:bookmarkEnd w:id="414"/>
        <w:bookmarkStart w:id="415" w:name="idm45965276517312"/>
        <w:t/>
        <w:bookmarkEnd w:id="415"/>
        <w:bookmarkStart w:id="416" w:name="idm45965276516208"/>
        <w:t/>
        <w:bookmarkEnd w:id="416"/>
        <w:bookmarkStart w:id="417" w:name="idm45965276515104"/>
        <w:t/>
        <w:bookmarkEnd w:id="417"/>
        <w:bookmarkStart w:id="418" w:name="idm45965276514000"/>
        <w:t/>
        <w:bookmarkEnd w:id="418"/>
        <w:bookmarkStart w:id="419" w:name="idm45965276512896"/>
        <w:t/>
        <w:bookmarkEnd w:id="419"/>
        <w:bookmarkStart w:id="420" w:name="idm45965276511792"/>
        <w:t/>
        <w:bookmarkEnd w:id="420"/>
      </w:r>
      <w:r>
        <w:t xml:space="preserve"> uses the following characters and combinations as delimiters in various statements, expressions, and list, dictionary, and set literals and comprehensions, among other purposes:</w:t>
      </w:r>
    </w:p>
    <w:p>
      <w:pPr>
        <w:pStyle w:val="Para 038"/>
      </w:pPr>
      <w:r>
        <w:t xml:space="preserve"/>
        <w:br w:clear="none"/>
        <w:t xml:space="preserve">(    )    [    ]    {    }</w:t>
        <w:br w:clear="none"/>
        <w:t xml:space="preserve"/>
        <w:br w:clear="none"/>
        <w:t xml:space="preserve">,    :    .    =    ;    @</w:t>
        <w:br w:clear="none"/>
        <w:t xml:space="preserve"/>
        <w:br w:clear="none"/>
        <w:t xml:space="preserve">+=   -=   *=   /=   //=  %=</w:t>
        <w:br w:clear="none"/>
        <w:t xml:space="preserve"/>
        <w:br w:clear="none"/>
        <w:t xml:space="preserve">&amp;=   |=   ^=   &gt;&gt;=  &lt;&lt;=  **=</w:t>
        <w:br w:clear="none"/>
      </w:r>
    </w:p>
    <w:p>
      <w:pPr>
        <w:pStyle w:val="Normal"/>
      </w:pPr>
      <w:r>
        <w:t>The period (</w:t>
      </w:r>
      <w:r>
        <w:rPr>
          <w:rStyle w:val="Text0"/>
        </w:rPr>
        <w:t>.</w:t>
      </w:r>
      <w:r>
        <w:t xml:space="preserve">) can also appear in floating-point literals (e.g., </w:t>
      </w:r>
      <w:r>
        <w:rPr>
          <w:rStyle w:val="Text0"/>
        </w:rPr>
        <w:t>2.3</w:t>
      </w:r>
      <w:r>
        <w:t xml:space="preserve">) and imaginary literals (e.g., </w:t>
      </w:r>
      <w:r>
        <w:rPr>
          <w:rStyle w:val="Text0"/>
        </w:rPr>
        <w:t>2.3j</w:t>
      </w:r>
      <w:r>
        <w:t>). The last two rows are the augmented assignment operators, which are delimiters but also perform operations. We discuss the syntax for the various delimiters when we introduce the objects or statements using them.</w:t>
      </w:r>
    </w:p>
    <w:p>
      <w:pPr>
        <w:pStyle w:val="Normal"/>
      </w:pPr>
      <w:r>
        <w:t>The</w:t>
      </w:r>
      <w:r>
        <w:rPr>
          <w:rStyle w:val="Text111"/>
        </w:rPr>
        <w:bookmarkStart w:id="421" w:name="idm45965276506880"/>
        <w:t/>
        <w:bookmarkEnd w:id="421"/>
        <w:bookmarkStart w:id="422" w:name="idm45965276505744"/>
        <w:t/>
        <w:bookmarkEnd w:id="422"/>
        <w:bookmarkStart w:id="423" w:name="idm45965276504640"/>
        <w:t/>
        <w:bookmarkEnd w:id="423"/>
        <w:bookmarkStart w:id="424" w:name="idm45965276503536"/>
        <w:t/>
        <w:bookmarkEnd w:id="424"/>
        <w:bookmarkStart w:id="425" w:name="idm45965276502192"/>
        <w:t/>
        <w:bookmarkEnd w:id="425"/>
        <w:bookmarkStart w:id="426" w:name="idm45965276500528"/>
        <w:t/>
        <w:bookmarkEnd w:id="426"/>
        <w:bookmarkStart w:id="427" w:name="idm45965276499424"/>
        <w:t/>
        <w:bookmarkEnd w:id="427"/>
        <w:bookmarkStart w:id="428" w:name="idm45965276498320"/>
        <w:t/>
        <w:bookmarkEnd w:id="428"/>
        <w:bookmarkStart w:id="429" w:name="idm45965276497216"/>
        <w:t/>
        <w:bookmarkEnd w:id="429"/>
        <w:bookmarkStart w:id="430" w:name="idm45965282199776"/>
        <w:t/>
        <w:bookmarkEnd w:id="430"/>
        <w:bookmarkStart w:id="431" w:name="idm45965282198400"/>
        <w:t/>
        <w:bookmarkEnd w:id="431"/>
        <w:bookmarkStart w:id="432" w:name="idm45965282197296"/>
        <w:t/>
        <w:bookmarkEnd w:id="432"/>
        <w:bookmarkStart w:id="433" w:name="idm45965282196192"/>
        <w:t/>
        <w:bookmarkEnd w:id="433"/>
      </w:r>
      <w:r>
        <w:t xml:space="preserve"> following characters have special meanings as part of other tokens:</w:t>
      </w:r>
    </w:p>
    <w:p>
      <w:pPr>
        <w:pStyle w:val="Para 038"/>
      </w:pPr>
      <w:r>
        <w:t xml:space="preserve"/>
        <w:br w:clear="none"/>
        <w:t xml:space="preserve">'  "  #  \</w:t>
        <w:br w:clear="none"/>
      </w:r>
    </w:p>
    <w:p>
      <w:pPr>
        <w:pStyle w:val="Normal"/>
      </w:pPr>
      <w:r>
        <w:rPr>
          <w:rStyle w:val="Text0"/>
        </w:rPr>
        <w:t>'</w:t>
      </w:r>
      <w:r>
        <w:t xml:space="preserve"> and </w:t>
      </w:r>
      <w:r>
        <w:rPr>
          <w:rStyle w:val="Text0"/>
        </w:rPr>
        <w:t>"</w:t>
      </w:r>
      <w:r>
        <w:t xml:space="preserve"> surround string literals. </w:t>
      </w:r>
      <w:r>
        <w:rPr>
          <w:rStyle w:val="Text0"/>
        </w:rPr>
        <w:t>#</w:t>
      </w:r>
      <w:r>
        <w:t xml:space="preserve"> outside of a string starts a comment, which ends at the end of the current line. </w:t>
      </w:r>
      <w:r>
        <w:rPr>
          <w:rStyle w:val="Text0"/>
        </w:rPr>
        <w:t>\</w:t>
      </w:r>
      <w:r>
        <w:t xml:space="preserve"> at the end of a physical line joins the following physical line with it into one logical line; </w:t>
      </w:r>
      <w:r>
        <w:rPr>
          <w:rStyle w:val="Text0"/>
        </w:rPr>
        <w:t>\</w:t>
      </w:r>
      <w:r>
        <w:t xml:space="preserve"> is also an escape character in strings. The characters </w:t>
      </w:r>
      <w:r>
        <w:rPr>
          <w:rStyle w:val="Text0"/>
        </w:rPr>
        <w:t>$</w:t>
      </w:r>
      <w:r>
        <w:t xml:space="preserve"> and </w:t>
      </w:r>
      <w:r>
        <w:rPr>
          <w:rStyle w:val="Text0"/>
        </w:rPr>
        <w:t>?</w:t>
      </w:r>
      <w:r>
        <w:t>, and all control characters</w:t>
      </w:r>
      <w:hyperlink w:anchor="2_Control_characters_include_non">
        <w:r>
          <w:rPr>
            <w:rStyle w:val="Text41"/>
          </w:rPr>
          <w:bookmarkStart w:id="434" w:name="2_3"/>
          <w:t>2</w:t>
          <w:bookmarkEnd w:id="434"/>
        </w:r>
      </w:hyperlink>
      <w:r>
        <w:t xml:space="preserve"> except</w:t>
      </w:r>
      <w:r>
        <w:rPr>
          <w:rStyle w:val="Text111"/>
        </w:rPr>
        <w:bookmarkStart w:id="435" w:name="idm45965282185024"/>
        <w:t/>
        <w:bookmarkEnd w:id="435"/>
      </w:r>
      <w:r>
        <w:t xml:space="preserve"> whitespace, can never be part of the text of a Python program, except in comments or string literals.</w:t>
      </w:r>
    </w:p>
    <w:p>
      <w:bookmarkStart w:id="436" w:name="Literals__A_literal_is_the_direc"/>
      <w:pPr>
        <w:keepNext/>
        <w:pStyle w:val="Heading 2"/>
      </w:pPr>
      <w:r>
        <w:t>Literals</w:t>
      </w:r>
      <w:bookmarkEnd w:id="436"/>
    </w:p>
    <w:p>
      <w:pPr>
        <w:pStyle w:val="Normal"/>
      </w:pPr>
      <w:r>
        <w:t>A</w:t>
      </w:r>
      <w:r>
        <w:rPr>
          <w:rStyle w:val="Text111"/>
        </w:rPr>
        <w:bookmarkStart w:id="437" w:name="idm45965282182000"/>
        <w:t/>
        <w:bookmarkEnd w:id="437"/>
      </w:r>
      <w:r>
        <w:t xml:space="preserve"> </w:t>
      </w:r>
      <w:r>
        <w:rPr>
          <w:rStyle w:val="Text4"/>
        </w:rPr>
        <w:t>literal</w:t>
      </w:r>
      <w:r>
        <w:t xml:space="preserve"> is the direct denotation in a program of a data value (a number, string, or container). The following are number and string literals in Python:</w:t>
      </w:r>
    </w:p>
    <w:p>
      <w:pPr>
        <w:pStyle w:val="Para 014"/>
      </w:pPr>
      <w:r>
        <w:rPr>
          <w:rStyle w:val="Text116"/>
        </w:rPr>
        <w:t xml:space="preserve"/>
        <w:br w:clear="none"/>
      </w:r>
      <w:r>
        <w:rPr>
          <w:rStyle w:val="Text35"/>
        </w:rPr>
        <w:t xml:space="preserve">42</w:t>
        <w:br w:clear="none"/>
      </w:r>
      <w:r>
        <w:rPr>
          <w:rStyle w:val="Text11"/>
        </w:rPr>
        <w:t xml:space="preserve">                     </w:t>
        <w:br w:clear="none"/>
      </w:r>
      <w:r>
        <w:t xml:space="preserve"># Integer literal</w:t>
        <w:br w:clear="none"/>
      </w:r>
      <w:r>
        <w:rPr>
          <w:rStyle w:val="Text11"/>
        </w:rPr>
        <w:t xml:space="preserve"/>
        <w:br w:clear="none"/>
      </w:r>
      <w:r>
        <w:rPr>
          <w:rStyle w:val="Text35"/>
        </w:rPr>
        <w:t xml:space="preserve">3.14</w:t>
        <w:br w:clear="none"/>
      </w:r>
      <w:r>
        <w:rPr>
          <w:rStyle w:val="Text11"/>
        </w:rPr>
        <w:t xml:space="preserve">                   </w:t>
        <w:br w:clear="none"/>
      </w:r>
      <w:r>
        <w:t xml:space="preserve"># Floating-point literal</w:t>
        <w:br w:clear="none"/>
      </w:r>
      <w:r>
        <w:rPr>
          <w:rStyle w:val="Text11"/>
        </w:rPr>
        <w:t xml:space="preserve"/>
        <w:br w:clear="none"/>
      </w:r>
      <w:r>
        <w:rPr>
          <w:rStyle w:val="Text35"/>
        </w:rPr>
        <w:t xml:space="preserve">1.0j</w:t>
        <w:br w:clear="none"/>
      </w:r>
      <w:r>
        <w:rPr>
          <w:rStyle w:val="Text11"/>
        </w:rPr>
        <w:t xml:space="preserve">                   </w:t>
        <w:br w:clear="none"/>
      </w:r>
      <w:r>
        <w:t xml:space="preserve"># Imaginary literal</w:t>
        <w:br w:clear="none"/>
      </w:r>
      <w:r>
        <w:rPr>
          <w:rStyle w:val="Text11"/>
        </w:rPr>
        <w:t xml:space="preserve"/>
        <w:br w:clear="none"/>
      </w:r>
      <w:r>
        <w:rPr>
          <w:rStyle w:val="Text17"/>
        </w:rPr>
        <w:t xml:space="preserve">'</w:t>
        <w:br w:clear="none"/>
        <w:t xml:space="preserve">hello</w:t>
        <w:br w:clear="none"/>
        <w:t xml:space="preserve">'</w:t>
        <w:br w:clear="none"/>
      </w:r>
      <w:r>
        <w:rPr>
          <w:rStyle w:val="Text11"/>
        </w:rPr>
        <w:t xml:space="preserve">                </w:t>
        <w:br w:clear="none"/>
      </w:r>
      <w:r>
        <w:t xml:space="preserve"># String literal</w:t>
        <w:br w:clear="none"/>
      </w:r>
      <w:r>
        <w:rPr>
          <w:rStyle w:val="Text11"/>
        </w:rPr>
        <w:t xml:space="preserve"/>
        <w:br w:clear="none"/>
      </w:r>
      <w:r>
        <w:rPr>
          <w:rStyle w:val="Text17"/>
        </w:rPr>
        <w:t xml:space="preserve">"</w:t>
        <w:br w:clear="none"/>
        <w:t xml:space="preserve">world</w:t>
        <w:br w:clear="none"/>
        <w:t xml:space="preserve">"</w:t>
        <w:br w:clear="none"/>
      </w:r>
      <w:r>
        <w:rPr>
          <w:rStyle w:val="Text11"/>
        </w:rPr>
        <w:t xml:space="preserve">                </w:t>
        <w:br w:clear="none"/>
      </w:r>
      <w:r>
        <w:t xml:space="preserve"># Another string literal</w:t>
        <w:br w:clear="none"/>
      </w:r>
      <w:r>
        <w:rPr>
          <w:rStyle w:val="Text11"/>
        </w:rPr>
        <w:t xml:space="preserve"/>
        <w:br w:clear="none"/>
      </w:r>
      <w:r>
        <w:rPr>
          <w:rStyle w:val="Text8"/>
        </w:rPr>
        <w:t xml:space="preserve">"""Good</w:t>
        <w:br w:clear="none"/>
      </w:r>
      <w:r>
        <w:rPr>
          <w:rStyle w:val="Text17"/>
        </w:rPr>
        <w:t xml:space="preserve"/>
        <w:br w:clear="none"/>
      </w:r>
      <w:r>
        <w:rPr>
          <w:rStyle w:val="Text8"/>
        </w:rPr>
        <w:t xml:space="preserve">night"""</w:t>
        <w:br w:clear="none"/>
      </w:r>
      <w:r>
        <w:rPr>
          <w:rStyle w:val="Text6"/>
        </w:rPr>
        <w:t xml:space="preserve">               </w:t>
        <w:br w:clear="none"/>
      </w:r>
      <w:r>
        <w:t xml:space="preserve"># Triple-quoted string literal, spanning 2 lines</w:t>
        <w:br w:clear="none"/>
      </w:r>
    </w:p>
    <w:p>
      <w:pPr>
        <w:pStyle w:val="Normal"/>
      </w:pPr>
      <w:r>
        <w:t>Combining number and string literals with the appropriate delimiters, you can directly build many container types with those literals as values:</w:t>
      </w:r>
    </w:p>
    <w:p>
      <w:pPr>
        <w:pStyle w:val="Para 014"/>
      </w:pPr>
      <w:r>
        <w:rPr>
          <w:rStyle w:val="Text116"/>
        </w:rPr>
        <w:t xml:space="preserve"/>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35"/>
        </w:rPr>
        <w:t xml:space="preserve">3.14</w:t>
        <w:br w:clear="none"/>
      </w:r>
      <w:r>
        <w:rPr>
          <w:rStyle w:val="Text19"/>
        </w:rPr>
        <w:t xml:space="preserve">,</w:t>
        <w:br w:clear="none"/>
      </w:r>
      <w:r>
        <w:rPr>
          <w:rStyle w:val="Text11"/>
        </w:rPr>
        <w:t xml:space="preserve"> </w:t>
        <w:br w:clear="none"/>
      </w:r>
      <w:r>
        <w:rPr>
          <w:rStyle w:val="Text17"/>
        </w:rPr>
        <w:t xml:space="preserve">'</w:t>
        <w:br w:clear="none"/>
        <w:t xml:space="preserve">hello</w:t>
        <w:br w:clear="none"/>
        <w:t xml:space="preserve">'</w:t>
        <w:br w:clear="none"/>
      </w:r>
      <w:r>
        <w:rPr>
          <w:rStyle w:val="Text19"/>
        </w:rPr>
        <w:t xml:space="preserve">]</w:t>
        <w:br w:clear="none"/>
      </w:r>
      <w:r>
        <w:rPr>
          <w:rStyle w:val="Text11"/>
        </w:rPr>
        <w:t xml:space="preserve">     </w:t>
        <w:br w:clear="none"/>
      </w:r>
      <w:r>
        <w:t xml:space="preserve"># List</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list</w:t>
        <w:br w:clear="none"/>
      </w:r>
      <w:r>
        <w:rPr>
          <w:rStyle w:val="Text11"/>
        </w:rPr>
        <w:t xml:space="preserve"/>
        <w:br w:clear="none"/>
      </w:r>
      <w:r>
        <w:rPr>
          <w:rStyle w:val="Text35"/>
        </w:rPr>
        <w:t xml:space="preserve">100</w:t>
        <w:br w:clear="none"/>
      </w:r>
      <w:r>
        <w:rPr>
          <w:rStyle w:val="Text19"/>
        </w:rPr>
        <w:t xml:space="preserve">,</w:t>
        <w:br w:clear="none"/>
      </w:r>
      <w:r>
        <w:rPr>
          <w:rStyle w:val="Text11"/>
        </w:rPr>
        <w:t xml:space="preserve"> </w:t>
        <w:br w:clear="none"/>
      </w:r>
      <w:r>
        <w:rPr>
          <w:rStyle w:val="Text35"/>
        </w:rPr>
        <w:t xml:space="preserve">200</w:t>
        <w:br w:clear="none"/>
      </w:r>
      <w:r>
        <w:rPr>
          <w:rStyle w:val="Text19"/>
        </w:rPr>
        <w:t xml:space="preserve">,</w:t>
        <w:br w:clear="none"/>
      </w:r>
      <w:r>
        <w:rPr>
          <w:rStyle w:val="Text11"/>
        </w:rPr>
        <w:t xml:space="preserve"> </w:t>
        <w:br w:clear="none"/>
      </w:r>
      <w:r>
        <w:rPr>
          <w:rStyle w:val="Text35"/>
        </w:rPr>
        <w:t xml:space="preserve">300</w:t>
        <w:br w:clear="none"/>
      </w:r>
      <w:r>
        <w:rPr>
          <w:rStyle w:val="Text11"/>
        </w:rPr>
        <w:t xml:space="preserve">           </w:t>
        <w:br w:clear="none"/>
      </w:r>
      <w:r>
        <w:t xml:space="preserve"># Tuple</w:t>
        <w:br w:clear="none"/>
      </w:r>
      <w:r>
        <w:rPr>
          <w:rStyle w:val="Text11"/>
        </w:rPr>
        <w:t xml:space="preserve"/>
        <w:br w:clear="none"/>
      </w:r>
      <w:r>
        <w:rPr>
          <w:rStyle w:val="Text19"/>
        </w:rPr>
        <w:t xml:space="preserve">(</w:t>
        <w:br w:clear="none"/>
      </w:r>
      <w:r>
        <w:rPr>
          <w:rStyle w:val="Text35"/>
        </w:rPr>
        <w:t xml:space="preserve">100</w:t>
        <w:br w:clear="none"/>
      </w:r>
      <w:r>
        <w:rPr>
          <w:rStyle w:val="Text19"/>
        </w:rPr>
        <w:t xml:space="preserve">,</w:t>
        <w:br w:clear="none"/>
      </w:r>
      <w:r>
        <w:rPr>
          <w:rStyle w:val="Text11"/>
        </w:rPr>
        <w:t xml:space="preserve"> </w:t>
        <w:br w:clear="none"/>
      </w:r>
      <w:r>
        <w:rPr>
          <w:rStyle w:val="Text35"/>
        </w:rPr>
        <w:t xml:space="preserve">200</w:t>
        <w:br w:clear="none"/>
      </w:r>
      <w:r>
        <w:rPr>
          <w:rStyle w:val="Text19"/>
        </w:rPr>
        <w:t xml:space="preserve">,</w:t>
        <w:br w:clear="none"/>
      </w:r>
      <w:r>
        <w:rPr>
          <w:rStyle w:val="Text11"/>
        </w:rPr>
        <w:t xml:space="preserve"> </w:t>
        <w:br w:clear="none"/>
      </w:r>
      <w:r>
        <w:rPr>
          <w:rStyle w:val="Text35"/>
        </w:rPr>
        <w:t xml:space="preserve">300</w:t>
        <w:br w:clear="none"/>
      </w:r>
      <w:r>
        <w:rPr>
          <w:rStyle w:val="Text19"/>
        </w:rPr>
        <w:t xml:space="preserve">)</w:t>
        <w:br w:clear="none"/>
      </w:r>
      <w:r>
        <w:rPr>
          <w:rStyle w:val="Text11"/>
        </w:rPr>
        <w:t xml:space="preserve">         </w:t>
        <w:br w:clear="none"/>
      </w:r>
      <w:r>
        <w:t xml:space="preserve"># Tuple</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tuple</w:t>
        <w:br w:clear="none"/>
      </w:r>
      <w:r>
        <w:rPr>
          <w:rStyle w:val="Text11"/>
        </w:rPr>
        <w:t xml:space="preserve"/>
        <w:br w:clear="none"/>
      </w:r>
      <w:r>
        <w:rPr>
          <w:rStyle w:val="Text19"/>
        </w:rPr>
        <w:t xml:space="preserve">{</w:t>
        <w:br w:clear="none"/>
      </w:r>
      <w:r>
        <w:rPr>
          <w:rStyle w:val="Text17"/>
        </w:rPr>
        <w:t xml:space="preserve">'</w:t>
        <w:br w:clear="none"/>
        <w:t xml:space="preserve">x</w:t>
        <w:br w:clear="none"/>
        <w:t xml:space="preserve">'</w:t>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17"/>
        </w:rPr>
        <w:t xml:space="preserve">'</w:t>
        <w:br w:clear="none"/>
        <w:t xml:space="preserve">y</w:t>
        <w:br w:clear="none"/>
        <w:t xml:space="preserve">'</w:t>
        <w:br w:clear="none"/>
      </w:r>
      <w:r>
        <w:rPr>
          <w:rStyle w:val="Text19"/>
        </w:rPr>
        <w:t xml:space="preserve">:</w:t>
        <w:br w:clear="none"/>
      </w:r>
      <w:r>
        <w:rPr>
          <w:rStyle w:val="Text35"/>
        </w:rPr>
        <w:t xml:space="preserve">3.14</w:t>
        <w:br w:clear="none"/>
      </w:r>
      <w:r>
        <w:rPr>
          <w:rStyle w:val="Text19"/>
        </w:rPr>
        <w:t xml:space="preserve">}</w:t>
        <w:br w:clear="none"/>
      </w:r>
      <w:r>
        <w:rPr>
          <w:rStyle w:val="Text11"/>
        </w:rPr>
        <w:t xml:space="preserve">      </w:t>
        <w:br w:clear="none"/>
      </w:r>
      <w:r>
        <w:t xml:space="preserve"># Dictionary</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dictionary</w:t>
        <w:br w:clear="none"/>
      </w:r>
      <w:r>
        <w:rPr>
          <w:rStyle w:val="Text11"/>
        </w:rPr>
        <w:t xml:space="preserve"/>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4</w:t>
        <w:br w:clear="none"/>
      </w:r>
      <w:r>
        <w:rPr>
          <w:rStyle w:val="Text19"/>
        </w:rPr>
        <w:t xml:space="preserve">,</w:t>
        <w:br w:clear="none"/>
      </w:r>
      <w:r>
        <w:rPr>
          <w:rStyle w:val="Text11"/>
        </w:rPr>
        <w:t xml:space="preserve"> </w:t>
        <w:br w:clear="none"/>
      </w:r>
      <w:r>
        <w:rPr>
          <w:rStyle w:val="Text35"/>
        </w:rPr>
        <w:t xml:space="preserve">8</w:t>
        <w:br w:clear="none"/>
      </w:r>
      <w:r>
        <w:rPr>
          <w:rStyle w:val="Text19"/>
        </w:rPr>
        <w:t xml:space="preserve">,</w:t>
        <w:br w:clear="none"/>
      </w:r>
      <w:r>
        <w:rPr>
          <w:rStyle w:val="Text11"/>
        </w:rPr>
        <w:t xml:space="preserve"> </w:t>
        <w:br w:clear="none"/>
      </w:r>
      <w:r>
        <w:rPr>
          <w:rStyle w:val="Text17"/>
        </w:rPr>
        <w:t xml:space="preserve">'</w:t>
        <w:br w:clear="none"/>
        <w:t xml:space="preserve">string</w:t>
        <w:br w:clear="none"/>
        <w:t xml:space="preserve">'</w:t>
        <w:br w:clear="none"/>
      </w:r>
      <w:r>
        <w:rPr>
          <w:rStyle w:val="Text19"/>
        </w:rPr>
        <w:t xml:space="preserve">}</w:t>
        <w:br w:clear="none"/>
      </w:r>
      <w:r>
        <w:rPr>
          <w:rStyle w:val="Text11"/>
        </w:rPr>
        <w:t xml:space="preserve">  </w:t>
        <w:br w:clear="none"/>
      </w:r>
      <w:r>
        <w:t xml:space="preserve"># Set</w:t>
        <w:br w:clear="none"/>
      </w:r>
      <w:r>
        <w:rPr>
          <w:rStyle w:val="Text11"/>
        </w:rPr>
        <w:t xml:space="preserve"/>
        <w:br w:clear="none"/>
      </w:r>
      <w:r>
        <w:t xml:space="preserve"># There is no literal form to denote an empty set; use set() instead</w:t>
        <w:br w:clear="none"/>
      </w:r>
    </w:p>
    <w:p>
      <w:pPr>
        <w:pStyle w:val="Normal"/>
      </w:pPr>
      <w:r>
        <w:t>We cover the syntax for such container literals</w:t>
      </w:r>
      <w:hyperlink w:anchor="3__Container_displays___per_the">
        <w:r>
          <w:rPr>
            <w:rStyle w:val="Text41"/>
          </w:rPr>
          <w:bookmarkStart w:id="438" w:name="3_3"/>
          <w:t>3</w:t>
          <w:bookmarkEnd w:id="438"/>
        </w:r>
      </w:hyperlink>
      <w:r>
        <w:t xml:space="preserve"> in detail in </w:t>
      </w:r>
      <w:hyperlink w:anchor="Data_Types__The_operation_of_a_P">
        <w:r>
          <w:rPr>
            <w:rStyle w:val="Text1"/>
          </w:rPr>
          <w:t>“Data Types”</w:t>
        </w:r>
      </w:hyperlink>
      <w:r>
        <w:t>, when we discuss the various data types Python supports. We refer to these expressions as literals throughout this book, as they describe literal (i.e., not requiring additional evaluation) values in the source code.</w:t>
      </w:r>
      <w:r>
        <w:rPr>
          <w:rStyle w:val="Text111"/>
        </w:rPr>
        <w:bookmarkStart w:id="439" w:name="idm45965282088496"/>
        <w:t/>
        <w:bookmarkEnd w:id="439"/>
      </w:r>
    </w:p>
    <w:p>
      <w:bookmarkStart w:id="440" w:name="Statements__You_can_look_at_a_Py"/>
      <w:pPr>
        <w:keepNext/>
        <w:pStyle w:val="Heading 2"/>
      </w:pPr>
      <w:r>
        <w:t>Statements</w:t>
      </w:r>
      <w:bookmarkEnd w:id="440"/>
    </w:p>
    <w:p>
      <w:pPr>
        <w:pStyle w:val="Normal"/>
      </w:pPr>
      <w:r>
        <w:t>You</w:t>
      </w:r>
      <w:r>
        <w:rPr>
          <w:rStyle w:val="Text111"/>
        </w:rPr>
        <w:bookmarkStart w:id="441" w:name="idm45965282085216"/>
        <w:t/>
        <w:bookmarkEnd w:id="441"/>
        <w:bookmarkStart w:id="442" w:name="idm45965282083808"/>
        <w:t/>
        <w:bookmarkEnd w:id="442"/>
      </w:r>
      <w:r>
        <w:t xml:space="preserve"> can look at a Python source file as a sequence of simple and compound statements.</w:t>
      </w:r>
    </w:p>
    <w:p>
      <w:bookmarkStart w:id="443" w:name="Simple_statements__A_simple_stat"/>
      <w:pPr>
        <w:keepNext/>
        <w:pStyle w:val="Heading 2"/>
      </w:pPr>
      <w:r>
        <w:t>Simple statements</w:t>
      </w:r>
      <w:bookmarkEnd w:id="443"/>
    </w:p>
    <w:p>
      <w:pPr>
        <w:pStyle w:val="Normal"/>
      </w:pPr>
      <w:r>
        <w:t>A</w:t>
      </w:r>
      <w:r>
        <w:rPr>
          <w:rStyle w:val="Text111"/>
        </w:rPr>
        <w:bookmarkStart w:id="444" w:name="idm45965281995504"/>
        <w:t/>
        <w:bookmarkEnd w:id="444"/>
      </w:r>
      <w:r>
        <w:t xml:space="preserve"> </w:t>
      </w:r>
      <w:r>
        <w:rPr>
          <w:rStyle w:val="Text4"/>
        </w:rPr>
        <w:t>simple statement</w:t>
      </w:r>
      <w:r>
        <w:t xml:space="preserve"> is one that contains no other statements. A simple statement lies entirely within a logical line. As in many other languages, you may place more than one simple statement on a single logical line, with a</w:t>
      </w:r>
      <w:r>
        <w:rPr>
          <w:rStyle w:val="Text111"/>
        </w:rPr>
        <w:bookmarkStart w:id="445" w:name="idm45965281993792"/>
        <w:t/>
        <w:bookmarkEnd w:id="445"/>
        <w:bookmarkStart w:id="446" w:name="idm45965281992416"/>
        <w:t/>
        <w:bookmarkEnd w:id="446"/>
      </w:r>
      <w:r>
        <w:t xml:space="preserve"> semicolon (</w:t>
      </w:r>
      <w:r>
        <w:rPr>
          <w:rStyle w:val="Text0"/>
        </w:rPr>
        <w:t>;</w:t>
      </w:r>
      <w:r>
        <w:t>) as the separator. However, using one statement per line is the usual and recommended Python style, and it makes programs more readable.</w:t>
      </w:r>
    </w:p>
    <w:p>
      <w:pPr>
        <w:pStyle w:val="Normal"/>
      </w:pPr>
      <w:r>
        <w:t>Any</w:t>
      </w:r>
      <w:r>
        <w:rPr>
          <w:rStyle w:val="Text111"/>
        </w:rPr>
        <w:bookmarkStart w:id="447" w:name="idm45965281989392"/>
        <w:t/>
        <w:bookmarkEnd w:id="447"/>
      </w:r>
      <w:r>
        <w:t xml:space="preserve"> </w:t>
      </w:r>
      <w:r>
        <w:rPr>
          <w:rStyle w:val="Text4"/>
        </w:rPr>
        <w:t>expression</w:t>
      </w:r>
      <w:r>
        <w:t xml:space="preserve"> can stand on its own as a simple statement (we discuss expressions in </w:t>
      </w:r>
      <w:hyperlink w:anchor="Expressions_and_Operators__An_ex">
        <w:r>
          <w:rPr>
            <w:rStyle w:val="Text1"/>
          </w:rPr>
          <w:t>“Expressions and Operators”</w:t>
        </w:r>
      </w:hyperlink>
      <w:r>
        <w:t>). When you’re working interactively, the interpreter shows the result of an expression statement you enter at the</w:t>
      </w:r>
      <w:r>
        <w:rPr>
          <w:rStyle w:val="Text111"/>
        </w:rPr>
        <w:bookmarkStart w:id="448" w:name="idm45965281986416"/>
        <w:t/>
        <w:bookmarkEnd w:id="448"/>
        <w:bookmarkStart w:id="449" w:name="idm45965281985344"/>
        <w:t/>
        <w:bookmarkEnd w:id="449"/>
      </w:r>
      <w:r>
        <w:t xml:space="preserve"> prompt (</w:t>
      </w:r>
      <w:r>
        <w:rPr>
          <w:rStyle w:val="Text0"/>
        </w:rPr>
        <w:t>&gt;&gt;&gt;</w:t>
      </w:r>
      <w:r>
        <w:t>) and binds the result to a global variable named</w:t>
      </w:r>
      <w:r>
        <w:rPr>
          <w:rStyle w:val="Text111"/>
        </w:rPr>
        <w:bookmarkStart w:id="450" w:name="idm45965281983392"/>
        <w:t/>
        <w:bookmarkEnd w:id="450"/>
        <w:bookmarkStart w:id="451" w:name="idm45965281982016"/>
        <w:t/>
        <w:bookmarkEnd w:id="451"/>
      </w:r>
      <w:r>
        <w:t xml:space="preserve"> </w:t>
      </w:r>
      <w:r>
        <w:rPr>
          <w:rStyle w:val="Text0"/>
        </w:rPr>
        <w:t>_</w:t>
      </w:r>
      <w:r>
        <w:t xml:space="preserve"> (underscore). Apart from interactive sessions, expression statements are useful only to call functions (and other </w:t>
      </w:r>
      <w:r>
        <w:rPr>
          <w:rStyle w:val="Text4"/>
        </w:rPr>
        <w:t>callables</w:t>
      </w:r>
      <w:r>
        <w:t>) that have side effects (e.g., perform output, change arguments or global variables, or raise exceptions).</w:t>
      </w:r>
    </w:p>
    <w:p>
      <w:pPr>
        <w:pStyle w:val="Normal"/>
      </w:pPr>
      <w:r>
        <w:t>An</w:t>
      </w:r>
      <w:r>
        <w:rPr>
          <w:rStyle w:val="Text111"/>
        </w:rPr>
        <w:bookmarkStart w:id="452" w:name="idm45965281978832"/>
        <w:t/>
        <w:bookmarkEnd w:id="452"/>
      </w:r>
      <w:r>
        <w:t xml:space="preserve"> </w:t>
      </w:r>
      <w:r>
        <w:rPr>
          <w:rStyle w:val="Text4"/>
        </w:rPr>
        <w:t>assignment</w:t>
      </w:r>
      <w:r>
        <w:t xml:space="preserve"> is a simple statement that assigns values to variables, as we discuss in </w:t>
      </w:r>
      <w:hyperlink w:anchor="Assignment_Statements__Assignmen">
        <w:r>
          <w:rPr>
            <w:rStyle w:val="Text1"/>
          </w:rPr>
          <w:t>“Assignment Statements”</w:t>
        </w:r>
      </w:hyperlink>
      <w:r>
        <w:t>. An</w:t>
      </w:r>
      <w:r>
        <w:rPr>
          <w:rStyle w:val="Text111"/>
        </w:rPr>
        <w:bookmarkStart w:id="453" w:name="idm45965281975776"/>
        <w:t/>
        <w:bookmarkEnd w:id="453"/>
        <w:bookmarkStart w:id="454" w:name="idm45965281974400"/>
        <w:t/>
        <w:bookmarkEnd w:id="454"/>
        <w:bookmarkStart w:id="455" w:name="idm45965281973024"/>
        <w:t/>
        <w:bookmarkEnd w:id="455"/>
        <w:bookmarkStart w:id="456" w:name="idm45965281971680"/>
        <w:t/>
        <w:bookmarkEnd w:id="456"/>
        <w:bookmarkStart w:id="457" w:name="idm45965281970304"/>
        <w:t/>
        <w:bookmarkEnd w:id="457"/>
      </w:r>
      <w:r>
        <w:t xml:space="preserve"> assignment in Python using the </w:t>
      </w:r>
      <w:r>
        <w:rPr>
          <w:rStyle w:val="Text0"/>
        </w:rPr>
        <w:t>=</w:t>
      </w:r>
      <w:r>
        <w:t xml:space="preserve"> operator is a statement and can never be part of an expression. To perform an assignment as part of an expression, you must use the </w:t>
      </w:r>
      <w:r>
        <w:rPr>
          <w:rStyle w:val="Text0"/>
        </w:rPr>
        <w:t>:=</w:t>
      </w:r>
      <w:r>
        <w:t xml:space="preserve"> (known as the “walrus”) operator. You’ll see some examples of using </w:t>
      </w:r>
      <w:r>
        <w:rPr>
          <w:rStyle w:val="Text0"/>
        </w:rPr>
        <w:t>:=</w:t>
      </w:r>
      <w:r>
        <w:t xml:space="preserve"> in </w:t>
      </w:r>
      <w:hyperlink w:anchor="Assignment_Expressions__3_8__You">
        <w:r>
          <w:rPr>
            <w:rStyle w:val="Text1"/>
          </w:rPr>
          <w:t>“Assignment Expressions”</w:t>
        </w:r>
      </w:hyperlink>
      <w:r>
        <w:t>.</w:t>
      </w:r>
    </w:p>
    <w:p>
      <w:bookmarkStart w:id="458" w:name="Compound_statements__A_compound"/>
      <w:pPr>
        <w:keepNext/>
        <w:pStyle w:val="Heading 2"/>
      </w:pPr>
      <w:r>
        <w:t>Compound statements</w:t>
      </w:r>
      <w:bookmarkEnd w:id="458"/>
    </w:p>
    <w:p>
      <w:pPr>
        <w:pStyle w:val="Normal"/>
      </w:pPr>
      <w:r>
        <w:t>A</w:t>
      </w:r>
      <w:r>
        <w:rPr>
          <w:rStyle w:val="Text111"/>
        </w:rPr>
        <w:bookmarkStart w:id="459" w:name="idm45965281964272"/>
        <w:t/>
        <w:bookmarkEnd w:id="459"/>
      </w:r>
      <w:r>
        <w:t xml:space="preserve"> </w:t>
      </w:r>
      <w:r>
        <w:rPr>
          <w:rStyle w:val="Text4"/>
        </w:rPr>
        <w:t>compound statement</w:t>
      </w:r>
      <w:r>
        <w:t xml:space="preserve"> contains one or more other statements and controls their execution. A compound statement has one or more </w:t>
      </w:r>
      <w:r>
        <w:rPr>
          <w:rStyle w:val="Text4"/>
        </w:rPr>
        <w:t>clauses</w:t>
      </w:r>
      <w:r>
        <w:t>, aligned at the same indentation. Each clause has a</w:t>
      </w:r>
      <w:r>
        <w:rPr>
          <w:rStyle w:val="Text111"/>
        </w:rPr>
        <w:bookmarkStart w:id="460" w:name="idm45965281961696"/>
        <w:t/>
        <w:bookmarkEnd w:id="460"/>
      </w:r>
      <w:r>
        <w:t xml:space="preserve"> </w:t>
      </w:r>
      <w:r>
        <w:rPr>
          <w:rStyle w:val="Text4"/>
        </w:rPr>
        <w:t>header</w:t>
      </w:r>
      <w:r>
        <w:t xml:space="preserve"> starting with a keyword and ending</w:t>
      </w:r>
      <w:r>
        <w:rPr>
          <w:rStyle w:val="Text111"/>
        </w:rPr>
        <w:bookmarkStart w:id="461" w:name="idm45965281960016"/>
        <w:t/>
        <w:bookmarkEnd w:id="461"/>
        <w:bookmarkStart w:id="462" w:name="idm45965281958912"/>
        <w:t/>
        <w:bookmarkEnd w:id="462"/>
      </w:r>
      <w:r>
        <w:t xml:space="preserve"> with a colon (</w:t>
      </w:r>
      <w:r>
        <w:rPr>
          <w:rStyle w:val="Text0"/>
        </w:rPr>
        <w:t>:</w:t>
      </w:r>
      <w:r>
        <w:t>), followed by a</w:t>
      </w:r>
      <w:r>
        <w:rPr>
          <w:rStyle w:val="Text111"/>
        </w:rPr>
        <w:bookmarkStart w:id="463" w:name="idm45965281956960"/>
        <w:t/>
        <w:bookmarkEnd w:id="463"/>
      </w:r>
      <w:r>
        <w:t xml:space="preserve"> </w:t>
      </w:r>
      <w:r>
        <w:rPr>
          <w:rStyle w:val="Text4"/>
        </w:rPr>
        <w:t>body</w:t>
      </w:r>
      <w:r>
        <w:t>, which is a sequence of one or more statements. Normally, these statements, also known as a</w:t>
      </w:r>
      <w:r>
        <w:rPr>
          <w:rStyle w:val="Text111"/>
        </w:rPr>
        <w:bookmarkStart w:id="464" w:name="idm45965281955136"/>
        <w:t/>
        <w:bookmarkEnd w:id="464"/>
      </w:r>
      <w:r>
        <w:t xml:space="preserve"> </w:t>
      </w:r>
      <w:r>
        <w:rPr>
          <w:rStyle w:val="Text4"/>
        </w:rPr>
        <w:t>block</w:t>
      </w:r>
      <w:r>
        <w:t xml:space="preserve">, are on separate logical lines after the header line, indented four spaces rightward. The block lexically ends when the indentation returns to that of the clause header (or further left from there, to the indentation of some enclosing compound statement). Alternatively, the body can be a single simple statement following the </w:t>
      </w:r>
      <w:r>
        <w:rPr>
          <w:rStyle w:val="Text0"/>
        </w:rPr>
        <w:t>:</w:t>
      </w:r>
      <w:r>
        <w:t xml:space="preserve"> on the same logical line as the header. The body may also consist of several simple statements on the same line with semicolons between them, but, as we’ve already mentioned, this is not good Python style.</w:t>
      </w:r>
      <w:r>
        <w:rPr>
          <w:rStyle w:val="Text111"/>
        </w:rPr>
        <w:bookmarkStart w:id="465" w:name="idm45965281952768"/>
        <w:t/>
        <w:bookmarkEnd w:id="465"/>
        <w:bookmarkStart w:id="466" w:name="idm45965281951392"/>
        <w:t/>
        <w:bookmarkEnd w:id="466"/>
      </w:r>
    </w:p>
    <w:p>
      <w:bookmarkStart w:id="467" w:name="Data_Types__The_operation_of_a_P"/>
      <w:pPr>
        <w:keepNext/>
        <w:pStyle w:val="Heading 1"/>
      </w:pPr>
      <w:r>
        <w:t>Data Types</w:t>
      </w:r>
      <w:bookmarkEnd w:id="467"/>
    </w:p>
    <w:p>
      <w:pPr>
        <w:pStyle w:val="Normal"/>
      </w:pPr>
      <w:r>
        <w:t>The</w:t>
      </w:r>
      <w:r>
        <w:rPr>
          <w:rStyle w:val="Text111"/>
        </w:rPr>
        <w:bookmarkStart w:id="468" w:name="PLdtypes03"/>
        <w:t/>
        <w:bookmarkEnd w:id="468"/>
        <w:bookmarkStart w:id="469" w:name="dtypes03"/>
        <w:t/>
        <w:bookmarkEnd w:id="469"/>
      </w:r>
      <w:r>
        <w:t xml:space="preserve"> operation of a Python program hinges on the data it handles. Data values in Python are known as</w:t>
      </w:r>
      <w:r>
        <w:rPr>
          <w:rStyle w:val="Text111"/>
        </w:rPr>
        <w:bookmarkStart w:id="470" w:name="idm45965281944336"/>
        <w:t/>
        <w:bookmarkEnd w:id="470"/>
        <w:bookmarkStart w:id="471" w:name="idm45965281942960"/>
        <w:t/>
        <w:bookmarkEnd w:id="471"/>
      </w:r>
      <w:r>
        <w:t xml:space="preserve"> </w:t>
      </w:r>
      <w:r>
        <w:rPr>
          <w:rStyle w:val="Text4"/>
        </w:rPr>
        <w:t>objects</w:t>
      </w:r>
      <w:r>
        <w:t xml:space="preserve">; each object, aka </w:t>
      </w:r>
      <w:r>
        <w:rPr>
          <w:rStyle w:val="Text4"/>
        </w:rPr>
        <w:t>value</w:t>
      </w:r>
      <w:r>
        <w:t xml:space="preserve">, has a </w:t>
      </w:r>
      <w:r>
        <w:rPr>
          <w:rStyle w:val="Text4"/>
        </w:rPr>
        <w:t>type</w:t>
      </w:r>
      <w:r>
        <w:t>. An object’s type determines which operations the object supports (in other words, which operations you can perform on the value). The type also determines the object’s</w:t>
      </w:r>
      <w:r>
        <w:rPr>
          <w:rStyle w:val="Text111"/>
        </w:rPr>
        <w:bookmarkStart w:id="472" w:name="idm45965281940384"/>
        <w:t/>
        <w:bookmarkEnd w:id="472"/>
        <w:bookmarkStart w:id="473" w:name="idm45965281939008"/>
        <w:t/>
        <w:bookmarkEnd w:id="473"/>
      </w:r>
      <w:r>
        <w:t xml:space="preserve"> </w:t>
      </w:r>
      <w:r>
        <w:rPr>
          <w:rStyle w:val="Text4"/>
        </w:rPr>
        <w:t>attributes</w:t>
      </w:r>
      <w:r>
        <w:t xml:space="preserve"> and </w:t>
      </w:r>
      <w:r>
        <w:rPr>
          <w:rStyle w:val="Text4"/>
        </w:rPr>
        <w:t>items</w:t>
      </w:r>
      <w:r>
        <w:t xml:space="preserve"> (if any) and whether the object can be altered. An object that can be altered is known as a</w:t>
      </w:r>
      <w:r>
        <w:rPr>
          <w:rStyle w:val="Text111"/>
        </w:rPr>
        <w:bookmarkStart w:id="474" w:name="idm45965281936768"/>
        <w:t/>
        <w:bookmarkEnd w:id="474"/>
      </w:r>
      <w:r>
        <w:t xml:space="preserve"> </w:t>
      </w:r>
      <w:r>
        <w:rPr>
          <w:rStyle w:val="Text4"/>
        </w:rPr>
        <w:t>mutable object</w:t>
      </w:r>
      <w:r>
        <w:t>, while one that cannot be altered is an</w:t>
      </w:r>
      <w:r>
        <w:rPr>
          <w:rStyle w:val="Text111"/>
        </w:rPr>
        <w:bookmarkStart w:id="475" w:name="idm45965281935088"/>
        <w:t/>
        <w:bookmarkEnd w:id="475"/>
      </w:r>
      <w:r>
        <w:t xml:space="preserve"> </w:t>
      </w:r>
      <w:r>
        <w:rPr>
          <w:rStyle w:val="Text4"/>
        </w:rPr>
        <w:t>immutable object</w:t>
      </w:r>
      <w:r>
        <w:t xml:space="preserve">. We cover object attributes and items in </w:t>
      </w:r>
      <w:hyperlink w:anchor="Object_attributes_and_items__The">
        <w:r>
          <w:rPr>
            <w:rStyle w:val="Text1"/>
          </w:rPr>
          <w:t>“Object attributes and items”</w:t>
        </w:r>
      </w:hyperlink>
      <w:r>
        <w:t>.</w:t>
      </w:r>
    </w:p>
    <w:p>
      <w:pPr>
        <w:pStyle w:val="Normal"/>
      </w:pPr>
      <w:r>
        <w:t xml:space="preserve">The built-in </w:t>
      </w:r>
      <w:r>
        <w:rPr>
          <w:rStyle w:val="Text0"/>
        </w:rPr>
        <w:t>type</w:t>
        <w:t>(</w:t>
      </w:r>
      <w:r>
        <w:rPr>
          <w:rStyle w:val="Text3"/>
        </w:rPr>
        <w:t>obj</w:t>
      </w:r>
      <w:r>
        <w:rPr>
          <w:rStyle w:val="Text0"/>
        </w:rPr>
        <w:t>)</w:t>
      </w:r>
      <w:r>
        <w:t xml:space="preserve"> function accepts any object as its argument and returns the type object that is the type of </w:t>
      </w:r>
      <w:r>
        <w:rPr>
          <w:rStyle w:val="Text3"/>
        </w:rPr>
        <w:t>obj</w:t>
      </w:r>
      <w:r>
        <w:t xml:space="preserve">. The built-in function </w:t>
      </w:r>
      <w:r>
        <w:rPr>
          <w:rStyle w:val="Text0"/>
        </w:rPr>
        <w:t>isinstance</w:t>
        <w:t>(</w:t>
      </w:r>
      <w:r>
        <w:rPr>
          <w:rStyle w:val="Text3"/>
        </w:rPr>
        <w:t>obj</w:t>
      </w:r>
      <w:r>
        <w:rPr>
          <w:rStyle w:val="Text0"/>
        </w:rPr>
        <w:t>,</w:t>
      </w:r>
      <w:r>
        <w:t xml:space="preserve"> </w:t>
      </w:r>
      <w:r>
        <w:rPr>
          <w:rStyle w:val="Text3"/>
        </w:rPr>
        <w:t>type</w:t>
      </w:r>
      <w:r>
        <w:rPr>
          <w:rStyle w:val="Text0"/>
        </w:rPr>
        <w:t>)</w:t>
      </w:r>
      <w:r>
        <w:t xml:space="preserve"> returns </w:t>
      </w:r>
      <w:r>
        <w:rPr>
          <w:rStyle w:val="Text5"/>
        </w:rPr>
        <w:t>True</w:t>
      </w:r>
      <w:r>
        <w:t xml:space="preserve"> when object </w:t>
      </w:r>
      <w:r>
        <w:rPr>
          <w:rStyle w:val="Text3"/>
        </w:rPr>
        <w:t>obj</w:t>
      </w:r>
      <w:r>
        <w:t xml:space="preserve"> has type </w:t>
      </w:r>
      <w:r>
        <w:rPr>
          <w:rStyle w:val="Text3"/>
        </w:rPr>
        <w:t>type</w:t>
      </w:r>
      <w:r>
        <w:t xml:space="preserve"> (or any subclass thereof); otherwise, it returns </w:t>
      </w:r>
      <w:r>
        <w:rPr>
          <w:rStyle w:val="Text5"/>
        </w:rPr>
        <w:t>False</w:t>
      </w:r>
      <w:r>
        <w:t xml:space="preserve">. The </w:t>
      </w:r>
      <w:r>
        <w:rPr>
          <w:rStyle w:val="Text3"/>
        </w:rPr>
        <w:t>type</w:t>
      </w:r>
      <w:r>
        <w:t xml:space="preserve"> argument of </w:t>
      </w:r>
      <w:r>
        <w:rPr>
          <w:rStyle w:val="Text0"/>
        </w:rPr>
        <w:t>isinstance</w:t>
      </w:r>
      <w:r>
        <w:t xml:space="preserve"> may also be a tuple of types (</w:t>
      </w:r>
      <w:r>
        <w:rPr>
          <w:rStyle w:val="Text34"/>
        </w:rPr>
        <w:t>3.10+</w:t>
      </w:r>
      <w:r>
        <w:t xml:space="preserve"> or multiple types joined with the </w:t>
      </w:r>
      <w:r>
        <w:rPr>
          <w:rStyle w:val="Text0"/>
        </w:rPr>
        <w:t>|</w:t>
      </w:r>
      <w:r>
        <w:t xml:space="preserve"> operator), in which case it returns</w:t>
      </w:r>
      <w:r>
        <w:rPr>
          <w:rStyle w:val="Text111"/>
        </w:rPr>
        <w:bookmarkStart w:id="476" w:name="idm45965281919904"/>
        <w:t/>
        <w:bookmarkEnd w:id="476"/>
      </w:r>
      <w:r>
        <w:t xml:space="preserve"> </w:t>
      </w:r>
      <w:r>
        <w:rPr>
          <w:rStyle w:val="Text5"/>
        </w:rPr>
        <w:t>True</w:t>
      </w:r>
      <w:r>
        <w:t xml:space="preserve"> if the type of </w:t>
      </w:r>
      <w:r>
        <w:rPr>
          <w:rStyle w:val="Text3"/>
        </w:rPr>
        <w:t>obj</w:t>
      </w:r>
      <w:r>
        <w:t xml:space="preserve"> matches any of the given types, or any subclasses of those types.</w:t>
      </w:r>
    </w:p>
    <w:p>
      <w:pPr>
        <w:pStyle w:val="Normal"/>
      </w:pPr>
      <w:r>
        <w:t xml:space="preserve">Python has built-in types for fundamental data types such as numbers, strings, tuples, lists, dictionaries, and sets, as covered in the following sections. You can also create user-defined types, known as </w:t>
      </w:r>
      <w:r>
        <w:rPr>
          <w:rStyle w:val="Text4"/>
        </w:rPr>
        <w:t>classes</w:t>
      </w:r>
      <w:r>
        <w:t xml:space="preserve">, as discussed in </w:t>
      </w:r>
      <w:hyperlink w:anchor="Classes_and_Instances__If_you_re">
        <w:r>
          <w:rPr>
            <w:rStyle w:val="Text1"/>
          </w:rPr>
          <w:t>“Classes and Instances”</w:t>
        </w:r>
      </w:hyperlink>
      <w:r>
        <w:t>.</w:t>
      </w:r>
    </w:p>
    <w:p>
      <w:bookmarkStart w:id="477" w:name="Numbers__The_built_in_numeric_ty"/>
      <w:pPr>
        <w:keepNext/>
        <w:pStyle w:val="Heading 2"/>
      </w:pPr>
      <w:r>
        <w:t>Numbers</w:t>
      </w:r>
      <w:bookmarkEnd w:id="477"/>
    </w:p>
    <w:p>
      <w:pPr>
        <w:pStyle w:val="Normal"/>
      </w:pPr>
      <w:r>
        <w:t>The</w:t>
      </w:r>
      <w:r>
        <w:rPr>
          <w:rStyle w:val="Text111"/>
        </w:rPr>
        <w:bookmarkStart w:id="478" w:name="idm45965281913408"/>
        <w:t/>
        <w:bookmarkEnd w:id="478"/>
        <w:bookmarkStart w:id="479" w:name="numb03"/>
        <w:t/>
        <w:bookmarkEnd w:id="479"/>
      </w:r>
      <w:r>
        <w:t xml:space="preserve"> built-in numeric types in Python include integers, floating-point numbers, and complex numbers. The standard library also offers decimal floating-point numbers, covered in </w:t>
      </w:r>
      <w:hyperlink w:anchor="The_decimal_Module__A_Python_flo">
        <w:r>
          <w:rPr>
            <w:rStyle w:val="Text1"/>
          </w:rPr>
          <w:t>“The decimal Module”</w:t>
        </w:r>
      </w:hyperlink>
      <w:r>
        <w:t xml:space="preserve">, and fractions, covered in </w:t>
      </w:r>
      <w:hyperlink w:anchor="The_fractions_Module__The_fracti">
        <w:r>
          <w:rPr>
            <w:rStyle w:val="Text1"/>
          </w:rPr>
          <w:t>“The fractions Module”</w:t>
        </w:r>
      </w:hyperlink>
      <w:r>
        <w:t xml:space="preserve">. All numbers in Python are immutable objects; therefore, when you perform an operation on a number object, you produce a new number object. We cover operations on numbers, also known as arithmetic operations, in </w:t>
      </w:r>
      <w:hyperlink w:anchor="Numeric_Operations__Python_offer">
        <w:r>
          <w:rPr>
            <w:rStyle w:val="Text1"/>
          </w:rPr>
          <w:t>“Numeric Operations”</w:t>
        </w:r>
      </w:hyperlink>
      <w:r>
        <w:t>.</w:t>
      </w:r>
    </w:p>
    <w:p>
      <w:pPr>
        <w:pStyle w:val="Normal"/>
      </w:pPr>
      <w:r>
        <w:t xml:space="preserve">Numeric literals do not include a sign: a leading </w:t>
      </w:r>
      <w:r>
        <w:rPr>
          <w:rStyle w:val="Text0"/>
        </w:rPr>
        <w:t>+</w:t>
      </w:r>
      <w:r>
        <w:t xml:space="preserve"> or </w:t>
      </w:r>
      <w:r>
        <w:rPr>
          <w:rStyle w:val="Text0"/>
        </w:rPr>
        <w:t>-</w:t>
      </w:r>
      <w:r>
        <w:t xml:space="preserve">, if present, is a separate operator, as discussed in </w:t>
      </w:r>
      <w:hyperlink w:anchor="Arithmetic_Operations__Arithmeti">
        <w:r>
          <w:rPr>
            <w:rStyle w:val="Text1"/>
          </w:rPr>
          <w:t>“Arithmetic Operations”</w:t>
        </w:r>
      </w:hyperlink>
      <w:r>
        <w:t>.</w:t>
      </w:r>
    </w:p>
    <w:p>
      <w:bookmarkStart w:id="480" w:name="Integer_numbers__Integer_literal"/>
      <w:pPr>
        <w:keepNext/>
        <w:pStyle w:val="Heading 2"/>
      </w:pPr>
      <w:r>
        <w:t>Integer numbers</w:t>
      </w:r>
      <w:bookmarkEnd w:id="480"/>
    </w:p>
    <w:p>
      <w:pPr>
        <w:pStyle w:val="Normal"/>
      </w:pPr>
      <w:r>
        <w:t>Integer literals</w:t>
      </w:r>
      <w:r>
        <w:rPr>
          <w:rStyle w:val="Text111"/>
        </w:rPr>
        <w:bookmarkStart w:id="481" w:name="idm45965281902688"/>
        <w:t/>
        <w:bookmarkEnd w:id="481"/>
      </w:r>
      <w:r>
        <w:t xml:space="preserve"> can be decimal, binary, octal, or hexadecimal. A</w:t>
      </w:r>
      <w:r>
        <w:rPr>
          <w:rStyle w:val="Text111"/>
        </w:rPr>
        <w:bookmarkStart w:id="482" w:name="idm45965281901040"/>
        <w:t/>
        <w:bookmarkEnd w:id="482"/>
      </w:r>
      <w:r>
        <w:t xml:space="preserve"> decimal literal is a sequence of digits in which the first digit is nonzero. A</w:t>
      </w:r>
      <w:r>
        <w:rPr>
          <w:rStyle w:val="Text111"/>
        </w:rPr>
        <w:bookmarkStart w:id="483" w:name="idm45965281899808"/>
        <w:t/>
        <w:bookmarkEnd w:id="483"/>
      </w:r>
      <w:r>
        <w:t xml:space="preserve"> binary literal is </w:t>
      </w:r>
      <w:r>
        <w:rPr>
          <w:rStyle w:val="Text0"/>
        </w:rPr>
        <w:t>0b</w:t>
      </w:r>
      <w:r>
        <w:t xml:space="preserve"> followed by a sequence of binary digits (</w:t>
      </w:r>
      <w:r>
        <w:rPr>
          <w:rStyle w:val="Text0"/>
        </w:rPr>
        <w:t>0</w:t>
      </w:r>
      <w:r>
        <w:t xml:space="preserve"> or </w:t>
      </w:r>
      <w:r>
        <w:rPr>
          <w:rStyle w:val="Text0"/>
        </w:rPr>
        <w:t>1</w:t>
      </w:r>
      <w:r>
        <w:t xml:space="preserve">). An octal literal is </w:t>
      </w:r>
      <w:r>
        <w:rPr>
          <w:rStyle w:val="Text0"/>
        </w:rPr>
        <w:t>0o</w:t>
      </w:r>
      <w:r>
        <w:t xml:space="preserve"> followed by a sequence of octal digits (</w:t>
      </w:r>
      <w:r>
        <w:rPr>
          <w:rStyle w:val="Text0"/>
        </w:rPr>
        <w:t>0</w:t>
      </w:r>
      <w:r>
        <w:t xml:space="preserve"> to </w:t>
      </w:r>
      <w:r>
        <w:rPr>
          <w:rStyle w:val="Text0"/>
        </w:rPr>
        <w:t>7</w:t>
      </w:r>
      <w:r>
        <w:t>). A</w:t>
      </w:r>
      <w:r>
        <w:rPr>
          <w:rStyle w:val="Text111"/>
        </w:rPr>
        <w:bookmarkStart w:id="484" w:name="idm45965281894192"/>
        <w:t/>
        <w:bookmarkEnd w:id="484"/>
      </w:r>
      <w:r>
        <w:t xml:space="preserve"> hexadecimal literal is </w:t>
      </w:r>
      <w:r>
        <w:rPr>
          <w:rStyle w:val="Text0"/>
        </w:rPr>
        <w:t>0x</w:t>
      </w:r>
      <w:r>
        <w:t xml:space="preserve"> followed by a sequence of hexadecimal digits (</w:t>
      </w:r>
      <w:r>
        <w:rPr>
          <w:rStyle w:val="Text0"/>
        </w:rPr>
        <w:t>0</w:t>
      </w:r>
      <w:r>
        <w:t xml:space="preserve"> to </w:t>
      </w:r>
      <w:r>
        <w:rPr>
          <w:rStyle w:val="Text0"/>
        </w:rPr>
        <w:t>9</w:t>
      </w:r>
      <w:r>
        <w:t xml:space="preserve"> and </w:t>
      </w:r>
      <w:r>
        <w:rPr>
          <w:rStyle w:val="Text0"/>
        </w:rPr>
        <w:t>A</w:t>
      </w:r>
      <w:r>
        <w:t xml:space="preserve"> to </w:t>
      </w:r>
      <w:r>
        <w:rPr>
          <w:rStyle w:val="Text0"/>
        </w:rPr>
        <w:t>F</w:t>
      </w:r>
      <w:r>
        <w:t>, in either upper- or lowercase). For example:</w:t>
      </w:r>
    </w:p>
    <w:p>
      <w:pPr>
        <w:pStyle w:val="Para 014"/>
      </w:pPr>
      <w:r>
        <w:rPr>
          <w:rStyle w:val="Text116"/>
        </w:rPr>
        <w:t xml:space="preserve"/>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23</w:t>
        <w:br w:clear="none"/>
      </w:r>
      <w:r>
        <w:rPr>
          <w:rStyle w:val="Text19"/>
        </w:rPr>
        <w:t xml:space="preserve">,</w:t>
        <w:br w:clear="none"/>
      </w:r>
      <w:r>
        <w:rPr>
          <w:rStyle w:val="Text11"/>
        </w:rPr>
        <w:t xml:space="preserve"> </w:t>
        <w:br w:clear="none"/>
      </w:r>
      <w:r>
        <w:rPr>
          <w:rStyle w:val="Text35"/>
        </w:rPr>
        <w:t xml:space="preserve">3493</w:t>
        <w:br w:clear="none"/>
      </w:r>
      <w:r>
        <w:rPr>
          <w:rStyle w:val="Text11"/>
        </w:rPr>
        <w:t xml:space="preserve">                    </w:t>
        <w:br w:clear="none"/>
      </w:r>
      <w:r>
        <w:t xml:space="preserve"># Decimal integer literals</w:t>
        <w:br w:clear="none"/>
      </w:r>
      <w:r>
        <w:rPr>
          <w:rStyle w:val="Text11"/>
        </w:rPr>
        <w:t xml:space="preserve"/>
        <w:br w:clear="none"/>
      </w:r>
      <w:r>
        <w:rPr>
          <w:rStyle w:val="Text35"/>
        </w:rPr>
        <w:t xml:space="preserve">0b010101</w:t>
        <w:br w:clear="none"/>
      </w:r>
      <w:r>
        <w:rPr>
          <w:rStyle w:val="Text19"/>
        </w:rPr>
        <w:t xml:space="preserve">,</w:t>
        <w:br w:clear="none"/>
      </w:r>
      <w:r>
        <w:rPr>
          <w:rStyle w:val="Text11"/>
        </w:rPr>
        <w:t xml:space="preserve"> </w:t>
        <w:br w:clear="none"/>
      </w:r>
      <w:r>
        <w:rPr>
          <w:rStyle w:val="Text35"/>
        </w:rPr>
        <w:t xml:space="preserve">0b110010</w:t>
        <w:br w:clear="none"/>
      </w:r>
      <w:r>
        <w:rPr>
          <w:rStyle w:val="Text19"/>
        </w:rPr>
        <w:t xml:space="preserve">,</w:t>
        <w:br w:clear="none"/>
      </w:r>
      <w:r>
        <w:rPr>
          <w:rStyle w:val="Text11"/>
        </w:rPr>
        <w:t xml:space="preserve"> </w:t>
        <w:br w:clear="none"/>
      </w:r>
      <w:r>
        <w:rPr>
          <w:rStyle w:val="Text35"/>
        </w:rPr>
        <w:t xml:space="preserve">0B01</w:t>
        <w:br w:clear="none"/>
      </w:r>
      <w:r>
        <w:rPr>
          <w:rStyle w:val="Text11"/>
        </w:rPr>
        <w:t xml:space="preserve">       </w:t>
        <w:br w:clear="none"/>
      </w:r>
      <w:r>
        <w:t xml:space="preserve"># Binary integer literals</w:t>
        <w:br w:clear="none"/>
      </w:r>
      <w:r>
        <w:rPr>
          <w:rStyle w:val="Text11"/>
        </w:rPr>
        <w:t xml:space="preserve"/>
        <w:br w:clear="none"/>
      </w:r>
      <w:r>
        <w:rPr>
          <w:rStyle w:val="Text35"/>
        </w:rPr>
        <w:t xml:space="preserve">0o1</w:t>
        <w:br w:clear="none"/>
      </w:r>
      <w:r>
        <w:rPr>
          <w:rStyle w:val="Text19"/>
        </w:rPr>
        <w:t xml:space="preserve">,</w:t>
        <w:br w:clear="none"/>
      </w:r>
      <w:r>
        <w:rPr>
          <w:rStyle w:val="Text11"/>
        </w:rPr>
        <w:t xml:space="preserve"> </w:t>
        <w:br w:clear="none"/>
      </w:r>
      <w:r>
        <w:rPr>
          <w:rStyle w:val="Text35"/>
        </w:rPr>
        <w:t xml:space="preserve">0o27</w:t>
        <w:br w:clear="none"/>
      </w:r>
      <w:r>
        <w:rPr>
          <w:rStyle w:val="Text19"/>
        </w:rPr>
        <w:t xml:space="preserve">,</w:t>
        <w:br w:clear="none"/>
      </w:r>
      <w:r>
        <w:rPr>
          <w:rStyle w:val="Text11"/>
        </w:rPr>
        <w:t xml:space="preserve"> </w:t>
        <w:br w:clear="none"/>
      </w:r>
      <w:r>
        <w:rPr>
          <w:rStyle w:val="Text35"/>
        </w:rPr>
        <w:t xml:space="preserve">0o6645</w:t>
        <w:br w:clear="none"/>
      </w:r>
      <w:r>
        <w:rPr>
          <w:rStyle w:val="Text19"/>
        </w:rPr>
        <w:t xml:space="preserve">,</w:t>
        <w:br w:clear="none"/>
      </w:r>
      <w:r>
        <w:rPr>
          <w:rStyle w:val="Text11"/>
        </w:rPr>
        <w:t xml:space="preserve"> </w:t>
        <w:br w:clear="none"/>
      </w:r>
      <w:r>
        <w:rPr>
          <w:rStyle w:val="Text35"/>
        </w:rPr>
        <w:t xml:space="preserve">0O777</w:t>
        <w:br w:clear="none"/>
      </w:r>
      <w:r>
        <w:rPr>
          <w:rStyle w:val="Text11"/>
        </w:rPr>
        <w:t xml:space="preserve">       </w:t>
        <w:br w:clear="none"/>
      </w:r>
      <w:r>
        <w:t xml:space="preserve"># Octal integer literals</w:t>
        <w:br w:clear="none"/>
      </w:r>
      <w:r>
        <w:rPr>
          <w:rStyle w:val="Text11"/>
        </w:rPr>
        <w:t xml:space="preserve"/>
        <w:br w:clear="none"/>
      </w:r>
      <w:r>
        <w:rPr>
          <w:rStyle w:val="Text35"/>
        </w:rPr>
        <w:t xml:space="preserve">0x1</w:t>
        <w:br w:clear="none"/>
      </w:r>
      <w:r>
        <w:rPr>
          <w:rStyle w:val="Text19"/>
        </w:rPr>
        <w:t xml:space="preserve">,</w:t>
        <w:br w:clear="none"/>
      </w:r>
      <w:r>
        <w:rPr>
          <w:rStyle w:val="Text11"/>
        </w:rPr>
        <w:t xml:space="preserve"> </w:t>
        <w:br w:clear="none"/>
      </w:r>
      <w:r>
        <w:rPr>
          <w:rStyle w:val="Text35"/>
        </w:rPr>
        <w:t xml:space="preserve">0x17</w:t>
        <w:br w:clear="none"/>
      </w:r>
      <w:r>
        <w:rPr>
          <w:rStyle w:val="Text19"/>
        </w:rPr>
        <w:t xml:space="preserve">,</w:t>
        <w:br w:clear="none"/>
      </w:r>
      <w:r>
        <w:rPr>
          <w:rStyle w:val="Text11"/>
        </w:rPr>
        <w:t xml:space="preserve"> </w:t>
        <w:br w:clear="none"/>
      </w:r>
      <w:r>
        <w:rPr>
          <w:rStyle w:val="Text35"/>
        </w:rPr>
        <w:t xml:space="preserve">0xDA5</w:t>
        <w:br w:clear="none"/>
      </w:r>
      <w:r>
        <w:rPr>
          <w:rStyle w:val="Text19"/>
        </w:rPr>
        <w:t xml:space="preserve">,</w:t>
        <w:br w:clear="none"/>
      </w:r>
      <w:r>
        <w:rPr>
          <w:rStyle w:val="Text11"/>
        </w:rPr>
        <w:t xml:space="preserve"> </w:t>
        <w:br w:clear="none"/>
      </w:r>
      <w:r>
        <w:rPr>
          <w:rStyle w:val="Text35"/>
        </w:rPr>
        <w:t xml:space="preserve">0xda5</w:t>
        <w:br w:clear="none"/>
      </w:r>
      <w:r>
        <w:rPr>
          <w:rStyle w:val="Text19"/>
        </w:rPr>
        <w:t xml:space="preserve">,</w:t>
        <w:br w:clear="none"/>
      </w:r>
      <w:r>
        <w:rPr>
          <w:rStyle w:val="Text11"/>
        </w:rPr>
        <w:t xml:space="preserve"> </w:t>
        <w:br w:clear="none"/>
      </w:r>
      <w:r>
        <w:rPr>
          <w:rStyle w:val="Text35"/>
        </w:rPr>
        <w:t xml:space="preserve">0Xff</w:t>
        <w:br w:clear="none"/>
      </w:r>
      <w:r>
        <w:rPr>
          <w:rStyle w:val="Text11"/>
        </w:rPr>
        <w:t xml:space="preserve">  </w:t>
        <w:br w:clear="none"/>
      </w:r>
      <w:r>
        <w:t xml:space="preserve"># Hexadecimal integer literals</w:t>
        <w:br w:clear="none"/>
      </w:r>
    </w:p>
    <w:p>
      <w:pPr>
        <w:pStyle w:val="Normal"/>
      </w:pPr>
      <w:r>
        <w:t xml:space="preserve">Integers can represent values in the range </w:t>
      </w:r>
      <w:r>
        <w:rPr>
          <w:rStyle w:val="Text0"/>
        </w:rPr>
        <w:t>±2**sys.maxsize</w:t>
      </w:r>
      <w:r>
        <w:t>, or roughly ±10</w:t>
      </w:r>
      <w:r>
        <w:rPr>
          <w:rStyle w:val="Text90"/>
        </w:rPr>
        <w:t>2.8e18</w:t>
      </w:r>
      <w:r>
        <w:t>.</w:t>
      </w:r>
    </w:p>
    <w:p>
      <w:pPr>
        <w:pStyle w:val="Normal"/>
      </w:pPr>
      <w:hyperlink w:anchor="Table_3_1__int_methods_________a">
        <w:r>
          <w:rPr>
            <w:rStyle w:val="Text1"/>
          </w:rPr>
          <w:t>Table 3-1</w:t>
        </w:r>
      </w:hyperlink>
      <w:r>
        <w:t xml:space="preserve"> lists</w:t>
      </w:r>
      <w:r>
        <w:rPr>
          <w:rStyle w:val="Text111"/>
        </w:rPr>
        <w:bookmarkStart w:id="485" w:name="idm45965282784176"/>
        <w:t/>
        <w:bookmarkEnd w:id="485"/>
      </w:r>
      <w:r>
        <w:t xml:space="preserve"> the methods supported by an </w:t>
      </w:r>
      <w:r>
        <w:rPr>
          <w:rStyle w:val="Text0"/>
        </w:rPr>
        <w:t>int</w:t>
      </w:r>
      <w:r>
        <w:t xml:space="preserve"> object </w:t>
      </w:r>
      <w:r>
        <w:rPr>
          <w:rStyle w:val="Text3"/>
        </w:rPr>
        <w:t>i</w:t>
      </w:r>
      <w:r>
        <w:t>.</w:t>
      </w:r>
    </w:p>
    <w:tbl>
      <w:tblPr>
        <w:tblW w:type="auto" w:w="0"/>
      </w:tblPr>
      <w:tr>
        <w:tc>
          <w:tcPr>
            <w:tcW w:type="auto" w:w="0"/>
            <w:tcMar>
              <w:left w:type="dxa" w:w="200"/>
              <w:top w:type="dxa" w:w="200"/>
              <w:right w:type="dxa" w:w="200"/>
              <w:bottom w:type="dxa" w:w="200"/>
            </w:tcMar>
          </w:tcPr>
          <w:p>
            <w:bookmarkStart w:id="486" w:name="Table_3_1__int_methods_________a"/>
            <w:pPr>
              <w:pStyle w:val="Para 011"/>
            </w:pPr>
            <w:r>
              <w:rPr>
                <w:rStyle w:val="Text117"/>
              </w:rPr>
              <w:t/>
            </w:r>
            <w:r>
              <w:t xml:space="preserve">Table 3-1. </w:t>
            </w:r>
            <w:r>
              <w:rPr>
                <w:rStyle w:val="Text0"/>
              </w:rPr>
              <w:t>int</w:t>
            </w:r>
            <w:r>
              <w:t xml:space="preserve"> methods</w:t>
            </w:r>
            <w:bookmarkEnd w:id="486"/>
          </w:p>
          <w:p>
            <w:pPr>
              <w:pStyle w:val="Para 001"/>
            </w:pPr>
            <w:r>
              <w:t>as_inte⁠g⁠e⁠r⁠_​r⁠a⁠t⁠i⁠o</w:t>
            </w:r>
          </w:p>
        </w:tc>
        <w:tc>
          <w:tcPr>
            <w:tcW w:type="auto" w:w="0"/>
            <w:tcMar>
              <w:left w:type="dxa" w:w="200"/>
              <w:top w:type="dxa" w:w="200"/>
              <w:right w:type="dxa" w:w="200"/>
              <w:bottom w:type="dxa" w:w="200"/>
            </w:tcMar>
          </w:tcPr>
          <w:p>
            <w:pPr>
              <w:pStyle w:val="Para 002"/>
            </w:pPr>
            <w:r>
              <w:rPr>
                <w:rStyle w:val="Text3"/>
              </w:rPr>
              <w:t>i</w:t>
            </w:r>
            <w:r>
              <w:rPr>
                <w:rStyle w:val="Text0"/>
              </w:rPr>
              <w:t>.as_integer_ratio()</w:t>
              <w:br w:clear="none"/>
            </w:r>
            <w:r>
              <w:t xml:space="preserve"> </w:t>
            </w:r>
            <w:r>
              <w:rPr>
                <w:rStyle w:val="Text34"/>
              </w:rPr>
              <w:t>3.8+</w:t>
            </w:r>
            <w:r>
              <w:t xml:space="preserve"> Returns</w:t>
            </w:r>
            <w:r>
              <w:rPr>
                <w:rStyle w:val="Text111"/>
              </w:rPr>
              <w:bookmarkStart w:id="487" w:name="idm45965282774400"/>
              <w:t/>
              <w:bookmarkEnd w:id="487"/>
            </w:r>
            <w:r>
              <w:t xml:space="preserve"> a tuple of two </w:t>
            </w:r>
            <w:r>
              <w:rPr>
                <w:rStyle w:val="Text0"/>
              </w:rPr>
              <w:t>int</w:t>
            </w:r>
            <w:r>
              <w:t xml:space="preserve">s, whose exact ratio is the original integer value. (Since </w:t>
            </w:r>
            <w:r>
              <w:rPr>
                <w:rStyle w:val="Text3"/>
              </w:rPr>
              <w:t>i</w:t>
            </w:r>
            <w:r>
              <w:t xml:space="preserve"> is always </w:t>
            </w:r>
            <w:r>
              <w:rPr>
                <w:rStyle w:val="Text0"/>
              </w:rPr>
              <w:t>int</w:t>
            </w:r>
            <w:r>
              <w:t xml:space="preserve">, the tuple is always </w:t>
            </w:r>
            <w:r>
              <w:rPr>
                <w:rStyle w:val="Text0"/>
              </w:rPr>
              <w:t>(</w:t>
            </w:r>
            <w:r>
              <w:rPr>
                <w:rStyle w:val="Text3"/>
              </w:rPr>
              <w:t>i</w:t>
            </w:r>
            <w:r>
              <w:rPr>
                <w:rStyle w:val="Text0"/>
              </w:rPr>
              <w:t>, 1)</w:t>
            </w:r>
            <w:r>
              <w:t xml:space="preserve">; compare with </w:t>
            </w:r>
            <w:r>
              <w:rPr>
                <w:rStyle w:val="Text0"/>
              </w:rPr>
              <w:t>float.as_integer_ratio</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bit_count</w:t>
            </w:r>
          </w:p>
        </w:tc>
        <w:tc>
          <w:tcPr>
            <w:tcW w:type="auto" w:w="0"/>
            <w:shd w:val="clear" w:color="auto" w:fill="EEF2F6"/>
            <w:tcMar>
              <w:left w:type="dxa" w:w="200"/>
              <w:top w:type="dxa" w:w="200"/>
              <w:right w:type="dxa" w:w="200"/>
              <w:bottom w:type="dxa" w:w="200"/>
            </w:tcMar>
          </w:tcPr>
          <w:p>
            <w:pPr>
              <w:pStyle w:val="Para 002"/>
            </w:pPr>
            <w:r>
              <w:rPr>
                <w:rStyle w:val="Text3"/>
              </w:rPr>
              <w:t>i</w:t>
            </w:r>
            <w:r>
              <w:rPr>
                <w:rStyle w:val="Text0"/>
              </w:rPr>
              <w:t>.bit_count()</w:t>
              <w:br w:clear="none"/>
            </w:r>
            <w:r>
              <w:t xml:space="preserve"> </w:t>
            </w:r>
            <w:r>
              <w:rPr>
                <w:rStyle w:val="Text34"/>
              </w:rPr>
              <w:t>3.10+</w:t>
            </w:r>
            <w:r>
              <w:t xml:space="preserve"> Returns</w:t>
            </w:r>
            <w:r>
              <w:rPr>
                <w:rStyle w:val="Text111"/>
              </w:rPr>
              <w:bookmarkStart w:id="488" w:name="idm45965282765312"/>
              <w:t/>
              <w:bookmarkEnd w:id="488"/>
            </w:r>
            <w:r>
              <w:t xml:space="preserve"> the number of ones in the binary representation of </w:t>
            </w:r>
            <w:r>
              <w:rPr>
                <w:rStyle w:val="Text0"/>
              </w:rPr>
              <w:t>abs(</w:t>
            </w:r>
            <w:r>
              <w:rPr>
                <w:rStyle w:val="Text3"/>
              </w:rPr>
              <w:t>i</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bit_length</w:t>
            </w:r>
          </w:p>
        </w:tc>
        <w:tc>
          <w:tcPr>
            <w:tcW w:type="auto" w:w="0"/>
            <w:tcMar>
              <w:left w:type="dxa" w:w="200"/>
              <w:top w:type="dxa" w:w="200"/>
              <w:right w:type="dxa" w:w="200"/>
              <w:bottom w:type="dxa" w:w="200"/>
            </w:tcMar>
          </w:tcPr>
          <w:p>
            <w:pPr>
              <w:pStyle w:val="Para 002"/>
            </w:pPr>
            <w:r>
              <w:rPr>
                <w:rStyle w:val="Text3"/>
              </w:rPr>
              <w:t>i</w:t>
            </w:r>
            <w:r>
              <w:rPr>
                <w:rStyle w:val="Text0"/>
              </w:rPr>
              <w:t>.bit_length()</w:t>
              <w:br w:clear="none"/>
            </w:r>
            <w:r>
              <w:t xml:space="preserve"> Returns</w:t>
            </w:r>
            <w:r>
              <w:rPr>
                <w:rStyle w:val="Text111"/>
              </w:rPr>
              <w:bookmarkStart w:id="489" w:name="idm45965282759472"/>
              <w:t/>
              <w:bookmarkEnd w:id="489"/>
            </w:r>
            <w:r>
              <w:t xml:space="preserve"> the minimum number of bits needed to represent </w:t>
            </w:r>
            <w:r>
              <w:rPr>
                <w:rStyle w:val="Text3"/>
              </w:rPr>
              <w:t>i</w:t>
            </w:r>
            <w:r>
              <w:t xml:space="preserve">. Equivalent to the length of the binary representation of </w:t>
            </w:r>
            <w:r>
              <w:rPr>
                <w:rStyle w:val="Text0"/>
              </w:rPr>
              <w:t>abs(</w:t>
            </w:r>
            <w:r>
              <w:rPr>
                <w:rStyle w:val="Text3"/>
              </w:rPr>
              <w:t>i</w:t>
            </w:r>
            <w:r>
              <w:rPr>
                <w:rStyle w:val="Text0"/>
              </w:rPr>
              <w:t>)</w:t>
            </w:r>
            <w:r>
              <w:t xml:space="preserve">, after removing </w:t>
            </w:r>
            <w:r>
              <w:rPr>
                <w:rStyle w:val="Text0"/>
              </w:rPr>
              <w:t>'b'</w:t>
            </w:r>
            <w:r>
              <w:t xml:space="preserve"> and all leading zeros. </w:t>
            </w:r>
            <w:r>
              <w:rPr>
                <w:rStyle w:val="Text0"/>
              </w:rPr>
              <w:t>(0).bit_length()</w:t>
            </w:r>
            <w:r>
              <w:t xml:space="preserve"> returns </w:t>
            </w:r>
            <w:r>
              <w:rPr>
                <w:rStyle w:val="Text0"/>
              </w:rPr>
              <w:t>0</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from_bytes</w:t>
            </w:r>
          </w:p>
        </w:tc>
        <w:tc>
          <w:tcPr>
            <w:tcW w:type="auto" w:w="0"/>
            <w:shd w:val="clear" w:color="auto" w:fill="EEF2F6"/>
            <w:tcMar>
              <w:left w:type="dxa" w:w="200"/>
              <w:top w:type="dxa" w:w="200"/>
              <w:right w:type="dxa" w:w="200"/>
              <w:bottom w:type="dxa" w:w="200"/>
            </w:tcMar>
          </w:tcPr>
          <w:p>
            <w:pPr>
              <w:pStyle w:val="Para 002"/>
            </w:pPr>
            <w:r>
              <w:rPr>
                <w:rStyle w:val="Text0"/>
              </w:rPr>
              <w:t>int.from_bytes(</w:t>
            </w:r>
            <w:r>
              <w:rPr>
                <w:rStyle w:val="Text3"/>
              </w:rPr>
              <w:t>bytes_value</w:t>
            </w:r>
            <w:r>
              <w:rPr>
                <w:rStyle w:val="Text0"/>
              </w:rPr>
              <w:t>,</w:t>
            </w:r>
            <w:r>
              <w:t xml:space="preserve"> </w:t>
            </w:r>
            <w:r>
              <w:rPr>
                <w:rStyle w:val="Text3"/>
              </w:rPr>
              <w:t>byteorder</w:t>
            </w:r>
            <w:r>
              <w:rPr>
                <w:rStyle w:val="Text0"/>
              </w:rPr>
              <w:t>, *,</w:t>
            </w:r>
            <w:r>
              <w:t xml:space="preserve"> </w:t>
            </w:r>
            <w:r>
              <w:rPr>
                <w:rStyle w:val="Text3"/>
              </w:rPr>
              <w:t>signed</w:t>
            </w:r>
            <w:r>
              <w:rPr>
                <w:rStyle w:val="Text0"/>
              </w:rPr>
              <w:t>=</w:t>
            </w:r>
            <w:r>
              <w:rPr>
                <w:rStyle w:val="Text5"/>
              </w:rPr>
              <w:t>False</w:t>
            </w:r>
            <w:r>
              <w:rPr>
                <w:rStyle w:val="Text0"/>
              </w:rPr>
              <w:t>)</w:t>
              <w:br w:clear="none"/>
            </w:r>
            <w:r>
              <w:t xml:space="preserve"> Returns</w:t>
            </w:r>
            <w:r>
              <w:rPr>
                <w:rStyle w:val="Text111"/>
              </w:rPr>
              <w:bookmarkStart w:id="490" w:name="idm45965282747648"/>
              <w:t/>
              <w:bookmarkEnd w:id="490"/>
            </w:r>
            <w:r>
              <w:t xml:space="preserve"> an </w:t>
            </w:r>
            <w:r>
              <w:rPr>
                <w:rStyle w:val="Text0"/>
              </w:rPr>
              <w:t>int</w:t>
            </w:r>
            <w:r>
              <w:t xml:space="preserve"> from the bytes in </w:t>
            </w:r>
            <w:r>
              <w:rPr>
                <w:rStyle w:val="Text3"/>
              </w:rPr>
              <w:t>bytes_value</w:t>
            </w:r>
            <w:r>
              <w:t xml:space="preserve"> following the same argument usage as in </w:t>
            </w:r>
            <w:r>
              <w:rPr>
                <w:rStyle w:val="Text0"/>
              </w:rPr>
              <w:t>to_bytes</w:t>
            </w:r>
            <w:r>
              <w:t xml:space="preserve">. (Note that </w:t>
            </w:r>
            <w:r>
              <w:rPr>
                <w:rStyle w:val="Text0"/>
              </w:rPr>
              <w:t>from_bytes</w:t>
            </w:r>
            <w:r>
              <w:t xml:space="preserve"> is a class method of </w:t>
            </w:r>
            <w:r>
              <w:rPr>
                <w:rStyle w:val="Text0"/>
              </w:rPr>
              <w:t>int</w:t>
            </w:r>
            <w:r>
              <w:t>.)</w:t>
            </w:r>
          </w:p>
        </w:tc>
      </w:tr>
    </w:tbl>
    <w:tbl>
      <w:tblPr>
        <w:tblW w:type="auto" w:w="0"/>
      </w:tblPr>
      <w:tr>
        <w:tc>
          <w:tcPr>
            <w:tcW w:type="auto" w:w="0"/>
            <w:tcMar>
              <w:left w:type="dxa" w:w="200"/>
              <w:top w:type="dxa" w:w="200"/>
              <w:right w:type="dxa" w:w="200"/>
              <w:bottom w:type="dxa" w:w="200"/>
            </w:tcMar>
          </w:tcPr>
          <w:p>
            <w:pPr>
              <w:pStyle w:val="Para 001"/>
            </w:pPr>
            <w:r>
              <w:t>to_bytes</w:t>
            </w:r>
          </w:p>
        </w:tc>
        <w:tc>
          <w:tcPr>
            <w:tcW w:type="auto" w:w="0"/>
            <w:tcMar>
              <w:left w:type="dxa" w:w="200"/>
              <w:top w:type="dxa" w:w="200"/>
              <w:right w:type="dxa" w:w="200"/>
              <w:bottom w:type="dxa" w:w="200"/>
            </w:tcMar>
          </w:tcPr>
          <w:p>
            <w:pPr>
              <w:pStyle w:val="Para 002"/>
            </w:pPr>
            <w:r>
              <w:rPr>
                <w:rStyle w:val="Text3"/>
              </w:rPr>
              <w:t>i</w:t>
            </w:r>
            <w:r>
              <w:rPr>
                <w:rStyle w:val="Text0"/>
              </w:rPr>
              <w:t>.to_bytes(</w:t>
            </w:r>
            <w:r>
              <w:rPr>
                <w:rStyle w:val="Text3"/>
              </w:rPr>
              <w:t>length</w:t>
            </w:r>
            <w:r>
              <w:rPr>
                <w:rStyle w:val="Text0"/>
              </w:rPr>
              <w:t>,</w:t>
            </w:r>
            <w:r>
              <w:t xml:space="preserve"> </w:t>
            </w:r>
            <w:r>
              <w:rPr>
                <w:rStyle w:val="Text3"/>
              </w:rPr>
              <w:t>byteorder</w:t>
            </w:r>
            <w:r>
              <w:rPr>
                <w:rStyle w:val="Text0"/>
              </w:rPr>
              <w:t>, *,</w:t>
            </w:r>
            <w:r>
              <w:t xml:space="preserve"> </w:t>
            </w:r>
            <w:r>
              <w:rPr>
                <w:rStyle w:val="Text3"/>
              </w:rPr>
              <w:t>signed</w:t>
            </w:r>
            <w:r>
              <w:rPr>
                <w:rStyle w:val="Text0"/>
              </w:rPr>
              <w:t>=</w:t>
            </w:r>
            <w:r>
              <w:rPr>
                <w:rStyle w:val="Text5"/>
              </w:rPr>
              <w:t>False</w:t>
            </w:r>
            <w:r>
              <w:rPr>
                <w:rStyle w:val="Text0"/>
              </w:rPr>
              <w:t>)</w:t>
              <w:br w:clear="none"/>
            </w:r>
            <w:r>
              <w:t xml:space="preserve"> Returns</w:t>
            </w:r>
            <w:r>
              <w:rPr>
                <w:rStyle w:val="Text111"/>
              </w:rPr>
              <w:bookmarkStart w:id="491" w:name="idm45965282735392"/>
              <w:t/>
              <w:bookmarkEnd w:id="491"/>
            </w:r>
            <w:r>
              <w:t xml:space="preserve"> a </w:t>
            </w:r>
            <w:r>
              <w:rPr>
                <w:rStyle w:val="Text0"/>
              </w:rPr>
              <w:t>bytes</w:t>
            </w:r>
            <w:r>
              <w:t xml:space="preserve"> value </w:t>
            </w:r>
            <w:r>
              <w:rPr>
                <w:rStyle w:val="Text3"/>
              </w:rPr>
              <w:t>length</w:t>
            </w:r>
            <w:r>
              <w:t xml:space="preserve"> bytes in size representing the binary value of </w:t>
            </w:r>
            <w:r>
              <w:rPr>
                <w:rStyle w:val="Text3"/>
              </w:rPr>
              <w:t>i</w:t>
            </w:r>
            <w:r>
              <w:t xml:space="preserve">. </w:t>
            </w:r>
            <w:r>
              <w:rPr>
                <w:rStyle w:val="Text3"/>
              </w:rPr>
              <w:t>byteorder</w:t>
            </w:r>
            <w:r>
              <w:t xml:space="preserve"> must be the </w:t>
            </w:r>
            <w:r>
              <w:rPr>
                <w:rStyle w:val="Text0"/>
              </w:rPr>
              <w:t>str</w:t>
            </w:r>
            <w:r>
              <w:t xml:space="preserve"> value </w:t>
            </w:r>
            <w:r>
              <w:rPr>
                <w:rStyle w:val="Text0"/>
              </w:rPr>
              <w:t>'big'</w:t>
            </w:r>
            <w:r>
              <w:t xml:space="preserve"> or </w:t>
            </w:r>
            <w:r>
              <w:rPr>
                <w:rStyle w:val="Text0"/>
              </w:rPr>
              <w:t>'little'</w:t>
            </w:r>
            <w:r>
              <w:t xml:space="preserve">, indicating whether the return value should be big-endian (most significant byte first) or little-endian (least significant byte first). For example, </w:t>
            </w:r>
            <w:r>
              <w:rPr>
                <w:rStyle w:val="Text0"/>
              </w:rPr>
              <w:t>(258).to_bytes(2, 'big')</w:t>
            </w:r>
            <w:r>
              <w:t xml:space="preserve"> returns </w:t>
            </w:r>
            <w:r>
              <w:rPr>
                <w:rStyle w:val="Text0"/>
              </w:rPr>
              <w:t>b'\x01\x02'</w:t>
            </w:r>
            <w:r>
              <w:t xml:space="preserve">, and </w:t>
            </w:r>
            <w:r>
              <w:rPr>
                <w:rStyle w:val="Text0"/>
              </w:rPr>
              <w:t>(258).to_bytes(2, 'little')</w:t>
            </w:r>
            <w:r>
              <w:t xml:space="preserve"> returns </w:t>
            </w:r>
            <w:r>
              <w:rPr>
                <w:rStyle w:val="Text0"/>
              </w:rPr>
              <w:t>b'\x02\x01'</w:t>
            </w:r>
            <w:r>
              <w:t xml:space="preserve">. When </w:t>
            </w:r>
            <w:r>
              <w:rPr>
                <w:rStyle w:val="Text3"/>
              </w:rPr>
              <w:t>i</w:t>
            </w:r>
            <w:r>
              <w:t xml:space="preserve"> </w:t>
            </w:r>
            <w:r>
              <w:rPr>
                <w:rStyle w:val="Text0"/>
              </w:rPr>
              <w:t>&lt; 0</w:t>
            </w:r>
            <w:r>
              <w:t xml:space="preserve"> and </w:t>
            </w:r>
            <w:r>
              <w:rPr>
                <w:rStyle w:val="Text3"/>
              </w:rPr>
              <w:t>signed</w:t>
            </w:r>
            <w:r>
              <w:t xml:space="preserve"> is </w:t>
            </w:r>
            <w:r>
              <w:rPr>
                <w:rStyle w:val="Text5"/>
              </w:rPr>
              <w:t>True</w:t>
            </w:r>
            <w:r>
              <w:t xml:space="preserve">, </w:t>
            </w:r>
            <w:r>
              <w:rPr>
                <w:rStyle w:val="Text0"/>
              </w:rPr>
              <w:t>to_bytes</w:t>
            </w:r>
            <w:r>
              <w:t xml:space="preserve"> returns the bytes of </w:t>
            </w:r>
            <w:r>
              <w:rPr>
                <w:rStyle w:val="Text3"/>
              </w:rPr>
              <w:t>i</w:t>
            </w:r>
            <w:r>
              <w:t xml:space="preserve"> represented in two’s complement. When </w:t>
            </w:r>
            <w:r>
              <w:rPr>
                <w:rStyle w:val="Text3"/>
              </w:rPr>
              <w:t>i</w:t>
            </w:r>
            <w:r>
              <w:t xml:space="preserve"> </w:t>
            </w:r>
            <w:r>
              <w:rPr>
                <w:rStyle w:val="Text0"/>
              </w:rPr>
              <w:t>&lt; 0</w:t>
            </w:r>
            <w:r>
              <w:t xml:space="preserve"> and </w:t>
            </w:r>
            <w:r>
              <w:rPr>
                <w:rStyle w:val="Text3"/>
              </w:rPr>
              <w:t>signed</w:t>
            </w:r>
            <w:r>
              <w:t xml:space="preserve"> is </w:t>
            </w:r>
            <w:r>
              <w:rPr>
                <w:rStyle w:val="Text5"/>
              </w:rPr>
              <w:t>False</w:t>
            </w:r>
            <w:r>
              <w:t xml:space="preserve">, </w:t>
            </w:r>
            <w:r>
              <w:rPr>
                <w:rStyle w:val="Text0"/>
              </w:rPr>
              <w:t>to_bytes</w:t>
            </w:r>
            <w:r>
              <w:t xml:space="preserve"> raises </w:t>
            </w:r>
            <w:r>
              <w:rPr>
                <w:rStyle w:val="Text0"/>
              </w:rPr>
              <w:t>OverflowError</w:t>
            </w:r>
            <w:r>
              <w:t>.</w:t>
            </w:r>
          </w:p>
        </w:tc>
      </w:tr>
    </w:tbl>
    <w:p>
      <w:bookmarkStart w:id="492" w:name="Floating_point_numbers__A_floati"/>
      <w:pPr>
        <w:keepNext/>
        <w:pStyle w:val="Heading 2"/>
      </w:pPr>
      <w:r>
        <w:t>Floating-point numbers</w:t>
      </w:r>
      <w:bookmarkEnd w:id="492"/>
    </w:p>
    <w:p>
      <w:pPr>
        <w:pStyle w:val="Normal"/>
      </w:pPr>
      <w:r>
        <w:t>A</w:t>
      </w:r>
      <w:r>
        <w:rPr>
          <w:rStyle w:val="Text111"/>
        </w:rPr>
        <w:bookmarkStart w:id="493" w:name="idm45965282714576"/>
        <w:t/>
        <w:bookmarkEnd w:id="493"/>
        <w:bookmarkStart w:id="494" w:name="idm45965282712784"/>
        <w:t/>
        <w:bookmarkEnd w:id="494"/>
        <w:bookmarkStart w:id="495" w:name="idm45965282711408"/>
        <w:t/>
        <w:bookmarkEnd w:id="495"/>
      </w:r>
      <w:r>
        <w:t xml:space="preserve"> floating-point literal is a sequence of decimal digits that includes a decimal point (</w:t>
      </w:r>
      <w:r>
        <w:rPr>
          <w:rStyle w:val="Text0"/>
        </w:rPr>
        <w:t>.</w:t>
      </w:r>
      <w:r>
        <w:t>), an exponent suffix (</w:t>
      </w:r>
      <w:r>
        <w:rPr>
          <w:rStyle w:val="Text0"/>
        </w:rPr>
        <w:t>e</w:t>
      </w:r>
      <w:r>
        <w:t xml:space="preserve"> or </w:t>
      </w:r>
      <w:r>
        <w:rPr>
          <w:rStyle w:val="Text0"/>
        </w:rPr>
        <w:t>E</w:t>
      </w:r>
      <w:r>
        <w:t xml:space="preserve">, optionally followed by </w:t>
      </w:r>
      <w:r>
        <w:rPr>
          <w:rStyle w:val="Text0"/>
        </w:rPr>
        <w:t>+</w:t>
      </w:r>
      <w:r>
        <w:t xml:space="preserve"> or </w:t>
      </w:r>
      <w:r>
        <w:rPr>
          <w:rStyle w:val="Text0"/>
        </w:rPr>
        <w:t>-</w:t>
      </w:r>
      <w:r>
        <w:t xml:space="preserve">, followed by one or more digits), or both. The leading character of a floating-point literal cannot be </w:t>
      </w:r>
      <w:r>
        <w:rPr>
          <w:rStyle w:val="Text0"/>
        </w:rPr>
        <w:t>e</w:t>
      </w:r>
      <w:r>
        <w:t xml:space="preserve"> or </w:t>
      </w:r>
      <w:r>
        <w:rPr>
          <w:rStyle w:val="Text0"/>
        </w:rPr>
        <w:t>E</w:t>
      </w:r>
      <w:r>
        <w:t>; it may be any digit or a period (</w:t>
      </w:r>
      <w:r>
        <w:rPr>
          <w:rStyle w:val="Text0"/>
        </w:rPr>
        <w:t>.</w:t>
      </w:r>
      <w:r>
        <w:t>) followed by a digit. For example:</w:t>
      </w:r>
    </w:p>
    <w:p>
      <w:pPr>
        <w:pStyle w:val="Para 014"/>
      </w:pPr>
      <w:r>
        <w:rPr>
          <w:rStyle w:val="Text116"/>
        </w:rPr>
        <w:t xml:space="preserve"/>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0.0</w:t>
        <w:br w:clear="none"/>
      </w:r>
      <w:r>
        <w:rPr>
          <w:rStyle w:val="Text19"/>
        </w:rPr>
        <w:t xml:space="preserve">,</w:t>
        <w:br w:clear="none"/>
      </w:r>
      <w:r>
        <w:rPr>
          <w:rStyle w:val="Text11"/>
        </w:rPr>
        <w:t xml:space="preserve"> </w:t>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1.0</w:t>
        <w:br w:clear="none"/>
      </w:r>
      <w:r>
        <w:rPr>
          <w:rStyle w:val="Text19"/>
        </w:rPr>
        <w:t xml:space="preserve">,</w:t>
        <w:br w:clear="none"/>
      </w:r>
      <w:r>
        <w:rPr>
          <w:rStyle w:val="Text11"/>
        </w:rPr>
        <w:t xml:space="preserve"> </w:t>
        <w:br w:clear="none"/>
      </w:r>
      <w:r>
        <w:rPr>
          <w:rStyle w:val="Text35"/>
        </w:rPr>
        <w:t xml:space="preserve">1e0</w:t>
        <w:br w:clear="none"/>
      </w:r>
      <w:r>
        <w:rPr>
          <w:rStyle w:val="Text19"/>
        </w:rPr>
        <w:t xml:space="preserve">,</w:t>
        <w:br w:clear="none"/>
      </w:r>
      <w:r>
        <w:rPr>
          <w:rStyle w:val="Text11"/>
        </w:rPr>
        <w:t xml:space="preserve"> </w:t>
        <w:br w:clear="none"/>
      </w:r>
      <w:r>
        <w:rPr>
          <w:rStyle w:val="Text35"/>
        </w:rPr>
        <w:t xml:space="preserve">1.e0</w:t>
        <w:br w:clear="none"/>
      </w:r>
      <w:r>
        <w:rPr>
          <w:rStyle w:val="Text19"/>
        </w:rPr>
        <w:t xml:space="preserve">,</w:t>
        <w:br w:clear="none"/>
      </w:r>
      <w:r>
        <w:rPr>
          <w:rStyle w:val="Text11"/>
        </w:rPr>
        <w:t xml:space="preserve"> </w:t>
        <w:br w:clear="none"/>
      </w:r>
      <w:r>
        <w:rPr>
          <w:rStyle w:val="Text35"/>
        </w:rPr>
        <w:t xml:space="preserve">1.0E0</w:t>
        <w:br w:clear="none"/>
      </w:r>
      <w:r>
        <w:rPr>
          <w:rStyle w:val="Text11"/>
        </w:rPr>
        <w:t xml:space="preserve">  </w:t>
        <w:br w:clear="none"/>
      </w:r>
      <w:r>
        <w:t xml:space="preserve"># Floating-point literals</w:t>
        <w:br w:clear="none"/>
      </w:r>
    </w:p>
    <w:p>
      <w:pPr>
        <w:pStyle w:val="Normal"/>
      </w:pPr>
      <w:r>
        <w:t xml:space="preserve">A Python floating-point value corresponds to a C </w:t>
      </w:r>
      <w:r>
        <w:rPr>
          <w:rStyle w:val="Text0"/>
        </w:rPr>
        <w:t>double</w:t>
      </w:r>
      <w:r>
        <w:t xml:space="preserve"> and shares its limits of range and precision: typically 53 bits—about 15 digits—of precision on modern platforms. (For the exact range and precision of floating-point values on the platform where the code is running, and many other details, see the online documentation on </w:t>
      </w:r>
      <w:hyperlink r:id="rId210">
        <w:r>
          <w:rPr>
            <w:rStyle w:val="Text30"/>
          </w:rPr>
          <w:t>sys.float_info</w:t>
        </w:r>
      </w:hyperlink>
      <w:r>
        <w:t>.)</w:t>
      </w:r>
    </w:p>
    <w:p>
      <w:pPr>
        <w:pStyle w:val="Normal"/>
      </w:pPr>
      <w:hyperlink w:anchor="Table_3_2__float_methods">
        <w:r>
          <w:rPr>
            <w:rStyle w:val="Text1"/>
          </w:rPr>
          <w:t>Table 3-2</w:t>
        </w:r>
      </w:hyperlink>
      <w:r>
        <w:t xml:space="preserve"> lists</w:t>
      </w:r>
      <w:r>
        <w:rPr>
          <w:rStyle w:val="Text111"/>
        </w:rPr>
        <w:bookmarkStart w:id="496" w:name="idm45965282646736"/>
        <w:t/>
        <w:bookmarkEnd w:id="496"/>
      </w:r>
      <w:r>
        <w:t xml:space="preserve"> the methods supported by a </w:t>
      </w:r>
      <w:r>
        <w:rPr>
          <w:rStyle w:val="Text0"/>
        </w:rPr>
        <w:t>float</w:t>
      </w:r>
      <w:r>
        <w:t xml:space="preserve"> object </w:t>
      </w:r>
      <w:r>
        <w:rPr>
          <w:rStyle w:val="Text3"/>
        </w:rPr>
        <w:t>f</w:t>
      </w:r>
      <w:r>
        <w:t>.</w:t>
      </w:r>
    </w:p>
    <w:tbl>
      <w:tblPr>
        <w:tblW w:type="auto" w:w="0"/>
      </w:tblPr>
      <w:tr>
        <w:tc>
          <w:tcPr>
            <w:tcW w:type="auto" w:w="0"/>
            <w:tcMar>
              <w:left w:type="dxa" w:w="200"/>
              <w:top w:type="dxa" w:w="200"/>
              <w:right w:type="dxa" w:w="200"/>
              <w:bottom w:type="dxa" w:w="200"/>
            </w:tcMar>
          </w:tcPr>
          <w:p>
            <w:bookmarkStart w:id="497" w:name="Table_3_2__float_methods"/>
            <w:pPr>
              <w:pStyle w:val="Para 011"/>
            </w:pPr>
            <w:r>
              <w:rPr>
                <w:rStyle w:val="Text117"/>
              </w:rPr>
              <w:t/>
            </w:r>
            <w:r>
              <w:t xml:space="preserve">Table 3-2. </w:t>
            </w:r>
            <w:r>
              <w:rPr>
                <w:rStyle w:val="Text0"/>
              </w:rPr>
              <w:t>float</w:t>
            </w:r>
            <w:r>
              <w:t xml:space="preserve"> methods</w:t>
            </w:r>
            <w:bookmarkEnd w:id="497"/>
          </w:p>
          <w:p>
            <w:pPr>
              <w:pStyle w:val="Para 001"/>
            </w:pPr>
            <w:r>
              <w:t>as_inte⁠g⁠e⁠r⁠_​r⁠a⁠t⁠i⁠o</w:t>
            </w:r>
          </w:p>
        </w:tc>
        <w:tc>
          <w:tcPr>
            <w:tcW w:type="auto" w:w="0"/>
            <w:tcMar>
              <w:left w:type="dxa" w:w="200"/>
              <w:top w:type="dxa" w:w="200"/>
              <w:right w:type="dxa" w:w="200"/>
              <w:bottom w:type="dxa" w:w="200"/>
            </w:tcMar>
          </w:tcPr>
          <w:p>
            <w:pPr>
              <w:pStyle w:val="Para 010"/>
            </w:pPr>
            <w:r>
              <w:rPr>
                <w:rStyle w:val="Text3"/>
              </w:rPr>
              <w:t>f</w:t>
            </w:r>
            <w:r>
              <w:rPr>
                <w:rStyle w:val="Text0"/>
              </w:rPr>
              <w:t>.as_integer_ratio()</w:t>
              <w:br w:clear="none"/>
            </w:r>
            <w:r>
              <w:t xml:space="preserve"> Returns</w:t>
            </w:r>
            <w:r>
              <w:rPr>
                <w:rStyle w:val="Text111"/>
              </w:rPr>
              <w:bookmarkStart w:id="498" w:name="idm45965282679856"/>
              <w:t/>
              <w:bookmarkEnd w:id="498"/>
            </w:r>
            <w:r>
              <w:t xml:space="preserve"> a tuple of two </w:t>
            </w:r>
            <w:r>
              <w:rPr>
                <w:rStyle w:val="Text0"/>
              </w:rPr>
              <w:t>int</w:t>
            </w:r>
            <w:r>
              <w:t xml:space="preserve">s, a numerator and a denominator, whose exact ratio is the original float value, </w:t>
            </w:r>
            <w:r>
              <w:rPr>
                <w:rStyle w:val="Text3"/>
              </w:rPr>
              <w:t>f</w:t>
            </w:r>
            <w:r>
              <w:t>. For example:</w:t>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f</w:t>
              <w:br w:clear="none"/>
            </w:r>
            <w:r>
              <w:rPr>
                <w:rStyle w:val="Text13"/>
              </w:rPr>
              <w:t xml:space="preserve">=</w:t>
              <w:br w:clear="none"/>
            </w:r>
            <w:r>
              <w:rPr>
                <w:rStyle w:val="Text27"/>
              </w:rPr>
              <w:t xml:space="preserve">2.5</w:t>
              <w:br w:clear="none"/>
            </w:r>
            <w:r>
              <w:rPr>
                <w:rStyle w:val="Text23"/>
              </w:rPr>
              <w:t xml:space="preserve"/>
              <w:br w:clear="none"/>
            </w:r>
            <w:r>
              <w:rPr>
                <w:rStyle w:val="Text13"/>
              </w:rPr>
              <w:t xml:space="preserve">&gt;&gt;&gt;</w:t>
              <w:br w:clear="none"/>
            </w:r>
            <w:r>
              <w:rPr>
                <w:rStyle w:val="Text23"/>
              </w:rPr>
              <w:t xml:space="preserve"> </w:t>
              <w:br w:clear="none"/>
            </w:r>
            <w:r>
              <w:t xml:space="preserve">f</w:t>
              <w:br w:clear="none"/>
            </w:r>
            <w:r>
              <w:rPr>
                <w:rStyle w:val="Text13"/>
              </w:rPr>
              <w:t xml:space="preserve">.</w:t>
              <w:br w:clear="none"/>
            </w:r>
            <w:r>
              <w:t xml:space="preserve">as_integer_ratio</w:t>
              <w:br w:clear="none"/>
            </w:r>
            <w:r>
              <w:rPr>
                <w:rStyle w:val="Text7"/>
              </w:rPr>
              <w:t xml:space="preserve">()</w:t>
              <w:br w:clear="none"/>
            </w:r>
          </w:p>
          <w:p>
            <w:pPr>
              <w:pStyle w:val="Para 033"/>
            </w:pPr>
            <w:r>
              <w:rPr>
                <w:rStyle w:val="Text48"/>
              </w:rPr>
              <w:t xml:space="preserve"/>
              <w:br w:clear="none"/>
            </w:r>
            <w:r>
              <w:t xml:space="preserve">(5, 2)</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from_hex</w:t>
            </w:r>
          </w:p>
        </w:tc>
        <w:tc>
          <w:tcPr>
            <w:tcW w:type="auto" w:w="0"/>
            <w:shd w:val="clear" w:color="auto" w:fill="EEF2F6"/>
            <w:tcMar>
              <w:left w:type="dxa" w:w="200"/>
              <w:top w:type="dxa" w:w="200"/>
              <w:right w:type="dxa" w:w="200"/>
              <w:bottom w:type="dxa" w:w="200"/>
            </w:tcMar>
          </w:tcPr>
          <w:p>
            <w:pPr>
              <w:pStyle w:val="Para 002"/>
            </w:pPr>
            <w:r>
              <w:rPr>
                <w:rStyle w:val="Text0"/>
              </w:rPr>
              <w:t>float.from_hex(</w:t>
            </w:r>
            <w:r>
              <w:rPr>
                <w:rStyle w:val="Text3"/>
              </w:rPr>
              <w:t>s</w:t>
            </w:r>
            <w:r>
              <w:rPr>
                <w:rStyle w:val="Text0"/>
              </w:rPr>
              <w:t>)</w:t>
              <w:br w:clear="none"/>
            </w:r>
            <w:r>
              <w:t xml:space="preserve"> Returns</w:t>
            </w:r>
            <w:r>
              <w:rPr>
                <w:rStyle w:val="Text111"/>
              </w:rPr>
              <w:bookmarkStart w:id="499" w:name="idm45965282949456"/>
              <w:t/>
              <w:bookmarkEnd w:id="499"/>
            </w:r>
            <w:r>
              <w:t xml:space="preserve"> a </w:t>
            </w:r>
            <w:r>
              <w:rPr>
                <w:rStyle w:val="Text0"/>
              </w:rPr>
              <w:t>float</w:t>
            </w:r>
            <w:r>
              <w:t xml:space="preserve"> value from the hexadecimal </w:t>
            </w:r>
            <w:r>
              <w:rPr>
                <w:rStyle w:val="Text0"/>
              </w:rPr>
              <w:t>str</w:t>
            </w:r>
            <w:r>
              <w:t xml:space="preserve"> value </w:t>
            </w:r>
            <w:r>
              <w:rPr>
                <w:rStyle w:val="Text3"/>
              </w:rPr>
              <w:t>s</w:t>
            </w:r>
            <w:r>
              <w:t xml:space="preserve">. </w:t>
            </w:r>
            <w:r>
              <w:rPr>
                <w:rStyle w:val="Text3"/>
              </w:rPr>
              <w:t>s</w:t>
            </w:r>
            <w:r>
              <w:t xml:space="preserve"> can be of the form returned by </w:t>
            </w:r>
            <w:r>
              <w:rPr>
                <w:rStyle w:val="Text0"/>
              </w:rPr>
              <w:t>f.hex()</w:t>
            </w:r>
            <w:r>
              <w:t xml:space="preserve">, or simply a string of hexadecimal digits. When the latter is the case, </w:t>
            </w:r>
            <w:r>
              <w:rPr>
                <w:rStyle w:val="Text0"/>
              </w:rPr>
              <w:t>from_hex</w:t>
            </w:r>
            <w:r>
              <w:t xml:space="preserve"> returns </w:t>
            </w:r>
            <w:r>
              <w:rPr>
                <w:rStyle w:val="Text0"/>
              </w:rPr>
              <w:t>float(int(</w:t>
            </w:r>
            <w:r>
              <w:rPr>
                <w:rStyle w:val="Text3"/>
              </w:rPr>
              <w:t>s</w:t>
            </w:r>
            <w:r>
              <w:rPr>
                <w:rStyle w:val="Text0"/>
              </w:rPr>
              <w:t>, 16))</w:t>
            </w:r>
            <w:r>
              <w:t>.</w:t>
            </w:r>
          </w:p>
        </w:tc>
      </w:tr>
    </w:tbl>
    <w:tbl>
      <w:tblPr>
        <w:tblW w:type="auto" w:w="0"/>
      </w:tblPr>
      <w:tr>
        <w:tc>
          <w:tcPr>
            <w:tcW w:type="auto" w:w="0"/>
            <w:tcMar>
              <w:left w:type="dxa" w:w="200"/>
              <w:top w:type="dxa" w:w="200"/>
              <w:right w:type="dxa" w:w="200"/>
              <w:bottom w:type="dxa" w:w="200"/>
            </w:tcMar>
          </w:tcPr>
          <w:p>
            <w:pPr>
              <w:pStyle w:val="Para 001"/>
            </w:pPr>
            <w:r>
              <w:t>hex</w:t>
            </w:r>
          </w:p>
        </w:tc>
        <w:tc>
          <w:tcPr>
            <w:tcW w:type="auto" w:w="0"/>
            <w:tcMar>
              <w:left w:type="dxa" w:w="200"/>
              <w:top w:type="dxa" w:w="200"/>
              <w:right w:type="dxa" w:w="200"/>
              <w:bottom w:type="dxa" w:w="200"/>
            </w:tcMar>
          </w:tcPr>
          <w:p>
            <w:pPr>
              <w:pStyle w:val="Para 002"/>
            </w:pPr>
            <w:r>
              <w:rPr>
                <w:rStyle w:val="Text3"/>
              </w:rPr>
              <w:t>f</w:t>
            </w:r>
            <w:r>
              <w:rPr>
                <w:rStyle w:val="Text0"/>
              </w:rPr>
              <w:t>.hex()</w:t>
              <w:br w:clear="none"/>
            </w:r>
            <w:r>
              <w:t xml:space="preserve"> Returns</w:t>
            </w:r>
            <w:r>
              <w:rPr>
                <w:rStyle w:val="Text111"/>
              </w:rPr>
              <w:bookmarkStart w:id="500" w:name="idm45965282916784"/>
              <w:t/>
              <w:bookmarkEnd w:id="500"/>
            </w:r>
            <w:r>
              <w:t xml:space="preserve"> a hexadecimal representation of </w:t>
            </w:r>
            <w:r>
              <w:rPr>
                <w:rStyle w:val="Text3"/>
              </w:rPr>
              <w:t>f</w:t>
            </w:r>
            <w:r>
              <w:t xml:space="preserve">, with leading </w:t>
            </w:r>
            <w:r>
              <w:rPr>
                <w:rStyle w:val="Text0"/>
              </w:rPr>
              <w:t>0x</w:t>
            </w:r>
            <w:r>
              <w:t xml:space="preserve"> and trailing </w:t>
            </w:r>
            <w:r>
              <w:rPr>
                <w:rStyle w:val="Text0"/>
              </w:rPr>
              <w:t>p</w:t>
            </w:r>
            <w:r>
              <w:t xml:space="preserve"> and exponent. For example, </w:t>
            </w:r>
            <w:r>
              <w:rPr>
                <w:rStyle w:val="Text0"/>
              </w:rPr>
              <w:t>(99.0).hex()</w:t>
            </w:r>
            <w:r>
              <w:t xml:space="preserve"> returns </w:t>
            </w:r>
            <w:r>
              <w:rPr>
                <w:rStyle w:val="Text0"/>
              </w:rPr>
              <w:t>'0x1.8c00000000000p+6'</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is_integer</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.is_integer()</w:t>
              <w:br w:clear="none"/>
            </w:r>
            <w:r>
              <w:t xml:space="preserve"> Returns</w:t>
            </w:r>
            <w:r>
              <w:rPr>
                <w:rStyle w:val="Text111"/>
              </w:rPr>
              <w:bookmarkStart w:id="501" w:name="idm45965282908672"/>
              <w:t/>
              <w:bookmarkEnd w:id="501"/>
            </w:r>
            <w:r>
              <w:t xml:space="preserve"> a </w:t>
            </w:r>
            <w:r>
              <w:rPr>
                <w:rStyle w:val="Text0"/>
              </w:rPr>
              <w:t>bool</w:t>
            </w:r>
            <w:r>
              <w:t xml:space="preserve"> value indicating if </w:t>
            </w:r>
            <w:r>
              <w:rPr>
                <w:rStyle w:val="Text3"/>
              </w:rPr>
              <w:t>f</w:t>
            </w:r>
            <w:r>
              <w:t xml:space="preserve"> is an integer value. Equivalent to </w:t>
            </w:r>
            <w:r>
              <w:rPr>
                <w:rStyle w:val="Text0"/>
              </w:rPr>
              <w:t>int(</w:t>
            </w:r>
            <w:r>
              <w:rPr>
                <w:rStyle w:val="Text3"/>
              </w:rPr>
              <w:t>f</w:t>
            </w:r>
            <w:r>
              <w:rPr>
                <w:rStyle w:val="Text0"/>
              </w:rPr>
              <w:t>) ==</w:t>
            </w:r>
            <w:r>
              <w:t xml:space="preserve"> </w:t>
            </w:r>
            <w:r>
              <w:rPr>
                <w:rStyle w:val="Text3"/>
              </w:rPr>
              <w:t>f</w:t>
            </w:r>
            <w:r>
              <w:t>.</w:t>
            </w:r>
          </w:p>
        </w:tc>
      </w:tr>
    </w:tbl>
    <w:p>
      <w:bookmarkStart w:id="502" w:name="Complex_numbers__A_complex_numbe"/>
      <w:pPr>
        <w:keepNext/>
        <w:pStyle w:val="Heading 2"/>
      </w:pPr>
      <w:r>
        <w:t>Complex numbers</w:t>
      </w:r>
      <w:bookmarkEnd w:id="502"/>
    </w:p>
    <w:p>
      <w:pPr>
        <w:pStyle w:val="Normal"/>
      </w:pPr>
      <w:r>
        <w:t>A</w:t>
      </w:r>
      <w:r>
        <w:rPr>
          <w:rStyle w:val="Text111"/>
        </w:rPr>
        <w:bookmarkStart w:id="503" w:name="idm45965282901440"/>
        <w:t/>
        <w:bookmarkEnd w:id="503"/>
      </w:r>
      <w:r>
        <w:t xml:space="preserve"> complex number is made up of two floating-point values, one each for the real and imaginary parts. You can access the parts of a complex object </w:t>
      </w:r>
      <w:r>
        <w:rPr>
          <w:rStyle w:val="Text3"/>
        </w:rPr>
        <w:t>z</w:t>
      </w:r>
      <w:r>
        <w:t xml:space="preserve"> as read-only attributes </w:t>
      </w:r>
      <w:r>
        <w:rPr>
          <w:rStyle w:val="Text3"/>
        </w:rPr>
        <w:t>z</w:t>
      </w:r>
      <w:r>
        <w:rPr>
          <w:rStyle w:val="Text0"/>
        </w:rPr>
        <w:t>.real</w:t>
      </w:r>
      <w:r>
        <w:t xml:space="preserve"> and </w:t>
      </w:r>
      <w:r>
        <w:rPr>
          <w:rStyle w:val="Text3"/>
        </w:rPr>
        <w:t>z</w:t>
      </w:r>
      <w:r>
        <w:rPr>
          <w:rStyle w:val="Text0"/>
        </w:rPr>
        <w:t>.imag</w:t>
      </w:r>
      <w:r>
        <w:t xml:space="preserve">. You can specify an imaginary literal as any floating-point or integer decimal literal followed by a </w:t>
      </w:r>
      <w:r>
        <w:rPr>
          <w:rStyle w:val="Text0"/>
        </w:rPr>
        <w:t>j</w:t>
      </w:r>
      <w:r>
        <w:t xml:space="preserve"> or </w:t>
      </w:r>
      <w:r>
        <w:rPr>
          <w:rStyle w:val="Text0"/>
        </w:rPr>
        <w:t>J</w:t>
      </w:r>
      <w:r>
        <w:t>:</w:t>
      </w:r>
    </w:p>
    <w:p>
      <w:pPr>
        <w:pStyle w:val="Para 061"/>
      </w:pPr>
      <w:r>
        <w:rPr>
          <w:rStyle w:val="Text23"/>
        </w:rPr>
        <w:t xml:space="preserve"/>
        <w:br w:clear="none"/>
      </w:r>
      <w:r>
        <w:t xml:space="preserve">0j</w:t>
        <w:br w:clear="none"/>
      </w:r>
      <w:r>
        <w:rPr>
          <w:rStyle w:val="Text7"/>
        </w:rPr>
        <w:t xml:space="preserve">,</w:t>
        <w:br w:clear="none"/>
      </w:r>
      <w:r>
        <w:rPr>
          <w:rStyle w:val="Text23"/>
        </w:rPr>
        <w:t xml:space="preserve"> </w:t>
        <w:br w:clear="none"/>
      </w:r>
      <w:r>
        <w:t xml:space="preserve">0.j</w:t>
        <w:br w:clear="none"/>
      </w:r>
      <w:r>
        <w:rPr>
          <w:rStyle w:val="Text7"/>
        </w:rPr>
        <w:t xml:space="preserve">,</w:t>
        <w:br w:clear="none"/>
      </w:r>
      <w:r>
        <w:rPr>
          <w:rStyle w:val="Text23"/>
        </w:rPr>
        <w:t xml:space="preserve"> </w:t>
        <w:br w:clear="none"/>
      </w:r>
      <w:r>
        <w:t xml:space="preserve">0.0j</w:t>
        <w:br w:clear="none"/>
      </w:r>
      <w:r>
        <w:rPr>
          <w:rStyle w:val="Text7"/>
        </w:rPr>
        <w:t xml:space="preserve">,</w:t>
        <w:br w:clear="none"/>
      </w:r>
      <w:r>
        <w:rPr>
          <w:rStyle w:val="Text23"/>
        </w:rPr>
        <w:t xml:space="preserve"> </w:t>
        <w:br w:clear="none"/>
      </w:r>
      <w:r>
        <w:t xml:space="preserve">.0j</w:t>
        <w:br w:clear="none"/>
      </w:r>
      <w:r>
        <w:rPr>
          <w:rStyle w:val="Text7"/>
        </w:rPr>
        <w:t xml:space="preserve">,</w:t>
        <w:br w:clear="none"/>
      </w:r>
      <w:r>
        <w:rPr>
          <w:rStyle w:val="Text23"/>
        </w:rPr>
        <w:t xml:space="preserve"> </w:t>
        <w:br w:clear="none"/>
      </w:r>
      <w:r>
        <w:t xml:space="preserve">1j</w:t>
        <w:br w:clear="none"/>
      </w:r>
      <w:r>
        <w:rPr>
          <w:rStyle w:val="Text7"/>
        </w:rPr>
        <w:t xml:space="preserve">,</w:t>
        <w:br w:clear="none"/>
      </w:r>
      <w:r>
        <w:rPr>
          <w:rStyle w:val="Text23"/>
        </w:rPr>
        <w:t xml:space="preserve"> </w:t>
        <w:br w:clear="none"/>
      </w:r>
      <w:r>
        <w:t xml:space="preserve">1.j</w:t>
        <w:br w:clear="none"/>
      </w:r>
      <w:r>
        <w:rPr>
          <w:rStyle w:val="Text7"/>
        </w:rPr>
        <w:t xml:space="preserve">,</w:t>
        <w:br w:clear="none"/>
      </w:r>
      <w:r>
        <w:rPr>
          <w:rStyle w:val="Text23"/>
        </w:rPr>
        <w:t xml:space="preserve"> </w:t>
        <w:br w:clear="none"/>
      </w:r>
      <w:r>
        <w:t xml:space="preserve">1.0j</w:t>
        <w:br w:clear="none"/>
      </w:r>
      <w:r>
        <w:rPr>
          <w:rStyle w:val="Text7"/>
        </w:rPr>
        <w:t xml:space="preserve">,</w:t>
        <w:br w:clear="none"/>
      </w:r>
      <w:r>
        <w:rPr>
          <w:rStyle w:val="Text23"/>
        </w:rPr>
        <w:t xml:space="preserve"> </w:t>
        <w:br w:clear="none"/>
      </w:r>
      <w:r>
        <w:t xml:space="preserve">1e0j</w:t>
        <w:br w:clear="none"/>
      </w:r>
      <w:r>
        <w:rPr>
          <w:rStyle w:val="Text7"/>
        </w:rPr>
        <w:t xml:space="preserve">,</w:t>
        <w:br w:clear="none"/>
      </w:r>
      <w:r>
        <w:rPr>
          <w:rStyle w:val="Text23"/>
        </w:rPr>
        <w:t xml:space="preserve"> </w:t>
        <w:br w:clear="none"/>
      </w:r>
      <w:r>
        <w:t xml:space="preserve">1.e0j</w:t>
        <w:br w:clear="none"/>
      </w:r>
      <w:r>
        <w:rPr>
          <w:rStyle w:val="Text7"/>
        </w:rPr>
        <w:t xml:space="preserve">,</w:t>
        <w:br w:clear="none"/>
      </w:r>
      <w:r>
        <w:rPr>
          <w:rStyle w:val="Text23"/>
        </w:rPr>
        <w:t xml:space="preserve"> </w:t>
        <w:br w:clear="none"/>
      </w:r>
      <w:r>
        <w:t xml:space="preserve">1.0e0j</w:t>
        <w:br w:clear="none"/>
      </w:r>
    </w:p>
    <w:p>
      <w:pPr>
        <w:pStyle w:val="Normal"/>
      </w:pPr>
      <w:r>
        <w:t xml:space="preserve">The </w:t>
      </w:r>
      <w:r>
        <w:rPr>
          <w:rStyle w:val="Text0"/>
        </w:rPr>
        <w:t>j</w:t>
      </w:r>
      <w:r>
        <w:t xml:space="preserve"> at the end of the literal indicates the square root of </w:t>
      </w:r>
      <w:r>
        <w:rPr>
          <w:rStyle w:val="Text0"/>
        </w:rPr>
        <w:t>-1</w:t>
      </w:r>
      <w:r>
        <w:t xml:space="preserve">, as commonly used in electrical engineering (some other disciplines use </w:t>
      </w:r>
      <w:r>
        <w:rPr>
          <w:rStyle w:val="Text0"/>
        </w:rPr>
        <w:t>i</w:t>
      </w:r>
      <w:r>
        <w:t xml:space="preserve"> for this purpose, but Python uses </w:t>
      </w:r>
      <w:r>
        <w:rPr>
          <w:rStyle w:val="Text0"/>
        </w:rPr>
        <w:t>j</w:t>
      </w:r>
      <w:r>
        <w:t xml:space="preserve">). There are no other complex literals. To denote any constant complex number, add or subtract a floating-point (or integer) literal and an imaginary one. For example, to denote the complex number that equals 1, use expressions like </w:t>
      </w:r>
      <w:r>
        <w:rPr>
          <w:rStyle w:val="Text0"/>
        </w:rPr>
        <w:t>1+0j</w:t>
      </w:r>
      <w:r>
        <w:t xml:space="preserve"> or </w:t>
      </w:r>
      <w:r>
        <w:rPr>
          <w:rStyle w:val="Text0"/>
        </w:rPr>
        <w:t>1.0+0.0j</w:t>
      </w:r>
      <w:r>
        <w:t>. Python performs the addition at compile time, so there’s no need to worry about overhead.</w:t>
      </w:r>
    </w:p>
    <w:p>
      <w:pPr>
        <w:pStyle w:val="Normal"/>
      </w:pPr>
      <w:r>
        <w:t xml:space="preserve">A </w:t>
      </w:r>
      <w:r>
        <w:rPr>
          <w:rStyle w:val="Text0"/>
        </w:rPr>
        <w:t>complex</w:t>
      </w:r>
      <w:r>
        <w:t xml:space="preserve"> object </w:t>
      </w:r>
      <w:r>
        <w:rPr>
          <w:rStyle w:val="Text3"/>
        </w:rPr>
        <w:t>c</w:t>
      </w:r>
      <w:r>
        <w:t xml:space="preserve"> supports a single method:</w:t>
      </w:r>
    </w:p>
    <w:tbl>
      <w:tblPr>
        <w:tblW w:type="auto" w:w="0"/>
      </w:tblPr>
      <w:tr>
        <w:tc>
          <w:tcPr>
            <w:tcW w:type="auto" w:w="0"/>
            <w:tcMar>
              <w:left w:type="dxa" w:w="200"/>
              <w:top w:type="dxa" w:w="200"/>
              <w:right w:type="dxa" w:w="200"/>
              <w:bottom w:type="dxa" w:w="200"/>
            </w:tcMar>
          </w:tcPr>
          <w:p>
            <w:pPr>
              <w:pStyle w:val="Para 119"/>
            </w:pPr>
            <w:r>
              <w:t/>
            </w:r>
          </w:p>
          <w:p>
            <w:pPr>
              <w:pStyle w:val="Para 001"/>
            </w:pPr>
            <w:r>
              <w:t>conjugate</w:t>
            </w:r>
          </w:p>
        </w:tc>
        <w:tc>
          <w:tcPr>
            <w:tcW w:type="auto" w:w="0"/>
            <w:tcMar>
              <w:left w:type="dxa" w:w="200"/>
              <w:top w:type="dxa" w:w="200"/>
              <w:right w:type="dxa" w:w="200"/>
              <w:bottom w:type="dxa" w:w="200"/>
            </w:tcMar>
          </w:tcPr>
          <w:p>
            <w:pPr>
              <w:pStyle w:val="Para 002"/>
            </w:pPr>
            <w:r>
              <w:rPr>
                <w:rStyle w:val="Text3"/>
              </w:rPr>
              <w:t>c</w:t>
            </w:r>
            <w:r>
              <w:rPr>
                <w:rStyle w:val="Text0"/>
              </w:rPr>
              <w:t>.conjugate()</w:t>
              <w:br w:clear="none"/>
            </w:r>
            <w:r>
              <w:t xml:space="preserve"> Returns</w:t>
            </w:r>
            <w:r>
              <w:rPr>
                <w:rStyle w:val="Text111"/>
              </w:rPr>
              <w:bookmarkStart w:id="504" w:name="idm45965282870480"/>
              <w:t/>
              <w:bookmarkEnd w:id="504"/>
            </w:r>
            <w:r>
              <w:t xml:space="preserve"> a new complex number </w:t>
            </w:r>
            <w:r>
              <w:rPr>
                <w:rStyle w:val="Text0"/>
              </w:rPr>
              <w:t>complex(</w:t>
            </w:r>
            <w:r>
              <w:rPr>
                <w:rStyle w:val="Text3"/>
              </w:rPr>
              <w:t>c</w:t>
            </w:r>
            <w:r>
              <w:rPr>
                <w:rStyle w:val="Text0"/>
              </w:rPr>
              <w:t>.real, -</w:t>
            </w:r>
            <w:r>
              <w:rPr>
                <w:rStyle w:val="Text3"/>
              </w:rPr>
              <w:t>c</w:t>
            </w:r>
            <w:r>
              <w:rPr>
                <w:rStyle w:val="Text0"/>
              </w:rPr>
              <w:t>.imag)</w:t>
            </w:r>
            <w:r>
              <w:t xml:space="preserve"> (i.e., the return value has </w:t>
            </w:r>
            <w:r>
              <w:rPr>
                <w:rStyle w:val="Text3"/>
              </w:rPr>
              <w:t>c</w:t>
            </w:r>
            <w:r>
              <w:t xml:space="preserve">’s </w:t>
            </w:r>
            <w:r>
              <w:rPr>
                <w:rStyle w:val="Text0"/>
              </w:rPr>
              <w:t>imag</w:t>
            </w:r>
            <w:r>
              <w:t xml:space="preserve"> attribute with a sign change).</w:t>
            </w:r>
          </w:p>
        </w:tc>
      </w:tr>
    </w:tbl>
    <w:p>
      <w:pPr>
        <w:pStyle w:val="Normal"/>
      </w:pPr>
      <w:r>
        <w:t xml:space="preserve">See </w:t>
      </w:r>
      <w:hyperlink w:anchor="The_math_and_cmath_Modules__The">
        <w:r>
          <w:rPr>
            <w:rStyle w:val="Text1"/>
          </w:rPr>
          <w:t>“The math and cmath Modules”</w:t>
        </w:r>
      </w:hyperlink>
      <w:r>
        <w:t xml:space="preserve"> for several other functions that use floats and complex numbers.</w:t>
      </w:r>
    </w:p>
    <w:p>
      <w:bookmarkStart w:id="505" w:name="Underscores_in_numeric_literals"/>
      <w:pPr>
        <w:keepNext/>
        <w:pStyle w:val="Heading 2"/>
      </w:pPr>
      <w:r>
        <w:t>Underscores in numeric literals</w:t>
      </w:r>
      <w:bookmarkEnd w:id="505"/>
    </w:p>
    <w:p>
      <w:pPr>
        <w:pStyle w:val="Normal"/>
      </w:pPr>
      <w:r>
        <w:t>To</w:t>
      </w:r>
      <w:r>
        <w:rPr>
          <w:rStyle w:val="Text111"/>
        </w:rPr>
        <w:bookmarkStart w:id="506" w:name="idm45965282862704"/>
        <w:t/>
        <w:bookmarkEnd w:id="506"/>
        <w:bookmarkStart w:id="507" w:name="idm45965282861296"/>
        <w:t/>
        <w:bookmarkEnd w:id="507"/>
      </w:r>
      <w:r>
        <w:t xml:space="preserve"> aid with visual assessment of the magnitude of a number, numeric literals can include single underscore (</w:t>
      </w:r>
      <w:r>
        <w:rPr>
          <w:rStyle w:val="Text0"/>
        </w:rPr>
        <w:t>_</w:t>
      </w:r>
      <w:r>
        <w:t>) characters between digits or after any base specifier. It’s not only decimal numeric constants that can benefit from this notational freedom, however, as these examples show:</w:t>
      </w:r>
    </w:p>
    <w:p>
      <w:pPr>
        <w:pStyle w:val="Para 061"/>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100_000.000_0001</w:t>
        <w:br w:clear="none"/>
      </w:r>
      <w:r>
        <w:rPr>
          <w:rStyle w:val="Text7"/>
        </w:rPr>
        <w:t xml:space="preserve">,</w:t>
        <w:br w:clear="none"/>
      </w:r>
      <w:r>
        <w:rPr>
          <w:rStyle w:val="Text6"/>
        </w:rPr>
        <w:t xml:space="preserve"> </w:t>
        <w:br w:clear="none"/>
      </w:r>
      <w:r>
        <w:t xml:space="preserve">0x_FF_FF</w:t>
        <w:br w:clear="none"/>
      </w:r>
      <w:r>
        <w:rPr>
          <w:rStyle w:val="Text7"/>
        </w:rPr>
        <w:t xml:space="preserve">,</w:t>
        <w:br w:clear="none"/>
      </w:r>
      <w:r>
        <w:rPr>
          <w:rStyle w:val="Text6"/>
        </w:rPr>
        <w:t xml:space="preserve"> </w:t>
        <w:br w:clear="none"/>
      </w:r>
      <w:r>
        <w:t xml:space="preserve">0o7_777</w:t>
        <w:br w:clear="none"/>
      </w:r>
      <w:r>
        <w:rPr>
          <w:rStyle w:val="Text7"/>
        </w:rPr>
        <w:t xml:space="preserve">,</w:t>
        <w:br w:clear="none"/>
      </w:r>
      <w:r>
        <w:rPr>
          <w:rStyle w:val="Text6"/>
        </w:rPr>
        <w:t xml:space="preserve"> </w:t>
        <w:br w:clear="none"/>
      </w:r>
      <w:r>
        <w:t xml:space="preserve">0b_1010_1010</w:t>
        <w:br w:clear="none"/>
      </w:r>
    </w:p>
    <w:p>
      <w:pPr>
        <w:pStyle w:val="Para 008"/>
      </w:pPr>
      <w:r>
        <w:rPr>
          <w:rStyle w:val="Text48"/>
        </w:rPr>
        <w:t xml:space="preserve"/>
        <w:br w:clear="none"/>
      </w:r>
      <w:r>
        <w:t xml:space="preserve">(100000.0000001, 65535, 4095, 170)</w:t>
        <w:br w:clear="none"/>
      </w:r>
    </w:p>
    <w:p>
      <w:pPr>
        <w:pStyle w:val="Normal"/>
      </w:pPr>
      <w:r>
        <w:t xml:space="preserve">There is no enforcement of location of the underscores (except that two may not occur consecutively), so </w:t>
      </w:r>
      <w:r>
        <w:rPr>
          <w:rStyle w:val="Text0"/>
        </w:rPr>
        <w:t>123_456</w:t>
      </w:r>
      <w:r>
        <w:t xml:space="preserve"> and </w:t>
      </w:r>
      <w:r>
        <w:rPr>
          <w:rStyle w:val="Text0"/>
        </w:rPr>
        <w:t>12_34_56</w:t>
      </w:r>
      <w:r>
        <w:t xml:space="preserve"> both represent the same </w:t>
      </w:r>
      <w:r>
        <w:rPr>
          <w:rStyle w:val="Text0"/>
        </w:rPr>
        <w:t>int</w:t>
      </w:r>
      <w:r>
        <w:t xml:space="preserve"> value as </w:t>
      </w:r>
      <w:r>
        <w:rPr>
          <w:rStyle w:val="Text0"/>
        </w:rPr>
        <w:t>123456</w:t>
      </w:r>
      <w:r>
        <w:t>.</w:t>
      </w:r>
      <w:r>
        <w:rPr>
          <w:rStyle w:val="Text111"/>
        </w:rPr>
        <w:bookmarkStart w:id="508" w:name="idm45965282847360"/>
        <w:t/>
        <w:bookmarkEnd w:id="508"/>
      </w:r>
    </w:p>
    <w:p>
      <w:bookmarkStart w:id="509" w:name="Sequences__A_sequence_is_an_orde"/>
      <w:pPr>
        <w:keepNext/>
        <w:pStyle w:val="Heading 2"/>
      </w:pPr>
      <w:r>
        <w:t>Sequences</w:t>
      </w:r>
      <w:bookmarkEnd w:id="509"/>
    </w:p>
    <w:p>
      <w:pPr>
        <w:pStyle w:val="Normal"/>
      </w:pPr>
      <w:r>
        <w:t>A</w:t>
      </w:r>
      <w:r>
        <w:rPr>
          <w:rStyle w:val="Text111"/>
        </w:rPr>
        <w:bookmarkStart w:id="510" w:name="idm45965282843760"/>
        <w:t/>
        <w:bookmarkEnd w:id="510"/>
        <w:bookmarkStart w:id="511" w:name="seq03"/>
        <w:t/>
        <w:bookmarkEnd w:id="511"/>
      </w:r>
      <w:r>
        <w:t xml:space="preserve"> </w:t>
      </w:r>
      <w:r>
        <w:rPr>
          <w:rStyle w:val="Text4"/>
        </w:rPr>
        <w:t>sequence</w:t>
      </w:r>
      <w:r>
        <w:t xml:space="preserve"> is an ordered container of items, indexed by integers. Python has built-in sequence types known as strings (</w:t>
      </w:r>
      <w:r>
        <w:rPr>
          <w:rStyle w:val="Text0"/>
        </w:rPr>
        <w:t>bytes</w:t>
      </w:r>
      <w:r>
        <w:t xml:space="preserve"> or </w:t>
      </w:r>
      <w:r>
        <w:rPr>
          <w:rStyle w:val="Text0"/>
        </w:rPr>
        <w:t>str</w:t>
      </w:r>
      <w:r>
        <w:t xml:space="preserve">), tuples, and lists. Library and extension modules provide other sequence types, and you can write others yourself (as discussed in </w:t>
      </w:r>
      <w:hyperlink w:anchor="Sequences__A_sequence_is_an_orde">
        <w:r>
          <w:rPr>
            <w:rStyle w:val="Text1"/>
          </w:rPr>
          <w:t>“Sequences”</w:t>
        </w:r>
      </w:hyperlink>
      <w:r>
        <w:t xml:space="preserve">”). You can manipulate sequences in a variety of ways, as discussed in </w:t>
      </w:r>
      <w:hyperlink w:anchor="Sequence_Operations__Python_supp">
        <w:r>
          <w:rPr>
            <w:rStyle w:val="Text1"/>
          </w:rPr>
          <w:t>“Sequence Operations”</w:t>
        </w:r>
      </w:hyperlink>
      <w:r>
        <w:t>.</w:t>
      </w:r>
    </w:p>
    <w:p>
      <w:bookmarkStart w:id="512" w:name="Iterables__A_Python_concept_that"/>
      <w:pPr>
        <w:keepNext/>
        <w:pStyle w:val="Heading 2"/>
      </w:pPr>
      <w:r>
        <w:t>Iterables</w:t>
      </w:r>
      <w:bookmarkEnd w:id="512"/>
    </w:p>
    <w:p>
      <w:pPr>
        <w:pStyle w:val="Normal"/>
      </w:pPr>
      <w:r>
        <w:t>A</w:t>
      </w:r>
      <w:r>
        <w:rPr>
          <w:rStyle w:val="Text111"/>
        </w:rPr>
        <w:bookmarkStart w:id="513" w:name="idm45965282835312"/>
        <w:t/>
        <w:bookmarkEnd w:id="513"/>
      </w:r>
      <w:r>
        <w:t xml:space="preserve"> Python concept that captures in abstract the iteration behavior of sequences is that of </w:t>
      </w:r>
      <w:r>
        <w:rPr>
          <w:rStyle w:val="Text4"/>
        </w:rPr>
        <w:t>iterables</w:t>
      </w:r>
      <w:r>
        <w:t xml:space="preserve">, covered in </w:t>
      </w:r>
      <w:hyperlink w:anchor="The_for_Statement__The_for_state">
        <w:r>
          <w:rPr>
            <w:rStyle w:val="Text1"/>
          </w:rPr>
          <w:t>“The for Statement”</w:t>
        </w:r>
      </w:hyperlink>
      <w:r>
        <w:t>. All sequences are iterable: whenever we say you can use an iterable, you can use a sequence (for example, a list).</w:t>
      </w:r>
    </w:p>
    <w:p>
      <w:pPr>
        <w:pStyle w:val="Normal"/>
      </w:pPr>
      <w:r>
        <w:t>Also, when we say that you can use an iterable we usually mean a</w:t>
      </w:r>
      <w:r>
        <w:rPr>
          <w:rStyle w:val="Text111"/>
        </w:rPr>
        <w:bookmarkStart w:id="514" w:name="idm45965282831984"/>
        <w:t/>
        <w:bookmarkEnd w:id="514"/>
      </w:r>
      <w:r>
        <w:t xml:space="preserve"> </w:t>
      </w:r>
      <w:r>
        <w:rPr>
          <w:rStyle w:val="Text4"/>
        </w:rPr>
        <w:t>bounded</w:t>
      </w:r>
      <w:r>
        <w:t xml:space="preserve"> iterable: an iterable that eventually stops yielding items. In general, sequences are bounded. Iterables can be unbounded, but if you try to use an unbounded iterable without special precautions, you could produce a program that never terminates, or one that exhausts all available memory.</w:t>
      </w:r>
    </w:p>
    <w:p>
      <w:bookmarkStart w:id="515" w:name="Strings__Python_has_two_built_in"/>
      <w:pPr>
        <w:keepNext/>
        <w:pStyle w:val="Heading 2"/>
      </w:pPr>
      <w:r>
        <w:t>Strings</w:t>
      </w:r>
      <w:bookmarkEnd w:id="515"/>
    </w:p>
    <w:p>
      <w:pPr>
        <w:pStyle w:val="Normal"/>
      </w:pPr>
      <w:r>
        <w:t>Python</w:t>
      </w:r>
      <w:r>
        <w:rPr>
          <w:rStyle w:val="Text111"/>
        </w:rPr>
        <w:bookmarkStart w:id="516" w:name="strings03"/>
        <w:t/>
        <w:bookmarkEnd w:id="516"/>
      </w:r>
      <w:r>
        <w:t xml:space="preserve"> has two built-in string types, </w:t>
      </w:r>
      <w:r>
        <w:rPr>
          <w:rStyle w:val="Text0"/>
        </w:rPr>
        <w:t>str</w:t>
      </w:r>
      <w:r>
        <w:t xml:space="preserve"> and </w:t>
      </w:r>
      <w:r>
        <w:rPr>
          <w:rStyle w:val="Text0"/>
        </w:rPr>
        <w:t>bytes</w:t>
      </w:r>
      <w:r>
        <w:t>.</w:t>
      </w:r>
      <w:hyperlink w:anchor="4_There_s_also_a_bytearray_objec">
        <w:r>
          <w:rPr>
            <w:rStyle w:val="Text41"/>
          </w:rPr>
          <w:bookmarkStart w:id="517" w:name="4_2"/>
          <w:t>4</w:t>
          <w:bookmarkEnd w:id="517"/>
        </w:r>
      </w:hyperlink>
      <w:r>
        <w:t xml:space="preserve"> A </w:t>
      </w:r>
      <w:r>
        <w:rPr>
          <w:rStyle w:val="Text0"/>
        </w:rPr>
        <w:t>str</w:t>
      </w:r>
      <w:r>
        <w:t xml:space="preserve"> object is a sequence of characters used to store and represent text-based information. A </w:t>
      </w:r>
      <w:r>
        <w:rPr>
          <w:rStyle w:val="Text0"/>
        </w:rPr>
        <w:t>bytes</w:t>
      </w:r>
      <w:r>
        <w:t xml:space="preserve"> object stores and represents arbitrary sequences of binary bytes. Strings of both types in Python are</w:t>
      </w:r>
      <w:r>
        <w:rPr>
          <w:rStyle w:val="Text111"/>
        </w:rPr>
        <w:bookmarkStart w:id="518" w:name="idm45965282819904"/>
        <w:t/>
        <w:bookmarkEnd w:id="518"/>
      </w:r>
      <w:r>
        <w:t xml:space="preserve"> </w:t>
      </w:r>
      <w:r>
        <w:rPr>
          <w:rStyle w:val="Text4"/>
        </w:rPr>
        <w:t>immutable</w:t>
      </w:r>
      <w:r>
        <w:t xml:space="preserve">: when you perform an operation on strings, you always produce a new string object of the same type, rather than mutating an existing string. String objects provide many methods, as discussed in detail in </w:t>
      </w:r>
      <w:hyperlink w:anchor="Methods_of_String_Objects__str">
        <w:r>
          <w:rPr>
            <w:rStyle w:val="Text1"/>
          </w:rPr>
          <w:t>“Methods of String Objects”</w:t>
        </w:r>
      </w:hyperlink>
      <w:r>
        <w:t>.</w:t>
      </w:r>
    </w:p>
    <w:p>
      <w:pPr>
        <w:pStyle w:val="Normal"/>
      </w:pPr>
      <w:r>
        <w:t>A</w:t>
      </w:r>
      <w:r>
        <w:rPr>
          <w:rStyle w:val="Text111"/>
        </w:rPr>
        <w:bookmarkStart w:id="519" w:name="idm45965282816688"/>
        <w:t/>
        <w:bookmarkEnd w:id="519"/>
        <w:bookmarkStart w:id="520" w:name="idm45965282815552"/>
        <w:t/>
        <w:bookmarkEnd w:id="520"/>
        <w:bookmarkStart w:id="521" w:name="idm45965282814448"/>
        <w:t/>
        <w:bookmarkEnd w:id="521"/>
        <w:bookmarkStart w:id="522" w:name="idm45965282813344"/>
        <w:t/>
        <w:bookmarkEnd w:id="522"/>
        <w:bookmarkStart w:id="523" w:name="idm45965282812240"/>
        <w:t/>
        <w:bookmarkEnd w:id="523"/>
        <w:bookmarkStart w:id="524" w:name="idm45965282810864"/>
        <w:t/>
        <w:bookmarkEnd w:id="524"/>
      </w:r>
      <w:r>
        <w:t xml:space="preserve"> string literal can be quoted or triple-quoted. A quoted string is a sequence of zero or more characters within matching quotes, single (</w:t>
      </w:r>
      <w:r>
        <w:rPr>
          <w:rStyle w:val="Text0"/>
        </w:rPr>
        <w:t>'</w:t>
      </w:r>
      <w:r>
        <w:t>) or double (</w:t>
      </w:r>
      <w:r>
        <w:rPr>
          <w:rStyle w:val="Text0"/>
        </w:rPr>
        <w:t>"</w:t>
      </w:r>
      <w:r>
        <w:t>). For example:</w:t>
      </w:r>
    </w:p>
    <w:p>
      <w:pPr>
        <w:pStyle w:val="Para 020"/>
      </w:pPr>
      <w:r>
        <w:rPr>
          <w:rStyle w:val="Text23"/>
        </w:rPr>
        <w:t xml:space="preserve"/>
        <w:br w:clear="none"/>
      </w:r>
      <w:r>
        <w:t xml:space="preserve">'This is a literal string'</w:t>
        <w:br w:clear="none"/>
      </w:r>
      <w:r>
        <w:rPr>
          <w:rStyle w:val="Text23"/>
        </w:rPr>
        <w:t xml:space="preserve"/>
        <w:br w:clear="none"/>
      </w:r>
      <w:r>
        <w:t xml:space="preserve">"This is another string"</w:t>
        <w:br w:clear="none"/>
      </w:r>
    </w:p>
    <w:p>
      <w:pPr>
        <w:pStyle w:val="Normal"/>
      </w:pPr>
      <w:r>
        <w:t>The two different kinds of quotes function identically; having both lets you include one kind of quote inside of a string specified with the other kind, with no need to escape quote characters with the</w:t>
      </w:r>
      <w:r>
        <w:rPr>
          <w:rStyle w:val="Text111"/>
        </w:rPr>
        <w:bookmarkStart w:id="525" w:name="backstringa03"/>
        <w:t/>
        <w:bookmarkEnd w:id="525"/>
        <w:bookmarkStart w:id="526" w:name="slashbackstring03"/>
        <w:t/>
        <w:bookmarkEnd w:id="526"/>
      </w:r>
      <w:r>
        <w:t xml:space="preserve"> backslash character (</w:t>
      </w:r>
      <w:r>
        <w:rPr>
          <w:rStyle w:val="Text0"/>
        </w:rPr>
        <w:t>\</w:t>
      </w:r>
      <w:r>
        <w:t>):</w:t>
      </w:r>
    </w:p>
    <w:p>
      <w:pPr>
        <w:pStyle w:val="Para 014"/>
      </w:pPr>
      <w:r>
        <w:rPr>
          <w:rStyle w:val="Text116"/>
        </w:rPr>
        <w:t xml:space="preserve"/>
        <w:br w:clear="none"/>
      </w:r>
      <w:r>
        <w:rPr>
          <w:rStyle w:val="Text17"/>
        </w:rPr>
        <w:t xml:space="preserve">'</w:t>
        <w:br w:clear="none"/>
        <w:t xml:space="preserve">I</w:t>
        <w:br w:clear="none"/>
        <w:t xml:space="preserve">\'</w:t>
        <w:br w:clear="none"/>
        <w:t xml:space="preserve">m a Python fanatic</w:t>
        <w:br w:clear="none"/>
        <w:t xml:space="preserve">'</w:t>
        <w:br w:clear="none"/>
      </w:r>
      <w:r>
        <w:rPr>
          <w:rStyle w:val="Text11"/>
        </w:rPr>
        <w:t xml:space="preserve">     </w:t>
        <w:br w:clear="none"/>
      </w:r>
      <w:r>
        <w:t xml:space="preserve"># You can escape a quote</w:t>
        <w:br w:clear="none"/>
      </w:r>
      <w:r>
        <w:rPr>
          <w:rStyle w:val="Text11"/>
        </w:rPr>
        <w:t xml:space="preserve"/>
        <w:br w:clear="none"/>
      </w:r>
      <w:r>
        <w:rPr>
          <w:rStyle w:val="Text17"/>
        </w:rPr>
        <w:t xml:space="preserve">"</w:t>
        <w:br w:clear="none"/>
        <w:t xml:space="preserve">I</w:t>
        <w:br w:clear="none"/>
        <w:t xml:space="preserve">'</w:t>
        <w:br w:clear="none"/>
        <w:t xml:space="preserve">m a Python fanatic</w:t>
        <w:br w:clear="none"/>
        <w:t xml:space="preserve">"</w:t>
        <w:br w:clear="none"/>
      </w:r>
      <w:r>
        <w:rPr>
          <w:rStyle w:val="Text11"/>
        </w:rPr>
        <w:t xml:space="preserve">      </w:t>
        <w:br w:clear="none"/>
      </w:r>
      <w:r>
        <w:t xml:space="preserve"># This way may be more readable</w:t>
        <w:br w:clear="none"/>
      </w:r>
    </w:p>
    <w:p>
      <w:pPr>
        <w:pStyle w:val="Normal"/>
      </w:pPr>
      <w:r>
        <w:t>Many (but far from all) style guides that pronounce on the subject suggest that you use single quotes when the choice is otherwise indifferent. The popular code formatter</w:t>
      </w:r>
      <w:r>
        <w:rPr>
          <w:rStyle w:val="Text111"/>
        </w:rPr>
        <w:bookmarkStart w:id="527" w:name="idm45965276780128"/>
        <w:t/>
        <w:bookmarkEnd w:id="527"/>
      </w:r>
      <w:r>
        <w:t xml:space="preserve"> </w:t>
      </w:r>
      <w:r>
        <w:rPr>
          <w:rStyle w:val="Text0"/>
        </w:rPr>
        <w:t>black</w:t>
      </w:r>
      <w:r>
        <w:t xml:space="preserve"> prefers double quotes; this choice is controversial enough to have been the main inspiration for a</w:t>
      </w:r>
      <w:r>
        <w:rPr>
          <w:rStyle w:val="Text111"/>
        </w:rPr>
        <w:bookmarkStart w:id="528" w:name="idm45965276778272"/>
        <w:t/>
        <w:bookmarkEnd w:id="528"/>
      </w:r>
      <w:r>
        <w:t xml:space="preserve"> “fork,” </w:t>
      </w:r>
      <w:r>
        <w:rPr>
          <w:rStyle w:val="Text0"/>
        </w:rPr>
        <w:t>blue</w:t>
      </w:r>
      <w:r>
        <w:t xml:space="preserve">, whose main difference from </w:t>
      </w:r>
      <w:r>
        <w:rPr>
          <w:rStyle w:val="Text0"/>
        </w:rPr>
        <w:t>black</w:t>
      </w:r>
      <w:r>
        <w:t xml:space="preserve"> is to prefer single quotes instead, as most of this book’s authors do.</w:t>
      </w:r>
    </w:p>
    <w:p>
      <w:pPr>
        <w:pStyle w:val="Normal"/>
      </w:pPr>
      <w:r>
        <w:t xml:space="preserve">To have a string literal span multiple physical lines, you can use a </w:t>
      </w:r>
      <w:r>
        <w:rPr>
          <w:rStyle w:val="Text0"/>
        </w:rPr>
        <w:t>\</w:t>
      </w:r>
      <w:r>
        <w:t xml:space="preserve"> as the last character of a line to indicate that the next line is a continuation:</w:t>
      </w:r>
    </w:p>
    <w:p>
      <w:pPr>
        <w:pStyle w:val="Para 020"/>
      </w:pPr>
      <w:r>
        <w:rPr>
          <w:rStyle w:val="Text23"/>
        </w:rPr>
        <w:t xml:space="preserve"/>
        <w:br w:clear="none"/>
      </w:r>
      <w:r>
        <w:t xml:space="preserve">'</w:t>
        <w:br w:clear="none"/>
        <w:t xml:space="preserve">A not very long string </w:t>
        <w:br w:clear="none"/>
        <w:t xml:space="preserve">\</w:t>
        <w:br w:clear="none"/>
        <w:t xml:space="preserve">that spans two lines</w:t>
        <w:br w:clear="none"/>
        <w:t xml:space="preserve">'</w:t>
        <w:br w:clear="none"/>
      </w:r>
      <w:r>
        <w:rPr>
          <w:rStyle w:val="Text6"/>
        </w:rPr>
        <w:t xml:space="preserve">       </w:t>
        <w:br w:clear="none"/>
      </w:r>
      <w:r>
        <w:rPr>
          <w:rStyle w:val="Text15"/>
        </w:rPr>
        <w:t xml:space="preserve"># Comment not allowed on previous line</w:t>
        <w:br w:clear="none"/>
      </w:r>
    </w:p>
    <w:p>
      <w:pPr>
        <w:pStyle w:val="Normal"/>
      </w:pPr>
      <w:r>
        <w:t>You can also embed a newline in the string to make it contain two lines rather than just one:</w:t>
      </w:r>
    </w:p>
    <w:p>
      <w:pPr>
        <w:pStyle w:val="Para 020"/>
      </w:pPr>
      <w:r>
        <w:rPr>
          <w:rStyle w:val="Text23"/>
        </w:rPr>
        <w:t xml:space="preserve"/>
        <w:br w:clear="none"/>
      </w:r>
      <w:r>
        <w:t xml:space="preserve">'</w:t>
        <w:br w:clear="none"/>
        <w:t xml:space="preserve">A not very long string</w:t>
        <w:br w:clear="none"/>
        <w:t xml:space="preserve">\n</w:t>
        <w:br w:clear="none"/>
        <w:t xml:space="preserve">\</w:t>
        <w:br w:clear="none"/>
        <w:t xml:space="preserve">that prints on two lines</w:t>
        <w:br w:clear="none"/>
        <w:t xml:space="preserve">'</w:t>
        <w:br w:clear="none"/>
      </w:r>
      <w:r>
        <w:rPr>
          <w:rStyle w:val="Text6"/>
        </w:rPr>
        <w:t xml:space="preserve">   </w:t>
        <w:br w:clear="none"/>
      </w:r>
      <w:r>
        <w:rPr>
          <w:rStyle w:val="Text15"/>
        </w:rPr>
        <w:t xml:space="preserve"># Comment not allowed on previous line</w:t>
        <w:br w:clear="none"/>
      </w:r>
    </w:p>
    <w:p>
      <w:pPr>
        <w:pStyle w:val="Normal"/>
      </w:pPr>
      <w:r>
        <w:t>A better approach, however, is to use a</w:t>
      </w:r>
      <w:r>
        <w:rPr>
          <w:rStyle w:val="Text111"/>
        </w:rPr>
        <w:bookmarkStart w:id="529" w:name="idm45965276716400"/>
        <w:t/>
        <w:bookmarkEnd w:id="529"/>
        <w:bookmarkStart w:id="530" w:name="idm45965276715536"/>
        <w:t/>
        <w:bookmarkEnd w:id="530"/>
        <w:bookmarkStart w:id="531" w:name="idm45965276714464"/>
        <w:t/>
        <w:bookmarkEnd w:id="531"/>
        <w:bookmarkStart w:id="532" w:name="idm45965276713072"/>
        <w:t/>
        <w:bookmarkEnd w:id="532"/>
        <w:bookmarkStart w:id="533" w:name="idm45965276711952"/>
        <w:t/>
        <w:bookmarkEnd w:id="533"/>
        <w:bookmarkStart w:id="534" w:name="idm45965276710832"/>
        <w:t/>
        <w:bookmarkEnd w:id="534"/>
      </w:r>
      <w:r>
        <w:t xml:space="preserve"> triple-quoted string, enclosed by matching triplets of quote characters (</w:t>
      </w:r>
      <w:r>
        <w:rPr>
          <w:rStyle w:val="Text0"/>
        </w:rPr>
        <w:t>'''</w:t>
      </w:r>
      <w:r>
        <w:t xml:space="preserve">, or better, as mandated by </w:t>
      </w:r>
      <w:hyperlink r:id="rId211">
        <w:r>
          <w:rPr>
            <w:rStyle w:val="Text1"/>
          </w:rPr>
          <w:t>PEP 8</w:t>
        </w:r>
      </w:hyperlink>
      <w:r>
        <w:t xml:space="preserve">, </w:t>
      </w:r>
      <w:r>
        <w:rPr>
          <w:rStyle w:val="Text0"/>
        </w:rPr>
        <w:t>"</w:t>
        <w:t>"</w:t>
        <w:t>"</w:t>
      </w:r>
      <w:r>
        <w:t>). In a triple-quoted string literal, line breaks in the literal remain as newline characters in the resulting string object:</w:t>
      </w:r>
    </w:p>
    <w:p>
      <w:pPr>
        <w:pStyle w:val="Para 043"/>
      </w:pPr>
      <w:r>
        <w:rPr>
          <w:rStyle w:val="Text116"/>
        </w:rPr>
        <w:t xml:space="preserve"/>
        <w:br w:clear="none"/>
      </w:r>
      <w:r>
        <w:t xml:space="preserve">"""</w:t>
        <w:br w:clear="none"/>
        <w:t xml:space="preserve">An even bigger</w:t>
        <w:br w:clear="none"/>
      </w:r>
      <w:r>
        <w:rPr>
          <w:rStyle w:val="Text4"/>
        </w:rPr>
        <w:t xml:space="preserve"/>
        <w:br w:clear="none"/>
      </w:r>
      <w:r>
        <w:t xml:space="preserve">string that spans</w:t>
        <w:br w:clear="none"/>
        <w:t xml:space="preserve">three lines"""</w:t>
        <w:br w:clear="none"/>
      </w:r>
      <w:r>
        <w:rPr>
          <w:rStyle w:val="Text11"/>
        </w:rPr>
        <w:t xml:space="preserve">              </w:t>
        <w:br w:clear="none"/>
      </w:r>
      <w:r>
        <w:rPr>
          <w:rStyle w:val="Text26"/>
        </w:rPr>
        <w:t xml:space="preserve"># Comments not allowed on previous lines</w:t>
        <w:br w:clear="none"/>
      </w:r>
    </w:p>
    <w:p>
      <w:pPr>
        <w:pStyle w:val="Normal"/>
      </w:pPr>
      <w:r>
        <w:t>You can start a triple-quoted literal with an escaped newline, to avoid having the first line of the literal string’s content at a different indentation level from the rest. For example:</w:t>
      </w:r>
    </w:p>
    <w:p>
      <w:pPr>
        <w:pStyle w:val="Para 014"/>
      </w:pPr>
      <w:r>
        <w:rPr>
          <w:rStyle w:val="Text116"/>
        </w:rPr>
        <w:t xml:space="preserve"/>
        <w:br w:clear="none"/>
      </w:r>
      <w:r>
        <w:rPr>
          <w:rStyle w:val="Text14"/>
        </w:rPr>
        <w:t xml:space="preserve">the_text</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w:t>
        <w:br w:clear="none"/>
        <w:t xml:space="preserve">First line</w:t>
        <w:br w:clear="none"/>
        <w:t xml:space="preserve"/>
        <w:br w:clear="none"/>
        <w:t xml:space="preserve">Second line</w:t>
        <w:br w:clear="none"/>
        <w:t xml:space="preserve"/>
        <w:br w:clear="none"/>
        <w:t xml:space="preserve">"""</w:t>
        <w:br w:clear="none"/>
      </w:r>
      <w:r>
        <w:rPr>
          <w:rStyle w:val="Text11"/>
        </w:rPr>
        <w:t xml:space="preserve">      </w:t>
        <w:br w:clear="none"/>
      </w:r>
      <w:r>
        <w:t xml:space="preserve"># The same as "First line\nSecond line\n" but more readable</w:t>
        <w:br w:clear="none"/>
      </w:r>
    </w:p>
    <w:p>
      <w:pPr>
        <w:pStyle w:val="Normal"/>
      </w:pPr>
      <w:r>
        <w:t>The only character that cannot be part of a triple-quoted string literal is an unescaped backslash, while a single-quoted string literal cannot contain unescaped backslashes, nor line ends, nor the quote character that encloses it. The backslash character starts an</w:t>
      </w:r>
      <w:r>
        <w:rPr>
          <w:rStyle w:val="Text111"/>
        </w:rPr>
        <w:bookmarkStart w:id="535" w:name="idm45965276672128"/>
        <w:t/>
        <w:bookmarkEnd w:id="535"/>
      </w:r>
      <w:r>
        <w:t xml:space="preserve"> </w:t>
      </w:r>
      <w:r>
        <w:rPr>
          <w:rStyle w:val="Text4"/>
        </w:rPr>
        <w:t>escape sequence</w:t>
      </w:r>
      <w:r>
        <w:t xml:space="preserve">, which lets you introduce any character in either kind of string literal. See </w:t>
      </w:r>
      <w:hyperlink w:anchor="Table_3_3__String_escape_sequenc">
        <w:r>
          <w:rPr>
            <w:rStyle w:val="Text1"/>
          </w:rPr>
          <w:t>Table 3-3</w:t>
        </w:r>
      </w:hyperlink>
      <w:r>
        <w:t xml:space="preserve"> for a list of all of Python’s</w:t>
      </w:r>
      <w:r>
        <w:rPr>
          <w:rStyle w:val="Text111"/>
        </w:rPr>
        <w:bookmarkStart w:id="536" w:name="idm45965276669312"/>
        <w:t/>
        <w:bookmarkEnd w:id="536"/>
        <w:bookmarkStart w:id="537" w:name="idm45965276668176"/>
        <w:t/>
        <w:bookmarkEnd w:id="537"/>
        <w:bookmarkStart w:id="538" w:name="idm45965276667056"/>
        <w:t/>
        <w:bookmarkEnd w:id="538"/>
        <w:bookmarkStart w:id="539" w:name="idm45965276665952"/>
        <w:t/>
        <w:bookmarkEnd w:id="539"/>
        <w:bookmarkStart w:id="540" w:name="idm45965276664848"/>
        <w:t/>
        <w:bookmarkEnd w:id="540"/>
        <w:bookmarkStart w:id="541" w:name="idm45965276658096"/>
        <w:t/>
        <w:bookmarkEnd w:id="541"/>
        <w:bookmarkStart w:id="542" w:name="idm45965276656704"/>
        <w:t/>
        <w:bookmarkEnd w:id="542"/>
        <w:bookmarkStart w:id="543" w:name="idm45965276655584"/>
        <w:t/>
        <w:bookmarkEnd w:id="543"/>
        <w:bookmarkStart w:id="544" w:name="idm45965276654208"/>
        <w:t/>
        <w:bookmarkEnd w:id="544"/>
        <w:bookmarkStart w:id="545" w:name="idm45965276653088"/>
        <w:t/>
        <w:bookmarkEnd w:id="545"/>
        <w:bookmarkStart w:id="546" w:name="idm45965276651968"/>
        <w:t/>
        <w:bookmarkEnd w:id="546"/>
        <w:bookmarkStart w:id="547" w:name="idm45965276650864"/>
        <w:t/>
        <w:bookmarkEnd w:id="547"/>
        <w:bookmarkStart w:id="548" w:name="idm45965276649760"/>
        <w:t/>
        <w:bookmarkEnd w:id="548"/>
        <w:bookmarkStart w:id="549" w:name="idm45965279010752"/>
        <w:t/>
        <w:bookmarkEnd w:id="549"/>
        <w:bookmarkStart w:id="550" w:name="idm45965279009648"/>
        <w:t/>
        <w:bookmarkEnd w:id="550"/>
        <w:bookmarkStart w:id="551" w:name="idm45965279008544"/>
        <w:t/>
        <w:bookmarkEnd w:id="551"/>
        <w:bookmarkStart w:id="552" w:name="idm45965279007440"/>
        <w:t/>
        <w:bookmarkEnd w:id="552"/>
        <w:bookmarkStart w:id="553" w:name="idm45965279006336"/>
        <w:t/>
        <w:bookmarkEnd w:id="553"/>
        <w:bookmarkStart w:id="554" w:name="idm45965279005232"/>
        <w:t/>
        <w:bookmarkEnd w:id="554"/>
        <w:bookmarkStart w:id="555" w:name="idm45965279004128"/>
        <w:t/>
        <w:bookmarkEnd w:id="555"/>
        <w:bookmarkStart w:id="556" w:name="idm45965279003024"/>
        <w:t/>
        <w:bookmarkEnd w:id="556"/>
        <w:bookmarkStart w:id="557" w:name="idm45965279001920"/>
        <w:t/>
        <w:bookmarkEnd w:id="557"/>
        <w:bookmarkStart w:id="558" w:name="idm45965279000816"/>
        <w:t/>
        <w:bookmarkEnd w:id="558"/>
        <w:bookmarkStart w:id="559" w:name="idm45965278999712"/>
        <w:t/>
        <w:bookmarkEnd w:id="559"/>
        <w:bookmarkStart w:id="560" w:name="idm45965278998608"/>
        <w:t/>
        <w:bookmarkEnd w:id="560"/>
        <w:bookmarkStart w:id="561" w:name="idm45965278997536"/>
        <w:t/>
        <w:bookmarkEnd w:id="561"/>
        <w:bookmarkStart w:id="562" w:name="idm45965278996464"/>
        <w:t/>
        <w:bookmarkEnd w:id="562"/>
        <w:bookmarkStart w:id="563" w:name="idm45965278995088"/>
        <w:t/>
        <w:bookmarkEnd w:id="563"/>
        <w:bookmarkStart w:id="564" w:name="idm45965278993968"/>
        <w:t/>
        <w:bookmarkEnd w:id="564"/>
        <w:bookmarkStart w:id="565" w:name="idm45965278992848"/>
        <w:t/>
        <w:bookmarkEnd w:id="565"/>
      </w:r>
      <w:r>
        <w:t xml:space="preserve"> string escape </w:t>
        <w:t>sequences</w:t>
        <w:t>.</w:t>
      </w:r>
    </w:p>
    <w:tbl>
      <w:tblPr>
        <w:tblW w:type="auto" w:w="0"/>
      </w:tblPr>
      <w:tr>
        <w:tc>
          <w:tcPr>
            <w:tcW w:type="auto" w:w="0"/>
            <w:tcMar>
              <w:left w:type="dxa" w:w="200"/>
              <w:top w:type="dxa" w:w="200"/>
              <w:right w:type="dxa" w:w="200"/>
              <w:bottom w:type="dxa" w:w="200"/>
            </w:tcMar>
            <w:vAlign w:val="center"/>
          </w:tcPr>
          <w:p>
            <w:bookmarkStart w:id="566" w:name="Table_3_3__String_escape_sequenc"/>
            <w:pPr>
              <w:pStyle w:val="Para 011"/>
            </w:pPr>
            <w:r>
              <w:rPr>
                <w:rStyle w:val="Text117"/>
              </w:rPr>
              <w:t/>
            </w:r>
            <w:r>
              <w:t xml:space="preserve">Table 3-3. </w:t>
              <w:t>String escape sequences</w:t>
            </w:r>
            <w:bookmarkEnd w:id="566"/>
          </w:p>
          <w:p>
            <w:pPr>
              <w:pStyle w:val="Para 013"/>
            </w:pPr>
            <w:r>
              <w:t>Sequence</w:t>
            </w:r>
          </w:p>
        </w:tc>
        <w:tc>
          <w:tcPr>
            <w:tcW w:type="auto" w:w="0"/>
            <w:tcMar>
              <w:left w:type="dxa" w:w="200"/>
              <w:top w:type="dxa" w:w="200"/>
              <w:right w:type="dxa" w:w="200"/>
              <w:bottom w:type="dxa" w:w="200"/>
            </w:tcMar>
            <w:vAlign w:val="center"/>
          </w:tcPr>
          <w:p>
            <w:pPr>
              <w:pStyle w:val="Para 013"/>
            </w:pPr>
            <w:r>
              <w:t>Meaning</w:t>
            </w:r>
          </w:p>
        </w:tc>
        <w:tc>
          <w:tcPr>
            <w:tcW w:type="auto" w:w="0"/>
            <w:tcMar>
              <w:left w:type="dxa" w:w="200"/>
              <w:top w:type="dxa" w:w="200"/>
              <w:right w:type="dxa" w:w="200"/>
              <w:bottom w:type="dxa" w:w="200"/>
            </w:tcMar>
            <w:vAlign w:val="center"/>
          </w:tcPr>
          <w:p>
            <w:pPr>
              <w:pStyle w:val="Para 013"/>
            </w:pPr>
            <w:r>
              <w:t>ASCII / ISO code</w:t>
            </w:r>
          </w:p>
        </w:tc>
      </w:tr>
    </w:tbl>
    <w:tbl>
      <w:tblPr>
        <w:tblW w:type="auto" w:w="0"/>
      </w:tblPr>
      <w:tr>
        <w:tc>
          <w:tcPr>
            <w:tcW w:type="auto" w:w="0"/>
            <w:tcMar>
              <w:left w:type="dxa" w:w="200"/>
              <w:top w:type="dxa" w:w="200"/>
              <w:right w:type="dxa" w:w="200"/>
              <w:bottom w:type="dxa" w:w="200"/>
            </w:tcMar>
          </w:tcPr>
          <w:p>
            <w:pPr>
              <w:pStyle w:val="Para 026"/>
            </w:pPr>
            <w:r>
              <w:rPr>
                <w:rStyle w:val="Text50"/>
              </w:rPr>
              <w:t>\</w:t>
            </w:r>
            <w:r>
              <w:t>&lt;newline&gt;</w:t>
            </w:r>
          </w:p>
        </w:tc>
        <w:tc>
          <w:tcPr>
            <w:tcW w:type="auto" w:w="0"/>
            <w:tcMar>
              <w:left w:type="dxa" w:w="200"/>
              <w:top w:type="dxa" w:w="200"/>
              <w:right w:type="dxa" w:w="200"/>
              <w:bottom w:type="dxa" w:w="200"/>
            </w:tcMar>
          </w:tcPr>
          <w:p>
            <w:pPr>
              <w:pStyle w:val="Para 002"/>
            </w:pPr>
            <w:r>
              <w:t>Ignore end of line</w:t>
            </w:r>
          </w:p>
        </w:tc>
        <w:tc>
          <w:tcPr>
            <w:tcW w:type="auto" w:w="0"/>
            <w:tcMar>
              <w:left w:type="dxa" w:w="200"/>
              <w:top w:type="dxa" w:w="200"/>
              <w:right w:type="dxa" w:w="200"/>
              <w:bottom w:type="dxa" w:w="200"/>
            </w:tcMar>
          </w:tcPr>
          <w:p>
            <w:pPr>
              <w:pStyle w:val="Para 0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Backslash</w:t>
            </w:r>
          </w:p>
        </w:tc>
        <w:tc>
          <w:tcPr>
            <w:tcW w:type="auto" w:w="0"/>
            <w:shd w:val="clear" w:color="auto" w:fill="EEF2F6"/>
            <w:tcMar>
              <w:left w:type="dxa" w:w="200"/>
              <w:top w:type="dxa" w:w="200"/>
              <w:right w:type="dxa" w:w="200"/>
              <w:bottom w:type="dxa" w:w="200"/>
            </w:tcMar>
          </w:tcPr>
          <w:p>
            <w:pPr>
              <w:pStyle w:val="Para 001"/>
            </w:pPr>
            <w:r>
              <w:t>0x5c</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Single quote</w:t>
            </w:r>
          </w:p>
        </w:tc>
        <w:tc>
          <w:tcPr>
            <w:tcW w:type="auto" w:w="0"/>
            <w:tcMar>
              <w:left w:type="dxa" w:w="200"/>
              <w:top w:type="dxa" w:w="200"/>
              <w:right w:type="dxa" w:w="200"/>
              <w:bottom w:type="dxa" w:w="200"/>
            </w:tcMar>
          </w:tcPr>
          <w:p>
            <w:pPr>
              <w:pStyle w:val="Para 001"/>
            </w:pPr>
            <w:r>
              <w:t>0x27</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Double quote</w:t>
            </w:r>
          </w:p>
        </w:tc>
        <w:tc>
          <w:tcPr>
            <w:tcW w:type="auto" w:w="0"/>
            <w:shd w:val="clear" w:color="auto" w:fill="EEF2F6"/>
            <w:tcMar>
              <w:left w:type="dxa" w:w="200"/>
              <w:top w:type="dxa" w:w="200"/>
              <w:right w:type="dxa" w:w="200"/>
              <w:bottom w:type="dxa" w:w="200"/>
            </w:tcMar>
          </w:tcPr>
          <w:p>
            <w:pPr>
              <w:pStyle w:val="Para 001"/>
            </w:pPr>
            <w:r>
              <w:t>0x22</w:t>
            </w:r>
          </w:p>
        </w:tc>
      </w:tr>
    </w:tbl>
    <w:tbl>
      <w:tblPr>
        <w:tblW w:type="auto" w:w="0"/>
      </w:tblPr>
      <w:tr>
        <w:tc>
          <w:tcPr>
            <w:tcW w:type="auto" w:w="0"/>
            <w:tcMar>
              <w:left w:type="dxa" w:w="200"/>
              <w:top w:type="dxa" w:w="200"/>
              <w:right w:type="dxa" w:w="200"/>
              <w:bottom w:type="dxa" w:w="200"/>
            </w:tcMar>
          </w:tcPr>
          <w:p>
            <w:pPr>
              <w:pStyle w:val="Para 001"/>
            </w:pPr>
            <w:r>
              <w:t>\a</w:t>
            </w:r>
          </w:p>
        </w:tc>
        <w:tc>
          <w:tcPr>
            <w:tcW w:type="auto" w:w="0"/>
            <w:tcMar>
              <w:left w:type="dxa" w:w="200"/>
              <w:top w:type="dxa" w:w="200"/>
              <w:right w:type="dxa" w:w="200"/>
              <w:bottom w:type="dxa" w:w="200"/>
            </w:tcMar>
          </w:tcPr>
          <w:p>
            <w:pPr>
              <w:pStyle w:val="Para 002"/>
            </w:pPr>
            <w:r>
              <w:t>Bell</w:t>
            </w:r>
          </w:p>
        </w:tc>
        <w:tc>
          <w:tcPr>
            <w:tcW w:type="auto" w:w="0"/>
            <w:tcMar>
              <w:left w:type="dxa" w:w="200"/>
              <w:top w:type="dxa" w:w="200"/>
              <w:right w:type="dxa" w:w="200"/>
              <w:bottom w:type="dxa" w:w="200"/>
            </w:tcMar>
          </w:tcPr>
          <w:p>
            <w:pPr>
              <w:pStyle w:val="Para 001"/>
            </w:pPr>
            <w:r>
              <w:t>0x07</w:t>
            </w:r>
          </w:p>
        </w:tc>
      </w:tr>
    </w:tbl>
    <w:tbl>
      <w:tblPr>
        <w:tblW w:type="auto" w:w="0"/>
      </w:tblPr>
      <w:tr>
        <w:tc>
          <w:tcPr>
            <w:tcW w:type="auto" w:w="0"/>
            <w:shd w:val="clear" w:color="auto" w:fill="EEF2F6"/>
            <w:tcMar>
              <w:left w:type="dxa" w:w="200"/>
              <w:top w:type="dxa" w:w="200"/>
              <w:right w:type="dxa" w:w="200"/>
              <w:bottom w:type="dxa" w:w="200"/>
            </w:tcMar>
          </w:tcPr>
          <w:p>
            <w:pPr>
              <w:pStyle w:val="Para 001"/>
            </w:pPr>
            <w:r>
              <w:t>\b</w:t>
            </w:r>
          </w:p>
        </w:tc>
        <w:tc>
          <w:tcPr>
            <w:tcW w:type="auto" w:w="0"/>
            <w:shd w:val="clear" w:color="auto" w:fill="EEF2F6"/>
            <w:tcMar>
              <w:left w:type="dxa" w:w="200"/>
              <w:top w:type="dxa" w:w="200"/>
              <w:right w:type="dxa" w:w="200"/>
              <w:bottom w:type="dxa" w:w="200"/>
            </w:tcMar>
          </w:tcPr>
          <w:p>
            <w:pPr>
              <w:pStyle w:val="Para 002"/>
            </w:pPr>
            <w:r>
              <w:t>Backspace</w:t>
            </w:r>
          </w:p>
        </w:tc>
        <w:tc>
          <w:tcPr>
            <w:tcW w:type="auto" w:w="0"/>
            <w:shd w:val="clear" w:color="auto" w:fill="EEF2F6"/>
            <w:tcMar>
              <w:left w:type="dxa" w:w="200"/>
              <w:top w:type="dxa" w:w="200"/>
              <w:right w:type="dxa" w:w="200"/>
              <w:bottom w:type="dxa" w:w="200"/>
            </w:tcMar>
          </w:tcPr>
          <w:p>
            <w:pPr>
              <w:pStyle w:val="Para 001"/>
            </w:pPr>
            <w:r>
              <w:t>0x08</w:t>
            </w:r>
          </w:p>
        </w:tc>
      </w:tr>
    </w:tbl>
    <w:tbl>
      <w:tblPr>
        <w:tblW w:type="auto" w:w="0"/>
      </w:tblPr>
      <w:tr>
        <w:tc>
          <w:tcPr>
            <w:tcW w:type="auto" w:w="0"/>
            <w:tcMar>
              <w:left w:type="dxa" w:w="200"/>
              <w:top w:type="dxa" w:w="200"/>
              <w:right w:type="dxa" w:w="200"/>
              <w:bottom w:type="dxa" w:w="200"/>
            </w:tcMar>
          </w:tcPr>
          <w:p>
            <w:pPr>
              <w:pStyle w:val="Para 001"/>
            </w:pPr>
            <w:r>
              <w:t>\f</w:t>
            </w:r>
          </w:p>
        </w:tc>
        <w:tc>
          <w:tcPr>
            <w:tcW w:type="auto" w:w="0"/>
            <w:tcMar>
              <w:left w:type="dxa" w:w="200"/>
              <w:top w:type="dxa" w:w="200"/>
              <w:right w:type="dxa" w:w="200"/>
              <w:bottom w:type="dxa" w:w="200"/>
            </w:tcMar>
          </w:tcPr>
          <w:p>
            <w:pPr>
              <w:pStyle w:val="Para 002"/>
            </w:pPr>
            <w:r>
              <w:t>Form feed</w:t>
            </w:r>
          </w:p>
        </w:tc>
        <w:tc>
          <w:tcPr>
            <w:tcW w:type="auto" w:w="0"/>
            <w:tcMar>
              <w:left w:type="dxa" w:w="200"/>
              <w:top w:type="dxa" w:w="200"/>
              <w:right w:type="dxa" w:w="200"/>
              <w:bottom w:type="dxa" w:w="200"/>
            </w:tcMar>
          </w:tcPr>
          <w:p>
            <w:pPr>
              <w:pStyle w:val="Para 001"/>
            </w:pPr>
            <w:r>
              <w:t>0x0c</w:t>
            </w:r>
          </w:p>
        </w:tc>
      </w:tr>
    </w:tbl>
    <w:tbl>
      <w:tblPr>
        <w:tblW w:type="auto" w:w="0"/>
      </w:tblPr>
      <w:tr>
        <w:tc>
          <w:tcPr>
            <w:tcW w:type="auto" w:w="0"/>
            <w:shd w:val="clear" w:color="auto" w:fill="EEF2F6"/>
            <w:tcMar>
              <w:left w:type="dxa" w:w="200"/>
              <w:top w:type="dxa" w:w="200"/>
              <w:right w:type="dxa" w:w="200"/>
              <w:bottom w:type="dxa" w:w="200"/>
            </w:tcMar>
          </w:tcPr>
          <w:p>
            <w:pPr>
              <w:pStyle w:val="Para 001"/>
            </w:pPr>
            <w:r>
              <w:t>\n</w:t>
            </w:r>
          </w:p>
        </w:tc>
        <w:tc>
          <w:tcPr>
            <w:tcW w:type="auto" w:w="0"/>
            <w:shd w:val="clear" w:color="auto" w:fill="EEF2F6"/>
            <w:tcMar>
              <w:left w:type="dxa" w:w="200"/>
              <w:top w:type="dxa" w:w="200"/>
              <w:right w:type="dxa" w:w="200"/>
              <w:bottom w:type="dxa" w:w="200"/>
            </w:tcMar>
          </w:tcPr>
          <w:p>
            <w:pPr>
              <w:pStyle w:val="Para 002"/>
            </w:pPr>
            <w:r>
              <w:t>Newline</w:t>
            </w:r>
          </w:p>
        </w:tc>
        <w:tc>
          <w:tcPr>
            <w:tcW w:type="auto" w:w="0"/>
            <w:shd w:val="clear" w:color="auto" w:fill="EEF2F6"/>
            <w:tcMar>
              <w:left w:type="dxa" w:w="200"/>
              <w:top w:type="dxa" w:w="200"/>
              <w:right w:type="dxa" w:w="200"/>
              <w:bottom w:type="dxa" w:w="200"/>
            </w:tcMar>
          </w:tcPr>
          <w:p>
            <w:pPr>
              <w:pStyle w:val="Para 001"/>
            </w:pPr>
            <w:r>
              <w:t>0x0a</w:t>
            </w:r>
          </w:p>
        </w:tc>
      </w:tr>
    </w:tbl>
    <w:tbl>
      <w:tblPr>
        <w:tblW w:type="auto" w:w="0"/>
      </w:tblPr>
      <w:tr>
        <w:tc>
          <w:tcPr>
            <w:tcW w:type="auto" w:w="0"/>
            <w:tcMar>
              <w:left w:type="dxa" w:w="200"/>
              <w:top w:type="dxa" w:w="200"/>
              <w:right w:type="dxa" w:w="200"/>
              <w:bottom w:type="dxa" w:w="200"/>
            </w:tcMar>
          </w:tcPr>
          <w:p>
            <w:pPr>
              <w:pStyle w:val="Para 001"/>
            </w:pPr>
            <w:r>
              <w:t>\r</w:t>
            </w:r>
          </w:p>
        </w:tc>
        <w:tc>
          <w:tcPr>
            <w:tcW w:type="auto" w:w="0"/>
            <w:tcMar>
              <w:left w:type="dxa" w:w="200"/>
              <w:top w:type="dxa" w:w="200"/>
              <w:right w:type="dxa" w:w="200"/>
              <w:bottom w:type="dxa" w:w="200"/>
            </w:tcMar>
          </w:tcPr>
          <w:p>
            <w:pPr>
              <w:pStyle w:val="Para 002"/>
            </w:pPr>
            <w:r>
              <w:t>Carriage return</w:t>
            </w:r>
          </w:p>
        </w:tc>
        <w:tc>
          <w:tcPr>
            <w:tcW w:type="auto" w:w="0"/>
            <w:tcMar>
              <w:left w:type="dxa" w:w="200"/>
              <w:top w:type="dxa" w:w="200"/>
              <w:right w:type="dxa" w:w="200"/>
              <w:bottom w:type="dxa" w:w="200"/>
            </w:tcMar>
          </w:tcPr>
          <w:p>
            <w:pPr>
              <w:pStyle w:val="Para 001"/>
            </w:pPr>
            <w:r>
              <w:t>0x0d</w:t>
            </w:r>
          </w:p>
        </w:tc>
      </w:tr>
    </w:tbl>
    <w:tbl>
      <w:tblPr>
        <w:tblW w:type="auto" w:w="0"/>
      </w:tblPr>
      <w:tr>
        <w:tc>
          <w:tcPr>
            <w:tcW w:type="auto" w:w="0"/>
            <w:shd w:val="clear" w:color="auto" w:fill="EEF2F6"/>
            <w:tcMar>
              <w:left w:type="dxa" w:w="200"/>
              <w:top w:type="dxa" w:w="200"/>
              <w:right w:type="dxa" w:w="200"/>
              <w:bottom w:type="dxa" w:w="200"/>
            </w:tcMar>
          </w:tcPr>
          <w:p>
            <w:pPr>
              <w:pStyle w:val="Para 001"/>
            </w:pPr>
            <w:r>
              <w:t>\t</w:t>
            </w:r>
          </w:p>
        </w:tc>
        <w:tc>
          <w:tcPr>
            <w:tcW w:type="auto" w:w="0"/>
            <w:shd w:val="clear" w:color="auto" w:fill="EEF2F6"/>
            <w:tcMar>
              <w:left w:type="dxa" w:w="200"/>
              <w:top w:type="dxa" w:w="200"/>
              <w:right w:type="dxa" w:w="200"/>
              <w:bottom w:type="dxa" w:w="200"/>
            </w:tcMar>
          </w:tcPr>
          <w:p>
            <w:pPr>
              <w:pStyle w:val="Para 002"/>
            </w:pPr>
            <w:r>
              <w:t>Tab</w:t>
            </w:r>
          </w:p>
        </w:tc>
        <w:tc>
          <w:tcPr>
            <w:tcW w:type="auto" w:w="0"/>
            <w:shd w:val="clear" w:color="auto" w:fill="EEF2F6"/>
            <w:tcMar>
              <w:left w:type="dxa" w:w="200"/>
              <w:top w:type="dxa" w:w="200"/>
              <w:right w:type="dxa" w:w="200"/>
              <w:bottom w:type="dxa" w:w="200"/>
            </w:tcMar>
          </w:tcPr>
          <w:p>
            <w:pPr>
              <w:pStyle w:val="Para 001"/>
            </w:pPr>
            <w:r>
              <w:t>0x09</w:t>
            </w:r>
          </w:p>
        </w:tc>
      </w:tr>
    </w:tbl>
    <w:tbl>
      <w:tblPr>
        <w:tblW w:type="auto" w:w="0"/>
      </w:tblPr>
      <w:tr>
        <w:tc>
          <w:tcPr>
            <w:tcW w:type="auto" w:w="0"/>
            <w:tcMar>
              <w:left w:type="dxa" w:w="200"/>
              <w:top w:type="dxa" w:w="200"/>
              <w:right w:type="dxa" w:w="200"/>
              <w:bottom w:type="dxa" w:w="200"/>
            </w:tcMar>
          </w:tcPr>
          <w:p>
            <w:pPr>
              <w:pStyle w:val="Para 001"/>
            </w:pPr>
            <w:r>
              <w:t>\v</w:t>
            </w:r>
          </w:p>
        </w:tc>
        <w:tc>
          <w:tcPr>
            <w:tcW w:type="auto" w:w="0"/>
            <w:tcMar>
              <w:left w:type="dxa" w:w="200"/>
              <w:top w:type="dxa" w:w="200"/>
              <w:right w:type="dxa" w:w="200"/>
              <w:bottom w:type="dxa" w:w="200"/>
            </w:tcMar>
          </w:tcPr>
          <w:p>
            <w:pPr>
              <w:pStyle w:val="Para 002"/>
            </w:pPr>
            <w:r>
              <w:t>Vertical tab</w:t>
            </w:r>
          </w:p>
        </w:tc>
        <w:tc>
          <w:tcPr>
            <w:tcW w:type="auto" w:w="0"/>
            <w:tcMar>
              <w:left w:type="dxa" w:w="200"/>
              <w:top w:type="dxa" w:w="200"/>
              <w:right w:type="dxa" w:w="200"/>
              <w:bottom w:type="dxa" w:w="200"/>
            </w:tcMar>
          </w:tcPr>
          <w:p>
            <w:pPr>
              <w:pStyle w:val="Para 001"/>
            </w:pPr>
            <w:r>
              <w:t>0x0b</w:t>
            </w:r>
          </w:p>
        </w:tc>
      </w:tr>
    </w:tbl>
    <w:tbl>
      <w:tblPr>
        <w:tblW w:type="auto" w:w="0"/>
      </w:tblPr>
      <w:tr>
        <w:tc>
          <w:tcPr>
            <w:tcW w:type="auto" w:w="0"/>
            <w:shd w:val="clear" w:color="auto" w:fill="EEF2F6"/>
            <w:tcMar>
              <w:left w:type="dxa" w:w="200"/>
              <w:top w:type="dxa" w:w="200"/>
              <w:right w:type="dxa" w:w="200"/>
              <w:bottom w:type="dxa" w:w="200"/>
            </w:tcMar>
          </w:tcPr>
          <w:p>
            <w:pPr>
              <w:pStyle w:val="Para 026"/>
            </w:pPr>
            <w:r>
              <w:rPr>
                <w:rStyle w:val="Text50"/>
              </w:rPr>
              <w:t>\</w:t>
            </w:r>
            <w:r>
              <w:rPr>
                <w:rStyle w:val="Text47"/>
              </w:rPr>
              <w:t xml:space="preserve"> </w:t>
            </w:r>
            <w:r>
              <w:t>DDD</w:t>
            </w:r>
          </w:p>
        </w:tc>
        <w:tc>
          <w:tcPr>
            <w:tcW w:type="auto" w:w="0"/>
            <w:shd w:val="clear" w:color="auto" w:fill="EEF2F6"/>
            <w:tcMar>
              <w:left w:type="dxa" w:w="200"/>
              <w:top w:type="dxa" w:w="200"/>
              <w:right w:type="dxa" w:w="200"/>
              <w:bottom w:type="dxa" w:w="200"/>
            </w:tcMar>
          </w:tcPr>
          <w:p>
            <w:pPr>
              <w:pStyle w:val="Para 002"/>
            </w:pPr>
            <w:r>
              <w:t xml:space="preserve">Octal value </w:t>
            </w:r>
            <w:r>
              <w:rPr>
                <w:rStyle w:val="Text3"/>
              </w:rPr>
              <w:t>DDD</w:t>
            </w:r>
          </w:p>
        </w:tc>
        <w:tc>
          <w:tcPr>
            <w:tcW w:type="auto" w:w="0"/>
            <w:shd w:val="clear" w:color="auto" w:fill="EEF2F6"/>
            <w:tcMar>
              <w:left w:type="dxa" w:w="200"/>
              <w:top w:type="dxa" w:w="200"/>
              <w:right w:type="dxa" w:w="200"/>
              <w:bottom w:type="dxa" w:w="200"/>
            </w:tcMar>
          </w:tcPr>
          <w:p>
            <w:pPr>
              <w:pStyle w:val="Para 002"/>
            </w:pPr>
            <w:r>
              <w:t>As given</w:t>
            </w:r>
          </w:p>
        </w:tc>
      </w:tr>
    </w:tbl>
    <w:tbl>
      <w:tblPr>
        <w:tblW w:type="auto" w:w="0"/>
      </w:tblPr>
      <w:tr>
        <w:tc>
          <w:tcPr>
            <w:tcW w:type="auto" w:w="0"/>
            <w:tcMar>
              <w:left w:type="dxa" w:w="200"/>
              <w:top w:type="dxa" w:w="200"/>
              <w:right w:type="dxa" w:w="200"/>
              <w:bottom w:type="dxa" w:w="200"/>
            </w:tcMar>
          </w:tcPr>
          <w:p>
            <w:pPr>
              <w:pStyle w:val="Para 001"/>
            </w:pPr>
            <w:r>
              <w:t>\x</w:t>
            </w:r>
            <w:r>
              <w:rPr>
                <w:rStyle w:val="Text12"/>
              </w:rPr>
              <w:t xml:space="preserve"> </w:t>
            </w:r>
            <w:r>
              <w:rPr>
                <w:rStyle w:val="Text3"/>
              </w:rPr>
              <w:t>XX</w:t>
            </w:r>
          </w:p>
        </w:tc>
        <w:tc>
          <w:tcPr>
            <w:tcW w:type="auto" w:w="0"/>
            <w:tcMar>
              <w:left w:type="dxa" w:w="200"/>
              <w:top w:type="dxa" w:w="200"/>
              <w:right w:type="dxa" w:w="200"/>
              <w:bottom w:type="dxa" w:w="200"/>
            </w:tcMar>
          </w:tcPr>
          <w:p>
            <w:pPr>
              <w:pStyle w:val="Para 002"/>
            </w:pPr>
            <w:r>
              <w:t xml:space="preserve">Hexadecimal value </w:t>
            </w:r>
            <w:r>
              <w:rPr>
                <w:rStyle w:val="Text3"/>
              </w:rPr>
              <w:t>XX</w:t>
            </w:r>
          </w:p>
        </w:tc>
        <w:tc>
          <w:tcPr>
            <w:tcW w:type="auto" w:w="0"/>
            <w:tcMar>
              <w:left w:type="dxa" w:w="200"/>
              <w:top w:type="dxa" w:w="200"/>
              <w:right w:type="dxa" w:w="200"/>
              <w:bottom w:type="dxa" w:w="200"/>
            </w:tcMar>
          </w:tcPr>
          <w:p>
            <w:pPr>
              <w:pStyle w:val="Para 002"/>
            </w:pPr>
            <w:r>
              <w:t>As given</w:t>
            </w:r>
          </w:p>
        </w:tc>
      </w:tr>
    </w:tbl>
    <w:tbl>
      <w:tblPr>
        <w:tblW w:type="auto" w:w="0"/>
      </w:tblPr>
      <w:tr>
        <w:tc>
          <w:tcPr>
            <w:tcW w:type="auto" w:w="0"/>
            <w:shd w:val="clear" w:color="auto" w:fill="EEF2F6"/>
            <w:tcMar>
              <w:left w:type="dxa" w:w="200"/>
              <w:top w:type="dxa" w:w="200"/>
              <w:right w:type="dxa" w:w="200"/>
              <w:bottom w:type="dxa" w:w="200"/>
            </w:tcMar>
          </w:tcPr>
          <w:p>
            <w:pPr>
              <w:pStyle w:val="Para 001"/>
            </w:pPr>
            <w:r>
              <w:t>\N{</w:t>
            </w:r>
            <w:r>
              <w:rPr>
                <w:rStyle w:val="Text3"/>
              </w:rPr>
              <w:t>name</w:t>
            </w:r>
            <w:r>
              <w:t>}</w:t>
            </w:r>
          </w:p>
        </w:tc>
        <w:tc>
          <w:tcPr>
            <w:tcW w:type="auto" w:w="0"/>
            <w:shd w:val="clear" w:color="auto" w:fill="EEF2F6"/>
            <w:tcMar>
              <w:left w:type="dxa" w:w="200"/>
              <w:top w:type="dxa" w:w="200"/>
              <w:right w:type="dxa" w:w="200"/>
              <w:bottom w:type="dxa" w:w="200"/>
            </w:tcMar>
          </w:tcPr>
          <w:p>
            <w:pPr>
              <w:pStyle w:val="Para 002"/>
            </w:pPr>
            <w:r>
              <w:t>Unicode character</w:t>
            </w:r>
          </w:p>
        </w:tc>
        <w:tc>
          <w:tcPr>
            <w:tcW w:type="auto" w:w="0"/>
            <w:shd w:val="clear" w:color="auto" w:fill="EEF2F6"/>
            <w:tcMar>
              <w:left w:type="dxa" w:w="200"/>
              <w:top w:type="dxa" w:w="200"/>
              <w:right w:type="dxa" w:w="200"/>
              <w:bottom w:type="dxa" w:w="200"/>
            </w:tcMar>
          </w:tcPr>
          <w:p>
            <w:pPr>
              <w:pStyle w:val="Para 002"/>
            </w:pPr>
            <w:r>
              <w:t>As given</w:t>
            </w:r>
          </w:p>
        </w:tc>
      </w:tr>
    </w:tbl>
    <w:tbl>
      <w:tblPr>
        <w:tblW w:type="auto" w:w="0"/>
      </w:tblPr>
      <w:tr>
        <w:tc>
          <w:tcPr>
            <w:tcW w:type="auto" w:w="0"/>
            <w:tcMar>
              <w:left w:type="dxa" w:w="200"/>
              <w:top w:type="dxa" w:w="200"/>
              <w:right w:type="dxa" w:w="200"/>
              <w:bottom w:type="dxa" w:w="200"/>
            </w:tcMar>
          </w:tcPr>
          <w:p>
            <w:pPr>
              <w:pStyle w:val="Para 001"/>
            </w:pPr>
            <w:r>
              <w:t>\</w:t>
            </w:r>
            <w:r>
              <w:rPr>
                <w:rStyle w:val="Text12"/>
              </w:rPr>
              <w:t xml:space="preserve"> </w:t>
            </w:r>
            <w:r>
              <w:rPr>
                <w:rStyle w:val="Text3"/>
              </w:rPr>
              <w:t>o</w:t>
            </w:r>
          </w:p>
        </w:tc>
        <w:tc>
          <w:tcPr>
            <w:tcW w:type="auto" w:w="0"/>
            <w:tcMar>
              <w:left w:type="dxa" w:w="200"/>
              <w:top w:type="dxa" w:w="200"/>
              <w:right w:type="dxa" w:w="200"/>
              <w:bottom w:type="dxa" w:w="200"/>
            </w:tcMar>
          </w:tcPr>
          <w:p>
            <w:pPr>
              <w:pStyle w:val="Para 002"/>
            </w:pPr>
            <w:r>
              <w:t xml:space="preserve">Any other character </w:t>
            </w:r>
            <w:r>
              <w:rPr>
                <w:rStyle w:val="Text3"/>
              </w:rPr>
              <w:t>o</w:t>
            </w:r>
            <w:r>
              <w:t>: a two-character string</w:t>
            </w:r>
          </w:p>
        </w:tc>
        <w:tc>
          <w:tcPr>
            <w:tcW w:type="auto" w:w="0"/>
            <w:tcMar>
              <w:left w:type="dxa" w:w="200"/>
              <w:top w:type="dxa" w:w="200"/>
              <w:right w:type="dxa" w:w="200"/>
              <w:bottom w:type="dxa" w:w="200"/>
            </w:tcMar>
          </w:tcPr>
          <w:p>
            <w:pPr>
              <w:pStyle w:val="Para 002"/>
            </w:pPr>
            <w:r>
              <w:rPr>
                <w:rStyle w:val="Text0"/>
              </w:rPr>
              <w:t>0x5c</w:t>
            </w:r>
            <w:r>
              <w:t xml:space="preserve"> + as given</w:t>
            </w:r>
          </w:p>
        </w:tc>
      </w:tr>
    </w:tbl>
    <w:p>
      <w:pPr>
        <w:pStyle w:val="Normal"/>
      </w:pPr>
      <w:r>
        <w:t>A variant of a string literal is a</w:t>
      </w:r>
      <w:r>
        <w:rPr>
          <w:rStyle w:val="Text111"/>
        </w:rPr>
        <w:bookmarkStart w:id="567" w:name="idm45965278942688"/>
        <w:t/>
        <w:bookmarkEnd w:id="567"/>
      </w:r>
      <w:r>
        <w:t xml:space="preserve"> </w:t>
      </w:r>
      <w:r>
        <w:rPr>
          <w:rStyle w:val="Text4"/>
        </w:rPr>
        <w:t>raw string literal</w:t>
      </w:r>
      <w:r>
        <w:t xml:space="preserve">. The syntax is the same as for quoted or triple-quoted string literals, except that an </w:t>
      </w:r>
      <w:r>
        <w:rPr>
          <w:rStyle w:val="Text0"/>
        </w:rPr>
        <w:t>r</w:t>
      </w:r>
      <w:r>
        <w:t xml:space="preserve"> or </w:t>
      </w:r>
      <w:r>
        <w:rPr>
          <w:rStyle w:val="Text0"/>
        </w:rPr>
        <w:t>R</w:t>
      </w:r>
      <w:r>
        <w:t xml:space="preserve"> immediately precedes the leading quote. In raw string literals, escape sequences are not interpreted as in </w:t>
      </w:r>
      <w:hyperlink w:anchor="Table_3_3__String_escape_sequenc">
        <w:r>
          <w:rPr>
            <w:rStyle w:val="Text1"/>
          </w:rPr>
          <w:t>Table 3-3</w:t>
        </w:r>
      </w:hyperlink>
      <w:r>
        <w:t xml:space="preserve">, but are literally copied into the string, including backslashes and newline characters. Raw string literal syntax is handy for strings that include many backslashes, especially regular expression patterns (see </w:t>
      </w:r>
      <w:hyperlink w:anchor="Pattern_String_Syntax__The_patte">
        <w:r>
          <w:rPr>
            <w:rStyle w:val="Text1"/>
          </w:rPr>
          <w:t>“Pattern String Syntax”</w:t>
        </w:r>
      </w:hyperlink>
      <w:r>
        <w:t>) and Windows absolute filenames (which use backslashes as directory separators). A raw string literal cannot end with an odd number of backslashes: the last one would be taken as escaping the terminating quote.</w:t>
      </w:r>
      <w:r>
        <w:rPr>
          <w:rStyle w:val="Text111"/>
        </w:rPr>
        <w:bookmarkStart w:id="568" w:name="idm45965278937456"/>
        <w:t/>
        <w:bookmarkEnd w:id="568"/>
        <w:bookmarkStart w:id="569" w:name="idm45965278936080"/>
        <w:t/>
        <w:bookmarkEnd w:id="569"/>
      </w:r>
    </w:p>
    <w:p>
      <w:pPr>
        <w:keepNext/>
        <w:pStyle w:val="Heading 5"/>
        <w:keepLines w:val="on"/>
      </w:pPr>
      <w:r>
        <w:t>Raw and Triple-Quoted String Literals Are Not Different Types</w:t>
      </w:r>
    </w:p>
    <w:p>
      <w:pPr>
        <w:pStyle w:val="Para 012"/>
        <w:keepLines w:val="on"/>
      </w:pPr>
      <w:r>
        <w:t xml:space="preserve">Raw and triple-quoted string literals are </w:t>
      </w:r>
      <w:r>
        <w:rPr>
          <w:rStyle w:val="Text4"/>
        </w:rPr>
        <w:t>not</w:t>
      </w:r>
      <w:r>
        <w:t xml:space="preserve"> types different from other strings; they are just alternative syntaxes for literals of the usual two string types, </w:t>
      </w:r>
      <w:r>
        <w:rPr>
          <w:rStyle w:val="Text0"/>
        </w:rPr>
        <w:t>bytes</w:t>
      </w:r>
      <w:r>
        <w:t xml:space="preserve"> and </w:t>
      </w:r>
      <w:r>
        <w:rPr>
          <w:rStyle w:val="Text0"/>
        </w:rPr>
        <w:t>str</w:t>
      </w:r>
      <w:r>
        <w:t>.</w:t>
      </w:r>
    </w:p>
    <w:p>
      <w:pPr>
        <w:pStyle w:val="Normal"/>
      </w:pPr>
      <w:r>
        <w:t>In</w:t>
      </w:r>
      <w:r>
        <w:rPr>
          <w:rStyle w:val="Text111"/>
        </w:rPr>
        <w:bookmarkStart w:id="570" w:name="idm45965278930880"/>
        <w:t/>
        <w:bookmarkEnd w:id="570"/>
        <w:bookmarkStart w:id="571" w:name="idm45965278928816"/>
        <w:t/>
        <w:bookmarkEnd w:id="571"/>
        <w:bookmarkStart w:id="572" w:name="idm45965278927712"/>
        <w:t/>
        <w:bookmarkEnd w:id="572"/>
        <w:bookmarkStart w:id="573" w:name="idm45965278926608"/>
        <w:t/>
        <w:bookmarkEnd w:id="573"/>
        <w:bookmarkStart w:id="574" w:name="idm45965278925232"/>
        <w:t/>
        <w:bookmarkEnd w:id="574"/>
      </w:r>
      <w:r>
        <w:t xml:space="preserve"> </w:t>
      </w:r>
      <w:r>
        <w:rPr>
          <w:rStyle w:val="Text0"/>
        </w:rPr>
        <w:t>str</w:t>
      </w:r>
      <w:r>
        <w:t xml:space="preserve"> literals, you can use </w:t>
      </w:r>
      <w:r>
        <w:rPr>
          <w:rStyle w:val="Text0"/>
        </w:rPr>
        <w:t>\u</w:t>
      </w:r>
      <w:r>
        <w:t xml:space="preserve"> followed by four hex digits, or </w:t>
      </w:r>
      <w:r>
        <w:rPr>
          <w:rStyle w:val="Text0"/>
        </w:rPr>
        <w:t>\U</w:t>
      </w:r>
      <w:r>
        <w:t xml:space="preserve"> followed by eight hex digits, to denote Unicode characters; you can also include the escape sequences listed in </w:t>
      </w:r>
      <w:hyperlink w:anchor="Table_3_3__String_escape_sequenc">
        <w:r>
          <w:rPr>
            <w:rStyle w:val="Text1"/>
          </w:rPr>
          <w:t>Table 3-3</w:t>
        </w:r>
      </w:hyperlink>
      <w:r>
        <w:t xml:space="preserve">. </w:t>
      </w:r>
      <w:r>
        <w:rPr>
          <w:rStyle w:val="Text0"/>
        </w:rPr>
        <w:t>str</w:t>
      </w:r>
      <w:r>
        <w:t xml:space="preserve"> literals can also include Unicode characters using the escape sequence </w:t>
      </w:r>
      <w:r>
        <w:rPr>
          <w:rStyle w:val="Text0"/>
        </w:rPr>
        <w:t>\N{</w:t>
      </w:r>
      <w:r>
        <w:rPr>
          <w:rStyle w:val="Text3"/>
        </w:rPr>
        <w:t>name</w:t>
      </w:r>
      <w:r>
        <w:rPr>
          <w:rStyle w:val="Text0"/>
        </w:rPr>
        <w:t>}</w:t>
      </w:r>
      <w:r>
        <w:t xml:space="preserve">, where </w:t>
      </w:r>
      <w:r>
        <w:rPr>
          <w:rStyle w:val="Text3"/>
        </w:rPr>
        <w:t>name</w:t>
      </w:r>
      <w:r>
        <w:t xml:space="preserve"> is a standard </w:t>
      </w:r>
      <w:hyperlink r:id="rId212">
        <w:r>
          <w:rPr>
            <w:rStyle w:val="Text1"/>
          </w:rPr>
          <w:t>Unicode name</w:t>
        </w:r>
      </w:hyperlink>
      <w:r>
        <w:t xml:space="preserve">. For example, </w:t>
      </w:r>
      <w:r>
        <w:rPr>
          <w:rStyle w:val="Text0"/>
        </w:rPr>
        <w:t>\N{Copyright Sign}</w:t>
      </w:r>
      <w:r>
        <w:t xml:space="preserve"> indicates a Unicode copyright sign character (</w:t>
      </w:r>
      <w:r>
        <w:rPr>
          <w:rStyle w:val="Text0"/>
        </w:rPr>
        <w:t>©</w:t>
      </w:r>
      <w:r>
        <w:t>).</w:t>
      </w:r>
    </w:p>
    <w:p>
      <w:pPr>
        <w:pStyle w:val="Normal"/>
      </w:pPr>
      <w:r>
        <w:rPr>
          <w:rStyle w:val="Text4"/>
        </w:rPr>
        <w:t>Formatted string literals</w:t>
      </w:r>
      <w:r>
        <w:t xml:space="preserve"> (commonly called </w:t>
      </w:r>
      <w:r>
        <w:rPr>
          <w:rStyle w:val="Text4"/>
        </w:rPr>
        <w:t>f-strings</w:t>
      </w:r>
      <w:r>
        <w:t>)</w:t>
      </w:r>
      <w:r>
        <w:rPr>
          <w:rStyle w:val="Text111"/>
        </w:rPr>
        <w:bookmarkStart w:id="575" w:name="idm45965278914768"/>
        <w:t/>
        <w:bookmarkEnd w:id="575"/>
        <w:bookmarkStart w:id="576" w:name="idm45965278913616"/>
        <w:t/>
        <w:bookmarkEnd w:id="576"/>
      </w:r>
      <w:r>
        <w:t xml:space="preserve"> let you inject formatted expressions into your string “literals,” which are therefore no longer constant, but rather are subject to evaluation at execution time. The formatting process is described in </w:t>
      </w:r>
      <w:hyperlink w:anchor="String_Formatting__Python_provid">
        <w:r>
          <w:rPr>
            <w:rStyle w:val="Text1"/>
          </w:rPr>
          <w:t>“String Formatting”</w:t>
        </w:r>
      </w:hyperlink>
      <w:r>
        <w:t>. From a purely syntactic point of view, these new literals can be regarded as just another kind of string literal.</w:t>
      </w:r>
    </w:p>
    <w:p>
      <w:pPr>
        <w:pStyle w:val="Normal"/>
      </w:pPr>
      <w:r>
        <w:t>Multiple string literals of any kind—quoted, triple-quoted, raw, bytes, formatted—can be adjacent, with optional whitespace in between (as long as you do not mix strings containing text and bytes). The compiler concatenates such adjacent string literals into a single string object. Writing a long string literal in this way lets you present it readably across multiple physical lines and gives you an opportunity to insert comments about parts of the string. For example:</w:t>
      </w:r>
    </w:p>
    <w:p>
      <w:pPr>
        <w:pStyle w:val="Para 014"/>
      </w:pPr>
      <w:r>
        <w:rPr>
          <w:rStyle w:val="Text116"/>
        </w:rPr>
        <w:t xml:space="preserve"/>
        <w:br w:clear="none"/>
      </w:r>
      <w:r>
        <w:rPr>
          <w:rStyle w:val="Text14"/>
        </w:rPr>
        <w:t xml:space="preserve">marypop</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7"/>
        </w:rPr>
        <w:t xml:space="preserve">'</w:t>
        <w:br w:clear="none"/>
        <w:t xml:space="preserve">supercali</w:t>
        <w:br w:clear="none"/>
        <w:t xml:space="preserve">'</w:t>
        <w:br w:clear="none"/>
      </w:r>
      <w:r>
        <w:rPr>
          <w:rStyle w:val="Text11"/>
        </w:rPr>
        <w:t xml:space="preserve">       </w:t>
        <w:br w:clear="none"/>
      </w:r>
      <w:r>
        <w:t xml:space="preserve"># '(' begins logical line,</w:t>
        <w:br w:clear="none"/>
      </w:r>
      <w:r>
        <w:rPr>
          <w:rStyle w:val="Text11"/>
        </w:rPr>
        <w:t xml:space="preserve"/>
        <w:br w:clear="none"/>
        <w:t xml:space="preserve">           </w:t>
        <w:br w:clear="none"/>
      </w:r>
      <w:r>
        <w:rPr>
          <w:rStyle w:val="Text17"/>
        </w:rPr>
        <w:t xml:space="preserve">'</w:t>
        <w:br w:clear="none"/>
        <w:t xml:space="preserve">fragilistic</w:t>
        <w:br w:clear="none"/>
        <w:t xml:space="preserve">'</w:t>
        <w:br w:clear="none"/>
      </w:r>
      <w:r>
        <w:rPr>
          <w:rStyle w:val="Text11"/>
        </w:rPr>
        <w:t xml:space="preserve">     </w:t>
        <w:br w:clear="none"/>
      </w:r>
      <w:r>
        <w:t xml:space="preserve"># indentation is ignored</w:t>
        <w:br w:clear="none"/>
      </w:r>
      <w:r>
        <w:rPr>
          <w:rStyle w:val="Text11"/>
        </w:rPr>
        <w:t xml:space="preserve"/>
        <w:br w:clear="none"/>
        <w:t xml:space="preserve">           </w:t>
        <w:br w:clear="none"/>
      </w:r>
      <w:r>
        <w:rPr>
          <w:rStyle w:val="Text17"/>
        </w:rPr>
        <w:t xml:space="preserve">'</w:t>
        <w:br w:clear="none"/>
        <w:t xml:space="preserve">expialidocious</w:t>
        <w:br w:clear="none"/>
        <w:t xml:space="preserve">'</w:t>
        <w:br w:clear="none"/>
      </w:r>
      <w:r>
        <w:rPr>
          <w:rStyle w:val="Text19"/>
        </w:rPr>
        <w:t xml:space="preserve">)</w:t>
        <w:br w:clear="none"/>
      </w:r>
      <w:r>
        <w:rPr>
          <w:rStyle w:val="Text11"/>
        </w:rPr>
        <w:t xml:space="preserve"> </w:t>
        <w:br w:clear="none"/>
      </w:r>
      <w:r>
        <w:t xml:space="preserve"># until closing ')'</w:t>
        <w:br w:clear="none"/>
      </w:r>
    </w:p>
    <w:p>
      <w:pPr>
        <w:pStyle w:val="Normal"/>
      </w:pPr>
      <w:r>
        <w:t xml:space="preserve">The string assigned to </w:t>
      </w:r>
      <w:r>
        <w:rPr>
          <w:rStyle w:val="Text0"/>
        </w:rPr>
        <w:t>marypop</w:t>
      </w:r>
      <w:r>
        <w:t xml:space="preserve"> is a single word of 34 characters.</w:t>
      </w:r>
      <w:r>
        <w:rPr>
          <w:rStyle w:val="Text111"/>
        </w:rPr>
        <w:bookmarkStart w:id="577" w:name="idm45965278887664"/>
        <w:t/>
        <w:bookmarkEnd w:id="577"/>
      </w:r>
    </w:p>
    <w:p>
      <w:bookmarkStart w:id="578" w:name="bytes_objects__A_bytes_object_is"/>
      <w:pPr>
        <w:keepNext/>
        <w:pStyle w:val="Heading 2"/>
      </w:pPr>
      <w:r>
        <w:t>bytes objects</w:t>
      </w:r>
      <w:bookmarkEnd w:id="578"/>
    </w:p>
    <w:p>
      <w:pPr>
        <w:pStyle w:val="Normal"/>
      </w:pPr>
      <w:r>
        <w:t>A</w:t>
      </w:r>
      <w:r>
        <w:rPr>
          <w:rStyle w:val="Text111"/>
        </w:rPr>
        <w:bookmarkStart w:id="579" w:name="idm45965278884608"/>
        <w:t/>
        <w:bookmarkEnd w:id="579"/>
      </w:r>
      <w:r>
        <w:t xml:space="preserve"> </w:t>
      </w:r>
      <w:r>
        <w:rPr>
          <w:rStyle w:val="Text0"/>
        </w:rPr>
        <w:t>bytes</w:t>
      </w:r>
      <w:r>
        <w:t xml:space="preserve"> object is an ordered sequence of </w:t>
      </w:r>
      <w:r>
        <w:rPr>
          <w:rStyle w:val="Text0"/>
        </w:rPr>
        <w:t>int</w:t>
      </w:r>
      <w:r>
        <w:t xml:space="preserve">s from </w:t>
      </w:r>
      <w:r>
        <w:rPr>
          <w:rStyle w:val="Text0"/>
        </w:rPr>
        <w:t>0</w:t>
      </w:r>
      <w:r>
        <w:t xml:space="preserve"> to </w:t>
      </w:r>
      <w:r>
        <w:rPr>
          <w:rStyle w:val="Text0"/>
        </w:rPr>
        <w:t>255</w:t>
      </w:r>
      <w:r>
        <w:t xml:space="preserve">. </w:t>
      </w:r>
      <w:r>
        <w:rPr>
          <w:rStyle w:val="Text0"/>
        </w:rPr>
        <w:t>bytes</w:t>
      </w:r>
      <w:r>
        <w:t xml:space="preserve"> objects are usually encountered when reading data from or writing data to a binary source (e.g, a file, a socket, or a network resource).</w:t>
      </w:r>
    </w:p>
    <w:p>
      <w:pPr>
        <w:pStyle w:val="Normal"/>
      </w:pPr>
      <w:r>
        <w:t xml:space="preserve">A </w:t>
      </w:r>
      <w:r>
        <w:rPr>
          <w:rStyle w:val="Text0"/>
        </w:rPr>
        <w:t>bytes</w:t>
      </w:r>
      <w:r>
        <w:t xml:space="preserve"> object can be initialized from a list of </w:t>
      </w:r>
      <w:r>
        <w:rPr>
          <w:rStyle w:val="Text0"/>
        </w:rPr>
        <w:t>int</w:t>
      </w:r>
      <w:r>
        <w:t xml:space="preserve">s or from a string of characters. A </w:t>
      </w:r>
      <w:r>
        <w:rPr>
          <w:rStyle w:val="Text0"/>
        </w:rPr>
        <w:t>bytes</w:t>
      </w:r>
      <w:r>
        <w:t xml:space="preserve"> literal has the same syntax as a </w:t>
      </w:r>
      <w:r>
        <w:rPr>
          <w:rStyle w:val="Text0"/>
        </w:rPr>
        <w:t>str</w:t>
      </w:r>
      <w:r>
        <w:t xml:space="preserve"> literal, prefixed with </w:t>
      </w:r>
      <w:r>
        <w:rPr>
          <w:rStyle w:val="Text0"/>
        </w:rPr>
        <w:t>'b'</w:t>
      </w:r>
      <w:r>
        <w:t>:</w:t>
      </w:r>
    </w:p>
    <w:p>
      <w:pPr>
        <w:pStyle w:val="Para 014"/>
      </w:pPr>
      <w:r>
        <w:rPr>
          <w:rStyle w:val="Text116"/>
        </w:rPr>
        <w:t xml:space="preserve"/>
        <w:br w:clear="none"/>
      </w:r>
      <w:r>
        <w:rPr>
          <w:rStyle w:val="Text11"/>
        </w:rPr>
        <w:t xml:space="preserve">b</w:t>
        <w:br w:clear="none"/>
      </w:r>
      <w:r>
        <w:rPr>
          <w:rStyle w:val="Text17"/>
        </w:rPr>
        <w:t xml:space="preserve">'</w:t>
        <w:br w:clear="none"/>
        <w:t xml:space="preserve">abc</w:t>
        <w:br w:clear="none"/>
        <w:t xml:space="preserve">'</w:t>
        <w:br w:clear="none"/>
      </w:r>
      <w:r>
        <w:rPr>
          <w:rStyle w:val="Text11"/>
        </w:rPr>
        <w:t xml:space="preserve"/>
        <w:br w:clear="none"/>
      </w:r>
      <w:r>
        <w:rPr>
          <w:rStyle w:val="Text21"/>
        </w:rPr>
        <w:t xml:space="preserve">bytes</w:t>
        <w:br w:clear="none"/>
      </w:r>
      <w:r>
        <w:rPr>
          <w:rStyle w:val="Text19"/>
        </w:rPr>
        <w:t xml:space="preserve">(</w:t>
        <w:br w:clear="none"/>
        <w:t xml:space="preserve">[</w:t>
        <w:br w:clear="none"/>
      </w:r>
      <w:r>
        <w:rPr>
          <w:rStyle w:val="Text35"/>
        </w:rPr>
        <w:t xml:space="preserve">97</w:t>
        <w:br w:clear="none"/>
      </w:r>
      <w:r>
        <w:rPr>
          <w:rStyle w:val="Text19"/>
        </w:rPr>
        <w:t xml:space="preserve">,</w:t>
        <w:br w:clear="none"/>
      </w:r>
      <w:r>
        <w:rPr>
          <w:rStyle w:val="Text11"/>
        </w:rPr>
        <w:t xml:space="preserve"> </w:t>
        <w:br w:clear="none"/>
      </w:r>
      <w:r>
        <w:rPr>
          <w:rStyle w:val="Text35"/>
        </w:rPr>
        <w:t xml:space="preserve">98</w:t>
        <w:br w:clear="none"/>
      </w:r>
      <w:r>
        <w:rPr>
          <w:rStyle w:val="Text19"/>
        </w:rPr>
        <w:t xml:space="preserve">,</w:t>
        <w:br w:clear="none"/>
      </w:r>
      <w:r>
        <w:rPr>
          <w:rStyle w:val="Text11"/>
        </w:rPr>
        <w:t xml:space="preserve"> </w:t>
        <w:br w:clear="none"/>
      </w:r>
      <w:r>
        <w:rPr>
          <w:rStyle w:val="Text35"/>
        </w:rPr>
        <w:t xml:space="preserve">99</w:t>
        <w:br w:clear="none"/>
      </w:r>
      <w:r>
        <w:rPr>
          <w:rStyle w:val="Text19"/>
        </w:rPr>
        <w:t xml:space="preserve">]</w:t>
        <w:br w:clear="none"/>
        <w:t xml:space="preserve">)</w:t>
        <w:br w:clear="none"/>
      </w:r>
      <w:r>
        <w:rPr>
          <w:rStyle w:val="Text11"/>
        </w:rPr>
        <w:t xml:space="preserve">           </w:t>
        <w:br w:clear="none"/>
      </w:r>
      <w:r>
        <w:t xml:space="preserve"># Same as the previous line</w:t>
        <w:br w:clear="none"/>
      </w:r>
      <w:r>
        <w:rPr>
          <w:rStyle w:val="Text11"/>
        </w:rPr>
        <w:t xml:space="preserve"/>
        <w:br w:clear="none"/>
        <w:t xml:space="preserve">rb</w:t>
        <w:br w:clear="none"/>
      </w:r>
      <w:r>
        <w:rPr>
          <w:rStyle w:val="Text17"/>
        </w:rPr>
        <w:t xml:space="preserve">'</w:t>
        <w:br w:clear="none"/>
        <w:t xml:space="preserve">\</w:t>
        <w:br w:clear="none"/>
        <w:t xml:space="preserve"> = solidus</w:t>
        <w:br w:clear="none"/>
        <w:t xml:space="preserve">'</w:t>
        <w:br w:clear="none"/>
      </w:r>
      <w:r>
        <w:rPr>
          <w:rStyle w:val="Text11"/>
        </w:rPr>
        <w:t xml:space="preserve">               </w:t>
        <w:br w:clear="none"/>
      </w:r>
      <w:r>
        <w:t xml:space="preserve"># A raw bytes literal, containing a '\'</w:t>
        <w:br w:clear="none"/>
      </w:r>
    </w:p>
    <w:p>
      <w:pPr>
        <w:pStyle w:val="Normal"/>
      </w:pPr>
      <w:r>
        <w:t>To</w:t>
      </w:r>
      <w:r>
        <w:rPr>
          <w:rStyle w:val="Text111"/>
        </w:rPr>
        <w:bookmarkStart w:id="580" w:name="idm45965264172608"/>
        <w:t/>
        <w:bookmarkEnd w:id="580"/>
      </w:r>
      <w:r>
        <w:t xml:space="preserve"> convert a </w:t>
      </w:r>
      <w:r>
        <w:rPr>
          <w:rStyle w:val="Text0"/>
        </w:rPr>
        <w:t>bytes</w:t>
      </w:r>
      <w:r>
        <w:t xml:space="preserve"> object to a </w:t>
      </w:r>
      <w:r>
        <w:rPr>
          <w:rStyle w:val="Text0"/>
        </w:rPr>
        <w:t>str</w:t>
      </w:r>
      <w:r>
        <w:t xml:space="preserve">, use the </w:t>
      </w:r>
      <w:r>
        <w:rPr>
          <w:rStyle w:val="Text0"/>
        </w:rPr>
        <w:t>bytes.decode</w:t>
      </w:r>
      <w:r>
        <w:t xml:space="preserve"> method. To convert a </w:t>
      </w:r>
      <w:r>
        <w:rPr>
          <w:rStyle w:val="Text0"/>
        </w:rPr>
        <w:t>str</w:t>
      </w:r>
      <w:r>
        <w:t xml:space="preserve"> object to a </w:t>
      </w:r>
      <w:r>
        <w:rPr>
          <w:rStyle w:val="Text0"/>
        </w:rPr>
        <w:t>bytes</w:t>
      </w:r>
      <w:r>
        <w:t xml:space="preserve"> object, use the </w:t>
      </w:r>
      <w:r>
        <w:rPr>
          <w:rStyle w:val="Text0"/>
        </w:rPr>
        <w:t>str.encode</w:t>
      </w:r>
      <w:r>
        <w:t xml:space="preserve"> method, as described in detail in </w:t>
      </w:r>
      <w:hyperlink w:anchor="Chapter_9__Strings_and_Things__P_2">
        <w:r>
          <w:rPr>
            <w:rStyle w:val="Text1"/>
          </w:rPr>
          <w:t>Chapter 9</w:t>
        </w:r>
      </w:hyperlink>
      <w:r>
        <w:t>.</w:t>
      </w:r>
    </w:p>
    <w:p>
      <w:bookmarkStart w:id="581" w:name="bytearray_objects__A_bytearray_i"/>
      <w:pPr>
        <w:keepNext/>
        <w:pStyle w:val="Heading 2"/>
      </w:pPr>
      <w:r>
        <w:t>bytearray objects</w:t>
      </w:r>
      <w:bookmarkEnd w:id="581"/>
    </w:p>
    <w:p>
      <w:pPr>
        <w:pStyle w:val="Normal"/>
      </w:pPr>
      <w:r>
        <w:t>A</w:t>
      </w:r>
      <w:r>
        <w:rPr>
          <w:rStyle w:val="Text111"/>
        </w:rPr>
        <w:bookmarkStart w:id="582" w:name="idm45965264147632"/>
        <w:t/>
        <w:bookmarkEnd w:id="582"/>
      </w:r>
      <w:r>
        <w:t xml:space="preserve"> </w:t>
      </w:r>
      <w:r>
        <w:rPr>
          <w:rStyle w:val="Text0"/>
        </w:rPr>
        <w:t>bytearray</w:t>
      </w:r>
      <w:r>
        <w:t xml:space="preserve"> is a </w:t>
      </w:r>
      <w:r>
        <w:rPr>
          <w:rStyle w:val="Text4"/>
        </w:rPr>
        <w:t>mutable</w:t>
      </w:r>
      <w:r>
        <w:t xml:space="preserve"> ordered sequence of </w:t>
      </w:r>
      <w:r>
        <w:rPr>
          <w:rStyle w:val="Text0"/>
        </w:rPr>
        <w:t>int</w:t>
      </w:r>
      <w:r>
        <w:t xml:space="preserve">s from </w:t>
      </w:r>
      <w:r>
        <w:rPr>
          <w:rStyle w:val="Text0"/>
        </w:rPr>
        <w:t>0</w:t>
      </w:r>
      <w:r>
        <w:t xml:space="preserve"> to </w:t>
      </w:r>
      <w:r>
        <w:rPr>
          <w:rStyle w:val="Text0"/>
        </w:rPr>
        <w:t>255</w:t>
      </w:r>
      <w:r>
        <w:t xml:space="preserve">; like a </w:t>
      </w:r>
      <w:r>
        <w:rPr>
          <w:rStyle w:val="Text0"/>
        </w:rPr>
        <w:t>bytes</w:t>
      </w:r>
      <w:r>
        <w:t xml:space="preserve"> object, you can construct it from a sequence of </w:t>
      </w:r>
      <w:r>
        <w:rPr>
          <w:rStyle w:val="Text0"/>
        </w:rPr>
        <w:t>int</w:t>
      </w:r>
      <w:r>
        <w:t xml:space="preserve">s or characters. In fact, apart from mutability, it is just like a </w:t>
      </w:r>
      <w:r>
        <w:rPr>
          <w:rStyle w:val="Text0"/>
        </w:rPr>
        <w:t>bytes</w:t>
      </w:r>
      <w:r>
        <w:t xml:space="preserve"> object. As they are mutable, </w:t>
      </w:r>
      <w:r>
        <w:rPr>
          <w:rStyle w:val="Text0"/>
        </w:rPr>
        <w:t>bytearray</w:t>
      </w:r>
      <w:r>
        <w:t xml:space="preserve"> objects support methods and operators that modify elements within the array of byte values:</w:t>
      </w:r>
    </w:p>
    <w:p>
      <w:pPr>
        <w:pStyle w:val="Para 014"/>
      </w:pPr>
      <w:r>
        <w:rPr>
          <w:rStyle w:val="Text116"/>
        </w:rPr>
        <w:t xml:space="preserve"/>
        <w:br w:clear="none"/>
      </w:r>
      <w:r>
        <w:rPr>
          <w:rStyle w:val="Text14"/>
        </w:rPr>
        <w:t xml:space="preserve">ba</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bytearray</w:t>
        <w:br w:clear="none"/>
      </w:r>
      <w:r>
        <w:rPr>
          <w:rStyle w:val="Text19"/>
        </w:rPr>
        <w:t xml:space="preserve">(</w:t>
        <w:br w:clear="none"/>
        <w:t xml:space="preserve">[</w:t>
        <w:br w:clear="none"/>
      </w:r>
      <w:r>
        <w:rPr>
          <w:rStyle w:val="Text35"/>
        </w:rPr>
        <w:t xml:space="preserve">97</w:t>
        <w:br w:clear="none"/>
      </w:r>
      <w:r>
        <w:rPr>
          <w:rStyle w:val="Text19"/>
        </w:rPr>
        <w:t xml:space="preserve">,</w:t>
        <w:br w:clear="none"/>
      </w:r>
      <w:r>
        <w:rPr>
          <w:rStyle w:val="Text11"/>
        </w:rPr>
        <w:t xml:space="preserve"> </w:t>
        <w:br w:clear="none"/>
      </w:r>
      <w:r>
        <w:rPr>
          <w:rStyle w:val="Text35"/>
        </w:rPr>
        <w:t xml:space="preserve">98</w:t>
        <w:br w:clear="none"/>
      </w:r>
      <w:r>
        <w:rPr>
          <w:rStyle w:val="Text19"/>
        </w:rPr>
        <w:t xml:space="preserve">,</w:t>
        <w:br w:clear="none"/>
      </w:r>
      <w:r>
        <w:rPr>
          <w:rStyle w:val="Text11"/>
        </w:rPr>
        <w:t xml:space="preserve"> </w:t>
        <w:br w:clear="none"/>
      </w:r>
      <w:r>
        <w:rPr>
          <w:rStyle w:val="Text35"/>
        </w:rPr>
        <w:t xml:space="preserve">99</w:t>
        <w:br w:clear="none"/>
      </w:r>
      <w:r>
        <w:rPr>
          <w:rStyle w:val="Text19"/>
        </w:rPr>
        <w:t xml:space="preserve">]</w:t>
        <w:br w:clear="none"/>
        <w:t xml:space="preserve">)</w:t>
        <w:br w:clear="none"/>
      </w:r>
      <w:r>
        <w:rPr>
          <w:rStyle w:val="Text11"/>
        </w:rPr>
        <w:t xml:space="preserve">  </w:t>
        <w:br w:clear="none"/>
      </w:r>
      <w:r>
        <w:t xml:space="preserve"># Like bytes, can take a sequence of ints</w:t>
        <w:br w:clear="none"/>
      </w:r>
      <w:r>
        <w:rPr>
          <w:rStyle w:val="Text11"/>
        </w:rPr>
        <w:t xml:space="preserve"/>
        <w:br w:clear="none"/>
      </w:r>
      <w:r>
        <w:rPr>
          <w:rStyle w:val="Text14"/>
        </w:rPr>
        <w:t xml:space="preserve">ba</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97</w:t>
        <w:br w:clear="none"/>
      </w:r>
      <w:r>
        <w:rPr>
          <w:rStyle w:val="Text11"/>
        </w:rPr>
        <w:t xml:space="preserve">                    </w:t>
        <w:br w:clear="none"/>
      </w:r>
      <w:r>
        <w:t xml:space="preserve"># Unlike bytes, contents can be modified</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ba</w:t>
        <w:br w:clear="none"/>
      </w:r>
      <w:r>
        <w:rPr>
          <w:rStyle w:val="Text28"/>
        </w:rPr>
        <w:t xml:space="preserve">.</w:t>
        <w:br w:clear="none"/>
      </w:r>
      <w:r>
        <w:rPr>
          <w:rStyle w:val="Text14"/>
        </w:rPr>
        <w:t xml:space="preserve">decode</w:t>
        <w:br w:clear="none"/>
      </w:r>
      <w:r>
        <w:rPr>
          <w:rStyle w:val="Text19"/>
        </w:rPr>
        <w:t xml:space="preserve">(</w:t>
        <w:br w:clear="none"/>
        <w:t xml:space="preserve">)</w:t>
        <w:br w:clear="none"/>
        <w:t xml:space="preserve">)</w:t>
        <w:br w:clear="none"/>
      </w:r>
      <w:r>
        <w:rPr>
          <w:rStyle w:val="Text11"/>
        </w:rPr>
        <w:t xml:space="preserve">            </w:t>
        <w:br w:clear="none"/>
      </w:r>
      <w:r>
        <w:t xml:space="preserve"># Prints 'aac'</w:t>
        <w:br w:clear="none"/>
      </w:r>
    </w:p>
    <w:p>
      <w:pPr>
        <w:pStyle w:val="Normal"/>
      </w:pPr>
      <w:hyperlink w:anchor="Chapter_9__Strings_and_Things__P_2">
        <w:r>
          <w:rPr>
            <w:rStyle w:val="Text1"/>
          </w:rPr>
          <w:t>Chapter 9</w:t>
        </w:r>
      </w:hyperlink>
      <w:r>
        <w:t xml:space="preserve"> has additional material on creating and working with </w:t>
      </w:r>
      <w:r>
        <w:rPr>
          <w:rStyle w:val="Text0"/>
        </w:rPr>
        <w:t>bytearray</w:t>
      </w:r>
      <w:r>
        <w:t xml:space="preserve"> objects.</w:t>
      </w:r>
    </w:p>
    <w:p>
      <w:bookmarkStart w:id="583" w:name="Tuples__A_tuple_is_an_immutable"/>
      <w:pPr>
        <w:keepNext/>
        <w:pStyle w:val="Heading 2"/>
      </w:pPr>
      <w:r>
        <w:t>Tuples</w:t>
      </w:r>
      <w:bookmarkEnd w:id="583"/>
    </w:p>
    <w:p>
      <w:pPr>
        <w:pStyle w:val="Normal"/>
      </w:pPr>
      <w:r>
        <w:t>A</w:t>
      </w:r>
      <w:r>
        <w:rPr>
          <w:rStyle w:val="Text111"/>
        </w:rPr>
        <w:bookmarkStart w:id="584" w:name="idm45965264106272"/>
        <w:t/>
        <w:bookmarkEnd w:id="584"/>
        <w:bookmarkStart w:id="585" w:name="idm45965264104864"/>
        <w:t/>
        <w:bookmarkEnd w:id="585"/>
      </w:r>
      <w:r>
        <w:t xml:space="preserve"> </w:t>
      </w:r>
      <w:r>
        <w:rPr>
          <w:rStyle w:val="Text4"/>
        </w:rPr>
        <w:t>tuple</w:t>
      </w:r>
      <w:r>
        <w:t xml:space="preserve"> is an immutable ordered sequence of items. The items of a tuple are arbitrary objects and may be of different types. You can use mutable objects (such as lists) as tuple items, but best practice is generally to avoid doing so.</w:t>
      </w:r>
    </w:p>
    <w:p>
      <w:pPr>
        <w:pStyle w:val="Normal"/>
      </w:pPr>
      <w:r>
        <w:t>To denote a tuple, use a series of expressions (the items of the tuple) separated</w:t>
      </w:r>
      <w:r>
        <w:rPr>
          <w:rStyle w:val="Text111"/>
        </w:rPr>
        <w:bookmarkStart w:id="586" w:name="idm45965264102544"/>
        <w:t/>
        <w:bookmarkEnd w:id="586"/>
        <w:bookmarkStart w:id="587" w:name="idm45965264100896"/>
        <w:t/>
        <w:bookmarkEnd w:id="587"/>
      </w:r>
      <w:r>
        <w:t xml:space="preserve"> by commas (</w:t>
      </w:r>
      <w:r>
        <w:rPr>
          <w:rStyle w:val="Text0"/>
        </w:rPr>
        <w:t>,</w:t>
      </w:r>
      <w:r>
        <w:t>);</w:t>
      </w:r>
      <w:hyperlink w:anchor="5_This_syntax_is_sometimes_calle">
        <w:r>
          <w:rPr>
            <w:rStyle w:val="Text41"/>
          </w:rPr>
          <w:bookmarkStart w:id="588" w:name="5_2"/>
          <w:t>5</w:t>
          <w:bookmarkEnd w:id="588"/>
        </w:r>
      </w:hyperlink>
      <w:r>
        <w:t xml:space="preserve"> if every item is a literal, the whole construct is a </w:t>
      </w:r>
      <w:r>
        <w:rPr>
          <w:rStyle w:val="Text4"/>
        </w:rPr>
        <w:t>tuple literal</w:t>
      </w:r>
      <w:r>
        <w:t>. You may optionally place a redundant comma after the last item. You can group tuple items within parentheses, but the parentheses are necessary only where the commas would otherwise have another meaning (e.g., in function calls), or to denote empty or nested tuples. A tuple with exactly two items is also known as</w:t>
      </w:r>
      <w:r>
        <w:rPr>
          <w:rStyle w:val="Text111"/>
        </w:rPr>
        <w:bookmarkStart w:id="589" w:name="idm45965264069600"/>
        <w:t/>
        <w:bookmarkEnd w:id="589"/>
      </w:r>
      <w:r>
        <w:t xml:space="preserve"> a </w:t>
      </w:r>
      <w:r>
        <w:rPr>
          <w:rStyle w:val="Text4"/>
        </w:rPr>
        <w:t>pair</w:t>
      </w:r>
      <w:r>
        <w:t>. To create a tuple of one item, add a comma to the end of the expression. To denote an empty tuple, use an empty pair of parentheses. Here are some tuple literals, the second of which uses optional parentheses:</w:t>
      </w:r>
    </w:p>
    <w:p>
      <w:pPr>
        <w:pStyle w:val="Para 014"/>
      </w:pPr>
      <w:r>
        <w:rPr>
          <w:rStyle w:val="Text116"/>
        </w:rPr>
        <w:t xml:space="preserve"/>
        <w:br w:clear="none"/>
      </w:r>
      <w:r>
        <w:rPr>
          <w:rStyle w:val="Text35"/>
        </w:rPr>
        <w:t xml:space="preserve">100</w:t>
        <w:br w:clear="none"/>
      </w:r>
      <w:r>
        <w:rPr>
          <w:rStyle w:val="Text19"/>
        </w:rPr>
        <w:t xml:space="preserve">,</w:t>
        <w:br w:clear="none"/>
      </w:r>
      <w:r>
        <w:rPr>
          <w:rStyle w:val="Text11"/>
        </w:rPr>
        <w:t xml:space="preserve"> </w:t>
        <w:br w:clear="none"/>
      </w:r>
      <w:r>
        <w:rPr>
          <w:rStyle w:val="Text35"/>
        </w:rPr>
        <w:t xml:space="preserve">200</w:t>
        <w:br w:clear="none"/>
      </w:r>
      <w:r>
        <w:rPr>
          <w:rStyle w:val="Text19"/>
        </w:rPr>
        <w:t xml:space="preserve">,</w:t>
        <w:br w:clear="none"/>
      </w:r>
      <w:r>
        <w:rPr>
          <w:rStyle w:val="Text11"/>
        </w:rPr>
        <w:t xml:space="preserve"> </w:t>
        <w:br w:clear="none"/>
      </w:r>
      <w:r>
        <w:rPr>
          <w:rStyle w:val="Text35"/>
        </w:rPr>
        <w:t xml:space="preserve">300</w:t>
        <w:br w:clear="none"/>
      </w:r>
      <w:r>
        <w:rPr>
          <w:rStyle w:val="Text11"/>
        </w:rPr>
        <w:t xml:space="preserve">        </w:t>
        <w:br w:clear="none"/>
      </w:r>
      <w:r>
        <w:t xml:space="preserve"># Tuple with three items</w:t>
        <w:br w:clear="none"/>
      </w:r>
      <w:r>
        <w:rPr>
          <w:rStyle w:val="Text11"/>
        </w:rPr>
        <w:t xml:space="preserve"/>
        <w:br w:clear="none"/>
      </w:r>
      <w:r>
        <w:rPr>
          <w:rStyle w:val="Text19"/>
        </w:rPr>
        <w:t xml:space="preserve">(</w:t>
        <w:br w:clear="none"/>
      </w:r>
      <w:r>
        <w:rPr>
          <w:rStyle w:val="Text35"/>
        </w:rPr>
        <w:t xml:space="preserve">3.14</w:t>
        <w:br w:clear="none"/>
      </w:r>
      <w:r>
        <w:rPr>
          <w:rStyle w:val="Text19"/>
        </w:rPr>
        <w:t xml:space="preserve">,</w:t>
        <w:br w:clear="none"/>
        <w:t xml:space="preserve">)</w:t>
        <w:br w:clear="none"/>
      </w:r>
      <w:r>
        <w:rPr>
          <w:rStyle w:val="Text11"/>
        </w:rPr>
        <w:t xml:space="preserve">              </w:t>
        <w:br w:clear="none"/>
      </w:r>
      <w:r>
        <w:t xml:space="preserve"># Tuple with one item, needs trailing comma</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tuple (parentheses NOT optional)</w:t>
        <w:br w:clear="none"/>
      </w:r>
    </w:p>
    <w:p>
      <w:pPr>
        <w:pStyle w:val="Normal"/>
      </w:pPr>
      <w:r>
        <w:t xml:space="preserve">You can also call the built-in type </w:t>
      </w:r>
      <w:r>
        <w:rPr>
          <w:rStyle w:val="Text0"/>
        </w:rPr>
        <w:t>tuple</w:t>
      </w:r>
      <w:r>
        <w:t xml:space="preserve"> to create a tuple. For example:</w:t>
      </w:r>
    </w:p>
    <w:p>
      <w:pPr>
        <w:pStyle w:val="Para 049"/>
      </w:pPr>
      <w:r>
        <w:rPr>
          <w:rStyle w:val="Text23"/>
        </w:rPr>
        <w:t xml:space="preserve"/>
        <w:br w:clear="none"/>
      </w:r>
      <w:r>
        <w:t xml:space="preserve">tuple</w:t>
        <w:br w:clear="none"/>
      </w:r>
      <w:r>
        <w:rPr>
          <w:rStyle w:val="Text7"/>
        </w:rPr>
        <w:t xml:space="preserve">(</w:t>
        <w:br w:clear="none"/>
      </w:r>
      <w:r>
        <w:rPr>
          <w:rStyle w:val="Text8"/>
        </w:rPr>
        <w:t xml:space="preserve">'wow'</w:t>
        <w:br w:clear="none"/>
      </w:r>
      <w:r>
        <w:rPr>
          <w:rStyle w:val="Text7"/>
        </w:rPr>
        <w:t xml:space="preserve">)</w:t>
        <w:br w:clear="none"/>
      </w:r>
    </w:p>
    <w:p>
      <w:pPr>
        <w:pStyle w:val="Normal"/>
      </w:pPr>
      <w:r>
        <w:t>This builds a tuple equal to that denoted by the tuple literal:</w:t>
      </w:r>
    </w:p>
    <w:p>
      <w:pPr>
        <w:pStyle w:val="Para 020"/>
      </w:pPr>
      <w:r>
        <w:rPr>
          <w:rStyle w:val="Text23"/>
        </w:rPr>
        <w:t xml:space="preserve"/>
        <w:br w:clear="none"/>
      </w:r>
      <w:r>
        <w:rPr>
          <w:rStyle w:val="Text7"/>
        </w:rPr>
        <w:t xml:space="preserve">(</w:t>
        <w:br w:clear="none"/>
      </w:r>
      <w:r>
        <w:t xml:space="preserve">'w'</w:t>
        <w:br w:clear="none"/>
      </w:r>
      <w:r>
        <w:rPr>
          <w:rStyle w:val="Text7"/>
        </w:rPr>
        <w:t xml:space="preserve">,</w:t>
        <w:br w:clear="none"/>
      </w:r>
      <w:r>
        <w:rPr>
          <w:rStyle w:val="Text23"/>
        </w:rPr>
        <w:t xml:space="preserve"> </w:t>
        <w:br w:clear="none"/>
      </w:r>
      <w:r>
        <w:t xml:space="preserve">'o'</w:t>
        <w:br w:clear="none"/>
      </w:r>
      <w:r>
        <w:rPr>
          <w:rStyle w:val="Text7"/>
        </w:rPr>
        <w:t xml:space="preserve">,</w:t>
        <w:br w:clear="none"/>
      </w:r>
      <w:r>
        <w:rPr>
          <w:rStyle w:val="Text23"/>
        </w:rPr>
        <w:t xml:space="preserve"> </w:t>
        <w:br w:clear="none"/>
      </w:r>
      <w:r>
        <w:t xml:space="preserve">'w'</w:t>
        <w:br w:clear="none"/>
      </w:r>
      <w:r>
        <w:rPr>
          <w:rStyle w:val="Text7"/>
        </w:rPr>
        <w:t xml:space="preserve">)</w:t>
        <w:br w:clear="none"/>
      </w:r>
    </w:p>
    <w:p>
      <w:pPr>
        <w:pStyle w:val="Normal"/>
      </w:pPr>
      <w:r>
        <w:rPr>
          <w:rStyle w:val="Text0"/>
        </w:rPr>
        <w:t>tuple()</w:t>
      </w:r>
      <w:r>
        <w:t xml:space="preserve"> without arguments creates and returns an empty tuple, like </w:t>
      </w:r>
      <w:r>
        <w:rPr>
          <w:rStyle w:val="Text0"/>
        </w:rPr>
        <w:t>()</w:t>
      </w:r>
      <w:r>
        <w:t xml:space="preserve">. When </w:t>
      </w:r>
      <w:r>
        <w:rPr>
          <w:rStyle w:val="Text3"/>
        </w:rPr>
        <w:t>x</w:t>
      </w:r>
      <w:r>
        <w:t xml:space="preserve"> is iterable, </w:t>
      </w:r>
      <w:r>
        <w:rPr>
          <w:rStyle w:val="Text0"/>
        </w:rPr>
        <w:t>tuple(</w:t>
      </w:r>
      <w:r>
        <w:rPr>
          <w:rStyle w:val="Text3"/>
        </w:rPr>
        <w:t>x</w:t>
      </w:r>
      <w:r>
        <w:rPr>
          <w:rStyle w:val="Text0"/>
        </w:rPr>
        <w:t>)</w:t>
      </w:r>
      <w:r>
        <w:t xml:space="preserve"> returns a tuple whose items are the same as those in </w:t>
      </w:r>
      <w:r>
        <w:rPr>
          <w:rStyle w:val="Text3"/>
        </w:rPr>
        <w:t>x</w:t>
      </w:r>
      <w:r>
        <w:t>.</w:t>
      </w:r>
    </w:p>
    <w:p>
      <w:bookmarkStart w:id="590" w:name="Lists__A_list_is_a_mutable_order"/>
      <w:pPr>
        <w:keepNext/>
        <w:pStyle w:val="Heading 2"/>
      </w:pPr>
      <w:r>
        <w:t>Lists</w:t>
      </w:r>
      <w:bookmarkEnd w:id="590"/>
    </w:p>
    <w:p>
      <w:pPr>
        <w:pStyle w:val="Normal"/>
      </w:pPr>
      <w:r>
        <w:t>A</w:t>
      </w:r>
      <w:r>
        <w:rPr>
          <w:rStyle w:val="Text111"/>
        </w:rPr>
        <w:bookmarkStart w:id="591" w:name="idm45965265613728"/>
        <w:t/>
        <w:bookmarkEnd w:id="591"/>
      </w:r>
      <w:r>
        <w:t xml:space="preserve"> </w:t>
      </w:r>
      <w:r>
        <w:rPr>
          <w:rStyle w:val="Text4"/>
        </w:rPr>
        <w:t>list</w:t>
      </w:r>
      <w:r>
        <w:t xml:space="preserve"> is a mutable ordered sequence of items. The items of a list are arbitrary objects and may be of different types. To denote a list, use a series of expressions (the items of the list) separated by</w:t>
      </w:r>
      <w:r>
        <w:rPr>
          <w:rStyle w:val="Text111"/>
        </w:rPr>
        <w:bookmarkStart w:id="592" w:name="idm45965265611744"/>
        <w:t/>
        <w:bookmarkEnd w:id="592"/>
        <w:bookmarkStart w:id="593" w:name="idm45965265610096"/>
        <w:t/>
        <w:bookmarkEnd w:id="593"/>
        <w:bookmarkStart w:id="594" w:name="idm45965265589168"/>
        <w:t/>
        <w:bookmarkEnd w:id="594"/>
        <w:bookmarkStart w:id="595" w:name="idm45965265587520"/>
        <w:t/>
        <w:bookmarkEnd w:id="595"/>
      </w:r>
      <w:r>
        <w:t xml:space="preserve"> commas (</w:t>
      </w:r>
      <w:r>
        <w:rPr>
          <w:rStyle w:val="Text0"/>
        </w:rPr>
        <w:t>,</w:t>
      </w:r>
      <w:r>
        <w:t>), within brackets (</w:t>
      </w:r>
      <w:r>
        <w:rPr>
          <w:rStyle w:val="Text0"/>
        </w:rPr>
        <w:t>[]</w:t>
      </w:r>
      <w:r>
        <w:t>);</w:t>
      </w:r>
      <w:hyperlink w:anchor="6_This_syntax_is_sometimes_calle">
        <w:r>
          <w:rPr>
            <w:rStyle w:val="Text41"/>
          </w:rPr>
          <w:bookmarkStart w:id="596" w:name="6_2"/>
          <w:t>6</w:t>
          <w:bookmarkEnd w:id="596"/>
        </w:r>
      </w:hyperlink>
      <w:r>
        <w:t xml:space="preserve"> if every item is a literal, the whole construct is a </w:t>
      </w:r>
      <w:r>
        <w:rPr>
          <w:rStyle w:val="Text4"/>
        </w:rPr>
        <w:t>list literal</w:t>
      </w:r>
      <w:r>
        <w:t>. You may optionally place a redundant comma after the last item. To denote an empty list, use an empty pair of brackets. Here are some examples of list literals:</w:t>
      </w:r>
    </w:p>
    <w:p>
      <w:pPr>
        <w:pStyle w:val="Para 014"/>
      </w:pPr>
      <w:r>
        <w:rPr>
          <w:rStyle w:val="Text116"/>
        </w:rPr>
        <w:t xml:space="preserve"/>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35"/>
        </w:rPr>
        <w:t xml:space="preserve">3.14</w:t>
        <w:br w:clear="none"/>
      </w:r>
      <w:r>
        <w:rPr>
          <w:rStyle w:val="Text19"/>
        </w:rPr>
        <w:t xml:space="preserve">,</w:t>
        <w:br w:clear="none"/>
      </w:r>
      <w:r>
        <w:rPr>
          <w:rStyle w:val="Text11"/>
        </w:rPr>
        <w:t xml:space="preserve"> </w:t>
        <w:br w:clear="none"/>
      </w:r>
      <w:r>
        <w:rPr>
          <w:rStyle w:val="Text17"/>
        </w:rPr>
        <w:t xml:space="preserve">'</w:t>
        <w:br w:clear="none"/>
        <w:t xml:space="preserve">hello</w:t>
        <w:br w:clear="none"/>
        <w:t xml:space="preserve">'</w:t>
        <w:br w:clear="none"/>
      </w:r>
      <w:r>
        <w:rPr>
          <w:rStyle w:val="Text19"/>
        </w:rPr>
        <w:t xml:space="preserve">]</w:t>
        <w:br w:clear="none"/>
      </w:r>
      <w:r>
        <w:rPr>
          <w:rStyle w:val="Text11"/>
        </w:rPr>
        <w:t xml:space="preserve">  </w:t>
        <w:br w:clear="none"/>
      </w:r>
      <w:r>
        <w:t xml:space="preserve"># List with three items</w:t>
        <w:br w:clear="none"/>
      </w:r>
      <w:r>
        <w:rPr>
          <w:rStyle w:val="Text11"/>
        </w:rPr>
        <w:t xml:space="preserve"/>
        <w:br w:clear="none"/>
      </w:r>
      <w:r>
        <w:rPr>
          <w:rStyle w:val="Text19"/>
        </w:rPr>
        <w:t xml:space="preserve">[</w:t>
        <w:br w:clear="none"/>
      </w:r>
      <w:r>
        <w:rPr>
          <w:rStyle w:val="Text35"/>
        </w:rPr>
        <w:t xml:space="preserve">100</w:t>
        <w:br w:clear="none"/>
      </w:r>
      <w:r>
        <w:rPr>
          <w:rStyle w:val="Text19"/>
        </w:rPr>
        <w:t xml:space="preserve">]</w:t>
        <w:br w:clear="none"/>
      </w:r>
      <w:r>
        <w:rPr>
          <w:rStyle w:val="Text11"/>
        </w:rPr>
        <w:t xml:space="preserve">                </w:t>
        <w:br w:clear="none"/>
      </w:r>
      <w:r>
        <w:t xml:space="preserve"># List with one item</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list</w:t>
        <w:br w:clear="none"/>
      </w:r>
    </w:p>
    <w:p>
      <w:pPr>
        <w:pStyle w:val="Normal"/>
      </w:pPr>
      <w:r>
        <w:t xml:space="preserve">You can also call the built-in type </w:t>
      </w:r>
      <w:r>
        <w:rPr>
          <w:rStyle w:val="Text0"/>
        </w:rPr>
        <w:t>list</w:t>
      </w:r>
      <w:r>
        <w:t xml:space="preserve"> to create a list. For example:</w:t>
      </w:r>
    </w:p>
    <w:p>
      <w:pPr>
        <w:pStyle w:val="Para 020"/>
      </w:pPr>
      <w:r>
        <w:rPr>
          <w:rStyle w:val="Text23"/>
        </w:rPr>
        <w:t xml:space="preserve"/>
        <w:br w:clear="none"/>
      </w:r>
      <w:r>
        <w:rPr>
          <w:rStyle w:val="Text16"/>
        </w:rPr>
        <w:t xml:space="preserve">list</w:t>
        <w:br w:clear="none"/>
      </w:r>
      <w:r>
        <w:rPr>
          <w:rStyle w:val="Text7"/>
        </w:rPr>
        <w:t xml:space="preserve">(</w:t>
        <w:br w:clear="none"/>
      </w:r>
      <w:r>
        <w:t xml:space="preserve">'wow'</w:t>
        <w:br w:clear="none"/>
      </w:r>
      <w:r>
        <w:rPr>
          <w:rStyle w:val="Text7"/>
        </w:rPr>
        <w:t xml:space="preserve">)</w:t>
        <w:br w:clear="none"/>
      </w:r>
    </w:p>
    <w:p>
      <w:pPr>
        <w:pStyle w:val="Normal"/>
      </w:pPr>
      <w:r>
        <w:t>This builds a list equal to that denoted by the list literal:</w:t>
      </w:r>
    </w:p>
    <w:p>
      <w:pPr>
        <w:pStyle w:val="Para 020"/>
      </w:pPr>
      <w:r>
        <w:rPr>
          <w:rStyle w:val="Text23"/>
        </w:rPr>
        <w:t xml:space="preserve"/>
        <w:br w:clear="none"/>
      </w:r>
      <w:r>
        <w:rPr>
          <w:rStyle w:val="Text7"/>
        </w:rPr>
        <w:t xml:space="preserve">[</w:t>
        <w:br w:clear="none"/>
      </w:r>
      <w:r>
        <w:t xml:space="preserve">'w'</w:t>
        <w:br w:clear="none"/>
      </w:r>
      <w:r>
        <w:rPr>
          <w:rStyle w:val="Text7"/>
        </w:rPr>
        <w:t xml:space="preserve">,</w:t>
        <w:br w:clear="none"/>
      </w:r>
      <w:r>
        <w:rPr>
          <w:rStyle w:val="Text23"/>
        </w:rPr>
        <w:t xml:space="preserve"> </w:t>
        <w:br w:clear="none"/>
      </w:r>
      <w:r>
        <w:t xml:space="preserve">'o'</w:t>
        <w:br w:clear="none"/>
      </w:r>
      <w:r>
        <w:rPr>
          <w:rStyle w:val="Text7"/>
        </w:rPr>
        <w:t xml:space="preserve">,</w:t>
        <w:br w:clear="none"/>
      </w:r>
      <w:r>
        <w:rPr>
          <w:rStyle w:val="Text23"/>
        </w:rPr>
        <w:t xml:space="preserve"> </w:t>
        <w:br w:clear="none"/>
      </w:r>
      <w:r>
        <w:t xml:space="preserve">'w'</w:t>
        <w:br w:clear="none"/>
      </w:r>
      <w:r>
        <w:rPr>
          <w:rStyle w:val="Text7"/>
        </w:rPr>
        <w:t xml:space="preserve">]</w:t>
        <w:br w:clear="none"/>
      </w:r>
    </w:p>
    <w:p>
      <w:pPr>
        <w:pStyle w:val="Normal"/>
      </w:pPr>
      <w:r>
        <w:rPr>
          <w:rStyle w:val="Text0"/>
        </w:rPr>
        <w:t>list()</w:t>
      </w:r>
      <w:r>
        <w:t xml:space="preserve"> without arguments creates and returns an empty list, like </w:t>
      </w:r>
      <w:r>
        <w:rPr>
          <w:rStyle w:val="Text0"/>
        </w:rPr>
        <w:t>[]</w:t>
      </w:r>
      <w:r>
        <w:t xml:space="preserve">. When </w:t>
      </w:r>
      <w:r>
        <w:rPr>
          <w:rStyle w:val="Text3"/>
        </w:rPr>
        <w:t>x</w:t>
      </w:r>
      <w:r>
        <w:t xml:space="preserve"> is iterable, </w:t>
      </w:r>
      <w:r>
        <w:rPr>
          <w:rStyle w:val="Text0"/>
        </w:rPr>
        <w:t>list(</w:t>
      </w:r>
      <w:r>
        <w:rPr>
          <w:rStyle w:val="Text3"/>
        </w:rPr>
        <w:t>x</w:t>
      </w:r>
      <w:r>
        <w:rPr>
          <w:rStyle w:val="Text0"/>
        </w:rPr>
        <w:t>)</w:t>
      </w:r>
      <w:r>
        <w:t xml:space="preserve"> returns a list whose items are the same as those in </w:t>
      </w:r>
      <w:r>
        <w:rPr>
          <w:rStyle w:val="Text3"/>
        </w:rPr>
        <w:t>x</w:t>
      </w:r>
      <w:r>
        <w:t>.</w:t>
      </w:r>
    </w:p>
    <w:p>
      <w:pPr>
        <w:pStyle w:val="Normal"/>
      </w:pPr>
      <w:r>
        <w:t xml:space="preserve">You can also build lists with list comprehensions, covered in </w:t>
      </w:r>
      <w:hyperlink w:anchor="List_comprehensions__A_common_us">
        <w:r>
          <w:rPr>
            <w:rStyle w:val="Text1"/>
          </w:rPr>
          <w:t>“List comprehensions”</w:t>
        </w:r>
      </w:hyperlink>
      <w:r>
        <w:t>.</w:t>
      </w:r>
      <w:r>
        <w:rPr>
          <w:rStyle w:val="Text111"/>
        </w:rPr>
        <w:bookmarkStart w:id="597" w:name="idm45965265493136"/>
        <w:t/>
        <w:bookmarkEnd w:id="597"/>
      </w:r>
    </w:p>
    <w:p>
      <w:bookmarkStart w:id="598" w:name="Sets__Python_has_two_built_in_se"/>
      <w:pPr>
        <w:keepNext/>
        <w:pStyle w:val="Heading 2"/>
      </w:pPr>
      <w:r>
        <w:t>Sets</w:t>
      </w:r>
      <w:bookmarkEnd w:id="598"/>
    </w:p>
    <w:p>
      <w:pPr>
        <w:pStyle w:val="Normal"/>
      </w:pPr>
      <w:r>
        <w:t>Python</w:t>
      </w:r>
      <w:r>
        <w:rPr>
          <w:rStyle w:val="Text111"/>
        </w:rPr>
        <w:bookmarkStart w:id="599" w:name="idm45965265505952"/>
        <w:t/>
        <w:bookmarkEnd w:id="599"/>
        <w:bookmarkStart w:id="600" w:name="idm45965265504160"/>
        <w:t/>
        <w:bookmarkEnd w:id="600"/>
      </w:r>
      <w:r>
        <w:t xml:space="preserve"> has two built-in set types, </w:t>
      </w:r>
      <w:r>
        <w:rPr>
          <w:rStyle w:val="Text0"/>
        </w:rPr>
        <w:t>set</w:t>
      </w:r>
      <w:r>
        <w:t xml:space="preserve"> and </w:t>
      </w:r>
      <w:r>
        <w:rPr>
          <w:rStyle w:val="Text0"/>
        </w:rPr>
        <w:t>frozenset</w:t>
      </w:r>
      <w:r>
        <w:t>, to represent arbitrarily ordered collections of unique items. Items in a set may be of different types, but they must all be</w:t>
      </w:r>
      <w:r>
        <w:rPr>
          <w:rStyle w:val="Text111"/>
        </w:rPr>
        <w:bookmarkStart w:id="601" w:name="idm45965265501520"/>
        <w:t/>
        <w:bookmarkEnd w:id="601"/>
      </w:r>
      <w:r>
        <w:t xml:space="preserve"> </w:t>
      </w:r>
      <w:r>
        <w:rPr>
          <w:rStyle w:val="Text4"/>
        </w:rPr>
        <w:t>hashable</w:t>
      </w:r>
      <w:r>
        <w:t xml:space="preserve"> (see </w:t>
      </w:r>
      <w:r>
        <w:rPr>
          <w:rStyle w:val="Text0"/>
        </w:rPr>
        <w:t>hash</w:t>
      </w:r>
      <w:r>
        <w:t xml:space="preserve"> in </w:t>
      </w:r>
      <w:hyperlink w:anchor="Table_8_2__Python_s_core_built_i">
        <w:r>
          <w:rPr>
            <w:rStyle w:val="Text1"/>
          </w:rPr>
          <w:t>Table 8-2</w:t>
        </w:r>
      </w:hyperlink>
      <w:r>
        <w:t xml:space="preserve">). Instances of type </w:t>
      </w:r>
      <w:r>
        <w:rPr>
          <w:rStyle w:val="Text0"/>
        </w:rPr>
        <w:t>set</w:t>
      </w:r>
      <w:r>
        <w:t xml:space="preserve"> are mutable, and thus not hashable; instances of type </w:t>
      </w:r>
      <w:r>
        <w:rPr>
          <w:rStyle w:val="Text0"/>
        </w:rPr>
        <w:t>frozenset</w:t>
      </w:r>
      <w:r>
        <w:t xml:space="preserve"> are immutable and hashable. You can’t have a set whose items are sets, but you can have a set (or frozenset) whose items are</w:t>
      </w:r>
      <w:r>
        <w:rPr>
          <w:rStyle w:val="Text111"/>
        </w:rPr>
        <w:bookmarkStart w:id="602" w:name="idm45965269575776"/>
        <w:t/>
        <w:bookmarkEnd w:id="602"/>
        <w:bookmarkStart w:id="603" w:name="idm45965269574672"/>
        <w:t/>
        <w:bookmarkEnd w:id="603"/>
      </w:r>
      <w:r>
        <w:t xml:space="preserve"> frozensets. Sets and frozensets are </w:t>
      </w:r>
      <w:r>
        <w:rPr>
          <w:rStyle w:val="Text4"/>
        </w:rPr>
        <w:t>not</w:t>
      </w:r>
      <w:r>
        <w:t xml:space="preserve"> ordered.</w:t>
      </w:r>
    </w:p>
    <w:p>
      <w:pPr>
        <w:pStyle w:val="Normal"/>
      </w:pPr>
      <w:r>
        <w:t xml:space="preserve">To create a set, you can call the built-in type </w:t>
      </w:r>
      <w:r>
        <w:rPr>
          <w:rStyle w:val="Text0"/>
        </w:rPr>
        <w:t>set</w:t>
      </w:r>
      <w:r>
        <w:t xml:space="preserve"> with no argument (this means an empty set) or one argument that is iterable (this means a set whose items are those of the iterable). You can similarly build a frozenset by calling </w:t>
      </w:r>
      <w:r>
        <w:rPr>
          <w:rStyle w:val="Text0"/>
        </w:rPr>
        <w:t>frozenset</w:t>
      </w:r>
      <w:r>
        <w:t>.</w:t>
      </w:r>
    </w:p>
    <w:p>
      <w:pPr>
        <w:pStyle w:val="Normal"/>
      </w:pPr>
      <w:r>
        <w:t>Alternatively, to denote a (nonfrozen, nonempty) set, use a series of expressions (the items of the set) separated by commas (</w:t>
      </w:r>
      <w:r>
        <w:rPr>
          <w:rStyle w:val="Text0"/>
        </w:rPr>
        <w:t>,</w:t>
      </w:r>
      <w:r>
        <w:t>) within</w:t>
      </w:r>
      <w:r>
        <w:rPr>
          <w:rStyle w:val="Text111"/>
        </w:rPr>
        <w:bookmarkStart w:id="604" w:name="idm45965269569888"/>
        <w:t/>
        <w:bookmarkEnd w:id="604"/>
        <w:bookmarkStart w:id="605" w:name="idm45965269568208"/>
        <w:t/>
        <w:bookmarkEnd w:id="605"/>
      </w:r>
      <w:r>
        <w:t xml:space="preserve"> braces (</w:t>
      </w:r>
      <w:r>
        <w:rPr>
          <w:rStyle w:val="Text0"/>
        </w:rPr>
        <w:t>{}</w:t>
      </w:r>
      <w:r>
        <w:t>);</w:t>
      </w:r>
      <w:hyperlink w:anchor="7_This_syntax_is_sometimes_calle">
        <w:r>
          <w:rPr>
            <w:rStyle w:val="Text41"/>
          </w:rPr>
          <w:bookmarkStart w:id="606" w:name="7_2"/>
          <w:t>7</w:t>
          <w:bookmarkEnd w:id="606"/>
        </w:r>
      </w:hyperlink>
      <w:r>
        <w:t xml:space="preserve"> if every item is a literal, the whole assembly is a </w:t>
      </w:r>
      <w:r>
        <w:rPr>
          <w:rStyle w:val="Text4"/>
        </w:rPr>
        <w:t>set literal</w:t>
      </w:r>
      <w:r>
        <w:t>. You may optionally place a redundant comma after the last item. Here are some example sets (two literals, one not):</w:t>
      </w:r>
    </w:p>
    <w:p>
      <w:pPr>
        <w:pStyle w:val="Para 014"/>
      </w:pPr>
      <w:r>
        <w:rPr>
          <w:rStyle w:val="Text116"/>
        </w:rPr>
        <w:t xml:space="preserve"/>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35"/>
        </w:rPr>
        <w:t xml:space="preserve">3.14</w:t>
        <w:br w:clear="none"/>
      </w:r>
      <w:r>
        <w:rPr>
          <w:rStyle w:val="Text19"/>
        </w:rPr>
        <w:t xml:space="preserve">,</w:t>
        <w:br w:clear="none"/>
      </w:r>
      <w:r>
        <w:rPr>
          <w:rStyle w:val="Text11"/>
        </w:rPr>
        <w:t xml:space="preserve"> </w:t>
        <w:br w:clear="none"/>
      </w:r>
      <w:r>
        <w:rPr>
          <w:rStyle w:val="Text17"/>
        </w:rPr>
        <w:t xml:space="preserve">'</w:t>
        <w:br w:clear="none"/>
        <w:t xml:space="preserve">hello</w:t>
        <w:br w:clear="none"/>
        <w:t xml:space="preserve">'</w:t>
        <w:br w:clear="none"/>
      </w:r>
      <w:r>
        <w:rPr>
          <w:rStyle w:val="Text19"/>
        </w:rPr>
        <w:t xml:space="preserve">}</w:t>
        <w:br w:clear="none"/>
      </w:r>
      <w:r>
        <w:rPr>
          <w:rStyle w:val="Text11"/>
        </w:rPr>
        <w:t xml:space="preserve">  </w:t>
        <w:br w:clear="none"/>
      </w:r>
      <w:r>
        <w:t xml:space="preserve"># Literal for a set with three items</w:t>
        <w:br w:clear="none"/>
      </w:r>
      <w:r>
        <w:rPr>
          <w:rStyle w:val="Text11"/>
        </w:rPr>
        <w:t xml:space="preserve"/>
        <w:br w:clear="none"/>
      </w:r>
      <w:r>
        <w:rPr>
          <w:rStyle w:val="Text19"/>
        </w:rPr>
        <w:t xml:space="preserve">{</w:t>
        <w:br w:clear="none"/>
      </w:r>
      <w:r>
        <w:rPr>
          <w:rStyle w:val="Text35"/>
        </w:rPr>
        <w:t xml:space="preserve">100</w:t>
        <w:br w:clear="none"/>
      </w:r>
      <w:r>
        <w:rPr>
          <w:rStyle w:val="Text19"/>
        </w:rPr>
        <w:t xml:space="preserve">}</w:t>
        <w:br w:clear="none"/>
      </w:r>
      <w:r>
        <w:rPr>
          <w:rStyle w:val="Text11"/>
        </w:rPr>
        <w:t xml:space="preserve">                </w:t>
        <w:br w:clear="none"/>
      </w:r>
      <w:r>
        <w:t xml:space="preserve"># Literal for a set with one item</w:t>
        <w:br w:clear="none"/>
      </w:r>
      <w:r>
        <w:rPr>
          <w:rStyle w:val="Text11"/>
        </w:rPr>
        <w:t xml:space="preserve"/>
        <w:br w:clear="none"/>
      </w:r>
      <w:r>
        <w:rPr>
          <w:rStyle w:val="Text21"/>
        </w:rPr>
        <w:t xml:space="preserve">set</w:t>
        <w:br w:clear="none"/>
      </w:r>
      <w:r>
        <w:rPr>
          <w:rStyle w:val="Text19"/>
        </w:rPr>
        <w:t xml:space="preserve">(</w:t>
        <w:br w:clear="none"/>
        <w:t xml:space="preserve">)</w:t>
        <w:br w:clear="none"/>
      </w:r>
      <w:r>
        <w:rPr>
          <w:rStyle w:val="Text11"/>
        </w:rPr>
        <w:t xml:space="preserve">                </w:t>
        <w:br w:clear="none"/>
      </w:r>
      <w:r>
        <w:t xml:space="preserve"># Empty set - no literal for empty set</w:t>
        <w:br w:clear="none"/>
      </w:r>
      <w:r>
        <w:rPr>
          <w:rStyle w:val="Text11"/>
        </w:rPr>
        <w:t xml:space="preserve"/>
        <w:br w:clear="none"/>
        <w:t xml:space="preserve">                     </w:t>
        <w:br w:clear="none"/>
      </w:r>
      <w:r>
        <w:t xml:space="preserve"># {} is an empty dict!</w:t>
        <w:br w:clear="none"/>
      </w:r>
    </w:p>
    <w:p>
      <w:pPr>
        <w:pStyle w:val="Normal"/>
      </w:pPr>
      <w:r>
        <w:t xml:space="preserve">You can also build nonfrozen sets with set comprehensions, as discussed in </w:t>
      </w:r>
      <w:hyperlink w:anchor="Set_comprehensions__A_set_compre">
        <w:r>
          <w:rPr>
            <w:rStyle w:val="Text1"/>
          </w:rPr>
          <w:t>“Set comprehensions”</w:t>
        </w:r>
      </w:hyperlink>
      <w:r>
        <w:t>.</w:t>
      </w:r>
    </w:p>
    <w:p>
      <w:pPr>
        <w:pStyle w:val="Normal"/>
      </w:pPr>
      <w:r>
        <w:t>Note that two sets or frozensets (or a set and a frozenset) may compare as equal, but since they are unordered, iterating over them can return their contents in differing order.</w:t>
      </w:r>
    </w:p>
    <w:p>
      <w:bookmarkStart w:id="607" w:name="Dictionaries__A_mapping_is_an_ar"/>
      <w:pPr>
        <w:keepNext/>
        <w:pStyle w:val="Heading 2"/>
      </w:pPr>
      <w:r>
        <w:t>Dictionaries</w:t>
      </w:r>
      <w:bookmarkEnd w:id="607"/>
    </w:p>
    <w:p>
      <w:pPr>
        <w:pStyle w:val="Normal"/>
      </w:pPr>
      <w:r>
        <w:t>A</w:t>
      </w:r>
      <w:r>
        <w:rPr>
          <w:rStyle w:val="Text111"/>
        </w:rPr>
        <w:bookmarkStart w:id="608" w:name="idm45965269534688"/>
        <w:t/>
        <w:bookmarkEnd w:id="608"/>
        <w:bookmarkStart w:id="609" w:name="dict03"/>
        <w:t/>
        <w:bookmarkEnd w:id="609"/>
      </w:r>
      <w:r>
        <w:t xml:space="preserve"> </w:t>
      </w:r>
      <w:r>
        <w:rPr>
          <w:rStyle w:val="Text4"/>
        </w:rPr>
        <w:t>mapping</w:t>
      </w:r>
      <w:r>
        <w:t xml:space="preserve"> is</w:t>
      </w:r>
      <w:r>
        <w:rPr>
          <w:rStyle w:val="Text111"/>
        </w:rPr>
        <w:bookmarkStart w:id="610" w:name="idm45965269531328"/>
        <w:t/>
        <w:bookmarkEnd w:id="610"/>
        <w:bookmarkStart w:id="611" w:name="idm45965269510704"/>
        <w:t/>
        <w:bookmarkEnd w:id="611"/>
      </w:r>
      <w:r>
        <w:t xml:space="preserve"> an arbitrary collection of objects indexed by nearly</w:t>
      </w:r>
      <w:hyperlink w:anchor="8_Each_specific_mapping_type_may">
        <w:r>
          <w:rPr>
            <w:rStyle w:val="Text41"/>
          </w:rPr>
          <w:bookmarkStart w:id="612" w:name="8_1"/>
          <w:t>8</w:t>
          <w:bookmarkEnd w:id="612"/>
        </w:r>
      </w:hyperlink>
      <w:r>
        <w:t xml:space="preserve"> arbitrary values called </w:t>
      </w:r>
      <w:r>
        <w:rPr>
          <w:rStyle w:val="Text4"/>
        </w:rPr>
        <w:t>keys</w:t>
      </w:r>
      <w:r>
        <w:t xml:space="preserve">. Mappings are mutable and, like sets but unlike sequences, are </w:t>
      </w:r>
      <w:r>
        <w:rPr>
          <w:rStyle w:val="Text4"/>
        </w:rPr>
        <w:t>not</w:t>
      </w:r>
      <w:r>
        <w:t xml:space="preserve"> (necessarily) ordered.</w:t>
      </w:r>
    </w:p>
    <w:p>
      <w:pPr>
        <w:pStyle w:val="Normal"/>
      </w:pPr>
      <w:r>
        <w:t xml:space="preserve">Python provides a single built-in mapping type: the dictionary type </w:t>
      </w:r>
      <w:r>
        <w:rPr>
          <w:rStyle w:val="Text0"/>
        </w:rPr>
        <w:t>dict</w:t>
      </w:r>
      <w:r>
        <w:t xml:space="preserve">. Library and extension modules provide other mapping types, and you can write others yourself (as discussed in </w:t>
      </w:r>
      <w:hyperlink w:anchor="Mappings__A_mapping_s_item_acces">
        <w:r>
          <w:rPr>
            <w:rStyle w:val="Text1"/>
          </w:rPr>
          <w:t>“Mappings”</w:t>
        </w:r>
      </w:hyperlink>
      <w:r>
        <w:t>). Keys in a dictionary may be of different types, but they must be</w:t>
      </w:r>
      <w:r>
        <w:rPr>
          <w:rStyle w:val="Text111"/>
        </w:rPr>
        <w:bookmarkStart w:id="613" w:name="idm45965269505392"/>
        <w:t/>
        <w:bookmarkEnd w:id="613"/>
      </w:r>
      <w:r>
        <w:t xml:space="preserve"> </w:t>
      </w:r>
      <w:r>
        <w:rPr>
          <w:rStyle w:val="Text4"/>
        </w:rPr>
        <w:t>hashable</w:t>
      </w:r>
      <w:r>
        <w:t xml:space="preserve"> (see </w:t>
      </w:r>
      <w:r>
        <w:rPr>
          <w:rStyle w:val="Text0"/>
        </w:rPr>
        <w:t>hash</w:t>
      </w:r>
      <w:r>
        <w:t xml:space="preserve"> in </w:t>
      </w:r>
      <w:hyperlink w:anchor="Table_8_2__Python_s_core_built_i">
        <w:r>
          <w:rPr>
            <w:rStyle w:val="Text1"/>
          </w:rPr>
          <w:t>Table 8-2</w:t>
        </w:r>
      </w:hyperlink>
      <w:r>
        <w:t>). Values in a dictionary are arbitrary objects and may be of any type. An item in a dictionary is a key/value pair. You can think of a dictionary as an associative array (known in some other languages as a “map,” “hash table,” or “hash”).</w:t>
      </w:r>
    </w:p>
    <w:p>
      <w:pPr>
        <w:pStyle w:val="Normal"/>
      </w:pPr>
      <w:r>
        <w:t>To denote a dictionary, you can use a series of</w:t>
      </w:r>
      <w:r>
        <w:rPr>
          <w:rStyle w:val="Text111"/>
        </w:rPr>
        <w:bookmarkStart w:id="614" w:name="idm45965269501504"/>
        <w:t/>
        <w:bookmarkEnd w:id="614"/>
        <w:bookmarkStart w:id="615" w:name="idm45965269500016"/>
        <w:t/>
        <w:bookmarkEnd w:id="615"/>
        <w:bookmarkStart w:id="616" w:name="idm45965269498912"/>
        <w:t/>
        <w:bookmarkEnd w:id="616"/>
        <w:bookmarkStart w:id="617" w:name="idm45965269497264"/>
        <w:t/>
        <w:bookmarkEnd w:id="617"/>
        <w:bookmarkStart w:id="618" w:name="idm45965269495616"/>
        <w:t/>
        <w:bookmarkEnd w:id="618"/>
        <w:bookmarkStart w:id="619" w:name="idm45965269493968"/>
        <w:t/>
        <w:bookmarkEnd w:id="619"/>
      </w:r>
      <w:r>
        <w:t xml:space="preserve"> colon-separated pairs of expressions (the pairs are the items of the dictionary) separated by commas (</w:t>
      </w:r>
      <w:r>
        <w:rPr>
          <w:rStyle w:val="Text0"/>
        </w:rPr>
        <w:t>,</w:t>
      </w:r>
      <w:r>
        <w:t>) within braces (</w:t>
      </w:r>
      <w:r>
        <w:rPr>
          <w:rStyle w:val="Text0"/>
        </w:rPr>
        <w:t>{}</w:t>
      </w:r>
      <w:r>
        <w:t>);</w:t>
      </w:r>
      <w:hyperlink w:anchor="9_This_syntax_is_sometimes_calle">
        <w:r>
          <w:rPr>
            <w:rStyle w:val="Text41"/>
          </w:rPr>
          <w:bookmarkStart w:id="620" w:name="9_1"/>
          <w:t>9</w:t>
          <w:bookmarkEnd w:id="620"/>
        </w:r>
      </w:hyperlink>
      <w:r>
        <w:t xml:space="preserve"> if every expression is a literal, the whole construct is a </w:t>
      </w:r>
      <w:r>
        <w:rPr>
          <w:rStyle w:val="Text4"/>
        </w:rPr>
        <w:t>dictionary literal</w:t>
      </w:r>
      <w:r>
        <w:t>. You may optionally place a redundant comma after the last item. Each item in a dictionary is written</w:t>
      </w:r>
      <w:r>
        <w:rPr>
          <w:rStyle w:val="Text111"/>
        </w:rPr>
        <w:bookmarkStart w:id="621" w:name="idm45965269489088"/>
        <w:t/>
        <w:bookmarkEnd w:id="621"/>
      </w:r>
      <w:r>
        <w:t xml:space="preserve"> as </w:t>
      </w:r>
      <w:r>
        <w:rPr>
          <w:rStyle w:val="Text3"/>
        </w:rPr>
        <w:t>key</w:t>
      </w:r>
      <w:r>
        <w:rPr>
          <w:rStyle w:val="Text0"/>
        </w:rPr>
        <w:t>:</w:t>
      </w:r>
      <w:r>
        <w:rPr>
          <w:rStyle w:val="Text3"/>
        </w:rPr>
        <w:t>value</w:t>
      </w:r>
      <w:r>
        <w:t xml:space="preserve">, where </w:t>
      </w:r>
      <w:r>
        <w:rPr>
          <w:rStyle w:val="Text3"/>
        </w:rPr>
        <w:t>key</w:t>
      </w:r>
      <w:r>
        <w:t xml:space="preserve"> is an expression giving the item’s key and </w:t>
      </w:r>
      <w:r>
        <w:rPr>
          <w:rStyle w:val="Text3"/>
        </w:rPr>
        <w:t>value</w:t>
      </w:r>
      <w:r>
        <w:t xml:space="preserve"> is an expression giving the item’s value. If a key’s value appears more than once in a dictionary expression, only an arbitrary one of the items with that key is kept in the resulting dictionary object—dictionaries do not support duplicate keys. For example:</w:t>
      </w:r>
    </w:p>
    <w:p>
      <w:pPr>
        <w:pStyle w:val="Para 014"/>
      </w:pPr>
      <w:r>
        <w:rPr>
          <w:rStyle w:val="Text116"/>
        </w:rPr>
        <w:t xml:space="preserve"/>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35"/>
        </w:rPr>
        <w:t xml:space="preserve">4</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35"/>
        </w:rPr>
        <w:t xml:space="preserve">5</w:t>
        <w:br w:clear="none"/>
      </w:r>
      <w:r>
        <w:rPr>
          <w:rStyle w:val="Text19"/>
        </w:rPr>
        <w:t xml:space="preserve">}</w:t>
        <w:br w:clear="none"/>
      </w:r>
      <w:r>
        <w:rPr>
          <w:rStyle w:val="Text11"/>
        </w:rPr>
        <w:t xml:space="preserve">  </w:t>
        <w:br w:clear="none"/>
      </w:r>
      <w:r>
        <w:t xml:space="preserve"># The value of this dictionary is {1:5, 3:4}</w:t>
        <w:br w:clear="none"/>
      </w:r>
    </w:p>
    <w:p>
      <w:pPr>
        <w:pStyle w:val="Normal"/>
      </w:pPr>
      <w:r>
        <w:t>To denote an empty dictionary, use an empty pair of braces.</w:t>
      </w:r>
    </w:p>
    <w:p>
      <w:pPr>
        <w:pStyle w:val="Normal"/>
      </w:pPr>
      <w:r>
        <w:t>Here are some dictionary literals:</w:t>
      </w:r>
    </w:p>
    <w:p>
      <w:pPr>
        <w:pStyle w:val="Para 014"/>
      </w:pPr>
      <w:r>
        <w:rPr>
          <w:rStyle w:val="Text116"/>
        </w:rPr>
        <w:t xml:space="preserve"/>
        <w:br w:clear="none"/>
      </w:r>
      <w:r>
        <w:rPr>
          <w:rStyle w:val="Text19"/>
        </w:rPr>
        <w:t xml:space="preserve">{</w:t>
        <w:br w:clear="none"/>
      </w:r>
      <w:r>
        <w:rPr>
          <w:rStyle w:val="Text17"/>
        </w:rPr>
        <w:t xml:space="preserve">'</w:t>
        <w:br w:clear="none"/>
        <w:t xml:space="preserve">x</w:t>
        <w:br w:clear="none"/>
        <w:t xml:space="preserve">'</w:t>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17"/>
        </w:rPr>
        <w:t xml:space="preserve">'</w:t>
        <w:br w:clear="none"/>
        <w:t xml:space="preserve">y</w:t>
        <w:br w:clear="none"/>
        <w:t xml:space="preserve">'</w:t>
        <w:br w:clear="none"/>
      </w:r>
      <w:r>
        <w:rPr>
          <w:rStyle w:val="Text19"/>
        </w:rPr>
        <w:t xml:space="preserve">:</w:t>
        <w:br w:clear="none"/>
      </w:r>
      <w:r>
        <w:rPr>
          <w:rStyle w:val="Text35"/>
        </w:rPr>
        <w:t xml:space="preserve">3.14</w:t>
        <w:br w:clear="none"/>
      </w:r>
      <w:r>
        <w:rPr>
          <w:rStyle w:val="Text19"/>
        </w:rPr>
        <w:t xml:space="preserve">,</w:t>
        <w:br w:clear="none"/>
      </w:r>
      <w:r>
        <w:rPr>
          <w:rStyle w:val="Text11"/>
        </w:rPr>
        <w:t xml:space="preserve"> </w:t>
        <w:br w:clear="none"/>
      </w:r>
      <w:r>
        <w:rPr>
          <w:rStyle w:val="Text17"/>
        </w:rPr>
        <w:t xml:space="preserve">'</w:t>
        <w:br w:clear="none"/>
        <w:t xml:space="preserve">z</w:t>
        <w:br w:clear="none"/>
        <w:t xml:space="preserve">'</w:t>
        <w:br w:clear="none"/>
      </w:r>
      <w:r>
        <w:rPr>
          <w:rStyle w:val="Text19"/>
        </w:rPr>
        <w:t xml:space="preserve">:</w:t>
        <w:br w:clear="none"/>
      </w:r>
      <w:r>
        <w:rPr>
          <w:rStyle w:val="Text35"/>
        </w:rPr>
        <w:t xml:space="preserve">7</w:t>
        <w:br w:clear="none"/>
      </w:r>
      <w:r>
        <w:rPr>
          <w:rStyle w:val="Text19"/>
        </w:rPr>
        <w:t xml:space="preserve">}</w:t>
        <w:br w:clear="none"/>
      </w:r>
      <w:r>
        <w:rPr>
          <w:rStyle w:val="Text11"/>
        </w:rPr>
        <w:t xml:space="preserve">    </w:t>
        <w:br w:clear="none"/>
      </w:r>
      <w:r>
        <w:t xml:space="preserve"># Dictionary with three items, str keys</w:t>
        <w:br w:clear="none"/>
      </w:r>
      <w:r>
        <w:rPr>
          <w:rStyle w:val="Text11"/>
        </w:rPr>
        <w:t xml:space="preserve"/>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35"/>
        </w:rPr>
        <w:t xml:space="preserve">4</w:t>
        <w:br w:clear="none"/>
      </w:r>
      <w:r>
        <w:rPr>
          <w:rStyle w:val="Text19"/>
        </w:rPr>
        <w:t xml:space="preserve">}</w:t>
        <w:br w:clear="none"/>
      </w:r>
      <w:r>
        <w:rPr>
          <w:rStyle w:val="Text11"/>
        </w:rPr>
        <w:t xml:space="preserve">                   </w:t>
        <w:br w:clear="none"/>
      </w:r>
      <w:r>
        <w:t xml:space="preserve"># Dictionary with two items, int keys</w:t>
        <w:br w:clear="none"/>
      </w:r>
      <w:r>
        <w:rPr>
          <w:rStyle w:val="Text11"/>
        </w:rPr>
        <w:t xml:space="preserve"/>
        <w:br w:clear="none"/>
      </w:r>
      <w:r>
        <w:rPr>
          <w:rStyle w:val="Text19"/>
        </w:rPr>
        <w:t xml:space="preserve">{</w:t>
        <w:br w:clear="none"/>
      </w:r>
      <w:r>
        <w:rPr>
          <w:rStyle w:val="Text35"/>
        </w:rPr>
        <w:t xml:space="preserve">1</w:t>
        <w:br w:clear="none"/>
      </w:r>
      <w:r>
        <w:rPr>
          <w:rStyle w:val="Text19"/>
        </w:rPr>
        <w:t xml:space="preserve">:</w:t>
        <w:br w:clear="none"/>
      </w:r>
      <w:r>
        <w:rPr>
          <w:rStyle w:val="Text17"/>
        </w:rPr>
        <w:t xml:space="preserve">'</w:t>
        <w:br w:clear="none"/>
        <w:t xml:space="preserve">za</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br</w:t>
        <w:br w:clear="none"/>
        <w:t xml:space="preserve">'</w:t>
        <w:br w:clear="none"/>
      </w:r>
      <w:r>
        <w:rPr>
          <w:rStyle w:val="Text19"/>
        </w:rPr>
        <w:t xml:space="preserve">:</w:t>
        <w:br w:clear="none"/>
      </w:r>
      <w:r>
        <w:rPr>
          <w:rStyle w:val="Text35"/>
        </w:rPr>
        <w:t xml:space="preserve">23</w:t>
        <w:br w:clear="none"/>
      </w:r>
      <w:r>
        <w:rPr>
          <w:rStyle w:val="Text19"/>
        </w:rPr>
        <w:t xml:space="preserve">}</w:t>
        <w:br w:clear="none"/>
      </w:r>
      <w:r>
        <w:rPr>
          <w:rStyle w:val="Text11"/>
        </w:rPr>
        <w:t xml:space="preserve">            </w:t>
        <w:br w:clear="none"/>
      </w:r>
      <w:r>
        <w:t xml:space="preserve"># Dictionary with different key types</w:t>
        <w:br w:clear="none"/>
      </w:r>
      <w:r>
        <w:rPr>
          <w:rStyle w:val="Text11"/>
        </w:rPr>
        <w:t xml:space="preserve"/>
        <w:br w:clear="none"/>
      </w:r>
      <w:r>
        <w:rPr>
          <w:rStyle w:val="Text19"/>
        </w:rPr>
        <w:t xml:space="preserve">{</w:t>
        <w:br w:clear="none"/>
        <w:t xml:space="preserve">}</w:t>
        <w:br w:clear="none"/>
      </w:r>
      <w:r>
        <w:rPr>
          <w:rStyle w:val="Text11"/>
        </w:rPr>
        <w:t xml:space="preserve">                           </w:t>
        <w:br w:clear="none"/>
      </w:r>
      <w:r>
        <w:t xml:space="preserve"># Empty dictionary</w:t>
        <w:br w:clear="none"/>
      </w:r>
    </w:p>
    <w:p>
      <w:pPr>
        <w:pStyle w:val="Normal"/>
      </w:pPr>
      <w:r>
        <w:t xml:space="preserve">You can also call the built-in type </w:t>
      </w:r>
      <w:r>
        <w:rPr>
          <w:rStyle w:val="Text0"/>
        </w:rPr>
        <w:t>dict</w:t>
      </w:r>
      <w:r>
        <w:t xml:space="preserve"> to create a dictionary in a way that, while less concise, can sometimes be more readable. For example, the </w:t>
      </w:r>
      <w:r>
        <w:rPr>
          <w:rStyle w:val="Text0"/>
        </w:rPr>
        <w:t>dict</w:t>
      </w:r>
      <w:r>
        <w:t>s in the preceding snippet can also be written as:</w:t>
      </w:r>
    </w:p>
    <w:p>
      <w:pPr>
        <w:pStyle w:val="Para 014"/>
      </w:pPr>
      <w:r>
        <w:rPr>
          <w:rStyle w:val="Text116"/>
        </w:rPr>
        <w:t xml:space="preserve"/>
        <w:br w:clear="none"/>
      </w:r>
      <w:r>
        <w:rPr>
          <w:rStyle w:val="Text21"/>
        </w:rPr>
        <w:t xml:space="preserve">dict</w:t>
        <w:br w:clear="none"/>
      </w:r>
      <w:r>
        <w:rPr>
          <w:rStyle w:val="Text19"/>
        </w:rPr>
        <w:t xml:space="preserve">(</w:t>
        <w:br w:clear="none"/>
      </w:r>
      <w:r>
        <w:rPr>
          <w:rStyle w:val="Text14"/>
        </w:rPr>
        <w:t xml:space="preserve">x</w:t>
        <w:br w:clear="none"/>
      </w:r>
      <w:r>
        <w:rPr>
          <w:rStyle w:val="Text28"/>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14"/>
        </w:rPr>
        <w:t xml:space="preserve">y</w:t>
        <w:br w:clear="none"/>
      </w:r>
      <w:r>
        <w:rPr>
          <w:rStyle w:val="Text28"/>
        </w:rPr>
        <w:t xml:space="preserve">=</w:t>
        <w:br w:clear="none"/>
      </w:r>
      <w:r>
        <w:rPr>
          <w:rStyle w:val="Text35"/>
        </w:rPr>
        <w:t xml:space="preserve">3.14</w:t>
        <w:br w:clear="none"/>
      </w:r>
      <w:r>
        <w:rPr>
          <w:rStyle w:val="Text19"/>
        </w:rPr>
        <w:t xml:space="preserve">,</w:t>
        <w:br w:clear="none"/>
      </w:r>
      <w:r>
        <w:rPr>
          <w:rStyle w:val="Text11"/>
        </w:rPr>
        <w:t xml:space="preserve"> </w:t>
        <w:br w:clear="none"/>
      </w:r>
      <w:r>
        <w:rPr>
          <w:rStyle w:val="Text14"/>
        </w:rPr>
        <w:t xml:space="preserve">z</w:t>
        <w:br w:clear="none"/>
      </w:r>
      <w:r>
        <w:rPr>
          <w:rStyle w:val="Text28"/>
        </w:rPr>
        <w:t xml:space="preserve">=</w:t>
        <w:br w:clear="none"/>
      </w:r>
      <w:r>
        <w:rPr>
          <w:rStyle w:val="Text35"/>
        </w:rPr>
        <w:t xml:space="preserve">7</w:t>
        <w:br w:clear="none"/>
      </w:r>
      <w:r>
        <w:rPr>
          <w:rStyle w:val="Text19"/>
        </w:rPr>
        <w:t xml:space="preserve">)</w:t>
        <w:br w:clear="none"/>
      </w:r>
      <w:r>
        <w:rPr>
          <w:rStyle w:val="Text11"/>
        </w:rPr>
        <w:t xml:space="preserve">      </w:t>
        <w:br w:clear="none"/>
      </w:r>
      <w:r>
        <w:t xml:space="preserve"># Dictionary with three items, str keys</w:t>
        <w:br w:clear="none"/>
      </w:r>
      <w:r>
        <w:rPr>
          <w:rStyle w:val="Text11"/>
        </w:rPr>
        <w:t xml:space="preserve"/>
        <w:br w:clear="none"/>
      </w:r>
      <w:r>
        <w:rPr>
          <w:rStyle w:val="Text21"/>
        </w:rPr>
        <w:t xml:space="preserve">dict</w:t>
        <w:br w:clear="none"/>
      </w:r>
      <w:r>
        <w:rPr>
          <w:rStyle w:val="Text19"/>
        </w:rPr>
        <w:t xml:space="preserve">(</w:t>
        <w:br w:clear="none"/>
        <w:t xml:space="preserve">[</w:t>
        <w:br w:clear="none"/>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t xml:space="preserve">,</w:t>
        <w:br w:clear="none"/>
      </w:r>
      <w:r>
        <w:rPr>
          <w:rStyle w:val="Text11"/>
        </w:rPr>
        <w:t xml:space="preserve"> </w:t>
        <w:br w:clear="none"/>
      </w:r>
      <w:r>
        <w:rPr>
          <w:rStyle w:val="Text19"/>
        </w:rPr>
        <w:t xml:space="preserve">(</w:t>
        <w:br w:clear="none"/>
      </w:r>
      <w:r>
        <w:rPr>
          <w:rStyle w:val="Text35"/>
        </w:rPr>
        <w:t xml:space="preserve">3</w:t>
        <w:br w:clear="none"/>
      </w:r>
      <w:r>
        <w:rPr>
          <w:rStyle w:val="Text19"/>
        </w:rPr>
        <w:t xml:space="preserve">,</w:t>
        <w:br w:clear="none"/>
      </w:r>
      <w:r>
        <w:rPr>
          <w:rStyle w:val="Text11"/>
        </w:rPr>
        <w:t xml:space="preserve"> </w:t>
        <w:br w:clear="none"/>
      </w:r>
      <w:r>
        <w:rPr>
          <w:rStyle w:val="Text35"/>
        </w:rPr>
        <w:t xml:space="preserve">4</w:t>
        <w:br w:clear="none"/>
      </w:r>
      <w:r>
        <w:rPr>
          <w:rStyle w:val="Text19"/>
        </w:rPr>
        <w:t xml:space="preserve">)</w:t>
        <w:br w:clear="none"/>
        <w:t xml:space="preserve">]</w:t>
        <w:br w:clear="none"/>
        <w:t xml:space="preserve">)</w:t>
        <w:br w:clear="none"/>
      </w:r>
      <w:r>
        <w:rPr>
          <w:rStyle w:val="Text11"/>
        </w:rPr>
        <w:t xml:space="preserve">       </w:t>
        <w:br w:clear="none"/>
      </w:r>
      <w:r>
        <w:t xml:space="preserve"># Dictionary with two items, int keys</w:t>
        <w:br w:clear="none"/>
      </w:r>
      <w:r>
        <w:rPr>
          <w:rStyle w:val="Text11"/>
        </w:rPr>
        <w:t xml:space="preserve"/>
        <w:br w:clear="none"/>
      </w:r>
      <w:r>
        <w:rPr>
          <w:rStyle w:val="Text21"/>
        </w:rPr>
        <w:t xml:space="preserve">dict</w:t>
        <w:br w:clear="none"/>
      </w:r>
      <w:r>
        <w:rPr>
          <w:rStyle w:val="Text19"/>
        </w:rPr>
        <w:t xml:space="preserve">(</w:t>
        <w:br w:clear="none"/>
        <w:t xml:space="preserve">[</w:t>
        <w:br w:clear="none"/>
        <w:t xml:space="preserve">(</w:t>
        <w:br w:clear="none"/>
      </w:r>
      <w:r>
        <w:rPr>
          <w:rStyle w:val="Text35"/>
        </w:rPr>
        <w:t xml:space="preserve">1</w:t>
        <w:br w:clear="none"/>
      </w:r>
      <w:r>
        <w:rPr>
          <w:rStyle w:val="Text19"/>
        </w:rPr>
        <w:t xml:space="preserve">,</w:t>
        <w:br w:clear="none"/>
      </w:r>
      <w:r>
        <w:rPr>
          <w:rStyle w:val="Text17"/>
        </w:rPr>
        <w:t xml:space="preserve">'</w:t>
        <w:br w:clear="none"/>
        <w:t xml:space="preserve">za</w:t>
        <w:br w:clear="none"/>
        <w:t xml:space="preserve">'</w:t>
        <w:br w:clear="none"/>
      </w:r>
      <w:r>
        <w:rPr>
          <w:rStyle w:val="Text19"/>
        </w:rPr>
        <w:t xml:space="preserve">)</w:t>
        <w:br w:clear="none"/>
        <w:t xml:space="preserve">,</w:t>
        <w:br w:clear="none"/>
      </w:r>
      <w:r>
        <w:rPr>
          <w:rStyle w:val="Text11"/>
        </w:rPr>
        <w:t xml:space="preserve"> </w:t>
        <w:br w:clear="none"/>
      </w:r>
      <w:r>
        <w:rPr>
          <w:rStyle w:val="Text19"/>
        </w:rPr>
        <w:t xml:space="preserve">(</w:t>
        <w:br w:clear="none"/>
      </w:r>
      <w:r>
        <w:rPr>
          <w:rStyle w:val="Text17"/>
        </w:rPr>
        <w:t xml:space="preserve">'</w:t>
        <w:br w:clear="none"/>
        <w:t xml:space="preserve">br</w:t>
        <w:br w:clear="none"/>
        <w:t xml:space="preserve">'</w:t>
        <w:br w:clear="none"/>
      </w:r>
      <w:r>
        <w:rPr>
          <w:rStyle w:val="Text19"/>
        </w:rPr>
        <w:t xml:space="preserve">,</w:t>
        <w:br w:clear="none"/>
      </w:r>
      <w:r>
        <w:rPr>
          <w:rStyle w:val="Text35"/>
        </w:rPr>
        <w:t xml:space="preserve">23</w:t>
        <w:br w:clear="none"/>
      </w:r>
      <w:r>
        <w:rPr>
          <w:rStyle w:val="Text19"/>
        </w:rPr>
        <w:t xml:space="preserve">)</w:t>
        <w:br w:clear="none"/>
        <w:t xml:space="preserve">]</w:t>
        <w:br w:clear="none"/>
        <w:t xml:space="preserve">)</w:t>
        <w:br w:clear="none"/>
      </w:r>
      <w:r>
        <w:rPr>
          <w:rStyle w:val="Text11"/>
        </w:rPr>
        <w:t xml:space="preserve">  </w:t>
        <w:br w:clear="none"/>
      </w:r>
      <w:r>
        <w:t xml:space="preserve"># Dictionary with different key types</w:t>
        <w:br w:clear="none"/>
      </w:r>
      <w:r>
        <w:rPr>
          <w:rStyle w:val="Text11"/>
        </w:rPr>
        <w:t xml:space="preserve"/>
        <w:br w:clear="none"/>
      </w:r>
      <w:r>
        <w:rPr>
          <w:rStyle w:val="Text21"/>
        </w:rPr>
        <w:t xml:space="preserve">dict</w:t>
        <w:br w:clear="none"/>
      </w:r>
      <w:r>
        <w:rPr>
          <w:rStyle w:val="Text19"/>
        </w:rPr>
        <w:t xml:space="preserve">(</w:t>
        <w:br w:clear="none"/>
        <w:t xml:space="preserve">)</w:t>
        <w:br w:clear="none"/>
      </w:r>
      <w:r>
        <w:rPr>
          <w:rStyle w:val="Text11"/>
        </w:rPr>
        <w:t xml:space="preserve">                       </w:t>
        <w:br w:clear="none"/>
      </w:r>
      <w:r>
        <w:t xml:space="preserve"># Empty dictionary</w:t>
        <w:br w:clear="none"/>
      </w:r>
    </w:p>
    <w:p>
      <w:pPr>
        <w:pStyle w:val="Normal"/>
      </w:pPr>
      <w:r>
        <w:rPr>
          <w:rStyle w:val="Text0"/>
        </w:rPr>
        <w:t>dict()</w:t>
      </w:r>
      <w:r>
        <w:t xml:space="preserve"> without arguments creates and returns an empty dictionary, like </w:t>
      </w:r>
      <w:r>
        <w:rPr>
          <w:rStyle w:val="Text0"/>
        </w:rPr>
        <w:t>{}</w:t>
      </w:r>
      <w:r>
        <w:t xml:space="preserve">. When the argument </w:t>
      </w:r>
      <w:r>
        <w:rPr>
          <w:rStyle w:val="Text3"/>
        </w:rPr>
        <w:t>x</w:t>
      </w:r>
      <w:r>
        <w:t xml:space="preserve"> to </w:t>
      </w:r>
      <w:r>
        <w:rPr>
          <w:rStyle w:val="Text0"/>
        </w:rPr>
        <w:t>dict</w:t>
      </w:r>
      <w:r>
        <w:t xml:space="preserve"> is a mapping, </w:t>
      </w:r>
      <w:r>
        <w:rPr>
          <w:rStyle w:val="Text0"/>
        </w:rPr>
        <w:t>dict</w:t>
      </w:r>
      <w:r>
        <w:t xml:space="preserve"> returns a new dictionary object with the same keys and values as </w:t>
      </w:r>
      <w:r>
        <w:rPr>
          <w:rStyle w:val="Text3"/>
        </w:rPr>
        <w:t>x</w:t>
      </w:r>
      <w:r>
        <w:t xml:space="preserve">. When </w:t>
      </w:r>
      <w:r>
        <w:rPr>
          <w:rStyle w:val="Text3"/>
        </w:rPr>
        <w:t>x</w:t>
      </w:r>
      <w:r>
        <w:t xml:space="preserve"> is iterable, the items in </w:t>
      </w:r>
      <w:r>
        <w:rPr>
          <w:rStyle w:val="Text3"/>
        </w:rPr>
        <w:t>x</w:t>
      </w:r>
      <w:r>
        <w:t xml:space="preserve"> must be pairs, and </w:t>
      </w:r>
      <w:r>
        <w:rPr>
          <w:rStyle w:val="Text0"/>
        </w:rPr>
        <w:t>dict(</w:t>
      </w:r>
      <w:r>
        <w:rPr>
          <w:rStyle w:val="Text3"/>
        </w:rPr>
        <w:t>x</w:t>
      </w:r>
      <w:r>
        <w:rPr>
          <w:rStyle w:val="Text0"/>
        </w:rPr>
        <w:t>)</w:t>
      </w:r>
      <w:r>
        <w:t xml:space="preserve"> returns a dictionary whose items (key/value pairs) are the same as the items in </w:t>
      </w:r>
      <w:r>
        <w:rPr>
          <w:rStyle w:val="Text3"/>
        </w:rPr>
        <w:t>x</w:t>
      </w:r>
      <w:r>
        <w:t xml:space="preserve">. If a key value appears more than once in </w:t>
      </w:r>
      <w:r>
        <w:rPr>
          <w:rStyle w:val="Text3"/>
        </w:rPr>
        <w:t>x</w:t>
      </w:r>
      <w:r>
        <w:t xml:space="preserve">, only the </w:t>
      </w:r>
      <w:r>
        <w:rPr>
          <w:rStyle w:val="Text4"/>
        </w:rPr>
        <w:t>last</w:t>
      </w:r>
      <w:r>
        <w:t xml:space="preserve"> item from </w:t>
      </w:r>
      <w:r>
        <w:rPr>
          <w:rStyle w:val="Text3"/>
        </w:rPr>
        <w:t>x</w:t>
      </w:r>
      <w:r>
        <w:t xml:space="preserve"> with that key value is kept in the resulting dictionary.</w:t>
      </w:r>
    </w:p>
    <w:p>
      <w:pPr>
        <w:pStyle w:val="Normal"/>
      </w:pPr>
      <w:r>
        <w:t xml:space="preserve">When you call </w:t>
      </w:r>
      <w:r>
        <w:rPr>
          <w:rStyle w:val="Text0"/>
        </w:rPr>
        <w:t>dict</w:t>
      </w:r>
      <w:r>
        <w:t xml:space="preserve"> in addition to or instead of the positional argument </w:t>
      </w:r>
      <w:r>
        <w:rPr>
          <w:rStyle w:val="Text3"/>
        </w:rPr>
        <w:t>x</w:t>
      </w:r>
      <w:r>
        <w:t>, you may pass</w:t>
      </w:r>
      <w:r>
        <w:rPr>
          <w:rStyle w:val="Text111"/>
        </w:rPr>
        <w:bookmarkStart w:id="622" w:name="idm45965258228512"/>
        <w:t/>
        <w:bookmarkEnd w:id="622"/>
      </w:r>
      <w:r>
        <w:t xml:space="preserve"> </w:t>
      </w:r>
      <w:r>
        <w:rPr>
          <w:rStyle w:val="Text4"/>
        </w:rPr>
        <w:t>named arguments</w:t>
      </w:r>
      <w:r>
        <w:t xml:space="preserve">, each with the syntax </w:t>
      </w:r>
      <w:r>
        <w:rPr>
          <w:rStyle w:val="Text3"/>
        </w:rPr>
        <w:t>name=value</w:t>
      </w:r>
      <w:r>
        <w:t xml:space="preserve">, where </w:t>
      </w:r>
      <w:r>
        <w:rPr>
          <w:rStyle w:val="Text3"/>
        </w:rPr>
        <w:t>name</w:t>
      </w:r>
      <w:r>
        <w:t xml:space="preserve"> is an identifier to use as an item’s key and </w:t>
      </w:r>
      <w:r>
        <w:rPr>
          <w:rStyle w:val="Text3"/>
        </w:rPr>
        <w:t>value</w:t>
      </w:r>
      <w:r>
        <w:t xml:space="preserve"> is an expression giving the item’s value. When you call </w:t>
      </w:r>
      <w:r>
        <w:rPr>
          <w:rStyle w:val="Text0"/>
        </w:rPr>
        <w:t>dict</w:t>
      </w:r>
      <w:r>
        <w:t xml:space="preserve"> and pass both a positional argument and one or more named arguments, if a key appears both in the positional argument and as a named argument, Python associates to that key the named argument’s value (i.e., the named argument “wins”).</w:t>
      </w:r>
    </w:p>
    <w:p>
      <w:pPr>
        <w:pStyle w:val="Normal"/>
      </w:pPr>
      <w:r>
        <w:t>You</w:t>
      </w:r>
      <w:r>
        <w:rPr>
          <w:rStyle w:val="Text111"/>
        </w:rPr>
        <w:bookmarkStart w:id="623" w:name="idm45965258223264"/>
        <w:t/>
        <w:bookmarkEnd w:id="623"/>
        <w:bookmarkStart w:id="624" w:name="idm45965258221888"/>
        <w:t/>
        <w:bookmarkEnd w:id="624"/>
      </w:r>
      <w:r>
        <w:t xml:space="preserve"> can unpack a dict’s contents into another dict using the </w:t>
      </w:r>
      <w:r>
        <w:rPr>
          <w:rStyle w:val="Text0"/>
        </w:rPr>
        <w:t>**</w:t>
      </w:r>
      <w:r>
        <w:t xml:space="preserve"> operator.</w:t>
      </w:r>
    </w:p>
    <w:p>
      <w:pPr>
        <w:pStyle w:val="Para 046"/>
      </w:pPr>
      <w:r>
        <w:rPr>
          <w:rStyle w:val="Text23"/>
        </w:rPr>
        <w:t xml:space="preserve"/>
        <w:br w:clear="none"/>
      </w:r>
      <w:r>
        <w:rPr>
          <w:rStyle w:val="Text9"/>
        </w:rPr>
        <w:t xml:space="preserve">d1</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'a'</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8"/>
        </w:rPr>
        <w:t xml:space="preserve">'x'</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br w:clear="none"/>
      </w:r>
      <w:r>
        <w:rPr>
          <w:rStyle w:val="Text9"/>
        </w:rPr>
        <w:t xml:space="preserve">d2</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'c'</w:t>
        <w:br w:clear="none"/>
      </w:r>
      <w:r>
        <w:rPr>
          <w:rStyle w:val="Text7"/>
        </w:rPr>
        <w:t xml:space="preserve">:</w:t>
        <w:br w:clear="none"/>
      </w:r>
      <w:r>
        <w:rPr>
          <w:rStyle w:val="Text23"/>
        </w:rPr>
        <w:t xml:space="preserve"> </w:t>
        <w:br w:clear="none"/>
      </w:r>
      <w:r>
        <w:rPr>
          <w:rStyle w:val="Text27"/>
        </w:rPr>
        <w:t xml:space="preserve">2</w:t>
        <w:br w:clear="none"/>
      </w:r>
      <w:r>
        <w:rPr>
          <w:rStyle w:val="Text7"/>
        </w:rPr>
        <w:t xml:space="preserve">,</w:t>
        <w:br w:clear="none"/>
      </w:r>
      <w:r>
        <w:rPr>
          <w:rStyle w:val="Text23"/>
        </w:rPr>
        <w:t xml:space="preserve"> </w:t>
        <w:br w:clear="none"/>
      </w:r>
      <w:r>
        <w:rPr>
          <w:rStyle w:val="Text8"/>
        </w:rPr>
        <w:t xml:space="preserve">'x'</w:t>
        <w:br w:clear="none"/>
      </w:r>
      <w:r>
        <w:rPr>
          <w:rStyle w:val="Text7"/>
        </w:rPr>
        <w:t xml:space="preserve">:</w:t>
        <w:br w:clear="none"/>
      </w:r>
      <w:r>
        <w:rPr>
          <w:rStyle w:val="Text23"/>
        </w:rPr>
        <w:t xml:space="preserve"> </w:t>
        <w:br w:clear="none"/>
      </w:r>
      <w:r>
        <w:rPr>
          <w:rStyle w:val="Text27"/>
        </w:rPr>
        <w:t xml:space="preserve">5</w:t>
        <w:br w:clear="none"/>
      </w:r>
      <w:r>
        <w:rPr>
          <w:rStyle w:val="Text7"/>
        </w:rPr>
        <w:t xml:space="preserve">}</w:t>
        <w:br w:clear="none"/>
      </w:r>
      <w:r>
        <w:rPr>
          <w:rStyle w:val="Text23"/>
        </w:rPr>
        <w:t xml:space="preserve"/>
        <w:br w:clear="none"/>
      </w:r>
      <w:r>
        <w:rPr>
          <w:rStyle w:val="Text9"/>
        </w:rPr>
        <w:t xml:space="preserve">d3</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13"/>
        </w:rPr>
        <w:t xml:space="preserve">**</w:t>
        <w:br w:clear="none"/>
      </w:r>
      <w:r>
        <w:rPr>
          <w:rStyle w:val="Text9"/>
        </w:rPr>
        <w:t xml:space="preserve">d1</w:t>
        <w:br w:clear="none"/>
      </w:r>
      <w:r>
        <w:rPr>
          <w:rStyle w:val="Text7"/>
        </w:rPr>
        <w:t xml:space="preserve">,</w:t>
        <w:br w:clear="none"/>
      </w:r>
      <w:r>
        <w:rPr>
          <w:rStyle w:val="Text23"/>
        </w:rPr>
        <w:t xml:space="preserve"> </w:t>
        <w:br w:clear="none"/>
      </w:r>
      <w:r>
        <w:rPr>
          <w:rStyle w:val="Text13"/>
        </w:rPr>
        <w:t xml:space="preserve">**</w:t>
        <w:br w:clear="none"/>
      </w:r>
      <w:r>
        <w:rPr>
          <w:rStyle w:val="Text9"/>
        </w:rPr>
        <w:t xml:space="preserve">d2</w:t>
        <w:br w:clear="none"/>
      </w:r>
      <w:r>
        <w:rPr>
          <w:rStyle w:val="Text7"/>
        </w:rPr>
        <w:t xml:space="preserve">}</w:t>
        <w:br w:clear="none"/>
      </w:r>
      <w:r>
        <w:rPr>
          <w:rStyle w:val="Text23"/>
        </w:rPr>
        <w:t xml:space="preserve">  </w:t>
        <w:br w:clear="none"/>
      </w:r>
      <w:r>
        <w:t xml:space="preserve"># result is {'a':1, 'x': 5, 'c': 2}</w:t>
        <w:br w:clear="none"/>
      </w:r>
    </w:p>
    <w:p>
      <w:pPr>
        <w:pStyle w:val="Normal"/>
      </w:pPr>
      <w:r>
        <w:rPr>
          <w:rStyle w:val="Text34"/>
        </w:rPr>
        <w:t>3.9+</w:t>
      </w:r>
      <w:r>
        <w:t xml:space="preserve"> As of Python 3.9, this same operation can be performed using</w:t>
      </w:r>
      <w:r>
        <w:rPr>
          <w:rStyle w:val="Text111"/>
        </w:rPr>
        <w:bookmarkStart w:id="625" w:name="idm45965258181792"/>
        <w:t/>
        <w:bookmarkEnd w:id="625"/>
        <w:bookmarkStart w:id="626" w:name="idm45965258180816"/>
        <w:t/>
        <w:bookmarkEnd w:id="626"/>
      </w:r>
      <w:r>
        <w:t xml:space="preserve"> the | operator.</w:t>
      </w:r>
    </w:p>
    <w:p>
      <w:pPr>
        <w:pStyle w:val="Para 046"/>
      </w:pPr>
      <w:r>
        <w:rPr>
          <w:rStyle w:val="Text23"/>
        </w:rPr>
        <w:t xml:space="preserve"/>
        <w:br w:clear="none"/>
      </w:r>
      <w:r>
        <w:rPr>
          <w:rStyle w:val="Text9"/>
        </w:rPr>
        <w:t xml:space="preserve">d4</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d1</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d2</w:t>
        <w:br w:clear="none"/>
      </w:r>
      <w:r>
        <w:rPr>
          <w:rStyle w:val="Text23"/>
        </w:rPr>
        <w:t xml:space="preserve">  </w:t>
        <w:br w:clear="none"/>
      </w:r>
      <w:r>
        <w:t xml:space="preserve"># same result as d3</w:t>
        <w:br w:clear="none"/>
      </w:r>
    </w:p>
    <w:p>
      <w:pPr>
        <w:pStyle w:val="Normal"/>
      </w:pPr>
      <w:r>
        <w:t xml:space="preserve">You can also create a dictionary by calling </w:t>
      </w:r>
      <w:r>
        <w:rPr>
          <w:rStyle w:val="Text0"/>
        </w:rPr>
        <w:t>dict.fromkeys</w:t>
      </w:r>
      <w:r>
        <w:t xml:space="preserve">. The first argument is an iterable whose items become the keys of the dictionary; the second argument is the value that corresponds to each and every key (all keys initially map to the same value). If you omit the second argument, it defaults to </w:t>
      </w:r>
      <w:r>
        <w:rPr>
          <w:rStyle w:val="Text5"/>
        </w:rPr>
        <w:t>None</w:t>
      </w:r>
      <w:r>
        <w:t>. For example:</w:t>
      </w:r>
    </w:p>
    <w:p>
      <w:pPr>
        <w:pStyle w:val="Para 014"/>
      </w:pPr>
      <w:r>
        <w:rPr>
          <w:rStyle w:val="Text116"/>
        </w:rPr>
        <w:t xml:space="preserve"/>
        <w:br w:clear="none"/>
      </w:r>
      <w:r>
        <w:rPr>
          <w:rStyle w:val="Text21"/>
        </w:rPr>
        <w:t xml:space="preserve">dict</w:t>
        <w:br w:clear="none"/>
      </w:r>
      <w:r>
        <w:rPr>
          <w:rStyle w:val="Text28"/>
        </w:rPr>
        <w:t xml:space="preserve">.</w:t>
        <w:br w:clear="none"/>
      </w:r>
      <w:r>
        <w:rPr>
          <w:rStyle w:val="Text14"/>
        </w:rPr>
        <w:t xml:space="preserve">fromkeys</w:t>
        <w:br w:clear="none"/>
      </w:r>
      <w:r>
        <w:rPr>
          <w:rStyle w:val="Text19"/>
        </w:rPr>
        <w:t xml:space="preserve">(</w:t>
        <w:br w:clear="none"/>
      </w:r>
      <w:r>
        <w:rPr>
          <w:rStyle w:val="Text17"/>
        </w:rPr>
        <w:t xml:space="preserve">'</w:t>
        <w:br w:clear="none"/>
        <w:t xml:space="preserve">hello</w:t>
        <w:br w:clear="none"/>
        <w:t xml:space="preserve">'</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t xml:space="preserve"># Same as {'h':2, 'e':2, 'l':2, 'o':2}</w:t>
        <w:br w:clear="none"/>
      </w:r>
      <w:r>
        <w:rPr>
          <w:rStyle w:val="Text11"/>
        </w:rPr>
        <w:t xml:space="preserve"/>
        <w:br w:clear="none"/>
      </w:r>
      <w:r>
        <w:rPr>
          <w:rStyle w:val="Text21"/>
        </w:rPr>
        <w:t xml:space="preserve">dict</w:t>
        <w:br w:clear="none"/>
      </w:r>
      <w:r>
        <w:rPr>
          <w:rStyle w:val="Text28"/>
        </w:rPr>
        <w:t xml:space="preserve">.</w:t>
        <w:br w:clear="none"/>
      </w:r>
      <w:r>
        <w:rPr>
          <w:rStyle w:val="Text14"/>
        </w:rPr>
        <w:t xml:space="preserve">fromkeys</w:t>
        <w:br w:clear="none"/>
      </w:r>
      <w:r>
        <w:rPr>
          <w:rStyle w:val="Text19"/>
        </w:rPr>
        <w:t xml:space="preserve">(</w:t>
        <w:br w:clear="none"/>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t xml:space="preserve">)</w:t>
        <w:br w:clear="none"/>
      </w:r>
      <w:r>
        <w:rPr>
          <w:rStyle w:val="Text11"/>
        </w:rPr>
        <w:t xml:space="preserve">     </w:t>
        <w:br w:clear="none"/>
      </w:r>
      <w:r>
        <w:t xml:space="preserve"># Same as {1:</w:t>
        <w:br w:clear="none"/>
        <w:t xml:space="preserve">None</w:t>
        <w:br w:clear="none"/>
        <w:t xml:space="preserve">, 2:</w:t>
        <w:br w:clear="none"/>
        <w:t xml:space="preserve">None</w:t>
        <w:br w:clear="none"/>
        <w:t xml:space="preserve">, 3:</w:t>
        <w:br w:clear="none"/>
        <w:t xml:space="preserve">None</w:t>
        <w:br w:clear="none"/>
        <w:t xml:space="preserve">}</w:t>
        <w:br w:clear="none"/>
      </w:r>
    </w:p>
    <w:p>
      <w:pPr>
        <w:pStyle w:val="Normal"/>
      </w:pPr>
      <w:r>
        <w:t xml:space="preserve">You can also build a </w:t>
      </w:r>
      <w:r>
        <w:rPr>
          <w:rStyle w:val="Text0"/>
        </w:rPr>
        <w:t>dict</w:t>
      </w:r>
      <w:r>
        <w:t xml:space="preserve"> using a dictionary comprehension, as discussed in </w:t>
      </w:r>
      <w:hyperlink w:anchor="Dictionary_comprehensions__A_dic">
        <w:r>
          <w:rPr>
            <w:rStyle w:val="Text1"/>
          </w:rPr>
          <w:t>“Dictionary comprehensions”</w:t>
        </w:r>
      </w:hyperlink>
      <w:r>
        <w:t>.</w:t>
      </w:r>
    </w:p>
    <w:p>
      <w:pPr>
        <w:pStyle w:val="Normal"/>
      </w:pPr>
      <w:r>
        <w:t xml:space="preserve">When comparing two </w:t>
      </w:r>
      <w:r>
        <w:rPr>
          <w:rStyle w:val="Text0"/>
        </w:rPr>
        <w:t>dict</w:t>
      </w:r>
      <w:r>
        <w:t>s for equality, they will evaluate as equal if they have the same keys and corresponding values, even if the keys are not in the same order.</w:t>
      </w:r>
      <w:r>
        <w:rPr>
          <w:rStyle w:val="Text111"/>
        </w:rPr>
        <w:bookmarkStart w:id="627" w:name="idm45965279297392"/>
        <w:t/>
        <w:bookmarkEnd w:id="627"/>
      </w:r>
    </w:p>
    <w:p>
      <w:bookmarkStart w:id="628" w:name="None__The_built_in_None_denotes"/>
      <w:pPr>
        <w:keepNext/>
        <w:pStyle w:val="Heading 2"/>
      </w:pPr>
      <w:r>
        <w:t>None</w:t>
      </w:r>
      <w:bookmarkEnd w:id="628"/>
    </w:p>
    <w:p>
      <w:pPr>
        <w:pStyle w:val="Normal"/>
      </w:pPr>
      <w:r>
        <w:t>The</w:t>
      </w:r>
      <w:r>
        <w:rPr>
          <w:rStyle w:val="Text111"/>
        </w:rPr>
        <w:bookmarkStart w:id="629" w:name="idm45965279294496"/>
        <w:t/>
        <w:bookmarkEnd w:id="629"/>
        <w:bookmarkStart w:id="630" w:name="idm45965279293088"/>
        <w:t/>
        <w:bookmarkEnd w:id="630"/>
        <w:bookmarkStart w:id="631" w:name="idm45965279291984"/>
        <w:t/>
        <w:bookmarkEnd w:id="631"/>
        <w:bookmarkStart w:id="632" w:name="idm45965279263312"/>
        <w:t/>
        <w:bookmarkEnd w:id="632"/>
      </w:r>
      <w:r>
        <w:t xml:space="preserve"> built-in </w:t>
      </w:r>
      <w:r>
        <w:rPr>
          <w:rStyle w:val="Text5"/>
        </w:rPr>
        <w:t>None</w:t>
      </w:r>
      <w:r>
        <w:t xml:space="preserve"> denotes a null object. </w:t>
      </w:r>
      <w:r>
        <w:rPr>
          <w:rStyle w:val="Text5"/>
        </w:rPr>
        <w:t>None</w:t>
      </w:r>
      <w:r>
        <w:t xml:space="preserve"> has no methods or other attributes. You can use </w:t>
      </w:r>
      <w:r>
        <w:rPr>
          <w:rStyle w:val="Text5"/>
        </w:rPr>
        <w:t>None</w:t>
      </w:r>
      <w:r>
        <w:t xml:space="preserve"> as a placeholder when you need a reference but you don’t care what object you refer to, or when you need to indicate that no object is there. Functions return </w:t>
      </w:r>
      <w:r>
        <w:rPr>
          <w:rStyle w:val="Text5"/>
        </w:rPr>
        <w:t>None</w:t>
      </w:r>
      <w:r>
        <w:t xml:space="preserve"> as their result unless they have specific </w:t>
      </w:r>
      <w:r>
        <w:rPr>
          <w:rStyle w:val="Text5"/>
        </w:rPr>
        <w:t>return</w:t>
      </w:r>
      <w:r>
        <w:t xml:space="preserve"> statements coded to return other values. </w:t>
      </w:r>
      <w:r>
        <w:rPr>
          <w:rStyle w:val="Text5"/>
        </w:rPr>
        <w:t>None</w:t>
      </w:r>
      <w:r>
        <w:t xml:space="preserve"> is hashable and can be used as a </w:t>
      </w:r>
      <w:r>
        <w:rPr>
          <w:rStyle w:val="Text0"/>
        </w:rPr>
        <w:t>dict</w:t>
      </w:r>
      <w:r>
        <w:t xml:space="preserve"> key.</w:t>
      </w:r>
    </w:p>
    <w:p>
      <w:bookmarkStart w:id="633" w:name="Ellipsis________The_Ellipsis__wr"/>
      <w:pPr>
        <w:keepNext/>
        <w:pStyle w:val="Heading 2"/>
      </w:pPr>
      <w:r>
        <w:t>Ellipsis (...)</w:t>
      </w:r>
      <w:bookmarkEnd w:id="633"/>
    </w:p>
    <w:p>
      <w:pPr>
        <w:pStyle w:val="Normal"/>
      </w:pPr>
      <w:r>
        <w:t>The</w:t>
      </w:r>
      <w:r>
        <w:rPr>
          <w:rStyle w:val="Text111"/>
        </w:rPr>
        <w:bookmarkStart w:id="634" w:name="idm45965279254336"/>
        <w:t/>
        <w:bookmarkEnd w:id="634"/>
        <w:bookmarkStart w:id="635" w:name="idm45965279252544"/>
        <w:t/>
        <w:bookmarkEnd w:id="635"/>
        <w:bookmarkStart w:id="636" w:name="idm45965279251440"/>
        <w:t/>
        <w:bookmarkEnd w:id="636"/>
      </w:r>
      <w:r>
        <w:t xml:space="preserve"> </w:t>
      </w:r>
      <w:r>
        <w:rPr>
          <w:rStyle w:val="Text0"/>
        </w:rPr>
        <w:t>Ellipsis</w:t>
      </w:r>
      <w:r>
        <w:t xml:space="preserve">, written as three periods with no intervening spaces, </w:t>
      </w:r>
      <w:r>
        <w:rPr>
          <w:rStyle w:val="Text0"/>
        </w:rPr>
        <w:t>...</w:t>
      </w:r>
      <w:r>
        <w:t>, is a special object in Python used in numerical applications,</w:t>
      </w:r>
      <w:hyperlink w:anchor="10_See__Shape__indexing__and_sli">
        <w:r>
          <w:rPr>
            <w:rStyle w:val="Text41"/>
          </w:rPr>
          <w:bookmarkStart w:id="637" w:name="10_1"/>
          <w:t>10</w:t>
          <w:bookmarkEnd w:id="637"/>
        </w:r>
      </w:hyperlink>
      <w:r>
        <w:t xml:space="preserve"> or as an alternative to </w:t>
      </w:r>
      <w:r>
        <w:rPr>
          <w:rStyle w:val="Text5"/>
        </w:rPr>
        <w:t>None</w:t>
      </w:r>
      <w:r>
        <w:t xml:space="preserve"> when </w:t>
      </w:r>
      <w:r>
        <w:rPr>
          <w:rStyle w:val="Text5"/>
        </w:rPr>
        <w:t>None</w:t>
      </w:r>
      <w:r>
        <w:t xml:space="preserve"> is a valid entry. For instance, to initialize a </w:t>
      </w:r>
      <w:r>
        <w:rPr>
          <w:rStyle w:val="Text0"/>
        </w:rPr>
        <w:t>dict</w:t>
      </w:r>
      <w:r>
        <w:t xml:space="preserve"> that may take </w:t>
      </w:r>
      <w:r>
        <w:rPr>
          <w:rStyle w:val="Text5"/>
        </w:rPr>
        <w:t>None</w:t>
      </w:r>
      <w:r>
        <w:t xml:space="preserve"> as a legitimate value, you can initialize it with </w:t>
      </w:r>
      <w:r>
        <w:rPr>
          <w:rStyle w:val="Text0"/>
        </w:rPr>
        <w:t>...</w:t>
      </w:r>
      <w:r>
        <w:t xml:space="preserve"> as an indicator of “no value supplied, not even </w:t>
      </w:r>
      <w:r>
        <w:rPr>
          <w:rStyle w:val="Text5"/>
        </w:rPr>
        <w:t>None</w:t>
      </w:r>
      <w:r>
        <w:t xml:space="preserve">.” </w:t>
      </w:r>
      <w:r>
        <w:rPr>
          <w:rStyle w:val="Text0"/>
        </w:rPr>
        <w:t>Ellipsis</w:t>
      </w:r>
      <w:r>
        <w:t xml:space="preserve"> is hashable and so can be used as a </w:t>
      </w:r>
      <w:r>
        <w:rPr>
          <w:rStyle w:val="Text0"/>
        </w:rPr>
        <w:t>dict</w:t>
      </w:r>
      <w:r>
        <w:t xml:space="preserve"> key:</w:t>
      </w:r>
    </w:p>
    <w:p>
      <w:pPr>
        <w:pStyle w:val="Para 007"/>
      </w:pPr>
      <w:r>
        <w:rPr>
          <w:rStyle w:val="Text23"/>
        </w:rPr>
        <w:t xml:space="preserve"/>
        <w:br w:clear="none"/>
      </w:r>
      <w:r>
        <w:t xml:space="preserve">tally</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dict</w:t>
        <w:br w:clear="none"/>
      </w:r>
      <w:r>
        <w:rPr>
          <w:rStyle w:val="Text13"/>
        </w:rPr>
        <w:t xml:space="preserve">.</w:t>
        <w:br w:clear="none"/>
      </w:r>
      <w:r>
        <w:t xml:space="preserve">fromkeys</w:t>
        <w:br w:clear="none"/>
      </w:r>
      <w:r>
        <w:rPr>
          <w:rStyle w:val="Text7"/>
        </w:rPr>
        <w:t xml:space="preserve">(</w:t>
        <w:br w:clear="none"/>
        <w:t xml:space="preserve">[</w:t>
        <w:br w:clear="none"/>
      </w:r>
      <w:r>
        <w:rPr>
          <w:rStyle w:val="Text8"/>
        </w:rPr>
        <w:t xml:space="preserve">'</w:t>
        <w:br w:clear="none"/>
        <w:t xml:space="preserve">A</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B</w:t>
        <w:br w:clear="none"/>
        <w:t xml:space="preserve">'</w:t>
        <w:br w:clear="none"/>
      </w:r>
      <w:r>
        <w:rPr>
          <w:rStyle w:val="Text7"/>
        </w:rPr>
        <w:t xml:space="preserve">,</w:t>
        <w:br w:clear="none"/>
      </w:r>
      <w:r>
        <w:rPr>
          <w:rStyle w:val="Text6"/>
        </w:rPr>
        <w:t xml:space="preserve"> </w:t>
        <w:br w:clear="none"/>
      </w:r>
      <w:r>
        <w:rPr>
          <w:rStyle w:val="Text10"/>
        </w:rPr>
        <w:t xml:space="preserve">None</w:t>
        <w:br w:clear="none"/>
      </w:r>
      <w:r>
        <w:rPr>
          <w:rStyle w:val="Text7"/>
        </w:rPr>
        <w:t xml:space="preserve">,</w:t>
        <w:br w:clear="none"/>
      </w:r>
      <w:r>
        <w:rPr>
          <w:rStyle w:val="Text6"/>
        </w:rPr>
        <w:t xml:space="preserve"> </w:t>
        <w:br w:clear="none"/>
      </w:r>
      <w:r>
        <w:rPr>
          <w:rStyle w:val="Text13"/>
        </w:rPr>
        <w:t xml:space="preserve">.</w:t>
        <w:br w:clear="none"/>
        <w:t xml:space="preserve">.</w:t>
        <w:br w:clear="none"/>
        <w:t xml:space="preserve">.</w:t>
        <w:br w:clear="none"/>
      </w:r>
      <w:r>
        <w:rPr>
          <w:rStyle w:val="Text7"/>
        </w:rPr>
        <w:t xml:space="preserve">]</w:t>
        <w:br w:clear="none"/>
        <w:t xml:space="preserve">,</w:t>
        <w:br w:clear="none"/>
      </w:r>
      <w:r>
        <w:rPr>
          <w:rStyle w:val="Text6"/>
        </w:rPr>
        <w:t xml:space="preserve"> </w:t>
        <w:br w:clear="none"/>
      </w:r>
      <w:r>
        <w:rPr>
          <w:rStyle w:val="Text27"/>
        </w:rPr>
        <w:t xml:space="preserve">0</w:t>
        <w:br w:clear="none"/>
      </w:r>
      <w:r>
        <w:rPr>
          <w:rStyle w:val="Text7"/>
        </w:rPr>
        <w:t xml:space="preserve">)</w:t>
        <w:br w:clear="none"/>
      </w:r>
    </w:p>
    <w:p>
      <w:bookmarkStart w:id="638" w:name="Callables__In_Python__callable_t"/>
      <w:pPr>
        <w:keepNext/>
        <w:pStyle w:val="Heading 2"/>
      </w:pPr>
      <w:r>
        <w:t>Callables</w:t>
      </w:r>
      <w:bookmarkEnd w:id="638"/>
    </w:p>
    <w:p>
      <w:pPr>
        <w:pStyle w:val="Normal"/>
      </w:pPr>
      <w:r>
        <w:t>In</w:t>
      </w:r>
      <w:r>
        <w:rPr>
          <w:rStyle w:val="Text111"/>
        </w:rPr>
        <w:bookmarkStart w:id="639" w:name="idm45965279211328"/>
        <w:t/>
        <w:bookmarkEnd w:id="639"/>
        <w:bookmarkStart w:id="640" w:name="idm45965279209984"/>
        <w:t/>
        <w:bookmarkEnd w:id="640"/>
      </w:r>
      <w:r>
        <w:t xml:space="preserve"> Python, callable types are those whose instances support the function call operation (see </w:t>
      </w:r>
      <w:hyperlink w:anchor="Calling_Functions__A_function_ca">
        <w:r>
          <w:rPr>
            <w:rStyle w:val="Text1"/>
          </w:rPr>
          <w:t>“Calling Functions”</w:t>
        </w:r>
      </w:hyperlink>
      <w:r>
        <w:t xml:space="preserve">). Functions are callable. Python provides numerous built-in functions (see </w:t>
      </w:r>
      <w:hyperlink w:anchor="Built_in_Functions__Table_8_2_co">
        <w:r>
          <w:rPr>
            <w:rStyle w:val="Text1"/>
          </w:rPr>
          <w:t>“Built-in Functions”</w:t>
        </w:r>
      </w:hyperlink>
      <w:r>
        <w:t xml:space="preserve">) and supports user-defined functions (see </w:t>
      </w:r>
      <w:hyperlink w:anchor="Defining_Functions__The_def_Stat">
        <w:r>
          <w:rPr>
            <w:rStyle w:val="Text1"/>
          </w:rPr>
          <w:t>“Defining Functions: The def Statement”</w:t>
        </w:r>
      </w:hyperlink>
      <w:r>
        <w:t xml:space="preserve">). Generators are also callable (see </w:t>
      </w:r>
      <w:hyperlink w:anchor="Generators__When_the_body_of_a_f">
        <w:r>
          <w:rPr>
            <w:rStyle w:val="Text1"/>
          </w:rPr>
          <w:t>“Generators”</w:t>
        </w:r>
      </w:hyperlink>
      <w:r>
        <w:t>).</w:t>
      </w:r>
    </w:p>
    <w:p>
      <w:pPr>
        <w:pStyle w:val="Normal"/>
      </w:pPr>
      <w:r>
        <w:t xml:space="preserve">Types are callable too, as we saw for the </w:t>
      </w:r>
      <w:r>
        <w:rPr>
          <w:rStyle w:val="Text0"/>
        </w:rPr>
        <w:t>dict</w:t>
      </w:r>
      <w:r>
        <w:t xml:space="preserve">, </w:t>
      </w:r>
      <w:r>
        <w:rPr>
          <w:rStyle w:val="Text0"/>
        </w:rPr>
        <w:t>list</w:t>
      </w:r>
      <w:r>
        <w:t xml:space="preserve">, </w:t>
      </w:r>
      <w:r>
        <w:rPr>
          <w:rStyle w:val="Text0"/>
        </w:rPr>
        <w:t>set</w:t>
      </w:r>
      <w:r>
        <w:t xml:space="preserve">, and </w:t>
      </w:r>
      <w:r>
        <w:rPr>
          <w:rStyle w:val="Text0"/>
        </w:rPr>
        <w:t>tuple</w:t>
      </w:r>
      <w:r>
        <w:t xml:space="preserve"> built-in types. (See </w:t>
      </w:r>
      <w:hyperlink w:anchor="Built_in_Types__Table_8_1_provid">
        <w:r>
          <w:rPr>
            <w:rStyle w:val="Text1"/>
          </w:rPr>
          <w:t>“Built-in Types”</w:t>
        </w:r>
      </w:hyperlink>
      <w:r>
        <w:t xml:space="preserve"> for a complete list of built-in types.) As we discuss in </w:t>
      </w:r>
      <w:hyperlink w:anchor="Python_Classes__A_class_is_a_Pyt">
        <w:r>
          <w:rPr>
            <w:rStyle w:val="Text1"/>
          </w:rPr>
          <w:t>“Python Classes”</w:t>
        </w:r>
      </w:hyperlink>
      <w:r>
        <w:t xml:space="preserve">, </w:t>
      </w:r>
      <w:r>
        <w:rPr>
          <w:rStyle w:val="Text5"/>
        </w:rPr>
        <w:t>class</w:t>
      </w:r>
      <w:r>
        <w:t xml:space="preserve"> objects (user-defined types) are also callable. Calling a type usually creates and returns a new instance of that type.</w:t>
      </w:r>
    </w:p>
    <w:p>
      <w:pPr>
        <w:pStyle w:val="Normal"/>
      </w:pPr>
      <w:r>
        <w:t>Other callables include</w:t>
      </w:r>
      <w:r>
        <w:rPr>
          <w:rStyle w:val="Text111"/>
        </w:rPr>
        <w:bookmarkStart w:id="641" w:name="idm45965279177648"/>
        <w:t/>
        <w:bookmarkEnd w:id="641"/>
      </w:r>
      <w:r>
        <w:t xml:space="preserve"> </w:t>
      </w:r>
      <w:r>
        <w:rPr>
          <w:rStyle w:val="Text4"/>
        </w:rPr>
        <w:t>methods</w:t>
      </w:r>
      <w:r>
        <w:t xml:space="preserve">, which are functions bound as class attributes, and instances of classes that supply a special method named </w:t>
      </w:r>
      <w:r>
        <w:rPr>
          <w:rStyle w:val="Text0"/>
        </w:rPr>
        <w:t>__call__</w:t>
      </w:r>
      <w:r>
        <w:t>.</w:t>
      </w:r>
    </w:p>
    <w:p>
      <w:bookmarkStart w:id="642" w:name="Boolean_Values__Any11_data_value"/>
      <w:pPr>
        <w:keepNext/>
        <w:pStyle w:val="Heading 2"/>
      </w:pPr>
      <w:r>
        <w:t>Boolean Values</w:t>
      </w:r>
      <w:bookmarkEnd w:id="642"/>
    </w:p>
    <w:p>
      <w:pPr>
        <w:pStyle w:val="Normal"/>
      </w:pPr>
      <w:r>
        <w:t>Any</w:t>
      </w:r>
      <w:hyperlink w:anchor="11_Strictly_speaking__almost_any">
        <w:r>
          <w:rPr>
            <w:rStyle w:val="Text41"/>
          </w:rPr>
          <w:bookmarkStart w:id="643" w:name="11_1"/>
          <w:t>11</w:t>
          <w:bookmarkEnd w:id="643"/>
        </w:r>
      </w:hyperlink>
      <w:r>
        <w:t xml:space="preserve"> data</w:t>
      </w:r>
      <w:r>
        <w:rPr>
          <w:rStyle w:val="Text111"/>
        </w:rPr>
        <w:bookmarkStart w:id="644" w:name="idm45965279170224"/>
        <w:t/>
        <w:bookmarkEnd w:id="644"/>
        <w:bookmarkStart w:id="645" w:name="idm45965279168816"/>
        <w:t/>
        <w:bookmarkEnd w:id="645"/>
      </w:r>
      <w:r>
        <w:t xml:space="preserve"> value in Python can be used as a truth value: true or false. Any nonzero number or nonempty container (e.g., string, tuple, list, set, or dictionary) is true. Zero (</w:t>
      </w:r>
      <w:r>
        <w:rPr>
          <w:rStyle w:val="Text0"/>
        </w:rPr>
        <w:t>0</w:t>
      </w:r>
      <w:r>
        <w:t xml:space="preserve">, of any numeric type), </w:t>
      </w:r>
      <w:r>
        <w:rPr>
          <w:rStyle w:val="Text5"/>
        </w:rPr>
        <w:t>None</w:t>
      </w:r>
      <w:r>
        <w:t>, and empty containers are false. You may see the terms</w:t>
      </w:r>
      <w:r>
        <w:rPr>
          <w:rStyle w:val="Text111"/>
        </w:rPr>
        <w:bookmarkStart w:id="646" w:name="idm45965279166048"/>
        <w:t/>
        <w:bookmarkEnd w:id="646"/>
        <w:bookmarkStart w:id="647" w:name="idm45965279164976"/>
        <w:t/>
        <w:bookmarkEnd w:id="647"/>
      </w:r>
      <w:r>
        <w:t xml:space="preserve"> “truthy” and “falsy” used to indicate values that evaluate as either true or false.</w:t>
      </w:r>
    </w:p>
    <w:p>
      <w:pPr>
        <w:keepNext/>
        <w:pStyle w:val="Heading 6"/>
        <w:keepLines w:val="on"/>
      </w:pPr>
      <w:r>
        <w:t>Beware Using a Float as a Truth Value</w:t>
      </w:r>
    </w:p>
    <w:p>
      <w:pPr>
        <w:pStyle w:val="Para 012"/>
        <w:keepLines w:val="on"/>
      </w:pPr>
      <w:r>
        <w:t>Be careful about using a floating-point number as a truth value: that’s like comparing the number for exact equality with zero, and floating-point numbers should almost never be compared for exact equality.</w:t>
      </w:r>
    </w:p>
    <w:p>
      <w:pPr>
        <w:pStyle w:val="Normal"/>
      </w:pPr>
      <w:r>
        <w:t>The</w:t>
      </w:r>
      <w:r>
        <w:rPr>
          <w:rStyle w:val="Text111"/>
        </w:rPr>
        <w:bookmarkStart w:id="648" w:name="idm45965279161392"/>
        <w:t/>
        <w:bookmarkEnd w:id="648"/>
      </w:r>
      <w:r>
        <w:t xml:space="preserve"> built-in type </w:t>
      </w:r>
      <w:r>
        <w:rPr>
          <w:rStyle w:val="Text0"/>
        </w:rPr>
        <w:t>bool</w:t>
      </w:r>
      <w:r>
        <w:t xml:space="preserve"> is a subclass of </w:t>
      </w:r>
      <w:r>
        <w:rPr>
          <w:rStyle w:val="Text0"/>
        </w:rPr>
        <w:t>int</w:t>
      </w:r>
      <w:r>
        <w:t xml:space="preserve">. The only two values of type </w:t>
      </w:r>
      <w:r>
        <w:rPr>
          <w:rStyle w:val="Text0"/>
        </w:rPr>
        <w:t>bool</w:t>
      </w:r>
      <w:r>
        <w:t xml:space="preserve"> are </w:t>
      </w:r>
      <w:r>
        <w:rPr>
          <w:rStyle w:val="Text5"/>
        </w:rPr>
        <w:t>True</w:t>
      </w:r>
      <w:r>
        <w:rPr>
          <w:rStyle w:val="Text111"/>
        </w:rPr>
        <w:bookmarkStart w:id="649" w:name="idm45965279156896"/>
        <w:t/>
        <w:bookmarkEnd w:id="649"/>
      </w:r>
      <w:r>
        <w:t xml:space="preserve"> and </w:t>
      </w:r>
      <w:r>
        <w:rPr>
          <w:rStyle w:val="Text5"/>
        </w:rPr>
        <w:t>False</w:t>
      </w:r>
      <w:r>
        <w:t xml:space="preserve">, which have string representations of </w:t>
      </w:r>
      <w:r>
        <w:rPr>
          <w:rStyle w:val="Text5"/>
        </w:rPr>
        <w:t>'True'</w:t>
      </w:r>
      <w:r>
        <w:t xml:space="preserve"> and </w:t>
      </w:r>
      <w:r>
        <w:rPr>
          <w:rStyle w:val="Text5"/>
        </w:rPr>
        <w:t>'False'</w:t>
      </w:r>
      <w:r>
        <w:t xml:space="preserve">, but also numerical values of </w:t>
      </w:r>
      <w:r>
        <w:rPr>
          <w:rStyle w:val="Text0"/>
        </w:rPr>
        <w:t>1</w:t>
      </w:r>
      <w:r>
        <w:t xml:space="preserve"> and </w:t>
      </w:r>
      <w:r>
        <w:rPr>
          <w:rStyle w:val="Text0"/>
        </w:rPr>
        <w:t>0</w:t>
      </w:r>
      <w:r>
        <w:t xml:space="preserve">, respectively. Several built-in functions return </w:t>
      </w:r>
      <w:r>
        <w:rPr>
          <w:rStyle w:val="Text0"/>
        </w:rPr>
        <w:t>bool</w:t>
      </w:r>
      <w:r>
        <w:t xml:space="preserve"> results, as do comparison operators.</w:t>
      </w:r>
    </w:p>
    <w:p>
      <w:pPr>
        <w:pStyle w:val="Normal"/>
      </w:pPr>
      <w:r>
        <w:t xml:space="preserve">You can call </w:t>
      </w:r>
      <w:r>
        <w:rPr>
          <w:rStyle w:val="Text0"/>
        </w:rPr>
        <w:t>bool(</w:t>
      </w:r>
      <w:r>
        <w:rPr>
          <w:rStyle w:val="Text3"/>
        </w:rPr>
        <w:t>x</w:t>
      </w:r>
      <w:r>
        <w:rPr>
          <w:rStyle w:val="Text0"/>
        </w:rPr>
        <w:t>)</w:t>
      </w:r>
      <w:r>
        <w:t xml:space="preserve"> with any</w:t>
      </w:r>
      <w:hyperlink w:anchor="12_With_exactly_the_same_excepti">
        <w:r>
          <w:rPr>
            <w:rStyle w:val="Text41"/>
          </w:rPr>
          <w:bookmarkStart w:id="650" w:name="12"/>
          <w:t>12</w:t>
          <w:bookmarkEnd w:id="650"/>
        </w:r>
      </w:hyperlink>
      <w:r>
        <w:t xml:space="preserve"> </w:t>
      </w:r>
      <w:r>
        <w:rPr>
          <w:rStyle w:val="Text3"/>
        </w:rPr>
        <w:t>x</w:t>
      </w:r>
      <w:r>
        <w:t xml:space="preserve"> as the argument. The result is </w:t>
      </w:r>
      <w:r>
        <w:rPr>
          <w:rStyle w:val="Text5"/>
        </w:rPr>
        <w:t>True</w:t>
      </w:r>
      <w:r>
        <w:t xml:space="preserve"> when </w:t>
      </w:r>
      <w:r>
        <w:rPr>
          <w:rStyle w:val="Text3"/>
        </w:rPr>
        <w:t>x</w:t>
      </w:r>
      <w:r>
        <w:t xml:space="preserve"> is true and </w:t>
      </w:r>
      <w:r>
        <w:rPr>
          <w:rStyle w:val="Text5"/>
        </w:rPr>
        <w:t>False</w:t>
      </w:r>
      <w:r>
        <w:t xml:space="preserve"> when </w:t>
      </w:r>
      <w:r>
        <w:rPr>
          <w:rStyle w:val="Text3"/>
        </w:rPr>
        <w:t>x</w:t>
      </w:r>
      <w:r>
        <w:t xml:space="preserve"> is false. Good Python style is not to use such calls when they are redundant, as they most often are: </w:t>
      </w:r>
      <w:r>
        <w:rPr>
          <w:rStyle w:val="Text4"/>
        </w:rPr>
        <w:t>always</w:t>
      </w:r>
      <w:r>
        <w:t xml:space="preserve"> write </w:t>
      </w:r>
      <w:r>
        <w:rPr>
          <w:rStyle w:val="Text5"/>
        </w:rPr>
        <w:t>if</w:t>
      </w:r>
      <w:r>
        <w:t xml:space="preserve"> </w:t>
      </w:r>
      <w:r>
        <w:rPr>
          <w:rStyle w:val="Text3"/>
        </w:rPr>
        <w:t>x</w:t>
      </w:r>
      <w:r>
        <w:rPr>
          <w:rStyle w:val="Text0"/>
        </w:rPr>
        <w:t>:</w:t>
      </w:r>
      <w:r>
        <w:t xml:space="preserve">, </w:t>
      </w:r>
      <w:r>
        <w:rPr>
          <w:rStyle w:val="Text4"/>
        </w:rPr>
        <w:t>never</w:t>
      </w:r>
      <w:r>
        <w:t xml:space="preserve"> any of </w:t>
      </w:r>
      <w:r>
        <w:rPr>
          <w:rStyle w:val="Text5"/>
        </w:rPr>
        <w:t>if</w:t>
      </w:r>
      <w:r>
        <w:t xml:space="preserve"> </w:t>
      </w:r>
      <w:r>
        <w:rPr>
          <w:rStyle w:val="Text0"/>
        </w:rPr>
        <w:t>bool(</w:t>
      </w:r>
      <w:r>
        <w:rPr>
          <w:rStyle w:val="Text3"/>
        </w:rPr>
        <w:t>x</w:t>
      </w:r>
      <w:r>
        <w:rPr>
          <w:rStyle w:val="Text0"/>
        </w:rPr>
        <w:t>):</w:t>
      </w:r>
      <w:r>
        <w:t xml:space="preserve">, </w:t>
      </w:r>
      <w:r>
        <w:rPr>
          <w:rStyle w:val="Text5"/>
        </w:rPr>
        <w:t>if</w:t>
      </w:r>
      <w:r>
        <w:t xml:space="preserve"> </w:t>
      </w:r>
      <w:r>
        <w:rPr>
          <w:rStyle w:val="Text3"/>
        </w:rPr>
        <w:t>x</w:t>
      </w:r>
      <w:r>
        <w:t xml:space="preserve"> </w:t>
      </w:r>
      <w:r>
        <w:rPr>
          <w:rStyle w:val="Text5"/>
        </w:rPr>
        <w:t>is</w:t>
      </w:r>
      <w:r>
        <w:t xml:space="preserve"> </w:t>
      </w:r>
      <w:r>
        <w:rPr>
          <w:rStyle w:val="Text5"/>
        </w:rPr>
        <w:t>True</w:t>
      </w:r>
      <w:r>
        <w:rPr>
          <w:rStyle w:val="Text0"/>
        </w:rPr>
        <w:t>:</w:t>
      </w:r>
      <w:r>
        <w:t xml:space="preserve">, </w:t>
      </w:r>
      <w:r>
        <w:rPr>
          <w:rStyle w:val="Text5"/>
        </w:rPr>
        <w:t>if</w:t>
      </w:r>
      <w:r>
        <w:t xml:space="preserve"> </w:t>
      </w:r>
      <w:r>
        <w:rPr>
          <w:rStyle w:val="Text3"/>
        </w:rPr>
        <w:t>x</w:t>
      </w:r>
      <w:r>
        <w:t xml:space="preserve"> </w:t>
      </w:r>
      <w:r>
        <w:rPr>
          <w:rStyle w:val="Text0"/>
        </w:rPr>
        <w:t>==</w:t>
      </w:r>
      <w:r>
        <w:t xml:space="preserve"> </w:t>
      </w:r>
      <w:r>
        <w:rPr>
          <w:rStyle w:val="Text5"/>
        </w:rPr>
        <w:t>True</w:t>
      </w:r>
      <w:r>
        <w:rPr>
          <w:rStyle w:val="Text0"/>
        </w:rPr>
        <w:t>:</w:t>
      </w:r>
      <w:r>
        <w:t xml:space="preserve">, or </w:t>
      </w:r>
      <w:r>
        <w:rPr>
          <w:rStyle w:val="Text5"/>
        </w:rPr>
        <w:t>if</w:t>
      </w:r>
      <w:r>
        <w:t xml:space="preserve"> </w:t>
      </w:r>
      <w:r>
        <w:rPr>
          <w:rStyle w:val="Text0"/>
        </w:rPr>
        <w:t>bool(</w:t>
      </w:r>
      <w:r>
        <w:rPr>
          <w:rStyle w:val="Text3"/>
        </w:rPr>
        <w:t>x</w:t>
      </w:r>
      <w:r>
        <w:rPr>
          <w:rStyle w:val="Text0"/>
        </w:rPr>
        <w:t>) ==</w:t>
      </w:r>
      <w:r>
        <w:t xml:space="preserve"> </w:t>
      </w:r>
      <w:r>
        <w:rPr>
          <w:rStyle w:val="Text5"/>
        </w:rPr>
        <w:t>True</w:t>
      </w:r>
      <w:r>
        <w:rPr>
          <w:rStyle w:val="Text0"/>
        </w:rPr>
        <w:t>:</w:t>
      </w:r>
      <w:r>
        <w:t xml:space="preserve">. However, you </w:t>
      </w:r>
      <w:r>
        <w:rPr>
          <w:rStyle w:val="Text4"/>
        </w:rPr>
        <w:t>can</w:t>
      </w:r>
      <w:r>
        <w:t xml:space="preserve"> use </w:t>
      </w:r>
      <w:r>
        <w:rPr>
          <w:rStyle w:val="Text0"/>
        </w:rPr>
        <w:t>bool(</w:t>
      </w:r>
      <w:r>
        <w:rPr>
          <w:rStyle w:val="Text3"/>
        </w:rPr>
        <w:t>x</w:t>
      </w:r>
      <w:r>
        <w:rPr>
          <w:rStyle w:val="Text0"/>
        </w:rPr>
        <w:t>)</w:t>
      </w:r>
      <w:r>
        <w:t xml:space="preserve"> to count the number of true items in a sequence. For example:</w:t>
      </w:r>
    </w:p>
    <w:p>
      <w:pPr>
        <w:pStyle w:val="Para 037"/>
      </w:pPr>
      <w:r>
        <w:rPr>
          <w:rStyle w:val="Text118"/>
        </w:rPr>
        <w:t xml:space="preserve"/>
        <w:br w:clear="none"/>
      </w:r>
      <w:r>
        <w:t xml:space="preserve">def</w:t>
        <w:br w:clear="none"/>
      </w:r>
      <w:r>
        <w:rPr>
          <w:rStyle w:val="Text29"/>
        </w:rPr>
        <w:t xml:space="preserve"> </w:t>
        <w:br w:clear="none"/>
      </w:r>
      <w:r>
        <w:rPr>
          <w:rStyle w:val="Text61"/>
        </w:rPr>
        <w:t xml:space="preserve">count_trues</w:t>
        <w:br w:clear="none"/>
      </w:r>
      <w:r>
        <w:rPr>
          <w:rStyle w:val="Text31"/>
        </w:rPr>
        <w:t xml:space="preserve">(</w:t>
        <w:br w:clear="none"/>
      </w:r>
      <w:r>
        <w:rPr>
          <w:rStyle w:val="Text69"/>
        </w:rPr>
        <w:t xml:space="preserve">seq</w:t>
        <w:br w:clear="none"/>
      </w:r>
      <w:r>
        <w:rPr>
          <w:rStyle w:val="Text31"/>
        </w:rPr>
        <w:t xml:space="preserve">)</w:t>
        <w:br w:clear="none"/>
        <w:t xml:space="preserve">:</w:t>
        <w:br w:clear="none"/>
      </w:r>
      <w:r>
        <w:rPr>
          <w:rStyle w:val="Text29"/>
        </w:rPr>
        <w:t xml:space="preserve"/>
        <w:br w:clear="none"/>
        <w:t xml:space="preserve">    </w:t>
        <w:br w:clear="none"/>
      </w:r>
      <w:r>
        <w:t xml:space="preserve">return</w:t>
        <w:br w:clear="none"/>
      </w:r>
      <w:r>
        <w:rPr>
          <w:rStyle w:val="Text29"/>
        </w:rPr>
        <w:t xml:space="preserve"> </w:t>
        <w:br w:clear="none"/>
      </w:r>
      <w:r>
        <w:rPr>
          <w:rStyle w:val="Text67"/>
        </w:rPr>
        <w:t xml:space="preserve">sum</w:t>
        <w:br w:clear="none"/>
      </w:r>
      <w:r>
        <w:rPr>
          <w:rStyle w:val="Text31"/>
        </w:rPr>
        <w:t xml:space="preserve">(</w:t>
        <w:br w:clear="none"/>
      </w:r>
      <w:r>
        <w:rPr>
          <w:rStyle w:val="Text67"/>
        </w:rPr>
        <w:t xml:space="preserve">bool</w:t>
        <w:br w:clear="none"/>
      </w:r>
      <w:r>
        <w:rPr>
          <w:rStyle w:val="Text31"/>
        </w:rPr>
        <w:t xml:space="preserve">(</w:t>
        <w:br w:clear="none"/>
      </w:r>
      <w:r>
        <w:rPr>
          <w:rStyle w:val="Text38"/>
        </w:rPr>
        <w:t xml:space="preserve">x</w:t>
        <w:br w:clear="none"/>
      </w:r>
      <w:r>
        <w:rPr>
          <w:rStyle w:val="Text31"/>
        </w:rPr>
        <w:t xml:space="preserve">)</w:t>
        <w:br w:clear="none"/>
      </w:r>
      <w:r>
        <w:rPr>
          <w:rStyle w:val="Text29"/>
        </w:rPr>
        <w:t xml:space="preserve"> </w:t>
        <w:br w:clear="none"/>
      </w:r>
      <w:r>
        <w:t xml:space="preserve">for</w:t>
        <w:br w:clear="none"/>
      </w:r>
      <w:r>
        <w:rPr>
          <w:rStyle w:val="Text29"/>
        </w:rPr>
        <w:t xml:space="preserve"> </w:t>
        <w:br w:clear="none"/>
      </w:r>
      <w:r>
        <w:rPr>
          <w:rStyle w:val="Text38"/>
        </w:rPr>
        <w:t xml:space="preserve">x</w:t>
        <w:br w:clear="none"/>
      </w:r>
      <w:r>
        <w:rPr>
          <w:rStyle w:val="Text29"/>
        </w:rPr>
        <w:t xml:space="preserve"> </w:t>
        <w:br w:clear="none"/>
      </w:r>
      <w:r>
        <w:rPr>
          <w:rStyle w:val="Text7"/>
        </w:rPr>
        <w:t xml:space="preserve">in</w:t>
        <w:br w:clear="none"/>
      </w:r>
      <w:r>
        <w:rPr>
          <w:rStyle w:val="Text29"/>
        </w:rPr>
        <w:t xml:space="preserve"> </w:t>
        <w:br w:clear="none"/>
      </w:r>
      <w:r>
        <w:rPr>
          <w:rStyle w:val="Text38"/>
        </w:rPr>
        <w:t xml:space="preserve">seq</w:t>
        <w:br w:clear="none"/>
      </w:r>
      <w:r>
        <w:rPr>
          <w:rStyle w:val="Text31"/>
        </w:rPr>
        <w:t xml:space="preserve">)</w:t>
        <w:br w:clear="none"/>
      </w:r>
    </w:p>
    <w:p>
      <w:pPr>
        <w:pStyle w:val="Normal"/>
      </w:pPr>
      <w:r>
        <w:t xml:space="preserve">In this example, the </w:t>
      </w:r>
      <w:r>
        <w:rPr>
          <w:rStyle w:val="Text0"/>
        </w:rPr>
        <w:t>bool</w:t>
      </w:r>
      <w:r>
        <w:t xml:space="preserve"> call ensures each item of </w:t>
      </w:r>
      <w:r>
        <w:rPr>
          <w:rStyle w:val="Text3"/>
        </w:rPr>
        <w:t>seq</w:t>
      </w:r>
      <w:r>
        <w:t xml:space="preserve"> is counted as </w:t>
      </w:r>
      <w:r>
        <w:rPr>
          <w:rStyle w:val="Text0"/>
        </w:rPr>
        <w:t>0</w:t>
      </w:r>
      <w:r>
        <w:t xml:space="preserve"> (if false) or </w:t>
      </w:r>
      <w:r>
        <w:rPr>
          <w:rStyle w:val="Text0"/>
        </w:rPr>
        <w:t>1</w:t>
      </w:r>
      <w:r>
        <w:t xml:space="preserve"> (if true), so </w:t>
      </w:r>
      <w:r>
        <w:rPr>
          <w:rStyle w:val="Text0"/>
        </w:rPr>
        <w:t>count_trues</w:t>
      </w:r>
      <w:r>
        <w:t xml:space="preserve"> is more general than </w:t>
      </w:r>
      <w:r>
        <w:rPr>
          <w:rStyle w:val="Text0"/>
        </w:rPr>
        <w:t>sum(</w:t>
      </w:r>
      <w:r>
        <w:rPr>
          <w:rStyle w:val="Text3"/>
        </w:rPr>
        <w:t>seq</w:t>
      </w:r>
      <w:r>
        <w:rPr>
          <w:rStyle w:val="Text0"/>
        </w:rPr>
        <w:t>)</w:t>
      </w:r>
      <w:r>
        <w:t xml:space="preserve"> would be.</w:t>
      </w:r>
    </w:p>
    <w:p>
      <w:pPr>
        <w:pStyle w:val="Normal"/>
      </w:pPr>
      <w:r>
        <w:t>When</w:t>
      </w:r>
      <w:r>
        <w:rPr>
          <w:rStyle w:val="Text111"/>
        </w:rPr>
        <w:bookmarkStart w:id="651" w:name="idm45965279117344"/>
        <w:t/>
        <w:bookmarkEnd w:id="651"/>
      </w:r>
      <w:r>
        <w:t xml:space="preserve"> we say “</w:t>
      </w:r>
      <w:r>
        <w:rPr>
          <w:rStyle w:val="Text3"/>
        </w:rPr>
        <w:t>expression</w:t>
      </w:r>
      <w:r>
        <w:t xml:space="preserve"> is true” we mean that </w:t>
      </w:r>
      <w:r>
        <w:rPr>
          <w:rStyle w:val="Text0"/>
        </w:rPr>
        <w:t>bool(</w:t>
      </w:r>
      <w:r>
        <w:rPr>
          <w:rStyle w:val="Text3"/>
        </w:rPr>
        <w:t>expression</w:t>
      </w:r>
      <w:r>
        <w:rPr>
          <w:rStyle w:val="Text0"/>
        </w:rPr>
        <w:t>)</w:t>
      </w:r>
      <w:r>
        <w:t xml:space="preserve"> would return </w:t>
      </w:r>
      <w:r>
        <w:rPr>
          <w:rStyle w:val="Text5"/>
        </w:rPr>
        <w:t>True</w:t>
      </w:r>
      <w:r>
        <w:t>. As we mentioned, this is also known as “</w:t>
      </w:r>
      <w:r>
        <w:rPr>
          <w:rStyle w:val="Text3"/>
        </w:rPr>
        <w:t>expression</w:t>
      </w:r>
      <w:r>
        <w:t xml:space="preserve"> being </w:t>
      </w:r>
      <w:r>
        <w:rPr>
          <w:rStyle w:val="Text4"/>
        </w:rPr>
        <w:t>truthy”</w:t>
      </w:r>
      <w:r>
        <w:t xml:space="preserve"> (the other possibility is that “</w:t>
      </w:r>
      <w:r>
        <w:rPr>
          <w:rStyle w:val="Text3"/>
        </w:rPr>
        <w:t>expression</w:t>
      </w:r>
      <w:r>
        <w:t xml:space="preserve"> is </w:t>
      </w:r>
      <w:r>
        <w:rPr>
          <w:rStyle w:val="Text4"/>
        </w:rPr>
        <w:t>falsy”</w:t>
      </w:r>
      <w:r>
        <w:t>).</w:t>
      </w:r>
      <w:r>
        <w:rPr>
          <w:rStyle w:val="Text111"/>
        </w:rPr>
        <w:bookmarkStart w:id="652" w:name="idm45965279093856"/>
        <w:t/>
        <w:bookmarkEnd w:id="652"/>
        <w:bookmarkStart w:id="653" w:name="idm45965279092448"/>
        <w:t/>
        <w:bookmarkEnd w:id="653"/>
      </w:r>
    </w:p>
    <w:p>
      <w:bookmarkStart w:id="654" w:name="Variables_and_Other_References"/>
      <w:pPr>
        <w:keepNext/>
        <w:pStyle w:val="Heading 1"/>
      </w:pPr>
      <w:r>
        <w:t>Variables and Other References</w:t>
      </w:r>
      <w:bookmarkEnd w:id="654"/>
    </w:p>
    <w:p>
      <w:pPr>
        <w:pStyle w:val="Normal"/>
      </w:pPr>
      <w:r>
        <w:t>A Python program accesses data values through</w:t>
      </w:r>
      <w:r>
        <w:rPr>
          <w:rStyle w:val="Text111"/>
        </w:rPr>
        <w:bookmarkStart w:id="655" w:name="idm45965279089456"/>
        <w:t/>
        <w:bookmarkEnd w:id="655"/>
      </w:r>
      <w:r>
        <w:t xml:space="preserve"> </w:t>
      </w:r>
      <w:r>
        <w:rPr>
          <w:rStyle w:val="Text4"/>
        </w:rPr>
        <w:t>references</w:t>
      </w:r>
      <w:r>
        <w:t>. A reference is a “name” that refers to a value (object). References take the form of variables, attributes, and items. In Python, a variable or other reference has no intrinsic type. The object to which a reference is bound at a given time always has a type, but a given reference may be bound to objects of various types in the course of the program’s execution.</w:t>
      </w:r>
    </w:p>
    <w:p>
      <w:bookmarkStart w:id="656" w:name="Variables__In_Python__there_are"/>
      <w:pPr>
        <w:keepNext/>
        <w:pStyle w:val="Heading 2"/>
      </w:pPr>
      <w:r>
        <w:t>Variables</w:t>
      </w:r>
      <w:bookmarkEnd w:id="656"/>
    </w:p>
    <w:p>
      <w:pPr>
        <w:pStyle w:val="Normal"/>
      </w:pPr>
      <w:r>
        <w:t>In</w:t>
      </w:r>
      <w:r>
        <w:rPr>
          <w:rStyle w:val="Text111"/>
        </w:rPr>
        <w:bookmarkStart w:id="657" w:name="idm45965258711728"/>
        <w:t/>
        <w:bookmarkEnd w:id="657"/>
      </w:r>
      <w:r>
        <w:t xml:space="preserve"> Python, there are no “declarations.” The existence of a variable begins with a statement that</w:t>
      </w:r>
      <w:r>
        <w:rPr>
          <w:rStyle w:val="Text111"/>
        </w:rPr>
        <w:bookmarkStart w:id="658" w:name="binding03"/>
        <w:t/>
        <w:bookmarkEnd w:id="658"/>
      </w:r>
      <w:r>
        <w:t xml:space="preserve"> </w:t>
      </w:r>
      <w:r>
        <w:rPr>
          <w:rStyle w:val="Text4"/>
        </w:rPr>
        <w:t>binds</w:t>
      </w:r>
      <w:r>
        <w:t xml:space="preserve"> the variable (in other words, sets a name to hold a reference to some object). You can also</w:t>
      </w:r>
      <w:r>
        <w:rPr>
          <w:rStyle w:val="Text111"/>
        </w:rPr>
        <w:bookmarkStart w:id="659" w:name="idm45965258707776"/>
        <w:t/>
        <w:bookmarkEnd w:id="659"/>
      </w:r>
      <w:r>
        <w:t xml:space="preserve"> </w:t>
      </w:r>
      <w:r>
        <w:rPr>
          <w:rStyle w:val="Text4"/>
        </w:rPr>
        <w:t>unbind</w:t>
      </w:r>
      <w:r>
        <w:t xml:space="preserve"> a variable, resetting the name so it no longer holds a reference. Assignment statements are the usual way to bind variables and other references. The </w:t>
      </w:r>
      <w:r>
        <w:rPr>
          <w:rStyle w:val="Text5"/>
        </w:rPr>
        <w:t>del</w:t>
      </w:r>
      <w:r>
        <w:t xml:space="preserve"> statement unbinds a variable reference, although doing so is rare.</w:t>
      </w:r>
    </w:p>
    <w:p>
      <w:pPr>
        <w:pStyle w:val="Normal"/>
      </w:pPr>
      <w:r>
        <w:t>Binding a reference that was already bound is also known as</w:t>
      </w:r>
      <w:r>
        <w:rPr>
          <w:rStyle w:val="Text111"/>
        </w:rPr>
        <w:bookmarkStart w:id="660" w:name="idm45965258704832"/>
        <w:t/>
        <w:bookmarkEnd w:id="660"/>
      </w:r>
      <w:r>
        <w:t xml:space="preserve"> </w:t>
      </w:r>
      <w:r>
        <w:rPr>
          <w:rStyle w:val="Text4"/>
        </w:rPr>
        <w:t>rebinding</w:t>
      </w:r>
      <w:r>
        <w:t xml:space="preserve"> it. Whenever we mention binding, we implicitly include rebinding (except where we explicitly exclude it). Rebinding or unbinding a reference has no effect on the object to which the reference was bound, except that an object goes away when nothing refers to it. The cleanup of objects with no references is known as</w:t>
      </w:r>
      <w:r>
        <w:rPr>
          <w:rStyle w:val="Text111"/>
        </w:rPr>
        <w:bookmarkStart w:id="661" w:name="idm45965258703152"/>
        <w:t/>
        <w:bookmarkEnd w:id="661"/>
      </w:r>
      <w:r>
        <w:t xml:space="preserve"> </w:t>
      </w:r>
      <w:r>
        <w:rPr>
          <w:rStyle w:val="Text4"/>
        </w:rPr>
        <w:t>garbage collection</w:t>
      </w:r>
      <w:r>
        <w:t>.</w:t>
      </w:r>
    </w:p>
    <w:p>
      <w:pPr>
        <w:pStyle w:val="Normal"/>
      </w:pPr>
      <w:r>
        <w:t xml:space="preserve">You can name a variable with any identifier except the 30-plus that are reserved as Python’s keywords (see </w:t>
      </w:r>
      <w:hyperlink w:anchor="Keywords__Python_has_35_keywords">
        <w:r>
          <w:rPr>
            <w:rStyle w:val="Text1"/>
          </w:rPr>
          <w:t>“Keywords”</w:t>
        </w:r>
      </w:hyperlink>
      <w:r>
        <w:t>). A variable can be global or local. A</w:t>
      </w:r>
      <w:r>
        <w:rPr>
          <w:rStyle w:val="Text111"/>
        </w:rPr>
        <w:bookmarkStart w:id="662" w:name="idm45965258699712"/>
        <w:t/>
        <w:bookmarkEnd w:id="662"/>
      </w:r>
      <w:r>
        <w:t xml:space="preserve"> </w:t>
      </w:r>
      <w:r>
        <w:rPr>
          <w:rStyle w:val="Text4"/>
        </w:rPr>
        <w:t>global variable</w:t>
      </w:r>
      <w:r>
        <w:t xml:space="preserve"> is an attribute of a module object (see </w:t>
      </w:r>
      <w:hyperlink w:anchor="Chapter_7__Modules_and_Packages_2">
        <w:r>
          <w:rPr>
            <w:rStyle w:val="Text1"/>
          </w:rPr>
          <w:t>Chapter 7</w:t>
        </w:r>
      </w:hyperlink>
      <w:r>
        <w:t>). A</w:t>
      </w:r>
      <w:r>
        <w:rPr>
          <w:rStyle w:val="Text111"/>
        </w:rPr>
        <w:bookmarkStart w:id="663" w:name="idm45965258697072"/>
        <w:t/>
        <w:bookmarkEnd w:id="663"/>
      </w:r>
      <w:r>
        <w:t xml:space="preserve"> </w:t>
      </w:r>
      <w:r>
        <w:rPr>
          <w:rStyle w:val="Text4"/>
        </w:rPr>
        <w:t>local variable</w:t>
      </w:r>
      <w:r>
        <w:t xml:space="preserve"> lives in a function’s local namespace (see </w:t>
      </w:r>
      <w:hyperlink w:anchor="Namespaces__A_function_s_paramet">
        <w:r>
          <w:rPr>
            <w:rStyle w:val="Text1"/>
          </w:rPr>
          <w:t>“Namespaces”</w:t>
        </w:r>
      </w:hyperlink>
      <w:r>
        <w:t>).</w:t>
      </w:r>
    </w:p>
    <w:p>
      <w:bookmarkStart w:id="664" w:name="Object_attributes_and_items__The"/>
      <w:pPr>
        <w:keepNext/>
        <w:pStyle w:val="Heading 2"/>
      </w:pPr>
      <w:r>
        <w:t>Object attributes and items</w:t>
      </w:r>
      <w:bookmarkEnd w:id="664"/>
    </w:p>
    <w:p>
      <w:pPr>
        <w:pStyle w:val="Normal"/>
      </w:pPr>
      <w:r>
        <w:t>The</w:t>
      </w:r>
      <w:r>
        <w:rPr>
          <w:rStyle w:val="Text111"/>
        </w:rPr>
        <w:bookmarkStart w:id="665" w:name="idm45965258692336"/>
        <w:t/>
        <w:bookmarkEnd w:id="665"/>
      </w:r>
      <w:r>
        <w:t xml:space="preserve"> main distinction between the attributes and items of an object is in the syntax you use to access them. To denote an</w:t>
      </w:r>
      <w:r>
        <w:rPr>
          <w:rStyle w:val="Text111"/>
        </w:rPr>
        <w:bookmarkStart w:id="666" w:name="idm45965258690672"/>
        <w:t/>
        <w:bookmarkEnd w:id="666"/>
      </w:r>
      <w:r>
        <w:t xml:space="preserve"> </w:t>
      </w:r>
      <w:r>
        <w:rPr>
          <w:rStyle w:val="Text4"/>
        </w:rPr>
        <w:t>attribute</w:t>
      </w:r>
      <w:r>
        <w:t xml:space="preserve"> of an object, use a reference to the object, followed by a</w:t>
      </w:r>
      <w:r>
        <w:rPr>
          <w:rStyle w:val="Text111"/>
        </w:rPr>
        <w:bookmarkStart w:id="667" w:name="idm45965258688720"/>
        <w:t/>
        <w:bookmarkEnd w:id="667"/>
        <w:bookmarkStart w:id="668" w:name="idm45965258687344"/>
        <w:t/>
        <w:bookmarkEnd w:id="668"/>
      </w:r>
      <w:r>
        <w:t xml:space="preserve"> period (</w:t>
      </w:r>
      <w:r>
        <w:rPr>
          <w:rStyle w:val="Text0"/>
        </w:rPr>
        <w:t>.</w:t>
      </w:r>
      <w:r>
        <w:t xml:space="preserve">), followed by an identifier known as the </w:t>
      </w:r>
      <w:r>
        <w:rPr>
          <w:rStyle w:val="Text4"/>
        </w:rPr>
        <w:t>attribute name</w:t>
      </w:r>
      <w:r>
        <w:t xml:space="preserve">. For example, </w:t>
      </w:r>
      <w:r>
        <w:rPr>
          <w:rStyle w:val="Text3"/>
        </w:rPr>
        <w:t>x.y</w:t>
      </w:r>
      <w:r>
        <w:t xml:space="preserve"> refers to one of the attributes of the object bound to name </w:t>
      </w:r>
      <w:r>
        <w:rPr>
          <w:rStyle w:val="Text3"/>
        </w:rPr>
        <w:t>x</w:t>
      </w:r>
      <w:r>
        <w:t xml:space="preserve">; specifically, that attribute whose name is </w:t>
      </w:r>
      <w:r>
        <w:rPr>
          <w:rStyle w:val="Text0"/>
        </w:rPr>
        <w:t>'</w:t>
      </w:r>
      <w:r>
        <w:rPr>
          <w:rStyle w:val="Text3"/>
        </w:rPr>
        <w:t>y</w:t>
      </w:r>
      <w:r>
        <w:rPr>
          <w:rStyle w:val="Text0"/>
        </w:rPr>
        <w:t>'</w:t>
      </w:r>
      <w:r>
        <w:t>.</w:t>
      </w:r>
    </w:p>
    <w:p>
      <w:pPr>
        <w:pStyle w:val="Normal"/>
      </w:pPr>
      <w:r>
        <w:t>To denote an</w:t>
      </w:r>
      <w:r>
        <w:rPr>
          <w:rStyle w:val="Text111"/>
        </w:rPr>
        <w:bookmarkStart w:id="669" w:name="idm45965258680912"/>
        <w:t/>
        <w:bookmarkEnd w:id="669"/>
        <w:bookmarkStart w:id="670" w:name="idm45965258679504"/>
        <w:t/>
        <w:bookmarkEnd w:id="670"/>
      </w:r>
      <w:r>
        <w:t xml:space="preserve"> </w:t>
      </w:r>
      <w:r>
        <w:rPr>
          <w:rStyle w:val="Text4"/>
        </w:rPr>
        <w:t>item</w:t>
      </w:r>
      <w:r>
        <w:t xml:space="preserve"> of an object, use a reference to the object, followed by an expression within brackets []. The expression in brackets is known as the item’s</w:t>
      </w:r>
      <w:r>
        <w:rPr>
          <w:rStyle w:val="Text111"/>
        </w:rPr>
        <w:bookmarkStart w:id="671" w:name="idm45965258677664"/>
        <w:t/>
        <w:bookmarkEnd w:id="671"/>
        <w:bookmarkStart w:id="672" w:name="idm45965258676288"/>
        <w:t/>
        <w:bookmarkEnd w:id="672"/>
      </w:r>
      <w:r>
        <w:t xml:space="preserve"> </w:t>
      </w:r>
      <w:r>
        <w:rPr>
          <w:rStyle w:val="Text4"/>
        </w:rPr>
        <w:t>index</w:t>
      </w:r>
      <w:r>
        <w:t xml:space="preserve"> or </w:t>
      </w:r>
      <w:r>
        <w:rPr>
          <w:rStyle w:val="Text4"/>
        </w:rPr>
        <w:t>key</w:t>
      </w:r>
      <w:r>
        <w:t>, and the object is known as the item’s</w:t>
      </w:r>
      <w:r>
        <w:rPr>
          <w:rStyle w:val="Text111"/>
        </w:rPr>
        <w:bookmarkStart w:id="673" w:name="idm45965258674160"/>
        <w:t/>
        <w:bookmarkEnd w:id="673"/>
      </w:r>
      <w:r>
        <w:t xml:space="preserve"> </w:t>
      </w:r>
      <w:r>
        <w:rPr>
          <w:rStyle w:val="Text4"/>
        </w:rPr>
        <w:t>container</w:t>
      </w:r>
      <w:r>
        <w:t xml:space="preserve">. For example, </w:t>
      </w:r>
      <w:r>
        <w:rPr>
          <w:rStyle w:val="Text3"/>
        </w:rPr>
        <w:t>x</w:t>
      </w:r>
      <w:r>
        <w:rPr>
          <w:rStyle w:val="Text0"/>
        </w:rPr>
        <w:t>[</w:t>
      </w:r>
      <w:r>
        <w:rPr>
          <w:rStyle w:val="Text3"/>
        </w:rPr>
        <w:t>y</w:t>
      </w:r>
      <w:r>
        <w:rPr>
          <w:rStyle w:val="Text0"/>
        </w:rPr>
        <w:t>]</w:t>
      </w:r>
      <w:r>
        <w:t xml:space="preserve"> refers to the item at the key or index bound to name </w:t>
      </w:r>
      <w:r>
        <w:rPr>
          <w:rStyle w:val="Text3"/>
        </w:rPr>
        <w:t>y</w:t>
      </w:r>
      <w:r>
        <w:t xml:space="preserve">, within the container object bound to name </w:t>
      </w:r>
      <w:r>
        <w:rPr>
          <w:rStyle w:val="Text3"/>
        </w:rPr>
        <w:t>x</w:t>
      </w:r>
      <w:r>
        <w:t>.</w:t>
      </w:r>
    </w:p>
    <w:p>
      <w:pPr>
        <w:pStyle w:val="Normal"/>
      </w:pPr>
      <w:r>
        <w:t>Attributes that are callable are also known as</w:t>
      </w:r>
      <w:r>
        <w:rPr>
          <w:rStyle w:val="Text111"/>
        </w:rPr>
        <w:bookmarkStart w:id="674" w:name="idm45965258668560"/>
        <w:t/>
        <w:bookmarkEnd w:id="674"/>
      </w:r>
      <w:r>
        <w:t xml:space="preserve"> </w:t>
      </w:r>
      <w:r>
        <w:rPr>
          <w:rStyle w:val="Text4"/>
        </w:rPr>
        <w:t>methods</w:t>
      </w:r>
      <w:r>
        <w:t>. Python draws no strong distinctions between callable and noncallable attributes, as some other languages do. All general rules about attributes also apply to</w:t>
      </w:r>
      <w:r>
        <w:rPr>
          <w:rStyle w:val="Text111"/>
        </w:rPr>
        <w:bookmarkStart w:id="675" w:name="idm45965258666608"/>
        <w:t/>
        <w:bookmarkEnd w:id="675"/>
      </w:r>
      <w:r>
        <w:t xml:space="preserve"> callable attributes (methods).</w:t>
      </w:r>
    </w:p>
    <w:p>
      <w:bookmarkStart w:id="676" w:name="Accessing_nonexistent_references"/>
      <w:pPr>
        <w:keepNext/>
        <w:pStyle w:val="Heading 2"/>
      </w:pPr>
      <w:r>
        <w:t>Accessing nonexistent references</w:t>
      </w:r>
      <w:bookmarkEnd w:id="676"/>
    </w:p>
    <w:p>
      <w:pPr>
        <w:pStyle w:val="Normal"/>
      </w:pPr>
      <w:r>
        <w:t>A</w:t>
      </w:r>
      <w:r>
        <w:rPr>
          <w:rStyle w:val="Text111"/>
        </w:rPr>
        <w:bookmarkStart w:id="677" w:name="idm45965258663264"/>
        <w:t/>
        <w:bookmarkEnd w:id="677"/>
      </w:r>
      <w:r>
        <w:t xml:space="preserve"> common programming error is to access a reference that does not exist. For example, a variable may be unbound, or an attribute name or item index may not be valid for the object to which you apply it. The</w:t>
      </w:r>
      <w:r>
        <w:rPr>
          <w:rStyle w:val="Text111"/>
        </w:rPr>
        <w:bookmarkStart w:id="678" w:name="idm45965258661728"/>
        <w:t/>
        <w:bookmarkEnd w:id="678"/>
      </w:r>
      <w:r>
        <w:t xml:space="preserve"> Python compiler, when it analyzes and compiles source code, diagnoses only</w:t>
      </w:r>
      <w:r>
        <w:rPr>
          <w:rStyle w:val="Text111"/>
        </w:rPr>
        <w:bookmarkStart w:id="679" w:name="idm45965258660224"/>
        <w:t/>
        <w:bookmarkEnd w:id="679"/>
      </w:r>
      <w:r>
        <w:t xml:space="preserve"> syntax errors. Compilation does not diagnose</w:t>
      </w:r>
      <w:r>
        <w:rPr>
          <w:rStyle w:val="Text111"/>
        </w:rPr>
        <w:bookmarkStart w:id="680" w:name="idm45965258658928"/>
        <w:t/>
        <w:bookmarkEnd w:id="680"/>
      </w:r>
      <w:r>
        <w:t xml:space="preserve"> semantic errors, such as trying to access an unbound attribute, item, or variable. Python diagnoses semantic errors only when the</w:t>
      </w:r>
      <w:r>
        <w:rPr>
          <w:rStyle w:val="Text111"/>
        </w:rPr>
        <w:bookmarkStart w:id="681" w:name="idm45965258657696"/>
        <w:t/>
        <w:bookmarkEnd w:id="681"/>
      </w:r>
      <w:r>
        <w:t xml:space="preserve"> errant code executes—that is, </w:t>
      </w:r>
      <w:r>
        <w:rPr>
          <w:rStyle w:val="Text4"/>
        </w:rPr>
        <w:t>at runtime</w:t>
      </w:r>
      <w:r>
        <w:t xml:space="preserve">. When an operation is a Python semantic error, attempting it raises an exception (see </w:t>
      </w:r>
      <w:hyperlink w:anchor="Chapter_6__Exceptions__Python_us_2">
        <w:r>
          <w:rPr>
            <w:rStyle w:val="Text1"/>
          </w:rPr>
          <w:t>Chapter 6</w:t>
        </w:r>
      </w:hyperlink>
      <w:r>
        <w:t>). Accessing a nonexistent variable, attribute, or item—just like any other semantic error—raises an exception.</w:t>
      </w:r>
    </w:p>
    <w:p>
      <w:bookmarkStart w:id="682" w:name="Assignment_Statements__Assignmen"/>
      <w:pPr>
        <w:keepNext/>
        <w:pStyle w:val="Heading 2"/>
      </w:pPr>
      <w:r>
        <w:t>Assignment Statements</w:t>
      </w:r>
      <w:bookmarkEnd w:id="682"/>
    </w:p>
    <w:p>
      <w:pPr>
        <w:pStyle w:val="Normal"/>
      </w:pPr>
      <w:r>
        <w:t>Assignment statements</w:t>
      </w:r>
      <w:r>
        <w:rPr>
          <w:rStyle w:val="Text111"/>
        </w:rPr>
        <w:bookmarkStart w:id="683" w:name="idm45965258652992"/>
        <w:t/>
        <w:bookmarkEnd w:id="683"/>
        <w:bookmarkStart w:id="684" w:name="assstate03"/>
        <w:t/>
        <w:bookmarkEnd w:id="684"/>
      </w:r>
      <w:r>
        <w:t xml:space="preserve"> can be plain or augmented. Plain assignment to a variable (e.g., </w:t>
      </w:r>
      <w:r>
        <w:rPr>
          <w:rStyle w:val="Text3"/>
        </w:rPr>
        <w:t>name = value</w:t>
      </w:r>
      <w:r>
        <w:t xml:space="preserve">) is how you create a new variable or rebind an existing variable to a new value. Plain assignment to an object attribute (e.g., </w:t>
      </w:r>
      <w:r>
        <w:rPr>
          <w:rStyle w:val="Text3"/>
        </w:rPr>
        <w:t>x.attr</w:t>
      </w:r>
      <w:r>
        <w:t xml:space="preserve"> </w:t>
      </w:r>
      <w:r>
        <w:rPr>
          <w:rStyle w:val="Text0"/>
        </w:rPr>
        <w:t>=</w:t>
      </w:r>
      <w:r>
        <w:t xml:space="preserve"> </w:t>
      </w:r>
      <w:r>
        <w:rPr>
          <w:rStyle w:val="Text3"/>
        </w:rPr>
        <w:t>value</w:t>
      </w:r>
      <w:r>
        <w:t xml:space="preserve">) is a request to object </w:t>
      </w:r>
      <w:r>
        <w:rPr>
          <w:rStyle w:val="Text3"/>
        </w:rPr>
        <w:t>x</w:t>
      </w:r>
      <w:r>
        <w:t xml:space="preserve"> to create or rebind the attribute named </w:t>
      </w:r>
      <w:r>
        <w:rPr>
          <w:rStyle w:val="Text0"/>
        </w:rPr>
        <w:t>'</w:t>
      </w:r>
      <w:r>
        <w:rPr>
          <w:rStyle w:val="Text3"/>
        </w:rPr>
        <w:t>attr</w:t>
      </w:r>
      <w:r>
        <w:rPr>
          <w:rStyle w:val="Text0"/>
        </w:rPr>
        <w:t>'</w:t>
      </w:r>
      <w:r>
        <w:t xml:space="preserve">. Plain assignment to an item in a container (e.g., </w:t>
      </w:r>
      <w:r>
        <w:rPr>
          <w:rStyle w:val="Text3"/>
        </w:rPr>
        <w:t>x</w:t>
      </w:r>
      <w:r>
        <w:rPr>
          <w:rStyle w:val="Text0"/>
        </w:rPr>
        <w:t>[</w:t>
      </w:r>
      <w:r>
        <w:rPr>
          <w:rStyle w:val="Text3"/>
        </w:rPr>
        <w:t>k</w:t>
      </w:r>
      <w:r>
        <w:rPr>
          <w:rStyle w:val="Text0"/>
        </w:rPr>
        <w:t>]</w:t>
      </w:r>
      <w:r>
        <w:t xml:space="preserve"> </w:t>
      </w:r>
      <w:r>
        <w:rPr>
          <w:rStyle w:val="Text3"/>
        </w:rPr>
        <w:t>= value</w:t>
      </w:r>
      <w:r>
        <w:t xml:space="preserve">) is a request to container </w:t>
      </w:r>
      <w:r>
        <w:rPr>
          <w:rStyle w:val="Text3"/>
        </w:rPr>
        <w:t>x</w:t>
      </w:r>
      <w:r>
        <w:t xml:space="preserve"> to create or rebind the item with index or key </w:t>
      </w:r>
      <w:r>
        <w:rPr>
          <w:rStyle w:val="Text3"/>
        </w:rPr>
        <w:t>k</w:t>
      </w:r>
      <w:r>
        <w:t>.</w:t>
      </w:r>
    </w:p>
    <w:p>
      <w:pPr>
        <w:pStyle w:val="Normal"/>
      </w:pPr>
      <w:r>
        <w:t>Augmented assignment</w:t>
      </w:r>
      <w:r>
        <w:rPr>
          <w:rStyle w:val="Text111"/>
        </w:rPr>
        <w:bookmarkStart w:id="685" w:name="idm45965258639984"/>
        <w:t/>
        <w:bookmarkEnd w:id="685"/>
      </w:r>
      <w:r>
        <w:t xml:space="preserve"> (e.g., </w:t>
      </w:r>
      <w:r>
        <w:rPr>
          <w:rStyle w:val="Text3"/>
        </w:rPr>
        <w:t>name</w:t>
      </w:r>
      <w:r>
        <w:t xml:space="preserve"> </w:t>
      </w:r>
      <w:r>
        <w:rPr>
          <w:rStyle w:val="Text0"/>
        </w:rPr>
        <w:t>+=</w:t>
      </w:r>
      <w:r>
        <w:t xml:space="preserve"> </w:t>
      </w:r>
      <w:r>
        <w:rPr>
          <w:rStyle w:val="Text3"/>
        </w:rPr>
        <w:t>value</w:t>
      </w:r>
      <w:r>
        <w:t>) cannot, per se, create new references. Augmented assignment can rebind a variable, ask an object to rebind one of its existing attributes or items, or request the target object to modify itself. When you make any kind of request to an object, it is up to the object to decide whether and how to honor the request, and whether to raise an exception.</w:t>
      </w:r>
    </w:p>
    <w:p>
      <w:bookmarkStart w:id="686" w:name="Plain_assignment__A_plain_assign"/>
      <w:pPr>
        <w:keepNext/>
        <w:pStyle w:val="Heading 2"/>
      </w:pPr>
      <w:r>
        <w:t>Plain assignment</w:t>
      </w:r>
      <w:bookmarkEnd w:id="686"/>
    </w:p>
    <w:p>
      <w:pPr>
        <w:pStyle w:val="Normal"/>
      </w:pPr>
      <w:r>
        <w:t>A</w:t>
      </w:r>
      <w:r>
        <w:rPr>
          <w:rStyle w:val="Text111"/>
        </w:rPr>
        <w:bookmarkStart w:id="687" w:name="idm45965258633536"/>
        <w:t/>
        <w:bookmarkEnd w:id="687"/>
      </w:r>
      <w:r>
        <w:t xml:space="preserve"> plain assignment statement in the simplest form has the syntax:</w:t>
      </w:r>
    </w:p>
    <w:p>
      <w:pPr>
        <w:pStyle w:val="Para 042"/>
      </w:pPr>
      <w:r>
        <w:rPr>
          <w:rStyle w:val="Text55"/>
        </w:rPr>
        <w:t xml:space="preserve"/>
        <w:br w:clear="none"/>
      </w:r>
      <w:r>
        <w:t xml:space="preserve">target</w:t>
        <w:br w:clear="none"/>
      </w:r>
      <w:r>
        <w:rPr>
          <w:rStyle w:val="Text55"/>
        </w:rPr>
        <w:t xml:space="preserve"> = </w:t>
        <w:br w:clear="none"/>
      </w:r>
      <w:r>
        <w:t xml:space="preserve">expression</w:t>
        <w:br w:clear="none"/>
      </w:r>
    </w:p>
    <w:p>
      <w:pPr>
        <w:pStyle w:val="Normal"/>
      </w:pPr>
      <w:r>
        <w:t>The</w:t>
      </w:r>
      <w:r>
        <w:rPr>
          <w:rStyle w:val="Text111"/>
        </w:rPr>
        <w:bookmarkStart w:id="688" w:name="idm45965258630272"/>
        <w:t/>
        <w:bookmarkEnd w:id="688"/>
      </w:r>
      <w:r>
        <w:t xml:space="preserve"> target is known as the</w:t>
      </w:r>
      <w:r>
        <w:rPr>
          <w:rStyle w:val="Text111"/>
        </w:rPr>
        <w:bookmarkStart w:id="689" w:name="idm45965258629008"/>
        <w:t/>
        <w:bookmarkEnd w:id="689"/>
        <w:bookmarkStart w:id="690" w:name="idm45965258627872"/>
        <w:t/>
        <w:bookmarkEnd w:id="690"/>
      </w:r>
      <w:r>
        <w:t xml:space="preserve"> lefthand side (LHS), and the expression</w:t>
      </w:r>
      <w:r>
        <w:rPr>
          <w:rStyle w:val="Text111"/>
        </w:rPr>
        <w:bookmarkStart w:id="691" w:name="idm45965258626576"/>
        <w:t/>
        <w:bookmarkEnd w:id="691"/>
        <w:bookmarkStart w:id="692" w:name="idm45965258625472"/>
        <w:t/>
        <w:bookmarkEnd w:id="692"/>
      </w:r>
      <w:r>
        <w:t xml:space="preserve"> is the righthand side (RHS). When the assignment executes, Python evaluates the RHS expression, then binds the expression’s value to the LHS target. The binding never depends on the type of the value. In particular, Python draws no strong distinction between callable and noncallable objects, as some other languages do, so you can bind functions, methods, types, and other callables to variables, just as you can numbers, strings, lists, and so on. This is part of functions and other callables</w:t>
      </w:r>
      <w:r>
        <w:rPr>
          <w:rStyle w:val="Text111"/>
        </w:rPr>
        <w:bookmarkStart w:id="693" w:name="idm45965258624240"/>
        <w:t/>
        <w:bookmarkEnd w:id="693"/>
        <w:bookmarkStart w:id="694" w:name="idm45965258623136"/>
        <w:t/>
        <w:bookmarkEnd w:id="694"/>
      </w:r>
      <w:r>
        <w:t xml:space="preserve"> being </w:t>
      </w:r>
      <w:r>
        <w:rPr>
          <w:rStyle w:val="Text4"/>
        </w:rPr>
        <w:t>first-class objects</w:t>
      </w:r>
      <w:r>
        <w:t>.</w:t>
      </w:r>
    </w:p>
    <w:p>
      <w:pPr>
        <w:pStyle w:val="Normal"/>
      </w:pPr>
      <w:r>
        <w:t>Details of the binding do depend on the kind of target. The target in an assignment may be an identifier, an attribute reference, an indexing, or a slicing, where:</w:t>
      </w:r>
    </w:p>
    <w:p>
      <w:pPr>
        <w:pStyle w:val="Para 023"/>
      </w:pPr>
      <w:r>
        <w:t>An identifier</w:t>
      </w:r>
    </w:p>
    <w:p>
      <w:pPr>
        <w:pStyle w:val="Para 016"/>
      </w:pPr>
      <w:r>
        <w:t>Is</w:t>
      </w:r>
      <w:r>
        <w:rPr>
          <w:rStyle w:val="Text115"/>
        </w:rPr>
        <w:bookmarkStart w:id="695" w:name="idm45965258619328"/>
        <w:t/>
        <w:bookmarkEnd w:id="695"/>
      </w:r>
      <w:r>
        <w:t xml:space="preserve"> a variable name. Assigning to an identifier binds the variable with this name.</w:t>
      </w:r>
    </w:p>
    <w:p>
      <w:pPr>
        <w:pStyle w:val="Para 023"/>
      </w:pPr>
      <w:r>
        <w:t>An attribute reference</w:t>
      </w:r>
    </w:p>
    <w:p>
      <w:pPr>
        <w:pStyle w:val="Para 016"/>
      </w:pPr>
      <w:r>
        <w:t>Has</w:t>
      </w:r>
      <w:r>
        <w:rPr>
          <w:rStyle w:val="Text115"/>
        </w:rPr>
        <w:bookmarkStart w:id="696" w:name="idm45965258616976"/>
        <w:t/>
        <w:bookmarkEnd w:id="696"/>
      </w:r>
      <w:r>
        <w:t xml:space="preserve"> the syntax </w:t>
      </w:r>
      <w:r>
        <w:rPr>
          <w:rStyle w:val="Text3"/>
        </w:rPr>
        <w:t>obj.name</w:t>
      </w:r>
      <w:r>
        <w:t xml:space="preserve">. </w:t>
      </w:r>
      <w:r>
        <w:rPr>
          <w:rStyle w:val="Text3"/>
        </w:rPr>
        <w:t>obj</w:t>
      </w:r>
      <w:r>
        <w:t xml:space="preserve"> is an arbitrary expression, and </w:t>
      </w:r>
      <w:r>
        <w:rPr>
          <w:rStyle w:val="Text3"/>
        </w:rPr>
        <w:t>name</w:t>
      </w:r>
      <w:r>
        <w:t xml:space="preserve"> is an identifier, known as an </w:t>
      </w:r>
      <w:r>
        <w:rPr>
          <w:rStyle w:val="Text4"/>
        </w:rPr>
        <w:t>attribute name</w:t>
      </w:r>
      <w:r>
        <w:t xml:space="preserve"> of the object. Assigning to an attribute reference asks the object </w:t>
      </w:r>
      <w:r>
        <w:rPr>
          <w:rStyle w:val="Text3"/>
        </w:rPr>
        <w:t>obj</w:t>
      </w:r>
      <w:r>
        <w:t xml:space="preserve"> to bind its attribute named </w:t>
      </w:r>
      <w:r>
        <w:rPr>
          <w:rStyle w:val="Text0"/>
        </w:rPr>
        <w:t>'</w:t>
      </w:r>
      <w:r>
        <w:rPr>
          <w:rStyle w:val="Text3"/>
        </w:rPr>
        <w:t>name</w:t>
      </w:r>
      <w:r>
        <w:rPr>
          <w:rStyle w:val="Text0"/>
        </w:rPr>
        <w:t>'</w:t>
      </w:r>
      <w:r>
        <w:t>.</w:t>
      </w:r>
    </w:p>
    <w:p>
      <w:pPr>
        <w:pStyle w:val="Para 023"/>
      </w:pPr>
      <w:r>
        <w:t>An indexing</w:t>
      </w:r>
    </w:p>
    <w:p>
      <w:pPr>
        <w:pStyle w:val="Para 016"/>
      </w:pPr>
      <w:r>
        <w:t>Has</w:t>
      </w:r>
      <w:r>
        <w:rPr>
          <w:rStyle w:val="Text115"/>
        </w:rPr>
        <w:bookmarkStart w:id="697" w:name="idm45965258609520"/>
        <w:t/>
        <w:bookmarkEnd w:id="697"/>
      </w:r>
      <w:r>
        <w:t xml:space="preserve"> the syntax </w:t>
      </w:r>
      <w:r>
        <w:rPr>
          <w:rStyle w:val="Text3"/>
        </w:rPr>
        <w:t>obj</w:t>
      </w:r>
      <w:r>
        <w:rPr>
          <w:rStyle w:val="Text0"/>
        </w:rPr>
        <w:t>[</w:t>
      </w:r>
      <w:r>
        <w:rPr>
          <w:rStyle w:val="Text3"/>
        </w:rPr>
        <w:t>expr</w:t>
      </w:r>
      <w:r>
        <w:rPr>
          <w:rStyle w:val="Text0"/>
        </w:rPr>
        <w:t>]</w:t>
      </w:r>
      <w:r>
        <w:t xml:space="preserve">. </w:t>
      </w:r>
      <w:r>
        <w:rPr>
          <w:rStyle w:val="Text3"/>
        </w:rPr>
        <w:t>obj</w:t>
      </w:r>
      <w:r>
        <w:t xml:space="preserve"> and </w:t>
      </w:r>
      <w:r>
        <w:rPr>
          <w:rStyle w:val="Text3"/>
        </w:rPr>
        <w:t>expr</w:t>
      </w:r>
      <w:r>
        <w:t xml:space="preserve"> are arbitrary expressions. Assigning to an indexing asks the container </w:t>
      </w:r>
      <w:r>
        <w:rPr>
          <w:rStyle w:val="Text3"/>
        </w:rPr>
        <w:t>obj</w:t>
      </w:r>
      <w:r>
        <w:t xml:space="preserve"> to bind its item indicated by the value of </w:t>
      </w:r>
      <w:r>
        <w:rPr>
          <w:rStyle w:val="Text3"/>
        </w:rPr>
        <w:t>expr</w:t>
      </w:r>
      <w:r>
        <w:t xml:space="preserve">, also known as the index or key of the item in the container (an </w:t>
      </w:r>
      <w:r>
        <w:rPr>
          <w:rStyle w:val="Text4"/>
        </w:rPr>
        <w:t>indexing</w:t>
      </w:r>
      <w:r>
        <w:t xml:space="preserve"> is an index </w:t>
      </w:r>
      <w:r>
        <w:rPr>
          <w:rStyle w:val="Text4"/>
        </w:rPr>
        <w:t>applied to</w:t>
      </w:r>
      <w:r>
        <w:t xml:space="preserve"> a</w:t>
      </w:r>
      <w:r>
        <w:rPr>
          <w:rStyle w:val="Text115"/>
        </w:rPr>
        <w:bookmarkStart w:id="698" w:name="idm45965258601600"/>
        <w:t/>
        <w:bookmarkEnd w:id="698"/>
      </w:r>
      <w:r>
        <w:t xml:space="preserve"> container).</w:t>
      </w:r>
    </w:p>
    <w:p>
      <w:pPr>
        <w:pStyle w:val="Para 023"/>
      </w:pPr>
      <w:r>
        <w:t>A slicing</w:t>
      </w:r>
    </w:p>
    <w:p>
      <w:pPr>
        <w:pStyle w:val="Para 016"/>
      </w:pPr>
      <w:r>
        <w:t>Has</w:t>
      </w:r>
      <w:r>
        <w:rPr>
          <w:rStyle w:val="Text115"/>
        </w:rPr>
        <w:bookmarkStart w:id="699" w:name="idm45965258599296"/>
        <w:t/>
        <w:bookmarkEnd w:id="699"/>
      </w:r>
      <w:r>
        <w:t xml:space="preserve"> the syntax </w:t>
      </w:r>
      <w:r>
        <w:rPr>
          <w:rStyle w:val="Text3"/>
        </w:rPr>
        <w:t>obj</w:t>
      </w:r>
      <w:r>
        <w:rPr>
          <w:rStyle w:val="Text0"/>
        </w:rPr>
        <w:t>[</w:t>
      </w:r>
      <w:r>
        <w:rPr>
          <w:rStyle w:val="Text3"/>
        </w:rPr>
        <w:t>start</w:t>
      </w:r>
      <w:r>
        <w:rPr>
          <w:rStyle w:val="Text0"/>
        </w:rPr>
        <w:t>:</w:t>
      </w:r>
      <w:r>
        <w:rPr>
          <w:rStyle w:val="Text3"/>
        </w:rPr>
        <w:t>stop</w:t>
      </w:r>
      <w:r>
        <w:rPr>
          <w:rStyle w:val="Text0"/>
        </w:rPr>
        <w:t>]</w:t>
      </w:r>
      <w:r>
        <w:t xml:space="preserve"> or </w:t>
      </w:r>
      <w:r>
        <w:rPr>
          <w:rStyle w:val="Text3"/>
        </w:rPr>
        <w:t>obj</w:t>
      </w:r>
      <w:r>
        <w:rPr>
          <w:rStyle w:val="Text0"/>
        </w:rPr>
        <w:t>[</w:t>
      </w:r>
      <w:r>
        <w:rPr>
          <w:rStyle w:val="Text3"/>
        </w:rPr>
        <w:t>start</w:t>
      </w:r>
      <w:r>
        <w:rPr>
          <w:rStyle w:val="Text0"/>
        </w:rPr>
        <w:t>:</w:t>
      </w:r>
      <w:r>
        <w:rPr>
          <w:rStyle w:val="Text3"/>
        </w:rPr>
        <w:t>stop</w:t>
      </w:r>
      <w:r>
        <w:rPr>
          <w:rStyle w:val="Text0"/>
        </w:rPr>
        <w:t>:</w:t>
      </w:r>
      <w:r>
        <w:rPr>
          <w:rStyle w:val="Text3"/>
        </w:rPr>
        <w:t>stride</w:t>
      </w:r>
      <w:r>
        <w:rPr>
          <w:rStyle w:val="Text0"/>
        </w:rPr>
        <w:t>]</w:t>
      </w:r>
      <w:r>
        <w:t xml:space="preserve">. </w:t>
      </w:r>
      <w:r>
        <w:rPr>
          <w:rStyle w:val="Text3"/>
        </w:rPr>
        <w:t>obj</w:t>
      </w:r>
      <w:r>
        <w:t xml:space="preserve">, </w:t>
      </w:r>
      <w:r>
        <w:rPr>
          <w:rStyle w:val="Text3"/>
        </w:rPr>
        <w:t>start</w:t>
      </w:r>
      <w:r>
        <w:t xml:space="preserve">, </w:t>
      </w:r>
      <w:r>
        <w:rPr>
          <w:rStyle w:val="Text3"/>
        </w:rPr>
        <w:t>stop</w:t>
      </w:r>
      <w:r>
        <w:t xml:space="preserve">, and </w:t>
      </w:r>
      <w:r>
        <w:rPr>
          <w:rStyle w:val="Text3"/>
        </w:rPr>
        <w:t>stride</w:t>
      </w:r>
      <w:r>
        <w:t xml:space="preserve"> are arbitrary expressions. </w:t>
      </w:r>
      <w:r>
        <w:rPr>
          <w:rStyle w:val="Text3"/>
        </w:rPr>
        <w:t>start</w:t>
      </w:r>
      <w:r>
        <w:t xml:space="preserve">, </w:t>
      </w:r>
      <w:r>
        <w:rPr>
          <w:rStyle w:val="Text3"/>
        </w:rPr>
        <w:t>stop</w:t>
      </w:r>
      <w:r>
        <w:t xml:space="preserve">, and </w:t>
      </w:r>
      <w:r>
        <w:rPr>
          <w:rStyle w:val="Text3"/>
        </w:rPr>
        <w:t>stride</w:t>
      </w:r>
      <w:r>
        <w:t xml:space="preserve"> are all optional (i.e., </w:t>
      </w:r>
      <w:r>
        <w:rPr>
          <w:rStyle w:val="Text3"/>
        </w:rPr>
        <w:t>obj</w:t>
      </w:r>
      <w:r>
        <w:rPr>
          <w:rStyle w:val="Text0"/>
        </w:rPr>
        <w:t>[:</w:t>
      </w:r>
      <w:r>
        <w:rPr>
          <w:rStyle w:val="Text3"/>
        </w:rPr>
        <w:t>stop</w:t>
      </w:r>
      <w:r>
        <w:rPr>
          <w:rStyle w:val="Text0"/>
        </w:rPr>
        <w:t>:]</w:t>
      </w:r>
      <w:r>
        <w:t xml:space="preserve"> and </w:t>
      </w:r>
      <w:r>
        <w:rPr>
          <w:rStyle w:val="Text3"/>
        </w:rPr>
        <w:t>obj</w:t>
      </w:r>
      <w:r>
        <w:rPr>
          <w:rStyle w:val="Text0"/>
        </w:rPr>
        <w:t>[:</w:t>
      </w:r>
      <w:r>
        <w:rPr>
          <w:rStyle w:val="Text3"/>
        </w:rPr>
        <w:t>stop</w:t>
      </w:r>
      <w:r>
        <w:rPr>
          <w:rStyle w:val="Text0"/>
        </w:rPr>
        <w:t>]</w:t>
      </w:r>
      <w:r>
        <w:t xml:space="preserve"> are also syntactically correct slicings, each being equivalent to </w:t>
      </w:r>
      <w:r>
        <w:rPr>
          <w:rStyle w:val="Text3"/>
        </w:rPr>
        <w:t>obj</w:t>
      </w:r>
      <w:r>
        <w:rPr>
          <w:rStyle w:val="Text0"/>
        </w:rPr>
        <w:t>[</w:t>
      </w:r>
      <w:r>
        <w:rPr>
          <w:rStyle w:val="Text5"/>
        </w:rPr>
        <w:t>None</w:t>
      </w:r>
      <w:r>
        <w:rPr>
          <w:rStyle w:val="Text0"/>
        </w:rPr>
        <w:t>:</w:t>
      </w:r>
      <w:r>
        <w:rPr>
          <w:rStyle w:val="Text3"/>
        </w:rPr>
        <w:t>stop</w:t>
      </w:r>
      <w:r>
        <w:rPr>
          <w:rStyle w:val="Text0"/>
        </w:rPr>
        <w:t>:</w:t>
      </w:r>
      <w:r>
        <w:rPr>
          <w:rStyle w:val="Text5"/>
        </w:rPr>
        <w:t>None</w:t>
      </w:r>
      <w:r>
        <w:rPr>
          <w:rStyle w:val="Text0"/>
        </w:rPr>
        <w:t>]</w:t>
      </w:r>
      <w:r>
        <w:t xml:space="preserve">). Assigning to a slicing asks the container </w:t>
      </w:r>
      <w:r>
        <w:rPr>
          <w:rStyle w:val="Text3"/>
        </w:rPr>
        <w:t>obj</w:t>
      </w:r>
      <w:r>
        <w:t xml:space="preserve"> to bind or unbind some of its items. Assigning to a slicing such as </w:t>
      </w:r>
      <w:r>
        <w:rPr>
          <w:rStyle w:val="Text3"/>
        </w:rPr>
        <w:t>obj</w:t>
      </w:r>
      <w:r>
        <w:rPr>
          <w:rStyle w:val="Text0"/>
        </w:rPr>
        <w:t>[</w:t>
      </w:r>
      <w:r>
        <w:rPr>
          <w:rStyle w:val="Text3"/>
        </w:rPr>
        <w:t>start</w:t>
      </w:r>
      <w:r>
        <w:rPr>
          <w:rStyle w:val="Text0"/>
        </w:rPr>
        <w:t>:</w:t>
      </w:r>
      <w:r>
        <w:rPr>
          <w:rStyle w:val="Text3"/>
        </w:rPr>
        <w:t>stop</w:t>
      </w:r>
      <w:r>
        <w:rPr>
          <w:rStyle w:val="Text0"/>
        </w:rPr>
        <w:t>:</w:t>
      </w:r>
      <w:r>
        <w:rPr>
          <w:rStyle w:val="Text3"/>
        </w:rPr>
        <w:t>stride</w:t>
      </w:r>
      <w:r>
        <w:rPr>
          <w:rStyle w:val="Text0"/>
        </w:rPr>
        <w:t>]</w:t>
      </w:r>
      <w:r>
        <w:t xml:space="preserve"> is equivalent to assigning to the indexing </w:t>
      </w:r>
      <w:r>
        <w:rPr>
          <w:rStyle w:val="Text3"/>
        </w:rPr>
        <w:t>obj</w:t>
      </w:r>
      <w:r>
        <w:rPr>
          <w:rStyle w:val="Text0"/>
        </w:rPr>
        <w:t>[slice(</w:t>
      </w:r>
      <w:r>
        <w:rPr>
          <w:rStyle w:val="Text3"/>
        </w:rPr>
        <w:t>start</w:t>
      </w:r>
      <w:r>
        <w:rPr>
          <w:rStyle w:val="Text0"/>
        </w:rPr>
        <w:t>,</w:t>
      </w:r>
      <w:r>
        <w:t xml:space="preserve"> </w:t>
      </w:r>
      <w:r>
        <w:rPr>
          <w:rStyle w:val="Text3"/>
        </w:rPr>
        <w:t>stop</w:t>
      </w:r>
      <w:r>
        <w:rPr>
          <w:rStyle w:val="Text0"/>
        </w:rPr>
        <w:t>,</w:t>
      </w:r>
      <w:r>
        <w:t xml:space="preserve"> </w:t>
      </w:r>
      <w:r>
        <w:rPr>
          <w:rStyle w:val="Text3"/>
        </w:rPr>
        <w:t>stride</w:t>
      </w:r>
      <w:r>
        <w:rPr>
          <w:rStyle w:val="Text0"/>
        </w:rPr>
        <w:t>)]</w:t>
      </w:r>
      <w:r>
        <w:t xml:space="preserve">. See Python’s built-in type </w:t>
      </w:r>
      <w:r>
        <w:rPr>
          <w:rStyle w:val="Text0"/>
        </w:rPr>
        <w:t>slice</w:t>
      </w:r>
      <w:r>
        <w:t xml:space="preserve"> in (</w:t>
      </w:r>
      <w:hyperlink w:anchor="Table_8_1__Python_s_core_built_i">
        <w:r>
          <w:rPr>
            <w:rStyle w:val="Text43"/>
          </w:rPr>
          <w:t>Table 8-1</w:t>
        </w:r>
      </w:hyperlink>
      <w:r>
        <w:t xml:space="preserve">), whose instances represent slices (a </w:t>
      </w:r>
      <w:r>
        <w:rPr>
          <w:rStyle w:val="Text4"/>
        </w:rPr>
        <w:t>slicing</w:t>
      </w:r>
      <w:r>
        <w:t xml:space="preserve"> is a slice </w:t>
      </w:r>
      <w:r>
        <w:rPr>
          <w:rStyle w:val="Text4"/>
        </w:rPr>
        <w:t>applied to</w:t>
      </w:r>
      <w:r>
        <w:t xml:space="preserve"> a container).</w:t>
      </w:r>
      <w:r>
        <w:rPr>
          <w:rStyle w:val="Text115"/>
        </w:rPr>
        <w:bookmarkStart w:id="700" w:name="idm45965258568640"/>
        <w:t/>
        <w:bookmarkEnd w:id="700"/>
      </w:r>
    </w:p>
    <w:p>
      <w:pPr>
        <w:pStyle w:val="Normal"/>
      </w:pPr>
      <w:r>
        <w:t xml:space="preserve">We’ll get back to indexing and slicing targets when we discuss operations on lists in </w:t>
      </w:r>
      <w:hyperlink w:anchor="Modifying_a_list__You_can_modify">
        <w:r>
          <w:rPr>
            <w:rStyle w:val="Text1"/>
          </w:rPr>
          <w:t>“Modifying a list”</w:t>
        </w:r>
      </w:hyperlink>
      <w:r>
        <w:t xml:space="preserve">, and on dictionaries in </w:t>
      </w:r>
      <w:hyperlink w:anchor="Indexing_a_Dictionary__To_denote">
        <w:r>
          <w:rPr>
            <w:rStyle w:val="Text1"/>
          </w:rPr>
          <w:t>“Indexing a Dictionary”</w:t>
        </w:r>
      </w:hyperlink>
      <w:r>
        <w:t>.</w:t>
      </w:r>
    </w:p>
    <w:p>
      <w:pPr>
        <w:pStyle w:val="Normal"/>
      </w:pPr>
      <w:r>
        <w:t xml:space="preserve">When the target of the assignment is an identifier, the assignment statement specifies the binding of a variable. This is </w:t>
      </w:r>
      <w:r>
        <w:rPr>
          <w:rStyle w:val="Text4"/>
        </w:rPr>
        <w:t>never</w:t>
      </w:r>
      <w:r>
        <w:t xml:space="preserve"> disallowed: when you request it, it takes place. In all other cases, the assignment statement denotes a request to an object to bind one or more of its attributes or items. An object may refuse to create or rebind some (or all) attributes or items, raising an exception if you attempt a disallowed creation or rebinding (see also </w:t>
      </w:r>
      <w:r>
        <w:rPr>
          <w:rStyle w:val="Text0"/>
        </w:rPr>
        <w:t>__setattr__</w:t>
      </w:r>
      <w:r>
        <w:t xml:space="preserve"> in </w:t>
      </w:r>
      <w:hyperlink w:anchor="Table_4_1__General_purpose_speci">
        <w:r>
          <w:rPr>
            <w:rStyle w:val="Text1"/>
          </w:rPr>
          <w:t>Table 4-1</w:t>
        </w:r>
      </w:hyperlink>
      <w:r>
        <w:t xml:space="preserve"> and </w:t>
      </w:r>
      <w:r>
        <w:rPr>
          <w:rStyle w:val="Text0"/>
        </w:rPr>
        <w:t>__setitem__</w:t>
      </w:r>
      <w:r>
        <w:t xml:space="preserve"> in </w:t>
      </w:r>
      <w:hyperlink w:anchor="Container_methods__The_special_m">
        <w:r>
          <w:rPr>
            <w:rStyle w:val="Text1"/>
          </w:rPr>
          <w:t>“Container methods”</w:t>
        </w:r>
      </w:hyperlink>
      <w:r>
        <w:t>).</w:t>
      </w:r>
    </w:p>
    <w:p>
      <w:pPr>
        <w:pStyle w:val="Normal"/>
      </w:pPr>
      <w:r>
        <w:t>A plain assignment can use multiple targets and</w:t>
      </w:r>
      <w:r>
        <w:rPr>
          <w:rStyle w:val="Text111"/>
        </w:rPr>
        <w:bookmarkStart w:id="701" w:name="idm45965258560688"/>
        <w:t/>
        <w:bookmarkEnd w:id="701"/>
        <w:bookmarkStart w:id="702" w:name="idm45965258559040"/>
        <w:t/>
        <w:bookmarkEnd w:id="702"/>
      </w:r>
      <w:r>
        <w:t xml:space="preserve"> equals signs (</w:t>
      </w:r>
      <w:r>
        <w:rPr>
          <w:rStyle w:val="Text0"/>
        </w:rPr>
        <w:t>=</w:t>
      </w:r>
      <w:r>
        <w:t>). For example:</w:t>
      </w:r>
    </w:p>
    <w:p>
      <w:pPr>
        <w:pStyle w:val="Para 038"/>
      </w:pPr>
      <w:r>
        <w:t xml:space="preserve"/>
        <w:br w:clear="none"/>
      </w:r>
      <w:r>
        <w:rPr>
          <w:rStyle w:val="Text49"/>
        </w:rPr>
        <w:t xml:space="preserve">a</w:t>
        <w:br w:clear="none"/>
      </w:r>
      <w:r>
        <w:t xml:space="preserve"> </w:t>
        <w:br w:clear="none"/>
      </w:r>
      <w:r>
        <w:rPr>
          <w:rStyle w:val="Text65"/>
        </w:rPr>
        <w:t xml:space="preserve">=</w:t>
        <w:br w:clear="none"/>
      </w:r>
      <w:r>
        <w:t xml:space="preserve"> </w:t>
        <w:br w:clear="none"/>
      </w:r>
      <w:r>
        <w:rPr>
          <w:rStyle w:val="Text49"/>
        </w:rPr>
        <w:t xml:space="preserve">b</w:t>
        <w:br w:clear="none"/>
      </w:r>
      <w:r>
        <w:t xml:space="preserve"> </w:t>
        <w:br w:clear="none"/>
      </w:r>
      <w:r>
        <w:rPr>
          <w:rStyle w:val="Text65"/>
        </w:rPr>
        <w:t xml:space="preserve">=</w:t>
        <w:br w:clear="none"/>
      </w:r>
      <w:r>
        <w:t xml:space="preserve"> </w:t>
        <w:br w:clear="none"/>
      </w:r>
      <w:r>
        <w:rPr>
          <w:rStyle w:val="Text49"/>
        </w:rPr>
        <w:t xml:space="preserve">c</w:t>
        <w:br w:clear="none"/>
      </w:r>
      <w:r>
        <w:t xml:space="preserve"> </w:t>
        <w:br w:clear="none"/>
      </w:r>
      <w:r>
        <w:rPr>
          <w:rStyle w:val="Text65"/>
        </w:rPr>
        <w:t xml:space="preserve">=</w:t>
        <w:br w:clear="none"/>
      </w:r>
      <w:r>
        <w:t xml:space="preserve"> </w:t>
        <w:br w:clear="none"/>
      </w:r>
      <w:r>
        <w:rPr>
          <w:rStyle w:val="Text86"/>
        </w:rPr>
        <w:t xml:space="preserve">0</w:t>
        <w:br w:clear="none"/>
      </w:r>
    </w:p>
    <w:p>
      <w:pPr>
        <w:pStyle w:val="Normal"/>
      </w:pPr>
      <w:r>
        <w:t xml:space="preserve">binds variables </w:t>
      </w:r>
      <w:r>
        <w:rPr>
          <w:rStyle w:val="Text0"/>
        </w:rPr>
        <w:t>a</w:t>
      </w:r>
      <w:r>
        <w:t xml:space="preserve">, </w:t>
      </w:r>
      <w:r>
        <w:rPr>
          <w:rStyle w:val="Text0"/>
        </w:rPr>
        <w:t>b</w:t>
      </w:r>
      <w:r>
        <w:t xml:space="preserve">, and </w:t>
      </w:r>
      <w:r>
        <w:rPr>
          <w:rStyle w:val="Text0"/>
        </w:rPr>
        <w:t>c</w:t>
      </w:r>
      <w:r>
        <w:t xml:space="preserve"> to the same value, </w:t>
      </w:r>
      <w:r>
        <w:rPr>
          <w:rStyle w:val="Text0"/>
        </w:rPr>
        <w:t>0</w:t>
      </w:r>
      <w:r>
        <w:t>. Each time the statement executes, the RHS expression evaluates just once, no matter how many targets are in the statement. Each target, left to right, is bound to the one object returned by the expression, just as if several simple assignments executed one after the other.</w:t>
      </w:r>
    </w:p>
    <w:p>
      <w:pPr>
        <w:pStyle w:val="Normal"/>
      </w:pPr>
      <w:r>
        <w:t>The target in a plain assignment can list two or more references separated by commas, optionally enclosed in parentheses or brackets. For example:</w:t>
      </w:r>
    </w:p>
    <w:p>
      <w:pPr>
        <w:pStyle w:val="Para 038"/>
      </w:pPr>
      <w:r>
        <w:t xml:space="preserve"/>
        <w:br w:clear="none"/>
      </w:r>
      <w:r>
        <w:rPr>
          <w:rStyle w:val="Text49"/>
        </w:rPr>
        <w:t xml:space="preserve">a</w:t>
        <w:br w:clear="none"/>
      </w:r>
      <w:r>
        <w:rPr>
          <w:rStyle w:val="Text58"/>
        </w:rPr>
        <w:t xml:space="preserve">,</w:t>
        <w:br w:clear="none"/>
      </w:r>
      <w:r>
        <w:t xml:space="preserve"> </w:t>
        <w:br w:clear="none"/>
      </w:r>
      <w:r>
        <w:rPr>
          <w:rStyle w:val="Text49"/>
        </w:rPr>
        <w:t xml:space="preserve">b</w:t>
        <w:br w:clear="none"/>
      </w:r>
      <w:r>
        <w:rPr>
          <w:rStyle w:val="Text58"/>
        </w:rPr>
        <w:t xml:space="preserve">,</w:t>
        <w:br w:clear="none"/>
      </w:r>
      <w:r>
        <w:t xml:space="preserve"> </w:t>
        <w:br w:clear="none"/>
      </w:r>
      <w:r>
        <w:rPr>
          <w:rStyle w:val="Text49"/>
        </w:rPr>
        <w:t xml:space="preserve">c</w:t>
        <w:br w:clear="none"/>
      </w:r>
      <w:r>
        <w:t xml:space="preserve"> </w:t>
        <w:br w:clear="none"/>
      </w:r>
      <w:r>
        <w:rPr>
          <w:rStyle w:val="Text65"/>
        </w:rPr>
        <w:t xml:space="preserve">=</w:t>
        <w:br w:clear="none"/>
      </w:r>
      <w:r>
        <w:t xml:space="preserve"> </w:t>
        <w:br w:clear="none"/>
      </w:r>
      <w:r>
        <w:rPr>
          <w:rStyle w:val="Text49"/>
        </w:rPr>
        <w:t xml:space="preserve">x</w:t>
        <w:br w:clear="none"/>
      </w:r>
    </w:p>
    <w:p>
      <w:pPr>
        <w:pStyle w:val="Normal"/>
      </w:pPr>
      <w:r>
        <w:t xml:space="preserve">This statement requires </w:t>
      </w:r>
      <w:r>
        <w:rPr>
          <w:rStyle w:val="Text0"/>
        </w:rPr>
        <w:t>x</w:t>
      </w:r>
      <w:r>
        <w:t xml:space="preserve"> to be an iterable with exactly three items, and binds </w:t>
      </w:r>
      <w:r>
        <w:rPr>
          <w:rStyle w:val="Text0"/>
        </w:rPr>
        <w:t>a</w:t>
      </w:r>
      <w:r>
        <w:t xml:space="preserve"> to the first item, </w:t>
      </w:r>
      <w:r>
        <w:rPr>
          <w:rStyle w:val="Text0"/>
        </w:rPr>
        <w:t>b</w:t>
      </w:r>
      <w:r>
        <w:t xml:space="preserve"> to the second, and </w:t>
      </w:r>
      <w:r>
        <w:rPr>
          <w:rStyle w:val="Text0"/>
        </w:rPr>
        <w:t>c</w:t>
      </w:r>
      <w:r>
        <w:t xml:space="preserve"> to the third. This kind of assignment is known as an</w:t>
      </w:r>
      <w:r>
        <w:rPr>
          <w:rStyle w:val="Text111"/>
        </w:rPr>
        <w:bookmarkStart w:id="703" w:name="idm45965258528672"/>
        <w:t/>
        <w:bookmarkEnd w:id="703"/>
      </w:r>
      <w:r>
        <w:t xml:space="preserve"> </w:t>
      </w:r>
      <w:r>
        <w:rPr>
          <w:rStyle w:val="Text4"/>
        </w:rPr>
        <w:t>unpacking assignment</w:t>
      </w:r>
      <w:r>
        <w:t>. The RHS expression must be an iterable with exactly as many items as there are references in the target; otherwise, Python raises an exception. Python binds each reference in the target to the corresponding item in the RHS. You can use an unpacking assignment, for example, to swap references:</w:t>
      </w:r>
    </w:p>
    <w:p>
      <w:pPr>
        <w:pStyle w:val="Para 038"/>
      </w:pPr>
      <w:r>
        <w:t xml:space="preserve"/>
        <w:br w:clear="none"/>
      </w:r>
      <w:r>
        <w:rPr>
          <w:rStyle w:val="Text49"/>
        </w:rPr>
        <w:t xml:space="preserve">a</w:t>
        <w:br w:clear="none"/>
      </w:r>
      <w:r>
        <w:rPr>
          <w:rStyle w:val="Text58"/>
        </w:rPr>
        <w:t xml:space="preserve">,</w:t>
        <w:br w:clear="none"/>
      </w:r>
      <w:r>
        <w:t xml:space="preserve"> </w:t>
        <w:br w:clear="none"/>
      </w:r>
      <w:r>
        <w:rPr>
          <w:rStyle w:val="Text49"/>
        </w:rPr>
        <w:t xml:space="preserve">b</w:t>
        <w:br w:clear="none"/>
      </w:r>
      <w:r>
        <w:t xml:space="preserve"> </w:t>
        <w:br w:clear="none"/>
      </w:r>
      <w:r>
        <w:rPr>
          <w:rStyle w:val="Text65"/>
        </w:rPr>
        <w:t xml:space="preserve">=</w:t>
        <w:br w:clear="none"/>
      </w:r>
      <w:r>
        <w:t xml:space="preserve"> </w:t>
        <w:br w:clear="none"/>
      </w:r>
      <w:r>
        <w:rPr>
          <w:rStyle w:val="Text49"/>
        </w:rPr>
        <w:t xml:space="preserve">b</w:t>
        <w:br w:clear="none"/>
      </w:r>
      <w:r>
        <w:rPr>
          <w:rStyle w:val="Text58"/>
        </w:rPr>
        <w:t xml:space="preserve">,</w:t>
        <w:br w:clear="none"/>
      </w:r>
      <w:r>
        <w:t xml:space="preserve"> </w:t>
        <w:br w:clear="none"/>
      </w:r>
      <w:r>
        <w:rPr>
          <w:rStyle w:val="Text49"/>
        </w:rPr>
        <w:t xml:space="preserve">a</w:t>
        <w:br w:clear="none"/>
      </w:r>
    </w:p>
    <w:p>
      <w:pPr>
        <w:pStyle w:val="Normal"/>
      </w:pPr>
      <w:r>
        <w:t xml:space="preserve">This assignment statement rebinds name </w:t>
      </w:r>
      <w:r>
        <w:rPr>
          <w:rStyle w:val="Text0"/>
        </w:rPr>
        <w:t>a</w:t>
      </w:r>
      <w:r>
        <w:t xml:space="preserve"> to what name </w:t>
      </w:r>
      <w:r>
        <w:rPr>
          <w:rStyle w:val="Text0"/>
        </w:rPr>
        <w:t>b</w:t>
      </w:r>
      <w:r>
        <w:t xml:space="preserve"> was bound to, and vice versa. Exactly one of the multiple targets of an unpacking assignment may be preceded</w:t>
      </w:r>
      <w:r>
        <w:rPr>
          <w:rStyle w:val="Text111"/>
        </w:rPr>
        <w:bookmarkStart w:id="704" w:name="idm45965258478416"/>
        <w:t/>
        <w:bookmarkEnd w:id="704"/>
        <w:bookmarkStart w:id="705" w:name="idm45965258477040"/>
        <w:t/>
        <w:bookmarkEnd w:id="705"/>
      </w:r>
      <w:r>
        <w:t xml:space="preserve"> by </w:t>
      </w:r>
      <w:r>
        <w:rPr>
          <w:rStyle w:val="Text0"/>
        </w:rPr>
        <w:t>*</w:t>
      </w:r>
      <w:r>
        <w:t>. That</w:t>
      </w:r>
      <w:r>
        <w:rPr>
          <w:rStyle w:val="Text111"/>
        </w:rPr>
        <w:bookmarkStart w:id="706" w:name="idm45965258474816"/>
        <w:t/>
        <w:bookmarkEnd w:id="706"/>
      </w:r>
      <w:r>
        <w:t xml:space="preserve"> </w:t>
      </w:r>
      <w:r>
        <w:rPr>
          <w:rStyle w:val="Text4"/>
        </w:rPr>
        <w:t>starred</w:t>
      </w:r>
      <w:r>
        <w:t xml:space="preserve"> target, if present, is bound to a list of all items, if any, that were not assigned to other targets. For example, when </w:t>
      </w:r>
      <w:r>
        <w:rPr>
          <w:rStyle w:val="Text0"/>
        </w:rPr>
        <w:t>x</w:t>
      </w:r>
      <w:r>
        <w:t xml:space="preserve"> is a list, this:</w:t>
      </w:r>
    </w:p>
    <w:p>
      <w:pPr>
        <w:pStyle w:val="Para 007"/>
      </w:pPr>
      <w:r>
        <w:rPr>
          <w:rStyle w:val="Text23"/>
        </w:rPr>
        <w:t xml:space="preserve"/>
        <w:br w:clear="none"/>
      </w:r>
      <w:r>
        <w:t xml:space="preserve">first</w:t>
        <w:br w:clear="none"/>
      </w:r>
      <w:r>
        <w:rPr>
          <w:rStyle w:val="Text7"/>
        </w:rPr>
        <w:t xml:space="preserve">,</w:t>
        <w:br w:clear="none"/>
      </w:r>
      <w:r>
        <w:rPr>
          <w:rStyle w:val="Text23"/>
        </w:rPr>
        <w:t xml:space="preserve"> </w:t>
        <w:br w:clear="none"/>
      </w:r>
      <w:r>
        <w:rPr>
          <w:rStyle w:val="Text13"/>
        </w:rPr>
        <w:t xml:space="preserve">*</w:t>
        <w:br w:clear="none"/>
      </w:r>
      <w:r>
        <w:t xml:space="preserve">middle</w:t>
        <w:br w:clear="none"/>
      </w:r>
      <w:r>
        <w:rPr>
          <w:rStyle w:val="Text7"/>
        </w:rPr>
        <w:t xml:space="preserve">,</w:t>
        <w:br w:clear="none"/>
      </w:r>
      <w:r>
        <w:rPr>
          <w:rStyle w:val="Text23"/>
        </w:rPr>
        <w:t xml:space="preserve"> </w:t>
        <w:br w:clear="none"/>
      </w:r>
      <w:r>
        <w:t xml:space="preserve">last</w:t>
        <w:br w:clear="none"/>
      </w:r>
      <w:r>
        <w:rPr>
          <w:rStyle w:val="Text23"/>
        </w:rPr>
        <w:t xml:space="preserve"> </w:t>
        <w:br w:clear="none"/>
      </w:r>
      <w:r>
        <w:rPr>
          <w:rStyle w:val="Text13"/>
        </w:rPr>
        <w:t xml:space="preserve">=</w:t>
        <w:br w:clear="none"/>
      </w:r>
      <w:r>
        <w:rPr>
          <w:rStyle w:val="Text23"/>
        </w:rPr>
        <w:t xml:space="preserve"> </w:t>
        <w:br w:clear="none"/>
      </w:r>
      <w:r>
        <w:t xml:space="preserve">x</w:t>
        <w:br w:clear="none"/>
      </w:r>
    </w:p>
    <w:p>
      <w:pPr>
        <w:pStyle w:val="Normal"/>
      </w:pPr>
      <w:r>
        <w:t>is the same as (but more concise, clearer, more general, and faster than) this:</w:t>
      </w:r>
    </w:p>
    <w:p>
      <w:pPr>
        <w:pStyle w:val="Para 007"/>
      </w:pPr>
      <w:r>
        <w:rPr>
          <w:rStyle w:val="Text23"/>
        </w:rPr>
        <w:t xml:space="preserve"/>
        <w:br w:clear="none"/>
      </w:r>
      <w:r>
        <w:t xml:space="preserve">first</w:t>
        <w:br w:clear="none"/>
      </w:r>
      <w:r>
        <w:rPr>
          <w:rStyle w:val="Text7"/>
        </w:rPr>
        <w:t xml:space="preserve">,</w:t>
        <w:br w:clear="none"/>
      </w:r>
      <w:r>
        <w:rPr>
          <w:rStyle w:val="Text23"/>
        </w:rPr>
        <w:t xml:space="preserve"> </w:t>
        <w:br w:clear="none"/>
      </w:r>
      <w:r>
        <w:t xml:space="preserve">middle</w:t>
        <w:br w:clear="none"/>
      </w:r>
      <w:r>
        <w:rPr>
          <w:rStyle w:val="Text7"/>
        </w:rPr>
        <w:t xml:space="preserve">,</w:t>
        <w:br w:clear="none"/>
      </w:r>
      <w:r>
        <w:rPr>
          <w:rStyle w:val="Text23"/>
        </w:rPr>
        <w:t xml:space="preserve"> </w:t>
        <w:br w:clear="none"/>
      </w:r>
      <w:r>
        <w:t xml:space="preserve">last</w:t>
        <w:br w:clear="none"/>
      </w:r>
      <w:r>
        <w:rPr>
          <w:rStyle w:val="Text23"/>
        </w:rPr>
        <w:t xml:space="preserve"> </w:t>
        <w:br w:clear="none"/>
      </w:r>
      <w:r>
        <w:rPr>
          <w:rStyle w:val="Text13"/>
        </w:rPr>
        <w:t xml:space="preserve">=</w:t>
        <w:br w:clear="none"/>
      </w:r>
      <w:r>
        <w:rPr>
          <w:rStyle w:val="Text23"/>
        </w:rPr>
        <w:t xml:space="preserve"> </w:t>
        <w:br w:clear="none"/>
      </w:r>
      <w:r>
        <w:t xml:space="preserve">x</w:t>
        <w:br w:clear="none"/>
      </w:r>
      <w:r>
        <w:rPr>
          <w:rStyle w:val="Text7"/>
        </w:rPr>
        <w:t xml:space="preserve">[</w:t>
        <w:br w:clear="none"/>
      </w:r>
      <w:r>
        <w:rPr>
          <w:rStyle w:val="Text27"/>
        </w:rPr>
        <w:t xml:space="preserve">0</w:t>
        <w:br w:clear="none"/>
      </w:r>
      <w:r>
        <w:rPr>
          <w:rStyle w:val="Text7"/>
        </w:rPr>
        <w:t xml:space="preserve">],</w:t>
        <w:br w:clear="none"/>
      </w:r>
      <w:r>
        <w:rPr>
          <w:rStyle w:val="Text23"/>
        </w:rPr>
        <w:t xml:space="preserve"> </w:t>
        <w:br w:clear="none"/>
      </w:r>
      <w:r>
        <w:t xml:space="preserve">x</w:t>
        <w:br w:clear="none"/>
      </w:r>
      <w:r>
        <w:rPr>
          <w:rStyle w:val="Text7"/>
        </w:rPr>
        <w:t xml:space="preserve">[</w:t>
        <w:br w:clear="none"/>
      </w:r>
      <w:r>
        <w:rPr>
          <w:rStyle w:val="Text27"/>
        </w:rPr>
        <w:t xml:space="preserve">1</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23"/>
        </w:rPr>
        <w:t xml:space="preserve"> </w:t>
        <w:br w:clear="none"/>
      </w:r>
      <w:r>
        <w:t xml:space="preserve">x</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p>
    <w:p>
      <w:pPr>
        <w:pStyle w:val="Normal"/>
      </w:pPr>
      <w:r>
        <w:t xml:space="preserve">Each of these forms requires </w:t>
      </w:r>
      <w:r>
        <w:rPr>
          <w:rStyle w:val="Text0"/>
        </w:rPr>
        <w:t>x</w:t>
      </w:r>
      <w:r>
        <w:t xml:space="preserve"> to have at least two items. This feature is known as </w:t>
      </w:r>
      <w:r>
        <w:rPr>
          <w:rStyle w:val="Text4"/>
        </w:rPr>
        <w:t>extended unpacking</w:t>
      </w:r>
      <w:r>
        <w:t>.</w:t>
      </w:r>
    </w:p>
    <w:p>
      <w:bookmarkStart w:id="707" w:name="Augmented_assignment__An_augment"/>
      <w:pPr>
        <w:keepNext/>
        <w:pStyle w:val="Heading 2"/>
      </w:pPr>
      <w:r>
        <w:t>Augmented assignment</w:t>
      </w:r>
      <w:bookmarkEnd w:id="707"/>
    </w:p>
    <w:p>
      <w:pPr>
        <w:pStyle w:val="Normal"/>
      </w:pPr>
      <w:r>
        <w:t>An</w:t>
      </w:r>
      <w:r>
        <w:rPr>
          <w:rStyle w:val="Text111"/>
        </w:rPr>
        <w:bookmarkStart w:id="708" w:name="idm45965283343504"/>
        <w:t/>
        <w:bookmarkEnd w:id="708"/>
      </w:r>
      <w:r>
        <w:t xml:space="preserve"> </w:t>
      </w:r>
      <w:r>
        <w:rPr>
          <w:rStyle w:val="Text4"/>
        </w:rPr>
        <w:t>augmented assignment</w:t>
      </w:r>
      <w:r>
        <w:t xml:space="preserve"> (sometimes called an</w:t>
      </w:r>
      <w:r>
        <w:rPr>
          <w:rStyle w:val="Text111"/>
        </w:rPr>
        <w:bookmarkStart w:id="709" w:name="idm45965283339008"/>
        <w:t/>
        <w:bookmarkEnd w:id="709"/>
      </w:r>
      <w:r>
        <w:t xml:space="preserve"> </w:t>
      </w:r>
      <w:r>
        <w:rPr>
          <w:rStyle w:val="Text4"/>
        </w:rPr>
        <w:t>in-place assignment</w:t>
      </w:r>
      <w:r>
        <w:t>) differs from a plain assignment in that, instead of an equals sign (</w:t>
      </w:r>
      <w:r>
        <w:rPr>
          <w:rStyle w:val="Text0"/>
        </w:rPr>
        <w:t>=</w:t>
      </w:r>
      <w:r>
        <w:t>) between the target and the expression, it uses an</w:t>
      </w:r>
      <w:r>
        <w:rPr>
          <w:rStyle w:val="Text111"/>
        </w:rPr>
        <w:bookmarkStart w:id="710" w:name="idm45965283336608"/>
        <w:t/>
        <w:bookmarkEnd w:id="710"/>
      </w:r>
      <w:r>
        <w:t xml:space="preserve"> </w:t>
      </w:r>
      <w:r>
        <w:rPr>
          <w:rStyle w:val="Text4"/>
        </w:rPr>
        <w:t>augmented operator</w:t>
      </w:r>
      <w:r>
        <w:t xml:space="preserve">, which is a binary operator followed by </w:t>
      </w:r>
      <w:r>
        <w:rPr>
          <w:rStyle w:val="Text0"/>
        </w:rPr>
        <w:t>=</w:t>
      </w:r>
      <w:r>
        <w:t>. The</w:t>
      </w:r>
      <w:r>
        <w:rPr>
          <w:rStyle w:val="Text111"/>
        </w:rPr>
        <w:bookmarkStart w:id="711" w:name="idm45965283334240"/>
        <w:t/>
        <w:bookmarkEnd w:id="711"/>
        <w:bookmarkStart w:id="712" w:name="idm45965283333104"/>
        <w:t/>
        <w:bookmarkEnd w:id="712"/>
        <w:bookmarkStart w:id="713" w:name="idm45965283332000"/>
        <w:t/>
        <w:bookmarkEnd w:id="713"/>
        <w:bookmarkStart w:id="714" w:name="idm45965283330896"/>
        <w:t/>
        <w:bookmarkEnd w:id="714"/>
        <w:bookmarkStart w:id="715" w:name="idm45965283329792"/>
        <w:t/>
        <w:bookmarkEnd w:id="715"/>
        <w:bookmarkStart w:id="716" w:name="idm45965283328688"/>
        <w:t/>
        <w:bookmarkEnd w:id="716"/>
        <w:bookmarkStart w:id="717" w:name="idm45965283327584"/>
        <w:t/>
        <w:bookmarkEnd w:id="717"/>
        <w:bookmarkStart w:id="718" w:name="idm45965283326480"/>
        <w:t/>
        <w:bookmarkEnd w:id="718"/>
        <w:bookmarkStart w:id="719" w:name="idm45965283325376"/>
        <w:t/>
        <w:bookmarkEnd w:id="719"/>
        <w:bookmarkStart w:id="720" w:name="idm45965283324272"/>
        <w:t/>
        <w:bookmarkEnd w:id="720"/>
        <w:bookmarkStart w:id="721" w:name="idm45965283323168"/>
        <w:t/>
        <w:bookmarkEnd w:id="721"/>
        <w:bookmarkStart w:id="722" w:name="idm45965283322064"/>
        <w:t/>
        <w:bookmarkEnd w:id="722"/>
        <w:bookmarkStart w:id="723" w:name="idm45965283296800"/>
        <w:t/>
        <w:bookmarkEnd w:id="723"/>
        <w:bookmarkStart w:id="724" w:name="idm45965283295728"/>
        <w:t/>
        <w:bookmarkEnd w:id="724"/>
      </w:r>
      <w:r>
        <w:t xml:space="preserve"> augmented operators are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&gt;&gt;=</w:t>
      </w:r>
      <w:r>
        <w:t xml:space="preserve">, </w:t>
      </w:r>
      <w:r>
        <w:rPr>
          <w:rStyle w:val="Text0"/>
        </w:rPr>
        <w:t>&lt;&lt;=</w:t>
      </w:r>
      <w:r>
        <w:t xml:space="preserve">, </w:t>
      </w:r>
      <w:r>
        <w:rPr>
          <w:rStyle w:val="Text0"/>
        </w:rPr>
        <w:t>&amp;=</w:t>
      </w:r>
      <w:r>
        <w:t xml:space="preserve">, </w:t>
      </w:r>
      <w:r>
        <w:rPr>
          <w:rStyle w:val="Text0"/>
        </w:rPr>
        <w:t>^=</w:t>
      </w:r>
      <w:r>
        <w:t xml:space="preserve">, and </w:t>
      </w:r>
      <w:r>
        <w:rPr>
          <w:rStyle w:val="Text0"/>
        </w:rPr>
        <w:t>@=</w:t>
      </w:r>
      <w:r>
        <w:t>. An augmented assignment can have only one target on the LHS; augmented assignment does not support multiple targets.</w:t>
      </w:r>
    </w:p>
    <w:p>
      <w:pPr>
        <w:pStyle w:val="Normal"/>
      </w:pPr>
      <w:r>
        <w:t xml:space="preserve">In an augmented assignment, like in a plain one, Python first evaluates the RHS expression. Then, when the LHS refers to an object that has a special method for the appropriate </w:t>
      </w:r>
      <w:r>
        <w:rPr>
          <w:rStyle w:val="Text4"/>
        </w:rPr>
        <w:t>in-place</w:t>
      </w:r>
      <w:r>
        <w:t xml:space="preserve"> version of the operator, Python calls the method with the RHS value as its argument (it is up to the method to modify the LHS object appropriately and return the modified object; </w:t>
      </w:r>
      <w:hyperlink w:anchor="Special_Methods__A_class_may_def">
        <w:r>
          <w:rPr>
            <w:rStyle w:val="Text1"/>
          </w:rPr>
          <w:t>“Special Methods”</w:t>
        </w:r>
      </w:hyperlink>
      <w:r>
        <w:t xml:space="preserve"> covers special methods). When the LHS object has no applicable in-place special method, Python uses the corresponding binary operator on the LHS and RHS objects, then rebinds the target to the result. For example, </w:t>
      </w:r>
      <w:r>
        <w:rPr>
          <w:rStyle w:val="Text3"/>
        </w:rPr>
        <w:t>x</w:t>
      </w:r>
      <w:r>
        <w:t xml:space="preserve"> </w:t>
      </w:r>
      <w:r>
        <w:rPr>
          <w:rStyle w:val="Text0"/>
        </w:rPr>
        <w:t>+=</w:t>
      </w:r>
      <w:r>
        <w:t xml:space="preserve"> </w:t>
      </w:r>
      <w:r>
        <w:rPr>
          <w:rStyle w:val="Text3"/>
        </w:rPr>
        <w:t>y</w:t>
      </w:r>
      <w:r>
        <w:t xml:space="preserve"> is like </w:t>
      </w:r>
      <w:r>
        <w:rPr>
          <w:rStyle w:val="Text3"/>
        </w:rPr>
        <w:t>x</w:t>
      </w:r>
      <w:r>
        <w:t xml:space="preserve"> </w:t>
      </w:r>
      <w:r>
        <w:rPr>
          <w:rStyle w:val="Text0"/>
        </w:rPr>
        <w:t>=</w:t>
      </w:r>
      <w:r>
        <w:t xml:space="preserve"> </w:t>
      </w:r>
      <w:r>
        <w:rPr>
          <w:rStyle w:val="Text3"/>
        </w:rPr>
        <w:t>x</w:t>
      </w:r>
      <w:r>
        <w:rPr>
          <w:rStyle w:val="Text0"/>
        </w:rPr>
        <w:t>.__iadd_(</w:t>
      </w:r>
      <w:r>
        <w:rPr>
          <w:rStyle w:val="Text3"/>
        </w:rPr>
        <w:t>y</w:t>
      </w:r>
      <w:r>
        <w:rPr>
          <w:rStyle w:val="Text0"/>
        </w:rPr>
        <w:t>)</w:t>
      </w:r>
      <w:r>
        <w:t xml:space="preserve"> when </w:t>
      </w:r>
      <w:r>
        <w:rPr>
          <w:rStyle w:val="Text3"/>
        </w:rPr>
        <w:t>x</w:t>
      </w:r>
      <w:r>
        <w:t xml:space="preserve"> has the special method </w:t>
      </w:r>
      <w:r>
        <w:rPr>
          <w:rStyle w:val="Text0"/>
        </w:rPr>
        <w:t>__iadd__</w:t>
      </w:r>
      <w:r>
        <w:t xml:space="preserve"> for “in-place addition”; otherwise, </w:t>
      </w:r>
      <w:r>
        <w:rPr>
          <w:rStyle w:val="Text3"/>
        </w:rPr>
        <w:t>x</w:t>
      </w:r>
      <w:r>
        <w:t xml:space="preserve"> </w:t>
      </w:r>
      <w:r>
        <w:rPr>
          <w:rStyle w:val="Text0"/>
        </w:rPr>
        <w:t>+=</w:t>
      </w:r>
      <w:r>
        <w:t xml:space="preserve"> </w:t>
      </w:r>
      <w:r>
        <w:rPr>
          <w:rStyle w:val="Text3"/>
        </w:rPr>
        <w:t>y</w:t>
      </w:r>
      <w:r>
        <w:t xml:space="preserve"> is like </w:t>
      </w:r>
      <w:r>
        <w:rPr>
          <w:rStyle w:val="Text3"/>
        </w:rPr>
        <w:t>x</w:t>
      </w:r>
      <w:r>
        <w:t xml:space="preserve"> </w:t>
      </w:r>
      <w:r>
        <w:rPr>
          <w:rStyle w:val="Text0"/>
        </w:rPr>
        <w:t>=</w:t>
      </w:r>
      <w:r>
        <w:t xml:space="preserve"> </w:t>
      </w:r>
      <w:r>
        <w:rPr>
          <w:rStyle w:val="Text3"/>
        </w:rPr>
        <w:t>x</w:t>
      </w:r>
      <w:r>
        <w:t xml:space="preserve"> </w:t>
      </w:r>
      <w:r>
        <w:rPr>
          <w:rStyle w:val="Text0"/>
        </w:rPr>
        <w:t>+</w:t>
      </w:r>
      <w:r>
        <w:t xml:space="preserve"> </w:t>
      </w:r>
      <w:r>
        <w:rPr>
          <w:rStyle w:val="Text3"/>
        </w:rPr>
        <w:t>y</w:t>
      </w:r>
      <w:r>
        <w:t>.</w:t>
      </w:r>
    </w:p>
    <w:p>
      <w:pPr>
        <w:pStyle w:val="Normal"/>
      </w:pPr>
      <w:r>
        <w:t xml:space="preserve">Augmented assignment never creates its target reference; the target must already be bound when augmented assignment executes. Augmented assignment can rebind the target reference to a new object, or modify the same object to which the target reference was already bound. Plain assignment, in contrast, can create or rebind the LHS target reference, but it never modifies the object, if any, to which the target reference was previously bound. The distinction between objects and references to objects is crucial here. For example, </w:t>
      </w:r>
      <w:r>
        <w:rPr>
          <w:rStyle w:val="Text3"/>
        </w:rPr>
        <w:t>x</w:t>
      </w:r>
      <w:r>
        <w:t xml:space="preserve"> </w:t>
      </w:r>
      <w:r>
        <w:rPr>
          <w:rStyle w:val="Text0"/>
        </w:rPr>
        <w:t>=</w:t>
      </w:r>
      <w:r>
        <w:t xml:space="preserve"> </w:t>
      </w:r>
      <w:r>
        <w:rPr>
          <w:rStyle w:val="Text3"/>
        </w:rPr>
        <w:t>x</w:t>
      </w:r>
      <w:r>
        <w:t xml:space="preserve"> </w:t>
      </w:r>
      <w:r>
        <w:rPr>
          <w:rStyle w:val="Text0"/>
        </w:rPr>
        <w:t>+</w:t>
      </w:r>
      <w:r>
        <w:t xml:space="preserve"> </w:t>
      </w:r>
      <w:r>
        <w:rPr>
          <w:rStyle w:val="Text3"/>
        </w:rPr>
        <w:t>y</w:t>
      </w:r>
      <w:r>
        <w:t xml:space="preserve"> never modifies the object to which </w:t>
      </w:r>
      <w:r>
        <w:rPr>
          <w:rStyle w:val="Text3"/>
        </w:rPr>
        <w:t>x</w:t>
      </w:r>
      <w:r>
        <w:t xml:space="preserve"> was originally bound, if any. Rather, it rebinds </w:t>
      </w:r>
      <w:r>
        <w:rPr>
          <w:rStyle w:val="Text3"/>
        </w:rPr>
        <w:t>x</w:t>
      </w:r>
      <w:r>
        <w:t xml:space="preserve"> to refer to a new object. </w:t>
      </w:r>
      <w:r>
        <w:rPr>
          <w:rStyle w:val="Text3"/>
        </w:rPr>
        <w:t>x</w:t>
      </w:r>
      <w:r>
        <w:t xml:space="preserve"> </w:t>
      </w:r>
      <w:r>
        <w:rPr>
          <w:rStyle w:val="Text0"/>
        </w:rPr>
        <w:t>+=</w:t>
      </w:r>
      <w:r>
        <w:t xml:space="preserve"> </w:t>
      </w:r>
      <w:r>
        <w:rPr>
          <w:rStyle w:val="Text3"/>
        </w:rPr>
        <w:t>y</w:t>
      </w:r>
      <w:r>
        <w:t xml:space="preserve">, </w:t>
        <w:t>in contrast</w:t>
        <w:t xml:space="preserve">, modifies the object to which the name </w:t>
      </w:r>
      <w:r>
        <w:rPr>
          <w:rStyle w:val="Text3"/>
        </w:rPr>
        <w:t>x</w:t>
      </w:r>
      <w:r>
        <w:t xml:space="preserve"> is bound, when that object has the special method </w:t>
      </w:r>
      <w:r>
        <w:rPr>
          <w:rStyle w:val="Text0"/>
        </w:rPr>
        <w:t>__iadd__</w:t>
      </w:r>
      <w:r>
        <w:t xml:space="preserve">; otherwise, </w:t>
      </w:r>
      <w:r>
        <w:rPr>
          <w:rStyle w:val="Text3"/>
        </w:rPr>
        <w:t>x</w:t>
      </w:r>
      <w:r>
        <w:t xml:space="preserve"> </w:t>
      </w:r>
      <w:r>
        <w:rPr>
          <w:rStyle w:val="Text0"/>
        </w:rPr>
        <w:t>+=</w:t>
      </w:r>
      <w:r>
        <w:t xml:space="preserve"> </w:t>
      </w:r>
      <w:r>
        <w:rPr>
          <w:rStyle w:val="Text3"/>
        </w:rPr>
        <w:t>y</w:t>
      </w:r>
      <w:r>
        <w:t xml:space="preserve"> rebinds </w:t>
      </w:r>
      <w:r>
        <w:rPr>
          <w:rStyle w:val="Text3"/>
        </w:rPr>
        <w:t>x</w:t>
      </w:r>
      <w:r>
        <w:t xml:space="preserve"> to a new object, just like </w:t>
      </w:r>
      <w:r>
        <w:rPr>
          <w:rStyle w:val="Text3"/>
        </w:rPr>
        <w:t>x</w:t>
      </w:r>
      <w:r>
        <w:t xml:space="preserve"> </w:t>
      </w:r>
      <w:r>
        <w:rPr>
          <w:rStyle w:val="Text0"/>
        </w:rPr>
        <w:t>=</w:t>
      </w:r>
      <w:r>
        <w:t xml:space="preserve"> </w:t>
      </w:r>
      <w:r>
        <w:rPr>
          <w:rStyle w:val="Text3"/>
        </w:rPr>
        <w:t>x</w:t>
      </w:r>
      <w:r>
        <w:t xml:space="preserve"> </w:t>
      </w:r>
      <w:r>
        <w:rPr>
          <w:rStyle w:val="Text0"/>
        </w:rPr>
        <w:t>+</w:t>
      </w:r>
      <w:r>
        <w:t xml:space="preserve"> </w:t>
      </w:r>
      <w:r>
        <w:rPr>
          <w:rStyle w:val="Text3"/>
        </w:rPr>
        <w:t>y</w:t>
      </w:r>
      <w:r>
        <w:t>.</w:t>
      </w:r>
      <w:r>
        <w:rPr>
          <w:rStyle w:val="Text111"/>
        </w:rPr>
        <w:bookmarkStart w:id="725" w:name="idm45965283251120"/>
        <w:t/>
        <w:bookmarkEnd w:id="725"/>
      </w:r>
    </w:p>
    <w:p>
      <w:bookmarkStart w:id="726" w:name="del_Statements__Despite_its_name"/>
      <w:pPr>
        <w:keepNext/>
        <w:pStyle w:val="Heading 2"/>
      </w:pPr>
      <w:r>
        <w:t>del Statements</w:t>
      </w:r>
      <w:bookmarkEnd w:id="726"/>
    </w:p>
    <w:p>
      <w:pPr>
        <w:pStyle w:val="Normal"/>
      </w:pPr>
      <w:r>
        <w:t>Despite</w:t>
      </w:r>
      <w:r>
        <w:rPr>
          <w:rStyle w:val="Text111"/>
        </w:rPr>
        <w:bookmarkStart w:id="727" w:name="idm45965283247872"/>
        <w:t/>
        <w:bookmarkEnd w:id="727"/>
        <w:bookmarkStart w:id="728" w:name="idm45965283246736"/>
        <w:t/>
        <w:bookmarkEnd w:id="728"/>
        <w:bookmarkStart w:id="729" w:name="idm45965283245392"/>
        <w:t/>
        <w:bookmarkEnd w:id="729"/>
      </w:r>
      <w:r>
        <w:t xml:space="preserve"> its name, a </w:t>
      </w:r>
      <w:r>
        <w:rPr>
          <w:rStyle w:val="Text5"/>
        </w:rPr>
        <w:t>del</w:t>
      </w:r>
      <w:r>
        <w:t xml:space="preserve"> statement</w:t>
      </w:r>
      <w:r>
        <w:rPr>
          <w:rStyle w:val="Text111"/>
        </w:rPr>
        <w:bookmarkStart w:id="730" w:name="idm45965283243280"/>
        <w:t/>
        <w:bookmarkEnd w:id="730"/>
        <w:bookmarkStart w:id="731" w:name="idm45965283241904"/>
        <w:t/>
        <w:bookmarkEnd w:id="731"/>
      </w:r>
      <w:r>
        <w:t xml:space="preserve"> </w:t>
      </w:r>
      <w:r>
        <w:rPr>
          <w:rStyle w:val="Text4"/>
        </w:rPr>
        <w:t>unbinds references</w:t>
      </w:r>
      <w:r>
        <w:t xml:space="preserve">—it does </w:t>
      </w:r>
      <w:r>
        <w:rPr>
          <w:rStyle w:val="Text4"/>
        </w:rPr>
        <w:t>not</w:t>
      </w:r>
      <w:r>
        <w:t xml:space="preserve">, per se, </w:t>
      </w:r>
      <w:r>
        <w:rPr>
          <w:rStyle w:val="Text4"/>
        </w:rPr>
        <w:t>delete</w:t>
      </w:r>
      <w:r>
        <w:t xml:space="preserve"> objects. Object deletion</w:t>
      </w:r>
      <w:r>
        <w:rPr>
          <w:rStyle w:val="Text111"/>
        </w:rPr>
        <w:bookmarkStart w:id="732" w:name="idm45965283239056"/>
        <w:t/>
        <w:bookmarkEnd w:id="732"/>
        <w:bookmarkStart w:id="733" w:name="idm45965283237680"/>
        <w:t/>
        <w:bookmarkEnd w:id="733"/>
      </w:r>
      <w:r>
        <w:t xml:space="preserve"> may automatically follow, by garbage collection, when no more references to an object exist.</w:t>
      </w:r>
    </w:p>
    <w:p>
      <w:pPr>
        <w:pStyle w:val="Normal"/>
      </w:pPr>
      <w:r>
        <w:t xml:space="preserve">A </w:t>
      </w:r>
      <w:r>
        <w:rPr>
          <w:rStyle w:val="Text5"/>
        </w:rPr>
        <w:t>del</w:t>
      </w:r>
      <w:r>
        <w:t xml:space="preserve"> statement consists of the keyword </w:t>
      </w:r>
      <w:r>
        <w:rPr>
          <w:rStyle w:val="Text5"/>
        </w:rPr>
        <w:t>del</w:t>
      </w:r>
      <w:r>
        <w:t>, followed by one or more target references separated by</w:t>
      </w:r>
      <w:r>
        <w:rPr>
          <w:rStyle w:val="Text111"/>
        </w:rPr>
        <w:bookmarkStart w:id="734" w:name="idm45965283234128"/>
        <w:t/>
        <w:bookmarkEnd w:id="734"/>
        <w:bookmarkStart w:id="735" w:name="idm45965283232512"/>
        <w:t/>
        <w:bookmarkEnd w:id="735"/>
      </w:r>
      <w:r>
        <w:t xml:space="preserve"> commas (</w:t>
      </w:r>
      <w:r>
        <w:rPr>
          <w:rStyle w:val="Text0"/>
        </w:rPr>
        <w:t>,</w:t>
      </w:r>
      <w:r>
        <w:t xml:space="preserve">). Each target can be a variable, attribute reference, indexing, or slicing, just like for assignment statements, and must be bound at the time </w:t>
      </w:r>
      <w:r>
        <w:rPr>
          <w:rStyle w:val="Text5"/>
        </w:rPr>
        <w:t>del</w:t>
      </w:r>
      <w:r>
        <w:t xml:space="preserve"> executes. When a </w:t>
      </w:r>
      <w:r>
        <w:rPr>
          <w:rStyle w:val="Text5"/>
        </w:rPr>
        <w:t>del</w:t>
      </w:r>
      <w:r>
        <w:t xml:space="preserve"> target is an identifier, the </w:t>
      </w:r>
      <w:r>
        <w:rPr>
          <w:rStyle w:val="Text5"/>
        </w:rPr>
        <w:t>del</w:t>
      </w:r>
      <w:r>
        <w:t xml:space="preserve"> statement means to unbind the variable. If the identifier was bound, unbinding it is never disallowed; when requested, it takes place.</w:t>
      </w:r>
    </w:p>
    <w:p>
      <w:pPr>
        <w:pStyle w:val="Normal"/>
      </w:pPr>
      <w:r>
        <w:t xml:space="preserve">In all other cases, the </w:t>
      </w:r>
      <w:r>
        <w:rPr>
          <w:rStyle w:val="Text5"/>
        </w:rPr>
        <w:t>del</w:t>
      </w:r>
      <w:r>
        <w:t xml:space="preserve"> statement specifies a request to an object to unbind one or more of its attributes or items. An object may refuse to unbind some (or all) attributes or items, raising an exception if you attempt a disallowed unbinding (see also </w:t>
      </w:r>
      <w:r>
        <w:rPr>
          <w:rStyle w:val="Text0"/>
        </w:rPr>
        <w:t>__delattr__</w:t>
      </w:r>
      <w:r>
        <w:t xml:space="preserve"> in </w:t>
      </w:r>
      <w:hyperlink w:anchor="General_Purpose_Special_Methods">
        <w:r>
          <w:rPr>
            <w:rStyle w:val="Text1"/>
          </w:rPr>
          <w:t>“General-Purpose Special Methods”</w:t>
        </w:r>
      </w:hyperlink>
      <w:r>
        <w:t xml:space="preserve"> and </w:t>
      </w:r>
      <w:r>
        <w:rPr>
          <w:rStyle w:val="Text0"/>
        </w:rPr>
        <w:t>__delitem__</w:t>
      </w:r>
      <w:r>
        <w:t xml:space="preserve"> in </w:t>
      </w:r>
      <w:hyperlink w:anchor="Container_methods__The_special_m">
        <w:r>
          <w:rPr>
            <w:rStyle w:val="Text1"/>
          </w:rPr>
          <w:t>“Container methods”</w:t>
        </w:r>
      </w:hyperlink>
      <w:r>
        <w:t>). Unbinding a slicing normally has the same effect as assigning an empty sequence to that slicing, but it is up to the container object to implement this equivalence.</w:t>
      </w:r>
    </w:p>
    <w:p>
      <w:pPr>
        <w:pStyle w:val="Normal"/>
      </w:pPr>
      <w:r>
        <w:t xml:space="preserve">Containers are also allowed to have </w:t>
      </w:r>
      <w:r>
        <w:rPr>
          <w:rStyle w:val="Text5"/>
        </w:rPr>
        <w:t>del</w:t>
      </w:r>
      <w:r>
        <w:t xml:space="preserve"> cause side effects. For example, assuming </w:t>
      </w:r>
      <w:r>
        <w:rPr>
          <w:rStyle w:val="Text5"/>
        </w:rPr>
        <w:t>del</w:t>
      </w:r>
      <w:r>
        <w:t xml:space="preserve"> </w:t>
      </w:r>
      <w:r>
        <w:rPr>
          <w:rStyle w:val="Text3"/>
        </w:rPr>
        <w:t>C</w:t>
      </w:r>
      <w:r>
        <w:rPr>
          <w:rStyle w:val="Text0"/>
        </w:rPr>
        <w:t>[2]</w:t>
      </w:r>
      <w:r>
        <w:t xml:space="preserve"> succeeds, when </w:t>
      </w:r>
      <w:r>
        <w:rPr>
          <w:rStyle w:val="Text3"/>
        </w:rPr>
        <w:t>C</w:t>
      </w:r>
      <w:r>
        <w:t xml:space="preserve"> is a dictionary, this makes future references to </w:t>
      </w:r>
      <w:r>
        <w:rPr>
          <w:rStyle w:val="Text3"/>
        </w:rPr>
        <w:t>C</w:t>
      </w:r>
      <w:r>
        <w:rPr>
          <w:rStyle w:val="Text0"/>
        </w:rPr>
        <w:t>[2]</w:t>
      </w:r>
      <w:r>
        <w:t xml:space="preserve"> invalid (raising </w:t>
      </w:r>
      <w:r>
        <w:rPr>
          <w:rStyle w:val="Text0"/>
        </w:rPr>
        <w:t>KeyError</w:t>
      </w:r>
      <w:r>
        <w:t xml:space="preserve">) until and unless you assign to </w:t>
      </w:r>
      <w:r>
        <w:rPr>
          <w:rStyle w:val="Text3"/>
        </w:rPr>
        <w:t>C</w:t>
      </w:r>
      <w:r>
        <w:rPr>
          <w:rStyle w:val="Text0"/>
        </w:rPr>
        <w:t>[2]</w:t>
      </w:r>
      <w:r>
        <w:t xml:space="preserve"> again; but when </w:t>
      </w:r>
      <w:r>
        <w:rPr>
          <w:rStyle w:val="Text3"/>
        </w:rPr>
        <w:t>C</w:t>
      </w:r>
      <w:r>
        <w:t xml:space="preserve"> is a list, </w:t>
      </w:r>
      <w:r>
        <w:rPr>
          <w:rStyle w:val="Text5"/>
        </w:rPr>
        <w:t>del</w:t>
      </w:r>
      <w:r>
        <w:t xml:space="preserve"> </w:t>
      </w:r>
      <w:r>
        <w:rPr>
          <w:rStyle w:val="Text3"/>
        </w:rPr>
        <w:t>C</w:t>
      </w:r>
      <w:r>
        <w:rPr>
          <w:rStyle w:val="Text0"/>
        </w:rPr>
        <w:t>[2]</w:t>
      </w:r>
      <w:r>
        <w:t xml:space="preserve"> implies that every following item of </w:t>
      </w:r>
      <w:r>
        <w:rPr>
          <w:rStyle w:val="Text3"/>
        </w:rPr>
        <w:t>C</w:t>
      </w:r>
      <w:r>
        <w:t xml:space="preserve"> “shifts left by one”—so, if </w:t>
      </w:r>
      <w:r>
        <w:rPr>
          <w:rStyle w:val="Text3"/>
        </w:rPr>
        <w:t>C</w:t>
      </w:r>
      <w:r>
        <w:t xml:space="preserve"> is long enough, future references to </w:t>
      </w:r>
      <w:r>
        <w:rPr>
          <w:rStyle w:val="Text3"/>
        </w:rPr>
        <w:t>C</w:t>
      </w:r>
      <w:r>
        <w:rPr>
          <w:rStyle w:val="Text0"/>
        </w:rPr>
        <w:t>[2]</w:t>
      </w:r>
      <w:r>
        <w:t xml:space="preserve"> are still valid, but denote a different item than they did before the </w:t>
      </w:r>
      <w:r>
        <w:rPr>
          <w:rStyle w:val="Text5"/>
        </w:rPr>
        <w:t>del</w:t>
      </w:r>
      <w:r>
        <w:t xml:space="preserve"> (generally, what you’d have used </w:t>
      </w:r>
      <w:r>
        <w:rPr>
          <w:rStyle w:val="Text3"/>
        </w:rPr>
        <w:t>C</w:t>
      </w:r>
      <w:r>
        <w:rPr>
          <w:rStyle w:val="Text0"/>
        </w:rPr>
        <w:t>[3]</w:t>
      </w:r>
      <w:r>
        <w:t xml:space="preserve"> to refer to, before the </w:t>
      </w:r>
      <w:r>
        <w:rPr>
          <w:rStyle w:val="Text5"/>
        </w:rPr>
        <w:t>del</w:t>
      </w:r>
      <w:r>
        <w:t xml:space="preserve"> statement).</w:t>
      </w:r>
      <w:r>
        <w:rPr>
          <w:rStyle w:val="Text111"/>
        </w:rPr>
        <w:bookmarkStart w:id="736" w:name="idm45965283205216"/>
        <w:t/>
        <w:bookmarkEnd w:id="736"/>
      </w:r>
    </w:p>
    <w:p>
      <w:bookmarkStart w:id="737" w:name="Expressions_and_Operators__An_ex"/>
      <w:pPr>
        <w:keepNext/>
        <w:pStyle w:val="Heading 1"/>
      </w:pPr>
      <w:r>
        <w:t>Expressions and Operators</w:t>
      </w:r>
      <w:bookmarkEnd w:id="737"/>
    </w:p>
    <w:p>
      <w:pPr>
        <w:pStyle w:val="Normal"/>
      </w:pPr>
      <w:r>
        <w:t>An</w:t>
      </w:r>
      <w:r>
        <w:rPr>
          <w:rStyle w:val="Text111"/>
        </w:rPr>
        <w:bookmarkStart w:id="738" w:name="PLexp03"/>
        <w:t/>
        <w:bookmarkEnd w:id="738"/>
        <w:bookmarkStart w:id="739" w:name="idm45965283200528"/>
        <w:t/>
        <w:bookmarkEnd w:id="739"/>
      </w:r>
      <w:r>
        <w:t xml:space="preserve"> expression is a “phrase” of code, which Python evaluates to produce a value. The simplest expressions are literals and identifiers. You build other expressions by joining subexpressions with the operators and/or delimiters listed in </w:t>
      </w:r>
      <w:hyperlink w:anchor="Table_3_4__Operator_precedence_i">
        <w:r>
          <w:rPr>
            <w:rStyle w:val="Text1"/>
          </w:rPr>
          <w:t>Table 3-4</w:t>
        </w:r>
      </w:hyperlink>
      <w:r>
        <w:t xml:space="preserve">. </w:t>
        <w:t>This table</w:t>
        <w:t xml:space="preserve"> lists operators in decreasing order of precedence, higher precedence before lower. Operators listed together have the same precedence. The third column lists the associativity of the operator: L (left-to-right), R (right-to-left), or NA </w:t>
        <w:t>(nonassociative)</w:t>
        <w:t>.</w:t>
      </w:r>
    </w:p>
    <w:tbl>
      <w:tblPr>
        <w:tblW w:type="auto" w:w="0"/>
      </w:tblPr>
      <w:tr>
        <w:tc>
          <w:tcPr>
            <w:tcW w:type="auto" w:w="0"/>
            <w:tcMar>
              <w:left w:type="dxa" w:w="200"/>
              <w:top w:type="dxa" w:w="200"/>
              <w:right w:type="dxa" w:w="200"/>
              <w:bottom w:type="dxa" w:w="200"/>
            </w:tcMar>
            <w:vAlign w:val="center"/>
          </w:tcPr>
          <w:p>
            <w:bookmarkStart w:id="740" w:name="Table_3_4__Operator_precedence_i"/>
            <w:pPr>
              <w:pStyle w:val="Para 011"/>
            </w:pPr>
            <w:r>
              <w:rPr>
                <w:rStyle w:val="Text117"/>
              </w:rPr>
              <w:t/>
            </w:r>
            <w:r>
              <w:t xml:space="preserve">Table 3-4. </w:t>
              <w:t>Operator precedence in expressions</w:t>
            </w:r>
            <w:bookmarkEnd w:id="740"/>
          </w:p>
          <w:p>
            <w:pPr>
              <w:pStyle w:val="Para 013"/>
            </w:pPr>
            <w:r>
              <w:t>Operator</w:t>
            </w:r>
          </w:p>
        </w:tc>
        <w:tc>
          <w:tcPr>
            <w:tcW w:type="auto" w:w="0"/>
            <w:tcMar>
              <w:left w:type="dxa" w:w="200"/>
              <w:top w:type="dxa" w:w="200"/>
              <w:right w:type="dxa" w:w="200"/>
              <w:bottom w:type="dxa" w:w="200"/>
            </w:tcMar>
            <w:vAlign w:val="center"/>
          </w:tcPr>
          <w:p>
            <w:pPr>
              <w:pStyle w:val="Para 013"/>
            </w:pPr>
            <w:r>
              <w:t>Description</w:t>
            </w:r>
          </w:p>
        </w:tc>
        <w:tc>
          <w:tcPr>
            <w:tcW w:type="auto" w:w="0"/>
            <w:tcMar>
              <w:left w:type="dxa" w:w="200"/>
              <w:top w:type="dxa" w:w="200"/>
              <w:right w:type="dxa" w:w="200"/>
              <w:bottom w:type="dxa" w:w="200"/>
            </w:tcMar>
            <w:vAlign w:val="center"/>
          </w:tcPr>
          <w:p>
            <w:pPr>
              <w:pStyle w:val="Para 013"/>
            </w:pPr>
            <w:r>
              <w:t>Associativity</w:t>
            </w:r>
          </w:p>
        </w:tc>
      </w:tr>
    </w:tbl>
    <w:tbl>
      <w:tblPr>
        <w:tblW w:type="auto" w:w="0"/>
      </w:tblPr>
      <w:tr>
        <w:tc>
          <w:tcPr>
            <w:tcW w:type="auto" w:w="0"/>
            <w:tcMar>
              <w:left w:type="dxa" w:w="200"/>
              <w:top w:type="dxa" w:w="200"/>
              <w:right w:type="dxa" w:w="200"/>
              <w:bottom w:type="dxa" w:w="200"/>
            </w:tcMar>
          </w:tcPr>
          <w:p>
            <w:pPr>
              <w:pStyle w:val="Para 001"/>
            </w:pPr>
            <w:r>
              <w:t>{</w:t>
            </w:r>
            <w:r>
              <w:rPr>
                <w:rStyle w:val="Text12"/>
              </w:rPr>
              <w:t xml:space="preserve"> </w:t>
            </w:r>
            <w:r>
              <w:rPr>
                <w:rStyle w:val="Text3"/>
              </w:rPr>
              <w:t>key</w:t>
            </w:r>
            <w:r>
              <w:rPr>
                <w:rStyle w:val="Text12"/>
              </w:rPr>
              <w:t xml:space="preserve"> </w:t>
            </w:r>
            <w:r>
              <w:t>:</w:t>
            </w:r>
            <w:r>
              <w:rPr>
                <w:rStyle w:val="Text12"/>
              </w:rPr>
              <w:t xml:space="preserve"> </w:t>
            </w:r>
            <w:r>
              <w:rPr>
                <w:rStyle w:val="Text3"/>
              </w:rPr>
              <w:t>expr</w:t>
            </w:r>
            <w:r>
              <w:t>, ... }</w:t>
            </w:r>
          </w:p>
        </w:tc>
        <w:tc>
          <w:tcPr>
            <w:tcW w:type="auto" w:w="0"/>
            <w:tcMar>
              <w:left w:type="dxa" w:w="200"/>
              <w:top w:type="dxa" w:w="200"/>
              <w:right w:type="dxa" w:w="200"/>
              <w:bottom w:type="dxa" w:w="200"/>
            </w:tcMar>
          </w:tcPr>
          <w:p>
            <w:pPr>
              <w:pStyle w:val="Para 002"/>
            </w:pPr>
            <w:r>
              <w:t>Dictionary creation</w:t>
            </w:r>
          </w:p>
        </w:tc>
        <w:tc>
          <w:tcPr>
            <w:tcW w:type="auto" w:w="0"/>
            <w:tcMar>
              <w:left w:type="dxa" w:w="200"/>
              <w:top w:type="dxa" w:w="200"/>
              <w:right w:type="dxa" w:w="200"/>
              <w:bottom w:type="dxa" w:w="200"/>
            </w:tcMar>
          </w:tcPr>
          <w:p>
            <w:pPr>
              <w:pStyle w:val="Para 017"/>
            </w:pPr>
            <w:r>
              <w:t>NA</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r>
              <w:rPr>
                <w:rStyle w:val="Text12"/>
              </w:rPr>
              <w:t xml:space="preserve"> </w:t>
            </w:r>
            <w:r>
              <w:rPr>
                <w:rStyle w:val="Text3"/>
              </w:rPr>
              <w:t>expr</w:t>
            </w:r>
            <w:r>
              <w:t>, ... }</w:t>
            </w:r>
          </w:p>
        </w:tc>
        <w:tc>
          <w:tcPr>
            <w:tcW w:type="auto" w:w="0"/>
            <w:shd w:val="clear" w:color="auto" w:fill="EEF2F6"/>
            <w:tcMar>
              <w:left w:type="dxa" w:w="200"/>
              <w:top w:type="dxa" w:w="200"/>
              <w:right w:type="dxa" w:w="200"/>
              <w:bottom w:type="dxa" w:w="200"/>
            </w:tcMar>
          </w:tcPr>
          <w:p>
            <w:pPr>
              <w:pStyle w:val="Para 002"/>
            </w:pPr>
            <w:r>
              <w:t>Set creation</w:t>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01"/>
            </w:pPr>
            <w:r>
              <w:t>[</w:t>
            </w:r>
            <w:r>
              <w:rPr>
                <w:rStyle w:val="Text12"/>
              </w:rPr>
              <w:t xml:space="preserve"> </w:t>
            </w:r>
            <w:r>
              <w:rPr>
                <w:rStyle w:val="Text3"/>
              </w:rPr>
              <w:t>expr</w:t>
            </w:r>
            <w:r>
              <w:t>, ... ]</w:t>
            </w:r>
          </w:p>
        </w:tc>
        <w:tc>
          <w:tcPr>
            <w:tcW w:type="auto" w:w="0"/>
            <w:tcMar>
              <w:left w:type="dxa" w:w="200"/>
              <w:top w:type="dxa" w:w="200"/>
              <w:right w:type="dxa" w:w="200"/>
              <w:bottom w:type="dxa" w:w="200"/>
            </w:tcMar>
          </w:tcPr>
          <w:p>
            <w:pPr>
              <w:pStyle w:val="Para 002"/>
            </w:pPr>
            <w:r>
              <w:t>List creation</w:t>
            </w:r>
          </w:p>
        </w:tc>
        <w:tc>
          <w:tcPr>
            <w:tcW w:type="auto" w:w="0"/>
            <w:tcMar>
              <w:left w:type="dxa" w:w="200"/>
              <w:top w:type="dxa" w:w="200"/>
              <w:right w:type="dxa" w:w="200"/>
              <w:bottom w:type="dxa" w:w="200"/>
            </w:tcMar>
          </w:tcPr>
          <w:p>
            <w:pPr>
              <w:pStyle w:val="Para 017"/>
            </w:pPr>
            <w:r>
              <w:t>NA</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r>
              <w:rPr>
                <w:rStyle w:val="Text12"/>
              </w:rPr>
              <w:t xml:space="preserve"> </w:t>
            </w:r>
            <w:r>
              <w:rPr>
                <w:rStyle w:val="Text3"/>
              </w:rPr>
              <w:t>expr</w:t>
            </w:r>
            <w:r>
              <w:t>, ... )</w:t>
            </w:r>
          </w:p>
        </w:tc>
        <w:tc>
          <w:tcPr>
            <w:tcW w:type="auto" w:w="0"/>
            <w:shd w:val="clear" w:color="auto" w:fill="EEF2F6"/>
            <w:tcMar>
              <w:left w:type="dxa" w:w="200"/>
              <w:top w:type="dxa" w:w="200"/>
              <w:right w:type="dxa" w:w="200"/>
              <w:bottom w:type="dxa" w:w="200"/>
            </w:tcMar>
          </w:tcPr>
          <w:p>
            <w:pPr>
              <w:pStyle w:val="Para 002"/>
            </w:pPr>
            <w:r>
              <w:t>Tuple creation (parentheses recommended, but not always required; at least one comma required), or just parentheses</w:t>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01"/>
            </w:pPr>
            <w:r>
              <w:rPr>
                <w:rStyle w:val="Text3"/>
              </w:rPr>
              <w:t>f</w:t>
            </w:r>
            <w:r>
              <w:rPr>
                <w:rStyle w:val="Text12"/>
              </w:rPr>
              <w:t xml:space="preserve"> </w:t>
            </w:r>
            <w:r>
              <w:t>(</w:t>
            </w:r>
            <w:r>
              <w:rPr>
                <w:rStyle w:val="Text12"/>
              </w:rPr>
              <w:t xml:space="preserve"> </w:t>
            </w:r>
            <w:r>
              <w:rPr>
                <w:rStyle w:val="Text3"/>
              </w:rPr>
              <w:t>expr</w:t>
            </w:r>
            <w:r>
              <w:t>, ... )</w:t>
            </w:r>
          </w:p>
        </w:tc>
        <w:tc>
          <w:tcPr>
            <w:tcW w:type="auto" w:w="0"/>
            <w:tcMar>
              <w:left w:type="dxa" w:w="200"/>
              <w:top w:type="dxa" w:w="200"/>
              <w:right w:type="dxa" w:w="200"/>
              <w:bottom w:type="dxa" w:w="200"/>
            </w:tcMar>
          </w:tcPr>
          <w:p>
            <w:pPr>
              <w:pStyle w:val="Para 002"/>
            </w:pPr>
            <w:r>
              <w:t>Function call</w:t>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26"/>
            </w:pPr>
            <w:r>
              <w:t>x</w:t>
            </w:r>
            <w:r>
              <w:rPr>
                <w:rStyle w:val="Text47"/>
              </w:rPr>
              <w:t xml:space="preserve"> </w:t>
            </w:r>
            <w:r>
              <w:rPr>
                <w:rStyle w:val="Text50"/>
              </w:rPr>
              <w:t>[</w:t>
            </w:r>
            <w:r>
              <w:rPr>
                <w:rStyle w:val="Text47"/>
              </w:rPr>
              <w:t xml:space="preserve"> </w:t>
            </w:r>
            <w:r>
              <w:t>index</w:t>
            </w:r>
            <w:r>
              <w:rPr>
                <w:rStyle w:val="Text50"/>
              </w:rPr>
              <w:t>:</w:t>
            </w:r>
            <w:r>
              <w:rPr>
                <w:rStyle w:val="Text47"/>
              </w:rPr>
              <w:t xml:space="preserve"> </w:t>
            </w:r>
            <w:r>
              <w:t>index: step</w:t>
            </w:r>
            <w:r>
              <w:rPr>
                <w:rStyle w:val="Text47"/>
              </w:rPr>
              <w:t xml:space="preserve"> </w:t>
            </w:r>
            <w:r>
              <w:rPr>
                <w:rStyle w:val="Text50"/>
              </w:rPr>
              <w:t>]</w:t>
            </w:r>
          </w:p>
        </w:tc>
        <w:tc>
          <w:tcPr>
            <w:tcW w:type="auto" w:w="0"/>
            <w:shd w:val="clear" w:color="auto" w:fill="EEF2F6"/>
            <w:tcMar>
              <w:left w:type="dxa" w:w="200"/>
              <w:top w:type="dxa" w:w="200"/>
              <w:right w:type="dxa" w:w="200"/>
              <w:bottom w:type="dxa" w:w="200"/>
            </w:tcMar>
          </w:tcPr>
          <w:p>
            <w:pPr>
              <w:pStyle w:val="Para 002"/>
            </w:pPr>
            <w:r>
              <w:t>Slicing</w:t>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26"/>
            </w:pPr>
            <w:r>
              <w:t>x</w:t>
            </w:r>
            <w:r>
              <w:rPr>
                <w:rStyle w:val="Text47"/>
              </w:rPr>
              <w:t xml:space="preserve"> </w:t>
            </w:r>
            <w:r>
              <w:rPr>
                <w:rStyle w:val="Text50"/>
              </w:rPr>
              <w:t>[</w:t>
            </w:r>
            <w:r>
              <w:rPr>
                <w:rStyle w:val="Text47"/>
              </w:rPr>
              <w:t xml:space="preserve"> </w:t>
            </w:r>
            <w:r>
              <w:t>index</w:t>
            </w:r>
            <w:r>
              <w:rPr>
                <w:rStyle w:val="Text47"/>
              </w:rPr>
              <w:t xml:space="preserve"> </w:t>
            </w:r>
            <w:r>
              <w:rPr>
                <w:rStyle w:val="Text50"/>
              </w:rPr>
              <w:t>]</w:t>
            </w:r>
          </w:p>
        </w:tc>
        <w:tc>
          <w:tcPr>
            <w:tcW w:type="auto" w:w="0"/>
            <w:tcMar>
              <w:left w:type="dxa" w:w="200"/>
              <w:top w:type="dxa" w:w="200"/>
              <w:right w:type="dxa" w:w="200"/>
              <w:bottom w:type="dxa" w:w="200"/>
            </w:tcMar>
          </w:tcPr>
          <w:p>
            <w:pPr>
              <w:pStyle w:val="Para 002"/>
            </w:pPr>
            <w:r>
              <w:t>Indexing</w:t>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26"/>
            </w:pPr>
            <w:r>
              <w:t>x</w:t>
            </w:r>
            <w:r>
              <w:rPr>
                <w:rStyle w:val="Text47"/>
              </w:rPr>
              <w:t xml:space="preserve"> </w:t>
            </w:r>
            <w:r>
              <w:rPr>
                <w:rStyle w:val="Text50"/>
              </w:rPr>
              <w:t>.</w:t>
            </w:r>
            <w:r>
              <w:rPr>
                <w:rStyle w:val="Text47"/>
              </w:rPr>
              <w:t xml:space="preserve"> </w:t>
            </w:r>
            <w:r>
              <w:t>attr</w:t>
            </w:r>
          </w:p>
        </w:tc>
        <w:tc>
          <w:tcPr>
            <w:tcW w:type="auto" w:w="0"/>
            <w:shd w:val="clear" w:color="auto" w:fill="EEF2F6"/>
            <w:tcMar>
              <w:left w:type="dxa" w:w="200"/>
              <w:top w:type="dxa" w:w="200"/>
              <w:right w:type="dxa" w:w="200"/>
              <w:bottom w:type="dxa" w:w="200"/>
            </w:tcMar>
          </w:tcPr>
          <w:p>
            <w:pPr>
              <w:pStyle w:val="Para 002"/>
            </w:pPr>
            <w:r>
              <w:t>Attribute reference</w:t>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01"/>
            </w:pPr>
            <w:r>
              <w:rPr>
                <w:rStyle w:val="Text3"/>
              </w:rPr>
              <w:t>x</w:t>
            </w:r>
            <w:r>
              <w:rPr>
                <w:rStyle w:val="Text12"/>
              </w:rPr>
              <w:t xml:space="preserve"> </w:t>
            </w:r>
            <w:r>
              <w:t>** y</w:t>
            </w:r>
          </w:p>
        </w:tc>
        <w:tc>
          <w:tcPr>
            <w:tcW w:type="auto" w:w="0"/>
            <w:tcMar>
              <w:left w:type="dxa" w:w="200"/>
              <w:top w:type="dxa" w:w="200"/>
              <w:right w:type="dxa" w:w="200"/>
              <w:bottom w:type="dxa" w:w="200"/>
            </w:tcMar>
          </w:tcPr>
          <w:p>
            <w:pPr>
              <w:pStyle w:val="Para 002"/>
            </w:pPr>
            <w:r>
              <w:t>Exponentiation (</w:t>
            </w:r>
            <w:r>
              <w:rPr>
                <w:rStyle w:val="Text3"/>
              </w:rPr>
              <w:t>x</w:t>
            </w:r>
            <w:r>
              <w:t xml:space="preserve"> to the </w:t>
            </w:r>
            <w:r>
              <w:rPr>
                <w:rStyle w:val="Text3"/>
              </w:rPr>
              <w:t>y</w:t>
            </w:r>
            <w:r>
              <w:t>th power)</w:t>
            </w:r>
          </w:p>
        </w:tc>
        <w:tc>
          <w:tcPr>
            <w:tcW w:type="auto" w:w="0"/>
            <w:tcMar>
              <w:left w:type="dxa" w:w="200"/>
              <w:top w:type="dxa" w:w="200"/>
              <w:right w:type="dxa" w:w="200"/>
              <w:bottom w:type="dxa" w:w="200"/>
            </w:tcMar>
          </w:tcPr>
          <w:p>
            <w:pPr>
              <w:pStyle w:val="Para 017"/>
            </w:pPr>
            <w:r>
              <w:t>R</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w:t>
            </w:r>
            <w:r>
              <w:t xml:space="preserve"> </w:t>
            </w:r>
            <w:r>
              <w:rPr>
                <w:rStyle w:val="Text3"/>
              </w:rPr>
              <w:t>x</w:t>
            </w:r>
            <w:r>
              <w:t xml:space="preserve">, </w:t>
            </w:r>
            <w:r>
              <w:rPr>
                <w:rStyle w:val="Text0"/>
              </w:rPr>
              <w:t>+</w:t>
            </w:r>
            <w:r>
              <w:t xml:space="preserve"> </w:t>
            </w:r>
            <w:r>
              <w:rPr>
                <w:rStyle w:val="Text3"/>
              </w:rPr>
              <w:t>x</w:t>
            </w:r>
            <w:r>
              <w:t xml:space="preserve">, </w:t>
            </w:r>
            <w:r>
              <w:rPr>
                <w:rStyle w:val="Text0"/>
              </w:rPr>
              <w:t>-</w:t>
            </w:r>
            <w:r>
              <w:t xml:space="preserve"> </w:t>
            </w:r>
            <w:r>
              <w:rPr>
                <w:rStyle w:val="Text3"/>
              </w:rPr>
              <w:t>x</w:t>
            </w:r>
          </w:p>
        </w:tc>
        <w:tc>
          <w:tcPr>
            <w:tcW w:type="auto" w:w="0"/>
            <w:shd w:val="clear" w:color="auto" w:fill="EEF2F6"/>
            <w:tcMar>
              <w:left w:type="dxa" w:w="200"/>
              <w:top w:type="dxa" w:w="200"/>
              <w:right w:type="dxa" w:w="200"/>
              <w:bottom w:type="dxa" w:w="200"/>
            </w:tcMar>
          </w:tcPr>
          <w:p>
            <w:pPr>
              <w:pStyle w:val="Para 002"/>
            </w:pPr>
            <w:r>
              <w:t>Bitwise NOT, unary</w:t>
            </w:r>
            <w:r>
              <w:rPr>
                <w:rStyle w:val="Text111"/>
              </w:rPr>
              <w:bookmarkStart w:id="741" w:name="idm45965283144208"/>
              <w:t/>
              <w:bookmarkEnd w:id="741"/>
              <w:bookmarkStart w:id="742" w:name="idm45965283143072"/>
              <w:t/>
              <w:bookmarkEnd w:id="742"/>
            </w:r>
            <w:r>
              <w:t xml:space="preserve"> plus and minus</w:t>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02"/>
            </w:pP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w:t>
              <w:br w:clear="none"/>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p>
        </w:tc>
        <w:tc>
          <w:tcPr>
            <w:tcW w:type="auto" w:w="0"/>
            <w:tcMar>
              <w:left w:type="dxa" w:w="200"/>
              <w:top w:type="dxa" w:w="200"/>
              <w:right w:type="dxa" w:w="200"/>
              <w:bottom w:type="dxa" w:w="200"/>
            </w:tcMar>
          </w:tcPr>
          <w:p>
            <w:pPr>
              <w:pStyle w:val="Para 002"/>
            </w:pPr>
            <w:r>
              <w:t>Multiplication, matrix multiplication, division, floor division, remainder</w:t>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p>
        </w:tc>
        <w:tc>
          <w:tcPr>
            <w:tcW w:type="auto" w:w="0"/>
            <w:shd w:val="clear" w:color="auto" w:fill="EEF2F6"/>
            <w:tcMar>
              <w:left w:type="dxa" w:w="200"/>
              <w:top w:type="dxa" w:w="200"/>
              <w:right w:type="dxa" w:w="200"/>
              <w:bottom w:type="dxa" w:w="200"/>
            </w:tcMar>
          </w:tcPr>
          <w:p>
            <w:pPr>
              <w:pStyle w:val="Para 002"/>
            </w:pPr>
            <w:r>
              <w:t>Addition, subtraction</w:t>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02"/>
            </w:pPr>
            <w:r>
              <w:rPr>
                <w:rStyle w:val="Text3"/>
              </w:rPr>
              <w:t>x</w:t>
            </w:r>
            <w:r>
              <w:t xml:space="preserve"> </w:t>
            </w:r>
            <w:r>
              <w:rPr>
                <w:rStyle w:val="Text0"/>
              </w:rPr>
              <w:t>&lt;&lt;</w:t>
            </w:r>
            <w:r>
              <w:t xml:space="preserve"> </w:t>
            </w:r>
            <w:r>
              <w:rPr>
                <w:rStyle w:val="Text3"/>
              </w:rPr>
              <w:t>y</w:t>
            </w:r>
            <w:r>
              <w:t xml:space="preserve">, </w:t>
            </w:r>
            <w:r>
              <w:rPr>
                <w:rStyle w:val="Text3"/>
              </w:rPr>
              <w:t>x</w:t>
            </w:r>
            <w:r>
              <w:t xml:space="preserve"> </w:t>
            </w:r>
            <w:r>
              <w:rPr>
                <w:rStyle w:val="Text0"/>
              </w:rPr>
              <w:t>&gt;&gt;</w:t>
            </w:r>
            <w:r>
              <w:t xml:space="preserve"> </w:t>
            </w:r>
            <w:r>
              <w:rPr>
                <w:rStyle w:val="Text3"/>
              </w:rPr>
              <w:t>y</w:t>
            </w:r>
          </w:p>
        </w:tc>
        <w:tc>
          <w:tcPr>
            <w:tcW w:type="auto" w:w="0"/>
            <w:tcMar>
              <w:left w:type="dxa" w:w="200"/>
              <w:top w:type="dxa" w:w="200"/>
              <w:right w:type="dxa" w:w="200"/>
              <w:bottom w:type="dxa" w:w="200"/>
            </w:tcMar>
          </w:tcPr>
          <w:p>
            <w:pPr>
              <w:pStyle w:val="Para 002"/>
            </w:pPr>
            <w:r>
              <w:t>Left-shift, right-shift</w:t>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26"/>
            </w:pPr>
            <w:r>
              <w:t>x</w:t>
            </w:r>
            <w:r>
              <w:rPr>
                <w:rStyle w:val="Text47"/>
              </w:rPr>
              <w:t xml:space="preserve"> </w:t>
            </w:r>
            <w:r>
              <w:rPr>
                <w:rStyle w:val="Text50"/>
              </w:rPr>
              <w:t>&amp;</w:t>
            </w:r>
            <w:r>
              <w:rPr>
                <w:rStyle w:val="Text47"/>
              </w:rPr>
              <w:t xml:space="preserve"> </w:t>
            </w:r>
            <w:r>
              <w:t>y</w:t>
            </w:r>
          </w:p>
        </w:tc>
        <w:tc>
          <w:tcPr>
            <w:tcW w:type="auto" w:w="0"/>
            <w:shd w:val="clear" w:color="auto" w:fill="EEF2F6"/>
            <w:tcMar>
              <w:left w:type="dxa" w:w="200"/>
              <w:top w:type="dxa" w:w="200"/>
              <w:right w:type="dxa" w:w="200"/>
              <w:bottom w:type="dxa" w:w="200"/>
            </w:tcMar>
          </w:tcPr>
          <w:p>
            <w:pPr>
              <w:pStyle w:val="Para 002"/>
            </w:pPr>
            <w:r>
              <w:t>Bitwise AND</w:t>
            </w:r>
            <w:r>
              <w:rPr>
                <w:rStyle w:val="Text111"/>
              </w:rPr>
              <w:bookmarkStart w:id="743" w:name="idm45965275219840"/>
              <w:t/>
              <w:bookmarkEnd w:id="743"/>
              <w:bookmarkStart w:id="744" w:name="idm45965275218736"/>
              <w:t/>
              <w:bookmarkEnd w:id="744"/>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26"/>
            </w:pPr>
            <w:r>
              <w:t>x</w:t>
            </w:r>
            <w:r>
              <w:rPr>
                <w:rStyle w:val="Text47"/>
              </w:rPr>
              <w:t xml:space="preserve"> </w:t>
            </w:r>
            <w:r>
              <w:rPr>
                <w:rStyle w:val="Text50"/>
              </w:rPr>
              <w:t>^</w:t>
            </w:r>
            <w:r>
              <w:rPr>
                <w:rStyle w:val="Text47"/>
              </w:rPr>
              <w:t xml:space="preserve"> </w:t>
            </w:r>
            <w:r>
              <w:t>y</w:t>
            </w:r>
          </w:p>
        </w:tc>
        <w:tc>
          <w:tcPr>
            <w:tcW w:type="auto" w:w="0"/>
            <w:tcMar>
              <w:left w:type="dxa" w:w="200"/>
              <w:top w:type="dxa" w:w="200"/>
              <w:right w:type="dxa" w:w="200"/>
              <w:bottom w:type="dxa" w:w="200"/>
            </w:tcMar>
          </w:tcPr>
          <w:p>
            <w:pPr>
              <w:pStyle w:val="Para 002"/>
            </w:pPr>
            <w:r>
              <w:t>Bitwise XOR</w:t>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26"/>
            </w:pPr>
            <w:r>
              <w:t>x</w:t>
            </w:r>
            <w:r>
              <w:rPr>
                <w:rStyle w:val="Text47"/>
              </w:rPr>
              <w:t xml:space="preserve"> </w:t>
            </w:r>
            <w:r>
              <w:rPr>
                <w:rStyle w:val="Text50"/>
              </w:rPr>
              <w:t>|</w:t>
            </w:r>
            <w:r>
              <w:rPr>
                <w:rStyle w:val="Text47"/>
              </w:rPr>
              <w:t xml:space="preserve"> </w:t>
            </w:r>
            <w:r>
              <w:t>y</w:t>
            </w:r>
          </w:p>
        </w:tc>
        <w:tc>
          <w:tcPr>
            <w:tcW w:type="auto" w:w="0"/>
            <w:shd w:val="clear" w:color="auto" w:fill="EEF2F6"/>
            <w:tcMar>
              <w:left w:type="dxa" w:w="200"/>
              <w:top w:type="dxa" w:w="200"/>
              <w:right w:type="dxa" w:w="200"/>
              <w:bottom w:type="dxa" w:w="200"/>
            </w:tcMar>
          </w:tcPr>
          <w:p>
            <w:pPr>
              <w:pStyle w:val="Para 002"/>
            </w:pPr>
            <w:r>
              <w:t>Bitwise OR</w:t>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02"/>
            </w:pPr>
            <w:r>
              <w:rPr>
                <w:rStyle w:val="Text3"/>
              </w:rPr>
              <w:t>x</w:t>
            </w:r>
            <w:r>
              <w:t xml:space="preserve"> </w:t>
            </w:r>
            <w:r>
              <w:rPr>
                <w:rStyle w:val="Text0"/>
              </w:rPr>
              <w:t>&lt;</w:t>
            </w:r>
            <w:r>
              <w:t xml:space="preserve"> </w:t>
            </w:r>
            <w:r>
              <w:rPr>
                <w:rStyle w:val="Text3"/>
              </w:rPr>
              <w:t>y</w:t>
            </w:r>
            <w:r>
              <w:t xml:space="preserve">, </w:t>
            </w:r>
            <w:r>
              <w:rPr>
                <w:rStyle w:val="Text3"/>
              </w:rPr>
              <w:t>x</w:t>
            </w:r>
            <w:r>
              <w:t xml:space="preserve"> </w:t>
            </w:r>
            <w:r>
              <w:rPr>
                <w:rStyle w:val="Text0"/>
              </w:rPr>
              <w:t>&lt;=</w:t>
            </w:r>
            <w:r>
              <w:t xml:space="preserve"> </w:t>
            </w:r>
            <w:r>
              <w:rPr>
                <w:rStyle w:val="Text3"/>
              </w:rPr>
              <w:t>y</w:t>
            </w:r>
            <w:r>
              <w:t xml:space="preserve">, </w:t>
            </w:r>
            <w:r>
              <w:rPr>
                <w:rStyle w:val="Text3"/>
              </w:rPr>
              <w:t>x</w:t>
            </w:r>
            <w:r>
              <w:t xml:space="preserve"> </w:t>
            </w:r>
            <w:r>
              <w:rPr>
                <w:rStyle w:val="Text0"/>
              </w:rPr>
              <w:t>&gt;</w:t>
            </w:r>
            <w:r>
              <w:t xml:space="preserve"> </w:t>
            </w:r>
            <w:r>
              <w:rPr>
                <w:rStyle w:val="Text3"/>
              </w:rPr>
              <w:t>y</w:t>
            </w:r>
            <w:r>
              <w:t>,</w:t>
              <w:br w:clear="none"/>
              <w:t xml:space="preserve"> </w:t>
            </w:r>
            <w:r>
              <w:rPr>
                <w:rStyle w:val="Text3"/>
              </w:rPr>
              <w:t>x</w:t>
            </w:r>
            <w:r>
              <w:t xml:space="preserve"> </w:t>
            </w:r>
            <w:r>
              <w:rPr>
                <w:rStyle w:val="Text0"/>
              </w:rPr>
              <w:t>&gt;=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p>
        </w:tc>
        <w:tc>
          <w:tcPr>
            <w:tcW w:type="auto" w:w="0"/>
            <w:tcMar>
              <w:left w:type="dxa" w:w="200"/>
              <w:top w:type="dxa" w:w="200"/>
              <w:right w:type="dxa" w:w="200"/>
              <w:bottom w:type="dxa" w:w="200"/>
            </w:tcMar>
          </w:tcPr>
          <w:p>
            <w:pPr>
              <w:pStyle w:val="Para 002"/>
            </w:pPr>
            <w:r>
              <w:t>Comparisons (less than, less than or equal, greater than, greater than or equal, inequality, equality)</w:t>
            </w:r>
          </w:p>
        </w:tc>
        <w:tc>
          <w:tcPr>
            <w:tcW w:type="auto" w:w="0"/>
            <w:tcMar>
              <w:left w:type="dxa" w:w="200"/>
              <w:top w:type="dxa" w:w="200"/>
              <w:right w:type="dxa" w:w="200"/>
              <w:bottom w:type="dxa" w:w="200"/>
            </w:tcMar>
          </w:tcPr>
          <w:p>
            <w:pPr>
              <w:pStyle w:val="Para 017"/>
            </w:pPr>
            <w:r>
              <w:t>NA</w:t>
            </w:r>
          </w:p>
        </w:tc>
      </w:tr>
    </w:tbl>
    <w:tbl>
      <w:tblPr>
        <w:tblW w:type="auto" w:w="0"/>
      </w:tblPr>
      <w:tr>
        <w:tc>
          <w:tcPr>
            <w:tcW w:type="auto" w:w="0"/>
            <w:shd w:val="clear" w:color="auto" w:fill="EEF2F6"/>
            <w:tcMar>
              <w:left w:type="dxa" w:w="200"/>
              <w:top w:type="dxa" w:w="200"/>
              <w:right w:type="dxa" w:w="200"/>
              <w:bottom w:type="dxa" w:w="200"/>
            </w:tcMar>
          </w:tcPr>
          <w:p>
            <w:pPr>
              <w:pStyle w:val="Para 021"/>
            </w:pPr>
            <w:r>
              <w:rPr>
                <w:rStyle w:val="Text70"/>
              </w:rPr>
              <w:t>x</w:t>
            </w:r>
            <w:r>
              <w:rPr>
                <w:rStyle w:val="Text60"/>
              </w:rPr>
              <w:t xml:space="preserve"> </w:t>
            </w:r>
            <w:r>
              <w:t>is</w:t>
            </w:r>
            <w:r>
              <w:rPr>
                <w:rStyle w:val="Text60"/>
              </w:rPr>
              <w:t xml:space="preserve"> </w:t>
            </w:r>
            <w:r>
              <w:rPr>
                <w:rStyle w:val="Text70"/>
              </w:rPr>
              <w:t>y</w:t>
            </w:r>
            <w:r>
              <w:rPr>
                <w:rStyle w:val="Text60"/>
              </w:rPr>
              <w:t xml:space="preserve">, </w:t>
            </w:r>
            <w:r>
              <w:rPr>
                <w:rStyle w:val="Text70"/>
              </w:rPr>
              <w:t>x</w:t>
            </w:r>
            <w:r>
              <w:rPr>
                <w:rStyle w:val="Text60"/>
              </w:rPr>
              <w:t xml:space="preserve"> </w:t>
            </w:r>
            <w:r>
              <w:t>is not</w:t>
            </w:r>
            <w:r>
              <w:rPr>
                <w:rStyle w:val="Text60"/>
              </w:rPr>
              <w:t xml:space="preserve"> </w:t>
            </w:r>
            <w:r>
              <w:rPr>
                <w:rStyle w:val="Text70"/>
              </w:rPr>
              <w:t>y</w:t>
            </w:r>
          </w:p>
        </w:tc>
        <w:tc>
          <w:tcPr>
            <w:tcW w:type="auto" w:w="0"/>
            <w:shd w:val="clear" w:color="auto" w:fill="EEF2F6"/>
            <w:tcMar>
              <w:left w:type="dxa" w:w="200"/>
              <w:top w:type="dxa" w:w="200"/>
              <w:right w:type="dxa" w:w="200"/>
              <w:bottom w:type="dxa" w:w="200"/>
            </w:tcMar>
          </w:tcPr>
          <w:p>
            <w:pPr>
              <w:pStyle w:val="Para 002"/>
            </w:pPr>
            <w:r>
              <w:t>Identity tests</w:t>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21"/>
            </w:pPr>
            <w:r>
              <w:rPr>
                <w:rStyle w:val="Text70"/>
              </w:rPr>
              <w:t>x</w:t>
            </w:r>
            <w:r>
              <w:rPr>
                <w:rStyle w:val="Text60"/>
              </w:rPr>
              <w:t xml:space="preserve"> </w:t>
            </w:r>
            <w:r>
              <w:t>in</w:t>
            </w:r>
            <w:r>
              <w:rPr>
                <w:rStyle w:val="Text60"/>
              </w:rPr>
              <w:t xml:space="preserve"> </w:t>
            </w:r>
            <w:r>
              <w:rPr>
                <w:rStyle w:val="Text70"/>
              </w:rPr>
              <w:t>y</w:t>
            </w:r>
            <w:r>
              <w:rPr>
                <w:rStyle w:val="Text60"/>
              </w:rPr>
              <w:t xml:space="preserve">, </w:t>
            </w:r>
            <w:r>
              <w:rPr>
                <w:rStyle w:val="Text70"/>
              </w:rPr>
              <w:t>x</w:t>
            </w:r>
            <w:r>
              <w:rPr>
                <w:rStyle w:val="Text60"/>
              </w:rPr>
              <w:t xml:space="preserve"> </w:t>
            </w:r>
            <w:r>
              <w:t>not in</w:t>
            </w:r>
            <w:r>
              <w:rPr>
                <w:rStyle w:val="Text60"/>
              </w:rPr>
              <w:t xml:space="preserve"> </w:t>
            </w:r>
            <w:r>
              <w:rPr>
                <w:rStyle w:val="Text70"/>
              </w:rPr>
              <w:t>y</w:t>
            </w:r>
          </w:p>
        </w:tc>
        <w:tc>
          <w:tcPr>
            <w:tcW w:type="auto" w:w="0"/>
            <w:tcMar>
              <w:left w:type="dxa" w:w="200"/>
              <w:top w:type="dxa" w:w="200"/>
              <w:right w:type="dxa" w:w="200"/>
              <w:bottom w:type="dxa" w:w="200"/>
            </w:tcMar>
          </w:tcPr>
          <w:p>
            <w:pPr>
              <w:pStyle w:val="Para 002"/>
            </w:pPr>
            <w:r>
              <w:t>Membership tests</w:t>
            </w:r>
            <w:r>
              <w:rPr>
                <w:rStyle w:val="Text111"/>
              </w:rPr>
              <w:bookmarkStart w:id="745" w:name="idm45965275178896"/>
              <w:t/>
              <w:bookmarkEnd w:id="745"/>
            </w:r>
          </w:p>
        </w:tc>
        <w:tc>
          <w:tcPr>
            <w:tcW w:type="auto" w:w="0"/>
            <w:tcMar>
              <w:left w:type="dxa" w:w="200"/>
              <w:top w:type="dxa" w:w="200"/>
              <w:right w:type="dxa" w:w="200"/>
              <w:bottom w:type="dxa" w:w="200"/>
            </w:tcMar>
          </w:tcPr>
          <w:p>
            <w:pPr>
              <w:pStyle w:val="Para 017"/>
            </w:pPr>
            <w:r>
              <w:t>NA</w:t>
            </w:r>
          </w:p>
        </w:tc>
      </w:tr>
    </w:tbl>
    <w:tbl>
      <w:tblPr>
        <w:tblW w:type="auto" w:w="0"/>
      </w:tblPr>
      <w:tr>
        <w:tc>
          <w:tcPr>
            <w:tcW w:type="auto" w:w="0"/>
            <w:shd w:val="clear" w:color="auto" w:fill="EEF2F6"/>
            <w:tcMar>
              <w:left w:type="dxa" w:w="200"/>
              <w:top w:type="dxa" w:w="200"/>
              <w:right w:type="dxa" w:w="200"/>
              <w:bottom w:type="dxa" w:w="200"/>
            </w:tcMar>
          </w:tcPr>
          <w:p>
            <w:pPr>
              <w:pStyle w:val="Para 021"/>
            </w:pPr>
            <w:r>
              <w:t>not</w:t>
            </w:r>
            <w:r>
              <w:rPr>
                <w:rStyle w:val="Text60"/>
              </w:rPr>
              <w:t xml:space="preserve"> </w:t>
            </w:r>
            <w:r>
              <w:rPr>
                <w:rStyle w:val="Text70"/>
              </w:rPr>
              <w:t>x</w:t>
            </w:r>
          </w:p>
        </w:tc>
        <w:tc>
          <w:tcPr>
            <w:tcW w:type="auto" w:w="0"/>
            <w:shd w:val="clear" w:color="auto" w:fill="EEF2F6"/>
            <w:tcMar>
              <w:left w:type="dxa" w:w="200"/>
              <w:top w:type="dxa" w:w="200"/>
              <w:right w:type="dxa" w:w="200"/>
              <w:bottom w:type="dxa" w:w="200"/>
            </w:tcMar>
          </w:tcPr>
          <w:p>
            <w:pPr>
              <w:pStyle w:val="Para 002"/>
            </w:pPr>
            <w:r>
              <w:t>Boolean NOT</w:t>
            </w:r>
            <w:r>
              <w:rPr>
                <w:rStyle w:val="Text111"/>
              </w:rPr>
              <w:bookmarkStart w:id="746" w:name="idm45965275174080"/>
              <w:t/>
              <w:bookmarkEnd w:id="746"/>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21"/>
            </w:pPr>
            <w:r>
              <w:rPr>
                <w:rStyle w:val="Text70"/>
              </w:rPr>
              <w:t>x</w:t>
            </w:r>
            <w:r>
              <w:rPr>
                <w:rStyle w:val="Text60"/>
              </w:rPr>
              <w:t xml:space="preserve"> </w:t>
            </w:r>
            <w:r>
              <w:t>and</w:t>
            </w:r>
            <w:r>
              <w:rPr>
                <w:rStyle w:val="Text60"/>
              </w:rPr>
              <w:t xml:space="preserve"> </w:t>
            </w:r>
            <w:r>
              <w:rPr>
                <w:rStyle w:val="Text70"/>
              </w:rPr>
              <w:t>y</w:t>
            </w:r>
          </w:p>
        </w:tc>
        <w:tc>
          <w:tcPr>
            <w:tcW w:type="auto" w:w="0"/>
            <w:tcMar>
              <w:left w:type="dxa" w:w="200"/>
              <w:top w:type="dxa" w:w="200"/>
              <w:right w:type="dxa" w:w="200"/>
              <w:bottom w:type="dxa" w:w="200"/>
            </w:tcMar>
          </w:tcPr>
          <w:p>
            <w:pPr>
              <w:pStyle w:val="Para 002"/>
            </w:pPr>
            <w:r>
              <w:t>Boolean AND</w:t>
            </w:r>
            <w:r>
              <w:rPr>
                <w:rStyle w:val="Text111"/>
              </w:rPr>
              <w:bookmarkStart w:id="747" w:name="and03"/>
              <w:t/>
              <w:bookmarkEnd w:id="747"/>
            </w:r>
          </w:p>
        </w:tc>
        <w:tc>
          <w:tcPr>
            <w:tcW w:type="auto" w:w="0"/>
            <w:tcMar>
              <w:left w:type="dxa" w:w="200"/>
              <w:top w:type="dxa" w:w="200"/>
              <w:right w:type="dxa" w:w="200"/>
              <w:bottom w:type="dxa" w:w="200"/>
            </w:tcMar>
          </w:tcPr>
          <w:p>
            <w:pPr>
              <w:pStyle w:val="Para 017"/>
            </w:pPr>
            <w:r>
              <w:t>L</w:t>
            </w:r>
          </w:p>
        </w:tc>
      </w:tr>
    </w:tbl>
    <w:tbl>
      <w:tblPr>
        <w:tblW w:type="auto" w:w="0"/>
      </w:tblPr>
      <w:tr>
        <w:tc>
          <w:tcPr>
            <w:tcW w:type="auto" w:w="0"/>
            <w:shd w:val="clear" w:color="auto" w:fill="EEF2F6"/>
            <w:tcMar>
              <w:left w:type="dxa" w:w="200"/>
              <w:top w:type="dxa" w:w="200"/>
              <w:right w:type="dxa" w:w="200"/>
              <w:bottom w:type="dxa" w:w="200"/>
            </w:tcMar>
          </w:tcPr>
          <w:p>
            <w:pPr>
              <w:pStyle w:val="Para 026"/>
            </w:pPr>
            <w:r>
              <w:t>x</w:t>
            </w:r>
            <w:r>
              <w:rPr>
                <w:rStyle w:val="Text47"/>
              </w:rPr>
              <w:t xml:space="preserve"> </w:t>
            </w:r>
            <w:r>
              <w:rPr>
                <w:rStyle w:val="Text40"/>
              </w:rPr>
              <w:t>or</w:t>
            </w:r>
            <w:r>
              <w:rPr>
                <w:rStyle w:val="Text47"/>
              </w:rPr>
              <w:t xml:space="preserve"> </w:t>
            </w:r>
            <w:r>
              <w:t>y</w:t>
            </w:r>
          </w:p>
        </w:tc>
        <w:tc>
          <w:tcPr>
            <w:tcW w:type="auto" w:w="0"/>
            <w:shd w:val="clear" w:color="auto" w:fill="EEF2F6"/>
            <w:tcMar>
              <w:left w:type="dxa" w:w="200"/>
              <w:top w:type="dxa" w:w="200"/>
              <w:right w:type="dxa" w:w="200"/>
              <w:bottom w:type="dxa" w:w="200"/>
            </w:tcMar>
          </w:tcPr>
          <w:p>
            <w:pPr>
              <w:pStyle w:val="Para 002"/>
            </w:pPr>
            <w:r>
              <w:t>Boolean OR</w:t>
            </w:r>
            <w:r>
              <w:rPr>
                <w:rStyle w:val="Text111"/>
              </w:rPr>
              <w:bookmarkStart w:id="748" w:name="idm45965275163024"/>
              <w:t/>
              <w:bookmarkEnd w:id="748"/>
            </w:r>
          </w:p>
        </w:tc>
        <w:tc>
          <w:tcPr>
            <w:tcW w:type="auto" w:w="0"/>
            <w:shd w:val="clear" w:color="auto" w:fill="EEF2F6"/>
            <w:tcMar>
              <w:left w:type="dxa" w:w="200"/>
              <w:top w:type="dxa" w:w="200"/>
              <w:right w:type="dxa" w:w="200"/>
              <w:bottom w:type="dxa" w:w="200"/>
            </w:tcMar>
          </w:tcPr>
          <w:p>
            <w:pPr>
              <w:pStyle w:val="Para 017"/>
            </w:pPr>
            <w:r>
              <w:t>L</w:t>
            </w:r>
          </w:p>
        </w:tc>
      </w:tr>
    </w:tbl>
    <w:tbl>
      <w:tblPr>
        <w:tblW w:type="auto" w:w="0"/>
      </w:tblPr>
      <w:tr>
        <w:tc>
          <w:tcPr>
            <w:tcW w:type="auto" w:w="0"/>
            <w:tcMar>
              <w:left w:type="dxa" w:w="200"/>
              <w:top w:type="dxa" w:w="200"/>
              <w:right w:type="dxa" w:w="200"/>
              <w:bottom w:type="dxa" w:w="200"/>
            </w:tcMar>
          </w:tcPr>
          <w:p>
            <w:pPr>
              <w:pStyle w:val="Para 026"/>
            </w:pPr>
            <w:r>
              <w:t>x</w:t>
            </w:r>
            <w:r>
              <w:rPr>
                <w:rStyle w:val="Text47"/>
              </w:rPr>
              <w:t xml:space="preserve"> </w:t>
            </w:r>
            <w:r>
              <w:rPr>
                <w:rStyle w:val="Text40"/>
              </w:rPr>
              <w:t>if</w:t>
            </w:r>
            <w:r>
              <w:rPr>
                <w:rStyle w:val="Text47"/>
              </w:rPr>
              <w:t xml:space="preserve"> </w:t>
            </w:r>
            <w:r>
              <w:t>expr</w:t>
            </w:r>
            <w:r>
              <w:rPr>
                <w:rStyle w:val="Text47"/>
              </w:rPr>
              <w:t xml:space="preserve"> </w:t>
            </w:r>
            <w:r>
              <w:rPr>
                <w:rStyle w:val="Text40"/>
              </w:rPr>
              <w:t>else</w:t>
            </w:r>
            <w:r>
              <w:rPr>
                <w:rStyle w:val="Text47"/>
              </w:rPr>
              <w:t xml:space="preserve"> </w:t>
            </w:r>
            <w:r>
              <w:t>y</w:t>
            </w:r>
          </w:p>
        </w:tc>
        <w:tc>
          <w:tcPr>
            <w:tcW w:type="auto" w:w="0"/>
            <w:tcMar>
              <w:left w:type="dxa" w:w="200"/>
              <w:top w:type="dxa" w:w="200"/>
              <w:right w:type="dxa" w:w="200"/>
              <w:bottom w:type="dxa" w:w="200"/>
            </w:tcMar>
          </w:tcPr>
          <w:p>
            <w:pPr>
              <w:pStyle w:val="Para 002"/>
            </w:pPr>
            <w:r>
              <w:t>Conditional expression (or</w:t>
            </w:r>
            <w:r>
              <w:rPr>
                <w:rStyle w:val="Text111"/>
              </w:rPr>
              <w:bookmarkStart w:id="749" w:name="idm45965275155936"/>
              <w:t/>
              <w:bookmarkEnd w:id="749"/>
            </w:r>
            <w:r>
              <w:t xml:space="preserve"> ternary operator)</w:t>
            </w:r>
          </w:p>
        </w:tc>
        <w:tc>
          <w:tcPr>
            <w:tcW w:type="auto" w:w="0"/>
            <w:tcMar>
              <w:left w:type="dxa" w:w="200"/>
              <w:top w:type="dxa" w:w="200"/>
              <w:right w:type="dxa" w:w="200"/>
              <w:bottom w:type="dxa" w:w="200"/>
            </w:tcMar>
          </w:tcPr>
          <w:p>
            <w:pPr>
              <w:pStyle w:val="Para 017"/>
            </w:pPr>
            <w:r>
              <w:t>NA</w:t>
            </w:r>
          </w:p>
        </w:tc>
      </w:tr>
    </w:tbl>
    <w:tbl>
      <w:tblPr>
        <w:tblW w:type="auto" w:w="0"/>
      </w:tblPr>
      <w:tr>
        <w:tc>
          <w:tcPr>
            <w:tcW w:type="auto" w:w="0"/>
            <w:shd w:val="clear" w:color="auto" w:fill="EEF2F6"/>
            <w:tcMar>
              <w:left w:type="dxa" w:w="200"/>
              <w:top w:type="dxa" w:w="200"/>
              <w:right w:type="dxa" w:w="200"/>
              <w:bottom w:type="dxa" w:w="200"/>
            </w:tcMar>
          </w:tcPr>
          <w:p>
            <w:pPr>
              <w:pStyle w:val="Para 026"/>
            </w:pPr>
            <w:r>
              <w:rPr>
                <w:rStyle w:val="Text40"/>
              </w:rPr>
              <w:t>lambda</w:t>
            </w:r>
            <w:r>
              <w:rPr>
                <w:rStyle w:val="Text47"/>
              </w:rPr>
              <w:t xml:space="preserve"> </w:t>
            </w:r>
            <w:r>
              <w:t>arg</w:t>
            </w:r>
            <w:r>
              <w:rPr>
                <w:rStyle w:val="Text50"/>
              </w:rPr>
              <w:t>, ...:</w:t>
            </w:r>
            <w:r>
              <w:rPr>
                <w:rStyle w:val="Text47"/>
              </w:rPr>
              <w:t xml:space="preserve"> </w:t>
            </w:r>
            <w:r>
              <w:t>expr</w:t>
            </w:r>
          </w:p>
        </w:tc>
        <w:tc>
          <w:tcPr>
            <w:tcW w:type="auto" w:w="0"/>
            <w:shd w:val="clear" w:color="auto" w:fill="EEF2F6"/>
            <w:tcMar>
              <w:left w:type="dxa" w:w="200"/>
              <w:top w:type="dxa" w:w="200"/>
              <w:right w:type="dxa" w:w="200"/>
              <w:bottom w:type="dxa" w:w="200"/>
            </w:tcMar>
          </w:tcPr>
          <w:p>
            <w:pPr>
              <w:pStyle w:val="Para 002"/>
            </w:pPr>
            <w:r>
              <w:t>Anonymous</w:t>
            </w:r>
            <w:r>
              <w:rPr>
                <w:rStyle w:val="Text111"/>
              </w:rPr>
              <w:bookmarkStart w:id="750" w:name="idm45965275149584"/>
              <w:t/>
              <w:bookmarkEnd w:id="750"/>
            </w:r>
            <w:r>
              <w:t xml:space="preserve"> simple function</w:t>
            </w:r>
          </w:p>
        </w:tc>
        <w:tc>
          <w:tcPr>
            <w:tcW w:type="auto" w:w="0"/>
            <w:shd w:val="clear" w:color="auto" w:fill="EEF2F6"/>
            <w:tcMar>
              <w:left w:type="dxa" w:w="200"/>
              <w:top w:type="dxa" w:w="200"/>
              <w:right w:type="dxa" w:w="200"/>
              <w:bottom w:type="dxa" w:w="200"/>
            </w:tcMar>
          </w:tcPr>
          <w:p>
            <w:pPr>
              <w:pStyle w:val="Para 017"/>
            </w:pPr>
            <w:r>
              <w:t>NA</w:t>
            </w:r>
          </w:p>
        </w:tc>
      </w:tr>
    </w:tbl>
    <w:tbl>
      <w:tblPr>
        <w:tblW w:type="auto" w:w="0"/>
      </w:tblPr>
      <w:tr>
        <w:tc>
          <w:tcPr>
            <w:tcW w:type="auto" w:w="0"/>
            <w:tcMar>
              <w:left w:type="dxa" w:w="200"/>
              <w:top w:type="dxa" w:w="200"/>
              <w:right w:type="dxa" w:w="200"/>
              <w:bottom w:type="dxa" w:w="200"/>
            </w:tcMar>
          </w:tcPr>
          <w:p>
            <w:pPr>
              <w:pStyle w:val="Para 026"/>
            </w:pPr>
            <w:r>
              <w:rPr>
                <w:rStyle w:val="Text50"/>
              </w:rPr>
              <w:t>(</w:t>
            </w:r>
            <w:r>
              <w:rPr>
                <w:rStyle w:val="Text47"/>
              </w:rPr>
              <w:t xml:space="preserve"> </w:t>
            </w:r>
            <w:r>
              <w:t>ident</w:t>
            </w:r>
            <w:r>
              <w:rPr>
                <w:rStyle w:val="Text47"/>
              </w:rPr>
              <w:t xml:space="preserve"> </w:t>
            </w:r>
            <w:r>
              <w:rPr>
                <w:rStyle w:val="Text50"/>
              </w:rPr>
              <w:t>:=</w:t>
            </w:r>
            <w:r>
              <w:rPr>
                <w:rStyle w:val="Text47"/>
              </w:rPr>
              <w:t xml:space="preserve"> </w:t>
            </w:r>
            <w:r>
              <w:t>expr</w:t>
            </w:r>
            <w:r>
              <w:rPr>
                <w:rStyle w:val="Text47"/>
              </w:rPr>
              <w:t xml:space="preserve"> </w:t>
            </w:r>
            <w:r>
              <w:rPr>
                <w:rStyle w:val="Text50"/>
              </w:rPr>
              <w:t>)</w:t>
            </w:r>
          </w:p>
        </w:tc>
        <w:tc>
          <w:tcPr>
            <w:tcW w:type="auto" w:w="0"/>
            <w:tcMar>
              <w:left w:type="dxa" w:w="200"/>
              <w:top w:type="dxa" w:w="200"/>
              <w:right w:type="dxa" w:w="200"/>
              <w:bottom w:type="dxa" w:w="200"/>
            </w:tcMar>
          </w:tcPr>
          <w:p>
            <w:pPr>
              <w:pStyle w:val="Para 002"/>
            </w:pPr>
            <w:r>
              <w:t>Assignment expression (parentheses recommended, but not always required)</w:t>
            </w:r>
          </w:p>
        </w:tc>
        <w:tc>
          <w:tcPr>
            <w:tcW w:type="auto" w:w="0"/>
            <w:tcMar>
              <w:left w:type="dxa" w:w="200"/>
              <w:top w:type="dxa" w:w="200"/>
              <w:right w:type="dxa" w:w="200"/>
              <w:bottom w:type="dxa" w:w="200"/>
            </w:tcMar>
          </w:tcPr>
          <w:p>
            <w:pPr>
              <w:pStyle w:val="Para 017"/>
            </w:pPr>
            <w:r>
              <w:t>NA</w:t>
            </w:r>
          </w:p>
        </w:tc>
      </w:tr>
    </w:tbl>
    <w:p>
      <w:pPr>
        <w:pStyle w:val="Normal"/>
      </w:pPr>
      <w:r>
        <w:t xml:space="preserve">In this table, </w:t>
      </w:r>
      <w:r>
        <w:rPr>
          <w:rStyle w:val="Text3"/>
        </w:rPr>
        <w:t>expr</w:t>
      </w:r>
      <w:r>
        <w:t xml:space="preserve">, </w:t>
      </w:r>
      <w:r>
        <w:rPr>
          <w:rStyle w:val="Text3"/>
        </w:rPr>
        <w:t>key</w:t>
      </w:r>
      <w:r>
        <w:t xml:space="preserve">, </w:t>
      </w:r>
      <w:r>
        <w:rPr>
          <w:rStyle w:val="Text3"/>
        </w:rPr>
        <w:t>f</w:t>
      </w:r>
      <w:r>
        <w:t xml:space="preserve">, </w:t>
      </w:r>
      <w:r>
        <w:rPr>
          <w:rStyle w:val="Text3"/>
        </w:rPr>
        <w:t>index</w:t>
      </w:r>
      <w:r>
        <w:t xml:space="preserve">, </w:t>
      </w:r>
      <w:r>
        <w:rPr>
          <w:rStyle w:val="Text3"/>
        </w:rPr>
        <w:t>x</w:t>
      </w:r>
      <w:r>
        <w:t xml:space="preserve">, and </w:t>
      </w:r>
      <w:r>
        <w:rPr>
          <w:rStyle w:val="Text3"/>
        </w:rPr>
        <w:t>y</w:t>
      </w:r>
      <w:r>
        <w:t xml:space="preserve"> mean any expression, while </w:t>
      </w:r>
      <w:r>
        <w:rPr>
          <w:rStyle w:val="Text3"/>
        </w:rPr>
        <w:t>attr</w:t>
      </w:r>
      <w:r>
        <w:t xml:space="preserve">, </w:t>
      </w:r>
      <w:r>
        <w:rPr>
          <w:rStyle w:val="Text3"/>
        </w:rPr>
        <w:t>arg</w:t>
      </w:r>
      <w:r>
        <w:t xml:space="preserve">, and </w:t>
      </w:r>
      <w:r>
        <w:rPr>
          <w:rStyle w:val="Text3"/>
        </w:rPr>
        <w:t>ident</w:t>
      </w:r>
      <w:r>
        <w:t xml:space="preserve"> mean any identifier. The notation </w:t>
      </w:r>
      <w:r>
        <w:rPr>
          <w:rStyle w:val="Text3"/>
        </w:rPr>
        <w:t>, ...</w:t>
      </w:r>
      <w:r>
        <w:t xml:space="preserve"> means commas join zero or more repetitions; in such cases, a trailing comma is optional and innocuous.</w:t>
      </w:r>
      <w:r>
        <w:rPr>
          <w:rStyle w:val="Text111"/>
        </w:rPr>
        <w:bookmarkStart w:id="751" w:name="idm45965275132880"/>
        <w:t/>
        <w:bookmarkEnd w:id="751"/>
      </w:r>
    </w:p>
    <w:p>
      <w:bookmarkStart w:id="752" w:name="Comparison_Chaining__You_can_cha"/>
      <w:pPr>
        <w:keepNext/>
        <w:pStyle w:val="Heading 2"/>
      </w:pPr>
      <w:r>
        <w:t>Comparison Chaining</w:t>
      </w:r>
      <w:bookmarkEnd w:id="752"/>
    </w:p>
    <w:p>
      <w:pPr>
        <w:pStyle w:val="Normal"/>
      </w:pPr>
      <w:r>
        <w:t>You</w:t>
      </w:r>
      <w:r>
        <w:rPr>
          <w:rStyle w:val="Text111"/>
        </w:rPr>
        <w:bookmarkStart w:id="753" w:name="idm45965275129856"/>
        <w:t/>
        <w:bookmarkEnd w:id="753"/>
        <w:bookmarkStart w:id="754" w:name="idm45965275128480"/>
        <w:t/>
        <w:bookmarkEnd w:id="754"/>
        <w:bookmarkStart w:id="755" w:name="IFiselse03"/>
        <w:t/>
        <w:bookmarkEnd w:id="755"/>
      </w:r>
      <w:r>
        <w:t xml:space="preserve"> can chain comparisons, implying a logical </w:t>
      </w:r>
      <w:r>
        <w:rPr>
          <w:rStyle w:val="Text5"/>
        </w:rPr>
        <w:t>and</w:t>
      </w:r>
      <w:r>
        <w:t>. For example:</w:t>
      </w:r>
    </w:p>
    <w:p>
      <w:pPr>
        <w:pStyle w:val="Para 018"/>
      </w:pPr>
      <w:r>
        <w:rPr>
          <w:rStyle w:val="Text104"/>
        </w:rPr>
        <w:t xml:space="preserve"/>
        <w:br w:clear="none"/>
      </w:r>
      <w:r>
        <w:rPr>
          <w:rStyle w:val="Text14"/>
        </w:rPr>
        <w:t xml:space="preserve">a</w:t>
        <w:br w:clear="none"/>
      </w:r>
      <w:r>
        <w:t xml:space="preserve"> </w:t>
        <w:br w:clear="none"/>
      </w:r>
      <w:r>
        <w:rPr>
          <w:rStyle w:val="Text13"/>
        </w:rPr>
        <w:t xml:space="preserve">&lt;</w:t>
        <w:br w:clear="none"/>
      </w:r>
      <w:r>
        <w:t xml:space="preserve"> </w:t>
        <w:br w:clear="none"/>
      </w:r>
      <w:r>
        <w:rPr>
          <w:rStyle w:val="Text14"/>
        </w:rPr>
        <w:t xml:space="preserve">b</w:t>
        <w:br w:clear="none"/>
      </w:r>
      <w:r>
        <w:t xml:space="preserve"> </w:t>
        <w:br w:clear="none"/>
      </w:r>
      <w:r>
        <w:rPr>
          <w:rStyle w:val="Text13"/>
        </w:rPr>
        <w:t xml:space="preserve">&lt;</w:t>
        <w:br w:clear="none"/>
        <w:t xml:space="preserve">=</w:t>
        <w:br w:clear="none"/>
      </w:r>
      <w:r>
        <w:t xml:space="preserve"> </w:t>
        <w:br w:clear="none"/>
      </w:r>
      <w:r>
        <w:rPr>
          <w:rStyle w:val="Text14"/>
        </w:rPr>
        <w:t xml:space="preserve">c</w:t>
        <w:br w:clear="none"/>
      </w:r>
      <w:r>
        <w:t xml:space="preserve"> </w:t>
        <w:br w:clear="none"/>
      </w:r>
      <w:r>
        <w:rPr>
          <w:rStyle w:val="Text13"/>
        </w:rPr>
        <w:t xml:space="preserve">&lt;</w:t>
        <w:br w:clear="none"/>
      </w:r>
      <w:r>
        <w:t xml:space="preserve"> </w:t>
        <w:br w:clear="none"/>
      </w:r>
      <w:r>
        <w:rPr>
          <w:rStyle w:val="Text14"/>
        </w:rPr>
        <w:t xml:space="preserve">d</w:t>
        <w:br w:clear="none"/>
      </w:r>
    </w:p>
    <w:p>
      <w:pPr>
        <w:pStyle w:val="Normal"/>
      </w:pPr>
      <w:r>
        <w:t xml:space="preserve">where </w:t>
      </w:r>
      <w:r>
        <w:rPr>
          <w:rStyle w:val="Text3"/>
        </w:rPr>
        <w:t>a</w:t>
      </w:r>
      <w:r>
        <w:t xml:space="preserve">, </w:t>
      </w:r>
      <w:r>
        <w:rPr>
          <w:rStyle w:val="Text3"/>
        </w:rPr>
        <w:t>b</w:t>
      </w:r>
      <w:r>
        <w:t xml:space="preserve">, </w:t>
      </w:r>
      <w:r>
        <w:rPr>
          <w:rStyle w:val="Text3"/>
        </w:rPr>
        <w:t>c</w:t>
      </w:r>
      <w:r>
        <w:t xml:space="preserve">, and </w:t>
      </w:r>
      <w:r>
        <w:rPr>
          <w:rStyle w:val="Text3"/>
        </w:rPr>
        <w:t>d</w:t>
      </w:r>
      <w:r>
        <w:t xml:space="preserve"> are arbitrary expressions, has (in the absence of evaluation side effects) the same value as:</w:t>
      </w:r>
    </w:p>
    <w:p>
      <w:pPr>
        <w:pStyle w:val="Para 018"/>
      </w:pPr>
      <w:r>
        <w:rPr>
          <w:rStyle w:val="Text104"/>
        </w:rPr>
        <w:t xml:space="preserve"/>
        <w:br w:clear="none"/>
      </w:r>
      <w:r>
        <w:rPr>
          <w:rStyle w:val="Text14"/>
        </w:rPr>
        <w:t xml:space="preserve">a</w:t>
        <w:br w:clear="none"/>
      </w:r>
      <w:r>
        <w:t xml:space="preserve"> </w:t>
        <w:br w:clear="none"/>
      </w:r>
      <w:r>
        <w:rPr>
          <w:rStyle w:val="Text13"/>
        </w:rPr>
        <w:t xml:space="preserve">&lt;</w:t>
        <w:br w:clear="none"/>
      </w:r>
      <w:r>
        <w:t xml:space="preserve"> </w:t>
        <w:br w:clear="none"/>
      </w:r>
      <w:r>
        <w:rPr>
          <w:rStyle w:val="Text14"/>
        </w:rPr>
        <w:t xml:space="preserve">b</w:t>
        <w:br w:clear="none"/>
      </w:r>
      <w:r>
        <w:t xml:space="preserve"> </w:t>
        <w:br w:clear="none"/>
      </w:r>
      <w:r>
        <w:rPr>
          <w:rStyle w:val="Text31"/>
        </w:rPr>
        <w:t xml:space="preserve">and</w:t>
        <w:br w:clear="none"/>
      </w:r>
      <w:r>
        <w:t xml:space="preserve"> </w:t>
        <w:br w:clear="none"/>
      </w:r>
      <w:r>
        <w:rPr>
          <w:rStyle w:val="Text14"/>
        </w:rPr>
        <w:t xml:space="preserve">b</w:t>
        <w:br w:clear="none"/>
      </w:r>
      <w:r>
        <w:t xml:space="preserve"> </w:t>
        <w:br w:clear="none"/>
      </w:r>
      <w:r>
        <w:rPr>
          <w:rStyle w:val="Text13"/>
        </w:rPr>
        <w:t xml:space="preserve">&lt;</w:t>
        <w:br w:clear="none"/>
        <w:t xml:space="preserve">=</w:t>
        <w:br w:clear="none"/>
      </w:r>
      <w:r>
        <w:t xml:space="preserve"> </w:t>
        <w:br w:clear="none"/>
      </w:r>
      <w:r>
        <w:rPr>
          <w:rStyle w:val="Text14"/>
        </w:rPr>
        <w:t xml:space="preserve">c</w:t>
        <w:br w:clear="none"/>
      </w:r>
      <w:r>
        <w:t xml:space="preserve"> </w:t>
        <w:br w:clear="none"/>
      </w:r>
      <w:r>
        <w:rPr>
          <w:rStyle w:val="Text31"/>
        </w:rPr>
        <w:t xml:space="preserve">and</w:t>
        <w:br w:clear="none"/>
      </w:r>
      <w:r>
        <w:t xml:space="preserve"> </w:t>
        <w:br w:clear="none"/>
      </w:r>
      <w:r>
        <w:rPr>
          <w:rStyle w:val="Text14"/>
        </w:rPr>
        <w:t xml:space="preserve">c</w:t>
        <w:br w:clear="none"/>
      </w:r>
      <w:r>
        <w:t xml:space="preserve"> </w:t>
        <w:br w:clear="none"/>
      </w:r>
      <w:r>
        <w:rPr>
          <w:rStyle w:val="Text13"/>
        </w:rPr>
        <w:t xml:space="preserve">&lt;</w:t>
        <w:br w:clear="none"/>
      </w:r>
      <w:r>
        <w:t xml:space="preserve"> </w:t>
        <w:br w:clear="none"/>
      </w:r>
      <w:r>
        <w:rPr>
          <w:rStyle w:val="Text14"/>
        </w:rPr>
        <w:t xml:space="preserve">d</w:t>
        <w:br w:clear="none"/>
      </w:r>
    </w:p>
    <w:p>
      <w:pPr>
        <w:pStyle w:val="Normal"/>
      </w:pPr>
      <w:r>
        <w:t>The chained form is more readable, and evaluates each subexpression at most once.</w:t>
      </w:r>
    </w:p>
    <w:p>
      <w:bookmarkStart w:id="756" w:name="Short_Circuiting_Operators__The"/>
      <w:pPr>
        <w:keepNext/>
        <w:pStyle w:val="Heading 2"/>
      </w:pPr>
      <w:r>
        <w:t>Short-Circuiting Operators</w:t>
      </w:r>
      <w:bookmarkEnd w:id="756"/>
    </w:p>
    <w:p>
      <w:pPr>
        <w:pStyle w:val="Normal"/>
      </w:pPr>
      <w:r>
        <w:t>The</w:t>
      </w:r>
      <w:r>
        <w:rPr>
          <w:rStyle w:val="Text111"/>
        </w:rPr>
        <w:bookmarkStart w:id="757" w:name="idm45965275065344"/>
        <w:t/>
        <w:bookmarkEnd w:id="757"/>
        <w:bookmarkStart w:id="758" w:name="idm45965275064096"/>
        <w:t/>
        <w:bookmarkEnd w:id="758"/>
        <w:bookmarkStart w:id="759" w:name="idm45965275063024"/>
        <w:t/>
        <w:bookmarkEnd w:id="759"/>
      </w:r>
      <w:r>
        <w:t xml:space="preserve"> </w:t>
      </w:r>
      <w:r>
        <w:rPr>
          <w:rStyle w:val="Text5"/>
        </w:rPr>
        <w:t>and</w:t>
      </w:r>
      <w:r>
        <w:t xml:space="preserve"> and </w:t>
      </w:r>
      <w:r>
        <w:rPr>
          <w:rStyle w:val="Text5"/>
        </w:rPr>
        <w:t>or</w:t>
      </w:r>
      <w:r>
        <w:t xml:space="preserve"> operators </w:t>
      </w:r>
      <w:r>
        <w:rPr>
          <w:rStyle w:val="Text4"/>
        </w:rPr>
        <w:t>short-circuit</w:t>
      </w:r>
      <w:r>
        <w:t xml:space="preserve"> their operands’ evaluation: the righthand operand evaluates only when its value is needed to get the truth value of the entire </w:t>
      </w:r>
      <w:r>
        <w:rPr>
          <w:rStyle w:val="Text5"/>
        </w:rPr>
        <w:t>and</w:t>
      </w:r>
      <w:r>
        <w:t xml:space="preserve"> or </w:t>
      </w:r>
      <w:r>
        <w:rPr>
          <w:rStyle w:val="Text5"/>
        </w:rPr>
        <w:t>or</w:t>
      </w:r>
      <w:r>
        <w:t xml:space="preserve"> operation.</w:t>
      </w:r>
    </w:p>
    <w:p>
      <w:pPr>
        <w:pStyle w:val="Normal"/>
      </w:pPr>
      <w:r>
        <w:t xml:space="preserve">In other words, </w:t>
      </w:r>
      <w:r>
        <w:rPr>
          <w:rStyle w:val="Text3"/>
        </w:rPr>
        <w:t>x</w:t>
      </w:r>
      <w:r>
        <w:t xml:space="preserve"> </w:t>
      </w:r>
      <w:r>
        <w:rPr>
          <w:rStyle w:val="Text5"/>
        </w:rPr>
        <w:t>and</w:t>
      </w:r>
      <w:r>
        <w:t xml:space="preserve"> </w:t>
      </w:r>
      <w:r>
        <w:rPr>
          <w:rStyle w:val="Text3"/>
        </w:rPr>
        <w:t>y</w:t>
      </w:r>
      <w:r>
        <w:t xml:space="preserve"> first evaluates </w:t>
      </w:r>
      <w:r>
        <w:rPr>
          <w:rStyle w:val="Text3"/>
        </w:rPr>
        <w:t>x</w:t>
      </w:r>
      <w:r>
        <w:t xml:space="preserve">. When </w:t>
      </w:r>
      <w:r>
        <w:rPr>
          <w:rStyle w:val="Text3"/>
        </w:rPr>
        <w:t>x</w:t>
      </w:r>
      <w:r>
        <w:t xml:space="preserve"> is false, the result is </w:t>
      </w:r>
      <w:r>
        <w:rPr>
          <w:rStyle w:val="Text3"/>
        </w:rPr>
        <w:t>x</w:t>
      </w:r>
      <w:r>
        <w:t xml:space="preserve">; otherwise, the result is </w:t>
      </w:r>
      <w:r>
        <w:rPr>
          <w:rStyle w:val="Text3"/>
        </w:rPr>
        <w:t>y</w:t>
      </w:r>
      <w:r>
        <w:t xml:space="preserve">. Similarly, </w:t>
      </w:r>
      <w:r>
        <w:rPr>
          <w:rStyle w:val="Text3"/>
        </w:rPr>
        <w:t>x</w:t>
      </w:r>
      <w:r>
        <w:t xml:space="preserve"> </w:t>
      </w:r>
      <w:r>
        <w:rPr>
          <w:rStyle w:val="Text5"/>
        </w:rPr>
        <w:t>or</w:t>
      </w:r>
      <w:r>
        <w:t xml:space="preserve"> </w:t>
      </w:r>
      <w:r>
        <w:rPr>
          <w:rStyle w:val="Text3"/>
        </w:rPr>
        <w:t>y</w:t>
      </w:r>
      <w:r>
        <w:t xml:space="preserve"> first evaluates </w:t>
      </w:r>
      <w:r>
        <w:rPr>
          <w:rStyle w:val="Text3"/>
        </w:rPr>
        <w:t>x</w:t>
      </w:r>
      <w:r>
        <w:t xml:space="preserve">. When </w:t>
      </w:r>
      <w:r>
        <w:rPr>
          <w:rStyle w:val="Text3"/>
        </w:rPr>
        <w:t>x</w:t>
      </w:r>
      <w:r>
        <w:t xml:space="preserve"> is true, the result is </w:t>
      </w:r>
      <w:r>
        <w:rPr>
          <w:rStyle w:val="Text3"/>
        </w:rPr>
        <w:t>x</w:t>
      </w:r>
      <w:r>
        <w:t xml:space="preserve">; otherwise, the result is </w:t>
      </w:r>
      <w:r>
        <w:rPr>
          <w:rStyle w:val="Text3"/>
        </w:rPr>
        <w:t>y</w:t>
      </w:r>
      <w:r>
        <w:t>.</w:t>
      </w:r>
    </w:p>
    <w:p>
      <w:pPr>
        <w:pStyle w:val="Normal"/>
      </w:pPr>
      <w:r>
        <w:rPr>
          <w:rStyle w:val="Text5"/>
        </w:rPr>
        <w:t>and</w:t>
      </w:r>
      <w:r>
        <w:t xml:space="preserve"> and </w:t>
      </w:r>
      <w:r>
        <w:rPr>
          <w:rStyle w:val="Text5"/>
        </w:rPr>
        <w:t>or</w:t>
      </w:r>
      <w:r>
        <w:t xml:space="preserve"> don’t force their results to be </w:t>
      </w:r>
      <w:r>
        <w:rPr>
          <w:rStyle w:val="Text5"/>
        </w:rPr>
        <w:t>True</w:t>
      </w:r>
      <w:r>
        <w:t xml:space="preserve"> or </w:t>
      </w:r>
      <w:r>
        <w:rPr>
          <w:rStyle w:val="Text5"/>
        </w:rPr>
        <w:t>False</w:t>
      </w:r>
      <w:r>
        <w:t xml:space="preserve">, but rather return one or the other of their operands. This lets you use these operators more generally, not just in Boolean contexts. </w:t>
      </w:r>
      <w:r>
        <w:rPr>
          <w:rStyle w:val="Text5"/>
        </w:rPr>
        <w:t>and</w:t>
      </w:r>
      <w:r>
        <w:t xml:space="preserve"> and </w:t>
      </w:r>
      <w:r>
        <w:rPr>
          <w:rStyle w:val="Text5"/>
        </w:rPr>
        <w:t>or</w:t>
      </w:r>
      <w:r>
        <w:t xml:space="preserve">, because of their short-circuiting semantics, differ from other operators, which fully evaluate all operands before performing the operation. </w:t>
      </w:r>
      <w:r>
        <w:rPr>
          <w:rStyle w:val="Text5"/>
        </w:rPr>
        <w:t>and</w:t>
      </w:r>
      <w:r>
        <w:t xml:space="preserve"> and </w:t>
      </w:r>
      <w:r>
        <w:rPr>
          <w:rStyle w:val="Text5"/>
        </w:rPr>
        <w:t>or</w:t>
      </w:r>
      <w:r>
        <w:t xml:space="preserve"> let the left operand act as a</w:t>
      </w:r>
      <w:r>
        <w:rPr>
          <w:rStyle w:val="Text111"/>
        </w:rPr>
        <w:bookmarkStart w:id="760" w:name="idm45965275016960"/>
        <w:t/>
        <w:bookmarkEnd w:id="760"/>
      </w:r>
      <w:r>
        <w:t xml:space="preserve"> </w:t>
      </w:r>
      <w:r>
        <w:rPr>
          <w:rStyle w:val="Text4"/>
        </w:rPr>
        <w:t>guard</w:t>
      </w:r>
      <w:r>
        <w:t xml:space="preserve"> for the right operand.</w:t>
      </w:r>
    </w:p>
    <w:p>
      <w:bookmarkStart w:id="761" w:name="The_conditional_operator__Anothe"/>
      <w:pPr>
        <w:keepNext/>
        <w:pStyle w:val="Heading 2"/>
      </w:pPr>
      <w:r>
        <w:t>The conditional operator</w:t>
      </w:r>
      <w:bookmarkEnd w:id="761"/>
    </w:p>
    <w:p>
      <w:pPr>
        <w:pStyle w:val="Normal"/>
      </w:pPr>
      <w:r>
        <w:t>Another</w:t>
      </w:r>
      <w:r>
        <w:rPr>
          <w:rStyle w:val="Text111"/>
        </w:rPr>
        <w:bookmarkStart w:id="762" w:name="idm45965275013504"/>
        <w:t/>
        <w:bookmarkEnd w:id="762"/>
      </w:r>
      <w:r>
        <w:t xml:space="preserve"> short-circuiting operator is the conditional</w:t>
      </w:r>
      <w:hyperlink w:anchor="13_Sometimes_referred_to_as_the">
        <w:r>
          <w:rPr>
            <w:rStyle w:val="Text41"/>
          </w:rPr>
          <w:bookmarkStart w:id="763" w:name="13"/>
          <w:t>13</w:t>
          <w:bookmarkEnd w:id="763"/>
        </w:r>
      </w:hyperlink>
      <w:r>
        <w:t xml:space="preserve"> operator </w:t>
      </w:r>
      <w:r>
        <w:rPr>
          <w:rStyle w:val="Text5"/>
        </w:rPr>
        <w:t>if</w:t>
      </w:r>
      <w:r>
        <w:rPr>
          <w:rStyle w:val="Text0"/>
        </w:rPr>
        <w:t>/</w:t>
      </w:r>
      <w:r>
        <w:rPr>
          <w:rStyle w:val="Text5"/>
        </w:rPr>
        <w:t>else</w:t>
      </w:r>
      <w:r>
        <w:t>:</w:t>
      </w:r>
    </w:p>
    <w:p>
      <w:pPr>
        <w:pStyle w:val="Para 042"/>
      </w:pPr>
      <w:r>
        <w:rPr>
          <w:rStyle w:val="Text55"/>
        </w:rPr>
        <w:t xml:space="preserve"/>
        <w:br w:clear="none"/>
      </w:r>
      <w:r>
        <w:t xml:space="preserve">when_true</w:t>
        <w:br w:clear="none"/>
      </w:r>
      <w:r>
        <w:rPr>
          <w:rStyle w:val="Text55"/>
        </w:rPr>
        <w:t xml:space="preserve"> </w:t>
        <w:br w:clear="none"/>
      </w:r>
      <w:r>
        <w:rPr>
          <w:rStyle w:val="Text40"/>
        </w:rPr>
        <w:t xml:space="preserve">if</w:t>
        <w:br w:clear="none"/>
      </w:r>
      <w:r>
        <w:rPr>
          <w:rStyle w:val="Text55"/>
        </w:rPr>
        <w:t xml:space="preserve"> </w:t>
        <w:br w:clear="none"/>
      </w:r>
      <w:r>
        <w:t xml:space="preserve">condition</w:t>
        <w:br w:clear="none"/>
      </w:r>
      <w:r>
        <w:rPr>
          <w:rStyle w:val="Text55"/>
        </w:rPr>
        <w:t xml:space="preserve"> </w:t>
        <w:br w:clear="none"/>
      </w:r>
      <w:r>
        <w:rPr>
          <w:rStyle w:val="Text40"/>
        </w:rPr>
        <w:t xml:space="preserve">else</w:t>
        <w:br w:clear="none"/>
      </w:r>
      <w:r>
        <w:rPr>
          <w:rStyle w:val="Text55"/>
        </w:rPr>
        <w:t xml:space="preserve"> </w:t>
        <w:br w:clear="none"/>
      </w:r>
      <w:r>
        <w:t xml:space="preserve">when_false</w:t>
        <w:br w:clear="none"/>
      </w:r>
    </w:p>
    <w:p>
      <w:pPr>
        <w:pStyle w:val="Normal"/>
      </w:pPr>
      <w:r>
        <w:t xml:space="preserve">Each of </w:t>
      </w:r>
      <w:r>
        <w:rPr>
          <w:rStyle w:val="Text3"/>
        </w:rPr>
        <w:t>when_true</w:t>
      </w:r>
      <w:r>
        <w:t xml:space="preserve">, </w:t>
      </w:r>
      <w:r>
        <w:rPr>
          <w:rStyle w:val="Text3"/>
        </w:rPr>
        <w:t>when_false</w:t>
      </w:r>
      <w:r>
        <w:t xml:space="preserve">, and </w:t>
      </w:r>
      <w:r>
        <w:rPr>
          <w:rStyle w:val="Text3"/>
        </w:rPr>
        <w:t>condition</w:t>
      </w:r>
      <w:r>
        <w:t xml:space="preserve"> is an arbitrary expression. </w:t>
      </w:r>
      <w:r>
        <w:rPr>
          <w:rStyle w:val="Text3"/>
        </w:rPr>
        <w:t>condition</w:t>
      </w:r>
      <w:r>
        <w:t xml:space="preserve"> evaluates first. When </w:t>
      </w:r>
      <w:r>
        <w:rPr>
          <w:rStyle w:val="Text3"/>
        </w:rPr>
        <w:t>condition</w:t>
      </w:r>
      <w:r>
        <w:t xml:space="preserve"> is true, the result is </w:t>
      </w:r>
      <w:r>
        <w:rPr>
          <w:rStyle w:val="Text3"/>
        </w:rPr>
        <w:t>when_true</w:t>
      </w:r>
      <w:r>
        <w:t xml:space="preserve">; otherwise, the result is </w:t>
      </w:r>
      <w:r>
        <w:rPr>
          <w:rStyle w:val="Text3"/>
        </w:rPr>
        <w:t>when_false</w:t>
      </w:r>
      <w:r>
        <w:t xml:space="preserve">. Only one of the subexpressions </w:t>
      </w:r>
      <w:r>
        <w:rPr>
          <w:rStyle w:val="Text3"/>
        </w:rPr>
        <w:t>when_true</w:t>
      </w:r>
      <w:r>
        <w:t xml:space="preserve"> and </w:t>
      </w:r>
      <w:r>
        <w:rPr>
          <w:rStyle w:val="Text3"/>
        </w:rPr>
        <w:t>when_false</w:t>
      </w:r>
      <w:r>
        <w:t xml:space="preserve"> evaluates, depending on the truth value of </w:t>
      </w:r>
      <w:r>
        <w:rPr>
          <w:rStyle w:val="Text3"/>
        </w:rPr>
        <w:t>condition</w:t>
      </w:r>
      <w:r>
        <w:t>.</w:t>
      </w:r>
    </w:p>
    <w:p>
      <w:pPr>
        <w:pStyle w:val="Normal"/>
      </w:pPr>
      <w:r>
        <w:t>The order of the subexpressions in this conditional operator may be a bit confusing. The recommended style is to always place parentheses around the whole expression.</w:t>
      </w:r>
      <w:r>
        <w:rPr>
          <w:rStyle w:val="Text111"/>
        </w:rPr>
        <w:bookmarkStart w:id="764" w:name="idm45965274996592"/>
        <w:t/>
        <w:bookmarkEnd w:id="764"/>
      </w:r>
    </w:p>
    <w:p>
      <w:bookmarkStart w:id="765" w:name="Assignment_Expressions__3_8__You"/>
      <w:pPr>
        <w:keepNext/>
        <w:pStyle w:val="Heading 2"/>
      </w:pPr>
      <w:r>
        <w:t>Assignment Expressions</w:t>
      </w:r>
      <w:bookmarkEnd w:id="765"/>
    </w:p>
    <w:p>
      <w:pPr>
        <w:pStyle w:val="Normal"/>
      </w:pPr>
      <w:r>
        <w:rPr>
          <w:rStyle w:val="Text34"/>
        </w:rPr>
        <w:t>3.8+</w:t>
      </w:r>
      <w:r>
        <w:t xml:space="preserve"> You can combine evaluation</w:t>
      </w:r>
      <w:r>
        <w:rPr>
          <w:rStyle w:val="Text111"/>
        </w:rPr>
        <w:bookmarkStart w:id="766" w:name="idm45965274992336"/>
        <w:t/>
        <w:bookmarkEnd w:id="766"/>
        <w:bookmarkStart w:id="767" w:name="idm45965274990992"/>
        <w:t/>
        <w:bookmarkEnd w:id="767"/>
      </w:r>
      <w:r>
        <w:t xml:space="preserve"> of an expression and the assignment of its result using the</w:t>
      </w:r>
      <w:r>
        <w:rPr>
          <w:rStyle w:val="Text111"/>
        </w:rPr>
        <w:bookmarkStart w:id="768" w:name="idm45965274989760"/>
        <w:t/>
        <w:bookmarkEnd w:id="768"/>
        <w:bookmarkStart w:id="769" w:name="idm45965274988368"/>
        <w:t/>
        <w:bookmarkEnd w:id="769"/>
        <w:bookmarkStart w:id="770" w:name="idm45965274986976"/>
        <w:t/>
        <w:bookmarkEnd w:id="770"/>
      </w:r>
      <w:r>
        <w:t xml:space="preserve"> </w:t>
      </w:r>
      <w:r>
        <w:rPr>
          <w:rStyle w:val="Text0"/>
        </w:rPr>
        <w:t>:=</w:t>
      </w:r>
      <w:r>
        <w:t xml:space="preserve"> operator. There are several common cases where this is useful.</w:t>
      </w:r>
    </w:p>
    <w:p>
      <w:bookmarkStart w:id="771" w:name="___in_an_if_elif_statement__Code"/>
      <w:pPr>
        <w:keepNext/>
        <w:pStyle w:val="Heading 2"/>
      </w:pPr>
      <w:r>
        <w:t>:= in an if/elif statement</w:t>
      </w:r>
      <w:bookmarkEnd w:id="771"/>
    </w:p>
    <w:p>
      <w:pPr>
        <w:pStyle w:val="Normal"/>
      </w:pPr>
      <w:r>
        <w:t xml:space="preserve">Code that assigns a value and then checks it can be collapsed using </w:t>
      </w:r>
      <w:r>
        <w:rPr>
          <w:rStyle w:val="Text0"/>
        </w:rPr>
        <w:t>:=</w:t>
      </w:r>
      <w:r>
        <w:t>:</w:t>
      </w:r>
    </w:p>
    <w:p>
      <w:pPr>
        <w:pStyle w:val="Para 007"/>
      </w:pPr>
      <w:r>
        <w:rPr>
          <w:rStyle w:val="Text23"/>
        </w:rPr>
        <w:t xml:space="preserve"/>
        <w:br w:clear="none"/>
      </w:r>
      <w:r>
        <w:t xml:space="preserve">re_match</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match</w:t>
        <w:br w:clear="none"/>
      </w:r>
      <w:r>
        <w:rPr>
          <w:rStyle w:val="Text7"/>
        </w:rPr>
        <w:t xml:space="preserve">(</w:t>
        <w:br w:clear="none"/>
      </w:r>
      <w:r>
        <w:rPr>
          <w:rStyle w:val="Text6"/>
        </w:rPr>
        <w:t xml:space="preserve">r</w:t>
        <w:br w:clear="none"/>
      </w:r>
      <w:r>
        <w:rPr>
          <w:rStyle w:val="Text8"/>
        </w:rPr>
        <w:t xml:space="preserve">'</w:t>
        <w:br w:clear="none"/>
        <w:t xml:space="preserve">Name: (</w:t>
        <w:br w:clear="none"/>
        <w:t xml:space="preserve">\</w:t>
        <w:br w:clear="none"/>
        <w:t xml:space="preserve">S)</w:t>
        <w:br w:clear="none"/>
        <w:t xml:space="preserve">'</w:t>
        <w:br w:clear="none"/>
      </w:r>
      <w:r>
        <w:rPr>
          <w:rStyle w:val="Text7"/>
        </w:rPr>
        <w:t xml:space="preserve">,</w:t>
        <w:br w:clear="none"/>
      </w:r>
      <w:r>
        <w:rPr>
          <w:rStyle w:val="Text6"/>
        </w:rPr>
        <w:t xml:space="preserve"> </w:t>
        <w:br w:clear="none"/>
      </w:r>
      <w:r>
        <w:t xml:space="preserve">input_string</w:t>
        <w:br w:clear="none"/>
      </w:r>
      <w:r>
        <w:rPr>
          <w:rStyle w:val="Text7"/>
        </w:rPr>
        <w:t xml:space="preserve">)</w:t>
        <w:br w:clear="none"/>
      </w:r>
      <w:r>
        <w:rPr>
          <w:rStyle w:val="Text6"/>
        </w:rPr>
        <w:t xml:space="preserve"/>
        <w:br w:clear="none"/>
      </w:r>
      <w:r>
        <w:rPr>
          <w:rStyle w:val="Text10"/>
        </w:rPr>
        <w:t xml:space="preserve">if</w:t>
        <w:br w:clear="none"/>
      </w:r>
      <w:r>
        <w:rPr>
          <w:rStyle w:val="Text6"/>
        </w:rPr>
        <w:t xml:space="preserve"> </w:t>
        <w:br w:clear="none"/>
      </w:r>
      <w:r>
        <w:t xml:space="preserve">re_match</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re_match</w:t>
        <w:br w:clear="none"/>
      </w:r>
      <w:r>
        <w:rPr>
          <w:rStyle w:val="Text13"/>
        </w:rPr>
        <w:t xml:space="preserve">.</w:t>
        <w:br w:clear="none"/>
      </w:r>
      <w:r>
        <w:t xml:space="preserve">groups</w:t>
        <w:br w:clear="none"/>
      </w:r>
      <w:r>
        <w:rPr>
          <w:rStyle w:val="Text7"/>
        </w:rPr>
        <w:t xml:space="preserve">(</w:t>
        <w:br w:clear="none"/>
      </w:r>
      <w:r>
        <w:rPr>
          <w:rStyle w:val="Text27"/>
        </w:rPr>
        <w:t xml:space="preserve">1</w:t>
        <w:br w:clear="none"/>
      </w:r>
      <w:r>
        <w:rPr>
          <w:rStyle w:val="Text7"/>
        </w:rPr>
        <w:t xml:space="preserve">)</w:t>
        <w:br w:clear="none"/>
        <w:t xml:space="preserve">)</w:t>
        <w:br w:clear="none"/>
      </w:r>
      <w:r>
        <w:rPr>
          <w:rStyle w:val="Text6"/>
        </w:rPr>
        <w:t xml:space="preserve"/>
        <w:br w:clear="none"/>
        <w:t xml:space="preserve"/>
        <w:br w:clear="none"/>
      </w:r>
      <w:r>
        <w:rPr>
          <w:rStyle w:val="Text15"/>
        </w:rPr>
        <w:t xml:space="preserve"># collapsed version using :=</w:t>
        <w:br w:clear="none"/>
      </w:r>
      <w:r>
        <w:rPr>
          <w:rStyle w:val="Text6"/>
        </w:rPr>
        <w:t xml:space="preserve"/>
        <w:br w:clear="none"/>
      </w:r>
      <w:r>
        <w:rPr>
          <w:rStyle w:val="Text10"/>
        </w:rPr>
        <w:t xml:space="preserve">if</w:t>
        <w:br w:clear="none"/>
      </w:r>
      <w:r>
        <w:rPr>
          <w:rStyle w:val="Text6"/>
        </w:rPr>
        <w:t xml:space="preserve"> </w:t>
        <w:br w:clear="none"/>
      </w:r>
      <w:r>
        <w:rPr>
          <w:rStyle w:val="Text7"/>
        </w:rPr>
        <w:t xml:space="preserve">(</w:t>
        <w:br w:clear="none"/>
      </w:r>
      <w:r>
        <w:t xml:space="preserve">re_match</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match</w:t>
        <w:br w:clear="none"/>
      </w:r>
      <w:r>
        <w:rPr>
          <w:rStyle w:val="Text7"/>
        </w:rPr>
        <w:t xml:space="preserve">(</w:t>
        <w:br w:clear="none"/>
      </w:r>
      <w:r>
        <w:rPr>
          <w:rStyle w:val="Text6"/>
        </w:rPr>
        <w:t xml:space="preserve">r</w:t>
        <w:br w:clear="none"/>
      </w:r>
      <w:r>
        <w:rPr>
          <w:rStyle w:val="Text8"/>
        </w:rPr>
        <w:t xml:space="preserve">'</w:t>
        <w:br w:clear="none"/>
        <w:t xml:space="preserve">Name: (</w:t>
        <w:br w:clear="none"/>
        <w:t xml:space="preserve">\</w:t>
        <w:br w:clear="none"/>
        <w:t xml:space="preserve">S)</w:t>
        <w:br w:clear="none"/>
        <w:t xml:space="preserve">'</w:t>
        <w:br w:clear="none"/>
      </w:r>
      <w:r>
        <w:rPr>
          <w:rStyle w:val="Text7"/>
        </w:rPr>
        <w:t xml:space="preserve">,</w:t>
        <w:br w:clear="none"/>
      </w:r>
      <w:r>
        <w:rPr>
          <w:rStyle w:val="Text6"/>
        </w:rPr>
        <w:t xml:space="preserve"> </w:t>
        <w:br w:clear="none"/>
      </w:r>
      <w:r>
        <w:t xml:space="preserve">input_string</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re_match</w:t>
        <w:br w:clear="none"/>
      </w:r>
      <w:r>
        <w:rPr>
          <w:rStyle w:val="Text13"/>
        </w:rPr>
        <w:t xml:space="preserve">.</w:t>
        <w:br w:clear="none"/>
      </w:r>
      <w:r>
        <w:t xml:space="preserve">groups</w:t>
        <w:br w:clear="none"/>
      </w:r>
      <w:r>
        <w:rPr>
          <w:rStyle w:val="Text7"/>
        </w:rPr>
        <w:t xml:space="preserve">(</w:t>
        <w:br w:clear="none"/>
      </w:r>
      <w:r>
        <w:rPr>
          <w:rStyle w:val="Text27"/>
        </w:rPr>
        <w:t xml:space="preserve">1</w:t>
        <w:br w:clear="none"/>
      </w:r>
      <w:r>
        <w:rPr>
          <w:rStyle w:val="Text7"/>
        </w:rPr>
        <w:t xml:space="preserve">)</w:t>
        <w:br w:clear="none"/>
        <w:t xml:space="preserve">)</w:t>
        <w:br w:clear="none"/>
      </w:r>
    </w:p>
    <w:p>
      <w:pPr>
        <w:pStyle w:val="Normal"/>
      </w:pPr>
      <w:r>
        <w:t xml:space="preserve">This is especially helpful when writing a sequence of </w:t>
      </w:r>
      <w:r>
        <w:rPr>
          <w:rStyle w:val="Text5"/>
        </w:rPr>
        <w:t>if</w:t>
      </w:r>
      <w:r>
        <w:rPr>
          <w:rStyle w:val="Text0"/>
        </w:rPr>
        <w:t>/</w:t>
      </w:r>
      <w:r>
        <w:rPr>
          <w:rStyle w:val="Text5"/>
        </w:rPr>
        <w:t>elif</w:t>
      </w:r>
      <w:r>
        <w:t xml:space="preserve"> blocks (you’ll find a more extended example in </w:t>
      </w:r>
      <w:hyperlink w:anchor="Chapter_10__Regular_Expressions_2">
        <w:r>
          <w:rPr>
            <w:rStyle w:val="Text1"/>
          </w:rPr>
          <w:t>Chapter 10</w:t>
        </w:r>
      </w:hyperlink>
      <w:r>
        <w:t>).</w:t>
      </w:r>
    </w:p>
    <w:p>
      <w:bookmarkStart w:id="772" w:name="___in_a_while_statement__Use"/>
      <w:pPr>
        <w:keepNext/>
        <w:pStyle w:val="Heading 2"/>
      </w:pPr>
      <w:r>
        <w:t>:= in a while statement</w:t>
      </w:r>
      <w:bookmarkEnd w:id="772"/>
    </w:p>
    <w:p>
      <w:pPr>
        <w:pStyle w:val="Normal"/>
      </w:pPr>
      <w:r>
        <w:t>Use</w:t>
      </w:r>
      <w:r>
        <w:rPr>
          <w:rStyle w:val="Text111"/>
        </w:rPr>
        <w:bookmarkStart w:id="773" w:name="idm45965274280224"/>
        <w:t/>
        <w:bookmarkEnd w:id="773"/>
      </w:r>
      <w:r>
        <w:t xml:space="preserve"> </w:t>
      </w:r>
      <w:r>
        <w:rPr>
          <w:rStyle w:val="Text0"/>
        </w:rPr>
        <w:t>:=</w:t>
      </w:r>
      <w:r>
        <w:t xml:space="preserve"> to simplify code that uses a variable as its </w:t>
      </w:r>
      <w:r>
        <w:rPr>
          <w:rStyle w:val="Text5"/>
        </w:rPr>
        <w:t>while</w:t>
      </w:r>
      <w:r>
        <w:t xml:space="preserve"> condition. Consider this code that works with a sequence of values returned by some function </w:t>
      </w:r>
      <w:r>
        <w:rPr>
          <w:rStyle w:val="Text0"/>
        </w:rPr>
        <w:t>get_next_value</w:t>
      </w:r>
      <w:r>
        <w:t xml:space="preserve">, which returns </w:t>
      </w:r>
      <w:r>
        <w:rPr>
          <w:rStyle w:val="Text5"/>
        </w:rPr>
        <w:t>None</w:t>
      </w:r>
      <w:r>
        <w:t xml:space="preserve"> when there are no more values to process:</w:t>
      </w:r>
    </w:p>
    <w:p>
      <w:pPr>
        <w:pStyle w:val="Para 007"/>
      </w:pPr>
      <w:r>
        <w:rPr>
          <w:rStyle w:val="Text23"/>
        </w:rPr>
        <w:t xml:space="preserve"/>
        <w:br w:clear="none"/>
      </w:r>
      <w:r>
        <w:t xml:space="preserve">current_value</w:t>
        <w:br w:clear="none"/>
      </w:r>
      <w:r>
        <w:rPr>
          <w:rStyle w:val="Text6"/>
        </w:rPr>
        <w:t xml:space="preserve"> </w:t>
        <w:br w:clear="none"/>
      </w:r>
      <w:r>
        <w:rPr>
          <w:rStyle w:val="Text13"/>
        </w:rPr>
        <w:t xml:space="preserve">=</w:t>
        <w:br w:clear="none"/>
      </w:r>
      <w:r>
        <w:rPr>
          <w:rStyle w:val="Text6"/>
        </w:rPr>
        <w:t xml:space="preserve"> </w:t>
        <w:br w:clear="none"/>
      </w:r>
      <w:r>
        <w:t xml:space="preserve">get_next_value</w:t>
        <w:br w:clear="none"/>
      </w:r>
      <w:r>
        <w:rPr>
          <w:rStyle w:val="Text7"/>
        </w:rPr>
        <w:t xml:space="preserve">(</w:t>
        <w:br w:clear="none"/>
        <w:t xml:space="preserve">)</w:t>
        <w:br w:clear="none"/>
      </w:r>
      <w:r>
        <w:rPr>
          <w:rStyle w:val="Text6"/>
        </w:rPr>
        <w:t xml:space="preserve"/>
        <w:br w:clear="none"/>
      </w:r>
      <w:r>
        <w:rPr>
          <w:rStyle w:val="Text10"/>
        </w:rPr>
        <w:t xml:space="preserve">while</w:t>
        <w:br w:clear="none"/>
      </w:r>
      <w:r>
        <w:rPr>
          <w:rStyle w:val="Text6"/>
        </w:rPr>
        <w:t xml:space="preserve"> </w:t>
        <w:br w:clear="none"/>
      </w:r>
      <w:r>
        <w:t xml:space="preserve">current_value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filter_condition</w:t>
        <w:br w:clear="none"/>
      </w:r>
      <w:r>
        <w:rPr>
          <w:rStyle w:val="Text7"/>
        </w:rPr>
        <w:t xml:space="preserve">(</w:t>
        <w:br w:clear="none"/>
      </w:r>
      <w:r>
        <w:t xml:space="preserve">current_value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continue</w:t>
        <w:br w:clear="none"/>
      </w:r>
      <w:r>
        <w:rPr>
          <w:rStyle w:val="Text6"/>
        </w:rPr>
        <w:t xml:space="preserve">   </w:t>
        <w:br w:clear="none"/>
      </w:r>
      <w:r>
        <w:rPr>
          <w:rStyle w:val="Text15"/>
        </w:rPr>
        <w:t xml:space="preserve"># BUG! Current_value is not advanced to next</w:t>
        <w:br w:clear="none"/>
      </w:r>
      <w:r>
        <w:rPr>
          <w:rStyle w:val="Text6"/>
        </w:rPr>
        <w:t xml:space="preserve"/>
        <w:br w:clear="none"/>
      </w:r>
      <w:r>
        <w:rPr>
          <w:rStyle w:val="Text11"/>
        </w:rPr>
        <w:t xml:space="preserve">    </w:t>
        <w:br w:clear="none"/>
      </w:r>
      <w:r>
        <w:rPr>
          <w:rStyle w:val="Text15"/>
        </w:rPr>
        <w:t xml:space="preserve"># ... do some work with current_value ...</w:t>
        <w:br w:clear="none"/>
      </w:r>
      <w:r>
        <w:rPr>
          <w:rStyle w:val="Text6"/>
        </w:rPr>
        <w:t xml:space="preserve"/>
        <w:br w:clear="none"/>
        <w:t xml:space="preserve">    </w:t>
        <w:br w:clear="none"/>
      </w:r>
      <w:r>
        <w:t xml:space="preserve">current_value</w:t>
        <w:br w:clear="none"/>
      </w:r>
      <w:r>
        <w:rPr>
          <w:rStyle w:val="Text6"/>
        </w:rPr>
        <w:t xml:space="preserve"> </w:t>
        <w:br w:clear="none"/>
      </w:r>
      <w:r>
        <w:rPr>
          <w:rStyle w:val="Text13"/>
        </w:rPr>
        <w:t xml:space="preserve">=</w:t>
        <w:br w:clear="none"/>
      </w:r>
      <w:r>
        <w:rPr>
          <w:rStyle w:val="Text6"/>
        </w:rPr>
        <w:t xml:space="preserve"> </w:t>
        <w:br w:clear="none"/>
      </w:r>
      <w:r>
        <w:t xml:space="preserve">get_next_value</w:t>
        <w:br w:clear="none"/>
      </w:r>
      <w:r>
        <w:rPr>
          <w:rStyle w:val="Text7"/>
        </w:rPr>
        <w:t xml:space="preserve">(</w:t>
        <w:br w:clear="none"/>
        <w:t xml:space="preserve">)</w:t>
        <w:br w:clear="none"/>
      </w:r>
    </w:p>
    <w:p>
      <w:pPr>
        <w:pStyle w:val="Normal"/>
      </w:pPr>
      <w:r>
        <w:t xml:space="preserve">This code has a couple of problems. First, there is the duplicated call to </w:t>
      </w:r>
      <w:r>
        <w:rPr>
          <w:rStyle w:val="Text0"/>
        </w:rPr>
        <w:t>get_next_value</w:t>
      </w:r>
      <w:r>
        <w:t xml:space="preserve">, which carries extra maintenance costs when </w:t>
      </w:r>
      <w:r>
        <w:rPr>
          <w:rStyle w:val="Text0"/>
        </w:rPr>
        <w:t>get_next_value</w:t>
      </w:r>
      <w:r>
        <w:t xml:space="preserve"> changes. But more seriously, there is a bug when an early exiting filter is added: the </w:t>
      </w:r>
      <w:r>
        <w:rPr>
          <w:rStyle w:val="Text5"/>
        </w:rPr>
        <w:t>continue</w:t>
      </w:r>
      <w:r>
        <w:t xml:space="preserve"> statement jumps directly back to the </w:t>
      </w:r>
      <w:r>
        <w:rPr>
          <w:rStyle w:val="Text5"/>
        </w:rPr>
        <w:t>while</w:t>
      </w:r>
      <w:r>
        <w:t xml:space="preserve"> statement without advancing to the next value, creating an infinite loop.</w:t>
      </w:r>
    </w:p>
    <w:p>
      <w:pPr>
        <w:pStyle w:val="Normal"/>
      </w:pPr>
      <w:r>
        <w:t xml:space="preserve">When we use </w:t>
      </w:r>
      <w:r>
        <w:rPr>
          <w:rStyle w:val="Text0"/>
        </w:rPr>
        <w:t>:=</w:t>
      </w:r>
      <w:r>
        <w:t xml:space="preserve"> to incorporate the assignment into the </w:t>
      </w:r>
      <w:r>
        <w:rPr>
          <w:rStyle w:val="Text5"/>
        </w:rPr>
        <w:t>while</w:t>
      </w:r>
      <w:r>
        <w:t xml:space="preserve"> statement itself, we fix the duplication problem, and calling </w:t>
      </w:r>
      <w:r>
        <w:rPr>
          <w:rStyle w:val="Text5"/>
        </w:rPr>
        <w:t>continue</w:t>
      </w:r>
      <w:r>
        <w:t xml:space="preserve"> does not cause an infinite loop:</w:t>
      </w:r>
    </w:p>
    <w:p>
      <w:pPr>
        <w:pStyle w:val="Para 014"/>
      </w:pPr>
      <w:r>
        <w:rPr>
          <w:rStyle w:val="Text116"/>
        </w:rPr>
        <w:t xml:space="preserve"/>
        <w:br w:clear="none"/>
      </w:r>
      <w:r>
        <w:rPr>
          <w:rStyle w:val="Text22"/>
        </w:rPr>
        <w:t xml:space="preserve">while</w:t>
        <w:br w:clear="none"/>
      </w:r>
      <w:r>
        <w:rPr>
          <w:rStyle w:val="Text11"/>
        </w:rPr>
        <w:t xml:space="preserve"> </w:t>
        <w:br w:clear="none"/>
      </w:r>
      <w:r>
        <w:rPr>
          <w:rStyle w:val="Text19"/>
        </w:rPr>
        <w:t xml:space="preserve">(</w:t>
        <w:br w:clear="none"/>
      </w:r>
      <w:r>
        <w:rPr>
          <w:rStyle w:val="Text14"/>
        </w:rPr>
        <w:t xml:space="preserve">current_value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get_next_value</w:t>
        <w:br w:clear="none"/>
      </w:r>
      <w:r>
        <w:rPr>
          <w:rStyle w:val="Text19"/>
        </w:rPr>
        <w:t xml:space="preserve">(</w:t>
        <w:br w:clear="none"/>
        <w:t xml:space="preserve">)</w:t>
        <w:br w:clear="none"/>
        <w:t xml:space="preserve">)</w:t>
        <w:br w:clear="none"/>
      </w:r>
      <w:r>
        <w:rPr>
          <w:rStyle w:val="Text11"/>
        </w:rPr>
        <w:t xml:space="preserve"> </w:t>
        <w:br w:clear="none"/>
      </w:r>
      <w:r>
        <w:rPr>
          <w:rStyle w:val="Text51"/>
        </w:rPr>
        <w:t xml:space="preserve">is</w:t>
        <w:br w:clear="none"/>
      </w:r>
      <w:r>
        <w:rPr>
          <w:rStyle w:val="Text59"/>
        </w:rPr>
        <w:t xml:space="preserve"> </w:t>
        <w:br w:clear="none"/>
      </w:r>
      <w:r>
        <w:rPr>
          <w:rStyle w:val="Text51"/>
        </w:rPr>
        <w:t xml:space="preserve">not</w:t>
        <w:br w:clear="none"/>
      </w:r>
      <w:r>
        <w:rPr>
          <w:rStyle w:val="Text59"/>
        </w:rPr>
        <w:t xml:space="preserve"> </w:t>
        <w:br w:clear="none"/>
      </w:r>
      <w:r>
        <w:rPr>
          <w:rStyle w:val="Text22"/>
        </w:rPr>
        <w:t xml:space="preserve">None</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59"/>
        </w:rPr>
        <w:t xml:space="preserve"> </w:t>
        <w:br w:clear="none"/>
      </w:r>
      <w:r>
        <w:rPr>
          <w:rStyle w:val="Text51"/>
        </w:rPr>
        <w:t xml:space="preserve">not</w:t>
        <w:br w:clear="none"/>
      </w:r>
      <w:r>
        <w:rPr>
          <w:rStyle w:val="Text11"/>
        </w:rPr>
        <w:t xml:space="preserve"> </w:t>
        <w:br w:clear="none"/>
      </w:r>
      <w:r>
        <w:rPr>
          <w:rStyle w:val="Text14"/>
        </w:rPr>
        <w:t xml:space="preserve">filter_condition</w:t>
        <w:br w:clear="none"/>
      </w:r>
      <w:r>
        <w:rPr>
          <w:rStyle w:val="Text19"/>
        </w:rPr>
        <w:t xml:space="preserve">(</w:t>
        <w:br w:clear="none"/>
      </w:r>
      <w:r>
        <w:rPr>
          <w:rStyle w:val="Text14"/>
        </w:rPr>
        <w:t xml:space="preserve">current_value</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continue</w:t>
        <w:br w:clear="none"/>
      </w:r>
      <w:r>
        <w:rPr>
          <w:rStyle w:val="Text11"/>
        </w:rPr>
        <w:t xml:space="preserve">   </w:t>
        <w:br w:clear="none"/>
      </w:r>
      <w:r>
        <w:t xml:space="preserve"># no bug, current_value advances in while statement</w:t>
        <w:br w:clear="none"/>
      </w:r>
      <w:r>
        <w:rPr>
          <w:rStyle w:val="Text11"/>
        </w:rPr>
        <w:t xml:space="preserve"/>
        <w:br w:clear="none"/>
      </w:r>
      <w:r>
        <w:rPr>
          <w:rStyle w:val="Text6"/>
        </w:rPr>
        <w:t xml:space="preserve">    </w:t>
        <w:br w:clear="none"/>
      </w:r>
      <w:r>
        <w:t xml:space="preserve"># ... do some work with current_value ...</w:t>
        <w:br w:clear="none"/>
      </w:r>
    </w:p>
    <w:p>
      <w:bookmarkStart w:id="774" w:name="___in_a_list_comprehension_filte"/>
      <w:pPr>
        <w:keepNext/>
        <w:pStyle w:val="Heading 2"/>
      </w:pPr>
      <w:r>
        <w:t>:= in a list comprehension filter</w:t>
      </w:r>
      <w:bookmarkEnd w:id="774"/>
    </w:p>
    <w:p>
      <w:pPr>
        <w:pStyle w:val="Normal"/>
      </w:pPr>
      <w:r>
        <w:t>A</w:t>
      </w:r>
      <w:r>
        <w:rPr>
          <w:rStyle w:val="Text111"/>
        </w:rPr>
        <w:bookmarkStart w:id="775" w:name="idm45965274146320"/>
        <w:t/>
        <w:bookmarkEnd w:id="775"/>
      </w:r>
      <w:r>
        <w:t xml:space="preserve"> list comprehension that converts an input item but must filter out some items based on their converted values can use </w:t>
      </w:r>
      <w:r>
        <w:rPr>
          <w:rStyle w:val="Text0"/>
        </w:rPr>
        <w:t>:=</w:t>
      </w:r>
      <w:r>
        <w:t xml:space="preserve"> to do the conversion only once. In this example, a function to convert </w:t>
      </w:r>
      <w:r>
        <w:rPr>
          <w:rStyle w:val="Text0"/>
        </w:rPr>
        <w:t>str</w:t>
      </w:r>
      <w:r>
        <w:t xml:space="preserve">s to </w:t>
      </w:r>
      <w:r>
        <w:rPr>
          <w:rStyle w:val="Text0"/>
        </w:rPr>
        <w:t>int</w:t>
      </w:r>
      <w:r>
        <w:t xml:space="preserve">s returns </w:t>
      </w:r>
      <w:r>
        <w:rPr>
          <w:rStyle w:val="Text5"/>
        </w:rPr>
        <w:t>None</w:t>
      </w:r>
      <w:r>
        <w:t xml:space="preserve"> for invalid values. Without </w:t>
      </w:r>
      <w:r>
        <w:rPr>
          <w:rStyle w:val="Text0"/>
        </w:rPr>
        <w:t>:=</w:t>
      </w:r>
      <w:r>
        <w:t xml:space="preserve">, the list comprehension must call </w:t>
      </w:r>
      <w:r>
        <w:rPr>
          <w:rStyle w:val="Text0"/>
        </w:rPr>
        <w:t>safe_int</w:t>
      </w:r>
      <w:r>
        <w:t xml:space="preserve"> twice for valid values, once to check for </w:t>
      </w:r>
      <w:r>
        <w:rPr>
          <w:rStyle w:val="Text5"/>
        </w:rPr>
        <w:t>None</w:t>
      </w:r>
      <w:r>
        <w:t xml:space="preserve"> and then again to add the actual </w:t>
      </w:r>
      <w:r>
        <w:rPr>
          <w:rStyle w:val="Text0"/>
        </w:rPr>
        <w:t>int</w:t>
      </w:r>
      <w:r>
        <w:t xml:space="preserve"> value to the list: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safe_int</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int</w:t>
        <w:br w:clear="none"/>
      </w:r>
      <w:r>
        <w:rPr>
          <w:rStyle w:val="Text7"/>
        </w:rPr>
        <w:t xml:space="preserve">(</w:t>
        <w:br w:clear="none"/>
      </w:r>
      <w:r>
        <w:t xml:space="preserve">s</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Exception</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29"/>
        </w:rPr>
        <w:t xml:space="preserve"> </w:t>
        <w:br w:clear="none"/>
      </w:r>
      <w:r>
        <w:rPr>
          <w:rStyle w:val="Text10"/>
        </w:rPr>
        <w:t xml:space="preserve">None</w:t>
        <w:br w:clear="none"/>
      </w:r>
      <w:r>
        <w:rPr>
          <w:rStyle w:val="Text6"/>
        </w:rPr>
        <w:t xml:space="preserve"/>
        <w:br w:clear="none"/>
        <w:t xml:space="preserve"/>
        <w:br w:clear="none"/>
      </w:r>
      <w:r>
        <w:t xml:space="preserve">input_strings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8"/>
        </w:rPr>
        <w:t xml:space="preserve">'</w:t>
        <w:br w:clear="none"/>
        <w:t xml:space="preserve">1</w:t>
        <w:br w:clear="none"/>
        <w:t xml:space="preserve">'</w:t>
        <w:br w:clear="none"/>
      </w:r>
      <w:r>
        <w:rPr>
          <w:rStyle w:val="Text7"/>
        </w:rPr>
        <w:t xml:space="preserve">,</w:t>
        <w:br w:clear="none"/>
      </w:r>
      <w:r>
        <w:rPr>
          <w:rStyle w:val="Text8"/>
        </w:rPr>
        <w:t xml:space="preserve">'</w:t>
        <w:br w:clear="none"/>
        <w:t xml:space="preserve">2</w:t>
        <w:br w:clear="none"/>
        <w:t xml:space="preserve">'</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r>
      <w:r>
        <w:rPr>
          <w:rStyle w:val="Text8"/>
        </w:rPr>
        <w:t xml:space="preserve">'</w:t>
        <w:br w:clear="none"/>
        <w:t xml:space="preserve">11</w:t>
        <w:br w:clear="none"/>
        <w:t xml:space="preserve">'</w:t>
        <w:br w:clear="none"/>
      </w:r>
      <w:r>
        <w:rPr>
          <w:rStyle w:val="Text7"/>
        </w:rPr>
        <w:t xml:space="preserve">]</w:t>
        <w:br w:clear="none"/>
      </w:r>
      <w:r>
        <w:rPr>
          <w:rStyle w:val="Text6"/>
        </w:rPr>
        <w:t xml:space="preserve"/>
        <w:br w:clear="none"/>
        <w:t xml:space="preserve"/>
        <w:br w:clear="none"/>
      </w:r>
      <w:r>
        <w:t xml:space="preserve">valid_int_strings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safe_int</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t xml:space="preserve">input_strings</w:t>
        <w:br w:clear="none"/>
      </w:r>
      <w:r>
        <w:rPr>
          <w:rStyle w:val="Text6"/>
        </w:rPr>
        <w:t xml:space="preserve"> </w:t>
        <w:br w:clear="none"/>
        <w:t xml:space="preserve"/>
        <w:br w:clear="none"/>
        <w:t xml:space="preserve">                     </w:t>
        <w:br w:clear="none"/>
      </w:r>
      <w:r>
        <w:rPr>
          <w:rStyle w:val="Text10"/>
        </w:rPr>
        <w:t xml:space="preserve">if</w:t>
        <w:br w:clear="none"/>
      </w:r>
      <w:r>
        <w:rPr>
          <w:rStyle w:val="Text6"/>
        </w:rPr>
        <w:t xml:space="preserve"> </w:t>
        <w:br w:clear="none"/>
      </w:r>
      <w:r>
        <w:t xml:space="preserve">safe_int</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6"/>
        </w:rPr>
        <w:t xml:space="preserve"> </w:t>
        <w:br w:clear="none"/>
      </w:r>
      <w:r>
        <w:rPr>
          <w:rStyle w:val="Text10"/>
        </w:rPr>
        <w:t xml:space="preserve">None</w:t>
        <w:br w:clear="none"/>
      </w:r>
      <w:r>
        <w:rPr>
          <w:rStyle w:val="Text7"/>
        </w:rPr>
        <w:t xml:space="preserve">]</w:t>
        <w:br w:clear="none"/>
      </w:r>
    </w:p>
    <w:p>
      <w:pPr>
        <w:pStyle w:val="Normal"/>
      </w:pPr>
      <w:r>
        <w:t xml:space="preserve">If we use an assignment expression in the condition part of the list comprehension, </w:t>
      </w:r>
      <w:r>
        <w:rPr>
          <w:rStyle w:val="Text0"/>
        </w:rPr>
        <w:t>safe_int</w:t>
      </w:r>
      <w:r>
        <w:t xml:space="preserve"> only gets called once for each value in </w:t>
      </w:r>
      <w:r>
        <w:rPr>
          <w:rStyle w:val="Text0"/>
        </w:rPr>
        <w:t>input_strings</w:t>
      </w:r>
      <w:r>
        <w:t>:</w:t>
      </w:r>
    </w:p>
    <w:p>
      <w:pPr>
        <w:pStyle w:val="Para 007"/>
      </w:pPr>
      <w:r>
        <w:rPr>
          <w:rStyle w:val="Text23"/>
        </w:rPr>
        <w:t xml:space="preserve"/>
        <w:br w:clear="none"/>
      </w:r>
      <w:r>
        <w:t xml:space="preserve">valid_int_strings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int_s</w:t>
        <w:br w:clear="none"/>
      </w:r>
      <w:r>
        <w:rPr>
          <w:rStyle w:val="Text6"/>
        </w:rPr>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t xml:space="preserve">input_strings</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7"/>
        </w:rPr>
        <w:t xml:space="preserve">(</w:t>
        <w:br w:clear="none"/>
      </w:r>
      <w:r>
        <w:t xml:space="preserve">int_s</w:t>
        <w:br w:clear="none"/>
      </w:r>
      <w:r>
        <w:rPr>
          <w:rStyle w:val="Text6"/>
        </w:rPr>
        <w:t xml:space="preserve"> </w:t>
        <w:br w:clear="none"/>
      </w:r>
      <w:r>
        <w:rPr>
          <w:rStyle w:val="Text13"/>
        </w:rPr>
        <w:t xml:space="preserve">:=</w:t>
        <w:br w:clear="none"/>
      </w:r>
      <w:r>
        <w:rPr>
          <w:rStyle w:val="Text6"/>
        </w:rPr>
        <w:t xml:space="preserve"> </w:t>
        <w:br w:clear="none"/>
      </w:r>
      <w:r>
        <w:t xml:space="preserve">safe_int</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p>
    <w:p>
      <w:pPr>
        <w:pStyle w:val="Normal"/>
      </w:pPr>
      <w:r>
        <w:t>You</w:t>
      </w:r>
      <w:r>
        <w:rPr>
          <w:rStyle w:val="Text111"/>
        </w:rPr>
        <w:bookmarkStart w:id="776" w:name="idm45965276332128"/>
        <w:t/>
        <w:bookmarkEnd w:id="776"/>
      </w:r>
      <w:r>
        <w:t xml:space="preserve"> can find more examples in the original PEP for this feature, </w:t>
      </w:r>
      <w:hyperlink r:id="rId213">
        <w:r>
          <w:rPr>
            <w:rStyle w:val="Text1"/>
          </w:rPr>
          <w:t>PEP 572</w:t>
        </w:r>
      </w:hyperlink>
      <w:r>
        <w:t>.</w:t>
      </w:r>
    </w:p>
    <w:p>
      <w:bookmarkStart w:id="777" w:name="Numeric_Operations__Python_offer"/>
      <w:pPr>
        <w:keepNext/>
        <w:pStyle w:val="Heading 1"/>
      </w:pPr>
      <w:r>
        <w:t>Numeric Operations</w:t>
      </w:r>
      <w:bookmarkEnd w:id="777"/>
    </w:p>
    <w:p>
      <w:pPr>
        <w:pStyle w:val="Normal"/>
      </w:pPr>
      <w:r>
        <w:t>Python</w:t>
      </w:r>
      <w:r>
        <w:rPr>
          <w:rStyle w:val="Text111"/>
        </w:rPr>
        <w:bookmarkStart w:id="778" w:name="PLnumop03"/>
        <w:t/>
        <w:bookmarkEnd w:id="778"/>
        <w:bookmarkStart w:id="779" w:name="numop03"/>
        <w:t/>
        <w:bookmarkEnd w:id="779"/>
      </w:r>
      <w:r>
        <w:t xml:space="preserve"> offers the usual numeric operations, as we’ve just seen in </w:t>
      </w:r>
      <w:hyperlink w:anchor="Table_3_4__Operator_precedence_i">
        <w:r>
          <w:rPr>
            <w:rStyle w:val="Text1"/>
          </w:rPr>
          <w:t>Table 3-4</w:t>
        </w:r>
      </w:hyperlink>
      <w:r>
        <w:t xml:space="preserve">. Numbers are immutable objects: when you perform operations on number objects, you always produce new objects and never modify existing ones. You can access the parts of a complex object </w:t>
      </w:r>
      <w:r>
        <w:rPr>
          <w:rStyle w:val="Text3"/>
        </w:rPr>
        <w:t>z</w:t>
      </w:r>
      <w:r>
        <w:t xml:space="preserve"> as read-only attributes </w:t>
      </w:r>
      <w:r>
        <w:rPr>
          <w:rStyle w:val="Text3"/>
        </w:rPr>
        <w:t>z.</w:t>
      </w:r>
      <w:r>
        <w:rPr>
          <w:rStyle w:val="Text0"/>
        </w:rPr>
        <w:t>real</w:t>
      </w:r>
      <w:r>
        <w:t xml:space="preserve"> and </w:t>
      </w:r>
      <w:r>
        <w:rPr>
          <w:rStyle w:val="Text3"/>
        </w:rPr>
        <w:t>z.</w:t>
      </w:r>
      <w:r>
        <w:rPr>
          <w:rStyle w:val="Text0"/>
        </w:rPr>
        <w:t>imag</w:t>
      </w:r>
      <w:r>
        <w:t>. Trying to rebind these attributes raises an exception.</w:t>
      </w:r>
    </w:p>
    <w:p>
      <w:pPr>
        <w:pStyle w:val="Normal"/>
      </w:pPr>
      <w:r>
        <w:t xml:space="preserve">A number’s optional </w:t>
      </w:r>
      <w:r>
        <w:rPr>
          <w:rStyle w:val="Text0"/>
        </w:rPr>
        <w:t>+</w:t>
      </w:r>
      <w:r>
        <w:t xml:space="preserve"> or </w:t>
      </w:r>
      <w:r>
        <w:rPr>
          <w:rStyle w:val="Text0"/>
        </w:rPr>
        <w:t>-</w:t>
      </w:r>
      <w:r>
        <w:t xml:space="preserve"> sign, and the </w:t>
      </w:r>
      <w:r>
        <w:rPr>
          <w:rStyle w:val="Text0"/>
        </w:rPr>
        <w:t>+</w:t>
      </w:r>
      <w:r>
        <w:t xml:space="preserve"> or </w:t>
      </w:r>
      <w:r>
        <w:rPr>
          <w:rStyle w:val="Text0"/>
        </w:rPr>
        <w:t>-</w:t>
      </w:r>
      <w:r>
        <w:t xml:space="preserve"> that joins a floating-point literal to an imaginary one to make a complex number, are not part of the literals’ syntax. They are ordinary operators, subject to normal operator precedence rules (see </w:t>
      </w:r>
      <w:hyperlink w:anchor="Table_3_4__Operator_precedence_i">
        <w:r>
          <w:rPr>
            <w:rStyle w:val="Text1"/>
          </w:rPr>
          <w:t>Table 3-4</w:t>
        </w:r>
      </w:hyperlink>
      <w:r>
        <w:t xml:space="preserve">). For example, </w:t>
      </w:r>
      <w:r>
        <w:rPr>
          <w:rStyle w:val="Text0"/>
        </w:rPr>
        <w:t>-2 ** 2</w:t>
      </w:r>
      <w:r>
        <w:t xml:space="preserve"> evaluates to </w:t>
      </w:r>
      <w:r>
        <w:rPr>
          <w:rStyle w:val="Text0"/>
        </w:rPr>
        <w:t>-4</w:t>
      </w:r>
      <w:r>
        <w:t xml:space="preserve">: exponentiation has higher precedence than unary minus, so the whole expression parses as </w:t>
      </w:r>
      <w:r>
        <w:rPr>
          <w:rStyle w:val="Text0"/>
        </w:rPr>
        <w:t>-(2 ** 2)</w:t>
      </w:r>
      <w:r>
        <w:t xml:space="preserve">, not as </w:t>
      </w:r>
      <w:r>
        <w:rPr>
          <w:rStyle w:val="Text0"/>
        </w:rPr>
        <w:t>(-2) ** 2</w:t>
      </w:r>
      <w:r>
        <w:t>. (Again, parentheses are recommended, to avoid confusing a reader of the code.)</w:t>
      </w:r>
    </w:p>
    <w:p>
      <w:bookmarkStart w:id="780" w:name="Numeric_Conversions__You_can_per"/>
      <w:pPr>
        <w:keepNext/>
        <w:pStyle w:val="Heading 2"/>
      </w:pPr>
      <w:r>
        <w:t>Numeric Conversions</w:t>
      </w:r>
      <w:bookmarkEnd w:id="780"/>
    </w:p>
    <w:p>
      <w:pPr>
        <w:pStyle w:val="Normal"/>
      </w:pPr>
      <w:r>
        <w:t>You</w:t>
      </w:r>
      <w:r>
        <w:rPr>
          <w:rStyle w:val="Text111"/>
        </w:rPr>
        <w:bookmarkStart w:id="781" w:name="idm45965276288032"/>
        <w:t/>
        <w:bookmarkEnd w:id="781"/>
        <w:bookmarkStart w:id="782" w:name="idm45965276286240"/>
        <w:t/>
        <w:bookmarkEnd w:id="782"/>
      </w:r>
      <w:r>
        <w:t xml:space="preserve"> can perform arithmetic operations and comparisons between any two numbers of Python built-in types (integers, floating-point numbers, and complex numbers). If the operands’ types differ, Python converts the operand with the “narrower” type to the “wider” type.</w:t>
      </w:r>
      <w:hyperlink w:anchor="14_This_is_not__strictly_speakin">
        <w:r>
          <w:rPr>
            <w:rStyle w:val="Text41"/>
          </w:rPr>
          <w:bookmarkStart w:id="783" w:name="14"/>
          <w:t>14</w:t>
          <w:bookmarkEnd w:id="783"/>
        </w:r>
      </w:hyperlink>
      <w:r>
        <w:t xml:space="preserve"> The built-in numeric types, in order from narrowest to widest, are </w:t>
      </w:r>
      <w:r>
        <w:rPr>
          <w:rStyle w:val="Text0"/>
        </w:rPr>
        <w:t>int</w:t>
      </w:r>
      <w:r>
        <w:t xml:space="preserve">, </w:t>
      </w:r>
      <w:r>
        <w:rPr>
          <w:rStyle w:val="Text0"/>
        </w:rPr>
        <w:t>float</w:t>
      </w:r>
      <w:r>
        <w:t xml:space="preserve">, and </w:t>
      </w:r>
      <w:r>
        <w:rPr>
          <w:rStyle w:val="Text0"/>
        </w:rPr>
        <w:t>complex</w:t>
      </w:r>
      <w:r>
        <w:t xml:space="preserve">. You can request an explicit conversion by passing a noncomplex numeric argument to any of these types. </w:t>
      </w:r>
      <w:r>
        <w:rPr>
          <w:rStyle w:val="Text0"/>
        </w:rPr>
        <w:t>int</w:t>
      </w:r>
      <w:r>
        <w:t xml:space="preserve"> drops its argument’s fractional part, if any (e.g., </w:t>
      </w:r>
      <w:r>
        <w:rPr>
          <w:rStyle w:val="Text0"/>
        </w:rPr>
        <w:t>int(9.8)</w:t>
      </w:r>
      <w:r>
        <w:t xml:space="preserve"> is </w:t>
      </w:r>
      <w:r>
        <w:rPr>
          <w:rStyle w:val="Text0"/>
        </w:rPr>
        <w:t>9</w:t>
      </w:r>
      <w:r>
        <w:t xml:space="preserve">). You can also call </w:t>
      </w:r>
      <w:r>
        <w:rPr>
          <w:rStyle w:val="Text0"/>
        </w:rPr>
        <w:t>complex</w:t>
      </w:r>
      <w:r>
        <w:t xml:space="preserve"> with two numeric arguments, giving real and imaginary parts. You cannot convert a </w:t>
      </w:r>
      <w:r>
        <w:rPr>
          <w:rStyle w:val="Text0"/>
        </w:rPr>
        <w:t>complex</w:t>
      </w:r>
      <w:r>
        <w:t xml:space="preserve"> to another numeric type in this way, because there is no single unambiguous way to convert a complex number into, for example, a </w:t>
      </w:r>
      <w:r>
        <w:rPr>
          <w:rStyle w:val="Text0"/>
        </w:rPr>
        <w:t>float</w:t>
      </w:r>
      <w:r>
        <w:t>.</w:t>
      </w:r>
    </w:p>
    <w:p>
      <w:pPr>
        <w:pStyle w:val="Normal"/>
      </w:pPr>
      <w:r>
        <w:t xml:space="preserve">You can also call each built-in numeric type with a string argument with the syntax of an appropriate numeric literal, with small extensions: the argument string may have leading and/or trailing whitespace, may start with a sign, and—for complex numbers—may sum or subtract a real part and an imaginary one. </w:t>
      </w:r>
      <w:r>
        <w:rPr>
          <w:rStyle w:val="Text0"/>
        </w:rPr>
        <w:t>int</w:t>
      </w:r>
      <w:r>
        <w:t xml:space="preserve"> can also be called with two arguments: the first one a string to convert, and the second the </w:t>
      </w:r>
      <w:r>
        <w:rPr>
          <w:rStyle w:val="Text4"/>
        </w:rPr>
        <w:t>radix</w:t>
      </w:r>
      <w:r>
        <w:t xml:space="preserve">, an integer between 2 and 36 to use as the base for the conversion (e.g., </w:t>
      </w:r>
      <w:r>
        <w:rPr>
          <w:rStyle w:val="Text0"/>
        </w:rPr>
        <w:t>int('101', 2)</w:t>
      </w:r>
      <w:r>
        <w:t xml:space="preserve"> returns </w:t>
      </w:r>
      <w:r>
        <w:rPr>
          <w:rStyle w:val="Text0"/>
        </w:rPr>
        <w:t>5</w:t>
      </w:r>
      <w:r>
        <w:t xml:space="preserve">, the value of </w:t>
      </w:r>
      <w:r>
        <w:rPr>
          <w:rStyle w:val="Text0"/>
        </w:rPr>
        <w:t>'101'</w:t>
      </w:r>
      <w:r>
        <w:t xml:space="preserve"> in base 2). For radices larger than 10, the appropriate subset of ASCII letters from the start of the alphabet (in either lower- or uppercase) are the extra needed “digits.”</w:t>
      </w:r>
      <w:hyperlink w:anchor="15_Hence_the_upper_limit_of_36_f">
        <w:r>
          <w:rPr>
            <w:rStyle w:val="Text41"/>
          </w:rPr>
          <w:bookmarkStart w:id="784" w:name="15"/>
          <w:t>15</w:t>
          <w:bookmarkEnd w:id="784"/>
        </w:r>
      </w:hyperlink>
    </w:p>
    <w:p>
      <w:bookmarkStart w:id="785" w:name="Arithmetic_Operations__Arithmeti"/>
      <w:pPr>
        <w:keepNext/>
        <w:pStyle w:val="Heading 2"/>
      </w:pPr>
      <w:r>
        <w:t>Arithmetic Operations</w:t>
      </w:r>
      <w:bookmarkEnd w:id="785"/>
    </w:p>
    <w:p>
      <w:pPr>
        <w:pStyle w:val="Normal"/>
      </w:pPr>
      <w:r>
        <w:t>Arithmetic operations</w:t>
      </w:r>
      <w:r>
        <w:rPr>
          <w:rStyle w:val="Text111"/>
        </w:rPr>
        <w:bookmarkStart w:id="786" w:name="idm45965276270896"/>
        <w:t/>
        <w:bookmarkEnd w:id="786"/>
        <w:bookmarkStart w:id="787" w:name="idm45965276269488"/>
        <w:t/>
        <w:bookmarkEnd w:id="787"/>
      </w:r>
      <w:r>
        <w:t xml:space="preserve"> in Python behave in rather obvious ways, with the possible exception of division and exponentiation.</w:t>
      </w:r>
    </w:p>
    <w:p>
      <w:bookmarkStart w:id="788" w:name="Division__When_the_right_operand"/>
      <w:pPr>
        <w:keepNext/>
        <w:pStyle w:val="Heading 2"/>
      </w:pPr>
      <w:r>
        <w:t>Division</w:t>
      </w:r>
      <w:bookmarkEnd w:id="788"/>
    </w:p>
    <w:p>
      <w:pPr>
        <w:pStyle w:val="Normal"/>
      </w:pPr>
      <w:r>
        <w:t>When</w:t>
      </w:r>
      <w:r>
        <w:rPr>
          <w:rStyle w:val="Text111"/>
        </w:rPr>
        <w:bookmarkStart w:id="789" w:name="idm45965276265568"/>
        <w:t/>
        <w:bookmarkEnd w:id="789"/>
      </w:r>
      <w:r>
        <w:t xml:space="preserve"> the right operand</w:t>
      </w:r>
      <w:r>
        <w:rPr>
          <w:rStyle w:val="Text111"/>
        </w:rPr>
        <w:bookmarkStart w:id="790" w:name="idm45965276264304"/>
        <w:t/>
        <w:bookmarkEnd w:id="790"/>
        <w:bookmarkStart w:id="791" w:name="idm45965276262656"/>
        <w:t/>
        <w:bookmarkEnd w:id="791"/>
        <w:bookmarkStart w:id="792" w:name="idm45965276261040"/>
        <w:t/>
        <w:bookmarkEnd w:id="792"/>
        <w:bookmarkStart w:id="793" w:name="idm45965276259696"/>
        <w:t/>
        <w:bookmarkEnd w:id="793"/>
      </w:r>
      <w:r>
        <w:t xml:space="preserve"> of </w:t>
      </w:r>
      <w:r>
        <w:rPr>
          <w:rStyle w:val="Text0"/>
        </w:rPr>
        <w:t>/</w:t>
      </w:r>
      <w:r>
        <w:t xml:space="preserve">, </w:t>
      </w:r>
      <w:r>
        <w:rPr>
          <w:rStyle w:val="Text0"/>
        </w:rPr>
        <w:t>//</w:t>
      </w:r>
      <w:r>
        <w:t xml:space="preserve">, or </w:t>
      </w:r>
      <w:r>
        <w:rPr>
          <w:rStyle w:val="Text0"/>
        </w:rPr>
        <w:t>%</w:t>
      </w:r>
      <w:r>
        <w:t xml:space="preserve"> is </w:t>
      </w:r>
      <w:r>
        <w:rPr>
          <w:rStyle w:val="Text0"/>
        </w:rPr>
        <w:t>0</w:t>
      </w:r>
      <w:r>
        <w:t xml:space="preserve">, Python raises an exception at runtime. Otherwise, the </w:t>
      </w:r>
      <w:r>
        <w:rPr>
          <w:rStyle w:val="Text0"/>
        </w:rPr>
        <w:t>/</w:t>
      </w:r>
      <w:r>
        <w:t xml:space="preserve"> operator performs</w:t>
      </w:r>
      <w:r>
        <w:rPr>
          <w:rStyle w:val="Text111"/>
        </w:rPr>
        <w:bookmarkStart w:id="794" w:name="idm45965276254656"/>
        <w:t/>
        <w:bookmarkEnd w:id="794"/>
      </w:r>
      <w:r>
        <w:t xml:space="preserve"> </w:t>
      </w:r>
      <w:r>
        <w:rPr>
          <w:rStyle w:val="Text4"/>
        </w:rPr>
        <w:t>true</w:t>
      </w:r>
      <w:r>
        <w:t xml:space="preserve"> division, returning the floating-point result of division of the two operands (or a complex result if either operand is a complex number). In contrast, the</w:t>
      </w:r>
      <w:r>
        <w:rPr>
          <w:rStyle w:val="Text111"/>
        </w:rPr>
        <w:bookmarkStart w:id="795" w:name="idm45965276252944"/>
        <w:t/>
        <w:bookmarkEnd w:id="795"/>
        <w:bookmarkStart w:id="796" w:name="idm45965276251872"/>
        <w:t/>
        <w:bookmarkEnd w:id="796"/>
      </w:r>
      <w:r>
        <w:t xml:space="preserve"> </w:t>
      </w:r>
      <w:r>
        <w:rPr>
          <w:rStyle w:val="Text0"/>
        </w:rPr>
        <w:t>//</w:t>
      </w:r>
      <w:r>
        <w:t xml:space="preserve"> operator performs </w:t>
      </w:r>
      <w:r>
        <w:rPr>
          <w:rStyle w:val="Text4"/>
        </w:rPr>
        <w:t>floor</w:t>
      </w:r>
      <w:r>
        <w:t xml:space="preserve"> division, which means it returns an integer result (converted to the same type as the wider operand) that’s the largest integer less than or equal to the true division result (ignoring the remainder, if any); e.g., </w:t>
      </w:r>
      <w:r>
        <w:rPr>
          <w:rStyle w:val="Text0"/>
        </w:rPr>
        <w:t>5.0 // 2 = 2.0</w:t>
      </w:r>
      <w:r>
        <w:t xml:space="preserve"> (not </w:t>
      </w:r>
      <w:r>
        <w:rPr>
          <w:rStyle w:val="Text0"/>
        </w:rPr>
        <w:t>2</w:t>
      </w:r>
      <w:r>
        <w:t xml:space="preserve">). The </w:t>
      </w:r>
      <w:r>
        <w:rPr>
          <w:rStyle w:val="Text0"/>
        </w:rPr>
        <w:t>%</w:t>
      </w:r>
      <w:r>
        <w:t xml:space="preserve"> operator returns the remainder of the (floor) division, i.e., the integer such that </w:t>
      </w:r>
      <w:r>
        <w:rPr>
          <w:rStyle w:val="Text0"/>
        </w:rPr>
        <w:t>(x // y) * y + (x % y) == x</w:t>
      </w:r>
      <w:r>
        <w:t>.</w:t>
      </w:r>
    </w:p>
    <w:p>
      <w:pPr>
        <w:keepNext/>
        <w:pStyle w:val="Heading 6"/>
        <w:keepLines w:val="on"/>
      </w:pPr>
      <w:r>
        <w:t>–x // y Is Not the Same as int(–x / y)</w:t>
      </w:r>
    </w:p>
    <w:p>
      <w:pPr>
        <w:pStyle w:val="Para 012"/>
        <w:keepLines w:val="on"/>
      </w:pPr>
      <w:r>
        <w:t xml:space="preserve">Take care not to think of </w:t>
      </w:r>
      <w:r>
        <w:rPr>
          <w:rStyle w:val="Text0"/>
        </w:rPr>
        <w:t>//</w:t>
      </w:r>
      <w:r>
        <w:t xml:space="preserve"> as a truncating or integer form of division; this is only the case for operands of the same sign. When operands are of different signs, the largest integer less than or equal to the true division result will actually be a more negative value than the result from true division (for example, </w:t>
      </w:r>
      <w:r>
        <w:rPr>
          <w:rStyle w:val="Text0"/>
        </w:rPr>
        <w:t>-5 / 2</w:t>
      </w:r>
      <w:r>
        <w:t xml:space="preserve"> returns </w:t>
      </w:r>
      <w:r>
        <w:rPr>
          <w:rStyle w:val="Text0"/>
        </w:rPr>
        <w:t>-2.5</w:t>
      </w:r>
      <w:r>
        <w:t xml:space="preserve">, so </w:t>
      </w:r>
      <w:r>
        <w:rPr>
          <w:rStyle w:val="Text0"/>
        </w:rPr>
        <w:t>-5 // 2</w:t>
      </w:r>
      <w:r>
        <w:t xml:space="preserve"> returns </w:t>
      </w:r>
      <w:r>
        <w:rPr>
          <w:rStyle w:val="Text0"/>
        </w:rPr>
        <w:t>-3</w:t>
      </w:r>
      <w:r>
        <w:t xml:space="preserve">, not </w:t>
      </w:r>
      <w:r>
        <w:rPr>
          <w:rStyle w:val="Text0"/>
        </w:rPr>
        <w:t>-2</w:t>
      </w:r>
      <w:r>
        <w:t>).</w:t>
      </w:r>
    </w:p>
    <w:p>
      <w:pPr>
        <w:pStyle w:val="Normal"/>
      </w:pPr>
      <w:r>
        <w:t>The</w:t>
      </w:r>
      <w:r>
        <w:rPr>
          <w:rStyle w:val="Text111"/>
        </w:rPr>
        <w:bookmarkStart w:id="797" w:name="idm45965276240400"/>
        <w:t/>
        <w:bookmarkEnd w:id="797"/>
      </w:r>
      <w:r>
        <w:t xml:space="preserve"> built-in </w:t>
      </w:r>
      <w:r>
        <w:rPr>
          <w:rStyle w:val="Text0"/>
        </w:rPr>
        <w:t>divmod</w:t>
      </w:r>
      <w:r>
        <w:t xml:space="preserve"> function takes two numeric arguments and returns a pair whose items are the quotient and remainder, so you don’t have to use both </w:t>
      </w:r>
      <w:r>
        <w:rPr>
          <w:rStyle w:val="Text0"/>
        </w:rPr>
        <w:t>//</w:t>
      </w:r>
      <w:r>
        <w:t xml:space="preserve"> for the quotient and </w:t>
      </w:r>
      <w:r>
        <w:rPr>
          <w:rStyle w:val="Text0"/>
        </w:rPr>
        <w:t>%</w:t>
      </w:r>
      <w:r>
        <w:t xml:space="preserve"> for the remainder.</w:t>
      </w:r>
      <w:hyperlink w:anchor="16_The_second_item_of_divmod_s_r">
        <w:r>
          <w:rPr>
            <w:rStyle w:val="Text41"/>
          </w:rPr>
          <w:bookmarkStart w:id="798" w:name="16"/>
          <w:t>16</w:t>
          <w:bookmarkEnd w:id="798"/>
        </w:r>
      </w:hyperlink>
    </w:p>
    <w:p>
      <w:bookmarkStart w:id="799" w:name="Exponentiation__The_exponentiati"/>
      <w:pPr>
        <w:keepNext/>
        <w:pStyle w:val="Heading 2"/>
      </w:pPr>
      <w:r>
        <w:t>Exponentiation</w:t>
      </w:r>
      <w:bookmarkEnd w:id="799"/>
    </w:p>
    <w:p>
      <w:pPr>
        <w:pStyle w:val="Normal"/>
      </w:pPr>
      <w:r>
        <w:t>The</w:t>
      </w:r>
      <w:r>
        <w:rPr>
          <w:rStyle w:val="Text111"/>
        </w:rPr>
        <w:bookmarkStart w:id="800" w:name="idm45965276231200"/>
        <w:t/>
        <w:bookmarkEnd w:id="800"/>
        <w:bookmarkStart w:id="801" w:name="idm45965276229328"/>
        <w:t/>
        <w:bookmarkEnd w:id="801"/>
        <w:bookmarkStart w:id="802" w:name="idm45965276227936"/>
        <w:t/>
        <w:bookmarkEnd w:id="802"/>
      </w:r>
      <w:r>
        <w:t xml:space="preserve"> exponentiation (“raise to power”) operation, when </w:t>
      </w:r>
      <w:r>
        <w:rPr>
          <w:rStyle w:val="Text3"/>
        </w:rPr>
        <w:t>a</w:t>
      </w:r>
      <w:r>
        <w:t xml:space="preserve"> is less than zero and </w:t>
      </w:r>
      <w:r>
        <w:rPr>
          <w:rStyle w:val="Text3"/>
        </w:rPr>
        <w:t>b</w:t>
      </w:r>
      <w:r>
        <w:t xml:space="preserve"> is a floating-point value with a nonzero fractional part, returns a complex number. The built-in </w:t>
      </w:r>
      <w:r>
        <w:rPr>
          <w:rStyle w:val="Text0"/>
        </w:rPr>
        <w:t>pow(</w:t>
      </w:r>
      <w:r>
        <w:rPr>
          <w:rStyle w:val="Text3"/>
        </w:rPr>
        <w:t>a</w:t>
      </w:r>
      <w:r>
        <w:rPr>
          <w:rStyle w:val="Text0"/>
        </w:rPr>
        <w:t>,</w:t>
      </w:r>
      <w:r>
        <w:t xml:space="preserve"> </w:t>
      </w:r>
      <w:r>
        <w:rPr>
          <w:rStyle w:val="Text3"/>
        </w:rPr>
        <w:t>b</w:t>
      </w:r>
      <w:r>
        <w:rPr>
          <w:rStyle w:val="Text0"/>
        </w:rPr>
        <w:t>)</w:t>
      </w:r>
      <w:r>
        <w:t xml:space="preserve"> function returns the same result as </w:t>
      </w:r>
      <w:r>
        <w:rPr>
          <w:rStyle w:val="Text3"/>
        </w:rPr>
        <w:t>a</w:t>
      </w:r>
      <w:r>
        <w:t xml:space="preserve"> </w:t>
      </w:r>
      <w:r>
        <w:rPr>
          <w:rStyle w:val="Text0"/>
        </w:rPr>
        <w:t>**</w:t>
      </w:r>
      <w:r>
        <w:t xml:space="preserve"> </w:t>
      </w:r>
      <w:r>
        <w:rPr>
          <w:rStyle w:val="Text3"/>
        </w:rPr>
        <w:t>b</w:t>
      </w:r>
      <w:r>
        <w:t xml:space="preserve">. With three arguments, </w:t>
      </w:r>
      <w:r>
        <w:rPr>
          <w:rStyle w:val="Text0"/>
        </w:rPr>
        <w:t>pow(</w:t>
      </w:r>
      <w:r>
        <w:rPr>
          <w:rStyle w:val="Text3"/>
        </w:rPr>
        <w:t>a</w:t>
      </w:r>
      <w:r>
        <w:rPr>
          <w:rStyle w:val="Text0"/>
        </w:rPr>
        <w:t>,</w:t>
      </w:r>
      <w:r>
        <w:t xml:space="preserve"> </w:t>
      </w:r>
      <w:r>
        <w:rPr>
          <w:rStyle w:val="Text3"/>
        </w:rPr>
        <w:t>b</w:t>
      </w:r>
      <w:r>
        <w:rPr>
          <w:rStyle w:val="Text0"/>
        </w:rPr>
        <w:t>,</w:t>
      </w:r>
      <w:r>
        <w:t xml:space="preserve"> </w:t>
      </w:r>
      <w:r>
        <w:rPr>
          <w:rStyle w:val="Text3"/>
        </w:rPr>
        <w:t>c</w:t>
      </w:r>
      <w:r>
        <w:rPr>
          <w:rStyle w:val="Text0"/>
        </w:rPr>
        <w:t>)</w:t>
      </w:r>
      <w:r>
        <w:t xml:space="preserve"> returns the same result as </w:t>
      </w:r>
      <w:r>
        <w:rPr>
          <w:rStyle w:val="Text0"/>
        </w:rPr>
        <w:t>(</w:t>
      </w:r>
      <w:r>
        <w:rPr>
          <w:rStyle w:val="Text3"/>
        </w:rPr>
        <w:t>a</w:t>
      </w:r>
      <w:r>
        <w:t xml:space="preserve"> </w:t>
      </w:r>
      <w:r>
        <w:rPr>
          <w:rStyle w:val="Text0"/>
        </w:rPr>
        <w:t>**</w:t>
      </w:r>
      <w:r>
        <w:t xml:space="preserve"> </w:t>
      </w:r>
      <w:r>
        <w:rPr>
          <w:rStyle w:val="Text3"/>
        </w:rPr>
        <w:t>b</w:t>
      </w:r>
      <w:r>
        <w:rPr>
          <w:rStyle w:val="Text0"/>
        </w:rPr>
        <w:t>) %</w:t>
      </w:r>
      <w:r>
        <w:t xml:space="preserve"> </w:t>
      </w:r>
      <w:r>
        <w:rPr>
          <w:rStyle w:val="Text3"/>
        </w:rPr>
        <w:t>c</w:t>
      </w:r>
      <w:r>
        <w:t xml:space="preserve"> but may sometimes be faster. Note that, unlike other arithmetic operations, exponentiation evaluates right to left: in other words, </w:t>
      </w:r>
      <w:r>
        <w:rPr>
          <w:rStyle w:val="Text3"/>
        </w:rPr>
        <w:t>a</w:t>
      </w:r>
      <w:r>
        <w:t xml:space="preserve"> </w:t>
      </w:r>
      <w:r>
        <w:rPr>
          <w:rStyle w:val="Text0"/>
        </w:rPr>
        <w:t>**</w:t>
      </w:r>
      <w:r>
        <w:t xml:space="preserve"> </w:t>
      </w:r>
      <w:r>
        <w:rPr>
          <w:rStyle w:val="Text3"/>
        </w:rPr>
        <w:t>b</w:t>
      </w:r>
      <w:r>
        <w:t xml:space="preserve"> </w:t>
      </w:r>
      <w:r>
        <w:rPr>
          <w:rStyle w:val="Text0"/>
        </w:rPr>
        <w:t>**</w:t>
      </w:r>
      <w:r>
        <w:t xml:space="preserve"> </w:t>
      </w:r>
      <w:r>
        <w:rPr>
          <w:rStyle w:val="Text3"/>
        </w:rPr>
        <w:t>c</w:t>
      </w:r>
      <w:r>
        <w:t xml:space="preserve"> evaluates as </w:t>
      </w:r>
      <w:r>
        <w:rPr>
          <w:rStyle w:val="Text3"/>
        </w:rPr>
        <w:t>a</w:t>
      </w:r>
      <w:r>
        <w:t xml:space="preserve"> </w:t>
      </w:r>
      <w:r>
        <w:rPr>
          <w:rStyle w:val="Text0"/>
        </w:rPr>
        <w:t>** (</w:t>
      </w:r>
      <w:r>
        <w:rPr>
          <w:rStyle w:val="Text3"/>
        </w:rPr>
        <w:t>b</w:t>
      </w:r>
      <w:r>
        <w:t xml:space="preserve"> </w:t>
      </w:r>
      <w:r>
        <w:rPr>
          <w:rStyle w:val="Text0"/>
        </w:rPr>
        <w:t>**</w:t>
      </w:r>
      <w:r>
        <w:t xml:space="preserve"> </w:t>
      </w:r>
      <w:r>
        <w:rPr>
          <w:rStyle w:val="Text3"/>
        </w:rPr>
        <w:t>c</w:t>
      </w:r>
      <w:r>
        <w:rPr>
          <w:rStyle w:val="Text0"/>
        </w:rPr>
        <w:t>)</w:t>
      </w:r>
      <w:r>
        <w:t>.</w:t>
      </w:r>
    </w:p>
    <w:p>
      <w:bookmarkStart w:id="803" w:name="Comparisons__All_objects__includ"/>
      <w:pPr>
        <w:keepNext/>
        <w:pStyle w:val="Heading 2"/>
      </w:pPr>
      <w:r>
        <w:t>Comparisons</w:t>
      </w:r>
      <w:bookmarkEnd w:id="803"/>
    </w:p>
    <w:p>
      <w:pPr>
        <w:pStyle w:val="Normal"/>
      </w:pPr>
      <w:r>
        <w:t>All</w:t>
      </w:r>
      <w:r>
        <w:rPr>
          <w:rStyle w:val="Text111"/>
        </w:rPr>
        <w:bookmarkStart w:id="804" w:name="idm45965276203312"/>
        <w:t/>
        <w:bookmarkEnd w:id="804"/>
      </w:r>
      <w:r>
        <w:t xml:space="preserve"> objects, including numbers, can be compared for</w:t>
      </w:r>
      <w:r>
        <w:rPr>
          <w:rStyle w:val="Text111"/>
        </w:rPr>
        <w:bookmarkStart w:id="805" w:name="idm45965276201456"/>
        <w:t/>
        <w:bookmarkEnd w:id="805"/>
        <w:bookmarkStart w:id="806" w:name="idm45965276200352"/>
        <w:t/>
        <w:bookmarkEnd w:id="806"/>
      </w:r>
      <w:r>
        <w:t xml:space="preserve"> equality (</w:t>
      </w:r>
      <w:r>
        <w:rPr>
          <w:rStyle w:val="Text0"/>
        </w:rPr>
        <w:t>==</w:t>
      </w:r>
      <w:r>
        <w:t>) and inequality</w:t>
      </w:r>
      <w:r>
        <w:rPr>
          <w:rStyle w:val="Text111"/>
        </w:rPr>
        <w:bookmarkStart w:id="807" w:name="idm45965276198400"/>
        <w:t/>
        <w:bookmarkEnd w:id="807"/>
        <w:bookmarkStart w:id="808" w:name="idm45965276197248"/>
        <w:t/>
        <w:bookmarkEnd w:id="808"/>
        <w:bookmarkStart w:id="809" w:name="idm45965276196128"/>
        <w:t/>
        <w:bookmarkEnd w:id="809"/>
      </w:r>
      <w:r>
        <w:t xml:space="preserve"> (</w:t>
      </w:r>
      <w:r>
        <w:rPr>
          <w:rStyle w:val="Text0"/>
        </w:rPr>
        <w:t>!=</w:t>
      </w:r>
      <w:r>
        <w:t>). Comparisons requiring order</w:t>
      </w:r>
      <w:r>
        <w:rPr>
          <w:rStyle w:val="Text111"/>
        </w:rPr>
        <w:bookmarkStart w:id="810" w:name="idm45965276194160"/>
        <w:t/>
        <w:bookmarkEnd w:id="810"/>
        <w:bookmarkStart w:id="811" w:name="idm45965276192784"/>
        <w:t/>
        <w:bookmarkEnd w:id="811"/>
        <w:bookmarkStart w:id="812" w:name="idm45965276191616"/>
        <w:t/>
        <w:bookmarkEnd w:id="812"/>
        <w:bookmarkStart w:id="813" w:name="idm45965276190240"/>
        <w:t/>
        <w:bookmarkEnd w:id="813"/>
        <w:bookmarkStart w:id="814" w:name="idm45965276189120"/>
        <w:t/>
        <w:bookmarkEnd w:id="814"/>
        <w:bookmarkStart w:id="815" w:name="idm45965276187744"/>
        <w:t/>
        <w:bookmarkEnd w:id="815"/>
      </w:r>
      <w:r>
        <w:t xml:space="preserve"> (</w:t>
      </w:r>
      <w:r>
        <w:rPr>
          <w:rStyle w:val="Text0"/>
        </w:rPr>
        <w:t>&lt;</w:t>
      </w:r>
      <w:r>
        <w:t xml:space="preserve">, </w:t>
      </w:r>
      <w:r>
        <w:rPr>
          <w:rStyle w:val="Text0"/>
        </w:rPr>
        <w:t>&lt;=</w:t>
      </w:r>
      <w:r>
        <w:t xml:space="preserve">, </w:t>
      </w:r>
      <w:r>
        <w:rPr>
          <w:rStyle w:val="Text0"/>
        </w:rPr>
        <w:t>&gt;</w:t>
      </w:r>
      <w:r>
        <w:t xml:space="preserve">, </w:t>
      </w:r>
      <w:r>
        <w:rPr>
          <w:rStyle w:val="Text0"/>
        </w:rPr>
        <w:t>&gt;=</w:t>
      </w:r>
      <w:r>
        <w:t>) may be used between any two numbers unless either operand is complex, in which case they raise exceptions at runtime. All these operators return Boolean values (</w:t>
      </w:r>
      <w:r>
        <w:rPr>
          <w:rStyle w:val="Text5"/>
        </w:rPr>
        <w:t>True</w:t>
      </w:r>
      <w:r>
        <w:t xml:space="preserve"> or </w:t>
      </w:r>
      <w:r>
        <w:rPr>
          <w:rStyle w:val="Text5"/>
        </w:rPr>
        <w:t>False</w:t>
      </w:r>
      <w:r>
        <w:t>). Be careful when comparing</w:t>
      </w:r>
      <w:r>
        <w:rPr>
          <w:rStyle w:val="Text111"/>
        </w:rPr>
        <w:bookmarkStart w:id="816" w:name="idm45965276181920"/>
        <w:t/>
        <w:bookmarkEnd w:id="816"/>
      </w:r>
      <w:r>
        <w:t xml:space="preserve"> floating-point numbers for equality, however, as discussed in </w:t>
      </w:r>
      <w:hyperlink w:anchor="Chapter_16__Numeric_Processing_2">
        <w:r>
          <w:rPr>
            <w:rStyle w:val="Text1"/>
          </w:rPr>
          <w:t>Chapter 16</w:t>
        </w:r>
      </w:hyperlink>
      <w:r>
        <w:t xml:space="preserve"> and the </w:t>
      </w:r>
      <w:hyperlink r:id="rId214">
        <w:r>
          <w:rPr>
            <w:rStyle w:val="Text1"/>
          </w:rPr>
          <w:t>online tutorial on floating-point arithmetic</w:t>
        </w:r>
      </w:hyperlink>
      <w:r>
        <w:t>.</w:t>
      </w:r>
    </w:p>
    <w:p>
      <w:bookmarkStart w:id="817" w:name="Bitwise_Operations_on_Integers"/>
      <w:pPr>
        <w:keepNext/>
        <w:pStyle w:val="Heading 2"/>
      </w:pPr>
      <w:r>
        <w:t>Bitwise Operations on Integers</w:t>
      </w:r>
      <w:bookmarkEnd w:id="817"/>
    </w:p>
    <w:p>
      <w:pPr>
        <w:pStyle w:val="Normal"/>
      </w:pPr>
      <w:r>
        <w:rPr>
          <w:rStyle w:val="Text0"/>
        </w:rPr>
        <w:t>int</w:t>
      </w:r>
      <w:r>
        <w:t>s can</w:t>
      </w:r>
      <w:r>
        <w:rPr>
          <w:rStyle w:val="Text111"/>
        </w:rPr>
        <w:bookmarkStart w:id="818" w:name="idm45965276176288"/>
        <w:t/>
        <w:bookmarkEnd w:id="818"/>
        <w:bookmarkStart w:id="819" w:name="idm45965276174864"/>
        <w:t/>
        <w:bookmarkEnd w:id="819"/>
      </w:r>
      <w:r>
        <w:t xml:space="preserve"> be interpreted as strings of bits and used with the bitwise operations shown in </w:t>
      </w:r>
      <w:hyperlink w:anchor="Table_3_4__Operator_precedence_i">
        <w:r>
          <w:rPr>
            <w:rStyle w:val="Text1"/>
          </w:rPr>
          <w:t>Table 3-4</w:t>
        </w:r>
      </w:hyperlink>
      <w:r>
        <w:t xml:space="preserve">. Bitwise operators have lower priority than arithmetic operators. Positive </w:t>
      </w:r>
      <w:r>
        <w:rPr>
          <w:rStyle w:val="Text0"/>
        </w:rPr>
        <w:t>int</w:t>
      </w:r>
      <w:r>
        <w:t xml:space="preserve">s are conceptually extended by an unbounded string of bits on the left, each bit being </w:t>
      </w:r>
      <w:r>
        <w:rPr>
          <w:rStyle w:val="Text0"/>
        </w:rPr>
        <w:t>0</w:t>
      </w:r>
      <w:r>
        <w:t xml:space="preserve">. Negative </w:t>
      </w:r>
      <w:r>
        <w:rPr>
          <w:rStyle w:val="Text0"/>
        </w:rPr>
        <w:t>int</w:t>
      </w:r>
      <w:r>
        <w:t xml:space="preserve">s, as they’re held in two’s complement representation, are conceptually extended by an unbounded string of bits on the left, each bit </w:t>
        <w:t xml:space="preserve">being </w:t>
      </w:r>
      <w:r>
        <w:rPr>
          <w:rStyle w:val="Text0"/>
        </w:rPr>
        <w:t>1</w:t>
      </w:r>
      <w:r>
        <w:t>.</w:t>
      </w:r>
      <w:r>
        <w:rPr>
          <w:rStyle w:val="Text111"/>
        </w:rPr>
        <w:bookmarkStart w:id="820" w:name="idm45965276168848"/>
        <w:t/>
        <w:bookmarkEnd w:id="820"/>
        <w:bookmarkStart w:id="821" w:name="idm45965276167472"/>
        <w:t/>
        <w:bookmarkEnd w:id="821"/>
      </w:r>
    </w:p>
    <w:p>
      <w:bookmarkStart w:id="822" w:name="Sequence_Operations__Python_supp"/>
      <w:pPr>
        <w:keepNext/>
        <w:pStyle w:val="Heading 1"/>
      </w:pPr>
      <w:r>
        <w:t>Sequence Operations</w:t>
      </w:r>
      <w:bookmarkEnd w:id="822"/>
    </w:p>
    <w:p>
      <w:pPr>
        <w:pStyle w:val="Normal"/>
      </w:pPr>
      <w:r>
        <w:t>Python</w:t>
      </w:r>
      <w:r>
        <w:rPr>
          <w:rStyle w:val="Text111"/>
        </w:rPr>
        <w:bookmarkStart w:id="823" w:name="PLseq03"/>
        <w:t/>
        <w:bookmarkEnd w:id="823"/>
        <w:bookmarkStart w:id="824" w:name="seqop03"/>
        <w:t/>
        <w:bookmarkEnd w:id="824"/>
      </w:r>
      <w:r>
        <w:t xml:space="preserve"> supports a variety of operations applicable to all sequences, including strings, lists, and tuples. Some sequence operations apply to all containers (including sets and dictionaries, which are not sequences); some apply to all iterables (meaning “any object over which you can loop”—all containers, be they sequences or not, are iterable, and so are many objects that are not containers, such as files, covered in </w:t>
      </w:r>
      <w:hyperlink w:anchor="The_io_Module__As_mentioned_in_t">
        <w:r>
          <w:rPr>
            <w:rStyle w:val="Text1"/>
          </w:rPr>
          <w:t>“The io Module”</w:t>
        </w:r>
      </w:hyperlink>
      <w:r>
        <w:t xml:space="preserve">, and generators, covered in </w:t>
      </w:r>
      <w:hyperlink w:anchor="Generators__When_the_body_of_a_f">
        <w:r>
          <w:rPr>
            <w:rStyle w:val="Text1"/>
          </w:rPr>
          <w:t>“Generators”</w:t>
        </w:r>
      </w:hyperlink>
      <w:r>
        <w:t xml:space="preserve">). In the following we use the terms </w:t>
      </w:r>
      <w:r>
        <w:rPr>
          <w:rStyle w:val="Text4"/>
        </w:rPr>
        <w:t>sequence</w:t>
      </w:r>
      <w:r>
        <w:t xml:space="preserve">, </w:t>
      </w:r>
      <w:r>
        <w:rPr>
          <w:rStyle w:val="Text4"/>
        </w:rPr>
        <w:t>container</w:t>
      </w:r>
      <w:r>
        <w:t xml:space="preserve">, and </w:t>
      </w:r>
      <w:r>
        <w:rPr>
          <w:rStyle w:val="Text4"/>
        </w:rPr>
        <w:t>iterable</w:t>
      </w:r>
      <w:r>
        <w:t xml:space="preserve"> quite precisely, to indicate exactly which operations apply to each category.</w:t>
      </w:r>
    </w:p>
    <w:p>
      <w:bookmarkStart w:id="825" w:name="Sequences_in_General__Sequences"/>
      <w:pPr>
        <w:keepNext/>
        <w:pStyle w:val="Heading 2"/>
      </w:pPr>
      <w:r>
        <w:t>Sequences in General</w:t>
      </w:r>
      <w:bookmarkEnd w:id="825"/>
    </w:p>
    <w:p>
      <w:pPr>
        <w:pStyle w:val="Normal"/>
      </w:pPr>
      <w:r>
        <w:t>Sequences</w:t>
      </w:r>
      <w:r>
        <w:rPr>
          <w:rStyle w:val="Text111"/>
        </w:rPr>
        <w:bookmarkStart w:id="826" w:name="idm45965276155488"/>
        <w:t/>
        <w:bookmarkEnd w:id="826"/>
      </w:r>
      <w:r>
        <w:t xml:space="preserve"> are ordered containers with items that are accessible by indexing and slicing.</w:t>
      </w:r>
    </w:p>
    <w:p>
      <w:pPr>
        <w:pStyle w:val="Normal"/>
      </w:pPr>
      <w:r>
        <w:t>The built-in</w:t>
      </w:r>
      <w:r>
        <w:rPr>
          <w:rStyle w:val="Text111"/>
        </w:rPr>
        <w:bookmarkStart w:id="827" w:name="idm45965276153536"/>
        <w:t/>
        <w:bookmarkEnd w:id="827"/>
      </w:r>
      <w:r>
        <w:t xml:space="preserve"> </w:t>
      </w:r>
      <w:r>
        <w:rPr>
          <w:rStyle w:val="Text0"/>
        </w:rPr>
        <w:t>len</w:t>
      </w:r>
      <w:r>
        <w:t xml:space="preserve"> function takes any container as an argument and returns the number of items in the container.</w:t>
      </w:r>
    </w:p>
    <w:p>
      <w:pPr>
        <w:pStyle w:val="Normal"/>
      </w:pPr>
      <w:r>
        <w:t>The built-in</w:t>
      </w:r>
      <w:r>
        <w:rPr>
          <w:rStyle w:val="Text111"/>
        </w:rPr>
        <w:bookmarkStart w:id="828" w:name="idm45965276150704"/>
        <w:t/>
        <w:bookmarkEnd w:id="828"/>
        <w:bookmarkStart w:id="829" w:name="idm45965276149568"/>
        <w:t/>
        <w:bookmarkEnd w:id="829"/>
      </w:r>
      <w:r>
        <w:t xml:space="preserve"> </w:t>
      </w:r>
      <w:r>
        <w:rPr>
          <w:rStyle w:val="Text0"/>
        </w:rPr>
        <w:t>min</w:t>
      </w:r>
      <w:r>
        <w:t xml:space="preserve"> and </w:t>
      </w:r>
      <w:r>
        <w:rPr>
          <w:rStyle w:val="Text0"/>
        </w:rPr>
        <w:t>max</w:t>
      </w:r>
      <w:r>
        <w:t xml:space="preserve"> functions take one argument, an iterable whose items are comparable, and return the smallest and largest items, respectively. You can also call </w:t>
      </w:r>
      <w:r>
        <w:rPr>
          <w:rStyle w:val="Text0"/>
        </w:rPr>
        <w:t>min</w:t>
      </w:r>
      <w:r>
        <w:t xml:space="preserve"> and </w:t>
      </w:r>
      <w:r>
        <w:rPr>
          <w:rStyle w:val="Text0"/>
        </w:rPr>
        <w:t>max</w:t>
      </w:r>
      <w:r>
        <w:t xml:space="preserve"> with multiple arguments, in which case they return the smallest and largest arguments, respectively.</w:t>
      </w:r>
    </w:p>
    <w:p>
      <w:pPr>
        <w:pStyle w:val="Normal"/>
      </w:pPr>
      <w:r>
        <w:rPr>
          <w:rStyle w:val="Text0"/>
        </w:rPr>
        <w:t>min</w:t>
      </w:r>
      <w:r>
        <w:t xml:space="preserve"> and </w:t>
      </w:r>
      <w:r>
        <w:rPr>
          <w:rStyle w:val="Text0"/>
        </w:rPr>
        <w:t>max</w:t>
      </w:r>
      <w:r>
        <w:t xml:space="preserve"> also accept two keyword-only optional arguments: </w:t>
      </w:r>
      <w:r>
        <w:rPr>
          <w:rStyle w:val="Text0"/>
        </w:rPr>
        <w:t>key</w:t>
      </w:r>
      <w:r>
        <w:rPr>
          <w:rStyle w:val="Text111"/>
        </w:rPr>
        <w:bookmarkStart w:id="830" w:name="idm45965276142864"/>
        <w:t/>
        <w:bookmarkEnd w:id="830"/>
      </w:r>
      <w:r>
        <w:t xml:space="preserve">, a callable to apply to each item (the comparisons are then performed on the callable’s results rather than on the items themselves); and </w:t>
      </w:r>
      <w:r>
        <w:rPr>
          <w:rStyle w:val="Text0"/>
        </w:rPr>
        <w:t>default</w:t>
      </w:r>
      <w:r>
        <w:t>, the value to return when the iterable is empty (when the iterable is empty and you supply no default argument, the function raises</w:t>
      </w:r>
      <w:r>
        <w:rPr>
          <w:rStyle w:val="Text111"/>
        </w:rPr>
        <w:bookmarkStart w:id="831" w:name="idm45965276140512"/>
        <w:t/>
        <w:bookmarkEnd w:id="831"/>
        <w:bookmarkStart w:id="832" w:name="idm45965276139408"/>
        <w:t/>
        <w:bookmarkEnd w:id="832"/>
      </w:r>
      <w:r>
        <w:t xml:space="preserve"> </w:t>
      </w:r>
      <w:r>
        <w:rPr>
          <w:rStyle w:val="Text0"/>
        </w:rPr>
        <w:t>ValueError</w:t>
      </w:r>
      <w:r>
        <w:t xml:space="preserve">). For example, </w:t>
      </w:r>
      <w:r>
        <w:rPr>
          <w:rStyle w:val="Text0"/>
        </w:rPr>
        <w:t>max('who', 'why', 'what', key=len)</w:t>
      </w:r>
      <w:r>
        <w:t xml:space="preserve"> returns </w:t>
      </w:r>
      <w:r>
        <w:rPr>
          <w:rStyle w:val="Text0"/>
        </w:rPr>
        <w:t>'what'</w:t>
      </w:r>
      <w:r>
        <w:t>.</w:t>
      </w:r>
    </w:p>
    <w:p>
      <w:pPr>
        <w:pStyle w:val="Normal"/>
      </w:pPr>
      <w:r>
        <w:t xml:space="preserve">The built-in </w:t>
      </w:r>
      <w:r>
        <w:rPr>
          <w:rStyle w:val="Text0"/>
        </w:rPr>
        <w:t>sum</w:t>
      </w:r>
      <w:r>
        <w:t xml:space="preserve"> function takes one argument, an iterable whose items are numbers, and returns the sum of the numbers.</w:t>
      </w:r>
    </w:p>
    <w:p>
      <w:bookmarkStart w:id="833" w:name="Sequence_conversions__There_is_n"/>
      <w:pPr>
        <w:keepNext/>
        <w:pStyle w:val="Heading 2"/>
      </w:pPr>
      <w:r>
        <w:t>Sequence conversions</w:t>
      </w:r>
      <w:bookmarkEnd w:id="833"/>
    </w:p>
    <w:p>
      <w:pPr>
        <w:pStyle w:val="Normal"/>
      </w:pPr>
      <w:r>
        <w:t xml:space="preserve">There is no implicit conversion between different sequence types. You can call the built-ins </w:t>
      </w:r>
      <w:r>
        <w:rPr>
          <w:rStyle w:val="Text0"/>
        </w:rPr>
        <w:t>tuple</w:t>
      </w:r>
      <w:r>
        <w:t xml:space="preserve"> and </w:t>
      </w:r>
      <w:r>
        <w:rPr>
          <w:rStyle w:val="Text0"/>
        </w:rPr>
        <w:t>list</w:t>
      </w:r>
      <w:r>
        <w:t xml:space="preserve"> with a single argument (any iterable) to get a new instance of the type you’re calling, with the same items, in the same order, as in the argument.</w:t>
      </w:r>
    </w:p>
    <w:p>
      <w:bookmarkStart w:id="834" w:name="Concatenation_and_repetition__Yo"/>
      <w:pPr>
        <w:keepNext/>
        <w:pStyle w:val="Heading 2"/>
      </w:pPr>
      <w:r>
        <w:t>Concatenation and repetition</w:t>
      </w:r>
      <w:bookmarkEnd w:id="834"/>
    </w:p>
    <w:p>
      <w:pPr>
        <w:pStyle w:val="Normal"/>
      </w:pPr>
      <w:r>
        <w:t>You</w:t>
      </w:r>
      <w:r>
        <w:rPr>
          <w:rStyle w:val="Text111"/>
        </w:rPr>
        <w:bookmarkStart w:id="835" w:name="idm45965276129424"/>
        <w:t/>
        <w:bookmarkEnd w:id="835"/>
        <w:bookmarkStart w:id="836" w:name="idm45965276127904"/>
        <w:t/>
        <w:bookmarkEnd w:id="836"/>
      </w:r>
      <w:r>
        <w:t xml:space="preserve"> can concatenate sequences of the same type with the</w:t>
      </w:r>
      <w:r>
        <w:rPr>
          <w:rStyle w:val="Text111"/>
        </w:rPr>
        <w:bookmarkStart w:id="837" w:name="idm45965276126672"/>
        <w:t/>
        <w:bookmarkEnd w:id="837"/>
        <w:bookmarkStart w:id="838" w:name="idm45965276125568"/>
        <w:t/>
        <w:bookmarkEnd w:id="838"/>
      </w:r>
      <w:r>
        <w:t xml:space="preserve"> </w:t>
      </w:r>
      <w:r>
        <w:rPr>
          <w:rStyle w:val="Text0"/>
        </w:rPr>
        <w:t>+</w:t>
      </w:r>
      <w:r>
        <w:t xml:space="preserve"> operator. You can multiply a sequence </w:t>
      </w:r>
      <w:r>
        <w:rPr>
          <w:rStyle w:val="Text3"/>
        </w:rPr>
        <w:t>S</w:t>
      </w:r>
      <w:r>
        <w:t xml:space="preserve"> by an integer </w:t>
      </w:r>
      <w:r>
        <w:rPr>
          <w:rStyle w:val="Text3"/>
        </w:rPr>
        <w:t>n</w:t>
      </w:r>
      <w:r>
        <w:t xml:space="preserve"> with the</w:t>
      </w:r>
      <w:r>
        <w:rPr>
          <w:rStyle w:val="Text111"/>
        </w:rPr>
        <w:bookmarkStart w:id="839" w:name="idm45965276121920"/>
        <w:t/>
        <w:bookmarkEnd w:id="839"/>
        <w:bookmarkStart w:id="840" w:name="idm45965276120528"/>
        <w:t/>
        <w:bookmarkEnd w:id="840"/>
      </w:r>
      <w:r>
        <w:t xml:space="preserve"> </w:t>
      </w:r>
      <w:r>
        <w:rPr>
          <w:rStyle w:val="Text0"/>
        </w:rPr>
        <w:t>*</w:t>
      </w:r>
      <w:r>
        <w:t xml:space="preserve"> operator. </w:t>
      </w:r>
      <w:r>
        <w:rPr>
          <w:rStyle w:val="Text3"/>
        </w:rPr>
        <w:t>S</w:t>
      </w:r>
      <w:r>
        <w:rPr>
          <w:rStyle w:val="Text0"/>
        </w:rPr>
        <w:t>*</w:t>
      </w:r>
      <w:r>
        <w:rPr>
          <w:rStyle w:val="Text3"/>
        </w:rPr>
        <w:t>n</w:t>
      </w:r>
      <w:r>
        <w:t xml:space="preserve"> is the concatenation of </w:t>
      </w:r>
      <w:r>
        <w:rPr>
          <w:rStyle w:val="Text3"/>
        </w:rPr>
        <w:t>n</w:t>
      </w:r>
      <w:r>
        <w:t xml:space="preserve"> copies of </w:t>
      </w:r>
      <w:r>
        <w:rPr>
          <w:rStyle w:val="Text3"/>
        </w:rPr>
        <w:t>S</w:t>
      </w:r>
      <w:r>
        <w:t xml:space="preserve">. When </w:t>
      </w:r>
      <w:r>
        <w:rPr>
          <w:rStyle w:val="Text3"/>
        </w:rPr>
        <w:t>n</w:t>
      </w:r>
      <w:r>
        <w:t xml:space="preserve"> </w:t>
      </w:r>
      <w:r>
        <w:rPr>
          <w:rStyle w:val="Text0"/>
        </w:rPr>
        <w:t>&lt;=</w:t>
      </w:r>
      <w:r>
        <w:t xml:space="preserve"> </w:t>
      </w:r>
      <w:r>
        <w:rPr>
          <w:rStyle w:val="Text0"/>
        </w:rPr>
        <w:t>0</w:t>
      </w:r>
      <w:r>
        <w:t xml:space="preserve">, </w:t>
      </w:r>
      <w:r>
        <w:rPr>
          <w:rStyle w:val="Text3"/>
        </w:rPr>
        <w:t>S</w:t>
      </w:r>
      <w:r>
        <w:t xml:space="preserve"> </w:t>
      </w:r>
      <w:r>
        <w:rPr>
          <w:rStyle w:val="Text0"/>
        </w:rPr>
        <w:t>*</w:t>
      </w:r>
      <w:r>
        <w:t xml:space="preserve"> </w:t>
      </w:r>
      <w:r>
        <w:rPr>
          <w:rStyle w:val="Text3"/>
        </w:rPr>
        <w:t>n</w:t>
      </w:r>
      <w:r>
        <w:t xml:space="preserve"> is an empty sequence of the same type as </w:t>
      </w:r>
      <w:r>
        <w:rPr>
          <w:rStyle w:val="Text3"/>
        </w:rPr>
        <w:t>S</w:t>
      </w:r>
      <w:r>
        <w:t>.</w:t>
      </w:r>
    </w:p>
    <w:p>
      <w:bookmarkStart w:id="841" w:name="Membership_testing__The_x_in_S_o"/>
      <w:pPr>
        <w:keepNext/>
        <w:pStyle w:val="Heading 2"/>
      </w:pPr>
      <w:r>
        <w:t>Membership testing</w:t>
      </w:r>
      <w:bookmarkEnd w:id="841"/>
    </w:p>
    <w:p>
      <w:pPr>
        <w:pStyle w:val="Normal"/>
      </w:pPr>
      <w:r>
        <w:t>The</w:t>
      </w:r>
      <w:r>
        <w:rPr>
          <w:rStyle w:val="Text111"/>
        </w:rPr>
        <w:bookmarkStart w:id="842" w:name="idm45965276107376"/>
        <w:t/>
        <w:bookmarkEnd w:id="842"/>
        <w:bookmarkStart w:id="843" w:name="idm45965276105520"/>
        <w:t/>
        <w:bookmarkEnd w:id="843"/>
      </w:r>
      <w:r>
        <w:t xml:space="preserve"> </w:t>
      </w:r>
      <w:r>
        <w:rPr>
          <w:rStyle w:val="Text3"/>
        </w:rPr>
        <w:t>x</w:t>
      </w:r>
      <w:r>
        <w:t xml:space="preserve"> </w:t>
      </w:r>
      <w:r>
        <w:rPr>
          <w:rStyle w:val="Text5"/>
        </w:rPr>
        <w:t>in</w:t>
      </w:r>
      <w:r>
        <w:t xml:space="preserve"> </w:t>
      </w:r>
      <w:r>
        <w:rPr>
          <w:rStyle w:val="Text3"/>
        </w:rPr>
        <w:t>S</w:t>
      </w:r>
      <w:r>
        <w:t xml:space="preserve"> operator tests to check whether the object </w:t>
      </w:r>
      <w:r>
        <w:rPr>
          <w:rStyle w:val="Text3"/>
        </w:rPr>
        <w:t>x</w:t>
      </w:r>
      <w:r>
        <w:t xml:space="preserve"> equals any item in the sequence (or other kind of container or iterable) </w:t>
      </w:r>
      <w:r>
        <w:rPr>
          <w:rStyle w:val="Text3"/>
        </w:rPr>
        <w:t>S</w:t>
      </w:r>
      <w:r>
        <w:t xml:space="preserve">. It returns </w:t>
      </w:r>
      <w:r>
        <w:rPr>
          <w:rStyle w:val="Text5"/>
        </w:rPr>
        <w:t>True</w:t>
      </w:r>
      <w:r>
        <w:t xml:space="preserve"> when it does and </w:t>
      </w:r>
      <w:r>
        <w:rPr>
          <w:rStyle w:val="Text5"/>
        </w:rPr>
        <w:t>False</w:t>
      </w:r>
      <w:r>
        <w:t xml:space="preserve"> when it doesn’t. The </w:t>
      </w:r>
      <w:r>
        <w:rPr>
          <w:rStyle w:val="Text3"/>
        </w:rPr>
        <w:t>x</w:t>
      </w:r>
      <w:r>
        <w:t xml:space="preserve"> </w:t>
      </w:r>
      <w:r>
        <w:rPr>
          <w:rStyle w:val="Text5"/>
        </w:rPr>
        <w:t>not in</w:t>
      </w:r>
      <w:r>
        <w:t xml:space="preserve"> </w:t>
      </w:r>
      <w:r>
        <w:rPr>
          <w:rStyle w:val="Text3"/>
        </w:rPr>
        <w:t>S</w:t>
      </w:r>
      <w:r>
        <w:t xml:space="preserve"> operator is equivalent to </w:t>
      </w:r>
      <w:r>
        <w:rPr>
          <w:rStyle w:val="Text5"/>
        </w:rPr>
        <w:t>not</w:t>
      </w:r>
      <w:r>
        <w:t xml:space="preserve"> </w:t>
      </w:r>
      <w:r>
        <w:rPr>
          <w:rStyle w:val="Text0"/>
        </w:rPr>
        <w:t>(</w:t>
      </w:r>
      <w:r>
        <w:rPr>
          <w:rStyle w:val="Text3"/>
        </w:rPr>
        <w:t>x</w:t>
      </w:r>
      <w:r>
        <w:t xml:space="preserve"> </w:t>
      </w:r>
      <w:r>
        <w:rPr>
          <w:rStyle w:val="Text5"/>
        </w:rPr>
        <w:t>in</w:t>
      </w:r>
      <w:r>
        <w:t xml:space="preserve"> </w:t>
      </w:r>
      <w:r>
        <w:rPr>
          <w:rStyle w:val="Text3"/>
        </w:rPr>
        <w:t>S</w:t>
      </w:r>
      <w:r>
        <w:rPr>
          <w:rStyle w:val="Text0"/>
        </w:rPr>
        <w:t>)</w:t>
      </w:r>
      <w:r>
        <w:t xml:space="preserve">. For dictionaries, </w:t>
      </w:r>
      <w:r>
        <w:rPr>
          <w:rStyle w:val="Text3"/>
        </w:rPr>
        <w:t>x</w:t>
      </w:r>
      <w:r>
        <w:t xml:space="preserve"> </w:t>
      </w:r>
      <w:r>
        <w:rPr>
          <w:rStyle w:val="Text5"/>
        </w:rPr>
        <w:t>in</w:t>
      </w:r>
      <w:r>
        <w:t xml:space="preserve"> </w:t>
      </w:r>
      <w:r>
        <w:rPr>
          <w:rStyle w:val="Text3"/>
        </w:rPr>
        <w:t>S</w:t>
      </w:r>
      <w:r>
        <w:t xml:space="preserve"> tests for the presence of </w:t>
      </w:r>
      <w:r>
        <w:rPr>
          <w:rStyle w:val="Text3"/>
        </w:rPr>
        <w:t>x</w:t>
      </w:r>
      <w:r>
        <w:t xml:space="preserve"> as a key. In the specific case of strings, </w:t>
      </w:r>
      <w:r>
        <w:rPr>
          <w:rStyle w:val="Text3"/>
        </w:rPr>
        <w:t>x</w:t>
      </w:r>
      <w:r>
        <w:t xml:space="preserve"> </w:t>
      </w:r>
      <w:r>
        <w:rPr>
          <w:rStyle w:val="Text5"/>
        </w:rPr>
        <w:t>in</w:t>
      </w:r>
      <w:r>
        <w:t xml:space="preserve"> </w:t>
      </w:r>
      <w:r>
        <w:rPr>
          <w:rStyle w:val="Text3"/>
        </w:rPr>
        <w:t>S</w:t>
      </w:r>
      <w:r>
        <w:t xml:space="preserve"> may match more than expected; in this case, </w:t>
      </w:r>
      <w:r>
        <w:rPr>
          <w:rStyle w:val="Text3"/>
        </w:rPr>
        <w:t>x</w:t>
      </w:r>
      <w:r>
        <w:t xml:space="preserve"> </w:t>
      </w:r>
      <w:r>
        <w:rPr>
          <w:rStyle w:val="Text5"/>
        </w:rPr>
        <w:t>in</w:t>
      </w:r>
      <w:r>
        <w:t xml:space="preserve"> </w:t>
      </w:r>
      <w:r>
        <w:rPr>
          <w:rStyle w:val="Text3"/>
        </w:rPr>
        <w:t>S</w:t>
      </w:r>
      <w:r>
        <w:t xml:space="preserve"> tests whether </w:t>
      </w:r>
      <w:r>
        <w:rPr>
          <w:rStyle w:val="Text3"/>
        </w:rPr>
        <w:t>x</w:t>
      </w:r>
      <w:r>
        <w:t xml:space="preserve"> equals any </w:t>
      </w:r>
      <w:r>
        <w:rPr>
          <w:rStyle w:val="Text4"/>
        </w:rPr>
        <w:t>substring</w:t>
      </w:r>
      <w:r>
        <w:t xml:space="preserve"> of </w:t>
      </w:r>
      <w:r>
        <w:rPr>
          <w:rStyle w:val="Text3"/>
        </w:rPr>
        <w:t>S</w:t>
      </w:r>
      <w:r>
        <w:t>, not just any single character.</w:t>
      </w:r>
    </w:p>
    <w:p>
      <w:bookmarkStart w:id="844" w:name="Indexing_a_sequence__To_denote_t"/>
      <w:pPr>
        <w:keepNext/>
        <w:pStyle w:val="Heading 2"/>
      </w:pPr>
      <w:r>
        <w:t>Indexing a sequence</w:t>
      </w:r>
      <w:bookmarkEnd w:id="844"/>
    </w:p>
    <w:p>
      <w:pPr>
        <w:pStyle w:val="Normal"/>
      </w:pPr>
      <w:r>
        <w:t>To</w:t>
      </w:r>
      <w:r>
        <w:rPr>
          <w:rStyle w:val="Text111"/>
        </w:rPr>
        <w:bookmarkStart w:id="845" w:name="idm45965280036400"/>
        <w:t/>
        <w:bookmarkEnd w:id="845"/>
      </w:r>
      <w:r>
        <w:t xml:space="preserve"> denote the </w:t>
      </w:r>
      <w:r>
        <w:rPr>
          <w:rStyle w:val="Text3"/>
        </w:rPr>
        <w:t>n</w:t>
      </w:r>
      <w:r>
        <w:t xml:space="preserve">th item of a sequence </w:t>
      </w:r>
      <w:r>
        <w:rPr>
          <w:rStyle w:val="Text3"/>
        </w:rPr>
        <w:t>S</w:t>
      </w:r>
      <w:r>
        <w:t xml:space="preserve">, use indexing: </w:t>
      </w:r>
      <w:r>
        <w:rPr>
          <w:rStyle w:val="Text3"/>
        </w:rPr>
        <w:t>S</w:t>
      </w:r>
      <w:r>
        <w:rPr>
          <w:rStyle w:val="Text0"/>
        </w:rPr>
        <w:t>[</w:t>
      </w:r>
      <w:r>
        <w:rPr>
          <w:rStyle w:val="Text3"/>
        </w:rPr>
        <w:t>n</w:t>
      </w:r>
      <w:r>
        <w:rPr>
          <w:rStyle w:val="Text0"/>
        </w:rPr>
        <w:t>]</w:t>
      </w:r>
      <w:r>
        <w:t xml:space="preserve">. Indexing is zero-based: </w:t>
      </w:r>
      <w:r>
        <w:rPr>
          <w:rStyle w:val="Text3"/>
        </w:rPr>
        <w:t>S</w:t>
      </w:r>
      <w:r>
        <w:t xml:space="preserve">’s first item is </w:t>
      </w:r>
      <w:r>
        <w:rPr>
          <w:rStyle w:val="Text3"/>
        </w:rPr>
        <w:t>S</w:t>
      </w:r>
      <w:r>
        <w:rPr>
          <w:rStyle w:val="Text0"/>
        </w:rPr>
        <w:t>[0]</w:t>
      </w:r>
      <w:r>
        <w:t xml:space="preserve">. If </w:t>
      </w:r>
      <w:r>
        <w:rPr>
          <w:rStyle w:val="Text3"/>
        </w:rPr>
        <w:t>S</w:t>
      </w:r>
      <w:r>
        <w:t xml:space="preserve"> has </w:t>
      </w:r>
      <w:r>
        <w:rPr>
          <w:rStyle w:val="Text3"/>
        </w:rPr>
        <w:t>L</w:t>
      </w:r>
      <w:r>
        <w:t xml:space="preserve"> items, the index </w:t>
      </w:r>
      <w:r>
        <w:rPr>
          <w:rStyle w:val="Text3"/>
        </w:rPr>
        <w:t>n</w:t>
      </w:r>
      <w:r>
        <w:t xml:space="preserve"> may be </w:t>
      </w:r>
      <w:r>
        <w:rPr>
          <w:rStyle w:val="Text0"/>
        </w:rPr>
        <w:t>0</w:t>
      </w:r>
      <w:r>
        <w:t xml:space="preserve">, </w:t>
      </w:r>
      <w:r>
        <w:rPr>
          <w:rStyle w:val="Text0"/>
        </w:rPr>
        <w:t>1</w:t>
      </w:r>
      <w:r>
        <w:t xml:space="preserve">… up to and including </w:t>
      </w:r>
      <w:r>
        <w:rPr>
          <w:rStyle w:val="Text3"/>
        </w:rPr>
        <w:t>L</w:t>
      </w:r>
      <w:r>
        <w:rPr>
          <w:rStyle w:val="Text0"/>
        </w:rPr>
        <w:t>-1</w:t>
      </w:r>
      <w:r>
        <w:t xml:space="preserve">, but no larger. </w:t>
      </w:r>
      <w:r>
        <w:rPr>
          <w:rStyle w:val="Text3"/>
        </w:rPr>
        <w:t>n</w:t>
      </w:r>
      <w:r>
        <w:t xml:space="preserve"> may also be </w:t>
      </w:r>
      <w:r>
        <w:rPr>
          <w:rStyle w:val="Text0"/>
        </w:rPr>
        <w:t>–1</w:t>
      </w:r>
      <w:r>
        <w:t xml:space="preserve">, </w:t>
      </w:r>
      <w:r>
        <w:rPr>
          <w:rStyle w:val="Text0"/>
        </w:rPr>
        <w:t>–2</w:t>
      </w:r>
      <w:r>
        <w:t xml:space="preserve">… down to and including </w:t>
      </w:r>
      <w:r>
        <w:rPr>
          <w:rStyle w:val="Text3"/>
        </w:rPr>
        <w:t>-L</w:t>
      </w:r>
      <w:r>
        <w:t xml:space="preserve">, but no smaller. A negative </w:t>
      </w:r>
      <w:r>
        <w:rPr>
          <w:rStyle w:val="Text3"/>
        </w:rPr>
        <w:t>n</w:t>
      </w:r>
      <w:r>
        <w:t xml:space="preserve"> (e.g., </w:t>
      </w:r>
      <w:r>
        <w:rPr>
          <w:rStyle w:val="Text0"/>
        </w:rPr>
        <w:t>–1</w:t>
      </w:r>
      <w:r>
        <w:t xml:space="preserve">) denotes the same item in </w:t>
      </w:r>
      <w:r>
        <w:rPr>
          <w:rStyle w:val="Text3"/>
        </w:rPr>
        <w:t>S</w:t>
      </w:r>
      <w:r>
        <w:t xml:space="preserve"> as </w:t>
      </w:r>
      <w:r>
        <w:rPr>
          <w:rStyle w:val="Text3"/>
        </w:rPr>
        <w:t>L</w:t>
      </w:r>
      <w:r>
        <w:rPr>
          <w:rStyle w:val="Text0"/>
        </w:rPr>
        <w:t>+</w:t>
      </w:r>
      <w:r>
        <w:rPr>
          <w:rStyle w:val="Text3"/>
        </w:rPr>
        <w:t>n</w:t>
      </w:r>
      <w:r>
        <w:t xml:space="preserve"> (e.g., </w:t>
      </w:r>
      <w:r>
        <w:rPr>
          <w:rStyle w:val="Text3"/>
        </w:rPr>
        <w:t>L</w:t>
      </w:r>
      <w:r>
        <w:rPr>
          <w:rStyle w:val="Text0"/>
        </w:rPr>
        <w:t>-1</w:t>
      </w:r>
      <w:r>
        <w:t xml:space="preserve">) does. In other words, </w:t>
      </w:r>
      <w:r>
        <w:rPr>
          <w:rStyle w:val="Text3"/>
        </w:rPr>
        <w:t>S</w:t>
      </w:r>
      <w:r>
        <w:rPr>
          <w:rStyle w:val="Text0"/>
        </w:rPr>
        <w:t>[-1]</w:t>
      </w:r>
      <w:r>
        <w:t xml:space="preserve">, like </w:t>
      </w:r>
      <w:r>
        <w:rPr>
          <w:rStyle w:val="Text0"/>
        </w:rPr>
        <w:t>S[</w:t>
      </w:r>
      <w:r>
        <w:rPr>
          <w:rStyle w:val="Text3"/>
        </w:rPr>
        <w:t>L</w:t>
      </w:r>
      <w:r>
        <w:rPr>
          <w:rStyle w:val="Text0"/>
        </w:rPr>
        <w:t>-1]</w:t>
      </w:r>
      <w:r>
        <w:t xml:space="preserve">, is the last element of </w:t>
      </w:r>
      <w:r>
        <w:rPr>
          <w:rStyle w:val="Text3"/>
        </w:rPr>
        <w:t>S</w:t>
      </w:r>
      <w:r>
        <w:t xml:space="preserve">, </w:t>
      </w:r>
      <w:r>
        <w:rPr>
          <w:rStyle w:val="Text3"/>
        </w:rPr>
        <w:t>S</w:t>
      </w:r>
      <w:r>
        <w:rPr>
          <w:rStyle w:val="Text0"/>
        </w:rPr>
        <w:t>[-2]</w:t>
      </w:r>
      <w:r>
        <w:t xml:space="preserve"> is the next-to-last one, and so on. For example:</w:t>
      </w:r>
    </w:p>
    <w:p>
      <w:pPr>
        <w:pStyle w:val="Para 018"/>
      </w:pPr>
      <w:r>
        <w:rPr>
          <w:rStyle w:val="Text104"/>
        </w:rP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7"/>
        </w:rPr>
        <w:t xml:space="preserve">[</w:t>
        <w:br w:clear="none"/>
      </w:r>
      <w:r>
        <w:rPr>
          <w:rStyle w:val="Text27"/>
        </w:rPr>
        <w:t xml:space="preserve">10</w:t>
        <w:br w:clear="none"/>
      </w:r>
      <w:r>
        <w:rPr>
          <w:rStyle w:val="Text7"/>
        </w:rPr>
        <w:t xml:space="preserve">,</w:t>
        <w:br w:clear="none"/>
      </w:r>
      <w:r>
        <w:t xml:space="preserve"> </w:t>
        <w:br w:clear="none"/>
      </w:r>
      <w:r>
        <w:rPr>
          <w:rStyle w:val="Text27"/>
        </w:rPr>
        <w:t xml:space="preserve">20</w:t>
        <w:br w:clear="none"/>
      </w:r>
      <w:r>
        <w:rPr>
          <w:rStyle w:val="Text7"/>
        </w:rPr>
        <w:t xml:space="preserve">,</w:t>
        <w:br w:clear="none"/>
      </w:r>
      <w:r>
        <w:t xml:space="preserve"> </w:t>
        <w:br w:clear="none"/>
      </w:r>
      <w:r>
        <w:rPr>
          <w:rStyle w:val="Text27"/>
        </w:rPr>
        <w:t xml:space="preserve">30</w:t>
        <w:br w:clear="none"/>
      </w:r>
      <w:r>
        <w:rPr>
          <w:rStyle w:val="Text7"/>
        </w:rPr>
        <w:t xml:space="preserve">,</w:t>
        <w:br w:clear="none"/>
      </w:r>
      <w:r>
        <w:t xml:space="preserve"> </w:t>
        <w:br w:clear="none"/>
      </w:r>
      <w:r>
        <w:rPr>
          <w:rStyle w:val="Text27"/>
        </w:rPr>
        <w:t xml:space="preserve">40</w:t>
        <w:br w:clear="none"/>
      </w:r>
      <w:r>
        <w:rPr>
          <w:rStyle w:val="Text7"/>
        </w:rPr>
        <w:t xml:space="preserve">]</w:t>
        <w:br w:clear="none"/>
      </w:r>
      <w:r>
        <w:t xml:space="preserve"/>
        <w:br w:clear="none"/>
      </w:r>
      <w:r>
        <w:rPr>
          <w:rStyle w:val="Text9"/>
        </w:rPr>
        <w:t xml:space="preserve">x</w:t>
        <w:br w:clear="none"/>
      </w:r>
      <w:r>
        <w:rPr>
          <w:rStyle w:val="Text7"/>
        </w:rPr>
        <w:t xml:space="preserve">[</w:t>
        <w:br w:clear="none"/>
      </w:r>
      <w:r>
        <w:rPr>
          <w:rStyle w:val="Text27"/>
        </w:rPr>
        <w:t xml:space="preserve">1</w:t>
        <w:br w:clear="none"/>
      </w:r>
      <w:r>
        <w:rPr>
          <w:rStyle w:val="Text7"/>
        </w:rPr>
        <w:t xml:space="preserve">]</w:t>
        <w:br w:clear="none"/>
      </w:r>
      <w:r>
        <w:t xml:space="preserve">                  </w:t>
        <w:br w:clear="none"/>
      </w:r>
      <w:r>
        <w:rPr>
          <w:rStyle w:val="Text15"/>
        </w:rPr>
        <w:t xml:space="preserve"># 20</w:t>
        <w:br w:clear="none"/>
      </w:r>
      <w:r>
        <w:t xml:space="preserve"/>
        <w:br w:clear="none"/>
      </w:r>
      <w:r>
        <w:rPr>
          <w:rStyle w:val="Text9"/>
        </w:rPr>
        <w:t xml:space="preserve">x</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t xml:space="preserve">                 </w:t>
        <w:br w:clear="none"/>
      </w:r>
      <w:r>
        <w:rPr>
          <w:rStyle w:val="Text15"/>
        </w:rPr>
        <w:t xml:space="preserve"># 40</w:t>
        <w:br w:clear="none"/>
      </w:r>
    </w:p>
    <w:p>
      <w:pPr>
        <w:pStyle w:val="Normal"/>
      </w:pPr>
      <w:r>
        <w:t xml:space="preserve">Using an index </w:t>
      </w:r>
      <w:r>
        <w:rPr>
          <w:rStyle w:val="Text0"/>
        </w:rPr>
        <w:t>&gt;=</w:t>
      </w:r>
      <w:r>
        <w:rPr>
          <w:rStyle w:val="Text3"/>
        </w:rPr>
        <w:t>L</w:t>
      </w:r>
      <w:r>
        <w:t xml:space="preserve"> or </w:t>
      </w:r>
      <w:r>
        <w:rPr>
          <w:rStyle w:val="Text0"/>
        </w:rPr>
        <w:t>&lt;-</w:t>
      </w:r>
      <w:r>
        <w:rPr>
          <w:rStyle w:val="Text3"/>
        </w:rPr>
        <w:t>L</w:t>
      </w:r>
      <w:r>
        <w:t xml:space="preserve"> raises an exception. Assigning to an item with an invalid index also raises an exception. You can add elements to a list, but to do so you assign to a slice, not to an item, as we’ll discuss shortly.</w:t>
      </w:r>
    </w:p>
    <w:p>
      <w:bookmarkStart w:id="846" w:name="Slicing_a_sequence__To_indicate"/>
      <w:pPr>
        <w:keepNext/>
        <w:pStyle w:val="Heading 2"/>
      </w:pPr>
      <w:r>
        <w:t>Slicing a sequence</w:t>
      </w:r>
      <w:bookmarkEnd w:id="846"/>
    </w:p>
    <w:p>
      <w:pPr>
        <w:pStyle w:val="Normal"/>
      </w:pPr>
      <w:r>
        <w:t>To</w:t>
      </w:r>
      <w:r>
        <w:rPr>
          <w:rStyle w:val="Text111"/>
        </w:rPr>
        <w:bookmarkStart w:id="847" w:name="idm45965279980608"/>
        <w:t/>
        <w:bookmarkEnd w:id="847"/>
      </w:r>
      <w:r>
        <w:t xml:space="preserve"> indicate a subsequence of </w:t>
      </w:r>
      <w:r>
        <w:rPr>
          <w:rStyle w:val="Text3"/>
        </w:rPr>
        <w:t>S</w:t>
      </w:r>
      <w:r>
        <w:t>, you can use slicing, with the</w:t>
      </w:r>
      <w:r>
        <w:rPr>
          <w:rStyle w:val="Text111"/>
        </w:rPr>
        <w:bookmarkStart w:id="848" w:name="idm45965279953072"/>
        <w:t/>
        <w:bookmarkEnd w:id="848"/>
        <w:bookmarkStart w:id="849" w:name="idm45965279951568"/>
        <w:t/>
        <w:bookmarkEnd w:id="849"/>
      </w:r>
      <w:r>
        <w:t xml:space="preserve"> syntax </w:t>
      </w:r>
      <w:r>
        <w:rPr>
          <w:rStyle w:val="Text0"/>
        </w:rPr>
        <w:t>S[</w:t>
      </w:r>
      <w:r>
        <w:rPr>
          <w:rStyle w:val="Text3"/>
        </w:rPr>
        <w:t>i</w:t>
      </w:r>
      <w:r>
        <w:rPr>
          <w:rStyle w:val="Text0"/>
        </w:rPr>
        <w:t>:</w:t>
      </w:r>
      <w:r>
        <w:rPr>
          <w:rStyle w:val="Text3"/>
        </w:rPr>
        <w:t>j</w:t>
      </w:r>
      <w:r>
        <w:rPr>
          <w:rStyle w:val="Text0"/>
        </w:rPr>
        <w:t>]</w:t>
      </w:r>
      <w:r>
        <w:t xml:space="preserve">, where </w:t>
      </w:r>
      <w:r>
        <w:rPr>
          <w:rStyle w:val="Text3"/>
        </w:rPr>
        <w:t>i</w:t>
      </w:r>
      <w:r>
        <w:t xml:space="preserve"> and </w:t>
      </w:r>
      <w:r>
        <w:rPr>
          <w:rStyle w:val="Text3"/>
        </w:rPr>
        <w:t>j</w:t>
      </w:r>
      <w:r>
        <w:t xml:space="preserve"> are integers. </w:t>
      </w:r>
      <w:r>
        <w:rPr>
          <w:rStyle w:val="Text0"/>
        </w:rPr>
        <w:t>S[</w:t>
      </w:r>
      <w:r>
        <w:rPr>
          <w:rStyle w:val="Text3"/>
        </w:rPr>
        <w:t>i</w:t>
      </w:r>
      <w:r>
        <w:rPr>
          <w:rStyle w:val="Text0"/>
        </w:rPr>
        <w:t>:</w:t>
      </w:r>
      <w:r>
        <w:rPr>
          <w:rStyle w:val="Text3"/>
        </w:rPr>
        <w:t>j</w:t>
      </w:r>
      <w:r>
        <w:rPr>
          <w:rStyle w:val="Text0"/>
        </w:rPr>
        <w:t>]</w:t>
      </w:r>
      <w:r>
        <w:t xml:space="preserve"> is the subsequence of </w:t>
      </w:r>
      <w:r>
        <w:rPr>
          <w:rStyle w:val="Text3"/>
        </w:rPr>
        <w:t>S</w:t>
      </w:r>
      <w:r>
        <w:t xml:space="preserve"> from the </w:t>
      </w:r>
      <w:r>
        <w:rPr>
          <w:rStyle w:val="Text3"/>
        </w:rPr>
        <w:t>i</w:t>
      </w:r>
      <w:r>
        <w:t xml:space="preserve">th item, included, to the </w:t>
      </w:r>
      <w:r>
        <w:rPr>
          <w:rStyle w:val="Text3"/>
        </w:rPr>
        <w:t>j</w:t>
      </w:r>
      <w:r>
        <w:t xml:space="preserve">th item, excluded (in Python, ranges always include the lower bound and exclude the upper bound). A slice is an empty subsequence when </w:t>
      </w:r>
      <w:r>
        <w:rPr>
          <w:rStyle w:val="Text3"/>
        </w:rPr>
        <w:t>j</w:t>
      </w:r>
      <w:r>
        <w:t xml:space="preserve"> is less than or equal to </w:t>
      </w:r>
      <w:r>
        <w:rPr>
          <w:rStyle w:val="Text3"/>
        </w:rPr>
        <w:t>i</w:t>
      </w:r>
      <w:r>
        <w:t xml:space="preserve">, or when </w:t>
      </w:r>
      <w:r>
        <w:rPr>
          <w:rStyle w:val="Text3"/>
        </w:rPr>
        <w:t>i</w:t>
      </w:r>
      <w:r>
        <w:t xml:space="preserve"> is greater than or equal to </w:t>
      </w:r>
      <w:r>
        <w:rPr>
          <w:rStyle w:val="Text3"/>
        </w:rPr>
        <w:t>L</w:t>
      </w:r>
      <w:r>
        <w:t xml:space="preserve">, the length of </w:t>
      </w:r>
      <w:r>
        <w:rPr>
          <w:rStyle w:val="Text3"/>
        </w:rPr>
        <w:t>S</w:t>
      </w:r>
      <w:r>
        <w:t xml:space="preserve">. You can omit </w:t>
      </w:r>
      <w:r>
        <w:rPr>
          <w:rStyle w:val="Text3"/>
        </w:rPr>
        <w:t>i</w:t>
      </w:r>
      <w:r>
        <w:t xml:space="preserve"> when it is equal to </w:t>
      </w:r>
      <w:r>
        <w:rPr>
          <w:rStyle w:val="Text0"/>
        </w:rPr>
        <w:t>0</w:t>
      </w:r>
      <w:r>
        <w:t xml:space="preserve">, so that the slice begins from the start of </w:t>
      </w:r>
      <w:r>
        <w:rPr>
          <w:rStyle w:val="Text3"/>
        </w:rPr>
        <w:t>S</w:t>
      </w:r>
      <w:r>
        <w:t xml:space="preserve">. You can omit </w:t>
      </w:r>
      <w:r>
        <w:rPr>
          <w:rStyle w:val="Text3"/>
        </w:rPr>
        <w:t>j</w:t>
      </w:r>
      <w:r>
        <w:t xml:space="preserve"> when it is greater than or equal to </w:t>
      </w:r>
      <w:r>
        <w:rPr>
          <w:rStyle w:val="Text3"/>
        </w:rPr>
        <w:t>L</w:t>
      </w:r>
      <w:r>
        <w:t xml:space="preserve">, so that the slice extends all the way to the end of </w:t>
      </w:r>
      <w:r>
        <w:rPr>
          <w:rStyle w:val="Text3"/>
        </w:rPr>
        <w:t>S</w:t>
      </w:r>
      <w:r>
        <w:t xml:space="preserve">. You can even omit both indices, to mean a shallow copy of the entire sequence: </w:t>
      </w:r>
      <w:r>
        <w:rPr>
          <w:rStyle w:val="Text3"/>
        </w:rPr>
        <w:t>S</w:t>
      </w:r>
      <w:r>
        <w:rPr>
          <w:rStyle w:val="Text0"/>
        </w:rPr>
        <w:t>[:]</w:t>
      </w:r>
      <w:r>
        <w:t>. Either or both indices may be less than zero. Here are some examples:</w:t>
      </w:r>
    </w:p>
    <w:p>
      <w:pPr>
        <w:pStyle w:val="Para 018"/>
      </w:pPr>
      <w:r>
        <w:rPr>
          <w:rStyle w:val="Text104"/>
        </w:rP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7"/>
        </w:rPr>
        <w:t xml:space="preserve">[</w:t>
        <w:br w:clear="none"/>
      </w:r>
      <w:r>
        <w:rPr>
          <w:rStyle w:val="Text27"/>
        </w:rPr>
        <w:t xml:space="preserve">10</w:t>
        <w:br w:clear="none"/>
      </w:r>
      <w:r>
        <w:rPr>
          <w:rStyle w:val="Text7"/>
        </w:rPr>
        <w:t xml:space="preserve">,</w:t>
        <w:br w:clear="none"/>
      </w:r>
      <w:r>
        <w:t xml:space="preserve"> </w:t>
        <w:br w:clear="none"/>
      </w:r>
      <w:r>
        <w:rPr>
          <w:rStyle w:val="Text27"/>
        </w:rPr>
        <w:t xml:space="preserve">20</w:t>
        <w:br w:clear="none"/>
      </w:r>
      <w:r>
        <w:rPr>
          <w:rStyle w:val="Text7"/>
        </w:rPr>
        <w:t xml:space="preserve">,</w:t>
        <w:br w:clear="none"/>
      </w:r>
      <w:r>
        <w:t xml:space="preserve"> </w:t>
        <w:br w:clear="none"/>
      </w:r>
      <w:r>
        <w:rPr>
          <w:rStyle w:val="Text27"/>
        </w:rPr>
        <w:t xml:space="preserve">30</w:t>
        <w:br w:clear="none"/>
      </w:r>
      <w:r>
        <w:rPr>
          <w:rStyle w:val="Text7"/>
        </w:rPr>
        <w:t xml:space="preserve">,</w:t>
        <w:br w:clear="none"/>
      </w:r>
      <w:r>
        <w:t xml:space="preserve"> </w:t>
        <w:br w:clear="none"/>
      </w:r>
      <w:r>
        <w:rPr>
          <w:rStyle w:val="Text27"/>
        </w:rPr>
        <w:t xml:space="preserve">40</w:t>
        <w:br w:clear="none"/>
      </w:r>
      <w:r>
        <w:rPr>
          <w:rStyle w:val="Text7"/>
        </w:rPr>
        <w:t xml:space="preserve">]</w:t>
        <w:br w:clear="none"/>
      </w:r>
      <w:r>
        <w:t xml:space="preserve"/>
        <w:br w:clear="none"/>
      </w:r>
      <w:r>
        <w:rPr>
          <w:rStyle w:val="Text9"/>
        </w:rPr>
        <w:t xml:space="preserve">x</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3</w:t>
        <w:br w:clear="none"/>
      </w:r>
      <w:r>
        <w:rPr>
          <w:rStyle w:val="Text7"/>
        </w:rPr>
        <w:t xml:space="preserve">]</w:t>
        <w:br w:clear="none"/>
      </w:r>
      <w:r>
        <w:t xml:space="preserve">                   </w:t>
        <w:br w:clear="none"/>
      </w:r>
      <w:r>
        <w:rPr>
          <w:rStyle w:val="Text15"/>
        </w:rPr>
        <w:t xml:space="preserve"># [20, 30]</w:t>
        <w:br w:clear="none"/>
      </w:r>
      <w:r>
        <w:t xml:space="preserve"/>
        <w:br w:clear="none"/>
      </w:r>
      <w:r>
        <w:rPr>
          <w:rStyle w:val="Text9"/>
        </w:rPr>
        <w:t xml:space="preserve">x</w:t>
        <w:br w:clear="none"/>
      </w:r>
      <w:r>
        <w:rPr>
          <w:rStyle w:val="Text7"/>
        </w:rPr>
        <w:t xml:space="preserve">[</w:t>
        <w:br w:clear="none"/>
      </w:r>
      <w:r>
        <w:rPr>
          <w:rStyle w:val="Text27"/>
        </w:rPr>
        <w:t xml:space="preserve">1</w:t>
        <w:br w:clear="none"/>
      </w:r>
      <w:r>
        <w:rPr>
          <w:rStyle w:val="Text7"/>
        </w:rPr>
        <w:t xml:space="preserve">:</w:t>
        <w:br w:clear="none"/>
        <w:t xml:space="preserve">]</w:t>
        <w:br w:clear="none"/>
      </w:r>
      <w:r>
        <w:t xml:space="preserve">                    </w:t>
        <w:br w:clear="none"/>
      </w:r>
      <w:r>
        <w:rPr>
          <w:rStyle w:val="Text15"/>
        </w:rPr>
        <w:t xml:space="preserve"># [20, 30, 40]</w:t>
        <w:br w:clear="none"/>
      </w:r>
      <w:r>
        <w:t xml:space="preserve"/>
        <w:br w:clear="none"/>
      </w:r>
      <w:r>
        <w:rPr>
          <w:rStyle w:val="Text9"/>
        </w:rPr>
        <w:t xml:space="preserve">x</w:t>
        <w:br w:clear="none"/>
      </w:r>
      <w:r>
        <w:rPr>
          <w:rStyle w:val="Text7"/>
        </w:rPr>
        <w:t xml:space="preserve">[</w:t>
        <w:br w:clear="none"/>
        <w:t xml:space="preserve">:</w:t>
        <w:br w:clear="none"/>
      </w:r>
      <w:r>
        <w:rPr>
          <w:rStyle w:val="Text27"/>
        </w:rPr>
        <w:t xml:space="preserve">2</w:t>
        <w:br w:clear="none"/>
      </w:r>
      <w:r>
        <w:rPr>
          <w:rStyle w:val="Text7"/>
        </w:rPr>
        <w:t xml:space="preserve">]</w:t>
        <w:br w:clear="none"/>
      </w:r>
      <w:r>
        <w:t xml:space="preserve">                    </w:t>
        <w:br w:clear="none"/>
      </w:r>
      <w:r>
        <w:rPr>
          <w:rStyle w:val="Text15"/>
        </w:rPr>
        <w:t xml:space="preserve"># [10, 20]</w:t>
        <w:br w:clear="none"/>
      </w:r>
    </w:p>
    <w:p>
      <w:pPr>
        <w:pStyle w:val="Normal"/>
      </w:pPr>
      <w:r>
        <w:t xml:space="preserve">A negative index </w:t>
      </w:r>
      <w:r>
        <w:rPr>
          <w:rStyle w:val="Text3"/>
        </w:rPr>
        <w:t>n</w:t>
      </w:r>
      <w:r>
        <w:t xml:space="preserve"> in slicing indicates the same spot in </w:t>
      </w:r>
      <w:r>
        <w:rPr>
          <w:rStyle w:val="Text3"/>
        </w:rPr>
        <w:t>S</w:t>
      </w:r>
      <w:r>
        <w:t xml:space="preserve"> as </w:t>
      </w:r>
      <w:r>
        <w:rPr>
          <w:rStyle w:val="Text3"/>
        </w:rPr>
        <w:t>L</w:t>
      </w:r>
      <w:r>
        <w:rPr>
          <w:rStyle w:val="Text0"/>
        </w:rPr>
        <w:t>+</w:t>
      </w:r>
      <w:r>
        <w:rPr>
          <w:rStyle w:val="Text3"/>
        </w:rPr>
        <w:t>n</w:t>
      </w:r>
      <w:r>
        <w:t xml:space="preserve">, just like it does in indexing. An index greater than or equal to </w:t>
      </w:r>
      <w:r>
        <w:rPr>
          <w:rStyle w:val="Text3"/>
        </w:rPr>
        <w:t>L</w:t>
      </w:r>
      <w:r>
        <w:t xml:space="preserve"> means the end of </w:t>
      </w:r>
      <w:r>
        <w:rPr>
          <w:rStyle w:val="Text3"/>
        </w:rPr>
        <w:t>S</w:t>
      </w:r>
      <w:r>
        <w:t xml:space="preserve">, while a negative index less than or equal to </w:t>
      </w:r>
      <w:r>
        <w:rPr>
          <w:rStyle w:val="Text3"/>
        </w:rPr>
        <w:t>-L</w:t>
      </w:r>
      <w:r>
        <w:t xml:space="preserve"> means the start of </w:t>
      </w:r>
      <w:r>
        <w:rPr>
          <w:rStyle w:val="Text3"/>
        </w:rPr>
        <w:t>S</w:t>
      </w:r>
      <w:r>
        <w:t>.</w:t>
      </w:r>
    </w:p>
    <w:p>
      <w:pPr>
        <w:pStyle w:val="Normal"/>
      </w:pPr>
      <w:r>
        <w:t xml:space="preserve">Slicing can use the extended syntax </w:t>
      </w:r>
      <w:r>
        <w:rPr>
          <w:rStyle w:val="Text3"/>
        </w:rPr>
        <w:t>S</w:t>
      </w:r>
      <w:r>
        <w:rPr>
          <w:rStyle w:val="Text0"/>
        </w:rPr>
        <w:t>[</w:t>
      </w:r>
      <w:r>
        <w:rPr>
          <w:rStyle w:val="Text3"/>
        </w:rPr>
        <w:t>i</w:t>
      </w:r>
      <w:r>
        <w:rPr>
          <w:rStyle w:val="Text0"/>
        </w:rPr>
        <w:t>:</w:t>
      </w:r>
      <w:r>
        <w:rPr>
          <w:rStyle w:val="Text3"/>
        </w:rPr>
        <w:t>j</w:t>
      </w:r>
      <w:r>
        <w:rPr>
          <w:rStyle w:val="Text0"/>
        </w:rPr>
        <w:t>:</w:t>
      </w:r>
      <w:r>
        <w:rPr>
          <w:rStyle w:val="Text3"/>
        </w:rPr>
        <w:t>k</w:t>
      </w:r>
      <w:r>
        <w:rPr>
          <w:rStyle w:val="Text0"/>
        </w:rPr>
        <w:t>]</w:t>
      </w:r>
      <w:r>
        <w:t xml:space="preserve">. </w:t>
      </w:r>
      <w:r>
        <w:rPr>
          <w:rStyle w:val="Text3"/>
        </w:rPr>
        <w:t>k</w:t>
      </w:r>
      <w:r>
        <w:t xml:space="preserve"> is the </w:t>
      </w:r>
      <w:r>
        <w:rPr>
          <w:rStyle w:val="Text4"/>
        </w:rPr>
        <w:t>stride</w:t>
      </w:r>
      <w:r>
        <w:t xml:space="preserve"> of the slice, meaning the distance between successive indices. </w:t>
      </w:r>
      <w:r>
        <w:rPr>
          <w:rStyle w:val="Text3"/>
        </w:rPr>
        <w:t>S</w:t>
      </w:r>
      <w:r>
        <w:rPr>
          <w:rStyle w:val="Text0"/>
        </w:rPr>
        <w:t>[</w:t>
      </w:r>
      <w:r>
        <w:rPr>
          <w:rStyle w:val="Text3"/>
        </w:rPr>
        <w:t>i</w:t>
      </w:r>
      <w:r>
        <w:rPr>
          <w:rStyle w:val="Text0"/>
        </w:rPr>
        <w:t>:</w:t>
      </w:r>
      <w:r>
        <w:rPr>
          <w:rStyle w:val="Text3"/>
        </w:rPr>
        <w:t>j</w:t>
      </w:r>
      <w:r>
        <w:rPr>
          <w:rStyle w:val="Text0"/>
        </w:rPr>
        <w:t>]</w:t>
      </w:r>
      <w:r>
        <w:t xml:space="preserve"> is equivalent to </w:t>
      </w:r>
      <w:r>
        <w:rPr>
          <w:rStyle w:val="Text3"/>
        </w:rPr>
        <w:t>S</w:t>
      </w:r>
      <w:r>
        <w:rPr>
          <w:rStyle w:val="Text0"/>
        </w:rPr>
        <w:t>[</w:t>
      </w:r>
      <w:r>
        <w:rPr>
          <w:rStyle w:val="Text3"/>
        </w:rPr>
        <w:t>i</w:t>
      </w:r>
      <w:r>
        <w:rPr>
          <w:rStyle w:val="Text0"/>
        </w:rPr>
        <w:t>:</w:t>
      </w:r>
      <w:r>
        <w:rPr>
          <w:rStyle w:val="Text3"/>
        </w:rPr>
        <w:t>j</w:t>
      </w:r>
      <w:r>
        <w:rPr>
          <w:rStyle w:val="Text0"/>
        </w:rPr>
        <w:t>:</w:t>
      </w:r>
      <w:r>
        <w:rPr>
          <w:rStyle w:val="Text3"/>
        </w:rPr>
        <w:t>1</w:t>
      </w:r>
      <w:r>
        <w:rPr>
          <w:rStyle w:val="Text0"/>
        </w:rPr>
        <w:t>]</w:t>
      </w:r>
      <w:r>
        <w:t xml:space="preserve">, </w:t>
      </w:r>
      <w:r>
        <w:rPr>
          <w:rStyle w:val="Text3"/>
        </w:rPr>
        <w:t>S</w:t>
      </w:r>
      <w:r>
        <w:rPr>
          <w:rStyle w:val="Text0"/>
        </w:rPr>
        <w:t>[::2]</w:t>
      </w:r>
      <w:r>
        <w:t xml:space="preserve"> is the subsequence of </w:t>
      </w:r>
      <w:r>
        <w:rPr>
          <w:rStyle w:val="Text3"/>
        </w:rPr>
        <w:t>S</w:t>
      </w:r>
      <w:r>
        <w:t xml:space="preserve"> that includes all items that have an even index in </w:t>
      </w:r>
      <w:r>
        <w:rPr>
          <w:rStyle w:val="Text3"/>
        </w:rPr>
        <w:t>S</w:t>
      </w:r>
      <w:r>
        <w:t xml:space="preserve">, and </w:t>
      </w:r>
      <w:r>
        <w:rPr>
          <w:rStyle w:val="Text3"/>
        </w:rPr>
        <w:t>S</w:t>
      </w:r>
      <w:r>
        <w:rPr>
          <w:rStyle w:val="Text0"/>
        </w:rPr>
        <w:t>[::-1]</w:t>
      </w:r>
      <w:r>
        <w:t xml:space="preserve"> is a slicing, also whimsically known as “the Martian smiley,” with the same items as </w:t>
      </w:r>
      <w:r>
        <w:rPr>
          <w:rStyle w:val="Text3"/>
        </w:rPr>
        <w:t>S</w:t>
      </w:r>
      <w:r>
        <w:t xml:space="preserve"> but in reverse order. With a negative stride, in order to have a nonempty slice, the second (“stop”) index needs to be </w:t>
      </w:r>
      <w:r>
        <w:rPr>
          <w:rStyle w:val="Text4"/>
        </w:rPr>
        <w:t>smaller</w:t>
      </w:r>
      <w:r>
        <w:t xml:space="preserve"> than the first (“start”) one—the reverse of the condition that must hold when the stride is positive. A stride of </w:t>
      </w:r>
      <w:r>
        <w:rPr>
          <w:rStyle w:val="Text0"/>
        </w:rPr>
        <w:t>0</w:t>
      </w:r>
      <w:r>
        <w:t xml:space="preserve"> raises an exception. Here are some examples:</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list</w:t>
        <w:br w:clear="none"/>
      </w:r>
      <w:r>
        <w:rPr>
          <w:rStyle w:val="Text19"/>
        </w:rPr>
        <w:t xml:space="preserve">(</w:t>
        <w:br w:clear="none"/>
      </w:r>
      <w:r>
        <w:rPr>
          <w:rStyle w:val="Text21"/>
        </w:rPr>
        <w:t xml:space="preserve">range</w:t>
        <w:br w:clear="none"/>
      </w:r>
      <w:r>
        <w:rPr>
          <w:rStyle w:val="Text19"/>
        </w:rPr>
        <w:t xml:space="preserve">(</w:t>
        <w:br w:clear="none"/>
      </w:r>
      <w:r>
        <w:rPr>
          <w:rStyle w:val="Text35"/>
        </w:rPr>
        <w:t xml:space="preserve">10</w:t>
        <w:br w:clear="none"/>
      </w:r>
      <w:r>
        <w:rPr>
          <w:rStyle w:val="Text19"/>
        </w:rPr>
        <w:t xml:space="preserve">)</w:t>
        <w:br w:clear="none"/>
        <w:t xml:space="preserve">)</w:t>
        <w:br w:clear="none"/>
      </w:r>
      <w:r>
        <w:rPr>
          <w:rStyle w:val="Text11"/>
        </w:rPr>
        <w:t xml:space="preserve">  </w:t>
        <w:br w:clear="none"/>
      </w:r>
      <w:r>
        <w:t xml:space="preserve"># values from 0-9</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9"/>
        </w:rPr>
        <w:t xml:space="preserve">[</w:t>
        <w:br w:clear="none"/>
      </w:r>
      <w:r>
        <w:rPr>
          <w:rStyle w:val="Text28"/>
        </w:rPr>
        <w:t xml:space="preserve">-</w:t>
        <w:br w:clear="none"/>
      </w:r>
      <w:r>
        <w:rPr>
          <w:rStyle w:val="Text35"/>
        </w:rPr>
        <w:t xml:space="preserve">5</w:t>
        <w:br w:clear="none"/>
      </w:r>
      <w:r>
        <w:rPr>
          <w:rStyle w:val="Text19"/>
        </w:rPr>
        <w:t xml:space="preserve">:</w:t>
        <w:br w:clear="none"/>
        <w:t xml:space="preserve">]</w:t>
        <w:br w:clear="none"/>
      </w:r>
      <w:r>
        <w:rPr>
          <w:rStyle w:val="Text11"/>
        </w:rPr>
        <w:t xml:space="preserve">               </w:t>
        <w:br w:clear="none"/>
      </w:r>
      <w:r>
        <w:t xml:space="preserve"># last five items</w:t>
        <w:br w:clear="none"/>
      </w:r>
    </w:p>
    <w:p>
      <w:pPr>
        <w:pStyle w:val="Para 008"/>
      </w:pPr>
      <w:r>
        <w:rPr>
          <w:rStyle w:val="Text48"/>
        </w:rPr>
        <w:t xml:space="preserve"/>
        <w:br w:clear="none"/>
      </w:r>
      <w:r>
        <w:t xml:space="preserve">[5, 6, 7, 8, 9]</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9"/>
        </w:rPr>
        <w:t xml:space="preserve">[</w:t>
        <w:br w:clear="none"/>
        <w:t xml:space="preserve">:</w:t>
        <w:br w:clear="none"/>
        <w:t xml:space="preserve">:</w:t>
        <w:br w:clear="none"/>
      </w:r>
      <w:r>
        <w:rPr>
          <w:rStyle w:val="Text35"/>
        </w:rPr>
        <w:t xml:space="preserve">2</w:t>
        <w:br w:clear="none"/>
      </w:r>
      <w:r>
        <w:rPr>
          <w:rStyle w:val="Text19"/>
        </w:rPr>
        <w:t xml:space="preserve">]</w:t>
        <w:br w:clear="none"/>
      </w:r>
      <w:r>
        <w:rPr>
          <w:rStyle w:val="Text11"/>
        </w:rPr>
        <w:t xml:space="preserve">               </w:t>
        <w:br w:clear="none"/>
      </w:r>
      <w:r>
        <w:t xml:space="preserve"># every other item</w:t>
        <w:br w:clear="none"/>
      </w:r>
    </w:p>
    <w:p>
      <w:pPr>
        <w:pStyle w:val="Para 008"/>
      </w:pPr>
      <w:r>
        <w:rPr>
          <w:rStyle w:val="Text48"/>
        </w:rPr>
        <w:t xml:space="preserve"/>
        <w:br w:clear="none"/>
      </w:r>
      <w:r>
        <w:t xml:space="preserve">[0, 2, 4, 6, 8]</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9"/>
        </w:rPr>
        <w:t xml:space="preserve">[</w:t>
        <w:br w:clear="none"/>
      </w:r>
      <w:r>
        <w:rPr>
          <w:rStyle w:val="Text35"/>
        </w:rPr>
        <w:t xml:space="preserve">10</w:t>
        <w:br w:clear="none"/>
      </w:r>
      <w:r>
        <w:rPr>
          <w:rStyle w:val="Text19"/>
        </w:rPr>
        <w:t xml:space="preserve">:</w:t>
        <w:br w:clear="none"/>
      </w:r>
      <w:r>
        <w:rPr>
          <w:rStyle w:val="Text35"/>
        </w:rPr>
        <w:t xml:space="preserve">0</w:t>
        <w:br w:clear="none"/>
      </w:r>
      <w:r>
        <w:rPr>
          <w:rStyle w:val="Text19"/>
        </w:rPr>
        <w:t xml:space="preserve">:</w:t>
        <w:br w:clear="none"/>
      </w:r>
      <w:r>
        <w:rPr>
          <w:rStyle w:val="Text28"/>
        </w:rPr>
        <w:t xml:space="preserve">-</w:t>
        <w:br w:clear="none"/>
      </w:r>
      <w:r>
        <w:rPr>
          <w:rStyle w:val="Text35"/>
        </w:rPr>
        <w:t xml:space="preserve">2</w:t>
        <w:br w:clear="none"/>
      </w:r>
      <w:r>
        <w:rPr>
          <w:rStyle w:val="Text19"/>
        </w:rPr>
        <w:t xml:space="preserve">]</w:t>
        <w:br w:clear="none"/>
      </w:r>
      <w:r>
        <w:rPr>
          <w:rStyle w:val="Text11"/>
        </w:rPr>
        <w:t xml:space="preserve">           </w:t>
        <w:br w:clear="none"/>
      </w:r>
      <w:r>
        <w:t xml:space="preserve"># every other item, in reverse order</w:t>
        <w:br w:clear="none"/>
      </w:r>
    </w:p>
    <w:p>
      <w:pPr>
        <w:pStyle w:val="Para 008"/>
      </w:pPr>
      <w:r>
        <w:rPr>
          <w:rStyle w:val="Text48"/>
        </w:rPr>
        <w:t xml:space="preserve"/>
        <w:br w:clear="none"/>
      </w:r>
      <w:r>
        <w:t xml:space="preserve">[9, 7, 5, 3, 1]</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9"/>
        </w:rPr>
        <w:t xml:space="preserve">[</w:t>
        <w:br w:clear="none"/>
        <w:t xml:space="preserve">:</w:t>
        <w:br w:clear="none"/>
      </w:r>
      <w:r>
        <w:rPr>
          <w:rStyle w:val="Text35"/>
        </w:rPr>
        <w:t xml:space="preserve">0</w:t>
        <w:br w:clear="none"/>
      </w:r>
      <w:r>
        <w:rPr>
          <w:rStyle w:val="Text19"/>
        </w:rPr>
        <w:t xml:space="preserve">:</w:t>
        <w:br w:clear="none"/>
      </w:r>
      <w:r>
        <w:rPr>
          <w:rStyle w:val="Text28"/>
        </w:rPr>
        <w:t xml:space="preserve">-</w:t>
        <w:br w:clear="none"/>
      </w:r>
      <w:r>
        <w:rPr>
          <w:rStyle w:val="Text35"/>
        </w:rPr>
        <w:t xml:space="preserve">2</w:t>
        <w:br w:clear="none"/>
      </w:r>
      <w:r>
        <w:rPr>
          <w:rStyle w:val="Text19"/>
        </w:rPr>
        <w:t xml:space="preserve">]</w:t>
        <w:br w:clear="none"/>
      </w:r>
      <w:r>
        <w:rPr>
          <w:rStyle w:val="Text11"/>
        </w:rPr>
        <w:t xml:space="preserve">             </w:t>
        <w:br w:clear="none"/>
      </w:r>
      <w:r>
        <w:t xml:space="preserve"># every other item, in reverse order (simpler)</w:t>
        <w:br w:clear="none"/>
      </w:r>
    </w:p>
    <w:p>
      <w:pPr>
        <w:pStyle w:val="Para 008"/>
      </w:pPr>
      <w:r>
        <w:rPr>
          <w:rStyle w:val="Text48"/>
        </w:rPr>
        <w:t xml:space="preserve"/>
        <w:br w:clear="none"/>
      </w:r>
      <w:r>
        <w:t xml:space="preserve">[9, 7, 5, 3, 1]</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y</w:t>
        <w:br w:clear="none"/>
      </w:r>
      <w:r>
        <w:rPr>
          <w:rStyle w:val="Text19"/>
        </w:rPr>
        <w:t xml:space="preserve">[</w:t>
        <w:br w:clear="none"/>
        <w:t xml:space="preserve">:</w:t>
        <w:br w:clear="none"/>
        <w:t xml:space="preserve">:</w:t>
        <w:br w:clear="none"/>
      </w:r>
      <w:r>
        <w:rPr>
          <w:rStyle w:val="Text28"/>
        </w:rPr>
        <w:t xml:space="preserve">-</w:t>
        <w:br w:clear="none"/>
      </w:r>
      <w:r>
        <w:rPr>
          <w:rStyle w:val="Text35"/>
        </w:rPr>
        <w:t xml:space="preserve">2</w:t>
        <w:br w:clear="none"/>
      </w:r>
      <w:r>
        <w:rPr>
          <w:rStyle w:val="Text19"/>
        </w:rPr>
        <w:t xml:space="preserve">]</w:t>
        <w:br w:clear="none"/>
      </w:r>
      <w:r>
        <w:rPr>
          <w:rStyle w:val="Text11"/>
        </w:rPr>
        <w:t xml:space="preserve">              </w:t>
        <w:br w:clear="none"/>
      </w:r>
      <w:r>
        <w:t xml:space="preserve"># every other item, in reverse order (best)</w:t>
        <w:br w:clear="none"/>
      </w:r>
    </w:p>
    <w:p>
      <w:pPr>
        <w:pStyle w:val="Para 008"/>
      </w:pPr>
      <w:r>
        <w:rPr>
          <w:rStyle w:val="Text48"/>
        </w:rPr>
        <w:t xml:space="preserve"/>
        <w:br w:clear="none"/>
      </w:r>
      <w:r>
        <w:t xml:space="preserve">[9, 7, 5, 3, 1]</w:t>
        <w:br w:clear="none"/>
      </w:r>
    </w:p>
    <w:p>
      <w:bookmarkStart w:id="850" w:name="Strings__String_objects__both_st"/>
      <w:pPr>
        <w:keepNext/>
        <w:pStyle w:val="Heading 2"/>
      </w:pPr>
      <w:r>
        <w:t>Strings</w:t>
      </w:r>
      <w:bookmarkEnd w:id="850"/>
    </w:p>
    <w:p>
      <w:pPr>
        <w:pStyle w:val="Normal"/>
      </w:pPr>
      <w:r>
        <w:t>String objects</w:t>
      </w:r>
      <w:r>
        <w:rPr>
          <w:rStyle w:val="Text111"/>
        </w:rPr>
        <w:bookmarkStart w:id="851" w:name="idm45965280376320"/>
        <w:t/>
        <w:bookmarkEnd w:id="851"/>
        <w:bookmarkStart w:id="852" w:name="idm45965280374528"/>
        <w:t/>
        <w:bookmarkEnd w:id="852"/>
      </w:r>
      <w:r>
        <w:t xml:space="preserve"> (both </w:t>
      </w:r>
      <w:r>
        <w:rPr>
          <w:rStyle w:val="Text0"/>
        </w:rPr>
        <w:t>str</w:t>
      </w:r>
      <w:r>
        <w:t xml:space="preserve"> and </w:t>
      </w:r>
      <w:r>
        <w:rPr>
          <w:rStyle w:val="Text0"/>
        </w:rPr>
        <w:t>bytes</w:t>
      </w:r>
      <w:r>
        <w:t xml:space="preserve">) are immutable: attempting to rebind or delete an item or slice of a string raises an exception. (Python also has a built-in type that is mutable but otherwise equivalent to </w:t>
      </w:r>
      <w:r>
        <w:rPr>
          <w:rStyle w:val="Text0"/>
        </w:rPr>
        <w:t>bytes</w:t>
      </w:r>
      <w:r>
        <w:t xml:space="preserve">: </w:t>
      </w:r>
      <w:r>
        <w:rPr>
          <w:rStyle w:val="Text0"/>
        </w:rPr>
        <w:t>bytearray</w:t>
      </w:r>
      <w:r>
        <w:t xml:space="preserve"> (see </w:t>
      </w:r>
      <w:hyperlink w:anchor="bytearray_objects__A_bytearray_i">
        <w:r>
          <w:rPr>
            <w:rStyle w:val="Text1"/>
          </w:rPr>
          <w:t>“bytearray objects”</w:t>
        </w:r>
      </w:hyperlink>
      <w:r>
        <w:t xml:space="preserve">). The items of a text string (each of the characters in the string) are themselves text strings, each of length 1—Python has no special data type for “single characters” (the items of a </w:t>
      </w:r>
      <w:r>
        <w:rPr>
          <w:rStyle w:val="Text0"/>
        </w:rPr>
        <w:t>bytes</w:t>
      </w:r>
      <w:r>
        <w:t xml:space="preserve"> or </w:t>
      </w:r>
      <w:r>
        <w:rPr>
          <w:rStyle w:val="Text0"/>
        </w:rPr>
        <w:t>bytearray</w:t>
      </w:r>
      <w:r>
        <w:t xml:space="preserve"> object are </w:t>
      </w:r>
      <w:r>
        <w:rPr>
          <w:rStyle w:val="Text0"/>
        </w:rPr>
        <w:t>int</w:t>
      </w:r>
      <w:r>
        <w:t xml:space="preserve">s). All slices of a string are strings of the same kind. String objects have many methods, covered in </w:t>
      </w:r>
      <w:hyperlink w:anchor="Methods_of_String_Objects__str">
        <w:r>
          <w:rPr>
            <w:rStyle w:val="Text1"/>
          </w:rPr>
          <w:t>“Methods of String Objects”</w:t>
        </w:r>
      </w:hyperlink>
      <w:r>
        <w:t>.</w:t>
      </w:r>
    </w:p>
    <w:p>
      <w:bookmarkStart w:id="853" w:name="Tuples__Tuple_objects_are_immuta"/>
      <w:pPr>
        <w:keepNext/>
        <w:pStyle w:val="Heading 2"/>
      </w:pPr>
      <w:r>
        <w:t>Tuples</w:t>
      </w:r>
      <w:bookmarkEnd w:id="853"/>
    </w:p>
    <w:p>
      <w:pPr>
        <w:pStyle w:val="Normal"/>
      </w:pPr>
      <w:r>
        <w:t>Tuple</w:t>
      </w:r>
      <w:r>
        <w:rPr>
          <w:rStyle w:val="Text111"/>
        </w:rPr>
        <w:bookmarkStart w:id="854" w:name="idm45965280342768"/>
        <w:t/>
        <w:bookmarkEnd w:id="854"/>
        <w:bookmarkStart w:id="855" w:name="idm45965280341360"/>
        <w:t/>
        <w:bookmarkEnd w:id="855"/>
        <w:bookmarkStart w:id="856" w:name="idm45965280340256"/>
        <w:t/>
        <w:bookmarkEnd w:id="856"/>
      </w:r>
      <w:r>
        <w:t xml:space="preserve"> objects are immutable: therefore, attempting to rebind or delete an item or slice of a tuple raises an exception. The items of a tuple are arbitrary objects and may be of different types; tuple items may be mutable, but we recommend not mutating them, as doing so can be confusing. The slices of a tuple are also tuples. Tuples have no normal (nonspecial) methods, except</w:t>
      </w:r>
      <w:r>
        <w:rPr>
          <w:rStyle w:val="Text111"/>
        </w:rPr>
        <w:bookmarkStart w:id="857" w:name="idm45965280338752"/>
        <w:t/>
        <w:bookmarkEnd w:id="857"/>
      </w:r>
      <w:r>
        <w:t xml:space="preserve"> </w:t>
      </w:r>
      <w:r>
        <w:rPr>
          <w:rStyle w:val="Text0"/>
        </w:rPr>
        <w:t>count</w:t>
      </w:r>
      <w:r>
        <w:t xml:space="preserve"> and </w:t>
      </w:r>
      <w:r>
        <w:rPr>
          <w:rStyle w:val="Text0"/>
        </w:rPr>
        <w:t>index</w:t>
      </w:r>
      <w:r>
        <w:t xml:space="preserve">, with the same meanings as for lists; they do have many of the special methods covered in </w:t>
      </w:r>
      <w:hyperlink w:anchor="Special_Methods__A_class_may_def">
        <w:r>
          <w:rPr>
            <w:rStyle w:val="Text1"/>
          </w:rPr>
          <w:t>“Special Methods”</w:t>
        </w:r>
      </w:hyperlink>
      <w:r>
        <w:t>.</w:t>
      </w:r>
    </w:p>
    <w:p>
      <w:bookmarkStart w:id="858" w:name="Lists__List_objects_are_mutable"/>
      <w:pPr>
        <w:keepNext/>
        <w:pStyle w:val="Heading 2"/>
      </w:pPr>
      <w:r>
        <w:t>Lists</w:t>
      </w:r>
      <w:bookmarkEnd w:id="858"/>
    </w:p>
    <w:p>
      <w:pPr>
        <w:pStyle w:val="Normal"/>
      </w:pPr>
      <w:r>
        <w:t>List</w:t>
      </w:r>
      <w:r>
        <w:rPr>
          <w:rStyle w:val="Text111"/>
        </w:rPr>
        <w:bookmarkStart w:id="859" w:name="idm45965280332736"/>
        <w:t/>
        <w:bookmarkEnd w:id="859"/>
      </w:r>
      <w:r>
        <w:t xml:space="preserve"> objects are mutable: you may rebind or delete items and slices of a list. Items of a list are arbitrary objects and may be of different types. Slices of a list are lists.</w:t>
      </w:r>
    </w:p>
    <w:p>
      <w:bookmarkStart w:id="860" w:name="Modifying_a_list__You_can_modify"/>
      <w:pPr>
        <w:keepNext/>
        <w:pStyle w:val="Heading 2"/>
      </w:pPr>
      <w:r>
        <w:t>Modifying a list</w:t>
      </w:r>
      <w:bookmarkEnd w:id="860"/>
    </w:p>
    <w:p>
      <w:pPr>
        <w:pStyle w:val="Normal"/>
      </w:pPr>
      <w:r>
        <w:t>You</w:t>
      </w:r>
      <w:r>
        <w:rPr>
          <w:rStyle w:val="Text111"/>
        </w:rPr>
        <w:bookmarkStart w:id="861" w:name="idm45965280329072"/>
        <w:t/>
        <w:bookmarkEnd w:id="861"/>
      </w:r>
      <w:r>
        <w:t xml:space="preserve"> can modify (rebind) a single item in a list by assigning to an indexing. For instance:</w:t>
      </w:r>
    </w:p>
    <w:p>
      <w:pPr>
        <w:pStyle w:val="Para 014"/>
      </w:pPr>
      <w:r>
        <w:rPr>
          <w:rStyle w:val="Text116"/>
        </w:rPr>
        <w:t xml:space="preserve"/>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t>
        <w:br w:clear="none"/>
      </w:r>
      <w:r>
        <w:rPr>
          <w:rStyle w:val="Text35"/>
        </w:rPr>
        <w:t xml:space="preserve">4</w:t>
        <w:br w:clear="none"/>
      </w:r>
      <w:r>
        <w:rPr>
          <w:rStyle w:val="Text19"/>
        </w:rPr>
        <w:t xml:space="preserve">]</w:t>
        <w:br w:clear="none"/>
      </w:r>
      <w:r>
        <w:rPr>
          <w:rStyle w:val="Text11"/>
        </w:rPr>
        <w:t xml:space="preserve"/>
        <w:br w:clear="none"/>
      </w:r>
      <w:r>
        <w:rPr>
          <w:rStyle w:val="Text14"/>
        </w:rPr>
        <w:t xml:space="preserve">x</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42</w:t>
        <w:br w:clear="none"/>
      </w:r>
      <w:r>
        <w:rPr>
          <w:rStyle w:val="Text11"/>
        </w:rPr>
        <w:t xml:space="preserve">                </w:t>
        <w:br w:clear="none"/>
      </w:r>
      <w:r>
        <w:t xml:space="preserve"># x is now [1, 42, 3, 4]</w:t>
        <w:br w:clear="none"/>
      </w:r>
    </w:p>
    <w:p>
      <w:pPr>
        <w:pStyle w:val="Normal"/>
      </w:pPr>
      <w:r>
        <w:t xml:space="preserve">Another way to modify a list object </w:t>
      </w:r>
      <w:r>
        <w:rPr>
          <w:rStyle w:val="Text3"/>
        </w:rPr>
        <w:t>L</w:t>
      </w:r>
      <w:r>
        <w:t xml:space="preserve"> is to use a slice of </w:t>
      </w:r>
      <w:r>
        <w:rPr>
          <w:rStyle w:val="Text3"/>
        </w:rPr>
        <w:t>L</w:t>
      </w:r>
      <w:r>
        <w:t xml:space="preserve"> as the target (LHS) of an assignment statement. The RHS of the assignment must be an iterable. When the LHS slice is in extended form (i.e., the slicing specifies a stride other than </w:t>
      </w:r>
      <w:r>
        <w:rPr>
          <w:rStyle w:val="Text0"/>
        </w:rPr>
        <w:t>1</w:t>
      </w:r>
      <w:r>
        <w:t xml:space="preserve">), then the RHS must have just as many items as the number of items in the LHS slice. When the LHS slicing does not specify a stride, or explicitly specifies a stride of </w:t>
      </w:r>
      <w:r>
        <w:rPr>
          <w:rStyle w:val="Text0"/>
        </w:rPr>
        <w:t>1</w:t>
      </w:r>
      <w:r>
        <w:t>, the LHS slice and the RHS may each be of any length; assigning to such a slice of a list can make the list longer or shorter. For example:</w:t>
      </w:r>
    </w:p>
    <w:p>
      <w:pPr>
        <w:pStyle w:val="Para 014"/>
      </w:pPr>
      <w:r>
        <w:rPr>
          <w:rStyle w:val="Text116"/>
        </w:rPr>
        <w:t xml:space="preserve"/>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10</w:t>
        <w:br w:clear="none"/>
      </w:r>
      <w:r>
        <w:rPr>
          <w:rStyle w:val="Text19"/>
        </w:rPr>
        <w:t xml:space="preserve">,</w:t>
        <w:br w:clear="none"/>
      </w:r>
      <w:r>
        <w:rPr>
          <w:rStyle w:val="Text11"/>
        </w:rPr>
        <w:t xml:space="preserve"> </w:t>
        <w:br w:clear="none"/>
      </w:r>
      <w:r>
        <w:rPr>
          <w:rStyle w:val="Text35"/>
        </w:rPr>
        <w:t xml:space="preserve">20</w:t>
        <w:br w:clear="none"/>
      </w:r>
      <w:r>
        <w:rPr>
          <w:rStyle w:val="Text19"/>
        </w:rPr>
        <w:t xml:space="preserve">,</w:t>
        <w:br w:clear="none"/>
      </w:r>
      <w:r>
        <w:rPr>
          <w:rStyle w:val="Text11"/>
        </w:rPr>
        <w:t xml:space="preserve"> </w:t>
        <w:br w:clear="none"/>
      </w:r>
      <w:r>
        <w:rPr>
          <w:rStyle w:val="Text35"/>
        </w:rPr>
        <w:t xml:space="preserve">30</w:t>
        <w:br w:clear="none"/>
      </w:r>
      <w:r>
        <w:rPr>
          <w:rStyle w:val="Text19"/>
        </w:rPr>
        <w:t xml:space="preserve">,</w:t>
        <w:br w:clear="none"/>
      </w:r>
      <w:r>
        <w:rPr>
          <w:rStyle w:val="Text11"/>
        </w:rPr>
        <w:t xml:space="preserve"> </w:t>
        <w:br w:clear="none"/>
      </w:r>
      <w:r>
        <w:rPr>
          <w:rStyle w:val="Text35"/>
        </w:rPr>
        <w:t xml:space="preserve">40</w:t>
        <w:br w:clear="none"/>
      </w:r>
      <w:r>
        <w:rPr>
          <w:rStyle w:val="Text19"/>
        </w:rPr>
        <w:t xml:space="preserve">,</w:t>
        <w:br w:clear="none"/>
      </w:r>
      <w:r>
        <w:rPr>
          <w:rStyle w:val="Text11"/>
        </w:rPr>
        <w:t xml:space="preserve"> </w:t>
        <w:br w:clear="none"/>
      </w:r>
      <w:r>
        <w:rPr>
          <w:rStyle w:val="Text35"/>
        </w:rPr>
        <w:t xml:space="preserve">50</w:t>
        <w:br w:clear="none"/>
      </w:r>
      <w:r>
        <w:rPr>
          <w:rStyle w:val="Text19"/>
        </w:rPr>
        <w:t xml:space="preserve">]</w:t>
        <w:br w:clear="none"/>
      </w:r>
      <w:r>
        <w:rPr>
          <w:rStyle w:val="Text11"/>
        </w:rPr>
        <w:t xml:space="preserve"/>
        <w:br w:clear="none"/>
      </w:r>
      <w:r>
        <w:t xml:space="preserve"># replace items 1 and 2</w:t>
        <w:br w:clear="none"/>
      </w:r>
      <w:r>
        <w:rPr>
          <w:rStyle w:val="Text11"/>
        </w:rPr>
        <w:t xml:space="preserve"/>
        <w:br w:clear="none"/>
      </w:r>
      <w:r>
        <w:rPr>
          <w:rStyle w:val="Text14"/>
        </w:rPr>
        <w:t xml:space="preserve">x</w:t>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3</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22</w:t>
        <w:br w:clear="none"/>
      </w:r>
      <w:r>
        <w:rPr>
          <w:rStyle w:val="Text19"/>
        </w:rPr>
        <w:t xml:space="preserve">,</w:t>
        <w:br w:clear="none"/>
      </w:r>
      <w:r>
        <w:rPr>
          <w:rStyle w:val="Text11"/>
        </w:rPr>
        <w:t xml:space="preserve"> </w:t>
        <w:br w:clear="none"/>
      </w:r>
      <w:r>
        <w:rPr>
          <w:rStyle w:val="Text35"/>
        </w:rPr>
        <w:t xml:space="preserve">33</w:t>
        <w:br w:clear="none"/>
      </w:r>
      <w:r>
        <w:rPr>
          <w:rStyle w:val="Text19"/>
        </w:rPr>
        <w:t xml:space="preserve">,</w:t>
        <w:br w:clear="none"/>
      </w:r>
      <w:r>
        <w:rPr>
          <w:rStyle w:val="Text11"/>
        </w:rPr>
        <w:t xml:space="preserve"> </w:t>
        <w:br w:clear="none"/>
      </w:r>
      <w:r>
        <w:rPr>
          <w:rStyle w:val="Text35"/>
        </w:rPr>
        <w:t xml:space="preserve">44</w:t>
        <w:br w:clear="none"/>
      </w:r>
      <w:r>
        <w:rPr>
          <w:rStyle w:val="Text19"/>
        </w:rPr>
        <w:t xml:space="preserve">]</w:t>
        <w:br w:clear="none"/>
      </w:r>
      <w:r>
        <w:rPr>
          <w:rStyle w:val="Text11"/>
        </w:rPr>
        <w:t xml:space="preserve">    </w:t>
        <w:br w:clear="none"/>
      </w:r>
      <w:r>
        <w:t xml:space="preserve"># x is now [10, 22, 33, 44, 40, 50]</w:t>
        <w:br w:clear="none"/>
      </w:r>
      <w:r>
        <w:rPr>
          <w:rStyle w:val="Text11"/>
        </w:rPr>
        <w:t xml:space="preserve"/>
        <w:br w:clear="none"/>
      </w:r>
      <w:r>
        <w:t xml:space="preserve"># replace items 1-3</w:t>
        <w:br w:clear="none"/>
      </w:r>
      <w:r>
        <w:rPr>
          <w:rStyle w:val="Text11"/>
        </w:rPr>
        <w:t xml:space="preserve"/>
        <w:br w:clear="none"/>
      </w:r>
      <w:r>
        <w:rPr>
          <w:rStyle w:val="Text14"/>
        </w:rPr>
        <w:t xml:space="preserve">x</w:t>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4</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88</w:t>
        <w:br w:clear="none"/>
      </w:r>
      <w:r>
        <w:rPr>
          <w:rStyle w:val="Text19"/>
        </w:rPr>
        <w:t xml:space="preserve">,</w:t>
        <w:br w:clear="none"/>
      </w:r>
      <w:r>
        <w:rPr>
          <w:rStyle w:val="Text11"/>
        </w:rPr>
        <w:t xml:space="preserve"> </w:t>
        <w:br w:clear="none"/>
      </w:r>
      <w:r>
        <w:rPr>
          <w:rStyle w:val="Text35"/>
        </w:rPr>
        <w:t xml:space="preserve">99</w:t>
        <w:br w:clear="none"/>
      </w:r>
      <w:r>
        <w:rPr>
          <w:rStyle w:val="Text19"/>
        </w:rPr>
        <w:t xml:space="preserve">]</w:t>
        <w:br w:clear="none"/>
      </w:r>
      <w:r>
        <w:rPr>
          <w:rStyle w:val="Text11"/>
        </w:rPr>
        <w:t xml:space="preserve">        </w:t>
        <w:br w:clear="none"/>
      </w:r>
      <w:r>
        <w:t xml:space="preserve"># x is now [10, 88, 99, 40, 50]</w:t>
        <w:br w:clear="none"/>
      </w:r>
    </w:p>
    <w:p>
      <w:pPr>
        <w:pStyle w:val="Normal"/>
      </w:pPr>
      <w:r>
        <w:t>There are some important special cases of assignment to slices:</w:t>
      </w:r>
    </w:p>
    <w:p>
      <w:pPr>
        <w:pStyle w:val="Para 010"/>
      </w:pPr>
      <w:r>
        <w:t xml:space="preserve">Using the empty list </w:t>
      </w:r>
      <w:r>
        <w:rPr>
          <w:rStyle w:val="Text0"/>
        </w:rPr>
        <w:t>[]</w:t>
      </w:r>
      <w:r>
        <w:t xml:space="preserve"> as the RHS expression removes the target slice from </w:t>
      </w:r>
      <w:r>
        <w:rPr>
          <w:rStyle w:val="Text3"/>
        </w:rPr>
        <w:t>L</w:t>
      </w:r>
      <w:r>
        <w:t xml:space="preserve">. In other words, </w:t>
      </w:r>
      <w:r>
        <w:rPr>
          <w:rStyle w:val="Text3"/>
        </w:rPr>
        <w:t>L</w:t>
      </w:r>
      <w:r>
        <w:rPr>
          <w:rStyle w:val="Text0"/>
        </w:rPr>
        <w:t>[</w:t>
      </w:r>
      <w:r>
        <w:rPr>
          <w:rStyle w:val="Text3"/>
        </w:rPr>
        <w:t>i</w:t>
      </w:r>
      <w:r>
        <w:rPr>
          <w:rStyle w:val="Text0"/>
        </w:rPr>
        <w:t>:</w:t>
      </w:r>
      <w:r>
        <w:rPr>
          <w:rStyle w:val="Text3"/>
        </w:rPr>
        <w:t>j</w:t>
      </w:r>
      <w:r>
        <w:rPr>
          <w:rStyle w:val="Text0"/>
        </w:rPr>
        <w:t>] = []</w:t>
      </w:r>
      <w:r>
        <w:t xml:space="preserve"> has the same effect as </w:t>
      </w:r>
      <w:r>
        <w:rPr>
          <w:rStyle w:val="Text5"/>
        </w:rPr>
        <w:t>del</w:t>
      </w:r>
      <w:r>
        <w:t xml:space="preserve"> </w:t>
      </w:r>
      <w:r>
        <w:rPr>
          <w:rStyle w:val="Text3"/>
        </w:rPr>
        <w:t>L</w:t>
      </w:r>
      <w:r>
        <w:rPr>
          <w:rStyle w:val="Text0"/>
        </w:rPr>
        <w:t>[</w:t>
      </w:r>
      <w:r>
        <w:rPr>
          <w:rStyle w:val="Text3"/>
        </w:rPr>
        <w:t>i</w:t>
      </w:r>
      <w:r>
        <w:rPr>
          <w:rStyle w:val="Text0"/>
        </w:rPr>
        <w:t>:</w:t>
      </w:r>
      <w:r>
        <w:rPr>
          <w:rStyle w:val="Text3"/>
        </w:rPr>
        <w:t>j</w:t>
      </w:r>
      <w:r>
        <w:rPr>
          <w:rStyle w:val="Text0"/>
        </w:rPr>
        <w:t>]</w:t>
      </w:r>
      <w:r>
        <w:t xml:space="preserve"> (or the peculiar statement </w:t>
      </w:r>
      <w:r>
        <w:rPr>
          <w:rStyle w:val="Text3"/>
        </w:rPr>
        <w:t>L</w:t>
      </w:r>
      <w:r>
        <w:rPr>
          <w:rStyle w:val="Text0"/>
        </w:rPr>
        <w:t>[</w:t>
      </w:r>
      <w:r>
        <w:rPr>
          <w:rStyle w:val="Text3"/>
        </w:rPr>
        <w:t>i</w:t>
      </w:r>
      <w:r>
        <w:rPr>
          <w:rStyle w:val="Text0"/>
        </w:rPr>
        <w:t>:</w:t>
      </w:r>
      <w:r>
        <w:rPr>
          <w:rStyle w:val="Text3"/>
        </w:rPr>
        <w:t>j</w:t>
      </w:r>
      <w:r>
        <w:rPr>
          <w:rStyle w:val="Text0"/>
        </w:rPr>
        <w:t>] *= 0</w:t>
      </w:r>
      <w:r>
        <w:t>).</w:t>
      </w:r>
    </w:p>
    <w:p>
      <w:pPr>
        <w:pStyle w:val="Para 010"/>
      </w:pPr>
      <w:r>
        <w:t xml:space="preserve">Using an empty slice of </w:t>
      </w:r>
      <w:r>
        <w:rPr>
          <w:rStyle w:val="Text3"/>
        </w:rPr>
        <w:t>L</w:t>
      </w:r>
      <w:r>
        <w:t xml:space="preserve"> as the LHS target inserts the items of the RHS at the appropriate spot in </w:t>
      </w:r>
      <w:r>
        <w:rPr>
          <w:rStyle w:val="Text3"/>
        </w:rPr>
        <w:t>L</w:t>
      </w:r>
      <w:r>
        <w:t xml:space="preserve">. For example, </w:t>
      </w:r>
      <w:r>
        <w:rPr>
          <w:rStyle w:val="Text3"/>
        </w:rPr>
        <w:t>L</w:t>
      </w:r>
      <w:r>
        <w:rPr>
          <w:rStyle w:val="Text0"/>
        </w:rPr>
        <w:t>[</w:t>
      </w:r>
      <w:r>
        <w:rPr>
          <w:rStyle w:val="Text3"/>
        </w:rPr>
        <w:t>i</w:t>
      </w:r>
      <w:r>
        <w:rPr>
          <w:rStyle w:val="Text0"/>
        </w:rPr>
        <w:t>:</w:t>
      </w:r>
      <w:r>
        <w:rPr>
          <w:rStyle w:val="Text3"/>
        </w:rPr>
        <w:t>i</w:t>
      </w:r>
      <w:r>
        <w:rPr>
          <w:rStyle w:val="Text0"/>
        </w:rPr>
        <w:t>] = ['a', 'b']</w:t>
      </w:r>
      <w:r>
        <w:t xml:space="preserve"> inserts </w:t>
      </w:r>
      <w:r>
        <w:rPr>
          <w:rStyle w:val="Text0"/>
        </w:rPr>
        <w:t>'a'</w:t>
      </w:r>
      <w:r>
        <w:t xml:space="preserve"> and </w:t>
      </w:r>
      <w:r>
        <w:rPr>
          <w:rStyle w:val="Text0"/>
        </w:rPr>
        <w:t>'b'</w:t>
      </w:r>
      <w:r>
        <w:t xml:space="preserve"> before the item that was at index </w:t>
      </w:r>
      <w:r>
        <w:rPr>
          <w:rStyle w:val="Text3"/>
        </w:rPr>
        <w:t>i</w:t>
      </w:r>
      <w:r>
        <w:t xml:space="preserve"> in </w:t>
      </w:r>
      <w:r>
        <w:rPr>
          <w:rStyle w:val="Text3"/>
        </w:rPr>
        <w:t>L</w:t>
      </w:r>
      <w:r>
        <w:t xml:space="preserve"> prior to the assignment.</w:t>
      </w:r>
    </w:p>
    <w:p>
      <w:pPr>
        <w:pStyle w:val="Para 010"/>
      </w:pPr>
      <w:r>
        <w:t xml:space="preserve">Using a slice that covers the entire list object, </w:t>
      </w:r>
      <w:r>
        <w:rPr>
          <w:rStyle w:val="Text3"/>
        </w:rPr>
        <w:t>L</w:t>
      </w:r>
      <w:r>
        <w:rPr>
          <w:rStyle w:val="Text0"/>
        </w:rPr>
        <w:t>[:]</w:t>
      </w:r>
      <w:r>
        <w:t xml:space="preserve">, as the LHS target totally replaces the contents of </w:t>
      </w:r>
      <w:r>
        <w:rPr>
          <w:rStyle w:val="Text3"/>
        </w:rPr>
        <w:t>L</w:t>
      </w:r>
      <w:r>
        <w:t>.</w:t>
      </w:r>
    </w:p>
    <w:p>
      <w:pPr>
        <w:pStyle w:val="Normal"/>
      </w:pPr>
      <w:r>
        <w:t xml:space="preserve">You can delete an item or a slice from a list with </w:t>
      </w:r>
      <w:r>
        <w:rPr>
          <w:rStyle w:val="Text5"/>
        </w:rPr>
        <w:t>del</w:t>
      </w:r>
      <w:r>
        <w:t>. For instance:</w:t>
      </w:r>
    </w:p>
    <w:p>
      <w:pPr>
        <w:pStyle w:val="Para 018"/>
      </w:pPr>
      <w:r>
        <w:rPr>
          <w:rStyle w:val="Text104"/>
        </w:rP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7"/>
        </w:rPr>
        <w:t xml:space="preserve">[</w:t>
        <w:br w:clear="none"/>
      </w:r>
      <w:r>
        <w:rPr>
          <w:rStyle w:val="Text27"/>
        </w:rPr>
        <w:t xml:space="preserve">1</w:t>
        <w:br w:clear="none"/>
      </w:r>
      <w:r>
        <w:rPr>
          <w:rStyle w:val="Text7"/>
        </w:rPr>
        <w:t xml:space="preserve">,</w:t>
        <w:br w:clear="none"/>
      </w:r>
      <w:r>
        <w:t xml:space="preserve"> </w:t>
        <w:br w:clear="none"/>
      </w:r>
      <w:r>
        <w:rPr>
          <w:rStyle w:val="Text27"/>
        </w:rPr>
        <w:t xml:space="preserve">2</w:t>
        <w:br w:clear="none"/>
      </w:r>
      <w:r>
        <w:rPr>
          <w:rStyle w:val="Text7"/>
        </w:rPr>
        <w:t xml:space="preserve">,</w:t>
        <w:br w:clear="none"/>
      </w:r>
      <w:r>
        <w:t xml:space="preserve"> </w:t>
        <w:br w:clear="none"/>
      </w:r>
      <w:r>
        <w:rPr>
          <w:rStyle w:val="Text27"/>
        </w:rPr>
        <w:t xml:space="preserve">3</w:t>
        <w:br w:clear="none"/>
      </w:r>
      <w:r>
        <w:rPr>
          <w:rStyle w:val="Text7"/>
        </w:rPr>
        <w:t xml:space="preserve">,</w:t>
        <w:br w:clear="none"/>
      </w:r>
      <w:r>
        <w:t xml:space="preserve"> </w:t>
        <w:br w:clear="none"/>
      </w:r>
      <w:r>
        <w:rPr>
          <w:rStyle w:val="Text27"/>
        </w:rPr>
        <w:t xml:space="preserve">4</w:t>
        <w:br w:clear="none"/>
      </w:r>
      <w:r>
        <w:rPr>
          <w:rStyle w:val="Text7"/>
        </w:rPr>
        <w:t xml:space="preserve">,</w:t>
        <w:br w:clear="none"/>
      </w:r>
      <w:r>
        <w:t xml:space="preserve"> </w:t>
        <w:br w:clear="none"/>
      </w:r>
      <w:r>
        <w:rPr>
          <w:rStyle w:val="Text27"/>
        </w:rPr>
        <w:t xml:space="preserve">5</w:t>
        <w:br w:clear="none"/>
      </w:r>
      <w:r>
        <w:rPr>
          <w:rStyle w:val="Text7"/>
        </w:rPr>
        <w:t xml:space="preserve">]</w:t>
        <w:br w:clear="none"/>
      </w:r>
      <w:r>
        <w:t xml:space="preserve"/>
        <w:br w:clear="none"/>
      </w:r>
      <w:r>
        <w:rPr>
          <w:rStyle w:val="Text10"/>
        </w:rPr>
        <w:t xml:space="preserve">del</w:t>
        <w:br w:clear="none"/>
      </w:r>
      <w:r>
        <w:t xml:space="preserve"> </w:t>
        <w:br w:clear="none"/>
      </w:r>
      <w:r>
        <w:rPr>
          <w:rStyle w:val="Text9"/>
        </w:rPr>
        <w:t xml:space="preserve">x</w:t>
        <w:br w:clear="none"/>
      </w:r>
      <w:r>
        <w:rPr>
          <w:rStyle w:val="Text7"/>
        </w:rPr>
        <w:t xml:space="preserve">[</w:t>
        <w:br w:clear="none"/>
      </w:r>
      <w:r>
        <w:rPr>
          <w:rStyle w:val="Text27"/>
        </w:rPr>
        <w:t xml:space="preserve">1</w:t>
        <w:br w:clear="none"/>
      </w:r>
      <w:r>
        <w:rPr>
          <w:rStyle w:val="Text7"/>
        </w:rPr>
        <w:t xml:space="preserve">]</w:t>
        <w:br w:clear="none"/>
      </w:r>
      <w:r>
        <w:t xml:space="preserve">                 </w:t>
        <w:br w:clear="none"/>
      </w:r>
      <w:r>
        <w:rPr>
          <w:rStyle w:val="Text15"/>
        </w:rPr>
        <w:t xml:space="preserve"># x is now [1, 3, 4, 5]</w:t>
        <w:br w:clear="none"/>
      </w:r>
      <w:r>
        <w:t xml:space="preserve"/>
        <w:br w:clear="none"/>
      </w:r>
      <w:r>
        <w:rPr>
          <w:rStyle w:val="Text10"/>
        </w:rPr>
        <w:t xml:space="preserve">del</w:t>
        <w:br w:clear="none"/>
      </w:r>
      <w:r>
        <w:t xml:space="preserve"> </w:t>
        <w:br w:clear="none"/>
      </w:r>
      <w:r>
        <w:rPr>
          <w:rStyle w:val="Text9"/>
        </w:rPr>
        <w:t xml:space="preserve">x</w:t>
        <w:br w:clear="none"/>
      </w:r>
      <w:r>
        <w:rPr>
          <w:rStyle w:val="Text7"/>
        </w:rPr>
        <w:t xml:space="preserve">[</w:t>
        <w:br w:clear="none"/>
        <w:t xml:space="preserve">:</w:t>
        <w:br w:clear="none"/>
        <w:t xml:space="preserve">:</w:t>
        <w:br w:clear="none"/>
      </w:r>
      <w:r>
        <w:rPr>
          <w:rStyle w:val="Text27"/>
        </w:rPr>
        <w:t xml:space="preserve">2</w:t>
        <w:br w:clear="none"/>
      </w:r>
      <w:r>
        <w:rPr>
          <w:rStyle w:val="Text7"/>
        </w:rPr>
        <w:t xml:space="preserve">]</w:t>
        <w:br w:clear="none"/>
      </w:r>
      <w:r>
        <w:t xml:space="preserve">               </w:t>
        <w:br w:clear="none"/>
      </w:r>
      <w:r>
        <w:rPr>
          <w:rStyle w:val="Text15"/>
        </w:rPr>
        <w:t xml:space="preserve"># x is now [3, 5]</w:t>
        <w:br w:clear="none"/>
      </w:r>
    </w:p>
    <w:p>
      <w:bookmarkStart w:id="862" w:name="In_place_operations_on_a_list__L"/>
      <w:pPr>
        <w:keepNext/>
        <w:pStyle w:val="Heading 2"/>
      </w:pPr>
      <w:r>
        <w:t>In-place operations on a list</w:t>
      </w:r>
      <w:bookmarkEnd w:id="862"/>
    </w:p>
    <w:p>
      <w:pPr>
        <w:pStyle w:val="Normal"/>
      </w:pPr>
      <w:r>
        <w:t>List</w:t>
      </w:r>
      <w:r>
        <w:rPr>
          <w:rStyle w:val="Text111"/>
        </w:rPr>
        <w:bookmarkStart w:id="863" w:name="idm45965280149392"/>
        <w:t/>
        <w:bookmarkEnd w:id="863"/>
      </w:r>
      <w:r>
        <w:t xml:space="preserve"> objects define in-place versions of the </w:t>
      </w:r>
      <w:r>
        <w:rPr>
          <w:rStyle w:val="Text0"/>
        </w:rPr>
        <w:t>+</w:t>
      </w:r>
      <w:r>
        <w:t xml:space="preserve"> and </w:t>
      </w:r>
      <w:r>
        <w:rPr>
          <w:rStyle w:val="Text0"/>
        </w:rPr>
        <w:t>*</w:t>
      </w:r>
      <w:r>
        <w:t xml:space="preserve"> operators, which you can use via augmented assignment statements. The augmented assignment statement </w:t>
      </w:r>
      <w:r>
        <w:rPr>
          <w:rStyle w:val="Text3"/>
        </w:rPr>
        <w:t>L</w:t>
      </w:r>
      <w:r>
        <w:t xml:space="preserve"> </w:t>
      </w:r>
      <w:r>
        <w:rPr>
          <w:rStyle w:val="Text0"/>
        </w:rPr>
        <w:t>+=</w:t>
      </w:r>
      <w:r>
        <w:t xml:space="preserve"> </w:t>
      </w:r>
      <w:r>
        <w:rPr>
          <w:rStyle w:val="Text3"/>
        </w:rPr>
        <w:t>L1</w:t>
      </w:r>
      <w:r>
        <w:t xml:space="preserve"> has the effect of adding the items of the iterable </w:t>
      </w:r>
      <w:r>
        <w:rPr>
          <w:rStyle w:val="Text3"/>
        </w:rPr>
        <w:t>L1</w:t>
      </w:r>
      <w:r>
        <w:t xml:space="preserve"> to the end of </w:t>
      </w:r>
      <w:r>
        <w:rPr>
          <w:rStyle w:val="Text3"/>
        </w:rPr>
        <w:t>L</w:t>
      </w:r>
      <w:r>
        <w:t xml:space="preserve">, just like </w:t>
      </w:r>
      <w:r>
        <w:rPr>
          <w:rStyle w:val="Text3"/>
        </w:rPr>
        <w:t>L</w:t>
      </w:r>
      <w:r>
        <w:rPr>
          <w:rStyle w:val="Text0"/>
        </w:rPr>
        <w:t>.extend(</w:t>
      </w:r>
      <w:r>
        <w:rPr>
          <w:rStyle w:val="Text3"/>
        </w:rPr>
        <w:t>L1</w:t>
      </w:r>
      <w:r>
        <w:rPr>
          <w:rStyle w:val="Text0"/>
        </w:rPr>
        <w:t>)</w:t>
      </w:r>
      <w:r>
        <w:t xml:space="preserve">. </w:t>
      </w:r>
      <w:r>
        <w:rPr>
          <w:rStyle w:val="Text3"/>
        </w:rPr>
        <w:t>L</w:t>
      </w:r>
      <w:r>
        <w:t xml:space="preserve"> </w:t>
      </w:r>
      <w:r>
        <w:rPr>
          <w:rStyle w:val="Text0"/>
        </w:rPr>
        <w:t>*=</w:t>
      </w:r>
      <w:r>
        <w:t xml:space="preserve"> </w:t>
      </w:r>
      <w:r>
        <w:rPr>
          <w:rStyle w:val="Text3"/>
        </w:rPr>
        <w:t>n</w:t>
      </w:r>
      <w:r>
        <w:t xml:space="preserve"> has the effect of adding </w:t>
      </w:r>
      <w:r>
        <w:rPr>
          <w:rStyle w:val="Text3"/>
        </w:rPr>
        <w:t>n</w:t>
      </w:r>
      <w:r>
        <w:rPr>
          <w:rStyle w:val="Text0"/>
        </w:rPr>
        <w:t>-1</w:t>
      </w:r>
      <w:r>
        <w:t xml:space="preserve"> copies of </w:t>
      </w:r>
      <w:r>
        <w:rPr>
          <w:rStyle w:val="Text3"/>
        </w:rPr>
        <w:t>L</w:t>
      </w:r>
      <w:r>
        <w:t xml:space="preserve"> to the end of </w:t>
      </w:r>
      <w:r>
        <w:rPr>
          <w:rStyle w:val="Text3"/>
        </w:rPr>
        <w:t>L</w:t>
      </w:r>
      <w:r>
        <w:t xml:space="preserve">; if </w:t>
      </w:r>
      <w:r>
        <w:rPr>
          <w:rStyle w:val="Text3"/>
        </w:rPr>
        <w:t>n</w:t>
      </w:r>
      <w:r>
        <w:t xml:space="preserve"> </w:t>
      </w:r>
      <w:r>
        <w:rPr>
          <w:rStyle w:val="Text0"/>
        </w:rPr>
        <w:t>&lt;= 0</w:t>
      </w:r>
      <w:r>
        <w:t xml:space="preserve">, </w:t>
      </w:r>
      <w:r>
        <w:rPr>
          <w:rStyle w:val="Text3"/>
        </w:rPr>
        <w:t>L</w:t>
      </w:r>
      <w:r>
        <w:t xml:space="preserve"> </w:t>
      </w:r>
      <w:r>
        <w:rPr>
          <w:rStyle w:val="Text0"/>
        </w:rPr>
        <w:t>*=</w:t>
      </w:r>
      <w:r>
        <w:t xml:space="preserve"> </w:t>
      </w:r>
      <w:r>
        <w:rPr>
          <w:rStyle w:val="Text3"/>
        </w:rPr>
        <w:t>n</w:t>
      </w:r>
      <w:r>
        <w:t xml:space="preserve"> makes </w:t>
      </w:r>
      <w:r>
        <w:rPr>
          <w:rStyle w:val="Text3"/>
        </w:rPr>
        <w:t>L</w:t>
      </w:r>
      <w:r>
        <w:t xml:space="preserve"> empty, like</w:t>
      </w:r>
      <w:r>
        <w:rPr>
          <w:rStyle w:val="Text111"/>
        </w:rPr>
        <w:bookmarkStart w:id="864" w:name="idm45965280102944"/>
        <w:t/>
        <w:bookmarkEnd w:id="864"/>
        <w:bookmarkStart w:id="865" w:name="idm45965280101328"/>
        <w:t/>
        <w:bookmarkEnd w:id="865"/>
      </w:r>
      <w:r>
        <w:t xml:space="preserve"> </w:t>
      </w:r>
      <w:r>
        <w:rPr>
          <w:rStyle w:val="Text3"/>
        </w:rPr>
        <w:t>L</w:t>
      </w:r>
      <w:r>
        <w:rPr>
          <w:rStyle w:val="Text0"/>
        </w:rPr>
        <w:t>[:] = []</w:t>
      </w:r>
      <w:r>
        <w:t xml:space="preserve"> or </w:t>
      </w:r>
      <w:r>
        <w:rPr>
          <w:rStyle w:val="Text5"/>
        </w:rPr>
        <w:t>del</w:t>
      </w:r>
      <w:r>
        <w:t xml:space="preserve"> </w:t>
      </w:r>
      <w:r>
        <w:rPr>
          <w:rStyle w:val="Text3"/>
        </w:rPr>
        <w:t>L</w:t>
      </w:r>
      <w:r>
        <w:rPr>
          <w:rStyle w:val="Text0"/>
        </w:rPr>
        <w:t>[:]</w:t>
      </w:r>
      <w:r>
        <w:t>.</w:t>
      </w:r>
    </w:p>
    <w:p>
      <w:bookmarkStart w:id="866" w:name="List_methods__List_objects_provi"/>
      <w:pPr>
        <w:keepNext/>
        <w:pStyle w:val="Heading 2"/>
      </w:pPr>
      <w:r>
        <w:t>List methods</w:t>
      </w:r>
      <w:bookmarkEnd w:id="866"/>
    </w:p>
    <w:p>
      <w:pPr>
        <w:pStyle w:val="Normal"/>
      </w:pPr>
      <w:r>
        <w:t>List objects</w:t>
      </w:r>
      <w:r>
        <w:rPr>
          <w:rStyle w:val="Text111"/>
        </w:rPr>
        <w:bookmarkStart w:id="867" w:name="idm45965280094560"/>
        <w:t/>
        <w:bookmarkEnd w:id="867"/>
      </w:r>
      <w:r>
        <w:t xml:space="preserve"> provide several methods, as shown in </w:t>
      </w:r>
      <w:hyperlink w:anchor="Table_3_5__List_object_methods">
        <w:r>
          <w:rPr>
            <w:rStyle w:val="Text1"/>
          </w:rPr>
          <w:t>Table 3-5</w:t>
        </w:r>
      </w:hyperlink>
      <w:r>
        <w:t xml:space="preserve">. Nonmutating methods return a result without altering the object to which they apply, while mutating methods may alter the object to which they apply. Many of a list’s mutating methods behave like assignments to appropriate slices of the list. In this table, </w:t>
      </w:r>
      <w:r>
        <w:rPr>
          <w:rStyle w:val="Text3"/>
        </w:rPr>
        <w:t>L</w:t>
      </w:r>
      <w:r>
        <w:t xml:space="preserve"> indicates any list object, </w:t>
      </w:r>
      <w:r>
        <w:rPr>
          <w:rStyle w:val="Text3"/>
        </w:rPr>
        <w:t>i</w:t>
      </w:r>
      <w:r>
        <w:t xml:space="preserve"> any valid index in </w:t>
      </w:r>
      <w:r>
        <w:rPr>
          <w:rStyle w:val="Text3"/>
        </w:rPr>
        <w:t>L</w:t>
      </w:r>
      <w:r>
        <w:t xml:space="preserve">, </w:t>
      </w:r>
      <w:r>
        <w:rPr>
          <w:rStyle w:val="Text3"/>
        </w:rPr>
        <w:t>s</w:t>
      </w:r>
      <w:r>
        <w:t xml:space="preserve"> any iterable, and </w:t>
      </w:r>
      <w:r>
        <w:rPr>
          <w:rStyle w:val="Text3"/>
        </w:rPr>
        <w:t>x</w:t>
      </w:r>
      <w:r>
        <w:t xml:space="preserve"> any object.</w:t>
      </w:r>
    </w:p>
    <w:tbl>
      <w:tblPr>
        <w:tblW w:type="auto" w:w="0"/>
      </w:tblPr>
      <w:tr>
        <w:tc>
          <w:tcPr>
            <w:tcW w:type="auto" w:w="0"/>
            <w:tcMar>
              <w:left w:type="dxa" w:w="200"/>
              <w:top w:type="dxa" w:w="200"/>
              <w:right w:type="dxa" w:w="200"/>
              <w:bottom w:type="dxa" w:w="200"/>
            </w:tcMar>
          </w:tcPr>
          <w:p>
            <w:bookmarkStart w:id="868" w:name="Table_3_5__List_object_methods"/>
            <w:pPr>
              <w:pStyle w:val="Para 011"/>
            </w:pPr>
            <w:r>
              <w:rPr>
                <w:rStyle w:val="Text117"/>
              </w:rPr>
              <w:t/>
            </w:r>
            <w:r>
              <w:t xml:space="preserve">Table 3-5. </w:t>
              <w:t>List object methods</w:t>
            </w:r>
            <w:bookmarkEnd w:id="868"/>
          </w:p>
          <w:p>
            <w:pPr>
              <w:pStyle w:val="Para 013"/>
            </w:pPr>
            <w:r>
              <w:t>Nonmutating</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count</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.count(</w:t>
            </w:r>
            <w:r>
              <w:rPr>
                <w:rStyle w:val="Text3"/>
              </w:rPr>
              <w:t>x</w:t>
            </w:r>
            <w:r>
              <w:rPr>
                <w:rStyle w:val="Text0"/>
              </w:rPr>
              <w:t>)</w:t>
              <w:br w:clear="none"/>
            </w:r>
            <w:r>
              <w:t xml:space="preserve"> Returns</w:t>
            </w:r>
            <w:r>
              <w:rPr>
                <w:rStyle w:val="Text111"/>
              </w:rPr>
              <w:bookmarkStart w:id="869" w:name="idm45965280081056"/>
              <w:t/>
              <w:bookmarkEnd w:id="869"/>
            </w:r>
            <w:r>
              <w:t xml:space="preserve"> the number of items of </w:t>
            </w:r>
            <w:r>
              <w:rPr>
                <w:rStyle w:val="Text3"/>
              </w:rPr>
              <w:t>L</w:t>
            </w:r>
            <w:r>
              <w:t xml:space="preserve"> that are equal to </w:t>
            </w:r>
            <w:r>
              <w:rPr>
                <w:rStyle w:val="Text3"/>
              </w:rPr>
              <w:t>x</w:t>
            </w:r>
            <w:r>
              <w:t>.</w:t>
            </w:r>
          </w:p>
        </w:tc>
      </w:tr>
    </w:tbl>
    <w:tbl>
      <w:tblPr>
        <w:tblW w:type="auto" w:w="0"/>
      </w:tblPr>
      <w:tr>
        <w:tc>
          <w:tcPr>
            <w:tcW w:type="auto" w:w="0"/>
            <w:tcMar>
              <w:left w:type="dxa" w:w="200"/>
              <w:top w:type="dxa" w:w="200"/>
              <w:right w:type="dxa" w:w="200"/>
              <w:bottom w:type="dxa" w:w="200"/>
            </w:tcMar>
          </w:tcPr>
          <w:p>
            <w:pPr>
              <w:pStyle w:val="Para 001"/>
            </w:pPr>
            <w:r>
              <w:t>index</w:t>
            </w:r>
          </w:p>
        </w:tc>
        <w:tc>
          <w:tcPr>
            <w:tcW w:type="auto" w:w="0"/>
            <w:tcMar>
              <w:left w:type="dxa" w:w="200"/>
              <w:top w:type="dxa" w:w="200"/>
              <w:right w:type="dxa" w:w="200"/>
              <w:bottom w:type="dxa" w:w="200"/>
            </w:tcMar>
          </w:tcPr>
          <w:p>
            <w:pPr>
              <w:pStyle w:val="Para 002"/>
            </w:pPr>
            <w:r>
              <w:rPr>
                <w:rStyle w:val="Text3"/>
              </w:rPr>
              <w:t>L</w:t>
            </w:r>
            <w:r>
              <w:rPr>
                <w:rStyle w:val="Text0"/>
              </w:rPr>
              <w:t>.index(</w:t>
            </w:r>
            <w:r>
              <w:rPr>
                <w:rStyle w:val="Text3"/>
              </w:rPr>
              <w:t>x</w:t>
            </w:r>
            <w:r>
              <w:rPr>
                <w:rStyle w:val="Text0"/>
              </w:rPr>
              <w:t>)</w:t>
              <w:br w:clear="none"/>
            </w:r>
            <w:r>
              <w:t xml:space="preserve"> Returns</w:t>
            </w:r>
            <w:r>
              <w:rPr>
                <w:rStyle w:val="Text111"/>
              </w:rPr>
              <w:bookmarkStart w:id="870" w:name="idm45965280074064"/>
              <w:t/>
              <w:bookmarkEnd w:id="870"/>
            </w:r>
            <w:r>
              <w:t xml:space="preserve"> the index of the first occurrence of an item in </w:t>
            </w:r>
            <w:r>
              <w:rPr>
                <w:rStyle w:val="Text3"/>
              </w:rPr>
              <w:t>L</w:t>
            </w:r>
            <w:r>
              <w:t xml:space="preserve"> that is equal to </w:t>
            </w:r>
            <w:r>
              <w:rPr>
                <w:rStyle w:val="Text3"/>
              </w:rPr>
              <w:t>x</w:t>
            </w:r>
            <w:r>
              <w:t xml:space="preserve">, or raises an exception if </w:t>
            </w:r>
            <w:r>
              <w:rPr>
                <w:rStyle w:val="Text3"/>
              </w:rPr>
              <w:t>L</w:t>
            </w:r>
            <w:r>
              <w:t xml:space="preserve"> has no such item.</w:t>
            </w:r>
          </w:p>
        </w:tc>
      </w:tr>
    </w:tbl>
    <w:tbl>
      <w:tblPr>
        <w:tblW w:type="auto" w:w="0"/>
      </w:tblPr>
      <w:tr>
        <w:tc>
          <w:tcPr>
            <w:tcW w:type="auto" w:w="0"/>
            <w:shd w:val="clear" w:color="auto" w:fill="EEF2F6"/>
            <w:tcMar>
              <w:left w:type="dxa" w:w="200"/>
              <w:top w:type="dxa" w:w="200"/>
              <w:right w:type="dxa" w:w="200"/>
              <w:bottom w:type="dxa" w:w="200"/>
            </w:tcMar>
          </w:tcPr>
          <w:p>
            <w:pPr>
              <w:pStyle w:val="Para 013"/>
            </w:pPr>
            <w:r>
              <w:t>Mutating</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append</w:t>
            </w:r>
          </w:p>
        </w:tc>
        <w:tc>
          <w:tcPr>
            <w:tcW w:type="auto" w:w="0"/>
            <w:tcMar>
              <w:left w:type="dxa" w:w="200"/>
              <w:top w:type="dxa" w:w="200"/>
              <w:right w:type="dxa" w:w="200"/>
              <w:bottom w:type="dxa" w:w="200"/>
            </w:tcMar>
          </w:tcPr>
          <w:p>
            <w:pPr>
              <w:pStyle w:val="Para 002"/>
            </w:pPr>
            <w:r>
              <w:rPr>
                <w:rStyle w:val="Text3"/>
              </w:rPr>
              <w:t>L.</w:t>
            </w:r>
            <w:r>
              <w:rPr>
                <w:rStyle w:val="Text0"/>
              </w:rPr>
              <w:t>append(</w:t>
            </w:r>
            <w:r>
              <w:rPr>
                <w:rStyle w:val="Text3"/>
              </w:rPr>
              <w:t>x</w:t>
            </w:r>
            <w:r>
              <w:rPr>
                <w:rStyle w:val="Text0"/>
              </w:rPr>
              <w:t>)</w:t>
              <w:br w:clear="none"/>
            </w:r>
            <w:r>
              <w:t xml:space="preserve"> Appends</w:t>
            </w:r>
            <w:r>
              <w:rPr>
                <w:rStyle w:val="Text111"/>
              </w:rPr>
              <w:bookmarkStart w:id="871" w:name="idm45965280065184"/>
              <w:t/>
              <w:bookmarkEnd w:id="871"/>
            </w:r>
            <w:r>
              <w:t xml:space="preserve"> item </w:t>
            </w:r>
            <w:r>
              <w:rPr>
                <w:rStyle w:val="Text3"/>
              </w:rPr>
              <w:t>x</w:t>
            </w:r>
            <w:r>
              <w:t xml:space="preserve"> to the end of </w:t>
            </w:r>
            <w:r>
              <w:rPr>
                <w:rStyle w:val="Text3"/>
              </w:rPr>
              <w:t>L</w:t>
            </w:r>
            <w:r>
              <w:t xml:space="preserve"> ; like </w:t>
            </w:r>
            <w:r>
              <w:rPr>
                <w:rStyle w:val="Text3"/>
              </w:rPr>
              <w:t>L</w:t>
            </w:r>
            <w:r>
              <w:rPr>
                <w:rStyle w:val="Text0"/>
              </w:rPr>
              <w:t>[len(</w:t>
            </w:r>
            <w:r>
              <w:rPr>
                <w:rStyle w:val="Text3"/>
              </w:rPr>
              <w:t>L</w:t>
            </w:r>
            <w:r>
              <w:rPr>
                <w:rStyle w:val="Text0"/>
              </w:rPr>
              <w:t>):] = [x]</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clear</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clear()</w:t>
              <w:br w:clear="none"/>
            </w:r>
            <w:r>
              <w:t xml:space="preserve"> Removes</w:t>
            </w:r>
            <w:r>
              <w:rPr>
                <w:rStyle w:val="Text111"/>
              </w:rPr>
              <w:bookmarkStart w:id="872" w:name="idm45965278821808"/>
              <w:t/>
              <w:bookmarkEnd w:id="872"/>
            </w:r>
            <w:r>
              <w:t xml:space="preserve"> all items from </w:t>
            </w:r>
            <w:r>
              <w:rPr>
                <w:rStyle w:val="Text3"/>
              </w:rPr>
              <w:t>L</w:t>
            </w:r>
            <w:r>
              <w:t xml:space="preserve">, leaving </w:t>
            </w:r>
            <w:r>
              <w:rPr>
                <w:rStyle w:val="Text3"/>
              </w:rPr>
              <w:t>L</w:t>
            </w:r>
            <w:r>
              <w:t xml:space="preserve"> empty.</w:t>
            </w:r>
          </w:p>
        </w:tc>
      </w:tr>
    </w:tbl>
    <w:tbl>
      <w:tblPr>
        <w:tblW w:type="auto" w:w="0"/>
      </w:tblPr>
      <w:tr>
        <w:tc>
          <w:tcPr>
            <w:tcW w:type="auto" w:w="0"/>
            <w:tcMar>
              <w:left w:type="dxa" w:w="200"/>
              <w:top w:type="dxa" w:w="200"/>
              <w:right w:type="dxa" w:w="200"/>
              <w:bottom w:type="dxa" w:w="200"/>
            </w:tcMar>
          </w:tcPr>
          <w:p>
            <w:pPr>
              <w:pStyle w:val="Para 001"/>
            </w:pPr>
            <w:r>
              <w:t>extend</w:t>
            </w:r>
          </w:p>
        </w:tc>
        <w:tc>
          <w:tcPr>
            <w:tcW w:type="auto" w:w="0"/>
            <w:tcMar>
              <w:left w:type="dxa" w:w="200"/>
              <w:top w:type="dxa" w:w="200"/>
              <w:right w:type="dxa" w:w="200"/>
              <w:bottom w:type="dxa" w:w="200"/>
            </w:tcMar>
          </w:tcPr>
          <w:p>
            <w:pPr>
              <w:pStyle w:val="Para 002"/>
            </w:pPr>
            <w:r>
              <w:rPr>
                <w:rStyle w:val="Text3"/>
              </w:rPr>
              <w:t>L.</w:t>
            </w:r>
            <w:r>
              <w:rPr>
                <w:rStyle w:val="Text0"/>
              </w:rPr>
              <w:t>extend(</w:t>
            </w:r>
            <w:r>
              <w:rPr>
                <w:rStyle w:val="Text3"/>
              </w:rPr>
              <w:t>s</w:t>
            </w:r>
            <w:r>
              <w:rPr>
                <w:rStyle w:val="Text0"/>
              </w:rPr>
              <w:t>)</w:t>
              <w:br w:clear="none"/>
            </w:r>
            <w:r>
              <w:t xml:space="preserve"> Appends</w:t>
            </w:r>
            <w:r>
              <w:rPr>
                <w:rStyle w:val="Text111"/>
              </w:rPr>
              <w:bookmarkStart w:id="873" w:name="idm45965278814608"/>
              <w:t/>
              <w:bookmarkEnd w:id="873"/>
            </w:r>
            <w:r>
              <w:t xml:space="preserve"> all the items of iterable </w:t>
            </w:r>
            <w:r>
              <w:rPr>
                <w:rStyle w:val="Text3"/>
              </w:rPr>
              <w:t>s</w:t>
            </w:r>
            <w:r>
              <w:t xml:space="preserve"> to the end of </w:t>
            </w:r>
            <w:r>
              <w:rPr>
                <w:rStyle w:val="Text3"/>
              </w:rPr>
              <w:t>L</w:t>
            </w:r>
            <w:r>
              <w:t xml:space="preserve">; like </w:t>
            </w:r>
            <w:r>
              <w:rPr>
                <w:rStyle w:val="Text3"/>
              </w:rPr>
              <w:t>L</w:t>
            </w:r>
            <w:r>
              <w:rPr>
                <w:rStyle w:val="Text0"/>
              </w:rPr>
              <w:t>[len(</w:t>
            </w:r>
            <w:r>
              <w:rPr>
                <w:rStyle w:val="Text3"/>
              </w:rPr>
              <w:t>L</w:t>
            </w:r>
            <w:r>
              <w:rPr>
                <w:rStyle w:val="Text0"/>
              </w:rPr>
              <w:t>):] =</w:t>
            </w:r>
            <w:r>
              <w:t xml:space="preserve"> </w:t>
            </w:r>
            <w:r>
              <w:rPr>
                <w:rStyle w:val="Text3"/>
              </w:rPr>
              <w:t>s</w:t>
            </w:r>
            <w:r>
              <w:t xml:space="preserve"> or </w:t>
            </w:r>
            <w:r>
              <w:rPr>
                <w:rStyle w:val="Text3"/>
              </w:rPr>
              <w:t>L</w:t>
            </w:r>
            <w:r>
              <w:t xml:space="preserve"> </w:t>
            </w:r>
            <w:r>
              <w:rPr>
                <w:rStyle w:val="Text0"/>
              </w:rPr>
              <w:t>+=</w:t>
            </w:r>
            <w:r>
              <w:t xml:space="preserve"> </w:t>
            </w:r>
            <w:r>
              <w:rPr>
                <w:rStyle w:val="Text3"/>
              </w:rPr>
              <w:t>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insert</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insert(</w:t>
            </w:r>
            <w:r>
              <w:rPr>
                <w:rStyle w:val="Text3"/>
              </w:rPr>
              <w:t>i</w:t>
            </w:r>
            <w:r>
              <w:rPr>
                <w:rStyle w:val="Text0"/>
              </w:rPr>
              <w:t>,</w:t>
            </w:r>
            <w:r>
              <w:t xml:space="preserve"> </w:t>
            </w:r>
            <w:r>
              <w:rPr>
                <w:rStyle w:val="Text3"/>
              </w:rPr>
              <w:t>x</w:t>
            </w:r>
            <w:r>
              <w:rPr>
                <w:rStyle w:val="Text0"/>
              </w:rPr>
              <w:t>)</w:t>
              <w:br w:clear="none"/>
            </w:r>
            <w:r>
              <w:t xml:space="preserve"> Inserts</w:t>
            </w:r>
            <w:r>
              <w:rPr>
                <w:rStyle w:val="Text111"/>
              </w:rPr>
              <w:bookmarkStart w:id="874" w:name="idm45965278801296"/>
              <w:t/>
              <w:bookmarkEnd w:id="874"/>
            </w:r>
            <w:r>
              <w:t xml:space="preserve"> item </w:t>
            </w:r>
            <w:r>
              <w:rPr>
                <w:rStyle w:val="Text3"/>
              </w:rPr>
              <w:t>x</w:t>
            </w:r>
            <w:r>
              <w:t xml:space="preserve"> in </w:t>
            </w:r>
            <w:r>
              <w:rPr>
                <w:rStyle w:val="Text3"/>
              </w:rPr>
              <w:t>L</w:t>
            </w:r>
            <w:r>
              <w:t xml:space="preserve"> before the item at index </w:t>
            </w:r>
            <w:r>
              <w:rPr>
                <w:rStyle w:val="Text3"/>
              </w:rPr>
              <w:t>i</w:t>
            </w:r>
            <w:r>
              <w:t xml:space="preserve">, moving following items of </w:t>
            </w:r>
            <w:r>
              <w:rPr>
                <w:rStyle w:val="Text3"/>
              </w:rPr>
              <w:t>L</w:t>
            </w:r>
            <w:r>
              <w:t xml:space="preserve"> (if any) “rightward” to make space (increases </w:t>
            </w:r>
            <w:r>
              <w:rPr>
                <w:rStyle w:val="Text0"/>
              </w:rPr>
              <w:t>len(</w:t>
            </w:r>
            <w:r>
              <w:rPr>
                <w:rStyle w:val="Text3"/>
              </w:rPr>
              <w:t>L</w:t>
            </w:r>
            <w:r>
              <w:rPr>
                <w:rStyle w:val="Text0"/>
              </w:rPr>
              <w:t>)</w:t>
            </w:r>
            <w:r>
              <w:t xml:space="preserve"> by one, does not replace any item, does not raise exceptions; acts just like </w:t>
            </w:r>
            <w:r>
              <w:rPr>
                <w:rStyle w:val="Text3"/>
              </w:rPr>
              <w:t>L</w:t>
            </w:r>
            <w:r>
              <w:rPr>
                <w:rStyle w:val="Text0"/>
              </w:rPr>
              <w:t>[</w:t>
            </w:r>
            <w:r>
              <w:rPr>
                <w:rStyle w:val="Text3"/>
              </w:rPr>
              <w:t>i</w:t>
            </w:r>
            <w:r>
              <w:rPr>
                <w:rStyle w:val="Text0"/>
              </w:rPr>
              <w:t>:</w:t>
            </w:r>
            <w:r>
              <w:rPr>
                <w:rStyle w:val="Text3"/>
              </w:rPr>
              <w:t>i</w:t>
            </w:r>
            <w:r>
              <w:rPr>
                <w:rStyle w:val="Text0"/>
              </w:rPr>
              <w:t>]=[</w:t>
            </w:r>
            <w:r>
              <w:rPr>
                <w:rStyle w:val="Text3"/>
              </w:rPr>
              <w:t>x</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pop</w:t>
            </w:r>
          </w:p>
        </w:tc>
        <w:tc>
          <w:tcPr>
            <w:tcW w:type="auto" w:w="0"/>
            <w:tcMar>
              <w:left w:type="dxa" w:w="200"/>
              <w:top w:type="dxa" w:w="200"/>
              <w:right w:type="dxa" w:w="200"/>
              <w:bottom w:type="dxa" w:w="200"/>
            </w:tcMar>
          </w:tcPr>
          <w:p>
            <w:pPr>
              <w:pStyle w:val="Para 002"/>
            </w:pPr>
            <w:r>
              <w:rPr>
                <w:rStyle w:val="Text3"/>
              </w:rPr>
              <w:t>L.</w:t>
            </w:r>
            <w:r>
              <w:rPr>
                <w:rStyle w:val="Text0"/>
              </w:rPr>
              <w:t>pop(</w:t>
            </w:r>
            <w:r>
              <w:rPr>
                <w:rStyle w:val="Text3"/>
              </w:rPr>
              <w:t>i</w:t>
            </w:r>
            <w:r>
              <w:rPr>
                <w:rStyle w:val="Text0"/>
              </w:rPr>
              <w:t>=-1)</w:t>
              <w:br w:clear="none"/>
            </w:r>
            <w:r>
              <w:t xml:space="preserve"> Returns</w:t>
            </w:r>
            <w:r>
              <w:rPr>
                <w:rStyle w:val="Text111"/>
              </w:rPr>
              <w:bookmarkStart w:id="875" w:name="idm45965278789344"/>
              <w:t/>
              <w:bookmarkEnd w:id="875"/>
            </w:r>
            <w:r>
              <w:t xml:space="preserve"> the value of the item at index </w:t>
            </w:r>
            <w:r>
              <w:rPr>
                <w:rStyle w:val="Text3"/>
              </w:rPr>
              <w:t>i</w:t>
            </w:r>
            <w:r>
              <w:t xml:space="preserve"> and removes it from </w:t>
            </w:r>
            <w:r>
              <w:rPr>
                <w:rStyle w:val="Text3"/>
              </w:rPr>
              <w:t>L</w:t>
            </w:r>
            <w:r>
              <w:t xml:space="preserve">; when you omit </w:t>
            </w:r>
            <w:r>
              <w:rPr>
                <w:rStyle w:val="Text3"/>
              </w:rPr>
              <w:t>i</w:t>
            </w:r>
            <w:r>
              <w:t xml:space="preserve">, removes and returns the last item; raises an exception when </w:t>
            </w:r>
            <w:r>
              <w:rPr>
                <w:rStyle w:val="Text3"/>
              </w:rPr>
              <w:t>L</w:t>
            </w:r>
            <w:r>
              <w:t xml:space="preserve"> is empty or </w:t>
            </w:r>
            <w:r>
              <w:rPr>
                <w:rStyle w:val="Text3"/>
              </w:rPr>
              <w:t>i</w:t>
            </w:r>
            <w:r>
              <w:t xml:space="preserve"> is an invalid index in </w:t>
            </w:r>
            <w:r>
              <w:rPr>
                <w:rStyle w:val="Text3"/>
              </w:rPr>
              <w:t>L</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remove</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remove(</w:t>
            </w:r>
            <w:r>
              <w:rPr>
                <w:rStyle w:val="Text3"/>
              </w:rPr>
              <w:t>x</w:t>
            </w:r>
            <w:r>
              <w:rPr>
                <w:rStyle w:val="Text0"/>
              </w:rPr>
              <w:t>)</w:t>
              <w:br w:clear="none"/>
            </w:r>
            <w:r>
              <w:t xml:space="preserve"> Removes</w:t>
            </w:r>
            <w:r>
              <w:rPr>
                <w:rStyle w:val="Text111"/>
              </w:rPr>
              <w:bookmarkStart w:id="876" w:name="idm45965278779152"/>
              <w:t/>
              <w:bookmarkEnd w:id="876"/>
            </w:r>
            <w:r>
              <w:t xml:space="preserve"> from </w:t>
            </w:r>
            <w:r>
              <w:rPr>
                <w:rStyle w:val="Text3"/>
              </w:rPr>
              <w:t>L</w:t>
            </w:r>
            <w:r>
              <w:t xml:space="preserve"> the first occurrence of an item in </w:t>
            </w:r>
            <w:r>
              <w:rPr>
                <w:rStyle w:val="Text3"/>
              </w:rPr>
              <w:t>L</w:t>
            </w:r>
            <w:r>
              <w:t xml:space="preserve"> that is equal to </w:t>
            </w:r>
            <w:r>
              <w:rPr>
                <w:rStyle w:val="Text3"/>
              </w:rPr>
              <w:t>x</w:t>
            </w:r>
            <w:r>
              <w:t xml:space="preserve">, or raises an exception when </w:t>
            </w:r>
            <w:r>
              <w:rPr>
                <w:rStyle w:val="Text3"/>
              </w:rPr>
              <w:t>L</w:t>
            </w:r>
            <w:r>
              <w:t xml:space="preserve"> has no such item.</w:t>
            </w:r>
          </w:p>
        </w:tc>
      </w:tr>
    </w:tbl>
    <w:tbl>
      <w:tblPr>
        <w:tblW w:type="auto" w:w="0"/>
      </w:tblPr>
      <w:tr>
        <w:tc>
          <w:tcPr>
            <w:tcW w:type="auto" w:w="0"/>
            <w:tcMar>
              <w:left w:type="dxa" w:w="200"/>
              <w:top w:type="dxa" w:w="200"/>
              <w:right w:type="dxa" w:w="200"/>
              <w:bottom w:type="dxa" w:w="200"/>
            </w:tcMar>
          </w:tcPr>
          <w:p>
            <w:pPr>
              <w:pStyle w:val="Para 001"/>
            </w:pPr>
            <w:r>
              <w:t>reverse</w:t>
            </w:r>
          </w:p>
        </w:tc>
        <w:tc>
          <w:tcPr>
            <w:tcW w:type="auto" w:w="0"/>
            <w:tcMar>
              <w:left w:type="dxa" w:w="200"/>
              <w:top w:type="dxa" w:w="200"/>
              <w:right w:type="dxa" w:w="200"/>
              <w:bottom w:type="dxa" w:w="200"/>
            </w:tcMar>
          </w:tcPr>
          <w:p>
            <w:pPr>
              <w:pStyle w:val="Para 002"/>
            </w:pPr>
            <w:r>
              <w:rPr>
                <w:rStyle w:val="Text3"/>
              </w:rPr>
              <w:t>L.</w:t>
            </w:r>
            <w:r>
              <w:rPr>
                <w:rStyle w:val="Text0"/>
              </w:rPr>
              <w:t>reverse()</w:t>
              <w:br w:clear="none"/>
            </w:r>
            <w:r>
              <w:t xml:space="preserve"> Reverses,</w:t>
            </w:r>
            <w:r>
              <w:rPr>
                <w:rStyle w:val="Text111"/>
              </w:rPr>
              <w:bookmarkStart w:id="877" w:name="idm45965278771296"/>
              <w:t/>
              <w:bookmarkEnd w:id="877"/>
            </w:r>
            <w:r>
              <w:t xml:space="preserve"> in place, the items of </w:t>
            </w:r>
            <w:r>
              <w:rPr>
                <w:rStyle w:val="Text3"/>
              </w:rPr>
              <w:t>L</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sort</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sort</w:t>
            </w:r>
            <w:r>
              <w:rPr>
                <w:rStyle w:val="Text3"/>
              </w:rPr>
              <w:t>(</w:t>
            </w:r>
            <w:r>
              <w:rPr>
                <w:rStyle w:val="Text0"/>
              </w:rPr>
              <w:t>key</w:t>
            </w:r>
            <w:r>
              <w:rPr>
                <w:rStyle w:val="Text3"/>
              </w:rPr>
              <w:t>=</w:t>
            </w:r>
            <w:r>
              <w:rPr>
                <w:rStyle w:val="Text5"/>
              </w:rPr>
              <w:t>None</w:t>
            </w:r>
            <w:r>
              <w:rPr>
                <w:rStyle w:val="Text0"/>
              </w:rPr>
              <w:t>,</w:t>
            </w:r>
            <w:r>
              <w:t xml:space="preserve"> </w:t>
            </w:r>
            <w:r>
              <w:rPr>
                <w:rStyle w:val="Text0"/>
              </w:rPr>
              <w:t>reverse</w:t>
            </w:r>
            <w:r>
              <w:rPr>
                <w:rStyle w:val="Text3"/>
              </w:rPr>
              <w:t>=</w:t>
            </w:r>
            <w:r>
              <w:rPr>
                <w:rStyle w:val="Text5"/>
              </w:rPr>
              <w:t>False</w:t>
            </w:r>
            <w:r>
              <w:rPr>
                <w:rStyle w:val="Text0"/>
              </w:rPr>
              <w:t>)</w:t>
              <w:br w:clear="none"/>
            </w:r>
            <w:r>
              <w:t xml:space="preserve"> Sorts,</w:t>
            </w:r>
            <w:r>
              <w:rPr>
                <w:rStyle w:val="Text111"/>
              </w:rPr>
              <w:bookmarkStart w:id="878" w:name="idm45965278762208"/>
              <w:t/>
              <w:bookmarkEnd w:id="878"/>
            </w:r>
            <w:r>
              <w:t xml:space="preserve"> in place, the items of </w:t>
            </w:r>
            <w:r>
              <w:rPr>
                <w:rStyle w:val="Text3"/>
              </w:rPr>
              <w:t>L</w:t>
            </w:r>
            <w:r>
              <w:t xml:space="preserve"> (in ascending order, by default; in descending order, if the argument </w:t>
            </w:r>
            <w:r>
              <w:rPr>
                <w:rStyle w:val="Text0"/>
              </w:rPr>
              <w:t>reverse</w:t>
            </w:r>
            <w:r>
              <w:t xml:space="preserve"> is </w:t>
            </w:r>
            <w:r>
              <w:rPr>
                <w:rStyle w:val="Text5"/>
              </w:rPr>
              <w:t>True</w:t>
            </w:r>
            <w:r>
              <w:t xml:space="preserve">). When the argument </w:t>
            </w:r>
            <w:r>
              <w:rPr>
                <w:rStyle w:val="Text0"/>
              </w:rPr>
              <w:t>key</w:t>
            </w:r>
            <w:r>
              <w:rPr>
                <w:rStyle w:val="Text111"/>
              </w:rPr>
              <w:bookmarkStart w:id="879" w:name="idm45965278757984"/>
              <w:t/>
              <w:bookmarkEnd w:id="879"/>
            </w:r>
            <w:r>
              <w:t xml:space="preserve"> is not </w:t>
            </w:r>
            <w:r>
              <w:rPr>
                <w:rStyle w:val="Text5"/>
              </w:rPr>
              <w:t>None</w:t>
            </w:r>
            <w:r>
              <w:t xml:space="preserve">, what gets compared for each item </w:t>
            </w:r>
            <w:r>
              <w:rPr>
                <w:rStyle w:val="Text3"/>
              </w:rPr>
              <w:t>x</w:t>
            </w:r>
            <w:r>
              <w:t xml:space="preserve"> is </w:t>
            </w:r>
            <w:r>
              <w:rPr>
                <w:rStyle w:val="Text0"/>
              </w:rPr>
              <w:t>key(</w:t>
            </w:r>
            <w:r>
              <w:rPr>
                <w:rStyle w:val="Text3"/>
              </w:rPr>
              <w:t>x</w:t>
            </w:r>
            <w:r>
              <w:rPr>
                <w:rStyle w:val="Text0"/>
              </w:rPr>
              <w:t>)</w:t>
            </w:r>
            <w:r>
              <w:t xml:space="preserve">, not </w:t>
            </w:r>
            <w:r>
              <w:rPr>
                <w:rStyle w:val="Text3"/>
              </w:rPr>
              <w:t>x</w:t>
            </w:r>
            <w:r>
              <w:t xml:space="preserve"> itself. For more details, see the following section.</w:t>
            </w:r>
          </w:p>
        </w:tc>
      </w:tr>
    </w:tbl>
    <w:p>
      <w:pPr>
        <w:pStyle w:val="Normal"/>
      </w:pPr>
      <w:r>
        <w:t xml:space="preserve">All mutating methods of list objects, except </w:t>
      </w:r>
      <w:r>
        <w:rPr>
          <w:rStyle w:val="Text0"/>
        </w:rPr>
        <w:t>pop</w:t>
      </w:r>
      <w:r>
        <w:t xml:space="preserve">, return </w:t>
      </w:r>
      <w:r>
        <w:rPr>
          <w:rStyle w:val="Text5"/>
        </w:rPr>
        <w:t>None</w:t>
      </w:r>
      <w:r>
        <w:t>.</w:t>
      </w:r>
    </w:p>
    <w:p>
      <w:bookmarkStart w:id="880" w:name="Sorting_a_list__A_list_s_sort_me"/>
      <w:pPr>
        <w:keepNext/>
        <w:pStyle w:val="Heading 2"/>
      </w:pPr>
      <w:r>
        <w:t>Sorting a list</w:t>
      </w:r>
      <w:bookmarkEnd w:id="880"/>
    </w:p>
    <w:p>
      <w:pPr>
        <w:pStyle w:val="Normal"/>
      </w:pPr>
      <w:r>
        <w:t>A</w:t>
      </w:r>
      <w:r>
        <w:rPr>
          <w:rStyle w:val="Text111"/>
        </w:rPr>
        <w:bookmarkStart w:id="881" w:name="idm45965278748768"/>
        <w:t/>
        <w:bookmarkEnd w:id="881"/>
      </w:r>
      <w:r>
        <w:t xml:space="preserve"> list’s </w:t>
      </w:r>
      <w:r>
        <w:rPr>
          <w:rStyle w:val="Text0"/>
        </w:rPr>
        <w:t>sort</w:t>
      </w:r>
      <w:r>
        <w:t xml:space="preserve"> method causes the list to be sorted in place (reordering items to place them in increasing order) in a way that is guaranteed to be stable (elements that compare equal are not exchanged). In practice, </w:t>
      </w:r>
      <w:r>
        <w:rPr>
          <w:rStyle w:val="Text0"/>
        </w:rPr>
        <w:t>sort</w:t>
      </w:r>
      <w:r>
        <w:t xml:space="preserve"> is extremely fast—often </w:t>
      </w:r>
      <w:r>
        <w:rPr>
          <w:rStyle w:val="Text4"/>
        </w:rPr>
        <w:t>preternaturally</w:t>
      </w:r>
      <w:r>
        <w:t xml:space="preserve"> fast, as it can exploit any order or reverse order that may be present in any sublist (the advanced algorithm </w:t>
      </w:r>
      <w:r>
        <w:rPr>
          <w:rStyle w:val="Text0"/>
        </w:rPr>
        <w:t>sort</w:t>
      </w:r>
      <w:r>
        <w:t xml:space="preserve"> uses, known as</w:t>
      </w:r>
      <w:r>
        <w:rPr>
          <w:rStyle w:val="Text111"/>
        </w:rPr>
        <w:bookmarkStart w:id="882" w:name="idm45965278744592"/>
        <w:t/>
        <w:bookmarkEnd w:id="882"/>
      </w:r>
      <w:r>
        <w:t xml:space="preserve"> </w:t>
      </w:r>
      <w:r>
        <w:rPr>
          <w:rStyle w:val="Text4"/>
        </w:rPr>
        <w:t>timsort</w:t>
      </w:r>
      <w:hyperlink w:anchor="17_Timsort_has_the_distinction_o">
        <w:r>
          <w:rPr>
            <w:rStyle w:val="Text41"/>
          </w:rPr>
          <w:bookmarkStart w:id="883" w:name="17"/>
          <w:t>17</w:t>
          <w:bookmarkEnd w:id="883"/>
        </w:r>
      </w:hyperlink>
      <w:r>
        <w:t xml:space="preserve"> to honor its inventor, great Pythonista </w:t>
      </w:r>
      <w:hyperlink r:id="rId215">
        <w:r>
          <w:rPr>
            <w:rStyle w:val="Text1"/>
          </w:rPr>
          <w:t>Tim Peters</w:t>
        </w:r>
      </w:hyperlink>
      <w:r>
        <w:t xml:space="preserve">, is a “non-recursive adaptive stable natural mergesort/binary insertion sort hybrid”—now </w:t>
      </w:r>
      <w:r>
        <w:rPr>
          <w:rStyle w:val="Text4"/>
        </w:rPr>
        <w:t>there’s</w:t>
      </w:r>
      <w:r>
        <w:t xml:space="preserve"> a mouthful for you!).</w:t>
      </w:r>
    </w:p>
    <w:p>
      <w:pPr>
        <w:pStyle w:val="Normal"/>
      </w:pPr>
      <w:r>
        <w:t xml:space="preserve">The </w:t>
      </w:r>
      <w:r>
        <w:rPr>
          <w:rStyle w:val="Text0"/>
        </w:rPr>
        <w:t>sort</w:t>
      </w:r>
      <w:r>
        <w:t xml:space="preserve"> method takes two optional arguments, which may be passed with either positional or named-argument syntax. The argument </w:t>
      </w:r>
      <w:r>
        <w:rPr>
          <w:rStyle w:val="Text0"/>
        </w:rPr>
        <w:t>key</w:t>
      </w:r>
      <w:r>
        <w:t xml:space="preserve">, if not </w:t>
      </w:r>
      <w:r>
        <w:rPr>
          <w:rStyle w:val="Text5"/>
        </w:rPr>
        <w:t>None</w:t>
      </w:r>
      <w:r>
        <w:t xml:space="preserve">, must be a function that can be called with any list item as its only argument. In this case, to compare any two items </w:t>
      </w:r>
      <w:r>
        <w:rPr>
          <w:rStyle w:val="Text3"/>
        </w:rPr>
        <w:t>x</w:t>
      </w:r>
      <w:r>
        <w:t xml:space="preserve"> and </w:t>
      </w:r>
      <w:r>
        <w:rPr>
          <w:rStyle w:val="Text3"/>
        </w:rPr>
        <w:t>y</w:t>
      </w:r>
      <w:r>
        <w:t xml:space="preserve">, Python compares </w:t>
      </w:r>
      <w:r>
        <w:rPr>
          <w:rStyle w:val="Text0"/>
        </w:rPr>
        <w:t>key(</w:t>
      </w:r>
      <w:r>
        <w:rPr>
          <w:rStyle w:val="Text3"/>
        </w:rPr>
        <w:t>x</w:t>
      </w:r>
      <w:r>
        <w:rPr>
          <w:rStyle w:val="Text0"/>
        </w:rPr>
        <w:t>)</w:t>
      </w:r>
      <w:r>
        <w:t xml:space="preserve"> and </w:t>
      </w:r>
      <w:r>
        <w:rPr>
          <w:rStyle w:val="Text0"/>
        </w:rPr>
        <w:t>key(</w:t>
      </w:r>
      <w:r>
        <w:rPr>
          <w:rStyle w:val="Text3"/>
        </w:rPr>
        <w:t>y</w:t>
      </w:r>
      <w:r>
        <w:rPr>
          <w:rStyle w:val="Text0"/>
        </w:rPr>
        <w:t>)</w:t>
      </w:r>
      <w:r>
        <w:t xml:space="preserve"> rather than </w:t>
      </w:r>
      <w:r>
        <w:rPr>
          <w:rStyle w:val="Text3"/>
        </w:rPr>
        <w:t>x</w:t>
      </w:r>
      <w:r>
        <w:t xml:space="preserve"> and </w:t>
      </w:r>
      <w:r>
        <w:rPr>
          <w:rStyle w:val="Text3"/>
        </w:rPr>
        <w:t>y</w:t>
      </w:r>
      <w:r>
        <w:t xml:space="preserve"> (internally, Python implements this in the same way as the decorate–sort–undecorate idiom presented in </w:t>
      </w:r>
      <w:hyperlink w:anchor="Searching_and_sorting__The_opera">
        <w:r>
          <w:rPr>
            <w:rStyle w:val="Text1"/>
          </w:rPr>
          <w:t>“Searching and sorting”</w:t>
        </w:r>
      </w:hyperlink>
      <w:r>
        <w:t xml:space="preserve">, but it’s much faster). The argument </w:t>
      </w:r>
      <w:r>
        <w:rPr>
          <w:rStyle w:val="Text0"/>
        </w:rPr>
        <w:t>reverse</w:t>
      </w:r>
      <w:r>
        <w:t xml:space="preserve">, if </w:t>
      </w:r>
      <w:r>
        <w:rPr>
          <w:rStyle w:val="Text5"/>
        </w:rPr>
        <w:t>True</w:t>
      </w:r>
      <w:r>
        <w:t xml:space="preserve">, causes the result of each comparison to be reversed; this is not exactly the same thing as reversing </w:t>
      </w:r>
      <w:r>
        <w:rPr>
          <w:rStyle w:val="Text3"/>
        </w:rPr>
        <w:t>L</w:t>
      </w:r>
      <w:r>
        <w:t xml:space="preserve"> after sorting, because the sort is stable (elements that compare equal are never exchanged) whether the argument </w:t>
      </w:r>
      <w:r>
        <w:rPr>
          <w:rStyle w:val="Text0"/>
        </w:rPr>
        <w:t>reverse</w:t>
      </w:r>
      <w:r>
        <w:t xml:space="preserve"> is </w:t>
      </w:r>
      <w:r>
        <w:rPr>
          <w:rStyle w:val="Text5"/>
        </w:rPr>
        <w:t>True</w:t>
      </w:r>
      <w:r>
        <w:t xml:space="preserve"> or </w:t>
      </w:r>
      <w:r>
        <w:rPr>
          <w:rStyle w:val="Text5"/>
        </w:rPr>
        <w:t>False</w:t>
      </w:r>
      <w:r>
        <w:t xml:space="preserve">. In other words, Python sorts the list in ascending order by default, or in descending order if </w:t>
      </w:r>
      <w:r>
        <w:rPr>
          <w:rStyle w:val="Text0"/>
        </w:rPr>
        <w:t>reverse</w:t>
      </w:r>
      <w:r>
        <w:t xml:space="preserve"> is </w:t>
      </w:r>
      <w:r>
        <w:rPr>
          <w:rStyle w:val="Text5"/>
        </w:rPr>
        <w:t>True</w:t>
      </w:r>
      <w:r>
        <w:t>:</w:t>
      </w:r>
    </w:p>
    <w:p>
      <w:pPr>
        <w:pStyle w:val="Para 014"/>
      </w:pPr>
      <w:r>
        <w:rPr>
          <w:rStyle w:val="Text116"/>
        </w:rPr>
        <w:t xml:space="preserve"/>
        <w:br w:clear="none"/>
      </w:r>
      <w:r>
        <w:rPr>
          <w:rStyle w:val="Text14"/>
        </w:rPr>
        <w:t xml:space="preserve">mylist</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7"/>
        </w:rPr>
        <w:t xml:space="preserve">'</w:t>
        <w:br w:clear="none"/>
        <w:t xml:space="preserve">alpha</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Beta</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GAMMA</w:t>
        <w:br w:clear="none"/>
        <w:t xml:space="preserve">'</w:t>
        <w:br w:clear="none"/>
      </w:r>
      <w:r>
        <w:rPr>
          <w:rStyle w:val="Text19"/>
        </w:rPr>
        <w:t xml:space="preserve">]</w:t>
        <w:br w:clear="none"/>
      </w:r>
      <w:r>
        <w:rPr>
          <w:rStyle w:val="Text11"/>
        </w:rPr>
        <w:t xml:space="preserve"/>
        <w:br w:clear="none"/>
      </w:r>
      <w:r>
        <w:rPr>
          <w:rStyle w:val="Text14"/>
        </w:rPr>
        <w:t xml:space="preserve">mylist</w:t>
        <w:br w:clear="none"/>
      </w:r>
      <w:r>
        <w:rPr>
          <w:rStyle w:val="Text28"/>
        </w:rPr>
        <w:t xml:space="preserve">.</w:t>
        <w:br w:clear="none"/>
      </w:r>
      <w:r>
        <w:rPr>
          <w:rStyle w:val="Text14"/>
        </w:rPr>
        <w:t xml:space="preserve">sort</w:t>
        <w:br w:clear="none"/>
      </w:r>
      <w:r>
        <w:rPr>
          <w:rStyle w:val="Text19"/>
        </w:rPr>
        <w:t xml:space="preserve">(</w:t>
        <w:br w:clear="none"/>
        <w:t xml:space="preserve">)</w:t>
        <w:br w:clear="none"/>
      </w:r>
      <w:r>
        <w:rPr>
          <w:rStyle w:val="Text11"/>
        </w:rPr>
        <w:t xml:space="preserve">                  </w:t>
        <w:br w:clear="none"/>
      </w:r>
      <w:r>
        <w:t xml:space="preserve"># ['Beta', 'GAMMA', 'alpha']</w:t>
        <w:br w:clear="none"/>
      </w:r>
      <w:r>
        <w:rPr>
          <w:rStyle w:val="Text11"/>
        </w:rPr>
        <w:t xml:space="preserve"/>
        <w:br w:clear="none"/>
      </w:r>
      <w:r>
        <w:rPr>
          <w:rStyle w:val="Text14"/>
        </w:rPr>
        <w:t xml:space="preserve">mylist</w:t>
        <w:br w:clear="none"/>
      </w:r>
      <w:r>
        <w:rPr>
          <w:rStyle w:val="Text28"/>
        </w:rPr>
        <w:t xml:space="preserve">.</w:t>
        <w:br w:clear="none"/>
      </w:r>
      <w:r>
        <w:rPr>
          <w:rStyle w:val="Text14"/>
        </w:rPr>
        <w:t xml:space="preserve">sort</w:t>
        <w:br w:clear="none"/>
      </w:r>
      <w:r>
        <w:rPr>
          <w:rStyle w:val="Text19"/>
        </w:rPr>
        <w:t xml:space="preserve">(</w:t>
        <w:br w:clear="none"/>
      </w:r>
      <w:r>
        <w:rPr>
          <w:rStyle w:val="Text14"/>
        </w:rPr>
        <w:t xml:space="preserve">key</w:t>
        <w:br w:clear="none"/>
      </w:r>
      <w:r>
        <w:rPr>
          <w:rStyle w:val="Text28"/>
        </w:rPr>
        <w:t xml:space="preserve">=</w:t>
        <w:br w:clear="none"/>
      </w:r>
      <w:r>
        <w:rPr>
          <w:rStyle w:val="Text21"/>
        </w:rPr>
        <w:t xml:space="preserve">str</w:t>
        <w:br w:clear="none"/>
      </w:r>
      <w:r>
        <w:rPr>
          <w:rStyle w:val="Text28"/>
        </w:rPr>
        <w:t xml:space="preserve">.</w:t>
        <w:br w:clear="none"/>
      </w:r>
      <w:r>
        <w:rPr>
          <w:rStyle w:val="Text14"/>
        </w:rPr>
        <w:t xml:space="preserve">lower</w:t>
        <w:br w:clear="none"/>
      </w:r>
      <w:r>
        <w:rPr>
          <w:rStyle w:val="Text19"/>
        </w:rPr>
        <w:t xml:space="preserve">)</w:t>
        <w:br w:clear="none"/>
      </w:r>
      <w:r>
        <w:rPr>
          <w:rStyle w:val="Text11"/>
        </w:rPr>
        <w:t xml:space="preserve">     </w:t>
        <w:br w:clear="none"/>
      </w:r>
      <w:r>
        <w:t xml:space="preserve"># ['alpha', 'Beta', 'GAMMA']</w:t>
        <w:br w:clear="none"/>
      </w:r>
    </w:p>
    <w:p>
      <w:pPr>
        <w:pStyle w:val="Normal"/>
      </w:pPr>
      <w:r>
        <w:t xml:space="preserve">Python also provides the built-in function </w:t>
      </w:r>
      <w:r>
        <w:rPr>
          <w:rStyle w:val="Text0"/>
        </w:rPr>
        <w:t>sorted</w:t>
      </w:r>
      <w:r>
        <w:t xml:space="preserve"> (covered in </w:t>
      </w:r>
      <w:hyperlink w:anchor="Table_8_2__Python_s_core_built_i">
        <w:r>
          <w:rPr>
            <w:rStyle w:val="Text1"/>
          </w:rPr>
          <w:t>Table 8-2</w:t>
        </w:r>
      </w:hyperlink>
      <w:r>
        <w:t xml:space="preserve">) to produce a sorted list from any input iterable. </w:t>
      </w:r>
      <w:r>
        <w:rPr>
          <w:rStyle w:val="Text0"/>
        </w:rPr>
        <w:t>sorted</w:t>
      </w:r>
      <w:r>
        <w:t xml:space="preserve">, after the first argument (which is the iterable supplying the items), accepts the same two optional arguments as a list’s </w:t>
      </w:r>
      <w:r>
        <w:rPr>
          <w:rStyle w:val="Text0"/>
        </w:rPr>
        <w:t>sort</w:t>
      </w:r>
      <w:r>
        <w:t xml:space="preserve"> method.</w:t>
      </w:r>
    </w:p>
    <w:p>
      <w:pPr>
        <w:pStyle w:val="Normal"/>
      </w:pPr>
      <w:r>
        <w:t xml:space="preserve">The standard library module </w:t>
      </w:r>
      <w:r>
        <w:rPr>
          <w:rStyle w:val="Text0"/>
        </w:rPr>
        <w:t>operator</w:t>
      </w:r>
      <w:r>
        <w:t xml:space="preserve"> (covered in </w:t>
      </w:r>
      <w:hyperlink w:anchor="The_operator_Module__The_operato">
        <w:r>
          <w:rPr>
            <w:rStyle w:val="Text1"/>
          </w:rPr>
          <w:t>“The operator Module”</w:t>
        </w:r>
      </w:hyperlink>
      <w:r>
        <w:t xml:space="preserve">) supplies higher-order functions </w:t>
      </w:r>
      <w:r>
        <w:rPr>
          <w:rStyle w:val="Text0"/>
        </w:rPr>
        <w:t>attrgetter</w:t>
      </w:r>
      <w:r>
        <w:t xml:space="preserve">, </w:t>
      </w:r>
      <w:r>
        <w:rPr>
          <w:rStyle w:val="Text0"/>
        </w:rPr>
        <w:t>itemgetter</w:t>
      </w:r>
      <w:r>
        <w:t xml:space="preserve">, and </w:t>
      </w:r>
      <w:r>
        <w:rPr>
          <w:rStyle w:val="Text0"/>
        </w:rPr>
        <w:t>methodcaller</w:t>
      </w:r>
      <w:r>
        <w:t xml:space="preserve">, which produce functions particularly suitable for the optional </w:t>
      </w:r>
      <w:r>
        <w:rPr>
          <w:rStyle w:val="Text0"/>
        </w:rPr>
        <w:t>key</w:t>
      </w:r>
      <w:r>
        <w:t xml:space="preserve"> argument of the list’s </w:t>
      </w:r>
      <w:r>
        <w:rPr>
          <w:rStyle w:val="Text0"/>
        </w:rPr>
        <w:t>sort</w:t>
      </w:r>
      <w:r>
        <w:t xml:space="preserve"> method and the built-in function </w:t>
      </w:r>
      <w:r>
        <w:rPr>
          <w:rStyle w:val="Text0"/>
        </w:rPr>
        <w:t>sorted</w:t>
      </w:r>
      <w:r>
        <w:t xml:space="preserve">. This optional argument also exists, with exactly the same meaning, for the built-in functions </w:t>
      </w:r>
      <w:r>
        <w:rPr>
          <w:rStyle w:val="Text0"/>
        </w:rPr>
        <w:t>min</w:t>
      </w:r>
      <w:r>
        <w:t xml:space="preserve"> and </w:t>
      </w:r>
      <w:r>
        <w:rPr>
          <w:rStyle w:val="Text0"/>
        </w:rPr>
        <w:t>max</w:t>
      </w:r>
      <w:r>
        <w:t xml:space="preserve">, as well as for the functions </w:t>
      </w:r>
      <w:r>
        <w:rPr>
          <w:rStyle w:val="Text0"/>
        </w:rPr>
        <w:t>nsmallest</w:t>
      </w:r>
      <w:r>
        <w:t xml:space="preserve">, </w:t>
      </w:r>
      <w:r>
        <w:rPr>
          <w:rStyle w:val="Text0"/>
        </w:rPr>
        <w:t>nlargest</w:t>
      </w:r>
      <w:r>
        <w:t xml:space="preserve">, and </w:t>
      </w:r>
      <w:r>
        <w:rPr>
          <w:rStyle w:val="Text0"/>
        </w:rPr>
        <w:t>merge</w:t>
      </w:r>
      <w:r>
        <w:t xml:space="preserve"> in the standard library module </w:t>
      </w:r>
      <w:r>
        <w:rPr>
          <w:rStyle w:val="Text0"/>
        </w:rPr>
        <w:t>heapq</w:t>
      </w:r>
      <w:r>
        <w:t xml:space="preserve"> (covered in </w:t>
      </w:r>
      <w:hyperlink w:anchor="The_heapq_Module__The_heapq_modu">
        <w:r>
          <w:rPr>
            <w:rStyle w:val="Text1"/>
          </w:rPr>
          <w:t>“The heapq Module”</w:t>
        </w:r>
      </w:hyperlink>
      <w:r>
        <w:t xml:space="preserve">) and the class </w:t>
      </w:r>
      <w:r>
        <w:rPr>
          <w:rStyle w:val="Text0"/>
        </w:rPr>
        <w:t>groupby</w:t>
      </w:r>
      <w:r>
        <w:t xml:space="preserve"> in the standard library module </w:t>
      </w:r>
      <w:r>
        <w:rPr>
          <w:rStyle w:val="Text0"/>
        </w:rPr>
        <w:t>itertools</w:t>
      </w:r>
      <w:r>
        <w:t xml:space="preserve"> (covered in </w:t>
      </w:r>
      <w:hyperlink w:anchor="The_itertools_Module__The_iterto">
        <w:r>
          <w:rPr>
            <w:rStyle w:val="Text1"/>
          </w:rPr>
          <w:t>“The itertools Module”</w:t>
        </w:r>
      </w:hyperlink>
      <w:r>
        <w:t>).</w:t>
      </w:r>
      <w:r>
        <w:rPr>
          <w:rStyle w:val="Text111"/>
        </w:rPr>
        <w:bookmarkStart w:id="884" w:name="idm45965278647824"/>
        <w:t/>
        <w:bookmarkEnd w:id="884"/>
        <w:bookmarkStart w:id="885" w:name="idm45965278646416"/>
        <w:t/>
        <w:bookmarkEnd w:id="885"/>
      </w:r>
    </w:p>
    <w:p>
      <w:bookmarkStart w:id="886" w:name="Set_Operations__Python_provides"/>
      <w:pPr>
        <w:keepNext/>
        <w:pStyle w:val="Heading 1"/>
      </w:pPr>
      <w:r>
        <w:t>Set Operations</w:t>
      </w:r>
      <w:bookmarkEnd w:id="886"/>
    </w:p>
    <w:p>
      <w:pPr>
        <w:pStyle w:val="Normal"/>
      </w:pPr>
      <w:r>
        <w:t>Python</w:t>
      </w:r>
      <w:r>
        <w:rPr>
          <w:rStyle w:val="Text111"/>
        </w:rPr>
        <w:bookmarkStart w:id="887" w:name="PLset03"/>
        <w:t/>
        <w:bookmarkEnd w:id="887"/>
      </w:r>
      <w:r>
        <w:t xml:space="preserve"> provides a variety of operations applicable to sets (both plain and frozen). Since sets are containers, the built-in </w:t>
      </w:r>
      <w:r>
        <w:rPr>
          <w:rStyle w:val="Text0"/>
        </w:rPr>
        <w:t>len</w:t>
      </w:r>
      <w:r>
        <w:t xml:space="preserve"> function can take a set as its single argument and return the number of items in the set. A set is iterable, so you can pass it to any function or method that takes an iterable argument. In this case, iteration yields the items of the set in some arbitrary order. For example, for any set </w:t>
      </w:r>
      <w:r>
        <w:rPr>
          <w:rStyle w:val="Text3"/>
        </w:rPr>
        <w:t>S</w:t>
      </w:r>
      <w:r>
        <w:t xml:space="preserve">, </w:t>
      </w:r>
      <w:r>
        <w:rPr>
          <w:rStyle w:val="Text0"/>
        </w:rPr>
        <w:t>min(</w:t>
      </w:r>
      <w:r>
        <w:rPr>
          <w:rStyle w:val="Text3"/>
        </w:rPr>
        <w:t>S</w:t>
      </w:r>
      <w:r>
        <w:rPr>
          <w:rStyle w:val="Text0"/>
        </w:rPr>
        <w:t>)</w:t>
      </w:r>
      <w:r>
        <w:t xml:space="preserve"> returns the smallest item in </w:t>
      </w:r>
      <w:r>
        <w:rPr>
          <w:rStyle w:val="Text3"/>
        </w:rPr>
        <w:t>S</w:t>
      </w:r>
      <w:r>
        <w:t xml:space="preserve">, since </w:t>
      </w:r>
      <w:r>
        <w:rPr>
          <w:rStyle w:val="Text0"/>
        </w:rPr>
        <w:t>min</w:t>
      </w:r>
      <w:r>
        <w:t xml:space="preserve"> with a single argument iterates on that argument (the order does not matter, because the implied comparisons are transitive).</w:t>
      </w:r>
    </w:p>
    <w:p>
      <w:bookmarkStart w:id="888" w:name="Set_Membership__The_k_in_S_opera"/>
      <w:pPr>
        <w:keepNext/>
        <w:pStyle w:val="Heading 2"/>
      </w:pPr>
      <w:r>
        <w:t>Set Membership</w:t>
      </w:r>
      <w:bookmarkEnd w:id="888"/>
    </w:p>
    <w:p>
      <w:pPr>
        <w:pStyle w:val="Normal"/>
      </w:pPr>
      <w:r>
        <w:t xml:space="preserve">The </w:t>
      </w:r>
      <w:r>
        <w:rPr>
          <w:rStyle w:val="Text3"/>
        </w:rPr>
        <w:t>k</w:t>
      </w:r>
      <w:r>
        <w:t xml:space="preserve"> </w:t>
      </w:r>
      <w:r>
        <w:rPr>
          <w:rStyle w:val="Text5"/>
        </w:rPr>
        <w:t>in</w:t>
      </w:r>
      <w:r>
        <w:t xml:space="preserve"> </w:t>
      </w:r>
      <w:r>
        <w:rPr>
          <w:rStyle w:val="Text3"/>
        </w:rPr>
        <w:t>S</w:t>
      </w:r>
      <w:r>
        <w:t xml:space="preserve"> operator checks</w:t>
      </w:r>
      <w:r>
        <w:rPr>
          <w:rStyle w:val="Text111"/>
        </w:rPr>
        <w:bookmarkStart w:id="889" w:name="idm45965278632352"/>
        <w:t/>
        <w:bookmarkEnd w:id="889"/>
        <w:bookmarkStart w:id="890" w:name="idm45965278630976"/>
        <w:t/>
        <w:bookmarkEnd w:id="890"/>
      </w:r>
      <w:r>
        <w:t xml:space="preserve"> whether the object </w:t>
      </w:r>
      <w:r>
        <w:rPr>
          <w:rStyle w:val="Text3"/>
        </w:rPr>
        <w:t>k</w:t>
      </w:r>
      <w:r>
        <w:t xml:space="preserve"> equals one of the items in the set </w:t>
      </w:r>
      <w:r>
        <w:rPr>
          <w:rStyle w:val="Text3"/>
        </w:rPr>
        <w:t>S</w:t>
      </w:r>
      <w:r>
        <w:t xml:space="preserve">. It returns </w:t>
      </w:r>
      <w:r>
        <w:rPr>
          <w:rStyle w:val="Text5"/>
        </w:rPr>
        <w:t>True</w:t>
      </w:r>
      <w:r>
        <w:t xml:space="preserve"> when the set contains </w:t>
      </w:r>
      <w:r>
        <w:rPr>
          <w:rStyle w:val="Text3"/>
        </w:rPr>
        <w:t>k</w:t>
      </w:r>
      <w:r>
        <w:t xml:space="preserve">, and </w:t>
      </w:r>
      <w:r>
        <w:rPr>
          <w:rStyle w:val="Text5"/>
        </w:rPr>
        <w:t>False</w:t>
      </w:r>
      <w:r>
        <w:t xml:space="preserve"> when it doesn’t. </w:t>
      </w:r>
      <w:r>
        <w:rPr>
          <w:rStyle w:val="Text3"/>
        </w:rPr>
        <w:t>k</w:t>
      </w:r>
      <w:r>
        <w:t xml:space="preserve"> </w:t>
      </w:r>
      <w:r>
        <w:rPr>
          <w:rStyle w:val="Text5"/>
        </w:rPr>
        <w:t>not</w:t>
      </w:r>
      <w:r>
        <w:t xml:space="preserve"> </w:t>
      </w:r>
      <w:r>
        <w:rPr>
          <w:rStyle w:val="Text5"/>
        </w:rPr>
        <w:t>in</w:t>
      </w:r>
      <w:r>
        <w:t xml:space="preserve"> </w:t>
      </w:r>
      <w:r>
        <w:rPr>
          <w:rStyle w:val="Text3"/>
        </w:rPr>
        <w:t>S</w:t>
      </w:r>
      <w:r>
        <w:t xml:space="preserve"> is like </w:t>
      </w:r>
      <w:r>
        <w:rPr>
          <w:rStyle w:val="Text5"/>
        </w:rPr>
        <w:t>not</w:t>
      </w:r>
      <w:r>
        <w:t xml:space="preserve"> </w:t>
      </w:r>
      <w:r>
        <w:rPr>
          <w:rStyle w:val="Text0"/>
        </w:rPr>
        <w:t>(</w:t>
      </w:r>
      <w:r>
        <w:rPr>
          <w:rStyle w:val="Text3"/>
        </w:rPr>
        <w:t>k</w:t>
      </w:r>
      <w:r>
        <w:t xml:space="preserve"> </w:t>
      </w:r>
      <w:r>
        <w:rPr>
          <w:rStyle w:val="Text5"/>
        </w:rPr>
        <w:t>in</w:t>
      </w:r>
      <w:r>
        <w:t xml:space="preserve"> </w:t>
      </w:r>
      <w:r>
        <w:rPr>
          <w:rStyle w:val="Text3"/>
        </w:rPr>
        <w:t>S</w:t>
      </w:r>
      <w:r>
        <w:rPr>
          <w:rStyle w:val="Text0"/>
        </w:rPr>
        <w:t>)</w:t>
      </w:r>
      <w:r>
        <w:t>.</w:t>
      </w:r>
    </w:p>
    <w:p>
      <w:bookmarkStart w:id="891" w:name="Set_Methods__Set_objects_provide"/>
      <w:pPr>
        <w:keepNext/>
        <w:pStyle w:val="Heading 2"/>
      </w:pPr>
      <w:r>
        <w:t>Set Methods</w:t>
      </w:r>
      <w:bookmarkEnd w:id="891"/>
    </w:p>
    <w:p>
      <w:pPr>
        <w:pStyle w:val="Normal"/>
      </w:pPr>
      <w:r>
        <w:t>Set objects</w:t>
      </w:r>
      <w:r>
        <w:rPr>
          <w:rStyle w:val="Text111"/>
        </w:rPr>
        <w:bookmarkStart w:id="892" w:name="idm45965278615904"/>
        <w:t/>
        <w:bookmarkEnd w:id="892"/>
      </w:r>
      <w:r>
        <w:t xml:space="preserve"> provide several methods, as shown in </w:t>
      </w:r>
      <w:hyperlink w:anchor="Table_3_6__Set_object_methods">
        <w:r>
          <w:rPr>
            <w:rStyle w:val="Text1"/>
          </w:rPr>
          <w:t>Table 3-6</w:t>
        </w:r>
      </w:hyperlink>
      <w:r>
        <w:t xml:space="preserve">. Nonmutating methods return a result without altering the object to which they apply, and can also be called on instances of </w:t>
      </w:r>
      <w:r>
        <w:rPr>
          <w:rStyle w:val="Text0"/>
        </w:rPr>
        <w:t>frozenset</w:t>
      </w:r>
      <w:r>
        <w:t xml:space="preserve">; mutating methods may alter the object to which they apply, and can be called only on instances of </w:t>
      </w:r>
      <w:r>
        <w:rPr>
          <w:rStyle w:val="Text0"/>
        </w:rPr>
        <w:t>set</w:t>
      </w:r>
      <w:r>
        <w:t xml:space="preserve">. In this table, </w:t>
      </w:r>
      <w:r>
        <w:rPr>
          <w:rStyle w:val="Text3"/>
        </w:rPr>
        <w:t>s</w:t>
      </w:r>
      <w:r>
        <w:t xml:space="preserve"> denotes any set object, </w:t>
      </w:r>
      <w:r>
        <w:rPr>
          <w:rStyle w:val="Text3"/>
        </w:rPr>
        <w:t>s1</w:t>
      </w:r>
      <w:r>
        <w:t xml:space="preserve"> any iterable with hashable items (often but not necessarily a </w:t>
      </w:r>
      <w:r>
        <w:rPr>
          <w:rStyle w:val="Text0"/>
        </w:rPr>
        <w:t>set</w:t>
      </w:r>
      <w:r>
        <w:t xml:space="preserve"> or </w:t>
      </w:r>
      <w:r>
        <w:rPr>
          <w:rStyle w:val="Text0"/>
        </w:rPr>
        <w:t>frozenset</w:t>
      </w:r>
      <w:r>
        <w:t xml:space="preserve">), and </w:t>
      </w:r>
      <w:r>
        <w:rPr>
          <w:rStyle w:val="Text3"/>
        </w:rPr>
        <w:t>x</w:t>
      </w:r>
      <w:r>
        <w:t xml:space="preserve"> any hashable object.</w:t>
      </w:r>
    </w:p>
    <w:tbl>
      <w:tblPr>
        <w:tblW w:type="auto" w:w="0"/>
      </w:tblPr>
      <w:tr>
        <w:tc>
          <w:tcPr>
            <w:tcW w:type="auto" w:w="0"/>
            <w:tcMar>
              <w:left w:type="dxa" w:w="200"/>
              <w:top w:type="dxa" w:w="200"/>
              <w:right w:type="dxa" w:w="200"/>
              <w:bottom w:type="dxa" w:w="200"/>
            </w:tcMar>
          </w:tcPr>
          <w:p>
            <w:bookmarkStart w:id="893" w:name="Table_3_6__Set_object_methods"/>
            <w:pPr>
              <w:pStyle w:val="Para 011"/>
            </w:pPr>
            <w:r>
              <w:rPr>
                <w:rStyle w:val="Text117"/>
              </w:rPr>
              <w:t/>
            </w:r>
            <w:r>
              <w:t xml:space="preserve">Table 3-6. </w:t>
              <w:t>Set object methods</w:t>
            </w:r>
            <w:bookmarkEnd w:id="893"/>
          </w:p>
          <w:p>
            <w:pPr>
              <w:pStyle w:val="Para 013"/>
            </w:pPr>
            <w:r>
              <w:t>Nonmutating</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.copy()</w:t>
              <w:br w:clear="none"/>
            </w:r>
            <w:r>
              <w:t xml:space="preserve"> Returns</w:t>
            </w:r>
            <w:r>
              <w:rPr>
                <w:rStyle w:val="Text111"/>
              </w:rPr>
              <w:bookmarkStart w:id="894" w:name="idm45965278601312"/>
              <w:t/>
              <w:bookmarkEnd w:id="894"/>
            </w:r>
            <w:r>
              <w:t xml:space="preserve"> a shallow copy of </w:t>
            </w:r>
            <w:r>
              <w:rPr>
                <w:rStyle w:val="Text3"/>
              </w:rPr>
              <w:t>s</w:t>
            </w:r>
            <w:r>
              <w:t xml:space="preserve"> (a copy whose items are the same objects as </w:t>
            </w:r>
            <w:r>
              <w:rPr>
                <w:rStyle w:val="Text3"/>
              </w:rPr>
              <w:t>s</w:t>
            </w:r>
            <w:r>
              <w:t xml:space="preserve">’s, not copies thereof); like </w:t>
            </w:r>
            <w:r>
              <w:rPr>
                <w:rStyle w:val="Text0"/>
              </w:rPr>
              <w:t>set(</w:t>
            </w:r>
            <w:r>
              <w:rPr>
                <w:rStyle w:val="Text3"/>
              </w:rPr>
              <w:t>s</w:t>
            </w:r>
            <w:r>
              <w:rPr>
                <w:rStyle w:val="Text0"/>
              </w:rPr>
              <w:t>)</w:t>
            </w:r>
          </w:p>
        </w:tc>
      </w:tr>
    </w:tbl>
    <w:tbl>
      <w:tblPr>
        <w:tblW w:type="auto" w:w="0"/>
      </w:tblPr>
      <w:tr>
        <w:tc>
          <w:tcPr>
            <w:tcW w:type="auto" w:w="0"/>
            <w:tcMar>
              <w:left w:type="dxa" w:w="200"/>
              <w:top w:type="dxa" w:w="200"/>
              <w:right w:type="dxa" w:w="200"/>
              <w:bottom w:type="dxa" w:w="200"/>
            </w:tcMar>
          </w:tcPr>
          <w:p>
            <w:pPr>
              <w:pStyle w:val="Para 001"/>
            </w:pPr>
            <w:r>
              <w:t>difference</w:t>
            </w:r>
          </w:p>
        </w:tc>
        <w:tc>
          <w:tcPr>
            <w:tcW w:type="auto" w:w="0"/>
            <w:tcMar>
              <w:left w:type="dxa" w:w="200"/>
              <w:top w:type="dxa" w:w="200"/>
              <w:right w:type="dxa" w:w="200"/>
              <w:bottom w:type="dxa" w:w="200"/>
            </w:tcMar>
          </w:tcPr>
          <w:p>
            <w:pPr>
              <w:pStyle w:val="Para 002"/>
            </w:pPr>
            <w:r>
              <w:rPr>
                <w:rStyle w:val="Text3"/>
              </w:rPr>
              <w:t>s</w:t>
            </w:r>
            <w:r>
              <w:rPr>
                <w:rStyle w:val="Text0"/>
              </w:rPr>
              <w:t>.difference(</w:t>
            </w:r>
            <w:r>
              <w:rPr>
                <w:rStyle w:val="Text3"/>
              </w:rPr>
              <w:t>s1</w:t>
            </w:r>
            <w:r>
              <w:rPr>
                <w:rStyle w:val="Text0"/>
              </w:rPr>
              <w:t>)</w:t>
              <w:br w:clear="none"/>
            </w:r>
            <w:r>
              <w:t xml:space="preserve"> Returns</w:t>
            </w:r>
            <w:r>
              <w:rPr>
                <w:rStyle w:val="Text111"/>
              </w:rPr>
              <w:bookmarkStart w:id="895" w:name="idm45965278593408"/>
              <w:t/>
              <w:bookmarkEnd w:id="895"/>
            </w:r>
            <w:r>
              <w:t xml:space="preserve"> the set of all items of </w:t>
            </w:r>
            <w:r>
              <w:rPr>
                <w:rStyle w:val="Text3"/>
              </w:rPr>
              <w:t>s</w:t>
            </w:r>
            <w:r>
              <w:t xml:space="preserve"> that aren’t in </w:t>
            </w:r>
            <w:r>
              <w:rPr>
                <w:rStyle w:val="Text3"/>
              </w:rPr>
              <w:t>s1</w:t>
            </w:r>
            <w:r>
              <w:t xml:space="preserve">; can be written as </w:t>
            </w:r>
            <w:r>
              <w:rPr>
                <w:rStyle w:val="Text3"/>
              </w:rPr>
              <w:t>s</w:t>
            </w:r>
            <w:r>
              <w:t xml:space="preserve"> </w:t>
            </w:r>
            <w:r>
              <w:rPr>
                <w:rStyle w:val="Text0"/>
              </w:rPr>
              <w:t>-</w:t>
            </w:r>
            <w:r>
              <w:t xml:space="preserve"> </w:t>
            </w:r>
            <w:r>
              <w:rPr>
                <w:rStyle w:val="Text3"/>
              </w:rPr>
              <w:t>s1</w:t>
            </w:r>
          </w:p>
        </w:tc>
      </w:tr>
    </w:tbl>
    <w:tbl>
      <w:tblPr>
        <w:tblW w:type="auto" w:w="0"/>
      </w:tblPr>
      <w:tr>
        <w:tc>
          <w:tcPr>
            <w:tcW w:type="auto" w:w="0"/>
            <w:shd w:val="clear" w:color="auto" w:fill="EEF2F6"/>
            <w:tcMar>
              <w:left w:type="dxa" w:w="200"/>
              <w:top w:type="dxa" w:w="200"/>
              <w:right w:type="dxa" w:w="200"/>
              <w:bottom w:type="dxa" w:w="200"/>
            </w:tcMar>
          </w:tcPr>
          <w:p>
            <w:pPr>
              <w:pStyle w:val="Para 001"/>
            </w:pPr>
            <w:r>
              <w:t>intersection</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.intersection(</w:t>
            </w:r>
            <w:r>
              <w:rPr>
                <w:rStyle w:val="Text3"/>
              </w:rPr>
              <w:t>s1</w:t>
            </w:r>
            <w:r>
              <w:rPr>
                <w:rStyle w:val="Text0"/>
              </w:rPr>
              <w:t>)</w:t>
              <w:br w:clear="none"/>
            </w:r>
            <w:r>
              <w:t xml:space="preserve"> Returns</w:t>
            </w:r>
            <w:r>
              <w:rPr>
                <w:rStyle w:val="Text111"/>
              </w:rPr>
              <w:bookmarkStart w:id="896" w:name="idm45965278584560"/>
              <w:t/>
              <w:bookmarkEnd w:id="896"/>
            </w:r>
            <w:r>
              <w:t xml:space="preserve"> the set of all items of </w:t>
            </w:r>
            <w:r>
              <w:rPr>
                <w:rStyle w:val="Text3"/>
              </w:rPr>
              <w:t>s</w:t>
            </w:r>
            <w:r>
              <w:t xml:space="preserve"> that are also in </w:t>
            </w:r>
            <w:r>
              <w:rPr>
                <w:rStyle w:val="Text3"/>
              </w:rPr>
              <w:t>s1</w:t>
            </w:r>
            <w:r>
              <w:t xml:space="preserve">; can be written as </w:t>
            </w:r>
            <w:r>
              <w:rPr>
                <w:rStyle w:val="Text3"/>
              </w:rPr>
              <w:t>s</w:t>
            </w:r>
            <w:r>
              <w:t xml:space="preserve"> </w:t>
            </w:r>
            <w:r>
              <w:rPr>
                <w:rStyle w:val="Text0"/>
              </w:rPr>
              <w:t>&amp;</w:t>
            </w:r>
            <w:r>
              <w:t xml:space="preserve"> </w:t>
            </w:r>
            <w:r>
              <w:rPr>
                <w:rStyle w:val="Text3"/>
              </w:rPr>
              <w:t>s1</w:t>
            </w:r>
          </w:p>
        </w:tc>
      </w:tr>
    </w:tbl>
    <w:tbl>
      <w:tblPr>
        <w:tblW w:type="auto" w:w="0"/>
      </w:tblPr>
      <w:tr>
        <w:tc>
          <w:tcPr>
            <w:tcW w:type="auto" w:w="0"/>
            <w:tcMar>
              <w:left w:type="dxa" w:w="200"/>
              <w:top w:type="dxa" w:w="200"/>
              <w:right w:type="dxa" w:w="200"/>
              <w:bottom w:type="dxa" w:w="200"/>
            </w:tcMar>
          </w:tcPr>
          <w:p>
            <w:pPr>
              <w:pStyle w:val="Para 001"/>
            </w:pPr>
            <w:r>
              <w:t>isdisjoint</w:t>
            </w:r>
          </w:p>
        </w:tc>
        <w:tc>
          <w:tcPr>
            <w:tcW w:type="auto" w:w="0"/>
            <w:tcMar>
              <w:left w:type="dxa" w:w="200"/>
              <w:top w:type="dxa" w:w="200"/>
              <w:right w:type="dxa" w:w="200"/>
              <w:bottom w:type="dxa" w:w="200"/>
            </w:tcMar>
          </w:tcPr>
          <w:p>
            <w:pPr>
              <w:pStyle w:val="Para 002"/>
            </w:pPr>
            <w:r>
              <w:rPr>
                <w:rStyle w:val="Text3"/>
              </w:rPr>
              <w:t>s</w:t>
            </w:r>
            <w:r>
              <w:rPr>
                <w:rStyle w:val="Text0"/>
              </w:rPr>
              <w:t>.isdisjoint(</w:t>
            </w:r>
            <w:r>
              <w:rPr>
                <w:rStyle w:val="Text3"/>
              </w:rPr>
              <w:t>s1</w:t>
            </w:r>
            <w:r>
              <w:rPr>
                <w:rStyle w:val="Text0"/>
              </w:rPr>
              <w:t>)</w:t>
              <w:br w:clear="none"/>
            </w:r>
            <w:r>
              <w:t xml:space="preserve"> Returns</w:t>
            </w:r>
            <w:r>
              <w:rPr>
                <w:rStyle w:val="Text111"/>
              </w:rPr>
              <w:bookmarkStart w:id="897" w:name="idm45965278575744"/>
              <w:t/>
              <w:bookmarkEnd w:id="897"/>
            </w:r>
            <w:r>
              <w:t xml:space="preserve"> </w:t>
            </w:r>
            <w:r>
              <w:rPr>
                <w:rStyle w:val="Text5"/>
              </w:rPr>
              <w:t>True</w:t>
            </w:r>
            <w:r>
              <w:t xml:space="preserve"> if the intersection of </w:t>
            </w:r>
            <w:r>
              <w:rPr>
                <w:rStyle w:val="Text3"/>
              </w:rPr>
              <w:t>s</w:t>
            </w:r>
            <w:r>
              <w:t xml:space="preserve"> and </w:t>
            </w:r>
            <w:r>
              <w:rPr>
                <w:rStyle w:val="Text3"/>
              </w:rPr>
              <w:t>s1</w:t>
            </w:r>
            <w:r>
              <w:t xml:space="preserve"> is the empty set (they have no items in common), and otherwise returns </w:t>
            </w:r>
            <w:r>
              <w:rPr>
                <w:rStyle w:val="Text5"/>
              </w:rPr>
              <w:t>False</w:t>
            </w:r>
          </w:p>
        </w:tc>
      </w:tr>
    </w:tbl>
    <w:tbl>
      <w:tblPr>
        <w:tblW w:type="auto" w:w="0"/>
      </w:tblPr>
      <w:tr>
        <w:tc>
          <w:tcPr>
            <w:tcW w:type="auto" w:w="0"/>
            <w:shd w:val="clear" w:color="auto" w:fill="EEF2F6"/>
            <w:tcMar>
              <w:left w:type="dxa" w:w="200"/>
              <w:top w:type="dxa" w:w="200"/>
              <w:right w:type="dxa" w:w="200"/>
              <w:bottom w:type="dxa" w:w="200"/>
            </w:tcMar>
          </w:tcPr>
          <w:p>
            <w:pPr>
              <w:pStyle w:val="Para 001"/>
            </w:pPr>
            <w:r>
              <w:t>issubset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.issubset(</w:t>
            </w:r>
            <w:r>
              <w:rPr>
                <w:rStyle w:val="Text3"/>
              </w:rPr>
              <w:t>s1</w:t>
            </w:r>
            <w:r>
              <w:rPr>
                <w:rStyle w:val="Text0"/>
              </w:rPr>
              <w:t>)</w:t>
              <w:br w:clear="none"/>
            </w:r>
            <w:r>
              <w:t xml:space="preserve"> Returns</w:t>
            </w:r>
            <w:r>
              <w:rPr>
                <w:rStyle w:val="Text111"/>
              </w:rPr>
              <w:bookmarkStart w:id="898" w:name="idm45965278567648"/>
              <w:t/>
              <w:bookmarkEnd w:id="898"/>
            </w:r>
            <w:r>
              <w:t xml:space="preserve"> </w:t>
            </w:r>
            <w:r>
              <w:rPr>
                <w:rStyle w:val="Text5"/>
              </w:rPr>
              <w:t>True</w:t>
            </w:r>
            <w:r>
              <w:t xml:space="preserve"> when all items of </w:t>
            </w:r>
            <w:r>
              <w:rPr>
                <w:rStyle w:val="Text3"/>
              </w:rPr>
              <w:t>s</w:t>
            </w:r>
            <w:r>
              <w:t xml:space="preserve"> are also in </w:t>
            </w:r>
            <w:r>
              <w:rPr>
                <w:rStyle w:val="Text3"/>
              </w:rPr>
              <w:t>s1</w:t>
            </w:r>
            <w:r>
              <w:t xml:space="preserve">, and otherwise returns </w:t>
            </w:r>
            <w:r>
              <w:rPr>
                <w:rStyle w:val="Text5"/>
              </w:rPr>
              <w:t>False</w:t>
            </w:r>
            <w:r>
              <w:t xml:space="preserve">; can be written as </w:t>
            </w:r>
            <w:r>
              <w:rPr>
                <w:rStyle w:val="Text3"/>
              </w:rPr>
              <w:t>s</w:t>
            </w:r>
            <w:r>
              <w:t xml:space="preserve"> </w:t>
            </w:r>
            <w:r>
              <w:rPr>
                <w:rStyle w:val="Text0"/>
              </w:rPr>
              <w:t>&lt;=</w:t>
            </w:r>
            <w:r>
              <w:t xml:space="preserve"> </w:t>
            </w:r>
            <w:r>
              <w:rPr>
                <w:rStyle w:val="Text3"/>
              </w:rPr>
              <w:t>s1</w:t>
            </w:r>
          </w:p>
        </w:tc>
      </w:tr>
    </w:tbl>
    <w:tbl>
      <w:tblPr>
        <w:tblW w:type="auto" w:w="0"/>
      </w:tblPr>
      <w:tr>
        <w:tc>
          <w:tcPr>
            <w:tcW w:type="auto" w:w="0"/>
            <w:tcMar>
              <w:left w:type="dxa" w:w="200"/>
              <w:top w:type="dxa" w:w="200"/>
              <w:right w:type="dxa" w:w="200"/>
              <w:bottom w:type="dxa" w:w="200"/>
            </w:tcMar>
          </w:tcPr>
          <w:p>
            <w:pPr>
              <w:pStyle w:val="Para 001"/>
            </w:pPr>
            <w:r>
              <w:t>issuperset</w:t>
            </w:r>
          </w:p>
        </w:tc>
        <w:tc>
          <w:tcPr>
            <w:tcW w:type="auto" w:w="0"/>
            <w:tcMar>
              <w:left w:type="dxa" w:w="200"/>
              <w:top w:type="dxa" w:w="200"/>
              <w:right w:type="dxa" w:w="200"/>
              <w:bottom w:type="dxa" w:w="200"/>
            </w:tcMar>
          </w:tcPr>
          <w:p>
            <w:pPr>
              <w:pStyle w:val="Para 002"/>
            </w:pPr>
            <w:r>
              <w:rPr>
                <w:rStyle w:val="Text3"/>
              </w:rPr>
              <w:t>s</w:t>
            </w:r>
            <w:r>
              <w:rPr>
                <w:rStyle w:val="Text0"/>
              </w:rPr>
              <w:t>.issuperset(</w:t>
            </w:r>
            <w:r>
              <w:rPr>
                <w:rStyle w:val="Text3"/>
              </w:rPr>
              <w:t>s1</w:t>
            </w:r>
            <w:r>
              <w:rPr>
                <w:rStyle w:val="Text0"/>
              </w:rPr>
              <w:t>)</w:t>
              <w:br w:clear="none"/>
            </w:r>
            <w:r>
              <w:t xml:space="preserve"> Returns</w:t>
            </w:r>
            <w:r>
              <w:rPr>
                <w:rStyle w:val="Text111"/>
              </w:rPr>
              <w:bookmarkStart w:id="899" w:name="idm45965278556928"/>
              <w:t/>
              <w:bookmarkEnd w:id="899"/>
            </w:r>
            <w:r>
              <w:t xml:space="preserve"> </w:t>
            </w:r>
            <w:r>
              <w:rPr>
                <w:rStyle w:val="Text5"/>
              </w:rPr>
              <w:t>True</w:t>
            </w:r>
            <w:r>
              <w:t xml:space="preserve"> when all items of </w:t>
            </w:r>
            <w:r>
              <w:rPr>
                <w:rStyle w:val="Text3"/>
              </w:rPr>
              <w:t>s1</w:t>
            </w:r>
            <w:r>
              <w:t xml:space="preserve"> are also in </w:t>
            </w:r>
            <w:r>
              <w:rPr>
                <w:rStyle w:val="Text3"/>
              </w:rPr>
              <w:t>s</w:t>
            </w:r>
            <w:r>
              <w:t xml:space="preserve">, and otherwise returns </w:t>
            </w:r>
            <w:r>
              <w:rPr>
                <w:rStyle w:val="Text5"/>
              </w:rPr>
              <w:t>False</w:t>
            </w:r>
            <w:r>
              <w:t xml:space="preserve"> (like </w:t>
            </w:r>
            <w:r>
              <w:rPr>
                <w:rStyle w:val="Text3"/>
              </w:rPr>
              <w:t>s1</w:t>
            </w:r>
            <w:r>
              <w:rPr>
                <w:rStyle w:val="Text0"/>
              </w:rPr>
              <w:t>.issubset(</w:t>
            </w:r>
            <w:r>
              <w:rPr>
                <w:rStyle w:val="Text3"/>
              </w:rPr>
              <w:t>s</w:t>
            </w:r>
            <w:r>
              <w:rPr>
                <w:rStyle w:val="Text0"/>
              </w:rPr>
              <w:t>)</w:t>
            </w:r>
            <w:r>
              <w:t xml:space="preserve">); can be written as </w:t>
            </w:r>
            <w:r>
              <w:rPr>
                <w:rStyle w:val="Text3"/>
              </w:rPr>
              <w:t>s</w:t>
            </w:r>
            <w:r>
              <w:t xml:space="preserve"> </w:t>
            </w:r>
            <w:r>
              <w:rPr>
                <w:rStyle w:val="Text0"/>
              </w:rPr>
              <w:t>&gt;=</w:t>
            </w:r>
            <w:r>
              <w:t xml:space="preserve"> </w:t>
            </w:r>
            <w:r>
              <w:rPr>
                <w:rStyle w:val="Text3"/>
              </w:rPr>
              <w:t>s1</w:t>
            </w:r>
          </w:p>
        </w:tc>
      </w:tr>
    </w:tbl>
    <w:tbl>
      <w:tblPr>
        <w:tblW w:type="auto" w:w="0"/>
      </w:tblPr>
      <w:tr>
        <w:tc>
          <w:tcPr>
            <w:tcW w:type="auto" w:w="0"/>
            <w:shd w:val="clear" w:color="auto" w:fill="EEF2F6"/>
            <w:tcMar>
              <w:left w:type="dxa" w:w="200"/>
              <w:top w:type="dxa" w:w="200"/>
              <w:right w:type="dxa" w:w="200"/>
              <w:bottom w:type="dxa" w:w="200"/>
            </w:tcMar>
          </w:tcPr>
          <w:p>
            <w:pPr>
              <w:pStyle w:val="Para 001"/>
            </w:pPr>
            <w:r>
              <w:t>symmet⁠r⁠i⁠c⁠_​d⁠i⁠f⁠ference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.symmetric_difference(</w:t>
            </w:r>
            <w:r>
              <w:rPr>
                <w:rStyle w:val="Text3"/>
              </w:rPr>
              <w:t>s1</w:t>
            </w:r>
            <w:r>
              <w:rPr>
                <w:rStyle w:val="Text0"/>
              </w:rPr>
              <w:t>)</w:t>
              <w:br w:clear="none"/>
            </w:r>
            <w:r>
              <w:t xml:space="preserve"> Returns</w:t>
            </w:r>
            <w:r>
              <w:rPr>
                <w:rStyle w:val="Text111"/>
              </w:rPr>
              <w:bookmarkStart w:id="900" w:name="idm45965278544752"/>
              <w:t/>
              <w:bookmarkEnd w:id="900"/>
            </w:r>
            <w:r>
              <w:t xml:space="preserve"> the set of all items that are in either </w:t>
            </w:r>
            <w:r>
              <w:rPr>
                <w:rStyle w:val="Text3"/>
              </w:rPr>
              <w:t>s</w:t>
            </w:r>
            <w:r>
              <w:t xml:space="preserve"> or </w:t>
            </w:r>
            <w:r>
              <w:rPr>
                <w:rStyle w:val="Text3"/>
              </w:rPr>
              <w:t>s1</w:t>
            </w:r>
            <w:r>
              <w:t xml:space="preserve">, but not both; can be written </w:t>
            </w:r>
            <w:r>
              <w:rPr>
                <w:rStyle w:val="Text3"/>
              </w:rPr>
              <w:t>s ^ s1</w:t>
            </w:r>
          </w:p>
        </w:tc>
      </w:tr>
    </w:tbl>
    <w:tbl>
      <w:tblPr>
        <w:tblW w:type="auto" w:w="0"/>
      </w:tblPr>
      <w:tr>
        <w:tc>
          <w:tcPr>
            <w:tcW w:type="auto" w:w="0"/>
            <w:tcMar>
              <w:left w:type="dxa" w:w="200"/>
              <w:top w:type="dxa" w:w="200"/>
              <w:right w:type="dxa" w:w="200"/>
              <w:bottom w:type="dxa" w:w="200"/>
            </w:tcMar>
          </w:tcPr>
          <w:p>
            <w:pPr>
              <w:pStyle w:val="Para 001"/>
            </w:pPr>
            <w:r>
              <w:t>union</w:t>
            </w:r>
          </w:p>
        </w:tc>
        <w:tc>
          <w:tcPr>
            <w:tcW w:type="auto" w:w="0"/>
            <w:tcMar>
              <w:left w:type="dxa" w:w="200"/>
              <w:top w:type="dxa" w:w="200"/>
              <w:right w:type="dxa" w:w="200"/>
              <w:bottom w:type="dxa" w:w="200"/>
            </w:tcMar>
          </w:tcPr>
          <w:p>
            <w:pPr>
              <w:pStyle w:val="Para 002"/>
            </w:pPr>
            <w:r>
              <w:rPr>
                <w:rStyle w:val="Text3"/>
              </w:rPr>
              <w:t>s</w:t>
            </w:r>
            <w:r>
              <w:rPr>
                <w:rStyle w:val="Text0"/>
              </w:rPr>
              <w:t>.union(</w:t>
            </w:r>
            <w:r>
              <w:rPr>
                <w:rStyle w:val="Text3"/>
              </w:rPr>
              <w:t>s1</w:t>
            </w:r>
            <w:r>
              <w:rPr>
                <w:rStyle w:val="Text0"/>
              </w:rPr>
              <w:t>)</w:t>
              <w:br w:clear="none"/>
            </w:r>
            <w:r>
              <w:t xml:space="preserve"> Returns</w:t>
            </w:r>
            <w:r>
              <w:rPr>
                <w:rStyle w:val="Text111"/>
              </w:rPr>
              <w:bookmarkStart w:id="901" w:name="idm45965278537504"/>
              <w:t/>
              <w:bookmarkEnd w:id="901"/>
            </w:r>
            <w:r>
              <w:t xml:space="preserve"> the set of all items that are in </w:t>
            </w:r>
            <w:r>
              <w:rPr>
                <w:rStyle w:val="Text3"/>
              </w:rPr>
              <w:t>s</w:t>
            </w:r>
            <w:r>
              <w:t xml:space="preserve">, </w:t>
            </w:r>
            <w:r>
              <w:rPr>
                <w:rStyle w:val="Text3"/>
              </w:rPr>
              <w:t>s1</w:t>
            </w:r>
            <w:r>
              <w:t xml:space="preserve">, or both; can be written as </w:t>
            </w:r>
            <w:r>
              <w:rPr>
                <w:rStyle w:val="Text3"/>
              </w:rPr>
              <w:t>s</w:t>
            </w:r>
            <w:r>
              <w:t xml:space="preserve"> </w:t>
            </w:r>
            <w:r>
              <w:rPr>
                <w:rStyle w:val="Text0"/>
              </w:rPr>
              <w:t>|</w:t>
            </w:r>
            <w:r>
              <w:t xml:space="preserve"> </w:t>
            </w:r>
            <w:r>
              <w:rPr>
                <w:rStyle w:val="Text3"/>
              </w:rPr>
              <w:t>s1</w:t>
            </w:r>
          </w:p>
        </w:tc>
      </w:tr>
    </w:tbl>
    <w:tbl>
      <w:tblPr>
        <w:tblW w:type="auto" w:w="0"/>
      </w:tblPr>
      <w:tr>
        <w:tc>
          <w:tcPr>
            <w:tcW w:type="auto" w:w="0"/>
            <w:shd w:val="clear" w:color="auto" w:fill="EEF2F6"/>
            <w:tcMar>
              <w:left w:type="dxa" w:w="200"/>
              <w:top w:type="dxa" w:w="200"/>
              <w:right w:type="dxa" w:w="200"/>
              <w:bottom w:type="dxa" w:w="200"/>
            </w:tcMar>
          </w:tcPr>
          <w:p>
            <w:pPr>
              <w:pStyle w:val="Para 013"/>
            </w:pPr>
            <w:r>
              <w:t>Mutating</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add</w:t>
            </w:r>
          </w:p>
        </w:tc>
        <w:tc>
          <w:tcPr>
            <w:tcW w:type="auto" w:w="0"/>
            <w:tcMar>
              <w:left w:type="dxa" w:w="200"/>
              <w:top w:type="dxa" w:w="200"/>
              <w:right w:type="dxa" w:w="200"/>
              <w:bottom w:type="dxa" w:w="200"/>
            </w:tcMar>
          </w:tcPr>
          <w:p>
            <w:pPr>
              <w:pStyle w:val="Para 002"/>
            </w:pPr>
            <w:r>
              <w:rPr>
                <w:rStyle w:val="Text3"/>
              </w:rPr>
              <w:t>s</w:t>
            </w:r>
            <w:r>
              <w:rPr>
                <w:rStyle w:val="Text0"/>
              </w:rPr>
              <w:t>.add(</w:t>
            </w:r>
            <w:r>
              <w:rPr>
                <w:rStyle w:val="Text3"/>
              </w:rPr>
              <w:t>x</w:t>
            </w:r>
            <w:r>
              <w:rPr>
                <w:rStyle w:val="Text0"/>
              </w:rPr>
              <w:t>)</w:t>
              <w:br w:clear="none"/>
            </w:r>
            <w:r>
              <w:t xml:space="preserve"> Adds</w:t>
            </w:r>
            <w:r>
              <w:rPr>
                <w:rStyle w:val="Text111"/>
              </w:rPr>
              <w:bookmarkStart w:id="902" w:name="idm45965278527216"/>
              <w:t/>
              <w:bookmarkEnd w:id="902"/>
            </w:r>
            <w:r>
              <w:t xml:space="preserve"> </w:t>
            </w:r>
            <w:r>
              <w:rPr>
                <w:rStyle w:val="Text3"/>
              </w:rPr>
              <w:t>x</w:t>
            </w:r>
            <w:r>
              <w:t xml:space="preserve"> as an item to </w:t>
            </w:r>
            <w:r>
              <w:rPr>
                <w:rStyle w:val="Text3"/>
              </w:rPr>
              <w:t>s</w:t>
            </w:r>
            <w:r>
              <w:t xml:space="preserve">; no effect if </w:t>
            </w:r>
            <w:r>
              <w:rPr>
                <w:rStyle w:val="Text3"/>
              </w:rPr>
              <w:t>x</w:t>
            </w:r>
            <w:r>
              <w:t xml:space="preserve"> was already an item in </w:t>
            </w:r>
            <w:r>
              <w:rPr>
                <w:rStyle w:val="Text3"/>
              </w:rPr>
              <w:t>s</w:t>
            </w:r>
          </w:p>
        </w:tc>
      </w:tr>
    </w:tbl>
    <w:tbl>
      <w:tblPr>
        <w:tblW w:type="auto" w:w="0"/>
      </w:tblPr>
      <w:tr>
        <w:tc>
          <w:tcPr>
            <w:tcW w:type="auto" w:w="0"/>
            <w:shd w:val="clear" w:color="auto" w:fill="EEF2F6"/>
            <w:tcMar>
              <w:left w:type="dxa" w:w="200"/>
              <w:top w:type="dxa" w:w="200"/>
              <w:right w:type="dxa" w:w="200"/>
              <w:bottom w:type="dxa" w:w="200"/>
            </w:tcMar>
          </w:tcPr>
          <w:p>
            <w:pPr>
              <w:pStyle w:val="Para 001"/>
            </w:pPr>
            <w:r>
              <w:t>clear</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.clear()</w:t>
              <w:br w:clear="none"/>
            </w:r>
            <w:r>
              <w:t xml:space="preserve"> Removes</w:t>
            </w:r>
            <w:r>
              <w:rPr>
                <w:rStyle w:val="Text111"/>
              </w:rPr>
              <w:bookmarkStart w:id="903" w:name="idm45965278519760"/>
              <w:t/>
              <w:bookmarkEnd w:id="903"/>
            </w:r>
            <w:r>
              <w:t xml:space="preserve"> all items from </w:t>
            </w:r>
            <w:r>
              <w:rPr>
                <w:rStyle w:val="Text3"/>
              </w:rPr>
              <w:t>s</w:t>
            </w:r>
            <w:r>
              <w:t xml:space="preserve">, leaving </w:t>
            </w:r>
            <w:r>
              <w:rPr>
                <w:rStyle w:val="Text3"/>
              </w:rPr>
              <w:t>s</w:t>
            </w:r>
            <w:r>
              <w:t xml:space="preserve"> empty</w:t>
            </w:r>
          </w:p>
        </w:tc>
      </w:tr>
    </w:tbl>
    <w:tbl>
      <w:tblPr>
        <w:tblW w:type="auto" w:w="0"/>
      </w:tblPr>
      <w:tr>
        <w:tc>
          <w:tcPr>
            <w:tcW w:type="auto" w:w="0"/>
            <w:tcMar>
              <w:left w:type="dxa" w:w="200"/>
              <w:top w:type="dxa" w:w="200"/>
              <w:right w:type="dxa" w:w="200"/>
              <w:bottom w:type="dxa" w:w="200"/>
            </w:tcMar>
          </w:tcPr>
          <w:p>
            <w:pPr>
              <w:pStyle w:val="Para 001"/>
            </w:pPr>
            <w:r>
              <w:t>discard</w:t>
            </w:r>
          </w:p>
        </w:tc>
        <w:tc>
          <w:tcPr>
            <w:tcW w:type="auto" w:w="0"/>
            <w:tcMar>
              <w:left w:type="dxa" w:w="200"/>
              <w:top w:type="dxa" w:w="200"/>
              <w:right w:type="dxa" w:w="200"/>
              <w:bottom w:type="dxa" w:w="200"/>
            </w:tcMar>
          </w:tcPr>
          <w:p>
            <w:pPr>
              <w:pStyle w:val="Para 002"/>
            </w:pPr>
            <w:r>
              <w:rPr>
                <w:rStyle w:val="Text3"/>
              </w:rPr>
              <w:t>s</w:t>
            </w:r>
            <w:r>
              <w:rPr>
                <w:rStyle w:val="Text0"/>
              </w:rPr>
              <w:t>.discard(</w:t>
            </w:r>
            <w:r>
              <w:rPr>
                <w:rStyle w:val="Text3"/>
              </w:rPr>
              <w:t>x</w:t>
            </w:r>
            <w:r>
              <w:rPr>
                <w:rStyle w:val="Text0"/>
              </w:rPr>
              <w:t>)</w:t>
              <w:br w:clear="none"/>
            </w:r>
            <w:r>
              <w:t xml:space="preserve"> Removes</w:t>
            </w:r>
            <w:r>
              <w:rPr>
                <w:rStyle w:val="Text111"/>
              </w:rPr>
              <w:bookmarkStart w:id="904" w:name="idm45965278512768"/>
              <w:t/>
              <w:bookmarkEnd w:id="904"/>
            </w:r>
            <w:r>
              <w:t xml:space="preserve"> </w:t>
            </w:r>
            <w:r>
              <w:rPr>
                <w:rStyle w:val="Text3"/>
              </w:rPr>
              <w:t>x</w:t>
            </w:r>
            <w:r>
              <w:t xml:space="preserve"> as an item of </w:t>
            </w:r>
            <w:r>
              <w:rPr>
                <w:rStyle w:val="Text3"/>
              </w:rPr>
              <w:t>s</w:t>
            </w:r>
            <w:r>
              <w:t xml:space="preserve">; no effect when </w:t>
            </w:r>
            <w:r>
              <w:rPr>
                <w:rStyle w:val="Text3"/>
              </w:rPr>
              <w:t>x</w:t>
            </w:r>
            <w:r>
              <w:t xml:space="preserve"> was not an item of </w:t>
            </w:r>
            <w:r>
              <w:rPr>
                <w:rStyle w:val="Text3"/>
              </w:rPr>
              <w:t>s</w:t>
            </w:r>
          </w:p>
        </w:tc>
      </w:tr>
    </w:tbl>
    <w:tbl>
      <w:tblPr>
        <w:tblW w:type="auto" w:w="0"/>
      </w:tblPr>
      <w:tr>
        <w:tc>
          <w:tcPr>
            <w:tcW w:type="auto" w:w="0"/>
            <w:shd w:val="clear" w:color="auto" w:fill="EEF2F6"/>
            <w:tcMar>
              <w:left w:type="dxa" w:w="200"/>
              <w:top w:type="dxa" w:w="200"/>
              <w:right w:type="dxa" w:w="200"/>
              <w:bottom w:type="dxa" w:w="200"/>
            </w:tcMar>
          </w:tcPr>
          <w:p>
            <w:pPr>
              <w:pStyle w:val="Para 001"/>
            </w:pPr>
            <w:r>
              <w:t>pop</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.pop()</w:t>
              <w:br w:clear="none"/>
            </w:r>
            <w:r>
              <w:t xml:space="preserve"> Removes</w:t>
            </w:r>
            <w:r>
              <w:rPr>
                <w:rStyle w:val="Text111"/>
              </w:rPr>
              <w:bookmarkStart w:id="905" w:name="idm45965278505280"/>
              <w:t/>
              <w:bookmarkEnd w:id="905"/>
            </w:r>
            <w:r>
              <w:t xml:space="preserve"> and returns an arbitrary item of </w:t>
            </w:r>
            <w:r>
              <w:rPr>
                <w:rStyle w:val="Text3"/>
              </w:rPr>
              <w:t>s</w:t>
            </w:r>
          </w:p>
        </w:tc>
      </w:tr>
    </w:tbl>
    <w:tbl>
      <w:tblPr>
        <w:tblW w:type="auto" w:w="0"/>
      </w:tblPr>
      <w:tr>
        <w:tc>
          <w:tcPr>
            <w:tcW w:type="auto" w:w="0"/>
            <w:tcMar>
              <w:left w:type="dxa" w:w="200"/>
              <w:top w:type="dxa" w:w="200"/>
              <w:right w:type="dxa" w:w="200"/>
              <w:bottom w:type="dxa" w:w="200"/>
            </w:tcMar>
          </w:tcPr>
          <w:p>
            <w:pPr>
              <w:pStyle w:val="Para 001"/>
            </w:pPr>
            <w:r>
              <w:t>remove</w:t>
            </w:r>
          </w:p>
        </w:tc>
        <w:tc>
          <w:tcPr>
            <w:tcW w:type="auto" w:w="0"/>
            <w:tcMar>
              <w:left w:type="dxa" w:w="200"/>
              <w:top w:type="dxa" w:w="200"/>
              <w:right w:type="dxa" w:w="200"/>
              <w:bottom w:type="dxa" w:w="200"/>
            </w:tcMar>
          </w:tcPr>
          <w:p>
            <w:pPr>
              <w:pStyle w:val="Para 002"/>
            </w:pPr>
            <w:r>
              <w:rPr>
                <w:rStyle w:val="Text3"/>
              </w:rPr>
              <w:t>s</w:t>
            </w:r>
            <w:r>
              <w:rPr>
                <w:rStyle w:val="Text0"/>
              </w:rPr>
              <w:t>.remove(</w:t>
            </w:r>
            <w:r>
              <w:rPr>
                <w:rStyle w:val="Text3"/>
              </w:rPr>
              <w:t>x</w:t>
            </w:r>
            <w:r>
              <w:rPr>
                <w:rStyle w:val="Text0"/>
              </w:rPr>
              <w:t>)</w:t>
              <w:br w:clear="none"/>
            </w:r>
            <w:r>
              <w:t xml:space="preserve"> Removes</w:t>
            </w:r>
            <w:r>
              <w:rPr>
                <w:rStyle w:val="Text111"/>
              </w:rPr>
              <w:bookmarkStart w:id="906" w:name="idm45965278499296"/>
              <w:t/>
              <w:bookmarkEnd w:id="906"/>
            </w:r>
            <w:r>
              <w:t xml:space="preserve"> </w:t>
            </w:r>
            <w:r>
              <w:rPr>
                <w:rStyle w:val="Text3"/>
              </w:rPr>
              <w:t>x</w:t>
            </w:r>
            <w:r>
              <w:t xml:space="preserve"> as an item of </w:t>
            </w:r>
            <w:r>
              <w:rPr>
                <w:rStyle w:val="Text3"/>
              </w:rPr>
              <w:t>s</w:t>
            </w:r>
            <w:r>
              <w:t xml:space="preserve">; raises a </w:t>
            </w:r>
            <w:r>
              <w:rPr>
                <w:rStyle w:val="Text0"/>
              </w:rPr>
              <w:t>KeyError</w:t>
            </w:r>
            <w:r>
              <w:t xml:space="preserve"> exception when </w:t>
            </w:r>
            <w:r>
              <w:rPr>
                <w:rStyle w:val="Text3"/>
              </w:rPr>
              <w:t>x</w:t>
            </w:r>
            <w:r>
              <w:t xml:space="preserve"> was not an item of </w:t>
            </w:r>
            <w:r>
              <w:rPr>
                <w:rStyle w:val="Text3"/>
              </w:rPr>
              <w:t>s</w:t>
            </w:r>
          </w:p>
        </w:tc>
      </w:tr>
    </w:tbl>
    <w:p>
      <w:pPr>
        <w:pStyle w:val="Normal"/>
      </w:pPr>
      <w:r>
        <w:t xml:space="preserve">All mutating methods of set objects, except </w:t>
      </w:r>
      <w:r>
        <w:rPr>
          <w:rStyle w:val="Text0"/>
        </w:rPr>
        <w:t>pop</w:t>
      </w:r>
      <w:r>
        <w:t xml:space="preserve">, return </w:t>
      </w:r>
      <w:r>
        <w:rPr>
          <w:rStyle w:val="Text5"/>
        </w:rPr>
        <w:t>None</w:t>
      </w:r>
      <w:r>
        <w:t>.</w:t>
      </w:r>
    </w:p>
    <w:p>
      <w:pPr>
        <w:pStyle w:val="Normal"/>
      </w:pPr>
      <w:r>
        <w:t xml:space="preserve">The </w:t>
      </w:r>
      <w:r>
        <w:rPr>
          <w:rStyle w:val="Text0"/>
        </w:rPr>
        <w:t>pop</w:t>
      </w:r>
      <w:r>
        <w:t xml:space="preserve"> method can be used for destructive iteration on a set, consuming little extra memory. The memory savings make </w:t>
      </w:r>
      <w:r>
        <w:rPr>
          <w:rStyle w:val="Text0"/>
        </w:rPr>
        <w:t>pop</w:t>
      </w:r>
      <w:r>
        <w:t xml:space="preserve"> usable for a loop on a huge set, when what you want is to “consume” the set in the course of the loop. Besides saving memory, a potential advantage of a destructive loop such as this:</w:t>
      </w:r>
    </w:p>
    <w:p>
      <w:pPr>
        <w:pStyle w:val="Para 014"/>
      </w:pPr>
      <w:r>
        <w:rPr>
          <w:rStyle w:val="Text116"/>
        </w:rPr>
        <w:t xml:space="preserve"/>
        <w:br w:clear="none"/>
      </w:r>
      <w:r>
        <w:rPr>
          <w:rStyle w:val="Text22"/>
        </w:rPr>
        <w:t xml:space="preserve">while</w:t>
        <w:br w:clear="none"/>
      </w:r>
      <w:r>
        <w:rPr>
          <w:rStyle w:val="Text11"/>
        </w:rPr>
        <w:t xml:space="preserve"> </w:t>
        <w:br w:clear="none"/>
      </w:r>
      <w:r>
        <w:rPr>
          <w:rStyle w:val="Text14"/>
        </w:rPr>
        <w:t xml:space="preserve">S</w:t>
        <w:br w:clear="none"/>
      </w:r>
      <w:r>
        <w:rPr>
          <w:rStyle w:val="Text19"/>
        </w:rPr>
        <w:t xml:space="preserve">:</w:t>
        <w:br w:clear="none"/>
      </w:r>
      <w:r>
        <w:rPr>
          <w:rStyle w:val="Text11"/>
        </w:rPr>
        <w:t xml:space="preserve"/>
        <w:br w:clear="none"/>
        <w:t xml:space="preserve">    </w:t>
        <w:br w:clear="none"/>
      </w:r>
      <w:r>
        <w:rPr>
          <w:rStyle w:val="Text14"/>
        </w:rPr>
        <w:t xml:space="preserve">item</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w:t>
        <w:br w:clear="none"/>
      </w:r>
      <w:r>
        <w:rPr>
          <w:rStyle w:val="Text28"/>
        </w:rPr>
        <w:t xml:space="preserve">.</w:t>
        <w:br w:clear="none"/>
      </w:r>
      <w:r>
        <w:rPr>
          <w:rStyle w:val="Text14"/>
        </w:rPr>
        <w:t xml:space="preserve">pop</w:t>
        <w:br w:clear="none"/>
      </w:r>
      <w:r>
        <w:rPr>
          <w:rStyle w:val="Text19"/>
        </w:rPr>
        <w:t xml:space="preserve">(</w:t>
        <w:br w:clear="none"/>
        <w:t xml:space="preserve">)</w:t>
        <w:br w:clear="none"/>
      </w:r>
      <w:r>
        <w:rPr>
          <w:rStyle w:val="Text11"/>
        </w:rPr>
        <w:t xml:space="preserve"/>
        <w:br w:clear="none"/>
      </w:r>
      <w:r>
        <w:rPr>
          <w:rStyle w:val="Text6"/>
        </w:rPr>
        <w:t xml:space="preserve">    </w:t>
        <w:br w:clear="none"/>
      </w:r>
      <w:r>
        <w:t xml:space="preserve"># ...handle item...</w:t>
        <w:br w:clear="none"/>
      </w:r>
    </w:p>
    <w:p>
      <w:pPr>
        <w:pStyle w:val="Normal"/>
      </w:pPr>
      <w:r>
        <w:t>in comparison to a nondestructive loop such as this:</w:t>
      </w:r>
    </w:p>
    <w:p>
      <w:pPr>
        <w:pStyle w:val="Para 014"/>
      </w:pPr>
      <w:r>
        <w:rPr>
          <w:rStyle w:val="Text116"/>
        </w:rPr>
        <w:t xml:space="preserve"/>
        <w:br w:clear="none"/>
      </w:r>
      <w:r>
        <w:rPr>
          <w:rStyle w:val="Text22"/>
        </w:rPr>
        <w:t xml:space="preserve">for</w:t>
        <w:br w:clear="none"/>
      </w:r>
      <w:r>
        <w:rPr>
          <w:rStyle w:val="Text11"/>
        </w:rPr>
        <w:t xml:space="preserve"> </w:t>
        <w:br w:clear="none"/>
      </w:r>
      <w:r>
        <w:rPr>
          <w:rStyle w:val="Text14"/>
        </w:rPr>
        <w:t xml:space="preserve">item</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S</w:t>
        <w:br w:clear="none"/>
      </w:r>
      <w:r>
        <w:rPr>
          <w:rStyle w:val="Text19"/>
        </w:rPr>
        <w:t xml:space="preserve">:</w:t>
        <w:br w:clear="none"/>
      </w:r>
      <w:r>
        <w:rPr>
          <w:rStyle w:val="Text11"/>
        </w:rPr>
        <w:t xml:space="preserve"/>
        <w:br w:clear="none"/>
      </w:r>
      <w:r>
        <w:rPr>
          <w:rStyle w:val="Text6"/>
        </w:rPr>
        <w:t xml:space="preserve">    </w:t>
        <w:br w:clear="none"/>
      </w:r>
      <w:r>
        <w:t xml:space="preserve"># ...handle item...</w:t>
        <w:br w:clear="none"/>
      </w:r>
    </w:p>
    <w:p>
      <w:pPr>
        <w:pStyle w:val="Normal"/>
      </w:pPr>
      <w:r>
        <w:t xml:space="preserve">is that in the body of the destructive loop you’re allowed to modify </w:t>
      </w:r>
      <w:r>
        <w:rPr>
          <w:rStyle w:val="Text3"/>
        </w:rPr>
        <w:t>S</w:t>
      </w:r>
      <w:r>
        <w:t xml:space="preserve"> (adding and/or removing items), which is not allowed in the nondestructive loop.</w:t>
      </w:r>
    </w:p>
    <w:p>
      <w:pPr>
        <w:pStyle w:val="Normal"/>
      </w:pPr>
      <w:r>
        <w:t xml:space="preserve">Sets also have mutating methods named </w:t>
      </w:r>
      <w:r>
        <w:rPr>
          <w:rStyle w:val="Text0"/>
        </w:rPr>
        <w:t>difference_update</w:t>
      </w:r>
      <w:r>
        <w:t xml:space="preserve">, </w:t>
      </w:r>
      <w:r>
        <w:rPr>
          <w:rStyle w:val="Text0"/>
        </w:rPr>
        <w:t>intersection_update</w:t>
      </w:r>
      <w:r>
        <w:t xml:space="preserve">, </w:t>
      </w:r>
      <w:r>
        <w:rPr>
          <w:rStyle w:val="Text0"/>
        </w:rPr>
        <w:t>symmetric_difference_update</w:t>
      </w:r>
      <w:r>
        <w:t xml:space="preserve">, and </w:t>
      </w:r>
      <w:r>
        <w:rPr>
          <w:rStyle w:val="Text0"/>
        </w:rPr>
        <w:t>update</w:t>
      </w:r>
      <w:r>
        <w:t xml:space="preserve"> (corresponding to the nonmutating method </w:t>
      </w:r>
      <w:r>
        <w:rPr>
          <w:rStyle w:val="Text0"/>
        </w:rPr>
        <w:t>union</w:t>
      </w:r>
      <w:r>
        <w:t xml:space="preserve">). Each such mutating method performs the same operation as the corresponding nonmutating method, but it performs the operation in place, altering the set on which you call it, and returns </w:t>
      </w:r>
      <w:r>
        <w:rPr>
          <w:rStyle w:val="Text5"/>
        </w:rPr>
        <w:t>None</w:t>
      </w:r>
      <w:r>
        <w:t>.</w:t>
      </w:r>
    </w:p>
    <w:p>
      <w:pPr>
        <w:pStyle w:val="Normal"/>
      </w:pPr>
      <w:r>
        <w:t xml:space="preserve">The four corresponding nonmutating methods are also accessible with operator syntax (where </w:t>
      </w:r>
      <w:r>
        <w:rPr>
          <w:rStyle w:val="Text3"/>
        </w:rPr>
        <w:t>S2</w:t>
      </w:r>
      <w:r>
        <w:t xml:space="preserve"> is a </w:t>
      </w:r>
      <w:r>
        <w:rPr>
          <w:rStyle w:val="Text0"/>
        </w:rPr>
        <w:t>set</w:t>
      </w:r>
      <w:r>
        <w:t xml:space="preserve"> or </w:t>
      </w:r>
      <w:r>
        <w:rPr>
          <w:rStyle w:val="Text0"/>
        </w:rPr>
        <w:t>frozenset</w:t>
      </w:r>
      <w:r>
        <w:t xml:space="preserve">, respectively, </w:t>
      </w:r>
      <w:r>
        <w:rPr>
          <w:rStyle w:val="Text3"/>
        </w:rPr>
        <w:t>S</w:t>
      </w:r>
      <w:r>
        <w:t xml:space="preserve"> </w:t>
      </w:r>
      <w:r>
        <w:rPr>
          <w:rStyle w:val="Text0"/>
        </w:rPr>
        <w:t>-</w:t>
      </w:r>
      <w:r>
        <w:t xml:space="preserve"> </w:t>
      </w:r>
      <w:r>
        <w:rPr>
          <w:rStyle w:val="Text3"/>
        </w:rPr>
        <w:t>S2</w:t>
      </w:r>
      <w:r>
        <w:t xml:space="preserve">, </w:t>
      </w:r>
      <w:r>
        <w:rPr>
          <w:rStyle w:val="Text3"/>
        </w:rPr>
        <w:t>S</w:t>
      </w:r>
      <w:r>
        <w:t xml:space="preserve"> </w:t>
      </w:r>
      <w:r>
        <w:rPr>
          <w:rStyle w:val="Text0"/>
        </w:rPr>
        <w:t>&amp;</w:t>
      </w:r>
      <w:r>
        <w:t xml:space="preserve"> </w:t>
      </w:r>
      <w:r>
        <w:rPr>
          <w:rStyle w:val="Text3"/>
        </w:rPr>
        <w:t>S2</w:t>
      </w:r>
      <w:r>
        <w:t xml:space="preserve">, </w:t>
      </w:r>
      <w:r>
        <w:rPr>
          <w:rStyle w:val="Text3"/>
        </w:rPr>
        <w:t>S</w:t>
      </w:r>
      <w:r>
        <w:t xml:space="preserve"> </w:t>
      </w:r>
      <w:r>
        <w:rPr>
          <w:rStyle w:val="Text0"/>
        </w:rPr>
        <w:t>^</w:t>
      </w:r>
      <w:r>
        <w:t xml:space="preserve"> </w:t>
      </w:r>
      <w:r>
        <w:rPr>
          <w:rStyle w:val="Text3"/>
        </w:rPr>
        <w:t>S2</w:t>
      </w:r>
      <w:r>
        <w:t xml:space="preserve">, and </w:t>
      </w:r>
      <w:r>
        <w:rPr>
          <w:rStyle w:val="Text3"/>
        </w:rPr>
        <w:t>S</w:t>
      </w:r>
      <w:r>
        <w:t xml:space="preserve"> </w:t>
      </w:r>
      <w:r>
        <w:rPr>
          <w:rStyle w:val="Text0"/>
        </w:rPr>
        <w:t>|</w:t>
      </w:r>
      <w:r>
        <w:t xml:space="preserve"> </w:t>
      </w:r>
      <w:r>
        <w:rPr>
          <w:rStyle w:val="Text3"/>
        </w:rPr>
        <w:t>S2</w:t>
      </w:r>
      <w:r>
        <w:t xml:space="preserve">) and the mutating methods are accessible with augmented assignment syntax (respectively, </w:t>
      </w:r>
      <w:r>
        <w:rPr>
          <w:rStyle w:val="Text3"/>
        </w:rPr>
        <w:t>S</w:t>
      </w:r>
      <w:r>
        <w:t xml:space="preserve"> </w:t>
      </w:r>
      <w:r>
        <w:rPr>
          <w:rStyle w:val="Text0"/>
        </w:rPr>
        <w:t>-=</w:t>
      </w:r>
      <w:r>
        <w:t xml:space="preserve"> </w:t>
      </w:r>
      <w:r>
        <w:rPr>
          <w:rStyle w:val="Text3"/>
        </w:rPr>
        <w:t>S2</w:t>
      </w:r>
      <w:r>
        <w:t xml:space="preserve">, </w:t>
      </w:r>
      <w:r>
        <w:rPr>
          <w:rStyle w:val="Text3"/>
        </w:rPr>
        <w:t>S</w:t>
      </w:r>
      <w:r>
        <w:t xml:space="preserve"> </w:t>
      </w:r>
      <w:r>
        <w:rPr>
          <w:rStyle w:val="Text0"/>
        </w:rPr>
        <w:t>&amp;=</w:t>
      </w:r>
      <w:r>
        <w:t xml:space="preserve"> </w:t>
      </w:r>
      <w:r>
        <w:rPr>
          <w:rStyle w:val="Text3"/>
        </w:rPr>
        <w:t>S2</w:t>
      </w:r>
      <w:r>
        <w:t xml:space="preserve">, </w:t>
      </w:r>
      <w:r>
        <w:rPr>
          <w:rStyle w:val="Text3"/>
        </w:rPr>
        <w:t>S</w:t>
      </w:r>
      <w:r>
        <w:t xml:space="preserve"> </w:t>
      </w:r>
      <w:r>
        <w:rPr>
          <w:rStyle w:val="Text0"/>
        </w:rPr>
        <w:t>^=</w:t>
      </w:r>
      <w:r>
        <w:t xml:space="preserve"> </w:t>
      </w:r>
      <w:r>
        <w:rPr>
          <w:rStyle w:val="Text3"/>
        </w:rPr>
        <w:t>S2</w:t>
      </w:r>
      <w:r>
        <w:t xml:space="preserve">, and </w:t>
      </w:r>
      <w:r>
        <w:rPr>
          <w:rStyle w:val="Text3"/>
        </w:rPr>
        <w:t>S</w:t>
      </w:r>
      <w:r>
        <w:t xml:space="preserve"> </w:t>
      </w:r>
      <w:r>
        <w:rPr>
          <w:rStyle w:val="Text0"/>
        </w:rPr>
        <w:t>|=</w:t>
      </w:r>
      <w:r>
        <w:t xml:space="preserve"> </w:t>
      </w:r>
      <w:r>
        <w:rPr>
          <w:rStyle w:val="Text3"/>
        </w:rPr>
        <w:t>S2</w:t>
      </w:r>
      <w:r>
        <w:t xml:space="preserve">). In addition, </w:t>
      </w:r>
      <w:r>
        <w:rPr>
          <w:rStyle w:val="Text0"/>
        </w:rPr>
        <w:t>set</w:t>
      </w:r>
      <w:r>
        <w:t xml:space="preserve">s and </w:t>
      </w:r>
      <w:r>
        <w:rPr>
          <w:rStyle w:val="Text0"/>
        </w:rPr>
        <w:t>frozenset</w:t>
      </w:r>
      <w:r>
        <w:t xml:space="preserve">s also support comparison operators: </w:t>
      </w:r>
      <w:r>
        <w:rPr>
          <w:rStyle w:val="Text0"/>
        </w:rPr>
        <w:t>==</w:t>
      </w:r>
      <w:r>
        <w:t xml:space="preserve"> (the sets have the same items; that is, they’re “equal” sets), </w:t>
      </w:r>
      <w:r>
        <w:rPr>
          <w:rStyle w:val="Text0"/>
        </w:rPr>
        <w:t>!=</w:t>
      </w:r>
      <w:r>
        <w:t xml:space="preserve"> (the reverse of </w:t>
      </w:r>
      <w:r>
        <w:rPr>
          <w:rStyle w:val="Text0"/>
        </w:rPr>
        <w:t>==</w:t>
      </w:r>
      <w:r>
        <w:t xml:space="preserve">), </w:t>
      </w:r>
      <w:r>
        <w:rPr>
          <w:rStyle w:val="Text0"/>
        </w:rPr>
        <w:t>&gt;=</w:t>
      </w:r>
      <w:r>
        <w:t xml:space="preserve"> (</w:t>
      </w:r>
      <w:r>
        <w:rPr>
          <w:rStyle w:val="Text0"/>
        </w:rPr>
        <w:t>issuperset</w:t>
      </w:r>
      <w:r>
        <w:t xml:space="preserve">), </w:t>
      </w:r>
      <w:r>
        <w:rPr>
          <w:rStyle w:val="Text0"/>
        </w:rPr>
        <w:t>&lt;=</w:t>
      </w:r>
      <w:r>
        <w:t xml:space="preserve"> (</w:t>
      </w:r>
      <w:r>
        <w:rPr>
          <w:rStyle w:val="Text0"/>
        </w:rPr>
        <w:t>issubset</w:t>
      </w:r>
      <w:r>
        <w:t xml:space="preserve">), </w:t>
      </w:r>
      <w:r>
        <w:rPr>
          <w:rStyle w:val="Text0"/>
        </w:rPr>
        <w:t>&lt;</w:t>
      </w:r>
      <w:r>
        <w:t xml:space="preserve"> (</w:t>
      </w:r>
      <w:r>
        <w:rPr>
          <w:rStyle w:val="Text0"/>
        </w:rPr>
        <w:t>issubset</w:t>
      </w:r>
      <w:r>
        <w:t xml:space="preserve"> and not equal), and </w:t>
      </w:r>
      <w:r>
        <w:rPr>
          <w:rStyle w:val="Text0"/>
        </w:rPr>
        <w:t>&gt;</w:t>
      </w:r>
      <w:r>
        <w:t xml:space="preserve"> (</w:t>
      </w:r>
      <w:r>
        <w:rPr>
          <w:rStyle w:val="Text0"/>
        </w:rPr>
        <w:t>issuperset</w:t>
      </w:r>
      <w:r>
        <w:t xml:space="preserve"> and not equal).</w:t>
      </w:r>
    </w:p>
    <w:p>
      <w:pPr>
        <w:pStyle w:val="Normal"/>
      </w:pPr>
      <w:r>
        <w:t xml:space="preserve">When you use operator or augmented assignment syntax, both operands must be </w:t>
      </w:r>
      <w:r>
        <w:rPr>
          <w:rStyle w:val="Text0"/>
        </w:rPr>
        <w:t>set</w:t>
      </w:r>
      <w:r>
        <w:t xml:space="preserve">s or </w:t>
      </w:r>
      <w:r>
        <w:rPr>
          <w:rStyle w:val="Text0"/>
        </w:rPr>
        <w:t>frozenset</w:t>
      </w:r>
      <w:r>
        <w:t xml:space="preserve">s; however, when you call named methods, argument </w:t>
      </w:r>
      <w:r>
        <w:rPr>
          <w:rStyle w:val="Text3"/>
        </w:rPr>
        <w:t>S1</w:t>
      </w:r>
      <w:r>
        <w:t xml:space="preserve"> can be any iterable with hashable items, and it works just as if the argument you passed was </w:t>
      </w:r>
      <w:r>
        <w:rPr>
          <w:rStyle w:val="Text0"/>
        </w:rPr>
        <w:t>set(</w:t>
      </w:r>
      <w:r>
        <w:rPr>
          <w:rStyle w:val="Text3"/>
        </w:rPr>
        <w:t>S1</w:t>
      </w:r>
      <w:r>
        <w:rPr>
          <w:rStyle w:val="Text0"/>
        </w:rPr>
        <w:t>)</w:t>
      </w:r>
      <w:r>
        <w:t>.</w:t>
      </w:r>
      <w:r>
        <w:rPr>
          <w:rStyle w:val="Text111"/>
        </w:rPr>
        <w:bookmarkStart w:id="907" w:name="idm45965283688752"/>
        <w:t/>
        <w:bookmarkEnd w:id="907"/>
      </w:r>
    </w:p>
    <w:p>
      <w:bookmarkStart w:id="908" w:name="Dictionary_Operations__Python_pr"/>
      <w:pPr>
        <w:keepNext/>
        <w:pStyle w:val="Heading 1"/>
      </w:pPr>
      <w:r>
        <w:t>Dictionary Operations</w:t>
      </w:r>
      <w:bookmarkEnd w:id="908"/>
    </w:p>
    <w:p>
      <w:pPr>
        <w:pStyle w:val="Normal"/>
      </w:pPr>
      <w:r>
        <w:t>Python</w:t>
      </w:r>
      <w:r>
        <w:rPr>
          <w:rStyle w:val="Text111"/>
        </w:rPr>
        <w:bookmarkStart w:id="909" w:name="PLdict03"/>
        <w:t/>
        <w:bookmarkEnd w:id="909"/>
        <w:bookmarkStart w:id="910" w:name="dictop03"/>
        <w:t/>
        <w:bookmarkEnd w:id="910"/>
      </w:r>
      <w:r>
        <w:t xml:space="preserve"> provides a variety of operations applicable to dictionaries. Since dictionaries are containers, the built-in </w:t>
      </w:r>
      <w:r>
        <w:rPr>
          <w:rStyle w:val="Text0"/>
        </w:rPr>
        <w:t>len</w:t>
      </w:r>
      <w:r>
        <w:t xml:space="preserve"> function can take a dictionary as its argument and return the number of items (key/value pairs) in the dictionary. A dictionary is iterable, so you can pass it to any function that takes an iterable argument. In this case, iteration yields only the keys of the dictionary, in insertion order. For example, for any dictionary </w:t>
      </w:r>
      <w:r>
        <w:rPr>
          <w:rStyle w:val="Text3"/>
        </w:rPr>
        <w:t>D</w:t>
      </w:r>
      <w:r>
        <w:t xml:space="preserve">, </w:t>
      </w:r>
      <w:r>
        <w:rPr>
          <w:rStyle w:val="Text0"/>
        </w:rPr>
        <w:t>min(</w:t>
      </w:r>
      <w:r>
        <w:rPr>
          <w:rStyle w:val="Text3"/>
        </w:rPr>
        <w:t>D</w:t>
      </w:r>
      <w:r>
        <w:rPr>
          <w:rStyle w:val="Text0"/>
        </w:rPr>
        <w:t>)</w:t>
      </w:r>
      <w:r>
        <w:t xml:space="preserve"> returns the smallest key in </w:t>
      </w:r>
      <w:r>
        <w:rPr>
          <w:rStyle w:val="Text3"/>
        </w:rPr>
        <w:t>D</w:t>
      </w:r>
      <w:r>
        <w:t xml:space="preserve"> (the order of keys in the iteration doesn’t matter here).</w:t>
      </w:r>
    </w:p>
    <w:p>
      <w:bookmarkStart w:id="911" w:name="Dictionary_Membership__The_k_in"/>
      <w:pPr>
        <w:keepNext/>
        <w:pStyle w:val="Heading 2"/>
      </w:pPr>
      <w:r>
        <w:t>Dictionary Membership</w:t>
      </w:r>
      <w:bookmarkEnd w:id="911"/>
    </w:p>
    <w:p>
      <w:pPr>
        <w:pStyle w:val="Normal"/>
      </w:pPr>
      <w:r>
        <w:t xml:space="preserve">The </w:t>
      </w:r>
      <w:r>
        <w:rPr>
          <w:rStyle w:val="Text3"/>
        </w:rPr>
        <w:t>k</w:t>
      </w:r>
      <w:r>
        <w:t xml:space="preserve"> </w:t>
      </w:r>
      <w:r>
        <w:rPr>
          <w:rStyle w:val="Text5"/>
        </w:rPr>
        <w:t>in</w:t>
      </w:r>
      <w:r>
        <w:t xml:space="preserve"> </w:t>
      </w:r>
      <w:r>
        <w:rPr>
          <w:rStyle w:val="Text3"/>
        </w:rPr>
        <w:t>D</w:t>
      </w:r>
      <w:r>
        <w:t xml:space="preserve"> operator</w:t>
      </w:r>
      <w:r>
        <w:rPr>
          <w:rStyle w:val="Text111"/>
        </w:rPr>
        <w:bookmarkStart w:id="912" w:name="idm45965283673664"/>
        <w:t/>
        <w:bookmarkEnd w:id="912"/>
        <w:bookmarkStart w:id="913" w:name="idm45965283672288"/>
        <w:t/>
        <w:bookmarkEnd w:id="913"/>
      </w:r>
      <w:r>
        <w:t xml:space="preserve"> checks whether the object </w:t>
      </w:r>
      <w:r>
        <w:rPr>
          <w:rStyle w:val="Text3"/>
        </w:rPr>
        <w:t>k</w:t>
      </w:r>
      <w:r>
        <w:t xml:space="preserve"> is a key in the dictionary </w:t>
      </w:r>
      <w:r>
        <w:rPr>
          <w:rStyle w:val="Text3"/>
        </w:rPr>
        <w:t>D</w:t>
      </w:r>
      <w:r>
        <w:t xml:space="preserve">. </w:t>
        <w:t>It returns</w:t>
        <w:t xml:space="preserve"> </w:t>
      </w:r>
      <w:r>
        <w:rPr>
          <w:rStyle w:val="Text5"/>
        </w:rPr>
        <w:t>True</w:t>
      </w:r>
      <w:r>
        <w:t xml:space="preserve"> if the key is present, and </w:t>
      </w:r>
      <w:r>
        <w:rPr>
          <w:rStyle w:val="Text5"/>
        </w:rPr>
        <w:t>False</w:t>
      </w:r>
      <w:r>
        <w:t xml:space="preserve"> otherwise. </w:t>
      </w:r>
      <w:r>
        <w:rPr>
          <w:rStyle w:val="Text3"/>
        </w:rPr>
        <w:t>k</w:t>
      </w:r>
      <w:r>
        <w:t xml:space="preserve"> </w:t>
      </w:r>
      <w:r>
        <w:rPr>
          <w:rStyle w:val="Text5"/>
        </w:rPr>
        <w:t>not in</w:t>
      </w:r>
      <w:r>
        <w:t xml:space="preserve"> </w:t>
      </w:r>
      <w:r>
        <w:rPr>
          <w:rStyle w:val="Text3"/>
        </w:rPr>
        <w:t>D</w:t>
      </w:r>
      <w:r>
        <w:t xml:space="preserve"> is like </w:t>
      </w:r>
      <w:r>
        <w:rPr>
          <w:rStyle w:val="Text5"/>
        </w:rPr>
        <w:t>not</w:t>
      </w:r>
      <w:r>
        <w:t xml:space="preserve"> </w:t>
      </w:r>
      <w:r>
        <w:rPr>
          <w:rStyle w:val="Text0"/>
        </w:rPr>
        <w:t>(</w:t>
      </w:r>
      <w:r>
        <w:rPr>
          <w:rStyle w:val="Text3"/>
        </w:rPr>
        <w:t>k</w:t>
      </w:r>
      <w:r>
        <w:t xml:space="preserve"> </w:t>
      </w:r>
      <w:r>
        <w:rPr>
          <w:rStyle w:val="Text5"/>
        </w:rPr>
        <w:t>in</w:t>
      </w:r>
      <w:r>
        <w:t xml:space="preserve"> </w:t>
      </w:r>
      <w:r>
        <w:rPr>
          <w:rStyle w:val="Text3"/>
        </w:rPr>
        <w:t>D</w:t>
      </w:r>
      <w:r>
        <w:rPr>
          <w:rStyle w:val="Text0"/>
        </w:rPr>
        <w:t>)</w:t>
      </w:r>
      <w:r>
        <w:t>.</w:t>
      </w:r>
    </w:p>
    <w:p>
      <w:bookmarkStart w:id="914" w:name="Indexing_a_Dictionary__To_denote"/>
      <w:pPr>
        <w:keepNext/>
        <w:pStyle w:val="Heading 2"/>
      </w:pPr>
      <w:r>
        <w:t>Indexing a Dictionary</w:t>
      </w:r>
      <w:bookmarkEnd w:id="914"/>
    </w:p>
    <w:p>
      <w:pPr>
        <w:pStyle w:val="Normal"/>
      </w:pPr>
      <w:r>
        <w:t>To</w:t>
      </w:r>
      <w:r>
        <w:rPr>
          <w:rStyle w:val="Text111"/>
        </w:rPr>
        <w:bookmarkStart w:id="915" w:name="idm45965283658016"/>
        <w:t/>
        <w:bookmarkEnd w:id="915"/>
        <w:bookmarkStart w:id="916" w:name="idm45965283656608"/>
        <w:t/>
        <w:bookmarkEnd w:id="916"/>
      </w:r>
      <w:r>
        <w:t xml:space="preserve"> denote the value in a</w:t>
      </w:r>
      <w:r>
        <w:rPr>
          <w:rStyle w:val="Text111"/>
        </w:rPr>
        <w:bookmarkStart w:id="917" w:name="idm45965283655104"/>
        <w:t/>
        <w:bookmarkEnd w:id="917"/>
        <w:bookmarkStart w:id="918" w:name="idm45965283653424"/>
        <w:t/>
        <w:bookmarkEnd w:id="918"/>
      </w:r>
      <w:r>
        <w:t xml:space="preserve"> dictionary </w:t>
      </w:r>
      <w:r>
        <w:rPr>
          <w:rStyle w:val="Text3"/>
        </w:rPr>
        <w:t>D</w:t>
      </w:r>
      <w:r>
        <w:t xml:space="preserve"> currently associated with the key </w:t>
      </w:r>
      <w:r>
        <w:rPr>
          <w:rStyle w:val="Text3"/>
        </w:rPr>
        <w:t>k</w:t>
      </w:r>
      <w:r>
        <w:t xml:space="preserve">, use an indexing: </w:t>
      </w:r>
      <w:r>
        <w:rPr>
          <w:rStyle w:val="Text3"/>
        </w:rPr>
        <w:t>D</w:t>
      </w:r>
      <w:r>
        <w:rPr>
          <w:rStyle w:val="Text0"/>
        </w:rPr>
        <w:t>[</w:t>
      </w:r>
      <w:r>
        <w:rPr>
          <w:rStyle w:val="Text3"/>
        </w:rPr>
        <w:t>k</w:t>
      </w:r>
      <w:r>
        <w:rPr>
          <w:rStyle w:val="Text0"/>
        </w:rPr>
        <w:t>]</w:t>
      </w:r>
      <w:r>
        <w:t>. Indexing with a key that is not present in the dictionary raises an exception. For example:</w:t>
      </w:r>
    </w:p>
    <w:p>
      <w:pPr>
        <w:pStyle w:val="Para 018"/>
      </w:pPr>
      <w:r>
        <w:rPr>
          <w:rStyle w:val="Text104"/>
        </w:rPr>
        <w:t xml:space="preserve"/>
        <w:br w:clear="none"/>
      </w:r>
      <w:r>
        <w:rPr>
          <w:rStyle w:val="Text9"/>
        </w:rPr>
        <w:t xml:space="preserve">d</w:t>
        <w:br w:clear="none"/>
      </w:r>
      <w:r>
        <w:t xml:space="preserve"> </w:t>
        <w:br w:clear="none"/>
      </w:r>
      <w:r>
        <w:rPr>
          <w:rStyle w:val="Text13"/>
        </w:rPr>
        <w:t xml:space="preserve">=</w:t>
        <w:br w:clear="none"/>
      </w:r>
      <w:r>
        <w:t xml:space="preserve"> </w:t>
        <w:br w:clear="none"/>
      </w:r>
      <w:r>
        <w:rPr>
          <w:rStyle w:val="Text7"/>
        </w:rPr>
        <w:t xml:space="preserve">{</w:t>
        <w:br w:clear="none"/>
      </w:r>
      <w:r>
        <w:rPr>
          <w:rStyle w:val="Text8"/>
        </w:rPr>
        <w:t xml:space="preserve">'</w:t>
        <w:br w:clear="none"/>
        <w:t xml:space="preserve">x</w:t>
        <w:br w:clear="none"/>
        <w:t xml:space="preserve">'</w:t>
        <w:br w:clear="none"/>
      </w:r>
      <w:r>
        <w:rPr>
          <w:rStyle w:val="Text7"/>
        </w:rPr>
        <w:t xml:space="preserve">:</w:t>
        <w:br w:clear="none"/>
      </w:r>
      <w:r>
        <w:rPr>
          <w:rStyle w:val="Text27"/>
        </w:rPr>
        <w:t xml:space="preserve">42</w:t>
        <w:br w:clear="none"/>
      </w:r>
      <w:r>
        <w:rPr>
          <w:rStyle w:val="Text7"/>
        </w:rPr>
        <w:t xml:space="preserve">,</w:t>
        <w:br w:clear="none"/>
      </w:r>
      <w:r>
        <w:t xml:space="preserve"> </w:t>
        <w:br w:clear="none"/>
      </w:r>
      <w:r>
        <w:rPr>
          <w:rStyle w:val="Text8"/>
        </w:rPr>
        <w:t xml:space="preserve">'</w:t>
        <w:br w:clear="none"/>
        <w:t xml:space="preserve">h</w:t>
        <w:br w:clear="none"/>
        <w:t xml:space="preserve">'</w:t>
        <w:br w:clear="none"/>
      </w:r>
      <w:r>
        <w:rPr>
          <w:rStyle w:val="Text7"/>
        </w:rPr>
        <w:t xml:space="preserve">:</w:t>
        <w:br w:clear="none"/>
      </w:r>
      <w:r>
        <w:rPr>
          <w:rStyle w:val="Text27"/>
        </w:rPr>
        <w:t xml:space="preserve">3.14</w:t>
        <w:br w:clear="none"/>
      </w:r>
      <w:r>
        <w:rPr>
          <w:rStyle w:val="Text7"/>
        </w:rPr>
        <w:t xml:space="preserve">,</w:t>
        <w:br w:clear="none"/>
      </w:r>
      <w:r>
        <w:t xml:space="preserve"> </w:t>
        <w:br w:clear="none"/>
      </w:r>
      <w:r>
        <w:rPr>
          <w:rStyle w:val="Text8"/>
        </w:rPr>
        <w:t xml:space="preserve">'</w:t>
        <w:br w:clear="none"/>
        <w:t xml:space="preserve">z</w:t>
        <w:br w:clear="none"/>
        <w:t xml:space="preserve">'</w:t>
        <w:br w:clear="none"/>
      </w:r>
      <w:r>
        <w:rPr>
          <w:rStyle w:val="Text7"/>
        </w:rPr>
        <w:t xml:space="preserve">:</w:t>
        <w:br w:clear="none"/>
      </w:r>
      <w:r>
        <w:rPr>
          <w:rStyle w:val="Text27"/>
        </w:rPr>
        <w:t xml:space="preserve">7</w:t>
        <w:br w:clear="none"/>
      </w:r>
      <w:r>
        <w:rPr>
          <w:rStyle w:val="Text7"/>
        </w:rPr>
        <w:t xml:space="preserve">}</w:t>
        <w:br w:clear="none"/>
      </w:r>
      <w:r>
        <w:t xml:space="preserve"/>
        <w:br w:clear="none"/>
      </w:r>
      <w:r>
        <w:rPr>
          <w:rStyle w:val="Text9"/>
        </w:rPr>
        <w:t xml:space="preserve">d</w:t>
        <w:br w:clear="none"/>
      </w:r>
      <w:r>
        <w:rPr>
          <w:rStyle w:val="Text7"/>
        </w:rPr>
        <w:t xml:space="preserve">[</w:t>
        <w:br w:clear="none"/>
      </w:r>
      <w:r>
        <w:rPr>
          <w:rStyle w:val="Text8"/>
        </w:rPr>
        <w:t xml:space="preserve">'</w:t>
        <w:br w:clear="none"/>
        <w:t xml:space="preserve">x</w:t>
        <w:br w:clear="none"/>
        <w:t xml:space="preserve">'</w:t>
        <w:br w:clear="none"/>
      </w:r>
      <w:r>
        <w:rPr>
          <w:rStyle w:val="Text7"/>
        </w:rPr>
        <w:t xml:space="preserve">]</w:t>
        <w:br w:clear="none"/>
      </w:r>
      <w:r>
        <w:t xml:space="preserve">                         </w:t>
        <w:br w:clear="none"/>
      </w:r>
      <w:r>
        <w:rPr>
          <w:rStyle w:val="Text15"/>
        </w:rPr>
        <w:t xml:space="preserve"># 42</w:t>
        <w:br w:clear="none"/>
      </w:r>
      <w:r>
        <w:t xml:space="preserve"/>
        <w:br w:clear="none"/>
      </w:r>
      <w:r>
        <w:rPr>
          <w:rStyle w:val="Text9"/>
        </w:rPr>
        <w:t xml:space="preserve">d</w:t>
        <w:br w:clear="none"/>
      </w:r>
      <w:r>
        <w:rPr>
          <w:rStyle w:val="Text7"/>
        </w:rPr>
        <w:t xml:space="preserve">[</w:t>
        <w:br w:clear="none"/>
      </w:r>
      <w:r>
        <w:rPr>
          <w:rStyle w:val="Text8"/>
        </w:rPr>
        <w:t xml:space="preserve">'</w:t>
        <w:br w:clear="none"/>
        <w:t xml:space="preserve">z</w:t>
        <w:br w:clear="none"/>
        <w:t xml:space="preserve">'</w:t>
        <w:br w:clear="none"/>
      </w:r>
      <w:r>
        <w:rPr>
          <w:rStyle w:val="Text7"/>
        </w:rPr>
        <w:t xml:space="preserve">]</w:t>
        <w:br w:clear="none"/>
      </w:r>
      <w:r>
        <w:t xml:space="preserve">                         </w:t>
        <w:br w:clear="none"/>
      </w:r>
      <w:r>
        <w:rPr>
          <w:rStyle w:val="Text15"/>
        </w:rPr>
        <w:t xml:space="preserve"># 7</w:t>
        <w:br w:clear="none"/>
      </w:r>
      <w:r>
        <w:t xml:space="preserve"/>
        <w:br w:clear="none"/>
      </w:r>
      <w:r>
        <w:rPr>
          <w:rStyle w:val="Text9"/>
        </w:rPr>
        <w:t xml:space="preserve">d</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r>
      <w:r>
        <w:t xml:space="preserve">                         </w:t>
        <w:br w:clear="none"/>
      </w:r>
      <w:r>
        <w:rPr>
          <w:rStyle w:val="Text15"/>
        </w:rPr>
        <w:t xml:space="preserve"># raises KeyError exception</w:t>
        <w:br w:clear="none"/>
      </w:r>
    </w:p>
    <w:p>
      <w:pPr>
        <w:pStyle w:val="Normal"/>
      </w:pPr>
      <w:r>
        <w:t xml:space="preserve">Plain assignment to a dictionary indexed with a key that is not yet in the dictionary (e.g., </w:t>
      </w:r>
      <w:r>
        <w:rPr>
          <w:rStyle w:val="Text3"/>
        </w:rPr>
        <w:t>D</w:t>
      </w:r>
      <w:r>
        <w:rPr>
          <w:rStyle w:val="Text0"/>
        </w:rPr>
        <w:t>[</w:t>
      </w:r>
      <w:r>
        <w:rPr>
          <w:rStyle w:val="Text3"/>
        </w:rPr>
        <w:t>newkey</w:t>
      </w:r>
      <w:r>
        <w:rPr>
          <w:rStyle w:val="Text0"/>
        </w:rPr>
        <w:t>]=</w:t>
      </w:r>
      <w:r>
        <w:rPr>
          <w:rStyle w:val="Text3"/>
        </w:rPr>
        <w:t>value</w:t>
      </w:r>
      <w:r>
        <w:t>) is a valid operation and adds the key and value as a new item in the dictionary. For instance:</w:t>
      </w:r>
    </w:p>
    <w:p>
      <w:pPr>
        <w:pStyle w:val="Para 014"/>
      </w:pPr>
      <w:r>
        <w:rPr>
          <w:rStyle w:val="Text116"/>
        </w:rPr>
        <w:t xml:space="preserve"/>
        <w:br w:clear="none"/>
      </w:r>
      <w:r>
        <w:rPr>
          <w:rStyle w:val="Text14"/>
        </w:rPr>
        <w:t xml:space="preserve">d</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7"/>
        </w:rPr>
        <w:t xml:space="preserve">'</w:t>
        <w:br w:clear="none"/>
        <w:t xml:space="preserve">x</w:t>
        <w:br w:clear="none"/>
        <w:t xml:space="preserve">'</w:t>
        <w:br w:clear="none"/>
      </w:r>
      <w:r>
        <w:rPr>
          <w:rStyle w:val="Text19"/>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17"/>
        </w:rPr>
        <w:t xml:space="preserve">'</w:t>
        <w:br w:clear="none"/>
        <w:t xml:space="preserve">h</w:t>
        <w:br w:clear="none"/>
        <w:t xml:space="preserve">'</w:t>
        <w:br w:clear="none"/>
      </w:r>
      <w:r>
        <w:rPr>
          <w:rStyle w:val="Text19"/>
        </w:rPr>
        <w:t xml:space="preserve">:</w:t>
        <w:br w:clear="none"/>
      </w:r>
      <w:r>
        <w:rPr>
          <w:rStyle w:val="Text35"/>
        </w:rPr>
        <w:t xml:space="preserve">3.14</w:t>
        <w:br w:clear="none"/>
      </w:r>
      <w:r>
        <w:rPr>
          <w:rStyle w:val="Text19"/>
        </w:rPr>
        <w:t xml:space="preserve">}</w:t>
        <w:br w:clear="none"/>
      </w:r>
      <w:r>
        <w:rPr>
          <w:rStyle w:val="Text11"/>
        </w:rPr>
        <w:t xml:space="preserve"/>
        <w:br w:clear="none"/>
      </w:r>
      <w:r>
        <w:rPr>
          <w:rStyle w:val="Text14"/>
        </w:rPr>
        <w:t xml:space="preserve">d</w:t>
        <w:br w:clear="none"/>
      </w:r>
      <w:r>
        <w:rPr>
          <w:rStyle w:val="Text19"/>
        </w:rPr>
        <w:t xml:space="preserve">[</w:t>
        <w:br w:clear="none"/>
      </w:r>
      <w:r>
        <w:rPr>
          <w:rStyle w:val="Text17"/>
        </w:rPr>
        <w:t xml:space="preserve">'</w:t>
        <w:br w:clear="none"/>
        <w:t xml:space="preserve">a</w:t>
        <w:br w:clear="none"/>
        <w:t xml:space="preserv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16</w:t>
        <w:br w:clear="none"/>
      </w:r>
      <w:r>
        <w:rPr>
          <w:rStyle w:val="Text11"/>
        </w:rPr>
        <w:t xml:space="preserve">                    </w:t>
        <w:br w:clear="none"/>
      </w:r>
      <w:r>
        <w:t xml:space="preserve"># d is now {'x':42, 'h':3.14, 'a':16}</w:t>
        <w:br w:clear="none"/>
      </w:r>
    </w:p>
    <w:p>
      <w:pPr>
        <w:pStyle w:val="Normal"/>
      </w:pPr>
      <w:r>
        <w:t xml:space="preserve">The </w:t>
      </w:r>
      <w:r>
        <w:rPr>
          <w:rStyle w:val="Text5"/>
        </w:rPr>
        <w:t>del</w:t>
      </w:r>
      <w:r>
        <w:t xml:space="preserve"> statement, in the form </w:t>
      </w:r>
      <w:r>
        <w:rPr>
          <w:rStyle w:val="Text5"/>
        </w:rPr>
        <w:t>del</w:t>
      </w:r>
      <w:r>
        <w:t xml:space="preserve"> </w:t>
      </w:r>
      <w:r>
        <w:rPr>
          <w:rStyle w:val="Text3"/>
        </w:rPr>
        <w:t>D</w:t>
      </w:r>
      <w:r>
        <w:rPr>
          <w:rStyle w:val="Text0"/>
        </w:rPr>
        <w:t>[</w:t>
      </w:r>
      <w:r>
        <w:rPr>
          <w:rStyle w:val="Text3"/>
        </w:rPr>
        <w:t>k</w:t>
      </w:r>
      <w:r>
        <w:rPr>
          <w:rStyle w:val="Text0"/>
        </w:rPr>
        <w:t>]</w:t>
      </w:r>
      <w:r>
        <w:t xml:space="preserve">, removes from the dictionary the item whose key is </w:t>
      </w:r>
      <w:r>
        <w:rPr>
          <w:rStyle w:val="Text3"/>
        </w:rPr>
        <w:t>k</w:t>
      </w:r>
      <w:r>
        <w:t xml:space="preserve">. When </w:t>
      </w:r>
      <w:r>
        <w:rPr>
          <w:rStyle w:val="Text3"/>
        </w:rPr>
        <w:t>k</w:t>
      </w:r>
      <w:r>
        <w:t xml:space="preserve"> is not a key in dictionary </w:t>
      </w:r>
      <w:r>
        <w:rPr>
          <w:rStyle w:val="Text3"/>
        </w:rPr>
        <w:t>D</w:t>
      </w:r>
      <w:r>
        <w:t xml:space="preserve">, </w:t>
      </w:r>
      <w:r>
        <w:rPr>
          <w:rStyle w:val="Text5"/>
        </w:rPr>
        <w:t>del</w:t>
      </w:r>
      <w:r>
        <w:t xml:space="preserve"> </w:t>
      </w:r>
      <w:r>
        <w:rPr>
          <w:rStyle w:val="Text3"/>
        </w:rPr>
        <w:t>D</w:t>
      </w:r>
      <w:r>
        <w:rPr>
          <w:rStyle w:val="Text0"/>
        </w:rPr>
        <w:t>[</w:t>
      </w:r>
      <w:r>
        <w:rPr>
          <w:rStyle w:val="Text3"/>
        </w:rPr>
        <w:t>k</w:t>
      </w:r>
      <w:r>
        <w:rPr>
          <w:rStyle w:val="Text0"/>
        </w:rPr>
        <w:t>]</w:t>
      </w:r>
      <w:r>
        <w:t xml:space="preserve"> raises a </w:t>
      </w:r>
      <w:r>
        <w:rPr>
          <w:rStyle w:val="Text0"/>
        </w:rPr>
        <w:t>KeyError</w:t>
      </w:r>
      <w:r>
        <w:t xml:space="preserve"> exception.​</w:t>
      </w:r>
    </w:p>
    <w:p>
      <w:bookmarkStart w:id="919" w:name="Dictionary_Methods__Dictionary_o"/>
      <w:pPr>
        <w:keepNext/>
        <w:pStyle w:val="Heading 2"/>
      </w:pPr>
      <w:r>
        <w:t>Dictionary Methods</w:t>
      </w:r>
      <w:bookmarkEnd w:id="919"/>
    </w:p>
    <w:p>
      <w:pPr>
        <w:pStyle w:val="Normal"/>
      </w:pPr>
      <w:r>
        <w:t>Dictionary objects</w:t>
      </w:r>
      <w:r>
        <w:rPr>
          <w:rStyle w:val="Text111"/>
        </w:rPr>
        <w:bookmarkStart w:id="920" w:name="idm45965283514560"/>
        <w:t/>
        <w:bookmarkEnd w:id="920"/>
      </w:r>
      <w:r>
        <w:t xml:space="preserve"> provide several methods, as shown in </w:t>
      </w:r>
      <w:hyperlink w:anchor="Table_3_7__Dictionary_object_met">
        <w:r>
          <w:rPr>
            <w:rStyle w:val="Text1"/>
          </w:rPr>
          <w:t>Table 3-7</w:t>
        </w:r>
      </w:hyperlink>
      <w:r>
        <w:t xml:space="preserve">. Nonmutating methods return a result without altering the object to which they apply, while mutating methods may alter the object to which they apply. In this table, </w:t>
      </w:r>
      <w:r>
        <w:rPr>
          <w:rStyle w:val="Text3"/>
        </w:rPr>
        <w:t>d</w:t>
      </w:r>
      <w:r>
        <w:t xml:space="preserve"> and </w:t>
      </w:r>
      <w:r>
        <w:rPr>
          <w:rStyle w:val="Text3"/>
        </w:rPr>
        <w:t>d1</w:t>
      </w:r>
      <w:r>
        <w:t xml:space="preserve"> indicate any dictionary objects, </w:t>
      </w:r>
      <w:r>
        <w:rPr>
          <w:rStyle w:val="Text3"/>
        </w:rPr>
        <w:t>k</w:t>
      </w:r>
      <w:r>
        <w:t xml:space="preserve"> any hashable object, and </w:t>
      </w:r>
      <w:r>
        <w:rPr>
          <w:rStyle w:val="Text3"/>
        </w:rPr>
        <w:t>x</w:t>
      </w:r>
      <w:r>
        <w:t xml:space="preserve"> any object.</w:t>
      </w:r>
    </w:p>
    <w:tbl>
      <w:tblPr>
        <w:tblW w:type="auto" w:w="0"/>
      </w:tblPr>
      <w:tr>
        <w:tc>
          <w:tcPr>
            <w:tcW w:type="auto" w:w="0"/>
            <w:tcMar>
              <w:left w:type="dxa" w:w="200"/>
              <w:top w:type="dxa" w:w="200"/>
              <w:right w:type="dxa" w:w="200"/>
              <w:bottom w:type="dxa" w:w="200"/>
            </w:tcMar>
          </w:tcPr>
          <w:p>
            <w:bookmarkStart w:id="921" w:name="Table_3_7__Dictionary_object_met"/>
            <w:pPr>
              <w:pStyle w:val="Para 011"/>
            </w:pPr>
            <w:r>
              <w:rPr>
                <w:rStyle w:val="Text117"/>
              </w:rPr>
              <w:t/>
            </w:r>
            <w:r>
              <w:t xml:space="preserve">Table 3-7. </w:t>
              <w:t>Dictionary object methods</w:t>
            </w:r>
            <w:bookmarkEnd w:id="921"/>
          </w:p>
          <w:p>
            <w:pPr>
              <w:pStyle w:val="Para 013"/>
            </w:pPr>
            <w:r>
              <w:t>Nonmutating</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copy()</w:t>
              <w:br w:clear="none"/>
            </w:r>
            <w:r>
              <w:t xml:space="preserve"> Returns</w:t>
            </w:r>
            <w:r>
              <w:rPr>
                <w:rStyle w:val="Text111"/>
              </w:rPr>
              <w:bookmarkStart w:id="922" w:name="idm45965283502144"/>
              <w:t/>
              <w:bookmarkEnd w:id="922"/>
            </w:r>
            <w:r>
              <w:t xml:space="preserve"> a shallow copy of the dictionary (a copy whose items are the same objects as </w:t>
            </w:r>
            <w:r>
              <w:rPr>
                <w:rStyle w:val="Text3"/>
              </w:rPr>
              <w:t>D</w:t>
            </w:r>
            <w:r>
              <w:t xml:space="preserve">’s, not copies thereof, just like </w:t>
            </w:r>
            <w:r>
              <w:rPr>
                <w:rStyle w:val="Text0"/>
              </w:rPr>
              <w:t>dict(</w:t>
            </w:r>
            <w:r>
              <w:rPr>
                <w:rStyle w:val="Text3"/>
              </w:rPr>
              <w:t>d</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get</w:t>
            </w:r>
          </w:p>
        </w:tc>
        <w:tc>
          <w:tcPr>
            <w:tcW w:type="auto" w:w="0"/>
            <w:tcMar>
              <w:left w:type="dxa" w:w="200"/>
              <w:top w:type="dxa" w:w="200"/>
              <w:right w:type="dxa" w:w="200"/>
              <w:bottom w:type="dxa" w:w="200"/>
            </w:tcMar>
          </w:tcPr>
          <w:p>
            <w:pPr>
              <w:pStyle w:val="Para 002"/>
            </w:pPr>
            <w:r>
              <w:rPr>
                <w:rStyle w:val="Text3"/>
              </w:rPr>
              <w:t>d.</w:t>
            </w:r>
            <w:r>
              <w:rPr>
                <w:rStyle w:val="Text0"/>
              </w:rPr>
              <w:t>get(</w:t>
            </w:r>
            <w:r>
              <w:rPr>
                <w:rStyle w:val="Text3"/>
              </w:rPr>
              <w:t>k</w:t>
            </w:r>
            <w:r>
              <w:rPr>
                <w:rStyle w:val="Text0"/>
              </w:rPr>
              <w:t>[,</w:t>
            </w:r>
            <w:r>
              <w:t xml:space="preserve"> </w:t>
            </w:r>
            <w:r>
              <w:rPr>
                <w:rStyle w:val="Text3"/>
              </w:rPr>
              <w:t>x</w:t>
            </w:r>
            <w:r>
              <w:rPr>
                <w:rStyle w:val="Text0"/>
              </w:rPr>
              <w:t>])</w:t>
              <w:br w:clear="none"/>
            </w:r>
            <w:r>
              <w:t xml:space="preserve"> Returns</w:t>
            </w:r>
            <w:r>
              <w:rPr>
                <w:rStyle w:val="Text111"/>
              </w:rPr>
              <w:bookmarkStart w:id="923" w:name="idm45965283493280"/>
              <w:t/>
              <w:bookmarkEnd w:id="923"/>
            </w:r>
            <w:r>
              <w:t xml:space="preserve"> </w:t>
            </w:r>
            <w:r>
              <w:rPr>
                <w:rStyle w:val="Text3"/>
              </w:rPr>
              <w:t>d</w:t>
            </w:r>
            <w:r>
              <w:rPr>
                <w:rStyle w:val="Text0"/>
              </w:rPr>
              <w:t>[</w:t>
            </w:r>
            <w:r>
              <w:rPr>
                <w:rStyle w:val="Text3"/>
              </w:rPr>
              <w:t>k</w:t>
            </w:r>
            <w:r>
              <w:rPr>
                <w:rStyle w:val="Text0"/>
              </w:rPr>
              <w:t>]</w:t>
            </w:r>
            <w:r>
              <w:t xml:space="preserve"> when </w:t>
            </w:r>
            <w:r>
              <w:rPr>
                <w:rStyle w:val="Text3"/>
              </w:rPr>
              <w:t>k</w:t>
            </w:r>
            <w:r>
              <w:t xml:space="preserve"> is a key in </w:t>
            </w:r>
            <w:r>
              <w:rPr>
                <w:rStyle w:val="Text3"/>
              </w:rPr>
              <w:t>d</w:t>
            </w:r>
            <w:r>
              <w:t xml:space="preserve">; otherwise, returns </w:t>
            </w:r>
            <w:r>
              <w:rPr>
                <w:rStyle w:val="Text3"/>
              </w:rPr>
              <w:t>x</w:t>
            </w:r>
            <w:r>
              <w:t xml:space="preserve"> (or </w:t>
            </w:r>
            <w:r>
              <w:rPr>
                <w:rStyle w:val="Text5"/>
              </w:rPr>
              <w:t>None</w:t>
            </w:r>
            <w:r>
              <w:t xml:space="preserve">, when you don’t pass </w:t>
            </w:r>
            <w:r>
              <w:rPr>
                <w:rStyle w:val="Text3"/>
              </w:rPr>
              <w:t>x</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items</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.items()</w:t>
              <w:br w:clear="none"/>
            </w:r>
            <w:r>
              <w:t xml:space="preserve"> Returns</w:t>
            </w:r>
            <w:r>
              <w:rPr>
                <w:rStyle w:val="Text111"/>
              </w:rPr>
              <w:bookmarkStart w:id="924" w:name="idm45965283483232"/>
              <w:t/>
              <w:bookmarkEnd w:id="924"/>
            </w:r>
            <w:r>
              <w:t xml:space="preserve"> an iterable view object whose items are all current items (key/value pairs) in </w:t>
            </w:r>
            <w:r>
              <w:rPr>
                <w:rStyle w:val="Text3"/>
              </w:rPr>
              <w:t>d</w:t>
            </w:r>
          </w:p>
        </w:tc>
      </w:tr>
    </w:tbl>
    <w:tbl>
      <w:tblPr>
        <w:tblW w:type="auto" w:w="0"/>
      </w:tblPr>
      <w:tr>
        <w:tc>
          <w:tcPr>
            <w:tcW w:type="auto" w:w="0"/>
            <w:tcMar>
              <w:left w:type="dxa" w:w="200"/>
              <w:top w:type="dxa" w:w="200"/>
              <w:right w:type="dxa" w:w="200"/>
              <w:bottom w:type="dxa" w:w="200"/>
            </w:tcMar>
          </w:tcPr>
          <w:p>
            <w:pPr>
              <w:pStyle w:val="Para 001"/>
            </w:pPr>
            <w:r>
              <w:t>keys</w:t>
            </w:r>
          </w:p>
        </w:tc>
        <w:tc>
          <w:tcPr>
            <w:tcW w:type="auto" w:w="0"/>
            <w:tcMar>
              <w:left w:type="dxa" w:w="200"/>
              <w:top w:type="dxa" w:w="200"/>
              <w:right w:type="dxa" w:w="200"/>
              <w:bottom w:type="dxa" w:w="200"/>
            </w:tcMar>
          </w:tcPr>
          <w:p>
            <w:pPr>
              <w:pStyle w:val="Para 002"/>
            </w:pPr>
            <w:r>
              <w:rPr>
                <w:rStyle w:val="Text3"/>
              </w:rPr>
              <w:t>d</w:t>
            </w:r>
            <w:r>
              <w:rPr>
                <w:rStyle w:val="Text0"/>
              </w:rPr>
              <w:t>.keys()</w:t>
              <w:br w:clear="none"/>
            </w:r>
            <w:r>
              <w:t xml:space="preserve"> Returns</w:t>
            </w:r>
            <w:r>
              <w:rPr>
                <w:rStyle w:val="Text111"/>
              </w:rPr>
              <w:bookmarkStart w:id="925" w:name="idm45965283478192"/>
              <w:t/>
              <w:bookmarkEnd w:id="925"/>
            </w:r>
            <w:r>
              <w:t xml:space="preserve"> an iterable view object whose items are all current keys in </w:t>
            </w:r>
            <w:r>
              <w:rPr>
                <w:rStyle w:val="Text3"/>
              </w:rPr>
              <w:t>d</w:t>
            </w:r>
          </w:p>
        </w:tc>
      </w:tr>
    </w:tbl>
    <w:tbl>
      <w:tblPr>
        <w:tblW w:type="auto" w:w="0"/>
      </w:tblPr>
      <w:tr>
        <w:tc>
          <w:tcPr>
            <w:tcW w:type="auto" w:w="0"/>
            <w:shd w:val="clear" w:color="auto" w:fill="EEF2F6"/>
            <w:tcMar>
              <w:left w:type="dxa" w:w="200"/>
              <w:top w:type="dxa" w:w="200"/>
              <w:right w:type="dxa" w:w="200"/>
              <w:bottom w:type="dxa" w:w="200"/>
            </w:tcMar>
          </w:tcPr>
          <w:p>
            <w:pPr>
              <w:pStyle w:val="Para 001"/>
            </w:pPr>
            <w:r>
              <w:t>values</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.values()</w:t>
              <w:br w:clear="none"/>
            </w:r>
            <w:r>
              <w:t xml:space="preserve"> Returns</w:t>
            </w:r>
            <w:r>
              <w:rPr>
                <w:rStyle w:val="Text111"/>
              </w:rPr>
              <w:bookmarkStart w:id="926" w:name="idm45965283473152"/>
              <w:t/>
              <w:bookmarkEnd w:id="926"/>
            </w:r>
            <w:r>
              <w:t xml:space="preserve"> an iterable view object whose items are all current values in </w:t>
            </w:r>
            <w:r>
              <w:rPr>
                <w:rStyle w:val="Text3"/>
              </w:rPr>
              <w:t>d</w:t>
            </w:r>
          </w:p>
        </w:tc>
      </w:tr>
    </w:tbl>
    <w:tbl>
      <w:tblPr>
        <w:tblW w:type="auto" w:w="0"/>
      </w:tblPr>
      <w:tr>
        <w:tc>
          <w:tcPr>
            <w:tcW w:type="auto" w:w="0"/>
            <w:tcMar>
              <w:left w:type="dxa" w:w="200"/>
              <w:top w:type="dxa" w:w="200"/>
              <w:right w:type="dxa" w:w="200"/>
              <w:bottom w:type="dxa" w:w="200"/>
            </w:tcMar>
          </w:tcPr>
          <w:p>
            <w:pPr>
              <w:pStyle w:val="Para 013"/>
            </w:pPr>
            <w:r>
              <w:t>Mutating</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clear</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.clear()</w:t>
              <w:br w:clear="none"/>
            </w:r>
            <w:r>
              <w:t xml:space="preserve"> Removes</w:t>
            </w:r>
            <w:r>
              <w:rPr>
                <w:rStyle w:val="Text111"/>
              </w:rPr>
              <w:bookmarkStart w:id="927" w:name="idm45965283466640"/>
              <w:t/>
              <w:bookmarkEnd w:id="927"/>
            </w:r>
            <w:r>
              <w:t xml:space="preserve"> all items from </w:t>
            </w:r>
            <w:r>
              <w:rPr>
                <w:rStyle w:val="Text3"/>
              </w:rPr>
              <w:t>d</w:t>
            </w:r>
            <w:r>
              <w:t xml:space="preserve">, leaving </w:t>
            </w:r>
            <w:r>
              <w:rPr>
                <w:rStyle w:val="Text3"/>
              </w:rPr>
              <w:t>d</w:t>
            </w:r>
            <w:r>
              <w:t xml:space="preserve"> empty</w:t>
            </w:r>
          </w:p>
        </w:tc>
      </w:tr>
    </w:tbl>
    <w:tbl>
      <w:tblPr>
        <w:tblW w:type="auto" w:w="0"/>
      </w:tblPr>
      <w:tr>
        <w:tc>
          <w:tcPr>
            <w:tcW w:type="auto" w:w="0"/>
            <w:tcMar>
              <w:left w:type="dxa" w:w="200"/>
              <w:top w:type="dxa" w:w="200"/>
              <w:right w:type="dxa" w:w="200"/>
              <w:bottom w:type="dxa" w:w="200"/>
            </w:tcMar>
          </w:tcPr>
          <w:p>
            <w:pPr>
              <w:pStyle w:val="Para 001"/>
            </w:pPr>
            <w:r>
              <w:t>pop</w:t>
            </w:r>
          </w:p>
        </w:tc>
        <w:tc>
          <w:tcPr>
            <w:tcW w:type="auto" w:w="0"/>
            <w:tcMar>
              <w:left w:type="dxa" w:w="200"/>
              <w:top w:type="dxa" w:w="200"/>
              <w:right w:type="dxa" w:w="200"/>
              <w:bottom w:type="dxa" w:w="200"/>
            </w:tcMar>
          </w:tcPr>
          <w:p>
            <w:pPr>
              <w:pStyle w:val="Para 002"/>
            </w:pPr>
            <w:r>
              <w:rPr>
                <w:rStyle w:val="Text3"/>
              </w:rPr>
              <w:t>d.</w:t>
            </w:r>
            <w:r>
              <w:rPr>
                <w:rStyle w:val="Text0"/>
              </w:rPr>
              <w:t>pop(</w:t>
            </w:r>
            <w:r>
              <w:rPr>
                <w:rStyle w:val="Text3"/>
              </w:rPr>
              <w:t>k</w:t>
            </w:r>
            <w:r>
              <w:rPr>
                <w:rStyle w:val="Text0"/>
              </w:rPr>
              <w:t>[,</w:t>
            </w:r>
            <w:r>
              <w:t xml:space="preserve"> </w:t>
            </w:r>
            <w:r>
              <w:rPr>
                <w:rStyle w:val="Text3"/>
              </w:rPr>
              <w:t>x</w:t>
            </w:r>
            <w:r>
              <w:rPr>
                <w:rStyle w:val="Text0"/>
              </w:rPr>
              <w:t>])</w:t>
              <w:br w:clear="none"/>
            </w:r>
            <w:r>
              <w:t xml:space="preserve"> Removes</w:t>
            </w:r>
            <w:r>
              <w:rPr>
                <w:rStyle w:val="Text111"/>
              </w:rPr>
              <w:bookmarkStart w:id="928" w:name="idm45965283458032"/>
              <w:t/>
              <w:bookmarkEnd w:id="928"/>
            </w:r>
            <w:r>
              <w:t xml:space="preserve"> and returns </w:t>
            </w:r>
            <w:r>
              <w:rPr>
                <w:rStyle w:val="Text3"/>
              </w:rPr>
              <w:t>d</w:t>
            </w:r>
            <w:r>
              <w:rPr>
                <w:rStyle w:val="Text0"/>
              </w:rPr>
              <w:t>[</w:t>
            </w:r>
            <w:r>
              <w:rPr>
                <w:rStyle w:val="Text3"/>
              </w:rPr>
              <w:t>k</w:t>
            </w:r>
            <w:r>
              <w:rPr>
                <w:rStyle w:val="Text0"/>
              </w:rPr>
              <w:t>]</w:t>
            </w:r>
            <w:r>
              <w:t xml:space="preserve"> when </w:t>
            </w:r>
            <w:r>
              <w:rPr>
                <w:rStyle w:val="Text3"/>
              </w:rPr>
              <w:t>k</w:t>
            </w:r>
            <w:r>
              <w:t xml:space="preserve"> is a key in </w:t>
            </w:r>
            <w:r>
              <w:rPr>
                <w:rStyle w:val="Text3"/>
              </w:rPr>
              <w:t>d</w:t>
            </w:r>
            <w:r>
              <w:t xml:space="preserve">; otherwise, returns </w:t>
            </w:r>
            <w:r>
              <w:rPr>
                <w:rStyle w:val="Text3"/>
              </w:rPr>
              <w:t>x</w:t>
            </w:r>
            <w:r>
              <w:t xml:space="preserve"> (or raises a </w:t>
            </w:r>
            <w:r>
              <w:rPr>
                <w:rStyle w:val="Text0"/>
              </w:rPr>
              <w:t>KeyError</w:t>
            </w:r>
            <w:r>
              <w:t xml:space="preserve"> exception when you don’t pass </w:t>
            </w:r>
            <w:r>
              <w:rPr>
                <w:rStyle w:val="Text3"/>
              </w:rPr>
              <w:t>x</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popitem</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.popitem()</w:t>
              <w:br w:clear="none"/>
            </w:r>
            <w:r>
              <w:t xml:space="preserve"> Removes</w:t>
            </w:r>
            <w:r>
              <w:rPr>
                <w:rStyle w:val="Text111"/>
              </w:rPr>
              <w:bookmarkStart w:id="929" w:name="idm45965283447840"/>
              <w:t/>
              <w:bookmarkEnd w:id="929"/>
            </w:r>
            <w:r>
              <w:t xml:space="preserve"> and returns the items from </w:t>
            </w:r>
            <w:r>
              <w:rPr>
                <w:rStyle w:val="Text3"/>
              </w:rPr>
              <w:t>d</w:t>
            </w:r>
            <w:r>
              <w:t xml:space="preserve"> in last-in, first-out order</w:t>
            </w:r>
          </w:p>
        </w:tc>
      </w:tr>
    </w:tbl>
    <w:tbl>
      <w:tblPr>
        <w:tblW w:type="auto" w:w="0"/>
      </w:tblPr>
      <w:tr>
        <w:tc>
          <w:tcPr>
            <w:tcW w:type="auto" w:w="0"/>
            <w:tcMar>
              <w:left w:type="dxa" w:w="200"/>
              <w:top w:type="dxa" w:w="200"/>
              <w:right w:type="dxa" w:w="200"/>
              <w:bottom w:type="dxa" w:w="200"/>
            </w:tcMar>
          </w:tcPr>
          <w:p>
            <w:pPr>
              <w:pStyle w:val="Para 001"/>
            </w:pPr>
            <w:r>
              <w:t>setdefault</w:t>
            </w:r>
          </w:p>
        </w:tc>
        <w:tc>
          <w:tcPr>
            <w:tcW w:type="auto" w:w="0"/>
            <w:tcMar>
              <w:left w:type="dxa" w:w="200"/>
              <w:top w:type="dxa" w:w="200"/>
              <w:right w:type="dxa" w:w="200"/>
              <w:bottom w:type="dxa" w:w="200"/>
            </w:tcMar>
          </w:tcPr>
          <w:p>
            <w:pPr>
              <w:pStyle w:val="Para 002"/>
            </w:pPr>
            <w:r>
              <w:rPr>
                <w:rStyle w:val="Text3"/>
              </w:rPr>
              <w:t>d</w:t>
            </w:r>
            <w:r>
              <w:rPr>
                <w:rStyle w:val="Text0"/>
              </w:rPr>
              <w:t>.setdefault(</w:t>
            </w:r>
            <w:r>
              <w:rPr>
                <w:rStyle w:val="Text3"/>
              </w:rPr>
              <w:t>k</w:t>
            </w:r>
            <w:r>
              <w:rPr>
                <w:rStyle w:val="Text0"/>
              </w:rPr>
              <w:t>,</w:t>
            </w:r>
            <w:r>
              <w:t xml:space="preserve"> </w:t>
            </w:r>
            <w:r>
              <w:rPr>
                <w:rStyle w:val="Text3"/>
              </w:rPr>
              <w:t>x</w:t>
            </w:r>
            <w:r>
              <w:rPr>
                <w:rStyle w:val="Text0"/>
              </w:rPr>
              <w:t>)</w:t>
              <w:br w:clear="none"/>
            </w:r>
            <w:r>
              <w:t xml:space="preserve"> Returns</w:t>
            </w:r>
            <w:r>
              <w:rPr>
                <w:rStyle w:val="Text111"/>
              </w:rPr>
              <w:bookmarkStart w:id="930" w:name="idm45965283440320"/>
              <w:t/>
              <w:bookmarkEnd w:id="930"/>
            </w:r>
            <w:r>
              <w:t xml:space="preserve"> </w:t>
            </w:r>
            <w:r>
              <w:rPr>
                <w:rStyle w:val="Text3"/>
              </w:rPr>
              <w:t>d</w:t>
            </w:r>
            <w:r>
              <w:rPr>
                <w:rStyle w:val="Text0"/>
              </w:rPr>
              <w:t>[</w:t>
            </w:r>
            <w:r>
              <w:rPr>
                <w:rStyle w:val="Text3"/>
              </w:rPr>
              <w:t>k</w:t>
            </w:r>
            <w:r>
              <w:rPr>
                <w:rStyle w:val="Text0"/>
              </w:rPr>
              <w:t>]</w:t>
            </w:r>
            <w:r>
              <w:t xml:space="preserve"> when </w:t>
            </w:r>
            <w:r>
              <w:rPr>
                <w:rStyle w:val="Text3"/>
              </w:rPr>
              <w:t>k</w:t>
            </w:r>
            <w:r>
              <w:t xml:space="preserve"> is a key in </w:t>
            </w:r>
            <w:r>
              <w:rPr>
                <w:rStyle w:val="Text3"/>
              </w:rPr>
              <w:t>d</w:t>
            </w:r>
            <w:r>
              <w:t xml:space="preserve">; otherwise, sets </w:t>
            </w:r>
            <w:r>
              <w:rPr>
                <w:rStyle w:val="Text3"/>
              </w:rPr>
              <w:t>d</w:t>
            </w:r>
            <w:r>
              <w:rPr>
                <w:rStyle w:val="Text0"/>
              </w:rPr>
              <w:t>[</w:t>
            </w:r>
            <w:r>
              <w:rPr>
                <w:rStyle w:val="Text3"/>
              </w:rPr>
              <w:t>k</w:t>
            </w:r>
            <w:r>
              <w:rPr>
                <w:rStyle w:val="Text0"/>
              </w:rPr>
              <w:t>]</w:t>
            </w:r>
            <w:r>
              <w:t xml:space="preserve"> equal to </w:t>
            </w:r>
            <w:r>
              <w:rPr>
                <w:rStyle w:val="Text3"/>
              </w:rPr>
              <w:t>x</w:t>
            </w:r>
            <w:r>
              <w:t xml:space="preserve"> (or </w:t>
            </w:r>
            <w:r>
              <w:rPr>
                <w:rStyle w:val="Text5"/>
              </w:rPr>
              <w:t>None</w:t>
            </w:r>
            <w:r>
              <w:t xml:space="preserve">, when you don’t pass </w:t>
            </w:r>
            <w:r>
              <w:rPr>
                <w:rStyle w:val="Text3"/>
              </w:rPr>
              <w:t>x</w:t>
            </w:r>
            <w:r>
              <w:t xml:space="preserve">), then returns </w:t>
            </w:r>
            <w:r>
              <w:rPr>
                <w:rStyle w:val="Text3"/>
              </w:rPr>
              <w:t>d</w:t>
            </w:r>
            <w:r>
              <w:rPr>
                <w:rStyle w:val="Text0"/>
              </w:rPr>
              <w:t>[</w:t>
            </w:r>
            <w:r>
              <w:rPr>
                <w:rStyle w:val="Text3"/>
              </w:rPr>
              <w:t>k</w:t>
            </w:r>
            <w:r>
              <w:rPr>
                <w:rStyle w:val="Text0"/>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update</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.update(</w:t>
            </w:r>
            <w:r>
              <w:rPr>
                <w:rStyle w:val="Text3"/>
              </w:rPr>
              <w:t>d1</w:t>
            </w:r>
            <w:r>
              <w:rPr>
                <w:rStyle w:val="Text0"/>
              </w:rPr>
              <w:t>)</w:t>
              <w:br w:clear="none"/>
            </w:r>
            <w:r>
              <w:t xml:space="preserve"> For</w:t>
            </w:r>
            <w:r>
              <w:rPr>
                <w:rStyle w:val="Text111"/>
              </w:rPr>
              <w:bookmarkStart w:id="931" w:name="idm45965283426096"/>
              <w:t/>
              <w:bookmarkEnd w:id="931"/>
            </w:r>
            <w:r>
              <w:t xml:space="preserve"> each </w:t>
            </w:r>
            <w:r>
              <w:rPr>
                <w:rStyle w:val="Text3"/>
              </w:rPr>
              <w:t>k</w:t>
            </w:r>
            <w:r>
              <w:t xml:space="preserve"> in mapping </w:t>
            </w:r>
            <w:r>
              <w:rPr>
                <w:rStyle w:val="Text3"/>
              </w:rPr>
              <w:t>d1</w:t>
            </w:r>
            <w:r>
              <w:t xml:space="preserve">, sets </w:t>
            </w:r>
            <w:r>
              <w:rPr>
                <w:rStyle w:val="Text3"/>
              </w:rPr>
              <w:t>d</w:t>
            </w:r>
            <w:r>
              <w:rPr>
                <w:rStyle w:val="Text0"/>
              </w:rPr>
              <w:t>[</w:t>
            </w:r>
            <w:r>
              <w:rPr>
                <w:rStyle w:val="Text3"/>
              </w:rPr>
              <w:t>k</w:t>
            </w:r>
            <w:r>
              <w:rPr>
                <w:rStyle w:val="Text0"/>
              </w:rPr>
              <w:t>]</w:t>
            </w:r>
            <w:r>
              <w:t xml:space="preserve">equal to </w:t>
            </w:r>
            <w:r>
              <w:rPr>
                <w:rStyle w:val="Text3"/>
              </w:rPr>
              <w:t>d1</w:t>
            </w:r>
            <w:r>
              <w:rPr>
                <w:rStyle w:val="Text0"/>
              </w:rPr>
              <w:t>[</w:t>
            </w:r>
            <w:r>
              <w:rPr>
                <w:rStyle w:val="Text3"/>
              </w:rPr>
              <w:t>k</w:t>
            </w:r>
            <w:r>
              <w:rPr>
                <w:rStyle w:val="Text0"/>
              </w:rPr>
              <w:t>]</w:t>
            </w:r>
          </w:p>
        </w:tc>
      </w:tr>
    </w:tbl>
    <w:p>
      <w:pPr>
        <w:pStyle w:val="Normal"/>
      </w:pPr>
      <w:r>
        <w:t xml:space="preserve">The </w:t>
      </w:r>
      <w:r>
        <w:rPr>
          <w:rStyle w:val="Text0"/>
        </w:rPr>
        <w:t>items</w:t>
      </w:r>
      <w:r>
        <w:t xml:space="preserve">, </w:t>
      </w:r>
      <w:r>
        <w:rPr>
          <w:rStyle w:val="Text0"/>
        </w:rPr>
        <w:t>keys</w:t>
      </w:r>
      <w:r>
        <w:t xml:space="preserve">, and </w:t>
      </w:r>
      <w:r>
        <w:rPr>
          <w:rStyle w:val="Text0"/>
        </w:rPr>
        <w:t>values</w:t>
      </w:r>
      <w:r>
        <w:t xml:space="preserve"> methods return values known as</w:t>
      </w:r>
      <w:r>
        <w:rPr>
          <w:rStyle w:val="Text111"/>
        </w:rPr>
        <w:bookmarkStart w:id="932" w:name="idm45965282566512"/>
        <w:t/>
        <w:bookmarkEnd w:id="932"/>
      </w:r>
      <w:r>
        <w:t xml:space="preserve"> </w:t>
      </w:r>
      <w:r>
        <w:rPr>
          <w:rStyle w:val="Text4"/>
        </w:rPr>
        <w:t>view objects</w:t>
      </w:r>
      <w:r>
        <w:t xml:space="preserve">. If the underlying </w:t>
      </w:r>
      <w:r>
        <w:rPr>
          <w:rStyle w:val="Text0"/>
        </w:rPr>
        <w:t>dict</w:t>
      </w:r>
      <w:r>
        <w:t xml:space="preserve"> changes, the retrieved view also changes; Python doesn’t allow you to alter the set of keys in the underlying </w:t>
      </w:r>
      <w:r>
        <w:rPr>
          <w:rStyle w:val="Text0"/>
        </w:rPr>
        <w:t>dict</w:t>
      </w:r>
      <w:r>
        <w:t xml:space="preserve"> while using a </w:t>
      </w:r>
      <w:r>
        <w:rPr>
          <w:rStyle w:val="Text5"/>
        </w:rPr>
        <w:t>for</w:t>
      </w:r>
      <w:r>
        <w:t xml:space="preserve"> loop on any of its view objects.</w:t>
      </w:r>
    </w:p>
    <w:p>
      <w:pPr>
        <w:pStyle w:val="Normal"/>
      </w:pPr>
      <w:r>
        <w:t xml:space="preserve">Iterating on any of the view objects yields values in insertion order. In particular, when you call more than one of these methods without any intervening change to the </w:t>
      </w:r>
      <w:r>
        <w:rPr>
          <w:rStyle w:val="Text0"/>
        </w:rPr>
        <w:t>dict</w:t>
      </w:r>
      <w:r>
        <w:t>, the order of the results is the same for all of them.</w:t>
      </w:r>
    </w:p>
    <w:p>
      <w:pPr>
        <w:pStyle w:val="Normal"/>
      </w:pPr>
      <w:r>
        <w:t xml:space="preserve">Dictionaries also support the class method </w:t>
      </w:r>
      <w:r>
        <w:rPr>
          <w:rStyle w:val="Text0"/>
        </w:rPr>
        <w:t>fromkeys(</w:t>
      </w:r>
      <w:r>
        <w:rPr>
          <w:rStyle w:val="Text3"/>
        </w:rPr>
        <w:t>seq</w:t>
      </w:r>
      <w:r>
        <w:rPr>
          <w:rStyle w:val="Text0"/>
        </w:rPr>
        <w:t>,</w:t>
      </w:r>
      <w:r>
        <w:t xml:space="preserve"> </w:t>
      </w:r>
      <w:r>
        <w:rPr>
          <w:rStyle w:val="Text3"/>
        </w:rPr>
        <w:t>value</w:t>
      </w:r>
      <w:r>
        <w:rPr>
          <w:rStyle w:val="Text0"/>
        </w:rPr>
        <w:t>)</w:t>
      </w:r>
      <w:r>
        <w:t xml:space="preserve">, which returns a dictionary containing all the keys of the given iterable </w:t>
      </w:r>
      <w:r>
        <w:rPr>
          <w:rStyle w:val="Text3"/>
        </w:rPr>
        <w:t>seq</w:t>
      </w:r>
      <w:r>
        <w:t xml:space="preserve">, each identically initialized with </w:t>
      </w:r>
      <w:r>
        <w:rPr>
          <w:rStyle w:val="Text3"/>
        </w:rPr>
        <w:t>value</w:t>
      </w:r>
      <w:r>
        <w:t>.</w:t>
      </w:r>
    </w:p>
    <w:p>
      <w:pPr>
        <w:keepNext/>
        <w:pStyle w:val="Heading 6"/>
        <w:keepLines w:val="on"/>
      </w:pPr>
      <w:r>
        <w:t>Never Modify a dict’s Keys While Iterating on It</w:t>
      </w:r>
    </w:p>
    <w:p>
      <w:pPr>
        <w:pStyle w:val="Para 012"/>
        <w:keepLines w:val="on"/>
      </w:pPr>
      <w:r>
        <w:t xml:space="preserve">Don’t ever modify the set of keys in a </w:t>
      </w:r>
      <w:r>
        <w:rPr>
          <w:rStyle w:val="Text0"/>
        </w:rPr>
        <w:t>dict</w:t>
      </w:r>
      <w:r>
        <w:t xml:space="preserve"> (i.e., add or remove keys) while iterating over that </w:t>
      </w:r>
      <w:r>
        <w:rPr>
          <w:rStyle w:val="Text0"/>
        </w:rPr>
        <w:t>dict</w:t>
      </w:r>
      <w:r>
        <w:t xml:space="preserve"> or any of the iterable views returned by its methods. If you need to avoid such constraints against mutation during iteration, iterate instead on a list explicitly built from the </w:t>
      </w:r>
      <w:r>
        <w:rPr>
          <w:rStyle w:val="Text0"/>
        </w:rPr>
        <w:t>dict</w:t>
      </w:r>
      <w:r>
        <w:t xml:space="preserve"> or view (i.e., on list(</w:t>
      </w:r>
      <w:r>
        <w:rPr>
          <w:rStyle w:val="Text4"/>
        </w:rPr>
        <w:t>D</w:t>
      </w:r>
      <w:r>
        <w:t xml:space="preserve">)). Iterating directly on a dict </w:t>
      </w:r>
      <w:r>
        <w:rPr>
          <w:rStyle w:val="Text3"/>
        </w:rPr>
        <w:t>D</w:t>
      </w:r>
      <w:r>
        <w:t xml:space="preserve"> is exactly like iterating on </w:t>
      </w:r>
      <w:r>
        <w:rPr>
          <w:rStyle w:val="Text3"/>
        </w:rPr>
        <w:t>D</w:t>
      </w:r>
      <w:r>
        <w:rPr>
          <w:rStyle w:val="Text0"/>
        </w:rPr>
        <w:t>.keys()</w:t>
      </w:r>
      <w:r>
        <w:t>.</w:t>
      </w:r>
    </w:p>
    <w:p>
      <w:pPr>
        <w:pStyle w:val="Normal"/>
      </w:pPr>
      <w:r>
        <w:t xml:space="preserve">The return values of the </w:t>
      </w:r>
      <w:r>
        <w:rPr>
          <w:rStyle w:val="Text0"/>
        </w:rPr>
        <w:t>items</w:t>
      </w:r>
      <w:r>
        <w:t xml:space="preserve"> and </w:t>
      </w:r>
      <w:r>
        <w:rPr>
          <w:rStyle w:val="Text0"/>
        </w:rPr>
        <w:t>keys</w:t>
      </w:r>
      <w:r>
        <w:t xml:space="preserve"> methods also implement set nonmutating methods and behave much like </w:t>
      </w:r>
      <w:r>
        <w:rPr>
          <w:rStyle w:val="Text0"/>
        </w:rPr>
        <w:t>frozenset</w:t>
      </w:r>
      <w:r>
        <w:t xml:space="preserve">s; the return value of the method </w:t>
      </w:r>
      <w:r>
        <w:rPr>
          <w:rStyle w:val="Text0"/>
        </w:rPr>
        <w:t>values</w:t>
      </w:r>
      <w:r>
        <w:t xml:space="preserve"> doesn’t, since, in contrast to the others (and to </w:t>
      </w:r>
      <w:r>
        <w:rPr>
          <w:rStyle w:val="Text0"/>
        </w:rPr>
        <w:t>set</w:t>
      </w:r>
      <w:r>
        <w:t>s), it may contain duplicates.</w:t>
      </w:r>
    </w:p>
    <w:p>
      <w:pPr>
        <w:pStyle w:val="Normal"/>
      </w:pPr>
      <w:r>
        <w:t xml:space="preserve">The </w:t>
      </w:r>
      <w:r>
        <w:rPr>
          <w:rStyle w:val="Text0"/>
        </w:rPr>
        <w:t>popitem</w:t>
      </w:r>
      <w:r>
        <w:t xml:space="preserve"> method can be used for destructive iteration on a dictionary. Both </w:t>
      </w:r>
      <w:r>
        <w:rPr>
          <w:rStyle w:val="Text0"/>
        </w:rPr>
        <w:t>items</w:t>
      </w:r>
      <w:r>
        <w:t xml:space="preserve"> and </w:t>
      </w:r>
      <w:r>
        <w:rPr>
          <w:rStyle w:val="Text0"/>
        </w:rPr>
        <w:t>popitem</w:t>
      </w:r>
      <w:r>
        <w:t xml:space="preserve"> return dictionary items as key/value pairs. </w:t>
      </w:r>
      <w:r>
        <w:rPr>
          <w:rStyle w:val="Text0"/>
        </w:rPr>
        <w:t>popitem</w:t>
      </w:r>
      <w:r>
        <w:t xml:space="preserve"> is usable for a loop on a huge dictionary, when what you want is to “consume” the dictionary in the course of the loop.</w:t>
      </w:r>
    </w:p>
    <w:p>
      <w:pPr>
        <w:pStyle w:val="Normal"/>
      </w:pPr>
      <w:r>
        <w:rPr>
          <w:rStyle w:val="Text3"/>
        </w:rPr>
        <w:t>D</w:t>
      </w:r>
      <w:r>
        <w:rPr>
          <w:rStyle w:val="Text0"/>
        </w:rPr>
        <w:t>.setdefault(</w:t>
      </w:r>
      <w:r>
        <w:rPr>
          <w:rStyle w:val="Text3"/>
        </w:rPr>
        <w:t>k</w:t>
      </w:r>
      <w:r>
        <w:rPr>
          <w:rStyle w:val="Text0"/>
        </w:rPr>
        <w:t>,</w:t>
      </w:r>
      <w:r>
        <w:t xml:space="preserve"> </w:t>
      </w:r>
      <w:r>
        <w:rPr>
          <w:rStyle w:val="Text3"/>
        </w:rPr>
        <w:t>x</w:t>
      </w:r>
      <w:r>
        <w:rPr>
          <w:rStyle w:val="Text0"/>
        </w:rPr>
        <w:t>)</w:t>
      </w:r>
      <w:r>
        <w:t xml:space="preserve"> returns the same result as </w:t>
      </w:r>
      <w:r>
        <w:rPr>
          <w:rStyle w:val="Text3"/>
        </w:rPr>
        <w:t>D</w:t>
      </w:r>
      <w:r>
        <w:rPr>
          <w:rStyle w:val="Text0"/>
        </w:rPr>
        <w:t>.get(</w:t>
      </w:r>
      <w:r>
        <w:rPr>
          <w:rStyle w:val="Text3"/>
        </w:rPr>
        <w:t>k</w:t>
      </w:r>
      <w:r>
        <w:rPr>
          <w:rStyle w:val="Text0"/>
        </w:rPr>
        <w:t>,</w:t>
      </w:r>
      <w:r>
        <w:t xml:space="preserve"> </w:t>
      </w:r>
      <w:r>
        <w:rPr>
          <w:rStyle w:val="Text3"/>
        </w:rPr>
        <w:t>x</w:t>
      </w:r>
      <w:r>
        <w:rPr>
          <w:rStyle w:val="Text0"/>
        </w:rPr>
        <w:t>)</w:t>
      </w:r>
      <w:r>
        <w:t xml:space="preserve">; but, when </w:t>
      </w:r>
      <w:r>
        <w:rPr>
          <w:rStyle w:val="Text3"/>
        </w:rPr>
        <w:t>k</w:t>
      </w:r>
      <w:r>
        <w:t xml:space="preserve"> is not a key in </w:t>
      </w:r>
      <w:r>
        <w:rPr>
          <w:rStyle w:val="Text3"/>
        </w:rPr>
        <w:t>D</w:t>
      </w:r>
      <w:r>
        <w:t xml:space="preserve">, </w:t>
      </w:r>
      <w:r>
        <w:rPr>
          <w:rStyle w:val="Text0"/>
        </w:rPr>
        <w:t>setdefault</w:t>
      </w:r>
      <w:r>
        <w:t xml:space="preserve"> also has the side effect of binding </w:t>
      </w:r>
      <w:r>
        <w:rPr>
          <w:rStyle w:val="Text3"/>
        </w:rPr>
        <w:t>D</w:t>
      </w:r>
      <w:r>
        <w:rPr>
          <w:rStyle w:val="Text0"/>
        </w:rPr>
        <w:t>[</w:t>
      </w:r>
      <w:r>
        <w:rPr>
          <w:rStyle w:val="Text3"/>
        </w:rPr>
        <w:t>k</w:t>
      </w:r>
      <w:r>
        <w:rPr>
          <w:rStyle w:val="Text0"/>
        </w:rPr>
        <w:t>]</w:t>
      </w:r>
      <w:r>
        <w:t xml:space="preserve"> to the value </w:t>
      </w:r>
      <w:r>
        <w:rPr>
          <w:rStyle w:val="Text3"/>
        </w:rPr>
        <w:t>x</w:t>
      </w:r>
      <w:r>
        <w:t xml:space="preserve">. </w:t>
        <w:t>(In modern</w:t>
        <w:t xml:space="preserve"> Python, </w:t>
      </w:r>
      <w:r>
        <w:rPr>
          <w:rStyle w:val="Text0"/>
        </w:rPr>
        <w:t>setdefault</w:t>
      </w:r>
      <w:r>
        <w:t xml:space="preserve"> is not often used, since the type </w:t>
      </w:r>
      <w:r>
        <w:rPr>
          <w:rStyle w:val="Text0"/>
        </w:rPr>
        <w:t>collections.defaultdict</w:t>
      </w:r>
      <w:r>
        <w:t xml:space="preserve">, covered in </w:t>
      </w:r>
      <w:hyperlink w:anchor="defaultdict__defaultdict_extends">
        <w:r>
          <w:rPr>
            <w:rStyle w:val="Text1"/>
          </w:rPr>
          <w:t>“defaultdict”</w:t>
        </w:r>
      </w:hyperlink>
      <w:r>
        <w:t xml:space="preserve">, often offers similar, faster, clearer </w:t>
        <w:t>functionality</w:t>
        <w:t>.)</w:t>
      </w:r>
    </w:p>
    <w:p>
      <w:pPr>
        <w:pStyle w:val="Normal"/>
      </w:pPr>
      <w:r>
        <w:t xml:space="preserve">The </w:t>
      </w:r>
      <w:r>
        <w:rPr>
          <w:rStyle w:val="Text0"/>
        </w:rPr>
        <w:t>pop</w:t>
      </w:r>
      <w:r>
        <w:t xml:space="preserve"> method returns the same result as </w:t>
      </w:r>
      <w:r>
        <w:rPr>
          <w:rStyle w:val="Text0"/>
        </w:rPr>
        <w:t>get</w:t>
      </w:r>
      <w:r>
        <w:t xml:space="preserve">, but when </w:t>
      </w:r>
      <w:r>
        <w:rPr>
          <w:rStyle w:val="Text3"/>
        </w:rPr>
        <w:t>k</w:t>
      </w:r>
      <w:r>
        <w:t xml:space="preserve"> is a key in </w:t>
      </w:r>
      <w:r>
        <w:rPr>
          <w:rStyle w:val="Text3"/>
        </w:rPr>
        <w:t>D</w:t>
      </w:r>
      <w:r>
        <w:t xml:space="preserve">, </w:t>
      </w:r>
      <w:r>
        <w:rPr>
          <w:rStyle w:val="Text0"/>
        </w:rPr>
        <w:t>pop</w:t>
      </w:r>
      <w:r>
        <w:t xml:space="preserve"> also has the side effect of removing </w:t>
      </w:r>
      <w:r>
        <w:rPr>
          <w:rStyle w:val="Text3"/>
        </w:rPr>
        <w:t>D</w:t>
      </w:r>
      <w:r>
        <w:rPr>
          <w:rStyle w:val="Text0"/>
        </w:rPr>
        <w:t>[</w:t>
      </w:r>
      <w:r>
        <w:rPr>
          <w:rStyle w:val="Text3"/>
        </w:rPr>
        <w:t>k</w:t>
      </w:r>
      <w:r>
        <w:rPr>
          <w:rStyle w:val="Text0"/>
        </w:rPr>
        <w:t>]</w:t>
      </w:r>
      <w:r>
        <w:t xml:space="preserve"> (when </w:t>
      </w:r>
      <w:r>
        <w:rPr>
          <w:rStyle w:val="Text3"/>
        </w:rPr>
        <w:t>x</w:t>
      </w:r>
      <w:r>
        <w:t xml:space="preserve"> is not specified, and </w:t>
      </w:r>
      <w:r>
        <w:rPr>
          <w:rStyle w:val="Text3"/>
        </w:rPr>
        <w:t>k</w:t>
      </w:r>
      <w:r>
        <w:t xml:space="preserve"> is not a key in </w:t>
      </w:r>
      <w:r>
        <w:rPr>
          <w:rStyle w:val="Text3"/>
        </w:rPr>
        <w:t>D</w:t>
      </w:r>
      <w:r>
        <w:t xml:space="preserve">, </w:t>
      </w:r>
      <w:r>
        <w:rPr>
          <w:rStyle w:val="Text0"/>
        </w:rPr>
        <w:t>get</w:t>
      </w:r>
      <w:r>
        <w:t xml:space="preserve"> returns </w:t>
      </w:r>
      <w:r>
        <w:rPr>
          <w:rStyle w:val="Text5"/>
        </w:rPr>
        <w:t>None</w:t>
      </w:r>
      <w:r>
        <w:t xml:space="preserve">, but </w:t>
      </w:r>
      <w:r>
        <w:rPr>
          <w:rStyle w:val="Text0"/>
        </w:rPr>
        <w:t>pop</w:t>
      </w:r>
      <w:r>
        <w:t xml:space="preserve"> raises an exception). </w:t>
      </w:r>
      <w:r>
        <w:rPr>
          <w:rStyle w:val="Text3"/>
        </w:rPr>
        <w:t>d</w:t>
      </w:r>
      <w:r>
        <w:rPr>
          <w:rStyle w:val="Text0"/>
        </w:rPr>
        <w:t>.pop(</w:t>
      </w:r>
      <w:r>
        <w:rPr>
          <w:rStyle w:val="Text3"/>
        </w:rPr>
        <w:t>key</w:t>
      </w:r>
      <w:r>
        <w:rPr>
          <w:rStyle w:val="Text0"/>
        </w:rPr>
        <w:t>,</w:t>
      </w:r>
      <w:r>
        <w:t xml:space="preserve"> </w:t>
      </w:r>
      <w:r>
        <w:rPr>
          <w:rStyle w:val="Text5"/>
        </w:rPr>
        <w:t>None</w:t>
      </w:r>
      <w:r>
        <w:rPr>
          <w:rStyle w:val="Text0"/>
        </w:rPr>
        <w:t>)</w:t>
      </w:r>
      <w:r>
        <w:t xml:space="preserve"> is a useful shortcut for removing a key from a </w:t>
      </w:r>
      <w:r>
        <w:rPr>
          <w:rStyle w:val="Text0"/>
        </w:rPr>
        <w:t>dict</w:t>
      </w:r>
      <w:r>
        <w:t xml:space="preserve"> without having to first check if the key is present, much like </w:t>
      </w:r>
      <w:r>
        <w:rPr>
          <w:rStyle w:val="Text3"/>
        </w:rPr>
        <w:t>s</w:t>
      </w:r>
      <w:r>
        <w:rPr>
          <w:rStyle w:val="Text0"/>
        </w:rPr>
        <w:t>.discard(</w:t>
      </w:r>
      <w:r>
        <w:rPr>
          <w:rStyle w:val="Text3"/>
        </w:rPr>
        <w:t>x</w:t>
      </w:r>
      <w:r>
        <w:rPr>
          <w:rStyle w:val="Text0"/>
        </w:rPr>
        <w:t>)</w:t>
      </w:r>
      <w:r>
        <w:t xml:space="preserve"> (as opposed to </w:t>
      </w:r>
      <w:r>
        <w:rPr>
          <w:rStyle w:val="Text3"/>
        </w:rPr>
        <w:t>s</w:t>
      </w:r>
      <w:r>
        <w:rPr>
          <w:rStyle w:val="Text0"/>
        </w:rPr>
        <w:t>.remove(</w:t>
      </w:r>
      <w:r>
        <w:rPr>
          <w:rStyle w:val="Text3"/>
        </w:rPr>
        <w:t>x</w:t>
      </w:r>
      <w:r>
        <w:rPr>
          <w:rStyle w:val="Text0"/>
        </w:rPr>
        <w:t>)</w:t>
      </w:r>
      <w:r>
        <w:t xml:space="preserve">) when </w:t>
      </w:r>
      <w:r>
        <w:rPr>
          <w:rStyle w:val="Text3"/>
        </w:rPr>
        <w:t>s</w:t>
      </w:r>
      <w:r>
        <w:t xml:space="preserve"> is a set.</w:t>
      </w:r>
    </w:p>
    <w:p>
      <w:pPr>
        <w:pStyle w:val="Normal"/>
      </w:pPr>
      <w:r>
        <w:rPr>
          <w:rStyle w:val="Text34"/>
        </w:rPr>
        <w:t>3.9+</w:t>
      </w:r>
      <w:r>
        <w:t xml:space="preserve"> The </w:t>
      </w:r>
      <w:r>
        <w:rPr>
          <w:rStyle w:val="Text0"/>
        </w:rPr>
        <w:t>update</w:t>
      </w:r>
      <w:r>
        <w:t xml:space="preserve"> method is accessible with augmented assignment syntax: where </w:t>
      </w:r>
      <w:r>
        <w:rPr>
          <w:rStyle w:val="Text3"/>
        </w:rPr>
        <w:t>D2</w:t>
      </w:r>
      <w:r>
        <w:t xml:space="preserve"> is a </w:t>
      </w:r>
      <w:r>
        <w:rPr>
          <w:rStyle w:val="Text0"/>
        </w:rPr>
        <w:t>dict</w:t>
      </w:r>
      <w:r>
        <w:t xml:space="preserve">, </w:t>
      </w:r>
      <w:r>
        <w:rPr>
          <w:rStyle w:val="Text3"/>
        </w:rPr>
        <w:t>D</w:t>
      </w:r>
      <w:r>
        <w:t xml:space="preserve"> </w:t>
      </w:r>
      <w:r>
        <w:rPr>
          <w:rStyle w:val="Text0"/>
        </w:rPr>
        <w:t>|=</w:t>
      </w:r>
      <w:r>
        <w:t xml:space="preserve"> </w:t>
      </w:r>
      <w:r>
        <w:rPr>
          <w:rStyle w:val="Text3"/>
        </w:rPr>
        <w:t>D2</w:t>
      </w:r>
      <w:r>
        <w:t xml:space="preserve"> is the same as </w:t>
      </w:r>
      <w:r>
        <w:rPr>
          <w:rStyle w:val="Text3"/>
        </w:rPr>
        <w:t>D</w:t>
      </w:r>
      <w:r>
        <w:rPr>
          <w:rStyle w:val="Text0"/>
        </w:rPr>
        <w:t>.update(</w:t>
      </w:r>
      <w:r>
        <w:rPr>
          <w:rStyle w:val="Text3"/>
        </w:rPr>
        <w:t>D2</w:t>
      </w:r>
      <w:r>
        <w:rPr>
          <w:rStyle w:val="Text0"/>
        </w:rPr>
        <w:t>)</w:t>
      </w:r>
      <w:r>
        <w:t xml:space="preserve">. Operator syntax, </w:t>
      </w:r>
      <w:r>
        <w:rPr>
          <w:rStyle w:val="Text3"/>
        </w:rPr>
        <w:t>D</w:t>
      </w:r>
      <w:r>
        <w:t xml:space="preserve"> </w:t>
      </w:r>
      <w:r>
        <w:rPr>
          <w:rStyle w:val="Text0"/>
        </w:rPr>
        <w:t>|</w:t>
      </w:r>
      <w:r>
        <w:t xml:space="preserve"> </w:t>
      </w:r>
      <w:r>
        <w:rPr>
          <w:rStyle w:val="Text3"/>
        </w:rPr>
        <w:t>D2</w:t>
      </w:r>
      <w:r>
        <w:t xml:space="preserve">, mutates neither dictionary: rather, it returns a new dictionary result, such that </w:t>
      </w:r>
      <w:r>
        <w:rPr>
          <w:rStyle w:val="Text3"/>
        </w:rPr>
        <w:t>D3</w:t>
      </w:r>
      <w:r>
        <w:t xml:space="preserve"> </w:t>
      </w:r>
      <w:r>
        <w:rPr>
          <w:rStyle w:val="Text0"/>
        </w:rPr>
        <w:t>=</w:t>
      </w:r>
      <w:r>
        <w:t xml:space="preserve"> </w:t>
      </w:r>
      <w:r>
        <w:rPr>
          <w:rStyle w:val="Text3"/>
        </w:rPr>
        <w:t>D</w:t>
      </w:r>
      <w:r>
        <w:t xml:space="preserve"> </w:t>
      </w:r>
      <w:r>
        <w:rPr>
          <w:rStyle w:val="Text0"/>
        </w:rPr>
        <w:t>|</w:t>
      </w:r>
      <w:r>
        <w:t xml:space="preserve"> </w:t>
      </w:r>
      <w:r>
        <w:rPr>
          <w:rStyle w:val="Text3"/>
        </w:rPr>
        <w:t>D2</w:t>
      </w:r>
      <w:r>
        <w:t xml:space="preserve"> is equivalent to </w:t>
      </w:r>
      <w:r>
        <w:rPr>
          <w:rStyle w:val="Text3"/>
        </w:rPr>
        <w:t>D3</w:t>
      </w:r>
      <w:r>
        <w:t xml:space="preserve"> </w:t>
      </w:r>
      <w:r>
        <w:rPr>
          <w:rStyle w:val="Text0"/>
        </w:rPr>
        <w:t>=</w:t>
      </w:r>
      <w:r>
        <w:t xml:space="preserve"> </w:t>
      </w:r>
      <w:r>
        <w:rPr>
          <w:rStyle w:val="Text3"/>
        </w:rPr>
        <w:t>D</w:t>
      </w:r>
      <w:r>
        <w:rPr>
          <w:rStyle w:val="Text0"/>
        </w:rPr>
        <w:t>.copy();</w:t>
      </w:r>
      <w:r>
        <w:t xml:space="preserve"> </w:t>
      </w:r>
      <w:r>
        <w:rPr>
          <w:rStyle w:val="Text3"/>
        </w:rPr>
        <w:t>D3</w:t>
      </w:r>
      <w:r>
        <w:rPr>
          <w:rStyle w:val="Text0"/>
        </w:rPr>
        <w:t>.update(</w:t>
      </w:r>
      <w:r>
        <w:rPr>
          <w:rStyle w:val="Text3"/>
        </w:rPr>
        <w:t>D2</w:t>
      </w:r>
      <w:r>
        <w:rPr>
          <w:rStyle w:val="Text0"/>
        </w:rPr>
        <w:t>)</w:t>
      </w:r>
      <w:r>
        <w:t>.</w:t>
      </w:r>
    </w:p>
    <w:p>
      <w:pPr>
        <w:pStyle w:val="Normal"/>
      </w:pPr>
      <w:r>
        <w:t xml:space="preserve">The </w:t>
      </w:r>
      <w:r>
        <w:rPr>
          <w:rStyle w:val="Text0"/>
        </w:rPr>
        <w:t>update</w:t>
      </w:r>
      <w:r>
        <w:t xml:space="preserve"> method (but not the </w:t>
      </w:r>
      <w:r>
        <w:rPr>
          <w:rStyle w:val="Text0"/>
        </w:rPr>
        <w:t>|</w:t>
      </w:r>
      <w:r>
        <w:t xml:space="preserve"> and </w:t>
      </w:r>
      <w:r>
        <w:rPr>
          <w:rStyle w:val="Text0"/>
        </w:rPr>
        <w:t>|=</w:t>
      </w:r>
      <w:r>
        <w:t xml:space="preserve"> operators) can also accept an iterable of key/value pairs as an alternative argument instead of a mapping, and can accept named arguments instead of—or in addition to—its positional argument; the semantics are the same as for passing such arguments when calling the built-in </w:t>
      </w:r>
      <w:r>
        <w:rPr>
          <w:rStyle w:val="Text0"/>
        </w:rPr>
        <w:t>dict</w:t>
      </w:r>
      <w:r>
        <w:t xml:space="preserve"> type, as covered in </w:t>
      </w:r>
      <w:hyperlink w:anchor="Dictionaries__A_mapping_is_an_ar">
        <w:r>
          <w:rPr>
            <w:rStyle w:val="Text1"/>
          </w:rPr>
          <w:t>“Dictionaries”</w:t>
        </w:r>
      </w:hyperlink>
      <w:r>
        <w:t>.</w:t>
      </w:r>
      <w:r>
        <w:rPr>
          <w:rStyle w:val="Text111"/>
        </w:rPr>
        <w:bookmarkStart w:id="933" w:name="idm45965282484336"/>
        <w:t/>
        <w:bookmarkEnd w:id="933"/>
        <w:bookmarkStart w:id="934" w:name="idm45965282482928"/>
        <w:t/>
        <w:bookmarkEnd w:id="934"/>
      </w:r>
    </w:p>
    <w:p>
      <w:bookmarkStart w:id="935" w:name="Control_Flow_Statements__A_progr"/>
      <w:pPr>
        <w:keepNext/>
        <w:pStyle w:val="Heading 1"/>
      </w:pPr>
      <w:r>
        <w:t>Control Flow Statements</w:t>
      </w:r>
      <w:bookmarkEnd w:id="935"/>
    </w:p>
    <w:p>
      <w:pPr>
        <w:pStyle w:val="Normal"/>
      </w:pPr>
      <w:r>
        <w:t>A</w:t>
      </w:r>
      <w:r>
        <w:rPr>
          <w:rStyle w:val="Text111"/>
        </w:rPr>
        <w:bookmarkStart w:id="936" w:name="PLconflo03"/>
        <w:t/>
        <w:bookmarkEnd w:id="936"/>
        <w:bookmarkStart w:id="937" w:name="conflo03"/>
        <w:t/>
        <w:bookmarkEnd w:id="937"/>
      </w:r>
      <w:r>
        <w:t xml:space="preserve"> program’s </w:t>
      </w:r>
      <w:r>
        <w:rPr>
          <w:rStyle w:val="Text4"/>
        </w:rPr>
        <w:t>control flow</w:t>
      </w:r>
      <w:r>
        <w:t xml:space="preserve"> regulates the order in which the program’s code executes. The control flow of a Python program mostly depends on conditional statements, loops, and function calls. (This section covers the </w:t>
      </w:r>
      <w:r>
        <w:rPr>
          <w:rStyle w:val="Text5"/>
        </w:rPr>
        <w:t>if</w:t>
      </w:r>
      <w:r>
        <w:t xml:space="preserve"> and </w:t>
      </w:r>
      <w:r>
        <w:rPr>
          <w:rStyle w:val="Text5"/>
        </w:rPr>
        <w:t>match</w:t>
      </w:r>
      <w:r>
        <w:t xml:space="preserve"> conditional statements, and </w:t>
      </w:r>
      <w:r>
        <w:rPr>
          <w:rStyle w:val="Text5"/>
        </w:rPr>
        <w:t>for</w:t>
      </w:r>
      <w:r>
        <w:t xml:space="preserve"> and </w:t>
      </w:r>
      <w:r>
        <w:rPr>
          <w:rStyle w:val="Text5"/>
        </w:rPr>
        <w:t>while</w:t>
      </w:r>
      <w:r>
        <w:t xml:space="preserve"> loops; we cover functions in the following section.) Raising and handling exceptions also affects control flow (via the </w:t>
      </w:r>
      <w:r>
        <w:rPr>
          <w:rStyle w:val="Text5"/>
        </w:rPr>
        <w:t>try</w:t>
      </w:r>
      <w:r>
        <w:t xml:space="preserve"> and </w:t>
      </w:r>
      <w:r>
        <w:rPr>
          <w:rStyle w:val="Text5"/>
        </w:rPr>
        <w:t>with</w:t>
      </w:r>
      <w:r>
        <w:t xml:space="preserve"> statements); we cover exceptions in </w:t>
      </w:r>
      <w:hyperlink w:anchor="Chapter_6__Exceptions__Python_us_2">
        <w:r>
          <w:rPr>
            <w:rStyle w:val="Text1"/>
          </w:rPr>
          <w:t>Chapter 6</w:t>
        </w:r>
      </w:hyperlink>
      <w:r>
        <w:t>.</w:t>
      </w:r>
    </w:p>
    <w:p>
      <w:bookmarkStart w:id="938" w:name="The_if_Statement__Often__you_ll"/>
      <w:pPr>
        <w:keepNext/>
        <w:pStyle w:val="Heading 2"/>
      </w:pPr>
      <w:r>
        <w:t>The if Statement</w:t>
      </w:r>
      <w:bookmarkEnd w:id="938"/>
    </w:p>
    <w:p>
      <w:pPr>
        <w:pStyle w:val="Normal"/>
      </w:pPr>
      <w:r>
        <w:t>Often, you’ll</w:t>
      </w:r>
      <w:r>
        <w:rPr>
          <w:rStyle w:val="Text111"/>
        </w:rPr>
        <w:bookmarkStart w:id="939" w:name="idm45965282467648"/>
        <w:t/>
        <w:bookmarkEnd w:id="939"/>
        <w:bookmarkStart w:id="940" w:name="idm45965282466240"/>
        <w:t/>
        <w:bookmarkEnd w:id="940"/>
        <w:bookmarkStart w:id="941" w:name="idm45965282465136"/>
        <w:t/>
        <w:bookmarkEnd w:id="941"/>
        <w:bookmarkStart w:id="942" w:name="idm45965282464032"/>
        <w:t/>
        <w:bookmarkEnd w:id="942"/>
      </w:r>
      <w:r>
        <w:t xml:space="preserve"> need to execute some statements only when some condition holds, or choose statements to execute depending on mutually exclusive conditions. The compound statement </w:t>
      </w:r>
      <w:r>
        <w:rPr>
          <w:rStyle w:val="Text5"/>
        </w:rPr>
        <w:t>if</w:t>
      </w:r>
      <w:r>
        <w:t xml:space="preserve">—comprising </w:t>
      </w:r>
      <w:r>
        <w:rPr>
          <w:rStyle w:val="Text5"/>
        </w:rPr>
        <w:t>if</w:t>
      </w:r>
      <w:r>
        <w:t xml:space="preserve">, </w:t>
      </w:r>
      <w:r>
        <w:rPr>
          <w:rStyle w:val="Text5"/>
        </w:rPr>
        <w:t>elif</w:t>
      </w:r>
      <w:r>
        <w:t>, and</w:t>
      </w:r>
      <w:r>
        <w:rPr>
          <w:rStyle w:val="Text111"/>
        </w:rPr>
        <w:bookmarkStart w:id="943" w:name="idm45965282459984"/>
        <w:t/>
        <w:bookmarkEnd w:id="943"/>
      </w:r>
      <w:r>
        <w:t xml:space="preserve"> </w:t>
      </w:r>
      <w:r>
        <w:rPr>
          <w:rStyle w:val="Text5"/>
        </w:rPr>
        <w:t>else</w:t>
      </w:r>
      <w:r>
        <w:t xml:space="preserve"> clauses—lets you conditionally execute blocks of statements. The syntax for the </w:t>
      </w:r>
      <w:r>
        <w:rPr>
          <w:rStyle w:val="Text5"/>
        </w:rPr>
        <w:t>if</w:t>
      </w:r>
      <w:r>
        <w:t xml:space="preserve"> statement is:</w:t>
      </w:r>
    </w:p>
    <w:p>
      <w:pPr>
        <w:pStyle w:val="Para 032"/>
      </w:pPr>
      <w:r>
        <w:rPr>
          <w:rStyle w:val="Text116"/>
        </w:rPr>
        <w:t xml:space="preserve"/>
        <w:br w:clear="none"/>
      </w:r>
      <w:r>
        <w:rPr>
          <w:rStyle w:val="Text22"/>
        </w:rPr>
        <w:t xml:space="preserve">if</w:t>
        <w:br w:clear="none"/>
      </w:r>
      <w:r>
        <w:rPr>
          <w:rStyle w:val="Text11"/>
        </w:rPr>
        <w:t xml:space="preserve"> </w:t>
        <w:br w:clear="none"/>
      </w:r>
      <w:r>
        <w:t xml:space="preserve">expression</w:t>
        <w:br w:clear="none"/>
      </w:r>
      <w:r>
        <w:rPr>
          <w:rStyle w:val="Text7"/>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22"/>
        </w:rPr>
        <w:t xml:space="preserve">elif</w:t>
        <w:br w:clear="none"/>
      </w:r>
      <w:r>
        <w:rPr>
          <w:rStyle w:val="Text11"/>
        </w:rPr>
        <w:t xml:space="preserve"> </w:t>
        <w:br w:clear="none"/>
      </w:r>
      <w:r>
        <w:t xml:space="preserve">expression</w:t>
        <w:br w:clear="none"/>
      </w:r>
      <w:r>
        <w:rPr>
          <w:rStyle w:val="Text7"/>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22"/>
        </w:rPr>
        <w:t xml:space="preserve">elif</w:t>
        <w:br w:clear="none"/>
      </w:r>
      <w:r>
        <w:rPr>
          <w:rStyle w:val="Text11"/>
        </w:rPr>
        <w:t xml:space="preserve"> </w:t>
        <w:br w:clear="none"/>
      </w:r>
      <w:r>
        <w:t xml:space="preserve">expression</w:t>
        <w:br w:clear="none"/>
      </w:r>
      <w:r>
        <w:rPr>
          <w:rStyle w:val="Text7"/>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28"/>
        </w:rPr>
        <w:t xml:space="preserve">.</w:t>
        <w:br w:clear="none"/>
        <w:t xml:space="preserve">.</w:t>
        <w:br w:clear="none"/>
        <w:t xml:space="preserve">.</w:t>
        <w:br w:clear="none"/>
      </w:r>
      <w:r>
        <w:rPr>
          <w:rStyle w:val="Text11"/>
        </w:rPr>
        <w:t xml:space="preserve"/>
        <w:br w:clear="none"/>
      </w:r>
      <w:r>
        <w:rPr>
          <w:rStyle w:val="Text22"/>
        </w:rPr>
        <w:t xml:space="preserve">else</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t xml:space="preserve">The </w:t>
      </w:r>
      <w:r>
        <w:rPr>
          <w:rStyle w:val="Text5"/>
        </w:rPr>
        <w:t>elif</w:t>
      </w:r>
      <w:r>
        <w:t xml:space="preserve"> and </w:t>
      </w:r>
      <w:r>
        <w:rPr>
          <w:rStyle w:val="Text5"/>
        </w:rPr>
        <w:t>else</w:t>
      </w:r>
      <w:r>
        <w:t xml:space="preserve"> clauses are optional. Before the introduction of the </w:t>
      </w:r>
      <w:r>
        <w:rPr>
          <w:rStyle w:val="Text5"/>
        </w:rPr>
        <w:t>match</w:t>
      </w:r>
      <w:r>
        <w:t xml:space="preserve"> construct, which we’ll look at next, using </w:t>
      </w:r>
      <w:r>
        <w:rPr>
          <w:rStyle w:val="Text5"/>
        </w:rPr>
        <w:t>if</w:t>
      </w:r>
      <w:r>
        <w:t xml:space="preserve">, </w:t>
      </w:r>
      <w:r>
        <w:rPr>
          <w:rStyle w:val="Text5"/>
        </w:rPr>
        <w:t>elif</w:t>
      </w:r>
      <w:r>
        <w:t xml:space="preserve">, and </w:t>
      </w:r>
      <w:r>
        <w:rPr>
          <w:rStyle w:val="Text5"/>
        </w:rPr>
        <w:t>else</w:t>
      </w:r>
      <w:r>
        <w:t xml:space="preserve"> was the most common approach for all conditional processing (although at times a </w:t>
      </w:r>
      <w:r>
        <w:rPr>
          <w:rStyle w:val="Text0"/>
        </w:rPr>
        <w:t>dict</w:t>
      </w:r>
      <w:r>
        <w:t xml:space="preserve"> with callables as values might provide a good alternative).</w:t>
      </w:r>
    </w:p>
    <w:p>
      <w:pPr>
        <w:pStyle w:val="Normal"/>
      </w:pPr>
      <w:r>
        <w:t xml:space="preserve">Here’s a typical </w:t>
      </w:r>
      <w:r>
        <w:rPr>
          <w:rStyle w:val="Text5"/>
        </w:rPr>
        <w:t>if</w:t>
      </w:r>
      <w:r>
        <w:t xml:space="preserve"> statement with all three kinds of clauses:</w:t>
      </w:r>
    </w:p>
    <w:p>
      <w:pPr>
        <w:pStyle w:val="Para 020"/>
      </w:pPr>
      <w:r>
        <w:rPr>
          <w:rStyle w:val="Text23"/>
        </w:rPr>
        <w:t xml:space="preserve"/>
        <w:br w:clear="none"/>
      </w:r>
      <w:r>
        <w:rPr>
          <w:rStyle w:val="Text10"/>
        </w:rPr>
        <w:t xml:space="preserve">if</w:t>
        <w:br w:clear="none"/>
      </w:r>
      <w:r>
        <w:rPr>
          <w:rStyle w:val="Text6"/>
        </w:rPr>
        <w:t xml:space="preserve"> </w:t>
        <w:br w:clear="none"/>
      </w:r>
      <w:r>
        <w:rPr>
          <w:rStyle w:val="Text9"/>
        </w:rPr>
        <w:t xml:space="preserve">x</w:t>
        <w:br w:clear="none"/>
      </w:r>
      <w:r>
        <w:rPr>
          <w:rStyle w:val="Text6"/>
        </w:rPr>
        <w:t xml:space="preserve"> </w:t>
        <w:br w:clear="none"/>
      </w:r>
      <w:r>
        <w:rPr>
          <w:rStyle w:val="Text13"/>
        </w:rPr>
        <w:t xml:space="preserve">&lt;</w:t>
        <w:br w:clear="none"/>
      </w:r>
      <w:r>
        <w:rPr>
          <w:rStyle w:val="Text6"/>
        </w:rPr>
        <w:t xml:space="preserve"> </w:t>
        <w:br w:clear="none"/>
      </w:r>
      <w:r>
        <w:rPr>
          <w:rStyle w:val="Text27"/>
        </w:rPr>
        <w:t xml:space="preserve">0</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x is negative</w:t>
        <w:br w:clear="none"/>
        <w:t xml:space="preserve">'</w:t>
        <w:br w:clear="none"/>
      </w:r>
      <w:r>
        <w:rPr>
          <w:rStyle w:val="Text7"/>
        </w:rPr>
        <w:t xml:space="preserve">)</w:t>
        <w:br w:clear="none"/>
      </w:r>
      <w:r>
        <w:rPr>
          <w:rStyle w:val="Text6"/>
        </w:rPr>
        <w:t xml:space="preserve"/>
        <w:br w:clear="none"/>
      </w:r>
      <w:r>
        <w:rPr>
          <w:rStyle w:val="Text10"/>
        </w:rPr>
        <w:t xml:space="preserve">elif</w:t>
        <w:br w:clear="none"/>
      </w:r>
      <w:r>
        <w:rPr>
          <w:rStyle w:val="Text6"/>
        </w:rPr>
        <w:t xml:space="preserve"> </w:t>
        <w:br w:clear="none"/>
      </w:r>
      <w:r>
        <w:rPr>
          <w:rStyle w:val="Text9"/>
        </w:rPr>
        <w:t xml:space="preserve">x</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x is positive and odd</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x is even and nonnegative</w:t>
        <w:br w:clear="none"/>
        <w:t xml:space="preserve">'</w:t>
        <w:br w:clear="none"/>
      </w:r>
      <w:r>
        <w:rPr>
          <w:rStyle w:val="Text7"/>
        </w:rPr>
        <w:t xml:space="preserve">)</w:t>
        <w:br w:clear="none"/>
      </w:r>
    </w:p>
    <w:p>
      <w:pPr>
        <w:pStyle w:val="Normal"/>
      </w:pPr>
      <w:r>
        <w:t>Each clause controls one or more statements</w:t>
      </w:r>
      <w:r>
        <w:rPr>
          <w:rStyle w:val="Text111"/>
        </w:rPr>
        <w:bookmarkStart w:id="944" w:name="idm45965282380192"/>
        <w:t/>
        <w:bookmarkEnd w:id="944"/>
      </w:r>
      <w:r>
        <w:t xml:space="preserve"> (known as a block): place the block’s statements on separate logical lines after the line containing the clause’s keyword (known as the</w:t>
      </w:r>
      <w:r>
        <w:rPr>
          <w:rStyle w:val="Text111"/>
        </w:rPr>
        <w:bookmarkStart w:id="945" w:name="idm45965282347648"/>
        <w:t/>
        <w:bookmarkEnd w:id="945"/>
      </w:r>
      <w:r>
        <w:t xml:space="preserve"> </w:t>
      </w:r>
      <w:r>
        <w:rPr>
          <w:rStyle w:val="Text4"/>
        </w:rPr>
        <w:t>header line</w:t>
      </w:r>
      <w:r>
        <w:t xml:space="preserve"> of the clause), indented four spaces past the header line. The block terminates when the indentation returns to the level of the clause header, or further left from there (this is the style mandated by </w:t>
      </w:r>
      <w:hyperlink r:id="rId216">
        <w:r>
          <w:rPr>
            <w:rStyle w:val="Text1"/>
          </w:rPr>
          <w:t>PEP 8</w:t>
        </w:r>
      </w:hyperlink>
      <w:r>
        <w:t>).</w:t>
      </w:r>
    </w:p>
    <w:p>
      <w:pPr>
        <w:pStyle w:val="Normal"/>
      </w:pPr>
      <w:r>
        <w:t>You can use any Python expression</w:t>
      </w:r>
      <w:hyperlink w:anchor="18_Except__as_already_noted__a_N">
        <w:r>
          <w:rPr>
            <w:rStyle w:val="Text41"/>
          </w:rPr>
          <w:bookmarkStart w:id="946" w:name="18"/>
          <w:t>18</w:t>
          <w:bookmarkEnd w:id="946"/>
        </w:r>
      </w:hyperlink>
      <w:r>
        <w:t xml:space="preserve"> as the condition in an </w:t>
      </w:r>
      <w:r>
        <w:rPr>
          <w:rStyle w:val="Text5"/>
        </w:rPr>
        <w:t>if</w:t>
      </w:r>
      <w:r>
        <w:t xml:space="preserve"> or </w:t>
      </w:r>
      <w:r>
        <w:rPr>
          <w:rStyle w:val="Text5"/>
        </w:rPr>
        <w:t>elif</w:t>
      </w:r>
      <w:r>
        <w:t xml:space="preserve"> clause. Using an</w:t>
      </w:r>
      <w:r>
        <w:rPr>
          <w:rStyle w:val="Text111"/>
        </w:rPr>
        <w:bookmarkStart w:id="947" w:name="idm45965282342016"/>
        <w:t/>
        <w:bookmarkEnd w:id="947"/>
      </w:r>
      <w:r>
        <w:t xml:space="preserve"> expression this way is known as using it </w:t>
      </w:r>
      <w:r>
        <w:rPr>
          <w:rStyle w:val="Text4"/>
        </w:rPr>
        <w:t>in a Boolean context</w:t>
      </w:r>
      <w:r>
        <w:t>. In this context, any value is taken as being either true or false. As mentioned earlier, any nonzero number or nonempty container (string, tuple, list, dictionary, set, etc.) evaluates as true, while zero (</w:t>
      </w:r>
      <w:r>
        <w:rPr>
          <w:rStyle w:val="Text0"/>
        </w:rPr>
        <w:t>0</w:t>
      </w:r>
      <w:r>
        <w:t xml:space="preserve">, of any numeric type), </w:t>
      </w:r>
      <w:r>
        <w:rPr>
          <w:rStyle w:val="Text5"/>
        </w:rPr>
        <w:t>None</w:t>
      </w:r>
      <w:r>
        <w:t xml:space="preserve">, and empty containers evaluate as false. To test a value </w:t>
      </w:r>
      <w:r>
        <w:rPr>
          <w:rStyle w:val="Text3"/>
        </w:rPr>
        <w:t>x</w:t>
      </w:r>
      <w:r>
        <w:t xml:space="preserve"> in a Boolean context, use the following coding style:</w:t>
      </w:r>
    </w:p>
    <w:p>
      <w:pPr>
        <w:pStyle w:val="Para 037"/>
      </w:pPr>
      <w:r>
        <w:rPr>
          <w:rStyle w:val="Text118"/>
        </w:rPr>
        <w:t xml:space="preserve"/>
        <w:br w:clear="none"/>
      </w:r>
      <w:r>
        <w:t xml:space="preserve">if</w:t>
        <w:br w:clear="none"/>
      </w:r>
      <w:r>
        <w:rPr>
          <w:rStyle w:val="Text29"/>
        </w:rPr>
        <w:t xml:space="preserve"> </w:t>
        <w:br w:clear="none"/>
      </w:r>
      <w:r>
        <w:rPr>
          <w:rStyle w:val="Text69"/>
        </w:rPr>
        <w:t xml:space="preserve">x</w:t>
        <w:br w:clear="none"/>
      </w:r>
      <w:r>
        <w:rPr>
          <w:rStyle w:val="Text31"/>
        </w:rPr>
        <w:t xml:space="preserve">:</w:t>
        <w:br w:clear="none"/>
      </w:r>
    </w:p>
    <w:p>
      <w:pPr>
        <w:pStyle w:val="Normal"/>
      </w:pPr>
      <w:r>
        <w:t>This is the clearest and most Pythonic form.</w:t>
      </w:r>
    </w:p>
    <w:p>
      <w:pPr>
        <w:pStyle w:val="Normal"/>
      </w:pPr>
      <w:r>
        <w:t xml:space="preserve">Do </w:t>
      </w:r>
      <w:r>
        <w:rPr>
          <w:rStyle w:val="Text4"/>
        </w:rPr>
        <w:t>not</w:t>
      </w:r>
      <w:r>
        <w:t xml:space="preserve"> use any of the following:</w:t>
      </w:r>
    </w:p>
    <w:p>
      <w:pPr>
        <w:pStyle w:val="Para 037"/>
      </w:pPr>
      <w:r>
        <w:rPr>
          <w:rStyle w:val="Text118"/>
        </w:rPr>
        <w:t xml:space="preserve"/>
        <w:br w:clear="none"/>
      </w:r>
      <w:r>
        <w:rPr>
          <w:rStyle w:val="Text37"/>
        </w:rPr>
        <w:t xml:space="preserve">if</w:t>
        <w:br w:clear="none"/>
      </w:r>
      <w:r>
        <w:rPr>
          <w:rStyle w:val="Text29"/>
        </w:rPr>
        <w:t xml:space="preserve"> </w:t>
        <w:br w:clear="none"/>
      </w:r>
      <w:r>
        <w:rPr>
          <w:rStyle w:val="Text69"/>
        </w:rPr>
        <w:t xml:space="preserve">x</w:t>
        <w:br w:clear="none"/>
      </w:r>
      <w:r>
        <w:rPr>
          <w:rStyle w:val="Text29"/>
        </w:rPr>
        <w:t xml:space="preserve"> </w:t>
        <w:br w:clear="none"/>
      </w:r>
      <w:r>
        <w:rPr>
          <w:rStyle w:val="Text31"/>
        </w:rPr>
        <w:t xml:space="preserve">is</w:t>
        <w:br w:clear="none"/>
      </w:r>
      <w:r>
        <w:rPr>
          <w:rStyle w:val="Text29"/>
        </w:rPr>
        <w:t xml:space="preserve"> </w:t>
        <w:br w:clear="none"/>
      </w:r>
      <w:r>
        <w:rPr>
          <w:rStyle w:val="Text37"/>
        </w:rPr>
        <w:t xml:space="preserve">True</w:t>
        <w:br w:clear="none"/>
      </w:r>
      <w:r>
        <w:rPr>
          <w:rStyle w:val="Text31"/>
        </w:rPr>
        <w:t xml:space="preserve">:</w:t>
        <w:br w:clear="none"/>
      </w:r>
      <w:r>
        <w:rPr>
          <w:rStyle w:val="Text29"/>
        </w:rPr>
        <w:t xml:space="preserve"/>
        <w:br w:clear="none"/>
      </w:r>
      <w:r>
        <w:t xml:space="preserve">if</w:t>
        <w:br w:clear="none"/>
      </w:r>
      <w:r>
        <w:rPr>
          <w:rStyle w:val="Text29"/>
        </w:rPr>
        <w:t xml:space="preserve"> </w:t>
        <w:br w:clear="none"/>
      </w:r>
      <w:r>
        <w:rPr>
          <w:rStyle w:val="Text69"/>
        </w:rPr>
        <w:t xml:space="preserve">x</w:t>
        <w:br w:clear="none"/>
      </w:r>
      <w:r>
        <w:rPr>
          <w:rStyle w:val="Text29"/>
        </w:rPr>
        <w:t xml:space="preserve"> </w:t>
        <w:br w:clear="none"/>
      </w:r>
      <w:r>
        <w:rPr>
          <w:rStyle w:val="Text63"/>
        </w:rPr>
        <w:t xml:space="preserve">==</w:t>
        <w:br w:clear="none"/>
      </w:r>
      <w:r>
        <w:rPr>
          <w:rStyle w:val="Text29"/>
        </w:rPr>
        <w:t xml:space="preserve"> </w:t>
        <w:br w:clear="none"/>
      </w:r>
      <w:r>
        <w:t xml:space="preserve">True</w:t>
        <w:br w:clear="none"/>
      </w:r>
      <w:r>
        <w:rPr>
          <w:rStyle w:val="Text31"/>
        </w:rPr>
        <w:t xml:space="preserve">:</w:t>
        <w:br w:clear="none"/>
      </w:r>
      <w:r>
        <w:rPr>
          <w:rStyle w:val="Text29"/>
        </w:rPr>
        <w:t xml:space="preserve"/>
        <w:br w:clear="none"/>
      </w:r>
      <w:r>
        <w:t xml:space="preserve">if</w:t>
        <w:br w:clear="none"/>
      </w:r>
      <w:r>
        <w:rPr>
          <w:rStyle w:val="Text29"/>
        </w:rPr>
        <w:t xml:space="preserve"> </w:t>
        <w:br w:clear="none"/>
      </w:r>
      <w:r>
        <w:rPr>
          <w:rStyle w:val="Text67"/>
        </w:rPr>
        <w:t xml:space="preserve">bool</w:t>
        <w:br w:clear="none"/>
      </w:r>
      <w:r>
        <w:rPr>
          <w:rStyle w:val="Text31"/>
        </w:rPr>
        <w:t xml:space="preserve">(</w:t>
        <w:br w:clear="none"/>
      </w:r>
      <w:r>
        <w:rPr>
          <w:rStyle w:val="Text69"/>
        </w:rPr>
        <w:t xml:space="preserve">x</w:t>
        <w:br w:clear="none"/>
      </w:r>
      <w:r>
        <w:rPr>
          <w:rStyle w:val="Text31"/>
        </w:rPr>
        <w:t xml:space="preserve">)</w:t>
        <w:br w:clear="none"/>
        <w:t xml:space="preserve">:</w:t>
        <w:br w:clear="none"/>
      </w:r>
    </w:p>
    <w:p>
      <w:pPr>
        <w:pStyle w:val="Normal"/>
      </w:pPr>
      <w:r>
        <w:t xml:space="preserve">There is a crucial difference between saying that an expression </w:t>
      </w:r>
      <w:r>
        <w:rPr>
          <w:rStyle w:val="Text4"/>
        </w:rPr>
        <w:t>returns</w:t>
      </w:r>
      <w:r>
        <w:t xml:space="preserve"> </w:t>
      </w:r>
      <w:r>
        <w:rPr>
          <w:rStyle w:val="Text5"/>
        </w:rPr>
        <w:t>True</w:t>
      </w:r>
      <w:r>
        <w:t xml:space="preserve"> (meaning the expression returns the value </w:t>
      </w:r>
      <w:r>
        <w:rPr>
          <w:rStyle w:val="Text0"/>
        </w:rPr>
        <w:t>1</w:t>
      </w:r>
      <w:r>
        <w:t xml:space="preserve"> with the </w:t>
      </w:r>
      <w:r>
        <w:rPr>
          <w:rStyle w:val="Text0"/>
        </w:rPr>
        <w:t>bool</w:t>
      </w:r>
      <w:r>
        <w:t xml:space="preserve"> type) and saying that an expression </w:t>
      </w:r>
      <w:r>
        <w:rPr>
          <w:rStyle w:val="Text4"/>
        </w:rPr>
        <w:t>evaluates as</w:t>
      </w:r>
      <w:r>
        <w:t xml:space="preserve"> true (meaning the expression returns any result that is true in a Boolean context). When</w:t>
      </w:r>
      <w:r>
        <w:rPr>
          <w:rStyle w:val="Text111"/>
        </w:rPr>
        <w:bookmarkStart w:id="948" w:name="idm45965282263664"/>
        <w:t/>
        <w:bookmarkEnd w:id="948"/>
      </w:r>
      <w:r>
        <w:t xml:space="preserve"> testing an expression, for example in an </w:t>
      </w:r>
      <w:r>
        <w:rPr>
          <w:rStyle w:val="Text5"/>
        </w:rPr>
        <w:t>if</w:t>
      </w:r>
      <w:r>
        <w:t xml:space="preserve"> clause, you only care about what it </w:t>
      </w:r>
      <w:r>
        <w:rPr>
          <w:rStyle w:val="Text4"/>
        </w:rPr>
        <w:t>evaluates as</w:t>
      </w:r>
      <w:r>
        <w:t xml:space="preserve">, not what, precisely, it </w:t>
      </w:r>
      <w:r>
        <w:rPr>
          <w:rStyle w:val="Text4"/>
        </w:rPr>
        <w:t>returns</w:t>
      </w:r>
      <w:r>
        <w:t>. As we previously mentioned, “evaluates as true” is often expressed informally as</w:t>
      </w:r>
      <w:r>
        <w:rPr>
          <w:rStyle w:val="Text111"/>
        </w:rPr>
        <w:bookmarkStart w:id="949" w:name="idm45965282260528"/>
        <w:t/>
        <w:bookmarkEnd w:id="949"/>
      </w:r>
      <w:r>
        <w:t xml:space="preserve"> “is truthy,” and “evaluated as false” as</w:t>
      </w:r>
      <w:r>
        <w:rPr>
          <w:rStyle w:val="Text111"/>
        </w:rPr>
        <w:bookmarkStart w:id="950" w:name="idm45965282236848"/>
        <w:t/>
        <w:bookmarkEnd w:id="950"/>
      </w:r>
      <w:r>
        <w:t xml:space="preserve"> “is falsy.”</w:t>
      </w:r>
    </w:p>
    <w:p>
      <w:pPr>
        <w:pStyle w:val="Normal"/>
      </w:pPr>
      <w:r>
        <w:t xml:space="preserve">When the </w:t>
      </w:r>
      <w:r>
        <w:rPr>
          <w:rStyle w:val="Text5"/>
        </w:rPr>
        <w:t>if</w:t>
      </w:r>
      <w:r>
        <w:t xml:space="preserve"> clause’s condition evaluates as true, the statements within the </w:t>
      </w:r>
      <w:r>
        <w:rPr>
          <w:rStyle w:val="Text5"/>
        </w:rPr>
        <w:t>if</w:t>
      </w:r>
      <w:r>
        <w:t xml:space="preserve"> clause execute, then the entire </w:t>
      </w:r>
      <w:r>
        <w:rPr>
          <w:rStyle w:val="Text5"/>
        </w:rPr>
        <w:t>if</w:t>
      </w:r>
      <w:r>
        <w:t xml:space="preserve"> statement ends. Otherwise, Python evaluates each </w:t>
      </w:r>
      <w:r>
        <w:rPr>
          <w:rStyle w:val="Text5"/>
        </w:rPr>
        <w:t>elif</w:t>
      </w:r>
      <w:r>
        <w:t xml:space="preserve"> clause’s condition, in order. The statements within the first </w:t>
      </w:r>
      <w:r>
        <w:rPr>
          <w:rStyle w:val="Text5"/>
        </w:rPr>
        <w:t>elif</w:t>
      </w:r>
      <w:r>
        <w:t xml:space="preserve"> clause whose condition evaluates as true, if any, execute, and the entire </w:t>
      </w:r>
      <w:r>
        <w:rPr>
          <w:rStyle w:val="Text5"/>
        </w:rPr>
        <w:t>if</w:t>
      </w:r>
      <w:r>
        <w:t xml:space="preserve"> statement ends. Otherwise, when an </w:t>
      </w:r>
      <w:r>
        <w:rPr>
          <w:rStyle w:val="Text5"/>
        </w:rPr>
        <w:t>else</w:t>
      </w:r>
      <w:r>
        <w:t xml:space="preserve"> clause exists, it executes. In any case, statements following the entire </w:t>
      </w:r>
      <w:r>
        <w:rPr>
          <w:rStyle w:val="Text5"/>
        </w:rPr>
        <w:t>if</w:t>
      </w:r>
      <w:r>
        <w:t xml:space="preserve"> construct, at the same level, execute next.</w:t>
      </w:r>
    </w:p>
    <w:p>
      <w:bookmarkStart w:id="951" w:name="The_match_Statement__3_10__The_m"/>
      <w:pPr>
        <w:keepNext/>
        <w:pStyle w:val="Heading 2"/>
      </w:pPr>
      <w:r>
        <w:t>The match Statement</w:t>
      </w:r>
      <w:bookmarkEnd w:id="951"/>
    </w:p>
    <w:p>
      <w:pPr>
        <w:pStyle w:val="Normal"/>
      </w:pPr>
      <w:r>
        <w:rPr>
          <w:rStyle w:val="Text34"/>
        </w:rPr>
        <w:t>3.10+</w:t>
      </w:r>
      <w:r>
        <w:t xml:space="preserve"> The </w:t>
      </w:r>
      <w:r>
        <w:rPr>
          <w:rStyle w:val="Text5"/>
        </w:rPr>
        <w:t>match</w:t>
      </w:r>
      <w:r>
        <w:t xml:space="preserve"> statement</w:t>
      </w:r>
      <w:r>
        <w:rPr>
          <w:rStyle w:val="Text111"/>
        </w:rPr>
        <w:bookmarkStart w:id="952" w:name="idm45965282224320"/>
        <w:t/>
        <w:bookmarkEnd w:id="952"/>
        <w:bookmarkStart w:id="953" w:name="idm45965282222944"/>
        <w:t/>
        <w:bookmarkEnd w:id="953"/>
      </w:r>
      <w:r>
        <w:t xml:space="preserve"> brings</w:t>
      </w:r>
      <w:r>
        <w:rPr>
          <w:rStyle w:val="Text111"/>
        </w:rPr>
        <w:bookmarkStart w:id="954" w:name="idm45965282221440"/>
        <w:t/>
        <w:bookmarkEnd w:id="954"/>
      </w:r>
      <w:r>
        <w:t xml:space="preserve"> </w:t>
      </w:r>
      <w:r>
        <w:rPr>
          <w:rStyle w:val="Text4"/>
        </w:rPr>
        <w:t>structural pattern matching</w:t>
      </w:r>
      <w:r>
        <w:t xml:space="preserve"> to the Python language. You might think of this as doing for other Python types something similar to what the </w:t>
      </w:r>
      <w:r>
        <w:rPr>
          <w:rStyle w:val="Text0"/>
        </w:rPr>
        <w:t>re</w:t>
      </w:r>
      <w:r>
        <w:t xml:space="preserve"> module (see </w:t>
      </w:r>
      <w:hyperlink w:anchor="Regular_Expressions_and_the_re_M">
        <w:r>
          <w:rPr>
            <w:rStyle w:val="Text1"/>
          </w:rPr>
          <w:t>“Regular Expressions and the re Module”</w:t>
        </w:r>
      </w:hyperlink>
      <w:r>
        <w:t>) does for strings: it allows easy testing of the structure and contents of Python objects.</w:t>
      </w:r>
      <w:hyperlink w:anchor="19_It_is_notable_that_the_match">
        <w:r>
          <w:rPr>
            <w:rStyle w:val="Text41"/>
          </w:rPr>
          <w:bookmarkStart w:id="955" w:name="19"/>
          <w:t>19</w:t>
          <w:bookmarkEnd w:id="955"/>
        </w:r>
      </w:hyperlink>
      <w:r>
        <w:t xml:space="preserve"> Resist the temptation to use </w:t>
      </w:r>
      <w:r>
        <w:rPr>
          <w:rStyle w:val="Text5"/>
        </w:rPr>
        <w:t>match</w:t>
      </w:r>
      <w:r>
        <w:t xml:space="preserve"> unless there is a need to analyze the </w:t>
      </w:r>
      <w:r>
        <w:rPr>
          <w:rStyle w:val="Text4"/>
        </w:rPr>
        <w:t>structure</w:t>
      </w:r>
      <w:r>
        <w:t xml:space="preserve"> of an object.</w:t>
      </w:r>
    </w:p>
    <w:p>
      <w:pPr>
        <w:pStyle w:val="Normal"/>
      </w:pPr>
      <w:r>
        <w:t>The overall syntactic structure of the statement is the new</w:t>
      </w:r>
      <w:r>
        <w:rPr>
          <w:rStyle w:val="Text111"/>
        </w:rPr>
        <w:bookmarkStart w:id="956" w:name="idm45965282211712"/>
        <w:t/>
        <w:bookmarkEnd w:id="956"/>
      </w:r>
      <w:r>
        <w:t xml:space="preserve"> (soft) keyword </w:t>
      </w:r>
      <w:r>
        <w:rPr>
          <w:rStyle w:val="Text5"/>
        </w:rPr>
        <w:t>match</w:t>
      </w:r>
      <w:r>
        <w:t xml:space="preserve"> followed by an expression whose value becomes the </w:t>
      </w:r>
      <w:r>
        <w:rPr>
          <w:rStyle w:val="Text4"/>
        </w:rPr>
        <w:t>matching subject</w:t>
      </w:r>
      <w:r>
        <w:t>. This is followed by one or more indented</w:t>
      </w:r>
      <w:r>
        <w:rPr>
          <w:rStyle w:val="Text111"/>
        </w:rPr>
        <w:bookmarkStart w:id="957" w:name="idm45965282208912"/>
        <w:t/>
        <w:bookmarkEnd w:id="957"/>
      </w:r>
      <w:r>
        <w:t xml:space="preserve"> </w:t>
      </w:r>
      <w:r>
        <w:rPr>
          <w:rStyle w:val="Text5"/>
        </w:rPr>
        <w:t>case</w:t>
      </w:r>
      <w:r>
        <w:t xml:space="preserve"> clauses, each of which controls the execution of the indented code block it contains:</w:t>
      </w:r>
    </w:p>
    <w:p>
      <w:pPr>
        <w:pStyle w:val="Para 032"/>
      </w:pPr>
      <w:r>
        <w:rPr>
          <w:rStyle w:val="Text116"/>
        </w:rPr>
        <w:t xml:space="preserve"/>
        <w:br w:clear="none"/>
      </w:r>
      <w:r>
        <w:rPr>
          <w:rStyle w:val="Text22"/>
        </w:rPr>
        <w:t xml:space="preserve">match</w:t>
        <w:br w:clear="none"/>
      </w:r>
      <w:r>
        <w:rPr>
          <w:rStyle w:val="Text11"/>
        </w:rPr>
        <w:t xml:space="preserve"> </w:t>
        <w:br w:clear="none"/>
      </w:r>
      <w:r>
        <w:t xml:space="preserve">expression</w:t>
        <w:br w:clear="none"/>
      </w:r>
      <w:r>
        <w:rPr>
          <w:rStyle w:val="Text19"/>
        </w:rPr>
        <w:t xml:space="preserve">:</w:t>
        <w:br w:clear="none"/>
      </w:r>
      <w:r>
        <w:rPr>
          <w:rStyle w:val="Text11"/>
        </w:rPr>
        <w:t xml:space="preserve"/>
        <w:br w:clear="none"/>
        <w:t xml:space="preserve">    </w:t>
        <w:br w:clear="none"/>
      </w:r>
      <w:r>
        <w:rPr>
          <w:rStyle w:val="Text22"/>
        </w:rPr>
        <w:t xml:space="preserve">case</w:t>
        <w:br w:clear="none"/>
      </w:r>
      <w:r>
        <w:rPr>
          <w:rStyle w:val="Text11"/>
        </w:rPr>
        <w:t xml:space="preserve"> </w:t>
        <w:br w:clear="none"/>
      </w:r>
      <w:r>
        <w:t xml:space="preserve">pattern</w:t>
        <w:br w:clear="none"/>
      </w:r>
      <w:r>
        <w:rPr>
          <w:rStyle w:val="Text11"/>
        </w:rPr>
        <w:t xml:space="preserve"> </w:t>
        <w:br w:clear="none"/>
      </w:r>
      <w:r>
        <w:rPr>
          <w:rStyle w:val="Text19"/>
        </w:rPr>
        <w:t xml:space="preserve">[</w:t>
        <w:br w:clear="none"/>
      </w:r>
      <w:r>
        <w:rPr>
          <w:rStyle w:val="Text22"/>
        </w:rPr>
        <w:t xml:space="preserve">if</w:t>
        <w:br w:clear="none"/>
      </w:r>
      <w:r>
        <w:rPr>
          <w:rStyle w:val="Text11"/>
        </w:rPr>
        <w:t xml:space="preserve"> </w:t>
        <w:br w:clear="none"/>
      </w:r>
      <w:r>
        <w:t xml:space="preserve">guard</w:t>
        <w:br w:clear="none"/>
      </w:r>
      <w:r>
        <w:rPr>
          <w:rStyle w:val="Text19"/>
        </w:rPr>
        <w:t xml:space="preserve">]</w:t>
        <w:br w:clear="none"/>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t xml:space="preserve">    </w:t>
        <w:br w:clear="none"/>
      </w:r>
      <w:r>
        <w:rPr>
          <w:rStyle w:val="Text26"/>
        </w:rPr>
        <w:t xml:space="preserve"># ...</w:t>
        <w:br w:clear="none"/>
      </w:r>
    </w:p>
    <w:p>
      <w:pPr>
        <w:pStyle w:val="Normal"/>
      </w:pPr>
      <w:r>
        <w:t xml:space="preserve">In execution, Python first evaluates the </w:t>
      </w:r>
      <w:r>
        <w:rPr>
          <w:rStyle w:val="Text3"/>
        </w:rPr>
        <w:t>expression</w:t>
      </w:r>
      <w:r>
        <w:t xml:space="preserve">, then tests the resulting subject value against the </w:t>
      </w:r>
      <w:r>
        <w:rPr>
          <w:rStyle w:val="Text3"/>
        </w:rPr>
        <w:t>pattern</w:t>
      </w:r>
      <w:r>
        <w:t xml:space="preserve"> in each </w:t>
      </w:r>
      <w:r>
        <w:rPr>
          <w:rStyle w:val="Text5"/>
        </w:rPr>
        <w:t>case</w:t>
      </w:r>
      <w:r>
        <w:t xml:space="preserve"> in turn, in order from first to last, until one matches: then, the block indented within the matching </w:t>
      </w:r>
      <w:r>
        <w:rPr>
          <w:rStyle w:val="Text5"/>
        </w:rPr>
        <w:t>case</w:t>
      </w:r>
      <w:r>
        <w:t xml:space="preserve"> clause evaluates. A pattern can do two things:</w:t>
      </w:r>
    </w:p>
    <w:p>
      <w:pPr>
        <w:pStyle w:val="Para 010"/>
      </w:pPr>
      <w:r>
        <w:t>Verify that the subject is an object with a particular structure.</w:t>
      </w:r>
    </w:p>
    <w:p>
      <w:pPr>
        <w:pStyle w:val="Para 010"/>
      </w:pPr>
      <w:r>
        <w:t xml:space="preserve">Bind matched components to names for further use (usually within the associated </w:t>
      </w:r>
      <w:r>
        <w:rPr>
          <w:rStyle w:val="Text5"/>
        </w:rPr>
        <w:t>case</w:t>
      </w:r>
      <w:r>
        <w:t xml:space="preserve"> clause).</w:t>
      </w:r>
    </w:p>
    <w:p>
      <w:pPr>
        <w:pStyle w:val="Normal"/>
      </w:pPr>
      <w:r>
        <w:t>When a pattern matches the subject, the</w:t>
      </w:r>
      <w:r>
        <w:rPr>
          <w:rStyle w:val="Text111"/>
        </w:rPr>
        <w:bookmarkStart w:id="958" w:name="idm45965264014720"/>
        <w:t/>
        <w:bookmarkEnd w:id="958"/>
      </w:r>
      <w:r>
        <w:t xml:space="preserve"> </w:t>
      </w:r>
      <w:r>
        <w:rPr>
          <w:rStyle w:val="Text4"/>
        </w:rPr>
        <w:t>guard</w:t>
      </w:r>
      <w:r>
        <w:t xml:space="preserve"> allows a final check before selection of the case for execution. All the pattern’s name bindings have occurred, and you can use them in the guard. When there is no guard, or when the guard evaluates as true, the case’s indented code block executes, after which the </w:t>
      </w:r>
      <w:r>
        <w:rPr>
          <w:rStyle w:val="Text5"/>
        </w:rPr>
        <w:t>match</w:t>
      </w:r>
      <w:r>
        <w:t xml:space="preserve"> statement’s execution is complete and no further cases are checked.</w:t>
      </w:r>
    </w:p>
    <w:p>
      <w:pPr>
        <w:pStyle w:val="Normal"/>
      </w:pPr>
      <w:r>
        <w:t xml:space="preserve">The </w:t>
      </w:r>
      <w:r>
        <w:rPr>
          <w:rStyle w:val="Text5"/>
        </w:rPr>
        <w:t>match</w:t>
      </w:r>
      <w:r>
        <w:t xml:space="preserve"> statement, per se, provides no default action. If one is needed, the last </w:t>
      </w:r>
      <w:r>
        <w:rPr>
          <w:rStyle w:val="Text5"/>
        </w:rPr>
        <w:t>case</w:t>
      </w:r>
      <w:r>
        <w:t xml:space="preserve"> clause must specify a</w:t>
      </w:r>
      <w:r>
        <w:rPr>
          <w:rStyle w:val="Text111"/>
        </w:rPr>
        <w:bookmarkStart w:id="959" w:name="idm45965263987936"/>
        <w:t/>
        <w:bookmarkEnd w:id="959"/>
      </w:r>
      <w:r>
        <w:t xml:space="preserve"> </w:t>
      </w:r>
      <w:r>
        <w:rPr>
          <w:rStyle w:val="Text4"/>
        </w:rPr>
        <w:t>wildcard</w:t>
      </w:r>
      <w:r>
        <w:t xml:space="preserve"> pattern—one whose syntax ensures it matches any subject value. It is a </w:t>
      </w:r>
      <w:r>
        <w:rPr>
          <w:rStyle w:val="Text0"/>
        </w:rPr>
        <w:t>SyntaxError</w:t>
      </w:r>
      <w:r>
        <w:t xml:space="preserve"> to follow a </w:t>
      </w:r>
      <w:r>
        <w:rPr>
          <w:rStyle w:val="Text5"/>
        </w:rPr>
        <w:t>case</w:t>
      </w:r>
      <w:r>
        <w:t xml:space="preserve"> clause having such a wildcard pattern with any further </w:t>
      </w:r>
      <w:r>
        <w:rPr>
          <w:rStyle w:val="Text5"/>
        </w:rPr>
        <w:t>case</w:t>
      </w:r>
      <w:r>
        <w:t xml:space="preserve"> clauses.</w:t>
      </w:r>
    </w:p>
    <w:p>
      <w:pPr>
        <w:pStyle w:val="Normal"/>
      </w:pPr>
      <w:r>
        <w:t>Pattern elements cannot be created in advance, bound to variables, and (for example) reused in multiple places. Pattern syntax is only valid immediately following the</w:t>
      </w:r>
      <w:r>
        <w:rPr>
          <w:rStyle w:val="Text111"/>
        </w:rPr>
        <w:bookmarkStart w:id="960" w:name="idm45965263983584"/>
        <w:t/>
        <w:bookmarkEnd w:id="960"/>
      </w:r>
      <w:r>
        <w:t xml:space="preserve"> (soft) keyword </w:t>
      </w:r>
      <w:r>
        <w:rPr>
          <w:rStyle w:val="Text5"/>
        </w:rPr>
        <w:t>case</w:t>
      </w:r>
      <w:r>
        <w:t xml:space="preserve">, so there is no way to perform such an assignment. For each execution of a </w:t>
      </w:r>
      <w:r>
        <w:rPr>
          <w:rStyle w:val="Text5"/>
        </w:rPr>
        <w:t>match</w:t>
      </w:r>
      <w:r>
        <w:t xml:space="preserve"> statement, the interpreter is free to cache pattern expressions that repeat inside the cases, but the cache starts empty for each new execution.</w:t>
      </w:r>
    </w:p>
    <w:p>
      <w:pPr>
        <w:pStyle w:val="Normal"/>
      </w:pPr>
      <w:r>
        <w:t>We’ll first describe the various types of pattern expressions, before discussing guards and providing some more complex examples.</w:t>
      </w:r>
    </w:p>
    <w:p>
      <w:pPr>
        <w:keepNext/>
        <w:pStyle w:val="Heading 6"/>
        <w:keepLines w:val="on"/>
      </w:pPr>
      <w:r>
        <w:t>Pattern Expressions Have Their Own Semantics</w:t>
      </w:r>
    </w:p>
    <w:p>
      <w:pPr>
        <w:pStyle w:val="Para 012"/>
        <w:keepLines w:val="on"/>
      </w:pPr>
      <w:r>
        <w:t>The syntax of</w:t>
      </w:r>
      <w:r>
        <w:rPr>
          <w:rStyle w:val="Text111"/>
        </w:rPr>
        <w:bookmarkStart w:id="961" w:name="idm45965263978336"/>
        <w:t/>
        <w:bookmarkEnd w:id="961"/>
      </w:r>
      <w:r>
        <w:t xml:space="preserve"> pattern expressions might seem familiar, but their </w:t>
      </w:r>
      <w:r>
        <w:rPr>
          <w:rStyle w:val="Text4"/>
        </w:rPr>
        <w:t>interpretation</w:t>
      </w:r>
      <w:r>
        <w:t xml:space="preserve"> is sometimes quite different from that of nonpattern expressions, which could mislead readers unaware of those differences. Specific syntactic forms are used in the </w:t>
      </w:r>
      <w:r>
        <w:rPr>
          <w:rStyle w:val="Text5"/>
        </w:rPr>
        <w:t>case</w:t>
      </w:r>
      <w:r>
        <w:t xml:space="preserve"> clause to indicate matching of particular structures. A complete summary of this syntax would require more than the simplified notation we use in this book;</w:t>
      </w:r>
      <w:hyperlink w:anchor="20_Indeed__the_syntax_notation_u">
        <w:r>
          <w:rPr>
            <w:rStyle w:val="Text96"/>
          </w:rPr>
          <w:bookmarkStart w:id="962" w:name="20"/>
          <w:t>20</w:t>
          <w:bookmarkEnd w:id="962"/>
        </w:r>
      </w:hyperlink>
      <w:r>
        <w:t xml:space="preserve"> we therefore prefer to explain this new feature in plain language, with examples. For more detailed examples, refer to the Python </w:t>
      </w:r>
      <w:hyperlink r:id="rId217">
        <w:r>
          <w:rPr>
            <w:rStyle w:val="Text1"/>
          </w:rPr>
          <w:t>documentation</w:t>
        </w:r>
      </w:hyperlink>
      <w:r>
        <w:t>.</w:t>
      </w:r>
    </w:p>
    <w:p>
      <w:bookmarkStart w:id="963" w:name="Building_patterns__Patterns_are"/>
      <w:pPr>
        <w:keepNext/>
        <w:pStyle w:val="Heading 2"/>
      </w:pPr>
      <w:r>
        <w:t>Building patterns</w:t>
      </w:r>
      <w:bookmarkEnd w:id="963"/>
    </w:p>
    <w:p>
      <w:pPr>
        <w:pStyle w:val="Normal"/>
      </w:pPr>
      <w:r>
        <w:t>Patterns</w:t>
      </w:r>
      <w:r>
        <w:rPr>
          <w:rStyle w:val="Text111"/>
        </w:rPr>
        <w:bookmarkStart w:id="964" w:name="idm45965263971920"/>
        <w:t/>
        <w:bookmarkEnd w:id="964"/>
      </w:r>
      <w:r>
        <w:t xml:space="preserve"> are expressions, though with a syntax specific to the </w:t>
      </w:r>
      <w:r>
        <w:rPr>
          <w:rStyle w:val="Text5"/>
        </w:rPr>
        <w:t>case</w:t>
      </w:r>
      <w:r>
        <w:t xml:space="preserve"> clause, so familiar grammatical rules apply even though certain features are interpreted differently. They can be enclosed in parentheses to let elements of a pattern be treated as a single expression unit. Like other expressions, patterns have a recursive syntax and can be combined to form more complex patterns. Let’s start with the simplest patterns first.</w:t>
      </w:r>
    </w:p>
    <w:p>
      <w:bookmarkStart w:id="965" w:name="Literal_patterns__Most_literal_v"/>
      <w:pPr>
        <w:keepNext/>
        <w:pStyle w:val="Heading 2"/>
      </w:pPr>
      <w:r>
        <w:t>Literal patterns</w:t>
      </w:r>
      <w:bookmarkEnd w:id="965"/>
    </w:p>
    <w:p>
      <w:pPr>
        <w:pStyle w:val="Normal"/>
      </w:pPr>
      <w:r>
        <w:t>Most</w:t>
      </w:r>
      <w:r>
        <w:rPr>
          <w:rStyle w:val="Text111"/>
        </w:rPr>
        <w:bookmarkStart w:id="966" w:name="idm45965263967360"/>
        <w:t/>
        <w:bookmarkEnd w:id="966"/>
      </w:r>
      <w:r>
        <w:t xml:space="preserve"> literal values are valid patterns. Integer, float, complex number, and string literals (but </w:t>
      </w:r>
      <w:r>
        <w:rPr>
          <w:rStyle w:val="Text4"/>
        </w:rPr>
        <w:t>not</w:t>
      </w:r>
      <w:r>
        <w:t xml:space="preserve"> formatted string literals) are all permissible,</w:t>
      </w:r>
      <w:hyperlink w:anchor="21_Although_comparing_float_or_c">
        <w:r>
          <w:rPr>
            <w:rStyle w:val="Text41"/>
          </w:rPr>
          <w:bookmarkStart w:id="967" w:name="21"/>
          <w:t>21</w:t>
          <w:bookmarkEnd w:id="967"/>
        </w:r>
      </w:hyperlink>
      <w:r>
        <w:t xml:space="preserve"> and all succeed in matching subjects of the same type and value:</w:t>
      </w:r>
    </w:p>
    <w:p>
      <w:pPr>
        <w:pStyle w:val="Para 020"/>
      </w:pPr>
      <w:r>
        <w:rPr>
          <w:rStyle w:val="Text23"/>
        </w:rPr>
        <w:t xml:space="preserve"/>
        <w:br w:clear="none"/>
      </w:r>
      <w:r>
        <w:rPr>
          <w:rStyle w:val="Text13"/>
        </w:rPr>
        <w:t xml:space="preserve">&gt;&gt;</w:t>
        <w:br w:clear="none"/>
        <w:t xml:space="preserve">&gt;</w:t>
        <w:br w:clear="none"/>
      </w:r>
      <w:r>
        <w:rPr>
          <w:rStyle w:val="Text29"/>
        </w:rPr>
        <w:t xml:space="preserve"> </w:t>
        <w:br w:clear="none"/>
      </w:r>
      <w:r>
        <w:rPr>
          <w:rStyle w:val="Text10"/>
        </w:rPr>
        <w:t xml:space="preserve">for</w:t>
        <w:br w:clear="none"/>
      </w:r>
      <w:r>
        <w:rPr>
          <w:rStyle w:val="Text6"/>
        </w:rPr>
        <w:t xml:space="preserve"> </w:t>
        <w:br w:clear="none"/>
      </w:r>
      <w:r>
        <w:rPr>
          <w:rStyle w:val="Text9"/>
        </w:rPr>
        <w:t xml:space="preserve">subject</w:t>
        <w:br w:clear="none"/>
      </w:r>
      <w:r>
        <w:rPr>
          <w:rStyle w:val="Text6"/>
        </w:rPr>
        <w:t xml:space="preserve"> </w:t>
        <w:br w:clear="none"/>
      </w:r>
      <w:r>
        <w:rPr>
          <w:rStyle w:val="Text31"/>
        </w:rPr>
        <w:t xml:space="preserve">in</w:t>
        <w:br w:clear="none"/>
      </w:r>
      <w:r>
        <w:rPr>
          <w:rStyle w:val="Text6"/>
        </w:rPr>
        <w:t xml:space="preserve"> </w:t>
        <w:br w:clear="none"/>
      </w:r>
      <w:r>
        <w:rPr>
          <w:rStyle w:val="Text7"/>
        </w:rPr>
        <w:t xml:space="preserve">(</w:t>
        <w:br w:clear="none"/>
      </w:r>
      <w:r>
        <w:rPr>
          <w:rStyle w:val="Text27"/>
        </w:rPr>
        <w:t xml:space="preserve">42</w:t>
        <w:br w:clear="none"/>
      </w:r>
      <w:r>
        <w:rPr>
          <w:rStyle w:val="Text7"/>
        </w:rPr>
        <w:t xml:space="preserve">,</w:t>
        <w:br w:clear="none"/>
      </w:r>
      <w:r>
        <w:rPr>
          <w:rStyle w:val="Text6"/>
        </w:rPr>
        <w:t xml:space="preserve"> </w:t>
        <w:br w:clear="none"/>
      </w:r>
      <w:r>
        <w:rPr>
          <w:rStyle w:val="Text27"/>
        </w:rPr>
        <w:t xml:space="preserve">42.0</w:t>
        <w:br w:clear="none"/>
      </w:r>
      <w:r>
        <w:rPr>
          <w:rStyle w:val="Text7"/>
        </w:rPr>
        <w:t xml:space="preserve">,</w:t>
        <w:br w:clear="none"/>
      </w:r>
      <w:r>
        <w:rPr>
          <w:rStyle w:val="Text6"/>
        </w:rPr>
        <w:t xml:space="preserve"> </w:t>
        <w:br w:clear="none"/>
      </w:r>
      <w:r>
        <w:rPr>
          <w:rStyle w:val="Text27"/>
        </w:rPr>
        <w:t xml:space="preserve">42.1</w:t>
        <w:br w:clear="none"/>
      </w:r>
      <w:r>
        <w:rPr>
          <w:rStyle w:val="Text7"/>
        </w:rPr>
        <w:t xml:space="preserve">,</w:t>
        <w:br w:clear="none"/>
      </w:r>
      <w:r>
        <w:rPr>
          <w:rStyle w:val="Text6"/>
        </w:rPr>
        <w:t xml:space="preserve"> </w:t>
        <w:br w:clear="none"/>
      </w:r>
      <w:r>
        <w:rPr>
          <w:rStyle w:val="Text27"/>
        </w:rPr>
        <w:t xml:space="preserve">1</w:t>
        <w:br w:clear="none"/>
      </w:r>
      <w:r>
        <w:rPr>
          <w:rStyle w:val="Text13"/>
        </w:rPr>
        <w:t xml:space="preserve">+</w:t>
        <w:br w:clear="none"/>
      </w:r>
      <w:r>
        <w:rPr>
          <w:rStyle w:val="Text27"/>
        </w:rPr>
        <w:t xml:space="preserve">1j</w:t>
        <w:br w:clear="none"/>
      </w:r>
      <w:r>
        <w:rPr>
          <w:rStyle w:val="Text7"/>
        </w:rPr>
        <w:t xml:space="preserve">,</w:t>
        <w:br w:clear="none"/>
      </w:r>
      <w:r>
        <w:rPr>
          <w:rStyle w:val="Text6"/>
        </w:rPr>
        <w:t xml:space="preserve"> </w:t>
        <w:br w:clear="none"/>
      </w:r>
      <w:r>
        <w:t xml:space="preserve">b'</w:t>
        <w:br w:clear="none"/>
        <w:t xml:space="preserve">abc</w:t>
        <w:br w:clear="none"/>
        <w:t xml:space="preserve">'</w:t>
        <w:br w:clear="none"/>
      </w:r>
      <w:r>
        <w:rPr>
          <w:rStyle w:val="Text7"/>
        </w:rPr>
        <w:t xml:space="preserve">,</w:t>
        <w:br w:clear="none"/>
      </w:r>
      <w:r>
        <w:rPr>
          <w:rStyle w:val="Text6"/>
        </w:rPr>
        <w:t xml:space="preserve"> </w:t>
        <w:br w:clear="none"/>
      </w:r>
      <w:r>
        <w:t xml:space="preserve">'</w:t>
        <w:br w:clear="none"/>
        <w:t xml:space="preserve">abc</w:t>
        <w:br w:clear="none"/>
        <w:t xml:space="preserve">'</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29"/>
        </w:rPr>
        <w:t xml:space="preserve">    </w:t>
        <w:br w:clear="none"/>
      </w:r>
      <w:r>
        <w:rPr>
          <w:rStyle w:val="Text6"/>
        </w:rPr>
        <w:t xml:space="preserve"> </w:t>
        <w:br w:clear="none"/>
      </w:r>
      <w:r>
        <w:rPr>
          <w:rStyle w:val="Text16"/>
        </w:rPr>
        <w:t xml:space="preserve">print</w:t>
        <w:br w:clear="none"/>
      </w:r>
      <w:r>
        <w:rPr>
          <w:rStyle w:val="Text7"/>
        </w:rPr>
        <w:t xml:space="preserve">(</w:t>
        <w:br w:clear="none"/>
      </w:r>
      <w:r>
        <w:rPr>
          <w:rStyle w:val="Text9"/>
        </w:rPr>
        <w:t xml:space="preserve">subject</w:t>
        <w:br w:clear="none"/>
      </w:r>
      <w:r>
        <w:rPr>
          <w:rStyle w:val="Text7"/>
        </w:rPr>
        <w:t xml:space="preserve">,</w:t>
        <w:br w:clear="none"/>
      </w:r>
      <w:r>
        <w:rPr>
          <w:rStyle w:val="Text6"/>
        </w:rPr>
        <w:t xml:space="preserve"> </w:t>
        <w:br w:clear="none"/>
      </w:r>
      <w:r>
        <w:rPr>
          <w:rStyle w:val="Text9"/>
        </w:rPr>
        <w:t xml:space="preserve">end</w:t>
        <w:br w:clear="none"/>
      </w:r>
      <w:r>
        <w:rPr>
          <w:rStyle w:val="Text13"/>
        </w:rPr>
        <w:t xml:space="preserve">=</w:t>
        <w:br w:clear="none"/>
      </w:r>
      <w:r>
        <w:t xml:space="preserve">'</w:t>
        <w:br w:clear="none"/>
        <w:t xml:space="preserve">: </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29"/>
        </w:rPr>
        <w:t xml:space="preserve">     </w:t>
        <w:br w:clear="none"/>
      </w:r>
      <w:r>
        <w:rPr>
          <w:rStyle w:val="Text38"/>
        </w:rPr>
        <w:t xml:space="preserve">match</w:t>
        <w:br w:clear="none"/>
      </w:r>
      <w:r>
        <w:rPr>
          <w:rStyle w:val="Text6"/>
        </w:rPr>
        <w:t xml:space="preserve"> </w:t>
        <w:br w:clear="none"/>
      </w:r>
      <w:r>
        <w:rPr>
          <w:rStyle w:val="Text9"/>
        </w:rPr>
        <w:t xml:space="preserve">subject</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rPr>
          <w:rStyle w:val="Text27"/>
        </w:rPr>
        <w:t xml:space="preserve">42</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integer</w:t>
        <w:br w:clear="none"/>
        <w:t xml:space="preserve">'</w:t>
        <w:br w:clear="none"/>
      </w:r>
      <w:r>
        <w:rPr>
          <w:rStyle w:val="Text7"/>
        </w:rPr>
        <w:t xml:space="preserve">)</w:t>
        <w:br w:clear="none"/>
      </w:r>
      <w:r>
        <w:rPr>
          <w:rStyle w:val="Text6"/>
        </w:rPr>
        <w:t xml:space="preserve">  </w:t>
        <w:br w:clear="none"/>
      </w:r>
      <w:r>
        <w:rPr>
          <w:rStyle w:val="Text15"/>
        </w:rPr>
        <w:t xml:space="preserve"># note this matches 42.0, too!</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rPr>
          <w:rStyle w:val="Text27"/>
        </w:rPr>
        <w:t xml:space="preserve">42.1</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float</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rPr>
          <w:rStyle w:val="Text27"/>
        </w:rPr>
        <w:t xml:space="preserve">1</w:t>
        <w:br w:clear="none"/>
      </w:r>
      <w:r>
        <w:rPr>
          <w:rStyle w:val="Text13"/>
        </w:rPr>
        <w:t xml:space="preserve">+</w:t>
        <w:br w:clear="none"/>
      </w:r>
      <w:r>
        <w:rPr>
          <w:rStyle w:val="Text27"/>
        </w:rPr>
        <w:t xml:space="preserve">1j</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complex</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t xml:space="preserve">b'</w:t>
        <w:br w:clear="none"/>
        <w:t xml:space="preserve">abc</w:t>
        <w:br w:clear="none"/>
        <w:t xml:space="preserve">'</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bytestring</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t xml:space="preserve">'</w:t>
        <w:br w:clear="none"/>
        <w:t xml:space="preserve">abc</w:t>
        <w:br w:clear="none"/>
        <w:t xml:space="preserve">'</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string</w:t>
        <w:br w:clear="none"/>
        <w:t xml:space="preserve">'</w:t>
        <w:br w:clear="none"/>
      </w:r>
      <w:r>
        <w:rPr>
          <w:rStyle w:val="Text7"/>
        </w:rPr>
        <w:t xml:space="preserve">)</w:t>
        <w:br w:clear="none"/>
      </w:r>
    </w:p>
    <w:p>
      <w:pPr>
        <w:pStyle w:val="Para 008"/>
      </w:pPr>
      <w:r>
        <w:rPr>
          <w:rStyle w:val="Text48"/>
        </w:rPr>
        <w:t xml:space="preserve"/>
        <w:br w:clear="none"/>
      </w:r>
      <w:r>
        <w:t xml:space="preserve">42: integer</w:t>
        <w:br w:clear="none"/>
      </w:r>
      <w:r>
        <w:rPr>
          <w:rStyle w:val="Text48"/>
        </w:rPr>
        <w:t xml:space="preserve"/>
        <w:br w:clear="none"/>
      </w:r>
      <w:r>
        <w:t xml:space="preserve">42.0: integer</w:t>
        <w:br w:clear="none"/>
      </w:r>
      <w:r>
        <w:rPr>
          <w:rStyle w:val="Text48"/>
        </w:rPr>
        <w:t xml:space="preserve"/>
        <w:br w:clear="none"/>
      </w:r>
      <w:r>
        <w:t xml:space="preserve">42.1: float</w:t>
        <w:br w:clear="none"/>
      </w:r>
      <w:r>
        <w:rPr>
          <w:rStyle w:val="Text48"/>
        </w:rPr>
        <w:t xml:space="preserve"/>
        <w:br w:clear="none"/>
      </w:r>
      <w:r>
        <w:t xml:space="preserve">(1+1j): complex</w:t>
        <w:br w:clear="none"/>
      </w:r>
      <w:r>
        <w:rPr>
          <w:rStyle w:val="Text48"/>
        </w:rPr>
        <w:t xml:space="preserve"/>
        <w:br w:clear="none"/>
      </w:r>
      <w:r>
        <w:t xml:space="preserve">b'abc': bytestring</w:t>
        <w:br w:clear="none"/>
      </w:r>
      <w:r>
        <w:rPr>
          <w:rStyle w:val="Text48"/>
        </w:rPr>
        <w:t xml:space="preserve"/>
        <w:br w:clear="none"/>
      </w:r>
      <w:r>
        <w:t xml:space="preserve">abc: string</w:t>
        <w:br w:clear="none"/>
      </w:r>
    </w:p>
    <w:p>
      <w:pPr>
        <w:pStyle w:val="Normal"/>
      </w:pPr>
      <w:r>
        <w:t xml:space="preserve">For most matches, the interpreter checks for equality without type checking, which is why </w:t>
      </w:r>
      <w:r>
        <w:rPr>
          <w:rStyle w:val="Text0"/>
        </w:rPr>
        <w:t>42.0</w:t>
      </w:r>
      <w:r>
        <w:t xml:space="preserve"> matches integer </w:t>
      </w:r>
      <w:r>
        <w:rPr>
          <w:rStyle w:val="Text0"/>
        </w:rPr>
        <w:t>42</w:t>
      </w:r>
      <w:r>
        <w:t xml:space="preserve">. If the distinction is important, consider using class matching (see </w:t>
      </w:r>
      <w:hyperlink w:anchor="Class_patterns__The_final_and_ma">
        <w:r>
          <w:rPr>
            <w:rStyle w:val="Text1"/>
          </w:rPr>
          <w:t>“Class patterns”</w:t>
        </w:r>
      </w:hyperlink>
      <w:r>
        <w:t xml:space="preserve">) rather than literal matching. </w:t>
      </w:r>
      <w:r>
        <w:rPr>
          <w:rStyle w:val="Text5"/>
        </w:rPr>
        <w:t>True</w:t>
      </w:r>
      <w:r>
        <w:t xml:space="preserve">, </w:t>
      </w:r>
      <w:r>
        <w:rPr>
          <w:rStyle w:val="Text5"/>
        </w:rPr>
        <w:t>False</w:t>
      </w:r>
      <w:r>
        <w:t xml:space="preserve">, and </w:t>
      </w:r>
      <w:r>
        <w:rPr>
          <w:rStyle w:val="Text5"/>
        </w:rPr>
        <w:t>None</w:t>
      </w:r>
      <w:r>
        <w:t xml:space="preserve"> being singleton objects, each matches itself.</w:t>
      </w:r>
    </w:p>
    <w:p>
      <w:bookmarkStart w:id="968" w:name="The_wildcard_pattern__In_pattern"/>
      <w:pPr>
        <w:keepNext/>
        <w:pStyle w:val="Heading 2"/>
      </w:pPr>
      <w:r>
        <w:t>The wildcard pattern</w:t>
      </w:r>
      <w:bookmarkEnd w:id="968"/>
    </w:p>
    <w:p>
      <w:pPr>
        <w:pStyle w:val="Normal"/>
      </w:pPr>
      <w:r>
        <w:t>In</w:t>
      </w:r>
      <w:r>
        <w:rPr>
          <w:rStyle w:val="Text111"/>
        </w:rPr>
        <w:bookmarkStart w:id="969" w:name="idm45965263876928"/>
        <w:t/>
        <w:bookmarkEnd w:id="969"/>
      </w:r>
      <w:r>
        <w:t xml:space="preserve"> pattern syntax, the</w:t>
      </w:r>
      <w:r>
        <w:rPr>
          <w:rStyle w:val="Text111"/>
        </w:rPr>
        <w:bookmarkStart w:id="970" w:name="idm45965263875392"/>
        <w:t/>
        <w:bookmarkEnd w:id="970"/>
        <w:bookmarkStart w:id="971" w:name="idm45965263873984"/>
        <w:t/>
        <w:bookmarkEnd w:id="971"/>
      </w:r>
      <w:r>
        <w:t xml:space="preserve"> underscore (</w:t>
      </w:r>
      <w:r>
        <w:rPr>
          <w:rStyle w:val="Text37"/>
        </w:rPr>
        <w:t>_</w:t>
      </w:r>
      <w:r>
        <w:t xml:space="preserve">) plays the role of a wildcard expression. As the simplest wildcard pattern, </w:t>
      </w:r>
      <w:r>
        <w:rPr>
          <w:rStyle w:val="Text37"/>
        </w:rPr>
        <w:t>_</w:t>
      </w:r>
      <w:r>
        <w:t xml:space="preserve"> matches any value at all:</w:t>
      </w:r>
    </w:p>
    <w:p>
      <w:pPr>
        <w:pStyle w:val="Para 020"/>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subject</w:t>
        <w:br w:clear="none"/>
      </w:r>
      <w:r>
        <w:rPr>
          <w:rStyle w:val="Text6"/>
        </w:rPr>
        <w:t xml:space="preserve"> </w:t>
        <w:br w:clear="none"/>
      </w:r>
      <w:r>
        <w:rPr>
          <w:rStyle w:val="Text31"/>
        </w:rPr>
        <w:t xml:space="preserve">in</w:t>
        <w:br w:clear="none"/>
      </w:r>
      <w:r>
        <w:rPr>
          <w:rStyle w:val="Text6"/>
        </w:rPr>
        <w:t xml:space="preserve"> </w:t>
        <w:br w:clear="none"/>
      </w:r>
      <w:r>
        <w:rPr>
          <w:rStyle w:val="Text27"/>
        </w:rPr>
        <w:t xml:space="preserve">42</w:t>
        <w:br w:clear="none"/>
      </w:r>
      <w:r>
        <w:rPr>
          <w:rStyle w:val="Text7"/>
        </w:rPr>
        <w:t xml:space="preserve">,</w:t>
        <w:br w:clear="none"/>
      </w:r>
      <w:r>
        <w:rPr>
          <w:rStyle w:val="Text6"/>
        </w:rPr>
        <w:t xml:space="preserve"> </w:t>
        <w:br w:clear="none"/>
      </w:r>
      <w:r>
        <w:t xml:space="preserve">'</w:t>
        <w:br w:clear="none"/>
        <w:t xml:space="preserve">string</w:t>
        <w:br w:clear="none"/>
        <w:t xml:space="preserve">'</w:t>
        <w:br w:clear="none"/>
      </w:r>
      <w:r>
        <w:rPr>
          <w:rStyle w:val="Text7"/>
        </w:rPr>
        <w:t xml:space="preserve">,</w:t>
        <w:br w:clear="none"/>
      </w:r>
      <w:r>
        <w:rPr>
          <w:rStyle w:val="Text6"/>
        </w:rPr>
        <w:t xml:space="preserve"> </w:t>
        <w:br w:clear="none"/>
      </w:r>
      <w:r>
        <w:rPr>
          <w:rStyle w:val="Text7"/>
        </w:rPr>
        <w:t xml:space="preserve">(</w:t>
        <w:br w:clear="none"/>
      </w:r>
      <w:r>
        <w:t xml:space="preserve">'</w:t>
        <w:br w:clear="none"/>
        <w:t xml:space="preserve">tu</w:t>
        <w:br w:clear="none"/>
        <w:t xml:space="preserve">'</w:t>
        <w:br w:clear="none"/>
      </w:r>
      <w:r>
        <w:rPr>
          <w:rStyle w:val="Text7"/>
        </w:rPr>
        <w:t xml:space="preserve">,</w:t>
        <w:br w:clear="none"/>
      </w:r>
      <w:r>
        <w:rPr>
          <w:rStyle w:val="Text6"/>
        </w:rPr>
        <w:t xml:space="preserve"> </w:t>
        <w:br w:clear="none"/>
      </w:r>
      <w:r>
        <w:t xml:space="preserve">'</w:t>
        <w:br w:clear="none"/>
        <w:t xml:space="preserve">ple</w:t>
        <w:br w:clear="none"/>
        <w:t xml:space="preserve">'</w:t>
        <w:br w:clear="none"/>
      </w:r>
      <w:r>
        <w:rPr>
          <w:rStyle w:val="Text7"/>
        </w:rPr>
        <w:t xml:space="preserve">)</w:t>
        <w:br w:clear="none"/>
        <w:t xml:space="preserve">,</w:t>
        <w:br w:clear="none"/>
      </w:r>
      <w:r>
        <w:rPr>
          <w:rStyle w:val="Text6"/>
        </w:rPr>
        <w:t xml:space="preserve"> </w:t>
        <w:br w:clear="none"/>
      </w:r>
      <w:r>
        <w:rPr>
          <w:rStyle w:val="Text7"/>
        </w:rPr>
        <w:t xml:space="preserve">[</w:t>
        <w:br w:clear="none"/>
      </w:r>
      <w:r>
        <w:t xml:space="preserve">'</w:t>
        <w:br w:clear="none"/>
        <w:t xml:space="preserve">list</w:t>
        <w:br w:clear="none"/>
        <w:t xml:space="preserve">'</w:t>
        <w:br w:clear="none"/>
      </w:r>
      <w:r>
        <w:rPr>
          <w:rStyle w:val="Text7"/>
        </w:rPr>
        <w:t xml:space="preserve">]</w:t>
        <w:br w:clear="none"/>
        <w:t xml:space="preserve">,</w:t>
        <w:br w:clear="none"/>
      </w:r>
      <w:r>
        <w:rPr>
          <w:rStyle w:val="Text6"/>
        </w:rPr>
        <w:t xml:space="preserve"> </w:t>
        <w:br w:clear="none"/>
      </w:r>
      <w:r>
        <w:rPr>
          <w:rStyle w:val="Text16"/>
        </w:rPr>
        <w:t xml:space="preserve">object</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match</w:t>
        <w:br w:clear="none"/>
      </w:r>
      <w:r>
        <w:rPr>
          <w:rStyle w:val="Text6"/>
        </w:rPr>
        <w:t xml:space="preserve"> </w:t>
        <w:br w:clear="none"/>
      </w:r>
      <w:r>
        <w:rPr>
          <w:rStyle w:val="Text9"/>
        </w:rPr>
        <w:t xml:space="preserve">subject</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8"/>
        </w:rPr>
        <w:t xml:space="preserve">case</w:t>
        <w:br w:clear="none"/>
      </w:r>
      <w:r>
        <w:rPr>
          <w:rStyle w:val="Text6"/>
        </w:rPr>
        <w:t xml:space="preserve"> </w:t>
        <w:br w:clear="none"/>
      </w:r>
      <w:r>
        <w:rPr>
          <w:rStyle w:val="Text38"/>
        </w:rPr>
        <w:t xml:space="preserve">_</w:t>
        <w:br w:clear="none"/>
      </w:r>
      <w:r>
        <w:rPr>
          <w:rStyle w:val="Text7"/>
        </w:rPr>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w:t>
        <w:br w:clear="none"/>
        <w:t xml:space="preserve">matched</w:t>
        <w:br w:clear="none"/>
        <w:t xml:space="preserve">'</w:t>
        <w:br w:clear="none"/>
      </w:r>
      <w:r>
        <w:rPr>
          <w:rStyle w:val="Text7"/>
        </w:rPr>
        <w:t xml:space="preserve">,</w:t>
        <w:br w:clear="none"/>
      </w:r>
      <w:r>
        <w:rPr>
          <w:rStyle w:val="Text6"/>
        </w:rPr>
        <w:t xml:space="preserve"> </w:t>
        <w:br w:clear="none"/>
      </w:r>
      <w:r>
        <w:rPr>
          <w:rStyle w:val="Text9"/>
        </w:rPr>
        <w:t xml:space="preserve">subject</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matched 42</w:t>
        <w:br w:clear="none"/>
      </w:r>
      <w:r>
        <w:rPr>
          <w:rStyle w:val="Text48"/>
        </w:rPr>
        <w:t xml:space="preserve"/>
        <w:br w:clear="none"/>
      </w:r>
      <w:r>
        <w:t xml:space="preserve">matched string</w:t>
        <w:br w:clear="none"/>
      </w:r>
      <w:r>
        <w:rPr>
          <w:rStyle w:val="Text48"/>
        </w:rPr>
        <w:t xml:space="preserve"/>
        <w:br w:clear="none"/>
      </w:r>
      <w:r>
        <w:t xml:space="preserve">matched ('tu', 'ple')</w:t>
        <w:br w:clear="none"/>
      </w:r>
      <w:r>
        <w:rPr>
          <w:rStyle w:val="Text48"/>
        </w:rPr>
        <w:t xml:space="preserve"/>
        <w:br w:clear="none"/>
      </w:r>
      <w:r>
        <w:t xml:space="preserve">matched ['list']</w:t>
        <w:br w:clear="none"/>
      </w:r>
      <w:r>
        <w:rPr>
          <w:rStyle w:val="Text48"/>
        </w:rPr>
        <w:t xml:space="preserve"/>
        <w:br w:clear="none"/>
      </w:r>
      <w:r>
        <w:t xml:space="preserve">matched &lt;class 'object'&gt;</w:t>
        <w:br w:clear="none"/>
      </w:r>
    </w:p>
    <w:p>
      <w:bookmarkStart w:id="972" w:name="Capture_patterns__The_use_of_unq"/>
      <w:pPr>
        <w:keepNext/>
        <w:pStyle w:val="Heading 2"/>
      </w:pPr>
      <w:r>
        <w:t>Capture patterns</w:t>
      </w:r>
      <w:bookmarkEnd w:id="972"/>
    </w:p>
    <w:p>
      <w:pPr>
        <w:pStyle w:val="Normal"/>
      </w:pPr>
      <w:r>
        <w:t>The</w:t>
      </w:r>
      <w:r>
        <w:rPr>
          <w:rStyle w:val="Text111"/>
        </w:rPr>
        <w:bookmarkStart w:id="973" w:name="idm45965263810080"/>
        <w:t/>
        <w:bookmarkEnd w:id="973"/>
        <w:bookmarkStart w:id="974" w:name="idm45965263808672"/>
        <w:t/>
        <w:bookmarkEnd w:id="974"/>
      </w:r>
      <w:r>
        <w:t xml:space="preserve"> use of unqualified names (names with no dots in them) is so different in patterns that we feel it necessary to begin this section with a warning.</w:t>
      </w:r>
    </w:p>
    <w:p>
      <w:pPr>
        <w:keepNext/>
        <w:pStyle w:val="Heading 6"/>
        <w:keepLines w:val="on"/>
      </w:pPr>
      <w:r>
        <w:t>Simple Names Bind to Matched Elements Inside Patterns</w:t>
      </w:r>
    </w:p>
    <w:p>
      <w:pPr>
        <w:pStyle w:val="Para 012"/>
        <w:keepLines w:val="on"/>
      </w:pPr>
      <w:r>
        <w:t xml:space="preserve">Unqualified names—simple identifiers (e.g., </w:t>
      </w:r>
      <w:r>
        <w:rPr>
          <w:rStyle w:val="Text4"/>
        </w:rPr>
        <w:t>color</w:t>
      </w:r>
      <w:r>
        <w:t xml:space="preserve">) rather than attribute references (e.g., </w:t>
      </w:r>
      <w:r>
        <w:rPr>
          <w:rStyle w:val="Text4"/>
        </w:rPr>
        <w:t>name.attr</w:t>
      </w:r>
      <w:r>
        <w:t>)—do not necessarily have their usual meaning in pattern expressions. Some names, rather than being references to values, are instead bound to elements of the subject value during pattern matching.</w:t>
      </w:r>
    </w:p>
    <w:p>
      <w:pPr>
        <w:pStyle w:val="Normal"/>
      </w:pPr>
      <w:r>
        <w:t xml:space="preserve">Unqualified names, except </w:t>
      </w:r>
      <w:r>
        <w:rPr>
          <w:rStyle w:val="Text0"/>
        </w:rPr>
        <w:t>_</w:t>
      </w:r>
      <w:r>
        <w:t xml:space="preserve">, are </w:t>
      </w:r>
      <w:r>
        <w:rPr>
          <w:rStyle w:val="Text4"/>
        </w:rPr>
        <w:t>capture patterns</w:t>
      </w:r>
      <w:r>
        <w:t xml:space="preserve">. They’re wildcards, matching anything, but with a side effect: the name, in the current local namespace, gets bound to the object matched by the pattern. Bindings created by matching remain after the statement has executed, allowing the statements in the </w:t>
      </w:r>
      <w:r>
        <w:rPr>
          <w:rStyle w:val="Text5"/>
        </w:rPr>
        <w:t>case</w:t>
      </w:r>
      <w:r>
        <w:t xml:space="preserve"> clause and subsequent code to process extracted portions of the subject value.</w:t>
      </w:r>
    </w:p>
    <w:p>
      <w:pPr>
        <w:pStyle w:val="Normal"/>
      </w:pPr>
      <w:r>
        <w:t xml:space="preserve">The following example is similar to the preceding one, except that the name </w:t>
      </w:r>
      <w:r>
        <w:rPr>
          <w:rStyle w:val="Text0"/>
        </w:rPr>
        <w:t>x</w:t>
      </w:r>
      <w:r>
        <w:t>, instead of the underscore, matches the subject. The absence of exceptions shows that the name captures the whole subject in each case: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for</w:t>
        <w:br w:clear="none"/>
      </w:r>
      <w:r>
        <w:t xml:space="preserve"> </w:t>
        <w:br w:clear="none"/>
      </w:r>
      <w:r>
        <w:rPr>
          <w:rStyle w:val="Text9"/>
        </w:rPr>
        <w:t xml:space="preserve">subject</w:t>
        <w:br w:clear="none"/>
      </w:r>
      <w:r>
        <w:t xml:space="preserve"> </w:t>
        <w:br w:clear="none"/>
      </w:r>
      <w:r>
        <w:rPr>
          <w:rStyle w:val="Text31"/>
        </w:rPr>
        <w:t xml:space="preserve">in</w:t>
        <w:br w:clear="none"/>
      </w:r>
      <w:r>
        <w:t xml:space="preserve"> </w:t>
        <w:br w:clear="none"/>
      </w:r>
      <w:r>
        <w:rPr>
          <w:rStyle w:val="Text27"/>
        </w:rPr>
        <w:t xml:space="preserve">42</w:t>
        <w:br w:clear="none"/>
      </w:r>
      <w:r>
        <w:rPr>
          <w:rStyle w:val="Text7"/>
        </w:rPr>
        <w:t xml:space="preserve">,</w:t>
        <w:br w:clear="none"/>
      </w:r>
      <w:r>
        <w:t xml:space="preserve"> </w:t>
        <w:br w:clear="none"/>
      </w:r>
      <w:r>
        <w:rPr>
          <w:rStyle w:val="Text8"/>
        </w:rPr>
        <w:t xml:space="preserve">'</w:t>
        <w:br w:clear="none"/>
        <w:t xml:space="preserve">string</w:t>
        <w:br w:clear="none"/>
        <w:t xml:space="preserve">'</w:t>
        <w:br w:clear="none"/>
      </w:r>
      <w:r>
        <w:rPr>
          <w:rStyle w:val="Text7"/>
        </w:rPr>
        <w:t xml:space="preserve">,</w:t>
        <w:br w:clear="none"/>
      </w:r>
      <w:r>
        <w:t xml:space="preserve"> </w:t>
        <w:br w:clear="none"/>
      </w:r>
      <w:r>
        <w:rPr>
          <w:rStyle w:val="Text7"/>
        </w:rPr>
        <w:t xml:space="preserve">(</w:t>
        <w:br w:clear="none"/>
      </w:r>
      <w:r>
        <w:rPr>
          <w:rStyle w:val="Text8"/>
        </w:rPr>
        <w:t xml:space="preserve">'</w:t>
        <w:br w:clear="none"/>
        <w:t xml:space="preserve">tu</w:t>
        <w:br w:clear="none"/>
        <w:t xml:space="preserve">'</w:t>
        <w:br w:clear="none"/>
      </w:r>
      <w:r>
        <w:rPr>
          <w:rStyle w:val="Text7"/>
        </w:rPr>
        <w:t xml:space="preserve">,</w:t>
        <w:br w:clear="none"/>
      </w:r>
      <w:r>
        <w:t xml:space="preserve"> </w:t>
        <w:br w:clear="none"/>
      </w:r>
      <w:r>
        <w:rPr>
          <w:rStyle w:val="Text8"/>
        </w:rPr>
        <w:t xml:space="preserve">'</w:t>
        <w:br w:clear="none"/>
        <w:t xml:space="preserve">ple</w:t>
        <w:br w:clear="none"/>
        <w:t xml:space="preserve">'</w:t>
        <w:br w:clear="none"/>
      </w:r>
      <w:r>
        <w:rPr>
          <w:rStyle w:val="Text7"/>
        </w:rPr>
        <w:t xml:space="preserve">)</w:t>
        <w:br w:clear="none"/>
        <w:t xml:space="preserve">,</w:t>
        <w:br w:clear="none"/>
      </w:r>
      <w:r>
        <w:t xml:space="preserve"> </w:t>
        <w:br w:clear="none"/>
      </w:r>
      <w:r>
        <w:rPr>
          <w:rStyle w:val="Text7"/>
        </w:rPr>
        <w:t xml:space="preserve">[</w:t>
        <w:br w:clear="none"/>
      </w:r>
      <w:r>
        <w:rPr>
          <w:rStyle w:val="Text8"/>
        </w:rPr>
        <w:t xml:space="preserve">'</w:t>
        <w:br w:clear="none"/>
        <w:t xml:space="preserve">list</w:t>
        <w:br w:clear="none"/>
        <w:t xml:space="preserve">'</w:t>
        <w:br w:clear="none"/>
      </w:r>
      <w:r>
        <w:rPr>
          <w:rStyle w:val="Text7"/>
        </w:rPr>
        <w:t xml:space="preserve">]</w:t>
        <w:br w:clear="none"/>
        <w:t xml:space="preserve">,</w:t>
        <w:br w:clear="none"/>
      </w:r>
      <w:r>
        <w:t xml:space="preserve"> </w:t>
        <w:br w:clear="none"/>
      </w:r>
      <w:r>
        <w:rPr>
          <w:rStyle w:val="Text16"/>
        </w:rPr>
        <w:t xml:space="preserve">object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9"/>
        </w:rPr>
        <w:t xml:space="preserve">x</w:t>
        <w:br w:clear="none"/>
      </w:r>
      <w:r>
        <w:rPr>
          <w:rStyle w:val="Text7"/>
        </w:rPr>
        <w:t xml:space="preserve">:</w:t>
        <w:br w:clear="none"/>
      </w:r>
      <w:r>
        <w:t xml:space="preserve"> </w:t>
        <w:br w:clear="none"/>
      </w:r>
      <w:r>
        <w:rPr>
          <w:rStyle w:val="Text10"/>
        </w:rPr>
        <w:t xml:space="preserve">assert</w:t>
        <w:br w:clear="none"/>
      </w:r>
      <w:r>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subject</w:t>
        <w:br w:clear="none"/>
      </w:r>
      <w:r>
        <w:t xml:space="preserve"/>
        <w:br w:clear="none"/>
      </w:r>
      <w:r>
        <w:rPr>
          <w:rStyle w:val="Text13"/>
        </w:rPr>
        <w:t xml:space="preserve">.</w:t>
        <w:br w:clear="none"/>
        <w:t xml:space="preserve">.</w:t>
        <w:br w:clear="none"/>
        <w:t xml:space="preserve">.</w:t>
        <w:br w:clear="none"/>
      </w:r>
    </w:p>
    <w:p>
      <w:bookmarkStart w:id="975" w:name="Value_patterns__This_section__to"/>
      <w:pPr>
        <w:keepNext/>
        <w:pStyle w:val="Heading 2"/>
      </w:pPr>
      <w:r>
        <w:t>Value patterns</w:t>
      </w:r>
      <w:bookmarkEnd w:id="975"/>
    </w:p>
    <w:p>
      <w:pPr>
        <w:pStyle w:val="Normal"/>
      </w:pPr>
      <w:r>
        <w:t>This</w:t>
      </w:r>
      <w:r>
        <w:rPr>
          <w:rStyle w:val="Text111"/>
        </w:rPr>
        <w:bookmarkStart w:id="976" w:name="idm45965263714592"/>
        <w:t/>
        <w:bookmarkEnd w:id="976"/>
        <w:bookmarkStart w:id="977" w:name="idm45965263713392"/>
        <w:t/>
        <w:bookmarkEnd w:id="977"/>
      </w:r>
      <w:r>
        <w:t xml:space="preserve"> section, too, begins with a reminder to readers that simple names can’t be used to inject their bindings into pattern values to be matched.</w:t>
      </w:r>
    </w:p>
    <w:p>
      <w:pPr>
        <w:keepNext/>
        <w:pStyle w:val="Heading 5"/>
        <w:keepLines w:val="on"/>
      </w:pPr>
      <w:r>
        <w:t>Represent Variable Values in Patterns with Qualified Names</w:t>
      </w:r>
    </w:p>
    <w:p>
      <w:pPr>
        <w:pStyle w:val="Para 012"/>
        <w:keepLines w:val="on"/>
      </w:pPr>
      <w:r>
        <w:t xml:space="preserve">Because simple names capture values during pattern matching, you </w:t>
      </w:r>
      <w:r>
        <w:rPr>
          <w:rStyle w:val="Text4"/>
        </w:rPr>
        <w:t>must</w:t>
      </w:r>
      <w:r>
        <w:t xml:space="preserve"> use attribute references (qualified names like </w:t>
      </w:r>
      <w:r>
        <w:rPr>
          <w:rStyle w:val="Text4"/>
        </w:rPr>
        <w:t>name.attr</w:t>
      </w:r>
      <w:r>
        <w:t xml:space="preserve">) to express values that may change between different executions of the same </w:t>
      </w:r>
      <w:r>
        <w:rPr>
          <w:rStyle w:val="Text5"/>
        </w:rPr>
        <w:t>match</w:t>
      </w:r>
      <w:r>
        <w:t xml:space="preserve"> statement.</w:t>
      </w:r>
    </w:p>
    <w:p>
      <w:pPr>
        <w:pStyle w:val="Normal"/>
      </w:pPr>
      <w:r>
        <w:t xml:space="preserve">Though this feature is useful, it means you can’t reference values directly with simple names. Therefore, in patterns, values must be represented by qualified names, which are known as </w:t>
      </w:r>
      <w:r>
        <w:rPr>
          <w:rStyle w:val="Text4"/>
        </w:rPr>
        <w:t>value patterns</w:t>
      </w:r>
      <w:r>
        <w:t xml:space="preserve">—they </w:t>
      </w:r>
      <w:r>
        <w:rPr>
          <w:rStyle w:val="Text4"/>
        </w:rPr>
        <w:t>represent</w:t>
      </w:r>
      <w:r>
        <w:t xml:space="preserve"> values, rather than </w:t>
      </w:r>
      <w:r>
        <w:rPr>
          <w:rStyle w:val="Text4"/>
        </w:rPr>
        <w:t>capturing</w:t>
      </w:r>
      <w:r>
        <w:t xml:space="preserve"> them as simple names do. While slightly inconvenient, to use qualified names you can just set attribute values on an otherwise empty class.</w:t>
      </w:r>
      <w:hyperlink w:anchor="22_For_this_unique_use_case__it">
        <w:r>
          <w:rPr>
            <w:rStyle w:val="Text41"/>
          </w:rPr>
          <w:bookmarkStart w:id="978" w:name="22"/>
          <w:t>22</w:t>
          <w:bookmarkEnd w:id="978"/>
        </w:r>
      </w:hyperlink>
      <w:r>
        <w:t xml:space="preserve"> For example: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m</w:t>
        <w:br w:clear="none"/>
      </w:r>
      <w:r>
        <w:rPr>
          <w:rStyle w:val="Text7"/>
        </w:rPr>
        <w:t xml:space="preserve">:</w:t>
        <w:br w:clear="none"/>
      </w:r>
      <w:r>
        <w:t xml:space="preserve"> </w:t>
        <w:br w:clear="none"/>
      </w:r>
      <w:r>
        <w:rPr>
          <w:rStyle w:val="Text9"/>
        </w:rPr>
        <w:t xml:space="preserve">v1</w:t>
        <w:br w:clear="none"/>
      </w:r>
      <w:r>
        <w:t xml:space="preserve"> </w:t>
        <w:br w:clear="none"/>
      </w:r>
      <w:r>
        <w:rPr>
          <w:rStyle w:val="Text13"/>
        </w:rPr>
        <w:t xml:space="preserve">=</w:t>
        <w:br w:clear="none"/>
      </w:r>
      <w:r>
        <w:t xml:space="preserve"> </w:t>
        <w:br w:clear="none"/>
      </w:r>
      <w:r>
        <w:rPr>
          <w:rStyle w:val="Text8"/>
        </w:rPr>
        <w:t xml:space="preserve">"</w:t>
        <w:br w:clear="none"/>
        <w:t xml:space="preserve">one</w:t>
        <w:br w:clear="none"/>
        <w:t xml:space="preserve">"</w:t>
        <w:br w:clear="none"/>
      </w:r>
      <w:r>
        <w:rPr>
          <w:rStyle w:val="Text7"/>
        </w:rPr>
        <w:t xml:space="preserve">;</w:t>
        <w:br w:clear="none"/>
      </w:r>
      <w:r>
        <w:t xml:space="preserve"> </w:t>
        <w:br w:clear="none"/>
      </w:r>
      <w:r>
        <w:rPr>
          <w:rStyle w:val="Text9"/>
        </w:rPr>
        <w:t xml:space="preserve">v2</w:t>
        <w:br w:clear="none"/>
      </w:r>
      <w:r>
        <w:t xml:space="preserve"> </w:t>
        <w:br w:clear="none"/>
      </w:r>
      <w:r>
        <w:rPr>
          <w:rStyle w:val="Text13"/>
        </w:rPr>
        <w:t xml:space="preserve">=</w:t>
        <w:br w:clear="none"/>
      </w:r>
      <w:r>
        <w:t xml:space="preserve"> </w:t>
        <w:br w:clear="none"/>
      </w:r>
      <w:r>
        <w:rPr>
          <w:rStyle w:val="Text27"/>
        </w:rPr>
        <w:t xml:space="preserve">2</w:t>
        <w:br w:clear="none"/>
      </w:r>
      <w:r>
        <w:rPr>
          <w:rStyle w:val="Text7"/>
        </w:rPr>
        <w:t xml:space="preserve">;</w:t>
        <w:br w:clear="none"/>
      </w:r>
      <w:r>
        <w:t xml:space="preserve"> </w:t>
        <w:br w:clear="none"/>
      </w:r>
      <w:r>
        <w:rPr>
          <w:rStyle w:val="Text9"/>
        </w:rPr>
        <w:t xml:space="preserve">v3</w:t>
        <w:br w:clear="none"/>
      </w:r>
      <w:r>
        <w:t xml:space="preserve"> </w:t>
        <w:br w:clear="none"/>
      </w:r>
      <w:r>
        <w:rPr>
          <w:rStyle w:val="Text13"/>
        </w:rPr>
        <w:t xml:space="preserve">=</w:t>
        <w:br w:clear="none"/>
      </w:r>
      <w:r>
        <w:t xml:space="preserve"> </w:t>
        <w:br w:clear="none"/>
      </w:r>
      <w:r>
        <w:rPr>
          <w:rStyle w:val="Text27"/>
        </w:rPr>
        <w:t xml:space="preserve">2.56</w:t>
        <w:br w:clear="none"/>
      </w:r>
      <w:r>
        <w:t xml:space="preserve"/>
        <w:br w:clear="none"/>
      </w:r>
      <w:r>
        <w:rPr>
          <w:rStyle w:val="Text6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38"/>
        </w:rPr>
        <w:t xml:space="preserve">match</w:t>
        <w:br w:clear="none"/>
      </w:r>
      <w:r>
        <w:t xml:space="preserve"> </w:t>
        <w:br w:clear="none"/>
      </w:r>
      <w:r>
        <w:rPr>
          <w:rStyle w:val="Text7"/>
        </w:rPr>
        <w:t xml:space="preserve">(</w:t>
        <w:br w:clear="none"/>
      </w:r>
      <w:r>
        <w:rPr>
          <w:rStyle w:val="Text8"/>
        </w:rPr>
        <w:t xml:space="preserve">'</w:t>
        <w:br w:clear="none"/>
        <w:t xml:space="preserve">one</w:t>
        <w:br w:clear="none"/>
        <w:t xml:space="preserve">'</w:t>
        <w:br w:clear="none"/>
      </w:r>
      <w:r>
        <w:rPr>
          <w:rStyle w:val="Text7"/>
        </w:rPr>
        <w:t xml:space="preserve">,</w:t>
        <w:br w:clear="none"/>
      </w:r>
      <w:r>
        <w:t xml:space="preserve"> </w:t>
        <w:br w:clear="none"/>
      </w:r>
      <w:r>
        <w:rPr>
          <w:rStyle w:val="Text27"/>
        </w:rPr>
        <w:t xml:space="preserve">2</w:t>
        <w:br w:clear="none"/>
      </w:r>
      <w:r>
        <w:rPr>
          <w:rStyle w:val="Text7"/>
        </w:rPr>
        <w:t xml:space="preserve">,</w:t>
        <w:br w:clear="none"/>
      </w:r>
      <w:r>
        <w:t xml:space="preserve"> </w:t>
        <w:br w:clear="none"/>
      </w:r>
      <w:r>
        <w:rPr>
          <w:rStyle w:val="Text27"/>
        </w:rPr>
        <w:t xml:space="preserve">2.56</w:t>
        <w:br w:clear="none"/>
      </w:r>
      <w:r>
        <w:rPr>
          <w:rStyle w:val="Text7"/>
        </w:rPr>
        <w:t xml:space="preserve">)</w:t>
        <w:br w:clear="none"/>
        <w:t xml:space="preserve">:</w:t>
        <w:br w:clear="none"/>
      </w:r>
      <w:r>
        <w:t xml:space="preserve"/>
        <w:br w:clear="none"/>
      </w:r>
      <w:r>
        <w:rPr>
          <w:rStyle w:val="Text6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7"/>
        </w:rPr>
        <w:t xml:space="preserve">(</w:t>
        <w:br w:clear="none"/>
      </w:r>
      <w:r>
        <w:rPr>
          <w:rStyle w:val="Text9"/>
        </w:rPr>
        <w:t xml:space="preserve">m</w:t>
        <w:br w:clear="none"/>
      </w:r>
      <w:r>
        <w:rPr>
          <w:rStyle w:val="Text13"/>
        </w:rPr>
        <w:t xml:space="preserve">.</w:t>
        <w:br w:clear="none"/>
      </w:r>
      <w:r>
        <w:rPr>
          <w:rStyle w:val="Text9"/>
        </w:rPr>
        <w:t xml:space="preserve">v1</w:t>
        <w:br w:clear="none"/>
      </w:r>
      <w:r>
        <w:rPr>
          <w:rStyle w:val="Text7"/>
        </w:rPr>
        <w:t xml:space="preserve">,</w:t>
        <w:br w:clear="none"/>
      </w:r>
      <w:r>
        <w:t xml:space="preserve"> </w:t>
        <w:br w:clear="none"/>
      </w:r>
      <w:r>
        <w:rPr>
          <w:rStyle w:val="Text9"/>
        </w:rPr>
        <w:t xml:space="preserve">m</w:t>
        <w:br w:clear="none"/>
      </w:r>
      <w:r>
        <w:rPr>
          <w:rStyle w:val="Text13"/>
        </w:rPr>
        <w:t xml:space="preserve">.</w:t>
        <w:br w:clear="none"/>
      </w:r>
      <w:r>
        <w:rPr>
          <w:rStyle w:val="Text9"/>
        </w:rPr>
        <w:t xml:space="preserve">v2</w:t>
        <w:br w:clear="none"/>
      </w:r>
      <w:r>
        <w:rPr>
          <w:rStyle w:val="Text7"/>
        </w:rPr>
        <w:t xml:space="preserve">,</w:t>
        <w:br w:clear="none"/>
      </w:r>
      <w:r>
        <w:t xml:space="preserve"> </w:t>
        <w:br w:clear="none"/>
      </w:r>
      <w:r>
        <w:rPr>
          <w:rStyle w:val="Text9"/>
        </w:rPr>
        <w:t xml:space="preserve">m</w:t>
        <w:br w:clear="none"/>
      </w:r>
      <w:r>
        <w:rPr>
          <w:rStyle w:val="Text13"/>
        </w:rPr>
        <w:t xml:space="preserve">.</w:t>
        <w:br w:clear="none"/>
      </w:r>
      <w:r>
        <w:rPr>
          <w:rStyle w:val="Text9"/>
        </w:rPr>
        <w:t xml:space="preserve">v3</w:t>
        <w:br w:clear="none"/>
      </w:r>
      <w:r>
        <w:rPr>
          <w:rStyle w:val="Text7"/>
        </w:rPr>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matched</w:t>
        <w:br w:clear="none"/>
        <w:t xml:space="preserve">'</w:t>
        <w:br w:clear="none"/>
      </w:r>
      <w:r>
        <w:rPr>
          <w:rStyle w:val="Text7"/>
        </w:rPr>
        <w:t xml:space="preserve">)</w:t>
        <w:br w:clear="none"/>
      </w:r>
      <w:r>
        <w:t xml:space="preserve"/>
        <w:br w:clear="none"/>
      </w:r>
      <w:r>
        <w:rPr>
          <w:rStyle w:val="Text63"/>
        </w:rPr>
        <w:t xml:space="preserve">.</w:t>
        <w:br w:clear="none"/>
        <w:t xml:space="preserve">.</w:t>
        <w:br w:clear="none"/>
        <w:t xml:space="preserve">.</w:t>
        <w:br w:clear="none"/>
      </w:r>
    </w:p>
    <w:p>
      <w:pPr>
        <w:pStyle w:val="Para 008"/>
      </w:pPr>
      <w:r>
        <w:rPr>
          <w:rStyle w:val="Text48"/>
        </w:rPr>
        <w:t xml:space="preserve"/>
        <w:br w:clear="none"/>
      </w:r>
      <w:r>
        <w:t xml:space="preserve">matched</w:t>
        <w:br w:clear="none"/>
      </w:r>
    </w:p>
    <w:p>
      <w:pPr>
        <w:pStyle w:val="Normal"/>
      </w:pPr>
      <w:r>
        <w:t>It is easy to give yourself access to the current module’s “global” namespace, like this:</w:t>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39"/>
        </w:rPr>
        <w:t xml:space="preserve">import</w:t>
        <w:br w:clear="none"/>
      </w:r>
      <w:r>
        <w:rPr>
          <w:rStyle w:val="Text23"/>
        </w:rPr>
        <w:t xml:space="preserve"> </w:t>
        <w:br w:clear="none"/>
      </w:r>
      <w:r>
        <w:rPr>
          <w:rStyle w:val="Text20"/>
        </w:rPr>
        <w:t xml:space="preserve">sys</w:t>
        <w:br w:clear="none"/>
      </w:r>
      <w:r>
        <w:rPr>
          <w:rStyle w:val="Text23"/>
        </w:rPr>
        <w:t xml:space="preserve"/>
        <w:br w:clear="none"/>
      </w:r>
      <w:r>
        <w:rPr>
          <w:rStyle w:val="Text13"/>
        </w:rPr>
        <w:t xml:space="preserve">&gt;&gt;&gt;</w:t>
        <w:br w:clear="none"/>
      </w:r>
      <w:r>
        <w:rPr>
          <w:rStyle w:val="Text23"/>
        </w:rPr>
        <w:t xml:space="preserve"> </w:t>
        <w:br w:clear="none"/>
      </w:r>
      <w:r>
        <w:t xml:space="preserve">g</w:t>
        <w:br w:clear="none"/>
      </w:r>
      <w:r>
        <w:rPr>
          <w:rStyle w:val="Text23"/>
        </w:rPr>
        <w:t xml:space="preserve"> </w:t>
        <w:br w:clear="none"/>
      </w:r>
      <w:r>
        <w:rPr>
          <w:rStyle w:val="Text13"/>
        </w:rPr>
        <w:t xml:space="preserve">=</w:t>
        <w:br w:clear="none"/>
      </w:r>
      <w:r>
        <w:rPr>
          <w:rStyle w:val="Text23"/>
        </w:rPr>
        <w:t xml:space="preserve"> </w:t>
        <w:br w:clear="none"/>
      </w:r>
      <w:r>
        <w:t xml:space="preserve">sys</w:t>
        <w:br w:clear="none"/>
      </w:r>
      <w:r>
        <w:rPr>
          <w:rStyle w:val="Text13"/>
        </w:rPr>
        <w:t xml:space="preserve">.</w:t>
        <w:br w:clear="none"/>
      </w:r>
      <w:r>
        <w:t xml:space="preserve">modules</w:t>
        <w:br w:clear="none"/>
      </w:r>
      <w:r>
        <w:rPr>
          <w:rStyle w:val="Text7"/>
        </w:rPr>
        <w:t xml:space="preserve">[</w:t>
        <w:br w:clear="none"/>
      </w:r>
      <w:r>
        <w:rPr>
          <w:rStyle w:val="Text6"/>
        </w:rPr>
        <w:t xml:space="preserve">__name__</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v1</w:t>
        <w:br w:clear="none"/>
      </w:r>
      <w:r>
        <w:rPr>
          <w:rStyle w:val="Text23"/>
        </w:rPr>
        <w:t xml:space="preserve"> </w:t>
        <w:br w:clear="none"/>
      </w:r>
      <w:r>
        <w:rPr>
          <w:rStyle w:val="Text13"/>
        </w:rPr>
        <w:t xml:space="preserve">=</w:t>
        <w:br w:clear="none"/>
      </w:r>
      <w:r>
        <w:rPr>
          <w:rStyle w:val="Text23"/>
        </w:rPr>
        <w:t xml:space="preserve"> </w:t>
        <w:br w:clear="none"/>
      </w:r>
      <w:r>
        <w:rPr>
          <w:rStyle w:val="Text8"/>
        </w:rPr>
        <w:t xml:space="preserve">"one"</w:t>
        <w:br w:clear="none"/>
      </w:r>
      <w:r>
        <w:rPr>
          <w:rStyle w:val="Text7"/>
        </w:rPr>
        <w:t xml:space="preserve">;</w:t>
        <w:br w:clear="none"/>
      </w:r>
      <w:r>
        <w:rPr>
          <w:rStyle w:val="Text23"/>
        </w:rPr>
        <w:t xml:space="preserve"> </w:t>
        <w:br w:clear="none"/>
      </w:r>
      <w:r>
        <w:t xml:space="preserve">v2</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2</w:t>
        <w:br w:clear="none"/>
      </w:r>
      <w:r>
        <w:rPr>
          <w:rStyle w:val="Text7"/>
        </w:rPr>
        <w:t xml:space="preserve">;</w:t>
        <w:br w:clear="none"/>
      </w:r>
      <w:r>
        <w:rPr>
          <w:rStyle w:val="Text23"/>
        </w:rPr>
        <w:t xml:space="preserve"> </w:t>
        <w:br w:clear="none"/>
      </w:r>
      <w:r>
        <w:t xml:space="preserve">v3</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2.56</w:t>
        <w:br w:clear="none"/>
      </w:r>
      <w:r>
        <w:rPr>
          <w:rStyle w:val="Text23"/>
        </w:rPr>
        <w:t xml:space="preserve"/>
        <w:br w:clear="none"/>
      </w:r>
      <w:r>
        <w:rPr>
          <w:rStyle w:val="Text13"/>
        </w:rPr>
        <w:t xml:space="preserve">&gt;&gt;&gt;</w:t>
        <w:br w:clear="none"/>
      </w:r>
      <w:r>
        <w:rPr>
          <w:rStyle w:val="Text23"/>
        </w:rPr>
        <w:t xml:space="preserve"> </w:t>
        <w:br w:clear="none"/>
      </w:r>
      <w:r>
        <w:t xml:space="preserve">match</w:t>
        <w:br w:clear="none"/>
      </w:r>
      <w:r>
        <w:rPr>
          <w:rStyle w:val="Text23"/>
        </w:rPr>
        <w:t xml:space="preserve"> </w:t>
        <w:br w:clear="none"/>
      </w:r>
      <w:r>
        <w:rPr>
          <w:rStyle w:val="Text7"/>
        </w:rPr>
        <w:t xml:space="preserve">(</w:t>
        <w:br w:clear="none"/>
      </w:r>
      <w:r>
        <w:rPr>
          <w:rStyle w:val="Text8"/>
        </w:rPr>
        <w:t xml:space="preserve">'one'</w:t>
        <w:br w:clear="none"/>
      </w:r>
      <w:r>
        <w:rPr>
          <w:rStyle w:val="Text7"/>
        </w:rPr>
        <w:t xml:space="preserve">,</w:t>
        <w:br w:clear="none"/>
      </w:r>
      <w:r>
        <w:rPr>
          <w:rStyle w:val="Text23"/>
        </w:rPr>
        <w:t xml:space="preserve"> </w:t>
        <w:br w:clear="none"/>
      </w:r>
      <w:r>
        <w:rPr>
          <w:rStyle w:val="Text27"/>
        </w:rPr>
        <w:t xml:space="preserve">2</w:t>
        <w:br w:clear="none"/>
      </w:r>
      <w:r>
        <w:rPr>
          <w:rStyle w:val="Text7"/>
        </w:rPr>
        <w:t xml:space="preserve">,</w:t>
        <w:br w:clear="none"/>
      </w:r>
      <w:r>
        <w:rPr>
          <w:rStyle w:val="Text23"/>
        </w:rPr>
        <w:t xml:space="preserve"> </w:t>
        <w:br w:clear="none"/>
      </w:r>
      <w:r>
        <w:rPr>
          <w:rStyle w:val="Text27"/>
        </w:rPr>
        <w:t xml:space="preserve">2.56</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t xml:space="preserve">case</w:t>
        <w:br w:clear="none"/>
      </w:r>
      <w:r>
        <w:rPr>
          <w:rStyle w:val="Text23"/>
        </w:rPr>
        <w:t xml:space="preserve"> </w:t>
        <w:br w:clear="none"/>
      </w:r>
      <w:r>
        <w:rPr>
          <w:rStyle w:val="Text7"/>
        </w:rPr>
        <w:t xml:space="preserve">(</w:t>
        <w:br w:clear="none"/>
      </w:r>
      <w:r>
        <w:t xml:space="preserve">g</w:t>
        <w:br w:clear="none"/>
      </w:r>
      <w:r>
        <w:rPr>
          <w:rStyle w:val="Text13"/>
        </w:rPr>
        <w:t xml:space="preserve">.</w:t>
        <w:br w:clear="none"/>
      </w:r>
      <w:r>
        <w:t xml:space="preserve">v1</w:t>
        <w:br w:clear="none"/>
      </w:r>
      <w:r>
        <w:rPr>
          <w:rStyle w:val="Text7"/>
        </w:rPr>
        <w:t xml:space="preserve">,</w:t>
        <w:br w:clear="none"/>
      </w:r>
      <w:r>
        <w:rPr>
          <w:rStyle w:val="Text23"/>
        </w:rPr>
        <w:t xml:space="preserve"> </w:t>
        <w:br w:clear="none"/>
      </w:r>
      <w:r>
        <w:t xml:space="preserve">g</w:t>
        <w:br w:clear="none"/>
      </w:r>
      <w:r>
        <w:rPr>
          <w:rStyle w:val="Text13"/>
        </w:rPr>
        <w:t xml:space="preserve">.</w:t>
        <w:br w:clear="none"/>
      </w:r>
      <w:r>
        <w:t xml:space="preserve">v2</w:t>
        <w:br w:clear="none"/>
      </w:r>
      <w:r>
        <w:rPr>
          <w:rStyle w:val="Text7"/>
        </w:rPr>
        <w:t xml:space="preserve">,</w:t>
        <w:br w:clear="none"/>
      </w:r>
      <w:r>
        <w:rPr>
          <w:rStyle w:val="Text23"/>
        </w:rPr>
        <w:t xml:space="preserve"> </w:t>
        <w:br w:clear="none"/>
      </w:r>
      <w:r>
        <w:t xml:space="preserve">g</w:t>
        <w:br w:clear="none"/>
      </w:r>
      <w:r>
        <w:rPr>
          <w:rStyle w:val="Text13"/>
        </w:rPr>
        <w:t xml:space="preserve">.</w:t>
        <w:br w:clear="none"/>
      </w:r>
      <w:r>
        <w:t xml:space="preserve">v3</w:t>
        <w:br w:clear="none"/>
      </w:r>
      <w:r>
        <w:rPr>
          <w:rStyle w:val="Text7"/>
        </w:rPr>
        <w:t xml:space="preserve">):</w:t>
        <w:br w:clear="none"/>
      </w:r>
      <w:r>
        <w:rPr>
          <w:rStyle w:val="Text23"/>
        </w:rPr>
        <w:t xml:space="preserve">  </w:t>
        <w:br w:clear="none"/>
      </w:r>
      <w:r>
        <w:rPr>
          <w:rStyle w:val="Text16"/>
        </w:rPr>
        <w:t xml:space="preserve">print</w:t>
        <w:br w:clear="none"/>
      </w:r>
      <w:r>
        <w:rPr>
          <w:rStyle w:val="Text7"/>
        </w:rPr>
        <w:t xml:space="preserve">(</w:t>
        <w:br w:clear="none"/>
      </w:r>
      <w:r>
        <w:rPr>
          <w:rStyle w:val="Text8"/>
        </w:rPr>
        <w:t xml:space="preserve">'matched'</w:t>
        <w:br w:clear="none"/>
      </w:r>
      <w:r>
        <w:rPr>
          <w:rStyle w:val="Text7"/>
        </w:rPr>
        <w:t xml:space="preserve">)</w:t>
        <w:br w:clear="none"/>
      </w:r>
      <w:r>
        <w:rPr>
          <w:rStyle w:val="Text23"/>
        </w:rPr>
        <w:t xml:space="preserve"/>
        <w:br w:clear="none"/>
      </w:r>
      <w:r>
        <w:rPr>
          <w:rStyle w:val="Text13"/>
        </w:rPr>
        <w:t xml:space="preserve">...</w:t>
        <w:br w:clear="none"/>
      </w:r>
    </w:p>
    <w:p>
      <w:pPr>
        <w:pStyle w:val="Para 008"/>
      </w:pPr>
      <w:r>
        <w:rPr>
          <w:rStyle w:val="Text48"/>
        </w:rPr>
        <w:t xml:space="preserve"/>
        <w:br w:clear="none"/>
      </w:r>
      <w:r>
        <w:t xml:space="preserve">matched</w:t>
        <w:br w:clear="none"/>
      </w:r>
    </w:p>
    <w:p>
      <w:bookmarkStart w:id="979" w:name="OR_patterns__When_P1_and_P2_are"/>
      <w:pPr>
        <w:keepNext/>
        <w:pStyle w:val="Heading 2"/>
      </w:pPr>
      <w:r>
        <w:t>OR patterns</w:t>
      </w:r>
      <w:bookmarkEnd w:id="979"/>
    </w:p>
    <w:p>
      <w:pPr>
        <w:pStyle w:val="Normal"/>
      </w:pPr>
      <w:r>
        <w:t>When</w:t>
      </w:r>
      <w:r>
        <w:rPr>
          <w:rStyle w:val="Text111"/>
        </w:rPr>
        <w:bookmarkStart w:id="980" w:name="idm45965275506960"/>
        <w:t/>
        <w:bookmarkEnd w:id="980"/>
        <w:bookmarkStart w:id="981" w:name="idm45965275505552"/>
        <w:t/>
        <w:bookmarkEnd w:id="981"/>
      </w:r>
      <w:r>
        <w:t xml:space="preserve"> </w:t>
      </w:r>
      <w:r>
        <w:rPr>
          <w:rStyle w:val="Text3"/>
        </w:rPr>
        <w:t>P1</w:t>
      </w:r>
      <w:r>
        <w:t xml:space="preserve"> and </w:t>
      </w:r>
      <w:r>
        <w:rPr>
          <w:rStyle w:val="Text3"/>
        </w:rPr>
        <w:t>P2</w:t>
      </w:r>
      <w:r>
        <w:t xml:space="preserve"> are patterns, the expression </w:t>
      </w:r>
      <w:r>
        <w:rPr>
          <w:rStyle w:val="Text3"/>
        </w:rPr>
        <w:t>P1 | P2</w:t>
      </w:r>
      <w:r>
        <w:t xml:space="preserve"> is an </w:t>
      </w:r>
      <w:r>
        <w:rPr>
          <w:rStyle w:val="Text4"/>
        </w:rPr>
        <w:t>OR pattern</w:t>
      </w:r>
      <w:r>
        <w:t xml:space="preserve">, matching anything that matches either </w:t>
      </w:r>
      <w:r>
        <w:rPr>
          <w:rStyle w:val="Text3"/>
        </w:rPr>
        <w:t>P1</w:t>
      </w:r>
      <w:r>
        <w:t xml:space="preserve"> or </w:t>
      </w:r>
      <w:r>
        <w:rPr>
          <w:rStyle w:val="Text3"/>
        </w:rPr>
        <w:t>P2</w:t>
      </w:r>
      <w:r>
        <w:t>, as shown in the following example. Any number of alternate patterns can be used, and matches are attempted from left to right:</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for</w:t>
        <w:br w:clear="none"/>
      </w:r>
      <w:r>
        <w:t xml:space="preserve"> </w:t>
        <w:br w:clear="none"/>
      </w:r>
      <w:r>
        <w:rPr>
          <w:rStyle w:val="Text9"/>
        </w:rPr>
        <w:t xml:space="preserve">subject</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27"/>
        </w:rPr>
        <w:t xml:space="preserve">5</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27"/>
        </w:rPr>
        <w:t xml:space="preserve">1</w:t>
        <w:br w:clear="none"/>
      </w:r>
      <w:r>
        <w:t xml:space="preserve"> </w:t>
        <w:br w:clear="none"/>
      </w:r>
      <w:r>
        <w:rPr>
          <w:rStyle w:val="Text13"/>
        </w:rPr>
        <w:t xml:space="preserve">|</w:t>
        <w:br w:clear="none"/>
      </w:r>
      <w:r>
        <w:t xml:space="preserve"> </w:t>
        <w:br w:clear="none"/>
      </w:r>
      <w:r>
        <w:rPr>
          <w:rStyle w:val="Text27"/>
        </w:rPr>
        <w:t xml:space="preserve">3</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odd</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27"/>
        </w:rPr>
        <w:t xml:space="preserve">0</w:t>
        <w:br w:clear="none"/>
      </w:r>
      <w:r>
        <w:t xml:space="preserve"> </w:t>
        <w:br w:clear="none"/>
      </w:r>
      <w:r>
        <w:rPr>
          <w:rStyle w:val="Text13"/>
        </w:rPr>
        <w:t xml:space="preserve">|</w:t>
        <w:br w:clear="none"/>
      </w:r>
      <w:r>
        <w:t xml:space="preserve"> </w:t>
        <w:br w:clear="none"/>
      </w:r>
      <w:r>
        <w:rPr>
          <w:rStyle w:val="Text27"/>
        </w:rPr>
        <w:t xml:space="preserve">2</w:t>
        <w:br w:clear="none"/>
      </w:r>
      <w:r>
        <w:t xml:space="preserve"> </w:t>
        <w:br w:clear="none"/>
      </w:r>
      <w:r>
        <w:rPr>
          <w:rStyle w:val="Text13"/>
        </w:rPr>
        <w:t xml:space="preserve">|</w:t>
        <w:br w:clear="none"/>
      </w:r>
      <w:r>
        <w:t xml:space="preserve"> </w:t>
        <w:br w:clear="none"/>
      </w:r>
      <w:r>
        <w:rPr>
          <w:rStyle w:val="Text27"/>
        </w:rPr>
        <w:t xml:space="preserve">4</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even</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even</w:t>
        <w:br w:clear="none"/>
      </w:r>
      <w:r>
        <w:rPr>
          <w:rStyle w:val="Text48"/>
        </w:rPr>
        <w:t xml:space="preserve"/>
        <w:br w:clear="none"/>
      </w:r>
      <w:r>
        <w:t xml:space="preserve">odd</w:t>
        <w:br w:clear="none"/>
      </w:r>
      <w:r>
        <w:rPr>
          <w:rStyle w:val="Text48"/>
        </w:rPr>
        <w:t xml:space="preserve"/>
        <w:br w:clear="none"/>
      </w:r>
      <w:r>
        <w:t xml:space="preserve">even</w:t>
        <w:br w:clear="none"/>
      </w:r>
      <w:r>
        <w:rPr>
          <w:rStyle w:val="Text48"/>
        </w:rPr>
        <w:t xml:space="preserve"/>
        <w:br w:clear="none"/>
      </w:r>
      <w:r>
        <w:t xml:space="preserve">odd</w:t>
        <w:br w:clear="none"/>
      </w:r>
      <w:r>
        <w:rPr>
          <w:rStyle w:val="Text48"/>
        </w:rPr>
        <w:t xml:space="preserve"/>
        <w:br w:clear="none"/>
      </w:r>
      <w:r>
        <w:t xml:space="preserve">even</w:t>
        <w:br w:clear="none"/>
      </w:r>
    </w:p>
    <w:p>
      <w:pPr>
        <w:pStyle w:val="Normal"/>
      </w:pPr>
      <w:r>
        <w:t>It is a syntax error to follow a wildcard pattern with further alternatives, however, since they can never be activated. While our initial examples are simple, remember that the syntax is recursive, so patterns of arbitrary complexity can replace any of the subpatterns in these examples.</w:t>
      </w:r>
    </w:p>
    <w:p>
      <w:bookmarkStart w:id="982" w:name="Group_patterns__If_P1_is_a_patte"/>
      <w:pPr>
        <w:keepNext/>
        <w:pStyle w:val="Heading 2"/>
      </w:pPr>
      <w:r>
        <w:t>Group patterns</w:t>
      </w:r>
      <w:bookmarkEnd w:id="982"/>
    </w:p>
    <w:p>
      <w:pPr>
        <w:pStyle w:val="Normal"/>
      </w:pPr>
      <w:r>
        <w:t xml:space="preserve">If </w:t>
      </w:r>
      <w:r>
        <w:rPr>
          <w:rStyle w:val="Text111"/>
        </w:rPr>
        <w:bookmarkStart w:id="983" w:name="idm45965275402224"/>
        <w:t/>
        <w:bookmarkEnd w:id="983"/>
        <w:bookmarkStart w:id="984" w:name="idm45965275400816"/>
        <w:t/>
        <w:bookmarkEnd w:id="984"/>
      </w:r>
      <w:r>
        <w:rPr>
          <w:rStyle w:val="Text3"/>
        </w:rPr>
        <w:t>P1</w:t>
      </w:r>
      <w:r>
        <w:t xml:space="preserve"> is a pattern, then </w:t>
      </w:r>
      <w:r>
        <w:rPr>
          <w:rStyle w:val="Text0"/>
        </w:rPr>
        <w:t>(</w:t>
      </w:r>
      <w:r>
        <w:rPr>
          <w:rStyle w:val="Text3"/>
        </w:rPr>
        <w:t>P1</w:t>
      </w:r>
      <w:r>
        <w:rPr>
          <w:rStyle w:val="Text0"/>
        </w:rPr>
        <w:t>)</w:t>
      </w:r>
      <w:r>
        <w:t xml:space="preserve"> is also a pattern that matches the same values. This addition of “grouping” parentheses is useful when patterns become complicated, just as it is with standard expressions. Like in other expressions, take care to distinguish between </w:t>
      </w:r>
      <w:r>
        <w:rPr>
          <w:rStyle w:val="Text0"/>
        </w:rPr>
        <w:t>(</w:t>
      </w:r>
      <w:r>
        <w:rPr>
          <w:rStyle w:val="Text3"/>
        </w:rPr>
        <w:t>P1</w:t>
      </w:r>
      <w:r>
        <w:rPr>
          <w:rStyle w:val="Text0"/>
        </w:rPr>
        <w:t>)</w:t>
      </w:r>
      <w:r>
        <w:t xml:space="preserve">, a simple grouped pattern matching </w:t>
      </w:r>
      <w:r>
        <w:rPr>
          <w:rStyle w:val="Text3"/>
        </w:rPr>
        <w:t>P1</w:t>
      </w:r>
      <w:r>
        <w:t xml:space="preserve">, and </w:t>
      </w:r>
      <w:r>
        <w:rPr>
          <w:rStyle w:val="Text0"/>
        </w:rPr>
        <w:t>(</w:t>
      </w:r>
      <w:r>
        <w:rPr>
          <w:rStyle w:val="Text3"/>
        </w:rPr>
        <w:t>P1</w:t>
      </w:r>
      <w:r>
        <w:rPr>
          <w:rStyle w:val="Text0"/>
        </w:rPr>
        <w:t>,)</w:t>
      </w:r>
      <w:r>
        <w:t xml:space="preserve">, a sequence pattern (described next) matching a sequence with a single element matching </w:t>
      </w:r>
      <w:r>
        <w:rPr>
          <w:rStyle w:val="Text3"/>
        </w:rPr>
        <w:t>P1</w:t>
      </w:r>
      <w:r>
        <w:t>.</w:t>
      </w:r>
    </w:p>
    <w:p>
      <w:bookmarkStart w:id="985" w:name="Sequence_patterns__A_list_or_tup"/>
      <w:pPr>
        <w:keepNext/>
        <w:pStyle w:val="Heading 2"/>
      </w:pPr>
      <w:r>
        <w:t>Sequence patterns</w:t>
      </w:r>
      <w:bookmarkEnd w:id="985"/>
    </w:p>
    <w:p>
      <w:pPr>
        <w:pStyle w:val="Normal"/>
      </w:pPr>
      <w:r>
        <w:t>A</w:t>
      </w:r>
      <w:r>
        <w:rPr>
          <w:rStyle w:val="Text111"/>
        </w:rPr>
        <w:bookmarkStart w:id="986" w:name="idm45965275363408"/>
        <w:t/>
        <w:bookmarkEnd w:id="986"/>
        <w:bookmarkStart w:id="987" w:name="idm45965275362000"/>
        <w:t/>
        <w:bookmarkEnd w:id="987"/>
      </w:r>
      <w:r>
        <w:t xml:space="preserve"> list or tuple of patterns, optionally with a single starred wildcard (</w:t>
      </w:r>
      <w:r>
        <w:rPr>
          <w:rStyle w:val="Text0"/>
        </w:rPr>
        <w:t>*_</w:t>
      </w:r>
      <w:r>
        <w:t>) or starred capture pattern (</w:t>
      </w:r>
      <w:r>
        <w:rPr>
          <w:rStyle w:val="Text3"/>
        </w:rPr>
        <w:t>*name</w:t>
      </w:r>
      <w:r>
        <w:t xml:space="preserve">), is a </w:t>
      </w:r>
      <w:r>
        <w:rPr>
          <w:rStyle w:val="Text4"/>
        </w:rPr>
        <w:t>sequence pattern</w:t>
      </w:r>
      <w:r>
        <w:t>. When the starred pattern is absent, the pattern matches a fixed-length sequence of values of the same length as the pattern. Elements of the sequence are matched one at a time, until all elements have matched (then matching succeeds) or an element fails to match (then matching fails).</w:t>
      </w:r>
    </w:p>
    <w:p>
      <w:pPr>
        <w:pStyle w:val="Normal"/>
      </w:pPr>
      <w:r>
        <w:t xml:space="preserve">When the sequence pattern includes a starred pattern, that subpattern matches a sequence of elements sufficiently long to allow the remaining unstarred patterns to match the final elements of the sequence. When the starred pattern is of the form </w:t>
      </w:r>
      <w:r>
        <w:rPr>
          <w:rStyle w:val="Text0"/>
        </w:rPr>
        <w:t>*</w:t>
      </w:r>
      <w:r>
        <w:rPr>
          <w:rStyle w:val="Text3"/>
        </w:rPr>
        <w:t>name</w:t>
      </w:r>
      <w:r>
        <w:t xml:space="preserve">, </w:t>
      </w:r>
      <w:r>
        <w:rPr>
          <w:rStyle w:val="Text3"/>
        </w:rPr>
        <w:t>name</w:t>
      </w:r>
      <w:r>
        <w:t xml:space="preserve"> is bound to the (possibly empty) list of the elements in the middle that don’t correspond to individual patterns at the beginning or end.</w:t>
      </w:r>
    </w:p>
    <w:p>
      <w:pPr>
        <w:pStyle w:val="Normal"/>
      </w:pPr>
      <w:r>
        <w:t>You can match a sequence with patterns that look like tuples or lists—it makes no difference to the matching process. The next example shows an unnecessarily complicated way to extract the first, middle, and last elements of a sequence:</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t xml:space="preserve">sequence</w:t>
        <w:br w:clear="none"/>
      </w:r>
      <w:r>
        <w:rPr>
          <w:rStyle w:val="Text6"/>
        </w:rPr>
        <w:t xml:space="preserve"> </w:t>
        <w:br w:clear="none"/>
      </w:r>
      <w:r>
        <w:rPr>
          <w:rStyle w:val="Text31"/>
        </w:rPr>
        <w:t xml:space="preserve">in</w:t>
        <w:br w:clear="none"/>
      </w:r>
      <w:r>
        <w:rPr>
          <w:rStyle w:val="Text6"/>
        </w:rPr>
        <w:t xml:space="preserve"> </w:t>
        <w:br w:clear="none"/>
      </w:r>
      <w:r>
        <w:rPr>
          <w:rStyle w:val="Text7"/>
        </w:rPr>
        <w:t xml:space="preserve">(</w:t>
        <w:br w:clear="none"/>
        <w:t xml:space="preserve">[</w:t>
        <w:br w:clear="none"/>
      </w:r>
      <w:r>
        <w:rPr>
          <w:rStyle w:val="Text8"/>
        </w:rPr>
        <w:t xml:space="preserve">"</w:t>
        <w:br w:clear="none"/>
        <w:t xml:space="preserve">one</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two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three</w:t>
        <w:br w:clear="none"/>
        <w:t xml:space="preserve">"</w:t>
        <w:br w:clear="none"/>
      </w:r>
      <w:r>
        <w:rPr>
          <w:rStyle w:val="Text7"/>
        </w:rPr>
        <w:t xml:space="preserve">]</w:t>
        <w:br w:clear="none"/>
        <w:t xml:space="preserve">,</w:t>
        <w:br w:clear="none"/>
      </w:r>
      <w:r>
        <w:rPr>
          <w:rStyle w:val="Text6"/>
        </w:rPr>
        <w:t xml:space="preserve"> </w:t>
        <w:br w:clear="none"/>
      </w:r>
      <w:r>
        <w:rPr>
          <w:rStyle w:val="Text16"/>
        </w:rPr>
        <w:t xml:space="preserve">range</w:t>
        <w:br w:clear="none"/>
      </w:r>
      <w:r>
        <w:rPr>
          <w:rStyle w:val="Text7"/>
        </w:rPr>
        <w:t xml:space="preserve">(</w:t>
        <w:br w:clear="none"/>
      </w:r>
      <w:r>
        <w:rPr>
          <w:rStyle w:val="Text27"/>
        </w:rPr>
        <w:t xml:space="preserve">2</w:t>
        <w:br w:clear="none"/>
      </w:r>
      <w:r>
        <w:rPr>
          <w:rStyle w:val="Text7"/>
        </w:rPr>
        <w:t xml:space="preserve">)</w:t>
        <w:br w:clear="none"/>
        <w:t xml:space="preserve">,</w:t>
        <w:br w:clear="none"/>
      </w:r>
      <w:r>
        <w:rPr>
          <w:rStyle w:val="Text6"/>
        </w:rPr>
        <w:t xml:space="preserve"> </w:t>
        <w:br w:clear="none"/>
      </w:r>
      <w:r>
        <w:rPr>
          <w:rStyle w:val="Text16"/>
        </w:rPr>
        <w:t xml:space="preserve">range</w:t>
        <w:br w:clear="none"/>
      </w:r>
      <w:r>
        <w:rPr>
          <w:rStyle w:val="Text7"/>
        </w:rPr>
        <w:t xml:space="preserve">(</w:t>
        <w:br w:clear="none"/>
      </w:r>
      <w:r>
        <w:rPr>
          <w:rStyle w:val="Text27"/>
        </w:rPr>
        <w:t xml:space="preserve">6</w:t>
        <w:br w:clear="none"/>
      </w:r>
      <w:r>
        <w:rPr>
          <w:rStyle w:val="Text7"/>
        </w:rPr>
        <w:t xml:space="preserve">)</w:t>
        <w:br w:clear="none"/>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7"/>
        </w:rPr>
        <w:t xml:space="preserve">match</w:t>
        <w:br w:clear="none"/>
      </w:r>
      <w:r>
        <w:rPr>
          <w:rStyle w:val="Text6"/>
        </w:rPr>
        <w:t xml:space="preserve"> </w:t>
        <w:br w:clear="none"/>
      </w:r>
      <w:r>
        <w:t xml:space="preserve">sequence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7"/>
        </w:rPr>
        <w:t xml:space="preserve">case</w:t>
        <w:br w:clear="none"/>
      </w:r>
      <w:r>
        <w:rPr>
          <w:rStyle w:val="Text6"/>
        </w:rPr>
        <w:t xml:space="preserve">  </w:t>
        <w:br w:clear="none"/>
      </w:r>
      <w:r>
        <w:rPr>
          <w:rStyle w:val="Text7"/>
        </w:rPr>
        <w:t xml:space="preserve">(</w:t>
        <w:br w:clear="none"/>
      </w:r>
      <w:r>
        <w:t xml:space="preserve">first</w:t>
        <w:br w:clear="none"/>
      </w:r>
      <w:r>
        <w:rPr>
          <w:rStyle w:val="Text7"/>
        </w:rPr>
        <w:t xml:space="preserve">,</w:t>
        <w:br w:clear="none"/>
      </w:r>
      <w:r>
        <w:rPr>
          <w:rStyle w:val="Text6"/>
        </w:rPr>
        <w:t xml:space="preserve"> </w:t>
        <w:br w:clear="none"/>
      </w:r>
      <w:r>
        <w:rPr>
          <w:rStyle w:val="Text13"/>
        </w:rPr>
        <w:t xml:space="preserve">*</w:t>
        <w:br w:clear="none"/>
      </w:r>
      <w:r>
        <w:rPr>
          <w:rStyle w:val="Text16"/>
        </w:rPr>
        <w:t xml:space="preserve">vars</w:t>
        <w:br w:clear="none"/>
      </w:r>
      <w:r>
        <w:rPr>
          <w:rStyle w:val="Text7"/>
        </w:rPr>
        <w:t xml:space="preserve">,</w:t>
        <w:br w:clear="none"/>
      </w:r>
      <w:r>
        <w:rPr>
          <w:rStyle w:val="Text6"/>
        </w:rPr>
        <w:t xml:space="preserve"> </w:t>
        <w:br w:clear="none"/>
      </w:r>
      <w:r>
        <w:t xml:space="preserve">last</w:t>
        <w:br w:clear="none"/>
      </w:r>
      <w:r>
        <w:rPr>
          <w:rStyle w:val="Text7"/>
        </w:rPr>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first</w:t>
        <w:br w:clear="none"/>
      </w:r>
      <w:r>
        <w:rPr>
          <w:rStyle w:val="Text7"/>
        </w:rPr>
        <w:t xml:space="preserve">,</w:t>
        <w:br w:clear="none"/>
      </w:r>
      <w:r>
        <w:rPr>
          <w:rStyle w:val="Text6"/>
        </w:rPr>
        <w:t xml:space="preserve"> </w:t>
        <w:br w:clear="none"/>
      </w:r>
      <w:r>
        <w:rPr>
          <w:rStyle w:val="Text16"/>
        </w:rPr>
        <w:t xml:space="preserve">vars</w:t>
        <w:br w:clear="none"/>
      </w:r>
      <w:r>
        <w:rPr>
          <w:rStyle w:val="Text7"/>
        </w:rPr>
        <w:t xml:space="preserve">,</w:t>
        <w:br w:clear="none"/>
      </w:r>
      <w:r>
        <w:rPr>
          <w:rStyle w:val="Text6"/>
        </w:rPr>
        <w:t xml:space="preserve"> </w:t>
        <w:br w:clear="none"/>
      </w:r>
      <w:r>
        <w:t xml:space="preserve">last</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one ['two'] three</w:t>
        <w:br w:clear="none"/>
      </w:r>
      <w:r>
        <w:rPr>
          <w:rStyle w:val="Text48"/>
        </w:rPr>
        <w:t xml:space="preserve"/>
        <w:br w:clear="none"/>
      </w:r>
      <w:r>
        <w:t xml:space="preserve">0 [] 1</w:t>
        <w:br w:clear="none"/>
      </w:r>
      <w:r>
        <w:rPr>
          <w:rStyle w:val="Text48"/>
        </w:rPr>
        <w:t xml:space="preserve"/>
        <w:br w:clear="none"/>
      </w:r>
      <w:r>
        <w:t xml:space="preserve">0 [1, 2, 3, 4] 5</w:t>
        <w:br w:clear="none"/>
      </w:r>
    </w:p>
    <w:p>
      <w:bookmarkStart w:id="988" w:name="as_patterns__You_can_use_so_call"/>
      <w:pPr>
        <w:keepNext/>
        <w:pStyle w:val="Heading 2"/>
      </w:pPr>
      <w:r>
        <w:t>as patterns</w:t>
      </w:r>
      <w:bookmarkEnd w:id="988"/>
    </w:p>
    <w:p>
      <w:pPr>
        <w:pStyle w:val="Normal"/>
      </w:pPr>
      <w:r>
        <w:t>You</w:t>
      </w:r>
      <w:r>
        <w:rPr>
          <w:rStyle w:val="Text111"/>
        </w:rPr>
        <w:bookmarkStart w:id="989" w:name="idm45965275246784"/>
        <w:t/>
        <w:bookmarkEnd w:id="989"/>
        <w:bookmarkStart w:id="990" w:name="idm45965275245376"/>
        <w:t/>
        <w:bookmarkEnd w:id="990"/>
      </w:r>
      <w:r>
        <w:t xml:space="preserve"> can use so-called </w:t>
      </w:r>
      <w:r>
        <w:rPr>
          <w:rStyle w:val="Text40"/>
        </w:rPr>
        <w:t>as</w:t>
      </w:r>
      <w:r>
        <w:t xml:space="preserve"> </w:t>
      </w:r>
      <w:r>
        <w:rPr>
          <w:rStyle w:val="Text4"/>
        </w:rPr>
        <w:t>patterns</w:t>
      </w:r>
      <w:r>
        <w:t xml:space="preserve"> to capture values matched by more complex patterns, or components of a pattern, that simple capture patterns (see </w:t>
      </w:r>
      <w:hyperlink w:anchor="Capture_patterns__The_use_of_unq">
        <w:r>
          <w:rPr>
            <w:rStyle w:val="Text1"/>
          </w:rPr>
          <w:t>“Capture patterns”</w:t>
        </w:r>
      </w:hyperlink>
      <w:r>
        <w:t>) cannot.</w:t>
      </w:r>
    </w:p>
    <w:p>
      <w:pPr>
        <w:pStyle w:val="Normal"/>
      </w:pPr>
      <w:r>
        <w:t xml:space="preserve">When </w:t>
      </w:r>
      <w:r>
        <w:rPr>
          <w:rStyle w:val="Text3"/>
        </w:rPr>
        <w:t>P1</w:t>
      </w:r>
      <w:r>
        <w:t xml:space="preserve"> is a pattern, then </w:t>
      </w:r>
      <w:r>
        <w:rPr>
          <w:rStyle w:val="Text3"/>
        </w:rPr>
        <w:t>P1</w:t>
      </w:r>
      <w:r>
        <w:t xml:space="preserve"> </w:t>
      </w:r>
      <w:r>
        <w:rPr>
          <w:rStyle w:val="Text5"/>
        </w:rPr>
        <w:t>as</w:t>
      </w:r>
      <w:r>
        <w:t xml:space="preserve"> </w:t>
      </w:r>
      <w:r>
        <w:rPr>
          <w:rStyle w:val="Text3"/>
        </w:rPr>
        <w:t>name</w:t>
      </w:r>
      <w:r>
        <w:t xml:space="preserve"> is also a pattern; when </w:t>
      </w:r>
      <w:r>
        <w:rPr>
          <w:rStyle w:val="Text3"/>
        </w:rPr>
        <w:t>P1</w:t>
      </w:r>
      <w:r>
        <w:t xml:space="preserve"> succeeds, Python binds the matched value to the name </w:t>
      </w:r>
      <w:r>
        <w:rPr>
          <w:rStyle w:val="Text3"/>
        </w:rPr>
        <w:t>name</w:t>
      </w:r>
      <w:r>
        <w:t xml:space="preserve"> in the local namespace. The interpreter tries to ensure that, even with complicated patterns, the same bindings always take place when a match occurs. Therefore, each of the next two examples raises </w:t>
      </w:r>
      <w:r>
        <w:rPr>
          <w:rStyle w:val="Text0"/>
        </w:rPr>
        <w:t>SyntaxError</w:t>
      </w:r>
      <w:r>
        <w:t>, because the constraint cannot be guaranteed:</w:t>
      </w:r>
      <w:r>
        <w:rPr>
          <w:rStyle w:val="Text111"/>
        </w:rPr>
        <w:bookmarkStart w:id="991" w:name="idm45965275279552"/>
        <w:t/>
        <w:bookmarkEnd w:id="991"/>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7"/>
        </w:rPr>
        <w:t xml:space="preserve">(</w:t>
        <w:br w:clear="none"/>
        <w:t xml:space="preserve">(</w:t>
        <w:br w:clear="none"/>
      </w:r>
      <w:r>
        <w:rPr>
          <w:rStyle w:val="Text27"/>
        </w:rPr>
        <w:t xml:space="preserve">0</w:t>
        <w:br w:clear="none"/>
      </w:r>
      <w:r>
        <w:t xml:space="preserve"> </w:t>
        <w:br w:clear="none"/>
      </w:r>
      <w:r>
        <w:rPr>
          <w:rStyle w:val="Text13"/>
        </w:rPr>
        <w:t xml:space="preserve">|</w:t>
        <w:br w:clear="none"/>
      </w:r>
      <w:r>
        <w:t xml:space="preserve"> </w:t>
        <w:br w:clear="none"/>
      </w:r>
      <w:r>
        <w:rPr>
          <w:rStyle w:val="Text27"/>
        </w:rPr>
        <w:t xml:space="preserve">1</w:t>
        <w:br w:clear="none"/>
      </w:r>
      <w:r>
        <w:rPr>
          <w:rStyle w:val="Text7"/>
        </w:rPr>
        <w:t xml:space="preserve">)</w:t>
        <w:br w:clear="none"/>
      </w:r>
      <w:r>
        <w:t xml:space="preserve"> </w:t>
        <w:br w:clear="none"/>
      </w:r>
      <w:r>
        <w:rPr>
          <w:rStyle w:val="Text10"/>
        </w:rPr>
        <w:t xml:space="preserve">as</w:t>
        <w:br w:clear="none"/>
      </w:r>
      <w:r>
        <w:t xml:space="preserve"> </w:t>
        <w:br w:clear="none"/>
      </w:r>
      <w:r>
        <w:rPr>
          <w:rStyle w:val="Text9"/>
        </w:rPr>
        <w:t xml:space="preserve">x</w:t>
        <w:br w:clear="none"/>
      </w:r>
      <w:r>
        <w:rPr>
          <w:rStyle w:val="Text7"/>
        </w:rPr>
        <w:t xml:space="preserve">)</w:t>
        <w:br w:clear="none"/>
      </w:r>
      <w:r>
        <w:t xml:space="preserve"> </w:t>
        <w:br w:clear="none"/>
      </w:r>
      <w:r>
        <w:rPr>
          <w:rStyle w:val="Text13"/>
        </w:rPr>
        <w:t xml:space="preserve">|</w:t>
        <w:br w:clear="none"/>
      </w:r>
      <w:r>
        <w:t xml:space="preserve"> </w:t>
        <w:br w:clear="none"/>
      </w:r>
      <w:r>
        <w:rPr>
          <w:rStyle w:val="Text27"/>
        </w:rPr>
        <w:t xml:space="preserve">2</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SyntaxError: alternative patterns bind different names</w:t>
        <w:br w:clear="none"/>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7"/>
        </w:rPr>
        <w:t xml:space="preserve">(</w:t>
        <w:br w:clear="none"/>
      </w:r>
      <w:r>
        <w:rPr>
          <w:rStyle w:val="Text27"/>
        </w:rPr>
        <w:t xml:space="preserve">2</w:t>
        <w:br w:clear="none"/>
      </w:r>
      <w:r>
        <w:t xml:space="preserve"> </w:t>
        <w:br w:clear="none"/>
      </w:r>
      <w:r>
        <w:rPr>
          <w:rStyle w:val="Text13"/>
        </w:rPr>
        <w:t xml:space="preserve">|</w:t>
        <w:br w:clear="none"/>
      </w:r>
      <w:r>
        <w:t xml:space="preserve"> </w:t>
        <w:br w:clear="none"/>
      </w:r>
      <w:r>
        <w:rPr>
          <w:rStyle w:val="Text9"/>
        </w:rPr>
        <w:t xml:space="preserve">x</w:t>
        <w:br w:clear="none"/>
      </w:r>
      <w:r>
        <w:rPr>
          <w:rStyle w:val="Text7"/>
        </w:rPr>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SyntaxError: alternative patterns bind different names</w:t>
        <w:br w:clear="none"/>
      </w:r>
    </w:p>
    <w:p>
      <w:pPr>
        <w:pStyle w:val="Normal"/>
      </w:pPr>
      <w:r>
        <w:t>But this one works:</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38"/>
        </w:rPr>
        <w:t xml:space="preserve">match</w:t>
        <w:br w:clear="none"/>
      </w:r>
      <w:r>
        <w:t xml:space="preserve"> </w:t>
        <w:br w:clear="none"/>
      </w:r>
      <w:r>
        <w:rPr>
          <w:rStyle w:val="Text27"/>
        </w:rPr>
        <w:t xml:space="preserve">42</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7"/>
        </w:rPr>
        <w:t xml:space="preserve">(</w:t>
        <w:br w:clear="none"/>
      </w:r>
      <w:r>
        <w:rPr>
          <w:rStyle w:val="Text27"/>
        </w:rPr>
        <w:t xml:space="preserve">1</w:t>
        <w:br w:clear="none"/>
      </w:r>
      <w:r>
        <w:t xml:space="preserve"> </w:t>
        <w:br w:clear="none"/>
      </w:r>
      <w:r>
        <w:rPr>
          <w:rStyle w:val="Text13"/>
        </w:rPr>
        <w:t xml:space="preserve">|</w:t>
        <w:br w:clear="none"/>
      </w:r>
      <w:r>
        <w:t xml:space="preserve"> </w:t>
        <w:br w:clear="none"/>
      </w:r>
      <w:r>
        <w:rPr>
          <w:rStyle w:val="Text27"/>
        </w:rPr>
        <w:t xml:space="preserve">2</w:t>
        <w:br w:clear="none"/>
      </w:r>
      <w:r>
        <w:t xml:space="preserve"> </w:t>
        <w:br w:clear="none"/>
      </w:r>
      <w:r>
        <w:rPr>
          <w:rStyle w:val="Text13"/>
        </w:rPr>
        <w:t xml:space="preserve">|</w:t>
        <w:br w:clear="none"/>
      </w:r>
      <w:r>
        <w:t xml:space="preserve"> </w:t>
        <w:br w:clear="none"/>
      </w:r>
      <w:r>
        <w:rPr>
          <w:rStyle w:val="Text27"/>
        </w:rPr>
        <w:t xml:space="preserve">42</w:t>
        <w:br w:clear="none"/>
      </w:r>
      <w:r>
        <w:rPr>
          <w:rStyle w:val="Text7"/>
        </w:rPr>
        <w:t xml:space="preserve">)</w:t>
        <w:br w:clear="none"/>
      </w:r>
      <w:r>
        <w:t xml:space="preserve"> </w:t>
        <w:br w:clear="none"/>
      </w:r>
      <w:r>
        <w:rPr>
          <w:rStyle w:val="Text10"/>
        </w:rPr>
        <w:t xml:space="preserve">as</w:t>
        <w:br w:clear="none"/>
      </w:r>
      <w:r>
        <w:t xml:space="preserve"> </w:t>
        <w:br w:clear="none"/>
      </w:r>
      <w:r>
        <w:rPr>
          <w:rStyle w:val="Text9"/>
        </w:rPr>
        <w:t xml:space="preserve">x</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42</w:t>
        <w:br w:clear="none"/>
      </w:r>
    </w:p>
    <w:p>
      <w:bookmarkStart w:id="992" w:name="Mapping_patterns__Mapping_patter"/>
      <w:pPr>
        <w:keepNext/>
        <w:pStyle w:val="Heading 2"/>
      </w:pPr>
      <w:r>
        <w:t>Mapping patterns</w:t>
      </w:r>
      <w:bookmarkEnd w:id="992"/>
    </w:p>
    <w:p>
      <w:pPr>
        <w:pStyle w:val="Normal"/>
      </w:pPr>
      <w:r>
        <w:rPr>
          <w:rStyle w:val="Text4"/>
        </w:rPr>
        <w:t>Mapping patterns</w:t>
      </w:r>
      <w:r>
        <w:t xml:space="preserve"> match</w:t>
      </w:r>
      <w:r>
        <w:rPr>
          <w:rStyle w:val="Text111"/>
        </w:rPr>
        <w:bookmarkStart w:id="993" w:name="idm45965279586432"/>
        <w:t/>
        <w:bookmarkEnd w:id="993"/>
        <w:bookmarkStart w:id="994" w:name="idm45965279585024"/>
        <w:t/>
        <w:bookmarkEnd w:id="994"/>
        <w:bookmarkStart w:id="995" w:name="idm45965279583920"/>
        <w:t/>
        <w:bookmarkEnd w:id="995"/>
      </w:r>
      <w:r>
        <w:t xml:space="preserve"> mapping objects, usually dictionaries, that associate keys with values. The syntax of mapping patterns uses </w:t>
      </w:r>
      <w:r>
        <w:rPr>
          <w:rStyle w:val="Text3"/>
        </w:rPr>
        <w:t>key</w:t>
      </w:r>
      <w:r>
        <w:rPr>
          <w:rStyle w:val="Text0"/>
        </w:rPr>
        <w:t>:</w:t>
      </w:r>
      <w:r>
        <w:t xml:space="preserve"> </w:t>
      </w:r>
      <w:r>
        <w:rPr>
          <w:rStyle w:val="Text3"/>
        </w:rPr>
        <w:t>pattern</w:t>
      </w:r>
      <w:r>
        <w:t xml:space="preserve"> pairs. The keys must be either literal or value patterns.</w:t>
      </w:r>
    </w:p>
    <w:p>
      <w:pPr>
        <w:pStyle w:val="Normal"/>
      </w:pPr>
      <w:r>
        <w:t>The interpreter iterates over the keys in the mapping pattern, processing each as follows:</w:t>
      </w:r>
    </w:p>
    <w:p>
      <w:pPr>
        <w:pStyle w:val="Para 010"/>
      </w:pPr>
      <w:r>
        <w:t>Python looks up the key in the subject mapping; a lookup failure causes an immediate match failure.</w:t>
      </w:r>
    </w:p>
    <w:p>
      <w:pPr>
        <w:pStyle w:val="Para 010"/>
      </w:pPr>
      <w:r>
        <w:t>Python then matches the extracted value against the pattern associated with the key; if the value fails to match the pattern, then the whole match fails.</w:t>
      </w:r>
    </w:p>
    <w:p>
      <w:pPr>
        <w:pStyle w:val="Normal"/>
      </w:pPr>
      <w:r>
        <w:t>When all keys (and associated values) in the mapping pattern match, the whole match succeeds:</w:t>
      </w:r>
    </w:p>
    <w:p>
      <w:pPr>
        <w:pStyle w:val="Para 069"/>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38"/>
        </w:rPr>
        <w:t xml:space="preserve">match</w:t>
        <w:br w:clear="none"/>
      </w:r>
      <w:r>
        <w:rPr>
          <w:rStyle w:val="Text6"/>
        </w:rPr>
        <w:t xml:space="preserve"> </w:t>
        <w:br w:clear="none"/>
      </w:r>
      <w:r>
        <w:t xml:space="preserve">{</w:t>
        <w:br w:clear="none"/>
      </w:r>
      <w:r>
        <w:rPr>
          <w:rStyle w:val="Text27"/>
        </w:rPr>
        <w:t xml:space="preserve">1</w:t>
        <w:br w:clear="none"/>
      </w:r>
      <w:r>
        <w:t xml:space="preserve">:</w:t>
        <w:br w:clear="none"/>
      </w:r>
      <w:r>
        <w:rPr>
          <w:rStyle w:val="Text6"/>
        </w:rPr>
        <w:t xml:space="preserve"> </w:t>
        <w:br w:clear="none"/>
      </w:r>
      <w:r>
        <w:rPr>
          <w:rStyle w:val="Text8"/>
        </w:rPr>
        <w:t xml:space="preserve">"</w:t>
        <w:br w:clear="none"/>
        <w:t xml:space="preserve">two</w:t>
        <w:br w:clear="none"/>
        <w:t xml:space="preserve">"</w:t>
        <w:br w:clear="none"/>
      </w:r>
      <w:r>
        <w:t xml:space="preserve">,</w:t>
        <w:br w:clear="none"/>
      </w:r>
      <w:r>
        <w:rPr>
          <w:rStyle w:val="Text6"/>
        </w:rPr>
        <w:t xml:space="preserve"> </w:t>
        <w:br w:clear="none"/>
      </w:r>
      <w:r>
        <w:rPr>
          <w:rStyle w:val="Text8"/>
        </w:rPr>
        <w:t xml:space="preserve">"</w:t>
        <w:br w:clear="none"/>
        <w:t xml:space="preserve">two</w:t>
        <w:br w:clear="none"/>
        <w:t xml:space="preserve">"</w:t>
        <w:br w:clear="none"/>
      </w:r>
      <w:r>
        <w:t xml:space="preserve">:</w:t>
        <w:br w:clear="none"/>
      </w:r>
      <w:r>
        <w:rPr>
          <w:rStyle w:val="Text6"/>
        </w:rPr>
        <w:t xml:space="preserve"> </w:t>
        <w:br w:clear="none"/>
      </w:r>
      <w:r>
        <w:rPr>
          <w:rStyle w:val="Text27"/>
        </w:rPr>
        <w:t xml:space="preserve">1</w:t>
        <w:br w:clear="none"/>
      </w:r>
      <w: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29"/>
        </w:rPr>
        <w:t xml:space="preserve">    </w:t>
        <w:br w:clear="none"/>
      </w:r>
      <w:r>
        <w:rPr>
          <w:rStyle w:val="Text38"/>
        </w:rPr>
        <w:t xml:space="preserve">case</w:t>
        <w:br w:clear="none"/>
      </w:r>
      <w:r>
        <w:rPr>
          <w:rStyle w:val="Text6"/>
        </w:rPr>
        <w:t xml:space="preserve"> </w:t>
        <w:br w:clear="none"/>
      </w:r>
      <w:r>
        <w:t xml:space="preserve">{</w:t>
        <w:br w:clear="none"/>
      </w:r>
      <w:r>
        <w:rPr>
          <w:rStyle w:val="Text27"/>
        </w:rPr>
        <w:t xml:space="preserve">1</w:t>
        <w:br w:clear="none"/>
      </w:r>
      <w:r>
        <w:t xml:space="preserve">:</w:t>
        <w:br w:clear="none"/>
      </w:r>
      <w:r>
        <w:rPr>
          <w:rStyle w:val="Text6"/>
        </w:rPr>
        <w:t xml:space="preserve"> </w:t>
        <w:br w:clear="none"/>
      </w:r>
      <w:r>
        <w:rPr>
          <w:rStyle w:val="Text9"/>
        </w:rPr>
        <w:t xml:space="preserve">v1</w:t>
        <w:br w:clear="none"/>
      </w:r>
      <w:r>
        <w:t xml:space="preserve">,</w:t>
        <w:br w:clear="none"/>
      </w:r>
      <w:r>
        <w:rPr>
          <w:rStyle w:val="Text6"/>
        </w:rPr>
        <w:t xml:space="preserve"> </w:t>
        <w:br w:clear="none"/>
      </w:r>
      <w:r>
        <w:rPr>
          <w:rStyle w:val="Text8"/>
        </w:rPr>
        <w:t xml:space="preserve">"</w:t>
        <w:br w:clear="none"/>
        <w:t xml:space="preserve">two</w:t>
        <w:br w:clear="none"/>
        <w:t xml:space="preserve">"</w:t>
        <w:br w:clear="none"/>
      </w:r>
      <w:r>
        <w:t xml:space="preserve">:</w:t>
        <w:br w:clear="none"/>
      </w:r>
      <w:r>
        <w:rPr>
          <w:rStyle w:val="Text6"/>
        </w:rPr>
        <w:t xml:space="preserve"> </w:t>
        <w:br w:clear="none"/>
      </w:r>
      <w:r>
        <w:rPr>
          <w:rStyle w:val="Text9"/>
        </w:rPr>
        <w:t xml:space="preserve">v2</w:t>
        <w:br w:clear="none"/>
      </w:r>
      <w:r>
        <w:t xml:space="preserve">}</w:t>
        <w:br w:clear="none"/>
        <w:t xml:space="preserve">:</w:t>
        <w:br w:clear="none"/>
      </w:r>
      <w:r>
        <w:rPr>
          <w:rStyle w:val="Text6"/>
        </w:rPr>
        <w:t xml:space="preserve"> </w:t>
        <w:br w:clear="none"/>
      </w:r>
      <w:r>
        <w:rPr>
          <w:rStyle w:val="Text16"/>
        </w:rPr>
        <w:t xml:space="preserve">print</w:t>
        <w:br w:clear="none"/>
      </w:r>
      <w:r>
        <w:t xml:space="preserve">(</w:t>
        <w:br w:clear="none"/>
      </w:r>
      <w:r>
        <w:rPr>
          <w:rStyle w:val="Text9"/>
        </w:rPr>
        <w:t xml:space="preserve">v1</w:t>
        <w:br w:clear="none"/>
      </w:r>
      <w:r>
        <w:t xml:space="preserve">,</w:t>
        <w:br w:clear="none"/>
      </w:r>
      <w:r>
        <w:rPr>
          <w:rStyle w:val="Text6"/>
        </w:rPr>
        <w:t xml:space="preserve"> </w:t>
        <w:br w:clear="none"/>
      </w:r>
      <w:r>
        <w:rPr>
          <w:rStyle w:val="Text9"/>
        </w:rPr>
        <w:t xml:space="preserve">v2</w:t>
        <w:br w:clear="none"/>
      </w:r>
      <w: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two 1</w:t>
        <w:br w:clear="none"/>
      </w:r>
    </w:p>
    <w:p>
      <w:pPr>
        <w:pStyle w:val="Normal"/>
      </w:pPr>
      <w:r>
        <w:t xml:space="preserve">You can also use a mapping pattern together with an </w:t>
      </w:r>
      <w:r>
        <w:rPr>
          <w:rStyle w:val="Text5"/>
        </w:rPr>
        <w:t>as</w:t>
      </w:r>
      <w:r>
        <w:t xml:space="preserve"> clause:</w:t>
      </w:r>
    </w:p>
    <w:p>
      <w:pPr>
        <w:pStyle w:val="Para 069"/>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38"/>
        </w:rPr>
        <w:t xml:space="preserve">match</w:t>
        <w:br w:clear="none"/>
      </w:r>
      <w:r>
        <w:rPr>
          <w:rStyle w:val="Text6"/>
        </w:rPr>
        <w:t xml:space="preserve"> </w:t>
        <w:br w:clear="none"/>
      </w:r>
      <w:r>
        <w:t xml:space="preserve">{</w:t>
        <w:br w:clear="none"/>
      </w:r>
      <w:r>
        <w:rPr>
          <w:rStyle w:val="Text27"/>
        </w:rPr>
        <w:t xml:space="preserve">1</w:t>
        <w:br w:clear="none"/>
      </w:r>
      <w:r>
        <w:t xml:space="preserve">:</w:t>
        <w:br w:clear="none"/>
      </w:r>
      <w:r>
        <w:rPr>
          <w:rStyle w:val="Text6"/>
        </w:rPr>
        <w:t xml:space="preserve"> </w:t>
        <w:br w:clear="none"/>
      </w:r>
      <w:r>
        <w:rPr>
          <w:rStyle w:val="Text8"/>
        </w:rPr>
        <w:t xml:space="preserve">"</w:t>
        <w:br w:clear="none"/>
        <w:t xml:space="preserve">two</w:t>
        <w:br w:clear="none"/>
        <w:t xml:space="preserve">"</w:t>
        <w:br w:clear="none"/>
      </w:r>
      <w:r>
        <w:t xml:space="preserve">,</w:t>
        <w:br w:clear="none"/>
      </w:r>
      <w:r>
        <w:rPr>
          <w:rStyle w:val="Text6"/>
        </w:rPr>
        <w:t xml:space="preserve"> </w:t>
        <w:br w:clear="none"/>
      </w:r>
      <w:r>
        <w:rPr>
          <w:rStyle w:val="Text8"/>
        </w:rPr>
        <w:t xml:space="preserve">"</w:t>
        <w:br w:clear="none"/>
        <w:t xml:space="preserve">two</w:t>
        <w:br w:clear="none"/>
        <w:t xml:space="preserve">"</w:t>
        <w:br w:clear="none"/>
      </w:r>
      <w:r>
        <w:t xml:space="preserve">:</w:t>
        <w:br w:clear="none"/>
      </w:r>
      <w:r>
        <w:rPr>
          <w:rStyle w:val="Text6"/>
        </w:rPr>
        <w:t xml:space="preserve"> </w:t>
        <w:br w:clear="none"/>
      </w:r>
      <w:r>
        <w:rPr>
          <w:rStyle w:val="Text27"/>
        </w:rPr>
        <w:t xml:space="preserve">1</w:t>
        <w:br w:clear="none"/>
      </w:r>
      <w: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29"/>
        </w:rPr>
        <w:t xml:space="preserve">    </w:t>
        <w:br w:clear="none"/>
      </w:r>
      <w:r>
        <w:rPr>
          <w:rStyle w:val="Text38"/>
        </w:rPr>
        <w:t xml:space="preserve">case</w:t>
        <w:br w:clear="none"/>
      </w:r>
      <w:r>
        <w:rPr>
          <w:rStyle w:val="Text6"/>
        </w:rPr>
        <w:t xml:space="preserve"> </w:t>
        <w:br w:clear="none"/>
      </w:r>
      <w:r>
        <w:t xml:space="preserve">{</w:t>
        <w:br w:clear="none"/>
      </w:r>
      <w:r>
        <w:rPr>
          <w:rStyle w:val="Text27"/>
        </w:rPr>
        <w:t xml:space="preserve">1</w:t>
        <w:br w:clear="none"/>
      </w:r>
      <w:r>
        <w:t xml:space="preserve">:</w:t>
        <w:br w:clear="none"/>
      </w:r>
      <w:r>
        <w:rPr>
          <w:rStyle w:val="Text6"/>
        </w:rPr>
        <w:t xml:space="preserve"> </w:t>
        <w:br w:clear="none"/>
      </w:r>
      <w:r>
        <w:rPr>
          <w:rStyle w:val="Text9"/>
        </w:rPr>
        <w:t xml:space="preserve">v1</w:t>
        <w:br w:clear="none"/>
      </w:r>
      <w:r>
        <w:t xml:space="preserve">}</w:t>
        <w:br w:clear="none"/>
      </w:r>
      <w:r>
        <w:rPr>
          <w:rStyle w:val="Text6"/>
        </w:rPr>
        <w:t xml:space="preserve"> </w:t>
        <w:br w:clear="none"/>
      </w:r>
      <w:r>
        <w:rPr>
          <w:rStyle w:val="Text10"/>
        </w:rPr>
        <w:t xml:space="preserve">as</w:t>
        <w:br w:clear="none"/>
      </w:r>
      <w:r>
        <w:rPr>
          <w:rStyle w:val="Text6"/>
        </w:rPr>
        <w:t xml:space="preserve"> </w:t>
        <w:br w:clear="none"/>
      </w:r>
      <w:r>
        <w:rPr>
          <w:rStyle w:val="Text9"/>
        </w:rPr>
        <w:t xml:space="preserve">v2</w:t>
        <w:br w:clear="none"/>
      </w:r>
      <w:r>
        <w:t xml:space="preserve">:</w:t>
        <w:br w:clear="none"/>
      </w:r>
      <w:r>
        <w:rPr>
          <w:rStyle w:val="Text6"/>
        </w:rPr>
        <w:t xml:space="preserve"> </w:t>
        <w:br w:clear="none"/>
      </w:r>
      <w:r>
        <w:rPr>
          <w:rStyle w:val="Text16"/>
        </w:rPr>
        <w:t xml:space="preserve">print</w:t>
        <w:br w:clear="none"/>
      </w:r>
      <w:r>
        <w:t xml:space="preserve">(</w:t>
        <w:br w:clear="none"/>
      </w:r>
      <w:r>
        <w:rPr>
          <w:rStyle w:val="Text9"/>
        </w:rPr>
        <w:t xml:space="preserve">v1</w:t>
        <w:br w:clear="none"/>
      </w:r>
      <w:r>
        <w:t xml:space="preserve">,</w:t>
        <w:br w:clear="none"/>
      </w:r>
      <w:r>
        <w:rPr>
          <w:rStyle w:val="Text6"/>
        </w:rPr>
        <w:t xml:space="preserve"> </w:t>
        <w:br w:clear="none"/>
      </w:r>
      <w:r>
        <w:rPr>
          <w:rStyle w:val="Text9"/>
        </w:rPr>
        <w:t xml:space="preserve">v2</w:t>
        <w:br w:clear="none"/>
      </w:r>
      <w: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two {1: 'two', 'two': 1}</w:t>
        <w:br w:clear="none"/>
      </w:r>
    </w:p>
    <w:p>
      <w:pPr>
        <w:pStyle w:val="Normal"/>
      </w:pPr>
      <w:r>
        <w:t xml:space="preserve">The </w:t>
      </w:r>
      <w:r>
        <w:rPr>
          <w:rStyle w:val="Text5"/>
        </w:rPr>
        <w:t>as</w:t>
      </w:r>
      <w:r>
        <w:t xml:space="preserve"> pattern in the second example binds </w:t>
      </w:r>
      <w:r>
        <w:rPr>
          <w:rStyle w:val="Text3"/>
        </w:rPr>
        <w:t>v2</w:t>
      </w:r>
      <w:r>
        <w:t xml:space="preserve"> to the whole subject dictionary, not just the matched keys.</w:t>
      </w:r>
    </w:p>
    <w:p>
      <w:pPr>
        <w:pStyle w:val="Normal"/>
      </w:pPr>
      <w:r>
        <w:t>The</w:t>
      </w:r>
      <w:r>
        <w:rPr>
          <w:rStyle w:val="Text111"/>
        </w:rPr>
        <w:bookmarkStart w:id="996" w:name="idm45965279425680"/>
        <w:t/>
        <w:bookmarkEnd w:id="996"/>
        <w:bookmarkStart w:id="997" w:name="idm45965279424368"/>
        <w:t/>
        <w:bookmarkEnd w:id="997"/>
      </w:r>
      <w:r>
        <w:t xml:space="preserve"> final element of the pattern may optionally be a double-starred capture pattern such as </w:t>
      </w:r>
      <w:r>
        <w:rPr>
          <w:rStyle w:val="Text0"/>
        </w:rPr>
        <w:t>**</w:t>
      </w:r>
      <w:r>
        <w:rPr>
          <w:rStyle w:val="Text3"/>
        </w:rPr>
        <w:t>name</w:t>
      </w:r>
      <w:r>
        <w:t xml:space="preserve">. When that is the case, Python binds </w:t>
      </w:r>
      <w:r>
        <w:rPr>
          <w:rStyle w:val="Text3"/>
        </w:rPr>
        <w:t>name</w:t>
      </w:r>
      <w:r>
        <w:t xml:space="preserve"> to a possibly empty dictionary whose items are the </w:t>
      </w:r>
      <w:r>
        <w:rPr>
          <w:rStyle w:val="Text0"/>
        </w:rPr>
        <w:t>(</w:t>
      </w:r>
      <w:r>
        <w:rPr>
          <w:rStyle w:val="Text3"/>
        </w:rPr>
        <w:t>key</w:t>
      </w:r>
      <w:r>
        <w:rPr>
          <w:rStyle w:val="Text0"/>
        </w:rPr>
        <w:t>,</w:t>
      </w:r>
      <w:r>
        <w:t xml:space="preserve"> </w:t>
      </w:r>
      <w:r>
        <w:rPr>
          <w:rStyle w:val="Text3"/>
        </w:rPr>
        <w:t>value</w:t>
      </w:r>
      <w:r>
        <w:rPr>
          <w:rStyle w:val="Text0"/>
        </w:rPr>
        <w:t>)</w:t>
      </w:r>
      <w:r>
        <w:t xml:space="preserve"> pairs from the subject mapping whose keys were </w:t>
      </w:r>
      <w:r>
        <w:rPr>
          <w:rStyle w:val="Text4"/>
        </w:rPr>
        <w:t>not</w:t>
      </w:r>
      <w:r>
        <w:t xml:space="preserve"> present in the pattern:</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37"/>
        </w:rPr>
        <w:t xml:space="preserve">match</w:t>
        <w:br w:clear="none"/>
      </w:r>
      <w:r>
        <w:rPr>
          <w:rStyle w:val="Text6"/>
        </w:rPr>
        <w:t xml:space="preserve"> </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8"/>
        </w:rPr>
        <w:t xml:space="preserve">'</w:t>
        <w:br w:clear="none"/>
        <w:t xml:space="preserve">one</w:t>
        <w:br w:clear="none"/>
        <w:t xml:space="preserve">'</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t>
        <w:br w:clear="none"/>
      </w:r>
      <w:r>
        <w:rPr>
          <w:rStyle w:val="Text8"/>
        </w:rPr>
        <w:t xml:space="preserve">'</w:t>
        <w:br w:clear="none"/>
        <w:t xml:space="preserve">two</w:t>
        <w:br w:clear="none"/>
        <w:t xml:space="preserve">'</w:t>
        <w:br w:clear="none"/>
      </w:r>
      <w:r>
        <w:rPr>
          <w:rStyle w:val="Text7"/>
        </w:rPr>
        <w:t xml:space="preserve">,</w:t>
        <w:br w:clear="none"/>
      </w:r>
      <w:r>
        <w:rPr>
          <w:rStyle w:val="Text6"/>
        </w:rPr>
        <w:t xml:space="preserve"> </w:t>
        <w:br w:clear="none"/>
      </w:r>
      <w:r>
        <w:rPr>
          <w:rStyle w:val="Text27"/>
        </w:rPr>
        <w:t xml:space="preserve">3</w:t>
        <w:br w:clear="none"/>
      </w:r>
      <w:r>
        <w:rPr>
          <w:rStyle w:val="Text7"/>
        </w:rPr>
        <w:t xml:space="preserve">:</w:t>
        <w:br w:clear="none"/>
      </w:r>
      <w:r>
        <w:rPr>
          <w:rStyle w:val="Text6"/>
        </w:rPr>
        <w:t xml:space="preserve"> </w:t>
        <w:br w:clear="none"/>
      </w:r>
      <w:r>
        <w:rPr>
          <w:rStyle w:val="Text8"/>
        </w:rPr>
        <w:t xml:space="preserve">'</w:t>
        <w:br w:clear="none"/>
        <w:t xml:space="preserve">three</w:t>
        <w:br w:clear="none"/>
        <w:t xml:space="preserve">'</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7"/>
        </w:rPr>
        <w:t xml:space="preserve">case</w:t>
        <w:br w:clear="none"/>
      </w:r>
      <w:r>
        <w:rPr>
          <w:rStyle w:val="Text6"/>
        </w:rPr>
        <w:t xml:space="preserve"> </w:t>
        <w:br w:clear="none"/>
      </w:r>
      <w:r>
        <w:rPr>
          <w:rStyle w:val="Text7"/>
        </w:rPr>
        <w:t xml:space="preserve">{</w:t>
        <w:br w:clear="none"/>
      </w:r>
      <w:r>
        <w:rPr>
          <w:rStyle w:val="Text27"/>
        </w:rPr>
        <w:t xml:space="preserve">2</w:t>
        <w:br w:clear="none"/>
      </w:r>
      <w:r>
        <w:rPr>
          <w:rStyle w:val="Text7"/>
        </w:rPr>
        <w:t xml:space="preserve">:</w:t>
        <w:br w:clear="none"/>
      </w:r>
      <w:r>
        <w:rPr>
          <w:rStyle w:val="Text6"/>
        </w:rPr>
        <w:t xml:space="preserve"> </w:t>
        <w:br w:clear="none"/>
      </w:r>
      <w:r>
        <w:t xml:space="preserve">middle</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others</w:t>
        <w:br w:clear="none"/>
      </w:r>
      <w:r>
        <w:rPr>
          <w:rStyle w:val="Text7"/>
        </w:rPr>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middle</w:t>
        <w:br w:clear="none"/>
      </w:r>
      <w:r>
        <w:rPr>
          <w:rStyle w:val="Text7"/>
        </w:rPr>
        <w:t xml:space="preserve">,</w:t>
        <w:br w:clear="none"/>
      </w:r>
      <w:r>
        <w:rPr>
          <w:rStyle w:val="Text6"/>
        </w:rPr>
        <w:t xml:space="preserve"> </w:t>
        <w:br w:clear="none"/>
      </w:r>
      <w:r>
        <w:t xml:space="preserve">others</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two {1: 'one', 3: 'three'}</w:t>
        <w:br w:clear="none"/>
      </w:r>
    </w:p>
    <w:p>
      <w:bookmarkStart w:id="998" w:name="Class_patterns__The_final_and_ma"/>
      <w:pPr>
        <w:keepNext/>
        <w:pStyle w:val="Heading 2"/>
      </w:pPr>
      <w:r>
        <w:t>Class patterns</w:t>
      </w:r>
      <w:bookmarkEnd w:id="998"/>
    </w:p>
    <w:p>
      <w:pPr>
        <w:pStyle w:val="Normal"/>
      </w:pPr>
      <w:r>
        <w:t>The</w:t>
      </w:r>
      <w:r>
        <w:rPr>
          <w:rStyle w:val="Text111"/>
        </w:rPr>
        <w:bookmarkStart w:id="999" w:name="idm45965279358976"/>
        <w:t/>
        <w:bookmarkEnd w:id="999"/>
        <w:bookmarkStart w:id="1000" w:name="idm45965279357568"/>
        <w:t/>
        <w:bookmarkEnd w:id="1000"/>
      </w:r>
      <w:r>
        <w:t xml:space="preserve"> final and maybe the most versatile kind of pattern is the </w:t>
      </w:r>
      <w:r>
        <w:rPr>
          <w:rStyle w:val="Text4"/>
        </w:rPr>
        <w:t>class pattern</w:t>
      </w:r>
      <w:r>
        <w:t>, offering the ability to match instances of particular classes and their attributes.</w:t>
      </w:r>
    </w:p>
    <w:p>
      <w:pPr>
        <w:pStyle w:val="Normal"/>
      </w:pPr>
      <w:r>
        <w:t>A class pattern is of the general form:</w:t>
      </w:r>
    </w:p>
    <w:p>
      <w:pPr>
        <w:pStyle w:val="Para 042"/>
      </w:pPr>
      <w:r>
        <w:rPr>
          <w:rStyle w:val="Text55"/>
        </w:rPr>
        <w:t xml:space="preserve"/>
        <w:br w:clear="none"/>
      </w:r>
      <w:r>
        <w:t xml:space="preserve">name_or_attr</w:t>
        <w:br w:clear="none"/>
      </w:r>
      <w:r>
        <w:rPr>
          <w:rStyle w:val="Text55"/>
        </w:rPr>
        <w:t xml:space="preserve">(</w:t>
        <w:br w:clear="none"/>
      </w:r>
      <w:r>
        <w:t xml:space="preserve">patterns</w:t>
        <w:br w:clear="none"/>
      </w:r>
      <w:r>
        <w:rPr>
          <w:rStyle w:val="Text55"/>
        </w:rPr>
        <w:t xml:space="preserve">)</w:t>
        <w:br w:clear="none"/>
      </w:r>
    </w:p>
    <w:p>
      <w:pPr>
        <w:pStyle w:val="Normal"/>
      </w:pPr>
      <w:r>
        <w:t xml:space="preserve">where </w:t>
      </w:r>
      <w:r>
        <w:rPr>
          <w:rStyle w:val="Text3"/>
        </w:rPr>
        <w:t>name_or_attr</w:t>
      </w:r>
      <w:r>
        <w:t xml:space="preserve"> is a simple or qualified name bound to a class—specifically, an instance of the built-in type </w:t>
      </w:r>
      <w:r>
        <w:rPr>
          <w:rStyle w:val="Text0"/>
        </w:rPr>
        <w:t>type</w:t>
      </w:r>
      <w:r>
        <w:t xml:space="preserve"> (or of a subclass thereof, but no super-fancy metaclasses need apply!)—and </w:t>
      </w:r>
      <w:r>
        <w:rPr>
          <w:rStyle w:val="Text3"/>
        </w:rPr>
        <w:t>patterns</w:t>
      </w:r>
      <w:r>
        <w:t xml:space="preserve"> is a (possibly empty) comma-separated list of pattern specifications. When no pattern specifications are present in a class pattern, the match succeeds whenever the subject is an instance of the given class, so for example the pattern </w:t>
      </w:r>
      <w:r>
        <w:rPr>
          <w:rStyle w:val="Text0"/>
        </w:rPr>
        <w:t>int()</w:t>
      </w:r>
      <w:r>
        <w:t xml:space="preserve"> matches </w:t>
      </w:r>
      <w:r>
        <w:rPr>
          <w:rStyle w:val="Text4"/>
        </w:rPr>
        <w:t>any</w:t>
      </w:r>
      <w:r>
        <w:t xml:space="preserve"> integer.</w:t>
      </w:r>
    </w:p>
    <w:p>
      <w:pPr>
        <w:pStyle w:val="Normal"/>
      </w:pPr>
      <w:r>
        <w:t xml:space="preserve">Like function arguments and parameters, the pattern specifications can be positional (like </w:t>
      </w:r>
      <w:r>
        <w:rPr>
          <w:rStyle w:val="Text3"/>
        </w:rPr>
        <w:t>pattern</w:t>
      </w:r>
      <w:r>
        <w:t xml:space="preserve">) or named (like </w:t>
      </w:r>
      <w:r>
        <w:rPr>
          <w:rStyle w:val="Text3"/>
        </w:rPr>
        <w:t>name</w:t>
      </w:r>
      <w:r>
        <w:rPr>
          <w:rStyle w:val="Text0"/>
        </w:rPr>
        <w:t>=</w:t>
      </w:r>
      <w:r>
        <w:rPr>
          <w:rStyle w:val="Text3"/>
        </w:rPr>
        <w:t>pattern</w:t>
      </w:r>
      <w:r>
        <w:t xml:space="preserve">). If a class pattern has positional pattern specifications, they must all precede the first named pattern specification. User-defined classes cannot use positional patterns without setting the class’s </w:t>
      </w:r>
      <w:r>
        <w:rPr>
          <w:rStyle w:val="Text3"/>
        </w:rPr>
        <w:t>__match_args__</w:t>
      </w:r>
      <w:r>
        <w:t xml:space="preserve"> attribute (see </w:t>
      </w:r>
      <w:hyperlink w:anchor="Configuring_classes_for_position">
        <w:r>
          <w:rPr>
            <w:rStyle w:val="Text1"/>
          </w:rPr>
          <w:t>“Configuring classes for positional matching”</w:t>
        </w:r>
      </w:hyperlink>
      <w:r>
        <w:t>).</w:t>
      </w:r>
    </w:p>
    <w:p>
      <w:pPr>
        <w:pStyle w:val="Normal"/>
      </w:pPr>
      <w:r>
        <w:t xml:space="preserve">The built-in types </w:t>
      </w:r>
      <w:r>
        <w:rPr>
          <w:rStyle w:val="Text0"/>
        </w:rPr>
        <w:t>bool</w:t>
      </w:r>
      <w:r>
        <w:t xml:space="preserve">, </w:t>
      </w:r>
      <w:r>
        <w:rPr>
          <w:rStyle w:val="Text0"/>
        </w:rPr>
        <w:t>bytearray</w:t>
      </w:r>
      <w:r>
        <w:t xml:space="preserve">, </w:t>
      </w:r>
      <w:r>
        <w:rPr>
          <w:rStyle w:val="Text0"/>
        </w:rPr>
        <w:t>bytes</w:t>
      </w:r>
      <w:r>
        <w:t xml:space="preserve">, </w:t>
      </w:r>
      <w:r>
        <w:rPr>
          <w:rStyle w:val="Text0"/>
        </w:rPr>
        <w:t>dict</w:t>
      </w:r>
      <w:r>
        <w:t>,</w:t>
      </w:r>
      <w:hyperlink w:anchor="23_And_its_subclasses__for_examp">
        <w:r>
          <w:rPr>
            <w:rStyle w:val="Text41"/>
          </w:rPr>
          <w:bookmarkStart w:id="1001" w:name="23"/>
          <w:t>23</w:t>
          <w:bookmarkEnd w:id="1001"/>
        </w:r>
      </w:hyperlink>
      <w:r>
        <w:t xml:space="preserve"> </w:t>
      </w:r>
      <w:r>
        <w:rPr>
          <w:rStyle w:val="Text0"/>
        </w:rPr>
        <w:t>float</w:t>
      </w:r>
      <w:r>
        <w:t xml:space="preserve">, </w:t>
      </w:r>
      <w:r>
        <w:rPr>
          <w:rStyle w:val="Text0"/>
        </w:rPr>
        <w:t>frozenset</w:t>
      </w:r>
      <w:r>
        <w:t xml:space="preserve">, </w:t>
      </w:r>
      <w:r>
        <w:rPr>
          <w:rStyle w:val="Text0"/>
        </w:rPr>
        <w:t>int</w:t>
      </w:r>
      <w:r>
        <w:t xml:space="preserve">, </w:t>
      </w:r>
      <w:r>
        <w:rPr>
          <w:rStyle w:val="Text0"/>
        </w:rPr>
        <w:t>list</w:t>
      </w:r>
      <w:r>
        <w:t xml:space="preserve">, </w:t>
      </w:r>
      <w:r>
        <w:rPr>
          <w:rStyle w:val="Text0"/>
        </w:rPr>
        <w:t>set</w:t>
      </w:r>
      <w:r>
        <w:t xml:space="preserve">, </w:t>
      </w:r>
      <w:r>
        <w:rPr>
          <w:rStyle w:val="Text0"/>
        </w:rPr>
        <w:t>str</w:t>
      </w:r>
      <w:r>
        <w:t xml:space="preserve">, and </w:t>
      </w:r>
      <w:r>
        <w:rPr>
          <w:rStyle w:val="Text0"/>
        </w:rPr>
        <w:t>tuple</w:t>
      </w:r>
      <w:r>
        <w:t xml:space="preserve">, as well as any </w:t>
      </w:r>
      <w:r>
        <w:rPr>
          <w:rStyle w:val="Text0"/>
        </w:rPr>
        <w:t>namedtuple</w:t>
      </w:r>
      <w:r>
        <w:t xml:space="preserve"> and any </w:t>
      </w:r>
      <w:r>
        <w:rPr>
          <w:rStyle w:val="Text0"/>
        </w:rPr>
        <w:t>dataclass</w:t>
      </w:r>
      <w:r>
        <w:t xml:space="preserve">, are all configured to take a single positional pattern, which is matched against the instance value. For example, the pattern </w:t>
      </w:r>
      <w:r>
        <w:rPr>
          <w:rStyle w:val="Text0"/>
        </w:rPr>
        <w:t>str(</w:t>
      </w:r>
      <w:r>
        <w:rPr>
          <w:rStyle w:val="Text3"/>
        </w:rPr>
        <w:t>x</w:t>
      </w:r>
      <w:r>
        <w:rPr>
          <w:rStyle w:val="Text0"/>
        </w:rPr>
        <w:t>)</w:t>
      </w:r>
      <w:r>
        <w:t xml:space="preserve"> matches any string and binds its value to </w:t>
      </w:r>
      <w:r>
        <w:rPr>
          <w:rStyle w:val="Text3"/>
        </w:rPr>
        <w:t>x</w:t>
      </w:r>
      <w:r>
        <w:t xml:space="preserve"> by matching the string’s value against the capture pattern—as does </w:t>
      </w:r>
      <w:r>
        <w:rPr>
          <w:rStyle w:val="Text0"/>
        </w:rPr>
        <w:t>str()</w:t>
      </w:r>
      <w:r>
        <w:t xml:space="preserve"> </w:t>
      </w:r>
      <w:r>
        <w:rPr>
          <w:rStyle w:val="Text5"/>
        </w:rPr>
        <w:t>as</w:t>
      </w:r>
      <w:r>
        <w:t xml:space="preserve"> </w:t>
      </w:r>
      <w:r>
        <w:rPr>
          <w:rStyle w:val="Text3"/>
        </w:rPr>
        <w:t>x</w:t>
      </w:r>
      <w:r>
        <w:t>.</w:t>
      </w:r>
    </w:p>
    <w:p>
      <w:pPr>
        <w:pStyle w:val="Normal"/>
      </w:pPr>
      <w:r>
        <w:t xml:space="preserve">You may remember a literal pattern example we presented earlier, showing that literal matching could not discriminate between the integer </w:t>
      </w:r>
      <w:r>
        <w:rPr>
          <w:rStyle w:val="Text0"/>
        </w:rPr>
        <w:t>42</w:t>
      </w:r>
      <w:r>
        <w:t xml:space="preserve"> and the float </w:t>
      </w:r>
      <w:r>
        <w:rPr>
          <w:rStyle w:val="Text0"/>
        </w:rPr>
        <w:t>42.0</w:t>
      </w:r>
      <w:r>
        <w:t xml:space="preserve"> because </w:t>
      </w:r>
      <w:r>
        <w:rPr>
          <w:rStyle w:val="Text0"/>
        </w:rPr>
        <w:t>42 == 42.0</w:t>
      </w:r>
      <w:r>
        <w:t>. You can use class matching to overcome that issue: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for</w:t>
        <w:br w:clear="none"/>
      </w:r>
      <w:r>
        <w:t xml:space="preserve"> </w:t>
        <w:br w:clear="none"/>
      </w:r>
      <w:r>
        <w:rPr>
          <w:rStyle w:val="Text9"/>
        </w:rPr>
        <w:t xml:space="preserve">subject</w:t>
        <w:br w:clear="none"/>
      </w:r>
      <w:r>
        <w:t xml:space="preserve"> </w:t>
        <w:br w:clear="none"/>
      </w:r>
      <w:r>
        <w:rPr>
          <w:rStyle w:val="Text31"/>
        </w:rPr>
        <w:t xml:space="preserve">in</w:t>
        <w:br w:clear="none"/>
      </w:r>
      <w:r>
        <w:t xml:space="preserve"> </w:t>
        <w:br w:clear="none"/>
      </w:r>
      <w:r>
        <w:rPr>
          <w:rStyle w:val="Text27"/>
        </w:rPr>
        <w:t xml:space="preserve">42</w:t>
        <w:br w:clear="none"/>
      </w:r>
      <w:r>
        <w:rPr>
          <w:rStyle w:val="Text7"/>
        </w:rPr>
        <w:t xml:space="preserve">,</w:t>
        <w:br w:clear="none"/>
      </w:r>
      <w:r>
        <w:t xml:space="preserve"> </w:t>
        <w:br w:clear="none"/>
      </w:r>
      <w:r>
        <w:rPr>
          <w:rStyle w:val="Text27"/>
        </w:rPr>
        <w:t xml:space="preserve">42.0</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16"/>
        </w:rPr>
        <w:t xml:space="preserve">int</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integer</w:t>
        <w:br w:clear="none"/>
        <w:t xml:space="preserve">'</w:t>
        <w:br w:clear="none"/>
      </w:r>
      <w:r>
        <w:rPr>
          <w:rStyle w:val="Text7"/>
        </w:rPr>
        <w:t xml:space="preserve">,</w:t>
        <w:br w:clear="none"/>
      </w:r>
      <w:r>
        <w:t xml:space="preserve"> </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16"/>
        </w:rPr>
        <w:t xml:space="preserve">float</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float</w:t>
        <w:br w:clear="none"/>
        <w:t xml:space="preserve">'</w:t>
        <w:br w:clear="none"/>
      </w:r>
      <w:r>
        <w:rPr>
          <w:rStyle w:val="Text7"/>
        </w:rPr>
        <w:t xml:space="preserve">,</w:t>
        <w:br w:clear="none"/>
      </w:r>
      <w:r>
        <w:t xml:space="preserve"> </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38"/>
      </w:pPr>
      <w:r>
        <w:t xml:space="preserve"/>
        <w:br w:clear="none"/>
        <w:t xml:space="preserve">integer 42</w:t>
        <w:br w:clear="none"/>
        <w:t xml:space="preserve">float 42.0</w:t>
        <w:br w:clear="none"/>
      </w:r>
    </w:p>
    <w:p>
      <w:pPr>
        <w:pStyle w:val="Normal"/>
      </w:pPr>
      <w:r>
        <w:t xml:space="preserve">Once the type of the subject value has matched, for each of the named patterns </w:t>
      </w:r>
      <w:r>
        <w:rPr>
          <w:rStyle w:val="Text3"/>
        </w:rPr>
        <w:t>name</w:t>
      </w:r>
      <w:r>
        <w:rPr>
          <w:rStyle w:val="Text0"/>
        </w:rPr>
        <w:t>=</w:t>
      </w:r>
      <w:r>
        <w:rPr>
          <w:rStyle w:val="Text3"/>
        </w:rPr>
        <w:t>pattern</w:t>
      </w:r>
      <w:r>
        <w:t xml:space="preserve">, Python retrieves the attribute </w:t>
      </w:r>
      <w:r>
        <w:rPr>
          <w:rStyle w:val="Text3"/>
        </w:rPr>
        <w:t>name</w:t>
      </w:r>
      <w:r>
        <w:t xml:space="preserve"> from the instance and matches its value against </w:t>
      </w:r>
      <w:r>
        <w:rPr>
          <w:rStyle w:val="Text3"/>
        </w:rPr>
        <w:t>pattern</w:t>
      </w:r>
      <w:r>
        <w:t>. If all named pattern matches succeed, the whole match succeeds. Python handles positional patterns by converting them to named patterns, as you’ll see momentarily.</w:t>
      </w:r>
    </w:p>
    <w:p>
      <w:bookmarkStart w:id="1002" w:name="Guards__When_a_case_clause_s_pat"/>
      <w:pPr>
        <w:keepNext/>
        <w:pStyle w:val="Heading 2"/>
      </w:pPr>
      <w:r>
        <w:t>Guards</w:t>
      </w:r>
      <w:bookmarkEnd w:id="1002"/>
    </w:p>
    <w:p>
      <w:pPr>
        <w:pStyle w:val="Normal"/>
      </w:pPr>
      <w:r>
        <w:t>When</w:t>
      </w:r>
      <w:r>
        <w:rPr>
          <w:rStyle w:val="Text111"/>
        </w:rPr>
        <w:bookmarkStart w:id="1003" w:name="idm45965272416928"/>
        <w:t/>
        <w:bookmarkEnd w:id="1003"/>
        <w:bookmarkStart w:id="1004" w:name="idm45965272415520"/>
        <w:t/>
        <w:bookmarkEnd w:id="1004"/>
        <w:bookmarkStart w:id="1005" w:name="idm45965272414416"/>
        <w:t/>
        <w:bookmarkEnd w:id="1005"/>
      </w:r>
      <w:r>
        <w:t xml:space="preserve"> a </w:t>
      </w:r>
      <w:r>
        <w:rPr>
          <w:rStyle w:val="Text5"/>
        </w:rPr>
        <w:t>case</w:t>
      </w:r>
      <w:r>
        <w:t xml:space="preserve"> clause’s pattern succeeds, it is often convenient to determine on the basis of values extracted from the match whether this </w:t>
      </w:r>
      <w:r>
        <w:rPr>
          <w:rStyle w:val="Text5"/>
        </w:rPr>
        <w:t>case</w:t>
      </w:r>
      <w:r>
        <w:t xml:space="preserve"> should execute. When a guard is present, it executes after a successful match. If the guard expression evaluates as false, Python abandons the current </w:t>
      </w:r>
      <w:r>
        <w:rPr>
          <w:rStyle w:val="Text5"/>
        </w:rPr>
        <w:t>case</w:t>
      </w:r>
      <w:r>
        <w:t>, despite the match, and moves on to consider the next case. This example uses a guard to exclude odd integers by checking the value bound in the match:</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for</w:t>
        <w:br w:clear="none"/>
      </w:r>
      <w:r>
        <w:t xml:space="preserve"> </w:t>
        <w:br w:clear="none"/>
      </w:r>
      <w:r>
        <w:rPr>
          <w:rStyle w:val="Text9"/>
        </w:rPr>
        <w:t xml:space="preserve">subject</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27"/>
        </w:rPr>
        <w:t xml:space="preserve">5</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16"/>
        </w:rPr>
        <w:t xml:space="preserve">int</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10"/>
        </w:rPr>
        <w:t xml:space="preserve">if</w:t>
        <w:br w:clear="none"/>
      </w:r>
      <w:r>
        <w:t xml:space="preserve"> </w:t>
        <w:br w:clear="none"/>
      </w:r>
      <w:r>
        <w:rPr>
          <w:rStyle w:val="Text9"/>
        </w:rPr>
        <w:t xml:space="preserve">i</w:t>
        <w:br w:clear="none"/>
      </w:r>
      <w:r>
        <w:t xml:space="preserve"> </w:t>
        <w:br w:clear="none"/>
      </w:r>
      <w:r>
        <w:rPr>
          <w:rStyle w:val="Text13"/>
        </w:rPr>
        <w:t xml:space="preserve">%</w:t>
        <w:br w:clear="none"/>
      </w:r>
      <w:r>
        <w:t xml:space="preserve"> </w:t>
        <w:br w:clear="none"/>
      </w:r>
      <w:r>
        <w:rPr>
          <w:rStyle w:val="Text27"/>
        </w:rPr>
        <w:t xml:space="preserve">2</w:t>
        <w:br w:clear="none"/>
      </w:r>
      <w:r>
        <w:t xml:space="preserve"> </w:t>
        <w:br w:clear="none"/>
      </w:r>
      <w:r>
        <w:rPr>
          <w:rStyle w:val="Text13"/>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8"/>
        </w:rPr>
        <w:t xml:space="preserve">"</w:t>
        <w:br w:clear="none"/>
      </w:r>
      <w:r>
        <w:rPr>
          <w:rStyle w:val="Text77"/>
        </w:rPr>
        <w:t xml:space="preserve">is</w:t>
        <w:br w:clear="none"/>
      </w:r>
      <w:r>
        <w:rPr>
          <w:rStyle w:val="Text8"/>
        </w:rPr>
        <w:t xml:space="preserve"> even</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0 is even</w:t>
        <w:br w:clear="none"/>
      </w:r>
      <w:r>
        <w:rPr>
          <w:rStyle w:val="Text48"/>
        </w:rPr>
        <w:t xml:space="preserve"/>
        <w:br w:clear="none"/>
      </w:r>
      <w:r>
        <w:t xml:space="preserve">2 is even</w:t>
        <w:br w:clear="none"/>
      </w:r>
      <w:r>
        <w:rPr>
          <w:rStyle w:val="Text48"/>
        </w:rPr>
        <w:t xml:space="preserve"/>
        <w:br w:clear="none"/>
      </w:r>
      <w:r>
        <w:t xml:space="preserve">4 is even</w:t>
        <w:br w:clear="none"/>
      </w:r>
    </w:p>
    <w:p>
      <w:bookmarkStart w:id="1006" w:name="Configuring_classes_for_position"/>
      <w:pPr>
        <w:keepNext/>
        <w:pStyle w:val="Heading 2"/>
      </w:pPr>
      <w:r>
        <w:t>Configuring classes for positional matching</w:t>
      </w:r>
      <w:bookmarkEnd w:id="1006"/>
    </w:p>
    <w:p>
      <w:pPr>
        <w:pStyle w:val="Normal"/>
      </w:pPr>
      <w:r>
        <w:t>When</w:t>
      </w:r>
      <w:r>
        <w:rPr>
          <w:rStyle w:val="Text111"/>
        </w:rPr>
        <w:bookmarkStart w:id="1007" w:name="idm45965272328016"/>
        <w:t/>
        <w:bookmarkEnd w:id="1007"/>
        <w:bookmarkStart w:id="1008" w:name="idm45965272326640"/>
        <w:t/>
        <w:bookmarkEnd w:id="1008"/>
        <w:bookmarkStart w:id="1009" w:name="idm45965272325536"/>
        <w:t/>
        <w:bookmarkEnd w:id="1009"/>
        <w:bookmarkStart w:id="1010" w:name="idm45965272324192"/>
        <w:t/>
        <w:bookmarkEnd w:id="1010"/>
      </w:r>
      <w:r>
        <w:t xml:space="preserve"> you want your own classes to handle positional patterns in matching, you have to tell the interpreter which </w:t>
      </w:r>
      <w:r>
        <w:rPr>
          <w:rStyle w:val="Text4"/>
        </w:rPr>
        <w:t>attribute of the instance</w:t>
      </w:r>
      <w:r>
        <w:t xml:space="preserve"> (not which </w:t>
      </w:r>
      <w:r>
        <w:rPr>
          <w:rStyle w:val="Text4"/>
        </w:rPr>
        <w:t>argument to</w:t>
      </w:r>
      <w:r>
        <w:t xml:space="preserve"> </w:t>
      </w:r>
      <w:r>
        <w:rPr>
          <w:rStyle w:val="Text3"/>
        </w:rPr>
        <w:t>__init__</w:t>
      </w:r>
      <w:r>
        <w:t xml:space="preserve">) each positional pattern corresponds to. You do this by setting the class’s </w:t>
      </w:r>
      <w:r>
        <w:rPr>
          <w:rStyle w:val="Text0"/>
        </w:rPr>
        <w:t>__match_args__</w:t>
      </w:r>
      <w:r>
        <w:t xml:space="preserve"> attribute to a sequence of names. The interpreter raises a </w:t>
      </w:r>
      <w:r>
        <w:rPr>
          <w:rStyle w:val="Text0"/>
        </w:rPr>
        <w:t>TypeError</w:t>
      </w:r>
      <w:r>
        <w:t xml:space="preserve"> exception if you attempt to use more positional patterns than you defined:</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Color</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__match_args__</w:t>
        <w:br w:clear="none"/>
      </w:r>
      <w:r>
        <w:t xml:space="preserve"> </w:t>
        <w:br w:clear="none"/>
      </w:r>
      <w:r>
        <w:rPr>
          <w:rStyle w:val="Text13"/>
        </w:rPr>
        <w:t xml:space="preserve">=</w:t>
        <w:br w:clear="none"/>
      </w:r>
      <w:r>
        <w:t xml:space="preserve"> </w:t>
        <w:br w:clear="none"/>
      </w:r>
      <w:r>
        <w:rPr>
          <w:rStyle w:val="Text7"/>
        </w:rPr>
        <w:t xml:space="preserve">(</w:t>
        <w:br w:clear="none"/>
      </w:r>
      <w:r>
        <w:rPr>
          <w:rStyle w:val="Text8"/>
        </w:rPr>
        <w:t xml:space="preserve">'</w:t>
        <w:br w:clear="none"/>
        <w:t xml:space="preserve">red</w:t>
        <w:br w:clear="none"/>
        <w:t xml:space="preserve">'</w:t>
        <w:br w:clear="none"/>
      </w:r>
      <w:r>
        <w:rPr>
          <w:rStyle w:val="Text7"/>
        </w:rPr>
        <w:t xml:space="preserve">,</w:t>
        <w:br w:clear="none"/>
      </w:r>
      <w:r>
        <w:t xml:space="preserve"> </w:t>
        <w:br w:clear="none"/>
      </w:r>
      <w:r>
        <w:rPr>
          <w:rStyle w:val="Text8"/>
        </w:rPr>
        <w:t xml:space="preserve">'</w:t>
        <w:br w:clear="none"/>
        <w:t xml:space="preserve">green</w:t>
        <w:br w:clear="none"/>
        <w:t xml:space="preserve">'</w:t>
        <w:br w:clear="none"/>
      </w:r>
      <w:r>
        <w:rPr>
          <w:rStyle w:val="Text7"/>
        </w:rPr>
        <w:t xml:space="preserve">,</w:t>
        <w:br w:clear="none"/>
      </w:r>
      <w:r>
        <w:t xml:space="preserve"> </w:t>
        <w:br w:clear="none"/>
      </w:r>
      <w:r>
        <w:rPr>
          <w:rStyle w:val="Text8"/>
        </w:rPr>
        <w:t xml:space="preserve">'</w:t>
        <w:br w:clear="none"/>
        <w:t xml:space="preserve">blue</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r</w:t>
        <w:br w:clear="none"/>
      </w:r>
      <w:r>
        <w:rPr>
          <w:rStyle w:val="Text7"/>
        </w:rPr>
        <w:t xml:space="preserve">,</w:t>
        <w:br w:clear="none"/>
      </w:r>
      <w:r>
        <w:t xml:space="preserve"> </w:t>
        <w:br w:clear="none"/>
      </w:r>
      <w:r>
        <w:rPr>
          <w:rStyle w:val="Text9"/>
        </w:rPr>
        <w:t xml:space="preserve">g</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t xml:space="preserve"> </w:t>
        <w:br w:clear="none"/>
      </w:r>
      <w:r>
        <w:rPr>
          <w:rStyle w:val="Text9"/>
        </w:rPr>
        <w:t xml:space="preserve">name</w:t>
        <w:br w:clear="none"/>
      </w:r>
      <w:r>
        <w:rPr>
          <w:rStyle w:val="Text13"/>
        </w:rPr>
        <w:t xml:space="preserve">=</w:t>
        <w:br w:clear="none"/>
      </w:r>
      <w:r>
        <w:rPr>
          <w:rStyle w:val="Text8"/>
        </w:rPr>
        <w:t xml:space="preserve">'</w:t>
        <w:br w:clear="none"/>
        <w:t xml:space="preserve">anonymous</w:t>
        <w:br w:clear="none"/>
        <w:t xml:space="preserv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name</w:t>
        <w:br w:clear="none"/>
      </w:r>
      <w:r>
        <w:t xml:space="preserve"> </w:t>
        <w:br w:clear="none"/>
      </w:r>
      <w:r>
        <w:rPr>
          <w:rStyle w:val="Text13"/>
        </w:rPr>
        <w:t xml:space="preserve">=</w:t>
        <w:br w:clear="none"/>
      </w:r>
      <w:r>
        <w:t xml:space="preserve"> </w:t>
        <w:br w:clear="none"/>
      </w:r>
      <w:r>
        <w:rPr>
          <w:rStyle w:val="Text9"/>
        </w:rPr>
        <w:t xml:space="preserve">name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red</w:t>
        <w:br w:clear="none"/>
      </w:r>
      <w:r>
        <w:rPr>
          <w:rStyle w:val="Text7"/>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green</w:t>
        <w:br w:clear="none"/>
      </w:r>
      <w:r>
        <w:rPr>
          <w:rStyle w:val="Text7"/>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blue</w:t>
        <w:br w:clear="none"/>
      </w:r>
      <w:r>
        <w:t xml:space="preserve"> </w:t>
        <w:br w:clear="none"/>
      </w:r>
      <w:r>
        <w:rPr>
          <w:rStyle w:val="Text13"/>
        </w:rPr>
        <w:t xml:space="preserve">=</w:t>
        <w:br w:clear="none"/>
      </w:r>
      <w:r>
        <w:t xml:space="preserve"> </w:t>
        <w:br w:clear="none"/>
      </w:r>
      <w:r>
        <w:rPr>
          <w:rStyle w:val="Text9"/>
        </w:rPr>
        <w:t xml:space="preserve">r</w:t>
        <w:br w:clear="none"/>
      </w:r>
      <w:r>
        <w:rPr>
          <w:rStyle w:val="Text7"/>
        </w:rPr>
        <w:t xml:space="preserve">,</w:t>
        <w:br w:clear="none"/>
      </w:r>
      <w:r>
        <w:t xml:space="preserve"> </w:t>
        <w:br w:clear="none"/>
      </w:r>
      <w:r>
        <w:rPr>
          <w:rStyle w:val="Text9"/>
        </w:rPr>
        <w:t xml:space="preserve">g</w:t>
        <w:br w:clear="none"/>
      </w:r>
      <w:r>
        <w:rPr>
          <w:rStyle w:val="Text7"/>
        </w:rPr>
        <w:t xml:space="preserve">,</w:t>
        <w:br w:clear="none"/>
      </w:r>
      <w:r>
        <w:t xml:space="preserve"> </w:t>
        <w:br w:clear="none"/>
      </w:r>
      <w:r>
        <w:rPr>
          <w:rStyle w:val="Text9"/>
        </w:rPr>
        <w:t xml:space="preserve">b</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color_red</w:t>
        <w:br w:clear="none"/>
      </w:r>
      <w:r>
        <w:t xml:space="preserve"> </w:t>
        <w:br w:clear="none"/>
      </w:r>
      <w:r>
        <w:rPr>
          <w:rStyle w:val="Text13"/>
        </w:rPr>
        <w:t xml:space="preserve">=</w:t>
        <w:br w:clear="none"/>
      </w:r>
      <w:r>
        <w:t xml:space="preserve"> </w:t>
        <w:br w:clear="none"/>
      </w:r>
      <w:r>
        <w:rPr>
          <w:rStyle w:val="Text9"/>
        </w:rPr>
        <w:t xml:space="preserve">Color</w:t>
        <w:br w:clear="none"/>
      </w:r>
      <w:r>
        <w:rPr>
          <w:rStyle w:val="Text7"/>
        </w:rPr>
        <w:t xml:space="preserve">(</w:t>
        <w:br w:clear="none"/>
      </w:r>
      <w:r>
        <w:rPr>
          <w:rStyle w:val="Text27"/>
        </w:rPr>
        <w:t xml:space="preserve">255</w:t>
        <w:br w:clear="none"/>
      </w:r>
      <w:r>
        <w:rPr>
          <w:rStyle w:val="Text7"/>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8"/>
        </w:rPr>
        <w:t xml:space="preserve">'</w:t>
        <w:br w:clear="none"/>
        <w:t xml:space="preserve">red</w:t>
        <w:br w:clear="none"/>
        <w:t xml:space="preserve">'</w:t>
        <w:br w:clear="none"/>
      </w:r>
      <w:r>
        <w:rPr>
          <w:rStyle w:val="Text7"/>
        </w:rPr>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color_blue</w:t>
        <w:br w:clear="none"/>
      </w:r>
      <w:r>
        <w:t xml:space="preserve"> </w:t>
        <w:br w:clear="none"/>
      </w:r>
      <w:r>
        <w:rPr>
          <w:rStyle w:val="Text13"/>
        </w:rPr>
        <w:t xml:space="preserve">=</w:t>
        <w:br w:clear="none"/>
      </w:r>
      <w:r>
        <w:t xml:space="preserve"> </w:t>
        <w:br w:clear="none"/>
      </w:r>
      <w:r>
        <w:rPr>
          <w:rStyle w:val="Text9"/>
        </w:rPr>
        <w:t xml:space="preserve">Color</w:t>
        <w:br w:clear="none"/>
      </w:r>
      <w:r>
        <w:rPr>
          <w:rStyle w:val="Text7"/>
        </w:rPr>
        <w:t xml:space="preserve">(</w:t>
        <w:br w:clear="none"/>
      </w:r>
      <w:r>
        <w:rPr>
          <w:rStyle w:val="Text27"/>
        </w:rPr>
        <w:t xml:space="preserve">0</w:t>
        <w:br w:clear="none"/>
      </w:r>
      <w:r>
        <w:rPr>
          <w:rStyle w:val="Text7"/>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27"/>
        </w:rPr>
        <w:t xml:space="preserve">255</w:t>
        <w:br w:clear="none"/>
      </w:r>
      <w:r>
        <w:rPr>
          <w:rStyle w:val="Text7"/>
        </w:rPr>
        <w:t xml:space="preserve">)</w:t>
        <w:br w:clear="none"/>
      </w:r>
      <w:r>
        <w:t xml:space="preserve"/>
        <w:br w:clear="none"/>
      </w:r>
      <w:r>
        <w:rPr>
          <w:rStyle w:val="Text13"/>
        </w:rPr>
        <w:t xml:space="preserve">&gt;&gt;</w:t>
        <w:br w:clear="none"/>
        <w:t xml:space="preserve">&gt;</w:t>
        <w:br w:clear="none"/>
      </w:r>
      <w:r>
        <w:t xml:space="preserve"> </w:t>
        <w:br w:clear="none"/>
      </w:r>
      <w:r>
        <w:rPr>
          <w:rStyle w:val="Text10"/>
        </w:rPr>
        <w:t xml:space="preserve">for</w:t>
        <w:br w:clear="none"/>
      </w:r>
      <w:r>
        <w:t xml:space="preserve"> </w:t>
        <w:br w:clear="none"/>
      </w:r>
      <w:r>
        <w:rPr>
          <w:rStyle w:val="Text9"/>
        </w:rPr>
        <w:t xml:space="preserve">subject</w:t>
        <w:br w:clear="none"/>
      </w:r>
      <w:r>
        <w:t xml:space="preserve"> </w:t>
        <w:br w:clear="none"/>
      </w:r>
      <w:r>
        <w:rPr>
          <w:rStyle w:val="Text31"/>
        </w:rPr>
        <w:t xml:space="preserve">in</w:t>
        <w:br w:clear="none"/>
      </w:r>
      <w:r>
        <w:t xml:space="preserve"> </w:t>
        <w:br w:clear="none"/>
      </w:r>
      <w:r>
        <w:rPr>
          <w:rStyle w:val="Text7"/>
        </w:rPr>
        <w:t xml:space="preserve">(</w:t>
        <w:br w:clear="none"/>
      </w:r>
      <w:r>
        <w:rPr>
          <w:rStyle w:val="Text27"/>
        </w:rPr>
        <w:t xml:space="preserve">42.0</w:t>
        <w:br w:clear="none"/>
      </w:r>
      <w:r>
        <w:rPr>
          <w:rStyle w:val="Text7"/>
        </w:rPr>
        <w:t xml:space="preserve">,</w:t>
        <w:br w:clear="none"/>
      </w:r>
      <w:r>
        <w:t xml:space="preserve"> </w:t>
        <w:br w:clear="none"/>
      </w:r>
      <w:r>
        <w:rPr>
          <w:rStyle w:val="Text9"/>
        </w:rPr>
        <w:t xml:space="preserve">color_red</w:t>
        <w:br w:clear="none"/>
      </w:r>
      <w:r>
        <w:rPr>
          <w:rStyle w:val="Text7"/>
        </w:rPr>
        <w:t xml:space="preserve">,</w:t>
        <w:br w:clear="none"/>
      </w:r>
      <w:r>
        <w:t xml:space="preserve"> </w:t>
        <w:br w:clear="none"/>
      </w:r>
      <w:r>
        <w:rPr>
          <w:rStyle w:val="Text9"/>
        </w:rPr>
        <w:t xml:space="preserve">color_blue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16"/>
        </w:rPr>
        <w:t xml:space="preserve">float</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8"/>
        </w:rPr>
        <w:t xml:space="preserve">'</w:t>
        <w:br w:clear="none"/>
        <w:t xml:space="preserve">float</w:t>
        <w:br w:clear="none"/>
        <w:t xml:space="preserve">'</w:t>
        <w:br w:clear="none"/>
      </w:r>
      <w:r>
        <w:rPr>
          <w:rStyle w:val="Text7"/>
        </w:rPr>
        <w:t xml:space="preserve">,</w:t>
        <w:br w:clear="none"/>
      </w:r>
      <w:r>
        <w:t xml:space="preserve"> </w:t>
        <w:br w:clear="none"/>
      </w:r>
      <w:r>
        <w:rPr>
          <w:rStyle w:val="Text9"/>
        </w:rPr>
        <w:t xml:space="preserve">x</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9"/>
        </w:rPr>
        <w:t xml:space="preserve">Color</w:t>
        <w:br w:clear="none"/>
      </w:r>
      <w:r>
        <w:rPr>
          <w:rStyle w:val="Text7"/>
        </w:rPr>
        <w:t xml:space="preserve">(</w:t>
        <w:br w:clear="none"/>
      </w:r>
      <w:r>
        <w:rPr>
          <w:rStyle w:val="Text9"/>
        </w:rPr>
        <w:t xml:space="preserve">red</w:t>
        <w:br w:clear="none"/>
      </w:r>
      <w:r>
        <w:rPr>
          <w:rStyle w:val="Text7"/>
        </w:rPr>
        <w:t xml:space="preserve">,</w:t>
        <w:br w:clear="none"/>
      </w:r>
      <w:r>
        <w:t xml:space="preserve"> </w:t>
        <w:br w:clear="none"/>
      </w:r>
      <w:r>
        <w:rPr>
          <w:rStyle w:val="Text9"/>
        </w:rPr>
        <w:t xml:space="preserve">green</w:t>
        <w:br w:clear="none"/>
      </w:r>
      <w:r>
        <w:rPr>
          <w:rStyle w:val="Text7"/>
        </w:rPr>
        <w:t xml:space="preserve">,</w:t>
        <w:br w:clear="none"/>
      </w:r>
      <w:r>
        <w:t xml:space="preserve"> </w:t>
        <w:br w:clear="none"/>
      </w:r>
      <w:r>
        <w:rPr>
          <w:rStyle w:val="Text9"/>
        </w:rPr>
        <w:t xml:space="preserve">blue</w:t>
        <w:br w:clear="none"/>
      </w:r>
      <w:r>
        <w:rPr>
          <w:rStyle w:val="Text7"/>
        </w:rPr>
        <w:t xml:space="preserve">,</w:t>
        <w:br w:clear="none"/>
      </w:r>
      <w:r>
        <w:t xml:space="preserve"> </w:t>
        <w:br w:clear="none"/>
      </w:r>
      <w:r>
        <w:rPr>
          <w:rStyle w:val="Text9"/>
        </w:rPr>
        <w:t xml:space="preserve">name</w:t>
        <w:br w:clear="none"/>
      </w:r>
      <w:r>
        <w:rPr>
          <w:rStyle w:val="Text13"/>
        </w:rPr>
        <w:t xml:space="preserve">=</w:t>
        <w:br w:clear="none"/>
      </w:r>
      <w:r>
        <w:rPr>
          <w:rStyle w:val="Text8"/>
        </w:rPr>
        <w:t xml:space="preserve">'</w:t>
        <w:br w:clear="none"/>
        <w:t xml:space="preserve">red</w:t>
        <w:br w:clear="none"/>
        <w:t xml:space="preserv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rPr>
          <w:rStyle w:val="Text9"/>
        </w:rPr>
        <w:t xml:space="preserve">subject</w:t>
        <w:br w:clear="none"/>
      </w:r>
      <w:r>
        <w:rPr>
          <w:rStyle w:val="Text7"/>
        </w:rPr>
        <w:t xml:space="preserve">)</w:t>
        <w:br w:clear="none"/>
      </w:r>
      <w:r>
        <w:rPr>
          <w:rStyle w:val="Text13"/>
        </w:rPr>
        <w:t xml:space="preserve">.</w:t>
        <w:br w:clear="none"/>
      </w:r>
      <w:r>
        <w:t xml:space="preserve">__name__</w:t>
        <w:br w:clear="none"/>
      </w:r>
      <w:r>
        <w:rPr>
          <w:rStyle w:val="Text7"/>
        </w:rPr>
        <w:t xml:space="preserve">,</w:t>
        <w:br w:clear="none"/>
      </w:r>
      <w:r>
        <w:t xml:space="preserve"> </w:t>
        <w:br w:clear="none"/>
      </w:r>
      <w:r>
        <w:rPr>
          <w:rStyle w:val="Text9"/>
        </w:rPr>
        <w:t xml:space="preserve">subject</w:t>
        <w:br w:clear="none"/>
      </w:r>
      <w:r>
        <w:rPr>
          <w:rStyle w:val="Text13"/>
        </w:rPr>
        <w:t xml:space="preserve">.</w:t>
        <w:br w:clear="none"/>
      </w:r>
      <w:r>
        <w:rPr>
          <w:rStyle w:val="Text9"/>
        </w:rPr>
        <w:t xml:space="preserve">name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red</w:t>
        <w:br w:clear="none"/>
      </w:r>
      <w:r>
        <w:rPr>
          <w:rStyle w:val="Text7"/>
        </w:rPr>
        <w:t xml:space="preserve">,</w:t>
        <w:br w:clear="none"/>
      </w:r>
      <w:r>
        <w:t xml:space="preserve"> </w:t>
        <w:br w:clear="none"/>
      </w:r>
      <w:r>
        <w:rPr>
          <w:rStyle w:val="Text9"/>
        </w:rPr>
        <w:t xml:space="preserve">green</w:t>
        <w:br w:clear="none"/>
      </w:r>
      <w:r>
        <w:rPr>
          <w:rStyle w:val="Text7"/>
        </w:rPr>
        <w:t xml:space="preserve">,</w:t>
        <w:br w:clear="none"/>
      </w:r>
      <w:r>
        <w:t xml:space="preserve"> </w:t>
        <w:br w:clear="none"/>
      </w:r>
      <w:r>
        <w:rPr>
          <w:rStyle w:val="Text9"/>
        </w:rPr>
        <w:t xml:space="preserve">blue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9"/>
        </w:rPr>
        <w:t xml:space="preserve">Color</w:t>
        <w:br w:clear="none"/>
      </w:r>
      <w:r>
        <w:rPr>
          <w:rStyle w:val="Text7"/>
        </w:rPr>
        <w:t xml:space="preserve">(</w:t>
        <w:br w:clear="none"/>
      </w:r>
      <w:r>
        <w:rPr>
          <w:rStyle w:val="Text9"/>
        </w:rPr>
        <w:t xml:space="preserve">red</w:t>
        <w:br w:clear="none"/>
      </w:r>
      <w:r>
        <w:rPr>
          <w:rStyle w:val="Text7"/>
        </w:rPr>
        <w:t xml:space="preserve">,</w:t>
        <w:br w:clear="none"/>
      </w:r>
      <w:r>
        <w:t xml:space="preserve"> </w:t>
        <w:br w:clear="none"/>
      </w:r>
      <w:r>
        <w:rPr>
          <w:rStyle w:val="Text9"/>
        </w:rPr>
        <w:t xml:space="preserve">green</w:t>
        <w:br w:clear="none"/>
      </w:r>
      <w:r>
        <w:rPr>
          <w:rStyle w:val="Text7"/>
        </w:rPr>
        <w:t xml:space="preserve">,</w:t>
        <w:br w:clear="none"/>
      </w:r>
      <w:r>
        <w:t xml:space="preserve"> </w:t>
        <w:br w:clear="none"/>
      </w:r>
      <w:r>
        <w:rPr>
          <w:rStyle w:val="Text27"/>
        </w:rPr>
        <w:t xml:space="preserve">255</w:t>
        <w:br w:clear="none"/>
      </w:r>
      <w:r>
        <w:rPr>
          <w:rStyle w:val="Text7"/>
        </w:rPr>
        <w:t xml:space="preserve">)</w:t>
        <w:br w:clear="none"/>
      </w:r>
      <w:r>
        <w:t xml:space="preserve"> </w:t>
        <w:br w:clear="none"/>
      </w:r>
      <w:r>
        <w:rPr>
          <w:rStyle w:val="Text10"/>
        </w:rPr>
        <w:t xml:space="preserve">as</w:t>
        <w:br w:clear="none"/>
      </w:r>
      <w:r>
        <w:t xml:space="preserve"> </w:t>
        <w:br w:clear="none"/>
      </w:r>
      <w:r>
        <w:rPr>
          <w:rStyle w:val="Text9"/>
        </w:rPr>
        <w:t xml:space="preserve">color</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rPr>
          <w:rStyle w:val="Text9"/>
        </w:rPr>
        <w:t xml:space="preserve">subject</w:t>
        <w:br w:clear="none"/>
      </w:r>
      <w:r>
        <w:rPr>
          <w:rStyle w:val="Text7"/>
        </w:rPr>
        <w:t xml:space="preserve">)</w:t>
        <w:br w:clear="none"/>
      </w:r>
      <w:r>
        <w:rPr>
          <w:rStyle w:val="Text13"/>
        </w:rPr>
        <w:t xml:space="preserve">.</w:t>
        <w:br w:clear="none"/>
      </w:r>
      <w:r>
        <w:t xml:space="preserve">__name__</w:t>
        <w:br w:clear="none"/>
      </w:r>
      <w:r>
        <w:rPr>
          <w:rStyle w:val="Text7"/>
        </w:rPr>
        <w:t xml:space="preserve">,</w:t>
        <w:br w:clear="none"/>
      </w:r>
      <w:r>
        <w:t xml:space="preserve"> </w:t>
        <w:br w:clear="none"/>
      </w:r>
      <w:r>
        <w:rPr>
          <w:rStyle w:val="Text9"/>
        </w:rPr>
        <w:t xml:space="preserve">color</w:t>
        <w:br w:clear="none"/>
      </w:r>
      <w:r>
        <w:rPr>
          <w:rStyle w:val="Text13"/>
        </w:rPr>
        <w:t xml:space="preserve">.</w:t>
        <w:br w:clear="none"/>
      </w:r>
      <w:r>
        <w:rPr>
          <w:rStyle w:val="Text9"/>
        </w:rPr>
        <w:t xml:space="preserve">name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red</w:t>
        <w:br w:clear="none"/>
      </w:r>
      <w:r>
        <w:rPr>
          <w:rStyle w:val="Text7"/>
        </w:rPr>
        <w:t xml:space="preserve">,</w:t>
        <w:br w:clear="none"/>
      </w:r>
      <w:r>
        <w:t xml:space="preserve"> </w:t>
        <w:br w:clear="none"/>
      </w:r>
      <w:r>
        <w:rPr>
          <w:rStyle w:val="Text9"/>
        </w:rPr>
        <w:t xml:space="preserve">green</w:t>
        <w:br w:clear="none"/>
      </w:r>
      <w:r>
        <w:rPr>
          <w:rStyle w:val="Text7"/>
        </w:rPr>
        <w:t xml:space="preserve">,</w:t>
        <w:br w:clear="none"/>
      </w:r>
      <w:r>
        <w:t xml:space="preserve"> </w:t>
        <w:br w:clear="none"/>
      </w:r>
      <w:r>
        <w:rPr>
          <w:rStyle w:val="Text9"/>
        </w:rPr>
        <w:t xml:space="preserve">color</w:t>
        <w:br w:clear="none"/>
      </w:r>
      <w:r>
        <w:rPr>
          <w:rStyle w:val="Text13"/>
        </w:rPr>
        <w:t xml:space="preserve">.</w:t>
        <w:br w:clear="none"/>
      </w:r>
      <w:r>
        <w:rPr>
          <w:rStyle w:val="Text9"/>
        </w:rPr>
        <w:t xml:space="preserve">blue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9"/>
        </w:rPr>
        <w:t xml:space="preserve">_</w:t>
        <w:br w:clear="none"/>
      </w:r>
      <w:r>
        <w:rPr>
          <w:rStyle w:val="Text7"/>
        </w:rPr>
        <w:t xml:space="preserve">:</w:t>
        <w:br w:clear="none"/>
      </w:r>
      <w:r>
        <w:t xml:space="preserve"> </w:t>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rPr>
          <w:rStyle w:val="Text9"/>
        </w:rPr>
        <w:t xml:space="preserve">subject</w:t>
        <w:br w:clear="none"/>
      </w:r>
      <w:r>
        <w:rPr>
          <w:rStyle w:val="Text7"/>
        </w:rPr>
        <w:t xml:space="preserve">)</w:t>
        <w:br w:clear="none"/>
        <w:t xml:space="preserve">,</w:t>
        <w:br w:clear="none"/>
      </w:r>
      <w:r>
        <w:t xml:space="preserve"> </w:t>
        <w:br w:clear="none"/>
      </w:r>
      <w:r>
        <w:rPr>
          <w:rStyle w:val="Text9"/>
        </w:rPr>
        <w:t xml:space="preserve">subject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float 42.0</w:t>
        <w:br w:clear="none"/>
      </w:r>
      <w:r>
        <w:rPr>
          <w:rStyle w:val="Text48"/>
        </w:rPr>
        <w:t xml:space="preserve"/>
        <w:br w:clear="none"/>
      </w:r>
      <w:r>
        <w:t xml:space="preserve">Color red 255 0 0</w:t>
        <w:br w:clear="none"/>
      </w:r>
      <w:r>
        <w:rPr>
          <w:rStyle w:val="Text48"/>
        </w:rPr>
        <w:t xml:space="preserve"/>
        <w:br w:clear="none"/>
      </w:r>
      <w:r>
        <w:t xml:space="preserve">Color anonymous 0 0 255</w:t>
        <w:br w:clear="none"/>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37"/>
        </w:rPr>
        <w:t xml:space="preserve">match</w:t>
        <w:br w:clear="none"/>
      </w:r>
      <w:r>
        <w:rPr>
          <w:rStyle w:val="Text6"/>
        </w:rPr>
        <w:t xml:space="preserve"> </w:t>
        <w:br w:clear="none"/>
      </w:r>
      <w:r>
        <w:t xml:space="preserve">color_red</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37"/>
        </w:rPr>
        <w:t xml:space="preserve">case</w:t>
        <w:br w:clear="none"/>
      </w:r>
      <w:r>
        <w:rPr>
          <w:rStyle w:val="Text6"/>
        </w:rPr>
        <w:t xml:space="preserve"> </w:t>
        <w:br w:clear="none"/>
      </w:r>
      <w:r>
        <w:t xml:space="preserve">Color</w:t>
        <w:br w:clear="none"/>
      </w:r>
      <w:r>
        <w:rPr>
          <w:rStyle w:val="Text7"/>
        </w:rPr>
        <w:t xml:space="preserve">(</w:t>
        <w:br w:clear="none"/>
      </w:r>
      <w:r>
        <w:t xml:space="preserve">red</w:t>
        <w:br w:clear="none"/>
      </w:r>
      <w:r>
        <w:rPr>
          <w:rStyle w:val="Text7"/>
        </w:rPr>
        <w:t xml:space="preserve">,</w:t>
        <w:br w:clear="none"/>
      </w:r>
      <w:r>
        <w:rPr>
          <w:rStyle w:val="Text6"/>
        </w:rPr>
        <w:t xml:space="preserve"> </w:t>
        <w:br w:clear="none"/>
      </w:r>
      <w:r>
        <w:t xml:space="preserve">green</w:t>
        <w:br w:clear="none"/>
      </w:r>
      <w:r>
        <w:rPr>
          <w:rStyle w:val="Text7"/>
        </w:rPr>
        <w:t xml:space="preserve">,</w:t>
        <w:br w:clear="none"/>
      </w:r>
      <w:r>
        <w:rPr>
          <w:rStyle w:val="Text6"/>
        </w:rPr>
        <w:t xml:space="preserve"> </w:t>
        <w:br w:clear="none"/>
      </w:r>
      <w:r>
        <w:t xml:space="preserve">blue</w:t>
        <w:br w:clear="none"/>
      </w:r>
      <w:r>
        <w:rPr>
          <w:rStyle w:val="Text7"/>
        </w:rPr>
        <w:t xml:space="preserve">,</w:t>
        <w:br w:clear="none"/>
      </w:r>
      <w:r>
        <w:rPr>
          <w:rStyle w:val="Text6"/>
        </w:rPr>
        <w:t xml:space="preserve"> </w:t>
        <w:br w:clear="none"/>
      </w:r>
      <w:r>
        <w:t xml:space="preserve">name</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rPr>
          <w:rStyle w:val="Text8"/>
        </w:rPr>
        <w:t xml:space="preserve">"</w:t>
        <w:br w:clear="none"/>
        <w:t xml:space="preserve">matched</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"&lt;stdin&gt;", line 2, in &lt;module&gt;</w:t>
        <w:br w:clear="none"/>
      </w:r>
      <w:r>
        <w:rPr>
          <w:rStyle w:val="Text48"/>
        </w:rPr>
        <w:t xml:space="preserve"/>
        <w:br w:clear="none"/>
      </w:r>
      <w:r>
        <w:t xml:space="preserve">TypeError: Color() accepts 3 positional sub-patterns (4 given)</w:t>
        <w:br w:clear="none"/>
      </w:r>
    </w:p>
    <w:p>
      <w:bookmarkStart w:id="1011" w:name="The_while_Statement__The_while_s"/>
      <w:pPr>
        <w:keepNext/>
        <w:pStyle w:val="Heading 2"/>
      </w:pPr>
      <w:r>
        <w:t>The while Statement</w:t>
      </w:r>
      <w:bookmarkEnd w:id="1011"/>
    </w:p>
    <w:p>
      <w:pPr>
        <w:pStyle w:val="Normal"/>
      </w:pPr>
      <w:r>
        <w:t>The</w:t>
      </w:r>
      <w:r>
        <w:rPr>
          <w:rStyle w:val="Text111"/>
        </w:rPr>
        <w:bookmarkStart w:id="1012" w:name="idm45965274701504"/>
        <w:t/>
        <w:bookmarkEnd w:id="1012"/>
        <w:bookmarkStart w:id="1013" w:name="idm45965274700096"/>
        <w:t/>
        <w:bookmarkEnd w:id="1013"/>
      </w:r>
      <w:r>
        <w:t xml:space="preserve"> </w:t>
      </w:r>
      <w:r>
        <w:rPr>
          <w:rStyle w:val="Text5"/>
        </w:rPr>
        <w:t>while</w:t>
      </w:r>
      <w:r>
        <w:t xml:space="preserve"> statement repeats execution of a statement or block of statements for as long as a conditional expression evaluates as true. Here’s the syntax of the </w:t>
      </w:r>
      <w:r>
        <w:rPr>
          <w:rStyle w:val="Text5"/>
        </w:rPr>
        <w:t>while</w:t>
      </w:r>
      <w:r>
        <w:t xml:space="preserve"> statement:</w:t>
      </w:r>
    </w:p>
    <w:p>
      <w:pPr>
        <w:pStyle w:val="Para 042"/>
      </w:pPr>
      <w:r>
        <w:rPr>
          <w:rStyle w:val="Text55"/>
        </w:rPr>
        <w:t xml:space="preserve"/>
        <w:br w:clear="none"/>
      </w:r>
      <w:r>
        <w:rPr>
          <w:rStyle w:val="Text40"/>
        </w:rPr>
        <w:t xml:space="preserve">while</w:t>
        <w:br w:clear="none"/>
      </w:r>
      <w:r>
        <w:rPr>
          <w:rStyle w:val="Text55"/>
        </w:rPr>
        <w:t xml:space="preserve"> </w:t>
        <w:br w:clear="none"/>
      </w:r>
      <w:r>
        <w:t xml:space="preserve">expression</w:t>
        <w:br w:clear="none"/>
      </w:r>
      <w:r>
        <w:rPr>
          <w:rStyle w:val="Text55"/>
        </w:rPr>
        <w:t xml:space="preserve">:</w:t>
        <w:br w:clear="none"/>
        <w:t xml:space="preserve">    </w:t>
        <w:br w:clear="none"/>
      </w:r>
      <w:r>
        <w:t xml:space="preserve">statement(s)</w:t>
        <w:br w:clear="none"/>
      </w:r>
    </w:p>
    <w:p>
      <w:pPr>
        <w:pStyle w:val="Normal"/>
      </w:pPr>
      <w:r>
        <w:t xml:space="preserve">A </w:t>
      </w:r>
      <w:r>
        <w:rPr>
          <w:rStyle w:val="Text5"/>
        </w:rPr>
        <w:t>while</w:t>
      </w:r>
      <w:r>
        <w:t xml:space="preserve"> statement can also include an</w:t>
      </w:r>
      <w:r>
        <w:rPr>
          <w:rStyle w:val="Text111"/>
        </w:rPr>
        <w:bookmarkStart w:id="1014" w:name="idm45965274665424"/>
        <w:t/>
        <w:bookmarkEnd w:id="1014"/>
      </w:r>
      <w:r>
        <w:t xml:space="preserve"> </w:t>
      </w:r>
      <w:r>
        <w:rPr>
          <w:rStyle w:val="Text5"/>
        </w:rPr>
        <w:t>else</w:t>
      </w:r>
      <w:r>
        <w:t xml:space="preserve"> clause and</w:t>
      </w:r>
      <w:r>
        <w:rPr>
          <w:rStyle w:val="Text111"/>
        </w:rPr>
        <w:bookmarkStart w:id="1015" w:name="idm45965274663072"/>
        <w:t/>
        <w:bookmarkEnd w:id="1015"/>
      </w:r>
      <w:r>
        <w:t xml:space="preserve"> </w:t>
      </w:r>
      <w:r>
        <w:rPr>
          <w:rStyle w:val="Text5"/>
        </w:rPr>
        <w:t>break</w:t>
      </w:r>
      <w:r>
        <w:t xml:space="preserve"> and </w:t>
      </w:r>
      <w:r>
        <w:rPr>
          <w:rStyle w:val="Text5"/>
        </w:rPr>
        <w:t>continue</w:t>
      </w:r>
      <w:r>
        <w:t xml:space="preserve"> statements, all of which we’ll discuss after we look at the </w:t>
      </w:r>
      <w:r>
        <w:rPr>
          <w:rStyle w:val="Text5"/>
        </w:rPr>
        <w:t>for</w:t>
      </w:r>
      <w:r>
        <w:t xml:space="preserve"> statement.</w:t>
      </w:r>
    </w:p>
    <w:p>
      <w:pPr>
        <w:pStyle w:val="Normal"/>
      </w:pPr>
      <w:r>
        <w:t xml:space="preserve">Here’s a typical </w:t>
      </w:r>
      <w:r>
        <w:rPr>
          <w:rStyle w:val="Text5"/>
        </w:rPr>
        <w:t>while</w:t>
      </w:r>
      <w:r>
        <w:t xml:space="preserve"> statement:</w:t>
      </w:r>
    </w:p>
    <w:p>
      <w:pPr>
        <w:pStyle w:val="Para 018"/>
      </w:pPr>
      <w:r>
        <w:rPr>
          <w:rStyle w:val="Text104"/>
        </w:rPr>
        <w:t xml:space="preserve"/>
        <w:br w:clear="none"/>
      </w:r>
      <w:r>
        <w:rPr>
          <w:rStyle w:val="Text9"/>
        </w:rPr>
        <w:t xml:space="preserve">count</w:t>
        <w:br w:clear="none"/>
      </w:r>
      <w:r>
        <w:t xml:space="preserve"> </w:t>
        <w:br w:clear="none"/>
      </w:r>
      <w:r>
        <w:rPr>
          <w:rStyle w:val="Text13"/>
        </w:rPr>
        <w:t xml:space="preserve">=</w:t>
        <w:br w:clear="none"/>
      </w:r>
      <w:r>
        <w:t xml:space="preserve"> </w:t>
        <w:br w:clear="none"/>
      </w:r>
      <w:r>
        <w:rPr>
          <w:rStyle w:val="Text27"/>
        </w:rPr>
        <w:t xml:space="preserve">0</w:t>
        <w:br w:clear="none"/>
      </w:r>
      <w:r>
        <w:t xml:space="preserve"/>
        <w:br w:clear="none"/>
      </w:r>
      <w:r>
        <w:rPr>
          <w:rStyle w:val="Text10"/>
        </w:rPr>
        <w:t xml:space="preserve">while</w:t>
        <w:br w:clear="none"/>
      </w:r>
      <w:r>
        <w:t xml:space="preserve"> </w:t>
        <w:br w:clear="none"/>
      </w:r>
      <w:r>
        <w:rPr>
          <w:rStyle w:val="Text9"/>
        </w:rPr>
        <w:t xml:space="preserve">x</w:t>
        <w:br w:clear="none"/>
      </w:r>
      <w:r>
        <w:t xml:space="preserve"> </w:t>
        <w:br w:clear="none"/>
      </w:r>
      <w:r>
        <w:rPr>
          <w:rStyle w:val="Text13"/>
        </w:rPr>
        <w:t xml:space="preserve">&gt;</w:t>
        <w:br w:clear="none"/>
      </w:r>
      <w:r>
        <w:t xml:space="preserve"> </w:t>
        <w:br w:clear="none"/>
      </w:r>
      <w:r>
        <w:rPr>
          <w:rStyle w:val="Text27"/>
        </w:rPr>
        <w:t xml:space="preserve">0</w:t>
        <w:br w:clear="none"/>
      </w:r>
      <w:r>
        <w:rPr>
          <w:rStyle w:val="Text7"/>
        </w:rPr>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t xml:space="preserve">/</w:t>
        <w:br w:clear="none"/>
        <w:t xml:space="preserve">=</w:t>
        <w:br w:clear="none"/>
      </w:r>
      <w:r>
        <w:t xml:space="preserve"> </w:t>
        <w:br w:clear="none"/>
      </w:r>
      <w:r>
        <w:rPr>
          <w:rStyle w:val="Text27"/>
        </w:rPr>
        <w:t xml:space="preserve">2</w:t>
        <w:br w:clear="none"/>
      </w:r>
      <w:r>
        <w:t xml:space="preserve">            </w:t>
        <w:br w:clear="none"/>
      </w:r>
      <w:r>
        <w:rPr>
          <w:rStyle w:val="Text15"/>
        </w:rPr>
        <w:t xml:space="preserve"># floor division</w:t>
        <w:br w:clear="none"/>
      </w:r>
      <w:r>
        <w:t xml:space="preserve"/>
        <w:br w:clear="none"/>
        <w:t xml:space="preserve">    </w:t>
        <w:br w:clear="none"/>
      </w:r>
      <w:r>
        <w:rPr>
          <w:rStyle w:val="Text9"/>
        </w:rPr>
        <w:t xml:space="preserve">count</w:t>
        <w:br w:clear="none"/>
      </w:r>
      <w:r>
        <w:t xml:space="preserve"> </w:t>
        <w:br w:clear="none"/>
      </w:r>
      <w:r>
        <w:rPr>
          <w:rStyle w:val="Text13"/>
        </w:rPr>
        <w:t xml:space="preserve">+</w:t>
        <w:br w:clear="none"/>
        <w:t xml:space="preserve">=</w:t>
        <w:br w:clear="none"/>
      </w:r>
      <w:r>
        <w:t xml:space="preserve"> </w:t>
        <w:br w:clear="none"/>
      </w:r>
      <w:r>
        <w:rPr>
          <w:rStyle w:val="Text27"/>
        </w:rPr>
        <w:t xml:space="preserve">1</w:t>
        <w:br w:clear="none"/>
      </w:r>
      <w:r>
        <w:t xml:space="preserve"/>
        <w:br w:clear="none"/>
      </w:r>
      <w:r>
        <w:rPr>
          <w:rStyle w:val="Text16"/>
        </w:rPr>
        <w:t xml:space="preserve">print</w:t>
        <w:br w:clear="none"/>
      </w:r>
      <w:r>
        <w:rPr>
          <w:rStyle w:val="Text7"/>
        </w:rPr>
        <w:t xml:space="preserve">(</w:t>
        <w:br w:clear="none"/>
      </w:r>
      <w:r>
        <w:rPr>
          <w:rStyle w:val="Text8"/>
        </w:rPr>
        <w:t xml:space="preserve">'</w:t>
        <w:br w:clear="none"/>
        <w:t xml:space="preserve">The approximate log2 is</w:t>
        <w:br w:clear="none"/>
        <w:t xml:space="preserve">'</w:t>
        <w:br w:clear="none"/>
      </w:r>
      <w:r>
        <w:rPr>
          <w:rStyle w:val="Text7"/>
        </w:rPr>
        <w:t xml:space="preserve">,</w:t>
        <w:br w:clear="none"/>
      </w:r>
      <w:r>
        <w:t xml:space="preserve"> </w:t>
        <w:br w:clear="none"/>
      </w:r>
      <w:r>
        <w:rPr>
          <w:rStyle w:val="Text9"/>
        </w:rPr>
        <w:t xml:space="preserve">count</w:t>
        <w:br w:clear="none"/>
      </w:r>
      <w:r>
        <w:rPr>
          <w:rStyle w:val="Text7"/>
        </w:rPr>
        <w:t xml:space="preserve">)</w:t>
        <w:br w:clear="none"/>
      </w:r>
    </w:p>
    <w:p>
      <w:pPr>
        <w:pStyle w:val="Normal"/>
      </w:pPr>
      <w:r>
        <w:t xml:space="preserve">First Python evaluates </w:t>
      </w:r>
      <w:r>
        <w:rPr>
          <w:rStyle w:val="Text3"/>
        </w:rPr>
        <w:t>expression</w:t>
      </w:r>
      <w:r>
        <w:t>, which is known as the</w:t>
      </w:r>
      <w:r>
        <w:rPr>
          <w:rStyle w:val="Text111"/>
        </w:rPr>
        <w:bookmarkStart w:id="1016" w:name="idm45965274621568"/>
        <w:t/>
        <w:bookmarkEnd w:id="1016"/>
      </w:r>
      <w:r>
        <w:t xml:space="preserve"> </w:t>
      </w:r>
      <w:r>
        <w:rPr>
          <w:rStyle w:val="Text4"/>
        </w:rPr>
        <w:t>loop condition</w:t>
      </w:r>
      <w:r>
        <w:t xml:space="preserve">, in a Boolean context. When the condition evaluates as false, the </w:t>
      </w:r>
      <w:r>
        <w:rPr>
          <w:rStyle w:val="Text5"/>
        </w:rPr>
        <w:t>while</w:t>
      </w:r>
      <w:r>
        <w:t xml:space="preserve"> statement ends. When the loop condition evaluates as true, the statement or block of statements that make up the </w:t>
      </w:r>
      <w:r>
        <w:rPr>
          <w:rStyle w:val="Text4"/>
        </w:rPr>
        <w:t>loop body</w:t>
      </w:r>
      <w:r>
        <w:t xml:space="preserve"> executes. Once the loop body finishes executing, Python evaluates the loop condition again, to check whether another iteration should execute. This process continues until the loop condition evaluates as false, at which point the </w:t>
      </w:r>
      <w:r>
        <w:rPr>
          <w:rStyle w:val="Text5"/>
        </w:rPr>
        <w:t>while</w:t>
      </w:r>
      <w:r>
        <w:t xml:space="preserve"> statement ends.</w:t>
      </w:r>
    </w:p>
    <w:p>
      <w:pPr>
        <w:pStyle w:val="Normal"/>
      </w:pPr>
      <w:r>
        <w:t xml:space="preserve">The loop body should contain code that eventually makes the loop condition false, since otherwise the loop never ends (unless the body raises an exception or executes a </w:t>
      </w:r>
      <w:r>
        <w:rPr>
          <w:rStyle w:val="Text5"/>
        </w:rPr>
        <w:t>break</w:t>
      </w:r>
      <w:r>
        <w:t xml:space="preserve"> statement). A loop within a function’s body also ends if the loop body executes a </w:t>
      </w:r>
      <w:r>
        <w:rPr>
          <w:rStyle w:val="Text5"/>
        </w:rPr>
        <w:t>return</w:t>
      </w:r>
      <w:r>
        <w:t xml:space="preserve"> statement, since in this case the whole function ends.</w:t>
      </w:r>
    </w:p>
    <w:p>
      <w:bookmarkStart w:id="1017" w:name="The_for_Statement__The_for_state"/>
      <w:pPr>
        <w:keepNext/>
        <w:pStyle w:val="Heading 2"/>
      </w:pPr>
      <w:r>
        <w:t>The for Statement</w:t>
      </w:r>
      <w:bookmarkEnd w:id="1017"/>
    </w:p>
    <w:p>
      <w:pPr>
        <w:pStyle w:val="Normal"/>
      </w:pPr>
      <w:r>
        <w:t>The</w:t>
      </w:r>
      <w:r>
        <w:rPr>
          <w:rStyle w:val="Text111"/>
        </w:rPr>
        <w:bookmarkStart w:id="1018" w:name="idm45965274590576"/>
        <w:t/>
        <w:bookmarkEnd w:id="1018"/>
        <w:bookmarkStart w:id="1019" w:name="forstate03"/>
        <w:t/>
        <w:bookmarkEnd w:id="1019"/>
        <w:bookmarkStart w:id="1020" w:name="idm45965274587792"/>
        <w:t/>
        <w:bookmarkEnd w:id="1020"/>
      </w:r>
      <w:r>
        <w:t xml:space="preserve"> </w:t>
      </w:r>
      <w:r>
        <w:rPr>
          <w:rStyle w:val="Text5"/>
        </w:rPr>
        <w:t>for</w:t>
      </w:r>
      <w:r>
        <w:t xml:space="preserve"> statement repeats execution of a statement or block of statements controlled by an iterable expression. Here’s the syntax:</w:t>
      </w:r>
    </w:p>
    <w:p>
      <w:pPr>
        <w:pStyle w:val="Para 042"/>
      </w:pPr>
      <w:r>
        <w:rPr>
          <w:rStyle w:val="Text55"/>
        </w:rPr>
        <w:t xml:space="preserve"/>
        <w:br w:clear="none"/>
      </w:r>
      <w:r>
        <w:rPr>
          <w:rStyle w:val="Text40"/>
        </w:rPr>
        <w:t xml:space="preserve">for</w:t>
        <w:br w:clear="none"/>
      </w:r>
      <w:r>
        <w:rPr>
          <w:rStyle w:val="Text55"/>
        </w:rPr>
        <w:t xml:space="preserve"> </w:t>
        <w:br w:clear="none"/>
      </w:r>
      <w:r>
        <w:t xml:space="preserve">target</w:t>
        <w:br w:clear="none"/>
      </w:r>
      <w:r>
        <w:rPr>
          <w:rStyle w:val="Text55"/>
        </w:rPr>
        <w:t xml:space="preserve"> </w:t>
        <w:br w:clear="none"/>
      </w:r>
      <w:r>
        <w:rPr>
          <w:rStyle w:val="Text40"/>
        </w:rPr>
        <w:t xml:space="preserve">in</w:t>
        <w:br w:clear="none"/>
      </w:r>
      <w:r>
        <w:rPr>
          <w:rStyle w:val="Text55"/>
        </w:rPr>
        <w:t xml:space="preserve"> </w:t>
        <w:br w:clear="none"/>
      </w:r>
      <w:r>
        <w:t xml:space="preserve">iterable</w:t>
        <w:br w:clear="none"/>
      </w:r>
      <w:r>
        <w:rPr>
          <w:rStyle w:val="Text55"/>
        </w:rPr>
        <w:t xml:space="preserve">:</w:t>
        <w:br w:clear="none"/>
        <w:t xml:space="preserve">    </w:t>
        <w:br w:clear="none"/>
      </w:r>
      <w:r>
        <w:t xml:space="preserve">statement</w:t>
        <w:br w:clear="none"/>
      </w:r>
      <w:r>
        <w:rPr>
          <w:rStyle w:val="Text55"/>
        </w:rPr>
        <w:t xml:space="preserve">(</w:t>
        <w:br w:clear="none"/>
      </w:r>
      <w:r>
        <w:t xml:space="preserve">s</w:t>
        <w:br w:clear="none"/>
      </w:r>
      <w:r>
        <w:rPr>
          <w:rStyle w:val="Text55"/>
        </w:rPr>
        <w:t xml:space="preserve">)</w:t>
        <w:br w:clear="none"/>
      </w:r>
    </w:p>
    <w:p>
      <w:pPr>
        <w:pStyle w:val="Normal"/>
      </w:pPr>
      <w:r>
        <w:t>The</w:t>
      </w:r>
      <w:r>
        <w:rPr>
          <w:rStyle w:val="Text111"/>
        </w:rPr>
        <w:bookmarkStart w:id="1021" w:name="idm45965274581280"/>
        <w:t/>
        <w:bookmarkEnd w:id="1021"/>
      </w:r>
      <w:r>
        <w:t xml:space="preserve"> </w:t>
      </w:r>
      <w:r>
        <w:rPr>
          <w:rStyle w:val="Text5"/>
        </w:rPr>
        <w:t>in</w:t>
      </w:r>
      <w:r>
        <w:t xml:space="preserve"> keyword</w:t>
      </w:r>
      <w:r>
        <w:rPr>
          <w:rStyle w:val="Text111"/>
        </w:rPr>
        <w:bookmarkStart w:id="1022" w:name="idm45965274578976"/>
        <w:t/>
        <w:bookmarkEnd w:id="1022"/>
      </w:r>
      <w:r>
        <w:t xml:space="preserve"> is part of the syntax of the </w:t>
      </w:r>
      <w:r>
        <w:rPr>
          <w:rStyle w:val="Text5"/>
        </w:rPr>
        <w:t>for</w:t>
      </w:r>
      <w:r>
        <w:t xml:space="preserve"> statement; its purpose here is distinct from the </w:t>
      </w:r>
      <w:r>
        <w:rPr>
          <w:rStyle w:val="Text5"/>
        </w:rPr>
        <w:t>in</w:t>
      </w:r>
      <w:r>
        <w:t xml:space="preserve"> operator, which tests membership.</w:t>
      </w:r>
    </w:p>
    <w:p>
      <w:pPr>
        <w:pStyle w:val="Normal"/>
      </w:pPr>
      <w:r>
        <w:t xml:space="preserve">Here’s a rather typical </w:t>
      </w:r>
      <w:r>
        <w:rPr>
          <w:rStyle w:val="Text5"/>
        </w:rPr>
        <w:t>for</w:t>
      </w:r>
      <w:r>
        <w:t xml:space="preserve"> statement:</w:t>
      </w:r>
    </w:p>
    <w:p>
      <w:pPr>
        <w:pStyle w:val="Para 020"/>
      </w:pPr>
      <w:r>
        <w:rPr>
          <w:rStyle w:val="Text23"/>
        </w:rPr>
        <w:t xml:space="preserve"/>
        <w:br w:clear="none"/>
      </w:r>
      <w:r>
        <w:rPr>
          <w:rStyle w:val="Text10"/>
        </w:rPr>
        <w:t xml:space="preserve">for</w:t>
        <w:br w:clear="none"/>
      </w:r>
      <w:r>
        <w:rPr>
          <w:rStyle w:val="Text6"/>
        </w:rPr>
        <w:t xml:space="preserve"> </w:t>
        <w:br w:clear="none"/>
      </w:r>
      <w:r>
        <w:rPr>
          <w:rStyle w:val="Text9"/>
        </w:rPr>
        <w:t xml:space="preserve">letter</w:t>
        <w:br w:clear="none"/>
      </w:r>
      <w:r>
        <w:rPr>
          <w:rStyle w:val="Text6"/>
        </w:rPr>
        <w:t xml:space="preserve"> </w:t>
        <w:br w:clear="none"/>
      </w:r>
      <w:r>
        <w:rPr>
          <w:rStyle w:val="Text31"/>
        </w:rPr>
        <w:t xml:space="preserve">in</w:t>
        <w:br w:clear="none"/>
      </w:r>
      <w:r>
        <w:rPr>
          <w:rStyle w:val="Text6"/>
        </w:rPr>
        <w:t xml:space="preserve"> </w:t>
        <w:br w:clear="none"/>
      </w:r>
      <w:r>
        <w:t xml:space="preserve">'</w:t>
        <w:br w:clear="none"/>
        <w:t xml:space="preserve">ciao</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give me a </w:t>
        <w:br w:clear="none"/>
      </w:r>
      <w:r>
        <w:rPr>
          <w:rStyle w:val="Text32"/>
        </w:rPr>
        <w:t xml:space="preserve">{</w:t>
        <w:br w:clear="none"/>
      </w:r>
      <w:r>
        <w:rPr>
          <w:rStyle w:val="Text9"/>
        </w:rPr>
        <w:t xml:space="preserve">letter</w:t>
        <w:br w:clear="none"/>
      </w:r>
      <w:r>
        <w:rPr>
          <w:rStyle w:val="Text32"/>
        </w:rPr>
        <w:t xml:space="preserve">}</w:t>
        <w:br w:clear="none"/>
      </w:r>
      <w:r>
        <w:t xml:space="preserve">...</w:t>
        <w:br w:clear="none"/>
        <w:t xml:space="preserve">'</w:t>
        <w:br w:clear="none"/>
      </w:r>
      <w:r>
        <w:rPr>
          <w:rStyle w:val="Text7"/>
        </w:rPr>
        <w:t xml:space="preserve">)</w:t>
        <w:br w:clear="none"/>
      </w:r>
    </w:p>
    <w:p>
      <w:pPr>
        <w:pStyle w:val="Normal"/>
      </w:pPr>
      <w:r>
        <w:t xml:space="preserve">A </w:t>
      </w:r>
      <w:r>
        <w:rPr>
          <w:rStyle w:val="Text5"/>
        </w:rPr>
        <w:t>for</w:t>
      </w:r>
      <w:r>
        <w:t xml:space="preserve"> statement can also include an </w:t>
      </w:r>
      <w:r>
        <w:rPr>
          <w:rStyle w:val="Text5"/>
        </w:rPr>
        <w:t>else</w:t>
      </w:r>
      <w:r>
        <w:t xml:space="preserve"> clause and</w:t>
      </w:r>
      <w:r>
        <w:rPr>
          <w:rStyle w:val="Text111"/>
        </w:rPr>
        <w:bookmarkStart w:id="1023" w:name="idm45965274549136"/>
        <w:t/>
        <w:bookmarkEnd w:id="1023"/>
      </w:r>
      <w:r>
        <w:t xml:space="preserve"> </w:t>
      </w:r>
      <w:r>
        <w:rPr>
          <w:rStyle w:val="Text5"/>
        </w:rPr>
        <w:t>break</w:t>
      </w:r>
      <w:r>
        <w:t xml:space="preserve"> and </w:t>
      </w:r>
      <w:r>
        <w:rPr>
          <w:rStyle w:val="Text5"/>
        </w:rPr>
        <w:t>continue</w:t>
      </w:r>
      <w:r>
        <w:t xml:space="preserve"> statements; we’ll discuss all of these shortly, starting with </w:t>
      </w:r>
      <w:hyperlink w:anchor="The_else_Clause_on_Loop_Statemen">
        <w:r>
          <w:rPr>
            <w:rStyle w:val="Text1"/>
          </w:rPr>
          <w:t>“The else Clause on Loop Statements”</w:t>
        </w:r>
      </w:hyperlink>
      <w:r>
        <w:t xml:space="preserve">. As mentioned previously, </w:t>
      </w:r>
      <w:r>
        <w:rPr>
          <w:rStyle w:val="Text3"/>
        </w:rPr>
        <w:t>iterable</w:t>
      </w:r>
      <w:r>
        <w:t xml:space="preserve"> may be any iterable Python expression. In particular, any sequence is iterable. The interpreter implicitly calls the built-in </w:t>
      </w:r>
      <w:r>
        <w:rPr>
          <w:rStyle w:val="Text0"/>
        </w:rPr>
        <w:t>iter</w:t>
      </w:r>
      <w:r>
        <w:t xml:space="preserve"> on the iterable, producing an </w:t>
      </w:r>
      <w:r>
        <w:rPr>
          <w:rStyle w:val="Text4"/>
        </w:rPr>
        <w:t>iterator</w:t>
      </w:r>
      <w:r>
        <w:t xml:space="preserve"> (discussed in the following subsection), which it then iterates over.</w:t>
      </w:r>
    </w:p>
    <w:p>
      <w:pPr>
        <w:pStyle w:val="Normal"/>
      </w:pPr>
      <w:r>
        <w:rPr>
          <w:rStyle w:val="Text3"/>
        </w:rPr>
        <w:t>target</w:t>
      </w:r>
      <w:r>
        <w:t xml:space="preserve"> is normally an identifier naming the </w:t>
      </w:r>
      <w:r>
        <w:rPr>
          <w:rStyle w:val="Text4"/>
        </w:rPr>
        <w:t>control variable</w:t>
      </w:r>
      <w:r>
        <w:t xml:space="preserve"> of the loop; the </w:t>
      </w:r>
      <w:r>
        <w:rPr>
          <w:rStyle w:val="Text5"/>
        </w:rPr>
        <w:t>for</w:t>
      </w:r>
      <w:r>
        <w:t xml:space="preserve"> statement successively rebinds this variable to each item of the iterator, in order. The statement or statements that make up the </w:t>
      </w:r>
      <w:r>
        <w:rPr>
          <w:rStyle w:val="Text4"/>
        </w:rPr>
        <w:t>loop body</w:t>
      </w:r>
      <w:r>
        <w:t xml:space="preserve"> execute once for each item in </w:t>
      </w:r>
      <w:r>
        <w:rPr>
          <w:rStyle w:val="Text3"/>
        </w:rPr>
        <w:t>iterable</w:t>
      </w:r>
      <w:r>
        <w:t xml:space="preserve"> (unless the loop ends because of an exception or a </w:t>
      </w:r>
      <w:r>
        <w:rPr>
          <w:rStyle w:val="Text5"/>
        </w:rPr>
        <w:t>break</w:t>
      </w:r>
      <w:r>
        <w:t xml:space="preserve"> or </w:t>
      </w:r>
      <w:r>
        <w:rPr>
          <w:rStyle w:val="Text5"/>
        </w:rPr>
        <w:t>return</w:t>
      </w:r>
      <w:r>
        <w:t xml:space="preserve"> statement). Since the loop body may terminate before the iterator is exhausted, this is one case in which you may use an </w:t>
      </w:r>
      <w:r>
        <w:rPr>
          <w:rStyle w:val="Text4"/>
        </w:rPr>
        <w:t>unbounded</w:t>
      </w:r>
      <w:r>
        <w:t xml:space="preserve"> iterable—one that, per se, would never cease yielding items.</w:t>
      </w:r>
    </w:p>
    <w:p>
      <w:pPr>
        <w:pStyle w:val="Normal"/>
      </w:pPr>
      <w:r>
        <w:t xml:space="preserve">You can also use a target with multiple identifiers, as in an unpacking assignment. In this case, the iterator’s items must themselves be iterables, each with exactly as many items as there are identifiers in the target. For example, when </w:t>
      </w:r>
      <w:r>
        <w:rPr>
          <w:rStyle w:val="Text3"/>
        </w:rPr>
        <w:t>d</w:t>
      </w:r>
      <w:r>
        <w:t xml:space="preserve"> is a dictionary, this is a typical way to loop on the items (key/value pairs) in </w:t>
      </w:r>
      <w:r>
        <w:rPr>
          <w:rStyle w:val="Text3"/>
        </w:rPr>
        <w:t>d</w:t>
      </w:r>
      <w:r>
        <w:t>:</w:t>
      </w:r>
    </w:p>
    <w:p>
      <w:pPr>
        <w:pStyle w:val="Para 014"/>
      </w:pPr>
      <w:r>
        <w:rPr>
          <w:rStyle w:val="Text116"/>
        </w:rPr>
        <w:t xml:space="preserve"/>
        <w:br w:clear="none"/>
      </w:r>
      <w:r>
        <w:rPr>
          <w:rStyle w:val="Text22"/>
        </w:rPr>
        <w:t xml:space="preserve">for</w:t>
        <w:br w:clear="none"/>
      </w:r>
      <w:r>
        <w:rPr>
          <w:rStyle w:val="Text11"/>
        </w:rPr>
        <w:t xml:space="preserve"> </w:t>
        <w:br w:clear="none"/>
      </w:r>
      <w:r>
        <w:rPr>
          <w:rStyle w:val="Text14"/>
        </w:rPr>
        <w:t xml:space="preserve">key</w:t>
        <w:br w:clear="none"/>
      </w:r>
      <w:r>
        <w:rPr>
          <w:rStyle w:val="Text19"/>
        </w:rPr>
        <w:t xml:space="preserve">,</w:t>
        <w:br w:clear="none"/>
      </w:r>
      <w:r>
        <w:rPr>
          <w:rStyle w:val="Text11"/>
        </w:rPr>
        <w:t xml:space="preserve"> </w:t>
        <w:br w:clear="none"/>
      </w:r>
      <w:r>
        <w:rPr>
          <w:rStyle w:val="Text14"/>
        </w:rPr>
        <w:t xml:space="preserve">value</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d</w:t>
        <w:br w:clear="none"/>
      </w:r>
      <w:r>
        <w:rPr>
          <w:rStyle w:val="Text28"/>
        </w:rPr>
        <w:t xml:space="preserve">.</w:t>
        <w:br w:clear="none"/>
      </w:r>
      <w:r>
        <w:rPr>
          <w:rStyle w:val="Text14"/>
        </w:rPr>
        <w:t xml:space="preserve">items</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4"/>
        </w:rPr>
        <w:t xml:space="preserve">key</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value</w:t>
        <w:br w:clear="none"/>
      </w:r>
      <w:r>
        <w:rPr>
          <w:rStyle w:val="Text19"/>
        </w:rPr>
        <w:t xml:space="preserve">:</w:t>
        <w:br w:clear="none"/>
      </w:r>
      <w:r>
        <w:rPr>
          <w:rStyle w:val="Text11"/>
        </w:rPr>
        <w:t xml:space="preserve">         </w:t>
        <w:br w:clear="none"/>
      </w:r>
      <w:r>
        <w:t xml:space="preserve"># print only truthy keys and values</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key</w:t>
        <w:br w:clear="none"/>
      </w:r>
      <w:r>
        <w:rPr>
          <w:rStyle w:val="Text19"/>
        </w:rPr>
        <w:t xml:space="preserve">,</w:t>
        <w:br w:clear="none"/>
      </w:r>
      <w:r>
        <w:rPr>
          <w:rStyle w:val="Text11"/>
        </w:rPr>
        <w:t xml:space="preserve"> </w:t>
        <w:br w:clear="none"/>
      </w:r>
      <w:r>
        <w:rPr>
          <w:rStyle w:val="Text14"/>
        </w:rPr>
        <w:t xml:space="preserve">value</w:t>
        <w:br w:clear="none"/>
      </w:r>
      <w:r>
        <w:rPr>
          <w:rStyle w:val="Text19"/>
        </w:rPr>
        <w:t xml:space="preserve">)</w:t>
        <w:br w:clear="none"/>
      </w:r>
    </w:p>
    <w:p>
      <w:pPr>
        <w:pStyle w:val="Normal"/>
      </w:pPr>
      <w:r>
        <w:t xml:space="preserve">The </w:t>
      </w:r>
      <w:r>
        <w:rPr>
          <w:rStyle w:val="Text0"/>
        </w:rPr>
        <w:t>items</w:t>
      </w:r>
      <w:r>
        <w:t xml:space="preserve"> method returns another kind of iterable (a </w:t>
      </w:r>
      <w:r>
        <w:rPr>
          <w:rStyle w:val="Text4"/>
        </w:rPr>
        <w:t>view</w:t>
      </w:r>
      <w:r>
        <w:t xml:space="preserve">), whose items are key/value pairs; so, we use a </w:t>
      </w:r>
      <w:r>
        <w:rPr>
          <w:rStyle w:val="Text5"/>
        </w:rPr>
        <w:t>for</w:t>
      </w:r>
      <w:r>
        <w:t xml:space="preserve"> loop with two identifiers in the target to unpack each item into </w:t>
      </w:r>
      <w:r>
        <w:rPr>
          <w:rStyle w:val="Text0"/>
        </w:rPr>
        <w:t>key</w:t>
      </w:r>
      <w:r>
        <w:t xml:space="preserve"> and </w:t>
      </w:r>
      <w:r>
        <w:rPr>
          <w:rStyle w:val="Text0"/>
        </w:rPr>
        <w:t>value</w:t>
      </w:r>
      <w:r>
        <w:t>.</w:t>
      </w:r>
    </w:p>
    <w:p>
      <w:pPr>
        <w:pStyle w:val="Normal"/>
      </w:pPr>
      <w:r>
        <w:t xml:space="preserve">Precisely </w:t>
      </w:r>
      <w:r>
        <w:rPr>
          <w:rStyle w:val="Text4"/>
        </w:rPr>
        <w:t>one</w:t>
      </w:r>
      <w:r>
        <w:t xml:space="preserve"> of the identifiers may be preceded by a star, in which case the starred identifier is bound to a list of all items not assigned to other targets. Although components of a target are commonly identifiers, values can be bound to any acceptable LHS expression, as covered in </w:t>
      </w:r>
      <w:hyperlink w:anchor="Assignment_Statements__Assignmen">
        <w:r>
          <w:rPr>
            <w:rStyle w:val="Text1"/>
          </w:rPr>
          <w:t>“Assignment Statements”</w:t>
        </w:r>
      </w:hyperlink>
      <w:r>
        <w:t>—so, the following is correct, although not the most readable style:</w:t>
      </w:r>
    </w:p>
    <w:p>
      <w:pPr>
        <w:pStyle w:val="Para 014"/>
      </w:pPr>
      <w:r>
        <w:rPr>
          <w:rStyle w:val="Text116"/>
        </w:rPr>
        <w:t xml:space="preserve"/>
        <w:br w:clear="none"/>
      </w:r>
      <w:r>
        <w:rPr>
          <w:rStyle w:val="Text14"/>
        </w:rPr>
        <w:t xml:space="preserve">prototype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17"/>
        </w:rPr>
        <w:t xml:space="preserve">'</w:t>
        <w:br w:clear="none"/>
        <w:t xml:space="preserve">placeholder</w:t>
        <w:br w:clear="none"/>
        <w:t xml:space="preserve">'</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br w:clear="none"/>
      </w:r>
      <w:r>
        <w:rPr>
          <w:rStyle w:val="Text22"/>
        </w:rPr>
        <w:t xml:space="preserve">for</w:t>
        <w:br w:clear="none"/>
      </w:r>
      <w:r>
        <w:rPr>
          <w:rStyle w:val="Text11"/>
        </w:rPr>
        <w:t xml:space="preserve"> </w:t>
        <w:br w:clear="none"/>
      </w:r>
      <w:r>
        <w:rPr>
          <w:rStyle w:val="Text14"/>
        </w:rPr>
        <w:t xml:space="preserve">prototype</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51"/>
        </w:rPr>
        <w:t xml:space="preserve">in</w:t>
        <w:br w:clear="none"/>
      </w:r>
      <w:r>
        <w:rPr>
          <w:rStyle w:val="Text11"/>
        </w:rPr>
        <w:t xml:space="preserve"> </w:t>
        <w:br w:clear="none"/>
      </w:r>
      <w:r>
        <w:rPr>
          <w:rStyle w:val="Text17"/>
        </w:rPr>
        <w:t xml:space="preserve">'</w:t>
        <w:br w:clear="none"/>
        <w:t xml:space="preserve">xyz</w:t>
        <w:br w:clear="none"/>
        <w:t xml:space="preserve">'</w:t>
        <w:br w:clear="none"/>
      </w:r>
      <w:r>
        <w:rPr>
          <w:rStyle w:val="Text19"/>
        </w:rPr>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prototype</w:t>
        <w:br w:clear="none"/>
      </w:r>
      <w:r>
        <w:rPr>
          <w:rStyle w:val="Text19"/>
        </w:rPr>
        <w:t xml:space="preserve">)</w:t>
        <w:br w:clear="none"/>
      </w:r>
      <w:r>
        <w:rPr>
          <w:rStyle w:val="Text11"/>
        </w:rPr>
        <w:t xml:space="preserve"/>
        <w:br w:clear="none"/>
      </w:r>
      <w:r>
        <w:t xml:space="preserve"># prints</w:t>
        <w:br w:clear="none"/>
      </w:r>
      <w:r>
        <w:rPr>
          <w:rStyle w:val="Text4"/>
        </w:rPr>
        <w:t xml:space="preserve"> </w:t>
        <w:br w:clear="none"/>
      </w:r>
      <w:r>
        <w:t xml:space="preserve">[1, 'x', 3]</w:t>
        <w:br w:clear="none"/>
        <w:t xml:space="preserve">,</w:t>
        <w:br w:clear="none"/>
      </w:r>
      <w:r>
        <w:rPr>
          <w:rStyle w:val="Text4"/>
        </w:rPr>
        <w:t xml:space="preserve"> </w:t>
        <w:br w:clear="none"/>
      </w:r>
      <w:r>
        <w:t xml:space="preserve">then</w:t>
        <w:br w:clear="none"/>
      </w:r>
      <w:r>
        <w:rPr>
          <w:rStyle w:val="Text4"/>
        </w:rPr>
        <w:t xml:space="preserve"> </w:t>
        <w:br w:clear="none"/>
      </w:r>
      <w:r>
        <w:t xml:space="preserve">[1, 'y', 3]</w:t>
        <w:br w:clear="none"/>
      </w:r>
      <w:r>
        <w:rPr>
          <w:rStyle w:val="Text4"/>
        </w:rPr>
        <w:t xml:space="preserve">, </w:t>
        <w:br w:clear="none"/>
      </w:r>
      <w:r>
        <w:t xml:space="preserve">then</w:t>
        <w:br w:clear="none"/>
      </w:r>
      <w:r>
        <w:rPr>
          <w:rStyle w:val="Text4"/>
        </w:rPr>
        <w:t xml:space="preserve"> </w:t>
        <w:br w:clear="none"/>
      </w:r>
      <w:r>
        <w:t xml:space="preserve">[1, 'z', 3]</w:t>
        <w:br w:clear="none"/>
      </w:r>
    </w:p>
    <w:p>
      <w:pPr>
        <w:keepNext/>
        <w:pStyle w:val="Heading 6"/>
        <w:keepLines w:val="on"/>
      </w:pPr>
      <w:r>
        <w:t>Don’t Alter Mutable Objects While Looping on Them</w:t>
      </w:r>
    </w:p>
    <w:p>
      <w:pPr>
        <w:pStyle w:val="Para 012"/>
        <w:keepLines w:val="on"/>
      </w:pPr>
      <w:r>
        <w:t>When</w:t>
      </w:r>
      <w:r>
        <w:rPr>
          <w:rStyle w:val="Text111"/>
        </w:rPr>
        <w:bookmarkStart w:id="1024" w:name="idm45965276061600"/>
        <w:t/>
        <w:bookmarkEnd w:id="1024"/>
      </w:r>
      <w:r>
        <w:t xml:space="preserve"> an iterator has a mutable underlying iterable, don’t alter that underlying object during the execution of a </w:t>
      </w:r>
      <w:r>
        <w:rPr>
          <w:rStyle w:val="Text5"/>
        </w:rPr>
        <w:t>for</w:t>
      </w:r>
      <w:r>
        <w:t xml:space="preserve"> loop on the iterable. For example, the preceding key/value printing example cannot alter </w:t>
      </w:r>
      <w:r>
        <w:rPr>
          <w:rStyle w:val="Text3"/>
        </w:rPr>
        <w:t>d</w:t>
      </w:r>
      <w:r>
        <w:t xml:space="preserve">. The </w:t>
      </w:r>
      <w:r>
        <w:rPr>
          <w:rStyle w:val="Text0"/>
        </w:rPr>
        <w:t>items</w:t>
      </w:r>
      <w:r>
        <w:t xml:space="preserve"> method returns a “view” iterable whose underlying object is </w:t>
      </w:r>
      <w:r>
        <w:rPr>
          <w:rStyle w:val="Text3"/>
        </w:rPr>
        <w:t>d</w:t>
      </w:r>
      <w:r>
        <w:t xml:space="preserve">, so the loop body cannot mutate the set of keys in </w:t>
      </w:r>
      <w:r>
        <w:rPr>
          <w:rStyle w:val="Text3"/>
        </w:rPr>
        <w:t>d</w:t>
      </w:r>
      <w:r>
        <w:t xml:space="preserve"> (e.g., by executing </w:t>
      </w:r>
      <w:r>
        <w:rPr>
          <w:rStyle w:val="Text5"/>
        </w:rPr>
        <w:t>del</w:t>
      </w:r>
      <w:r>
        <w:t xml:space="preserve"> </w:t>
      </w:r>
      <w:r>
        <w:rPr>
          <w:rStyle w:val="Text3"/>
        </w:rPr>
        <w:t>d</w:t>
      </w:r>
      <w:r>
        <w:t>[</w:t>
      </w:r>
      <w:r>
        <w:rPr>
          <w:rStyle w:val="Text3"/>
        </w:rPr>
        <w:t>key</w:t>
      </w:r>
      <w:r>
        <w:t xml:space="preserve">]). To ensure that </w:t>
      </w:r>
      <w:r>
        <w:rPr>
          <w:rStyle w:val="Text3"/>
        </w:rPr>
        <w:t>d</w:t>
      </w:r>
      <w:r>
        <w:t xml:space="preserve"> is not the underlying object of the iterable, you may, for example, iterate over </w:t>
      </w:r>
      <w:r>
        <w:rPr>
          <w:rStyle w:val="Text0"/>
        </w:rPr>
        <w:t>list(</w:t>
      </w:r>
      <w:r>
        <w:rPr>
          <w:rStyle w:val="Text3"/>
        </w:rPr>
        <w:t>d</w:t>
      </w:r>
      <w:r>
        <w:rPr>
          <w:rStyle w:val="Text0"/>
        </w:rPr>
        <w:t>.items())</w:t>
      </w:r>
      <w:r>
        <w:t xml:space="preserve"> to allow the loop body to mutate </w:t>
      </w:r>
      <w:r>
        <w:rPr>
          <w:rStyle w:val="Text3"/>
        </w:rPr>
        <w:t>d</w:t>
      </w:r>
      <w:r>
        <w:t>. Specifically:</w:t>
      </w:r>
    </w:p>
    <w:p>
      <w:pPr>
        <w:pStyle w:val="Para 041"/>
        <w:keepLines w:val="on"/>
      </w:pPr>
      <w:r>
        <w:t>When looping on a list, do not insert, append, or delete items (rebinding an item at an existing index is OK).</w:t>
      </w:r>
    </w:p>
    <w:p>
      <w:pPr>
        <w:pStyle w:val="Para 041"/>
        <w:keepLines w:val="on"/>
      </w:pPr>
      <w:r>
        <w:t>When looping on a dictionary, do not add or delete items (rebinding the value for an existing key is OK).</w:t>
      </w:r>
    </w:p>
    <w:p>
      <w:pPr>
        <w:pStyle w:val="Para 041"/>
        <w:keepLines w:val="on"/>
      </w:pPr>
      <w:r>
        <w:t>When looping on a set, do not add or delete items (no alteration is permitted).</w:t>
      </w:r>
    </w:p>
    <w:p>
      <w:pPr>
        <w:pStyle w:val="Normal"/>
      </w:pPr>
      <w:r>
        <w:t xml:space="preserve">The loop body may rebind the control target variable(s), but the next iteration of the loop always rebinds them again. If the iterator yields no items, the loop body does not execute at all. In this case, the </w:t>
      </w:r>
      <w:r>
        <w:rPr>
          <w:rStyle w:val="Text5"/>
        </w:rPr>
        <w:t>for</w:t>
      </w:r>
      <w:r>
        <w:t xml:space="preserve"> statement does not bind or rebind its control variable in any way. If the iterator yields at least one item, however, then when the loop statement ends, the control variable remains bound to the last value to which the loop statement bound it. The following code is therefore correct </w:t>
      </w:r>
      <w:r>
        <w:rPr>
          <w:rStyle w:val="Text4"/>
        </w:rPr>
        <w:t>only</w:t>
      </w:r>
      <w:r>
        <w:t xml:space="preserve"> when </w:t>
      </w:r>
      <w:r>
        <w:rPr>
          <w:rStyle w:val="Text0"/>
        </w:rPr>
        <w:t>someseq</w:t>
      </w:r>
      <w:r>
        <w:t xml:space="preserve"> is not empty:</w:t>
      </w:r>
    </w:p>
    <w:p>
      <w:pPr>
        <w:pStyle w:val="Para 014"/>
      </w:pPr>
      <w:r>
        <w:rPr>
          <w:rStyle w:val="Text116"/>
        </w:rPr>
        <w:t xml:space="preserve"/>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someseq</w:t>
        <w:br w:clear="none"/>
      </w:r>
      <w:r>
        <w:rPr>
          <w:rStyle w:val="Text19"/>
        </w:rPr>
        <w:t xml:space="preserve">:</w:t>
        <w:br w:clear="none"/>
      </w:r>
      <w:r>
        <w:rPr>
          <w:rStyle w:val="Text11"/>
        </w:rPr>
        <w:t xml:space="preserve"/>
        <w:br w:clear="none"/>
        <w:t xml:space="preserve">    </w:t>
        <w:br w:clear="none"/>
      </w:r>
      <w:r>
        <w:rPr>
          <w:rStyle w:val="Text14"/>
        </w:rPr>
        <w:t xml:space="preserve">process</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br w:clear="none"/>
      </w:r>
      <w:r>
        <w:t xml:space="preserve"># potential NameError if someseq is empty</w:t>
        <w:br w:clear="none"/>
      </w:r>
      <w:r>
        <w:rPr>
          <w:rStyle w:val="Text11"/>
        </w:rPr>
        <w:t xml:space="preserve"/>
        <w:br w:clear="none"/>
      </w:r>
      <w:r>
        <w:rPr>
          <w:rStyle w:val="Text21"/>
        </w:rPr>
        <w:t xml:space="preserve">print</w:t>
        <w:br w:clear="none"/>
      </w:r>
      <w:r>
        <w:rPr>
          <w:rStyle w:val="Text19"/>
        </w:rPr>
        <w:t xml:space="preserve">(</w:t>
        <w:br w:clear="none"/>
      </w:r>
      <w:r>
        <w:rPr>
          <w:rStyle w:val="Text11"/>
        </w:rPr>
        <w:t xml:space="preserve">f</w:t>
        <w:br w:clear="none"/>
      </w:r>
      <w:r>
        <w:rPr>
          <w:rStyle w:val="Text17"/>
        </w:rPr>
        <w:t xml:space="preserve">'</w:t>
        <w:br w:clear="none"/>
        <w:t xml:space="preserve">Last item processed was </w:t>
        <w:br w:clear="none"/>
      </w:r>
      <w:r>
        <w:rPr>
          <w:rStyle w:val="Text64"/>
        </w:rPr>
        <w:t xml:space="preserve">{</w:t>
        <w:br w:clear="none"/>
      </w:r>
      <w:r>
        <w:rPr>
          <w:rStyle w:val="Text14"/>
        </w:rPr>
        <w:t xml:space="preserve">x</w:t>
        <w:br w:clear="none"/>
      </w:r>
      <w:r>
        <w:rPr>
          <w:rStyle w:val="Text64"/>
        </w:rPr>
        <w:t xml:space="preserve">}</w:t>
        <w:br w:clear="none"/>
      </w:r>
      <w:r>
        <w:rPr>
          <w:rStyle w:val="Text17"/>
        </w:rPr>
        <w:t xml:space="preserve">'</w:t>
        <w:br w:clear="none"/>
      </w:r>
      <w:r>
        <w:rPr>
          <w:rStyle w:val="Text19"/>
        </w:rPr>
        <w:t xml:space="preserve">)</w:t>
        <w:br w:clear="none"/>
      </w:r>
    </w:p>
    <w:p>
      <w:bookmarkStart w:id="1025" w:name="Iterators__An_iterator_is_an_obj"/>
      <w:pPr>
        <w:keepNext/>
        <w:pStyle w:val="Heading 2"/>
      </w:pPr>
      <w:r>
        <w:t>Iterators</w:t>
      </w:r>
      <w:bookmarkEnd w:id="1025"/>
    </w:p>
    <w:p>
      <w:pPr>
        <w:pStyle w:val="Normal"/>
      </w:pPr>
      <w:r>
        <w:t>An</w:t>
      </w:r>
      <w:r>
        <w:rPr>
          <w:rStyle w:val="Text111"/>
        </w:rPr>
        <w:bookmarkStart w:id="1026" w:name="idm45965275998912"/>
        <w:t/>
        <w:bookmarkEnd w:id="1026"/>
        <w:bookmarkStart w:id="1027" w:name="idm45965275997152"/>
        <w:t/>
        <w:bookmarkEnd w:id="1027"/>
      </w:r>
      <w:r>
        <w:t xml:space="preserve"> </w:t>
      </w:r>
      <w:r>
        <w:rPr>
          <w:rStyle w:val="Text4"/>
        </w:rPr>
        <w:t>iterator</w:t>
      </w:r>
      <w:r>
        <w:t xml:space="preserve"> is an object </w:t>
      </w:r>
      <w:r>
        <w:rPr>
          <w:rStyle w:val="Text3"/>
        </w:rPr>
        <w:t>i</w:t>
      </w:r>
      <w:r>
        <w:t xml:space="preserve"> such that you can call </w:t>
      </w:r>
      <w:r>
        <w:rPr>
          <w:rStyle w:val="Text0"/>
        </w:rPr>
        <w:t>next(</w:t>
      </w:r>
      <w:r>
        <w:rPr>
          <w:rStyle w:val="Text3"/>
        </w:rPr>
        <w:t>i</w:t>
      </w:r>
      <w:r>
        <w:rPr>
          <w:rStyle w:val="Text0"/>
        </w:rPr>
        <w:t>)</w:t>
      </w:r>
      <w:r>
        <w:t xml:space="preserve">, which returns the next item of iterator </w:t>
      </w:r>
      <w:r>
        <w:rPr>
          <w:rStyle w:val="Text3"/>
        </w:rPr>
        <w:t>i</w:t>
      </w:r>
      <w:r>
        <w:t xml:space="preserve"> or, when exhausted, raises a </w:t>
      </w:r>
      <w:r>
        <w:rPr>
          <w:rStyle w:val="Text0"/>
        </w:rPr>
        <w:t>StopIteration</w:t>
      </w:r>
      <w:r>
        <w:t xml:space="preserve"> exception. Alternatively, you can call </w:t>
      </w:r>
      <w:r>
        <w:rPr>
          <w:rStyle w:val="Text0"/>
        </w:rPr>
        <w:t>next(</w:t>
      </w:r>
      <w:r>
        <w:rPr>
          <w:rStyle w:val="Text3"/>
        </w:rPr>
        <w:t>i</w:t>
      </w:r>
      <w:r>
        <w:rPr>
          <w:rStyle w:val="Text0"/>
        </w:rPr>
        <w:t>,</w:t>
      </w:r>
      <w:r>
        <w:t xml:space="preserve"> </w:t>
      </w:r>
      <w:r>
        <w:rPr>
          <w:rStyle w:val="Text3"/>
        </w:rPr>
        <w:t>default</w:t>
      </w:r>
      <w:r>
        <w:rPr>
          <w:rStyle w:val="Text0"/>
        </w:rPr>
        <w:t>)</w:t>
      </w:r>
      <w:r>
        <w:t xml:space="preserve">, in which case, when iterator </w:t>
      </w:r>
      <w:r>
        <w:rPr>
          <w:rStyle w:val="Text3"/>
        </w:rPr>
        <w:t>i</w:t>
      </w:r>
      <w:r>
        <w:t xml:space="preserve"> has no more items, the call returns </w:t>
      </w:r>
      <w:r>
        <w:rPr>
          <w:rStyle w:val="Text3"/>
        </w:rPr>
        <w:t>default</w:t>
      </w:r>
      <w:r>
        <w:t>.</w:t>
      </w:r>
    </w:p>
    <w:p>
      <w:pPr>
        <w:pStyle w:val="Normal"/>
      </w:pPr>
      <w:r>
        <w:t xml:space="preserve">When you write a class (see </w:t>
      </w:r>
      <w:hyperlink w:anchor="Classes_and_Instances__If_you_re">
        <w:r>
          <w:rPr>
            <w:rStyle w:val="Text1"/>
          </w:rPr>
          <w:t>“Classes and Instances”</w:t>
        </w:r>
      </w:hyperlink>
      <w:r>
        <w:t xml:space="preserve">), you can let instances of the class be iterators by defining a special method </w:t>
      </w:r>
      <w:r>
        <w:rPr>
          <w:rStyle w:val="Text0"/>
        </w:rPr>
        <w:t>__next__</w:t>
      </w:r>
      <w:r>
        <w:t xml:space="preserve"> that takes no argument except</w:t>
      </w:r>
      <w:r>
        <w:rPr>
          <w:rStyle w:val="Text111"/>
        </w:rPr>
        <w:bookmarkStart w:id="1028" w:name="idm45965275965888"/>
        <w:t/>
        <w:bookmarkEnd w:id="1028"/>
      </w:r>
      <w:r>
        <w:t xml:space="preserve"> </w:t>
      </w:r>
      <w:r>
        <w:rPr>
          <w:rStyle w:val="Text0"/>
        </w:rPr>
        <w:t>self</w:t>
      </w:r>
      <w:r>
        <w:t xml:space="preserve">, and returns the next item or raises </w:t>
      </w:r>
      <w:r>
        <w:rPr>
          <w:rStyle w:val="Text0"/>
        </w:rPr>
        <w:t>StopIteration</w:t>
      </w:r>
      <w:r>
        <w:t xml:space="preserve">. Most iterators are built by implicit or explicit calls to the built-in function </w:t>
      </w:r>
      <w:r>
        <w:rPr>
          <w:rStyle w:val="Text0"/>
        </w:rPr>
        <w:t>iter</w:t>
      </w:r>
      <w:r>
        <w:t xml:space="preserve">, covered in </w:t>
      </w:r>
      <w:hyperlink w:anchor="Table_8_2__Python_s_core_built_i">
        <w:r>
          <w:rPr>
            <w:rStyle w:val="Text1"/>
          </w:rPr>
          <w:t>Table 8-2</w:t>
        </w:r>
      </w:hyperlink>
      <w:r>
        <w:t xml:space="preserve">. Calling a generator also returns an iterator, as we discuss in </w:t>
      </w:r>
      <w:hyperlink w:anchor="Generators__When_the_body_of_a_f">
        <w:r>
          <w:rPr>
            <w:rStyle w:val="Text1"/>
          </w:rPr>
          <w:t>“Generators”</w:t>
        </w:r>
      </w:hyperlink>
      <w:r>
        <w:t>.</w:t>
      </w:r>
    </w:p>
    <w:p>
      <w:pPr>
        <w:pStyle w:val="Normal"/>
      </w:pPr>
      <w:r>
        <w:t xml:space="preserve">As pointed out previously, the </w:t>
      </w:r>
      <w:r>
        <w:rPr>
          <w:rStyle w:val="Text5"/>
        </w:rPr>
        <w:t>for</w:t>
      </w:r>
      <w:r>
        <w:t xml:space="preserve"> statement implicitly calls </w:t>
      </w:r>
      <w:r>
        <w:rPr>
          <w:rStyle w:val="Text0"/>
        </w:rPr>
        <w:t>iter</w:t>
      </w:r>
      <w:r>
        <w:t xml:space="preserve"> on its iterable to get an iterator. The statement:</w:t>
      </w:r>
    </w:p>
    <w:p>
      <w:pPr>
        <w:pStyle w:val="Para 032"/>
      </w:pPr>
      <w:r>
        <w:rPr>
          <w:rStyle w:val="Text116"/>
        </w:rPr>
        <w:t xml:space="preserve"/>
        <w:br w:clear="none"/>
      </w:r>
      <w:r>
        <w:rPr>
          <w:rStyle w:val="Text22"/>
        </w:rPr>
        <w:t xml:space="preserve">for</w:t>
        <w:br w:clear="none"/>
      </w:r>
      <w:r>
        <w:rPr>
          <w:rStyle w:val="Text11"/>
        </w:rPr>
        <w:t xml:space="preserve"> </w:t>
        <w:br w:clear="none"/>
      </w:r>
      <w:r>
        <w:rPr>
          <w:rStyle w:val="Text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4"/>
        </w:rPr>
        <w:t xml:space="preserve">c</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t>is exactly equivalent to:</w:t>
      </w:r>
    </w:p>
    <w:p>
      <w:pPr>
        <w:pStyle w:val="Para 032"/>
      </w:pPr>
      <w:r>
        <w:rPr>
          <w:rStyle w:val="Text116"/>
        </w:rPr>
        <w:t xml:space="preserve"/>
        <w:br w:clear="none"/>
      </w:r>
      <w:r>
        <w:t xml:space="preserve">_temporary_iterator</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iter</w:t>
        <w:br w:clear="none"/>
      </w:r>
      <w:r>
        <w:rPr>
          <w:rStyle w:val="Text19"/>
        </w:rPr>
        <w:t xml:space="preserve">(</w:t>
        <w:br w:clear="none"/>
      </w:r>
      <w:r>
        <w:rPr>
          <w:rStyle w:val="Text4"/>
        </w:rPr>
        <w:t xml:space="preserve">c</w:t>
        <w:br w:clear="none"/>
      </w:r>
      <w:r>
        <w:rPr>
          <w:rStyle w:val="Text19"/>
        </w:rPr>
        <w:t xml:space="preserve">)</w:t>
        <w:br w:clear="none"/>
      </w:r>
      <w:r>
        <w:rPr>
          <w:rStyle w:val="Text11"/>
        </w:rPr>
        <w:t xml:space="preserve"/>
        <w:br w:clear="none"/>
      </w:r>
      <w:r>
        <w:rPr>
          <w:rStyle w:val="Text22"/>
        </w:rPr>
        <w:t xml:space="preserve">while</w:t>
        <w:br w:clear="none"/>
      </w:r>
      <w:r>
        <w:rPr>
          <w:rStyle w:val="Text59"/>
        </w:rPr>
        <w:t xml:space="preserve"> </w:t>
        <w:br w:clear="none"/>
      </w:r>
      <w:r>
        <w:rPr>
          <w:rStyle w:val="Text22"/>
        </w:rPr>
        <w:t xml:space="preserve">True</w:t>
        <w:br w:clear="none"/>
      </w:r>
      <w:r>
        <w:rPr>
          <w:rStyle w:val="Text19"/>
        </w:rPr>
        <w:t xml:space="preserve">:</w:t>
        <w:br w:clear="none"/>
      </w:r>
      <w:r>
        <w:rPr>
          <w:rStyle w:val="Text11"/>
        </w:rPr>
        <w:t xml:space="preserve"/>
        <w:br w:clear="none"/>
        <w:t xml:space="preserve">    </w:t>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next</w:t>
        <w:br w:clear="none"/>
      </w:r>
      <w:r>
        <w:rPr>
          <w:rStyle w:val="Text19"/>
        </w:rPr>
        <w:t xml:space="preserve">(</w:t>
        <w:br w:clear="none"/>
      </w:r>
      <w:r>
        <w:t xml:space="preserve">_</w:t>
        <w:br w:clear="none"/>
        <w:t xml:space="preserve">temporary_iterator</w:t>
        <w:br w:clear="none"/>
      </w:r>
      <w:r>
        <w:rPr>
          <w:rStyle w:val="Text19"/>
        </w:rPr>
        <w:t xml:space="preserve">)</w:t>
        <w:br w:clear="none"/>
      </w:r>
      <w:r>
        <w:rPr>
          <w:rStyle w:val="Text11"/>
        </w:rPr>
        <w:t xml:space="preserve"/>
        <w:br w:clear="none"/>
      </w:r>
      <w:r>
        <w:rPr>
          <w:rStyle w:val="Text59"/>
        </w:rPr>
        <w:t xml:space="preserve">    </w:t>
        <w:br w:clear="none"/>
      </w:r>
      <w:r>
        <w:rPr>
          <w:rStyle w:val="Text22"/>
        </w:rPr>
        <w:t xml:space="preserve">except</w:t>
        <w:br w:clear="none"/>
      </w:r>
      <w:r>
        <w:rPr>
          <w:rStyle w:val="Text11"/>
        </w:rPr>
        <w:t xml:space="preserve"> </w:t>
        <w:br w:clear="none"/>
      </w:r>
      <w:r>
        <w:rPr>
          <w:rStyle w:val="Text56"/>
        </w:rPr>
        <w:t xml:space="preserve">StopIteration</w:t>
        <w:br w:clear="none"/>
      </w:r>
      <w:r>
        <w:rPr>
          <w:rStyle w:val="Text51"/>
        </w:rPr>
        <w:t xml:space="preserve">:</w:t>
        <w:br w:clear="none"/>
      </w:r>
      <w:r>
        <w:rPr>
          <w:rStyle w:val="Text11"/>
        </w:rPr>
        <w:t xml:space="preserve"/>
        <w:br w:clear="none"/>
      </w:r>
      <w:r>
        <w:rPr>
          <w:rStyle w:val="Text59"/>
        </w:rPr>
        <w:t xml:space="preserve">        </w:t>
        <w:br w:clear="none"/>
      </w:r>
      <w:r>
        <w:rPr>
          <w:rStyle w:val="Text22"/>
        </w:rPr>
        <w:t xml:space="preserve">break</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t xml:space="preserve">where </w:t>
      </w:r>
      <w:r>
        <w:rPr>
          <w:rStyle w:val="Text3"/>
        </w:rPr>
        <w:t>_temporary_iterator</w:t>
      </w:r>
      <w:r>
        <w:t xml:space="preserve"> is an arbitrary name not used elsewhere in the current scope.</w:t>
      </w:r>
    </w:p>
    <w:p>
      <w:pPr>
        <w:pStyle w:val="Normal"/>
      </w:pPr>
      <w:r>
        <w:t>Thus, when</w:t>
      </w:r>
      <w:r>
        <w:rPr>
          <w:rStyle w:val="Text111"/>
        </w:rPr>
        <w:bookmarkStart w:id="1029" w:name="idm45965275891072"/>
        <w:t/>
        <w:bookmarkEnd w:id="1029"/>
      </w:r>
      <w:r>
        <w:t xml:space="preserve"> </w:t>
      </w:r>
      <w:r>
        <w:rPr>
          <w:rStyle w:val="Text0"/>
        </w:rPr>
        <w:t>iter(</w:t>
      </w:r>
      <w:r>
        <w:rPr>
          <w:rStyle w:val="Text3"/>
        </w:rPr>
        <w:t>c</w:t>
      </w:r>
      <w:r>
        <w:rPr>
          <w:rStyle w:val="Text0"/>
        </w:rPr>
        <w:t>)</w:t>
      </w:r>
      <w:r>
        <w:t xml:space="preserve"> returns an iterator </w:t>
      </w:r>
      <w:r>
        <w:rPr>
          <w:rStyle w:val="Text3"/>
        </w:rPr>
        <w:t>i</w:t>
      </w:r>
      <w:r>
        <w:t xml:space="preserve"> such that </w:t>
      </w:r>
      <w:r>
        <w:rPr>
          <w:rStyle w:val="Text0"/>
        </w:rPr>
        <w:t>next(</w:t>
      </w:r>
      <w:r>
        <w:rPr>
          <w:rStyle w:val="Text3"/>
        </w:rPr>
        <w:t>i</w:t>
      </w:r>
      <w:r>
        <w:rPr>
          <w:rStyle w:val="Text0"/>
        </w:rPr>
        <w:t>)</w:t>
      </w:r>
      <w:r>
        <w:t xml:space="preserve"> never raises </w:t>
      </w:r>
      <w:r>
        <w:rPr>
          <w:rStyle w:val="Text0"/>
        </w:rPr>
        <w:t>StopIteration</w:t>
      </w:r>
      <w:r>
        <w:t xml:space="preserve"> (an </w:t>
      </w:r>
      <w:r>
        <w:rPr>
          <w:rStyle w:val="Text4"/>
        </w:rPr>
        <w:t>unbounded iterator</w:t>
      </w:r>
      <w:r>
        <w:t xml:space="preserve">), the loop </w:t>
      </w:r>
      <w:r>
        <w:rPr>
          <w:rStyle w:val="Text5"/>
        </w:rPr>
        <w:t>for</w:t>
      </w:r>
      <w:r>
        <w:t xml:space="preserve"> </w:t>
      </w:r>
      <w:r>
        <w:rPr>
          <w:rStyle w:val="Text3"/>
        </w:rPr>
        <w:t>x</w:t>
      </w:r>
      <w:r>
        <w:t xml:space="preserve"> </w:t>
      </w:r>
      <w:r>
        <w:rPr>
          <w:rStyle w:val="Text5"/>
        </w:rPr>
        <w:t>in</w:t>
      </w:r>
      <w:r>
        <w:t xml:space="preserve"> </w:t>
      </w:r>
      <w:r>
        <w:rPr>
          <w:rStyle w:val="Text3"/>
        </w:rPr>
        <w:t>c</w:t>
      </w:r>
      <w:r>
        <w:t xml:space="preserve"> continues indefinitely unless the loop body includes suitable </w:t>
      </w:r>
      <w:r>
        <w:rPr>
          <w:rStyle w:val="Text5"/>
        </w:rPr>
        <w:t>break</w:t>
      </w:r>
      <w:r>
        <w:t xml:space="preserve"> or </w:t>
      </w:r>
      <w:r>
        <w:rPr>
          <w:rStyle w:val="Text5"/>
        </w:rPr>
        <w:t>return</w:t>
      </w:r>
      <w:r>
        <w:t xml:space="preserve"> statements, or raises or propagates exceptions. </w:t>
      </w:r>
      <w:r>
        <w:rPr>
          <w:rStyle w:val="Text0"/>
        </w:rPr>
        <w:t>iter(</w:t>
      </w:r>
      <w:r>
        <w:rPr>
          <w:rStyle w:val="Text3"/>
        </w:rPr>
        <w:t>c</w:t>
      </w:r>
      <w:r>
        <w:rPr>
          <w:rStyle w:val="Text0"/>
        </w:rPr>
        <w:t>)</w:t>
      </w:r>
      <w:r>
        <w:t xml:space="preserve">, in turn, calls the special method </w:t>
      </w:r>
      <w:r>
        <w:rPr>
          <w:rStyle w:val="Text3"/>
        </w:rPr>
        <w:t>c</w:t>
      </w:r>
      <w:r>
        <w:rPr>
          <w:rStyle w:val="Text0"/>
        </w:rPr>
        <w:t>.__iter__()</w:t>
      </w:r>
      <w:r>
        <w:t xml:space="preserve"> to obtain and return an iterator on </w:t>
      </w:r>
      <w:r>
        <w:rPr>
          <w:rStyle w:val="Text3"/>
        </w:rPr>
        <w:t>c</w:t>
      </w:r>
      <w:r>
        <w:t xml:space="preserve">. We’ll talk more about </w:t>
      </w:r>
      <w:r>
        <w:rPr>
          <w:rStyle w:val="Text0"/>
        </w:rPr>
        <w:t>__iter__</w:t>
      </w:r>
      <w:r>
        <w:t xml:space="preserve"> in the following subsection and in </w:t>
      </w:r>
      <w:hyperlink w:anchor="Container_methods__The_special_m">
        <w:r>
          <w:rPr>
            <w:rStyle w:val="Text1"/>
          </w:rPr>
          <w:t>“Container methods”</w:t>
        </w:r>
      </w:hyperlink>
      <w:r>
        <w:t>.</w:t>
      </w:r>
    </w:p>
    <w:p>
      <w:pPr>
        <w:pStyle w:val="Normal"/>
      </w:pPr>
      <w:r>
        <w:t xml:space="preserve">Many of the best ways to build and manipulate iterators are found in the standard library module </w:t>
      </w:r>
      <w:r>
        <w:rPr>
          <w:rStyle w:val="Text0"/>
        </w:rPr>
        <w:t>itertools</w:t>
      </w:r>
      <w:r>
        <w:t xml:space="preserve">, covered in </w:t>
      </w:r>
      <w:hyperlink w:anchor="The_itertools_Module__The_iterto">
        <w:r>
          <w:rPr>
            <w:rStyle w:val="Text1"/>
          </w:rPr>
          <w:t>“The itertools Module”</w:t>
        </w:r>
      </w:hyperlink>
      <w:r>
        <w:t>.</w:t>
      </w:r>
    </w:p>
    <w:p>
      <w:bookmarkStart w:id="1030" w:name="Iterables_versus_iterators__Pyth"/>
      <w:pPr>
        <w:keepNext/>
        <w:pStyle w:val="Heading 2"/>
      </w:pPr>
      <w:r>
        <w:t>Iterables versus iterators</w:t>
      </w:r>
      <w:bookmarkEnd w:id="1030"/>
    </w:p>
    <w:p>
      <w:pPr>
        <w:pStyle w:val="Normal"/>
      </w:pPr>
      <w:r>
        <w:t>Python’s</w:t>
      </w:r>
      <w:r>
        <w:rPr>
          <w:rStyle w:val="Text111"/>
        </w:rPr>
        <w:bookmarkStart w:id="1031" w:name="idm45965275845520"/>
        <w:t/>
        <w:bookmarkEnd w:id="1031"/>
      </w:r>
      <w:r>
        <w:t xml:space="preserve"> built-in sequences, like all iterables, implement an </w:t>
      </w:r>
      <w:r>
        <w:rPr>
          <w:rStyle w:val="Text0"/>
        </w:rPr>
        <w:t>__iter__</w:t>
      </w:r>
      <w:r>
        <w:t xml:space="preserve"> method, which the interpreter calls to produce an iterator over the iterable. Because each call to the built-in’s </w:t>
      </w:r>
      <w:r>
        <w:rPr>
          <w:rStyle w:val="Text0"/>
        </w:rPr>
        <w:t>__iter__</w:t>
      </w:r>
      <w:r>
        <w:t xml:space="preserve"> method produces a new iterator, it is possible to nest multiple iterations over the same iterable:</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iterable</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t xml:space="preserve">iterable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11"/>
        </w:rPr>
        <w:t xml:space="preserve">    </w:t>
        <w:br w:clear="none"/>
      </w:r>
      <w:r>
        <w:rPr>
          <w:rStyle w:val="Text6"/>
        </w:rPr>
        <w:t xml:space="preserve"> </w:t>
        <w:br w:clear="none"/>
      </w:r>
      <w:r>
        <w:rPr>
          <w:rStyle w:val="Text10"/>
        </w:rPr>
        <w:t xml:space="preserve">for</w:t>
        <w:br w:clear="none"/>
      </w:r>
      <w:r>
        <w:rPr>
          <w:rStyle w:val="Text6"/>
        </w:rPr>
        <w:t xml:space="preserve"> </w:t>
        <w:br w:clear="none"/>
      </w:r>
      <w:r>
        <w:t xml:space="preserve">j</w:t>
        <w:br w:clear="none"/>
      </w:r>
      <w:r>
        <w:rPr>
          <w:rStyle w:val="Text6"/>
        </w:rPr>
        <w:t xml:space="preserve"> </w:t>
        <w:br w:clear="none"/>
      </w:r>
      <w:r>
        <w:rPr>
          <w:rStyle w:val="Text31"/>
        </w:rPr>
        <w:t xml:space="preserve">in</w:t>
        <w:br w:clear="none"/>
      </w:r>
      <w:r>
        <w:rPr>
          <w:rStyle w:val="Text6"/>
        </w:rPr>
        <w:t xml:space="preserve"> </w:t>
        <w:br w:clear="none"/>
      </w:r>
      <w:r>
        <w:t xml:space="preserve">iterable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11"/>
        </w:rPr>
        <w:t xml:space="preserve">        </w:t>
        <w:br w:clear="none"/>
      </w:r>
      <w:r>
        <w:rPr>
          <w:rStyle w:val="Text6"/>
        </w:rPr>
        <w:t xml:space="preserve"> </w:t>
        <w:br w:clear="none"/>
      </w:r>
      <w:r>
        <w:rPr>
          <w:rStyle w:val="Text16"/>
        </w:rPr>
        <w:t xml:space="preserve">print</w:t>
        <w:br w:clear="none"/>
      </w:r>
      <w:r>
        <w:rPr>
          <w:rStyle w:val="Text7"/>
        </w:rPr>
        <w:t xml:space="preserve">(</w:t>
        <w:br w:clear="none"/>
      </w:r>
      <w:r>
        <w:t xml:space="preserve">i</w:t>
        <w:br w:clear="none"/>
      </w:r>
      <w:r>
        <w:rPr>
          <w:rStyle w:val="Text7"/>
        </w:rPr>
        <w:t xml:space="preserve">,</w:t>
        <w:br w:clear="none"/>
      </w:r>
      <w:r>
        <w:rPr>
          <w:rStyle w:val="Text6"/>
        </w:rPr>
        <w:t xml:space="preserve"> </w:t>
        <w:br w:clear="none"/>
      </w:r>
      <w:r>
        <w:t xml:space="preserve">j</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1 1</w:t>
        <w:br w:clear="none"/>
      </w:r>
      <w:r>
        <w:rPr>
          <w:rStyle w:val="Text48"/>
        </w:rPr>
        <w:t xml:space="preserve"/>
        <w:br w:clear="none"/>
      </w:r>
      <w:r>
        <w:t xml:space="preserve">1 2</w:t>
        <w:br w:clear="none"/>
      </w:r>
      <w:r>
        <w:rPr>
          <w:rStyle w:val="Text48"/>
        </w:rPr>
        <w:t xml:space="preserve"/>
        <w:br w:clear="none"/>
      </w:r>
      <w:r>
        <w:t xml:space="preserve">2 1</w:t>
        <w:br w:clear="none"/>
      </w:r>
      <w:r>
        <w:rPr>
          <w:rStyle w:val="Text48"/>
        </w:rPr>
        <w:t xml:space="preserve"/>
        <w:br w:clear="none"/>
      </w:r>
      <w:r>
        <w:t xml:space="preserve">2 2</w:t>
        <w:br w:clear="none"/>
      </w:r>
    </w:p>
    <w:p>
      <w:pPr>
        <w:pStyle w:val="Normal"/>
      </w:pPr>
      <w:r>
        <w:t xml:space="preserve">Iterators also implement an </w:t>
      </w:r>
      <w:r>
        <w:rPr>
          <w:rStyle w:val="Text0"/>
        </w:rPr>
        <w:t>__iter__</w:t>
      </w:r>
      <w:r>
        <w:t xml:space="preserve"> method, but it always returns </w:t>
      </w:r>
      <w:r>
        <w:rPr>
          <w:rStyle w:val="Text0"/>
        </w:rPr>
        <w:t>self</w:t>
      </w:r>
      <w:r>
        <w:t>, so nesting iterations over an iterator doesn’t work as you might expect:</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iterator</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iter</w:t>
        <w:br w:clear="none"/>
      </w:r>
      <w:r>
        <w:rPr>
          <w:rStyle w:val="Text7"/>
        </w:rPr>
        <w:t xml:space="preserve">(</w:t>
        <w:br w:clear="none"/>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t xml:space="preserve">iterator</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11"/>
        </w:rPr>
        <w:t xml:space="preserve">    </w:t>
        <w:br w:clear="none"/>
      </w:r>
      <w:r>
        <w:rPr>
          <w:rStyle w:val="Text6"/>
        </w:rPr>
        <w:t xml:space="preserve"> </w:t>
        <w:br w:clear="none"/>
      </w:r>
      <w:r>
        <w:rPr>
          <w:rStyle w:val="Text10"/>
        </w:rPr>
        <w:t xml:space="preserve">for</w:t>
        <w:br w:clear="none"/>
      </w:r>
      <w:r>
        <w:rPr>
          <w:rStyle w:val="Text6"/>
        </w:rPr>
        <w:t xml:space="preserve"> </w:t>
        <w:br w:clear="none"/>
      </w:r>
      <w:r>
        <w:t xml:space="preserve">j</w:t>
        <w:br w:clear="none"/>
      </w:r>
      <w:r>
        <w:rPr>
          <w:rStyle w:val="Text6"/>
        </w:rPr>
        <w:t xml:space="preserve"> </w:t>
        <w:br w:clear="none"/>
      </w:r>
      <w:r>
        <w:rPr>
          <w:rStyle w:val="Text31"/>
        </w:rPr>
        <w:t xml:space="preserve">in</w:t>
        <w:br w:clear="none"/>
      </w:r>
      <w:r>
        <w:rPr>
          <w:rStyle w:val="Text6"/>
        </w:rPr>
        <w:t xml:space="preserve"> </w:t>
        <w:br w:clear="none"/>
      </w:r>
      <w:r>
        <w:t xml:space="preserve">iterator</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11"/>
        </w:rPr>
        <w:t xml:space="preserve">        </w:t>
        <w:br w:clear="none"/>
      </w:r>
      <w:r>
        <w:rPr>
          <w:rStyle w:val="Text6"/>
        </w:rPr>
        <w:t xml:space="preserve"> </w:t>
        <w:br w:clear="none"/>
      </w:r>
      <w:r>
        <w:rPr>
          <w:rStyle w:val="Text16"/>
        </w:rPr>
        <w:t xml:space="preserve">print</w:t>
        <w:br w:clear="none"/>
      </w:r>
      <w:r>
        <w:rPr>
          <w:rStyle w:val="Text7"/>
        </w:rPr>
        <w:t xml:space="preserve">(</w:t>
        <w:br w:clear="none"/>
      </w:r>
      <w:r>
        <w:t xml:space="preserve">i</w:t>
        <w:br w:clear="none"/>
      </w:r>
      <w:r>
        <w:rPr>
          <w:rStyle w:val="Text7"/>
        </w:rPr>
        <w:t xml:space="preserve">,</w:t>
        <w:br w:clear="none"/>
      </w:r>
      <w:r>
        <w:rPr>
          <w:rStyle w:val="Text6"/>
        </w:rPr>
        <w:t xml:space="preserve"> </w:t>
        <w:br w:clear="none"/>
      </w:r>
      <w:r>
        <w:t xml:space="preserve">j</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1 2</w:t>
        <w:br w:clear="none"/>
      </w:r>
    </w:p>
    <w:p>
      <w:pPr>
        <w:pStyle w:val="Normal"/>
      </w:pPr>
      <w:r>
        <w:t>Here, both the inner and outer loops are iterating over the same iterator. By the time the inner loop first gets control, the first value from the iterator has already been consumed. The first iteration of the inner loop then exhausts the iterator, making both loops end upon attempting the next iteration.</w:t>
      </w:r>
    </w:p>
    <w:p>
      <w:bookmarkStart w:id="1032" w:name="range__Looping_over_a_sequence_o"/>
      <w:pPr>
        <w:keepNext/>
        <w:pStyle w:val="Heading 2"/>
      </w:pPr>
      <w:r>
        <w:t>range</w:t>
      </w:r>
      <w:bookmarkEnd w:id="1032"/>
    </w:p>
    <w:p>
      <w:pPr>
        <w:pStyle w:val="Normal"/>
      </w:pPr>
      <w:r>
        <w:t>Looping</w:t>
      </w:r>
      <w:r>
        <w:rPr>
          <w:rStyle w:val="Text111"/>
        </w:rPr>
        <w:bookmarkStart w:id="1033" w:name="idm45965275715792"/>
        <w:t/>
        <w:bookmarkEnd w:id="1033"/>
        <w:bookmarkStart w:id="1034" w:name="idm45965275714384"/>
        <w:t/>
        <w:bookmarkEnd w:id="1034"/>
      </w:r>
      <w:r>
        <w:t xml:space="preserve"> over a sequence of integers is a common task, so Python provides the built-in function </w:t>
      </w:r>
      <w:r>
        <w:rPr>
          <w:rStyle w:val="Text0"/>
        </w:rPr>
        <w:t>range</w:t>
      </w:r>
      <w:r>
        <w:t xml:space="preserve"> to generate an iterable over integers. The simplest way to loop </w:t>
      </w:r>
      <w:r>
        <w:rPr>
          <w:rStyle w:val="Text3"/>
        </w:rPr>
        <w:t>n</w:t>
      </w:r>
      <w:r>
        <w:t xml:space="preserve"> times in Python is:</w:t>
      </w:r>
    </w:p>
    <w:p>
      <w:pPr>
        <w:pStyle w:val="Para 032"/>
      </w:pPr>
      <w:r>
        <w:rPr>
          <w:rStyle w:val="Text116"/>
        </w:rPr>
        <w:t xml:space="preserve"/>
        <w:br w:clear="none"/>
      </w:r>
      <w:r>
        <w:rPr>
          <w:rStyle w:val="Text22"/>
        </w:rPr>
        <w:t xml:space="preserve">for</w:t>
        <w:br w:clear="none"/>
      </w:r>
      <w:r>
        <w:rPr>
          <w:rStyle w:val="Text11"/>
        </w:rPr>
        <w:t xml:space="preserve"> </w:t>
        <w:br w:clear="none"/>
      </w:r>
      <w:r>
        <w:rPr>
          <w:rStyle w:val="Text4"/>
        </w:rPr>
        <w:t xml:space="preserve">i</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t xml:space="preserve">n</w:t>
        <w:br w:clear="none"/>
      </w:r>
      <w:r>
        <w:rPr>
          <w:rStyle w:val="Text19"/>
        </w:rPr>
        <w:t xml:space="preserve">)</w:t>
        <w:br w:clear="none"/>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rPr>
          <w:rStyle w:val="Text0"/>
        </w:rPr>
        <w:t>range(</w:t>
      </w:r>
      <w:r>
        <w:rPr>
          <w:rStyle w:val="Text3"/>
        </w:rPr>
        <w:t>x</w:t>
      </w:r>
      <w:r>
        <w:rPr>
          <w:rStyle w:val="Text0"/>
        </w:rPr>
        <w:t>)</w:t>
      </w:r>
      <w:r>
        <w:t xml:space="preserve"> generates the consecutive integers from </w:t>
      </w:r>
      <w:r>
        <w:rPr>
          <w:rStyle w:val="Text0"/>
        </w:rPr>
        <w:t>0</w:t>
      </w:r>
      <w:r>
        <w:t xml:space="preserve"> (included) up to </w:t>
      </w:r>
      <w:r>
        <w:rPr>
          <w:rStyle w:val="Text3"/>
        </w:rPr>
        <w:t>x</w:t>
      </w:r>
      <w:r>
        <w:t xml:space="preserve"> (excluded). </w:t>
      </w:r>
      <w:r>
        <w:rPr>
          <w:rStyle w:val="Text0"/>
        </w:rPr>
        <w:t>range(</w:t>
      </w:r>
      <w:r>
        <w:rPr>
          <w:rStyle w:val="Text3"/>
        </w:rPr>
        <w:t>x</w:t>
      </w:r>
      <w:r>
        <w:rPr>
          <w:rStyle w:val="Text0"/>
        </w:rPr>
        <w:t>,</w:t>
      </w:r>
      <w:r>
        <w:t xml:space="preserve"> </w:t>
      </w:r>
      <w:r>
        <w:rPr>
          <w:rStyle w:val="Text3"/>
        </w:rPr>
        <w:t>y</w:t>
      </w:r>
      <w:r>
        <w:rPr>
          <w:rStyle w:val="Text0"/>
        </w:rPr>
        <w:t>)</w:t>
      </w:r>
      <w:r>
        <w:t xml:space="preserve"> generates a list whose items are consecutive integers from </w:t>
      </w:r>
      <w:r>
        <w:rPr>
          <w:rStyle w:val="Text3"/>
        </w:rPr>
        <w:t>x</w:t>
      </w:r>
      <w:r>
        <w:t xml:space="preserve"> (included) up to </w:t>
      </w:r>
      <w:r>
        <w:rPr>
          <w:rStyle w:val="Text3"/>
        </w:rPr>
        <w:t>y</w:t>
      </w:r>
      <w:r>
        <w:t xml:space="preserve"> (excluded). </w:t>
      </w:r>
      <w:r>
        <w:rPr>
          <w:rStyle w:val="Text0"/>
        </w:rPr>
        <w:t>range(</w:t>
      </w:r>
      <w:r>
        <w:rPr>
          <w:rStyle w:val="Text3"/>
        </w:rPr>
        <w:t>x</w:t>
      </w:r>
      <w:r>
        <w:rPr>
          <w:rStyle w:val="Text0"/>
        </w:rPr>
        <w:t>,</w:t>
      </w:r>
      <w:r>
        <w:t xml:space="preserve"> </w:t>
      </w:r>
      <w:r>
        <w:rPr>
          <w:rStyle w:val="Text3"/>
        </w:rPr>
        <w:t>y</w:t>
      </w:r>
      <w:r>
        <w:rPr>
          <w:rStyle w:val="Text0"/>
        </w:rPr>
        <w:t>,</w:t>
      </w:r>
      <w:r>
        <w:t xml:space="preserve"> </w:t>
      </w:r>
      <w:r>
        <w:rPr>
          <w:rStyle w:val="Text3"/>
        </w:rPr>
        <w:t>stride</w:t>
      </w:r>
      <w:r>
        <w:rPr>
          <w:rStyle w:val="Text0"/>
        </w:rPr>
        <w:t>)</w:t>
      </w:r>
      <w:r>
        <w:t xml:space="preserve"> generates a list of integers from </w:t>
      </w:r>
      <w:r>
        <w:rPr>
          <w:rStyle w:val="Text3"/>
        </w:rPr>
        <w:t>x</w:t>
      </w:r>
      <w:r>
        <w:t xml:space="preserve"> (included) up to </w:t>
      </w:r>
      <w:r>
        <w:rPr>
          <w:rStyle w:val="Text3"/>
        </w:rPr>
        <w:t>y</w:t>
      </w:r>
      <w:r>
        <w:t xml:space="preserve"> (excluded), such that the difference between each two adjacent items is </w:t>
      </w:r>
      <w:r>
        <w:rPr>
          <w:rStyle w:val="Text3"/>
        </w:rPr>
        <w:t>stride</w:t>
      </w:r>
      <w:r>
        <w:t xml:space="preserve">. If </w:t>
      </w:r>
      <w:r>
        <w:rPr>
          <w:rStyle w:val="Text3"/>
        </w:rPr>
        <w:t>stride</w:t>
      </w:r>
      <w:r>
        <w:t xml:space="preserve"> </w:t>
      </w:r>
      <w:r>
        <w:rPr>
          <w:rStyle w:val="Text0"/>
        </w:rPr>
        <w:t>&lt; 0</w:t>
      </w:r>
      <w:r>
        <w:t xml:space="preserve">, </w:t>
      </w:r>
      <w:r>
        <w:rPr>
          <w:rStyle w:val="Text0"/>
        </w:rPr>
        <w:t>range</w:t>
      </w:r>
      <w:r>
        <w:t xml:space="preserve"> counts down from </w:t>
      </w:r>
      <w:r>
        <w:rPr>
          <w:rStyle w:val="Text3"/>
        </w:rPr>
        <w:t>x</w:t>
      </w:r>
      <w:r>
        <w:t xml:space="preserve"> to </w:t>
      </w:r>
      <w:r>
        <w:rPr>
          <w:rStyle w:val="Text3"/>
        </w:rPr>
        <w:t>y</w:t>
      </w:r>
      <w:r>
        <w:t>.</w:t>
      </w:r>
    </w:p>
    <w:p>
      <w:pPr>
        <w:pStyle w:val="Normal"/>
      </w:pPr>
      <w:r>
        <w:rPr>
          <w:rStyle w:val="Text0"/>
        </w:rPr>
        <w:t>range</w:t>
      </w:r>
      <w:r>
        <w:t xml:space="preserve"> generates an empty iterator when </w:t>
      </w:r>
      <w:r>
        <w:rPr>
          <w:rStyle w:val="Text3"/>
        </w:rPr>
        <w:t>x</w:t>
      </w:r>
      <w:r>
        <w:t xml:space="preserve"> </w:t>
      </w:r>
      <w:r>
        <w:rPr>
          <w:rStyle w:val="Text0"/>
        </w:rPr>
        <w:t>&gt;=</w:t>
      </w:r>
      <w:r>
        <w:t xml:space="preserve"> </w:t>
      </w:r>
      <w:r>
        <w:rPr>
          <w:rStyle w:val="Text3"/>
        </w:rPr>
        <w:t>y</w:t>
      </w:r>
      <w:r>
        <w:t xml:space="preserve"> and </w:t>
      </w:r>
      <w:r>
        <w:rPr>
          <w:rStyle w:val="Text3"/>
        </w:rPr>
        <w:t>stride</w:t>
      </w:r>
      <w:r>
        <w:t xml:space="preserve"> </w:t>
      </w:r>
      <w:r>
        <w:rPr>
          <w:rStyle w:val="Text0"/>
        </w:rPr>
        <w:t>&gt;0</w:t>
      </w:r>
      <w:r>
        <w:t xml:space="preserve">, or when </w:t>
      </w:r>
      <w:r>
        <w:rPr>
          <w:rStyle w:val="Text3"/>
        </w:rPr>
        <w:t>x</w:t>
      </w:r>
      <w:r>
        <w:t xml:space="preserve"> </w:t>
      </w:r>
      <w:r>
        <w:rPr>
          <w:rStyle w:val="Text0"/>
        </w:rPr>
        <w:t>&lt;=</w:t>
      </w:r>
      <w:r>
        <w:t xml:space="preserve"> </w:t>
      </w:r>
      <w:r>
        <w:rPr>
          <w:rStyle w:val="Text3"/>
        </w:rPr>
        <w:t>y</w:t>
      </w:r>
      <w:r>
        <w:t xml:space="preserve"> and </w:t>
      </w:r>
      <w:r>
        <w:rPr>
          <w:rStyle w:val="Text3"/>
        </w:rPr>
        <w:t>stride</w:t>
      </w:r>
      <w:r>
        <w:t xml:space="preserve"> </w:t>
      </w:r>
      <w:r>
        <w:rPr>
          <w:rStyle w:val="Text0"/>
        </w:rPr>
        <w:t>&lt;0</w:t>
      </w:r>
      <w:r>
        <w:t xml:space="preserve">. When </w:t>
      </w:r>
      <w:r>
        <w:rPr>
          <w:rStyle w:val="Text3"/>
        </w:rPr>
        <w:t>stride</w:t>
      </w:r>
      <w:r>
        <w:t xml:space="preserve"> </w:t>
      </w:r>
      <w:r>
        <w:rPr>
          <w:rStyle w:val="Text0"/>
        </w:rPr>
        <w:t>==0</w:t>
      </w:r>
      <w:r>
        <w:t xml:space="preserve">, </w:t>
      </w:r>
      <w:r>
        <w:rPr>
          <w:rStyle w:val="Text0"/>
        </w:rPr>
        <w:t>range</w:t>
      </w:r>
      <w:r>
        <w:t xml:space="preserve"> raises an exception.</w:t>
      </w:r>
    </w:p>
    <w:p>
      <w:pPr>
        <w:pStyle w:val="Normal"/>
      </w:pPr>
      <w:r>
        <w:rPr>
          <w:rStyle w:val="Text0"/>
        </w:rPr>
        <w:t>range</w:t>
      </w:r>
      <w:r>
        <w:t xml:space="preserve"> returns a special-purpose object, intended just for use in iterations like the </w:t>
      </w:r>
      <w:r>
        <w:rPr>
          <w:rStyle w:val="Text5"/>
        </w:rPr>
        <w:t>for</w:t>
      </w:r>
      <w:r>
        <w:t xml:space="preserve"> statement shown previously. Note that </w:t>
      </w:r>
      <w:r>
        <w:rPr>
          <w:rStyle w:val="Text0"/>
        </w:rPr>
        <w:t>range</w:t>
      </w:r>
      <w:r>
        <w:t xml:space="preserve"> returns an iterable, not an iterator; you can easily obtain such an iterator, should you need one, by calling </w:t>
      </w:r>
      <w:r>
        <w:rPr>
          <w:rStyle w:val="Text0"/>
        </w:rPr>
        <w:t>iter(range(...))</w:t>
      </w:r>
      <w:r>
        <w:t xml:space="preserve">. The special-purpose object returned by </w:t>
      </w:r>
      <w:r>
        <w:rPr>
          <w:rStyle w:val="Text0"/>
        </w:rPr>
        <w:t>range</w:t>
      </w:r>
      <w:r>
        <w:t xml:space="preserve"> consumes less memory (for wide ranges, </w:t>
      </w:r>
      <w:r>
        <w:rPr>
          <w:rStyle w:val="Text4"/>
        </w:rPr>
        <w:t>much</w:t>
      </w:r>
      <w:r>
        <w:t xml:space="preserve"> less memory) than the equivalent </w:t>
      </w:r>
      <w:r>
        <w:rPr>
          <w:rStyle w:val="Text0"/>
        </w:rPr>
        <w:t>list</w:t>
      </w:r>
      <w:r>
        <w:t xml:space="preserve"> object would. If you really need a </w:t>
      </w:r>
      <w:r>
        <w:rPr>
          <w:rStyle w:val="Text0"/>
        </w:rPr>
        <w:t>list</w:t>
      </w:r>
      <w:r>
        <w:t xml:space="preserve"> that’s an arithmetic progression of </w:t>
      </w:r>
      <w:r>
        <w:rPr>
          <w:rStyle w:val="Text0"/>
        </w:rPr>
        <w:t>int</w:t>
      </w:r>
      <w:r>
        <w:t xml:space="preserve">s, call </w:t>
      </w:r>
      <w:r>
        <w:rPr>
          <w:rStyle w:val="Text0"/>
        </w:rPr>
        <w:t>list(range(...))</w:t>
      </w:r>
      <w:r>
        <w:t>. You will most often find that you don’t, in fact, need such a complete list to be fully built in memory.</w:t>
      </w:r>
    </w:p>
    <w:p>
      <w:bookmarkStart w:id="1035" w:name="List_comprehensions__A_common_us"/>
      <w:pPr>
        <w:keepNext/>
        <w:pStyle w:val="Heading 2"/>
      </w:pPr>
      <w:r>
        <w:t>List comprehensions</w:t>
      </w:r>
      <w:bookmarkEnd w:id="1035"/>
    </w:p>
    <w:p>
      <w:pPr>
        <w:pStyle w:val="Normal"/>
      </w:pPr>
      <w:r>
        <w:t>A</w:t>
      </w:r>
      <w:r>
        <w:rPr>
          <w:rStyle w:val="Text111"/>
        </w:rPr>
        <w:bookmarkStart w:id="1036" w:name="idm45965257982256"/>
        <w:t/>
        <w:bookmarkEnd w:id="1036"/>
        <w:bookmarkStart w:id="1037" w:name="listcomp03"/>
        <w:t/>
        <w:bookmarkEnd w:id="1037"/>
      </w:r>
      <w:r>
        <w:t xml:space="preserve"> common use of a </w:t>
      </w:r>
      <w:r>
        <w:rPr>
          <w:rStyle w:val="Text5"/>
        </w:rPr>
        <w:t>for</w:t>
      </w:r>
      <w:r>
        <w:t xml:space="preserve"> loop is to inspect each item in an iterable and build a new list by appending the results of an expression computed on some or all of the items. The expression form known as a </w:t>
      </w:r>
      <w:r>
        <w:rPr>
          <w:rStyle w:val="Text4"/>
        </w:rPr>
        <w:t>list comprehension</w:t>
      </w:r>
      <w:r>
        <w:t xml:space="preserve"> or </w:t>
      </w:r>
      <w:r>
        <w:rPr>
          <w:rStyle w:val="Text4"/>
        </w:rPr>
        <w:t>listcomp</w:t>
      </w:r>
      <w:r>
        <w:t xml:space="preserve"> lets you code this common idiom concisely and directly. Since a list comprehension is an expression (rather than a block of statements), you can use it wherever you need an expression (e.g., as an argument in a function call, in a </w:t>
      </w:r>
      <w:r>
        <w:rPr>
          <w:rStyle w:val="Text5"/>
        </w:rPr>
        <w:t>return</w:t>
      </w:r>
      <w:r>
        <w:t xml:space="preserve"> statement, or as a subexpression of some other expression).</w:t>
      </w:r>
    </w:p>
    <w:p>
      <w:pPr>
        <w:pStyle w:val="Normal"/>
      </w:pPr>
      <w:r>
        <w:t>A list comprehension has the following syntax:</w:t>
      </w:r>
    </w:p>
    <w:p>
      <w:pPr>
        <w:pStyle w:val="Para 032"/>
      </w:pPr>
      <w:r>
        <w:rPr>
          <w:rStyle w:val="Text116"/>
        </w:rPr>
        <w:t xml:space="preserve"/>
        <w:br w:clear="none"/>
      </w:r>
      <w:r>
        <w:rPr>
          <w:rStyle w:val="Text19"/>
        </w:rPr>
        <w:t xml:space="preserve">[</w:t>
        <w:br w:clear="none"/>
      </w:r>
      <w:r>
        <w:rPr>
          <w:rStyle w:val="Text11"/>
        </w:rPr>
        <w:t xml:space="preserve"> </w:t>
        <w:br w:clear="none"/>
      </w:r>
      <w:r>
        <w:t xml:space="preserve">expression</w:t>
        <w:br w:clear="none"/>
      </w:r>
      <w:r>
        <w:rPr>
          <w:rStyle w:val="Text11"/>
        </w:rPr>
        <w:t xml:space="preserve"> </w:t>
        <w:br w:clear="none"/>
      </w:r>
      <w:r>
        <w:rPr>
          <w:rStyle w:val="Text22"/>
        </w:rPr>
        <w:t xml:space="preserve">for</w:t>
        <w:br w:clear="none"/>
      </w:r>
      <w:r>
        <w:rPr>
          <w:rStyle w:val="Text11"/>
        </w:rPr>
        <w:t xml:space="preserve"> </w:t>
        <w:br w:clear="none"/>
      </w:r>
      <w:r>
        <w:t xml:space="preserve">target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r>
        <w:rPr>
          <w:rStyle w:val="Text6"/>
        </w:rPr>
        <w:t xml:space="preserve"> </w:t>
        <w:br w:clear="none"/>
      </w:r>
      <w:r>
        <w:t xml:space="preserve">lc</w:t>
        <w:br w:clear="none"/>
      </w:r>
      <w:r>
        <w:rPr>
          <w:rStyle w:val="Text13"/>
        </w:rPr>
        <w:t xml:space="preserve">-</w:t>
        <w:br w:clear="none"/>
      </w:r>
      <w:r>
        <w:t xml:space="preserve">clauses</w:t>
        <w:br w:clear="none"/>
      </w:r>
      <w:r>
        <w:rPr>
          <w:rStyle w:val="Text11"/>
        </w:rPr>
        <w:t xml:space="preserve"> </w:t>
        <w:br w:clear="none"/>
      </w:r>
      <w:r>
        <w:rPr>
          <w:rStyle w:val="Text19"/>
        </w:rPr>
        <w:t xml:space="preserve">]</w:t>
        <w:br w:clear="none"/>
      </w:r>
    </w:p>
    <w:p>
      <w:pPr>
        <w:pStyle w:val="Normal"/>
      </w:pPr>
      <w:r>
        <w:rPr>
          <w:rStyle w:val="Text3"/>
        </w:rPr>
        <w:t>target</w:t>
      </w:r>
      <w:r>
        <w:t xml:space="preserve"> and </w:t>
      </w:r>
      <w:r>
        <w:rPr>
          <w:rStyle w:val="Text3"/>
        </w:rPr>
        <w:t>iterable</w:t>
      </w:r>
      <w:r>
        <w:t xml:space="preserve"> in each </w:t>
      </w:r>
      <w:r>
        <w:rPr>
          <w:rStyle w:val="Text5"/>
        </w:rPr>
        <w:t>for</w:t>
      </w:r>
      <w:r>
        <w:t xml:space="preserve"> clause of a list comprehension have the same syntax and meaning as those in a regular </w:t>
      </w:r>
      <w:r>
        <w:rPr>
          <w:rStyle w:val="Text5"/>
        </w:rPr>
        <w:t>for</w:t>
      </w:r>
      <w:r>
        <w:t xml:space="preserve"> statement, and the </w:t>
      </w:r>
      <w:r>
        <w:rPr>
          <w:rStyle w:val="Text3"/>
        </w:rPr>
        <w:t>expression</w:t>
      </w:r>
      <w:r>
        <w:t xml:space="preserve"> in each </w:t>
      </w:r>
      <w:r>
        <w:rPr>
          <w:rStyle w:val="Text5"/>
        </w:rPr>
        <w:t>if</w:t>
      </w:r>
      <w:r>
        <w:t xml:space="preserve"> clause of a list comprehension has the same syntax and meaning as the </w:t>
      </w:r>
      <w:r>
        <w:rPr>
          <w:rStyle w:val="Text3"/>
        </w:rPr>
        <w:t>expression</w:t>
      </w:r>
      <w:r>
        <w:t xml:space="preserve"> in a regular </w:t>
      </w:r>
      <w:r>
        <w:rPr>
          <w:rStyle w:val="Text5"/>
        </w:rPr>
        <w:t>if</w:t>
      </w:r>
      <w:r>
        <w:t xml:space="preserve"> statement. When </w:t>
      </w:r>
      <w:r>
        <w:rPr>
          <w:rStyle w:val="Text3"/>
        </w:rPr>
        <w:t>expression</w:t>
      </w:r>
      <w:r>
        <w:t xml:space="preserve"> denotes a tuple, you must enclose it in parentheses.</w:t>
      </w:r>
    </w:p>
    <w:p>
      <w:pPr>
        <w:pStyle w:val="Normal"/>
      </w:pPr>
      <w:r>
        <w:rPr>
          <w:rStyle w:val="Text3"/>
        </w:rPr>
        <w:t>lc-clauses</w:t>
      </w:r>
      <w:r>
        <w:rPr>
          <w:rStyle w:val="Text105"/>
        </w:rPr>
        <w:bookmarkStart w:id="1038" w:name="idm45965257931600"/>
        <w:t xml:space="preserve"> </w:t>
        <w:bookmarkEnd w:id="1038"/>
      </w:r>
      <w:r>
        <w:t xml:space="preserve"> is a series of zero or more clauses, each with either this form:</w:t>
      </w:r>
    </w:p>
    <w:p>
      <w:pPr>
        <w:pStyle w:val="Para 032"/>
      </w:pPr>
      <w:r>
        <w:rPr>
          <w:rStyle w:val="Text116"/>
        </w:rPr>
        <w:t xml:space="preserve"/>
        <w:br w:clear="none"/>
      </w:r>
      <w:r>
        <w:rPr>
          <w:rStyle w:val="Text22"/>
        </w:rPr>
        <w:t xml:space="preserve">for</w:t>
        <w:br w:clear="none"/>
      </w:r>
      <w:r>
        <w:rPr>
          <w:rStyle w:val="Text11"/>
        </w:rPr>
        <w:t xml:space="preserve"> </w:t>
        <w:br w:clear="none"/>
      </w:r>
      <w:r>
        <w:t xml:space="preserve">target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p>
    <w:p>
      <w:pPr>
        <w:pStyle w:val="Normal"/>
      </w:pPr>
      <w:r>
        <w:t>or this form:</w:t>
      </w:r>
    </w:p>
    <w:p>
      <w:pPr>
        <w:pStyle w:val="Para 032"/>
      </w:pPr>
      <w:r>
        <w:rPr>
          <w:rStyle w:val="Text116"/>
        </w:rPr>
        <w:t xml:space="preserve"/>
        <w:br w:clear="none"/>
      </w:r>
      <w:r>
        <w:rPr>
          <w:rStyle w:val="Text22"/>
        </w:rPr>
        <w:t xml:space="preserve">if</w:t>
        <w:br w:clear="none"/>
      </w:r>
      <w:r>
        <w:rPr>
          <w:rStyle w:val="Text11"/>
        </w:rPr>
        <w:t xml:space="preserve"> </w:t>
        <w:br w:clear="none"/>
      </w:r>
      <w:r>
        <w:t xml:space="preserve">expression</w:t>
        <w:br w:clear="none"/>
      </w:r>
    </w:p>
    <w:p>
      <w:pPr>
        <w:pStyle w:val="Normal"/>
      </w:pPr>
      <w:r>
        <w:t xml:space="preserve">A list comprehension is equivalent to a </w:t>
      </w:r>
      <w:r>
        <w:rPr>
          <w:rStyle w:val="Text5"/>
        </w:rPr>
        <w:t>for</w:t>
      </w:r>
      <w:r>
        <w:t xml:space="preserve"> loop that builds the same list by repeated calls to the resulting list’s </w:t>
      </w:r>
      <w:r>
        <w:rPr>
          <w:rStyle w:val="Text0"/>
        </w:rPr>
        <w:t>append</w:t>
      </w:r>
      <w:r>
        <w:t xml:space="preserve"> method.</w:t>
      </w:r>
      <w:hyperlink w:anchor="24_Except_that_the_loop_variable">
        <w:r>
          <w:rPr>
            <w:rStyle w:val="Text41"/>
          </w:rPr>
          <w:bookmarkStart w:id="1039" w:name="24"/>
          <w:t>24</w:t>
          <w:bookmarkEnd w:id="1039"/>
        </w:r>
      </w:hyperlink>
      <w:r>
        <w:t xml:space="preserve"> For example (assigning the list comprehension result to a variable for clarity), this:</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x</w:t>
        <w:br w:clear="none"/>
      </w:r>
      <w:r>
        <w:rPr>
          <w:rStyle w:val="Text13"/>
        </w:rPr>
        <w:t xml:space="preserve">+</w:t>
        <w:br w:clear="none"/>
      </w:r>
      <w:r>
        <w:rPr>
          <w:rStyle w:val="Text27"/>
        </w:rPr>
        <w:t xml:space="preserve">1</w:t>
        <w:br w:clear="none"/>
      </w:r>
      <w:r>
        <w:rPr>
          <w:rStyle w:val="Text6"/>
        </w:rPr>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some_sequence</w:t>
        <w:br w:clear="none"/>
      </w:r>
      <w:r>
        <w:rPr>
          <w:rStyle w:val="Text7"/>
        </w:rPr>
        <w:t xml:space="preserve">]</w:t>
        <w:br w:clear="none"/>
      </w:r>
    </w:p>
    <w:p>
      <w:pPr>
        <w:pStyle w:val="Normal"/>
      </w:pPr>
      <w:r>
        <w:t xml:space="preserve">is just the same as the </w:t>
      </w:r>
      <w:r>
        <w:rPr>
          <w:rStyle w:val="Text5"/>
        </w:rPr>
        <w:t>for</w:t>
      </w:r>
      <w:r>
        <w:t xml:space="preserve"> loop:</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some_sequence</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append</w:t>
        <w:br w:clear="none"/>
      </w:r>
      <w:r>
        <w:rPr>
          <w:rStyle w:val="Text7"/>
        </w:rPr>
        <w:t xml:space="preserve">(</w:t>
        <w:br w:clear="none"/>
      </w:r>
      <w:r>
        <w:t xml:space="preserve">x</w:t>
        <w:br w:clear="none"/>
      </w:r>
      <w:r>
        <w:rPr>
          <w:rStyle w:val="Text13"/>
        </w:rPr>
        <w:t xml:space="preserve">+</w:t>
        <w:br w:clear="none"/>
      </w:r>
      <w:r>
        <w:rPr>
          <w:rStyle w:val="Text27"/>
        </w:rPr>
        <w:t xml:space="preserve">1</w:t>
        <w:br w:clear="none"/>
      </w:r>
      <w:r>
        <w:rPr>
          <w:rStyle w:val="Text7"/>
        </w:rPr>
        <w:t xml:space="preserve">)</w:t>
        <w:br w:clear="none"/>
      </w:r>
    </w:p>
    <w:p>
      <w:pPr>
        <w:keepNext/>
        <w:pStyle w:val="Heading 5"/>
        <w:keepLines w:val="on"/>
      </w:pPr>
      <w:r>
        <w:t>Don’t Build a List Unless You Need To</w:t>
      </w:r>
    </w:p>
    <w:p>
      <w:pPr>
        <w:pStyle w:val="Para 012"/>
        <w:keepLines w:val="on"/>
      </w:pPr>
      <w:r>
        <w:t>If</w:t>
      </w:r>
      <w:r>
        <w:rPr>
          <w:rStyle w:val="Text111"/>
        </w:rPr>
        <w:bookmarkStart w:id="1040" w:name="idm45965257823552"/>
        <w:t/>
        <w:bookmarkEnd w:id="1040"/>
        <w:bookmarkStart w:id="1041" w:name="idm45965257822064"/>
        <w:t/>
        <w:bookmarkEnd w:id="1041"/>
      </w:r>
      <w:r>
        <w:t xml:space="preserve"> you are just going to loop once over the items, you don’t need an actual indexable list: use a generator expression instead (covered in </w:t>
      </w:r>
      <w:hyperlink w:anchor="Generator_expressions__Python_of">
        <w:r>
          <w:rPr>
            <w:rStyle w:val="Text1"/>
          </w:rPr>
          <w:t>“Generator expressions”</w:t>
        </w:r>
      </w:hyperlink>
      <w:r>
        <w:t>). This avoids list creation and uses less memory. In particular, resist the temptation to use a list comprehension as a not particularly readable</w:t>
      </w:r>
      <w:r>
        <w:rPr>
          <w:rStyle w:val="Text111"/>
        </w:rPr>
        <w:bookmarkStart w:id="1042" w:name="idm45965257819856"/>
        <w:t/>
        <w:bookmarkEnd w:id="1042"/>
      </w:r>
      <w:r>
        <w:t xml:space="preserve"> “single-line loop,” like this:</w:t>
      </w:r>
    </w:p>
    <w:p>
      <w:pPr>
        <w:pStyle w:val="Para 070"/>
        <w:keepLines w:val="on"/>
      </w:pPr>
      <w:r>
        <w:rPr>
          <w:rStyle w:val="Text23"/>
        </w:rPr>
        <w:t xml:space="preserve"/>
        <w:br w:clear="none"/>
      </w:r>
      <w:r>
        <w:rPr>
          <w:rStyle w:val="Text7"/>
        </w:rPr>
        <w:t xml:space="preserve">[</w:t>
        <w:br w:clear="none"/>
      </w:r>
      <w:r>
        <w:t xml:space="preserve">fn</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seq</w:t>
        <w:br w:clear="none"/>
      </w:r>
      <w:r>
        <w:rPr>
          <w:rStyle w:val="Text7"/>
        </w:rPr>
        <w:t xml:space="preserve">]</w:t>
        <w:br w:clear="none"/>
      </w:r>
    </w:p>
    <w:p>
      <w:pPr>
        <w:pStyle w:val="Para 012"/>
        <w:keepLines w:val="on"/>
      </w:pPr>
      <w:r>
        <w:t xml:space="preserve">and then ignore the resulting list—just use a normal </w:t>
      </w:r>
      <w:r>
        <w:rPr>
          <w:rStyle w:val="Text37"/>
        </w:rPr>
        <w:t>for</w:t>
      </w:r>
      <w:r>
        <w:t xml:space="preserve"> loop instead!</w:t>
      </w:r>
    </w:p>
    <w:p>
      <w:pPr>
        <w:pStyle w:val="Normal"/>
      </w:pPr>
      <w:r>
        <w:t xml:space="preserve">Here’s a list comprehension that uses an </w:t>
      </w:r>
      <w:r>
        <w:rPr>
          <w:rStyle w:val="Text5"/>
        </w:rPr>
        <w:t>if</w:t>
      </w:r>
      <w:r>
        <w:t xml:space="preserve"> clause:</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x</w:t>
        <w:br w:clear="none"/>
      </w:r>
      <w:r>
        <w:rPr>
          <w:rStyle w:val="Text13"/>
        </w:rPr>
        <w:t xml:space="preserve">+</w:t>
        <w:br w:clear="none"/>
      </w:r>
      <w:r>
        <w:rPr>
          <w:rStyle w:val="Text27"/>
        </w:rPr>
        <w:t xml:space="preserve">1</w:t>
        <w:br w:clear="none"/>
      </w:r>
      <w:r>
        <w:rPr>
          <w:rStyle w:val="Text6"/>
        </w:rPr>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some_sequence</w:t>
        <w:br w:clear="none"/>
      </w:r>
      <w:r>
        <w:rPr>
          <w:rStyle w:val="Text6"/>
        </w:rPr>
        <w:t xml:space="preserve"> </w:t>
        <w:br w:clear="none"/>
      </w:r>
      <w:r>
        <w:rPr>
          <w:rStyle w:val="Text10"/>
        </w:rPr>
        <w:t xml:space="preserve">if</w:t>
        <w:br w:clear="none"/>
      </w:r>
      <w:r>
        <w:rPr>
          <w:rStyle w:val="Text6"/>
        </w:rPr>
        <w:t xml:space="preserve"> </w:t>
        <w:br w:clear="none"/>
      </w:r>
      <w:r>
        <w:t xml:space="preserve">x</w:t>
        <w:br w:clear="none"/>
      </w:r>
      <w:r>
        <w:rPr>
          <w:rStyle w:val="Text13"/>
        </w:rPr>
        <w:t xml:space="preserve">&gt;</w:t>
        <w:br w:clear="none"/>
      </w:r>
      <w:r>
        <w:rPr>
          <w:rStyle w:val="Text27"/>
        </w:rPr>
        <w:t xml:space="preserve">23</w:t>
        <w:br w:clear="none"/>
      </w:r>
      <w:r>
        <w:rPr>
          <w:rStyle w:val="Text7"/>
        </w:rPr>
        <w:t xml:space="preserve">]</w:t>
        <w:br w:clear="none"/>
      </w:r>
    </w:p>
    <w:p>
      <w:pPr>
        <w:pStyle w:val="Normal"/>
      </w:pPr>
      <w:r>
        <w:t xml:space="preserve">This list comprehension is the same as a </w:t>
      </w:r>
      <w:r>
        <w:rPr>
          <w:rStyle w:val="Text5"/>
        </w:rPr>
        <w:t>for</w:t>
      </w:r>
      <w:r>
        <w:t xml:space="preserve"> loop that contains an </w:t>
      </w:r>
      <w:r>
        <w:rPr>
          <w:rStyle w:val="Text5"/>
        </w:rPr>
        <w:t>if</w:t>
      </w:r>
      <w:r>
        <w:t xml:space="preserve"> statement:</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some_sequence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13"/>
        </w:rPr>
        <w:t xml:space="preserve">&gt;</w:t>
        <w:br w:clear="none"/>
      </w:r>
      <w:r>
        <w:rPr>
          <w:rStyle w:val="Text27"/>
        </w:rPr>
        <w:t xml:space="preserve">23</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append</w:t>
        <w:br w:clear="none"/>
      </w:r>
      <w:r>
        <w:rPr>
          <w:rStyle w:val="Text7"/>
        </w:rPr>
        <w:t xml:space="preserve">(</w:t>
        <w:br w:clear="none"/>
      </w:r>
      <w:r>
        <w:t xml:space="preserve">x</w:t>
        <w:br w:clear="none"/>
      </w:r>
      <w:r>
        <w:rPr>
          <w:rStyle w:val="Text13"/>
        </w:rPr>
        <w:t xml:space="preserve">+</w:t>
        <w:br w:clear="none"/>
      </w:r>
      <w:r>
        <w:rPr>
          <w:rStyle w:val="Text27"/>
        </w:rPr>
        <w:t xml:space="preserve">1</w:t>
        <w:br w:clear="none"/>
      </w:r>
      <w:r>
        <w:rPr>
          <w:rStyle w:val="Text7"/>
        </w:rPr>
        <w:t xml:space="preserve">)</w:t>
        <w:br w:clear="none"/>
      </w:r>
    </w:p>
    <w:p>
      <w:pPr>
        <w:pStyle w:val="Normal"/>
      </w:pPr>
      <w:r>
        <w:t xml:space="preserve">Here’s a list comprehension using a nested </w:t>
      </w:r>
      <w:r>
        <w:rPr>
          <w:rStyle w:val="Text5"/>
        </w:rPr>
        <w:t>for</w:t>
      </w:r>
      <w:r>
        <w:t xml:space="preserve"> clause to flatten a “list of lists” into a single list of items:</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x</w:t>
        <w:br w:clear="none"/>
      </w:r>
      <w:r>
        <w:rPr>
          <w:rStyle w:val="Text6"/>
        </w:rPr>
        <w:t xml:space="preserve"> </w:t>
        <w:br w:clear="none"/>
      </w:r>
      <w:r>
        <w:rPr>
          <w:rStyle w:val="Text10"/>
        </w:rPr>
        <w:t xml:space="preserve">for</w:t>
        <w:br w:clear="none"/>
      </w:r>
      <w:r>
        <w:rPr>
          <w:rStyle w:val="Text6"/>
        </w:rPr>
        <w:t xml:space="preserve"> </w:t>
        <w:br w:clear="none"/>
      </w:r>
      <w:r>
        <w:t xml:space="preserve">sublist</w:t>
        <w:br w:clear="none"/>
      </w:r>
      <w:r>
        <w:rPr>
          <w:rStyle w:val="Text6"/>
        </w:rPr>
        <w:t xml:space="preserve"> </w:t>
        <w:br w:clear="none"/>
      </w:r>
      <w:r>
        <w:rPr>
          <w:rStyle w:val="Text31"/>
        </w:rPr>
        <w:t xml:space="preserve">in</w:t>
        <w:br w:clear="none"/>
      </w:r>
      <w:r>
        <w:rPr>
          <w:rStyle w:val="Text6"/>
        </w:rPr>
        <w:t xml:space="preserve"> </w:t>
        <w:br w:clear="none"/>
      </w:r>
      <w:r>
        <w:t xml:space="preserve">listoflists</w:t>
        <w:br w:clear="none"/>
      </w:r>
      <w:r>
        <w:rPr>
          <w:rStyle w:val="Text6"/>
        </w:rPr>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sublist</w:t>
        <w:br w:clear="none"/>
      </w:r>
      <w:r>
        <w:rPr>
          <w:rStyle w:val="Text7"/>
        </w:rPr>
        <w:t xml:space="preserve">]</w:t>
        <w:br w:clear="none"/>
      </w:r>
    </w:p>
    <w:p>
      <w:pPr>
        <w:pStyle w:val="Normal"/>
      </w:pPr>
      <w:r>
        <w:t xml:space="preserve">This is the same as a </w:t>
      </w:r>
      <w:r>
        <w:rPr>
          <w:rStyle w:val="Text5"/>
        </w:rPr>
        <w:t>for</w:t>
      </w:r>
      <w:r>
        <w:t xml:space="preserve"> loop with another </w:t>
      </w:r>
      <w:r>
        <w:rPr>
          <w:rStyle w:val="Text5"/>
        </w:rPr>
        <w:t>for</w:t>
      </w:r>
      <w:r>
        <w:t xml:space="preserve"> loop nested inside:</w:t>
      </w:r>
    </w:p>
    <w:p>
      <w:pPr>
        <w:pStyle w:val="Para 007"/>
      </w:pPr>
      <w:r>
        <w:rPr>
          <w:rStyle w:val="Text23"/>
        </w:rPr>
        <w:t xml:space="preserve"/>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sublist</w:t>
        <w:br w:clear="none"/>
      </w:r>
      <w:r>
        <w:rPr>
          <w:rStyle w:val="Text6"/>
        </w:rPr>
        <w:t xml:space="preserve"> </w:t>
        <w:br w:clear="none"/>
      </w:r>
      <w:r>
        <w:rPr>
          <w:rStyle w:val="Text31"/>
        </w:rPr>
        <w:t xml:space="preserve">in</w:t>
        <w:br w:clear="none"/>
      </w:r>
      <w:r>
        <w:rPr>
          <w:rStyle w:val="Text6"/>
        </w:rPr>
        <w:t xml:space="preserve"> </w:t>
        <w:br w:clear="none"/>
      </w:r>
      <w:r>
        <w:t xml:space="preserve">listoflists</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sublist</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append</w:t>
        <w:br w:clear="none"/>
      </w:r>
      <w:r>
        <w:rPr>
          <w:rStyle w:val="Text7"/>
        </w:rPr>
        <w:t xml:space="preserve">(</w:t>
        <w:br w:clear="none"/>
      </w:r>
      <w:r>
        <w:t xml:space="preserve">x</w:t>
        <w:br w:clear="none"/>
      </w:r>
      <w:r>
        <w:rPr>
          <w:rStyle w:val="Text7"/>
        </w:rPr>
        <w:t xml:space="preserve">)</w:t>
        <w:br w:clear="none"/>
      </w:r>
      <w:r>
        <w:t xml:space="preserve">I</w:t>
        <w:br w:clear="none"/>
      </w:r>
    </w:p>
    <w:p>
      <w:pPr>
        <w:pStyle w:val="Normal"/>
      </w:pPr>
      <w:r>
        <w:t xml:space="preserve">As these examples show, the order of </w:t>
      </w:r>
      <w:r>
        <w:rPr>
          <w:rStyle w:val="Text5"/>
        </w:rPr>
        <w:t>for</w:t>
      </w:r>
      <w:r>
        <w:t xml:space="preserve"> and </w:t>
      </w:r>
      <w:r>
        <w:rPr>
          <w:rStyle w:val="Text5"/>
        </w:rPr>
        <w:t>if</w:t>
      </w:r>
      <w:r>
        <w:t xml:space="preserve"> in a list comprehension, is the same as in the equivalent loop, but, in the list comprehension the nesting remains implicit. If you remember “order </w:t>
      </w:r>
      <w:r>
        <w:rPr>
          <w:rStyle w:val="Text5"/>
        </w:rPr>
        <w:t>for</w:t>
      </w:r>
      <w:r>
        <w:t xml:space="preserve"> clauses as in a nested loop,” that can help you get the ordering of the list comprehension’s clauses right.</w:t>
      </w:r>
    </w:p>
    <w:p>
      <w:pPr>
        <w:keepNext/>
        <w:pStyle w:val="Heading 5"/>
        <w:keepLines w:val="on"/>
      </w:pPr>
      <w:r>
        <w:t>List Comprehensions and Variable Scope</w:t>
      </w:r>
    </w:p>
    <w:p>
      <w:pPr>
        <w:pStyle w:val="Para 012"/>
        <w:keepLines w:val="on"/>
      </w:pPr>
      <w:r>
        <w:t>A</w:t>
      </w:r>
      <w:r>
        <w:rPr>
          <w:rStyle w:val="Text111"/>
        </w:rPr>
        <w:bookmarkStart w:id="1043" w:name="idm45965257598864"/>
        <w:t/>
        <w:bookmarkEnd w:id="1043"/>
        <w:bookmarkStart w:id="1044" w:name="idm45965257597456"/>
        <w:t/>
        <w:bookmarkEnd w:id="1044"/>
      </w:r>
      <w:r>
        <w:t xml:space="preserve"> list comprehension expression evaluates in its own scope (as do set and dictionary comprehensions, described in the following sections, and generator expressions, discussed toward the end of this chapter). When a </w:t>
      </w:r>
      <w:r>
        <w:rPr>
          <w:rStyle w:val="Text3"/>
        </w:rPr>
        <w:t>target</w:t>
      </w:r>
      <w:r>
        <w:t xml:space="preserve"> component in the </w:t>
      </w:r>
      <w:r>
        <w:rPr>
          <w:rStyle w:val="Text37"/>
        </w:rPr>
        <w:t>for</w:t>
      </w:r>
      <w:r>
        <w:t xml:space="preserve"> statement is a name, the name is defined solely within the expression scope and is not available outside it.</w:t>
      </w:r>
      <w:r>
        <w:rPr>
          <w:rStyle w:val="Text111"/>
        </w:rPr>
        <w:bookmarkStart w:id="1045" w:name="idm45965257571088"/>
        <w:t/>
        <w:bookmarkEnd w:id="1045"/>
      </w:r>
    </w:p>
    <w:p>
      <w:bookmarkStart w:id="1046" w:name="Set_comprehensions__A_set_compre"/>
      <w:pPr>
        <w:keepNext/>
        <w:pStyle w:val="Heading 2"/>
      </w:pPr>
      <w:r>
        <w:t>Set comprehensions</w:t>
      </w:r>
      <w:bookmarkEnd w:id="1046"/>
    </w:p>
    <w:p>
      <w:pPr>
        <w:pStyle w:val="Normal"/>
      </w:pPr>
      <w:r>
        <w:t>A</w:t>
      </w:r>
      <w:r>
        <w:rPr>
          <w:rStyle w:val="Text111"/>
        </w:rPr>
        <w:bookmarkStart w:id="1047" w:name="idm45965257567904"/>
        <w:t/>
        <w:bookmarkEnd w:id="1047"/>
        <w:bookmarkStart w:id="1048" w:name="idm45965257566496"/>
        <w:t/>
        <w:bookmarkEnd w:id="1048"/>
      </w:r>
      <w:r>
        <w:t xml:space="preserve"> </w:t>
      </w:r>
      <w:r>
        <w:rPr>
          <w:rStyle w:val="Text4"/>
        </w:rPr>
        <w:t>set comprehension</w:t>
      </w:r>
      <w:r>
        <w:t xml:space="preserve"> has exactly the same syntax and semantics as a list comprehension, except that you enclose it in braces (</w:t>
      </w:r>
      <w:r>
        <w:rPr>
          <w:rStyle w:val="Text0"/>
        </w:rPr>
        <w:t>{}</w:t>
      </w:r>
      <w:r>
        <w:t>) rather than in brackets (</w:t>
      </w:r>
      <w:r>
        <w:rPr>
          <w:rStyle w:val="Text0"/>
        </w:rPr>
        <w:t>[]</w:t>
      </w:r>
      <w:r>
        <w:t xml:space="preserve">). The result is a </w:t>
      </w:r>
      <w:r>
        <w:rPr>
          <w:rStyle w:val="Text0"/>
        </w:rPr>
        <w:t>set</w:t>
      </w:r>
      <w:r>
        <w:t>; for example:</w:t>
      </w:r>
    </w:p>
    <w:p>
      <w:pPr>
        <w:pStyle w:val="Para 014"/>
      </w:pPr>
      <w:r>
        <w:rPr>
          <w:rStyle w:val="Text116"/>
        </w:rPr>
        <w:t xml:space="preserve"/>
        <w:br w:clear="none"/>
      </w:r>
      <w:r>
        <w:rPr>
          <w:rStyle w:val="Text14"/>
        </w:rPr>
        <w:t xml:space="preserve">s</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n</w:t>
        <w:br w:clear="none"/>
      </w:r>
      <w:r>
        <w:rPr>
          <w:rStyle w:val="Text28"/>
        </w:rPr>
        <w:t xml:space="preserve">/</w:t>
        <w:br w:clear="none"/>
        <w:t xml:space="preserve">/</w:t>
        <w:br w:clear="none"/>
      </w:r>
      <w:r>
        <w:rPr>
          <w:rStyle w:val="Text35"/>
        </w:rPr>
        <w:t xml:space="preserve">2</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n</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rPr>
          <w:rStyle w:val="Text35"/>
        </w:rPr>
        <w:t xml:space="preserve">10</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sorted</w:t>
        <w:br w:clear="none"/>
      </w:r>
      <w:r>
        <w:rPr>
          <w:rStyle w:val="Text19"/>
        </w:rPr>
        <w:t xml:space="preserve">(</w:t>
        <w:br w:clear="none"/>
      </w:r>
      <w:r>
        <w:rPr>
          <w:rStyle w:val="Text14"/>
        </w:rPr>
        <w:t xml:space="preserve">s</w:t>
        <w:br w:clear="none"/>
      </w:r>
      <w:r>
        <w:rPr>
          <w:rStyle w:val="Text19"/>
        </w:rPr>
        <w:t xml:space="preserve">)</w:t>
        <w:br w:clear="none"/>
        <w:t xml:space="preserve">)</w:t>
        <w:br w:clear="none"/>
      </w:r>
      <w:r>
        <w:rPr>
          <w:rStyle w:val="Text11"/>
        </w:rPr>
        <w:t xml:space="preserve">  </w:t>
        <w:br w:clear="none"/>
      </w:r>
      <w:r>
        <w:t xml:space="preserve"># prints: [0, 1, 2, 3, 4]</w:t>
        <w:br w:clear="none"/>
      </w:r>
    </w:p>
    <w:p>
      <w:pPr>
        <w:pStyle w:val="Normal"/>
      </w:pPr>
      <w:r>
        <w:t xml:space="preserve">A similar list comprehension would have each item repeated twice, but building a </w:t>
      </w:r>
      <w:r>
        <w:rPr>
          <w:rStyle w:val="Text0"/>
        </w:rPr>
        <w:t>set</w:t>
      </w:r>
      <w:r>
        <w:t xml:space="preserve"> removes duplicates.</w:t>
      </w:r>
    </w:p>
    <w:p>
      <w:bookmarkStart w:id="1049" w:name="Dictionary_comprehensions__A_dic"/>
      <w:pPr>
        <w:keepNext/>
        <w:pStyle w:val="Heading 2"/>
      </w:pPr>
      <w:r>
        <w:t>Dictionary comprehensions</w:t>
      </w:r>
      <w:bookmarkEnd w:id="1049"/>
    </w:p>
    <w:p>
      <w:pPr>
        <w:pStyle w:val="Normal"/>
      </w:pPr>
      <w:r>
        <w:t>A</w:t>
      </w:r>
      <w:r>
        <w:rPr>
          <w:rStyle w:val="Text111"/>
        </w:rPr>
        <w:bookmarkStart w:id="1050" w:name="idm45965257535712"/>
        <w:t/>
        <w:bookmarkEnd w:id="1050"/>
        <w:bookmarkStart w:id="1051" w:name="idm45965257534336"/>
        <w:t/>
        <w:bookmarkEnd w:id="1051"/>
      </w:r>
      <w:r>
        <w:t xml:space="preserve"> </w:t>
      </w:r>
      <w:r>
        <w:rPr>
          <w:rStyle w:val="Text4"/>
        </w:rPr>
        <w:t>dictionary comprehension</w:t>
      </w:r>
      <w:r>
        <w:t xml:space="preserve"> has the same syntax as a set comprehension, except that instead of a single expression before the </w:t>
      </w:r>
      <w:r>
        <w:rPr>
          <w:rStyle w:val="Text5"/>
        </w:rPr>
        <w:t>for</w:t>
      </w:r>
      <w:r>
        <w:t xml:space="preserve"> clause, you use two expressions with a colon (</w:t>
      </w:r>
      <w:r>
        <w:rPr>
          <w:rStyle w:val="Text0"/>
        </w:rPr>
        <w:t>:</w:t>
      </w:r>
      <w:r>
        <w:t xml:space="preserve">) between them: </w:t>
      </w:r>
      <w:r>
        <w:rPr>
          <w:rStyle w:val="Text3"/>
        </w:rPr>
        <w:t>key</w:t>
      </w:r>
      <w:r>
        <w:rPr>
          <w:rStyle w:val="Text0"/>
        </w:rPr>
        <w:t>:</w:t>
      </w:r>
      <w:r>
        <w:rPr>
          <w:rStyle w:val="Text3"/>
        </w:rPr>
        <w:t>value</w:t>
      </w:r>
      <w:r>
        <w:t xml:space="preserve">. The result is a </w:t>
      </w:r>
      <w:r>
        <w:rPr>
          <w:rStyle w:val="Text0"/>
        </w:rPr>
        <w:t>dict</w:t>
      </w:r>
      <w:r>
        <w:t>, which retains insertion</w:t>
      </w:r>
      <w:r>
        <w:rPr>
          <w:rStyle w:val="Text111"/>
        </w:rPr>
        <w:bookmarkStart w:id="1052" w:name="idm45965257503760"/>
        <w:t/>
        <w:bookmarkEnd w:id="1052"/>
      </w:r>
      <w:r>
        <w:t xml:space="preserve"> order. For example:</w:t>
      </w:r>
    </w:p>
    <w:p>
      <w:pPr>
        <w:pStyle w:val="Para 014"/>
      </w:pPr>
      <w:r>
        <w:rPr>
          <w:rStyle w:val="Text116"/>
        </w:rPr>
        <w:t xml:space="preserve"/>
        <w:br w:clear="none"/>
      </w:r>
      <w:r>
        <w:rPr>
          <w:rStyle w:val="Text14"/>
        </w:rPr>
        <w:t xml:space="preserve">d</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s</w:t>
        <w:br w:clear="none"/>
      </w:r>
      <w:r>
        <w:rPr>
          <w:rStyle w:val="Text19"/>
        </w:rPr>
        <w:t xml:space="preserve">:</w:t>
        <w:br w:clear="none"/>
      </w:r>
      <w:r>
        <w:rPr>
          <w:rStyle w:val="Text11"/>
        </w:rPr>
        <w:t xml:space="preserve"> </w:t>
        <w:br w:clear="none"/>
      </w:r>
      <w:r>
        <w:rPr>
          <w:rStyle w:val="Text14"/>
        </w:rPr>
        <w:t xml:space="preserve">i</w:t>
        <w:br w:clear="none"/>
      </w:r>
      <w:r>
        <w:rPr>
          <w:rStyle w:val="Text11"/>
        </w:rPr>
        <w:t xml:space="preserve"> </w:t>
        <w:br w:clear="none"/>
      </w:r>
      <w:r>
        <w:rPr>
          <w:rStyle w:val="Text22"/>
        </w:rPr>
        <w:t xml:space="preserve">for</w:t>
        <w:br w:clear="none"/>
      </w:r>
      <w:r>
        <w:rPr>
          <w:rStyle w:val="Text11"/>
        </w:rPr>
        <w:t xml:space="preserve"> </w:t>
        <w:br w:clear="none"/>
      </w:r>
      <w:r>
        <w:rPr>
          <w:rStyle w:val="Text19"/>
        </w:rPr>
        <w:t xml:space="preserve">(</w:t>
        <w:br w:clear="none"/>
      </w:r>
      <w:r>
        <w:rPr>
          <w:rStyle w:val="Text14"/>
        </w:rPr>
        <w:t xml:space="preserve">i</w:t>
        <w:br w:clear="none"/>
      </w:r>
      <w:r>
        <w:rPr>
          <w:rStyle w:val="Text19"/>
        </w:rPr>
        <w:t xml:space="preserve">,</w:t>
        <w:br w:clear="none"/>
      </w:r>
      <w:r>
        <w:rPr>
          <w:rStyle w:val="Text11"/>
        </w:rPr>
        <w:t xml:space="preserve"> </w:t>
        <w:br w:clear="none"/>
      </w:r>
      <w:r>
        <w:rPr>
          <w:rStyle w:val="Text14"/>
        </w:rPr>
        <w:t xml:space="preserve">s</w:t>
        <w:br w:clear="none"/>
      </w:r>
      <w:r>
        <w:rPr>
          <w:rStyle w:val="Text19"/>
        </w:rPr>
        <w:t xml:space="preserve">)</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enumerate</w:t>
        <w:br w:clear="none"/>
      </w:r>
      <w:r>
        <w:rPr>
          <w:rStyle w:val="Text19"/>
        </w:rPr>
        <w:t xml:space="preserve">(</w:t>
        <w:br w:clear="none"/>
        <w:t xml:space="preserve">[</w:t>
        <w:br w:clear="none"/>
      </w:r>
      <w:r>
        <w:rPr>
          <w:rStyle w:val="Text17"/>
        </w:rPr>
        <w:t xml:space="preserve">'</w:t>
        <w:br w:clear="none"/>
        <w:t xml:space="preserve">zero</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one</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two</w:t>
        <w:br w:clear="none"/>
        <w:t xml:space="preserve">'</w:t>
        <w:br w:clear="none"/>
      </w:r>
      <w:r>
        <w:rPr>
          <w:rStyle w:val="Text19"/>
        </w:rPr>
        <w:t xml:space="preserve">]</w:t>
        <w:br w:clear="none"/>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d</w:t>
        <w:br w:clear="none"/>
      </w:r>
      <w:r>
        <w:rPr>
          <w:rStyle w:val="Text19"/>
        </w:rPr>
        <w:t xml:space="preserve">)</w:t>
        <w:br w:clear="none"/>
      </w:r>
      <w:r>
        <w:rPr>
          <w:rStyle w:val="Text11"/>
        </w:rPr>
        <w:t xml:space="preserve">          </w:t>
        <w:br w:clear="none"/>
      </w:r>
      <w:r>
        <w:t xml:space="preserve"># prints: {'zero': 0, 'one': 1, 'two': 2}</w:t>
        <w:br w:clear="none"/>
      </w:r>
    </w:p>
    <w:p>
      <w:bookmarkStart w:id="1053" w:name="The_break_Statement__You_can_use"/>
      <w:pPr>
        <w:keepNext/>
        <w:pStyle w:val="Heading 2"/>
      </w:pPr>
      <w:r>
        <w:t>The break Statement</w:t>
      </w:r>
      <w:bookmarkEnd w:id="1053"/>
    </w:p>
    <w:p>
      <w:pPr>
        <w:pStyle w:val="Normal"/>
      </w:pPr>
      <w:r>
        <w:t>You</w:t>
      </w:r>
      <w:r>
        <w:rPr>
          <w:rStyle w:val="Text111"/>
        </w:rPr>
        <w:bookmarkStart w:id="1054" w:name="idm45965271069824"/>
        <w:t/>
        <w:bookmarkEnd w:id="1054"/>
        <w:bookmarkStart w:id="1055" w:name="idm45965271068064"/>
        <w:t/>
        <w:bookmarkEnd w:id="1055"/>
      </w:r>
      <w:r>
        <w:t xml:space="preserve"> can use a </w:t>
      </w:r>
      <w:r>
        <w:rPr>
          <w:rStyle w:val="Text5"/>
        </w:rPr>
        <w:t>break</w:t>
      </w:r>
      <w:r>
        <w:t xml:space="preserve"> statement </w:t>
      </w:r>
      <w:r>
        <w:rPr>
          <w:rStyle w:val="Text4"/>
        </w:rPr>
        <w:t>only</w:t>
      </w:r>
      <w:r>
        <w:t xml:space="preserve"> within a loop body. When </w:t>
      </w:r>
      <w:r>
        <w:rPr>
          <w:rStyle w:val="Text5"/>
        </w:rPr>
        <w:t>break</w:t>
      </w:r>
      <w:r>
        <w:t xml:space="preserve"> executes, the loop terminates </w:t>
      </w:r>
      <w:r>
        <w:rPr>
          <w:rStyle w:val="Text4"/>
        </w:rPr>
        <w:t>without executing any</w:t>
      </w:r>
      <w:r>
        <w:t xml:space="preserve"> </w:t>
      </w:r>
      <w:r>
        <w:rPr>
          <w:rStyle w:val="Text40"/>
        </w:rPr>
        <w:t>else</w:t>
      </w:r>
      <w:r>
        <w:t xml:space="preserve"> </w:t>
      </w:r>
      <w:r>
        <w:rPr>
          <w:rStyle w:val="Text4"/>
        </w:rPr>
        <w:t>clause on the loop</w:t>
      </w:r>
      <w:r>
        <w:t xml:space="preserve">. When loops are nested, a </w:t>
      </w:r>
      <w:r>
        <w:rPr>
          <w:rStyle w:val="Text5"/>
        </w:rPr>
        <w:t>break</w:t>
      </w:r>
      <w:r>
        <w:t xml:space="preserve"> terminates only the innermost nested loop. In practice, a </w:t>
      </w:r>
      <w:r>
        <w:rPr>
          <w:rStyle w:val="Text5"/>
        </w:rPr>
        <w:t>break</w:t>
      </w:r>
      <w:r>
        <w:t xml:space="preserve"> is typically within a clause of an </w:t>
      </w:r>
      <w:r>
        <w:rPr>
          <w:rStyle w:val="Text5"/>
        </w:rPr>
        <w:t>if</w:t>
      </w:r>
      <w:r>
        <w:t xml:space="preserve"> (or, occasionally, </w:t>
      </w:r>
      <w:r>
        <w:rPr>
          <w:rStyle w:val="Text5"/>
        </w:rPr>
        <w:t>match</w:t>
      </w:r>
      <w:r>
        <w:t xml:space="preserve">) statement in the loop body, so that </w:t>
      </w:r>
      <w:r>
        <w:rPr>
          <w:rStyle w:val="Text5"/>
        </w:rPr>
        <w:t>break</w:t>
      </w:r>
      <w:r>
        <w:t xml:space="preserve"> executes conditionally.</w:t>
      </w:r>
    </w:p>
    <w:p>
      <w:pPr>
        <w:pStyle w:val="Normal"/>
      </w:pPr>
      <w:r>
        <w:t xml:space="preserve">One common use of </w:t>
      </w:r>
      <w:r>
        <w:rPr>
          <w:rStyle w:val="Text5"/>
        </w:rPr>
        <w:t>break</w:t>
      </w:r>
      <w:r>
        <w:t xml:space="preserve"> is to implement a loop that decides whether it should keep looping only in the middle of each loop iteration (what Donald Knuth called the “loop and a half” structure in his great 1974 paper </w:t>
      </w:r>
      <w:hyperlink r:id="rId218">
        <w:r>
          <w:rPr>
            <w:rStyle w:val="Text1"/>
          </w:rPr>
          <w:t>“Structured Programming with go to Statements”</w:t>
        </w:r>
      </w:hyperlink>
      <w:hyperlink w:anchor="25_In_that_paper__Knuth_also_fir">
        <w:r>
          <w:rPr>
            <w:rStyle w:val="Text41"/>
          </w:rPr>
          <w:bookmarkStart w:id="1056" w:name="25"/>
          <w:t>25</w:t>
          <w:bookmarkEnd w:id="1056"/>
        </w:r>
      </w:hyperlink>
      <w:r>
        <w:t>). For example:</w:t>
      </w:r>
    </w:p>
    <w:p>
      <w:pPr>
        <w:pStyle w:val="Para 007"/>
      </w:pPr>
      <w:r>
        <w:rPr>
          <w:rStyle w:val="Text23"/>
        </w:rPr>
        <w:t xml:space="preserve"/>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t>
        <w:br w:clear="none"/>
      </w:r>
      <w:r>
        <w:rPr>
          <w:rStyle w:val="Text15"/>
        </w:rPr>
        <w:t xml:space="preserve"># this loop can never terminate "naturally"</w:t>
        <w:br w:clear="none"/>
      </w:r>
      <w:r>
        <w:rPr>
          <w:rStyle w:val="Text6"/>
        </w:rPr>
        <w:t xml:space="preserve"/>
        <w:br w:clear="none"/>
        <w:t xml:space="preserve">    </w:t>
        <w:br w:clear="none"/>
      </w:r>
      <w:r>
        <w:t xml:space="preserve">x</w:t>
        <w:br w:clear="none"/>
      </w:r>
      <w:r>
        <w:rPr>
          <w:rStyle w:val="Text6"/>
        </w:rPr>
        <w:t xml:space="preserve"> </w:t>
        <w:br w:clear="none"/>
      </w:r>
      <w:r>
        <w:rPr>
          <w:rStyle w:val="Text13"/>
        </w:rPr>
        <w:t xml:space="preserve">=</w:t>
        <w:br w:clear="none"/>
      </w:r>
      <w:r>
        <w:rPr>
          <w:rStyle w:val="Text6"/>
        </w:rPr>
        <w:t xml:space="preserve"> </w:t>
        <w:br w:clear="none"/>
      </w:r>
      <w:r>
        <w:t xml:space="preserve">get_next</w:t>
        <w:br w:clear="none"/>
      </w:r>
      <w:r>
        <w:rPr>
          <w:rStyle w:val="Text7"/>
        </w:rPr>
        <w:t xml:space="preserve">(</w:t>
        <w:br w:clear="none"/>
        <w:t xml:space="preserve">)</w:t>
        <w:br w:clear="none"/>
      </w:r>
      <w:r>
        <w:rPr>
          <w:rStyle w:val="Text6"/>
        </w:rPr>
        <w:t xml:space="preserve"/>
        <w:br w:clear="none"/>
        <w:t xml:space="preserve">    </w:t>
        <w:br w:clear="none"/>
      </w:r>
      <w:r>
        <w:t xml:space="preserve">y</w:t>
        <w:br w:clear="none"/>
      </w:r>
      <w:r>
        <w:rPr>
          <w:rStyle w:val="Text6"/>
        </w:rPr>
        <w:t xml:space="preserve"> </w:t>
        <w:br w:clear="none"/>
      </w:r>
      <w:r>
        <w:rPr>
          <w:rStyle w:val="Text13"/>
        </w:rPr>
        <w:t xml:space="preserve">=</w:t>
        <w:br w:clear="none"/>
      </w:r>
      <w:r>
        <w:rPr>
          <w:rStyle w:val="Text6"/>
        </w:rPr>
        <w:t xml:space="preserve"> </w:t>
        <w:br w:clear="none"/>
      </w:r>
      <w:r>
        <w:t xml:space="preserve">preprocess</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keep_looping</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y</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break</w:t>
        <w:br w:clear="none"/>
      </w:r>
      <w:r>
        <w:rPr>
          <w:rStyle w:val="Text6"/>
        </w:rPr>
        <w:t xml:space="preserve"/>
        <w:br w:clear="none"/>
        <w:t xml:space="preserve">    </w:t>
        <w:br w:clear="none"/>
      </w:r>
      <w:r>
        <w:t xml:space="preserve">process</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y</w:t>
        <w:br w:clear="none"/>
      </w:r>
      <w:r>
        <w:rPr>
          <w:rStyle w:val="Text7"/>
        </w:rPr>
        <w:t xml:space="preserve">)</w:t>
        <w:br w:clear="none"/>
      </w:r>
    </w:p>
    <w:p>
      <w:bookmarkStart w:id="1057" w:name="The_continue_Statement__Like_bre"/>
      <w:pPr>
        <w:keepNext/>
        <w:pStyle w:val="Heading 2"/>
      </w:pPr>
      <w:r>
        <w:t>The continue Statement</w:t>
      </w:r>
      <w:bookmarkEnd w:id="1057"/>
    </w:p>
    <w:p>
      <w:pPr>
        <w:pStyle w:val="Normal"/>
      </w:pPr>
      <w:r>
        <w:t>Like</w:t>
      </w:r>
      <w:r>
        <w:rPr>
          <w:rStyle w:val="Text111"/>
        </w:rPr>
        <w:bookmarkStart w:id="1058" w:name="idm45965270988672"/>
        <w:t/>
        <w:bookmarkEnd w:id="1058"/>
        <w:bookmarkStart w:id="1059" w:name="idm45965270987264"/>
        <w:t/>
        <w:bookmarkEnd w:id="1059"/>
      </w:r>
      <w:r>
        <w:t xml:space="preserve"> </w:t>
      </w:r>
      <w:r>
        <w:rPr>
          <w:rStyle w:val="Text5"/>
        </w:rPr>
        <w:t>break</w:t>
      </w:r>
      <w:r>
        <w:t xml:space="preserve">, the </w:t>
      </w:r>
      <w:r>
        <w:rPr>
          <w:rStyle w:val="Text5"/>
        </w:rPr>
        <w:t>continue</w:t>
      </w:r>
      <w:r>
        <w:t xml:space="preserve"> statement can exist only within a loop body. It causes the current iteration of the loop body to terminate, and execution continues with the next iteration of the loop. In practice, a </w:t>
      </w:r>
      <w:r>
        <w:rPr>
          <w:rStyle w:val="Text5"/>
        </w:rPr>
        <w:t>continue</w:t>
      </w:r>
      <w:r>
        <w:t xml:space="preserve"> is usually within a clause of an </w:t>
      </w:r>
      <w:r>
        <w:rPr>
          <w:rStyle w:val="Text5"/>
        </w:rPr>
        <w:t>if</w:t>
      </w:r>
      <w:r>
        <w:t xml:space="preserve"> (or, occasionally, a </w:t>
      </w:r>
      <w:r>
        <w:rPr>
          <w:rStyle w:val="Text5"/>
        </w:rPr>
        <w:t>match</w:t>
      </w:r>
      <w:r>
        <w:t xml:space="preserve">) statement in the loop body, so that </w:t>
      </w:r>
      <w:r>
        <w:rPr>
          <w:rStyle w:val="Text5"/>
        </w:rPr>
        <w:t>continue</w:t>
      </w:r>
      <w:r>
        <w:t xml:space="preserve"> executes conditionally.</w:t>
      </w:r>
    </w:p>
    <w:p>
      <w:pPr>
        <w:pStyle w:val="Normal"/>
      </w:pPr>
      <w:r>
        <w:t xml:space="preserve">Sometimes, a </w:t>
      </w:r>
      <w:r>
        <w:rPr>
          <w:rStyle w:val="Text5"/>
        </w:rPr>
        <w:t>continue</w:t>
      </w:r>
      <w:r>
        <w:t xml:space="preserve"> statement can take the place of nested </w:t>
      </w:r>
      <w:r>
        <w:rPr>
          <w:rStyle w:val="Text5"/>
        </w:rPr>
        <w:t>if</w:t>
      </w:r>
      <w:r>
        <w:t xml:space="preserve"> statements within a loop. For example, here each </w:t>
      </w:r>
      <w:r>
        <w:rPr>
          <w:rStyle w:val="Text0"/>
        </w:rPr>
        <w:t>x</w:t>
      </w:r>
      <w:r>
        <w:t xml:space="preserve"> has to pass multiple tests before being completely processed:</w:t>
      </w:r>
    </w:p>
    <w:p>
      <w:pPr>
        <w:pStyle w:val="Para 007"/>
      </w:pPr>
      <w:r>
        <w:rPr>
          <w:rStyle w:val="Text23"/>
        </w:rPr>
        <w:t xml:space="preserve"/>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some_container</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seems_ok</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lowbound</w:t>
        <w:br w:clear="none"/>
      </w:r>
      <w:r>
        <w:rPr>
          <w:rStyle w:val="Text7"/>
        </w:rPr>
        <w:t xml:space="preserve">,</w:t>
        <w:br w:clear="none"/>
      </w:r>
      <w:r>
        <w:rPr>
          <w:rStyle w:val="Text6"/>
        </w:rPr>
        <w:t xml:space="preserve"> </w:t>
        <w:br w:clear="none"/>
      </w:r>
      <w:r>
        <w:t xml:space="preserve">highbound</w:t>
        <w:br w:clear="none"/>
      </w:r>
      <w:r>
        <w:rPr>
          <w:rStyle w:val="Text6"/>
        </w:rPr>
        <w:t xml:space="preserve"> </w:t>
        <w:br w:clear="none"/>
      </w:r>
      <w:r>
        <w:rPr>
          <w:rStyle w:val="Text13"/>
        </w:rPr>
        <w:t xml:space="preserve">=</w:t>
        <w:br w:clear="none"/>
      </w:r>
      <w:r>
        <w:rPr>
          <w:rStyle w:val="Text6"/>
        </w:rPr>
        <w:t xml:space="preserve"> </w:t>
        <w:br w:clear="none"/>
      </w:r>
      <w:r>
        <w:t xml:space="preserve">bounds_to_test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lowbound</w:t>
        <w:br w:clear="none"/>
      </w:r>
      <w:r>
        <w:rPr>
          <w:rStyle w:val="Text6"/>
        </w:rPr>
        <w:t xml:space="preserve"> </w:t>
        <w:br w:clear="none"/>
      </w:r>
      <w:r>
        <w:rPr>
          <w:rStyle w:val="Text13"/>
        </w:rPr>
        <w:t xml:space="preserve">&lt;</w:t>
        <w:br w:clear="none"/>
        <w:t xml:space="preserve">=</w:t>
        <w:br w:clear="none"/>
      </w:r>
      <w:r>
        <w:rPr>
          <w:rStyle w:val="Text6"/>
        </w:rPr>
        <w:t xml:space="preserve"> </w:t>
        <w:br w:clear="none"/>
      </w:r>
      <w:r>
        <w:t xml:space="preserve">x</w:t>
        <w:br w:clear="none"/>
      </w:r>
      <w:r>
        <w:rPr>
          <w:rStyle w:val="Text6"/>
        </w:rPr>
        <w:t xml:space="preserve"> </w:t>
        <w:br w:clear="none"/>
      </w:r>
      <w:r>
        <w:rPr>
          <w:rStyle w:val="Text13"/>
        </w:rPr>
        <w:t xml:space="preserve">&lt;</w:t>
        <w:br w:clear="none"/>
      </w:r>
      <w:r>
        <w:rPr>
          <w:rStyle w:val="Text6"/>
        </w:rPr>
        <w:t xml:space="preserve"> </w:t>
        <w:br w:clear="none"/>
      </w:r>
      <w:r>
        <w:t xml:space="preserve">highbound</w:t>
        <w:br w:clear="none"/>
      </w:r>
      <w:r>
        <w:rPr>
          <w:rStyle w:val="Text7"/>
        </w:rPr>
        <w:t xml:space="preserve">:</w:t>
        <w:br w:clear="none"/>
      </w:r>
      <w:r>
        <w:rPr>
          <w:rStyle w:val="Text6"/>
        </w:rPr>
        <w:t xml:space="preserve"/>
        <w:br w:clear="none"/>
        <w:t xml:space="preserve">            </w:t>
        <w:br w:clear="none"/>
      </w:r>
      <w:r>
        <w:t xml:space="preserve">pre_process</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final_check</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do_processing</w:t>
        <w:br w:clear="none"/>
      </w:r>
      <w:r>
        <w:rPr>
          <w:rStyle w:val="Text7"/>
        </w:rPr>
        <w:t xml:space="preserve">(</w:t>
        <w:br w:clear="none"/>
      </w:r>
      <w:r>
        <w:t xml:space="preserve">x</w:t>
        <w:br w:clear="none"/>
      </w:r>
      <w:r>
        <w:rPr>
          <w:rStyle w:val="Text7"/>
        </w:rPr>
        <w:t xml:space="preserve">)</w:t>
        <w:br w:clear="none"/>
      </w:r>
    </w:p>
    <w:p>
      <w:pPr>
        <w:pStyle w:val="Normal"/>
      </w:pPr>
      <w:r>
        <w:t xml:space="preserve">Nesting increases with the number of conditions. Equivalent code with </w:t>
      </w:r>
      <w:r>
        <w:rPr>
          <w:rStyle w:val="Text5"/>
        </w:rPr>
        <w:t>continue</w:t>
      </w:r>
      <w:r>
        <w:t xml:space="preserve"> “flattens” the logic:</w:t>
      </w:r>
    </w:p>
    <w:p>
      <w:pPr>
        <w:pStyle w:val="Para 007"/>
      </w:pPr>
      <w:r>
        <w:rPr>
          <w:rStyle w:val="Text23"/>
        </w:rPr>
        <w:t xml:space="preserve"/>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some_container</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31"/>
        </w:rPr>
        <w:t xml:space="preserve">not</w:t>
        <w:br w:clear="none"/>
      </w:r>
      <w:r>
        <w:rPr>
          <w:rStyle w:val="Text6"/>
        </w:rPr>
        <w:t xml:space="preserve"> </w:t>
        <w:br w:clear="none"/>
      </w:r>
      <w:r>
        <w:t xml:space="preserve">seems_ok</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continue</w:t>
        <w:br w:clear="none"/>
      </w:r>
      <w:r>
        <w:rPr>
          <w:rStyle w:val="Text6"/>
        </w:rPr>
        <w:t xml:space="preserve"/>
        <w:br w:clear="none"/>
        <w:t xml:space="preserve">    </w:t>
        <w:br w:clear="none"/>
      </w:r>
      <w:r>
        <w:t xml:space="preserve">lowbound</w:t>
        <w:br w:clear="none"/>
      </w:r>
      <w:r>
        <w:rPr>
          <w:rStyle w:val="Text7"/>
        </w:rPr>
        <w:t xml:space="preserve">,</w:t>
        <w:br w:clear="none"/>
      </w:r>
      <w:r>
        <w:rPr>
          <w:rStyle w:val="Text6"/>
        </w:rPr>
        <w:t xml:space="preserve"> </w:t>
        <w:br w:clear="none"/>
      </w:r>
      <w:r>
        <w:t xml:space="preserve">highbound</w:t>
        <w:br w:clear="none"/>
      </w:r>
      <w:r>
        <w:rPr>
          <w:rStyle w:val="Text6"/>
        </w:rPr>
        <w:t xml:space="preserve"> </w:t>
        <w:br w:clear="none"/>
      </w:r>
      <w:r>
        <w:rPr>
          <w:rStyle w:val="Text13"/>
        </w:rPr>
        <w:t xml:space="preserve">=</w:t>
        <w:br w:clear="none"/>
      </w:r>
      <w:r>
        <w:rPr>
          <w:rStyle w:val="Text6"/>
        </w:rPr>
        <w:t xml:space="preserve"> </w:t>
        <w:br w:clear="none"/>
      </w:r>
      <w:r>
        <w:t xml:space="preserve">bounds_to_test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6"/>
        </w:rPr>
        <w:t xml:space="preserve"> </w:t>
        <w:br w:clear="none"/>
      </w:r>
      <w:r>
        <w:rPr>
          <w:rStyle w:val="Text13"/>
        </w:rPr>
        <w:t xml:space="preserve">&lt;</w:t>
        <w:br w:clear="none"/>
      </w:r>
      <w:r>
        <w:rPr>
          <w:rStyle w:val="Text6"/>
        </w:rPr>
        <w:t xml:space="preserve"> </w:t>
        <w:br w:clear="none"/>
      </w:r>
      <w:r>
        <w:t xml:space="preserve">lowbound</w:t>
        <w:br w:clear="none"/>
      </w:r>
      <w:r>
        <w:rPr>
          <w:rStyle w:val="Text6"/>
        </w:rPr>
        <w:t xml:space="preserve"> </w:t>
        <w:br w:clear="none"/>
      </w:r>
      <w:r>
        <w:rPr>
          <w:rStyle w:val="Text31"/>
        </w:rPr>
        <w:t xml:space="preserve">or</w:t>
        <w:br w:clear="none"/>
      </w:r>
      <w:r>
        <w:rPr>
          <w:rStyle w:val="Text6"/>
        </w:rPr>
        <w:t xml:space="preserve"> </w:t>
        <w:br w:clear="none"/>
      </w:r>
      <w:r>
        <w:t xml:space="preserve">x</w:t>
        <w:br w:clear="none"/>
      </w:r>
      <w:r>
        <w:rPr>
          <w:rStyle w:val="Text6"/>
        </w:rPr>
        <w:t xml:space="preserve"> </w:t>
        <w:br w:clear="none"/>
      </w:r>
      <w:r>
        <w:rPr>
          <w:rStyle w:val="Text13"/>
        </w:rPr>
        <w:t xml:space="preserve">&gt;</w:t>
        <w:br w:clear="none"/>
        <w:t xml:space="preserve">=</w:t>
        <w:br w:clear="none"/>
      </w:r>
      <w:r>
        <w:rPr>
          <w:rStyle w:val="Text6"/>
        </w:rPr>
        <w:t xml:space="preserve"> </w:t>
        <w:br w:clear="none"/>
      </w:r>
      <w:r>
        <w:t xml:space="preserve">highbound</w:t>
        <w:br w:clear="none"/>
      </w:r>
      <w:r>
        <w:rPr>
          <w:rStyle w:val="Text7"/>
        </w:rPr>
        <w:t xml:space="preserve">:</w:t>
        <w:br w:clear="none"/>
      </w:r>
      <w:r>
        <w:rPr>
          <w:rStyle w:val="Text6"/>
        </w:rPr>
        <w:t xml:space="preserve"/>
        <w:br w:clear="none"/>
        <w:t xml:space="preserve">        </w:t>
        <w:br w:clear="none"/>
      </w:r>
      <w:r>
        <w:rPr>
          <w:rStyle w:val="Text10"/>
        </w:rPr>
        <w:t xml:space="preserve">continue</w:t>
        <w:br w:clear="none"/>
      </w:r>
      <w:r>
        <w:rPr>
          <w:rStyle w:val="Text6"/>
        </w:rPr>
        <w:t xml:space="preserve"/>
        <w:br w:clear="none"/>
        <w:t xml:space="preserve">    </w:t>
        <w:br w:clear="none"/>
      </w:r>
      <w:r>
        <w:t xml:space="preserve">pre_process</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final_check</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do_processing</w:t>
        <w:br w:clear="none"/>
      </w:r>
      <w:r>
        <w:rPr>
          <w:rStyle w:val="Text7"/>
        </w:rPr>
        <w:t xml:space="preserve">(</w:t>
        <w:br w:clear="none"/>
      </w:r>
      <w:r>
        <w:t xml:space="preserve">x</w:t>
        <w:br w:clear="none"/>
      </w:r>
      <w:r>
        <w:rPr>
          <w:rStyle w:val="Text7"/>
        </w:rPr>
        <w:t xml:space="preserve">)</w:t>
        <w:br w:clear="none"/>
      </w:r>
    </w:p>
    <w:p>
      <w:pPr>
        <w:keepNext/>
        <w:pStyle w:val="Heading 5"/>
        <w:keepLines w:val="on"/>
      </w:pPr>
      <w:r>
        <w:t>Flat Is Better Than Nested</w:t>
      </w:r>
    </w:p>
    <w:p>
      <w:pPr>
        <w:pStyle w:val="Para 012"/>
        <w:keepLines w:val="on"/>
      </w:pPr>
      <w:r>
        <w:t xml:space="preserve">Both versions work the same way, so which one you use is a matter of personal preference and style. One of the principles of </w:t>
      </w:r>
      <w:hyperlink r:id="rId219">
        <w:r>
          <w:rPr>
            <w:rStyle w:val="Text1"/>
          </w:rPr>
          <w:t>The Zen of Python</w:t>
        </w:r>
      </w:hyperlink>
      <w:r>
        <w:t xml:space="preserve"> (which you can see at any time by typing </w:t>
      </w:r>
      <w:r>
        <w:rPr>
          <w:rStyle w:val="Text5"/>
        </w:rPr>
        <w:t>import this</w:t>
      </w:r>
      <w:r>
        <w:t xml:space="preserve"> at an interactive Python interpreter prompt) is “Flat is better than nested.” The </w:t>
      </w:r>
      <w:r>
        <w:rPr>
          <w:rStyle w:val="Text5"/>
        </w:rPr>
        <w:t>continue</w:t>
      </w:r>
      <w:r>
        <w:t xml:space="preserve"> statement is just one way Python helps you move toward the goal of a less-nested structure in a loop, when you choose to follow this tip.</w:t>
      </w:r>
    </w:p>
    <w:p>
      <w:bookmarkStart w:id="1060" w:name="The_else_Clause_on_Loop_Statemen"/>
      <w:pPr>
        <w:keepNext/>
        <w:pStyle w:val="Heading 2"/>
      </w:pPr>
      <w:r>
        <w:t>The else Clause on Loop Statements</w:t>
      </w:r>
      <w:bookmarkEnd w:id="1060"/>
    </w:p>
    <w:p>
      <w:pPr>
        <w:pStyle w:val="Normal"/>
      </w:pPr>
      <w:r>
        <w:rPr>
          <w:rStyle w:val="Text5"/>
        </w:rPr>
        <w:t>while</w:t>
      </w:r>
      <w:r>
        <w:t xml:space="preserve"> and </w:t>
      </w:r>
      <w:r>
        <w:rPr>
          <w:rStyle w:val="Text5"/>
        </w:rPr>
        <w:t>for</w:t>
      </w:r>
      <w:r>
        <w:t xml:space="preserve"> statements</w:t>
      </w:r>
      <w:r>
        <w:rPr>
          <w:rStyle w:val="Text111"/>
        </w:rPr>
        <w:bookmarkStart w:id="1061" w:name="idm45965270807712"/>
        <w:t/>
        <w:bookmarkEnd w:id="1061"/>
        <w:bookmarkStart w:id="1062" w:name="idm45965270806336"/>
        <w:t/>
        <w:bookmarkEnd w:id="1062"/>
        <w:bookmarkStart w:id="1063" w:name="idm45965270774048"/>
        <w:t/>
        <w:bookmarkEnd w:id="1063"/>
      </w:r>
      <w:r>
        <w:t xml:space="preserve"> may optionally have a trailing </w:t>
      </w:r>
      <w:r>
        <w:rPr>
          <w:rStyle w:val="Text5"/>
        </w:rPr>
        <w:t>else</w:t>
      </w:r>
      <w:r>
        <w:t xml:space="preserve"> clause. The statement or block under that clause executes when the loop terminates </w:t>
      </w:r>
      <w:r>
        <w:rPr>
          <w:rStyle w:val="Text4"/>
        </w:rPr>
        <w:t>naturally</w:t>
      </w:r>
      <w:r>
        <w:t xml:space="preserve"> (at the end of the </w:t>
      </w:r>
      <w:r>
        <w:rPr>
          <w:rStyle w:val="Text5"/>
        </w:rPr>
        <w:t>for</w:t>
      </w:r>
      <w:r>
        <w:t xml:space="preserve"> iterator, or when the </w:t>
      </w:r>
      <w:r>
        <w:rPr>
          <w:rStyle w:val="Text5"/>
        </w:rPr>
        <w:t>while</w:t>
      </w:r>
      <w:r>
        <w:t xml:space="preserve"> loop condition becomes false), but not when the</w:t>
      </w:r>
      <w:r>
        <w:rPr>
          <w:rStyle w:val="Text111"/>
        </w:rPr>
        <w:bookmarkStart w:id="1064" w:name="idm45965270769584"/>
        <w:t/>
        <w:bookmarkEnd w:id="1064"/>
      </w:r>
      <w:r>
        <w:t xml:space="preserve"> loop terminates </w:t>
      </w:r>
      <w:r>
        <w:rPr>
          <w:rStyle w:val="Text4"/>
        </w:rPr>
        <w:t>prematurely</w:t>
      </w:r>
      <w:r>
        <w:t xml:space="preserve"> (via </w:t>
      </w:r>
      <w:r>
        <w:rPr>
          <w:rStyle w:val="Text5"/>
        </w:rPr>
        <w:t>break</w:t>
      </w:r>
      <w:r>
        <w:t xml:space="preserve">, </w:t>
      </w:r>
      <w:r>
        <w:rPr>
          <w:rStyle w:val="Text5"/>
        </w:rPr>
        <w:t>return</w:t>
      </w:r>
      <w:r>
        <w:t xml:space="preserve">, or an exception). When a loop contains one or more </w:t>
      </w:r>
      <w:r>
        <w:rPr>
          <w:rStyle w:val="Text5"/>
        </w:rPr>
        <w:t>break</w:t>
      </w:r>
      <w:r>
        <w:t xml:space="preserve"> statements, you’ll often want to check whether it terminates naturally or prematurely. You can use an </w:t>
      </w:r>
      <w:r>
        <w:rPr>
          <w:rStyle w:val="Text5"/>
        </w:rPr>
        <w:t>else</w:t>
      </w:r>
      <w:r>
        <w:t xml:space="preserve"> clause on the loop for this purpose:</w:t>
      </w:r>
    </w:p>
    <w:p>
      <w:pPr>
        <w:pStyle w:val="Para 020"/>
      </w:pPr>
      <w:r>
        <w:rPr>
          <w:rStyle w:val="Text23"/>
        </w:rPr>
        <w:t xml:space="preserve"/>
        <w:br w:clear="none"/>
      </w:r>
      <w:r>
        <w:rPr>
          <w:rStyle w:val="Text10"/>
        </w:rPr>
        <w:t xml:space="preserve">for</w:t>
        <w:br w:clear="none"/>
      </w:r>
      <w:r>
        <w:rPr>
          <w:rStyle w:val="Text6"/>
        </w:rPr>
        <w:t xml:space="preserve"> </w:t>
        <w:br w:clear="none"/>
      </w:r>
      <w:r>
        <w:rPr>
          <w:rStyle w:val="Text9"/>
        </w:rPr>
        <w:t xml:space="preserve">x</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some_container</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is_ok</w:t>
        <w:br w:clear="none"/>
      </w:r>
      <w:r>
        <w:rPr>
          <w:rStyle w:val="Text7"/>
        </w:rPr>
        <w:t xml:space="preserve">(</w:t>
        <w:br w:clear="none"/>
      </w:r>
      <w:r>
        <w:rPr>
          <w:rStyle w:val="Text9"/>
        </w:rP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break</w:t>
        <w:br w:clear="none"/>
      </w:r>
      <w:r>
        <w:rPr>
          <w:rStyle w:val="Text6"/>
        </w:rPr>
        <w:t xml:space="preserve">  </w:t>
        <w:br w:clear="none"/>
      </w:r>
      <w:r>
        <w:rPr>
          <w:rStyle w:val="Text15"/>
        </w:rPr>
        <w:t xml:space="preserve"># item x is satisfactory, terminate loop</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Beware: no satisfactory item was found in container</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x</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None</w:t>
        <w:br w:clear="none"/>
      </w:r>
    </w:p>
    <w:p>
      <w:bookmarkStart w:id="1065" w:name="The_pass_Statement__The_body_of"/>
      <w:pPr>
        <w:keepNext/>
        <w:pStyle w:val="Heading 2"/>
      </w:pPr>
      <w:r>
        <w:t>The pass Statement</w:t>
      </w:r>
      <w:bookmarkEnd w:id="1065"/>
    </w:p>
    <w:p>
      <w:pPr>
        <w:pStyle w:val="Normal"/>
      </w:pPr>
      <w:r>
        <w:t>The</w:t>
      </w:r>
      <w:r>
        <w:rPr>
          <w:rStyle w:val="Text111"/>
        </w:rPr>
        <w:bookmarkStart w:id="1066" w:name="idm45965270732704"/>
        <w:t/>
        <w:bookmarkEnd w:id="1066"/>
        <w:bookmarkStart w:id="1067" w:name="idm45965270731536"/>
        <w:t/>
        <w:bookmarkEnd w:id="1067"/>
      </w:r>
      <w:r>
        <w:t xml:space="preserve"> body of a Python compound statement cannot be empty; it must always contain at least one statement. You can use a </w:t>
      </w:r>
      <w:r>
        <w:rPr>
          <w:rStyle w:val="Text5"/>
        </w:rPr>
        <w:t>pass</w:t>
      </w:r>
      <w:r>
        <w:t xml:space="preserve"> statement, which performs no action, as an explicit placeholder when a statement is syntactically required but you have nothing to do. Here’s an example of using </w:t>
      </w:r>
      <w:r>
        <w:rPr>
          <w:rStyle w:val="Text5"/>
        </w:rPr>
        <w:t>pass</w:t>
      </w:r>
      <w:r>
        <w:t xml:space="preserve"> in a conditional statement as a part of some rather convoluted logic to test mutually exclusive conditions:</w:t>
      </w:r>
    </w:p>
    <w:p>
      <w:pPr>
        <w:pStyle w:val="Para 007"/>
      </w:pPr>
      <w:r>
        <w:rPr>
          <w:rStyle w:val="Text23"/>
        </w:rPr>
        <w:t xml:space="preserve"/>
        <w:br w:clear="none"/>
      </w:r>
      <w:r>
        <w:rPr>
          <w:rStyle w:val="Text10"/>
        </w:rPr>
        <w:t xml:space="preserve">if</w:t>
        <w:br w:clear="none"/>
      </w:r>
      <w:r>
        <w:rPr>
          <w:rStyle w:val="Text6"/>
        </w:rPr>
        <w:t xml:space="preserve"> </w:t>
        <w:br w:clear="none"/>
      </w:r>
      <w:r>
        <w:t xml:space="preserve">condition1</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process1</w:t>
        <w:br w:clear="none"/>
      </w:r>
      <w:r>
        <w:rPr>
          <w:rStyle w:val="Text7"/>
        </w:rPr>
        <w:t xml:space="preserve">(</w:t>
        <w:br w:clear="none"/>
      </w:r>
      <w:r>
        <w:t xml:space="preserve">x</w:t>
        <w:br w:clear="none"/>
      </w:r>
      <w:r>
        <w:rPr>
          <w:rStyle w:val="Text7"/>
        </w:rPr>
        <w:t xml:space="preserve">)</w:t>
        <w:br w:clear="none"/>
      </w:r>
      <w:r>
        <w:rPr>
          <w:rStyle w:val="Text6"/>
        </w:rPr>
        <w:t xml:space="preserve"/>
        <w:br w:clear="none"/>
      </w:r>
      <w:r>
        <w:rPr>
          <w:rStyle w:val="Text10"/>
        </w:rPr>
        <w:t xml:space="preserve">elif</w:t>
        <w:br w:clear="none"/>
      </w:r>
      <w:r>
        <w:rPr>
          <w:rStyle w:val="Text6"/>
        </w:rPr>
        <w:t xml:space="preserve"> </w:t>
        <w:br w:clear="none"/>
      </w:r>
      <w:r>
        <w:t xml:space="preserve">x</w:t>
        <w:br w:clear="none"/>
      </w:r>
      <w:r>
        <w:rPr>
          <w:rStyle w:val="Text13"/>
        </w:rPr>
        <w:t xml:space="preserve">&gt;</w:t>
        <w:br w:clear="none"/>
      </w:r>
      <w:r>
        <w:rPr>
          <w:rStyle w:val="Text27"/>
        </w:rPr>
        <w:t xml:space="preserve">23</w:t>
        <w:br w:clear="none"/>
      </w:r>
      <w:r>
        <w:rPr>
          <w:rStyle w:val="Text6"/>
        </w:rPr>
        <w:t xml:space="preserve"> </w:t>
        <w:br w:clear="none"/>
      </w:r>
      <w:r>
        <w:rPr>
          <w:rStyle w:val="Text31"/>
        </w:rPr>
        <w:t xml:space="preserve">or</w:t>
        <w:br w:clear="none"/>
      </w:r>
      <w:r>
        <w:rPr>
          <w:rStyle w:val="Text6"/>
        </w:rPr>
        <w:t xml:space="preserve"> </w:t>
        <w:br w:clear="none"/>
      </w:r>
      <w:r>
        <w:rPr>
          <w:rStyle w:val="Text7"/>
        </w:rPr>
        <w:t xml:space="preserve">(</w:t>
        <w:br w:clear="none"/>
      </w:r>
      <w:r>
        <w:t xml:space="preserve">x</w:t>
        <w:br w:clear="none"/>
      </w:r>
      <w:r>
        <w:rPr>
          <w:rStyle w:val="Text13"/>
        </w:rPr>
        <w:t xml:space="preserve">&lt;</w:t>
        <w:br w:clear="none"/>
      </w:r>
      <w:r>
        <w:rPr>
          <w:rStyle w:val="Text27"/>
        </w:rPr>
        <w:t xml:space="preserve">5</w:t>
        <w:br w:clear="none"/>
      </w:r>
      <w:r>
        <w:rPr>
          <w:rStyle w:val="Text6"/>
        </w:rPr>
        <w:t xml:space="preserve"> </w:t>
        <w:br w:clear="none"/>
      </w:r>
      <w:r>
        <w:rPr>
          <w:rStyle w:val="Text31"/>
        </w:rPr>
        <w:t xml:space="preserve">and</w:t>
        <w:br w:clear="none"/>
      </w:r>
      <w:r>
        <w:rPr>
          <w:rStyle w:val="Text6"/>
        </w:rPr>
        <w:t xml:space="preserve"> </w:t>
        <w:br w:clear="none"/>
      </w:r>
      <w:r>
        <w:t xml:space="preserve">condition2</w:t>
        <w:br w:clear="none"/>
      </w:r>
      <w:r>
        <w:rPr>
          <w:rStyle w:val="Text7"/>
        </w:rPr>
        <w:t xml:space="preserve">(</w:t>
        <w:br w:clear="none"/>
      </w:r>
      <w:r>
        <w:t xml:space="preserve">x</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pass</w:t>
        <w:br w:clear="none"/>
      </w:r>
      <w:r>
        <w:rPr>
          <w:rStyle w:val="Text6"/>
        </w:rPr>
        <w:t xml:space="preserve">       </w:t>
        <w:br w:clear="none"/>
      </w:r>
      <w:r>
        <w:rPr>
          <w:rStyle w:val="Text15"/>
        </w:rPr>
        <w:t xml:space="preserve"># nothing to be done in this case</w:t>
        <w:br w:clear="none"/>
      </w:r>
      <w:r>
        <w:rPr>
          <w:rStyle w:val="Text6"/>
        </w:rPr>
        <w:t xml:space="preserve"/>
        <w:br w:clear="none"/>
      </w:r>
      <w:r>
        <w:rPr>
          <w:rStyle w:val="Text10"/>
        </w:rPr>
        <w:t xml:space="preserve">elif</w:t>
        <w:br w:clear="none"/>
      </w:r>
      <w:r>
        <w:rPr>
          <w:rStyle w:val="Text6"/>
        </w:rPr>
        <w:t xml:space="preserve"> </w:t>
        <w:br w:clear="none"/>
      </w:r>
      <w:r>
        <w:t xml:space="preserve">condition3</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process3</w:t>
        <w:br w:clear="none"/>
      </w:r>
      <w:r>
        <w:rPr>
          <w:rStyle w:val="Text7"/>
        </w:rPr>
        <w:t xml:space="preserve">(</w:t>
        <w:br w:clear="none"/>
      </w:r>
      <w:r>
        <w:t xml:space="preserve">x</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t xml:space="preserve">process_default</w:t>
        <w:br w:clear="none"/>
      </w:r>
      <w:r>
        <w:rPr>
          <w:rStyle w:val="Text7"/>
        </w:rPr>
        <w:t xml:space="preserve">(</w:t>
        <w:br w:clear="none"/>
      </w:r>
      <w:r>
        <w:t xml:space="preserve">x</w:t>
        <w:br w:clear="none"/>
      </w:r>
      <w:r>
        <w:rPr>
          <w:rStyle w:val="Text7"/>
        </w:rPr>
        <w:t xml:space="preserve">)</w:t>
        <w:br w:clear="none"/>
      </w:r>
    </w:p>
    <w:p>
      <w:pPr>
        <w:keepNext/>
        <w:pStyle w:val="Heading 5"/>
        <w:keepLines w:val="on"/>
      </w:pPr>
      <w:r>
        <w:t>Empty def or class Statements: Use a Docstring, Not pass</w:t>
      </w:r>
    </w:p>
    <w:p>
      <w:pPr>
        <w:pStyle w:val="Para 012"/>
        <w:keepLines w:val="on"/>
      </w:pPr>
      <w:r>
        <w:t xml:space="preserve">You can also use a docstring, covered in </w:t>
      </w:r>
      <w:hyperlink w:anchor="Docstrings__Another_function_att">
        <w:r>
          <w:rPr>
            <w:rStyle w:val="Text1"/>
          </w:rPr>
          <w:t>“Docstrings”</w:t>
        </w:r>
      </w:hyperlink>
      <w:r>
        <w:t xml:space="preserve">, as the body of an otherwise empty </w:t>
      </w:r>
      <w:r>
        <w:rPr>
          <w:rStyle w:val="Text5"/>
        </w:rPr>
        <w:t>def</w:t>
      </w:r>
      <w:r>
        <w:t xml:space="preserve"> or </w:t>
      </w:r>
      <w:r>
        <w:rPr>
          <w:rStyle w:val="Text5"/>
        </w:rPr>
        <w:t>class</w:t>
      </w:r>
      <w:r>
        <w:t xml:space="preserve"> statement. When you do this, you do not need to also add a </w:t>
      </w:r>
      <w:r>
        <w:rPr>
          <w:rStyle w:val="Text5"/>
        </w:rPr>
        <w:t>pass</w:t>
      </w:r>
      <w:r>
        <w:t xml:space="preserve"> statement (you can do so if you wish, but it’s not optimal Python style).</w:t>
      </w:r>
    </w:p>
    <w:p>
      <w:bookmarkStart w:id="1068" w:name="The_try_and_raise_Statements__Py"/>
      <w:pPr>
        <w:keepNext/>
        <w:pStyle w:val="Heading 2"/>
      </w:pPr>
      <w:r>
        <w:t>The try and raise Statements</w:t>
      </w:r>
      <w:bookmarkEnd w:id="1068"/>
    </w:p>
    <w:p>
      <w:pPr>
        <w:pStyle w:val="Normal"/>
      </w:pPr>
      <w:r>
        <w:t>Python</w:t>
      </w:r>
      <w:r>
        <w:rPr>
          <w:rStyle w:val="Text111"/>
        </w:rPr>
        <w:bookmarkStart w:id="1069" w:name="idm45965270648416"/>
        <w:t/>
        <w:bookmarkEnd w:id="1069"/>
        <w:bookmarkStart w:id="1070" w:name="idm45965270646624"/>
        <w:t/>
        <w:bookmarkEnd w:id="1070"/>
        <w:bookmarkStart w:id="1071" w:name="idm45965270645520"/>
        <w:t/>
        <w:bookmarkEnd w:id="1071"/>
      </w:r>
      <w:r>
        <w:t xml:space="preserve"> supports</w:t>
      </w:r>
      <w:r>
        <w:rPr>
          <w:rStyle w:val="Text111"/>
        </w:rPr>
        <w:bookmarkStart w:id="1072" w:name="idm45965270612816"/>
        <w:t/>
        <w:bookmarkEnd w:id="1072"/>
      </w:r>
      <w:r>
        <w:t xml:space="preserve"> exception handling with the </w:t>
      </w:r>
      <w:r>
        <w:rPr>
          <w:rStyle w:val="Text5"/>
        </w:rPr>
        <w:t>try</w:t>
      </w:r>
      <w:r>
        <w:t xml:space="preserve"> statement, which includes </w:t>
      </w:r>
      <w:r>
        <w:rPr>
          <w:rStyle w:val="Text5"/>
        </w:rPr>
        <w:t>try</w:t>
      </w:r>
      <w:r>
        <w:t xml:space="preserve">, </w:t>
      </w:r>
      <w:r>
        <w:rPr>
          <w:rStyle w:val="Text5"/>
        </w:rPr>
        <w:t>except</w:t>
      </w:r>
      <w:r>
        <w:t xml:space="preserve">, </w:t>
      </w:r>
      <w:r>
        <w:rPr>
          <w:rStyle w:val="Text5"/>
        </w:rPr>
        <w:t>finally</w:t>
      </w:r>
      <w:r>
        <w:t xml:space="preserve">, and </w:t>
      </w:r>
      <w:r>
        <w:rPr>
          <w:rStyle w:val="Text5"/>
        </w:rPr>
        <w:t>else</w:t>
      </w:r>
      <w:r>
        <w:t xml:space="preserve"> clauses. Your code can also explicitly raise an exception with the </w:t>
      </w:r>
      <w:r>
        <w:rPr>
          <w:rStyle w:val="Text5"/>
        </w:rPr>
        <w:t>raise</w:t>
      </w:r>
      <w:r>
        <w:t xml:space="preserve"> statement. When code raises an exception, normal control flow of the program stops and Python looks for a suitable exception handler. We discuss all of this in detail in </w:t>
      </w:r>
      <w:hyperlink w:anchor="Exception_Propagation__When_an_e">
        <w:r>
          <w:rPr>
            <w:rStyle w:val="Text1"/>
          </w:rPr>
          <w:t>“Exception Propagation”</w:t>
        </w:r>
      </w:hyperlink>
      <w:r>
        <w:t>.</w:t>
      </w:r>
    </w:p>
    <w:p>
      <w:bookmarkStart w:id="1073" w:name="The_with_Statement__A_with_state"/>
      <w:pPr>
        <w:keepNext/>
        <w:pStyle w:val="Heading 2"/>
      </w:pPr>
      <w:r>
        <w:t>The with Statement</w:t>
      </w:r>
      <w:bookmarkEnd w:id="1073"/>
    </w:p>
    <w:p>
      <w:pPr>
        <w:pStyle w:val="Normal"/>
      </w:pPr>
      <w:r>
        <w:t>A</w:t>
      </w:r>
      <w:r>
        <w:rPr>
          <w:rStyle w:val="Text111"/>
        </w:rPr>
        <w:bookmarkStart w:id="1074" w:name="idm45965270603904"/>
        <w:t/>
        <w:bookmarkEnd w:id="1074"/>
        <w:bookmarkStart w:id="1075" w:name="idm45965270602496"/>
        <w:t/>
        <w:bookmarkEnd w:id="1075"/>
      </w:r>
      <w:r>
        <w:t xml:space="preserve"> </w:t>
      </w:r>
      <w:r>
        <w:rPr>
          <w:rStyle w:val="Text5"/>
        </w:rPr>
        <w:t>with</w:t>
      </w:r>
      <w:r>
        <w:t xml:space="preserve"> statement can often be a more readable, useful alternative to the </w:t>
      </w:r>
      <w:r>
        <w:rPr>
          <w:rStyle w:val="Text5"/>
        </w:rPr>
        <w:t>try</w:t>
      </w:r>
      <w:r>
        <w:rPr>
          <w:rStyle w:val="Text0"/>
        </w:rPr>
        <w:t>/</w:t>
      </w:r>
      <w:r>
        <w:rPr>
          <w:rStyle w:val="Text5"/>
        </w:rPr>
        <w:t>finally</w:t>
      </w:r>
      <w:r>
        <w:t xml:space="preserve"> statement. We discuss it in detail in </w:t>
      </w:r>
      <w:hyperlink w:anchor="The_with_Statement_and_Context_M">
        <w:r>
          <w:rPr>
            <w:rStyle w:val="Text1"/>
          </w:rPr>
          <w:t>“The with Statement and Context Managers”</w:t>
        </w:r>
      </w:hyperlink>
      <w:r>
        <w:t>. A good grasp of context managers can often help you structure your code more clearly without compromising efficiency.</w:t>
      </w:r>
      <w:r>
        <w:rPr>
          <w:rStyle w:val="Text111"/>
        </w:rPr>
        <w:bookmarkStart w:id="1076" w:name="idm45965270597296"/>
        <w:t/>
        <w:bookmarkEnd w:id="1076"/>
        <w:bookmarkStart w:id="1077" w:name="idm45965270595952"/>
        <w:t/>
        <w:bookmarkEnd w:id="1077"/>
      </w:r>
    </w:p>
    <w:p>
      <w:bookmarkStart w:id="1078" w:name="Functions__Most_statements_in_a"/>
      <w:pPr>
        <w:keepNext/>
        <w:pStyle w:val="Heading 1"/>
      </w:pPr>
      <w:r>
        <w:t>Functions</w:t>
      </w:r>
      <w:bookmarkEnd w:id="1078"/>
    </w:p>
    <w:p>
      <w:pPr>
        <w:pStyle w:val="Normal"/>
      </w:pPr>
      <w:r>
        <w:t>Most</w:t>
      </w:r>
      <w:r>
        <w:rPr>
          <w:rStyle w:val="Text111"/>
        </w:rPr>
        <w:bookmarkStart w:id="1079" w:name="PLfunc03"/>
        <w:t/>
        <w:bookmarkEnd w:id="1079"/>
      </w:r>
      <w:r>
        <w:t xml:space="preserve"> statements in a typical Python program are part of some function. Code in a function body may be faster than at a module’s top level, as covered in </w:t>
      </w:r>
      <w:hyperlink w:anchor="Avoid_exec_and_from_____import">
        <w:r>
          <w:rPr>
            <w:rStyle w:val="Text1"/>
          </w:rPr>
          <w:t>“Avoid exec and from ... import *”</w:t>
        </w:r>
      </w:hyperlink>
      <w:r>
        <w:t>, so there are excellent practical reasons to put most of your code into functions—and there are no disadvantages: clarity, readability and code reusability all improve when you avoid having any substantial chunks of module-level code.</w:t>
      </w:r>
    </w:p>
    <w:p>
      <w:pPr>
        <w:pStyle w:val="Normal"/>
      </w:pPr>
      <w:r>
        <w:t>A</w:t>
      </w:r>
      <w:r>
        <w:rPr>
          <w:rStyle w:val="Text111"/>
        </w:rPr>
        <w:bookmarkStart w:id="1080" w:name="idm45965270589072"/>
        <w:t/>
        <w:bookmarkEnd w:id="1080"/>
      </w:r>
      <w:r>
        <w:t xml:space="preserve"> </w:t>
      </w:r>
      <w:r>
        <w:rPr>
          <w:rStyle w:val="Text4"/>
        </w:rPr>
        <w:t>function</w:t>
      </w:r>
      <w:r>
        <w:t xml:space="preserve"> is a group of statements that execute upon request. Python provides many built-in functions and lets programmers define their own functions. A request to execute a function is known as a</w:t>
      </w:r>
      <w:r>
        <w:rPr>
          <w:rStyle w:val="Text111"/>
        </w:rPr>
        <w:bookmarkStart w:id="1081" w:name="idm45965270587088"/>
        <w:t/>
        <w:bookmarkEnd w:id="1081"/>
      </w:r>
      <w:r>
        <w:t xml:space="preserve"> </w:t>
      </w:r>
      <w:r>
        <w:rPr>
          <w:rStyle w:val="Text4"/>
        </w:rPr>
        <w:t>function call</w:t>
      </w:r>
      <w:r>
        <w:t xml:space="preserve">. When you call a function, you can pass arguments that specify data upon which the function performs its computation. In Python, a function always returns a result: either </w:t>
      </w:r>
      <w:r>
        <w:rPr>
          <w:rStyle w:val="Text5"/>
        </w:rPr>
        <w:t>None</w:t>
      </w:r>
      <w:r>
        <w:t xml:space="preserve"> or a value, the result of the computation. Functions defined within </w:t>
      </w:r>
      <w:r>
        <w:rPr>
          <w:rStyle w:val="Text5"/>
        </w:rPr>
        <w:t>class</w:t>
      </w:r>
      <w:r>
        <w:t xml:space="preserve"> statements are also known</w:t>
      </w:r>
      <w:r>
        <w:rPr>
          <w:rStyle w:val="Text111"/>
        </w:rPr>
        <w:bookmarkStart w:id="1082" w:name="idm45965270583744"/>
        <w:t/>
        <w:bookmarkEnd w:id="1082"/>
      </w:r>
      <w:r>
        <w:t xml:space="preserve"> as </w:t>
      </w:r>
      <w:r>
        <w:rPr>
          <w:rStyle w:val="Text4"/>
        </w:rPr>
        <w:t>methods</w:t>
      </w:r>
      <w:r>
        <w:t xml:space="preserve">. We cover issues specific to methods in </w:t>
      </w:r>
      <w:hyperlink w:anchor="Bound_and_Unbound_Methods__The_m">
        <w:r>
          <w:rPr>
            <w:rStyle w:val="Text1"/>
          </w:rPr>
          <w:t>“Bound and Unbound Methods”</w:t>
        </w:r>
      </w:hyperlink>
      <w:r>
        <w:t>; the general coverage of functions in this section, however, also applies to methods.</w:t>
      </w:r>
    </w:p>
    <w:p>
      <w:pPr>
        <w:pStyle w:val="Normal"/>
      </w:pPr>
      <w:r>
        <w:t>Python is somewhat unusual in the flexibility it affords the programmer in defining and calling functions. This flexibility does mean that some constraints are not adequately expressed solely by the syntax. In Python, functions are objects (values), handled just like other objects. Thus, you can pass a function as an argument in a call to another function, and a function can return another function as the result of a call. A function, just like any other object, can be bound to a variable, can be an item in a container, and can be an attribute of an object. Functions can also be keys in a dictionary. The fact that functions are ordinary objects in Python is often expressed by saying that functions are</w:t>
      </w:r>
      <w:r>
        <w:rPr>
          <w:rStyle w:val="Text111"/>
        </w:rPr>
        <w:bookmarkStart w:id="1083" w:name="idm45965270580640"/>
        <w:t/>
        <w:bookmarkEnd w:id="1083"/>
        <w:bookmarkStart w:id="1084" w:name="idm45965270579264"/>
        <w:t/>
        <w:bookmarkEnd w:id="1084"/>
      </w:r>
      <w:r>
        <w:t xml:space="preserve"> </w:t>
      </w:r>
      <w:r>
        <w:rPr>
          <w:rStyle w:val="Text4"/>
        </w:rPr>
        <w:t>first-class</w:t>
      </w:r>
      <w:r>
        <w:t xml:space="preserve"> objects.</w:t>
      </w:r>
    </w:p>
    <w:p>
      <w:pPr>
        <w:pStyle w:val="Normal"/>
      </w:pPr>
      <w:r>
        <w:t xml:space="preserve">For example, given a </w:t>
      </w:r>
      <w:r>
        <w:rPr>
          <w:rStyle w:val="Text0"/>
        </w:rPr>
        <w:t>dict</w:t>
      </w:r>
      <w:r>
        <w:t xml:space="preserve"> keyed by functions, with the values being each function’s inverse, you could make the dictionary bidirectional by adding the inverse values as keys, with their corresponding keys as values. Here’s a small example of this idea, using some functions from the module </w:t>
      </w:r>
      <w:r>
        <w:rPr>
          <w:rStyle w:val="Text0"/>
        </w:rPr>
        <w:t>math</w:t>
      </w:r>
      <w:r>
        <w:t xml:space="preserve"> (covered in </w:t>
      </w:r>
      <w:hyperlink w:anchor="The_math_and_cmath_Modules__The">
        <w:r>
          <w:rPr>
            <w:rStyle w:val="Text1"/>
          </w:rPr>
          <w:t>“The math and cmath Modules”</w:t>
        </w:r>
      </w:hyperlink>
      <w:r>
        <w:t>), that takes a one-way mapping of inverse pairs and then adds the inverse of each entry to complete the mapping:</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add_inverses</w:t>
        <w:br w:clear="none"/>
      </w:r>
      <w:r>
        <w:rPr>
          <w:rStyle w:val="Text7"/>
        </w:rPr>
        <w:t xml:space="preserve">(</w:t>
        <w:br w:clear="none"/>
      </w:r>
      <w:r>
        <w:t xml:space="preserve">i_dict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f</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list</w:t>
        <w:br w:clear="none"/>
      </w:r>
      <w:r>
        <w:rPr>
          <w:rStyle w:val="Text7"/>
        </w:rPr>
        <w:t xml:space="preserve">(</w:t>
        <w:br w:clear="none"/>
      </w:r>
      <w:r>
        <w:t xml:space="preserve">i_dict</w:t>
        <w:br w:clear="none"/>
      </w:r>
      <w:r>
        <w:rPr>
          <w:rStyle w:val="Text7"/>
        </w:rPr>
        <w:t xml:space="preserve">)</w:t>
        <w:br w:clear="none"/>
        <w:t xml:space="preserve">:</w:t>
        <w:br w:clear="none"/>
      </w:r>
      <w:r>
        <w:rPr>
          <w:rStyle w:val="Text6"/>
        </w:rPr>
        <w:t xml:space="preserve">  </w:t>
        <w:br w:clear="none"/>
      </w:r>
      <w:r>
        <w:rPr>
          <w:rStyle w:val="Text15"/>
        </w:rPr>
        <w:t xml:space="preserve"># iterates over keys while mutating i_dict</w:t>
        <w:br w:clear="none"/>
      </w:r>
      <w:r>
        <w:rPr>
          <w:rStyle w:val="Text26"/>
        </w:rPr>
        <w:t xml:space="preserve"> </w:t>
        <w:br w:clear="none"/>
      </w:r>
      <w:r>
        <w:rPr>
          <w:rStyle w:val="Text6"/>
        </w:rPr>
        <w:t xml:space="preserve"/>
        <w:br w:clear="none"/>
        <w:t xml:space="preserve">        </w:t>
        <w:br w:clear="none"/>
      </w:r>
      <w:r>
        <w:t xml:space="preserve">i_dict</w:t>
        <w:br w:clear="none"/>
      </w:r>
      <w:r>
        <w:rPr>
          <w:rStyle w:val="Text7"/>
        </w:rPr>
        <w:t xml:space="preserve">[</w:t>
        <w:br w:clear="none"/>
      </w:r>
      <w:r>
        <w:t xml:space="preserve">i_dict</w:t>
        <w:br w:clear="none"/>
      </w:r>
      <w:r>
        <w:rPr>
          <w:rStyle w:val="Text7"/>
        </w:rPr>
        <w:t xml:space="preserve">[</w:t>
        <w:br w:clear="none"/>
      </w:r>
      <w:r>
        <w:t xml:space="preserve">f</w:t>
        <w:br w:clear="none"/>
      </w:r>
      <w:r>
        <w:rPr>
          <w:rStyle w:val="Text7"/>
        </w:rPr>
        <w:t xml:space="preserve">]</w:t>
        <w:br w:clear="none"/>
        <w:t xml:space="preserve">]</w:t>
        <w:br w:clear="none"/>
      </w:r>
      <w:r>
        <w:rPr>
          <w:rStyle w:val="Text6"/>
        </w:rPr>
        <w:t xml:space="preserve"> </w:t>
        <w:br w:clear="none"/>
      </w:r>
      <w:r>
        <w:rPr>
          <w:rStyle w:val="Text13"/>
        </w:rPr>
        <w:t xml:space="preserve">=</w:t>
        <w:br w:clear="none"/>
      </w:r>
      <w:r>
        <w:rPr>
          <w:rStyle w:val="Text6"/>
        </w:rPr>
        <w:t xml:space="preserve"> </w:t>
        <w:br w:clear="none"/>
      </w:r>
      <w:r>
        <w:t xml:space="preserve">f</w:t>
        <w:br w:clear="none"/>
      </w:r>
      <w:r>
        <w:rPr>
          <w:rStyle w:val="Text6"/>
        </w:rPr>
        <w:t xml:space="preserve"/>
        <w:br w:clear="none"/>
      </w:r>
      <w:r>
        <w:t xml:space="preserve">math_map</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sin</w:t>
        <w:br w:clear="none"/>
      </w:r>
      <w:r>
        <w:rPr>
          <w:rStyle w:val="Text7"/>
        </w:rPr>
        <w:t xml:space="preserve">:</w:t>
        <w:br w:clear="none"/>
      </w:r>
      <w:r>
        <w:t xml:space="preserve">asin</w:t>
        <w:br w:clear="none"/>
      </w:r>
      <w:r>
        <w:rPr>
          <w:rStyle w:val="Text7"/>
        </w:rPr>
        <w:t xml:space="preserve">,</w:t>
        <w:br w:clear="none"/>
      </w:r>
      <w:r>
        <w:rPr>
          <w:rStyle w:val="Text6"/>
        </w:rPr>
        <w:t xml:space="preserve"> </w:t>
        <w:br w:clear="none"/>
      </w:r>
      <w:r>
        <w:t xml:space="preserve">cos</w:t>
        <w:br w:clear="none"/>
      </w:r>
      <w:r>
        <w:rPr>
          <w:rStyle w:val="Text7"/>
        </w:rPr>
        <w:t xml:space="preserve">:</w:t>
        <w:br w:clear="none"/>
      </w:r>
      <w:r>
        <w:t xml:space="preserve">acos</w:t>
        <w:br w:clear="none"/>
      </w:r>
      <w:r>
        <w:rPr>
          <w:rStyle w:val="Text7"/>
        </w:rPr>
        <w:t xml:space="preserve">,</w:t>
        <w:br w:clear="none"/>
      </w:r>
      <w:r>
        <w:rPr>
          <w:rStyle w:val="Text6"/>
        </w:rPr>
        <w:t xml:space="preserve"> </w:t>
        <w:br w:clear="none"/>
      </w:r>
      <w:r>
        <w:t xml:space="preserve">tan</w:t>
        <w:br w:clear="none"/>
      </w:r>
      <w:r>
        <w:rPr>
          <w:rStyle w:val="Text7"/>
        </w:rPr>
        <w:t xml:space="preserve">:</w:t>
        <w:br w:clear="none"/>
      </w:r>
      <w:r>
        <w:t xml:space="preserve">atan</w:t>
        <w:br w:clear="none"/>
      </w:r>
      <w:r>
        <w:rPr>
          <w:rStyle w:val="Text7"/>
        </w:rPr>
        <w:t xml:space="preserve">,</w:t>
        <w:br w:clear="none"/>
      </w:r>
      <w:r>
        <w:rPr>
          <w:rStyle w:val="Text6"/>
        </w:rPr>
        <w:t xml:space="preserve"> </w:t>
        <w:br w:clear="none"/>
      </w:r>
      <w:r>
        <w:t xml:space="preserve">log</w:t>
        <w:br w:clear="none"/>
      </w:r>
      <w:r>
        <w:rPr>
          <w:rStyle w:val="Text7"/>
        </w:rPr>
        <w:t xml:space="preserve">:</w:t>
        <w:br w:clear="none"/>
      </w:r>
      <w:r>
        <w:t xml:space="preserve">exp</w:t>
        <w:br w:clear="none"/>
      </w:r>
      <w:r>
        <w:rPr>
          <w:rStyle w:val="Text7"/>
        </w:rPr>
        <w:t xml:space="preserve">}</w:t>
        <w:br w:clear="none"/>
      </w:r>
      <w:r>
        <w:rPr>
          <w:rStyle w:val="Text6"/>
        </w:rPr>
        <w:t xml:space="preserve"/>
        <w:br w:clear="none"/>
      </w:r>
      <w:r>
        <w:t xml:space="preserve">add_inverses</w:t>
        <w:br w:clear="none"/>
      </w:r>
      <w:r>
        <w:rPr>
          <w:rStyle w:val="Text7"/>
        </w:rPr>
        <w:t xml:space="preserve">(</w:t>
        <w:br w:clear="none"/>
      </w:r>
      <w:r>
        <w:t xml:space="preserve">math_map</w:t>
        <w:br w:clear="none"/>
      </w:r>
      <w:r>
        <w:rPr>
          <w:rStyle w:val="Text7"/>
        </w:rPr>
        <w:t xml:space="preserve">)</w:t>
        <w:br w:clear="none"/>
      </w:r>
    </w:p>
    <w:p>
      <w:pPr>
        <w:pStyle w:val="Normal"/>
      </w:pPr>
      <w:r>
        <w:t xml:space="preserve">Note that in this case the function mutates its argument (whence its need to use a </w:t>
      </w:r>
      <w:r>
        <w:rPr>
          <w:rStyle w:val="Text0"/>
        </w:rPr>
        <w:t>list</w:t>
      </w:r>
      <w:r>
        <w:t xml:space="preserve"> call for looping). In Python, the usual convention is for such functions not to return a value (see </w:t>
      </w:r>
      <w:hyperlink w:anchor="The_return_Statement__You_can_us">
        <w:r>
          <w:rPr>
            <w:rStyle w:val="Text1"/>
          </w:rPr>
          <w:t>“The return Statement”</w:t>
        </w:r>
      </w:hyperlink>
      <w:r>
        <w:t>).</w:t>
      </w:r>
    </w:p>
    <w:p>
      <w:bookmarkStart w:id="1085" w:name="Defining_Functions__The_def_Stat"/>
      <w:pPr>
        <w:keepNext/>
        <w:pStyle w:val="Heading 2"/>
      </w:pPr>
      <w:r>
        <w:t>Defining Functions: The def Statement</w:t>
      </w:r>
      <w:bookmarkEnd w:id="1085"/>
    </w:p>
    <w:p>
      <w:pPr>
        <w:pStyle w:val="Normal"/>
      </w:pPr>
      <w:r>
        <w:t>The</w:t>
      </w:r>
      <w:r>
        <w:rPr>
          <w:rStyle w:val="Text111"/>
        </w:rPr>
        <w:bookmarkStart w:id="1086" w:name="idm45965262766640"/>
        <w:t/>
        <w:bookmarkEnd w:id="1086"/>
        <w:bookmarkStart w:id="1087" w:name="idm45965262765264"/>
        <w:t/>
        <w:bookmarkEnd w:id="1087"/>
      </w:r>
      <w:r>
        <w:t xml:space="preserve"> </w:t>
      </w:r>
      <w:r>
        <w:rPr>
          <w:rStyle w:val="Text5"/>
        </w:rPr>
        <w:t>def</w:t>
      </w:r>
      <w:r>
        <w:t xml:space="preserve"> statement is the usual way to create a function. </w:t>
      </w:r>
      <w:r>
        <w:rPr>
          <w:rStyle w:val="Text5"/>
        </w:rPr>
        <w:t>def</w:t>
      </w:r>
      <w:r>
        <w:t xml:space="preserve"> is a single-clause compound statement with the following syntax:</w:t>
      </w:r>
    </w:p>
    <w:p>
      <w:pPr>
        <w:pStyle w:val="Para 032"/>
      </w:pPr>
      <w:r>
        <w:rPr>
          <w:rStyle w:val="Text116"/>
        </w:rPr>
        <w:t xml:space="preserve"/>
        <w:br w:clear="none"/>
      </w:r>
      <w:r>
        <w:rPr>
          <w:rStyle w:val="Text22"/>
        </w:rPr>
        <w:t xml:space="preserve">def</w:t>
        <w:br w:clear="none"/>
      </w:r>
      <w:r>
        <w:rPr>
          <w:rStyle w:val="Text11"/>
        </w:rPr>
        <w:t xml:space="preserve"> </w:t>
        <w:br w:clear="none"/>
      </w:r>
      <w:r>
        <w:rPr>
          <w:rStyle w:val="Text18"/>
        </w:rPr>
        <w:t xml:space="preserve">function_name</w:t>
        <w:br w:clear="none"/>
      </w:r>
      <w:r>
        <w:rPr>
          <w:rStyle w:val="Text19"/>
        </w:rPr>
        <w:t xml:space="preserve">(</w:t>
        <w:br w:clear="none"/>
      </w:r>
      <w:r>
        <w:t xml:space="preserve">parameters</w:t>
        <w:br w:clear="none"/>
      </w:r>
      <w:r>
        <w:rPr>
          <w:rStyle w:val="Text19"/>
        </w:rPr>
        <w:t xml:space="preserve">)</w:t>
        <w:br w:clear="none"/>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rPr>
          <w:rStyle w:val="Text3"/>
        </w:rPr>
        <w:t>function_name</w:t>
      </w:r>
      <w:r>
        <w:t xml:space="preserve"> is an identifier, and the nonempty indented </w:t>
      </w:r>
      <w:r>
        <w:rPr>
          <w:rStyle w:val="Text3"/>
        </w:rPr>
        <w:t>statement(s)</w:t>
      </w:r>
      <w:r>
        <w:t xml:space="preserve"> are the </w:t>
      </w:r>
      <w:r>
        <w:rPr>
          <w:rStyle w:val="Text4"/>
        </w:rPr>
        <w:t>function body</w:t>
      </w:r>
      <w:r>
        <w:t xml:space="preserve">. When the interpreter encounters a </w:t>
      </w:r>
      <w:r>
        <w:rPr>
          <w:rStyle w:val="Text5"/>
        </w:rPr>
        <w:t>def</w:t>
      </w:r>
      <w:r>
        <w:t xml:space="preserve"> statement, it compiles the function body, creating a function object, and binds (or rebinds, if there was an existing binding) </w:t>
      </w:r>
      <w:r>
        <w:rPr>
          <w:rStyle w:val="Text3"/>
        </w:rPr>
        <w:t>function_name</w:t>
      </w:r>
      <w:r>
        <w:t xml:space="preserve"> to the compiled function object in the containing namespace (typically the module namespace, or a class namespace when defining methods).</w:t>
      </w:r>
    </w:p>
    <w:p>
      <w:pPr>
        <w:pStyle w:val="Normal"/>
      </w:pPr>
      <w:r>
        <w:rPr>
          <w:rStyle w:val="Text3"/>
        </w:rPr>
        <w:t>parameters</w:t>
      </w:r>
      <w:r>
        <w:t xml:space="preserve"> is an optional list specifying the identifiers that will be bound to values that each function call provides. We distinguish between those identifiers, and the values provided for them in calls, as usual in computer science by referring to the former as </w:t>
      </w:r>
      <w:r>
        <w:rPr>
          <w:rStyle w:val="Text4"/>
        </w:rPr>
        <w:t>parameters</w:t>
      </w:r>
      <w:r>
        <w:t xml:space="preserve"> and the latter as</w:t>
      </w:r>
      <w:r>
        <w:rPr>
          <w:rStyle w:val="Text111"/>
        </w:rPr>
        <w:bookmarkStart w:id="1088" w:name="idm45965262708576"/>
        <w:t/>
        <w:bookmarkEnd w:id="1088"/>
      </w:r>
      <w:r>
        <w:t xml:space="preserve"> </w:t>
      </w:r>
      <w:r>
        <w:rPr>
          <w:rStyle w:val="Text4"/>
        </w:rPr>
        <w:t>arguments</w:t>
      </w:r>
      <w:r>
        <w:t>.</w:t>
      </w:r>
    </w:p>
    <w:p>
      <w:pPr>
        <w:pStyle w:val="Normal"/>
      </w:pPr>
      <w:r>
        <w:t xml:space="preserve">In the simplest case, a function defines no parameters, meaning the function won’t accept any arguments when you call it. In this case, the </w:t>
      </w:r>
      <w:r>
        <w:rPr>
          <w:rStyle w:val="Text5"/>
        </w:rPr>
        <w:t>def</w:t>
      </w:r>
      <w:r>
        <w:t xml:space="preserve"> statement has empty parentheses after </w:t>
      </w:r>
      <w:r>
        <w:rPr>
          <w:rStyle w:val="Text3"/>
        </w:rPr>
        <w:t>function_name</w:t>
      </w:r>
      <w:r>
        <w:t xml:space="preserve">, as must all calls. Otherwise, </w:t>
      </w:r>
      <w:r>
        <w:rPr>
          <w:rStyle w:val="Text3"/>
        </w:rPr>
        <w:t>parameters</w:t>
      </w:r>
      <w:r>
        <w:t xml:space="preserve"> will be a list of specifications (see </w:t>
      </w:r>
      <w:hyperlink w:anchor="Parameters__Parameters__pedantic">
        <w:r>
          <w:rPr>
            <w:rStyle w:val="Text1"/>
          </w:rPr>
          <w:t>“Parameters”</w:t>
        </w:r>
      </w:hyperlink>
      <w:r>
        <w:t xml:space="preserve">). The function body does not execute when the </w:t>
      </w:r>
      <w:r>
        <w:rPr>
          <w:rStyle w:val="Text5"/>
        </w:rPr>
        <w:t>def</w:t>
      </w:r>
      <w:r>
        <w:t xml:space="preserve"> statement executes; rather, Python compiles it into bytecode, saves it as the function object’s </w:t>
      </w:r>
      <w:r>
        <w:rPr>
          <w:rStyle w:val="Text0"/>
        </w:rPr>
        <w:t>__code__</w:t>
      </w:r>
      <w:r>
        <w:t xml:space="preserve"> attribute, and executes it later on each call to the function. The function body can contain zero or more occurrences of the </w:t>
      </w:r>
      <w:r>
        <w:rPr>
          <w:rStyle w:val="Text5"/>
        </w:rPr>
        <w:t>return</w:t>
      </w:r>
      <w:r>
        <w:t xml:space="preserve"> statement, as we’ll discuss shortly.</w:t>
      </w:r>
    </w:p>
    <w:p>
      <w:pPr>
        <w:pStyle w:val="Normal"/>
      </w:pPr>
      <w:r>
        <w:t xml:space="preserve">Each call to the function supplies argument expressions corresponding to parameters in the function definition. The interpreter evaluates the argument expressions from left to right and creates a new namespace in which it binds the argument values to the parameter names as local variables of the function call (as we discuss in </w:t>
      </w:r>
      <w:hyperlink w:anchor="Calling_Functions__A_function_ca">
        <w:r>
          <w:rPr>
            <w:rStyle w:val="Text1"/>
          </w:rPr>
          <w:t>“Calling Functions”</w:t>
        </w:r>
      </w:hyperlink>
      <w:r>
        <w:t>). Then Python executes the function body, with the function call namespace as the local namespace.</w:t>
      </w:r>
    </w:p>
    <w:p>
      <w:pPr>
        <w:pStyle w:val="Normal"/>
      </w:pPr>
      <w:r>
        <w:t>Here’s a simple function that returns a value that is twice the value passed to it each time it’s called:</w:t>
      </w:r>
    </w:p>
    <w:p>
      <w:pPr>
        <w:pStyle w:val="Para 037"/>
      </w:pPr>
      <w:r>
        <w:rPr>
          <w:rStyle w:val="Text118"/>
        </w:rPr>
        <w:t xml:space="preserve"/>
        <w:br w:clear="none"/>
      </w:r>
      <w:r>
        <w:t xml:space="preserve">def</w:t>
        <w:br w:clear="none"/>
      </w:r>
      <w:r>
        <w:rPr>
          <w:rStyle w:val="Text29"/>
        </w:rPr>
        <w:t xml:space="preserve"> </w:t>
        <w:br w:clear="none"/>
      </w:r>
      <w:r>
        <w:rPr>
          <w:rStyle w:val="Text61"/>
        </w:rPr>
        <w:t xml:space="preserve">twice</w:t>
        <w:br w:clear="none"/>
      </w:r>
      <w:r>
        <w:rPr>
          <w:rStyle w:val="Text31"/>
        </w:rPr>
        <w:t xml:space="preserve">(</w:t>
        <w:br w:clear="none"/>
      </w:r>
      <w:r>
        <w:rPr>
          <w:rStyle w:val="Text38"/>
        </w:rPr>
        <w:t xml:space="preserve">x</w:t>
        <w:br w:clear="none"/>
      </w:r>
      <w:r>
        <w:rPr>
          <w:rStyle w:val="Text31"/>
        </w:rPr>
        <w:t xml:space="preserve">)</w:t>
        <w:br w:clear="none"/>
        <w:t xml:space="preserve">:</w:t>
        <w:br w:clear="none"/>
      </w:r>
      <w:r>
        <w:rPr>
          <w:rStyle w:val="Text29"/>
        </w:rPr>
        <w:t xml:space="preserve"/>
        <w:br w:clear="none"/>
        <w:t xml:space="preserve">    </w:t>
        <w:br w:clear="none"/>
      </w:r>
      <w:r>
        <w:t xml:space="preserve">return</w:t>
        <w:br w:clear="none"/>
      </w:r>
      <w:r>
        <w:rPr>
          <w:rStyle w:val="Text29"/>
        </w:rPr>
        <w:t xml:space="preserve"> </w:t>
        <w:br w:clear="none"/>
      </w:r>
      <w:r>
        <w:rPr>
          <w:rStyle w:val="Text38"/>
        </w:rPr>
        <w:t xml:space="preserve">x</w:t>
        <w:br w:clear="none"/>
      </w:r>
      <w:r>
        <w:rPr>
          <w:rStyle w:val="Text63"/>
        </w:rPr>
        <w:t xml:space="preserve">*</w:t>
        <w:br w:clear="none"/>
      </w:r>
      <w:r>
        <w:rPr>
          <w:rStyle w:val="Text93"/>
        </w:rPr>
        <w:t xml:space="preserve">2</w:t>
        <w:br w:clear="none"/>
      </w:r>
    </w:p>
    <w:p>
      <w:pPr>
        <w:pStyle w:val="Normal"/>
      </w:pPr>
      <w:r>
        <w:t xml:space="preserve">The argument can be anything that you can multiply by two, so you could call the function with a number, string, list, or tuple as an argument. Each call returns a new value of the same type as the argument: </w:t>
      </w:r>
      <w:r>
        <w:rPr>
          <w:rStyle w:val="Text0"/>
        </w:rPr>
        <w:t>twice('ciao')</w:t>
      </w:r>
      <w:r>
        <w:t xml:space="preserve">, for example, returns </w:t>
      </w:r>
      <w:r>
        <w:rPr>
          <w:rStyle w:val="Text0"/>
        </w:rPr>
        <w:t>'ciaociao'</w:t>
      </w:r>
      <w:r>
        <w:t>.</w:t>
      </w:r>
    </w:p>
    <w:p>
      <w:pPr>
        <w:pStyle w:val="Normal"/>
      </w:pPr>
      <w:r>
        <w:t xml:space="preserve">The number of parameters of a function, together with the parameters’ names, the number of mandatory parameters, and the information on whether and where unmatched arguments should be collected, are a specification known as the function’s </w:t>
      </w:r>
      <w:r>
        <w:rPr>
          <w:rStyle w:val="Text4"/>
        </w:rPr>
        <w:t>signature</w:t>
      </w:r>
      <w:r>
        <w:t>. A signature defines how you can call the function.</w:t>
      </w:r>
    </w:p>
    <w:p>
      <w:bookmarkStart w:id="1089" w:name="Parameters__Parameters__pedantic"/>
      <w:pPr>
        <w:keepNext/>
        <w:pStyle w:val="Heading 2"/>
      </w:pPr>
      <w:r>
        <w:t>Parameters</w:t>
      </w:r>
      <w:bookmarkEnd w:id="1089"/>
    </w:p>
    <w:p>
      <w:pPr>
        <w:pStyle w:val="Normal"/>
      </w:pPr>
      <w:r>
        <w:t>Parameters</w:t>
      </w:r>
      <w:r>
        <w:rPr>
          <w:rStyle w:val="Text111"/>
        </w:rPr>
        <w:bookmarkStart w:id="1090" w:name="idm45965262661088"/>
        <w:t/>
        <w:bookmarkEnd w:id="1090"/>
        <w:bookmarkStart w:id="1091" w:name="param03"/>
        <w:t/>
        <w:bookmarkEnd w:id="1091"/>
        <w:bookmarkStart w:id="1092" w:name="idm45965262658304"/>
        <w:t/>
        <w:bookmarkEnd w:id="1092"/>
      </w:r>
      <w:r>
        <w:t xml:space="preserve"> (pedantically, </w:t>
      </w:r>
      <w:r>
        <w:rPr>
          <w:rStyle w:val="Text4"/>
        </w:rPr>
        <w:t>formal parameters</w:t>
      </w:r>
      <w:r>
        <w:t>) name the values passed into a function call, and may specify default values for them. Each time you call the function, the call binds each parameter name to the corresponding argument value in a new local namespace, which Python later destroys on function exit.</w:t>
      </w:r>
    </w:p>
    <w:p>
      <w:pPr>
        <w:pStyle w:val="Normal"/>
      </w:pPr>
      <w:r>
        <w:t>Besides letting you name individual arguments, Python also lets you collect argument values not matched by individual parameters, and lets you specifically require that some arguments be positional, or be named.</w:t>
      </w:r>
    </w:p>
    <w:p>
      <w:bookmarkStart w:id="1093" w:name="Positional_parameters__A_positio"/>
      <w:pPr>
        <w:keepNext/>
        <w:pStyle w:val="Heading 2"/>
      </w:pPr>
      <w:r>
        <w:t>Positional parameters</w:t>
      </w:r>
      <w:bookmarkEnd w:id="1093"/>
    </w:p>
    <w:p>
      <w:pPr>
        <w:pStyle w:val="Normal"/>
      </w:pPr>
      <w:r>
        <w:t>A</w:t>
      </w:r>
      <w:r>
        <w:rPr>
          <w:rStyle w:val="Text111"/>
        </w:rPr>
        <w:bookmarkStart w:id="1094" w:name="idm45965262636656"/>
        <w:t/>
        <w:bookmarkEnd w:id="1094"/>
      </w:r>
      <w:r>
        <w:t xml:space="preserve"> positional parameter is an identifier, </w:t>
      </w:r>
      <w:r>
        <w:rPr>
          <w:rStyle w:val="Text3"/>
        </w:rPr>
        <w:t>name</w:t>
      </w:r>
      <w:r>
        <w:t xml:space="preserve">, which names the parameter. You use these names inside the function body to access the argument values to the call. Callers can normally provide values for these parameters with either positional or named arguments (see </w:t>
      </w:r>
      <w:hyperlink w:anchor="Matching_arguments_to_parameters">
        <w:r>
          <w:rPr>
            <w:rStyle w:val="Text1"/>
          </w:rPr>
          <w:t>“Matching arguments to parameters”</w:t>
        </w:r>
      </w:hyperlink>
      <w:r>
        <w:t>).</w:t>
      </w:r>
    </w:p>
    <w:p>
      <w:bookmarkStart w:id="1095" w:name="Named_parameters__Named_paramete"/>
      <w:pPr>
        <w:keepNext/>
        <w:pStyle w:val="Heading 2"/>
      </w:pPr>
      <w:r>
        <w:t>Named parameters</w:t>
      </w:r>
      <w:bookmarkEnd w:id="1095"/>
    </w:p>
    <w:p>
      <w:pPr>
        <w:pStyle w:val="Normal"/>
      </w:pPr>
      <w:r>
        <w:t>Named parameters</w:t>
      </w:r>
      <w:r>
        <w:rPr>
          <w:rStyle w:val="Text111"/>
        </w:rPr>
        <w:bookmarkStart w:id="1096" w:name="idm45965262631616"/>
        <w:t/>
        <w:bookmarkEnd w:id="1096"/>
        <w:bookmarkStart w:id="1097" w:name="idm45965262630160"/>
        <w:t/>
        <w:bookmarkEnd w:id="1097"/>
        <w:bookmarkStart w:id="1098" w:name="idm45965262629056"/>
        <w:t/>
        <w:bookmarkEnd w:id="1098"/>
        <w:bookmarkStart w:id="1099" w:name="idm45965262627952"/>
        <w:t/>
        <w:bookmarkEnd w:id="1099"/>
      </w:r>
      <w:r>
        <w:t xml:space="preserve"> normally take the form </w:t>
      </w:r>
      <w:r>
        <w:rPr>
          <w:rStyle w:val="Text3"/>
        </w:rPr>
        <w:t>name</w:t>
      </w:r>
      <w:r>
        <w:rPr>
          <w:rStyle w:val="Text0"/>
        </w:rPr>
        <w:t>=</w:t>
      </w:r>
      <w:r>
        <w:rPr>
          <w:rStyle w:val="Text3"/>
        </w:rPr>
        <w:t>expression</w:t>
      </w:r>
      <w:r>
        <w:t xml:space="preserve"> (</w:t>
      </w:r>
      <w:r>
        <w:rPr>
          <w:rStyle w:val="Text34"/>
        </w:rPr>
        <w:t>3.8+</w:t>
      </w:r>
      <w:r>
        <w:t xml:space="preserve"> or come after a positional argument collector, often just </w:t>
      </w:r>
      <w:r>
        <w:rPr>
          <w:rStyle w:val="Text0"/>
        </w:rPr>
        <w:t>*</w:t>
      </w:r>
      <w:r>
        <w:t xml:space="preserve">, as discussed shortly). They are also often known (when written in the traditional </w:t>
      </w:r>
      <w:r>
        <w:rPr>
          <w:rStyle w:val="Text3"/>
        </w:rPr>
        <w:t>name</w:t>
      </w:r>
      <w:r>
        <w:rPr>
          <w:rStyle w:val="Text0"/>
        </w:rPr>
        <w:t>=</w:t>
      </w:r>
      <w:r>
        <w:rPr>
          <w:rStyle w:val="Text3"/>
        </w:rPr>
        <w:t>expression</w:t>
      </w:r>
      <w:r>
        <w:t xml:space="preserve"> form) as </w:t>
      </w:r>
      <w:r>
        <w:rPr>
          <w:rStyle w:val="Text4"/>
        </w:rPr>
        <w:t>default</w:t>
      </w:r>
      <w:r>
        <w:t xml:space="preserve">, </w:t>
      </w:r>
      <w:r>
        <w:rPr>
          <w:rStyle w:val="Text4"/>
        </w:rPr>
        <w:t>optional</w:t>
      </w:r>
      <w:r>
        <w:t>, and even—confusingly, since they do not involve any Python keywords—</w:t>
      </w:r>
      <w:r>
        <w:rPr>
          <w:rStyle w:val="Text4"/>
        </w:rPr>
        <w:t>keyword</w:t>
      </w:r>
      <w:r>
        <w:t xml:space="preserve"> parameters. When it executes a </w:t>
      </w:r>
      <w:r>
        <w:rPr>
          <w:rStyle w:val="Text5"/>
        </w:rPr>
        <w:t>def</w:t>
      </w:r>
      <w:r>
        <w:t xml:space="preserve"> statement, the interpreter evaluates each such </w:t>
      </w:r>
      <w:r>
        <w:rPr>
          <w:rStyle w:val="Text3"/>
        </w:rPr>
        <w:t>expression</w:t>
      </w:r>
      <w:r>
        <w:t xml:space="preserve"> and saves the resulting value, known as the</w:t>
      </w:r>
      <w:r>
        <w:rPr>
          <w:rStyle w:val="Text111"/>
        </w:rPr>
        <w:bookmarkStart w:id="1100" w:name="idm45965262618960"/>
        <w:t/>
        <w:bookmarkEnd w:id="1100"/>
      </w:r>
      <w:r>
        <w:t xml:space="preserve"> </w:t>
      </w:r>
      <w:r>
        <w:rPr>
          <w:rStyle w:val="Text4"/>
        </w:rPr>
        <w:t>default value</w:t>
      </w:r>
      <w:r>
        <w:t xml:space="preserve"> for the parameter, among the attributes of the function object. A function call thus need not provide an argument value for a named parameter written in the traditional form: the call uses the default value given as the </w:t>
      </w:r>
      <w:r>
        <w:rPr>
          <w:rStyle w:val="Text3"/>
        </w:rPr>
        <w:t>expression</w:t>
      </w:r>
      <w:r>
        <w:t>. You may provide positional arguments as values for some named parameters (</w:t>
      </w:r>
      <w:r>
        <w:rPr>
          <w:rStyle w:val="Text34"/>
        </w:rPr>
        <w:t>3.8+</w:t>
      </w:r>
      <w:r>
        <w:t xml:space="preserve"> except for parameters that are identified as named ones by appearing after a positional argument collector; see also </w:t>
      </w:r>
      <w:hyperlink w:anchor="Matching_arguments_to_parameters">
        <w:r>
          <w:rPr>
            <w:rStyle w:val="Text1"/>
          </w:rPr>
          <w:t>“Matching arguments to parameters”</w:t>
        </w:r>
      </w:hyperlink>
      <w:r>
        <w:t>).</w:t>
      </w:r>
    </w:p>
    <w:p>
      <w:pPr>
        <w:pStyle w:val="Normal"/>
      </w:pPr>
      <w:r>
        <w:t xml:space="preserve">Python computes each default value </w:t>
      </w:r>
      <w:r>
        <w:rPr>
          <w:rStyle w:val="Text4"/>
        </w:rPr>
        <w:t>exactly once</w:t>
      </w:r>
      <w:r>
        <w:t xml:space="preserve">, when the </w:t>
      </w:r>
      <w:r>
        <w:rPr>
          <w:rStyle w:val="Text5"/>
        </w:rPr>
        <w:t>def</w:t>
      </w:r>
      <w:r>
        <w:t xml:space="preserve"> statement executes, </w:t>
      </w:r>
      <w:r>
        <w:rPr>
          <w:rStyle w:val="Text4"/>
        </w:rPr>
        <w:t>not</w:t>
      </w:r>
      <w:r>
        <w:t xml:space="preserve"> each time you call the resulting function. In particular, this means that Python binds exactly the </w:t>
      </w:r>
      <w:r>
        <w:rPr>
          <w:rStyle w:val="Text4"/>
        </w:rPr>
        <w:t>same</w:t>
      </w:r>
      <w:r>
        <w:t xml:space="preserve"> object, the default value, to the named parameter whenever the caller does not supply a corresponding argument.</w:t>
      </w:r>
    </w:p>
    <w:p>
      <w:pPr>
        <w:keepNext/>
        <w:pStyle w:val="Heading 6"/>
        <w:keepLines w:val="on"/>
      </w:pPr>
      <w:r>
        <w:t>Avoid Mutable Default Values</w:t>
      </w:r>
    </w:p>
    <w:p>
      <w:pPr>
        <w:pStyle w:val="Para 012"/>
        <w:keepLines w:val="on"/>
      </w:pPr>
      <w:r>
        <w:t xml:space="preserve">A function can alter a mutable default value, such as a list, each time you call the function without an argument corresponding to the respective parameter. This is usually not the behavior you want; for details, see </w:t>
      </w:r>
      <w:hyperlink w:anchor="Mutable_default_parameter_values">
        <w:r>
          <w:rPr>
            <w:rStyle w:val="Text1"/>
          </w:rPr>
          <w:t>“Mutable default parameter values”</w:t>
        </w:r>
      </w:hyperlink>
      <w:r>
        <w:t>.</w:t>
      </w:r>
    </w:p>
    <w:p>
      <w:bookmarkStart w:id="1101" w:name="Positional_only_marker__3_8__A_f"/>
      <w:pPr>
        <w:keepNext/>
        <w:pStyle w:val="Heading 2"/>
      </w:pPr>
      <w:r>
        <w:t>Positional-only marker</w:t>
      </w:r>
      <w:bookmarkEnd w:id="1101"/>
    </w:p>
    <w:p>
      <w:pPr>
        <w:pStyle w:val="Normal"/>
      </w:pPr>
      <w:r>
        <w:rPr>
          <w:rStyle w:val="Text34"/>
        </w:rPr>
        <w:t>3.8+</w:t>
      </w:r>
      <w:r>
        <w:t xml:space="preserve"> A</w:t>
      </w:r>
      <w:r>
        <w:rPr>
          <w:rStyle w:val="Text111"/>
        </w:rPr>
        <w:bookmarkStart w:id="1102" w:name="idm45965262606608"/>
        <w:t/>
        <w:bookmarkEnd w:id="1102"/>
      </w:r>
      <w:r>
        <w:t xml:space="preserve"> function’s signature may contain</w:t>
      </w:r>
      <w:r>
        <w:rPr>
          <w:rStyle w:val="Text111"/>
        </w:rPr>
        <w:bookmarkStart w:id="1103" w:name="idm45965262605056"/>
        <w:t/>
        <w:bookmarkEnd w:id="1103"/>
        <w:bookmarkStart w:id="1104" w:name="idm45965262603888"/>
        <w:t/>
        <w:bookmarkEnd w:id="1104"/>
      </w:r>
      <w:r>
        <w:t xml:space="preserve"> a single </w:t>
      </w:r>
      <w:r>
        <w:rPr>
          <w:rStyle w:val="Text4"/>
        </w:rPr>
        <w:t>positional-only marker</w:t>
      </w:r>
      <w:r>
        <w:t xml:space="preserve"> (</w:t>
      </w:r>
      <w:r>
        <w:rPr>
          <w:rStyle w:val="Text0"/>
        </w:rPr>
        <w:t>/</w:t>
      </w:r>
      <w:r>
        <w:t>) as a dummy parameter. The parameters preceding the marker are known as</w:t>
      </w:r>
      <w:r>
        <w:rPr>
          <w:rStyle w:val="Text111"/>
        </w:rPr>
        <w:bookmarkStart w:id="1105" w:name="idm45965262601472"/>
        <w:t/>
        <w:bookmarkEnd w:id="1105"/>
      </w:r>
      <w:r>
        <w:t xml:space="preserve"> </w:t>
      </w:r>
      <w:r>
        <w:rPr>
          <w:rStyle w:val="Text4"/>
        </w:rPr>
        <w:t>positional-only parameters</w:t>
      </w:r>
      <w:r>
        <w:t xml:space="preserve">, and </w:t>
      </w:r>
      <w:r>
        <w:rPr>
          <w:rStyle w:val="Text4"/>
        </w:rPr>
        <w:t>must</w:t>
      </w:r>
      <w:r>
        <w:t xml:space="preserve"> be provided as positional arguments, </w:t>
      </w:r>
      <w:r>
        <w:rPr>
          <w:rStyle w:val="Text4"/>
        </w:rPr>
        <w:t>not</w:t>
      </w:r>
      <w:r>
        <w:t xml:space="preserve"> named arguments, when calling the function; using named arguments for these parameters raises a </w:t>
      </w:r>
      <w:r>
        <w:rPr>
          <w:rStyle w:val="Text0"/>
        </w:rPr>
        <w:t>TypeError</w:t>
      </w:r>
      <w:r>
        <w:t xml:space="preserve"> exception.</w:t>
      </w:r>
    </w:p>
    <w:p>
      <w:pPr>
        <w:pStyle w:val="Normal"/>
      </w:pPr>
      <w:r>
        <w:t xml:space="preserve">The built-in </w:t>
      </w:r>
      <w:r>
        <w:rPr>
          <w:rStyle w:val="Text0"/>
        </w:rPr>
        <w:t>int</w:t>
      </w:r>
      <w:r>
        <w:t xml:space="preserve"> type, for example, has the following signature:</w:t>
      </w:r>
    </w:p>
    <w:p>
      <w:pPr>
        <w:pStyle w:val="Para 007"/>
      </w:pPr>
      <w:r>
        <w:rPr>
          <w:rStyle w:val="Text23"/>
        </w:rPr>
        <w:t xml:space="preserve"/>
        <w:br w:clear="none"/>
      </w:r>
      <w:r>
        <w:rPr>
          <w:rStyle w:val="Text16"/>
        </w:rPr>
        <w:t xml:space="preserve">int</w:t>
        <w:br w:clear="none"/>
      </w:r>
      <w:r>
        <w:rPr>
          <w:rStyle w:val="Text7"/>
        </w:rPr>
        <w:t xml:space="preserve">(</w:t>
        <w:br w:clear="none"/>
      </w:r>
      <w:r>
        <w:t xml:space="preserve">x</w:t>
        <w:br w:clear="none"/>
      </w:r>
      <w:r>
        <w:rPr>
          <w:rStyle w:val="Text7"/>
        </w:rPr>
        <w:t xml:space="preserve">,</w:t>
        <w:br w:clear="none"/>
      </w:r>
      <w:r>
        <w:rPr>
          <w:rStyle w:val="Text23"/>
        </w:rPr>
        <w:t xml:space="preserve"> </w:t>
        <w:br w:clear="none"/>
      </w:r>
      <w:r>
        <w:rPr>
          <w:rStyle w:val="Text13"/>
        </w:rPr>
        <w:t xml:space="preserve">/</w:t>
        <w:br w:clear="none"/>
      </w:r>
      <w:r>
        <w:rPr>
          <w:rStyle w:val="Text7"/>
        </w:rPr>
        <w:t xml:space="preserve">,</w:t>
        <w:br w:clear="none"/>
      </w:r>
      <w:r>
        <w:rPr>
          <w:rStyle w:val="Text23"/>
        </w:rPr>
        <w:t xml:space="preserve"> </w:t>
        <w:br w:clear="none"/>
      </w:r>
      <w:r>
        <w:t xml:space="preserve">base</w:t>
        <w:br w:clear="none"/>
      </w:r>
      <w:r>
        <w:rPr>
          <w:rStyle w:val="Text13"/>
        </w:rPr>
        <w:t xml:space="preserve">=</w:t>
        <w:br w:clear="none"/>
      </w:r>
      <w:r>
        <w:rPr>
          <w:rStyle w:val="Text27"/>
        </w:rPr>
        <w:t xml:space="preserve">10</w:t>
        <w:br w:clear="none"/>
      </w:r>
      <w:r>
        <w:rPr>
          <w:rStyle w:val="Text7"/>
        </w:rPr>
        <w:t xml:space="preserve">)</w:t>
        <w:br w:clear="none"/>
      </w:r>
    </w:p>
    <w:p>
      <w:pPr>
        <w:pStyle w:val="Normal"/>
      </w:pPr>
      <w:r>
        <w:t xml:space="preserve">When calling </w:t>
      </w:r>
      <w:r>
        <w:rPr>
          <w:rStyle w:val="Text0"/>
        </w:rPr>
        <w:t>int</w:t>
      </w:r>
      <w:r>
        <w:t xml:space="preserve">, you must pass a value for x and you must pass it positionally. </w:t>
      </w:r>
      <w:r>
        <w:rPr>
          <w:rStyle w:val="Text0"/>
        </w:rPr>
        <w:t>base</w:t>
      </w:r>
      <w:r>
        <w:t xml:space="preserve"> (used when </w:t>
      </w:r>
      <w:r>
        <w:rPr>
          <w:rStyle w:val="Text0"/>
        </w:rPr>
        <w:t>x</w:t>
      </w:r>
      <w:r>
        <w:t xml:space="preserve"> is a string to be converted to </w:t>
      </w:r>
      <w:r>
        <w:rPr>
          <w:rStyle w:val="Text0"/>
        </w:rPr>
        <w:t>int</w:t>
      </w:r>
      <w:r>
        <w:t xml:space="preserve">) is optional, and you may pass it either positionally or as a named argument (it’s an error to pass </w:t>
      </w:r>
      <w:r>
        <w:rPr>
          <w:rStyle w:val="Text0"/>
        </w:rPr>
        <w:t>x</w:t>
      </w:r>
      <w:r>
        <w:t xml:space="preserve"> as a number and also pass </w:t>
      </w:r>
      <w:r>
        <w:rPr>
          <w:rStyle w:val="Text0"/>
        </w:rPr>
        <w:t>base</w:t>
      </w:r>
      <w:r>
        <w:t>, but the notation cannot capture that quirk).</w:t>
      </w:r>
    </w:p>
    <w:p>
      <w:bookmarkStart w:id="1106" w:name="Positional_argument_collector__T"/>
      <w:pPr>
        <w:keepNext/>
        <w:pStyle w:val="Heading 2"/>
      </w:pPr>
      <w:r>
        <w:t>Positional argument collector</w:t>
      </w:r>
      <w:bookmarkEnd w:id="1106"/>
    </w:p>
    <w:p>
      <w:pPr>
        <w:pStyle w:val="Normal"/>
      </w:pPr>
      <w:r>
        <w:t>The</w:t>
      </w:r>
      <w:r>
        <w:rPr>
          <w:rStyle w:val="Text111"/>
        </w:rPr>
        <w:bookmarkStart w:id="1107" w:name="idm45965262579968"/>
        <w:t/>
        <w:bookmarkEnd w:id="1107"/>
      </w:r>
      <w:r>
        <w:t xml:space="preserve"> positional argument collector can take one of two forms, either </w:t>
      </w:r>
      <w:r>
        <w:rPr>
          <w:rStyle w:val="Text0"/>
        </w:rPr>
        <w:t>*</w:t>
      </w:r>
      <w:r>
        <w:rPr>
          <w:rStyle w:val="Text3"/>
        </w:rPr>
        <w:t>name</w:t>
      </w:r>
      <w:r>
        <w:t xml:space="preserve"> or </w:t>
      </w:r>
      <w:r>
        <w:rPr>
          <w:rStyle w:val="Text34"/>
        </w:rPr>
        <w:t>3.8+</w:t>
      </w:r>
      <w:r>
        <w:t xml:space="preserve"> just </w:t>
      </w:r>
      <w:r>
        <w:rPr>
          <w:rStyle w:val="Text0"/>
        </w:rPr>
        <w:t>*</w:t>
      </w:r>
      <w:r>
        <w:t xml:space="preserve">. In the former case, </w:t>
      </w:r>
      <w:r>
        <w:rPr>
          <w:rStyle w:val="Text3"/>
        </w:rPr>
        <w:t>name</w:t>
      </w:r>
      <w:r>
        <w:t xml:space="preserve"> is bound at call time to a tuple of unmatched positional arguments (when all positional arguments are matched, the tuple is empty). In the latter case (the </w:t>
      </w:r>
      <w:r>
        <w:rPr>
          <w:rStyle w:val="Text0"/>
        </w:rPr>
        <w:t>*</w:t>
      </w:r>
      <w:r>
        <w:t xml:space="preserve"> is a dummy parameter), a call with unmatched positional arguments raises a </w:t>
      </w:r>
      <w:r>
        <w:rPr>
          <w:rStyle w:val="Text0"/>
        </w:rPr>
        <w:t>TypeError</w:t>
      </w:r>
      <w:r>
        <w:t xml:space="preserve"> exception.</w:t>
      </w:r>
    </w:p>
    <w:p>
      <w:pPr>
        <w:pStyle w:val="Normal"/>
      </w:pPr>
      <w:r>
        <w:t>When</w:t>
      </w:r>
      <w:r>
        <w:rPr>
          <w:rStyle w:val="Text111"/>
        </w:rPr>
        <w:bookmarkStart w:id="1108" w:name="idm45965262551520"/>
        <w:t/>
        <w:bookmarkEnd w:id="1108"/>
      </w:r>
      <w:r>
        <w:t xml:space="preserve"> a function’s signature has either kind of positional argument collector, no call can provide a positional argument for a named parameter coming after the collector: the collector prohibits (in the </w:t>
      </w:r>
      <w:r>
        <w:rPr>
          <w:rStyle w:val="Text0"/>
        </w:rPr>
        <w:t>*</w:t>
      </w:r>
      <w:r>
        <w:t xml:space="preserve"> form) or gives a destination for (in the </w:t>
      </w:r>
      <w:r>
        <w:rPr>
          <w:rStyle w:val="Text3"/>
        </w:rPr>
        <w:t>*name</w:t>
      </w:r>
      <w:r>
        <w:t xml:space="preserve"> form) positional arguments that do not correspond to parameters coming before it.</w:t>
      </w:r>
    </w:p>
    <w:p>
      <w:pPr>
        <w:pStyle w:val="Normal"/>
      </w:pPr>
      <w:r>
        <w:t xml:space="preserve">For example, consider this function from the </w:t>
      </w:r>
      <w:r>
        <w:rPr>
          <w:rStyle w:val="Text0"/>
        </w:rPr>
        <w:t>random</w:t>
      </w:r>
      <w:r>
        <w:t xml:space="preserve"> module: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sample</w:t>
        <w:br w:clear="none"/>
      </w:r>
      <w:r>
        <w:rPr>
          <w:rStyle w:val="Text7"/>
        </w:rPr>
        <w:t xml:space="preserve">(</w:t>
        <w:br w:clear="none"/>
      </w:r>
      <w:r>
        <w:t xml:space="preserve">population</w:t>
        <w:br w:clear="none"/>
      </w:r>
      <w:r>
        <w:rPr>
          <w:rStyle w:val="Text7"/>
        </w:rPr>
        <w:t xml:space="preserve">,</w:t>
        <w:br w:clear="none"/>
      </w:r>
      <w:r>
        <w:rPr>
          <w:rStyle w:val="Text6"/>
        </w:rPr>
        <w:t xml:space="preserve"> </w:t>
        <w:br w:clear="none"/>
      </w:r>
      <w:r>
        <w:t xml:space="preserve">k</w:t>
        <w:br w:clear="none"/>
      </w:r>
      <w:r>
        <w:rPr>
          <w:rStyle w:val="Text7"/>
        </w:rPr>
        <w:t xml:space="preserve">,</w:t>
        <w:br w:clear="none"/>
      </w:r>
      <w:r>
        <w:rPr>
          <w:rStyle w:val="Text6"/>
        </w:rPr>
        <w:t xml:space="preserve"> </w:t>
        <w:br w:clear="none"/>
      </w:r>
      <w:r>
        <w:rPr>
          <w:rStyle w:val="Text13"/>
        </w:rPr>
        <w:t xml:space="preserve">*</w:t>
        <w:br w:clear="none"/>
      </w:r>
      <w:r>
        <w:rPr>
          <w:rStyle w:val="Text7"/>
        </w:rPr>
        <w:t xml:space="preserve">,</w:t>
        <w:br w:clear="none"/>
      </w:r>
      <w:r>
        <w:rPr>
          <w:rStyle w:val="Text6"/>
        </w:rPr>
        <w:t xml:space="preserve"> </w:t>
        <w:br w:clear="none"/>
      </w:r>
      <w:r>
        <w:t xml:space="preserve">counts</w:t>
        <w:br w:clear="none"/>
      </w:r>
      <w:r>
        <w:rPr>
          <w:rStyle w:val="Text13"/>
        </w:rPr>
        <w:t xml:space="preserve">=</w:t>
        <w:br w:clear="none"/>
      </w:r>
      <w:r>
        <w:rPr>
          <w:rStyle w:val="Text10"/>
        </w:rPr>
        <w:t xml:space="preserve">None</w:t>
        <w:br w:clear="none"/>
      </w:r>
      <w:r>
        <w:rPr>
          <w:rStyle w:val="Text7"/>
        </w:rPr>
        <w:t xml:space="preserve">)</w:t>
        <w:br w:clear="none"/>
        <w:t xml:space="preserve">:</w:t>
        <w:br w:clear="none"/>
      </w:r>
    </w:p>
    <w:p>
      <w:pPr>
        <w:pStyle w:val="Normal"/>
      </w:pPr>
      <w:r>
        <w:t xml:space="preserve">When calling </w:t>
      </w:r>
      <w:r>
        <w:rPr>
          <w:rStyle w:val="Text0"/>
        </w:rPr>
        <w:t>sample</w:t>
      </w:r>
      <w:r>
        <w:t xml:space="preserve">, values for </w:t>
      </w:r>
      <w:r>
        <w:rPr>
          <w:rStyle w:val="Text0"/>
        </w:rPr>
        <w:t>population</w:t>
      </w:r>
      <w:r>
        <w:t xml:space="preserve"> and </w:t>
      </w:r>
      <w:r>
        <w:rPr>
          <w:rStyle w:val="Text0"/>
        </w:rPr>
        <w:t>k</w:t>
      </w:r>
      <w:r>
        <w:t xml:space="preserve"> are required, and may be passed positionally or by name. </w:t>
      </w:r>
      <w:r>
        <w:rPr>
          <w:rStyle w:val="Text0"/>
        </w:rPr>
        <w:t>counts</w:t>
      </w:r>
      <w:r>
        <w:t xml:space="preserve"> is optional; if you do pass it, you must pass it as a named argument.</w:t>
      </w:r>
    </w:p>
    <w:p>
      <w:bookmarkStart w:id="1109" w:name="Named_argument_collector__This_f"/>
      <w:pPr>
        <w:keepNext/>
        <w:pStyle w:val="Heading 2"/>
      </w:pPr>
      <w:r>
        <w:t>Named argument collector</w:t>
      </w:r>
      <w:bookmarkEnd w:id="1109"/>
    </w:p>
    <w:p>
      <w:pPr>
        <w:pStyle w:val="Normal"/>
      </w:pPr>
      <w:r>
        <w:t>This</w:t>
      </w:r>
      <w:r>
        <w:rPr>
          <w:rStyle w:val="Text111"/>
        </w:rPr>
        <w:bookmarkStart w:id="1110" w:name="idm45965262523456"/>
        <w:t/>
        <w:bookmarkEnd w:id="1110"/>
        <w:bookmarkStart w:id="1111" w:name="dstarname03"/>
        <w:t/>
        <w:bookmarkEnd w:id="1111"/>
        <w:bookmarkStart w:id="1112" w:name="DSOname03"/>
        <w:t/>
        <w:bookmarkEnd w:id="1112"/>
      </w:r>
      <w:r>
        <w:t xml:space="preserve"> final, optional parameter specification has the form </w:t>
      </w:r>
      <w:r>
        <w:rPr>
          <w:rStyle w:val="Text0"/>
        </w:rPr>
        <w:t>**</w:t>
      </w:r>
      <w:r>
        <w:rPr>
          <w:rStyle w:val="Text3"/>
        </w:rPr>
        <w:t>name</w:t>
      </w:r>
      <w:r>
        <w:t xml:space="preserve">. When the function is called, </w:t>
      </w:r>
      <w:r>
        <w:rPr>
          <w:rStyle w:val="Text3"/>
        </w:rPr>
        <w:t>name</w:t>
      </w:r>
      <w:r>
        <w:t xml:space="preserve"> is bound to a dictionary whose items are the </w:t>
      </w:r>
      <w:r>
        <w:rPr>
          <w:rStyle w:val="Text0"/>
        </w:rPr>
        <w:t>(</w:t>
      </w:r>
      <w:r>
        <w:rPr>
          <w:rStyle w:val="Text3"/>
        </w:rPr>
        <w:t>key</w:t>
      </w:r>
      <w:r>
        <w:rPr>
          <w:rStyle w:val="Text0"/>
        </w:rPr>
        <w:t>,</w:t>
      </w:r>
      <w:r>
        <w:t xml:space="preserve"> </w:t>
      </w:r>
      <w:r>
        <w:rPr>
          <w:rStyle w:val="Text3"/>
        </w:rPr>
        <w:t>value</w:t>
      </w:r>
      <w:r>
        <w:rPr>
          <w:rStyle w:val="Text0"/>
        </w:rPr>
        <w:t>)</w:t>
      </w:r>
      <w:r>
        <w:t xml:space="preserve"> pairs of any unmatched named arguments, or an empty dictionary if there are no such arguments.</w:t>
      </w:r>
    </w:p>
    <w:p>
      <w:bookmarkStart w:id="1113" w:name="Parameter_sequence__Generally_sp"/>
      <w:pPr>
        <w:keepNext/>
        <w:pStyle w:val="Heading 2"/>
      </w:pPr>
      <w:r>
        <w:t>Parameter sequence</w:t>
      </w:r>
      <w:bookmarkEnd w:id="1113"/>
    </w:p>
    <w:p>
      <w:pPr>
        <w:pStyle w:val="Normal"/>
      </w:pPr>
      <w:r>
        <w:t>Generally speaking, positional parameters are followed by named parameters, with the positional and named argument collectors (if present) last. The positional-only marker, however, may appear at any position in the list of parameters.</w:t>
      </w:r>
    </w:p>
    <w:p>
      <w:bookmarkStart w:id="1114" w:name="Mutable_default_parameter_values"/>
      <w:pPr>
        <w:keepNext/>
        <w:pStyle w:val="Heading 2"/>
      </w:pPr>
      <w:r>
        <w:t>Mutable default parameter values</w:t>
      </w:r>
      <w:bookmarkEnd w:id="1114"/>
    </w:p>
    <w:p>
      <w:pPr>
        <w:pStyle w:val="Normal"/>
      </w:pPr>
      <w:r>
        <w:t>When</w:t>
      </w:r>
      <w:r>
        <w:rPr>
          <w:rStyle w:val="Text111"/>
        </w:rPr>
        <w:bookmarkStart w:id="1115" w:name="idm45965262491392"/>
        <w:t/>
        <w:bookmarkEnd w:id="1115"/>
      </w:r>
      <w:r>
        <w:t xml:space="preserve"> a named parameter’s default value is a mutable object, and the function body alters the parameter, things get tricky.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y</w:t>
        <w:br w:clear="none"/>
      </w:r>
      <w:r>
        <w:rPr>
          <w:rStyle w:val="Text28"/>
        </w:rPr>
        <w:t xml:space="preserve">=</w:t>
        <w:br w:clear="none"/>
      </w:r>
      <w:r>
        <w:rPr>
          <w:rStyle w:val="Text19"/>
        </w:rPr>
        <w:t xml:space="preserve">[</w:t>
        <w:br w:clear="none"/>
        <w:t xml:space="preserve">]</w:t>
        <w:br w:clear="none"/>
        <w:t xml:space="preserve">)</w:t>
        <w:br w:clear="none"/>
        <w:t xml:space="preserve">:</w:t>
        <w:br w:clear="none"/>
      </w:r>
      <w:r>
        <w:rPr>
          <w:rStyle w:val="Text11"/>
        </w:rPr>
        <w:t xml:space="preserve"/>
        <w:br w:clear="none"/>
        <w:t xml:space="preserve">    </w:t>
        <w:br w:clear="none"/>
      </w:r>
      <w:r>
        <w:rPr>
          <w:rStyle w:val="Text14"/>
        </w:rPr>
        <w:t xml:space="preserve">y</w:t>
        <w:br w:clear="none"/>
      </w:r>
      <w:r>
        <w:rPr>
          <w:rStyle w:val="Text28"/>
        </w:rPr>
        <w:t xml:space="preserve">.</w:t>
        <w:br w:clear="none"/>
      </w:r>
      <w:r>
        <w:rPr>
          <w:rStyle w:val="Text14"/>
        </w:rPr>
        <w:t xml:space="preserve">append</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id</w:t>
        <w:br w:clear="none"/>
      </w:r>
      <w:r>
        <w:rPr>
          <w:rStyle w:val="Text19"/>
        </w:rPr>
        <w:t xml:space="preserve">(</w:t>
        <w:br w:clear="none"/>
      </w:r>
      <w:r>
        <w:rPr>
          <w:rStyle w:val="Text14"/>
        </w:rPr>
        <w:t xml:space="preserve">y</w:t>
        <w:br w:clear="none"/>
      </w:r>
      <w:r>
        <w:rPr>
          <w:rStyle w:val="Text19"/>
        </w:rPr>
        <w:t xml:space="preserve">)</w:t>
        <w:br w:clear="none"/>
        <w:t xml:space="preserve">,</w:t>
        <w:br w:clear="none"/>
      </w:r>
      <w:r>
        <w:rPr>
          <w:rStyle w:val="Text11"/>
        </w:rPr>
        <w:t xml:space="preserve"> </w:t>
        <w:br w:clear="none"/>
      </w:r>
      <w:r>
        <w:rPr>
          <w:rStyle w:val="Text14"/>
        </w:rPr>
        <w:t xml:space="preserve">y</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f</w:t>
        <w:br w:clear="none"/>
      </w:r>
      <w:r>
        <w:rPr>
          <w:rStyle w:val="Text19"/>
        </w:rPr>
        <w:t xml:space="preserve">(</w:t>
        <w:br w:clear="none"/>
      </w:r>
      <w:r>
        <w:rPr>
          <w:rStyle w:val="Text35"/>
        </w:rPr>
        <w:t xml:space="preserve">23</w:t>
        <w:br w:clear="none"/>
      </w:r>
      <w:r>
        <w:rPr>
          <w:rStyle w:val="Text19"/>
        </w:rPr>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(4302354376, [23])</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f</w:t>
        <w:br w:clear="none"/>
      </w:r>
      <w:r>
        <w:rPr>
          <w:rStyle w:val="Text19"/>
        </w:rPr>
        <w:t xml:space="preserve">(</w:t>
        <w:br w:clear="none"/>
      </w:r>
      <w:r>
        <w:rPr>
          <w:rStyle w:val="Text35"/>
        </w:rPr>
        <w:t xml:space="preserve">42</w:t>
        <w:br w:clear="none"/>
      </w:r>
      <w:r>
        <w:rPr>
          <w:rStyle w:val="Text19"/>
        </w:rPr>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(4302354376, [23, 42])</w:t>
        <w:br w:clear="none"/>
      </w:r>
    </w:p>
    <w:p>
      <w:pPr>
        <w:pStyle w:val="Normal"/>
      </w:pPr>
      <w:r>
        <w:t xml:space="preserve">The second </w:t>
      </w:r>
      <w:r>
        <w:rPr>
          <w:rStyle w:val="Text0"/>
        </w:rPr>
        <w:t>print</w:t>
      </w:r>
      <w:r>
        <w:t xml:space="preserve"> prints </w:t>
      </w:r>
      <w:r>
        <w:rPr>
          <w:rStyle w:val="Text0"/>
        </w:rPr>
        <w:t>[23, 42]</w:t>
      </w:r>
      <w:r>
        <w:t xml:space="preserve"> because the first call to </w:t>
      </w:r>
      <w:r>
        <w:rPr>
          <w:rStyle w:val="Text0"/>
        </w:rPr>
        <w:t>f</w:t>
      </w:r>
      <w:r>
        <w:t xml:space="preserve"> altered the default value of </w:t>
      </w:r>
      <w:r>
        <w:rPr>
          <w:rStyle w:val="Text0"/>
        </w:rPr>
        <w:t>y</w:t>
      </w:r>
      <w:r>
        <w:t xml:space="preserve">, originally an empty list </w:t>
      </w:r>
      <w:r>
        <w:rPr>
          <w:rStyle w:val="Text0"/>
        </w:rPr>
        <w:t>[]</w:t>
      </w:r>
      <w:r>
        <w:t xml:space="preserve">, by appending </w:t>
      </w:r>
      <w:r>
        <w:rPr>
          <w:rStyle w:val="Text0"/>
        </w:rPr>
        <w:t>23</w:t>
      </w:r>
      <w:r>
        <w:t xml:space="preserve"> to it. The </w:t>
      </w:r>
      <w:r>
        <w:rPr>
          <w:rStyle w:val="Text0"/>
        </w:rPr>
        <w:t>id</w:t>
      </w:r>
      <w:r>
        <w:t xml:space="preserve"> values (always equal to each other, although otherwise arbitrary) confirm that both calls return the same object. If you want </w:t>
      </w:r>
      <w:r>
        <w:rPr>
          <w:rStyle w:val="Text0"/>
        </w:rPr>
        <w:t>y</w:t>
      </w:r>
      <w:r>
        <w:t xml:space="preserve"> to be a new, empty list object, each time you call </w:t>
      </w:r>
      <w:r>
        <w:rPr>
          <w:rStyle w:val="Text0"/>
        </w:rPr>
        <w:t>f</w:t>
      </w:r>
      <w:r>
        <w:t xml:space="preserve"> with a single argument (a far more frequent need!), use the following idiom instead:</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9"/>
        </w:rPr>
        <w:t xml:space="preserve">x</w:t>
        <w:br w:clear="none"/>
      </w:r>
      <w:r>
        <w:rPr>
          <w:rStyle w:val="Text7"/>
        </w:rPr>
        <w:t xml:space="preserve">,</w:t>
        <w:br w:clear="none"/>
      </w:r>
      <w:r>
        <w:t xml:space="preserve"> </w:t>
        <w:br w:clear="none"/>
      </w:r>
      <w:r>
        <w:rPr>
          <w:rStyle w:val="Text9"/>
        </w:rPr>
        <w:t xml:space="preserve">y</w:t>
        <w:br w:clear="none"/>
      </w:r>
      <w:r>
        <w:rPr>
          <w:rStyle w:val="Text13"/>
        </w:rPr>
        <w:t xml:space="preserve">=</w:t>
        <w:br w:clear="none"/>
      </w:r>
      <w:r>
        <w:rPr>
          <w:rStyle w:val="Text10"/>
        </w:rPr>
        <w:t xml:space="preserve">None</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y</w:t>
        <w:br w:clear="none"/>
      </w:r>
      <w:r>
        <w:t xml:space="preserve"> </w:t>
        <w:br w:clear="none"/>
      </w:r>
      <w:r>
        <w:rPr>
          <w:rStyle w:val="Text31"/>
        </w:rPr>
        <w:t xml:space="preserve">is</w:t>
        <w:br w:clear="none"/>
      </w:r>
      <w:r>
        <w:rPr>
          <w:rStyle w:val="Text37"/>
        </w:rP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9"/>
        </w:rPr>
        <w:t xml:space="preserve">y</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r>
        <w:t xml:space="preserve"/>
        <w:br w:clear="none"/>
        <w:t xml:space="preserve">    </w:t>
        <w:br w:clear="none"/>
      </w:r>
      <w:r>
        <w:rPr>
          <w:rStyle w:val="Text9"/>
        </w:rPr>
        <w:t xml:space="preserve">y</w:t>
        <w:br w:clear="none"/>
      </w:r>
      <w:r>
        <w:rPr>
          <w:rStyle w:val="Text13"/>
        </w:rPr>
        <w:t xml:space="preserve">.</w:t>
        <w:br w:clear="none"/>
      </w:r>
      <w:r>
        <w:rPr>
          <w:rStyle w:val="Text9"/>
        </w:rPr>
        <w:t xml:space="preserve">append</w:t>
        <w:br w:clear="none"/>
      </w:r>
      <w:r>
        <w:rPr>
          <w:rStyle w:val="Text7"/>
        </w:rPr>
        <w:t xml:space="preserve">(</w:t>
        <w:br w:clear="none"/>
      </w:r>
      <w:r>
        <w:rPr>
          <w:rStyle w:val="Text9"/>
        </w:rPr>
        <w:t xml:space="preserve">x</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id</w:t>
        <w:br w:clear="none"/>
      </w:r>
      <w:r>
        <w:rPr>
          <w:rStyle w:val="Text7"/>
        </w:rPr>
        <w:t xml:space="preserve">(</w:t>
        <w:br w:clear="none"/>
      </w:r>
      <w:r>
        <w:rPr>
          <w:rStyle w:val="Text9"/>
        </w:rPr>
        <w:t xml:space="preserve">y</w:t>
        <w:br w:clear="none"/>
      </w:r>
      <w:r>
        <w:rPr>
          <w:rStyle w:val="Text7"/>
        </w:rPr>
        <w:t xml:space="preserve">)</w:t>
        <w:br w:clear="none"/>
        <w:t xml:space="preserve">,</w:t>
        <w:br w:clear="none"/>
      </w:r>
      <w:r>
        <w:t xml:space="preserve"> </w:t>
        <w:br w:clear="none"/>
      </w:r>
      <w:r>
        <w:rPr>
          <w:rStyle w:val="Text9"/>
        </w:rPr>
        <w:t xml:space="preserve">y</w:t>
        <w:br w:clear="none"/>
      </w:r>
      <w:r>
        <w:t xml:space="preserve"/>
        <w:br w:clear="none"/>
      </w:r>
      <w:r>
        <w:rPr>
          <w:rStyle w:val="Text16"/>
        </w:rPr>
        <w:t xml:space="preserve">print</w:t>
        <w:br w:clear="none"/>
      </w:r>
      <w:r>
        <w:rPr>
          <w:rStyle w:val="Text7"/>
        </w:rPr>
        <w:t xml:space="preserve">(</w:t>
        <w:br w:clear="none"/>
      </w:r>
      <w:r>
        <w:rPr>
          <w:rStyle w:val="Text9"/>
        </w:rPr>
        <w:t xml:space="preserve">f</w:t>
        <w:br w:clear="none"/>
      </w:r>
      <w:r>
        <w:rPr>
          <w:rStyle w:val="Text7"/>
        </w:rPr>
        <w:t xml:space="preserve">(</w:t>
        <w:br w:clear="none"/>
      </w:r>
      <w:r>
        <w:rPr>
          <w:rStyle w:val="Text27"/>
        </w:rPr>
        <w:t xml:space="preserve">23</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(4302354376, [23])</w:t>
        <w:br w:clear="none"/>
      </w:r>
      <w:r>
        <w:t xml:space="preserve"/>
        <w:br w:clear="none"/>
      </w:r>
      <w:r>
        <w:rPr>
          <w:rStyle w:val="Text16"/>
        </w:rPr>
        <w:t xml:space="preserve">print</w:t>
        <w:br w:clear="none"/>
      </w:r>
      <w:r>
        <w:rPr>
          <w:rStyle w:val="Text7"/>
        </w:rPr>
        <w:t xml:space="preserve">(</w:t>
        <w:br w:clear="none"/>
      </w:r>
      <w:r>
        <w:rPr>
          <w:rStyle w:val="Text9"/>
        </w:rPr>
        <w:t xml:space="preserve">f</w:t>
        <w:br w:clear="none"/>
      </w:r>
      <w:r>
        <w:rPr>
          <w:rStyle w:val="Text7"/>
        </w:rPr>
        <w:t xml:space="preserve">(</w:t>
        <w:br w:clear="none"/>
      </w:r>
      <w:r>
        <w:rPr>
          <w:rStyle w:val="Text27"/>
        </w:rPr>
        <w:t xml:space="preserve">42</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(4302180040, [42])</w:t>
        <w:br w:clear="none"/>
      </w:r>
    </w:p>
    <w:p>
      <w:pPr>
        <w:pStyle w:val="Normal"/>
      </w:pPr>
      <w:r>
        <w:t>There may be cases in which you explicitly want a mutable default parameter value that is preserved across multiple function calls, most often for caching purposes, as in the following example: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cached_compute</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_cache</w:t>
        <w:br w:clear="none"/>
      </w:r>
      <w:r>
        <w:rPr>
          <w:rStyle w:val="Text13"/>
        </w:rPr>
        <w:t xml:space="preserve">=</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6"/>
        </w:rPr>
        <w:t xml:space="preserve"> </w:t>
        <w:br w:clear="none"/>
      </w:r>
      <w:r>
        <w:rPr>
          <w:rStyle w:val="Text31"/>
        </w:rPr>
        <w:t xml:space="preserve">not</w:t>
        <w:br w:clear="none"/>
      </w:r>
      <w:r>
        <w:rPr>
          <w:rStyle w:val="Text29"/>
        </w:rPr>
        <w:t xml:space="preserve"> </w:t>
        <w:br w:clear="none"/>
      </w:r>
      <w:r>
        <w:rPr>
          <w:rStyle w:val="Text31"/>
        </w:rPr>
        <w:t xml:space="preserve">in</w:t>
        <w:br w:clear="none"/>
      </w:r>
      <w:r>
        <w:rPr>
          <w:rStyle w:val="Text6"/>
        </w:rPr>
        <w:t xml:space="preserve"> </w:t>
        <w:br w:clear="none"/>
      </w:r>
      <w:r>
        <w:t xml:space="preserve">_cache</w:t>
        <w:br w:clear="none"/>
      </w:r>
      <w:r>
        <w:rPr>
          <w:rStyle w:val="Text7"/>
        </w:rPr>
        <w:t xml:space="preserve">:</w:t>
        <w:br w:clear="none"/>
      </w:r>
      <w:r>
        <w:rPr>
          <w:rStyle w:val="Text6"/>
        </w:rPr>
        <w:t xml:space="preserve"/>
        <w:br w:clear="none"/>
        <w:t xml:space="preserve">        </w:t>
        <w:br w:clear="none"/>
      </w:r>
      <w:r>
        <w:t xml:space="preserve">_cache</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costly_computation</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_cache</w:t>
        <w:br w:clear="none"/>
      </w:r>
      <w:r>
        <w:rPr>
          <w:rStyle w:val="Text7"/>
        </w:rPr>
        <w:t xml:space="preserve">[</w:t>
        <w:br w:clear="none"/>
      </w:r>
      <w:r>
        <w:t xml:space="preserve">x</w:t>
        <w:br w:clear="none"/>
      </w:r>
      <w:r>
        <w:rPr>
          <w:rStyle w:val="Text7"/>
        </w:rPr>
        <w:t xml:space="preserve">]</w:t>
        <w:br w:clear="none"/>
      </w:r>
    </w:p>
    <w:p>
      <w:pPr>
        <w:pStyle w:val="Normal"/>
      </w:pPr>
      <w:r>
        <w:t xml:space="preserve">Such caching behavior (also known as </w:t>
      </w:r>
      <w:r>
        <w:rPr>
          <w:rStyle w:val="Text4"/>
        </w:rPr>
        <w:t>memoization</w:t>
      </w:r>
      <w:r>
        <w:t xml:space="preserve">) is usually best obtained by decorating the underlying </w:t>
      </w:r>
      <w:r>
        <w:rPr>
          <w:rStyle w:val="Text0"/>
        </w:rPr>
        <w:t>costly_computation</w:t>
      </w:r>
      <w:r>
        <w:t xml:space="preserve"> function with </w:t>
      </w:r>
      <w:r>
        <w:rPr>
          <w:rStyle w:val="Text0"/>
        </w:rPr>
        <w:t>functools.lru_cache</w:t>
      </w:r>
      <w:r>
        <w:t xml:space="preserve">, covered in </w:t>
      </w:r>
      <w:hyperlink w:anchor="Table_8_7__Functions_and_attribu">
        <w:r>
          <w:rPr>
            <w:rStyle w:val="Text1"/>
          </w:rPr>
          <w:t>Table 8-7</w:t>
        </w:r>
      </w:hyperlink>
      <w:r>
        <w:t xml:space="preserve"> and discussed in detail in </w:t>
      </w:r>
      <w:hyperlink w:anchor="Chapter_17__Testing__Debugging_2">
        <w:r>
          <w:rPr>
            <w:rStyle w:val="Text1"/>
          </w:rPr>
          <w:t>Chapter 17</w:t>
        </w:r>
      </w:hyperlink>
      <w:r>
        <w:t>.</w:t>
      </w:r>
    </w:p>
    <w:p>
      <w:bookmarkStart w:id="1116" w:name="Argument_collector_parameters__T"/>
      <w:pPr>
        <w:keepNext/>
        <w:pStyle w:val="Heading 2"/>
      </w:pPr>
      <w:r>
        <w:t>Argument collector parameters</w:t>
      </w:r>
      <w:bookmarkEnd w:id="1116"/>
    </w:p>
    <w:p>
      <w:pPr>
        <w:pStyle w:val="Normal"/>
      </w:pPr>
      <w:r>
        <w:t>The</w:t>
      </w:r>
      <w:r>
        <w:rPr>
          <w:rStyle w:val="Text111"/>
        </w:rPr>
        <w:bookmarkStart w:id="1117" w:name="idm45965262279280"/>
        <w:t/>
        <w:bookmarkEnd w:id="1117"/>
        <w:bookmarkStart w:id="1118" w:name="idm45965262277792"/>
        <w:t/>
        <w:bookmarkEnd w:id="1118"/>
      </w:r>
      <w:r>
        <w:t xml:space="preserve"> presence of argument collectors (the special forms </w:t>
      </w:r>
      <w:r>
        <w:rPr>
          <w:rStyle w:val="Text0"/>
        </w:rPr>
        <w:t>*</w:t>
      </w:r>
      <w:r>
        <w:t xml:space="preserve">, </w:t>
      </w:r>
      <w:r>
        <w:rPr>
          <w:rStyle w:val="Text0"/>
        </w:rPr>
        <w:t>*</w:t>
      </w:r>
      <w:r>
        <w:rPr>
          <w:rStyle w:val="Text3"/>
        </w:rPr>
        <w:t>name</w:t>
      </w:r>
      <w:r>
        <w:t xml:space="preserve">, or </w:t>
      </w:r>
      <w:r>
        <w:rPr>
          <w:rStyle w:val="Text0"/>
        </w:rPr>
        <w:t>**</w:t>
      </w:r>
      <w:r>
        <w:rPr>
          <w:rStyle w:val="Text3"/>
        </w:rPr>
        <w:t>name</w:t>
      </w:r>
      <w:r>
        <w:t>) in a function’s signature allows a function to prohibit (</w:t>
      </w:r>
      <w:r>
        <w:rPr>
          <w:rStyle w:val="Text0"/>
        </w:rPr>
        <w:t>*</w:t>
      </w:r>
      <w:r>
        <w:t>) or collect positional (</w:t>
      </w:r>
      <w:r>
        <w:rPr>
          <w:rStyle w:val="Text0"/>
        </w:rPr>
        <w:t>*</w:t>
      </w:r>
      <w:r>
        <w:rPr>
          <w:rStyle w:val="Text3"/>
        </w:rPr>
        <w:t>name</w:t>
      </w:r>
      <w:r>
        <w:t>) or named (</w:t>
      </w:r>
      <w:r>
        <w:rPr>
          <w:rStyle w:val="Text0"/>
        </w:rPr>
        <w:t>**</w:t>
      </w:r>
      <w:r>
        <w:rPr>
          <w:rStyle w:val="Text3"/>
        </w:rPr>
        <w:t>name</w:t>
      </w:r>
      <w:r>
        <w:t xml:space="preserve">) arguments that do not match any parameters (see </w:t>
      </w:r>
      <w:hyperlink w:anchor="Matching_arguments_to_parameters">
        <w:r>
          <w:rPr>
            <w:rStyle w:val="Text1"/>
          </w:rPr>
          <w:t>“Matching arguments to parameters”</w:t>
        </w:r>
      </w:hyperlink>
      <w:r>
        <w:t xml:space="preserve">). There is no requirement to use specific names—you can use any identifier you want in each special form. </w:t>
      </w:r>
      <w:r>
        <w:rPr>
          <w:rStyle w:val="Text0"/>
        </w:rPr>
        <w:t>*args</w:t>
      </w:r>
      <w:r>
        <w:t xml:space="preserve"> and </w:t>
      </w:r>
      <w:r>
        <w:rPr>
          <w:rStyle w:val="Text0"/>
        </w:rPr>
        <w:t>**kwds</w:t>
      </w:r>
      <w:r>
        <w:t xml:space="preserve"> or</w:t>
      </w:r>
      <w:r>
        <w:rPr>
          <w:rStyle w:val="Text111"/>
        </w:rPr>
        <w:bookmarkStart w:id="1119" w:name="idm45965262238592"/>
        <w:t/>
        <w:bookmarkEnd w:id="1119"/>
        <w:bookmarkStart w:id="1120" w:name="idm45965262237216"/>
        <w:t/>
        <w:bookmarkEnd w:id="1120"/>
      </w:r>
      <w:r>
        <w:t xml:space="preserve"> </w:t>
      </w:r>
      <w:r>
        <w:rPr>
          <w:rStyle w:val="Text0"/>
        </w:rPr>
        <w:t>**kwargs</w:t>
      </w:r>
      <w:r>
        <w:t xml:space="preserve">, as well as </w:t>
      </w:r>
      <w:r>
        <w:rPr>
          <w:rStyle w:val="Text0"/>
        </w:rPr>
        <w:t>*a</w:t>
      </w:r>
      <w:r>
        <w:t xml:space="preserve"> and </w:t>
      </w:r>
      <w:r>
        <w:rPr>
          <w:rStyle w:val="Text0"/>
        </w:rPr>
        <w:t>**k</w:t>
      </w:r>
      <w:r>
        <w:t>, are popular choices.</w:t>
      </w:r>
    </w:p>
    <w:p>
      <w:pPr>
        <w:pStyle w:val="Normal"/>
      </w:pPr>
      <w:r>
        <w:t>The</w:t>
      </w:r>
      <w:r>
        <w:rPr>
          <w:rStyle w:val="Text111"/>
        </w:rPr>
        <w:bookmarkStart w:id="1121" w:name="idm45965262233376"/>
        <w:t/>
        <w:bookmarkEnd w:id="1121"/>
        <w:bookmarkStart w:id="1122" w:name="idm45965262232000"/>
        <w:t/>
        <w:bookmarkEnd w:id="1122"/>
      </w:r>
      <w:r>
        <w:t xml:space="preserve"> presence of the special form </w:t>
      </w:r>
      <w:r>
        <w:rPr>
          <w:rStyle w:val="Text0"/>
        </w:rPr>
        <w:t>*</w:t>
      </w:r>
      <w:r>
        <w:t xml:space="preserve"> causes calls with unmatched positional arguments to raise a </w:t>
      </w:r>
      <w:r>
        <w:rPr>
          <w:rStyle w:val="Text0"/>
        </w:rPr>
        <w:t>TypeError</w:t>
      </w:r>
      <w:r>
        <w:t xml:space="preserve"> exception.</w:t>
      </w:r>
    </w:p>
    <w:p>
      <w:pPr>
        <w:pStyle w:val="Normal"/>
      </w:pPr>
      <w:r>
        <w:rPr>
          <w:rStyle w:val="Text0"/>
        </w:rPr>
        <w:t>*args</w:t>
      </w:r>
      <w:r>
        <w:rPr>
          <w:rStyle w:val="Text111"/>
        </w:rPr>
        <w:bookmarkStart w:id="1123" w:name="idm45965262228224"/>
        <w:t/>
        <w:bookmarkEnd w:id="1123"/>
        <w:bookmarkStart w:id="1124" w:name="idm45965262227120"/>
        <w:t/>
        <w:bookmarkEnd w:id="1124"/>
      </w:r>
      <w:r>
        <w:t xml:space="preserve"> specifies that any extra positional arguments to a call (i.e., positional arguments not matching positional parameters in the function signature) get collected into a (possibly empty) tuple, bound in the call’s local namespace to the name </w:t>
      </w:r>
      <w:r>
        <w:rPr>
          <w:rStyle w:val="Text0"/>
        </w:rPr>
        <w:t>args</w:t>
      </w:r>
      <w:r>
        <w:t xml:space="preserve">. Without a positional argument collector, unmatched positional arguments raise a </w:t>
      </w:r>
      <w:r>
        <w:rPr>
          <w:rStyle w:val="Text0"/>
        </w:rPr>
        <w:t>TypeError</w:t>
      </w:r>
      <w:r>
        <w:t xml:space="preserve"> exception.</w:t>
      </w:r>
    </w:p>
    <w:p>
      <w:pPr>
        <w:pStyle w:val="Normal"/>
      </w:pPr>
      <w:r>
        <w:t xml:space="preserve">For example, here’s a function that accepts any number of positional arguments and returns their sum (and demonstrates the use of an identifier other than </w:t>
      </w:r>
      <w:r>
        <w:rPr>
          <w:rStyle w:val="Text0"/>
        </w:rPr>
        <w:t>*args</w:t>
      </w:r>
      <w:r>
        <w: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sum_sequence</w:t>
        <w:br w:clear="none"/>
      </w:r>
      <w:r>
        <w:rPr>
          <w:rStyle w:val="Text7"/>
        </w:rPr>
        <w:t xml:space="preserve">(</w:t>
        <w:br w:clear="none"/>
      </w:r>
      <w:r>
        <w:rPr>
          <w:rStyle w:val="Text13"/>
        </w:rPr>
        <w:t xml:space="preserve">*</w:t>
        <w:br w:clear="none"/>
      </w:r>
      <w:r>
        <w:t xml:space="preserve">numbers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sum</w:t>
        <w:br w:clear="none"/>
      </w:r>
      <w:r>
        <w:rPr>
          <w:rStyle w:val="Text7"/>
        </w:rPr>
        <w:t xml:space="preserve">(</w:t>
        <w:br w:clear="none"/>
      </w:r>
      <w:r>
        <w:t xml:space="preserve">numbers</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sum_sequence</w:t>
        <w:br w:clear="none"/>
      </w:r>
      <w:r>
        <w:rPr>
          <w:rStyle w:val="Text7"/>
        </w:rPr>
        <w:t xml:space="preserve">(</w:t>
        <w:br w:clear="none"/>
      </w:r>
      <w:r>
        <w:rPr>
          <w:rStyle w:val="Text27"/>
        </w:rPr>
        <w:t xml:space="preserve">23</w:t>
        <w:br w:clear="none"/>
      </w:r>
      <w:r>
        <w:rPr>
          <w:rStyle w:val="Text7"/>
        </w:rPr>
        <w:t xml:space="preserve">,</w:t>
        <w:br w:clear="none"/>
      </w:r>
      <w:r>
        <w:rPr>
          <w:rStyle w:val="Text6"/>
        </w:rPr>
        <w:t xml:space="preserve"> </w:t>
        <w:br w:clear="none"/>
      </w:r>
      <w:r>
        <w:rPr>
          <w:rStyle w:val="Text27"/>
        </w:rPr>
        <w:t xml:space="preserve">42</w:t>
        <w:br w:clear="none"/>
      </w:r>
      <w:r>
        <w:rPr>
          <w:rStyle w:val="Text7"/>
        </w:rPr>
        <w:t xml:space="preserve">)</w:t>
        <w:br w:clear="none"/>
        <w:t xml:space="preserve">)</w:t>
        <w:br w:clear="none"/>
      </w:r>
      <w:r>
        <w:rPr>
          <w:rStyle w:val="Text6"/>
        </w:rPr>
        <w:t xml:space="preserve">        </w:t>
        <w:br w:clear="none"/>
      </w:r>
      <w:r>
        <w:rPr>
          <w:rStyle w:val="Text15"/>
        </w:rPr>
        <w:t xml:space="preserve"># prints: 65</w:t>
        <w:br w:clear="none"/>
      </w:r>
    </w:p>
    <w:p>
      <w:pPr>
        <w:pStyle w:val="Normal"/>
      </w:pPr>
      <w:r>
        <w:t xml:space="preserve">Similarly, </w:t>
      </w:r>
      <w:r>
        <w:rPr>
          <w:rStyle w:val="Text0"/>
        </w:rPr>
        <w:t>**</w:t>
      </w:r>
      <w:r>
        <w:rPr>
          <w:rStyle w:val="Text3"/>
        </w:rPr>
        <w:t>kwds</w:t>
      </w:r>
      <w:r>
        <w:rPr>
          <w:rStyle w:val="Text105"/>
        </w:rPr>
        <w:bookmarkStart w:id="1125" w:name="idm45965263646192"/>
        <w:t xml:space="preserve"> </w:t>
        <w:bookmarkEnd w:id="1125"/>
        <w:bookmarkStart w:id="1126" w:name="idm45965263644832"/>
        <w:t xml:space="preserve"> </w:t>
        <w:bookmarkEnd w:id="1126"/>
      </w:r>
      <w:r>
        <w:t xml:space="preserve"> specifies that any extra named arguments (i.e., those named arguments not explicitly specified in the signature) get collected into a (possibly empty) dictionary whose items are the names and values of those arguments, bound to the name </w:t>
      </w:r>
      <w:r>
        <w:rPr>
          <w:rStyle w:val="Text3"/>
        </w:rPr>
        <w:t>kwds</w:t>
      </w:r>
      <w:r>
        <w:t xml:space="preserve"> in the function call namespace.</w:t>
      </w:r>
    </w:p>
    <w:p>
      <w:pPr>
        <w:pStyle w:val="Normal"/>
      </w:pPr>
      <w:r>
        <w:t>For example, the following function takes a dictionary whose keys are strings and whose values are numeric, and adds given amounts to certain values: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inc_dict</w:t>
        <w:br w:clear="none"/>
      </w:r>
      <w:r>
        <w:rPr>
          <w:rStyle w:val="Text7"/>
        </w:rPr>
        <w:t xml:space="preserve">(</w:t>
        <w:br w:clear="none"/>
      </w:r>
      <w:r>
        <w:t xml:space="preserve">d</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values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key</w:t>
        <w:br w:clear="none"/>
      </w:r>
      <w:r>
        <w:rPr>
          <w:rStyle w:val="Text7"/>
        </w:rPr>
        <w:t xml:space="preserve">,</w:t>
        <w:br w:clear="none"/>
      </w:r>
      <w:r>
        <w:rPr>
          <w:rStyle w:val="Text6"/>
        </w:rPr>
        <w:t xml:space="preserve"> </w:t>
        <w:br w:clear="none"/>
      </w:r>
      <w:r>
        <w:t xml:space="preserve">value</w:t>
        <w:br w:clear="none"/>
      </w:r>
      <w:r>
        <w:rPr>
          <w:rStyle w:val="Text6"/>
        </w:rPr>
        <w:t xml:space="preserve"> </w:t>
        <w:br w:clear="none"/>
      </w:r>
      <w:r>
        <w:rPr>
          <w:rStyle w:val="Text31"/>
        </w:rPr>
        <w:t xml:space="preserve">in</w:t>
        <w:br w:clear="none"/>
      </w:r>
      <w:r>
        <w:rPr>
          <w:rStyle w:val="Text6"/>
        </w:rPr>
        <w:t xml:space="preserve"> </w:t>
        <w:br w:clear="none"/>
      </w:r>
      <w:r>
        <w:t xml:space="preserve">values</w:t>
        <w:br w:clear="none"/>
      </w:r>
      <w:r>
        <w:rPr>
          <w:rStyle w:val="Text13"/>
        </w:rPr>
        <w:t xml:space="preserve">.</w:t>
        <w:br w:clear="none"/>
      </w:r>
      <w:r>
        <w:t xml:space="preserve">items</w:t>
        <w:br w:clear="none"/>
      </w:r>
      <w:r>
        <w:rPr>
          <w:rStyle w:val="Text7"/>
        </w:rPr>
        <w:t xml:space="preserve">(</w:t>
        <w:br w:clear="none"/>
        <w:t xml:space="preserve">)</w:t>
        <w:br w:clear="none"/>
        <w:t xml:space="preserve">:</w:t>
        <w:br w:clear="none"/>
      </w:r>
      <w:r>
        <w:rPr>
          <w:rStyle w:val="Text6"/>
        </w:rPr>
        <w:t xml:space="preserve"/>
        <w:br w:clear="none"/>
      </w:r>
      <w:r>
        <w:rPr>
          <w:rStyle w:val="Text29"/>
        </w:rPr>
        <w:t xml:space="preserve">        </w:t>
        <w:br w:clear="none"/>
      </w:r>
      <w:r>
        <w:rPr>
          <w:rStyle w:val="Text10"/>
        </w:rPr>
        <w:t xml:space="preserve">if</w:t>
        <w:br w:clear="none"/>
      </w:r>
      <w:r>
        <w:rPr>
          <w:rStyle w:val="Text6"/>
        </w:rPr>
        <w:t xml:space="preserve"> </w:t>
        <w:br w:clear="none"/>
      </w:r>
      <w:r>
        <w:t xml:space="preserve">key</w:t>
        <w:br w:clear="none"/>
      </w:r>
      <w:r>
        <w:rPr>
          <w:rStyle w:val="Text6"/>
        </w:rPr>
        <w:t xml:space="preserve"> </w:t>
        <w:br w:clear="none"/>
      </w:r>
      <w:r>
        <w:rPr>
          <w:rStyle w:val="Text31"/>
        </w:rPr>
        <w:t xml:space="preserve">in</w:t>
        <w:br w:clear="none"/>
      </w:r>
      <w:r>
        <w:rPr>
          <w:rStyle w:val="Text6"/>
        </w:rPr>
        <w:t xml:space="preserve"> </w:t>
        <w:br w:clear="none"/>
      </w:r>
      <w:r>
        <w:t xml:space="preserve">d</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t xml:space="preserve">d</w:t>
        <w:br w:clear="none"/>
      </w:r>
      <w:r>
        <w:rPr>
          <w:rStyle w:val="Text7"/>
        </w:rPr>
        <w:t xml:space="preserve">[</w:t>
        <w:br w:clear="none"/>
      </w:r>
      <w:r>
        <w:t xml:space="preserve">key</w:t>
        <w:br w:clear="none"/>
      </w:r>
      <w:r>
        <w:rPr>
          <w:rStyle w:val="Text7"/>
        </w:rPr>
        <w:t xml:space="preserve">]</w:t>
        <w:br w:clear="none"/>
      </w:r>
      <w:r>
        <w:rPr>
          <w:rStyle w:val="Text6"/>
        </w:rPr>
        <w:t xml:space="preserve"> </w:t>
        <w:br w:clear="none"/>
      </w:r>
      <w:r>
        <w:rPr>
          <w:rStyle w:val="Text13"/>
        </w:rPr>
        <w:t xml:space="preserve">+</w:t>
        <w:br w:clear="none"/>
        <w:t xml:space="preserve">=</w:t>
        <w:br w:clear="none"/>
      </w:r>
      <w:r>
        <w:rPr>
          <w:rStyle w:val="Text6"/>
        </w:rPr>
        <w:t xml:space="preserve"> </w:t>
        <w:br w:clear="none"/>
      </w:r>
      <w:r>
        <w:t xml:space="preserve">value</w:t>
        <w:br w:clear="none"/>
      </w:r>
      <w:r>
        <w:rPr>
          <w:rStyle w:val="Text6"/>
        </w:rPr>
        <w:t xml:space="preserve"/>
        <w:br w:clear="none"/>
      </w:r>
      <w:r>
        <w:rPr>
          <w:rStyle w:val="Text29"/>
        </w:rPr>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t xml:space="preserve">d</w:t>
        <w:br w:clear="none"/>
      </w:r>
      <w:r>
        <w:rPr>
          <w:rStyle w:val="Text7"/>
        </w:rPr>
        <w:t xml:space="preserve">[</w:t>
        <w:br w:clear="none"/>
      </w:r>
      <w:r>
        <w:t xml:space="preserve">key</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value</w:t>
        <w:br w:clear="none"/>
      </w:r>
      <w:r>
        <w:rPr>
          <w:rStyle w:val="Text6"/>
        </w:rPr>
        <w:t xml:space="preserve"/>
        <w:br w:clear="none"/>
        <w:t xml:space="preserve"/>
        <w:br w:clear="none"/>
      </w:r>
      <w:r>
        <w:t xml:space="preserve">my_dict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8"/>
        </w:rPr>
        <w:t xml:space="preserve">'</w:t>
        <w:br w:clear="none"/>
        <w:t xml:space="preserve">one</w:t>
        <w:br w:clear="none"/>
        <w:t xml:space="preserve">'</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r>
      <w:r>
        <w:rPr>
          <w:rStyle w:val="Text6"/>
        </w:rPr>
        <w:t xml:space="preserve"> </w:t>
        <w:br w:clear="none"/>
      </w:r>
      <w:r>
        <w:rPr>
          <w:rStyle w:val="Text8"/>
        </w:rPr>
        <w:t xml:space="preserve">'</w:t>
        <w:br w:clear="none"/>
        <w:t xml:space="preserve">two</w:t>
        <w:br w:clear="none"/>
        <w:t xml:space="preserve">'</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br w:clear="none"/>
        <w:t xml:space="preserve"/>
        <w:br w:clear="none"/>
      </w:r>
      <w:r>
        <w:t xml:space="preserve">inc_dict</w:t>
        <w:br w:clear="none"/>
      </w:r>
      <w:r>
        <w:rPr>
          <w:rStyle w:val="Text7"/>
        </w:rPr>
        <w:t xml:space="preserve">(</w:t>
        <w:br w:clear="none"/>
      </w:r>
      <w:r>
        <w:t xml:space="preserve">my_dict</w:t>
        <w:br w:clear="none"/>
      </w:r>
      <w:r>
        <w:rPr>
          <w:rStyle w:val="Text7"/>
        </w:rPr>
        <w:t xml:space="preserve">,</w:t>
        <w:br w:clear="none"/>
      </w:r>
      <w:r>
        <w:rPr>
          <w:rStyle w:val="Text6"/>
        </w:rPr>
        <w:t xml:space="preserve"> </w:t>
        <w:br w:clear="none"/>
      </w:r>
      <w:r>
        <w:t xml:space="preserve">one</w:t>
        <w:br w:clear="none"/>
      </w:r>
      <w:r>
        <w:rPr>
          <w:rStyle w:val="Text13"/>
        </w:rPr>
        <w:t xml:space="preserve">=</w:t>
        <w:br w:clear="none"/>
      </w:r>
      <w:r>
        <w:rPr>
          <w:rStyle w:val="Text27"/>
        </w:rPr>
        <w:t xml:space="preserve">3</w:t>
        <w:br w:clear="none"/>
      </w:r>
      <w:r>
        <w:rPr>
          <w:rStyle w:val="Text7"/>
        </w:rPr>
        <w:t xml:space="preserve">,</w:t>
        <w:br w:clear="none"/>
      </w:r>
      <w:r>
        <w:rPr>
          <w:rStyle w:val="Text6"/>
        </w:rPr>
        <w:t xml:space="preserve"> </w:t>
        <w:br w:clear="none"/>
      </w:r>
      <w:r>
        <w:t xml:space="preserve">new</w:t>
        <w:br w:clear="none"/>
      </w:r>
      <w:r>
        <w:rPr>
          <w:rStyle w:val="Text13"/>
        </w:rPr>
        <w:t xml:space="preserve">=</w:t>
        <w:br w:clear="none"/>
      </w:r>
      <w:r>
        <w:rPr>
          <w:rStyle w:val="Text27"/>
        </w:rPr>
        <w:t xml:space="preserve">42</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my_dict</w:t>
        <w:br w:clear="none"/>
      </w:r>
      <w:r>
        <w:rPr>
          <w:rStyle w:val="Text7"/>
        </w:rPr>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{'one': 4, 'two': 2, 'new':42}</w:t>
        <w:br w:clear="none"/>
      </w:r>
    </w:p>
    <w:p>
      <w:pPr>
        <w:pStyle w:val="Normal"/>
      </w:pPr>
      <w:r>
        <w:t xml:space="preserve">Without a named argument collector, unmatched named arguments raise a </w:t>
      </w:r>
      <w:r>
        <w:rPr>
          <w:rStyle w:val="Text0"/>
        </w:rPr>
        <w:t>T⁠y⁠p⁠e​E⁠r⁠r⁠o⁠r</w:t>
      </w:r>
      <w:r>
        <w:t xml:space="preserve"> exception.</w:t>
      </w:r>
      <w:r>
        <w:rPr>
          <w:rStyle w:val="Text111"/>
        </w:rPr>
        <w:bookmarkStart w:id="1127" w:name="idm45965263514208"/>
        <w:t/>
        <w:bookmarkEnd w:id="1127"/>
        <w:bookmarkStart w:id="1128" w:name="idm45965263512992"/>
        <w:t/>
        <w:bookmarkEnd w:id="1128"/>
        <w:bookmarkStart w:id="1129" w:name="idm45965263529664"/>
        <w:t/>
        <w:bookmarkEnd w:id="1129"/>
      </w:r>
    </w:p>
    <w:p>
      <w:bookmarkStart w:id="1130" w:name="Attributes_of_Function_Objects"/>
      <w:pPr>
        <w:keepNext/>
        <w:pStyle w:val="Heading 2"/>
      </w:pPr>
      <w:r>
        <w:t>Attributes of Function Objects</w:t>
      </w:r>
      <w:bookmarkEnd w:id="1130"/>
    </w:p>
    <w:p>
      <w:pPr>
        <w:pStyle w:val="Normal"/>
      </w:pPr>
      <w:r>
        <w:t>The</w:t>
      </w:r>
      <w:r>
        <w:rPr>
          <w:rStyle w:val="Text111"/>
        </w:rPr>
        <w:bookmarkStart w:id="1131" w:name="idm45965263526704"/>
        <w:t/>
        <w:bookmarkEnd w:id="1131"/>
      </w:r>
      <w:r>
        <w:t xml:space="preserve"> </w:t>
      </w:r>
      <w:r>
        <w:rPr>
          <w:rStyle w:val="Text5"/>
        </w:rPr>
        <w:t>def</w:t>
      </w:r>
      <w:r>
        <w:t xml:space="preserve"> statement sets some attributes of a function object </w:t>
      </w:r>
      <w:r>
        <w:rPr>
          <w:rStyle w:val="Text3"/>
        </w:rPr>
        <w:t>f</w:t>
      </w:r>
      <w:r>
        <w:t xml:space="preserve">. The string attribute </w:t>
      </w:r>
      <w:r>
        <w:rPr>
          <w:rStyle w:val="Text3"/>
        </w:rPr>
        <w:t>f</w:t>
      </w:r>
      <w:r>
        <w:rPr>
          <w:rStyle w:val="Text0"/>
        </w:rPr>
        <w:t>.__name__</w:t>
      </w:r>
      <w:r>
        <w:t xml:space="preserve"> is the identifier that </w:t>
      </w:r>
      <w:r>
        <w:rPr>
          <w:rStyle w:val="Text5"/>
        </w:rPr>
        <w:t>def</w:t>
      </w:r>
      <w:r>
        <w:t xml:space="preserve"> uses as the function’s name. You may rebind </w:t>
      </w:r>
      <w:r>
        <w:rPr>
          <w:rStyle w:val="Text0"/>
        </w:rPr>
        <w:t>__name__</w:t>
      </w:r>
      <w:r>
        <w:t xml:space="preserve"> to any string value, but trying to unbind it raises a </w:t>
      </w:r>
      <w:r>
        <w:rPr>
          <w:rStyle w:val="Text0"/>
        </w:rPr>
        <w:t>TypeError</w:t>
      </w:r>
      <w:r>
        <w:t xml:space="preserve"> exception. </w:t>
      </w:r>
      <w:r>
        <w:rPr>
          <w:rStyle w:val="Text3"/>
        </w:rPr>
        <w:t>f</w:t>
      </w:r>
      <w:r>
        <w:rPr>
          <w:rStyle w:val="Text0"/>
        </w:rPr>
        <w:t>.__defaults__</w:t>
      </w:r>
      <w:r>
        <w:t>, which you may freely rebind or unbind, is the tuple of default values for named parameters (empty, if the function has no named parameters).</w:t>
      </w:r>
    </w:p>
    <w:p>
      <w:bookmarkStart w:id="1132" w:name="Docstrings__Another_function_att"/>
      <w:pPr>
        <w:keepNext/>
        <w:pStyle w:val="Heading 2"/>
      </w:pPr>
      <w:r>
        <w:t>Docstrings</w:t>
      </w:r>
      <w:bookmarkEnd w:id="1132"/>
    </w:p>
    <w:p>
      <w:pPr>
        <w:pStyle w:val="Normal"/>
      </w:pPr>
      <w:r>
        <w:t>Another</w:t>
      </w:r>
      <w:r>
        <w:rPr>
          <w:rStyle w:val="Text111"/>
        </w:rPr>
        <w:bookmarkStart w:id="1133" w:name="idm45965263477344"/>
        <w:t/>
        <w:bookmarkEnd w:id="1133"/>
        <w:bookmarkStart w:id="1134" w:name="idm45965263476240"/>
        <w:t/>
        <w:bookmarkEnd w:id="1134"/>
      </w:r>
      <w:r>
        <w:t xml:space="preserve"> function attribute is the </w:t>
      </w:r>
      <w:r>
        <w:rPr>
          <w:rStyle w:val="Text4"/>
        </w:rPr>
        <w:t>documentation string</w:t>
      </w:r>
      <w:r>
        <w:t xml:space="preserve">, or </w:t>
      </w:r>
      <w:r>
        <w:rPr>
          <w:rStyle w:val="Text4"/>
        </w:rPr>
        <w:t>docstring</w:t>
      </w:r>
      <w:r>
        <w:t xml:space="preserve">. You may use or rebind a function </w:t>
      </w:r>
      <w:r>
        <w:rPr>
          <w:rStyle w:val="Text3"/>
        </w:rPr>
        <w:t>f</w:t>
      </w:r>
      <w:r>
        <w:t xml:space="preserve">’s docstring attribute as </w:t>
      </w:r>
      <w:r>
        <w:rPr>
          <w:rStyle w:val="Text3"/>
        </w:rPr>
        <w:t>f</w:t>
      </w:r>
      <w:r>
        <w:rPr>
          <w:rStyle w:val="Text0"/>
        </w:rPr>
        <w:t>.__doc__</w:t>
      </w:r>
      <w:r>
        <w:t xml:space="preserve">. When the first statement in the function body is a string literal, the compiler binds that string as the function’s docstring attribute. A similar rule applies to classes and modules (see </w:t>
      </w:r>
      <w:hyperlink w:anchor="Class_documentation_strings__If">
        <w:r>
          <w:rPr>
            <w:rStyle w:val="Text1"/>
          </w:rPr>
          <w:t>“Class documentation strings”</w:t>
        </w:r>
      </w:hyperlink>
      <w:r>
        <w:t xml:space="preserve"> and </w:t>
      </w:r>
      <w:hyperlink w:anchor="Module_documentation_strings__If">
        <w:r>
          <w:rPr>
            <w:rStyle w:val="Text1"/>
          </w:rPr>
          <w:t>“Module documentation strings”</w:t>
        </w:r>
      </w:hyperlink>
      <w:r>
        <w:t>). Docstrings can span multiple physical lines, so it’s best to specify them in triple-quoted string literal form. For example:</w:t>
      </w:r>
    </w:p>
    <w:p>
      <w:pPr>
        <w:pStyle w:val="Para 043"/>
      </w:pPr>
      <w:r>
        <w:rPr>
          <w:rStyle w:val="Text116"/>
        </w:rPr>
        <w:t xml:space="preserve"/>
        <w:br w:clear="none"/>
      </w:r>
      <w:r>
        <w:rPr>
          <w:rStyle w:val="Text22"/>
        </w:rPr>
        <w:t xml:space="preserve">def</w:t>
        <w:br w:clear="none"/>
      </w:r>
      <w:r>
        <w:rPr>
          <w:rStyle w:val="Text11"/>
        </w:rPr>
        <w:t xml:space="preserve"> </w:t>
        <w:br w:clear="none"/>
      </w:r>
      <w:r>
        <w:rPr>
          <w:rStyle w:val="Text42"/>
        </w:rPr>
        <w:t xml:space="preserve">sum_sequence</w:t>
        <w:br w:clear="none"/>
      </w:r>
      <w:r>
        <w:rPr>
          <w:rStyle w:val="Text19"/>
        </w:rPr>
        <w:t xml:space="preserve">(</w:t>
        <w:br w:clear="none"/>
      </w:r>
      <w:r>
        <w:rPr>
          <w:rStyle w:val="Text28"/>
        </w:rPr>
        <w:t xml:space="preserve">*</w:t>
        <w:br w:clear="none"/>
      </w:r>
      <w:r>
        <w:rPr>
          <w:rStyle w:val="Text14"/>
        </w:rPr>
        <w:t xml:space="preserve">numbers</w:t>
        <w:br w:clear="none"/>
      </w:r>
      <w:r>
        <w:rPr>
          <w:rStyle w:val="Text19"/>
        </w:rPr>
        <w:t xml:space="preserve">)</w:t>
        <w:br w:clear="none"/>
        <w:t xml:space="preserve">:</w:t>
        <w:br w:clear="none"/>
      </w:r>
      <w:r>
        <w:rPr>
          <w:rStyle w:val="Text11"/>
        </w:rPr>
        <w:t xml:space="preserve"/>
        <w:br w:clear="none"/>
        <w:t xml:space="preserve">    </w:t>
        <w:br w:clear="none"/>
      </w:r>
      <w:r>
        <w:t xml:space="preserve">"""Return the sum of multiple numerical arguments.</w:t>
        <w:br w:clear="none"/>
      </w:r>
      <w:r>
        <w:rPr>
          <w:rStyle w:val="Text4"/>
        </w:rPr>
        <w:t xml:space="preserve"/>
        <w:br w:clear="none"/>
        <w:t xml:space="preserve"/>
        <w:br w:clear="none"/>
        <w:t xml:space="preserve">       </w:t>
        <w:br w:clear="none"/>
      </w:r>
      <w:r>
        <w:t xml:space="preserve">The arguments are zero or more numbers.</w:t>
        <w:br w:clear="none"/>
      </w:r>
      <w:r>
        <w:rPr>
          <w:rStyle w:val="Text4"/>
        </w:rPr>
        <w:t xml:space="preserve"/>
        <w:br w:clear="none"/>
        <w:t xml:space="preserve">       </w:t>
        <w:br w:clear="none"/>
      </w:r>
      <w:r>
        <w:t xml:space="preserve">The result is their sum.</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sum</w:t>
        <w:br w:clear="none"/>
      </w:r>
      <w:r>
        <w:rPr>
          <w:rStyle w:val="Text19"/>
        </w:rPr>
        <w:t xml:space="preserve">(</w:t>
        <w:br w:clear="none"/>
      </w:r>
      <w:r>
        <w:rPr>
          <w:rStyle w:val="Text14"/>
        </w:rPr>
        <w:t xml:space="preserve">numbers</w:t>
        <w:br w:clear="none"/>
      </w:r>
      <w:r>
        <w:rPr>
          <w:rStyle w:val="Text19"/>
        </w:rPr>
        <w:t xml:space="preserve">)</w:t>
        <w:br w:clear="none"/>
      </w:r>
    </w:p>
    <w:p>
      <w:pPr>
        <w:pStyle w:val="Normal"/>
      </w:pPr>
      <w:r>
        <w:t xml:space="preserve">Documentation strings should be part of any Python code you write. They play a role similar to that of comments, but they are even more useful, since they remain available at runtime (unless you run your program with </w:t>
      </w:r>
      <w:r>
        <w:rPr>
          <w:rStyle w:val="Text5"/>
        </w:rPr>
        <w:t>python -OO</w:t>
      </w:r>
      <w:r>
        <w:t xml:space="preserve">, as covered in </w:t>
      </w:r>
      <w:hyperlink w:anchor="Command_Line_Syntax_and_Options">
        <w:r>
          <w:rPr>
            <w:rStyle w:val="Text1"/>
          </w:rPr>
          <w:t>“Command-Line Syntax and Options”</w:t>
        </w:r>
      </w:hyperlink>
      <w:r>
        <w:t xml:space="preserve">). Python’s </w:t>
      </w:r>
      <w:r>
        <w:rPr>
          <w:rStyle w:val="Text0"/>
        </w:rPr>
        <w:t>help</w:t>
      </w:r>
      <w:r>
        <w:t xml:space="preserve"> function (see </w:t>
      </w:r>
      <w:hyperlink w:anchor="Interactive_Sessions__When_you_r">
        <w:r>
          <w:rPr>
            <w:rStyle w:val="Text1"/>
          </w:rPr>
          <w:t>“Interactive Sessions”</w:t>
        </w:r>
      </w:hyperlink>
      <w:r>
        <w:t xml:space="preserve">), development environments, and other tools can use the docstrings from function, class, and module objects to remind the programmer how to use those objects. The </w:t>
      </w:r>
      <w:r>
        <w:rPr>
          <w:rStyle w:val="Text0"/>
        </w:rPr>
        <w:t>doctest</w:t>
      </w:r>
      <w:r>
        <w:t xml:space="preserve"> module (covered in </w:t>
      </w:r>
      <w:hyperlink w:anchor="The_doctest_Module__The_doctest">
        <w:r>
          <w:rPr>
            <w:rStyle w:val="Text1"/>
          </w:rPr>
          <w:t>“The doctest Module”</w:t>
        </w:r>
      </w:hyperlink>
      <w:r>
        <w:t>) makes it easy to check that sample code present in docstrings, if any, is accurate and correct, and remains so as the code and docs get edited and maintained.</w:t>
      </w:r>
    </w:p>
    <w:p>
      <w:pPr>
        <w:pStyle w:val="Normal"/>
      </w:pPr>
      <w:r>
        <w:t xml:space="preserve">To make your docstrings as useful as possible, respect a few simple conventions, as detailed in </w:t>
      </w:r>
      <w:hyperlink r:id="rId220">
        <w:r>
          <w:rPr>
            <w:rStyle w:val="Text1"/>
          </w:rPr>
          <w:t>PEP 257</w:t>
        </w:r>
      </w:hyperlink>
      <w:r>
        <w:t xml:space="preserve">. The first line of a docstring should be a concise summary of the function’s purpose, starting with an uppercase letter and ending with a period. It should not mention the function’s name, unless the name happens to be a natural-language word that comes naturally as part of a good, concise summary of the function’s operation. Use imperative rather than descriptive form: e.g., say “Return xyz…” rather than “Returns xyz…” If the docstring is multiline, the second line should be empty, and the following lines should form one or more paragraphs, separated by empty lines, describing the function’s parameters, preconditions, return value, and side effects (if any). Further explanations, bibliographical references, and usage examples—which you should always check with </w:t>
      </w:r>
      <w:r>
        <w:rPr>
          <w:rStyle w:val="Text0"/>
        </w:rPr>
        <w:t>doctest</w:t>
      </w:r>
      <w:r>
        <w:t>—can optionally (and often very usefully!) follow toward the end of the docstring.</w:t>
      </w:r>
    </w:p>
    <w:p>
      <w:bookmarkStart w:id="1135" w:name="Other_attributes_of_function_obj"/>
      <w:pPr>
        <w:keepNext/>
        <w:pStyle w:val="Heading 2"/>
      </w:pPr>
      <w:r>
        <w:t>Other attributes of function objects</w:t>
      </w:r>
      <w:bookmarkEnd w:id="1135"/>
    </w:p>
    <w:p>
      <w:pPr>
        <w:pStyle w:val="Normal"/>
      </w:pPr>
      <w:r>
        <w:t xml:space="preserve">In addition to its predefined attributes, a function object may have other arbitrary attributes. To create an attribute of a function object, bind a value to the appropriate attribute reference in an assignment statement after the </w:t>
      </w:r>
      <w:r>
        <w:rPr>
          <w:rStyle w:val="Text5"/>
        </w:rPr>
        <w:t>def</w:t>
      </w:r>
      <w:r>
        <w:t xml:space="preserve"> statement executes. For example, a function could count how many times it gets called:</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counter</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counter</w:t>
        <w:br w:clear="none"/>
      </w:r>
      <w:r>
        <w:rPr>
          <w:rStyle w:val="Text13"/>
        </w:rPr>
        <w:t xml:space="preserve">.</w:t>
        <w:br w:clear="none"/>
      </w:r>
      <w:r>
        <w:t xml:space="preserve">count</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1</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counter</w:t>
        <w:br w:clear="none"/>
      </w:r>
      <w:r>
        <w:rPr>
          <w:rStyle w:val="Text13"/>
        </w:rPr>
        <w:t xml:space="preserve">.</w:t>
        <w:br w:clear="none"/>
      </w:r>
      <w:r>
        <w:t xml:space="preserve">count</w:t>
        <w:br w:clear="none"/>
      </w:r>
      <w:r>
        <w:rPr>
          <w:rStyle w:val="Text6"/>
        </w:rPr>
        <w:t xml:space="preserve"/>
        <w:br w:clear="none"/>
      </w:r>
      <w:r>
        <w:t xml:space="preserve">counter</w:t>
        <w:br w:clear="none"/>
      </w:r>
      <w:r>
        <w:rPr>
          <w:rStyle w:val="Text13"/>
        </w:rPr>
        <w:t xml:space="preserve">.</w:t>
        <w:br w:clear="none"/>
      </w:r>
      <w:r>
        <w:t xml:space="preserve">count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p>
    <w:p>
      <w:pPr>
        <w:pStyle w:val="Normal"/>
      </w:pPr>
      <w:r>
        <w:t xml:space="preserve">Note that this is </w:t>
      </w:r>
      <w:r>
        <w:rPr>
          <w:rStyle w:val="Text4"/>
        </w:rPr>
        <w:t>not</w:t>
      </w:r>
      <w:r>
        <w:t xml:space="preserve"> common usage. More often, when you want to group together some state (data) and some behavior (code), you should use the object-oriented mechanisms covered in </w:t>
      </w:r>
      <w:hyperlink w:anchor="Chapter_4__Object_Oriented_Pytho_2">
        <w:r>
          <w:rPr>
            <w:rStyle w:val="Text1"/>
          </w:rPr>
          <w:t>Chapter 4</w:t>
        </w:r>
      </w:hyperlink>
      <w:r>
        <w:t>. However, the ability to associate arbitrary attributes with a function can sometimes come in handy.</w:t>
      </w:r>
    </w:p>
    <w:p>
      <w:bookmarkStart w:id="1136" w:name="Function_Annotations__Every_para"/>
      <w:pPr>
        <w:keepNext/>
        <w:pStyle w:val="Heading 2"/>
      </w:pPr>
      <w:r>
        <w:t>Function Annotations</w:t>
      </w:r>
      <w:bookmarkEnd w:id="1136"/>
    </w:p>
    <w:p>
      <w:pPr>
        <w:pStyle w:val="Normal"/>
      </w:pPr>
      <w:r>
        <w:t>Every</w:t>
      </w:r>
      <w:r>
        <w:rPr>
          <w:rStyle w:val="Text111"/>
        </w:rPr>
        <w:bookmarkStart w:id="1137" w:name="idm45965263388160"/>
        <w:t/>
        <w:bookmarkEnd w:id="1137"/>
      </w:r>
      <w:r>
        <w:t xml:space="preserve"> parameter in a </w:t>
      </w:r>
      <w:r>
        <w:rPr>
          <w:rStyle w:val="Text5"/>
        </w:rPr>
        <w:t>def</w:t>
      </w:r>
      <w:r>
        <w:t xml:space="preserve"> clause can be </w:t>
      </w:r>
      <w:r>
        <w:rPr>
          <w:rStyle w:val="Text4"/>
        </w:rPr>
        <w:t>annotated</w:t>
      </w:r>
      <w:r>
        <w:t xml:space="preserve"> with an arbitrary expression—that is, wherever within the </w:t>
      </w:r>
      <w:r>
        <w:rPr>
          <w:rStyle w:val="Text5"/>
        </w:rPr>
        <w:t>def</w:t>
      </w:r>
      <w:r>
        <w:t xml:space="preserve">’s parameter list you can use an identifier, you can alternatively use the form </w:t>
      </w:r>
      <w:r>
        <w:rPr>
          <w:rStyle w:val="Text3"/>
        </w:rPr>
        <w:t>identifier</w:t>
      </w:r>
      <w:r>
        <w:rPr>
          <w:rStyle w:val="Text0"/>
        </w:rPr>
        <w:t>:</w:t>
      </w:r>
      <w:r>
        <w:rPr>
          <w:rStyle w:val="Text3"/>
        </w:rPr>
        <w:t>expression</w:t>
      </w:r>
      <w:r>
        <w:t>, and the expression’s value becomes the</w:t>
      </w:r>
      <w:r>
        <w:rPr>
          <w:rStyle w:val="Text111"/>
        </w:rPr>
        <w:bookmarkStart w:id="1138" w:name="idm45965263358000"/>
        <w:t/>
        <w:bookmarkEnd w:id="1138"/>
      </w:r>
      <w:r>
        <w:t xml:space="preserve"> </w:t>
      </w:r>
      <w:r>
        <w:rPr>
          <w:rStyle w:val="Text4"/>
        </w:rPr>
        <w:t>annotation</w:t>
      </w:r>
      <w:r>
        <w:t xml:space="preserve"> for that parameter.</w:t>
      </w:r>
    </w:p>
    <w:p>
      <w:pPr>
        <w:pStyle w:val="Normal"/>
      </w:pPr>
      <w:r>
        <w:t xml:space="preserve">You can also annotate the return value of the function, using the form </w:t>
      </w:r>
      <w:r>
        <w:rPr>
          <w:rStyle w:val="Text3"/>
        </w:rPr>
        <w:t>-&gt;expression</w:t>
      </w:r>
      <w:r>
        <w:t xml:space="preserve"> between the </w:t>
      </w:r>
      <w:r>
        <w:rPr>
          <w:rStyle w:val="Text0"/>
        </w:rPr>
        <w:t>)</w:t>
      </w:r>
      <w:r>
        <w:t xml:space="preserve"> of the </w:t>
      </w:r>
      <w:r>
        <w:rPr>
          <w:rStyle w:val="Text5"/>
        </w:rPr>
        <w:t>def</w:t>
      </w:r>
      <w:r>
        <w:t xml:space="preserve"> clause and the </w:t>
      </w:r>
      <w:r>
        <w:rPr>
          <w:rStyle w:val="Text0"/>
        </w:rPr>
        <w:t>:</w:t>
      </w:r>
      <w:r>
        <w:t xml:space="preserve"> that ends the </w:t>
      </w:r>
      <w:r>
        <w:rPr>
          <w:rStyle w:val="Text5"/>
        </w:rPr>
        <w:t>def</w:t>
      </w:r>
      <w:r>
        <w:t xml:space="preserve"> clause; the expression’s value becomes the annotation for the name </w:t>
      </w:r>
      <w:r>
        <w:rPr>
          <w:rStyle w:val="Text0"/>
        </w:rPr>
        <w:t>'return'</w:t>
      </w:r>
      <w:r>
        <w:t>. For example: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9"/>
        </w:rPr>
        <w:t xml:space="preserve">a</w:t>
        <w:br w:clear="none"/>
      </w:r>
      <w:r>
        <w:rPr>
          <w:rStyle w:val="Text7"/>
        </w:rPr>
        <w:t xml:space="preserve">:</w:t>
        <w:br w:clear="none"/>
      </w:r>
      <w:r>
        <w:rPr>
          <w:rStyle w:val="Text8"/>
        </w:rPr>
        <w:t xml:space="preserve">'</w:t>
        <w:br w:clear="none"/>
        <w:t xml:space="preserve">foo</w:t>
        <w:br w:clear="none"/>
        <w:t xml:space="preserve">'</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rPr>
          <w:rStyle w:val="Text13"/>
        </w:rPr>
        <w:t xml:space="preserve">-</w:t>
        <w:br w:clear="none"/>
        <w:t xml:space="preserve">&gt;</w:t>
        <w:br w:clear="none"/>
      </w:r>
      <w:r>
        <w:rPr>
          <w:rStyle w:val="Text8"/>
        </w:rPr>
        <w:t xml:space="preserve">'</w:t>
        <w:br w:clear="none"/>
        <w:t xml:space="preserve">bar</w:t>
        <w:br w:clear="none"/>
        <w:t xml:space="preserve">'</w:t>
        <w:br w:clear="none"/>
      </w:r>
      <w:r>
        <w:rPr>
          <w:rStyle w:val="Text7"/>
        </w:rPr>
        <w:t xml:space="preserve">:</w:t>
        <w:br w:clear="none"/>
      </w:r>
      <w:r>
        <w:t xml:space="preserve"> </w:t>
        <w:br w:clear="none"/>
      </w:r>
      <w:r>
        <w:rPr>
          <w:rStyle w:val="Text10"/>
        </w:rPr>
        <w:t xml:space="preserve">pass</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f</w:t>
        <w:br w:clear="none"/>
      </w:r>
      <w:r>
        <w:rPr>
          <w:rStyle w:val="Text13"/>
        </w:rPr>
        <w:t xml:space="preserve">.</w:t>
        <w:br w:clear="none"/>
      </w:r>
      <w:r>
        <w:t xml:space="preserve">__annotations__</w:t>
        <w:br w:clear="none"/>
      </w:r>
    </w:p>
    <w:p>
      <w:pPr>
        <w:pStyle w:val="Para 008"/>
      </w:pPr>
      <w:r>
        <w:rPr>
          <w:rStyle w:val="Text48"/>
        </w:rPr>
        <w:t xml:space="preserve"/>
        <w:br w:clear="none"/>
      </w:r>
      <w:r>
        <w:t xml:space="preserve">{'a': 'foo', 'return': 'bar'}</w:t>
        <w:br w:clear="none"/>
      </w:r>
    </w:p>
    <w:p>
      <w:pPr>
        <w:pStyle w:val="Normal"/>
      </w:pPr>
      <w:r>
        <w:t xml:space="preserve">As shown in this example, the </w:t>
      </w:r>
      <w:r>
        <w:rPr>
          <w:rStyle w:val="Text0"/>
        </w:rPr>
        <w:t>__annotations__</w:t>
      </w:r>
      <w:r>
        <w:t xml:space="preserve"> attribute of the function object is a </w:t>
      </w:r>
      <w:r>
        <w:rPr>
          <w:rStyle w:val="Text0"/>
        </w:rPr>
        <w:t>dict</w:t>
      </w:r>
      <w:r>
        <w:t xml:space="preserve"> mapping each annotated identifier to the respective annotation.</w:t>
      </w:r>
    </w:p>
    <w:p>
      <w:pPr>
        <w:pStyle w:val="Normal"/>
      </w:pPr>
      <w:r>
        <w:t xml:space="preserve">You can currently, in theory, use annotations for whatever purpose you wish: Python itself does nothing with them, except construct the </w:t>
      </w:r>
      <w:r>
        <w:rPr>
          <w:rStyle w:val="Text0"/>
        </w:rPr>
        <w:t>__annotations__</w:t>
      </w:r>
      <w:r>
        <w:t xml:space="preserve"> attribute. For detailed information about annotations used for type hinting, which is now normally considered their key use, see </w:t>
      </w:r>
      <w:hyperlink w:anchor="Chapter_5__Type_Annotations__Ann_2">
        <w:r>
          <w:rPr>
            <w:rStyle w:val="Text1"/>
          </w:rPr>
          <w:t>Chapter 5</w:t>
        </w:r>
      </w:hyperlink>
      <w:r>
        <w:t>.</w:t>
      </w:r>
    </w:p>
    <w:p>
      <w:bookmarkStart w:id="1139" w:name="The_return_Statement__You_can_us"/>
      <w:pPr>
        <w:keepNext/>
        <w:pStyle w:val="Heading 2"/>
      </w:pPr>
      <w:r>
        <w:t>The return Statement</w:t>
      </w:r>
      <w:bookmarkEnd w:id="1139"/>
    </w:p>
    <w:p>
      <w:pPr>
        <w:pStyle w:val="Normal"/>
      </w:pPr>
      <w:r>
        <w:t>You</w:t>
      </w:r>
      <w:r>
        <w:rPr>
          <w:rStyle w:val="Text111"/>
        </w:rPr>
        <w:bookmarkStart w:id="1140" w:name="idm45965263312656"/>
        <w:t/>
        <w:bookmarkEnd w:id="1140"/>
        <w:bookmarkStart w:id="1141" w:name="idm45965263311248"/>
        <w:t/>
        <w:bookmarkEnd w:id="1141"/>
      </w:r>
      <w:r>
        <w:t xml:space="preserve"> can use the </w:t>
      </w:r>
      <w:r>
        <w:rPr>
          <w:rStyle w:val="Text5"/>
        </w:rPr>
        <w:t>return</w:t>
      </w:r>
      <w:r>
        <w:t xml:space="preserve"> keyword in Python only inside a function body, and you can optionally follow it with an expression. When </w:t>
      </w:r>
      <w:r>
        <w:rPr>
          <w:rStyle w:val="Text5"/>
        </w:rPr>
        <w:t>return</w:t>
      </w:r>
      <w:r>
        <w:t xml:space="preserve"> executes, the function terminates, and the value of the expression is the function’s result. A function returns </w:t>
      </w:r>
      <w:r>
        <w:rPr>
          <w:rStyle w:val="Text5"/>
        </w:rPr>
        <w:t>None</w:t>
      </w:r>
      <w:r>
        <w:t xml:space="preserve"> when it terminates by reaching the end of its body, or by executing a </w:t>
      </w:r>
      <w:r>
        <w:rPr>
          <w:rStyle w:val="Text5"/>
        </w:rPr>
        <w:t>return</w:t>
      </w:r>
      <w:r>
        <w:t xml:space="preserve"> statement with no expression (or by explicitly executing </w:t>
      </w:r>
      <w:r>
        <w:rPr>
          <w:rStyle w:val="Text5"/>
        </w:rPr>
        <w:t>return</w:t>
      </w:r>
      <w:r>
        <w:t xml:space="preserve"> </w:t>
      </w:r>
      <w:r>
        <w:rPr>
          <w:rStyle w:val="Text5"/>
        </w:rPr>
        <w:t>None</w:t>
      </w:r>
      <w:r>
        <w:t>).</w:t>
      </w:r>
    </w:p>
    <w:p>
      <w:pPr>
        <w:keepNext/>
        <w:pStyle w:val="Heading 5"/>
        <w:keepLines w:val="on"/>
      </w:pPr>
      <w:r>
        <w:t>Good Style in return Statements</w:t>
      </w:r>
    </w:p>
    <w:p>
      <w:pPr>
        <w:pStyle w:val="Para 012"/>
        <w:keepLines w:val="on"/>
      </w:pPr>
      <w:r>
        <w:t xml:space="preserve">As a matter of good style, when some </w:t>
      </w:r>
      <w:r>
        <w:rPr>
          <w:rStyle w:val="Text5"/>
        </w:rPr>
        <w:t>return</w:t>
      </w:r>
      <w:r>
        <w:t xml:space="preserve"> statements in a function have an expression, then </w:t>
      </w:r>
      <w:r>
        <w:rPr>
          <w:rStyle w:val="Text4"/>
        </w:rPr>
        <w:t>all</w:t>
      </w:r>
      <w:r>
        <w:t xml:space="preserve"> </w:t>
      </w:r>
      <w:r>
        <w:rPr>
          <w:rStyle w:val="Text5"/>
        </w:rPr>
        <w:t>return</w:t>
      </w:r>
      <w:r>
        <w:t xml:space="preserve"> statements </w:t>
        <w:t>in the</w:t>
        <w:t xml:space="preserve"> function should have an expression. </w:t>
      </w:r>
      <w:r>
        <w:rPr>
          <w:rStyle w:val="Text5"/>
        </w:rPr>
        <w:t>return</w:t>
      </w:r>
      <w:r>
        <w:t xml:space="preserve"> </w:t>
      </w:r>
      <w:r>
        <w:rPr>
          <w:rStyle w:val="Text5"/>
        </w:rPr>
        <w:t>None</w:t>
      </w:r>
      <w:r>
        <w:t xml:space="preserve"> should only ever be written explicitly to meet this style requirement. </w:t>
      </w:r>
      <w:r>
        <w:rPr>
          <w:rStyle w:val="Text4"/>
        </w:rPr>
        <w:t>Never</w:t>
      </w:r>
      <w:r>
        <w:t xml:space="preserve"> write a </w:t>
      </w:r>
      <w:r>
        <w:rPr>
          <w:rStyle w:val="Text5"/>
        </w:rPr>
        <w:t>return</w:t>
      </w:r>
      <w:r>
        <w:t xml:space="preserve"> statement without an expression at the end of a function body. Python does not enforce these stylistic conventions, but your code is clearer and more readable when you follow them.</w:t>
      </w:r>
    </w:p>
    <w:p>
      <w:bookmarkStart w:id="1142" w:name="Calling_Functions__A_function_ca"/>
      <w:pPr>
        <w:keepNext/>
        <w:pStyle w:val="Heading 2"/>
      </w:pPr>
      <w:r>
        <w:t>Calling Functions</w:t>
      </w:r>
      <w:bookmarkEnd w:id="1142"/>
    </w:p>
    <w:p>
      <w:pPr>
        <w:pStyle w:val="Normal"/>
      </w:pPr>
      <w:r>
        <w:t>A</w:t>
      </w:r>
      <w:r>
        <w:rPr>
          <w:rStyle w:val="Text111"/>
        </w:rPr>
        <w:bookmarkStart w:id="1143" w:name="idm45965263273312"/>
        <w:t/>
        <w:bookmarkEnd w:id="1143"/>
      </w:r>
      <w:r>
        <w:t xml:space="preserve"> function call is an expression with the following syntax:</w:t>
      </w:r>
    </w:p>
    <w:p>
      <w:pPr>
        <w:pStyle w:val="Para 032"/>
      </w:pPr>
      <w:r>
        <w:rPr>
          <w:rStyle w:val="Text116"/>
        </w:rPr>
        <w:t xml:space="preserve"/>
        <w:br w:clear="none"/>
      </w:r>
      <w:r>
        <w:t xml:space="preserve">function_object</w:t>
        <w:br w:clear="none"/>
      </w:r>
      <w:r>
        <w:rPr>
          <w:rStyle w:val="Text19"/>
        </w:rPr>
        <w:t xml:space="preserve">(</w:t>
        <w:br w:clear="none"/>
      </w:r>
      <w:r>
        <w:t xml:space="preserve">arguments</w:t>
        <w:br w:clear="none"/>
      </w:r>
      <w:r>
        <w:rPr>
          <w:rStyle w:val="Text19"/>
        </w:rPr>
        <w:t xml:space="preserve">)</w:t>
        <w:br w:clear="none"/>
      </w:r>
    </w:p>
    <w:p>
      <w:pPr>
        <w:pStyle w:val="Normal"/>
      </w:pPr>
      <w:r>
        <w:rPr>
          <w:rStyle w:val="Text3"/>
        </w:rPr>
        <w:t>function_object</w:t>
      </w:r>
      <w:r>
        <w:t xml:space="preserve"> may be any reference to a function (or other callable) object; most often, it’s just the function’s name. The parentheses denote the function call operation itself. </w:t>
      </w:r>
      <w:r>
        <w:rPr>
          <w:rStyle w:val="Text3"/>
        </w:rPr>
        <w:t>arguments</w:t>
      </w:r>
      <w:r>
        <w:t>, in the simplest case, is a series of zero or more expressions separated by commas (</w:t>
      </w:r>
      <w:r>
        <w:rPr>
          <w:rStyle w:val="Text0"/>
        </w:rPr>
        <w:t>,</w:t>
      </w:r>
      <w:r>
        <w:t>), giving values for the function’s corresponding parameters. When the function call executes, the parameters are bound to the argument values in a new namespace, the function body executes, and the value of the function call expression is whatever the function returns. Objects created inside and returned by the function are liable to garbage collection unless the caller retains a reference to them.</w:t>
      </w:r>
    </w:p>
    <w:p>
      <w:pPr>
        <w:keepNext/>
        <w:pStyle w:val="Heading 6"/>
        <w:keepLines w:val="on"/>
      </w:pPr>
      <w:r>
        <w:t>Don’t Forget the Trailing () to Call a Function</w:t>
      </w:r>
    </w:p>
    <w:p>
      <w:pPr>
        <w:pStyle w:val="Para 012"/>
        <w:keepLines w:val="on"/>
      </w:pPr>
      <w:r>
        <w:t>Just</w:t>
      </w:r>
      <w:r>
        <w:rPr>
          <w:rStyle w:val="Text111"/>
        </w:rPr>
        <w:bookmarkStart w:id="1144" w:name="idm45965263260208"/>
        <w:t/>
        <w:bookmarkEnd w:id="1144"/>
        <w:bookmarkStart w:id="1145" w:name="idm45965263258800"/>
        <w:t/>
        <w:bookmarkEnd w:id="1145"/>
      </w:r>
      <w:r>
        <w:t xml:space="preserve"> </w:t>
      </w:r>
      <w:r>
        <w:rPr>
          <w:rStyle w:val="Text4"/>
        </w:rPr>
        <w:t>mentioning</w:t>
      </w:r>
      <w:r>
        <w:t xml:space="preserve"> a function (or other callable object) does </w:t>
      </w:r>
      <w:r>
        <w:rPr>
          <w:rStyle w:val="Text4"/>
        </w:rPr>
        <w:t>not</w:t>
      </w:r>
      <w:r>
        <w:t xml:space="preserve">, per se, call it. To </w:t>
      </w:r>
      <w:r>
        <w:rPr>
          <w:rStyle w:val="Text4"/>
        </w:rPr>
        <w:t>call</w:t>
      </w:r>
      <w:r>
        <w:t xml:space="preserve"> a function (or other object) without arguments, you </w:t>
      </w:r>
      <w:r>
        <w:rPr>
          <w:rStyle w:val="Text4"/>
        </w:rPr>
        <w:t>must</w:t>
      </w:r>
      <w:r>
        <w:t xml:space="preserve"> use </w:t>
      </w:r>
      <w:r>
        <w:rPr>
          <w:rStyle w:val="Text0"/>
        </w:rPr>
        <w:t>()</w:t>
      </w:r>
      <w:r>
        <w:t xml:space="preserve"> after the function’s name (or other reference to the callable object).</w:t>
      </w:r>
    </w:p>
    <w:p>
      <w:bookmarkStart w:id="1146" w:name="Positional_and_named_arguments"/>
      <w:pPr>
        <w:keepNext/>
        <w:pStyle w:val="Heading 2"/>
      </w:pPr>
      <w:r>
        <w:t>Positional and named arguments</w:t>
      </w:r>
      <w:bookmarkEnd w:id="1146"/>
    </w:p>
    <w:p>
      <w:pPr>
        <w:pStyle w:val="Normal"/>
      </w:pPr>
      <w:r>
        <w:t>Arguments</w:t>
      </w:r>
      <w:r>
        <w:rPr>
          <w:rStyle w:val="Text111"/>
        </w:rPr>
        <w:bookmarkStart w:id="1147" w:name="idm45965263235872"/>
        <w:t/>
        <w:bookmarkEnd w:id="1147"/>
        <w:bookmarkStart w:id="1148" w:name="idm45965263234736"/>
        <w:t/>
        <w:bookmarkEnd w:id="1148"/>
        <w:bookmarkStart w:id="1149" w:name="arg03"/>
        <w:t/>
        <w:bookmarkEnd w:id="1149"/>
        <w:bookmarkStart w:id="1150" w:name="FSpnarg03"/>
        <w:t/>
        <w:bookmarkEnd w:id="1150"/>
      </w:r>
      <w:r>
        <w:t xml:space="preserve"> can be of two types. </w:t>
      </w:r>
      <w:r>
        <w:rPr>
          <w:rStyle w:val="Text4"/>
        </w:rPr>
        <w:t>Positional</w:t>
      </w:r>
      <w:r>
        <w:t xml:space="preserve"> arguments are simple expressions; </w:t>
      </w:r>
      <w:r>
        <w:rPr>
          <w:rStyle w:val="Text4"/>
        </w:rPr>
        <w:t>named</w:t>
      </w:r>
      <w:r>
        <w:t xml:space="preserve"> (also known, alas, as </w:t>
      </w:r>
      <w:r>
        <w:rPr>
          <w:rStyle w:val="Text4"/>
        </w:rPr>
        <w:t>keyword</w:t>
      </w:r>
      <w:hyperlink w:anchor="26__Alas__because_they_have_noth">
        <w:r>
          <w:rPr>
            <w:rStyle w:val="Text41"/>
          </w:rPr>
          <w:bookmarkStart w:id="1151" w:name="26"/>
          <w:t>26</w:t>
          <w:bookmarkEnd w:id="1151"/>
        </w:r>
      </w:hyperlink>
      <w:r>
        <w:t>) arguments take the form:</w:t>
      </w:r>
    </w:p>
    <w:p>
      <w:pPr>
        <w:pStyle w:val="Para 032"/>
      </w:pPr>
      <w:r>
        <w:rPr>
          <w:rStyle w:val="Text116"/>
        </w:rPr>
        <w:t xml:space="preserve"/>
        <w:br w:clear="none"/>
      </w:r>
      <w:r>
        <w:t xml:space="preserve">identifier</w:t>
        <w:br w:clear="none"/>
      </w:r>
      <w:r>
        <w:rPr>
          <w:rStyle w:val="Text28"/>
        </w:rPr>
        <w:t xml:space="preserve">=</w:t>
        <w:br w:clear="none"/>
      </w:r>
      <w:r>
        <w:t xml:space="preserve">expression</w:t>
        <w:br w:clear="none"/>
      </w:r>
    </w:p>
    <w:p>
      <w:pPr>
        <w:pStyle w:val="Normal"/>
      </w:pPr>
      <w:r>
        <w:t>It is a syntax error for named arguments to precede positional ones in a function call. Zero or more positional arguments may be followed by zero or more named arguments. Each positional argument supplies the value for the parameter that corresponds to it by position (order) in the function definition. There is no requirement for positional arguments to match positional parameters, or vice versa—if there are more positional arguments than positional parameters, the additional arguments are bound by position to named parameters, if any, for all parameters preceding an argument collector in the signature.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c</w:t>
        <w:br w:clear="none"/>
      </w:r>
      <w:r>
        <w:rPr>
          <w:rStyle w:val="Text28"/>
        </w:rPr>
        <w:t xml:space="preserve">=</w:t>
        <w:br w:clear="none"/>
      </w:r>
      <w:r>
        <w:rPr>
          <w:rStyle w:val="Text35"/>
        </w:rPr>
        <w:t xml:space="preserve">23</w:t>
        <w:br w:clear="none"/>
      </w:r>
      <w:r>
        <w:rPr>
          <w:rStyle w:val="Text19"/>
        </w:rPr>
        <w:t xml:space="preserve">,</w:t>
        <w:br w:clear="none"/>
      </w:r>
      <w:r>
        <w:rPr>
          <w:rStyle w:val="Text11"/>
        </w:rPr>
        <w:t xml:space="preserve"> </w:t>
        <w:br w:clear="none"/>
      </w:r>
      <w:r>
        <w:rPr>
          <w:rStyle w:val="Text14"/>
        </w:rPr>
        <w:t xml:space="preserve">d</w:t>
        <w:br w:clear="none"/>
      </w:r>
      <w:r>
        <w:rPr>
          <w:rStyle w:val="Text28"/>
        </w:rPr>
        <w:t xml:space="preserve">=</w:t>
        <w:br w:clear="none"/>
      </w:r>
      <w:r>
        <w:rPr>
          <w:rStyle w:val="Text35"/>
        </w:rPr>
        <w:t xml:space="preserve">42</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x</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c</w:t>
        <w:br w:clear="none"/>
      </w:r>
      <w:r>
        <w:rPr>
          <w:rStyle w:val="Text19"/>
        </w:rPr>
        <w:t xml:space="preserve">,</w:t>
        <w:br w:clear="none"/>
      </w:r>
      <w:r>
        <w:rPr>
          <w:rStyle w:val="Text11"/>
        </w:rPr>
        <w:t xml:space="preserve"> </w:t>
        <w:br w:clear="none"/>
      </w:r>
      <w:r>
        <w:rPr>
          <w:rStyle w:val="Text14"/>
        </w:rPr>
        <w:t xml:space="preserve">d</w:t>
        <w:br w:clear="none"/>
      </w:r>
      <w:r>
        <w:rPr>
          <w:rStyle w:val="Text19"/>
        </w:rPr>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br w:clear="none"/>
      </w:r>
      <w:r>
        <w:rPr>
          <w:rStyle w:val="Text14"/>
        </w:rPr>
        <w:t xml:space="preserve">f</w:t>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2</w:t>
        <w:br w:clear="none"/>
      </w:r>
      <w:r>
        <w:rPr>
          <w:rStyle w:val="Text19"/>
        </w:rPr>
        <w:t xml:space="preserve">,</w:t>
        <w:br w:clear="none"/>
      </w:r>
      <w:r>
        <w:rPr>
          <w:rStyle w:val="Text35"/>
        </w:rPr>
        <w:t xml:space="preserve">3</w:t>
        <w:br w:clear="none"/>
      </w:r>
      <w:r>
        <w:rPr>
          <w:rStyle w:val="Text19"/>
        </w:rPr>
        <w:t xml:space="preserve">,</w:t>
        <w:br w:clear="none"/>
      </w:r>
      <w:r>
        <w:rPr>
          <w:rStyle w:val="Text35"/>
        </w:rPr>
        <w:t xml:space="preserve">4</w:t>
        <w:br w:clear="none"/>
      </w:r>
      <w:r>
        <w:rPr>
          <w:rStyle w:val="Text19"/>
        </w:rPr>
        <w:t xml:space="preserve">,</w:t>
        <w:br w:clear="none"/>
      </w:r>
      <w:r>
        <w:rPr>
          <w:rStyle w:val="Text35"/>
        </w:rPr>
        <w:t xml:space="preserve">5</w:t>
        <w:br w:clear="none"/>
      </w:r>
      <w:r>
        <w:rPr>
          <w:rStyle w:val="Text19"/>
        </w:rPr>
        <w:t xml:space="preserve">,</w:t>
        <w:br w:clear="none"/>
      </w:r>
      <w:r>
        <w:rPr>
          <w:rStyle w:val="Text35"/>
        </w:rPr>
        <w:t xml:space="preserve">6</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1 2 3 4 (5, 6)</w:t>
        <w:br w:clear="none"/>
      </w:r>
    </w:p>
    <w:p>
      <w:pPr>
        <w:pStyle w:val="Normal"/>
      </w:pPr>
      <w:r>
        <w:t xml:space="preserve">Note that it matters where in the function signature the argument collector appears (see </w:t>
      </w:r>
      <w:hyperlink w:anchor="Matching_arguments_to_parameters">
        <w:r>
          <w:rPr>
            <w:rStyle w:val="Text1"/>
          </w:rPr>
          <w:t>“Matching arguments to parameters”</w:t>
        </w:r>
      </w:hyperlink>
      <w:r>
        <w:t xml:space="preserve"> for all the gory details):</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c</w:t>
        <w:br w:clear="none"/>
      </w:r>
      <w:r>
        <w:rPr>
          <w:rStyle w:val="Text28"/>
        </w:rPr>
        <w:t xml:space="preserve">=</w:t>
        <w:br w:clear="none"/>
      </w:r>
      <w:r>
        <w:rPr>
          <w:rStyle w:val="Text35"/>
        </w:rPr>
        <w:t xml:space="preserve">23</w:t>
        <w:br w:clear="none"/>
      </w:r>
      <w:r>
        <w:rPr>
          <w:rStyle w:val="Text19"/>
        </w:rPr>
        <w:t xml:space="preserve">,</w:t>
        <w:br w:clear="none"/>
      </w:r>
      <w:r>
        <w:rPr>
          <w:rStyle w:val="Text11"/>
        </w:rPr>
        <w:t xml:space="preserve"> </w:t>
        <w:br w:clear="none"/>
      </w:r>
      <w:r>
        <w:rPr>
          <w:rStyle w:val="Text14"/>
        </w:rPr>
        <w:t xml:space="preserve">d</w:t>
        <w:br w:clear="none"/>
      </w:r>
      <w:r>
        <w:rPr>
          <w:rStyle w:val="Text28"/>
        </w:rPr>
        <w:t xml:space="preserve">=</w:t>
        <w:br w:clear="none"/>
      </w:r>
      <w:r>
        <w:rPr>
          <w:rStyle w:val="Text35"/>
        </w:rPr>
        <w:t xml:space="preserve">42</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c</w:t>
        <w:br w:clear="none"/>
      </w:r>
      <w:r>
        <w:rPr>
          <w:rStyle w:val="Text19"/>
        </w:rPr>
        <w:t xml:space="preserve">,</w:t>
        <w:br w:clear="none"/>
      </w:r>
      <w:r>
        <w:rPr>
          <w:rStyle w:val="Text11"/>
        </w:rPr>
        <w:t xml:space="preserve"> </w:t>
        <w:br w:clear="none"/>
      </w:r>
      <w:r>
        <w:rPr>
          <w:rStyle w:val="Text14"/>
        </w:rPr>
        <w:t xml:space="preserve">d</w:t>
        <w:br w:clear="none"/>
      </w:r>
      <w:r>
        <w:rPr>
          <w:rStyle w:val="Text19"/>
        </w:rPr>
        <w:t xml:space="preserve">)</w:t>
        <w:br w:clear="none"/>
      </w:r>
      <w:r>
        <w:rPr>
          <w:rStyle w:val="Text11"/>
        </w:rPr>
        <w:t xml:space="preserve"/>
        <w:br w:clear="none"/>
      </w:r>
      <w:r>
        <w:rPr>
          <w:rStyle w:val="Text14"/>
        </w:rPr>
        <w:t xml:space="preserve">f</w:t>
        <w:br w:clear="none"/>
      </w:r>
      <w:r>
        <w:rPr>
          <w:rStyle w:val="Text19"/>
        </w:rPr>
        <w:t xml:space="preserve">(</w:t>
        <w:br w:clear="none"/>
      </w:r>
      <w:r>
        <w:rPr>
          <w:rStyle w:val="Text35"/>
        </w:rPr>
        <w:t xml:space="preserve">1</w:t>
        <w:br w:clear="none"/>
      </w:r>
      <w:r>
        <w:rPr>
          <w:rStyle w:val="Text19"/>
        </w:rPr>
        <w:t xml:space="preserve">,</w:t>
        <w:br w:clear="none"/>
      </w:r>
      <w:r>
        <w:rPr>
          <w:rStyle w:val="Text35"/>
        </w:rPr>
        <w:t xml:space="preserve">2</w:t>
        <w:br w:clear="none"/>
      </w:r>
      <w:r>
        <w:rPr>
          <w:rStyle w:val="Text19"/>
        </w:rPr>
        <w:t xml:space="preserve">,</w:t>
        <w:br w:clear="none"/>
      </w:r>
      <w:r>
        <w:rPr>
          <w:rStyle w:val="Text35"/>
        </w:rPr>
        <w:t xml:space="preserve">3</w:t>
        <w:br w:clear="none"/>
      </w:r>
      <w:r>
        <w:rPr>
          <w:rStyle w:val="Text19"/>
        </w:rPr>
        <w:t xml:space="preserve">,</w:t>
        <w:br w:clear="none"/>
      </w:r>
      <w:r>
        <w:rPr>
          <w:rStyle w:val="Text35"/>
        </w:rPr>
        <w:t xml:space="preserve">4</w:t>
        <w:br w:clear="none"/>
      </w:r>
      <w:r>
        <w:rPr>
          <w:rStyle w:val="Text19"/>
        </w:rPr>
        <w:t xml:space="preserve">,</w:t>
        <w:br w:clear="none"/>
      </w:r>
      <w:r>
        <w:rPr>
          <w:rStyle w:val="Text35"/>
        </w:rPr>
        <w:t xml:space="preserve">5</w:t>
        <w:br w:clear="none"/>
      </w:r>
      <w:r>
        <w:rPr>
          <w:rStyle w:val="Text19"/>
        </w:rPr>
        <w:t xml:space="preserve">,</w:t>
        <w:br w:clear="none"/>
      </w:r>
      <w:r>
        <w:rPr>
          <w:rStyle w:val="Text35"/>
        </w:rPr>
        <w:t xml:space="preserve">6</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1 2 (3, 4, 5, 6) 23 42</w:t>
        <w:br w:clear="none"/>
      </w:r>
    </w:p>
    <w:p>
      <w:pPr>
        <w:pStyle w:val="Normal"/>
      </w:pPr>
      <w:r>
        <w:t>In the absence of any named argument collector (</w:t>
      </w:r>
      <w:r>
        <w:rPr>
          <w:rStyle w:val="Text0"/>
        </w:rPr>
        <w:t>**</w:t>
      </w:r>
      <w:r>
        <w:rPr>
          <w:rStyle w:val="Text3"/>
        </w:rPr>
        <w:t>name</w:t>
      </w:r>
      <w:r>
        <w:t>) parameter, each argument’s name must be one of the parameter names used in the function’s signature.</w:t>
      </w:r>
      <w:hyperlink w:anchor="27_Python_developers_introduced">
        <w:r>
          <w:rPr>
            <w:rStyle w:val="Text41"/>
          </w:rPr>
          <w:bookmarkStart w:id="1152" w:name="27"/>
          <w:t>27</w:t>
          <w:bookmarkEnd w:id="1152"/>
        </w:r>
      </w:hyperlink>
      <w:r>
        <w:t xml:space="preserve"> The </w:t>
      </w:r>
      <w:r>
        <w:rPr>
          <w:rStyle w:val="Text3"/>
        </w:rPr>
        <w:t>expression</w:t>
      </w:r>
      <w:r>
        <w:t xml:space="preserve"> supplies the value for the parameter of that name. Many built-in functions do not accept named arguments: you must call such functions with positional arguments only. However, functions coded in Python usually accept named as well as positional arguments, so you may call them in different ways. Positional parameters can be matched by named arguments, in the absence of matching positional arguments.</w:t>
      </w:r>
    </w:p>
    <w:p>
      <w:pPr>
        <w:pStyle w:val="Normal"/>
      </w:pPr>
      <w:r>
        <w:t>A function call must supply, via a positional or a named argument, exactly one value for each mandatory parameter, and zero or one value for each optional parameter.</w:t>
      </w:r>
      <w:hyperlink w:anchor="28_An__optional_parameter__being">
        <w:r>
          <w:rPr>
            <w:rStyle w:val="Text41"/>
          </w:rPr>
          <w:bookmarkStart w:id="1153" w:name="28"/>
          <w:t>28</w:t>
          <w:bookmarkEnd w:id="1153"/>
        </w:r>
      </w:hyperlink>
      <w:r>
        <w:t xml:space="preserve"> For example: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divide</w:t>
        <w:br w:clear="none"/>
      </w:r>
      <w:r>
        <w:rPr>
          <w:rStyle w:val="Text7"/>
        </w:rPr>
        <w:t xml:space="preserve">(</w:t>
        <w:br w:clear="none"/>
      </w:r>
      <w:r>
        <w:rPr>
          <w:rStyle w:val="Text9"/>
        </w:rPr>
        <w:t xml:space="preserve">divisor</w:t>
        <w:br w:clear="none"/>
      </w:r>
      <w:r>
        <w:rPr>
          <w:rStyle w:val="Text7"/>
        </w:rPr>
        <w:t xml:space="preserve">,</w:t>
        <w:br w:clear="none"/>
      </w:r>
      <w:r>
        <w:t xml:space="preserve"> </w:t>
        <w:br w:clear="none"/>
      </w:r>
      <w:r>
        <w:rPr>
          <w:rStyle w:val="Text9"/>
        </w:rPr>
        <w:t xml:space="preserve">dividend</w:t>
        <w:br w:clear="none"/>
      </w:r>
      <w:r>
        <w:rPr>
          <w:rStyle w:val="Text13"/>
        </w:rPr>
        <w:t xml:space="preserve">=</w:t>
        <w:br w:clear="none"/>
      </w:r>
      <w:r>
        <w:rPr>
          <w:rStyle w:val="Text27"/>
        </w:rPr>
        <w:t xml:space="preserve">94</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dividend</w:t>
        <w:br w:clear="none"/>
      </w:r>
      <w:r>
        <w:t xml:space="preserve"> </w:t>
        <w:br w:clear="none"/>
      </w:r>
      <w:r>
        <w:rPr>
          <w:rStyle w:val="Text13"/>
        </w:rPr>
        <w:t xml:space="preserve">/</w:t>
        <w:br w:clear="none"/>
        <w:t xml:space="preserve">/</w:t>
        <w:br w:clear="none"/>
      </w:r>
      <w:r>
        <w:t xml:space="preserve"> </w:t>
        <w:br w:clear="none"/>
      </w:r>
      <w:r>
        <w:rPr>
          <w:rStyle w:val="Text9"/>
        </w:rPr>
        <w:t xml:space="preserve">divisor</w:t>
        <w:br w:clear="none"/>
      </w:r>
      <w:r>
        <w:t xml:space="preserve"/>
        <w:br w:clear="none"/>
      </w:r>
      <w:r>
        <w:rPr>
          <w:rStyle w:val="Text16"/>
        </w:rPr>
        <w:t xml:space="preserve">print</w:t>
        <w:br w:clear="none"/>
      </w:r>
      <w:r>
        <w:rPr>
          <w:rStyle w:val="Text7"/>
        </w:rPr>
        <w:t xml:space="preserve">(</w:t>
        <w:br w:clear="none"/>
      </w:r>
      <w:r>
        <w:rPr>
          <w:rStyle w:val="Text9"/>
        </w:rPr>
        <w:t xml:space="preserve">divide</w:t>
        <w:br w:clear="none"/>
      </w:r>
      <w:r>
        <w:rPr>
          <w:rStyle w:val="Text7"/>
        </w:rPr>
        <w:t xml:space="preserve">(</w:t>
        <w:br w:clear="none"/>
      </w:r>
      <w:r>
        <w:rPr>
          <w:rStyle w:val="Text27"/>
        </w:rPr>
        <w:t xml:space="preserve">12</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7</w:t>
        <w:br w:clear="none"/>
      </w:r>
      <w:r>
        <w:t xml:space="preserve"/>
        <w:br w:clear="none"/>
      </w:r>
      <w:r>
        <w:rPr>
          <w:rStyle w:val="Text16"/>
        </w:rPr>
        <w:t xml:space="preserve">print</w:t>
        <w:br w:clear="none"/>
      </w:r>
      <w:r>
        <w:rPr>
          <w:rStyle w:val="Text7"/>
        </w:rPr>
        <w:t xml:space="preserve">(</w:t>
        <w:br w:clear="none"/>
      </w:r>
      <w:r>
        <w:rPr>
          <w:rStyle w:val="Text9"/>
        </w:rPr>
        <w:t xml:space="preserve">divide</w:t>
        <w:br w:clear="none"/>
      </w:r>
      <w:r>
        <w:rPr>
          <w:rStyle w:val="Text7"/>
        </w:rPr>
        <w:t xml:space="preserve">(</w:t>
        <w:br w:clear="none"/>
      </w:r>
      <w:r>
        <w:rPr>
          <w:rStyle w:val="Text27"/>
        </w:rPr>
        <w:t xml:space="preserve">12</w:t>
        <w:br w:clear="none"/>
      </w:r>
      <w:r>
        <w:rPr>
          <w:rStyle w:val="Text7"/>
        </w:rPr>
        <w:t xml:space="preserve">,</w:t>
        <w:br w:clear="none"/>
      </w:r>
      <w:r>
        <w:t xml:space="preserve"> </w:t>
        <w:br w:clear="none"/>
      </w:r>
      <w:r>
        <w:rPr>
          <w:rStyle w:val="Text27"/>
        </w:rPr>
        <w:t xml:space="preserve">94</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7</w:t>
        <w:br w:clear="none"/>
      </w:r>
      <w:r>
        <w:t xml:space="preserve"/>
        <w:br w:clear="none"/>
      </w:r>
      <w:r>
        <w:rPr>
          <w:rStyle w:val="Text16"/>
        </w:rPr>
        <w:t xml:space="preserve">print</w:t>
        <w:br w:clear="none"/>
      </w:r>
      <w:r>
        <w:rPr>
          <w:rStyle w:val="Text7"/>
        </w:rPr>
        <w:t xml:space="preserve">(</w:t>
        <w:br w:clear="none"/>
      </w:r>
      <w:r>
        <w:rPr>
          <w:rStyle w:val="Text9"/>
        </w:rPr>
        <w:t xml:space="preserve">divide</w:t>
        <w:br w:clear="none"/>
      </w:r>
      <w:r>
        <w:rPr>
          <w:rStyle w:val="Text7"/>
        </w:rPr>
        <w:t xml:space="preserve">(</w:t>
        <w:br w:clear="none"/>
      </w:r>
      <w:r>
        <w:rPr>
          <w:rStyle w:val="Text9"/>
        </w:rPr>
        <w:t xml:space="preserve">dividend</w:t>
        <w:br w:clear="none"/>
      </w:r>
      <w:r>
        <w:rPr>
          <w:rStyle w:val="Text13"/>
        </w:rPr>
        <w:t xml:space="preserve">=</w:t>
        <w:br w:clear="none"/>
      </w:r>
      <w:r>
        <w:rPr>
          <w:rStyle w:val="Text27"/>
        </w:rPr>
        <w:t xml:space="preserve">94</w:t>
        <w:br w:clear="none"/>
      </w:r>
      <w:r>
        <w:rPr>
          <w:rStyle w:val="Text7"/>
        </w:rPr>
        <w:t xml:space="preserve">,</w:t>
        <w:br w:clear="none"/>
      </w:r>
      <w:r>
        <w:t xml:space="preserve"> </w:t>
        <w:br w:clear="none"/>
      </w:r>
      <w:r>
        <w:rPr>
          <w:rStyle w:val="Text9"/>
        </w:rPr>
        <w:t xml:space="preserve">divisor</w:t>
        <w:br w:clear="none"/>
      </w:r>
      <w:r>
        <w:rPr>
          <w:rStyle w:val="Text13"/>
        </w:rPr>
        <w:t xml:space="preserve">=</w:t>
        <w:br w:clear="none"/>
      </w:r>
      <w:r>
        <w:rPr>
          <w:rStyle w:val="Text27"/>
        </w:rPr>
        <w:t xml:space="preserve">12</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7</w:t>
        <w:br w:clear="none"/>
      </w:r>
      <w:r>
        <w:t xml:space="preserve"/>
        <w:br w:clear="none"/>
      </w:r>
      <w:r>
        <w:rPr>
          <w:rStyle w:val="Text16"/>
        </w:rPr>
        <w:t xml:space="preserve">print</w:t>
        <w:br w:clear="none"/>
      </w:r>
      <w:r>
        <w:rPr>
          <w:rStyle w:val="Text7"/>
        </w:rPr>
        <w:t xml:space="preserve">(</w:t>
        <w:br w:clear="none"/>
      </w:r>
      <w:r>
        <w:rPr>
          <w:rStyle w:val="Text9"/>
        </w:rPr>
        <w:t xml:space="preserve">divide</w:t>
        <w:br w:clear="none"/>
      </w:r>
      <w:r>
        <w:rPr>
          <w:rStyle w:val="Text7"/>
        </w:rPr>
        <w:t xml:space="preserve">(</w:t>
        <w:br w:clear="none"/>
      </w:r>
      <w:r>
        <w:rPr>
          <w:rStyle w:val="Text9"/>
        </w:rPr>
        <w:t xml:space="preserve">divisor</w:t>
        <w:br w:clear="none"/>
      </w:r>
      <w:r>
        <w:rPr>
          <w:rStyle w:val="Text13"/>
        </w:rPr>
        <w:t xml:space="preserve">=</w:t>
        <w:br w:clear="none"/>
      </w:r>
      <w:r>
        <w:rPr>
          <w:rStyle w:val="Text27"/>
        </w:rPr>
        <w:t xml:space="preserve">12</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7</w:t>
        <w:br w:clear="none"/>
      </w:r>
    </w:p>
    <w:p>
      <w:pPr>
        <w:pStyle w:val="Normal"/>
      </w:pPr>
      <w:r>
        <w:t xml:space="preserve">As you can see, the four calls to </w:t>
      </w:r>
      <w:r>
        <w:rPr>
          <w:rStyle w:val="Text0"/>
        </w:rPr>
        <w:t>divide</w:t>
      </w:r>
      <w:r>
        <w:t xml:space="preserve"> here are equivalent. You can pass named arguments for readability purposes whenever you think that identifying the role of each argument and controlling the order of arguments enhances your code’s clarity.</w:t>
      </w:r>
    </w:p>
    <w:p>
      <w:pPr>
        <w:pStyle w:val="Normal"/>
      </w:pPr>
      <w:r>
        <w:t>A common use of named arguments is to bind some optional parameters to specific values, while letting other optional parameters take default values: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r>
      <w:r>
        <w:t xml:space="preserve">middle</w:t>
        <w:br w:clear="none"/>
      </w:r>
      <w:r>
        <w:rPr>
          <w:rStyle w:val="Text7"/>
        </w:rPr>
        <w:t xml:space="preserve">,</w:t>
        <w:br w:clear="none"/>
      </w:r>
      <w:r>
        <w:rPr>
          <w:rStyle w:val="Text6"/>
        </w:rPr>
        <w:t xml:space="preserve"> </w:t>
        <w:br w:clear="none"/>
      </w:r>
      <w:r>
        <w:t xml:space="preserve">begin</w:t>
        <w:br w:clear="none"/>
      </w:r>
      <w:r>
        <w:rPr>
          <w:rStyle w:val="Text13"/>
        </w:rPr>
        <w:t xml:space="preserve">=</w:t>
        <w:br w:clear="none"/>
      </w:r>
      <w:r>
        <w:rPr>
          <w:rStyle w:val="Text8"/>
        </w:rPr>
        <w:t xml:space="preserve">'</w:t>
        <w:br w:clear="none"/>
        <w:t xml:space="preserve">init</w:t>
        <w:br w:clear="none"/>
        <w:t xml:space="preserve">'</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finis</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begin</w:t>
        <w:br w:clear="none"/>
      </w:r>
      <w:r>
        <w:rPr>
          <w:rStyle w:val="Text13"/>
        </w:rPr>
        <w:t xml:space="preserve">+</w:t>
        <w:br w:clear="none"/>
      </w:r>
      <w:r>
        <w:t xml:space="preserve">middle</w:t>
        <w:br w:clear="none"/>
      </w:r>
      <w:r>
        <w:rPr>
          <w:rStyle w:val="Text13"/>
        </w:rPr>
        <w:t xml:space="preserve">+</w:t>
        <w:br w:clear="none"/>
      </w:r>
      <w:r>
        <w:t xml:space="preserve">end</w:t>
        <w:br w:clear="none"/>
      </w:r>
      <w:r>
        <w:rPr>
          <w:rStyle w:val="Text6"/>
        </w:rPr>
        <w:t xml:space="preserve"/>
        <w:br w:clear="none"/>
      </w:r>
      <w:r>
        <w:rPr>
          <w:rStyle w:val="Text16"/>
        </w:rPr>
        <w:t xml:space="preserve">print</w:t>
        <w:br w:clear="none"/>
      </w:r>
      <w:r>
        <w:rPr>
          <w:rStyle w:val="Text7"/>
        </w:rPr>
        <w:t xml:space="preserve">(</w:t>
        <w:br w:clear="none"/>
      </w:r>
      <w:r>
        <w:t xml:space="preserve">f</w:t>
        <w:br w:clear="none"/>
      </w:r>
      <w:r>
        <w:rPr>
          <w:rStyle w:val="Text7"/>
        </w:rPr>
        <w:t xml:space="preserve">(</w:t>
        <w:br w:clear="none"/>
      </w:r>
      <w:r>
        <w:rPr>
          <w:rStyle w:val="Text8"/>
        </w:rPr>
        <w:t xml:space="preserve">'</w:t>
        <w:br w:clear="none"/>
        <w:t xml:space="preserve">tini</w:t>
        <w:br w:clear="none"/>
        <w:t xml:space="preserve">'</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inittini</w:t>
        <w:br w:clear="none"/>
      </w:r>
    </w:p>
    <w:p>
      <w:pPr>
        <w:pStyle w:val="Normal"/>
      </w:pPr>
      <w:r>
        <w:t xml:space="preserve">With the named argument </w:t>
      </w:r>
      <w:r>
        <w:rPr>
          <w:rStyle w:val="Text0"/>
        </w:rPr>
        <w:t>end=''</w:t>
      </w:r>
      <w:r>
        <w:t xml:space="preserve">, the caller specifies a value (the empty string </w:t>
      </w:r>
      <w:r>
        <w:rPr>
          <w:rStyle w:val="Text0"/>
        </w:rPr>
        <w:t>''</w:t>
      </w:r>
      <w:r>
        <w:t xml:space="preserve">) for </w:t>
      </w:r>
      <w:r>
        <w:rPr>
          <w:rStyle w:val="Text0"/>
        </w:rPr>
        <w:t>f</w:t>
      </w:r>
      <w:r>
        <w:t xml:space="preserve">’s third parameter, </w:t>
      </w:r>
      <w:r>
        <w:rPr>
          <w:rStyle w:val="Text0"/>
        </w:rPr>
        <w:t>end</w:t>
      </w:r>
      <w:r>
        <w:t xml:space="preserve">, and still lets </w:t>
      </w:r>
      <w:r>
        <w:rPr>
          <w:rStyle w:val="Text3"/>
        </w:rPr>
        <w:t>f</w:t>
      </w:r>
      <w:r>
        <w:t xml:space="preserve">’s second parameter, </w:t>
      </w:r>
      <w:r>
        <w:rPr>
          <w:rStyle w:val="Text0"/>
        </w:rPr>
        <w:t>begin</w:t>
      </w:r>
      <w:r>
        <w:t xml:space="preserve">, use its default value, the string </w:t>
      </w:r>
      <w:r>
        <w:rPr>
          <w:rStyle w:val="Text0"/>
        </w:rPr>
        <w:t>'init'</w:t>
      </w:r>
      <w:r>
        <w:t>. You may pass the arguments as positional even when parameters are named; for example, with the preceding function:</w:t>
      </w:r>
    </w:p>
    <w:p>
      <w:pPr>
        <w:pStyle w:val="Para 018"/>
      </w:pPr>
      <w:r>
        <w:rPr>
          <w:rStyle w:val="Text104"/>
        </w:rPr>
        <w:t xml:space="preserve"/>
        <w:br w:clear="none"/>
      </w:r>
      <w:r>
        <w:rPr>
          <w:rStyle w:val="Text16"/>
        </w:rPr>
        <w:t xml:space="preserve">print</w:t>
        <w:br w:clear="none"/>
      </w:r>
      <w:r>
        <w:rPr>
          <w:rStyle w:val="Text7"/>
        </w:rPr>
        <w:t xml:space="preserve">(</w:t>
        <w:br w:clear="none"/>
      </w:r>
      <w:r>
        <w:rPr>
          <w:rStyle w:val="Text9"/>
        </w:rPr>
        <w:t xml:space="preserve">f</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r>
      <w:r>
        <w:rPr>
          <w:rStyle w:val="Text8"/>
        </w:rPr>
        <w:t xml:space="preserve">'</w:t>
        <w:br w:clear="none"/>
        <w:t xml:space="preserve">c</w:t>
        <w:br w:clear="none"/>
        <w:t xml:space="preserve">'</w:t>
        <w:br w:clear="none"/>
      </w:r>
      <w:r>
        <w:rPr>
          <w:rStyle w:val="Text7"/>
        </w:rPr>
        <w:t xml:space="preserve">,</w:t>
        <w:br w:clear="none"/>
      </w:r>
      <w:r>
        <w:rPr>
          <w:rStyle w:val="Text8"/>
        </w:rPr>
        <w:t xml:space="preserve">'</w:t>
        <w:br w:clear="none"/>
        <w:t xml:space="preserve">t</w:t>
        <w:br w:clear="none"/>
        <w:t xml:space="preserve">'</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cat</w:t>
        <w:br w:clear="none"/>
      </w:r>
    </w:p>
    <w:p>
      <w:pPr>
        <w:pStyle w:val="Normal"/>
      </w:pPr>
      <w:r>
        <w:t>At the end of the arguments in a function call, you may optionally use either or both of the special forms</w:t>
      </w:r>
      <w:r>
        <w:rPr>
          <w:rStyle w:val="Text111"/>
        </w:rPr>
        <w:bookmarkStart w:id="1154" w:name="idm45965262839808"/>
        <w:t/>
        <w:bookmarkEnd w:id="1154"/>
      </w:r>
      <w:r>
        <w:t xml:space="preserve"> </w:t>
      </w:r>
      <w:r>
        <w:rPr>
          <w:rStyle w:val="Text0"/>
        </w:rPr>
        <w:t>*</w:t>
      </w:r>
      <w:r>
        <w:rPr>
          <w:rStyle w:val="Text3"/>
        </w:rPr>
        <w:t>seq</w:t>
      </w:r>
      <w:r>
        <w:t xml:space="preserve"> and </w:t>
      </w:r>
      <w:r>
        <w:rPr>
          <w:rStyle w:val="Text0"/>
        </w:rPr>
        <w:t>**</w:t>
      </w:r>
      <w:r>
        <w:rPr>
          <w:rStyle w:val="Text3"/>
        </w:rPr>
        <w:t>dct</w:t>
      </w:r>
      <w:r>
        <w:t xml:space="preserve">. If both forms are present, the form with two asterisks must be last. </w:t>
      </w:r>
      <w:r>
        <w:rPr>
          <w:rStyle w:val="Text0"/>
        </w:rPr>
        <w:t>*</w:t>
      </w:r>
      <w:r>
        <w:rPr>
          <w:rStyle w:val="Text3"/>
        </w:rPr>
        <w:t>seq</w:t>
      </w:r>
      <w:r>
        <w:t xml:space="preserve"> passes the items of iterable </w:t>
      </w:r>
      <w:r>
        <w:rPr>
          <w:rStyle w:val="Text3"/>
        </w:rPr>
        <w:t>seq</w:t>
      </w:r>
      <w:r>
        <w:t xml:space="preserve"> to the function as positional arguments (after the normal positional arguments, if any, that the call gives with the usual syntax). </w:t>
      </w:r>
      <w:r>
        <w:rPr>
          <w:rStyle w:val="Text3"/>
        </w:rPr>
        <w:t>seq</w:t>
      </w:r>
      <w:r>
        <w:t xml:space="preserve"> may be any iterable. </w:t>
      </w:r>
      <w:r>
        <w:rPr>
          <w:rStyle w:val="Text0"/>
        </w:rPr>
        <w:t>**</w:t>
      </w:r>
      <w:r>
        <w:rPr>
          <w:rStyle w:val="Text3"/>
        </w:rPr>
        <w:t>dct</w:t>
      </w:r>
      <w:r>
        <w:t xml:space="preserve"> passes the items of </w:t>
      </w:r>
      <w:r>
        <w:rPr>
          <w:rStyle w:val="Text3"/>
        </w:rPr>
        <w:t>dct</w:t>
      </w:r>
      <w:r>
        <w:t xml:space="preserve"> to the function as named arguments, where </w:t>
      </w:r>
      <w:r>
        <w:rPr>
          <w:rStyle w:val="Text3"/>
        </w:rPr>
        <w:t>dct</w:t>
      </w:r>
      <w:r>
        <w:t xml:space="preserve"> must be a mapping whose keys are all strings. Each item’s key is a parameter name, and the item’s value is the argument’s value.</w:t>
      </w:r>
    </w:p>
    <w:p>
      <w:pPr>
        <w:pStyle w:val="Normal"/>
      </w:pPr>
      <w:r>
        <w:t xml:space="preserve">You may want to pass an argument of the form </w:t>
      </w:r>
      <w:r>
        <w:rPr>
          <w:rStyle w:val="Text0"/>
        </w:rPr>
        <w:t>*</w:t>
      </w:r>
      <w:r>
        <w:rPr>
          <w:rStyle w:val="Text3"/>
        </w:rPr>
        <w:t>seq</w:t>
      </w:r>
      <w:r>
        <w:t xml:space="preserve"> or </w:t>
      </w:r>
      <w:r>
        <w:rPr>
          <w:rStyle w:val="Text0"/>
        </w:rPr>
        <w:t>**</w:t>
      </w:r>
      <w:r>
        <w:rPr>
          <w:rStyle w:val="Text3"/>
        </w:rPr>
        <w:t>dct</w:t>
      </w:r>
      <w:r>
        <w:t xml:space="preserve"> when the parameters use similar forms, as discussed in </w:t>
      </w:r>
      <w:hyperlink w:anchor="Parameters__Parameters__pedantic">
        <w:r>
          <w:rPr>
            <w:rStyle w:val="Text1"/>
          </w:rPr>
          <w:t>“Parameters”</w:t>
        </w:r>
      </w:hyperlink>
      <w:r>
        <w:t xml:space="preserve">. For example, using the function </w:t>
      </w:r>
      <w:r>
        <w:rPr>
          <w:rStyle w:val="Text0"/>
        </w:rPr>
        <w:t>sum_sequence</w:t>
      </w:r>
      <w:r>
        <w:t xml:space="preserve"> defined in that section (and shown again here), you may want to print the sum of all the values in the dictionary </w:t>
      </w:r>
      <w:r>
        <w:rPr>
          <w:rStyle w:val="Text3"/>
        </w:rPr>
        <w:t>d</w:t>
      </w:r>
      <w:r>
        <w:t xml:space="preserve">. This is easy with </w:t>
      </w:r>
      <w:r>
        <w:rPr>
          <w:rStyle w:val="Text0"/>
        </w:rPr>
        <w:t>*</w:t>
      </w:r>
      <w:r>
        <w:rPr>
          <w:rStyle w:val="Text3"/>
        </w:rPr>
        <w:t>seq</w:t>
      </w:r>
      <w:r>
        <w: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sum_sequence</w:t>
        <w:br w:clear="none"/>
      </w:r>
      <w:r>
        <w:rPr>
          <w:rStyle w:val="Text7"/>
        </w:rPr>
        <w:t xml:space="preserve">(</w:t>
        <w:br w:clear="none"/>
      </w:r>
      <w:r>
        <w:rPr>
          <w:rStyle w:val="Text13"/>
        </w:rPr>
        <w:t xml:space="preserve">*</w:t>
        <w:br w:clear="none"/>
      </w:r>
      <w:r>
        <w:t xml:space="preserve">numbers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sum</w:t>
        <w:br w:clear="none"/>
      </w:r>
      <w:r>
        <w:rPr>
          <w:rStyle w:val="Text7"/>
        </w:rPr>
        <w:t xml:space="preserve">(</w:t>
        <w:br w:clear="none"/>
      </w:r>
      <w:r>
        <w:t xml:space="preserve">numbers</w:t>
        <w:br w:clear="none"/>
      </w:r>
      <w:r>
        <w:rPr>
          <w:rStyle w:val="Text7"/>
        </w:rPr>
        <w:t xml:space="preserve">)</w:t>
        <w:br w:clear="none"/>
      </w:r>
      <w:r>
        <w:rPr>
          <w:rStyle w:val="Text6"/>
        </w:rPr>
        <w:t xml:space="preserve"/>
        <w:br w:clear="none"/>
        <w:t xml:space="preserve"/>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r>
      <w:r>
        <w:rPr>
          <w:rStyle w:val="Text6"/>
        </w:rPr>
        <w:t xml:space="preserve"> </w:t>
        <w:br w:clear="none"/>
      </w:r>
      <w:r>
        <w:rPr>
          <w:rStyle w:val="Text8"/>
        </w:rPr>
        <w:t xml:space="preserve">'</w:t>
        <w:br w:clear="none"/>
        <w:t xml:space="preserve">b</w:t>
        <w:br w:clear="none"/>
        <w:t xml:space="preserve">'</w:t>
        <w:br w:clear="none"/>
      </w:r>
      <w:r>
        <w:rPr>
          <w:rStyle w:val="Text7"/>
        </w:rPr>
        <w:t xml:space="preserve">:</w:t>
        <w:br w:clear="none"/>
      </w:r>
      <w:r>
        <w:rPr>
          <w:rStyle w:val="Text6"/>
        </w:rPr>
        <w:t xml:space="preserve"> </w:t>
        <w:br w:clear="none"/>
      </w:r>
      <w:r>
        <w:rPr>
          <w:rStyle w:val="Text27"/>
        </w:rPr>
        <w:t xml:space="preserve">100</w:t>
        <w:br w:clear="none"/>
      </w:r>
      <w:r>
        <w:rPr>
          <w:rStyle w:val="Text7"/>
        </w:rPr>
        <w:t xml:space="preserve">,</w:t>
        <w:br w:clear="none"/>
      </w:r>
      <w:r>
        <w:rPr>
          <w:rStyle w:val="Text6"/>
        </w:rPr>
        <w:t xml:space="preserve"> </w:t>
        <w:br w:clear="none"/>
      </w:r>
      <w:r>
        <w:rPr>
          <w:rStyle w:val="Text8"/>
        </w:rPr>
        <w:t xml:space="preserve">'</w:t>
        <w:br w:clear="none"/>
        <w:t xml:space="preserve">c</w:t>
        <w:br w:clear="none"/>
        <w:t xml:space="preserve">'</w:t>
        <w:br w:clear="none"/>
      </w:r>
      <w:r>
        <w:rPr>
          <w:rStyle w:val="Text7"/>
        </w:rPr>
        <w:t xml:space="preserve">:</w:t>
        <w:br w:clear="none"/>
      </w:r>
      <w:r>
        <w:rPr>
          <w:rStyle w:val="Text6"/>
        </w:rPr>
        <w:t xml:space="preserve"> </w:t>
        <w:br w:clear="none"/>
      </w:r>
      <w:r>
        <w:rPr>
          <w:rStyle w:val="Text27"/>
        </w:rPr>
        <w:t xml:space="preserve">1000</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sum_sequence</w:t>
        <w:br w:clear="none"/>
      </w:r>
      <w:r>
        <w:rPr>
          <w:rStyle w:val="Text7"/>
        </w:rPr>
        <w:t xml:space="preserve">(</w:t>
        <w:br w:clear="none"/>
      </w:r>
      <w:r>
        <w:rPr>
          <w:rStyle w:val="Text13"/>
        </w:rPr>
        <w:t xml:space="preserve">*</w:t>
        <w:br w:clear="none"/>
      </w:r>
      <w:r>
        <w:t xml:space="preserve">d</w:t>
        <w:br w:clear="none"/>
      </w:r>
      <w:r>
        <w:rPr>
          <w:rStyle w:val="Text13"/>
        </w:rPr>
        <w:t xml:space="preserve">.</w:t>
        <w:br w:clear="none"/>
      </w:r>
      <w:r>
        <w:t xml:space="preserve">values</w:t>
        <w:br w:clear="none"/>
      </w:r>
      <w:r>
        <w:rPr>
          <w:rStyle w:val="Text7"/>
        </w:rPr>
        <w:t xml:space="preserve">(</w:t>
        <w:br w:clear="none"/>
        <w:t xml:space="preserve">)</w:t>
        <w:br w:clear="none"/>
        <w:t xml:space="preserve">)</w:t>
        <w:br w:clear="none"/>
        <w:t xml:space="preserve">)</w:t>
        <w:br w:clear="none"/>
      </w:r>
    </w:p>
    <w:p>
      <w:pPr>
        <w:pStyle w:val="Normal"/>
      </w:pPr>
      <w:r>
        <w:t xml:space="preserve">(Of course, </w:t>
      </w:r>
      <w:r>
        <w:rPr>
          <w:rStyle w:val="Text0"/>
        </w:rPr>
        <w:t>print(sum(d.values())</w:t>
      </w:r>
      <w:r>
        <w:t>) would be simpler and more direct.)</w:t>
      </w:r>
    </w:p>
    <w:p>
      <w:pPr>
        <w:pStyle w:val="Normal"/>
      </w:pPr>
      <w:r>
        <w:t xml:space="preserve">A function call may have zero or more occurrences of </w:t>
      </w:r>
      <w:r>
        <w:rPr>
          <w:rStyle w:val="Text0"/>
        </w:rPr>
        <w:t>*</w:t>
      </w:r>
      <w:r>
        <w:rPr>
          <w:rStyle w:val="Text3"/>
        </w:rPr>
        <w:t>seq</w:t>
      </w:r>
      <w:r>
        <w:t xml:space="preserve"> and/or </w:t>
      </w:r>
      <w:r>
        <w:rPr>
          <w:rStyle w:val="Text0"/>
        </w:rPr>
        <w:t>**</w:t>
      </w:r>
      <w:r>
        <w:rPr>
          <w:rStyle w:val="Text3"/>
        </w:rPr>
        <w:t>dct</w:t>
      </w:r>
      <w:r>
        <w:t xml:space="preserve">, as specified in </w:t>
      </w:r>
      <w:hyperlink r:id="rId221">
        <w:r>
          <w:rPr>
            <w:rStyle w:val="Text1"/>
          </w:rPr>
          <w:t>PEP 448</w:t>
        </w:r>
      </w:hyperlink>
      <w:r>
        <w:t xml:space="preserve">. You may even pass </w:t>
      </w:r>
      <w:r>
        <w:rPr>
          <w:rStyle w:val="Text0"/>
        </w:rPr>
        <w:t>*</w:t>
      </w:r>
      <w:r>
        <w:rPr>
          <w:rStyle w:val="Text3"/>
        </w:rPr>
        <w:t>seq</w:t>
      </w:r>
      <w:r>
        <w:t xml:space="preserve"> or </w:t>
      </w:r>
      <w:r>
        <w:rPr>
          <w:rStyle w:val="Text0"/>
        </w:rPr>
        <w:t>**</w:t>
      </w:r>
      <w:r>
        <w:rPr>
          <w:rStyle w:val="Text3"/>
        </w:rPr>
        <w:t>dct</w:t>
      </w:r>
      <w:r>
        <w:t xml:space="preserve"> when calling a function that does not use the corresponding form in its signature. In that case, you must ensure that the iterable </w:t>
      </w:r>
      <w:r>
        <w:rPr>
          <w:rStyle w:val="Text3"/>
        </w:rPr>
        <w:t>seq</w:t>
      </w:r>
      <w:r>
        <w:t xml:space="preserve"> has the right number of items, or that the dictionary </w:t>
      </w:r>
      <w:r>
        <w:rPr>
          <w:rStyle w:val="Text3"/>
        </w:rPr>
        <w:t>dct</w:t>
      </w:r>
      <w:r>
        <w:t xml:space="preserve"> uses the right identifier strings as keys; otherwise, the call raises an exception. As noted in the following section, a positional argument </w:t>
      </w:r>
      <w:r>
        <w:rPr>
          <w:rStyle w:val="Text4"/>
        </w:rPr>
        <w:t>cannot</w:t>
      </w:r>
      <w:r>
        <w:t xml:space="preserve"> match a “keyword-only” parameter; only a named argument, explicit or passed</w:t>
      </w:r>
      <w:r>
        <w:rPr>
          <w:rStyle w:val="Text111"/>
        </w:rPr>
        <w:bookmarkStart w:id="1155" w:name="idm45965270468768"/>
        <w:t/>
        <w:bookmarkEnd w:id="1155"/>
        <w:bookmarkStart w:id="1156" w:name="idm45965270467424"/>
        <w:t/>
        <w:bookmarkEnd w:id="1156"/>
      </w:r>
      <w:r>
        <w:t xml:space="preserve"> via </w:t>
      </w:r>
      <w:r>
        <w:rPr>
          <w:rStyle w:val="Text0"/>
        </w:rPr>
        <w:t>**</w:t>
      </w:r>
      <w:r>
        <w:rPr>
          <w:rStyle w:val="Text3"/>
        </w:rPr>
        <w:t>kwargs</w:t>
      </w:r>
      <w:r>
        <w:t>, can do that.</w:t>
      </w:r>
      <w:r>
        <w:rPr>
          <w:rStyle w:val="Text111"/>
        </w:rPr>
        <w:bookmarkStart w:id="1157" w:name="idm45965270464512"/>
        <w:t/>
        <w:bookmarkEnd w:id="1157"/>
      </w:r>
    </w:p>
    <w:p>
      <w:bookmarkStart w:id="1158" w:name="_Keyword_only__parameters__Param"/>
      <w:pPr>
        <w:keepNext/>
        <w:pStyle w:val="Heading 2"/>
      </w:pPr>
      <w:r>
        <w:t>“Keyword-only” parameters</w:t>
      </w:r>
      <w:bookmarkEnd w:id="1158"/>
    </w:p>
    <w:p>
      <w:pPr>
        <w:pStyle w:val="Normal"/>
      </w:pPr>
      <w:r>
        <w:t>Parameters</w:t>
      </w:r>
      <w:r>
        <w:rPr>
          <w:rStyle w:val="Text111"/>
        </w:rPr>
        <w:bookmarkStart w:id="1159" w:name="idm45965270461920"/>
        <w:t/>
        <w:bookmarkEnd w:id="1159"/>
        <w:bookmarkStart w:id="1160" w:name="parameter03"/>
        <w:t/>
        <w:bookmarkEnd w:id="1160"/>
        <w:bookmarkStart w:id="1161" w:name="idm45965270459408"/>
        <w:t/>
        <w:bookmarkEnd w:id="1161"/>
      </w:r>
      <w:r>
        <w:t xml:space="preserve"> after a positional argument collector (</w:t>
      </w:r>
      <w:r>
        <w:rPr>
          <w:rStyle w:val="Text0"/>
        </w:rPr>
        <w:t>*</w:t>
      </w:r>
      <w:r>
        <w:rPr>
          <w:rStyle w:val="Text3"/>
        </w:rPr>
        <w:t>name</w:t>
      </w:r>
      <w:r>
        <w:t xml:space="preserve"> or </w:t>
      </w:r>
      <w:r>
        <w:rPr>
          <w:rStyle w:val="Text34"/>
        </w:rPr>
        <w:t>3.8+</w:t>
      </w:r>
      <w:r>
        <w:t xml:space="preserve"> </w:t>
      </w:r>
      <w:r>
        <w:rPr>
          <w:rStyle w:val="Text0"/>
        </w:rPr>
        <w:t>*</w:t>
      </w:r>
      <w:r>
        <w:t xml:space="preserve">) in the function’s signature are known as </w:t>
      </w:r>
      <w:r>
        <w:rPr>
          <w:rStyle w:val="Text4"/>
        </w:rPr>
        <w:t>keyword-only parameters</w:t>
      </w:r>
      <w:r>
        <w:t xml:space="preserve">: the corresponding arguments, if any, </w:t>
      </w:r>
      <w:r>
        <w:rPr>
          <w:rStyle w:val="Text4"/>
        </w:rPr>
        <w:t>must</w:t>
      </w:r>
      <w:r>
        <w:t xml:space="preserve"> be named arguments. In the absence of any match by name, such a parameter is bound to its default value, as set at function definition time.</w:t>
      </w:r>
    </w:p>
    <w:p>
      <w:pPr>
        <w:pStyle w:val="Normal"/>
      </w:pPr>
      <w:r>
        <w:t xml:space="preserve">Keyword-only parameters can be either positional or named. However, you </w:t>
      </w:r>
      <w:r>
        <w:rPr>
          <w:rStyle w:val="Text4"/>
        </w:rPr>
        <w:t>must</w:t>
      </w:r>
      <w:r>
        <w:t xml:space="preserve"> pass them as named arguments, not as positional ones. It’s more usual and readable to have simple identifiers, if any, at the start of the keyword-only parameter specifications, and </w:t>
      </w:r>
      <w:r>
        <w:rPr>
          <w:rStyle w:val="Text3"/>
        </w:rPr>
        <w:t>identifier</w:t>
      </w:r>
      <w:r>
        <w:rPr>
          <w:rStyle w:val="Text0"/>
        </w:rPr>
        <w:t>=</w:t>
      </w:r>
      <w:r>
        <w:rPr>
          <w:rStyle w:val="Text3"/>
        </w:rPr>
        <w:t>default</w:t>
      </w:r>
      <w:r>
        <w:t xml:space="preserve"> forms, if any, following them, though this is not a requirement of the Python language.</w:t>
      </w:r>
    </w:p>
    <w:p>
      <w:pPr>
        <w:pStyle w:val="Normal"/>
      </w:pPr>
      <w:r>
        <w:t xml:space="preserve">Functions requiring keyword-only parameter specifications </w:t>
      </w:r>
      <w:r>
        <w:rPr>
          <w:rStyle w:val="Text4"/>
        </w:rPr>
        <w:t>without</w:t>
      </w:r>
      <w:r>
        <w:t xml:space="preserve"> collecting “surplus” positional arguments indicate the start of the keyword-only parameter specifications with a dummy parameter consisting solely of an asterisk (</w:t>
      </w:r>
      <w:r>
        <w:rPr>
          <w:rStyle w:val="Text0"/>
        </w:rPr>
        <w:t>*</w:t>
      </w:r>
      <w:r>
        <w:t>), to which no argument corresponds.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28"/>
        </w:rPr>
        <w:t xml:space="preserve">*</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c</w:t>
        <w:br w:clear="none"/>
      </w:r>
      <w:r>
        <w:rPr>
          <w:rStyle w:val="Text28"/>
        </w:rPr>
        <w:t xml:space="preserve">=</w:t>
        <w:br w:clear="none"/>
      </w:r>
      <w:r>
        <w:rPr>
          <w:rStyle w:val="Text35"/>
        </w:rPr>
        <w:t xml:space="preserve">56</w:t>
        <w:br w:clear="none"/>
      </w:r>
      <w:r>
        <w:rPr>
          <w:rStyle w:val="Text19"/>
        </w:rPr>
        <w:t xml:space="preserve">)</w:t>
        <w:br w:clear="none"/>
        <w:t xml:space="preserve">:</w:t>
        <w:br w:clear="none"/>
      </w:r>
      <w:r>
        <w:rPr>
          <w:rStyle w:val="Text11"/>
        </w:rPr>
        <w:t xml:space="preserve">  </w:t>
        <w:br w:clear="none"/>
      </w:r>
      <w:r>
        <w:t xml:space="preserve"># b and c are keyword only</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c</w:t>
        <w:br w:clear="none"/>
      </w:r>
      <w:r>
        <w:rPr>
          <w:rStyle w:val="Text11"/>
        </w:rPr>
        <w:t xml:space="preserve"/>
        <w:br w:clear="none"/>
      </w:r>
      <w:r>
        <w:rPr>
          <w:rStyle w:val="Text14"/>
        </w:rPr>
        <w:t xml:space="preserve">f</w:t>
        <w:br w:clear="none"/>
      </w:r>
      <w:r>
        <w:rPr>
          <w:rStyle w:val="Text19"/>
        </w:rPr>
        <w:t xml:space="preserve">(</w:t>
        <w:br w:clear="none"/>
      </w:r>
      <w:r>
        <w:rPr>
          <w:rStyle w:val="Text35"/>
        </w:rPr>
        <w:t xml:space="preserve">12</w:t>
        <w:br w:clear="none"/>
      </w:r>
      <w:r>
        <w:rPr>
          <w:rStyle w:val="Text19"/>
        </w:rPr>
        <w:t xml:space="preserve">,</w:t>
        <w:br w:clear="none"/>
      </w:r>
      <w:r>
        <w:rPr>
          <w:rStyle w:val="Text11"/>
        </w:rPr>
        <w:t xml:space="preserve"> </w:t>
        <w:br w:clear="none"/>
      </w:r>
      <w:r>
        <w:rPr>
          <w:rStyle w:val="Text14"/>
        </w:rPr>
        <w:t xml:space="preserve">b</w:t>
        <w:br w:clear="none"/>
      </w:r>
      <w:r>
        <w:rPr>
          <w:rStyle w:val="Text28"/>
        </w:rPr>
        <w:t xml:space="preserve">=</w:t>
        <w:br w:clear="none"/>
      </w:r>
      <w:r>
        <w:rPr>
          <w:rStyle w:val="Text35"/>
        </w:rPr>
        <w:t xml:space="preserve">34</w:t>
        <w:br w:clear="none"/>
      </w:r>
      <w:r>
        <w:rPr>
          <w:rStyle w:val="Text19"/>
        </w:rPr>
        <w:t xml:space="preserve">)</w:t>
        <w:br w:clear="none"/>
      </w:r>
      <w:r>
        <w:rPr>
          <w:rStyle w:val="Text11"/>
        </w:rPr>
        <w:t xml:space="preserve">  </w:t>
        <w:br w:clear="none"/>
      </w:r>
      <w:r>
        <w:t xml:space="preserve"># Returns (12, 34, 56) c is optional, it has a default</w:t>
        <w:br w:clear="none"/>
      </w:r>
      <w:r>
        <w:rPr>
          <w:rStyle w:val="Text11"/>
        </w:rPr>
        <w:t xml:space="preserve"/>
        <w:br w:clear="none"/>
      </w:r>
      <w:r>
        <w:rPr>
          <w:rStyle w:val="Text14"/>
        </w:rPr>
        <w:t xml:space="preserve">f</w:t>
        <w:br w:clear="none"/>
      </w:r>
      <w:r>
        <w:rPr>
          <w:rStyle w:val="Text19"/>
        </w:rPr>
        <w:t xml:space="preserve">(</w:t>
        <w:br w:clear="none"/>
      </w:r>
      <w:r>
        <w:rPr>
          <w:rStyle w:val="Text35"/>
        </w:rPr>
        <w:t xml:space="preserve">12</w:t>
        <w:br w:clear="none"/>
      </w:r>
      <w:r>
        <w:rPr>
          <w:rStyle w:val="Text19"/>
        </w:rPr>
        <w:t xml:space="preserve">)</w:t>
        <w:br w:clear="none"/>
      </w:r>
      <w:r>
        <w:rPr>
          <w:rStyle w:val="Text11"/>
        </w:rPr>
        <w:t xml:space="preserve">        </w:t>
        <w:br w:clear="none"/>
      </w:r>
      <w:r>
        <w:t xml:space="preserve"># Raises a TypeError exception, since you didn't pass b</w:t>
        <w:br w:clear="none"/>
      </w:r>
      <w:r>
        <w:rPr>
          <w:rStyle w:val="Text11"/>
        </w:rPr>
        <w:t xml:space="preserve"/>
        <w:br w:clear="none"/>
      </w:r>
      <w:r>
        <w:t xml:space="preserve"># Error message is: missing 1 required keyword-only argument: 'b'</w:t>
        <w:br w:clear="none"/>
      </w:r>
    </w:p>
    <w:p>
      <w:pPr>
        <w:pStyle w:val="Normal"/>
      </w:pPr>
      <w:r>
        <w:rPr>
          <w:rStyle w:val="Text111"/>
        </w:rPr>
        <w:bookmarkStart w:id="1162" w:name="idm45965270442928"/>
        <w:t/>
        <w:bookmarkEnd w:id="1162"/>
        <w:bookmarkStart w:id="1163" w:name="idm45965270441712"/>
        <w:t/>
        <w:bookmarkEnd w:id="1163"/>
      </w:r>
      <w:r>
        <w:t xml:space="preserve">If you also specify the special form </w:t>
      </w:r>
      <w:r>
        <w:rPr>
          <w:rStyle w:val="Text0"/>
        </w:rPr>
        <w:t>**</w:t>
      </w:r>
      <w:r>
        <w:rPr>
          <w:rStyle w:val="Text3"/>
        </w:rPr>
        <w:t>kwds</w:t>
      </w:r>
      <w:r>
        <w:t>, it must come at the end of the parameter list (after the keyword-only parameter specifications, if any).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g</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28"/>
        </w:rPr>
        <w:t xml:space="preserve">=</w:t>
        <w:br w:clear="none"/>
      </w:r>
      <w:r>
        <w:rPr>
          <w:rStyle w:val="Text35"/>
        </w:rPr>
        <w:t xml:space="preserve">23</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k</w:t>
        <w:br w:clear="none"/>
      </w:r>
      <w:r>
        <w:rPr>
          <w:rStyle w:val="Text19"/>
        </w:rPr>
        <w:t xml:space="preserve">)</w:t>
        <w:br w:clear="none"/>
        <w:t xml:space="preserve">:</w:t>
        <w:br w:clear="none"/>
      </w:r>
      <w:r>
        <w:rPr>
          <w:rStyle w:val="Text11"/>
        </w:rPr>
        <w:t xml:space="preserve">  </w:t>
        <w:br w:clear="none"/>
      </w:r>
      <w:r>
        <w:t xml:space="preserve"># b is keyword only</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k</w:t>
        <w:br w:clear="none"/>
      </w:r>
      <w:r>
        <w:rPr>
          <w:rStyle w:val="Text11"/>
        </w:rPr>
        <w:t xml:space="preserve"/>
        <w:br w:clear="none"/>
      </w:r>
      <w:r>
        <w:rPr>
          <w:rStyle w:val="Text14"/>
        </w:rPr>
        <w:t xml:space="preserve">g</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t>
        <w:br w:clear="none"/>
      </w:r>
      <w:r>
        <w:rPr>
          <w:rStyle w:val="Text14"/>
        </w:rPr>
        <w:t xml:space="preserve">c</w:t>
        <w:br w:clear="none"/>
      </w:r>
      <w:r>
        <w:rPr>
          <w:rStyle w:val="Text28"/>
        </w:rPr>
        <w:t xml:space="preserve">=</w:t>
        <w:br w:clear="none"/>
      </w:r>
      <w:r>
        <w:rPr>
          <w:rStyle w:val="Text35"/>
        </w:rPr>
        <w:t xml:space="preserve">99</w:t>
        <w:br w:clear="none"/>
      </w:r>
      <w:r>
        <w:rPr>
          <w:rStyle w:val="Text19"/>
        </w:rPr>
        <w:t xml:space="preserve">)</w:t>
        <w:br w:clear="none"/>
      </w:r>
      <w:r>
        <w:rPr>
          <w:rStyle w:val="Text11"/>
        </w:rPr>
        <w:t xml:space="preserve">          </w:t>
        <w:br w:clear="none"/>
      </w:r>
      <w:r>
        <w:t xml:space="preserve"># Returns (1, (2, 3), 23, {'c': 99})</w:t>
        <w:br w:clear="none"/>
      </w:r>
    </w:p>
    <w:p>
      <w:bookmarkStart w:id="1164" w:name="Matching_arguments_to_parameters"/>
      <w:pPr>
        <w:keepNext/>
        <w:pStyle w:val="Heading 2"/>
      </w:pPr>
      <w:r>
        <w:t>Matching arguments to parameters</w:t>
      </w:r>
      <w:bookmarkEnd w:id="1164"/>
    </w:p>
    <w:p>
      <w:pPr>
        <w:pStyle w:val="Normal"/>
      </w:pPr>
      <w:r>
        <w:t xml:space="preserve">A call </w:t>
      </w:r>
      <w:r>
        <w:rPr>
          <w:rStyle w:val="Text4"/>
        </w:rPr>
        <w:t>must</w:t>
      </w:r>
      <w:r>
        <w:t xml:space="preserve"> provide an argument for all positional parameters, and </w:t>
      </w:r>
      <w:r>
        <w:rPr>
          <w:rStyle w:val="Text4"/>
        </w:rPr>
        <w:t>may</w:t>
      </w:r>
      <w:r>
        <w:t xml:space="preserve"> do so for named parameters that are not keyword only.</w:t>
      </w:r>
    </w:p>
    <w:p>
      <w:pPr>
        <w:pStyle w:val="Normal"/>
      </w:pPr>
      <w:r>
        <w:t>The matching proceeds as follows:</w:t>
      </w:r>
    </w:p>
    <w:p>
      <w:pPr>
        <w:pStyle w:val="Para 010"/>
      </w:pPr>
      <w:r>
        <w:t xml:space="preserve">Arguments of the form </w:t>
      </w:r>
      <w:r>
        <w:rPr>
          <w:rStyle w:val="Text0"/>
        </w:rPr>
        <w:t>*</w:t>
      </w:r>
      <w:r>
        <w:rPr>
          <w:rStyle w:val="Text3"/>
        </w:rPr>
        <w:t>expression</w:t>
      </w:r>
      <w:r>
        <w:t xml:space="preserve"> are internally replaced by a sequence of positional arguments obtained by iterating over </w:t>
      </w:r>
      <w:r>
        <w:rPr>
          <w:rStyle w:val="Text3"/>
        </w:rPr>
        <w:t>expression</w:t>
      </w:r>
      <w:r>
        <w:t>.</w:t>
      </w:r>
    </w:p>
    <w:p>
      <w:pPr>
        <w:pStyle w:val="Para 010"/>
      </w:pPr>
      <w:r>
        <w:t xml:space="preserve">Arguments of the form </w:t>
      </w:r>
      <w:r>
        <w:rPr>
          <w:rStyle w:val="Text0"/>
        </w:rPr>
        <w:t>**</w:t>
      </w:r>
      <w:r>
        <w:rPr>
          <w:rStyle w:val="Text3"/>
        </w:rPr>
        <w:t>expression</w:t>
      </w:r>
      <w:r>
        <w:t xml:space="preserve"> are internally replaced by a sequence of keyword arguments whose names and values are obtained by iterating over </w:t>
      </w:r>
      <w:r>
        <w:rPr>
          <w:rStyle w:val="Text3"/>
        </w:rPr>
        <w:t>expression</w:t>
      </w:r>
      <w:r>
        <w:t xml:space="preserve">’s </w:t>
      </w:r>
      <w:r>
        <w:rPr>
          <w:rStyle w:val="Text0"/>
        </w:rPr>
        <w:t>items()</w:t>
      </w:r>
      <w:r>
        <w:t>.</w:t>
      </w:r>
    </w:p>
    <w:p>
      <w:pPr>
        <w:pStyle w:val="Para 010"/>
      </w:pPr>
      <w:r>
        <w:t xml:space="preserve">Say that the function has </w:t>
      </w:r>
      <w:r>
        <w:rPr>
          <w:rStyle w:val="Text4"/>
        </w:rPr>
        <w:t>N</w:t>
      </w:r>
      <w:r>
        <w:t xml:space="preserve"> positional parameters and the call has </w:t>
      </w:r>
      <w:r>
        <w:rPr>
          <w:rStyle w:val="Text4"/>
        </w:rPr>
        <w:t>M</w:t>
      </w:r>
      <w:r>
        <w:t xml:space="preserve"> positional arguments:</w:t>
      </w:r>
    </w:p>
    <w:p>
      <w:pPr>
        <w:numPr>
          <w:ilvl w:val="0"/>
          <w:numId w:val="1"/>
        </w:numPr>
        <w:pStyle w:val="Para 010"/>
      </w:pPr>
      <w:r>
        <w:t xml:space="preserve">When </w:t>
      </w:r>
      <w:r>
        <w:rPr>
          <w:rStyle w:val="Text4"/>
        </w:rPr>
        <w:t>M</w:t>
      </w:r>
      <w:r>
        <w:t>≤</w:t>
      </w:r>
      <w:r>
        <w:rPr>
          <w:rStyle w:val="Text4"/>
        </w:rPr>
        <w:t>N</w:t>
      </w:r>
      <w:r>
        <w:t xml:space="preserve">, bind all the positional arguments to the first </w:t>
      </w:r>
      <w:r>
        <w:rPr>
          <w:rStyle w:val="Text4"/>
        </w:rPr>
        <w:t>M</w:t>
      </w:r>
      <w:r>
        <w:t xml:space="preserve"> positional parameter names; the remaining positional parameters, if any, </w:t>
      </w:r>
      <w:r>
        <w:rPr>
          <w:rStyle w:val="Text4"/>
        </w:rPr>
        <w:t>must</w:t>
      </w:r>
      <w:r>
        <w:t xml:space="preserve"> be matched by named arguments.</w:t>
      </w:r>
    </w:p>
    <w:p>
      <w:pPr>
        <w:numPr>
          <w:ilvl w:val="0"/>
          <w:numId w:val="1"/>
        </w:numPr>
        <w:pStyle w:val="Para 010"/>
      </w:pPr>
      <w:r>
        <w:t xml:space="preserve">When </w:t>
      </w:r>
      <w:r>
        <w:rPr>
          <w:rStyle w:val="Text4"/>
        </w:rPr>
        <w:t>M</w:t>
      </w:r>
      <w:r>
        <w:t>&gt;</w:t>
      </w:r>
      <w:r>
        <w:rPr>
          <w:rStyle w:val="Text4"/>
        </w:rPr>
        <w:t>N</w:t>
      </w:r>
      <w:r>
        <w:t>, bind the remaining</w:t>
      </w:r>
      <w:r>
        <w:rPr>
          <w:rStyle w:val="Text111"/>
        </w:rPr>
        <w:bookmarkStart w:id="1165" w:name="idm45965270288464"/>
        <w:t/>
        <w:bookmarkEnd w:id="1165"/>
      </w:r>
      <w:r>
        <w:t xml:space="preserve"> positional arguments to named parameters </w:t>
      </w:r>
      <w:r>
        <w:rPr>
          <w:rStyle w:val="Text4"/>
        </w:rPr>
        <w:t>in the order in which they appear in the signature</w:t>
      </w:r>
      <w:r>
        <w:t>. This process terminates in one of three ways:</w:t>
      </w:r>
    </w:p>
    <w:p>
      <w:pPr>
        <w:numPr>
          <w:ilvl w:val="1"/>
          <w:numId w:val="1"/>
        </w:numPr>
        <w:pStyle w:val="Para 010"/>
      </w:pPr>
      <w:r>
        <w:t>All positional arguments have been bound.</w:t>
      </w:r>
    </w:p>
    <w:p>
      <w:pPr>
        <w:numPr>
          <w:ilvl w:val="1"/>
          <w:numId w:val="1"/>
        </w:numPr>
        <w:pStyle w:val="Para 010"/>
      </w:pPr>
      <w:r>
        <w:t xml:space="preserve">The next item in the signature is a </w:t>
      </w:r>
      <w:r>
        <w:rPr>
          <w:rStyle w:val="Text0"/>
        </w:rPr>
        <w:t>*</w:t>
      </w:r>
      <w:r>
        <w:t xml:space="preserve"> argument collector: the interpreter raises a </w:t>
      </w:r>
      <w:r>
        <w:rPr>
          <w:rStyle w:val="Text0"/>
        </w:rPr>
        <w:t>TypeError</w:t>
      </w:r>
      <w:r>
        <w:t xml:space="preserve"> exception.</w:t>
      </w:r>
    </w:p>
    <w:p>
      <w:pPr>
        <w:numPr>
          <w:ilvl w:val="1"/>
          <w:numId w:val="1"/>
        </w:numPr>
        <w:pStyle w:val="Para 010"/>
      </w:pPr>
      <w:r>
        <w:t xml:space="preserve">The next item in the signature is a </w:t>
      </w:r>
      <w:r>
        <w:rPr>
          <w:rStyle w:val="Text0"/>
        </w:rPr>
        <w:t>*</w:t>
      </w:r>
      <w:r>
        <w:rPr>
          <w:rStyle w:val="Text3"/>
        </w:rPr>
        <w:t>name</w:t>
      </w:r>
      <w:r>
        <w:t xml:space="preserve"> argument collector: the remaining positional arguments are collected in a tuple that is then bound to </w:t>
      </w:r>
      <w:r>
        <w:rPr>
          <w:rStyle w:val="Text3"/>
        </w:rPr>
        <w:t>name</w:t>
      </w:r>
      <w:r>
        <w:t xml:space="preserve"> in the function call namespace.</w:t>
      </w:r>
    </w:p>
    <w:p>
      <w:pPr>
        <w:pStyle w:val="Para 010"/>
      </w:pPr>
      <w:r>
        <w:t xml:space="preserve">The named arguments are then matched, in the order of the arguments’ occurrences in the call, by name with the parameters—both positional and named. Attempts to rebind an already bound parameter name raise a </w:t>
      </w:r>
      <w:r>
        <w:rPr>
          <w:rStyle w:val="Text0"/>
        </w:rPr>
        <w:t>TypeError</w:t>
      </w:r>
      <w:r>
        <w:t xml:space="preserve"> </w:t>
        <w:t>exception</w:t>
        <w:t>.</w:t>
      </w:r>
    </w:p>
    <w:p>
      <w:pPr>
        <w:pStyle w:val="Para 010"/>
      </w:pPr>
      <w:r>
        <w:t>If unmatched named arguments remain at this stage:</w:t>
      </w:r>
    </w:p>
    <w:p>
      <w:pPr>
        <w:numPr>
          <w:ilvl w:val="0"/>
          <w:numId w:val="2"/>
        </w:numPr>
        <w:pStyle w:val="Para 010"/>
      </w:pPr>
      <w:r>
        <w:t xml:space="preserve">When the function signature includes a </w:t>
      </w:r>
      <w:r>
        <w:rPr>
          <w:rStyle w:val="Text0"/>
        </w:rPr>
        <w:t>**</w:t>
      </w:r>
      <w:r>
        <w:rPr>
          <w:rStyle w:val="Text3"/>
        </w:rPr>
        <w:t>name</w:t>
      </w:r>
      <w:r>
        <w:t xml:space="preserve"> collector, the interpreter creates a dictionary with key/value pairs </w:t>
      </w:r>
      <w:r>
        <w:rPr>
          <w:rStyle w:val="Text0"/>
        </w:rPr>
        <w:t>(</w:t>
      </w:r>
      <w:r>
        <w:rPr>
          <w:rStyle w:val="Text3"/>
        </w:rPr>
        <w:t>argument's_name, argument's_value</w:t>
      </w:r>
      <w:r>
        <w:rPr>
          <w:rStyle w:val="Text0"/>
        </w:rPr>
        <w:t>)</w:t>
      </w:r>
      <w:r>
        <w:t xml:space="preserve">, and binds it to </w:t>
      </w:r>
      <w:r>
        <w:rPr>
          <w:rStyle w:val="Text3"/>
        </w:rPr>
        <w:t>name</w:t>
      </w:r>
      <w:r>
        <w:t xml:space="preserve"> in the function call namespace.</w:t>
      </w:r>
    </w:p>
    <w:p>
      <w:pPr>
        <w:numPr>
          <w:ilvl w:val="0"/>
          <w:numId w:val="2"/>
        </w:numPr>
        <w:pStyle w:val="Para 010"/>
      </w:pPr>
      <w:r>
        <w:t xml:space="preserve">In the absence of such an argument collector, Python raises a </w:t>
      </w:r>
      <w:r>
        <w:rPr>
          <w:rStyle w:val="Text0"/>
        </w:rPr>
        <w:t>TypeError</w:t>
      </w:r>
      <w:r>
        <w:t xml:space="preserve"> exception.</w:t>
      </w:r>
    </w:p>
    <w:p>
      <w:pPr>
        <w:pStyle w:val="Para 010"/>
      </w:pPr>
      <w:r>
        <w:t xml:space="preserve">Any remaining unmatched named parameters are bound to their default </w:t>
        <w:t>values</w:t>
        <w:t>.</w:t>
      </w:r>
    </w:p>
    <w:p>
      <w:pPr>
        <w:pStyle w:val="Normal"/>
      </w:pPr>
      <w:r>
        <w:t>At this point, the function call namespace is fully populated, and the interpreter executes the function’s body using that “call namespace” as the local namespace for the function.</w:t>
      </w:r>
      <w:r>
        <w:rPr>
          <w:rStyle w:val="Text111"/>
        </w:rPr>
        <w:bookmarkStart w:id="1166" w:name="idm45965270267440"/>
        <w:t/>
        <w:bookmarkEnd w:id="1166"/>
      </w:r>
    </w:p>
    <w:p>
      <w:bookmarkStart w:id="1167" w:name="The_semantics_of_argument_passin"/>
      <w:pPr>
        <w:keepNext/>
        <w:pStyle w:val="Heading 2"/>
      </w:pPr>
      <w:r>
        <w:t>The semantics of argument passing</w:t>
      </w:r>
      <w:bookmarkEnd w:id="1167"/>
    </w:p>
    <w:p>
      <w:pPr>
        <w:pStyle w:val="Normal"/>
      </w:pPr>
      <w:r>
        <w:t xml:space="preserve">In traditional terms, all argument passing in Python is </w:t>
      </w:r>
      <w:r>
        <w:rPr>
          <w:rStyle w:val="Text4"/>
        </w:rPr>
        <w:t>by value</w:t>
      </w:r>
      <w:r>
        <w:t xml:space="preserve"> (although, in modern terminology, to say that argument passing is </w:t>
      </w:r>
      <w:r>
        <w:rPr>
          <w:rStyle w:val="Text4"/>
        </w:rPr>
        <w:t>by object reference</w:t>
      </w:r>
      <w:r>
        <w:t xml:space="preserve"> is more precise and accurate; check out the synonym </w:t>
      </w:r>
      <w:hyperlink r:id="rId222">
        <w:r>
          <w:rPr>
            <w:rStyle w:val="Text24"/>
          </w:rPr>
          <w:t>call by sharing</w:t>
        </w:r>
      </w:hyperlink>
      <w:r>
        <w:t xml:space="preserve">). When you pass a variable as an argument, Python passes to the function the object (value) to which the variable currently refers (not “the variable itself”!), binding this object to the parameter name in the function call namespace. Thus, a function </w:t>
      </w:r>
      <w:r>
        <w:rPr>
          <w:rStyle w:val="Text4"/>
        </w:rPr>
        <w:t>cannot</w:t>
      </w:r>
      <w:r>
        <w:t xml:space="preserve"> rebind the caller’s variables. Passing a mutable object as an argument, however, allows the function to make changes to that object, because Python passes a reference to the object itself, not a copy. Rebinding a variable and mutating an object are totally disjoint concepts. For example: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9"/>
        </w:rPr>
        <w:t xml:space="preserve">x</w:t>
        <w:br w:clear="none"/>
      </w:r>
      <w:r>
        <w:rPr>
          <w:rStyle w:val="Text7"/>
        </w:rPr>
        <w:t xml:space="preserve">,</w:t>
        <w:br w:clear="none"/>
      </w:r>
      <w:r>
        <w:t xml:space="preserve"> </w:t>
        <w:br w:clear="none"/>
      </w:r>
      <w:r>
        <w:rPr>
          <w:rStyle w:val="Text9"/>
        </w:rPr>
        <w:t xml:space="preserve">y</w:t>
        <w:br w:clear="none"/>
      </w:r>
      <w:r>
        <w:rPr>
          <w:rStyle w:val="Text7"/>
        </w:rPr>
        <w:t xml:space="preserve">)</w:t>
        <w:br w:clear="none"/>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t xml:space="preserve">    </w:t>
        <w:br w:clear="none"/>
      </w:r>
      <w:r>
        <w:rPr>
          <w:rStyle w:val="Text9"/>
        </w:rPr>
        <w:t xml:space="preserve">y</w:t>
        <w:br w:clear="none"/>
      </w:r>
      <w:r>
        <w:rPr>
          <w:rStyle w:val="Text13"/>
        </w:rPr>
        <w:t xml:space="preserve">.</w:t>
        <w:br w:clear="none"/>
      </w:r>
      <w:r>
        <w:rPr>
          <w:rStyle w:val="Text9"/>
        </w:rPr>
        <w:t xml:space="preserve">append</w:t>
        <w:br w:clear="none"/>
      </w:r>
      <w:r>
        <w:rPr>
          <w:rStyle w:val="Text7"/>
        </w:rPr>
        <w:t xml:space="preserve">(</w:t>
        <w:br w:clear="none"/>
      </w:r>
      <w:r>
        <w:rPr>
          <w:rStyle w:val="Text27"/>
        </w:rPr>
        <w:t xml:space="preserve">42</w:t>
        <w:br w:clear="none"/>
      </w:r>
      <w:r>
        <w:rPr>
          <w:rStyle w:val="Text7"/>
        </w:rPr>
        <w:t xml:space="preserve">)</w:t>
        <w:br w:clear="none"/>
      </w:r>
      <w:r>
        <w:t xml:space="preserve"/>
        <w:br w:clear="none"/>
      </w:r>
      <w:r>
        <w:rPr>
          <w:rStyle w:val="Text9"/>
        </w:rPr>
        <w:t xml:space="preserve">a</w:t>
        <w:br w:clear="none"/>
      </w:r>
      <w:r>
        <w:t xml:space="preserve"> </w:t>
        <w:br w:clear="none"/>
      </w:r>
      <w:r>
        <w:rPr>
          <w:rStyle w:val="Text13"/>
        </w:rPr>
        <w:t xml:space="preserve">=</w:t>
        <w:br w:clear="none"/>
      </w:r>
      <w:r>
        <w:t xml:space="preserve"> </w:t>
        <w:br w:clear="none"/>
      </w:r>
      <w:r>
        <w:rPr>
          <w:rStyle w:val="Text27"/>
        </w:rPr>
        <w:t xml:space="preserve">77</w:t>
        <w:br w:clear="none"/>
      </w:r>
      <w:r>
        <w:t xml:space="preserve"/>
        <w:br w:clear="none"/>
      </w:r>
      <w:r>
        <w:rPr>
          <w:rStyle w:val="Text9"/>
        </w:rPr>
        <w:t xml:space="preserve">b</w:t>
        <w:br w:clear="none"/>
      </w:r>
      <w:r>
        <w:t xml:space="preserve"> </w:t>
        <w:br w:clear="none"/>
      </w:r>
      <w:r>
        <w:rPr>
          <w:rStyle w:val="Text13"/>
        </w:rPr>
        <w:t xml:space="preserve">=</w:t>
        <w:br w:clear="none"/>
      </w:r>
      <w:r>
        <w:t xml:space="preserve"> </w:t>
        <w:br w:clear="none"/>
      </w:r>
      <w:r>
        <w:rPr>
          <w:rStyle w:val="Text7"/>
        </w:rPr>
        <w:t xml:space="preserve">[</w:t>
        <w:br w:clear="none"/>
      </w:r>
      <w:r>
        <w:rPr>
          <w:rStyle w:val="Text27"/>
        </w:rPr>
        <w:t xml:space="preserve">99</w:t>
        <w:br w:clear="none"/>
      </w:r>
      <w:r>
        <w:rPr>
          <w:rStyle w:val="Text7"/>
        </w:rPr>
        <w:t xml:space="preserve">]</w:t>
        <w:br w:clear="none"/>
      </w:r>
      <w:r>
        <w:t xml:space="preserve"/>
        <w:br w:clear="none"/>
      </w:r>
      <w:r>
        <w:rPr>
          <w:rStyle w:val="Text9"/>
        </w:rPr>
        <w:t xml:space="preserve">f</w:t>
        <w:br w:clear="none"/>
      </w:r>
      <w:r>
        <w:rPr>
          <w:rStyle w:val="Text7"/>
        </w:rPr>
        <w:t xml:space="preserve">(</w:t>
        <w:br w:clear="none"/>
      </w:r>
      <w:r>
        <w:rPr>
          <w:rStyle w:val="Text9"/>
        </w:rPr>
        <w:t xml:space="preserve">a</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t xml:space="preserve"/>
        <w:br w:clear="none"/>
      </w:r>
      <w:r>
        <w:rPr>
          <w:rStyle w:val="Text16"/>
        </w:rPr>
        <w:t xml:space="preserve">print</w:t>
        <w:br w:clear="none"/>
      </w:r>
      <w:r>
        <w:rPr>
          <w:rStyle w:val="Text7"/>
        </w:rPr>
        <w:t xml:space="preserve">(</w:t>
        <w:br w:clear="none"/>
      </w:r>
      <w:r>
        <w:rPr>
          <w:rStyle w:val="Text9"/>
        </w:rPr>
        <w:t xml:space="preserve">a</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t xml:space="preserve">             </w:t>
        <w:br w:clear="none"/>
      </w:r>
      <w:r>
        <w:rPr>
          <w:rStyle w:val="Text15"/>
        </w:rPr>
        <w:t xml:space="preserve"># prints: 77</w:t>
        <w:br w:clear="none"/>
      </w:r>
      <w:r>
        <w:rPr>
          <w:rStyle w:val="Text26"/>
        </w:rPr>
        <w:t xml:space="preserve"> </w:t>
        <w:br w:clear="none"/>
      </w:r>
      <w:r>
        <w:rPr>
          <w:rStyle w:val="Text15"/>
        </w:rPr>
        <w:t xml:space="preserve">[99, 42]</w:t>
        <w:br w:clear="none"/>
      </w:r>
    </w:p>
    <w:p>
      <w:pPr>
        <w:pStyle w:val="Normal"/>
      </w:pPr>
      <w:r>
        <w:rPr>
          <w:rStyle w:val="Text0"/>
        </w:rPr>
        <w:t>print</w:t>
      </w:r>
      <w:r>
        <w:t xml:space="preserve"> shows that </w:t>
      </w:r>
      <w:r>
        <w:rPr>
          <w:rStyle w:val="Text0"/>
        </w:rPr>
        <w:t>a</w:t>
      </w:r>
      <w:r>
        <w:t xml:space="preserve"> is still bound to </w:t>
      </w:r>
      <w:r>
        <w:rPr>
          <w:rStyle w:val="Text0"/>
        </w:rPr>
        <w:t>77</w:t>
      </w:r>
      <w:r>
        <w:t xml:space="preserve">. Function </w:t>
      </w:r>
      <w:r>
        <w:rPr>
          <w:rStyle w:val="Text0"/>
        </w:rPr>
        <w:t>f</w:t>
      </w:r>
      <w:r>
        <w:t xml:space="preserve">’s rebinding of its parameter </w:t>
      </w:r>
      <w:r>
        <w:rPr>
          <w:rStyle w:val="Text0"/>
        </w:rPr>
        <w:t>x</w:t>
      </w:r>
      <w:r>
        <w:t xml:space="preserve"> to </w:t>
      </w:r>
      <w:r>
        <w:rPr>
          <w:rStyle w:val="Text0"/>
        </w:rPr>
        <w:t>23</w:t>
      </w:r>
      <w:r>
        <w:t xml:space="preserve"> has no effect on </w:t>
      </w:r>
      <w:r>
        <w:rPr>
          <w:rStyle w:val="Text0"/>
        </w:rPr>
        <w:t>f</w:t>
      </w:r>
      <w:r>
        <w:t xml:space="preserve">’s caller, nor, in particular, on the binding of the caller’s variable that happened to be used to pass </w:t>
      </w:r>
      <w:r>
        <w:rPr>
          <w:rStyle w:val="Text0"/>
        </w:rPr>
        <w:t>77</w:t>
      </w:r>
      <w:r>
        <w:t xml:space="preserve"> as the parameter’s value. However, </w:t>
      </w:r>
      <w:r>
        <w:rPr>
          <w:rStyle w:val="Text0"/>
        </w:rPr>
        <w:t>print</w:t>
      </w:r>
      <w:r>
        <w:t xml:space="preserve"> also shows that </w:t>
      </w:r>
      <w:r>
        <w:rPr>
          <w:rStyle w:val="Text0"/>
        </w:rPr>
        <w:t>b</w:t>
      </w:r>
      <w:r>
        <w:t xml:space="preserve"> is now bound to </w:t>
      </w:r>
      <w:r>
        <w:rPr>
          <w:rStyle w:val="Text0"/>
        </w:rPr>
        <w:t>[99, 42]</w:t>
      </w:r>
      <w:r>
        <w:t xml:space="preserve">. </w:t>
      </w:r>
      <w:r>
        <w:rPr>
          <w:rStyle w:val="Text0"/>
        </w:rPr>
        <w:t>b</w:t>
      </w:r>
      <w:r>
        <w:t xml:space="preserve"> is still bound to the same list object as before the call, but </w:t>
      </w:r>
      <w:r>
        <w:rPr>
          <w:rStyle w:val="Text0"/>
        </w:rPr>
        <w:t>f</w:t>
      </w:r>
      <w:r>
        <w:t xml:space="preserve"> has appended </w:t>
      </w:r>
      <w:r>
        <w:rPr>
          <w:rStyle w:val="Text0"/>
        </w:rPr>
        <w:t>42</w:t>
      </w:r>
      <w:r>
        <w:t xml:space="preserve"> to that list object, mutating it. In neither case has </w:t>
      </w:r>
      <w:r>
        <w:rPr>
          <w:rStyle w:val="Text0"/>
        </w:rPr>
        <w:t>f</w:t>
      </w:r>
      <w:r>
        <w:t xml:space="preserve"> altered the caller’s bindings, nor can </w:t>
      </w:r>
      <w:r>
        <w:rPr>
          <w:rStyle w:val="Text0"/>
        </w:rPr>
        <w:t>f</w:t>
      </w:r>
      <w:r>
        <w:t xml:space="preserve"> alter the number </w:t>
      </w:r>
      <w:r>
        <w:rPr>
          <w:rStyle w:val="Text0"/>
        </w:rPr>
        <w:t>77</w:t>
      </w:r>
      <w:r>
        <w:t xml:space="preserve">, since numbers are immutable. </w:t>
      </w:r>
      <w:r>
        <w:rPr>
          <w:rStyle w:val="Text0"/>
        </w:rPr>
        <w:t>f</w:t>
      </w:r>
      <w:r>
        <w:t xml:space="preserve"> can alter a list object, though, since list objects are mutable.</w:t>
      </w:r>
      <w:r>
        <w:rPr>
          <w:rStyle w:val="Text111"/>
        </w:rPr>
        <w:bookmarkStart w:id="1168" w:name="idm45965270172640"/>
        <w:t/>
        <w:bookmarkEnd w:id="1168"/>
      </w:r>
    </w:p>
    <w:p>
      <w:bookmarkStart w:id="1169" w:name="Namespaces__A_function_s_paramet"/>
      <w:pPr>
        <w:keepNext/>
        <w:pStyle w:val="Heading 2"/>
      </w:pPr>
      <w:r>
        <w:t>Namespaces</w:t>
      </w:r>
      <w:bookmarkEnd w:id="1169"/>
    </w:p>
    <w:p>
      <w:pPr>
        <w:pStyle w:val="Normal"/>
      </w:pPr>
      <w:r>
        <w:t>A</w:t>
      </w:r>
      <w:r>
        <w:rPr>
          <w:rStyle w:val="Text111"/>
        </w:rPr>
        <w:bookmarkStart w:id="1170" w:name="idm45965270169696"/>
        <w:t/>
        <w:bookmarkEnd w:id="1170"/>
        <w:bookmarkStart w:id="1171" w:name="namepsp03"/>
        <w:t/>
        <w:bookmarkEnd w:id="1171"/>
      </w:r>
      <w:r>
        <w:t xml:space="preserve"> function’s parameters, plus any names that are bound (by assignment or by other binding statements, such as </w:t>
      </w:r>
      <w:r>
        <w:rPr>
          <w:rStyle w:val="Text5"/>
        </w:rPr>
        <w:t>def</w:t>
      </w:r>
      <w:r>
        <w:t>) in the function body, make up the</w:t>
      </w:r>
      <w:r>
        <w:rPr>
          <w:rStyle w:val="Text111"/>
        </w:rPr>
        <w:bookmarkStart w:id="1172" w:name="idm45965270165808"/>
        <w:t/>
        <w:bookmarkEnd w:id="1172"/>
      </w:r>
      <w:r>
        <w:t xml:space="preserve"> function’s </w:t>
      </w:r>
      <w:r>
        <w:rPr>
          <w:rStyle w:val="Text4"/>
        </w:rPr>
        <w:t>local namespace</w:t>
      </w:r>
      <w:r>
        <w:t>, also known as its</w:t>
      </w:r>
      <w:r>
        <w:rPr>
          <w:rStyle w:val="Text111"/>
        </w:rPr>
        <w:bookmarkStart w:id="1173" w:name="idm45965270164160"/>
        <w:t/>
        <w:bookmarkEnd w:id="1173"/>
      </w:r>
      <w:r>
        <w:t xml:space="preserve"> </w:t>
      </w:r>
      <w:r>
        <w:rPr>
          <w:rStyle w:val="Text4"/>
        </w:rPr>
        <w:t>local scope</w:t>
      </w:r>
      <w:r>
        <w:t xml:space="preserve">. Each of these variables is known as a </w:t>
      </w:r>
      <w:r>
        <w:rPr>
          <w:rStyle w:val="Text4"/>
        </w:rPr>
        <w:t>local variable</w:t>
      </w:r>
      <w:r>
        <w:t xml:space="preserve"> of the function.</w:t>
      </w:r>
    </w:p>
    <w:p>
      <w:pPr>
        <w:pStyle w:val="Normal"/>
      </w:pPr>
      <w:r>
        <w:t>Variables that are not local are known as</w:t>
      </w:r>
      <w:r>
        <w:rPr>
          <w:rStyle w:val="Text111"/>
        </w:rPr>
        <w:bookmarkStart w:id="1174" w:name="idm45965270161712"/>
        <w:t/>
        <w:bookmarkEnd w:id="1174"/>
        <w:bookmarkStart w:id="1175" w:name="idm45965270160608"/>
        <w:t/>
        <w:bookmarkEnd w:id="1175"/>
      </w:r>
      <w:r>
        <w:t xml:space="preserve"> </w:t>
      </w:r>
      <w:r>
        <w:rPr>
          <w:rStyle w:val="Text4"/>
        </w:rPr>
        <w:t>global variables</w:t>
      </w:r>
      <w:r>
        <w:t xml:space="preserve"> (in the absence of nested function definitions, which we’ll discuss shortly). Global variables are attributes of the module object, as covered in </w:t>
      </w:r>
      <w:hyperlink w:anchor="Attributes_of_module_objects__An">
        <w:r>
          <w:rPr>
            <w:rStyle w:val="Text1"/>
          </w:rPr>
          <w:t>“Attributes of module objects”</w:t>
        </w:r>
      </w:hyperlink>
      <w:r>
        <w:t xml:space="preserve">. Whenever a function’s local variable has the same name as a global variable, that name, within the function body, refers to the local variable, not the global one. We express this by saying that the local variable </w:t>
      </w:r>
      <w:r>
        <w:rPr>
          <w:rStyle w:val="Text4"/>
        </w:rPr>
        <w:t>hides</w:t>
      </w:r>
      <w:r>
        <w:t xml:space="preserve"> the global variable of the same name throughout the function body.</w:t>
      </w:r>
    </w:p>
    <w:p>
      <w:bookmarkStart w:id="1176" w:name="The_global_statement__By_default"/>
      <w:pPr>
        <w:keepNext/>
        <w:pStyle w:val="Heading 2"/>
      </w:pPr>
      <w:r>
        <w:t>The global statement</w:t>
      </w:r>
      <w:bookmarkEnd w:id="1176"/>
    </w:p>
    <w:p>
      <w:pPr>
        <w:pStyle w:val="Normal"/>
      </w:pPr>
      <w:r>
        <w:t>By default, any variable bound in a function body is local to the function. If a function needs to bind or rebind some global variables (</w:t>
      </w:r>
      <w:r>
        <w:rPr>
          <w:rStyle w:val="Text4"/>
        </w:rPr>
        <w:t>not</w:t>
      </w:r>
      <w:r>
        <w:t xml:space="preserve"> best practice!), the first statement of the function’s body must be:</w:t>
      </w:r>
    </w:p>
    <w:p>
      <w:pPr>
        <w:pStyle w:val="Para 032"/>
      </w:pPr>
      <w:r>
        <w:rPr>
          <w:rStyle w:val="Text116"/>
        </w:rPr>
        <w:t xml:space="preserve"/>
        <w:br w:clear="none"/>
      </w:r>
      <w:r>
        <w:rPr>
          <w:rStyle w:val="Text22"/>
        </w:rPr>
        <w:t xml:space="preserve">global</w:t>
        <w:br w:clear="none"/>
      </w:r>
      <w:r>
        <w:rPr>
          <w:rStyle w:val="Text11"/>
        </w:rPr>
        <w:t xml:space="preserve"> </w:t>
        <w:br w:clear="none"/>
      </w:r>
      <w:r>
        <w:t xml:space="preserve">identifiers</w:t>
        <w:br w:clear="none"/>
      </w:r>
    </w:p>
    <w:p>
      <w:pPr>
        <w:pStyle w:val="Normal"/>
      </w:pPr>
      <w:r>
        <w:t xml:space="preserve">where </w:t>
      </w:r>
      <w:r>
        <w:rPr>
          <w:rStyle w:val="Text3"/>
        </w:rPr>
        <w:t>identifiers</w:t>
      </w:r>
      <w:r>
        <w:t xml:space="preserve"> is one or more identifiers separated by</w:t>
      </w:r>
      <w:r>
        <w:rPr>
          <w:rStyle w:val="Text111"/>
        </w:rPr>
        <w:bookmarkStart w:id="1177" w:name="idm45965270149392"/>
        <w:t/>
        <w:bookmarkEnd w:id="1177"/>
        <w:bookmarkStart w:id="1178" w:name="idm45965270147808"/>
        <w:t/>
        <w:bookmarkEnd w:id="1178"/>
      </w:r>
      <w:r>
        <w:t xml:space="preserve"> commas (</w:t>
      </w:r>
      <w:r>
        <w:rPr>
          <w:rStyle w:val="Text0"/>
        </w:rPr>
        <w:t>,</w:t>
      </w:r>
      <w:r>
        <w:t xml:space="preserve">). The identifiers listed in a </w:t>
      </w:r>
      <w:r>
        <w:rPr>
          <w:rStyle w:val="Text5"/>
        </w:rPr>
        <w:t>global</w:t>
      </w:r>
      <w:r>
        <w:t xml:space="preserve"> statement refer to the global variables (i.e., attributes of the module object) that the function needs to bind or rebind. For example, the function </w:t>
      </w:r>
      <w:r>
        <w:rPr>
          <w:rStyle w:val="Text0"/>
        </w:rPr>
        <w:t>counter</w:t>
      </w:r>
      <w:r>
        <w:t xml:space="preserve"> that we saw in </w:t>
      </w:r>
      <w:hyperlink w:anchor="Other_attributes_of_function_obj">
        <w:r>
          <w:rPr>
            <w:rStyle w:val="Text1"/>
          </w:rPr>
          <w:t>“Other attributes of function objects”</w:t>
        </w:r>
      </w:hyperlink>
      <w:r>
        <w:t xml:space="preserve"> could be implemented using </w:t>
      </w:r>
      <w:r>
        <w:rPr>
          <w:rStyle w:val="Text5"/>
        </w:rPr>
        <w:t>global</w:t>
      </w:r>
      <w:r>
        <w:t xml:space="preserve"> and a global variable, rather than an attribute of the function object:</w:t>
      </w:r>
    </w:p>
    <w:p>
      <w:pPr>
        <w:pStyle w:val="Para 007"/>
      </w:pPr>
      <w:r>
        <w:rPr>
          <w:rStyle w:val="Text23"/>
        </w:rPr>
        <w:t xml:space="preserve"/>
        <w:br w:clear="none"/>
      </w:r>
      <w:r>
        <w:t xml:space="preserve">_count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counter</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global</w:t>
        <w:br w:clear="none"/>
      </w:r>
      <w:r>
        <w:rPr>
          <w:rStyle w:val="Text6"/>
        </w:rPr>
        <w:t xml:space="preserve"> </w:t>
        <w:br w:clear="none"/>
      </w:r>
      <w:r>
        <w:t xml:space="preserve">_count</w:t>
        <w:br w:clear="none"/>
      </w:r>
      <w:r>
        <w:rPr>
          <w:rStyle w:val="Text6"/>
        </w:rPr>
        <w:t xml:space="preserve"/>
        <w:br w:clear="none"/>
        <w:t xml:space="preserve">    </w:t>
        <w:br w:clear="none"/>
      </w:r>
      <w:r>
        <w:t xml:space="preserve">_count</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1</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_count</w:t>
        <w:br w:clear="none"/>
      </w:r>
    </w:p>
    <w:p>
      <w:pPr>
        <w:pStyle w:val="Normal"/>
      </w:pPr>
      <w:r>
        <w:t xml:space="preserve">Without the </w:t>
      </w:r>
      <w:r>
        <w:rPr>
          <w:rStyle w:val="Text5"/>
        </w:rPr>
        <w:t>global</w:t>
      </w:r>
      <w:r>
        <w:t xml:space="preserve"> statement, the </w:t>
      </w:r>
      <w:r>
        <w:rPr>
          <w:rStyle w:val="Text0"/>
        </w:rPr>
        <w:t>counter</w:t>
      </w:r>
      <w:r>
        <w:t xml:space="preserve"> function would raise an </w:t>
      </w:r>
      <w:r>
        <w:rPr>
          <w:rStyle w:val="Text0"/>
        </w:rPr>
        <w:t>UnboundLocalError</w:t>
      </w:r>
      <w:r>
        <w:t xml:space="preserve"> exception when called, because </w:t>
      </w:r>
      <w:r>
        <w:rPr>
          <w:rStyle w:val="Text0"/>
        </w:rPr>
        <w:t>_count</w:t>
      </w:r>
      <w:r>
        <w:t xml:space="preserve"> would then be an uninitialized (unbound) local variable. While the </w:t>
      </w:r>
      <w:r>
        <w:rPr>
          <w:rStyle w:val="Text5"/>
        </w:rPr>
        <w:t>global</w:t>
      </w:r>
      <w:r>
        <w:t xml:space="preserve"> statement enables this kind of programming, this style is inelegant and ill-advised. As we mentioned earlier, when you want to group together some state and some behavior, the object-oriented mechanisms covered in </w:t>
      </w:r>
      <w:hyperlink w:anchor="Chapter_4__Object_Oriented_Pytho_2">
        <w:r>
          <w:rPr>
            <w:rStyle w:val="Text1"/>
          </w:rPr>
          <w:t>Chapter 4</w:t>
        </w:r>
      </w:hyperlink>
      <w:r>
        <w:t xml:space="preserve"> are usually best.</w:t>
      </w:r>
    </w:p>
    <w:p>
      <w:pPr>
        <w:keepNext/>
        <w:pStyle w:val="Heading 5"/>
        <w:keepLines w:val="on"/>
      </w:pPr>
      <w:r>
        <w:t>Eschew global</w:t>
      </w:r>
    </w:p>
    <w:p>
      <w:pPr>
        <w:pStyle w:val="Para 012"/>
        <w:keepLines w:val="on"/>
      </w:pPr>
      <w:r>
        <w:t xml:space="preserve">Never use </w:t>
      </w:r>
      <w:r>
        <w:rPr>
          <w:rStyle w:val="Text5"/>
        </w:rPr>
        <w:t>global</w:t>
      </w:r>
      <w:r>
        <w:t xml:space="preserve"> if the function body just </w:t>
      </w:r>
      <w:r>
        <w:rPr>
          <w:rStyle w:val="Text4"/>
        </w:rPr>
        <w:t>uses</w:t>
      </w:r>
      <w:r>
        <w:t xml:space="preserve"> a global variable (including mutating the object bound to that variable, when the object is mutable). Use a </w:t>
      </w:r>
      <w:r>
        <w:rPr>
          <w:rStyle w:val="Text5"/>
        </w:rPr>
        <w:t>global</w:t>
      </w:r>
      <w:r>
        <w:t xml:space="preserve"> statement only if the function body </w:t>
      </w:r>
      <w:r>
        <w:rPr>
          <w:rStyle w:val="Text4"/>
        </w:rPr>
        <w:t>rebinds</w:t>
      </w:r>
      <w:r>
        <w:t xml:space="preserve"> a global variable (generally by assigning to the variable’s name). As a matter of style, don’t use </w:t>
      </w:r>
      <w:r>
        <w:rPr>
          <w:rStyle w:val="Text5"/>
        </w:rPr>
        <w:t>global</w:t>
      </w:r>
      <w:r>
        <w:t xml:space="preserve"> unless it’s strictly necessary, as its presence causes readers of your program to assume the statement is there for some useful purpose. Never use </w:t>
      </w:r>
      <w:r>
        <w:rPr>
          <w:rStyle w:val="Text5"/>
        </w:rPr>
        <w:t>global</w:t>
      </w:r>
      <w:r>
        <w:t xml:space="preserve"> except as the first statement in a function body.</w:t>
      </w:r>
    </w:p>
    <w:p>
      <w:bookmarkStart w:id="1179" w:name="Nested_functions_and_nested_scop"/>
      <w:pPr>
        <w:keepNext/>
        <w:pStyle w:val="Heading 2"/>
      </w:pPr>
      <w:r>
        <w:t>Nested functions and nested scopes</w:t>
      </w:r>
      <w:bookmarkEnd w:id="1179"/>
    </w:p>
    <w:p>
      <w:pPr>
        <w:pStyle w:val="Normal"/>
      </w:pPr>
      <w:r>
        <w:t xml:space="preserve">A </w:t>
      </w:r>
      <w:r>
        <w:rPr>
          <w:rStyle w:val="Text5"/>
        </w:rPr>
        <w:t>def</w:t>
      </w:r>
      <w:r>
        <w:t xml:space="preserve"> statement within a function body defines a</w:t>
      </w:r>
      <w:r>
        <w:rPr>
          <w:rStyle w:val="Text111"/>
        </w:rPr>
        <w:bookmarkStart w:id="1180" w:name="idm45965270064512"/>
        <w:t/>
        <w:bookmarkEnd w:id="1180"/>
        <w:bookmarkStart w:id="1181" w:name="idm45965270063440"/>
        <w:t/>
        <w:bookmarkEnd w:id="1181"/>
        <w:bookmarkStart w:id="1182" w:name="idm45965270062064"/>
        <w:t/>
        <w:bookmarkEnd w:id="1182"/>
        <w:bookmarkStart w:id="1183" w:name="idm45965270060688"/>
        <w:t/>
        <w:bookmarkEnd w:id="1183"/>
      </w:r>
      <w:r>
        <w:t xml:space="preserve"> </w:t>
      </w:r>
      <w:r>
        <w:rPr>
          <w:rStyle w:val="Text4"/>
        </w:rPr>
        <w:t>nested function</w:t>
      </w:r>
      <w:r>
        <w:t xml:space="preserve">, and the function whose body includes the </w:t>
      </w:r>
      <w:r>
        <w:rPr>
          <w:rStyle w:val="Text5"/>
        </w:rPr>
        <w:t>def</w:t>
      </w:r>
      <w:r>
        <w:t xml:space="preserve"> is known as an</w:t>
      </w:r>
      <w:r>
        <w:rPr>
          <w:rStyle w:val="Text111"/>
        </w:rPr>
        <w:bookmarkStart w:id="1184" w:name="idm45965270058160"/>
        <w:t/>
        <w:bookmarkEnd w:id="1184"/>
      </w:r>
      <w:r>
        <w:t xml:space="preserve"> </w:t>
      </w:r>
      <w:r>
        <w:rPr>
          <w:rStyle w:val="Text4"/>
        </w:rPr>
        <w:t>outer function</w:t>
      </w:r>
      <w:r>
        <w:t xml:space="preserve"> to the nested one. Code in a nested function’s body may access (but </w:t>
      </w:r>
      <w:r>
        <w:rPr>
          <w:rStyle w:val="Text4"/>
        </w:rPr>
        <w:t>not</w:t>
      </w:r>
      <w:r>
        <w:t xml:space="preserve"> rebind) local variables of an outer function, also known as</w:t>
      </w:r>
      <w:r>
        <w:rPr>
          <w:rStyle w:val="Text111"/>
        </w:rPr>
        <w:bookmarkStart w:id="1185" w:name="idm45965270056064"/>
        <w:t/>
        <w:bookmarkEnd w:id="1185"/>
        <w:bookmarkStart w:id="1186" w:name="idm45965270054672"/>
        <w:t/>
        <w:bookmarkEnd w:id="1186"/>
      </w:r>
      <w:r>
        <w:t xml:space="preserve"> </w:t>
      </w:r>
      <w:r>
        <w:rPr>
          <w:rStyle w:val="Text4"/>
        </w:rPr>
        <w:t>free variables</w:t>
      </w:r>
      <w:r>
        <w:t xml:space="preserve"> of the nested function.</w:t>
      </w:r>
    </w:p>
    <w:p>
      <w:pPr>
        <w:pStyle w:val="Normal"/>
      </w:pPr>
      <w:r>
        <w:t xml:space="preserve">The simplest way to let a nested function access a value is often not to rely on nested scopes, but rather to pass that value explicitly as one of the function’s arguments. If need be, you can bind the argument’s value at nested-function </w:t>
      </w:r>
      <w:r>
        <w:rPr>
          <w:rStyle w:val="Text5"/>
        </w:rPr>
        <w:t>def</w:t>
      </w:r>
      <w:r>
        <w:t xml:space="preserve"> time: just use the value as the default for an optional argument. For example: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percent1</w:t>
        <w:br w:clear="none"/>
      </w:r>
      <w:r>
        <w:rPr>
          <w:rStyle w:val="Text7"/>
        </w:rPr>
        <w:t xml:space="preserve">(</w:t>
        <w:br w:clear="none"/>
      </w:r>
      <w:r>
        <w:rPr>
          <w:rStyle w:val="Text9"/>
        </w:rPr>
        <w:t xml:space="preserve">a</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t xml:space="preserve"> </w:t>
        <w:br w:clear="none"/>
      </w:r>
      <w:r>
        <w:rPr>
          <w:rStyle w:val="Text9"/>
        </w:rPr>
        <w:t xml:space="preserve">c</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pc</w:t>
        <w:br w:clear="none"/>
      </w:r>
      <w:r>
        <w:rPr>
          <w:rStyle w:val="Text7"/>
        </w:rPr>
        <w:t xml:space="preserve">(</w:t>
        <w:br w:clear="none"/>
      </w:r>
      <w:r>
        <w:rPr>
          <w:rStyle w:val="Text9"/>
        </w:rPr>
        <w:t xml:space="preserve">x</w:t>
        <w:br w:clear="none"/>
      </w:r>
      <w:r>
        <w:rPr>
          <w:rStyle w:val="Text7"/>
        </w:rPr>
        <w:t xml:space="preserve">,</w:t>
        <w:br w:clear="none"/>
      </w:r>
      <w:r>
        <w:t xml:space="preserve"> </w:t>
        <w:br w:clear="none"/>
      </w:r>
      <w:r>
        <w:rPr>
          <w:rStyle w:val="Text9"/>
        </w:rPr>
        <w:t xml:space="preserve">total</w:t>
        <w:br w:clear="none"/>
      </w:r>
      <w:r>
        <w:rPr>
          <w:rStyle w:val="Text13"/>
        </w:rPr>
        <w:t xml:space="preserve">=</w:t>
        <w:br w:clear="none"/>
      </w:r>
      <w:r>
        <w:rPr>
          <w:rStyle w:val="Text9"/>
        </w:rPr>
        <w:t xml:space="preserve">a</w:t>
        <w:br w:clear="none"/>
      </w:r>
      <w:r>
        <w:rPr>
          <w:rStyle w:val="Text13"/>
        </w:rPr>
        <w:t xml:space="preserve">+</w:t>
        <w:br w:clear="none"/>
      </w:r>
      <w:r>
        <w:rPr>
          <w:rStyle w:val="Text9"/>
        </w:rPr>
        <w:t xml:space="preserve">b</w:t>
        <w:br w:clear="none"/>
      </w:r>
      <w:r>
        <w:rPr>
          <w:rStyle w:val="Text13"/>
        </w:rPr>
        <w:t xml:space="preserve">+</w:t>
        <w:br w:clear="none"/>
      </w:r>
      <w:r>
        <w:rPr>
          <w:rStyle w:val="Text9"/>
        </w:rPr>
        <w:t xml:space="preserve">c</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7"/>
        </w:rPr>
        <w:t xml:space="preserve">(</w:t>
        <w:br w:clear="none"/>
      </w:r>
      <w:r>
        <w:rPr>
          <w:rStyle w:val="Text9"/>
        </w:rPr>
        <w:t xml:space="preserve">x</w:t>
        <w:br w:clear="none"/>
      </w:r>
      <w:r>
        <w:rPr>
          <w:rStyle w:val="Text13"/>
        </w:rPr>
        <w:t xml:space="preserve">*</w:t>
        <w:br w:clear="none"/>
      </w:r>
      <w:r>
        <w:rPr>
          <w:rStyle w:val="Text27"/>
        </w:rPr>
        <w:t xml:space="preserve">100.0</w:t>
        <w:br w:clear="none"/>
      </w:r>
      <w:r>
        <w:rPr>
          <w:rStyle w:val="Text7"/>
        </w:rPr>
        <w:t xml:space="preserve">)</w:t>
        <w:br w:clear="none"/>
      </w:r>
      <w:r>
        <w:t xml:space="preserve"> </w:t>
        <w:br w:clear="none"/>
      </w:r>
      <w:r>
        <w:rPr>
          <w:rStyle w:val="Text13"/>
        </w:rPr>
        <w:t xml:space="preserve">/</w:t>
        <w:br w:clear="none"/>
      </w:r>
      <w:r>
        <w:t xml:space="preserve"> </w:t>
        <w:br w:clear="none"/>
      </w:r>
      <w:r>
        <w:rPr>
          <w:rStyle w:val="Text9"/>
        </w:rPr>
        <w:t xml:space="preserve">total</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Percentages are:</w:t>
        <w:br w:clear="none"/>
        <w:t xml:space="preserve">'</w:t>
        <w:br w:clear="none"/>
      </w:r>
      <w:r>
        <w:rPr>
          <w:rStyle w:val="Text7"/>
        </w:rPr>
        <w:t xml:space="preserve">,</w:t>
        <w:br w:clear="none"/>
      </w:r>
      <w:r>
        <w:t xml:space="preserve"> </w:t>
        <w:br w:clear="none"/>
      </w:r>
      <w:r>
        <w:rPr>
          <w:rStyle w:val="Text9"/>
        </w:rPr>
        <w:t xml:space="preserve">pc</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t>
        <w:br w:clear="none"/>
      </w:r>
      <w:r>
        <w:rPr>
          <w:rStyle w:val="Text9"/>
        </w:rPr>
        <w:t xml:space="preserve">pc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t>
        <w:br w:clear="none"/>
      </w:r>
      <w:r>
        <w:rPr>
          <w:rStyle w:val="Text9"/>
        </w:rPr>
        <w:t xml:space="preserve">pc</w:t>
        <w:br w:clear="none"/>
      </w:r>
      <w:r>
        <w:rPr>
          <w:rStyle w:val="Text7"/>
        </w:rPr>
        <w:t xml:space="preserve">(</w:t>
        <w:br w:clear="none"/>
      </w:r>
      <w:r>
        <w:rPr>
          <w:rStyle w:val="Text9"/>
        </w:rPr>
        <w:t xml:space="preserve">c</w:t>
        <w:br w:clear="none"/>
      </w:r>
      <w:r>
        <w:rPr>
          <w:rStyle w:val="Text7"/>
        </w:rPr>
        <w:t xml:space="preserve">)</w:t>
        <w:br w:clear="none"/>
        <w:t xml:space="preserve">)</w:t>
        <w:br w:clear="none"/>
      </w:r>
    </w:p>
    <w:p>
      <w:pPr>
        <w:pStyle w:val="Normal"/>
      </w:pPr>
      <w:r>
        <w:t>Here’s the same functionality using nested scopes:</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percent2</w:t>
        <w:br w:clear="none"/>
      </w:r>
      <w:r>
        <w:rPr>
          <w:rStyle w:val="Text7"/>
        </w:rPr>
        <w:t xml:space="preserve">(</w:t>
        <w:br w:clear="none"/>
      </w:r>
      <w:r>
        <w:rPr>
          <w:rStyle w:val="Text9"/>
        </w:rPr>
        <w:t xml:space="preserve">a</w:t>
        <w:br w:clear="none"/>
      </w:r>
      <w:r>
        <w:rPr>
          <w:rStyle w:val="Text7"/>
        </w:rPr>
        <w:t xml:space="preserve">,</w:t>
        <w:br w:clear="none"/>
      </w:r>
      <w:r>
        <w:t xml:space="preserve"> </w:t>
        <w:br w:clear="none"/>
      </w:r>
      <w:r>
        <w:rPr>
          <w:rStyle w:val="Text9"/>
        </w:rPr>
        <w:t xml:space="preserve">b</w:t>
        <w:br w:clear="none"/>
      </w:r>
      <w:r>
        <w:rPr>
          <w:rStyle w:val="Text7"/>
        </w:rPr>
        <w:t xml:space="preserve">,</w:t>
        <w:br w:clear="none"/>
      </w:r>
      <w:r>
        <w:t xml:space="preserve"> </w:t>
        <w:br w:clear="none"/>
      </w:r>
      <w:r>
        <w:rPr>
          <w:rStyle w:val="Text9"/>
        </w:rPr>
        <w:t xml:space="preserve">c</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pc</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7"/>
        </w:rPr>
        <w:t xml:space="preserve">(</w:t>
        <w:br w:clear="none"/>
      </w:r>
      <w:r>
        <w:rPr>
          <w:rStyle w:val="Text9"/>
        </w:rPr>
        <w:t xml:space="preserve">x</w:t>
        <w:br w:clear="none"/>
      </w:r>
      <w:r>
        <w:rPr>
          <w:rStyle w:val="Text13"/>
        </w:rPr>
        <w:t xml:space="preserve">*</w:t>
        <w:br w:clear="none"/>
      </w:r>
      <w:r>
        <w:rPr>
          <w:rStyle w:val="Text27"/>
        </w:rPr>
        <w:t xml:space="preserve">100.0</w:t>
        <w:br w:clear="none"/>
      </w:r>
      <w:r>
        <w:rPr>
          <w:rStyle w:val="Text7"/>
        </w:rPr>
        <w:t xml:space="preserve">)</w:t>
        <w:br w:clear="none"/>
      </w:r>
      <w:r>
        <w:t xml:space="preserve"> </w:t>
        <w:br w:clear="none"/>
      </w:r>
      <w:r>
        <w:rPr>
          <w:rStyle w:val="Text13"/>
        </w:rPr>
        <w:t xml:space="preserve">/</w:t>
        <w:br w:clear="none"/>
      </w:r>
      <w:r>
        <w:t xml:space="preserve"> </w:t>
        <w:br w:clear="none"/>
      </w:r>
      <w:r>
        <w:rPr>
          <w:rStyle w:val="Text7"/>
        </w:rPr>
        <w:t xml:space="preserve">(</w:t>
        <w:br w:clear="none"/>
      </w:r>
      <w:r>
        <w:rPr>
          <w:rStyle w:val="Text9"/>
        </w:rPr>
        <w:t xml:space="preserve">a</w:t>
        <w:br w:clear="none"/>
      </w:r>
      <w:r>
        <w:rPr>
          <w:rStyle w:val="Text13"/>
        </w:rPr>
        <w:t xml:space="preserve">+</w:t>
        <w:br w:clear="none"/>
      </w:r>
      <w:r>
        <w:rPr>
          <w:rStyle w:val="Text9"/>
        </w:rPr>
        <w:t xml:space="preserve">b</w:t>
        <w:br w:clear="none"/>
      </w:r>
      <w:r>
        <w:rPr>
          <w:rStyle w:val="Text13"/>
        </w:rPr>
        <w:t xml:space="preserve">+</w:t>
        <w:br w:clear="none"/>
      </w:r>
      <w:r>
        <w:rPr>
          <w:rStyle w:val="Text9"/>
        </w:rPr>
        <w:t xml:space="preserve">c</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Percentages are:</w:t>
        <w:br w:clear="none"/>
        <w:t xml:space="preserve">'</w:t>
        <w:br w:clear="none"/>
      </w:r>
      <w:r>
        <w:rPr>
          <w:rStyle w:val="Text7"/>
        </w:rPr>
        <w:t xml:space="preserve">,</w:t>
        <w:br w:clear="none"/>
      </w:r>
      <w:r>
        <w:t xml:space="preserve"> </w:t>
        <w:br w:clear="none"/>
      </w:r>
      <w:r>
        <w:rPr>
          <w:rStyle w:val="Text9"/>
        </w:rPr>
        <w:t xml:space="preserve">pc</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t>
        <w:br w:clear="none"/>
      </w:r>
      <w:r>
        <w:rPr>
          <w:rStyle w:val="Text9"/>
        </w:rPr>
        <w:t xml:space="preserve">pc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t>
        <w:br w:clear="none"/>
      </w:r>
      <w:r>
        <w:rPr>
          <w:rStyle w:val="Text9"/>
        </w:rPr>
        <w:t xml:space="preserve">pc</w:t>
        <w:br w:clear="none"/>
      </w:r>
      <w:r>
        <w:rPr>
          <w:rStyle w:val="Text7"/>
        </w:rPr>
        <w:t xml:space="preserve">(</w:t>
        <w:br w:clear="none"/>
      </w:r>
      <w:r>
        <w:rPr>
          <w:rStyle w:val="Text9"/>
        </w:rPr>
        <w:t xml:space="preserve">c</w:t>
        <w:br w:clear="none"/>
      </w:r>
      <w:r>
        <w:rPr>
          <w:rStyle w:val="Text7"/>
        </w:rPr>
        <w:t xml:space="preserve">)</w:t>
        <w:br w:clear="none"/>
        <w:t xml:space="preserve">)</w:t>
        <w:br w:clear="none"/>
      </w:r>
    </w:p>
    <w:p>
      <w:pPr>
        <w:pStyle w:val="Normal"/>
      </w:pPr>
      <w:r>
        <w:t xml:space="preserve">In this specific case, </w:t>
      </w:r>
      <w:r>
        <w:rPr>
          <w:rStyle w:val="Text0"/>
        </w:rPr>
        <w:t>percent1</w:t>
      </w:r>
      <w:r>
        <w:t xml:space="preserve"> has one tiny advantage: the computation of </w:t>
      </w:r>
      <w:r>
        <w:rPr>
          <w:rStyle w:val="Text0"/>
        </w:rPr>
        <w:t>a+b+c</w:t>
      </w:r>
      <w:r>
        <w:t xml:space="preserve"> happens only once, while </w:t>
      </w:r>
      <w:r>
        <w:rPr>
          <w:rStyle w:val="Text0"/>
        </w:rPr>
        <w:t>percent2</w:t>
      </w:r>
      <w:r>
        <w:t xml:space="preserve">’s inner function </w:t>
      </w:r>
      <w:r>
        <w:rPr>
          <w:rStyle w:val="Text0"/>
        </w:rPr>
        <w:t>pc</w:t>
      </w:r>
      <w:r>
        <w:t xml:space="preserve"> repeats the computation three times. However, when the outer function rebinds local variables between calls to the nested function, repeating the computation can be necessary: be aware of both approaches, and choose the appropriate one on a case-by-case basis.</w:t>
      </w:r>
    </w:p>
    <w:p>
      <w:pPr>
        <w:pStyle w:val="Normal"/>
      </w:pPr>
      <w:r>
        <w:t>A nested function that accesses values from local variables of “outer” (containing) functions is also known as a</w:t>
      </w:r>
      <w:r>
        <w:rPr>
          <w:rStyle w:val="Text111"/>
        </w:rPr>
        <w:bookmarkStart w:id="1187" w:name="idm45965269911792"/>
        <w:t/>
        <w:bookmarkEnd w:id="1187"/>
      </w:r>
      <w:r>
        <w:t xml:space="preserve"> </w:t>
      </w:r>
      <w:r>
        <w:rPr>
          <w:rStyle w:val="Text4"/>
        </w:rPr>
        <w:t>closure</w:t>
      </w:r>
      <w:r>
        <w:t>. The following example shows how to build a closure: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make_adder</w:t>
        <w:br w:clear="none"/>
      </w:r>
      <w:r>
        <w:rPr>
          <w:rStyle w:val="Text7"/>
        </w:rPr>
        <w:t xml:space="preserve">(</w:t>
        <w:br w:clear="none"/>
      </w:r>
      <w:r>
        <w:t xml:space="preserve">augend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add</w:t>
        <w:br w:clear="none"/>
      </w:r>
      <w:r>
        <w:rPr>
          <w:rStyle w:val="Text7"/>
        </w:rPr>
        <w:t xml:space="preserve">(</w:t>
        <w:br w:clear="none"/>
      </w:r>
      <w:r>
        <w:t xml:space="preserve">addend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addend</w:t>
        <w:br w:clear="none"/>
      </w:r>
      <w:r>
        <w:rPr>
          <w:rStyle w:val="Text13"/>
        </w:rPr>
        <w:t xml:space="preserve">+</w:t>
        <w:br w:clear="none"/>
      </w:r>
      <w:r>
        <w:t xml:space="preserve">augend</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add</w:t>
        <w:br w:clear="none"/>
      </w:r>
      <w:r>
        <w:rPr>
          <w:rStyle w:val="Text6"/>
        </w:rPr>
        <w:t xml:space="preserve"/>
        <w:br w:clear="none"/>
      </w:r>
      <w:r>
        <w:t xml:space="preserve">add5</w:t>
        <w:br w:clear="none"/>
      </w:r>
      <w:r>
        <w:rPr>
          <w:rStyle w:val="Text6"/>
        </w:rPr>
        <w:t xml:space="preserve"> </w:t>
        <w:br w:clear="none"/>
      </w:r>
      <w:r>
        <w:rPr>
          <w:rStyle w:val="Text13"/>
        </w:rPr>
        <w:t xml:space="preserve">=</w:t>
        <w:br w:clear="none"/>
      </w:r>
      <w:r>
        <w:rPr>
          <w:rStyle w:val="Text6"/>
        </w:rPr>
        <w:t xml:space="preserve"> </w:t>
        <w:br w:clear="none"/>
      </w:r>
      <w:r>
        <w:t xml:space="preserve">make_adder</w:t>
        <w:br w:clear="none"/>
      </w:r>
      <w:r>
        <w:rPr>
          <w:rStyle w:val="Text7"/>
        </w:rPr>
        <w:t xml:space="preserve">(</w:t>
        <w:br w:clear="none"/>
      </w:r>
      <w:r>
        <w:rPr>
          <w:rStyle w:val="Text27"/>
        </w:rPr>
        <w:t xml:space="preserve">5</w:t>
        <w:br w:clear="none"/>
      </w:r>
      <w:r>
        <w:rPr>
          <w:rStyle w:val="Text7"/>
        </w:rPr>
        <w:t xml:space="preserve">)</w:t>
        <w:br w:clear="none"/>
      </w:r>
      <w:r>
        <w:rPr>
          <w:rStyle w:val="Text6"/>
        </w:rPr>
        <w:t xml:space="preserve"/>
        <w:br w:clear="none"/>
      </w:r>
      <w:r>
        <w:t xml:space="preserve">add9</w:t>
        <w:br w:clear="none"/>
      </w:r>
      <w:r>
        <w:rPr>
          <w:rStyle w:val="Text6"/>
        </w:rPr>
        <w:t xml:space="preserve"> </w:t>
        <w:br w:clear="none"/>
      </w:r>
      <w:r>
        <w:rPr>
          <w:rStyle w:val="Text13"/>
        </w:rPr>
        <w:t xml:space="preserve">=</w:t>
        <w:br w:clear="none"/>
      </w:r>
      <w:r>
        <w:rPr>
          <w:rStyle w:val="Text6"/>
        </w:rPr>
        <w:t xml:space="preserve"> </w:t>
        <w:br w:clear="none"/>
      </w:r>
      <w:r>
        <w:t xml:space="preserve">make_adder</w:t>
        <w:br w:clear="none"/>
      </w:r>
      <w:r>
        <w:rPr>
          <w:rStyle w:val="Text7"/>
        </w:rPr>
        <w:t xml:space="preserve">(</w:t>
        <w:br w:clear="none"/>
      </w:r>
      <w:r>
        <w:rPr>
          <w:rStyle w:val="Text27"/>
        </w:rPr>
        <w:t xml:space="preserve">9</w:t>
        <w:br w:clear="none"/>
      </w:r>
      <w:r>
        <w:rPr>
          <w:rStyle w:val="Text7"/>
        </w:rPr>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t xml:space="preserve">add5</w:t>
        <w:br w:clear="none"/>
      </w:r>
      <w:r>
        <w:rPr>
          <w:rStyle w:val="Text7"/>
        </w:rPr>
        <w:t xml:space="preserve">(</w:t>
        <w:br w:clear="none"/>
      </w:r>
      <w:r>
        <w:rPr>
          <w:rStyle w:val="Text27"/>
        </w:rPr>
        <w:t xml:space="preserve">100</w:t>
        <w:br w:clear="none"/>
      </w:r>
      <w:r>
        <w:rPr>
          <w:rStyle w:val="Text7"/>
        </w:rPr>
        <w:t xml:space="preserve">)</w:t>
        <w:br w:clear="none"/>
        <w:t xml:space="preserve">)</w:t>
        <w:br w:clear="none"/>
      </w:r>
      <w:r>
        <w:rPr>
          <w:rStyle w:val="Text6"/>
        </w:rPr>
        <w:t xml:space="preserve">   </w:t>
        <w:br w:clear="none"/>
      </w:r>
      <w:r>
        <w:rPr>
          <w:rStyle w:val="Text15"/>
        </w:rPr>
        <w:t xml:space="preserve"># prints: 105</w:t>
        <w:br w:clear="none"/>
      </w:r>
      <w:r>
        <w:rPr>
          <w:rStyle w:val="Text6"/>
        </w:rPr>
        <w:t xml:space="preserve"/>
        <w:br w:clear="none"/>
      </w:r>
      <w:r>
        <w:rPr>
          <w:rStyle w:val="Text16"/>
        </w:rPr>
        <w:t xml:space="preserve">print</w:t>
        <w:br w:clear="none"/>
      </w:r>
      <w:r>
        <w:rPr>
          <w:rStyle w:val="Text7"/>
        </w:rPr>
        <w:t xml:space="preserve">(</w:t>
        <w:br w:clear="none"/>
      </w:r>
      <w:r>
        <w:t xml:space="preserve">add9</w:t>
        <w:br w:clear="none"/>
      </w:r>
      <w:r>
        <w:rPr>
          <w:rStyle w:val="Text7"/>
        </w:rPr>
        <w:t xml:space="preserve">(</w:t>
        <w:br w:clear="none"/>
      </w:r>
      <w:r>
        <w:rPr>
          <w:rStyle w:val="Text27"/>
        </w:rPr>
        <w:t xml:space="preserve">100</w:t>
        <w:br w:clear="none"/>
      </w:r>
      <w:r>
        <w:rPr>
          <w:rStyle w:val="Text7"/>
        </w:rPr>
        <w:t xml:space="preserve">)</w:t>
        <w:br w:clear="none"/>
        <w:t xml:space="preserve">)</w:t>
        <w:br w:clear="none"/>
      </w:r>
      <w:r>
        <w:rPr>
          <w:rStyle w:val="Text6"/>
        </w:rPr>
        <w:t xml:space="preserve">   </w:t>
        <w:br w:clear="none"/>
      </w:r>
      <w:r>
        <w:rPr>
          <w:rStyle w:val="Text15"/>
        </w:rPr>
        <w:t xml:space="preserve"># prints: 109</w:t>
        <w:br w:clear="none"/>
      </w:r>
    </w:p>
    <w:p>
      <w:pPr>
        <w:pStyle w:val="Normal"/>
      </w:pPr>
      <w:r>
        <w:t xml:space="preserve">Closures are sometimes an exception to the general rule that the object-oriented mechanisms covered in the next chapter are the best way to bundle together data and code. When you specifically need to construct callable objects, with some parameters fixed at object construction time, closures can be simpler and more direct than classes. For example, the result of </w:t>
      </w:r>
      <w:r>
        <w:rPr>
          <w:rStyle w:val="Text0"/>
        </w:rPr>
        <w:t>make_adder(7)</w:t>
      </w:r>
      <w:r>
        <w:t xml:space="preserve"> is a function that accepts a single argument and returns </w:t>
      </w:r>
      <w:r>
        <w:rPr>
          <w:rStyle w:val="Text0"/>
        </w:rPr>
        <w:t>7</w:t>
      </w:r>
      <w:r>
        <w:t xml:space="preserve"> plus that argument. An outer function that returns a closure is a “factory” for members of a family of functions distinguished by some parameters, such as the value of the argument </w:t>
      </w:r>
      <w:r>
        <w:rPr>
          <w:rStyle w:val="Text0"/>
        </w:rPr>
        <w:t>augend</w:t>
      </w:r>
      <w:r>
        <w:t xml:space="preserve"> in the previous example, which may often help you avoid code duplication.</w:t>
      </w:r>
    </w:p>
    <w:p>
      <w:pPr>
        <w:pStyle w:val="Normal"/>
      </w:pPr>
      <w:r>
        <w:t>The</w:t>
      </w:r>
      <w:r>
        <w:rPr>
          <w:rStyle w:val="Text111"/>
        </w:rPr>
        <w:bookmarkStart w:id="1188" w:name="idm45965269819680"/>
        <w:t/>
        <w:bookmarkEnd w:id="1188"/>
      </w:r>
      <w:r>
        <w:t xml:space="preserve"> </w:t>
      </w:r>
      <w:r>
        <w:rPr>
          <w:rStyle w:val="Text5"/>
        </w:rPr>
        <w:t>nonlocal</w:t>
      </w:r>
      <w:r>
        <w:t xml:space="preserve"> keyword acts similarly to </w:t>
      </w:r>
      <w:r>
        <w:rPr>
          <w:rStyle w:val="Text5"/>
        </w:rPr>
        <w:t>global</w:t>
      </w:r>
      <w:r>
        <w:t>, but it refers to a name in the namespace of some lexically surrounding function. When it occurs in a function definition nested several levels deep (a rarely needed structure!), the compiler searches the namespace of the most deeply nested containing function, then the function containing that one, and so on, until the name is found or there are no further containing functions, in which case the compiler raises an error (a global name, if any, does not match).</w:t>
      </w:r>
    </w:p>
    <w:p>
      <w:pPr>
        <w:pStyle w:val="Normal"/>
      </w:pPr>
      <w:r>
        <w:t>Here’s a nested functions approach to the “counter” functionality we implemented in previous sections using a function attribute, then a global variable: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make_counter</w:t>
        <w:br w:clear="none"/>
      </w:r>
      <w:r>
        <w:rPr>
          <w:rStyle w:val="Text7"/>
        </w:rPr>
        <w:t xml:space="preserve">(</w:t>
        <w:br w:clear="none"/>
        <w:t xml:space="preserve">)</w:t>
        <w:br w:clear="none"/>
        <w:t xml:space="preserve">:</w:t>
        <w:br w:clear="none"/>
      </w:r>
      <w:r>
        <w:t xml:space="preserve"/>
        <w:br w:clear="none"/>
        <w:t xml:space="preserve">    </w:t>
        <w:br w:clear="none"/>
      </w:r>
      <w:r>
        <w:rPr>
          <w:rStyle w:val="Text9"/>
        </w:rPr>
        <w:t xml:space="preserve">count</w:t>
        <w:br w:clear="none"/>
      </w:r>
      <w:r>
        <w:t xml:space="preserve"> </w:t>
        <w:br w:clear="none"/>
      </w:r>
      <w:r>
        <w:rPr>
          <w:rStyle w:val="Text13"/>
        </w:rPr>
        <w:t xml:space="preserve">=</w:t>
        <w:br w:clear="none"/>
      </w:r>
      <w:r>
        <w:t xml:space="preserve"> </w:t>
        <w:br w:clear="none"/>
      </w:r>
      <w:r>
        <w:rPr>
          <w:rStyle w:val="Text27"/>
        </w:rPr>
        <w:t xml:space="preserve">0</w:t>
        <w:br w:clear="none"/>
      </w:r>
      <w:r>
        <w:t xml:space="preserve"/>
        <w:br w:clear="none"/>
        <w:t xml:space="preserve">    </w:t>
        <w:br w:clear="none"/>
      </w:r>
      <w:r>
        <w:rPr>
          <w:rStyle w:val="Text10"/>
        </w:rPr>
        <w:t xml:space="preserve">def</w:t>
        <w:br w:clear="none"/>
      </w:r>
      <w:r>
        <w:t xml:space="preserve"> </w:t>
        <w:br w:clear="none"/>
      </w:r>
      <w:r>
        <w:rPr>
          <w:rStyle w:val="Text18"/>
        </w:rPr>
        <w:t xml:space="preserve">counter</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nonlocal</w:t>
        <w:br w:clear="none"/>
      </w:r>
      <w:r>
        <w:t xml:space="preserve"> </w:t>
        <w:br w:clear="none"/>
      </w:r>
      <w:r>
        <w:rPr>
          <w:rStyle w:val="Text9"/>
        </w:rPr>
        <w:t xml:space="preserve">count</w:t>
        <w:br w:clear="none"/>
      </w:r>
      <w:r>
        <w:t xml:space="preserve"/>
        <w:br w:clear="none"/>
        <w:t xml:space="preserve">        </w:t>
        <w:br w:clear="none"/>
      </w:r>
      <w:r>
        <w:rPr>
          <w:rStyle w:val="Text9"/>
        </w:rPr>
        <w:t xml:space="preserve">count</w:t>
        <w:br w:clear="none"/>
      </w:r>
      <w:r>
        <w:t xml:space="preserve"> </w:t>
        <w:br w:clear="none"/>
      </w:r>
      <w:r>
        <w:rPr>
          <w:rStyle w:val="Text13"/>
        </w:rPr>
        <w:t xml:space="preserve">+</w:t>
        <w:br w:clear="none"/>
        <w:t xml:space="preserve">=</w:t>
        <w:br w:clear="none"/>
      </w:r>
      <w:r>
        <w:t xml:space="preserve"> </w:t>
        <w:br w:clear="none"/>
      </w:r>
      <w:r>
        <w:rPr>
          <w:rStyle w:val="Text27"/>
        </w:rPr>
        <w:t xml:space="preserve">1</w:t>
        <w:br w:clear="none"/>
      </w:r>
      <w:r>
        <w:t xml:space="preserve"/>
        <w:br w:clear="none"/>
        <w:t xml:space="preserve">        </w:t>
        <w:br w:clear="none"/>
      </w:r>
      <w:r>
        <w:rPr>
          <w:rStyle w:val="Text10"/>
        </w:rPr>
        <w:t xml:space="preserve">return</w:t>
        <w:br w:clear="none"/>
      </w:r>
      <w:r>
        <w:t xml:space="preserve"> </w:t>
        <w:br w:clear="none"/>
      </w:r>
      <w:r>
        <w:rPr>
          <w:rStyle w:val="Text9"/>
        </w:rPr>
        <w:t xml:space="preserve">count</w:t>
        <w:br w:clear="none"/>
      </w:r>
      <w:r>
        <w:t xml:space="preserve"/>
        <w:br w:clear="none"/>
        <w:t xml:space="preserve">    </w:t>
        <w:br w:clear="none"/>
      </w:r>
      <w:r>
        <w:rPr>
          <w:rStyle w:val="Text10"/>
        </w:rPr>
        <w:t xml:space="preserve">return</w:t>
        <w:br w:clear="none"/>
      </w:r>
      <w:r>
        <w:t xml:space="preserve"> </w:t>
        <w:br w:clear="none"/>
      </w:r>
      <w:r>
        <w:rPr>
          <w:rStyle w:val="Text9"/>
        </w:rPr>
        <w:t xml:space="preserve">counter</w:t>
        <w:br w:clear="none"/>
      </w:r>
      <w:r>
        <w:t xml:space="preserve"/>
        <w:br w:clear="none"/>
        <w:t xml:space="preserve"/>
        <w:br w:clear="none"/>
      </w:r>
      <w:r>
        <w:rPr>
          <w:rStyle w:val="Text9"/>
        </w:rPr>
        <w:t xml:space="preserve">c1</w:t>
        <w:br w:clear="none"/>
      </w:r>
      <w:r>
        <w:t xml:space="preserve"> </w:t>
        <w:br w:clear="none"/>
      </w:r>
      <w:r>
        <w:rPr>
          <w:rStyle w:val="Text13"/>
        </w:rPr>
        <w:t xml:space="preserve">=</w:t>
        <w:br w:clear="none"/>
      </w:r>
      <w:r>
        <w:t xml:space="preserve"> </w:t>
        <w:br w:clear="none"/>
      </w:r>
      <w:r>
        <w:rPr>
          <w:rStyle w:val="Text9"/>
        </w:rPr>
        <w:t xml:space="preserve">make_counter</w:t>
        <w:br w:clear="none"/>
      </w:r>
      <w:r>
        <w:rPr>
          <w:rStyle w:val="Text7"/>
        </w:rPr>
        <w:t xml:space="preserve">(</w:t>
        <w:br w:clear="none"/>
        <w:t xml:space="preserve">)</w:t>
        <w:br w:clear="none"/>
      </w:r>
      <w:r>
        <w:t xml:space="preserve"/>
        <w:br w:clear="none"/>
      </w:r>
      <w:r>
        <w:rPr>
          <w:rStyle w:val="Text9"/>
        </w:rPr>
        <w:t xml:space="preserve">c2</w:t>
        <w:br w:clear="none"/>
      </w:r>
      <w:r>
        <w:t xml:space="preserve"> </w:t>
        <w:br w:clear="none"/>
      </w:r>
      <w:r>
        <w:rPr>
          <w:rStyle w:val="Text13"/>
        </w:rPr>
        <w:t xml:space="preserve">=</w:t>
        <w:br w:clear="none"/>
      </w:r>
      <w:r>
        <w:t xml:space="preserve"> </w:t>
        <w:br w:clear="none"/>
      </w:r>
      <w:r>
        <w:rPr>
          <w:rStyle w:val="Text9"/>
        </w:rPr>
        <w:t xml:space="preserve">make_counter</w:t>
        <w:br w:clear="none"/>
      </w:r>
      <w:r>
        <w:rPr>
          <w:rStyle w:val="Text7"/>
        </w:rPr>
        <w:t xml:space="preserve">(</w:t>
        <w:br w:clear="none"/>
        <w:t xml:space="preserve">)</w:t>
        <w:br w:clear="none"/>
      </w:r>
      <w:r>
        <w:t xml:space="preserve"/>
        <w:br w:clear="none"/>
      </w:r>
      <w:r>
        <w:rPr>
          <w:rStyle w:val="Text16"/>
        </w:rPr>
        <w:t xml:space="preserve">print</w:t>
        <w:br w:clear="none"/>
      </w:r>
      <w:r>
        <w:rPr>
          <w:rStyle w:val="Text7"/>
        </w:rPr>
        <w:t xml:space="preserve">(</w:t>
        <w:br w:clear="none"/>
      </w:r>
      <w:r>
        <w:rPr>
          <w:rStyle w:val="Text9"/>
        </w:rPr>
        <w:t xml:space="preserve">c1</w:t>
        <w:br w:clear="none"/>
      </w:r>
      <w:r>
        <w:rPr>
          <w:rStyle w:val="Text7"/>
        </w:rPr>
        <w:t xml:space="preserve">(</w:t>
        <w:br w:clear="none"/>
        <w:t xml:space="preserve">)</w:t>
        <w:br w:clear="none"/>
        <w:t xml:space="preserve">,</w:t>
        <w:br w:clear="none"/>
      </w:r>
      <w:r>
        <w:t xml:space="preserve"> </w:t>
        <w:br w:clear="none"/>
      </w:r>
      <w:r>
        <w:rPr>
          <w:rStyle w:val="Text9"/>
        </w:rPr>
        <w:t xml:space="preserve">c1</w:t>
        <w:br w:clear="none"/>
      </w:r>
      <w:r>
        <w:rPr>
          <w:rStyle w:val="Text7"/>
        </w:rPr>
        <w:t xml:space="preserve">(</w:t>
        <w:br w:clear="none"/>
        <w:t xml:space="preserve">)</w:t>
        <w:br w:clear="none"/>
        <w:t xml:space="preserve">,</w:t>
        <w:br w:clear="none"/>
      </w:r>
      <w:r>
        <w:t xml:space="preserve"> </w:t>
        <w:br w:clear="none"/>
      </w:r>
      <w:r>
        <w:rPr>
          <w:rStyle w:val="Text9"/>
        </w:rPr>
        <w:t xml:space="preserve">c1</w:t>
        <w:br w:clear="none"/>
      </w:r>
      <w:r>
        <w:rPr>
          <w:rStyle w:val="Text7"/>
        </w:rPr>
        <w:t xml:space="preserve">(</w:t>
        <w:br w:clear="none"/>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1 2 3</w:t>
        <w:br w:clear="none"/>
      </w:r>
      <w:r>
        <w:t xml:space="preserve"/>
        <w:br w:clear="none"/>
      </w:r>
      <w:r>
        <w:rPr>
          <w:rStyle w:val="Text16"/>
        </w:rPr>
        <w:t xml:space="preserve">print</w:t>
        <w:br w:clear="none"/>
      </w:r>
      <w:r>
        <w:rPr>
          <w:rStyle w:val="Text7"/>
        </w:rPr>
        <w:t xml:space="preserve">(</w:t>
        <w:br w:clear="none"/>
      </w:r>
      <w:r>
        <w:rPr>
          <w:rStyle w:val="Text9"/>
        </w:rPr>
        <w:t xml:space="preserve">c2</w:t>
        <w:br w:clear="none"/>
      </w:r>
      <w:r>
        <w:rPr>
          <w:rStyle w:val="Text7"/>
        </w:rPr>
        <w:t xml:space="preserve">(</w:t>
        <w:br w:clear="none"/>
        <w:t xml:space="preserve">)</w:t>
        <w:br w:clear="none"/>
        <w:t xml:space="preserve">,</w:t>
        <w:br w:clear="none"/>
      </w:r>
      <w:r>
        <w:t xml:space="preserve"> </w:t>
        <w:br w:clear="none"/>
      </w:r>
      <w:r>
        <w:rPr>
          <w:rStyle w:val="Text9"/>
        </w:rPr>
        <w:t xml:space="preserve">c2</w:t>
        <w:br w:clear="none"/>
      </w:r>
      <w:r>
        <w:rPr>
          <w:rStyle w:val="Text7"/>
        </w:rPr>
        <w:t xml:space="preserve">(</w:t>
        <w:br w:clear="none"/>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1 2</w:t>
        <w:br w:clear="none"/>
      </w:r>
      <w:r>
        <w:t xml:space="preserve"/>
        <w:br w:clear="none"/>
      </w:r>
      <w:r>
        <w:rPr>
          <w:rStyle w:val="Text16"/>
        </w:rPr>
        <w:t xml:space="preserve">print</w:t>
        <w:br w:clear="none"/>
      </w:r>
      <w:r>
        <w:rPr>
          <w:rStyle w:val="Text7"/>
        </w:rPr>
        <w:t xml:space="preserve">(</w:t>
        <w:br w:clear="none"/>
      </w:r>
      <w:r>
        <w:rPr>
          <w:rStyle w:val="Text9"/>
        </w:rPr>
        <w:t xml:space="preserve">c1</w:t>
        <w:br w:clear="none"/>
      </w:r>
      <w:r>
        <w:rPr>
          <w:rStyle w:val="Text7"/>
        </w:rPr>
        <w:t xml:space="preserve">(</w:t>
        <w:br w:clear="none"/>
        <w:t xml:space="preserve">)</w:t>
        <w:br w:clear="none"/>
        <w:t xml:space="preserve">,</w:t>
        <w:br w:clear="none"/>
      </w:r>
      <w:r>
        <w:t xml:space="preserve"> </w:t>
        <w:br w:clear="none"/>
      </w:r>
      <w:r>
        <w:rPr>
          <w:rStyle w:val="Text9"/>
        </w:rPr>
        <w:t xml:space="preserve">c2</w:t>
        <w:br w:clear="none"/>
      </w:r>
      <w:r>
        <w:rPr>
          <w:rStyle w:val="Text7"/>
        </w:rPr>
        <w:t xml:space="preserve">(</w:t>
        <w:br w:clear="none"/>
        <w:t xml:space="preserve">)</w:t>
        <w:br w:clear="none"/>
        <w:t xml:space="preserve">,</w:t>
        <w:br w:clear="none"/>
      </w:r>
      <w:r>
        <w:t xml:space="preserve"> </w:t>
        <w:br w:clear="none"/>
      </w:r>
      <w:r>
        <w:rPr>
          <w:rStyle w:val="Text9"/>
        </w:rPr>
        <w:t xml:space="preserve">c1</w:t>
        <w:br w:clear="none"/>
      </w:r>
      <w:r>
        <w:rPr>
          <w:rStyle w:val="Text7"/>
        </w:rPr>
        <w:t xml:space="preserve">(</w:t>
        <w:br w:clear="none"/>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4 3 5</w:t>
        <w:br w:clear="none"/>
      </w:r>
    </w:p>
    <w:p>
      <w:pPr>
        <w:pStyle w:val="Normal"/>
      </w:pPr>
      <w:r>
        <w:t xml:space="preserve">A key advantage of this approach versus the previous ones is that these two nested functions, just like an object-oriented approach would, let you make independent counters—here </w:t>
      </w:r>
      <w:r>
        <w:rPr>
          <w:rStyle w:val="Text0"/>
        </w:rPr>
        <w:t>c1</w:t>
      </w:r>
      <w:r>
        <w:t xml:space="preserve"> and </w:t>
      </w:r>
      <w:r>
        <w:rPr>
          <w:rStyle w:val="Text0"/>
        </w:rPr>
        <w:t>c2</w:t>
      </w:r>
      <w:r>
        <w:t>. Each closure keeps its own state and doesn’t interfere with the other one.</w:t>
      </w:r>
    </w:p>
    <w:p>
      <w:bookmarkStart w:id="1189" w:name="lambda_Expressions__If_a_functio"/>
      <w:pPr>
        <w:keepNext/>
        <w:pStyle w:val="Heading 2"/>
      </w:pPr>
      <w:r>
        <w:t>lambda Expressions</w:t>
      </w:r>
      <w:bookmarkEnd w:id="1189"/>
    </w:p>
    <w:p>
      <w:pPr>
        <w:pStyle w:val="Normal"/>
      </w:pPr>
      <w:r>
        <w:t>If</w:t>
      </w:r>
      <w:r>
        <w:rPr>
          <w:rStyle w:val="Text111"/>
        </w:rPr>
        <w:bookmarkStart w:id="1190" w:name="idm45965269698592"/>
        <w:t/>
        <w:bookmarkEnd w:id="1190"/>
      </w:r>
      <w:r>
        <w:t xml:space="preserve"> a function body is a single </w:t>
      </w:r>
      <w:r>
        <w:rPr>
          <w:rStyle w:val="Text5"/>
        </w:rPr>
        <w:t>return</w:t>
      </w:r>
      <w:r>
        <w:t xml:space="preserve"> </w:t>
      </w:r>
      <w:r>
        <w:rPr>
          <w:rStyle w:val="Text3"/>
        </w:rPr>
        <w:t>expression</w:t>
      </w:r>
      <w:r>
        <w:t xml:space="preserve"> statement, you may (</w:t>
      </w:r>
      <w:r>
        <w:rPr>
          <w:rStyle w:val="Text4"/>
        </w:rPr>
        <w:t>very</w:t>
      </w:r>
      <w:r>
        <w:t xml:space="preserve"> optionally!) choose to replace the function with the special </w:t>
      </w:r>
      <w:r>
        <w:rPr>
          <w:rStyle w:val="Text5"/>
        </w:rPr>
        <w:t>lambda</w:t>
      </w:r>
      <w:r>
        <w:t xml:space="preserve"> expression form:</w:t>
      </w:r>
    </w:p>
    <w:p>
      <w:pPr>
        <w:pStyle w:val="Para 032"/>
      </w:pPr>
      <w:r>
        <w:rPr>
          <w:rStyle w:val="Text116"/>
        </w:rPr>
        <w:t xml:space="preserve"/>
        <w:br w:clear="none"/>
      </w:r>
      <w:r>
        <w:rPr>
          <w:rStyle w:val="Text22"/>
        </w:rPr>
        <w:t xml:space="preserve">lambda</w:t>
        <w:br w:clear="none"/>
      </w:r>
      <w:r>
        <w:rPr>
          <w:rStyle w:val="Text11"/>
        </w:rPr>
        <w:t xml:space="preserve"> </w:t>
        <w:br w:clear="none"/>
      </w:r>
      <w:r>
        <w:t xml:space="preserve">parameters</w:t>
        <w:br w:clear="none"/>
      </w:r>
      <w:r>
        <w:rPr>
          <w:rStyle w:val="Text19"/>
        </w:rPr>
        <w:t xml:space="preserve">:</w:t>
        <w:br w:clear="none"/>
      </w:r>
      <w:r>
        <w:rPr>
          <w:rStyle w:val="Text11"/>
        </w:rPr>
        <w:t xml:space="preserve"> </w:t>
        <w:br w:clear="none"/>
      </w:r>
      <w:r>
        <w:t xml:space="preserve">expression</w:t>
        <w:br w:clear="none"/>
      </w:r>
    </w:p>
    <w:p>
      <w:pPr>
        <w:pStyle w:val="Normal"/>
      </w:pPr>
      <w:r>
        <w:t xml:space="preserve">A </w:t>
      </w:r>
      <w:r>
        <w:rPr>
          <w:rStyle w:val="Text5"/>
        </w:rPr>
        <w:t>lambda</w:t>
      </w:r>
      <w:r>
        <w:t xml:space="preserve"> expression is the anonymous equivalent of a normal function whose body is a single </w:t>
      </w:r>
      <w:r>
        <w:rPr>
          <w:rStyle w:val="Text5"/>
        </w:rPr>
        <w:t>return</w:t>
      </w:r>
      <w:r>
        <w:t xml:space="preserve"> statement. The </w:t>
      </w:r>
      <w:r>
        <w:rPr>
          <w:rStyle w:val="Text5"/>
        </w:rPr>
        <w:t>lambda</w:t>
      </w:r>
      <w:r>
        <w:t xml:space="preserve"> syntax does not use the </w:t>
      </w:r>
      <w:r>
        <w:rPr>
          <w:rStyle w:val="Text5"/>
        </w:rPr>
        <w:t>return</w:t>
      </w:r>
      <w:r>
        <w:t xml:space="preserve"> keyword. You can use a </w:t>
      </w:r>
      <w:r>
        <w:rPr>
          <w:rStyle w:val="Text5"/>
        </w:rPr>
        <w:t>lambda</w:t>
      </w:r>
      <w:r>
        <w:t xml:space="preserve"> expression wherever you could use a reference to a function. </w:t>
      </w:r>
      <w:r>
        <w:rPr>
          <w:rStyle w:val="Text5"/>
        </w:rPr>
        <w:t>lambda</w:t>
      </w:r>
      <w:r>
        <w:t xml:space="preserve"> can sometimes be handy when you want to use an </w:t>
      </w:r>
      <w:r>
        <w:rPr>
          <w:rStyle w:val="Text4"/>
        </w:rPr>
        <w:t>extremely simple</w:t>
      </w:r>
      <w:r>
        <w:t xml:space="preserve"> function as an argument or return value.</w:t>
      </w:r>
    </w:p>
    <w:p>
      <w:pPr>
        <w:pStyle w:val="Normal"/>
      </w:pPr>
      <w:r>
        <w:t xml:space="preserve">Here’s an example that uses a </w:t>
      </w:r>
      <w:r>
        <w:rPr>
          <w:rStyle w:val="Text5"/>
        </w:rPr>
        <w:t>lambda</w:t>
      </w:r>
      <w:r>
        <w:t xml:space="preserve"> expression as an argument to the built-in </w:t>
      </w:r>
      <w:r>
        <w:rPr>
          <w:rStyle w:val="Text0"/>
        </w:rPr>
        <w:t>sorted</w:t>
      </w:r>
      <w:r>
        <w:t xml:space="preserve"> function (covered in </w:t>
      </w:r>
      <w:hyperlink w:anchor="Table_8_2__Python_s_core_built_i">
        <w:r>
          <w:rPr>
            <w:rStyle w:val="Text1"/>
          </w:rPr>
          <w:t>Table 8-2</w:t>
        </w:r>
      </w:hyperlink>
      <w:r>
        <w:t>):</w:t>
      </w:r>
    </w:p>
    <w:p>
      <w:pPr>
        <w:pStyle w:val="Para 014"/>
      </w:pPr>
      <w:r>
        <w:rPr>
          <w:rStyle w:val="Text116"/>
        </w:rPr>
        <w:t xml:space="preserve"/>
        <w:br w:clear="none"/>
      </w:r>
      <w:r>
        <w:rPr>
          <w:rStyle w:val="Text14"/>
        </w:rPr>
        <w:t xml:space="preserve">a_list</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28"/>
        </w:rPr>
        <w:t xml:space="preserve">-</w:t>
        <w:br w:clear="none"/>
      </w:r>
      <w:r>
        <w:rPr>
          <w:rStyle w:val="Text35"/>
        </w:rPr>
        <w:t xml:space="preserve">2</w:t>
        <w:br w:clear="none"/>
      </w:r>
      <w:r>
        <w:rPr>
          <w:rStyle w:val="Text19"/>
        </w:rPr>
        <w:t xml:space="preserve">,</w:t>
        <w:br w:clear="none"/>
      </w:r>
      <w:r>
        <w:rPr>
          <w:rStyle w:val="Text11"/>
        </w:rPr>
        <w:t xml:space="preserve"> </w:t>
        <w:br w:clear="none"/>
      </w:r>
      <w:r>
        <w:rPr>
          <w:rStyle w:val="Text28"/>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br w:clear="none"/>
      </w:r>
      <w:r>
        <w:rPr>
          <w:rStyle w:val="Text21"/>
        </w:rPr>
        <w:t xml:space="preserve">sorted</w:t>
        <w:br w:clear="none"/>
      </w:r>
      <w:r>
        <w:rPr>
          <w:rStyle w:val="Text19"/>
        </w:rPr>
        <w:t xml:space="preserve">(</w:t>
        <w:br w:clear="none"/>
      </w:r>
      <w:r>
        <w:rPr>
          <w:rStyle w:val="Text14"/>
        </w:rPr>
        <w:t xml:space="preserve">a_list</w:t>
        <w:br w:clear="none"/>
      </w:r>
      <w:r>
        <w:rPr>
          <w:rStyle w:val="Text19"/>
        </w:rPr>
        <w:t xml:space="preserve">,</w:t>
        <w:br w:clear="none"/>
      </w:r>
      <w:r>
        <w:rPr>
          <w:rStyle w:val="Text11"/>
        </w:rPr>
        <w:t xml:space="preserve"> </w:t>
        <w:br w:clear="none"/>
      </w:r>
      <w:r>
        <w:rPr>
          <w:rStyle w:val="Text14"/>
        </w:rPr>
        <w:t xml:space="preserve">key</w:t>
        <w:br w:clear="none"/>
      </w:r>
      <w:r>
        <w:rPr>
          <w:rStyle w:val="Text28"/>
        </w:rPr>
        <w:t xml:space="preserve">=</w:t>
        <w:br w:clear="none"/>
      </w:r>
      <w:r>
        <w:rPr>
          <w:rStyle w:val="Text22"/>
        </w:rPr>
        <w:t xml:space="preserve">lambda</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t xml:space="preserve"># returns: [0, -1, 1, -2, 2]</w:t>
        <w:br w:clear="none"/>
      </w:r>
    </w:p>
    <w:p>
      <w:pPr>
        <w:pStyle w:val="Normal"/>
      </w:pPr>
      <w:r>
        <w:t xml:space="preserve">Alternatively, you can always use a local </w:t>
      </w:r>
      <w:r>
        <w:rPr>
          <w:rStyle w:val="Text5"/>
        </w:rPr>
        <w:t>def</w:t>
      </w:r>
      <w:r>
        <w:t xml:space="preserve"> statement to give the function object a name, then use this name as an argument or return value. Here’s the same </w:t>
      </w:r>
      <w:r>
        <w:rPr>
          <w:rStyle w:val="Text0"/>
        </w:rPr>
        <w:t>sorted</w:t>
      </w:r>
      <w:r>
        <w:t xml:space="preserve"> example using a local </w:t>
      </w:r>
      <w:r>
        <w:rPr>
          <w:rStyle w:val="Text5"/>
        </w:rPr>
        <w:t>def</w:t>
      </w:r>
      <w:r>
        <w:t xml:space="preserve"> statement:</w:t>
      </w:r>
    </w:p>
    <w:p>
      <w:pPr>
        <w:pStyle w:val="Para 007"/>
      </w:pPr>
      <w:r>
        <w:rPr>
          <w:rStyle w:val="Text23"/>
        </w:rPr>
        <w:t xml:space="preserve"/>
        <w:br w:clear="none"/>
      </w:r>
      <w:r>
        <w:t xml:space="preserve">a_list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13"/>
        </w:rPr>
        <w:t xml:space="preserve">-</w:t>
        <w:br w:clear="none"/>
      </w:r>
      <w:r>
        <w:rPr>
          <w:rStyle w:val="Text27"/>
        </w:rPr>
        <w:t xml:space="preserve">2</w:t>
        <w:br w:clear="none"/>
      </w:r>
      <w:r>
        <w:rPr>
          <w:rStyle w:val="Text7"/>
        </w:rPr>
        <w:t xml:space="preserve">,</w:t>
        <w:br w:clear="none"/>
      </w:r>
      <w:r>
        <w:rPr>
          <w:rStyle w:val="Text6"/>
        </w:rPr>
        <w:t xml:space="preserve"> </w:t>
        <w:br w:clear="none"/>
      </w:r>
      <w:r>
        <w:rPr>
          <w:rStyle w:val="Text13"/>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0</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square</w:t>
        <w:br w:clear="none"/>
      </w:r>
      <w:r>
        <w:rPr>
          <w:rStyle w:val="Text7"/>
        </w:rPr>
        <w:t xml:space="preserve">(</w:t>
        <w:br w:clear="none"/>
      </w:r>
      <w:r>
        <w:t xml:space="preserve">value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value</w:t>
        <w:br w:clear="none"/>
      </w:r>
      <w:r>
        <w:rPr>
          <w:rStyle w:val="Text6"/>
        </w:rPr>
        <w:t xml:space="preserve"> </w:t>
        <w:br w:clear="none"/>
      </w:r>
      <w:r>
        <w:rPr>
          <w:rStyle w:val="Text13"/>
        </w:rPr>
        <w:t xml:space="preserve">*</w:t>
        <w:br w:clear="none"/>
      </w:r>
      <w:r>
        <w:rPr>
          <w:rStyle w:val="Text6"/>
        </w:rPr>
        <w:t xml:space="preserve"> </w:t>
        <w:br w:clear="none"/>
      </w:r>
      <w:r>
        <w:t xml:space="preserve">value</w:t>
        <w:br w:clear="none"/>
      </w:r>
      <w:r>
        <w:rPr>
          <w:rStyle w:val="Text6"/>
        </w:rPr>
        <w:t xml:space="preserve"/>
        <w:br w:clear="none"/>
      </w:r>
      <w:r>
        <w:rPr>
          <w:rStyle w:val="Text16"/>
        </w:rPr>
        <w:t xml:space="preserve">sorted</w:t>
        <w:br w:clear="none"/>
      </w:r>
      <w:r>
        <w:rPr>
          <w:rStyle w:val="Text7"/>
        </w:rPr>
        <w:t xml:space="preserve">(</w:t>
        <w:br w:clear="none"/>
      </w:r>
      <w:r>
        <w:t xml:space="preserve">a_list</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t xml:space="preserve">square</w:t>
        <w:br w:clear="none"/>
      </w:r>
      <w:r>
        <w:rPr>
          <w:rStyle w:val="Text7"/>
        </w:rPr>
        <w:t xml:space="preserve">)</w:t>
        <w:br w:clear="none"/>
      </w:r>
      <w:r>
        <w:rPr>
          <w:rStyle w:val="Text6"/>
        </w:rPr>
        <w:t xml:space="preserve">           </w:t>
        <w:br w:clear="none"/>
      </w:r>
      <w:r>
        <w:rPr>
          <w:rStyle w:val="Text15"/>
        </w:rPr>
        <w:t xml:space="preserve"># returns: [0, -1, 1, -2, 2]</w:t>
        <w:br w:clear="none"/>
      </w:r>
    </w:p>
    <w:p>
      <w:pPr>
        <w:pStyle w:val="Normal"/>
      </w:pPr>
      <w:r>
        <w:t xml:space="preserve">While </w:t>
      </w:r>
      <w:r>
        <w:rPr>
          <w:rStyle w:val="Text5"/>
        </w:rPr>
        <w:t>lambda</w:t>
      </w:r>
      <w:r>
        <w:t xml:space="preserve"> can at times be handy, </w:t>
      </w:r>
      <w:r>
        <w:rPr>
          <w:rStyle w:val="Text5"/>
        </w:rPr>
        <w:t>def</w:t>
      </w:r>
      <w:r>
        <w:t xml:space="preserve"> is usually better: it’s more general and helps you make your code more readable, since you can choose a clear name for the function.</w:t>
      </w:r>
      <w:r>
        <w:rPr>
          <w:rStyle w:val="Text111"/>
        </w:rPr>
        <w:bookmarkStart w:id="1191" w:name="idm45965259627424"/>
        <w:t/>
        <w:bookmarkEnd w:id="1191"/>
      </w:r>
    </w:p>
    <w:p>
      <w:bookmarkStart w:id="1192" w:name="Generators__When_the_body_of_a_f"/>
      <w:pPr>
        <w:keepNext/>
        <w:pStyle w:val="Heading 2"/>
      </w:pPr>
      <w:r>
        <w:t>Generators</w:t>
      </w:r>
      <w:bookmarkEnd w:id="1192"/>
    </w:p>
    <w:p>
      <w:pPr>
        <w:pStyle w:val="Normal"/>
      </w:pPr>
      <w:r>
        <w:t>When</w:t>
      </w:r>
      <w:r>
        <w:rPr>
          <w:rStyle w:val="Text111"/>
        </w:rPr>
        <w:bookmarkStart w:id="1193" w:name="idm45965259623888"/>
        <w:t/>
        <w:bookmarkEnd w:id="1193"/>
        <w:bookmarkStart w:id="1194" w:name="gene03"/>
        <w:t/>
        <w:bookmarkEnd w:id="1194"/>
      </w:r>
      <w:r>
        <w:t xml:space="preserve"> the body of a function contains one or more occurrences of the keyword </w:t>
      </w:r>
      <w:r>
        <w:rPr>
          <w:rStyle w:val="Text5"/>
        </w:rPr>
        <w:t>yield</w:t>
      </w:r>
      <w:r>
        <w:t xml:space="preserve">, the function is known as a </w:t>
      </w:r>
      <w:r>
        <w:rPr>
          <w:rStyle w:val="Text4"/>
        </w:rPr>
        <w:t>generator</w:t>
      </w:r>
      <w:r>
        <w:t>, or more precisely a</w:t>
      </w:r>
      <w:r>
        <w:rPr>
          <w:rStyle w:val="Text111"/>
        </w:rPr>
        <w:bookmarkStart w:id="1195" w:name="idm45965259591232"/>
        <w:t/>
        <w:bookmarkEnd w:id="1195"/>
      </w:r>
      <w:r>
        <w:t xml:space="preserve"> </w:t>
      </w:r>
      <w:r>
        <w:rPr>
          <w:rStyle w:val="Text4"/>
        </w:rPr>
        <w:t>generator function</w:t>
      </w:r>
      <w:r>
        <w:t>. When you call a generator, the function body does not execute. Instead, the generator function returns a special iterator object, known as a</w:t>
      </w:r>
      <w:r>
        <w:rPr>
          <w:rStyle w:val="Text111"/>
        </w:rPr>
        <w:bookmarkStart w:id="1196" w:name="idm45965259589360"/>
        <w:t/>
        <w:bookmarkEnd w:id="1196"/>
      </w:r>
      <w:r>
        <w:t xml:space="preserve"> </w:t>
      </w:r>
      <w:r>
        <w:rPr>
          <w:rStyle w:val="Text4"/>
        </w:rPr>
        <w:t>generator object</w:t>
      </w:r>
      <w:r>
        <w:t xml:space="preserve"> (sometimes, quite confusingly, also called just “a generator”), wrapping the function body, its local variables (including parameters), and the current point of execution (initially, the start of the function).</w:t>
      </w:r>
    </w:p>
    <w:p>
      <w:pPr>
        <w:pStyle w:val="Normal"/>
      </w:pPr>
      <w:r>
        <w:t xml:space="preserve">When you (implicitly or explicitly) call </w:t>
      </w:r>
      <w:r>
        <w:rPr>
          <w:rStyle w:val="Text0"/>
        </w:rPr>
        <w:t>next</w:t>
      </w:r>
      <w:r>
        <w:t xml:space="preserve"> on a generator object, the function body executes from the current point up to the next </w:t>
      </w:r>
      <w:r>
        <w:rPr>
          <w:rStyle w:val="Text5"/>
        </w:rPr>
        <w:t>yield</w:t>
      </w:r>
      <w:r>
        <w:t>, which takes the form:</w:t>
      </w:r>
    </w:p>
    <w:p>
      <w:pPr>
        <w:pStyle w:val="Para 032"/>
      </w:pPr>
      <w:r>
        <w:rPr>
          <w:rStyle w:val="Text116"/>
        </w:rPr>
        <w:t xml:space="preserve"/>
        <w:br w:clear="none"/>
      </w:r>
      <w:r>
        <w:rPr>
          <w:rStyle w:val="Text22"/>
        </w:rPr>
        <w:t xml:space="preserve">yield</w:t>
        <w:br w:clear="none"/>
      </w:r>
      <w:r>
        <w:rPr>
          <w:rStyle w:val="Text11"/>
        </w:rPr>
        <w:t xml:space="preserve"> </w:t>
        <w:br w:clear="none"/>
      </w:r>
      <w:r>
        <w:t xml:space="preserve">expression</w:t>
        <w:br w:clear="none"/>
      </w:r>
    </w:p>
    <w:p>
      <w:pPr>
        <w:pStyle w:val="Normal"/>
      </w:pPr>
      <w:r>
        <w:t xml:space="preserve">A bare </w:t>
      </w:r>
      <w:r>
        <w:rPr>
          <w:rStyle w:val="Text5"/>
        </w:rPr>
        <w:t>yield</w:t>
      </w:r>
      <w:r>
        <w:t xml:space="preserve"> without the expression is also legal, and equivalent to </w:t>
      </w:r>
      <w:r>
        <w:rPr>
          <w:rStyle w:val="Text5"/>
        </w:rPr>
        <w:t>yield</w:t>
      </w:r>
      <w:r>
        <w:t xml:space="preserve"> </w:t>
      </w:r>
      <w:r>
        <w:rPr>
          <w:rStyle w:val="Text5"/>
        </w:rPr>
        <w:t>None</w:t>
      </w:r>
      <w:r>
        <w:t xml:space="preserve">. When </w:t>
      </w:r>
      <w:r>
        <w:rPr>
          <w:rStyle w:val="Text5"/>
        </w:rPr>
        <w:t>yield</w:t>
      </w:r>
      <w:r>
        <w:t xml:space="preserve"> executes, the function execution is “frozen,” preserving the current point of execution and local variables, and the expression following </w:t>
      </w:r>
      <w:r>
        <w:rPr>
          <w:rStyle w:val="Text5"/>
        </w:rPr>
        <w:t>yield</w:t>
      </w:r>
      <w:r>
        <w:t xml:space="preserve"> becomes the result of </w:t>
      </w:r>
      <w:r>
        <w:rPr>
          <w:rStyle w:val="Text0"/>
        </w:rPr>
        <w:t>next</w:t>
      </w:r>
      <w:r>
        <w:t xml:space="preserve">. When you call </w:t>
      </w:r>
      <w:r>
        <w:rPr>
          <w:rStyle w:val="Text0"/>
        </w:rPr>
        <w:t>next</w:t>
      </w:r>
      <w:r>
        <w:t xml:space="preserve"> again, execution of the function body resumes where it left off, again up to the next </w:t>
      </w:r>
      <w:r>
        <w:rPr>
          <w:rStyle w:val="Text5"/>
        </w:rPr>
        <w:t>yield</w:t>
      </w:r>
      <w:r>
        <w:t xml:space="preserve">. When the function body ends, or executes a </w:t>
      </w:r>
      <w:r>
        <w:rPr>
          <w:rStyle w:val="Text5"/>
        </w:rPr>
        <w:t>return</w:t>
      </w:r>
      <w:r>
        <w:t xml:space="preserve"> statement, the iterator raises a </w:t>
      </w:r>
      <w:r>
        <w:rPr>
          <w:rStyle w:val="Text0"/>
        </w:rPr>
        <w:t>StopIteration</w:t>
      </w:r>
      <w:r>
        <w:t xml:space="preserve"> exception to indicate that the iteration is finished. The expression after </w:t>
      </w:r>
      <w:r>
        <w:rPr>
          <w:rStyle w:val="Text5"/>
        </w:rPr>
        <w:t>return</w:t>
      </w:r>
      <w:r>
        <w:t xml:space="preserve">, if any, is the argument to the </w:t>
      </w:r>
      <w:r>
        <w:rPr>
          <w:rStyle w:val="Text0"/>
        </w:rPr>
        <w:t>StopIteration</w:t>
      </w:r>
      <w:r>
        <w:t xml:space="preserve"> exception.</w:t>
      </w:r>
    </w:p>
    <w:p>
      <w:pPr>
        <w:pStyle w:val="Normal"/>
      </w:pPr>
      <w:r>
        <w:rPr>
          <w:rStyle w:val="Text5"/>
        </w:rPr>
        <w:t>yield</w:t>
      </w:r>
      <w:r>
        <w:t xml:space="preserve"> is an expression, not a statement. When you call </w:t>
      </w:r>
      <w:r>
        <w:rPr>
          <w:rStyle w:val="Text3"/>
        </w:rPr>
        <w:t>g</w:t>
      </w:r>
      <w:r>
        <w:rPr>
          <w:rStyle w:val="Text0"/>
        </w:rPr>
        <w:t>.send(</w:t>
      </w:r>
      <w:r>
        <w:rPr>
          <w:rStyle w:val="Text3"/>
        </w:rPr>
        <w:t>value</w:t>
      </w:r>
      <w:r>
        <w:rPr>
          <w:rStyle w:val="Text0"/>
        </w:rPr>
        <w:t>)</w:t>
      </w:r>
      <w:r>
        <w:t xml:space="preserve"> on a generator object </w:t>
      </w:r>
      <w:r>
        <w:rPr>
          <w:rStyle w:val="Text3"/>
        </w:rPr>
        <w:t>g</w:t>
      </w:r>
      <w:r>
        <w:t xml:space="preserve">, the value of </w:t>
      </w:r>
      <w:r>
        <w:rPr>
          <w:rStyle w:val="Text5"/>
        </w:rPr>
        <w:t>yield</w:t>
      </w:r>
      <w:r>
        <w:t xml:space="preserve"> is </w:t>
      </w:r>
      <w:r>
        <w:rPr>
          <w:rStyle w:val="Text3"/>
        </w:rPr>
        <w:t>value</w:t>
      </w:r>
      <w:r>
        <w:t xml:space="preserve">; when you call </w:t>
      </w:r>
      <w:r>
        <w:rPr>
          <w:rStyle w:val="Text0"/>
        </w:rPr>
        <w:t>next(</w:t>
      </w:r>
      <w:r>
        <w:rPr>
          <w:rStyle w:val="Text3"/>
        </w:rPr>
        <w:t>g</w:t>
      </w:r>
      <w:r>
        <w:rPr>
          <w:rStyle w:val="Text0"/>
        </w:rPr>
        <w:t>)</w:t>
      </w:r>
      <w:r>
        <w:t xml:space="preserve">, the value of </w:t>
      </w:r>
      <w:r>
        <w:rPr>
          <w:rStyle w:val="Text5"/>
        </w:rPr>
        <w:t>yield</w:t>
      </w:r>
      <w:r>
        <w:t xml:space="preserve"> is </w:t>
      </w:r>
      <w:r>
        <w:rPr>
          <w:rStyle w:val="Text5"/>
        </w:rPr>
        <w:t>None</w:t>
      </w:r>
      <w:r>
        <w:t xml:space="preserve">. We’ll talk more about this shortly: it’s an elementary building block for implementing </w:t>
      </w:r>
      <w:hyperlink r:id="rId223">
        <w:r>
          <w:rPr>
            <w:rStyle w:val="Text1"/>
          </w:rPr>
          <w:t>coroutines</w:t>
        </w:r>
      </w:hyperlink>
      <w:r>
        <w:t xml:space="preserve"> in Python.</w:t>
      </w:r>
    </w:p>
    <w:p>
      <w:pPr>
        <w:pStyle w:val="Normal"/>
      </w:pPr>
      <w:r>
        <w:t xml:space="preserve">A generator function is often a handy way to build an iterator. Since the most common way to use an iterator is to loop on it with a </w:t>
      </w:r>
      <w:r>
        <w:rPr>
          <w:rStyle w:val="Text5"/>
        </w:rPr>
        <w:t>for</w:t>
      </w:r>
      <w:r>
        <w:t xml:space="preserve"> statement, you typically call a generator like this (with the call to </w:t>
      </w:r>
      <w:r>
        <w:rPr>
          <w:rStyle w:val="Text0"/>
        </w:rPr>
        <w:t>next</w:t>
      </w:r>
      <w:r>
        <w:t xml:space="preserve"> being implicit in the </w:t>
      </w:r>
      <w:r>
        <w:rPr>
          <w:rStyle w:val="Text5"/>
        </w:rPr>
        <w:t>for</w:t>
      </w:r>
      <w:r>
        <w:t xml:space="preserve"> statement):</w:t>
      </w:r>
    </w:p>
    <w:p>
      <w:pPr>
        <w:pStyle w:val="Para 032"/>
      </w:pPr>
      <w:r>
        <w:rPr>
          <w:rStyle w:val="Text116"/>
        </w:rPr>
        <w:t xml:space="preserve"/>
        <w:br w:clear="none"/>
      </w:r>
      <w:r>
        <w:rPr>
          <w:rStyle w:val="Text22"/>
        </w:rPr>
        <w:t xml:space="preserve">for</w:t>
        <w:br w:clear="none"/>
      </w:r>
      <w:r>
        <w:rPr>
          <w:rStyle w:val="Text11"/>
        </w:rPr>
        <w:t xml:space="preserve"> </w:t>
        <w:br w:clear="none"/>
      </w:r>
      <w:r>
        <w:t xml:space="preserve">avariable</w:t>
        <w:br w:clear="none"/>
      </w:r>
      <w:r>
        <w:rPr>
          <w:rStyle w:val="Text11"/>
        </w:rPr>
        <w:t xml:space="preserve"> </w:t>
        <w:br w:clear="none"/>
      </w:r>
      <w:r>
        <w:rPr>
          <w:rStyle w:val="Text51"/>
        </w:rPr>
        <w:t xml:space="preserve">in</w:t>
        <w:br w:clear="none"/>
      </w:r>
      <w:r>
        <w:rPr>
          <w:rStyle w:val="Text11"/>
        </w:rPr>
        <w:t xml:space="preserve"> </w:t>
        <w:br w:clear="none"/>
      </w:r>
      <w:r>
        <w:t xml:space="preserve">somegenerator</w:t>
        <w:br w:clear="none"/>
      </w:r>
      <w:r>
        <w:rPr>
          <w:rStyle w:val="Text19"/>
        </w:rPr>
        <w:t xml:space="preserve">(</w:t>
        <w:br w:clear="none"/>
      </w:r>
      <w:r>
        <w:t xml:space="preserve">arguments</w:t>
        <w:br w:clear="none"/>
      </w:r>
      <w:r>
        <w:rPr>
          <w:rStyle w:val="Text19"/>
        </w:rPr>
        <w:t xml:space="preserve">)</w:t>
        <w:br w:clear="none"/>
        <w:t xml:space="preserve">:</w:t>
        <w:br w:clear="none"/>
      </w:r>
    </w:p>
    <w:p>
      <w:pPr>
        <w:pStyle w:val="Normal"/>
      </w:pPr>
      <w:r>
        <w:t xml:space="preserve">For example, say that you want a sequence of numbers counting up from </w:t>
      </w:r>
      <w:r>
        <w:rPr>
          <w:rStyle w:val="Text0"/>
        </w:rPr>
        <w:t>1</w:t>
      </w:r>
      <w:r>
        <w:t xml:space="preserve"> to </w:t>
      </w:r>
      <w:r>
        <w:rPr>
          <w:rStyle w:val="Text3"/>
        </w:rPr>
        <w:t>N</w:t>
      </w:r>
      <w:r>
        <w:t xml:space="preserve"> and then down to </w:t>
      </w:r>
      <w:r>
        <w:rPr>
          <w:rStyle w:val="Text0"/>
        </w:rPr>
        <w:t>1</w:t>
      </w:r>
      <w:r>
        <w:t xml:space="preserve"> again. A generator can help:</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updown</w:t>
        <w:br w:clear="none"/>
      </w:r>
      <w:r>
        <w:rPr>
          <w:rStyle w:val="Text7"/>
        </w:rPr>
        <w:t xml:space="preserve">(</w:t>
        <w:br w:clear="none"/>
      </w:r>
      <w:r>
        <w:rPr>
          <w:rStyle w:val="Text9"/>
        </w:rPr>
        <w:t xml:space="preserve">N</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27"/>
        </w:rPr>
        <w:t xml:space="preserve">1</w:t>
        <w:br w:clear="none"/>
      </w:r>
      <w:r>
        <w:rPr>
          <w:rStyle w:val="Text7"/>
        </w:rPr>
        <w:t xml:space="preserve">,</w:t>
        <w:br w:clear="none"/>
      </w:r>
      <w:r>
        <w:t xml:space="preserve"> </w:t>
        <w:br w:clear="none"/>
      </w:r>
      <w:r>
        <w:rPr>
          <w:rStyle w:val="Text9"/>
        </w:rPr>
        <w:t xml:space="preserve">N</w:t>
        <w:br w:clear="none"/>
      </w:r>
      <w:r>
        <w:rPr>
          <w:rStyle w:val="Text7"/>
        </w:rPr>
        <w:t xml:space="preserve">)</w:t>
        <w:br w:clear="none"/>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x</w:t>
        <w:br w:clear="none"/>
      </w:r>
      <w:r>
        <w:t xml:space="preserve"/>
        <w:br w:clear="none"/>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9"/>
        </w:rPr>
        <w:t xml:space="preserve">N</w:t>
        <w:br w:clear="none"/>
      </w:r>
      <w:r>
        <w:rPr>
          <w:rStyle w:val="Text7"/>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13"/>
        </w:rPr>
        <w:t xml:space="preserve">-</w:t>
        <w:br w:clear="none"/>
      </w:r>
      <w:r>
        <w:rPr>
          <w:rStyle w:val="Text27"/>
        </w:rPr>
        <w:t xml:space="preserve">1</w:t>
        <w:br w:clear="none"/>
      </w:r>
      <w:r>
        <w:rPr>
          <w:rStyle w:val="Text7"/>
        </w:rPr>
        <w:t xml:space="preserve">)</w:t>
        <w:br w:clear="none"/>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x</w:t>
        <w:br w:clear="none"/>
      </w:r>
      <w:r>
        <w:t xml:space="preserve"/>
        <w:br w:clear="none"/>
      </w:r>
      <w:r>
        <w:rPr>
          <w:rStyle w:val="Text10"/>
        </w:rPr>
        <w:t xml:space="preserve">for</w:t>
        <w:br w:clear="none"/>
      </w:r>
      <w:r>
        <w:t xml:space="preserve"> </w:t>
        <w:br w:clear="none"/>
      </w:r>
      <w:r>
        <w:rPr>
          <w:rStyle w:val="Text9"/>
        </w:rPr>
        <w:t xml:space="preserve">i</w:t>
        <w:br w:clear="none"/>
      </w:r>
      <w:r>
        <w:t xml:space="preserve"> </w:t>
        <w:br w:clear="none"/>
      </w:r>
      <w:r>
        <w:rPr>
          <w:rStyle w:val="Text31"/>
        </w:rPr>
        <w:t xml:space="preserve">in</w:t>
        <w:br w:clear="none"/>
      </w:r>
      <w:r>
        <w:t xml:space="preserve"> </w:t>
        <w:br w:clear="none"/>
      </w:r>
      <w:r>
        <w:rPr>
          <w:rStyle w:val="Text9"/>
        </w:rPr>
        <w:t xml:space="preserve">updown</w:t>
        <w:br w:clear="none"/>
      </w:r>
      <w:r>
        <w:rPr>
          <w:rStyle w:val="Text7"/>
        </w:rPr>
        <w:t xml:space="preserve">(</w:t>
        <w:br w:clear="none"/>
      </w:r>
      <w:r>
        <w:rPr>
          <w:rStyle w:val="Text27"/>
        </w:rPr>
        <w:t xml:space="preserve">3</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1 2 3 2 1</w:t>
        <w:br w:clear="none"/>
      </w:r>
    </w:p>
    <w:p>
      <w:pPr>
        <w:pStyle w:val="Normal"/>
      </w:pPr>
      <w:r>
        <w:t xml:space="preserve">Here is a generator that works somewhat like built-in </w:t>
      </w:r>
      <w:r>
        <w:rPr>
          <w:rStyle w:val="Text0"/>
        </w:rPr>
        <w:t>range</w:t>
      </w:r>
      <w:r>
        <w:t>, but returns an iterator on floating-point values rather than on integers: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frange</w:t>
        <w:br w:clear="none"/>
      </w:r>
      <w:r>
        <w:rPr>
          <w:rStyle w:val="Text7"/>
        </w:rPr>
        <w:t xml:space="preserve">(</w:t>
        <w:br w:clear="none"/>
      </w:r>
      <w:r>
        <w:t xml:space="preserve">start</w:t>
        <w:br w:clear="none"/>
      </w:r>
      <w:r>
        <w:rPr>
          <w:rStyle w:val="Text7"/>
        </w:rPr>
        <w:t xml:space="preserve">,</w:t>
        <w:br w:clear="none"/>
      </w:r>
      <w:r>
        <w:rPr>
          <w:rStyle w:val="Text6"/>
        </w:rPr>
        <w:t xml:space="preserve"> </w:t>
        <w:br w:clear="none"/>
      </w:r>
      <w:r>
        <w:t xml:space="preserve">stop</w:t>
        <w:br w:clear="none"/>
      </w:r>
      <w:r>
        <w:rPr>
          <w:rStyle w:val="Text7"/>
        </w:rPr>
        <w:t xml:space="preserve">,</w:t>
        <w:br w:clear="none"/>
      </w:r>
      <w:r>
        <w:rPr>
          <w:rStyle w:val="Text6"/>
        </w:rPr>
        <w:t xml:space="preserve"> </w:t>
        <w:br w:clear="none"/>
      </w:r>
      <w:r>
        <w:t xml:space="preserve">stride</w:t>
        <w:br w:clear="none"/>
      </w:r>
      <w:r>
        <w:rPr>
          <w:rStyle w:val="Text13"/>
        </w:rPr>
        <w:t xml:space="preserve">=</w:t>
        <w:br w:clear="none"/>
      </w:r>
      <w:r>
        <w:rPr>
          <w:rStyle w:val="Text27"/>
        </w:rPr>
        <w:t xml:space="preserve">1.0</w:t>
        <w:br w:clear="none"/>
      </w:r>
      <w:r>
        <w:rPr>
          <w:rStyle w:val="Text7"/>
        </w:rPr>
        <w:t xml:space="preserve">)</w:t>
        <w:br w:clear="none"/>
        <w:t xml:space="preserve">:</w:t>
        <w:br w:clear="none"/>
      </w:r>
      <w:r>
        <w:rPr>
          <w:rStyle w:val="Text6"/>
        </w:rPr>
        <w:t xml:space="preserve"/>
        <w:br w:clear="none"/>
        <w:t xml:space="preserve">    </w:t>
        <w:br w:clear="none"/>
      </w:r>
      <w:r>
        <w:t xml:space="preserve">start</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float</w:t>
        <w:br w:clear="none"/>
      </w:r>
      <w:r>
        <w:rPr>
          <w:rStyle w:val="Text7"/>
        </w:rPr>
        <w:t xml:space="preserve">(</w:t>
        <w:br w:clear="none"/>
      </w:r>
      <w:r>
        <w:t xml:space="preserve">start</w:t>
        <w:br w:clear="none"/>
      </w:r>
      <w:r>
        <w:rPr>
          <w:rStyle w:val="Text7"/>
        </w:rPr>
        <w:t xml:space="preserve">)</w:t>
        <w:br w:clear="none"/>
      </w:r>
      <w:r>
        <w:rPr>
          <w:rStyle w:val="Text6"/>
        </w:rPr>
        <w:t xml:space="preserve">  </w:t>
        <w:br w:clear="none"/>
      </w:r>
      <w:r>
        <w:rPr>
          <w:rStyle w:val="Text15"/>
        </w:rPr>
        <w:t xml:space="preserve"># force all yielded values to be floats</w:t>
        <w:br w:clear="none"/>
      </w:r>
      <w:r>
        <w:rPr>
          <w:rStyle w:val="Text6"/>
        </w:rPr>
        <w:t xml:space="preserve"/>
        <w:br w:clear="none"/>
        <w:t xml:space="preserve">    </w:t>
        <w:br w:clear="none"/>
      </w:r>
      <w:r>
        <w:rPr>
          <w:rStyle w:val="Text10"/>
        </w:rPr>
        <w:t xml:space="preserve">while</w:t>
        <w:br w:clear="none"/>
      </w:r>
      <w:r>
        <w:rPr>
          <w:rStyle w:val="Text6"/>
        </w:rPr>
        <w:t xml:space="preserve"> </w:t>
        <w:br w:clear="none"/>
      </w:r>
      <w:r>
        <w:t xml:space="preserve">start</w:t>
        <w:br w:clear="none"/>
      </w:r>
      <w:r>
        <w:rPr>
          <w:rStyle w:val="Text6"/>
        </w:rPr>
        <w:t xml:space="preserve"> </w:t>
        <w:br w:clear="none"/>
      </w:r>
      <w:r>
        <w:rPr>
          <w:rStyle w:val="Text13"/>
        </w:rPr>
        <w:t xml:space="preserve">&lt;</w:t>
        <w:br w:clear="none"/>
      </w:r>
      <w:r>
        <w:rPr>
          <w:rStyle w:val="Text6"/>
        </w:rPr>
        <w:t xml:space="preserve"> </w:t>
        <w:br w:clear="none"/>
      </w:r>
      <w:r>
        <w:t xml:space="preserve">stop</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start</w:t>
        <w:br w:clear="none"/>
      </w:r>
      <w:r>
        <w:rPr>
          <w:rStyle w:val="Text6"/>
        </w:rPr>
        <w:t xml:space="preserve"/>
        <w:br w:clear="none"/>
        <w:t xml:space="preserve">        </w:t>
        <w:br w:clear="none"/>
      </w:r>
      <w:r>
        <w:t xml:space="preserve">start</w:t>
        <w:br w:clear="none"/>
      </w:r>
      <w:r>
        <w:rPr>
          <w:rStyle w:val="Text6"/>
        </w:rPr>
        <w:t xml:space="preserve"> </w:t>
        <w:br w:clear="none"/>
      </w:r>
      <w:r>
        <w:rPr>
          <w:rStyle w:val="Text13"/>
        </w:rPr>
        <w:t xml:space="preserve">+</w:t>
        <w:br w:clear="none"/>
        <w:t xml:space="preserve">=</w:t>
        <w:br w:clear="none"/>
      </w:r>
      <w:r>
        <w:rPr>
          <w:rStyle w:val="Text6"/>
        </w:rPr>
        <w:t xml:space="preserve"> </w:t>
        <w:br w:clear="none"/>
      </w:r>
      <w:r>
        <w:t xml:space="preserve">stride</w:t>
        <w:br w:clear="none"/>
      </w:r>
    </w:p>
    <w:p>
      <w:pPr>
        <w:pStyle w:val="Normal"/>
      </w:pPr>
      <w:r>
        <w:t xml:space="preserve">This example is only </w:t>
      </w:r>
      <w:r>
        <w:rPr>
          <w:rStyle w:val="Text4"/>
        </w:rPr>
        <w:t>somewhat</w:t>
      </w:r>
      <w:r>
        <w:t xml:space="preserve"> like </w:t>
      </w:r>
      <w:r>
        <w:rPr>
          <w:rStyle w:val="Text0"/>
        </w:rPr>
        <w:t>range</w:t>
      </w:r>
      <w:r>
        <w:t xml:space="preserve"> because, for simplicity, it makes the arguments </w:t>
      </w:r>
      <w:r>
        <w:rPr>
          <w:rStyle w:val="Text0"/>
        </w:rPr>
        <w:t>start</w:t>
      </w:r>
      <w:r>
        <w:t xml:space="preserve"> and </w:t>
      </w:r>
      <w:r>
        <w:rPr>
          <w:rStyle w:val="Text0"/>
        </w:rPr>
        <w:t>stop</w:t>
      </w:r>
      <w:r>
        <w:t xml:space="preserve"> mandatory, and assumes that </w:t>
      </w:r>
      <w:r>
        <w:rPr>
          <w:rStyle w:val="Text0"/>
        </w:rPr>
        <w:t>stride</w:t>
      </w:r>
      <w:r>
        <w:t xml:space="preserve"> is positive.</w:t>
      </w:r>
    </w:p>
    <w:p>
      <w:pPr>
        <w:pStyle w:val="Normal"/>
      </w:pPr>
      <w:r>
        <w:t>Generator functions are more flexible than functions that return lists. A generator function may return an unbounded iterator, meaning one that yields an infinite stream of results (to use only in loops that terminate by other means, e.g., via a conditionally executed</w:t>
      </w:r>
      <w:r>
        <w:rPr>
          <w:rStyle w:val="Text111"/>
        </w:rPr>
        <w:bookmarkStart w:id="1197" w:name="idm45965259378448"/>
        <w:t/>
        <w:bookmarkEnd w:id="1197"/>
      </w:r>
      <w:r>
        <w:t xml:space="preserve"> </w:t>
      </w:r>
      <w:r>
        <w:rPr>
          <w:rStyle w:val="Text5"/>
        </w:rPr>
        <w:t>break</w:t>
      </w:r>
      <w:r>
        <w:t xml:space="preserve"> statement). Further, a generator object iterator performs</w:t>
      </w:r>
      <w:r>
        <w:rPr>
          <w:rStyle w:val="Text111"/>
        </w:rPr>
        <w:bookmarkStart w:id="1198" w:name="idm45965259375792"/>
        <w:t/>
        <w:bookmarkEnd w:id="1198"/>
      </w:r>
      <w:r>
        <w:t xml:space="preserve"> </w:t>
      </w:r>
      <w:r>
        <w:rPr>
          <w:rStyle w:val="Text4"/>
        </w:rPr>
        <w:t>lazy evaluation</w:t>
      </w:r>
      <w:r>
        <w:t xml:space="preserve">: the iterator can compute each successive item only when and if needed, “just in time,” while the equivalent function does all computations in advance and may require large amounts of memory to hold the results list. Therefore, if all you need is the ability to iterate on a computed sequence, it is usually best to compute the sequence in a generator object, rather than in a function returning a list. If the caller needs a list of all the items produced by some bounded generator object built by </w:t>
      </w:r>
      <w:r>
        <w:rPr>
          <w:rStyle w:val="Text3"/>
        </w:rPr>
        <w:t>g</w:t>
      </w:r>
      <w:r>
        <w:rPr>
          <w:rStyle w:val="Text0"/>
        </w:rPr>
        <w:t>(</w:t>
      </w:r>
      <w:r>
        <w:rPr>
          <w:rStyle w:val="Text3"/>
        </w:rPr>
        <w:t>arguments</w:t>
      </w:r>
      <w:r>
        <w:rPr>
          <w:rStyle w:val="Text0"/>
        </w:rPr>
        <w:t>)</w:t>
      </w:r>
      <w:r>
        <w:t>, the caller can simply use the following code to explicitly request that Python build a list:</w:t>
      </w:r>
    </w:p>
    <w:p>
      <w:pPr>
        <w:pStyle w:val="Para 032"/>
      </w:pPr>
      <w:r>
        <w:rPr>
          <w:rStyle w:val="Text116"/>
        </w:rPr>
        <w:t xml:space="preserve"/>
        <w:br w:clear="none"/>
      </w:r>
      <w:r>
        <w:t xml:space="preserve">resulting_list</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list</w:t>
        <w:br w:clear="none"/>
      </w:r>
      <w:r>
        <w:rPr>
          <w:rStyle w:val="Text19"/>
        </w:rPr>
        <w:t xml:space="preserve">(</w:t>
        <w:br w:clear="none"/>
      </w:r>
      <w:r>
        <w:t xml:space="preserve">g</w:t>
        <w:br w:clear="none"/>
      </w:r>
      <w:r>
        <w:rPr>
          <w:rStyle w:val="Text19"/>
        </w:rPr>
        <w:t xml:space="preserve">(</w:t>
        <w:br w:clear="none"/>
      </w:r>
      <w:r>
        <w:t xml:space="preserve">arguments</w:t>
        <w:br w:clear="none"/>
      </w:r>
      <w:r>
        <w:rPr>
          <w:rStyle w:val="Text19"/>
        </w:rPr>
        <w:t xml:space="preserve">)</w:t>
        <w:br w:clear="none"/>
        <w:t xml:space="preserve">)</w:t>
        <w:br w:clear="none"/>
      </w:r>
    </w:p>
    <w:p>
      <w:bookmarkStart w:id="1199" w:name="yield_from__To_improve_execution"/>
      <w:pPr>
        <w:keepNext/>
        <w:pStyle w:val="Heading 2"/>
      </w:pPr>
      <w:r>
        <w:t>yield from</w:t>
      </w:r>
      <w:bookmarkEnd w:id="1199"/>
    </w:p>
    <w:p>
      <w:pPr>
        <w:pStyle w:val="Normal"/>
      </w:pPr>
      <w:r>
        <w:t>To</w:t>
      </w:r>
      <w:r>
        <w:rPr>
          <w:rStyle w:val="Text111"/>
        </w:rPr>
        <w:bookmarkStart w:id="1200" w:name="idm45965259327200"/>
        <w:t/>
        <w:bookmarkEnd w:id="1200"/>
      </w:r>
      <w:r>
        <w:t xml:space="preserve"> improve execution efficiency and clarity when multiple levels of iteration are yielding values, you can use the form </w:t>
      </w:r>
      <w:r>
        <w:rPr>
          <w:rStyle w:val="Text5"/>
        </w:rPr>
        <w:t>yield from</w:t>
      </w:r>
      <w:r>
        <w:t xml:space="preserve"> </w:t>
      </w:r>
      <w:r>
        <w:rPr>
          <w:rStyle w:val="Text3"/>
        </w:rPr>
        <w:t>expression</w:t>
      </w:r>
      <w:r>
        <w:t xml:space="preserve">, where </w:t>
      </w:r>
      <w:r>
        <w:rPr>
          <w:rStyle w:val="Text3"/>
        </w:rPr>
        <w:t>expression</w:t>
      </w:r>
      <w:r>
        <w:t xml:space="preserve"> is iterable. This yields the values from </w:t>
      </w:r>
      <w:r>
        <w:rPr>
          <w:rStyle w:val="Text3"/>
        </w:rPr>
        <w:t>expression</w:t>
      </w:r>
      <w:r>
        <w:t xml:space="preserve"> one at a time into the calling environment, avoiding the need to </w:t>
      </w:r>
      <w:r>
        <w:rPr>
          <w:rStyle w:val="Text5"/>
        </w:rPr>
        <w:t>yield</w:t>
      </w:r>
      <w:r>
        <w:t xml:space="preserve"> repeatedly. We can thus simplify the </w:t>
      </w:r>
      <w:r>
        <w:rPr>
          <w:rStyle w:val="Text0"/>
        </w:rPr>
        <w:t>updown</w:t>
      </w:r>
      <w:r>
        <w:t xml:space="preserve"> generator we defined earlier:</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updown</w:t>
        <w:br w:clear="none"/>
      </w:r>
      <w:r>
        <w:rPr>
          <w:rStyle w:val="Text7"/>
        </w:rPr>
        <w:t xml:space="preserve">(</w:t>
        <w:br w:clear="none"/>
      </w:r>
      <w:r>
        <w:rPr>
          <w:rStyle w:val="Text9"/>
        </w:rPr>
        <w:t xml:space="preserve">N</w:t>
        <w:br w:clear="none"/>
      </w:r>
      <w:r>
        <w:rPr>
          <w:rStyle w:val="Text7"/>
        </w:rPr>
        <w:t xml:space="preserve">)</w:t>
        <w:br w:clear="none"/>
        <w:t xml:space="preserve">:</w:t>
        <w:br w:clear="none"/>
      </w:r>
      <w:r>
        <w:t xml:space="preserve"/>
        <w:br w:clear="none"/>
        <w:t xml:space="preserve">    </w:t>
        <w:br w:clear="none"/>
      </w:r>
      <w:r>
        <w:rPr>
          <w:rStyle w:val="Text10"/>
        </w:rPr>
        <w:t xml:space="preserve">yield from</w:t>
        <w:br w:clear="none"/>
      </w:r>
      <w:r>
        <w:t xml:space="preserve"> </w:t>
        <w:br w:clear="none"/>
      </w:r>
      <w:r>
        <w:rPr>
          <w:rStyle w:val="Text16"/>
        </w:rPr>
        <w:t xml:space="preserve">range</w:t>
        <w:br w:clear="none"/>
      </w:r>
      <w:r>
        <w:rPr>
          <w:rStyle w:val="Text7"/>
        </w:rPr>
        <w:t xml:space="preserve">(</w:t>
        <w:br w:clear="none"/>
      </w:r>
      <w:r>
        <w:rPr>
          <w:rStyle w:val="Text27"/>
        </w:rPr>
        <w:t xml:space="preserve">1</w:t>
        <w:br w:clear="none"/>
      </w:r>
      <w:r>
        <w:rPr>
          <w:rStyle w:val="Text7"/>
        </w:rPr>
        <w:t xml:space="preserve">,</w:t>
        <w:br w:clear="none"/>
      </w:r>
      <w:r>
        <w:t xml:space="preserve"> </w:t>
        <w:br w:clear="none"/>
      </w:r>
      <w:r>
        <w:rPr>
          <w:rStyle w:val="Text9"/>
        </w:rPr>
        <w:t xml:space="preserve">N</w:t>
        <w:br w:clear="none"/>
      </w:r>
      <w:r>
        <w:rPr>
          <w:rStyle w:val="Text7"/>
        </w:rPr>
        <w:t xml:space="preserve">)</w:t>
        <w:br w:clear="none"/>
      </w:r>
      <w:r>
        <w:t xml:space="preserve"/>
        <w:br w:clear="none"/>
        <w:t xml:space="preserve">    </w:t>
        <w:br w:clear="none"/>
      </w:r>
      <w:r>
        <w:rPr>
          <w:rStyle w:val="Text10"/>
        </w:rPr>
        <w:t xml:space="preserve">yield from</w:t>
        <w:br w:clear="none"/>
      </w:r>
      <w:r>
        <w:t xml:space="preserve"> </w:t>
        <w:br w:clear="none"/>
      </w:r>
      <w:r>
        <w:rPr>
          <w:rStyle w:val="Text16"/>
        </w:rPr>
        <w:t xml:space="preserve">range</w:t>
        <w:br w:clear="none"/>
      </w:r>
      <w:r>
        <w:rPr>
          <w:rStyle w:val="Text7"/>
        </w:rPr>
        <w:t xml:space="preserve">(</w:t>
        <w:br w:clear="none"/>
      </w:r>
      <w:r>
        <w:rPr>
          <w:rStyle w:val="Text9"/>
        </w:rPr>
        <w:t xml:space="preserve">N</w:t>
        <w:br w:clear="none"/>
      </w:r>
      <w:r>
        <w:rPr>
          <w:rStyle w:val="Text7"/>
        </w:rPr>
        <w:t xml:space="preserve">,</w:t>
        <w:br w:clear="none"/>
      </w:r>
      <w:r>
        <w:t xml:space="preserve"> </w:t>
        <w:br w:clear="none"/>
      </w:r>
      <w:r>
        <w:rPr>
          <w:rStyle w:val="Text27"/>
        </w:rPr>
        <w:t xml:space="preserve">0</w:t>
        <w:br w:clear="none"/>
      </w:r>
      <w:r>
        <w:rPr>
          <w:rStyle w:val="Text7"/>
        </w:rPr>
        <w:t xml:space="preserve">,</w:t>
        <w:br w:clear="none"/>
      </w:r>
      <w:r>
        <w:t xml:space="preserve"> </w:t>
        <w:br w:clear="none"/>
      </w:r>
      <w:r>
        <w:rPr>
          <w:rStyle w:val="Text13"/>
        </w:rPr>
        <w:t xml:space="preserve">-</w:t>
        <w:br w:clear="none"/>
      </w:r>
      <w:r>
        <w:rPr>
          <w:rStyle w:val="Text27"/>
        </w:rPr>
        <w:t xml:space="preserve">1</w:t>
        <w:br w:clear="none"/>
      </w:r>
      <w:r>
        <w:rPr>
          <w:rStyle w:val="Text7"/>
        </w:rPr>
        <w:t xml:space="preserve">)</w:t>
        <w:br w:clear="none"/>
      </w:r>
      <w:r>
        <w:t xml:space="preserve"/>
        <w:br w:clear="none"/>
      </w:r>
      <w:r>
        <w:rPr>
          <w:rStyle w:val="Text10"/>
        </w:rPr>
        <w:t xml:space="preserve">for</w:t>
        <w:br w:clear="none"/>
      </w:r>
      <w:r>
        <w:t xml:space="preserve"> </w:t>
        <w:br w:clear="none"/>
      </w:r>
      <w:r>
        <w:rPr>
          <w:rStyle w:val="Text9"/>
        </w:rPr>
        <w:t xml:space="preserve">i</w:t>
        <w:br w:clear="none"/>
      </w:r>
      <w:r>
        <w:t xml:space="preserve"> </w:t>
        <w:br w:clear="none"/>
      </w:r>
      <w:r>
        <w:rPr>
          <w:rStyle w:val="Text31"/>
        </w:rPr>
        <w:t xml:space="preserve">in</w:t>
        <w:br w:clear="none"/>
      </w:r>
      <w:r>
        <w:t xml:space="preserve"> </w:t>
        <w:br w:clear="none"/>
      </w:r>
      <w:r>
        <w:rPr>
          <w:rStyle w:val="Text9"/>
        </w:rPr>
        <w:t xml:space="preserve">updown</w:t>
        <w:br w:clear="none"/>
      </w:r>
      <w:r>
        <w:rPr>
          <w:rStyle w:val="Text7"/>
        </w:rPr>
        <w:t xml:space="preserve">(</w:t>
        <w:br w:clear="none"/>
      </w:r>
      <w:r>
        <w:rPr>
          <w:rStyle w:val="Text27"/>
        </w:rPr>
        <w:t xml:space="preserve">3</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15"/>
        </w:rPr>
        <w:t xml:space="preserve"># prints: 1 2 3 2 1</w:t>
        <w:br w:clear="none"/>
      </w:r>
    </w:p>
    <w:p>
      <w:pPr>
        <w:pStyle w:val="Normal"/>
      </w:pPr>
      <w:r>
        <w:t xml:space="preserve">Moreover, using </w:t>
      </w:r>
      <w:r>
        <w:rPr>
          <w:rStyle w:val="Text5"/>
        </w:rPr>
        <w:t>yield from</w:t>
      </w:r>
      <w:r>
        <w:t xml:space="preserve"> lets you use generators as </w:t>
      </w:r>
      <w:r>
        <w:rPr>
          <w:rStyle w:val="Text4"/>
        </w:rPr>
        <w:t>coroutines</w:t>
      </w:r>
      <w:r>
        <w:t>, discussed next.</w:t>
      </w:r>
    </w:p>
    <w:p>
      <w:bookmarkStart w:id="1201" w:name="Generators_as_near_coroutines__G"/>
      <w:pPr>
        <w:keepNext/>
        <w:pStyle w:val="Heading 2"/>
      </w:pPr>
      <w:r>
        <w:t>Generators as near-coroutines</w:t>
      </w:r>
      <w:bookmarkEnd w:id="1201"/>
    </w:p>
    <w:p>
      <w:pPr>
        <w:pStyle w:val="Normal"/>
      </w:pPr>
      <w:r>
        <w:t>Generators</w:t>
      </w:r>
      <w:r>
        <w:rPr>
          <w:rStyle w:val="Text111"/>
        </w:rPr>
        <w:bookmarkStart w:id="1202" w:name="idm45965259256896"/>
        <w:t/>
        <w:bookmarkEnd w:id="1202"/>
      </w:r>
      <w:r>
        <w:t xml:space="preserve"> are further enhanced with the possibility of receiving a value (or an exception) back from the caller as each </w:t>
      </w:r>
      <w:r>
        <w:rPr>
          <w:rStyle w:val="Text5"/>
        </w:rPr>
        <w:t>yield</w:t>
      </w:r>
      <w:r>
        <w:t xml:space="preserve"> executes. This lets generators implement </w:t>
      </w:r>
      <w:hyperlink r:id="rId223">
        <w:r>
          <w:rPr>
            <w:rStyle w:val="Text1"/>
          </w:rPr>
          <w:t>coroutines</w:t>
        </w:r>
      </w:hyperlink>
      <w:r>
        <w:t xml:space="preserve">, as explained in </w:t>
      </w:r>
      <w:hyperlink r:id="rId224">
        <w:r>
          <w:rPr>
            <w:rStyle w:val="Text1"/>
          </w:rPr>
          <w:t>PEP 342</w:t>
        </w:r>
      </w:hyperlink>
      <w:r>
        <w:t xml:space="preserve">. When a generator object resumes (i.e., you call </w:t>
      </w:r>
      <w:r>
        <w:rPr>
          <w:rStyle w:val="Text0"/>
        </w:rPr>
        <w:t>next</w:t>
      </w:r>
      <w:r>
        <w:t xml:space="preserve"> on it), the corresponding </w:t>
      </w:r>
      <w:r>
        <w:rPr>
          <w:rStyle w:val="Text5"/>
        </w:rPr>
        <w:t>yield</w:t>
      </w:r>
      <w:r>
        <w:t xml:space="preserve">’s value is </w:t>
      </w:r>
      <w:r>
        <w:rPr>
          <w:rStyle w:val="Text5"/>
        </w:rPr>
        <w:t>None</w:t>
      </w:r>
      <w:r>
        <w:t xml:space="preserve">. To pass a value </w:t>
      </w:r>
      <w:r>
        <w:rPr>
          <w:rStyle w:val="Text3"/>
        </w:rPr>
        <w:t>x</w:t>
      </w:r>
      <w:r>
        <w:t xml:space="preserve"> into some generator object </w:t>
      </w:r>
      <w:r>
        <w:rPr>
          <w:rStyle w:val="Text3"/>
        </w:rPr>
        <w:t>g</w:t>
      </w:r>
      <w:r>
        <w:t xml:space="preserve"> (so that </w:t>
      </w:r>
      <w:r>
        <w:rPr>
          <w:rStyle w:val="Text3"/>
        </w:rPr>
        <w:t>g</w:t>
      </w:r>
      <w:r>
        <w:t xml:space="preserve"> receives </w:t>
      </w:r>
      <w:r>
        <w:rPr>
          <w:rStyle w:val="Text3"/>
        </w:rPr>
        <w:t>x</w:t>
      </w:r>
      <w:r>
        <w:t xml:space="preserve"> as the value of the </w:t>
      </w:r>
      <w:r>
        <w:rPr>
          <w:rStyle w:val="Text5"/>
        </w:rPr>
        <w:t>yield</w:t>
      </w:r>
      <w:r>
        <w:t xml:space="preserve"> on which it’s suspended), instead of calling </w:t>
      </w:r>
      <w:r>
        <w:rPr>
          <w:rStyle w:val="Text0"/>
        </w:rPr>
        <w:t>next(</w:t>
      </w:r>
      <w:r>
        <w:rPr>
          <w:rStyle w:val="Text3"/>
        </w:rPr>
        <w:t>g</w:t>
      </w:r>
      <w:r>
        <w:rPr>
          <w:rStyle w:val="Text0"/>
        </w:rPr>
        <w:t>)</w:t>
      </w:r>
      <w:r>
        <w:t xml:space="preserve">, call </w:t>
      </w:r>
      <w:r>
        <w:rPr>
          <w:rStyle w:val="Text3"/>
        </w:rPr>
        <w:t>g</w:t>
      </w:r>
      <w:r>
        <w:rPr>
          <w:rStyle w:val="Text0"/>
        </w:rPr>
        <w:t>.send(</w:t>
      </w:r>
      <w:r>
        <w:rPr>
          <w:rStyle w:val="Text3"/>
        </w:rPr>
        <w:t>x</w:t>
      </w:r>
      <w:r>
        <w:rPr>
          <w:rStyle w:val="Text0"/>
        </w:rPr>
        <w:t>)</w:t>
      </w:r>
      <w:r>
        <w:t xml:space="preserve"> </w:t>
      </w:r>
      <w:r>
        <w:rPr>
          <w:rStyle w:val="Text0"/>
        </w:rPr>
        <w:t>(</w:t>
      </w:r>
      <w:r>
        <w:rPr>
          <w:rStyle w:val="Text3"/>
        </w:rPr>
        <w:t>g</w:t>
      </w:r>
      <w:r>
        <w:rPr>
          <w:rStyle w:val="Text0"/>
        </w:rPr>
        <w:t>.send(</w:t>
      </w:r>
      <w:r>
        <w:rPr>
          <w:rStyle w:val="Text5"/>
        </w:rPr>
        <w:t>None</w:t>
      </w:r>
      <w:r>
        <w:rPr>
          <w:rStyle w:val="Text0"/>
        </w:rPr>
        <w:t>)</w:t>
      </w:r>
      <w:r>
        <w:t xml:space="preserve"> is just like </w:t>
      </w:r>
      <w:r>
        <w:rPr>
          <w:rStyle w:val="Text0"/>
        </w:rPr>
        <w:t>next(</w:t>
      </w:r>
      <w:r>
        <w:rPr>
          <w:rStyle w:val="Text3"/>
        </w:rPr>
        <w:t>g</w:t>
      </w:r>
      <w:r>
        <w:rPr>
          <w:rStyle w:val="Text0"/>
        </w:rPr>
        <w:t>)</w:t>
      </w:r>
      <w:r>
        <w:t>).</w:t>
      </w:r>
    </w:p>
    <w:p>
      <w:pPr>
        <w:pStyle w:val="Normal"/>
      </w:pPr>
      <w:r>
        <w:t xml:space="preserve">Other enhancements to generators regard exceptions: we cover them in </w:t>
      </w:r>
      <w:hyperlink w:anchor="Generators_and_Exceptions__To_he">
        <w:r>
          <w:rPr>
            <w:rStyle w:val="Text1"/>
          </w:rPr>
          <w:t>“Generators and Exceptions”</w:t>
        </w:r>
      </w:hyperlink>
      <w:r>
        <w:t>.</w:t>
      </w:r>
    </w:p>
    <w:p>
      <w:bookmarkStart w:id="1203" w:name="Generator_expressions__Python_of"/>
      <w:pPr>
        <w:keepNext/>
        <w:pStyle w:val="Heading 2"/>
      </w:pPr>
      <w:r>
        <w:t>Generator expressions</w:t>
      </w:r>
      <w:bookmarkEnd w:id="1203"/>
    </w:p>
    <w:p>
      <w:pPr>
        <w:pStyle w:val="Normal"/>
      </w:pPr>
      <w:r>
        <w:t>Python</w:t>
      </w:r>
      <w:r>
        <w:rPr>
          <w:rStyle w:val="Text111"/>
        </w:rPr>
        <w:bookmarkStart w:id="1204" w:name="idm45965259212976"/>
        <w:t/>
        <w:bookmarkEnd w:id="1204"/>
      </w:r>
      <w:r>
        <w:t xml:space="preserve"> offers an even simpler way to code particularly simple generators: </w:t>
      </w:r>
      <w:r>
        <w:rPr>
          <w:rStyle w:val="Text4"/>
        </w:rPr>
        <w:t>generator expressions</w:t>
      </w:r>
      <w:r>
        <w:t xml:space="preserve">, commonly known as </w:t>
      </w:r>
      <w:r>
        <w:rPr>
          <w:rStyle w:val="Text4"/>
        </w:rPr>
        <w:t>genexps</w:t>
      </w:r>
      <w:r>
        <w:t xml:space="preserve">. The syntax of a genexp is just like that of a list comprehension (as covered in </w:t>
      </w:r>
      <w:hyperlink w:anchor="List_comprehensions__A_common_us">
        <w:r>
          <w:rPr>
            <w:rStyle w:val="Text1"/>
          </w:rPr>
          <w:t>“List comprehensions”</w:t>
        </w:r>
      </w:hyperlink>
      <w:r>
        <w:t>), except that a genexp is within</w:t>
      </w:r>
      <w:r>
        <w:rPr>
          <w:rStyle w:val="Text111"/>
        </w:rPr>
        <w:bookmarkStart w:id="1205" w:name="idm45965259209552"/>
        <w:t/>
        <w:bookmarkEnd w:id="1205"/>
        <w:bookmarkStart w:id="1206" w:name="idm45965259207840"/>
        <w:t/>
        <w:bookmarkEnd w:id="1206"/>
      </w:r>
      <w:r>
        <w:t xml:space="preserve"> parentheses (</w:t>
      </w:r>
      <w:r>
        <w:rPr>
          <w:rStyle w:val="Text0"/>
        </w:rPr>
        <w:t>()</w:t>
      </w:r>
      <w:r>
        <w:t>) instead of brackets (</w:t>
      </w:r>
      <w:r>
        <w:rPr>
          <w:rStyle w:val="Text0"/>
        </w:rPr>
        <w:t>[]</w:t>
      </w:r>
      <w:r>
        <w:t xml:space="preserve">). The semantics of a genexp are the same as those of the corresponding list comprehension, except that a genexp produces an iterator yielding one item at a time, while a list comprehension produces a list of all results in memory (therefore, using a genexp, when appropriate, saves memory). For example, to sum the squares of all single-digit integers, you could code </w:t>
      </w:r>
      <w:r>
        <w:rPr>
          <w:rStyle w:val="Text0"/>
        </w:rPr>
        <w:t>sum([x*x</w:t>
      </w:r>
      <w:r>
        <w:t xml:space="preserve"> </w:t>
      </w:r>
      <w:r>
        <w:rPr>
          <w:rStyle w:val="Text5"/>
        </w:rPr>
        <w:t>for</w:t>
      </w:r>
      <w:r>
        <w:t xml:space="preserve"> </w:t>
      </w:r>
      <w:r>
        <w:rPr>
          <w:rStyle w:val="Text0"/>
        </w:rPr>
        <w:t>x</w:t>
      </w:r>
      <w:r>
        <w:t xml:space="preserve"> </w:t>
      </w:r>
      <w:r>
        <w:rPr>
          <w:rStyle w:val="Text5"/>
        </w:rPr>
        <w:t>in</w:t>
      </w:r>
      <w:r>
        <w:t xml:space="preserve"> </w:t>
      </w:r>
      <w:r>
        <w:rPr>
          <w:rStyle w:val="Text0"/>
        </w:rPr>
        <w:t>range(10)]</w:t>
      </w:r>
      <w:r>
        <w:t xml:space="preserve">), but you can express this better as </w:t>
      </w:r>
      <w:r>
        <w:rPr>
          <w:rStyle w:val="Text0"/>
        </w:rPr>
        <w:t>sum(x*x</w:t>
      </w:r>
      <w:r>
        <w:t xml:space="preserve"> </w:t>
      </w:r>
      <w:r>
        <w:rPr>
          <w:rStyle w:val="Text5"/>
        </w:rPr>
        <w:t>for</w:t>
      </w:r>
      <w:r>
        <w:t xml:space="preserve"> </w:t>
      </w:r>
      <w:r>
        <w:rPr>
          <w:rStyle w:val="Text0"/>
        </w:rPr>
        <w:t>x</w:t>
      </w:r>
      <w:r>
        <w:t xml:space="preserve"> </w:t>
      </w:r>
      <w:r>
        <w:rPr>
          <w:rStyle w:val="Text5"/>
        </w:rPr>
        <w:t>in</w:t>
      </w:r>
      <w:r>
        <w:t xml:space="preserve"> </w:t>
      </w:r>
      <w:r>
        <w:rPr>
          <w:rStyle w:val="Text0"/>
        </w:rPr>
        <w:t>range(10))</w:t>
      </w:r>
      <w:r>
        <w:t xml:space="preserve"> (just the same, but omitting the brackets): you get the same result but consume less memory. The parentheses that indicate the function call also do “double duty” and enclose the genexp. Parentheses are, however, required when the genexp is not the sole argument. Additional parentheses don’t hurt, but are usually best omitted, for</w:t>
      </w:r>
      <w:r>
        <w:rPr>
          <w:rStyle w:val="Text111"/>
        </w:rPr>
        <w:bookmarkStart w:id="1207" w:name="idm45965259196960"/>
        <w:t/>
        <w:bookmarkEnd w:id="1207"/>
      </w:r>
      <w:r>
        <w:t xml:space="preserve"> clarity.</w:t>
      </w:r>
    </w:p>
    <w:p>
      <w:bookmarkStart w:id="1208" w:name="Warning__Don_t_Iterate_over_a_Ge"/>
      <w:pPr>
        <w:keepNext/>
        <w:pStyle w:val="Heading 5"/>
        <w:keepLines w:val="on"/>
      </w:pPr>
      <w:r>
        <w:t>Warning: Don’t Iterate over a Generator Multiple Times</w:t>
      </w:r>
      <w:bookmarkEnd w:id="1208"/>
    </w:p>
    <w:p>
      <w:pPr>
        <w:pStyle w:val="Para 012"/>
        <w:keepLines w:val="on"/>
      </w:pPr>
      <w:r>
        <w:t xml:space="preserve">A limitation of generators and generator expressions is that you can iterate over them only once. Calling </w:t>
      </w:r>
      <w:r>
        <w:rPr>
          <w:rStyle w:val="Text0"/>
        </w:rPr>
        <w:t>next</w:t>
      </w:r>
      <w:r>
        <w:t xml:space="preserve"> on a generator that has been consumed will just raise </w:t>
      </w:r>
      <w:r>
        <w:rPr>
          <w:rStyle w:val="Text0"/>
        </w:rPr>
        <w:t>StopIteration</w:t>
      </w:r>
      <w:r>
        <w:t xml:space="preserve"> again, which most functions will take as an indication that the generator returns no values. If your code is not careful about reusing a consumed generator, this can introduce bugs:</w:t>
      </w:r>
    </w:p>
    <w:p>
      <w:pPr>
        <w:pStyle w:val="Para 047"/>
        <w:keepLines w:val="on"/>
      </w:pPr>
      <w:r>
        <w:rPr>
          <w:rStyle w:val="Text116"/>
        </w:rPr>
        <w:t xml:space="preserve"/>
        <w:br w:clear="none"/>
      </w:r>
      <w:r>
        <w:t xml:space="preserve"># create a generator and list its items and their sum</w:t>
        <w:br w:clear="none"/>
      </w:r>
      <w:r>
        <w:rPr>
          <w:rStyle w:val="Text11"/>
        </w:rPr>
        <w:t xml:space="preserve"/>
        <w:br w:clear="none"/>
      </w:r>
      <w:r>
        <w:rPr>
          <w:rStyle w:val="Text14"/>
        </w:rPr>
        <w:t xml:space="preserve">squares</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x</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rPr>
          <w:rStyle w:val="Text35"/>
        </w:rPr>
        <w:t xml:space="preserve">5</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list</w:t>
        <w:br w:clear="none"/>
      </w:r>
      <w:r>
        <w:rPr>
          <w:rStyle w:val="Text19"/>
        </w:rPr>
        <w:t xml:space="preserve">(</w:t>
        <w:br w:clear="none"/>
      </w:r>
      <w:r>
        <w:rPr>
          <w:rStyle w:val="Text14"/>
        </w:rPr>
        <w:t xml:space="preserve">squares</w:t>
        <w:br w:clear="none"/>
      </w:r>
      <w:r>
        <w:rPr>
          <w:rStyle w:val="Text19"/>
        </w:rPr>
        <w:t xml:space="preserve">)</w:t>
        <w:br w:clear="none"/>
        <w:t xml:space="preserve">)</w:t>
        <w:br w:clear="none"/>
      </w:r>
      <w:r>
        <w:rPr>
          <w:rStyle w:val="Text11"/>
        </w:rPr>
        <w:t xml:space="preserve">  </w:t>
        <w:br w:clear="none"/>
      </w:r>
      <w:r>
        <w:t xml:space="preserve"># prints [0, 1, 4, 9, 16]</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sum</w:t>
        <w:br w:clear="none"/>
      </w:r>
      <w:r>
        <w:rPr>
          <w:rStyle w:val="Text19"/>
        </w:rPr>
        <w:t xml:space="preserve">(</w:t>
        <w:br w:clear="none"/>
      </w:r>
      <w:r>
        <w:rPr>
          <w:rStyle w:val="Text14"/>
        </w:rPr>
        <w:t xml:space="preserve">squares</w:t>
        <w:br w:clear="none"/>
      </w:r>
      <w:r>
        <w:rPr>
          <w:rStyle w:val="Text19"/>
        </w:rPr>
        <w:t xml:space="preserve">)</w:t>
        <w:br w:clear="none"/>
        <w:t xml:space="preserve">)</w:t>
        <w:br w:clear="none"/>
      </w:r>
      <w:r>
        <w:rPr>
          <w:rStyle w:val="Text11"/>
        </w:rPr>
        <w:t xml:space="preserve">   </w:t>
        <w:br w:clear="none"/>
      </w:r>
      <w:r>
        <w:t xml:space="preserve"># Bug! Prints 0</w:t>
        <w:br w:clear="none"/>
      </w:r>
    </w:p>
    <w:p>
      <w:pPr>
        <w:pStyle w:val="Para 012"/>
        <w:keepLines w:val="on"/>
      </w:pPr>
      <w:r>
        <w:t>You can write code to guard against accidentally iterating over a consumed generator by using a class to wrap the generator, like the following:</w:t>
      </w:r>
    </w:p>
    <w:p>
      <w:pPr>
        <w:pStyle w:val="Para 098"/>
        <w:keepLines w:val="on"/>
      </w:pPr>
      <w:r>
        <w:rPr>
          <w:rStyle w:val="Text116"/>
        </w:rPr>
        <w:t xml:space="preserve"/>
        <w:br w:clear="none"/>
      </w:r>
      <w:r>
        <w:rPr>
          <w:rStyle w:val="Text22"/>
        </w:rPr>
        <w:t xml:space="preserve">class</w:t>
        <w:br w:clear="none"/>
      </w:r>
      <w:r>
        <w:rPr>
          <w:rStyle w:val="Text11"/>
        </w:rPr>
        <w:t xml:space="preserve"> </w:t>
        <w:br w:clear="none"/>
      </w:r>
      <w:r>
        <w:rPr>
          <w:rStyle w:val="Text45"/>
        </w:rPr>
        <w:t xml:space="preserve">ConsumedGeneratorError</w:t>
        <w:br w:clear="none"/>
      </w:r>
      <w:r>
        <w:rPr>
          <w:rStyle w:val="Text19"/>
        </w:rPr>
        <w:t xml:space="preserve">(</w:t>
        <w:br w:clear="none"/>
      </w:r>
      <w:r>
        <w:rPr>
          <w:rStyle w:val="Text56"/>
        </w:rPr>
        <w:t xml:space="preserve">Exception</w:t>
        <w:br w:clear="none"/>
      </w:r>
      <w:r>
        <w:rPr>
          <w:rStyle w:val="Text19"/>
        </w:rPr>
        <w:t xml:space="preserve">)</w:t>
        <w:br w:clear="none"/>
        <w:t xml:space="preserve">:</w:t>
        <w:br w:clear="none"/>
      </w:r>
      <w:r>
        <w:rPr>
          <w:rStyle w:val="Text11"/>
        </w:rPr>
        <w:t xml:space="preserve"/>
        <w:br w:clear="none"/>
        <w:t xml:space="preserve">    </w:t>
        <w:br w:clear="none"/>
      </w:r>
      <w:r>
        <w:t xml:space="preserve">"""Raised if a generator is accessed after</w:t>
        <w:br w:clear="none"/>
      </w:r>
      <w:r>
        <w:rPr>
          <w:rStyle w:val="Text4"/>
        </w:rPr>
        <w:t xml:space="preserve"> </w:t>
        <w:br w:clear="none"/>
      </w:r>
      <w:r>
        <w:t xml:space="preserve">       already consumed.</w:t>
        <w:br w:clear="none"/>
      </w:r>
      <w:r>
        <w:rPr>
          <w:rStyle w:val="Text4"/>
        </w:rPr>
        <w:t xml:space="preserve"/>
        <w:br w:clear="none"/>
      </w:r>
      <w:r>
        <w:t xml:space="preserve">    """</w:t>
        <w:br w:clear="none"/>
      </w:r>
      <w:r>
        <w:rPr>
          <w:rStyle w:val="Text11"/>
        </w:rPr>
        <w:t xml:space="preserve"/>
        <w:br w:clear="none"/>
        <w:t xml:space="preserve"/>
        <w:br w:clear="none"/>
      </w:r>
      <w:r>
        <w:rPr>
          <w:rStyle w:val="Text22"/>
        </w:rPr>
        <w:t xml:space="preserve">class</w:t>
        <w:br w:clear="none"/>
      </w:r>
      <w:r>
        <w:rPr>
          <w:rStyle w:val="Text11"/>
        </w:rPr>
        <w:t xml:space="preserve"> </w:t>
        <w:br w:clear="none"/>
      </w:r>
      <w:r>
        <w:rPr>
          <w:rStyle w:val="Text45"/>
        </w:rPr>
        <w:t xml:space="preserve">StrictGenerator</w:t>
        <w:br w:clear="none"/>
      </w:r>
      <w:r>
        <w:rPr>
          <w:rStyle w:val="Text19"/>
        </w:rPr>
        <w:t xml:space="preserve">:</w:t>
        <w:br w:clear="none"/>
      </w:r>
      <w:r>
        <w:rPr>
          <w:rStyle w:val="Text11"/>
        </w:rPr>
        <w:t xml:space="preserve"/>
        <w:br w:clear="none"/>
        <w:t xml:space="preserve">    </w:t>
        <w:br w:clear="none"/>
      </w:r>
      <w:r>
        <w:t xml:space="preserve">"""Wrapper for generator that will only permit it</w:t>
        <w:br w:clear="none"/>
      </w:r>
      <w:r>
        <w:rPr>
          <w:rStyle w:val="Text4"/>
        </w:rPr>
        <w:t xml:space="preserve"> </w:t>
        <w:br w:clear="none"/>
      </w:r>
      <w:r>
        <w:t xml:space="preserve">       to be consumed once. Additional accesses will</w:t>
        <w:br w:clear="none"/>
      </w:r>
      <w:r>
        <w:rPr>
          <w:rStyle w:val="Text4"/>
        </w:rPr>
        <w:t xml:space="preserve"> </w:t>
        <w:br w:clear="none"/>
      </w:r>
      <w:r>
        <w:t xml:space="preserve">       raise ConsumedGeneratorError.</w:t>
        <w:br w:clear="none"/>
      </w:r>
      <w:r>
        <w:rPr>
          <w:rStyle w:val="Text4"/>
        </w:rPr>
        <w:t xml:space="preserve"/>
        <w:br w:clear="none"/>
      </w:r>
      <w:r>
        <w:t xml:space="preserve">    """</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gen</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4"/>
        </w:rPr>
        <w:t xml:space="preserve">_gen</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gen</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4"/>
        </w:rPr>
        <w:t xml:space="preserve">_gen_consumed</w:t>
        <w:br w:clear="none"/>
      </w:r>
      <w:r>
        <w:rPr>
          <w:rStyle w:val="Text11"/>
        </w:rPr>
        <w:t xml:space="preserve"> </w:t>
        <w:br w:clear="none"/>
      </w:r>
      <w:r>
        <w:rPr>
          <w:rStyle w:val="Text28"/>
        </w:rPr>
        <w:t xml:space="preserve">=</w:t>
        <w:br w:clear="none"/>
      </w:r>
      <w:r>
        <w:rPr>
          <w:rStyle w:val="Text11"/>
        </w:rPr>
        <w:t xml:space="preserve"> </w:t>
        <w:br w:clear="none"/>
      </w:r>
      <w:r>
        <w:rPr>
          <w:rStyle w:val="Text22"/>
        </w:rPr>
        <w:t xml:space="preserve">False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__iter__</w:t>
        <w:br w:clear="none"/>
      </w:r>
      <w:r>
        <w:rPr>
          <w:rStyle w:val="Text19"/>
        </w:rPr>
        <w:t xml:space="preserve">(</w:t>
        <w:br w:clear="none"/>
      </w:r>
      <w:r>
        <w:rPr>
          <w:rStyle w:val="Text21"/>
        </w:rPr>
        <w:t xml:space="preserve">self</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self</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__next__</w:t>
        <w:br w:clear="none"/>
      </w:r>
      <w:r>
        <w:rPr>
          <w:rStyle w:val="Text19"/>
        </w:rPr>
        <w:t xml:space="preserve">(</w:t>
        <w:br w:clear="none"/>
      </w:r>
      <w:r>
        <w:rPr>
          <w:rStyle w:val="Text21"/>
        </w:rPr>
        <w:t xml:space="preserve">self</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next</w:t>
        <w:br w:clear="none"/>
      </w:r>
      <w:r>
        <w:rPr>
          <w:rStyle w:val="Text19"/>
        </w:rPr>
        <w:t xml:space="preserve">(</w:t>
        <w:br w:clear="none"/>
      </w:r>
      <w:r>
        <w:rPr>
          <w:rStyle w:val="Text21"/>
        </w:rPr>
        <w:t xml:space="preserve">self</w:t>
        <w:br w:clear="none"/>
      </w:r>
      <w:r>
        <w:rPr>
          <w:rStyle w:val="Text28"/>
        </w:rPr>
        <w:t xml:space="preserve">.</w:t>
        <w:br w:clear="none"/>
      </w:r>
      <w:r>
        <w:rPr>
          <w:rStyle w:val="Text14"/>
        </w:rPr>
        <w:t xml:space="preserve">_gen</w:t>
        <w:br w:clear="none"/>
      </w:r>
      <w:r>
        <w:rPr>
          <w:rStyle w:val="Text19"/>
        </w:rPr>
        <w:t xml:space="preserve">)</w:t>
        <w:br w:clear="none"/>
      </w:r>
      <w:r>
        <w:rPr>
          <w:rStyle w:val="Text11"/>
        </w:rPr>
        <w:t xml:space="preserve"/>
        <w:br w:clear="none"/>
        <w:t xml:space="preserve">        </w:t>
        <w:br w:clear="none"/>
      </w:r>
      <w:r>
        <w:rPr>
          <w:rStyle w:val="Text22"/>
        </w:rPr>
        <w:t xml:space="preserve">except</w:t>
        <w:br w:clear="none"/>
      </w:r>
      <w:r>
        <w:rPr>
          <w:rStyle w:val="Text11"/>
        </w:rPr>
        <w:t xml:space="preserve"> </w:t>
        <w:br w:clear="none"/>
      </w:r>
      <w:r>
        <w:rPr>
          <w:rStyle w:val="Text56"/>
        </w:rPr>
        <w:t xml:space="preserve">StopIteration</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_gen_consumed</w:t>
        <w:br w:clear="none"/>
      </w:r>
      <w:r>
        <w:rPr>
          <w:rStyle w:val="Text19"/>
        </w:rPr>
        <w:t xml:space="preserve">:</w:t>
        <w:br w:clear="none"/>
      </w:r>
      <w:r>
        <w:rPr>
          <w:rStyle w:val="Text11"/>
        </w:rPr>
        <w:t xml:space="preserve"/>
        <w:br w:clear="none"/>
        <w:t xml:space="preserve">                </w:t>
        <w:br w:clear="none"/>
      </w:r>
      <w:r>
        <w:rPr>
          <w:rStyle w:val="Text22"/>
        </w:rPr>
        <w:t xml:space="preserve">raise</w:t>
        <w:br w:clear="none"/>
      </w:r>
      <w:r>
        <w:rPr>
          <w:rStyle w:val="Text11"/>
        </w:rPr>
        <w:t xml:space="preserve"> </w:t>
        <w:br w:clear="none"/>
      </w:r>
      <w:r>
        <w:rPr>
          <w:rStyle w:val="Text14"/>
        </w:rPr>
        <w:t xml:space="preserve">ConsumedGeneratorError</w:t>
        <w:br w:clear="none"/>
      </w:r>
      <w:r>
        <w:rPr>
          <w:rStyle w:val="Text19"/>
        </w:rPr>
        <w:t xml:space="preserve">(</w:t>
        <w:br w:clear="none"/>
        <w:t xml:space="preserve">)</w:t>
        <w:br w:clear="none"/>
      </w:r>
      <w:r>
        <w:rPr>
          <w:rStyle w:val="Text11"/>
        </w:rPr>
        <w:t xml:space="preserve"> </w:t>
        <w:br w:clear="none"/>
      </w:r>
      <w:r>
        <w:rPr>
          <w:rStyle w:val="Text22"/>
        </w:rPr>
        <w:t xml:space="preserve">from</w:t>
        <w:br w:clear="none"/>
      </w:r>
      <w:r>
        <w:rPr>
          <w:rStyle w:val="Text11"/>
        </w:rPr>
        <w:t xml:space="preserve"> </w:t>
        <w:br w:clear="none"/>
      </w:r>
      <w:r>
        <w:rPr>
          <w:rStyle w:val="Text106"/>
        </w:rPr>
        <w:t xml:space="preserve">None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4"/>
        </w:rPr>
        <w:t xml:space="preserve">_gen_consumed</w:t>
        <w:br w:clear="none"/>
      </w:r>
      <w:r>
        <w:rPr>
          <w:rStyle w:val="Text11"/>
        </w:rPr>
        <w:t xml:space="preserve"> </w:t>
        <w:br w:clear="none"/>
      </w:r>
      <w:r>
        <w:rPr>
          <w:rStyle w:val="Text28"/>
        </w:rPr>
        <w:t xml:space="preserve">=</w:t>
        <w:br w:clear="none"/>
      </w:r>
      <w:r>
        <w:rPr>
          <w:rStyle w:val="Text11"/>
        </w:rPr>
        <w:t xml:space="preserve"> </w:t>
        <w:br w:clear="none"/>
      </w:r>
      <w:r>
        <w:rPr>
          <w:rStyle w:val="Text22"/>
        </w:rPr>
        <w:t xml:space="preserve">True</w:t>
        <w:br w:clear="none"/>
      </w:r>
      <w:r>
        <w:rPr>
          <w:rStyle w:val="Text11"/>
        </w:rPr>
        <w:t xml:space="preserve"/>
        <w:br w:clear="none"/>
        <w:t xml:space="preserve">            </w:t>
        <w:br w:clear="none"/>
      </w:r>
      <w:r>
        <w:rPr>
          <w:rStyle w:val="Text22"/>
        </w:rPr>
        <w:t xml:space="preserve">raise</w:t>
        <w:br w:clear="none"/>
      </w:r>
    </w:p>
    <w:p>
      <w:pPr>
        <w:pStyle w:val="Para 012"/>
        <w:keepLines w:val="on"/>
      </w:pPr>
      <w:r>
        <w:t>Now an erroneous reuse of a generator will raise an exception:</w:t>
      </w:r>
    </w:p>
    <w:p>
      <w:pPr>
        <w:pStyle w:val="Para 047"/>
        <w:keepLines w:val="on"/>
      </w:pPr>
      <w:r>
        <w:rPr>
          <w:rStyle w:val="Text116"/>
        </w:rPr>
        <w:t xml:space="preserve"/>
        <w:br w:clear="none"/>
      </w:r>
      <w:r>
        <w:rPr>
          <w:rStyle w:val="Text14"/>
        </w:rPr>
        <w:t xml:space="preserve">squares</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StrictGenerator</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x</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rPr>
          <w:rStyle w:val="Text35"/>
        </w:rPr>
        <w:t xml:space="preserve">5</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list</w:t>
        <w:br w:clear="none"/>
      </w:r>
      <w:r>
        <w:rPr>
          <w:rStyle w:val="Text19"/>
        </w:rPr>
        <w:t xml:space="preserve">(</w:t>
        <w:br w:clear="none"/>
      </w:r>
      <w:r>
        <w:rPr>
          <w:rStyle w:val="Text14"/>
        </w:rPr>
        <w:t xml:space="preserve">squares</w:t>
        <w:br w:clear="none"/>
      </w:r>
      <w:r>
        <w:rPr>
          <w:rStyle w:val="Text19"/>
        </w:rPr>
        <w:t xml:space="preserve">)</w:t>
        <w:br w:clear="none"/>
        <w:t xml:space="preserve">)</w:t>
        <w:br w:clear="none"/>
      </w:r>
      <w:r>
        <w:rPr>
          <w:rStyle w:val="Text11"/>
        </w:rPr>
        <w:t xml:space="preserve">  </w:t>
        <w:br w:clear="none"/>
      </w:r>
      <w:r>
        <w:t xml:space="preserve"># prints: [0, 1, 4, 9, 16]</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sum</w:t>
        <w:br w:clear="none"/>
      </w:r>
      <w:r>
        <w:rPr>
          <w:rStyle w:val="Text19"/>
        </w:rPr>
        <w:t xml:space="preserve">(</w:t>
        <w:br w:clear="none"/>
      </w:r>
      <w:r>
        <w:rPr>
          <w:rStyle w:val="Text14"/>
        </w:rPr>
        <w:t xml:space="preserve">squares</w:t>
        <w:br w:clear="none"/>
      </w:r>
      <w:r>
        <w:rPr>
          <w:rStyle w:val="Text19"/>
        </w:rPr>
        <w:t xml:space="preserve">)</w:t>
        <w:br w:clear="none"/>
        <w:t xml:space="preserve">)</w:t>
        <w:br w:clear="none"/>
      </w:r>
      <w:r>
        <w:rPr>
          <w:rStyle w:val="Text11"/>
        </w:rPr>
        <w:t xml:space="preserve">   </w:t>
        <w:br w:clear="none"/>
      </w:r>
      <w:r>
        <w:t xml:space="preserve"># raises ConsumedGeneratorError</w:t>
        <w:br w:clear="none"/>
      </w:r>
    </w:p>
    <w:p>
      <w:bookmarkStart w:id="1209" w:name="Recursion__Python_supports_recur"/>
      <w:pPr>
        <w:keepNext/>
        <w:pStyle w:val="Heading 2"/>
      </w:pPr>
      <w:r>
        <w:t>Recursion</w:t>
      </w:r>
      <w:bookmarkEnd w:id="1209"/>
    </w:p>
    <w:p>
      <w:pPr>
        <w:pStyle w:val="Normal"/>
      </w:pPr>
      <w:r>
        <w:t>Python</w:t>
      </w:r>
      <w:r>
        <w:rPr>
          <w:rStyle w:val="Text111"/>
        </w:rPr>
        <w:bookmarkStart w:id="1210" w:name="idm45965258956192"/>
        <w:t/>
        <w:bookmarkEnd w:id="1210"/>
        <w:bookmarkStart w:id="1211" w:name="recur03"/>
        <w:t/>
        <w:bookmarkEnd w:id="1211"/>
      </w:r>
      <w:r>
        <w:t xml:space="preserve"> supports recursion (i.e., a Python function can call itself, directly or indirectly), but there is a limit to how deep the recursion can go. By default, Python interrupts recursion and raises a </w:t>
      </w:r>
      <w:r>
        <w:rPr>
          <w:rStyle w:val="Text0"/>
        </w:rPr>
        <w:t>RecursionLimitExceeded</w:t>
      </w:r>
      <w:r>
        <w:t xml:space="preserve"> exception (covered in </w:t>
      </w:r>
      <w:hyperlink w:anchor="Standard_Exception_Classes__Tabl">
        <w:r>
          <w:rPr>
            <w:rStyle w:val="Text1"/>
          </w:rPr>
          <w:t>“Standard Exception Classes”</w:t>
        </w:r>
      </w:hyperlink>
      <w:r>
        <w:t>) when it detects that recursion has exceeded a depth of 1,000. You can change this default recursion limit by calling the</w:t>
      </w:r>
      <w:r>
        <w:rPr>
          <w:rStyle w:val="Text111"/>
        </w:rPr>
        <w:bookmarkStart w:id="1212" w:name="idm45965258951696"/>
        <w:t/>
        <w:bookmarkEnd w:id="1212"/>
      </w:r>
      <w:r>
        <w:t xml:space="preserve"> </w:t>
      </w:r>
      <w:r>
        <w:rPr>
          <w:rStyle w:val="Text0"/>
        </w:rPr>
        <w:t>setrecursionlimit</w:t>
      </w:r>
      <w:r>
        <w:t xml:space="preserve"> function in the module </w:t>
      </w:r>
      <w:r>
        <w:rPr>
          <w:rStyle w:val="Text0"/>
        </w:rPr>
        <w:t>sys</w:t>
      </w:r>
      <w:r>
        <w:t xml:space="preserve">, covered in </w:t>
      </w:r>
      <w:hyperlink w:anchor="Table_8_3__Functions_and_attribu">
        <w:r>
          <w:rPr>
            <w:rStyle w:val="Text1"/>
          </w:rPr>
          <w:t>Table 8-3</w:t>
        </w:r>
      </w:hyperlink>
      <w:r>
        <w:t>.</w:t>
      </w:r>
    </w:p>
    <w:p>
      <w:pPr>
        <w:pStyle w:val="Normal"/>
      </w:pPr>
      <w:r>
        <w:t xml:space="preserve">Note that changing the recursion limit does not give you unlimited recursion. The absolute maximum limit depends on the platform on which your program is running, and particularly on the underlying operating system and C runtime library, but it’s typically a few thousand levels. If recursive calls get too deep, your program crashes. Such runaway recursion, after a call to </w:t>
      </w:r>
      <w:r>
        <w:rPr>
          <w:rStyle w:val="Text0"/>
        </w:rPr>
        <w:t>setrecursionlimit</w:t>
      </w:r>
      <w:r>
        <w:t xml:space="preserve"> that exceeds the platform’s capabilities, is one of the few things that can cause a Python program to crash—really crash, hard, without the usual safety net of Python’s exception mechanism. Therefore, beware of “fixing” a program that is getting </w:t>
      </w:r>
      <w:r>
        <w:rPr>
          <w:rStyle w:val="Text0"/>
        </w:rPr>
        <w:t>RecursionLimitExceeded</w:t>
      </w:r>
      <w:r>
        <w:t xml:space="preserve"> exceptions by raising the recursion limit with </w:t>
      </w:r>
      <w:r>
        <w:rPr>
          <w:rStyle w:val="Text0"/>
        </w:rPr>
        <w:t>setrecursionlimit</w:t>
      </w:r>
      <w:r>
        <w:t xml:space="preserve">. While this </w:t>
      </w:r>
      <w:r>
        <w:rPr>
          <w:rStyle w:val="Text4"/>
        </w:rPr>
        <w:t>is</w:t>
      </w:r>
      <w:r>
        <w:t xml:space="preserve"> a valid technique, most often you’re better advised to look for ways to remove the recursion unless you are confident you’ve been able to limit the depth of recursion that your program needs.</w:t>
      </w:r>
    </w:p>
    <w:p>
      <w:pPr>
        <w:pStyle w:val="Normal"/>
      </w:pPr>
      <w:r>
        <w:t xml:space="preserve">Readers who are familiar with Lisp, Scheme, or functional programming languages must in particular be aware that Python does </w:t>
      </w:r>
      <w:r>
        <w:rPr>
          <w:rStyle w:val="Text4"/>
        </w:rPr>
        <w:t>not</w:t>
      </w:r>
      <w:r>
        <w:t xml:space="preserve"> implement the optimization of</w:t>
      </w:r>
      <w:r>
        <w:rPr>
          <w:rStyle w:val="Text111"/>
        </w:rPr>
        <w:bookmarkStart w:id="1213" w:name="idm45965258916848"/>
        <w:t/>
        <w:bookmarkEnd w:id="1213"/>
      </w:r>
      <w:r>
        <w:t xml:space="preserve"> </w:t>
      </w:r>
      <w:r>
        <w:rPr>
          <w:rStyle w:val="Text4"/>
        </w:rPr>
        <w:t>tail-call elimination</w:t>
      </w:r>
      <w:r>
        <w:t>, which is so crucial in those languages. In Python, any call, recursive or not, has the same “cost” in terms of both time and memory space, dependent only on the number of arguments: the cost does not change, whether the call is a “tail call” (meaning that it’s the last operation that the caller executes) or not. This makes recursion removal even more important.</w:t>
      </w:r>
    </w:p>
    <w:p>
      <w:pPr>
        <w:pStyle w:val="Normal"/>
      </w:pPr>
      <w:r>
        <w:t xml:space="preserve">For example, consider a classic use for recursion: walking a binary tree. Suppose you represent a binary tree structure as nodes, where each node is a three-item tuple </w:t>
      </w:r>
      <w:r>
        <w:rPr>
          <w:rStyle w:val="Text0"/>
        </w:rPr>
        <w:t>(payload, left, right)</w:t>
      </w:r>
      <w:r>
        <w:t xml:space="preserve">, and </w:t>
      </w:r>
      <w:r>
        <w:rPr>
          <w:rStyle w:val="Text0"/>
        </w:rPr>
        <w:t>left</w:t>
      </w:r>
      <w:r>
        <w:t xml:space="preserve"> and </w:t>
      </w:r>
      <w:r>
        <w:rPr>
          <w:rStyle w:val="Text0"/>
        </w:rPr>
        <w:t>right</w:t>
      </w:r>
      <w:r>
        <w:t xml:space="preserve"> are either similar tuples or </w:t>
      </w:r>
      <w:r>
        <w:rPr>
          <w:rStyle w:val="Text5"/>
        </w:rPr>
        <w:t>None</w:t>
      </w:r>
      <w:r>
        <w:t xml:space="preserve">, representing the left-side and right-side descendants. A simple example might be </w:t>
      </w:r>
      <w:r>
        <w:rPr>
          <w:rStyle w:val="Text0"/>
        </w:rPr>
        <w:t>(23, (42, (5,</w:t>
      </w:r>
      <w:r>
        <w:t xml:space="preserve"> </w:t>
      </w:r>
      <w:r>
        <w:rPr>
          <w:rStyle w:val="Text5"/>
        </w:rPr>
        <w:t>None</w:t>
      </w:r>
      <w:r>
        <w:rPr>
          <w:rStyle w:val="Text0"/>
        </w:rPr>
        <w:t>,</w:t>
      </w:r>
      <w:r>
        <w:t xml:space="preserve"> </w:t>
      </w:r>
      <w:r>
        <w:rPr>
          <w:rStyle w:val="Text5"/>
        </w:rPr>
        <w:t>None</w:t>
      </w:r>
      <w:r>
        <w:rPr>
          <w:rStyle w:val="Text0"/>
        </w:rPr>
        <w:t>), (55,</w:t>
      </w:r>
      <w:r>
        <w:t xml:space="preserve"> </w:t>
      </w:r>
      <w:r>
        <w:rPr>
          <w:rStyle w:val="Text5"/>
        </w:rPr>
        <w:t>None</w:t>
      </w:r>
      <w:r>
        <w:rPr>
          <w:rStyle w:val="Text0"/>
        </w:rPr>
        <w:t>,</w:t>
      </w:r>
      <w:r>
        <w:t xml:space="preserve"> </w:t>
      </w:r>
      <w:r>
        <w:rPr>
          <w:rStyle w:val="Text5"/>
        </w:rPr>
        <w:t>None</w:t>
      </w:r>
      <w:r>
        <w:rPr>
          <w:rStyle w:val="Text0"/>
        </w:rPr>
        <w:t>)), (94,</w:t>
      </w:r>
      <w:r>
        <w:t xml:space="preserve"> </w:t>
      </w:r>
      <w:r>
        <w:rPr>
          <w:rStyle w:val="Text5"/>
        </w:rPr>
        <w:t>None</w:t>
      </w:r>
      <w:r>
        <w:rPr>
          <w:rStyle w:val="Text0"/>
        </w:rPr>
        <w:t>,</w:t>
      </w:r>
      <w:r>
        <w:t xml:space="preserve"> </w:t>
      </w:r>
      <w:r>
        <w:rPr>
          <w:rStyle w:val="Text5"/>
        </w:rPr>
        <w:t>None</w:t>
      </w:r>
      <w:r>
        <w:rPr>
          <w:rStyle w:val="Text0"/>
        </w:rPr>
        <w:t>))</w:t>
      </w:r>
      <w:r>
        <w:t xml:space="preserve"> to represent the tree shown in </w:t>
      </w:r>
      <w:hyperlink w:anchor="Figure_3_1__An_example_of_a_bina">
        <w:r>
          <w:rPr>
            <w:rStyle w:val="Text1"/>
          </w:rPr>
          <w:t>Figure 3-1</w:t>
        </w:r>
      </w:hyperlink>
      <w:r>
        <w:t>.</w:t>
      </w:r>
    </w:p>
    <w:p>
      <w:bookmarkStart w:id="1214" w:name="Figure_3_1__An_example_of_a_bina"/>
      <w:pPr>
        <w:pStyle w:val="Para 048"/>
        <w:keepLines w:val="on"/>
      </w:pPr>
      <w:r>
        <w:drawing>
          <wp:inline>
            <wp:extent cx="2933700" cy="2413000"/>
            <wp:effectExtent l="0" r="0" t="0" b="43426"/>
            <wp:docPr id="2" name="pns4_0301.png" descr="An example of a binary tree"/>
            <wp:cNvGraphicFramePr>
              <a:graphicFrameLocks noChangeAspect="1"/>
            </wp:cNvGraphicFramePr>
            <a:graphic>
              <a:graphicData uri="http://schemas.openxmlformats.org/drawingml/2006/picture">
                <pic:pic>
                  <pic:nvPicPr>
                    <pic:cNvPr id="0" name="pns4_0301.png" descr="An example of a binary tree"/>
                    <pic:cNvPicPr/>
                  </pic:nvPicPr>
                  <pic:blipFill>
                    <a:blip r:embed="rId6"/>
                    <a:stretch>
                      <a:fillRect/>
                    </a:stretch>
                  </pic:blipFill>
                  <pic:spPr>
                    <a:xfrm>
                      <a:off x="0" y="0"/>
                      <a:ext cx="2933700" cy="2413000"/>
                    </a:xfrm>
                    <a:prstGeom prst="rect">
                      <a:avLst/>
                    </a:prstGeom>
                  </pic:spPr>
                </pic:pic>
              </a:graphicData>
            </a:graphic>
          </wp:inline>
        </w:drawing>
      </w:r>
      <w:r>
        <w:rPr>
          <w:lang w:bidi="en" w:val="en" w:eastAsia="en"/>
        </w:rPr>
        <w:t xml:space="preserve"> </w:t>
      </w:r>
      <w:bookmarkEnd w:id="1214"/>
    </w:p>
    <w:p>
      <w:pPr>
        <w:keepNext/>
        <w:pStyle w:val="Para 067"/>
        <w:keepLines w:val="on"/>
      </w:pPr>
      <w:r>
        <w:t xml:space="preserve">Figure 3-1. </w:t>
        <w:t>An example of a binary tree</w:t>
      </w:r>
    </w:p>
    <w:p>
      <w:pPr>
        <w:pStyle w:val="Normal"/>
      </w:pPr>
      <w:r>
        <w:t>To write a generator function that, given the root of such a tree, “walks” the tree, yielding each payload in top-down order, the simplest approach is recursion:</w:t>
      </w:r>
    </w:p>
    <w:p>
      <w:pPr>
        <w:pStyle w:val="Para 037"/>
      </w:pPr>
      <w:r>
        <w:rPr>
          <w:rStyle w:val="Text118"/>
        </w:rPr>
        <w:t xml:space="preserve"/>
        <w:br w:clear="none"/>
      </w:r>
      <w:r>
        <w:t xml:space="preserve">def</w:t>
        <w:br w:clear="none"/>
      </w:r>
      <w:r>
        <w:rPr>
          <w:rStyle w:val="Text29"/>
        </w:rPr>
        <w:t xml:space="preserve"> </w:t>
        <w:br w:clear="none"/>
      </w:r>
      <w:r>
        <w:rPr>
          <w:rStyle w:val="Text61"/>
        </w:rPr>
        <w:t xml:space="preserve">rec</w:t>
        <w:br w:clear="none"/>
      </w:r>
      <w:r>
        <w:rPr>
          <w:rStyle w:val="Text31"/>
        </w:rPr>
        <w:t xml:space="preserve">(</w:t>
        <w:br w:clear="none"/>
      </w:r>
      <w:r>
        <w:rPr>
          <w:rStyle w:val="Text38"/>
        </w:rPr>
        <w:t xml:space="preserve">t</w:t>
        <w:br w:clear="none"/>
      </w:r>
      <w:r>
        <w:rPr>
          <w:rStyle w:val="Text31"/>
        </w:rPr>
        <w:t xml:space="preserve">)</w:t>
        <w:br w:clear="none"/>
        <w:t xml:space="preserve">:</w:t>
        <w:br w:clear="none"/>
      </w:r>
      <w:r>
        <w:rPr>
          <w:rStyle w:val="Text29"/>
        </w:rPr>
        <w:t xml:space="preserve"/>
        <w:br w:clear="none"/>
        <w:t xml:space="preserve">    </w:t>
        <w:br w:clear="none"/>
      </w:r>
      <w:r>
        <w:t xml:space="preserve">yield</w:t>
        <w:br w:clear="none"/>
      </w:r>
      <w:r>
        <w:rPr>
          <w:rStyle w:val="Text29"/>
        </w:rPr>
        <w:t xml:space="preserve"> </w:t>
        <w:br w:clear="none"/>
      </w:r>
      <w:r>
        <w:rPr>
          <w:rStyle w:val="Text38"/>
        </w:rPr>
        <w:t xml:space="preserve">t</w:t>
        <w:br w:clear="none"/>
      </w:r>
      <w:r>
        <w:rPr>
          <w:rStyle w:val="Text31"/>
        </w:rPr>
        <w:t xml:space="preserve">[</w:t>
        <w:br w:clear="none"/>
      </w:r>
      <w:r>
        <w:rPr>
          <w:rStyle w:val="Text93"/>
        </w:rPr>
        <w:t xml:space="preserve">0</w:t>
        <w:br w:clear="none"/>
      </w:r>
      <w:r>
        <w:rPr>
          <w:rStyle w:val="Text31"/>
        </w:rPr>
        <w:t xml:space="preserve">]</w:t>
        <w:br w:clear="none"/>
      </w:r>
      <w:r>
        <w:rPr>
          <w:rStyle w:val="Text29"/>
        </w:rPr>
        <w:t xml:space="preserve"/>
        <w:br w:clear="none"/>
        <w:t xml:space="preserve">    </w:t>
        <w:br w:clear="none"/>
      </w:r>
      <w:r>
        <w:t xml:space="preserve">for</w:t>
        <w:br w:clear="none"/>
      </w:r>
      <w:r>
        <w:rPr>
          <w:rStyle w:val="Text29"/>
        </w:rPr>
        <w:t xml:space="preserve"> </w:t>
        <w:br w:clear="none"/>
      </w:r>
      <w:r>
        <w:rPr>
          <w:rStyle w:val="Text38"/>
        </w:rPr>
        <w:t xml:space="preserve">i</w:t>
        <w:br w:clear="none"/>
      </w:r>
      <w:r>
        <w:rPr>
          <w:rStyle w:val="Text29"/>
        </w:rPr>
        <w:t xml:space="preserve"> </w:t>
        <w:br w:clear="none"/>
      </w:r>
      <w:r>
        <w:rPr>
          <w:rStyle w:val="Text7"/>
        </w:rPr>
        <w:t xml:space="preserve">in</w:t>
        <w:br w:clear="none"/>
      </w:r>
      <w:r>
        <w:rPr>
          <w:rStyle w:val="Text29"/>
        </w:rPr>
        <w:t xml:space="preserve"> </w:t>
        <w:br w:clear="none"/>
      </w:r>
      <w:r>
        <w:rPr>
          <w:rStyle w:val="Text31"/>
        </w:rPr>
        <w:t xml:space="preserve">(</w:t>
        <w:br w:clear="none"/>
      </w:r>
      <w:r>
        <w:rPr>
          <w:rStyle w:val="Text93"/>
        </w:rPr>
        <w:t xml:space="preserve">1</w:t>
        <w:br w:clear="none"/>
      </w:r>
      <w:r>
        <w:rPr>
          <w:rStyle w:val="Text31"/>
        </w:rPr>
        <w:t xml:space="preserve">,</w:t>
        <w:br w:clear="none"/>
      </w:r>
      <w:r>
        <w:rPr>
          <w:rStyle w:val="Text29"/>
        </w:rPr>
        <w:t xml:space="preserve"> </w:t>
        <w:br w:clear="none"/>
      </w:r>
      <w:r>
        <w:rPr>
          <w:rStyle w:val="Text93"/>
        </w:rPr>
        <w:t xml:space="preserve">2</w:t>
        <w:br w:clear="none"/>
      </w:r>
      <w:r>
        <w:rPr>
          <w:rStyle w:val="Text31"/>
        </w:rPr>
        <w:t xml:space="preserve">)</w:t>
        <w:br w:clear="none"/>
        <w:t xml:space="preserve">:</w:t>
        <w:br w:clear="none"/>
      </w:r>
      <w:r>
        <w:rPr>
          <w:rStyle w:val="Text29"/>
        </w:rPr>
        <w:t xml:space="preserve"/>
        <w:br w:clear="none"/>
        <w:t xml:space="preserve">        </w:t>
        <w:br w:clear="none"/>
      </w:r>
      <w:r>
        <w:t xml:space="preserve">if</w:t>
        <w:br w:clear="none"/>
      </w:r>
      <w:r>
        <w:rPr>
          <w:rStyle w:val="Text29"/>
        </w:rPr>
        <w:t xml:space="preserve"> </w:t>
        <w:br w:clear="none"/>
      </w:r>
      <w:r>
        <w:rPr>
          <w:rStyle w:val="Text38"/>
        </w:rPr>
        <w:t xml:space="preserve">t</w:t>
        <w:br w:clear="none"/>
      </w:r>
      <w:r>
        <w:rPr>
          <w:rStyle w:val="Text31"/>
        </w:rPr>
        <w:t xml:space="preserve">[</w:t>
        <w:br w:clear="none"/>
      </w:r>
      <w:r>
        <w:rPr>
          <w:rStyle w:val="Text38"/>
        </w:rPr>
        <w:t xml:space="preserve">i</w:t>
        <w:br w:clear="none"/>
      </w:r>
      <w:r>
        <w:rPr>
          <w:rStyle w:val="Text31"/>
        </w:rPr>
        <w:t xml:space="preserve">]</w:t>
        <w:br w:clear="none"/>
      </w:r>
      <w:r>
        <w:rPr>
          <w:rStyle w:val="Text29"/>
        </w:rPr>
        <w:t xml:space="preserve"> </w:t>
        <w:br w:clear="none"/>
      </w:r>
      <w:r>
        <w:rPr>
          <w:rStyle w:val="Text7"/>
        </w:rPr>
        <w:t xml:space="preserve">is</w:t>
        <w:br w:clear="none"/>
      </w:r>
      <w:r>
        <w:rPr>
          <w:rStyle w:val="Text6"/>
        </w:rPr>
        <w:t xml:space="preserve"> </w:t>
        <w:br w:clear="none"/>
      </w:r>
      <w:r>
        <w:rPr>
          <w:rStyle w:val="Text7"/>
        </w:rPr>
        <w:t xml:space="preserve">not</w:t>
        <w:br w:clear="none"/>
      </w:r>
      <w:r>
        <w:rPr>
          <w:rStyle w:val="Text6"/>
        </w:rPr>
        <w:t xml:space="preserve"> </w:t>
        <w:br w:clear="none"/>
      </w:r>
      <w:r>
        <w:t xml:space="preserve">None</w:t>
        <w:br w:clear="none"/>
      </w:r>
      <w:r>
        <w:rPr>
          <w:rStyle w:val="Text7"/>
        </w:rPr>
        <w:t xml:space="preserve">:</w:t>
        <w:br w:clear="none"/>
      </w:r>
      <w:r>
        <w:rPr>
          <w:rStyle w:val="Text29"/>
        </w:rPr>
        <w:t xml:space="preserve"/>
        <w:br w:clear="none"/>
      </w:r>
      <w:r>
        <w:rPr>
          <w:rStyle w:val="Text6"/>
        </w:rPr>
        <w:t xml:space="preserve">            </w:t>
        <w:br w:clear="none"/>
      </w:r>
      <w:r>
        <w:t xml:space="preserve">yield from</w:t>
        <w:br w:clear="none"/>
      </w:r>
      <w:r>
        <w:rPr>
          <w:rStyle w:val="Text29"/>
        </w:rPr>
        <w:t xml:space="preserve"> </w:t>
        <w:br w:clear="none"/>
      </w:r>
      <w:r>
        <w:rPr>
          <w:rStyle w:val="Text38"/>
        </w:rPr>
        <w:t xml:space="preserve">rec</w:t>
        <w:br w:clear="none"/>
      </w:r>
      <w:r>
        <w:rPr>
          <w:rStyle w:val="Text31"/>
        </w:rPr>
        <w:t xml:space="preserve">(</w:t>
        <w:br w:clear="none"/>
      </w:r>
      <w:r>
        <w:rPr>
          <w:rStyle w:val="Text38"/>
        </w:rPr>
        <w:t xml:space="preserve">t</w:t>
        <w:br w:clear="none"/>
      </w:r>
      <w:r>
        <w:rPr>
          <w:rStyle w:val="Text31"/>
        </w:rPr>
        <w:t xml:space="preserve">[</w:t>
        <w:br w:clear="none"/>
      </w:r>
      <w:r>
        <w:rPr>
          <w:rStyle w:val="Text38"/>
        </w:rPr>
        <w:t xml:space="preserve">i</w:t>
        <w:br w:clear="none"/>
      </w:r>
      <w:r>
        <w:rPr>
          <w:rStyle w:val="Text31"/>
        </w:rPr>
        <w:t xml:space="preserve">]</w:t>
        <w:br w:clear="none"/>
        <w:t xml:space="preserve">)</w:t>
        <w:br w:clear="none"/>
      </w:r>
    </w:p>
    <w:p>
      <w:pPr>
        <w:pStyle w:val="Normal"/>
      </w:pPr>
      <w:r>
        <w:t>But if a tree is very deep, recursion can become a problem. To remove recursion, we can handle our own stack—a list used in</w:t>
      </w:r>
      <w:r>
        <w:rPr>
          <w:rStyle w:val="Text111"/>
        </w:rPr>
        <w:bookmarkStart w:id="1215" w:name="idm45965258892112"/>
        <w:t/>
        <w:bookmarkEnd w:id="1215"/>
        <w:bookmarkStart w:id="1216" w:name="idm45965258891200"/>
        <w:t/>
        <w:bookmarkEnd w:id="1216"/>
      </w:r>
      <w:r>
        <w:t xml:space="preserve"> last-in, first-out (LIFO) fashion, thanks to its </w:t>
      </w:r>
      <w:r>
        <w:rPr>
          <w:rStyle w:val="Text0"/>
        </w:rPr>
        <w:t>append</w:t>
      </w:r>
      <w:r>
        <w:t xml:space="preserve"> and </w:t>
      </w:r>
      <w:r>
        <w:rPr>
          <w:rStyle w:val="Text0"/>
        </w:rPr>
        <w:t>pop</w:t>
      </w:r>
      <w:r>
        <w:t xml:space="preserve"> methods. To wit:</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norec</w:t>
        <w:br w:clear="none"/>
      </w:r>
      <w:r>
        <w:rPr>
          <w:rStyle w:val="Text7"/>
        </w:rPr>
        <w:t xml:space="preserve">(</w:t>
        <w:br w:clear="none"/>
      </w:r>
      <w:r>
        <w:rPr>
          <w:rStyle w:val="Text9"/>
        </w:rPr>
        <w:t xml:space="preserve">t</w:t>
        <w:br w:clear="none"/>
      </w:r>
      <w:r>
        <w:rPr>
          <w:rStyle w:val="Text7"/>
        </w:rPr>
        <w:t xml:space="preserve">)</w:t>
        <w:br w:clear="none"/>
        <w:t xml:space="preserve">:</w:t>
        <w:br w:clear="none"/>
      </w:r>
      <w:r>
        <w:t xml:space="preserve"/>
        <w:br w:clear="none"/>
        <w:t xml:space="preserve">    </w:t>
        <w:br w:clear="none"/>
      </w:r>
      <w:r>
        <w:rPr>
          <w:rStyle w:val="Text9"/>
        </w:rPr>
        <w:t xml:space="preserve">stack</w:t>
        <w:br w:clear="none"/>
      </w:r>
      <w:r>
        <w:t xml:space="preserve"> </w:t>
        <w:br w:clear="none"/>
      </w:r>
      <w:r>
        <w:rPr>
          <w:rStyle w:val="Text13"/>
        </w:rPr>
        <w:t xml:space="preserve">=</w:t>
        <w:br w:clear="none"/>
      </w:r>
      <w:r>
        <w:t xml:space="preserve"> </w:t>
        <w:br w:clear="none"/>
      </w:r>
      <w:r>
        <w:rPr>
          <w:rStyle w:val="Text7"/>
        </w:rPr>
        <w:t xml:space="preserve">[</w:t>
        <w:br w:clear="none"/>
      </w:r>
      <w:r>
        <w:rPr>
          <w:rStyle w:val="Text9"/>
        </w:rPr>
        <w:t xml:space="preserve">t</w:t>
        <w:br w:clear="none"/>
      </w:r>
      <w:r>
        <w:rPr>
          <w:rStyle w:val="Text7"/>
        </w:rPr>
        <w:t xml:space="preserve">]</w:t>
        <w:br w:clear="none"/>
      </w:r>
      <w:r>
        <w:t xml:space="preserve"/>
        <w:br w:clear="none"/>
        <w:t xml:space="preserve">    </w:t>
        <w:br w:clear="none"/>
      </w:r>
      <w:r>
        <w:rPr>
          <w:rStyle w:val="Text10"/>
        </w:rPr>
        <w:t xml:space="preserve">while</w:t>
        <w:br w:clear="none"/>
      </w:r>
      <w:r>
        <w:t xml:space="preserve"> </w:t>
        <w:br w:clear="none"/>
      </w:r>
      <w:r>
        <w:rPr>
          <w:rStyle w:val="Text9"/>
        </w:rPr>
        <w:t xml:space="preserve">stack</w:t>
        <w:br w:clear="none"/>
      </w:r>
      <w:r>
        <w:rPr>
          <w:rStyle w:val="Text7"/>
        </w:rPr>
        <w:t xml:space="preserve">:</w:t>
        <w:br w:clear="none"/>
      </w:r>
      <w:r>
        <w:t xml:space="preserve"/>
        <w:br w:clear="none"/>
        <w:t xml:space="preserve">        </w:t>
        <w:br w:clear="none"/>
      </w:r>
      <w:r>
        <w:rPr>
          <w:rStyle w:val="Text9"/>
        </w:rPr>
        <w:t xml:space="preserve">t</w:t>
        <w:br w:clear="none"/>
      </w:r>
      <w:r>
        <w:t xml:space="preserve"> </w:t>
        <w:br w:clear="none"/>
      </w:r>
      <w:r>
        <w:rPr>
          <w:rStyle w:val="Text13"/>
        </w:rPr>
        <w:t xml:space="preserve">=</w:t>
        <w:br w:clear="none"/>
      </w:r>
      <w:r>
        <w:t xml:space="preserve"> </w:t>
        <w:br w:clear="none"/>
      </w:r>
      <w:r>
        <w:rPr>
          <w:rStyle w:val="Text9"/>
        </w:rPr>
        <w:t xml:space="preserve">stack</w:t>
        <w:br w:clear="none"/>
      </w:r>
      <w:r>
        <w:rPr>
          <w:rStyle w:val="Text13"/>
        </w:rPr>
        <w:t xml:space="preserve">.</w:t>
        <w:br w:clear="none"/>
      </w:r>
      <w:r>
        <w:rPr>
          <w:rStyle w:val="Text9"/>
        </w:rPr>
        <w:t xml:space="preserve">pop</w:t>
        <w:br w:clear="none"/>
      </w:r>
      <w:r>
        <w:rPr>
          <w:rStyle w:val="Text7"/>
        </w:rPr>
        <w:t xml:space="preserve">(</w:t>
        <w:br w:clear="none"/>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t</w:t>
        <w:br w:clear="none"/>
      </w:r>
      <w:r>
        <w:rPr>
          <w:rStyle w:val="Text7"/>
        </w:rPr>
        <w:t xml:space="preserve">[</w:t>
        <w:br w:clear="none"/>
      </w:r>
      <w:r>
        <w:rPr>
          <w:rStyle w:val="Text27"/>
        </w:rPr>
        <w:t xml:space="preserve">0</w:t>
        <w:br w:clear="none"/>
      </w:r>
      <w:r>
        <w:rPr>
          <w:rStyle w:val="Text7"/>
        </w:rPr>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i</w:t>
        <w:br w:clear="none"/>
      </w:r>
      <w:r>
        <w:t xml:space="preserve"> </w:t>
        <w:br w:clear="none"/>
      </w:r>
      <w:r>
        <w:rPr>
          <w:rStyle w:val="Text31"/>
        </w:rPr>
        <w:t xml:space="preserve">in</w:t>
        <w:br w:clear="none"/>
      </w:r>
      <w:r>
        <w:t xml:space="preserve"> </w:t>
        <w:br w:clear="none"/>
      </w:r>
      <w:r>
        <w:rPr>
          <w:rStyle w:val="Text7"/>
        </w:rPr>
        <w:t xml:space="preserve">(</w:t>
        <w:br w:clear="none"/>
      </w:r>
      <w:r>
        <w:rPr>
          <w:rStyle w:val="Text27"/>
        </w:rPr>
        <w:t xml:space="preserve">2</w:t>
        <w:br w:clear="none"/>
      </w:r>
      <w:r>
        <w:rPr>
          <w:rStyle w:val="Text7"/>
        </w:rPr>
        <w:t xml:space="preserve">,</w:t>
        <w:br w:clear="none"/>
      </w:r>
      <w:r>
        <w:t xml:space="preserve"> </w:t>
        <w:br w:clear="none"/>
      </w:r>
      <w:r>
        <w:rPr>
          <w:rStyle w:val="Text27"/>
        </w:rPr>
        <w:t xml:space="preserve">1</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t</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31"/>
        </w:rPr>
        <w:t xml:space="preserve">is</w:t>
        <w:br w:clear="none"/>
      </w:r>
      <w:r>
        <w:rPr>
          <w:rStyle w:val="Text37"/>
        </w:rPr>
        <w:t xml:space="preserve"> </w:t>
        <w:br w:clear="none"/>
      </w:r>
      <w:r>
        <w:rPr>
          <w:rStyle w:val="Text31"/>
        </w:rPr>
        <w:t xml:space="preserve">not</w:t>
        <w:br w:clear="none"/>
      </w:r>
      <w:r>
        <w:rPr>
          <w:rStyle w:val="Text37"/>
        </w:rP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9"/>
        </w:rPr>
        <w:t xml:space="preserve">stack</w:t>
        <w:br w:clear="none"/>
      </w:r>
      <w:r>
        <w:rPr>
          <w:rStyle w:val="Text13"/>
        </w:rPr>
        <w:t xml:space="preserve">.</w:t>
        <w:br w:clear="none"/>
      </w:r>
      <w:r>
        <w:rPr>
          <w:rStyle w:val="Text9"/>
        </w:rPr>
        <w:t xml:space="preserve">append</w:t>
        <w:br w:clear="none"/>
      </w:r>
      <w:r>
        <w:rPr>
          <w:rStyle w:val="Text7"/>
        </w:rPr>
        <w:t xml:space="preserve">(</w:t>
        <w:br w:clear="none"/>
      </w:r>
      <w:r>
        <w:rPr>
          <w:rStyle w:val="Text9"/>
        </w:rPr>
        <w:t xml:space="preserve">t</w:t>
        <w:br w:clear="none"/>
      </w:r>
      <w:r>
        <w:rPr>
          <w:rStyle w:val="Text7"/>
        </w:rPr>
        <w:t xml:space="preserve">[</w:t>
        <w:br w:clear="none"/>
      </w:r>
      <w:r>
        <w:rPr>
          <w:rStyle w:val="Text9"/>
        </w:rPr>
        <w:t xml:space="preserve">i</w:t>
        <w:br w:clear="none"/>
      </w:r>
      <w:r>
        <w:rPr>
          <w:rStyle w:val="Text7"/>
        </w:rPr>
        <w:t xml:space="preserve">]</w:t>
        <w:br w:clear="none"/>
        <w:t xml:space="preserve">)</w:t>
        <w:br w:clear="none"/>
      </w:r>
    </w:p>
    <w:p>
      <w:pPr>
        <w:pStyle w:val="Normal"/>
      </w:pPr>
      <w:r>
        <w:t xml:space="preserve">The only small issue to be careful about, to keep exactly the same order of </w:t>
      </w:r>
      <w:r>
        <w:rPr>
          <w:rStyle w:val="Text5"/>
        </w:rPr>
        <w:t>yield</w:t>
      </w:r>
      <w:r>
        <w:t xml:space="preserve">s as </w:t>
      </w:r>
      <w:r>
        <w:rPr>
          <w:rStyle w:val="Text0"/>
        </w:rPr>
        <w:t>rec</w:t>
      </w:r>
      <w:r>
        <w:t xml:space="preserve">, is switching the </w:t>
      </w:r>
      <w:r>
        <w:rPr>
          <w:rStyle w:val="Text0"/>
        </w:rPr>
        <w:t>(</w:t>
        <w:t>1, 2</w:t>
        <w:t>)</w:t>
      </w:r>
      <w:r>
        <w:t xml:space="preserve"> index order in which to examine descendants to (</w:t>
      </w:r>
      <w:r>
        <w:rPr>
          <w:rStyle w:val="Text0"/>
        </w:rPr>
        <w:t>2, 1</w:t>
      </w:r>
      <w:r>
        <w:t xml:space="preserve">), adjusting to the “reversed” (last-in, first-out) behavior of </w:t>
      </w:r>
      <w:r>
        <w:rPr>
          <w:rStyle w:val="Text0"/>
        </w:rPr>
        <w:t>stack</w:t>
      </w:r>
      <w:r>
        <w:t>.</w:t>
      </w:r>
      <w:r>
        <w:rPr>
          <w:rStyle w:val="Text111"/>
        </w:rPr>
        <w:bookmarkStart w:id="1217" w:name="idm45965258751952"/>
        <w:t/>
        <w:bookmarkEnd w:id="1217"/>
        <w:bookmarkStart w:id="1218" w:name="idm45965258750544"/>
        <w:t/>
        <w:bookmarkEnd w:id="1218"/>
      </w:r>
    </w:p>
    <w:p>
      <w:bookmarkStart w:id="1219" w:name="1_Identifiers_referring_to_const"/>
      <w:pPr>
        <w:pStyle w:val="Para 035"/>
      </w:pPr>
      <w:hyperlink w:anchor="1_3">
        <w:r>
          <w:rPr>
            <w:rStyle w:val="Text1"/>
          </w:rPr>
          <w:t>1</w:t>
        </w:r>
      </w:hyperlink>
      <w:r>
        <w:t xml:space="preserve"> Identifiers referring to constants are all uppercase, by convention.</w:t>
      </w:r>
      <w:bookmarkEnd w:id="1219"/>
    </w:p>
    <w:p>
      <w:bookmarkStart w:id="1220" w:name="2_Control_characters_include_non"/>
      <w:pPr>
        <w:pStyle w:val="Para 015"/>
      </w:pPr>
      <w:hyperlink w:anchor="2_3">
        <w:r>
          <w:rPr>
            <w:rStyle w:val="Text1"/>
          </w:rPr>
          <w:t>2</w:t>
        </w:r>
      </w:hyperlink>
      <w:r>
        <w:t xml:space="preserve"> Control characters include nonprinting characters such as </w:t>
      </w:r>
      <w:r>
        <w:rPr>
          <w:rStyle w:val="Text25"/>
        </w:rPr>
        <w:t>\t</w:t>
      </w:r>
      <w:r>
        <w:t xml:space="preserve"> (tab) and </w:t>
      </w:r>
      <w:r>
        <w:rPr>
          <w:rStyle w:val="Text25"/>
        </w:rPr>
        <w:t>\n</w:t>
      </w:r>
      <w:r>
        <w:t xml:space="preserve"> (newline), both of which count as whitespace, and others such as </w:t>
      </w:r>
      <w:r>
        <w:rPr>
          <w:rStyle w:val="Text25"/>
        </w:rPr>
        <w:t>\a</w:t>
      </w:r>
      <w:r>
        <w:t xml:space="preserve"> (alarm, aka “beep”) and </w:t>
      </w:r>
      <w:r>
        <w:rPr>
          <w:rStyle w:val="Text25"/>
        </w:rPr>
        <w:t>\b</w:t>
      </w:r>
      <w:r>
        <w:t xml:space="preserve"> (backspace), which are not whitespace.</w:t>
      </w:r>
      <w:bookmarkEnd w:id="1220"/>
    </w:p>
    <w:p>
      <w:bookmarkStart w:id="1221" w:name="3__Container_displays___per_the"/>
      <w:pPr>
        <w:pStyle w:val="Para 015"/>
      </w:pPr>
      <w:hyperlink w:anchor="3_3">
        <w:r>
          <w:rPr>
            <w:rStyle w:val="Text1"/>
          </w:rPr>
          <w:t>3</w:t>
        </w:r>
      </w:hyperlink>
      <w:r>
        <w:t xml:space="preserve"> “Container displays,” per the </w:t>
      </w:r>
      <w:hyperlink r:id="rId225">
        <w:r>
          <w:rPr>
            <w:rStyle w:val="Text1"/>
          </w:rPr>
          <w:t>online docs</w:t>
        </w:r>
      </w:hyperlink>
      <w:r>
        <w:t xml:space="preserve"> (e.g., </w:t>
      </w:r>
      <w:r>
        <w:rPr>
          <w:rStyle w:val="Text25"/>
        </w:rPr>
        <w:t>list_display</w:t>
      </w:r>
      <w:r>
        <w:t>), but specifically ones with literal items.</w:t>
      </w:r>
      <w:bookmarkEnd w:id="1221"/>
    </w:p>
    <w:p>
      <w:bookmarkStart w:id="1222" w:name="4_There_s_also_a_bytearray_objec"/>
      <w:pPr>
        <w:pStyle w:val="Para 015"/>
      </w:pPr>
      <w:hyperlink w:anchor="4_2">
        <w:r>
          <w:rPr>
            <w:rStyle w:val="Text1"/>
          </w:rPr>
          <w:t>4</w:t>
        </w:r>
      </w:hyperlink>
      <w:r>
        <w:t xml:space="preserve"> There’s also a </w:t>
      </w:r>
      <w:r>
        <w:rPr>
          <w:rStyle w:val="Text25"/>
        </w:rPr>
        <w:t>bytearray</w:t>
      </w:r>
      <w:r>
        <w:t xml:space="preserve"> object, covered shortly, which is a </w:t>
      </w:r>
      <w:r>
        <w:rPr>
          <w:rStyle w:val="Text25"/>
        </w:rPr>
        <w:t>bytes</w:t>
      </w:r>
      <w:r>
        <w:t xml:space="preserve">-like “string” that </w:t>
      </w:r>
      <w:r>
        <w:rPr>
          <w:rStyle w:val="Text4"/>
        </w:rPr>
        <w:t>is</w:t>
      </w:r>
      <w:r>
        <w:t xml:space="preserve"> mutable.</w:t>
      </w:r>
      <w:bookmarkEnd w:id="1222"/>
    </w:p>
    <w:p>
      <w:bookmarkStart w:id="1223" w:name="5_This_syntax_is_sometimes_calle"/>
      <w:pPr>
        <w:pStyle w:val="Para 015"/>
      </w:pPr>
      <w:hyperlink w:anchor="5_2">
        <w:r>
          <w:rPr>
            <w:rStyle w:val="Text1"/>
          </w:rPr>
          <w:t>5</w:t>
        </w:r>
      </w:hyperlink>
      <w:r>
        <w:t xml:space="preserve"> This syntax is sometimes called a “tuple display.”</w:t>
      </w:r>
      <w:bookmarkEnd w:id="1223"/>
    </w:p>
    <w:p>
      <w:bookmarkStart w:id="1224" w:name="6_This_syntax_is_sometimes_calle"/>
      <w:pPr>
        <w:pStyle w:val="Para 015"/>
      </w:pPr>
      <w:hyperlink w:anchor="6_2">
        <w:r>
          <w:rPr>
            <w:rStyle w:val="Text1"/>
          </w:rPr>
          <w:t>6</w:t>
        </w:r>
      </w:hyperlink>
      <w:r>
        <w:t xml:space="preserve"> This syntax is sometimes called a “list display.”</w:t>
      </w:r>
      <w:bookmarkEnd w:id="1224"/>
    </w:p>
    <w:p>
      <w:bookmarkStart w:id="1225" w:name="7_This_syntax_is_sometimes_calle"/>
      <w:pPr>
        <w:pStyle w:val="Para 015"/>
      </w:pPr>
      <w:hyperlink w:anchor="7_2">
        <w:r>
          <w:rPr>
            <w:rStyle w:val="Text1"/>
          </w:rPr>
          <w:t>7</w:t>
        </w:r>
      </w:hyperlink>
      <w:r>
        <w:t xml:space="preserve"> This syntax is sometimes called a “set display.”</w:t>
      </w:r>
      <w:bookmarkEnd w:id="1225"/>
    </w:p>
    <w:p>
      <w:bookmarkStart w:id="1226" w:name="8_Each_specific_mapping_type_may"/>
      <w:pPr>
        <w:pStyle w:val="Para 015"/>
      </w:pPr>
      <w:hyperlink w:anchor="8_1">
        <w:r>
          <w:rPr>
            <w:rStyle w:val="Text1"/>
          </w:rPr>
          <w:t>8</w:t>
        </w:r>
      </w:hyperlink>
      <w:r>
        <w:t xml:space="preserve"> Each specific mapping type may put some constraints on the type of keys it accepts: in particular, dictionaries only accept hashable keys.</w:t>
      </w:r>
      <w:bookmarkEnd w:id="1226"/>
    </w:p>
    <w:p>
      <w:bookmarkStart w:id="1227" w:name="9_This_syntax_is_sometimes_calle"/>
      <w:pPr>
        <w:pStyle w:val="Para 015"/>
      </w:pPr>
      <w:hyperlink w:anchor="9_1">
        <w:r>
          <w:rPr>
            <w:rStyle w:val="Text1"/>
          </w:rPr>
          <w:t>9</w:t>
        </w:r>
      </w:hyperlink>
      <w:r>
        <w:t xml:space="preserve"> This syntax is sometimes called a “dictionary display.”</w:t>
      </w:r>
      <w:bookmarkEnd w:id="1227"/>
    </w:p>
    <w:p>
      <w:bookmarkStart w:id="1228" w:name="10_See__Shape__indexing__and_sli"/>
      <w:pPr>
        <w:pStyle w:val="Para 081"/>
      </w:pPr>
      <w:hyperlink w:anchor="10_1">
        <w:r>
          <w:t>10</w:t>
        </w:r>
      </w:hyperlink>
      <w:r>
        <w:rPr>
          <w:rStyle w:val="Text2"/>
        </w:rPr>
        <w:t xml:space="preserve"> See </w:t>
      </w:r>
      <w:hyperlink w:anchor="Shape__indexing__and_slicing__Ea">
        <w:r>
          <w:t>“Shape, indexing, and slicing”</w:t>
        </w:r>
      </w:hyperlink>
      <w:r>
        <w:rPr>
          <w:rStyle w:val="Text2"/>
        </w:rPr>
        <w:t>.</w:t>
      </w:r>
      <w:bookmarkEnd w:id="1228"/>
    </w:p>
    <w:p>
      <w:bookmarkStart w:id="1229" w:name="11_Strictly_speaking__almost_any"/>
      <w:pPr>
        <w:pStyle w:val="Para 015"/>
      </w:pPr>
      <w:hyperlink w:anchor="11_1">
        <w:r>
          <w:rPr>
            <w:rStyle w:val="Text1"/>
          </w:rPr>
          <w:t>11</w:t>
        </w:r>
      </w:hyperlink>
      <w:r>
        <w:t xml:space="preserve"> Strictly speaking, </w:t>
      </w:r>
      <w:r>
        <w:rPr>
          <w:rStyle w:val="Text4"/>
        </w:rPr>
        <w:t>almost</w:t>
      </w:r>
      <w:r>
        <w:t xml:space="preserve"> any: NumPy arrays, covered in </w:t>
      </w:r>
      <w:hyperlink w:anchor="Chapter_16__Numeric_Processing_2">
        <w:r>
          <w:rPr>
            <w:rStyle w:val="Text1"/>
          </w:rPr>
          <w:t>Chapter 16</w:t>
        </w:r>
      </w:hyperlink>
      <w:r>
        <w:t>, are an exception.</w:t>
      </w:r>
      <w:bookmarkEnd w:id="1229"/>
    </w:p>
    <w:p>
      <w:bookmarkStart w:id="1230" w:name="12_With_exactly_the_same_excepti"/>
      <w:pPr>
        <w:pStyle w:val="Para 015"/>
      </w:pPr>
      <w:hyperlink w:anchor="12">
        <w:r>
          <w:rPr>
            <w:rStyle w:val="Text1"/>
          </w:rPr>
          <w:t>12</w:t>
        </w:r>
      </w:hyperlink>
      <w:r>
        <w:t xml:space="preserve"> With exactly the same exception of NumPy arrays.</w:t>
      </w:r>
      <w:bookmarkEnd w:id="1230"/>
    </w:p>
    <w:p>
      <w:bookmarkStart w:id="1231" w:name="13_Sometimes_referred_to_as_the"/>
      <w:pPr>
        <w:pStyle w:val="Para 015"/>
      </w:pPr>
      <w:hyperlink w:anchor="13">
        <w:r>
          <w:rPr>
            <w:rStyle w:val="Text1"/>
          </w:rPr>
          <w:t>13</w:t>
        </w:r>
      </w:hyperlink>
      <w:r>
        <w:t xml:space="preserve"> Sometimes referred to as the </w:t>
      </w:r>
      <w:r>
        <w:rPr>
          <w:rStyle w:val="Text4"/>
        </w:rPr>
        <w:t>ternary</w:t>
      </w:r>
      <w:r>
        <w:t xml:space="preserve"> operator, as it is so called in C (Python’s original implementation language).</w:t>
      </w:r>
      <w:bookmarkEnd w:id="1231"/>
    </w:p>
    <w:p>
      <w:bookmarkStart w:id="1232" w:name="14_This_is_not__strictly_speakin"/>
      <w:pPr>
        <w:pStyle w:val="Para 015"/>
      </w:pPr>
      <w:hyperlink w:anchor="14">
        <w:r>
          <w:rPr>
            <w:rStyle w:val="Text1"/>
          </w:rPr>
          <w:t>14</w:t>
        </w:r>
      </w:hyperlink>
      <w:r>
        <w:t xml:space="preserve"> This is not, strictly speaking, the “coercion” you observe in other languages; however, among built-in numeric types, it produces pretty much the same effect.</w:t>
      </w:r>
      <w:bookmarkEnd w:id="1232"/>
    </w:p>
    <w:p>
      <w:bookmarkStart w:id="1233" w:name="15_Hence_the_upper_limit_of_36_f"/>
      <w:pPr>
        <w:pStyle w:val="Para 015"/>
      </w:pPr>
      <w:hyperlink w:anchor="15">
        <w:r>
          <w:rPr>
            <w:rStyle w:val="Text1"/>
          </w:rPr>
          <w:t>15</w:t>
        </w:r>
      </w:hyperlink>
      <w:r>
        <w:t xml:space="preserve"> Hence the upper limit of 36 for the radix: 10 numeric digits plus 26 alphabetic characters.</w:t>
      </w:r>
      <w:bookmarkEnd w:id="1233"/>
    </w:p>
    <w:p>
      <w:bookmarkStart w:id="1234" w:name="16_The_second_item_of_divmod_s_r"/>
      <w:pPr>
        <w:pStyle w:val="Para 015"/>
      </w:pPr>
      <w:hyperlink w:anchor="16">
        <w:r>
          <w:rPr>
            <w:rStyle w:val="Text1"/>
          </w:rPr>
          <w:t>16</w:t>
        </w:r>
      </w:hyperlink>
      <w:r>
        <w:t xml:space="preserve"> The second item of </w:t>
      </w:r>
      <w:r>
        <w:rPr>
          <w:rStyle w:val="Text25"/>
        </w:rPr>
        <w:t>divmod</w:t>
      </w:r>
      <w:r>
        <w:t xml:space="preserve">’s result, just like the result of </w:t>
      </w:r>
      <w:r>
        <w:rPr>
          <w:rStyle w:val="Text25"/>
        </w:rPr>
        <w:t>%</w:t>
      </w:r>
      <w:r>
        <w:t xml:space="preserve">, is the </w:t>
      </w:r>
      <w:r>
        <w:rPr>
          <w:rStyle w:val="Text4"/>
        </w:rPr>
        <w:t>remainder</w:t>
      </w:r>
      <w:r>
        <w:t xml:space="preserve">, not the </w:t>
      </w:r>
      <w:r>
        <w:rPr>
          <w:rStyle w:val="Text4"/>
        </w:rPr>
        <w:t>modulo</w:t>
      </w:r>
      <w:r>
        <w:t xml:space="preserve">, despite the function’s misleading name. The difference matters when the divisor is negative. In some other languages, such as C# and JavaScript, the result of a </w:t>
      </w:r>
      <w:r>
        <w:rPr>
          <w:rStyle w:val="Text25"/>
        </w:rPr>
        <w:t>%</w:t>
      </w:r>
      <w:r>
        <w:t xml:space="preserve"> operator is, in fact, the modulo; in others yet, such as C and C++, it is machine-dependent whether the result is the modulo or the remainder when either operand is negative. In Python, it’s the remainder.</w:t>
      </w:r>
      <w:bookmarkEnd w:id="1234"/>
    </w:p>
    <w:p>
      <w:bookmarkStart w:id="1235" w:name="17_Timsort_has_the_distinction_o"/>
      <w:pPr>
        <w:pStyle w:val="Para 015"/>
      </w:pPr>
      <w:hyperlink w:anchor="17">
        <w:r>
          <w:rPr>
            <w:rStyle w:val="Text1"/>
          </w:rPr>
          <w:t>17</w:t>
        </w:r>
      </w:hyperlink>
      <w:r>
        <w:t xml:space="preserve"> Timsort has the distinction of being the only sorting algorithm mentioned by the US Supreme Court, specifically in the case of </w:t>
      </w:r>
      <w:hyperlink r:id="rId226">
        <w:r>
          <w:rPr>
            <w:rStyle w:val="Text1"/>
          </w:rPr>
          <w:t>Oracle v. Google</w:t>
        </w:r>
      </w:hyperlink>
      <w:r>
        <w:t>.</w:t>
      </w:r>
      <w:bookmarkEnd w:id="1235"/>
    </w:p>
    <w:p>
      <w:bookmarkStart w:id="1236" w:name="18_Except__as_already_noted__a_N"/>
      <w:pPr>
        <w:pStyle w:val="Para 015"/>
      </w:pPr>
      <w:hyperlink w:anchor="18">
        <w:r>
          <w:rPr>
            <w:rStyle w:val="Text1"/>
          </w:rPr>
          <w:t>18</w:t>
        </w:r>
      </w:hyperlink>
      <w:r>
        <w:t xml:space="preserve"> Except, as already noted, a NumPy array with more than one element.</w:t>
      </w:r>
      <w:bookmarkEnd w:id="1236"/>
    </w:p>
    <w:p>
      <w:bookmarkStart w:id="1237" w:name="19_It_is_notable_that_the_match"/>
      <w:pPr>
        <w:pStyle w:val="Para 015"/>
      </w:pPr>
      <w:hyperlink w:anchor="19">
        <w:r>
          <w:rPr>
            <w:rStyle w:val="Text1"/>
          </w:rPr>
          <w:t>19</w:t>
        </w:r>
      </w:hyperlink>
      <w:r>
        <w:t xml:space="preserve"> It is notable that the </w:t>
      </w:r>
      <w:r>
        <w:rPr>
          <w:rStyle w:val="Text5"/>
        </w:rPr>
        <w:t>match</w:t>
      </w:r>
      <w:r>
        <w:t xml:space="preserve"> statement specifically excludes matching values of type </w:t>
      </w:r>
      <w:r>
        <w:rPr>
          <w:rStyle w:val="Text25"/>
        </w:rPr>
        <w:t>str</w:t>
      </w:r>
      <w:r>
        <w:t xml:space="preserve">, </w:t>
      </w:r>
      <w:r>
        <w:rPr>
          <w:rStyle w:val="Text25"/>
        </w:rPr>
        <w:t>bytes</w:t>
      </w:r>
      <w:r>
        <w:t xml:space="preserve">, and </w:t>
      </w:r>
      <w:r>
        <w:rPr>
          <w:rStyle w:val="Text25"/>
        </w:rPr>
        <w:t>bytearray</w:t>
      </w:r>
      <w:r>
        <w:t xml:space="preserve"> with </w:t>
      </w:r>
      <w:r>
        <w:rPr>
          <w:rStyle w:val="Text4"/>
        </w:rPr>
        <w:t>sequence</w:t>
      </w:r>
      <w:r>
        <w:t xml:space="preserve"> patterns.</w:t>
      </w:r>
      <w:bookmarkEnd w:id="1237"/>
    </w:p>
    <w:p>
      <w:bookmarkStart w:id="1238" w:name="20_Indeed__the_syntax_notation_u"/>
      <w:pPr>
        <w:pStyle w:val="Para 015"/>
      </w:pPr>
      <w:hyperlink w:anchor="20">
        <w:r>
          <w:rPr>
            <w:rStyle w:val="Text1"/>
          </w:rPr>
          <w:t>20</w:t>
        </w:r>
      </w:hyperlink>
      <w:r>
        <w:t xml:space="preserve"> Indeed, the syntax notation used in the Python online documentation required, and got, updates to concisely describe some of Python’s more recent syntax additions.</w:t>
      </w:r>
      <w:bookmarkEnd w:id="1238"/>
    </w:p>
    <w:p>
      <w:bookmarkStart w:id="1239" w:name="21_Although_comparing_float_or_c"/>
      <w:pPr>
        <w:pStyle w:val="Para 015"/>
      </w:pPr>
      <w:hyperlink w:anchor="21">
        <w:r>
          <w:rPr>
            <w:rStyle w:val="Text1"/>
          </w:rPr>
          <w:t>21</w:t>
        </w:r>
      </w:hyperlink>
      <w:r>
        <w:t xml:space="preserve"> Although comparing </w:t>
      </w:r>
      <w:r>
        <w:rPr>
          <w:rStyle w:val="Text25"/>
        </w:rPr>
        <w:t>float</w:t>
      </w:r>
      <w:r>
        <w:t xml:space="preserve"> or </w:t>
      </w:r>
      <w:r>
        <w:rPr>
          <w:rStyle w:val="Text25"/>
        </w:rPr>
        <w:t>complex</w:t>
      </w:r>
      <w:r>
        <w:t xml:space="preserve"> numbers for exact equality is often dubious practice.</w:t>
      </w:r>
      <w:bookmarkEnd w:id="1239"/>
    </w:p>
    <w:p>
      <w:bookmarkStart w:id="1240" w:name="22_For_this_unique_use_case__it"/>
      <w:pPr>
        <w:pStyle w:val="Para 015"/>
      </w:pPr>
      <w:hyperlink w:anchor="22">
        <w:r>
          <w:rPr>
            <w:rStyle w:val="Text1"/>
          </w:rPr>
          <w:t>22</w:t>
        </w:r>
      </w:hyperlink>
      <w:r>
        <w:t xml:space="preserve"> For this unique use case, it’s common to break the normal style conventions about starting class names with an uppercase letter and avoiding using semicolons to stash multiple assignments within one line; however, the authors haven’t yet found a style guide that blesses this peculiar, rather new usage.</w:t>
      </w:r>
      <w:bookmarkEnd w:id="1240"/>
    </w:p>
    <w:p>
      <w:bookmarkStart w:id="1241" w:name="23_And_its_subclasses__for_examp"/>
      <w:pPr>
        <w:pStyle w:val="Para 015"/>
      </w:pPr>
      <w:hyperlink w:anchor="23">
        <w:r>
          <w:rPr>
            <w:rStyle w:val="Text1"/>
          </w:rPr>
          <w:t>23</w:t>
        </w:r>
      </w:hyperlink>
      <w:r>
        <w:t xml:space="preserve"> And its subclasses, for example, </w:t>
      </w:r>
      <w:r>
        <w:rPr>
          <w:rStyle w:val="Text25"/>
        </w:rPr>
        <w:t>collections.defaultdict</w:t>
      </w:r>
      <w:r>
        <w:t>.</w:t>
      </w:r>
      <w:bookmarkEnd w:id="1241"/>
    </w:p>
    <w:p>
      <w:bookmarkStart w:id="1242" w:name="24_Except_that_the_loop_variable"/>
      <w:pPr>
        <w:pStyle w:val="Para 015"/>
      </w:pPr>
      <w:hyperlink w:anchor="24">
        <w:r>
          <w:rPr>
            <w:rStyle w:val="Text1"/>
          </w:rPr>
          <w:t>24</w:t>
        </w:r>
      </w:hyperlink>
      <w:r>
        <w:t xml:space="preserve"> Except that the loop variables’ scope is within the comprehension only, different from the way scoping works in a </w:t>
      </w:r>
      <w:r>
        <w:rPr>
          <w:rStyle w:val="Text107"/>
        </w:rPr>
        <w:t>for</w:t>
      </w:r>
      <w:r>
        <w:t xml:space="preserve"> statement.</w:t>
      </w:r>
      <w:bookmarkEnd w:id="1242"/>
    </w:p>
    <w:p>
      <w:bookmarkStart w:id="1243" w:name="25_In_that_paper__Knuth_also_fir"/>
      <w:pPr>
        <w:pStyle w:val="Para 015"/>
      </w:pPr>
      <w:hyperlink w:anchor="25">
        <w:r>
          <w:rPr>
            <w:rStyle w:val="Text1"/>
          </w:rPr>
          <w:t>25</w:t>
        </w:r>
      </w:hyperlink>
      <w:r>
        <w:t xml:space="preserve"> In that paper, Knuth also first proposed using “devices like indentation, rather than delimiters” to express program structure—just as Python does!</w:t>
      </w:r>
      <w:bookmarkEnd w:id="1243"/>
    </w:p>
    <w:p>
      <w:bookmarkStart w:id="1244" w:name="26__Alas__because_they_have_noth"/>
      <w:pPr>
        <w:pStyle w:val="Para 015"/>
      </w:pPr>
      <w:hyperlink w:anchor="26">
        <w:r>
          <w:rPr>
            <w:rStyle w:val="Text1"/>
          </w:rPr>
          <w:t>26</w:t>
        </w:r>
      </w:hyperlink>
      <w:r>
        <w:t xml:space="preserve"> “Alas” because they have nothing to do with Python keywords, so the terminology is confusing; if you use an actual Python keyword to name a named parameter, that raises </w:t>
      </w:r>
      <w:r>
        <w:rPr>
          <w:rStyle w:val="Text25"/>
        </w:rPr>
        <w:t>SyntaxError</w:t>
      </w:r>
      <w:r>
        <w:t>.</w:t>
      </w:r>
      <w:bookmarkEnd w:id="1244"/>
    </w:p>
    <w:p>
      <w:bookmarkStart w:id="1245" w:name="27_Python_developers_introduced"/>
      <w:pPr>
        <w:pStyle w:val="Para 015"/>
      </w:pPr>
      <w:hyperlink w:anchor="27">
        <w:r>
          <w:rPr>
            <w:rStyle w:val="Text1"/>
          </w:rPr>
          <w:t>27</w:t>
        </w:r>
      </w:hyperlink>
      <w:r>
        <w:t xml:space="preserve"> Python developers introduced positional-only arguments when they realized that parameters to many built-in functions effectively had no valid names as far as the interpreter was concerned.</w:t>
      </w:r>
      <w:bookmarkEnd w:id="1245"/>
    </w:p>
    <w:p>
      <w:bookmarkStart w:id="1246" w:name="28_An__optional_parameter__being"/>
      <w:pPr>
        <w:pStyle w:val="Para 015"/>
      </w:pPr>
      <w:hyperlink w:anchor="28">
        <w:r>
          <w:rPr>
            <w:rStyle w:val="Text1"/>
          </w:rPr>
          <w:t>28</w:t>
        </w:r>
      </w:hyperlink>
      <w:r>
        <w:t xml:space="preserve"> An “optional parameter” being one for which the function’s signature supplies a default value.</w:t>
      </w:r>
      <w:bookmarkEnd w:id="1246"/>
    </w:p>
    <w:p>
      <w:bookmarkStart w:id="1247" w:name="Chapter_4__Object_Oriented_Pytho_1"/>
      <w:bookmarkStart w:id="1248" w:name="Top_of_ch04_html"/>
      <w:bookmarkStart w:id="1249" w:name="Chapter_4__Object_Oriented_Pytho_2"/>
      <w:bookmarkStart w:id="1250" w:name="Chapter_4__Object_Oriented_Pytho"/>
      <w:pPr>
        <w:keepNext/>
        <w:pStyle w:val="Heading 1"/>
        <w:pageBreakBefore w:val="on"/>
      </w:pPr>
      <w:r>
        <w:t xml:space="preserve">Chapter 4. </w:t>
        <w:t>Object-Oriented Python</w:t>
      </w:r>
      <w:bookmarkEnd w:id="1247"/>
      <w:bookmarkEnd w:id="1248"/>
      <w:bookmarkEnd w:id="1249"/>
      <w:bookmarkEnd w:id="1250"/>
    </w:p>
    <w:p>
      <w:pPr>
        <w:pStyle w:val="Normal"/>
      </w:pPr>
      <w:r>
        <w:t>Python is an object-oriented (OO) programming language. Unlike some other object-oriented languages, however, Python doesn’t force you to use the object-oriented paradigm exclusively: it also supports</w:t>
      </w:r>
      <w:r>
        <w:rPr>
          <w:rStyle w:val="Text111"/>
        </w:rPr>
        <w:bookmarkStart w:id="1251" w:name="idm45965258747328"/>
        <w:t/>
        <w:bookmarkEnd w:id="1251"/>
      </w:r>
      <w:r>
        <w:t xml:space="preserve"> procedural programming, with modules and functions, so that you can select the best paradigm for each part of your program. The</w:t>
      </w:r>
      <w:r>
        <w:rPr>
          <w:rStyle w:val="Text111"/>
        </w:rPr>
        <w:bookmarkStart w:id="1252" w:name="idm45965272066128"/>
        <w:t/>
        <w:bookmarkEnd w:id="1252"/>
      </w:r>
      <w:r>
        <w:t xml:space="preserve"> object-oriented paradigm helps you group state (data) and behavior (code) together in handy packets of functionality. Moreover, it offers some useful specialized mechanisms covered in this chapter, like </w:t>
      </w:r>
      <w:r>
        <w:rPr>
          <w:rStyle w:val="Text4"/>
        </w:rPr>
        <w:t>inheritance</w:t>
      </w:r>
      <w:r>
        <w:t xml:space="preserve"> and </w:t>
      </w:r>
      <w:r>
        <w:rPr>
          <w:rStyle w:val="Text4"/>
        </w:rPr>
        <w:t>special methods</w:t>
      </w:r>
      <w:r>
        <w:t>. The simpler procedural approach, based on modules and functions, may be more suitable when you don’t need the pluses</w:t>
      </w:r>
      <w:hyperlink w:anchor="1_Or__drawbacks___according_to_o">
        <w:r>
          <w:rPr>
            <w:rStyle w:val="Text41"/>
          </w:rPr>
          <w:bookmarkStart w:id="1253" w:name="1_4"/>
          <w:t>1</w:t>
          <w:bookmarkEnd w:id="1253"/>
        </w:r>
      </w:hyperlink>
      <w:r>
        <w:t xml:space="preserve"> of object-oriented programming. With Python, you can mix and match paradigms.</w:t>
      </w:r>
    </w:p>
    <w:p>
      <w:pPr>
        <w:pStyle w:val="Normal"/>
      </w:pPr>
      <w:r>
        <w:t xml:space="preserve">In addition to core OO concepts, this chapter covers </w:t>
      </w:r>
      <w:r>
        <w:rPr>
          <w:rStyle w:val="Text4"/>
        </w:rPr>
        <w:t>abstract base classes</w:t>
      </w:r>
      <w:r>
        <w:t xml:space="preserve">, </w:t>
      </w:r>
      <w:r>
        <w:rPr>
          <w:rStyle w:val="Text4"/>
        </w:rPr>
        <w:t>decorators</w:t>
      </w:r>
      <w:r>
        <w:t xml:space="preserve">, and </w:t>
      </w:r>
      <w:r>
        <w:rPr>
          <w:rStyle w:val="Text4"/>
        </w:rPr>
        <w:t>metaclasses</w:t>
      </w:r>
      <w:r>
        <w:t>.</w:t>
      </w:r>
    </w:p>
    <w:p>
      <w:bookmarkStart w:id="1254" w:name="Classes_and_Instances__If_you_re"/>
      <w:pPr>
        <w:keepNext/>
        <w:pStyle w:val="Heading 1"/>
      </w:pPr>
      <w:r>
        <w:t>Classes and Instances</w:t>
      </w:r>
      <w:bookmarkEnd w:id="1254"/>
    </w:p>
    <w:p>
      <w:pPr>
        <w:pStyle w:val="Normal"/>
      </w:pPr>
      <w:r>
        <w:t>If</w:t>
      </w:r>
      <w:r>
        <w:rPr>
          <w:rStyle w:val="Text111"/>
        </w:rPr>
        <w:bookmarkStart w:id="1255" w:name="OOPclasinst04"/>
        <w:t/>
        <w:bookmarkEnd w:id="1255"/>
        <w:bookmarkStart w:id="1256" w:name="classes04"/>
        <w:t/>
        <w:bookmarkEnd w:id="1256"/>
      </w:r>
      <w:r>
        <w:t xml:space="preserve"> you’re familiar with object-oriented programming in other OO languages such as C++ or Java, you probably have a good grasp of classes and instances: a </w:t>
      </w:r>
      <w:r>
        <w:rPr>
          <w:rStyle w:val="Text4"/>
        </w:rPr>
        <w:t>class</w:t>
      </w:r>
      <w:r>
        <w:t xml:space="preserve"> is a user-defined type, which you </w:t>
      </w:r>
      <w:r>
        <w:rPr>
          <w:rStyle w:val="Text4"/>
        </w:rPr>
        <w:t>instantiate</w:t>
      </w:r>
      <w:r>
        <w:t xml:space="preserve"> to build </w:t>
      </w:r>
      <w:r>
        <w:rPr>
          <w:rStyle w:val="Text4"/>
        </w:rPr>
        <w:t>instances</w:t>
      </w:r>
      <w:r>
        <w:t>, i.e., objects of that type. Python supports this through its class and instance objects.</w:t>
      </w:r>
    </w:p>
    <w:p>
      <w:bookmarkStart w:id="1257" w:name="Python_Classes__A_class_is_a_Pyt"/>
      <w:pPr>
        <w:keepNext/>
        <w:pStyle w:val="Heading 2"/>
      </w:pPr>
      <w:r>
        <w:t>Python Classes</w:t>
      </w:r>
      <w:bookmarkEnd w:id="1257"/>
    </w:p>
    <w:p>
      <w:pPr>
        <w:pStyle w:val="Normal"/>
      </w:pPr>
      <w:r>
        <w:t xml:space="preserve">A </w:t>
      </w:r>
      <w:r>
        <w:rPr>
          <w:rStyle w:val="Text4"/>
        </w:rPr>
        <w:t>class</w:t>
      </w:r>
      <w:r>
        <w:t xml:space="preserve"> is a Python object with the following characteristics:</w:t>
      </w:r>
    </w:p>
    <w:p>
      <w:pPr>
        <w:pStyle w:val="Para 010"/>
      </w:pPr>
      <w:r>
        <w:t>You can call a class object just like you’d call a function. The call, known</w:t>
      </w:r>
      <w:r>
        <w:rPr>
          <w:rStyle w:val="Text111"/>
        </w:rPr>
        <w:bookmarkStart w:id="1258" w:name="idm45965272050352"/>
        <w:t/>
        <w:bookmarkEnd w:id="1258"/>
      </w:r>
      <w:r>
        <w:t xml:space="preserve"> as </w:t>
      </w:r>
      <w:r>
        <w:rPr>
          <w:rStyle w:val="Text4"/>
        </w:rPr>
        <w:t>instantiation</w:t>
      </w:r>
      <w:r>
        <w:t xml:space="preserve">, returns an object known as an </w:t>
      </w:r>
      <w:r>
        <w:rPr>
          <w:rStyle w:val="Text4"/>
        </w:rPr>
        <w:t>instance</w:t>
      </w:r>
      <w:r>
        <w:t xml:space="preserve"> of the class; the class is also known as the</w:t>
      </w:r>
      <w:r>
        <w:rPr>
          <w:rStyle w:val="Text111"/>
        </w:rPr>
        <w:bookmarkStart w:id="1259" w:name="idm45965272048256"/>
        <w:t/>
        <w:bookmarkEnd w:id="1259"/>
      </w:r>
      <w:r>
        <w:t xml:space="preserve"> instance’s </w:t>
      </w:r>
      <w:r>
        <w:rPr>
          <w:rStyle w:val="Text4"/>
        </w:rPr>
        <w:t>type</w:t>
      </w:r>
      <w:r>
        <w:t>.</w:t>
      </w:r>
    </w:p>
    <w:p>
      <w:pPr>
        <w:pStyle w:val="Para 010"/>
      </w:pPr>
      <w:r>
        <w:t>A class has arbitrarily named attributes that you can bind and reference.</w:t>
      </w:r>
    </w:p>
    <w:p>
      <w:pPr>
        <w:pStyle w:val="Para 010"/>
      </w:pPr>
      <w:r>
        <w:t>The values of class attributes can be</w:t>
      </w:r>
      <w:r>
        <w:rPr>
          <w:rStyle w:val="Text111"/>
        </w:rPr>
        <w:bookmarkStart w:id="1260" w:name="idm45965272044976"/>
        <w:t/>
        <w:bookmarkEnd w:id="1260"/>
      </w:r>
      <w:r>
        <w:t xml:space="preserve"> </w:t>
      </w:r>
      <w:r>
        <w:rPr>
          <w:rStyle w:val="Text4"/>
        </w:rPr>
        <w:t>descriptors</w:t>
      </w:r>
      <w:r>
        <w:t xml:space="preserve"> (including functions), covered in </w:t>
      </w:r>
      <w:hyperlink w:anchor="Descriptors__A_descriptor_is_an">
        <w:r>
          <w:rPr>
            <w:rStyle w:val="Text1"/>
          </w:rPr>
          <w:t>“Descriptors”</w:t>
        </w:r>
      </w:hyperlink>
      <w:r>
        <w:t>, or ordinary data objects.</w:t>
      </w:r>
    </w:p>
    <w:p>
      <w:pPr>
        <w:pStyle w:val="Para 010"/>
      </w:pPr>
      <w:r>
        <w:t>Class attributes bound to functions are also known as</w:t>
      </w:r>
      <w:r>
        <w:rPr>
          <w:rStyle w:val="Text111"/>
        </w:rPr>
        <w:bookmarkStart w:id="1261" w:name="idm45965272041472"/>
        <w:t/>
        <w:bookmarkEnd w:id="1261"/>
      </w:r>
      <w:r>
        <w:t xml:space="preserve"> </w:t>
      </w:r>
      <w:r>
        <w:rPr>
          <w:rStyle w:val="Text4"/>
        </w:rPr>
        <w:t>methods</w:t>
      </w:r>
      <w:r>
        <w:t xml:space="preserve"> of the class.</w:t>
      </w:r>
    </w:p>
    <w:p>
      <w:pPr>
        <w:pStyle w:val="Para 010"/>
      </w:pPr>
      <w:r>
        <w:t>A method can have any one of many Python-defined names with</w:t>
      </w:r>
      <w:r>
        <w:rPr>
          <w:rStyle w:val="Text111"/>
        </w:rPr>
        <w:bookmarkStart w:id="1262" w:name="idm45965272038624"/>
        <w:t/>
        <w:bookmarkEnd w:id="1262"/>
        <w:bookmarkStart w:id="1263" w:name="idm45965272037520"/>
        <w:t/>
        <w:bookmarkEnd w:id="1263"/>
      </w:r>
      <w:r>
        <w:t xml:space="preserve"> two leading and two trailing underscores (known as</w:t>
      </w:r>
      <w:r>
        <w:rPr>
          <w:rStyle w:val="Text111"/>
        </w:rPr>
        <w:bookmarkStart w:id="1264" w:name="idm45965272036016"/>
        <w:t/>
        <w:bookmarkEnd w:id="1264"/>
      </w:r>
      <w:r>
        <w:t xml:space="preserve"> </w:t>
      </w:r>
      <w:r>
        <w:rPr>
          <w:rStyle w:val="Text4"/>
        </w:rPr>
        <w:t>dunder names</w:t>
      </w:r>
      <w:r>
        <w:t xml:space="preserve">, short for “double-underscore names”—the name </w:t>
      </w:r>
      <w:r>
        <w:rPr>
          <w:rStyle w:val="Text0"/>
        </w:rPr>
        <w:t>__init__</w:t>
      </w:r>
      <w:r>
        <w:t>, for example, is pronounced “dunder init”). Python implicitly calls such special methods, when a class supplies them, when various kinds of operations occur on that class or its instances.</w:t>
      </w:r>
    </w:p>
    <w:p>
      <w:pPr>
        <w:pStyle w:val="Para 010"/>
      </w:pPr>
      <w:r>
        <w:t>A</w:t>
      </w:r>
      <w:r>
        <w:rPr>
          <w:rStyle w:val="Text111"/>
        </w:rPr>
        <w:bookmarkStart w:id="1265" w:name="idm45965272032496"/>
        <w:t/>
        <w:bookmarkEnd w:id="1265"/>
      </w:r>
      <w:r>
        <w:t xml:space="preserve"> class can </w:t>
      </w:r>
      <w:r>
        <w:rPr>
          <w:rStyle w:val="Text4"/>
        </w:rPr>
        <w:t>inherit</w:t>
      </w:r>
      <w:r>
        <w:t xml:space="preserve"> from one or more classes, meaning it delegates to other class objects the lookup of some attributes (including regular and</w:t>
      </w:r>
      <w:r>
        <w:rPr>
          <w:rStyle w:val="Text111"/>
        </w:rPr>
        <w:bookmarkStart w:id="1266" w:name="idm45965272030512"/>
        <w:t/>
        <w:bookmarkEnd w:id="1266"/>
      </w:r>
      <w:r>
        <w:t xml:space="preserve"> dunder methods) that are not in the class itself.</w:t>
      </w:r>
    </w:p>
    <w:p>
      <w:pPr>
        <w:pStyle w:val="Normal"/>
      </w:pPr>
      <w:r>
        <w:t>An</w:t>
      </w:r>
      <w:r>
        <w:rPr>
          <w:rStyle w:val="Text111"/>
        </w:rPr>
        <w:bookmarkStart w:id="1267" w:name="idm45965272028448"/>
        <w:t/>
        <w:bookmarkEnd w:id="1267"/>
      </w:r>
      <w:r>
        <w:t xml:space="preserve"> instance of a class is a Python object with arbitrarily named attributes that you can bind and reference. Every instance object delegates attribute lookup to its class for any attribute not found in the instance itself. The class, in turn, may delegate the lookup to classes from which it inherits, if any.</w:t>
      </w:r>
    </w:p>
    <w:p>
      <w:pPr>
        <w:pStyle w:val="Normal"/>
      </w:pPr>
      <w:r>
        <w:t xml:space="preserve">In Python, classes are objects (values), handled just like other objects. You can pass a class as an argument in a call to a function, and a function can return a class as the result of a call. You can bind a class to a variable, an item in a container, or an attribute of an object. Classes can also be keys into a dictionary. Since classes are perfectly ordinary objects in Python, we often say that classes are </w:t>
      </w:r>
      <w:r>
        <w:rPr>
          <w:rStyle w:val="Text4"/>
        </w:rPr>
        <w:t>first-class</w:t>
      </w:r>
      <w:r>
        <w:t xml:space="preserve"> objects.</w:t>
      </w:r>
    </w:p>
    <w:p>
      <w:bookmarkStart w:id="1268" w:name="The_class_Statement__The_class_s"/>
      <w:pPr>
        <w:keepNext/>
        <w:pStyle w:val="Heading 2"/>
      </w:pPr>
      <w:r>
        <w:t>The class Statement</w:t>
      </w:r>
      <w:bookmarkEnd w:id="1268"/>
    </w:p>
    <w:p>
      <w:pPr>
        <w:pStyle w:val="Normal"/>
      </w:pPr>
      <w:r>
        <w:t>The</w:t>
      </w:r>
      <w:r>
        <w:rPr>
          <w:rStyle w:val="Text111"/>
        </w:rPr>
        <w:bookmarkStart w:id="1269" w:name="idm45965272024080"/>
        <w:t/>
        <w:bookmarkEnd w:id="1269"/>
        <w:bookmarkStart w:id="1270" w:name="idm45965272022672"/>
        <w:t/>
        <w:bookmarkEnd w:id="1270"/>
      </w:r>
      <w:r>
        <w:t xml:space="preserve"> </w:t>
      </w:r>
      <w:r>
        <w:rPr>
          <w:rStyle w:val="Text5"/>
        </w:rPr>
        <w:t>class</w:t>
      </w:r>
      <w:r>
        <w:t xml:space="preserve"> statement is the most usual way you create a class object. </w:t>
      </w:r>
      <w:r>
        <w:rPr>
          <w:rStyle w:val="Text5"/>
        </w:rPr>
        <w:t>class</w:t>
      </w:r>
      <w:r>
        <w:t xml:space="preserve"> is a single-clause compound statement with the following syntax:</w:t>
      </w:r>
    </w:p>
    <w:p>
      <w:pPr>
        <w:pStyle w:val="Para 032"/>
      </w:pPr>
      <w:r>
        <w:rPr>
          <w:rStyle w:val="Text116"/>
        </w:rPr>
        <w:t xml:space="preserve"/>
        <w:br w:clear="none"/>
      </w:r>
      <w:r>
        <w:rPr>
          <w:rStyle w:val="Text22"/>
        </w:rPr>
        <w:t xml:space="preserve">class</w:t>
        <w:br w:clear="none"/>
      </w:r>
      <w:r>
        <w:rPr>
          <w:rStyle w:val="Text11"/>
        </w:rPr>
        <w:t xml:space="preserve"> </w:t>
        <w:br w:clear="none"/>
      </w:r>
      <w:r>
        <w:rPr>
          <w:rStyle w:val="Text33"/>
        </w:rPr>
        <w:t xml:space="preserve">Classname</w:t>
        <w:br w:clear="none"/>
      </w:r>
      <w:r>
        <w:rPr>
          <w:rStyle w:val="Text19"/>
        </w:rPr>
        <w:t xml:space="preserve">(</w:t>
        <w:br w:clear="none"/>
      </w:r>
      <w:r>
        <w:t xml:space="preserve">base</w:t>
        <w:br w:clear="none"/>
      </w:r>
      <w:r>
        <w:rPr>
          <w:rStyle w:val="Text13"/>
        </w:rPr>
        <w:t xml:space="preserve">-</w:t>
        <w:br w:clear="none"/>
      </w:r>
      <w:r>
        <w:t xml:space="preserve">classes</w:t>
        <w:br w:clear="none"/>
      </w:r>
      <w:r>
        <w:rPr>
          <w:rStyle w:val="Text19"/>
        </w:rPr>
        <w:t xml:space="preserve">,</w:t>
        <w:br w:clear="none"/>
      </w:r>
      <w:r>
        <w:rPr>
          <w:rStyle w:val="Text11"/>
        </w:rPr>
        <w:t xml:space="preserve"> </w:t>
        <w:br w:clear="none"/>
      </w:r>
      <w:r>
        <w:rPr>
          <w:rStyle w:val="Text28"/>
        </w:rPr>
        <w:t xml:space="preserve">*</w:t>
        <w:br w:clear="none"/>
      </w:r>
      <w:r>
        <w:rPr>
          <w:rStyle w:val="Text19"/>
        </w:rPr>
        <w:t xml:space="preserve">,</w:t>
        <w:br w:clear="none"/>
      </w:r>
      <w:r>
        <w:rPr>
          <w:rStyle w:val="Text11"/>
        </w:rPr>
        <w:t xml:space="preserve"> </w:t>
        <w:br w:clear="none"/>
      </w:r>
      <w:r>
        <w:rPr>
          <w:rStyle w:val="Text28"/>
        </w:rPr>
        <w:t xml:space="preserve">*</w:t>
        <w:br w:clear="none"/>
        <w:t xml:space="preserve">*</w:t>
        <w:br w:clear="none"/>
      </w:r>
      <w:r>
        <w:t xml:space="preserve">kw</w:t>
        <w:br w:clear="none"/>
      </w:r>
      <w:r>
        <w:rPr>
          <w:rStyle w:val="Text19"/>
        </w:rPr>
        <w:t xml:space="preserve">)</w:t>
        <w:br w:clear="none"/>
        <w:t xml:space="preserve">:</w:t>
        <w:br w:clear="none"/>
      </w:r>
      <w:r>
        <w:rPr>
          <w:rStyle w:val="Text11"/>
        </w:rPr>
        <w:t xml:space="preserve"/>
        <w:br w:clear="none"/>
        <w:t xml:space="preserve">    </w:t>
        <w:br w:clear="none"/>
      </w:r>
      <w:r>
        <w:rPr>
          <w:rStyle w:val="Text4"/>
        </w:rPr>
        <w:t xml:space="preserve">statement</w:t>
        <w:br w:clear="none"/>
      </w:r>
      <w:r>
        <w:rPr>
          <w:rStyle w:val="Text19"/>
        </w:rPr>
        <w:t xml:space="preserve">(</w:t>
        <w:br w:clear="none"/>
      </w:r>
      <w:r>
        <w:rPr>
          <w:rStyle w:val="Text4"/>
        </w:rPr>
        <w:t xml:space="preserve">s</w:t>
        <w:br w:clear="none"/>
      </w:r>
      <w:r>
        <w:rPr>
          <w:rStyle w:val="Text19"/>
        </w:rPr>
        <w:t xml:space="preserve">)</w:t>
        <w:br w:clear="none"/>
      </w:r>
    </w:p>
    <w:p>
      <w:pPr>
        <w:pStyle w:val="Normal"/>
      </w:pPr>
      <w:r>
        <w:rPr>
          <w:rStyle w:val="Text3"/>
        </w:rPr>
        <w:t>Classname</w:t>
      </w:r>
      <w:r>
        <w:t xml:space="preserve"> is an identifier: a variable that the class statement, when finished, binds (or rebinds) to the just-created class object. Python naming </w:t>
      </w:r>
      <w:hyperlink r:id="rId227">
        <w:r>
          <w:rPr>
            <w:rStyle w:val="Text1"/>
          </w:rPr>
          <w:t>conventions</w:t>
        </w:r>
      </w:hyperlink>
      <w:r>
        <w:t xml:space="preserve"> advise using title case for class names, such as </w:t>
      </w:r>
      <w:r>
        <w:rPr>
          <w:rStyle w:val="Text0"/>
        </w:rPr>
        <w:t>Item</w:t>
      </w:r>
      <w:r>
        <w:t xml:space="preserve">, </w:t>
      </w:r>
      <w:r>
        <w:rPr>
          <w:rStyle w:val="Text0"/>
        </w:rPr>
        <w:t>PrivilegedUser</w:t>
      </w:r>
      <w:r>
        <w:t xml:space="preserve">, </w:t>
      </w:r>
      <w:r>
        <w:rPr>
          <w:rStyle w:val="Text0"/>
        </w:rPr>
        <w:t>MultiUseFacility</w:t>
      </w:r>
      <w:r>
        <w:t>, etc.</w:t>
      </w:r>
    </w:p>
    <w:p>
      <w:pPr>
        <w:pStyle w:val="Normal"/>
      </w:pPr>
      <w:r>
        <w:rPr>
          <w:rStyle w:val="Text3"/>
        </w:rPr>
        <w:t>base-classes</w:t>
      </w:r>
      <w:r>
        <w:rPr>
          <w:rStyle w:val="Text105"/>
        </w:rPr>
        <w:bookmarkStart w:id="1271" w:name="idm45965271991248"/>
        <w:t xml:space="preserve"> </w:t>
        <w:bookmarkEnd w:id="1271"/>
      </w:r>
      <w:r>
        <w:t xml:space="preserve"> </w:t>
      </w:r>
      <w:r>
        <w:rPr>
          <w:rStyle w:val="Text111"/>
        </w:rPr>
        <w:bookmarkStart w:id="1272" w:name="idm45965271989984"/>
        <w:t/>
        <w:bookmarkEnd w:id="1272"/>
        <w:bookmarkStart w:id="1273" w:name="idm45965271988912"/>
        <w:t/>
        <w:bookmarkEnd w:id="1273"/>
      </w:r>
      <w:r>
        <w:t xml:space="preserve">is a comma-delimited series of expressions whose values are class objects. Various programming languages use different names for these class objects: you can call them the </w:t>
      </w:r>
      <w:r>
        <w:rPr>
          <w:rStyle w:val="Text4"/>
        </w:rPr>
        <w:t>bases, superclasses</w:t>
      </w:r>
      <w:r>
        <w:t xml:space="preserve">, or </w:t>
      </w:r>
      <w:r>
        <w:rPr>
          <w:rStyle w:val="Text4"/>
        </w:rPr>
        <w:t>parents</w:t>
      </w:r>
      <w:r>
        <w:t xml:space="preserve"> of the class. You can say the class created </w:t>
      </w:r>
      <w:r>
        <w:rPr>
          <w:rStyle w:val="Text4"/>
        </w:rPr>
        <w:t>inherits</w:t>
      </w:r>
      <w:r>
        <w:t xml:space="preserve"> from, </w:t>
      </w:r>
      <w:r>
        <w:rPr>
          <w:rStyle w:val="Text4"/>
        </w:rPr>
        <w:t>derives</w:t>
      </w:r>
      <w:r>
        <w:t xml:space="preserve"> from, </w:t>
      </w:r>
      <w:r>
        <w:rPr>
          <w:rStyle w:val="Text4"/>
        </w:rPr>
        <w:t>extends</w:t>
      </w:r>
      <w:r>
        <w:t xml:space="preserve">, or </w:t>
      </w:r>
      <w:r>
        <w:rPr>
          <w:rStyle w:val="Text4"/>
        </w:rPr>
        <w:t>subclasses</w:t>
      </w:r>
      <w:r>
        <w:t xml:space="preserve"> its base classes; in this book, we generally use </w:t>
      </w:r>
      <w:r>
        <w:rPr>
          <w:rStyle w:val="Text4"/>
        </w:rPr>
        <w:t>extend</w:t>
      </w:r>
      <w:r>
        <w:t>. This class is a</w:t>
      </w:r>
      <w:r>
        <w:rPr>
          <w:rStyle w:val="Text111"/>
        </w:rPr>
        <w:bookmarkStart w:id="1274" w:name="idm45965271965216"/>
        <w:t/>
        <w:bookmarkEnd w:id="1274"/>
      </w:r>
      <w:r>
        <w:t xml:space="preserve"> </w:t>
      </w:r>
      <w:r>
        <w:rPr>
          <w:rStyle w:val="Text4"/>
        </w:rPr>
        <w:t>direct subclass</w:t>
      </w:r>
      <w:r>
        <w:t xml:space="preserve"> or</w:t>
      </w:r>
      <w:r>
        <w:rPr>
          <w:rStyle w:val="Text111"/>
        </w:rPr>
        <w:bookmarkStart w:id="1275" w:name="idm45965271963504"/>
        <w:t/>
        <w:bookmarkEnd w:id="1275"/>
      </w:r>
      <w:r>
        <w:t xml:space="preserve"> </w:t>
      </w:r>
      <w:r>
        <w:rPr>
          <w:rStyle w:val="Text4"/>
        </w:rPr>
        <w:t>descendant</w:t>
      </w:r>
      <w:r>
        <w:t xml:space="preserve"> of its base classes. </w:t>
      </w:r>
      <w:r>
        <w:rPr>
          <w:rStyle w:val="Text0"/>
        </w:rPr>
        <w:t>**</w:t>
      </w:r>
      <w:r>
        <w:rPr>
          <w:rStyle w:val="Text3"/>
        </w:rPr>
        <w:t>kw</w:t>
      </w:r>
      <w:r>
        <w:t xml:space="preserve"> can</w:t>
      </w:r>
      <w:r>
        <w:rPr>
          <w:rStyle w:val="Text111"/>
        </w:rPr>
        <w:bookmarkStart w:id="1276" w:name="idm45965271960352"/>
        <w:t/>
        <w:bookmarkEnd w:id="1276"/>
        <w:bookmarkStart w:id="1277" w:name="idm45965271959008"/>
        <w:t/>
        <w:bookmarkEnd w:id="1277"/>
      </w:r>
      <w:r>
        <w:t xml:space="preserve"> include a named argument </w:t>
      </w:r>
      <w:r>
        <w:rPr>
          <w:rStyle w:val="Text0"/>
        </w:rPr>
        <w:t>metaclass=</w:t>
      </w:r>
      <w:r>
        <w:t xml:space="preserve"> to establish the class’s </w:t>
      </w:r>
      <w:r>
        <w:rPr>
          <w:rStyle w:val="Text4"/>
        </w:rPr>
        <w:t>metaclass</w:t>
      </w:r>
      <w:r>
        <w:t>,</w:t>
      </w:r>
      <w:hyperlink w:anchor="2_When_that_s_the_case__it_s_als">
        <w:r>
          <w:rPr>
            <w:rStyle w:val="Text41"/>
          </w:rPr>
          <w:bookmarkStart w:id="1278" w:name="2_4"/>
          <w:t>2</w:t>
          <w:bookmarkEnd w:id="1278"/>
        </w:r>
      </w:hyperlink>
      <w:r>
        <w:t xml:space="preserve"> as covered in </w:t>
      </w:r>
      <w:hyperlink w:anchor="How_Python_Determines_a_Class_s">
        <w:r>
          <w:rPr>
            <w:rStyle w:val="Text1"/>
          </w:rPr>
          <w:t>“How Python Determines a Class’s Metaclass”</w:t>
        </w:r>
      </w:hyperlink>
      <w:r>
        <w:t>.</w:t>
      </w:r>
    </w:p>
    <w:p>
      <w:pPr>
        <w:pStyle w:val="Normal"/>
      </w:pPr>
      <w:r>
        <w:t xml:space="preserve">Syntactically, including </w:t>
      </w:r>
      <w:r>
        <w:rPr>
          <w:rStyle w:val="Text3"/>
        </w:rPr>
        <w:t>base-classes</w:t>
      </w:r>
      <w:r>
        <w:t xml:space="preserve"> is optional: to indicate that you’re creating a class without bases, just omit </w:t>
      </w:r>
      <w:r>
        <w:rPr>
          <w:rStyle w:val="Text3"/>
        </w:rPr>
        <w:t>base-classes</w:t>
      </w:r>
      <w:r>
        <w:t xml:space="preserve"> (and, optionally, also omit the parentheses around it, placing the colon right after the class name). Every class inherits from </w:t>
      </w:r>
      <w:r>
        <w:rPr>
          <w:rStyle w:val="Text0"/>
        </w:rPr>
        <w:t>object</w:t>
      </w:r>
      <w:r>
        <w:t>, whether you specify explicit bases or not.</w:t>
      </w:r>
    </w:p>
    <w:p>
      <w:pPr>
        <w:pStyle w:val="Normal"/>
      </w:pPr>
      <w:r>
        <w:t xml:space="preserve">The subclass relationship between classes is transitive: if </w:t>
      </w:r>
      <w:r>
        <w:rPr>
          <w:rStyle w:val="Text3"/>
        </w:rPr>
        <w:t>C1</w:t>
      </w:r>
      <w:r>
        <w:t xml:space="preserve"> extends </w:t>
      </w:r>
      <w:r>
        <w:rPr>
          <w:rStyle w:val="Text3"/>
        </w:rPr>
        <w:t>C2</w:t>
      </w:r>
      <w:r>
        <w:t xml:space="preserve">, and </w:t>
      </w:r>
      <w:r>
        <w:rPr>
          <w:rStyle w:val="Text3"/>
        </w:rPr>
        <w:t>C2</w:t>
      </w:r>
      <w:r>
        <w:t xml:space="preserve"> extends </w:t>
      </w:r>
      <w:r>
        <w:rPr>
          <w:rStyle w:val="Text3"/>
        </w:rPr>
        <w:t>C3</w:t>
      </w:r>
      <w:r>
        <w:t xml:space="preserve">, then </w:t>
      </w:r>
      <w:r>
        <w:rPr>
          <w:rStyle w:val="Text3"/>
        </w:rPr>
        <w:t>C1</w:t>
      </w:r>
      <w:r>
        <w:t xml:space="preserve"> extends </w:t>
      </w:r>
      <w:r>
        <w:rPr>
          <w:rStyle w:val="Text3"/>
        </w:rPr>
        <w:t>C3</w:t>
      </w:r>
      <w:r>
        <w:t xml:space="preserve">. The built-in function </w:t>
      </w:r>
      <w:r>
        <w:rPr>
          <w:rStyle w:val="Text0"/>
        </w:rPr>
        <w:t>issubclass(</w:t>
      </w:r>
      <w:r>
        <w:rPr>
          <w:rStyle w:val="Text3"/>
        </w:rPr>
        <w:t>C1</w:t>
      </w:r>
      <w:r>
        <w:t xml:space="preserve">, </w:t>
      </w:r>
      <w:r>
        <w:rPr>
          <w:rStyle w:val="Text3"/>
        </w:rPr>
        <w:t>C2</w:t>
      </w:r>
      <w:r>
        <w:rPr>
          <w:rStyle w:val="Text0"/>
        </w:rPr>
        <w:t>)</w:t>
      </w:r>
      <w:r>
        <w:t xml:space="preserve"> accepts two class objects: it returns </w:t>
      </w:r>
      <w:r>
        <w:rPr>
          <w:rStyle w:val="Text5"/>
        </w:rPr>
        <w:t>True</w:t>
      </w:r>
      <w:r>
        <w:t xml:space="preserve"> when </w:t>
      </w:r>
      <w:r>
        <w:rPr>
          <w:rStyle w:val="Text3"/>
        </w:rPr>
        <w:t>C1</w:t>
      </w:r>
      <w:r>
        <w:t xml:space="preserve"> extends </w:t>
      </w:r>
      <w:r>
        <w:rPr>
          <w:rStyle w:val="Text3"/>
        </w:rPr>
        <w:t>C2</w:t>
      </w:r>
      <w:r>
        <w:t xml:space="preserve">, and otherwise it returns </w:t>
      </w:r>
      <w:r>
        <w:rPr>
          <w:rStyle w:val="Text5"/>
        </w:rPr>
        <w:t>False</w:t>
      </w:r>
      <w:r>
        <w:t xml:space="preserve">. Any class is a subclass of itself; therefore, </w:t>
      </w:r>
      <w:r>
        <w:rPr>
          <w:rStyle w:val="Text0"/>
        </w:rPr>
        <w:t>issubclass(</w:t>
      </w:r>
      <w:r>
        <w:rPr>
          <w:rStyle w:val="Text3"/>
        </w:rPr>
        <w:t>C</w:t>
      </w:r>
      <w:r>
        <w:t xml:space="preserve">, </w:t>
      </w:r>
      <w:r>
        <w:rPr>
          <w:rStyle w:val="Text3"/>
        </w:rPr>
        <w:t>C</w:t>
      </w:r>
      <w:r>
        <w:rPr>
          <w:rStyle w:val="Text0"/>
        </w:rPr>
        <w:t>)</w:t>
      </w:r>
      <w:r>
        <w:t xml:space="preserve"> returns </w:t>
      </w:r>
      <w:r>
        <w:rPr>
          <w:rStyle w:val="Text5"/>
        </w:rPr>
        <w:t>True</w:t>
      </w:r>
      <w:r>
        <w:t xml:space="preserve"> for any class </w:t>
      </w:r>
      <w:r>
        <w:rPr>
          <w:rStyle w:val="Text3"/>
        </w:rPr>
        <w:t>C</w:t>
      </w:r>
      <w:r>
        <w:t xml:space="preserve">. We cover how base classes affect a class’s functionality in </w:t>
      </w:r>
      <w:hyperlink w:anchor="Inheritance__When_you_use_an_att">
        <w:r>
          <w:rPr>
            <w:rStyle w:val="Text1"/>
          </w:rPr>
          <w:t>“Inheritance”</w:t>
        </w:r>
      </w:hyperlink>
      <w:r>
        <w:t>.</w:t>
      </w:r>
    </w:p>
    <w:p>
      <w:pPr>
        <w:pStyle w:val="Normal"/>
      </w:pPr>
      <w:r>
        <w:t xml:space="preserve">The nonempty sequence of indented statements that follows the </w:t>
      </w:r>
      <w:r>
        <w:rPr>
          <w:rStyle w:val="Text5"/>
        </w:rPr>
        <w:t>class</w:t>
      </w:r>
      <w:r>
        <w:t xml:space="preserve"> statement is the </w:t>
      </w:r>
      <w:r>
        <w:rPr>
          <w:rStyle w:val="Text4"/>
        </w:rPr>
        <w:t>class body</w:t>
      </w:r>
      <w:r>
        <w:t xml:space="preserve">. A class body executes immediately as part of the </w:t>
      </w:r>
      <w:r>
        <w:rPr>
          <w:rStyle w:val="Text5"/>
        </w:rPr>
        <w:t>class</w:t>
      </w:r>
      <w:r>
        <w:t xml:space="preserve"> statement’s execution. Until the body finishes executing, the new class object does not yet exist, and the </w:t>
      </w:r>
      <w:r>
        <w:rPr>
          <w:rStyle w:val="Text3"/>
        </w:rPr>
        <w:t>Classname</w:t>
      </w:r>
      <w:r>
        <w:t xml:space="preserve"> identifier is not yet bound (or rebound). </w:t>
      </w:r>
      <w:hyperlink w:anchor="How_a_Metaclass_Creates_a_Class">
        <w:r>
          <w:rPr>
            <w:rStyle w:val="Text1"/>
          </w:rPr>
          <w:t>“How a Metaclass Creates a Class”</w:t>
        </w:r>
      </w:hyperlink>
      <w:r>
        <w:t xml:space="preserve"> provides more details about what happens when a </w:t>
      </w:r>
      <w:r>
        <w:rPr>
          <w:rStyle w:val="Text5"/>
        </w:rPr>
        <w:t>class</w:t>
      </w:r>
      <w:r>
        <w:t xml:space="preserve"> statement executes. Note that the </w:t>
      </w:r>
      <w:r>
        <w:rPr>
          <w:rStyle w:val="Text5"/>
        </w:rPr>
        <w:t>class</w:t>
      </w:r>
      <w:r>
        <w:t xml:space="preserve"> statement does not immediately create any instance of the new class, but rather defines the set of attributes shared by all instances when you later create instances by calling the class.</w:t>
      </w:r>
    </w:p>
    <w:p>
      <w:bookmarkStart w:id="1279" w:name="The_Class_Body__The_body_of_a_cl"/>
      <w:pPr>
        <w:keepNext/>
        <w:pStyle w:val="Heading 2"/>
      </w:pPr>
      <w:r>
        <w:t>The Class Body</w:t>
      </w:r>
      <w:bookmarkEnd w:id="1279"/>
    </w:p>
    <w:p>
      <w:pPr>
        <w:pStyle w:val="Normal"/>
      </w:pPr>
      <w:r>
        <w:t>The</w:t>
      </w:r>
      <w:r>
        <w:rPr>
          <w:rStyle w:val="Text111"/>
        </w:rPr>
        <w:bookmarkStart w:id="1280" w:name="idm45965271928096"/>
        <w:t/>
        <w:bookmarkEnd w:id="1280"/>
      </w:r>
      <w:r>
        <w:t xml:space="preserve"> body of a class is where you normally specify class attributes; these attributes can be descriptor objects (including functions) or ordinary data objects of any type. An attribute of a class can be another class—so, for example, you can have a </w:t>
      </w:r>
      <w:r>
        <w:rPr>
          <w:rStyle w:val="Text5"/>
        </w:rPr>
        <w:t>class</w:t>
      </w:r>
      <w:r>
        <w:t xml:space="preserve"> statement “nested” inside another </w:t>
      </w:r>
      <w:r>
        <w:rPr>
          <w:rStyle w:val="Text5"/>
        </w:rPr>
        <w:t>class</w:t>
      </w:r>
      <w:r>
        <w:t xml:space="preserve"> statement.</w:t>
      </w:r>
    </w:p>
    <w:p>
      <w:bookmarkStart w:id="1281" w:name="Attributes_of_class_objects__You"/>
      <w:pPr>
        <w:keepNext/>
        <w:pStyle w:val="Heading 2"/>
      </w:pPr>
      <w:r>
        <w:t>Attributes of class objects</w:t>
      </w:r>
      <w:bookmarkEnd w:id="1281"/>
    </w:p>
    <w:p>
      <w:pPr>
        <w:pStyle w:val="Normal"/>
      </w:pPr>
      <w:r>
        <w:t>You</w:t>
      </w:r>
      <w:r>
        <w:rPr>
          <w:rStyle w:val="Text111"/>
        </w:rPr>
        <w:bookmarkStart w:id="1282" w:name="idm45965271922736"/>
        <w:t/>
        <w:bookmarkEnd w:id="1282"/>
      </w:r>
      <w:r>
        <w:t xml:space="preserve"> usually specify an attribute of a class object by binding a value to an identifier within the class body. For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C1</w:t>
        <w:br w:clear="none"/>
      </w:r>
      <w:r>
        <w:rPr>
          <w:rStyle w:val="Text7"/>
        </w:rPr>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r>
      <w:r>
        <w:rPr>
          <w:rStyle w:val="Text16"/>
        </w:rPr>
        <w:t xml:space="preserve">print</w:t>
        <w:br w:clear="none"/>
      </w:r>
      <w:r>
        <w:rPr>
          <w:rStyle w:val="Text7"/>
        </w:rPr>
        <w:t xml:space="preserve">(</w:t>
        <w:br w:clear="none"/>
      </w:r>
      <w:r>
        <w:rPr>
          <w:rStyle w:val="Text9"/>
        </w:rPr>
        <w:t xml:space="preserve">C1</w:t>
        <w:br w:clear="none"/>
      </w:r>
      <w:r>
        <w:rPr>
          <w:rStyle w:val="Text13"/>
        </w:rPr>
        <w:t xml:space="preserve">.</w:t>
        <w:br w:clear="none"/>
      </w:r>
      <w:r>
        <w:rPr>
          <w:rStyle w:val="Text9"/>
        </w:rPr>
        <w:t xml:space="preserve">x</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23</w:t>
        <w:br w:clear="none"/>
      </w:r>
    </w:p>
    <w:p>
      <w:pPr>
        <w:pStyle w:val="Normal"/>
      </w:pPr>
      <w:r>
        <w:t xml:space="preserve">Here, the class object </w:t>
      </w:r>
      <w:r>
        <w:rPr>
          <w:rStyle w:val="Text0"/>
        </w:rPr>
        <w:t>C1</w:t>
      </w:r>
      <w:r>
        <w:t xml:space="preserve"> has an attribute named </w:t>
      </w:r>
      <w:r>
        <w:rPr>
          <w:rStyle w:val="Text0"/>
        </w:rPr>
        <w:t>x</w:t>
      </w:r>
      <w:r>
        <w:t xml:space="preserve">, bound to the value </w:t>
      </w:r>
      <w:r>
        <w:rPr>
          <w:rStyle w:val="Text0"/>
        </w:rPr>
        <w:t>23</w:t>
      </w:r>
      <w:r>
        <w:t xml:space="preserve">, and </w:t>
      </w:r>
      <w:r>
        <w:rPr>
          <w:rStyle w:val="Text0"/>
        </w:rPr>
        <w:t>C1.x</w:t>
      </w:r>
      <w:r>
        <w:t xml:space="preserve"> refers to that attribute. Such attributes may also be accessed via instances: </w:t>
      </w:r>
      <w:r>
        <w:rPr>
          <w:rStyle w:val="Text0"/>
        </w:rPr>
        <w:t>c = C1(); print(c.x)</w:t>
      </w:r>
      <w:r>
        <w:t xml:space="preserve">. However, this isn’t always reliable in practice. For example, when the class instance </w:t>
      </w:r>
      <w:r>
        <w:rPr>
          <w:rStyle w:val="Text0"/>
        </w:rPr>
        <w:t>c</w:t>
      </w:r>
      <w:r>
        <w:t xml:space="preserve"> has an </w:t>
      </w:r>
      <w:r>
        <w:rPr>
          <w:rStyle w:val="Text0"/>
        </w:rPr>
        <w:t>x</w:t>
      </w:r>
      <w:r>
        <w:t xml:space="preserve"> attribute, that’s what </w:t>
      </w:r>
      <w:r>
        <w:rPr>
          <w:rStyle w:val="Text0"/>
        </w:rPr>
        <w:t>c.x</w:t>
      </w:r>
      <w:r>
        <w:t xml:space="preserve"> accesses, not the class-level one. So, to access a class-level attribute from an instance, using, say, </w:t>
      </w:r>
      <w:r>
        <w:rPr>
          <w:rStyle w:val="Text0"/>
        </w:rPr>
        <w:t>print(c.__class__.x)</w:t>
      </w:r>
      <w:r>
        <w:t xml:space="preserve"> may be best.</w:t>
      </w:r>
    </w:p>
    <w:p>
      <w:pPr>
        <w:pStyle w:val="Normal"/>
      </w:pPr>
      <w:r>
        <w:t>You can also bind or unbind class attributes outside the class body. For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C2</w:t>
        <w:br w:clear="none"/>
      </w:r>
      <w:r>
        <w:rPr>
          <w:rStyle w:val="Text7"/>
        </w:rPr>
        <w:t xml:space="preserve">:</w:t>
        <w:br w:clear="none"/>
      </w:r>
      <w:r>
        <w:t xml:space="preserve"/>
        <w:br w:clear="none"/>
        <w:t xml:space="preserve">    </w:t>
        <w:br w:clear="none"/>
      </w:r>
      <w:r>
        <w:rPr>
          <w:rStyle w:val="Text10"/>
        </w:rPr>
        <w:t xml:space="preserve">pass</w:t>
        <w:br w:clear="none"/>
      </w:r>
      <w:r>
        <w:t xml:space="preserve"/>
        <w:br w:clear="none"/>
      </w:r>
      <w:r>
        <w:rPr>
          <w:rStyle w:val="Text9"/>
        </w:rPr>
        <w:t xml:space="preserve">C2</w:t>
        <w:br w:clear="none"/>
      </w:r>
      <w:r>
        <w:rPr>
          <w:rStyle w:val="Text13"/>
        </w:rPr>
        <w:t xml:space="preserve">.</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r>
      <w:r>
        <w:rPr>
          <w:rStyle w:val="Text16"/>
        </w:rPr>
        <w:t xml:space="preserve">print</w:t>
        <w:br w:clear="none"/>
      </w:r>
      <w:r>
        <w:rPr>
          <w:rStyle w:val="Text7"/>
        </w:rPr>
        <w:t xml:space="preserve">(</w:t>
        <w:br w:clear="none"/>
      </w:r>
      <w:r>
        <w:rPr>
          <w:rStyle w:val="Text9"/>
        </w:rPr>
        <w:t xml:space="preserve">C2</w:t>
        <w:br w:clear="none"/>
      </w:r>
      <w:r>
        <w:rPr>
          <w:rStyle w:val="Text13"/>
        </w:rPr>
        <w:t xml:space="preserve">.</w:t>
        <w:br w:clear="none"/>
      </w:r>
      <w:r>
        <w:rPr>
          <w:rStyle w:val="Text9"/>
        </w:rPr>
        <w:t xml:space="preserve">x</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23</w:t>
        <w:br w:clear="none"/>
      </w:r>
    </w:p>
    <w:p>
      <w:pPr>
        <w:pStyle w:val="Normal"/>
      </w:pPr>
      <w:r>
        <w:t>Your program is usually more readable if you bind class attributes only with statements inside the class body. However, rebinding them elsewhere may be necessary if you want to carry state information at a class, rather than instance, level; Python lets you do that, if you wish. There is no difference between a class attribute bound in the class body and one bound or rebound outside the body by assigning to an attribute.</w:t>
      </w:r>
    </w:p>
    <w:p>
      <w:pPr>
        <w:pStyle w:val="Normal"/>
      </w:pPr>
      <w:r>
        <w:t>As we’ll discuss shortly, all class instances share all of the class’s attributes.</w:t>
      </w:r>
    </w:p>
    <w:p>
      <w:pPr>
        <w:pStyle w:val="Normal"/>
      </w:pPr>
      <w:r>
        <w:t xml:space="preserve">The </w:t>
      </w:r>
      <w:r>
        <w:rPr>
          <w:rStyle w:val="Text5"/>
        </w:rPr>
        <w:t>class</w:t>
      </w:r>
      <w:r>
        <w:t xml:space="preserve"> statement implicitly sets some class attributes. The attribute </w:t>
      </w:r>
      <w:r>
        <w:rPr>
          <w:rStyle w:val="Text0"/>
        </w:rPr>
        <w:t>__name__</w:t>
      </w:r>
      <w:r>
        <w:t xml:space="preserve"> is the </w:t>
      </w:r>
      <w:r>
        <w:rPr>
          <w:rStyle w:val="Text3"/>
        </w:rPr>
        <w:t>Classname</w:t>
      </w:r>
      <w:r>
        <w:t xml:space="preserve"> identifier string used in the </w:t>
      </w:r>
      <w:r>
        <w:rPr>
          <w:rStyle w:val="Text5"/>
        </w:rPr>
        <w:t>class</w:t>
      </w:r>
      <w:r>
        <w:t xml:space="preserve"> statement. The attribute </w:t>
      </w:r>
      <w:r>
        <w:rPr>
          <w:rStyle w:val="Text0"/>
        </w:rPr>
        <w:t>__bases__</w:t>
      </w:r>
      <w:r>
        <w:t xml:space="preserve"> is the tuple of class objects given (or implied) as the base classes in the </w:t>
      </w:r>
      <w:r>
        <w:rPr>
          <w:rStyle w:val="Text5"/>
        </w:rPr>
        <w:t>class</w:t>
      </w:r>
      <w:r>
        <w:t xml:space="preserve"> statement. For example, using the class </w:t>
      </w:r>
      <w:r>
        <w:rPr>
          <w:rStyle w:val="Text0"/>
        </w:rPr>
        <w:t>C1</w:t>
      </w:r>
      <w:r>
        <w:t xml:space="preserve"> we just created:</w:t>
      </w:r>
    </w:p>
    <w:p>
      <w:pPr>
        <w:pStyle w:val="Para 014"/>
      </w:pPr>
      <w:r>
        <w:rPr>
          <w:rStyle w:val="Text116"/>
        </w:rPr>
        <w:t xml:space="preserve"/>
        <w:br w:clear="none"/>
      </w:r>
      <w:r>
        <w:rPr>
          <w:rStyle w:val="Text21"/>
        </w:rPr>
        <w:t xml:space="preserve">print</w:t>
        <w:br w:clear="none"/>
      </w:r>
      <w:r>
        <w:rPr>
          <w:rStyle w:val="Text19"/>
        </w:rPr>
        <w:t xml:space="preserve">(</w:t>
        <w:br w:clear="none"/>
      </w:r>
      <w:r>
        <w:rPr>
          <w:rStyle w:val="Text14"/>
        </w:rPr>
        <w:t xml:space="preserve">C1</w:t>
        <w:br w:clear="none"/>
      </w:r>
      <w:r>
        <w:rPr>
          <w:rStyle w:val="Text28"/>
        </w:rPr>
        <w:t xml:space="preserve">.</w:t>
        <w:br w:clear="none"/>
      </w:r>
      <w:r>
        <w:rPr>
          <w:rStyle w:val="Text11"/>
        </w:rPr>
        <w:t xml:space="preserve">__name__</w:t>
        <w:br w:clear="none"/>
      </w:r>
      <w:r>
        <w:rPr>
          <w:rStyle w:val="Text19"/>
        </w:rPr>
        <w:t xml:space="preserve">,</w:t>
        <w:br w:clear="none"/>
      </w:r>
      <w:r>
        <w:rPr>
          <w:rStyle w:val="Text11"/>
        </w:rPr>
        <w:t xml:space="preserve"> </w:t>
        <w:br w:clear="none"/>
      </w:r>
      <w:r>
        <w:rPr>
          <w:rStyle w:val="Text14"/>
        </w:rPr>
        <w:t xml:space="preserve">C1</w:t>
        <w:br w:clear="none"/>
      </w:r>
      <w:r>
        <w:rPr>
          <w:rStyle w:val="Text28"/>
        </w:rPr>
        <w:t xml:space="preserve">.</w:t>
        <w:br w:clear="none"/>
      </w:r>
      <w:r>
        <w:rPr>
          <w:rStyle w:val="Text11"/>
        </w:rPr>
        <w:t xml:space="preserve">__bases__</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C1 (&lt;class 'object'&gt;,)</w:t>
        <w:br w:clear="none"/>
      </w:r>
    </w:p>
    <w:p>
      <w:pPr>
        <w:pStyle w:val="Normal"/>
      </w:pPr>
      <w:r>
        <w:t xml:space="preserve">A class also has an attribute called </w:t>
      </w:r>
      <w:r>
        <w:rPr>
          <w:rStyle w:val="Text0"/>
        </w:rPr>
        <w:t>__dict__</w:t>
      </w:r>
      <w:r>
        <w:t xml:space="preserve">, which is the read-only mapping that the class uses to hold other attributes (also known, informally, as the class’s </w:t>
      </w:r>
      <w:r>
        <w:rPr>
          <w:rStyle w:val="Text4"/>
        </w:rPr>
        <w:t>namespace</w:t>
      </w:r>
      <w:r>
        <w:t>).</w:t>
      </w:r>
    </w:p>
    <w:p>
      <w:pPr>
        <w:pStyle w:val="Normal"/>
      </w:pPr>
      <w:r>
        <w:t>In statements directly in a class’s body, references to class attributes must use a simple name, not a fully qualified name. For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C3</w:t>
        <w:br w:clear="none"/>
      </w:r>
      <w:r>
        <w:rPr>
          <w:rStyle w:val="Text7"/>
        </w:rPr>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t xml:space="preserve">    </w:t>
        <w:br w:clear="none"/>
      </w:r>
      <w:r>
        <w:rPr>
          <w:rStyle w:val="Text9"/>
        </w:rPr>
        <w:t xml:space="preserve">y</w:t>
        <w:br w:clear="none"/>
      </w:r>
      <w:r>
        <w:t xml:space="preserve"> </w:t>
        <w:br w:clear="none"/>
      </w:r>
      <w:r>
        <w:rPr>
          <w:rStyle w:val="Text13"/>
        </w:rPr>
        <w:t xml:space="preserve">=</w:t>
        <w:br w:clear="none"/>
      </w:r>
      <w:r>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22</w:t>
        <w:br w:clear="none"/>
      </w:r>
      <w:r>
        <w:t xml:space="preserve">                   </w:t>
        <w:br w:clear="none"/>
      </w:r>
      <w:r>
        <w:rPr>
          <w:rStyle w:val="Text15"/>
        </w:rPr>
        <w:t xml:space="preserve"># must use just x</w:t>
        <w:br w:clear="none"/>
      </w:r>
      <w:r>
        <w:rPr>
          <w:rStyle w:val="Text26"/>
        </w:rPr>
        <w:t xml:space="preserve">, </w:t>
        <w:br w:clear="none"/>
      </w:r>
      <w:r>
        <w:rPr>
          <w:rStyle w:val="Text15"/>
        </w:rPr>
        <w:t xml:space="preserve">not</w:t>
        <w:br w:clear="none"/>
      </w:r>
      <w:r>
        <w:rPr>
          <w:rStyle w:val="Text26"/>
        </w:rPr>
        <w:t xml:space="preserve"> </w:t>
        <w:br w:clear="none"/>
      </w:r>
      <w:r>
        <w:rPr>
          <w:rStyle w:val="Text15"/>
        </w:rPr>
        <w:t xml:space="preserve">C3.x</w:t>
        <w:br w:clear="none"/>
      </w:r>
    </w:p>
    <w:p>
      <w:pPr>
        <w:pStyle w:val="Normal"/>
      </w:pPr>
      <w:r>
        <w:t xml:space="preserve">However, in statements within </w:t>
      </w:r>
      <w:r>
        <w:rPr>
          <w:rStyle w:val="Text4"/>
        </w:rPr>
        <w:t>methods</w:t>
      </w:r>
      <w:r>
        <w:t xml:space="preserve"> defined in a class body, references to class attributes must use a fully qualified name, not a simple name. For example:</w:t>
      </w:r>
    </w:p>
    <w:p>
      <w:pPr>
        <w:pStyle w:val="Para 014"/>
      </w:pPr>
      <w:r>
        <w:rPr>
          <w:rStyle w:val="Text116"/>
        </w:rPr>
        <w:t xml:space="preserve"/>
        <w:br w:clear="none"/>
      </w:r>
      <w:r>
        <w:rPr>
          <w:rStyle w:val="Text22"/>
        </w:rPr>
        <w:t xml:space="preserve">class</w:t>
        <w:br w:clear="none"/>
      </w:r>
      <w:r>
        <w:rPr>
          <w:rStyle w:val="Text11"/>
        </w:rPr>
        <w:t xml:space="preserve"> </w:t>
        <w:br w:clear="none"/>
      </w:r>
      <w:r>
        <w:rPr>
          <w:rStyle w:val="Text45"/>
        </w:rPr>
        <w:t xml:space="preserve">C4</w:t>
        <w:br w:clear="none"/>
      </w:r>
      <w:r>
        <w:rPr>
          <w:rStyle w:val="Text19"/>
        </w:rPr>
        <w:t xml:space="preserve">:</w:t>
        <w:br w:clear="none"/>
      </w:r>
      <w:r>
        <w:rPr>
          <w:rStyle w:val="Text11"/>
        </w:rPr>
        <w:t xml:space="preserve"/>
        <w:br w:clear="none"/>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23</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amethod</w:t>
        <w:br w:clear="none"/>
      </w:r>
      <w:r>
        <w:rPr>
          <w:rStyle w:val="Text19"/>
        </w:rPr>
        <w:t xml:space="preserve">(</w:t>
        <w:br w:clear="none"/>
      </w:r>
      <w:r>
        <w:rPr>
          <w:rStyle w:val="Text21"/>
        </w:rPr>
        <w:t xml:space="preserve">self</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C4</w:t>
        <w:br w:clear="none"/>
      </w:r>
      <w:r>
        <w:rPr>
          <w:rStyle w:val="Text28"/>
        </w:rPr>
        <w:t xml:space="preserve">.</w:t>
        <w:br w:clear="none"/>
      </w:r>
      <w:r>
        <w:rPr>
          <w:rStyle w:val="Text14"/>
        </w:rPr>
        <w:t xml:space="preserve">x</w:t>
        <w:br w:clear="none"/>
      </w:r>
      <w:r>
        <w:rPr>
          <w:rStyle w:val="Text19"/>
        </w:rPr>
        <w:t xml:space="preserve">)</w:t>
        <w:br w:clear="none"/>
      </w:r>
      <w:r>
        <w:rPr>
          <w:rStyle w:val="Text11"/>
        </w:rPr>
        <w:t xml:space="preserve">              </w:t>
        <w:br w:clear="none"/>
      </w:r>
      <w:r>
        <w:t xml:space="preserve"># must use C4.x or self.x</w:t>
        <w:br w:clear="none"/>
      </w:r>
      <w:r>
        <w:rPr>
          <w:rStyle w:val="Text4"/>
        </w:rPr>
        <w:t xml:space="preserve">, </w:t>
        <w:br w:clear="none"/>
      </w:r>
      <w:r>
        <w:t xml:space="preserve">not</w:t>
        <w:br w:clear="none"/>
      </w:r>
      <w:r>
        <w:rPr>
          <w:rStyle w:val="Text4"/>
        </w:rPr>
        <w:t xml:space="preserve"> </w:t>
        <w:br w:clear="none"/>
      </w:r>
      <w:r>
        <w:t xml:space="preserve">just x!</w:t>
        <w:br w:clear="none"/>
      </w:r>
    </w:p>
    <w:p>
      <w:pPr>
        <w:pStyle w:val="Normal"/>
      </w:pPr>
      <w:r>
        <w:t xml:space="preserve">Attribute references (i.e., expressions like </w:t>
      </w:r>
      <w:r>
        <w:rPr>
          <w:rStyle w:val="Text3"/>
        </w:rPr>
        <w:t>C.x</w:t>
      </w:r>
      <w:r>
        <w:t xml:space="preserve">) have semantics richer than attribute bindings. We cover such references in detail in </w:t>
      </w:r>
      <w:hyperlink w:anchor="Attribute_Reference_Basics__An_a">
        <w:r>
          <w:rPr>
            <w:rStyle w:val="Text1"/>
          </w:rPr>
          <w:t>“Attribute Reference Basics”</w:t>
        </w:r>
      </w:hyperlink>
      <w:r>
        <w:t>.</w:t>
      </w:r>
    </w:p>
    <w:p>
      <w:bookmarkStart w:id="1283" w:name="Function_definitions_in_a_class"/>
      <w:pPr>
        <w:keepNext/>
        <w:pStyle w:val="Heading 2"/>
      </w:pPr>
      <w:r>
        <w:t>Function definitions in a class body</w:t>
      </w:r>
      <w:bookmarkEnd w:id="1283"/>
    </w:p>
    <w:p>
      <w:pPr>
        <w:pStyle w:val="Normal"/>
      </w:pPr>
      <w:r>
        <w:t>Most</w:t>
      </w:r>
      <w:r>
        <w:rPr>
          <w:rStyle w:val="Text111"/>
        </w:rPr>
        <w:bookmarkStart w:id="1284" w:name="idm45965271711392"/>
        <w:t/>
        <w:bookmarkEnd w:id="1284"/>
      </w:r>
      <w:r>
        <w:t xml:space="preserve"> class bodies include some</w:t>
      </w:r>
      <w:r>
        <w:rPr>
          <w:rStyle w:val="Text111"/>
        </w:rPr>
        <w:bookmarkStart w:id="1285" w:name="idm45965271709520"/>
        <w:t/>
        <w:bookmarkEnd w:id="1285"/>
      </w:r>
      <w:r>
        <w:t xml:space="preserve"> </w:t>
      </w:r>
      <w:r>
        <w:rPr>
          <w:rStyle w:val="Text5"/>
        </w:rPr>
        <w:t>def</w:t>
      </w:r>
      <w:r>
        <w:t xml:space="preserve"> statements, since functions (known as </w:t>
      </w:r>
      <w:r>
        <w:rPr>
          <w:rStyle w:val="Text4"/>
        </w:rPr>
        <w:t>methods</w:t>
      </w:r>
      <w:r>
        <w:rPr>
          <w:rStyle w:val="Text105"/>
        </w:rPr>
        <w:bookmarkStart w:id="1286" w:name="idm45965271707104"/>
        <w:t/>
        <w:bookmarkEnd w:id="1286"/>
      </w:r>
      <w:r>
        <w:t xml:space="preserve"> in this context) are important attributes for most class instances. A </w:t>
      </w:r>
      <w:r>
        <w:rPr>
          <w:rStyle w:val="Text5"/>
        </w:rPr>
        <w:t>def</w:t>
      </w:r>
      <w:r>
        <w:t xml:space="preserve"> statement in a class body obeys the rules covered in </w:t>
      </w:r>
      <w:hyperlink w:anchor="Functions__Most_statements_in_a">
        <w:r>
          <w:rPr>
            <w:rStyle w:val="Text1"/>
          </w:rPr>
          <w:t>“Functions”</w:t>
        </w:r>
      </w:hyperlink>
      <w:r>
        <w:t>. In addition, a method defined in a class body has a mandatory first parameter, conventionally always named</w:t>
      </w:r>
      <w:r>
        <w:rPr>
          <w:rStyle w:val="Text111"/>
        </w:rPr>
        <w:bookmarkStart w:id="1287" w:name="idm45965271679248"/>
        <w:t/>
        <w:bookmarkEnd w:id="1287"/>
      </w:r>
      <w:r>
        <w:t xml:space="preserve"> </w:t>
      </w:r>
      <w:r>
        <w:rPr>
          <w:rStyle w:val="Text0"/>
        </w:rPr>
        <w:t>self</w:t>
      </w:r>
      <w:r>
        <w:t xml:space="preserve">, that refers to the instance on which you call the method. The </w:t>
      </w:r>
      <w:r>
        <w:rPr>
          <w:rStyle w:val="Text0"/>
        </w:rPr>
        <w:t>self</w:t>
      </w:r>
      <w:r>
        <w:t xml:space="preserve"> parameter plays a special role in method calls, as covered in </w:t>
      </w:r>
      <w:hyperlink w:anchor="Bound_and_Unbound_Methods__The_m">
        <w:r>
          <w:rPr>
            <w:rStyle w:val="Text1"/>
          </w:rPr>
          <w:t>“Bound and Unbound Methods”</w:t>
        </w:r>
      </w:hyperlink>
      <w:r>
        <w:t>.</w:t>
      </w:r>
    </w:p>
    <w:p>
      <w:pPr>
        <w:pStyle w:val="Normal"/>
      </w:pPr>
      <w:r>
        <w:t>Here’s an example of a class that includes a method definition:</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C5</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hello</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Hello</w:t>
        <w:br w:clear="none"/>
        <w:t xml:space="preserve">'</w:t>
        <w:br w:clear="none"/>
      </w:r>
      <w:r>
        <w:rPr>
          <w:rStyle w:val="Text7"/>
        </w:rPr>
        <w:t xml:space="preserve">)</w:t>
        <w:br w:clear="none"/>
      </w:r>
    </w:p>
    <w:p>
      <w:pPr>
        <w:pStyle w:val="Normal"/>
      </w:pPr>
      <w:r>
        <w:t xml:space="preserve">A class can define a variety of special dunder methods relating to specific operations on its instances. We discuss these methods in detail in </w:t>
      </w:r>
      <w:hyperlink w:anchor="Special_Methods__A_class_may_def">
        <w:r>
          <w:rPr>
            <w:rStyle w:val="Text1"/>
          </w:rPr>
          <w:t>“Special Methods”</w:t>
        </w:r>
      </w:hyperlink>
      <w:r>
        <w:t>.</w:t>
      </w:r>
    </w:p>
    <w:p>
      <w:bookmarkStart w:id="1288" w:name="Class_private_variables__When_a"/>
      <w:pPr>
        <w:keepNext/>
        <w:pStyle w:val="Heading 2"/>
      </w:pPr>
      <w:r>
        <w:t>Class-private variables</w:t>
      </w:r>
      <w:bookmarkEnd w:id="1288"/>
    </w:p>
    <w:p>
      <w:pPr>
        <w:pStyle w:val="Normal"/>
      </w:pPr>
      <w:r>
        <w:t>When</w:t>
      </w:r>
      <w:r>
        <w:rPr>
          <w:rStyle w:val="Text111"/>
        </w:rPr>
        <w:bookmarkStart w:id="1289" w:name="idm45965271651328"/>
        <w:t/>
        <w:bookmarkEnd w:id="1289"/>
        <w:bookmarkStart w:id="1290" w:name="idm45965271650192"/>
        <w:t/>
        <w:bookmarkEnd w:id="1290"/>
      </w:r>
      <w:r>
        <w:t xml:space="preserve"> a statement in a class body (or in a method in the body) uses an identifier starting (but not ending) with</w:t>
      </w:r>
      <w:r>
        <w:rPr>
          <w:rStyle w:val="Text111"/>
        </w:rPr>
        <w:bookmarkStart w:id="1291" w:name="idm45965271648592"/>
        <w:t/>
        <w:bookmarkEnd w:id="1291"/>
        <w:bookmarkStart w:id="1292" w:name="idm45965271647488"/>
        <w:t/>
        <w:bookmarkEnd w:id="1292"/>
        <w:bookmarkStart w:id="1293" w:name="idm45965271627840"/>
        <w:t/>
        <w:bookmarkEnd w:id="1293"/>
      </w:r>
      <w:r>
        <w:t xml:space="preserve"> two underscores, such as</w:t>
      </w:r>
      <w:r>
        <w:rPr>
          <w:rStyle w:val="Text111"/>
        </w:rPr>
        <w:bookmarkStart w:id="1294" w:name="idm45965271626368"/>
        <w:t/>
        <w:bookmarkEnd w:id="1294"/>
      </w:r>
      <w:r>
        <w:t xml:space="preserve"> </w:t>
      </w:r>
      <w:r>
        <w:rPr>
          <w:rStyle w:val="Text3"/>
        </w:rPr>
        <w:t>__ident</w:t>
      </w:r>
      <w:r>
        <w:t xml:space="preserve">, Python implicitly changes the identifier to </w:t>
      </w:r>
      <w:r>
        <w:rPr>
          <w:rStyle w:val="Text3"/>
        </w:rPr>
        <w:t>_Classname__ident</w:t>
      </w:r>
      <w:r>
        <w:t xml:space="preserve">, where </w:t>
      </w:r>
      <w:r>
        <w:rPr>
          <w:rStyle w:val="Text3"/>
        </w:rPr>
        <w:t>Classname</w:t>
      </w:r>
      <w:r>
        <w:t xml:space="preserve"> is the name of the class. This implicit change lets a class use “private” names for attributes, methods, global variables, and other purposes, reducing the risk of accidentally duplicating names used elsewhere (particularly in subclasses).</w:t>
      </w:r>
    </w:p>
    <w:p>
      <w:pPr>
        <w:pStyle w:val="Normal"/>
      </w:pPr>
      <w:r>
        <w:t>By convention, identifiers starting with a</w:t>
      </w:r>
      <w:r>
        <w:rPr>
          <w:rStyle w:val="Text111"/>
        </w:rPr>
        <w:bookmarkStart w:id="1295" w:name="idm45965271622336"/>
        <w:t/>
        <w:bookmarkEnd w:id="1295"/>
        <w:bookmarkStart w:id="1296" w:name="idm45965271620688"/>
        <w:t/>
        <w:bookmarkEnd w:id="1296"/>
      </w:r>
      <w:r>
        <w:t xml:space="preserve"> </w:t>
      </w:r>
      <w:r>
        <w:rPr>
          <w:rStyle w:val="Text4"/>
        </w:rPr>
        <w:t>single</w:t>
      </w:r>
      <w:r>
        <w:t xml:space="preserve"> underscore are private to the scope that binds them, whether that scope is or isn’t a class. The Python compiler does not enforce this privacy convention: it is up to programmers to respect it.</w:t>
      </w:r>
    </w:p>
    <w:p>
      <w:bookmarkStart w:id="1297" w:name="Class_documentation_strings__If"/>
      <w:pPr>
        <w:keepNext/>
        <w:pStyle w:val="Heading 2"/>
      </w:pPr>
      <w:r>
        <w:t>Class documentation strings</w:t>
      </w:r>
      <w:bookmarkEnd w:id="1297"/>
    </w:p>
    <w:p>
      <w:pPr>
        <w:pStyle w:val="Normal"/>
      </w:pPr>
      <w:r>
        <w:t>If the first statement in the class body is a string literal, the compiler binds that string as the</w:t>
      </w:r>
      <w:r>
        <w:rPr>
          <w:rStyle w:val="Text111"/>
        </w:rPr>
        <w:bookmarkStart w:id="1298" w:name="idm45965271616288"/>
        <w:t/>
        <w:bookmarkEnd w:id="1298"/>
        <w:bookmarkStart w:id="1299" w:name="idm45965271615168"/>
        <w:t/>
        <w:bookmarkEnd w:id="1299"/>
      </w:r>
      <w:r>
        <w:t xml:space="preserve"> </w:t>
      </w:r>
      <w:r>
        <w:rPr>
          <w:rStyle w:val="Text4"/>
        </w:rPr>
        <w:t>documentation string</w:t>
      </w:r>
      <w:r>
        <w:t xml:space="preserve"> (or </w:t>
      </w:r>
      <w:r>
        <w:rPr>
          <w:rStyle w:val="Text4"/>
        </w:rPr>
        <w:t>docstring</w:t>
      </w:r>
      <w:r>
        <w:t>) for the class. The docstring for the class is available in the</w:t>
      </w:r>
      <w:r>
        <w:rPr>
          <w:rStyle w:val="Text111"/>
        </w:rPr>
        <w:bookmarkStart w:id="1300" w:name="idm45965271613024"/>
        <w:t/>
        <w:bookmarkEnd w:id="1300"/>
      </w:r>
      <w:r>
        <w:t xml:space="preserve"> </w:t>
      </w:r>
      <w:r>
        <w:rPr>
          <w:rStyle w:val="Text0"/>
        </w:rPr>
        <w:t>__doc__</w:t>
      </w:r>
      <w:r>
        <w:t xml:space="preserve"> attribute; if the first statement in the class body is </w:t>
      </w:r>
      <w:r>
        <w:rPr>
          <w:rStyle w:val="Text4"/>
        </w:rPr>
        <w:t>not</w:t>
      </w:r>
      <w:r>
        <w:t xml:space="preserve"> a string literal, its value is </w:t>
      </w:r>
      <w:r>
        <w:rPr>
          <w:rStyle w:val="Text5"/>
        </w:rPr>
        <w:t>None</w:t>
      </w:r>
      <w:r>
        <w:t xml:space="preserve">. See </w:t>
      </w:r>
      <w:hyperlink w:anchor="Docstrings__Another_function_att">
        <w:r>
          <w:rPr>
            <w:rStyle w:val="Text1"/>
          </w:rPr>
          <w:t>“Docstrings”</w:t>
        </w:r>
      </w:hyperlink>
      <w:r>
        <w:t xml:space="preserve"> for more information on documentation strings.</w:t>
      </w:r>
    </w:p>
    <w:p>
      <w:bookmarkStart w:id="1301" w:name="Descriptors__A_descriptor_is_an"/>
      <w:pPr>
        <w:keepNext/>
        <w:pStyle w:val="Heading 2"/>
      </w:pPr>
      <w:r>
        <w:t>Descriptors</w:t>
      </w:r>
      <w:bookmarkEnd w:id="1301"/>
    </w:p>
    <w:p>
      <w:pPr>
        <w:pStyle w:val="Normal"/>
      </w:pPr>
      <w:r>
        <w:t>A</w:t>
      </w:r>
      <w:r>
        <w:rPr>
          <w:rStyle w:val="Text111"/>
        </w:rPr>
        <w:bookmarkStart w:id="1302" w:name="idm45965271606656"/>
        <w:t/>
        <w:bookmarkEnd w:id="1302"/>
        <w:bookmarkStart w:id="1303" w:name="idm45965271605248"/>
        <w:t/>
        <w:bookmarkEnd w:id="1303"/>
      </w:r>
      <w:r>
        <w:t xml:space="preserve"> </w:t>
      </w:r>
      <w:r>
        <w:rPr>
          <w:rStyle w:val="Text4"/>
        </w:rPr>
        <w:t>descriptor</w:t>
      </w:r>
      <w:r>
        <w:t xml:space="preserve"> is an object whose class supplies one or more special methods</w:t>
      </w:r>
      <w:r>
        <w:rPr>
          <w:rStyle w:val="Text111"/>
        </w:rPr>
        <w:bookmarkStart w:id="1304" w:name="idm45965271603568"/>
        <w:t/>
        <w:bookmarkEnd w:id="1304"/>
        <w:bookmarkStart w:id="1305" w:name="idm45965271602496"/>
        <w:t/>
        <w:bookmarkEnd w:id="1305"/>
        <w:bookmarkStart w:id="1306" w:name="idm45965271601424"/>
        <w:t/>
        <w:bookmarkEnd w:id="1306"/>
      </w:r>
      <w:r>
        <w:t xml:space="preserve"> named </w:t>
      </w:r>
      <w:r>
        <w:rPr>
          <w:rStyle w:val="Text0"/>
        </w:rPr>
        <w:t>__get__</w:t>
      </w:r>
      <w:r>
        <w:t xml:space="preserve">, </w:t>
      </w:r>
      <w:r>
        <w:rPr>
          <w:rStyle w:val="Text0"/>
        </w:rPr>
        <w:t>__set__</w:t>
      </w:r>
      <w:r>
        <w:t xml:space="preserve">, or </w:t>
      </w:r>
      <w:r>
        <w:rPr>
          <w:rStyle w:val="Text0"/>
        </w:rPr>
        <w:t>__delete__</w:t>
      </w:r>
      <w:r>
        <w:t xml:space="preserve">. Descriptors that are class attributes control the semantics of accessing and setting attributes on instances of that class. Roughly speaking, when you access an instance attribute, Python gets the attribute’s value by calling </w:t>
      </w:r>
      <w:r>
        <w:rPr>
          <w:rStyle w:val="Text0"/>
        </w:rPr>
        <w:t>__get__</w:t>
      </w:r>
      <w:r>
        <w:t xml:space="preserve"> on the corresponding descriptor, if any. For example:</w:t>
      </w:r>
    </w:p>
    <w:p>
      <w:pPr>
        <w:pStyle w:val="Para 014"/>
      </w:pPr>
      <w:r>
        <w:rPr>
          <w:rStyle w:val="Text116"/>
        </w:rPr>
        <w:t xml:space="preserve"/>
        <w:br w:clear="none"/>
      </w:r>
      <w:r>
        <w:rPr>
          <w:rStyle w:val="Text22"/>
        </w:rPr>
        <w:t xml:space="preserve">class</w:t>
        <w:br w:clear="none"/>
      </w:r>
      <w:r>
        <w:rPr>
          <w:rStyle w:val="Text11"/>
        </w:rPr>
        <w:t xml:space="preserve"> </w:t>
        <w:br w:clear="none"/>
      </w:r>
      <w:r>
        <w:rPr>
          <w:rStyle w:val="Text45"/>
        </w:rPr>
        <w:t xml:space="preserve">Const</w:t>
        <w:br w:clear="none"/>
      </w:r>
      <w:r>
        <w:rPr>
          <w:rStyle w:val="Text19"/>
        </w:rPr>
        <w:t xml:space="preserve">:</w:t>
        <w:br w:clear="none"/>
      </w:r>
      <w:r>
        <w:rPr>
          <w:rStyle w:val="Text11"/>
        </w:rPr>
        <w:t xml:space="preserve">  </w:t>
        <w:br w:clear="none"/>
      </w:r>
      <w:r>
        <w:t xml:space="preserve"># class with an overriding descriptor, see later</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value</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1"/>
        </w:rPr>
        <w:t xml:space="preserve">__dict__</w:t>
        <w:br w:clear="none"/>
      </w:r>
      <w:r>
        <w:rPr>
          <w:rStyle w:val="Text19"/>
        </w:rPr>
        <w:t xml:space="preserve">[</w:t>
        <w:br w:clear="none"/>
      </w:r>
      <w:r>
        <w:rPr>
          <w:rStyle w:val="Text17"/>
        </w:rPr>
        <w:t xml:space="preserve">'</w:t>
        <w:br w:clear="none"/>
        <w:t xml:space="preserve">value</w:t>
        <w:br w:clear="none"/>
        <w:t xml:space="preserv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value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__set__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_</w:t>
        <w:br w:clear="none"/>
      </w:r>
      <w:r>
        <w:rPr>
          <w:rStyle w:val="Text19"/>
        </w:rPr>
        <w:t xml:space="preserve">)</w:t>
        <w:br w:clear="none"/>
        <w:t xml:space="preserve">:</w:t>
        <w:br w:clear="none"/>
      </w:r>
      <w:r>
        <w:rPr>
          <w:rStyle w:val="Text11"/>
        </w:rPr>
        <w:t xml:space="preserve">  </w:t>
        <w:br w:clear="none"/>
        <w:t xml:space="preserve"/>
        <w:br w:clear="none"/>
        <w:t xml:space="preserve">        </w:t>
        <w:br w:clear="none"/>
      </w:r>
      <w:r>
        <w:rPr>
          <w:rStyle w:val="Text4"/>
        </w:rPr>
        <w:t xml:space="preserve"># silently ignore any attempt at setting</w:t>
        <w:br w:clear="none"/>
      </w:r>
      <w:r>
        <w:rPr>
          <w:rStyle w:val="Text11"/>
        </w:rPr>
        <w:t xml:space="preserve"/>
        <w:br w:clear="none"/>
        <w:t xml:space="preserve">        </w:t>
        <w:br w:clear="none"/>
      </w:r>
      <w:r>
        <w:rPr>
          <w:rStyle w:val="Text4"/>
        </w:rPr>
        <w:t xml:space="preserve"># (a better design choice might be to raise AttributeError)</w:t>
        <w:br w:clear="none"/>
      </w:r>
      <w:r>
        <w:rPr>
          <w:rStyle w:val="Text11"/>
        </w:rPr>
        <w:t xml:space="preserve"/>
        <w:br w:clear="none"/>
        <w:t xml:space="preserve">        </w:t>
        <w:br w:clear="none"/>
      </w:r>
      <w:r>
        <w:rPr>
          <w:rStyle w:val="Text22"/>
        </w:rPr>
        <w:t xml:space="preserve">pass</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__get__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_</w:t>
        <w:br w:clear="none"/>
      </w:r>
      <w:r>
        <w:rPr>
          <w:rStyle w:val="Text19"/>
        </w:rPr>
        <w:t xml:space="preserve">)</w:t>
        <w:br w:clear="none"/>
        <w:t xml:space="preserve">:</w:t>
        <w:br w:clear="none"/>
      </w:r>
      <w:r>
        <w:rPr>
          <w:rStyle w:val="Text11"/>
        </w:rPr>
        <w:t xml:space="preserve"/>
        <w:br w:clear="none"/>
        <w:t xml:space="preserve">        </w:t>
        <w:br w:clear="none"/>
      </w:r>
      <w:r>
        <w:t xml:space="preserve"># always return the constant value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self</w:t>
        <w:br w:clear="none"/>
      </w:r>
      <w:r>
        <w:rPr>
          <w:rStyle w:val="Text28"/>
        </w:rPr>
        <w:t xml:space="preserve">.</w:t>
        <w:br w:clear="none"/>
      </w:r>
      <w:r>
        <w:rPr>
          <w:rStyle w:val="Text11"/>
        </w:rPr>
        <w:t xml:space="preserve">__dict__</w:t>
        <w:br w:clear="none"/>
      </w:r>
      <w:r>
        <w:rPr>
          <w:rStyle w:val="Text19"/>
        </w:rPr>
        <w:t xml:space="preserve">[</w:t>
        <w:br w:clear="none"/>
      </w:r>
      <w:r>
        <w:rPr>
          <w:rStyle w:val="Text17"/>
        </w:rPr>
        <w:t xml:space="preserve">'</w:t>
        <w:br w:clear="none"/>
        <w:t xml:space="preserve">value</w:t>
        <w:br w:clear="none"/>
        <w:t xml:space="preserve">'</w:t>
        <w:br w:clear="none"/>
      </w:r>
      <w:r>
        <w:rPr>
          <w:rStyle w:val="Text19"/>
        </w:rP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__delete__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_</w:t>
        <w:br w:clear="none"/>
      </w:r>
      <w:r>
        <w:rPr>
          <w:rStyle w:val="Text19"/>
        </w:rPr>
        <w:t xml:space="preserve">)</w:t>
        <w:br w:clear="none"/>
        <w:t xml:space="preserve">:</w:t>
        <w:br w:clear="none"/>
      </w:r>
      <w:r>
        <w:rPr>
          <w:rStyle w:val="Text11"/>
        </w:rPr>
        <w:t xml:space="preserve"> </w:t>
        <w:br w:clear="none"/>
        <w:t xml:space="preserve"/>
        <w:br w:clear="none"/>
        <w:t xml:space="preserve">        </w:t>
        <w:br w:clear="none"/>
      </w:r>
      <w:r>
        <w:t xml:space="preserve"># silently ignore any attempt at deleting</w:t>
        <w:br w:clear="none"/>
      </w:r>
      <w:r>
        <w:rPr>
          <w:rStyle w:val="Text4"/>
        </w:rPr>
        <w:t xml:space="preserve"> </w:t>
        <w:br w:clear="none"/>
      </w:r>
      <w:r>
        <w:rPr>
          <w:rStyle w:val="Text11"/>
        </w:rPr>
        <w:t xml:space="preserve"/>
        <w:br w:clear="none"/>
        <w:t xml:space="preserve">        </w:t>
        <w:br w:clear="none"/>
      </w:r>
      <w:r>
        <w:rPr>
          <w:rStyle w:val="Text4"/>
        </w:rPr>
        <w:t xml:space="preserve"># (a better design choice might be to raise AttributeError)</w:t>
        <w:br w:clear="none"/>
      </w:r>
      <w:r>
        <w:rPr>
          <w:rStyle w:val="Text11"/>
        </w:rPr>
        <w:t xml:space="preserve"/>
        <w:br w:clear="none"/>
        <w:t xml:space="preserve">        </w:t>
        <w:br w:clear="none"/>
      </w:r>
      <w:r>
        <w:rPr>
          <w:rStyle w:val="Text22"/>
        </w:rPr>
        <w:t xml:space="preserve">pass</w:t>
        <w:br w:clear="none"/>
      </w:r>
      <w:r>
        <w:rPr>
          <w:rStyle w:val="Text11"/>
        </w:rPr>
        <w:t xml:space="preserve"/>
        <w:br w:clear="none"/>
        <w:t xml:space="preserve"/>
        <w:br w:clear="none"/>
      </w:r>
      <w:r>
        <w:rPr>
          <w:rStyle w:val="Text22"/>
        </w:rPr>
        <w:t xml:space="preserve">class</w:t>
        <w:br w:clear="none"/>
      </w:r>
      <w:r>
        <w:rPr>
          <w:rStyle w:val="Text11"/>
        </w:rPr>
        <w:t xml:space="preserve"> </w:t>
        <w:br w:clear="none"/>
      </w:r>
      <w:r>
        <w:rPr>
          <w:rStyle w:val="Text45"/>
        </w:rPr>
        <w:t xml:space="preserve">X</w:t>
        <w:br w:clear="none"/>
      </w:r>
      <w:r>
        <w:rPr>
          <w:rStyle w:val="Text19"/>
        </w:rPr>
        <w:t xml:space="preserve">:</w:t>
        <w:br w:clear="none"/>
      </w:r>
      <w:r>
        <w:rPr>
          <w:rStyle w:val="Text11"/>
        </w:rPr>
        <w:t xml:space="preserve"/>
        <w:br w:clear="none"/>
        <w:t xml:space="preserve">    </w:t>
        <w:br w:clear="none"/>
      </w:r>
      <w:r>
        <w:rPr>
          <w:rStyle w:val="Text14"/>
        </w:rPr>
        <w:t xml:space="preserve">c</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Const</w:t>
        <w:br w:clear="none"/>
      </w:r>
      <w:r>
        <w:rPr>
          <w:rStyle w:val="Text19"/>
        </w:rPr>
        <w:t xml:space="preserve">(</w:t>
        <w:br w:clear="none"/>
      </w:r>
      <w:r>
        <w:rPr>
          <w:rStyle w:val="Text35"/>
        </w:rPr>
        <w:t xml:space="preserve">23</w:t>
        <w:br w:clear="none"/>
      </w:r>
      <w:r>
        <w:rPr>
          <w:rStyle w:val="Text19"/>
        </w:rPr>
        <w:t xml:space="preserve">)</w:t>
        <w:br w:clear="none"/>
      </w:r>
      <w:r>
        <w:rPr>
          <w:rStyle w:val="Text11"/>
        </w:rPr>
        <w:t xml:space="preserve"/>
        <w:br w:clear="none"/>
        <w:t xml:space="preserve"/>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c</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23</w:t>
        <w:br w:clear="none"/>
      </w:r>
      <w:r>
        <w:rPr>
          <w:rStyle w:val="Text11"/>
        </w:rPr>
        <w:t xml:space="preserve"/>
        <w:br w:clear="none"/>
      </w:r>
      <w:r>
        <w:rPr>
          <w:rStyle w:val="Text14"/>
        </w:rPr>
        <w:t xml:space="preserve">x</w:t>
        <w:br w:clear="none"/>
      </w:r>
      <w:r>
        <w:rPr>
          <w:rStyle w:val="Text28"/>
        </w:rPr>
        <w:t xml:space="preserve">.</w:t>
        <w:br w:clear="none"/>
      </w:r>
      <w:r>
        <w:rPr>
          <w:rStyle w:val="Text14"/>
        </w:rPr>
        <w:t xml:space="preserve">c</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42</w:t>
        <w:br w:clear="none"/>
      </w:r>
      <w:r>
        <w:rPr>
          <w:rStyle w:val="Text11"/>
        </w:rPr>
        <w:t xml:space="preserve">    </w:t>
        <w:br w:clear="none"/>
      </w:r>
      <w:r>
        <w:t xml:space="preserve"># silently ignored (unless you raise AttributeError)</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c</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23</w:t>
        <w:br w:clear="none"/>
      </w:r>
      <w:r>
        <w:rPr>
          <w:rStyle w:val="Text11"/>
        </w:rPr>
        <w:t xml:space="preserve"/>
        <w:br w:clear="none"/>
      </w:r>
      <w:r>
        <w:rPr>
          <w:rStyle w:val="Text22"/>
        </w:rPr>
        <w:t xml:space="preserve">del</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c</w:t>
        <w:br w:clear="none"/>
      </w:r>
      <w:r>
        <w:rPr>
          <w:rStyle w:val="Text6"/>
        </w:rPr>
        <w:t xml:space="preserve">     </w:t>
        <w:br w:clear="none"/>
      </w:r>
      <w:r>
        <w:t xml:space="preserve"># silently ignored again (ditto)</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c</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23</w:t>
        <w:br w:clear="none"/>
      </w:r>
    </w:p>
    <w:p>
      <w:pPr>
        <w:pStyle w:val="Para 082"/>
      </w:pPr>
      <w:r>
        <w:rPr>
          <w:rStyle w:val="Text2"/>
        </w:rPr>
        <w:t xml:space="preserve">For more details, see </w:t>
      </w:r>
      <w:hyperlink w:anchor="Attribute_Reference_Basics__An_a">
        <w:r>
          <w:t>“Attribute Reference Basics”</w:t>
        </w:r>
      </w:hyperlink>
      <w:r>
        <w:rPr>
          <w:rStyle w:val="Text2"/>
        </w:rPr>
        <w:t>.</w:t>
      </w:r>
    </w:p>
    <w:p>
      <w:bookmarkStart w:id="1307" w:name="Overriding_and_nonoverriding_des"/>
      <w:pPr>
        <w:keepNext/>
        <w:pStyle w:val="Heading 2"/>
      </w:pPr>
      <w:r>
        <w:t>Overriding and nonoverriding descriptors</w:t>
      </w:r>
      <w:bookmarkEnd w:id="1307"/>
    </w:p>
    <w:p>
      <w:pPr>
        <w:pStyle w:val="Normal"/>
      </w:pPr>
      <w:r>
        <w:t xml:space="preserve">When a descriptor’s class supplies a special method named </w:t>
      </w:r>
      <w:r>
        <w:rPr>
          <w:rStyle w:val="Text0"/>
        </w:rPr>
        <w:t>__set__</w:t>
      </w:r>
      <w:r>
        <w:t>, the descriptor is known as an</w:t>
      </w:r>
      <w:r>
        <w:rPr>
          <w:rStyle w:val="Text111"/>
        </w:rPr>
        <w:bookmarkStart w:id="1308" w:name="idm45965271431792"/>
        <w:t/>
        <w:bookmarkEnd w:id="1308"/>
      </w:r>
      <w:r>
        <w:t xml:space="preserve"> </w:t>
      </w:r>
      <w:r>
        <w:rPr>
          <w:rStyle w:val="Text4"/>
        </w:rPr>
        <w:t>overriding descriptor</w:t>
      </w:r>
      <w:r>
        <w:t xml:space="preserve"> (or, using the older, confusing terminology, a</w:t>
      </w:r>
      <w:r>
        <w:rPr>
          <w:rStyle w:val="Text111"/>
        </w:rPr>
        <w:bookmarkStart w:id="1309" w:name="idm45965271452960"/>
        <w:t/>
        <w:bookmarkEnd w:id="1309"/>
      </w:r>
      <w:r>
        <w:t xml:space="preserve"> </w:t>
      </w:r>
      <w:r>
        <w:rPr>
          <w:rStyle w:val="Text4"/>
        </w:rPr>
        <w:t>data descriptor</w:t>
      </w:r>
      <w:r>
        <w:t xml:space="preserve">); when the descriptor’s class supplies </w:t>
      </w:r>
      <w:r>
        <w:rPr>
          <w:rStyle w:val="Text0"/>
        </w:rPr>
        <w:t>__get__</w:t>
      </w:r>
      <w:r>
        <w:t xml:space="preserve"> and not </w:t>
      </w:r>
      <w:r>
        <w:rPr>
          <w:rStyle w:val="Text0"/>
        </w:rPr>
        <w:t>__set__</w:t>
      </w:r>
      <w:r>
        <w:t>, the descriptor is known as a</w:t>
      </w:r>
      <w:r>
        <w:rPr>
          <w:rStyle w:val="Text111"/>
        </w:rPr>
        <w:bookmarkStart w:id="1310" w:name="idm45965271449872"/>
        <w:t/>
        <w:bookmarkEnd w:id="1310"/>
      </w:r>
      <w:r>
        <w:t xml:space="preserve"> </w:t>
      </w:r>
      <w:r>
        <w:rPr>
          <w:rStyle w:val="Text4"/>
        </w:rPr>
        <w:t>nonoverriding descriptor</w:t>
      </w:r>
      <w:r>
        <w:t>.</w:t>
      </w:r>
    </w:p>
    <w:p>
      <w:pPr>
        <w:pStyle w:val="Normal"/>
      </w:pPr>
      <w:r>
        <w:t xml:space="preserve">For example, the class of function objects supplies </w:t>
      </w:r>
      <w:r>
        <w:rPr>
          <w:rStyle w:val="Text0"/>
        </w:rPr>
        <w:t>__get__</w:t>
      </w:r>
      <w:r>
        <w:t xml:space="preserve">, but not </w:t>
      </w:r>
      <w:r>
        <w:rPr>
          <w:rStyle w:val="Text0"/>
        </w:rPr>
        <w:t>__set__</w:t>
      </w:r>
      <w:r>
        <w:t xml:space="preserve">; therefore, function objects are nonoverriding descriptors. Roughly speaking, when you assign a value to an instance attribute with a corresponding descriptor that is overriding, Python sets the attribute value by calling </w:t>
      </w:r>
      <w:r>
        <w:rPr>
          <w:rStyle w:val="Text0"/>
        </w:rPr>
        <w:t>__set__</w:t>
      </w:r>
      <w:r>
        <w:t xml:space="preserve"> on the descriptor. For more details, see </w:t>
      </w:r>
      <w:hyperlink w:anchor="Attributes_of_instance_objects">
        <w:r>
          <w:rPr>
            <w:rStyle w:val="Text1"/>
          </w:rPr>
          <w:t>“Attributes of instance objects”</w:t>
        </w:r>
      </w:hyperlink>
      <w:r>
        <w:t>.</w:t>
      </w:r>
    </w:p>
    <w:p>
      <w:pPr>
        <w:pStyle w:val="Normal"/>
      </w:pPr>
      <w:r>
        <w:t>The</w:t>
      </w:r>
      <w:r>
        <w:rPr>
          <w:rStyle w:val="Text111"/>
        </w:rPr>
        <w:bookmarkStart w:id="1311" w:name="idm45965271394224"/>
        <w:t/>
        <w:bookmarkEnd w:id="1311"/>
      </w:r>
      <w:r>
        <w:t xml:space="preserve"> third dunder method of the descriptor protocol is </w:t>
      </w:r>
      <w:r>
        <w:rPr>
          <w:rStyle w:val="Text0"/>
        </w:rPr>
        <w:t>__delete__</w:t>
      </w:r>
      <w:r>
        <w:t xml:space="preserve">, called when the </w:t>
      </w:r>
      <w:r>
        <w:rPr>
          <w:rStyle w:val="Text5"/>
        </w:rPr>
        <w:t>del</w:t>
      </w:r>
      <w:r>
        <w:t xml:space="preserve"> statement is used on the descriptor instance. If </w:t>
      </w:r>
      <w:r>
        <w:rPr>
          <w:rStyle w:val="Text5"/>
        </w:rPr>
        <w:t>del</w:t>
      </w:r>
      <w:r>
        <w:t xml:space="preserve"> is not supported, it is still a good idea to implement </w:t>
      </w:r>
      <w:r>
        <w:rPr>
          <w:rStyle w:val="Text0"/>
        </w:rPr>
        <w:t>__delete__</w:t>
      </w:r>
      <w:r>
        <w:t xml:space="preserve">, raising a proper </w:t>
      </w:r>
      <w:r>
        <w:rPr>
          <w:rStyle w:val="Text0"/>
        </w:rPr>
        <w:t>AttributeError</w:t>
      </w:r>
      <w:r>
        <w:t xml:space="preserve"> exception; otherwise, the caller will get a mysterious </w:t>
      </w:r>
      <w:r>
        <w:rPr>
          <w:rStyle w:val="Text0"/>
        </w:rPr>
        <w:t>AttributeError: __delete__</w:t>
      </w:r>
      <w:r>
        <w:t xml:space="preserve"> exception.</w:t>
      </w:r>
    </w:p>
    <w:p>
      <w:pPr>
        <w:pStyle w:val="Normal"/>
      </w:pPr>
      <w:r>
        <w:t xml:space="preserve">The </w:t>
      </w:r>
      <w:hyperlink r:id="rId228">
        <w:r>
          <w:rPr>
            <w:rStyle w:val="Text1"/>
          </w:rPr>
          <w:t>online docs</w:t>
        </w:r>
      </w:hyperlink>
      <w:r>
        <w:t xml:space="preserve"> include many more examples of descriptors and their related methods.</w:t>
      </w:r>
    </w:p>
    <w:p>
      <w:bookmarkStart w:id="1312" w:name="Instances__To_create_an_instance"/>
      <w:pPr>
        <w:keepNext/>
        <w:pStyle w:val="Heading 2"/>
      </w:pPr>
      <w:r>
        <w:t>Instances</w:t>
      </w:r>
      <w:bookmarkEnd w:id="1312"/>
    </w:p>
    <w:p>
      <w:pPr>
        <w:pStyle w:val="Normal"/>
      </w:pPr>
      <w:r>
        <w:t>To</w:t>
      </w:r>
      <w:r>
        <w:rPr>
          <w:rStyle w:val="Text111"/>
        </w:rPr>
        <w:bookmarkStart w:id="1313" w:name="instances04"/>
        <w:t/>
        <w:bookmarkEnd w:id="1313"/>
        <w:bookmarkStart w:id="1314" w:name="idm45965271383648"/>
        <w:t/>
        <w:bookmarkEnd w:id="1314"/>
      </w:r>
      <w:r>
        <w:t xml:space="preserve"> create an instance of a class, call the class object as if it were a function. Each call returns a new instance whose type is that class:</w:t>
      </w:r>
    </w:p>
    <w:p>
      <w:pPr>
        <w:pStyle w:val="Para 007"/>
      </w:pPr>
      <w:r>
        <w:rPr>
          <w:rStyle w:val="Text23"/>
        </w:rPr>
        <w:t xml:space="preserve"/>
        <w:br w:clear="none"/>
      </w:r>
      <w:r>
        <w:t xml:space="preserve">an_instance</w:t>
        <w:br w:clear="none"/>
      </w:r>
      <w:r>
        <w:rPr>
          <w:rStyle w:val="Text23"/>
        </w:rPr>
        <w:t xml:space="preserve"> </w:t>
        <w:br w:clear="none"/>
      </w:r>
      <w:r>
        <w:rPr>
          <w:rStyle w:val="Text13"/>
        </w:rPr>
        <w:t xml:space="preserve">=</w:t>
        <w:br w:clear="none"/>
      </w:r>
      <w:r>
        <w:rPr>
          <w:rStyle w:val="Text23"/>
        </w:rPr>
        <w:t xml:space="preserve"> </w:t>
        <w:br w:clear="none"/>
      </w:r>
      <w:r>
        <w:t xml:space="preserve">C5</w:t>
        <w:br w:clear="none"/>
      </w:r>
      <w:r>
        <w:rPr>
          <w:rStyle w:val="Text7"/>
        </w:rPr>
        <w:t xml:space="preserve">()</w:t>
        <w:br w:clear="none"/>
      </w:r>
    </w:p>
    <w:p>
      <w:pPr>
        <w:pStyle w:val="Normal"/>
      </w:pPr>
      <w:r>
        <w:t>The</w:t>
      </w:r>
      <w:r>
        <w:rPr>
          <w:rStyle w:val="Text111"/>
        </w:rPr>
        <w:bookmarkStart w:id="1315" w:name="idm45965271378304"/>
        <w:t/>
        <w:bookmarkEnd w:id="1315"/>
      </w:r>
      <w:r>
        <w:t xml:space="preserve"> built-in function </w:t>
      </w:r>
      <w:r>
        <w:rPr>
          <w:rStyle w:val="Text0"/>
        </w:rPr>
        <w:t>isinstance(</w:t>
      </w:r>
      <w:r>
        <w:rPr>
          <w:rStyle w:val="Text3"/>
        </w:rPr>
        <w:t>i</w:t>
      </w:r>
      <w:r>
        <w:rPr>
          <w:rStyle w:val="Text0"/>
        </w:rPr>
        <w:t>,</w:t>
      </w:r>
      <w:r>
        <w:t xml:space="preserve"> </w:t>
      </w:r>
      <w:r>
        <w:rPr>
          <w:rStyle w:val="Text3"/>
        </w:rPr>
        <w:t>C</w:t>
      </w:r>
      <w:r>
        <w:rPr>
          <w:rStyle w:val="Text0"/>
        </w:rPr>
        <w:t>)</w:t>
      </w:r>
      <w:r>
        <w:t xml:space="preserve">, with a class as argument </w:t>
      </w:r>
      <w:r>
        <w:rPr>
          <w:rStyle w:val="Text3"/>
        </w:rPr>
        <w:t>C</w:t>
      </w:r>
      <w:r>
        <w:t xml:space="preserve">, returns </w:t>
      </w:r>
      <w:r>
        <w:rPr>
          <w:rStyle w:val="Text5"/>
        </w:rPr>
        <w:t>True</w:t>
      </w:r>
      <w:r>
        <w:t xml:space="preserve"> when </w:t>
      </w:r>
      <w:r>
        <w:rPr>
          <w:rStyle w:val="Text3"/>
        </w:rPr>
        <w:t>i</w:t>
      </w:r>
      <w:r>
        <w:t xml:space="preserve"> is an instance of class </w:t>
      </w:r>
      <w:r>
        <w:rPr>
          <w:rStyle w:val="Text3"/>
        </w:rPr>
        <w:t>C</w:t>
      </w:r>
      <w:r>
        <w:t xml:space="preserve"> or any subclass of </w:t>
      </w:r>
      <w:r>
        <w:rPr>
          <w:rStyle w:val="Text3"/>
        </w:rPr>
        <w:t>C</w:t>
      </w:r>
      <w:r>
        <w:t xml:space="preserve">. Otherwise, </w:t>
      </w:r>
      <w:r>
        <w:rPr>
          <w:rStyle w:val="Text0"/>
        </w:rPr>
        <w:t>isinstance</w:t>
      </w:r>
      <w:r>
        <w:t xml:space="preserve"> returns </w:t>
      </w:r>
      <w:r>
        <w:rPr>
          <w:rStyle w:val="Text5"/>
        </w:rPr>
        <w:t>False</w:t>
      </w:r>
      <w:r>
        <w:t xml:space="preserve">. If </w:t>
      </w:r>
      <w:r>
        <w:rPr>
          <w:rStyle w:val="Text3"/>
        </w:rPr>
        <w:t>C</w:t>
      </w:r>
      <w:r>
        <w:t xml:space="preserve"> is a tuple of types (</w:t>
      </w:r>
      <w:r>
        <w:rPr>
          <w:rStyle w:val="Text34"/>
        </w:rPr>
        <w:t>3.10+</w:t>
      </w:r>
      <w:r>
        <w:t xml:space="preserve"> or multiple types joined using the </w:t>
      </w:r>
      <w:r>
        <w:rPr>
          <w:rStyle w:val="Text0"/>
        </w:rPr>
        <w:t>|</w:t>
      </w:r>
      <w:r>
        <w:t xml:space="preserve"> operator), </w:t>
      </w:r>
      <w:r>
        <w:rPr>
          <w:rStyle w:val="Text0"/>
        </w:rPr>
        <w:t>isinstance</w:t>
      </w:r>
      <w:r>
        <w:t xml:space="preserve"> returns </w:t>
      </w:r>
      <w:r>
        <w:rPr>
          <w:rStyle w:val="Text5"/>
        </w:rPr>
        <w:t>True</w:t>
      </w:r>
      <w:r>
        <w:t xml:space="preserve"> if </w:t>
      </w:r>
      <w:r>
        <w:rPr>
          <w:rStyle w:val="Text3"/>
        </w:rPr>
        <w:t>i</w:t>
      </w:r>
      <w:r>
        <w:t xml:space="preserve"> is an instance or subclass instance of any of the given types, and </w:t>
      </w:r>
      <w:r>
        <w:rPr>
          <w:rStyle w:val="Text5"/>
        </w:rPr>
        <w:t>False</w:t>
      </w:r>
      <w:r>
        <w:t xml:space="preserve"> otherwise.</w:t>
      </w:r>
    </w:p>
    <w:p>
      <w:bookmarkStart w:id="1316" w:name="__init____When_a_class_defines_o"/>
      <w:pPr>
        <w:keepNext/>
        <w:pStyle w:val="Heading 2"/>
      </w:pPr>
      <w:r>
        <w:t>__init__</w:t>
      </w:r>
      <w:bookmarkEnd w:id="1316"/>
    </w:p>
    <w:p>
      <w:pPr>
        <w:pStyle w:val="Normal"/>
      </w:pPr>
      <w:r>
        <w:t>When</w:t>
      </w:r>
      <w:r>
        <w:rPr>
          <w:rStyle w:val="Text111"/>
        </w:rPr>
        <w:bookmarkStart w:id="1317" w:name="idm45965271340144"/>
        <w:t/>
        <w:bookmarkEnd w:id="1317"/>
      </w:r>
      <w:r>
        <w:t xml:space="preserve"> a class defines or inherits a method named </w:t>
      </w:r>
      <w:r>
        <w:rPr>
          <w:rStyle w:val="Text0"/>
        </w:rPr>
        <w:t>__init__</w:t>
      </w:r>
      <w:r>
        <w:t xml:space="preserve">, calling the class object executes </w:t>
      </w:r>
      <w:r>
        <w:rPr>
          <w:rStyle w:val="Text0"/>
        </w:rPr>
        <w:t>__init__</w:t>
      </w:r>
      <w:r>
        <w:t xml:space="preserve"> on the new instance to perform per instance initialization. Arguments passed in the call must correspond to </w:t>
      </w:r>
      <w:r>
        <w:rPr>
          <w:rStyle w:val="Text0"/>
        </w:rPr>
        <w:t>__init__</w:t>
      </w:r>
      <w:r>
        <w:t xml:space="preserve">’s parameters, except for the parameter </w:t>
      </w:r>
      <w:r>
        <w:rPr>
          <w:rStyle w:val="Text0"/>
        </w:rPr>
        <w:t>self</w:t>
      </w:r>
      <w:r>
        <w:t>. For example, consider the following class definition:</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C6</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n</w:t>
        <w:br w:clear="none"/>
      </w:r>
    </w:p>
    <w:p>
      <w:pPr>
        <w:pStyle w:val="Normal"/>
      </w:pPr>
      <w:r>
        <w:t xml:space="preserve">Here’s how you can create an instance of the </w:t>
      </w:r>
      <w:r>
        <w:rPr>
          <w:rStyle w:val="Text0"/>
        </w:rPr>
        <w:t>C6</w:t>
      </w:r>
      <w:r>
        <w:t xml:space="preserve"> class:</w:t>
      </w:r>
    </w:p>
    <w:p>
      <w:pPr>
        <w:pStyle w:val="Para 007"/>
      </w:pPr>
      <w:r>
        <w:rPr>
          <w:rStyle w:val="Text23"/>
        </w:rPr>
        <w:t xml:space="preserve"/>
        <w:br w:clear="none"/>
      </w:r>
      <w:r>
        <w:t xml:space="preserve">another_instance</w:t>
        <w:br w:clear="none"/>
      </w:r>
      <w:r>
        <w:rPr>
          <w:rStyle w:val="Text23"/>
        </w:rPr>
        <w:t xml:space="preserve"> </w:t>
        <w:br w:clear="none"/>
      </w:r>
      <w:r>
        <w:rPr>
          <w:rStyle w:val="Text13"/>
        </w:rPr>
        <w:t xml:space="preserve">=</w:t>
        <w:br w:clear="none"/>
      </w:r>
      <w:r>
        <w:rPr>
          <w:rStyle w:val="Text23"/>
        </w:rPr>
        <w:t xml:space="preserve"> </w:t>
        <w:br w:clear="none"/>
      </w:r>
      <w:r>
        <w:t xml:space="preserve">C6</w:t>
        <w:br w:clear="none"/>
      </w:r>
      <w:r>
        <w:rPr>
          <w:rStyle w:val="Text7"/>
        </w:rPr>
        <w:t xml:space="preserve">(</w:t>
        <w:br w:clear="none"/>
      </w:r>
      <w:r>
        <w:rPr>
          <w:rStyle w:val="Text27"/>
        </w:rPr>
        <w:t xml:space="preserve">42</w:t>
        <w:br w:clear="none"/>
      </w:r>
      <w:r>
        <w:rPr>
          <w:rStyle w:val="Text7"/>
        </w:rPr>
        <w:t xml:space="preserve">)</w:t>
        <w:br w:clear="none"/>
      </w:r>
    </w:p>
    <w:p>
      <w:pPr>
        <w:pStyle w:val="Normal"/>
      </w:pPr>
      <w:r>
        <w:t xml:space="preserve">As shown in the </w:t>
      </w:r>
      <w:r>
        <w:rPr>
          <w:rStyle w:val="Text0"/>
        </w:rPr>
        <w:t>C6</w:t>
      </w:r>
      <w:r>
        <w:t xml:space="preserve"> class definition, the </w:t>
      </w:r>
      <w:r>
        <w:rPr>
          <w:rStyle w:val="Text0"/>
        </w:rPr>
        <w:t>__init__</w:t>
      </w:r>
      <w:r>
        <w:t xml:space="preserve"> method typically contains statements that bind instance attributes. An </w:t>
      </w:r>
      <w:r>
        <w:rPr>
          <w:rStyle w:val="Text0"/>
        </w:rPr>
        <w:t>__init__</w:t>
      </w:r>
      <w:r>
        <w:t xml:space="preserve"> method must not return a value other than </w:t>
      </w:r>
      <w:r>
        <w:rPr>
          <w:rStyle w:val="Text5"/>
        </w:rPr>
        <w:t>None</w:t>
      </w:r>
      <w:r>
        <w:t xml:space="preserve">; if it does, Python raises a </w:t>
      </w:r>
      <w:r>
        <w:rPr>
          <w:rStyle w:val="Text0"/>
        </w:rPr>
        <w:t>TypeError</w:t>
      </w:r>
      <w:r>
        <w:t xml:space="preserve"> exception.</w:t>
      </w:r>
    </w:p>
    <w:p>
      <w:pPr>
        <w:pStyle w:val="Normal"/>
      </w:pPr>
      <w:r>
        <w:t xml:space="preserve">The main purpose of </w:t>
      </w:r>
      <w:r>
        <w:rPr>
          <w:rStyle w:val="Text0"/>
        </w:rPr>
        <w:t>__init__</w:t>
      </w:r>
      <w:r>
        <w:t xml:space="preserve"> is to bind, and thus create, the attributes of a newly created instance. You may also bind, rebind, or unbind instance attributes outside </w:t>
      </w:r>
      <w:r>
        <w:rPr>
          <w:rStyle w:val="Text0"/>
        </w:rPr>
        <w:t>__init__</w:t>
      </w:r>
      <w:r>
        <w:t xml:space="preserve">. However, your code is more readable when you initially bind all class instance attributes in the </w:t>
      </w:r>
      <w:r>
        <w:rPr>
          <w:rStyle w:val="Text0"/>
        </w:rPr>
        <w:t>__init__</w:t>
      </w:r>
      <w:r>
        <w:t xml:space="preserve"> method.</w:t>
      </w:r>
    </w:p>
    <w:p>
      <w:pPr>
        <w:pStyle w:val="Normal"/>
      </w:pPr>
      <w:r>
        <w:t xml:space="preserve">When </w:t>
      </w:r>
      <w:r>
        <w:rPr>
          <w:rStyle w:val="Text0"/>
        </w:rPr>
        <w:t>__init__</w:t>
      </w:r>
      <w:r>
        <w:t xml:space="preserve"> is absent (and not inherited from any base class), you must call the class without arguments, and the new instance has no instance-specific attributes.</w:t>
      </w:r>
    </w:p>
    <w:p>
      <w:bookmarkStart w:id="1318" w:name="Attributes_of_instance_objects"/>
      <w:pPr>
        <w:keepNext/>
        <w:pStyle w:val="Heading 2"/>
      </w:pPr>
      <w:r>
        <w:t>Attributes of instance objects</w:t>
      </w:r>
      <w:bookmarkEnd w:id="1318"/>
    </w:p>
    <w:p>
      <w:pPr>
        <w:pStyle w:val="Normal"/>
      </w:pPr>
      <w:r>
        <w:t>Once</w:t>
      </w:r>
      <w:r>
        <w:rPr>
          <w:rStyle w:val="Text111"/>
        </w:rPr>
        <w:bookmarkStart w:id="1319" w:name="idm45965271273856"/>
        <w:t/>
        <w:bookmarkEnd w:id="1319"/>
      </w:r>
      <w:r>
        <w:t xml:space="preserve"> you have created an instance, you can access its attributes (data and methods) using the dot (</w:t>
      </w:r>
      <w:r>
        <w:rPr>
          <w:rStyle w:val="Text0"/>
        </w:rPr>
        <w:t>.</w:t>
      </w:r>
      <w:r>
        <w:t>) operator. For example:</w:t>
      </w:r>
    </w:p>
    <w:p>
      <w:pPr>
        <w:pStyle w:val="Para 018"/>
      </w:pPr>
      <w:r>
        <w:rPr>
          <w:rStyle w:val="Text104"/>
        </w:rPr>
        <w:t xml:space="preserve"/>
        <w:br w:clear="none"/>
      </w:r>
      <w:r>
        <w:rPr>
          <w:rStyle w:val="Text9"/>
        </w:rPr>
        <w:t xml:space="preserve">an_instance</w:t>
        <w:br w:clear="none"/>
      </w:r>
      <w:r>
        <w:rPr>
          <w:rStyle w:val="Text13"/>
        </w:rPr>
        <w:t xml:space="preserve">.</w:t>
        <w:br w:clear="none"/>
      </w:r>
      <w:r>
        <w:rPr>
          <w:rStyle w:val="Text9"/>
        </w:rPr>
        <w:t xml:space="preserve">hello</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Hello</w:t>
        <w:br w:clear="none"/>
      </w:r>
      <w:r>
        <w:t xml:space="preserve"/>
        <w:br w:clear="none"/>
      </w:r>
      <w:r>
        <w:rPr>
          <w:rStyle w:val="Text16"/>
        </w:rPr>
        <w:t xml:space="preserve">print</w:t>
        <w:br w:clear="none"/>
      </w:r>
      <w:r>
        <w:rPr>
          <w:rStyle w:val="Text7"/>
        </w:rPr>
        <w:t xml:space="preserve">(</w:t>
        <w:br w:clear="none"/>
      </w:r>
      <w:r>
        <w:rPr>
          <w:rStyle w:val="Text9"/>
        </w:rPr>
        <w:t xml:space="preserve">another_instance</w:t>
        <w:br w:clear="none"/>
      </w:r>
      <w:r>
        <w:rPr>
          <w:rStyle w:val="Text13"/>
        </w:rPr>
        <w:t xml:space="preserve">.</w:t>
        <w:br w:clear="none"/>
      </w:r>
      <w:r>
        <w:rPr>
          <w:rStyle w:val="Text9"/>
        </w:rPr>
        <w:t xml:space="preserve">x</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42</w:t>
        <w:br w:clear="none"/>
      </w:r>
    </w:p>
    <w:p>
      <w:pPr>
        <w:pStyle w:val="Normal"/>
      </w:pPr>
      <w:r>
        <w:t xml:space="preserve">Attribute references such as these have fairly rich semantics in Python; we cover them in detail in </w:t>
      </w:r>
      <w:hyperlink w:anchor="Attribute_Reference_Basics__An_a">
        <w:r>
          <w:rPr>
            <w:rStyle w:val="Text1"/>
          </w:rPr>
          <w:t>“Attribute Reference Basics”</w:t>
        </w:r>
      </w:hyperlink>
      <w:r>
        <w:t>.</w:t>
      </w:r>
    </w:p>
    <w:p>
      <w:pPr>
        <w:pStyle w:val="Normal"/>
      </w:pPr>
      <w:r>
        <w:t>You can give an instance object an attribute by binding a value to an attribute reference. For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C7</w:t>
        <w:br w:clear="none"/>
      </w:r>
      <w:r>
        <w:rPr>
          <w:rStyle w:val="Text7"/>
        </w:rPr>
        <w:t xml:space="preserve">:</w:t>
        <w:br w:clear="none"/>
      </w:r>
      <w:r>
        <w:t xml:space="preserve"/>
        <w:br w:clear="none"/>
        <w:t xml:space="preserve">    </w:t>
        <w:br w:clear="none"/>
      </w:r>
      <w:r>
        <w:rPr>
          <w:rStyle w:val="Text10"/>
        </w:rPr>
        <w:t xml:space="preserve">pass</w:t>
        <w:br w:clear="none"/>
      </w:r>
      <w:r>
        <w:t xml:space="preserve"/>
        <w:br w:clear="none"/>
      </w:r>
      <w:r>
        <w:rPr>
          <w:rStyle w:val="Text9"/>
        </w:rPr>
        <w:t xml:space="preserve">z</w:t>
        <w:br w:clear="none"/>
      </w:r>
      <w:r>
        <w:t xml:space="preserve"> </w:t>
        <w:br w:clear="none"/>
      </w:r>
      <w:r>
        <w:rPr>
          <w:rStyle w:val="Text13"/>
        </w:rPr>
        <w:t xml:space="preserve">=</w:t>
        <w:br w:clear="none"/>
      </w:r>
      <w:r>
        <w:t xml:space="preserve"> </w:t>
        <w:br w:clear="none"/>
      </w:r>
      <w:r>
        <w:rPr>
          <w:rStyle w:val="Text9"/>
        </w:rPr>
        <w:t xml:space="preserve">C7</w:t>
        <w:br w:clear="none"/>
      </w:r>
      <w:r>
        <w:rPr>
          <w:rStyle w:val="Text7"/>
        </w:rPr>
        <w:t xml:space="preserve">(</w:t>
        <w:br w:clear="none"/>
        <w:t xml:space="preserve">)</w:t>
        <w:br w:clear="none"/>
      </w:r>
      <w:r>
        <w:t xml:space="preserve"/>
        <w:br w:clear="none"/>
      </w:r>
      <w:r>
        <w:rPr>
          <w:rStyle w:val="Text9"/>
        </w:rPr>
        <w:t xml:space="preserve">z</w:t>
        <w:br w:clear="none"/>
      </w:r>
      <w:r>
        <w:rPr>
          <w:rStyle w:val="Text13"/>
        </w:rPr>
        <w:t xml:space="preserve">.</w:t>
        <w:br w:clear="none"/>
      </w:r>
      <w:r>
        <w:rPr>
          <w:rStyle w:val="Text9"/>
        </w:rPr>
        <w:t xml:space="preserve">x</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r>
      <w:r>
        <w:rPr>
          <w:rStyle w:val="Text16"/>
        </w:rPr>
        <w:t xml:space="preserve">print</w:t>
        <w:br w:clear="none"/>
      </w:r>
      <w:r>
        <w:rPr>
          <w:rStyle w:val="Text7"/>
        </w:rPr>
        <w:t xml:space="preserve">(</w:t>
        <w:br w:clear="none"/>
      </w:r>
      <w:r>
        <w:rPr>
          <w:rStyle w:val="Text9"/>
        </w:rPr>
        <w:t xml:space="preserve">z</w:t>
        <w:br w:clear="none"/>
      </w:r>
      <w:r>
        <w:rPr>
          <w:rStyle w:val="Text13"/>
        </w:rPr>
        <w:t xml:space="preserve">.</w:t>
        <w:br w:clear="none"/>
      </w:r>
      <w:r>
        <w:rPr>
          <w:rStyle w:val="Text9"/>
        </w:rPr>
        <w:t xml:space="preserve">x</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23</w:t>
        <w:br w:clear="none"/>
      </w:r>
    </w:p>
    <w:p>
      <w:pPr>
        <w:pStyle w:val="Normal"/>
      </w:pPr>
      <w:r>
        <w:t xml:space="preserve">Instance object </w:t>
      </w:r>
      <w:r>
        <w:rPr>
          <w:rStyle w:val="Text0"/>
        </w:rPr>
        <w:t>z</w:t>
      </w:r>
      <w:r>
        <w:t xml:space="preserve"> now has an attribute named </w:t>
      </w:r>
      <w:r>
        <w:rPr>
          <w:rStyle w:val="Text0"/>
        </w:rPr>
        <w:t>x</w:t>
      </w:r>
      <w:r>
        <w:t xml:space="preserve">, bound to the value </w:t>
      </w:r>
      <w:r>
        <w:rPr>
          <w:rStyle w:val="Text0"/>
        </w:rPr>
        <w:t>23</w:t>
      </w:r>
      <w:r>
        <w:t xml:space="preserve">, and </w:t>
      </w:r>
      <w:r>
        <w:rPr>
          <w:rStyle w:val="Text0"/>
        </w:rPr>
        <w:t>z.x</w:t>
      </w:r>
      <w:r>
        <w:t xml:space="preserve"> refers to that attribute. The </w:t>
      </w:r>
      <w:r>
        <w:rPr>
          <w:rStyle w:val="Text0"/>
        </w:rPr>
        <w:t>__setattr__</w:t>
      </w:r>
      <w:r>
        <w:t xml:space="preserve"> special method, if present, intercepts every attempt to bind an attribute. (We cover </w:t>
      </w:r>
      <w:r>
        <w:rPr>
          <w:rStyle w:val="Text0"/>
        </w:rPr>
        <w:t>__setattr__</w:t>
      </w:r>
      <w:r>
        <w:t xml:space="preserve"> in </w:t>
      </w:r>
      <w:hyperlink w:anchor="Table_4_1__General_purpose_speci">
        <w:r>
          <w:rPr>
            <w:rStyle w:val="Text1"/>
          </w:rPr>
          <w:t>Table 4-1</w:t>
        </w:r>
      </w:hyperlink>
      <w:r>
        <w:t>.)</w:t>
      </w:r>
    </w:p>
    <w:p>
      <w:pPr>
        <w:pStyle w:val="Normal"/>
      </w:pPr>
      <w:r>
        <w:t xml:space="preserve">When you attempt to bind to an instance attribute whose name corresponds to an overriding descriptor in the class, the descriptor’s </w:t>
      </w:r>
      <w:r>
        <w:rPr>
          <w:rStyle w:val="Text0"/>
        </w:rPr>
        <w:t>__set__</w:t>
      </w:r>
      <w:r>
        <w:t xml:space="preserve"> method intercepts the attempt: if </w:t>
      </w:r>
      <w:r>
        <w:rPr>
          <w:rStyle w:val="Text0"/>
        </w:rPr>
        <w:t>C7.x</w:t>
      </w:r>
      <w:r>
        <w:t xml:space="preserve"> were an overriding descriptor, </w:t>
      </w:r>
      <w:r>
        <w:rPr>
          <w:rStyle w:val="Text0"/>
        </w:rPr>
        <w:t>z.x=23</w:t>
      </w:r>
      <w:r>
        <w:t xml:space="preserve"> would execute </w:t>
      </w:r>
      <w:r>
        <w:rPr>
          <w:rStyle w:val="Text0"/>
        </w:rPr>
        <w:t>type(z).x.__set__(z,</w:t>
      </w:r>
      <w:r>
        <w:t xml:space="preserve"> </w:t>
      </w:r>
      <w:r>
        <w:rPr>
          <w:rStyle w:val="Text0"/>
        </w:rPr>
        <w:t>23)</w:t>
      </w:r>
      <w:r>
        <w:t>.</w:t>
      </w:r>
    </w:p>
    <w:p>
      <w:pPr>
        <w:pStyle w:val="Normal"/>
      </w:pPr>
      <w:r>
        <w:t xml:space="preserve">Creating an instance sets two instance attributes. For any instance </w:t>
      </w:r>
      <w:r>
        <w:rPr>
          <w:rStyle w:val="Text3"/>
        </w:rPr>
        <w:t>z</w:t>
      </w:r>
      <w:r>
        <w:t xml:space="preserve">, </w:t>
      </w:r>
      <w:r>
        <w:rPr>
          <w:rStyle w:val="Text3"/>
        </w:rPr>
        <w:t>z.</w:t>
      </w:r>
      <w:r>
        <w:rPr>
          <w:rStyle w:val="Text0"/>
        </w:rPr>
        <w:t>__class__</w:t>
      </w:r>
      <w:r>
        <w:t xml:space="preserve"> is the class object to which </w:t>
      </w:r>
      <w:r>
        <w:rPr>
          <w:rStyle w:val="Text3"/>
        </w:rPr>
        <w:t>z</w:t>
      </w:r>
      <w:r>
        <w:t xml:space="preserve"> belongs, and </w:t>
      </w:r>
      <w:r>
        <w:rPr>
          <w:rStyle w:val="Text3"/>
        </w:rPr>
        <w:t>z.</w:t>
      </w:r>
      <w:r>
        <w:rPr>
          <w:rStyle w:val="Text0"/>
        </w:rPr>
        <w:t>__dict__</w:t>
      </w:r>
      <w:r>
        <w:t xml:space="preserve"> is the mapping </w:t>
      </w:r>
      <w:r>
        <w:rPr>
          <w:rStyle w:val="Text3"/>
        </w:rPr>
        <w:t>z</w:t>
      </w:r>
      <w:r>
        <w:t xml:space="preserve"> uses to hold its other attributes. For example, for the instance </w:t>
      </w:r>
      <w:r>
        <w:rPr>
          <w:rStyle w:val="Text0"/>
        </w:rPr>
        <w:t>z</w:t>
      </w:r>
      <w:r>
        <w:t xml:space="preserve"> we just created:</w:t>
      </w:r>
    </w:p>
    <w:p>
      <w:pPr>
        <w:pStyle w:val="Para 018"/>
      </w:pPr>
      <w:r>
        <w:rPr>
          <w:rStyle w:val="Text104"/>
        </w:rPr>
        <w:t xml:space="preserve"/>
        <w:br w:clear="none"/>
      </w:r>
      <w:r>
        <w:rPr>
          <w:rStyle w:val="Text16"/>
        </w:rPr>
        <w:t xml:space="preserve">print</w:t>
        <w:br w:clear="none"/>
      </w:r>
      <w:r>
        <w:rPr>
          <w:rStyle w:val="Text7"/>
        </w:rPr>
        <w:t xml:space="preserve">(</w:t>
        <w:br w:clear="none"/>
      </w:r>
      <w:r>
        <w:rPr>
          <w:rStyle w:val="Text9"/>
        </w:rPr>
        <w:t xml:space="preserve">z</w:t>
        <w:br w:clear="none"/>
      </w:r>
      <w:r>
        <w:rPr>
          <w:rStyle w:val="Text13"/>
        </w:rPr>
        <w:t xml:space="preserve">.</w:t>
        <w:br w:clear="none"/>
      </w:r>
      <w:r>
        <w:t xml:space="preserve">__class__</w:t>
        <w:br w:clear="none"/>
      </w:r>
      <w:r>
        <w:rPr>
          <w:rStyle w:val="Text13"/>
        </w:rPr>
        <w:t xml:space="preserve">.</w:t>
        <w:br w:clear="none"/>
      </w:r>
      <w:r>
        <w:t xml:space="preserve">__name__</w:t>
        <w:br w:clear="none"/>
      </w:r>
      <w:r>
        <w:rPr>
          <w:rStyle w:val="Text7"/>
        </w:rPr>
        <w:t xml:space="preserve">,</w:t>
        <w:br w:clear="none"/>
      </w:r>
      <w:r>
        <w:t xml:space="preserve"> </w:t>
        <w:br w:clear="none"/>
      </w:r>
      <w:r>
        <w:rPr>
          <w:rStyle w:val="Text9"/>
        </w:rPr>
        <w:t xml:space="preserve">z</w:t>
        <w:br w:clear="none"/>
      </w:r>
      <w:r>
        <w:rPr>
          <w:rStyle w:val="Text13"/>
        </w:rPr>
        <w:t xml:space="preserve">.</w:t>
        <w:br w:clear="none"/>
      </w:r>
      <w:r>
        <w:t xml:space="preserve">__dict__</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C7 {'x':23}</w:t>
        <w:br w:clear="none"/>
      </w:r>
    </w:p>
    <w:p>
      <w:pPr>
        <w:pStyle w:val="Normal"/>
      </w:pPr>
      <w:r>
        <w:t>You may rebind (but not unbind) either or both of these attributes, but this is rarely necessary.</w:t>
      </w:r>
    </w:p>
    <w:p>
      <w:pPr>
        <w:pStyle w:val="Normal"/>
      </w:pPr>
      <w:r>
        <w:t xml:space="preserve">For any instance </w:t>
      </w:r>
      <w:r>
        <w:rPr>
          <w:rStyle w:val="Text3"/>
        </w:rPr>
        <w:t>z</w:t>
      </w:r>
      <w:r>
        <w:t xml:space="preserve">, any object </w:t>
      </w:r>
      <w:r>
        <w:rPr>
          <w:rStyle w:val="Text3"/>
        </w:rPr>
        <w:t>x</w:t>
      </w:r>
      <w:r>
        <w:t xml:space="preserve">, and any identifier </w:t>
      </w:r>
      <w:r>
        <w:rPr>
          <w:rStyle w:val="Text3"/>
        </w:rPr>
        <w:t>S</w:t>
      </w:r>
      <w:r>
        <w:t xml:space="preserve"> (except </w:t>
      </w:r>
      <w:r>
        <w:rPr>
          <w:rStyle w:val="Text0"/>
        </w:rPr>
        <w:t>__class__</w:t>
      </w:r>
      <w:r>
        <w:t xml:space="preserve"> and </w:t>
      </w:r>
      <w:r>
        <w:rPr>
          <w:rStyle w:val="Text0"/>
        </w:rPr>
        <w:t>__dict__</w:t>
      </w:r>
      <w:r>
        <w:t xml:space="preserve">), </w:t>
      </w:r>
      <w:r>
        <w:rPr>
          <w:rStyle w:val="Text3"/>
        </w:rPr>
        <w:t>z.S</w:t>
      </w:r>
      <w:r>
        <w:rPr>
          <w:rStyle w:val="Text0"/>
        </w:rPr>
        <w:t>=</w:t>
      </w:r>
      <w:r>
        <w:rPr>
          <w:rStyle w:val="Text3"/>
        </w:rPr>
        <w:t>x</w:t>
      </w:r>
      <w:r>
        <w:t xml:space="preserve"> is equivalent to </w:t>
      </w:r>
      <w:r>
        <w:rPr>
          <w:rStyle w:val="Text3"/>
        </w:rPr>
        <w:t>z</w:t>
      </w:r>
      <w:r>
        <w:t>.</w:t>
      </w:r>
      <w:r>
        <w:rPr>
          <w:rStyle w:val="Text0"/>
        </w:rPr>
        <w:t>__dict__['</w:t>
      </w:r>
      <w:r>
        <w:rPr>
          <w:rStyle w:val="Text3"/>
        </w:rPr>
        <w:t>S</w:t>
      </w:r>
      <w:r>
        <w:rPr>
          <w:rStyle w:val="Text0"/>
        </w:rPr>
        <w:t>']=</w:t>
      </w:r>
      <w:r>
        <w:rPr>
          <w:rStyle w:val="Text3"/>
        </w:rPr>
        <w:t>x</w:t>
      </w:r>
      <w:r>
        <w:t xml:space="preserve"> (unless a </w:t>
      </w:r>
      <w:r>
        <w:rPr>
          <w:rStyle w:val="Text0"/>
        </w:rPr>
        <w:t>__setattr__</w:t>
      </w:r>
      <w:r>
        <w:t xml:space="preserve"> special method, or an overriding descriptor’s </w:t>
      </w:r>
      <w:r>
        <w:rPr>
          <w:rStyle w:val="Text0"/>
        </w:rPr>
        <w:t>__set__</w:t>
      </w:r>
      <w:r>
        <w:t xml:space="preserve"> special method, intercepts the binding attempt). For example, again referring to the </w:t>
      </w:r>
      <w:r>
        <w:rPr>
          <w:rStyle w:val="Text0"/>
        </w:rPr>
        <w:t>z</w:t>
      </w:r>
      <w:r>
        <w:t xml:space="preserve"> we just created:</w:t>
      </w:r>
    </w:p>
    <w:p>
      <w:pPr>
        <w:pStyle w:val="Para 018"/>
      </w:pPr>
      <w:r>
        <w:rPr>
          <w:rStyle w:val="Text104"/>
        </w:rPr>
        <w:t xml:space="preserve"/>
        <w:br w:clear="none"/>
      </w:r>
      <w:r>
        <w:rPr>
          <w:rStyle w:val="Text9"/>
        </w:rPr>
        <w:t xml:space="preserve">z</w:t>
        <w:br w:clear="none"/>
      </w:r>
      <w:r>
        <w:rPr>
          <w:rStyle w:val="Text13"/>
        </w:rPr>
        <w:t xml:space="preserve">.</w:t>
        <w:br w:clear="none"/>
      </w:r>
      <w:r>
        <w:rPr>
          <w:rStyle w:val="Text9"/>
        </w:rPr>
        <w:t xml:space="preserve">y</w:t>
        <w:br w:clear="none"/>
      </w:r>
      <w:r>
        <w:t xml:space="preserve"> </w:t>
        <w:br w:clear="none"/>
      </w:r>
      <w:r>
        <w:rPr>
          <w:rStyle w:val="Text13"/>
        </w:rPr>
        <w:t xml:space="preserve">=</w:t>
        <w:br w:clear="none"/>
      </w:r>
      <w:r>
        <w:t xml:space="preserve"> </w:t>
        <w:br w:clear="none"/>
      </w:r>
      <w:r>
        <w:rPr>
          <w:rStyle w:val="Text27"/>
        </w:rPr>
        <w:t xml:space="preserve">45</w:t>
        <w:br w:clear="none"/>
      </w:r>
      <w:r>
        <w:t xml:space="preserve"/>
        <w:br w:clear="none"/>
      </w:r>
      <w:r>
        <w:rPr>
          <w:rStyle w:val="Text9"/>
        </w:rPr>
        <w:t xml:space="preserve">z</w:t>
        <w:br w:clear="none"/>
      </w:r>
      <w:r>
        <w:rPr>
          <w:rStyle w:val="Text13"/>
        </w:rPr>
        <w:t xml:space="preserve">.</w:t>
        <w:br w:clear="none"/>
      </w:r>
      <w:r>
        <w:t xml:space="preserve">__dict__</w:t>
        <w:br w:clear="none"/>
      </w:r>
      <w:r>
        <w:rPr>
          <w:rStyle w:val="Text7"/>
        </w:rPr>
        <w:t xml:space="preserve">[</w:t>
        <w:br w:clear="none"/>
      </w:r>
      <w:r>
        <w:rPr>
          <w:rStyle w:val="Text8"/>
        </w:rPr>
        <w:t xml:space="preserve">'</w:t>
        <w:br w:clear="none"/>
        <w:t xml:space="preserve">z</w:t>
        <w:br w:clear="none"/>
        <w:t xml:space="preserve">'</w:t>
        <w:br w:clear="none"/>
      </w:r>
      <w:r>
        <w:rPr>
          <w:rStyle w:val="Text7"/>
        </w:rPr>
        <w:t xml:space="preserve">]</w:t>
        <w:br w:clear="none"/>
      </w:r>
      <w:r>
        <w:t xml:space="preserve"> </w:t>
        <w:br w:clear="none"/>
      </w:r>
      <w:r>
        <w:rPr>
          <w:rStyle w:val="Text13"/>
        </w:rPr>
        <w:t xml:space="preserve">=</w:t>
        <w:br w:clear="none"/>
      </w:r>
      <w:r>
        <w:t xml:space="preserve"> </w:t>
        <w:br w:clear="none"/>
      </w:r>
      <w:r>
        <w:rPr>
          <w:rStyle w:val="Text27"/>
        </w:rPr>
        <w:t xml:space="preserve">67</w:t>
        <w:br w:clear="none"/>
      </w:r>
      <w:r>
        <w:t xml:space="preserve"/>
        <w:br w:clear="none"/>
      </w:r>
      <w:r>
        <w:rPr>
          <w:rStyle w:val="Text16"/>
        </w:rPr>
        <w:t xml:space="preserve">print</w:t>
        <w:br w:clear="none"/>
      </w:r>
      <w:r>
        <w:rPr>
          <w:rStyle w:val="Text7"/>
        </w:rPr>
        <w:t xml:space="preserve">(</w:t>
        <w:br w:clear="none"/>
      </w:r>
      <w:r>
        <w:rPr>
          <w:rStyle w:val="Text9"/>
        </w:rPr>
        <w:t xml:space="preserve">z</w:t>
        <w:br w:clear="none"/>
      </w:r>
      <w:r>
        <w:rPr>
          <w:rStyle w:val="Text13"/>
        </w:rPr>
        <w:t xml:space="preserve">.</w:t>
        <w:br w:clear="none"/>
      </w:r>
      <w:r>
        <w:rPr>
          <w:rStyle w:val="Text9"/>
        </w:rPr>
        <w:t xml:space="preserve">x</w:t>
        <w:br w:clear="none"/>
      </w:r>
      <w:r>
        <w:rPr>
          <w:rStyle w:val="Text7"/>
        </w:rPr>
        <w:t xml:space="preserve">,</w:t>
        <w:br w:clear="none"/>
      </w:r>
      <w:r>
        <w:t xml:space="preserve"> </w:t>
        <w:br w:clear="none"/>
      </w:r>
      <w:r>
        <w:rPr>
          <w:rStyle w:val="Text9"/>
        </w:rPr>
        <w:t xml:space="preserve">z</w:t>
        <w:br w:clear="none"/>
      </w:r>
      <w:r>
        <w:rPr>
          <w:rStyle w:val="Text13"/>
        </w:rPr>
        <w:t xml:space="preserve">.</w:t>
        <w:br w:clear="none"/>
      </w:r>
      <w:r>
        <w:rPr>
          <w:rStyle w:val="Text9"/>
        </w:rPr>
        <w:t xml:space="preserve">y</w:t>
        <w:br w:clear="none"/>
      </w:r>
      <w:r>
        <w:rPr>
          <w:rStyle w:val="Text7"/>
        </w:rPr>
        <w:t xml:space="preserve">,</w:t>
        <w:br w:clear="none"/>
      </w:r>
      <w:r>
        <w:t xml:space="preserve"> </w:t>
        <w:br w:clear="none"/>
      </w:r>
      <w:r>
        <w:rPr>
          <w:rStyle w:val="Text9"/>
        </w:rPr>
        <w:t xml:space="preserve">z</w:t>
        <w:br w:clear="none"/>
      </w:r>
      <w:r>
        <w:rPr>
          <w:rStyle w:val="Text13"/>
        </w:rPr>
        <w:t xml:space="preserve">.</w:t>
        <w:br w:clear="none"/>
      </w:r>
      <w:r>
        <w:rPr>
          <w:rStyle w:val="Text9"/>
        </w:rPr>
        <w:t xml:space="preserve">z</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23 45 67</w:t>
        <w:br w:clear="none"/>
      </w:r>
    </w:p>
    <w:p>
      <w:pPr>
        <w:pStyle w:val="Normal"/>
      </w:pPr>
      <w:r>
        <w:t xml:space="preserve">There is no difference between instance attributes created by assigning to attributes and those created by explicitly binding an entry in </w:t>
      </w:r>
      <w:r>
        <w:rPr>
          <w:rStyle w:val="Text3"/>
        </w:rPr>
        <w:t>z</w:t>
      </w:r>
      <w:r>
        <w:rPr>
          <w:rStyle w:val="Text0"/>
        </w:rPr>
        <w:t>.__dict__</w:t>
      </w:r>
      <w:r>
        <w:t>.</w:t>
      </w:r>
    </w:p>
    <w:p>
      <w:bookmarkStart w:id="1320" w:name="The_factory_function_idiom__It_s"/>
      <w:pPr>
        <w:keepNext/>
        <w:pStyle w:val="Heading 2"/>
      </w:pPr>
      <w:r>
        <w:t>The factory function idiom</w:t>
      </w:r>
      <w:bookmarkEnd w:id="1320"/>
    </w:p>
    <w:p>
      <w:pPr>
        <w:pStyle w:val="Normal"/>
      </w:pPr>
      <w:r>
        <w:t xml:space="preserve">It’s often necessary to create instances of different classes depending on some condition, or avoid creating a new instance if an existing one is available for reuse. A common misconception is that such needs might be met by having </w:t>
      </w:r>
      <w:r>
        <w:rPr>
          <w:rStyle w:val="Text0"/>
        </w:rPr>
        <w:t>__init__</w:t>
      </w:r>
      <w:r>
        <w:t xml:space="preserve"> return a particular object. However, this approach is infeasible: Python raises an exception if </w:t>
      </w:r>
      <w:r>
        <w:rPr>
          <w:rStyle w:val="Text0"/>
        </w:rPr>
        <w:t>__init__</w:t>
      </w:r>
      <w:r>
        <w:t xml:space="preserve"> returns any value other than </w:t>
      </w:r>
      <w:r>
        <w:rPr>
          <w:rStyle w:val="Text5"/>
        </w:rPr>
        <w:t>None</w:t>
      </w:r>
      <w:r>
        <w:t xml:space="preserve">. The best way to implement flexible object creation is to use a function rather than calling the class object directly. A function used this way is known as a </w:t>
      </w:r>
      <w:r>
        <w:rPr>
          <w:rStyle w:val="Text4"/>
        </w:rPr>
        <w:t>factory function</w:t>
      </w:r>
      <w:r>
        <w:t>.</w:t>
      </w:r>
    </w:p>
    <w:p>
      <w:pPr>
        <w:pStyle w:val="Normal"/>
      </w:pPr>
      <w:r>
        <w:t xml:space="preserve">Calling a factory function is a flexible approach: a function may return an existing reusable instance or create a new instance by calling whatever class is appropriate. Say you have two almost interchangeable classes, </w:t>
      </w:r>
      <w:r>
        <w:rPr>
          <w:rStyle w:val="Text0"/>
        </w:rPr>
        <w:t>SpecialCase</w:t>
      </w:r>
      <w:r>
        <w:t xml:space="preserve"> and </w:t>
      </w:r>
      <w:r>
        <w:rPr>
          <w:rStyle w:val="Text0"/>
        </w:rPr>
        <w:t>NormalCase</w:t>
      </w:r>
      <w:r>
        <w:t xml:space="preserve">, and want to flexibly generate instances of either one of them, depending on an argument. The following </w:t>
      </w:r>
      <w:r>
        <w:rPr>
          <w:rStyle w:val="Text0"/>
        </w:rPr>
        <w:t>appropriate_case</w:t>
      </w:r>
      <w:r>
        <w:t xml:space="preserve"> factory function, as a “toy” example, allows you to do just that (we’ll talk more about the</w:t>
      </w:r>
      <w:r>
        <w:rPr>
          <w:rStyle w:val="Text111"/>
        </w:rPr>
        <w:bookmarkStart w:id="1321" w:name="idm45965267071584"/>
        <w:t/>
        <w:bookmarkEnd w:id="1321"/>
      </w:r>
      <w:r>
        <w:t xml:space="preserve"> </w:t>
      </w:r>
      <w:r>
        <w:rPr>
          <w:rStyle w:val="Text0"/>
        </w:rPr>
        <w:t>self</w:t>
      </w:r>
      <w:r>
        <w:t xml:space="preserve"> parameter in </w:t>
      </w:r>
      <w:hyperlink w:anchor="Bound_and_Unbound_Methods__The_m">
        <w:r>
          <w:rPr>
            <w:rStyle w:val="Text1"/>
          </w:rPr>
          <w:t>“Bound and Unbound Methods”</w:t>
        </w:r>
      </w:hyperlink>
      <w:r>
        <w:t>):</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SpecialCase</w:t>
        <w:br w:clear="none"/>
      </w:r>
      <w:r>
        <w:rPr>
          <w:rStyle w:val="Text7"/>
        </w:rPr>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amethod</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special</w:t>
        <w:br w:clear="none"/>
        <w:t xml:space="preserve">'</w:t>
        <w:br w:clear="none"/>
      </w:r>
      <w:r>
        <w:rPr>
          <w:rStyle w:val="Text7"/>
        </w:rPr>
        <w:t xml:space="preserve">)</w:t>
        <w:br w:clear="none"/>
      </w:r>
      <w:r>
        <w:rPr>
          <w:rStyle w:val="Text6"/>
        </w:rPr>
        <w:t xml:space="preserve"/>
        <w:br w:clear="none"/>
      </w:r>
      <w:r>
        <w:rPr>
          <w:rStyle w:val="Text10"/>
        </w:rPr>
        <w:t xml:space="preserve">class</w:t>
        <w:br w:clear="none"/>
      </w:r>
      <w:r>
        <w:rPr>
          <w:rStyle w:val="Text6"/>
        </w:rPr>
        <w:t xml:space="preserve"> </w:t>
        <w:br w:clear="none"/>
      </w:r>
      <w:r>
        <w:rPr>
          <w:rStyle w:val="Text33"/>
        </w:rPr>
        <w:t xml:space="preserve">NormalCase</w:t>
        <w:br w:clear="none"/>
      </w:r>
      <w:r>
        <w:rPr>
          <w:rStyle w:val="Text7"/>
        </w:rPr>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amethod</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normal</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appropriate_case</w:t>
        <w:br w:clear="none"/>
      </w:r>
      <w:r>
        <w:rPr>
          <w:rStyle w:val="Text7"/>
        </w:rPr>
        <w:t xml:space="preserve">(</w:t>
        <w:br w:clear="none"/>
      </w:r>
      <w:r>
        <w:t xml:space="preserve">isnormal</w:t>
        <w:br w:clear="none"/>
      </w:r>
      <w:r>
        <w:rPr>
          <w:rStyle w:val="Text13"/>
        </w:rPr>
        <w:t xml:space="preserve">=</w:t>
        <w:br w:clear="none"/>
      </w:r>
      <w:r>
        <w:rPr>
          <w:rStyle w:val="Text10"/>
        </w:rPr>
        <w:t xml:space="preserve">True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isnormal</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NormalCase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else</w:t>
        <w:br w:clear="none"/>
      </w:r>
      <w:r>
        <w:rPr>
          <w:rStyle w:val="Text31"/>
        </w:rPr>
        <w:t xml:space="preserve">:</w:t>
        <w:br w:clear="none"/>
      </w:r>
      <w:r>
        <w:rPr>
          <w:rStyle w:val="Text6"/>
        </w:rPr>
        <w:t xml:space="preserve"/>
        <w:br w:clear="none"/>
      </w:r>
      <w:r>
        <w:rPr>
          <w:rStyle w:val="Text29"/>
        </w:rPr>
        <w:t xml:space="preserve">        </w:t>
        <w:br w:clear="none"/>
      </w:r>
      <w:r>
        <w:rPr>
          <w:rStyle w:val="Text10"/>
        </w:rPr>
        <w:t xml:space="preserve">return</w:t>
        <w:br w:clear="none"/>
      </w:r>
      <w:r>
        <w:rPr>
          <w:rStyle w:val="Text6"/>
        </w:rPr>
        <w:t xml:space="preserve"> </w:t>
        <w:br w:clear="none"/>
      </w:r>
      <w:r>
        <w:t xml:space="preserve">SpecialCase</w:t>
        <w:br w:clear="none"/>
      </w:r>
      <w:r>
        <w:rPr>
          <w:rStyle w:val="Text7"/>
        </w:rPr>
        <w:t xml:space="preserve">(</w:t>
        <w:br w:clear="none"/>
        <w:t xml:space="preserve">)</w:t>
        <w:br w:clear="none"/>
      </w:r>
      <w:r>
        <w:rPr>
          <w:rStyle w:val="Text6"/>
        </w:rPr>
        <w:t xml:space="preserve"/>
        <w:br w:clear="none"/>
      </w:r>
      <w:r>
        <w:t xml:space="preserve">aninstance</w:t>
        <w:br w:clear="none"/>
      </w:r>
      <w:r>
        <w:rPr>
          <w:rStyle w:val="Text6"/>
        </w:rPr>
        <w:t xml:space="preserve"> </w:t>
        <w:br w:clear="none"/>
      </w:r>
      <w:r>
        <w:rPr>
          <w:rStyle w:val="Text13"/>
        </w:rPr>
        <w:t xml:space="preserve">=</w:t>
        <w:br w:clear="none"/>
      </w:r>
      <w:r>
        <w:rPr>
          <w:rStyle w:val="Text6"/>
        </w:rPr>
        <w:t xml:space="preserve"> </w:t>
        <w:br w:clear="none"/>
      </w:r>
      <w:r>
        <w:t xml:space="preserve">appropriate_case</w:t>
        <w:br w:clear="none"/>
      </w:r>
      <w:r>
        <w:rPr>
          <w:rStyle w:val="Text7"/>
        </w:rPr>
        <w:t xml:space="preserve">(</w:t>
        <w:br w:clear="none"/>
      </w:r>
      <w:r>
        <w:t xml:space="preserve">isnormal</w:t>
        <w:br w:clear="none"/>
      </w:r>
      <w:r>
        <w:rPr>
          <w:rStyle w:val="Text13"/>
        </w:rPr>
        <w:t xml:space="preserve">=</w:t>
        <w:br w:clear="none"/>
      </w:r>
      <w:r>
        <w:rPr>
          <w:rStyle w:val="Text10"/>
        </w:rPr>
        <w:t xml:space="preserve">False</w:t>
        <w:br w:clear="none"/>
      </w:r>
      <w:r>
        <w:rPr>
          <w:rStyle w:val="Text7"/>
        </w:rPr>
        <w:t xml:space="preserve">)</w:t>
        <w:br w:clear="none"/>
      </w:r>
      <w:r>
        <w:rPr>
          <w:rStyle w:val="Text6"/>
        </w:rPr>
        <w:t xml:space="preserve"/>
        <w:br w:clear="none"/>
      </w:r>
      <w:r>
        <w:t xml:space="preserve">aninstance</w:t>
        <w:br w:clear="none"/>
      </w:r>
      <w:r>
        <w:rPr>
          <w:rStyle w:val="Text13"/>
        </w:rPr>
        <w:t xml:space="preserve">.</w:t>
        <w:br w:clear="none"/>
      </w:r>
      <w:r>
        <w:t xml:space="preserve">amethod</w:t>
        <w:br w:clear="none"/>
      </w:r>
      <w:r>
        <w:rPr>
          <w:rStyle w:val="Text7"/>
        </w:rPr>
        <w:t xml:space="preserve">(</w:t>
        <w:br w:clear="none"/>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special</w:t>
        <w:br w:clear="none"/>
      </w:r>
    </w:p>
    <w:p>
      <w:bookmarkStart w:id="1322" w:name="__new____Every_class_has__or_inh"/>
      <w:pPr>
        <w:keepNext/>
        <w:pStyle w:val="Heading 2"/>
      </w:pPr>
      <w:r>
        <w:t>__new__</w:t>
      </w:r>
      <w:bookmarkEnd w:id="1322"/>
    </w:p>
    <w:p>
      <w:pPr>
        <w:pStyle w:val="Normal"/>
      </w:pPr>
      <w:r>
        <w:t xml:space="preserve">Every class has (or inherits) a class method named </w:t>
      </w:r>
      <w:r>
        <w:rPr>
          <w:rStyle w:val="Text0"/>
        </w:rPr>
        <w:t>__new__</w:t>
      </w:r>
      <w:r>
        <w:t xml:space="preserve"> (we cover class methods in </w:t>
      </w:r>
      <w:hyperlink w:anchor="Class_methods__A_class_method_is">
        <w:r>
          <w:rPr>
            <w:rStyle w:val="Text1"/>
          </w:rPr>
          <w:t>“Class methods”</w:t>
        </w:r>
      </w:hyperlink>
      <w:r>
        <w:t xml:space="preserve">). When you call </w:t>
      </w:r>
      <w:r>
        <w:rPr>
          <w:rStyle w:val="Text3"/>
        </w:rPr>
        <w:t>C</w:t>
      </w:r>
      <w:r>
        <w:rPr>
          <w:rStyle w:val="Text0"/>
        </w:rPr>
        <w:t>(*</w:t>
      </w:r>
      <w:r>
        <w:rPr>
          <w:rStyle w:val="Text3"/>
        </w:rPr>
        <w:t>args</w:t>
      </w:r>
      <w:r>
        <w:rPr>
          <w:rStyle w:val="Text0"/>
        </w:rPr>
        <w:t>, **</w:t>
      </w:r>
      <w:r>
        <w:rPr>
          <w:rStyle w:val="Text3"/>
        </w:rPr>
        <w:t>kwds</w:t>
      </w:r>
      <w:r>
        <w:rPr>
          <w:rStyle w:val="Text0"/>
        </w:rPr>
        <w:t>)</w:t>
      </w:r>
      <w:r>
        <w:t xml:space="preserve"> to create a new instance of class </w:t>
      </w:r>
      <w:r>
        <w:rPr>
          <w:rStyle w:val="Text3"/>
        </w:rPr>
        <w:t>C</w:t>
      </w:r>
      <w:r>
        <w:t xml:space="preserve">, Python first calls </w:t>
      </w:r>
      <w:r>
        <w:rPr>
          <w:rStyle w:val="Text3"/>
        </w:rPr>
        <w:t>C.</w:t>
      </w:r>
      <w:r>
        <w:rPr>
          <w:rStyle w:val="Text0"/>
        </w:rPr>
        <w:t>__new__(</w:t>
      </w:r>
      <w:r>
        <w:rPr>
          <w:rStyle w:val="Text3"/>
        </w:rPr>
        <w:t>C</w:t>
      </w:r>
      <w:r>
        <w:rPr>
          <w:rStyle w:val="Text0"/>
        </w:rPr>
        <w:t>, *</w:t>
      </w:r>
      <w:r>
        <w:rPr>
          <w:rStyle w:val="Text3"/>
        </w:rPr>
        <w:t>args</w:t>
      </w:r>
      <w:r>
        <w:rPr>
          <w:rStyle w:val="Text0"/>
        </w:rPr>
        <w:t>, **</w:t>
      </w:r>
      <w:r>
        <w:rPr>
          <w:rStyle w:val="Text3"/>
        </w:rPr>
        <w:t>kwds</w:t>
      </w:r>
      <w:r>
        <w:rPr>
          <w:rStyle w:val="Text0"/>
        </w:rPr>
        <w:t>)</w:t>
      </w:r>
      <w:r>
        <w:t xml:space="preserve">, and uses </w:t>
      </w:r>
      <w:r>
        <w:rPr>
          <w:rStyle w:val="Text0"/>
        </w:rPr>
        <w:t>__new__</w:t>
      </w:r>
      <w:r>
        <w:t xml:space="preserve">’s return value </w:t>
      </w:r>
      <w:r>
        <w:rPr>
          <w:rStyle w:val="Text3"/>
        </w:rPr>
        <w:t>x</w:t>
      </w:r>
      <w:r>
        <w:t xml:space="preserve"> as the newly created instance. Then Python calls </w:t>
      </w:r>
      <w:r>
        <w:rPr>
          <w:rStyle w:val="Text3"/>
        </w:rPr>
        <w:t>C.</w:t>
      </w:r>
      <w:r>
        <w:rPr>
          <w:rStyle w:val="Text0"/>
        </w:rPr>
        <w:t>__init__(</w:t>
      </w:r>
      <w:r>
        <w:rPr>
          <w:rStyle w:val="Text3"/>
        </w:rPr>
        <w:t>x</w:t>
      </w:r>
      <w:r>
        <w:rPr>
          <w:rStyle w:val="Text0"/>
        </w:rPr>
        <w:t>, *</w:t>
      </w:r>
      <w:r>
        <w:rPr>
          <w:rStyle w:val="Text3"/>
        </w:rPr>
        <w:t>args</w:t>
      </w:r>
      <w:r>
        <w:rPr>
          <w:rStyle w:val="Text0"/>
        </w:rPr>
        <w:t>, **</w:t>
      </w:r>
      <w:r>
        <w:rPr>
          <w:rStyle w:val="Text3"/>
        </w:rPr>
        <w:t>kwds</w:t>
      </w:r>
      <w:r>
        <w:rPr>
          <w:rStyle w:val="Text0"/>
        </w:rPr>
        <w:t>)</w:t>
      </w:r>
      <w:r>
        <w:t xml:space="preserve">, but only when </w:t>
      </w:r>
      <w:r>
        <w:rPr>
          <w:rStyle w:val="Text3"/>
        </w:rPr>
        <w:t>x</w:t>
      </w:r>
      <w:r>
        <w:t xml:space="preserve"> is indeed an instance of </w:t>
      </w:r>
      <w:r>
        <w:rPr>
          <w:rStyle w:val="Text3"/>
        </w:rPr>
        <w:t>C</w:t>
      </w:r>
      <w:r>
        <w:t xml:space="preserve"> or any of its subclasses (otherwise, </w:t>
      </w:r>
      <w:r>
        <w:rPr>
          <w:rStyle w:val="Text3"/>
        </w:rPr>
        <w:t>x</w:t>
      </w:r>
      <w:r>
        <w:t xml:space="preserve">’s state remains as </w:t>
      </w:r>
      <w:r>
        <w:rPr>
          <w:rStyle w:val="Text0"/>
        </w:rPr>
        <w:t>__new__</w:t>
      </w:r>
      <w:r>
        <w:t xml:space="preserve"> had left it). Thus, for example, the statement </w:t>
      </w:r>
      <w:r>
        <w:rPr>
          <w:rStyle w:val="Text3"/>
        </w:rPr>
        <w:t>x</w:t>
      </w:r>
      <w:r>
        <w:rPr>
          <w:rStyle w:val="Text0"/>
        </w:rPr>
        <w:t>=</w:t>
      </w:r>
      <w:r>
        <w:rPr>
          <w:rStyle w:val="Text3"/>
        </w:rPr>
        <w:t>C</w:t>
      </w:r>
      <w:r>
        <w:rPr>
          <w:rStyle w:val="Text0"/>
        </w:rPr>
        <w:t>(23)</w:t>
      </w:r>
      <w:r>
        <w:t xml:space="preserve"> is equivalent to:</w:t>
      </w:r>
    </w:p>
    <w:p>
      <w:pPr>
        <w:pStyle w:val="Para 018"/>
      </w:pPr>
      <w:r>
        <w:rPr>
          <w:rStyle w:val="Text104"/>
        </w:rPr>
        <w:t xml:space="preserve"/>
        <w:br w:clear="none"/>
      </w:r>
      <w:r>
        <w:rPr>
          <w:rStyle w:val="Text14"/>
        </w:rPr>
        <w:t xml:space="preserve">x</w:t>
        <w:br w:clear="none"/>
      </w:r>
      <w:r>
        <w:t xml:space="preserve"> </w:t>
        <w:br w:clear="none"/>
      </w:r>
      <w:r>
        <w:rPr>
          <w:rStyle w:val="Text13"/>
        </w:rPr>
        <w:t xml:space="preserve">=</w:t>
        <w:br w:clear="none"/>
      </w:r>
      <w:r>
        <w:t xml:space="preserve"> </w:t>
        <w:br w:clear="none"/>
      </w:r>
      <w:r>
        <w:rPr>
          <w:rStyle w:val="Text14"/>
        </w:rPr>
        <w:t xml:space="preserve">C</w:t>
        <w:br w:clear="none"/>
      </w:r>
      <w:r>
        <w:rPr>
          <w:rStyle w:val="Text13"/>
        </w:rPr>
        <w:t xml:space="preserve">.</w:t>
        <w:br w:clear="none"/>
      </w:r>
      <w:r>
        <w:t xml:space="preserve">__new__</w:t>
        <w:br w:clear="none"/>
      </w:r>
      <w:r>
        <w:rPr>
          <w:rStyle w:val="Text7"/>
        </w:rPr>
        <w:t xml:space="preserve">(</w:t>
        <w:br w:clear="none"/>
      </w:r>
      <w:r>
        <w:rPr>
          <w:rStyle w:val="Text14"/>
        </w:rPr>
        <w:t xml:space="preserve">C</w:t>
        <w:br w:clear="none"/>
      </w:r>
      <w:r>
        <w:rPr>
          <w:rStyle w:val="Text7"/>
        </w:rPr>
        <w:t xml:space="preserve">,</w:t>
        <w:br w:clear="none"/>
      </w:r>
      <w:r>
        <w:t xml:space="preserve"> </w:t>
        <w:br w:clear="none"/>
      </w:r>
      <w:r>
        <w:rPr>
          <w:rStyle w:val="Text27"/>
        </w:rPr>
        <w:t xml:space="preserve">23</w:t>
        <w:br w:clear="none"/>
      </w:r>
      <w:r>
        <w:rPr>
          <w:rStyle w:val="Text7"/>
        </w:rPr>
        <w:t xml:space="preserve">)</w:t>
        <w:br w:clear="none"/>
      </w:r>
      <w:r>
        <w:t xml:space="preserve"/>
        <w:br w:clear="none"/>
      </w:r>
      <w:r>
        <w:rPr>
          <w:rStyle w:val="Text10"/>
        </w:rPr>
        <w:t xml:space="preserve">if</w:t>
        <w:br w:clear="none"/>
      </w:r>
      <w:r>
        <w:t xml:space="preserve"> </w:t>
        <w:br w:clear="none"/>
      </w:r>
      <w:r>
        <w:rPr>
          <w:rStyle w:val="Text16"/>
        </w:rPr>
        <w:t xml:space="preserve">isinstance</w:t>
        <w:br w:clear="none"/>
      </w:r>
      <w:r>
        <w:rPr>
          <w:rStyle w:val="Text7"/>
        </w:rPr>
        <w:t xml:space="preserve">(</w:t>
        <w:br w:clear="none"/>
      </w:r>
      <w:r>
        <w:rPr>
          <w:rStyle w:val="Text14"/>
        </w:rPr>
        <w:t xml:space="preserve">x</w:t>
        <w:br w:clear="none"/>
      </w:r>
      <w:r>
        <w:rPr>
          <w:rStyle w:val="Text7"/>
        </w:rPr>
        <w:t xml:space="preserve">,</w:t>
        <w:br w:clear="none"/>
      </w:r>
      <w:r>
        <w:t xml:space="preserve"> </w:t>
        <w:br w:clear="none"/>
      </w:r>
      <w:r>
        <w:rPr>
          <w:rStyle w:val="Text14"/>
        </w:rPr>
        <w:t xml:space="preserve">C</w:t>
        <w:br w:clear="none"/>
      </w:r>
      <w:r>
        <w:rPr>
          <w:rStyle w:val="Text7"/>
        </w:rPr>
        <w:t xml:space="preserve">)</w:t>
        <w:br w:clear="none"/>
        <w:t xml:space="preserve">:</w:t>
        <w:br w:clear="none"/>
      </w:r>
      <w:r>
        <w:t xml:space="preserve"/>
        <w:br w:clear="none"/>
        <w:t xml:space="preserve">    </w:t>
        <w:br w:clear="none"/>
      </w:r>
      <w:r>
        <w:rPr>
          <w:rStyle w:val="Text16"/>
        </w:rPr>
        <w:t xml:space="preserve">type</w:t>
        <w:br w:clear="none"/>
      </w:r>
      <w:r>
        <w:rPr>
          <w:rStyle w:val="Text7"/>
        </w:rPr>
        <w:t xml:space="preserve">(</w:t>
        <w:br w:clear="none"/>
      </w:r>
      <w:r>
        <w:rPr>
          <w:rStyle w:val="Text14"/>
        </w:rPr>
        <w:t xml:space="preserve">x</w:t>
        <w:br w:clear="none"/>
      </w:r>
      <w:r>
        <w:rPr>
          <w:rStyle w:val="Text7"/>
        </w:rPr>
        <w:t xml:space="preserve">)</w:t>
        <w:br w:clear="none"/>
      </w:r>
      <w:r>
        <w:rPr>
          <w:rStyle w:val="Text13"/>
        </w:rPr>
        <w:t xml:space="preserve">.</w:t>
        <w:br w:clear="none"/>
      </w:r>
      <w:r>
        <w:t xml:space="preserve">__init__</w:t>
        <w:br w:clear="none"/>
      </w:r>
      <w:r>
        <w:rPr>
          <w:rStyle w:val="Text7"/>
        </w:rPr>
        <w:t xml:space="preserve">(</w:t>
        <w:br w:clear="none"/>
      </w:r>
      <w:r>
        <w:rPr>
          <w:rStyle w:val="Text14"/>
        </w:rPr>
        <w:t xml:space="preserve">x</w:t>
        <w:br w:clear="none"/>
      </w:r>
      <w:r>
        <w:rPr>
          <w:rStyle w:val="Text7"/>
        </w:rPr>
        <w:t xml:space="preserve">,</w:t>
        <w:br w:clear="none"/>
      </w:r>
      <w:r>
        <w:t xml:space="preserve"> </w:t>
        <w:br w:clear="none"/>
      </w:r>
      <w:r>
        <w:rPr>
          <w:rStyle w:val="Text27"/>
        </w:rPr>
        <w:t xml:space="preserve">23</w:t>
        <w:br w:clear="none"/>
      </w:r>
      <w:r>
        <w:rPr>
          <w:rStyle w:val="Text7"/>
        </w:rPr>
        <w:t xml:space="preserve">)</w:t>
        <w:br w:clear="none"/>
      </w:r>
    </w:p>
    <w:p>
      <w:pPr>
        <w:pStyle w:val="Normal"/>
      </w:pPr>
      <w:r>
        <w:rPr>
          <w:rStyle w:val="Text0"/>
        </w:rPr>
        <w:t>object.__new__</w:t>
      </w:r>
      <w:r>
        <w:t xml:space="preserve"> creates a new, uninitialized instance of the class it receives as its first argument. It ignores other arguments when that class has an </w:t>
      </w:r>
      <w:r>
        <w:rPr>
          <w:rStyle w:val="Text0"/>
        </w:rPr>
        <w:t>__init__</w:t>
      </w:r>
      <w:r>
        <w:t xml:space="preserve"> method, but it raises an exception when it receives other arguments beyond the first, and the class that’s the first argument does not have an </w:t>
      </w:r>
      <w:r>
        <w:rPr>
          <w:rStyle w:val="Text0"/>
        </w:rPr>
        <w:t>__init__</w:t>
      </w:r>
      <w:r>
        <w:t xml:space="preserve"> method. When you override </w:t>
      </w:r>
      <w:r>
        <w:rPr>
          <w:rStyle w:val="Text0"/>
        </w:rPr>
        <w:t>__new__</w:t>
      </w:r>
      <w:r>
        <w:t xml:space="preserve"> within a class body, you do not need to add </w:t>
      </w:r>
      <w:r>
        <w:rPr>
          <w:rStyle w:val="Text0"/>
        </w:rPr>
        <w:t>__new__=classmethod(__new__)</w:t>
      </w:r>
      <w:r>
        <w:t xml:space="preserve">, nor use an </w:t>
      </w:r>
      <w:r>
        <w:rPr>
          <w:rStyle w:val="Text0"/>
        </w:rPr>
        <w:t>@classmethod</w:t>
      </w:r>
      <w:r>
        <w:t xml:space="preserve"> decorator, as you normally would: Python recognizes the name </w:t>
      </w:r>
      <w:r>
        <w:rPr>
          <w:rStyle w:val="Text0"/>
        </w:rPr>
        <w:t>__new__</w:t>
      </w:r>
      <w:r>
        <w:t xml:space="preserve"> and treats it as special in this context. In those sporadic cases in which you rebind </w:t>
      </w:r>
      <w:r>
        <w:rPr>
          <w:rStyle w:val="Text3"/>
        </w:rPr>
        <w:t>C</w:t>
      </w:r>
      <w:r>
        <w:rPr>
          <w:rStyle w:val="Text0"/>
        </w:rPr>
        <w:t>.__new__</w:t>
      </w:r>
      <w:r>
        <w:t xml:space="preserve"> later, outside the body of class </w:t>
      </w:r>
      <w:r>
        <w:rPr>
          <w:rStyle w:val="Text3"/>
        </w:rPr>
        <w:t>C</w:t>
      </w:r>
      <w:r>
        <w:t xml:space="preserve">, you do need to use </w:t>
      </w:r>
      <w:r>
        <w:rPr>
          <w:rStyle w:val="Text3"/>
        </w:rPr>
        <w:t>C</w:t>
      </w:r>
      <w:r>
        <w:rPr>
          <w:rStyle w:val="Text0"/>
        </w:rPr>
        <w:t>.__new__=classmethod(</w:t>
      </w:r>
      <w:r>
        <w:rPr>
          <w:rStyle w:val="Text3"/>
        </w:rPr>
        <w:t>whatever</w:t>
      </w:r>
      <w:r>
        <w:rPr>
          <w:rStyle w:val="Text0"/>
        </w:rPr>
        <w:t>)</w:t>
      </w:r>
      <w:r>
        <w:t>.</w:t>
      </w:r>
    </w:p>
    <w:p>
      <w:pPr>
        <w:pStyle w:val="Normal"/>
      </w:pPr>
      <w:r>
        <w:rPr>
          <w:rStyle w:val="Text0"/>
        </w:rPr>
        <w:t>__new__</w:t>
      </w:r>
      <w:r>
        <w:t xml:space="preserve"> has most of the flexibility of a factory function, as covered in the previous section. </w:t>
      </w:r>
      <w:r>
        <w:rPr>
          <w:rStyle w:val="Text0"/>
        </w:rPr>
        <w:t>__new__</w:t>
      </w:r>
      <w:r>
        <w:t xml:space="preserve"> may choose to return an existing instance or make a new one, as appropriate. When </w:t>
      </w:r>
      <w:r>
        <w:rPr>
          <w:rStyle w:val="Text0"/>
        </w:rPr>
        <w:t>__new__</w:t>
      </w:r>
      <w:r>
        <w:t xml:space="preserve"> does create a new instance, it usually delegates creation to </w:t>
      </w:r>
      <w:r>
        <w:rPr>
          <w:rStyle w:val="Text0"/>
        </w:rPr>
        <w:t>object.__new__</w:t>
      </w:r>
      <w:r>
        <w:t xml:space="preserve"> or the </w:t>
      </w:r>
      <w:r>
        <w:rPr>
          <w:rStyle w:val="Text0"/>
        </w:rPr>
        <w:t>__new__</w:t>
      </w:r>
      <w:r>
        <w:t xml:space="preserve"> method of another superclass of </w:t>
      </w:r>
      <w:r>
        <w:rPr>
          <w:rStyle w:val="Text3"/>
        </w:rPr>
        <w:t>C</w:t>
      </w:r>
      <w:r>
        <w:t>.</w:t>
      </w:r>
    </w:p>
    <w:p>
      <w:pPr>
        <w:pStyle w:val="Normal"/>
      </w:pPr>
      <w:r>
        <w:t xml:space="preserve">The following example shows how to override the class method </w:t>
      </w:r>
      <w:r>
        <w:rPr>
          <w:rStyle w:val="Text0"/>
        </w:rPr>
        <w:t>__new__</w:t>
      </w:r>
      <w:r>
        <w:t xml:space="preserve"> in order to implement a version of the Singleton design pattern:</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Singleton</w:t>
        <w:br w:clear="none"/>
      </w:r>
      <w:r>
        <w:rPr>
          <w:rStyle w:val="Text7"/>
        </w:rPr>
        <w:t xml:space="preserve">:</w:t>
        <w:br w:clear="none"/>
      </w:r>
      <w:r>
        <w:t xml:space="preserve"/>
        <w:br w:clear="none"/>
        <w:t xml:space="preserve">    </w:t>
        <w:br w:clear="none"/>
      </w:r>
      <w:r>
        <w:rPr>
          <w:rStyle w:val="Text9"/>
        </w:rPr>
        <w:t xml:space="preserve">_singletons</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__new__</w:t>
        <w:br w:clear="none"/>
      </w:r>
      <w:r>
        <w:rPr>
          <w:rStyle w:val="Text7"/>
        </w:rPr>
        <w:t xml:space="preserve">(</w:t>
        <w:br w:clear="none"/>
      </w:r>
      <w:r>
        <w:rPr>
          <w:rStyle w:val="Text16"/>
        </w:rPr>
        <w:t xml:space="preserve">cls</w:t>
        <w:br w:clear="none"/>
      </w:r>
      <w:r>
        <w:rPr>
          <w:rStyle w:val="Text7"/>
        </w:rPr>
        <w:t xml:space="preserve">,</w:t>
        <w:br w:clear="none"/>
      </w:r>
      <w:r>
        <w:t xml:space="preserve"> </w:t>
        <w:br w:clear="none"/>
      </w:r>
      <w:r>
        <w:rPr>
          <w:rStyle w:val="Text13"/>
        </w:rPr>
        <w:t xml:space="preserve">*</w:t>
        <w:br w:clear="none"/>
      </w:r>
      <w:r>
        <w:rPr>
          <w:rStyle w:val="Text9"/>
        </w:rPr>
        <w:t xml:space="preserve">args</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kwds</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16"/>
        </w:rPr>
        <w:t xml:space="preserve">cls</w:t>
        <w:br w:clear="none"/>
      </w:r>
      <w:r>
        <w:t xml:space="preserve"> </w:t>
        <w:br w:clear="none"/>
      </w:r>
      <w:r>
        <w:rPr>
          <w:rStyle w:val="Text31"/>
        </w:rPr>
        <w:t xml:space="preserve">not</w:t>
        <w:br w:clear="none"/>
      </w:r>
      <w:r>
        <w:rPr>
          <w:rStyle w:val="Text37"/>
        </w:rPr>
        <w:t xml:space="preserve"> </w:t>
        <w:br w:clear="none"/>
      </w:r>
      <w:r>
        <w:rPr>
          <w:rStyle w:val="Text31"/>
        </w:rPr>
        <w:t xml:space="preserve">in</w:t>
        <w:br w:clear="none"/>
      </w:r>
      <w:r>
        <w:t xml:space="preserve"> </w:t>
        <w:br w:clear="none"/>
      </w:r>
      <w:r>
        <w:rPr>
          <w:rStyle w:val="Text16"/>
        </w:rPr>
        <w:t xml:space="preserve">cls</w:t>
        <w:br w:clear="none"/>
      </w:r>
      <w:r>
        <w:rPr>
          <w:rStyle w:val="Text13"/>
        </w:rPr>
        <w:t xml:space="preserve">.</w:t>
        <w:br w:clear="none"/>
      </w:r>
      <w:r>
        <w:rPr>
          <w:rStyle w:val="Text9"/>
        </w:rPr>
        <w:t xml:space="preserve">_singletons</w:t>
        <w:br w:clear="none"/>
      </w:r>
      <w:r>
        <w:rPr>
          <w:rStyle w:val="Text7"/>
        </w:rPr>
        <w:t xml:space="preserve">:</w:t>
        <w:br w:clear="none"/>
      </w:r>
      <w:r>
        <w:t xml:space="preserve"/>
        <w:br w:clear="none"/>
        <w:t xml:space="preserve">            </w:t>
        <w:br w:clear="none"/>
      </w:r>
      <w:r>
        <w:rPr>
          <w:rStyle w:val="Text16"/>
        </w:rPr>
        <w:t xml:space="preserve">cls</w:t>
        <w:br w:clear="none"/>
      </w:r>
      <w:r>
        <w:rPr>
          <w:rStyle w:val="Text13"/>
        </w:rPr>
        <w:t xml:space="preserve">.</w:t>
        <w:br w:clear="none"/>
      </w:r>
      <w:r>
        <w:rPr>
          <w:rStyle w:val="Text9"/>
        </w:rPr>
        <w:t xml:space="preserve">_singletons</w:t>
        <w:br w:clear="none"/>
      </w:r>
      <w:r>
        <w:rPr>
          <w:rStyle w:val="Text7"/>
        </w:rPr>
        <w:t xml:space="preserve">[</w:t>
        <w:br w:clear="none"/>
      </w:r>
      <w:r>
        <w:rPr>
          <w:rStyle w:val="Text16"/>
        </w:rPr>
        <w:t xml:space="preserve">cls</w:t>
        <w:br w:clear="none"/>
      </w:r>
      <w:r>
        <w:rPr>
          <w:rStyle w:val="Text7"/>
        </w:rPr>
        <w:t xml:space="preserve">]</w:t>
        <w:br w:clear="none"/>
      </w:r>
      <w:r>
        <w:t xml:space="preserve"> </w:t>
        <w:br w:clear="none"/>
      </w:r>
      <w:r>
        <w:rPr>
          <w:rStyle w:val="Text13"/>
        </w:rPr>
        <w:t xml:space="preserve">=</w:t>
        <w:br w:clear="none"/>
      </w:r>
      <w:r>
        <w:t xml:space="preserve"> </w:t>
        <w:br w:clear="none"/>
      </w:r>
      <w:r>
        <w:rPr>
          <w:rStyle w:val="Text9"/>
        </w:rPr>
        <w:t xml:space="preserve">obj</w:t>
        <w:br w:clear="none"/>
      </w:r>
      <w:r>
        <w:t xml:space="preserve"> </w:t>
        <w:br w:clear="none"/>
      </w:r>
      <w:r>
        <w:rPr>
          <w:rStyle w:val="Text13"/>
        </w:rPr>
        <w:t xml:space="preserve">=</w:t>
        <w:br w:clear="none"/>
      </w:r>
      <w:r>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t xml:space="preserve">__new__</w:t>
        <w:br w:clear="none"/>
      </w:r>
      <w:r>
        <w:rPr>
          <w:rStyle w:val="Text7"/>
        </w:rPr>
        <w:t xml:space="preserve">(</w:t>
        <w:br w:clear="none"/>
      </w:r>
      <w:r>
        <w:rPr>
          <w:rStyle w:val="Text16"/>
        </w:rPr>
        <w:t xml:space="preserve">cls</w:t>
        <w:br w:clear="none"/>
      </w:r>
      <w:r>
        <w:rPr>
          <w:rStyle w:val="Text7"/>
        </w:rPr>
        <w:t xml:space="preserve">)</w:t>
        <w:br w:clear="none"/>
      </w:r>
      <w:r>
        <w:t xml:space="preserve"/>
        <w:br w:clear="none"/>
        <w:t xml:space="preserve">            </w:t>
        <w:br w:clear="none"/>
      </w:r>
      <w:r>
        <w:rPr>
          <w:rStyle w:val="Text9"/>
        </w:rPr>
        <w:t xml:space="preserve">obj</w:t>
        <w:br w:clear="none"/>
      </w:r>
      <w:r>
        <w:rPr>
          <w:rStyle w:val="Text13"/>
        </w:rPr>
        <w:t xml:space="preserve">.</w:t>
        <w:br w:clear="none"/>
      </w:r>
      <w:r>
        <w:rPr>
          <w:rStyle w:val="Text9"/>
        </w:rPr>
        <w:t xml:space="preserve">_initialized</w:t>
        <w:br w:clear="none"/>
      </w:r>
      <w:r>
        <w:t xml:space="preserve"> </w:t>
        <w:br w:clear="none"/>
      </w:r>
      <w:r>
        <w:rPr>
          <w:rStyle w:val="Text13"/>
        </w:rPr>
        <w:t xml:space="preserve">=</w:t>
        <w:br w:clear="none"/>
      </w:r>
      <w:r>
        <w:t xml:space="preserve"> </w:t>
        <w:br w:clear="none"/>
      </w:r>
      <w:r>
        <w:rPr>
          <w:rStyle w:val="Text39"/>
        </w:rPr>
        <w:t xml:space="preserve">False</w:t>
        <w:br w:clear="none"/>
      </w:r>
      <w:r>
        <w:t xml:space="preserve"/>
        <w:br w:clear="none"/>
        <w:t xml:space="preserve">        </w:t>
        <w:br w:clear="none"/>
      </w:r>
      <w:r>
        <w:rPr>
          <w:rStyle w:val="Text10"/>
        </w:rPr>
        <w:t xml:space="preserve">return</w:t>
        <w:br w:clear="none"/>
      </w:r>
      <w:r>
        <w:t xml:space="preserve"> </w:t>
        <w:br w:clear="none"/>
      </w:r>
      <w:r>
        <w:rPr>
          <w:rStyle w:val="Text16"/>
        </w:rPr>
        <w:t xml:space="preserve">cls</w:t>
        <w:br w:clear="none"/>
      </w:r>
      <w:r>
        <w:rPr>
          <w:rStyle w:val="Text13"/>
        </w:rPr>
        <w:t xml:space="preserve">.</w:t>
        <w:br w:clear="none"/>
      </w:r>
      <w:r>
        <w:rPr>
          <w:rStyle w:val="Text9"/>
        </w:rPr>
        <w:t xml:space="preserve">_singletons</w:t>
        <w:br w:clear="none"/>
      </w:r>
      <w:r>
        <w:rPr>
          <w:rStyle w:val="Text7"/>
        </w:rPr>
        <w:t xml:space="preserve">[</w:t>
        <w:br w:clear="none"/>
      </w:r>
      <w:r>
        <w:rPr>
          <w:rStyle w:val="Text16"/>
        </w:rPr>
        <w:t xml:space="preserve">cls</w:t>
        <w:br w:clear="none"/>
      </w:r>
      <w:r>
        <w:rPr>
          <w:rStyle w:val="Text7"/>
        </w:rPr>
        <w:t xml:space="preserve">]</w:t>
        <w:br w:clear="none"/>
      </w:r>
    </w:p>
    <w:p>
      <w:pPr>
        <w:pStyle w:val="Para 082"/>
      </w:pPr>
      <w:r>
        <w:rPr>
          <w:rStyle w:val="Text2"/>
        </w:rPr>
        <w:t xml:space="preserve">(We cover the built-in </w:t>
      </w:r>
      <w:r>
        <w:rPr>
          <w:rStyle w:val="Text100"/>
        </w:rPr>
        <w:t>super</w:t>
      </w:r>
      <w:r>
        <w:rPr>
          <w:rStyle w:val="Text2"/>
        </w:rPr>
        <w:t xml:space="preserve"> in </w:t>
      </w:r>
      <w:hyperlink w:anchor="Cooperative_superclass_method_ca">
        <w:r>
          <w:t>“Cooperative superclass method calling”</w:t>
        </w:r>
      </w:hyperlink>
      <w:r>
        <w:rPr>
          <w:rStyle w:val="Text2"/>
        </w:rPr>
        <w:t>.)</w:t>
      </w:r>
    </w:p>
    <w:p>
      <w:pPr>
        <w:pStyle w:val="Normal"/>
      </w:pPr>
      <w:r>
        <w:t xml:space="preserve">Any subclass of </w:t>
      </w:r>
      <w:r>
        <w:rPr>
          <w:rStyle w:val="Text0"/>
        </w:rPr>
        <w:t>Singleton</w:t>
      </w:r>
      <w:r>
        <w:t xml:space="preserve"> (that does not further override </w:t>
      </w:r>
      <w:r>
        <w:rPr>
          <w:rStyle w:val="Text0"/>
        </w:rPr>
        <w:t>__new__</w:t>
      </w:r>
      <w:r>
        <w:t xml:space="preserve">) has exactly one instance. When the subclass defines </w:t>
      </w:r>
      <w:r>
        <w:rPr>
          <w:rStyle w:val="Text0"/>
        </w:rPr>
        <w:t>__init__</w:t>
      </w:r>
      <w:r>
        <w:t xml:space="preserve">, it must ensure </w:t>
      </w:r>
      <w:r>
        <w:rPr>
          <w:rStyle w:val="Text0"/>
        </w:rPr>
        <w:t>__init__</w:t>
      </w:r>
      <w:r>
        <w:t xml:space="preserve"> is safe to call repeatedly (at each call of the subclass) on the subclass’s only instance.</w:t>
      </w:r>
      <w:hyperlink w:anchor="3_That_need_arises_because___ini">
        <w:r>
          <w:rPr>
            <w:rStyle w:val="Text41"/>
          </w:rPr>
          <w:bookmarkStart w:id="1323" w:name="3_4"/>
          <w:t>3</w:t>
          <w:bookmarkEnd w:id="1323"/>
        </w:r>
      </w:hyperlink>
      <w:r>
        <w:t xml:space="preserve"> In this example, we insert the </w:t>
      </w:r>
      <w:r>
        <w:rPr>
          <w:rStyle w:val="Text0"/>
        </w:rPr>
        <w:t>_initialized</w:t>
      </w:r>
      <w:r>
        <w:t xml:space="preserve"> attribute, set to </w:t>
      </w:r>
      <w:r>
        <w:rPr>
          <w:rStyle w:val="Text5"/>
        </w:rPr>
        <w:t>False</w:t>
      </w:r>
      <w:r>
        <w:t xml:space="preserve">, when </w:t>
      </w:r>
      <w:r>
        <w:rPr>
          <w:rStyle w:val="Text0"/>
        </w:rPr>
        <w:t>__new__</w:t>
      </w:r>
      <w:r>
        <w:t xml:space="preserve"> actually creates a new instance. Subclasses’ </w:t>
      </w:r>
      <w:r>
        <w:rPr>
          <w:rStyle w:val="Text0"/>
        </w:rPr>
        <w:t>__init__</w:t>
      </w:r>
      <w:r>
        <w:t xml:space="preserve"> methods can test if </w:t>
      </w:r>
      <w:r>
        <w:rPr>
          <w:rStyle w:val="Text0"/>
        </w:rPr>
        <w:t>self._initialized</w:t>
      </w:r>
      <w:r>
        <w:t xml:space="preserve"> is </w:t>
      </w:r>
      <w:r>
        <w:rPr>
          <w:rStyle w:val="Text5"/>
        </w:rPr>
        <w:t>False</w:t>
      </w:r>
      <w:r>
        <w:t xml:space="preserve"> and, if so, set it to </w:t>
      </w:r>
      <w:r>
        <w:rPr>
          <w:rStyle w:val="Text5"/>
        </w:rPr>
        <w:t>True</w:t>
      </w:r>
      <w:r>
        <w:t xml:space="preserve"> and continue with the rest of the </w:t>
      </w:r>
      <w:r>
        <w:rPr>
          <w:rStyle w:val="Text0"/>
        </w:rPr>
        <w:t>__init__</w:t>
      </w:r>
      <w:r>
        <w:t xml:space="preserve"> method. When subsequent “creates” of the singleton instance call </w:t>
      </w:r>
      <w:r>
        <w:rPr>
          <w:rStyle w:val="Text0"/>
        </w:rPr>
        <w:t>__init__</w:t>
      </w:r>
      <w:r>
        <w:t xml:space="preserve"> again, </w:t>
      </w:r>
      <w:r>
        <w:rPr>
          <w:rStyle w:val="Text0"/>
        </w:rPr>
        <w:t>self._initialized</w:t>
      </w:r>
      <w:r>
        <w:t xml:space="preserve"> will be </w:t>
      </w:r>
      <w:r>
        <w:rPr>
          <w:rStyle w:val="Text5"/>
        </w:rPr>
        <w:t>True</w:t>
      </w:r>
      <w:r>
        <w:t xml:space="preserve">, indicating the instance is already initialized, and </w:t>
      </w:r>
      <w:r>
        <w:rPr>
          <w:rStyle w:val="Text0"/>
        </w:rPr>
        <w:t>__init__</w:t>
      </w:r>
      <w:r>
        <w:t xml:space="preserve"> can typically just return, avoiding some repetitive work.</w:t>
      </w:r>
      <w:r>
        <w:rPr>
          <w:rStyle w:val="Text111"/>
        </w:rPr>
        <w:bookmarkStart w:id="1324" w:name="idm45965266747712"/>
        <w:t/>
        <w:bookmarkEnd w:id="1324"/>
      </w:r>
    </w:p>
    <w:p>
      <w:bookmarkStart w:id="1325" w:name="Attribute_Reference_Basics__An_a"/>
      <w:pPr>
        <w:keepNext/>
        <w:pStyle w:val="Heading 2"/>
      </w:pPr>
      <w:r>
        <w:t>Attribute Reference Basics</w:t>
      </w:r>
      <w:bookmarkEnd w:id="1325"/>
    </w:p>
    <w:p>
      <w:pPr>
        <w:pStyle w:val="Normal"/>
      </w:pPr>
      <w:r>
        <w:t>An</w:t>
      </w:r>
      <w:r>
        <w:rPr>
          <w:rStyle w:val="Text111"/>
        </w:rPr>
        <w:bookmarkStart w:id="1326" w:name="idm45965266744464"/>
        <w:t/>
        <w:bookmarkEnd w:id="1326"/>
        <w:bookmarkStart w:id="1327" w:name="ATrefbas04"/>
        <w:t/>
        <w:bookmarkEnd w:id="1327"/>
      </w:r>
      <w:r>
        <w:t xml:space="preserve"> </w:t>
      </w:r>
      <w:r>
        <w:rPr>
          <w:rStyle w:val="Text4"/>
        </w:rPr>
        <w:t>attribute reference</w:t>
      </w:r>
      <w:r>
        <w:t xml:space="preserve"> is an expression of the form </w:t>
      </w:r>
      <w:r>
        <w:rPr>
          <w:rStyle w:val="Text3"/>
        </w:rPr>
        <w:t>x.name</w:t>
      </w:r>
      <w:r>
        <w:t xml:space="preserve">, where </w:t>
      </w:r>
      <w:r>
        <w:rPr>
          <w:rStyle w:val="Text3"/>
        </w:rPr>
        <w:t>x</w:t>
      </w:r>
      <w:r>
        <w:t xml:space="preserve"> is any expression and </w:t>
      </w:r>
      <w:r>
        <w:rPr>
          <w:rStyle w:val="Text3"/>
        </w:rPr>
        <w:t>name</w:t>
      </w:r>
      <w:r>
        <w:t xml:space="preserve"> is an identifier called the </w:t>
      </w:r>
      <w:r>
        <w:rPr>
          <w:rStyle w:val="Text4"/>
        </w:rPr>
        <w:t>attribute name</w:t>
      </w:r>
      <w:r>
        <w:t xml:space="preserve">. Many Python objects have attributes, but an attribute reference has special, rich semantics when </w:t>
      </w:r>
      <w:r>
        <w:rPr>
          <w:rStyle w:val="Text3"/>
        </w:rPr>
        <w:t>x</w:t>
      </w:r>
      <w:r>
        <w:t xml:space="preserve"> refers to a class or instance. Methods are attributes, too, so everything we say about attributes in general also applies to callable attributes (i.e., methods).</w:t>
      </w:r>
    </w:p>
    <w:p>
      <w:pPr>
        <w:pStyle w:val="Normal"/>
      </w:pPr>
      <w:r>
        <w:t xml:space="preserve">Say that </w:t>
      </w:r>
      <w:r>
        <w:rPr>
          <w:rStyle w:val="Text3"/>
        </w:rPr>
        <w:t>x</w:t>
      </w:r>
      <w:r>
        <w:t xml:space="preserve"> is an instance of class </w:t>
      </w:r>
      <w:r>
        <w:rPr>
          <w:rStyle w:val="Text0"/>
        </w:rPr>
        <w:t>C</w:t>
      </w:r>
      <w:r>
        <w:t xml:space="preserve">, which inherits from base class </w:t>
      </w:r>
      <w:r>
        <w:rPr>
          <w:rStyle w:val="Text0"/>
        </w:rPr>
        <w:t>B</w:t>
      </w:r>
      <w:r>
        <w:t>. Both classes and the instance have several attributes (data and methods), as follows: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t xml:space="preserve"/>
        <w:br w:clear="none"/>
        <w:t xml:space="preserve">    </w:t>
        <w:br w:clear="none"/>
      </w:r>
      <w:r>
        <w:rPr>
          <w:rStyle w:val="Text9"/>
        </w:rPr>
        <w:t xml:space="preserve">a</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t xml:space="preserve">    </w:t>
        <w:br w:clear="none"/>
      </w:r>
      <w:r>
        <w:rPr>
          <w:rStyle w:val="Text9"/>
        </w:rPr>
        <w:t xml:space="preserve">b</w:t>
        <w:br w:clear="none"/>
      </w:r>
      <w:r>
        <w:t xml:space="preserve"> </w:t>
        <w:br w:clear="none"/>
      </w:r>
      <w:r>
        <w:rPr>
          <w:rStyle w:val="Text13"/>
        </w:rPr>
        <w:t xml:space="preserve">=</w:t>
        <w:br w:clear="none"/>
      </w:r>
      <w:r>
        <w:t xml:space="preserve"> </w:t>
        <w:br w:clear="none"/>
      </w:r>
      <w:r>
        <w:rPr>
          <w:rStyle w:val="Text27"/>
        </w:rPr>
        <w:t xml:space="preserve">45</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f in class B</w:t>
        <w:br w:clear="none"/>
        <w:t xml:space="preserv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g in class B</w:t>
        <w:br w:clear="none"/>
        <w:t xml:space="preserve">'</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br w:clear="none"/>
        <w:t xml:space="preserve">    </w:t>
        <w:br w:clear="none"/>
      </w:r>
      <w:r>
        <w:rPr>
          <w:rStyle w:val="Text9"/>
        </w:rPr>
        <w:t xml:space="preserve">b</w:t>
        <w:br w:clear="none"/>
      </w:r>
      <w:r>
        <w:t xml:space="preserve"> </w:t>
        <w:br w:clear="none"/>
      </w:r>
      <w:r>
        <w:rPr>
          <w:rStyle w:val="Text13"/>
        </w:rPr>
        <w:t xml:space="preserve">=</w:t>
        <w:br w:clear="none"/>
      </w:r>
      <w:r>
        <w:t xml:space="preserve"> </w:t>
        <w:br w:clear="none"/>
      </w:r>
      <w:r>
        <w:rPr>
          <w:rStyle w:val="Text27"/>
        </w:rPr>
        <w:t xml:space="preserve">67</w:t>
        <w:br w:clear="none"/>
      </w:r>
      <w:r>
        <w:t xml:space="preserve"/>
        <w:br w:clear="none"/>
        <w:t xml:space="preserve">    </w:t>
        <w:br w:clear="none"/>
      </w:r>
      <w:r>
        <w:rPr>
          <w:rStyle w:val="Text9"/>
        </w:rPr>
        <w:t xml:space="preserve">c</w:t>
        <w:br w:clear="none"/>
      </w:r>
      <w:r>
        <w:t xml:space="preserve"> </w:t>
        <w:br w:clear="none"/>
      </w:r>
      <w:r>
        <w:rPr>
          <w:rStyle w:val="Text13"/>
        </w:rPr>
        <w:t xml:space="preserve">=</w:t>
        <w:br w:clear="none"/>
      </w:r>
      <w:r>
        <w:t xml:space="preserve"> </w:t>
        <w:br w:clear="none"/>
      </w:r>
      <w:r>
        <w:rPr>
          <w:rStyle w:val="Text27"/>
        </w:rPr>
        <w:t xml:space="preserve">89</w:t>
        <w:br w:clear="none"/>
      </w:r>
      <w:r>
        <w:t xml:space="preserve"/>
        <w:br w:clear="none"/>
        <w:t xml:space="preserve">    </w:t>
        <w:br w:clear="none"/>
      </w:r>
      <w:r>
        <w:rPr>
          <w:rStyle w:val="Text9"/>
        </w:rPr>
        <w:t xml:space="preserve">d</w:t>
        <w:br w:clear="none"/>
      </w:r>
      <w:r>
        <w:t xml:space="preserve"> </w:t>
        <w:br w:clear="none"/>
      </w:r>
      <w:r>
        <w:rPr>
          <w:rStyle w:val="Text13"/>
        </w:rPr>
        <w:t xml:space="preserve">=</w:t>
        <w:br w:clear="none"/>
      </w:r>
      <w:r>
        <w:t xml:space="preserve"> </w:t>
        <w:br w:clear="none"/>
      </w:r>
      <w:r>
        <w:rPr>
          <w:rStyle w:val="Text27"/>
        </w:rPr>
        <w:t xml:space="preserve">123</w:t>
        <w:br w:clear="none"/>
      </w:r>
      <w:r>
        <w:t xml:space="preserve"/>
        <w:br w:clear="none"/>
        <w:t xml:space="preserve">    </w:t>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g in class C</w:t>
        <w:br w:clear="none"/>
        <w:t xml:space="preserv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h</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h in class C</w:t>
        <w:br w:clear="none"/>
        <w:t xml:space="preserve">'</w:t>
        <w:br w:clear="none"/>
      </w:r>
      <w:r>
        <w:rPr>
          <w:rStyle w:val="Text7"/>
        </w:rPr>
        <w:t xml:space="preserve">)</w:t>
        <w:br w:clear="none"/>
      </w:r>
      <w: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C</w:t>
        <w:br w:clear="none"/>
      </w:r>
      <w:r>
        <w:rPr>
          <w:rStyle w:val="Text7"/>
        </w:rPr>
        <w:t xml:space="preserve">(</w:t>
        <w:br w:clear="none"/>
        <w:t xml:space="preserve">)</w:t>
        <w:br w:clear="none"/>
      </w:r>
      <w:r>
        <w:t xml:space="preserve"/>
        <w:br w:clear="none"/>
      </w:r>
      <w:r>
        <w:rPr>
          <w:rStyle w:val="Text9"/>
        </w:rPr>
        <w:t xml:space="preserve">x</w:t>
        <w:br w:clear="none"/>
      </w:r>
      <w:r>
        <w:rPr>
          <w:rStyle w:val="Text13"/>
        </w:rPr>
        <w:t xml:space="preserve">.</w:t>
        <w:br w:clear="none"/>
      </w:r>
      <w:r>
        <w:rPr>
          <w:rStyle w:val="Text9"/>
        </w:rPr>
        <w:t xml:space="preserve">d</w:t>
        <w:br w:clear="none"/>
      </w:r>
      <w:r>
        <w:t xml:space="preserve"> </w:t>
        <w:br w:clear="none"/>
      </w:r>
      <w:r>
        <w:rPr>
          <w:rStyle w:val="Text13"/>
        </w:rPr>
        <w:t xml:space="preserve">=</w:t>
        <w:br w:clear="none"/>
      </w:r>
      <w:r>
        <w:t xml:space="preserve"> </w:t>
        <w:br w:clear="none"/>
      </w:r>
      <w:r>
        <w:rPr>
          <w:rStyle w:val="Text27"/>
        </w:rPr>
        <w:t xml:space="preserve">77</w:t>
        <w:br w:clear="none"/>
      </w:r>
      <w:r>
        <w:t xml:space="preserve"/>
        <w:br w:clear="none"/>
      </w:r>
      <w:r>
        <w:rPr>
          <w:rStyle w:val="Text9"/>
        </w:rPr>
        <w:t xml:space="preserve">x</w:t>
        <w:br w:clear="none"/>
      </w:r>
      <w:r>
        <w:rPr>
          <w:rStyle w:val="Text13"/>
        </w:rPr>
        <w:t xml:space="preserve">.</w:t>
        <w:br w:clear="none"/>
      </w:r>
      <w:r>
        <w:rPr>
          <w:rStyle w:val="Text9"/>
        </w:rPr>
        <w:t xml:space="preserve">e</w:t>
        <w:br w:clear="none"/>
      </w:r>
      <w:r>
        <w:t xml:space="preserve"> </w:t>
        <w:br w:clear="none"/>
      </w:r>
      <w:r>
        <w:rPr>
          <w:rStyle w:val="Text13"/>
        </w:rPr>
        <w:t xml:space="preserve">=</w:t>
        <w:br w:clear="none"/>
      </w:r>
      <w:r>
        <w:t xml:space="preserve"> </w:t>
        <w:br w:clear="none"/>
      </w:r>
      <w:r>
        <w:rPr>
          <w:rStyle w:val="Text27"/>
        </w:rPr>
        <w:t xml:space="preserve">88</w:t>
        <w:br w:clear="none"/>
      </w:r>
    </w:p>
    <w:p>
      <w:pPr>
        <w:pStyle w:val="Normal"/>
      </w:pPr>
      <w:r>
        <w:t>A</w:t>
      </w:r>
      <w:r>
        <w:rPr>
          <w:rStyle w:val="Text111"/>
        </w:rPr>
        <w:bookmarkStart w:id="1328" w:name="idm45965266613984"/>
        <w:t/>
        <w:bookmarkEnd w:id="1328"/>
      </w:r>
      <w:r>
        <w:t xml:space="preserve"> few attribute dunder names are special. </w:t>
      </w:r>
      <w:r>
        <w:rPr>
          <w:rStyle w:val="Text3"/>
        </w:rPr>
        <w:t>C</w:t>
      </w:r>
      <w:r>
        <w:rPr>
          <w:rStyle w:val="Text0"/>
        </w:rPr>
        <w:t>.__name__</w:t>
      </w:r>
      <w:r>
        <w:t xml:space="preserve"> is the string </w:t>
      </w:r>
      <w:r>
        <w:rPr>
          <w:rStyle w:val="Text0"/>
        </w:rPr>
        <w:t>'</w:t>
      </w:r>
      <w:r>
        <w:rPr>
          <w:rStyle w:val="Text3"/>
        </w:rPr>
        <w:t>C</w:t>
      </w:r>
      <w:r>
        <w:rPr>
          <w:rStyle w:val="Text0"/>
        </w:rPr>
        <w:t>'</w:t>
      </w:r>
      <w:r>
        <w:t xml:space="preserve">, the class’s name. </w:t>
      </w:r>
      <w:r>
        <w:rPr>
          <w:rStyle w:val="Text3"/>
        </w:rPr>
        <w:t>C</w:t>
      </w:r>
      <w:r>
        <w:rPr>
          <w:rStyle w:val="Text0"/>
        </w:rPr>
        <w:t>.__bases__</w:t>
      </w:r>
      <w:r>
        <w:t xml:space="preserve"> is the tuple </w:t>
      </w:r>
      <w:r>
        <w:rPr>
          <w:rStyle w:val="Text0"/>
        </w:rPr>
        <w:t>(</w:t>
      </w:r>
      <w:r>
        <w:rPr>
          <w:rStyle w:val="Text3"/>
        </w:rPr>
        <w:t>B</w:t>
      </w:r>
      <w:r>
        <w:rPr>
          <w:rStyle w:val="Text0"/>
        </w:rPr>
        <w:t>,)</w:t>
      </w:r>
      <w:r>
        <w:t xml:space="preserve">, the tuple of </w:t>
      </w:r>
      <w:r>
        <w:rPr>
          <w:rStyle w:val="Text3"/>
        </w:rPr>
        <w:t>C</w:t>
      </w:r>
      <w:r>
        <w:t xml:space="preserve">’s base classes. </w:t>
      </w:r>
      <w:r>
        <w:rPr>
          <w:rStyle w:val="Text3"/>
        </w:rPr>
        <w:t>x</w:t>
      </w:r>
      <w:r>
        <w:rPr>
          <w:rStyle w:val="Text0"/>
        </w:rPr>
        <w:t>.__class__</w:t>
      </w:r>
      <w:r>
        <w:t xml:space="preserve"> is the class </w:t>
      </w:r>
      <w:r>
        <w:rPr>
          <w:rStyle w:val="Text3"/>
        </w:rPr>
        <w:t>C</w:t>
      </w:r>
      <w:r>
        <w:t xml:space="preserve"> to which </w:t>
      </w:r>
      <w:r>
        <w:rPr>
          <w:rStyle w:val="Text3"/>
        </w:rPr>
        <w:t>x</w:t>
      </w:r>
      <w:r>
        <w:t xml:space="preserve"> belongs. When you refer to an attribute with one of these special names, the attribute reference looks directly into a dedicated slot in the class or instance object and fetches the value it finds there. You cannot unbind these attributes. You may rebind them on the fly, changing the name or base classes of a class or the class of an instance, but this advanced technique is rarely necessary.</w:t>
      </w:r>
    </w:p>
    <w:p>
      <w:pPr>
        <w:pStyle w:val="Normal"/>
      </w:pPr>
      <w:r>
        <w:t xml:space="preserve">Class </w:t>
      </w:r>
      <w:r>
        <w:rPr>
          <w:rStyle w:val="Text3"/>
        </w:rPr>
        <w:t>C</w:t>
      </w:r>
      <w:r>
        <w:t xml:space="preserve"> and instance </w:t>
      </w:r>
      <w:r>
        <w:rPr>
          <w:rStyle w:val="Text3"/>
        </w:rPr>
        <w:t>x</w:t>
      </w:r>
      <w:r>
        <w:t xml:space="preserve"> each have one other special attribute: a mapping named </w:t>
      </w:r>
      <w:r>
        <w:rPr>
          <w:rStyle w:val="Text0"/>
        </w:rPr>
        <w:t>__dict__</w:t>
      </w:r>
      <w:r>
        <w:t xml:space="preserve"> (typically mutable for </w:t>
      </w:r>
      <w:r>
        <w:rPr>
          <w:rStyle w:val="Text3"/>
        </w:rPr>
        <w:t>x</w:t>
      </w:r>
      <w:r>
        <w:t xml:space="preserve">, but not for </w:t>
      </w:r>
      <w:r>
        <w:rPr>
          <w:rStyle w:val="Text3"/>
        </w:rPr>
        <w:t>C</w:t>
      </w:r>
      <w:r>
        <w:t>). All other attributes of a class or instance,</w:t>
      </w:r>
      <w:hyperlink w:anchor="4_Except_for_instances_of_a_clas">
        <w:r>
          <w:rPr>
            <w:rStyle w:val="Text41"/>
          </w:rPr>
          <w:bookmarkStart w:id="1329" w:name="4_3"/>
          <w:t>4</w:t>
          <w:bookmarkEnd w:id="1329"/>
        </w:r>
      </w:hyperlink>
      <w:r>
        <w:t xml:space="preserve"> except the few special ones, are held as items in the </w:t>
      </w:r>
      <w:r>
        <w:rPr>
          <w:rStyle w:val="Text0"/>
        </w:rPr>
        <w:t>__dict__</w:t>
      </w:r>
      <w:r>
        <w:t xml:space="preserve"> attribute of the class or instance.</w:t>
      </w:r>
    </w:p>
    <w:p>
      <w:bookmarkStart w:id="1330" w:name="Getting_an_attribute_from_a_clas"/>
      <w:pPr>
        <w:keepNext/>
        <w:pStyle w:val="Heading 2"/>
      </w:pPr>
      <w:r>
        <w:t>Getting an attribute from a class</w:t>
      </w:r>
      <w:bookmarkEnd w:id="1330"/>
    </w:p>
    <w:p>
      <w:pPr>
        <w:pStyle w:val="Normal"/>
      </w:pPr>
      <w:r>
        <w:t xml:space="preserve">When you use the syntax </w:t>
      </w:r>
      <w:r>
        <w:rPr>
          <w:rStyle w:val="Text3"/>
        </w:rPr>
        <w:t>C.name</w:t>
      </w:r>
      <w:r>
        <w:t xml:space="preserve"> to refer to an attribute on a class object </w:t>
      </w:r>
      <w:r>
        <w:rPr>
          <w:rStyle w:val="Text3"/>
        </w:rPr>
        <w:t>C</w:t>
      </w:r>
      <w:r>
        <w:t>, lookup proceeds in two steps:</w:t>
      </w:r>
    </w:p>
    <w:p>
      <w:pPr>
        <w:pStyle w:val="Para 010"/>
      </w:pPr>
      <w:r>
        <w:t xml:space="preserve">When </w:t>
      </w:r>
      <w:r>
        <w:rPr>
          <w:rStyle w:val="Text0"/>
        </w:rPr>
        <w:t>'</w:t>
      </w:r>
      <w:r>
        <w:rPr>
          <w:rStyle w:val="Text3"/>
        </w:rPr>
        <w:t>name</w:t>
      </w:r>
      <w:r>
        <w:rPr>
          <w:rStyle w:val="Text0"/>
        </w:rPr>
        <w:t>'</w:t>
      </w:r>
      <w:r>
        <w:t xml:space="preserve"> is a key in </w:t>
      </w:r>
      <w:r>
        <w:rPr>
          <w:rStyle w:val="Text3"/>
        </w:rPr>
        <w:t>C.</w:t>
      </w:r>
      <w:r>
        <w:rPr>
          <w:rStyle w:val="Text0"/>
        </w:rPr>
        <w:t>__dict__</w:t>
      </w:r>
      <w:r>
        <w:t xml:space="preserve">, </w:t>
      </w:r>
      <w:r>
        <w:rPr>
          <w:rStyle w:val="Text3"/>
        </w:rPr>
        <w:t>C.name</w:t>
      </w:r>
      <w:r>
        <w:t xml:space="preserve"> fetches the value </w:t>
      </w:r>
      <w:r>
        <w:rPr>
          <w:rStyle w:val="Text3"/>
        </w:rPr>
        <w:t>v</w:t>
      </w:r>
      <w:r>
        <w:t xml:space="preserve"> from </w:t>
      </w:r>
      <w:r>
        <w:rPr>
          <w:rStyle w:val="Text3"/>
        </w:rPr>
        <w:t>C.</w:t>
      </w:r>
      <w:r>
        <w:rPr>
          <w:rStyle w:val="Text0"/>
        </w:rPr>
        <w:t>__dict__['</w:t>
      </w:r>
      <w:r>
        <w:rPr>
          <w:rStyle w:val="Text3"/>
        </w:rPr>
        <w:t>name</w:t>
      </w:r>
      <w:r>
        <w:rPr>
          <w:rStyle w:val="Text0"/>
        </w:rPr>
        <w:t>']</w:t>
      </w:r>
      <w:r>
        <w:t xml:space="preserve">. Then, when </w:t>
      </w:r>
      <w:r>
        <w:rPr>
          <w:rStyle w:val="Text3"/>
        </w:rPr>
        <w:t>v</w:t>
      </w:r>
      <w:r>
        <w:t xml:space="preserve"> is a descriptor (i.e., </w:t>
      </w:r>
      <w:r>
        <w:rPr>
          <w:rStyle w:val="Text0"/>
        </w:rPr>
        <w:t>type(</w:t>
      </w:r>
      <w:r>
        <w:rPr>
          <w:rStyle w:val="Text3"/>
        </w:rPr>
        <w:t>v</w:t>
      </w:r>
      <w:r>
        <w:rPr>
          <w:rStyle w:val="Text0"/>
        </w:rPr>
        <w:t>)</w:t>
      </w:r>
      <w:r>
        <w:t xml:space="preserve"> supplies a method named </w:t>
      </w:r>
      <w:r>
        <w:rPr>
          <w:rStyle w:val="Text0"/>
        </w:rPr>
        <w:t>__get__</w:t>
      </w:r>
      <w:r>
        <w:t xml:space="preserve">), the value of </w:t>
      </w:r>
      <w:r>
        <w:rPr>
          <w:rStyle w:val="Text3"/>
        </w:rPr>
        <w:t>C.name</w:t>
      </w:r>
      <w:r>
        <w:t xml:space="preserve"> is the result of calling </w:t>
      </w:r>
      <w:r>
        <w:rPr>
          <w:rStyle w:val="Text0"/>
        </w:rPr>
        <w:t>type(</w:t>
      </w:r>
      <w:r>
        <w:rPr>
          <w:rStyle w:val="Text3"/>
        </w:rPr>
        <w:t>v</w:t>
      </w:r>
      <w:r>
        <w:rPr>
          <w:rStyle w:val="Text0"/>
        </w:rPr>
        <w:t>).__get__(</w:t>
      </w:r>
      <w:r>
        <w:rPr>
          <w:rStyle w:val="Text3"/>
        </w:rPr>
        <w:t>v</w:t>
      </w:r>
      <w:r>
        <w:rPr>
          <w:rStyle w:val="Text0"/>
        </w:rPr>
        <w:t>, None,</w:t>
      </w:r>
      <w:r>
        <w:t xml:space="preserve"> </w:t>
      </w:r>
      <w:r>
        <w:rPr>
          <w:rStyle w:val="Text3"/>
        </w:rPr>
        <w:t>C</w:t>
      </w:r>
      <w:r>
        <w:rPr>
          <w:rStyle w:val="Text0"/>
        </w:rPr>
        <w:t>)</w:t>
      </w:r>
      <w:r>
        <w:t xml:space="preserve">. When </w:t>
      </w:r>
      <w:r>
        <w:rPr>
          <w:rStyle w:val="Text3"/>
        </w:rPr>
        <w:t>v</w:t>
      </w:r>
      <w:r>
        <w:t xml:space="preserve"> is not a descriptor, the value of </w:t>
      </w:r>
      <w:r>
        <w:rPr>
          <w:rStyle w:val="Text3"/>
        </w:rPr>
        <w:t>C.name</w:t>
      </w:r>
      <w:r>
        <w:t xml:space="preserve"> is </w:t>
      </w:r>
      <w:r>
        <w:rPr>
          <w:rStyle w:val="Text3"/>
        </w:rPr>
        <w:t>v</w:t>
      </w:r>
      <w:r>
        <w:t>.</w:t>
      </w:r>
    </w:p>
    <w:p>
      <w:pPr>
        <w:pStyle w:val="Para 010"/>
      </w:pPr>
      <w:r>
        <w:t xml:space="preserve">When </w:t>
      </w:r>
      <w:r>
        <w:rPr>
          <w:rStyle w:val="Text0"/>
        </w:rPr>
        <w:t>'</w:t>
      </w:r>
      <w:r>
        <w:rPr>
          <w:rStyle w:val="Text3"/>
        </w:rPr>
        <w:t>name</w:t>
      </w:r>
      <w:r>
        <w:rPr>
          <w:rStyle w:val="Text0"/>
        </w:rPr>
        <w:t>'</w:t>
      </w:r>
      <w:r>
        <w:t xml:space="preserve"> is </w:t>
      </w:r>
      <w:r>
        <w:rPr>
          <w:rStyle w:val="Text4"/>
        </w:rPr>
        <w:t>not</w:t>
      </w:r>
      <w:r>
        <w:t xml:space="preserve"> a key in </w:t>
      </w:r>
      <w:r>
        <w:rPr>
          <w:rStyle w:val="Text3"/>
        </w:rPr>
        <w:t>C</w:t>
      </w:r>
      <w:r>
        <w:t>.</w:t>
      </w:r>
      <w:r>
        <w:rPr>
          <w:rStyle w:val="Text0"/>
        </w:rPr>
        <w:t>__dict__</w:t>
      </w:r>
      <w:r>
        <w:t xml:space="preserve">, </w:t>
      </w:r>
      <w:r>
        <w:rPr>
          <w:rStyle w:val="Text3"/>
        </w:rPr>
        <w:t>C.name</w:t>
      </w:r>
      <w:r>
        <w:t xml:space="preserve"> delegates the lookup to </w:t>
      </w:r>
      <w:r>
        <w:rPr>
          <w:rStyle w:val="Text3"/>
        </w:rPr>
        <w:t>C</w:t>
      </w:r>
      <w:r>
        <w:t xml:space="preserve">’s base classes, meaning it loops on </w:t>
      </w:r>
      <w:r>
        <w:rPr>
          <w:rStyle w:val="Text3"/>
        </w:rPr>
        <w:t>C</w:t>
      </w:r>
      <w:r>
        <w:t xml:space="preserve">’s ancestor classes and tries the </w:t>
      </w:r>
      <w:r>
        <w:rPr>
          <w:rStyle w:val="Text3"/>
        </w:rPr>
        <w:t>name</w:t>
      </w:r>
      <w:r>
        <w:t xml:space="preserve"> lookup on each (in </w:t>
      </w:r>
      <w:r>
        <w:rPr>
          <w:rStyle w:val="Text4"/>
        </w:rPr>
        <w:t>method resolution order</w:t>
      </w:r>
      <w:r>
        <w:t xml:space="preserve">, as covered in </w:t>
      </w:r>
      <w:hyperlink w:anchor="Inheritance__When_you_use_an_att">
        <w:r>
          <w:rPr>
            <w:rStyle w:val="Text1"/>
          </w:rPr>
          <w:t>“Inheritance”</w:t>
        </w:r>
      </w:hyperlink>
      <w:r>
        <w:t>).</w:t>
      </w:r>
    </w:p>
    <w:p>
      <w:bookmarkStart w:id="1331" w:name="Getting_an_attribute_from_an_ins"/>
      <w:pPr>
        <w:keepNext/>
        <w:pStyle w:val="Heading 2"/>
      </w:pPr>
      <w:r>
        <w:t>Getting an attribute from an instance</w:t>
      </w:r>
      <w:bookmarkEnd w:id="1331"/>
    </w:p>
    <w:p>
      <w:pPr>
        <w:pStyle w:val="Normal"/>
      </w:pPr>
      <w:r>
        <w:t xml:space="preserve">When you use the syntax </w:t>
      </w:r>
      <w:r>
        <w:rPr>
          <w:rStyle w:val="Text3"/>
        </w:rPr>
        <w:t>x.name</w:t>
      </w:r>
      <w:r>
        <w:t xml:space="preserve"> to refer to an attribute of instance </w:t>
      </w:r>
      <w:r>
        <w:rPr>
          <w:rStyle w:val="Text3"/>
        </w:rPr>
        <w:t>x</w:t>
      </w:r>
      <w:r>
        <w:t xml:space="preserve"> of class </w:t>
      </w:r>
      <w:r>
        <w:rPr>
          <w:rStyle w:val="Text3"/>
        </w:rPr>
        <w:t>C</w:t>
      </w:r>
      <w:r>
        <w:t>, lookup proceeds in three steps:</w:t>
      </w:r>
    </w:p>
    <w:p>
      <w:pPr>
        <w:pStyle w:val="Para 010"/>
      </w:pPr>
      <w:r>
        <w:t xml:space="preserve">When </w:t>
      </w:r>
      <w:r>
        <w:rPr>
          <w:rStyle w:val="Text0"/>
        </w:rPr>
        <w:t>'</w:t>
      </w:r>
      <w:r>
        <w:rPr>
          <w:rStyle w:val="Text3"/>
        </w:rPr>
        <w:t>name</w:t>
      </w:r>
      <w:r>
        <w:rPr>
          <w:rStyle w:val="Text0"/>
        </w:rPr>
        <w:t>'</w:t>
      </w:r>
      <w:r>
        <w:t xml:space="preserve"> is in </w:t>
      </w:r>
      <w:r>
        <w:rPr>
          <w:rStyle w:val="Text3"/>
        </w:rPr>
        <w:t>C</w:t>
      </w:r>
      <w:r>
        <w:t xml:space="preserve"> (or in one of </w:t>
      </w:r>
      <w:r>
        <w:rPr>
          <w:rStyle w:val="Text3"/>
        </w:rPr>
        <w:t>C</w:t>
      </w:r>
      <w:r>
        <w:t xml:space="preserve">’s ancestor classes) as the name of an overriding descriptor </w:t>
      </w:r>
      <w:r>
        <w:rPr>
          <w:rStyle w:val="Text3"/>
        </w:rPr>
        <w:t>v</w:t>
      </w:r>
      <w:r>
        <w:t xml:space="preserve"> (i.e., </w:t>
      </w:r>
      <w:r>
        <w:rPr>
          <w:rStyle w:val="Text0"/>
        </w:rPr>
        <w:t>type(</w:t>
      </w:r>
      <w:r>
        <w:rPr>
          <w:rStyle w:val="Text3"/>
        </w:rPr>
        <w:t>v</w:t>
      </w:r>
      <w:r>
        <w:rPr>
          <w:rStyle w:val="Text0"/>
        </w:rPr>
        <w:t>)</w:t>
      </w:r>
      <w:r>
        <w:t xml:space="preserve"> supplies methods </w:t>
      </w:r>
      <w:r>
        <w:rPr>
          <w:rStyle w:val="Text0"/>
        </w:rPr>
        <w:t>__get__</w:t>
      </w:r>
      <w:r>
        <w:t xml:space="preserve"> and </w:t>
      </w:r>
      <w:r>
        <w:rPr>
          <w:rStyle w:val="Text0"/>
        </w:rPr>
        <w:t>__set__</w:t>
      </w:r>
      <w:r>
        <w:t xml:space="preserve">), the value of </w:t>
      </w:r>
      <w:r>
        <w:rPr>
          <w:rStyle w:val="Text3"/>
        </w:rPr>
        <w:t>x.name</w:t>
      </w:r>
      <w:r>
        <w:t xml:space="preserve"> is the result of </w:t>
      </w:r>
      <w:r>
        <w:rPr>
          <w:rStyle w:val="Text0"/>
        </w:rPr>
        <w:t>type(</w:t>
      </w:r>
      <w:r>
        <w:rPr>
          <w:rStyle w:val="Text3"/>
        </w:rPr>
        <w:t>v</w:t>
      </w:r>
      <w:r>
        <w:rPr>
          <w:rStyle w:val="Text0"/>
        </w:rPr>
        <w:t>).__get__(</w:t>
      </w:r>
      <w:r>
        <w:rPr>
          <w:rStyle w:val="Text3"/>
        </w:rPr>
        <w:t>v, x, C</w:t>
      </w:r>
      <w:r>
        <w:rPr>
          <w:rStyle w:val="Text0"/>
        </w:rPr>
        <w:t>)</w:t>
      </w:r>
      <w:r>
        <w:t>.</w:t>
      </w:r>
    </w:p>
    <w:p>
      <w:pPr>
        <w:pStyle w:val="Para 010"/>
      </w:pPr>
      <w:r>
        <w:t xml:space="preserve">Otherwise, when </w:t>
      </w:r>
      <w:r>
        <w:rPr>
          <w:rStyle w:val="Text0"/>
        </w:rPr>
        <w:t>'</w:t>
      </w:r>
      <w:r>
        <w:rPr>
          <w:rStyle w:val="Text3"/>
        </w:rPr>
        <w:t>name</w:t>
      </w:r>
      <w:r>
        <w:rPr>
          <w:rStyle w:val="Text0"/>
        </w:rPr>
        <w:t>'</w:t>
      </w:r>
      <w:r>
        <w:t xml:space="preserve"> is a key in </w:t>
      </w:r>
      <w:r>
        <w:rPr>
          <w:rStyle w:val="Text3"/>
        </w:rPr>
        <w:t>x</w:t>
      </w:r>
      <w:r>
        <w:rPr>
          <w:rStyle w:val="Text0"/>
        </w:rPr>
        <w:t>.__dict__</w:t>
      </w:r>
      <w:r>
        <w:t xml:space="preserve">, </w:t>
      </w:r>
      <w:r>
        <w:rPr>
          <w:rStyle w:val="Text3"/>
        </w:rPr>
        <w:t>x.name</w:t>
      </w:r>
      <w:r>
        <w:t xml:space="preserve"> fetches and returns the value at </w:t>
      </w:r>
      <w:r>
        <w:rPr>
          <w:rStyle w:val="Text3"/>
        </w:rPr>
        <w:t>x</w:t>
      </w:r>
      <w:r>
        <w:rPr>
          <w:rStyle w:val="Text0"/>
        </w:rPr>
        <w:t>.__dict__['</w:t>
      </w:r>
      <w:r>
        <w:rPr>
          <w:rStyle w:val="Text3"/>
        </w:rPr>
        <w:t>name</w:t>
      </w:r>
      <w:r>
        <w:rPr>
          <w:rStyle w:val="Text0"/>
        </w:rPr>
        <w:t>']</w:t>
      </w:r>
      <w:r>
        <w:t>.</w:t>
      </w:r>
    </w:p>
    <w:p>
      <w:pPr>
        <w:pStyle w:val="Para 010"/>
      </w:pPr>
      <w:r>
        <w:t xml:space="preserve">Otherwise, </w:t>
      </w:r>
      <w:r>
        <w:rPr>
          <w:rStyle w:val="Text3"/>
        </w:rPr>
        <w:t>x.name</w:t>
      </w:r>
      <w:r>
        <w:t xml:space="preserve"> delegates the lookup to </w:t>
      </w:r>
      <w:r>
        <w:rPr>
          <w:rStyle w:val="Text3"/>
        </w:rPr>
        <w:t>x</w:t>
      </w:r>
      <w:r>
        <w:t xml:space="preserve">’s class (according to the same two-step lookup process used for </w:t>
      </w:r>
      <w:r>
        <w:rPr>
          <w:rStyle w:val="Text3"/>
        </w:rPr>
        <w:t>C.name</w:t>
      </w:r>
      <w:r>
        <w:t>, as just detailed):</w:t>
      </w:r>
    </w:p>
    <w:p>
      <w:pPr>
        <w:numPr>
          <w:ilvl w:val="0"/>
          <w:numId w:val="3"/>
        </w:numPr>
        <w:pStyle w:val="Para 010"/>
      </w:pPr>
      <w:r>
        <w:t xml:space="preserve">When this finds a descriptor </w:t>
      </w:r>
      <w:r>
        <w:rPr>
          <w:rStyle w:val="Text3"/>
        </w:rPr>
        <w:t>v</w:t>
      </w:r>
      <w:r>
        <w:t xml:space="preserve">, the overall result of the attribute lookup is, again, </w:t>
      </w:r>
      <w:r>
        <w:rPr>
          <w:rStyle w:val="Text0"/>
        </w:rPr>
        <w:t>type(</w:t>
      </w:r>
      <w:r>
        <w:rPr>
          <w:rStyle w:val="Text3"/>
        </w:rPr>
        <w:t>v</w:t>
      </w:r>
      <w:r>
        <w:rPr>
          <w:rStyle w:val="Text0"/>
        </w:rPr>
        <w:t>).__get__(</w:t>
      </w:r>
      <w:r>
        <w:rPr>
          <w:rStyle w:val="Text3"/>
        </w:rPr>
        <w:t>v, x, C</w:t>
      </w:r>
      <w:r>
        <w:rPr>
          <w:rStyle w:val="Text0"/>
        </w:rPr>
        <w:t>)</w:t>
      </w:r>
      <w:r>
        <w:t>.</w:t>
      </w:r>
    </w:p>
    <w:p>
      <w:pPr>
        <w:numPr>
          <w:ilvl w:val="0"/>
          <w:numId w:val="3"/>
        </w:numPr>
        <w:pStyle w:val="Para 010"/>
      </w:pPr>
      <w:r>
        <w:t xml:space="preserve">When this finds a nondescriptor value </w:t>
      </w:r>
      <w:r>
        <w:rPr>
          <w:rStyle w:val="Text3"/>
        </w:rPr>
        <w:t>v</w:t>
      </w:r>
      <w:r>
        <w:t xml:space="preserve">, the overall result of the attribute lookup is just </w:t>
      </w:r>
      <w:r>
        <w:rPr>
          <w:rStyle w:val="Text3"/>
        </w:rPr>
        <w:t>v</w:t>
      </w:r>
      <w:r>
        <w:t>.</w:t>
      </w:r>
    </w:p>
    <w:p>
      <w:pPr>
        <w:pStyle w:val="Normal"/>
      </w:pPr>
      <w:r>
        <w:t xml:space="preserve">When these lookup steps do not find an attribute, Python raises an </w:t>
      </w:r>
      <w:r>
        <w:rPr>
          <w:rStyle w:val="Text0"/>
        </w:rPr>
        <w:t>AttributeError</w:t>
      </w:r>
      <w:r>
        <w:t xml:space="preserve"> exception. However, for lookups of </w:t>
      </w:r>
      <w:r>
        <w:rPr>
          <w:rStyle w:val="Text3"/>
        </w:rPr>
        <w:t>x.name</w:t>
      </w:r>
      <w:r>
        <w:t xml:space="preserve">, when </w:t>
      </w:r>
      <w:r>
        <w:rPr>
          <w:rStyle w:val="Text3"/>
        </w:rPr>
        <w:t>C</w:t>
      </w:r>
      <w:r>
        <w:t xml:space="preserve"> defines or inherits the special method </w:t>
      </w:r>
      <w:r>
        <w:rPr>
          <w:rStyle w:val="Text0"/>
        </w:rPr>
        <w:t>__getattr__</w:t>
      </w:r>
      <w:r>
        <w:t xml:space="preserve">, Python calls </w:t>
      </w:r>
      <w:r>
        <w:rPr>
          <w:rStyle w:val="Text3"/>
        </w:rPr>
        <w:t>C</w:t>
      </w:r>
      <w:r>
        <w:rPr>
          <w:rStyle w:val="Text0"/>
        </w:rPr>
        <w:t>.__getattr__(</w:t>
      </w:r>
      <w:r>
        <w:rPr>
          <w:rStyle w:val="Text3"/>
        </w:rPr>
        <w:t>x,</w:t>
      </w:r>
      <w:r>
        <w:t xml:space="preserve"> </w:t>
      </w:r>
      <w:r>
        <w:rPr>
          <w:rStyle w:val="Text0"/>
        </w:rPr>
        <w:t>'</w:t>
      </w:r>
      <w:r>
        <w:rPr>
          <w:rStyle w:val="Text3"/>
        </w:rPr>
        <w:t>name</w:t>
      </w:r>
      <w:r>
        <w:rPr>
          <w:rStyle w:val="Text0"/>
        </w:rPr>
        <w:t>')</w:t>
      </w:r>
      <w:r>
        <w:t xml:space="preserve"> rather than raising the exception. It’s then up to </w:t>
      </w:r>
      <w:r>
        <w:rPr>
          <w:rStyle w:val="Text0"/>
        </w:rPr>
        <w:t>__getattr__</w:t>
      </w:r>
      <w:r>
        <w:t xml:space="preserve"> to return a suitable value or raise the appropriate exception, normally </w:t>
      </w:r>
      <w:r>
        <w:rPr>
          <w:rStyle w:val="Text0"/>
        </w:rPr>
        <w:t>AttributeError</w:t>
      </w:r>
      <w:r>
        <w:t>.</w:t>
      </w:r>
    </w:p>
    <w:p>
      <w:pPr>
        <w:pStyle w:val="Normal"/>
      </w:pPr>
      <w:r>
        <w:t>Consider the following attribute references, defined previously:</w:t>
      </w:r>
    </w:p>
    <w:p>
      <w:pPr>
        <w:pStyle w:val="Para 014"/>
      </w:pPr>
      <w:r>
        <w:rPr>
          <w:rStyle w:val="Text116"/>
        </w:rPr>
        <w:t xml:space="preserve"/>
        <w:br w:clear="none"/>
      </w:r>
      <w:r>
        <w:rPr>
          <w:rStyle w:val="Text21"/>
        </w:rPr>
        <w:t xml:space="preserve">print</w:t>
        <w:br w:clear="none"/>
      </w:r>
      <w:r>
        <w:rPr>
          <w:rStyle w:val="Text19"/>
        </w:rPr>
        <w:t xml:space="preserve">(</w:t>
        <w:br w:clear="none"/>
      </w:r>
      <w:r>
        <w:rPr>
          <w:rStyle w:val="Text14"/>
        </w:rPr>
        <w:t xml:space="preserve">x</w:t>
        <w:br w:clear="none"/>
      </w:r>
      <w:r>
        <w:rPr>
          <w:rStyle w:val="Text28"/>
        </w:rPr>
        <w:t xml:space="preserve">.</w:t>
        <w:br w:clear="none"/>
      </w:r>
      <w:r>
        <w:rPr>
          <w:rStyle w:val="Text14"/>
        </w:rPr>
        <w:t xml:space="preserve">e</w:t>
        <w:br w:clear="none"/>
      </w:r>
      <w:r>
        <w:rPr>
          <w:rStyle w:val="Text19"/>
        </w:rPr>
        <w:t xml:space="preserve">,</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d</w:t>
        <w:br w:clear="none"/>
      </w:r>
      <w:r>
        <w:rPr>
          <w:rStyle w:val="Text19"/>
        </w:rPr>
        <w:t xml:space="preserve">,</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c</w:t>
        <w:br w:clear="none"/>
      </w:r>
      <w:r>
        <w:rPr>
          <w:rStyle w:val="Text19"/>
        </w:rPr>
        <w:t xml:space="preserve">,</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b</w:t>
        <w:br w:clear="none"/>
      </w:r>
      <w:r>
        <w:rPr>
          <w:rStyle w:val="Text19"/>
        </w:rPr>
        <w:t xml:space="preserve">,</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a</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88 77 89 67 23</w:t>
        <w:br w:clear="none"/>
      </w:r>
    </w:p>
    <w:p>
      <w:pPr>
        <w:pStyle w:val="Normal"/>
      </w:pPr>
      <w:r>
        <w:rPr>
          <w:rStyle w:val="Text0"/>
        </w:rPr>
        <w:t>x.e</w:t>
      </w:r>
      <w:r>
        <w:t xml:space="preserve"> and </w:t>
      </w:r>
      <w:r>
        <w:rPr>
          <w:rStyle w:val="Text0"/>
        </w:rPr>
        <w:t>x.d</w:t>
      </w:r>
      <w:r>
        <w:t xml:space="preserve"> succeed in step 2 of the instance lookup process, since no descriptors are involved and </w:t>
      </w:r>
      <w:r>
        <w:rPr>
          <w:rStyle w:val="Text0"/>
        </w:rPr>
        <w:t>'e'</w:t>
      </w:r>
      <w:r>
        <w:t xml:space="preserve"> and </w:t>
      </w:r>
      <w:r>
        <w:rPr>
          <w:rStyle w:val="Text0"/>
        </w:rPr>
        <w:t>'d'</w:t>
      </w:r>
      <w:r>
        <w:t xml:space="preserve"> are both keys in </w:t>
      </w:r>
      <w:r>
        <w:rPr>
          <w:rStyle w:val="Text0"/>
        </w:rPr>
        <w:t>x.__dict__</w:t>
      </w:r>
      <w:r>
        <w:t xml:space="preserve">. Therefore, the lookups go no further but rather return </w:t>
      </w:r>
      <w:r>
        <w:rPr>
          <w:rStyle w:val="Text0"/>
        </w:rPr>
        <w:t>88</w:t>
      </w:r>
      <w:r>
        <w:t xml:space="preserve"> and </w:t>
      </w:r>
      <w:r>
        <w:rPr>
          <w:rStyle w:val="Text0"/>
        </w:rPr>
        <w:t>77</w:t>
      </w:r>
      <w:r>
        <w:t xml:space="preserve">. The other three references must proceed to step 3 of the instance lookup process and look in </w:t>
      </w:r>
      <w:r>
        <w:rPr>
          <w:rStyle w:val="Text0"/>
        </w:rPr>
        <w:t>x.__class__</w:t>
      </w:r>
      <w:r>
        <w:t xml:space="preserve"> (i.e., </w:t>
      </w:r>
      <w:r>
        <w:rPr>
          <w:rStyle w:val="Text0"/>
        </w:rPr>
        <w:t>C</w:t>
      </w:r>
      <w:r>
        <w:t xml:space="preserve">). </w:t>
      </w:r>
      <w:r>
        <w:rPr>
          <w:rStyle w:val="Text0"/>
        </w:rPr>
        <w:t>x.c</w:t>
      </w:r>
      <w:r>
        <w:t xml:space="preserve"> and </w:t>
      </w:r>
      <w:r>
        <w:rPr>
          <w:rStyle w:val="Text0"/>
        </w:rPr>
        <w:t>x.b</w:t>
      </w:r>
      <w:r>
        <w:t xml:space="preserve"> succeed in step 1 of the class lookup process, since </w:t>
      </w:r>
      <w:r>
        <w:rPr>
          <w:rStyle w:val="Text0"/>
        </w:rPr>
        <w:t>'c'</w:t>
      </w:r>
      <w:r>
        <w:t xml:space="preserve"> and </w:t>
      </w:r>
      <w:r>
        <w:rPr>
          <w:rStyle w:val="Text0"/>
        </w:rPr>
        <w:t>'b'</w:t>
      </w:r>
      <w:r>
        <w:t xml:space="preserve"> are both keys in </w:t>
      </w:r>
      <w:r>
        <w:rPr>
          <w:rStyle w:val="Text0"/>
        </w:rPr>
        <w:t>C.__dict__</w:t>
      </w:r>
      <w:r>
        <w:t xml:space="preserve">. Therefore, the lookups go no further but rather return </w:t>
      </w:r>
      <w:r>
        <w:rPr>
          <w:rStyle w:val="Text0"/>
        </w:rPr>
        <w:t>89</w:t>
      </w:r>
      <w:r>
        <w:t xml:space="preserve"> and </w:t>
      </w:r>
      <w:r>
        <w:rPr>
          <w:rStyle w:val="Text0"/>
        </w:rPr>
        <w:t>67</w:t>
      </w:r>
      <w:r>
        <w:t xml:space="preserve">. </w:t>
      </w:r>
      <w:r>
        <w:rPr>
          <w:rStyle w:val="Text0"/>
        </w:rPr>
        <w:t>x.a</w:t>
      </w:r>
      <w:r>
        <w:t xml:space="preserve"> gets all the way to step 2 of the class lookup process, looking in </w:t>
      </w:r>
      <w:r>
        <w:rPr>
          <w:rStyle w:val="Text0"/>
        </w:rPr>
        <w:t>C</w:t>
      </w:r>
      <w:r>
        <w:rPr>
          <w:rStyle w:val="Text3"/>
        </w:rPr>
        <w:t>.</w:t>
      </w:r>
      <w:r>
        <w:rPr>
          <w:rStyle w:val="Text0"/>
        </w:rPr>
        <w:t>__bases__[0]</w:t>
      </w:r>
      <w:r>
        <w:t xml:space="preserve"> (i.e., </w:t>
      </w:r>
      <w:r>
        <w:rPr>
          <w:rStyle w:val="Text0"/>
        </w:rPr>
        <w:t>B</w:t>
      </w:r>
      <w:r>
        <w:t xml:space="preserve">). </w:t>
      </w:r>
      <w:r>
        <w:rPr>
          <w:rStyle w:val="Text0"/>
        </w:rPr>
        <w:t>'a'</w:t>
      </w:r>
      <w:r>
        <w:t xml:space="preserve"> is a key in </w:t>
      </w:r>
      <w:r>
        <w:rPr>
          <w:rStyle w:val="Text0"/>
        </w:rPr>
        <w:t>B</w:t>
      </w:r>
      <w:r>
        <w:rPr>
          <w:rStyle w:val="Text3"/>
        </w:rPr>
        <w:t>.</w:t>
      </w:r>
      <w:r>
        <w:rPr>
          <w:rStyle w:val="Text0"/>
        </w:rPr>
        <w:t>__dict__</w:t>
      </w:r>
      <w:r>
        <w:t xml:space="preserve">; therefore, </w:t>
      </w:r>
      <w:r>
        <w:rPr>
          <w:rStyle w:val="Text0"/>
        </w:rPr>
        <w:t>x.a</w:t>
      </w:r>
      <w:r>
        <w:t xml:space="preserve"> finally succeeds and returns </w:t>
      </w:r>
      <w:r>
        <w:rPr>
          <w:rStyle w:val="Text0"/>
        </w:rPr>
        <w:t>23</w:t>
      </w:r>
      <w:r>
        <w:t>.</w:t>
      </w:r>
    </w:p>
    <w:p>
      <w:bookmarkStart w:id="1332" w:name="Setting_an_attribute__Note_that"/>
      <w:pPr>
        <w:keepNext/>
        <w:pStyle w:val="Heading 2"/>
      </w:pPr>
      <w:r>
        <w:t>Setting an attribute</w:t>
      </w:r>
      <w:bookmarkEnd w:id="1332"/>
    </w:p>
    <w:p>
      <w:pPr>
        <w:pStyle w:val="Normal"/>
      </w:pPr>
      <w:r>
        <w:t xml:space="preserve">Note that the attribute lookup steps happen as just described only when you </w:t>
      </w:r>
      <w:r>
        <w:rPr>
          <w:rStyle w:val="Text4"/>
        </w:rPr>
        <w:t>refer</w:t>
      </w:r>
      <w:r>
        <w:t xml:space="preserve"> to an attribute, not when you </w:t>
      </w:r>
      <w:r>
        <w:rPr>
          <w:rStyle w:val="Text4"/>
        </w:rPr>
        <w:t>bind</w:t>
      </w:r>
      <w:r>
        <w:t xml:space="preserve"> an attribute. When you bind to a class or instance attribute whose name is not special (unless a </w:t>
      </w:r>
      <w:r>
        <w:rPr>
          <w:rStyle w:val="Text0"/>
        </w:rPr>
        <w:t>__setattr__</w:t>
      </w:r>
      <w:r>
        <w:t xml:space="preserve"> method, or the </w:t>
      </w:r>
      <w:r>
        <w:rPr>
          <w:rStyle w:val="Text0"/>
        </w:rPr>
        <w:t>__set__</w:t>
      </w:r>
      <w:r>
        <w:t xml:space="preserve"> method of an overriding descriptor, intercepts the binding of an instance attribute), you affect only the </w:t>
      </w:r>
      <w:r>
        <w:rPr>
          <w:rStyle w:val="Text0"/>
        </w:rPr>
        <w:t>__dict__</w:t>
      </w:r>
      <w:r>
        <w:t xml:space="preserve"> entry for the attribute (in the class or instance, respectively). In other words, for attribute binding, there is no lookup procedure involved, except for the check for overriding descriptors.</w:t>
      </w:r>
      <w:r>
        <w:rPr>
          <w:rStyle w:val="Text111"/>
        </w:rPr>
        <w:bookmarkStart w:id="1333" w:name="idm45965266432928"/>
        <w:t/>
        <w:bookmarkEnd w:id="1333"/>
      </w:r>
    </w:p>
    <w:p>
      <w:bookmarkStart w:id="1334" w:name="Bound_and_Unbound_Methods__The_m"/>
      <w:pPr>
        <w:keepNext/>
        <w:pStyle w:val="Heading 2"/>
      </w:pPr>
      <w:r>
        <w:t>Bound and Unbound Methods</w:t>
      </w:r>
      <w:bookmarkEnd w:id="1334"/>
    </w:p>
    <w:p>
      <w:pPr>
        <w:pStyle w:val="Normal"/>
      </w:pPr>
      <w:r>
        <w:t>The</w:t>
      </w:r>
      <w:r>
        <w:rPr>
          <w:rStyle w:val="Text111"/>
        </w:rPr>
        <w:bookmarkStart w:id="1335" w:name="idm45965266429376"/>
        <w:t/>
        <w:bookmarkEnd w:id="1335"/>
        <w:bookmarkStart w:id="1336" w:name="bmeth04"/>
        <w:t/>
        <w:bookmarkEnd w:id="1336"/>
        <w:bookmarkStart w:id="1337" w:name="ubmeth04"/>
        <w:t/>
        <w:bookmarkEnd w:id="1337"/>
        <w:bookmarkStart w:id="1338" w:name="Mbandumeth04"/>
        <w:t/>
        <w:bookmarkEnd w:id="1338"/>
      </w:r>
      <w:r>
        <w:t xml:space="preserve"> method </w:t>
      </w:r>
      <w:r>
        <w:rPr>
          <w:rStyle w:val="Text0"/>
        </w:rPr>
        <w:t>__get__</w:t>
      </w:r>
      <w:r>
        <w:t xml:space="preserve"> of a function object can return the function object itself, or a </w:t>
      </w:r>
      <w:r>
        <w:rPr>
          <w:rStyle w:val="Text4"/>
        </w:rPr>
        <w:t>bound method object</w:t>
      </w:r>
      <w:r>
        <w:t xml:space="preserve"> that wraps the function; a bound method is associated with the specific instance it’s obtained from.</w:t>
      </w:r>
    </w:p>
    <w:p>
      <w:pPr>
        <w:pStyle w:val="Normal"/>
      </w:pPr>
      <w:r>
        <w:t xml:space="preserve">In the code in the previous section, the attributes </w:t>
      </w:r>
      <w:r>
        <w:rPr>
          <w:rStyle w:val="Text0"/>
        </w:rPr>
        <w:t>f</w:t>
      </w:r>
      <w:r>
        <w:t xml:space="preserve">, </w:t>
      </w:r>
      <w:r>
        <w:rPr>
          <w:rStyle w:val="Text0"/>
        </w:rPr>
        <w:t>g</w:t>
      </w:r>
      <w:r>
        <w:t xml:space="preserve">, and </w:t>
      </w:r>
      <w:r>
        <w:rPr>
          <w:rStyle w:val="Text0"/>
        </w:rPr>
        <w:t>h</w:t>
      </w:r>
      <w:r>
        <w:t xml:space="preserve"> are functions; therefore, an attribute reference to any one of them returns a method object that wraps the respective function. Consider the following:</w:t>
      </w:r>
    </w:p>
    <w:p>
      <w:pPr>
        <w:pStyle w:val="Para 007"/>
      </w:pPr>
      <w:r>
        <w:rPr>
          <w:rStyle w:val="Text23"/>
        </w:rPr>
        <w:t xml:space="preserve"/>
        <w:br w:clear="none"/>
      </w:r>
      <w:r>
        <w:rPr>
          <w:rStyle w:val="Text16"/>
        </w:rPr>
        <w:t xml:space="preserve">print</w:t>
        <w:br w:clear="none"/>
      </w:r>
      <w:r>
        <w:rPr>
          <w:rStyle w:val="Text7"/>
        </w:rPr>
        <w:t xml:space="preserve">(</w:t>
        <w:br w:clear="none"/>
      </w:r>
      <w:r>
        <w:t xml:space="preserve">x</w:t>
        <w:br w:clear="none"/>
      </w:r>
      <w:r>
        <w:rPr>
          <w:rStyle w:val="Text13"/>
        </w:rPr>
        <w:t xml:space="preserve">.</w:t>
        <w:br w:clear="none"/>
      </w:r>
      <w:r>
        <w:t xml:space="preserve">h</w:t>
        <w:br w:clear="none"/>
      </w:r>
      <w:r>
        <w:rPr>
          <w:rStyle w:val="Text7"/>
        </w:rPr>
        <w:t xml:space="preserve">,</w:t>
        <w:br w:clear="none"/>
      </w:r>
      <w:r>
        <w:rPr>
          <w:rStyle w:val="Text23"/>
        </w:rPr>
        <w:t xml:space="preserve"> </w:t>
        <w:br w:clear="none"/>
      </w:r>
      <w:r>
        <w:t xml:space="preserve">x</w:t>
        <w:br w:clear="none"/>
      </w:r>
      <w:r>
        <w:rPr>
          <w:rStyle w:val="Text13"/>
        </w:rPr>
        <w:t xml:space="preserve">.</w:t>
        <w:br w:clear="none"/>
      </w:r>
      <w:r>
        <w:t xml:space="preserve">g</w:t>
        <w:br w:clear="none"/>
      </w:r>
      <w:r>
        <w:rPr>
          <w:rStyle w:val="Text7"/>
        </w:rPr>
        <w:t xml:space="preserve">,</w:t>
        <w:br w:clear="none"/>
      </w:r>
      <w:r>
        <w:rPr>
          <w:rStyle w:val="Text23"/>
        </w:rPr>
        <w:t xml:space="preserve"> </w:t>
        <w:br w:clear="none"/>
      </w:r>
      <w:r>
        <w:t xml:space="preserve">x</w:t>
        <w:br w:clear="none"/>
      </w:r>
      <w:r>
        <w:rPr>
          <w:rStyle w:val="Text13"/>
        </w:rPr>
        <w:t xml:space="preserve">.</w:t>
        <w:br w:clear="none"/>
      </w:r>
      <w:r>
        <w:t xml:space="preserve">f</w:t>
        <w:br w:clear="none"/>
      </w:r>
      <w:r>
        <w:rPr>
          <w:rStyle w:val="Text7"/>
        </w:rPr>
        <w:t xml:space="preserve">,</w:t>
        <w:br w:clear="none"/>
      </w:r>
      <w:r>
        <w:rPr>
          <w:rStyle w:val="Text23"/>
        </w:rPr>
        <w:t xml:space="preserve"> </w:t>
        <w:br w:clear="none"/>
      </w:r>
      <w:r>
        <w:t xml:space="preserve">C</w:t>
        <w:br w:clear="none"/>
      </w:r>
      <w:r>
        <w:rPr>
          <w:rStyle w:val="Text13"/>
        </w:rPr>
        <w:t xml:space="preserve">.</w:t>
        <w:br w:clear="none"/>
      </w:r>
      <w:r>
        <w:t xml:space="preserve">h</w:t>
        <w:br w:clear="none"/>
      </w:r>
      <w:r>
        <w:rPr>
          <w:rStyle w:val="Text7"/>
        </w:rPr>
        <w:t xml:space="preserve">,</w:t>
        <w:br w:clear="none"/>
      </w:r>
      <w:r>
        <w:rPr>
          <w:rStyle w:val="Text23"/>
        </w:rPr>
        <w:t xml:space="preserve"> </w:t>
        <w:br w:clear="none"/>
      </w:r>
      <w:r>
        <w:t xml:space="preserve">C</w:t>
        <w:br w:clear="none"/>
      </w:r>
      <w:r>
        <w:rPr>
          <w:rStyle w:val="Text13"/>
        </w:rPr>
        <w:t xml:space="preserve">.</w:t>
        <w:br w:clear="none"/>
      </w:r>
      <w:r>
        <w:t xml:space="preserve">g</w:t>
        <w:br w:clear="none"/>
      </w:r>
      <w:r>
        <w:rPr>
          <w:rStyle w:val="Text7"/>
        </w:rPr>
        <w:t xml:space="preserve">,</w:t>
        <w:br w:clear="none"/>
      </w:r>
      <w:r>
        <w:rPr>
          <w:rStyle w:val="Text23"/>
        </w:rPr>
        <w:t xml:space="preserve"> </w:t>
        <w:br w:clear="none"/>
      </w:r>
      <w:r>
        <w:t xml:space="preserve">C</w:t>
        <w:br w:clear="none"/>
      </w:r>
      <w:r>
        <w:rPr>
          <w:rStyle w:val="Text13"/>
        </w:rPr>
        <w:t xml:space="preserve">.</w:t>
        <w:br w:clear="none"/>
      </w:r>
      <w:r>
        <w:t xml:space="preserve">f</w:t>
        <w:br w:clear="none"/>
      </w:r>
      <w:r>
        <w:rPr>
          <w:rStyle w:val="Text7"/>
        </w:rPr>
        <w:t xml:space="preserve">)</w:t>
        <w:br w:clear="none"/>
      </w:r>
    </w:p>
    <w:p>
      <w:pPr>
        <w:pStyle w:val="Normal"/>
      </w:pPr>
      <w:r>
        <w:t>This statement outputs three bound methods, represented by strings like:</w:t>
      </w:r>
    </w:p>
    <w:p>
      <w:pPr>
        <w:pStyle w:val="Para 008"/>
      </w:pPr>
      <w:r>
        <w:rPr>
          <w:rStyle w:val="Text48"/>
        </w:rPr>
        <w:t xml:space="preserve"/>
        <w:br w:clear="none"/>
      </w:r>
      <w:r>
        <w:t xml:space="preserve">&lt;bound method C.h of &lt;__main__.C object at 0x8156d5c&gt;&gt;</w:t>
        <w:br w:clear="none"/>
      </w:r>
    </w:p>
    <w:p>
      <w:pPr>
        <w:pStyle w:val="Normal"/>
      </w:pPr>
      <w:r>
        <w:t>and then three function objects, represented by strings like:</w:t>
      </w:r>
    </w:p>
    <w:p>
      <w:pPr>
        <w:pStyle w:val="Para 008"/>
      </w:pPr>
      <w:r>
        <w:rPr>
          <w:rStyle w:val="Text48"/>
        </w:rPr>
        <w:t xml:space="preserve"/>
        <w:br w:clear="none"/>
      </w:r>
      <w:r>
        <w:t xml:space="preserve">&lt;function C.h at 0x102cabae8&gt;</w:t>
        <w:br w:clear="none"/>
      </w:r>
    </w:p>
    <w:p>
      <w:pPr>
        <w:keepNext/>
        <w:pStyle w:val="Heading 5"/>
        <w:keepLines w:val="on"/>
      </w:pPr>
      <w:r>
        <w:t>Bound Methods Versus Function Objects</w:t>
      </w:r>
    </w:p>
    <w:p>
      <w:pPr>
        <w:pStyle w:val="Para 012"/>
        <w:keepLines w:val="on"/>
      </w:pPr>
      <w:r>
        <w:t xml:space="preserve">We get bound methods when the attribute reference is on instance </w:t>
      </w:r>
      <w:r>
        <w:rPr>
          <w:rStyle w:val="Text3"/>
        </w:rPr>
        <w:t>x</w:t>
      </w:r>
      <w:r>
        <w:t xml:space="preserve">, and function objects when the attribute reference is on class </w:t>
      </w:r>
      <w:r>
        <w:rPr>
          <w:rStyle w:val="Text3"/>
        </w:rPr>
        <w:t>C</w:t>
      </w:r>
      <w:r>
        <w:t>.</w:t>
      </w:r>
    </w:p>
    <w:p>
      <w:pPr>
        <w:pStyle w:val="Normal"/>
      </w:pPr>
      <w:r>
        <w:t>Because a bound method is already associated with a specific instance, you can call the method as follows:</w:t>
      </w:r>
    </w:p>
    <w:p>
      <w:pPr>
        <w:pStyle w:val="Para 014"/>
      </w:pPr>
      <w:r>
        <w:rPr>
          <w:rStyle w:val="Text116"/>
        </w:rPr>
        <w:t xml:space="preserve"/>
        <w:br w:clear="none"/>
      </w:r>
      <w:r>
        <w:rPr>
          <w:rStyle w:val="Text14"/>
        </w:rPr>
        <w:t xml:space="preserve">x</w:t>
        <w:br w:clear="none"/>
      </w:r>
      <w:r>
        <w:rPr>
          <w:rStyle w:val="Text28"/>
        </w:rPr>
        <w:t xml:space="preserve">.</w:t>
        <w:br w:clear="none"/>
      </w:r>
      <w:r>
        <w:rPr>
          <w:rStyle w:val="Text14"/>
        </w:rPr>
        <w:t xml:space="preserve">h</w:t>
        <w:br w:clear="none"/>
      </w:r>
      <w:r>
        <w:rPr>
          <w:rStyle w:val="Text19"/>
        </w:rPr>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method h in class C</w:t>
        <w:br w:clear="none"/>
      </w:r>
    </w:p>
    <w:p>
      <w:pPr>
        <w:pStyle w:val="Normal"/>
      </w:pPr>
      <w:r>
        <w:t xml:space="preserve">The key thing to notice here is that you don’t pass the method’s first argument, </w:t>
      </w:r>
      <w:r>
        <w:rPr>
          <w:rStyle w:val="Text0"/>
        </w:rPr>
        <w:t>self</w:t>
      </w:r>
      <w:r>
        <w:t xml:space="preserve">, by the usual argument-passing syntax. Rather, a bound method of instance </w:t>
      </w:r>
      <w:r>
        <w:rPr>
          <w:rStyle w:val="Text3"/>
        </w:rPr>
        <w:t>x</w:t>
      </w:r>
      <w:r>
        <w:t xml:space="preserve"> implicitly binds the</w:t>
      </w:r>
      <w:r>
        <w:rPr>
          <w:rStyle w:val="Text111"/>
        </w:rPr>
        <w:bookmarkStart w:id="1339" w:name="idm45965266354496"/>
        <w:t/>
        <w:bookmarkEnd w:id="1339"/>
      </w:r>
      <w:r>
        <w:t xml:space="preserve"> </w:t>
      </w:r>
      <w:r>
        <w:rPr>
          <w:rStyle w:val="Text0"/>
        </w:rPr>
        <w:t>self</w:t>
      </w:r>
      <w:r>
        <w:t xml:space="preserve"> parameter to object </w:t>
      </w:r>
      <w:r>
        <w:rPr>
          <w:rStyle w:val="Text3"/>
        </w:rPr>
        <w:t>x</w:t>
      </w:r>
      <w:r>
        <w:t xml:space="preserve">. Thus, the method’s body can access the instance’s attributes as attributes of </w:t>
      </w:r>
      <w:r>
        <w:rPr>
          <w:rStyle w:val="Text0"/>
        </w:rPr>
        <w:t>self</w:t>
      </w:r>
      <w:r>
        <w:t>, even though we don’t pass an explicit argument to the method.</w:t>
      </w:r>
    </w:p>
    <w:p>
      <w:pPr>
        <w:pStyle w:val="Normal"/>
      </w:pPr>
      <w:r>
        <w:t xml:space="preserve">Let’s take a closer look at bound methods. When an attribute reference on an instance, in the course of the lookup, finds a function object that’s an attribute in the instance’s class, the lookup calls the function’s </w:t>
      </w:r>
      <w:r>
        <w:rPr>
          <w:rStyle w:val="Text0"/>
        </w:rPr>
        <w:t>__get__</w:t>
      </w:r>
      <w:r>
        <w:t xml:space="preserve"> method to get the attribute’s value. The call, in this case, creates and returns a </w:t>
      </w:r>
      <w:r>
        <w:rPr>
          <w:rStyle w:val="Text4"/>
        </w:rPr>
        <w:t>bound method</w:t>
      </w:r>
      <w:r>
        <w:t xml:space="preserve"> that wraps the function.</w:t>
      </w:r>
    </w:p>
    <w:p>
      <w:pPr>
        <w:pStyle w:val="Normal"/>
      </w:pPr>
      <w:r>
        <w:t xml:space="preserve">Note that when the attribute reference’s lookup finds a function object directly in </w:t>
      </w:r>
      <w:r>
        <w:rPr>
          <w:rStyle w:val="Text3"/>
        </w:rPr>
        <w:t>x</w:t>
      </w:r>
      <w:r>
        <w:rPr>
          <w:rStyle w:val="Text0"/>
        </w:rPr>
        <w:t>.__dict__</w:t>
      </w:r>
      <w:r>
        <w:t xml:space="preserve">, the attribute reference operation does </w:t>
      </w:r>
      <w:r>
        <w:rPr>
          <w:rStyle w:val="Text4"/>
        </w:rPr>
        <w:t>not</w:t>
      </w:r>
      <w:r>
        <w:t xml:space="preserve"> create a bound method. In such cases, Python does not treat the function as a descriptor and does not call the function’s </w:t>
      </w:r>
      <w:r>
        <w:rPr>
          <w:rStyle w:val="Text0"/>
        </w:rPr>
        <w:t>__get__</w:t>
      </w:r>
      <w:r>
        <w:t xml:space="preserve"> method; rather, the function object itself is the attribute’s value. Similarly, Python creates no bound methods for callables that are not ordinary functions, such as built-in (as opposed to Python-coded) functions, since such callables are not descriptors.</w:t>
      </w:r>
    </w:p>
    <w:p>
      <w:pPr>
        <w:pStyle w:val="Normal"/>
      </w:pPr>
      <w:r>
        <w:t xml:space="preserve">A bound method has three read-only attributes in addition to those of the function object it wraps: </w:t>
      </w:r>
      <w:r>
        <w:rPr>
          <w:rStyle w:val="Text0"/>
        </w:rPr>
        <w:t>im_class</w:t>
      </w:r>
      <w:r>
        <w:t xml:space="preserve"> is the class object that supplies the method, </w:t>
      </w:r>
      <w:r>
        <w:rPr>
          <w:rStyle w:val="Text0"/>
        </w:rPr>
        <w:t>im_func</w:t>
      </w:r>
      <w:r>
        <w:t xml:space="preserve"> is the wrapped function, and </w:t>
      </w:r>
      <w:r>
        <w:rPr>
          <w:rStyle w:val="Text0"/>
        </w:rPr>
        <w:t>im_self</w:t>
      </w:r>
      <w:r>
        <w:t xml:space="preserve"> refers to </w:t>
      </w:r>
      <w:r>
        <w:rPr>
          <w:rStyle w:val="Text3"/>
        </w:rPr>
        <w:t>x</w:t>
      </w:r>
      <w:r>
        <w:t>, the instance from which you got the method.</w:t>
      </w:r>
    </w:p>
    <w:p>
      <w:pPr>
        <w:pStyle w:val="Normal"/>
      </w:pPr>
      <w:r>
        <w:t xml:space="preserve">You use a bound method just like its </w:t>
      </w:r>
      <w:r>
        <w:rPr>
          <w:rStyle w:val="Text0"/>
        </w:rPr>
        <w:t>im_func</w:t>
      </w:r>
      <w:r>
        <w:t xml:space="preserve"> function, but calls to a bound method do not explicitly supply an argument corresponding to the first parameter (conventionally named </w:t>
      </w:r>
      <w:r>
        <w:rPr>
          <w:rStyle w:val="Text0"/>
        </w:rPr>
        <w:t>self</w:t>
      </w:r>
      <w:r>
        <w:t xml:space="preserve">). When you call a bound method, the bound method passes </w:t>
      </w:r>
      <w:r>
        <w:rPr>
          <w:rStyle w:val="Text0"/>
        </w:rPr>
        <w:t>im_self</w:t>
      </w:r>
      <w:r>
        <w:t xml:space="preserve"> as the first argument to </w:t>
      </w:r>
      <w:r>
        <w:rPr>
          <w:rStyle w:val="Text0"/>
        </w:rPr>
        <w:t>im_func</w:t>
      </w:r>
      <w:r>
        <w:t xml:space="preserve"> before other arguments (if any) given at the point of call.</w:t>
      </w:r>
    </w:p>
    <w:p>
      <w:pPr>
        <w:pStyle w:val="Normal"/>
      </w:pPr>
      <w:r>
        <w:t xml:space="preserve">Let’s follow, in excruciatingly low-level detail, the conceptual steps involved in a method call with the normal syntax </w:t>
      </w:r>
      <w:r>
        <w:rPr>
          <w:rStyle w:val="Text3"/>
        </w:rPr>
        <w:t>x.name</w:t>
      </w:r>
      <w:r>
        <w:rPr>
          <w:rStyle w:val="Text0"/>
        </w:rPr>
        <w:t>(</w:t>
      </w:r>
      <w:r>
        <w:rPr>
          <w:rStyle w:val="Text3"/>
        </w:rPr>
        <w:t>arg</w:t>
      </w:r>
      <w:r>
        <w:rPr>
          <w:rStyle w:val="Text0"/>
        </w:rPr>
        <w:t>)</w:t>
      </w:r>
      <w:r>
        <w:t>. In the following context:</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14"/>
        </w:rPr>
        <w:t xml:space="preserve">b</w:t>
        <w:br w:clear="none"/>
      </w:r>
      <w:r>
        <w:rPr>
          <w:rStyle w:val="Text19"/>
        </w:rPr>
        <w:t xml:space="preserve">)</w:t>
        <w:br w:clear="none"/>
        <w:t xml:space="preserve">:</w:t>
        <w:br w:clear="none"/>
      </w:r>
      <w:r>
        <w:rPr>
          <w:rStyle w:val="Text11"/>
        </w:rPr>
        <w:t xml:space="preserve"> </w:t>
        <w:br w:clear="none"/>
      </w:r>
      <w:r>
        <w:rPr>
          <w:rStyle w:val="Text28"/>
        </w:rPr>
        <w:t xml:space="preserve">.</w:t>
        <w:br w:clear="none"/>
        <w:t xml:space="preserve">.</w:t>
        <w:br w:clear="none"/>
        <w:t xml:space="preserve">.</w:t>
        <w:br w:clear="none"/>
      </w:r>
      <w:r>
        <w:rPr>
          <w:rStyle w:val="Text11"/>
        </w:rPr>
        <w:t xml:space="preserve">              </w:t>
        <w:br w:clear="none"/>
      </w:r>
      <w:r>
        <w:t xml:space="preserve"># a function f with two arguments</w:t>
        <w:br w:clear="none"/>
      </w:r>
      <w:r>
        <w:rPr>
          <w:rStyle w:val="Text11"/>
        </w:rPr>
        <w:t xml:space="preserve"/>
        <w:br w:clear="none"/>
        <w:t xml:space="preserve"/>
        <w:br w:clear="none"/>
      </w:r>
      <w:r>
        <w:rPr>
          <w:rStyle w:val="Text22"/>
        </w:rPr>
        <w:t xml:space="preserve">class</w:t>
        <w:br w:clear="none"/>
      </w:r>
      <w:r>
        <w:rPr>
          <w:rStyle w:val="Text11"/>
        </w:rPr>
        <w:t xml:space="preserve"> </w:t>
        <w:br w:clear="none"/>
      </w:r>
      <w:r>
        <w:rPr>
          <w:rStyle w:val="Text45"/>
        </w:rPr>
        <w:t xml:space="preserve">C</w:t>
        <w:br w:clear="none"/>
      </w:r>
      <w:r>
        <w:rPr>
          <w:rStyle w:val="Text19"/>
        </w:rPr>
        <w:t xml:space="preserve">:</w:t>
        <w:br w:clear="none"/>
      </w:r>
      <w:r>
        <w:rPr>
          <w:rStyle w:val="Text11"/>
        </w:rPr>
        <w:t xml:space="preserve"/>
        <w:br w:clear="none"/>
        <w:t xml:space="preserve">    </w:t>
        <w:br w:clear="none"/>
      </w:r>
      <w:r>
        <w:rPr>
          <w:rStyle w:val="Text14"/>
        </w:rPr>
        <w:t xml:space="preserve">name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f</w:t>
        <w:br w:clear="none"/>
      </w:r>
      <w:r>
        <w:rPr>
          <w:rStyle w:val="Text11"/>
        </w:rPr>
        <w:t xml:space="preserve"/>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C</w:t>
        <w:br w:clear="none"/>
      </w:r>
      <w:r>
        <w:rPr>
          <w:rStyle w:val="Text19"/>
        </w:rPr>
        <w:t xml:space="preserve">(</w:t>
        <w:br w:clear="none"/>
        <w:t xml:space="preserve">)</w:t>
        <w:br w:clear="none"/>
      </w:r>
    </w:p>
    <w:p>
      <w:pPr>
        <w:pStyle w:val="Normal"/>
      </w:pPr>
      <w:r>
        <w:rPr>
          <w:rStyle w:val="Text0"/>
        </w:rPr>
        <w:t>x</w:t>
      </w:r>
      <w:r>
        <w:t xml:space="preserve"> is an instance object of class </w:t>
      </w:r>
      <w:r>
        <w:rPr>
          <w:rStyle w:val="Text0"/>
        </w:rPr>
        <w:t>C</w:t>
      </w:r>
      <w:r>
        <w:t xml:space="preserve">, </w:t>
      </w:r>
      <w:r>
        <w:rPr>
          <w:rStyle w:val="Text0"/>
        </w:rPr>
        <w:t>name</w:t>
      </w:r>
      <w:r>
        <w:t xml:space="preserve"> is an identifier that names a method of </w:t>
      </w:r>
      <w:r>
        <w:rPr>
          <w:rStyle w:val="Text0"/>
        </w:rPr>
        <w:t>x</w:t>
      </w:r>
      <w:r>
        <w:t xml:space="preserve">’s (an attribute of </w:t>
      </w:r>
      <w:r>
        <w:rPr>
          <w:rStyle w:val="Text0"/>
        </w:rPr>
        <w:t>C</w:t>
      </w:r>
      <w:r>
        <w:t xml:space="preserve"> whose value is a function, in this case function </w:t>
      </w:r>
      <w:r>
        <w:rPr>
          <w:rStyle w:val="Text0"/>
        </w:rPr>
        <w:t>f</w:t>
      </w:r>
      <w:r>
        <w:t xml:space="preserve">), and </w:t>
      </w:r>
      <w:r>
        <w:rPr>
          <w:rStyle w:val="Text3"/>
        </w:rPr>
        <w:t>arg</w:t>
      </w:r>
      <w:r>
        <w:t xml:space="preserve"> is any expression. Python first checks if </w:t>
      </w:r>
      <w:r>
        <w:rPr>
          <w:rStyle w:val="Text0"/>
        </w:rPr>
        <w:t>'name'</w:t>
      </w:r>
      <w:r>
        <w:t xml:space="preserve"> is the attribute name in </w:t>
      </w:r>
      <w:r>
        <w:rPr>
          <w:rStyle w:val="Text0"/>
        </w:rPr>
        <w:t>C</w:t>
      </w:r>
      <w:r>
        <w:t xml:space="preserve"> of an overriding descriptor, but it isn’t—functions are descriptors, because their type defines the method </w:t>
      </w:r>
      <w:r>
        <w:rPr>
          <w:rStyle w:val="Text0"/>
        </w:rPr>
        <w:t>__get__</w:t>
      </w:r>
      <w:r>
        <w:t xml:space="preserve">, but </w:t>
      </w:r>
      <w:r>
        <w:rPr>
          <w:rStyle w:val="Text4"/>
        </w:rPr>
        <w:t>not</w:t>
      </w:r>
      <w:r>
        <w:t xml:space="preserve"> overriding ones, because their type does not define the method </w:t>
      </w:r>
      <w:r>
        <w:rPr>
          <w:rStyle w:val="Text0"/>
        </w:rPr>
        <w:t>__set__</w:t>
      </w:r>
      <w:r>
        <w:t xml:space="preserve">. Python next checks if </w:t>
      </w:r>
      <w:r>
        <w:rPr>
          <w:rStyle w:val="Text0"/>
        </w:rPr>
        <w:t>'name'</w:t>
      </w:r>
      <w:r>
        <w:t xml:space="preserve"> is a key in </w:t>
      </w:r>
      <w:r>
        <w:rPr>
          <w:rStyle w:val="Text0"/>
        </w:rPr>
        <w:t>x._dict__</w:t>
      </w:r>
      <w:r>
        <w:t xml:space="preserve">, but it isn’t. So, Python finds </w:t>
      </w:r>
      <w:r>
        <w:rPr>
          <w:rStyle w:val="Text0"/>
        </w:rPr>
        <w:t>name</w:t>
      </w:r>
      <w:r>
        <w:t xml:space="preserve"> in </w:t>
      </w:r>
      <w:r>
        <w:rPr>
          <w:rStyle w:val="Text0"/>
        </w:rPr>
        <w:t>C</w:t>
      </w:r>
      <w:r>
        <w:t xml:space="preserve"> (everything would work just the same if </w:t>
      </w:r>
      <w:r>
        <w:rPr>
          <w:rStyle w:val="Text0"/>
        </w:rPr>
        <w:t>name</w:t>
      </w:r>
      <w:r>
        <w:t xml:space="preserve"> were found, by inheritance, in one of </w:t>
      </w:r>
      <w:r>
        <w:rPr>
          <w:rStyle w:val="Text0"/>
        </w:rPr>
        <w:t>C</w:t>
      </w:r>
      <w:r>
        <w:t xml:space="preserve">’s </w:t>
      </w:r>
      <w:r>
        <w:rPr>
          <w:rStyle w:val="Text0"/>
        </w:rPr>
        <w:t>__bases__</w:t>
      </w:r>
      <w:r>
        <w:t xml:space="preserve">). Python notices that the attribute’s value, function object </w:t>
      </w:r>
      <w:r>
        <w:rPr>
          <w:rStyle w:val="Text0"/>
        </w:rPr>
        <w:t>f</w:t>
      </w:r>
      <w:r>
        <w:t xml:space="preserve">, is a descriptor. Therefore, Python calls </w:t>
      </w:r>
      <w:r>
        <w:rPr>
          <w:rStyle w:val="Text0"/>
        </w:rPr>
        <w:t>f.__get__(x, C)</w:t>
      </w:r>
      <w:r>
        <w:t xml:space="preserve">, which returns a bound method object with </w:t>
      </w:r>
      <w:r>
        <w:rPr>
          <w:rStyle w:val="Text0"/>
        </w:rPr>
        <w:t>im_func</w:t>
      </w:r>
      <w:r>
        <w:t xml:space="preserve"> set to </w:t>
      </w:r>
      <w:r>
        <w:rPr>
          <w:rStyle w:val="Text0"/>
        </w:rPr>
        <w:t>f</w:t>
      </w:r>
      <w:r>
        <w:t xml:space="preserve">, </w:t>
      </w:r>
      <w:r>
        <w:rPr>
          <w:rStyle w:val="Text0"/>
        </w:rPr>
        <w:t>im_class</w:t>
      </w:r>
      <w:r>
        <w:t xml:space="preserve"> set to </w:t>
      </w:r>
      <w:r>
        <w:rPr>
          <w:rStyle w:val="Text0"/>
        </w:rPr>
        <w:t>C</w:t>
      </w:r>
      <w:r>
        <w:t xml:space="preserve">, and </w:t>
      </w:r>
      <w:r>
        <w:rPr>
          <w:rStyle w:val="Text0"/>
        </w:rPr>
        <w:t>im_self</w:t>
      </w:r>
      <w:r>
        <w:t xml:space="preserve"> set to </w:t>
      </w:r>
      <w:r>
        <w:rPr>
          <w:rStyle w:val="Text0"/>
        </w:rPr>
        <w:t>x</w:t>
      </w:r>
      <w:r>
        <w:t xml:space="preserve">. Then Python calls this bound method object, with </w:t>
      </w:r>
      <w:r>
        <w:rPr>
          <w:rStyle w:val="Text3"/>
        </w:rPr>
        <w:t>arg</w:t>
      </w:r>
      <w:r>
        <w:t xml:space="preserve"> as the only argument. The bound method inserts </w:t>
      </w:r>
      <w:r>
        <w:rPr>
          <w:rStyle w:val="Text0"/>
        </w:rPr>
        <w:t>im_self</w:t>
      </w:r>
      <w:r>
        <w:t xml:space="preserve"> (i.e., </w:t>
      </w:r>
      <w:r>
        <w:rPr>
          <w:rStyle w:val="Text0"/>
        </w:rPr>
        <w:t>x</w:t>
      </w:r>
      <w:r>
        <w:t xml:space="preserve">) as the first argument, and </w:t>
      </w:r>
      <w:r>
        <w:rPr>
          <w:rStyle w:val="Text3"/>
        </w:rPr>
        <w:t>arg</w:t>
      </w:r>
      <w:r>
        <w:t xml:space="preserve"> becomes the second one in a call to the bound method’s </w:t>
      </w:r>
      <w:r>
        <w:rPr>
          <w:rStyle w:val="Text0"/>
        </w:rPr>
        <w:t>im_func</w:t>
      </w:r>
      <w:r>
        <w:t xml:space="preserve"> (i.e., function </w:t>
      </w:r>
      <w:r>
        <w:rPr>
          <w:rStyle w:val="Text0"/>
        </w:rPr>
        <w:t>f</w:t>
      </w:r>
      <w:r>
        <w:t>). The overall effect is just like calling:</w:t>
      </w:r>
    </w:p>
    <w:p>
      <w:pPr>
        <w:pStyle w:val="Para 018"/>
      </w:pPr>
      <w:r>
        <w:rPr>
          <w:rStyle w:val="Text104"/>
        </w:rPr>
        <w:t xml:space="preserve"/>
        <w:br w:clear="none"/>
      </w:r>
      <w:r>
        <w:rPr>
          <w:rStyle w:val="Text9"/>
        </w:rPr>
        <w:t xml:space="preserve">x</w:t>
        <w:br w:clear="none"/>
      </w:r>
      <w:r>
        <w:rPr>
          <w:rStyle w:val="Text13"/>
        </w:rPr>
        <w:t xml:space="preserve">.</w:t>
        <w:br w:clear="none"/>
      </w:r>
      <w:r>
        <w:t xml:space="preserve">__class__</w:t>
        <w:br w:clear="none"/>
      </w:r>
      <w:r>
        <w:rPr>
          <w:rStyle w:val="Text13"/>
        </w:rPr>
        <w:t xml:space="preserve">.</w:t>
        <w:br w:clear="none"/>
      </w:r>
      <w:r>
        <w:t xml:space="preserve">__dict__</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t xml:space="preserve">(</w:t>
        <w:br w:clear="none"/>
      </w:r>
      <w:r>
        <w:rPr>
          <w:rStyle w:val="Text9"/>
        </w:rPr>
        <w:t xml:space="preserve">x</w:t>
        <w:br w:clear="none"/>
      </w:r>
      <w:r>
        <w:rPr>
          <w:rStyle w:val="Text7"/>
        </w:rPr>
        <w:t xml:space="preserve">,</w:t>
        <w:br w:clear="none"/>
      </w:r>
      <w:r>
        <w:t xml:space="preserve"> </w:t>
        <w:br w:clear="none"/>
      </w:r>
      <w:r>
        <w:rPr>
          <w:rStyle w:val="Text14"/>
        </w:rPr>
        <w:t xml:space="preserve">arg</w:t>
        <w:br w:clear="none"/>
      </w:r>
      <w:r>
        <w:rPr>
          <w:rStyle w:val="Text7"/>
        </w:rPr>
        <w:t xml:space="preserve">)</w:t>
        <w:br w:clear="none"/>
      </w:r>
    </w:p>
    <w:p>
      <w:pPr>
        <w:pStyle w:val="Normal"/>
      </w:pPr>
      <w:r>
        <w:t xml:space="preserve">When a bound method’s function body executes, it has no special namespace relationship to either its </w:t>
      </w:r>
      <w:r>
        <w:rPr>
          <w:rStyle w:val="Text0"/>
        </w:rPr>
        <w:t>self</w:t>
      </w:r>
      <w:r>
        <w:t xml:space="preserve"> object or any class. Variables referenced are local or global, just like any other function, as covered in </w:t>
      </w:r>
      <w:hyperlink w:anchor="Namespaces__A_function_s_paramet">
        <w:r>
          <w:rPr>
            <w:rStyle w:val="Text1"/>
          </w:rPr>
          <w:t>“Namespaces”</w:t>
        </w:r>
      </w:hyperlink>
      <w:r>
        <w:t xml:space="preserve">. Variables do not implicitly indicate attributes in </w:t>
      </w:r>
      <w:r>
        <w:rPr>
          <w:rStyle w:val="Text0"/>
        </w:rPr>
        <w:t>self</w:t>
      </w:r>
      <w:r>
        <w:t xml:space="preserve">, nor do they indicate attributes in any class object. When the method needs to refer to, bind, or unbind an attribute of its </w:t>
      </w:r>
      <w:r>
        <w:rPr>
          <w:rStyle w:val="Text0"/>
        </w:rPr>
        <w:t>self</w:t>
      </w:r>
      <w:r>
        <w:t xml:space="preserve"> object, it does so by standard attribute reference syntax (e.g., </w:t>
      </w:r>
      <w:r>
        <w:rPr>
          <w:rStyle w:val="Text0"/>
        </w:rPr>
        <w:t>self.</w:t>
      </w:r>
      <w:r>
        <w:rPr>
          <w:rStyle w:val="Text3"/>
        </w:rPr>
        <w:t>name</w:t>
      </w:r>
      <w:r>
        <w:t>).</w:t>
      </w:r>
      <w:hyperlink w:anchor="5_Some_other_OO_languages__like">
        <w:r>
          <w:rPr>
            <w:rStyle w:val="Text41"/>
          </w:rPr>
          <w:bookmarkStart w:id="1340" w:name="5_3"/>
          <w:t>5</w:t>
          <w:bookmarkEnd w:id="1340"/>
        </w:r>
      </w:hyperlink>
      <w:r>
        <w:t xml:space="preserve"> The lack of implicit scoping may take some getting used to (simply because Python differs in this respect from many, though far from all, other object-oriented languages), but it results in clarity, simplicity, and the removal of potential ambiguities.</w:t>
      </w:r>
    </w:p>
    <w:p>
      <w:pPr>
        <w:pStyle w:val="Normal"/>
      </w:pPr>
      <w:r>
        <w:t xml:space="preserve">Bound method objects are first-class objects: you can use them wherever you can use a callable object. Since a bound method holds references to both the function it wraps and the </w:t>
      </w:r>
      <w:r>
        <w:rPr>
          <w:rStyle w:val="Text0"/>
        </w:rPr>
        <w:t>self</w:t>
      </w:r>
      <w:r>
        <w:t xml:space="preserve"> object on which it executes, it’s a powerful and flexible alternative to a closure (covered in </w:t>
      </w:r>
      <w:hyperlink w:anchor="Nested_functions_and_nested_scop">
        <w:r>
          <w:rPr>
            <w:rStyle w:val="Text1"/>
          </w:rPr>
          <w:t>“Nested functions and nested scopes”</w:t>
        </w:r>
      </w:hyperlink>
      <w:r>
        <w:t xml:space="preserve">). An instance object whose class supplies the special method </w:t>
      </w:r>
      <w:r>
        <w:rPr>
          <w:rStyle w:val="Text0"/>
        </w:rPr>
        <w:t>__call__</w:t>
      </w:r>
      <w:r>
        <w:t xml:space="preserve"> (covered in </w:t>
      </w:r>
      <w:hyperlink w:anchor="Table_4_1__General_purpose_speci">
        <w:r>
          <w:rPr>
            <w:rStyle w:val="Text1"/>
          </w:rPr>
          <w:t>Table 4-1</w:t>
        </w:r>
      </w:hyperlink>
      <w:r>
        <w:t>) offers another viable alternative. These constructs let you bundle some behavior (code) and some state (data) into a single callable object. Closures are simplest, but they are somewhat limited in their applicability. Here’s the closure from the section on nested functions and nested scopes: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make_adder_as_closure</w:t>
        <w:br w:clear="none"/>
      </w:r>
      <w:r>
        <w:rPr>
          <w:rStyle w:val="Text7"/>
        </w:rPr>
        <w:t xml:space="preserve">(</w:t>
        <w:br w:clear="none"/>
      </w:r>
      <w:r>
        <w:t xml:space="preserve">augend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add</w:t>
        <w:br w:clear="none"/>
      </w:r>
      <w:r>
        <w:rPr>
          <w:rStyle w:val="Text7"/>
        </w:rPr>
        <w:t xml:space="preserve">(</w:t>
        <w:br w:clear="none"/>
      </w:r>
      <w:r>
        <w:t xml:space="preserve">addend</w:t>
        <w:br w:clear="none"/>
      </w:r>
      <w:r>
        <w:rPr>
          <w:rStyle w:val="Text7"/>
        </w:rPr>
        <w:t xml:space="preserve">,</w:t>
        <w:br w:clear="none"/>
      </w:r>
      <w:r>
        <w:rPr>
          <w:rStyle w:val="Text6"/>
        </w:rPr>
        <w:t xml:space="preserve"> </w:t>
        <w:br w:clear="none"/>
      </w:r>
      <w:r>
        <w:t xml:space="preserve">_augend</w:t>
        <w:br w:clear="none"/>
      </w:r>
      <w:r>
        <w:rPr>
          <w:rStyle w:val="Text13"/>
        </w:rPr>
        <w:t xml:space="preserve">=</w:t>
        <w:br w:clear="none"/>
      </w:r>
      <w:r>
        <w:t xml:space="preserve">augend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addend</w:t>
        <w:br w:clear="none"/>
      </w:r>
      <w:r>
        <w:rPr>
          <w:rStyle w:val="Text6"/>
        </w:rPr>
        <w:t xml:space="preserve"> </w:t>
        <w:br w:clear="none"/>
      </w:r>
      <w:r>
        <w:rPr>
          <w:rStyle w:val="Text13"/>
        </w:rPr>
        <w:t xml:space="preserve">+</w:t>
        <w:br w:clear="none"/>
      </w:r>
      <w:r>
        <w:rPr>
          <w:rStyle w:val="Text6"/>
        </w:rPr>
        <w:t xml:space="preserve"> </w:t>
        <w:br w:clear="none"/>
      </w:r>
      <w:r>
        <w:t xml:space="preserve">_augend</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add</w:t>
        <w:br w:clear="none"/>
      </w:r>
    </w:p>
    <w:p>
      <w:pPr>
        <w:pStyle w:val="Normal"/>
      </w:pPr>
      <w:r>
        <w:t>Bound methods and callable instances are richer and more flexible than closures. Here’s how to implement the same functionality with a bound method:</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make_adder_as_bound_method</w:t>
        <w:br w:clear="none"/>
      </w:r>
      <w:r>
        <w:rPr>
          <w:rStyle w:val="Text7"/>
        </w:rPr>
        <w:t xml:space="preserve">(</w:t>
        <w:br w:clear="none"/>
      </w:r>
      <w:r>
        <w:rPr>
          <w:rStyle w:val="Text9"/>
        </w:rPr>
        <w:t xml:space="preserve">augend</w:t>
        <w:br w:clear="none"/>
      </w:r>
      <w:r>
        <w:rPr>
          <w:rStyle w:val="Text7"/>
        </w:rPr>
        <w:t xml:space="preserve">)</w:t>
        <w:br w:clear="none"/>
        <w:t xml:space="preserve">:</w:t>
        <w:br w:clear="none"/>
      </w:r>
      <w:r>
        <w:t xml:space="preserve"/>
        <w:br w:clear="none"/>
        <w:t xml:space="preserve">    </w:t>
        <w:br w:clear="none"/>
      </w:r>
      <w:r>
        <w:rPr>
          <w:rStyle w:val="Text10"/>
        </w:rPr>
        <w:t xml:space="preserve">class</w:t>
        <w:br w:clear="none"/>
      </w:r>
      <w:r>
        <w:t xml:space="preserve"> </w:t>
        <w:br w:clear="none"/>
      </w:r>
      <w:r>
        <w:rPr>
          <w:rStyle w:val="Text33"/>
        </w:rPr>
        <w:t xml:space="preserve">Adder</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augend</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augend</w:t>
        <w:br w:clear="none"/>
      </w:r>
      <w:r>
        <w:t xml:space="preserve"> </w:t>
        <w:br w:clear="none"/>
      </w:r>
      <w:r>
        <w:rPr>
          <w:rStyle w:val="Text13"/>
        </w:rPr>
        <w:t xml:space="preserve">=</w:t>
        <w:br w:clear="none"/>
      </w:r>
      <w:r>
        <w:t xml:space="preserve"> </w:t>
        <w:br w:clear="none"/>
      </w:r>
      <w:r>
        <w:rPr>
          <w:rStyle w:val="Text9"/>
        </w:rPr>
        <w:t xml:space="preserve">augend</w:t>
        <w:br w:clear="none"/>
      </w:r>
      <w:r>
        <w:t xml:space="preserve"/>
        <w:br w:clear="none"/>
        <w:t xml:space="preserve">        </w:t>
        <w:br w:clear="none"/>
      </w:r>
      <w:r>
        <w:rPr>
          <w:rStyle w:val="Text10"/>
        </w:rPr>
        <w:t xml:space="preserve">def</w:t>
        <w:br w:clear="none"/>
      </w:r>
      <w:r>
        <w:t xml:space="preserve"> </w:t>
        <w:br w:clear="none"/>
      </w:r>
      <w:r>
        <w:rPr>
          <w:rStyle w:val="Text18"/>
        </w:rPr>
        <w:t xml:space="preserve">add</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addend</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addend</w:t>
        <w:br w:clear="none"/>
      </w:r>
      <w:r>
        <w:rPr>
          <w:rStyle w:val="Text13"/>
        </w:rPr>
        <w:t xml:space="preserve">+</w:t>
        <w:br w:clear="none"/>
      </w:r>
      <w:r>
        <w:rPr>
          <w:rStyle w:val="Text16"/>
        </w:rPr>
        <w:t xml:space="preserve">self</w:t>
        <w:br w:clear="none"/>
      </w:r>
      <w:r>
        <w:rPr>
          <w:rStyle w:val="Text13"/>
        </w:rPr>
        <w:t xml:space="preserve">.</w:t>
        <w:br w:clear="none"/>
      </w:r>
      <w:r>
        <w:rPr>
          <w:rStyle w:val="Text9"/>
        </w:rPr>
        <w:t xml:space="preserve">augend</w:t>
        <w:br w:clear="none"/>
      </w:r>
      <w:r>
        <w:t xml:space="preserve"/>
        <w:br w:clear="none"/>
        <w:t xml:space="preserve">    </w:t>
        <w:br w:clear="none"/>
      </w:r>
      <w:r>
        <w:rPr>
          <w:rStyle w:val="Text10"/>
        </w:rPr>
        <w:t xml:space="preserve">return</w:t>
        <w:br w:clear="none"/>
      </w:r>
      <w:r>
        <w:t xml:space="preserve"> </w:t>
        <w:br w:clear="none"/>
      </w:r>
      <w:r>
        <w:rPr>
          <w:rStyle w:val="Text9"/>
        </w:rPr>
        <w:t xml:space="preserve">Adder</w:t>
        <w:br w:clear="none"/>
      </w:r>
      <w:r>
        <w:rPr>
          <w:rStyle w:val="Text7"/>
        </w:rPr>
        <w:t xml:space="preserve">(</w:t>
        <w:br w:clear="none"/>
      </w:r>
      <w:r>
        <w:rPr>
          <w:rStyle w:val="Text9"/>
        </w:rPr>
        <w:t xml:space="preserve">augend</w:t>
        <w:br w:clear="none"/>
      </w:r>
      <w:r>
        <w:rPr>
          <w:rStyle w:val="Text7"/>
        </w:rPr>
        <w:t xml:space="preserve">)</w:t>
        <w:br w:clear="none"/>
      </w:r>
      <w:r>
        <w:rPr>
          <w:rStyle w:val="Text13"/>
        </w:rPr>
        <w:t xml:space="preserve">.</w:t>
        <w:br w:clear="none"/>
      </w:r>
      <w:r>
        <w:rPr>
          <w:rStyle w:val="Text9"/>
        </w:rPr>
        <w:t xml:space="preserve">add</w:t>
        <w:br w:clear="none"/>
      </w:r>
    </w:p>
    <w:p>
      <w:pPr>
        <w:pStyle w:val="Normal"/>
      </w:pPr>
      <w:r>
        <w:t xml:space="preserve">And here’s how to implement it with a callable instance (an instance whose class supplies the special method </w:t>
      </w:r>
      <w:r>
        <w:rPr>
          <w:rStyle w:val="Text0"/>
        </w:rPr>
        <w:t>__call__</w:t>
      </w:r>
      <w:r>
        <w:t>):</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make_adder_as_callable_instance</w:t>
        <w:br w:clear="none"/>
      </w:r>
      <w:r>
        <w:rPr>
          <w:rStyle w:val="Text7"/>
        </w:rPr>
        <w:t xml:space="preserve">(</w:t>
        <w:br w:clear="none"/>
      </w:r>
      <w:r>
        <w:rPr>
          <w:rStyle w:val="Text9"/>
        </w:rPr>
        <w:t xml:space="preserve">augend</w:t>
        <w:br w:clear="none"/>
      </w:r>
      <w:r>
        <w:rPr>
          <w:rStyle w:val="Text7"/>
        </w:rPr>
        <w:t xml:space="preserve">)</w:t>
        <w:br w:clear="none"/>
        <w:t xml:space="preserve">:</w:t>
        <w:br w:clear="none"/>
      </w:r>
      <w:r>
        <w:t xml:space="preserve"/>
        <w:br w:clear="none"/>
        <w:t xml:space="preserve">    </w:t>
        <w:br w:clear="none"/>
      </w:r>
      <w:r>
        <w:rPr>
          <w:rStyle w:val="Text10"/>
        </w:rPr>
        <w:t xml:space="preserve">class</w:t>
        <w:br w:clear="none"/>
      </w:r>
      <w:r>
        <w:t xml:space="preserve"> </w:t>
        <w:br w:clear="none"/>
      </w:r>
      <w:r>
        <w:rPr>
          <w:rStyle w:val="Text33"/>
        </w:rPr>
        <w:t xml:space="preserve">Adder</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augend</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augend</w:t>
        <w:br w:clear="none"/>
      </w:r>
      <w:r>
        <w:t xml:space="preserve"> </w:t>
        <w:br w:clear="none"/>
      </w:r>
      <w:r>
        <w:rPr>
          <w:rStyle w:val="Text13"/>
        </w:rPr>
        <w:t xml:space="preserve">=</w:t>
        <w:br w:clear="none"/>
      </w:r>
      <w:r>
        <w:t xml:space="preserve"> </w:t>
        <w:br w:clear="none"/>
      </w:r>
      <w:r>
        <w:rPr>
          <w:rStyle w:val="Text9"/>
        </w:rPr>
        <w:t xml:space="preserve">augend</w:t>
        <w:br w:clear="none"/>
      </w:r>
      <w:r>
        <w:t xml:space="preserve"/>
        <w:br w:clear="none"/>
        <w:t xml:space="preserve">        </w:t>
        <w:br w:clear="none"/>
      </w:r>
      <w:r>
        <w:rPr>
          <w:rStyle w:val="Text10"/>
        </w:rPr>
        <w:t xml:space="preserve">def</w:t>
        <w:br w:clear="none"/>
      </w:r>
      <w:r>
        <w:t xml:space="preserve"> </w:t>
        <w:br w:clear="none"/>
        <w:t xml:space="preserve">__call__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addend</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addend</w:t>
        <w:br w:clear="none"/>
      </w:r>
      <w:r>
        <w:rPr>
          <w:rStyle w:val="Text13"/>
        </w:rPr>
        <w:t xml:space="preserve">+</w:t>
        <w:br w:clear="none"/>
      </w:r>
      <w:r>
        <w:rPr>
          <w:rStyle w:val="Text16"/>
        </w:rPr>
        <w:t xml:space="preserve">self</w:t>
        <w:br w:clear="none"/>
      </w:r>
      <w:r>
        <w:rPr>
          <w:rStyle w:val="Text13"/>
        </w:rPr>
        <w:t xml:space="preserve">.</w:t>
        <w:br w:clear="none"/>
      </w:r>
      <w:r>
        <w:rPr>
          <w:rStyle w:val="Text9"/>
        </w:rPr>
        <w:t xml:space="preserve">augend</w:t>
        <w:br w:clear="none"/>
      </w:r>
      <w:r>
        <w:t xml:space="preserve"/>
        <w:br w:clear="none"/>
        <w:t xml:space="preserve">    </w:t>
        <w:br w:clear="none"/>
      </w:r>
      <w:r>
        <w:rPr>
          <w:rStyle w:val="Text10"/>
        </w:rPr>
        <w:t xml:space="preserve">return</w:t>
        <w:br w:clear="none"/>
      </w:r>
      <w:r>
        <w:t xml:space="preserve"> </w:t>
        <w:br w:clear="none"/>
      </w:r>
      <w:r>
        <w:rPr>
          <w:rStyle w:val="Text9"/>
        </w:rPr>
        <w:t xml:space="preserve">Adder</w:t>
        <w:br w:clear="none"/>
      </w:r>
      <w:r>
        <w:rPr>
          <w:rStyle w:val="Text7"/>
        </w:rPr>
        <w:t xml:space="preserve">(</w:t>
        <w:br w:clear="none"/>
      </w:r>
      <w:r>
        <w:rPr>
          <w:rStyle w:val="Text9"/>
        </w:rPr>
        <w:t xml:space="preserve">augend</w:t>
        <w:br w:clear="none"/>
      </w:r>
      <w:r>
        <w:rPr>
          <w:rStyle w:val="Text7"/>
        </w:rPr>
        <w:t xml:space="preserve">)</w:t>
        <w:br w:clear="none"/>
      </w:r>
    </w:p>
    <w:p>
      <w:pPr>
        <w:pStyle w:val="Normal"/>
      </w:pPr>
      <w:r>
        <w:t xml:space="preserve">From the viewpoint of the code that calls the functions, all of these factory functions are interchangeable, since all of them return callable objects that are polymorphic (i.e., usable in the same ways). In terms of implementation, the closure is simplest; the object-oriented approaches—i.e., the bound method and the callable instance—use more flexible, general, and powerful mechanisms, but there is no need for that extra power in this simple example (since no other state is required beyond the </w:t>
      </w:r>
      <w:r>
        <w:rPr>
          <w:rStyle w:val="Text0"/>
        </w:rPr>
        <w:t>augend</w:t>
      </w:r>
      <w:r>
        <w:t>, which is just as easily carried in the closure as in either of the object-oriented approaches).</w:t>
      </w:r>
      <w:r>
        <w:rPr>
          <w:rStyle w:val="Text111"/>
        </w:rPr>
        <w:bookmarkStart w:id="1341" w:name="idm45965266002240"/>
        <w:t/>
        <w:bookmarkEnd w:id="1341"/>
        <w:bookmarkStart w:id="1342" w:name="idm45965266013584"/>
        <w:t/>
        <w:bookmarkEnd w:id="1342"/>
        <w:bookmarkStart w:id="1343" w:name="idm45965266012336"/>
        <w:t/>
        <w:bookmarkEnd w:id="1343"/>
      </w:r>
    </w:p>
    <w:p>
      <w:bookmarkStart w:id="1344" w:name="Inheritance__When_you_use_an_att"/>
      <w:pPr>
        <w:keepNext/>
        <w:pStyle w:val="Heading 2"/>
      </w:pPr>
      <w:r>
        <w:t>Inheritance</w:t>
      </w:r>
      <w:bookmarkEnd w:id="1344"/>
    </w:p>
    <w:p>
      <w:pPr>
        <w:pStyle w:val="Normal"/>
      </w:pPr>
      <w:r>
        <w:t>When</w:t>
      </w:r>
      <w:r>
        <w:rPr>
          <w:rStyle w:val="Text111"/>
        </w:rPr>
        <w:bookmarkStart w:id="1345" w:name="idm45965266009504"/>
        <w:t/>
        <w:bookmarkEnd w:id="1345"/>
        <w:bookmarkStart w:id="1346" w:name="inherit04"/>
        <w:t/>
        <w:bookmarkEnd w:id="1346"/>
      </w:r>
      <w:r>
        <w:t xml:space="preserve"> you use an attribute reference </w:t>
      </w:r>
      <w:r>
        <w:rPr>
          <w:rStyle w:val="Text3"/>
        </w:rPr>
        <w:t>C.name</w:t>
      </w:r>
      <w:r>
        <w:t xml:space="preserve"> on a class object </w:t>
      </w:r>
      <w:r>
        <w:rPr>
          <w:rStyle w:val="Text3"/>
        </w:rPr>
        <w:t>C</w:t>
      </w:r>
      <w:r>
        <w:t xml:space="preserve">, and </w:t>
      </w:r>
      <w:r>
        <w:rPr>
          <w:rStyle w:val="Text0"/>
        </w:rPr>
        <w:t>'</w:t>
      </w:r>
      <w:r>
        <w:rPr>
          <w:rStyle w:val="Text3"/>
        </w:rPr>
        <w:t>name</w:t>
      </w:r>
      <w:r>
        <w:rPr>
          <w:rStyle w:val="Text0"/>
        </w:rPr>
        <w:t>'</w:t>
      </w:r>
      <w:r>
        <w:t xml:space="preserve"> is not a key in </w:t>
      </w:r>
      <w:r>
        <w:rPr>
          <w:rStyle w:val="Text3"/>
        </w:rPr>
        <w:t>C</w:t>
      </w:r>
      <w:r>
        <w:rPr>
          <w:rStyle w:val="Text0"/>
        </w:rPr>
        <w:t>.__dict__</w:t>
      </w:r>
      <w:r>
        <w:t xml:space="preserve">, the lookup implicitly proceeds on each class object that is in </w:t>
      </w:r>
      <w:r>
        <w:rPr>
          <w:rStyle w:val="Text3"/>
        </w:rPr>
        <w:t>C</w:t>
      </w:r>
      <w:r>
        <w:rPr>
          <w:rStyle w:val="Text0"/>
        </w:rPr>
        <w:t>.__bases__</w:t>
      </w:r>
      <w:r>
        <w:t xml:space="preserve"> in a specific order (which for historical reasons is known as the </w:t>
      </w:r>
      <w:r>
        <w:rPr>
          <w:rStyle w:val="Text4"/>
        </w:rPr>
        <w:t>method resolution order</w:t>
      </w:r>
      <w:r>
        <w:t xml:space="preserve">, or MRO, but in fact applies to all attributes, not just methods). </w:t>
      </w:r>
      <w:r>
        <w:rPr>
          <w:rStyle w:val="Text3"/>
        </w:rPr>
        <w:t>C</w:t>
      </w:r>
      <w:r>
        <w:t xml:space="preserve">’s base classes may in turn have their own bases. The lookup checks direct and indirect ancestors, one by one, in MRO, stopping when </w:t>
      </w:r>
      <w:r>
        <w:rPr>
          <w:rStyle w:val="Text0"/>
        </w:rPr>
        <w:t>'</w:t>
      </w:r>
      <w:r>
        <w:rPr>
          <w:rStyle w:val="Text3"/>
        </w:rPr>
        <w:t>name</w:t>
      </w:r>
      <w:r>
        <w:rPr>
          <w:rStyle w:val="Text0"/>
        </w:rPr>
        <w:t>'</w:t>
      </w:r>
      <w:r>
        <w:t xml:space="preserve"> is found.</w:t>
      </w:r>
    </w:p>
    <w:p>
      <w:bookmarkStart w:id="1347" w:name="Method_resolution_order__The_loo"/>
      <w:pPr>
        <w:keepNext/>
        <w:pStyle w:val="Heading 2"/>
      </w:pPr>
      <w:r>
        <w:t>Method resolution order</w:t>
      </w:r>
      <w:bookmarkEnd w:id="1347"/>
    </w:p>
    <w:p>
      <w:pPr>
        <w:pStyle w:val="Normal"/>
      </w:pPr>
      <w:r>
        <w:t xml:space="preserve">The lookup of an attribute name in a class essentially occurs by visiting ancestor classes in left-to-right, depth-first order. However, in the presence of multiple inheritance (which makes the inheritance graph a general </w:t>
      </w:r>
      <w:r>
        <w:rPr>
          <w:rStyle w:val="Text4"/>
        </w:rPr>
        <w:t>directed acyclic graph</w:t>
      </w:r>
      <w:r>
        <w:t xml:space="preserve">, or DAG, rather than specifically a tree), this simple approach might lead to some ancestor classes being visited twice. In such cases, the resolution order leaves in the lookup sequence only the </w:t>
      </w:r>
      <w:r>
        <w:rPr>
          <w:rStyle w:val="Text4"/>
        </w:rPr>
        <w:t>rightmost</w:t>
      </w:r>
      <w:r>
        <w:t xml:space="preserve"> occurrence of any given class.</w:t>
      </w:r>
    </w:p>
    <w:p>
      <w:pPr>
        <w:pStyle w:val="Normal"/>
      </w:pPr>
      <w:r>
        <w:t xml:space="preserve">Each class and built-in type has a special read-only class attribute called </w:t>
      </w:r>
      <w:r>
        <w:rPr>
          <w:rStyle w:val="Text0"/>
        </w:rPr>
        <w:t>__mro__</w:t>
      </w:r>
      <w:r>
        <w:t xml:space="preserve">, which is the tuple of types used for method resolution, in order. You can reference </w:t>
      </w:r>
      <w:r>
        <w:rPr>
          <w:rStyle w:val="Text0"/>
        </w:rPr>
        <w:t>__mro__</w:t>
      </w:r>
      <w:r>
        <w:t xml:space="preserve"> only on classes, not on instances, and, since </w:t>
      </w:r>
      <w:r>
        <w:rPr>
          <w:rStyle w:val="Text0"/>
        </w:rPr>
        <w:t>__mro__</w:t>
      </w:r>
      <w:r>
        <w:t xml:space="preserve"> is a read-only attribute, you cannot rebind or unbind it. For a detailed and highly technical explanation of all aspects of Python’s MRO, you may want to study Michele Simionato’s essay </w:t>
      </w:r>
      <w:hyperlink r:id="rId229">
        <w:r>
          <w:rPr>
            <w:rStyle w:val="Text1"/>
          </w:rPr>
          <w:t>“The Python 2.3 Method Resolution Order”</w:t>
        </w:r>
      </w:hyperlink>
      <w:hyperlink w:anchor="6_Many_Python_releases_later__Mi">
        <w:r>
          <w:rPr>
            <w:rStyle w:val="Text41"/>
          </w:rPr>
          <w:bookmarkStart w:id="1348" w:name="6_3"/>
          <w:t>6</w:t>
          <w:bookmarkEnd w:id="1348"/>
        </w:r>
      </w:hyperlink>
      <w:r>
        <w:t xml:space="preserve"> and Guido van Rossum’s article on </w:t>
      </w:r>
      <w:hyperlink r:id="rId230">
        <w:r>
          <w:rPr>
            <w:rStyle w:val="Text1"/>
          </w:rPr>
          <w:t>“The History of Python”</w:t>
        </w:r>
      </w:hyperlink>
      <w:r>
        <w:t xml:space="preserve">. In particular, note that it </w:t>
      </w:r>
      <w:r>
        <w:rPr>
          <w:rStyle w:val="Text4"/>
        </w:rPr>
        <w:t>is</w:t>
      </w:r>
      <w:r>
        <w:t xml:space="preserve"> quite possible that Python cannot determine </w:t>
      </w:r>
      <w:r>
        <w:rPr>
          <w:rStyle w:val="Text4"/>
        </w:rPr>
        <w:t>any</w:t>
      </w:r>
      <w:r>
        <w:t xml:space="preserve"> unambiguous MRO for a certain class: in this case, Python raises a </w:t>
      </w:r>
      <w:r>
        <w:rPr>
          <w:rStyle w:val="Text0"/>
        </w:rPr>
        <w:t>TypeError</w:t>
      </w:r>
      <w:r>
        <w:t xml:space="preserve"> exception when it executes that </w:t>
      </w:r>
      <w:r>
        <w:rPr>
          <w:rStyle w:val="Text5"/>
        </w:rPr>
        <w:t>class</w:t>
      </w:r>
      <w:r>
        <w:t xml:space="preserve"> statement.</w:t>
      </w:r>
    </w:p>
    <w:p>
      <w:bookmarkStart w:id="1349" w:name="Overriding_attributes__As_we_ve"/>
      <w:pPr>
        <w:keepNext/>
        <w:pStyle w:val="Heading 2"/>
      </w:pPr>
      <w:r>
        <w:t>Overriding attributes</w:t>
      </w:r>
      <w:bookmarkEnd w:id="1349"/>
    </w:p>
    <w:p>
      <w:pPr>
        <w:pStyle w:val="Normal"/>
      </w:pPr>
      <w:r>
        <w:t xml:space="preserve">As we’ve just seen, the search for an attribute proceeds along the MRO (typically, up the inheritance tree) and stops as soon as the attribute is found. Descendant classes are always examined before their ancestors, so that when a subclass defines an attribute with the same name as one in a superclass, the search finds the definition in the subclass and stops there. This is known as the subclass </w:t>
      </w:r>
      <w:r>
        <w:rPr>
          <w:rStyle w:val="Text4"/>
        </w:rPr>
        <w:t>overriding</w:t>
      </w:r>
      <w:r>
        <w:t xml:space="preserve"> the definition in the superclass. Consider the following code: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t xml:space="preserve"/>
        <w:br w:clear="none"/>
        <w:t xml:space="preserve">    </w:t>
        <w:br w:clear="none"/>
      </w:r>
      <w:r>
        <w:rPr>
          <w:rStyle w:val="Text9"/>
        </w:rPr>
        <w:t xml:space="preserve">a</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t xml:space="preserve">    </w:t>
        <w:br w:clear="none"/>
      </w:r>
      <w:r>
        <w:rPr>
          <w:rStyle w:val="Text9"/>
        </w:rPr>
        <w:t xml:space="preserve">b</w:t>
        <w:br w:clear="none"/>
      </w:r>
      <w:r>
        <w:t xml:space="preserve"> </w:t>
        <w:br w:clear="none"/>
      </w:r>
      <w:r>
        <w:rPr>
          <w:rStyle w:val="Text13"/>
        </w:rPr>
        <w:t xml:space="preserve">=</w:t>
        <w:br w:clear="none"/>
      </w:r>
      <w:r>
        <w:t xml:space="preserve"> </w:t>
        <w:br w:clear="none"/>
      </w:r>
      <w:r>
        <w:rPr>
          <w:rStyle w:val="Text27"/>
        </w:rPr>
        <w:t xml:space="preserve">45</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f in class B</w:t>
        <w:br w:clear="none"/>
        <w:t xml:space="preserv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g in class B</w:t>
        <w:br w:clear="none"/>
        <w:t xml:space="preserve">'</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br w:clear="none"/>
        <w:t xml:space="preserve">    </w:t>
        <w:br w:clear="none"/>
      </w:r>
      <w:r>
        <w:rPr>
          <w:rStyle w:val="Text9"/>
        </w:rPr>
        <w:t xml:space="preserve">b</w:t>
        <w:br w:clear="none"/>
      </w:r>
      <w:r>
        <w:t xml:space="preserve"> </w:t>
        <w:br w:clear="none"/>
      </w:r>
      <w:r>
        <w:rPr>
          <w:rStyle w:val="Text13"/>
        </w:rPr>
        <w:t xml:space="preserve">=</w:t>
        <w:br w:clear="none"/>
      </w:r>
      <w:r>
        <w:t xml:space="preserve"> </w:t>
        <w:br w:clear="none"/>
      </w:r>
      <w:r>
        <w:rPr>
          <w:rStyle w:val="Text27"/>
        </w:rPr>
        <w:t xml:space="preserve">67</w:t>
        <w:br w:clear="none"/>
      </w:r>
      <w:r>
        <w:t xml:space="preserve"/>
        <w:br w:clear="none"/>
        <w:t xml:space="preserve">    </w:t>
        <w:br w:clear="none"/>
      </w:r>
      <w:r>
        <w:rPr>
          <w:rStyle w:val="Text9"/>
        </w:rPr>
        <w:t xml:space="preserve">c</w:t>
        <w:br w:clear="none"/>
      </w:r>
      <w:r>
        <w:t xml:space="preserve"> </w:t>
        <w:br w:clear="none"/>
      </w:r>
      <w:r>
        <w:rPr>
          <w:rStyle w:val="Text13"/>
        </w:rPr>
        <w:t xml:space="preserve">=</w:t>
        <w:br w:clear="none"/>
      </w:r>
      <w:r>
        <w:t xml:space="preserve"> </w:t>
        <w:br w:clear="none"/>
      </w:r>
      <w:r>
        <w:rPr>
          <w:rStyle w:val="Text27"/>
        </w:rPr>
        <w:t xml:space="preserve">89</w:t>
        <w:br w:clear="none"/>
      </w:r>
      <w:r>
        <w:t xml:space="preserve"/>
        <w:br w:clear="none"/>
        <w:t xml:space="preserve">    </w:t>
        <w:br w:clear="none"/>
      </w:r>
      <w:r>
        <w:rPr>
          <w:rStyle w:val="Text9"/>
        </w:rPr>
        <w:t xml:space="preserve">d</w:t>
        <w:br w:clear="none"/>
      </w:r>
      <w:r>
        <w:t xml:space="preserve"> </w:t>
        <w:br w:clear="none"/>
      </w:r>
      <w:r>
        <w:rPr>
          <w:rStyle w:val="Text13"/>
        </w:rPr>
        <w:t xml:space="preserve">=</w:t>
        <w:br w:clear="none"/>
      </w:r>
      <w:r>
        <w:t xml:space="preserve"> </w:t>
        <w:br w:clear="none"/>
      </w:r>
      <w:r>
        <w:rPr>
          <w:rStyle w:val="Text27"/>
        </w:rPr>
        <w:t xml:space="preserve">123</w:t>
        <w:br w:clear="none"/>
      </w:r>
      <w:r>
        <w:t xml:space="preserve"/>
        <w:br w:clear="none"/>
        <w:t xml:space="preserve">    </w:t>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g in class C</w:t>
        <w:br w:clear="none"/>
        <w:t xml:space="preserv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h</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method h in class C</w:t>
        <w:br w:clear="none"/>
        <w:t xml:space="preserve">'</w:t>
        <w:br w:clear="none"/>
      </w:r>
      <w:r>
        <w:rPr>
          <w:rStyle w:val="Text7"/>
        </w:rPr>
        <w:t xml:space="preserve">)</w:t>
        <w:br w:clear="none"/>
      </w:r>
    </w:p>
    <w:p>
      <w:pPr>
        <w:pStyle w:val="Normal"/>
      </w:pPr>
      <w:r>
        <w:t xml:space="preserve">Here, class </w:t>
      </w:r>
      <w:r>
        <w:rPr>
          <w:rStyle w:val="Text0"/>
        </w:rPr>
        <w:t>C</w:t>
      </w:r>
      <w:r>
        <w:t xml:space="preserve"> overrides attributes </w:t>
      </w:r>
      <w:r>
        <w:rPr>
          <w:rStyle w:val="Text0"/>
        </w:rPr>
        <w:t>b</w:t>
      </w:r>
      <w:r>
        <w:t xml:space="preserve"> and </w:t>
      </w:r>
      <w:r>
        <w:rPr>
          <w:rStyle w:val="Text0"/>
        </w:rPr>
        <w:t>g</w:t>
      </w:r>
      <w:r>
        <w:t xml:space="preserve"> of its superclass </w:t>
      </w:r>
      <w:r>
        <w:rPr>
          <w:rStyle w:val="Text0"/>
        </w:rPr>
        <w:t>B</w:t>
      </w:r>
      <w:r>
        <w:t>. Note that, unlike in some other languages, in Python you may override data attributes just as easily as callable attributes (methods).</w:t>
      </w:r>
    </w:p>
    <w:p>
      <w:bookmarkStart w:id="1350" w:name="Delegating_to_superclass_methods"/>
      <w:pPr>
        <w:keepNext/>
        <w:pStyle w:val="Heading 2"/>
      </w:pPr>
      <w:r>
        <w:t>Delegating to superclass methods</w:t>
      </w:r>
      <w:bookmarkEnd w:id="1350"/>
    </w:p>
    <w:p>
      <w:pPr>
        <w:pStyle w:val="Normal"/>
      </w:pPr>
      <w:r>
        <w:t xml:space="preserve">When subclass </w:t>
      </w:r>
      <w:r>
        <w:rPr>
          <w:rStyle w:val="Text3"/>
        </w:rPr>
        <w:t>C</w:t>
      </w:r>
      <w:r>
        <w:t xml:space="preserve"> overrides a method </w:t>
      </w:r>
      <w:r>
        <w:rPr>
          <w:rStyle w:val="Text3"/>
        </w:rPr>
        <w:t>f</w:t>
      </w:r>
      <w:r>
        <w:t xml:space="preserve"> of its superclass </w:t>
      </w:r>
      <w:r>
        <w:rPr>
          <w:rStyle w:val="Text3"/>
        </w:rPr>
        <w:t>B</w:t>
      </w:r>
      <w:r>
        <w:t xml:space="preserve">, the body of </w:t>
      </w:r>
      <w:r>
        <w:rPr>
          <w:rStyle w:val="Text3"/>
        </w:rPr>
        <w:t>C</w:t>
      </w:r>
      <w:r>
        <w:rPr>
          <w:rStyle w:val="Text0"/>
        </w:rPr>
        <w:t>.</w:t>
      </w:r>
      <w:r>
        <w:rPr>
          <w:rStyle w:val="Text3"/>
        </w:rPr>
        <w:t>f</w:t>
      </w:r>
      <w:r>
        <w:t xml:space="preserve"> often wants to delegate some part of its operation to the superclass’s implementation of the method. This can sometimes be done using a function object, as follows: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Base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greet</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Welcome</w:t>
        <w:br w:clear="none"/>
        <w:t xml:space="preserve">'</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Sub</w:t>
        <w:br w:clear="none"/>
      </w:r>
      <w:r>
        <w:rPr>
          <w:rStyle w:val="Text7"/>
        </w:rPr>
        <w:t xml:space="preserve">(</w:t>
        <w:br w:clear="none"/>
      </w:r>
      <w:r>
        <w:rPr>
          <w:rStyle w:val="Text9"/>
        </w:rPr>
        <w:t xml:space="preserve">Base</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greet</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Well Met and</w:t>
        <w:br w:clear="none"/>
        <w:t xml:space="preserve">'</w:t>
        <w:br w:clear="none"/>
      </w:r>
      <w:r>
        <w:rPr>
          <w:rStyle w:val="Text7"/>
        </w:rPr>
        <w:t xml:space="preserve">,</w:t>
        <w:br w:clear="none"/>
      </w:r>
      <w:r>
        <w:t xml:space="preserve"> </w:t>
        <w:br w:clear="none"/>
      </w:r>
      <w:r>
        <w:rPr>
          <w:rStyle w:val="Text9"/>
        </w:rPr>
        <w:t xml:space="preserve">end</w:t>
        <w:br w:clear="none"/>
      </w:r>
      <w:r>
        <w:rPr>
          <w:rStyle w:val="Text13"/>
        </w:rPr>
        <w:t xml:space="preserve">=</w:t>
        <w:br w:clear="none"/>
      </w:r>
      <w:r>
        <w:rPr>
          <w:rStyle w:val="Text8"/>
        </w:rPr>
        <w:t xml:space="preserve">'</w:t>
        <w:br w:clear="none"/>
        <w:t xml:space="preserve"> </w:t>
        <w:br w:clear="none"/>
        <w:t xml:space="preserve">'</w:t>
        <w:br w:clear="none"/>
      </w:r>
      <w:r>
        <w:rPr>
          <w:rStyle w:val="Text7"/>
        </w:rPr>
        <w:t xml:space="preserve">)</w:t>
        <w:br w:clear="none"/>
      </w:r>
      <w:r>
        <w:t xml:space="preserve"/>
        <w:br w:clear="none"/>
        <w:t xml:space="preserve">        </w:t>
        <w:br w:clear="none"/>
      </w:r>
      <w:r>
        <w:rPr>
          <w:rStyle w:val="Text9"/>
        </w:rPr>
        <w:t xml:space="preserve">Base</w:t>
        <w:br w:clear="none"/>
      </w:r>
      <w:r>
        <w:rPr>
          <w:rStyle w:val="Text13"/>
        </w:rPr>
        <w:t xml:space="preserve">.</w:t>
        <w:br w:clear="none"/>
      </w:r>
      <w:r>
        <w:rPr>
          <w:rStyle w:val="Text9"/>
        </w:rPr>
        <w:t xml:space="preserve">greet</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r>
      <w: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Sub</w:t>
        <w:br w:clear="none"/>
      </w:r>
      <w:r>
        <w:rPr>
          <w:rStyle w:val="Text7"/>
        </w:rPr>
        <w:t xml:space="preserve">(</w:t>
        <w:br w:clear="none"/>
        <w:t xml:space="preserve">)</w:t>
        <w:br w:clear="none"/>
      </w:r>
      <w:r>
        <w:t xml:space="preserve"/>
        <w:br w:clear="none"/>
      </w:r>
      <w:r>
        <w:rPr>
          <w:rStyle w:val="Text9"/>
        </w:rPr>
        <w:t xml:space="preserve">x</w:t>
        <w:br w:clear="none"/>
      </w:r>
      <w:r>
        <w:rPr>
          <w:rStyle w:val="Text13"/>
        </w:rPr>
        <w:t xml:space="preserve">.</w:t>
        <w:br w:clear="none"/>
      </w:r>
      <w:r>
        <w:rPr>
          <w:rStyle w:val="Text9"/>
        </w:rPr>
        <w:t xml:space="preserve">greet</w:t>
        <w:br w:clear="none"/>
      </w:r>
      <w:r>
        <w:rPr>
          <w:rStyle w:val="Text7"/>
        </w:rPr>
        <w:t xml:space="preserve">(</w:t>
        <w:br w:clear="none"/>
      </w:r>
      <w:r>
        <w:rPr>
          <w:rStyle w:val="Text8"/>
        </w:rPr>
        <w:t xml:space="preserve">'</w:t>
        <w:br w:clear="none"/>
        <w:t xml:space="preserve">Alex</w:t>
        <w:br w:clear="none"/>
        <w:t xml:space="preserve">'</w:t>
        <w:br w:clear="none"/>
      </w:r>
      <w:r>
        <w:rPr>
          <w:rStyle w:val="Text7"/>
        </w:rPr>
        <w:t xml:space="preserve">)</w:t>
        <w:br w:clear="none"/>
      </w:r>
    </w:p>
    <w:p>
      <w:pPr>
        <w:pStyle w:val="Normal"/>
      </w:pPr>
      <w:r>
        <w:t xml:space="preserve">The delegation to the superclass, in the body of </w:t>
      </w:r>
      <w:r>
        <w:rPr>
          <w:rStyle w:val="Text0"/>
        </w:rPr>
        <w:t>Sub.greet</w:t>
      </w:r>
      <w:r>
        <w:t xml:space="preserve">, uses a function object obtained by attribute reference </w:t>
      </w:r>
      <w:r>
        <w:rPr>
          <w:rStyle w:val="Text0"/>
        </w:rPr>
        <w:t>Base.greet</w:t>
      </w:r>
      <w:r>
        <w:t xml:space="preserve"> on the superclass, and therefore passes all arguments normally, including </w:t>
      </w:r>
      <w:r>
        <w:rPr>
          <w:rStyle w:val="Text0"/>
        </w:rPr>
        <w:t>self</w:t>
      </w:r>
      <w:r>
        <w:t>. (If it seems a bit ugly explicitly using the base class, bear with us; you’ll see a better way to do this shortly, in this very section). Delegating to a superclass implementation is a frequent use of such function objects.</w:t>
      </w:r>
    </w:p>
    <w:p>
      <w:pPr>
        <w:pStyle w:val="Normal"/>
      </w:pPr>
      <w:r>
        <w:t xml:space="preserve">One common use of delegation occurs with the special method </w:t>
      </w:r>
      <w:r>
        <w:rPr>
          <w:rStyle w:val="Text0"/>
        </w:rPr>
        <w:t>__init__</w:t>
      </w:r>
      <w:r>
        <w:t xml:space="preserve">. When Python creates an instance, it does not automatically call the </w:t>
      </w:r>
      <w:r>
        <w:rPr>
          <w:rStyle w:val="Text0"/>
        </w:rPr>
        <w:t>__init__</w:t>
      </w:r>
      <w:r>
        <w:t xml:space="preserve"> methods of any base classes, unlike some other object-oriented languages. It is up to a subclass to initialize its superclasses, using delegation as necessary. For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Base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anattribute</w:t>
        <w:br w:clear="none"/>
      </w:r>
      <w:r>
        <w:t xml:space="preserve"> </w:t>
        <w:br w:clear="none"/>
      </w:r>
      <w:r>
        <w:rPr>
          <w:rStyle w:val="Text13"/>
        </w:rPr>
        <w:t xml:space="preserve">=</w:t>
        <w:br w:clear="none"/>
      </w:r>
      <w:r>
        <w:t xml:space="preserve"> </w:t>
        <w:br w:clear="none"/>
      </w:r>
      <w:r>
        <w:rPr>
          <w:rStyle w:val="Text27"/>
        </w:rPr>
        <w:t xml:space="preserve">23</w:t>
        <w:br w:clear="none"/>
      </w:r>
      <w:r>
        <w:t xml:space="preserve"/>
        <w:br w:clear="none"/>
      </w:r>
      <w:r>
        <w:rPr>
          <w:rStyle w:val="Text10"/>
        </w:rPr>
        <w:t xml:space="preserve">class</w:t>
        <w:br w:clear="none"/>
      </w:r>
      <w:r>
        <w:t xml:space="preserve"> </w:t>
        <w:br w:clear="none"/>
      </w:r>
      <w:r>
        <w:rPr>
          <w:rStyle w:val="Text33"/>
        </w:rPr>
        <w:t xml:space="preserve">Derived</w:t>
        <w:br w:clear="none"/>
      </w:r>
      <w:r>
        <w:rPr>
          <w:rStyle w:val="Text7"/>
        </w:rPr>
        <w:t xml:space="preserve">(</w:t>
        <w:br w:clear="none"/>
      </w:r>
      <w:r>
        <w:rPr>
          <w:rStyle w:val="Text9"/>
        </w:rPr>
        <w:t xml:space="preserve">Base</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9"/>
        </w:rPr>
        <w:t xml:space="preserve">Base</w:t>
        <w:br w:clear="none"/>
      </w:r>
      <w:r>
        <w:rPr>
          <w:rStyle w:val="Text13"/>
        </w:rPr>
        <w:t xml:space="preserve">.</w:t>
        <w:br w:clear="none"/>
      </w:r>
      <w:r>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anotherattribute</w:t>
        <w:br w:clear="none"/>
      </w:r>
      <w:r>
        <w:t xml:space="preserve"> </w:t>
        <w:br w:clear="none"/>
      </w:r>
      <w:r>
        <w:rPr>
          <w:rStyle w:val="Text13"/>
        </w:rPr>
        <w:t xml:space="preserve">=</w:t>
        <w:br w:clear="none"/>
      </w:r>
      <w:r>
        <w:t xml:space="preserve"> </w:t>
        <w:br w:clear="none"/>
      </w:r>
      <w:r>
        <w:rPr>
          <w:rStyle w:val="Text27"/>
        </w:rPr>
        <w:t xml:space="preserve">45</w:t>
        <w:br w:clear="none"/>
      </w:r>
    </w:p>
    <w:p>
      <w:pPr>
        <w:pStyle w:val="Normal"/>
      </w:pPr>
      <w:r>
        <w:t xml:space="preserve">If the </w:t>
      </w:r>
      <w:r>
        <w:rPr>
          <w:rStyle w:val="Text0"/>
        </w:rPr>
        <w:t>__init__</w:t>
      </w:r>
      <w:r>
        <w:t xml:space="preserve"> method of class </w:t>
      </w:r>
      <w:r>
        <w:rPr>
          <w:rStyle w:val="Text0"/>
        </w:rPr>
        <w:t>Derived</w:t>
      </w:r>
      <w:r>
        <w:t xml:space="preserve"> didn’t explicitly call that of class </w:t>
      </w:r>
      <w:r>
        <w:rPr>
          <w:rStyle w:val="Text0"/>
        </w:rPr>
        <w:t>Base</w:t>
      </w:r>
      <w:r>
        <w:t xml:space="preserve">, instances of </w:t>
      </w:r>
      <w:r>
        <w:rPr>
          <w:rStyle w:val="Text0"/>
        </w:rPr>
        <w:t>Derived</w:t>
      </w:r>
      <w:r>
        <w:t xml:space="preserve"> would miss that portion of their initialization. Thus, such instances would violate the </w:t>
      </w:r>
      <w:hyperlink r:id="rId231">
        <w:r>
          <w:rPr>
            <w:rStyle w:val="Text1"/>
          </w:rPr>
          <w:t>Liskov substitution principle (LSP)</w:t>
        </w:r>
      </w:hyperlink>
      <w:r>
        <w:t xml:space="preserve">, since they’d lack the attribute </w:t>
      </w:r>
      <w:r>
        <w:rPr>
          <w:rStyle w:val="Text0"/>
        </w:rPr>
        <w:t>anattribute</w:t>
      </w:r>
      <w:r>
        <w:t xml:space="preserve">. This issue does </w:t>
      </w:r>
      <w:r>
        <w:rPr>
          <w:rStyle w:val="Text4"/>
        </w:rPr>
        <w:t>not</w:t>
      </w:r>
      <w:r>
        <w:t xml:space="preserve"> arise if a subclass does not define </w:t>
      </w:r>
      <w:r>
        <w:rPr>
          <w:rStyle w:val="Text0"/>
        </w:rPr>
        <w:t>__init__</w:t>
      </w:r>
      <w:r>
        <w:t xml:space="preserve">, since in that case it inherits it from the superclass. So, there is </w:t>
      </w:r>
      <w:r>
        <w:rPr>
          <w:rStyle w:val="Text4"/>
        </w:rPr>
        <w:t>never</w:t>
      </w:r>
      <w:r>
        <w:t xml:space="preserve"> any reason to code: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Derived</w:t>
        <w:br w:clear="none"/>
      </w:r>
      <w:r>
        <w:rPr>
          <w:rStyle w:val="Text7"/>
        </w:rPr>
        <w:t xml:space="preserve">(</w:t>
        <w:br w:clear="none"/>
      </w:r>
      <w:r>
        <w:rPr>
          <w:rStyle w:val="Text9"/>
        </w:rPr>
        <w:t xml:space="preserve">Base</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9"/>
        </w:rPr>
        <w:t xml:space="preserve">Base</w:t>
        <w:br w:clear="none"/>
      </w:r>
      <w:r>
        <w:rPr>
          <w:rStyle w:val="Text13"/>
        </w:rPr>
        <w:t xml:space="preserve">.</w:t>
        <w:br w:clear="none"/>
      </w:r>
      <w:r>
        <w:t xml:space="preserve">__init__</w:t>
        <w:br w:clear="none"/>
      </w:r>
      <w:r>
        <w:rPr>
          <w:rStyle w:val="Text7"/>
        </w:rPr>
        <w:t xml:space="preserve">(</w:t>
        <w:br w:clear="none"/>
      </w:r>
      <w:r>
        <w:rPr>
          <w:rStyle w:val="Text16"/>
        </w:rPr>
        <w:t xml:space="preserve">self</w:t>
        <w:br w:clear="none"/>
      </w:r>
      <w:r>
        <w:rPr>
          <w:rStyle w:val="Text7"/>
        </w:rPr>
        <w:t xml:space="preserve">)</w:t>
        <w:br w:clear="none"/>
      </w:r>
    </w:p>
    <w:p>
      <w:pPr>
        <w:keepNext/>
        <w:pStyle w:val="Heading 5"/>
        <w:keepLines w:val="on"/>
      </w:pPr>
      <w:r>
        <w:t>Never Code a Method That Just Delegates to the Superclass</w:t>
      </w:r>
    </w:p>
    <w:p>
      <w:pPr>
        <w:pStyle w:val="Para 012"/>
        <w:keepLines w:val="on"/>
      </w:pPr>
      <w:r>
        <w:t xml:space="preserve">You should never define a semantically empty </w:t>
      </w:r>
      <w:r>
        <w:rPr>
          <w:rStyle w:val="Text0"/>
        </w:rPr>
        <w:t>__init__</w:t>
      </w:r>
      <w:r>
        <w:t xml:space="preserve"> (i.e., one that just delegates to the superclass). Instead, inherit </w:t>
      </w:r>
      <w:r>
        <w:rPr>
          <w:rStyle w:val="Text0"/>
        </w:rPr>
        <w:t>__init__</w:t>
      </w:r>
      <w:r>
        <w:t xml:space="preserve"> from the superclass. This advice applies to </w:t>
      </w:r>
      <w:r>
        <w:rPr>
          <w:rStyle w:val="Text4"/>
        </w:rPr>
        <w:t>all</w:t>
      </w:r>
      <w:r>
        <w:t xml:space="preserve"> methods, special or not, but for some reason the bad habit of coding such semantically empty methods seems to show up most often for </w:t>
      </w:r>
      <w:r>
        <w:rPr>
          <w:rStyle w:val="Text0"/>
        </w:rPr>
        <w:t>__init__</w:t>
      </w:r>
      <w:r>
        <w:t>.</w:t>
      </w:r>
    </w:p>
    <w:p>
      <w:pPr>
        <w:pStyle w:val="Normal"/>
      </w:pPr>
      <w:r>
        <w:t xml:space="preserve">The preceding code illustrates the concept of delegation to an object’s superclass, but it is actually a poor practice, in today’s Python, to code these superclasses explicitly by name. If the base class is renamed, all the call sites to it must be updated. Or, worse, if refactoring the class hierarchy introduces a new layer between the </w:t>
      </w:r>
      <w:r>
        <w:rPr>
          <w:rStyle w:val="Text0"/>
        </w:rPr>
        <w:t>Derived</w:t>
      </w:r>
      <w:r>
        <w:t xml:space="preserve"> and </w:t>
      </w:r>
      <w:r>
        <w:rPr>
          <w:rStyle w:val="Text0"/>
        </w:rPr>
        <w:t>Base</w:t>
      </w:r>
      <w:r>
        <w:t xml:space="preserve"> class, the newly inserted class’s method will be silently skipped.</w:t>
      </w:r>
    </w:p>
    <w:p>
      <w:pPr>
        <w:pStyle w:val="Normal"/>
      </w:pPr>
      <w:r>
        <w:t xml:space="preserve">The recommended approach is to call methods defined in a superclass using the </w:t>
      </w:r>
      <w:r>
        <w:rPr>
          <w:rStyle w:val="Text0"/>
        </w:rPr>
        <w:t>super</w:t>
      </w:r>
      <w:r>
        <w:t xml:space="preserve"> built-in type. To invoke methods up the inheritance chain, just call </w:t>
      </w:r>
      <w:r>
        <w:rPr>
          <w:rStyle w:val="Text0"/>
        </w:rPr>
        <w:t>super()</w:t>
      </w:r>
      <w:r>
        <w:t>, without arguments: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Derived</w:t>
        <w:br w:clear="none"/>
      </w:r>
      <w:r>
        <w:rPr>
          <w:rStyle w:val="Text7"/>
        </w:rPr>
        <w:t xml:space="preserve">(</w:t>
        <w:br w:clear="none"/>
      </w:r>
      <w:r>
        <w:rPr>
          <w:rStyle w:val="Text9"/>
        </w:rPr>
        <w:t xml:space="preserve">Base</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t xml:space="preserve">__init__</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anotherattribute</w:t>
        <w:br w:clear="none"/>
      </w:r>
      <w:r>
        <w:t xml:space="preserve"> </w:t>
        <w:br w:clear="none"/>
      </w:r>
      <w:r>
        <w:rPr>
          <w:rStyle w:val="Text13"/>
        </w:rPr>
        <w:t xml:space="preserve">=</w:t>
        <w:br w:clear="none"/>
      </w:r>
      <w:r>
        <w:t xml:space="preserve"> </w:t>
        <w:br w:clear="none"/>
      </w:r>
      <w:r>
        <w:rPr>
          <w:rStyle w:val="Text27"/>
        </w:rPr>
        <w:t xml:space="preserve">45</w:t>
        <w:br w:clear="none"/>
      </w:r>
    </w:p>
    <w:p>
      <w:bookmarkStart w:id="1351" w:name="Cooperative_superclass_method_ca"/>
      <w:pPr>
        <w:keepNext/>
        <w:pStyle w:val="Heading 2"/>
      </w:pPr>
      <w:r>
        <w:t>Cooperative superclass method calling</w:t>
      </w:r>
      <w:bookmarkEnd w:id="1351"/>
    </w:p>
    <w:p>
      <w:pPr>
        <w:pStyle w:val="Normal"/>
      </w:pPr>
      <w:r>
        <w:t>Explicitly calling the superclass’s version of a method using the superclass’s name is also quite problematic in cases of multiple inheritance with so-called “diamond-shaped” graphs. Consider the following code: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A</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A.met</w:t>
        <w:br w:clear="none"/>
        <w:t xml:space="preserve">'</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B.met</w:t>
        <w:br w:clear="none"/>
        <w:t xml:space="preserve">'</w:t>
        <w:br w:clear="none"/>
      </w:r>
      <w:r>
        <w:rPr>
          <w:rStyle w:val="Text7"/>
        </w:rPr>
        <w:t xml:space="preserve">)</w:t>
        <w:br w:clear="none"/>
      </w:r>
      <w:r>
        <w:t xml:space="preserve"/>
        <w:br w:clear="none"/>
        <w:t xml:space="preserve">        </w:t>
        <w:br w:clear="none"/>
      </w:r>
      <w:r>
        <w:rPr>
          <w:rStyle w:val="Text9"/>
        </w:rPr>
        <w:t xml:space="preserve">A</w:t>
        <w:br w:clear="none"/>
      </w:r>
      <w:r>
        <w:rPr>
          <w:rStyle w:val="Text13"/>
        </w:rPr>
        <w:t xml:space="preserve">.</w:t>
        <w:br w:clear="none"/>
      </w:r>
      <w:r>
        <w:rPr>
          <w:rStyle w:val="Text9"/>
        </w:rPr>
        <w:t xml:space="preserve">met</w:t>
        <w:br w:clear="none"/>
      </w:r>
      <w:r>
        <w:rPr>
          <w:rStyle w:val="Text7"/>
        </w:rPr>
        <w:t xml:space="preserve">(</w:t>
        <w:br w:clear="none"/>
      </w:r>
      <w:r>
        <w:rPr>
          <w:rStyle w:val="Text16"/>
        </w:rPr>
        <w:t xml:space="preserve">self</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C.met</w:t>
        <w:br w:clear="none"/>
        <w:t xml:space="preserve">'</w:t>
        <w:br w:clear="none"/>
      </w:r>
      <w:r>
        <w:rPr>
          <w:rStyle w:val="Text7"/>
        </w:rPr>
        <w:t xml:space="preserve">)</w:t>
        <w:br w:clear="none"/>
      </w:r>
      <w:r>
        <w:t xml:space="preserve"/>
        <w:br w:clear="none"/>
        <w:t xml:space="preserve">        </w:t>
        <w:br w:clear="none"/>
      </w:r>
      <w:r>
        <w:rPr>
          <w:rStyle w:val="Text9"/>
        </w:rPr>
        <w:t xml:space="preserve">A</w:t>
        <w:br w:clear="none"/>
      </w:r>
      <w:r>
        <w:rPr>
          <w:rStyle w:val="Text13"/>
        </w:rPr>
        <w:t xml:space="preserve">.</w:t>
        <w:br w:clear="none"/>
      </w:r>
      <w:r>
        <w:rPr>
          <w:rStyle w:val="Text9"/>
        </w:rPr>
        <w:t xml:space="preserve">met</w:t>
        <w:br w:clear="none"/>
      </w:r>
      <w:r>
        <w:rPr>
          <w:rStyle w:val="Text7"/>
        </w:rPr>
        <w:t xml:space="preserve">(</w:t>
        <w:br w:clear="none"/>
      </w:r>
      <w:r>
        <w:rPr>
          <w:rStyle w:val="Text16"/>
        </w:rPr>
        <w:t xml:space="preserve">self</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D</w:t>
        <w:br w:clear="none"/>
      </w:r>
      <w:r>
        <w:rPr>
          <w:rStyle w:val="Text7"/>
        </w:rPr>
        <w:t xml:space="preserve">(</w:t>
        <w:br w:clear="none"/>
      </w:r>
      <w:r>
        <w:rPr>
          <w:rStyle w:val="Text9"/>
        </w:rPr>
        <w:t xml:space="preserve">B</w:t>
        <w:br w:clear="none"/>
      </w:r>
      <w:r>
        <w:rPr>
          <w:rStyle w:val="Text7"/>
        </w:rPr>
        <w:t xml:space="preserve">,</w:t>
        <w:br w:clear="none"/>
      </w:r>
      <w:r>
        <w:rPr>
          <w:rStyle w:val="Text9"/>
        </w:rPr>
        <w:t xml:space="preserve">C</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D.met</w:t>
        <w:br w:clear="none"/>
        <w:t xml:space="preserve">'</w:t>
        <w:br w:clear="none"/>
      </w:r>
      <w:r>
        <w:rPr>
          <w:rStyle w:val="Text7"/>
        </w:rPr>
        <w:t xml:space="preserve">)</w:t>
        <w:br w:clear="none"/>
      </w:r>
      <w:r>
        <w:t xml:space="preserve"/>
        <w:br w:clear="none"/>
        <w:t xml:space="preserve">        </w:t>
        <w:br w:clear="none"/>
      </w:r>
      <w:r>
        <w:rPr>
          <w:rStyle w:val="Text9"/>
        </w:rPr>
        <w:t xml:space="preserve">B</w:t>
        <w:br w:clear="none"/>
      </w:r>
      <w:r>
        <w:rPr>
          <w:rStyle w:val="Text13"/>
        </w:rPr>
        <w:t xml:space="preserve">.</w:t>
        <w:br w:clear="none"/>
      </w:r>
      <w:r>
        <w:rPr>
          <w:rStyle w:val="Text9"/>
        </w:rPr>
        <w:t xml:space="preserve">met</w:t>
        <w:br w:clear="none"/>
      </w:r>
      <w:r>
        <w:rPr>
          <w:rStyle w:val="Text7"/>
        </w:rPr>
        <w:t xml:space="preserve">(</w:t>
        <w:br w:clear="none"/>
      </w:r>
      <w:r>
        <w:rPr>
          <w:rStyle w:val="Text16"/>
        </w:rPr>
        <w:t xml:space="preserve">self</w:t>
        <w:br w:clear="none"/>
      </w:r>
      <w:r>
        <w:rPr>
          <w:rStyle w:val="Text7"/>
        </w:rPr>
        <w:t xml:space="preserve">)</w:t>
        <w:br w:clear="none"/>
      </w:r>
      <w:r>
        <w:t xml:space="preserve"/>
        <w:br w:clear="none"/>
        <w:t xml:space="preserve">        </w:t>
        <w:br w:clear="none"/>
      </w:r>
      <w:r>
        <w:rPr>
          <w:rStyle w:val="Text9"/>
        </w:rPr>
        <w:t xml:space="preserve">C</w:t>
        <w:br w:clear="none"/>
      </w:r>
      <w:r>
        <w:rPr>
          <w:rStyle w:val="Text13"/>
        </w:rPr>
        <w:t xml:space="preserve">.</w:t>
        <w:br w:clear="none"/>
      </w:r>
      <w:r>
        <w:rPr>
          <w:rStyle w:val="Text9"/>
        </w:rPr>
        <w:t xml:space="preserve">met</w:t>
        <w:br w:clear="none"/>
      </w:r>
      <w:r>
        <w:rPr>
          <w:rStyle w:val="Text7"/>
        </w:rPr>
        <w:t xml:space="preserve">(</w:t>
        <w:br w:clear="none"/>
      </w:r>
      <w:r>
        <w:rPr>
          <w:rStyle w:val="Text16"/>
        </w:rPr>
        <w:t xml:space="preserve">self</w:t>
        <w:br w:clear="none"/>
      </w:r>
      <w:r>
        <w:rPr>
          <w:rStyle w:val="Text7"/>
        </w:rPr>
        <w:t xml:space="preserve">)</w:t>
        <w:br w:clear="none"/>
      </w:r>
    </w:p>
    <w:p>
      <w:pPr>
        <w:pStyle w:val="Normal"/>
      </w:pPr>
      <w:r>
        <w:t xml:space="preserve">When we call </w:t>
      </w:r>
      <w:r>
        <w:rPr>
          <w:rStyle w:val="Text0"/>
        </w:rPr>
        <w:t>D().met()</w:t>
      </w:r>
      <w:r>
        <w:t xml:space="preserve">, </w:t>
      </w:r>
      <w:r>
        <w:rPr>
          <w:rStyle w:val="Text0"/>
        </w:rPr>
        <w:t>A.met</w:t>
      </w:r>
      <w:r>
        <w:t xml:space="preserve"> ends up being called twice. How can we ensure that each ancestor’s implementation of the method is called once and only once? The solution is to use </w:t>
      </w:r>
      <w:r>
        <w:rPr>
          <w:rStyle w:val="Text0"/>
        </w:rPr>
        <w:t>super</w:t>
      </w:r>
      <w:r>
        <w:t>:</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A</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A.met</w:t>
        <w:br w:clear="none"/>
        <w:t xml:space="preserve">'</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B.met</w:t>
        <w:br w:clear="none"/>
        <w:t xml:space="preserve">'</w:t>
        <w:br w:clear="none"/>
      </w:r>
      <w:r>
        <w:rPr>
          <w:rStyle w:val="Text7"/>
        </w:rPr>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9"/>
        </w:rPr>
        <w:t xml:space="preserve">met</w:t>
        <w:br w:clear="none"/>
      </w:r>
      <w:r>
        <w:rPr>
          <w:rStyle w:val="Text7"/>
        </w:rPr>
        <w:t xml:space="preserve">(</w:t>
        <w:br w:clear="none"/>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A</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C.met</w:t>
        <w:br w:clear="none"/>
        <w:t xml:space="preserve">'</w:t>
        <w:br w:clear="none"/>
      </w:r>
      <w:r>
        <w:rPr>
          <w:rStyle w:val="Text7"/>
        </w:rPr>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9"/>
        </w:rPr>
        <w:t xml:space="preserve">met</w:t>
        <w:br w:clear="none"/>
      </w:r>
      <w:r>
        <w:rPr>
          <w:rStyle w:val="Text7"/>
        </w:rPr>
        <w:t xml:space="preserve">(</w:t>
        <w:br w:clear="none"/>
        <w:t xml:space="preserve">)</w:t>
        <w:br w:clear="none"/>
      </w:r>
      <w:r>
        <w:t xml:space="preserve"/>
        <w:br w:clear="none"/>
      </w:r>
      <w:r>
        <w:rPr>
          <w:rStyle w:val="Text10"/>
        </w:rPr>
        <w:t xml:space="preserve">class</w:t>
        <w:br w:clear="none"/>
      </w:r>
      <w:r>
        <w:t xml:space="preserve"> </w:t>
        <w:br w:clear="none"/>
      </w:r>
      <w:r>
        <w:rPr>
          <w:rStyle w:val="Text33"/>
        </w:rPr>
        <w:t xml:space="preserve">D</w:t>
        <w:br w:clear="none"/>
      </w:r>
      <w:r>
        <w:rPr>
          <w:rStyle w:val="Text7"/>
        </w:rPr>
        <w:t xml:space="preserve">(</w:t>
        <w:br w:clear="none"/>
      </w:r>
      <w:r>
        <w:rPr>
          <w:rStyle w:val="Text9"/>
        </w:rPr>
        <w:t xml:space="preserve">B</w:t>
        <w:br w:clear="none"/>
      </w:r>
      <w:r>
        <w:rPr>
          <w:rStyle w:val="Text7"/>
        </w:rPr>
        <w:t xml:space="preserve">,</w:t>
        <w:br w:clear="none"/>
      </w:r>
      <w:r>
        <w:rPr>
          <w:rStyle w:val="Text9"/>
        </w:rPr>
        <w:t xml:space="preserve">C</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met</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D.met</w:t>
        <w:br w:clear="none"/>
        <w:t xml:space="preserve">'</w:t>
        <w:br w:clear="none"/>
      </w:r>
      <w:r>
        <w:rPr>
          <w:rStyle w:val="Text7"/>
        </w:rPr>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9"/>
        </w:rPr>
        <w:t xml:space="preserve">met</w:t>
        <w:br w:clear="none"/>
      </w:r>
      <w:r>
        <w:rPr>
          <w:rStyle w:val="Text7"/>
        </w:rPr>
        <w:t xml:space="preserve">(</w:t>
        <w:br w:clear="none"/>
        <w:t xml:space="preserve">)</w:t>
        <w:br w:clear="none"/>
      </w:r>
    </w:p>
    <w:p>
      <w:pPr>
        <w:pStyle w:val="Normal"/>
      </w:pPr>
      <w:r>
        <w:t xml:space="preserve">Now, </w:t>
      </w:r>
      <w:r>
        <w:rPr>
          <w:rStyle w:val="Text0"/>
        </w:rPr>
        <w:t>D().met()</w:t>
      </w:r>
      <w:r>
        <w:t xml:space="preserve"> results in exactly one call to each class’s version of </w:t>
      </w:r>
      <w:r>
        <w:rPr>
          <w:rStyle w:val="Text0"/>
        </w:rPr>
        <w:t>met</w:t>
      </w:r>
      <w:r>
        <w:t xml:space="preserve">. If you get into the good habit of always coding superclass calls with </w:t>
      </w:r>
      <w:r>
        <w:rPr>
          <w:rStyle w:val="Text0"/>
        </w:rPr>
        <w:t>super</w:t>
      </w:r>
      <w:r>
        <w:t>, your classes will fit smoothly even in complicated inheritance structures—and there will be no ill effects if the inheritance structure instead turns out to be simple.</w:t>
      </w:r>
    </w:p>
    <w:p>
      <w:pPr>
        <w:pStyle w:val="Normal"/>
      </w:pPr>
      <w:r>
        <w:t>The only situation in which you may prefer to use the rougher approach of calling superclass methods through the explicit syntax is when various classes have different and incompatible signatures for the same method. This is an unpleasant situation in many respects; if you do have to deal with it, the explicit syntax may sometimes be the least of the evils. Proper use of multiple inheritance is seriously hampered; but then, even the most fundamental properties of OOP, such as polymorphism between base and subclass instances, are impaired when you give methods of the same name different signatures in a superclass and its subclass.</w:t>
      </w:r>
    </w:p>
    <w:p>
      <w:bookmarkStart w:id="1352" w:name="Dynamic_class_definition_using_t"/>
      <w:pPr>
        <w:keepNext/>
        <w:pStyle w:val="Heading 2"/>
      </w:pPr>
      <w:r>
        <w:t>Dynamic class definition using the type built-in function</w:t>
      </w:r>
      <w:bookmarkEnd w:id="1352"/>
    </w:p>
    <w:p>
      <w:pPr>
        <w:pStyle w:val="Normal"/>
      </w:pPr>
      <w:r>
        <w:t>In</w:t>
      </w:r>
      <w:r>
        <w:rPr>
          <w:rStyle w:val="Text111"/>
        </w:rPr>
        <w:bookmarkStart w:id="1353" w:name="idm45965273401392"/>
        <w:t/>
        <w:bookmarkEnd w:id="1353"/>
      </w:r>
      <w:r>
        <w:t xml:space="preserve"> addition to the </w:t>
      </w:r>
      <w:r>
        <w:rPr>
          <w:rStyle w:val="Text0"/>
        </w:rPr>
        <w:t>type(</w:t>
      </w:r>
      <w:r>
        <w:rPr>
          <w:rStyle w:val="Text3"/>
        </w:rPr>
        <w:t>obj</w:t>
      </w:r>
      <w:r>
        <w:rPr>
          <w:rStyle w:val="Text0"/>
        </w:rPr>
        <w:t>)</w:t>
      </w:r>
      <w:r>
        <w:t xml:space="preserve"> use, you can also call </w:t>
      </w:r>
      <w:r>
        <w:rPr>
          <w:rStyle w:val="Text0"/>
        </w:rPr>
        <w:t>type</w:t>
      </w:r>
      <w:r>
        <w:t xml:space="preserve"> with three arguments to define a new class:</w:t>
      </w:r>
    </w:p>
    <w:p>
      <w:pPr>
        <w:pStyle w:val="Para 007"/>
      </w:pPr>
      <w:r>
        <w:rPr>
          <w:rStyle w:val="Text23"/>
        </w:rPr>
        <w:t xml:space="preserve"/>
        <w:br w:clear="none"/>
      </w:r>
      <w:r>
        <w:t xml:space="preserve">NewClass</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type</w:t>
        <w:br w:clear="none"/>
      </w:r>
      <w:r>
        <w:rPr>
          <w:rStyle w:val="Text7"/>
        </w:rPr>
        <w:t xml:space="preserve">(</w:t>
        <w:br w:clear="none"/>
      </w:r>
      <w:r>
        <w:t xml:space="preserve">name</w:t>
        <w:br w:clear="none"/>
      </w:r>
      <w:r>
        <w:rPr>
          <w:rStyle w:val="Text7"/>
        </w:rPr>
        <w:t xml:space="preserve">,</w:t>
        <w:br w:clear="none"/>
      </w:r>
      <w:r>
        <w:rPr>
          <w:rStyle w:val="Text23"/>
        </w:rPr>
        <w:t xml:space="preserve"> </w:t>
        <w:br w:clear="none"/>
      </w:r>
      <w:r>
        <w:t xml:space="preserve">bases</w:t>
        <w:br w:clear="none"/>
      </w:r>
      <w:r>
        <w:rPr>
          <w:rStyle w:val="Text7"/>
        </w:rPr>
        <w:t xml:space="preserve">,</w:t>
        <w:br w:clear="none"/>
      </w:r>
      <w:r>
        <w:rPr>
          <w:rStyle w:val="Text23"/>
        </w:rPr>
        <w:t xml:space="preserve"> </w:t>
        <w:br w:clear="none"/>
      </w:r>
      <w:r>
        <w:t xml:space="preserve">class_attributes</w:t>
        <w:br w:clear="none"/>
      </w:r>
      <w:r>
        <w:rPr>
          <w:rStyle w:val="Text7"/>
        </w:rPr>
        <w:t xml:space="preserve">,</w:t>
        <w:br w:clear="none"/>
      </w:r>
      <w:r>
        <w:rPr>
          <w:rStyle w:val="Text23"/>
        </w:rPr>
        <w:t xml:space="preserve"> </w:t>
        <w:br w:clear="none"/>
      </w:r>
      <w:r>
        <w:rPr>
          <w:rStyle w:val="Text13"/>
        </w:rPr>
        <w:t xml:space="preserve">**</w:t>
        <w:br w:clear="none"/>
      </w:r>
      <w:r>
        <w:t xml:space="preserve">kwargs</w:t>
        <w:br w:clear="none"/>
      </w:r>
      <w:r>
        <w:rPr>
          <w:rStyle w:val="Text7"/>
        </w:rPr>
        <w:t xml:space="preserve">)</w:t>
        <w:br w:clear="none"/>
      </w:r>
    </w:p>
    <w:p>
      <w:pPr>
        <w:pStyle w:val="Normal"/>
      </w:pPr>
      <w:r>
        <w:t xml:space="preserve">where </w:t>
      </w:r>
      <w:r>
        <w:rPr>
          <w:rStyle w:val="Text3"/>
        </w:rPr>
        <w:t>name</w:t>
      </w:r>
      <w:r>
        <w:t xml:space="preserve"> is the name of the new class (which should match the target variable), </w:t>
      </w:r>
      <w:r>
        <w:rPr>
          <w:rStyle w:val="Text3"/>
        </w:rPr>
        <w:t>bases</w:t>
      </w:r>
      <w:r>
        <w:t xml:space="preserve"> is a tuple of immediate superclasses, </w:t>
      </w:r>
      <w:r>
        <w:rPr>
          <w:rStyle w:val="Text3"/>
        </w:rPr>
        <w:t>class_attributes</w:t>
      </w:r>
      <w:r>
        <w:t xml:space="preserve"> is a </w:t>
      </w:r>
      <w:r>
        <w:rPr>
          <w:rStyle w:val="Text0"/>
        </w:rPr>
        <w:t>dict</w:t>
      </w:r>
      <w:r>
        <w:t xml:space="preserve"> of class-level methods and attributes to define in the new class, and </w:t>
      </w:r>
      <w:r>
        <w:rPr>
          <w:rStyle w:val="Text0"/>
        </w:rPr>
        <w:t>**</w:t>
      </w:r>
      <w:r>
        <w:rPr>
          <w:rStyle w:val="Text3"/>
        </w:rPr>
        <w:t>kwargs</w:t>
      </w:r>
      <w:r>
        <w:t xml:space="preserve"> are optional named arguments to pass to the</w:t>
      </w:r>
      <w:r>
        <w:rPr>
          <w:rStyle w:val="Text111"/>
        </w:rPr>
        <w:bookmarkStart w:id="1354" w:name="idm45965273343040"/>
        <w:t/>
        <w:bookmarkEnd w:id="1354"/>
        <w:bookmarkStart w:id="1355" w:name="idm45965273341728"/>
        <w:t/>
        <w:bookmarkEnd w:id="1355"/>
      </w:r>
      <w:r>
        <w:t xml:space="preserve"> metaclass of one of the base classes.</w:t>
      </w:r>
    </w:p>
    <w:p>
      <w:pPr>
        <w:pStyle w:val="Normal"/>
      </w:pPr>
      <w:r>
        <w:t xml:space="preserve">For example, with a simple hierarchy of </w:t>
      </w:r>
      <w:r>
        <w:rPr>
          <w:rStyle w:val="Text0"/>
        </w:rPr>
        <w:t>Vehicle</w:t>
      </w:r>
      <w:r>
        <w:t xml:space="preserve"> classes (such as </w:t>
      </w:r>
      <w:r>
        <w:rPr>
          <w:rStyle w:val="Text0"/>
        </w:rPr>
        <w:t>LandVehicle</w:t>
      </w:r>
      <w:r>
        <w:t xml:space="preserve">, </w:t>
      </w:r>
      <w:r>
        <w:rPr>
          <w:rStyle w:val="Text0"/>
        </w:rPr>
        <w:t>WaterVehicle</w:t>
      </w:r>
      <w:r>
        <w:t xml:space="preserve">, </w:t>
      </w:r>
      <w:r>
        <w:rPr>
          <w:rStyle w:val="Text0"/>
        </w:rPr>
        <w:t>AirVehicle</w:t>
      </w:r>
      <w:r>
        <w:t xml:space="preserve">, </w:t>
      </w:r>
      <w:r>
        <w:rPr>
          <w:rStyle w:val="Text0"/>
        </w:rPr>
        <w:t>SpaceVehicle</w:t>
      </w:r>
      <w:r>
        <w:t>, etc.), you can dynamically create hybrid classes at runtime, such as:</w:t>
      </w:r>
    </w:p>
    <w:p>
      <w:pPr>
        <w:pStyle w:val="Para 007"/>
      </w:pPr>
      <w:r>
        <w:rPr>
          <w:rStyle w:val="Text23"/>
        </w:rPr>
        <w:t xml:space="preserve"/>
        <w:br w:clear="none"/>
      </w:r>
      <w:r>
        <w:t xml:space="preserve">AmphibiousVehicle</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type</w:t>
        <w:br w:clear="none"/>
      </w:r>
      <w:r>
        <w:rPr>
          <w:rStyle w:val="Text7"/>
        </w:rPr>
        <w:t xml:space="preserve">(</w:t>
        <w:br w:clear="none"/>
      </w:r>
      <w:r>
        <w:rPr>
          <w:rStyle w:val="Text8"/>
        </w:rPr>
        <w:t xml:space="preserve">'AmphibiousVehicle'</w:t>
        <w:br w:clear="none"/>
      </w:r>
      <w:r>
        <w:rPr>
          <w:rStyle w:val="Text7"/>
        </w:rPr>
        <w:t xml:space="preserve">,</w:t>
        <w:br w:clear="none"/>
      </w:r>
      <w:r>
        <w:rPr>
          <w:rStyle w:val="Text23"/>
        </w:rPr>
        <w:t xml:space="preserve"> </w:t>
        <w:br w:clear="none"/>
        <w:t xml:space="preserve">                         </w:t>
        <w:br w:clear="none"/>
      </w:r>
      <w:r>
        <w:rPr>
          <w:rStyle w:val="Text7"/>
        </w:rPr>
        <w:t xml:space="preserve">(</w:t>
        <w:br w:clear="none"/>
      </w:r>
      <w:r>
        <w:t xml:space="preserve">LandVehicle</w:t>
        <w:br w:clear="none"/>
      </w:r>
      <w:r>
        <w:rPr>
          <w:rStyle w:val="Text7"/>
        </w:rPr>
        <w:t xml:space="preserve">,</w:t>
        <w:br w:clear="none"/>
      </w:r>
      <w:r>
        <w:rPr>
          <w:rStyle w:val="Text23"/>
        </w:rPr>
        <w:t xml:space="preserve"> </w:t>
        <w:br w:clear="none"/>
      </w:r>
      <w:r>
        <w:t xml:space="preserve">WaterVehicle</w:t>
        <w:br w:clear="none"/>
      </w:r>
      <w:r>
        <w:rPr>
          <w:rStyle w:val="Text7"/>
        </w:rPr>
        <w:t xml:space="preserve">),</w:t>
        <w:br w:clear="none"/>
      </w:r>
      <w:r>
        <w:rPr>
          <w:rStyle w:val="Text23"/>
        </w:rPr>
        <w:t xml:space="preserve"> </w:t>
        <w:br w:clear="none"/>
      </w:r>
      <w:r>
        <w:rPr>
          <w:rStyle w:val="Text7"/>
        </w:rPr>
        <w:t xml:space="preserve">{})</w:t>
        <w:br w:clear="none"/>
      </w:r>
    </w:p>
    <w:p>
      <w:pPr>
        <w:pStyle w:val="Normal"/>
      </w:pPr>
      <w:r>
        <w:t>This would be equivalent to defining a multiply inherited class:</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AmphibiousVehicle</w:t>
        <w:br w:clear="none"/>
      </w:r>
      <w:r>
        <w:rPr>
          <w:rStyle w:val="Text7"/>
        </w:rPr>
        <w:t xml:space="preserve">(</w:t>
        <w:br w:clear="none"/>
      </w:r>
      <w:r>
        <w:t xml:space="preserve">LandVehicle</w:t>
        <w:br w:clear="none"/>
      </w:r>
      <w:r>
        <w:rPr>
          <w:rStyle w:val="Text7"/>
        </w:rPr>
        <w:t xml:space="preserve">,</w:t>
        <w:br w:clear="none"/>
      </w:r>
      <w:r>
        <w:rPr>
          <w:rStyle w:val="Text6"/>
        </w:rPr>
        <w:t xml:space="preserve"> </w:t>
        <w:br w:clear="none"/>
      </w:r>
      <w:r>
        <w:t xml:space="preserve">WaterVehicle</w:t>
        <w:br w:clear="none"/>
      </w:r>
      <w:r>
        <w:rPr>
          <w:rStyle w:val="Text7"/>
        </w:rPr>
        <w:t xml:space="preserve">)</w:t>
        <w:br w:clear="none"/>
        <w:t xml:space="preserve">:</w:t>
        <w:br w:clear="none"/>
      </w:r>
      <w:r>
        <w:rPr>
          <w:rStyle w:val="Text6"/>
        </w:rPr>
        <w:t xml:space="preserve"> </w:t>
        <w:br w:clear="none"/>
      </w:r>
      <w:r>
        <w:rPr>
          <w:rStyle w:val="Text10"/>
        </w:rPr>
        <w:t xml:space="preserve">pass</w:t>
        <w:br w:clear="none"/>
      </w:r>
    </w:p>
    <w:p>
      <w:pPr>
        <w:pStyle w:val="Normal"/>
      </w:pPr>
      <w:r>
        <w:t xml:space="preserve">When you call type to create classes at runtime, you do not need to manually define the combinatorial expansion of all combinations of </w:t>
      </w:r>
      <w:r>
        <w:rPr>
          <w:rStyle w:val="Text0"/>
        </w:rPr>
        <w:t>Vehicle</w:t>
      </w:r>
      <w:r>
        <w:t xml:space="preserve"> subclasses, and adding new subclasses does not require massive extension of defined mixed classes.</w:t>
      </w:r>
      <w:hyperlink w:anchor="7_One_of_the_authors_has_used_th">
        <w:r>
          <w:rPr>
            <w:rStyle w:val="Text41"/>
          </w:rPr>
          <w:bookmarkStart w:id="1356" w:name="7_3"/>
          <w:t>7</w:t>
          <w:bookmarkEnd w:id="1356"/>
        </w:r>
      </w:hyperlink>
      <w:r>
        <w:t xml:space="preserve"> For more notes and examples, see the </w:t>
      </w:r>
      <w:hyperlink r:id="rId232">
        <w:r>
          <w:rPr>
            <w:rStyle w:val="Text1"/>
          </w:rPr>
          <w:t>online documentation</w:t>
        </w:r>
      </w:hyperlink>
      <w:r>
        <w:t>.</w:t>
      </w:r>
    </w:p>
    <w:p>
      <w:bookmarkStart w:id="1357" w:name="_Deleting__class_attributes__Inh"/>
      <w:pPr>
        <w:keepNext/>
        <w:pStyle w:val="Heading 2"/>
      </w:pPr>
      <w:r>
        <w:t>“Deleting” class attributes</w:t>
      </w:r>
      <w:bookmarkEnd w:id="1357"/>
    </w:p>
    <w:p>
      <w:pPr>
        <w:pStyle w:val="Normal"/>
      </w:pPr>
      <w:r>
        <w:t>Inheritance and overriding provide a simple and effective way to add or modify (override) class attributes (such as methods) noninvasively—i.e., without modifying the base class defining the attributes—by adding or overriding the attributes in subclasses. However, inheritance does not offer a way to delete (hide) base classes’ attributes noninvasively. If the subclass simply fails to define (override) an attribute, Python finds the base class’s definition. If you need to perform such deletion, possibilities include the following:</w:t>
      </w:r>
    </w:p>
    <w:p>
      <w:pPr>
        <w:pStyle w:val="Para 010"/>
      </w:pPr>
      <w:r>
        <w:t>Override the method and raise an exception in the method’s body.</w:t>
      </w:r>
    </w:p>
    <w:p>
      <w:pPr>
        <w:pStyle w:val="Para 010"/>
      </w:pPr>
      <w:r>
        <w:t xml:space="preserve">Eschew inheritance, hold the attributes elsewhere than in the subclass’s </w:t>
      </w:r>
      <w:r>
        <w:rPr>
          <w:rStyle w:val="Text0"/>
        </w:rPr>
        <w:t>__dict__</w:t>
      </w:r>
      <w:r>
        <w:t xml:space="preserve">, and define </w:t>
      </w:r>
      <w:r>
        <w:rPr>
          <w:rStyle w:val="Text0"/>
        </w:rPr>
        <w:t>__getattr__</w:t>
      </w:r>
      <w:r>
        <w:t xml:space="preserve"> for selective delegation.</w:t>
      </w:r>
    </w:p>
    <w:p>
      <w:pPr>
        <w:pStyle w:val="Para 010"/>
      </w:pPr>
      <w:r>
        <w:t xml:space="preserve">Override </w:t>
      </w:r>
      <w:r>
        <w:rPr>
          <w:rStyle w:val="Text0"/>
        </w:rPr>
        <w:t>__getattribute__</w:t>
      </w:r>
      <w:r>
        <w:t xml:space="preserve"> to similar effect.</w:t>
      </w:r>
    </w:p>
    <w:p>
      <w:pPr>
        <w:pStyle w:val="Normal"/>
      </w:pPr>
      <w:r>
        <w:t xml:space="preserve">The last of these techniques is demonstrated in </w:t>
      </w:r>
      <w:hyperlink w:anchor="__getattribute____All_references">
        <w:r>
          <w:rPr>
            <w:rStyle w:val="Text1"/>
          </w:rPr>
          <w:t>“__getattribute__”</w:t>
        </w:r>
      </w:hyperlink>
      <w:r>
        <w:t>.</w:t>
      </w:r>
    </w:p>
    <w:p>
      <w:pPr>
        <w:keepNext/>
        <w:pStyle w:val="Heading 5"/>
        <w:keepLines w:val="on"/>
      </w:pPr>
      <w:r>
        <w:t>Consider Using Aggregation Instead of Inheritance</w:t>
      </w:r>
    </w:p>
    <w:p>
      <w:pPr>
        <w:pStyle w:val="Para 012"/>
        <w:keepLines w:val="on"/>
      </w:pPr>
      <w:r>
        <w:t xml:space="preserve">An alternative to inheritance is to use </w:t>
      </w:r>
      <w:r>
        <w:rPr>
          <w:rStyle w:val="Text4"/>
        </w:rPr>
        <w:t>aggregation</w:t>
      </w:r>
      <w:r>
        <w:t>: instead of inheriting from a base class, hold an instance of that base class as a private attribute. You then get complete control over the attribute’s life cycle and public interface by providing public methods in the containing class that delegate to the contained attribute (i.e., by calling equivalent methods on the attribute). This way, the containing class has more control over the creation and deletion of the attribute; also, for any unwanted methods that the attribute’s class provides, you simply don’t write delegating methods in the containing class.</w:t>
      </w:r>
      <w:r>
        <w:rPr>
          <w:rStyle w:val="Text111"/>
        </w:rPr>
        <w:bookmarkStart w:id="1358" w:name="idm45965276864032"/>
        <w:t/>
        <w:bookmarkEnd w:id="1358"/>
      </w:r>
    </w:p>
    <w:p>
      <w:bookmarkStart w:id="1359" w:name="The_Built_in_object_Type__The_bu"/>
      <w:pPr>
        <w:keepNext/>
        <w:pStyle w:val="Heading 2"/>
      </w:pPr>
      <w:r>
        <w:t>The Built-in object Type</w:t>
      </w:r>
      <w:bookmarkEnd w:id="1359"/>
    </w:p>
    <w:p>
      <w:pPr>
        <w:pStyle w:val="Normal"/>
      </w:pPr>
      <w:r>
        <w:t xml:space="preserve">The built-in </w:t>
      </w:r>
      <w:r>
        <w:rPr>
          <w:rStyle w:val="Text0"/>
        </w:rPr>
        <w:t>object</w:t>
      </w:r>
      <w:r>
        <w:t xml:space="preserve"> type is the ancestor of all built-in types and classes. The </w:t>
      </w:r>
      <w:r>
        <w:rPr>
          <w:rStyle w:val="Text0"/>
        </w:rPr>
        <w:t>object</w:t>
      </w:r>
      <w:r>
        <w:t xml:space="preserve"> type defines some special methods (documented in </w:t>
      </w:r>
      <w:hyperlink w:anchor="Special_Methods__A_class_may_def">
        <w:r>
          <w:rPr>
            <w:rStyle w:val="Text1"/>
          </w:rPr>
          <w:t>“Special Methods”</w:t>
        </w:r>
      </w:hyperlink>
      <w:r>
        <w:t>) that implement the default semantics of objects:</w:t>
      </w:r>
    </w:p>
    <w:p>
      <w:pPr>
        <w:pStyle w:val="Para 030"/>
      </w:pPr>
      <w:r>
        <w:t>__new__</w:t>
      </w:r>
      <w:r>
        <w:rPr>
          <w:rStyle w:val="Text12"/>
        </w:rPr>
        <w:t xml:space="preserve">, </w:t>
      </w:r>
      <w:r>
        <w:t>__init__</w:t>
      </w:r>
    </w:p>
    <w:p>
      <w:pPr>
        <w:pStyle w:val="Para 016"/>
      </w:pPr>
      <w:r>
        <w:t xml:space="preserve">You can create a direct instance of </w:t>
      </w:r>
      <w:r>
        <w:rPr>
          <w:rStyle w:val="Text0"/>
        </w:rPr>
        <w:t>object</w:t>
      </w:r>
      <w:r>
        <w:t xml:space="preserve"> by calling </w:t>
      </w:r>
      <w:r>
        <w:rPr>
          <w:rStyle w:val="Text0"/>
        </w:rPr>
        <w:t>object()</w:t>
      </w:r>
      <w:r>
        <w:t xml:space="preserve"> without any arguments. The call uses </w:t>
      </w:r>
      <w:r>
        <w:rPr>
          <w:rStyle w:val="Text0"/>
        </w:rPr>
        <w:t>object.__new__</w:t>
      </w:r>
      <w:r>
        <w:t xml:space="preserve"> and </w:t>
      </w:r>
      <w:r>
        <w:rPr>
          <w:rStyle w:val="Text0"/>
        </w:rPr>
        <w:t>object.__init__</w:t>
      </w:r>
      <w:r>
        <w:t xml:space="preserve"> to make and return an instance object without attributes (and without even a </w:t>
      </w:r>
      <w:r>
        <w:rPr>
          <w:rStyle w:val="Text0"/>
        </w:rPr>
        <w:t>__dict__</w:t>
      </w:r>
      <w:r>
        <w:t xml:space="preserve"> in which to hold attributes). Such instance objects may be useful as “sentinels,” guaranteed to compare unequal to any other distinct object.</w:t>
      </w:r>
    </w:p>
    <w:p>
      <w:pPr>
        <w:pStyle w:val="Para 030"/>
      </w:pPr>
      <w:r>
        <w:t>__delattr__</w:t>
      </w:r>
      <w:r>
        <w:rPr>
          <w:rStyle w:val="Text12"/>
        </w:rPr>
        <w:t xml:space="preserve">, </w:t>
      </w:r>
      <w:r>
        <w:t>__getattr__</w:t>
      </w:r>
      <w:r>
        <w:rPr>
          <w:rStyle w:val="Text12"/>
        </w:rPr>
        <w:t xml:space="preserve">, </w:t>
      </w:r>
      <w:r>
        <w:t>__getattribute__</w:t>
      </w:r>
      <w:r>
        <w:rPr>
          <w:rStyle w:val="Text12"/>
        </w:rPr>
        <w:t xml:space="preserve">, </w:t>
      </w:r>
      <w:r>
        <w:t>__setattr__</w:t>
      </w:r>
    </w:p>
    <w:p>
      <w:pPr>
        <w:pStyle w:val="Para 016"/>
      </w:pPr>
      <w:r>
        <w:t xml:space="preserve">By default, any object handles attribute references (as covered in </w:t>
      </w:r>
      <w:hyperlink w:anchor="Attribute_Reference_Basics__An_a">
        <w:r>
          <w:rPr>
            <w:rStyle w:val="Text43"/>
          </w:rPr>
          <w:t>“Attribute Reference Basics”</w:t>
        </w:r>
      </w:hyperlink>
      <w:r>
        <w:t xml:space="preserve">) using these methods of </w:t>
      </w:r>
      <w:r>
        <w:rPr>
          <w:rStyle w:val="Text0"/>
        </w:rPr>
        <w:t>object</w:t>
      </w:r>
      <w:r>
        <w:t>.</w:t>
      </w:r>
    </w:p>
    <w:p>
      <w:pPr>
        <w:pStyle w:val="Para 030"/>
      </w:pPr>
      <w:r>
        <w:t>__hash__</w:t>
      </w:r>
      <w:r>
        <w:rPr>
          <w:rStyle w:val="Text12"/>
        </w:rPr>
        <w:t xml:space="preserve">, </w:t>
      </w:r>
      <w:r>
        <w:t>__repr__</w:t>
      </w:r>
      <w:r>
        <w:rPr>
          <w:rStyle w:val="Text12"/>
        </w:rPr>
        <w:t xml:space="preserve">, </w:t>
      </w:r>
      <w:r>
        <w:t>__str__</w:t>
      </w:r>
    </w:p>
    <w:p>
      <w:pPr>
        <w:pStyle w:val="Para 016"/>
      </w:pPr>
      <w:r>
        <w:t xml:space="preserve">Passing an object to </w:t>
      </w:r>
      <w:r>
        <w:rPr>
          <w:rStyle w:val="Text0"/>
        </w:rPr>
        <w:t>hash</w:t>
      </w:r>
      <w:r>
        <w:t xml:space="preserve">, </w:t>
      </w:r>
      <w:r>
        <w:rPr>
          <w:rStyle w:val="Text0"/>
        </w:rPr>
        <w:t>repr</w:t>
      </w:r>
      <w:r>
        <w:t xml:space="preserve">, or </w:t>
      </w:r>
      <w:r>
        <w:rPr>
          <w:rStyle w:val="Text0"/>
        </w:rPr>
        <w:t>str</w:t>
      </w:r>
      <w:r>
        <w:t xml:space="preserve"> calls the object’s corresponding</w:t>
      </w:r>
      <w:r>
        <w:rPr>
          <w:rStyle w:val="Text115"/>
        </w:rPr>
        <w:bookmarkStart w:id="1360" w:name="idm45965276841184"/>
        <w:t/>
        <w:bookmarkEnd w:id="1360"/>
      </w:r>
      <w:r>
        <w:t xml:space="preserve"> dunder method.</w:t>
      </w:r>
    </w:p>
    <w:p>
      <w:pPr>
        <w:pStyle w:val="Normal"/>
      </w:pPr>
      <w:r>
        <w:t xml:space="preserve">A subclass of </w:t>
      </w:r>
      <w:r>
        <w:rPr>
          <w:rStyle w:val="Text0"/>
        </w:rPr>
        <w:t>object</w:t>
      </w:r>
      <w:r>
        <w:t xml:space="preserve"> (i.e., any class) may—and often will!—override any of these methods and/or add others.</w:t>
      </w:r>
    </w:p>
    <w:p>
      <w:bookmarkStart w:id="1361" w:name="Class_Level_Methods__Python_supp"/>
      <w:pPr>
        <w:keepNext/>
        <w:pStyle w:val="Heading 2"/>
      </w:pPr>
      <w:r>
        <w:t>Class-Level Methods</w:t>
      </w:r>
      <w:bookmarkEnd w:id="1361"/>
    </w:p>
    <w:p>
      <w:pPr>
        <w:pStyle w:val="Normal"/>
      </w:pPr>
      <w:r>
        <w:t>Python</w:t>
      </w:r>
      <w:r>
        <w:rPr>
          <w:rStyle w:val="Text111"/>
        </w:rPr>
        <w:bookmarkStart w:id="1362" w:name="idm45965276836528"/>
        <w:t/>
        <w:bookmarkEnd w:id="1362"/>
        <w:bookmarkStart w:id="1363" w:name="idm45965276835120"/>
        <w:t/>
        <w:bookmarkEnd w:id="1363"/>
      </w:r>
      <w:r>
        <w:t xml:space="preserve"> supplies two built-in nonoverriding descriptor types, which give a class two distinct kinds of “class-level methods”: </w:t>
      </w:r>
      <w:r>
        <w:rPr>
          <w:rStyle w:val="Text4"/>
        </w:rPr>
        <w:t>static methods</w:t>
      </w:r>
      <w:r>
        <w:t xml:space="preserve"> and </w:t>
      </w:r>
      <w:r>
        <w:rPr>
          <w:rStyle w:val="Text4"/>
        </w:rPr>
        <w:t>class methods</w:t>
      </w:r>
      <w:r>
        <w:t>.</w:t>
      </w:r>
    </w:p>
    <w:p>
      <w:bookmarkStart w:id="1364" w:name="Static_methods__A_static_method"/>
      <w:pPr>
        <w:keepNext/>
        <w:pStyle w:val="Heading 2"/>
      </w:pPr>
      <w:r>
        <w:t>Static methods</w:t>
      </w:r>
      <w:bookmarkEnd w:id="1364"/>
    </w:p>
    <w:p>
      <w:pPr>
        <w:pStyle w:val="Normal"/>
      </w:pPr>
      <w:r>
        <w:t xml:space="preserve">A </w:t>
      </w:r>
      <w:r>
        <w:rPr>
          <w:rStyle w:val="Text4"/>
        </w:rPr>
        <w:t>static method</w:t>
      </w:r>
      <w:r>
        <w:t xml:space="preserve"> is a method that you can call on a class, or on any instance of the class, without the special behavior and constraints of ordinary methods regarding the first parameter. A static method may have any signature; it may have no parameters, and the first parameter, if any, plays no special role. You can think of a static method as an ordinary function that you’re able to call normally, despite the fact that it happens to be bound to a class attribute.</w:t>
      </w:r>
    </w:p>
    <w:p>
      <w:pPr>
        <w:pStyle w:val="Normal"/>
      </w:pPr>
      <w:r>
        <w:t xml:space="preserve">While it is never </w:t>
      </w:r>
      <w:r>
        <w:rPr>
          <w:rStyle w:val="Text4"/>
        </w:rPr>
        <w:t>necessary</w:t>
      </w:r>
      <w:r>
        <w:t xml:space="preserve"> to define static methods (you can always choose to instead define a normal function, outside the class), some programmers consider them to be an elegant syntax alternative when a function’s purpose is tightly bound to some specific class.</w:t>
      </w:r>
    </w:p>
    <w:p>
      <w:pPr>
        <w:pStyle w:val="Normal"/>
      </w:pPr>
      <w:r>
        <w:t xml:space="preserve">To build a static method, call the built-in type </w:t>
      </w:r>
      <w:r>
        <w:rPr>
          <w:rStyle w:val="Text0"/>
        </w:rPr>
        <w:t>staticmethod</w:t>
      </w:r>
      <w:r>
        <w:t xml:space="preserve"> and bind its result to a class attribute. Like all binding of class attributes, this is normally done in the body of the class, but you may also choose to perform it elsewhere. The only argument to </w:t>
      </w:r>
      <w:r>
        <w:rPr>
          <w:rStyle w:val="Text0"/>
        </w:rPr>
        <w:t>staticmethod</w:t>
      </w:r>
      <w:r>
        <w:t xml:space="preserve"> is the function to call when Python calls the static method. The following example shows one way to define and call a static method:</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AClass</w:t>
        <w:br w:clear="none"/>
      </w:r>
      <w:r>
        <w:rPr>
          <w:rStyle w:val="Text7"/>
        </w:rPr>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astatic</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a static method</w:t>
        <w:br w:clear="none"/>
        <w:t xml:space="preserve">'</w:t>
        <w:br w:clear="none"/>
      </w:r>
      <w:r>
        <w:rPr>
          <w:rStyle w:val="Text7"/>
        </w:rPr>
        <w:t xml:space="preserve">)</w:t>
        <w:br w:clear="none"/>
      </w:r>
      <w:r>
        <w:rPr>
          <w:rStyle w:val="Text6"/>
        </w:rPr>
        <w:t xml:space="preserve"/>
        <w:br w:clear="none"/>
        <w:t xml:space="preserve">    </w:t>
        <w:br w:clear="none"/>
      </w:r>
      <w:r>
        <w:t xml:space="preserve">astatic</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staticmethod</w:t>
        <w:br w:clear="none"/>
      </w:r>
      <w:r>
        <w:rPr>
          <w:rStyle w:val="Text7"/>
        </w:rPr>
        <w:t xml:space="preserve">(</w:t>
        <w:br w:clear="none"/>
      </w:r>
      <w:r>
        <w:t xml:space="preserve">astatic</w:t>
        <w:br w:clear="none"/>
      </w:r>
      <w:r>
        <w:rPr>
          <w:rStyle w:val="Text7"/>
        </w:rPr>
        <w:t xml:space="preserve">)</w:t>
        <w:br w:clear="none"/>
      </w:r>
      <w:r>
        <w:rPr>
          <w:rStyle w:val="Text6"/>
        </w:rPr>
        <w:t xml:space="preserve"/>
        <w:br w:clear="none"/>
        <w:t xml:space="preserve"/>
        <w:br w:clear="none"/>
      </w:r>
      <w:r>
        <w:t xml:space="preserve">an_instance</w:t>
        <w:br w:clear="none"/>
      </w:r>
      <w:r>
        <w:rPr>
          <w:rStyle w:val="Text6"/>
        </w:rPr>
        <w:t xml:space="preserve"> </w:t>
        <w:br w:clear="none"/>
      </w:r>
      <w:r>
        <w:rPr>
          <w:rStyle w:val="Text13"/>
        </w:rPr>
        <w:t xml:space="preserve">=</w:t>
        <w:br w:clear="none"/>
      </w:r>
      <w:r>
        <w:rPr>
          <w:rStyle w:val="Text6"/>
        </w:rPr>
        <w:t xml:space="preserve"> </w:t>
        <w:br w:clear="none"/>
      </w:r>
      <w:r>
        <w:t xml:space="preserve">AClass</w:t>
        <w:br w:clear="none"/>
      </w:r>
      <w:r>
        <w:rPr>
          <w:rStyle w:val="Text7"/>
        </w:rPr>
        <w:t xml:space="preserve">(</w:t>
        <w:br w:clear="none"/>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AClass</w:t>
        <w:br w:clear="none"/>
      </w:r>
      <w:r>
        <w:rPr>
          <w:rStyle w:val="Text13"/>
        </w:rPr>
        <w:t xml:space="preserve">.</w:t>
        <w:br w:clear="none"/>
      </w:r>
      <w:r>
        <w:t xml:space="preserve">astatic</w:t>
        <w:br w:clear="none"/>
      </w:r>
      <w:r>
        <w:rPr>
          <w:rStyle w:val="Text7"/>
        </w:rPr>
        <w:t xml:space="preserve">(</w:t>
        <w:br w:clear="none"/>
        <w:t xml:space="preserve">)</w:t>
        <w:br w:clear="none"/>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a static method</w:t>
        <w:br w:clear="none"/>
      </w:r>
      <w:r>
        <w:rPr>
          <w:rStyle w:val="Text6"/>
        </w:rPr>
        <w:t xml:space="preserve"/>
        <w:br w:clear="none"/>
      </w:r>
      <w:r>
        <w:rPr>
          <w:rStyle w:val="Text16"/>
        </w:rPr>
        <w:t xml:space="preserve">print</w:t>
        <w:br w:clear="none"/>
      </w:r>
      <w:r>
        <w:rPr>
          <w:rStyle w:val="Text7"/>
        </w:rPr>
        <w:t xml:space="preserve">(</w:t>
        <w:br w:clear="none"/>
      </w:r>
      <w:r>
        <w:t xml:space="preserve">an_instance</w:t>
        <w:br w:clear="none"/>
      </w:r>
      <w:r>
        <w:rPr>
          <w:rStyle w:val="Text13"/>
        </w:rPr>
        <w:t xml:space="preserve">.</w:t>
        <w:br w:clear="none"/>
      </w:r>
      <w:r>
        <w:t xml:space="preserve">astatic</w:t>
        <w:br w:clear="none"/>
      </w:r>
      <w:r>
        <w:rPr>
          <w:rStyle w:val="Text7"/>
        </w:rPr>
        <w:t xml:space="preserve">(</w:t>
        <w:br w:clear="none"/>
        <w:t xml:space="preserve">)</w:t>
        <w:br w:clear="none"/>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a static method</w:t>
        <w:br w:clear="none"/>
      </w:r>
    </w:p>
    <w:p>
      <w:pPr>
        <w:pStyle w:val="Normal"/>
      </w:pPr>
      <w:r>
        <w:t xml:space="preserve">This example uses the same name for the function passed to </w:t>
      </w:r>
      <w:r>
        <w:rPr>
          <w:rStyle w:val="Text0"/>
        </w:rPr>
        <w:t>staticmethod</w:t>
      </w:r>
      <w:r>
        <w:t xml:space="preserve"> and for the attribute bound to </w:t>
      </w:r>
      <w:r>
        <w:rPr>
          <w:rStyle w:val="Text0"/>
        </w:rPr>
        <w:t>staticmethod</w:t>
      </w:r>
      <w:r>
        <w:t xml:space="preserve">’s result. This naming convention is not mandatory, but it’s a good idea, and we recommend you always use it. Python offers a special, simplified syntax to support this style, covered in </w:t>
      </w:r>
      <w:hyperlink w:anchor="Decorators__In_Python__you_often">
        <w:r>
          <w:rPr>
            <w:rStyle w:val="Text1"/>
          </w:rPr>
          <w:t>“Decorators”</w:t>
        </w:r>
      </w:hyperlink>
      <w:r>
        <w:t>.</w:t>
      </w:r>
    </w:p>
    <w:p>
      <w:bookmarkStart w:id="1365" w:name="Class_methods__A_class_method_is"/>
      <w:pPr>
        <w:keepNext/>
        <w:pStyle w:val="Heading 2"/>
      </w:pPr>
      <w:r>
        <w:t>Class methods</w:t>
      </w:r>
      <w:bookmarkEnd w:id="1365"/>
    </w:p>
    <w:p>
      <w:pPr>
        <w:pStyle w:val="Normal"/>
      </w:pPr>
      <w:r>
        <w:t xml:space="preserve">A </w:t>
      </w:r>
      <w:r>
        <w:rPr>
          <w:rStyle w:val="Text4"/>
        </w:rPr>
        <w:t>class method</w:t>
      </w:r>
      <w:r>
        <w:t xml:space="preserve"> is a method you can call on a class or on any instance of the class. Python binds the method’s first parameter to the class on which you call the method, or the class of the instance on which you call the method; it does not bind it to the instance, as for normal</w:t>
      </w:r>
      <w:r>
        <w:rPr>
          <w:rStyle w:val="Text111"/>
        </w:rPr>
        <w:bookmarkStart w:id="1366" w:name="idm45965273263664"/>
        <w:t/>
        <w:bookmarkEnd w:id="1366"/>
      </w:r>
      <w:r>
        <w:t xml:space="preserve"> bound methods. The first parameter of a class method is conventionally named </w:t>
      </w:r>
      <w:r>
        <w:rPr>
          <w:rStyle w:val="Text0"/>
        </w:rPr>
        <w:t>cls</w:t>
      </w:r>
      <w:r>
        <w:t>.</w:t>
      </w:r>
    </w:p>
    <w:p>
      <w:pPr>
        <w:pStyle w:val="Normal"/>
      </w:pPr>
      <w:r>
        <w:t xml:space="preserve">As with static methods, while it is never </w:t>
      </w:r>
      <w:r>
        <w:rPr>
          <w:rStyle w:val="Text4"/>
        </w:rPr>
        <w:t>necessary</w:t>
      </w:r>
      <w:r>
        <w:t xml:space="preserve"> to define class methods (you can always choose to define a normal function, outside the class, that takes the class object as its first parameter), class methods are an elegant alternative to such functions (particularly since they can usefully be overridden in subclasses, when that is necessary).</w:t>
      </w:r>
    </w:p>
    <w:p>
      <w:pPr>
        <w:pStyle w:val="Normal"/>
      </w:pPr>
      <w:r>
        <w:t xml:space="preserve">To build a class method, call the built-in type </w:t>
      </w:r>
      <w:r>
        <w:rPr>
          <w:rStyle w:val="Text0"/>
        </w:rPr>
        <w:t>classmethod</w:t>
      </w:r>
      <w:r>
        <w:t xml:space="preserve"> and bind its result to a class attribute. Like all binding of class attributes, this is normally done in the body of the class, but you may choose to perform it elsewhere. The only argument to </w:t>
      </w:r>
      <w:r>
        <w:rPr>
          <w:rStyle w:val="Text0"/>
        </w:rPr>
        <w:t>classmethod</w:t>
      </w:r>
      <w:r>
        <w:t xml:space="preserve"> is the function to call when Python calls the class method. Here’s one way you can define and call a class method:</w:t>
      </w:r>
    </w:p>
    <w:p>
      <w:pPr>
        <w:pStyle w:val="Para 014"/>
      </w:pPr>
      <w:r>
        <w:rPr>
          <w:rStyle w:val="Text116"/>
        </w:rPr>
        <w:t xml:space="preserve"/>
        <w:br w:clear="none"/>
      </w:r>
      <w:r>
        <w:rPr>
          <w:rStyle w:val="Text22"/>
        </w:rPr>
        <w:t xml:space="preserve">class</w:t>
        <w:br w:clear="none"/>
      </w:r>
      <w:r>
        <w:rPr>
          <w:rStyle w:val="Text11"/>
        </w:rPr>
        <w:t xml:space="preserve"> </w:t>
        <w:br w:clear="none"/>
      </w:r>
      <w:r>
        <w:rPr>
          <w:rStyle w:val="Text45"/>
        </w:rPr>
        <w:t xml:space="preserve">ABase</w:t>
        <w:br w:clear="none"/>
      </w:r>
      <w:r>
        <w:rPr>
          <w:rStyle w:val="Text19"/>
        </w:rP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aclassmet</w:t>
        <w:br w:clear="none"/>
      </w:r>
      <w:r>
        <w:rPr>
          <w:rStyle w:val="Text19"/>
        </w:rPr>
        <w:t xml:space="preserve">(</w:t>
        <w:br w:clear="none"/>
      </w:r>
      <w:r>
        <w:rPr>
          <w:rStyle w:val="Text21"/>
        </w:rPr>
        <w:t xml:space="preserve">cls</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7"/>
        </w:rPr>
        <w:t xml:space="preserve">'</w:t>
        <w:br w:clear="none"/>
        <w:t xml:space="preserve">a class method for</w:t>
        <w:br w:clear="none"/>
        <w:t xml:space="preserve">'</w:t>
        <w:br w:clear="none"/>
      </w:r>
      <w:r>
        <w:rPr>
          <w:rStyle w:val="Text19"/>
        </w:rPr>
        <w:t xml:space="preserve">,</w:t>
        <w:br w:clear="none"/>
      </w:r>
      <w:r>
        <w:rPr>
          <w:rStyle w:val="Text11"/>
        </w:rPr>
        <w:t xml:space="preserve"> </w:t>
        <w:br w:clear="none"/>
      </w:r>
      <w:r>
        <w:rPr>
          <w:rStyle w:val="Text21"/>
        </w:rPr>
        <w:t xml:space="preserve">cls</w:t>
        <w:br w:clear="none"/>
      </w:r>
      <w:r>
        <w:rPr>
          <w:rStyle w:val="Text28"/>
        </w:rPr>
        <w:t xml:space="preserve">.</w:t>
        <w:br w:clear="none"/>
      </w:r>
      <w:r>
        <w:rPr>
          <w:rStyle w:val="Text11"/>
        </w:rPr>
        <w:t xml:space="preserve">__name__</w:t>
        <w:br w:clear="none"/>
      </w:r>
      <w:r>
        <w:rPr>
          <w:rStyle w:val="Text19"/>
        </w:rPr>
        <w:t xml:space="preserve">)</w:t>
        <w:br w:clear="none"/>
      </w:r>
      <w:r>
        <w:rPr>
          <w:rStyle w:val="Text11"/>
        </w:rPr>
        <w:t xml:space="preserve"/>
        <w:br w:clear="none"/>
        <w:t xml:space="preserve">    </w:t>
        <w:br w:clear="none"/>
      </w:r>
      <w:r>
        <w:rPr>
          <w:rStyle w:val="Text14"/>
        </w:rPr>
        <w:t xml:space="preserve">aclassmet</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classmethod</w:t>
        <w:br w:clear="none"/>
      </w:r>
      <w:r>
        <w:rPr>
          <w:rStyle w:val="Text19"/>
        </w:rPr>
        <w:t xml:space="preserve">(</w:t>
        <w:br w:clear="none"/>
      </w:r>
      <w:r>
        <w:rPr>
          <w:rStyle w:val="Text14"/>
        </w:rPr>
        <w:t xml:space="preserve">aclassmet</w:t>
        <w:br w:clear="none"/>
      </w:r>
      <w:r>
        <w:rPr>
          <w:rStyle w:val="Text19"/>
        </w:rPr>
        <w:t xml:space="preserve">)</w:t>
        <w:br w:clear="none"/>
      </w:r>
      <w:r>
        <w:rPr>
          <w:rStyle w:val="Text11"/>
        </w:rPr>
        <w:t xml:space="preserve"/>
        <w:br w:clear="none"/>
      </w:r>
      <w:r>
        <w:rPr>
          <w:rStyle w:val="Text22"/>
        </w:rPr>
        <w:t xml:space="preserve">class</w:t>
        <w:br w:clear="none"/>
      </w:r>
      <w:r>
        <w:rPr>
          <w:rStyle w:val="Text59"/>
        </w:rPr>
        <w:t xml:space="preserve"> </w:t>
        <w:br w:clear="none"/>
      </w:r>
      <w:r>
        <w:rPr>
          <w:rStyle w:val="Text97"/>
        </w:rPr>
        <w:t xml:space="preserve">ADeriv</w:t>
        <w:br w:clear="none"/>
      </w:r>
      <w:r>
        <w:rPr>
          <w:rStyle w:val="Text19"/>
        </w:rPr>
        <w:t xml:space="preserve">(</w:t>
        <w:br w:clear="none"/>
      </w:r>
      <w:r>
        <w:rPr>
          <w:rStyle w:val="Text14"/>
        </w:rPr>
        <w:t xml:space="preserve">ABase</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pass</w:t>
        <w:br w:clear="none"/>
      </w:r>
      <w:r>
        <w:rPr>
          <w:rStyle w:val="Text11"/>
        </w:rPr>
        <w:t xml:space="preserve"/>
        <w:br w:clear="none"/>
        <w:t xml:space="preserve"/>
        <w:br w:clear="none"/>
      </w:r>
      <w:r>
        <w:rPr>
          <w:rStyle w:val="Text14"/>
        </w:rPr>
        <w:t xml:space="preserve">b_instance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ABase</w:t>
        <w:br w:clear="none"/>
      </w:r>
      <w:r>
        <w:rPr>
          <w:rStyle w:val="Text19"/>
        </w:rPr>
        <w:t xml:space="preserve">(</w:t>
        <w:br w:clear="none"/>
        <w:t xml:space="preserve">)</w:t>
        <w:br w:clear="none"/>
      </w:r>
      <w:r>
        <w:rPr>
          <w:rStyle w:val="Text11"/>
        </w:rPr>
        <w:t xml:space="preserve"/>
        <w:br w:clear="none"/>
      </w:r>
      <w:r>
        <w:rPr>
          <w:rStyle w:val="Text14"/>
        </w:rPr>
        <w:t xml:space="preserve">d_instance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ADeriv</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ABase</w:t>
        <w:br w:clear="none"/>
      </w:r>
      <w:r>
        <w:rPr>
          <w:rStyle w:val="Text28"/>
        </w:rPr>
        <w:t xml:space="preserve">.</w:t>
        <w:br w:clear="none"/>
      </w:r>
      <w:r>
        <w:rPr>
          <w:rStyle w:val="Text14"/>
        </w:rPr>
        <w:t xml:space="preserve">aclassmet</w:t>
        <w:br w:clear="none"/>
      </w:r>
      <w:r>
        <w:rPr>
          <w:rStyle w:val="Text19"/>
        </w:rPr>
        <w:t xml:space="preserve">(</w:t>
        <w:br w:clear="none"/>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a class method for ABase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b_instance</w:t>
        <w:br w:clear="none"/>
      </w:r>
      <w:r>
        <w:rPr>
          <w:rStyle w:val="Text28"/>
        </w:rPr>
        <w:t xml:space="preserve">.</w:t>
        <w:br w:clear="none"/>
      </w:r>
      <w:r>
        <w:rPr>
          <w:rStyle w:val="Text14"/>
        </w:rPr>
        <w:t xml:space="preserve">aclassmet</w:t>
        <w:br w:clear="none"/>
      </w:r>
      <w:r>
        <w:rPr>
          <w:rStyle w:val="Text19"/>
        </w:rPr>
        <w:t xml:space="preserve">(</w:t>
        <w:br w:clear="none"/>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a class method for ABase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ADeriv</w:t>
        <w:br w:clear="none"/>
      </w:r>
      <w:r>
        <w:rPr>
          <w:rStyle w:val="Text28"/>
        </w:rPr>
        <w:t xml:space="preserve">.</w:t>
        <w:br w:clear="none"/>
      </w:r>
      <w:r>
        <w:rPr>
          <w:rStyle w:val="Text14"/>
        </w:rPr>
        <w:t xml:space="preserve">aclassmet</w:t>
        <w:br w:clear="none"/>
      </w:r>
      <w:r>
        <w:rPr>
          <w:rStyle w:val="Text19"/>
        </w:rPr>
        <w:t xml:space="preserve">(</w:t>
        <w:br w:clear="none"/>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a class method for ADeriv</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d_instance</w:t>
        <w:br w:clear="none"/>
      </w:r>
      <w:r>
        <w:rPr>
          <w:rStyle w:val="Text28"/>
        </w:rPr>
        <w:t xml:space="preserve">.</w:t>
        <w:br w:clear="none"/>
      </w:r>
      <w:r>
        <w:rPr>
          <w:rStyle w:val="Text14"/>
        </w:rPr>
        <w:t xml:space="preserve">aclassmet</w:t>
        <w:br w:clear="none"/>
      </w:r>
      <w:r>
        <w:rPr>
          <w:rStyle w:val="Text19"/>
        </w:rPr>
        <w:t xml:space="preserve">(</w:t>
        <w:br w:clear="none"/>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a class method for ADeriv</w:t>
        <w:br w:clear="none"/>
      </w:r>
    </w:p>
    <w:p>
      <w:pPr>
        <w:pStyle w:val="Normal"/>
      </w:pPr>
      <w:r>
        <w:t xml:space="preserve">This example uses the same name for the function passed to </w:t>
      </w:r>
      <w:r>
        <w:rPr>
          <w:rStyle w:val="Text0"/>
        </w:rPr>
        <w:t>classmethod</w:t>
      </w:r>
      <w:r>
        <w:t xml:space="preserve"> and for the attribute bound to </w:t>
      </w:r>
      <w:r>
        <w:rPr>
          <w:rStyle w:val="Text0"/>
        </w:rPr>
        <w:t>classmethod</w:t>
      </w:r>
      <w:r>
        <w:t xml:space="preserve">’s result. Again, this naming convention is not mandatory, but it’s a good idea, and we recommend that you always use it. Python’s simplified syntax to support this style is covered in </w:t>
      </w:r>
      <w:hyperlink w:anchor="Decorators__In_Python__you_often">
        <w:r>
          <w:rPr>
            <w:rStyle w:val="Text1"/>
          </w:rPr>
          <w:t>“Decorators”</w:t>
        </w:r>
      </w:hyperlink>
      <w:r>
        <w:t>.</w:t>
      </w:r>
    </w:p>
    <w:p>
      <w:bookmarkStart w:id="1367" w:name="Properties__Python_supplies_a_bu"/>
      <w:pPr>
        <w:keepNext/>
        <w:pStyle w:val="Heading 2"/>
      </w:pPr>
      <w:r>
        <w:t>Properties</w:t>
      </w:r>
      <w:bookmarkEnd w:id="1367"/>
    </w:p>
    <w:p>
      <w:pPr>
        <w:pStyle w:val="Normal"/>
      </w:pPr>
      <w:r>
        <w:t>Python</w:t>
      </w:r>
      <w:r>
        <w:rPr>
          <w:rStyle w:val="Text111"/>
        </w:rPr>
        <w:bookmarkStart w:id="1368" w:name="idm45965273131776"/>
        <w:t/>
        <w:bookmarkEnd w:id="1368"/>
        <w:bookmarkStart w:id="1369" w:name="prop04"/>
        <w:t/>
        <w:bookmarkEnd w:id="1369"/>
      </w:r>
      <w:r>
        <w:t xml:space="preserve"> supplies a built-in overriding descriptor type, usable to give a class’s instances </w:t>
      </w:r>
      <w:r>
        <w:rPr>
          <w:rStyle w:val="Text4"/>
        </w:rPr>
        <w:t>properties</w:t>
      </w:r>
      <w:r>
        <w:t xml:space="preserve">. A property is an instance attribute with special functionality. You reference, bind, or unbind the attribute with the normal syntax (e.g., </w:t>
      </w:r>
      <w:r>
        <w:rPr>
          <w:rStyle w:val="Text0"/>
        </w:rPr>
        <w:t>print(</w:t>
      </w:r>
      <w:r>
        <w:rPr>
          <w:rStyle w:val="Text3"/>
        </w:rPr>
        <w:t>x.prop</w:t>
      </w:r>
      <w:r>
        <w:rPr>
          <w:rStyle w:val="Text0"/>
        </w:rPr>
        <w:t>),</w:t>
      </w:r>
      <w:r>
        <w:t xml:space="preserve"> </w:t>
      </w:r>
      <w:r>
        <w:rPr>
          <w:rStyle w:val="Text3"/>
        </w:rPr>
        <w:t>x</w:t>
      </w:r>
      <w:r>
        <w:rPr>
          <w:rStyle w:val="Text0"/>
        </w:rPr>
        <w:t>.</w:t>
      </w:r>
      <w:r>
        <w:rPr>
          <w:rStyle w:val="Text3"/>
        </w:rPr>
        <w:t>prop</w:t>
      </w:r>
      <w:r>
        <w:rPr>
          <w:rStyle w:val="Text0"/>
        </w:rPr>
        <w:t>=23,</w:t>
      </w:r>
      <w:r>
        <w:t xml:space="preserve"> </w:t>
      </w:r>
      <w:r>
        <w:rPr>
          <w:rStyle w:val="Text5"/>
        </w:rPr>
        <w:t>del</w:t>
      </w:r>
      <w:r>
        <w:t xml:space="preserve"> </w:t>
      </w:r>
      <w:r>
        <w:rPr>
          <w:rStyle w:val="Text3"/>
        </w:rPr>
        <w:t>x.prop</w:t>
      </w:r>
      <w:r>
        <w:rPr>
          <w:rStyle w:val="Text0"/>
        </w:rPr>
        <w:t>)</w:t>
      </w:r>
      <w:r>
        <w:t xml:space="preserve">. However, rather than following the usual semantics for attribute reference, binding, and unbinding, these accesses call on instance </w:t>
      </w:r>
      <w:r>
        <w:rPr>
          <w:rStyle w:val="Text3"/>
        </w:rPr>
        <w:t>x</w:t>
      </w:r>
      <w:r>
        <w:t xml:space="preserve"> the methods that you specify as arguments to the built-in type </w:t>
      </w:r>
      <w:r>
        <w:rPr>
          <w:rStyle w:val="Text0"/>
        </w:rPr>
        <w:t>property</w:t>
      </w:r>
      <w:r>
        <w:t>. Here’s one way to define a read-only property:</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Rectangle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width</w:t>
        <w:br w:clear="none"/>
      </w:r>
      <w:r>
        <w:rPr>
          <w:rStyle w:val="Text7"/>
        </w:rPr>
        <w:t xml:space="preserve">,</w:t>
        <w:br w:clear="none"/>
      </w:r>
      <w:r>
        <w:t xml:space="preserve"> </w:t>
        <w:br w:clear="none"/>
      </w:r>
      <w:r>
        <w:rPr>
          <w:rStyle w:val="Text9"/>
        </w:rPr>
        <w:t xml:space="preserve">height</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9"/>
        </w:rPr>
        <w:t xml:space="preserve">width</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t>
        <w:br w:clear="none"/>
      </w:r>
      <w:r>
        <w:rPr>
          <w:rStyle w:val="Text13"/>
        </w:rPr>
        <w:t xml:space="preserve">=</w:t>
        <w:br w:clear="none"/>
      </w:r>
      <w:r>
        <w:t xml:space="preserve"> </w:t>
        <w:br w:clear="none"/>
      </w:r>
      <w:r>
        <w:rPr>
          <w:rStyle w:val="Text9"/>
        </w:rPr>
        <w:t xml:space="preserve">height</w:t>
        <w:br w:clear="none"/>
      </w:r>
      <w:r>
        <w:t xml:space="preserve"/>
        <w:br w:clear="none"/>
        <w:t xml:space="preserve">    </w:t>
        <w:br w:clear="none"/>
      </w:r>
      <w:r>
        <w:rPr>
          <w:rStyle w:val="Text10"/>
        </w:rPr>
        <w:t xml:space="preserve">def</w:t>
        <w:br w:clear="none"/>
      </w:r>
      <w:r>
        <w:t xml:space="preserve"> </w:t>
        <w:br w:clear="none"/>
      </w:r>
      <w:r>
        <w:rPr>
          <w:rStyle w:val="Text18"/>
        </w:rPr>
        <w:t xml:space="preserve">area</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br w:clear="none"/>
        <w:t xml:space="preserve">    </w:t>
        <w:br w:clear="none"/>
      </w:r>
      <w:r>
        <w:rPr>
          <w:rStyle w:val="Text9"/>
        </w:rPr>
        <w:t xml:space="preserve">area</w:t>
        <w:br w:clear="none"/>
      </w:r>
      <w:r>
        <w:t xml:space="preserve"> </w:t>
        <w:br w:clear="none"/>
      </w:r>
      <w:r>
        <w:rPr>
          <w:rStyle w:val="Text13"/>
        </w:rPr>
        <w:t xml:space="preserve">=</w:t>
        <w:br w:clear="none"/>
      </w:r>
      <w:r>
        <w:t xml:space="preserve"> </w:t>
        <w:br w:clear="none"/>
      </w:r>
      <w:r>
        <w:rPr>
          <w:rStyle w:val="Text16"/>
        </w:rPr>
        <w:t xml:space="preserve">property</w:t>
        <w:br w:clear="none"/>
      </w:r>
      <w:r>
        <w:rPr>
          <w:rStyle w:val="Text7"/>
        </w:rPr>
        <w:t xml:space="preserve">(</w:t>
        <w:br w:clear="none"/>
      </w:r>
      <w:r>
        <w:rPr>
          <w:rStyle w:val="Text9"/>
        </w:rPr>
        <w:t xml:space="preserve">area</w:t>
        <w:br w:clear="none"/>
      </w:r>
      <w:r>
        <w:rPr>
          <w:rStyle w:val="Text7"/>
        </w:rPr>
        <w:t xml:space="preserve">,</w:t>
        <w:br w:clear="none"/>
      </w:r>
      <w:r>
        <w:t xml:space="preserve"> </w:t>
        <w:br w:clear="none"/>
      </w:r>
      <w:r>
        <w:rPr>
          <w:rStyle w:val="Text9"/>
        </w:rPr>
        <w:t xml:space="preserve">doc</w:t>
        <w:br w:clear="none"/>
      </w:r>
      <w:r>
        <w:rPr>
          <w:rStyle w:val="Text13"/>
        </w:rPr>
        <w:t xml:space="preserve">=</w:t>
        <w:br w:clear="none"/>
      </w:r>
      <w:r>
        <w:rPr>
          <w:rStyle w:val="Text8"/>
        </w:rPr>
        <w:t xml:space="preserve">'</w:t>
        <w:br w:clear="none"/>
        <w:t xml:space="preserve">area of the rectangle</w:t>
        <w:br w:clear="none"/>
        <w:t xml:space="preserve">'</w:t>
        <w:br w:clear="none"/>
      </w:r>
      <w:r>
        <w:rPr>
          <w:rStyle w:val="Text7"/>
        </w:rPr>
        <w:t xml:space="preserve">)</w:t>
        <w:br w:clear="none"/>
      </w:r>
    </w:p>
    <w:p>
      <w:pPr>
        <w:pStyle w:val="Normal"/>
      </w:pPr>
      <w:r>
        <w:t xml:space="preserve">Each instance </w:t>
      </w:r>
      <w:r>
        <w:rPr>
          <w:rStyle w:val="Text3"/>
        </w:rPr>
        <w:t>r</w:t>
      </w:r>
      <w:r>
        <w:t xml:space="preserve"> of class </w:t>
      </w:r>
      <w:r>
        <w:rPr>
          <w:rStyle w:val="Text0"/>
        </w:rPr>
        <w:t>Rectangle</w:t>
      </w:r>
      <w:r>
        <w:t xml:space="preserve"> has a synthetic read-only attribute </w:t>
      </w:r>
      <w:r>
        <w:rPr>
          <w:rStyle w:val="Text3"/>
        </w:rPr>
        <w:t>r</w:t>
      </w:r>
      <w:r>
        <w:rPr>
          <w:rStyle w:val="Text0"/>
        </w:rPr>
        <w:t>.area</w:t>
      </w:r>
      <w:r>
        <w:t xml:space="preserve">, which the method </w:t>
      </w:r>
      <w:r>
        <w:rPr>
          <w:rStyle w:val="Text3"/>
        </w:rPr>
        <w:t>r</w:t>
      </w:r>
      <w:r>
        <w:rPr>
          <w:rStyle w:val="Text0"/>
        </w:rPr>
        <w:t>.area()</w:t>
      </w:r>
      <w:r>
        <w:t xml:space="preserve"> computes on the fly by multiplying the sides. The docstring </w:t>
      </w:r>
      <w:r>
        <w:rPr>
          <w:rStyle w:val="Text0"/>
        </w:rPr>
        <w:t>Rectangle.area.__doc__</w:t>
      </w:r>
      <w:r>
        <w:t xml:space="preserve"> is </w:t>
      </w:r>
      <w:r>
        <w:rPr>
          <w:rStyle w:val="Text0"/>
        </w:rPr>
        <w:t>'area of the rectangle'</w:t>
      </w:r>
      <w:r>
        <w:t xml:space="preserve">. The </w:t>
      </w:r>
      <w:r>
        <w:rPr>
          <w:rStyle w:val="Text3"/>
        </w:rPr>
        <w:t>r</w:t>
      </w:r>
      <w:r>
        <w:rPr>
          <w:rStyle w:val="Text0"/>
        </w:rPr>
        <w:t>.area</w:t>
      </w:r>
      <w:r>
        <w:t xml:space="preserve"> attribute is read-only (attempts to rebind or unbind it fail) because we specify only a </w:t>
      </w:r>
      <w:r>
        <w:rPr>
          <w:rStyle w:val="Text0"/>
        </w:rPr>
        <w:t>get</w:t>
      </w:r>
      <w:r>
        <w:t xml:space="preserve"> method in the call to </w:t>
      </w:r>
      <w:r>
        <w:rPr>
          <w:rStyle w:val="Text0"/>
        </w:rPr>
        <w:t>property</w:t>
      </w:r>
      <w:r>
        <w:t xml:space="preserve">, and no </w:t>
      </w:r>
      <w:r>
        <w:rPr>
          <w:rStyle w:val="Text0"/>
        </w:rPr>
        <w:t>set</w:t>
      </w:r>
      <w:r>
        <w:t xml:space="preserve"> or </w:t>
      </w:r>
      <w:r>
        <w:rPr>
          <w:rStyle w:val="Text0"/>
        </w:rPr>
        <w:t>del</w:t>
      </w:r>
      <w:r>
        <w:t xml:space="preserve"> methods.</w:t>
      </w:r>
    </w:p>
    <w:p>
      <w:pPr>
        <w:pStyle w:val="Normal"/>
      </w:pPr>
      <w:r>
        <w:t xml:space="preserve">Properties perform tasks similar to those of the special methods </w:t>
      </w:r>
      <w:r>
        <w:rPr>
          <w:rStyle w:val="Text0"/>
        </w:rPr>
        <w:t>__getattr__</w:t>
      </w:r>
      <w:r>
        <w:t xml:space="preserve">, </w:t>
      </w:r>
      <w:r>
        <w:rPr>
          <w:rStyle w:val="Text0"/>
        </w:rPr>
        <w:t>__setattr__</w:t>
      </w:r>
      <w:r>
        <w:t xml:space="preserve">, and </w:t>
      </w:r>
      <w:r>
        <w:rPr>
          <w:rStyle w:val="Text0"/>
        </w:rPr>
        <w:t>__delattr__</w:t>
      </w:r>
      <w:r>
        <w:t xml:space="preserve"> (covered in </w:t>
      </w:r>
      <w:hyperlink w:anchor="General_Purpose_Special_Methods">
        <w:r>
          <w:rPr>
            <w:rStyle w:val="Text1"/>
          </w:rPr>
          <w:t>“General-Purpose Special Methods”</w:t>
        </w:r>
      </w:hyperlink>
      <w:r>
        <w:t xml:space="preserve">), but properties are faster and simpler. To build a property, call the built-in type </w:t>
      </w:r>
      <w:r>
        <w:rPr>
          <w:rStyle w:val="Text0"/>
        </w:rPr>
        <w:t>property</w:t>
      </w:r>
      <w:r>
        <w:t xml:space="preserve"> and bind its result to a class attribute. Like all binding of class attributes, this is normally done in the body of the class, but you may choose to do it elsewhere. Within the body of a class </w:t>
      </w:r>
      <w:r>
        <w:rPr>
          <w:rStyle w:val="Text3"/>
        </w:rPr>
        <w:t>C</w:t>
      </w:r>
      <w:r>
        <w:t>, you can use the following syntax:</w:t>
      </w:r>
    </w:p>
    <w:p>
      <w:pPr>
        <w:pStyle w:val="Para 037"/>
      </w:pPr>
      <w:r>
        <w:rPr>
          <w:rStyle w:val="Text118"/>
        </w:rPr>
        <w:t xml:space="preserve"/>
        <w:br w:clear="none"/>
      </w:r>
      <w:r>
        <w:rPr>
          <w:rStyle w:val="Text69"/>
        </w:rPr>
        <w:t xml:space="preserve">attrib</w:t>
        <w:br w:clear="none"/>
      </w:r>
      <w:r>
        <w:rPr>
          <w:rStyle w:val="Text29"/>
        </w:rPr>
        <w:t xml:space="preserve"> </w:t>
        <w:br w:clear="none"/>
      </w:r>
      <w:r>
        <w:rPr>
          <w:rStyle w:val="Text63"/>
        </w:rPr>
        <w:t xml:space="preserve">=</w:t>
        <w:br w:clear="none"/>
      </w:r>
      <w:r>
        <w:rPr>
          <w:rStyle w:val="Text29"/>
        </w:rPr>
        <w:t xml:space="preserve"> </w:t>
        <w:br w:clear="none"/>
      </w:r>
      <w:r>
        <w:rPr>
          <w:rStyle w:val="Text67"/>
        </w:rPr>
        <w:t xml:space="preserve">property</w:t>
        <w:br w:clear="none"/>
      </w:r>
      <w:r>
        <w:rPr>
          <w:rStyle w:val="Text31"/>
        </w:rPr>
        <w:t xml:space="preserve">(</w:t>
        <w:br w:clear="none"/>
      </w:r>
      <w:r>
        <w:rPr>
          <w:rStyle w:val="Text38"/>
        </w:rPr>
        <w:t xml:space="preserve">fget</w:t>
        <w:br w:clear="none"/>
      </w:r>
      <w:r>
        <w:rPr>
          <w:rStyle w:val="Text63"/>
        </w:rPr>
        <w:t xml:space="preserve">=</w:t>
        <w:br w:clear="none"/>
      </w:r>
      <w:r>
        <w:t xml:space="preserve">None</w:t>
        <w:br w:clear="none"/>
      </w:r>
      <w:r>
        <w:rPr>
          <w:rStyle w:val="Text31"/>
        </w:rPr>
        <w:t xml:space="preserve">,</w:t>
        <w:br w:clear="none"/>
      </w:r>
      <w:r>
        <w:rPr>
          <w:rStyle w:val="Text29"/>
        </w:rPr>
        <w:t xml:space="preserve"> </w:t>
        <w:br w:clear="none"/>
      </w:r>
      <w:r>
        <w:rPr>
          <w:rStyle w:val="Text38"/>
        </w:rPr>
        <w:t xml:space="preserve">fset</w:t>
        <w:br w:clear="none"/>
      </w:r>
      <w:r>
        <w:rPr>
          <w:rStyle w:val="Text63"/>
        </w:rPr>
        <w:t xml:space="preserve">=</w:t>
        <w:br w:clear="none"/>
      </w:r>
      <w:r>
        <w:t xml:space="preserve">None</w:t>
        <w:br w:clear="none"/>
      </w:r>
      <w:r>
        <w:rPr>
          <w:rStyle w:val="Text31"/>
        </w:rPr>
        <w:t xml:space="preserve">,</w:t>
        <w:br w:clear="none"/>
      </w:r>
      <w:r>
        <w:rPr>
          <w:rStyle w:val="Text29"/>
        </w:rPr>
        <w:t xml:space="preserve"> </w:t>
        <w:br w:clear="none"/>
      </w:r>
      <w:r>
        <w:rPr>
          <w:rStyle w:val="Text38"/>
        </w:rPr>
        <w:t xml:space="preserve">fdel</w:t>
        <w:br w:clear="none"/>
      </w:r>
      <w:r>
        <w:rPr>
          <w:rStyle w:val="Text63"/>
        </w:rPr>
        <w:t xml:space="preserve">=</w:t>
        <w:br w:clear="none"/>
      </w:r>
      <w:r>
        <w:t xml:space="preserve">None</w:t>
        <w:br w:clear="none"/>
      </w:r>
      <w:r>
        <w:rPr>
          <w:rStyle w:val="Text31"/>
        </w:rPr>
        <w:t xml:space="preserve">,</w:t>
        <w:br w:clear="none"/>
      </w:r>
      <w:r>
        <w:rPr>
          <w:rStyle w:val="Text29"/>
        </w:rPr>
        <w:t xml:space="preserve"> </w:t>
        <w:br w:clear="none"/>
      </w:r>
      <w:r>
        <w:rPr>
          <w:rStyle w:val="Text38"/>
        </w:rPr>
        <w:t xml:space="preserve">doc</w:t>
        <w:br w:clear="none"/>
      </w:r>
      <w:r>
        <w:rPr>
          <w:rStyle w:val="Text63"/>
        </w:rPr>
        <w:t xml:space="preserve">=</w:t>
        <w:br w:clear="none"/>
      </w:r>
      <w:r>
        <w:t xml:space="preserve">None</w:t>
        <w:br w:clear="none"/>
      </w:r>
      <w:r>
        <w:rPr>
          <w:rStyle w:val="Text31"/>
        </w:rPr>
        <w:t xml:space="preserve">)</w:t>
        <w:br w:clear="none"/>
      </w:r>
    </w:p>
    <w:p>
      <w:pPr>
        <w:pStyle w:val="Normal"/>
      </w:pPr>
      <w:r>
        <w:t xml:space="preserve">When </w:t>
      </w:r>
      <w:r>
        <w:rPr>
          <w:rStyle w:val="Text3"/>
        </w:rPr>
        <w:t>x</w:t>
      </w:r>
      <w:r>
        <w:t xml:space="preserve"> is an instance of </w:t>
      </w:r>
      <w:r>
        <w:rPr>
          <w:rStyle w:val="Text3"/>
        </w:rPr>
        <w:t>C</w:t>
      </w:r>
      <w:r>
        <w:t xml:space="preserve"> and you reference </w:t>
      </w:r>
      <w:r>
        <w:rPr>
          <w:rStyle w:val="Text3"/>
        </w:rPr>
        <w:t>x</w:t>
      </w:r>
      <w:r>
        <w:rPr>
          <w:rStyle w:val="Text0"/>
        </w:rPr>
        <w:t>.</w:t>
      </w:r>
      <w:r>
        <w:rPr>
          <w:rStyle w:val="Text3"/>
        </w:rPr>
        <w:t>attrib</w:t>
      </w:r>
      <w:r>
        <w:t xml:space="preserve">, Python calls on </w:t>
      </w:r>
      <w:r>
        <w:rPr>
          <w:rStyle w:val="Text3"/>
        </w:rPr>
        <w:t>x</w:t>
      </w:r>
      <w:r>
        <w:t xml:space="preserve"> the method you passed as argument </w:t>
      </w:r>
      <w:r>
        <w:rPr>
          <w:rStyle w:val="Text0"/>
        </w:rPr>
        <w:t>fget</w:t>
      </w:r>
      <w:r>
        <w:t xml:space="preserve"> to the property constructor, without arguments. When you assign </w:t>
      </w:r>
      <w:r>
        <w:rPr>
          <w:rStyle w:val="Text3"/>
        </w:rPr>
        <w:t>x</w:t>
      </w:r>
      <w:r>
        <w:rPr>
          <w:rStyle w:val="Text0"/>
        </w:rPr>
        <w:t>.</w:t>
      </w:r>
      <w:r>
        <w:rPr>
          <w:rStyle w:val="Text3"/>
        </w:rPr>
        <w:t>attrib</w:t>
      </w:r>
      <w:r>
        <w:t xml:space="preserve"> </w:t>
      </w:r>
      <w:r>
        <w:rPr>
          <w:rStyle w:val="Text0"/>
        </w:rPr>
        <w:t>=</w:t>
      </w:r>
      <w:r>
        <w:t xml:space="preserve"> </w:t>
      </w:r>
      <w:r>
        <w:rPr>
          <w:rStyle w:val="Text3"/>
        </w:rPr>
        <w:t>value</w:t>
      </w:r>
      <w:r>
        <w:t xml:space="preserve">, Python calls the method you passed as argument </w:t>
      </w:r>
      <w:r>
        <w:rPr>
          <w:rStyle w:val="Text0"/>
        </w:rPr>
        <w:t>fset</w:t>
      </w:r>
      <w:r>
        <w:t xml:space="preserve">, with </w:t>
      </w:r>
      <w:r>
        <w:rPr>
          <w:rStyle w:val="Text3"/>
        </w:rPr>
        <w:t>value</w:t>
      </w:r>
      <w:r>
        <w:t xml:space="preserve"> as the only argument. When you execute </w:t>
      </w:r>
      <w:r>
        <w:rPr>
          <w:rStyle w:val="Text5"/>
        </w:rPr>
        <w:t>del</w:t>
      </w:r>
      <w:r>
        <w:t xml:space="preserve"> </w:t>
      </w:r>
      <w:r>
        <w:rPr>
          <w:rStyle w:val="Text3"/>
        </w:rPr>
        <w:t>x</w:t>
      </w:r>
      <w:r>
        <w:rPr>
          <w:rStyle w:val="Text0"/>
        </w:rPr>
        <w:t>.</w:t>
      </w:r>
      <w:r>
        <w:rPr>
          <w:rStyle w:val="Text3"/>
        </w:rPr>
        <w:t>attrib</w:t>
      </w:r>
      <w:r>
        <w:t xml:space="preserve">, Python calls the method you passed as argument </w:t>
      </w:r>
      <w:r>
        <w:rPr>
          <w:rStyle w:val="Text0"/>
        </w:rPr>
        <w:t>fdel</w:t>
      </w:r>
      <w:r>
        <w:t xml:space="preserve">, without arguments. Python uses the argument you passed as </w:t>
      </w:r>
      <w:r>
        <w:rPr>
          <w:rStyle w:val="Text0"/>
        </w:rPr>
        <w:t>doc</w:t>
      </w:r>
      <w:r>
        <w:t xml:space="preserve"> as the docstring of the attribute. All parameters to </w:t>
      </w:r>
      <w:r>
        <w:rPr>
          <w:rStyle w:val="Text0"/>
        </w:rPr>
        <w:t>property</w:t>
      </w:r>
      <w:r>
        <w:t xml:space="preserve"> are optional. When an argument is missing, Python raises an exception when some code attempts that operation. For example, in the </w:t>
      </w:r>
      <w:r>
        <w:rPr>
          <w:rStyle w:val="Text0"/>
        </w:rPr>
        <w:t>Rectangle</w:t>
      </w:r>
      <w:r>
        <w:t xml:space="preserve"> example, we made the property </w:t>
      </w:r>
      <w:r>
        <w:rPr>
          <w:rStyle w:val="Text0"/>
        </w:rPr>
        <w:t>area</w:t>
      </w:r>
      <w:r>
        <w:t xml:space="preserve"> read-only because we passed an argument only for the parameter </w:t>
      </w:r>
      <w:r>
        <w:rPr>
          <w:rStyle w:val="Text0"/>
        </w:rPr>
        <w:t>fget</w:t>
      </w:r>
      <w:r>
        <w:t xml:space="preserve">, and not for the parameters </w:t>
      </w:r>
      <w:r>
        <w:rPr>
          <w:rStyle w:val="Text0"/>
        </w:rPr>
        <w:t>fset</w:t>
      </w:r>
      <w:r>
        <w:t xml:space="preserve"> and </w:t>
      </w:r>
      <w:r>
        <w:rPr>
          <w:rStyle w:val="Text0"/>
        </w:rPr>
        <w:t>fdel</w:t>
      </w:r>
      <w:r>
        <w:t>.</w:t>
      </w:r>
    </w:p>
    <w:p>
      <w:pPr>
        <w:pStyle w:val="Normal"/>
      </w:pPr>
      <w:r>
        <w:t xml:space="preserve">An elegant syntax to create properties in a class is to use </w:t>
      </w:r>
      <w:r>
        <w:rPr>
          <w:rStyle w:val="Text0"/>
        </w:rPr>
        <w:t>property</w:t>
      </w:r>
      <w:r>
        <w:t xml:space="preserve"> as a </w:t>
      </w:r>
      <w:r>
        <w:rPr>
          <w:rStyle w:val="Text4"/>
        </w:rPr>
        <w:t>decorator</w:t>
      </w:r>
      <w:r>
        <w:t xml:space="preserve"> (see </w:t>
      </w:r>
      <w:hyperlink w:anchor="Decorators__In_Python__you_often">
        <w:r>
          <w:rPr>
            <w:rStyle w:val="Text1"/>
          </w:rPr>
          <w:t>“Decorators”</w:t>
        </w:r>
      </w:hyperlink>
      <w:r>
        <w:t>):</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Rectangle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width</w:t>
        <w:br w:clear="none"/>
      </w:r>
      <w:r>
        <w:rPr>
          <w:rStyle w:val="Text7"/>
        </w:rPr>
        <w:t xml:space="preserve">,</w:t>
        <w:br w:clear="none"/>
      </w:r>
      <w:r>
        <w:t xml:space="preserve"> </w:t>
        <w:br w:clear="none"/>
      </w:r>
      <w:r>
        <w:rPr>
          <w:rStyle w:val="Text9"/>
        </w:rPr>
        <w:t xml:space="preserve">height</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9"/>
        </w:rPr>
        <w:t xml:space="preserve">width</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t>
        <w:br w:clear="none"/>
      </w:r>
      <w:r>
        <w:rPr>
          <w:rStyle w:val="Text13"/>
        </w:rPr>
        <w:t xml:space="preserve">=</w:t>
        <w:br w:clear="none"/>
      </w:r>
      <w:r>
        <w:t xml:space="preserve"> </w:t>
        <w:br w:clear="none"/>
      </w:r>
      <w:r>
        <w:rPr>
          <w:rStyle w:val="Text9"/>
        </w:rPr>
        <w:t xml:space="preserve">height</w:t>
        <w:br w:clear="none"/>
      </w:r>
      <w:r>
        <w:t xml:space="preserve"/>
        <w:br w:clear="none"/>
        <w:t xml:space="preserve">    </w:t>
        <w:br w:clear="none"/>
      </w:r>
      <w:r>
        <w:rPr>
          <w:rStyle w:val="Text44"/>
        </w:rPr>
        <w:t xml:space="preserve">@property</w:t>
        <w:br w:clear="none"/>
      </w:r>
      <w:r>
        <w:t xml:space="preserve"/>
        <w:br w:clear="none"/>
        <w:t xml:space="preserve">    </w:t>
        <w:br w:clear="none"/>
      </w:r>
      <w:r>
        <w:rPr>
          <w:rStyle w:val="Text10"/>
        </w:rPr>
        <w:t xml:space="preserve">def</w:t>
        <w:br w:clear="none"/>
      </w:r>
      <w:r>
        <w:t xml:space="preserve"> </w:t>
        <w:br w:clear="none"/>
      </w:r>
      <w:r>
        <w:rPr>
          <w:rStyle w:val="Text18"/>
        </w:rPr>
        <w:t xml:space="preserve">area</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7"/>
        </w:rPr>
        <w:t xml:space="preserve">"""area of the rectangle"""</w:t>
        <w:br w:clear="none"/>
      </w:r>
      <w:r>
        <w:t xml:space="preserve"/>
        <w:br w:clear="none"/>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height</w:t>
        <w:br w:clear="none"/>
      </w:r>
    </w:p>
    <w:p>
      <w:pPr>
        <w:pStyle w:val="Normal"/>
      </w:pPr>
      <w:r>
        <w:t xml:space="preserve">To use this syntax, you </w:t>
      </w:r>
      <w:r>
        <w:rPr>
          <w:rStyle w:val="Text4"/>
        </w:rPr>
        <w:t>must</w:t>
      </w:r>
      <w:r>
        <w:t xml:space="preserve"> give the getter method the same name as you want the property to have; the method’s docstring becomes the docstring of the property. If you want to add a setter and/or a deleter as well, use decorators named (in this example) </w:t>
      </w:r>
      <w:r>
        <w:rPr>
          <w:rStyle w:val="Text0"/>
        </w:rPr>
        <w:t>area.setter</w:t>
      </w:r>
      <w:r>
        <w:t xml:space="preserve"> and </w:t>
      </w:r>
      <w:r>
        <w:rPr>
          <w:rStyle w:val="Text0"/>
        </w:rPr>
        <w:t>area.deleter</w:t>
      </w:r>
      <w:r>
        <w:t>, and name the methods thus decorated the same as the property, too. For example:</w:t>
      </w:r>
    </w:p>
    <w:p>
      <w:pPr>
        <w:pStyle w:val="Para 018"/>
      </w:pPr>
      <w:r>
        <w:rPr>
          <w:rStyle w:val="Text104"/>
        </w:rPr>
        <w:t xml:space="preserve"/>
        <w:br w:clear="none"/>
      </w:r>
      <w:r>
        <w:rPr>
          <w:rStyle w:val="Text10"/>
        </w:rPr>
        <w:t xml:space="preserve">import</w:t>
        <w:br w:clear="none"/>
      </w:r>
      <w:r>
        <w:t xml:space="preserve"> </w:t>
        <w:br w:clear="none"/>
      </w:r>
      <w:r>
        <w:rPr>
          <w:rStyle w:val="Text20"/>
        </w:rPr>
        <w:t xml:space="preserve">math</w:t>
        <w:br w:clear="none"/>
      </w:r>
      <w:r>
        <w:t xml:space="preserve"/>
        <w:br w:clear="none"/>
      </w:r>
      <w:r>
        <w:rPr>
          <w:rStyle w:val="Text10"/>
        </w:rPr>
        <w:t xml:space="preserve">class</w:t>
        <w:br w:clear="none"/>
      </w:r>
      <w:r>
        <w:t xml:space="preserve"> </w:t>
        <w:br w:clear="none"/>
      </w:r>
      <w:r>
        <w:rPr>
          <w:rStyle w:val="Text33"/>
        </w:rPr>
        <w:t xml:space="preserve">Rectangle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width</w:t>
        <w:br w:clear="none"/>
      </w:r>
      <w:r>
        <w:rPr>
          <w:rStyle w:val="Text7"/>
        </w:rPr>
        <w:t xml:space="preserve">,</w:t>
        <w:br w:clear="none"/>
      </w:r>
      <w:r>
        <w:t xml:space="preserve"> </w:t>
        <w:br w:clear="none"/>
      </w:r>
      <w:r>
        <w:rPr>
          <w:rStyle w:val="Text9"/>
        </w:rPr>
        <w:t xml:space="preserve">height</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9"/>
        </w:rPr>
        <w:t xml:space="preserve">width</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t>
        <w:br w:clear="none"/>
      </w:r>
      <w:r>
        <w:rPr>
          <w:rStyle w:val="Text13"/>
        </w:rPr>
        <w:t xml:space="preserve">=</w:t>
        <w:br w:clear="none"/>
      </w:r>
      <w:r>
        <w:t xml:space="preserve"> </w:t>
        <w:br w:clear="none"/>
      </w:r>
      <w:r>
        <w:rPr>
          <w:rStyle w:val="Text9"/>
        </w:rPr>
        <w:t xml:space="preserve">height</w:t>
        <w:br w:clear="none"/>
      </w:r>
      <w:r>
        <w:t xml:space="preserve"/>
        <w:br w:clear="none"/>
        <w:t xml:space="preserve">    </w:t>
        <w:br w:clear="none"/>
      </w:r>
      <w:r>
        <w:rPr>
          <w:rStyle w:val="Text44"/>
        </w:rPr>
        <w:t xml:space="preserve">@property</w:t>
        <w:br w:clear="none"/>
      </w:r>
      <w:r>
        <w:t xml:space="preserve"/>
        <w:br w:clear="none"/>
        <w:t xml:space="preserve">    </w:t>
        <w:br w:clear="none"/>
      </w:r>
      <w:r>
        <w:rPr>
          <w:rStyle w:val="Text10"/>
        </w:rPr>
        <w:t xml:space="preserve">def</w:t>
        <w:br w:clear="none"/>
      </w:r>
      <w:r>
        <w:t xml:space="preserve"> </w:t>
        <w:br w:clear="none"/>
      </w:r>
      <w:r>
        <w:rPr>
          <w:rStyle w:val="Text18"/>
        </w:rPr>
        <w:t xml:space="preserve">area</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7"/>
        </w:rPr>
        <w:t xml:space="preserve">"""area of the rectangle"""</w:t>
        <w:br w:clear="none"/>
      </w:r>
      <w:r>
        <w:t xml:space="preserve"/>
        <w:br w:clear="none"/>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br w:clear="none"/>
        <w:t xml:space="preserve">    </w:t>
        <w:br w:clear="none"/>
      </w:r>
      <w:r>
        <w:rPr>
          <w:rStyle w:val="Text44"/>
        </w:rPr>
        <w:t xml:space="preserve">@area</w:t>
        <w:br w:clear="none"/>
      </w:r>
      <w:r>
        <w:rPr>
          <w:rStyle w:val="Text13"/>
        </w:rPr>
        <w:t xml:space="preserve">.</w:t>
        <w:br w:clear="none"/>
      </w:r>
      <w:r>
        <w:rPr>
          <w:rStyle w:val="Text9"/>
        </w:rPr>
        <w:t xml:space="preserve">setter</w:t>
        <w:br w:clear="none"/>
      </w:r>
      <w:r>
        <w:t xml:space="preserve"/>
        <w:br w:clear="none"/>
        <w:t xml:space="preserve">    </w:t>
        <w:br w:clear="none"/>
      </w:r>
      <w:r>
        <w:rPr>
          <w:rStyle w:val="Text10"/>
        </w:rPr>
        <w:t xml:space="preserve">def</w:t>
        <w:br w:clear="none"/>
      </w:r>
      <w:r>
        <w:t xml:space="preserve"> </w:t>
        <w:br w:clear="none"/>
      </w:r>
      <w:r>
        <w:rPr>
          <w:rStyle w:val="Text18"/>
        </w:rPr>
        <w:t xml:space="preserve">area</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value</w:t>
        <w:br w:clear="none"/>
      </w:r>
      <w:r>
        <w:rPr>
          <w:rStyle w:val="Text7"/>
        </w:rPr>
        <w:t xml:space="preserve">)</w:t>
        <w:br w:clear="none"/>
        <w:t xml:space="preserve">:</w:t>
        <w:br w:clear="none"/>
      </w:r>
      <w:r>
        <w:t xml:space="preserve"/>
        <w:br w:clear="none"/>
        <w:t xml:space="preserve">        </w:t>
        <w:br w:clear="none"/>
      </w:r>
      <w:r>
        <w:rPr>
          <w:rStyle w:val="Text9"/>
        </w:rPr>
        <w:t xml:space="preserve">scale</w:t>
        <w:br w:clear="none"/>
      </w:r>
      <w:r>
        <w:t xml:space="preserve"> </w:t>
        <w:br w:clear="none"/>
      </w:r>
      <w:r>
        <w:rPr>
          <w:rStyle w:val="Text13"/>
        </w:rPr>
        <w:t xml:space="preserve">=</w:t>
        <w:br w:clear="none"/>
      </w:r>
      <w:r>
        <w:t xml:space="preserve"> </w:t>
        <w:br w:clear="none"/>
      </w:r>
      <w:r>
        <w:rPr>
          <w:rStyle w:val="Text9"/>
        </w:rPr>
        <w:t xml:space="preserve">math</w:t>
        <w:br w:clear="none"/>
      </w:r>
      <w:r>
        <w:rPr>
          <w:rStyle w:val="Text13"/>
        </w:rPr>
        <w:t xml:space="preserve">.</w:t>
        <w:br w:clear="none"/>
      </w:r>
      <w:r>
        <w:rPr>
          <w:rStyle w:val="Text9"/>
        </w:rPr>
        <w:t xml:space="preserve">sqrt</w:t>
        <w:br w:clear="none"/>
      </w:r>
      <w:r>
        <w:rPr>
          <w:rStyle w:val="Text7"/>
        </w:rPr>
        <w:t xml:space="preserve">(</w:t>
        <w:br w:clear="none"/>
      </w:r>
      <w:r>
        <w:rPr>
          <w:rStyle w:val="Text9"/>
        </w:rPr>
        <w:t xml:space="preserve">value</w:t>
        <w:br w:clear="none"/>
      </w:r>
      <w:r>
        <w:rPr>
          <w:rStyle w:val="Text13"/>
        </w:rPr>
        <w:t xml:space="preserve">/</w:t>
        <w:br w:clear="none"/>
      </w:r>
      <w:r>
        <w:rPr>
          <w:rStyle w:val="Text16"/>
        </w:rPr>
        <w:t xml:space="preserve">self</w:t>
        <w:br w:clear="none"/>
      </w:r>
      <w:r>
        <w:rPr>
          <w:rStyle w:val="Text13"/>
        </w:rPr>
        <w:t xml:space="preserve">.</w:t>
        <w:br w:clear="none"/>
      </w:r>
      <w:r>
        <w:rPr>
          <w:rStyle w:val="Text9"/>
        </w:rPr>
        <w:t xml:space="preserve">area</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width</w:t>
        <w:br w:clear="none"/>
      </w:r>
      <w:r>
        <w:t xml:space="preserve"> </w:t>
        <w:br w:clear="none"/>
      </w:r>
      <w:r>
        <w:rPr>
          <w:rStyle w:val="Text13"/>
        </w:rPr>
        <w:t xml:space="preserve">*</w:t>
        <w:br w:clear="none"/>
        <w:t xml:space="preserve">=</w:t>
        <w:br w:clear="none"/>
      </w:r>
      <w:r>
        <w:t xml:space="preserve"> </w:t>
        <w:br w:clear="none"/>
      </w:r>
      <w:r>
        <w:rPr>
          <w:rStyle w:val="Text9"/>
        </w:rPr>
        <w:t xml:space="preserve">scale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height</w:t>
        <w:br w:clear="none"/>
      </w:r>
      <w:r>
        <w:t xml:space="preserve"> </w:t>
        <w:br w:clear="none"/>
      </w:r>
      <w:r>
        <w:rPr>
          <w:rStyle w:val="Text13"/>
        </w:rPr>
        <w:t xml:space="preserve">*</w:t>
        <w:br w:clear="none"/>
        <w:t xml:space="preserve">=</w:t>
        <w:br w:clear="none"/>
      </w:r>
      <w:r>
        <w:t xml:space="preserve"> </w:t>
        <w:br w:clear="none"/>
      </w:r>
      <w:r>
        <w:rPr>
          <w:rStyle w:val="Text9"/>
        </w:rPr>
        <w:t xml:space="preserve">scale</w:t>
        <w:br w:clear="none"/>
      </w:r>
    </w:p>
    <w:p>
      <w:bookmarkStart w:id="1370" w:name="Why_properties_are_important__Th"/>
      <w:pPr>
        <w:keepNext/>
        <w:pStyle w:val="Heading 2"/>
      </w:pPr>
      <w:r>
        <w:t>Why properties are important</w:t>
      </w:r>
      <w:bookmarkEnd w:id="1370"/>
    </w:p>
    <w:p>
      <w:pPr>
        <w:pStyle w:val="Normal"/>
      </w:pPr>
      <w:r>
        <w:t xml:space="preserve">The crucial importance of properties is that their existence makes it perfectly safe (and indeed advisable) for you to expose public data attributes as part of your class’s public interface. Should it ever become necessary, in future versions of your class or other classes that need to be polymorphic to it, to have some code execute when the attribute is referenced, rebound, or unbound, you will be able to change the plain attribute into a property and get the desired effect without any impact on any code that uses your class (aka “client code”). This lets you avoid goofy idioms, such as </w:t>
      </w:r>
      <w:r>
        <w:rPr>
          <w:rStyle w:val="Text4"/>
        </w:rPr>
        <w:t>accessor</w:t>
      </w:r>
      <w:r>
        <w:t xml:space="preserve"> and </w:t>
      </w:r>
      <w:r>
        <w:rPr>
          <w:rStyle w:val="Text4"/>
        </w:rPr>
        <w:t>mutator</w:t>
      </w:r>
      <w:r>
        <w:t xml:space="preserve"> methods, required by OO languages lacking properties. For example, client code can use natural idioms like this:</w:t>
      </w:r>
    </w:p>
    <w:p>
      <w:pPr>
        <w:pStyle w:val="Para 007"/>
      </w:pPr>
      <w:r>
        <w:rPr>
          <w:rStyle w:val="Text23"/>
        </w:rPr>
        <w:t xml:space="preserve"/>
        <w:br w:clear="none"/>
      </w:r>
      <w:r>
        <w:t xml:space="preserve">some_instance</w:t>
        <w:br w:clear="none"/>
      </w:r>
      <w:r>
        <w:rPr>
          <w:rStyle w:val="Text13"/>
        </w:rPr>
        <w:t xml:space="preserve">.</w:t>
        <w:br w:clear="none"/>
      </w:r>
      <w:r>
        <w:t xml:space="preserve">widget_count</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1</w:t>
        <w:br w:clear="none"/>
      </w:r>
    </w:p>
    <w:p>
      <w:pPr>
        <w:pStyle w:val="Normal"/>
      </w:pPr>
      <w:r>
        <w:t>rather than being forced into contorted nests of accessors and mutators like this:</w:t>
      </w:r>
    </w:p>
    <w:p>
      <w:pPr>
        <w:pStyle w:val="Para 007"/>
      </w:pPr>
      <w:r>
        <w:rPr>
          <w:rStyle w:val="Text23"/>
        </w:rPr>
        <w:t xml:space="preserve"/>
        <w:br w:clear="none"/>
      </w:r>
      <w:r>
        <w:t xml:space="preserve">some_instance</w:t>
        <w:br w:clear="none"/>
      </w:r>
      <w:r>
        <w:rPr>
          <w:rStyle w:val="Text13"/>
        </w:rPr>
        <w:t xml:space="preserve">.</w:t>
        <w:br w:clear="none"/>
      </w:r>
      <w:r>
        <w:t xml:space="preserve">set_widget_count</w:t>
        <w:br w:clear="none"/>
      </w:r>
      <w:r>
        <w:rPr>
          <w:rStyle w:val="Text7"/>
        </w:rPr>
        <w:t xml:space="preserve">(</w:t>
        <w:br w:clear="none"/>
      </w:r>
      <w:r>
        <w:t xml:space="preserve">some_instance</w:t>
        <w:br w:clear="none"/>
      </w:r>
      <w:r>
        <w:rPr>
          <w:rStyle w:val="Text13"/>
        </w:rPr>
        <w:t xml:space="preserve">.</w:t>
        <w:br w:clear="none"/>
      </w:r>
      <w:r>
        <w:t xml:space="preserve">get_widget_count</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1</w:t>
        <w:br w:clear="none"/>
      </w:r>
      <w:r>
        <w:rPr>
          <w:rStyle w:val="Text7"/>
        </w:rPr>
        <w:t xml:space="preserve">)</w:t>
        <w:br w:clear="none"/>
      </w:r>
    </w:p>
    <w:p>
      <w:pPr>
        <w:pStyle w:val="Normal"/>
      </w:pPr>
      <w:r>
        <w:t xml:space="preserve">If you’re ever tempted to code methods whose natural names are something like </w:t>
      </w:r>
      <w:r>
        <w:rPr>
          <w:rStyle w:val="Text0"/>
        </w:rPr>
        <w:t>get_</w:t>
      </w:r>
      <w:r>
        <w:rPr>
          <w:rStyle w:val="Text3"/>
        </w:rPr>
        <w:t>this</w:t>
      </w:r>
      <w:r>
        <w:t xml:space="preserve"> or </w:t>
      </w:r>
      <w:r>
        <w:rPr>
          <w:rStyle w:val="Text0"/>
        </w:rPr>
        <w:t>set_</w:t>
      </w:r>
      <w:r>
        <w:rPr>
          <w:rStyle w:val="Text3"/>
        </w:rPr>
        <w:t>that</w:t>
      </w:r>
      <w:r>
        <w:t>, wrap those methods into properties instead, for clarity.</w:t>
      </w:r>
    </w:p>
    <w:p>
      <w:bookmarkStart w:id="1371" w:name="Properties_and_inheritance__Inhe"/>
      <w:pPr>
        <w:keepNext/>
        <w:pStyle w:val="Heading 2"/>
      </w:pPr>
      <w:r>
        <w:t>Properties and inheritance</w:t>
      </w:r>
      <w:bookmarkEnd w:id="1371"/>
    </w:p>
    <w:p>
      <w:pPr>
        <w:pStyle w:val="Normal"/>
      </w:pPr>
      <w:r>
        <w:t xml:space="preserve">Inheritance of properties works just like for any other attribute. However, there’s a little trap for the unwary: </w:t>
      </w:r>
      <w:r>
        <w:rPr>
          <w:rStyle w:val="Text4"/>
        </w:rPr>
        <w:t>the methods called upon to access a property are those defined in the class in which the property itself is defined</w:t>
      </w:r>
      <w:r>
        <w:t>, without intrinsic use of further overriding that may happen in subclasses. Consider this example:</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27"/>
        </w:rPr>
        <w:t xml:space="preserve">23</w:t>
        <w:br w:clear="none"/>
      </w:r>
      <w:r>
        <w:t xml:space="preserve"/>
        <w:br w:clear="none"/>
        <w:t xml:space="preserve">    </w:t>
        <w:br w:clear="none"/>
      </w:r>
      <w:r>
        <w:rPr>
          <w:rStyle w:val="Text9"/>
        </w:rPr>
        <w:t xml:space="preserve">g</w:t>
        <w:br w:clear="none"/>
      </w:r>
      <w:r>
        <w:t xml:space="preserve"> </w:t>
        <w:br w:clear="none"/>
      </w:r>
      <w:r>
        <w:rPr>
          <w:rStyle w:val="Text13"/>
        </w:rPr>
        <w:t xml:space="preserve">=</w:t>
        <w:br w:clear="none"/>
      </w:r>
      <w:r>
        <w:t xml:space="preserve"> </w:t>
        <w:br w:clear="none"/>
      </w:r>
      <w:r>
        <w:rPr>
          <w:rStyle w:val="Text16"/>
        </w:rPr>
        <w:t xml:space="preserve">property</w:t>
        <w:br w:clear="none"/>
      </w:r>
      <w:r>
        <w:rPr>
          <w:rStyle w:val="Text7"/>
        </w:rPr>
        <w:t xml:space="preserve">(</w:t>
        <w:br w:clear="none"/>
      </w:r>
      <w:r>
        <w:rPr>
          <w:rStyle w:val="Text9"/>
        </w:rPr>
        <w:t xml:space="preserve">f</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27"/>
        </w:rPr>
        <w:t xml:space="preserve">42</w:t>
        <w:br w:clear="none"/>
      </w:r>
      <w:r>
        <w:t xml:space="preserve"/>
        <w:br w:clear="none"/>
        <w:t xml:space="preserve"/>
        <w:br w:clear="none"/>
      </w:r>
      <w:r>
        <w:rPr>
          <w:rStyle w:val="Text9"/>
        </w:rPr>
        <w:t xml:space="preserve">c</w:t>
        <w:br w:clear="none"/>
      </w:r>
      <w:r>
        <w:t xml:space="preserve"> </w:t>
        <w:br w:clear="none"/>
      </w:r>
      <w:r>
        <w:rPr>
          <w:rStyle w:val="Text13"/>
        </w:rPr>
        <w:t xml:space="preserve">=</w:t>
        <w:br w:clear="none"/>
      </w:r>
      <w:r>
        <w:t xml:space="preserve"> </w:t>
        <w:br w:clear="none"/>
      </w:r>
      <w:r>
        <w:rPr>
          <w:rStyle w:val="Text9"/>
        </w:rPr>
        <w:t xml:space="preserve">C</w:t>
        <w:br w:clear="none"/>
      </w:r>
      <w:r>
        <w:rPr>
          <w:rStyle w:val="Text7"/>
        </w:rPr>
        <w:t xml:space="preserve">(</w:t>
        <w:br w:clear="none"/>
        <w:t xml:space="preserve">)</w:t>
        <w:br w:clear="none"/>
      </w:r>
      <w:r>
        <w:t xml:space="preserve"/>
        <w:br w:clear="none"/>
      </w:r>
      <w:r>
        <w:rPr>
          <w:rStyle w:val="Text16"/>
        </w:rPr>
        <w:t xml:space="preserve">print</w:t>
        <w:br w:clear="none"/>
      </w:r>
      <w:r>
        <w:rPr>
          <w:rStyle w:val="Text7"/>
        </w:rPr>
        <w:t xml:space="preserve">(</w:t>
        <w:br w:clear="none"/>
      </w:r>
      <w:r>
        <w:rPr>
          <w:rStyle w:val="Text9"/>
        </w:rPr>
        <w:t xml:space="preserve">c</w:t>
        <w:br w:clear="none"/>
      </w:r>
      <w:r>
        <w:rPr>
          <w:rStyle w:val="Text13"/>
        </w:rPr>
        <w:t xml:space="preserve">.</w:t>
        <w:br w:clear="none"/>
      </w:r>
      <w:r>
        <w:rPr>
          <w:rStyle w:val="Text9"/>
        </w:rPr>
        <w:t xml:space="preserve">g</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23</w:t>
        <w:br w:clear="none"/>
      </w:r>
      <w:r>
        <w:rPr>
          <w:rStyle w:val="Text26"/>
        </w:rPr>
        <w:t xml:space="preserve">, </w:t>
        <w:br w:clear="none"/>
      </w:r>
      <w:r>
        <w:rPr>
          <w:rStyle w:val="Text15"/>
        </w:rPr>
        <w:t xml:space="preserve">not</w:t>
        <w:br w:clear="none"/>
      </w:r>
      <w:r>
        <w:rPr>
          <w:rStyle w:val="Text26"/>
        </w:rPr>
        <w:t xml:space="preserve"> </w:t>
        <w:br w:clear="none"/>
      </w:r>
      <w:r>
        <w:rPr>
          <w:rStyle w:val="Text15"/>
        </w:rPr>
        <w:t xml:space="preserve">42</w:t>
        <w:br w:clear="none"/>
      </w:r>
    </w:p>
    <w:p>
      <w:pPr>
        <w:pStyle w:val="Normal"/>
      </w:pPr>
      <w:r>
        <w:t xml:space="preserve">Accessing the property </w:t>
      </w:r>
      <w:r>
        <w:rPr>
          <w:rStyle w:val="Text0"/>
        </w:rPr>
        <w:t>c.g</w:t>
      </w:r>
      <w:r>
        <w:t xml:space="preserve"> calls </w:t>
      </w:r>
      <w:r>
        <w:rPr>
          <w:rStyle w:val="Text0"/>
        </w:rPr>
        <w:t>B.f</w:t>
      </w:r>
      <w:r>
        <w:t xml:space="preserve">, not </w:t>
      </w:r>
      <w:r>
        <w:rPr>
          <w:rStyle w:val="Text0"/>
        </w:rPr>
        <w:t>C.f</w:t>
      </w:r>
      <w:r>
        <w:t xml:space="preserve">, as you might expect. The reason is quite simple: the property constructor receives (directly or via the decorator syntax) the </w:t>
      </w:r>
      <w:r>
        <w:rPr>
          <w:rStyle w:val="Text4"/>
        </w:rPr>
        <w:t>function object</w:t>
      </w:r>
      <w:r>
        <w:t xml:space="preserve"> </w:t>
      </w:r>
      <w:r>
        <w:rPr>
          <w:rStyle w:val="Text0"/>
        </w:rPr>
        <w:t>f</w:t>
      </w:r>
      <w:r>
        <w:t xml:space="preserve"> (and that happens at the time the </w:t>
      </w:r>
      <w:r>
        <w:rPr>
          <w:rStyle w:val="Text5"/>
        </w:rPr>
        <w:t>class</w:t>
      </w:r>
      <w:r>
        <w:t xml:space="preserve"> statement for </w:t>
      </w:r>
      <w:r>
        <w:rPr>
          <w:rStyle w:val="Text0"/>
        </w:rPr>
        <w:t>B</w:t>
      </w:r>
      <w:r>
        <w:t xml:space="preserve"> executes, so the function object in question is the one also known as </w:t>
      </w:r>
      <w:r>
        <w:rPr>
          <w:rStyle w:val="Text0"/>
        </w:rPr>
        <w:t>B.f</w:t>
      </w:r>
      <w:r>
        <w:t xml:space="preserve">). The fact that the subclass </w:t>
      </w:r>
      <w:r>
        <w:rPr>
          <w:rStyle w:val="Text0"/>
        </w:rPr>
        <w:t>C</w:t>
      </w:r>
      <w:r>
        <w:t xml:space="preserve"> later redefines the name </w:t>
      </w:r>
      <w:r>
        <w:rPr>
          <w:rStyle w:val="Text0"/>
        </w:rPr>
        <w:t>f</w:t>
      </w:r>
      <w:r>
        <w:t xml:space="preserve"> is therefore irrelevant, since the property performs no lookup for that name, but rather uses the function object it received at creation time. If you need to work around this issue, you can do it by adding the extra level of lookup indirection yourself:</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B</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27"/>
        </w:rPr>
        <w:t xml:space="preserve">23</w:t>
        <w:br w:clear="none"/>
      </w:r>
      <w:r>
        <w:t xml:space="preserve"/>
        <w:br w:clear="none"/>
        <w:t xml:space="preserve">    </w:t>
        <w:br w:clear="none"/>
      </w:r>
      <w:r>
        <w:rPr>
          <w:rStyle w:val="Text10"/>
        </w:rPr>
        <w:t xml:space="preserve">def</w:t>
        <w:br w:clear="none"/>
      </w:r>
      <w:r>
        <w:t xml:space="preserve"> </w:t>
        <w:br w:clear="none"/>
      </w:r>
      <w:r>
        <w:rPr>
          <w:rStyle w:val="Text18"/>
        </w:rPr>
        <w:t xml:space="preserve">_f_getter</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f</w:t>
        <w:br w:clear="none"/>
      </w:r>
      <w:r>
        <w:rPr>
          <w:rStyle w:val="Text7"/>
        </w:rPr>
        <w:t xml:space="preserve">(</w:t>
        <w:br w:clear="none"/>
        <w:t xml:space="preserve">)</w:t>
        <w:br w:clear="none"/>
      </w:r>
      <w:r>
        <w:t xml:space="preserve"/>
        <w:br w:clear="none"/>
        <w:t xml:space="preserve">    </w:t>
        <w:br w:clear="none"/>
      </w:r>
      <w:r>
        <w:rPr>
          <w:rStyle w:val="Text9"/>
        </w:rPr>
        <w:t xml:space="preserve">g</w:t>
        <w:br w:clear="none"/>
      </w:r>
      <w:r>
        <w:t xml:space="preserve"> </w:t>
        <w:br w:clear="none"/>
      </w:r>
      <w:r>
        <w:rPr>
          <w:rStyle w:val="Text13"/>
        </w:rPr>
        <w:t xml:space="preserve">=</w:t>
        <w:br w:clear="none"/>
      </w:r>
      <w:r>
        <w:t xml:space="preserve"> </w:t>
        <w:br w:clear="none"/>
      </w:r>
      <w:r>
        <w:rPr>
          <w:rStyle w:val="Text16"/>
        </w:rPr>
        <w:t xml:space="preserve">property</w:t>
        <w:br w:clear="none"/>
      </w:r>
      <w:r>
        <w:rPr>
          <w:rStyle w:val="Text7"/>
        </w:rPr>
        <w:t xml:space="preserve">(</w:t>
        <w:br w:clear="none"/>
      </w:r>
      <w:r>
        <w:rPr>
          <w:rStyle w:val="Text9"/>
        </w:rPr>
        <w:t xml:space="preserve">_f_getter</w:t>
        <w:br w:clear="none"/>
      </w:r>
      <w:r>
        <w:rPr>
          <w:rStyle w:val="Text7"/>
        </w:rPr>
        <w:t xml:space="preserve">)</w:t>
        <w:br w:clear="none"/>
      </w:r>
      <w:r>
        <w:t xml:space="preserve"/>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rPr>
          <w:rStyle w:val="Text9"/>
        </w:rPr>
        <w:t xml:space="preserve">B</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27"/>
        </w:rPr>
        <w:t xml:space="preserve">42</w:t>
        <w:br w:clear="none"/>
      </w:r>
      <w:r>
        <w:t xml:space="preserve"/>
        <w:br w:clear="none"/>
        <w:t xml:space="preserve"/>
        <w:br w:clear="none"/>
      </w:r>
      <w:r>
        <w:rPr>
          <w:rStyle w:val="Text9"/>
        </w:rPr>
        <w:t xml:space="preserve">c</w:t>
        <w:br w:clear="none"/>
      </w:r>
      <w:r>
        <w:t xml:space="preserve"> </w:t>
        <w:br w:clear="none"/>
      </w:r>
      <w:r>
        <w:rPr>
          <w:rStyle w:val="Text13"/>
        </w:rPr>
        <w:t xml:space="preserve">=</w:t>
        <w:br w:clear="none"/>
      </w:r>
      <w:r>
        <w:t xml:space="preserve"> </w:t>
        <w:br w:clear="none"/>
      </w:r>
      <w:r>
        <w:rPr>
          <w:rStyle w:val="Text9"/>
        </w:rPr>
        <w:t xml:space="preserve">C</w:t>
        <w:br w:clear="none"/>
      </w:r>
      <w:r>
        <w:rPr>
          <w:rStyle w:val="Text7"/>
        </w:rPr>
        <w:t xml:space="preserve">(</w:t>
        <w:br w:clear="none"/>
        <w:t xml:space="preserve">)</w:t>
        <w:br w:clear="none"/>
      </w:r>
      <w:r>
        <w:t xml:space="preserve"/>
        <w:br w:clear="none"/>
      </w:r>
      <w:r>
        <w:rPr>
          <w:rStyle w:val="Text16"/>
        </w:rPr>
        <w:t xml:space="preserve">print</w:t>
        <w:br w:clear="none"/>
      </w:r>
      <w:r>
        <w:rPr>
          <w:rStyle w:val="Text7"/>
        </w:rPr>
        <w:t xml:space="preserve">(</w:t>
        <w:br w:clear="none"/>
      </w:r>
      <w:r>
        <w:rPr>
          <w:rStyle w:val="Text9"/>
        </w:rPr>
        <w:t xml:space="preserve">c</w:t>
        <w:br w:clear="none"/>
      </w:r>
      <w:r>
        <w:rPr>
          <w:rStyle w:val="Text13"/>
        </w:rPr>
        <w:t xml:space="preserve">.</w:t>
        <w:br w:clear="none"/>
      </w:r>
      <w:r>
        <w:rPr>
          <w:rStyle w:val="Text9"/>
        </w:rPr>
        <w:t xml:space="preserve">g</w:t>
        <w:br w:clear="none"/>
      </w:r>
      <w:r>
        <w:rPr>
          <w:rStyle w:val="Text7"/>
        </w:rPr>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42</w:t>
        <w:br w:clear="none"/>
        <w:t xml:space="preserve">,</w:t>
        <w:br w:clear="none"/>
      </w:r>
      <w:r>
        <w:rPr>
          <w:rStyle w:val="Text26"/>
        </w:rPr>
        <w:t xml:space="preserve"> </w:t>
        <w:br w:clear="none"/>
      </w:r>
      <w:r>
        <w:rPr>
          <w:rStyle w:val="Text15"/>
        </w:rPr>
        <w:t xml:space="preserve">as expected</w:t>
        <w:br w:clear="none"/>
      </w:r>
    </w:p>
    <w:p>
      <w:pPr>
        <w:pStyle w:val="Normal"/>
      </w:pPr>
      <w:r>
        <w:t xml:space="preserve">Here, the function object held by the property is </w:t>
      </w:r>
      <w:r>
        <w:rPr>
          <w:rStyle w:val="Text0"/>
        </w:rPr>
        <w:t>B._f_getter</w:t>
      </w:r>
      <w:r>
        <w:t xml:space="preserve">, which in turn does perform a lookup for the name </w:t>
      </w:r>
      <w:r>
        <w:rPr>
          <w:rStyle w:val="Text0"/>
        </w:rPr>
        <w:t>f</w:t>
      </w:r>
      <w:r>
        <w:t xml:space="preserve"> (since it calls </w:t>
      </w:r>
      <w:r>
        <w:rPr>
          <w:rStyle w:val="Text0"/>
        </w:rPr>
        <w:t>self.f()</w:t>
      </w:r>
      <w:r>
        <w:t xml:space="preserve">); therefore, the overriding of </w:t>
      </w:r>
      <w:r>
        <w:rPr>
          <w:rStyle w:val="Text0"/>
        </w:rPr>
        <w:t>f</w:t>
      </w:r>
      <w:r>
        <w:t xml:space="preserve"> has the expected effect. As David Wheeler famously put it, “All problems in computer science can be solved by</w:t>
      </w:r>
      <w:r>
        <w:rPr>
          <w:rStyle w:val="Text111"/>
        </w:rPr>
        <w:bookmarkStart w:id="1372" w:name="idm45965265428416"/>
        <w:t/>
        <w:bookmarkEnd w:id="1372"/>
      </w:r>
      <w:r>
        <w:t xml:space="preserve"> another level of indirection.”</w:t>
      </w:r>
      <w:hyperlink w:anchor="8_To_complete_the_usually_trunca">
        <w:r>
          <w:rPr>
            <w:rStyle w:val="Text41"/>
          </w:rPr>
          <w:bookmarkStart w:id="1373" w:name="8_2"/>
          <w:t>8</w:t>
          <w:bookmarkEnd w:id="1373"/>
        </w:r>
      </w:hyperlink>
    </w:p>
    <w:p>
      <w:bookmarkStart w:id="1374" w:name="__slots____Normally__each_instan"/>
      <w:pPr>
        <w:keepNext/>
        <w:pStyle w:val="Heading 2"/>
      </w:pPr>
      <w:r>
        <w:t>__slots__</w:t>
      </w:r>
      <w:bookmarkEnd w:id="1374"/>
    </w:p>
    <w:p>
      <w:pPr>
        <w:pStyle w:val="Normal"/>
      </w:pPr>
      <w:r>
        <w:t>Normally, each</w:t>
      </w:r>
      <w:r>
        <w:rPr>
          <w:rStyle w:val="Text111"/>
        </w:rPr>
        <w:bookmarkStart w:id="1375" w:name="idm45965265424272"/>
        <w:t/>
        <w:bookmarkEnd w:id="1375"/>
        <w:bookmarkStart w:id="1376" w:name="idm45965265422480"/>
        <w:t/>
        <w:bookmarkEnd w:id="1376"/>
      </w:r>
      <w:r>
        <w:t xml:space="preserve"> instance object </w:t>
      </w:r>
      <w:r>
        <w:rPr>
          <w:rStyle w:val="Text3"/>
        </w:rPr>
        <w:t>x</w:t>
      </w:r>
      <w:r>
        <w:t xml:space="preserve"> of any class </w:t>
      </w:r>
      <w:r>
        <w:rPr>
          <w:rStyle w:val="Text3"/>
        </w:rPr>
        <w:t>C</w:t>
      </w:r>
      <w:r>
        <w:t xml:space="preserve"> has a dictionary </w:t>
      </w:r>
      <w:r>
        <w:rPr>
          <w:rStyle w:val="Text3"/>
        </w:rPr>
        <w:t>x.</w:t>
      </w:r>
      <w:r>
        <w:rPr>
          <w:rStyle w:val="Text0"/>
        </w:rPr>
        <w:t>__dict__</w:t>
      </w:r>
      <w:r>
        <w:t xml:space="preserve"> that Python uses to let you bind arbitrary attributes on </w:t>
      </w:r>
      <w:r>
        <w:rPr>
          <w:rStyle w:val="Text3"/>
        </w:rPr>
        <w:t>x</w:t>
      </w:r>
      <w:r>
        <w:t xml:space="preserve">. To save a little memory (at the cost of letting </w:t>
      </w:r>
      <w:r>
        <w:rPr>
          <w:rStyle w:val="Text3"/>
        </w:rPr>
        <w:t>x</w:t>
      </w:r>
      <w:r>
        <w:t xml:space="preserve"> have only a predefined set of attribute names), you can define in class </w:t>
      </w:r>
      <w:r>
        <w:rPr>
          <w:rStyle w:val="Text3"/>
        </w:rPr>
        <w:t>C</w:t>
      </w:r>
      <w:r>
        <w:t xml:space="preserve"> a class attribute named </w:t>
      </w:r>
      <w:r>
        <w:rPr>
          <w:rStyle w:val="Text0"/>
        </w:rPr>
        <w:t>__slots__</w:t>
      </w:r>
      <w:r>
        <w:t xml:space="preserve">, a sequence (normally a tuple) of strings (normally identifiers). When class </w:t>
      </w:r>
      <w:r>
        <w:rPr>
          <w:rStyle w:val="Text3"/>
        </w:rPr>
        <w:t>C</w:t>
      </w:r>
      <w:r>
        <w:t xml:space="preserve"> has </w:t>
      </w:r>
      <w:r>
        <w:rPr>
          <w:rStyle w:val="Text0"/>
        </w:rPr>
        <w:t>__slots__</w:t>
      </w:r>
      <w:r>
        <w:t xml:space="preserve">, instance </w:t>
      </w:r>
      <w:r>
        <w:rPr>
          <w:rStyle w:val="Text3"/>
        </w:rPr>
        <w:t>x</w:t>
      </w:r>
      <w:r>
        <w:t xml:space="preserve"> of class </w:t>
      </w:r>
      <w:r>
        <w:rPr>
          <w:rStyle w:val="Text3"/>
        </w:rPr>
        <w:t>C</w:t>
      </w:r>
      <w:r>
        <w:t xml:space="preserve"> has no </w:t>
      </w:r>
      <w:r>
        <w:rPr>
          <w:rStyle w:val="Text0"/>
        </w:rPr>
        <w:t>__dict__</w:t>
      </w:r>
      <w:r>
        <w:t xml:space="preserve">: trying to bind on </w:t>
      </w:r>
      <w:r>
        <w:rPr>
          <w:rStyle w:val="Text3"/>
        </w:rPr>
        <w:t>x</w:t>
      </w:r>
      <w:r>
        <w:t xml:space="preserve"> an attribute whose name is not in </w:t>
      </w:r>
      <w:r>
        <w:rPr>
          <w:rStyle w:val="Text3"/>
        </w:rPr>
        <w:t>C.</w:t>
      </w:r>
      <w:r>
        <w:rPr>
          <w:rStyle w:val="Text0"/>
        </w:rPr>
        <w:t>__slots__</w:t>
      </w:r>
      <w:r>
        <w:t xml:space="preserve"> raises an exception.</w:t>
      </w:r>
    </w:p>
    <w:p>
      <w:pPr>
        <w:pStyle w:val="Normal"/>
      </w:pPr>
      <w:r>
        <w:t xml:space="preserve">Using </w:t>
      </w:r>
      <w:r>
        <w:rPr>
          <w:rStyle w:val="Text0"/>
        </w:rPr>
        <w:t>__slots__</w:t>
      </w:r>
      <w:r>
        <w:t xml:space="preserve"> lets you reduce memory consumption for small instance objects that can do without the powerful and convenient ability to have arbitrarily named attributes. </w:t>
      </w:r>
      <w:r>
        <w:rPr>
          <w:rStyle w:val="Text0"/>
        </w:rPr>
        <w:t>__slots__</w:t>
      </w:r>
      <w:r>
        <w:t xml:space="preserve"> is worth adding only to classes that can have so many instances that saving a few tens of bytes per instance is important—typically classes that could have millions, not mere thousands, of instances alive at the same time. Unlike most other class attributes, however, </w:t>
      </w:r>
      <w:r>
        <w:rPr>
          <w:rStyle w:val="Text0"/>
        </w:rPr>
        <w:t>__slots__</w:t>
      </w:r>
      <w:r>
        <w:t xml:space="preserve"> works as we’ve just described only if an assignment in the class body binds it as a class attribute. Any later alteration, rebinding, or unbinding of </w:t>
      </w:r>
      <w:r>
        <w:rPr>
          <w:rStyle w:val="Text0"/>
        </w:rPr>
        <w:t>__slots__</w:t>
      </w:r>
      <w:r>
        <w:t xml:space="preserve"> has no effect, nor does inheriting </w:t>
      </w:r>
      <w:r>
        <w:rPr>
          <w:rStyle w:val="Text0"/>
        </w:rPr>
        <w:t>__slots__</w:t>
      </w:r>
      <w:r>
        <w:t xml:space="preserve"> from a base class. Here’s how to add </w:t>
      </w:r>
      <w:r>
        <w:rPr>
          <w:rStyle w:val="Text0"/>
        </w:rPr>
        <w:t>__slots__</w:t>
      </w:r>
      <w:r>
        <w:t xml:space="preserve"> to the </w:t>
      </w:r>
      <w:r>
        <w:rPr>
          <w:rStyle w:val="Text0"/>
        </w:rPr>
        <w:t>Rectangle</w:t>
      </w:r>
      <w:r>
        <w:t xml:space="preserve"> class defined earlier to get smaller (though less flexible) instances:</w:t>
      </w:r>
    </w:p>
    <w:p>
      <w:pPr>
        <w:pStyle w:val="Para 099"/>
      </w:pPr>
      <w:r>
        <w:rPr>
          <w:rStyle w:val="Text23"/>
        </w:rPr>
        <w:t xml:space="preserve"/>
        <w:br w:clear="none"/>
      </w:r>
      <w:r>
        <w:rPr>
          <w:rStyle w:val="Text10"/>
        </w:rPr>
        <w:t xml:space="preserve">class</w:t>
        <w:br w:clear="none"/>
      </w:r>
      <w:r>
        <w:rPr>
          <w:rStyle w:val="Text6"/>
        </w:rPr>
        <w:t xml:space="preserve"> </w:t>
        <w:br w:clear="none"/>
      </w:r>
      <w:r>
        <w:t xml:space="preserve">OptimizedRectangle</w:t>
        <w:br w:clear="none"/>
      </w:r>
      <w:r>
        <w:rPr>
          <w:rStyle w:val="Text7"/>
        </w:rPr>
        <w:t xml:space="preserve">(</w:t>
        <w:br w:clear="none"/>
      </w:r>
      <w:r>
        <w:rPr>
          <w:rStyle w:val="Text9"/>
        </w:rPr>
        <w:t xml:space="preserve">Rectangle</w:t>
        <w:br w:clear="none"/>
      </w:r>
      <w:r>
        <w:rPr>
          <w:rStyle w:val="Text7"/>
        </w:rPr>
        <w:t xml:space="preserve">)</w:t>
        <w:br w:clear="none"/>
        <w:t xml:space="preserve">:</w:t>
        <w:br w:clear="none"/>
      </w:r>
      <w:r>
        <w:rPr>
          <w:rStyle w:val="Text6"/>
        </w:rPr>
        <w:t xml:space="preserve"/>
        <w:br w:clear="none"/>
        <w:t xml:space="preserve">    </w:t>
        <w:br w:clear="none"/>
        <w:t xml:space="preserve">__slots__</w:t>
        <w:br w:clear="none"/>
        <w:t xml:space="preserve"> </w:t>
        <w:br w:clear="none"/>
      </w:r>
      <w:r>
        <w:rPr>
          <w:rStyle w:val="Text13"/>
        </w:rPr>
        <w:t xml:space="preserve">=</w:t>
        <w:br w:clear="none"/>
      </w:r>
      <w:r>
        <w:rPr>
          <w:rStyle w:val="Text6"/>
        </w:rPr>
        <w:t xml:space="preserve"> </w:t>
        <w:br w:clear="none"/>
      </w:r>
      <w:r>
        <w:rPr>
          <w:rStyle w:val="Text8"/>
        </w:rPr>
        <w:t xml:space="preserve">'</w:t>
        <w:br w:clear="none"/>
        <w:t xml:space="preserve">width</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height</w:t>
        <w:br w:clear="none"/>
        <w:t xml:space="preserve">'</w:t>
        <w:br w:clear="none"/>
      </w:r>
    </w:p>
    <w:p>
      <w:pPr>
        <w:pStyle w:val="Normal"/>
      </w:pPr>
      <w:r>
        <w:t xml:space="preserve">There’s no need to define a slot for the </w:t>
      </w:r>
      <w:r>
        <w:rPr>
          <w:rStyle w:val="Text0"/>
        </w:rPr>
        <w:t>area</w:t>
      </w:r>
      <w:r>
        <w:t xml:space="preserve"> property: </w:t>
      </w:r>
      <w:r>
        <w:rPr>
          <w:rStyle w:val="Text0"/>
        </w:rPr>
        <w:t>__slots__</w:t>
      </w:r>
      <w:r>
        <w:t xml:space="preserve"> does not constrain properties, only ordinary instance attributes, which would reside in the instance’s </w:t>
      </w:r>
      <w:r>
        <w:rPr>
          <w:rStyle w:val="Text0"/>
        </w:rPr>
        <w:t>__dict__</w:t>
      </w:r>
      <w:r>
        <w:t xml:space="preserve"> if </w:t>
      </w:r>
      <w:r>
        <w:rPr>
          <w:rStyle w:val="Text0"/>
        </w:rPr>
        <w:t>__slots__</w:t>
      </w:r>
      <w:r>
        <w:t xml:space="preserve"> wasn’t defined.</w:t>
      </w:r>
    </w:p>
    <w:p>
      <w:pPr>
        <w:pStyle w:val="Normal"/>
      </w:pPr>
      <w:r>
        <w:rPr>
          <w:rStyle w:val="Text34"/>
        </w:rPr>
        <w:t>3.8+</w:t>
      </w:r>
      <w:r>
        <w:t xml:space="preserve"> </w:t>
      </w:r>
      <w:r>
        <w:rPr>
          <w:rStyle w:val="Text0"/>
        </w:rPr>
        <w:t>__slots__</w:t>
      </w:r>
      <w:r>
        <w:t xml:space="preserve"> attributes can also be defined using a </w:t>
      </w:r>
      <w:r>
        <w:rPr>
          <w:rStyle w:val="Text0"/>
        </w:rPr>
        <w:t>dict</w:t>
      </w:r>
      <w:r>
        <w:t xml:space="preserve"> with attribute names for the keys and docstrings for the values. </w:t>
      </w:r>
      <w:r>
        <w:rPr>
          <w:rStyle w:val="Text0"/>
        </w:rPr>
        <w:t>OptimizedRectangle</w:t>
      </w:r>
      <w:r>
        <w:t xml:space="preserve"> could be declared more fully as:</w:t>
      </w:r>
    </w:p>
    <w:p>
      <w:pPr>
        <w:pStyle w:val="Para 020"/>
      </w:pPr>
      <w:r>
        <w:rPr>
          <w:rStyle w:val="Text23"/>
        </w:rPr>
        <w:t xml:space="preserve"/>
        <w:br w:clear="none"/>
      </w:r>
      <w:r>
        <w:rPr>
          <w:rStyle w:val="Text10"/>
        </w:rPr>
        <w:t xml:space="preserve">class</w:t>
        <w:br w:clear="none"/>
      </w:r>
      <w:r>
        <w:rPr>
          <w:rStyle w:val="Text6"/>
        </w:rPr>
        <w:t xml:space="preserve"> </w:t>
        <w:br w:clear="none"/>
      </w:r>
      <w:r>
        <w:rPr>
          <w:rStyle w:val="Text33"/>
        </w:rPr>
        <w:t xml:space="preserve">OptimizedRectangle</w:t>
        <w:br w:clear="none"/>
      </w:r>
      <w:r>
        <w:rPr>
          <w:rStyle w:val="Text7"/>
        </w:rPr>
        <w:t xml:space="preserve">(</w:t>
        <w:br w:clear="none"/>
      </w:r>
      <w:r>
        <w:rPr>
          <w:rStyle w:val="Text9"/>
        </w:rPr>
        <w:t xml:space="preserve">Rectangle</w:t>
        <w:br w:clear="none"/>
      </w:r>
      <w:r>
        <w:rPr>
          <w:rStyle w:val="Text7"/>
        </w:rPr>
        <w:t xml:space="preserve">)</w:t>
        <w:br w:clear="none"/>
        <w:t xml:space="preserve">:</w:t>
        <w:br w:clear="none"/>
      </w:r>
      <w:r>
        <w:rPr>
          <w:rStyle w:val="Text6"/>
        </w:rPr>
        <w:t xml:space="preserve"/>
        <w:br w:clear="none"/>
        <w:t xml:space="preserve">    </w:t>
        <w:br w:clear="none"/>
        <w:t xml:space="preserve">__slots__</w:t>
        <w:br w:clear="none"/>
        <w:t xml:space="preserve"> </w:t>
        <w:br w:clear="none"/>
      </w:r>
      <w:r>
        <w:rPr>
          <w:rStyle w:val="Text13"/>
        </w:rPr>
        <w:t xml:space="preserve">=</w:t>
        <w:br w:clear="none"/>
      </w:r>
      <w:r>
        <w:rPr>
          <w:rStyle w:val="Text6"/>
        </w:rPr>
        <w:t xml:space="preserve"> </w:t>
        <w:br w:clear="none"/>
      </w:r>
      <w:r>
        <w:rPr>
          <w:rStyle w:val="Text7"/>
        </w:rPr>
        <w:t xml:space="preserve">{</w:t>
        <w:br w:clear="none"/>
      </w:r>
      <w:r>
        <w:t xml:space="preserve">'</w:t>
        <w:br w:clear="none"/>
        <w:t xml:space="preserve">width</w:t>
        <w:br w:clear="none"/>
        <w:t xml:space="preserve">'</w:t>
        <w:br w:clear="none"/>
      </w:r>
      <w:r>
        <w:rPr>
          <w:rStyle w:val="Text7"/>
        </w:rPr>
        <w:t xml:space="preserve">:</w:t>
        <w:br w:clear="none"/>
      </w:r>
      <w:r>
        <w:rPr>
          <w:rStyle w:val="Text6"/>
        </w:rPr>
        <w:t xml:space="preserve"> </w:t>
        <w:br w:clear="none"/>
      </w:r>
      <w:r>
        <w:t xml:space="preserve">'</w:t>
        <w:br w:clear="none"/>
        <w:t xml:space="preserve">rectangle width in pixels</w:t>
        <w:br w:clear="none"/>
        <w:t xml:space="preserve">'</w:t>
        <w:br w:clear="none"/>
      </w:r>
      <w:r>
        <w:rPr>
          <w:rStyle w:val="Text7"/>
        </w:rPr>
        <w:t xml:space="preserve">,</w:t>
        <w:br w:clear="none"/>
      </w:r>
      <w:r>
        <w:rPr>
          <w:rStyle w:val="Text6"/>
        </w:rPr>
        <w:t xml:space="preserve"/>
        <w:br w:clear="none"/>
        <w:t xml:space="preserve">                 </w:t>
        <w:br w:clear="none"/>
      </w:r>
      <w:r>
        <w:t xml:space="preserve">'</w:t>
        <w:br w:clear="none"/>
        <w:t xml:space="preserve">height</w:t>
        <w:br w:clear="none"/>
        <w:t xml:space="preserve">'</w:t>
        <w:br w:clear="none"/>
      </w:r>
      <w:r>
        <w:rPr>
          <w:rStyle w:val="Text7"/>
        </w:rPr>
        <w:t xml:space="preserve">:</w:t>
        <w:br w:clear="none"/>
      </w:r>
      <w:r>
        <w:rPr>
          <w:rStyle w:val="Text6"/>
        </w:rPr>
        <w:t xml:space="preserve"> </w:t>
        <w:br w:clear="none"/>
      </w:r>
      <w:r>
        <w:t xml:space="preserve">'</w:t>
        <w:br w:clear="none"/>
        <w:t xml:space="preserve">rectangle height in pixels</w:t>
        <w:br w:clear="none"/>
        <w:t xml:space="preserve">'</w:t>
        <w:br w:clear="none"/>
      </w:r>
      <w:r>
        <w:rPr>
          <w:rStyle w:val="Text7"/>
        </w:rPr>
        <w:t xml:space="preserve">}</w:t>
        <w:br w:clear="none"/>
      </w:r>
    </w:p>
    <w:p>
      <w:bookmarkStart w:id="1377" w:name="__getattribute____All_references"/>
      <w:pPr>
        <w:keepNext/>
        <w:pStyle w:val="Heading 2"/>
      </w:pPr>
      <w:r>
        <w:t>__getattribute__</w:t>
      </w:r>
      <w:bookmarkEnd w:id="1377"/>
    </w:p>
    <w:p>
      <w:pPr>
        <w:pStyle w:val="Normal"/>
      </w:pPr>
      <w:r>
        <w:t>All</w:t>
      </w:r>
      <w:r>
        <w:rPr>
          <w:rStyle w:val="Text111"/>
        </w:rPr>
        <w:bookmarkStart w:id="1378" w:name="idm45965265291040"/>
        <w:t/>
        <w:bookmarkEnd w:id="1378"/>
        <w:bookmarkStart w:id="1379" w:name="idm45965265289664"/>
        <w:t/>
        <w:bookmarkEnd w:id="1379"/>
      </w:r>
      <w:r>
        <w:t xml:space="preserve"> references to instance attributes go through the special method </w:t>
      </w:r>
      <w:r>
        <w:rPr>
          <w:rStyle w:val="Text0"/>
        </w:rPr>
        <w:t>__getattribute__</w:t>
      </w:r>
      <w:r>
        <w:t xml:space="preserve">. This method comes from </w:t>
      </w:r>
      <w:r>
        <w:rPr>
          <w:rStyle w:val="Text0"/>
        </w:rPr>
        <w:t>object</w:t>
      </w:r>
      <w:r>
        <w:t xml:space="preserve">, where it implements attribute reference semantics (as documented in </w:t>
      </w:r>
      <w:hyperlink w:anchor="Attribute_Reference_Basics__An_a">
        <w:r>
          <w:rPr>
            <w:rStyle w:val="Text1"/>
          </w:rPr>
          <w:t>“Attribute Reference Basics”</w:t>
        </w:r>
      </w:hyperlink>
      <w:r>
        <w:t xml:space="preserve">). You may override </w:t>
      </w:r>
      <w:r>
        <w:rPr>
          <w:rStyle w:val="Text0"/>
        </w:rPr>
        <w:t>__getattribute__</w:t>
      </w:r>
      <w:r>
        <w:t xml:space="preserve"> for purposes such as hiding inherited class attributes for a subclass’s instances. For instance, the following example shows one way to implement a list without </w:t>
      </w:r>
      <w:r>
        <w:rPr>
          <w:rStyle w:val="Text0"/>
        </w:rPr>
        <w:t>append</w:t>
      </w:r>
      <w:r>
        <w:t>:</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listNoAppend</w:t>
        <w:br w:clear="none"/>
      </w:r>
      <w:r>
        <w:rPr>
          <w:rStyle w:val="Text7"/>
        </w:rPr>
        <w:t xml:space="preserve">(</w:t>
        <w:br w:clear="none"/>
      </w:r>
      <w:r>
        <w:rPr>
          <w:rStyle w:val="Text16"/>
        </w:rPr>
        <w:t xml:space="preserve">list</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__getattribute__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name</w:t>
        <w:br w:clear="none"/>
      </w:r>
      <w:r>
        <w:t xml:space="preserve"> </w:t>
        <w:br w:clear="none"/>
      </w:r>
      <w:r>
        <w:rPr>
          <w:rStyle w:val="Text13"/>
        </w:rPr>
        <w:t xml:space="preserve">==</w:t>
        <w:br w:clear="none"/>
      </w:r>
      <w:r>
        <w:t xml:space="preserve"> </w:t>
        <w:br w:clear="none"/>
      </w:r>
      <w:r>
        <w:rPr>
          <w:rStyle w:val="Text8"/>
        </w:rPr>
        <w:t xml:space="preserve">'</w:t>
        <w:br w:clear="none"/>
        <w:t xml:space="preserve">append</w:t>
        <w:br w:clear="none"/>
        <w:t xml:space="preserve">'</w:t>
        <w:br w:clear="none"/>
      </w:r>
      <w:r>
        <w:rPr>
          <w:rStyle w:val="Text7"/>
        </w:rPr>
        <w:t xml:space="preserve">:</w:t>
        <w:br w:clear="none"/>
      </w:r>
      <w:r>
        <w:t xml:space="preserve"/>
        <w:br w:clear="none"/>
        <w:t xml:space="preserve">            </w:t>
        <w:br w:clear="none"/>
      </w:r>
      <w:r>
        <w:rPr>
          <w:rStyle w:val="Text10"/>
        </w:rPr>
        <w:t xml:space="preserve">raise</w:t>
        <w:br w:clear="none"/>
      </w:r>
      <w:r>
        <w:t xml:space="preserve"> </w:t>
        <w:br w:clear="none"/>
      </w:r>
      <w:r>
        <w:rPr>
          <w:rStyle w:val="Text36"/>
        </w:rPr>
        <w:t xml:space="preserve">AttributeError</w:t>
        <w:br w:clear="none"/>
      </w:r>
      <w:r>
        <w:rPr>
          <w:rStyle w:val="Text7"/>
        </w:rPr>
        <w:t xml:space="preserve">(</w:t>
        <w:br w:clear="none"/>
      </w:r>
      <w:r>
        <w:rPr>
          <w:rStyle w:val="Text9"/>
        </w:rPr>
        <w:t xml:space="preserve">name</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list</w:t>
        <w:br w:clear="none"/>
      </w:r>
      <w:r>
        <w:rPr>
          <w:rStyle w:val="Text13"/>
        </w:rPr>
        <w:t xml:space="preserve">.</w:t>
        <w:br w:clear="none"/>
      </w:r>
      <w:r>
        <w:t xml:space="preserve">__getattribute__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r>
    </w:p>
    <w:p>
      <w:pPr>
        <w:pStyle w:val="Normal"/>
      </w:pPr>
      <w:r>
        <w:t xml:space="preserve">An instance </w:t>
      </w:r>
      <w:r>
        <w:rPr>
          <w:rStyle w:val="Text3"/>
        </w:rPr>
        <w:t>x</w:t>
      </w:r>
      <w:r>
        <w:t xml:space="preserve"> of class </w:t>
      </w:r>
      <w:r>
        <w:rPr>
          <w:rStyle w:val="Text0"/>
        </w:rPr>
        <w:t>listNoAppend</w:t>
      </w:r>
      <w:r>
        <w:t xml:space="preserve"> is almost indistinguishable from a built-in list object, except that its runtime performance is substantially worse, and any reference to </w:t>
      </w:r>
      <w:r>
        <w:rPr>
          <w:rStyle w:val="Text3"/>
        </w:rPr>
        <w:t>x</w:t>
      </w:r>
      <w:r>
        <w:rPr>
          <w:rStyle w:val="Text0"/>
        </w:rPr>
        <w:t>.append</w:t>
      </w:r>
      <w:r>
        <w:t xml:space="preserve"> raises an exception.</w:t>
      </w:r>
    </w:p>
    <w:p>
      <w:pPr>
        <w:pStyle w:val="Normal"/>
      </w:pPr>
      <w:r>
        <w:t xml:space="preserve">Implementing </w:t>
      </w:r>
      <w:r>
        <w:rPr>
          <w:rStyle w:val="Text0"/>
        </w:rPr>
        <w:t>__getattribute__</w:t>
      </w:r>
      <w:r>
        <w:t xml:space="preserve"> can be tricky; it is often easier to use the built-in functions </w:t>
      </w:r>
      <w:r>
        <w:rPr>
          <w:rStyle w:val="Text0"/>
        </w:rPr>
        <w:t>getattr</w:t>
      </w:r>
      <w:r>
        <w:t xml:space="preserve"> and </w:t>
      </w:r>
      <w:r>
        <w:rPr>
          <w:rStyle w:val="Text0"/>
        </w:rPr>
        <w:t>setattr</w:t>
      </w:r>
      <w:r>
        <w:t xml:space="preserve"> and the instance’s </w:t>
      </w:r>
      <w:r>
        <w:rPr>
          <w:rStyle w:val="Text0"/>
        </w:rPr>
        <w:t>__dict__</w:t>
      </w:r>
      <w:r>
        <w:t xml:space="preserve"> (if any), or to reimplement </w:t>
      </w:r>
      <w:r>
        <w:rPr>
          <w:rStyle w:val="Text0"/>
        </w:rPr>
        <w:t>__getattr__</w:t>
      </w:r>
      <w:r>
        <w:t xml:space="preserve"> and </w:t>
      </w:r>
      <w:r>
        <w:rPr>
          <w:rStyle w:val="Text0"/>
        </w:rPr>
        <w:t>__setattr__</w:t>
      </w:r>
      <w:r>
        <w:t>. Of course, in some cases (such as the preceding example), there is no alternative.</w:t>
      </w:r>
    </w:p>
    <w:p>
      <w:bookmarkStart w:id="1380" w:name="Per_Instance_Methods__An_instanc"/>
      <w:pPr>
        <w:keepNext/>
        <w:pStyle w:val="Heading 2"/>
      </w:pPr>
      <w:r>
        <w:t>Per Instance Methods</w:t>
      </w:r>
      <w:bookmarkEnd w:id="1380"/>
    </w:p>
    <w:p>
      <w:pPr>
        <w:pStyle w:val="Normal"/>
      </w:pPr>
      <w:r>
        <w:t>An</w:t>
      </w:r>
      <w:r>
        <w:rPr>
          <w:rStyle w:val="Text111"/>
        </w:rPr>
        <w:bookmarkStart w:id="1381" w:name="idm45965265186096"/>
        <w:t/>
        <w:bookmarkEnd w:id="1381"/>
        <w:bookmarkStart w:id="1382" w:name="idm45965265184688"/>
        <w:t/>
        <w:bookmarkEnd w:id="1382"/>
        <w:bookmarkStart w:id="1383" w:name="idm45965265183584"/>
        <w:t/>
        <w:bookmarkEnd w:id="1383"/>
        <w:bookmarkStart w:id="1384" w:name="idm45965265182208"/>
        <w:t/>
        <w:bookmarkEnd w:id="1384"/>
      </w:r>
      <w:r>
        <w:t xml:space="preserve"> instance can have instance-specific bindings for all attributes, including callable attributes (methods). For a method, just like for any other attribute (except those bound to overriding descriptors), an instance-specific binding hides a class-level binding: attribute lookup does not consider the class when it finds a binding directly in the instance. An instance-specific binding for a callable attribute does not perform any of the transformations detailed in </w:t>
      </w:r>
      <w:hyperlink w:anchor="Bound_and_Unbound_Methods__The_m">
        <w:r>
          <w:rPr>
            <w:rStyle w:val="Text1"/>
          </w:rPr>
          <w:t>“Bound and Unbound Methods”</w:t>
        </w:r>
      </w:hyperlink>
      <w:r>
        <w:t>: the attribute reference returns exactly the same callable object that was earlier bound directly to the instance attribute.</w:t>
      </w:r>
    </w:p>
    <w:p>
      <w:pPr>
        <w:pStyle w:val="Normal"/>
      </w:pPr>
      <w:r>
        <w:t xml:space="preserve">However, this does not work as you might expect for per instance bindings of the special methods that Python calls implicitly as a result of various operations, as covered in </w:t>
      </w:r>
      <w:hyperlink w:anchor="Special_Methods__A_class_may_def">
        <w:r>
          <w:rPr>
            <w:rStyle w:val="Text1"/>
          </w:rPr>
          <w:t>“Special Methods”</w:t>
        </w:r>
      </w:hyperlink>
      <w:r>
        <w:t xml:space="preserve">. Such implicit uses of special methods always rely on the </w:t>
      </w:r>
      <w:r>
        <w:rPr>
          <w:rStyle w:val="Text4"/>
        </w:rPr>
        <w:t>class-level</w:t>
      </w:r>
      <w:r>
        <w:t xml:space="preserve"> binding of the special method, if any.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fake_get_item</w:t>
        <w:br w:clear="none"/>
      </w:r>
      <w:r>
        <w:rPr>
          <w:rStyle w:val="Text19"/>
        </w:rPr>
        <w:t xml:space="preserve">(</w:t>
        <w:br w:clear="none"/>
      </w:r>
      <w:r>
        <w:rPr>
          <w:rStyle w:val="Text14"/>
        </w:rPr>
        <w:t xml:space="preserve">idx</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idx</w:t>
        <w:br w:clear="none"/>
      </w:r>
      <w:r>
        <w:rPr>
          <w:rStyle w:val="Text11"/>
        </w:rPr>
        <w:t xml:space="preserve"/>
        <w:br w:clear="none"/>
      </w:r>
      <w:r>
        <w:rPr>
          <w:rStyle w:val="Text22"/>
        </w:rPr>
        <w:t xml:space="preserve">class</w:t>
        <w:br w:clear="none"/>
      </w:r>
      <w:r>
        <w:rPr>
          <w:rStyle w:val="Text11"/>
        </w:rPr>
        <w:t xml:space="preserve"> </w:t>
        <w:br w:clear="none"/>
      </w:r>
      <w:r>
        <w:rPr>
          <w:rStyle w:val="Text45"/>
        </w:rPr>
        <w:t xml:space="preserve">MyClass</w:t>
        <w:br w:clear="none"/>
      </w:r>
      <w:r>
        <w:rPr>
          <w:rStyle w:val="Text19"/>
        </w:rPr>
        <w:t xml:space="preserve">:</w:t>
        <w:br w:clear="none"/>
      </w:r>
      <w:r>
        <w:rPr>
          <w:rStyle w:val="Text11"/>
        </w:rPr>
        <w:t xml:space="preserve"/>
        <w:br w:clear="none"/>
        <w:t xml:space="preserve">    </w:t>
        <w:br w:clear="none"/>
      </w:r>
      <w:r>
        <w:rPr>
          <w:rStyle w:val="Text22"/>
        </w:rPr>
        <w:t xml:space="preserve">pass</w:t>
        <w:br w:clear="none"/>
      </w:r>
      <w:r>
        <w:rPr>
          <w:rStyle w:val="Text11"/>
        </w:rPr>
        <w:t xml:space="preserve"/>
        <w:br w:clear="none"/>
      </w:r>
      <w:r>
        <w:rPr>
          <w:rStyle w:val="Text14"/>
        </w:rPr>
        <w:t xml:space="preserve">n</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MyClass</w:t>
        <w:br w:clear="none"/>
      </w:r>
      <w:r>
        <w:rPr>
          <w:rStyle w:val="Text19"/>
        </w:rPr>
        <w:t xml:space="preserve">(</w:t>
        <w:br w:clear="none"/>
        <w:t xml:space="preserve">)</w:t>
        <w:br w:clear="none"/>
      </w:r>
      <w:r>
        <w:rPr>
          <w:rStyle w:val="Text11"/>
        </w:rPr>
        <w:t xml:space="preserve"/>
        <w:br w:clear="none"/>
      </w:r>
      <w:r>
        <w:rPr>
          <w:rStyle w:val="Text14"/>
        </w:rPr>
        <w:t xml:space="preserve">n</w:t>
        <w:br w:clear="none"/>
      </w:r>
      <w:r>
        <w:rPr>
          <w:rStyle w:val="Text28"/>
        </w:rPr>
        <w:t xml:space="preserve">.</w:t>
        <w:br w:clear="none"/>
      </w:r>
      <w:r>
        <w:rPr>
          <w:rStyle w:val="Text11"/>
        </w:rPr>
        <w:t xml:space="preserve">__getitem__</w:t>
        <w:br w:clear="none"/>
        <w:t xml:space="preserve"> </w:t>
        <w:br w:clear="none"/>
      </w:r>
      <w:r>
        <w:rPr>
          <w:rStyle w:val="Text28"/>
        </w:rPr>
        <w:t xml:space="preserve">=</w:t>
        <w:br w:clear="none"/>
      </w:r>
      <w:r>
        <w:rPr>
          <w:rStyle w:val="Text11"/>
        </w:rPr>
        <w:t xml:space="preserve"> </w:t>
        <w:br w:clear="none"/>
      </w:r>
      <w:r>
        <w:rPr>
          <w:rStyle w:val="Text14"/>
        </w:rPr>
        <w:t xml:space="preserve">fake_get_item</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n</w:t>
        <w:br w:clear="none"/>
      </w:r>
      <w:r>
        <w:rPr>
          <w:rStyle w:val="Text19"/>
        </w:rPr>
        <w:t xml:space="preserve">[</w:t>
        <w:br w:clear="none"/>
      </w:r>
      <w:r>
        <w:rPr>
          <w:rStyle w:val="Text35"/>
        </w:rPr>
        <w:t xml:space="preserve">23</w:t>
        <w:br w:clear="none"/>
      </w:r>
      <w:r>
        <w:rPr>
          <w:rStyle w:val="Text19"/>
        </w:rPr>
        <w:t xml:space="preserve">]</w:t>
        <w:br w:clear="none"/>
        <w:t xml:space="preserve">)</w:t>
        <w:br w:clear="none"/>
      </w:r>
      <w:r>
        <w:rPr>
          <w:rStyle w:val="Text11"/>
        </w:rPr>
        <w:t xml:space="preserve">                      </w:t>
        <w:br w:clear="none"/>
      </w:r>
      <w:r>
        <w:t xml:space="preserve"># results in:</w:t>
        <w:br w:clear="none"/>
      </w:r>
      <w:r>
        <w:rPr>
          <w:rStyle w:val="Text11"/>
        </w:rPr>
        <w:t xml:space="preserve"/>
        <w:br w:clear="none"/>
      </w:r>
      <w:r>
        <w:t xml:space="preserve"># Traceback (most recent call last):</w:t>
        <w:br w:clear="none"/>
      </w:r>
      <w:r>
        <w:rPr>
          <w:rStyle w:val="Text11"/>
        </w:rPr>
        <w:t xml:space="preserve"/>
        <w:br w:clear="none"/>
      </w:r>
      <w:r>
        <w:t xml:space="preserve">#   File "&lt;stdin&gt;", line 1, in ?</w:t>
        <w:br w:clear="none"/>
      </w:r>
      <w:r>
        <w:rPr>
          <w:rStyle w:val="Text11"/>
        </w:rPr>
        <w:t xml:space="preserve"/>
        <w:br w:clear="none"/>
      </w:r>
      <w:r>
        <w:t xml:space="preserve"># TypeError: unindexable object</w:t>
        <w:br w:clear="none"/>
      </w:r>
    </w:p>
    <w:p>
      <w:bookmarkStart w:id="1385" w:name="Inheritance_from_Built_in_Types"/>
      <w:pPr>
        <w:keepNext/>
        <w:pStyle w:val="Heading 2"/>
      </w:pPr>
      <w:r>
        <w:t>Inheritance from Built-in Types</w:t>
      </w:r>
      <w:bookmarkEnd w:id="1385"/>
    </w:p>
    <w:p>
      <w:pPr>
        <w:pStyle w:val="Normal"/>
      </w:pPr>
      <w:r>
        <w:t>A</w:t>
      </w:r>
      <w:r>
        <w:rPr>
          <w:rStyle w:val="Text111"/>
        </w:rPr>
        <w:bookmarkStart w:id="1386" w:name="idm45965265132384"/>
        <w:t/>
        <w:bookmarkEnd w:id="1386"/>
        <w:bookmarkStart w:id="1387" w:name="idm45965265131280"/>
        <w:t/>
        <w:bookmarkEnd w:id="1387"/>
        <w:bookmarkStart w:id="1388" w:name="idm45965265129664"/>
        <w:t/>
        <w:bookmarkEnd w:id="1388"/>
      </w:r>
      <w:r>
        <w:t xml:space="preserve"> class can inherit from a built-in type. However, a class may directly or indirectly extend multiple built-in types only if those types are specifically designed to allow this level of mutual compatibility. Python does not support unconstrained inheritance from multiple arbitrary built-in types. Normally, a new-style class only extends at most one substantial built-in type. For example, this:</w:t>
      </w:r>
    </w:p>
    <w:p>
      <w:pPr>
        <w:pStyle w:val="Para 037"/>
      </w:pPr>
      <w:r>
        <w:rPr>
          <w:rStyle w:val="Text118"/>
        </w:rPr>
        <w:t xml:space="preserve"/>
        <w:br w:clear="none"/>
      </w:r>
      <w:r>
        <w:t xml:space="preserve">class</w:t>
        <w:br w:clear="none"/>
      </w:r>
      <w:r>
        <w:rPr>
          <w:rStyle w:val="Text29"/>
        </w:rPr>
        <w:t xml:space="preserve"> </w:t>
        <w:br w:clear="none"/>
      </w:r>
      <w:r>
        <w:rPr>
          <w:rStyle w:val="Text91"/>
        </w:rPr>
        <w:t xml:space="preserve">noway</w:t>
        <w:br w:clear="none"/>
      </w:r>
      <w:r>
        <w:rPr>
          <w:rStyle w:val="Text31"/>
        </w:rPr>
        <w:t xml:space="preserve">(</w:t>
        <w:br w:clear="none"/>
      </w:r>
      <w:r>
        <w:rPr>
          <w:rStyle w:val="Text67"/>
        </w:rPr>
        <w:t xml:space="preserve">dict</w:t>
        <w:br w:clear="none"/>
      </w:r>
      <w:r>
        <w:rPr>
          <w:rStyle w:val="Text31"/>
        </w:rPr>
        <w:t xml:space="preserve">,</w:t>
        <w:br w:clear="none"/>
      </w:r>
      <w:r>
        <w:rPr>
          <w:rStyle w:val="Text29"/>
        </w:rPr>
        <w:t xml:space="preserve"> </w:t>
        <w:br w:clear="none"/>
      </w:r>
      <w:r>
        <w:rPr>
          <w:rStyle w:val="Text67"/>
        </w:rPr>
        <w:t xml:space="preserve">list</w:t>
        <w:br w:clear="none"/>
      </w:r>
      <w:r>
        <w:rPr>
          <w:rStyle w:val="Text31"/>
        </w:rPr>
        <w:t xml:space="preserve">)</w:t>
        <w:br w:clear="none"/>
        <w:t xml:space="preserve">:</w:t>
        <w:br w:clear="none"/>
      </w:r>
      <w:r>
        <w:rPr>
          <w:rStyle w:val="Text29"/>
        </w:rPr>
        <w:t xml:space="preserve"/>
        <w:br w:clear="none"/>
        <w:t xml:space="preserve">    </w:t>
        <w:br w:clear="none"/>
      </w:r>
      <w:r>
        <w:t xml:space="preserve">pass</w:t>
        <w:br w:clear="none"/>
      </w:r>
    </w:p>
    <w:p>
      <w:pPr>
        <w:pStyle w:val="Normal"/>
      </w:pPr>
      <w:r>
        <w:t xml:space="preserve">raises a </w:t>
      </w:r>
      <w:r>
        <w:rPr>
          <w:rStyle w:val="Text0"/>
        </w:rPr>
        <w:t>TypeError</w:t>
      </w:r>
      <w:r>
        <w:t xml:space="preserve"> exception, with a detailed explanation of “multiple bases have instance lay-out conflict.” When you see such error messages, it means that you’re trying to inherit, directly or indirectly, from multiple built-in types that are not specifically designed to cooperate at such a deep level.</w:t>
      </w:r>
      <w:r>
        <w:rPr>
          <w:rStyle w:val="Text111"/>
        </w:rPr>
        <w:bookmarkStart w:id="1389" w:name="idm45965265089632"/>
        <w:t/>
        <w:bookmarkEnd w:id="1389"/>
        <w:bookmarkStart w:id="1390" w:name="idm45965265088320"/>
        <w:t/>
        <w:bookmarkEnd w:id="1390"/>
      </w:r>
    </w:p>
    <w:p>
      <w:bookmarkStart w:id="1391" w:name="Special_Methods__A_class_may_def"/>
      <w:pPr>
        <w:keepNext/>
        <w:pStyle w:val="Heading 1"/>
      </w:pPr>
      <w:r>
        <w:t>Special Methods</w:t>
      </w:r>
      <w:bookmarkEnd w:id="1391"/>
    </w:p>
    <w:p>
      <w:pPr>
        <w:pStyle w:val="Normal"/>
      </w:pPr>
      <w:r>
        <w:t>A</w:t>
      </w:r>
      <w:r>
        <w:rPr>
          <w:rStyle w:val="Text111"/>
        </w:rPr>
        <w:bookmarkStart w:id="1392" w:name="OOPspmeth04"/>
        <w:t/>
        <w:bookmarkEnd w:id="1392"/>
        <w:bookmarkStart w:id="1393" w:name="spmeth04"/>
        <w:t/>
        <w:bookmarkEnd w:id="1393"/>
        <w:bookmarkStart w:id="1394" w:name="idm45965265082080"/>
        <w:t/>
        <w:bookmarkEnd w:id="1394"/>
      </w:r>
      <w:r>
        <w:t xml:space="preserve"> class may define or inherit special methods, often referred to as</w:t>
      </w:r>
      <w:r>
        <w:rPr>
          <w:rStyle w:val="Text111"/>
        </w:rPr>
        <w:bookmarkStart w:id="1395" w:name="idm45965265064160"/>
        <w:t/>
        <w:bookmarkEnd w:id="1395"/>
        <w:bookmarkStart w:id="1396" w:name="idm45965265063056"/>
        <w:t/>
        <w:bookmarkEnd w:id="1396"/>
        <w:bookmarkStart w:id="1397" w:name="idm45965265061712"/>
        <w:t/>
        <w:bookmarkEnd w:id="1397"/>
      </w:r>
      <w:r>
        <w:t xml:space="preserve"> “dunder” methods because, as described earlier, their names have leading and trailing double underscores. Each special method relates to a specific operation. Python implicitly calls a special method whenever you perform the related operation on an instance object. In most cases, the method’s return value is the operation’s result, and attempting an operation when its related method is not present raises an exception.</w:t>
      </w:r>
    </w:p>
    <w:p>
      <w:pPr>
        <w:pStyle w:val="Normal"/>
      </w:pPr>
      <w:r>
        <w:t xml:space="preserve">Throughout this section, we point out the cases in which these general rules do not apply. In the following discussion, </w:t>
      </w:r>
      <w:r>
        <w:rPr>
          <w:rStyle w:val="Text3"/>
        </w:rPr>
        <w:t>x</w:t>
      </w:r>
      <w:r>
        <w:t xml:space="preserve"> is the instance of class </w:t>
      </w:r>
      <w:r>
        <w:rPr>
          <w:rStyle w:val="Text3"/>
        </w:rPr>
        <w:t>C</w:t>
      </w:r>
      <w:r>
        <w:t xml:space="preserve"> on which you perform the operation, and </w:t>
      </w:r>
      <w:r>
        <w:rPr>
          <w:rStyle w:val="Text3"/>
        </w:rPr>
        <w:t>y</w:t>
      </w:r>
      <w:r>
        <w:t xml:space="preserve"> is the other operand, if any. The parameter </w:t>
      </w:r>
      <w:r>
        <w:rPr>
          <w:rStyle w:val="Text0"/>
        </w:rPr>
        <w:t>self</w:t>
      </w:r>
      <w:r>
        <w:t xml:space="preserve"> of each method also refers to the instance object </w:t>
      </w:r>
      <w:r>
        <w:rPr>
          <w:rStyle w:val="Text3"/>
        </w:rPr>
        <w:t>x</w:t>
      </w:r>
      <w:r>
        <w:t xml:space="preserve">. Whenever we mention calls to </w:t>
      </w:r>
      <w:r>
        <w:rPr>
          <w:rStyle w:val="Text3"/>
        </w:rPr>
        <w:t>x.</w:t>
      </w:r>
      <w:r>
        <w:rPr>
          <w:rStyle w:val="Text0"/>
        </w:rPr>
        <w:t>__</w:t>
      </w:r>
      <w:r>
        <w:rPr>
          <w:rStyle w:val="Text3"/>
        </w:rPr>
        <w:t>whatever</w:t>
      </w:r>
      <w:r>
        <w:rPr>
          <w:rStyle w:val="Text0"/>
        </w:rPr>
        <w:t>__(...)</w:t>
      </w:r>
      <w:r>
        <w:t xml:space="preserve">, keep in mind that the exact call happening is rather, pedantically speaking, </w:t>
      </w:r>
      <w:r>
        <w:rPr>
          <w:rStyle w:val="Text3"/>
        </w:rPr>
        <w:t>x.</w:t>
      </w:r>
      <w:r>
        <w:rPr>
          <w:rStyle w:val="Text0"/>
        </w:rPr>
        <w:t>__class__.__</w:t>
      </w:r>
      <w:r>
        <w:rPr>
          <w:rStyle w:val="Text3"/>
        </w:rPr>
        <w:t>whatever</w:t>
      </w:r>
      <w:r>
        <w:rPr>
          <w:rStyle w:val="Text0"/>
        </w:rPr>
        <w:t>__(</w:t>
      </w:r>
      <w:r>
        <w:rPr>
          <w:rStyle w:val="Text3"/>
        </w:rPr>
        <w:t>x</w:t>
      </w:r>
      <w:r>
        <w:t xml:space="preserve">, </w:t>
      </w:r>
      <w:r>
        <w:rPr>
          <w:rStyle w:val="Text0"/>
        </w:rPr>
        <w:t>...)</w:t>
      </w:r>
      <w:r>
        <w:t>.</w:t>
      </w:r>
    </w:p>
    <w:p>
      <w:bookmarkStart w:id="1398" w:name="General_Purpose_Special_Methods"/>
      <w:pPr>
        <w:keepNext/>
        <w:pStyle w:val="Heading 2"/>
      </w:pPr>
      <w:r>
        <w:t>General-Purpose Special Methods</w:t>
      </w:r>
      <w:bookmarkEnd w:id="1398"/>
    </w:p>
    <w:p>
      <w:pPr>
        <w:pStyle w:val="Normal"/>
      </w:pPr>
      <w:r>
        <w:t>Some</w:t>
      </w:r>
      <w:r>
        <w:rPr>
          <w:rStyle w:val="Text111"/>
        </w:rPr>
        <w:bookmarkStart w:id="1399" w:name="idm45965265048656"/>
        <w:t/>
        <w:bookmarkEnd w:id="1399"/>
        <w:bookmarkStart w:id="1400" w:name="idm45965265047248"/>
        <w:t/>
        <w:bookmarkEnd w:id="1400"/>
      </w:r>
      <w:r>
        <w:t xml:space="preserve"> dunder methods relate to general-purpose operations. A class that defines or inherits these methods allows its instances to control such operations. These operations can be divided into categories:</w:t>
      </w:r>
    </w:p>
    <w:p>
      <w:pPr>
        <w:pStyle w:val="Para 023"/>
      </w:pPr>
      <w:r>
        <w:t>Initialization and finalization</w:t>
      </w:r>
    </w:p>
    <w:p>
      <w:pPr>
        <w:pStyle w:val="Para 016"/>
      </w:pPr>
      <w:r>
        <w:t>A</w:t>
      </w:r>
      <w:r>
        <w:rPr>
          <w:rStyle w:val="Text115"/>
        </w:rPr>
        <w:bookmarkStart w:id="1401" w:name="idm45965265043904"/>
        <w:t/>
        <w:bookmarkEnd w:id="1401"/>
        <w:bookmarkStart w:id="1402" w:name="idm45965265042768"/>
        <w:t/>
        <w:bookmarkEnd w:id="1402"/>
        <w:bookmarkStart w:id="1403" w:name="idm45965265041664"/>
        <w:t/>
        <w:bookmarkEnd w:id="1403"/>
        <w:bookmarkStart w:id="1404" w:name="idm45965265040592"/>
        <w:t/>
        <w:bookmarkEnd w:id="1404"/>
        <w:bookmarkStart w:id="1405" w:name="idm45965265039472"/>
        <w:t/>
        <w:bookmarkEnd w:id="1405"/>
      </w:r>
      <w:r>
        <w:t xml:space="preserve"> class can control its instances’ initialization (a very common requirement) via special methods </w:t>
      </w:r>
      <w:r>
        <w:rPr>
          <w:rStyle w:val="Text0"/>
        </w:rPr>
        <w:t>__new__</w:t>
      </w:r>
      <w:r>
        <w:t xml:space="preserve"> and </w:t>
      </w:r>
      <w:r>
        <w:rPr>
          <w:rStyle w:val="Text0"/>
        </w:rPr>
        <w:t>__init__</w:t>
      </w:r>
      <w:r>
        <w:t xml:space="preserve">, and/or their finalization (a rare requirement) via </w:t>
      </w:r>
      <w:r>
        <w:rPr>
          <w:rStyle w:val="Text0"/>
        </w:rPr>
        <w:t>__del__</w:t>
      </w:r>
      <w:r>
        <w:t>.</w:t>
      </w:r>
    </w:p>
    <w:p>
      <w:pPr>
        <w:pStyle w:val="Para 023"/>
      </w:pPr>
      <w:r>
        <w:t>String representation</w:t>
      </w:r>
    </w:p>
    <w:p>
      <w:pPr>
        <w:pStyle w:val="Para 016"/>
      </w:pPr>
      <w:r>
        <w:t>A</w:t>
      </w:r>
      <w:r>
        <w:rPr>
          <w:rStyle w:val="Text115"/>
        </w:rPr>
        <w:bookmarkStart w:id="1406" w:name="idm45965265035024"/>
        <w:t/>
        <w:bookmarkEnd w:id="1406"/>
        <w:bookmarkStart w:id="1407" w:name="idm45965265033648"/>
        <w:t/>
        <w:bookmarkEnd w:id="1407"/>
        <w:bookmarkStart w:id="1408" w:name="idm45965265032576"/>
        <w:t/>
        <w:bookmarkEnd w:id="1408"/>
        <w:bookmarkStart w:id="1409" w:name="idm45965265031504"/>
        <w:t/>
        <w:bookmarkEnd w:id="1409"/>
      </w:r>
      <w:r>
        <w:t xml:space="preserve"> class can control how Python renders its instances as strings via special methods </w:t>
      </w:r>
      <w:r>
        <w:rPr>
          <w:rStyle w:val="Text0"/>
        </w:rPr>
        <w:t>__repr__</w:t>
      </w:r>
      <w:r>
        <w:t xml:space="preserve">, </w:t>
      </w:r>
      <w:r>
        <w:rPr>
          <w:rStyle w:val="Text0"/>
        </w:rPr>
        <w:t>__str__</w:t>
      </w:r>
      <w:r>
        <w:t xml:space="preserve">, </w:t>
      </w:r>
      <w:r>
        <w:rPr>
          <w:rStyle w:val="Text0"/>
        </w:rPr>
        <w:t>__format__</w:t>
      </w:r>
      <w:r>
        <w:t xml:space="preserve">, and </w:t>
      </w:r>
      <w:r>
        <w:rPr>
          <w:rStyle w:val="Text0"/>
        </w:rPr>
        <w:t>__bytes__</w:t>
      </w:r>
      <w:r>
        <w:t>.</w:t>
      </w:r>
    </w:p>
    <w:p>
      <w:pPr>
        <w:pStyle w:val="Para 023"/>
      </w:pPr>
      <w:r>
        <w:t>Comparison, hashing, and use in a Boolean context</w:t>
      </w:r>
    </w:p>
    <w:p>
      <w:pPr>
        <w:pStyle w:val="Para 016"/>
      </w:pPr>
      <w:r>
        <w:t>A</w:t>
      </w:r>
      <w:r>
        <w:rPr>
          <w:rStyle w:val="Text115"/>
        </w:rPr>
        <w:bookmarkStart w:id="1410" w:name="idm45965265026672"/>
        <w:t/>
        <w:bookmarkEnd w:id="1410"/>
        <w:bookmarkStart w:id="1411" w:name="idm45965265024880"/>
        <w:t/>
        <w:bookmarkEnd w:id="1411"/>
        <w:bookmarkStart w:id="1412" w:name="idm45965265023504"/>
        <w:t/>
        <w:bookmarkEnd w:id="1412"/>
      </w:r>
      <w:r>
        <w:t xml:space="preserve"> class can control how its instances compare with other objects (via special methods</w:t>
      </w:r>
      <w:r>
        <w:rPr>
          <w:rStyle w:val="Text115"/>
        </w:rPr>
        <w:bookmarkStart w:id="1413" w:name="idm45965265022272"/>
        <w:t/>
        <w:bookmarkEnd w:id="1413"/>
        <w:bookmarkStart w:id="1414" w:name="idm45965265021168"/>
        <w:t/>
        <w:bookmarkEnd w:id="1414"/>
        <w:bookmarkStart w:id="1415" w:name="idm45965265020064"/>
        <w:t/>
        <w:bookmarkEnd w:id="1415"/>
        <w:bookmarkStart w:id="1416" w:name="idm45965265018960"/>
        <w:t/>
        <w:bookmarkEnd w:id="1416"/>
        <w:bookmarkStart w:id="1417" w:name="idm45965265017856"/>
        <w:t/>
        <w:bookmarkEnd w:id="1417"/>
        <w:bookmarkStart w:id="1418" w:name="idm45965265016752"/>
        <w:t/>
        <w:bookmarkEnd w:id="1418"/>
      </w:r>
      <w:r>
        <w:t xml:space="preserve"> </w:t>
      </w:r>
      <w:r>
        <w:rPr>
          <w:rStyle w:val="Text0"/>
        </w:rPr>
        <w:t>__lt__</w:t>
      </w:r>
      <w:r>
        <w:t xml:space="preserve">, </w:t>
      </w:r>
      <w:r>
        <w:rPr>
          <w:rStyle w:val="Text0"/>
        </w:rPr>
        <w:t>__le__</w:t>
      </w:r>
      <w:r>
        <w:t xml:space="preserve">, </w:t>
      </w:r>
      <w:r>
        <w:rPr>
          <w:rStyle w:val="Text0"/>
        </w:rPr>
        <w:t>__gt__</w:t>
      </w:r>
      <w:r>
        <w:t xml:space="preserve">, </w:t>
      </w:r>
      <w:r>
        <w:rPr>
          <w:rStyle w:val="Text0"/>
        </w:rPr>
        <w:t>__ge__</w:t>
      </w:r>
      <w:r>
        <w:t xml:space="preserve">, </w:t>
      </w:r>
      <w:r>
        <w:rPr>
          <w:rStyle w:val="Text0"/>
        </w:rPr>
        <w:t>__eq__</w:t>
      </w:r>
      <w:r>
        <w:t xml:space="preserve">, and </w:t>
      </w:r>
      <w:r>
        <w:rPr>
          <w:rStyle w:val="Text0"/>
        </w:rPr>
        <w:t>__ne__</w:t>
      </w:r>
      <w:r>
        <w:t>), how dictionaries use them as keys and sets use them as members (via</w:t>
      </w:r>
      <w:r>
        <w:rPr>
          <w:rStyle w:val="Text115"/>
        </w:rPr>
        <w:bookmarkStart w:id="1419" w:name="idm45965265011200"/>
        <w:t/>
        <w:bookmarkEnd w:id="1419"/>
      </w:r>
      <w:r>
        <w:t xml:space="preserve"> </w:t>
      </w:r>
      <w:r>
        <w:rPr>
          <w:rStyle w:val="Text0"/>
        </w:rPr>
        <w:t>__hash__</w:t>
      </w:r>
      <w:r>
        <w:t>), and whether they evaluate as</w:t>
      </w:r>
      <w:r>
        <w:rPr>
          <w:rStyle w:val="Text115"/>
        </w:rPr>
        <w:bookmarkStart w:id="1420" w:name="idm45965265009280"/>
        <w:t/>
        <w:bookmarkEnd w:id="1420"/>
        <w:bookmarkStart w:id="1421" w:name="idm45965265008176"/>
        <w:t/>
        <w:bookmarkEnd w:id="1421"/>
      </w:r>
      <w:r>
        <w:t xml:space="preserve"> truthy or falsy in Boolean contexts ( via</w:t>
      </w:r>
      <w:r>
        <w:rPr>
          <w:rStyle w:val="Text0"/>
        </w:rPr>
        <w:t>__bool__</w:t>
      </w:r>
      <w:r>
        <w:t>).</w:t>
      </w:r>
    </w:p>
    <w:p>
      <w:pPr>
        <w:pStyle w:val="Para 023"/>
      </w:pPr>
      <w:r>
        <w:t>Attribute reference, binding, and unbinding</w:t>
      </w:r>
    </w:p>
    <w:p>
      <w:pPr>
        <w:pStyle w:val="Para 016"/>
      </w:pPr>
      <w:r>
        <w:t>A</w:t>
      </w:r>
      <w:r>
        <w:rPr>
          <w:rStyle w:val="Text115"/>
        </w:rPr>
        <w:bookmarkStart w:id="1422" w:name="idm45965265005168"/>
        <w:t/>
        <w:bookmarkEnd w:id="1422"/>
        <w:bookmarkStart w:id="1423" w:name="idm45965265003792"/>
        <w:t/>
        <w:bookmarkEnd w:id="1423"/>
        <w:bookmarkStart w:id="1424" w:name="idm45965265002416"/>
        <w:t/>
        <w:bookmarkEnd w:id="1424"/>
      </w:r>
      <w:r>
        <w:t xml:space="preserve"> class can control access to its instances’ attributes (reference, binding, unbinding) via special methods</w:t>
      </w:r>
      <w:r>
        <w:rPr>
          <w:rStyle w:val="Text115"/>
        </w:rPr>
        <w:bookmarkStart w:id="1425" w:name="idm45965265001056"/>
        <w:t/>
        <w:bookmarkEnd w:id="1425"/>
        <w:bookmarkStart w:id="1426" w:name="idm45965264999984"/>
        <w:t/>
        <w:bookmarkEnd w:id="1426"/>
        <w:bookmarkStart w:id="1427" w:name="idm45965264998864"/>
        <w:t/>
        <w:bookmarkEnd w:id="1427"/>
        <w:bookmarkStart w:id="1428" w:name="idm45965264997744"/>
        <w:t/>
        <w:bookmarkEnd w:id="1428"/>
      </w:r>
      <w:r>
        <w:t xml:space="preserve"> </w:t>
      </w:r>
      <w:r>
        <w:rPr>
          <w:rStyle w:val="Text0"/>
        </w:rPr>
        <w:t>__getattribute__</w:t>
      </w:r>
      <w:r>
        <w:t xml:space="preserve">, </w:t>
      </w:r>
      <w:r>
        <w:rPr>
          <w:rStyle w:val="Text0"/>
        </w:rPr>
        <w:t>__getattr__</w:t>
      </w:r>
      <w:r>
        <w:t xml:space="preserve">, </w:t>
      </w:r>
      <w:r>
        <w:rPr>
          <w:rStyle w:val="Text0"/>
        </w:rPr>
        <w:t>__setattr__</w:t>
      </w:r>
      <w:r>
        <w:t xml:space="preserve">, and </w:t>
      </w:r>
      <w:r>
        <w:rPr>
          <w:rStyle w:val="Text0"/>
        </w:rPr>
        <w:t>__delattr__</w:t>
      </w:r>
      <w:r>
        <w:t>.</w:t>
      </w:r>
    </w:p>
    <w:p>
      <w:pPr>
        <w:pStyle w:val="Para 023"/>
      </w:pPr>
      <w:r>
        <w:t>Callable instances</w:t>
      </w:r>
    </w:p>
    <w:p>
      <w:pPr>
        <w:pStyle w:val="Para 016"/>
      </w:pPr>
      <w:r>
        <w:t>A</w:t>
      </w:r>
      <w:r>
        <w:rPr>
          <w:rStyle w:val="Text115"/>
        </w:rPr>
        <w:bookmarkStart w:id="1429" w:name="idm45965264992848"/>
        <w:t/>
        <w:bookmarkEnd w:id="1429"/>
      </w:r>
      <w:r>
        <w:t xml:space="preserve"> class can make its instances callable, just like function objects, via special method</w:t>
      </w:r>
      <w:r>
        <w:rPr>
          <w:rStyle w:val="Text115"/>
        </w:rPr>
        <w:bookmarkStart w:id="1430" w:name="idm45965264991584"/>
        <w:t/>
        <w:bookmarkEnd w:id="1430"/>
      </w:r>
      <w:r>
        <w:t xml:space="preserve"> </w:t>
      </w:r>
      <w:r>
        <w:rPr>
          <w:rStyle w:val="Text0"/>
        </w:rPr>
        <w:t>__call__</w:t>
      </w:r>
      <w:r>
        <w:t>.</w:t>
      </w:r>
    </w:p>
    <w:p>
      <w:pPr>
        <w:pStyle w:val="Normal"/>
      </w:pPr>
      <w:hyperlink w:anchor="Table_4_1__General_purpose_speci">
        <w:r>
          <w:rPr>
            <w:rStyle w:val="Text1"/>
          </w:rPr>
          <w:t>Table 4-1</w:t>
        </w:r>
      </w:hyperlink>
      <w:r>
        <w:t xml:space="preserve"> documents the general-purpose special methods.</w:t>
      </w:r>
    </w:p>
    <w:tbl>
      <w:tblPr>
        <w:tblW w:type="auto" w:w="0"/>
      </w:tblPr>
      <w:tr>
        <w:tc>
          <w:tcPr>
            <w:tcW w:type="auto" w:w="0"/>
            <w:tcMar>
              <w:left w:type="dxa" w:w="200"/>
              <w:top w:type="dxa" w:w="200"/>
              <w:right w:type="dxa" w:w="200"/>
              <w:bottom w:type="dxa" w:w="200"/>
            </w:tcMar>
          </w:tcPr>
          <w:p>
            <w:bookmarkStart w:id="1431" w:name="Table_4_1__General_purpose_speci"/>
            <w:pPr>
              <w:pStyle w:val="Para 011"/>
            </w:pPr>
            <w:r>
              <w:rPr>
                <w:rStyle w:val="Text117"/>
              </w:rPr>
              <w:t/>
            </w:r>
            <w:r>
              <w:t xml:space="preserve">Table 4-1. </w:t>
              <w:t>General-purpose special methods</w:t>
            </w:r>
            <w:bookmarkEnd w:id="1431"/>
          </w:p>
          <w:p>
            <w:pPr>
              <w:pStyle w:val="Para 001"/>
            </w:pPr>
            <w:r>
              <w:t>__bool__</w:t>
            </w:r>
          </w:p>
        </w:tc>
        <w:tc>
          <w:tcPr>
            <w:tcW w:type="auto" w:w="0"/>
            <w:tcMar>
              <w:left w:type="dxa" w:w="200"/>
              <w:top w:type="dxa" w:w="200"/>
              <w:right w:type="dxa" w:w="200"/>
              <w:bottom w:type="dxa" w:w="200"/>
            </w:tcMar>
          </w:tcPr>
          <w:p>
            <w:pPr>
              <w:pStyle w:val="Para 002"/>
            </w:pPr>
            <w:r>
              <w:rPr>
                <w:rStyle w:val="Text0"/>
              </w:rPr>
              <w:t>__bool__(self)</w:t>
              <w:br w:clear="none"/>
            </w:r>
            <w:r>
              <w:t xml:space="preserve"> When</w:t>
            </w:r>
            <w:r>
              <w:rPr>
                <w:rStyle w:val="Text111"/>
              </w:rPr>
              <w:bookmarkStart w:id="1432" w:name="idm45965264983232"/>
              <w:t/>
              <w:bookmarkEnd w:id="1432"/>
            </w:r>
            <w:r>
              <w:t xml:space="preserve"> evaluating </w:t>
            </w:r>
            <w:r>
              <w:rPr>
                <w:rStyle w:val="Text3"/>
              </w:rPr>
              <w:t>x</w:t>
            </w:r>
            <w:r>
              <w:t xml:space="preserve"> as true or false (see </w:t>
            </w:r>
            <w:hyperlink w:anchor="Boolean_Values__Any11_data_value">
              <w:r>
                <w:rPr>
                  <w:rStyle w:val="Text1"/>
                </w:rPr>
                <w:t>“Boolean Values”</w:t>
              </w:r>
            </w:hyperlink>
            <w:r>
              <w:t xml:space="preserve">)—for example, on a call to </w:t>
            </w:r>
            <w:r>
              <w:rPr>
                <w:rStyle w:val="Text0"/>
              </w:rPr>
              <w:t>bool(</w:t>
            </w:r>
            <w:r>
              <w:rPr>
                <w:rStyle w:val="Text3"/>
              </w:rPr>
              <w:t>x</w:t>
            </w:r>
            <w:r>
              <w:rPr>
                <w:rStyle w:val="Text0"/>
              </w:rPr>
              <w:t>)</w:t>
            </w:r>
            <w:r>
              <w:t xml:space="preserve">—Python calls </w:t>
            </w:r>
            <w:r>
              <w:rPr>
                <w:rStyle w:val="Text3"/>
              </w:rPr>
              <w:t>x</w:t>
            </w:r>
            <w:r>
              <w:rPr>
                <w:rStyle w:val="Text0"/>
              </w:rPr>
              <w:t>.__bool__()</w:t>
            </w:r>
            <w:r>
              <w:t xml:space="preserve">, which should return </w:t>
            </w:r>
            <w:r>
              <w:rPr>
                <w:rStyle w:val="Text5"/>
              </w:rPr>
              <w:t>True</w:t>
            </w:r>
            <w:r>
              <w:t xml:space="preserve"> or </w:t>
            </w:r>
            <w:r>
              <w:rPr>
                <w:rStyle w:val="Text5"/>
              </w:rPr>
              <w:t>False</w:t>
            </w:r>
            <w:r>
              <w:t xml:space="preserve">. When </w:t>
            </w:r>
            <w:r>
              <w:rPr>
                <w:rStyle w:val="Text0"/>
              </w:rPr>
              <w:t>__bool__</w:t>
            </w:r>
            <w:r>
              <w:t xml:space="preserve"> is not present, Python calls </w:t>
            </w:r>
            <w:r>
              <w:rPr>
                <w:rStyle w:val="Text0"/>
              </w:rPr>
              <w:t>__len__</w:t>
            </w:r>
            <w:r>
              <w:t xml:space="preserve">, and takes </w:t>
            </w:r>
            <w:r>
              <w:rPr>
                <w:rStyle w:val="Text3"/>
              </w:rPr>
              <w:t>x</w:t>
            </w:r>
            <w:r>
              <w:t xml:space="preserve"> as falsy when </w:t>
            </w:r>
            <w:r>
              <w:rPr>
                <w:rStyle w:val="Text3"/>
              </w:rPr>
              <w:t>x</w:t>
            </w:r>
            <w:r>
              <w:rPr>
                <w:rStyle w:val="Text0"/>
              </w:rPr>
              <w:t>.__len__()</w:t>
            </w:r>
            <w:r>
              <w:t xml:space="preserve"> returns </w:t>
            </w:r>
            <w:r>
              <w:rPr>
                <w:rStyle w:val="Text0"/>
              </w:rPr>
              <w:t>0</w:t>
            </w:r>
            <w:r>
              <w:t xml:space="preserve"> (to check that a container is nonempty, avoid coding </w:t>
            </w:r>
            <w:r>
              <w:rPr>
                <w:rStyle w:val="Text5"/>
              </w:rPr>
              <w:t>if</w:t>
            </w:r>
            <w:r>
              <w:t xml:space="preserve"> </w:t>
            </w:r>
            <w:r>
              <w:rPr>
                <w:rStyle w:val="Text0"/>
              </w:rPr>
              <w:t>len(</w:t>
            </w:r>
            <w:r>
              <w:rPr>
                <w:rStyle w:val="Text3"/>
              </w:rPr>
              <w:t>container</w:t>
            </w:r>
            <w:r>
              <w:rPr>
                <w:rStyle w:val="Text0"/>
              </w:rPr>
              <w:t>)&gt;0:</w:t>
            </w:r>
            <w:r>
              <w:t xml:space="preserve">; use </w:t>
            </w:r>
            <w:r>
              <w:rPr>
                <w:rStyle w:val="Text5"/>
              </w:rPr>
              <w:t>if</w:t>
            </w:r>
            <w:r>
              <w:t xml:space="preserve"> </w:t>
            </w:r>
            <w:r>
              <w:rPr>
                <w:rStyle w:val="Text3"/>
              </w:rPr>
              <w:t>container</w:t>
            </w:r>
            <w:r>
              <w:t xml:space="preserve">: instead). When neither </w:t>
            </w:r>
            <w:r>
              <w:rPr>
                <w:rStyle w:val="Text0"/>
              </w:rPr>
              <w:t>__bool__</w:t>
            </w:r>
            <w:r>
              <w:t xml:space="preserve"> nor </w:t>
            </w:r>
            <w:r>
              <w:rPr>
                <w:rStyle w:val="Text0"/>
              </w:rPr>
              <w:t>__len__</w:t>
            </w:r>
            <w:r>
              <w:t xml:space="preserve"> is present, Python considers </w:t>
            </w:r>
            <w:r>
              <w:rPr>
                <w:rStyle w:val="Text3"/>
              </w:rPr>
              <w:t>x</w:t>
            </w:r>
            <w:r>
              <w:t xml:space="preserve"> truthy.</w:t>
            </w:r>
          </w:p>
        </w:tc>
      </w:tr>
    </w:tbl>
    <w:tbl>
      <w:tblPr>
        <w:tblW w:type="auto" w:w="0"/>
      </w:tblPr>
      <w:tr>
        <w:tc>
          <w:tcPr>
            <w:tcW w:type="auto" w:w="0"/>
            <w:shd w:val="clear" w:color="auto" w:fill="EEF2F6"/>
            <w:tcMar>
              <w:left w:type="dxa" w:w="200"/>
              <w:top w:type="dxa" w:w="200"/>
              <w:right w:type="dxa" w:w="200"/>
              <w:bottom w:type="dxa" w:w="200"/>
            </w:tcMar>
          </w:tcPr>
          <w:p>
            <w:pPr>
              <w:pStyle w:val="Para 001"/>
            </w:pPr>
            <w:r>
              <w:t>__bytes__</w:t>
            </w:r>
          </w:p>
        </w:tc>
        <w:tc>
          <w:tcPr>
            <w:tcW w:type="auto" w:w="0"/>
            <w:shd w:val="clear" w:color="auto" w:fill="EEF2F6"/>
            <w:tcMar>
              <w:left w:type="dxa" w:w="200"/>
              <w:top w:type="dxa" w:w="200"/>
              <w:right w:type="dxa" w:w="200"/>
              <w:bottom w:type="dxa" w:w="200"/>
            </w:tcMar>
          </w:tcPr>
          <w:p>
            <w:pPr>
              <w:pStyle w:val="Para 002"/>
            </w:pPr>
            <w:r>
              <w:rPr>
                <w:rStyle w:val="Text0"/>
              </w:rPr>
              <w:t>__bytes__(self)</w:t>
              <w:br w:clear="none"/>
            </w:r>
            <w:r>
              <w:t xml:space="preserve"> Calling </w:t>
            </w:r>
            <w:r>
              <w:rPr>
                <w:rStyle w:val="Text0"/>
              </w:rPr>
              <w:t>bytes(</w:t>
            </w:r>
            <w:r>
              <w:rPr>
                <w:rStyle w:val="Text3"/>
              </w:rPr>
              <w:t>x</w:t>
            </w:r>
            <w:r>
              <w:rPr>
                <w:rStyle w:val="Text0"/>
              </w:rPr>
              <w:t>)</w:t>
            </w:r>
            <w:r>
              <w:t xml:space="preserve"> calls </w:t>
            </w:r>
            <w:r>
              <w:rPr>
                <w:rStyle w:val="Text3"/>
              </w:rPr>
              <w:t>x</w:t>
            </w:r>
            <w:r>
              <w:rPr>
                <w:rStyle w:val="Text0"/>
              </w:rPr>
              <w:t>.__bytes__()</w:t>
            </w:r>
            <w:r>
              <w:t xml:space="preserve">, if present. If a class supplies both special methods </w:t>
            </w:r>
            <w:r>
              <w:rPr>
                <w:rStyle w:val="Text0"/>
              </w:rPr>
              <w:t>__bytes__</w:t>
            </w:r>
            <w:r>
              <w:t xml:space="preserve"> and </w:t>
            </w:r>
            <w:r>
              <w:rPr>
                <w:rStyle w:val="Text0"/>
              </w:rPr>
              <w:t>__str__</w:t>
            </w:r>
            <w:r>
              <w:t xml:space="preserve">, they should return “equivalent” strings, respectively, of </w:t>
            </w:r>
            <w:r>
              <w:rPr>
                <w:rStyle w:val="Text0"/>
              </w:rPr>
              <w:t>bytes</w:t>
            </w:r>
            <w:r>
              <w:t xml:space="preserve"> and </w:t>
            </w:r>
            <w:r>
              <w:rPr>
                <w:rStyle w:val="Text0"/>
              </w:rPr>
              <w:t>str</w:t>
            </w:r>
            <w:r>
              <w:t xml:space="preserve"> type.</w:t>
            </w:r>
          </w:p>
        </w:tc>
      </w:tr>
    </w:tbl>
    <w:tbl>
      <w:tblPr>
        <w:tblW w:type="auto" w:w="0"/>
      </w:tblPr>
      <w:tr>
        <w:tc>
          <w:tcPr>
            <w:tcW w:type="auto" w:w="0"/>
            <w:tcMar>
              <w:left w:type="dxa" w:w="200"/>
              <w:top w:type="dxa" w:w="200"/>
              <w:right w:type="dxa" w:w="200"/>
              <w:bottom w:type="dxa" w:w="200"/>
            </w:tcMar>
          </w:tcPr>
          <w:p>
            <w:pPr>
              <w:pStyle w:val="Para 001"/>
            </w:pPr>
            <w:r>
              <w:t>__call__</w:t>
            </w:r>
          </w:p>
        </w:tc>
        <w:tc>
          <w:tcPr>
            <w:tcW w:type="auto" w:w="0"/>
            <w:tcMar>
              <w:left w:type="dxa" w:w="200"/>
              <w:top w:type="dxa" w:w="200"/>
              <w:right w:type="dxa" w:w="200"/>
              <w:bottom w:type="dxa" w:w="200"/>
            </w:tcMar>
          </w:tcPr>
          <w:p>
            <w:pPr>
              <w:pStyle w:val="Para 002"/>
            </w:pPr>
            <w:r>
              <w:rPr>
                <w:rStyle w:val="Text0"/>
              </w:rPr>
              <w:t>__call__(self[,</w:t>
            </w:r>
            <w:r>
              <w:t xml:space="preserve"> </w:t>
            </w:r>
            <w:r>
              <w:rPr>
                <w:rStyle w:val="Text3"/>
              </w:rPr>
              <w:t>args</w:t>
            </w:r>
            <w:r>
              <w:rPr>
                <w:rStyle w:val="Text0"/>
              </w:rPr>
              <w:t>...])</w:t>
              <w:br w:clear="none"/>
            </w:r>
            <w:r>
              <w:t xml:space="preserve"> When</w:t>
            </w:r>
            <w:r>
              <w:rPr>
                <w:rStyle w:val="Text111"/>
              </w:rPr>
              <w:bookmarkStart w:id="1433" w:name="idm45965264954048"/>
              <w:t/>
              <w:bookmarkEnd w:id="1433"/>
            </w:r>
            <w:r>
              <w:t xml:space="preserve"> you call </w:t>
            </w:r>
            <w:r>
              <w:rPr>
                <w:rStyle w:val="Text3"/>
              </w:rPr>
              <w:t>x</w:t>
            </w:r>
            <w:r>
              <w:rPr>
                <w:rStyle w:val="Text0"/>
              </w:rPr>
              <w:t>([</w:t>
            </w:r>
            <w:r>
              <w:rPr>
                <w:rStyle w:val="Text3"/>
              </w:rPr>
              <w:t>args</w:t>
            </w:r>
            <w:r>
              <w:rPr>
                <w:rStyle w:val="Text0"/>
              </w:rPr>
              <w:t>...])</w:t>
            </w:r>
            <w:r>
              <w:t xml:space="preserve">, Python translates the operation into a call to </w:t>
            </w:r>
            <w:r>
              <w:rPr>
                <w:rStyle w:val="Text3"/>
              </w:rPr>
              <w:t>x</w:t>
            </w:r>
            <w:r>
              <w:rPr>
                <w:rStyle w:val="Text0"/>
              </w:rPr>
              <w:t>.__call__([</w:t>
            </w:r>
            <w:r>
              <w:rPr>
                <w:rStyle w:val="Text3"/>
              </w:rPr>
              <w:t>args</w:t>
            </w:r>
            <w:r>
              <w:rPr>
                <w:rStyle w:val="Text0"/>
              </w:rPr>
              <w:t>...])</w:t>
            </w:r>
            <w:r>
              <w:t xml:space="preserve">. The arguments for the call operation correspond to the parameters for the </w:t>
            </w:r>
            <w:r>
              <w:rPr>
                <w:rStyle w:val="Text0"/>
              </w:rPr>
              <w:t>__call__</w:t>
            </w:r>
            <w:r>
              <w:t xml:space="preserve"> method, minus the first one. The first parameter, conventionally called </w:t>
            </w:r>
            <w:r>
              <w:rPr>
                <w:rStyle w:val="Text0"/>
              </w:rPr>
              <w:t>self</w:t>
            </w:r>
            <w:r>
              <w:t xml:space="preserve">, refers to </w:t>
            </w:r>
            <w:r>
              <w:rPr>
                <w:rStyle w:val="Text3"/>
              </w:rPr>
              <w:t>x</w:t>
            </w:r>
            <w:r>
              <w:t>: Python supplies it implicitly, just as in any other call to a</w:t>
            </w:r>
            <w:r>
              <w:rPr>
                <w:rStyle w:val="Text111"/>
              </w:rPr>
              <w:bookmarkStart w:id="1434" w:name="idm45965264946912"/>
              <w:t/>
              <w:bookmarkEnd w:id="1434"/>
            </w:r>
            <w:r>
              <w:t xml:space="preserve"> bound method.</w:t>
            </w:r>
          </w:p>
        </w:tc>
      </w:tr>
    </w:tbl>
    <w:tbl>
      <w:tblPr>
        <w:tblW w:type="auto" w:w="0"/>
      </w:tblPr>
      <w:tr>
        <w:tc>
          <w:tcPr>
            <w:tcW w:type="auto" w:w="0"/>
            <w:shd w:val="clear" w:color="auto" w:fill="EEF2F6"/>
            <w:tcMar>
              <w:left w:type="dxa" w:w="200"/>
              <w:top w:type="dxa" w:w="200"/>
              <w:right w:type="dxa" w:w="200"/>
              <w:bottom w:type="dxa" w:w="200"/>
            </w:tcMar>
          </w:tcPr>
          <w:p>
            <w:pPr>
              <w:pStyle w:val="Para 001"/>
            </w:pPr>
            <w:r>
              <w:t>__del__</w:t>
            </w:r>
          </w:p>
        </w:tc>
        <w:tc>
          <w:tcPr>
            <w:tcW w:type="auto" w:w="0"/>
            <w:shd w:val="clear" w:color="auto" w:fill="EEF2F6"/>
            <w:tcMar>
              <w:left w:type="dxa" w:w="200"/>
              <w:top w:type="dxa" w:w="200"/>
              <w:right w:type="dxa" w:w="200"/>
              <w:bottom w:type="dxa" w:w="200"/>
            </w:tcMar>
          </w:tcPr>
          <w:p>
            <w:pPr>
              <w:pStyle w:val="Para 002"/>
            </w:pPr>
            <w:r>
              <w:rPr>
                <w:rStyle w:val="Text0"/>
              </w:rPr>
              <w:t>__del__(self)</w:t>
              <w:br w:clear="none"/>
            </w:r>
            <w:r>
              <w:t xml:space="preserve"> Just</w:t>
            </w:r>
            <w:r>
              <w:rPr>
                <w:rStyle w:val="Text111"/>
              </w:rPr>
              <w:bookmarkStart w:id="1435" w:name="idm45965264942976"/>
              <w:t/>
              <w:bookmarkEnd w:id="1435"/>
            </w:r>
            <w:r>
              <w:t xml:space="preserve"> before </w:t>
            </w:r>
            <w:r>
              <w:rPr>
                <w:rStyle w:val="Text3"/>
              </w:rPr>
              <w:t>x</w:t>
            </w:r>
            <w:r>
              <w:t xml:space="preserve"> disappears via garbage collection, Python calls </w:t>
            </w:r>
            <w:r>
              <w:rPr>
                <w:rStyle w:val="Text3"/>
              </w:rPr>
              <w:t>x</w:t>
            </w:r>
            <w:r>
              <w:rPr>
                <w:rStyle w:val="Text0"/>
              </w:rPr>
              <w:t>.__del__()</w:t>
            </w:r>
            <w:r>
              <w:t xml:space="preserve"> to let </w:t>
            </w:r>
            <w:r>
              <w:rPr>
                <w:rStyle w:val="Text3"/>
              </w:rPr>
              <w:t>x</w:t>
            </w:r>
            <w:r>
              <w:t xml:space="preserve"> finalize itself. If </w:t>
            </w:r>
            <w:r>
              <w:rPr>
                <w:rStyle w:val="Text0"/>
              </w:rPr>
              <w:t>__del__</w:t>
            </w:r>
            <w:r>
              <w:t xml:space="preserve"> is absent, Python does no special finalization on garbage-collecting </w:t>
            </w:r>
            <w:r>
              <w:rPr>
                <w:rStyle w:val="Text3"/>
              </w:rPr>
              <w:t>x</w:t>
            </w:r>
            <w:r>
              <w:t xml:space="preserve"> (this is the most common case: very few classes need to define </w:t>
            </w:r>
            <w:r>
              <w:rPr>
                <w:rStyle w:val="Text0"/>
              </w:rPr>
              <w:t>__del__</w:t>
            </w:r>
            <w:r>
              <w:t xml:space="preserve">). Python ignores the return value of </w:t>
            </w:r>
            <w:r>
              <w:rPr>
                <w:rStyle w:val="Text0"/>
              </w:rPr>
              <w:t>__del__</w:t>
            </w:r>
            <w:r>
              <w:t xml:space="preserve"> and doesn’t implicitly call </w:t>
            </w:r>
            <w:r>
              <w:rPr>
                <w:rStyle w:val="Text0"/>
              </w:rPr>
              <w:t>__del__</w:t>
            </w:r>
            <w:r>
              <w:t xml:space="preserve"> methods of class </w:t>
            </w:r>
            <w:r>
              <w:rPr>
                <w:rStyle w:val="Text3"/>
              </w:rPr>
              <w:t>C</w:t>
            </w:r>
            <w:r>
              <w:t xml:space="preserve">’s superclasses. </w:t>
            </w:r>
            <w:r>
              <w:rPr>
                <w:rStyle w:val="Text3"/>
              </w:rPr>
              <w:t>C</w:t>
            </w:r>
            <w:r>
              <w:t>.</w:t>
            </w:r>
            <w:r>
              <w:rPr>
                <w:rStyle w:val="Text0"/>
              </w:rPr>
              <w:t>__del__</w:t>
            </w:r>
            <w:r>
              <w:t xml:space="preserve"> must explicitly perform any needed finalization, including, if need be, by delegation. When class </w:t>
            </w:r>
            <w:r>
              <w:rPr>
                <w:rStyle w:val="Text3"/>
              </w:rPr>
              <w:t>C</w:t>
            </w:r>
            <w:r>
              <w:t xml:space="preserve"> has base classes to finalize, </w:t>
            </w:r>
            <w:r>
              <w:rPr>
                <w:rStyle w:val="Text3"/>
              </w:rPr>
              <w:t>C</w:t>
            </w:r>
            <w:r>
              <w:t>.</w:t>
            </w:r>
            <w:r>
              <w:rPr>
                <w:rStyle w:val="Text0"/>
              </w:rPr>
              <w:t>__del__</w:t>
            </w:r>
            <w:r>
              <w:t xml:space="preserve"> must call </w:t>
            </w:r>
            <w:r>
              <w:rPr>
                <w:rStyle w:val="Text0"/>
              </w:rPr>
              <w:t>super().__del__()</w:t>
            </w:r>
            <w:r>
              <w:t>.</w:t>
              <w:br w:clear="none"/>
              <w:t xml:space="preserve"> The </w:t>
            </w:r>
            <w:r>
              <w:rPr>
                <w:rStyle w:val="Text0"/>
              </w:rPr>
              <w:t>__del__</w:t>
            </w:r>
            <w:r>
              <w:t xml:space="preserve"> method has no specific connection with the </w:t>
            </w:r>
            <w:r>
              <w:rPr>
                <w:rStyle w:val="Text5"/>
              </w:rPr>
              <w:t>del</w:t>
            </w:r>
            <w:r>
              <w:t xml:space="preserve"> statement, covered in </w:t>
            </w:r>
            <w:hyperlink w:anchor="del_Statements__Despite_its_name">
              <w:r>
                <w:rPr>
                  <w:rStyle w:val="Text1"/>
                </w:rPr>
                <w:t>“del Statements”</w:t>
              </w:r>
            </w:hyperlink>
            <w:r>
              <w:t>.</w:t>
              <w:br w:clear="none"/>
              <w:t xml:space="preserve"> </w:t>
            </w:r>
            <w:r>
              <w:rPr>
                <w:rStyle w:val="Text0"/>
              </w:rPr>
              <w:t>__del__</w:t>
            </w:r>
            <w:r>
              <w:t xml:space="preserve"> is generally not the best approach when you need timely and guaranteed finalization. For such needs, use the </w:t>
            </w:r>
            <w:r>
              <w:rPr>
                <w:rStyle w:val="Text5"/>
              </w:rPr>
              <w:t>try</w:t>
            </w:r>
            <w:r>
              <w:rPr>
                <w:rStyle w:val="Text0"/>
              </w:rPr>
              <w:t>/</w:t>
            </w:r>
            <w:r>
              <w:rPr>
                <w:rStyle w:val="Text5"/>
              </w:rPr>
              <w:t>finally</w:t>
            </w:r>
            <w:r>
              <w:t xml:space="preserve"> statement covered in </w:t>
            </w:r>
            <w:hyperlink w:anchor="try_finally__Here_s_the_syntax_f">
              <w:r>
                <w:rPr>
                  <w:rStyle w:val="Text1"/>
                </w:rPr>
                <w:t>“try/finally”</w:t>
              </w:r>
            </w:hyperlink>
            <w:r>
              <w:t xml:space="preserve"> (or, even better, the </w:t>
            </w:r>
            <w:r>
              <w:rPr>
                <w:rStyle w:val="Text5"/>
              </w:rPr>
              <w:t>with</w:t>
            </w:r>
            <w:r>
              <w:t xml:space="preserve"> statement, covered in </w:t>
            </w:r>
            <w:hyperlink w:anchor="The_with_Statement__A_with_state">
              <w:r>
                <w:rPr>
                  <w:rStyle w:val="Text1"/>
                </w:rPr>
                <w:t>“The with Statement”</w:t>
              </w:r>
            </w:hyperlink>
            <w:r>
              <w:t xml:space="preserve">). Instances of classes defining </w:t>
            </w:r>
            <w:r>
              <w:rPr>
                <w:rStyle w:val="Text0"/>
              </w:rPr>
              <w:t>__del__</w:t>
            </w:r>
            <w:r>
              <w:t xml:space="preserve"> don’t participate in cyclic garbage collection, covered in </w:t>
            </w:r>
            <w:hyperlink w:anchor="Garbage_Collection__Python_s_gar">
              <w:r>
                <w:rPr>
                  <w:rStyle w:val="Text1"/>
                </w:rPr>
                <w:t>“Garbage Collection”</w:t>
              </w:r>
            </w:hyperlink>
            <w:r>
              <w:t xml:space="preserve">. Be careful to avoid reference loops involving such instances: define </w:t>
            </w:r>
            <w:r>
              <w:rPr>
                <w:rStyle w:val="Text0"/>
              </w:rPr>
              <w:t>__del__</w:t>
            </w:r>
            <w:r>
              <w:t xml:space="preserve"> only when there is no feasible alternative.</w:t>
            </w:r>
          </w:p>
        </w:tc>
      </w:tr>
    </w:tbl>
    <w:tbl>
      <w:tblPr>
        <w:tblW w:type="auto" w:w="0"/>
      </w:tblPr>
      <w:tr>
        <w:tc>
          <w:tcPr>
            <w:tcW w:type="auto" w:w="0"/>
            <w:tcMar>
              <w:left w:type="dxa" w:w="200"/>
              <w:top w:type="dxa" w:w="200"/>
              <w:right w:type="dxa" w:w="200"/>
              <w:bottom w:type="dxa" w:w="200"/>
            </w:tcMar>
          </w:tcPr>
          <w:p>
            <w:pPr>
              <w:pStyle w:val="Para 001"/>
            </w:pPr>
            <w:r>
              <w:t>__delattr__</w:t>
            </w:r>
          </w:p>
        </w:tc>
        <w:tc>
          <w:tcPr>
            <w:tcW w:type="auto" w:w="0"/>
            <w:tcMar>
              <w:left w:type="dxa" w:w="200"/>
              <w:top w:type="dxa" w:w="200"/>
              <w:right w:type="dxa" w:w="200"/>
              <w:bottom w:type="dxa" w:w="200"/>
            </w:tcMar>
          </w:tcPr>
          <w:p>
            <w:pPr>
              <w:pStyle w:val="Para 002"/>
            </w:pPr>
            <w:r>
              <w:rPr>
                <w:rStyle w:val="Text0"/>
              </w:rPr>
              <w:t>__delattr__(self,</w:t>
            </w:r>
            <w:r>
              <w:t xml:space="preserve"> </w:t>
            </w:r>
            <w:r>
              <w:rPr>
                <w:rStyle w:val="Text3"/>
              </w:rPr>
              <w:t>name</w:t>
            </w:r>
            <w:r>
              <w:rPr>
                <w:rStyle w:val="Text0"/>
              </w:rPr>
              <w:t>)</w:t>
              <w:br w:clear="none"/>
            </w:r>
            <w:r>
              <w:t xml:space="preserve"> At</w:t>
            </w:r>
            <w:r>
              <w:rPr>
                <w:rStyle w:val="Text111"/>
              </w:rPr>
              <w:bookmarkStart w:id="1436" w:name="idm45965264914624"/>
              <w:t/>
              <w:bookmarkEnd w:id="1436"/>
            </w:r>
            <w:r>
              <w:t xml:space="preserve"> every request to unbind attribute </w:t>
            </w:r>
            <w:r>
              <w:rPr>
                <w:rStyle w:val="Text3"/>
              </w:rPr>
              <w:t>x.y</w:t>
            </w:r>
            <w:r>
              <w:t xml:space="preserve"> (typically, </w:t>
            </w:r>
            <w:r>
              <w:rPr>
                <w:rStyle w:val="Text5"/>
              </w:rPr>
              <w:t>del</w:t>
            </w:r>
            <w:r>
              <w:t xml:space="preserve"> </w:t>
            </w:r>
            <w:r>
              <w:rPr>
                <w:rStyle w:val="Text3"/>
              </w:rPr>
              <w:t>x.y</w:t>
            </w:r>
            <w:r>
              <w:t xml:space="preserve">), Python calls </w:t>
            </w:r>
            <w:r>
              <w:rPr>
                <w:rStyle w:val="Text3"/>
              </w:rPr>
              <w:t>x</w:t>
            </w:r>
            <w:r>
              <w:rPr>
                <w:rStyle w:val="Text0"/>
              </w:rPr>
              <w:t>.__delattr__('</w:t>
            </w:r>
            <w:r>
              <w:rPr>
                <w:rStyle w:val="Text3"/>
              </w:rPr>
              <w:t>y</w:t>
            </w:r>
            <w:r>
              <w:rPr>
                <w:rStyle w:val="Text0"/>
              </w:rPr>
              <w:t>')</w:t>
            </w:r>
            <w:r>
              <w:t xml:space="preserve">. All the considerations discussed later for </w:t>
            </w:r>
            <w:r>
              <w:rPr>
                <w:rStyle w:val="Text0"/>
              </w:rPr>
              <w:t>__setattr__</w:t>
            </w:r>
            <w:r>
              <w:t xml:space="preserve"> also apply to </w:t>
            </w:r>
            <w:r>
              <w:rPr>
                <w:rStyle w:val="Text0"/>
              </w:rPr>
              <w:t>__delattr__</w:t>
            </w:r>
            <w:r>
              <w:t xml:space="preserve">. Python ignores the return value of </w:t>
            </w:r>
            <w:r>
              <w:rPr>
                <w:rStyle w:val="Text0"/>
              </w:rPr>
              <w:t>__delattr__</w:t>
            </w:r>
            <w:r>
              <w:t xml:space="preserve">. Absent </w:t>
            </w:r>
            <w:r>
              <w:rPr>
                <w:rStyle w:val="Text0"/>
              </w:rPr>
              <w:t>__delattr__</w:t>
            </w:r>
            <w:r>
              <w:t xml:space="preserve">, Python turns </w:t>
            </w:r>
            <w:r>
              <w:rPr>
                <w:rStyle w:val="Text5"/>
              </w:rPr>
              <w:t>del</w:t>
            </w:r>
            <w:r>
              <w:t xml:space="preserve"> </w:t>
            </w:r>
            <w:r>
              <w:rPr>
                <w:rStyle w:val="Text3"/>
              </w:rPr>
              <w:t>x.y</w:t>
            </w:r>
            <w:r>
              <w:t xml:space="preserve"> into </w:t>
            </w:r>
            <w:r>
              <w:rPr>
                <w:rStyle w:val="Text5"/>
              </w:rPr>
              <w:t>del</w:t>
            </w:r>
            <w:r>
              <w:t xml:space="preserve"> </w:t>
            </w:r>
            <w:r>
              <w:rPr>
                <w:rStyle w:val="Text3"/>
              </w:rPr>
              <w:t>x</w:t>
            </w:r>
            <w:r>
              <w:rPr>
                <w:rStyle w:val="Text0"/>
              </w:rPr>
              <w:t>.__dict__['</w:t>
            </w:r>
            <w:r>
              <w:rPr>
                <w:rStyle w:val="Text3"/>
              </w:rPr>
              <w:t>y</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__dir__</w:t>
            </w:r>
          </w:p>
        </w:tc>
        <w:tc>
          <w:tcPr>
            <w:tcW w:type="auto" w:w="0"/>
            <w:shd w:val="clear" w:color="auto" w:fill="EEF2F6"/>
            <w:tcMar>
              <w:left w:type="dxa" w:w="200"/>
              <w:top w:type="dxa" w:w="200"/>
              <w:right w:type="dxa" w:w="200"/>
              <w:bottom w:type="dxa" w:w="200"/>
            </w:tcMar>
          </w:tcPr>
          <w:p>
            <w:pPr>
              <w:pStyle w:val="Para 002"/>
            </w:pPr>
            <w:r>
              <w:rPr>
                <w:rStyle w:val="Text0"/>
              </w:rPr>
              <w:t>__dir__(self)</w:t>
              <w:br w:clear="none"/>
            </w:r>
            <w:r>
              <w:t xml:space="preserve"> When</w:t>
            </w:r>
            <w:r>
              <w:rPr>
                <w:rStyle w:val="Text111"/>
              </w:rPr>
              <w:bookmarkStart w:id="1437" w:name="idm45965264899616"/>
              <w:t/>
              <w:bookmarkEnd w:id="1437"/>
            </w:r>
            <w:r>
              <w:t xml:space="preserve"> you call </w:t>
            </w:r>
            <w:r>
              <w:rPr>
                <w:rStyle w:val="Text0"/>
              </w:rPr>
              <w:t>dir(</w:t>
            </w:r>
            <w:r>
              <w:rPr>
                <w:rStyle w:val="Text3"/>
              </w:rPr>
              <w:t>x</w:t>
            </w:r>
            <w:r>
              <w:rPr>
                <w:rStyle w:val="Text0"/>
              </w:rPr>
              <w:t>)</w:t>
            </w:r>
            <w:r>
              <w:t xml:space="preserve">, Python translates the operation into a call to </w:t>
            </w:r>
            <w:r>
              <w:rPr>
                <w:rStyle w:val="Text3"/>
              </w:rPr>
              <w:t>x</w:t>
            </w:r>
            <w:r>
              <w:rPr>
                <w:rStyle w:val="Text0"/>
              </w:rPr>
              <w:t>.__dir__()</w:t>
            </w:r>
            <w:r>
              <w:t xml:space="preserve">, which must return a sorted list of </w:t>
            </w:r>
            <w:r>
              <w:rPr>
                <w:rStyle w:val="Text3"/>
              </w:rPr>
              <w:t>x</w:t>
            </w:r>
            <w:r>
              <w:t xml:space="preserve">’s attributes. When </w:t>
            </w:r>
            <w:r>
              <w:rPr>
                <w:rStyle w:val="Text3"/>
              </w:rPr>
              <w:t>x</w:t>
            </w:r>
            <w:r>
              <w:t xml:space="preserve">’s class has no </w:t>
            </w:r>
            <w:r>
              <w:rPr>
                <w:rStyle w:val="Text0"/>
              </w:rPr>
              <w:t>__dir__</w:t>
            </w:r>
            <w:r>
              <w:t xml:space="preserve">, </w:t>
            </w:r>
            <w:r>
              <w:rPr>
                <w:rStyle w:val="Text0"/>
              </w:rPr>
              <w:t>dir(</w:t>
            </w:r>
            <w:r>
              <w:rPr>
                <w:rStyle w:val="Text3"/>
              </w:rPr>
              <w:t>x</w:t>
            </w:r>
            <w:r>
              <w:rPr>
                <w:rStyle w:val="Text0"/>
              </w:rPr>
              <w:t>)</w:t>
            </w:r>
            <w:r>
              <w:t xml:space="preserve"> performs introspection to return a sorted list of </w:t>
            </w:r>
            <w:r>
              <w:rPr>
                <w:rStyle w:val="Text3"/>
              </w:rPr>
              <w:t>x</w:t>
            </w:r>
            <w:r>
              <w:t>’s attributes, striving to produce relevant, rather than complete, information.</w:t>
            </w:r>
          </w:p>
        </w:tc>
      </w:tr>
    </w:tbl>
    <w:tbl>
      <w:tblPr>
        <w:tblW w:type="auto" w:w="0"/>
      </w:tblPr>
      <w:tr>
        <w:tc>
          <w:tcPr>
            <w:tcW w:type="auto" w:w="0"/>
            <w:tcMar>
              <w:left w:type="dxa" w:w="200"/>
              <w:top w:type="dxa" w:w="200"/>
              <w:right w:type="dxa" w:w="200"/>
              <w:bottom w:type="dxa" w:w="200"/>
            </w:tcMar>
          </w:tcPr>
          <w:p>
            <w:pPr>
              <w:pStyle w:val="Para 001"/>
            </w:pPr>
            <w:r>
              <w:t>__eq__</w:t>
            </w:r>
            <w:r>
              <w:rPr>
                <w:rStyle w:val="Text12"/>
              </w:rPr>
              <w:t xml:space="preserve">, </w:t>
            </w:r>
            <w:r>
              <w:t>__ge__</w:t>
            </w:r>
            <w:r>
              <w:rPr>
                <w:rStyle w:val="Text12"/>
              </w:rPr>
              <w:t>,</w:t>
              <w:br w:clear="none"/>
              <w:t xml:space="preserve"> </w:t>
            </w:r>
            <w:r>
              <w:t>__gt__</w:t>
            </w:r>
            <w:r>
              <w:rPr>
                <w:rStyle w:val="Text12"/>
              </w:rPr>
              <w:t xml:space="preserve">, </w:t>
            </w:r>
            <w:r>
              <w:t>__le__</w:t>
            </w:r>
            <w:r>
              <w:rPr>
                <w:rStyle w:val="Text12"/>
              </w:rPr>
              <w:t>,</w:t>
              <w:br w:clear="none"/>
              <w:t xml:space="preserve"> </w:t>
            </w:r>
            <w:r>
              <w:t>__lt__</w:t>
            </w:r>
            <w:r>
              <w:rPr>
                <w:rStyle w:val="Text12"/>
              </w:rPr>
              <w:t xml:space="preserve">, </w:t>
            </w:r>
            <w:r>
              <w:t>__ne__</w:t>
            </w:r>
          </w:p>
        </w:tc>
        <w:tc>
          <w:tcPr>
            <w:tcW w:type="auto" w:w="0"/>
            <w:tcMar>
              <w:left w:type="dxa" w:w="200"/>
              <w:top w:type="dxa" w:w="200"/>
              <w:right w:type="dxa" w:w="200"/>
              <w:bottom w:type="dxa" w:w="200"/>
            </w:tcMar>
          </w:tcPr>
          <w:p>
            <w:pPr>
              <w:pStyle w:val="Para 002"/>
            </w:pPr>
            <w:r>
              <w:rPr>
                <w:rStyle w:val="Text0"/>
              </w:rPr>
              <w:t>__eq__(self,</w:t>
            </w:r>
            <w:r>
              <w:t xml:space="preserve"> </w:t>
            </w:r>
            <w:r>
              <w:rPr>
                <w:rStyle w:val="Text3"/>
              </w:rPr>
              <w:t>other</w:t>
            </w:r>
            <w:r>
              <w:rPr>
                <w:rStyle w:val="Text0"/>
              </w:rPr>
              <w:t>)</w:t>
            </w:r>
            <w:r>
              <w:t xml:space="preserve">, </w:t>
            </w:r>
            <w:r>
              <w:rPr>
                <w:rStyle w:val="Text0"/>
              </w:rPr>
              <w:t>__ge__(self,</w:t>
            </w:r>
            <w:r>
              <w:t xml:space="preserve"> </w:t>
            </w:r>
            <w:r>
              <w:rPr>
                <w:rStyle w:val="Text3"/>
              </w:rPr>
              <w:t>other</w:t>
            </w:r>
            <w:r>
              <w:rPr>
                <w:rStyle w:val="Text0"/>
              </w:rPr>
              <w:t>)</w:t>
            </w:r>
            <w:r>
              <w:t>,</w:t>
              <w:br w:clear="none"/>
              <w:t xml:space="preserve"> </w:t>
            </w:r>
            <w:r>
              <w:rPr>
                <w:rStyle w:val="Text0"/>
              </w:rPr>
              <w:t>__gt__(self,</w:t>
            </w:r>
            <w:r>
              <w:t xml:space="preserve"> </w:t>
            </w:r>
            <w:r>
              <w:rPr>
                <w:rStyle w:val="Text3"/>
              </w:rPr>
              <w:t>other</w:t>
            </w:r>
            <w:r>
              <w:rPr>
                <w:rStyle w:val="Text0"/>
              </w:rPr>
              <w:t>)</w:t>
            </w:r>
            <w:r>
              <w:t xml:space="preserve">, </w:t>
            </w:r>
            <w:r>
              <w:rPr>
                <w:rStyle w:val="Text0"/>
              </w:rPr>
              <w:t>__le__(self,</w:t>
            </w:r>
            <w:r>
              <w:t xml:space="preserve"> </w:t>
            </w:r>
            <w:r>
              <w:rPr>
                <w:rStyle w:val="Text3"/>
              </w:rPr>
              <w:t>other</w:t>
            </w:r>
            <w:r>
              <w:rPr>
                <w:rStyle w:val="Text0"/>
              </w:rPr>
              <w:t>)</w:t>
            </w:r>
            <w:r>
              <w:t>,</w:t>
              <w:br w:clear="none"/>
              <w:t xml:space="preserve"> </w:t>
            </w:r>
            <w:r>
              <w:rPr>
                <w:rStyle w:val="Text0"/>
              </w:rPr>
              <w:t>__lt__(self,</w:t>
            </w:r>
            <w:r>
              <w:t xml:space="preserve"> </w:t>
            </w:r>
            <w:r>
              <w:rPr>
                <w:rStyle w:val="Text3"/>
              </w:rPr>
              <w:t>other</w:t>
            </w:r>
            <w:r>
              <w:rPr>
                <w:rStyle w:val="Text0"/>
              </w:rPr>
              <w:t>)</w:t>
            </w:r>
            <w:r>
              <w:t xml:space="preserve">, </w:t>
            </w:r>
            <w:r>
              <w:rPr>
                <w:rStyle w:val="Text0"/>
              </w:rPr>
              <w:t>__ne__(self,</w:t>
            </w:r>
            <w:r>
              <w:t xml:space="preserve"> </w:t>
            </w:r>
            <w:r>
              <w:rPr>
                <w:rStyle w:val="Text3"/>
              </w:rPr>
              <w:t>other</w:t>
            </w:r>
            <w:r>
              <w:rPr>
                <w:rStyle w:val="Text0"/>
              </w:rPr>
              <w:t>)</w:t>
              <w:br w:clear="none"/>
            </w:r>
            <w:r>
              <w:t xml:space="preserve"> The</w:t>
            </w:r>
            <w:r>
              <w:rPr>
                <w:rStyle w:val="Text111"/>
              </w:rPr>
              <w:bookmarkStart w:id="1438" w:name="idm45965264870944"/>
              <w:t/>
              <w:bookmarkEnd w:id="1438"/>
              <w:bookmarkStart w:id="1439" w:name="idm45965264869840"/>
              <w:t/>
              <w:bookmarkEnd w:id="1439"/>
              <w:bookmarkStart w:id="1440" w:name="idm45965264868736"/>
              <w:t/>
              <w:bookmarkEnd w:id="1440"/>
              <w:bookmarkStart w:id="1441" w:name="idm45965264867632"/>
              <w:t/>
              <w:bookmarkEnd w:id="1441"/>
              <w:bookmarkStart w:id="1442" w:name="idm45965264866528"/>
              <w:t/>
              <w:bookmarkEnd w:id="1442"/>
              <w:bookmarkStart w:id="1443" w:name="idm45965264865424"/>
              <w:t/>
              <w:bookmarkEnd w:id="1443"/>
            </w:r>
            <w:r>
              <w:t xml:space="preserve"> comparisons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&gt;=</w:t>
            </w:r>
            <w:r>
              <w:t xml:space="preserve"> </w:t>
            </w:r>
            <w:r>
              <w:rPr>
                <w:rStyle w:val="Text3"/>
              </w:rPr>
              <w:t>y</w:t>
            </w:r>
            <w:r>
              <w:t xml:space="preserve">, </w:t>
            </w:r>
            <w:r>
              <w:rPr>
                <w:rStyle w:val="Text3"/>
              </w:rPr>
              <w:t>x</w:t>
            </w:r>
            <w:r>
              <w:t xml:space="preserve"> </w:t>
            </w:r>
            <w:r>
              <w:rPr>
                <w:rStyle w:val="Text0"/>
              </w:rPr>
              <w:t>&gt;</w:t>
            </w:r>
            <w:r>
              <w:t xml:space="preserve"> </w:t>
            </w:r>
            <w:r>
              <w:rPr>
                <w:rStyle w:val="Text3"/>
              </w:rPr>
              <w:t>y</w:t>
            </w:r>
            <w:r>
              <w:t xml:space="preserve">, </w:t>
            </w:r>
            <w:r>
              <w:rPr>
                <w:rStyle w:val="Text3"/>
              </w:rPr>
              <w:t>x</w:t>
            </w:r>
            <w:r>
              <w:t xml:space="preserve"> </w:t>
            </w:r>
            <w:r>
              <w:rPr>
                <w:rStyle w:val="Text0"/>
              </w:rPr>
              <w:t>&lt;=</w:t>
            </w:r>
            <w:r>
              <w:t xml:space="preserve"> </w:t>
            </w:r>
            <w:r>
              <w:rPr>
                <w:rStyle w:val="Text3"/>
              </w:rPr>
              <w:t>y</w:t>
            </w:r>
            <w:r>
              <w:t xml:space="preserve">, </w:t>
            </w:r>
            <w:r>
              <w:rPr>
                <w:rStyle w:val="Text3"/>
              </w:rPr>
              <w:t>x</w:t>
            </w:r>
            <w:r>
              <w:t xml:space="preserve"> </w:t>
            </w:r>
            <w:r>
              <w:rPr>
                <w:rStyle w:val="Text0"/>
              </w:rPr>
              <w:t>&lt;</w:t>
            </w:r>
            <w:r>
              <w:t xml:space="preserve"> </w:t>
            </w:r>
            <w:r>
              <w:rPr>
                <w:rStyle w:val="Text3"/>
              </w:rPr>
              <w:t>y</w:t>
            </w:r>
            <w:r>
              <w:t xml:space="preserve">, and </w:t>
            </w:r>
            <w:r>
              <w:rPr>
                <w:rStyle w:val="Text3"/>
              </w:rPr>
              <w:t>x</w:t>
            </w:r>
            <w:r>
              <w:t xml:space="preserve"> </w:t>
            </w:r>
            <w:r>
              <w:rPr>
                <w:rStyle w:val="Text0"/>
              </w:rPr>
              <w:t>!=</w:t>
            </w:r>
            <w:r>
              <w:t xml:space="preserve"> </w:t>
            </w:r>
            <w:r>
              <w:rPr>
                <w:rStyle w:val="Text3"/>
              </w:rPr>
              <w:t>y</w:t>
            </w:r>
            <w:r>
              <w:t xml:space="preserve">, respectively, call the special methods listed here, which should return </w:t>
            </w:r>
            <w:r>
              <w:rPr>
                <w:rStyle w:val="Text5"/>
              </w:rPr>
              <w:t>False</w:t>
            </w:r>
            <w:r>
              <w:t xml:space="preserve"> or </w:t>
            </w:r>
            <w:r>
              <w:rPr>
                <w:rStyle w:val="Text5"/>
              </w:rPr>
              <w:t>True</w:t>
            </w:r>
            <w:r>
              <w:t>. Each method may return</w:t>
            </w:r>
            <w:r>
              <w:rPr>
                <w:rStyle w:val="Text111"/>
              </w:rPr>
              <w:bookmarkStart w:id="1444" w:name="idm45965264848000"/>
              <w:t/>
              <w:bookmarkEnd w:id="1444"/>
            </w:r>
            <w:r>
              <w:t xml:space="preserve"> </w:t>
            </w:r>
            <w:r>
              <w:rPr>
                <w:rStyle w:val="Text0"/>
              </w:rPr>
              <w:t>NotImplemented</w:t>
            </w:r>
            <w:r>
              <w:t xml:space="preserve"> to tell Python to handle the comparison in alternative ways (e.g., Python may then try </w:t>
            </w:r>
            <w:r>
              <w:rPr>
                <w:rStyle w:val="Text3"/>
              </w:rPr>
              <w:t>y</w:t>
            </w:r>
            <w:r>
              <w:t xml:space="preserve"> </w:t>
            </w:r>
            <w:r>
              <w:rPr>
                <w:rStyle w:val="Text0"/>
              </w:rPr>
              <w:t>&gt;</w:t>
            </w:r>
            <w:r>
              <w:t xml:space="preserve"> </w:t>
            </w:r>
            <w:r>
              <w:rPr>
                <w:rStyle w:val="Text3"/>
              </w:rPr>
              <w:t>x</w:t>
            </w:r>
            <w:r>
              <w:t xml:space="preserve"> in lieu of </w:t>
            </w:r>
            <w:r>
              <w:rPr>
                <w:rStyle w:val="Text3"/>
              </w:rPr>
              <w:t>x</w:t>
            </w:r>
            <w:r>
              <w:t xml:space="preserve"> </w:t>
            </w:r>
            <w:r>
              <w:rPr>
                <w:rStyle w:val="Text0"/>
              </w:rPr>
              <w:t>&lt;</w:t>
            </w:r>
            <w:r>
              <w:t xml:space="preserve"> </w:t>
            </w:r>
            <w:r>
              <w:rPr>
                <w:rStyle w:val="Text3"/>
              </w:rPr>
              <w:t>y</w:t>
            </w:r>
            <w:r>
              <w:t>).</w:t>
              <w:br w:clear="none"/>
              <w:t xml:space="preserve"> Best practice is to define only one inequality comparison method (normally </w:t>
            </w:r>
            <w:r>
              <w:rPr>
                <w:rStyle w:val="Text0"/>
              </w:rPr>
              <w:t>__lt__</w:t>
            </w:r>
            <w:r>
              <w:t xml:space="preserve">) plus </w:t>
            </w:r>
            <w:r>
              <w:rPr>
                <w:rStyle w:val="Text0"/>
              </w:rPr>
              <w:t>__eq__</w:t>
            </w:r>
            <w:r>
              <w:t xml:space="preserve">, and decorate the class with </w:t>
            </w:r>
            <w:r>
              <w:rPr>
                <w:rStyle w:val="Text0"/>
              </w:rPr>
              <w:t>functools.total_ordering</w:t>
            </w:r>
            <w:r>
              <w:t xml:space="preserve"> (covered in </w:t>
            </w:r>
            <w:hyperlink w:anchor="Table_8_7__Functions_and_attribu">
              <w:r>
                <w:rPr>
                  <w:rStyle w:val="Text1"/>
                </w:rPr>
                <w:t>Table 8-7</w:t>
              </w:r>
            </w:hyperlink>
            <w:r>
              <w:t>), to avoid boilerplate and any risk of logical contradictions in your comparisons.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__format__</w:t>
            </w:r>
          </w:p>
        </w:tc>
        <w:tc>
          <w:tcPr>
            <w:tcW w:type="auto" w:w="0"/>
            <w:shd w:val="clear" w:color="auto" w:fill="EEF2F6"/>
            <w:tcMar>
              <w:left w:type="dxa" w:w="200"/>
              <w:top w:type="dxa" w:w="200"/>
              <w:right w:type="dxa" w:w="200"/>
              <w:bottom w:type="dxa" w:w="200"/>
            </w:tcMar>
          </w:tcPr>
          <w:p>
            <w:pPr>
              <w:pStyle w:val="Para 002"/>
            </w:pPr>
            <w:r>
              <w:rPr>
                <w:rStyle w:val="Text0"/>
              </w:rPr>
              <w:t>__format__(self, format_string='')</w:t>
              <w:br w:clear="none"/>
            </w:r>
            <w:r>
              <w:t xml:space="preserve"> Calling</w:t>
            </w:r>
            <w:r>
              <w:rPr>
                <w:rStyle w:val="Text111"/>
              </w:rPr>
              <w:bookmarkStart w:id="1445" w:name="idm45965264836336"/>
              <w:t/>
              <w:bookmarkEnd w:id="1445"/>
            </w:r>
            <w:r>
              <w:t xml:space="preserve"> </w:t>
            </w:r>
            <w:r>
              <w:rPr>
                <w:rStyle w:val="Text0"/>
              </w:rPr>
              <w:t>format(</w:t>
            </w:r>
            <w:r>
              <w:rPr>
                <w:rStyle w:val="Text3"/>
              </w:rPr>
              <w:t>x</w:t>
            </w:r>
            <w:r>
              <w:rPr>
                <w:rStyle w:val="Text0"/>
              </w:rPr>
              <w:t>)</w:t>
            </w:r>
            <w:r>
              <w:t xml:space="preserve"> calls </w:t>
            </w:r>
            <w:r>
              <w:rPr>
                <w:rStyle w:val="Text3"/>
              </w:rPr>
              <w:t>x</w:t>
            </w:r>
            <w:r>
              <w:rPr>
                <w:rStyle w:val="Text0"/>
              </w:rPr>
              <w:t>.__format__('')</w:t>
            </w:r>
            <w:r>
              <w:t xml:space="preserve">, and calling </w:t>
            </w:r>
            <w:r>
              <w:rPr>
                <w:rStyle w:val="Text0"/>
              </w:rPr>
              <w:t>format(</w:t>
            </w:r>
            <w:r>
              <w:rPr>
                <w:rStyle w:val="Text3"/>
              </w:rPr>
              <w:t>x, format_string</w:t>
            </w:r>
            <w:r>
              <w:rPr>
                <w:rStyle w:val="Text0"/>
              </w:rPr>
              <w:t>)</w:t>
            </w:r>
            <w:r>
              <w:t xml:space="preserve"> calls </w:t>
            </w:r>
            <w:r>
              <w:rPr>
                <w:rStyle w:val="Text3"/>
              </w:rPr>
              <w:t>x</w:t>
            </w:r>
            <w:r>
              <w:rPr>
                <w:rStyle w:val="Text0"/>
              </w:rPr>
              <w:t>.__format__(</w:t>
            </w:r>
            <w:r>
              <w:rPr>
                <w:rStyle w:val="Text3"/>
              </w:rPr>
              <w:t>format_string</w:t>
            </w:r>
            <w:r>
              <w:rPr>
                <w:rStyle w:val="Text0"/>
              </w:rPr>
              <w:t>)</w:t>
            </w:r>
            <w:r>
              <w:t xml:space="preserve">. The class is responsible for interpreting the format string (each class may define its own small “language” of format specifications, inspired by those implemented by built-in types, as covered in </w:t>
            </w:r>
            <w:hyperlink w:anchor="String_Formatting__Python_provid">
              <w:r>
                <w:rPr>
                  <w:rStyle w:val="Text1"/>
                </w:rPr>
                <w:t>“String Formatting”</w:t>
              </w:r>
            </w:hyperlink>
            <w:r>
              <w:t xml:space="preserve">). When </w:t>
            </w:r>
            <w:r>
              <w:rPr>
                <w:rStyle w:val="Text0"/>
              </w:rPr>
              <w:t>__format__</w:t>
            </w:r>
            <w:r>
              <w:t xml:space="preserve"> is inherited from </w:t>
            </w:r>
            <w:r>
              <w:rPr>
                <w:rStyle w:val="Text0"/>
              </w:rPr>
              <w:t>object</w:t>
            </w:r>
            <w:r>
              <w:t xml:space="preserve">, it delegates to </w:t>
            </w:r>
            <w:r>
              <w:rPr>
                <w:rStyle w:val="Text0"/>
              </w:rPr>
              <w:t>__str__</w:t>
            </w:r>
            <w:r>
              <w:t xml:space="preserve"> and does not accept a nonempty format string.</w:t>
            </w:r>
          </w:p>
        </w:tc>
      </w:tr>
    </w:tbl>
    <w:tbl>
      <w:tblPr>
        <w:tblW w:type="auto" w:w="0"/>
      </w:tblPr>
      <w:tr>
        <w:tc>
          <w:tcPr>
            <w:tcW w:type="auto" w:w="0"/>
            <w:tcMar>
              <w:left w:type="dxa" w:w="200"/>
              <w:top w:type="dxa" w:w="200"/>
              <w:right w:type="dxa" w:w="200"/>
              <w:bottom w:type="dxa" w:w="200"/>
            </w:tcMar>
          </w:tcPr>
          <w:p>
            <w:pPr>
              <w:pStyle w:val="Para 001"/>
            </w:pPr>
            <w:r>
              <w:t>__getattr__</w:t>
            </w:r>
          </w:p>
        </w:tc>
        <w:tc>
          <w:tcPr>
            <w:tcW w:type="auto" w:w="0"/>
            <w:tcMar>
              <w:left w:type="dxa" w:w="200"/>
              <w:top w:type="dxa" w:w="200"/>
              <w:right w:type="dxa" w:w="200"/>
              <w:bottom w:type="dxa" w:w="200"/>
            </w:tcMar>
          </w:tcPr>
          <w:p>
            <w:pPr>
              <w:pStyle w:val="Para 002"/>
            </w:pPr>
            <w:r>
              <w:rPr>
                <w:rStyle w:val="Text0"/>
              </w:rPr>
              <w:t>__getattr__(self,</w:t>
            </w:r>
            <w:r>
              <w:t xml:space="preserve"> </w:t>
            </w:r>
            <w:r>
              <w:rPr>
                <w:rStyle w:val="Text3"/>
              </w:rPr>
              <w:t>name</w:t>
            </w:r>
            <w:r>
              <w:rPr>
                <w:rStyle w:val="Text0"/>
              </w:rPr>
              <w:t>)</w:t>
              <w:br w:clear="none"/>
            </w:r>
            <w:r>
              <w:t xml:space="preserve"> When</w:t>
            </w:r>
            <w:r>
              <w:rPr>
                <w:rStyle w:val="Text111"/>
              </w:rPr>
              <w:bookmarkStart w:id="1446" w:name="idm45965264822528"/>
              <w:t/>
              <w:bookmarkEnd w:id="1446"/>
            </w:r>
            <w:r>
              <w:t xml:space="preserve"> </w:t>
            </w:r>
            <w:r>
              <w:rPr>
                <w:rStyle w:val="Text3"/>
              </w:rPr>
              <w:t>x.y</w:t>
            </w:r>
            <w:r>
              <w:t xml:space="preserve"> can’t be found by the usual steps (i.e., when an </w:t>
            </w:r>
            <w:r>
              <w:rPr>
                <w:rStyle w:val="Text0"/>
              </w:rPr>
              <w:t>AttributeError</w:t>
            </w:r>
            <w:r>
              <w:t xml:space="preserve"> would usually be raised), Python calls </w:t>
            </w:r>
            <w:r>
              <w:rPr>
                <w:rStyle w:val="Text3"/>
              </w:rPr>
              <w:t>x</w:t>
            </w:r>
            <w:r>
              <w:rPr>
                <w:rStyle w:val="Text0"/>
              </w:rPr>
              <w:t>.__getattr__('</w:t>
            </w:r>
            <w:r>
              <w:rPr>
                <w:rStyle w:val="Text3"/>
              </w:rPr>
              <w:t>y</w:t>
            </w:r>
            <w:r>
              <w:rPr>
                <w:rStyle w:val="Text0"/>
              </w:rPr>
              <w:t>')</w:t>
            </w:r>
            <w:r>
              <w:t xml:space="preserve">. Python does not call </w:t>
            </w:r>
            <w:r>
              <w:rPr>
                <w:rStyle w:val="Text0"/>
              </w:rPr>
              <w:t>__getattr__</w:t>
            </w:r>
            <w:r>
              <w:t xml:space="preserve"> for attributes found by normal means (as keys in </w:t>
            </w:r>
            <w:r>
              <w:rPr>
                <w:rStyle w:val="Text3"/>
              </w:rPr>
              <w:t>x</w:t>
            </w:r>
            <w:r>
              <w:rPr>
                <w:rStyle w:val="Text0"/>
              </w:rPr>
              <w:t>.__dict__</w:t>
            </w:r>
            <w:r>
              <w:t xml:space="preserve">, or via </w:t>
            </w:r>
            <w:r>
              <w:rPr>
                <w:rStyle w:val="Text3"/>
              </w:rPr>
              <w:t>x</w:t>
            </w:r>
            <w:r>
              <w:rPr>
                <w:rStyle w:val="Text0"/>
              </w:rPr>
              <w:t>.__class__</w:t>
            </w:r>
            <w:r>
              <w:t xml:space="preserve">). If you want Python to call </w:t>
            </w:r>
            <w:r>
              <w:rPr>
                <w:rStyle w:val="Text0"/>
              </w:rPr>
              <w:t>__getattr__</w:t>
            </w:r>
            <w:r>
              <w:t xml:space="preserve"> for </w:t>
            </w:r>
            <w:r>
              <w:rPr>
                <w:rStyle w:val="Text4"/>
              </w:rPr>
              <w:t>every</w:t>
            </w:r>
            <w:r>
              <w:t xml:space="preserve"> attribute, keep the attributes elsewhere (e.g., in another </w:t>
            </w:r>
            <w:r>
              <w:rPr>
                <w:rStyle w:val="Text0"/>
              </w:rPr>
              <w:t>dict</w:t>
            </w:r>
            <w:r>
              <w:t xml:space="preserve"> referenced by an attribute with a private name), or override </w:t>
            </w:r>
            <w:r>
              <w:rPr>
                <w:rStyle w:val="Text0"/>
              </w:rPr>
              <w:t>__getattribute__</w:t>
            </w:r>
            <w:r>
              <w:t xml:space="preserve"> instead. </w:t>
            </w:r>
            <w:r>
              <w:rPr>
                <w:rStyle w:val="Text0"/>
              </w:rPr>
              <w:t>__getattr__</w:t>
            </w:r>
            <w:r>
              <w:t xml:space="preserve"> should raise </w:t>
            </w:r>
            <w:r>
              <w:rPr>
                <w:rStyle w:val="Text0"/>
              </w:rPr>
              <w:t>AttributeError</w:t>
            </w:r>
            <w:r>
              <w:t xml:space="preserve"> if it can’t find </w:t>
            </w:r>
            <w:r>
              <w:rPr>
                <w:rStyle w:val="Text3"/>
              </w:rPr>
              <w:t>y</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__getattribute__</w:t>
            </w:r>
          </w:p>
        </w:tc>
        <w:tc>
          <w:tcPr>
            <w:tcW w:type="auto" w:w="0"/>
            <w:shd w:val="clear" w:color="auto" w:fill="EEF2F6"/>
            <w:tcMar>
              <w:left w:type="dxa" w:w="200"/>
              <w:top w:type="dxa" w:w="200"/>
              <w:right w:type="dxa" w:w="200"/>
              <w:bottom w:type="dxa" w:w="200"/>
            </w:tcMar>
          </w:tcPr>
          <w:p>
            <w:pPr>
              <w:pStyle w:val="Para 002"/>
            </w:pPr>
            <w:r>
              <w:rPr>
                <w:rStyle w:val="Text0"/>
              </w:rPr>
              <w:t>__getattribute_(self,</w:t>
            </w:r>
            <w:r>
              <w:t xml:space="preserve"> </w:t>
            </w:r>
            <w:r>
              <w:rPr>
                <w:rStyle w:val="Text3"/>
              </w:rPr>
              <w:t>name</w:t>
            </w:r>
            <w:r>
              <w:rPr>
                <w:rStyle w:val="Text0"/>
              </w:rPr>
              <w:t>)</w:t>
              <w:br w:clear="none"/>
            </w:r>
            <w:r>
              <w:t xml:space="preserve"> At</w:t>
            </w:r>
            <w:r>
              <w:rPr>
                <w:rStyle w:val="Text111"/>
              </w:rPr>
              <w:bookmarkStart w:id="1447" w:name="idm45965264805440"/>
              <w:t/>
              <w:bookmarkEnd w:id="1447"/>
            </w:r>
            <w:r>
              <w:t xml:space="preserve"> every request to access attribute </w:t>
            </w:r>
            <w:r>
              <w:rPr>
                <w:rStyle w:val="Text3"/>
              </w:rPr>
              <w:t>x</w:t>
            </w:r>
            <w:r>
              <w:t>.</w:t>
            </w:r>
            <w:r>
              <w:rPr>
                <w:rStyle w:val="Text3"/>
              </w:rPr>
              <w:t>y</w:t>
            </w:r>
            <w:r>
              <w:t xml:space="preserve">, Python calls </w:t>
            </w:r>
            <w:r>
              <w:rPr>
                <w:rStyle w:val="Text3"/>
              </w:rPr>
              <w:t>x</w:t>
            </w:r>
            <w:r>
              <w:rPr>
                <w:rStyle w:val="Text0"/>
              </w:rPr>
              <w:t>.__getattribute__('</w:t>
            </w:r>
            <w:r>
              <w:rPr>
                <w:rStyle w:val="Text3"/>
              </w:rPr>
              <w:t>y</w:t>
            </w:r>
            <w:r>
              <w:rPr>
                <w:rStyle w:val="Text0"/>
              </w:rPr>
              <w:t>')</w:t>
            </w:r>
            <w:r>
              <w:t xml:space="preserve">, which must get and return the attribute value or else raise </w:t>
            </w:r>
            <w:r>
              <w:rPr>
                <w:rStyle w:val="Text0"/>
              </w:rPr>
              <w:t>AttributeError</w:t>
            </w:r>
            <w:r>
              <w:t>. The usual semantics of attribute access (</w:t>
            </w:r>
            <w:r>
              <w:rPr>
                <w:rStyle w:val="Text3"/>
              </w:rPr>
              <w:t>x</w:t>
            </w:r>
            <w:r>
              <w:rPr>
                <w:rStyle w:val="Text0"/>
              </w:rPr>
              <w:t>.__dict__</w:t>
            </w:r>
            <w:r>
              <w:t xml:space="preserve">, </w:t>
            </w:r>
            <w:r>
              <w:rPr>
                <w:rStyle w:val="Text3"/>
              </w:rPr>
              <w:t>C.</w:t>
            </w:r>
            <w:r>
              <w:rPr>
                <w:rStyle w:val="Text0"/>
              </w:rPr>
              <w:t>__slots__</w:t>
            </w:r>
            <w:r>
              <w:t xml:space="preserve">, </w:t>
            </w:r>
            <w:r>
              <w:rPr>
                <w:rStyle w:val="Text3"/>
              </w:rPr>
              <w:t>C</w:t>
            </w:r>
            <w:r>
              <w:t xml:space="preserve">’s class attributes, </w:t>
            </w:r>
            <w:r>
              <w:rPr>
                <w:rStyle w:val="Text3"/>
              </w:rPr>
              <w:t>x</w:t>
            </w:r>
            <w:r>
              <w:rPr>
                <w:rStyle w:val="Text0"/>
              </w:rPr>
              <w:t>.__getattr__</w:t>
            </w:r>
            <w:r>
              <w:t xml:space="preserve">) are all due to </w:t>
            </w:r>
            <w:r>
              <w:rPr>
                <w:rStyle w:val="Text0"/>
              </w:rPr>
              <w:t>object.__getattribute__</w:t>
            </w:r>
            <w:r>
              <w:t>.</w:t>
              <w:br w:clear="none"/>
              <w:t xml:space="preserve"> When class </w:t>
            </w:r>
            <w:r>
              <w:rPr>
                <w:rStyle w:val="Text3"/>
              </w:rPr>
              <w:t>C</w:t>
            </w:r>
            <w:r>
              <w:t xml:space="preserve"> overrides </w:t>
            </w:r>
            <w:r>
              <w:rPr>
                <w:rStyle w:val="Text0"/>
              </w:rPr>
              <w:t>__getattribute__</w:t>
            </w:r>
            <w:r>
              <w:t xml:space="preserve">, it must implement all of the attribute semantics it wants to offer. The typical way to implement attribute access is by delegating (e.g., call </w:t>
            </w:r>
            <w:r>
              <w:rPr>
                <w:rStyle w:val="Text0"/>
              </w:rPr>
              <w:t>object.__getattribute__(self, ...)</w:t>
            </w:r>
            <w:r>
              <w:t xml:space="preserve"> as part of the operation of your override of </w:t>
            </w:r>
            <w:r>
              <w:rPr>
                <w:rStyle w:val="Text0"/>
              </w:rPr>
              <w:t>__getattribute__</w:t>
            </w:r>
            <w:r>
              <w:t xml:space="preserve">). </w:t>
            </w:r>
          </w:p>
          <w:p>
            <w:pPr>
              <w:keepNext/>
              <w:pStyle w:val="Para 056"/>
              <w:keepLines w:val="on"/>
            </w:pPr>
            <w:r>
              <w:t>Overriding __getattribute__ Slows Attribute Access</w:t>
            </w:r>
          </w:p>
          <w:p>
            <w:pPr>
              <w:pStyle w:val="Para 041"/>
              <w:keepLines w:val="on"/>
            </w:pPr>
            <w:r>
              <w:t xml:space="preserve">When a class overrides </w:t>
            </w:r>
            <w:r>
              <w:rPr>
                <w:rStyle w:val="Text0"/>
              </w:rPr>
              <w:t>__getattribute__</w:t>
            </w:r>
            <w:r>
              <w:t>, all attribute accesses on instances of the class become slow, as the overriding code executes on every attribute access.</w:t>
            </w:r>
          </w:p>
        </w:tc>
      </w:tr>
    </w:tbl>
    <w:tbl>
      <w:tblPr>
        <w:tblW w:type="auto" w:w="0"/>
      </w:tblPr>
      <w:tr>
        <w:tc>
          <w:tcPr>
            <w:tcW w:type="auto" w:w="0"/>
            <w:tcMar>
              <w:left w:type="dxa" w:w="200"/>
              <w:top w:type="dxa" w:w="200"/>
              <w:right w:type="dxa" w:w="200"/>
              <w:bottom w:type="dxa" w:w="200"/>
            </w:tcMar>
          </w:tcPr>
          <w:p>
            <w:pPr>
              <w:pStyle w:val="Para 001"/>
            </w:pPr>
            <w:r>
              <w:t>__hash__</w:t>
            </w:r>
          </w:p>
        </w:tc>
        <w:tc>
          <w:tcPr>
            <w:tcW w:type="auto" w:w="0"/>
            <w:tcMar>
              <w:left w:type="dxa" w:w="200"/>
              <w:top w:type="dxa" w:w="200"/>
              <w:right w:type="dxa" w:w="200"/>
              <w:bottom w:type="dxa" w:w="200"/>
            </w:tcMar>
          </w:tcPr>
          <w:p>
            <w:pPr>
              <w:pStyle w:val="Para 002"/>
            </w:pPr>
            <w:r>
              <w:rPr>
                <w:rStyle w:val="Text0"/>
              </w:rPr>
              <w:t>__hash__(self)</w:t>
              <w:br w:clear="none"/>
            </w:r>
            <w:r>
              <w:t xml:space="preserve"> Calling</w:t>
            </w:r>
            <w:r>
              <w:rPr>
                <w:rStyle w:val="Text111"/>
              </w:rPr>
              <w:bookmarkStart w:id="1448" w:name="idm45965264786736"/>
              <w:t/>
              <w:bookmarkEnd w:id="1448"/>
            </w:r>
            <w:r>
              <w:t xml:space="preserve"> </w:t>
            </w:r>
            <w:r>
              <w:rPr>
                <w:rStyle w:val="Text0"/>
              </w:rPr>
              <w:t>hash(</w:t>
            </w:r>
            <w:r>
              <w:rPr>
                <w:rStyle w:val="Text3"/>
              </w:rPr>
              <w:t>x</w:t>
            </w:r>
            <w:r>
              <w:rPr>
                <w:rStyle w:val="Text0"/>
              </w:rPr>
              <w:t>)</w:t>
            </w:r>
            <w:r>
              <w:t xml:space="preserve"> calls </w:t>
            </w:r>
            <w:r>
              <w:rPr>
                <w:rStyle w:val="Text3"/>
              </w:rPr>
              <w:t>x</w:t>
            </w:r>
            <w:r>
              <w:rPr>
                <w:rStyle w:val="Text0"/>
              </w:rPr>
              <w:t>.__hash__()</w:t>
            </w:r>
            <w:r>
              <w:t xml:space="preserve"> (and so do other contexts that need to know </w:t>
            </w:r>
            <w:r>
              <w:rPr>
                <w:rStyle w:val="Text3"/>
              </w:rPr>
              <w:t>x</w:t>
            </w:r>
            <w:r>
              <w:t xml:space="preserve">’s hash value, namely using </w:t>
            </w:r>
            <w:r>
              <w:rPr>
                <w:rStyle w:val="Text3"/>
              </w:rPr>
              <w:t>x</w:t>
            </w:r>
            <w:r>
              <w:t xml:space="preserve"> as a dictionary key, such as </w:t>
            </w:r>
            <w:r>
              <w:rPr>
                <w:rStyle w:val="Text3"/>
              </w:rPr>
              <w:t>D</w:t>
            </w:r>
            <w:r>
              <w:rPr>
                <w:rStyle w:val="Text0"/>
              </w:rPr>
              <w:t>[</w:t>
            </w:r>
            <w:r>
              <w:rPr>
                <w:rStyle w:val="Text3"/>
              </w:rPr>
              <w:t>x</w:t>
            </w:r>
            <w:r>
              <w:rPr>
                <w:rStyle w:val="Text0"/>
              </w:rPr>
              <w:t>]</w:t>
            </w:r>
            <w:r>
              <w:t xml:space="preserve"> where </w:t>
            </w:r>
            <w:r>
              <w:rPr>
                <w:rStyle w:val="Text3"/>
              </w:rPr>
              <w:t>D</w:t>
            </w:r>
            <w:r>
              <w:t xml:space="preserve"> is a dictionary, or using </w:t>
            </w:r>
            <w:r>
              <w:rPr>
                <w:rStyle w:val="Text3"/>
              </w:rPr>
              <w:t>x</w:t>
            </w:r>
            <w:r>
              <w:t xml:space="preserve"> as a set member). </w:t>
            </w:r>
            <w:r>
              <w:rPr>
                <w:rStyle w:val="Text0"/>
              </w:rPr>
              <w:t>__hash__</w:t>
            </w:r>
            <w:r>
              <w:t xml:space="preserve"> must return an </w:t>
            </w:r>
            <w:r>
              <w:rPr>
                <w:rStyle w:val="Text0"/>
              </w:rPr>
              <w:t>int</w:t>
            </w:r>
            <w:r>
              <w:t xml:space="preserve"> such that </w:t>
            </w:r>
            <w:r>
              <w:rPr>
                <w:rStyle w:val="Text3"/>
              </w:rPr>
              <w:t>x</w:t>
            </w:r>
            <w:r>
              <w:rPr>
                <w:rStyle w:val="Text0"/>
              </w:rPr>
              <w:t>==</w:t>
            </w:r>
            <w:r>
              <w:rPr>
                <w:rStyle w:val="Text3"/>
              </w:rPr>
              <w:t>y</w:t>
            </w:r>
            <w:r>
              <w:t xml:space="preserve"> implies </w:t>
            </w:r>
            <w:r>
              <w:rPr>
                <w:rStyle w:val="Text0"/>
              </w:rPr>
              <w:t>hash(</w:t>
            </w:r>
            <w:r>
              <w:rPr>
                <w:rStyle w:val="Text3"/>
              </w:rPr>
              <w:t>x</w:t>
            </w:r>
            <w:r>
              <w:rPr>
                <w:rStyle w:val="Text0"/>
              </w:rPr>
              <w:t>)==hash(</w:t>
            </w:r>
            <w:r>
              <w:rPr>
                <w:rStyle w:val="Text3"/>
              </w:rPr>
              <w:t>y</w:t>
            </w:r>
            <w:r>
              <w:rPr>
                <w:rStyle w:val="Text0"/>
              </w:rPr>
              <w:t>)</w:t>
            </w:r>
            <w:r>
              <w:t>, and must always return the same value for a given object.</w:t>
              <w:br w:clear="none"/>
              <w:t xml:space="preserve"> When </w:t>
            </w:r>
            <w:r>
              <w:rPr>
                <w:rStyle w:val="Text0"/>
              </w:rPr>
              <w:t>__hash__</w:t>
            </w:r>
            <w:r>
              <w:t xml:space="preserve"> is absent, calling </w:t>
            </w:r>
            <w:r>
              <w:rPr>
                <w:rStyle w:val="Text0"/>
              </w:rPr>
              <w:t>hash(</w:t>
            </w:r>
            <w:r>
              <w:rPr>
                <w:rStyle w:val="Text3"/>
              </w:rPr>
              <w:t>x</w:t>
            </w:r>
            <w:r>
              <w:rPr>
                <w:rStyle w:val="Text0"/>
              </w:rPr>
              <w:t>)</w:t>
            </w:r>
            <w:r>
              <w:t xml:space="preserve"> calls </w:t>
            </w:r>
            <w:r>
              <w:rPr>
                <w:rStyle w:val="Text0"/>
              </w:rPr>
              <w:t>id(</w:t>
            </w:r>
            <w:r>
              <w:rPr>
                <w:rStyle w:val="Text3"/>
              </w:rPr>
              <w:t>x</w:t>
            </w:r>
            <w:r>
              <w:rPr>
                <w:rStyle w:val="Text0"/>
              </w:rPr>
              <w:t>)</w:t>
            </w:r>
            <w:r>
              <w:t xml:space="preserve"> instead, as long as </w:t>
            </w:r>
            <w:r>
              <w:rPr>
                <w:rStyle w:val="Text0"/>
              </w:rPr>
              <w:t>__eq__</w:t>
            </w:r>
            <w:r>
              <w:t xml:space="preserve"> is also absent. Other contexts that need to know </w:t>
            </w:r>
            <w:r>
              <w:rPr>
                <w:rStyle w:val="Text3"/>
              </w:rPr>
              <w:t>x</w:t>
            </w:r>
            <w:r>
              <w:t>’s hash value behave the same way.</w:t>
              <w:br w:clear="none"/>
              <w:t xml:space="preserve"> Any </w:t>
            </w:r>
            <w:r>
              <w:rPr>
                <w:rStyle w:val="Text3"/>
              </w:rPr>
              <w:t>x</w:t>
            </w:r>
            <w:r>
              <w:t xml:space="preserve"> such that </w:t>
            </w:r>
            <w:r>
              <w:rPr>
                <w:rStyle w:val="Text0"/>
              </w:rPr>
              <w:t>hash(</w:t>
            </w:r>
            <w:r>
              <w:rPr>
                <w:rStyle w:val="Text3"/>
              </w:rPr>
              <w:t>x</w:t>
            </w:r>
            <w:r>
              <w:rPr>
                <w:rStyle w:val="Text0"/>
              </w:rPr>
              <w:t>)</w:t>
            </w:r>
            <w:r>
              <w:t xml:space="preserve"> returns a result, rather than raising an exception, is known as a </w:t>
            </w:r>
            <w:r>
              <w:rPr>
                <w:rStyle w:val="Text4"/>
              </w:rPr>
              <w:t>hashable object</w:t>
            </w:r>
            <w:r>
              <w:t xml:space="preserve">. When </w:t>
            </w:r>
            <w:r>
              <w:rPr>
                <w:rStyle w:val="Text0"/>
              </w:rPr>
              <w:t>__hash__</w:t>
            </w:r>
            <w:r>
              <w:t xml:space="preserve"> is absent, but </w:t>
            </w:r>
            <w:r>
              <w:rPr>
                <w:rStyle w:val="Text0"/>
              </w:rPr>
              <w:t>__eq__</w:t>
            </w:r>
            <w:r>
              <w:t xml:space="preserve"> is present, calling </w:t>
            </w:r>
            <w:r>
              <w:rPr>
                <w:rStyle w:val="Text0"/>
              </w:rPr>
              <w:t>hash(</w:t>
            </w:r>
            <w:r>
              <w:rPr>
                <w:rStyle w:val="Text3"/>
              </w:rPr>
              <w:t>x</w:t>
            </w:r>
            <w:r>
              <w:rPr>
                <w:rStyle w:val="Text0"/>
              </w:rPr>
              <w:t>)</w:t>
            </w:r>
            <w:r>
              <w:t xml:space="preserve"> raises an exception (and so do other contexts that need to know </w:t>
            </w:r>
            <w:r>
              <w:rPr>
                <w:rStyle w:val="Text3"/>
              </w:rPr>
              <w:t>x</w:t>
            </w:r>
            <w:r>
              <w:t xml:space="preserve">’s hash value). In this case, </w:t>
            </w:r>
            <w:r>
              <w:rPr>
                <w:rStyle w:val="Text3"/>
              </w:rPr>
              <w:t>x</w:t>
            </w:r>
            <w:r>
              <w:t xml:space="preserve"> is not hashable and therefore cannot be a dictionary key or set member.</w:t>
              <w:br w:clear="none"/>
              <w:t xml:space="preserve"> You normally define </w:t>
            </w:r>
            <w:r>
              <w:rPr>
                <w:rStyle w:val="Text0"/>
              </w:rPr>
              <w:t>__hash__</w:t>
            </w:r>
            <w:r>
              <w:t xml:space="preserve"> only for immutable objects that also define </w:t>
            </w:r>
            <w:r>
              <w:rPr>
                <w:rStyle w:val="Text0"/>
              </w:rPr>
              <w:t>__eq__</w:t>
            </w:r>
            <w:r>
              <w:t xml:space="preserve">. Note that if there exists any </w:t>
            </w:r>
            <w:r>
              <w:rPr>
                <w:rStyle w:val="Text3"/>
              </w:rPr>
              <w:t>y</w:t>
            </w:r>
            <w:r>
              <w:t xml:space="preserve"> such that </w:t>
            </w:r>
            <w:r>
              <w:rPr>
                <w:rStyle w:val="Text3"/>
              </w:rPr>
              <w:t>x</w:t>
            </w:r>
            <w:r>
              <w:rPr>
                <w:rStyle w:val="Text0"/>
              </w:rPr>
              <w:t>==</w:t>
            </w:r>
            <w:r>
              <w:rPr>
                <w:rStyle w:val="Text3"/>
              </w:rPr>
              <w:t>y</w:t>
            </w:r>
            <w:r>
              <w:t xml:space="preserve">, even if </w:t>
            </w:r>
            <w:r>
              <w:rPr>
                <w:rStyle w:val="Text3"/>
              </w:rPr>
              <w:t>y</w:t>
            </w:r>
            <w:r>
              <w:t xml:space="preserve"> is of a different type, and both </w:t>
            </w:r>
            <w:r>
              <w:rPr>
                <w:rStyle w:val="Text3"/>
              </w:rPr>
              <w:t>x</w:t>
            </w:r>
            <w:r>
              <w:t xml:space="preserve"> and </w:t>
            </w:r>
            <w:r>
              <w:rPr>
                <w:rStyle w:val="Text3"/>
              </w:rPr>
              <w:t>y</w:t>
            </w:r>
            <w:r>
              <w:t xml:space="preserve"> are hashable, you </w:t>
            </w:r>
            <w:r>
              <w:rPr>
                <w:rStyle w:val="Text4"/>
              </w:rPr>
              <w:t>must</w:t>
            </w:r>
            <w:r>
              <w:t xml:space="preserve"> ensure that </w:t>
            </w:r>
            <w:r>
              <w:rPr>
                <w:rStyle w:val="Text0"/>
              </w:rPr>
              <w:t>hash(</w:t>
            </w:r>
            <w:r>
              <w:rPr>
                <w:rStyle w:val="Text3"/>
              </w:rPr>
              <w:t>x</w:t>
            </w:r>
            <w:r>
              <w:rPr>
                <w:rStyle w:val="Text0"/>
              </w:rPr>
              <w:t>)==hash(</w:t>
            </w:r>
            <w:r>
              <w:rPr>
                <w:rStyle w:val="Text3"/>
              </w:rPr>
              <w:t>y</w:t>
            </w:r>
            <w:r>
              <w:rPr>
                <w:rStyle w:val="Text0"/>
              </w:rPr>
              <w:t>)</w:t>
            </w:r>
            <w:r>
              <w:t xml:space="preserve">. (There are few cases, among Python built-ins, where </w:t>
            </w:r>
            <w:r>
              <w:rPr>
                <w:rStyle w:val="Text3"/>
              </w:rPr>
              <w:t>x</w:t>
            </w:r>
            <w:r>
              <w:rPr>
                <w:rStyle w:val="Text0"/>
              </w:rPr>
              <w:t>==</w:t>
            </w:r>
            <w:r>
              <w:rPr>
                <w:rStyle w:val="Text3"/>
              </w:rPr>
              <w:t>y</w:t>
            </w:r>
            <w:r>
              <w:t xml:space="preserve"> can hold between objects of different types. The most important ones are equality between different number types: an </w:t>
            </w:r>
            <w:r>
              <w:rPr>
                <w:rStyle w:val="Text0"/>
              </w:rPr>
              <w:t>int</w:t>
            </w:r>
            <w:r>
              <w:t xml:space="preserve"> can equal a </w:t>
            </w:r>
            <w:r>
              <w:rPr>
                <w:rStyle w:val="Text0"/>
              </w:rPr>
              <w:t>bool</w:t>
            </w:r>
            <w:r>
              <w:t xml:space="preserve">, a </w:t>
            </w:r>
            <w:r>
              <w:rPr>
                <w:rStyle w:val="Text0"/>
              </w:rPr>
              <w:t>float</w:t>
            </w:r>
            <w:r>
              <w:t xml:space="preserve">, a </w:t>
            </w:r>
            <w:r>
              <w:rPr>
                <w:rStyle w:val="Text0"/>
              </w:rPr>
              <w:t>fractions.Fraction</w:t>
            </w:r>
            <w:r>
              <w:t xml:space="preserve"> instance, or a </w:t>
            </w:r>
            <w:r>
              <w:rPr>
                <w:rStyle w:val="Text0"/>
              </w:rPr>
              <w:t>decimal.Decimal</w:t>
            </w:r>
            <w:r>
              <w:t xml:space="preserve"> instance.)</w:t>
            </w:r>
          </w:p>
        </w:tc>
      </w:tr>
    </w:tbl>
    <w:tbl>
      <w:tblPr>
        <w:tblW w:type="auto" w:w="0"/>
      </w:tblPr>
      <w:tr>
        <w:tc>
          <w:tcPr>
            <w:tcW w:type="auto" w:w="0"/>
            <w:shd w:val="clear" w:color="auto" w:fill="EEF2F6"/>
            <w:tcMar>
              <w:left w:type="dxa" w:w="200"/>
              <w:top w:type="dxa" w:w="200"/>
              <w:right w:type="dxa" w:w="200"/>
              <w:bottom w:type="dxa" w:w="200"/>
            </w:tcMar>
          </w:tcPr>
          <w:p>
            <w:pPr>
              <w:pStyle w:val="Para 001"/>
            </w:pPr>
            <w:r>
              <w:t>__init__</w:t>
            </w:r>
          </w:p>
        </w:tc>
        <w:tc>
          <w:tcPr>
            <w:tcW w:type="auto" w:w="0"/>
            <w:shd w:val="clear" w:color="auto" w:fill="EEF2F6"/>
            <w:tcMar>
              <w:left w:type="dxa" w:w="200"/>
              <w:top w:type="dxa" w:w="200"/>
              <w:right w:type="dxa" w:w="200"/>
              <w:bottom w:type="dxa" w:w="200"/>
            </w:tcMar>
          </w:tcPr>
          <w:p>
            <w:pPr>
              <w:pStyle w:val="Para 002"/>
            </w:pPr>
            <w:r>
              <w:rPr>
                <w:rStyle w:val="Text0"/>
              </w:rPr>
              <w:t>__init__(self[,</w:t>
            </w:r>
            <w:r>
              <w:t xml:space="preserve"> </w:t>
            </w:r>
            <w:r>
              <w:rPr>
                <w:rStyle w:val="Text3"/>
              </w:rPr>
              <w:t>args</w:t>
            </w:r>
            <w:r>
              <w:rPr>
                <w:rStyle w:val="Text0"/>
              </w:rPr>
              <w:t>...])</w:t>
              <w:br w:clear="none"/>
            </w:r>
            <w:r>
              <w:t xml:space="preserve"> When</w:t>
            </w:r>
            <w:r>
              <w:rPr>
                <w:rStyle w:val="Text111"/>
              </w:rPr>
              <w:bookmarkStart w:id="1449" w:name="idm45965264740912"/>
              <w:t/>
              <w:bookmarkEnd w:id="1449"/>
            </w:r>
            <w:r>
              <w:t xml:space="preserve"> a call </w:t>
            </w:r>
            <w:r>
              <w:rPr>
                <w:rStyle w:val="Text3"/>
              </w:rPr>
              <w:t>C</w:t>
            </w:r>
            <w:r>
              <w:rPr>
                <w:rStyle w:val="Text0"/>
              </w:rPr>
              <w:t>([</w:t>
            </w:r>
            <w:r>
              <w:rPr>
                <w:rStyle w:val="Text3"/>
              </w:rPr>
              <w:t>args...</w:t>
            </w:r>
            <w:r>
              <w:rPr>
                <w:rStyle w:val="Text0"/>
              </w:rPr>
              <w:t>])</w:t>
            </w:r>
            <w:r>
              <w:t xml:space="preserve"> creates instance </w:t>
            </w:r>
            <w:r>
              <w:rPr>
                <w:rStyle w:val="Text3"/>
              </w:rPr>
              <w:t>x</w:t>
            </w:r>
            <w:r>
              <w:t xml:space="preserve"> of class </w:t>
            </w:r>
            <w:r>
              <w:rPr>
                <w:rStyle w:val="Text3"/>
              </w:rPr>
              <w:t>C</w:t>
            </w:r>
            <w:r>
              <w:t xml:space="preserve">, Python calls </w:t>
            </w:r>
            <w:r>
              <w:rPr>
                <w:rStyle w:val="Text3"/>
              </w:rPr>
              <w:t>x</w:t>
            </w:r>
            <w:r>
              <w:rPr>
                <w:rStyle w:val="Text0"/>
              </w:rPr>
              <w:t>.__init__([</w:t>
            </w:r>
            <w:r>
              <w:rPr>
                <w:rStyle w:val="Text3"/>
              </w:rPr>
              <w:t>args</w:t>
            </w:r>
            <w:r>
              <w:rPr>
                <w:rStyle w:val="Text0"/>
              </w:rPr>
              <w:t>...])</w:t>
            </w:r>
            <w:r>
              <w:t xml:space="preserve"> to let </w:t>
            </w:r>
            <w:r>
              <w:rPr>
                <w:rStyle w:val="Text3"/>
              </w:rPr>
              <w:t>x</w:t>
            </w:r>
            <w:r>
              <w:t xml:space="preserve"> initialize itself. If </w:t>
            </w:r>
            <w:r>
              <w:rPr>
                <w:rStyle w:val="Text0"/>
              </w:rPr>
              <w:t>__init__</w:t>
            </w:r>
            <w:r>
              <w:t xml:space="preserve"> is absent (i.e., it’s inherited from </w:t>
            </w:r>
            <w:r>
              <w:rPr>
                <w:rStyle w:val="Text0"/>
              </w:rPr>
              <w:t>object</w:t>
            </w:r>
            <w:r>
              <w:t xml:space="preserve">), you must call </w:t>
            </w:r>
            <w:r>
              <w:rPr>
                <w:rStyle w:val="Text3"/>
              </w:rPr>
              <w:t>C</w:t>
            </w:r>
            <w:r>
              <w:t xml:space="preserve"> without arguments, </w:t>
            </w:r>
            <w:r>
              <w:rPr>
                <w:rStyle w:val="Text3"/>
              </w:rPr>
              <w:t>C</w:t>
            </w:r>
            <w:r>
              <w:rPr>
                <w:rStyle w:val="Text0"/>
              </w:rPr>
              <w:t>()</w:t>
            </w:r>
            <w:r>
              <w:t xml:space="preserve">, and </w:t>
            </w:r>
            <w:r>
              <w:rPr>
                <w:rStyle w:val="Text3"/>
              </w:rPr>
              <w:t>x</w:t>
            </w:r>
            <w:r>
              <w:t xml:space="preserve"> has no instance-specific attributes on creation. Python performs no implicit call to </w:t>
            </w:r>
            <w:r>
              <w:rPr>
                <w:rStyle w:val="Text0"/>
              </w:rPr>
              <w:t>__init__</w:t>
            </w:r>
            <w:r>
              <w:t xml:space="preserve"> methods of class </w:t>
            </w:r>
            <w:r>
              <w:rPr>
                <w:rStyle w:val="Text3"/>
              </w:rPr>
              <w:t>C</w:t>
            </w:r>
            <w:r>
              <w:t xml:space="preserve">’s superclasses. </w:t>
            </w:r>
            <w:r>
              <w:rPr>
                <w:rStyle w:val="Text3"/>
              </w:rPr>
              <w:t>C</w:t>
            </w:r>
            <w:r>
              <w:rPr>
                <w:rStyle w:val="Text0"/>
              </w:rPr>
              <w:t>.__init__</w:t>
            </w:r>
            <w:r>
              <w:t xml:space="preserve"> must explicitly perform any initialization, including, if need be, by delegation. For example, when class </w:t>
            </w:r>
            <w:r>
              <w:rPr>
                <w:rStyle w:val="Text3"/>
              </w:rPr>
              <w:t>C</w:t>
            </w:r>
            <w:r>
              <w:t xml:space="preserve"> has a base class </w:t>
            </w:r>
            <w:r>
              <w:rPr>
                <w:rStyle w:val="Text3"/>
              </w:rPr>
              <w:t>B</w:t>
            </w:r>
            <w:r>
              <w:t xml:space="preserve"> to initialize without arguments, the code in </w:t>
            </w:r>
            <w:r>
              <w:rPr>
                <w:rStyle w:val="Text3"/>
              </w:rPr>
              <w:t>C</w:t>
            </w:r>
            <w:r>
              <w:t>.</w:t>
            </w:r>
            <w:r>
              <w:rPr>
                <w:rStyle w:val="Text0"/>
              </w:rPr>
              <w:t>__init__</w:t>
            </w:r>
            <w:r>
              <w:t xml:space="preserve"> must explicitly call </w:t>
            </w:r>
            <w:r>
              <w:rPr>
                <w:rStyle w:val="Text0"/>
              </w:rPr>
              <w:t>super().__init__()</w:t>
            </w:r>
            <w:r>
              <w:t xml:space="preserve">. </w:t>
            </w:r>
            <w:r>
              <w:rPr>
                <w:rStyle w:val="Text0"/>
              </w:rPr>
              <w:t>__init__</w:t>
            </w:r>
            <w:r>
              <w:t xml:space="preserve">’s inheritance works just like for any other method or attribute: if </w:t>
            </w:r>
            <w:r>
              <w:rPr>
                <w:rStyle w:val="Text3"/>
              </w:rPr>
              <w:t>C</w:t>
            </w:r>
            <w:r>
              <w:t xml:space="preserve"> itself does not override </w:t>
            </w:r>
            <w:r>
              <w:rPr>
                <w:rStyle w:val="Text0"/>
              </w:rPr>
              <w:t>__init__</w:t>
            </w:r>
            <w:r>
              <w:t xml:space="preserve">, it inherits it from the first superclass in its </w:t>
            </w:r>
            <w:r>
              <w:rPr>
                <w:rStyle w:val="Text0"/>
              </w:rPr>
              <w:t>__mro__</w:t>
            </w:r>
            <w:r>
              <w:t xml:space="preserve"> to override </w:t>
            </w:r>
            <w:r>
              <w:rPr>
                <w:rStyle w:val="Text0"/>
              </w:rPr>
              <w:t>__init__</w:t>
            </w:r>
            <w:r>
              <w:t>, like every other attribute.</w:t>
              <w:br w:clear="none"/>
              <w:t xml:space="preserve"> </w:t>
            </w:r>
            <w:r>
              <w:rPr>
                <w:rStyle w:val="Text0"/>
              </w:rPr>
              <w:t>__init__</w:t>
            </w:r>
            <w:r>
              <w:t xml:space="preserve"> must return </w:t>
            </w:r>
            <w:r>
              <w:rPr>
                <w:rStyle w:val="Text0"/>
              </w:rPr>
              <w:t>None</w:t>
            </w:r>
            <w:r>
              <w:t xml:space="preserve">; otherwise, calling the class raises </w:t>
            </w:r>
            <w:r>
              <w:rPr>
                <w:rStyle w:val="Text0"/>
              </w:rPr>
              <w:t>TypeError</w:t>
            </w:r>
            <w:r>
              <w:t>.</w:t>
            </w:r>
          </w:p>
        </w:tc>
      </w:tr>
    </w:tbl>
    <w:tbl>
      <w:tblPr>
        <w:tblW w:type="auto" w:w="0"/>
      </w:tblPr>
      <w:tr>
        <w:tc>
          <w:tcPr>
            <w:tcW w:type="auto" w:w="0"/>
            <w:tcMar>
              <w:left w:type="dxa" w:w="200"/>
              <w:top w:type="dxa" w:w="200"/>
              <w:right w:type="dxa" w:w="200"/>
              <w:bottom w:type="dxa" w:w="200"/>
            </w:tcMar>
          </w:tcPr>
          <w:p>
            <w:pPr>
              <w:pStyle w:val="Para 001"/>
            </w:pPr>
            <w:r>
              <w:t>__new__</w:t>
            </w:r>
          </w:p>
        </w:tc>
        <w:tc>
          <w:tcPr>
            <w:tcW w:type="auto" w:w="0"/>
            <w:tcMar>
              <w:left w:type="dxa" w:w="200"/>
              <w:top w:type="dxa" w:w="200"/>
              <w:right w:type="dxa" w:w="200"/>
              <w:bottom w:type="dxa" w:w="200"/>
            </w:tcMar>
          </w:tcPr>
          <w:p>
            <w:pPr>
              <w:pStyle w:val="Para 002"/>
            </w:pPr>
            <w:r>
              <w:rPr>
                <w:rStyle w:val="Text0"/>
              </w:rPr>
              <w:t>__new__(cls[,</w:t>
            </w:r>
            <w:r>
              <w:t xml:space="preserve"> </w:t>
            </w:r>
            <w:r>
              <w:rPr>
                <w:rStyle w:val="Text3"/>
              </w:rPr>
              <w:t>args</w:t>
            </w:r>
            <w:r>
              <w:rPr>
                <w:rStyle w:val="Text0"/>
              </w:rPr>
              <w:t>...])</w:t>
              <w:br w:clear="none"/>
            </w:r>
            <w:r>
              <w:t xml:space="preserve"> When you call </w:t>
            </w:r>
            <w:r>
              <w:rPr>
                <w:rStyle w:val="Text3"/>
              </w:rPr>
              <w:t>C</w:t>
            </w:r>
            <w:r>
              <w:rPr>
                <w:rStyle w:val="Text0"/>
              </w:rPr>
              <w:t>([</w:t>
            </w:r>
            <w:r>
              <w:rPr>
                <w:rStyle w:val="Text3"/>
              </w:rPr>
              <w:t>args</w:t>
            </w:r>
            <w:r>
              <w:rPr>
                <w:rStyle w:val="Text0"/>
              </w:rPr>
              <w:t>...])</w:t>
            </w:r>
            <w:r>
              <w:t xml:space="preserve">, Python gets the new instance </w:t>
            </w:r>
            <w:r>
              <w:rPr>
                <w:rStyle w:val="Text3"/>
              </w:rPr>
              <w:t>x</w:t>
            </w:r>
            <w:r>
              <w:t xml:space="preserve"> that you are creating by invoking </w:t>
            </w:r>
            <w:r>
              <w:rPr>
                <w:rStyle w:val="Text3"/>
              </w:rPr>
              <w:t>C.</w:t>
            </w:r>
            <w:r>
              <w:rPr>
                <w:rStyle w:val="Text0"/>
              </w:rPr>
              <w:t>__new__(</w:t>
            </w:r>
            <w:r>
              <w:rPr>
                <w:rStyle w:val="Text3"/>
              </w:rPr>
              <w:t>C</w:t>
            </w:r>
            <w:r>
              <w:rPr>
                <w:rStyle w:val="Text0"/>
              </w:rPr>
              <w:t>[,</w:t>
            </w:r>
            <w:r>
              <w:t xml:space="preserve"> </w:t>
            </w:r>
            <w:r>
              <w:rPr>
                <w:rStyle w:val="Text3"/>
              </w:rPr>
              <w:t>args</w:t>
            </w:r>
            <w:r>
              <w:rPr>
                <w:rStyle w:val="Text0"/>
              </w:rPr>
              <w:t>...])</w:t>
            </w:r>
            <w:r>
              <w:t xml:space="preserve">. Every class has the class method </w:t>
            </w:r>
            <w:r>
              <w:rPr>
                <w:rStyle w:val="Text0"/>
              </w:rPr>
              <w:t>__new__</w:t>
            </w:r>
            <w:r>
              <w:t xml:space="preserve"> (usually, it just inherits it from </w:t>
            </w:r>
            <w:r>
              <w:rPr>
                <w:rStyle w:val="Text0"/>
              </w:rPr>
              <w:t>object</w:t>
            </w:r>
            <w:r>
              <w:t xml:space="preserve">), which can return any value </w:t>
            </w:r>
            <w:r>
              <w:rPr>
                <w:rStyle w:val="Text3"/>
              </w:rPr>
              <w:t>x</w:t>
            </w:r>
            <w:r>
              <w:t xml:space="preserve">. In other words, </w:t>
            </w:r>
            <w:r>
              <w:rPr>
                <w:rStyle w:val="Text0"/>
              </w:rPr>
              <w:t>__new__</w:t>
            </w:r>
            <w:r>
              <w:t xml:space="preserve"> need not return a new instance of </w:t>
            </w:r>
            <w:r>
              <w:rPr>
                <w:rStyle w:val="Text3"/>
              </w:rPr>
              <w:t>C</w:t>
            </w:r>
            <w:r>
              <w:t xml:space="preserve">, although it’s expected to do so. If the value </w:t>
            </w:r>
            <w:r>
              <w:rPr>
                <w:rStyle w:val="Text3"/>
              </w:rPr>
              <w:t>x</w:t>
            </w:r>
            <w:r>
              <w:t xml:space="preserve"> that </w:t>
            </w:r>
            <w:r>
              <w:rPr>
                <w:rStyle w:val="Text0"/>
              </w:rPr>
              <w:t>__new__</w:t>
            </w:r>
            <w:r>
              <w:t xml:space="preserve"> returns is an instance of </w:t>
            </w:r>
            <w:r>
              <w:rPr>
                <w:rStyle w:val="Text3"/>
              </w:rPr>
              <w:t>C</w:t>
            </w:r>
            <w:r>
              <w:t xml:space="preserve"> or of any subclass of </w:t>
            </w:r>
            <w:r>
              <w:rPr>
                <w:rStyle w:val="Text3"/>
              </w:rPr>
              <w:t>C</w:t>
            </w:r>
            <w:r>
              <w:t xml:space="preserve"> (whether a new or a previously existing one), Python then calls </w:t>
            </w:r>
            <w:r>
              <w:rPr>
                <w:rStyle w:val="Text0"/>
              </w:rPr>
              <w:t>__init__</w:t>
            </w:r>
            <w:r>
              <w:t xml:space="preserve"> on </w:t>
            </w:r>
            <w:r>
              <w:rPr>
                <w:rStyle w:val="Text3"/>
              </w:rPr>
              <w:t>x</w:t>
            </w:r>
            <w:r>
              <w:t xml:space="preserve"> (with the same </w:t>
            </w:r>
            <w:r>
              <w:rPr>
                <w:rStyle w:val="Text0"/>
              </w:rPr>
              <w:t>[</w:t>
            </w:r>
            <w:r>
              <w:rPr>
                <w:rStyle w:val="Text3"/>
              </w:rPr>
              <w:t>args</w:t>
            </w:r>
            <w:r>
              <w:rPr>
                <w:rStyle w:val="Text0"/>
              </w:rPr>
              <w:t>...]</w:t>
            </w:r>
            <w:r>
              <w:t xml:space="preserve"> originally passed to </w:t>
            </w:r>
            <w:r>
              <w:rPr>
                <w:rStyle w:val="Text0"/>
              </w:rPr>
              <w:t>__new__</w:t>
            </w:r>
            <w:r>
              <w:t xml:space="preserve">). </w:t>
            </w:r>
          </w:p>
          <w:p>
            <w:pPr>
              <w:keepNext/>
              <w:pStyle w:val="Para 050"/>
              <w:keepLines w:val="on"/>
            </w:pPr>
            <w:r>
              <w:t>Initialize Immutables in __new__, All Others in __init__</w:t>
            </w:r>
          </w:p>
          <w:p>
            <w:pPr>
              <w:pStyle w:val="Para 041"/>
              <w:keepLines w:val="on"/>
            </w:pPr>
            <w:r>
              <w:t>You</w:t>
            </w:r>
            <w:r>
              <w:rPr>
                <w:rStyle w:val="Text111"/>
              </w:rPr>
              <w:bookmarkStart w:id="1450" w:name="idm45965264693824"/>
              <w:t/>
              <w:bookmarkEnd w:id="1450"/>
            </w:r>
            <w:r>
              <w:t xml:space="preserve"> can perform most kinds of initialization of new instances in either </w:t>
            </w:r>
            <w:r>
              <w:rPr>
                <w:rStyle w:val="Text0"/>
              </w:rPr>
              <w:t>__init__</w:t>
            </w:r>
            <w:r>
              <w:t xml:space="preserve"> or </w:t>
            </w:r>
            <w:r>
              <w:rPr>
                <w:rStyle w:val="Text0"/>
              </w:rPr>
              <w:t>__new__</w:t>
            </w:r>
            <w:r>
              <w:t xml:space="preserve">, so you may wonder where it’s best to place them. Best practice is to put the initialization in </w:t>
            </w:r>
            <w:r>
              <w:rPr>
                <w:rStyle w:val="Text0"/>
              </w:rPr>
              <w:t>__init__</w:t>
            </w:r>
            <w:r>
              <w:t xml:space="preserve"> only, unless you have a specific reason to put it in </w:t>
            </w:r>
            <w:r>
              <w:rPr>
                <w:rStyle w:val="Text0"/>
              </w:rPr>
              <w:t>__new__</w:t>
            </w:r>
            <w:r>
              <w:t xml:space="preserve">. (When a type is immutable, </w:t>
            </w:r>
            <w:r>
              <w:rPr>
                <w:rStyle w:val="Text0"/>
              </w:rPr>
              <w:t>__init__</w:t>
            </w:r>
            <w:r>
              <w:t xml:space="preserve"> cannot change its instances: in this case, </w:t>
            </w:r>
            <w:r>
              <w:rPr>
                <w:rStyle w:val="Text0"/>
              </w:rPr>
              <w:t>__new__</w:t>
            </w:r>
            <w:r>
              <w:t xml:space="preserve"> has to perform all initialization.)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__repr__</w:t>
            </w:r>
          </w:p>
        </w:tc>
        <w:tc>
          <w:tcPr>
            <w:tcW w:type="auto" w:w="0"/>
            <w:shd w:val="clear" w:color="auto" w:fill="EEF2F6"/>
            <w:tcMar>
              <w:left w:type="dxa" w:w="200"/>
              <w:top w:type="dxa" w:w="200"/>
              <w:right w:type="dxa" w:w="200"/>
              <w:bottom w:type="dxa" w:w="200"/>
            </w:tcMar>
          </w:tcPr>
          <w:p>
            <w:pPr>
              <w:pStyle w:val="Para 002"/>
            </w:pPr>
            <w:r>
              <w:rPr>
                <w:rStyle w:val="Text0"/>
              </w:rPr>
              <w:t>__repr__(self)</w:t>
              <w:br w:clear="none"/>
            </w:r>
            <w:r>
              <w:t xml:space="preserve"> Calling</w:t>
            </w:r>
            <w:r>
              <w:rPr>
                <w:rStyle w:val="Text111"/>
              </w:rPr>
              <w:bookmarkStart w:id="1451" w:name="idm45965264685968"/>
              <w:t/>
              <w:bookmarkEnd w:id="1451"/>
            </w:r>
            <w:r>
              <w:t xml:space="preserve"> </w:t>
            </w:r>
            <w:r>
              <w:rPr>
                <w:rStyle w:val="Text0"/>
              </w:rPr>
              <w:t>repr(</w:t>
            </w:r>
            <w:r>
              <w:rPr>
                <w:rStyle w:val="Text3"/>
              </w:rPr>
              <w:t>x</w:t>
            </w:r>
            <w:r>
              <w:rPr>
                <w:rStyle w:val="Text0"/>
              </w:rPr>
              <w:t>)</w:t>
            </w:r>
            <w:r>
              <w:t xml:space="preserve"> (which happens implicitly in the interactive interpreter when </w:t>
            </w:r>
            <w:r>
              <w:rPr>
                <w:rStyle w:val="Text3"/>
              </w:rPr>
              <w:t>x</w:t>
            </w:r>
            <w:r>
              <w:t xml:space="preserve"> is the result of an expression statement) calls </w:t>
            </w:r>
            <w:r>
              <w:rPr>
                <w:rStyle w:val="Text3"/>
              </w:rPr>
              <w:t>x</w:t>
            </w:r>
            <w:r>
              <w:rPr>
                <w:rStyle w:val="Text0"/>
              </w:rPr>
              <w:t>.__repr__()</w:t>
            </w:r>
            <w:r>
              <w:t xml:space="preserve"> to get and return a complete string representation of </w:t>
            </w:r>
            <w:r>
              <w:rPr>
                <w:rStyle w:val="Text3"/>
              </w:rPr>
              <w:t>x</w:t>
            </w:r>
            <w:r>
              <w:t xml:space="preserve">. If </w:t>
            </w:r>
            <w:r>
              <w:rPr>
                <w:rStyle w:val="Text0"/>
              </w:rPr>
              <w:t>__repr__</w:t>
            </w:r>
            <w:r>
              <w:t xml:space="preserve"> is absent, Python uses a default string representation. </w:t>
            </w:r>
            <w:r>
              <w:rPr>
                <w:rStyle w:val="Text0"/>
              </w:rPr>
              <w:t>__repr__</w:t>
            </w:r>
            <w:r>
              <w:t xml:space="preserve"> should return a string with unambiguous information on </w:t>
            </w:r>
            <w:r>
              <w:rPr>
                <w:rStyle w:val="Text3"/>
              </w:rPr>
              <w:t>x</w:t>
            </w:r>
            <w:r>
              <w:t xml:space="preserve">. When feasible, try to make </w:t>
            </w:r>
            <w:r>
              <w:rPr>
                <w:rStyle w:val="Text0"/>
              </w:rPr>
              <w:t>eval(repr(</w:t>
            </w:r>
            <w:r>
              <w:rPr>
                <w:rStyle w:val="Text3"/>
              </w:rPr>
              <w:t>x</w:t>
            </w:r>
            <w:r>
              <w:rPr>
                <w:rStyle w:val="Text0"/>
              </w:rPr>
              <w:t>))==</w:t>
            </w:r>
            <w:r>
              <w:rPr>
                <w:rStyle w:val="Text3"/>
              </w:rPr>
              <w:t>x</w:t>
            </w:r>
            <w:r>
              <w:t xml:space="preserve"> (but, don’t go crazy to achieve this goal!).</w:t>
            </w:r>
          </w:p>
        </w:tc>
      </w:tr>
    </w:tbl>
    <w:tbl>
      <w:tblPr>
        <w:tblW w:type="auto" w:w="0"/>
      </w:tblPr>
      <w:tr>
        <w:tc>
          <w:tcPr>
            <w:tcW w:type="auto" w:w="0"/>
            <w:tcMar>
              <w:left w:type="dxa" w:w="200"/>
              <w:top w:type="dxa" w:w="200"/>
              <w:right w:type="dxa" w:w="200"/>
              <w:bottom w:type="dxa" w:w="200"/>
            </w:tcMar>
          </w:tcPr>
          <w:p>
            <w:pPr>
              <w:pStyle w:val="Para 001"/>
            </w:pPr>
            <w:r>
              <w:t>__setattr__</w:t>
            </w:r>
          </w:p>
        </w:tc>
        <w:tc>
          <w:tcPr>
            <w:tcW w:type="auto" w:w="0"/>
            <w:tcMar>
              <w:left w:type="dxa" w:w="200"/>
              <w:top w:type="dxa" w:w="200"/>
              <w:right w:type="dxa" w:w="200"/>
              <w:bottom w:type="dxa" w:w="200"/>
            </w:tcMar>
          </w:tcPr>
          <w:p>
            <w:pPr>
              <w:pStyle w:val="Para 002"/>
            </w:pPr>
            <w:r>
              <w:rPr>
                <w:rStyle w:val="Text0"/>
              </w:rPr>
              <w:t>__setattr__(self,</w:t>
            </w:r>
            <w:r>
              <w:t xml:space="preserve"> </w:t>
            </w:r>
            <w:r>
              <w:rPr>
                <w:rStyle w:val="Text3"/>
              </w:rPr>
              <w:t>name</w:t>
            </w:r>
            <w:r>
              <w:rPr>
                <w:rStyle w:val="Text0"/>
              </w:rPr>
              <w:t>,</w:t>
            </w:r>
            <w:r>
              <w:t xml:space="preserve"> </w:t>
            </w:r>
            <w:r>
              <w:rPr>
                <w:rStyle w:val="Text3"/>
              </w:rPr>
              <w:t>value</w:t>
            </w:r>
            <w:r>
              <w:rPr>
                <w:rStyle w:val="Text0"/>
              </w:rPr>
              <w:t>)</w:t>
              <w:br w:clear="none"/>
            </w:r>
            <w:r>
              <w:t xml:space="preserve"> At</w:t>
            </w:r>
            <w:r>
              <w:rPr>
                <w:rStyle w:val="Text111"/>
              </w:rPr>
              <w:bookmarkStart w:id="1452" w:name="idm45965264670800"/>
              <w:t/>
              <w:bookmarkEnd w:id="1452"/>
            </w:r>
            <w:r>
              <w:t xml:space="preserve"> any request to bind attribute </w:t>
            </w:r>
            <w:r>
              <w:rPr>
                <w:rStyle w:val="Text3"/>
              </w:rPr>
              <w:t>x.y</w:t>
            </w:r>
            <w:r>
              <w:t xml:space="preserve"> (usually, an assignment statement </w:t>
            </w:r>
            <w:r>
              <w:rPr>
                <w:rStyle w:val="Text3"/>
              </w:rPr>
              <w:t>x.y=value</w:t>
            </w:r>
            <w:r>
              <w:t xml:space="preserve">, but also, e.g., </w:t>
            </w:r>
            <w:r>
              <w:rPr>
                <w:rStyle w:val="Text0"/>
              </w:rPr>
              <w:t>setattr(</w:t>
            </w:r>
            <w:r>
              <w:rPr>
                <w:rStyle w:val="Text3"/>
              </w:rPr>
              <w:t>x</w:t>
            </w:r>
            <w:r>
              <w:rPr>
                <w:rStyle w:val="Text0"/>
              </w:rPr>
              <w:t>, '</w:t>
            </w:r>
            <w:r>
              <w:rPr>
                <w:rStyle w:val="Text3"/>
              </w:rPr>
              <w:t>y</w:t>
            </w:r>
            <w:r>
              <w:rPr>
                <w:rStyle w:val="Text0"/>
              </w:rPr>
              <w:t>',</w:t>
            </w:r>
            <w:r>
              <w:t xml:space="preserve"> </w:t>
            </w:r>
            <w:r>
              <w:rPr>
                <w:rStyle w:val="Text3"/>
              </w:rPr>
              <w:t>value</w:t>
            </w:r>
            <w:r>
              <w:rPr>
                <w:rStyle w:val="Text0"/>
              </w:rPr>
              <w:t>))</w:t>
            </w:r>
            <w:r>
              <w:t xml:space="preserve">, Python calls </w:t>
            </w:r>
            <w:r>
              <w:rPr>
                <w:rStyle w:val="Text3"/>
              </w:rPr>
              <w:t>x</w:t>
            </w:r>
            <w:r>
              <w:rPr>
                <w:rStyle w:val="Text0"/>
              </w:rPr>
              <w:t>.__setattr__('</w:t>
            </w:r>
            <w:r>
              <w:rPr>
                <w:rStyle w:val="Text3"/>
              </w:rPr>
              <w:t>y</w:t>
            </w:r>
            <w:r>
              <w:rPr>
                <w:rStyle w:val="Text0"/>
              </w:rPr>
              <w:t>',</w:t>
            </w:r>
            <w:r>
              <w:t xml:space="preserve"> </w:t>
            </w:r>
            <w:r>
              <w:rPr>
                <w:rStyle w:val="Text3"/>
              </w:rPr>
              <w:t>value</w:t>
            </w:r>
            <w:r>
              <w:rPr>
                <w:rStyle w:val="Text0"/>
              </w:rPr>
              <w:t>)</w:t>
            </w:r>
            <w:r>
              <w:t xml:space="preserve">. Python always calls </w:t>
            </w:r>
            <w:r>
              <w:rPr>
                <w:rStyle w:val="Text0"/>
              </w:rPr>
              <w:t>__setattr__</w:t>
            </w:r>
            <w:r>
              <w:t xml:space="preserve"> for </w:t>
            </w:r>
            <w:r>
              <w:rPr>
                <w:rStyle w:val="Text4"/>
              </w:rPr>
              <w:t>any</w:t>
            </w:r>
            <w:r>
              <w:t xml:space="preserve"> attribute binding on </w:t>
            </w:r>
            <w:r>
              <w:rPr>
                <w:rStyle w:val="Text3"/>
              </w:rPr>
              <w:t>x</w:t>
            </w:r>
            <w:r>
              <w:t xml:space="preserve">—a major difference from </w:t>
            </w:r>
            <w:r>
              <w:rPr>
                <w:rStyle w:val="Text0"/>
              </w:rPr>
              <w:t>__getattr__</w:t>
            </w:r>
            <w:r>
              <w:t xml:space="preserve"> (in this respect, </w:t>
            </w:r>
            <w:r>
              <w:rPr>
                <w:rStyle w:val="Text0"/>
              </w:rPr>
              <w:t>__setattr__</w:t>
            </w:r>
            <w:r>
              <w:t xml:space="preserve"> is closer to </w:t>
            </w:r>
            <w:r>
              <w:rPr>
                <w:rStyle w:val="Text0"/>
              </w:rPr>
              <w:t>__getattribute__</w:t>
            </w:r>
            <w:r>
              <w:t xml:space="preserve">). To avoid recursion, when </w:t>
            </w:r>
            <w:r>
              <w:rPr>
                <w:rStyle w:val="Text3"/>
              </w:rPr>
              <w:t>x</w:t>
            </w:r>
            <w:r>
              <w:rPr>
                <w:rStyle w:val="Text0"/>
              </w:rPr>
              <w:t>.__setattr__</w:t>
            </w:r>
            <w:r>
              <w:t xml:space="preserve"> binds </w:t>
            </w:r>
            <w:r>
              <w:rPr>
                <w:rStyle w:val="Text3"/>
              </w:rPr>
              <w:t>x</w:t>
            </w:r>
            <w:r>
              <w:t xml:space="preserve">’s attributes, it must modify </w:t>
            </w:r>
            <w:r>
              <w:rPr>
                <w:rStyle w:val="Text3"/>
              </w:rPr>
              <w:t>x</w:t>
            </w:r>
            <w:r>
              <w:rPr>
                <w:rStyle w:val="Text0"/>
              </w:rPr>
              <w:t>.__dict__</w:t>
            </w:r>
            <w:r>
              <w:t xml:space="preserve"> directly (e.g., via </w:t>
            </w:r>
            <w:r>
              <w:rPr>
                <w:rStyle w:val="Text3"/>
              </w:rPr>
              <w:t>x</w:t>
            </w:r>
            <w:r>
              <w:rPr>
                <w:rStyle w:val="Text0"/>
              </w:rPr>
              <w:t>.__dict__[</w:t>
            </w:r>
            <w:r>
              <w:rPr>
                <w:rStyle w:val="Text3"/>
              </w:rPr>
              <w:t>name</w:t>
            </w:r>
            <w:r>
              <w:rPr>
                <w:rStyle w:val="Text0"/>
              </w:rPr>
              <w:t>]=</w:t>
            </w:r>
            <w:r>
              <w:rPr>
                <w:rStyle w:val="Text3"/>
              </w:rPr>
              <w:t>value</w:t>
            </w:r>
            <w:r>
              <w:t xml:space="preserve">); or better, </w:t>
            </w:r>
            <w:r>
              <w:rPr>
                <w:rStyle w:val="Text0"/>
              </w:rPr>
              <w:t>__setattr__</w:t>
            </w:r>
            <w:r>
              <w:t xml:space="preserve"> can delegate to the superclass (call </w:t>
            </w:r>
            <w:r>
              <w:rPr>
                <w:rStyle w:val="Text0"/>
              </w:rPr>
              <w:t>super().__setattr__('</w:t>
            </w:r>
            <w:r>
              <w:rPr>
                <w:rStyle w:val="Text3"/>
              </w:rPr>
              <w:t>y</w:t>
            </w:r>
            <w:r>
              <w:rPr>
                <w:rStyle w:val="Text0"/>
              </w:rPr>
              <w:t>',</w:t>
            </w:r>
            <w:r>
              <w:t xml:space="preserve"> </w:t>
            </w:r>
            <w:r>
              <w:rPr>
                <w:rStyle w:val="Text3"/>
              </w:rPr>
              <w:t>value</w:t>
            </w:r>
            <w:r>
              <w:rPr>
                <w:rStyle w:val="Text0"/>
              </w:rPr>
              <w:t>)</w:t>
            </w:r>
            <w:r>
              <w:t xml:space="preserve">). Python ignores the return value of </w:t>
            </w:r>
            <w:r>
              <w:rPr>
                <w:rStyle w:val="Text0"/>
              </w:rPr>
              <w:t>__setattr__</w:t>
            </w:r>
            <w:r>
              <w:t xml:space="preserve">. If </w:t>
            </w:r>
            <w:r>
              <w:rPr>
                <w:rStyle w:val="Text0"/>
              </w:rPr>
              <w:t>__setattr__</w:t>
            </w:r>
            <w:r>
              <w:t xml:space="preserve"> is absent (i.e., inherited from object), and </w:t>
            </w:r>
            <w:r>
              <w:rPr>
                <w:rStyle w:val="Text3"/>
              </w:rPr>
              <w:t>C.y</w:t>
            </w:r>
            <w:r>
              <w:t xml:space="preserve"> is not an overriding descriptor, Python usually translates </w:t>
            </w:r>
            <w:r>
              <w:rPr>
                <w:rStyle w:val="Text3"/>
              </w:rPr>
              <w:t>x.y=z</w:t>
            </w:r>
            <w:r>
              <w:t xml:space="preserve"> into </w:t>
            </w:r>
            <w:r>
              <w:rPr>
                <w:rStyle w:val="Text3"/>
              </w:rPr>
              <w:t>x</w:t>
            </w:r>
            <w:r>
              <w:rPr>
                <w:rStyle w:val="Text0"/>
              </w:rPr>
              <w:t>.__dict__['</w:t>
            </w:r>
            <w:r>
              <w:rPr>
                <w:rStyle w:val="Text3"/>
              </w:rPr>
              <w:t>y</w:t>
            </w:r>
            <w:r>
              <w:rPr>
                <w:rStyle w:val="Text0"/>
              </w:rPr>
              <w:t>']=</w:t>
            </w:r>
            <w:r>
              <w:rPr>
                <w:rStyle w:val="Text3"/>
              </w:rPr>
              <w:t>z</w:t>
            </w:r>
            <w:r>
              <w:t xml:space="preserve"> (however, </w:t>
            </w:r>
            <w:r>
              <w:rPr>
                <w:rStyle w:val="Text0"/>
              </w:rPr>
              <w:t>__setattr__</w:t>
            </w:r>
            <w:r>
              <w:t xml:space="preserve"> also works fine with </w:t>
            </w:r>
            <w:r>
              <w:rPr>
                <w:rStyle w:val="Text0"/>
              </w:rPr>
              <w:t>__slots__</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__str__</w:t>
            </w:r>
          </w:p>
        </w:tc>
        <w:tc>
          <w:tcPr>
            <w:tcW w:type="auto" w:w="0"/>
            <w:shd w:val="clear" w:color="auto" w:fill="EEF2F6"/>
            <w:tcMar>
              <w:left w:type="dxa" w:w="200"/>
              <w:top w:type="dxa" w:w="200"/>
              <w:right w:type="dxa" w:w="200"/>
              <w:bottom w:type="dxa" w:w="200"/>
            </w:tcMar>
          </w:tcPr>
          <w:p>
            <w:pPr>
              <w:pStyle w:val="Para 002"/>
            </w:pPr>
            <w:r>
              <w:rPr>
                <w:rStyle w:val="Text0"/>
              </w:rPr>
              <w:t>__str__(self)</w:t>
              <w:br w:clear="none"/>
            </w:r>
            <w:r>
              <w:t xml:space="preserve"> Like</w:t>
            </w:r>
            <w:r>
              <w:rPr>
                <w:rStyle w:val="Text111"/>
              </w:rPr>
              <w:bookmarkStart w:id="1453" w:name="idm45965264638592"/>
              <w:t/>
              <w:bookmarkEnd w:id="1453"/>
            </w:r>
            <w:r>
              <w:t xml:space="preserve"> print(</w:t>
            </w:r>
            <w:r>
              <w:rPr>
                <w:rStyle w:val="Text4"/>
              </w:rPr>
              <w:t>x</w:t>
            </w:r>
            <w:r>
              <w:t xml:space="preserve">), </w:t>
            </w:r>
            <w:r>
              <w:rPr>
                <w:rStyle w:val="Text0"/>
              </w:rPr>
              <w:t>str(</w:t>
            </w:r>
            <w:r>
              <w:rPr>
                <w:rStyle w:val="Text3"/>
              </w:rPr>
              <w:t>x</w:t>
            </w:r>
            <w:r>
              <w:rPr>
                <w:rStyle w:val="Text0"/>
              </w:rPr>
              <w:t>)</w:t>
            </w:r>
            <w:r>
              <w:t xml:space="preserve"> calls </w:t>
            </w:r>
            <w:r>
              <w:rPr>
                <w:rStyle w:val="Text3"/>
              </w:rPr>
              <w:t>x</w:t>
            </w:r>
            <w:r>
              <w:rPr>
                <w:rStyle w:val="Text0"/>
              </w:rPr>
              <w:t>.__str__()</w:t>
            </w:r>
            <w:r>
              <w:t xml:space="preserve"> to get an informal, concise string representation of </w:t>
            </w:r>
            <w:r>
              <w:rPr>
                <w:rStyle w:val="Text3"/>
              </w:rPr>
              <w:t>x</w:t>
            </w:r>
            <w:r>
              <w:t xml:space="preserve">. If </w:t>
            </w:r>
            <w:r>
              <w:rPr>
                <w:rStyle w:val="Text0"/>
              </w:rPr>
              <w:t>__str__</w:t>
            </w:r>
            <w:r>
              <w:t xml:space="preserve"> is absent, Python calls </w:t>
            </w:r>
            <w:r>
              <w:rPr>
                <w:rStyle w:val="Text3"/>
              </w:rPr>
              <w:t>x</w:t>
            </w:r>
            <w:r>
              <w:rPr>
                <w:rStyle w:val="Text0"/>
              </w:rPr>
              <w:t>.__repr__</w:t>
            </w:r>
            <w:r>
              <w:t xml:space="preserve">. </w:t>
            </w:r>
            <w:r>
              <w:rPr>
                <w:rStyle w:val="Text0"/>
              </w:rPr>
              <w:t>__str__</w:t>
            </w:r>
            <w:r>
              <w:t xml:space="preserve"> should return a convenient human-readable string, even when that entails some approximation.</w:t>
            </w:r>
          </w:p>
        </w:tc>
      </w:tr>
    </w:tbl>
    <w:p>
      <w:bookmarkStart w:id="1454" w:name="Special_Methods_for_Containers"/>
      <w:pPr>
        <w:keepNext/>
        <w:pStyle w:val="Heading 2"/>
      </w:pPr>
      <w:r>
        <w:t>Special Methods for Containers</w:t>
      </w:r>
      <w:bookmarkEnd w:id="1454"/>
    </w:p>
    <w:p>
      <w:pPr>
        <w:pStyle w:val="Normal"/>
      </w:pPr>
      <w:r>
        <w:t>An</w:t>
      </w:r>
      <w:r>
        <w:rPr>
          <w:rStyle w:val="Text111"/>
        </w:rPr>
        <w:bookmarkStart w:id="1455" w:name="idm45965264628800"/>
        <w:t/>
        <w:bookmarkEnd w:id="1455"/>
        <w:bookmarkStart w:id="1456" w:name="Cspecial04"/>
        <w:t/>
        <w:bookmarkEnd w:id="1456"/>
      </w:r>
      <w:r>
        <w:t xml:space="preserve"> instance can be a </w:t>
      </w:r>
      <w:r>
        <w:rPr>
          <w:rStyle w:val="Text4"/>
        </w:rPr>
        <w:t>container</w:t>
      </w:r>
      <w:r>
        <w:t xml:space="preserve"> (a sequence, mapping, or set—mutually exclusive concepts</w:t>
      </w:r>
      <w:hyperlink w:anchor="9_Third_party_extensions_can_als">
        <w:r>
          <w:rPr>
            <w:rStyle w:val="Text41"/>
          </w:rPr>
          <w:bookmarkStart w:id="1457" w:name="9_2"/>
          <w:t>9</w:t>
          <w:bookmarkEnd w:id="1457"/>
        </w:r>
      </w:hyperlink>
      <w:r>
        <w:t xml:space="preserve">). For maximum usefulness, containers should provide special methods </w:t>
      </w:r>
      <w:r>
        <w:rPr>
          <w:rStyle w:val="Text0"/>
        </w:rPr>
        <w:t>__getitem__</w:t>
      </w:r>
      <w:r>
        <w:t xml:space="preserve">, </w:t>
      </w:r>
      <w:r>
        <w:rPr>
          <w:rStyle w:val="Text0"/>
        </w:rPr>
        <w:t>__contains__</w:t>
      </w:r>
      <w:r>
        <w:t xml:space="preserve">, and </w:t>
      </w:r>
      <w:r>
        <w:rPr>
          <w:rStyle w:val="Text0"/>
        </w:rPr>
        <w:t>__iter__</w:t>
      </w:r>
      <w:r>
        <w:t xml:space="preserve"> (and, if mutable, also </w:t>
      </w:r>
      <w:r>
        <w:rPr>
          <w:rStyle w:val="Text0"/>
        </w:rPr>
        <w:t>__setitem__</w:t>
      </w:r>
      <w:r>
        <w:t xml:space="preserve"> and </w:t>
      </w:r>
      <w:r>
        <w:rPr>
          <w:rStyle w:val="Text0"/>
        </w:rPr>
        <w:t>__delitem__</w:t>
      </w:r>
      <w:r>
        <w:t xml:space="preserve">), plus nonspecial methods discussed in the following sections. In many cases, you can obtain suitable implementations of the nonspecial methods by extending the appropriate abstract base class from the </w:t>
      </w:r>
      <w:r>
        <w:rPr>
          <w:rStyle w:val="Text0"/>
        </w:rPr>
        <w:t>collections.abc</w:t>
      </w:r>
      <w:r>
        <w:t xml:space="preserve"> module, such as </w:t>
      </w:r>
      <w:r>
        <w:rPr>
          <w:rStyle w:val="Text0"/>
        </w:rPr>
        <w:t>Sequence</w:t>
      </w:r>
      <w:r>
        <w:t xml:space="preserve">, </w:t>
      </w:r>
      <w:r>
        <w:rPr>
          <w:rStyle w:val="Text0"/>
        </w:rPr>
        <w:t>MutableSequence</w:t>
      </w:r>
      <w:r>
        <w:t xml:space="preserve">, and so on, as covered in </w:t>
      </w:r>
      <w:hyperlink w:anchor="Abstract_Base_Classes__Abstract">
        <w:r>
          <w:rPr>
            <w:rStyle w:val="Text1"/>
          </w:rPr>
          <w:t>“Abstract Base Classes”</w:t>
        </w:r>
      </w:hyperlink>
      <w:r>
        <w:t>.</w:t>
      </w:r>
    </w:p>
    <w:p>
      <w:bookmarkStart w:id="1458" w:name="Sequences__In_each_item_access_s"/>
      <w:pPr>
        <w:keepNext/>
        <w:pStyle w:val="Heading 2"/>
      </w:pPr>
      <w:r>
        <w:t>Sequences</w:t>
      </w:r>
      <w:bookmarkEnd w:id="1458"/>
    </w:p>
    <w:p>
      <w:pPr>
        <w:pStyle w:val="Normal"/>
      </w:pPr>
      <w:r>
        <w:t>In</w:t>
      </w:r>
      <w:r>
        <w:rPr>
          <w:rStyle w:val="Text111"/>
        </w:rPr>
        <w:bookmarkStart w:id="1459" w:name="idm45965264615168"/>
        <w:t/>
        <w:bookmarkEnd w:id="1459"/>
        <w:bookmarkStart w:id="1460" w:name="idm45965264613024"/>
        <w:t/>
        <w:bookmarkEnd w:id="1460"/>
      </w:r>
      <w:r>
        <w:t xml:space="preserve"> each item-access special method, a sequence that has </w:t>
      </w:r>
      <w:r>
        <w:rPr>
          <w:rStyle w:val="Text3"/>
        </w:rPr>
        <w:t>L</w:t>
      </w:r>
      <w:r>
        <w:t xml:space="preserve"> items should accept any integer </w:t>
      </w:r>
      <w:r>
        <w:rPr>
          <w:rStyle w:val="Text3"/>
        </w:rPr>
        <w:t>key</w:t>
      </w:r>
      <w:r>
        <w:t xml:space="preserve"> such that </w:t>
      </w:r>
      <w:r>
        <w:rPr>
          <w:rStyle w:val="Text3"/>
        </w:rPr>
        <w:t>-L</w:t>
      </w:r>
      <w:r>
        <w:rPr>
          <w:rStyle w:val="Text0"/>
        </w:rPr>
        <w:t>&lt;=</w:t>
      </w:r>
      <w:r>
        <w:rPr>
          <w:rStyle w:val="Text3"/>
        </w:rPr>
        <w:t>key</w:t>
      </w:r>
      <w:r>
        <w:rPr>
          <w:rStyle w:val="Text0"/>
        </w:rPr>
        <w:t>&lt;</w:t>
      </w:r>
      <w:r>
        <w:rPr>
          <w:rStyle w:val="Text3"/>
        </w:rPr>
        <w:t>L</w:t>
      </w:r>
      <w:r>
        <w:t>.</w:t>
      </w:r>
      <w:hyperlink w:anchor="10_Lower_bound_included__upper_b">
        <w:r>
          <w:rPr>
            <w:rStyle w:val="Text41"/>
          </w:rPr>
          <w:bookmarkStart w:id="1461" w:name="10_2"/>
          <w:t>10</w:t>
          <w:bookmarkEnd w:id="1461"/>
        </w:r>
      </w:hyperlink>
      <w:r>
        <w:t xml:space="preserve"> For compatibility with built-in sequences, a negative index </w:t>
      </w:r>
      <w:r>
        <w:rPr>
          <w:rStyle w:val="Text3"/>
        </w:rPr>
        <w:t>key</w:t>
      </w:r>
      <w:r>
        <w:t xml:space="preserve">, </w:t>
      </w:r>
      <w:r>
        <w:rPr>
          <w:rStyle w:val="Text0"/>
        </w:rPr>
        <w:t>0&gt;</w:t>
      </w:r>
      <w:r>
        <w:rPr>
          <w:rStyle w:val="Text3"/>
        </w:rPr>
        <w:t>key</w:t>
      </w:r>
      <w:r>
        <w:rPr>
          <w:rStyle w:val="Text0"/>
        </w:rPr>
        <w:t>&gt;=-</w:t>
      </w:r>
      <w:r>
        <w:rPr>
          <w:rStyle w:val="Text3"/>
        </w:rPr>
        <w:t>L</w:t>
      </w:r>
      <w:r>
        <w:t xml:space="preserve">, should be equivalent to </w:t>
      </w:r>
      <w:r>
        <w:rPr>
          <w:rStyle w:val="Text3"/>
        </w:rPr>
        <w:t>key</w:t>
      </w:r>
      <w:r>
        <w:rPr>
          <w:rStyle w:val="Text0"/>
        </w:rPr>
        <w:t>+</w:t>
      </w:r>
      <w:r>
        <w:rPr>
          <w:rStyle w:val="Text3"/>
        </w:rPr>
        <w:t>L</w:t>
      </w:r>
      <w:r>
        <w:t xml:space="preserve">. When </w:t>
      </w:r>
      <w:r>
        <w:rPr>
          <w:rStyle w:val="Text3"/>
        </w:rPr>
        <w:t>key</w:t>
      </w:r>
      <w:r>
        <w:t xml:space="preserve"> has an invalid type, indexing should raise a </w:t>
      </w:r>
      <w:r>
        <w:rPr>
          <w:rStyle w:val="Text0"/>
        </w:rPr>
        <w:t>TypeError</w:t>
      </w:r>
      <w:r>
        <w:t xml:space="preserve"> exception. When </w:t>
      </w:r>
      <w:r>
        <w:rPr>
          <w:rStyle w:val="Text3"/>
        </w:rPr>
        <w:t>key</w:t>
      </w:r>
      <w:r>
        <w:t xml:space="preserve"> is a value of a valid type but out of range, indexing should raise an </w:t>
      </w:r>
      <w:r>
        <w:rPr>
          <w:rStyle w:val="Text0"/>
        </w:rPr>
        <w:t>IndexError</w:t>
      </w:r>
      <w:r>
        <w:t xml:space="preserve"> exception. For sequence classes that do not define </w:t>
      </w:r>
      <w:r>
        <w:rPr>
          <w:rStyle w:val="Text0"/>
        </w:rPr>
        <w:t>__iter__</w:t>
      </w:r>
      <w:r>
        <w:t xml:space="preserve">, the </w:t>
      </w:r>
      <w:r>
        <w:rPr>
          <w:rStyle w:val="Text5"/>
        </w:rPr>
        <w:t>for</w:t>
      </w:r>
      <w:r>
        <w:t xml:space="preserve"> statement relies on these requirements, as do built-in functions that take iterable arguments. Every item-access special method of a sequence should also, if at all practical, accept as its index argument an instance of the built-in type </w:t>
      </w:r>
      <w:r>
        <w:rPr>
          <w:rStyle w:val="Text0"/>
        </w:rPr>
        <w:t>slice</w:t>
      </w:r>
      <w:r>
        <w:t xml:space="preserve"> whose </w:t>
      </w:r>
      <w:r>
        <w:rPr>
          <w:rStyle w:val="Text0"/>
        </w:rPr>
        <w:t>start</w:t>
      </w:r>
      <w:r>
        <w:t xml:space="preserve">, </w:t>
      </w:r>
      <w:r>
        <w:rPr>
          <w:rStyle w:val="Text0"/>
        </w:rPr>
        <w:t>step</w:t>
      </w:r>
      <w:r>
        <w:t xml:space="preserve">, and </w:t>
      </w:r>
      <w:r>
        <w:rPr>
          <w:rStyle w:val="Text0"/>
        </w:rPr>
        <w:t>stop</w:t>
      </w:r>
      <w:r>
        <w:t xml:space="preserve"> attributes are </w:t>
      </w:r>
      <w:r>
        <w:rPr>
          <w:rStyle w:val="Text0"/>
        </w:rPr>
        <w:t>int</w:t>
      </w:r>
      <w:r>
        <w:t xml:space="preserve">s or </w:t>
      </w:r>
      <w:r>
        <w:rPr>
          <w:rStyle w:val="Text0"/>
        </w:rPr>
        <w:t>None</w:t>
      </w:r>
      <w:r>
        <w:t xml:space="preserve">; the </w:t>
      </w:r>
      <w:r>
        <w:rPr>
          <w:rStyle w:val="Text4"/>
        </w:rPr>
        <w:t>slicing</w:t>
      </w:r>
      <w:r>
        <w:t xml:space="preserve"> syntax relies on this requirement, as covered in </w:t>
      </w:r>
      <w:hyperlink w:anchor="Container_slicing__When_you_refe">
        <w:r>
          <w:rPr>
            <w:rStyle w:val="Text1"/>
          </w:rPr>
          <w:t>“Container slicing”</w:t>
        </w:r>
      </w:hyperlink>
      <w:r>
        <w:t>.</w:t>
      </w:r>
    </w:p>
    <w:p>
      <w:pPr>
        <w:pStyle w:val="Normal"/>
      </w:pPr>
      <w:r>
        <w:t xml:space="preserve">A sequence should also allow concatenation (with another sequence of the same type) by </w:t>
      </w:r>
      <w:r>
        <w:rPr>
          <w:rStyle w:val="Text0"/>
        </w:rPr>
        <w:t>+</w:t>
      </w:r>
      <w:r>
        <w:t xml:space="preserve">, and repetition by </w:t>
      </w:r>
      <w:r>
        <w:rPr>
          <w:rStyle w:val="Text0"/>
        </w:rPr>
        <w:t>*</w:t>
      </w:r>
      <w:r>
        <w:t xml:space="preserve"> (multiplication by an integer). A sequence should therefore have special methods</w:t>
      </w:r>
      <w:r>
        <w:rPr>
          <w:rStyle w:val="Text111"/>
        </w:rPr>
        <w:bookmarkStart w:id="1462" w:name="idm45965264590560"/>
        <w:t/>
        <w:bookmarkEnd w:id="1462"/>
        <w:bookmarkStart w:id="1463" w:name="idm45965264589440"/>
        <w:t/>
        <w:bookmarkEnd w:id="1463"/>
      </w:r>
      <w:r>
        <w:t xml:space="preserve"> </w:t>
      </w:r>
      <w:r>
        <w:rPr>
          <w:rStyle w:val="Text0"/>
        </w:rPr>
        <w:t>__add__</w:t>
      </w:r>
      <w:r>
        <w:t xml:space="preserve">, </w:t>
      </w:r>
      <w:r>
        <w:rPr>
          <w:rStyle w:val="Text0"/>
        </w:rPr>
        <w:t>__mul__</w:t>
      </w:r>
      <w:r>
        <w:t xml:space="preserve">, </w:t>
      </w:r>
      <w:r>
        <w:rPr>
          <w:rStyle w:val="Text0"/>
        </w:rPr>
        <w:t>__radd__</w:t>
      </w:r>
      <w:r>
        <w:t xml:space="preserve">, and </w:t>
      </w:r>
      <w:r>
        <w:rPr>
          <w:rStyle w:val="Text0"/>
        </w:rPr>
        <w:t>__rmul__</w:t>
      </w:r>
      <w:r>
        <w:t xml:space="preserve">, covered in </w:t>
      </w:r>
      <w:hyperlink w:anchor="Special_Methods_for_Numeric_Obje">
        <w:r>
          <w:rPr>
            <w:rStyle w:val="Text1"/>
          </w:rPr>
          <w:t>“Special Methods for Numeric Objects”</w:t>
        </w:r>
      </w:hyperlink>
      <w:r>
        <w:t xml:space="preserve">; in addition, </w:t>
      </w:r>
      <w:r>
        <w:rPr>
          <w:rStyle w:val="Text4"/>
        </w:rPr>
        <w:t>mutable</w:t>
      </w:r>
      <w:r>
        <w:t xml:space="preserve"> sequences should have equivalent in-place methods </w:t>
      </w:r>
      <w:r>
        <w:rPr>
          <w:rStyle w:val="Text0"/>
        </w:rPr>
        <w:t>__iadd__</w:t>
      </w:r>
      <w:r>
        <w:t xml:space="preserve"> and </w:t>
      </w:r>
      <w:r>
        <w:rPr>
          <w:rStyle w:val="Text0"/>
        </w:rPr>
        <w:t>__imul__</w:t>
      </w:r>
      <w:r>
        <w:t>. A sequence should be meaningfully comparable to another sequence of the same type, implementing</w:t>
      </w:r>
      <w:r>
        <w:rPr>
          <w:rStyle w:val="Text111"/>
        </w:rPr>
        <w:bookmarkStart w:id="1464" w:name="idm45965264582304"/>
        <w:t/>
        <w:bookmarkEnd w:id="1464"/>
        <w:bookmarkStart w:id="1465" w:name="idm45965264580864"/>
        <w:t/>
        <w:bookmarkEnd w:id="1465"/>
      </w:r>
      <w:r>
        <w:t xml:space="preserve"> </w:t>
      </w:r>
      <w:hyperlink r:id="rId233">
        <w:r>
          <w:rPr>
            <w:rStyle w:val="Text24"/>
          </w:rPr>
          <w:t>lexicographic</w:t>
        </w:r>
      </w:hyperlink>
      <w:hyperlink r:id="rId233">
        <w:r>
          <w:rPr>
            <w:rStyle w:val="Text1"/>
          </w:rPr>
          <w:t xml:space="preserve"> comparison</w:t>
        </w:r>
      </w:hyperlink>
      <w:r>
        <w:t xml:space="preserve">, like lists and tuples do. (Inheriting from the </w:t>
      </w:r>
      <w:r>
        <w:rPr>
          <w:rStyle w:val="Text0"/>
        </w:rPr>
        <w:t>Sequence</w:t>
      </w:r>
      <w:r>
        <w:t xml:space="preserve"> or </w:t>
      </w:r>
      <w:r>
        <w:rPr>
          <w:rStyle w:val="Text0"/>
        </w:rPr>
        <w:t>MutableSequence</w:t>
      </w:r>
      <w:r>
        <w:t xml:space="preserve"> abstract base class does not suffice to fulfill all of these requirements; inheriting from </w:t>
      </w:r>
      <w:r>
        <w:rPr>
          <w:rStyle w:val="Text0"/>
        </w:rPr>
        <w:t>MutableSequence</w:t>
      </w:r>
      <w:r>
        <w:t xml:space="preserve">, at most, only supplies </w:t>
      </w:r>
      <w:r>
        <w:rPr>
          <w:rStyle w:val="Text0"/>
        </w:rPr>
        <w:t>__iadd__</w:t>
      </w:r>
      <w:r>
        <w:t>.)</w:t>
      </w:r>
    </w:p>
    <w:p>
      <w:pPr>
        <w:pStyle w:val="Normal"/>
      </w:pPr>
      <w:r>
        <w:t>Every</w:t>
      </w:r>
      <w:r>
        <w:rPr>
          <w:rStyle w:val="Text111"/>
        </w:rPr>
        <w:bookmarkStart w:id="1466" w:name="idm45965264575488"/>
        <w:t/>
        <w:bookmarkEnd w:id="1466"/>
      </w:r>
      <w:r>
        <w:t xml:space="preserve"> sequence should have the nonspecial methods covered in </w:t>
      </w:r>
      <w:hyperlink w:anchor="List_methods__List_objects_provi">
        <w:r>
          <w:rPr>
            <w:rStyle w:val="Text1"/>
          </w:rPr>
          <w:t>“List methods”</w:t>
        </w:r>
      </w:hyperlink>
      <w:r>
        <w:t xml:space="preserve">: </w:t>
      </w:r>
      <w:r>
        <w:rPr>
          <w:rStyle w:val="Text0"/>
        </w:rPr>
        <w:t>count</w:t>
      </w:r>
      <w:r>
        <w:t xml:space="preserve"> and </w:t>
      </w:r>
      <w:r>
        <w:rPr>
          <w:rStyle w:val="Text0"/>
        </w:rPr>
        <w:t>index</w:t>
      </w:r>
      <w:r>
        <w:t xml:space="preserve"> in any case, and, if mutable, then also </w:t>
      </w:r>
      <w:r>
        <w:rPr>
          <w:rStyle w:val="Text0"/>
        </w:rPr>
        <w:t>append</w:t>
      </w:r>
      <w:r>
        <w:t xml:space="preserve">, </w:t>
      </w:r>
      <w:r>
        <w:rPr>
          <w:rStyle w:val="Text0"/>
        </w:rPr>
        <w:t>insert</w:t>
      </w:r>
      <w:r>
        <w:t>,</w:t>
      </w:r>
      <w:r>
        <w:rPr>
          <w:rStyle w:val="Text111"/>
        </w:rPr>
        <w:bookmarkStart w:id="1467" w:name="idm45965264569712"/>
        <w:t/>
        <w:bookmarkEnd w:id="1467"/>
      </w:r>
      <w:r>
        <w:t xml:space="preserve"> </w:t>
      </w:r>
      <w:r>
        <w:rPr>
          <w:rStyle w:val="Text0"/>
        </w:rPr>
        <w:t>extend</w:t>
      </w:r>
      <w:r>
        <w:t xml:space="preserve">, </w:t>
      </w:r>
      <w:r>
        <w:rPr>
          <w:rStyle w:val="Text0"/>
        </w:rPr>
        <w:t>pop</w:t>
      </w:r>
      <w:r>
        <w:t xml:space="preserve">, </w:t>
      </w:r>
      <w:r>
        <w:rPr>
          <w:rStyle w:val="Text0"/>
        </w:rPr>
        <w:t>remove</w:t>
      </w:r>
      <w:r>
        <w:t xml:space="preserve">, </w:t>
      </w:r>
      <w:r>
        <w:rPr>
          <w:rStyle w:val="Text0"/>
        </w:rPr>
        <w:t>reverse</w:t>
      </w:r>
      <w:r>
        <w:t xml:space="preserve">, and </w:t>
      </w:r>
      <w:r>
        <w:rPr>
          <w:rStyle w:val="Text0"/>
        </w:rPr>
        <w:t>sort</w:t>
      </w:r>
      <w:r>
        <w:t xml:space="preserve">, with the same signatures and semantics as the corresponding methods of lists. (Inheriting from the </w:t>
      </w:r>
      <w:r>
        <w:rPr>
          <w:rStyle w:val="Text0"/>
        </w:rPr>
        <w:t>Sequence</w:t>
      </w:r>
      <w:r>
        <w:t xml:space="preserve"> or </w:t>
      </w:r>
      <w:r>
        <w:rPr>
          <w:rStyle w:val="Text0"/>
        </w:rPr>
        <w:t>MutableSequence</w:t>
      </w:r>
      <w:r>
        <w:t xml:space="preserve"> abstract base class does suffice to fulfill these requirements, except for </w:t>
      </w:r>
      <w:r>
        <w:rPr>
          <w:rStyle w:val="Text0"/>
        </w:rPr>
        <w:t>sort</w:t>
      </w:r>
      <w:r>
        <w:t>.)</w:t>
      </w:r>
    </w:p>
    <w:p>
      <w:pPr>
        <w:pStyle w:val="Normal"/>
      </w:pPr>
      <w:r>
        <w:t>An immutable sequence should be hashable if, and only if, all of its items are. A sequence type may constrain its items in some ways (for example, accepting only string items), but that is not mandatory.</w:t>
      </w:r>
    </w:p>
    <w:p>
      <w:bookmarkStart w:id="1468" w:name="Mappings__A_mapping_s_item_acces"/>
      <w:pPr>
        <w:keepNext/>
        <w:pStyle w:val="Heading 2"/>
      </w:pPr>
      <w:r>
        <w:t>Mappings</w:t>
      </w:r>
      <w:bookmarkEnd w:id="1468"/>
    </w:p>
    <w:p>
      <w:pPr>
        <w:pStyle w:val="Normal"/>
      </w:pPr>
      <w:r>
        <w:t>A</w:t>
      </w:r>
      <w:r>
        <w:rPr>
          <w:rStyle w:val="Text111"/>
        </w:rPr>
        <w:bookmarkStart w:id="1469" w:name="idm45965264560480"/>
        <w:t/>
        <w:bookmarkEnd w:id="1469"/>
      </w:r>
      <w:r>
        <w:t xml:space="preserve"> mapping’s item-access special methods should raise a </w:t>
      </w:r>
      <w:r>
        <w:rPr>
          <w:rStyle w:val="Text0"/>
        </w:rPr>
        <w:t>KeyError</w:t>
      </w:r>
      <w:r>
        <w:t xml:space="preserve"> exception, rather than </w:t>
      </w:r>
      <w:r>
        <w:rPr>
          <w:rStyle w:val="Text0"/>
        </w:rPr>
        <w:t>IndexError</w:t>
      </w:r>
      <w:r>
        <w:t xml:space="preserve">, when they receive an invalid </w:t>
      </w:r>
      <w:r>
        <w:rPr>
          <w:rStyle w:val="Text3"/>
        </w:rPr>
        <w:t>key</w:t>
      </w:r>
      <w:r>
        <w:t xml:space="preserve"> argument value of a valid type. Any mapping should define the nonspecial methods covered in </w:t>
      </w:r>
      <w:hyperlink w:anchor="Dictionary_Methods__Dictionary_o">
        <w:r>
          <w:rPr>
            <w:rStyle w:val="Text1"/>
          </w:rPr>
          <w:t>“Dictionary Methods”</w:t>
        </w:r>
      </w:hyperlink>
      <w:r>
        <w:t xml:space="preserve">: </w:t>
      </w:r>
      <w:r>
        <w:rPr>
          <w:rStyle w:val="Text0"/>
        </w:rPr>
        <w:t>copy</w:t>
      </w:r>
      <w:r>
        <w:t xml:space="preserve">, </w:t>
      </w:r>
      <w:r>
        <w:rPr>
          <w:rStyle w:val="Text0"/>
        </w:rPr>
        <w:t>get</w:t>
      </w:r>
      <w:r>
        <w:t xml:space="preserve">, </w:t>
      </w:r>
      <w:r>
        <w:rPr>
          <w:rStyle w:val="Text0"/>
        </w:rPr>
        <w:t>items</w:t>
      </w:r>
      <w:r>
        <w:t xml:space="preserve">, </w:t>
      </w:r>
      <w:r>
        <w:rPr>
          <w:rStyle w:val="Text0"/>
        </w:rPr>
        <w:t>keys</w:t>
      </w:r>
      <w:r>
        <w:t xml:space="preserve">, and </w:t>
      </w:r>
      <w:r>
        <w:rPr>
          <w:rStyle w:val="Text0"/>
        </w:rPr>
        <w:t>values</w:t>
      </w:r>
      <w:r>
        <w:t xml:space="preserve">. A mutable mapping should also define the methods </w:t>
      </w:r>
      <w:r>
        <w:rPr>
          <w:rStyle w:val="Text0"/>
        </w:rPr>
        <w:t>clear</w:t>
      </w:r>
      <w:r>
        <w:t xml:space="preserve">, </w:t>
      </w:r>
      <w:r>
        <w:rPr>
          <w:rStyle w:val="Text0"/>
        </w:rPr>
        <w:t>pop</w:t>
      </w:r>
      <w:r>
        <w:t xml:space="preserve">, </w:t>
      </w:r>
      <w:r>
        <w:rPr>
          <w:rStyle w:val="Text0"/>
        </w:rPr>
        <w:t>popitem</w:t>
      </w:r>
      <w:r>
        <w:t xml:space="preserve">, </w:t>
      </w:r>
      <w:r>
        <w:rPr>
          <w:rStyle w:val="Text0"/>
        </w:rPr>
        <w:t>setdefault</w:t>
      </w:r>
      <w:r>
        <w:t xml:space="preserve">, and </w:t>
      </w:r>
      <w:r>
        <w:rPr>
          <w:rStyle w:val="Text0"/>
        </w:rPr>
        <w:t>update</w:t>
      </w:r>
      <w:r>
        <w:t xml:space="preserve">. (Inheriting from the </w:t>
      </w:r>
      <w:r>
        <w:rPr>
          <w:rStyle w:val="Text0"/>
        </w:rPr>
        <w:t>Mapping</w:t>
      </w:r>
      <w:r>
        <w:t xml:space="preserve"> or </w:t>
      </w:r>
      <w:r>
        <w:rPr>
          <w:rStyle w:val="Text0"/>
        </w:rPr>
        <w:t>MutableMapping</w:t>
      </w:r>
      <w:r>
        <w:t xml:space="preserve"> abstract base class fulfills these requirements, except for </w:t>
      </w:r>
      <w:r>
        <w:rPr>
          <w:rStyle w:val="Text0"/>
        </w:rPr>
        <w:t>copy</w:t>
      </w:r>
      <w:r>
        <w:t>.)</w:t>
      </w:r>
    </w:p>
    <w:p>
      <w:pPr>
        <w:pStyle w:val="Normal"/>
      </w:pPr>
      <w:r>
        <w:t>An immutable mapping should be hashable if all of its items are. A mapping type may constrain its keys in some ways—for example, accepting only hashable keys, or (even more specifically) accepting, say, only string keys—but that is not mandatory. Any mapping should be meaningfully comparable to another mapping of the same type (at least for equality and inequality, although not necessarily for ordering comparisons).</w:t>
      </w:r>
    </w:p>
    <w:p>
      <w:bookmarkStart w:id="1470" w:name="Sets__Sets_are_a_peculiar_kind_o"/>
      <w:pPr>
        <w:keepNext/>
        <w:pStyle w:val="Heading 2"/>
      </w:pPr>
      <w:r>
        <w:t>Sets</w:t>
      </w:r>
      <w:bookmarkEnd w:id="1470"/>
    </w:p>
    <w:p>
      <w:pPr>
        <w:pStyle w:val="Normal"/>
      </w:pPr>
      <w:r>
        <w:t>Sets</w:t>
      </w:r>
      <w:r>
        <w:rPr>
          <w:rStyle w:val="Text111"/>
        </w:rPr>
        <w:bookmarkStart w:id="1471" w:name="idm45965264543792"/>
        <w:t/>
        <w:bookmarkEnd w:id="1471"/>
      </w:r>
      <w:r>
        <w:t xml:space="preserve"> are a peculiar kind of container: they are neither sequences nor mappings and cannot be indexed, but they do have a length (number of elements) and are iterable. Sets also support many operators (</w:t>
      </w:r>
      <w:r>
        <w:rPr>
          <w:rStyle w:val="Text0"/>
        </w:rPr>
        <w:t>&amp;</w:t>
      </w:r>
      <w:r>
        <w:t xml:space="preserve">, </w:t>
      </w:r>
      <w:r>
        <w:rPr>
          <w:rStyle w:val="Text0"/>
        </w:rPr>
        <w:t>|</w:t>
      </w:r>
      <w:r>
        <w:t xml:space="preserve">, </w:t>
      </w:r>
      <w:r>
        <w:rPr>
          <w:rStyle w:val="Text0"/>
        </w:rPr>
        <w:t>^</w:t>
      </w:r>
      <w:r>
        <w:t xml:space="preserve">, and </w:t>
      </w:r>
      <w:r>
        <w:rPr>
          <w:rStyle w:val="Text0"/>
        </w:rPr>
        <w:t>-</w:t>
      </w:r>
      <w:r>
        <w:t>, as well as membership tests and comparisons) and equivalent nonspecial methods (</w:t>
      </w:r>
      <w:r>
        <w:rPr>
          <w:rStyle w:val="Text0"/>
        </w:rPr>
        <w:t>intersection</w:t>
      </w:r>
      <w:r>
        <w:t xml:space="preserve">, </w:t>
      </w:r>
      <w:r>
        <w:rPr>
          <w:rStyle w:val="Text0"/>
        </w:rPr>
        <w:t>union</w:t>
      </w:r>
      <w:r>
        <w:t xml:space="preserve">, and so on). If you implement a set-like container, it should be polymorphic to Python built-in sets, covered in </w:t>
      </w:r>
      <w:hyperlink w:anchor="Sets__Python_has_two_built_in_se">
        <w:r>
          <w:rPr>
            <w:rStyle w:val="Text1"/>
          </w:rPr>
          <w:t>“Sets”</w:t>
        </w:r>
      </w:hyperlink>
      <w:r>
        <w:t xml:space="preserve">. (Inheriting from the </w:t>
      </w:r>
      <w:r>
        <w:rPr>
          <w:rStyle w:val="Text0"/>
        </w:rPr>
        <w:t>Set</w:t>
      </w:r>
      <w:r>
        <w:t xml:space="preserve"> or </w:t>
      </w:r>
      <w:r>
        <w:rPr>
          <w:rStyle w:val="Text0"/>
        </w:rPr>
        <w:t>MutableSet</w:t>
      </w:r>
      <w:r>
        <w:t xml:space="preserve"> abstract base class fulfills these requirements.)</w:t>
      </w:r>
    </w:p>
    <w:p>
      <w:pPr>
        <w:pStyle w:val="Normal"/>
      </w:pPr>
      <w:r>
        <w:t>An immutable set-like type should be hashable if all of its elements are. A set-like type may constrain its elements in some ways—for example, accepting only hashable elements, or (more specifically) accepting, say, only integer elements—but that is not mandatory.</w:t>
      </w:r>
    </w:p>
    <w:p>
      <w:bookmarkStart w:id="1472" w:name="Container_slicing__When_you_refe"/>
      <w:pPr>
        <w:keepNext/>
        <w:pStyle w:val="Heading 2"/>
      </w:pPr>
      <w:r>
        <w:t>Container slicing</w:t>
      </w:r>
      <w:bookmarkEnd w:id="1472"/>
    </w:p>
    <w:p>
      <w:pPr>
        <w:pStyle w:val="Normal"/>
      </w:pPr>
      <w:r>
        <w:t>When</w:t>
      </w:r>
      <w:r>
        <w:rPr>
          <w:rStyle w:val="Text111"/>
        </w:rPr>
        <w:bookmarkStart w:id="1473" w:name="idm45965264532992"/>
        <w:t/>
        <w:bookmarkEnd w:id="1473"/>
      </w:r>
      <w:r>
        <w:t xml:space="preserve"> you reference, bind, or unbind a slicing such as </w:t>
      </w:r>
      <w:r>
        <w:rPr>
          <w:rStyle w:val="Text3"/>
        </w:rPr>
        <w:t>x</w:t>
      </w:r>
      <w:r>
        <w:rPr>
          <w:rStyle w:val="Text0"/>
        </w:rPr>
        <w:t>[</w:t>
      </w:r>
      <w:r>
        <w:rPr>
          <w:rStyle w:val="Text3"/>
        </w:rPr>
        <w:t>i</w:t>
      </w:r>
      <w:r>
        <w:rPr>
          <w:rStyle w:val="Text0"/>
        </w:rPr>
        <w:t>:</w:t>
      </w:r>
      <w:r>
        <w:rPr>
          <w:rStyle w:val="Text3"/>
        </w:rPr>
        <w:t>j</w:t>
      </w:r>
      <w:r>
        <w:rPr>
          <w:rStyle w:val="Text0"/>
        </w:rPr>
        <w:t>]</w:t>
      </w:r>
      <w:r>
        <w:t xml:space="preserve"> or </w:t>
      </w:r>
      <w:r>
        <w:rPr>
          <w:rStyle w:val="Text3"/>
        </w:rPr>
        <w:t>x</w:t>
      </w:r>
      <w:r>
        <w:rPr>
          <w:rStyle w:val="Text0"/>
        </w:rPr>
        <w:t>[</w:t>
      </w:r>
      <w:r>
        <w:rPr>
          <w:rStyle w:val="Text3"/>
        </w:rPr>
        <w:t>i</w:t>
      </w:r>
      <w:r>
        <w:rPr>
          <w:rStyle w:val="Text0"/>
        </w:rPr>
        <w:t>:</w:t>
      </w:r>
      <w:r>
        <w:rPr>
          <w:rStyle w:val="Text3"/>
        </w:rPr>
        <w:t>j</w:t>
      </w:r>
      <w:r>
        <w:rPr>
          <w:rStyle w:val="Text0"/>
        </w:rPr>
        <w:t>:</w:t>
      </w:r>
      <w:r>
        <w:rPr>
          <w:rStyle w:val="Text3"/>
        </w:rPr>
        <w:t>k</w:t>
      </w:r>
      <w:r>
        <w:rPr>
          <w:rStyle w:val="Text0"/>
        </w:rPr>
        <w:t>]</w:t>
      </w:r>
      <w:r>
        <w:t xml:space="preserve"> on a container </w:t>
      </w:r>
      <w:r>
        <w:rPr>
          <w:rStyle w:val="Text3"/>
        </w:rPr>
        <w:t>x</w:t>
      </w:r>
      <w:r>
        <w:t xml:space="preserve"> (in practice, this is only used with sequences), Python calls </w:t>
      </w:r>
      <w:r>
        <w:rPr>
          <w:rStyle w:val="Text3"/>
        </w:rPr>
        <w:t>x</w:t>
      </w:r>
      <w:r>
        <w:t xml:space="preserve">’s applicable item-access special method, passing as </w:t>
      </w:r>
      <w:r>
        <w:rPr>
          <w:rStyle w:val="Text3"/>
        </w:rPr>
        <w:t>key</w:t>
      </w:r>
      <w:r>
        <w:t xml:space="preserve"> an object of a built-in type called a </w:t>
      </w:r>
      <w:r>
        <w:rPr>
          <w:rStyle w:val="Text4"/>
        </w:rPr>
        <w:t>slice object</w:t>
      </w:r>
      <w:r>
        <w:t xml:space="preserve">. A slice object has the attributes </w:t>
      </w:r>
      <w:r>
        <w:rPr>
          <w:rStyle w:val="Text0"/>
        </w:rPr>
        <w:t>start</w:t>
      </w:r>
      <w:r>
        <w:t xml:space="preserve">, </w:t>
      </w:r>
      <w:r>
        <w:rPr>
          <w:rStyle w:val="Text0"/>
        </w:rPr>
        <w:t>stop</w:t>
      </w:r>
      <w:r>
        <w:t xml:space="preserve">, and </w:t>
      </w:r>
      <w:r>
        <w:rPr>
          <w:rStyle w:val="Text0"/>
        </w:rPr>
        <w:t>step</w:t>
      </w:r>
      <w:r>
        <w:t xml:space="preserve">. Each attribute is </w:t>
      </w:r>
      <w:r>
        <w:rPr>
          <w:rStyle w:val="Text5"/>
        </w:rPr>
        <w:t>None</w:t>
      </w:r>
      <w:r>
        <w:t xml:space="preserve"> if you omit the corresponding value in the slice syntax. For example, </w:t>
      </w:r>
      <w:r>
        <w:rPr>
          <w:rStyle w:val="Text5"/>
        </w:rPr>
        <w:t>del</w:t>
      </w:r>
      <w:r>
        <w:t xml:space="preserve"> </w:t>
      </w:r>
      <w:r>
        <w:rPr>
          <w:rStyle w:val="Text3"/>
        </w:rPr>
        <w:t>x</w:t>
      </w:r>
      <w:r>
        <w:rPr>
          <w:rStyle w:val="Text0"/>
        </w:rPr>
        <w:t>[:3]</w:t>
      </w:r>
      <w:r>
        <w:t xml:space="preserve"> calls </w:t>
      </w:r>
      <w:r>
        <w:rPr>
          <w:rStyle w:val="Text3"/>
        </w:rPr>
        <w:t>x</w:t>
      </w:r>
      <w:r>
        <w:rPr>
          <w:rStyle w:val="Text0"/>
        </w:rPr>
        <w:t>.__delitem__(</w:t>
      </w:r>
      <w:r>
        <w:rPr>
          <w:rStyle w:val="Text3"/>
        </w:rPr>
        <w:t>y</w:t>
      </w:r>
      <w:r>
        <w:rPr>
          <w:rStyle w:val="Text0"/>
        </w:rPr>
        <w:t>)</w:t>
      </w:r>
      <w:r>
        <w:t xml:space="preserve">, where </w:t>
      </w:r>
      <w:r>
        <w:rPr>
          <w:rStyle w:val="Text3"/>
        </w:rPr>
        <w:t>y</w:t>
      </w:r>
      <w:r>
        <w:t xml:space="preserve"> is a slice object such that </w:t>
      </w:r>
      <w:r>
        <w:rPr>
          <w:rStyle w:val="Text3"/>
        </w:rPr>
        <w:t>y</w:t>
      </w:r>
      <w:r>
        <w:rPr>
          <w:rStyle w:val="Text0"/>
        </w:rPr>
        <w:t>.stop</w:t>
      </w:r>
      <w:r>
        <w:t xml:space="preserve"> is </w:t>
      </w:r>
      <w:r>
        <w:rPr>
          <w:rStyle w:val="Text0"/>
        </w:rPr>
        <w:t>3</w:t>
      </w:r>
      <w:r>
        <w:t xml:space="preserve">, </w:t>
      </w:r>
      <w:r>
        <w:rPr>
          <w:rStyle w:val="Text3"/>
        </w:rPr>
        <w:t>y</w:t>
      </w:r>
      <w:r>
        <w:rPr>
          <w:rStyle w:val="Text0"/>
        </w:rPr>
        <w:t>.start</w:t>
      </w:r>
      <w:r>
        <w:t xml:space="preserve"> is </w:t>
      </w:r>
      <w:r>
        <w:rPr>
          <w:rStyle w:val="Text5"/>
        </w:rPr>
        <w:t>None</w:t>
      </w:r>
      <w:r>
        <w:t xml:space="preserve">, and </w:t>
      </w:r>
      <w:r>
        <w:rPr>
          <w:rStyle w:val="Text3"/>
        </w:rPr>
        <w:t>y</w:t>
      </w:r>
      <w:r>
        <w:rPr>
          <w:rStyle w:val="Text0"/>
        </w:rPr>
        <w:t>.step</w:t>
      </w:r>
      <w:r>
        <w:t xml:space="preserve"> is </w:t>
      </w:r>
      <w:r>
        <w:rPr>
          <w:rStyle w:val="Text5"/>
        </w:rPr>
        <w:t>None</w:t>
      </w:r>
      <w:r>
        <w:t xml:space="preserve">. It is up to container object </w:t>
      </w:r>
      <w:r>
        <w:rPr>
          <w:rStyle w:val="Text3"/>
        </w:rPr>
        <w:t>x</w:t>
      </w:r>
      <w:r>
        <w:t xml:space="preserve"> to appropriately interpret slice object arguments passed to </w:t>
      </w:r>
      <w:r>
        <w:rPr>
          <w:rStyle w:val="Text3"/>
        </w:rPr>
        <w:t>x</w:t>
      </w:r>
      <w:r>
        <w:t xml:space="preserve">’s special methods. The method </w:t>
      </w:r>
      <w:r>
        <w:rPr>
          <w:rStyle w:val="Text0"/>
        </w:rPr>
        <w:t>indices</w:t>
      </w:r>
      <w:r>
        <w:t xml:space="preserve"> of slice objects can help: call it with your container’s length as its only argument, and it returns a tuple of three nonnegative indices suitable as </w:t>
      </w:r>
      <w:r>
        <w:rPr>
          <w:rStyle w:val="Text0"/>
        </w:rPr>
        <w:t>start</w:t>
      </w:r>
      <w:r>
        <w:t xml:space="preserve">, </w:t>
      </w:r>
      <w:r>
        <w:rPr>
          <w:rStyle w:val="Text0"/>
        </w:rPr>
        <w:t>stop</w:t>
      </w:r>
      <w:r>
        <w:t xml:space="preserve">, and </w:t>
      </w:r>
      <w:r>
        <w:rPr>
          <w:rStyle w:val="Text0"/>
        </w:rPr>
        <w:t>step</w:t>
      </w:r>
      <w:r>
        <w:t xml:space="preserve"> for a loop indexing each item in the slice. For example, a common idiom in a sequence class’s </w:t>
      </w:r>
      <w:r>
        <w:rPr>
          <w:rStyle w:val="Text0"/>
        </w:rPr>
        <w:t>__getitem__</w:t>
      </w:r>
      <w:r>
        <w:t xml:space="preserve"> special method to fully support slicing is:</w:t>
      </w:r>
    </w:p>
    <w:p>
      <w:pPr>
        <w:pStyle w:val="Para 014"/>
      </w:pPr>
      <w:r>
        <w:rPr>
          <w:rStyle w:val="Text116"/>
        </w:rPr>
        <w:t xml:space="preserve"/>
        <w:br w:clear="none"/>
      </w:r>
      <w:r>
        <w:rPr>
          <w:rStyle w:val="Text22"/>
        </w:rPr>
        <w:t xml:space="preserve">def</w:t>
        <w:br w:clear="none"/>
      </w:r>
      <w:r>
        <w:rPr>
          <w:rStyle w:val="Text11"/>
        </w:rPr>
        <w:t xml:space="preserve"> </w:t>
        <w:br w:clear="none"/>
        <w:t xml:space="preserve">__getitem__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index</w:t>
        <w:br w:clear="none"/>
      </w:r>
      <w:r>
        <w:rPr>
          <w:rStyle w:val="Text19"/>
        </w:rPr>
        <w:t xml:space="preserve">)</w:t>
        <w:br w:clear="none"/>
        <w:t xml:space="preserve">:</w:t>
        <w:br w:clear="none"/>
      </w:r>
      <w:r>
        <w:rPr>
          <w:rStyle w:val="Text11"/>
        </w:rPr>
        <w:t xml:space="preserve"/>
        <w:br w:clear="none"/>
        <w:t xml:space="preserve">    </w:t>
        <w:br w:clear="none"/>
      </w:r>
      <w:r>
        <w:t xml:space="preserve"># Recursively special-case slicing</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21"/>
        </w:rPr>
        <w:t xml:space="preserve">isinstance</w:t>
        <w:br w:clear="none"/>
      </w:r>
      <w:r>
        <w:rPr>
          <w:rStyle w:val="Text19"/>
        </w:rPr>
        <w:t xml:space="preserve">(</w:t>
        <w:br w:clear="none"/>
      </w:r>
      <w:r>
        <w:rPr>
          <w:rStyle w:val="Text14"/>
        </w:rPr>
        <w:t xml:space="preserve">index</w:t>
        <w:br w:clear="none"/>
      </w:r>
      <w:r>
        <w:rPr>
          <w:rStyle w:val="Text19"/>
        </w:rPr>
        <w:t xml:space="preserve">,</w:t>
        <w:br w:clear="none"/>
      </w:r>
      <w:r>
        <w:rPr>
          <w:rStyle w:val="Text11"/>
        </w:rPr>
        <w:t xml:space="preserve"> </w:t>
        <w:br w:clear="none"/>
      </w:r>
      <w:r>
        <w:rPr>
          <w:rStyle w:val="Text21"/>
        </w:rPr>
        <w:t xml:space="preserve">slice</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self</w:t>
        <w:br w:clear="none"/>
      </w:r>
      <w:r>
        <w:rPr>
          <w:rStyle w:val="Text28"/>
        </w:rPr>
        <w:t xml:space="preserve">.</w:t>
        <w:br w:clear="none"/>
      </w:r>
      <w:r>
        <w:rPr>
          <w:rStyle w:val="Text11"/>
        </w:rPr>
        <w:t xml:space="preserve">__class__</w:t>
        <w:br w:clear="none"/>
      </w:r>
      <w:r>
        <w:rPr>
          <w:rStyle w:val="Text19"/>
        </w:rPr>
        <w:t xml:space="preserve">(</w:t>
        <w:br w:clear="none"/>
      </w:r>
      <w:r>
        <w:rPr>
          <w:rStyle w:val="Text21"/>
        </w:rPr>
        <w:t xml:space="preserve">self</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rPr>
          <w:rStyle w:val="Text28"/>
        </w:rPr>
        <w:t xml:space="preserve">*</w:t>
        <w:br w:clear="none"/>
      </w:r>
      <w:r>
        <w:rPr>
          <w:rStyle w:val="Text14"/>
        </w:rPr>
        <w:t xml:space="preserve">index</w:t>
        <w:br w:clear="none"/>
      </w:r>
      <w:r>
        <w:rPr>
          <w:rStyle w:val="Text28"/>
        </w:rPr>
        <w:t xml:space="preserve">.</w:t>
        <w:br w:clear="none"/>
      </w:r>
      <w:r>
        <w:rPr>
          <w:rStyle w:val="Text14"/>
        </w:rPr>
        <w:t xml:space="preserve">indices</w:t>
        <w:br w:clear="none"/>
      </w:r>
      <w:r>
        <w:rPr>
          <w:rStyle w:val="Text19"/>
        </w:rPr>
        <w:t xml:space="preserve">(</w:t>
        <w:br w:clear="none"/>
      </w:r>
      <w:r>
        <w:rPr>
          <w:rStyle w:val="Text21"/>
        </w:rPr>
        <w:t xml:space="preserve">len</w:t>
        <w:br w:clear="none"/>
      </w:r>
      <w:r>
        <w:rPr>
          <w:rStyle w:val="Text19"/>
        </w:rPr>
        <w:t xml:space="preserve">(</w:t>
        <w:br w:clear="none"/>
      </w:r>
      <w:r>
        <w:rPr>
          <w:rStyle w:val="Text21"/>
        </w:rPr>
        <w:t xml:space="preserve">self</w:t>
        <w:br w:clear="none"/>
      </w:r>
      <w:r>
        <w:rPr>
          <w:rStyle w:val="Text19"/>
        </w:rPr>
        <w:t xml:space="preserve">)</w:t>
        <w:br w:clear="none"/>
        <w:t xml:space="preserve">)</w:t>
        <w:br w:clear="none"/>
        <w:t xml:space="preserve">)</w:t>
        <w:br w:clear="none"/>
        <w:t xml:space="preserve">)</w:t>
        <w:br w:clear="none"/>
      </w:r>
      <w:r>
        <w:rPr>
          <w:rStyle w:val="Text11"/>
        </w:rPr>
        <w:t xml:space="preserve"/>
        <w:br w:clear="none"/>
        <w:t xml:space="preserve">    </w:t>
        <w:br w:clear="none"/>
      </w:r>
      <w:r>
        <w:t xml:space="preserve"># Check index, and deal with a negative and/or out-of-bounds index</w:t>
        <w:br w:clear="none"/>
      </w:r>
      <w:r>
        <w:rPr>
          <w:rStyle w:val="Text11"/>
        </w:rPr>
        <w:t xml:space="preserve"/>
        <w:br w:clear="none"/>
        <w:t xml:space="preserve">    </w:t>
        <w:br w:clear="none"/>
      </w:r>
      <w:r>
        <w:rPr>
          <w:rStyle w:val="Text14"/>
        </w:rPr>
        <w:t xml:space="preserve">index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operator</w:t>
        <w:br w:clear="none"/>
      </w:r>
      <w:r>
        <w:rPr>
          <w:rStyle w:val="Text28"/>
        </w:rPr>
        <w:t xml:space="preserve">.</w:t>
        <w:br w:clear="none"/>
      </w:r>
      <w:r>
        <w:rPr>
          <w:rStyle w:val="Text14"/>
        </w:rPr>
        <w:t xml:space="preserve">index</w:t>
        <w:br w:clear="none"/>
      </w:r>
      <w:r>
        <w:rPr>
          <w:rStyle w:val="Text19"/>
        </w:rPr>
        <w:t xml:space="preserve">(</w:t>
        <w:br w:clear="none"/>
      </w:r>
      <w:r>
        <w:rPr>
          <w:rStyle w:val="Text14"/>
        </w:rPr>
        <w:t xml:space="preserve">index</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4"/>
        </w:rPr>
        <w:t xml:space="preserve">index</w:t>
        <w:br w:clear="none"/>
      </w:r>
      <w:r>
        <w:rPr>
          <w:rStyle w:val="Text11"/>
        </w:rPr>
        <w:t xml:space="preserve"> </w:t>
        <w:br w:clear="none"/>
      </w:r>
      <w:r>
        <w:rPr>
          <w:rStyle w:val="Text28"/>
        </w:rPr>
        <w:t xml:space="preserve">&lt;</w:t>
        <w:br w:clear="none"/>
      </w:r>
      <w:r>
        <w:rPr>
          <w:rStyle w:val="Text11"/>
        </w:rPr>
        <w:t xml:space="preserve"> </w:t>
        <w:br w:clear="none"/>
      </w:r>
      <w:r>
        <w:rPr>
          <w:rStyle w:val="Text35"/>
        </w:rPr>
        <w:t xml:space="preserve">0</w:t>
        <w:br w:clear="none"/>
      </w:r>
      <w:r>
        <w:rPr>
          <w:rStyle w:val="Text19"/>
        </w:rPr>
        <w:t xml:space="preserve">:</w:t>
        <w:br w:clear="none"/>
      </w:r>
      <w:r>
        <w:rPr>
          <w:rStyle w:val="Text11"/>
        </w:rPr>
        <w:t xml:space="preserve"/>
        <w:br w:clear="none"/>
        <w:t xml:space="preserve">        </w:t>
        <w:br w:clear="none"/>
      </w:r>
      <w:r>
        <w:rPr>
          <w:rStyle w:val="Text14"/>
        </w:rPr>
        <w:t xml:space="preserve">index</w:t>
        <w:br w:clear="none"/>
      </w:r>
      <w:r>
        <w:rPr>
          <w:rStyle w:val="Text11"/>
        </w:rPr>
        <w:t xml:space="preserve"> </w:t>
        <w:br w:clear="none"/>
      </w:r>
      <w:r>
        <w:rPr>
          <w:rStyle w:val="Text28"/>
        </w:rPr>
        <w:t xml:space="preserve">+</w:t>
        <w:br w:clear="none"/>
        <w:t xml:space="preserve">=</w:t>
        <w:br w:clear="none"/>
      </w:r>
      <w:r>
        <w:rPr>
          <w:rStyle w:val="Text11"/>
        </w:rPr>
        <w:t xml:space="preserve"> </w:t>
        <w:br w:clear="none"/>
      </w:r>
      <w:r>
        <w:rPr>
          <w:rStyle w:val="Text21"/>
        </w:rPr>
        <w:t xml:space="preserve">len</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59"/>
        </w:rPr>
        <w:t xml:space="preserve"> </w:t>
        <w:br w:clear="none"/>
      </w:r>
      <w:r>
        <w:rPr>
          <w:rStyle w:val="Text51"/>
        </w:rPr>
        <w:t xml:space="preserve">not</w:t>
        <w:br w:clear="none"/>
      </w:r>
      <w:r>
        <w:rPr>
          <w:rStyle w:val="Text11"/>
        </w:rPr>
        <w:t xml:space="preserve"> </w:t>
        <w:br w:clear="none"/>
      </w:r>
      <w:r>
        <w:rPr>
          <w:rStyle w:val="Text19"/>
        </w:rPr>
        <w:t xml:space="preserve">(</w:t>
        <w:br w:clear="none"/>
      </w:r>
      <w:r>
        <w:rPr>
          <w:rStyle w:val="Text35"/>
        </w:rPr>
        <w:t xml:space="preserve">0</w:t>
        <w:br w:clear="none"/>
      </w:r>
      <w:r>
        <w:rPr>
          <w:rStyle w:val="Text11"/>
        </w:rPr>
        <w:t xml:space="preserve"> </w:t>
        <w:br w:clear="none"/>
      </w:r>
      <w:r>
        <w:rPr>
          <w:rStyle w:val="Text28"/>
        </w:rPr>
        <w:t xml:space="preserve">&lt;</w:t>
        <w:br w:clear="none"/>
        <w:t xml:space="preserve">=</w:t>
        <w:br w:clear="none"/>
      </w:r>
      <w:r>
        <w:rPr>
          <w:rStyle w:val="Text11"/>
        </w:rPr>
        <w:t xml:space="preserve"> </w:t>
        <w:br w:clear="none"/>
      </w:r>
      <w:r>
        <w:rPr>
          <w:rStyle w:val="Text14"/>
        </w:rPr>
        <w:t xml:space="preserve">index</w:t>
        <w:br w:clear="none"/>
      </w:r>
      <w:r>
        <w:rPr>
          <w:rStyle w:val="Text11"/>
        </w:rPr>
        <w:t xml:space="preserve"> </w:t>
        <w:br w:clear="none"/>
      </w:r>
      <w:r>
        <w:rPr>
          <w:rStyle w:val="Text28"/>
        </w:rPr>
        <w:t xml:space="preserve">&lt;</w:t>
        <w:br w:clear="none"/>
      </w:r>
      <w:r>
        <w:rPr>
          <w:rStyle w:val="Text11"/>
        </w:rPr>
        <w:t xml:space="preserve"> </w:t>
        <w:br w:clear="none"/>
      </w:r>
      <w:r>
        <w:rPr>
          <w:rStyle w:val="Text21"/>
        </w:rPr>
        <w:t xml:space="preserve">len</w:t>
        <w:br w:clear="none"/>
      </w:r>
      <w:r>
        <w:rPr>
          <w:rStyle w:val="Text19"/>
        </w:rPr>
        <w:t xml:space="preserve">(</w:t>
        <w:br w:clear="none"/>
      </w:r>
      <w:r>
        <w:rPr>
          <w:rStyle w:val="Text21"/>
        </w:rPr>
        <w:t xml:space="preserve">self</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22"/>
        </w:rPr>
        <w:t xml:space="preserve">raise</w:t>
        <w:br w:clear="none"/>
      </w:r>
      <w:r>
        <w:rPr>
          <w:rStyle w:val="Text59"/>
        </w:rPr>
        <w:t xml:space="preserve"> </w:t>
        <w:br w:clear="none"/>
      </w:r>
      <w:r>
        <w:rPr>
          <w:rStyle w:val="Text89"/>
        </w:rPr>
        <w:t xml:space="preserve">IndexError</w:t>
        <w:br w:clear="none"/>
      </w:r>
      <w:r>
        <w:rPr>
          <w:rStyle w:val="Text11"/>
        </w:rPr>
        <w:t xml:space="preserve"/>
        <w:br w:clear="none"/>
        <w:t xml:space="preserve">    </w:t>
        <w:br w:clear="none"/>
      </w:r>
      <w:r>
        <w:t xml:space="preserve"># Index is now a correct int, within range(len(self))</w:t>
        <w:br w:clear="none"/>
      </w:r>
      <w:r>
        <w:rPr>
          <w:rStyle w:val="Text11"/>
        </w:rPr>
        <w:t xml:space="preserve"/>
        <w:br w:clear="none"/>
      </w:r>
      <w:r>
        <w:rPr>
          <w:rStyle w:val="Text6"/>
        </w:rPr>
        <w:t xml:space="preserve">    </w:t>
        <w:br w:clear="none"/>
      </w:r>
      <w:r>
        <w:t xml:space="preserve"># ...rest of __getitem__, dealing with single-item access...</w:t>
        <w:br w:clear="none"/>
      </w:r>
    </w:p>
    <w:p>
      <w:pPr>
        <w:pStyle w:val="Normal"/>
      </w:pPr>
      <w:r>
        <w:t xml:space="preserve">This idiom uses generator expression (genexp) syntax and assumes that your class’s </w:t>
      </w:r>
      <w:r>
        <w:rPr>
          <w:rStyle w:val="Text0"/>
        </w:rPr>
        <w:t>__init__</w:t>
      </w:r>
      <w:r>
        <w:t xml:space="preserve"> method can be called with an iterable argument to create a suitable new instance of the class.</w:t>
      </w:r>
    </w:p>
    <w:p>
      <w:bookmarkStart w:id="1474" w:name="Container_methods__The_special_m"/>
      <w:pPr>
        <w:keepNext/>
        <w:pStyle w:val="Heading 2"/>
      </w:pPr>
      <w:r>
        <w:t>Container methods</w:t>
      </w:r>
      <w:bookmarkEnd w:id="1474"/>
    </w:p>
    <w:p>
      <w:pPr>
        <w:pStyle w:val="Normal"/>
      </w:pPr>
      <w:r>
        <w:t xml:space="preserve">The special methods </w:t>
      </w:r>
      <w:r>
        <w:rPr>
          <w:rStyle w:val="Text0"/>
        </w:rPr>
        <w:t>__getitem__</w:t>
      </w:r>
      <w:r>
        <w:t xml:space="preserve">, </w:t>
      </w:r>
      <w:r>
        <w:rPr>
          <w:rStyle w:val="Text0"/>
        </w:rPr>
        <w:t>__setitem__</w:t>
      </w:r>
      <w:r>
        <w:t xml:space="preserve">, </w:t>
      </w:r>
      <w:r>
        <w:rPr>
          <w:rStyle w:val="Text0"/>
        </w:rPr>
        <w:t>__delitem__</w:t>
      </w:r>
      <w:r>
        <w:t xml:space="preserve">, </w:t>
      </w:r>
      <w:r>
        <w:rPr>
          <w:rStyle w:val="Text0"/>
        </w:rPr>
        <w:t>__iter__</w:t>
      </w:r>
      <w:r>
        <w:t xml:space="preserve">, </w:t>
      </w:r>
      <w:r>
        <w:rPr>
          <w:rStyle w:val="Text0"/>
        </w:rPr>
        <w:t>__len__</w:t>
      </w:r>
      <w:r>
        <w:t xml:space="preserve">, and </w:t>
      </w:r>
      <w:r>
        <w:rPr>
          <w:rStyle w:val="Text0"/>
        </w:rPr>
        <w:t>__contains__</w:t>
      </w:r>
      <w:r>
        <w:t xml:space="preserve"> expose container functionality (see </w:t>
      </w:r>
      <w:hyperlink w:anchor="Table_4_2__Container_methods">
        <w:r>
          <w:rPr>
            <w:rStyle w:val="Text1"/>
          </w:rPr>
          <w:t>Table 4-2</w:t>
        </w:r>
      </w:hyperlink>
      <w:r>
        <w:t>).</w:t>
      </w:r>
    </w:p>
    <w:tbl>
      <w:tblPr>
        <w:tblW w:type="auto" w:w="0"/>
      </w:tblPr>
      <w:tr>
        <w:tc>
          <w:tcPr>
            <w:tcW w:type="auto" w:w="0"/>
            <w:tcMar>
              <w:left w:type="dxa" w:w="200"/>
              <w:top w:type="dxa" w:w="200"/>
              <w:right w:type="dxa" w:w="200"/>
              <w:bottom w:type="dxa" w:w="200"/>
            </w:tcMar>
          </w:tcPr>
          <w:p>
            <w:bookmarkStart w:id="1475" w:name="Table_4_2__Container_methods"/>
            <w:pPr>
              <w:pStyle w:val="Para 011"/>
            </w:pPr>
            <w:r>
              <w:rPr>
                <w:rStyle w:val="Text117"/>
              </w:rPr>
              <w:t/>
            </w:r>
            <w:r>
              <w:t xml:space="preserve">Table 4-2. </w:t>
              <w:t>Container methods</w:t>
            </w:r>
            <w:bookmarkEnd w:id="1475"/>
          </w:p>
          <w:p>
            <w:pPr>
              <w:pStyle w:val="Para 001"/>
            </w:pPr>
            <w:r>
              <w:t>__contains__</w:t>
            </w:r>
          </w:p>
        </w:tc>
        <w:tc>
          <w:tcPr>
            <w:tcW w:type="auto" w:w="0"/>
            <w:tcMar>
              <w:left w:type="dxa" w:w="200"/>
              <w:top w:type="dxa" w:w="200"/>
              <w:right w:type="dxa" w:w="200"/>
              <w:bottom w:type="dxa" w:w="200"/>
            </w:tcMar>
          </w:tcPr>
          <w:p>
            <w:pPr>
              <w:pStyle w:val="Para 002"/>
            </w:pPr>
            <w:r>
              <w:rPr>
                <w:rStyle w:val="Text0"/>
              </w:rPr>
              <w:t>__contains__(self,</w:t>
            </w:r>
            <w:r>
              <w:t xml:space="preserve"> </w:t>
            </w:r>
            <w:r>
              <w:rPr>
                <w:rStyle w:val="Text3"/>
              </w:rPr>
              <w:t>item</w:t>
            </w:r>
            <w:r>
              <w:rPr>
                <w:rStyle w:val="Text0"/>
              </w:rPr>
              <w:t>)</w:t>
              <w:br w:clear="none"/>
            </w:r>
            <w:r>
              <w:t xml:space="preserve"> The</w:t>
            </w:r>
            <w:r>
              <w:rPr>
                <w:rStyle w:val="Text111"/>
              </w:rPr>
              <w:bookmarkStart w:id="1476" w:name="idm45965264349136"/>
              <w:t/>
              <w:bookmarkEnd w:id="1476"/>
            </w:r>
            <w:r>
              <w:t xml:space="preserve"> Boolean test </w:t>
            </w:r>
            <w:r>
              <w:rPr>
                <w:rStyle w:val="Text3"/>
              </w:rPr>
              <w:t>y</w:t>
            </w:r>
            <w:r>
              <w:t xml:space="preserve"> </w:t>
            </w:r>
            <w:r>
              <w:rPr>
                <w:rStyle w:val="Text5"/>
              </w:rPr>
              <w:t>in</w:t>
            </w:r>
            <w:r>
              <w:t xml:space="preserve"> </w:t>
            </w:r>
            <w:r>
              <w:rPr>
                <w:rStyle w:val="Text3"/>
              </w:rPr>
              <w:t>x</w:t>
            </w:r>
            <w:r>
              <w:t xml:space="preserve"> calls </w:t>
            </w:r>
            <w:r>
              <w:rPr>
                <w:rStyle w:val="Text3"/>
              </w:rPr>
              <w:t>x</w:t>
            </w:r>
            <w:r>
              <w:rPr>
                <w:rStyle w:val="Text0"/>
              </w:rPr>
              <w:t>.__contains__(</w:t>
            </w:r>
            <w:r>
              <w:rPr>
                <w:rStyle w:val="Text3"/>
              </w:rPr>
              <w:t>y</w:t>
            </w:r>
            <w:r>
              <w:rPr>
                <w:rStyle w:val="Text0"/>
              </w:rPr>
              <w:t>)</w:t>
            </w:r>
            <w:r>
              <w:t xml:space="preserve">. When </w:t>
            </w:r>
            <w:r>
              <w:rPr>
                <w:rStyle w:val="Text3"/>
              </w:rPr>
              <w:t>x</w:t>
            </w:r>
            <w:r>
              <w:t xml:space="preserve"> is a sequence, or set-like, </w:t>
            </w:r>
            <w:r>
              <w:rPr>
                <w:rStyle w:val="Text0"/>
              </w:rPr>
              <w:t>__contains__</w:t>
            </w:r>
            <w:r>
              <w:t xml:space="preserve"> should return </w:t>
            </w:r>
            <w:r>
              <w:rPr>
                <w:rStyle w:val="Text5"/>
              </w:rPr>
              <w:t>True</w:t>
            </w:r>
            <w:r>
              <w:t xml:space="preserve"> when </w:t>
            </w:r>
            <w:r>
              <w:rPr>
                <w:rStyle w:val="Text3"/>
              </w:rPr>
              <w:t>y</w:t>
            </w:r>
            <w:r>
              <w:t xml:space="preserve"> equals the value of an item in </w:t>
            </w:r>
            <w:r>
              <w:rPr>
                <w:rStyle w:val="Text3"/>
              </w:rPr>
              <w:t>x</w:t>
            </w:r>
            <w:r>
              <w:t xml:space="preserve">. When </w:t>
            </w:r>
            <w:r>
              <w:rPr>
                <w:rStyle w:val="Text3"/>
              </w:rPr>
              <w:t>x</w:t>
            </w:r>
            <w:r>
              <w:t xml:space="preserve"> is a mapping, </w:t>
            </w:r>
            <w:r>
              <w:rPr>
                <w:rStyle w:val="Text0"/>
              </w:rPr>
              <w:t>__contains__</w:t>
            </w:r>
            <w:r>
              <w:t xml:space="preserve"> should return </w:t>
            </w:r>
            <w:r>
              <w:rPr>
                <w:rStyle w:val="Text5"/>
              </w:rPr>
              <w:t>True</w:t>
            </w:r>
            <w:r>
              <w:t xml:space="preserve"> when </w:t>
            </w:r>
            <w:r>
              <w:rPr>
                <w:rStyle w:val="Text3"/>
              </w:rPr>
              <w:t>y</w:t>
            </w:r>
            <w:r>
              <w:t xml:space="preserve"> equals the value of a key in </w:t>
            </w:r>
            <w:r>
              <w:rPr>
                <w:rStyle w:val="Text3"/>
              </w:rPr>
              <w:t>x</w:t>
            </w:r>
            <w:r>
              <w:t xml:space="preserve">. Otherwise, </w:t>
            </w:r>
            <w:r>
              <w:rPr>
                <w:rStyle w:val="Text0"/>
              </w:rPr>
              <w:t>__contains__</w:t>
            </w:r>
            <w:r>
              <w:t xml:space="preserve"> should return </w:t>
            </w:r>
            <w:r>
              <w:rPr>
                <w:rStyle w:val="Text5"/>
              </w:rPr>
              <w:t>False</w:t>
            </w:r>
            <w:r>
              <w:t xml:space="preserve">. When </w:t>
            </w:r>
            <w:r>
              <w:rPr>
                <w:rStyle w:val="Text0"/>
              </w:rPr>
              <w:t>__contains__</w:t>
            </w:r>
            <w:r>
              <w:t xml:space="preserve"> is absent and </w:t>
            </w:r>
            <w:r>
              <w:rPr>
                <w:rStyle w:val="Text3"/>
              </w:rPr>
              <w:t>x</w:t>
            </w:r>
            <w:r>
              <w:t xml:space="preserve"> is iterable, Python performs </w:t>
            </w:r>
            <w:r>
              <w:rPr>
                <w:rStyle w:val="Text3"/>
              </w:rPr>
              <w:t>y</w:t>
            </w:r>
            <w:r>
              <w:t xml:space="preserve"> </w:t>
            </w:r>
            <w:r>
              <w:rPr>
                <w:rStyle w:val="Text5"/>
              </w:rPr>
              <w:t>in</w:t>
            </w:r>
            <w:r>
              <w:t xml:space="preserve"> </w:t>
            </w:r>
            <w:r>
              <w:rPr>
                <w:rStyle w:val="Text3"/>
              </w:rPr>
              <w:t>x</w:t>
            </w:r>
            <w:r>
              <w:t xml:space="preserve"> as follows, taking time proportional to </w:t>
            </w:r>
            <w:r>
              <w:rPr>
                <w:rStyle w:val="Text0"/>
              </w:rPr>
              <w:t>len(</w:t>
            </w:r>
            <w:r>
              <w:rPr>
                <w:rStyle w:val="Text3"/>
              </w:rPr>
              <w:t>x</w:t>
            </w:r>
            <w:r>
              <w:rPr>
                <w:rStyle w:val="Text0"/>
              </w:rPr>
              <w:t>)</w:t>
            </w:r>
            <w:r>
              <w:t xml:space="preserve">: </w:t>
            </w:r>
          </w:p>
          <w:p>
            <w:pPr>
              <w:pStyle w:val="Para 083"/>
            </w:pPr>
            <w:r>
              <w:rPr>
                <w:rStyle w:val="Text118"/>
              </w:rPr>
              <w:t xml:space="preserve"/>
              <w:br w:clear="none"/>
            </w:r>
            <w:r>
              <w:t xml:space="preserve">for</w:t>
              <w:br w:clear="none"/>
            </w:r>
            <w:r>
              <w:rPr>
                <w:rStyle w:val="Text29"/>
              </w:rPr>
              <w:t xml:space="preserve"> </w:t>
              <w:br w:clear="none"/>
            </w:r>
            <w:r>
              <w:rPr>
                <w:rStyle w:val="Text69"/>
              </w:rPr>
              <w:t xml:space="preserve">z</w:t>
              <w:br w:clear="none"/>
            </w:r>
            <w:r>
              <w:rPr>
                <w:rStyle w:val="Text29"/>
              </w:rPr>
              <w:t xml:space="preserve"> </w:t>
              <w:br w:clear="none"/>
            </w:r>
            <w:r>
              <w:rPr>
                <w:rStyle w:val="Text7"/>
              </w:rPr>
              <w:t xml:space="preserve">in</w:t>
              <w:br w:clear="none"/>
            </w:r>
            <w:r>
              <w:rPr>
                <w:rStyle w:val="Text29"/>
              </w:rPr>
              <w:t xml:space="preserve"> </w:t>
              <w:br w:clear="none"/>
            </w:r>
            <w:r>
              <w:rPr>
                <w:rStyle w:val="Text69"/>
              </w:rPr>
              <w:t xml:space="preserve">x</w:t>
              <w:br w:clear="none"/>
            </w:r>
            <w:r>
              <w:rPr>
                <w:rStyle w:val="Text31"/>
              </w:rPr>
              <w:t xml:space="preserve">:</w:t>
              <w:br w:clear="none"/>
            </w:r>
            <w:r>
              <w:rPr>
                <w:rStyle w:val="Text29"/>
              </w:rPr>
              <w:t xml:space="preserve"/>
              <w:br w:clear="none"/>
              <w:t xml:space="preserve">    </w:t>
              <w:br w:clear="none"/>
            </w:r>
            <w:r>
              <w:t xml:space="preserve">if</w:t>
              <w:br w:clear="none"/>
            </w:r>
            <w:r>
              <w:rPr>
                <w:rStyle w:val="Text29"/>
              </w:rPr>
              <w:t xml:space="preserve"> </w:t>
              <w:br w:clear="none"/>
            </w:r>
            <w:r>
              <w:rPr>
                <w:rStyle w:val="Text69"/>
              </w:rPr>
              <w:t xml:space="preserve">y</w:t>
              <w:br w:clear="none"/>
            </w:r>
            <w:r>
              <w:rPr>
                <w:rStyle w:val="Text63"/>
              </w:rPr>
              <w:t xml:space="preserve">==</w:t>
              <w:br w:clear="none"/>
            </w:r>
            <w:r>
              <w:rPr>
                <w:rStyle w:val="Text69"/>
              </w:rPr>
              <w:t xml:space="preserve">z</w:t>
              <w:br w:clear="none"/>
            </w:r>
            <w:r>
              <w:rPr>
                <w:rStyle w:val="Text31"/>
              </w:rPr>
              <w:t xml:space="preserve">:</w:t>
              <w:br w:clear="none"/>
            </w:r>
            <w:r>
              <w:rPr>
                <w:rStyle w:val="Text29"/>
              </w:rPr>
              <w:t xml:space="preserve"/>
              <w:br w:clear="none"/>
              <w:t xml:space="preserve">        </w:t>
              <w:br w:clear="none"/>
            </w:r>
            <w:r>
              <w:t xml:space="preserve">return</w:t>
              <w:br w:clear="none"/>
            </w:r>
            <w:r>
              <w:rPr>
                <w:rStyle w:val="Text6"/>
              </w:rPr>
              <w:t xml:space="preserve"> </w:t>
              <w:br w:clear="none"/>
            </w:r>
            <w:r>
              <w:t xml:space="preserve">True</w:t>
              <w:br w:clear="none"/>
            </w:r>
            <w:r>
              <w:rPr>
                <w:rStyle w:val="Text29"/>
              </w:rPr>
              <w:t xml:space="preserve"/>
              <w:br w:clear="none"/>
            </w:r>
            <w:r>
              <w:t xml:space="preserve">return</w:t>
              <w:br w:clear="none"/>
            </w:r>
            <w:r>
              <w:rPr>
                <w:rStyle w:val="Text6"/>
              </w:rPr>
              <w:t xml:space="preserve"> </w:t>
              <w:br w:clear="none"/>
            </w:r>
            <w:r>
              <w:t xml:space="preserve">False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__delitem__</w:t>
            </w:r>
          </w:p>
        </w:tc>
        <w:tc>
          <w:tcPr>
            <w:tcW w:type="auto" w:w="0"/>
            <w:shd w:val="clear" w:color="auto" w:fill="EEF2F6"/>
            <w:tcMar>
              <w:left w:type="dxa" w:w="200"/>
              <w:top w:type="dxa" w:w="200"/>
              <w:right w:type="dxa" w:w="200"/>
              <w:bottom w:type="dxa" w:w="200"/>
            </w:tcMar>
          </w:tcPr>
          <w:p>
            <w:pPr>
              <w:pStyle w:val="Para 002"/>
            </w:pPr>
            <w:r>
              <w:rPr>
                <w:rStyle w:val="Text0"/>
              </w:rPr>
              <w:t>__delitem__(self,</w:t>
            </w:r>
            <w:r>
              <w:t xml:space="preserve"> </w:t>
            </w:r>
            <w:r>
              <w:rPr>
                <w:rStyle w:val="Text3"/>
              </w:rPr>
              <w:t>key</w:t>
            </w:r>
            <w:r>
              <w:rPr>
                <w:rStyle w:val="Text0"/>
              </w:rPr>
              <w:t>)</w:t>
              <w:br w:clear="none"/>
            </w:r>
            <w:r>
              <w:t xml:space="preserve"> For</w:t>
            </w:r>
            <w:r>
              <w:rPr>
                <w:rStyle w:val="Text111"/>
              </w:rPr>
              <w:bookmarkStart w:id="1477" w:name="idm45965264300416"/>
              <w:t/>
              <w:bookmarkEnd w:id="1477"/>
            </w:r>
            <w:r>
              <w:t xml:space="preserve"> a request to unbind an item or slice of </w:t>
            </w:r>
            <w:r>
              <w:rPr>
                <w:rStyle w:val="Text3"/>
              </w:rPr>
              <w:t>x</w:t>
            </w:r>
            <w:r>
              <w:t xml:space="preserve"> (typically </w:t>
            </w:r>
            <w:r>
              <w:rPr>
                <w:rStyle w:val="Text5"/>
              </w:rPr>
              <w:t>del</w:t>
            </w:r>
            <w:r>
              <w:t xml:space="preserve"> </w:t>
            </w:r>
            <w:r>
              <w:rPr>
                <w:rStyle w:val="Text3"/>
              </w:rPr>
              <w:t>x</w:t>
            </w:r>
            <w:r>
              <w:rPr>
                <w:rStyle w:val="Text0"/>
              </w:rPr>
              <w:t>[</w:t>
            </w:r>
            <w:r>
              <w:rPr>
                <w:rStyle w:val="Text3"/>
              </w:rPr>
              <w:t>key</w:t>
            </w:r>
            <w:r>
              <w:rPr>
                <w:rStyle w:val="Text0"/>
              </w:rPr>
              <w:t>]</w:t>
            </w:r>
            <w:r>
              <w:t xml:space="preserve">), Python calls </w:t>
            </w:r>
            <w:r>
              <w:rPr>
                <w:rStyle w:val="Text3"/>
              </w:rPr>
              <w:t>x</w:t>
            </w:r>
            <w:r>
              <w:rPr>
                <w:rStyle w:val="Text0"/>
              </w:rPr>
              <w:t>.__delitem__(</w:t>
            </w:r>
            <w:r>
              <w:rPr>
                <w:rStyle w:val="Text3"/>
              </w:rPr>
              <w:t>key</w:t>
            </w:r>
            <w:r>
              <w:rPr>
                <w:rStyle w:val="Text0"/>
              </w:rPr>
              <w:t>)</w:t>
            </w:r>
            <w:r>
              <w:t xml:space="preserve">. A container </w:t>
            </w:r>
            <w:r>
              <w:rPr>
                <w:rStyle w:val="Text3"/>
              </w:rPr>
              <w:t>x</w:t>
            </w:r>
            <w:r>
              <w:t xml:space="preserve"> should have </w:t>
            </w:r>
            <w:r>
              <w:rPr>
                <w:rStyle w:val="Text0"/>
              </w:rPr>
              <w:t>__delitem__</w:t>
            </w:r>
            <w:r>
              <w:t xml:space="preserve"> if </w:t>
            </w:r>
            <w:r>
              <w:rPr>
                <w:rStyle w:val="Text3"/>
              </w:rPr>
              <w:t>x</w:t>
            </w:r>
            <w:r>
              <w:t xml:space="preserve"> is mutable and items (and possibly slices) can be removed.</w:t>
            </w:r>
          </w:p>
        </w:tc>
      </w:tr>
    </w:tbl>
    <w:tbl>
      <w:tblPr>
        <w:tblW w:type="auto" w:w="0"/>
      </w:tblPr>
      <w:tr>
        <w:tc>
          <w:tcPr>
            <w:tcW w:type="auto" w:w="0"/>
            <w:tcMar>
              <w:left w:type="dxa" w:w="200"/>
              <w:top w:type="dxa" w:w="200"/>
              <w:right w:type="dxa" w:w="200"/>
              <w:bottom w:type="dxa" w:w="200"/>
            </w:tcMar>
          </w:tcPr>
          <w:p>
            <w:pPr>
              <w:pStyle w:val="Para 001"/>
            </w:pPr>
            <w:r>
              <w:t>__getitem__</w:t>
            </w:r>
          </w:p>
        </w:tc>
        <w:tc>
          <w:tcPr>
            <w:tcW w:type="auto" w:w="0"/>
            <w:tcMar>
              <w:left w:type="dxa" w:w="200"/>
              <w:top w:type="dxa" w:w="200"/>
              <w:right w:type="dxa" w:w="200"/>
              <w:bottom w:type="dxa" w:w="200"/>
            </w:tcMar>
          </w:tcPr>
          <w:p>
            <w:pPr>
              <w:pStyle w:val="Para 002"/>
            </w:pPr>
            <w:r>
              <w:rPr>
                <w:rStyle w:val="Text0"/>
              </w:rPr>
              <w:t>__getitem__(self,</w:t>
            </w:r>
            <w:r>
              <w:t xml:space="preserve"> </w:t>
            </w:r>
            <w:r>
              <w:rPr>
                <w:rStyle w:val="Text3"/>
              </w:rPr>
              <w:t>key</w:t>
            </w:r>
            <w:r>
              <w:rPr>
                <w:rStyle w:val="Text0"/>
              </w:rPr>
              <w:t>)</w:t>
              <w:br w:clear="none"/>
            </w:r>
            <w:r>
              <w:t xml:space="preserve"> When</w:t>
            </w:r>
            <w:r>
              <w:rPr>
                <w:rStyle w:val="Text111"/>
              </w:rPr>
              <w:bookmarkStart w:id="1478" w:name="idm45965264270768"/>
              <w:t/>
              <w:bookmarkEnd w:id="1478"/>
            </w:r>
            <w:r>
              <w:t xml:space="preserve"> you access </w:t>
            </w:r>
            <w:r>
              <w:rPr>
                <w:rStyle w:val="Text3"/>
              </w:rPr>
              <w:t>x</w:t>
            </w:r>
            <w:r>
              <w:rPr>
                <w:rStyle w:val="Text0"/>
              </w:rPr>
              <w:t>[</w:t>
            </w:r>
            <w:r>
              <w:rPr>
                <w:rStyle w:val="Text3"/>
              </w:rPr>
              <w:t>key</w:t>
            </w:r>
            <w:r>
              <w:rPr>
                <w:rStyle w:val="Text0"/>
              </w:rPr>
              <w:t>]</w:t>
            </w:r>
            <w:r>
              <w:t xml:space="preserve"> (i.e., when you index or slice container </w:t>
            </w:r>
            <w:r>
              <w:rPr>
                <w:rStyle w:val="Text3"/>
              </w:rPr>
              <w:t>x</w:t>
            </w:r>
            <w:r>
              <w:t xml:space="preserve">), Python calls </w:t>
            </w:r>
            <w:r>
              <w:rPr>
                <w:rStyle w:val="Text3"/>
              </w:rPr>
              <w:t>x</w:t>
            </w:r>
            <w:r>
              <w:rPr>
                <w:rStyle w:val="Text0"/>
              </w:rPr>
              <w:t>.__getitem__(</w:t>
            </w:r>
            <w:r>
              <w:rPr>
                <w:rStyle w:val="Text3"/>
              </w:rPr>
              <w:t>key</w:t>
            </w:r>
            <w:r>
              <w:rPr>
                <w:rStyle w:val="Text0"/>
              </w:rPr>
              <w:t>)</w:t>
            </w:r>
            <w:r>
              <w:t xml:space="preserve">. All (non-set-like) containers should have </w:t>
            </w:r>
            <w:r>
              <w:rPr>
                <w:rStyle w:val="Text0"/>
              </w:rPr>
              <w:t>__getitem__</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__iter__</w:t>
            </w:r>
          </w:p>
        </w:tc>
        <w:tc>
          <w:tcPr>
            <w:tcW w:type="auto" w:w="0"/>
            <w:shd w:val="clear" w:color="auto" w:fill="EEF2F6"/>
            <w:tcMar>
              <w:left w:type="dxa" w:w="200"/>
              <w:top w:type="dxa" w:w="200"/>
              <w:right w:type="dxa" w:w="200"/>
              <w:bottom w:type="dxa" w:w="200"/>
            </w:tcMar>
          </w:tcPr>
          <w:p>
            <w:pPr>
              <w:pStyle w:val="Para 002"/>
            </w:pPr>
            <w:r>
              <w:rPr>
                <w:rStyle w:val="Text0"/>
              </w:rPr>
              <w:t>__iter__(self)</w:t>
              <w:br w:clear="none"/>
            </w:r>
            <w:r>
              <w:t xml:space="preserve"> For</w:t>
            </w:r>
            <w:r>
              <w:rPr>
                <w:rStyle w:val="Text111"/>
              </w:rPr>
              <w:bookmarkStart w:id="1479" w:name="idm45965264261264"/>
              <w:t/>
              <w:bookmarkEnd w:id="1479"/>
            </w:r>
            <w:r>
              <w:t xml:space="preserve"> a request to loop on all items of </w:t>
            </w:r>
            <w:r>
              <w:rPr>
                <w:rStyle w:val="Text3"/>
              </w:rPr>
              <w:t>x</w:t>
            </w:r>
            <w:r>
              <w:t xml:space="preserve"> (typically </w:t>
            </w:r>
            <w:r>
              <w:rPr>
                <w:rStyle w:val="Text5"/>
              </w:rPr>
              <w:t>for</w:t>
            </w:r>
            <w:r>
              <w:t xml:space="preserve"> </w:t>
            </w:r>
            <w:r>
              <w:rPr>
                <w:rStyle w:val="Text3"/>
              </w:rPr>
              <w:t>item</w:t>
            </w:r>
            <w:r>
              <w:t xml:space="preserve"> </w:t>
            </w:r>
            <w:r>
              <w:rPr>
                <w:rStyle w:val="Text5"/>
              </w:rPr>
              <w:t>in</w:t>
            </w:r>
            <w:r>
              <w:t xml:space="preserve"> </w:t>
            </w:r>
            <w:r>
              <w:rPr>
                <w:rStyle w:val="Text3"/>
              </w:rPr>
              <w:t>x</w:t>
            </w:r>
            <w:r>
              <w:t xml:space="preserve">), Python calls </w:t>
            </w:r>
            <w:r>
              <w:rPr>
                <w:rStyle w:val="Text3"/>
              </w:rPr>
              <w:t>x</w:t>
            </w:r>
            <w:r>
              <w:rPr>
                <w:rStyle w:val="Text0"/>
              </w:rPr>
              <w:t>.__iter__()</w:t>
            </w:r>
            <w:r>
              <w:t xml:space="preserve"> to get an iterator on </w:t>
            </w:r>
            <w:r>
              <w:rPr>
                <w:rStyle w:val="Text3"/>
              </w:rPr>
              <w:t>x</w:t>
            </w:r>
            <w:r>
              <w:t xml:space="preserve">. The built-in function </w:t>
            </w:r>
            <w:r>
              <w:rPr>
                <w:rStyle w:val="Text0"/>
              </w:rPr>
              <w:t>iter(</w:t>
            </w:r>
            <w:r>
              <w:rPr>
                <w:rStyle w:val="Text3"/>
              </w:rPr>
              <w:t>x</w:t>
            </w:r>
            <w:r>
              <w:rPr>
                <w:rStyle w:val="Text0"/>
              </w:rPr>
              <w:t>)</w:t>
            </w:r>
            <w:r>
              <w:t xml:space="preserve"> also calls </w:t>
            </w:r>
            <w:r>
              <w:rPr>
                <w:rStyle w:val="Text3"/>
              </w:rPr>
              <w:t>x</w:t>
            </w:r>
            <w:r>
              <w:rPr>
                <w:rStyle w:val="Text0"/>
              </w:rPr>
              <w:t>.__iter__()</w:t>
            </w:r>
            <w:r>
              <w:t xml:space="preserve">. When </w:t>
            </w:r>
            <w:r>
              <w:rPr>
                <w:rStyle w:val="Text0"/>
              </w:rPr>
              <w:t>__iter__</w:t>
            </w:r>
            <w:r>
              <w:t xml:space="preserve"> is absent, </w:t>
            </w:r>
            <w:r>
              <w:rPr>
                <w:rStyle w:val="Text0"/>
              </w:rPr>
              <w:t>iter(</w:t>
            </w:r>
            <w:r>
              <w:rPr>
                <w:rStyle w:val="Text3"/>
              </w:rPr>
              <w:t>x</w:t>
            </w:r>
            <w:r>
              <w:rPr>
                <w:rStyle w:val="Text0"/>
              </w:rPr>
              <w:t>)</w:t>
            </w:r>
            <w:r>
              <w:t xml:space="preserve"> synthesizes and returns an iterator object that wraps </w:t>
            </w:r>
            <w:r>
              <w:rPr>
                <w:rStyle w:val="Text3"/>
              </w:rPr>
              <w:t>x</w:t>
            </w:r>
            <w:r>
              <w:t xml:space="preserve"> and yields </w:t>
            </w:r>
            <w:r>
              <w:rPr>
                <w:rStyle w:val="Text3"/>
              </w:rPr>
              <w:t>x</w:t>
            </w:r>
            <w:r>
              <w:rPr>
                <w:rStyle w:val="Text0"/>
              </w:rPr>
              <w:t>[0]</w:t>
            </w:r>
            <w:r>
              <w:t xml:space="preserve">, </w:t>
            </w:r>
            <w:r>
              <w:rPr>
                <w:rStyle w:val="Text3"/>
              </w:rPr>
              <w:t>x</w:t>
            </w:r>
            <w:r>
              <w:rPr>
                <w:rStyle w:val="Text0"/>
              </w:rPr>
              <w:t>[1]</w:t>
            </w:r>
            <w:r>
              <w:t xml:space="preserve">, and so on, until one of these indexings raises an </w:t>
            </w:r>
            <w:r>
              <w:rPr>
                <w:rStyle w:val="Text0"/>
              </w:rPr>
              <w:t>IndexError</w:t>
            </w:r>
            <w:r>
              <w:t xml:space="preserve"> exception to indicate the end of the container. However, it is best to ensure that all of the container classes you code have </w:t>
            </w:r>
            <w:r>
              <w:rPr>
                <w:rStyle w:val="Text0"/>
              </w:rPr>
              <w:t>__iter__</w:t>
            </w:r>
            <w:r>
              <w:t>.</w:t>
            </w:r>
          </w:p>
        </w:tc>
      </w:tr>
    </w:tbl>
    <w:tbl>
      <w:tblPr>
        <w:tblW w:type="auto" w:w="0"/>
      </w:tblPr>
      <w:tr>
        <w:tc>
          <w:tcPr>
            <w:tcW w:type="auto" w:w="0"/>
            <w:tcMar>
              <w:left w:type="dxa" w:w="200"/>
              <w:top w:type="dxa" w:w="200"/>
              <w:right w:type="dxa" w:w="200"/>
              <w:bottom w:type="dxa" w:w="200"/>
            </w:tcMar>
          </w:tcPr>
          <w:p>
            <w:pPr>
              <w:pStyle w:val="Para 001"/>
            </w:pPr>
            <w:r>
              <w:t>__len__</w:t>
            </w:r>
          </w:p>
        </w:tc>
        <w:tc>
          <w:tcPr>
            <w:tcW w:type="auto" w:w="0"/>
            <w:tcMar>
              <w:left w:type="dxa" w:w="200"/>
              <w:top w:type="dxa" w:w="200"/>
              <w:right w:type="dxa" w:w="200"/>
              <w:bottom w:type="dxa" w:w="200"/>
            </w:tcMar>
          </w:tcPr>
          <w:p>
            <w:pPr>
              <w:pStyle w:val="Para 002"/>
            </w:pPr>
            <w:r>
              <w:rPr>
                <w:rStyle w:val="Text0"/>
              </w:rPr>
              <w:t>__len__(self)</w:t>
              <w:br w:clear="none"/>
            </w:r>
            <w:r>
              <w:t xml:space="preserve"> Calling</w:t>
            </w:r>
            <w:r>
              <w:rPr>
                <w:rStyle w:val="Text111"/>
              </w:rPr>
              <w:bookmarkStart w:id="1480" w:name="idm45965264242000"/>
              <w:t/>
              <w:bookmarkEnd w:id="1480"/>
            </w:r>
            <w:r>
              <w:t xml:space="preserve"> </w:t>
            </w:r>
            <w:r>
              <w:rPr>
                <w:rStyle w:val="Text0"/>
              </w:rPr>
              <w:t>len(</w:t>
            </w:r>
            <w:r>
              <w:rPr>
                <w:rStyle w:val="Text3"/>
              </w:rPr>
              <w:t>x</w:t>
            </w:r>
            <w:r>
              <w:rPr>
                <w:rStyle w:val="Text0"/>
              </w:rPr>
              <w:t>)</w:t>
            </w:r>
            <w:r>
              <w:t xml:space="preserve"> calls </w:t>
            </w:r>
            <w:r>
              <w:rPr>
                <w:rStyle w:val="Text3"/>
              </w:rPr>
              <w:t>x</w:t>
            </w:r>
            <w:r>
              <w:rPr>
                <w:rStyle w:val="Text0"/>
              </w:rPr>
              <w:t>.__len__()</w:t>
            </w:r>
            <w:r>
              <w:t xml:space="preserve"> (and so do other built-in functions that need to know how many items are in container </w:t>
            </w:r>
            <w:r>
              <w:rPr>
                <w:rStyle w:val="Text3"/>
              </w:rPr>
              <w:t>x</w:t>
            </w:r>
            <w:r>
              <w:t xml:space="preserve">). </w:t>
            </w:r>
            <w:r>
              <w:rPr>
                <w:rStyle w:val="Text0"/>
              </w:rPr>
              <w:t>__len__</w:t>
            </w:r>
            <w:r>
              <w:t xml:space="preserve"> should return an </w:t>
            </w:r>
            <w:r>
              <w:rPr>
                <w:rStyle w:val="Text0"/>
              </w:rPr>
              <w:t>int</w:t>
            </w:r>
            <w:r>
              <w:t xml:space="preserve">, the number of items in </w:t>
            </w:r>
            <w:r>
              <w:rPr>
                <w:rStyle w:val="Text3"/>
              </w:rPr>
              <w:t>x</w:t>
            </w:r>
            <w:r>
              <w:t xml:space="preserve">. Python also calls </w:t>
            </w:r>
            <w:r>
              <w:rPr>
                <w:rStyle w:val="Text3"/>
              </w:rPr>
              <w:t>x</w:t>
            </w:r>
            <w:r>
              <w:rPr>
                <w:rStyle w:val="Text0"/>
              </w:rPr>
              <w:t>._len__()</w:t>
            </w:r>
            <w:r>
              <w:t xml:space="preserve"> to evaluate </w:t>
            </w:r>
            <w:r>
              <w:rPr>
                <w:rStyle w:val="Text3"/>
              </w:rPr>
              <w:t>x</w:t>
            </w:r>
            <w:r>
              <w:t xml:space="preserve"> in a Boolean context, when </w:t>
            </w:r>
            <w:r>
              <w:rPr>
                <w:rStyle w:val="Text0"/>
              </w:rPr>
              <w:t>__bool__</w:t>
            </w:r>
            <w:r>
              <w:t xml:space="preserve"> is absent; in this case, a container is falsy if and only if the container is empty (i.e., the container’s length is </w:t>
            </w:r>
            <w:r>
              <w:rPr>
                <w:rStyle w:val="Text0"/>
              </w:rPr>
              <w:t>0</w:t>
            </w:r>
            <w:r>
              <w:t xml:space="preserve">). All containers should have </w:t>
            </w:r>
            <w:r>
              <w:rPr>
                <w:rStyle w:val="Text0"/>
              </w:rPr>
              <w:t>__len__</w:t>
            </w:r>
            <w:r>
              <w:t>, unless it’s just too expensive for the container to determine how many items it contains.</w:t>
            </w:r>
          </w:p>
        </w:tc>
      </w:tr>
    </w:tbl>
    <w:tbl>
      <w:tblPr>
        <w:tblW w:type="auto" w:w="0"/>
      </w:tblPr>
      <w:tr>
        <w:tc>
          <w:tcPr>
            <w:tcW w:type="auto" w:w="0"/>
            <w:shd w:val="clear" w:color="auto" w:fill="EEF2F6"/>
            <w:tcMar>
              <w:left w:type="dxa" w:w="200"/>
              <w:top w:type="dxa" w:w="200"/>
              <w:right w:type="dxa" w:w="200"/>
              <w:bottom w:type="dxa" w:w="200"/>
            </w:tcMar>
          </w:tcPr>
          <w:p>
            <w:pPr>
              <w:pStyle w:val="Para 001"/>
            </w:pPr>
            <w:r>
              <w:t>__setitem__</w:t>
            </w:r>
          </w:p>
        </w:tc>
        <w:tc>
          <w:tcPr>
            <w:tcW w:type="auto" w:w="0"/>
            <w:shd w:val="clear" w:color="auto" w:fill="EEF2F6"/>
            <w:tcMar>
              <w:left w:type="dxa" w:w="200"/>
              <w:top w:type="dxa" w:w="200"/>
              <w:right w:type="dxa" w:w="200"/>
              <w:bottom w:type="dxa" w:w="200"/>
            </w:tcMar>
          </w:tcPr>
          <w:p>
            <w:pPr>
              <w:pStyle w:val="Para 002"/>
            </w:pPr>
            <w:r>
              <w:rPr>
                <w:rStyle w:val="Text0"/>
              </w:rPr>
              <w:t>__setitem__(self,</w:t>
            </w:r>
            <w:r>
              <w:t xml:space="preserve"> </w:t>
            </w:r>
            <w:r>
              <w:rPr>
                <w:rStyle w:val="Text3"/>
              </w:rPr>
              <w:t>key, value</w:t>
            </w:r>
            <w:r>
              <w:rPr>
                <w:rStyle w:val="Text0"/>
              </w:rPr>
              <w:t>)</w:t>
              <w:br w:clear="none"/>
            </w:r>
            <w:r>
              <w:t xml:space="preserve"> For</w:t>
            </w:r>
            <w:r>
              <w:rPr>
                <w:rStyle w:val="Text111"/>
              </w:rPr>
              <w:bookmarkStart w:id="1481" w:name="idm45965264226864"/>
              <w:t/>
              <w:bookmarkEnd w:id="1481"/>
            </w:r>
            <w:r>
              <w:t xml:space="preserve"> a request to bind an item or slice of </w:t>
            </w:r>
            <w:r>
              <w:rPr>
                <w:rStyle w:val="Text3"/>
              </w:rPr>
              <w:t>x</w:t>
            </w:r>
            <w:r>
              <w:t xml:space="preserve"> (typically an assignment </w:t>
            </w:r>
            <w:r>
              <w:rPr>
                <w:rStyle w:val="Text3"/>
              </w:rPr>
              <w:t>x</w:t>
            </w:r>
            <w:r>
              <w:rPr>
                <w:rStyle w:val="Text0"/>
              </w:rPr>
              <w:t>[</w:t>
            </w:r>
            <w:r>
              <w:rPr>
                <w:rStyle w:val="Text3"/>
              </w:rPr>
              <w:t>key</w:t>
            </w:r>
            <w:r>
              <w:rPr>
                <w:rStyle w:val="Text0"/>
              </w:rPr>
              <w:t>]=</w:t>
            </w:r>
            <w:r>
              <w:rPr>
                <w:rStyle w:val="Text3"/>
              </w:rPr>
              <w:t>value</w:t>
            </w:r>
            <w:r>
              <w:t xml:space="preserve">), Python calls </w:t>
            </w:r>
            <w:r>
              <w:rPr>
                <w:rStyle w:val="Text3"/>
              </w:rPr>
              <w:t>x</w:t>
            </w:r>
            <w:r>
              <w:rPr>
                <w:rStyle w:val="Text0"/>
              </w:rPr>
              <w:t>.__setitem__(</w:t>
            </w:r>
            <w:r>
              <w:rPr>
                <w:rStyle w:val="Text3"/>
              </w:rPr>
              <w:t>key, value</w:t>
            </w:r>
            <w:r>
              <w:rPr>
                <w:rStyle w:val="Text0"/>
              </w:rPr>
              <w:t>)</w:t>
            </w:r>
            <w:r>
              <w:t xml:space="preserve">. A container </w:t>
            </w:r>
            <w:r>
              <w:rPr>
                <w:rStyle w:val="Text3"/>
              </w:rPr>
              <w:t>x</w:t>
            </w:r>
            <w:r>
              <w:t xml:space="preserve"> should have </w:t>
            </w:r>
            <w:r>
              <w:rPr>
                <w:rStyle w:val="Text0"/>
              </w:rPr>
              <w:t>__setitem__</w:t>
            </w:r>
            <w:r>
              <w:t xml:space="preserve"> if </w:t>
            </w:r>
            <w:r>
              <w:rPr>
                <w:rStyle w:val="Text3"/>
              </w:rPr>
              <w:t>x</w:t>
            </w:r>
            <w:r>
              <w:t xml:space="preserve"> is mutable, so items, and maybe slices, can be added or rebound.</w:t>
            </w:r>
            <w:r>
              <w:rPr>
                <w:rStyle w:val="Text111"/>
              </w:rPr>
              <w:bookmarkStart w:id="1482" w:name="idm45965264218784"/>
              <w:t/>
              <w:bookmarkEnd w:id="1482"/>
            </w:r>
          </w:p>
        </w:tc>
      </w:tr>
    </w:tbl>
    <w:p>
      <w:bookmarkStart w:id="1483" w:name="Abstract_Base_Classes__Abstract"/>
      <w:pPr>
        <w:keepNext/>
        <w:pStyle w:val="Heading 2"/>
      </w:pPr>
      <w:r>
        <w:t>Abstract Base Classes</w:t>
      </w:r>
      <w:bookmarkEnd w:id="1483"/>
    </w:p>
    <w:p>
      <w:pPr>
        <w:pStyle w:val="Normal"/>
      </w:pPr>
      <w:r>
        <w:t>Abstract base classes (ABCs)</w:t>
      </w:r>
      <w:r>
        <w:rPr>
          <w:rStyle w:val="Text111"/>
        </w:rPr>
        <w:bookmarkStart w:id="1484" w:name="idm45965264215472"/>
        <w:t/>
        <w:bookmarkEnd w:id="1484"/>
        <w:bookmarkStart w:id="1485" w:name="abc04"/>
        <w:t/>
        <w:bookmarkEnd w:id="1485"/>
      </w:r>
      <w:r>
        <w:t xml:space="preserve"> are an important pattern in object-oriented design: they’re classes that cannot be directly instantiated, but exist to be extended by concrete classes (the more usual kind of classes, ones that </w:t>
      </w:r>
      <w:r>
        <w:rPr>
          <w:rStyle w:val="Text4"/>
        </w:rPr>
        <w:t>can</w:t>
      </w:r>
      <w:r>
        <w:t xml:space="preserve"> be instantiated).</w:t>
      </w:r>
    </w:p>
    <w:p>
      <w:pPr>
        <w:pStyle w:val="Normal"/>
      </w:pPr>
      <w:r>
        <w:t>One recommended approach to OO design (attributed to Arthur J. Riel) is to never extend a</w:t>
      </w:r>
      <w:r>
        <w:rPr>
          <w:rStyle w:val="Text111"/>
        </w:rPr>
        <w:bookmarkStart w:id="1486" w:name="idm45965264211584"/>
        <w:t/>
        <w:bookmarkEnd w:id="1486"/>
      </w:r>
      <w:r>
        <w:t xml:space="preserve"> concrete class.</w:t>
      </w:r>
      <w:hyperlink w:anchor="11_See__for_example___Avoid_Exte">
        <w:r>
          <w:rPr>
            <w:rStyle w:val="Text41"/>
          </w:rPr>
          <w:bookmarkStart w:id="1487" w:name="11_2"/>
          <w:t>11</w:t>
          <w:bookmarkEnd w:id="1487"/>
        </w:r>
      </w:hyperlink>
      <w:r>
        <w:t xml:space="preserve"> If two concrete classes have enough in common to tempt you to have one of them inherit from the other, proceed instead by making an </w:t>
      </w:r>
      <w:r>
        <w:rPr>
          <w:rStyle w:val="Text4"/>
        </w:rPr>
        <w:t>abstract</w:t>
      </w:r>
      <w:r>
        <w:t xml:space="preserve"> base class that subsumes all they have in common, and have each concrete class extend that ABC. This approach avoids many of the subtle traps and pitfalls of inheritance.</w:t>
      </w:r>
    </w:p>
    <w:p>
      <w:pPr>
        <w:pStyle w:val="Normal"/>
      </w:pPr>
      <w:r>
        <w:t>Python offers rich support for ABCs—enough to make them a first-class part of Python’s object model.</w:t>
      </w:r>
      <w:hyperlink w:anchor="12_For_a_related_concept_focused">
        <w:r>
          <w:rPr>
            <w:rStyle w:val="Text41"/>
          </w:rPr>
          <w:bookmarkStart w:id="1488" w:name="12_1"/>
          <w:t>12</w:t>
          <w:bookmarkEnd w:id="1488"/>
        </w:r>
      </w:hyperlink>
    </w:p>
    <w:p>
      <w:bookmarkStart w:id="1489" w:name="The_abc_module__The_standard_lib"/>
      <w:pPr>
        <w:keepNext/>
        <w:pStyle w:val="Heading 2"/>
      </w:pPr>
      <w:r>
        <w:t>The abc module</w:t>
      </w:r>
      <w:bookmarkEnd w:id="1489"/>
    </w:p>
    <w:p>
      <w:pPr>
        <w:pStyle w:val="Normal"/>
      </w:pPr>
      <w:r>
        <w:t>The</w:t>
      </w:r>
      <w:r>
        <w:rPr>
          <w:rStyle w:val="Text111"/>
        </w:rPr>
        <w:bookmarkStart w:id="1490" w:name="idm45965264203008"/>
        <w:t/>
        <w:bookmarkEnd w:id="1490"/>
        <w:bookmarkStart w:id="1491" w:name="idm45965264201872"/>
        <w:t/>
        <w:bookmarkEnd w:id="1491"/>
      </w:r>
      <w:r>
        <w:t xml:space="preserve"> standard library module </w:t>
      </w:r>
      <w:r>
        <w:rPr>
          <w:rStyle w:val="Text0"/>
        </w:rPr>
        <w:t>abc</w:t>
      </w:r>
      <w:r>
        <w:t xml:space="preserve"> supplies metaclass </w:t>
      </w:r>
      <w:r>
        <w:rPr>
          <w:rStyle w:val="Text0"/>
        </w:rPr>
        <w:t>ABCMeta</w:t>
      </w:r>
      <w:r>
        <w:t xml:space="preserve"> and class </w:t>
      </w:r>
      <w:r>
        <w:rPr>
          <w:rStyle w:val="Text0"/>
        </w:rPr>
        <w:t>ABC</w:t>
      </w:r>
      <w:r>
        <w:t xml:space="preserve"> (subclassing </w:t>
      </w:r>
      <w:r>
        <w:rPr>
          <w:rStyle w:val="Text0"/>
        </w:rPr>
        <w:t>abc.ABC</w:t>
      </w:r>
      <w:r>
        <w:t xml:space="preserve"> makes </w:t>
      </w:r>
      <w:r>
        <w:rPr>
          <w:rStyle w:val="Text0"/>
        </w:rPr>
        <w:t>abc.ABCMeta</w:t>
      </w:r>
      <w:r>
        <w:t xml:space="preserve"> the metaclass, and has no other effect).</w:t>
      </w:r>
    </w:p>
    <w:p>
      <w:pPr>
        <w:pStyle w:val="Normal"/>
      </w:pPr>
      <w:r>
        <w:t xml:space="preserve">When you use </w:t>
      </w:r>
      <w:r>
        <w:rPr>
          <w:rStyle w:val="Text0"/>
        </w:rPr>
        <w:t>abc.ABCMeta</w:t>
      </w:r>
      <w:r>
        <w:t xml:space="preserve"> as the metaclass for any class </w:t>
      </w:r>
      <w:r>
        <w:rPr>
          <w:rStyle w:val="Text3"/>
        </w:rPr>
        <w:t>C</w:t>
      </w:r>
      <w:r>
        <w:t xml:space="preserve">, this makes </w:t>
      </w:r>
      <w:r>
        <w:rPr>
          <w:rStyle w:val="Text3"/>
        </w:rPr>
        <w:t>C</w:t>
      </w:r>
      <w:r>
        <w:t xml:space="preserve"> an ABC and supplies the class method </w:t>
      </w:r>
      <w:r>
        <w:rPr>
          <w:rStyle w:val="Text3"/>
        </w:rPr>
        <w:t>C</w:t>
      </w:r>
      <w:r>
        <w:rPr>
          <w:rStyle w:val="Text0"/>
        </w:rPr>
        <w:t>.register</w:t>
      </w:r>
      <w:r>
        <w:t xml:space="preserve">, callable with a single argument: that single argument can be any existing class (or built-in type) </w:t>
      </w:r>
      <w:r>
        <w:rPr>
          <w:rStyle w:val="Text3"/>
        </w:rPr>
        <w:t>X</w:t>
      </w:r>
      <w:r>
        <w:t>.</w:t>
      </w:r>
    </w:p>
    <w:p>
      <w:pPr>
        <w:pStyle w:val="Normal"/>
      </w:pPr>
      <w:r>
        <w:t xml:space="preserve">Calling </w:t>
      </w:r>
      <w:r>
        <w:rPr>
          <w:rStyle w:val="Text3"/>
        </w:rPr>
        <w:t>C</w:t>
      </w:r>
      <w:r>
        <w:rPr>
          <w:rStyle w:val="Text0"/>
        </w:rPr>
        <w:t>.register(</w:t>
      </w:r>
      <w:r>
        <w:rPr>
          <w:rStyle w:val="Text3"/>
        </w:rPr>
        <w:t>X</w:t>
      </w:r>
      <w:r>
        <w:rPr>
          <w:rStyle w:val="Text0"/>
        </w:rPr>
        <w:t>)</w:t>
      </w:r>
      <w:r>
        <w:t xml:space="preserve"> makes </w:t>
      </w:r>
      <w:r>
        <w:rPr>
          <w:rStyle w:val="Text3"/>
        </w:rPr>
        <w:t>X</w:t>
      </w:r>
      <w:r>
        <w:t xml:space="preserve"> a</w:t>
      </w:r>
      <w:r>
        <w:rPr>
          <w:rStyle w:val="Text111"/>
        </w:rPr>
        <w:bookmarkStart w:id="1492" w:name="idm45965264188144"/>
        <w:t/>
        <w:bookmarkEnd w:id="1492"/>
      </w:r>
      <w:r>
        <w:t xml:space="preserve"> </w:t>
      </w:r>
      <w:r>
        <w:rPr>
          <w:rStyle w:val="Text4"/>
        </w:rPr>
        <w:t>virtual</w:t>
      </w:r>
      <w:r>
        <w:t xml:space="preserve"> subclass of </w:t>
      </w:r>
      <w:r>
        <w:rPr>
          <w:rStyle w:val="Text3"/>
        </w:rPr>
        <w:t>C</w:t>
      </w:r>
      <w:r>
        <w:t xml:space="preserve">, meaning that </w:t>
      </w:r>
      <w:r>
        <w:rPr>
          <w:rStyle w:val="Text0"/>
        </w:rPr>
        <w:t>issubclass(</w:t>
      </w:r>
      <w:r>
        <w:rPr>
          <w:rStyle w:val="Text3"/>
        </w:rPr>
        <w:t>X,</w:t>
      </w:r>
      <w:r>
        <w:t xml:space="preserve"> </w:t>
      </w:r>
      <w:r>
        <w:rPr>
          <w:rStyle w:val="Text3"/>
        </w:rPr>
        <w:t>C</w:t>
      </w:r>
      <w:r>
        <w:rPr>
          <w:rStyle w:val="Text0"/>
        </w:rPr>
        <w:t>)</w:t>
      </w:r>
      <w:r>
        <w:t xml:space="preserve"> returns </w:t>
      </w:r>
      <w:r>
        <w:rPr>
          <w:rStyle w:val="Text5"/>
        </w:rPr>
        <w:t>True</w:t>
      </w:r>
      <w:r>
        <w:t xml:space="preserve">, but </w:t>
      </w:r>
      <w:r>
        <w:rPr>
          <w:rStyle w:val="Text3"/>
        </w:rPr>
        <w:t>C</w:t>
      </w:r>
      <w:r>
        <w:t xml:space="preserve"> does not appear in </w:t>
      </w:r>
      <w:r>
        <w:rPr>
          <w:rStyle w:val="Text3"/>
        </w:rPr>
        <w:t>X</w:t>
      </w:r>
      <w:r>
        <w:rPr>
          <w:rStyle w:val="Text0"/>
        </w:rPr>
        <w:t>.__mro__</w:t>
      </w:r>
      <w:r>
        <w:t xml:space="preserve">, nor does </w:t>
      </w:r>
      <w:r>
        <w:rPr>
          <w:rStyle w:val="Text3"/>
        </w:rPr>
        <w:t>X</w:t>
      </w:r>
      <w:r>
        <w:t xml:space="preserve"> inherit any of </w:t>
      </w:r>
      <w:r>
        <w:rPr>
          <w:rStyle w:val="Text3"/>
        </w:rPr>
        <w:t>C</w:t>
      </w:r>
      <w:r>
        <w:t>’s methods or other attributes.</w:t>
      </w:r>
    </w:p>
    <w:p>
      <w:pPr>
        <w:pStyle w:val="Normal"/>
      </w:pPr>
      <w:r>
        <w:t xml:space="preserve">Of course, it’s also possible to have a new class </w:t>
      </w:r>
      <w:r>
        <w:rPr>
          <w:rStyle w:val="Text3"/>
        </w:rPr>
        <w:t>Y</w:t>
      </w:r>
      <w:r>
        <w:t xml:space="preserve"> inherit from </w:t>
      </w:r>
      <w:r>
        <w:rPr>
          <w:rStyle w:val="Text3"/>
        </w:rPr>
        <w:t>C</w:t>
      </w:r>
      <w:r>
        <w:t xml:space="preserve"> in the normal way, in which case </w:t>
      </w:r>
      <w:r>
        <w:rPr>
          <w:rStyle w:val="Text3"/>
        </w:rPr>
        <w:t>C</w:t>
      </w:r>
      <w:r>
        <w:t xml:space="preserve"> does appear in </w:t>
      </w:r>
      <w:r>
        <w:rPr>
          <w:rStyle w:val="Text3"/>
        </w:rPr>
        <w:t>Y</w:t>
      </w:r>
      <w:r>
        <w:t>.</w:t>
      </w:r>
      <w:r>
        <w:rPr>
          <w:rStyle w:val="Text0"/>
        </w:rPr>
        <w:t>__mro__</w:t>
      </w:r>
      <w:r>
        <w:t xml:space="preserve">, and </w:t>
      </w:r>
      <w:r>
        <w:rPr>
          <w:rStyle w:val="Text3"/>
        </w:rPr>
        <w:t>Y</w:t>
      </w:r>
      <w:r>
        <w:t xml:space="preserve"> inherits all of </w:t>
      </w:r>
      <w:r>
        <w:rPr>
          <w:rStyle w:val="Text3"/>
        </w:rPr>
        <w:t>C</w:t>
      </w:r>
      <w:r>
        <w:t>’s methods, as usual in subclassing.</w:t>
      </w:r>
    </w:p>
    <w:p>
      <w:pPr>
        <w:pStyle w:val="Normal"/>
      </w:pPr>
      <w:r>
        <w:t xml:space="preserve">An ABC </w:t>
      </w:r>
      <w:r>
        <w:rPr>
          <w:rStyle w:val="Text3"/>
        </w:rPr>
        <w:t>C</w:t>
      </w:r>
      <w:r>
        <w:t xml:space="preserve"> can also optionally override class method </w:t>
      </w:r>
      <w:r>
        <w:rPr>
          <w:rStyle w:val="Text0"/>
        </w:rPr>
        <w:t>__subclasshook__</w:t>
      </w:r>
      <w:r>
        <w:t xml:space="preserve">, which </w:t>
      </w:r>
      <w:r>
        <w:rPr>
          <w:rStyle w:val="Text0"/>
        </w:rPr>
        <w:t>issubclass(</w:t>
      </w:r>
      <w:r>
        <w:rPr>
          <w:rStyle w:val="Text3"/>
        </w:rPr>
        <w:t>X, C</w:t>
      </w:r>
      <w:r>
        <w:rPr>
          <w:rStyle w:val="Text0"/>
        </w:rPr>
        <w:t>)</w:t>
      </w:r>
      <w:r>
        <w:t xml:space="preserve"> calls with the single argument </w:t>
      </w:r>
      <w:r>
        <w:rPr>
          <w:rStyle w:val="Text3"/>
        </w:rPr>
        <w:t>X</w:t>
      </w:r>
      <w:r>
        <w:t xml:space="preserve"> (</w:t>
      </w:r>
      <w:r>
        <w:rPr>
          <w:rStyle w:val="Text3"/>
        </w:rPr>
        <w:t>X</w:t>
      </w:r>
      <w:r>
        <w:t xml:space="preserve"> being any class or type). When </w:t>
      </w:r>
      <w:r>
        <w:rPr>
          <w:rStyle w:val="Text3"/>
        </w:rPr>
        <w:t>C</w:t>
      </w:r>
      <w:r>
        <w:rPr>
          <w:rStyle w:val="Text0"/>
        </w:rPr>
        <w:t>.__subclasshook__(</w:t>
      </w:r>
      <w:r>
        <w:rPr>
          <w:rStyle w:val="Text3"/>
        </w:rPr>
        <w:t>X</w:t>
      </w:r>
      <w:r>
        <w:rPr>
          <w:rStyle w:val="Text0"/>
        </w:rPr>
        <w:t>)</w:t>
      </w:r>
      <w:r>
        <w:t xml:space="preserve"> returns </w:t>
      </w:r>
      <w:r>
        <w:rPr>
          <w:rStyle w:val="Text5"/>
        </w:rPr>
        <w:t>True</w:t>
      </w:r>
      <w:r>
        <w:t xml:space="preserve">, then so does </w:t>
      </w:r>
      <w:r>
        <w:rPr>
          <w:rStyle w:val="Text0"/>
        </w:rPr>
        <w:t>issubclass(</w:t>
      </w:r>
      <w:r>
        <w:rPr>
          <w:rStyle w:val="Text3"/>
        </w:rPr>
        <w:t>X, C</w:t>
      </w:r>
      <w:r>
        <w:rPr>
          <w:rStyle w:val="Text0"/>
        </w:rPr>
        <w:t>)</w:t>
      </w:r>
      <w:r>
        <w:t xml:space="preserve">; when </w:t>
      </w:r>
      <w:r>
        <w:rPr>
          <w:rStyle w:val="Text3"/>
        </w:rPr>
        <w:t>C</w:t>
      </w:r>
      <w:r>
        <w:rPr>
          <w:rStyle w:val="Text0"/>
        </w:rPr>
        <w:t>.__subclasshook__(</w:t>
      </w:r>
      <w:r>
        <w:rPr>
          <w:rStyle w:val="Text3"/>
        </w:rPr>
        <w:t>X</w:t>
      </w:r>
      <w:r>
        <w:rPr>
          <w:rStyle w:val="Text0"/>
        </w:rPr>
        <w:t>)</w:t>
      </w:r>
      <w:r>
        <w:t xml:space="preserve"> returns </w:t>
      </w:r>
      <w:r>
        <w:rPr>
          <w:rStyle w:val="Text5"/>
        </w:rPr>
        <w:t>False</w:t>
      </w:r>
      <w:r>
        <w:t xml:space="preserve">, then so does </w:t>
      </w:r>
      <w:r>
        <w:rPr>
          <w:rStyle w:val="Text0"/>
        </w:rPr>
        <w:t>issubclass(</w:t>
      </w:r>
      <w:r>
        <w:rPr>
          <w:rStyle w:val="Text3"/>
        </w:rPr>
        <w:t>X, C</w:t>
      </w:r>
      <w:r>
        <w:rPr>
          <w:rStyle w:val="Text0"/>
        </w:rPr>
        <w:t>)</w:t>
      </w:r>
      <w:r>
        <w:t xml:space="preserve">. When </w:t>
      </w:r>
      <w:r>
        <w:rPr>
          <w:rStyle w:val="Text3"/>
        </w:rPr>
        <w:t>C</w:t>
      </w:r>
      <w:r>
        <w:rPr>
          <w:rStyle w:val="Text0"/>
        </w:rPr>
        <w:t>.__subclasshook__(</w:t>
      </w:r>
      <w:r>
        <w:rPr>
          <w:rStyle w:val="Text3"/>
        </w:rPr>
        <w:t>X</w:t>
      </w:r>
      <w:r>
        <w:rPr>
          <w:rStyle w:val="Text0"/>
        </w:rPr>
        <w:t>)</w:t>
      </w:r>
      <w:r>
        <w:t xml:space="preserve"> returns</w:t>
      </w:r>
      <w:r>
        <w:rPr>
          <w:rStyle w:val="Text111"/>
        </w:rPr>
        <w:bookmarkStart w:id="1493" w:name="idm45965281857840"/>
        <w:t/>
        <w:bookmarkEnd w:id="1493"/>
      </w:r>
      <w:r>
        <w:t xml:space="preserve"> </w:t>
      </w:r>
      <w:r>
        <w:rPr>
          <w:rStyle w:val="Text0"/>
        </w:rPr>
        <w:t>NotImplemented</w:t>
      </w:r>
      <w:r>
        <w:t xml:space="preserve">, then </w:t>
      </w:r>
      <w:r>
        <w:rPr>
          <w:rStyle w:val="Text0"/>
        </w:rPr>
        <w:t>issubclass(</w:t>
      </w:r>
      <w:r>
        <w:rPr>
          <w:rStyle w:val="Text3"/>
        </w:rPr>
        <w:t>X, C</w:t>
      </w:r>
      <w:r>
        <w:rPr>
          <w:rStyle w:val="Text0"/>
        </w:rPr>
        <w:t>)</w:t>
      </w:r>
      <w:r>
        <w:t xml:space="preserve"> proceeds in the usual way.</w:t>
      </w:r>
    </w:p>
    <w:p>
      <w:pPr>
        <w:pStyle w:val="Normal"/>
      </w:pPr>
      <w:r>
        <w:t xml:space="preserve">The </w:t>
      </w:r>
      <w:r>
        <w:rPr>
          <w:rStyle w:val="Text0"/>
        </w:rPr>
        <w:t>abc</w:t>
      </w:r>
      <w:r>
        <w:t xml:space="preserve"> module also supplies the decorator </w:t>
      </w:r>
      <w:r>
        <w:rPr>
          <w:rStyle w:val="Text0"/>
        </w:rPr>
        <w:t>abstractmethod</w:t>
      </w:r>
      <w:r>
        <w:t xml:space="preserve"> to designate methods that must be implemented in inheriting classes. You can define a property as abstract by using both the </w:t>
      </w:r>
      <w:r>
        <w:rPr>
          <w:rStyle w:val="Text0"/>
        </w:rPr>
        <w:t>property</w:t>
      </w:r>
      <w:r>
        <w:t xml:space="preserve"> and </w:t>
      </w:r>
      <w:r>
        <w:rPr>
          <w:rStyle w:val="Text0"/>
        </w:rPr>
        <w:t>abstractmethod</w:t>
      </w:r>
      <w:r>
        <w:t xml:space="preserve"> decorators, in that order.</w:t>
      </w:r>
      <w:hyperlink w:anchor="13_The_abc_module_does_include_t">
        <w:r>
          <w:rPr>
            <w:rStyle w:val="Text41"/>
          </w:rPr>
          <w:bookmarkStart w:id="1494" w:name="13_1"/>
          <w:t>13</w:t>
          <w:bookmarkEnd w:id="1494"/>
        </w:r>
      </w:hyperlink>
      <w:r>
        <w:t xml:space="preserve"> Abstract methods and properties can have implementations (available to subclasses via the </w:t>
      </w:r>
      <w:r>
        <w:rPr>
          <w:rStyle w:val="Text0"/>
        </w:rPr>
        <w:t>super</w:t>
      </w:r>
      <w:r>
        <w:t xml:space="preserve"> built-in), but the point of making methods and properties abstract is that you can instantiate a nonvirtual subclass </w:t>
      </w:r>
      <w:r>
        <w:rPr>
          <w:rStyle w:val="Text3"/>
        </w:rPr>
        <w:t>X</w:t>
      </w:r>
      <w:r>
        <w:t xml:space="preserve"> of an ABC </w:t>
      </w:r>
      <w:r>
        <w:rPr>
          <w:rStyle w:val="Text3"/>
        </w:rPr>
        <w:t>C</w:t>
      </w:r>
      <w:r>
        <w:t xml:space="preserve"> only if </w:t>
      </w:r>
      <w:r>
        <w:rPr>
          <w:rStyle w:val="Text3"/>
        </w:rPr>
        <w:t>X</w:t>
      </w:r>
      <w:r>
        <w:t xml:space="preserve"> overrides every abstract property and method of </w:t>
      </w:r>
      <w:r>
        <w:rPr>
          <w:rStyle w:val="Text3"/>
        </w:rPr>
        <w:t>C</w:t>
      </w:r>
      <w:r>
        <w:t>.</w:t>
      </w:r>
    </w:p>
    <w:p>
      <w:bookmarkStart w:id="1495" w:name="ABCs_in_the_collections_module"/>
      <w:pPr>
        <w:keepNext/>
        <w:pStyle w:val="Heading 2"/>
      </w:pPr>
      <w:r>
        <w:t>ABCs in the collections module</w:t>
      </w:r>
      <w:bookmarkEnd w:id="1495"/>
    </w:p>
    <w:p>
      <w:pPr>
        <w:pStyle w:val="Normal"/>
      </w:pPr>
      <w:r>
        <w:rPr>
          <w:rStyle w:val="Text0"/>
        </w:rPr>
        <w:t>collections</w:t>
      </w:r>
      <w:r>
        <w:rPr>
          <w:rStyle w:val="Text111"/>
        </w:rPr>
        <w:bookmarkStart w:id="1496" w:name="idm45965281841488"/>
        <w:t/>
        <w:bookmarkEnd w:id="1496"/>
      </w:r>
      <w:r>
        <w:t xml:space="preserve"> supplies many ABCs, in </w:t>
      </w:r>
      <w:r>
        <w:rPr>
          <w:rStyle w:val="Text0"/>
        </w:rPr>
        <w:t>collections.abc</w:t>
      </w:r>
      <w:r>
        <w:t>.</w:t>
      </w:r>
      <w:hyperlink w:anchor="14_For_backward_compatibility_th">
        <w:r>
          <w:rPr>
            <w:rStyle w:val="Text41"/>
          </w:rPr>
          <w:bookmarkStart w:id="1497" w:name="14_1"/>
          <w:t>14</w:t>
          <w:bookmarkEnd w:id="1497"/>
        </w:r>
      </w:hyperlink>
      <w:r>
        <w:t xml:space="preserve"> Some of these ABCs accept as a virtual subclass any class defining or inheriting a specific abstract method, as</w:t>
      </w:r>
      <w:r>
        <w:rPr>
          <w:rStyle w:val="Text111"/>
        </w:rPr>
        <w:bookmarkStart w:id="1498" w:name="idm45965281836928"/>
        <w:t/>
        <w:bookmarkEnd w:id="1498"/>
        <w:bookmarkStart w:id="1499" w:name="idm45965281835760"/>
        <w:t/>
        <w:bookmarkEnd w:id="1499"/>
        <w:bookmarkStart w:id="1500" w:name="idm45965281834640"/>
        <w:t/>
        <w:bookmarkEnd w:id="1500"/>
        <w:bookmarkStart w:id="1501" w:name="idm45965281833520"/>
        <w:t/>
        <w:bookmarkEnd w:id="1501"/>
        <w:bookmarkStart w:id="1502" w:name="idm45965281832400"/>
        <w:t/>
        <w:bookmarkEnd w:id="1502"/>
      </w:r>
      <w:r>
        <w:t xml:space="preserve"> listed in </w:t>
      </w:r>
      <w:hyperlink w:anchor="Table_4_3__Single_method_ABCs">
        <w:r>
          <w:rPr>
            <w:rStyle w:val="Text1"/>
          </w:rPr>
          <w:t>Table 4-3</w:t>
        </w:r>
      </w:hyperlink>
      <w:r>
        <w:t>.</w:t>
      </w:r>
    </w:p>
    <w:tbl>
      <w:tblPr>
        <w:tblW w:type="auto" w:w="0"/>
      </w:tblPr>
      <w:tr>
        <w:tc>
          <w:tcPr>
            <w:tcW w:type="auto" w:w="0"/>
            <w:tcMar>
              <w:left w:type="dxa" w:w="200"/>
              <w:top w:type="dxa" w:w="200"/>
              <w:right w:type="dxa" w:w="200"/>
              <w:bottom w:type="dxa" w:w="200"/>
            </w:tcMar>
            <w:vAlign w:val="center"/>
          </w:tcPr>
          <w:p>
            <w:bookmarkStart w:id="1503" w:name="Table_4_3__Single_method_ABCs"/>
            <w:pPr>
              <w:pStyle w:val="Para 011"/>
            </w:pPr>
            <w:r>
              <w:rPr>
                <w:rStyle w:val="Text117"/>
              </w:rPr>
              <w:t/>
            </w:r>
            <w:r>
              <w:t xml:space="preserve">Table 4-3. </w:t>
              <w:t>Single-method ABCs</w:t>
            </w:r>
            <w:bookmarkEnd w:id="1503"/>
          </w:p>
          <w:p>
            <w:pPr>
              <w:pStyle w:val="Para 013"/>
            </w:pPr>
            <w:r>
              <w:t>ABC</w:t>
            </w:r>
          </w:p>
        </w:tc>
        <w:tc>
          <w:tcPr>
            <w:tcW w:type="auto" w:w="0"/>
            <w:tcMar>
              <w:left w:type="dxa" w:w="200"/>
              <w:top w:type="dxa" w:w="200"/>
              <w:right w:type="dxa" w:w="200"/>
              <w:bottom w:type="dxa" w:w="200"/>
            </w:tcMar>
            <w:vAlign w:val="center"/>
          </w:tcPr>
          <w:p>
            <w:pPr>
              <w:pStyle w:val="Para 013"/>
            </w:pPr>
            <w:r>
              <w:t>Abstract methods</w:t>
            </w:r>
          </w:p>
        </w:tc>
      </w:tr>
    </w:tbl>
    <w:tbl>
      <w:tblPr>
        <w:tblW w:type="auto" w:w="0"/>
      </w:tblPr>
      <w:tr>
        <w:tc>
          <w:tcPr>
            <w:tcW w:type="auto" w:w="0"/>
            <w:tcMar>
              <w:left w:type="dxa" w:w="200"/>
              <w:top w:type="dxa" w:w="200"/>
              <w:right w:type="dxa" w:w="200"/>
              <w:bottom w:type="dxa" w:w="200"/>
            </w:tcMar>
          </w:tcPr>
          <w:p>
            <w:pPr>
              <w:pStyle w:val="Para 001"/>
            </w:pPr>
            <w:r>
              <w:t>Callable</w:t>
            </w:r>
          </w:p>
        </w:tc>
        <w:tc>
          <w:tcPr>
            <w:tcW w:type="auto" w:w="0"/>
            <w:tcMar>
              <w:left w:type="dxa" w:w="200"/>
              <w:top w:type="dxa" w:w="200"/>
              <w:right w:type="dxa" w:w="200"/>
              <w:bottom w:type="dxa" w:w="200"/>
            </w:tcMar>
          </w:tcPr>
          <w:p>
            <w:pPr>
              <w:pStyle w:val="Para 001"/>
            </w:pPr>
            <w:r>
              <w:t>__call__</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Container</w:t>
            </w:r>
          </w:p>
        </w:tc>
        <w:tc>
          <w:tcPr>
            <w:tcW w:type="auto" w:w="0"/>
            <w:shd w:val="clear" w:color="auto" w:fill="EEF2F6"/>
            <w:tcMar>
              <w:left w:type="dxa" w:w="200"/>
              <w:top w:type="dxa" w:w="200"/>
              <w:right w:type="dxa" w:w="200"/>
              <w:bottom w:type="dxa" w:w="200"/>
            </w:tcMar>
          </w:tcPr>
          <w:p>
            <w:pPr>
              <w:pStyle w:val="Para 001"/>
            </w:pPr>
            <w:r>
              <w:t>__contains__</w:t>
            </w:r>
          </w:p>
        </w:tc>
      </w:tr>
    </w:tbl>
    <w:tbl>
      <w:tblPr>
        <w:tblW w:type="auto" w:w="0"/>
      </w:tblPr>
      <w:tr>
        <w:tc>
          <w:tcPr>
            <w:tcW w:type="auto" w:w="0"/>
            <w:tcMar>
              <w:left w:type="dxa" w:w="200"/>
              <w:top w:type="dxa" w:w="200"/>
              <w:right w:type="dxa" w:w="200"/>
              <w:bottom w:type="dxa" w:w="200"/>
            </w:tcMar>
          </w:tcPr>
          <w:p>
            <w:pPr>
              <w:pStyle w:val="Para 001"/>
            </w:pPr>
            <w:r>
              <w:t>Hashable</w:t>
            </w:r>
          </w:p>
        </w:tc>
        <w:tc>
          <w:tcPr>
            <w:tcW w:type="auto" w:w="0"/>
            <w:tcMar>
              <w:left w:type="dxa" w:w="200"/>
              <w:top w:type="dxa" w:w="200"/>
              <w:right w:type="dxa" w:w="200"/>
              <w:bottom w:type="dxa" w:w="200"/>
            </w:tcMar>
          </w:tcPr>
          <w:p>
            <w:pPr>
              <w:pStyle w:val="Para 001"/>
            </w:pPr>
            <w:r>
              <w:t>__hash__</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Iterable</w:t>
            </w:r>
          </w:p>
        </w:tc>
        <w:tc>
          <w:tcPr>
            <w:tcW w:type="auto" w:w="0"/>
            <w:shd w:val="clear" w:color="auto" w:fill="EEF2F6"/>
            <w:tcMar>
              <w:left w:type="dxa" w:w="200"/>
              <w:top w:type="dxa" w:w="200"/>
              <w:right w:type="dxa" w:w="200"/>
              <w:bottom w:type="dxa" w:w="200"/>
            </w:tcMar>
          </w:tcPr>
          <w:p>
            <w:pPr>
              <w:pStyle w:val="Para 001"/>
            </w:pPr>
            <w:r>
              <w:t>__iter__</w:t>
            </w:r>
          </w:p>
        </w:tc>
      </w:tr>
    </w:tbl>
    <w:tbl>
      <w:tblPr>
        <w:tblW w:type="auto" w:w="0"/>
      </w:tblPr>
      <w:tr>
        <w:tc>
          <w:tcPr>
            <w:tcW w:type="auto" w:w="0"/>
            <w:tcMar>
              <w:left w:type="dxa" w:w="200"/>
              <w:top w:type="dxa" w:w="200"/>
              <w:right w:type="dxa" w:w="200"/>
              <w:bottom w:type="dxa" w:w="200"/>
            </w:tcMar>
          </w:tcPr>
          <w:p>
            <w:pPr>
              <w:pStyle w:val="Para 001"/>
            </w:pPr>
            <w:r>
              <w:t>Sized</w:t>
            </w:r>
          </w:p>
        </w:tc>
        <w:tc>
          <w:tcPr>
            <w:tcW w:type="auto" w:w="0"/>
            <w:tcMar>
              <w:left w:type="dxa" w:w="200"/>
              <w:top w:type="dxa" w:w="200"/>
              <w:right w:type="dxa" w:w="200"/>
              <w:bottom w:type="dxa" w:w="200"/>
            </w:tcMar>
          </w:tcPr>
          <w:p>
            <w:pPr>
              <w:pStyle w:val="Para 001"/>
            </w:pPr>
            <w:r>
              <w:t>__len__</w:t>
            </w:r>
          </w:p>
        </w:tc>
      </w:tr>
    </w:tbl>
    <w:p>
      <w:pPr>
        <w:pStyle w:val="Normal"/>
      </w:pPr>
      <w:r>
        <w:t xml:space="preserve">The other ABCs in </w:t>
      </w:r>
      <w:r>
        <w:rPr>
          <w:rStyle w:val="Text0"/>
        </w:rPr>
        <w:t>collections.abc</w:t>
      </w:r>
      <w:r>
        <w:t xml:space="preserve"> extend one or more of these, adding more abstract methods and/or</w:t>
      </w:r>
      <w:r>
        <w:rPr>
          <w:rStyle w:val="Text111"/>
        </w:rPr>
        <w:bookmarkStart w:id="1504" w:name="idm45965281814352"/>
        <w:t/>
        <w:bookmarkEnd w:id="1504"/>
        <w:bookmarkStart w:id="1505" w:name="idm45965281813248"/>
        <w:t/>
        <w:bookmarkEnd w:id="1505"/>
      </w:r>
      <w:r>
        <w:t xml:space="preserve"> </w:t>
      </w:r>
      <w:r>
        <w:rPr>
          <w:rStyle w:val="Text4"/>
        </w:rPr>
        <w:t>mixin</w:t>
      </w:r>
      <w:r>
        <w:t xml:space="preserve"> methods implemented in terms of the abstract methods. (When you extend any ABC in a concrete class, you </w:t>
      </w:r>
      <w:r>
        <w:rPr>
          <w:rStyle w:val="Text4"/>
        </w:rPr>
        <w:t>must</w:t>
      </w:r>
      <w:r>
        <w:t xml:space="preserve"> override the abstract methods; you can also override some or all of the mixin methods, when that helps improve performance, but you don’t have to—you can just inherit them, when this results in performance that’s sufficient for your purposes.)</w:t>
      </w:r>
    </w:p>
    <w:p>
      <w:pPr>
        <w:pStyle w:val="Normal"/>
      </w:pPr>
      <w:hyperlink w:anchor="Table_4_4__ABCs_with_additional">
        <w:r>
          <w:rPr>
            <w:rStyle w:val="Text1"/>
          </w:rPr>
          <w:t>Table 4-4</w:t>
        </w:r>
      </w:hyperlink>
      <w:r>
        <w:t xml:space="preserve"> details the ABCs in </w:t>
      </w:r>
      <w:r>
        <w:rPr>
          <w:rStyle w:val="Text0"/>
        </w:rPr>
        <w:t>collections.abc</w:t>
      </w:r>
      <w:r>
        <w:t xml:space="preserve"> that</w:t>
      </w:r>
      <w:r>
        <w:rPr>
          <w:rStyle w:val="Text111"/>
        </w:rPr>
        <w:bookmarkStart w:id="1506" w:name="idm45965281808848"/>
        <w:t/>
        <w:bookmarkEnd w:id="1506"/>
      </w:r>
      <w:r>
        <w:t xml:space="preserve"> directly extend the preceding ones.</w:t>
      </w:r>
    </w:p>
    <w:tbl>
      <w:tblPr>
        <w:tblW w:type="auto" w:w="0"/>
      </w:tblPr>
      <w:tr>
        <w:tc>
          <w:tcPr>
            <w:tcW w:type="auto" w:w="0"/>
            <w:tcMar>
              <w:left w:type="dxa" w:w="200"/>
              <w:top w:type="dxa" w:w="200"/>
              <w:right w:type="dxa" w:w="200"/>
              <w:bottom w:type="dxa" w:w="200"/>
            </w:tcMar>
            <w:vAlign w:val="center"/>
          </w:tcPr>
          <w:p>
            <w:bookmarkStart w:id="1507" w:name="Table_4_4__ABCs_with_additional"/>
            <w:pPr>
              <w:pStyle w:val="Para 011"/>
            </w:pPr>
            <w:r>
              <w:rPr>
                <w:rStyle w:val="Text117"/>
              </w:rPr>
              <w:t/>
            </w:r>
            <w:r>
              <w:t xml:space="preserve">Table 4-4. </w:t>
              <w:t>ABCs with additional methods</w:t>
            </w:r>
            <w:bookmarkEnd w:id="1507"/>
          </w:p>
          <w:p>
            <w:pPr>
              <w:pStyle w:val="Para 013"/>
            </w:pPr>
            <w:r>
              <w:t>ABC</w:t>
            </w:r>
          </w:p>
        </w:tc>
        <w:tc>
          <w:tcPr>
            <w:tcW w:type="auto" w:w="0"/>
            <w:tcMar>
              <w:left w:type="dxa" w:w="200"/>
              <w:top w:type="dxa" w:w="200"/>
              <w:right w:type="dxa" w:w="200"/>
              <w:bottom w:type="dxa" w:w="200"/>
            </w:tcMar>
            <w:vAlign w:val="center"/>
          </w:tcPr>
          <w:p>
            <w:pPr>
              <w:pStyle w:val="Para 013"/>
            </w:pPr>
            <w:r>
              <w:t>Extends</w:t>
            </w:r>
          </w:p>
        </w:tc>
        <w:tc>
          <w:tcPr>
            <w:tcW w:type="auto" w:w="0"/>
            <w:tcMar>
              <w:left w:type="dxa" w:w="200"/>
              <w:top w:type="dxa" w:w="200"/>
              <w:right w:type="dxa" w:w="200"/>
              <w:bottom w:type="dxa" w:w="200"/>
            </w:tcMar>
            <w:vAlign w:val="center"/>
          </w:tcPr>
          <w:p>
            <w:pPr>
              <w:pStyle w:val="Para 013"/>
            </w:pPr>
            <w:r>
              <w:t>Abstract methods</w:t>
            </w:r>
          </w:p>
        </w:tc>
        <w:tc>
          <w:tcPr>
            <w:tcW w:type="auto" w:w="0"/>
            <w:tcMar>
              <w:left w:type="dxa" w:w="200"/>
              <w:top w:type="dxa" w:w="200"/>
              <w:right w:type="dxa" w:w="200"/>
              <w:bottom w:type="dxa" w:w="200"/>
            </w:tcMar>
            <w:vAlign w:val="center"/>
          </w:tcPr>
          <w:p>
            <w:pPr>
              <w:pStyle w:val="Para 013"/>
            </w:pPr>
            <w:r>
              <w:t>Mixin methods</w:t>
            </w:r>
          </w:p>
        </w:tc>
      </w:tr>
    </w:tbl>
    <w:tbl>
      <w:tblPr>
        <w:tblW w:type="auto" w:w="0"/>
      </w:tblPr>
      <w:tr>
        <w:tc>
          <w:tcPr>
            <w:tcW w:type="auto" w:w="0"/>
            <w:tcMar>
              <w:left w:type="dxa" w:w="200"/>
              <w:top w:type="dxa" w:w="200"/>
              <w:right w:type="dxa" w:w="200"/>
              <w:bottom w:type="dxa" w:w="200"/>
            </w:tcMar>
          </w:tcPr>
          <w:p>
            <w:pPr>
              <w:pStyle w:val="Para 001"/>
            </w:pPr>
            <w:r>
              <w:t>Iterator</w:t>
            </w:r>
          </w:p>
        </w:tc>
        <w:tc>
          <w:tcPr>
            <w:tcW w:type="auto" w:w="0"/>
            <w:tcMar>
              <w:left w:type="dxa" w:w="200"/>
              <w:top w:type="dxa" w:w="200"/>
              <w:right w:type="dxa" w:w="200"/>
              <w:bottom w:type="dxa" w:w="200"/>
            </w:tcMar>
          </w:tcPr>
          <w:p>
            <w:pPr>
              <w:pStyle w:val="Para 001"/>
            </w:pPr>
            <w:r>
              <w:t>Iterable</w:t>
            </w:r>
          </w:p>
        </w:tc>
        <w:tc>
          <w:tcPr>
            <w:tcW w:type="auto" w:w="0"/>
            <w:tcMar>
              <w:left w:type="dxa" w:w="200"/>
              <w:top w:type="dxa" w:w="200"/>
              <w:right w:type="dxa" w:w="200"/>
              <w:bottom w:type="dxa" w:w="200"/>
            </w:tcMar>
          </w:tcPr>
          <w:p>
            <w:pPr>
              <w:pStyle w:val="Para 001"/>
            </w:pPr>
            <w:r>
              <w:t>__next__</w:t>
            </w:r>
          </w:p>
        </w:tc>
        <w:tc>
          <w:tcPr>
            <w:tcW w:type="auto" w:w="0"/>
            <w:tcMar>
              <w:left w:type="dxa" w:w="200"/>
              <w:top w:type="dxa" w:w="200"/>
              <w:right w:type="dxa" w:w="200"/>
              <w:bottom w:type="dxa" w:w="200"/>
            </w:tcMar>
          </w:tcPr>
          <w:p>
            <w:pPr>
              <w:pStyle w:val="Para 001"/>
            </w:pPr>
            <w:r>
              <w:t>__iter__</w:t>
            </w:r>
          </w:p>
        </w:tc>
      </w:tr>
    </w:tbl>
    <w:tbl>
      <w:tblPr>
        <w:tblW w:type="auto" w:w="0"/>
      </w:tblPr>
      <w:tr>
        <w:tc>
          <w:tcPr>
            <w:tcW w:type="auto" w:w="0"/>
            <w:shd w:val="clear" w:color="auto" w:fill="EEF2F6"/>
            <w:tcMar>
              <w:left w:type="dxa" w:w="200"/>
              <w:top w:type="dxa" w:w="200"/>
              <w:right w:type="dxa" w:w="200"/>
              <w:bottom w:type="dxa" w:w="200"/>
            </w:tcMar>
          </w:tcPr>
          <w:p>
            <w:pPr>
              <w:pStyle w:val="Para 001"/>
            </w:pPr>
            <w:r>
              <w:t>Mapping</w:t>
            </w:r>
          </w:p>
        </w:tc>
        <w:tc>
          <w:tcPr>
            <w:tcW w:type="auto" w:w="0"/>
            <w:shd w:val="clear" w:color="auto" w:fill="EEF2F6"/>
            <w:tcMar>
              <w:left w:type="dxa" w:w="200"/>
              <w:top w:type="dxa" w:w="200"/>
              <w:right w:type="dxa" w:w="200"/>
              <w:bottom w:type="dxa" w:w="200"/>
            </w:tcMar>
          </w:tcPr>
          <w:p>
            <w:pPr>
              <w:pStyle w:val="Para 001"/>
            </w:pPr>
            <w:r>
              <w:t>Container</w:t>
              <w:br w:clear="none"/>
            </w:r>
            <w:r>
              <w:rPr>
                <w:rStyle w:val="Text12"/>
              </w:rPr>
              <w:t xml:space="preserve"> </w:t>
            </w:r>
            <w:r>
              <w:t>Iterable</w:t>
              <w:br w:clear="none"/>
            </w:r>
            <w:r>
              <w:rPr>
                <w:rStyle w:val="Text12"/>
              </w:rPr>
              <w:t xml:space="preserve"> </w:t>
            </w:r>
            <w:r>
              <w:t>Sized</w:t>
            </w:r>
          </w:p>
        </w:tc>
        <w:tc>
          <w:tcPr>
            <w:tcW w:type="auto" w:w="0"/>
            <w:shd w:val="clear" w:color="auto" w:fill="EEF2F6"/>
            <w:tcMar>
              <w:left w:type="dxa" w:w="200"/>
              <w:top w:type="dxa" w:w="200"/>
              <w:right w:type="dxa" w:w="200"/>
              <w:bottom w:type="dxa" w:w="200"/>
            </w:tcMar>
          </w:tcPr>
          <w:p>
            <w:pPr>
              <w:pStyle w:val="Para 001"/>
            </w:pPr>
            <w:r>
              <w:t>__getitem__</w:t>
              <w:br w:clear="none"/>
            </w:r>
            <w:r>
              <w:rPr>
                <w:rStyle w:val="Text12"/>
              </w:rPr>
              <w:t xml:space="preserve"> </w:t>
            </w:r>
            <w:r>
              <w:t>__iter__</w:t>
              <w:br w:clear="none"/>
            </w:r>
            <w:r>
              <w:rPr>
                <w:rStyle w:val="Text12"/>
              </w:rPr>
              <w:t xml:space="preserve"> </w:t>
            </w:r>
            <w:r>
              <w:t>__len__</w:t>
            </w:r>
          </w:p>
        </w:tc>
        <w:tc>
          <w:tcPr>
            <w:tcW w:type="auto" w:w="0"/>
            <w:shd w:val="clear" w:color="auto" w:fill="EEF2F6"/>
            <w:tcMar>
              <w:left w:type="dxa" w:w="200"/>
              <w:top w:type="dxa" w:w="200"/>
              <w:right w:type="dxa" w:w="200"/>
              <w:bottom w:type="dxa" w:w="200"/>
            </w:tcMar>
          </w:tcPr>
          <w:p>
            <w:pPr>
              <w:pStyle w:val="Para 001"/>
            </w:pPr>
            <w:r>
              <w:t>__contains__</w:t>
              <w:br w:clear="none"/>
            </w:r>
            <w:r>
              <w:rPr>
                <w:rStyle w:val="Text12"/>
              </w:rPr>
              <w:t xml:space="preserve"> </w:t>
            </w:r>
            <w:r>
              <w:t>__eq__</w:t>
              <w:br w:clear="none"/>
            </w:r>
            <w:r>
              <w:rPr>
                <w:rStyle w:val="Text12"/>
              </w:rPr>
              <w:t xml:space="preserve"> </w:t>
            </w:r>
            <w:r>
              <w:t>__ne__</w:t>
              <w:br w:clear="none"/>
            </w:r>
            <w:r>
              <w:rPr>
                <w:rStyle w:val="Text12"/>
              </w:rPr>
              <w:t xml:space="preserve"> </w:t>
            </w:r>
            <w:r>
              <w:t>getitems</w:t>
              <w:br w:clear="none"/>
            </w:r>
            <w:r>
              <w:rPr>
                <w:rStyle w:val="Text12"/>
              </w:rPr>
              <w:t xml:space="preserve"> </w:t>
            </w:r>
            <w:r>
              <w:t>keys</w:t>
              <w:br w:clear="none"/>
            </w:r>
            <w:r>
              <w:rPr>
                <w:rStyle w:val="Text12"/>
              </w:rPr>
              <w:t xml:space="preserve"> </w:t>
            </w:r>
            <w:r>
              <w:t>values</w:t>
            </w:r>
          </w:p>
        </w:tc>
      </w:tr>
    </w:tbl>
    <w:tbl>
      <w:tblPr>
        <w:tblW w:type="auto" w:w="0"/>
      </w:tblPr>
      <w:tr>
        <w:tc>
          <w:tcPr>
            <w:tcW w:type="auto" w:w="0"/>
            <w:tcMar>
              <w:left w:type="dxa" w:w="200"/>
              <w:top w:type="dxa" w:w="200"/>
              <w:right w:type="dxa" w:w="200"/>
              <w:bottom w:type="dxa" w:w="200"/>
            </w:tcMar>
          </w:tcPr>
          <w:p>
            <w:pPr>
              <w:pStyle w:val="Para 001"/>
            </w:pPr>
            <w:r>
              <w:t>MappingView</w:t>
            </w:r>
          </w:p>
        </w:tc>
        <w:tc>
          <w:tcPr>
            <w:tcW w:type="auto" w:w="0"/>
            <w:tcMar>
              <w:left w:type="dxa" w:w="200"/>
              <w:top w:type="dxa" w:w="200"/>
              <w:right w:type="dxa" w:w="200"/>
              <w:bottom w:type="dxa" w:w="200"/>
            </w:tcMar>
          </w:tcPr>
          <w:p>
            <w:pPr>
              <w:pStyle w:val="Para 001"/>
            </w:pPr>
            <w:r>
              <w:t>Sized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1"/>
            </w:pPr>
            <w:r>
              <w:t>__len__</w:t>
            </w:r>
          </w:p>
        </w:tc>
      </w:tr>
    </w:tbl>
    <w:tbl>
      <w:tblPr>
        <w:tblW w:type="auto" w:w="0"/>
      </w:tblPr>
      <w:tr>
        <w:tc>
          <w:tcPr>
            <w:tcW w:type="auto" w:w="0"/>
            <w:shd w:val="clear" w:color="auto" w:fill="EEF2F6"/>
            <w:tcMar>
              <w:left w:type="dxa" w:w="200"/>
              <w:top w:type="dxa" w:w="200"/>
              <w:right w:type="dxa" w:w="200"/>
              <w:bottom w:type="dxa" w:w="200"/>
            </w:tcMar>
          </w:tcPr>
          <w:p>
            <w:pPr>
              <w:pStyle w:val="Para 001"/>
            </w:pPr>
            <w:r>
              <w:t>Sequence</w:t>
            </w:r>
          </w:p>
        </w:tc>
        <w:tc>
          <w:tcPr>
            <w:tcW w:type="auto" w:w="0"/>
            <w:shd w:val="clear" w:color="auto" w:fill="EEF2F6"/>
            <w:tcMar>
              <w:left w:type="dxa" w:w="200"/>
              <w:top w:type="dxa" w:w="200"/>
              <w:right w:type="dxa" w:w="200"/>
              <w:bottom w:type="dxa" w:w="200"/>
            </w:tcMar>
          </w:tcPr>
          <w:p>
            <w:pPr>
              <w:pStyle w:val="Para 001"/>
            </w:pPr>
            <w:r>
              <w:t>Container</w:t>
              <w:br w:clear="none"/>
            </w:r>
            <w:r>
              <w:rPr>
                <w:rStyle w:val="Text12"/>
              </w:rPr>
              <w:t xml:space="preserve"> </w:t>
            </w:r>
            <w:r>
              <w:t>Iterable</w:t>
              <w:br w:clear="none"/>
            </w:r>
            <w:r>
              <w:rPr>
                <w:rStyle w:val="Text12"/>
              </w:rPr>
              <w:t xml:space="preserve"> </w:t>
            </w:r>
            <w:r>
              <w:t>Sized</w:t>
            </w:r>
          </w:p>
        </w:tc>
        <w:tc>
          <w:tcPr>
            <w:tcW w:type="auto" w:w="0"/>
            <w:shd w:val="clear" w:color="auto" w:fill="EEF2F6"/>
            <w:tcMar>
              <w:left w:type="dxa" w:w="200"/>
              <w:top w:type="dxa" w:w="200"/>
              <w:right w:type="dxa" w:w="200"/>
              <w:bottom w:type="dxa" w:w="200"/>
            </w:tcMar>
          </w:tcPr>
          <w:p>
            <w:pPr>
              <w:pStyle w:val="Para 001"/>
            </w:pPr>
            <w:r>
              <w:t>__getitem__</w:t>
              <w:br w:clear="none"/>
            </w:r>
            <w:r>
              <w:rPr>
                <w:rStyle w:val="Text12"/>
              </w:rPr>
              <w:t xml:space="preserve"> </w:t>
            </w:r>
            <w:r>
              <w:t>__len__</w:t>
            </w:r>
          </w:p>
        </w:tc>
        <w:tc>
          <w:tcPr>
            <w:tcW w:type="auto" w:w="0"/>
            <w:shd w:val="clear" w:color="auto" w:fill="EEF2F6"/>
            <w:tcMar>
              <w:left w:type="dxa" w:w="200"/>
              <w:top w:type="dxa" w:w="200"/>
              <w:right w:type="dxa" w:w="200"/>
              <w:bottom w:type="dxa" w:w="200"/>
            </w:tcMar>
          </w:tcPr>
          <w:p>
            <w:pPr>
              <w:pStyle w:val="Para 001"/>
            </w:pPr>
            <w:r>
              <w:t>__contains__</w:t>
              <w:br w:clear="none"/>
            </w:r>
            <w:r>
              <w:rPr>
                <w:rStyle w:val="Text12"/>
              </w:rPr>
              <w:t xml:space="preserve"> </w:t>
            </w:r>
            <w:r>
              <w:t>__iter__</w:t>
              <w:br w:clear="none"/>
            </w:r>
            <w:r>
              <w:rPr>
                <w:rStyle w:val="Text12"/>
              </w:rPr>
              <w:t xml:space="preserve"> </w:t>
            </w:r>
            <w:r>
              <w:t>__reversed__</w:t>
              <w:br w:clear="none"/>
            </w:r>
            <w:r>
              <w:rPr>
                <w:rStyle w:val="Text12"/>
              </w:rPr>
              <w:t xml:space="preserve"> </w:t>
            </w:r>
            <w:r>
              <w:t>count</w:t>
              <w:br w:clear="none"/>
            </w:r>
            <w:r>
              <w:rPr>
                <w:rStyle w:val="Text12"/>
              </w:rPr>
              <w:t xml:space="preserve"> </w:t>
            </w:r>
            <w:r>
              <w:t>index</w:t>
            </w:r>
          </w:p>
        </w:tc>
      </w:tr>
    </w:tbl>
    <w:tbl>
      <w:tblPr>
        <w:tblW w:type="auto" w:w="0"/>
      </w:tblPr>
      <w:tr>
        <w:tc>
          <w:tcPr>
            <w:tcW w:type="auto" w:w="0"/>
            <w:tcMar>
              <w:left w:type="dxa" w:w="200"/>
              <w:top w:type="dxa" w:w="200"/>
              <w:right w:type="dxa" w:w="200"/>
              <w:bottom w:type="dxa" w:w="200"/>
            </w:tcMar>
          </w:tcPr>
          <w:p>
            <w:pPr>
              <w:pStyle w:val="Para 001"/>
            </w:pPr>
            <w:r>
              <w:t>Set</w:t>
            </w:r>
          </w:p>
        </w:tc>
        <w:tc>
          <w:tcPr>
            <w:tcW w:type="auto" w:w="0"/>
            <w:tcMar>
              <w:left w:type="dxa" w:w="200"/>
              <w:top w:type="dxa" w:w="200"/>
              <w:right w:type="dxa" w:w="200"/>
              <w:bottom w:type="dxa" w:w="200"/>
            </w:tcMar>
          </w:tcPr>
          <w:p>
            <w:pPr>
              <w:pStyle w:val="Para 001"/>
            </w:pPr>
            <w:r>
              <w:t>Container</w:t>
              <w:br w:clear="none"/>
            </w:r>
            <w:r>
              <w:rPr>
                <w:rStyle w:val="Text12"/>
              </w:rPr>
              <w:t xml:space="preserve"> </w:t>
            </w:r>
            <w:r>
              <w:t>Iterable</w:t>
              <w:br w:clear="none"/>
            </w:r>
            <w:r>
              <w:rPr>
                <w:rStyle w:val="Text12"/>
              </w:rPr>
              <w:t xml:space="preserve"> </w:t>
            </w:r>
            <w:r>
              <w:t>Sized</w:t>
            </w:r>
          </w:p>
        </w:tc>
        <w:tc>
          <w:tcPr>
            <w:tcW w:type="auto" w:w="0"/>
            <w:tcMar>
              <w:left w:type="dxa" w:w="200"/>
              <w:top w:type="dxa" w:w="200"/>
              <w:right w:type="dxa" w:w="200"/>
              <w:bottom w:type="dxa" w:w="200"/>
            </w:tcMar>
          </w:tcPr>
          <w:p>
            <w:pPr>
              <w:pStyle w:val="Para 001"/>
            </w:pPr>
            <w:r>
              <w:t>__contains__</w:t>
              <w:br w:clear="none"/>
            </w:r>
            <w:r>
              <w:rPr>
                <w:rStyle w:val="Text12"/>
              </w:rPr>
              <w:t xml:space="preserve"> </w:t>
            </w:r>
            <w:r>
              <w:t>__iter</w:t>
              <w:br w:clear="none"/>
            </w:r>
            <w:r>
              <w:rPr>
                <w:rStyle w:val="Text12"/>
              </w:rPr>
              <w:t xml:space="preserve"> </w:t>
            </w:r>
            <w:r>
              <w:t>__len__</w:t>
            </w:r>
          </w:p>
        </w:tc>
        <w:tc>
          <w:tcPr>
            <w:tcW w:type="auto" w:w="0"/>
            <w:tcMar>
              <w:left w:type="dxa" w:w="200"/>
              <w:top w:type="dxa" w:w="200"/>
              <w:right w:type="dxa" w:w="200"/>
              <w:bottom w:type="dxa" w:w="200"/>
            </w:tcMar>
          </w:tcPr>
          <w:p>
            <w:pPr>
              <w:pStyle w:val="Para 001"/>
            </w:pPr>
            <w:r>
              <w:t>__and__</w:t>
            </w:r>
            <w:hyperlink w:anchor="a_For_sets_and_mutable_sets__man">
              <w:r>
                <w:rPr>
                  <w:rStyle w:val="Text95"/>
                </w:rPr>
                <w:bookmarkStart w:id="1508" w:name="a"/>
                <w:t>a</w:t>
                <w:bookmarkEnd w:id="1508"/>
                <w:br w:clear="none"/>
              </w:r>
            </w:hyperlink>
            <w:r>
              <w:rPr>
                <w:rStyle w:val="Text12"/>
              </w:rPr>
              <w:t xml:space="preserve"> </w:t>
            </w:r>
            <w:r>
              <w:t>__eq__</w:t>
              <w:br w:clear="none"/>
            </w:r>
            <w:r>
              <w:rPr>
                <w:rStyle w:val="Text12"/>
              </w:rPr>
              <w:t xml:space="preserve"> </w:t>
            </w:r>
            <w:r>
              <w:t>__ge__</w:t>
            </w:r>
            <w:hyperlink w:anchor="b_For_sets__the_ordering_methods">
              <w:r>
                <w:rPr>
                  <w:rStyle w:val="Text95"/>
                </w:rPr>
                <w:bookmarkStart w:id="1509" w:name="b"/>
                <w:t>b</w:t>
                <w:bookmarkEnd w:id="1509"/>
                <w:br w:clear="none"/>
              </w:r>
            </w:hyperlink>
            <w:r>
              <w:rPr>
                <w:rStyle w:val="Text12"/>
              </w:rPr>
              <w:t xml:space="preserve"> </w:t>
            </w:r>
            <w:r>
              <w:t>__gt__</w:t>
              <w:br w:clear="none"/>
            </w:r>
            <w:r>
              <w:rPr>
                <w:rStyle w:val="Text12"/>
              </w:rPr>
              <w:t xml:space="preserve"> </w:t>
            </w:r>
            <w:r>
              <w:t>__le__</w:t>
              <w:br w:clear="none"/>
            </w:r>
            <w:r>
              <w:rPr>
                <w:rStyle w:val="Text12"/>
              </w:rPr>
              <w:t xml:space="preserve"> </w:t>
            </w:r>
            <w:r>
              <w:t>__lt__</w:t>
              <w:br w:clear="none"/>
            </w:r>
            <w:r>
              <w:rPr>
                <w:rStyle w:val="Text12"/>
              </w:rPr>
              <w:t xml:space="preserve"> </w:t>
            </w:r>
            <w:r>
              <w:t>__ne__</w:t>
              <w:br w:clear="none"/>
            </w:r>
            <w:r>
              <w:rPr>
                <w:rStyle w:val="Text12"/>
              </w:rPr>
              <w:t xml:space="preserve"> </w:t>
            </w:r>
            <w:r>
              <w:t>__or__</w:t>
              <w:br w:clear="none"/>
            </w:r>
            <w:r>
              <w:rPr>
                <w:rStyle w:val="Text12"/>
              </w:rPr>
              <w:t xml:space="preserve"> </w:t>
            </w:r>
            <w:r>
              <w:t>__sub__</w:t>
              <w:br w:clear="none"/>
            </w:r>
            <w:r>
              <w:rPr>
                <w:rStyle w:val="Text12"/>
              </w:rPr>
              <w:t xml:space="preserve"> </w:t>
            </w:r>
            <w:r>
              <w:t>__xor__</w:t>
              <w:br w:clear="none"/>
            </w:r>
            <w:r>
              <w:rPr>
                <w:rStyle w:val="Text12"/>
              </w:rPr>
              <w:t xml:space="preserve"> </w:t>
            </w:r>
            <w:r>
              <w:t>isdisjoint</w:t>
            </w:r>
          </w:p>
        </w:tc>
      </w:tr>
    </w:tbl>
    <w:tbl>
      <w:tblPr>
        <w:tblW w:type="auto" w:w="0"/>
      </w:tblPr>
      <w:tr>
        <w:tc>
          <w:tcPr>
            <w:tcW w:type="auto" w:w="0"/>
            <w:tcMar>
              <w:left w:type="dxa" w:w="200"/>
              <w:top w:type="dxa" w:w="200"/>
              <w:right w:type="dxa" w:w="200"/>
              <w:bottom w:type="dxa" w:w="200"/>
            </w:tcMar>
            <w:hMerge w:val="restart"/>
          </w:tcPr>
          <w:p>
            <w:bookmarkStart w:id="1510" w:name="a_For_sets_and_mutable_sets__man"/>
            <w:pPr>
              <w:pStyle w:val="Para 036"/>
            </w:pPr>
            <w:hyperlink w:anchor="a">
              <w:r>
                <w:rPr>
                  <w:rStyle w:val="Text1"/>
                </w:rPr>
                <w:t>a</w:t>
              </w:r>
            </w:hyperlink>
            <w:r>
              <w:t xml:space="preserve"> For sets and mutable sets, many dunder methods are equivalent to nonspecial methods in the concrete class </w:t>
            </w:r>
            <w:r>
              <w:rPr>
                <w:rStyle w:val="Text25"/>
              </w:rPr>
              <w:t>set</w:t>
            </w:r>
            <w:r>
              <w:t xml:space="preserve">; e.g., </w:t>
            </w:r>
            <w:r>
              <w:rPr>
                <w:rStyle w:val="Text25"/>
              </w:rPr>
              <w:t>__add__</w:t>
            </w:r>
            <w:r>
              <w:t xml:space="preserve"> is like </w:t>
            </w:r>
            <w:r>
              <w:rPr>
                <w:rStyle w:val="Text25"/>
              </w:rPr>
              <w:t>intersection</w:t>
            </w:r>
            <w:r>
              <w:t xml:space="preserve"> and </w:t>
            </w:r>
            <w:r>
              <w:rPr>
                <w:rStyle w:val="Text25"/>
              </w:rPr>
              <w:t>__iadd__</w:t>
            </w:r>
            <w:r>
              <w:t xml:space="preserve"> is like </w:t>
            </w:r>
            <w:r>
              <w:rPr>
                <w:rStyle w:val="Text25"/>
              </w:rPr>
              <w:t>intersection_update</w:t>
            </w:r>
            <w:r>
              <w:t>.</w:t>
            </w:r>
            <w:bookmarkEnd w:id="1510"/>
          </w:p>
          <w:p>
            <w:bookmarkStart w:id="1511" w:name="b_For_sets__the_ordering_methods"/>
            <w:pPr>
              <w:pStyle w:val="Para 062"/>
            </w:pPr>
            <w:hyperlink w:anchor="b">
              <w:r>
                <w:rPr>
                  <w:rStyle w:val="Text1"/>
                </w:rPr>
                <w:t>b</w:t>
              </w:r>
            </w:hyperlink>
            <w:r>
              <w:t xml:space="preserve"> For sets, the ordering methods reflect the concept of </w:t>
            </w:r>
            <w:r>
              <w:rPr>
                <w:rStyle w:val="Text4"/>
              </w:rPr>
              <w:t>subset</w:t>
            </w:r>
            <w:r>
              <w:t xml:space="preserve">: </w:t>
            </w:r>
            <w:r>
              <w:rPr>
                <w:rStyle w:val="Text3"/>
              </w:rPr>
              <w:t>s1</w:t>
            </w:r>
            <w:r>
              <w:t xml:space="preserve"> </w:t>
            </w:r>
            <w:r>
              <w:rPr>
                <w:rStyle w:val="Text25"/>
              </w:rPr>
              <w:t>&lt;=</w:t>
            </w:r>
            <w:r>
              <w:t xml:space="preserve"> </w:t>
            </w:r>
            <w:r>
              <w:rPr>
                <w:rStyle w:val="Text3"/>
              </w:rPr>
              <w:t>s2</w:t>
            </w:r>
            <w:r>
              <w:t xml:space="preserve"> means “</w:t>
            </w:r>
            <w:r>
              <w:rPr>
                <w:rStyle w:val="Text3"/>
              </w:rPr>
              <w:t>s1</w:t>
            </w:r>
            <w:r>
              <w:t xml:space="preserve"> is a subset of or equal to </w:t>
            </w:r>
            <w:r>
              <w:rPr>
                <w:rStyle w:val="Text3"/>
              </w:rPr>
              <w:t>s2</w:t>
            </w:r>
            <w:r>
              <w:t>.”</w:t>
            </w:r>
            <w:bookmarkEnd w:id="1511"/>
          </w:p>
        </w:tc>
        <w:tc>
          <w:tcPr>
            <w:hMerge w:val="continue"/>
          </w:tcPr>
          <w:p/>
        </w:tc>
        <w:tc>
          <w:tcPr>
            <w:hMerge w:val="continue"/>
          </w:tcPr>
          <w:p/>
        </w:tc>
        <w:tc>
          <w:tcPr>
            <w:hMerge w:val="continue"/>
          </w:tcPr>
          <w:p/>
        </w:tc>
      </w:tr>
    </w:tbl>
    <w:p>
      <w:pPr>
        <w:pStyle w:val="Normal"/>
      </w:pPr>
      <w:hyperlink w:anchor="Table_4_5__The_remaining_ABCs_in">
        <w:r>
          <w:rPr>
            <w:rStyle w:val="Text1"/>
          </w:rPr>
          <w:t>Table 4-5</w:t>
        </w:r>
      </w:hyperlink>
      <w:r>
        <w:t xml:space="preserve"> details the ABCs in this module that further extend the previous ones.</w:t>
      </w:r>
    </w:p>
    <w:tbl>
      <w:tblPr>
        <w:tblW w:type="auto" w:w="0"/>
      </w:tblPr>
      <w:tr>
        <w:tc>
          <w:tcPr>
            <w:tcW w:type="auto" w:w="0"/>
            <w:tcMar>
              <w:left w:type="dxa" w:w="200"/>
              <w:top w:type="dxa" w:w="200"/>
              <w:right w:type="dxa" w:w="200"/>
              <w:bottom w:type="dxa" w:w="200"/>
            </w:tcMar>
            <w:vAlign w:val="center"/>
          </w:tcPr>
          <w:p>
            <w:bookmarkStart w:id="1512" w:name="Table_4_5__The_remaining_ABCs_in"/>
            <w:pPr>
              <w:pStyle w:val="Para 011"/>
            </w:pPr>
            <w:r>
              <w:rPr>
                <w:rStyle w:val="Text117"/>
              </w:rPr>
              <w:t/>
            </w:r>
            <w:r>
              <w:t xml:space="preserve">Table 4-5. </w:t>
              <w:t xml:space="preserve">The remaining ABCs in </w:t>
            </w:r>
            <w:r>
              <w:rPr>
                <w:rStyle w:val="Text0"/>
              </w:rPr>
              <w:t>collections.abc</w:t>
            </w:r>
            <w:bookmarkEnd w:id="1512"/>
          </w:p>
          <w:p>
            <w:pPr>
              <w:pStyle w:val="Para 013"/>
            </w:pPr>
            <w:r>
              <w:t>ABC</w:t>
            </w:r>
          </w:p>
        </w:tc>
        <w:tc>
          <w:tcPr>
            <w:tcW w:type="auto" w:w="0"/>
            <w:tcMar>
              <w:left w:type="dxa" w:w="200"/>
              <w:top w:type="dxa" w:w="200"/>
              <w:right w:type="dxa" w:w="200"/>
              <w:bottom w:type="dxa" w:w="200"/>
            </w:tcMar>
            <w:vAlign w:val="center"/>
          </w:tcPr>
          <w:p>
            <w:pPr>
              <w:pStyle w:val="Para 013"/>
            </w:pPr>
            <w:r>
              <w:t>Extends</w:t>
            </w:r>
          </w:p>
        </w:tc>
        <w:tc>
          <w:tcPr>
            <w:tcW w:type="auto" w:w="0"/>
            <w:tcMar>
              <w:left w:type="dxa" w:w="200"/>
              <w:top w:type="dxa" w:w="200"/>
              <w:right w:type="dxa" w:w="200"/>
              <w:bottom w:type="dxa" w:w="200"/>
            </w:tcMar>
            <w:vAlign w:val="center"/>
          </w:tcPr>
          <w:p>
            <w:pPr>
              <w:pStyle w:val="Para 013"/>
            </w:pPr>
            <w:r>
              <w:t>Abstract methods</w:t>
            </w:r>
          </w:p>
        </w:tc>
        <w:tc>
          <w:tcPr>
            <w:tcW w:type="auto" w:w="0"/>
            <w:tcMar>
              <w:left w:type="dxa" w:w="200"/>
              <w:top w:type="dxa" w:w="200"/>
              <w:right w:type="dxa" w:w="200"/>
              <w:bottom w:type="dxa" w:w="200"/>
            </w:tcMar>
            <w:vAlign w:val="center"/>
          </w:tcPr>
          <w:p>
            <w:pPr>
              <w:pStyle w:val="Para 013"/>
            </w:pPr>
            <w:r>
              <w:t>Mixin methods</w:t>
            </w:r>
          </w:p>
        </w:tc>
      </w:tr>
    </w:tbl>
    <w:tbl>
      <w:tblPr>
        <w:tblW w:type="auto" w:w="0"/>
      </w:tblPr>
      <w:tr>
        <w:tc>
          <w:tcPr>
            <w:tcW w:type="auto" w:w="0"/>
            <w:tcMar>
              <w:left w:type="dxa" w:w="200"/>
              <w:top w:type="dxa" w:w="200"/>
              <w:right w:type="dxa" w:w="200"/>
              <w:bottom w:type="dxa" w:w="200"/>
            </w:tcMar>
          </w:tcPr>
          <w:p>
            <w:pPr>
              <w:pStyle w:val="Para 001"/>
            </w:pPr>
            <w:r>
              <w:t>ItemsView</w:t>
            </w:r>
          </w:p>
        </w:tc>
        <w:tc>
          <w:tcPr>
            <w:tcW w:type="auto" w:w="0"/>
            <w:tcMar>
              <w:left w:type="dxa" w:w="200"/>
              <w:top w:type="dxa" w:w="200"/>
              <w:right w:type="dxa" w:w="200"/>
              <w:bottom w:type="dxa" w:w="200"/>
            </w:tcMar>
          </w:tcPr>
          <w:p>
            <w:pPr>
              <w:pStyle w:val="Para 001"/>
            </w:pPr>
            <w:r>
              <w:t>MappingView</w:t>
              <w:br w:clear="none"/>
            </w:r>
            <w:r>
              <w:rPr>
                <w:rStyle w:val="Text12"/>
              </w:rPr>
              <w:t xml:space="preserve"> </w:t>
            </w:r>
            <w:r>
              <w:t>Set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1"/>
            </w:pPr>
            <w:r>
              <w:t>__contains__</w:t>
              <w:br w:clear="none"/>
            </w:r>
            <w:r>
              <w:rPr>
                <w:rStyle w:val="Text12"/>
              </w:rPr>
              <w:t xml:space="preserve"> </w:t>
            </w:r>
            <w:r>
              <w:t>__iter__</w:t>
            </w:r>
          </w:p>
        </w:tc>
      </w:tr>
    </w:tbl>
    <w:tbl>
      <w:tblPr>
        <w:tblW w:type="auto" w:w="0"/>
      </w:tblPr>
      <w:tr>
        <w:tc>
          <w:tcPr>
            <w:tcW w:type="auto" w:w="0"/>
            <w:shd w:val="clear" w:color="auto" w:fill="EEF2F6"/>
            <w:tcMar>
              <w:left w:type="dxa" w:w="200"/>
              <w:top w:type="dxa" w:w="200"/>
              <w:right w:type="dxa" w:w="200"/>
              <w:bottom w:type="dxa" w:w="200"/>
            </w:tcMar>
          </w:tcPr>
          <w:p>
            <w:pPr>
              <w:pStyle w:val="Para 001"/>
            </w:pPr>
            <w:r>
              <w:t>KeysView</w:t>
            </w:r>
          </w:p>
        </w:tc>
        <w:tc>
          <w:tcPr>
            <w:tcW w:type="auto" w:w="0"/>
            <w:shd w:val="clear" w:color="auto" w:fill="EEF2F6"/>
            <w:tcMar>
              <w:left w:type="dxa" w:w="200"/>
              <w:top w:type="dxa" w:w="200"/>
              <w:right w:type="dxa" w:w="200"/>
              <w:bottom w:type="dxa" w:w="200"/>
            </w:tcMar>
          </w:tcPr>
          <w:p>
            <w:pPr>
              <w:pStyle w:val="Para 001"/>
            </w:pPr>
            <w:r>
              <w:t>MappingView</w:t>
              <w:br w:clear="none"/>
            </w:r>
            <w:r>
              <w:rPr>
                <w:rStyle w:val="Text12"/>
              </w:rPr>
              <w:t xml:space="preserve"> </w:t>
            </w:r>
            <w:r>
              <w:t>Set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1"/>
            </w:pPr>
            <w:r>
              <w:t>__contains__</w:t>
              <w:br w:clear="none"/>
            </w:r>
            <w:r>
              <w:rPr>
                <w:rStyle w:val="Text12"/>
              </w:rPr>
              <w:t xml:space="preserve"> </w:t>
            </w:r>
            <w:r>
              <w:t>__iter__</w:t>
            </w:r>
          </w:p>
        </w:tc>
      </w:tr>
    </w:tbl>
    <w:tbl>
      <w:tblPr>
        <w:tblW w:type="auto" w:w="0"/>
      </w:tblPr>
      <w:tr>
        <w:tc>
          <w:tcPr>
            <w:tcW w:type="auto" w:w="0"/>
            <w:tcMar>
              <w:left w:type="dxa" w:w="200"/>
              <w:top w:type="dxa" w:w="200"/>
              <w:right w:type="dxa" w:w="200"/>
              <w:bottom w:type="dxa" w:w="200"/>
            </w:tcMar>
          </w:tcPr>
          <w:p>
            <w:pPr>
              <w:pStyle w:val="Para 001"/>
            </w:pPr>
            <w:r>
              <w:t>MutableMapping</w:t>
            </w:r>
          </w:p>
        </w:tc>
        <w:tc>
          <w:tcPr>
            <w:tcW w:type="auto" w:w="0"/>
            <w:tcMar>
              <w:left w:type="dxa" w:w="200"/>
              <w:top w:type="dxa" w:w="200"/>
              <w:right w:type="dxa" w:w="200"/>
              <w:bottom w:type="dxa" w:w="200"/>
            </w:tcMar>
          </w:tcPr>
          <w:p>
            <w:pPr>
              <w:pStyle w:val="Para 001"/>
            </w:pPr>
            <w:r>
              <w:t>Mapping</w:t>
            </w:r>
          </w:p>
        </w:tc>
        <w:tc>
          <w:tcPr>
            <w:tcW w:type="auto" w:w="0"/>
            <w:tcMar>
              <w:left w:type="dxa" w:w="200"/>
              <w:top w:type="dxa" w:w="200"/>
              <w:right w:type="dxa" w:w="200"/>
              <w:bottom w:type="dxa" w:w="200"/>
            </w:tcMar>
          </w:tcPr>
          <w:p>
            <w:pPr>
              <w:pStyle w:val="Para 001"/>
            </w:pPr>
            <w:r>
              <w:t>__delitem__</w:t>
              <w:br w:clear="none"/>
            </w:r>
            <w:r>
              <w:rPr>
                <w:rStyle w:val="Text12"/>
              </w:rPr>
              <w:t xml:space="preserve"> </w:t>
            </w:r>
            <w:r>
              <w:t>__getitem__</w:t>
              <w:br w:clear="none"/>
            </w:r>
            <w:r>
              <w:rPr>
                <w:rStyle w:val="Text12"/>
              </w:rPr>
              <w:t xml:space="preserve"> </w:t>
            </w:r>
            <w:r>
              <w:t>__iter__</w:t>
              <w:br w:clear="none"/>
            </w:r>
            <w:r>
              <w:rPr>
                <w:rStyle w:val="Text12"/>
              </w:rPr>
              <w:t xml:space="preserve"> </w:t>
            </w:r>
            <w:r>
              <w:t>__len_</w:t>
              <w:br w:clear="none"/>
            </w:r>
            <w:r>
              <w:rPr>
                <w:rStyle w:val="Text12"/>
              </w:rPr>
              <w:t xml:space="preserve"> </w:t>
            </w:r>
            <w:r>
              <w:t>__setitem__</w:t>
            </w:r>
          </w:p>
        </w:tc>
        <w:tc>
          <w:tcPr>
            <w:tcW w:type="auto" w:w="0"/>
            <w:tcMar>
              <w:left w:type="dxa" w:w="200"/>
              <w:top w:type="dxa" w:w="200"/>
              <w:right w:type="dxa" w:w="200"/>
              <w:bottom w:type="dxa" w:w="200"/>
            </w:tcMar>
          </w:tcPr>
          <w:p>
            <w:pPr>
              <w:pStyle w:val="Para 001"/>
            </w:pPr>
            <w:r>
              <w:t>Mapping</w:t>
            </w:r>
            <w:r>
              <w:rPr>
                <w:rStyle w:val="Text12"/>
              </w:rPr>
              <w:t>’s methods, plus:</w:t>
              <w:br w:clear="none"/>
              <w:t xml:space="preserve"> </w:t>
            </w:r>
            <w:r>
              <w:t>clear</w:t>
              <w:br w:clear="none"/>
            </w:r>
            <w:r>
              <w:rPr>
                <w:rStyle w:val="Text12"/>
              </w:rPr>
              <w:t xml:space="preserve"> </w:t>
            </w:r>
            <w:r>
              <w:t>pop</w:t>
              <w:br w:clear="none"/>
            </w:r>
            <w:r>
              <w:rPr>
                <w:rStyle w:val="Text12"/>
              </w:rPr>
              <w:t xml:space="preserve"> </w:t>
            </w:r>
            <w:r>
              <w:t>popitem</w:t>
              <w:br w:clear="none"/>
            </w:r>
            <w:r>
              <w:rPr>
                <w:rStyle w:val="Text12"/>
              </w:rPr>
              <w:t xml:space="preserve"> </w:t>
            </w:r>
            <w:r>
              <w:t>setdefault</w:t>
              <w:br w:clear="none"/>
            </w:r>
            <w:r>
              <w:rPr>
                <w:rStyle w:val="Text12"/>
              </w:rPr>
              <w:t xml:space="preserve"> </w:t>
            </w:r>
            <w:r>
              <w:t>update</w:t>
            </w:r>
          </w:p>
        </w:tc>
      </w:tr>
    </w:tbl>
    <w:tbl>
      <w:tblPr>
        <w:tblW w:type="auto" w:w="0"/>
      </w:tblPr>
      <w:tr>
        <w:tc>
          <w:tcPr>
            <w:tcW w:type="auto" w:w="0"/>
            <w:shd w:val="clear" w:color="auto" w:fill="EEF2F6"/>
            <w:tcMar>
              <w:left w:type="dxa" w:w="200"/>
              <w:top w:type="dxa" w:w="200"/>
              <w:right w:type="dxa" w:w="200"/>
              <w:bottom w:type="dxa" w:w="200"/>
            </w:tcMar>
          </w:tcPr>
          <w:p>
            <w:pPr>
              <w:pStyle w:val="Para 001"/>
            </w:pPr>
            <w:r>
              <w:t>MutableSequence</w:t>
            </w:r>
          </w:p>
        </w:tc>
        <w:tc>
          <w:tcPr>
            <w:tcW w:type="auto" w:w="0"/>
            <w:shd w:val="clear" w:color="auto" w:fill="EEF2F6"/>
            <w:tcMar>
              <w:left w:type="dxa" w:w="200"/>
              <w:top w:type="dxa" w:w="200"/>
              <w:right w:type="dxa" w:w="200"/>
              <w:bottom w:type="dxa" w:w="200"/>
            </w:tcMar>
          </w:tcPr>
          <w:p>
            <w:pPr>
              <w:pStyle w:val="Para 001"/>
            </w:pPr>
            <w:r>
              <w:t>Sequence</w:t>
            </w:r>
          </w:p>
        </w:tc>
        <w:tc>
          <w:tcPr>
            <w:tcW w:type="auto" w:w="0"/>
            <w:shd w:val="clear" w:color="auto" w:fill="EEF2F6"/>
            <w:tcMar>
              <w:left w:type="dxa" w:w="200"/>
              <w:top w:type="dxa" w:w="200"/>
              <w:right w:type="dxa" w:w="200"/>
              <w:bottom w:type="dxa" w:w="200"/>
            </w:tcMar>
          </w:tcPr>
          <w:p>
            <w:pPr>
              <w:pStyle w:val="Para 001"/>
            </w:pPr>
            <w:r>
              <w:t>__delitem__</w:t>
              <w:br w:clear="none"/>
            </w:r>
            <w:r>
              <w:rPr>
                <w:rStyle w:val="Text12"/>
              </w:rPr>
              <w:t xml:space="preserve"> </w:t>
            </w:r>
            <w:r>
              <w:t>__getitem__</w:t>
              <w:br w:clear="none"/>
            </w:r>
            <w:r>
              <w:rPr>
                <w:rStyle w:val="Text12"/>
              </w:rPr>
              <w:t xml:space="preserve"> </w:t>
            </w:r>
            <w:r>
              <w:t>__len__</w:t>
              <w:br w:clear="none"/>
            </w:r>
            <w:r>
              <w:rPr>
                <w:rStyle w:val="Text12"/>
              </w:rPr>
              <w:t xml:space="preserve"> </w:t>
            </w:r>
            <w:r>
              <w:t>__setitem__</w:t>
              <w:br w:clear="none"/>
            </w:r>
            <w:r>
              <w:rPr>
                <w:rStyle w:val="Text12"/>
              </w:rPr>
              <w:t xml:space="preserve"> </w:t>
            </w:r>
            <w:r>
              <w:t>insert</w:t>
            </w:r>
          </w:p>
        </w:tc>
        <w:tc>
          <w:tcPr>
            <w:tcW w:type="auto" w:w="0"/>
            <w:shd w:val="clear" w:color="auto" w:fill="EEF2F6"/>
            <w:tcMar>
              <w:left w:type="dxa" w:w="200"/>
              <w:top w:type="dxa" w:w="200"/>
              <w:right w:type="dxa" w:w="200"/>
              <w:bottom w:type="dxa" w:w="200"/>
            </w:tcMar>
          </w:tcPr>
          <w:p>
            <w:pPr>
              <w:pStyle w:val="Para 001"/>
            </w:pPr>
            <w:r>
              <w:t>Sequence</w:t>
            </w:r>
            <w:r>
              <w:rPr>
                <w:rStyle w:val="Text12"/>
              </w:rPr>
              <w:t>’s methods, plus:</w:t>
              <w:br w:clear="none"/>
              <w:t xml:space="preserve"> </w:t>
            </w:r>
            <w:r>
              <w:t>__iadd__</w:t>
              <w:br w:clear="none"/>
            </w:r>
            <w:r>
              <w:rPr>
                <w:rStyle w:val="Text12"/>
              </w:rPr>
              <w:t xml:space="preserve"> </w:t>
            </w:r>
            <w:r>
              <w:t>append</w:t>
              <w:br w:clear="none"/>
            </w:r>
            <w:r>
              <w:rPr>
                <w:rStyle w:val="Text12"/>
              </w:rPr>
              <w:t xml:space="preserve"> </w:t>
            </w:r>
            <w:r>
              <w:t>extend</w:t>
            </w:r>
            <w:r>
              <w:rPr>
                <w:rStyle w:val="Text115"/>
              </w:rPr>
              <w:bookmarkStart w:id="1513" w:name="idm45965281709248"/>
              <w:t/>
              <w:bookmarkEnd w:id="1513"/>
              <w:br w:clear="none"/>
            </w:r>
            <w:r>
              <w:rPr>
                <w:rStyle w:val="Text12"/>
              </w:rPr>
              <w:t xml:space="preserve"> </w:t>
            </w:r>
            <w:r>
              <w:t>pop</w:t>
              <w:br w:clear="none"/>
            </w:r>
            <w:r>
              <w:rPr>
                <w:rStyle w:val="Text12"/>
              </w:rPr>
              <w:t xml:space="preserve"> </w:t>
            </w:r>
            <w:r>
              <w:t>remove</w:t>
              <w:br w:clear="none"/>
            </w:r>
            <w:r>
              <w:rPr>
                <w:rStyle w:val="Text12"/>
              </w:rPr>
              <w:t xml:space="preserve"> </w:t>
            </w:r>
            <w:r>
              <w:t>reverse</w:t>
            </w:r>
          </w:p>
        </w:tc>
      </w:tr>
    </w:tbl>
    <w:tbl>
      <w:tblPr>
        <w:tblW w:type="auto" w:w="0"/>
      </w:tblPr>
      <w:tr>
        <w:tc>
          <w:tcPr>
            <w:tcW w:type="auto" w:w="0"/>
            <w:tcMar>
              <w:left w:type="dxa" w:w="200"/>
              <w:top w:type="dxa" w:w="200"/>
              <w:right w:type="dxa" w:w="200"/>
              <w:bottom w:type="dxa" w:w="200"/>
            </w:tcMar>
          </w:tcPr>
          <w:p>
            <w:pPr>
              <w:pStyle w:val="Para 001"/>
            </w:pPr>
            <w:r>
              <w:t>MutableSet</w:t>
            </w:r>
          </w:p>
        </w:tc>
        <w:tc>
          <w:tcPr>
            <w:tcW w:type="auto" w:w="0"/>
            <w:tcMar>
              <w:left w:type="dxa" w:w="200"/>
              <w:top w:type="dxa" w:w="200"/>
              <w:right w:type="dxa" w:w="200"/>
              <w:bottom w:type="dxa" w:w="200"/>
            </w:tcMar>
          </w:tcPr>
          <w:p>
            <w:pPr>
              <w:pStyle w:val="Para 001"/>
            </w:pPr>
            <w:r>
              <w:t>Set</w:t>
            </w:r>
          </w:p>
        </w:tc>
        <w:tc>
          <w:tcPr>
            <w:tcW w:type="auto" w:w="0"/>
            <w:tcMar>
              <w:left w:type="dxa" w:w="200"/>
              <w:top w:type="dxa" w:w="200"/>
              <w:right w:type="dxa" w:w="200"/>
              <w:bottom w:type="dxa" w:w="200"/>
            </w:tcMar>
          </w:tcPr>
          <w:p>
            <w:pPr>
              <w:pStyle w:val="Para 001"/>
            </w:pPr>
            <w:r>
              <w:t>__contains__</w:t>
              <w:br w:clear="none"/>
            </w:r>
            <w:r>
              <w:rPr>
                <w:rStyle w:val="Text12"/>
              </w:rPr>
              <w:t xml:space="preserve"> </w:t>
            </w:r>
            <w:r>
              <w:t>__iter</w:t>
              <w:br w:clear="none"/>
            </w:r>
            <w:r>
              <w:rPr>
                <w:rStyle w:val="Text12"/>
              </w:rPr>
              <w:t xml:space="preserve"> </w:t>
            </w:r>
            <w:r>
              <w:t>__len__</w:t>
              <w:br w:clear="none"/>
            </w:r>
            <w:r>
              <w:rPr>
                <w:rStyle w:val="Text12"/>
              </w:rPr>
              <w:t xml:space="preserve"> </w:t>
            </w:r>
            <w:r>
              <w:t>add</w:t>
              <w:br w:clear="none"/>
            </w:r>
            <w:r>
              <w:rPr>
                <w:rStyle w:val="Text12"/>
              </w:rPr>
              <w:t xml:space="preserve"> </w:t>
            </w:r>
            <w:r>
              <w:t>discard</w:t>
            </w:r>
          </w:p>
        </w:tc>
        <w:tc>
          <w:tcPr>
            <w:tcW w:type="auto" w:w="0"/>
            <w:tcMar>
              <w:left w:type="dxa" w:w="200"/>
              <w:top w:type="dxa" w:w="200"/>
              <w:right w:type="dxa" w:w="200"/>
              <w:bottom w:type="dxa" w:w="200"/>
            </w:tcMar>
          </w:tcPr>
          <w:p>
            <w:pPr>
              <w:pStyle w:val="Para 001"/>
            </w:pPr>
            <w:r>
              <w:t>Set</w:t>
            </w:r>
            <w:r>
              <w:rPr>
                <w:rStyle w:val="Text12"/>
              </w:rPr>
              <w:t>’s methods, plus:</w:t>
              <w:br w:clear="none"/>
              <w:t xml:space="preserve"> </w:t>
            </w:r>
            <w:r>
              <w:t>__iand__</w:t>
              <w:br w:clear="none"/>
            </w:r>
            <w:r>
              <w:rPr>
                <w:rStyle w:val="Text12"/>
              </w:rPr>
              <w:t xml:space="preserve"> </w:t>
            </w:r>
            <w:r>
              <w:t>__ior__</w:t>
              <w:br w:clear="none"/>
            </w:r>
            <w:r>
              <w:rPr>
                <w:rStyle w:val="Text12"/>
              </w:rPr>
              <w:t xml:space="preserve"> </w:t>
            </w:r>
            <w:r>
              <w:t>__isub__</w:t>
              <w:br w:clear="none"/>
            </w:r>
            <w:r>
              <w:rPr>
                <w:rStyle w:val="Text12"/>
              </w:rPr>
              <w:t xml:space="preserve"> </w:t>
            </w:r>
            <w:r>
              <w:t>__ixor__</w:t>
              <w:br w:clear="none"/>
            </w:r>
            <w:r>
              <w:rPr>
                <w:rStyle w:val="Text12"/>
              </w:rPr>
              <w:t xml:space="preserve"> </w:t>
            </w:r>
            <w:r>
              <w:t>clear</w:t>
              <w:br w:clear="none"/>
            </w:r>
            <w:r>
              <w:rPr>
                <w:rStyle w:val="Text12"/>
              </w:rPr>
              <w:t xml:space="preserve"> </w:t>
            </w:r>
            <w:r>
              <w:t>pop</w:t>
              <w:br w:clear="none"/>
            </w:r>
            <w:r>
              <w:rPr>
                <w:rStyle w:val="Text12"/>
              </w:rPr>
              <w:t xml:space="preserve"> </w:t>
            </w:r>
            <w:r>
              <w:t>remove</w:t>
            </w:r>
          </w:p>
        </w:tc>
      </w:tr>
    </w:tbl>
    <w:tbl>
      <w:tblPr>
        <w:tblW w:type="auto" w:w="0"/>
      </w:tblPr>
      <w:tr>
        <w:tc>
          <w:tcPr>
            <w:tcW w:type="auto" w:w="0"/>
            <w:shd w:val="clear" w:color="auto" w:fill="EEF2F6"/>
            <w:tcMar>
              <w:left w:type="dxa" w:w="200"/>
              <w:top w:type="dxa" w:w="200"/>
              <w:right w:type="dxa" w:w="200"/>
              <w:bottom w:type="dxa" w:w="200"/>
            </w:tcMar>
          </w:tcPr>
          <w:p>
            <w:pPr>
              <w:pStyle w:val="Para 001"/>
            </w:pPr>
            <w:r>
              <w:t>ValuesView</w:t>
            </w:r>
          </w:p>
        </w:tc>
        <w:tc>
          <w:tcPr>
            <w:tcW w:type="auto" w:w="0"/>
            <w:shd w:val="clear" w:color="auto" w:fill="EEF2F6"/>
            <w:tcMar>
              <w:left w:type="dxa" w:w="200"/>
              <w:top w:type="dxa" w:w="200"/>
              <w:right w:type="dxa" w:w="200"/>
              <w:bottom w:type="dxa" w:w="200"/>
            </w:tcMar>
          </w:tcPr>
          <w:p>
            <w:pPr>
              <w:pStyle w:val="Para 001"/>
            </w:pPr>
            <w:r>
              <w:t>MappingView</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1"/>
            </w:pPr>
            <w:r>
              <w:t>__contains__</w:t>
              <w:br w:clear="none"/>
            </w:r>
            <w:r>
              <w:rPr>
                <w:rStyle w:val="Text12"/>
              </w:rPr>
              <w:t xml:space="preserve"> </w:t>
            </w:r>
            <w:r>
              <w:t>__iter__</w:t>
            </w:r>
          </w:p>
        </w:tc>
      </w:tr>
    </w:tbl>
    <w:p>
      <w:pPr>
        <w:pStyle w:val="Normal"/>
      </w:pPr>
      <w:r>
        <w:t xml:space="preserve">See the </w:t>
      </w:r>
      <w:hyperlink r:id="rId234">
        <w:r>
          <w:rPr>
            <w:rStyle w:val="Text1"/>
          </w:rPr>
          <w:t>online docs</w:t>
        </w:r>
      </w:hyperlink>
      <w:r>
        <w:t xml:space="preserve"> for further details and usage examples.</w:t>
      </w:r>
    </w:p>
    <w:p>
      <w:bookmarkStart w:id="1514" w:name="ABCs_in_the_numbers_module__numb"/>
      <w:pPr>
        <w:keepNext/>
        <w:pStyle w:val="Heading 2"/>
      </w:pPr>
      <w:r>
        <w:t>ABCs in the numbers module</w:t>
      </w:r>
      <w:bookmarkEnd w:id="1514"/>
    </w:p>
    <w:p>
      <w:pPr>
        <w:pStyle w:val="Normal"/>
      </w:pPr>
      <w:r>
        <w:rPr>
          <w:rStyle w:val="Text0"/>
        </w:rPr>
        <w:t>numbers</w:t>
      </w:r>
      <w:r>
        <w:t xml:space="preserve"> supplies</w:t>
      </w:r>
      <w:r>
        <w:rPr>
          <w:rStyle w:val="Text111"/>
        </w:rPr>
        <w:bookmarkStart w:id="1515" w:name="idm45965281684240"/>
        <w:t/>
        <w:bookmarkEnd w:id="1515"/>
        <w:bookmarkStart w:id="1516" w:name="idm45965281683104"/>
        <w:t/>
        <w:bookmarkEnd w:id="1516"/>
      </w:r>
      <w:r>
        <w:t xml:space="preserve"> a hierarchy (also known as a </w:t>
      </w:r>
      <w:r>
        <w:rPr>
          <w:rStyle w:val="Text4"/>
        </w:rPr>
        <w:t>tower</w:t>
      </w:r>
      <w:r>
        <w:t xml:space="preserve">) of ABCs representing various kinds of numbers. </w:t>
      </w:r>
      <w:hyperlink w:anchor="Table_4_6__ABCs_supplied_by_the">
        <w:r>
          <w:rPr>
            <w:rStyle w:val="Text1"/>
          </w:rPr>
          <w:t>Table 4-6</w:t>
        </w:r>
      </w:hyperlink>
      <w:r>
        <w:t xml:space="preserve"> lists the ABCs in the </w:t>
      </w:r>
      <w:r>
        <w:rPr>
          <w:rStyle w:val="Text0"/>
        </w:rPr>
        <w:t>numbers</w:t>
      </w:r>
      <w:r>
        <w:t xml:space="preserve"> module.</w:t>
      </w:r>
    </w:p>
    <w:tbl>
      <w:tblPr>
        <w:tblW w:type="auto" w:w="0"/>
      </w:tblPr>
      <w:tr>
        <w:tc>
          <w:tcPr>
            <w:tcW w:type="auto" w:w="0"/>
            <w:tcMar>
              <w:left w:type="dxa" w:w="200"/>
              <w:top w:type="dxa" w:w="200"/>
              <w:right w:type="dxa" w:w="200"/>
              <w:bottom w:type="dxa" w:w="200"/>
            </w:tcMar>
            <w:vAlign w:val="center"/>
          </w:tcPr>
          <w:p>
            <w:bookmarkStart w:id="1517" w:name="Table_4_6__ABCs_supplied_by_the"/>
            <w:pPr>
              <w:pStyle w:val="Para 011"/>
            </w:pPr>
            <w:r>
              <w:rPr>
                <w:rStyle w:val="Text117"/>
              </w:rPr>
              <w:t/>
            </w:r>
            <w:r>
              <w:t xml:space="preserve">Table 4-6. </w:t>
              <w:t xml:space="preserve">ABCs supplied by the </w:t>
            </w:r>
            <w:r>
              <w:rPr>
                <w:rStyle w:val="Text0"/>
              </w:rPr>
              <w:t>numbers</w:t>
            </w:r>
            <w:r>
              <w:t xml:space="preserve"> module</w:t>
            </w:r>
            <w:bookmarkEnd w:id="1517"/>
          </w:p>
          <w:p>
            <w:pPr>
              <w:pStyle w:val="Para 013"/>
            </w:pPr>
            <w:r>
              <w:t>ABC</w:t>
            </w:r>
          </w:p>
        </w:tc>
        <w:tc>
          <w:tcPr>
            <w:tcW w:type="auto" w:w="0"/>
            <w:tcMar>
              <w:left w:type="dxa" w:w="200"/>
              <w:top w:type="dxa" w:w="200"/>
              <w:right w:type="dxa" w:w="200"/>
              <w:bottom w:type="dxa" w:w="200"/>
            </w:tcMar>
            <w:vAlign w:val="center"/>
          </w:tcPr>
          <w:p>
            <w:pPr>
              <w:pStyle w:val="Para 013"/>
            </w:pPr>
            <w:r>
              <w:t>Description</w:t>
            </w:r>
          </w:p>
        </w:tc>
      </w:tr>
    </w:tbl>
    <w:tbl>
      <w:tblPr>
        <w:tblW w:type="auto" w:w="0"/>
      </w:tblPr>
      <w:tr>
        <w:tc>
          <w:tcPr>
            <w:tcW w:type="auto" w:w="0"/>
            <w:tcMar>
              <w:left w:type="dxa" w:w="200"/>
              <w:top w:type="dxa" w:w="200"/>
              <w:right w:type="dxa" w:w="200"/>
              <w:bottom w:type="dxa" w:w="200"/>
            </w:tcMar>
          </w:tcPr>
          <w:p>
            <w:pPr>
              <w:pStyle w:val="Para 001"/>
            </w:pPr>
            <w:r>
              <w:t>Number</w:t>
            </w:r>
          </w:p>
        </w:tc>
        <w:tc>
          <w:tcPr>
            <w:tcW w:type="auto" w:w="0"/>
            <w:tcMar>
              <w:left w:type="dxa" w:w="200"/>
              <w:top w:type="dxa" w:w="200"/>
              <w:right w:type="dxa" w:w="200"/>
              <w:bottom w:type="dxa" w:w="200"/>
            </w:tcMar>
          </w:tcPr>
          <w:p>
            <w:pPr>
              <w:pStyle w:val="Para 002"/>
            </w:pPr>
            <w:r>
              <w:t xml:space="preserve">The root of the hierarchy. Includes numbers of </w:t>
            </w:r>
            <w:r>
              <w:rPr>
                <w:rStyle w:val="Text4"/>
              </w:rPr>
              <w:t>any</w:t>
            </w:r>
            <w:r>
              <w:t xml:space="preserve"> kind; need not support any given operation.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Complex</w:t>
            </w:r>
          </w:p>
        </w:tc>
        <w:tc>
          <w:tcPr>
            <w:tcW w:type="auto" w:w="0"/>
            <w:shd w:val="clear" w:color="auto" w:fill="EEF2F6"/>
            <w:tcMar>
              <w:left w:type="dxa" w:w="200"/>
              <w:top w:type="dxa" w:w="200"/>
              <w:right w:type="dxa" w:w="200"/>
              <w:bottom w:type="dxa" w:w="200"/>
            </w:tcMar>
          </w:tcPr>
          <w:p>
            <w:pPr>
              <w:pStyle w:val="Para 002"/>
            </w:pPr>
            <w:r>
              <w:t xml:space="preserve">Extends </w:t>
            </w:r>
            <w:r>
              <w:rPr>
                <w:rStyle w:val="Text0"/>
              </w:rPr>
              <w:t>Number</w:t>
            </w:r>
            <w:r>
              <w:t xml:space="preserve">. Must support (via special methods) conversions to </w:t>
            </w:r>
            <w:r>
              <w:rPr>
                <w:rStyle w:val="Text0"/>
              </w:rPr>
              <w:t>complex</w:t>
            </w:r>
            <w:r>
              <w:t xml:space="preserve"> and </w:t>
            </w:r>
            <w:r>
              <w:rPr>
                <w:rStyle w:val="Text0"/>
              </w:rPr>
              <w:t>bool</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and </w:t>
            </w:r>
            <w:r>
              <w:rPr>
                <w:rStyle w:val="Text0"/>
              </w:rPr>
              <w:t>abs</w:t>
            </w:r>
            <w:r>
              <w:t xml:space="preserve">, and, directly, the method </w:t>
            </w:r>
            <w:r>
              <w:rPr>
                <w:rStyle w:val="Text0"/>
              </w:rPr>
              <w:t>conjugate</w:t>
            </w:r>
            <w:r>
              <w:t xml:space="preserve"> and properties </w:t>
            </w:r>
            <w:r>
              <w:rPr>
                <w:rStyle w:val="Text0"/>
              </w:rPr>
              <w:t>real</w:t>
            </w:r>
            <w:r>
              <w:t xml:space="preserve"> and </w:t>
            </w:r>
            <w:r>
              <w:rPr>
                <w:rStyle w:val="Text0"/>
              </w:rPr>
              <w:t>imag</w:t>
            </w:r>
            <w:r>
              <w:t>.</w:t>
            </w:r>
          </w:p>
        </w:tc>
      </w:tr>
    </w:tbl>
    <w:tbl>
      <w:tblPr>
        <w:tblW w:type="auto" w:w="0"/>
      </w:tblPr>
      <w:tr>
        <w:tc>
          <w:tcPr>
            <w:tcW w:type="auto" w:w="0"/>
            <w:tcMar>
              <w:left w:type="dxa" w:w="200"/>
              <w:top w:type="dxa" w:w="200"/>
              <w:right w:type="dxa" w:w="200"/>
              <w:bottom w:type="dxa" w:w="200"/>
            </w:tcMar>
          </w:tcPr>
          <w:p>
            <w:pPr>
              <w:pStyle w:val="Para 001"/>
            </w:pPr>
            <w:r>
              <w:t>Real</w:t>
            </w:r>
          </w:p>
        </w:tc>
        <w:tc>
          <w:tcPr>
            <w:tcW w:type="auto" w:w="0"/>
            <w:tcMar>
              <w:left w:type="dxa" w:w="200"/>
              <w:top w:type="dxa" w:w="200"/>
              <w:right w:type="dxa" w:w="200"/>
              <w:bottom w:type="dxa" w:w="200"/>
            </w:tcMar>
          </w:tcPr>
          <w:p>
            <w:pPr>
              <w:pStyle w:val="Para 002"/>
            </w:pPr>
            <w:r>
              <w:t xml:space="preserve">Extends </w:t>
            </w:r>
            <w:r>
              <w:rPr>
                <w:rStyle w:val="Text0"/>
              </w:rPr>
              <w:t>Complex</w:t>
            </w:r>
            <w:r>
              <w:t>.</w:t>
            </w:r>
            <w:hyperlink w:anchor="a_So__every_int_or_float_has_a_p">
              <w:r>
                <w:rPr>
                  <w:rStyle w:val="Text41"/>
                </w:rPr>
                <w:bookmarkStart w:id="1518" w:name="a_1"/>
                <w:t>a</w:t>
                <w:bookmarkEnd w:id="1518"/>
              </w:r>
            </w:hyperlink>
            <w:r>
              <w:t xml:space="preserve"> Additionally, must support (via special methods) conversion to </w:t>
            </w:r>
            <w:r>
              <w:rPr>
                <w:rStyle w:val="Text0"/>
              </w:rPr>
              <w:t>float</w:t>
            </w:r>
            <w:r>
              <w:t xml:space="preserve">, </w:t>
            </w:r>
            <w:r>
              <w:rPr>
                <w:rStyle w:val="Text0"/>
              </w:rPr>
              <w:t>math.trunc</w:t>
            </w:r>
            <w:r>
              <w:t xml:space="preserve">, </w:t>
            </w:r>
            <w:r>
              <w:rPr>
                <w:rStyle w:val="Text0"/>
              </w:rPr>
              <w:t>round</w:t>
            </w:r>
            <w:r>
              <w:t xml:space="preserve">, </w:t>
            </w:r>
            <w:r>
              <w:rPr>
                <w:rStyle w:val="Text0"/>
              </w:rPr>
              <w:t>math.floor</w:t>
            </w:r>
            <w:r>
              <w:t xml:space="preserve">, </w:t>
            </w:r>
            <w:r>
              <w:rPr>
                <w:rStyle w:val="Text0"/>
              </w:rPr>
              <w:t>math.ceil</w:t>
            </w:r>
            <w:r>
              <w:t xml:space="preserve">, </w:t>
            </w:r>
            <w:r>
              <w:rPr>
                <w:rStyle w:val="Text0"/>
              </w:rPr>
              <w:t>divmod</w:t>
            </w:r>
            <w:r>
              <w:t xml:space="preserve">, </w:t>
            </w:r>
            <w:r>
              <w:rPr>
                <w:rStyle w:val="Text0"/>
              </w:rPr>
              <w:t>//</w:t>
            </w:r>
            <w:r>
              <w:t xml:space="preserve">, </w:t>
            </w:r>
            <w:r>
              <w:rPr>
                <w:rStyle w:val="Text0"/>
              </w:rPr>
              <w:t>%</w:t>
            </w:r>
            <w:r>
              <w:t xml:space="preserve">, </w:t>
            </w:r>
            <w:r>
              <w:rPr>
                <w:rStyle w:val="Text0"/>
              </w:rPr>
              <w:t>&lt;</w:t>
            </w:r>
            <w:r>
              <w:t xml:space="preserve">, </w:t>
            </w:r>
            <w:r>
              <w:rPr>
                <w:rStyle w:val="Text0"/>
              </w:rPr>
              <w:t>&lt;=</w:t>
            </w:r>
            <w:r>
              <w:t xml:space="preserve">, </w:t>
            </w:r>
            <w:r>
              <w:rPr>
                <w:rStyle w:val="Text0"/>
              </w:rPr>
              <w:t>&gt;</w:t>
            </w:r>
            <w:r>
              <w:t xml:space="preserve">, and </w:t>
            </w:r>
            <w:r>
              <w:rPr>
                <w:rStyle w:val="Text0"/>
              </w:rPr>
              <w:t>&gt;=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Rational</w:t>
            </w:r>
          </w:p>
        </w:tc>
        <w:tc>
          <w:tcPr>
            <w:tcW w:type="auto" w:w="0"/>
            <w:shd w:val="clear" w:color="auto" w:fill="EEF2F6"/>
            <w:tcMar>
              <w:left w:type="dxa" w:w="200"/>
              <w:top w:type="dxa" w:w="200"/>
              <w:right w:type="dxa" w:w="200"/>
              <w:bottom w:type="dxa" w:w="200"/>
            </w:tcMar>
          </w:tcPr>
          <w:p>
            <w:pPr>
              <w:pStyle w:val="Para 002"/>
            </w:pPr>
            <w:r>
              <w:t xml:space="preserve">Extends </w:t>
            </w:r>
            <w:r>
              <w:rPr>
                <w:rStyle w:val="Text0"/>
              </w:rPr>
              <w:t>Real</w:t>
            </w:r>
            <w:r>
              <w:t xml:space="preserve">. Additionally, must support the properties </w:t>
            </w:r>
            <w:r>
              <w:rPr>
                <w:rStyle w:val="Text0"/>
              </w:rPr>
              <w:t>numerator</w:t>
            </w:r>
            <w:r>
              <w:t xml:space="preserve"> and </w:t>
            </w:r>
            <w:r>
              <w:rPr>
                <w:rStyle w:val="Text0"/>
              </w:rPr>
              <w:t>denominator</w:t>
            </w:r>
            <w:r>
              <w:t>.</w:t>
            </w:r>
          </w:p>
        </w:tc>
      </w:tr>
    </w:tbl>
    <w:tbl>
      <w:tblPr>
        <w:tblW w:type="auto" w:w="0"/>
      </w:tblPr>
      <w:tr>
        <w:tc>
          <w:tcPr>
            <w:tcW w:type="auto" w:w="0"/>
            <w:tcMar>
              <w:left w:type="dxa" w:w="200"/>
              <w:top w:type="dxa" w:w="200"/>
              <w:right w:type="dxa" w:w="200"/>
              <w:bottom w:type="dxa" w:w="200"/>
            </w:tcMar>
          </w:tcPr>
          <w:p>
            <w:pPr>
              <w:pStyle w:val="Para 001"/>
            </w:pPr>
            <w:r>
              <w:t>Integral</w:t>
            </w:r>
          </w:p>
        </w:tc>
        <w:tc>
          <w:tcPr>
            <w:tcW w:type="auto" w:w="0"/>
            <w:tcMar>
              <w:left w:type="dxa" w:w="200"/>
              <w:top w:type="dxa" w:w="200"/>
              <w:right w:type="dxa" w:w="200"/>
              <w:bottom w:type="dxa" w:w="200"/>
            </w:tcMar>
          </w:tcPr>
          <w:p>
            <w:pPr>
              <w:pStyle w:val="Para 002"/>
            </w:pPr>
            <w:r>
              <w:t xml:space="preserve">Extends </w:t>
            </w:r>
            <w:r>
              <w:rPr>
                <w:rStyle w:val="Text0"/>
              </w:rPr>
              <w:t>Rational</w:t>
            </w:r>
            <w:r>
              <w:t>.</w:t>
            </w:r>
            <w:hyperlink w:anchor="b_So__every_int_has_a_property_n">
              <w:r>
                <w:rPr>
                  <w:rStyle w:val="Text41"/>
                </w:rPr>
                <w:bookmarkStart w:id="1519" w:name="b_1"/>
                <w:t>b</w:t>
                <w:bookmarkEnd w:id="1519"/>
              </w:r>
            </w:hyperlink>
            <w:r>
              <w:t xml:space="preserve"> Additionally, must support (via special methods) conversion to </w:t>
            </w:r>
            <w:r>
              <w:rPr>
                <w:rStyle w:val="Text0"/>
              </w:rPr>
              <w:t>int</w:t>
            </w:r>
            <w:r>
              <w:t xml:space="preserve">, </w:t>
            </w:r>
            <w:r>
              <w:rPr>
                <w:rStyle w:val="Text0"/>
              </w:rPr>
              <w:t>**</w:t>
            </w:r>
            <w:r>
              <w:t xml:space="preserve">, and bitwise operations </w:t>
            </w:r>
            <w:r>
              <w:rPr>
                <w:rStyle w:val="Text0"/>
              </w:rPr>
              <w:t>&lt;&lt;</w:t>
            </w:r>
            <w:r>
              <w:t xml:space="preserve">, </w:t>
            </w:r>
            <w:r>
              <w:rPr>
                <w:rStyle w:val="Text0"/>
              </w:rPr>
              <w:t>&gt;&gt;</w:t>
            </w:r>
            <w:r>
              <w:t xml:space="preserve">, </w:t>
            </w:r>
            <w:r>
              <w:rPr>
                <w:rStyle w:val="Text0"/>
              </w:rPr>
              <w:t>&amp;</w:t>
            </w:r>
            <w:r>
              <w:t xml:space="preserve">, </w:t>
            </w:r>
            <w:r>
              <w:rPr>
                <w:rStyle w:val="Text0"/>
              </w:rPr>
              <w:t>^</w:t>
            </w:r>
            <w:r>
              <w:t xml:space="preserve">, </w:t>
            </w:r>
            <w:r>
              <w:rPr>
                <w:rStyle w:val="Text0"/>
              </w:rPr>
              <w:t>|</w:t>
            </w:r>
            <w:r>
              <w:t xml:space="preserve">, and </w:t>
            </w:r>
            <w:r>
              <w:rPr>
                <w:rStyle w:val="Text0"/>
              </w:rPr>
              <w:t>~</w:t>
            </w:r>
            <w:r>
              <w:t>.</w:t>
            </w:r>
          </w:p>
        </w:tc>
      </w:tr>
    </w:tbl>
    <w:tbl>
      <w:tblPr>
        <w:tblW w:type="auto" w:w="0"/>
      </w:tblPr>
      <w:tr>
        <w:tc>
          <w:tcPr>
            <w:tcW w:type="auto" w:w="0"/>
            <w:tcMar>
              <w:left w:type="dxa" w:w="200"/>
              <w:top w:type="dxa" w:w="200"/>
              <w:right w:type="dxa" w:w="200"/>
              <w:bottom w:type="dxa" w:w="200"/>
            </w:tcMar>
            <w:hMerge w:val="restart"/>
          </w:tcPr>
          <w:p>
            <w:bookmarkStart w:id="1520" w:name="a_So__every_int_or_float_has_a_p"/>
            <w:pPr>
              <w:pStyle w:val="Para 036"/>
            </w:pPr>
            <w:hyperlink w:anchor="a_1">
              <w:r>
                <w:rPr>
                  <w:rStyle w:val="Text1"/>
                </w:rPr>
                <w:t>a</w:t>
              </w:r>
            </w:hyperlink>
            <w:r>
              <w:t xml:space="preserve"> So, every </w:t>
            </w:r>
            <w:r>
              <w:rPr>
                <w:rStyle w:val="Text25"/>
              </w:rPr>
              <w:t>int</w:t>
            </w:r>
            <w:r>
              <w:t xml:space="preserve"> or </w:t>
            </w:r>
            <w:r>
              <w:rPr>
                <w:rStyle w:val="Text25"/>
              </w:rPr>
              <w:t>float</w:t>
            </w:r>
            <w:r>
              <w:t xml:space="preserve"> has a property </w:t>
            </w:r>
            <w:r>
              <w:rPr>
                <w:rStyle w:val="Text25"/>
              </w:rPr>
              <w:t>real</w:t>
            </w:r>
            <w:r>
              <w:t xml:space="preserve"> equal to its value, and a property </w:t>
            </w:r>
            <w:r>
              <w:rPr>
                <w:rStyle w:val="Text25"/>
              </w:rPr>
              <w:t>imag</w:t>
            </w:r>
            <w:r>
              <w:t xml:space="preserve"> equal to </w:t>
            </w:r>
            <w:r>
              <w:rPr>
                <w:rStyle w:val="Text25"/>
              </w:rPr>
              <w:t>0</w:t>
            </w:r>
            <w:r>
              <w:t>.</w:t>
            </w:r>
            <w:bookmarkEnd w:id="1520"/>
          </w:p>
          <w:p>
            <w:bookmarkStart w:id="1521" w:name="b_So__every_int_has_a_property_n"/>
            <w:pPr>
              <w:pStyle w:val="Para 062"/>
            </w:pPr>
            <w:hyperlink w:anchor="b_1">
              <w:r>
                <w:rPr>
                  <w:rStyle w:val="Text1"/>
                </w:rPr>
                <w:t>b</w:t>
              </w:r>
            </w:hyperlink>
            <w:r>
              <w:t xml:space="preserve"> So, every </w:t>
            </w:r>
            <w:r>
              <w:rPr>
                <w:rStyle w:val="Text25"/>
              </w:rPr>
              <w:t>int</w:t>
            </w:r>
            <w:r>
              <w:t xml:space="preserve"> has a property </w:t>
            </w:r>
            <w:r>
              <w:rPr>
                <w:rStyle w:val="Text25"/>
              </w:rPr>
              <w:t>numerator</w:t>
            </w:r>
            <w:r>
              <w:t xml:space="preserve"> equal to its value, and a property </w:t>
            </w:r>
            <w:r>
              <w:rPr>
                <w:rStyle w:val="Text25"/>
              </w:rPr>
              <w:t>denominator</w:t>
            </w:r>
            <w:r>
              <w:t xml:space="preserve"> equal to </w:t>
            </w:r>
            <w:r>
              <w:rPr>
                <w:rStyle w:val="Text25"/>
              </w:rPr>
              <w:t>1</w:t>
            </w:r>
            <w:r>
              <w:t>.</w:t>
            </w:r>
            <w:bookmarkEnd w:id="1521"/>
          </w:p>
        </w:tc>
        <w:tc>
          <w:tcPr>
            <w:hMerge w:val="continue"/>
          </w:tcPr>
          <w:p/>
        </w:tc>
      </w:tr>
    </w:tbl>
    <w:p>
      <w:pPr>
        <w:pStyle w:val="Normal"/>
      </w:pPr>
      <w:r>
        <w:t xml:space="preserve">See the </w:t>
      </w:r>
      <w:hyperlink r:id="rId235">
        <w:r>
          <w:rPr>
            <w:rStyle w:val="Text1"/>
          </w:rPr>
          <w:t>online docs</w:t>
        </w:r>
      </w:hyperlink>
      <w:r>
        <w:t xml:space="preserve"> for notes on implementing your own numeric types.</w:t>
      </w:r>
      <w:r>
        <w:rPr>
          <w:rStyle w:val="Text111"/>
        </w:rPr>
        <w:bookmarkStart w:id="1522" w:name="idm45965281629312"/>
        <w:t/>
        <w:bookmarkEnd w:id="1522"/>
      </w:r>
    </w:p>
    <w:p>
      <w:bookmarkStart w:id="1523" w:name="Special_Methods_for_Numeric_Obje"/>
      <w:pPr>
        <w:keepNext/>
        <w:pStyle w:val="Heading 2"/>
      </w:pPr>
      <w:r>
        <w:t>Special Methods for Numeric Objects</w:t>
      </w:r>
      <w:bookmarkEnd w:id="1523"/>
    </w:p>
    <w:p>
      <w:pPr>
        <w:pStyle w:val="Normal"/>
      </w:pPr>
      <w:r>
        <w:t>An</w:t>
      </w:r>
      <w:r>
        <w:rPr>
          <w:rStyle w:val="Text111"/>
        </w:rPr>
        <w:bookmarkStart w:id="1524" w:name="idm45965281626272"/>
        <w:t/>
        <w:bookmarkEnd w:id="1524"/>
        <w:bookmarkStart w:id="1525" w:name="numobspec04"/>
        <w:t/>
        <w:bookmarkEnd w:id="1525"/>
      </w:r>
      <w:r>
        <w:t xml:space="preserve"> instance may support numeric operations by means of many special methods. Some classes that are not numbers also support some of the special methods in </w:t>
      </w:r>
      <w:hyperlink w:anchor="Table_4_7__Special_methods_for_n">
        <w:r>
          <w:rPr>
            <w:rStyle w:val="Text1"/>
          </w:rPr>
          <w:t>Table 4-7</w:t>
        </w:r>
      </w:hyperlink>
      <w:r>
        <w:t xml:space="preserve"> in order to overload operators such as </w:t>
      </w:r>
      <w:r>
        <w:rPr>
          <w:rStyle w:val="Text0"/>
        </w:rPr>
        <w:t>+</w:t>
      </w:r>
      <w:r>
        <w:t xml:space="preserve"> and </w:t>
      </w:r>
      <w:r>
        <w:rPr>
          <w:rStyle w:val="Text0"/>
        </w:rPr>
        <w:t>*</w:t>
      </w:r>
      <w:r>
        <w:t xml:space="preserve">. In particular, sequences should have special methods </w:t>
      </w:r>
      <w:r>
        <w:rPr>
          <w:rStyle w:val="Text0"/>
        </w:rPr>
        <w:t>__add__</w:t>
      </w:r>
      <w:r>
        <w:t xml:space="preserve">, </w:t>
      </w:r>
      <w:r>
        <w:rPr>
          <w:rStyle w:val="Text0"/>
        </w:rPr>
        <w:t>__mul__</w:t>
      </w:r>
      <w:r>
        <w:t xml:space="preserve">, </w:t>
      </w:r>
      <w:r>
        <w:rPr>
          <w:rStyle w:val="Text0"/>
        </w:rPr>
        <w:t>__radd__</w:t>
      </w:r>
      <w:r>
        <w:t xml:space="preserve">, and </w:t>
      </w:r>
      <w:r>
        <w:rPr>
          <w:rStyle w:val="Text0"/>
        </w:rPr>
        <w:t>__rmul__</w:t>
      </w:r>
      <w:r>
        <w:t xml:space="preserve">, as mentioned in </w:t>
      </w:r>
      <w:hyperlink w:anchor="Sequences__A_sequence_is_an_orde">
        <w:r>
          <w:rPr>
            <w:rStyle w:val="Text1"/>
          </w:rPr>
          <w:t>“Sequences”</w:t>
        </w:r>
      </w:hyperlink>
      <w:r>
        <w:t xml:space="preserve">. When one of the binary methods (such as </w:t>
      </w:r>
      <w:r>
        <w:rPr>
          <w:rStyle w:val="Text0"/>
        </w:rPr>
        <w:t>__add__</w:t>
      </w:r>
      <w:r>
        <w:t xml:space="preserve">, </w:t>
      </w:r>
      <w:r>
        <w:rPr>
          <w:rStyle w:val="Text0"/>
        </w:rPr>
        <w:t>__sub__</w:t>
      </w:r>
      <w:r>
        <w:t>, etc.) is called with an operand of an unsupported type for that method, the method should return the</w:t>
      </w:r>
      <w:r>
        <w:rPr>
          <w:rStyle w:val="Text111"/>
        </w:rPr>
        <w:bookmarkStart w:id="1526" w:name="idm45965281615008"/>
        <w:t/>
        <w:bookmarkEnd w:id="1526"/>
      </w:r>
      <w:r>
        <w:t xml:space="preserve"> built-in singleton </w:t>
      </w:r>
      <w:r>
        <w:rPr>
          <w:rStyle w:val="Text0"/>
        </w:rPr>
        <w:t>NotImplemented</w:t>
      </w:r>
      <w:r>
        <w:t>.</w:t>
      </w:r>
    </w:p>
    <w:tbl>
      <w:tblPr>
        <w:tblW w:type="auto" w:w="0"/>
      </w:tblPr>
      <w:tr>
        <w:tc>
          <w:tcPr>
            <w:tcW w:type="auto" w:w="0"/>
            <w:tcMar>
              <w:left w:type="dxa" w:w="200"/>
              <w:top w:type="dxa" w:w="200"/>
              <w:right w:type="dxa" w:w="200"/>
              <w:bottom w:type="dxa" w:w="200"/>
            </w:tcMar>
          </w:tcPr>
          <w:p>
            <w:bookmarkStart w:id="1527" w:name="Table_4_7__Special_methods_for_n"/>
            <w:pPr>
              <w:pStyle w:val="Para 011"/>
            </w:pPr>
            <w:r>
              <w:rPr>
                <w:rStyle w:val="Text117"/>
              </w:rPr>
              <w:t/>
            </w:r>
            <w:r>
              <w:t xml:space="preserve">Table 4-7. </w:t>
              <w:t>Special methods for numeric objects</w:t>
            </w:r>
            <w:bookmarkEnd w:id="1527"/>
          </w:p>
          <w:p>
            <w:pPr>
              <w:pStyle w:val="Para 001"/>
            </w:pPr>
            <w:r>
              <w:t>__abs__</w:t>
            </w:r>
            <w:r>
              <w:rPr>
                <w:rStyle w:val="Text12"/>
              </w:rPr>
              <w:t>,</w:t>
              <w:br w:clear="none"/>
              <w:t xml:space="preserve"> </w:t>
            </w:r>
            <w:r>
              <w:t>__invert__</w:t>
            </w:r>
            <w:r>
              <w:rPr>
                <w:rStyle w:val="Text12"/>
              </w:rPr>
              <w:t>,</w:t>
              <w:br w:clear="none"/>
              <w:t xml:space="preserve"> </w:t>
            </w:r>
            <w:r>
              <w:t>__neg__</w:t>
            </w:r>
            <w:r>
              <w:rPr>
                <w:rStyle w:val="Text12"/>
              </w:rPr>
              <w:t>,</w:t>
              <w:br w:clear="none"/>
              <w:t xml:space="preserve"> </w:t>
            </w:r>
            <w:r>
              <w:t>__pos__</w:t>
            </w:r>
          </w:p>
        </w:tc>
        <w:tc>
          <w:tcPr>
            <w:tcW w:type="auto" w:w="0"/>
            <w:tcMar>
              <w:left w:type="dxa" w:w="200"/>
              <w:top w:type="dxa" w:w="200"/>
              <w:right w:type="dxa" w:w="200"/>
              <w:bottom w:type="dxa" w:w="200"/>
            </w:tcMar>
          </w:tcPr>
          <w:p>
            <w:pPr>
              <w:pStyle w:val="Para 002"/>
            </w:pPr>
            <w:r>
              <w:rPr>
                <w:rStyle w:val="Text0"/>
              </w:rPr>
              <w:t>__abs_(self)</w:t>
            </w:r>
            <w:r>
              <w:t xml:space="preserve">, </w:t>
            </w:r>
            <w:r>
              <w:rPr>
                <w:rStyle w:val="Text111"/>
              </w:rPr>
              <w:bookmarkStart w:id="1528" w:name="idm45965281605600"/>
              <w:t/>
              <w:bookmarkEnd w:id="1528"/>
            </w:r>
            <w:r>
              <w:rPr>
                <w:rStyle w:val="Text0"/>
              </w:rPr>
              <w:t xml:space="preserve"> __invert__(self)</w:t>
            </w:r>
            <w:r>
              <w:t xml:space="preserve">, </w:t>
            </w:r>
            <w:r>
              <w:rPr>
                <w:rStyle w:val="Text0"/>
              </w:rPr>
              <w:t xml:space="preserve"> __neg__(self)</w:t>
            </w:r>
            <w:r>
              <w:t xml:space="preserve">, </w:t>
            </w:r>
            <w:r>
              <w:rPr>
                <w:rStyle w:val="Text0"/>
              </w:rPr>
              <w:t xml:space="preserve"> __pos__(self)</w:t>
              <w:br w:clear="none"/>
            </w:r>
            <w:r>
              <w:t xml:space="preserve"> The</w:t>
            </w:r>
            <w:r>
              <w:rPr>
                <w:rStyle w:val="Text111"/>
              </w:rPr>
              <w:bookmarkStart w:id="1529" w:name="idm45965281602208"/>
              <w:t/>
              <w:bookmarkEnd w:id="1529"/>
              <w:bookmarkStart w:id="1530" w:name="idm45965281601136"/>
              <w:t/>
              <w:bookmarkEnd w:id="1530"/>
              <w:bookmarkStart w:id="1531" w:name="idm45965281600064"/>
              <w:t/>
              <w:bookmarkEnd w:id="1531"/>
            </w:r>
            <w:r>
              <w:t xml:space="preserve"> unary operators </w:t>
            </w:r>
            <w:r>
              <w:rPr>
                <w:rStyle w:val="Text0"/>
              </w:rPr>
              <w:t>abs(</w:t>
            </w:r>
            <w:r>
              <w:rPr>
                <w:rStyle w:val="Text3"/>
              </w:rPr>
              <w:t>x</w:t>
            </w:r>
            <w:r>
              <w:rPr>
                <w:rStyle w:val="Text0"/>
              </w:rPr>
              <w:t>)</w:t>
            </w:r>
            <w:r>
              <w:t xml:space="preserve">, </w:t>
            </w:r>
            <w:r>
              <w:rPr>
                <w:rStyle w:val="Text0"/>
              </w:rPr>
              <w:t>~</w:t>
            </w:r>
            <w:r>
              <w:rPr>
                <w:rStyle w:val="Text3"/>
              </w:rPr>
              <w:t>x</w:t>
            </w:r>
            <w:r>
              <w:t xml:space="preserve">, </w:t>
            </w:r>
            <w:r>
              <w:rPr>
                <w:rStyle w:val="Text0"/>
              </w:rPr>
              <w:t>-</w:t>
            </w:r>
            <w:r>
              <w:rPr>
                <w:rStyle w:val="Text3"/>
              </w:rPr>
              <w:t>x</w:t>
            </w:r>
            <w:r>
              <w:t xml:space="preserve">, and </w:t>
            </w:r>
            <w:r>
              <w:rPr>
                <w:rStyle w:val="Text0"/>
              </w:rPr>
              <w:t>+</w:t>
            </w:r>
            <w:r>
              <w:rPr>
                <w:rStyle w:val="Text3"/>
              </w:rPr>
              <w:t>x</w:t>
            </w:r>
            <w:r>
              <w:t>, respectively, call these methods.</w:t>
            </w:r>
          </w:p>
        </w:tc>
      </w:tr>
    </w:tbl>
    <w:tbl>
      <w:tblPr>
        <w:tblW w:type="auto" w:w="0"/>
      </w:tblPr>
      <w:tr>
        <w:tc>
          <w:tcPr>
            <w:tcW w:type="auto" w:w="0"/>
            <w:shd w:val="clear" w:color="auto" w:fill="EEF2F6"/>
            <w:tcMar>
              <w:left w:type="dxa" w:w="200"/>
              <w:top w:type="dxa" w:w="200"/>
              <w:right w:type="dxa" w:w="200"/>
              <w:bottom w:type="dxa" w:w="200"/>
            </w:tcMar>
          </w:tcPr>
          <w:p>
            <w:pPr>
              <w:pStyle w:val="Para 001"/>
            </w:pPr>
            <w:r>
              <w:t>__add__</w:t>
            </w:r>
            <w:r>
              <w:rPr>
                <w:rStyle w:val="Text12"/>
              </w:rPr>
              <w:t>,</w:t>
              <w:br w:clear="none"/>
              <w:t xml:space="preserve"> </w:t>
            </w:r>
            <w:r>
              <w:t>__mod__</w:t>
            </w:r>
            <w:r>
              <w:rPr>
                <w:rStyle w:val="Text12"/>
              </w:rPr>
              <w:t>,</w:t>
              <w:br w:clear="none"/>
              <w:t xml:space="preserve"> </w:t>
            </w:r>
            <w:r>
              <w:t>__mul__</w:t>
            </w:r>
            <w:r>
              <w:rPr>
                <w:rStyle w:val="Text12"/>
              </w:rPr>
              <w:t>,</w:t>
              <w:br w:clear="none"/>
              <w:t xml:space="preserve"> </w:t>
            </w:r>
            <w:r>
              <w:t>__sub__</w:t>
            </w:r>
          </w:p>
        </w:tc>
        <w:tc>
          <w:tcPr>
            <w:tcW w:type="auto" w:w="0"/>
            <w:shd w:val="clear" w:color="auto" w:fill="EEF2F6"/>
            <w:tcMar>
              <w:left w:type="dxa" w:w="200"/>
              <w:top w:type="dxa" w:w="200"/>
              <w:right w:type="dxa" w:w="200"/>
              <w:bottom w:type="dxa" w:w="200"/>
            </w:tcMar>
          </w:tcPr>
          <w:p>
            <w:pPr>
              <w:pStyle w:val="Para 002"/>
            </w:pPr>
            <w:r>
              <w:rPr>
                <w:rStyle w:val="Text0"/>
              </w:rPr>
              <w:t>__add__ (self,</w:t>
            </w:r>
            <w:r>
              <w:t xml:space="preserve"> </w:t>
            </w:r>
            <w:r>
              <w:rPr>
                <w:rStyle w:val="Text3"/>
              </w:rPr>
              <w:t>other</w:t>
            </w:r>
            <w:r>
              <w:rPr>
                <w:rStyle w:val="Text0"/>
              </w:rPr>
              <w:t>)</w:t>
            </w:r>
            <w:r>
              <w:t>,</w:t>
              <w:br w:clear="none"/>
              <w:t xml:space="preserve"> </w:t>
            </w:r>
            <w:r>
              <w:rPr>
                <w:rStyle w:val="Text0"/>
              </w:rPr>
              <w:t>__mod__(self,</w:t>
            </w:r>
            <w:r>
              <w:t xml:space="preserve"> </w:t>
            </w:r>
            <w:r>
              <w:rPr>
                <w:rStyle w:val="Text3"/>
              </w:rPr>
              <w:t>other</w:t>
            </w:r>
            <w:r>
              <w:rPr>
                <w:rStyle w:val="Text0"/>
              </w:rPr>
              <w:t>)</w:t>
            </w:r>
            <w:r>
              <w:t>,</w:t>
              <w:br w:clear="none"/>
              <w:t xml:space="preserve"> </w:t>
            </w:r>
            <w:r>
              <w:rPr>
                <w:rStyle w:val="Text0"/>
              </w:rPr>
              <w:t>__mul__(self,</w:t>
            </w:r>
            <w:r>
              <w:t xml:space="preserve"> </w:t>
            </w:r>
            <w:r>
              <w:rPr>
                <w:rStyle w:val="Text3"/>
              </w:rPr>
              <w:t>other</w:t>
            </w:r>
            <w:r>
              <w:rPr>
                <w:rStyle w:val="Text0"/>
              </w:rPr>
              <w:t>)</w:t>
            </w:r>
            <w:r>
              <w:t>,</w:t>
              <w:br w:clear="none"/>
              <w:t xml:space="preserve"> </w:t>
            </w:r>
            <w:r>
              <w:rPr>
                <w:rStyle w:val="Text0"/>
              </w:rPr>
              <w:t>__sub__(self,</w:t>
            </w:r>
            <w:r>
              <w:t xml:space="preserve"> </w:t>
            </w:r>
            <w:r>
              <w:rPr>
                <w:rStyle w:val="Text3"/>
              </w:rPr>
              <w:t>other</w:t>
            </w:r>
            <w:r>
              <w:rPr>
                <w:rStyle w:val="Text0"/>
              </w:rPr>
              <w:t>)</w:t>
              <w:br w:clear="none"/>
            </w:r>
            <w:r>
              <w:t xml:space="preserve"> The</w:t>
            </w:r>
            <w:r>
              <w:rPr>
                <w:rStyle w:val="Text111"/>
              </w:rPr>
              <w:bookmarkStart w:id="1532" w:name="idm45965281578912"/>
              <w:t/>
              <w:bookmarkEnd w:id="1532"/>
              <w:bookmarkStart w:id="1533" w:name="idm45965281577840"/>
              <w:t/>
              <w:bookmarkEnd w:id="1533"/>
              <w:bookmarkStart w:id="1534" w:name="idm45965281576720"/>
              <w:t/>
              <w:bookmarkEnd w:id="1534"/>
              <w:bookmarkStart w:id="1535" w:name="idm45965281575600"/>
              <w:t/>
              <w:bookmarkEnd w:id="1535"/>
            </w:r>
            <w:r>
              <w:t xml:space="preserve"> operators </w:t>
            </w:r>
            <w:r>
              <w:rPr>
                <w:rStyle w:val="Text3"/>
              </w:rPr>
              <w:t>x +</w:t>
            </w:r>
            <w:r>
              <w:t xml:space="preserve"> </w:t>
            </w:r>
            <w:r>
              <w:rPr>
                <w:rStyle w:val="Text3"/>
              </w:rPr>
              <w:t>y</w:t>
            </w:r>
            <w:r>
              <w:t xml:space="preserve">, </w:t>
            </w:r>
            <w:r>
              <w:rPr>
                <w:rStyle w:val="Text3"/>
              </w:rPr>
              <w:t>x %</w:t>
            </w:r>
            <w:r>
              <w:t xml:space="preserve"> </w:t>
            </w:r>
            <w:r>
              <w:rPr>
                <w:rStyle w:val="Text3"/>
              </w:rPr>
              <w:t>y</w:t>
            </w:r>
            <w:r>
              <w:t xml:space="preserve">, </w:t>
            </w:r>
            <w:r>
              <w:rPr>
                <w:rStyle w:val="Text3"/>
              </w:rPr>
              <w:t>x *</w:t>
            </w:r>
            <w:r>
              <w:t xml:space="preserve"> </w:t>
            </w:r>
            <w:r>
              <w:rPr>
                <w:rStyle w:val="Text3"/>
              </w:rPr>
              <w:t>y</w:t>
            </w:r>
            <w:r>
              <w:t xml:space="preserve">, and </w:t>
            </w:r>
            <w:r>
              <w:rPr>
                <w:rStyle w:val="Text3"/>
              </w:rPr>
              <w:t>x -</w:t>
            </w:r>
            <w:r>
              <w:t xml:space="preserve"> </w:t>
            </w:r>
            <w:r>
              <w:rPr>
                <w:rStyle w:val="Text3"/>
              </w:rPr>
              <w:t>y</w:t>
            </w:r>
            <w:r>
              <w:t>, respectively, call these methods, usually for arithmetic computations.</w:t>
            </w:r>
          </w:p>
        </w:tc>
      </w:tr>
    </w:tbl>
    <w:tbl>
      <w:tblPr>
        <w:tblW w:type="auto" w:w="0"/>
      </w:tblPr>
      <w:tr>
        <w:tc>
          <w:tcPr>
            <w:tcW w:type="auto" w:w="0"/>
            <w:tcMar>
              <w:left w:type="dxa" w:w="200"/>
              <w:top w:type="dxa" w:w="200"/>
              <w:right w:type="dxa" w:w="200"/>
              <w:bottom w:type="dxa" w:w="200"/>
            </w:tcMar>
          </w:tcPr>
          <w:p>
            <w:pPr>
              <w:pStyle w:val="Para 001"/>
            </w:pPr>
            <w:r>
              <w:t>__and__</w:t>
            </w:r>
            <w:r>
              <w:rPr>
                <w:rStyle w:val="Text12"/>
              </w:rPr>
              <w:t>,</w:t>
              <w:br w:clear="none"/>
              <w:t xml:space="preserve"> </w:t>
            </w:r>
            <w:r>
              <w:t>__lshift__</w:t>
            </w:r>
            <w:r>
              <w:rPr>
                <w:rStyle w:val="Text12"/>
              </w:rPr>
              <w:t>,</w:t>
              <w:br w:clear="none"/>
              <w:t xml:space="preserve"> </w:t>
            </w:r>
            <w:r>
              <w:t>__or__</w:t>
            </w:r>
            <w:r>
              <w:rPr>
                <w:rStyle w:val="Text12"/>
              </w:rPr>
              <w:t>,</w:t>
              <w:br w:clear="none"/>
              <w:t xml:space="preserve"> </w:t>
            </w:r>
            <w:r>
              <w:t>__rshift__</w:t>
            </w:r>
            <w:r>
              <w:rPr>
                <w:rStyle w:val="Text12"/>
              </w:rPr>
              <w:t>,</w:t>
              <w:br w:clear="none"/>
              <w:t xml:space="preserve"> </w:t>
            </w:r>
            <w:r>
              <w:t>__xor__</w:t>
            </w:r>
          </w:p>
        </w:tc>
        <w:tc>
          <w:tcPr>
            <w:tcW w:type="auto" w:w="0"/>
            <w:tcMar>
              <w:left w:type="dxa" w:w="200"/>
              <w:top w:type="dxa" w:w="200"/>
              <w:right w:type="dxa" w:w="200"/>
              <w:bottom w:type="dxa" w:w="200"/>
            </w:tcMar>
          </w:tcPr>
          <w:p>
            <w:pPr>
              <w:pStyle w:val="Para 002"/>
            </w:pPr>
            <w:r>
              <w:rPr>
                <w:rStyle w:val="Text0"/>
              </w:rPr>
              <w:t>__and__(self,</w:t>
            </w:r>
            <w:r>
              <w:t xml:space="preserve"> </w:t>
            </w:r>
            <w:r>
              <w:rPr>
                <w:rStyle w:val="Text3"/>
              </w:rPr>
              <w:t>other</w:t>
            </w:r>
            <w:r>
              <w:rPr>
                <w:rStyle w:val="Text0"/>
              </w:rPr>
              <w:t>)</w:t>
            </w:r>
            <w:r>
              <w:t>,</w:t>
            </w:r>
            <w:r>
              <w:rPr>
                <w:rStyle w:val="Text0"/>
              </w:rPr>
              <w:t xml:space="preserve"> __lshift__(self,</w:t>
            </w:r>
            <w:r>
              <w:t xml:space="preserve"> </w:t>
            </w:r>
            <w:r>
              <w:rPr>
                <w:rStyle w:val="Text3"/>
              </w:rPr>
              <w:t>other</w:t>
            </w:r>
            <w:r>
              <w:rPr>
                <w:rStyle w:val="Text0"/>
              </w:rPr>
              <w:t>)</w:t>
            </w:r>
            <w:r>
              <w:t>,</w:t>
              <w:br w:clear="none"/>
              <w:t xml:space="preserve"> </w:t>
            </w:r>
            <w:r>
              <w:rPr>
                <w:rStyle w:val="Text0"/>
              </w:rPr>
              <w:t>__or__(self,</w:t>
            </w:r>
            <w:r>
              <w:t xml:space="preserve"> </w:t>
            </w:r>
            <w:r>
              <w:rPr>
                <w:rStyle w:val="Text3"/>
              </w:rPr>
              <w:t>other</w:t>
            </w:r>
            <w:r>
              <w:rPr>
                <w:rStyle w:val="Text0"/>
              </w:rPr>
              <w:t>)</w:t>
            </w:r>
            <w:r>
              <w:t>,</w:t>
            </w:r>
            <w:r>
              <w:rPr>
                <w:rStyle w:val="Text0"/>
              </w:rPr>
              <w:t xml:space="preserve"> __rshift_(self,</w:t>
            </w:r>
            <w:r>
              <w:t xml:space="preserve"> </w:t>
            </w:r>
            <w:r>
              <w:rPr>
                <w:rStyle w:val="Text3"/>
              </w:rPr>
              <w:t>other</w:t>
            </w:r>
            <w:r>
              <w:rPr>
                <w:rStyle w:val="Text0"/>
              </w:rPr>
              <w:t>)</w:t>
            </w:r>
            <w:r>
              <w:t>,</w:t>
              <w:br w:clear="none"/>
              <w:t xml:space="preserve"> </w:t>
            </w:r>
            <w:r>
              <w:rPr>
                <w:rStyle w:val="Text0"/>
              </w:rPr>
              <w:t>__xor__(self,</w:t>
            </w:r>
            <w:r>
              <w:t xml:space="preserve"> </w:t>
            </w:r>
            <w:r>
              <w:rPr>
                <w:rStyle w:val="Text3"/>
              </w:rPr>
              <w:t>other</w:t>
            </w:r>
            <w:r>
              <w:rPr>
                <w:rStyle w:val="Text0"/>
              </w:rPr>
              <w:t>)</w:t>
              <w:br w:clear="none"/>
            </w:r>
            <w:r>
              <w:t xml:space="preserve"> The</w:t>
            </w:r>
            <w:r>
              <w:rPr>
                <w:rStyle w:val="Text111"/>
              </w:rPr>
              <w:bookmarkStart w:id="1536" w:name="idm45965281550464"/>
              <w:t/>
              <w:bookmarkEnd w:id="1536"/>
              <w:bookmarkStart w:id="1537" w:name="idm45965281549392"/>
              <w:t/>
              <w:bookmarkEnd w:id="1537"/>
              <w:bookmarkStart w:id="1538" w:name="idm45965281548320"/>
              <w:t/>
              <w:bookmarkEnd w:id="1538"/>
              <w:bookmarkStart w:id="1539" w:name="idm45965281547248"/>
              <w:t/>
              <w:bookmarkEnd w:id="1539"/>
              <w:bookmarkStart w:id="1540" w:name="idm45965281546128"/>
              <w:t/>
              <w:bookmarkEnd w:id="1540"/>
            </w:r>
            <w:r>
              <w:t xml:space="preserve"> operators </w:t>
            </w:r>
            <w:r>
              <w:rPr>
                <w:rStyle w:val="Text3"/>
              </w:rPr>
              <w:t>x &amp;</w:t>
            </w:r>
            <w:r>
              <w:t xml:space="preserve"> </w:t>
            </w:r>
            <w:r>
              <w:rPr>
                <w:rStyle w:val="Text3"/>
              </w:rPr>
              <w:t>y</w:t>
            </w:r>
            <w:r>
              <w:t xml:space="preserve">, </w:t>
            </w:r>
            <w:r>
              <w:rPr>
                <w:rStyle w:val="Text3"/>
              </w:rPr>
              <w:t>x &lt;&lt;</w:t>
            </w:r>
            <w:r>
              <w:t xml:space="preserve"> </w:t>
            </w:r>
            <w:r>
              <w:rPr>
                <w:rStyle w:val="Text3"/>
              </w:rPr>
              <w:t>y</w:t>
            </w:r>
            <w:r>
              <w:t xml:space="preserve">, </w:t>
            </w:r>
            <w:r>
              <w:rPr>
                <w:rStyle w:val="Text3"/>
              </w:rPr>
              <w:t>x |</w:t>
            </w:r>
            <w:r>
              <w:t xml:space="preserve"> </w:t>
            </w:r>
            <w:r>
              <w:rPr>
                <w:rStyle w:val="Text3"/>
              </w:rPr>
              <w:t>y</w:t>
            </w:r>
            <w:r>
              <w:t xml:space="preserve">, </w:t>
            </w:r>
            <w:r>
              <w:rPr>
                <w:rStyle w:val="Text3"/>
              </w:rPr>
              <w:t>x &gt;&gt;</w:t>
            </w:r>
            <w:r>
              <w:t xml:space="preserve"> </w:t>
            </w:r>
            <w:r>
              <w:rPr>
                <w:rStyle w:val="Text3"/>
              </w:rPr>
              <w:t>y</w:t>
            </w:r>
            <w:r>
              <w:t xml:space="preserve">, and </w:t>
            </w:r>
            <w:r>
              <w:rPr>
                <w:rStyle w:val="Text3"/>
              </w:rPr>
              <w:t>x ^</w:t>
            </w:r>
            <w:r>
              <w:t xml:space="preserve"> </w:t>
            </w:r>
            <w:r>
              <w:rPr>
                <w:rStyle w:val="Text3"/>
              </w:rPr>
              <w:t>y</w:t>
            </w:r>
            <w:r>
              <w:t>, respectively, call these methods, usually for bitwise operations.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__complex__</w:t>
            </w:r>
            <w:r>
              <w:rPr>
                <w:rStyle w:val="Text12"/>
              </w:rPr>
              <w:t>,</w:t>
              <w:br w:clear="none"/>
              <w:t xml:space="preserve"> </w:t>
            </w:r>
            <w:r>
              <w:t>__float__</w:t>
            </w:r>
            <w:r>
              <w:rPr>
                <w:rStyle w:val="Text12"/>
              </w:rPr>
              <w:t>,</w:t>
              <w:br w:clear="none"/>
              <w:t xml:space="preserve"> </w:t>
            </w:r>
            <w:r>
              <w:t>__int__</w:t>
            </w:r>
          </w:p>
        </w:tc>
        <w:tc>
          <w:tcPr>
            <w:tcW w:type="auto" w:w="0"/>
            <w:shd w:val="clear" w:color="auto" w:fill="EEF2F6"/>
            <w:tcMar>
              <w:left w:type="dxa" w:w="200"/>
              <w:top w:type="dxa" w:w="200"/>
              <w:right w:type="dxa" w:w="200"/>
              <w:bottom w:type="dxa" w:w="200"/>
            </w:tcMar>
          </w:tcPr>
          <w:p>
            <w:pPr>
              <w:pStyle w:val="Para 001"/>
            </w:pPr>
            <w:r>
              <w:t>__complex__(self)</w:t>
            </w:r>
            <w:r>
              <w:rPr>
                <w:rStyle w:val="Text12"/>
              </w:rPr>
              <w:t xml:space="preserve">, </w:t>
            </w:r>
            <w:r>
              <w:t xml:space="preserve"> __float__(self)</w:t>
            </w:r>
            <w:r>
              <w:rPr>
                <w:rStyle w:val="Text12"/>
              </w:rPr>
              <w:t xml:space="preserve">, </w:t>
            </w:r>
            <w:r>
              <w:t xml:space="preserve"> __int__(self)</w:t>
              <w:br w:clear="none"/>
            </w:r>
            <w:r>
              <w:rPr>
                <w:rStyle w:val="Text12"/>
              </w:rPr>
              <w:t xml:space="preserve"> The</w:t>
            </w:r>
            <w:r>
              <w:rPr>
                <w:rStyle w:val="Text115"/>
              </w:rPr>
              <w:bookmarkStart w:id="1541" w:name="idm45965281530992"/>
              <w:t/>
              <w:bookmarkEnd w:id="1541"/>
              <w:bookmarkStart w:id="1542" w:name="idm45965281529920"/>
              <w:t/>
              <w:bookmarkEnd w:id="1542"/>
              <w:bookmarkStart w:id="1543" w:name="idm45965281528848"/>
              <w:t/>
              <w:bookmarkEnd w:id="1543"/>
            </w:r>
            <w:r>
              <w:rPr>
                <w:rStyle w:val="Text12"/>
              </w:rPr>
              <w:t xml:space="preserve"> built-in types </w:t>
            </w:r>
            <w:r>
              <w:t>complex(</w:t>
            </w:r>
            <w:r>
              <w:rPr>
                <w:rStyle w:val="Text3"/>
              </w:rPr>
              <w:t>x</w:t>
            </w:r>
            <w:r>
              <w:t>)</w:t>
            </w:r>
            <w:r>
              <w:rPr>
                <w:rStyle w:val="Text12"/>
              </w:rPr>
              <w:t xml:space="preserve">, </w:t>
            </w:r>
            <w:r>
              <w:t>float(</w:t>
            </w:r>
            <w:r>
              <w:rPr>
                <w:rStyle w:val="Text3"/>
              </w:rPr>
              <w:t>x</w:t>
            </w:r>
            <w:r>
              <w:t>)</w:t>
            </w:r>
            <w:r>
              <w:rPr>
                <w:rStyle w:val="Text12"/>
              </w:rPr>
              <w:t xml:space="preserve">, and </w:t>
            </w:r>
            <w:r>
              <w:t>int(</w:t>
            </w:r>
            <w:r>
              <w:rPr>
                <w:rStyle w:val="Text3"/>
              </w:rPr>
              <w:t>x</w:t>
            </w:r>
            <w:r>
              <w:t>)</w:t>
            </w:r>
            <w:r>
              <w:rPr>
                <w:rStyle w:val="Text12"/>
              </w:rPr>
              <w:t>, respectively, call these methods.</w:t>
            </w:r>
          </w:p>
        </w:tc>
      </w:tr>
    </w:tbl>
    <w:tbl>
      <w:tblPr>
        <w:tblW w:type="auto" w:w="0"/>
      </w:tblPr>
      <w:tr>
        <w:tc>
          <w:tcPr>
            <w:tcW w:type="auto" w:w="0"/>
            <w:tcMar>
              <w:left w:type="dxa" w:w="200"/>
              <w:top w:type="dxa" w:w="200"/>
              <w:right w:type="dxa" w:w="200"/>
              <w:bottom w:type="dxa" w:w="200"/>
            </w:tcMar>
          </w:tcPr>
          <w:p>
            <w:pPr>
              <w:pStyle w:val="Para 001"/>
            </w:pPr>
            <w:r>
              <w:t>__divmod__</w:t>
            </w:r>
          </w:p>
        </w:tc>
        <w:tc>
          <w:tcPr>
            <w:tcW w:type="auto" w:w="0"/>
            <w:tcMar>
              <w:left w:type="dxa" w:w="200"/>
              <w:top w:type="dxa" w:w="200"/>
              <w:right w:type="dxa" w:w="200"/>
              <w:bottom w:type="dxa" w:w="200"/>
            </w:tcMar>
          </w:tcPr>
          <w:p>
            <w:pPr>
              <w:pStyle w:val="Para 002"/>
            </w:pPr>
            <w:r>
              <w:rPr>
                <w:rStyle w:val="Text0"/>
              </w:rPr>
              <w:t>__divmod__(self, o</w:t>
            </w:r>
            <w:r>
              <w:rPr>
                <w:rStyle w:val="Text3"/>
              </w:rPr>
              <w:t>ther</w:t>
            </w:r>
            <w:r>
              <w:rPr>
                <w:rStyle w:val="Text0"/>
              </w:rPr>
              <w:t>)</w:t>
              <w:br w:clear="none"/>
            </w:r>
            <w:r>
              <w:t xml:space="preserve"> The</w:t>
            </w:r>
            <w:r>
              <w:rPr>
                <w:rStyle w:val="Text111"/>
              </w:rPr>
              <w:bookmarkStart w:id="1544" w:name="idm45965281520944"/>
              <w:t/>
              <w:bookmarkEnd w:id="1544"/>
            </w:r>
            <w:r>
              <w:t xml:space="preserve"> built-in function </w:t>
            </w:r>
            <w:r>
              <w:rPr>
                <w:rStyle w:val="Text0"/>
              </w:rPr>
              <w:t>divmod(</w:t>
            </w:r>
            <w:r>
              <w:rPr>
                <w:rStyle w:val="Text3"/>
              </w:rPr>
              <w:t>x, y</w:t>
            </w:r>
            <w:r>
              <w:rPr>
                <w:rStyle w:val="Text0"/>
              </w:rPr>
              <w:t>)</w:t>
            </w:r>
            <w:r>
              <w:t xml:space="preserve"> calls </w:t>
            </w:r>
            <w:r>
              <w:rPr>
                <w:rStyle w:val="Text3"/>
              </w:rPr>
              <w:t>x</w:t>
            </w:r>
            <w:r>
              <w:rPr>
                <w:rStyle w:val="Text0"/>
              </w:rPr>
              <w:t>.__divmod__(</w:t>
            </w:r>
            <w:r>
              <w:rPr>
                <w:rStyle w:val="Text3"/>
              </w:rPr>
              <w:t>y</w:t>
            </w:r>
            <w:r>
              <w:rPr>
                <w:rStyle w:val="Text0"/>
              </w:rPr>
              <w:t>)</w:t>
            </w:r>
            <w:r>
              <w:t xml:space="preserve">. </w:t>
            </w:r>
            <w:r>
              <w:rPr>
                <w:rStyle w:val="Text0"/>
              </w:rPr>
              <w:t>__divmod__</w:t>
            </w:r>
            <w:r>
              <w:t xml:space="preserve"> should return a pair </w:t>
            </w:r>
            <w:r>
              <w:rPr>
                <w:rStyle w:val="Text0"/>
              </w:rPr>
              <w:t>(</w:t>
            </w:r>
            <w:r>
              <w:rPr>
                <w:rStyle w:val="Text3"/>
              </w:rPr>
              <w:t>quotient, remainder</w:t>
            </w:r>
            <w:r>
              <w:rPr>
                <w:rStyle w:val="Text0"/>
              </w:rPr>
              <w:t>)</w:t>
            </w:r>
            <w:r>
              <w:t xml:space="preserve"> equal to </w:t>
            </w:r>
            <w:r>
              <w:rPr>
                <w:rStyle w:val="Text0"/>
              </w:rPr>
              <w:t>(</w:t>
            </w:r>
            <w:r>
              <w:rPr>
                <w:rStyle w:val="Text3"/>
              </w:rPr>
              <w:t>x</w:t>
            </w:r>
            <w:r>
              <w:t xml:space="preserve"> </w:t>
            </w:r>
            <w:r>
              <w:rPr>
                <w:rStyle w:val="Text0"/>
              </w:rPr>
              <w:t>//</w:t>
            </w:r>
            <w:r>
              <w:t xml:space="preserve"> </w:t>
            </w:r>
            <w:r>
              <w:rPr>
                <w:rStyle w:val="Text3"/>
              </w:rPr>
              <w:t>y, x</w:t>
            </w:r>
            <w:r>
              <w:t xml:space="preserve"> </w:t>
            </w:r>
            <w:r>
              <w:rPr>
                <w:rStyle w:val="Text0"/>
              </w:rPr>
              <w:t>%</w:t>
            </w:r>
            <w:r>
              <w:t xml:space="preserve"> </w:t>
            </w:r>
            <w:r>
              <w:rPr>
                <w:rStyle w:val="Text3"/>
              </w:rPr>
              <w:t>y</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__floordiv__</w:t>
            </w:r>
            <w:r>
              <w:rPr>
                <w:rStyle w:val="Text12"/>
              </w:rPr>
              <w:t>,</w:t>
              <w:br w:clear="none"/>
              <w:t xml:space="preserve"> </w:t>
            </w:r>
            <w:r>
              <w:t>__truediv__</w:t>
            </w:r>
          </w:p>
        </w:tc>
        <w:tc>
          <w:tcPr>
            <w:tcW w:type="auto" w:w="0"/>
            <w:shd w:val="clear" w:color="auto" w:fill="EEF2F6"/>
            <w:tcMar>
              <w:left w:type="dxa" w:w="200"/>
              <w:top w:type="dxa" w:w="200"/>
              <w:right w:type="dxa" w:w="200"/>
              <w:bottom w:type="dxa" w:w="200"/>
            </w:tcMar>
          </w:tcPr>
          <w:p>
            <w:pPr>
              <w:pStyle w:val="Para 002"/>
            </w:pPr>
            <w:r>
              <w:rPr>
                <w:rStyle w:val="Text0"/>
              </w:rPr>
              <w:t>__floordiv__(self,</w:t>
            </w:r>
            <w:r>
              <w:t xml:space="preserve"> </w:t>
            </w:r>
            <w:r>
              <w:rPr>
                <w:rStyle w:val="Text3"/>
              </w:rPr>
              <w:t>other</w:t>
            </w:r>
            <w:r>
              <w:rPr>
                <w:rStyle w:val="Text0"/>
              </w:rPr>
              <w:t>)</w:t>
            </w:r>
            <w:r>
              <w:t>,</w:t>
              <w:br w:clear="none"/>
              <w:t xml:space="preserve"> </w:t>
            </w:r>
            <w:r>
              <w:rPr>
                <w:rStyle w:val="Text0"/>
              </w:rPr>
              <w:t>__truediv__(self,</w:t>
            </w:r>
            <w:r>
              <w:t xml:space="preserve"> </w:t>
            </w:r>
            <w:r>
              <w:rPr>
                <w:rStyle w:val="Text3"/>
              </w:rPr>
              <w:t>other</w:t>
            </w:r>
            <w:r>
              <w:rPr>
                <w:rStyle w:val="Text0"/>
              </w:rPr>
              <w:t>)</w:t>
              <w:br w:clear="none"/>
            </w:r>
            <w:r>
              <w:t xml:space="preserve"> The</w:t>
            </w:r>
            <w:r>
              <w:rPr>
                <w:rStyle w:val="Text111"/>
              </w:rPr>
              <w:bookmarkStart w:id="1545" w:name="idm45965281503200"/>
              <w:t/>
              <w:bookmarkEnd w:id="1545"/>
              <w:bookmarkStart w:id="1546" w:name="idm45965281502128"/>
              <w:t/>
              <w:bookmarkEnd w:id="1546"/>
            </w:r>
            <w:r>
              <w:t xml:space="preserve"> operators </w:t>
            </w:r>
            <w:r>
              <w:rPr>
                <w:rStyle w:val="Text3"/>
              </w:rPr>
              <w:t>x</w:t>
            </w:r>
            <w:r>
              <w:t xml:space="preserve"> </w:t>
            </w:r>
            <w:r>
              <w:rPr>
                <w:rStyle w:val="Text0"/>
              </w:rPr>
              <w:t>//</w:t>
            </w:r>
            <w:r>
              <w:t xml:space="preserve"> </w:t>
            </w:r>
            <w:r>
              <w:rPr>
                <w:rStyle w:val="Text3"/>
              </w:rPr>
              <w:t>y</w:t>
            </w:r>
            <w:r>
              <w:t xml:space="preserve"> and </w:t>
            </w:r>
            <w:r>
              <w:rPr>
                <w:rStyle w:val="Text3"/>
              </w:rPr>
              <w:t>x</w:t>
            </w:r>
            <w:r>
              <w:t xml:space="preserve"> </w:t>
            </w:r>
            <w:r>
              <w:rPr>
                <w:rStyle w:val="Text0"/>
              </w:rPr>
              <w:t>/</w:t>
            </w:r>
            <w:r>
              <w:t xml:space="preserve"> </w:t>
            </w:r>
            <w:r>
              <w:rPr>
                <w:rStyle w:val="Text3"/>
              </w:rPr>
              <w:t>y</w:t>
            </w:r>
            <w:r>
              <w:t>, respectively, call these methods, usually for arithmetic division.</w:t>
            </w:r>
          </w:p>
        </w:tc>
      </w:tr>
    </w:tbl>
    <w:tbl>
      <w:tblPr>
        <w:tblW w:type="auto" w:w="0"/>
      </w:tblPr>
      <w:tr>
        <w:tc>
          <w:tcPr>
            <w:tcW w:type="auto" w:w="0"/>
            <w:tcMar>
              <w:left w:type="dxa" w:w="200"/>
              <w:top w:type="dxa" w:w="200"/>
              <w:right w:type="dxa" w:w="200"/>
              <w:bottom w:type="dxa" w:w="200"/>
            </w:tcMar>
          </w:tcPr>
          <w:p>
            <w:pPr>
              <w:pStyle w:val="Para 001"/>
            </w:pPr>
            <w:r>
              <w:t>__iadd__</w:t>
            </w:r>
            <w:r>
              <w:rPr>
                <w:rStyle w:val="Text12"/>
              </w:rPr>
              <w:t>,</w:t>
              <w:br w:clear="none"/>
              <w:t xml:space="preserve"> </w:t>
            </w:r>
            <w:r>
              <w:t>__ifloordiv__</w:t>
            </w:r>
            <w:r>
              <w:rPr>
                <w:rStyle w:val="Text12"/>
              </w:rPr>
              <w:t>,</w:t>
              <w:br w:clear="none"/>
              <w:t xml:space="preserve"> </w:t>
            </w:r>
            <w:r>
              <w:t>__imod__</w:t>
            </w:r>
            <w:r>
              <w:rPr>
                <w:rStyle w:val="Text12"/>
              </w:rPr>
              <w:t>,</w:t>
              <w:br w:clear="none"/>
              <w:t xml:space="preserve"> </w:t>
            </w:r>
            <w:r>
              <w:t>__imul__</w:t>
            </w:r>
            <w:r>
              <w:rPr>
                <w:rStyle w:val="Text12"/>
              </w:rPr>
              <w:t>,</w:t>
              <w:br w:clear="none"/>
              <w:t xml:space="preserve"> </w:t>
            </w:r>
            <w:r>
              <w:t>__isub__</w:t>
            </w:r>
            <w:r>
              <w:rPr>
                <w:rStyle w:val="Text12"/>
              </w:rPr>
              <w:t>,</w:t>
              <w:br w:clear="none"/>
              <w:t xml:space="preserve"> </w:t>
            </w:r>
            <w:r>
              <w:t>__itruediv__</w:t>
            </w:r>
            <w:r>
              <w:rPr>
                <w:rStyle w:val="Text12"/>
              </w:rPr>
              <w:t>,</w:t>
              <w:br w:clear="none"/>
              <w:t xml:space="preserve"> </w:t>
            </w:r>
            <w:r>
              <w:t>__imatmul__</w:t>
            </w:r>
          </w:p>
        </w:tc>
        <w:tc>
          <w:tcPr>
            <w:tcW w:type="auto" w:w="0"/>
            <w:tcMar>
              <w:left w:type="dxa" w:w="200"/>
              <w:top w:type="dxa" w:w="200"/>
              <w:right w:type="dxa" w:w="200"/>
              <w:bottom w:type="dxa" w:w="200"/>
            </w:tcMar>
          </w:tcPr>
          <w:p>
            <w:pPr>
              <w:pStyle w:val="Para 002"/>
            </w:pPr>
            <w:r>
              <w:rPr>
                <w:rStyle w:val="Text0"/>
              </w:rPr>
              <w:t>__iadd__(self,</w:t>
            </w:r>
            <w:r>
              <w:t xml:space="preserve"> </w:t>
            </w:r>
            <w:r>
              <w:rPr>
                <w:rStyle w:val="Text3"/>
              </w:rPr>
              <w:t>other</w:t>
            </w:r>
            <w:r>
              <w:rPr>
                <w:rStyle w:val="Text0"/>
              </w:rPr>
              <w:t>)</w:t>
            </w:r>
            <w:r>
              <w:t>,</w:t>
              <w:br w:clear="none"/>
              <w:t xml:space="preserve"> </w:t>
            </w:r>
            <w:r>
              <w:rPr>
                <w:rStyle w:val="Text0"/>
              </w:rPr>
              <w:t>__ifloordiv__(self,</w:t>
            </w:r>
            <w:r>
              <w:t xml:space="preserve"> </w:t>
            </w:r>
            <w:r>
              <w:rPr>
                <w:rStyle w:val="Text3"/>
              </w:rPr>
              <w:t>other</w:t>
            </w:r>
            <w:r>
              <w:rPr>
                <w:rStyle w:val="Text0"/>
              </w:rPr>
              <w:t>)</w:t>
            </w:r>
            <w:r>
              <w:t>,</w:t>
              <w:br w:clear="none"/>
              <w:t xml:space="preserve"> </w:t>
            </w:r>
            <w:r>
              <w:rPr>
                <w:rStyle w:val="Text0"/>
              </w:rPr>
              <w:t>__imod__(self,</w:t>
            </w:r>
            <w:r>
              <w:t xml:space="preserve"> </w:t>
            </w:r>
            <w:r>
              <w:rPr>
                <w:rStyle w:val="Text3"/>
              </w:rPr>
              <w:t>other</w:t>
            </w:r>
            <w:r>
              <w:rPr>
                <w:rStyle w:val="Text0"/>
              </w:rPr>
              <w:t>)</w:t>
            </w:r>
            <w:r>
              <w:t>,</w:t>
              <w:br w:clear="none"/>
              <w:t xml:space="preserve"> </w:t>
            </w:r>
            <w:r>
              <w:rPr>
                <w:rStyle w:val="Text0"/>
              </w:rPr>
              <w:t>__imul__(self,</w:t>
            </w:r>
            <w:r>
              <w:t xml:space="preserve"> </w:t>
            </w:r>
            <w:r>
              <w:rPr>
                <w:rStyle w:val="Text3"/>
              </w:rPr>
              <w:t>other</w:t>
            </w:r>
            <w:r>
              <w:rPr>
                <w:rStyle w:val="Text0"/>
              </w:rPr>
              <w:t>)</w:t>
            </w:r>
            <w:r>
              <w:t>,</w:t>
              <w:br w:clear="none"/>
              <w:t xml:space="preserve"> </w:t>
            </w:r>
            <w:r>
              <w:rPr>
                <w:rStyle w:val="Text0"/>
              </w:rPr>
              <w:t>__isub__(self,</w:t>
            </w:r>
            <w:r>
              <w:t xml:space="preserve"> </w:t>
            </w:r>
            <w:r>
              <w:rPr>
                <w:rStyle w:val="Text3"/>
              </w:rPr>
              <w:t>other</w:t>
            </w:r>
            <w:r>
              <w:rPr>
                <w:rStyle w:val="Text0"/>
              </w:rPr>
              <w:t>)</w:t>
            </w:r>
            <w:r>
              <w:t>,</w:t>
              <w:br w:clear="none"/>
              <w:t xml:space="preserve"> </w:t>
            </w:r>
            <w:r>
              <w:rPr>
                <w:rStyle w:val="Text0"/>
              </w:rPr>
              <w:t>__itruediv__(self,</w:t>
            </w:r>
            <w:r>
              <w:t xml:space="preserve"> </w:t>
            </w:r>
            <w:r>
              <w:rPr>
                <w:rStyle w:val="Text3"/>
              </w:rPr>
              <w:t>other</w:t>
            </w:r>
            <w:r>
              <w:rPr>
                <w:rStyle w:val="Text0"/>
              </w:rPr>
              <w:t>)</w:t>
            </w:r>
            <w:r>
              <w:t>,</w:t>
              <w:br w:clear="none"/>
              <w:t xml:space="preserve"> </w:t>
            </w:r>
            <w:r>
              <w:rPr>
                <w:rStyle w:val="Text0"/>
              </w:rPr>
              <w:t>__imatmul__(self,</w:t>
            </w:r>
            <w:r>
              <w:t xml:space="preserve"> </w:t>
            </w:r>
            <w:r>
              <w:rPr>
                <w:rStyle w:val="Text3"/>
              </w:rPr>
              <w:t>other</w:t>
            </w:r>
            <w:r>
              <w:rPr>
                <w:rStyle w:val="Text0"/>
              </w:rPr>
              <w:t>)</w:t>
              <w:br w:clear="none"/>
            </w:r>
            <w:r>
              <w:t xml:space="preserve"> The augmented assignments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and </w:t>
            </w:r>
            <w:r>
              <w:rPr>
                <w:rStyle w:val="Text3"/>
              </w:rPr>
              <w:t>x</w:t>
            </w:r>
            <w:r>
              <w:t xml:space="preserve"> </w:t>
            </w:r>
            <w:r>
              <w:rPr>
                <w:rStyle w:val="Text0"/>
              </w:rPr>
              <w:t>@=</w:t>
            </w:r>
            <w:r>
              <w:t xml:space="preserve"> </w:t>
            </w:r>
            <w:r>
              <w:rPr>
                <w:rStyle w:val="Text3"/>
              </w:rPr>
              <w:t>y</w:t>
            </w:r>
            <w:r>
              <w:t xml:space="preserve">, respectively, call these methods. Each method should modify </w:t>
            </w:r>
            <w:r>
              <w:rPr>
                <w:rStyle w:val="Text3"/>
              </w:rPr>
              <w:t>x</w:t>
            </w:r>
            <w:r>
              <w:t xml:space="preserve"> in place and return </w:t>
            </w:r>
            <w:r>
              <w:rPr>
                <w:rStyle w:val="Text0"/>
              </w:rPr>
              <w:t>self</w:t>
            </w:r>
            <w:r>
              <w:t xml:space="preserve">. Define these methods when </w:t>
            </w:r>
            <w:r>
              <w:rPr>
                <w:rStyle w:val="Text3"/>
              </w:rPr>
              <w:t>x</w:t>
            </w:r>
            <w:r>
              <w:t xml:space="preserve"> is mutable (i.e., when </w:t>
            </w:r>
            <w:r>
              <w:rPr>
                <w:rStyle w:val="Text3"/>
              </w:rPr>
              <w:t>x</w:t>
            </w:r>
            <w:r>
              <w:t xml:space="preserve"> </w:t>
            </w:r>
            <w:r>
              <w:rPr>
                <w:rStyle w:val="Text4"/>
              </w:rPr>
              <w:t>can</w:t>
            </w:r>
            <w:r>
              <w:t xml:space="preserve"> change in place).</w:t>
            </w:r>
          </w:p>
        </w:tc>
      </w:tr>
    </w:tbl>
    <w:tbl>
      <w:tblPr>
        <w:tblW w:type="auto" w:w="0"/>
      </w:tblPr>
      <w:tr>
        <w:tc>
          <w:tcPr>
            <w:tcW w:type="auto" w:w="0"/>
            <w:shd w:val="clear" w:color="auto" w:fill="EEF2F6"/>
            <w:tcMar>
              <w:left w:type="dxa" w:w="200"/>
              <w:top w:type="dxa" w:w="200"/>
              <w:right w:type="dxa" w:w="200"/>
              <w:bottom w:type="dxa" w:w="200"/>
            </w:tcMar>
          </w:tcPr>
          <w:p>
            <w:pPr>
              <w:pStyle w:val="Para 001"/>
            </w:pPr>
            <w:r>
              <w:t>__iand__</w:t>
            </w:r>
            <w:r>
              <w:rPr>
                <w:rStyle w:val="Text12"/>
              </w:rPr>
              <w:t>,</w:t>
              <w:br w:clear="none"/>
              <w:t xml:space="preserve"> </w:t>
            </w:r>
            <w:r>
              <w:t>__ilshift__</w:t>
            </w:r>
            <w:r>
              <w:rPr>
                <w:rStyle w:val="Text12"/>
              </w:rPr>
              <w:t>,</w:t>
              <w:br w:clear="none"/>
              <w:t xml:space="preserve"> </w:t>
            </w:r>
            <w:r>
              <w:t>__ior__</w:t>
            </w:r>
            <w:r>
              <w:rPr>
                <w:rStyle w:val="Text12"/>
              </w:rPr>
              <w:t>,</w:t>
              <w:br w:clear="none"/>
              <w:t xml:space="preserve"> </w:t>
            </w:r>
            <w:r>
              <w:t>__irshift__</w:t>
            </w:r>
            <w:r>
              <w:rPr>
                <w:rStyle w:val="Text12"/>
              </w:rPr>
              <w:t>,</w:t>
              <w:br w:clear="none"/>
              <w:t xml:space="preserve"> </w:t>
            </w:r>
            <w:r>
              <w:t>__ixor__</w:t>
            </w:r>
          </w:p>
        </w:tc>
        <w:tc>
          <w:tcPr>
            <w:tcW w:type="auto" w:w="0"/>
            <w:shd w:val="clear" w:color="auto" w:fill="EEF2F6"/>
            <w:tcMar>
              <w:left w:type="dxa" w:w="200"/>
              <w:top w:type="dxa" w:w="200"/>
              <w:right w:type="dxa" w:w="200"/>
              <w:bottom w:type="dxa" w:w="200"/>
            </w:tcMar>
          </w:tcPr>
          <w:p>
            <w:pPr>
              <w:pStyle w:val="Para 002"/>
            </w:pPr>
            <w:r>
              <w:rPr>
                <w:rStyle w:val="Text0"/>
              </w:rPr>
              <w:t>__iand_(self,</w:t>
            </w:r>
            <w:r>
              <w:t xml:space="preserve"> </w:t>
            </w:r>
            <w:r>
              <w:rPr>
                <w:rStyle w:val="Text3"/>
              </w:rPr>
              <w:t>other</w:t>
            </w:r>
            <w:r>
              <w:rPr>
                <w:rStyle w:val="Text0"/>
              </w:rPr>
              <w:t>)</w:t>
            </w:r>
            <w:r>
              <w:t>,</w:t>
              <w:br w:clear="none"/>
              <w:t xml:space="preserve"> </w:t>
            </w:r>
            <w:r>
              <w:rPr>
                <w:rStyle w:val="Text0"/>
              </w:rPr>
              <w:t>__ilshift_(self,</w:t>
            </w:r>
            <w:r>
              <w:t xml:space="preserve"> </w:t>
            </w:r>
            <w:r>
              <w:rPr>
                <w:rStyle w:val="Text3"/>
              </w:rPr>
              <w:t>other</w:t>
            </w:r>
            <w:r>
              <w:rPr>
                <w:rStyle w:val="Text0"/>
              </w:rPr>
              <w:t>)</w:t>
            </w:r>
            <w:r>
              <w:t>,</w:t>
              <w:br w:clear="none"/>
              <w:t xml:space="preserve"> </w:t>
            </w:r>
            <w:r>
              <w:rPr>
                <w:rStyle w:val="Text0"/>
              </w:rPr>
              <w:t>__ior__(self,</w:t>
            </w:r>
            <w:r>
              <w:t xml:space="preserve"> </w:t>
            </w:r>
            <w:r>
              <w:rPr>
                <w:rStyle w:val="Text3"/>
              </w:rPr>
              <w:t>other</w:t>
            </w:r>
            <w:r>
              <w:rPr>
                <w:rStyle w:val="Text0"/>
              </w:rPr>
              <w:t>)</w:t>
            </w:r>
            <w:r>
              <w:t>,</w:t>
              <w:br w:clear="none"/>
              <w:t xml:space="preserve"> </w:t>
            </w:r>
            <w:r>
              <w:rPr>
                <w:rStyle w:val="Text0"/>
              </w:rPr>
              <w:t>__irshift__(self,</w:t>
            </w:r>
            <w:r>
              <w:t xml:space="preserve"> </w:t>
            </w:r>
            <w:r>
              <w:rPr>
                <w:rStyle w:val="Text3"/>
              </w:rPr>
              <w:t>other</w:t>
            </w:r>
            <w:r>
              <w:rPr>
                <w:rStyle w:val="Text0"/>
              </w:rPr>
              <w:t>)</w:t>
            </w:r>
            <w:r>
              <w:t>,</w:t>
              <w:br w:clear="none"/>
              <w:t xml:space="preserve"> </w:t>
            </w:r>
            <w:r>
              <w:rPr>
                <w:rStyle w:val="Text0"/>
              </w:rPr>
              <w:t>__ixor__(self,</w:t>
            </w:r>
            <w:r>
              <w:t xml:space="preserve"> </w:t>
            </w:r>
            <w:r>
              <w:rPr>
                <w:rStyle w:val="Text3"/>
              </w:rPr>
              <w:t>other</w:t>
            </w:r>
            <w:r>
              <w:rPr>
                <w:rStyle w:val="Text0"/>
              </w:rPr>
              <w:t>)</w:t>
              <w:br w:clear="none"/>
            </w:r>
            <w:r>
              <w:t xml:space="preserve"> The augmented assignments </w:t>
            </w:r>
            <w:r>
              <w:rPr>
                <w:rStyle w:val="Text3"/>
              </w:rPr>
              <w:t>x</w:t>
            </w:r>
            <w:r>
              <w:t xml:space="preserve"> </w:t>
            </w:r>
            <w:r>
              <w:rPr>
                <w:rStyle w:val="Text0"/>
              </w:rPr>
              <w:t>&amp;=</w:t>
            </w:r>
            <w:r>
              <w:t xml:space="preserve"> </w:t>
            </w:r>
            <w:r>
              <w:rPr>
                <w:rStyle w:val="Text3"/>
              </w:rPr>
              <w:t>y</w:t>
            </w:r>
            <w:r>
              <w:t xml:space="preserve">, </w:t>
            </w:r>
            <w:r>
              <w:rPr>
                <w:rStyle w:val="Text3"/>
              </w:rPr>
              <w:t>x</w:t>
            </w:r>
            <w:r>
              <w:t xml:space="preserve"> </w:t>
            </w:r>
            <w:r>
              <w:rPr>
                <w:rStyle w:val="Text0"/>
              </w:rPr>
              <w:t>&lt;&lt;=</w:t>
            </w:r>
            <w:r>
              <w:t xml:space="preserve"> </w:t>
            </w:r>
            <w:r>
              <w:rPr>
                <w:rStyle w:val="Text3"/>
              </w:rPr>
              <w:t>y</w:t>
            </w:r>
            <w:r>
              <w:t xml:space="preserve">, </w:t>
            </w:r>
            <w:r>
              <w:rPr>
                <w:rStyle w:val="Text3"/>
              </w:rPr>
              <w:t>x</w:t>
            </w:r>
            <w:r>
              <w:t xml:space="preserve"> </w:t>
            </w:r>
            <w:r>
              <w:rPr>
                <w:rStyle w:val="Text0"/>
              </w:rPr>
              <w:t>\=</w:t>
            </w:r>
            <w:r>
              <w:t xml:space="preserve"> </w:t>
            </w:r>
            <w:r>
              <w:rPr>
                <w:rStyle w:val="Text3"/>
              </w:rPr>
              <w:t>y</w:t>
            </w:r>
            <w:r>
              <w:t xml:space="preserve">, </w:t>
            </w:r>
            <w:r>
              <w:rPr>
                <w:rStyle w:val="Text3"/>
              </w:rPr>
              <w:t>x</w:t>
            </w:r>
            <w:r>
              <w:t xml:space="preserve"> </w:t>
            </w:r>
            <w:r>
              <w:rPr>
                <w:rStyle w:val="Text0"/>
              </w:rPr>
              <w:t>&gt;&gt;=</w:t>
            </w:r>
            <w:r>
              <w:t xml:space="preserve"> </w:t>
            </w:r>
            <w:r>
              <w:rPr>
                <w:rStyle w:val="Text3"/>
              </w:rPr>
              <w:t>y</w:t>
            </w:r>
            <w:r>
              <w:t xml:space="preserve">, and </w:t>
            </w:r>
            <w:r>
              <w:rPr>
                <w:rStyle w:val="Text3"/>
              </w:rPr>
              <w:t>x</w:t>
            </w:r>
            <w:r>
              <w:t xml:space="preserve"> </w:t>
            </w:r>
            <w:r>
              <w:rPr>
                <w:rStyle w:val="Text0"/>
              </w:rPr>
              <w:t>^=</w:t>
            </w:r>
            <w:r>
              <w:t xml:space="preserve"> </w:t>
            </w:r>
            <w:r>
              <w:rPr>
                <w:rStyle w:val="Text3"/>
              </w:rPr>
              <w:t>y</w:t>
            </w:r>
            <w:r>
              <w:t xml:space="preserve">, respectively, call these methods. Each method should modify </w:t>
            </w:r>
            <w:r>
              <w:rPr>
                <w:rStyle w:val="Text3"/>
              </w:rPr>
              <w:t>x</w:t>
            </w:r>
            <w:r>
              <w:t xml:space="preserve"> in place and return </w:t>
            </w:r>
            <w:r>
              <w:rPr>
                <w:rStyle w:val="Text0"/>
              </w:rPr>
              <w:t>self</w:t>
            </w:r>
            <w:r>
              <w:t xml:space="preserve">. Define these methods when </w:t>
            </w:r>
            <w:r>
              <w:rPr>
                <w:rStyle w:val="Text3"/>
              </w:rPr>
              <w:t>x</w:t>
            </w:r>
            <w:r>
              <w:t xml:space="preserve"> is mutable (i.e., when </w:t>
            </w:r>
            <w:r>
              <w:rPr>
                <w:rStyle w:val="Text3"/>
              </w:rPr>
              <w:t>x</w:t>
            </w:r>
            <w:r>
              <w:t xml:space="preserve"> </w:t>
            </w:r>
            <w:r>
              <w:rPr>
                <w:rStyle w:val="Text4"/>
              </w:rPr>
              <w:t>can</w:t>
            </w:r>
            <w:r>
              <w:t xml:space="preserve"> change in place).</w:t>
            </w:r>
          </w:p>
        </w:tc>
      </w:tr>
    </w:tbl>
    <w:tbl>
      <w:tblPr>
        <w:tblW w:type="auto" w:w="0"/>
      </w:tblPr>
      <w:tr>
        <w:tc>
          <w:tcPr>
            <w:tcW w:type="auto" w:w="0"/>
            <w:tcMar>
              <w:left w:type="dxa" w:w="200"/>
              <w:top w:type="dxa" w:w="200"/>
              <w:right w:type="dxa" w:w="200"/>
              <w:bottom w:type="dxa" w:w="200"/>
            </w:tcMar>
          </w:tcPr>
          <w:p>
            <w:pPr>
              <w:pStyle w:val="Para 001"/>
            </w:pPr>
            <w:r>
              <w:t>__index__</w:t>
            </w:r>
          </w:p>
        </w:tc>
        <w:tc>
          <w:tcPr>
            <w:tcW w:type="auto" w:w="0"/>
            <w:tcMar>
              <w:left w:type="dxa" w:w="200"/>
              <w:top w:type="dxa" w:w="200"/>
              <w:right w:type="dxa" w:w="200"/>
              <w:bottom w:type="dxa" w:w="200"/>
            </w:tcMar>
          </w:tcPr>
          <w:p>
            <w:pPr>
              <w:pStyle w:val="Para 002"/>
            </w:pPr>
            <w:r>
              <w:rPr>
                <w:rStyle w:val="Text0"/>
              </w:rPr>
              <w:t>__index__(self)</w:t>
              <w:br w:clear="none"/>
            </w:r>
            <w:r>
              <w:t xml:space="preserve"> Like</w:t>
            </w:r>
            <w:r>
              <w:rPr>
                <w:rStyle w:val="Text111"/>
              </w:rPr>
              <w:bookmarkStart w:id="1547" w:name="idm45965281415536"/>
              <w:t/>
              <w:bookmarkEnd w:id="1547"/>
            </w:r>
            <w:r>
              <w:t xml:space="preserve"> </w:t>
            </w:r>
            <w:r>
              <w:rPr>
                <w:rStyle w:val="Text0"/>
              </w:rPr>
              <w:t>__int__</w:t>
            </w:r>
            <w:r>
              <w:t xml:space="preserve">, but meant to be supplied only by types that are alternative implementations of integers (in other words, all of the type’s instances can be exactly mapped into integers). For example, out of all the built-in types, only </w:t>
            </w:r>
            <w:r>
              <w:rPr>
                <w:rStyle w:val="Text0"/>
              </w:rPr>
              <w:t>int</w:t>
            </w:r>
            <w:r>
              <w:t xml:space="preserve"> supplies </w:t>
            </w:r>
            <w:r>
              <w:rPr>
                <w:rStyle w:val="Text0"/>
              </w:rPr>
              <w:t>__index__</w:t>
            </w:r>
            <w:r>
              <w:t xml:space="preserve">; </w:t>
            </w:r>
            <w:r>
              <w:rPr>
                <w:rStyle w:val="Text0"/>
              </w:rPr>
              <w:t>float</w:t>
            </w:r>
            <w:r>
              <w:t xml:space="preserve"> and </w:t>
            </w:r>
            <w:r>
              <w:rPr>
                <w:rStyle w:val="Text0"/>
              </w:rPr>
              <w:t>str</w:t>
            </w:r>
            <w:r>
              <w:t xml:space="preserve"> don’t, although they do supply </w:t>
            </w:r>
            <w:r>
              <w:rPr>
                <w:rStyle w:val="Text0"/>
              </w:rPr>
              <w:t>__int__</w:t>
            </w:r>
            <w:r>
              <w:t xml:space="preserve">. Sequence indexing and slicing internally use </w:t>
            </w:r>
            <w:r>
              <w:rPr>
                <w:rStyle w:val="Text0"/>
              </w:rPr>
              <w:t>__index__</w:t>
            </w:r>
            <w:r>
              <w:t xml:space="preserve"> to get the needed integer indices.</w:t>
            </w:r>
          </w:p>
        </w:tc>
      </w:tr>
    </w:tbl>
    <w:tbl>
      <w:tblPr>
        <w:tblW w:type="auto" w:w="0"/>
      </w:tblPr>
      <w:tr>
        <w:tc>
          <w:tcPr>
            <w:tcW w:type="auto" w:w="0"/>
            <w:shd w:val="clear" w:color="auto" w:fill="EEF2F6"/>
            <w:tcMar>
              <w:left w:type="dxa" w:w="200"/>
              <w:top w:type="dxa" w:w="200"/>
              <w:right w:type="dxa" w:w="200"/>
              <w:bottom w:type="dxa" w:w="200"/>
            </w:tcMar>
          </w:tcPr>
          <w:p>
            <w:pPr>
              <w:pStyle w:val="Para 001"/>
            </w:pPr>
            <w:r>
              <w:t>__ipow__</w:t>
            </w:r>
          </w:p>
        </w:tc>
        <w:tc>
          <w:tcPr>
            <w:tcW w:type="auto" w:w="0"/>
            <w:shd w:val="clear" w:color="auto" w:fill="EEF2F6"/>
            <w:tcMar>
              <w:left w:type="dxa" w:w="200"/>
              <w:top w:type="dxa" w:w="200"/>
              <w:right w:type="dxa" w:w="200"/>
              <w:bottom w:type="dxa" w:w="200"/>
            </w:tcMar>
          </w:tcPr>
          <w:p>
            <w:pPr>
              <w:pStyle w:val="Para 002"/>
            </w:pPr>
            <w:r>
              <w:rPr>
                <w:rStyle w:val="Text0"/>
              </w:rPr>
              <w:t>__ipow__(self,</w:t>
            </w:r>
            <w:r>
              <w:rPr>
                <w:rStyle w:val="Text3"/>
              </w:rPr>
              <w:t>other</w:t>
            </w:r>
            <w:r>
              <w:rPr>
                <w:rStyle w:val="Text0"/>
              </w:rPr>
              <w:t>)</w:t>
              <w:br w:clear="none"/>
            </w:r>
            <w:r>
              <w:t xml:space="preserve"> The augmented assignment </w:t>
            </w:r>
            <w:r>
              <w:rPr>
                <w:rStyle w:val="Text3"/>
              </w:rPr>
              <w:t>x</w:t>
            </w:r>
            <w:r>
              <w:t xml:space="preserve"> </w:t>
            </w:r>
            <w:r>
              <w:rPr>
                <w:rStyle w:val="Text0"/>
              </w:rPr>
              <w:t>**=</w:t>
            </w:r>
            <w:r>
              <w:t xml:space="preserve"> </w:t>
            </w:r>
            <w:r>
              <w:rPr>
                <w:rStyle w:val="Text3"/>
              </w:rPr>
              <w:t>y</w:t>
            </w:r>
            <w:r>
              <w:t xml:space="preserve"> calls </w:t>
            </w:r>
            <w:r>
              <w:rPr>
                <w:rStyle w:val="Text3"/>
              </w:rPr>
              <w:t>x</w:t>
            </w:r>
            <w:r>
              <w:rPr>
                <w:rStyle w:val="Text0"/>
              </w:rPr>
              <w:t>.__ipow__(</w:t>
            </w:r>
            <w:r>
              <w:rPr>
                <w:rStyle w:val="Text3"/>
              </w:rPr>
              <w:t>y</w:t>
            </w:r>
            <w:r>
              <w:rPr>
                <w:rStyle w:val="Text0"/>
              </w:rPr>
              <w:t>)</w:t>
            </w:r>
            <w:r>
              <w:t xml:space="preserve">. </w:t>
            </w:r>
            <w:r>
              <w:rPr>
                <w:rStyle w:val="Text0"/>
              </w:rPr>
              <w:t>__ipow__</w:t>
            </w:r>
            <w:r>
              <w:t xml:space="preserve"> should modify </w:t>
            </w:r>
            <w:r>
              <w:rPr>
                <w:rStyle w:val="Text3"/>
              </w:rPr>
              <w:t>x</w:t>
            </w:r>
            <w:r>
              <w:t xml:space="preserve"> in place and return </w:t>
            </w:r>
            <w:r>
              <w:rPr>
                <w:rStyle w:val="Text0"/>
              </w:rPr>
              <w:t>self</w:t>
            </w:r>
            <w:r>
              <w:t>.</w:t>
            </w:r>
          </w:p>
        </w:tc>
      </w:tr>
    </w:tbl>
    <w:tbl>
      <w:tblPr>
        <w:tblW w:type="auto" w:w="0"/>
      </w:tblPr>
      <w:tr>
        <w:tc>
          <w:tcPr>
            <w:tcW w:type="auto" w:w="0"/>
            <w:tcMar>
              <w:left w:type="dxa" w:w="200"/>
              <w:top w:type="dxa" w:w="200"/>
              <w:right w:type="dxa" w:w="200"/>
              <w:bottom w:type="dxa" w:w="200"/>
            </w:tcMar>
          </w:tcPr>
          <w:p>
            <w:pPr>
              <w:pStyle w:val="Para 001"/>
            </w:pPr>
            <w:r>
              <w:t>__matmul__</w:t>
            </w:r>
          </w:p>
        </w:tc>
        <w:tc>
          <w:tcPr>
            <w:tcW w:type="auto" w:w="0"/>
            <w:tcMar>
              <w:left w:type="dxa" w:w="200"/>
              <w:top w:type="dxa" w:w="200"/>
              <w:right w:type="dxa" w:w="200"/>
              <w:bottom w:type="dxa" w:w="200"/>
            </w:tcMar>
          </w:tcPr>
          <w:p>
            <w:pPr>
              <w:pStyle w:val="Para 002"/>
            </w:pPr>
            <w:r>
              <w:rPr>
                <w:rStyle w:val="Text0"/>
              </w:rPr>
              <w:t>__matmul__(self,</w:t>
            </w:r>
            <w:r>
              <w:t xml:space="preserve"> </w:t>
            </w:r>
            <w:r>
              <w:rPr>
                <w:rStyle w:val="Text3"/>
              </w:rPr>
              <w:t>other</w:t>
            </w:r>
            <w:r>
              <w:rPr>
                <w:rStyle w:val="Text0"/>
              </w:rPr>
              <w:t>)</w:t>
              <w:br w:clear="none"/>
            </w:r>
            <w:r>
              <w:t xml:space="preserve"> The</w:t>
            </w:r>
            <w:r>
              <w:rPr>
                <w:rStyle w:val="Text111"/>
              </w:rPr>
              <w:bookmarkStart w:id="1548" w:name="idm45965281395904"/>
              <w:t/>
              <w:bookmarkEnd w:id="1548"/>
            </w:r>
            <w:r>
              <w:t xml:space="preserve"> operator </w:t>
            </w:r>
            <w:r>
              <w:rPr>
                <w:rStyle w:val="Text3"/>
              </w:rPr>
              <w:t>x</w:t>
            </w:r>
            <w:r>
              <w:t xml:space="preserve"> </w:t>
            </w:r>
            <w:r>
              <w:rPr>
                <w:rStyle w:val="Text0"/>
              </w:rPr>
              <w:t>@</w:t>
            </w:r>
            <w:r>
              <w:t xml:space="preserve"> </w:t>
            </w:r>
            <w:r>
              <w:rPr>
                <w:rStyle w:val="Text3"/>
              </w:rPr>
              <w:t>y</w:t>
            </w:r>
            <w:r>
              <w:t xml:space="preserve"> calls this method, usually for matrix multiplication.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__pow__</w:t>
            </w:r>
          </w:p>
        </w:tc>
        <w:tc>
          <w:tcPr>
            <w:tcW w:type="auto" w:w="0"/>
            <w:shd w:val="clear" w:color="auto" w:fill="EEF2F6"/>
            <w:tcMar>
              <w:left w:type="dxa" w:w="200"/>
              <w:top w:type="dxa" w:w="200"/>
              <w:right w:type="dxa" w:w="200"/>
              <w:bottom w:type="dxa" w:w="200"/>
            </w:tcMar>
          </w:tcPr>
          <w:p>
            <w:pPr>
              <w:pStyle w:val="Para 002"/>
            </w:pPr>
            <w:r>
              <w:rPr>
                <w:rStyle w:val="Text0"/>
              </w:rPr>
              <w:t>__pow__(self,</w:t>
            </w:r>
            <w:r>
              <w:rPr>
                <w:rStyle w:val="Text3"/>
              </w:rPr>
              <w:t>other</w:t>
            </w:r>
            <w:r>
              <w:rPr>
                <w:rStyle w:val="Text0"/>
              </w:rPr>
              <w:t>[,</w:t>
            </w:r>
            <w:r>
              <w:t xml:space="preserve"> </w:t>
            </w:r>
            <w:r>
              <w:rPr>
                <w:rStyle w:val="Text3"/>
              </w:rPr>
              <w:t>modulo</w:t>
            </w:r>
            <w:r>
              <w:rPr>
                <w:rStyle w:val="Text0"/>
              </w:rPr>
              <w:t>])</w:t>
              <w:br w:clear="none"/>
            </w:r>
            <w:r>
              <w:t xml:space="preserve"> </w:t>
            </w:r>
            <w:r>
              <w:rPr>
                <w:rStyle w:val="Text3"/>
              </w:rPr>
              <w:t>x</w:t>
            </w:r>
            <w:r>
              <w:t xml:space="preserve"> </w:t>
            </w:r>
            <w:r>
              <w:rPr>
                <w:rStyle w:val="Text0"/>
              </w:rPr>
              <w:t>**</w:t>
            </w:r>
            <w:r>
              <w:t xml:space="preserve"> </w:t>
            </w:r>
            <w:r>
              <w:rPr>
                <w:rStyle w:val="Text3"/>
              </w:rPr>
              <w:t>y</w:t>
            </w:r>
            <w:r>
              <w:t xml:space="preserve"> and </w:t>
            </w:r>
            <w:r>
              <w:rPr>
                <w:rStyle w:val="Text0"/>
              </w:rPr>
              <w:t>pow(</w:t>
            </w:r>
            <w:r>
              <w:rPr>
                <w:rStyle w:val="Text3"/>
              </w:rPr>
              <w:t>x, y</w:t>
            </w:r>
            <w:r>
              <w:rPr>
                <w:rStyle w:val="Text0"/>
              </w:rPr>
              <w:t>)</w:t>
            </w:r>
            <w:r>
              <w:t xml:space="preserve"> both call </w:t>
            </w:r>
            <w:r>
              <w:rPr>
                <w:rStyle w:val="Text3"/>
              </w:rPr>
              <w:t>x</w:t>
            </w:r>
            <w:r>
              <w:rPr>
                <w:rStyle w:val="Text0"/>
              </w:rPr>
              <w:t>.__pow__(</w:t>
            </w:r>
            <w:r>
              <w:rPr>
                <w:rStyle w:val="Text3"/>
              </w:rPr>
              <w:t>y</w:t>
            </w:r>
            <w:r>
              <w:rPr>
                <w:rStyle w:val="Text0"/>
              </w:rPr>
              <w:t>)</w:t>
            </w:r>
            <w:r>
              <w:t>, while</w:t>
            </w:r>
            <w:r>
              <w:rPr>
                <w:rStyle w:val="Text111"/>
              </w:rPr>
              <w:bookmarkStart w:id="1549" w:name="idm45965281382256"/>
              <w:t/>
              <w:bookmarkEnd w:id="1549"/>
            </w:r>
            <w:r>
              <w:t xml:space="preserve"> </w:t>
            </w:r>
            <w:r>
              <w:rPr>
                <w:rStyle w:val="Text0"/>
              </w:rPr>
              <w:t>pow(</w:t>
            </w:r>
            <w:r>
              <w:rPr>
                <w:rStyle w:val="Text3"/>
              </w:rPr>
              <w:t>x, y, z</w:t>
            </w:r>
            <w:r>
              <w:rPr>
                <w:rStyle w:val="Text0"/>
              </w:rPr>
              <w:t>)</w:t>
            </w:r>
            <w:r>
              <w:t xml:space="preserve"> calls </w:t>
            </w:r>
            <w:r>
              <w:rPr>
                <w:rStyle w:val="Text3"/>
              </w:rPr>
              <w:t>x</w:t>
            </w:r>
            <w:r>
              <w:rPr>
                <w:rStyle w:val="Text0"/>
              </w:rPr>
              <w:t>.__pow__(</w:t>
            </w:r>
            <w:r>
              <w:rPr>
                <w:rStyle w:val="Text3"/>
              </w:rPr>
              <w:t>y</w:t>
            </w:r>
            <w:r>
              <w:rPr>
                <w:rStyle w:val="Text0"/>
              </w:rPr>
              <w:t>,</w:t>
            </w:r>
            <w:r>
              <w:t xml:space="preserve"> </w:t>
            </w:r>
            <w:r>
              <w:rPr>
                <w:rStyle w:val="Text3"/>
              </w:rPr>
              <w:t>z</w:t>
            </w:r>
            <w:r>
              <w:rPr>
                <w:rStyle w:val="Text0"/>
              </w:rPr>
              <w:t>)</w:t>
            </w:r>
            <w:r>
              <w:t xml:space="preserve">. </w:t>
            </w:r>
            <w:r>
              <w:rPr>
                <w:rStyle w:val="Text3"/>
              </w:rPr>
              <w:t>x</w:t>
            </w:r>
            <w:r>
              <w:rPr>
                <w:rStyle w:val="Text0"/>
              </w:rPr>
              <w:t>.__pow__(</w:t>
            </w:r>
            <w:r>
              <w:rPr>
                <w:rStyle w:val="Text3"/>
              </w:rPr>
              <w:t>y, z</w:t>
            </w:r>
            <w:r>
              <w:rPr>
                <w:rStyle w:val="Text0"/>
              </w:rPr>
              <w:t>)</w:t>
            </w:r>
            <w:r>
              <w:t xml:space="preserve"> should return a value equal to the expression </w:t>
            </w:r>
            <w:r>
              <w:rPr>
                <w:rStyle w:val="Text3"/>
              </w:rPr>
              <w:t>x</w:t>
            </w:r>
            <w:r>
              <w:rPr>
                <w:rStyle w:val="Text0"/>
              </w:rPr>
              <w:t>.__pow__(</w:t>
            </w:r>
            <w:r>
              <w:rPr>
                <w:rStyle w:val="Text3"/>
              </w:rPr>
              <w:t>y</w:t>
            </w:r>
            <w:r>
              <w:rPr>
                <w:rStyle w:val="Text0"/>
              </w:rPr>
              <w:t>) %</w:t>
            </w:r>
            <w:r>
              <w:t xml:space="preserve"> </w:t>
            </w:r>
            <w:r>
              <w:rPr>
                <w:rStyle w:val="Text3"/>
              </w:rPr>
              <w:t>z</w:t>
            </w:r>
            <w:r>
              <w:t>.</w:t>
            </w:r>
          </w:p>
        </w:tc>
      </w:tr>
    </w:tbl>
    <w:tbl>
      <w:tblPr>
        <w:tblW w:type="auto" w:w="0"/>
      </w:tblPr>
      <w:tr>
        <w:tc>
          <w:tcPr>
            <w:tcW w:type="auto" w:w="0"/>
            <w:tcMar>
              <w:left w:type="dxa" w:w="200"/>
              <w:top w:type="dxa" w:w="200"/>
              <w:right w:type="dxa" w:w="200"/>
              <w:bottom w:type="dxa" w:w="200"/>
            </w:tcMar>
          </w:tcPr>
          <w:p>
            <w:pPr>
              <w:pStyle w:val="Para 001"/>
            </w:pPr>
            <w:r>
              <w:t>__radd__</w:t>
            </w:r>
            <w:r>
              <w:rPr>
                <w:rStyle w:val="Text12"/>
              </w:rPr>
              <w:t>,</w:t>
              <w:br w:clear="none"/>
              <w:t xml:space="preserve"> </w:t>
            </w:r>
            <w:r>
              <w:t>__rmod__</w:t>
            </w:r>
            <w:r>
              <w:rPr>
                <w:rStyle w:val="Text12"/>
              </w:rPr>
              <w:t>,</w:t>
              <w:br w:clear="none"/>
              <w:t xml:space="preserve"> </w:t>
            </w:r>
            <w:r>
              <w:t>__rmul__</w:t>
            </w:r>
            <w:r>
              <w:rPr>
                <w:rStyle w:val="Text12"/>
              </w:rPr>
              <w:t>,</w:t>
              <w:br w:clear="none"/>
              <w:t xml:space="preserve"> </w:t>
            </w:r>
            <w:r>
              <w:t>__rsub__</w:t>
            </w:r>
            <w:r>
              <w:rPr>
                <w:rStyle w:val="Text12"/>
              </w:rPr>
              <w:t>,</w:t>
              <w:br w:clear="none"/>
              <w:t xml:space="preserve"> </w:t>
            </w:r>
            <w:r>
              <w:t>__rmatmul__</w:t>
            </w:r>
          </w:p>
        </w:tc>
        <w:tc>
          <w:tcPr>
            <w:tcW w:type="auto" w:w="0"/>
            <w:tcMar>
              <w:left w:type="dxa" w:w="200"/>
              <w:top w:type="dxa" w:w="200"/>
              <w:right w:type="dxa" w:w="200"/>
              <w:bottom w:type="dxa" w:w="200"/>
            </w:tcMar>
          </w:tcPr>
          <w:p>
            <w:pPr>
              <w:pStyle w:val="Para 002"/>
            </w:pPr>
            <w:r>
              <w:rPr>
                <w:rStyle w:val="Text0"/>
              </w:rPr>
              <w:t>__radd__(self,</w:t>
            </w:r>
            <w:r>
              <w:t xml:space="preserve"> </w:t>
            </w:r>
            <w:r>
              <w:rPr>
                <w:rStyle w:val="Text3"/>
              </w:rPr>
              <w:t>other</w:t>
            </w:r>
            <w:r>
              <w:rPr>
                <w:rStyle w:val="Text0"/>
              </w:rPr>
              <w:t>)</w:t>
            </w:r>
            <w:r>
              <w:t>,</w:t>
              <w:br w:clear="none"/>
              <w:t xml:space="preserve"> </w:t>
            </w:r>
            <w:r>
              <w:rPr>
                <w:rStyle w:val="Text0"/>
              </w:rPr>
              <w:t>__rmod__(self,</w:t>
            </w:r>
            <w:r>
              <w:t xml:space="preserve"> </w:t>
            </w:r>
            <w:r>
              <w:rPr>
                <w:rStyle w:val="Text3"/>
              </w:rPr>
              <w:t>other</w:t>
            </w:r>
            <w:r>
              <w:rPr>
                <w:rStyle w:val="Text0"/>
              </w:rPr>
              <w:t>)</w:t>
            </w:r>
            <w:r>
              <w:t>,</w:t>
              <w:br w:clear="none"/>
              <w:t xml:space="preserve"> </w:t>
            </w:r>
            <w:r>
              <w:rPr>
                <w:rStyle w:val="Text0"/>
              </w:rPr>
              <w:t>__rmul__(self,</w:t>
            </w:r>
            <w:r>
              <w:t xml:space="preserve"> </w:t>
            </w:r>
            <w:r>
              <w:rPr>
                <w:rStyle w:val="Text3"/>
              </w:rPr>
              <w:t>other</w:t>
            </w:r>
            <w:r>
              <w:rPr>
                <w:rStyle w:val="Text0"/>
              </w:rPr>
              <w:t>)</w:t>
            </w:r>
            <w:r>
              <w:t>,</w:t>
              <w:br w:clear="none"/>
              <w:t xml:space="preserve"> </w:t>
            </w:r>
            <w:r>
              <w:rPr>
                <w:rStyle w:val="Text0"/>
              </w:rPr>
              <w:t>__rsub__(self,</w:t>
            </w:r>
            <w:r>
              <w:t xml:space="preserve"> </w:t>
            </w:r>
            <w:r>
              <w:rPr>
                <w:rStyle w:val="Text3"/>
              </w:rPr>
              <w:t>other</w:t>
            </w:r>
            <w:r>
              <w:rPr>
                <w:rStyle w:val="Text0"/>
              </w:rPr>
              <w:t>)</w:t>
            </w:r>
            <w:r>
              <w:t>,</w:t>
              <w:br w:clear="none"/>
              <w:t xml:space="preserve"> </w:t>
            </w:r>
            <w:r>
              <w:rPr>
                <w:rStyle w:val="Text0"/>
              </w:rPr>
              <w:t>__rmatmul__(self,</w:t>
            </w:r>
            <w:r>
              <w:t xml:space="preserve"> </w:t>
            </w:r>
            <w:r>
              <w:rPr>
                <w:rStyle w:val="Text3"/>
              </w:rPr>
              <w:t>other</w:t>
            </w:r>
            <w:r>
              <w:rPr>
                <w:rStyle w:val="Text0"/>
              </w:rPr>
              <w:t>)</w:t>
              <w:br w:clear="none"/>
            </w:r>
            <w:r>
              <w:t xml:space="preserve"> The operators </w:t>
            </w:r>
            <w:r>
              <w:rPr>
                <w:rStyle w:val="Text3"/>
              </w:rPr>
              <w:t>y</w:t>
            </w:r>
            <w:r>
              <w:t xml:space="preserve"> </w:t>
            </w:r>
            <w:r>
              <w:rPr>
                <w:rStyle w:val="Text0"/>
              </w:rPr>
              <w:t>+</w:t>
            </w:r>
            <w:r>
              <w:t xml:space="preserve"> </w:t>
            </w:r>
            <w:r>
              <w:rPr>
                <w:rStyle w:val="Text3"/>
              </w:rPr>
              <w:t>x</w:t>
            </w:r>
            <w:r>
              <w:t xml:space="preserve">, </w:t>
            </w:r>
            <w:r>
              <w:rPr>
                <w:rStyle w:val="Text3"/>
              </w:rPr>
              <w:t>y</w:t>
            </w:r>
            <w:r>
              <w:t xml:space="preserve"> </w:t>
            </w:r>
            <w:r>
              <w:rPr>
                <w:rStyle w:val="Text0"/>
              </w:rPr>
              <w:t>/</w:t>
            </w:r>
            <w:r>
              <w:t xml:space="preserve"> </w:t>
            </w:r>
            <w:r>
              <w:rPr>
                <w:rStyle w:val="Text3"/>
              </w:rPr>
              <w:t>x</w:t>
            </w:r>
            <w:r>
              <w:t xml:space="preserve">, </w:t>
            </w:r>
            <w:r>
              <w:rPr>
                <w:rStyle w:val="Text3"/>
              </w:rPr>
              <w:t>y</w:t>
            </w:r>
            <w:r>
              <w:t xml:space="preserve"> </w:t>
            </w:r>
            <w:r>
              <w:rPr>
                <w:rStyle w:val="Text0"/>
              </w:rPr>
              <w:t>%</w:t>
            </w:r>
            <w:r>
              <w:t xml:space="preserve"> </w:t>
            </w:r>
            <w:r>
              <w:rPr>
                <w:rStyle w:val="Text3"/>
              </w:rPr>
              <w:t>x</w:t>
            </w:r>
            <w:r>
              <w:t xml:space="preserve">, </w:t>
            </w:r>
            <w:r>
              <w:rPr>
                <w:rStyle w:val="Text3"/>
              </w:rPr>
              <w:t>y</w:t>
            </w:r>
            <w:r>
              <w:t xml:space="preserve"> </w:t>
            </w:r>
            <w:r>
              <w:rPr>
                <w:rStyle w:val="Text0"/>
              </w:rPr>
              <w:t>*</w:t>
            </w:r>
            <w:r>
              <w:t xml:space="preserve"> </w:t>
            </w:r>
            <w:r>
              <w:rPr>
                <w:rStyle w:val="Text3"/>
              </w:rPr>
              <w:t>x</w:t>
            </w:r>
            <w:r>
              <w:t xml:space="preserve">, </w:t>
            </w:r>
            <w:r>
              <w:rPr>
                <w:rStyle w:val="Text3"/>
              </w:rPr>
              <w:t>y - x</w:t>
            </w:r>
            <w:r>
              <w:t xml:space="preserve">, and </w:t>
            </w:r>
            <w:r>
              <w:rPr>
                <w:rStyle w:val="Text3"/>
              </w:rPr>
              <w:t>y</w:t>
            </w:r>
            <w:r>
              <w:t xml:space="preserve"> </w:t>
            </w:r>
            <w:r>
              <w:rPr>
                <w:rStyle w:val="Text0"/>
              </w:rPr>
              <w:t>@</w:t>
            </w:r>
            <w:r>
              <w:t xml:space="preserve"> </w:t>
            </w:r>
            <w:r>
              <w:rPr>
                <w:rStyle w:val="Text3"/>
              </w:rPr>
              <w:t>x</w:t>
            </w:r>
            <w:r>
              <w:t xml:space="preserve">, respectively, call these methods on </w:t>
            </w:r>
            <w:r>
              <w:rPr>
                <w:rStyle w:val="Text3"/>
              </w:rPr>
              <w:t>x</w:t>
            </w:r>
            <w:r>
              <w:t xml:space="preserve"> when </w:t>
            </w:r>
            <w:r>
              <w:rPr>
                <w:rStyle w:val="Text3"/>
              </w:rPr>
              <w:t>y</w:t>
            </w:r>
            <w:r>
              <w:t xml:space="preserve"> doesn’t have the needed method </w:t>
            </w:r>
            <w:r>
              <w:rPr>
                <w:rStyle w:val="Text0"/>
              </w:rPr>
              <w:t>__add__</w:t>
            </w:r>
            <w:r>
              <w:t xml:space="preserve">, </w:t>
            </w:r>
            <w:r>
              <w:rPr>
                <w:rStyle w:val="Text0"/>
              </w:rPr>
              <w:t>__truediv__</w:t>
            </w:r>
            <w:r>
              <w:t>, and so on, or when that method returns</w:t>
            </w:r>
            <w:r>
              <w:rPr>
                <w:rStyle w:val="Text111"/>
              </w:rPr>
              <w:bookmarkStart w:id="1550" w:name="idm45965281337872"/>
              <w:t/>
              <w:bookmarkEnd w:id="1550"/>
            </w:r>
            <w:r>
              <w:t xml:space="preserve"> </w:t>
            </w:r>
            <w:r>
              <w:rPr>
                <w:rStyle w:val="Text0"/>
              </w:rPr>
              <w:t>NotImplemented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__rand__</w:t>
            </w:r>
            <w:r>
              <w:rPr>
                <w:rStyle w:val="Text12"/>
              </w:rPr>
              <w:t>,</w:t>
              <w:br w:clear="none"/>
              <w:t xml:space="preserve"> </w:t>
            </w:r>
            <w:r>
              <w:t>__rlshift__</w:t>
            </w:r>
            <w:r>
              <w:rPr>
                <w:rStyle w:val="Text12"/>
              </w:rPr>
              <w:t>,</w:t>
              <w:br w:clear="none"/>
              <w:t xml:space="preserve"> </w:t>
            </w:r>
            <w:r>
              <w:t>__ror__</w:t>
            </w:r>
            <w:r>
              <w:rPr>
                <w:rStyle w:val="Text12"/>
              </w:rPr>
              <w:t>,</w:t>
              <w:br w:clear="none"/>
              <w:t xml:space="preserve"> </w:t>
            </w:r>
            <w:r>
              <w:t>__rrshift__</w:t>
            </w:r>
            <w:r>
              <w:rPr>
                <w:rStyle w:val="Text12"/>
              </w:rPr>
              <w:t>,</w:t>
              <w:br w:clear="none"/>
              <w:t xml:space="preserve"> </w:t>
            </w:r>
            <w:r>
              <w:t>__rxor__</w:t>
            </w:r>
          </w:p>
        </w:tc>
        <w:tc>
          <w:tcPr>
            <w:tcW w:type="auto" w:w="0"/>
            <w:shd w:val="clear" w:color="auto" w:fill="EEF2F6"/>
            <w:tcMar>
              <w:left w:type="dxa" w:w="200"/>
              <w:top w:type="dxa" w:w="200"/>
              <w:right w:type="dxa" w:w="200"/>
              <w:bottom w:type="dxa" w:w="200"/>
            </w:tcMar>
          </w:tcPr>
          <w:p>
            <w:pPr>
              <w:pStyle w:val="Para 002"/>
            </w:pPr>
            <w:r>
              <w:rPr>
                <w:rStyle w:val="Text0"/>
              </w:rPr>
              <w:t>__rand__(self,</w:t>
            </w:r>
            <w:r>
              <w:t xml:space="preserve"> </w:t>
            </w:r>
            <w:r>
              <w:rPr>
                <w:rStyle w:val="Text3"/>
              </w:rPr>
              <w:t>other</w:t>
            </w:r>
            <w:r>
              <w:rPr>
                <w:rStyle w:val="Text0"/>
              </w:rPr>
              <w:t>)</w:t>
            </w:r>
            <w:r>
              <w:t>,</w:t>
              <w:br w:clear="none"/>
              <w:t xml:space="preserve"> </w:t>
            </w:r>
            <w:r>
              <w:rPr>
                <w:rStyle w:val="Text0"/>
              </w:rPr>
              <w:t>__rlshift__(self,</w:t>
            </w:r>
            <w:r>
              <w:t xml:space="preserve"> </w:t>
            </w:r>
            <w:r>
              <w:rPr>
                <w:rStyle w:val="Text3"/>
              </w:rPr>
              <w:t>other</w:t>
            </w:r>
            <w:r>
              <w:rPr>
                <w:rStyle w:val="Text0"/>
              </w:rPr>
              <w:t>)</w:t>
            </w:r>
            <w:r>
              <w:t>,</w:t>
              <w:br w:clear="none"/>
              <w:t xml:space="preserve"> </w:t>
            </w:r>
            <w:r>
              <w:rPr>
                <w:rStyle w:val="Text0"/>
              </w:rPr>
              <w:t>__ror__(self,</w:t>
            </w:r>
            <w:r>
              <w:t xml:space="preserve"> </w:t>
            </w:r>
            <w:r>
              <w:rPr>
                <w:rStyle w:val="Text3"/>
              </w:rPr>
              <w:t>other</w:t>
            </w:r>
            <w:r>
              <w:rPr>
                <w:rStyle w:val="Text0"/>
              </w:rPr>
              <w:t>)</w:t>
            </w:r>
            <w:r>
              <w:t>,</w:t>
              <w:br w:clear="none"/>
              <w:t xml:space="preserve"> </w:t>
            </w:r>
            <w:r>
              <w:rPr>
                <w:rStyle w:val="Text0"/>
              </w:rPr>
              <w:t>__rrshift__(self,</w:t>
            </w:r>
            <w:r>
              <w:t xml:space="preserve"> </w:t>
            </w:r>
            <w:r>
              <w:rPr>
                <w:rStyle w:val="Text3"/>
              </w:rPr>
              <w:t>other</w:t>
            </w:r>
            <w:r>
              <w:rPr>
                <w:rStyle w:val="Text0"/>
              </w:rPr>
              <w:t>)</w:t>
            </w:r>
            <w:r>
              <w:t>,</w:t>
              <w:br w:clear="none"/>
              <w:t xml:space="preserve"> </w:t>
            </w:r>
            <w:r>
              <w:rPr>
                <w:rStyle w:val="Text0"/>
              </w:rPr>
              <w:t>__rxor__(self,</w:t>
            </w:r>
            <w:r>
              <w:t xml:space="preserve"> </w:t>
            </w:r>
            <w:r>
              <w:rPr>
                <w:rStyle w:val="Text3"/>
              </w:rPr>
              <w:t>other</w:t>
            </w:r>
            <w:r>
              <w:rPr>
                <w:rStyle w:val="Text0"/>
              </w:rPr>
              <w:t>)</w:t>
              <w:br w:clear="none"/>
            </w:r>
            <w:r>
              <w:t xml:space="preserve"> The operators </w:t>
            </w:r>
            <w:r>
              <w:rPr>
                <w:rStyle w:val="Text3"/>
              </w:rPr>
              <w:t>y</w:t>
            </w:r>
            <w:r>
              <w:t xml:space="preserve"> </w:t>
            </w:r>
            <w:r>
              <w:rPr>
                <w:rStyle w:val="Text0"/>
              </w:rPr>
              <w:t>&amp;</w:t>
            </w:r>
            <w:r>
              <w:t xml:space="preserve"> </w:t>
            </w:r>
            <w:r>
              <w:rPr>
                <w:rStyle w:val="Text3"/>
              </w:rPr>
              <w:t>x</w:t>
            </w:r>
            <w:r>
              <w:t xml:space="preserve">, </w:t>
            </w:r>
            <w:r>
              <w:rPr>
                <w:rStyle w:val="Text3"/>
              </w:rPr>
              <w:t>y</w:t>
            </w:r>
            <w:r>
              <w:t xml:space="preserve"> </w:t>
            </w:r>
            <w:r>
              <w:rPr>
                <w:rStyle w:val="Text0"/>
              </w:rPr>
              <w:t>&lt;&lt;</w:t>
            </w:r>
            <w:r>
              <w:t xml:space="preserve"> </w:t>
            </w:r>
            <w:r>
              <w:rPr>
                <w:rStyle w:val="Text3"/>
              </w:rPr>
              <w:t>x</w:t>
            </w:r>
            <w:r>
              <w:t xml:space="preserve">, </w:t>
            </w:r>
            <w:r>
              <w:rPr>
                <w:rStyle w:val="Text3"/>
              </w:rPr>
              <w:t>y</w:t>
            </w:r>
            <w:r>
              <w:t xml:space="preserve"> </w:t>
            </w:r>
            <w:r>
              <w:rPr>
                <w:rStyle w:val="Text0"/>
              </w:rPr>
              <w:t>|</w:t>
            </w:r>
            <w:r>
              <w:t xml:space="preserve"> </w:t>
            </w:r>
            <w:r>
              <w:rPr>
                <w:rStyle w:val="Text3"/>
              </w:rPr>
              <w:t>x</w:t>
            </w:r>
            <w:r>
              <w:t xml:space="preserve">, </w:t>
            </w:r>
            <w:r>
              <w:rPr>
                <w:rStyle w:val="Text3"/>
              </w:rPr>
              <w:t>y</w:t>
            </w:r>
            <w:r>
              <w:t xml:space="preserve"> </w:t>
            </w:r>
            <w:r>
              <w:rPr>
                <w:rStyle w:val="Text0"/>
              </w:rPr>
              <w:t>&gt;&gt;</w:t>
            </w:r>
            <w:r>
              <w:t xml:space="preserve"> </w:t>
            </w:r>
            <w:r>
              <w:rPr>
                <w:rStyle w:val="Text3"/>
              </w:rPr>
              <w:t>x</w:t>
            </w:r>
            <w:r>
              <w:t xml:space="preserve">, and </w:t>
            </w:r>
            <w:r>
              <w:rPr>
                <w:rStyle w:val="Text3"/>
              </w:rPr>
              <w:t>x</w:t>
            </w:r>
            <w:r>
              <w:t xml:space="preserve"> </w:t>
            </w:r>
            <w:r>
              <w:rPr>
                <w:rStyle w:val="Text0"/>
              </w:rPr>
              <w:t>^</w:t>
            </w:r>
            <w:r>
              <w:t xml:space="preserve"> </w:t>
            </w:r>
            <w:r>
              <w:rPr>
                <w:rStyle w:val="Text3"/>
              </w:rPr>
              <w:t>y</w:t>
            </w:r>
            <w:r>
              <w:t xml:space="preserve">, respectively, call these methods on </w:t>
            </w:r>
            <w:r>
              <w:rPr>
                <w:rStyle w:val="Text3"/>
              </w:rPr>
              <w:t>x</w:t>
            </w:r>
            <w:r>
              <w:t xml:space="preserve"> when </w:t>
            </w:r>
            <w:r>
              <w:rPr>
                <w:rStyle w:val="Text3"/>
              </w:rPr>
              <w:t>y</w:t>
            </w:r>
            <w:r>
              <w:t xml:space="preserve"> doesn’t have the needed method </w:t>
            </w:r>
            <w:r>
              <w:rPr>
                <w:rStyle w:val="Text0"/>
              </w:rPr>
              <w:t>__and__</w:t>
            </w:r>
            <w:r>
              <w:t xml:space="preserve">, </w:t>
            </w:r>
            <w:r>
              <w:rPr>
                <w:rStyle w:val="Text0"/>
              </w:rPr>
              <w:t>__lshift__</w:t>
            </w:r>
            <w:r>
              <w:t xml:space="preserve">, and so on, or when that method returns </w:t>
            </w:r>
            <w:r>
              <w:rPr>
                <w:rStyle w:val="Text0"/>
              </w:rPr>
              <w:t>NotImplemented</w:t>
            </w:r>
            <w:r>
              <w:t>.</w:t>
            </w:r>
          </w:p>
        </w:tc>
      </w:tr>
    </w:tbl>
    <w:tbl>
      <w:tblPr>
        <w:tblW w:type="auto" w:w="0"/>
      </w:tblPr>
      <w:tr>
        <w:tc>
          <w:tcPr>
            <w:tcW w:type="auto" w:w="0"/>
            <w:tcMar>
              <w:left w:type="dxa" w:w="200"/>
              <w:top w:type="dxa" w:w="200"/>
              <w:right w:type="dxa" w:w="200"/>
              <w:bottom w:type="dxa" w:w="200"/>
            </w:tcMar>
          </w:tcPr>
          <w:p>
            <w:pPr>
              <w:pStyle w:val="Para 001"/>
            </w:pPr>
            <w:r>
              <w:t>__rdivmod__</w:t>
            </w:r>
          </w:p>
        </w:tc>
        <w:tc>
          <w:tcPr>
            <w:tcW w:type="auto" w:w="0"/>
            <w:tcMar>
              <w:left w:type="dxa" w:w="200"/>
              <w:top w:type="dxa" w:w="200"/>
              <w:right w:type="dxa" w:w="200"/>
              <w:bottom w:type="dxa" w:w="200"/>
            </w:tcMar>
          </w:tcPr>
          <w:p>
            <w:pPr>
              <w:pStyle w:val="Para 002"/>
            </w:pPr>
            <w:r>
              <w:rPr>
                <w:rStyle w:val="Text0"/>
              </w:rPr>
              <w:t>__rdivmod_(self,</w:t>
            </w:r>
            <w:r>
              <w:t xml:space="preserve"> </w:t>
            </w:r>
            <w:r>
              <w:rPr>
                <w:rStyle w:val="Text3"/>
              </w:rPr>
              <w:t>other</w:t>
            </w:r>
            <w:r>
              <w:rPr>
                <w:rStyle w:val="Text0"/>
              </w:rPr>
              <w:t>)</w:t>
              <w:br w:clear="none"/>
            </w:r>
            <w:r>
              <w:t xml:space="preserve"> The built-in function </w:t>
            </w:r>
            <w:r>
              <w:rPr>
                <w:rStyle w:val="Text0"/>
              </w:rPr>
              <w:t>divmod(</w:t>
            </w:r>
            <w:r>
              <w:rPr>
                <w:rStyle w:val="Text3"/>
              </w:rPr>
              <w:t>y</w:t>
            </w:r>
            <w:r>
              <w:rPr>
                <w:rStyle w:val="Text0"/>
              </w:rPr>
              <w:t>,</w:t>
            </w:r>
            <w:r>
              <w:t xml:space="preserve"> </w:t>
            </w:r>
            <w:r>
              <w:rPr>
                <w:rStyle w:val="Text3"/>
              </w:rPr>
              <w:t>x</w:t>
            </w:r>
            <w:r>
              <w:rPr>
                <w:rStyle w:val="Text0"/>
              </w:rPr>
              <w:t>)</w:t>
            </w:r>
            <w:r>
              <w:t xml:space="preserve"> calls </w:t>
            </w:r>
            <w:r>
              <w:rPr>
                <w:rStyle w:val="Text3"/>
              </w:rPr>
              <w:t>x</w:t>
            </w:r>
            <w:r>
              <w:rPr>
                <w:rStyle w:val="Text0"/>
              </w:rPr>
              <w:t>.__rdivmod__(</w:t>
            </w:r>
            <w:r>
              <w:rPr>
                <w:rStyle w:val="Text3"/>
              </w:rPr>
              <w:t>y</w:t>
            </w:r>
            <w:r>
              <w:rPr>
                <w:rStyle w:val="Text0"/>
              </w:rPr>
              <w:t>)</w:t>
            </w:r>
            <w:r>
              <w:t xml:space="preserve"> when </w:t>
            </w:r>
            <w:r>
              <w:rPr>
                <w:rStyle w:val="Text3"/>
              </w:rPr>
              <w:t>y</w:t>
            </w:r>
            <w:r>
              <w:t xml:space="preserve"> doesn’t have </w:t>
            </w:r>
            <w:r>
              <w:rPr>
                <w:rStyle w:val="Text0"/>
              </w:rPr>
              <w:t>__divmod__</w:t>
            </w:r>
            <w:r>
              <w:t xml:space="preserve">, or when that method returns </w:t>
            </w:r>
            <w:r>
              <w:rPr>
                <w:rStyle w:val="Text0"/>
              </w:rPr>
              <w:t>NotImplemented</w:t>
            </w:r>
            <w:r>
              <w:t xml:space="preserve">. </w:t>
            </w:r>
            <w:r>
              <w:rPr>
                <w:rStyle w:val="Text0"/>
              </w:rPr>
              <w:t>__rdivmod__</w:t>
            </w:r>
            <w:r>
              <w:t xml:space="preserve"> should return a pair </w:t>
            </w:r>
            <w:r>
              <w:rPr>
                <w:rStyle w:val="Text0"/>
              </w:rPr>
              <w:t>(</w:t>
            </w:r>
            <w:r>
              <w:rPr>
                <w:rStyle w:val="Text3"/>
              </w:rPr>
              <w:t>remainder</w:t>
            </w:r>
            <w:r>
              <w:rPr>
                <w:rStyle w:val="Text0"/>
              </w:rPr>
              <w:t>,</w:t>
            </w:r>
            <w:r>
              <w:t xml:space="preserve"> </w:t>
            </w:r>
            <w:r>
              <w:rPr>
                <w:rStyle w:val="Text3"/>
              </w:rPr>
              <w:t>quotient</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__rpow__</w:t>
            </w:r>
          </w:p>
        </w:tc>
        <w:tc>
          <w:tcPr>
            <w:tcW w:type="auto" w:w="0"/>
            <w:shd w:val="clear" w:color="auto" w:fill="EEF2F6"/>
            <w:tcMar>
              <w:left w:type="dxa" w:w="200"/>
              <w:top w:type="dxa" w:w="200"/>
              <w:right w:type="dxa" w:w="200"/>
              <w:bottom w:type="dxa" w:w="200"/>
            </w:tcMar>
          </w:tcPr>
          <w:p>
            <w:pPr>
              <w:pStyle w:val="Para 002"/>
            </w:pPr>
            <w:r>
              <w:rPr>
                <w:rStyle w:val="Text0"/>
              </w:rPr>
              <w:t>__rpow__(self</w:t>
            </w:r>
            <w:r>
              <w:t>,</w:t>
            </w:r>
            <w:r>
              <w:rPr>
                <w:rStyle w:val="Text3"/>
              </w:rPr>
              <w:t>other</w:t>
            </w:r>
            <w:r>
              <w:rPr>
                <w:rStyle w:val="Text0"/>
              </w:rPr>
              <w:t>)</w:t>
              <w:br w:clear="none"/>
            </w:r>
            <w:r>
              <w:t xml:space="preserve"> </w:t>
            </w:r>
            <w:r>
              <w:rPr>
                <w:rStyle w:val="Text3"/>
              </w:rPr>
              <w:t>y</w:t>
            </w:r>
            <w:r>
              <w:t xml:space="preserve"> </w:t>
            </w:r>
            <w:r>
              <w:rPr>
                <w:rStyle w:val="Text0"/>
              </w:rPr>
              <w:t>**</w:t>
            </w:r>
            <w:r>
              <w:t xml:space="preserve"> </w:t>
            </w:r>
            <w:r>
              <w:rPr>
                <w:rStyle w:val="Text3"/>
              </w:rPr>
              <w:t>x</w:t>
            </w:r>
            <w:r>
              <w:t xml:space="preserve"> and </w:t>
            </w:r>
            <w:r>
              <w:rPr>
                <w:rStyle w:val="Text0"/>
              </w:rPr>
              <w:t>pow(</w:t>
            </w:r>
            <w:r>
              <w:rPr>
                <w:rStyle w:val="Text3"/>
              </w:rPr>
              <w:t>y</w:t>
            </w:r>
            <w:r>
              <w:rPr>
                <w:rStyle w:val="Text0"/>
              </w:rPr>
              <w:t>,</w:t>
            </w:r>
            <w:r>
              <w:t xml:space="preserve"> </w:t>
            </w:r>
            <w:r>
              <w:rPr>
                <w:rStyle w:val="Text3"/>
              </w:rPr>
              <w:t>x</w:t>
            </w:r>
            <w:r>
              <w:rPr>
                <w:rStyle w:val="Text0"/>
              </w:rPr>
              <w:t>)</w:t>
            </w:r>
            <w:r>
              <w:t xml:space="preserve"> call </w:t>
            </w:r>
            <w:r>
              <w:rPr>
                <w:rStyle w:val="Text3"/>
              </w:rPr>
              <w:t>x</w:t>
            </w:r>
            <w:r>
              <w:rPr>
                <w:rStyle w:val="Text0"/>
              </w:rPr>
              <w:t>.__rpow__(</w:t>
            </w:r>
            <w:r>
              <w:rPr>
                <w:rStyle w:val="Text3"/>
              </w:rPr>
              <w:t>y</w:t>
            </w:r>
            <w:r>
              <w:rPr>
                <w:rStyle w:val="Text0"/>
              </w:rPr>
              <w:t>)</w:t>
            </w:r>
            <w:r>
              <w:t xml:space="preserve"> when </w:t>
            </w:r>
            <w:r>
              <w:rPr>
                <w:rStyle w:val="Text3"/>
              </w:rPr>
              <w:t>y</w:t>
            </w:r>
            <w:r>
              <w:t xml:space="preserve"> doesn’t have </w:t>
            </w:r>
            <w:r>
              <w:rPr>
                <w:rStyle w:val="Text0"/>
              </w:rPr>
              <w:t>__pow__</w:t>
            </w:r>
            <w:r>
              <w:t xml:space="preserve">, or when that method returns </w:t>
            </w:r>
            <w:r>
              <w:rPr>
                <w:rStyle w:val="Text0"/>
              </w:rPr>
              <w:t>NotImplemented</w:t>
            </w:r>
            <w:r>
              <w:t>. There is no three-argument form in this case.</w:t>
            </w:r>
            <w:r>
              <w:rPr>
                <w:rStyle w:val="Text111"/>
              </w:rPr>
              <w:bookmarkStart w:id="1551" w:name="idm45965281275984"/>
              <w:t/>
              <w:bookmarkEnd w:id="1551"/>
              <w:bookmarkStart w:id="1552" w:name="idm45965281274608"/>
              <w:t/>
              <w:bookmarkEnd w:id="1552"/>
              <w:bookmarkStart w:id="1553" w:name="idm45965281273232"/>
              <w:t/>
              <w:bookmarkEnd w:id="1553"/>
            </w:r>
          </w:p>
        </w:tc>
      </w:tr>
    </w:tbl>
    <w:p>
      <w:bookmarkStart w:id="1554" w:name="Decorators__In_Python__you_often"/>
      <w:pPr>
        <w:keepNext/>
        <w:pStyle w:val="Heading 1"/>
      </w:pPr>
      <w:r>
        <w:t>Decorators</w:t>
      </w:r>
      <w:bookmarkEnd w:id="1554"/>
    </w:p>
    <w:p>
      <w:pPr>
        <w:pStyle w:val="Normal"/>
      </w:pPr>
      <w:r>
        <w:t>In</w:t>
      </w:r>
      <w:r>
        <w:rPr>
          <w:rStyle w:val="Text111"/>
        </w:rPr>
        <w:bookmarkStart w:id="1555" w:name="OOPdecor04"/>
        <w:t/>
        <w:bookmarkEnd w:id="1555"/>
        <w:bookmarkStart w:id="1556" w:name="decor04"/>
        <w:t/>
        <w:bookmarkEnd w:id="1556"/>
        <w:bookmarkStart w:id="1557" w:name="idm45965281266416"/>
        <w:t/>
        <w:bookmarkEnd w:id="1557"/>
        <w:bookmarkStart w:id="1558" w:name="idm45965281265312"/>
        <w:t/>
        <w:bookmarkEnd w:id="1558"/>
      </w:r>
      <w:r>
        <w:t xml:space="preserve"> Python, you often use </w:t>
      </w:r>
      <w:r>
        <w:rPr>
          <w:rStyle w:val="Text4"/>
        </w:rPr>
        <w:t>higher-order functions</w:t>
      </w:r>
      <w:r>
        <w:t xml:space="preserve">: callables that accept a function as an argument and return a function as their result. For example, descriptor types such as </w:t>
      </w:r>
      <w:r>
        <w:rPr>
          <w:rStyle w:val="Text0"/>
        </w:rPr>
        <w:t>staticmethod</w:t>
      </w:r>
      <w:r>
        <w:t xml:space="preserve"> and </w:t>
      </w:r>
      <w:r>
        <w:rPr>
          <w:rStyle w:val="Text0"/>
        </w:rPr>
        <w:t>classmethod</w:t>
      </w:r>
      <w:r>
        <w:t xml:space="preserve">, covered in </w:t>
      </w:r>
      <w:hyperlink w:anchor="Class_Level_Methods__Python_supp">
        <w:r>
          <w:rPr>
            <w:rStyle w:val="Text1"/>
          </w:rPr>
          <w:t>“Class-Level Methods”</w:t>
        </w:r>
      </w:hyperlink>
      <w:r>
        <w:t>, can be used, within class bodies, as follows:</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21"/>
        </w:rPr>
        <w:t xml:space="preserve">cls</w:t>
        <w:br w:clear="none"/>
      </w:r>
      <w:r>
        <w:rPr>
          <w:rStyle w:val="Text19"/>
        </w:rPr>
        <w:t xml:space="preserve">,</w:t>
        <w:br w:clear="none"/>
      </w:r>
      <w:r>
        <w:rPr>
          <w:rStyle w:val="Text11"/>
        </w:rPr>
        <w:t xml:space="preserve"> </w:t>
        <w:br w:clear="none"/>
      </w:r>
      <w:r>
        <w:rPr>
          <w:rStyle w:val="Text28"/>
        </w:rPr>
        <w:t xml:space="preserve">.</w:t>
        <w:br w:clear="none"/>
        <w:t xml:space="preserve">.</w:t>
        <w:br w:clear="none"/>
        <w:t xml:space="preserve">.</w:t>
        <w:br w:clear="none"/>
      </w:r>
      <w:r>
        <w:rPr>
          <w:rStyle w:val="Text19"/>
        </w:rPr>
        <w:t xml:space="preserve">)</w:t>
        <w:br w:clear="none"/>
        <w:t xml:space="preserve">:</w:t>
        <w:br w:clear="none"/>
      </w:r>
      <w:r>
        <w:rPr>
          <w:rStyle w:val="Text11"/>
        </w:rPr>
        <w:t xml:space="preserve"/>
        <w:br w:clear="none"/>
      </w:r>
      <w:r>
        <w:rPr>
          <w:rStyle w:val="Text6"/>
        </w:rPr>
        <w:t xml:space="preserve">    </w:t>
        <w:br w:clear="none"/>
      </w:r>
      <w:r>
        <w:t xml:space="preserve"># ...definition of f snipped...</w:t>
        <w:br w:clear="none"/>
      </w:r>
      <w:r>
        <w:rPr>
          <w:rStyle w:val="Text11"/>
        </w:rPr>
        <w:t xml:space="preserve"/>
        <w:br w:clear="none"/>
      </w:r>
      <w:r>
        <w:rPr>
          <w:rStyle w:val="Text14"/>
        </w:rPr>
        <w:t xml:space="preserve">f</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classmethod</w:t>
        <w:br w:clear="none"/>
      </w:r>
      <w:r>
        <w:rPr>
          <w:rStyle w:val="Text19"/>
        </w:rPr>
        <w:t xml:space="preserve">(</w:t>
        <w:br w:clear="none"/>
      </w:r>
      <w:r>
        <w:rPr>
          <w:rStyle w:val="Text14"/>
        </w:rPr>
        <w:t xml:space="preserve">f</w:t>
        <w:br w:clear="none"/>
      </w:r>
      <w:r>
        <w:rPr>
          <w:rStyle w:val="Text19"/>
        </w:rPr>
        <w:t xml:space="preserve">)</w:t>
        <w:br w:clear="none"/>
      </w:r>
    </w:p>
    <w:p>
      <w:pPr>
        <w:pStyle w:val="Normal"/>
      </w:pPr>
      <w:r>
        <w:t xml:space="preserve">However, having the call to </w:t>
      </w:r>
      <w:r>
        <w:rPr>
          <w:rStyle w:val="Text0"/>
        </w:rPr>
        <w:t>classmethod</w:t>
      </w:r>
      <w:r>
        <w:t xml:space="preserve"> textually </w:t>
      </w:r>
      <w:r>
        <w:rPr>
          <w:rStyle w:val="Text4"/>
        </w:rPr>
        <w:t>after</w:t>
      </w:r>
      <w:r>
        <w:t xml:space="preserve"> the </w:t>
      </w:r>
      <w:r>
        <w:rPr>
          <w:rStyle w:val="Text5"/>
        </w:rPr>
        <w:t>def</w:t>
      </w:r>
      <w:r>
        <w:t xml:space="preserve"> statement hurts code readability: while reading </w:t>
      </w:r>
      <w:r>
        <w:rPr>
          <w:rStyle w:val="Text3"/>
        </w:rPr>
        <w:t>f</w:t>
      </w:r>
      <w:r>
        <w:t xml:space="preserve">’s definition, the reader of the code is not yet aware that </w:t>
      </w:r>
      <w:r>
        <w:rPr>
          <w:rStyle w:val="Text3"/>
        </w:rPr>
        <w:t>f</w:t>
      </w:r>
      <w:r>
        <w:t xml:space="preserve"> is going to become a class method rather than an instance method. The</w:t>
      </w:r>
      <w:r>
        <w:rPr>
          <w:rStyle w:val="Text111"/>
        </w:rPr>
        <w:bookmarkStart w:id="1559" w:name="ASdec04"/>
        <w:t/>
        <w:bookmarkEnd w:id="1559"/>
        <w:bookmarkStart w:id="1560" w:name="CASdecorat04"/>
        <w:t/>
        <w:bookmarkEnd w:id="1560"/>
      </w:r>
      <w:r>
        <w:t xml:space="preserve"> code is more readable if the mention of </w:t>
      </w:r>
      <w:r>
        <w:rPr>
          <w:rStyle w:val="Text0"/>
        </w:rPr>
        <w:t>classmethod</w:t>
      </w:r>
      <w:r>
        <w:t xml:space="preserve"> comes </w:t>
      </w:r>
      <w:r>
        <w:rPr>
          <w:rStyle w:val="Text4"/>
        </w:rPr>
        <w:t>before</w:t>
      </w:r>
      <w:r>
        <w:t xml:space="preserve"> the </w:t>
      </w:r>
      <w:r>
        <w:rPr>
          <w:rStyle w:val="Text0"/>
        </w:rPr>
        <w:t>def</w:t>
      </w:r>
      <w:r>
        <w:t xml:space="preserve">. For this purpose, use the syntax form known as </w:t>
      </w:r>
      <w:r>
        <w:rPr>
          <w:rStyle w:val="Text4"/>
        </w:rPr>
        <w:t>decoration</w:t>
      </w:r>
      <w:r>
        <w:t>:</w:t>
      </w:r>
    </w:p>
    <w:p>
      <w:pPr>
        <w:pStyle w:val="Para 014"/>
      </w:pPr>
      <w:r>
        <w:rPr>
          <w:rStyle w:val="Text116"/>
        </w:rPr>
        <w:t xml:space="preserve"/>
        <w:br w:clear="none"/>
      </w:r>
      <w:r>
        <w:rPr>
          <w:rStyle w:val="Text66"/>
        </w:rPr>
        <w:t xml:space="preserve">@classmethod</w:t>
        <w:br w:clear="none"/>
      </w:r>
      <w:r>
        <w:rPr>
          <w:rStyle w:val="Text11"/>
        </w:rPr>
        <w:t xml:space="preserve"/>
        <w:br w:clear="none"/>
      </w:r>
      <w:r>
        <w:rPr>
          <w:rStyle w:val="Text22"/>
        </w:rPr>
        <w:t xml:space="preserve">def</w:t>
        <w:br w:clear="none"/>
      </w:r>
      <w:r>
        <w:rPr>
          <w:rStyle w:val="Text11"/>
        </w:rPr>
        <w:t xml:space="preserve"> </w:t>
        <w:br w:clear="none"/>
      </w:r>
      <w:r>
        <w:rPr>
          <w:rStyle w:val="Text42"/>
        </w:rPr>
        <w:t xml:space="preserve">f</w:t>
        <w:br w:clear="none"/>
      </w:r>
      <w:r>
        <w:rPr>
          <w:rStyle w:val="Text19"/>
        </w:rPr>
        <w:t xml:space="preserve">(</w:t>
        <w:br w:clear="none"/>
      </w:r>
      <w:r>
        <w:rPr>
          <w:rStyle w:val="Text21"/>
        </w:rPr>
        <w:t xml:space="preserve">cls</w:t>
        <w:br w:clear="none"/>
      </w:r>
      <w:r>
        <w:rPr>
          <w:rStyle w:val="Text19"/>
        </w:rPr>
        <w:t xml:space="preserve">,</w:t>
        <w:br w:clear="none"/>
      </w:r>
      <w:r>
        <w:rPr>
          <w:rStyle w:val="Text11"/>
        </w:rPr>
        <w:t xml:space="preserve"> </w:t>
        <w:br w:clear="none"/>
      </w:r>
      <w:r>
        <w:rPr>
          <w:rStyle w:val="Text28"/>
        </w:rPr>
        <w:t xml:space="preserve">.</w:t>
        <w:br w:clear="none"/>
        <w:t xml:space="preserve">.</w:t>
        <w:br w:clear="none"/>
        <w:t xml:space="preserve">.</w:t>
        <w:br w:clear="none"/>
      </w:r>
      <w:r>
        <w:rPr>
          <w:rStyle w:val="Text19"/>
        </w:rPr>
        <w:t xml:space="preserve">)</w:t>
        <w:br w:clear="none"/>
        <w:t xml:space="preserve">:</w:t>
        <w:br w:clear="none"/>
      </w:r>
      <w:r>
        <w:rPr>
          <w:rStyle w:val="Text11"/>
        </w:rPr>
        <w:t xml:space="preserve"/>
        <w:br w:clear="none"/>
      </w:r>
      <w:r>
        <w:rPr>
          <w:rStyle w:val="Text6"/>
        </w:rPr>
        <w:t xml:space="preserve">    </w:t>
        <w:br w:clear="none"/>
      </w:r>
      <w:r>
        <w:t xml:space="preserve"># ...definition of f snipped...</w:t>
        <w:br w:clear="none"/>
      </w:r>
    </w:p>
    <w:p>
      <w:pPr>
        <w:pStyle w:val="Normal"/>
      </w:pPr>
      <w:r>
        <w:t xml:space="preserve">The decorator, here </w:t>
      </w:r>
      <w:r>
        <w:rPr>
          <w:rStyle w:val="Text0"/>
        </w:rPr>
        <w:t>@classmethod</w:t>
      </w:r>
      <w:r>
        <w:t xml:space="preserve">, must be immediately followed by a </w:t>
      </w:r>
      <w:r>
        <w:rPr>
          <w:rStyle w:val="Text5"/>
        </w:rPr>
        <w:t>def</w:t>
      </w:r>
      <w:r>
        <w:t xml:space="preserve"> statement and means that </w:t>
      </w:r>
      <w:r>
        <w:rPr>
          <w:rStyle w:val="Text3"/>
        </w:rPr>
        <w:t>f</w:t>
      </w:r>
      <w:r>
        <w:t xml:space="preserve"> </w:t>
      </w:r>
      <w:r>
        <w:rPr>
          <w:rStyle w:val="Text0"/>
        </w:rPr>
        <w:t>=</w:t>
      </w:r>
      <w:r>
        <w:t xml:space="preserve"> </w:t>
      </w:r>
      <w:r>
        <w:rPr>
          <w:rStyle w:val="Text3"/>
        </w:rPr>
        <w:t>classmethod</w:t>
      </w:r>
      <w:r>
        <w:rPr>
          <w:rStyle w:val="Text0"/>
        </w:rPr>
        <w:t>(</w:t>
      </w:r>
      <w:r>
        <w:rPr>
          <w:rStyle w:val="Text3"/>
        </w:rPr>
        <w:t>f</w:t>
      </w:r>
      <w:r>
        <w:rPr>
          <w:rStyle w:val="Text0"/>
        </w:rPr>
        <w:t>)</w:t>
      </w:r>
      <w:r>
        <w:t xml:space="preserve"> executes right after the </w:t>
      </w:r>
      <w:r>
        <w:rPr>
          <w:rStyle w:val="Text5"/>
        </w:rPr>
        <w:t>def</w:t>
      </w:r>
      <w:r>
        <w:t xml:space="preserve"> statement (for whatever name </w:t>
      </w:r>
      <w:r>
        <w:rPr>
          <w:rStyle w:val="Text3"/>
        </w:rPr>
        <w:t>f</w:t>
      </w:r>
      <w:r>
        <w:t xml:space="preserve"> the </w:t>
      </w:r>
      <w:r>
        <w:rPr>
          <w:rStyle w:val="Text5"/>
        </w:rPr>
        <w:t>def</w:t>
      </w:r>
      <w:r>
        <w:t xml:space="preserve"> defines). More generally, </w:t>
      </w:r>
      <w:r>
        <w:rPr>
          <w:rStyle w:val="Text0"/>
        </w:rPr>
        <w:t>@</w:t>
      </w:r>
      <w:r>
        <w:rPr>
          <w:rStyle w:val="Text3"/>
        </w:rPr>
        <w:t>expression</w:t>
      </w:r>
      <w:r>
        <w:t xml:space="preserve"> evaluates the expression (which must be a name, possibly qualified, or a call) and binds the result to an internal temporary name (say, </w:t>
      </w:r>
      <w:r>
        <w:rPr>
          <w:rStyle w:val="Text3"/>
        </w:rPr>
        <w:t>__aux</w:t>
      </w:r>
      <w:r>
        <w:t xml:space="preserve">); any decorator must be immediately followed by a </w:t>
      </w:r>
      <w:r>
        <w:rPr>
          <w:rStyle w:val="Text5"/>
        </w:rPr>
        <w:t>def</w:t>
      </w:r>
      <w:r>
        <w:t xml:space="preserve"> (or </w:t>
      </w:r>
      <w:r>
        <w:rPr>
          <w:rStyle w:val="Text5"/>
        </w:rPr>
        <w:t>class</w:t>
      </w:r>
      <w:r>
        <w:t xml:space="preserve">) statement, and means that </w:t>
      </w:r>
      <w:r>
        <w:rPr>
          <w:rStyle w:val="Text3"/>
        </w:rPr>
        <w:t>f</w:t>
      </w:r>
      <w:r>
        <w:t xml:space="preserve"> </w:t>
      </w:r>
      <w:r>
        <w:rPr>
          <w:rStyle w:val="Text0"/>
        </w:rPr>
        <w:t>= __</w:t>
      </w:r>
      <w:r>
        <w:rPr>
          <w:rStyle w:val="Text3"/>
        </w:rPr>
        <w:t>aux</w:t>
      </w:r>
      <w:r>
        <w:rPr>
          <w:rStyle w:val="Text0"/>
        </w:rPr>
        <w:t>(</w:t>
      </w:r>
      <w:r>
        <w:rPr>
          <w:rStyle w:val="Text3"/>
        </w:rPr>
        <w:t>f</w:t>
      </w:r>
      <w:r>
        <w:rPr>
          <w:rStyle w:val="Text0"/>
        </w:rPr>
        <w:t>)</w:t>
      </w:r>
      <w:r>
        <w:t xml:space="preserve"> executes right after the </w:t>
      </w:r>
      <w:r>
        <w:rPr>
          <w:rStyle w:val="Text5"/>
        </w:rPr>
        <w:t>def</w:t>
      </w:r>
      <w:r>
        <w:t xml:space="preserve"> or </w:t>
      </w:r>
      <w:r>
        <w:rPr>
          <w:rStyle w:val="Text5"/>
        </w:rPr>
        <w:t>class</w:t>
      </w:r>
      <w:r>
        <w:t xml:space="preserve"> statement (for whatever name </w:t>
      </w:r>
      <w:r>
        <w:rPr>
          <w:rStyle w:val="Text3"/>
        </w:rPr>
        <w:t>f</w:t>
      </w:r>
      <w:r>
        <w:t xml:space="preserve"> the </w:t>
      </w:r>
      <w:r>
        <w:rPr>
          <w:rStyle w:val="Text5"/>
        </w:rPr>
        <w:t>def</w:t>
      </w:r>
      <w:r>
        <w:t xml:space="preserve"> or </w:t>
      </w:r>
      <w:r>
        <w:rPr>
          <w:rStyle w:val="Text5"/>
        </w:rPr>
        <w:t>class</w:t>
      </w:r>
      <w:r>
        <w:t xml:space="preserve"> defines). The object bound to </w:t>
      </w:r>
      <w:r>
        <w:rPr>
          <w:rStyle w:val="Text0"/>
        </w:rPr>
        <w:t>__</w:t>
      </w:r>
      <w:r>
        <w:rPr>
          <w:rStyle w:val="Text3"/>
        </w:rPr>
        <w:t>aux</w:t>
      </w:r>
      <w:r>
        <w:t xml:space="preserve"> is known as a </w:t>
      </w:r>
      <w:r>
        <w:rPr>
          <w:rStyle w:val="Text4"/>
        </w:rPr>
        <w:t>decorator</w:t>
      </w:r>
      <w:r>
        <w:t xml:space="preserve">, and it’s said to </w:t>
      </w:r>
      <w:r>
        <w:rPr>
          <w:rStyle w:val="Text4"/>
        </w:rPr>
        <w:t>decorate</w:t>
      </w:r>
      <w:r>
        <w:t xml:space="preserve"> function or class </w:t>
      </w:r>
      <w:r>
        <w:rPr>
          <w:rStyle w:val="Text3"/>
        </w:rPr>
        <w:t>f</w:t>
      </w:r>
      <w:r>
        <w:t>.</w:t>
      </w:r>
    </w:p>
    <w:p>
      <w:pPr>
        <w:pStyle w:val="Normal"/>
      </w:pPr>
      <w:r>
        <w:t xml:space="preserve">Decorators are a handy shorthand for some higher-order functions. You can apply decorators to any </w:t>
      </w:r>
      <w:r>
        <w:rPr>
          <w:rStyle w:val="Text5"/>
        </w:rPr>
        <w:t>def</w:t>
      </w:r>
      <w:r>
        <w:t xml:space="preserve"> or </w:t>
      </w:r>
      <w:r>
        <w:rPr>
          <w:rStyle w:val="Text5"/>
        </w:rPr>
        <w:t>class</w:t>
      </w:r>
      <w:r>
        <w:t xml:space="preserve"> statement, not just in class bodies. You may code custom decorators, which are just higher-order functions accepting a function or class object as an argument and returning a function or class object as the result. For example, here is a simple example decorator that does not modify the function it decorates, but rather prints the function’s docstring to standard output at function definition time: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showdoc</w:t>
        <w:br w:clear="none"/>
      </w:r>
      <w:r>
        <w:rPr>
          <w:rStyle w:val="Text7"/>
        </w:rPr>
        <w:t xml:space="preserve">(</w:t>
        <w:br w:clear="none"/>
      </w:r>
      <w:r>
        <w:rPr>
          <w:rStyle w:val="Text9"/>
        </w:rPr>
        <w:t xml:space="preserve">f</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f</w:t>
        <w:br w:clear="none"/>
      </w:r>
      <w:r>
        <w:rPr>
          <w:rStyle w:val="Text13"/>
        </w:rPr>
        <w:t xml:space="preserve">.</w:t>
        <w:br w:clear="none"/>
      </w:r>
      <w:r>
        <w:t xml:space="preserve">__doc__</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r>
      <w:r>
        <w:rPr>
          <w:rStyle w:val="Text32"/>
        </w:rPr>
        <w:t xml:space="preserve">{</w:t>
        <w:br w:clear="none"/>
      </w:r>
      <w:r>
        <w:rPr>
          <w:rStyle w:val="Text9"/>
        </w:rPr>
        <w:t xml:space="preserve">f</w:t>
        <w:br w:clear="none"/>
      </w:r>
      <w:r>
        <w:rPr>
          <w:rStyle w:val="Text13"/>
        </w:rPr>
        <w:t xml:space="preserve">.</w:t>
        <w:br w:clear="none"/>
      </w:r>
      <w:r>
        <w:t xml:space="preserve">__name__</w:t>
        <w:br w:clear="none"/>
      </w:r>
      <w:r>
        <w:rPr>
          <w:rStyle w:val="Text32"/>
        </w:rPr>
        <w:t xml:space="preserve">}</w:t>
        <w:br w:clear="none"/>
      </w:r>
      <w:r>
        <w:rPr>
          <w:rStyle w:val="Text8"/>
        </w:rPr>
        <w:t xml:space="preserve">: </w:t>
        <w:br w:clear="none"/>
      </w:r>
      <w:r>
        <w:rPr>
          <w:rStyle w:val="Text32"/>
        </w:rPr>
        <w:t xml:space="preserve">{</w:t>
        <w:br w:clear="none"/>
      </w:r>
      <w:r>
        <w:rPr>
          <w:rStyle w:val="Text9"/>
        </w:rPr>
        <w:t xml:space="preserve">f</w:t>
        <w:br w:clear="none"/>
      </w:r>
      <w:r>
        <w:rPr>
          <w:rStyle w:val="Text13"/>
        </w:rPr>
        <w:t xml:space="preserve">.</w:t>
        <w:br w:clear="none"/>
      </w:r>
      <w:r>
        <w:t xml:space="preserve">__doc__</w:t>
        <w:br w:clear="none"/>
      </w:r>
      <w:r>
        <w:rPr>
          <w:rStyle w:val="Text32"/>
        </w:rPr>
        <w:t xml:space="preserve">}</w:t>
        <w:br w:clear="none"/>
      </w:r>
      <w:r>
        <w:rPr>
          <w:rStyle w:val="Text8"/>
        </w:rPr>
        <w:t xml:space="preserve">'</w:t>
        <w:br w:clear="none"/>
      </w:r>
      <w:r>
        <w:rPr>
          <w:rStyle w:val="Text7"/>
        </w:rPr>
        <w:t xml:space="preserve">)</w:t>
        <w:br w:clear="none"/>
      </w:r>
      <w:r>
        <w:t xml:space="preserve"/>
        <w:br w:clear="none"/>
        <w:t xml:space="preserve">    </w:t>
        <w:br w:clear="none"/>
      </w:r>
      <w:r>
        <w:rPr>
          <w:rStyle w:val="Text10"/>
        </w:rPr>
        <w:t xml:space="preserve">else</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r>
      <w:r>
        <w:rPr>
          <w:rStyle w:val="Text32"/>
        </w:rPr>
        <w:t xml:space="preserve">{</w:t>
        <w:br w:clear="none"/>
      </w:r>
      <w:r>
        <w:rPr>
          <w:rStyle w:val="Text9"/>
        </w:rPr>
        <w:t xml:space="preserve">f</w:t>
        <w:br w:clear="none"/>
      </w:r>
      <w:r>
        <w:rPr>
          <w:rStyle w:val="Text13"/>
        </w:rPr>
        <w:t xml:space="preserve">.</w:t>
        <w:br w:clear="none"/>
      </w:r>
      <w:r>
        <w:t xml:space="preserve">__name__</w:t>
        <w:br w:clear="none"/>
      </w:r>
      <w:r>
        <w:rPr>
          <w:rStyle w:val="Text32"/>
        </w:rPr>
        <w:t xml:space="preserve">}</w:t>
        <w:br w:clear="none"/>
      </w:r>
      <w:r>
        <w:rPr>
          <w:rStyle w:val="Text8"/>
        </w:rPr>
        <w:t xml:space="preserve">: No docstring!</w:t>
        <w:br w:clear="none"/>
        <w:t xml:space="preserve">'</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f</w:t>
        <w:br w:clear="none"/>
      </w:r>
      <w:r>
        <w:t xml:space="preserve"/>
        <w:br w:clear="none"/>
        <w:t xml:space="preserve"/>
        <w:br w:clear="none"/>
      </w:r>
      <w:r>
        <w:rPr>
          <w:rStyle w:val="Text44"/>
        </w:rPr>
        <w:t xml:space="preserve">@showdoc</w:t>
        <w:br w:clear="none"/>
      </w:r>
      <w:r>
        <w:t xml:space="preserve"/>
        <w:br w:clear="none"/>
      </w:r>
      <w:r>
        <w:rPr>
          <w:rStyle w:val="Text10"/>
        </w:rPr>
        <w:t xml:space="preserve">def</w:t>
        <w:br w:clear="none"/>
      </w:r>
      <w:r>
        <w:t xml:space="preserve"> </w:t>
        <w:br w:clear="none"/>
      </w:r>
      <w:r>
        <w:rPr>
          <w:rStyle w:val="Text18"/>
        </w:rPr>
        <w:t xml:space="preserve">f1</w:t>
        <w:br w:clear="none"/>
      </w:r>
      <w:r>
        <w:rPr>
          <w:rStyle w:val="Text7"/>
        </w:rPr>
        <w:t xml:space="preserve">(</w:t>
        <w:br w:clear="none"/>
        <w:t xml:space="preserve">)</w:t>
        <w:br w:clear="none"/>
        <w:t xml:space="preserve">:</w:t>
        <w:br w:clear="none"/>
      </w:r>
      <w:r>
        <w:t xml:space="preserve"/>
        <w:br w:clear="none"/>
        <w:t xml:space="preserve">    </w:t>
        <w:br w:clear="none"/>
      </w:r>
      <w:r>
        <w:rPr>
          <w:rStyle w:val="Text8"/>
        </w:rPr>
        <w:t xml:space="preserve">"""a docstring"""</w:t>
        <w:br w:clear="none"/>
      </w:r>
      <w:r>
        <w:t xml:space="preserve">  </w:t>
        <w:br w:clear="none"/>
      </w:r>
      <w:r>
        <w:rPr>
          <w:rStyle w:val="Text15"/>
        </w:rPr>
        <w:t xml:space="preserve"># prints:</w:t>
        <w:br w:clear="none"/>
      </w:r>
      <w:r>
        <w:rPr>
          <w:rStyle w:val="Text26"/>
        </w:rPr>
        <w:t xml:space="preserve"> </w:t>
        <w:br w:clear="none"/>
      </w:r>
      <w:r>
        <w:rPr>
          <w:rStyle w:val="Text15"/>
        </w:rPr>
        <w:t xml:space="preserve">f1: a docstring</w:t>
        <w:br w:clear="none"/>
      </w:r>
      <w:r>
        <w:t xml:space="preserve"/>
        <w:br w:clear="none"/>
        <w:t xml:space="preserve"/>
        <w:br w:clear="none"/>
      </w:r>
      <w:r>
        <w:rPr>
          <w:rStyle w:val="Text44"/>
        </w:rPr>
        <w:t xml:space="preserve">@showdoc</w:t>
        <w:br w:clear="none"/>
      </w:r>
      <w:r>
        <w:t xml:space="preserve"/>
        <w:br w:clear="none"/>
      </w:r>
      <w:r>
        <w:rPr>
          <w:rStyle w:val="Text10"/>
        </w:rPr>
        <w:t xml:space="preserve">def</w:t>
        <w:br w:clear="none"/>
      </w:r>
      <w:r>
        <w:t xml:space="preserve"> </w:t>
        <w:br w:clear="none"/>
      </w:r>
      <w:r>
        <w:rPr>
          <w:rStyle w:val="Text18"/>
        </w:rPr>
        <w:t xml:space="preserve">f2</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pass</w:t>
        <w:br w:clear="none"/>
      </w:r>
      <w:r>
        <w:rPr>
          <w:rStyle w:val="Text37"/>
        </w:rPr>
        <w:t xml:space="preserve">              </w:t>
        <w:br w:clear="none"/>
      </w:r>
      <w:r>
        <w:t xml:space="preserve"> </w:t>
        <w:br w:clear="none"/>
      </w:r>
      <w:r>
        <w:rPr>
          <w:rStyle w:val="Text15"/>
        </w:rPr>
        <w:t xml:space="preserve"># prints:</w:t>
        <w:br w:clear="none"/>
      </w:r>
      <w:r>
        <w:rPr>
          <w:rStyle w:val="Text26"/>
        </w:rPr>
        <w:t xml:space="preserve"> </w:t>
        <w:br w:clear="none"/>
      </w:r>
      <w:r>
        <w:rPr>
          <w:rStyle w:val="Text15"/>
        </w:rPr>
        <w:t xml:space="preserve">f2: No docstring!</w:t>
        <w:br w:clear="none"/>
      </w:r>
    </w:p>
    <w:p>
      <w:pPr>
        <w:pStyle w:val="Normal"/>
      </w:pPr>
      <w:r>
        <w:t xml:space="preserve">The standard library module </w:t>
      </w:r>
      <w:r>
        <w:rPr>
          <w:rStyle w:val="Text0"/>
        </w:rPr>
        <w:t>functools</w:t>
      </w:r>
      <w:r>
        <w:t xml:space="preserve"> offers a handy decorator, </w:t>
      </w:r>
      <w:r>
        <w:rPr>
          <w:rStyle w:val="Text0"/>
        </w:rPr>
        <w:t>wraps</w:t>
      </w:r>
      <w:r>
        <w:t>, to enhance decorators built by the common “wrapping” idiom:</w:t>
      </w:r>
    </w:p>
    <w:p>
      <w:pPr>
        <w:pStyle w:val="Para 018"/>
      </w:pPr>
      <w:r>
        <w:rPr>
          <w:rStyle w:val="Text104"/>
        </w:rPr>
        <w:t xml:space="preserve"/>
        <w:br w:clear="none"/>
      </w:r>
      <w:r>
        <w:rPr>
          <w:rStyle w:val="Text39"/>
        </w:rPr>
        <w:t xml:space="preserve">import</w:t>
        <w:br w:clear="none"/>
      </w:r>
      <w:r>
        <w:t xml:space="preserve"> </w:t>
        <w:br w:clear="none"/>
      </w:r>
      <w:r>
        <w:rPr>
          <w:rStyle w:val="Text20"/>
        </w:rPr>
        <w:t xml:space="preserve">functools</w:t>
        <w:br w:clear="none"/>
      </w:r>
      <w:r>
        <w:t xml:space="preserve"/>
        <w:br w:clear="none"/>
        <w:t xml:space="preserve"/>
        <w:br w:clear="none"/>
      </w:r>
      <w:r>
        <w:rPr>
          <w:rStyle w:val="Text10"/>
        </w:rPr>
        <w:t xml:space="preserve">def</w:t>
        <w:br w:clear="none"/>
      </w:r>
      <w:r>
        <w:t xml:space="preserve"> </w:t>
        <w:br w:clear="none"/>
      </w:r>
      <w:r>
        <w:rPr>
          <w:rStyle w:val="Text18"/>
        </w:rPr>
        <w:t xml:space="preserve">announce</w:t>
        <w:br w:clear="none"/>
      </w:r>
      <w:r>
        <w:rPr>
          <w:rStyle w:val="Text7"/>
        </w:rPr>
        <w:t xml:space="preserve">(</w:t>
        <w:br w:clear="none"/>
      </w:r>
      <w:r>
        <w:rPr>
          <w:rStyle w:val="Text9"/>
        </w:rPr>
        <w:t xml:space="preserve">f</w:t>
        <w:br w:clear="none"/>
      </w:r>
      <w:r>
        <w:rPr>
          <w:rStyle w:val="Text7"/>
        </w:rPr>
        <w:t xml:space="preserve">)</w:t>
        <w:br w:clear="none"/>
        <w:t xml:space="preserve">:</w:t>
        <w:br w:clear="none"/>
      </w:r>
      <w:r>
        <w:t xml:space="preserve"/>
        <w:br w:clear="none"/>
        <w:t xml:space="preserve">    </w:t>
        <w:br w:clear="none"/>
      </w:r>
      <w:r>
        <w:rPr>
          <w:rStyle w:val="Text44"/>
        </w:rPr>
        <w:t xml:space="preserve">@functools</w:t>
        <w:br w:clear="none"/>
      </w:r>
      <w:r>
        <w:rPr>
          <w:rStyle w:val="Text13"/>
        </w:rPr>
        <w:t xml:space="preserve">.</w:t>
        <w:br w:clear="none"/>
      </w:r>
      <w:r>
        <w:rPr>
          <w:rStyle w:val="Text9"/>
        </w:rPr>
        <w:t xml:space="preserve">wraps</w:t>
        <w:br w:clear="none"/>
      </w:r>
      <w:r>
        <w:rPr>
          <w:rStyle w:val="Text7"/>
        </w:rPr>
        <w:t xml:space="preserve">(</w:t>
        <w:br w:clear="none"/>
      </w:r>
      <w:r>
        <w:rPr>
          <w:rStyle w:val="Text9"/>
        </w:rPr>
        <w:t xml:space="preserve">f</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wrap</w:t>
        <w:br w:clear="none"/>
      </w:r>
      <w:r>
        <w:rPr>
          <w:rStyle w:val="Text7"/>
        </w:rPr>
        <w:t xml:space="preserve">(</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t xml:space="preserve">Calling </w:t>
        <w:br w:clear="none"/>
      </w:r>
      <w:r>
        <w:rPr>
          <w:rStyle w:val="Text32"/>
        </w:rPr>
        <w:t xml:space="preserve">{</w:t>
        <w:br w:clear="none"/>
      </w:r>
      <w:r>
        <w:rPr>
          <w:rStyle w:val="Text9"/>
        </w:rPr>
        <w:t xml:space="preserve">f</w:t>
        <w:br w:clear="none"/>
      </w:r>
      <w:r>
        <w:rPr>
          <w:rStyle w:val="Text13"/>
        </w:rPr>
        <w:t xml:space="preserve">.</w:t>
        <w:br w:clear="none"/>
      </w:r>
      <w:r>
        <w:t xml:space="preserve">__name__</w:t>
        <w:br w:clear="none"/>
      </w:r>
      <w:r>
        <w:rPr>
          <w:rStyle w:val="Text32"/>
        </w:rPr>
        <w:t xml:space="preserve">}</w:t>
        <w:br w:clear="none"/>
      </w:r>
      <w:r>
        <w:rPr>
          <w:rStyle w:val="Text8"/>
        </w:rPr>
        <w:t xml:space="preserve">'</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f</w:t>
        <w:br w:clear="none"/>
      </w:r>
      <w:r>
        <w:rPr>
          <w:rStyle w:val="Text7"/>
        </w:rPr>
        <w:t xml:space="preserve">(</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wrap</w:t>
        <w:br w:clear="none"/>
      </w:r>
    </w:p>
    <w:p>
      <w:pPr>
        <w:pStyle w:val="Normal"/>
      </w:pPr>
      <w:r>
        <w:t xml:space="preserve">Decorating a function </w:t>
      </w:r>
      <w:r>
        <w:rPr>
          <w:rStyle w:val="Text3"/>
        </w:rPr>
        <w:t>f</w:t>
      </w:r>
      <w:r>
        <w:t xml:space="preserve"> with </w:t>
      </w:r>
      <w:r>
        <w:rPr>
          <w:rStyle w:val="Text0"/>
        </w:rPr>
        <w:t>@announce</w:t>
      </w:r>
      <w:r>
        <w:t xml:space="preserve"> causes a line announcing the call to be printed before each call to </w:t>
      </w:r>
      <w:r>
        <w:rPr>
          <w:rStyle w:val="Text3"/>
        </w:rPr>
        <w:t>f</w:t>
      </w:r>
      <w:r>
        <w:t xml:space="preserve">. Thanks to the </w:t>
      </w:r>
      <w:r>
        <w:rPr>
          <w:rStyle w:val="Text0"/>
        </w:rPr>
        <w:t>functools.wraps(</w:t>
      </w:r>
      <w:r>
        <w:rPr>
          <w:rStyle w:val="Text3"/>
        </w:rPr>
        <w:t>f</w:t>
      </w:r>
      <w:r>
        <w:rPr>
          <w:rStyle w:val="Text0"/>
        </w:rPr>
        <w:t>)</w:t>
      </w:r>
      <w:r>
        <w:t xml:space="preserve"> decorator, the wrapper adopts the name and docstring of the wrappee: this is useful, for example, when calling the built-in </w:t>
      </w:r>
      <w:r>
        <w:rPr>
          <w:rStyle w:val="Text0"/>
        </w:rPr>
        <w:t>help</w:t>
      </w:r>
      <w:r>
        <w:t xml:space="preserve"> on such a decorated function.</w:t>
      </w:r>
      <w:r>
        <w:rPr>
          <w:rStyle w:val="Text111"/>
        </w:rPr>
        <w:bookmarkStart w:id="1561" w:name="idm45965280985712"/>
        <w:t/>
        <w:bookmarkEnd w:id="1561"/>
        <w:bookmarkStart w:id="1562" w:name="idm45965280984336"/>
        <w:t/>
        <w:bookmarkEnd w:id="1562"/>
        <w:bookmarkStart w:id="1563" w:name="idm45965280982960"/>
        <w:t/>
        <w:bookmarkEnd w:id="1563"/>
        <w:bookmarkStart w:id="1564" w:name="idm45965280981584"/>
        <w:t/>
        <w:bookmarkEnd w:id="1564"/>
      </w:r>
    </w:p>
    <w:p>
      <w:bookmarkStart w:id="1565" w:name="Metaclasses__Any_object__even_a"/>
      <w:pPr>
        <w:keepNext/>
        <w:pStyle w:val="Heading 1"/>
      </w:pPr>
      <w:r>
        <w:t>Metaclasses</w:t>
      </w:r>
      <w:bookmarkEnd w:id="1565"/>
    </w:p>
    <w:p>
      <w:pPr>
        <w:pStyle w:val="Normal"/>
      </w:pPr>
      <w:r>
        <w:t xml:space="preserve">Any </w:t>
      </w:r>
      <w:r>
        <w:rPr>
          <w:rStyle w:val="Text111"/>
        </w:rPr>
        <w:bookmarkStart w:id="1566" w:name="OOPmeta04"/>
        <w:t/>
        <w:bookmarkEnd w:id="1566"/>
        <w:bookmarkStart w:id="1567" w:name="meta04"/>
        <w:t/>
        <w:bookmarkEnd w:id="1567"/>
      </w:r>
      <w:r>
        <w:t>object, even a class object, has a type. In Python, types and classes are also first-class objects. The</w:t>
      </w:r>
      <w:r>
        <w:rPr>
          <w:rStyle w:val="Text111"/>
        </w:rPr>
        <w:bookmarkStart w:id="1568" w:name="idm45965280942848"/>
        <w:t/>
        <w:bookmarkEnd w:id="1568"/>
      </w:r>
      <w:r>
        <w:t xml:space="preserve"> type of a class object is also known as the class’s </w:t>
      </w:r>
      <w:r>
        <w:rPr>
          <w:rStyle w:val="Text4"/>
        </w:rPr>
        <w:t>metaclass</w:t>
      </w:r>
      <w:r>
        <w:t>.</w:t>
      </w:r>
      <w:hyperlink w:anchor="15_Strictly_speaking__the_type_o">
        <w:r>
          <w:rPr>
            <w:rStyle w:val="Text41"/>
          </w:rPr>
          <w:bookmarkStart w:id="1569" w:name="15_1"/>
          <w:t>15</w:t>
          <w:bookmarkEnd w:id="1569"/>
        </w:r>
      </w:hyperlink>
      <w:r>
        <w:t xml:space="preserve"> An object’s behavior is mostly determined by the type of the object. This also holds for classes: a class’s behavior is mostly determined by the class’s metaclass. Metaclasses are an advanced subject, and you may want to skip the rest of this section. However, fully grasping metaclasses can lead you to a deeper understanding of Python; very occasionally, it can be useful to define your own custom metaclasses.</w:t>
      </w:r>
    </w:p>
    <w:p>
      <w:bookmarkStart w:id="1570" w:name="Alternatives_to_Custom_Metaclass"/>
      <w:pPr>
        <w:keepNext/>
        <w:pStyle w:val="Heading 2"/>
      </w:pPr>
      <w:r>
        <w:t>Alternatives to Custom Metaclasses for Simple Class Customization</w:t>
      </w:r>
      <w:bookmarkEnd w:id="1570"/>
    </w:p>
    <w:p>
      <w:pPr>
        <w:pStyle w:val="Normal"/>
      </w:pPr>
      <w:r>
        <w:t>While</w:t>
      </w:r>
      <w:r>
        <w:rPr>
          <w:rStyle w:val="Text111"/>
        </w:rPr>
        <w:bookmarkStart w:id="1571" w:name="idm45965280934912"/>
        <w:t/>
        <w:bookmarkEnd w:id="1571"/>
      </w:r>
      <w:r>
        <w:t xml:space="preserve"> a custom metaclass lets you tweak classes’ behaviors in pretty much any way you want, it’s often possible to achieve some customizations more simply than by coding a custom metaclass.</w:t>
      </w:r>
    </w:p>
    <w:p>
      <w:pPr>
        <w:pStyle w:val="Normal"/>
      </w:pPr>
      <w:r>
        <w:t xml:space="preserve">When a class </w:t>
      </w:r>
      <w:r>
        <w:rPr>
          <w:rStyle w:val="Text3"/>
        </w:rPr>
        <w:t>C</w:t>
      </w:r>
      <w:r>
        <w:t xml:space="preserve"> has or inherits a class method </w:t>
      </w:r>
      <w:r>
        <w:rPr>
          <w:rStyle w:val="Text0"/>
        </w:rPr>
        <w:t>__init_subclass__</w:t>
      </w:r>
      <w:r>
        <w:t xml:space="preserve">, Python calls that method whenever you subclass </w:t>
      </w:r>
      <w:r>
        <w:rPr>
          <w:rStyle w:val="Text3"/>
        </w:rPr>
        <w:t>C</w:t>
      </w:r>
      <w:r>
        <w:t xml:space="preserve">, passing the newly built subclass as the only positional argument. </w:t>
      </w:r>
      <w:r>
        <w:rPr>
          <w:rStyle w:val="Text0"/>
        </w:rPr>
        <w:t>__init_subclass__</w:t>
      </w:r>
      <w:r>
        <w:t xml:space="preserve"> can also have named parameters, in which case Python passes corresponding named arguments found in the class statement that performs the subclassing. As a purely illustrative example: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C</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r>
      <w:r>
        <w:rPr>
          <w:rStyle w:val="Text18"/>
        </w:rPr>
        <w:t xml:space="preserve">__init_subclass__</w:t>
        <w:br w:clear="none"/>
      </w:r>
      <w:r>
        <w:rPr>
          <w:rStyle w:val="Text7"/>
        </w:rPr>
        <w:t xml:space="preserve">(</w:t>
        <w:br w:clear="none"/>
      </w:r>
      <w:r>
        <w:rPr>
          <w:rStyle w:val="Text16"/>
        </w:rPr>
        <w:t xml:space="preserve">cls</w:t>
        <w:br w:clear="none"/>
      </w:r>
      <w:r>
        <w:rPr>
          <w:rStyle w:val="Text7"/>
        </w:rPr>
        <w:t xml:space="preserve">,</w:t>
        <w:br w:clear="none"/>
      </w:r>
      <w:r>
        <w:t xml:space="preserve"> </w:t>
        <w:br w:clear="none"/>
      </w:r>
      <w:r>
        <w:rPr>
          <w:rStyle w:val="Text9"/>
        </w:rPr>
        <w:t xml:space="preserve">foo</w:t>
        <w:br w:clear="none"/>
      </w:r>
      <w:r>
        <w:rPr>
          <w:rStyle w:val="Text13"/>
        </w:rPr>
        <w:t xml:space="preserve">=</w:t>
        <w:br w:clear="none"/>
      </w:r>
      <w:r>
        <w:rPr>
          <w:rStyle w:val="Text39"/>
        </w:rPr>
        <w:t xml:space="preserve">None</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print</w:t>
        <w:br w:clear="none"/>
      </w:r>
      <w:r>
        <w:rPr>
          <w:rStyle w:val="Text7"/>
        </w:rPr>
        <w:t xml:space="preserve">(</w:t>
        <w:br w:clear="none"/>
      </w:r>
      <w:r>
        <w:rPr>
          <w:rStyle w:val="Text16"/>
        </w:rPr>
        <w:t xml:space="preserve">cls</w:t>
        <w:br w:clear="none"/>
      </w:r>
      <w:r>
        <w:rPr>
          <w:rStyle w:val="Text7"/>
        </w:rPr>
        <w:t xml:space="preserve">,</w:t>
        <w:br w:clear="none"/>
      </w:r>
      <w:r>
        <w:t xml:space="preserve"> </w:t>
        <w:br w:clear="none"/>
      </w:r>
      <w:r>
        <w:rPr>
          <w:rStyle w:val="Text9"/>
        </w:rPr>
        <w:t xml:space="preserve">kw</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cls</w:t>
        <w:br w:clear="none"/>
      </w:r>
      <w:r>
        <w:rPr>
          <w:rStyle w:val="Text13"/>
        </w:rPr>
        <w:t xml:space="preserve">.</w:t>
        <w:br w:clear="none"/>
      </w:r>
      <w:r>
        <w:rPr>
          <w:rStyle w:val="Text9"/>
        </w:rPr>
        <w:t xml:space="preserve">say_foo</w:t>
        <w:br w:clear="none"/>
      </w:r>
      <w:r>
        <w:t xml:space="preserve"> </w:t>
        <w:br w:clear="none"/>
      </w:r>
      <w:r>
        <w:rPr>
          <w:rStyle w:val="Text13"/>
        </w:rPr>
        <w:t xml:space="preserve">=</w:t>
        <w:br w:clear="none"/>
      </w:r>
      <w:r>
        <w:t xml:space="preserve"> </w:t>
        <w:br w:clear="none"/>
      </w:r>
      <w:r>
        <w:rPr>
          <w:rStyle w:val="Text16"/>
        </w:rPr>
        <w:t xml:space="preserve">staticmethod</w:t>
        <w:br w:clear="none"/>
      </w:r>
      <w:r>
        <w:rPr>
          <w:rStyle w:val="Text7"/>
        </w:rPr>
        <w:t xml:space="preserve">(</w:t>
        <w:br w:clear="none"/>
      </w:r>
      <w:r>
        <w:rPr>
          <w:rStyle w:val="Text39"/>
        </w:rPr>
        <w:t xml:space="preserve">lambda</w:t>
        <w:br w:clear="none"/>
      </w:r>
      <w:r>
        <w:rPr>
          <w:rStyle w:val="Text7"/>
        </w:rPr>
        <w:t xml:space="preserve">:</w:t>
        <w:br w:clear="none"/>
      </w:r>
      <w:r>
        <w:t xml:space="preserve"> </w:t>
        <w:br w:clear="none"/>
        <w:t xml:space="preserve">f</w:t>
        <w:br w:clear="none"/>
      </w:r>
      <w:r>
        <w:rPr>
          <w:rStyle w:val="Text8"/>
        </w:rPr>
        <w:t xml:space="preserve">'</w:t>
        <w:br w:clear="none"/>
        <w:t xml:space="preserve">*</w:t>
        <w:br w:clear="none"/>
      </w:r>
      <w:r>
        <w:rPr>
          <w:rStyle w:val="Text32"/>
        </w:rPr>
        <w:t xml:space="preserve">{</w:t>
        <w:br w:clear="none"/>
      </w:r>
      <w:r>
        <w:rPr>
          <w:rStyle w:val="Text9"/>
        </w:rPr>
        <w:t xml:space="preserve">foo</w:t>
        <w:br w:clear="none"/>
      </w:r>
      <w:r>
        <w:rPr>
          <w:rStyle w:val="Text32"/>
        </w:rPr>
        <w:t xml:space="preserve">}</w:t>
        <w:br w:clear="none"/>
      </w:r>
      <w:r>
        <w:rPr>
          <w:rStyle w:val="Text8"/>
        </w:rPr>
        <w:t xml:space="preserve">*</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9"/>
        </w:rPr>
        <w:t xml:space="preserve">__init_subclass__</w:t>
        <w:br w:clear="none"/>
      </w:r>
      <w:r>
        <w:rPr>
          <w:rStyle w:val="Text7"/>
        </w:rPr>
        <w:t xml:space="preserve">(</w:t>
        <w:br w:clear="none"/>
      </w:r>
      <w:r>
        <w:rPr>
          <w:rStyle w:val="Text13"/>
        </w:rPr>
        <w:t xml:space="preserve">*</w:t>
        <w:br w:clear="none"/>
        <w:t xml:space="preserve">*</w:t>
        <w:br w:clear="none"/>
      </w:r>
      <w:r>
        <w:rPr>
          <w:rStyle w:val="Text9"/>
        </w:rPr>
        <w:t xml:space="preserve">kw</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D</w:t>
        <w:br w:clear="none"/>
      </w:r>
      <w:r>
        <w:rPr>
          <w:rStyle w:val="Text7"/>
        </w:rPr>
        <w:t xml:space="preserve">(</w:t>
        <w:br w:clear="none"/>
      </w:r>
      <w:r>
        <w:rPr>
          <w:rStyle w:val="Text9"/>
        </w:rPr>
        <w:t xml:space="preserve">C</w:t>
        <w:br w:clear="none"/>
      </w:r>
      <w:r>
        <w:rPr>
          <w:rStyle w:val="Text7"/>
        </w:rPr>
        <w:t xml:space="preserve">,</w:t>
        <w:br w:clear="none"/>
      </w:r>
      <w:r>
        <w:t xml:space="preserve"> </w:t>
        <w:br w:clear="none"/>
      </w:r>
      <w:r>
        <w:rPr>
          <w:rStyle w:val="Text9"/>
        </w:rPr>
        <w:t xml:space="preserve">foo</w:t>
        <w:br w:clear="none"/>
      </w:r>
      <w:r>
        <w:rPr>
          <w:rStyle w:val="Text13"/>
        </w:rPr>
        <w:t xml:space="preserve">=</w:t>
        <w:br w:clear="none"/>
      </w:r>
      <w:r>
        <w:rPr>
          <w:rStyle w:val="Text8"/>
        </w:rPr>
        <w:t xml:space="preserve">'</w:t>
        <w:br w:clear="none"/>
        <w:t xml:space="preserve">bar</w:t>
        <w:br w:clear="none"/>
        <w:t xml:space="preserv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pass</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&lt;class '__main__.D'&gt; {}</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w:t>
        <w:br w:clear="none"/>
      </w:r>
      <w:r>
        <w:rPr>
          <w:rStyle w:val="Text13"/>
        </w:rPr>
        <w:t xml:space="preserve">.</w:t>
        <w:br w:clear="none"/>
      </w:r>
      <w:r>
        <w:t xml:space="preserve">say_foo</w:t>
        <w:br w:clear="none"/>
      </w:r>
      <w:r>
        <w:rPr>
          <w:rStyle w:val="Text7"/>
        </w:rPr>
        <w:t xml:space="preserve">()</w:t>
        <w:br w:clear="none"/>
      </w:r>
    </w:p>
    <w:p>
      <w:pPr>
        <w:pStyle w:val="Para 008"/>
      </w:pPr>
      <w:r>
        <w:rPr>
          <w:rStyle w:val="Text48"/>
        </w:rPr>
        <w:t xml:space="preserve"/>
        <w:br w:clear="none"/>
      </w:r>
      <w:r>
        <w:t xml:space="preserve">'*bar*'</w:t>
        <w:br w:clear="none"/>
      </w:r>
    </w:p>
    <w:p>
      <w:pPr>
        <w:pStyle w:val="Normal"/>
      </w:pPr>
      <w:r>
        <w:t xml:space="preserve">The code in </w:t>
      </w:r>
      <w:r>
        <w:rPr>
          <w:rStyle w:val="Text0"/>
        </w:rPr>
        <w:t>__init_subclass__</w:t>
      </w:r>
      <w:r>
        <w:t xml:space="preserve"> can alter </w:t>
      </w:r>
      <w:r>
        <w:rPr>
          <w:rStyle w:val="Text0"/>
        </w:rPr>
        <w:t>cls</w:t>
      </w:r>
      <w:r>
        <w:t xml:space="preserve"> in any applicable, post-class-creation way; essentially, it works like a class decorator that Python automatically applies to any subclass of </w:t>
      </w:r>
      <w:r>
        <w:rPr>
          <w:rStyle w:val="Text0"/>
        </w:rPr>
        <w:t>C</w:t>
      </w:r>
      <w:r>
        <w:t>.</w:t>
      </w:r>
    </w:p>
    <w:p>
      <w:pPr>
        <w:pStyle w:val="Normal"/>
      </w:pPr>
      <w:r>
        <w:t xml:space="preserve">Another special method used for customization is </w:t>
      </w:r>
      <w:r>
        <w:rPr>
          <w:rStyle w:val="Text0"/>
        </w:rPr>
        <w:t>__set_name__</w:t>
      </w:r>
      <w:r>
        <w:t xml:space="preserve">, which lets you ensure that instances of descriptors added as class attributes know what class you’re adding them to, and under which names. At the end of the </w:t>
      </w:r>
      <w:r>
        <w:rPr>
          <w:rStyle w:val="Text5"/>
        </w:rPr>
        <w:t>class</w:t>
      </w:r>
      <w:r>
        <w:t xml:space="preserve"> statement that adds </w:t>
      </w:r>
      <w:r>
        <w:rPr>
          <w:rStyle w:val="Text3"/>
        </w:rPr>
        <w:t>ca</w:t>
      </w:r>
      <w:r>
        <w:t xml:space="preserve"> to class </w:t>
      </w:r>
      <w:r>
        <w:rPr>
          <w:rStyle w:val="Text3"/>
        </w:rPr>
        <w:t>C</w:t>
      </w:r>
      <w:r>
        <w:t xml:space="preserve"> with name </w:t>
      </w:r>
      <w:r>
        <w:rPr>
          <w:rStyle w:val="Text3"/>
        </w:rPr>
        <w:t>n</w:t>
      </w:r>
      <w:r>
        <w:t xml:space="preserve">, when the type of </w:t>
      </w:r>
      <w:r>
        <w:rPr>
          <w:rStyle w:val="Text3"/>
        </w:rPr>
        <w:t>ca</w:t>
      </w:r>
      <w:r>
        <w:t xml:space="preserve"> has the method </w:t>
      </w:r>
      <w:r>
        <w:rPr>
          <w:rStyle w:val="Text0"/>
        </w:rPr>
        <w:t>__set_name__</w:t>
      </w:r>
      <w:r>
        <w:t xml:space="preserve">, Python calls </w:t>
      </w:r>
      <w:r>
        <w:rPr>
          <w:rStyle w:val="Text3"/>
        </w:rPr>
        <w:t>ca.</w:t>
      </w:r>
      <w:r>
        <w:rPr>
          <w:rStyle w:val="Text0"/>
        </w:rPr>
        <w:t>__set_name__(</w:t>
      </w:r>
      <w:r>
        <w:rPr>
          <w:rStyle w:val="Text3"/>
        </w:rPr>
        <w:t>C,</w:t>
      </w:r>
      <w:r>
        <w:t xml:space="preserve"> </w:t>
      </w:r>
      <w:r>
        <w:rPr>
          <w:rStyle w:val="Text3"/>
        </w:rPr>
        <w:t>n</w:t>
      </w:r>
      <w:r>
        <w:rPr>
          <w:rStyle w:val="Text0"/>
        </w:rPr>
        <w:t>)</w:t>
      </w:r>
      <w:r>
        <w:t>. For example: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Attrib</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r>
      <w:r>
        <w:rPr>
          <w:rStyle w:val="Text18"/>
        </w:rPr>
        <w:t xml:space="preserve">__set_name__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6"/>
        </w:rPr>
        <w:t xml:space="preserve">cls</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t xml:space="preserve">Attribute </w:t>
        <w:br w:clear="none"/>
      </w:r>
      <w:r>
        <w:rPr>
          <w:rStyle w:val="Text32"/>
        </w:rPr>
        <w:t xml:space="preserve">{</w:t>
        <w:br w:clear="none"/>
      </w:r>
      <w:r>
        <w:rPr>
          <w:rStyle w:val="Text9"/>
        </w:rPr>
        <w:t xml:space="preserve">name</w:t>
        <w:br w:clear="none"/>
      </w:r>
      <w:r>
        <w:rPr>
          <w:rStyle w:val="Text32"/>
        </w:rPr>
        <w:t xml:space="preserve">!r}</w:t>
        <w:br w:clear="none"/>
      </w:r>
      <w:r>
        <w:rPr>
          <w:rStyle w:val="Text8"/>
        </w:rPr>
        <w:t xml:space="preserve"> added to </w:t>
        <w:br w:clear="none"/>
      </w:r>
      <w:r>
        <w:rPr>
          <w:rStyle w:val="Text32"/>
        </w:rPr>
        <w:t xml:space="preserve">{</w:t>
        <w:br w:clear="none"/>
      </w:r>
      <w:r>
        <w:rPr>
          <w:rStyle w:val="Text16"/>
        </w:rPr>
        <w:t xml:space="preserve">cls</w:t>
        <w:br w:clear="none"/>
      </w:r>
      <w:r>
        <w:rPr>
          <w:rStyle w:val="Text32"/>
        </w:rPr>
        <w:t xml:space="preserve">}</w:t>
        <w:br w:clear="none"/>
      </w:r>
      <w:r>
        <w:rPr>
          <w:rStyle w:val="Text8"/>
        </w:rPr>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AClass</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some_name</w:t>
        <w:br w:clear="none"/>
      </w:r>
      <w:r>
        <w:t xml:space="preserve"> </w:t>
        <w:br w:clear="none"/>
      </w:r>
      <w:r>
        <w:rPr>
          <w:rStyle w:val="Text13"/>
        </w:rPr>
        <w:t xml:space="preserve">=</w:t>
        <w:br w:clear="none"/>
      </w:r>
      <w:r>
        <w:t xml:space="preserve"> </w:t>
        <w:br w:clear="none"/>
      </w:r>
      <w:r>
        <w:rPr>
          <w:rStyle w:val="Text9"/>
        </w:rPr>
        <w:t xml:space="preserve">Attrib</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Attribute 'some_name' added to &lt;class '__main__.AClass'&gt;</w:t>
        <w:br w:clear="none"/>
      </w:r>
    </w:p>
    <w:p>
      <w:pPr>
        <w:pStyle w:val="Para 039"/>
      </w:pPr>
      <w:r>
        <w:rPr>
          <w:rStyle w:val="Text23"/>
        </w:rPr>
        <w:t xml:space="preserve"/>
        <w:br w:clear="none"/>
      </w:r>
      <w:r>
        <w:t xml:space="preserve">&gt;&gt;&gt;</w:t>
        <w:br w:clear="none"/>
      </w:r>
    </w:p>
    <w:p>
      <w:bookmarkStart w:id="1572" w:name="How_Python_Determines_a_Class_s"/>
      <w:pPr>
        <w:keepNext/>
        <w:pStyle w:val="Heading 2"/>
      </w:pPr>
      <w:r>
        <w:t>How Python Determines a Class’s Metaclass</w:t>
      </w:r>
      <w:bookmarkEnd w:id="1572"/>
    </w:p>
    <w:p>
      <w:pPr>
        <w:pStyle w:val="Normal"/>
      </w:pPr>
      <w:r>
        <w:t xml:space="preserve">The </w:t>
      </w:r>
      <w:r>
        <w:rPr>
          <w:rStyle w:val="Text5"/>
        </w:rPr>
        <w:t>class</w:t>
      </w:r>
      <w:r>
        <w:t xml:space="preserve"> statement accepts optional named arguments (after the bases, if any). The most important named argument is </w:t>
      </w:r>
      <w:r>
        <w:rPr>
          <w:rStyle w:val="Text0"/>
        </w:rPr>
        <w:t>metaclass</w:t>
      </w:r>
      <w:r>
        <w:t>, which, if present, identifies the new class’s metaclass. Other named arguments are allowed only if a non-</w:t>
      </w:r>
      <w:r>
        <w:rPr>
          <w:rStyle w:val="Text0"/>
        </w:rPr>
        <w:t>type</w:t>
      </w:r>
      <w:r>
        <w:t xml:space="preserve"> metaclass is present, in which case they are passed on to the optional </w:t>
      </w:r>
      <w:r>
        <w:rPr>
          <w:rStyle w:val="Text0"/>
        </w:rPr>
        <w:t>__prepare__</w:t>
      </w:r>
      <w:r>
        <w:t xml:space="preserve"> method of the metaclass (it’s entirely up to the </w:t>
      </w:r>
      <w:r>
        <w:rPr>
          <w:rStyle w:val="Text0"/>
        </w:rPr>
        <w:t>__prepare__</w:t>
      </w:r>
      <w:r>
        <w:t xml:space="preserve"> method to make use of such named arguments).</w:t>
      </w:r>
      <w:hyperlink w:anchor="16_Or_when_a_base_class_has___in">
        <w:r>
          <w:rPr>
            <w:rStyle w:val="Text41"/>
          </w:rPr>
          <w:bookmarkStart w:id="1573" w:name="16_1"/>
          <w:t>16</w:t>
          <w:bookmarkEnd w:id="1573"/>
        </w:r>
      </w:hyperlink>
      <w:r>
        <w:t xml:space="preserve"> When the named argument </w:t>
      </w:r>
      <w:r>
        <w:rPr>
          <w:rStyle w:val="Text0"/>
        </w:rPr>
        <w:t>metaclass</w:t>
      </w:r>
      <w:r>
        <w:t xml:space="preserve"> is absent, Python determines the metaclass by inheritance; for classes with no explicitly specified bases, the metaclass defaults to </w:t>
      </w:r>
      <w:r>
        <w:rPr>
          <w:rStyle w:val="Text0"/>
        </w:rPr>
        <w:t>type</w:t>
      </w:r>
      <w:r>
        <w:t>.</w:t>
      </w:r>
    </w:p>
    <w:p>
      <w:pPr>
        <w:pStyle w:val="Normal"/>
      </w:pPr>
      <w:r>
        <w:t xml:space="preserve">Python calls the </w:t>
      </w:r>
      <w:r>
        <w:rPr>
          <w:rStyle w:val="Text0"/>
        </w:rPr>
        <w:t>__prepare__</w:t>
      </w:r>
      <w:r>
        <w:t xml:space="preserve"> method, if present, as soon as it determines the metaclass, as follows:</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M</w:t>
        <w:br w:clear="none"/>
      </w:r>
      <w:r>
        <w:rPr>
          <w:rStyle w:val="Text7"/>
        </w:rPr>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t xml:space="preserve">__prepare__</w:t>
        <w:br w:clear="none"/>
      </w:r>
      <w:r>
        <w:rPr>
          <w:rStyle w:val="Text7"/>
        </w:rPr>
        <w:t xml:space="preserve">(</w:t>
        <w:br w:clear="none"/>
      </w:r>
      <w:r>
        <w:t xml:space="preserve">classname</w:t>
        <w:br w:clear="none"/>
      </w:r>
      <w:r>
        <w:rPr>
          <w:rStyle w:val="Text7"/>
        </w:rPr>
        <w:t xml:space="preserve">,</w:t>
        <w:br w:clear="none"/>
      </w:r>
      <w:r>
        <w:rPr>
          <w:rStyle w:val="Text6"/>
        </w:rPr>
        <w:t xml:space="preserve"> </w:t>
        <w:br w:clear="none"/>
      </w:r>
      <w:r>
        <w:rPr>
          <w:rStyle w:val="Text13"/>
        </w:rPr>
        <w:t xml:space="preserve">*</w:t>
        <w:br w:clear="none"/>
      </w:r>
      <w:r>
        <w:t xml:space="preserve">classbases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kwargs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1"/>
        </w:rPr>
        <w:t xml:space="preserve">    </w:t>
        <w:br w:clear="none"/>
      </w:r>
      <w:r>
        <w:rPr>
          <w:rStyle w:val="Text15"/>
        </w:rPr>
        <w:t xml:space="preserve"># ...rest of M snipped...</w:t>
        <w:br w:clear="none"/>
      </w:r>
      <w:r>
        <w:rPr>
          <w:rStyle w:val="Text6"/>
        </w:rPr>
        <w:t xml:space="preserve"/>
        <w:br w:clear="none"/>
      </w:r>
      <w:r>
        <w:rPr>
          <w:rStyle w:val="Text10"/>
        </w:rPr>
        <w:t xml:space="preserve">class</w:t>
        <w:br w:clear="none"/>
      </w:r>
      <w:r>
        <w:rPr>
          <w:rStyle w:val="Text6"/>
        </w:rPr>
        <w:t xml:space="preserve"> </w:t>
        <w:br w:clear="none"/>
      </w:r>
      <w:r>
        <w:rPr>
          <w:rStyle w:val="Text33"/>
        </w:rPr>
        <w:t xml:space="preserve">X</w:t>
        <w:br w:clear="none"/>
      </w:r>
      <w:r>
        <w:rPr>
          <w:rStyle w:val="Text7"/>
        </w:rPr>
        <w:t xml:space="preserve">(</w:t>
        <w:br w:clear="none"/>
      </w:r>
      <w:r>
        <w:t xml:space="preserve">onebase</w:t>
        <w:br w:clear="none"/>
      </w:r>
      <w:r>
        <w:rPr>
          <w:rStyle w:val="Text7"/>
        </w:rPr>
        <w:t xml:space="preserve">,</w:t>
        <w:br w:clear="none"/>
      </w:r>
      <w:r>
        <w:rPr>
          <w:rStyle w:val="Text6"/>
        </w:rPr>
        <w:t xml:space="preserve"> </w:t>
        <w:br w:clear="none"/>
      </w:r>
      <w:r>
        <w:t xml:space="preserve">another</w:t>
        <w:br w:clear="none"/>
      </w:r>
      <w:r>
        <w:rPr>
          <w:rStyle w:val="Text7"/>
        </w:rPr>
        <w:t xml:space="preserve">,</w:t>
        <w:br w:clear="none"/>
      </w:r>
      <w:r>
        <w:rPr>
          <w:rStyle w:val="Text6"/>
        </w:rPr>
        <w:t xml:space="preserve"> </w:t>
        <w:br w:clear="none"/>
      </w:r>
      <w:r>
        <w:t xml:space="preserve">metaclass</w:t>
        <w:br w:clear="none"/>
      </w:r>
      <w:r>
        <w:rPr>
          <w:rStyle w:val="Text13"/>
        </w:rPr>
        <w:t xml:space="preserve">=</w:t>
        <w:br w:clear="none"/>
      </w:r>
      <w:r>
        <w:t xml:space="preserve">M</w:t>
        <w:br w:clear="none"/>
      </w:r>
      <w:r>
        <w:rPr>
          <w:rStyle w:val="Text7"/>
        </w:rPr>
        <w:t xml:space="preserve">,</w:t>
        <w:br w:clear="none"/>
      </w:r>
      <w:r>
        <w:rPr>
          <w:rStyle w:val="Text6"/>
        </w:rPr>
        <w:t xml:space="preserve"> </w:t>
        <w:br w:clear="none"/>
      </w:r>
      <w:r>
        <w:t xml:space="preserve">foo</w:t>
        <w:br w:clear="none"/>
      </w:r>
      <w:r>
        <w:rPr>
          <w:rStyle w:val="Text13"/>
        </w:rPr>
        <w:t xml:space="preserve">=</w:t>
        <w:br w:clear="none"/>
      </w:r>
      <w:r>
        <w:rPr>
          <w:rStyle w:val="Text8"/>
        </w:rPr>
        <w:t xml:space="preserve">'</w:t>
        <w:br w:clear="none"/>
        <w:t xml:space="preserve">bar</w:t>
        <w:br w:clear="none"/>
        <w:t xml:space="preserve">'</w:t>
        <w:br w:clear="none"/>
      </w:r>
      <w:r>
        <w:rPr>
          <w:rStyle w:val="Text7"/>
        </w:rPr>
        <w:t xml:space="preserve">)</w:t>
        <w:br w:clear="none"/>
        <w:t xml:space="preserve">:</w:t>
        <w:br w:clear="none"/>
      </w:r>
      <w:r>
        <w:rPr>
          <w:rStyle w:val="Text6"/>
        </w:rPr>
        <w:t xml:space="preserve"/>
        <w:br w:clear="none"/>
      </w:r>
      <w:r>
        <w:rPr>
          <w:rStyle w:val="Text11"/>
        </w:rPr>
        <w:t xml:space="preserve">    </w:t>
        <w:br w:clear="none"/>
      </w:r>
      <w:r>
        <w:rPr>
          <w:rStyle w:val="Text15"/>
        </w:rPr>
        <w:t xml:space="preserve"># ...body of X snipped...</w:t>
        <w:br w:clear="none"/>
      </w:r>
    </w:p>
    <w:p>
      <w:pPr>
        <w:pStyle w:val="Normal"/>
      </w:pPr>
      <w:r>
        <w:t xml:space="preserve">Here, the call is equivalent to </w:t>
      </w:r>
      <w:r>
        <w:rPr>
          <w:rStyle w:val="Text0"/>
        </w:rPr>
        <w:t>M.__prepare__('X'</w:t>
      </w:r>
      <w:r>
        <w:t xml:space="preserve">, </w:t>
      </w:r>
      <w:r>
        <w:rPr>
          <w:rStyle w:val="Text0"/>
        </w:rPr>
        <w:t>onebase</w:t>
      </w:r>
      <w:r>
        <w:t xml:space="preserve">, </w:t>
      </w:r>
      <w:r>
        <w:rPr>
          <w:rStyle w:val="Text0"/>
        </w:rPr>
        <w:t>another</w:t>
      </w:r>
      <w:r>
        <w:t xml:space="preserve">, </w:t>
      </w:r>
      <w:r>
        <w:rPr>
          <w:rStyle w:val="Text0"/>
        </w:rPr>
        <w:t>foo='bar'</w:t>
      </w:r>
      <w:r>
        <w:t xml:space="preserve">). </w:t>
      </w:r>
      <w:r>
        <w:rPr>
          <w:rStyle w:val="Text0"/>
        </w:rPr>
        <w:t>__prepare__</w:t>
      </w:r>
      <w:r>
        <w:t xml:space="preserve">, if present, must return a mapping (usually just a dictionary), which Python uses as the </w:t>
      </w:r>
      <w:r>
        <w:rPr>
          <w:rStyle w:val="Text3"/>
        </w:rPr>
        <w:t>d</w:t>
      </w:r>
      <w:r>
        <w:t xml:space="preserve"> mapping in which it executes the class body. If </w:t>
      </w:r>
      <w:r>
        <w:rPr>
          <w:rStyle w:val="Text0"/>
        </w:rPr>
        <w:t>__prepare__</w:t>
      </w:r>
      <w:r>
        <w:t xml:space="preserve"> is absent, Python uses a new, initially empty </w:t>
      </w:r>
      <w:r>
        <w:rPr>
          <w:rStyle w:val="Text0"/>
        </w:rPr>
        <w:t>dict</w:t>
      </w:r>
      <w:r>
        <w:t xml:space="preserve"> as </w:t>
      </w:r>
      <w:r>
        <w:rPr>
          <w:rStyle w:val="Text3"/>
        </w:rPr>
        <w:t>d</w:t>
      </w:r>
      <w:r>
        <w:t>.</w:t>
      </w:r>
    </w:p>
    <w:p>
      <w:bookmarkStart w:id="1574" w:name="How_a_Metaclass_Creates_a_Class"/>
      <w:pPr>
        <w:keepNext/>
        <w:pStyle w:val="Heading 2"/>
      </w:pPr>
      <w:r>
        <w:t>How a Metaclass Creates a Class</w:t>
      </w:r>
      <w:bookmarkEnd w:id="1574"/>
    </w:p>
    <w:p>
      <w:pPr>
        <w:pStyle w:val="Normal"/>
      </w:pPr>
      <w:r>
        <w:t>Having</w:t>
      </w:r>
      <w:r>
        <w:rPr>
          <w:rStyle w:val="Text111"/>
        </w:rPr>
        <w:bookmarkStart w:id="1575" w:name="idm45965280586432"/>
        <w:t/>
        <w:bookmarkEnd w:id="1575"/>
      </w:r>
      <w:r>
        <w:t xml:space="preserve"> determined the metaclass </w:t>
      </w:r>
      <w:r>
        <w:rPr>
          <w:rStyle w:val="Text3"/>
        </w:rPr>
        <w:t>M</w:t>
      </w:r>
      <w:r>
        <w:t xml:space="preserve">, Python calls </w:t>
      </w:r>
      <w:r>
        <w:rPr>
          <w:rStyle w:val="Text3"/>
        </w:rPr>
        <w:t>M</w:t>
      </w:r>
      <w:r>
        <w:t xml:space="preserve"> with three arguments: the class name (a </w:t>
      </w:r>
      <w:r>
        <w:rPr>
          <w:rStyle w:val="Text0"/>
        </w:rPr>
        <w:t>str</w:t>
      </w:r>
      <w:r>
        <w:t xml:space="preserve">), the tuple of base classes </w:t>
      </w:r>
      <w:r>
        <w:rPr>
          <w:rStyle w:val="Text3"/>
        </w:rPr>
        <w:t>t</w:t>
      </w:r>
      <w:r>
        <w:t xml:space="preserve">, and the dictionary (or other mapping resulting from </w:t>
      </w:r>
      <w:r>
        <w:rPr>
          <w:rStyle w:val="Text0"/>
        </w:rPr>
        <w:t>__prepare__</w:t>
      </w:r>
      <w:r>
        <w:t xml:space="preserve">) </w:t>
      </w:r>
      <w:r>
        <w:rPr>
          <w:rStyle w:val="Text3"/>
        </w:rPr>
        <w:t>d</w:t>
      </w:r>
      <w:r>
        <w:t xml:space="preserve"> in which the class body just finished executing.</w:t>
      </w:r>
      <w:hyperlink w:anchor="17_This_is_similar_to_calling_ty">
        <w:r>
          <w:rPr>
            <w:rStyle w:val="Text41"/>
          </w:rPr>
          <w:bookmarkStart w:id="1576" w:name="17_1"/>
          <w:t>17</w:t>
          <w:bookmarkEnd w:id="1576"/>
        </w:r>
      </w:hyperlink>
      <w:r>
        <w:t xml:space="preserve"> The call returns the class object </w:t>
      </w:r>
      <w:r>
        <w:rPr>
          <w:rStyle w:val="Text3"/>
        </w:rPr>
        <w:t>C</w:t>
      </w:r>
      <w:r>
        <w:t xml:space="preserve">, which Python then binds to the class name, completing the execution of the </w:t>
      </w:r>
      <w:r>
        <w:rPr>
          <w:rStyle w:val="Text5"/>
        </w:rPr>
        <w:t>class</w:t>
      </w:r>
      <w:r>
        <w:t xml:space="preserve"> statement. Note that this is in fact an instantiation of type </w:t>
      </w:r>
      <w:r>
        <w:rPr>
          <w:rStyle w:val="Text3"/>
        </w:rPr>
        <w:t>M</w:t>
      </w:r>
      <w:r>
        <w:t xml:space="preserve">, so the call to </w:t>
      </w:r>
      <w:r>
        <w:rPr>
          <w:rStyle w:val="Text3"/>
        </w:rPr>
        <w:t>M</w:t>
      </w:r>
      <w:r>
        <w:t xml:space="preserve"> executes </w:t>
      </w:r>
      <w:r>
        <w:rPr>
          <w:rStyle w:val="Text3"/>
        </w:rPr>
        <w:t>M.</w:t>
      </w:r>
      <w:r>
        <w:rPr>
          <w:rStyle w:val="Text0"/>
        </w:rPr>
        <w:t>__init__(</w:t>
      </w:r>
      <w:r>
        <w:rPr>
          <w:rStyle w:val="Text3"/>
        </w:rPr>
        <w:t>C</w:t>
      </w:r>
      <w:r>
        <w:rPr>
          <w:rStyle w:val="Text0"/>
        </w:rPr>
        <w:t>,</w:t>
      </w:r>
      <w:r>
        <w:t xml:space="preserve"> </w:t>
      </w:r>
      <w:r>
        <w:rPr>
          <w:rStyle w:val="Text3"/>
        </w:rPr>
        <w:t>namestring</w:t>
      </w:r>
      <w:r>
        <w:rPr>
          <w:rStyle w:val="Text0"/>
        </w:rPr>
        <w:t>,</w:t>
      </w:r>
      <w:r>
        <w:t xml:space="preserve"> </w:t>
      </w:r>
      <w:r>
        <w:rPr>
          <w:rStyle w:val="Text3"/>
        </w:rPr>
        <w:t>t</w:t>
      </w:r>
      <w:r>
        <w:rPr>
          <w:rStyle w:val="Text0"/>
        </w:rPr>
        <w:t>,</w:t>
      </w:r>
      <w:r>
        <w:t xml:space="preserve"> </w:t>
      </w:r>
      <w:r>
        <w:rPr>
          <w:rStyle w:val="Text3"/>
        </w:rPr>
        <w:t>d</w:t>
      </w:r>
      <w:r>
        <w:rPr>
          <w:rStyle w:val="Text0"/>
        </w:rPr>
        <w:t>)</w:t>
      </w:r>
      <w:r>
        <w:t xml:space="preserve">, where </w:t>
      </w:r>
      <w:r>
        <w:rPr>
          <w:rStyle w:val="Text3"/>
        </w:rPr>
        <w:t>C</w:t>
      </w:r>
      <w:r>
        <w:t xml:space="preserve"> is the return value of </w:t>
      </w:r>
      <w:r>
        <w:rPr>
          <w:rStyle w:val="Text3"/>
        </w:rPr>
        <w:t>M.</w:t>
      </w:r>
      <w:r>
        <w:rPr>
          <w:rStyle w:val="Text0"/>
        </w:rPr>
        <w:t>__new__(</w:t>
      </w:r>
      <w:r>
        <w:rPr>
          <w:rStyle w:val="Text3"/>
        </w:rPr>
        <w:t>M, namestring, t, d</w:t>
      </w:r>
      <w:r>
        <w:rPr>
          <w:rStyle w:val="Text0"/>
        </w:rPr>
        <w:t>)</w:t>
      </w:r>
      <w:r>
        <w:t>, just as in any other instantiation.</w:t>
      </w:r>
    </w:p>
    <w:p>
      <w:pPr>
        <w:pStyle w:val="Normal"/>
      </w:pPr>
      <w:r>
        <w:t xml:space="preserve">After Python creates the class object </w:t>
      </w:r>
      <w:r>
        <w:rPr>
          <w:rStyle w:val="Text3"/>
        </w:rPr>
        <w:t>C</w:t>
      </w:r>
      <w:r>
        <w:t xml:space="preserve">, the relationship between class </w:t>
      </w:r>
      <w:r>
        <w:rPr>
          <w:rStyle w:val="Text3"/>
        </w:rPr>
        <w:t>C</w:t>
      </w:r>
      <w:r>
        <w:t xml:space="preserve"> and its type (</w:t>
      </w:r>
      <w:r>
        <w:rPr>
          <w:rStyle w:val="Text0"/>
        </w:rPr>
        <w:t>type(</w:t>
      </w:r>
      <w:r>
        <w:rPr>
          <w:rStyle w:val="Text3"/>
        </w:rPr>
        <w:t>C</w:t>
      </w:r>
      <w:r>
        <w:rPr>
          <w:rStyle w:val="Text0"/>
        </w:rPr>
        <w:t>)</w:t>
      </w:r>
      <w:r>
        <w:t xml:space="preserve">, normally </w:t>
      </w:r>
      <w:r>
        <w:rPr>
          <w:rStyle w:val="Text3"/>
        </w:rPr>
        <w:t>M</w:t>
      </w:r>
      <w:r>
        <w:t xml:space="preserve">) is the same as that between any object and its type. For example, when you call the class object </w:t>
      </w:r>
      <w:r>
        <w:rPr>
          <w:rStyle w:val="Text3"/>
        </w:rPr>
        <w:t>C</w:t>
      </w:r>
      <w:r>
        <w:t xml:space="preserve"> (to create an instance of </w:t>
      </w:r>
      <w:r>
        <w:rPr>
          <w:rStyle w:val="Text3"/>
        </w:rPr>
        <w:t>C</w:t>
      </w:r>
      <w:r>
        <w:t xml:space="preserve">), </w:t>
      </w:r>
      <w:r>
        <w:rPr>
          <w:rStyle w:val="Text3"/>
        </w:rPr>
        <w:t>M.</w:t>
      </w:r>
      <w:r>
        <w:rPr>
          <w:rStyle w:val="Text0"/>
        </w:rPr>
        <w:t>__call__</w:t>
      </w:r>
      <w:r>
        <w:t xml:space="preserve"> executes, with class object </w:t>
      </w:r>
      <w:r>
        <w:rPr>
          <w:rStyle w:val="Text3"/>
        </w:rPr>
        <w:t>C</w:t>
      </w:r>
      <w:r>
        <w:t xml:space="preserve"> as the first argument.</w:t>
      </w:r>
    </w:p>
    <w:p>
      <w:pPr>
        <w:pStyle w:val="Normal"/>
      </w:pPr>
      <w:r>
        <w:t xml:space="preserve">Note the benefit, in this context, of the approach described in </w:t>
      </w:r>
      <w:hyperlink w:anchor="Per_Instance_Methods__An_instanc">
        <w:r>
          <w:rPr>
            <w:rStyle w:val="Text1"/>
          </w:rPr>
          <w:t>“Per Instance Methods”</w:t>
        </w:r>
      </w:hyperlink>
      <w:r>
        <w:t xml:space="preserve">, whereby special methods are looked up only on the class, not on the instance. Calling </w:t>
      </w:r>
      <w:r>
        <w:rPr>
          <w:rStyle w:val="Text3"/>
        </w:rPr>
        <w:t>C</w:t>
      </w:r>
      <w:r>
        <w:t xml:space="preserve"> to instantiate it must execute the metaclass’s </w:t>
      </w:r>
      <w:r>
        <w:rPr>
          <w:rStyle w:val="Text3"/>
        </w:rPr>
        <w:t>M.</w:t>
      </w:r>
      <w:r>
        <w:rPr>
          <w:rStyle w:val="Text0"/>
        </w:rPr>
        <w:t>__call__</w:t>
      </w:r>
      <w:r>
        <w:t xml:space="preserve">, whether or not </w:t>
      </w:r>
      <w:r>
        <w:rPr>
          <w:rStyle w:val="Text3"/>
        </w:rPr>
        <w:t>C</w:t>
      </w:r>
      <w:r>
        <w:t xml:space="preserve"> has a per instance attribute (method) </w:t>
      </w:r>
      <w:r>
        <w:rPr>
          <w:rStyle w:val="Text0"/>
        </w:rPr>
        <w:t>__call__</w:t>
      </w:r>
      <w:r>
        <w:t xml:space="preserve"> (i.e., independently of whether </w:t>
      </w:r>
      <w:r>
        <w:rPr>
          <w:rStyle w:val="Text4"/>
        </w:rPr>
        <w:t>instances</w:t>
      </w:r>
      <w:r>
        <w:t xml:space="preserve"> of </w:t>
      </w:r>
      <w:r>
        <w:rPr>
          <w:rStyle w:val="Text3"/>
        </w:rPr>
        <w:t>C</w:t>
      </w:r>
      <w:r>
        <w:t xml:space="preserve"> are or aren’t callable). This way, the Python object model avoids having to make the relationship between a class and its metaclass an ad hoc special case. Avoiding ad hoc special cases is a key to Python’s power: Python has few, simple, general rules, and applies them consistently.</w:t>
      </w:r>
    </w:p>
    <w:p>
      <w:bookmarkStart w:id="1577" w:name="Defining_and_using_your_own_meta"/>
      <w:pPr>
        <w:keepNext/>
        <w:pStyle w:val="Heading 2"/>
      </w:pPr>
      <w:r>
        <w:t>Defining and using your own metaclasses</w:t>
      </w:r>
      <w:bookmarkEnd w:id="1577"/>
    </w:p>
    <w:p>
      <w:pPr>
        <w:pStyle w:val="Normal"/>
      </w:pPr>
      <w:r>
        <w:t>It’s</w:t>
      </w:r>
      <w:r>
        <w:rPr>
          <w:rStyle w:val="Text111"/>
        </w:rPr>
        <w:bookmarkStart w:id="1578" w:name="idm45965280522752"/>
        <w:t/>
        <w:bookmarkEnd w:id="1578"/>
      </w:r>
      <w:r>
        <w:t xml:space="preserve"> easy to define custom metaclasses: inherit from </w:t>
      </w:r>
      <w:r>
        <w:rPr>
          <w:rStyle w:val="Text0"/>
        </w:rPr>
        <w:t>type</w:t>
      </w:r>
      <w:r>
        <w:t xml:space="preserve"> and override some of its methods. You can also perform most of the tasks for which you might consider creating a metaclass with </w:t>
      </w:r>
      <w:r>
        <w:rPr>
          <w:rStyle w:val="Text0"/>
        </w:rPr>
        <w:t>__new__</w:t>
      </w:r>
      <w:r>
        <w:t xml:space="preserve">, </w:t>
      </w:r>
      <w:r>
        <w:rPr>
          <w:rStyle w:val="Text0"/>
        </w:rPr>
        <w:t>__init__</w:t>
      </w:r>
      <w:r>
        <w:t xml:space="preserve">, </w:t>
      </w:r>
      <w:r>
        <w:rPr>
          <w:rStyle w:val="Text0"/>
        </w:rPr>
        <w:t>__getattribute__</w:t>
      </w:r>
      <w:r>
        <w:t>, and so on, without involving metaclasses. However, a custom metaclass can be faster, since special processing is done only at class creation time, which is a rare operation. A custom metaclass lets you define a whole category of classes in a framework that magically acquire whatever interesting behavior you’ve coded, quite independently of what special methods the classes themselves may choose to define.</w:t>
      </w:r>
    </w:p>
    <w:p>
      <w:pPr>
        <w:pStyle w:val="Normal"/>
      </w:pPr>
      <w:r>
        <w:t xml:space="preserve">To alter a specific class in an explicit way, a good alternative is often to use a class decorator, as mentioned in </w:t>
      </w:r>
      <w:hyperlink w:anchor="Decorators__In_Python__you_often">
        <w:r>
          <w:rPr>
            <w:rStyle w:val="Text1"/>
          </w:rPr>
          <w:t>“Decorators”</w:t>
        </w:r>
      </w:hyperlink>
      <w:r>
        <w:t>. However, decorators are not inherited, so the decorator must be explicitly applied to each class of interest.</w:t>
      </w:r>
      <w:hyperlink w:anchor="18___init_subclass____covered_in">
        <w:r>
          <w:rPr>
            <w:rStyle w:val="Text41"/>
          </w:rPr>
          <w:bookmarkStart w:id="1579" w:name="18_1"/>
          <w:t>18</w:t>
          <w:bookmarkEnd w:id="1579"/>
        </w:r>
      </w:hyperlink>
      <w:r>
        <w:t xml:space="preserve"> Metaclasses, on the other hand, </w:t>
      </w:r>
      <w:r>
        <w:rPr>
          <w:rStyle w:val="Text4"/>
        </w:rPr>
        <w:t>are</w:t>
      </w:r>
      <w:r>
        <w:t xml:space="preserve"> inherited; in fact, when you define a custom metaclass </w:t>
      </w:r>
      <w:r>
        <w:rPr>
          <w:rStyle w:val="Text3"/>
        </w:rPr>
        <w:t>M</w:t>
      </w:r>
      <w:r>
        <w:t xml:space="preserve">, it’s usual to also define an otherwise empty class </w:t>
      </w:r>
      <w:r>
        <w:rPr>
          <w:rStyle w:val="Text3"/>
        </w:rPr>
        <w:t>C</w:t>
      </w:r>
      <w:r>
        <w:t xml:space="preserve"> with metaclass </w:t>
      </w:r>
      <w:r>
        <w:rPr>
          <w:rStyle w:val="Text3"/>
        </w:rPr>
        <w:t>M</w:t>
      </w:r>
      <w:r>
        <w:t xml:space="preserve">, so that other classes requiring </w:t>
      </w:r>
      <w:r>
        <w:rPr>
          <w:rStyle w:val="Text3"/>
        </w:rPr>
        <w:t>M</w:t>
      </w:r>
      <w:r>
        <w:t xml:space="preserve"> can just inherit from </w:t>
      </w:r>
      <w:r>
        <w:rPr>
          <w:rStyle w:val="Text3"/>
        </w:rPr>
        <w:t>C</w:t>
      </w:r>
      <w:r>
        <w:t>.</w:t>
      </w:r>
    </w:p>
    <w:p>
      <w:pPr>
        <w:pStyle w:val="Normal"/>
      </w:pPr>
      <w:r>
        <w:t>Some behavior of class objects can be customized only in metaclasses. The following example shows how to use a metaclass to change the string format of class objects: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MyMeta</w:t>
        <w:br w:clear="none"/>
      </w:r>
      <w:r>
        <w:rPr>
          <w:rStyle w:val="Text7"/>
        </w:rPr>
        <w:t xml:space="preserve">(</w:t>
        <w:br w:clear="none"/>
      </w:r>
      <w:r>
        <w:rPr>
          <w:rStyle w:val="Text16"/>
        </w:rPr>
        <w:t xml:space="preserve">type</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__str__</w:t>
        <w:br w:clear="none"/>
      </w:r>
      <w:r>
        <w:rPr>
          <w:rStyle w:val="Text7"/>
        </w:rPr>
        <w:t xml:space="preserve">(</w:t>
        <w:br w:clear="none"/>
      </w:r>
      <w:r>
        <w:rPr>
          <w:rStyle w:val="Text16"/>
        </w:rPr>
        <w:t xml:space="preserve">cls</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t xml:space="preserve">f</w:t>
        <w:br w:clear="none"/>
      </w:r>
      <w:r>
        <w:rPr>
          <w:rStyle w:val="Text8"/>
        </w:rPr>
        <w:t xml:space="preserve">'</w:t>
        <w:br w:clear="none"/>
        <w:t xml:space="preserve">Beautiful class </w:t>
        <w:br w:clear="none"/>
      </w:r>
      <w:r>
        <w:rPr>
          <w:rStyle w:val="Text32"/>
        </w:rPr>
        <w:t xml:space="preserve">{</w:t>
        <w:br w:clear="none"/>
      </w:r>
      <w:r>
        <w:rPr>
          <w:rStyle w:val="Text16"/>
        </w:rPr>
        <w:t xml:space="preserve">cls</w:t>
        <w:br w:clear="none"/>
      </w:r>
      <w:r>
        <w:rPr>
          <w:rStyle w:val="Text13"/>
        </w:rPr>
        <w:t xml:space="preserve">.</w:t>
        <w:br w:clear="none"/>
      </w:r>
      <w:r>
        <w:t xml:space="preserve">__name__</w:t>
        <w:br w:clear="none"/>
      </w:r>
      <w:r>
        <w:rPr>
          <w:rStyle w:val="Text32"/>
        </w:rPr>
        <w:t xml:space="preserve">!r}</w:t>
        <w:br w:clear="none"/>
      </w:r>
      <w:r>
        <w:rPr>
          <w:rStyle w:val="Text8"/>
        </w:rPr>
        <w:t xml:space="preserve">'</w:t>
        <w:br w:clear="none"/>
      </w:r>
      <w:r>
        <w:t xml:space="preserve"/>
        <w:br w:clear="none"/>
      </w:r>
      <w:r>
        <w:rPr>
          <w:rStyle w:val="Text10"/>
        </w:rPr>
        <w:t xml:space="preserve">class</w:t>
        <w:br w:clear="none"/>
      </w:r>
      <w:r>
        <w:t xml:space="preserve"> </w:t>
        <w:br w:clear="none"/>
      </w:r>
      <w:r>
        <w:rPr>
          <w:rStyle w:val="Text33"/>
        </w:rPr>
        <w:t xml:space="preserve">MyClass</w:t>
        <w:br w:clear="none"/>
      </w:r>
      <w:r>
        <w:rPr>
          <w:rStyle w:val="Text7"/>
        </w:rPr>
        <w:t xml:space="preserve">(</w:t>
        <w:br w:clear="none"/>
      </w:r>
      <w:r>
        <w:rPr>
          <w:rStyle w:val="Text9"/>
        </w:rPr>
        <w:t xml:space="preserve">metaclass</w:t>
        <w:br w:clear="none"/>
      </w:r>
      <w:r>
        <w:rPr>
          <w:rStyle w:val="Text13"/>
        </w:rPr>
        <w:t xml:space="preserve">=</w:t>
        <w:br w:clear="none"/>
      </w:r>
      <w:r>
        <w:rPr>
          <w:rStyle w:val="Text9"/>
        </w:rPr>
        <w:t xml:space="preserve">MyMeta</w:t>
        <w:br w:clear="none"/>
      </w:r>
      <w:r>
        <w:rPr>
          <w:rStyle w:val="Text7"/>
        </w:rPr>
        <w:t xml:space="preserve">)</w:t>
        <w:br w:clear="none"/>
        <w:t xml:space="preserve">:</w:t>
        <w:br w:clear="none"/>
      </w:r>
      <w:r>
        <w:t xml:space="preserve"/>
        <w:br w:clear="none"/>
        <w:t xml:space="preserve">    </w:t>
        <w:br w:clear="none"/>
      </w:r>
      <w:r>
        <w:rPr>
          <w:rStyle w:val="Text10"/>
        </w:rPr>
        <w:t xml:space="preserve">pass</w:t>
        <w:br w:clear="none"/>
      </w:r>
      <w:r>
        <w:t xml:space="preserve"/>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MyClass</w:t>
        <w:br w:clear="none"/>
      </w:r>
      <w:r>
        <w:rPr>
          <w:rStyle w:val="Text7"/>
        </w:rPr>
        <w:t xml:space="preserve">(</w:t>
        <w:br w:clear="none"/>
        <w:t xml:space="preserve">)</w:t>
        <w:br w:clear="none"/>
      </w:r>
      <w:r>
        <w:t xml:space="preserve"/>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t>
        <w:br w:clear="none"/>
      </w:r>
      <w:r>
        <w:rPr>
          <w:rStyle w:val="Text15"/>
        </w:rPr>
        <w:t xml:space="preserve"># prints:</w:t>
        <w:br w:clear="none"/>
      </w:r>
      <w:r>
        <w:rPr>
          <w:rStyle w:val="Text26"/>
        </w:rPr>
        <w:t xml:space="preserve"> </w:t>
        <w:br w:clear="none"/>
      </w:r>
      <w:r>
        <w:rPr>
          <w:rStyle w:val="Text15"/>
        </w:rPr>
        <w:t xml:space="preserve">Beautiful class 'MyClass'</w:t>
        <w:br w:clear="none"/>
      </w:r>
    </w:p>
    <w:p>
      <w:bookmarkStart w:id="1580" w:name="A_substantial_custom_metaclass_e"/>
      <w:pPr>
        <w:keepNext/>
        <w:pStyle w:val="Heading 2"/>
      </w:pPr>
      <w:r>
        <w:t>A substantial custom metaclass example</w:t>
      </w:r>
      <w:bookmarkEnd w:id="1580"/>
    </w:p>
    <w:p>
      <w:pPr>
        <w:pStyle w:val="Normal"/>
      </w:pPr>
      <w:r>
        <w:t>Suppose</w:t>
      </w:r>
      <w:r>
        <w:rPr>
          <w:rStyle w:val="Text111"/>
        </w:rPr>
        <w:bookmarkStart w:id="1581" w:name="idm45965280446672"/>
        <w:t/>
        <w:bookmarkEnd w:id="1581"/>
      </w:r>
      <w:r>
        <w:t xml:space="preserve"> that, programming in Python, we miss C’s </w:t>
      </w:r>
      <w:r>
        <w:rPr>
          <w:rStyle w:val="Text0"/>
        </w:rPr>
        <w:t>struct</w:t>
      </w:r>
      <w:r>
        <w:t xml:space="preserve"> type: an object that is just a bunch of data attributes, in order, with fixed names (data classes, covered in the following section, fully address this requirement, which makes this example a purely illustrative one). Python lets us easily define a generic </w:t>
      </w:r>
      <w:r>
        <w:rPr>
          <w:rStyle w:val="Text0"/>
        </w:rPr>
        <w:t>Bunch</w:t>
      </w:r>
      <w:r>
        <w:t xml:space="preserve"> class that is similar, apart from the fixed order and names:</w:t>
      </w:r>
    </w:p>
    <w:p>
      <w:pPr>
        <w:pStyle w:val="Para 014"/>
      </w:pPr>
      <w:r>
        <w:rPr>
          <w:rStyle w:val="Text116"/>
        </w:rPr>
        <w:t xml:space="preserve"/>
        <w:br w:clear="none"/>
      </w:r>
      <w:r>
        <w:rPr>
          <w:rStyle w:val="Text22"/>
        </w:rPr>
        <w:t xml:space="preserve">class</w:t>
        <w:br w:clear="none"/>
      </w:r>
      <w:r>
        <w:rPr>
          <w:rStyle w:val="Text11"/>
        </w:rPr>
        <w:t xml:space="preserve"> </w:t>
        <w:br w:clear="none"/>
      </w:r>
      <w:r>
        <w:rPr>
          <w:rStyle w:val="Text45"/>
        </w:rPr>
        <w:t xml:space="preserve">Bunch</w:t>
        <w:br w:clear="none"/>
      </w:r>
      <w:r>
        <w:rPr>
          <w:rStyle w:val="Text19"/>
        </w:rP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fields</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1"/>
        </w:rPr>
        <w:t xml:space="preserve">__dict__</w:t>
        <w:br w:clear="none"/>
        <w:t xml:space="preserve"> </w:t>
        <w:br w:clear="none"/>
      </w:r>
      <w:r>
        <w:rPr>
          <w:rStyle w:val="Text28"/>
        </w:rPr>
        <w:t xml:space="preserve">=</w:t>
        <w:br w:clear="none"/>
      </w:r>
      <w:r>
        <w:rPr>
          <w:rStyle w:val="Text11"/>
        </w:rPr>
        <w:t xml:space="preserve"> </w:t>
        <w:br w:clear="none"/>
      </w:r>
      <w:r>
        <w:rPr>
          <w:rStyle w:val="Text14"/>
        </w:rPr>
        <w:t xml:space="preserve">fields</w:t>
        <w:br w:clear="none"/>
      </w:r>
      <w:r>
        <w:rPr>
          <w:rStyle w:val="Text11"/>
        </w:rPr>
        <w:t xml:space="preserve"/>
        <w:br w:clear="none"/>
      </w:r>
      <w:r>
        <w:rPr>
          <w:rStyle w:val="Text14"/>
        </w:rPr>
        <w:t xml:space="preserve">p</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Bunch</w:t>
        <w:br w:clear="none"/>
      </w:r>
      <w:r>
        <w:rPr>
          <w:rStyle w:val="Text19"/>
        </w:rPr>
        <w:t xml:space="preserve">(</w:t>
        <w:br w:clear="none"/>
      </w:r>
      <w:r>
        <w:rPr>
          <w:rStyle w:val="Text14"/>
        </w:rPr>
        <w:t xml:space="preserve">x</w:t>
        <w:br w:clear="none"/>
      </w:r>
      <w:r>
        <w:rPr>
          <w:rStyle w:val="Text28"/>
        </w:rPr>
        <w:t xml:space="preserve">=</w:t>
        <w:br w:clear="none"/>
      </w:r>
      <w:r>
        <w:rPr>
          <w:rStyle w:val="Text35"/>
        </w:rPr>
        <w:t xml:space="preserve">2.3</w:t>
        <w:br w:clear="none"/>
      </w:r>
      <w:r>
        <w:rPr>
          <w:rStyle w:val="Text19"/>
        </w:rPr>
        <w:t xml:space="preserve">,</w:t>
        <w:br w:clear="none"/>
      </w:r>
      <w:r>
        <w:rPr>
          <w:rStyle w:val="Text11"/>
        </w:rPr>
        <w:t xml:space="preserve"> </w:t>
        <w:br w:clear="none"/>
      </w:r>
      <w:r>
        <w:rPr>
          <w:rStyle w:val="Text14"/>
        </w:rPr>
        <w:t xml:space="preserve">y</w:t>
        <w:br w:clear="none"/>
      </w:r>
      <w:r>
        <w:rPr>
          <w:rStyle w:val="Text28"/>
        </w:rPr>
        <w:t xml:space="preserve">=</w:t>
        <w:br w:clear="none"/>
      </w:r>
      <w:r>
        <w:rPr>
          <w:rStyle w:val="Text35"/>
        </w:rPr>
        <w:t xml:space="preserve">4.5</w:t>
        <w:br w:clear="none"/>
      </w:r>
      <w:r>
        <w:rPr>
          <w:rStyle w:val="Text19"/>
        </w:rPr>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p</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&lt;_main__.Bunch object at 0x00AE8B10&gt;</w:t>
        <w:br w:clear="none"/>
      </w:r>
    </w:p>
    <w:p>
      <w:pPr>
        <w:pStyle w:val="Normal"/>
      </w:pPr>
      <w:r>
        <w:t xml:space="preserve">A custom metaclass can exploit the fact that attribute names are fixed at class creation time. The code shown in </w:t>
      </w:r>
      <w:hyperlink w:anchor="Example_4_1__The_MetaBunch_metac">
        <w:r>
          <w:rPr>
            <w:rStyle w:val="Text1"/>
          </w:rPr>
          <w:t>Example 4-1</w:t>
        </w:r>
      </w:hyperlink>
      <w:r>
        <w:t xml:space="preserve"> defines a metaclass, </w:t>
      </w:r>
      <w:r>
        <w:rPr>
          <w:rStyle w:val="Text0"/>
        </w:rPr>
        <w:t>MetaBunch</w:t>
      </w:r>
      <w:r>
        <w:t xml:space="preserve">, and a class, </w:t>
      </w:r>
      <w:r>
        <w:rPr>
          <w:rStyle w:val="Text0"/>
        </w:rPr>
        <w:t>Bunch</w:t>
      </w:r>
      <w:r>
        <w:t>, to let us write code like:</w:t>
      </w:r>
    </w:p>
    <w:p>
      <w:pPr>
        <w:pStyle w:val="Para 043"/>
      </w:pPr>
      <w:r>
        <w:rPr>
          <w:rStyle w:val="Text116"/>
        </w:rPr>
        <w:t xml:space="preserve"/>
        <w:br w:clear="none"/>
      </w:r>
      <w:r>
        <w:rPr>
          <w:rStyle w:val="Text22"/>
        </w:rPr>
        <w:t xml:space="preserve">class</w:t>
        <w:br w:clear="none"/>
      </w:r>
      <w:r>
        <w:rPr>
          <w:rStyle w:val="Text11"/>
        </w:rPr>
        <w:t xml:space="preserve"> </w:t>
        <w:br w:clear="none"/>
      </w:r>
      <w:r>
        <w:rPr>
          <w:rStyle w:val="Text45"/>
        </w:rPr>
        <w:t xml:space="preserve">Point</w:t>
        <w:br w:clear="none"/>
      </w:r>
      <w:r>
        <w:rPr>
          <w:rStyle w:val="Text19"/>
        </w:rPr>
        <w:t xml:space="preserve">(</w:t>
        <w:br w:clear="none"/>
      </w:r>
      <w:r>
        <w:rPr>
          <w:rStyle w:val="Text14"/>
        </w:rPr>
        <w:t xml:space="preserve">Bunch</w:t>
        <w:br w:clear="none"/>
      </w:r>
      <w:r>
        <w:rPr>
          <w:rStyle w:val="Text19"/>
        </w:rPr>
        <w:t xml:space="preserve">)</w:t>
        <w:br w:clear="none"/>
        <w:t xml:space="preserve">:</w:t>
        <w:br w:clear="none"/>
      </w:r>
      <w:r>
        <w:rPr>
          <w:rStyle w:val="Text11"/>
        </w:rPr>
        <w:t xml:space="preserve"/>
        <w:br w:clear="none"/>
        <w:t xml:space="preserve">    </w:t>
        <w:br w:clear="none"/>
      </w:r>
      <w:r>
        <w:t xml:space="preserve">"""A Point has x and y coordinates, defaulting to 0.0,</w:t>
        <w:br w:clear="none"/>
      </w:r>
      <w:r>
        <w:rPr>
          <w:rStyle w:val="Text4"/>
        </w:rPr>
        <w:t xml:space="preserve"/>
        <w:br w:clear="none"/>
        <w:t xml:space="preserve">       </w:t>
        <w:br w:clear="none"/>
      </w:r>
      <w:r>
        <w:t xml:space="preserve">and a color, defaulting to 'gray'-and nothing more,</w:t>
        <w:br w:clear="none"/>
      </w:r>
      <w:r>
        <w:rPr>
          <w:rStyle w:val="Text4"/>
        </w:rPr>
        <w:t xml:space="preserve"/>
        <w:br w:clear="none"/>
        <w:t xml:space="preserve">       </w:t>
        <w:br w:clear="none"/>
      </w:r>
      <w:r>
        <w:t xml:space="preserve">except what Python and the metaclass conspire to add,</w:t>
        <w:br w:clear="none"/>
      </w:r>
      <w:r>
        <w:rPr>
          <w:rStyle w:val="Text4"/>
        </w:rPr>
        <w:t xml:space="preserve"/>
        <w:br w:clear="none"/>
        <w:t xml:space="preserve">       </w:t>
        <w:br w:clear="none"/>
      </w:r>
      <w:r>
        <w:t xml:space="preserve">such as __init__ and __repr__.</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0.0</w:t>
        <w:br w:clear="none"/>
      </w:r>
      <w:r>
        <w:rPr>
          <w:rStyle w:val="Text11"/>
        </w:rPr>
        <w:t xml:space="preserve"/>
        <w:br w:clear="none"/>
        <w:t xml:space="preserve">    </w:t>
        <w:br w:clear="none"/>
      </w:r>
      <w:r>
        <w:rPr>
          <w:rStyle w:val="Text14"/>
        </w:rPr>
        <w:t xml:space="preserve">y</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0.0</w:t>
        <w:br w:clear="none"/>
      </w:r>
      <w:r>
        <w:rPr>
          <w:rStyle w:val="Text11"/>
        </w:rPr>
        <w:t xml:space="preserve"/>
        <w:br w:clear="none"/>
        <w:t xml:space="preserve">    </w:t>
        <w:br w:clear="none"/>
      </w:r>
      <w:r>
        <w:rPr>
          <w:rStyle w:val="Text14"/>
        </w:rPr>
        <w:t xml:space="preserve">color</w:t>
        <w:br w:clear="none"/>
      </w:r>
      <w:r>
        <w:rPr>
          <w:rStyle w:val="Text11"/>
        </w:rPr>
        <w:t xml:space="preserve"> </w:t>
        <w:br w:clear="none"/>
      </w:r>
      <w:r>
        <w:rPr>
          <w:rStyle w:val="Text28"/>
        </w:rPr>
        <w:t xml:space="preserve">=</w:t>
        <w:br w:clear="none"/>
      </w:r>
      <w:r>
        <w:rPr>
          <w:rStyle w:val="Text11"/>
        </w:rPr>
        <w:t xml:space="preserve"> </w:t>
        <w:br w:clear="none"/>
      </w:r>
      <w:r>
        <w:rPr>
          <w:rStyle w:val="Text4"/>
        </w:rPr>
        <w:t xml:space="preserve">'</w:t>
        <w:br w:clear="none"/>
        <w:t xml:space="preserve">gray</w:t>
        <w:br w:clear="none"/>
        <w:t xml:space="preserve">'</w:t>
        <w:br w:clear="none"/>
      </w:r>
      <w:r>
        <w:rPr>
          <w:rStyle w:val="Text11"/>
        </w:rPr>
        <w:t xml:space="preserve"/>
        <w:br w:clear="none"/>
      </w:r>
      <w:r>
        <w:rPr>
          <w:rStyle w:val="Text26"/>
        </w:rPr>
        <w:t xml:space="preserve"># example uses of class Point</w:t>
        <w:br w:clear="none"/>
      </w:r>
      <w:r>
        <w:rPr>
          <w:rStyle w:val="Text11"/>
        </w:rPr>
        <w:t xml:space="preserve"/>
        <w:br w:clear="none"/>
      </w:r>
      <w:r>
        <w:rPr>
          <w:rStyle w:val="Text14"/>
        </w:rPr>
        <w:t xml:space="preserve">q</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Point</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q</w:t>
        <w:br w:clear="none"/>
      </w:r>
      <w:r>
        <w:rPr>
          <w:rStyle w:val="Text19"/>
        </w:rPr>
        <w:t xml:space="preserve">)</w:t>
        <w:br w:clear="none"/>
      </w:r>
      <w:r>
        <w:rPr>
          <w:rStyle w:val="Text11"/>
        </w:rPr>
        <w:t xml:space="preserve">                    </w:t>
        <w:br w:clear="none"/>
      </w:r>
      <w:r>
        <w:rPr>
          <w:rStyle w:val="Text26"/>
        </w:rPr>
        <w:t xml:space="preserve"># prints:</w:t>
        <w:br w:clear="none"/>
      </w:r>
      <w:r>
        <w:rPr>
          <w:rStyle w:val="Text15"/>
        </w:rPr>
        <w:t xml:space="preserve"> </w:t>
        <w:br w:clear="none"/>
      </w:r>
      <w:r>
        <w:rPr>
          <w:rStyle w:val="Text26"/>
        </w:rPr>
        <w:t xml:space="preserve">Point()</w:t>
        <w:br w:clear="none"/>
      </w:r>
      <w:r>
        <w:rPr>
          <w:rStyle w:val="Text11"/>
        </w:rPr>
        <w:t xml:space="preserve"/>
        <w:br w:clear="none"/>
      </w:r>
      <w:r>
        <w:rPr>
          <w:rStyle w:val="Text14"/>
        </w:rPr>
        <w:t xml:space="preserve">p</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Point</w:t>
        <w:br w:clear="none"/>
      </w:r>
      <w:r>
        <w:rPr>
          <w:rStyle w:val="Text19"/>
        </w:rPr>
        <w:t xml:space="preserve">(</w:t>
        <w:br w:clear="none"/>
      </w:r>
      <w:r>
        <w:rPr>
          <w:rStyle w:val="Text14"/>
        </w:rPr>
        <w:t xml:space="preserve">x</w:t>
        <w:br w:clear="none"/>
      </w:r>
      <w:r>
        <w:rPr>
          <w:rStyle w:val="Text28"/>
        </w:rPr>
        <w:t xml:space="preserve">=</w:t>
        <w:br w:clear="none"/>
      </w:r>
      <w:r>
        <w:rPr>
          <w:rStyle w:val="Text35"/>
        </w:rPr>
        <w:t xml:space="preserve">1.2</w:t>
        <w:br w:clear="none"/>
      </w:r>
      <w:r>
        <w:rPr>
          <w:rStyle w:val="Text19"/>
        </w:rPr>
        <w:t xml:space="preserve">,</w:t>
        <w:br w:clear="none"/>
      </w:r>
      <w:r>
        <w:rPr>
          <w:rStyle w:val="Text11"/>
        </w:rPr>
        <w:t xml:space="preserve"> </w:t>
        <w:br w:clear="none"/>
      </w:r>
      <w:r>
        <w:rPr>
          <w:rStyle w:val="Text14"/>
        </w:rPr>
        <w:t xml:space="preserve">y</w:t>
        <w:br w:clear="none"/>
      </w:r>
      <w:r>
        <w:rPr>
          <w:rStyle w:val="Text28"/>
        </w:rPr>
        <w:t xml:space="preserve">=</w:t>
        <w:br w:clear="none"/>
      </w:r>
      <w:r>
        <w:rPr>
          <w:rStyle w:val="Text35"/>
        </w:rPr>
        <w:t xml:space="preserve">3.4</w:t>
        <w:br w:clear="none"/>
      </w:r>
      <w:r>
        <w:rPr>
          <w:rStyle w:val="Text19"/>
        </w:rPr>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p</w:t>
        <w:br w:clear="none"/>
      </w:r>
      <w:r>
        <w:rPr>
          <w:rStyle w:val="Text19"/>
        </w:rPr>
        <w:t xml:space="preserve">)</w:t>
        <w:br w:clear="none"/>
      </w:r>
      <w:r>
        <w:rPr>
          <w:rStyle w:val="Text11"/>
        </w:rPr>
        <w:t xml:space="preserve">                    </w:t>
        <w:br w:clear="none"/>
      </w:r>
      <w:r>
        <w:rPr>
          <w:rStyle w:val="Text26"/>
        </w:rPr>
        <w:t xml:space="preserve"># prints:</w:t>
        <w:br w:clear="none"/>
      </w:r>
      <w:r>
        <w:rPr>
          <w:rStyle w:val="Text15"/>
        </w:rPr>
        <w:t xml:space="preserve"> </w:t>
        <w:br w:clear="none"/>
      </w:r>
      <w:r>
        <w:rPr>
          <w:rStyle w:val="Text26"/>
        </w:rPr>
        <w:t xml:space="preserve">Point(x=1.2, y=3.4)</w:t>
        <w:br w:clear="none"/>
      </w:r>
    </w:p>
    <w:p>
      <w:pPr>
        <w:pStyle w:val="Normal"/>
      </w:pPr>
      <w:r>
        <w:t xml:space="preserve">In this code, the </w:t>
      </w:r>
      <w:r>
        <w:rPr>
          <w:rStyle w:val="Text0"/>
        </w:rPr>
        <w:t>print</w:t>
      </w:r>
      <w:r>
        <w:t xml:space="preserve"> calls emit readable string representations of our </w:t>
      </w:r>
      <w:r>
        <w:rPr>
          <w:rStyle w:val="Text0"/>
        </w:rPr>
        <w:t>Point</w:t>
      </w:r>
      <w:r>
        <w:t xml:space="preserve"> instances. </w:t>
      </w:r>
      <w:r>
        <w:rPr>
          <w:rStyle w:val="Text0"/>
        </w:rPr>
        <w:t>Point</w:t>
      </w:r>
      <w:r>
        <w:t xml:space="preserve"> instances are quite memory lean, and their performance is basically the same as for instances of the simple class </w:t>
      </w:r>
      <w:r>
        <w:rPr>
          <w:rStyle w:val="Text0"/>
        </w:rPr>
        <w:t>Bunch</w:t>
      </w:r>
      <w:r>
        <w:t xml:space="preserve"> in the previous example (there is no extra overhead due to implicit calls to special methods). </w:t>
      </w:r>
      <w:hyperlink w:anchor="Example_4_1__The_MetaBunch_metac">
        <w:r>
          <w:rPr>
            <w:rStyle w:val="Text1"/>
          </w:rPr>
          <w:t>Example 4-1</w:t>
        </w:r>
      </w:hyperlink>
      <w:r>
        <w:t xml:space="preserve"> is quite substantial, and following all its details requires a grasp of aspects of Python discussed later in this book, such as strings (covered in </w:t>
      </w:r>
      <w:hyperlink w:anchor="Chapter_9__Strings_and_Things__P_2">
        <w:r>
          <w:rPr>
            <w:rStyle w:val="Text1"/>
          </w:rPr>
          <w:t>Chapter 9</w:t>
        </w:r>
      </w:hyperlink>
      <w:r>
        <w:t xml:space="preserve">) and module warnings (covered in </w:t>
      </w:r>
      <w:hyperlink w:anchor="The_warnings_Module__Warnings_ar">
        <w:r>
          <w:rPr>
            <w:rStyle w:val="Text1"/>
          </w:rPr>
          <w:t>“The warnings Module”</w:t>
        </w:r>
      </w:hyperlink>
      <w:r>
        <w:t xml:space="preserve">). The identifier </w:t>
      </w:r>
      <w:r>
        <w:rPr>
          <w:rStyle w:val="Text0"/>
        </w:rPr>
        <w:t>mcl</w:t>
      </w:r>
      <w:r>
        <w:t xml:space="preserve"> used in </w:t>
      </w:r>
      <w:hyperlink w:anchor="Example_4_1__The_MetaBunch_metac">
        <w:r>
          <w:rPr>
            <w:rStyle w:val="Text1"/>
          </w:rPr>
          <w:t>Example 4-1</w:t>
        </w:r>
      </w:hyperlink>
      <w:r>
        <w:t xml:space="preserve"> stands for “metaclass,” clearer in this special advanced case than the habitual case of </w:t>
      </w:r>
      <w:r>
        <w:rPr>
          <w:rStyle w:val="Text0"/>
        </w:rPr>
        <w:t>cls</w:t>
      </w:r>
      <w:r>
        <w:t xml:space="preserve"> standing for “class.”</w:t>
      </w:r>
    </w:p>
    <w:p>
      <w:bookmarkStart w:id="1582" w:name="Example_4_1__The_MetaBunch_metac"/>
      <w:pPr>
        <w:keepNext/>
        <w:pStyle w:val="Heading 4"/>
      </w:pPr>
      <w:r>
        <w:t xml:space="preserve">Example 4-1. </w:t>
        <w:t xml:space="preserve">The </w:t>
      </w:r>
      <w:r>
        <w:rPr>
          <w:rStyle w:val="Text0"/>
        </w:rPr>
        <w:t>MetaBunch</w:t>
      </w:r>
      <w:r>
        <w:t xml:space="preserve"> metaclass</w:t>
      </w:r>
      <w:bookmarkEnd w:id="1582"/>
    </w:p>
    <w:p>
      <w:pPr>
        <w:pStyle w:val="Para 043"/>
      </w:pPr>
      <w:r>
        <w:rPr>
          <w:rStyle w:val="Text116"/>
        </w:rPr>
        <w:t xml:space="preserve"/>
        <w:br w:clear="none"/>
      </w:r>
      <w:r>
        <w:rPr>
          <w:rStyle w:val="Text22"/>
        </w:rPr>
        <w:t xml:space="preserve">import</w:t>
        <w:br w:clear="none"/>
      </w:r>
      <w:r>
        <w:rPr>
          <w:rStyle w:val="Text11"/>
        </w:rPr>
        <w:t xml:space="preserve"> </w:t>
        <w:br w:clear="none"/>
      </w:r>
      <w:r>
        <w:rPr>
          <w:rStyle w:val="Text53"/>
        </w:rPr>
        <w:t xml:space="preserve">warnings</w:t>
        <w:br w:clear="none"/>
      </w:r>
      <w:r>
        <w:rPr>
          <w:rStyle w:val="Text11"/>
        </w:rPr>
        <w:t xml:space="preserve"/>
        <w:br w:clear="none"/>
      </w:r>
      <w:r>
        <w:rPr>
          <w:rStyle w:val="Text22"/>
        </w:rPr>
        <w:t xml:space="preserve">class</w:t>
        <w:br w:clear="none"/>
      </w:r>
      <w:r>
        <w:rPr>
          <w:rStyle w:val="Text11"/>
        </w:rPr>
        <w:t xml:space="preserve"> </w:t>
        <w:br w:clear="none"/>
      </w:r>
      <w:r>
        <w:rPr>
          <w:rStyle w:val="Text45"/>
        </w:rPr>
        <w:t xml:space="preserve">MetaBunch</w:t>
        <w:br w:clear="none"/>
      </w:r>
      <w:r>
        <w:rPr>
          <w:rStyle w:val="Text19"/>
        </w:rPr>
        <w:t xml:space="preserve">(</w:t>
        <w:br w:clear="none"/>
      </w:r>
      <w:r>
        <w:rPr>
          <w:rStyle w:val="Text21"/>
        </w:rPr>
        <w:t xml:space="preserve">type</w:t>
        <w:br w:clear="none"/>
      </w:r>
      <w:r>
        <w:rPr>
          <w:rStyle w:val="Text19"/>
        </w:rPr>
        <w:t xml:space="preserve">)</w:t>
        <w:br w:clear="none"/>
        <w:t xml:space="preserve">:</w:t>
        <w:br w:clear="none"/>
      </w:r>
      <w:r>
        <w:rPr>
          <w:rStyle w:val="Text11"/>
        </w:rPr>
        <w:t xml:space="preserve"/>
        <w:br w:clear="none"/>
        <w:t xml:space="preserve">    </w:t>
        <w:br w:clear="none"/>
      </w:r>
      <w:r>
        <w:t xml:space="preserve">"""</w:t>
        <w:br w:clear="none"/>
      </w:r>
      <w:r>
        <w:rPr>
          <w:rStyle w:val="Text4"/>
        </w:rPr>
        <w:t xml:space="preserve"/>
        <w:br w:clear="none"/>
        <w:t xml:space="preserve">    </w:t>
        <w:br w:clear="none"/>
      </w:r>
      <w:r>
        <w:t xml:space="preserve">Metaclass for new and improved "Bunch": implicitly defines</w:t>
        <w:br w:clear="none"/>
      </w:r>
      <w:r>
        <w:rPr>
          <w:rStyle w:val="Text4"/>
        </w:rPr>
        <w:t xml:space="preserve"/>
        <w:br w:clear="none"/>
        <w:t xml:space="preserve">    </w:t>
        <w:br w:clear="none"/>
      </w:r>
      <w:r>
        <w:t xml:space="preserve">__slots__, __init__, and __repr__ from variables bound in</w:t>
        <w:br w:clear="none"/>
      </w:r>
      <w:r>
        <w:rPr>
          <w:rStyle w:val="Text4"/>
        </w:rPr>
        <w:t xml:space="preserve"/>
        <w:br w:clear="none"/>
        <w:t xml:space="preserve">    </w:t>
        <w:br w:clear="none"/>
      </w:r>
      <w:r>
        <w:t xml:space="preserve">class scope.</w:t>
        <w:br w:clear="none"/>
      </w:r>
      <w:r>
        <w:rPr>
          <w:rStyle w:val="Text4"/>
        </w:rPr>
        <w:t xml:space="preserve"/>
        <w:br w:clear="none"/>
        <w:t xml:space="preserve">    </w:t>
        <w:br w:clear="none"/>
      </w:r>
      <w:r>
        <w:t xml:space="preserve">A class statement for an instance of MetaBunch (i.e., for a</w:t>
        <w:br w:clear="none"/>
      </w:r>
      <w:r>
        <w:rPr>
          <w:rStyle w:val="Text4"/>
        </w:rPr>
        <w:t xml:space="preserve"/>
        <w:br w:clear="none"/>
        <w:t xml:space="preserve">    </w:t>
        <w:br w:clear="none"/>
      </w:r>
      <w:r>
        <w:t xml:space="preserve">class whose metaclass is MetaBunch) must define only</w:t>
        <w:br w:clear="none"/>
      </w:r>
      <w:r>
        <w:rPr>
          <w:rStyle w:val="Text4"/>
        </w:rPr>
        <w:t xml:space="preserve"/>
        <w:br w:clear="none"/>
        <w:t xml:space="preserve">    </w:t>
        <w:br w:clear="none"/>
      </w:r>
      <w:r>
        <w:t xml:space="preserve">class-scope data attributes (and possibly special methods, but</w:t>
        <w:br w:clear="none"/>
      </w:r>
      <w:r>
        <w:rPr>
          <w:rStyle w:val="Text4"/>
        </w:rPr>
        <w:t xml:space="preserve"/>
        <w:br w:clear="none"/>
        <w:t xml:space="preserve">    </w:t>
        <w:br w:clear="none"/>
      </w:r>
      <w:r>
        <w:t xml:space="preserve">NOT __init__ and __repr__). MetaBunch removes the data</w:t>
        <w:br w:clear="none"/>
      </w:r>
      <w:r>
        <w:rPr>
          <w:rStyle w:val="Text4"/>
        </w:rPr>
        <w:t xml:space="preserve"/>
        <w:br w:clear="none"/>
        <w:t xml:space="preserve">    </w:t>
        <w:br w:clear="none"/>
      </w:r>
      <w:r>
        <w:t xml:space="preserve">attributes from class scope, snuggles them instead as items in</w:t>
        <w:br w:clear="none"/>
      </w:r>
      <w:r>
        <w:rPr>
          <w:rStyle w:val="Text4"/>
        </w:rPr>
        <w:t xml:space="preserve"/>
        <w:br w:clear="none"/>
        <w:t xml:space="preserve">    </w:t>
        <w:br w:clear="none"/>
      </w:r>
      <w:r>
        <w:t xml:space="preserve">a class-scope dict named __dflts__, and puts in the class a</w:t>
        <w:br w:clear="none"/>
      </w:r>
      <w:r>
        <w:rPr>
          <w:rStyle w:val="Text4"/>
        </w:rPr>
        <w:t xml:space="preserve"/>
        <w:br w:clear="none"/>
        <w:t xml:space="preserve">    </w:t>
        <w:br w:clear="none"/>
      </w:r>
      <w:r>
        <w:t xml:space="preserve">__slots__ with those attributes' names, an __init__ that takes</w:t>
        <w:br w:clear="none"/>
      </w:r>
      <w:r>
        <w:rPr>
          <w:rStyle w:val="Text4"/>
        </w:rPr>
        <w:t xml:space="preserve"/>
        <w:br w:clear="none"/>
        <w:t xml:space="preserve">    </w:t>
        <w:br w:clear="none"/>
      </w:r>
      <w:r>
        <w:t xml:space="preserve">as optional named arguments each of them (using the values in</w:t>
        <w:br w:clear="none"/>
      </w:r>
      <w:r>
        <w:rPr>
          <w:rStyle w:val="Text4"/>
        </w:rPr>
        <w:t xml:space="preserve"/>
        <w:br w:clear="none"/>
        <w:t xml:space="preserve">    </w:t>
        <w:br w:clear="none"/>
      </w:r>
      <w:r>
        <w:t xml:space="preserve">__dflts__ as defaults for missing ones), and a __repr__ that</w:t>
        <w:br w:clear="none"/>
      </w:r>
      <w:r>
        <w:rPr>
          <w:rStyle w:val="Text4"/>
        </w:rPr>
        <w:t xml:space="preserve"/>
        <w:br w:clear="none"/>
        <w:t xml:space="preserve">    </w:t>
        <w:br w:clear="none"/>
      </w:r>
      <w:r>
        <w:t xml:space="preserve">shows the repr of each attribute that differs from its default</w:t>
        <w:br w:clear="none"/>
      </w:r>
      <w:r>
        <w:rPr>
          <w:rStyle w:val="Text4"/>
        </w:rPr>
        <w:t xml:space="preserve"/>
        <w:br w:clear="none"/>
        <w:t xml:space="preserve">    </w:t>
        <w:br w:clear="none"/>
      </w:r>
      <w:r>
        <w:t xml:space="preserve">value (the output of __repr__ can be passed to __eval__ to make</w:t>
        <w:br w:clear="none"/>
      </w:r>
      <w:r>
        <w:rPr>
          <w:rStyle w:val="Text4"/>
        </w:rPr>
        <w:t xml:space="preserve"/>
        <w:br w:clear="none"/>
        <w:t xml:space="preserve">    </w:t>
        <w:br w:clear="none"/>
      </w:r>
      <w:r>
        <w:t xml:space="preserve">an equal instance, as per usual convention in the matter, if</w:t>
        <w:br w:clear="none"/>
      </w:r>
      <w:r>
        <w:rPr>
          <w:rStyle w:val="Text4"/>
        </w:rPr>
        <w:t xml:space="preserve"/>
        <w:br w:clear="none"/>
        <w:t xml:space="preserve">    </w:t>
        <w:br w:clear="none"/>
      </w:r>
      <w:r>
        <w:t xml:space="preserve">each non-default-valued attribute respects that convention too).</w:t>
        <w:br w:clear="none"/>
      </w:r>
      <w:r>
        <w:rPr>
          <w:rStyle w:val="Text4"/>
        </w:rPr>
        <w:t xml:space="preserve"/>
        <w:br w:clear="none"/>
        <w:t xml:space="preserve">    </w:t>
        <w:br w:clear="none"/>
      </w:r>
      <w:r>
        <w:t xml:space="preserve">The order of data attributes remains the same as in the</w:t>
        <w:br w:clear="none"/>
      </w:r>
      <w:r>
        <w:rPr>
          <w:rStyle w:val="Text4"/>
        </w:rPr>
        <w:t xml:space="preserve"> </w:t>
        <w:br w:clear="none"/>
      </w:r>
      <w:r>
        <w:t xml:space="preserve">class body.</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__new__</w:t>
        <w:br w:clear="none"/>
      </w:r>
      <w:r>
        <w:rPr>
          <w:rStyle w:val="Text19"/>
        </w:rPr>
        <w:t xml:space="preserve">(</w:t>
        <w:br w:clear="none"/>
      </w:r>
      <w:r>
        <w:rPr>
          <w:rStyle w:val="Text14"/>
        </w:rPr>
        <w:t xml:space="preserve">mcl</w:t>
        <w:br w:clear="none"/>
      </w:r>
      <w:r>
        <w:rPr>
          <w:rStyle w:val="Text19"/>
        </w:rPr>
        <w:t xml:space="preserve">,</w:t>
        <w:br w:clear="none"/>
      </w:r>
      <w:r>
        <w:rPr>
          <w:rStyle w:val="Text11"/>
        </w:rPr>
        <w:t xml:space="preserve"> </w:t>
        <w:br w:clear="none"/>
      </w:r>
      <w:r>
        <w:rPr>
          <w:rStyle w:val="Text14"/>
        </w:rPr>
        <w:t xml:space="preserve">classname</w:t>
        <w:br w:clear="none"/>
      </w:r>
      <w:r>
        <w:rPr>
          <w:rStyle w:val="Text19"/>
        </w:rPr>
        <w:t xml:space="preserve">,</w:t>
        <w:br w:clear="none"/>
      </w:r>
      <w:r>
        <w:rPr>
          <w:rStyle w:val="Text11"/>
        </w:rPr>
        <w:t xml:space="preserve"> </w:t>
        <w:br w:clear="none"/>
      </w:r>
      <w:r>
        <w:rPr>
          <w:rStyle w:val="Text14"/>
        </w:rPr>
        <w:t xml:space="preserve">bases</w:t>
        <w:br w:clear="none"/>
      </w:r>
      <w:r>
        <w:rPr>
          <w:rStyle w:val="Text19"/>
        </w:rPr>
        <w:t xml:space="preserve">,</w:t>
        <w:br w:clear="none"/>
      </w:r>
      <w:r>
        <w:rPr>
          <w:rStyle w:val="Text11"/>
        </w:rPr>
        <w:t xml:space="preserve"> </w:t>
        <w:br w:clear="none"/>
      </w:r>
      <w:r>
        <w:rPr>
          <w:rStyle w:val="Text14"/>
        </w:rPr>
        <w:t xml:space="preserve">classdict</w:t>
        <w:br w:clear="none"/>
      </w:r>
      <w:r>
        <w:rPr>
          <w:rStyle w:val="Text19"/>
        </w:rPr>
        <w:t xml:space="preserve">)</w:t>
        <w:br w:clear="none"/>
        <w:t xml:space="preserve">:</w:t>
        <w:br w:clear="none"/>
      </w:r>
      <w:r>
        <w:rPr>
          <w:rStyle w:val="Text11"/>
        </w:rPr>
        <w:t xml:space="preserve"/>
        <w:br w:clear="none"/>
        <w:t xml:space="preserve">        </w:t>
        <w:br w:clear="none"/>
      </w:r>
      <w:r>
        <w:t xml:space="preserve">"""Everything needs to be done in __new__, since</w:t>
        <w:br w:clear="none"/>
      </w:r>
      <w:r>
        <w:rPr>
          <w:rStyle w:val="Text4"/>
        </w:rPr>
        <w:t xml:space="preserve"/>
        <w:br w:clear="none"/>
        <w:t xml:space="preserve">           </w:t>
        <w:br w:clear="none"/>
      </w:r>
      <w:r>
        <w:t xml:space="preserve">type.__new__ is where __slots__ are taken into account.</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26"/>
        </w:rPr>
        <w:t xml:space="preserve"># Define as local functions the __init__ and __repr__ that</w:t>
        <w:br w:clear="none"/>
      </w:r>
      <w:r>
        <w:rPr>
          <w:rStyle w:val="Text11"/>
        </w:rPr>
        <w:t xml:space="preserve"/>
        <w:br w:clear="none"/>
        <w:t xml:space="preserve">        </w:t>
        <w:br w:clear="none"/>
      </w:r>
      <w:r>
        <w:rPr>
          <w:rStyle w:val="Text26"/>
        </w:rPr>
        <w:t xml:space="preserve"># we'll use in the new class</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kw</w:t>
        <w:br w:clear="none"/>
      </w:r>
      <w:r>
        <w:rPr>
          <w:rStyle w:val="Text19"/>
        </w:rPr>
        <w:t xml:space="preserve">)</w:t>
        <w:br w:clear="none"/>
        <w:t xml:space="preserve">:</w:t>
        <w:br w:clear="none"/>
      </w:r>
      <w:r>
        <w:rPr>
          <w:rStyle w:val="Text11"/>
        </w:rPr>
        <w:t xml:space="preserve"/>
        <w:br w:clear="none"/>
        <w:t xml:space="preserve">            </w:t>
        <w:br w:clear="none"/>
      </w:r>
      <w:r>
        <w:t xml:space="preserve">"""__init__ is simple: first, set attributes without</w:t>
        <w:br w:clear="none"/>
      </w:r>
      <w:r>
        <w:rPr>
          <w:rStyle w:val="Text4"/>
        </w:rPr>
        <w:t xml:space="preserve"/>
        <w:br w:clear="none"/>
      </w:r>
      <w:r>
        <w:t xml:space="preserve">               explicit values to their defaults; then, set</w:t>
        <w:br w:clear="none"/>
      </w:r>
      <w:r>
        <w:rPr>
          <w:rStyle w:val="Text4"/>
        </w:rPr>
        <w:t xml:space="preserve"> </w:t>
        <w:br w:clear="none"/>
      </w:r>
      <w:r>
        <w:t xml:space="preserve">those</w:t>
        <w:br w:clear="none"/>
      </w:r>
      <w:r>
        <w:rPr>
          <w:rStyle w:val="Text4"/>
        </w:rPr>
        <w:t xml:space="preserve"/>
        <w:br w:clear="none"/>
      </w:r>
      <w:r>
        <w:t xml:space="preserve">               explicitly</w:t>
        <w:br w:clear="none"/>
      </w:r>
      <w:r>
        <w:rPr>
          <w:rStyle w:val="Text4"/>
        </w:rPr>
        <w:t xml:space="preserve"> </w:t>
        <w:br w:clear="none"/>
      </w:r>
      <w:r>
        <w:t xml:space="preserve">passed in kw.</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__dflts__</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51"/>
        </w:rPr>
        <w:t xml:space="preserve">not</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kw</w:t>
        <w:br w:clear="none"/>
      </w:r>
      <w:r>
        <w:rPr>
          <w:rStyle w:val="Text19"/>
        </w:rPr>
        <w:t xml:space="preserve">:</w:t>
        <w:br w:clear="none"/>
      </w:r>
      <w:r>
        <w:rPr>
          <w:rStyle w:val="Text11"/>
        </w:rPr>
        <w:t xml:space="preserve"/>
        <w:br w:clear="none"/>
        <w:t xml:space="preserve">                    </w:t>
        <w:br w:clear="none"/>
      </w:r>
      <w:r>
        <w:rPr>
          <w:rStyle w:val="Text21"/>
        </w:rPr>
        <w:t xml:space="preserve">setattr</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k</w:t>
        <w:br w:clear="none"/>
      </w:r>
      <w:r>
        <w:rPr>
          <w:rStyle w:val="Text19"/>
        </w:rPr>
        <w:t xml:space="preserve">,</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__dflts__</w:t>
        <w:br w:clear="none"/>
      </w:r>
      <w:r>
        <w:rPr>
          <w:rStyle w:val="Text19"/>
        </w:rPr>
        <w:t xml:space="preserve">[</w:t>
        <w:br w:clear="none"/>
      </w:r>
      <w:r>
        <w:rPr>
          <w:rStyle w:val="Text14"/>
        </w:rPr>
        <w:t xml:space="preserve">k</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kw</w:t>
        <w:br w:clear="none"/>
      </w:r>
      <w:r>
        <w:rPr>
          <w:rStyle w:val="Text19"/>
        </w:rPr>
        <w:t xml:space="preserve">:</w:t>
        <w:br w:clear="none"/>
      </w:r>
      <w:r>
        <w:rPr>
          <w:rStyle w:val="Text11"/>
        </w:rPr>
        <w:t xml:space="preserve"/>
        <w:br w:clear="none"/>
        <w:t xml:space="preserve">                </w:t>
        <w:br w:clear="none"/>
      </w:r>
      <w:r>
        <w:rPr>
          <w:rStyle w:val="Text21"/>
        </w:rPr>
        <w:t xml:space="preserve">setattr</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k</w:t>
        <w:br w:clear="none"/>
      </w:r>
      <w:r>
        <w:rPr>
          <w:rStyle w:val="Text19"/>
        </w:rPr>
        <w:t xml:space="preserve">,</w:t>
        <w:br w:clear="none"/>
      </w:r>
      <w:r>
        <w:rPr>
          <w:rStyle w:val="Text11"/>
        </w:rPr>
        <w:t xml:space="preserve"> </w:t>
        <w:br w:clear="none"/>
      </w:r>
      <w:r>
        <w:rPr>
          <w:rStyle w:val="Text14"/>
        </w:rPr>
        <w:t xml:space="preserve">kw</w:t>
        <w:br w:clear="none"/>
      </w:r>
      <w:r>
        <w:rPr>
          <w:rStyle w:val="Text19"/>
        </w:rPr>
        <w:t xml:space="preserve">[</w:t>
        <w:br w:clear="none"/>
      </w:r>
      <w:r>
        <w:rPr>
          <w:rStyle w:val="Text14"/>
        </w:rPr>
        <w:t xml:space="preserve">k</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__repr__</w:t>
        <w:br w:clear="none"/>
      </w:r>
      <w:r>
        <w:rPr>
          <w:rStyle w:val="Text19"/>
        </w:rPr>
        <w:t xml:space="preserve">(</w:t>
        <w:br w:clear="none"/>
      </w:r>
      <w:r>
        <w:rPr>
          <w:rStyle w:val="Text21"/>
        </w:rPr>
        <w:t xml:space="preserve">self</w:t>
        <w:br w:clear="none"/>
      </w:r>
      <w:r>
        <w:rPr>
          <w:rStyle w:val="Text19"/>
        </w:rPr>
        <w:t xml:space="preserve">)</w:t>
        <w:br w:clear="none"/>
        <w:t xml:space="preserve">:</w:t>
        <w:br w:clear="none"/>
      </w:r>
      <w:r>
        <w:rPr>
          <w:rStyle w:val="Text11"/>
        </w:rPr>
        <w:t xml:space="preserve"/>
        <w:br w:clear="none"/>
        <w:t xml:space="preserve">            </w:t>
        <w:br w:clear="none"/>
      </w:r>
      <w:r>
        <w:t xml:space="preserve">"""__repr__ is minimal: shows only attributes that</w:t>
        <w:br w:clear="none"/>
      </w:r>
      <w:r>
        <w:rPr>
          <w:rStyle w:val="Text4"/>
        </w:rPr>
        <w:t xml:space="preserve"/>
        <w:br w:clear="none"/>
        <w:t xml:space="preserve">               </w:t>
        <w:br w:clear="none"/>
      </w:r>
      <w:r>
        <w:t xml:space="preserve">differ</w:t>
        <w:br w:clear="none"/>
      </w:r>
      <w:r>
        <w:rPr>
          <w:rStyle w:val="Text4"/>
        </w:rPr>
        <w:t xml:space="preserve"> </w:t>
        <w:br w:clear="none"/>
      </w:r>
      <w:r>
        <w:t xml:space="preserve">from default values, for compactness.</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14"/>
        </w:rPr>
        <w:t xml:space="preserve">rep</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1"/>
        </w:rPr>
        <w:t xml:space="preserve">f</w:t>
        <w:br w:clear="none"/>
      </w:r>
      <w:r>
        <w:rPr>
          <w:rStyle w:val="Text4"/>
        </w:rPr>
        <w:t xml:space="preserve">'</w:t>
        <w:br w:clear="none"/>
      </w:r>
      <w:r>
        <w:rPr>
          <w:rStyle w:val="Text64"/>
        </w:rPr>
        <w:t xml:space="preserve">{</w:t>
        <w:br w:clear="none"/>
      </w:r>
      <w:r>
        <w:rPr>
          <w:rStyle w:val="Text14"/>
        </w:rPr>
        <w:t xml:space="preserve">k</w:t>
        <w:br w:clear="none"/>
      </w:r>
      <w:r>
        <w:rPr>
          <w:rStyle w:val="Text64"/>
        </w:rPr>
        <w:t xml:space="preserve">}</w:t>
        <w:br w:clear="none"/>
      </w:r>
      <w:r>
        <w:rPr>
          <w:rStyle w:val="Text4"/>
        </w:rPr>
        <w:t xml:space="preserve">=</w:t>
        <w:br w:clear="none"/>
      </w:r>
      <w:r>
        <w:rPr>
          <w:rStyle w:val="Text64"/>
        </w:rPr>
        <w:t xml:space="preserve">{</w:t>
        <w:br w:clear="none"/>
      </w:r>
      <w:r>
        <w:rPr>
          <w:rStyle w:val="Text21"/>
        </w:rPr>
        <w:t xml:space="preserve">getattr</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k</w:t>
        <w:br w:clear="none"/>
      </w:r>
      <w:r>
        <w:rPr>
          <w:rStyle w:val="Text19"/>
        </w:rPr>
        <w:t xml:space="preserve">)</w:t>
        <w:br w:clear="none"/>
      </w:r>
      <w:r>
        <w:rPr>
          <w:rStyle w:val="Text64"/>
        </w:rPr>
        <w:t xml:space="preserve">!r}</w:t>
        <w:br w:clear="none"/>
      </w:r>
      <w:r>
        <w:rPr>
          <w:rStyle w:val="Text4"/>
        </w:rPr>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__dflts__</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21"/>
        </w:rPr>
        <w:t xml:space="preserve">getattr</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k</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__dflts__</w:t>
        <w:br w:clear="none"/>
      </w:r>
      <w:r>
        <w:rPr>
          <w:rStyle w:val="Text19"/>
        </w:rPr>
        <w:t xml:space="preserve">[</w:t>
        <w:br w:clear="none"/>
      </w:r>
      <w:r>
        <w:rPr>
          <w:rStyle w:val="Text14"/>
        </w:rPr>
        <w:t xml:space="preserve">k</w:t>
        <w:br w:clear="none"/>
      </w:r>
      <w:r>
        <w:rPr>
          <w:rStyle w:val="Text19"/>
        </w:rPr>
        <w:t xml:space="preserve">]</w:t>
        <w:br w:clear="none"/>
      </w:r>
      <w:r>
        <w:rPr>
          <w:rStyle w:val="Text11"/>
        </w:rPr>
        <w:t xml:space="preserve"/>
        <w:br w:clear="none"/>
        <w:t xml:space="preserve">                  </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t xml:space="preserve">f</w:t>
        <w:br w:clear="none"/>
      </w:r>
      <w:r>
        <w:rPr>
          <w:rStyle w:val="Text4"/>
        </w:rPr>
        <w:t xml:space="preserve">'</w:t>
        <w:br w:clear="none"/>
      </w:r>
      <w:r>
        <w:rPr>
          <w:rStyle w:val="Text64"/>
        </w:rPr>
        <w:t xml:space="preserve">{</w:t>
        <w:br w:clear="none"/>
      </w:r>
      <w:r>
        <w:rPr>
          <w:rStyle w:val="Text14"/>
        </w:rPr>
        <w:t xml:space="preserve">classname</w:t>
        <w:br w:clear="none"/>
      </w:r>
      <w:r>
        <w:rPr>
          <w:rStyle w:val="Text64"/>
        </w:rPr>
        <w:t xml:space="preserve">}</w:t>
        <w:br w:clear="none"/>
      </w:r>
      <w:r>
        <w:rPr>
          <w:rStyle w:val="Text4"/>
        </w:rPr>
        <w:t xml:space="preserve">(</w:t>
        <w:br w:clear="none"/>
      </w:r>
      <w:r>
        <w:rPr>
          <w:rStyle w:val="Text64"/>
        </w:rPr>
        <w:t xml:space="preserve">{</w:t>
        <w:br w:clear="none"/>
      </w:r>
      <w:r>
        <w:rPr>
          <w:rStyle w:val="Text4"/>
        </w:rPr>
        <w:t xml:space="preserve">'</w:t>
        <w:br w:clear="none"/>
        <w:t xml:space="preserve">, </w:t>
        <w:br w:clear="none"/>
        <w:t xml:space="preserve">'</w:t>
        <w:br w:clear="none"/>
      </w:r>
      <w:r>
        <w:rPr>
          <w:rStyle w:val="Text28"/>
        </w:rPr>
        <w:t xml:space="preserve">.</w:t>
        <w:br w:clear="none"/>
      </w:r>
      <w:r>
        <w:rPr>
          <w:rStyle w:val="Text14"/>
        </w:rPr>
        <w:t xml:space="preserve">join</w:t>
        <w:br w:clear="none"/>
      </w:r>
      <w:r>
        <w:rPr>
          <w:rStyle w:val="Text19"/>
        </w:rPr>
        <w:t xml:space="preserve">(</w:t>
        <w:br w:clear="none"/>
      </w:r>
      <w:r>
        <w:rPr>
          <w:rStyle w:val="Text14"/>
        </w:rPr>
        <w:t xml:space="preserve">rep</w:t>
        <w:br w:clear="none"/>
      </w:r>
      <w:r>
        <w:rPr>
          <w:rStyle w:val="Text19"/>
        </w:rPr>
        <w:t xml:space="preserve">)</w:t>
        <w:br w:clear="none"/>
      </w:r>
      <w:r>
        <w:rPr>
          <w:rStyle w:val="Text64"/>
        </w:rPr>
        <w:t xml:space="preserve">}</w:t>
        <w:br w:clear="none"/>
      </w:r>
      <w:r>
        <w:rPr>
          <w:rStyle w:val="Text4"/>
        </w:rPr>
        <w:t xml:space="preserve">)</w:t>
        <w:br w:clear="none"/>
        <w:t xml:space="preserve">'</w:t>
        <w:br w:clear="none"/>
      </w:r>
      <w:r>
        <w:rPr>
          <w:rStyle w:val="Text11"/>
        </w:rPr>
        <w:t xml:space="preserve"/>
        <w:br w:clear="none"/>
        <w:t xml:space="preserve">        </w:t>
        <w:br w:clear="none"/>
      </w:r>
      <w:r>
        <w:rPr>
          <w:rStyle w:val="Text26"/>
        </w:rPr>
        <w:t xml:space="preserve"># Build the newdict that we'll use as class dict for the</w:t>
        <w:br w:clear="none"/>
      </w:r>
      <w:r>
        <w:rPr>
          <w:rStyle w:val="Text11"/>
        </w:rPr>
        <w:t xml:space="preserve"/>
        <w:br w:clear="none"/>
        <w:t xml:space="preserve">        </w:t>
        <w:br w:clear="none"/>
      </w:r>
      <w:r>
        <w:rPr>
          <w:rStyle w:val="Text26"/>
        </w:rPr>
        <w:t xml:space="preserve"># new class</w:t>
        <w:br w:clear="none"/>
      </w:r>
      <w:r>
        <w:rPr>
          <w:rStyle w:val="Text11"/>
        </w:rPr>
        <w:t xml:space="preserve"/>
        <w:br w:clear="none"/>
        <w:t xml:space="preserve">        </w:t>
        <w:br w:clear="none"/>
      </w:r>
      <w:r>
        <w:rPr>
          <w:rStyle w:val="Text14"/>
        </w:rPr>
        <w:t xml:space="preserve">newdict</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4"/>
        </w:rPr>
        <w:t xml:space="preserve">'</w:t>
        <w:br w:clear="none"/>
        <w:t xml:space="preserve">__slots__</w:t>
        <w:br w:clear="none"/>
        <w:t xml:space="preserve">'</w:t>
        <w:br w:clear="none"/>
      </w:r>
      <w:r>
        <w:rPr>
          <w:rStyle w:val="Text19"/>
        </w:rPr>
        <w:t xml:space="preserve">:</w:t>
        <w:br w:clear="none"/>
      </w:r>
      <w:r>
        <w:rPr>
          <w:rStyle w:val="Text11"/>
        </w:rPr>
        <w:t xml:space="preserve"> </w:t>
        <w:br w:clear="none"/>
      </w:r>
      <w:r>
        <w:rPr>
          <w:rStyle w:val="Text19"/>
        </w:rPr>
        <w:t xml:space="preserve">[</w:t>
        <w:br w:clear="none"/>
        <w:t xml:space="preserve">]</w:t>
        <w:br w:clear="none"/>
        <w:t xml:space="preserve">,</w:t>
        <w:br w:clear="none"/>
      </w:r>
      <w:r>
        <w:rPr>
          <w:rStyle w:val="Text11"/>
        </w:rPr>
        <w:t xml:space="preserve"> </w:t>
        <w:br w:clear="none"/>
      </w:r>
      <w:r>
        <w:rPr>
          <w:rStyle w:val="Text4"/>
        </w:rPr>
        <w:t xml:space="preserve">'</w:t>
        <w:br w:clear="none"/>
        <w:t xml:space="preserve">__dflts__</w:t>
        <w:br w:clear="none"/>
        <w:t xml:space="preserve">'</w:t>
        <w:br w:clear="none"/>
      </w:r>
      <w:r>
        <w:rPr>
          <w:rStyle w:val="Text19"/>
        </w:rPr>
        <w:t xml:space="preserve">:</w:t>
        <w:br w:clear="none"/>
      </w:r>
      <w:r>
        <w:rPr>
          <w:rStyle w:val="Text11"/>
        </w:rPr>
        <w:t xml:space="preserve"> </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4"/>
        </w:rPr>
        <w:t xml:space="preserve">'</w:t>
        <w:br w:clear="none"/>
        <w:t xml:space="preserve">__init__</w:t>
        <w:br w:clear="none"/>
        <w:t xml:space="preserve">'</w:t>
        <w:br w:clear="none"/>
      </w:r>
      <w:r>
        <w:rPr>
          <w:rStyle w:val="Text19"/>
        </w:rPr>
        <w:t xml:space="preserve">:</w:t>
        <w:br w:clear="none"/>
      </w:r>
      <w:r>
        <w:rPr>
          <w:rStyle w:val="Text11"/>
        </w:rPr>
        <w:t xml:space="preserve"> </w:t>
        <w:br w:clear="none"/>
        <w:t xml:space="preserve">__init__</w:t>
        <w:br w:clear="none"/>
      </w:r>
      <w:r>
        <w:rPr>
          <w:rStyle w:val="Text19"/>
        </w:rPr>
        <w:t xml:space="preserve">,</w:t>
        <w:br w:clear="none"/>
      </w:r>
      <w:r>
        <w:rPr>
          <w:rStyle w:val="Text11"/>
        </w:rPr>
        <w:t xml:space="preserve"> </w:t>
        <w:br w:clear="none"/>
      </w:r>
      <w:r>
        <w:rPr>
          <w:rStyle w:val="Text4"/>
        </w:rPr>
        <w:t xml:space="preserve">'</w:t>
        <w:br w:clear="none"/>
        <w:t xml:space="preserve">__repr__</w:t>
        <w:br w:clear="none"/>
        <w:t xml:space="preserve">'</w:t>
        <w:br w:clear="none"/>
      </w:r>
      <w:r>
        <w:rPr>
          <w:rStyle w:val="Text11"/>
        </w:rPr>
        <w:t xml:space="preserve"> </w:t>
        <w:br w:clear="none"/>
      </w:r>
      <w:r>
        <w:rPr>
          <w:rStyle w:val="Text19"/>
        </w:rPr>
        <w:t xml:space="preserve">:</w:t>
        <w:br w:clear="none"/>
      </w:r>
      <w:r>
        <w:rPr>
          <w:rStyle w:val="Text11"/>
        </w:rPr>
        <w:t xml:space="preserve">__repr__</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classdict</w:t>
        <w:br w:clear="none"/>
      </w:r>
      <w:r>
        <w:rPr>
          <w:rStyle w:val="Text19"/>
        </w:rPr>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4"/>
        </w:rPr>
        <w:t xml:space="preserve">k</w:t>
        <w:br w:clear="none"/>
      </w:r>
      <w:r>
        <w:rPr>
          <w:rStyle w:val="Text28"/>
        </w:rPr>
        <w:t xml:space="preserve">.</w:t>
        <w:br w:clear="none"/>
      </w:r>
      <w:r>
        <w:rPr>
          <w:rStyle w:val="Text14"/>
        </w:rPr>
        <w:t xml:space="preserve">startswith</w:t>
        <w:br w:clear="none"/>
      </w:r>
      <w:r>
        <w:rPr>
          <w:rStyle w:val="Text19"/>
        </w:rPr>
        <w:t xml:space="preserve">(</w:t>
        <w:br w:clear="none"/>
      </w:r>
      <w:r>
        <w:rPr>
          <w:rStyle w:val="Text4"/>
        </w:rPr>
        <w:t xml:space="preserve">'</w:t>
        <w:br w:clear="none"/>
        <w:t xml:space="preserve">__</w:t>
        <w:br w:clear="none"/>
        <w:t xml:space="preserve">'</w:t>
        <w:br w:clear="none"/>
      </w:r>
      <w:r>
        <w:rPr>
          <w:rStyle w:val="Text19"/>
        </w:rPr>
        <w:t xml:space="preserve">)</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k</w:t>
        <w:br w:clear="none"/>
      </w:r>
      <w:r>
        <w:rPr>
          <w:rStyle w:val="Text28"/>
        </w:rPr>
        <w:t xml:space="preserve">.</w:t>
        <w:br w:clear="none"/>
      </w:r>
      <w:r>
        <w:rPr>
          <w:rStyle w:val="Text14"/>
        </w:rPr>
        <w:t xml:space="preserve">endswith</w:t>
        <w:br w:clear="none"/>
      </w:r>
      <w:r>
        <w:rPr>
          <w:rStyle w:val="Text19"/>
        </w:rPr>
        <w:t xml:space="preserve">(</w:t>
        <w:br w:clear="none"/>
      </w:r>
      <w:r>
        <w:rPr>
          <w:rStyle w:val="Text4"/>
        </w:rPr>
        <w:t xml:space="preserve">'</w:t>
        <w:br w:clear="none"/>
        <w:t xml:space="preserve">__</w:t>
        <w:br w:clear="none"/>
        <w:t xml:space="preserve">'</w:t>
        <w:br w:clear="none"/>
      </w:r>
      <w:r>
        <w:rPr>
          <w:rStyle w:val="Text19"/>
        </w:rPr>
        <w:t xml:space="preserve">)</w:t>
        <w:br w:clear="none"/>
        <w:t xml:space="preserve">:</w:t>
        <w:br w:clear="none"/>
      </w:r>
      <w:r>
        <w:rPr>
          <w:rStyle w:val="Text11"/>
        </w:rPr>
        <w:t xml:space="preserve"/>
        <w:br w:clear="none"/>
        <w:t xml:space="preserve">                </w:t>
        <w:br w:clear="none"/>
      </w:r>
      <w:r>
        <w:rPr>
          <w:rStyle w:val="Text26"/>
        </w:rPr>
        <w:t xml:space="preserve"># Dunder methods: copy to newdict, or warn</w:t>
        <w:br w:clear="none"/>
      </w:r>
      <w:r>
        <w:rPr>
          <w:rStyle w:val="Text11"/>
        </w:rPr>
        <w:t xml:space="preserve"/>
        <w:br w:clear="none"/>
        <w:t xml:space="preserve">                </w:t>
        <w:br w:clear="none"/>
      </w:r>
      <w:r>
        <w:rPr>
          <w:rStyle w:val="Text26"/>
        </w:rPr>
        <w:t xml:space="preserve"># about conflicts</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4"/>
        </w:rPr>
        <w:t xml:space="preserve">k</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newdict</w:t>
        <w:br w:clear="none"/>
      </w:r>
      <w:r>
        <w:rPr>
          <w:rStyle w:val="Text19"/>
        </w:rPr>
        <w:t xml:space="preserve">:</w:t>
        <w:br w:clear="none"/>
      </w:r>
      <w:r>
        <w:rPr>
          <w:rStyle w:val="Text11"/>
        </w:rPr>
        <w:t xml:space="preserve"/>
        <w:br w:clear="none"/>
        <w:t xml:space="preserve">                    </w:t>
        <w:br w:clear="none"/>
      </w:r>
      <w:r>
        <w:rPr>
          <w:rStyle w:val="Text14"/>
        </w:rPr>
        <w:t xml:space="preserve">warnings</w:t>
        <w:br w:clear="none"/>
      </w:r>
      <w:r>
        <w:rPr>
          <w:rStyle w:val="Text28"/>
        </w:rPr>
        <w:t xml:space="preserve">.</w:t>
        <w:br w:clear="none"/>
      </w:r>
      <w:r>
        <w:rPr>
          <w:rStyle w:val="Text14"/>
        </w:rPr>
        <w:t xml:space="preserve">warn</w:t>
        <w:br w:clear="none"/>
      </w:r>
      <w:r>
        <w:rPr>
          <w:rStyle w:val="Text19"/>
        </w:rPr>
        <w:t xml:space="preserve">(</w:t>
        <w:br w:clear="none"/>
      </w:r>
      <w:r>
        <w:rPr>
          <w:rStyle w:val="Text11"/>
        </w:rPr>
        <w:t xml:space="preserve">f</w:t>
        <w:br w:clear="none"/>
      </w:r>
      <w:r>
        <w:rPr>
          <w:rStyle w:val="Text4"/>
        </w:rPr>
        <w:t xml:space="preserve">'</w:t>
        <w:br w:clear="none"/>
        <w:t xml:space="preserve">Cannot set attr </w:t>
        <w:br w:clear="none"/>
      </w:r>
      <w:r>
        <w:rPr>
          <w:rStyle w:val="Text64"/>
        </w:rPr>
        <w:t xml:space="preserve">{</w:t>
        <w:br w:clear="none"/>
      </w:r>
      <w:r>
        <w:rPr>
          <w:rStyle w:val="Text14"/>
        </w:rPr>
        <w:t xml:space="preserve">k</w:t>
        <w:br w:clear="none"/>
      </w:r>
      <w:r>
        <w:rPr>
          <w:rStyle w:val="Text64"/>
        </w:rPr>
        <w:t xml:space="preserve">!r}</w:t>
        <w:br w:clear="none"/>
      </w:r>
      <w:r>
        <w:rPr>
          <w:rStyle w:val="Text4"/>
        </w:rPr>
        <w:t xml:space="preserve">'</w:t>
        <w:br w:clear="none"/>
      </w:r>
      <w:r>
        <w:rPr>
          <w:rStyle w:val="Text11"/>
        </w:rPr>
        <w:t xml:space="preserve"/>
        <w:br w:clear="none"/>
        <w:t xml:space="preserve">                                  </w:t>
        <w:br w:clear="none"/>
        <w:t xml:space="preserve">f</w:t>
        <w:br w:clear="none"/>
      </w:r>
      <w:r>
        <w:rPr>
          <w:rStyle w:val="Text4"/>
        </w:rPr>
        <w:t xml:space="preserve">'</w:t>
        <w:br w:clear="none"/>
        <w:t xml:space="preserve"> in bunch-class </w:t>
        <w:br w:clear="none"/>
      </w:r>
      <w:r>
        <w:rPr>
          <w:rStyle w:val="Text64"/>
        </w:rPr>
        <w:t xml:space="preserve">{</w:t>
        <w:br w:clear="none"/>
      </w:r>
      <w:r>
        <w:rPr>
          <w:rStyle w:val="Text14"/>
        </w:rPr>
        <w:t xml:space="preserve">classname</w:t>
        <w:br w:clear="none"/>
      </w:r>
      <w:r>
        <w:rPr>
          <w:rStyle w:val="Text64"/>
        </w:rPr>
        <w:t xml:space="preserve">!r}</w:t>
        <w:br w:clear="none"/>
      </w:r>
      <w:r>
        <w:rPr>
          <w:rStyle w:val="Text4"/>
        </w:rPr>
        <w:t xml:space="preserve">'</w:t>
        <w:br w:clear="none"/>
      </w:r>
      <w:r>
        <w:rPr>
          <w:rStyle w:val="Text19"/>
        </w:rPr>
        <w:t xml:space="preserve">)</w:t>
        <w:br w:clear="none"/>
      </w:r>
      <w:r>
        <w:rPr>
          <w:rStyle w:val="Text11"/>
        </w:rPr>
        <w:t xml:space="preserve"/>
        <w:br w:clear="none"/>
      </w:r>
      <w:r>
        <w:rPr>
          <w:rStyle w:val="Text59"/>
        </w:rPr>
        <w:t xml:space="preserve">               </w:t>
        <w:br w:clear="none"/>
      </w:r>
      <w:r>
        <w:rPr>
          <w:rStyle w:val="Text11"/>
        </w:rPr>
        <w:t xml:space="preserve"> </w:t>
        <w:br w:clear="none"/>
      </w:r>
      <w:r>
        <w:rPr>
          <w:rStyle w:val="Text22"/>
        </w:rPr>
        <w:t xml:space="preserve">else</w:t>
        <w:br w:clear="none"/>
      </w:r>
      <w:r>
        <w:rPr>
          <w:rStyle w:val="Text51"/>
        </w:rPr>
        <w:t xml:space="preserve">:</w:t>
        <w:br w:clear="none"/>
      </w:r>
      <w:r>
        <w:rPr>
          <w:rStyle w:val="Text11"/>
        </w:rPr>
        <w:t xml:space="preserve"/>
        <w:br w:clear="none"/>
        <w:t xml:space="preserve">                    </w:t>
        <w:br w:clear="none"/>
      </w:r>
      <w:r>
        <w:rPr>
          <w:rStyle w:val="Text14"/>
        </w:rPr>
        <w:t xml:space="preserve">newdict</w:t>
        <w:br w:clear="none"/>
      </w:r>
      <w:r>
        <w:rPr>
          <w:rStyle w:val="Text19"/>
        </w:rPr>
        <w:t xml:space="preserve">[</w:t>
        <w:br w:clear="none"/>
      </w:r>
      <w:r>
        <w:rPr>
          <w:rStyle w:val="Text14"/>
        </w:rPr>
        <w:t xml:space="preserve">k</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classdict</w:t>
        <w:br w:clear="none"/>
      </w:r>
      <w:r>
        <w:rPr>
          <w:rStyle w:val="Text19"/>
        </w:rPr>
        <w:t xml:space="preserve">[</w:t>
        <w:br w:clear="none"/>
      </w:r>
      <w:r>
        <w:rPr>
          <w:rStyle w:val="Text14"/>
        </w:rPr>
        <w:t xml:space="preserve">k</w:t>
        <w:br w:clear="none"/>
      </w:r>
      <w:r>
        <w:rPr>
          <w:rStyle w:val="Text19"/>
        </w:rPr>
        <w:t xml:space="preserve">]</w:t>
        <w:br w:clear="none"/>
      </w:r>
      <w:r>
        <w:rPr>
          <w:rStyle w:val="Text11"/>
        </w:rPr>
        <w:t xml:space="preserve"/>
        <w:br w:clear="none"/>
      </w:r>
      <w:r>
        <w:rPr>
          <w:rStyle w:val="Text59"/>
        </w:rPr>
        <w:t xml:space="preserve">           </w:t>
        <w:br w:clear="none"/>
      </w:r>
      <w:r>
        <w:rPr>
          <w:rStyle w:val="Text11"/>
        </w:rPr>
        <w:t xml:space="preserve"> </w:t>
        <w:br w:clear="none"/>
      </w:r>
      <w:r>
        <w:rPr>
          <w:rStyle w:val="Text22"/>
        </w:rPr>
        <w:t xml:space="preserve">else</w:t>
        <w:br w:clear="none"/>
      </w:r>
      <w:r>
        <w:rPr>
          <w:rStyle w:val="Text51"/>
        </w:rPr>
        <w:t xml:space="preserve">:</w:t>
        <w:br w:clear="none"/>
      </w:r>
      <w:r>
        <w:rPr>
          <w:rStyle w:val="Text11"/>
        </w:rPr>
        <w:t xml:space="preserve"/>
        <w:br w:clear="none"/>
        <w:t xml:space="preserve">                </w:t>
        <w:br w:clear="none"/>
      </w:r>
      <w:r>
        <w:rPr>
          <w:rStyle w:val="Text26"/>
        </w:rPr>
        <w:t xml:space="preserve"># Class variables: store name in __slots__, and</w:t>
        <w:br w:clear="none"/>
      </w:r>
      <w:r>
        <w:rPr>
          <w:rStyle w:val="Text11"/>
        </w:rPr>
        <w:t xml:space="preserve"/>
        <w:br w:clear="none"/>
        <w:t xml:space="preserve">                </w:t>
        <w:br w:clear="none"/>
      </w:r>
      <w:r>
        <w:rPr>
          <w:rStyle w:val="Text26"/>
        </w:rPr>
        <w:t xml:space="preserve"># name and value as an item in __dflts__</w:t>
        <w:br w:clear="none"/>
      </w:r>
      <w:r>
        <w:rPr>
          <w:rStyle w:val="Text11"/>
        </w:rPr>
        <w:t xml:space="preserve"/>
        <w:br w:clear="none"/>
        <w:t xml:space="preserve">                </w:t>
        <w:br w:clear="none"/>
      </w:r>
      <w:r>
        <w:rPr>
          <w:rStyle w:val="Text14"/>
        </w:rPr>
        <w:t xml:space="preserve">newdict</w:t>
        <w:br w:clear="none"/>
      </w:r>
      <w:r>
        <w:rPr>
          <w:rStyle w:val="Text19"/>
        </w:rPr>
        <w:t xml:space="preserve">[</w:t>
        <w:br w:clear="none"/>
      </w:r>
      <w:r>
        <w:rPr>
          <w:rStyle w:val="Text4"/>
        </w:rPr>
        <w:t xml:space="preserve">'</w:t>
        <w:br w:clear="none"/>
        <w:t xml:space="preserve">__slots__</w:t>
        <w:br w:clear="none"/>
        <w:t xml:space="preserve">'</w:t>
        <w:br w:clear="none"/>
      </w:r>
      <w:r>
        <w:rPr>
          <w:rStyle w:val="Text19"/>
        </w:rPr>
        <w:t xml:space="preserve">]</w:t>
        <w:br w:clear="none"/>
      </w:r>
      <w:r>
        <w:rPr>
          <w:rStyle w:val="Text28"/>
        </w:rPr>
        <w:t xml:space="preserve">.</w:t>
        <w:br w:clear="none"/>
      </w:r>
      <w:r>
        <w:rPr>
          <w:rStyle w:val="Text14"/>
        </w:rPr>
        <w:t xml:space="preserve">append</w:t>
        <w:br w:clear="none"/>
      </w:r>
      <w:r>
        <w:rPr>
          <w:rStyle w:val="Text19"/>
        </w:rPr>
        <w:t xml:space="preserve">(</w:t>
        <w:br w:clear="none"/>
      </w:r>
      <w:r>
        <w:rPr>
          <w:rStyle w:val="Text14"/>
        </w:rPr>
        <w:t xml:space="preserve">k</w:t>
        <w:br w:clear="none"/>
      </w:r>
      <w:r>
        <w:rPr>
          <w:rStyle w:val="Text19"/>
        </w:rPr>
        <w:t xml:space="preserve">)</w:t>
        <w:br w:clear="none"/>
      </w:r>
      <w:r>
        <w:rPr>
          <w:rStyle w:val="Text11"/>
        </w:rPr>
        <w:t xml:space="preserve"/>
        <w:br w:clear="none"/>
        <w:t xml:space="preserve">                </w:t>
        <w:br w:clear="none"/>
      </w:r>
      <w:r>
        <w:rPr>
          <w:rStyle w:val="Text14"/>
        </w:rPr>
        <w:t xml:space="preserve">newdict</w:t>
        <w:br w:clear="none"/>
      </w:r>
      <w:r>
        <w:rPr>
          <w:rStyle w:val="Text19"/>
        </w:rPr>
        <w:t xml:space="preserve">[</w:t>
        <w:br w:clear="none"/>
      </w:r>
      <w:r>
        <w:rPr>
          <w:rStyle w:val="Text4"/>
        </w:rPr>
        <w:t xml:space="preserve">'</w:t>
        <w:br w:clear="none"/>
        <w:t xml:space="preserve">__dflts__</w:t>
        <w:br w:clear="none"/>
        <w:t xml:space="preserve">'</w:t>
        <w:br w:clear="none"/>
      </w:r>
      <w:r>
        <w:rPr>
          <w:rStyle w:val="Text19"/>
        </w:rPr>
        <w:t xml:space="preserve">]</w:t>
        <w:br w:clear="none"/>
        <w:t xml:space="preserve">[</w:t>
        <w:br w:clear="none"/>
      </w:r>
      <w:r>
        <w:rPr>
          <w:rStyle w:val="Text14"/>
        </w:rPr>
        <w:t xml:space="preserve">k</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classdict</w:t>
        <w:br w:clear="none"/>
      </w:r>
      <w:r>
        <w:rPr>
          <w:rStyle w:val="Text19"/>
        </w:rPr>
        <w:t xml:space="preserve">[</w:t>
        <w:br w:clear="none"/>
      </w:r>
      <w:r>
        <w:rPr>
          <w:rStyle w:val="Text14"/>
        </w:rPr>
        <w:t xml:space="preserve">k</w:t>
        <w:br w:clear="none"/>
      </w:r>
      <w:r>
        <w:rPr>
          <w:rStyle w:val="Text19"/>
        </w:rPr>
        <w:t xml:space="preserve">]</w:t>
        <w:br w:clear="none"/>
      </w:r>
      <w:r>
        <w:rPr>
          <w:rStyle w:val="Text11"/>
        </w:rPr>
        <w:t xml:space="preserve"/>
        <w:br w:clear="none"/>
        <w:t xml:space="preserve">        </w:t>
        <w:br w:clear="none"/>
      </w:r>
      <w:r>
        <w:rPr>
          <w:rStyle w:val="Text26"/>
        </w:rPr>
        <w:t xml:space="preserve"># Finally, delegate the rest of the work to type.__new__</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super</w:t>
        <w:br w:clear="none"/>
      </w:r>
      <w:r>
        <w:rPr>
          <w:rStyle w:val="Text19"/>
        </w:rPr>
        <w:t xml:space="preserve">(</w:t>
        <w:br w:clear="none"/>
        <w:t xml:space="preserve">)</w:t>
        <w:br w:clear="none"/>
      </w:r>
      <w:r>
        <w:rPr>
          <w:rStyle w:val="Text28"/>
        </w:rPr>
        <w:t xml:space="preserve">.</w:t>
        <w:br w:clear="none"/>
      </w:r>
      <w:r>
        <w:rPr>
          <w:rStyle w:val="Text11"/>
        </w:rPr>
        <w:t xml:space="preserve">__new__</w:t>
        <w:br w:clear="none"/>
      </w:r>
      <w:r>
        <w:rPr>
          <w:rStyle w:val="Text19"/>
        </w:rPr>
        <w:t xml:space="preserve">(</w:t>
        <w:br w:clear="none"/>
      </w:r>
      <w:r>
        <w:rPr>
          <w:rStyle w:val="Text14"/>
        </w:rPr>
        <w:t xml:space="preserve">mcl</w:t>
        <w:br w:clear="none"/>
      </w:r>
      <w:r>
        <w:rPr>
          <w:rStyle w:val="Text19"/>
        </w:rPr>
        <w:t xml:space="preserve">,</w:t>
        <w:br w:clear="none"/>
      </w:r>
      <w:r>
        <w:rPr>
          <w:rStyle w:val="Text11"/>
        </w:rPr>
        <w:t xml:space="preserve"> </w:t>
        <w:br w:clear="none"/>
      </w:r>
      <w:r>
        <w:rPr>
          <w:rStyle w:val="Text14"/>
        </w:rPr>
        <w:t xml:space="preserve">classname</w:t>
        <w:br w:clear="none"/>
      </w:r>
      <w:r>
        <w:rPr>
          <w:rStyle w:val="Text19"/>
        </w:rPr>
        <w:t xml:space="preserve">,</w:t>
        <w:br w:clear="none"/>
      </w:r>
      <w:r>
        <w:rPr>
          <w:rStyle w:val="Text11"/>
        </w:rPr>
        <w:t xml:space="preserve"> </w:t>
        <w:br w:clear="none"/>
      </w:r>
      <w:r>
        <w:rPr>
          <w:rStyle w:val="Text14"/>
        </w:rPr>
        <w:t xml:space="preserve">bases</w:t>
        <w:br w:clear="none"/>
      </w:r>
      <w:r>
        <w:rPr>
          <w:rStyle w:val="Text19"/>
        </w:rPr>
        <w:t xml:space="preserve">,</w:t>
        <w:br w:clear="none"/>
      </w:r>
      <w:r>
        <w:rPr>
          <w:rStyle w:val="Text11"/>
        </w:rPr>
        <w:t xml:space="preserve"> </w:t>
        <w:br w:clear="none"/>
      </w:r>
      <w:r>
        <w:rPr>
          <w:rStyle w:val="Text14"/>
        </w:rPr>
        <w:t xml:space="preserve">newdict</w:t>
        <w:br w:clear="none"/>
      </w:r>
      <w:r>
        <w:rPr>
          <w:rStyle w:val="Text19"/>
        </w:rPr>
        <w:t xml:space="preserve">)</w:t>
        <w:br w:clear="none"/>
      </w:r>
      <w:r>
        <w:rPr>
          <w:rStyle w:val="Text11"/>
        </w:rPr>
        <w:t xml:space="preserve"/>
        <w:br w:clear="none"/>
        <w:t xml:space="preserve"/>
        <w:br w:clear="none"/>
      </w:r>
      <w:r>
        <w:rPr>
          <w:rStyle w:val="Text22"/>
        </w:rPr>
        <w:t xml:space="preserve">class</w:t>
        <w:br w:clear="none"/>
      </w:r>
      <w:r>
        <w:rPr>
          <w:rStyle w:val="Text11"/>
        </w:rPr>
        <w:t xml:space="preserve"> </w:t>
        <w:br w:clear="none"/>
      </w:r>
      <w:r>
        <w:rPr>
          <w:rStyle w:val="Text45"/>
        </w:rPr>
        <w:t xml:space="preserve">Bunch</w:t>
        <w:br w:clear="none"/>
      </w:r>
      <w:r>
        <w:rPr>
          <w:rStyle w:val="Text19"/>
        </w:rPr>
        <w:t xml:space="preserve">(</w:t>
        <w:br w:clear="none"/>
      </w:r>
      <w:r>
        <w:rPr>
          <w:rStyle w:val="Text14"/>
        </w:rPr>
        <w:t xml:space="preserve">metaclass</w:t>
        <w:br w:clear="none"/>
      </w:r>
      <w:r>
        <w:rPr>
          <w:rStyle w:val="Text28"/>
        </w:rPr>
        <w:t xml:space="preserve">=</w:t>
        <w:br w:clear="none"/>
      </w:r>
      <w:r>
        <w:rPr>
          <w:rStyle w:val="Text14"/>
        </w:rPr>
        <w:t xml:space="preserve">MetaBunch</w:t>
        <w:br w:clear="none"/>
      </w:r>
      <w:r>
        <w:rPr>
          <w:rStyle w:val="Text19"/>
        </w:rPr>
        <w:t xml:space="preserve">)</w:t>
        <w:br w:clear="none"/>
        <w:t xml:space="preserve">:</w:t>
        <w:br w:clear="none"/>
      </w:r>
      <w:r>
        <w:rPr>
          <w:rStyle w:val="Text11"/>
        </w:rPr>
        <w:t xml:space="preserve"/>
        <w:br w:clear="none"/>
        <w:t xml:space="preserve">    </w:t>
        <w:br w:clear="none"/>
      </w:r>
      <w:r>
        <w:t xml:space="preserve">"""For convenience: inheriting from Bunch can be used to get</w:t>
        <w:br w:clear="none"/>
      </w:r>
      <w:r>
        <w:rPr>
          <w:rStyle w:val="Text4"/>
        </w:rPr>
        <w:t xml:space="preserve"/>
        <w:br w:clear="none"/>
        <w:t xml:space="preserve">       </w:t>
        <w:br w:clear="none"/>
      </w:r>
      <w:r>
        <w:t xml:space="preserve">the new metaclass (same as defining metaclass= yourself).</w:t>
        <w:br w:clear="none"/>
      </w:r>
      <w:r>
        <w:rPr>
          <w:rStyle w:val="Text4"/>
        </w:rPr>
        <w:t xml:space="preserve"/>
        <w:br w:clear="none"/>
        <w:t xml:space="preserve">    </w:t>
        <w:br w:clear="none"/>
      </w:r>
      <w:r>
        <w:t xml:space="preserve">"""</w:t>
        <w:br w:clear="none"/>
      </w:r>
      <w:r>
        <w:rPr>
          <w:rStyle w:val="Text11"/>
        </w:rPr>
        <w:t xml:space="preserve"/>
        <w:br w:clear="none"/>
      </w:r>
      <w:r>
        <w:rPr>
          <w:rStyle w:val="Text59"/>
        </w:rPr>
        <w:t xml:space="preserve">   </w:t>
        <w:br w:clear="none"/>
      </w:r>
      <w:r>
        <w:rPr>
          <w:rStyle w:val="Text11"/>
        </w:rPr>
        <w:t xml:space="preserve"> </w:t>
        <w:br w:clear="none"/>
      </w:r>
      <w:r>
        <w:rPr>
          <w:rStyle w:val="Text22"/>
        </w:rPr>
        <w:t xml:space="preserve">pass</w:t>
        <w:br w:clear="none"/>
      </w:r>
    </w:p>
    <w:p>
      <w:bookmarkStart w:id="1583" w:name="Data_Classes__As_the_previous_Bu"/>
      <w:pPr>
        <w:keepNext/>
        <w:pStyle w:val="Heading 2"/>
      </w:pPr>
      <w:r>
        <w:t>Data Classes</w:t>
      </w:r>
      <w:bookmarkEnd w:id="1583"/>
    </w:p>
    <w:p>
      <w:pPr>
        <w:pStyle w:val="Normal"/>
      </w:pPr>
      <w:r>
        <w:t>As</w:t>
      </w:r>
      <w:r>
        <w:rPr>
          <w:rStyle w:val="Text111"/>
        </w:rPr>
        <w:bookmarkStart w:id="1584" w:name="idm45965253502272"/>
        <w:t/>
        <w:bookmarkEnd w:id="1584"/>
        <w:bookmarkStart w:id="1585" w:name="idm45965253501056"/>
        <w:t/>
        <w:bookmarkEnd w:id="1585"/>
        <w:bookmarkStart w:id="1586" w:name="idm45965253499840"/>
        <w:t/>
        <w:bookmarkEnd w:id="1586"/>
      </w:r>
      <w:r>
        <w:t xml:space="preserve"> the previous </w:t>
      </w:r>
      <w:r>
        <w:rPr>
          <w:rStyle w:val="Text0"/>
        </w:rPr>
        <w:t>Bunch</w:t>
      </w:r>
      <w:r>
        <w:t xml:space="preserve"> class exemplified, a class whose instances are just a bunch of named data items is a great convenience. Python’s standard library covers that with the </w:t>
      </w:r>
      <w:r>
        <w:rPr>
          <w:rStyle w:val="Text0"/>
        </w:rPr>
        <w:t>dataclasses</w:t>
      </w:r>
      <w:r>
        <w:t xml:space="preserve"> module.</w:t>
      </w:r>
    </w:p>
    <w:p>
      <w:pPr>
        <w:pStyle w:val="Normal"/>
      </w:pPr>
      <w:r>
        <w:t xml:space="preserve">The main feature of the </w:t>
      </w:r>
      <w:r>
        <w:rPr>
          <w:rStyle w:val="Text0"/>
        </w:rPr>
        <w:t>dataclasses</w:t>
      </w:r>
      <w:r>
        <w:t xml:space="preserve"> module you’ll be using is the </w:t>
      </w:r>
      <w:r>
        <w:rPr>
          <w:rStyle w:val="Text0"/>
        </w:rPr>
        <w:t>dataclass</w:t>
      </w:r>
      <w:r>
        <w:t xml:space="preserve"> function: a decorator you apply to any class whose instances you want to be just such a bunch of named data items. As a typical example, consider the following code:</w:t>
      </w:r>
    </w:p>
    <w:p>
      <w:pPr>
        <w:pStyle w:val="Para 018"/>
      </w:pPr>
      <w:r>
        <w:rPr>
          <w:rStyle w:val="Text104"/>
        </w:rPr>
        <w:t xml:space="preserve"/>
        <w:br w:clear="none"/>
      </w:r>
      <w:r>
        <w:rPr>
          <w:rStyle w:val="Text10"/>
        </w:rPr>
        <w:t xml:space="preserve">import</w:t>
        <w:br w:clear="none"/>
      </w:r>
      <w:r>
        <w:t xml:space="preserve"> </w:t>
        <w:br w:clear="none"/>
      </w:r>
      <w:r>
        <w:rPr>
          <w:rStyle w:val="Text20"/>
        </w:rPr>
        <w:t xml:space="preserve">dataclasses</w:t>
        <w:br w:clear="none"/>
      </w:r>
      <w:r>
        <w:t xml:space="preserve"/>
        <w:br w:clear="none"/>
      </w:r>
      <w:r>
        <w:rPr>
          <w:rStyle w:val="Text112"/>
        </w:rPr>
        <w:t xml:space="preserve">@</w:t>
        <w:br w:clear="none"/>
      </w:r>
      <w:r>
        <w:rPr>
          <w:rStyle w:val="Text44"/>
        </w:rPr>
        <w:t xml:space="preserve">dataclasses</w:t>
        <w:br w:clear="none"/>
      </w:r>
      <w:r>
        <w:rPr>
          <w:rStyle w:val="Text13"/>
        </w:rPr>
        <w:t xml:space="preserve">.</w:t>
        <w:br w:clear="none"/>
      </w:r>
      <w:r>
        <w:rPr>
          <w:rStyle w:val="Text9"/>
        </w:rPr>
        <w:t xml:space="preserve">dataclass</w:t>
        <w:br w:clear="none"/>
      </w:r>
      <w:r>
        <w:t xml:space="preserve"/>
        <w:br w:clear="none"/>
      </w:r>
      <w:r>
        <w:rPr>
          <w:rStyle w:val="Text10"/>
        </w:rPr>
        <w:t xml:space="preserve">class</w:t>
        <w:br w:clear="none"/>
      </w:r>
      <w:r>
        <w:t xml:space="preserve"> </w:t>
        <w:br w:clear="none"/>
      </w:r>
      <w:r>
        <w:rPr>
          <w:rStyle w:val="Text33"/>
        </w:rPr>
        <w:t xml:space="preserve">Point</w:t>
        <w:br w:clear="none"/>
      </w:r>
      <w:r>
        <w:rPr>
          <w:rStyle w:val="Text7"/>
        </w:rPr>
        <w:t xml:space="preserve">:</w:t>
        <w:br w:clear="none"/>
      </w:r>
      <w:r>
        <w:t xml:space="preserve"/>
        <w:br w:clear="none"/>
        <w:t xml:space="preserve">    </w:t>
        <w:br w:clear="none"/>
      </w:r>
      <w:r>
        <w:rPr>
          <w:rStyle w:val="Text9"/>
        </w:rPr>
        <w:t xml:space="preserve">x</w:t>
        <w:br w:clear="none"/>
      </w:r>
      <w:r>
        <w:rPr>
          <w:rStyle w:val="Text7"/>
        </w:rPr>
        <w:t xml:space="preserve">:</w:t>
        <w:br w:clear="none"/>
      </w:r>
      <w:r>
        <w:t xml:space="preserve"> </w:t>
        <w:br w:clear="none"/>
      </w:r>
      <w:r>
        <w:rPr>
          <w:rStyle w:val="Text16"/>
        </w:rPr>
        <w:t xml:space="preserve">float</w:t>
        <w:br w:clear="none"/>
      </w:r>
      <w:r>
        <w:t xml:space="preserve"/>
        <w:br w:clear="none"/>
        <w:t xml:space="preserve">    </w:t>
        <w:br w:clear="none"/>
      </w:r>
      <w:r>
        <w:rPr>
          <w:rStyle w:val="Text9"/>
        </w:rPr>
        <w:t xml:space="preserve">y</w:t>
        <w:br w:clear="none"/>
      </w:r>
      <w:r>
        <w:rPr>
          <w:rStyle w:val="Text7"/>
        </w:rPr>
        <w:t xml:space="preserve">:</w:t>
        <w:br w:clear="none"/>
      </w:r>
      <w:r>
        <w:t xml:space="preserve"> </w:t>
        <w:br w:clear="none"/>
      </w:r>
      <w:r>
        <w:rPr>
          <w:rStyle w:val="Text16"/>
        </w:rPr>
        <w:t xml:space="preserve">float</w:t>
        <w:br w:clear="none"/>
      </w:r>
    </w:p>
    <w:p>
      <w:pPr>
        <w:pStyle w:val="Normal"/>
      </w:pPr>
      <w:r>
        <w:t xml:space="preserve">Now you can call, say, </w:t>
      </w:r>
      <w:r>
        <w:rPr>
          <w:rStyle w:val="Text0"/>
        </w:rPr>
        <w:t>pt = Point(0.5, 0.5)</w:t>
      </w:r>
      <w:r>
        <w:t xml:space="preserve"> and get a variable with attributes </w:t>
      </w:r>
      <w:r>
        <w:rPr>
          <w:rStyle w:val="Text0"/>
        </w:rPr>
        <w:t>pt.x</w:t>
      </w:r>
      <w:r>
        <w:t xml:space="preserve"> and </w:t>
      </w:r>
      <w:r>
        <w:rPr>
          <w:rStyle w:val="Text0"/>
        </w:rPr>
        <w:t>pt.y</w:t>
      </w:r>
      <w:r>
        <w:t xml:space="preserve">, each equal to </w:t>
      </w:r>
      <w:r>
        <w:rPr>
          <w:rStyle w:val="Text0"/>
        </w:rPr>
        <w:t>0.5</w:t>
      </w:r>
      <w:r>
        <w:t xml:space="preserve">. By default, the </w:t>
      </w:r>
      <w:r>
        <w:rPr>
          <w:rStyle w:val="Text0"/>
        </w:rPr>
        <w:t>dataclass</w:t>
      </w:r>
      <w:r>
        <w:t xml:space="preserve"> decorator has imbued the class </w:t>
      </w:r>
      <w:r>
        <w:rPr>
          <w:rStyle w:val="Text0"/>
        </w:rPr>
        <w:t>Point</w:t>
      </w:r>
      <w:r>
        <w:t xml:space="preserve"> with an </w:t>
      </w:r>
      <w:r>
        <w:rPr>
          <w:rStyle w:val="Text0"/>
        </w:rPr>
        <w:t>__init__</w:t>
      </w:r>
      <w:r>
        <w:t xml:space="preserve"> method accepting initial floating-point values for attributes </w:t>
      </w:r>
      <w:r>
        <w:rPr>
          <w:rStyle w:val="Text0"/>
        </w:rPr>
        <w:t>x</w:t>
      </w:r>
      <w:r>
        <w:t xml:space="preserve"> and </w:t>
      </w:r>
      <w:r>
        <w:rPr>
          <w:rStyle w:val="Text0"/>
        </w:rPr>
        <w:t>y</w:t>
      </w:r>
      <w:r>
        <w:t xml:space="preserve">, and a </w:t>
      </w:r>
      <w:r>
        <w:rPr>
          <w:rStyle w:val="Text0"/>
        </w:rPr>
        <w:t>__repr__</w:t>
      </w:r>
      <w:r>
        <w:t xml:space="preserve"> method ready to appropriately display any instance of the class:</w:t>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pt</w:t>
        <w:br w:clear="none"/>
      </w:r>
    </w:p>
    <w:p>
      <w:pPr>
        <w:pStyle w:val="Para 008"/>
      </w:pPr>
      <w:r>
        <w:rPr>
          <w:rStyle w:val="Text48"/>
        </w:rPr>
        <w:t xml:space="preserve"/>
        <w:br w:clear="none"/>
      </w:r>
      <w:r>
        <w:t xml:space="preserve">Point(x=0.5, y=0.5)</w:t>
        <w:br w:clear="none"/>
      </w:r>
    </w:p>
    <w:p>
      <w:pPr>
        <w:pStyle w:val="Normal"/>
      </w:pPr>
      <w:r>
        <w:t xml:space="preserve">The </w:t>
      </w:r>
      <w:r>
        <w:rPr>
          <w:rStyle w:val="Text0"/>
        </w:rPr>
        <w:t>dataclass</w:t>
      </w:r>
      <w:r>
        <w:t xml:space="preserve"> function takes many optional named parameters to let you tweak details of the class it decorates. The parameters you may be explicitly using most often are listed in </w:t>
      </w:r>
      <w:hyperlink w:anchor="Table_4_8__Commonly_used_datacla">
        <w:r>
          <w:rPr>
            <w:rStyle w:val="Text1"/>
          </w:rPr>
          <w:t>Table 4-8</w:t>
        </w:r>
      </w:hyperlink>
      <w:r>
        <w:t>.</w:t>
      </w:r>
    </w:p>
    <w:tbl>
      <w:tblPr>
        <w:tblW w:type="auto" w:w="0"/>
      </w:tblPr>
      <w:tr>
        <w:tc>
          <w:tcPr>
            <w:tcW w:type="auto" w:w="0"/>
            <w:tcMar>
              <w:left w:type="dxa" w:w="200"/>
              <w:top w:type="dxa" w:w="200"/>
              <w:right w:type="dxa" w:w="200"/>
              <w:bottom w:type="dxa" w:w="200"/>
            </w:tcMar>
            <w:vAlign w:val="center"/>
          </w:tcPr>
          <w:p>
            <w:bookmarkStart w:id="1587" w:name="Table_4_8__Commonly_used_datacla"/>
            <w:pPr>
              <w:pStyle w:val="Para 011"/>
            </w:pPr>
            <w:r>
              <w:rPr>
                <w:rStyle w:val="Text117"/>
              </w:rPr>
              <w:t/>
            </w:r>
            <w:r>
              <w:t xml:space="preserve">Table 4-8. </w:t>
              <w:t xml:space="preserve">Commonly used </w:t>
            </w:r>
            <w:r>
              <w:rPr>
                <w:rStyle w:val="Text0"/>
              </w:rPr>
              <w:t>dataclass</w:t>
            </w:r>
            <w:r>
              <w:t xml:space="preserve"> function parameters</w:t>
            </w:r>
            <w:bookmarkEnd w:id="1587"/>
          </w:p>
          <w:p>
            <w:pPr>
              <w:pStyle w:val="Para 013"/>
            </w:pPr>
            <w:r>
              <w:t>Parameter name</w:t>
            </w:r>
          </w:p>
        </w:tc>
        <w:tc>
          <w:tcPr>
            <w:tcW w:type="auto" w:w="0"/>
            <w:tcMar>
              <w:left w:type="dxa" w:w="200"/>
              <w:top w:type="dxa" w:w="200"/>
              <w:right w:type="dxa" w:w="200"/>
              <w:bottom w:type="dxa" w:w="200"/>
            </w:tcMar>
            <w:vAlign w:val="center"/>
          </w:tcPr>
          <w:p>
            <w:pPr>
              <w:pStyle w:val="Para 013"/>
            </w:pPr>
            <w:r>
              <w:t>Default value and resulting behavior</w:t>
            </w:r>
          </w:p>
        </w:tc>
      </w:tr>
    </w:tbl>
    <w:tbl>
      <w:tblPr>
        <w:tblW w:type="auto" w:w="0"/>
      </w:tblPr>
      <w:tr>
        <w:tc>
          <w:tcPr>
            <w:tcW w:type="auto" w:w="0"/>
            <w:tcMar>
              <w:left w:type="dxa" w:w="200"/>
              <w:top w:type="dxa" w:w="200"/>
              <w:right w:type="dxa" w:w="200"/>
              <w:bottom w:type="dxa" w:w="200"/>
            </w:tcMar>
          </w:tcPr>
          <w:p>
            <w:pPr>
              <w:pStyle w:val="Para 001"/>
            </w:pPr>
            <w:r>
              <w:t>eq</w:t>
            </w:r>
          </w:p>
        </w:tc>
        <w:tc>
          <w:tcPr>
            <w:tcW w:type="auto" w:w="0"/>
            <w:tcMar>
              <w:left w:type="dxa" w:w="200"/>
              <w:top w:type="dxa" w:w="200"/>
              <w:right w:type="dxa" w:w="200"/>
              <w:bottom w:type="dxa" w:w="200"/>
            </w:tcMar>
          </w:tcPr>
          <w:p>
            <w:pPr>
              <w:pStyle w:val="Para 002"/>
            </w:pPr>
            <w:r>
              <w:rPr>
                <w:rStyle w:val="Text5"/>
              </w:rPr>
              <w:t>True</w:t>
              <w:br w:clear="none"/>
            </w:r>
            <w:r>
              <w:t xml:space="preserve"> When </w:t>
            </w:r>
            <w:r>
              <w:rPr>
                <w:rStyle w:val="Text5"/>
              </w:rPr>
              <w:t>True</w:t>
            </w:r>
            <w:r>
              <w:t xml:space="preserve">, generates an </w:t>
            </w:r>
            <w:r>
              <w:rPr>
                <w:rStyle w:val="Text0"/>
              </w:rPr>
              <w:t>__eq__</w:t>
            </w:r>
            <w:r>
              <w:t xml:space="preserve"> method (unless the class defines one)</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frozen</w:t>
            </w:r>
          </w:p>
        </w:tc>
        <w:tc>
          <w:tcPr>
            <w:tcW w:type="auto" w:w="0"/>
            <w:shd w:val="clear" w:color="auto" w:fill="EEF2F6"/>
            <w:tcMar>
              <w:left w:type="dxa" w:w="200"/>
              <w:top w:type="dxa" w:w="200"/>
              <w:right w:type="dxa" w:w="200"/>
              <w:bottom w:type="dxa" w:w="200"/>
            </w:tcMar>
          </w:tcPr>
          <w:p>
            <w:pPr>
              <w:pStyle w:val="Para 002"/>
            </w:pPr>
            <w:r>
              <w:rPr>
                <w:rStyle w:val="Text5"/>
              </w:rPr>
              <w:t>False</w:t>
              <w:br w:clear="none"/>
            </w:r>
            <w:r>
              <w:t xml:space="preserve"> When </w:t>
            </w:r>
            <w:r>
              <w:rPr>
                <w:rStyle w:val="Text5"/>
              </w:rPr>
              <w:t>True</w:t>
            </w:r>
            <w:r>
              <w:t>, makes each instance of the class read-only (not allowing rebinding or deletion of attributes)</w:t>
            </w:r>
          </w:p>
        </w:tc>
      </w:tr>
    </w:tbl>
    <w:tbl>
      <w:tblPr>
        <w:tblW w:type="auto" w:w="0"/>
      </w:tblPr>
      <w:tr>
        <w:tc>
          <w:tcPr>
            <w:tcW w:type="auto" w:w="0"/>
            <w:tcMar>
              <w:left w:type="dxa" w:w="200"/>
              <w:top w:type="dxa" w:w="200"/>
              <w:right w:type="dxa" w:w="200"/>
              <w:bottom w:type="dxa" w:w="200"/>
            </w:tcMar>
          </w:tcPr>
          <w:p>
            <w:pPr>
              <w:pStyle w:val="Para 001"/>
            </w:pPr>
            <w:r>
              <w:t>init</w:t>
            </w:r>
          </w:p>
        </w:tc>
        <w:tc>
          <w:tcPr>
            <w:tcW w:type="auto" w:w="0"/>
            <w:tcMar>
              <w:left w:type="dxa" w:w="200"/>
              <w:top w:type="dxa" w:w="200"/>
              <w:right w:type="dxa" w:w="200"/>
              <w:bottom w:type="dxa" w:w="200"/>
            </w:tcMar>
          </w:tcPr>
          <w:p>
            <w:pPr>
              <w:pStyle w:val="Para 002"/>
            </w:pPr>
            <w:r>
              <w:rPr>
                <w:rStyle w:val="Text5"/>
              </w:rPr>
              <w:t>True</w:t>
              <w:br w:clear="none"/>
            </w:r>
            <w:r>
              <w:t xml:space="preserve"> When </w:t>
            </w:r>
            <w:r>
              <w:rPr>
                <w:rStyle w:val="Text5"/>
              </w:rPr>
              <w:t>True</w:t>
            </w:r>
            <w:r>
              <w:t xml:space="preserve">, generates an </w:t>
            </w:r>
            <w:r>
              <w:rPr>
                <w:rStyle w:val="Text0"/>
              </w:rPr>
              <w:t>__init__</w:t>
            </w:r>
            <w:r>
              <w:t xml:space="preserve"> method (unless the class defines one)</w:t>
            </w:r>
          </w:p>
        </w:tc>
      </w:tr>
    </w:tbl>
    <w:tbl>
      <w:tblPr>
        <w:tblW w:type="auto" w:w="0"/>
      </w:tblPr>
      <w:tr>
        <w:tc>
          <w:tcPr>
            <w:tcW w:type="auto" w:w="0"/>
            <w:shd w:val="clear" w:color="auto" w:fill="EEF2F6"/>
            <w:tcMar>
              <w:left w:type="dxa" w:w="200"/>
              <w:top w:type="dxa" w:w="200"/>
              <w:right w:type="dxa" w:w="200"/>
              <w:bottom w:type="dxa" w:w="200"/>
            </w:tcMar>
          </w:tcPr>
          <w:p>
            <w:pPr>
              <w:pStyle w:val="Para 001"/>
            </w:pPr>
            <w:r>
              <w:t>kw_only</w:t>
            </w:r>
          </w:p>
        </w:tc>
        <w:tc>
          <w:tcPr>
            <w:tcW w:type="auto" w:w="0"/>
            <w:shd w:val="clear" w:color="auto" w:fill="EEF2F6"/>
            <w:tcMar>
              <w:left w:type="dxa" w:w="200"/>
              <w:top w:type="dxa" w:w="200"/>
              <w:right w:type="dxa" w:w="200"/>
              <w:bottom w:type="dxa" w:w="200"/>
            </w:tcMar>
          </w:tcPr>
          <w:p>
            <w:pPr>
              <w:pStyle w:val="Para 002"/>
            </w:pPr>
            <w:r>
              <w:rPr>
                <w:rStyle w:val="Text5"/>
              </w:rPr>
              <w:t>False</w:t>
              <w:br w:clear="none"/>
            </w:r>
            <w:r>
              <w:t xml:space="preserve"> </w:t>
            </w:r>
            <w:r>
              <w:rPr>
                <w:rStyle w:val="Text34"/>
              </w:rPr>
              <w:t>3.10+</w:t>
            </w:r>
            <w:r>
              <w:t xml:space="preserve"> When </w:t>
            </w:r>
            <w:r>
              <w:rPr>
                <w:rStyle w:val="Text5"/>
              </w:rPr>
              <w:t>True</w:t>
            </w:r>
            <w:r>
              <w:t xml:space="preserve">, forces arguments to </w:t>
            </w:r>
            <w:r>
              <w:rPr>
                <w:rStyle w:val="Text0"/>
              </w:rPr>
              <w:t>__init__</w:t>
            </w:r>
            <w:r>
              <w:t xml:space="preserve"> to be named, not positional</w:t>
            </w:r>
          </w:p>
        </w:tc>
      </w:tr>
    </w:tbl>
    <w:tbl>
      <w:tblPr>
        <w:tblW w:type="auto" w:w="0"/>
      </w:tblPr>
      <w:tr>
        <w:tc>
          <w:tcPr>
            <w:tcW w:type="auto" w:w="0"/>
            <w:tcMar>
              <w:left w:type="dxa" w:w="200"/>
              <w:top w:type="dxa" w:w="200"/>
              <w:right w:type="dxa" w:w="200"/>
              <w:bottom w:type="dxa" w:w="200"/>
            </w:tcMar>
          </w:tcPr>
          <w:p>
            <w:pPr>
              <w:pStyle w:val="Para 001"/>
            </w:pPr>
            <w:r>
              <w:t>order</w:t>
            </w:r>
          </w:p>
        </w:tc>
        <w:tc>
          <w:tcPr>
            <w:tcW w:type="auto" w:w="0"/>
            <w:tcMar>
              <w:left w:type="dxa" w:w="200"/>
              <w:top w:type="dxa" w:w="200"/>
              <w:right w:type="dxa" w:w="200"/>
              <w:bottom w:type="dxa" w:w="200"/>
            </w:tcMar>
          </w:tcPr>
          <w:p>
            <w:pPr>
              <w:pStyle w:val="Para 002"/>
            </w:pPr>
            <w:r>
              <w:rPr>
                <w:rStyle w:val="Text5"/>
              </w:rPr>
              <w:t>False</w:t>
              <w:br w:clear="none"/>
            </w:r>
            <w:r>
              <w:t xml:space="preserve"> When </w:t>
            </w:r>
            <w:r>
              <w:rPr>
                <w:rStyle w:val="Text5"/>
              </w:rPr>
              <w:t>True</w:t>
            </w:r>
            <w:r>
              <w:t>, generates order-comparison special methods (</w:t>
            </w:r>
            <w:r>
              <w:rPr>
                <w:rStyle w:val="Text0"/>
              </w:rPr>
              <w:t>__le__</w:t>
            </w:r>
            <w:r>
              <w:t xml:space="preserve">, </w:t>
            </w:r>
            <w:r>
              <w:rPr>
                <w:rStyle w:val="Text0"/>
              </w:rPr>
              <w:t>__lt__</w:t>
            </w:r>
            <w:r>
              <w:t>, and so on) unless the class defines them</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repr</w:t>
            </w:r>
          </w:p>
        </w:tc>
        <w:tc>
          <w:tcPr>
            <w:tcW w:type="auto" w:w="0"/>
            <w:shd w:val="clear" w:color="auto" w:fill="EEF2F6"/>
            <w:tcMar>
              <w:left w:type="dxa" w:w="200"/>
              <w:top w:type="dxa" w:w="200"/>
              <w:right w:type="dxa" w:w="200"/>
              <w:bottom w:type="dxa" w:w="200"/>
            </w:tcMar>
          </w:tcPr>
          <w:p>
            <w:pPr>
              <w:pStyle w:val="Para 002"/>
            </w:pPr>
            <w:r>
              <w:rPr>
                <w:rStyle w:val="Text5"/>
              </w:rPr>
              <w:t>True</w:t>
              <w:br w:clear="none"/>
            </w:r>
            <w:r>
              <w:t xml:space="preserve"> When </w:t>
            </w:r>
            <w:r>
              <w:rPr>
                <w:rStyle w:val="Text5"/>
              </w:rPr>
              <w:t>True</w:t>
            </w:r>
            <w:r>
              <w:t xml:space="preserve">, generates a </w:t>
            </w:r>
            <w:r>
              <w:rPr>
                <w:rStyle w:val="Text0"/>
              </w:rPr>
              <w:t>__repr__</w:t>
            </w:r>
            <w:r>
              <w:t xml:space="preserve"> method (unless the class defines one)</w:t>
            </w:r>
          </w:p>
        </w:tc>
      </w:tr>
    </w:tbl>
    <w:tbl>
      <w:tblPr>
        <w:tblW w:type="auto" w:w="0"/>
      </w:tblPr>
      <w:tr>
        <w:tc>
          <w:tcPr>
            <w:tcW w:type="auto" w:w="0"/>
            <w:tcMar>
              <w:left w:type="dxa" w:w="200"/>
              <w:top w:type="dxa" w:w="200"/>
              <w:right w:type="dxa" w:w="200"/>
              <w:bottom w:type="dxa" w:w="200"/>
            </w:tcMar>
          </w:tcPr>
          <w:p>
            <w:pPr>
              <w:pStyle w:val="Para 001"/>
            </w:pPr>
            <w:r>
              <w:t>slots</w:t>
            </w:r>
          </w:p>
        </w:tc>
        <w:tc>
          <w:tcPr>
            <w:tcW w:type="auto" w:w="0"/>
            <w:tcMar>
              <w:left w:type="dxa" w:w="200"/>
              <w:top w:type="dxa" w:w="200"/>
              <w:right w:type="dxa" w:w="200"/>
              <w:bottom w:type="dxa" w:w="200"/>
            </w:tcMar>
          </w:tcPr>
          <w:p>
            <w:pPr>
              <w:pStyle w:val="Para 002"/>
            </w:pPr>
            <w:r>
              <w:rPr>
                <w:rStyle w:val="Text5"/>
              </w:rPr>
              <w:t>False</w:t>
              <w:br w:clear="none"/>
            </w:r>
            <w:r>
              <w:t xml:space="preserve"> </w:t>
            </w:r>
            <w:r>
              <w:rPr>
                <w:rStyle w:val="Text34"/>
              </w:rPr>
              <w:t>3.10+</w:t>
            </w:r>
            <w:r>
              <w:t xml:space="preserve"> When </w:t>
            </w:r>
            <w:r>
              <w:rPr>
                <w:rStyle w:val="Text5"/>
              </w:rPr>
              <w:t>True</w:t>
            </w:r>
            <w:r>
              <w:t xml:space="preserve">, adds the appropriate </w:t>
            </w:r>
            <w:r>
              <w:rPr>
                <w:rStyle w:val="Text0"/>
              </w:rPr>
              <w:t>__slots__</w:t>
            </w:r>
            <w:r>
              <w:t xml:space="preserve"> attribute to the class (saving some amount of memory for each instance, but disallowing the addition of other, arbitrary attributes to class instances)</w:t>
            </w:r>
          </w:p>
        </w:tc>
      </w:tr>
    </w:tbl>
    <w:p>
      <w:pPr>
        <w:pStyle w:val="Normal"/>
      </w:pPr>
      <w:r>
        <w:t xml:space="preserve">The decorator also adds to the class a </w:t>
      </w:r>
      <w:r>
        <w:rPr>
          <w:rStyle w:val="Text0"/>
        </w:rPr>
        <w:t>__hash__</w:t>
      </w:r>
      <w:r>
        <w:t xml:space="preserve"> method (allowing instances to be keys in a dictionary and members of a set) when that is safe (typically, when you set </w:t>
      </w:r>
      <w:r>
        <w:rPr>
          <w:rStyle w:val="Text0"/>
        </w:rPr>
        <w:t>frozen</w:t>
      </w:r>
      <w:r>
        <w:t xml:space="preserve"> to </w:t>
      </w:r>
      <w:r>
        <w:rPr>
          <w:rStyle w:val="Text5"/>
        </w:rPr>
        <w:t>True</w:t>
      </w:r>
      <w:r>
        <w:t xml:space="preserve">). You may force the addition of </w:t>
      </w:r>
      <w:r>
        <w:rPr>
          <w:rStyle w:val="Text0"/>
        </w:rPr>
        <w:t>__hash__</w:t>
      </w:r>
      <w:r>
        <w:t xml:space="preserve"> even when that’s not necessarily safe, but we earnestly recommend that you don’t; if you insist, check the </w:t>
      </w:r>
      <w:hyperlink r:id="rId236">
        <w:r>
          <w:rPr>
            <w:rStyle w:val="Text1"/>
          </w:rPr>
          <w:t>online docs</w:t>
        </w:r>
      </w:hyperlink>
      <w:r>
        <w:t xml:space="preserve"> for details on how to do so.</w:t>
      </w:r>
    </w:p>
    <w:p>
      <w:pPr>
        <w:pStyle w:val="Normal"/>
      </w:pPr>
      <w:r>
        <w:t xml:space="preserve">If you need to tweak each instance of a </w:t>
      </w:r>
      <w:r>
        <w:rPr>
          <w:rStyle w:val="Text0"/>
        </w:rPr>
        <w:t>dataclass</w:t>
      </w:r>
      <w:r>
        <w:t xml:space="preserve"> after the automatically generated </w:t>
      </w:r>
      <w:r>
        <w:rPr>
          <w:rStyle w:val="Text0"/>
        </w:rPr>
        <w:t>__init__</w:t>
      </w:r>
      <w:r>
        <w:t xml:space="preserve"> method has done the core work of assigning each instance attribute, define a method called </w:t>
      </w:r>
      <w:r>
        <w:rPr>
          <w:rStyle w:val="Text0"/>
        </w:rPr>
        <w:t>__post_init__</w:t>
      </w:r>
      <w:r>
        <w:t xml:space="preserve">, and the decorator will ensure it is called right after </w:t>
      </w:r>
      <w:r>
        <w:rPr>
          <w:rStyle w:val="Text0"/>
        </w:rPr>
        <w:t>__init__</w:t>
      </w:r>
      <w:r>
        <w:t xml:space="preserve"> is done.</w:t>
      </w:r>
    </w:p>
    <w:p>
      <w:pPr>
        <w:pStyle w:val="Normal"/>
      </w:pPr>
      <w:r>
        <w:t xml:space="preserve">Say you wish to add an attribute to </w:t>
      </w:r>
      <w:r>
        <w:rPr>
          <w:rStyle w:val="Text0"/>
        </w:rPr>
        <w:t>Point</w:t>
      </w:r>
      <w:r>
        <w:t xml:space="preserve"> to capture the time when the point was created. This could be added as an attribute assigned in </w:t>
      </w:r>
      <w:r>
        <w:rPr>
          <w:rStyle w:val="Text0"/>
        </w:rPr>
        <w:t>__post_init__</w:t>
      </w:r>
      <w:r>
        <w:t xml:space="preserve">. Add the attribute </w:t>
      </w:r>
      <w:r>
        <w:rPr>
          <w:rStyle w:val="Text0"/>
        </w:rPr>
        <w:t>create_time</w:t>
      </w:r>
      <w:r>
        <w:t xml:space="preserve"> to the members defined for </w:t>
      </w:r>
      <w:r>
        <w:rPr>
          <w:rStyle w:val="Text0"/>
        </w:rPr>
        <w:t>Point</w:t>
      </w:r>
      <w:r>
        <w:t xml:space="preserve">, as type </w:t>
      </w:r>
      <w:r>
        <w:rPr>
          <w:rStyle w:val="Text0"/>
        </w:rPr>
        <w:t>float</w:t>
      </w:r>
      <w:r>
        <w:t xml:space="preserve"> with a default value of </w:t>
      </w:r>
      <w:r>
        <w:rPr>
          <w:rStyle w:val="Text0"/>
        </w:rPr>
        <w:t>0</w:t>
      </w:r>
      <w:r>
        <w:t xml:space="preserve">, and then add an implementation for </w:t>
      </w:r>
      <w:r>
        <w:rPr>
          <w:rStyle w:val="Text0"/>
        </w:rPr>
        <w:t>__post_init__</w:t>
      </w:r>
      <w:r>
        <w: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__post_init__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create_time</w:t>
        <w:br w:clear="none"/>
      </w:r>
      <w:r>
        <w:rPr>
          <w:rStyle w:val="Text6"/>
        </w:rPr>
        <w:t xml:space="preserve"> </w:t>
        <w:br w:clear="none"/>
      </w:r>
      <w:r>
        <w:rPr>
          <w:rStyle w:val="Text13"/>
        </w:rPr>
        <w:t xml:space="preserve">=</w:t>
        <w:br w:clear="none"/>
      </w:r>
      <w:r>
        <w:rPr>
          <w:rStyle w:val="Text6"/>
        </w:rPr>
        <w:t xml:space="preserve"> </w:t>
        <w:br w:clear="none"/>
      </w:r>
      <w:r>
        <w:t xml:space="preserve">time</w:t>
        <w:br w:clear="none"/>
      </w:r>
      <w:r>
        <w:rPr>
          <w:rStyle w:val="Text13"/>
        </w:rPr>
        <w:t xml:space="preserve">.</w:t>
        <w:br w:clear="none"/>
      </w:r>
      <w:r>
        <w:t xml:space="preserve">time</w:t>
        <w:br w:clear="none"/>
      </w:r>
      <w:r>
        <w:rPr>
          <w:rStyle w:val="Text7"/>
        </w:rPr>
        <w:t xml:space="preserve">(</w:t>
        <w:br w:clear="none"/>
        <w:t xml:space="preserve">)</w:t>
        <w:br w:clear="none"/>
      </w:r>
    </w:p>
    <w:p>
      <w:pPr>
        <w:pStyle w:val="Normal"/>
      </w:pPr>
      <w:r>
        <w:t xml:space="preserve">Now if you create the variable </w:t>
      </w:r>
      <w:r>
        <w:rPr>
          <w:rStyle w:val="Text0"/>
        </w:rPr>
        <w:t>pt = Point(0.5, 0.5)</w:t>
      </w:r>
      <w:r>
        <w:t>, printing it out will display the creation timestamp, similar to the following:</w:t>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pt</w:t>
        <w:br w:clear="none"/>
      </w:r>
    </w:p>
    <w:p>
      <w:pPr>
        <w:pStyle w:val="Para 008"/>
      </w:pPr>
      <w:r>
        <w:rPr>
          <w:rStyle w:val="Text48"/>
        </w:rPr>
        <w:t xml:space="preserve"/>
        <w:br w:clear="none"/>
      </w:r>
      <w:r>
        <w:t xml:space="preserve">Point(x=0.5, y=0.5, create_time=1645122864.3553088)</w:t>
        <w:br w:clear="none"/>
      </w:r>
    </w:p>
    <w:p>
      <w:pPr>
        <w:pStyle w:val="Normal"/>
      </w:pPr>
      <w:r>
        <w:t xml:space="preserve">Like regular classes, </w:t>
      </w:r>
      <w:r>
        <w:rPr>
          <w:rStyle w:val="Text0"/>
        </w:rPr>
        <w:t>dataclass</w:t>
      </w:r>
      <w:r>
        <w:t xml:space="preserve">es can also support additional methods and properties, such as this method that computes the distance between two </w:t>
      </w:r>
      <w:r>
        <w:rPr>
          <w:rStyle w:val="Text0"/>
        </w:rPr>
        <w:t>Point</w:t>
      </w:r>
      <w:r>
        <w:t xml:space="preserve">s and this property that returns the distance from a </w:t>
      </w:r>
      <w:r>
        <w:rPr>
          <w:rStyle w:val="Text0"/>
        </w:rPr>
        <w:t>Point</w:t>
      </w:r>
      <w:r>
        <w:t xml:space="preserve"> at the origin:</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distance_from</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other</w:t>
        <w:br w:clear="none"/>
      </w:r>
      <w:r>
        <w:rPr>
          <w:rStyle w:val="Text7"/>
        </w:rPr>
        <w:t xml:space="preserve">)</w:t>
        <w:br w:clear="none"/>
        <w:t xml:space="preserve">:</w:t>
        <w:br w:clear="none"/>
      </w:r>
      <w:r>
        <w:rPr>
          <w:rStyle w:val="Text6"/>
        </w:rPr>
        <w:t xml:space="preserve"/>
        <w:br w:clear="none"/>
        <w:t xml:space="preserve">    </w:t>
        <w:br w:clear="none"/>
      </w:r>
      <w:r>
        <w:t xml:space="preserve">dx</w:t>
        <w:br w:clear="none"/>
      </w:r>
      <w:r>
        <w:rPr>
          <w:rStyle w:val="Text7"/>
        </w:rPr>
        <w:t xml:space="preserve">,</w:t>
        <w:br w:clear="none"/>
      </w:r>
      <w:r>
        <w:rPr>
          <w:rStyle w:val="Text6"/>
        </w:rPr>
        <w:t xml:space="preserve"> </w:t>
        <w:br w:clear="none"/>
      </w:r>
      <w:r>
        <w:t xml:space="preserve">dy</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x</w:t>
        <w:br w:clear="none"/>
      </w:r>
      <w:r>
        <w:rPr>
          <w:rStyle w:val="Text6"/>
        </w:rPr>
        <w:t xml:space="preserve"> </w:t>
        <w:br w:clear="none"/>
      </w:r>
      <w:r>
        <w:rPr>
          <w:rStyle w:val="Text13"/>
        </w:rPr>
        <w:t xml:space="preserve">-</w:t>
        <w:br w:clear="none"/>
      </w:r>
      <w:r>
        <w:rPr>
          <w:rStyle w:val="Text6"/>
        </w:rPr>
        <w:t xml:space="preserve"> </w:t>
        <w:br w:clear="none"/>
      </w:r>
      <w:r>
        <w:t xml:space="preserve">other</w:t>
        <w:br w:clear="none"/>
      </w:r>
      <w:r>
        <w:rPr>
          <w:rStyle w:val="Text13"/>
        </w:rPr>
        <w:t xml:space="preserve">.</w:t>
        <w:br w:clear="none"/>
      </w:r>
      <w:r>
        <w:t xml:space="preserve">x</w:t>
        <w:br w:clear="none"/>
      </w:r>
      <w:r>
        <w:rPr>
          <w:rStyle w:val="Text7"/>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y</w:t>
        <w:br w:clear="none"/>
      </w:r>
      <w:r>
        <w:rPr>
          <w:rStyle w:val="Text6"/>
        </w:rPr>
        <w:t xml:space="preserve"> </w:t>
        <w:br w:clear="none"/>
      </w:r>
      <w:r>
        <w:rPr>
          <w:rStyle w:val="Text13"/>
        </w:rPr>
        <w:t xml:space="preserve">-</w:t>
        <w:br w:clear="none"/>
      </w:r>
      <w:r>
        <w:rPr>
          <w:rStyle w:val="Text6"/>
        </w:rPr>
        <w:t xml:space="preserve"> </w:t>
        <w:br w:clear="none"/>
      </w:r>
      <w:r>
        <w:t xml:space="preserve">other</w:t>
        <w:br w:clear="none"/>
      </w:r>
      <w:r>
        <w:rPr>
          <w:rStyle w:val="Text13"/>
        </w:rPr>
        <w:t xml:space="preserve">.</w:t>
        <w:br w:clear="none"/>
      </w:r>
      <w:r>
        <w:t xml:space="preserve">y</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math</w:t>
        <w:br w:clear="none"/>
      </w:r>
      <w:r>
        <w:rPr>
          <w:rStyle w:val="Text13"/>
        </w:rPr>
        <w:t xml:space="preserve">.</w:t>
        <w:br w:clear="none"/>
      </w:r>
      <w:r>
        <w:t xml:space="preserve">hypot</w:t>
        <w:br w:clear="none"/>
      </w:r>
      <w:r>
        <w:rPr>
          <w:rStyle w:val="Text7"/>
        </w:rPr>
        <w:t xml:space="preserve">(</w:t>
        <w:br w:clear="none"/>
      </w:r>
      <w:r>
        <w:t xml:space="preserve">dx</w:t>
        <w:br w:clear="none"/>
      </w:r>
      <w:r>
        <w:rPr>
          <w:rStyle w:val="Text7"/>
        </w:rPr>
        <w:t xml:space="preserve">,</w:t>
        <w:br w:clear="none"/>
      </w:r>
      <w:r>
        <w:rPr>
          <w:rStyle w:val="Text6"/>
        </w:rPr>
        <w:t xml:space="preserve"> </w:t>
        <w:br w:clear="none"/>
      </w:r>
      <w:r>
        <w:t xml:space="preserve">dy</w:t>
        <w:br w:clear="none"/>
      </w:r>
      <w:r>
        <w:rPr>
          <w:rStyle w:val="Text7"/>
        </w:rPr>
        <w:t xml:space="preserve">)</w:t>
        <w:br w:clear="none"/>
      </w:r>
      <w:r>
        <w:rPr>
          <w:rStyle w:val="Text6"/>
        </w:rPr>
        <w:t xml:space="preserve"/>
        <w:br w:clear="none"/>
        <w:t xml:space="preserve"/>
        <w:br w:clear="none"/>
      </w:r>
      <w:r>
        <w:rPr>
          <w:rStyle w:val="Text44"/>
        </w:rPr>
        <w:t xml:space="preserve">@property</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distance_from_origin</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self</w:t>
        <w:br w:clear="none"/>
      </w:r>
      <w:r>
        <w:rPr>
          <w:rStyle w:val="Text13"/>
        </w:rPr>
        <w:t xml:space="preserve">.</w:t>
        <w:br w:clear="none"/>
      </w:r>
      <w:r>
        <w:t xml:space="preserve">distance_from</w:t>
        <w:br w:clear="none"/>
      </w:r>
      <w:r>
        <w:rPr>
          <w:rStyle w:val="Text7"/>
        </w:rPr>
        <w:t xml:space="preserve">(</w:t>
        <w:br w:clear="none"/>
      </w:r>
      <w:r>
        <w:t xml:space="preserve">Point</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t>
        <w:br w:clear="none"/>
      </w:r>
      <w:r>
        <w:rPr>
          <w:rStyle w:val="Text27"/>
        </w:rPr>
        <w:t xml:space="preserve">0</w:t>
        <w:br w:clear="none"/>
      </w:r>
      <w:r>
        <w:rPr>
          <w:rStyle w:val="Text7"/>
        </w:rPr>
        <w:t xml:space="preserve">)</w:t>
        <w:br w:clear="none"/>
        <w:t xml:space="preserve">)</w:t>
        <w:br w:clear="none"/>
      </w:r>
    </w:p>
    <w:p>
      <w:pPr>
        <w:pStyle w:val="Normal"/>
      </w:pPr>
      <w:r>
        <w:t>For example: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pt</w:t>
        <w:br w:clear="none"/>
      </w:r>
      <w:r>
        <w:rPr>
          <w:rStyle w:val="Text13"/>
        </w:rPr>
        <w:t xml:space="preserve">.</w:t>
        <w:br w:clear="none"/>
      </w:r>
      <w:r>
        <w:t xml:space="preserve">distance_from</w:t>
        <w:br w:clear="none"/>
      </w:r>
      <w:r>
        <w:rPr>
          <w:rStyle w:val="Text7"/>
        </w:rPr>
        <w:t xml:space="preserve">(</w:t>
        <w:br w:clear="none"/>
      </w:r>
      <w:r>
        <w:t xml:space="preserve">Point</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13"/>
        </w:rPr>
        <w:t xml:space="preserve">-</w:t>
        <w:br w:clear="none"/>
      </w:r>
      <w:r>
        <w:rPr>
          <w:rStyle w:val="Text27"/>
        </w:rPr>
        <w:t xml:space="preserve">1</w:t>
        <w:br w:clear="none"/>
      </w:r>
      <w:r>
        <w:rPr>
          <w:rStyle w:val="Text7"/>
        </w:rPr>
        <w:t xml:space="preserve">))</w:t>
        <w:br w:clear="none"/>
      </w:r>
    </w:p>
    <w:p>
      <w:pPr>
        <w:pStyle w:val="Para 008"/>
      </w:pPr>
      <w:r>
        <w:rPr>
          <w:rStyle w:val="Text48"/>
        </w:rPr>
        <w:t xml:space="preserve"/>
        <w:br w:clear="none"/>
      </w:r>
      <w:r>
        <w:t xml:space="preserve">2.1213203435596424</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pt</w:t>
        <w:br w:clear="none"/>
      </w:r>
      <w:r>
        <w:rPr>
          <w:rStyle w:val="Text13"/>
        </w:rPr>
        <w:t xml:space="preserve">.</w:t>
        <w:br w:clear="none"/>
      </w:r>
      <w:r>
        <w:t xml:space="preserve">distance_from_origin</w:t>
        <w:br w:clear="none"/>
      </w:r>
    </w:p>
    <w:p>
      <w:pPr>
        <w:pStyle w:val="Para 008"/>
      </w:pPr>
      <w:r>
        <w:rPr>
          <w:rStyle w:val="Text48"/>
        </w:rPr>
        <w:t xml:space="preserve"/>
        <w:br w:clear="none"/>
      </w:r>
      <w:r>
        <w:t xml:space="preserve">0.7071067811865476</w:t>
        <w:br w:clear="none"/>
      </w:r>
    </w:p>
    <w:p>
      <w:pPr>
        <w:pStyle w:val="Normal"/>
      </w:pPr>
      <w:r>
        <w:t xml:space="preserve">The </w:t>
      </w:r>
      <w:r>
        <w:rPr>
          <w:rStyle w:val="Text0"/>
        </w:rPr>
        <w:t>dataclasses</w:t>
      </w:r>
      <w:r>
        <w:t xml:space="preserve"> module also supplies </w:t>
      </w:r>
      <w:r>
        <w:rPr>
          <w:rStyle w:val="Text0"/>
        </w:rPr>
        <w:t>asdict</w:t>
      </w:r>
      <w:r>
        <w:t xml:space="preserve"> and </w:t>
      </w:r>
      <w:r>
        <w:rPr>
          <w:rStyle w:val="Text0"/>
        </w:rPr>
        <w:t>astuple</w:t>
      </w:r>
      <w:r>
        <w:t xml:space="preserve"> functions, each taking a </w:t>
      </w:r>
      <w:r>
        <w:rPr>
          <w:rStyle w:val="Text0"/>
        </w:rPr>
        <w:t>dataclass</w:t>
      </w:r>
      <w:r>
        <w:t xml:space="preserve"> instance as the first argument and returning, respectively, a </w:t>
      </w:r>
      <w:r>
        <w:rPr>
          <w:rStyle w:val="Text0"/>
        </w:rPr>
        <w:t>dict</w:t>
      </w:r>
      <w:r>
        <w:t xml:space="preserve"> and a </w:t>
      </w:r>
      <w:r>
        <w:rPr>
          <w:rStyle w:val="Text0"/>
        </w:rPr>
        <w:t>tuple</w:t>
      </w:r>
      <w:r>
        <w:t xml:space="preserve"> with the class’s fields. Furthermore, the module supplies a </w:t>
      </w:r>
      <w:r>
        <w:rPr>
          <w:rStyle w:val="Text0"/>
        </w:rPr>
        <w:t>field</w:t>
      </w:r>
      <w:r>
        <w:t xml:space="preserve"> function that you may use to customize the treatment of some of a </w:t>
      </w:r>
      <w:r>
        <w:rPr>
          <w:rStyle w:val="Text0"/>
        </w:rPr>
        <w:t>dataclass</w:t>
      </w:r>
      <w:r>
        <w:t xml:space="preserve">’s fields (i.e., instance attributes), and several other specialized functions and classes needed only for very advanced, esoteric purposes; to learn all about them, check out the </w:t>
      </w:r>
      <w:hyperlink r:id="rId236">
        <w:r>
          <w:rPr>
            <w:rStyle w:val="Text1"/>
          </w:rPr>
          <w:t>online docs</w:t>
        </w:r>
      </w:hyperlink>
      <w:r>
        <w:t>.</w:t>
      </w:r>
    </w:p>
    <w:p>
      <w:bookmarkStart w:id="1588" w:name="Enumerated_Types__Enums___When_p"/>
      <w:pPr>
        <w:keepNext/>
        <w:pStyle w:val="Heading 2"/>
      </w:pPr>
      <w:r>
        <w:t>Enumerated Types (Enums)</w:t>
      </w:r>
      <w:bookmarkEnd w:id="1588"/>
    </w:p>
    <w:p>
      <w:pPr>
        <w:pStyle w:val="Normal"/>
      </w:pPr>
      <w:r>
        <w:t>When</w:t>
      </w:r>
      <w:r>
        <w:rPr>
          <w:rStyle w:val="Text111"/>
        </w:rPr>
        <w:bookmarkStart w:id="1589" w:name="enum04"/>
        <w:t/>
        <w:bookmarkEnd w:id="1589"/>
      </w:r>
      <w:r>
        <w:t xml:space="preserve"> programming, you’ll often want to create a set of related values that catalog or </w:t>
      </w:r>
      <w:r>
        <w:rPr>
          <w:rStyle w:val="Text4"/>
        </w:rPr>
        <w:t>enumerate</w:t>
      </w:r>
      <w:r>
        <w:t xml:space="preserve"> the possible values for a particular property or program setting,</w:t>
      </w:r>
      <w:hyperlink w:anchor="19_Don_t_confuse_this_concept_wi">
        <w:r>
          <w:rPr>
            <w:rStyle w:val="Text41"/>
          </w:rPr>
          <w:bookmarkStart w:id="1590" w:name="19_1"/>
          <w:t>19</w:t>
          <w:bookmarkEnd w:id="1590"/>
        </w:r>
      </w:hyperlink>
      <w:r>
        <w:t xml:space="preserve"> whatever they might be: terminal colors, logging levels, process states, playing card suits, clothing sizes, or just about anything else you can think of. An </w:t>
      </w:r>
      <w:r>
        <w:rPr>
          <w:rStyle w:val="Text4"/>
        </w:rPr>
        <w:t>enumerated type</w:t>
      </w:r>
      <w:r>
        <w:t xml:space="preserve"> (</w:t>
      </w:r>
      <w:r>
        <w:rPr>
          <w:rStyle w:val="Text4"/>
        </w:rPr>
        <w:t>enum</w:t>
      </w:r>
      <w:r>
        <w:t xml:space="preserve">) is a type that defines a group of such values, with symbolic names that you can use as typed global constants. Python provides the </w:t>
      </w:r>
      <w:r>
        <w:rPr>
          <w:rStyle w:val="Text0"/>
        </w:rPr>
        <w:t>Enum</w:t>
      </w:r>
      <w:r>
        <w:t xml:space="preserve"> class and related subclasses in the</w:t>
      </w:r>
      <w:r>
        <w:rPr>
          <w:rStyle w:val="Text111"/>
        </w:rPr>
        <w:bookmarkStart w:id="1591" w:name="idm45965253086544"/>
        <w:t/>
        <w:bookmarkEnd w:id="1591"/>
        <w:bookmarkStart w:id="1592" w:name="idm45965253085440"/>
        <w:t/>
        <w:bookmarkEnd w:id="1592"/>
      </w:r>
      <w:r>
        <w:t xml:space="preserve"> </w:t>
      </w:r>
      <w:r>
        <w:rPr>
          <w:rStyle w:val="Text0"/>
        </w:rPr>
        <w:t>enum</w:t>
      </w:r>
      <w:r>
        <w:t xml:space="preserve"> module for defining enums.</w:t>
      </w:r>
    </w:p>
    <w:p>
      <w:pPr>
        <w:pStyle w:val="Normal"/>
      </w:pPr>
      <w:r>
        <w:t xml:space="preserve">Defining an enum gives your code a set of symbolic constants that represent the values in the enumeration. In the absence of enums, constants might be defined as </w:t>
      </w:r>
      <w:r>
        <w:rPr>
          <w:rStyle w:val="Text0"/>
        </w:rPr>
        <w:t>int</w:t>
      </w:r>
      <w:r>
        <w:t>s, as in this code:</w:t>
      </w:r>
    </w:p>
    <w:p>
      <w:pPr>
        <w:pStyle w:val="Para 007"/>
      </w:pPr>
      <w:r>
        <w:rPr>
          <w:rStyle w:val="Text23"/>
        </w:rPr>
        <w:t xml:space="preserve"/>
        <w:br w:clear="none"/>
      </w:r>
      <w:r>
        <w:rPr>
          <w:rStyle w:val="Text15"/>
        </w:rPr>
        <w:t xml:space="preserve"># colors</w:t>
        <w:br w:clear="none"/>
      </w:r>
      <w:r>
        <w:rPr>
          <w:rStyle w:val="Text6"/>
        </w:rPr>
        <w:t xml:space="preserve"/>
        <w:br w:clear="none"/>
      </w:r>
      <w:r>
        <w:t xml:space="preserve">RED</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1</w:t>
        <w:br w:clear="none"/>
      </w:r>
      <w:r>
        <w:rPr>
          <w:rStyle w:val="Text6"/>
        </w:rPr>
        <w:t xml:space="preserve"/>
        <w:br w:clear="none"/>
      </w:r>
      <w:r>
        <w:t xml:space="preserve">GREEN</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2</w:t>
        <w:br w:clear="none"/>
      </w:r>
      <w:r>
        <w:rPr>
          <w:rStyle w:val="Text6"/>
        </w:rPr>
        <w:t xml:space="preserve"/>
        <w:br w:clear="none"/>
      </w:r>
      <w:r>
        <w:t xml:space="preserve">BLUE</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3</w:t>
        <w:br w:clear="none"/>
      </w:r>
      <w:r>
        <w:rPr>
          <w:rStyle w:val="Text6"/>
        </w:rPr>
        <w:t xml:space="preserve"/>
        <w:br w:clear="none"/>
        <w:t xml:space="preserve"/>
        <w:br w:clear="none"/>
      </w:r>
      <w:r>
        <w:rPr>
          <w:rStyle w:val="Text15"/>
        </w:rPr>
        <w:t xml:space="preserve"># sizes</w:t>
        <w:br w:clear="none"/>
      </w:r>
      <w:r>
        <w:rPr>
          <w:rStyle w:val="Text6"/>
        </w:rPr>
        <w:t xml:space="preserve"/>
        <w:br w:clear="none"/>
      </w:r>
      <w:r>
        <w:t xml:space="preserve">XS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1</w:t>
        <w:br w:clear="none"/>
      </w:r>
      <w:r>
        <w:rPr>
          <w:rStyle w:val="Text6"/>
        </w:rPr>
        <w:t xml:space="preserve"/>
        <w:br w:clear="none"/>
      </w:r>
      <w:r>
        <w:t xml:space="preserve">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2</w:t>
        <w:br w:clear="none"/>
      </w:r>
      <w:r>
        <w:rPr>
          <w:rStyle w:val="Text6"/>
        </w:rPr>
        <w:t xml:space="preserve"/>
        <w:br w:clear="none"/>
      </w:r>
      <w: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3</w:t>
        <w:br w:clear="none"/>
      </w:r>
      <w:r>
        <w:rPr>
          <w:rStyle w:val="Text6"/>
        </w:rPr>
        <w:t xml:space="preserve"/>
        <w:br w:clear="none"/>
      </w:r>
      <w:r>
        <w:t xml:space="preserve">L</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4</w:t>
        <w:br w:clear="none"/>
      </w:r>
      <w:r>
        <w:rPr>
          <w:rStyle w:val="Text6"/>
        </w:rPr>
        <w:t xml:space="preserve"/>
        <w:br w:clear="none"/>
      </w:r>
      <w:r>
        <w:t xml:space="preserve">XL</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5</w:t>
        <w:br w:clear="none"/>
      </w:r>
    </w:p>
    <w:p>
      <w:pPr>
        <w:pStyle w:val="Normal"/>
      </w:pPr>
      <w:r>
        <w:t xml:space="preserve">However, in this design, there is no mechanism to warn against nonsense expressions like </w:t>
      </w:r>
      <w:r>
        <w:rPr>
          <w:rStyle w:val="Text0"/>
        </w:rPr>
        <w:t>RED &gt; XL</w:t>
      </w:r>
      <w:r>
        <w:t xml:space="preserve"> or </w:t>
      </w:r>
      <w:r>
        <w:rPr>
          <w:rStyle w:val="Text0"/>
        </w:rPr>
        <w:t>L * BLUE</w:t>
      </w:r>
      <w:r>
        <w:t xml:space="preserve">, since they are all just </w:t>
      </w:r>
      <w:r>
        <w:rPr>
          <w:rStyle w:val="Text0"/>
        </w:rPr>
        <w:t>int</w:t>
      </w:r>
      <w:r>
        <w:t>s. There is also no logical grouping of the colors or sizes.</w:t>
      </w:r>
    </w:p>
    <w:p>
      <w:pPr>
        <w:pStyle w:val="Normal"/>
      </w:pPr>
      <w:r>
        <w:t xml:space="preserve">Instead, you can use an </w:t>
      </w:r>
      <w:r>
        <w:rPr>
          <w:rStyle w:val="Text0"/>
        </w:rPr>
        <w:t>Enum</w:t>
      </w:r>
      <w:r>
        <w:t xml:space="preserve"> subclass to define these values:</w:t>
      </w:r>
    </w:p>
    <w:p>
      <w:pPr>
        <w:pStyle w:val="Para 018"/>
      </w:pPr>
      <w:r>
        <w:rPr>
          <w:rStyle w:val="Text104"/>
        </w:rPr>
        <w:t xml:space="preserve"/>
        <w:br w:clear="none"/>
      </w:r>
      <w:r>
        <w:rPr>
          <w:rStyle w:val="Text10"/>
        </w:rPr>
        <w:t xml:space="preserve">from</w:t>
        <w:br w:clear="none"/>
      </w:r>
      <w:r>
        <w:t xml:space="preserve"> </w:t>
        <w:br w:clear="none"/>
      </w:r>
      <w:r>
        <w:rPr>
          <w:rStyle w:val="Text20"/>
        </w:rPr>
        <w:t xml:space="preserve">enum</w:t>
        <w:br w:clear="none"/>
      </w:r>
      <w:r>
        <w:t xml:space="preserve"> </w:t>
        <w:br w:clear="none"/>
      </w:r>
      <w:r>
        <w:rPr>
          <w:rStyle w:val="Text10"/>
        </w:rPr>
        <w:t xml:space="preserve">import</w:t>
        <w:br w:clear="none"/>
      </w:r>
      <w:r>
        <w:t xml:space="preserve"> </w:t>
        <w:br w:clear="none"/>
      </w:r>
      <w:r>
        <w:rPr>
          <w:rStyle w:val="Text9"/>
        </w:rPr>
        <w:t xml:space="preserve">Enum</w:t>
        <w:br w:clear="none"/>
      </w:r>
      <w:r>
        <w:rPr>
          <w:rStyle w:val="Text7"/>
        </w:rPr>
        <w:t xml:space="preserve">,</w:t>
        <w:br w:clear="none"/>
      </w:r>
      <w:r>
        <w:t xml:space="preserve"> </w:t>
        <w:br w:clear="none"/>
      </w:r>
      <w:r>
        <w:rPr>
          <w:rStyle w:val="Text9"/>
        </w:rPr>
        <w:t xml:space="preserve">auto</w:t>
        <w:br w:clear="none"/>
      </w:r>
      <w:r>
        <w:t xml:space="preserve"/>
        <w:br w:clear="none"/>
        <w:t xml:space="preserve"/>
        <w:br w:clear="none"/>
      </w:r>
      <w:r>
        <w:rPr>
          <w:rStyle w:val="Text10"/>
        </w:rPr>
        <w:t xml:space="preserve">class</w:t>
        <w:br w:clear="none"/>
      </w:r>
      <w:r>
        <w:t xml:space="preserve"> </w:t>
        <w:br w:clear="none"/>
      </w:r>
      <w:r>
        <w:rPr>
          <w:rStyle w:val="Text33"/>
        </w:rPr>
        <w:t xml:space="preserve">Color</w:t>
        <w:br w:clear="none"/>
      </w:r>
      <w:r>
        <w:rPr>
          <w:rStyle w:val="Text7"/>
        </w:rPr>
        <w:t xml:space="preserve">(</w:t>
        <w:br w:clear="none"/>
      </w:r>
      <w:r>
        <w:rPr>
          <w:rStyle w:val="Text9"/>
        </w:rPr>
        <w:t xml:space="preserve">Enum</w:t>
        <w:br w:clear="none"/>
      </w:r>
      <w:r>
        <w:rPr>
          <w:rStyle w:val="Text7"/>
        </w:rPr>
        <w:t xml:space="preserve">)</w:t>
        <w:br w:clear="none"/>
        <w:t xml:space="preserve">:</w:t>
        <w:br w:clear="none"/>
      </w:r>
      <w:r>
        <w:t xml:space="preserve"/>
        <w:br w:clear="none"/>
        <w:t xml:space="preserve">    </w:t>
        <w:br w:clear="none"/>
      </w:r>
      <w:r>
        <w:rPr>
          <w:rStyle w:val="Text9"/>
        </w:rPr>
        <w:t xml:space="preserve">RED</w:t>
        <w:br w:clear="none"/>
      </w:r>
      <w:r>
        <w:t xml:space="preserve"> </w:t>
        <w:br w:clear="none"/>
      </w:r>
      <w:r>
        <w:rPr>
          <w:rStyle w:val="Text13"/>
        </w:rPr>
        <w:t xml:space="preserve">=</w:t>
        <w:br w:clear="none"/>
      </w:r>
      <w:r>
        <w:t xml:space="preserve"> </w:t>
        <w:br w:clear="none"/>
      </w:r>
      <w:r>
        <w:rPr>
          <w:rStyle w:val="Text27"/>
        </w:rPr>
        <w:t xml:space="preserve">1</w:t>
        <w:br w:clear="none"/>
      </w:r>
      <w:r>
        <w:t xml:space="preserve"/>
        <w:br w:clear="none"/>
        <w:t xml:space="preserve">    </w:t>
        <w:br w:clear="none"/>
      </w:r>
      <w:r>
        <w:rPr>
          <w:rStyle w:val="Text9"/>
        </w:rPr>
        <w:t xml:space="preserve">GREEN</w:t>
        <w:br w:clear="none"/>
      </w:r>
      <w:r>
        <w:t xml:space="preserve"> </w:t>
        <w:br w:clear="none"/>
      </w:r>
      <w:r>
        <w:rPr>
          <w:rStyle w:val="Text13"/>
        </w:rPr>
        <w:t xml:space="preserve">=</w:t>
        <w:br w:clear="none"/>
      </w:r>
      <w:r>
        <w:t xml:space="preserve"> </w:t>
        <w:br w:clear="none"/>
      </w:r>
      <w:r>
        <w:rPr>
          <w:rStyle w:val="Text27"/>
        </w:rPr>
        <w:t xml:space="preserve">2</w:t>
        <w:br w:clear="none"/>
      </w:r>
      <w:r>
        <w:t xml:space="preserve"/>
        <w:br w:clear="none"/>
        <w:t xml:space="preserve">    </w:t>
        <w:br w:clear="none"/>
      </w:r>
      <w:r>
        <w:rPr>
          <w:rStyle w:val="Text9"/>
        </w:rPr>
        <w:t xml:space="preserve">BLUE</w:t>
        <w:br w:clear="none"/>
      </w:r>
      <w:r>
        <w:t xml:space="preserve"> </w:t>
        <w:br w:clear="none"/>
      </w:r>
      <w:r>
        <w:rPr>
          <w:rStyle w:val="Text13"/>
        </w:rPr>
        <w:t xml:space="preserve">=</w:t>
        <w:br w:clear="none"/>
      </w:r>
      <w:r>
        <w:t xml:space="preserve"> </w:t>
        <w:br w:clear="none"/>
      </w:r>
      <w:r>
        <w:rPr>
          <w:rStyle w:val="Text27"/>
        </w:rPr>
        <w:t xml:space="preserve">3</w:t>
        <w:br w:clear="none"/>
      </w:r>
      <w:r>
        <w:t xml:space="preserve"/>
        <w:br w:clear="none"/>
        <w:t xml:space="preserve">    </w:t>
        <w:br w:clear="none"/>
        <w:t xml:space="preserve"/>
        <w:br w:clear="none"/>
      </w:r>
      <w:r>
        <w:rPr>
          <w:rStyle w:val="Text10"/>
        </w:rPr>
        <w:t xml:space="preserve">class</w:t>
        <w:br w:clear="none"/>
      </w:r>
      <w:r>
        <w:t xml:space="preserve"> </w:t>
        <w:br w:clear="none"/>
      </w:r>
      <w:r>
        <w:rPr>
          <w:rStyle w:val="Text33"/>
        </w:rPr>
        <w:t xml:space="preserve">Size</w:t>
        <w:br w:clear="none"/>
      </w:r>
      <w:r>
        <w:rPr>
          <w:rStyle w:val="Text7"/>
        </w:rPr>
        <w:t xml:space="preserve">(</w:t>
        <w:br w:clear="none"/>
      </w:r>
      <w:r>
        <w:rPr>
          <w:rStyle w:val="Text9"/>
        </w:rPr>
        <w:t xml:space="preserve">Enum</w:t>
        <w:br w:clear="none"/>
      </w:r>
      <w:r>
        <w:rPr>
          <w:rStyle w:val="Text7"/>
        </w:rPr>
        <w:t xml:space="preserve">)</w:t>
        <w:br w:clear="none"/>
        <w:t xml:space="preserve">:</w:t>
        <w:br w:clear="none"/>
      </w:r>
      <w:r>
        <w:t xml:space="preserve"/>
        <w:br w:clear="none"/>
        <w:t xml:space="preserve">    </w:t>
        <w:br w:clear="none"/>
      </w:r>
      <w:r>
        <w:rPr>
          <w:rStyle w:val="Text9"/>
        </w:rPr>
        <w:t xml:space="preserve">XS</w:t>
        <w:br w:clear="none"/>
      </w:r>
      <w:r>
        <w:t xml:space="preserve"> </w:t>
        <w:br w:clear="none"/>
      </w:r>
      <w:r>
        <w:rPr>
          <w:rStyle w:val="Text13"/>
        </w:rPr>
        <w:t xml:space="preserve">=</w:t>
        <w:br w:clear="none"/>
      </w:r>
      <w:r>
        <w:t xml:space="preserve"> </w:t>
        <w:br w:clear="none"/>
      </w:r>
      <w:r>
        <w:rPr>
          <w:rStyle w:val="Text9"/>
        </w:rPr>
        <w:t xml:space="preserve">auto</w:t>
        <w:br w:clear="none"/>
      </w:r>
      <w:r>
        <w:rPr>
          <w:rStyle w:val="Text7"/>
        </w:rPr>
        <w:t xml:space="preserve">(</w:t>
        <w:br w:clear="none"/>
        <w:t xml:space="preserve">)</w:t>
        <w:br w:clear="none"/>
      </w:r>
      <w:r>
        <w:t xml:space="preserve"/>
        <w:br w:clear="none"/>
        <w:t xml:space="preserve">    </w:t>
        <w:br w:clear="none"/>
      </w:r>
      <w:r>
        <w:rPr>
          <w:rStyle w:val="Text9"/>
        </w:rPr>
        <w:t xml:space="preserve">S</w:t>
        <w:br w:clear="none"/>
      </w:r>
      <w:r>
        <w:t xml:space="preserve"> </w:t>
        <w:br w:clear="none"/>
      </w:r>
      <w:r>
        <w:rPr>
          <w:rStyle w:val="Text13"/>
        </w:rPr>
        <w:t xml:space="preserve">=</w:t>
        <w:br w:clear="none"/>
      </w:r>
      <w:r>
        <w:t xml:space="preserve"> </w:t>
        <w:br w:clear="none"/>
      </w:r>
      <w:r>
        <w:rPr>
          <w:rStyle w:val="Text9"/>
        </w:rPr>
        <w:t xml:space="preserve">auto</w:t>
        <w:br w:clear="none"/>
      </w:r>
      <w:r>
        <w:rPr>
          <w:rStyle w:val="Text7"/>
        </w:rPr>
        <w:t xml:space="preserve">(</w:t>
        <w:br w:clear="none"/>
        <w:t xml:space="preserve">)</w:t>
        <w:br w:clear="none"/>
      </w:r>
      <w:r>
        <w:t xml:space="preserve"/>
        <w:br w:clear="none"/>
        <w:t xml:space="preserve">    </w:t>
        <w:br w:clear="none"/>
      </w:r>
      <w:r>
        <w:rPr>
          <w:rStyle w:val="Text9"/>
        </w:rPr>
        <w:t xml:space="preserve">M</w:t>
        <w:br w:clear="none"/>
      </w:r>
      <w:r>
        <w:t xml:space="preserve"> </w:t>
        <w:br w:clear="none"/>
      </w:r>
      <w:r>
        <w:rPr>
          <w:rStyle w:val="Text13"/>
        </w:rPr>
        <w:t xml:space="preserve">=</w:t>
        <w:br w:clear="none"/>
      </w:r>
      <w:r>
        <w:t xml:space="preserve"> </w:t>
        <w:br w:clear="none"/>
      </w:r>
      <w:r>
        <w:rPr>
          <w:rStyle w:val="Text9"/>
        </w:rPr>
        <w:t xml:space="preserve">auto</w:t>
        <w:br w:clear="none"/>
      </w:r>
      <w:r>
        <w:rPr>
          <w:rStyle w:val="Text7"/>
        </w:rPr>
        <w:t xml:space="preserve">(</w:t>
        <w:br w:clear="none"/>
        <w:t xml:space="preserve">)</w:t>
        <w:br w:clear="none"/>
      </w:r>
      <w:r>
        <w:t xml:space="preserve"/>
        <w:br w:clear="none"/>
        <w:t xml:space="preserve">    </w:t>
        <w:br w:clear="none"/>
      </w:r>
      <w:r>
        <w:rPr>
          <w:rStyle w:val="Text9"/>
        </w:rPr>
        <w:t xml:space="preserve">L</w:t>
        <w:br w:clear="none"/>
      </w:r>
      <w:r>
        <w:t xml:space="preserve"> </w:t>
        <w:br w:clear="none"/>
      </w:r>
      <w:r>
        <w:rPr>
          <w:rStyle w:val="Text13"/>
        </w:rPr>
        <w:t xml:space="preserve">=</w:t>
        <w:br w:clear="none"/>
      </w:r>
      <w:r>
        <w:t xml:space="preserve"> </w:t>
        <w:br w:clear="none"/>
      </w:r>
      <w:r>
        <w:rPr>
          <w:rStyle w:val="Text9"/>
        </w:rPr>
        <w:t xml:space="preserve">auto</w:t>
        <w:br w:clear="none"/>
      </w:r>
      <w:r>
        <w:rPr>
          <w:rStyle w:val="Text7"/>
        </w:rPr>
        <w:t xml:space="preserve">(</w:t>
        <w:br w:clear="none"/>
        <w:t xml:space="preserve">)</w:t>
        <w:br w:clear="none"/>
      </w:r>
      <w:r>
        <w:t xml:space="preserve"/>
        <w:br w:clear="none"/>
        <w:t xml:space="preserve">    </w:t>
        <w:br w:clear="none"/>
      </w:r>
      <w:r>
        <w:rPr>
          <w:rStyle w:val="Text9"/>
        </w:rPr>
        <w:t xml:space="preserve">XL</w:t>
        <w:br w:clear="none"/>
      </w:r>
      <w:r>
        <w:t xml:space="preserve"> </w:t>
        <w:br w:clear="none"/>
      </w:r>
      <w:r>
        <w:rPr>
          <w:rStyle w:val="Text13"/>
        </w:rPr>
        <w:t xml:space="preserve">=</w:t>
        <w:br w:clear="none"/>
      </w:r>
      <w:r>
        <w:t xml:space="preserve"> </w:t>
        <w:br w:clear="none"/>
      </w:r>
      <w:r>
        <w:rPr>
          <w:rStyle w:val="Text9"/>
        </w:rPr>
        <w:t xml:space="preserve">auto</w:t>
        <w:br w:clear="none"/>
      </w:r>
      <w:r>
        <w:rPr>
          <w:rStyle w:val="Text7"/>
        </w:rPr>
        <w:t xml:space="preserve">(</w:t>
        <w:br w:clear="none"/>
        <w:t xml:space="preserve">)</w:t>
        <w:br w:clear="none"/>
      </w:r>
    </w:p>
    <w:p>
      <w:pPr>
        <w:pStyle w:val="Normal"/>
      </w:pPr>
      <w:r>
        <w:t xml:space="preserve">Now, code like </w:t>
      </w:r>
      <w:r>
        <w:rPr>
          <w:rStyle w:val="Text0"/>
        </w:rPr>
        <w:t>Color.RED &gt; Size.S</w:t>
      </w:r>
      <w:r>
        <w:t xml:space="preserve"> stands out visually as incorrect, and at runtime raises a Python </w:t>
      </w:r>
      <w:r>
        <w:rPr>
          <w:rStyle w:val="Text0"/>
        </w:rPr>
        <w:t>TypeError</w:t>
      </w:r>
      <w:r>
        <w:t xml:space="preserve">. Using </w:t>
      </w:r>
      <w:r>
        <w:rPr>
          <w:rStyle w:val="Text0"/>
        </w:rPr>
        <w:t>auto()</w:t>
      </w:r>
      <w:r>
        <w:t xml:space="preserve"> automatically assigns incrementing </w:t>
      </w:r>
      <w:r>
        <w:rPr>
          <w:rStyle w:val="Text0"/>
        </w:rPr>
        <w:t>int</w:t>
      </w:r>
      <w:r>
        <w:t xml:space="preserve"> values beginning with </w:t>
      </w:r>
      <w:r>
        <w:rPr>
          <w:rStyle w:val="Text0"/>
        </w:rPr>
        <w:t>1</w:t>
      </w:r>
      <w:r>
        <w:t xml:space="preserve"> (in most cases, the actual values assigned to enum members are not meaningful).</w:t>
      </w:r>
    </w:p>
    <w:p>
      <w:pPr>
        <w:keepNext/>
        <w:pStyle w:val="Heading 5"/>
        <w:keepLines w:val="on"/>
      </w:pPr>
      <w:r>
        <w:t>Calling Enum Creates a Class, Not an Instance</w:t>
      </w:r>
    </w:p>
    <w:p>
      <w:pPr>
        <w:pStyle w:val="Para 012"/>
        <w:keepLines w:val="on"/>
      </w:pPr>
      <w:r>
        <w:t xml:space="preserve">Surprisingly, when you call </w:t>
      </w:r>
      <w:r>
        <w:rPr>
          <w:rStyle w:val="Text0"/>
        </w:rPr>
        <w:t>enum.Enum()</w:t>
      </w:r>
      <w:r>
        <w:t xml:space="preserve">, it doesn’t return a newly built </w:t>
      </w:r>
      <w:r>
        <w:rPr>
          <w:rStyle w:val="Text4"/>
        </w:rPr>
        <w:t>instance</w:t>
      </w:r>
      <w:r>
        <w:t xml:space="preserve">, but rather a newly built </w:t>
      </w:r>
      <w:r>
        <w:rPr>
          <w:rStyle w:val="Text4"/>
        </w:rPr>
        <w:t>subclass</w:t>
      </w:r>
      <w:r>
        <w:t>. So, the preceding snippet is equivalent to:</w:t>
      </w:r>
    </w:p>
    <w:p>
      <w:pPr>
        <w:pStyle w:val="Para 100"/>
        <w:keepLines w:val="on"/>
      </w:pPr>
      <w:r>
        <w:rPr>
          <w:rStyle w:val="Text23"/>
        </w:rPr>
        <w:t xml:space="preserve"/>
        <w:br w:clear="none"/>
      </w:r>
      <w:r>
        <w:rPr>
          <w:rStyle w:val="Text10"/>
        </w:rPr>
        <w:t xml:space="preserve">from</w:t>
        <w:br w:clear="none"/>
      </w:r>
      <w:r>
        <w:rPr>
          <w:rStyle w:val="Text6"/>
        </w:rPr>
        <w:t xml:space="preserve"> </w:t>
        <w:br w:clear="none"/>
      </w:r>
      <w:r>
        <w:rPr>
          <w:rStyle w:val="Text20"/>
        </w:rPr>
        <w:t xml:space="preserve">enum</w:t>
        <w:br w:clear="none"/>
      </w:r>
      <w:r>
        <w:rPr>
          <w:rStyle w:val="Text6"/>
        </w:rPr>
        <w:t xml:space="preserve"> </w:t>
        <w:br w:clear="none"/>
      </w:r>
      <w:r>
        <w:rPr>
          <w:rStyle w:val="Text10"/>
        </w:rPr>
        <w:t xml:space="preserve">import</w:t>
        <w:br w:clear="none"/>
      </w:r>
      <w:r>
        <w:rPr>
          <w:rStyle w:val="Text6"/>
        </w:rPr>
        <w:t xml:space="preserve"> </w:t>
        <w:br w:clear="none"/>
      </w:r>
      <w:r>
        <w:rPr>
          <w:rStyle w:val="Text9"/>
        </w:rPr>
        <w:t xml:space="preserve">Enum</w:t>
        <w:br w:clear="none"/>
      </w:r>
      <w:r>
        <w:rPr>
          <w:rStyle w:val="Text6"/>
        </w:rPr>
        <w:t xml:space="preserve"/>
        <w:br w:clear="none"/>
      </w:r>
      <w:r>
        <w:rPr>
          <w:rStyle w:val="Text9"/>
        </w:rPr>
        <w:t xml:space="preserve">Color</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Enum</w:t>
        <w:br w:clear="none"/>
      </w:r>
      <w:r>
        <w:rPr>
          <w:rStyle w:val="Text7"/>
        </w:rPr>
        <w:t xml:space="preserve">(</w:t>
        <w:br w:clear="none"/>
      </w:r>
      <w:r>
        <w:t xml:space="preserve">'</w:t>
        <w:br w:clear="none"/>
        <w:t xml:space="preserve">Color</w:t>
        <w:br w:clear="none"/>
        <w:t xml:space="preserve">'</w:t>
        <w:br w:clear="none"/>
      </w:r>
      <w:r>
        <w:rPr>
          <w:rStyle w:val="Text7"/>
        </w:rPr>
        <w:t xml:space="preserve">,</w:t>
        <w:br w:clear="none"/>
      </w:r>
      <w:r>
        <w:rPr>
          <w:rStyle w:val="Text6"/>
        </w:rPr>
        <w:t xml:space="preserve"> </w:t>
        <w:br w:clear="none"/>
      </w:r>
      <w:r>
        <w:rPr>
          <w:rStyle w:val="Text7"/>
        </w:rPr>
        <w:t xml:space="preserve">(</w:t>
        <w:br w:clear="none"/>
      </w:r>
      <w:r>
        <w:t xml:space="preserve">'</w:t>
        <w:br w:clear="none"/>
        <w:t xml:space="preserve">RED</w:t>
        <w:br w:clear="none"/>
        <w:t xml:space="preserve">'</w:t>
        <w:br w:clear="none"/>
      </w:r>
      <w:r>
        <w:rPr>
          <w:rStyle w:val="Text7"/>
        </w:rPr>
        <w:t xml:space="preserve">,</w:t>
        <w:br w:clear="none"/>
      </w:r>
      <w:r>
        <w:rPr>
          <w:rStyle w:val="Text6"/>
        </w:rPr>
        <w:t xml:space="preserve"> </w:t>
        <w:br w:clear="none"/>
      </w:r>
      <w:r>
        <w:t xml:space="preserve">'</w:t>
        <w:br w:clear="none"/>
        <w:t xml:space="preserve">GREEN</w:t>
        <w:br w:clear="none"/>
        <w:t xml:space="preserve">'</w:t>
        <w:br w:clear="none"/>
      </w:r>
      <w:r>
        <w:rPr>
          <w:rStyle w:val="Text7"/>
        </w:rPr>
        <w:t xml:space="preserve">,</w:t>
        <w:br w:clear="none"/>
      </w:r>
      <w:r>
        <w:rPr>
          <w:rStyle w:val="Text6"/>
        </w:rPr>
        <w:t xml:space="preserve"> </w:t>
        <w:br w:clear="none"/>
      </w:r>
      <w:r>
        <w:t xml:space="preserve">'</w:t>
        <w:br w:clear="none"/>
        <w:t xml:space="preserve">BLUE</w:t>
        <w:br w:clear="none"/>
        <w:t xml:space="preserve">'</w:t>
        <w:br w:clear="none"/>
      </w:r>
      <w:r>
        <w:rPr>
          <w:rStyle w:val="Text7"/>
        </w:rPr>
        <w:t xml:space="preserve">)</w:t>
        <w:br w:clear="none"/>
        <w:t xml:space="preserve">)</w:t>
        <w:br w:clear="none"/>
      </w:r>
      <w:r>
        <w:rPr>
          <w:rStyle w:val="Text6"/>
        </w:rPr>
        <w:t xml:space="preserve"/>
        <w:br w:clear="none"/>
      </w:r>
      <w:r>
        <w:rPr>
          <w:rStyle w:val="Text9"/>
        </w:rPr>
        <w:t xml:space="preserve">Size</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Enum</w:t>
        <w:br w:clear="none"/>
      </w:r>
      <w:r>
        <w:rPr>
          <w:rStyle w:val="Text7"/>
        </w:rPr>
        <w:t xml:space="preserve">(</w:t>
        <w:br w:clear="none"/>
      </w:r>
      <w:r>
        <w:t xml:space="preserve">'</w:t>
        <w:br w:clear="none"/>
        <w:t xml:space="preserve">Size</w:t>
        <w:br w:clear="none"/>
        <w:t xml:space="preserve">'</w:t>
        <w:br w:clear="none"/>
      </w:r>
      <w:r>
        <w:rPr>
          <w:rStyle w:val="Text7"/>
        </w:rPr>
        <w:t xml:space="preserve">,</w:t>
        <w:br w:clear="none"/>
      </w:r>
      <w:r>
        <w:rPr>
          <w:rStyle w:val="Text6"/>
        </w:rPr>
        <w:t xml:space="preserve"> </w:t>
        <w:br w:clear="none"/>
      </w:r>
      <w:r>
        <w:t xml:space="preserve">'</w:t>
        <w:br w:clear="none"/>
        <w:t xml:space="preserve">XS S M L XL</w:t>
        <w:br w:clear="none"/>
        <w:t xml:space="preserve">'</w:t>
        <w:br w:clear="none"/>
      </w:r>
      <w:r>
        <w:rPr>
          <w:rStyle w:val="Text7"/>
        </w:rPr>
        <w:t xml:space="preserve">)</w:t>
        <w:br w:clear="none"/>
      </w:r>
    </w:p>
    <w:p>
      <w:pPr>
        <w:pStyle w:val="Para 012"/>
        <w:keepLines w:val="on"/>
      </w:pPr>
      <w:r>
        <w:t xml:space="preserve">When you </w:t>
      </w:r>
      <w:r>
        <w:rPr>
          <w:rStyle w:val="Text4"/>
        </w:rPr>
        <w:t>call</w:t>
      </w:r>
      <w:r>
        <w:t xml:space="preserve"> </w:t>
      </w:r>
      <w:r>
        <w:rPr>
          <w:rStyle w:val="Text0"/>
        </w:rPr>
        <w:t>Enum</w:t>
      </w:r>
      <w:r>
        <w:t xml:space="preserve"> (rather than explicitly subclassing it in a class statement), the first argument is the name of the subclass you’re building; the second argument gives all the names of that subclass’s members, either as a sequence of strings or as a single whitespace-separated (or comma-separated) string.</w:t>
      </w:r>
    </w:p>
    <w:p>
      <w:pPr>
        <w:pStyle w:val="Para 012"/>
        <w:keepLines w:val="on"/>
      </w:pPr>
      <w:r>
        <w:t xml:space="preserve">We recommend that you define </w:t>
      </w:r>
      <w:r>
        <w:rPr>
          <w:rStyle w:val="Text0"/>
        </w:rPr>
        <w:t>Enum</w:t>
      </w:r>
      <w:r>
        <w:t xml:space="preserve"> subclasses using class inheritance syntax, instead of this abbreviated form. The </w:t>
      </w:r>
      <w:r>
        <w:rPr>
          <w:rStyle w:val="Text5"/>
        </w:rPr>
        <w:t>class</w:t>
      </w:r>
      <w:r>
        <w:t xml:space="preserve"> form is more visually explicit, so it is easier to see if a member is missing, misspelled, or added later.</w:t>
      </w:r>
    </w:p>
    <w:p>
      <w:pPr>
        <w:pStyle w:val="Normal"/>
      </w:pPr>
      <w:r>
        <w:t xml:space="preserve">The values within an enum are called its </w:t>
      </w:r>
      <w:r>
        <w:rPr>
          <w:rStyle w:val="Text4"/>
        </w:rPr>
        <w:t>members</w:t>
      </w:r>
      <w:r>
        <w:t>. It is conventional to use all uppercase characters to name enum members, treating them much as though they were manifest constants. Typical uses of the members of an enum are assignment and identity checking:</w:t>
      </w:r>
    </w:p>
    <w:p>
      <w:pPr>
        <w:pStyle w:val="Para 007"/>
      </w:pPr>
      <w:r>
        <w:rPr>
          <w:rStyle w:val="Text23"/>
        </w:rPr>
        <w:t xml:space="preserve"/>
        <w:br w:clear="none"/>
      </w:r>
      <w:r>
        <w:rPr>
          <w:rStyle w:val="Text10"/>
        </w:rPr>
        <w:t xml:space="preserve">while</w:t>
        <w:br w:clear="none"/>
      </w:r>
      <w:r>
        <w:rPr>
          <w:rStyle w:val="Text6"/>
        </w:rPr>
        <w:t xml:space="preserve"> </w:t>
        <w:br w:clear="none"/>
      </w:r>
      <w:r>
        <w:t xml:space="preserve">process_state</w:t>
        <w:br w:clear="none"/>
      </w:r>
      <w:r>
        <w:rPr>
          <w:rStyle w:val="Text6"/>
        </w:rPr>
        <w:t xml:space="preserve"> </w:t>
        <w:br w:clear="none"/>
      </w:r>
      <w:r>
        <w:rPr>
          <w:rStyle w:val="Text31"/>
        </w:rPr>
        <w:t xml:space="preserve">is</w:t>
        <w:br w:clear="none"/>
      </w:r>
      <w:r>
        <w:rPr>
          <w:rStyle w:val="Text6"/>
        </w:rPr>
        <w:t xml:space="preserve"> </w:t>
        <w:br w:clear="none"/>
      </w:r>
      <w:r>
        <w:t xml:space="preserve">ProcessState</w:t>
        <w:br w:clear="none"/>
      </w:r>
      <w:r>
        <w:rPr>
          <w:rStyle w:val="Text13"/>
        </w:rPr>
        <w:t xml:space="preserve">.</w:t>
        <w:br w:clear="none"/>
      </w:r>
      <w:r>
        <w:t xml:space="preserve">RUNNING</w:t>
        <w:br w:clear="none"/>
      </w:r>
      <w:r>
        <w:rPr>
          <w:rStyle w:val="Text7"/>
        </w:rPr>
        <w:t xml:space="preserve">:</w:t>
        <w:br w:clear="none"/>
      </w:r>
      <w:r>
        <w:rPr>
          <w:rStyle w:val="Text6"/>
        </w:rPr>
        <w:t xml:space="preserve"/>
        <w:br w:clear="none"/>
      </w:r>
      <w:r>
        <w:rPr>
          <w:rStyle w:val="Text11"/>
        </w:rPr>
        <w:t xml:space="preserve">    </w:t>
        <w:br w:clear="none"/>
      </w:r>
      <w:r>
        <w:rPr>
          <w:rStyle w:val="Text15"/>
        </w:rPr>
        <w:t xml:space="preserve"># running process code goes here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processing_completed</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process_state</w:t>
        <w:br w:clear="none"/>
      </w:r>
      <w:r>
        <w:rPr>
          <w:rStyle w:val="Text6"/>
        </w:rPr>
        <w:t xml:space="preserve"> </w:t>
        <w:br w:clear="none"/>
      </w:r>
      <w:r>
        <w:rPr>
          <w:rStyle w:val="Text13"/>
        </w:rPr>
        <w:t xml:space="preserve">=</w:t>
        <w:br w:clear="none"/>
      </w:r>
      <w:r>
        <w:rPr>
          <w:rStyle w:val="Text6"/>
        </w:rPr>
        <w:t xml:space="preserve"> </w:t>
        <w:br w:clear="none"/>
      </w:r>
      <w:r>
        <w:t xml:space="preserve">ProcessState</w:t>
        <w:br w:clear="none"/>
      </w:r>
      <w:r>
        <w:rPr>
          <w:rStyle w:val="Text13"/>
        </w:rPr>
        <w:t xml:space="preserve">.</w:t>
        <w:br w:clear="none"/>
      </w:r>
      <w:r>
        <w:t xml:space="preserve">IDLE</w:t>
        <w:br w:clear="none"/>
      </w:r>
    </w:p>
    <w:p>
      <w:pPr>
        <w:pStyle w:val="Normal"/>
      </w:pPr>
      <w:r>
        <w:t xml:space="preserve">You can obtain all members of an </w:t>
      </w:r>
      <w:r>
        <w:rPr>
          <w:rStyle w:val="Text0"/>
        </w:rPr>
        <w:t>Enum</w:t>
      </w:r>
      <w:r>
        <w:t xml:space="preserve"> by iterating over the </w:t>
      </w:r>
      <w:r>
        <w:rPr>
          <w:rStyle w:val="Text0"/>
        </w:rPr>
        <w:t>Enum</w:t>
      </w:r>
      <w:r>
        <w:t xml:space="preserve"> class itself, or from the class’s </w:t>
      </w:r>
      <w:r>
        <w:rPr>
          <w:rStyle w:val="Text0"/>
        </w:rPr>
        <w:t>__members__</w:t>
      </w:r>
      <w:r>
        <w:t xml:space="preserve"> attribute. </w:t>
      </w:r>
      <w:r>
        <w:rPr>
          <w:rStyle w:val="Text0"/>
        </w:rPr>
        <w:t>Enum</w:t>
      </w:r>
      <w:r>
        <w:t xml:space="preserve"> members are all global singletons, so comparison</w:t>
      </w:r>
      <w:r>
        <w:rPr>
          <w:rStyle w:val="Text111"/>
        </w:rPr>
        <w:bookmarkStart w:id="1593" w:name="idm45965252804752"/>
        <w:t/>
        <w:bookmarkEnd w:id="1593"/>
      </w:r>
      <w:r>
        <w:t xml:space="preserve"> with </w:t>
      </w:r>
      <w:r>
        <w:rPr>
          <w:rStyle w:val="Text5"/>
        </w:rPr>
        <w:t>is</w:t>
      </w:r>
      <w:r>
        <w:t xml:space="preserve"> and</w:t>
      </w:r>
      <w:r>
        <w:rPr>
          <w:rStyle w:val="Text111"/>
        </w:rPr>
        <w:bookmarkStart w:id="1594" w:name="idm45965252802640"/>
        <w:t/>
        <w:bookmarkEnd w:id="1594"/>
      </w:r>
      <w:r>
        <w:t xml:space="preserve"> </w:t>
      </w:r>
      <w:r>
        <w:rPr>
          <w:rStyle w:val="Text5"/>
        </w:rPr>
        <w:t>is not</w:t>
      </w:r>
      <w:r>
        <w:t xml:space="preserve"> is preferred over </w:t>
      </w:r>
      <w:r>
        <w:rPr>
          <w:rStyle w:val="Text0"/>
        </w:rPr>
        <w:t>==</w:t>
      </w:r>
      <w:r>
        <w:t xml:space="preserve"> or </w:t>
      </w:r>
      <w:r>
        <w:rPr>
          <w:rStyle w:val="Text0"/>
        </w:rPr>
        <w:t>!=</w:t>
      </w:r>
      <w:r>
        <w:t>.</w:t>
      </w:r>
    </w:p>
    <w:p>
      <w:pPr>
        <w:pStyle w:val="Normal"/>
      </w:pPr>
      <w:r>
        <w:t xml:space="preserve">The </w:t>
      </w:r>
      <w:r>
        <w:rPr>
          <w:rStyle w:val="Text0"/>
        </w:rPr>
        <w:t>enum</w:t>
      </w:r>
      <w:r>
        <w:t xml:space="preserve"> module contains several classes</w:t>
      </w:r>
      <w:hyperlink w:anchor="20_enum_s_specialized_metaclass">
        <w:r>
          <w:rPr>
            <w:rStyle w:val="Text41"/>
          </w:rPr>
          <w:bookmarkStart w:id="1595" w:name="20_1"/>
          <w:t>20</w:t>
          <w:bookmarkEnd w:id="1595"/>
        </w:r>
      </w:hyperlink>
      <w:r>
        <w:t xml:space="preserve"> to support different forms of enums, listed in </w:t>
      </w:r>
      <w:hyperlink w:anchor="Table_4_9__enum_classes">
        <w:r>
          <w:rPr>
            <w:rStyle w:val="Text1"/>
          </w:rPr>
          <w:t>Table 4-9</w:t>
        </w:r>
      </w:hyperlink>
      <w:r>
        <w:t>.</w:t>
      </w:r>
    </w:p>
    <w:tbl>
      <w:tblPr>
        <w:tblW w:type="auto" w:w="0"/>
      </w:tblPr>
      <w:tr>
        <w:tc>
          <w:tcPr>
            <w:tcW w:type="auto" w:w="0"/>
            <w:tcMar>
              <w:left w:type="dxa" w:w="200"/>
              <w:top w:type="dxa" w:w="200"/>
              <w:right w:type="dxa" w:w="200"/>
              <w:bottom w:type="dxa" w:w="200"/>
            </w:tcMar>
            <w:vAlign w:val="center"/>
          </w:tcPr>
          <w:p>
            <w:bookmarkStart w:id="1596" w:name="Table_4_9__enum_classes"/>
            <w:pPr>
              <w:pStyle w:val="Para 011"/>
            </w:pPr>
            <w:r>
              <w:rPr>
                <w:rStyle w:val="Text117"/>
              </w:rPr>
              <w:t/>
            </w:r>
            <w:r>
              <w:t xml:space="preserve">Table 4-9. </w:t>
            </w:r>
            <w:r>
              <w:rPr>
                <w:rStyle w:val="Text0"/>
              </w:rPr>
              <w:t>enum</w:t>
            </w:r>
            <w:r>
              <w:t xml:space="preserve"> classes</w:t>
            </w:r>
            <w:bookmarkEnd w:id="1596"/>
          </w:p>
          <w:p>
            <w:pPr>
              <w:pStyle w:val="Para 013"/>
            </w:pPr>
            <w:r>
              <w:t>Class</w:t>
            </w:r>
          </w:p>
        </w:tc>
        <w:tc>
          <w:tcPr>
            <w:tcW w:type="auto" w:w="0"/>
            <w:tcMar>
              <w:left w:type="dxa" w:w="200"/>
              <w:top w:type="dxa" w:w="200"/>
              <w:right w:type="dxa" w:w="200"/>
              <w:bottom w:type="dxa" w:w="200"/>
            </w:tcMar>
            <w:vAlign w:val="center"/>
          </w:tcPr>
          <w:p>
            <w:pPr>
              <w:pStyle w:val="Para 013"/>
            </w:pPr>
            <w:r>
              <w:t>Description</w:t>
            </w:r>
          </w:p>
        </w:tc>
      </w:tr>
    </w:tbl>
    <w:tbl>
      <w:tblPr>
        <w:tblW w:type="auto" w:w="0"/>
      </w:tblPr>
      <w:tr>
        <w:tc>
          <w:tcPr>
            <w:tcW w:type="auto" w:w="0"/>
            <w:tcMar>
              <w:left w:type="dxa" w:w="200"/>
              <w:top w:type="dxa" w:w="200"/>
              <w:right w:type="dxa" w:w="200"/>
              <w:bottom w:type="dxa" w:w="200"/>
            </w:tcMar>
          </w:tcPr>
          <w:p>
            <w:pPr>
              <w:pStyle w:val="Para 001"/>
            </w:pPr>
            <w:r>
              <w:t>Enum</w:t>
            </w:r>
          </w:p>
        </w:tc>
        <w:tc>
          <w:tcPr>
            <w:tcW w:type="auto" w:w="0"/>
            <w:tcMar>
              <w:left w:type="dxa" w:w="200"/>
              <w:top w:type="dxa" w:w="200"/>
              <w:right w:type="dxa" w:w="200"/>
              <w:bottom w:type="dxa" w:w="200"/>
            </w:tcMar>
          </w:tcPr>
          <w:p>
            <w:pPr>
              <w:pStyle w:val="Para 002"/>
            </w:pPr>
            <w:r>
              <w:t xml:space="preserve">Basic enumeration class; member values can be any Python object, typically </w:t>
            </w:r>
            <w:r>
              <w:rPr>
                <w:rStyle w:val="Text0"/>
              </w:rPr>
              <w:t>int</w:t>
            </w:r>
            <w:r>
              <w:t xml:space="preserve">s or </w:t>
            </w:r>
            <w:r>
              <w:rPr>
                <w:rStyle w:val="Text0"/>
              </w:rPr>
              <w:t>str</w:t>
            </w:r>
            <w:r>
              <w:t xml:space="preserve">s, but do not support </w:t>
            </w:r>
            <w:r>
              <w:rPr>
                <w:rStyle w:val="Text0"/>
              </w:rPr>
              <w:t>int</w:t>
            </w:r>
            <w:r>
              <w:t xml:space="preserve"> or </w:t>
            </w:r>
            <w:r>
              <w:rPr>
                <w:rStyle w:val="Text0"/>
              </w:rPr>
              <w:t>str</w:t>
            </w:r>
            <w:r>
              <w:t xml:space="preserve"> methods. Useful for defining enumerated types whose members are an unordered group.</w:t>
            </w:r>
          </w:p>
        </w:tc>
      </w:tr>
    </w:tbl>
    <w:tbl>
      <w:tblPr>
        <w:tblW w:type="auto" w:w="0"/>
      </w:tblPr>
      <w:tr>
        <w:tc>
          <w:tcPr>
            <w:tcW w:type="auto" w:w="0"/>
            <w:shd w:val="clear" w:color="auto" w:fill="EEF2F6"/>
            <w:tcMar>
              <w:left w:type="dxa" w:w="200"/>
              <w:top w:type="dxa" w:w="200"/>
              <w:right w:type="dxa" w:w="200"/>
              <w:bottom w:type="dxa" w:w="200"/>
            </w:tcMar>
          </w:tcPr>
          <w:p>
            <w:pPr>
              <w:pStyle w:val="Para 001"/>
            </w:pPr>
            <w:r>
              <w:t>Flag</w:t>
            </w:r>
          </w:p>
        </w:tc>
        <w:tc>
          <w:tcPr>
            <w:tcW w:type="auto" w:w="0"/>
            <w:shd w:val="clear" w:color="auto" w:fill="EEF2F6"/>
            <w:tcMar>
              <w:left w:type="dxa" w:w="200"/>
              <w:top w:type="dxa" w:w="200"/>
              <w:right w:type="dxa" w:w="200"/>
              <w:bottom w:type="dxa" w:w="200"/>
            </w:tcMar>
          </w:tcPr>
          <w:p>
            <w:pPr>
              <w:pStyle w:val="Para 002"/>
            </w:pPr>
            <w:r>
              <w:t xml:space="preserve">Used to define enums that you can combine with operators </w:t>
            </w:r>
            <w:r>
              <w:rPr>
                <w:rStyle w:val="Text0"/>
              </w:rPr>
              <w:t>|</w:t>
            </w:r>
            <w:r>
              <w:t xml:space="preserve">, </w:t>
            </w:r>
            <w:r>
              <w:rPr>
                <w:rStyle w:val="Text0"/>
              </w:rPr>
              <w:t>&amp;</w:t>
            </w:r>
            <w:r>
              <w:t xml:space="preserve">, </w:t>
            </w:r>
            <w:r>
              <w:rPr>
                <w:rStyle w:val="Text0"/>
              </w:rPr>
              <w:t>^</w:t>
            </w:r>
            <w:r>
              <w:t xml:space="preserve">, and </w:t>
            </w:r>
            <w:r>
              <w:rPr>
                <w:rStyle w:val="Text0"/>
              </w:rPr>
              <w:t>~</w:t>
            </w:r>
            <w:r>
              <w:t xml:space="preserve">; member values must be defined as </w:t>
            </w:r>
            <w:r>
              <w:rPr>
                <w:rStyle w:val="Text0"/>
              </w:rPr>
              <w:t>int</w:t>
            </w:r>
            <w:r>
              <w:t xml:space="preserve">s to support these bitwise operations (Python, however, assumes no ordering among them). </w:t>
            </w:r>
            <w:r>
              <w:rPr>
                <w:rStyle w:val="Text0"/>
              </w:rPr>
              <w:t>Flag</w:t>
            </w:r>
            <w:r>
              <w:t xml:space="preserve"> members with a </w:t>
            </w:r>
            <w:r>
              <w:rPr>
                <w:rStyle w:val="Text0"/>
              </w:rPr>
              <w:t>0</w:t>
            </w:r>
            <w:r>
              <w:t xml:space="preserve"> value are falsy; other members are truthy. Useful when you create or check values with bitwise operations (e.g., file permissions). To support bitwise operations, you generally use powers of 2 (1, 2, 4, 8, etc.) as member values.</w:t>
            </w:r>
          </w:p>
        </w:tc>
      </w:tr>
    </w:tbl>
    <w:tbl>
      <w:tblPr>
        <w:tblW w:type="auto" w:w="0"/>
      </w:tblPr>
      <w:tr>
        <w:tc>
          <w:tcPr>
            <w:tcW w:type="auto" w:w="0"/>
            <w:tcMar>
              <w:left w:type="dxa" w:w="200"/>
              <w:top w:type="dxa" w:w="200"/>
              <w:right w:type="dxa" w:w="200"/>
              <w:bottom w:type="dxa" w:w="200"/>
            </w:tcMar>
          </w:tcPr>
          <w:p>
            <w:pPr>
              <w:pStyle w:val="Para 001"/>
            </w:pPr>
            <w:r>
              <w:t>IntEnum</w:t>
            </w:r>
          </w:p>
        </w:tc>
        <w:tc>
          <w:tcPr>
            <w:tcW w:type="auto" w:w="0"/>
            <w:tcMar>
              <w:left w:type="dxa" w:w="200"/>
              <w:top w:type="dxa" w:w="200"/>
              <w:right w:type="dxa" w:w="200"/>
              <w:bottom w:type="dxa" w:w="200"/>
            </w:tcMar>
          </w:tcPr>
          <w:p>
            <w:pPr>
              <w:pStyle w:val="Para 002"/>
            </w:pPr>
            <w:r>
              <w:t xml:space="preserve">Equivalent to </w:t>
            </w:r>
            <w:r>
              <w:rPr>
                <w:rStyle w:val="Text5"/>
              </w:rPr>
              <w:t>class</w:t>
            </w:r>
            <w:r>
              <w:t xml:space="preserve"> </w:t>
            </w:r>
            <w:r>
              <w:rPr>
                <w:rStyle w:val="Text0"/>
              </w:rPr>
              <w:t>IntEnum(</w:t>
            </w:r>
            <w:r>
              <w:rPr>
                <w:rStyle w:val="Text3"/>
              </w:rPr>
              <w:t>int</w:t>
            </w:r>
            <w:r>
              <w:rPr>
                <w:rStyle w:val="Text0"/>
              </w:rPr>
              <w:t>,</w:t>
            </w:r>
            <w:r>
              <w:t xml:space="preserve"> </w:t>
            </w:r>
            <w:r>
              <w:rPr>
                <w:rStyle w:val="Text3"/>
              </w:rPr>
              <w:t>Enum</w:t>
            </w:r>
            <w:r>
              <w:rPr>
                <w:rStyle w:val="Text0"/>
              </w:rPr>
              <w:t>)</w:t>
            </w:r>
            <w:r>
              <w:t xml:space="preserve">; member values are </w:t>
            </w:r>
            <w:r>
              <w:rPr>
                <w:rStyle w:val="Text0"/>
              </w:rPr>
              <w:t>int</w:t>
            </w:r>
            <w:r>
              <w:t xml:space="preserve">s and support all </w:t>
            </w:r>
            <w:r>
              <w:rPr>
                <w:rStyle w:val="Text0"/>
              </w:rPr>
              <w:t>int</w:t>
            </w:r>
            <w:r>
              <w:t xml:space="preserve"> operations, including ordering. Useful when order among values is significant, such as when defining logging levels.</w:t>
            </w:r>
          </w:p>
        </w:tc>
      </w:tr>
    </w:tbl>
    <w:tbl>
      <w:tblPr>
        <w:tblW w:type="auto" w:w="0"/>
      </w:tblPr>
      <w:tr>
        <w:tc>
          <w:tcPr>
            <w:tcW w:type="auto" w:w="0"/>
            <w:shd w:val="clear" w:color="auto" w:fill="EEF2F6"/>
            <w:tcMar>
              <w:left w:type="dxa" w:w="200"/>
              <w:top w:type="dxa" w:w="200"/>
              <w:right w:type="dxa" w:w="200"/>
              <w:bottom w:type="dxa" w:w="200"/>
            </w:tcMar>
          </w:tcPr>
          <w:p>
            <w:pPr>
              <w:pStyle w:val="Para 001"/>
            </w:pPr>
            <w:r>
              <w:t>IntFlag</w:t>
            </w:r>
          </w:p>
        </w:tc>
        <w:tc>
          <w:tcPr>
            <w:tcW w:type="auto" w:w="0"/>
            <w:shd w:val="clear" w:color="auto" w:fill="EEF2F6"/>
            <w:tcMar>
              <w:left w:type="dxa" w:w="200"/>
              <w:top w:type="dxa" w:w="200"/>
              <w:right w:type="dxa" w:w="200"/>
              <w:bottom w:type="dxa" w:w="200"/>
            </w:tcMar>
          </w:tcPr>
          <w:p>
            <w:pPr>
              <w:pStyle w:val="Para 002"/>
            </w:pPr>
            <w:r>
              <w:t xml:space="preserve">Equivalent to </w:t>
            </w:r>
            <w:r>
              <w:rPr>
                <w:rStyle w:val="Text5"/>
              </w:rPr>
              <w:t>class</w:t>
            </w:r>
            <w:r>
              <w:t xml:space="preserve"> </w:t>
            </w:r>
            <w:r>
              <w:rPr>
                <w:rStyle w:val="Text0"/>
              </w:rPr>
              <w:t>IntFlag(</w:t>
            </w:r>
            <w:r>
              <w:rPr>
                <w:rStyle w:val="Text3"/>
              </w:rPr>
              <w:t>int</w:t>
            </w:r>
            <w:r>
              <w:rPr>
                <w:rStyle w:val="Text0"/>
              </w:rPr>
              <w:t>,</w:t>
            </w:r>
            <w:r>
              <w:t xml:space="preserve"> </w:t>
            </w:r>
            <w:r>
              <w:rPr>
                <w:rStyle w:val="Text3"/>
              </w:rPr>
              <w:t>Flag</w:t>
            </w:r>
            <w:r>
              <w:rPr>
                <w:rStyle w:val="Text0"/>
              </w:rPr>
              <w:t>)</w:t>
            </w:r>
            <w:r>
              <w:t xml:space="preserve">; member values are </w:t>
            </w:r>
            <w:r>
              <w:rPr>
                <w:rStyle w:val="Text0"/>
              </w:rPr>
              <w:t>int</w:t>
            </w:r>
            <w:r>
              <w:t xml:space="preserve">s (usually, powers of 2) supporting all </w:t>
            </w:r>
            <w:r>
              <w:rPr>
                <w:rStyle w:val="Text0"/>
              </w:rPr>
              <w:t>int</w:t>
            </w:r>
            <w:r>
              <w:t xml:space="preserve"> operations, including comparisons.</w:t>
            </w:r>
          </w:p>
        </w:tc>
      </w:tr>
    </w:tbl>
    <w:tbl>
      <w:tblPr>
        <w:tblW w:type="auto" w:w="0"/>
      </w:tblPr>
      <w:tr>
        <w:tc>
          <w:tcPr>
            <w:tcW w:type="auto" w:w="0"/>
            <w:tcMar>
              <w:left w:type="dxa" w:w="200"/>
              <w:top w:type="dxa" w:w="200"/>
              <w:right w:type="dxa" w:w="200"/>
              <w:bottom w:type="dxa" w:w="200"/>
            </w:tcMar>
          </w:tcPr>
          <w:p>
            <w:pPr>
              <w:pStyle w:val="Para 001"/>
            </w:pPr>
            <w:r>
              <w:t>StrEnum</w:t>
            </w:r>
          </w:p>
        </w:tc>
        <w:tc>
          <w:tcPr>
            <w:tcW w:type="auto" w:w="0"/>
            <w:tcMar>
              <w:left w:type="dxa" w:w="200"/>
              <w:top w:type="dxa" w:w="200"/>
              <w:right w:type="dxa" w:w="200"/>
              <w:bottom w:type="dxa" w:w="200"/>
            </w:tcMar>
          </w:tcPr>
          <w:p>
            <w:pPr>
              <w:pStyle w:val="Para 002"/>
            </w:pPr>
            <w:r>
              <w:rPr>
                <w:rStyle w:val="Text34"/>
              </w:rPr>
              <w:t>3.11+</w:t>
            </w:r>
            <w:r>
              <w:t xml:space="preserve"> Equivalent to </w:t>
            </w:r>
            <w:r>
              <w:rPr>
                <w:rStyle w:val="Text5"/>
              </w:rPr>
              <w:t>class</w:t>
            </w:r>
            <w:r>
              <w:t xml:space="preserve"> </w:t>
            </w:r>
            <w:r>
              <w:rPr>
                <w:rStyle w:val="Text0"/>
              </w:rPr>
              <w:t>StrEnum(</w:t>
            </w:r>
            <w:r>
              <w:rPr>
                <w:rStyle w:val="Text3"/>
              </w:rPr>
              <w:t>str</w:t>
            </w:r>
            <w:r>
              <w:rPr>
                <w:rStyle w:val="Text0"/>
              </w:rPr>
              <w:t>,</w:t>
            </w:r>
            <w:r>
              <w:t xml:space="preserve"> </w:t>
            </w:r>
            <w:r>
              <w:rPr>
                <w:rStyle w:val="Text3"/>
              </w:rPr>
              <w:t>Enum</w:t>
            </w:r>
            <w:r>
              <w:rPr>
                <w:rStyle w:val="Text0"/>
              </w:rPr>
              <w:t>)</w:t>
            </w:r>
            <w:r>
              <w:t xml:space="preserve">; member values are </w:t>
            </w:r>
            <w:r>
              <w:rPr>
                <w:rStyle w:val="Text0"/>
              </w:rPr>
              <w:t>str</w:t>
            </w:r>
            <w:r>
              <w:t xml:space="preserve">s and support all </w:t>
            </w:r>
            <w:r>
              <w:rPr>
                <w:rStyle w:val="Text0"/>
              </w:rPr>
              <w:t>str</w:t>
            </w:r>
            <w:r>
              <w:t xml:space="preserve"> operations.</w:t>
            </w:r>
          </w:p>
        </w:tc>
      </w:tr>
    </w:tbl>
    <w:p>
      <w:pPr>
        <w:pStyle w:val="Normal"/>
      </w:pPr>
      <w:r>
        <w:t xml:space="preserve">The </w:t>
      </w:r>
      <w:r>
        <w:rPr>
          <w:rStyle w:val="Text0"/>
        </w:rPr>
        <w:t>enum</w:t>
      </w:r>
      <w:r>
        <w:t xml:space="preserve"> module also defines some support functions, listed in </w:t>
      </w:r>
      <w:hyperlink w:anchor="Table_4_10__enum_support_functio">
        <w:r>
          <w:rPr>
            <w:rStyle w:val="Text1"/>
          </w:rPr>
          <w:t>Table 4-10</w:t>
        </w:r>
      </w:hyperlink>
      <w:r>
        <w:t>.</w:t>
      </w:r>
    </w:p>
    <w:tbl>
      <w:tblPr>
        <w:tblW w:type="auto" w:w="0"/>
      </w:tblPr>
      <w:tr>
        <w:tc>
          <w:tcPr>
            <w:tcW w:type="auto" w:w="0"/>
            <w:tcMar>
              <w:left w:type="dxa" w:w="200"/>
              <w:top w:type="dxa" w:w="200"/>
              <w:right w:type="dxa" w:w="200"/>
              <w:bottom w:type="dxa" w:w="200"/>
            </w:tcMar>
            <w:vAlign w:val="center"/>
          </w:tcPr>
          <w:p>
            <w:bookmarkStart w:id="1597" w:name="Table_4_10__enum_support_functio"/>
            <w:pPr>
              <w:pStyle w:val="Para 011"/>
            </w:pPr>
            <w:r>
              <w:rPr>
                <w:rStyle w:val="Text117"/>
              </w:rPr>
              <w:t/>
            </w:r>
            <w:r>
              <w:t xml:space="preserve">Table 4-10. </w:t>
            </w:r>
            <w:r>
              <w:rPr>
                <w:rStyle w:val="Text0"/>
              </w:rPr>
              <w:t>enum</w:t>
            </w:r>
            <w:r>
              <w:t xml:space="preserve"> support functions</w:t>
            </w:r>
            <w:bookmarkEnd w:id="1597"/>
          </w:p>
          <w:p>
            <w:pPr>
              <w:pStyle w:val="Para 013"/>
            </w:pPr>
            <w:r>
              <w:t>Support function</w:t>
            </w:r>
          </w:p>
        </w:tc>
        <w:tc>
          <w:tcPr>
            <w:tcW w:type="auto" w:w="0"/>
            <w:tcMar>
              <w:left w:type="dxa" w:w="200"/>
              <w:top w:type="dxa" w:w="200"/>
              <w:right w:type="dxa" w:w="200"/>
              <w:bottom w:type="dxa" w:w="200"/>
            </w:tcMar>
            <w:vAlign w:val="center"/>
          </w:tcPr>
          <w:p>
            <w:pPr>
              <w:pStyle w:val="Para 013"/>
            </w:pPr>
            <w:r>
              <w:t>Description</w:t>
            </w:r>
          </w:p>
        </w:tc>
      </w:tr>
    </w:tbl>
    <w:tbl>
      <w:tblPr>
        <w:tblW w:type="auto" w:w="0"/>
      </w:tblPr>
      <w:tr>
        <w:tc>
          <w:tcPr>
            <w:tcW w:type="auto" w:w="0"/>
            <w:tcMar>
              <w:left w:type="dxa" w:w="200"/>
              <w:top w:type="dxa" w:w="200"/>
              <w:right w:type="dxa" w:w="200"/>
              <w:bottom w:type="dxa" w:w="200"/>
            </w:tcMar>
          </w:tcPr>
          <w:p>
            <w:pPr>
              <w:pStyle w:val="Para 001"/>
            </w:pPr>
            <w:r>
              <w:t>auto</w:t>
            </w:r>
          </w:p>
        </w:tc>
        <w:tc>
          <w:tcPr>
            <w:tcW w:type="auto" w:w="0"/>
            <w:tcMar>
              <w:left w:type="dxa" w:w="200"/>
              <w:top w:type="dxa" w:w="200"/>
              <w:right w:type="dxa" w:w="200"/>
              <w:bottom w:type="dxa" w:w="200"/>
            </w:tcMar>
          </w:tcPr>
          <w:p>
            <w:pPr>
              <w:pStyle w:val="Para 002"/>
            </w:pPr>
            <w:r>
              <w:t xml:space="preserve">Autoincrements member values as you define them. Values typically start at </w:t>
            </w:r>
            <w:r>
              <w:rPr>
                <w:rStyle w:val="Text0"/>
              </w:rPr>
              <w:t>1</w:t>
            </w:r>
            <w:r>
              <w:t xml:space="preserve"> and increment by 1; for </w:t>
            </w:r>
            <w:r>
              <w:rPr>
                <w:rStyle w:val="Text0"/>
              </w:rPr>
              <w:t>Flag</w:t>
            </w:r>
            <w:r>
              <w:t>, increments are in powers of 2.</w:t>
            </w:r>
          </w:p>
        </w:tc>
      </w:tr>
    </w:tbl>
    <w:tbl>
      <w:tblPr>
        <w:tblW w:type="auto" w:w="0"/>
      </w:tblPr>
      <w:tr>
        <w:tc>
          <w:tcPr>
            <w:tcW w:type="auto" w:w="0"/>
            <w:shd w:val="clear" w:color="auto" w:fill="EEF2F6"/>
            <w:tcMar>
              <w:left w:type="dxa" w:w="200"/>
              <w:top w:type="dxa" w:w="200"/>
              <w:right w:type="dxa" w:w="200"/>
              <w:bottom w:type="dxa" w:w="200"/>
            </w:tcMar>
          </w:tcPr>
          <w:p>
            <w:pPr>
              <w:pStyle w:val="Para 001"/>
            </w:pPr>
            <w:r>
              <w:t>unique</w:t>
            </w:r>
          </w:p>
        </w:tc>
        <w:tc>
          <w:tcPr>
            <w:tcW w:type="auto" w:w="0"/>
            <w:shd w:val="clear" w:color="auto" w:fill="EEF2F6"/>
            <w:tcMar>
              <w:left w:type="dxa" w:w="200"/>
              <w:top w:type="dxa" w:w="200"/>
              <w:right w:type="dxa" w:w="200"/>
              <w:bottom w:type="dxa" w:w="200"/>
            </w:tcMar>
          </w:tcPr>
          <w:p>
            <w:pPr>
              <w:pStyle w:val="Para 002"/>
            </w:pPr>
            <w:r>
              <w:t>Class decorator to ensure that members’ values differ from each other.</w:t>
            </w:r>
          </w:p>
        </w:tc>
      </w:tr>
    </w:tbl>
    <w:p>
      <w:pPr>
        <w:pStyle w:val="Normal"/>
      </w:pPr>
      <w:r>
        <w:t xml:space="preserve">The following example shows how to define a </w:t>
      </w:r>
      <w:r>
        <w:rPr>
          <w:rStyle w:val="Text0"/>
        </w:rPr>
        <w:t>Flag</w:t>
      </w:r>
      <w:r>
        <w:t xml:space="preserve"> subclass to work with the file permissions in the </w:t>
      </w:r>
      <w:r>
        <w:rPr>
          <w:rStyle w:val="Text0"/>
        </w:rPr>
        <w:t>st_mode</w:t>
      </w:r>
      <w:r>
        <w:t xml:space="preserve"> attribute returned from calling </w:t>
      </w:r>
      <w:r>
        <w:rPr>
          <w:rStyle w:val="Text0"/>
        </w:rPr>
        <w:t>os.stat</w:t>
      </w:r>
      <w:r>
        <w:t xml:space="preserve"> or </w:t>
      </w:r>
      <w:r>
        <w:rPr>
          <w:rStyle w:val="Text0"/>
        </w:rPr>
        <w:t>Path.stat</w:t>
      </w:r>
      <w:r>
        <w:t xml:space="preserve"> (for a description of the </w:t>
      </w:r>
      <w:r>
        <w:rPr>
          <w:rStyle w:val="Text0"/>
        </w:rPr>
        <w:t>stat</w:t>
      </w:r>
      <w:r>
        <w:t xml:space="preserve"> functions, see </w:t>
      </w:r>
      <w:hyperlink w:anchor="Chapter_11__File_and_Text_Operat_2">
        <w:r>
          <w:rPr>
            <w:rStyle w:val="Text1"/>
          </w:rPr>
          <w:t>Chapter 11</w:t>
        </w:r>
      </w:hyperlink>
      <w:r>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enum</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stat</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Permission</w:t>
        <w:br w:clear="none"/>
      </w:r>
      <w:r>
        <w:rPr>
          <w:rStyle w:val="Text7"/>
        </w:rPr>
        <w:t xml:space="preserve">(</w:t>
        <w:br w:clear="none"/>
      </w:r>
      <w:r>
        <w:t xml:space="preserve">enum</w:t>
        <w:br w:clear="none"/>
      </w:r>
      <w:r>
        <w:rPr>
          <w:rStyle w:val="Text13"/>
        </w:rPr>
        <w:t xml:space="preserve">.</w:t>
        <w:br w:clear="none"/>
      </w:r>
      <w:r>
        <w:t xml:space="preserve">Flag</w:t>
        <w:br w:clear="none"/>
      </w:r>
      <w:r>
        <w:rPr>
          <w:rStyle w:val="Text7"/>
        </w:rPr>
        <w:t xml:space="preserve">)</w:t>
        <w:br w:clear="none"/>
        <w:t xml:space="preserve">:</w:t>
        <w:br w:clear="none"/>
      </w:r>
      <w:r>
        <w:rPr>
          <w:rStyle w:val="Text6"/>
        </w:rPr>
        <w:t xml:space="preserve"/>
        <w:br w:clear="none"/>
        <w:t xml:space="preserve">    </w:t>
        <w:br w:clear="none"/>
      </w:r>
      <w:r>
        <w:t xml:space="preserve">EXEC_OTH</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S_IXOTH</w:t>
        <w:br w:clear="none"/>
      </w:r>
      <w:r>
        <w:rPr>
          <w:rStyle w:val="Text6"/>
        </w:rPr>
        <w:t xml:space="preserve"/>
        <w:br w:clear="none"/>
        <w:t xml:space="preserve">    </w:t>
        <w:br w:clear="none"/>
      </w:r>
      <w:r>
        <w:t xml:space="preserve">WRITE_OTH</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S_IWOTH</w:t>
        <w:br w:clear="none"/>
      </w:r>
      <w:r>
        <w:rPr>
          <w:rStyle w:val="Text6"/>
        </w:rPr>
        <w:t xml:space="preserve"/>
        <w:br w:clear="none"/>
        <w:t xml:space="preserve">    </w:t>
        <w:br w:clear="none"/>
      </w:r>
      <w:r>
        <w:t xml:space="preserve">READ_OTH</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S_IROTH</w:t>
        <w:br w:clear="none"/>
      </w:r>
      <w:r>
        <w:rPr>
          <w:rStyle w:val="Text6"/>
        </w:rPr>
        <w:t xml:space="preserve"/>
        <w:br w:clear="none"/>
        <w:t xml:space="preserve">    </w:t>
        <w:br w:clear="none"/>
      </w:r>
      <w:r>
        <w:t xml:space="preserve">EXEC_GRP</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S_IXGRP</w:t>
        <w:br w:clear="none"/>
      </w:r>
      <w:r>
        <w:rPr>
          <w:rStyle w:val="Text6"/>
        </w:rPr>
        <w:t xml:space="preserve"/>
        <w:br w:clear="none"/>
        <w:t xml:space="preserve">    </w:t>
        <w:br w:clear="none"/>
      </w:r>
      <w:r>
        <w:t xml:space="preserve">WRITE_GRP</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S_IWGRP</w:t>
        <w:br w:clear="none"/>
      </w:r>
      <w:r>
        <w:rPr>
          <w:rStyle w:val="Text6"/>
        </w:rPr>
        <w:t xml:space="preserve"/>
        <w:br w:clear="none"/>
        <w:t xml:space="preserve">    </w:t>
        <w:br w:clear="none"/>
      </w:r>
      <w:r>
        <w:t xml:space="preserve">READ_GRP</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S_IRGRP</w:t>
        <w:br w:clear="none"/>
      </w:r>
      <w:r>
        <w:rPr>
          <w:rStyle w:val="Text6"/>
        </w:rPr>
        <w:t xml:space="preserve"/>
        <w:br w:clear="none"/>
        <w:t xml:space="preserve">    </w:t>
        <w:br w:clear="none"/>
      </w:r>
      <w:r>
        <w:t xml:space="preserve">EXEC_USR</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S_IXUSR</w:t>
        <w:br w:clear="none"/>
      </w:r>
      <w:r>
        <w:rPr>
          <w:rStyle w:val="Text6"/>
        </w:rPr>
        <w:t xml:space="preserve"/>
        <w:br w:clear="none"/>
        <w:t xml:space="preserve">    </w:t>
        <w:br w:clear="none"/>
      </w:r>
      <w:r>
        <w:t xml:space="preserve">WRITE_USR</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S_IWUSR</w:t>
        <w:br w:clear="none"/>
      </w:r>
      <w:r>
        <w:rPr>
          <w:rStyle w:val="Text6"/>
        </w:rPr>
        <w:t xml:space="preserve"/>
        <w:br w:clear="none"/>
        <w:t xml:space="preserve">    </w:t>
        <w:br w:clear="none"/>
      </w:r>
      <w:r>
        <w:t xml:space="preserve">READ_USR</w:t>
        <w:br w:clear="none"/>
      </w:r>
      <w:r>
        <w:rPr>
          <w:rStyle w:val="Text6"/>
        </w:rPr>
        <w:t xml:space="preserve"> </w:t>
        <w:br w:clear="none"/>
      </w:r>
      <w:r>
        <w:rPr>
          <w:rStyle w:val="Text13"/>
        </w:rPr>
        <w:t xml:space="preserve">=</w:t>
        <w:br w:clear="none"/>
      </w:r>
      <w:r>
        <w:rPr>
          <w:rStyle w:val="Text6"/>
        </w:rPr>
        <w:t xml:space="preserve"> </w:t>
        <w:br w:clear="none"/>
      </w:r>
      <w:r>
        <w:t xml:space="preserve">stat</w:t>
        <w:br w:clear="none"/>
      </w:r>
      <w:r>
        <w:rPr>
          <w:rStyle w:val="Text13"/>
        </w:rPr>
        <w:t xml:space="preserve">.</w:t>
        <w:br w:clear="none"/>
      </w:r>
      <w:r>
        <w:t xml:space="preserve">S_IRUSR</w:t>
        <w:br w:clear="none"/>
      </w:r>
      <w:r>
        <w:rPr>
          <w:rStyle w:val="Text6"/>
        </w:rPr>
        <w:t xml:space="preserve"/>
        <w:br w:clear="none"/>
        <w:t xml:space="preserve"/>
        <w:br w:clear="none"/>
        <w:t xml:space="preserve">    </w:t>
        <w:br w:clear="none"/>
      </w:r>
      <w:r>
        <w:rPr>
          <w:rStyle w:val="Text44"/>
        </w:rPr>
        <w:t xml:space="preserve">@classmethod</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from_stat</w:t>
        <w:br w:clear="none"/>
      </w:r>
      <w:r>
        <w:rPr>
          <w:rStyle w:val="Text7"/>
        </w:rPr>
        <w:t xml:space="preserve">(</w:t>
        <w:br w:clear="none"/>
      </w:r>
      <w:r>
        <w:rPr>
          <w:rStyle w:val="Text16"/>
        </w:rPr>
        <w:t xml:space="preserve">cls</w:t>
        <w:br w:clear="none"/>
      </w:r>
      <w:r>
        <w:rPr>
          <w:rStyle w:val="Text7"/>
        </w:rPr>
        <w:t xml:space="preserve">,</w:t>
        <w:br w:clear="none"/>
      </w:r>
      <w:r>
        <w:rPr>
          <w:rStyle w:val="Text6"/>
        </w:rPr>
        <w:t xml:space="preserve"> </w:t>
        <w:br w:clear="none"/>
      </w:r>
      <w:r>
        <w:t xml:space="preserve">stat_result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cls</w:t>
        <w:br w:clear="none"/>
      </w:r>
      <w:r>
        <w:rPr>
          <w:rStyle w:val="Text7"/>
        </w:rPr>
        <w:t xml:space="preserve">(</w:t>
        <w:br w:clear="none"/>
      </w:r>
      <w:r>
        <w:t xml:space="preserve">stat_result</w:t>
        <w:br w:clear="none"/>
      </w:r>
      <w:r>
        <w:rPr>
          <w:rStyle w:val="Text13"/>
        </w:rPr>
        <w:t xml:space="preserve">.</w:t>
        <w:br w:clear="none"/>
      </w:r>
      <w:r>
        <w:t xml:space="preserve">st_mode</w:t>
        <w:br w:clear="none"/>
      </w:r>
      <w:r>
        <w:rPr>
          <w:rStyle w:val="Text6"/>
        </w:rPr>
        <w:t xml:space="preserve"> </w:t>
        <w:br w:clear="none"/>
      </w:r>
      <w:r>
        <w:rPr>
          <w:rStyle w:val="Text13"/>
        </w:rPr>
        <w:t xml:space="preserve">&amp;</w:t>
        <w:br w:clear="none"/>
      </w:r>
      <w:r>
        <w:rPr>
          <w:rStyle w:val="Text6"/>
        </w:rPr>
        <w:t xml:space="preserve"> </w:t>
        <w:br w:clear="none"/>
      </w:r>
      <w:r>
        <w:rPr>
          <w:rStyle w:val="Text27"/>
        </w:rPr>
        <w:t xml:space="preserve">0o777</w:t>
        <w:br w:clear="none"/>
      </w:r>
      <w:r>
        <w:rPr>
          <w:rStyle w:val="Text7"/>
        </w:rPr>
        <w:t xml:space="preserve">)</w:t>
        <w:br w:clear="none"/>
      </w:r>
      <w:r>
        <w:rPr>
          <w:rStyle w:val="Text6"/>
        </w:rPr>
        <w:t xml:space="preserve"/>
        <w:br w:clear="none"/>
        <w:t xml:space="preserve"/>
        <w:br w:clear="none"/>
      </w:r>
      <w:r>
        <w:rPr>
          <w:rStyle w:val="Text10"/>
        </w:rPr>
        <w:t xml:space="preserve">from</w:t>
        <w:br w:clear="none"/>
      </w:r>
      <w:r>
        <w:rPr>
          <w:rStyle w:val="Text6"/>
        </w:rPr>
        <w:t xml:space="preserve"> </w:t>
        <w:br w:clear="none"/>
      </w:r>
      <w:r>
        <w:rPr>
          <w:rStyle w:val="Text20"/>
        </w:rPr>
        <w:t xml:space="preserve">pathlib</w:t>
        <w:br w:clear="none"/>
      </w:r>
      <w:r>
        <w:rPr>
          <w:rStyle w:val="Text6"/>
        </w:rPr>
        <w:t xml:space="preserve"> </w:t>
        <w:br w:clear="none"/>
      </w:r>
      <w:r>
        <w:rPr>
          <w:rStyle w:val="Text10"/>
        </w:rPr>
        <w:t xml:space="preserve">import</w:t>
        <w:br w:clear="none"/>
      </w:r>
      <w:r>
        <w:rPr>
          <w:rStyle w:val="Text6"/>
        </w:rPr>
        <w:t xml:space="preserve"> </w:t>
        <w:br w:clear="none"/>
      </w:r>
      <w:r>
        <w:t xml:space="preserve">Path</w:t>
        <w:br w:clear="none"/>
      </w:r>
      <w:r>
        <w:rPr>
          <w:rStyle w:val="Text6"/>
        </w:rPr>
        <w:t xml:space="preserve"/>
        <w:br w:clear="none"/>
        <w:t xml:space="preserve"/>
        <w:br w:clear="none"/>
      </w:r>
      <w:r>
        <w:t xml:space="preserve">cur_dir</w:t>
        <w:br w:clear="none"/>
      </w:r>
      <w:r>
        <w:rPr>
          <w:rStyle w:val="Text6"/>
        </w:rPr>
        <w:t xml:space="preserve"> </w:t>
        <w:br w:clear="none"/>
      </w:r>
      <w:r>
        <w:rPr>
          <w:rStyle w:val="Text13"/>
        </w:rPr>
        <w:t xml:space="preserve">=</w:t>
        <w:br w:clear="none"/>
      </w:r>
      <w:r>
        <w:rPr>
          <w:rStyle w:val="Text6"/>
        </w:rPr>
        <w:t xml:space="preserve"> </w:t>
        <w:br w:clear="none"/>
      </w:r>
      <w:r>
        <w:t xml:space="preserve">Path</w:t>
        <w:br w:clear="none"/>
      </w:r>
      <w:r>
        <w:rPr>
          <w:rStyle w:val="Text13"/>
        </w:rPr>
        <w:t xml:space="preserve">.</w:t>
        <w:br w:clear="none"/>
      </w:r>
      <w:r>
        <w:t xml:space="preserve">cwd</w:t>
        <w:br w:clear="none"/>
      </w:r>
      <w:r>
        <w:rPr>
          <w:rStyle w:val="Text7"/>
        </w:rPr>
        <w:t xml:space="preserve">(</w:t>
        <w:br w:clear="none"/>
        <w:t xml:space="preserve">)</w:t>
        <w:br w:clear="none"/>
      </w:r>
      <w:r>
        <w:rPr>
          <w:rStyle w:val="Text6"/>
        </w:rPr>
        <w:t xml:space="preserve"/>
        <w:br w:clear="none"/>
      </w:r>
      <w:r>
        <w:t xml:space="preserve">dir_perm</w:t>
        <w:br w:clear="none"/>
      </w:r>
      <w:r>
        <w:rPr>
          <w:rStyle w:val="Text6"/>
        </w:rPr>
        <w:t xml:space="preserve"> </w:t>
        <w:br w:clear="none"/>
      </w:r>
      <w:r>
        <w:rPr>
          <w:rStyle w:val="Text13"/>
        </w:rPr>
        <w:t xml:space="preserve">=</w:t>
        <w:br w:clear="none"/>
      </w:r>
      <w:r>
        <w:rPr>
          <w:rStyle w:val="Text6"/>
        </w:rPr>
        <w:t xml:space="preserve"> </w:t>
        <w:br w:clear="none"/>
      </w:r>
      <w:r>
        <w:t xml:space="preserve">Permission</w:t>
        <w:br w:clear="none"/>
      </w:r>
      <w:r>
        <w:rPr>
          <w:rStyle w:val="Text13"/>
        </w:rPr>
        <w:t xml:space="preserve">.</w:t>
        <w:br w:clear="none"/>
      </w:r>
      <w:r>
        <w:t xml:space="preserve">from_stat</w:t>
        <w:br w:clear="none"/>
      </w:r>
      <w:r>
        <w:rPr>
          <w:rStyle w:val="Text7"/>
        </w:rPr>
        <w:t xml:space="preserve">(</w:t>
        <w:br w:clear="none"/>
      </w:r>
      <w:r>
        <w:t xml:space="preserve">cur_dir</w:t>
        <w:br w:clear="none"/>
      </w:r>
      <w:r>
        <w:rPr>
          <w:rStyle w:val="Text13"/>
        </w:rPr>
        <w:t xml:space="preserve">.</w:t>
        <w:br w:clear="none"/>
      </w:r>
      <w:r>
        <w:t xml:space="preserve">stat</w:t>
        <w:br w:clear="none"/>
      </w:r>
      <w:r>
        <w:rPr>
          <w:rStyle w:val="Text7"/>
        </w:rPr>
        <w:t xml:space="preserve">(</w:t>
        <w:br w:clear="none"/>
        <w:t xml:space="preserve">)</w:t>
        <w:br w:clear="none"/>
        <w:t xml:space="preserve">)</w:t>
        <w:br w:clear="none"/>
      </w:r>
      <w:r>
        <w:rPr>
          <w:rStyle w:val="Text6"/>
        </w:rPr>
        <w:t xml:space="preserve"/>
        <w:br w:clear="none"/>
      </w:r>
      <w:r>
        <w:rPr>
          <w:rStyle w:val="Text10"/>
        </w:rPr>
        <w:t xml:space="preserve">if</w:t>
        <w:br w:clear="none"/>
      </w:r>
      <w:r>
        <w:rPr>
          <w:rStyle w:val="Text6"/>
        </w:rPr>
        <w:t xml:space="preserve"> </w:t>
        <w:br w:clear="none"/>
      </w:r>
      <w:r>
        <w:t xml:space="preserve">dir_perm</w:t>
        <w:br w:clear="none"/>
      </w:r>
      <w:r>
        <w:rPr>
          <w:rStyle w:val="Text6"/>
        </w:rPr>
        <w:t xml:space="preserve"> </w:t>
        <w:br w:clear="none"/>
      </w:r>
      <w:r>
        <w:rPr>
          <w:rStyle w:val="Text13"/>
        </w:rPr>
        <w:t xml:space="preserve">&amp;</w:t>
        <w:br w:clear="none"/>
      </w:r>
      <w:r>
        <w:rPr>
          <w:rStyle w:val="Text6"/>
        </w:rPr>
        <w:t xml:space="preserve"> </w:t>
        <w:br w:clear="none"/>
      </w:r>
      <w:r>
        <w:t xml:space="preserve">Permission</w:t>
        <w:br w:clear="none"/>
      </w:r>
      <w:r>
        <w:rPr>
          <w:rStyle w:val="Text13"/>
        </w:rPr>
        <w:t xml:space="preserve">.</w:t>
        <w:br w:clear="none"/>
      </w:r>
      <w:r>
        <w:t xml:space="preserve">READ_OTH</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cur_dir</w:t>
        <w:br w:clear="none"/>
      </w:r>
      <w:r>
        <w:rPr>
          <w:rStyle w:val="Text32"/>
        </w:rPr>
        <w:t xml:space="preserve">}</w:t>
        <w:br w:clear="none"/>
      </w:r>
      <w:r>
        <w:rPr>
          <w:rStyle w:val="Text8"/>
        </w:rPr>
        <w:t xml:space="preserve"> is readable by users outside the owner group</w:t>
        <w:br w:clear="none"/>
        <w:t xml:space="preserve">'</w:t>
        <w:br w:clear="none"/>
      </w:r>
      <w:r>
        <w:rPr>
          <w:rStyle w:val="Text7"/>
        </w:rPr>
        <w:t xml:space="preserve">)</w:t>
        <w:br w:clear="none"/>
      </w:r>
      <w:r>
        <w:rPr>
          <w:rStyle w:val="Text6"/>
        </w:rPr>
        <w:t xml:space="preserve"/>
        <w:br w:clear="none"/>
        <w:t xml:space="preserve"/>
        <w:br w:clear="none"/>
      </w:r>
      <w:r>
        <w:rPr>
          <w:rStyle w:val="Text15"/>
        </w:rPr>
        <w:t xml:space="preserve"># the following raises TypeError: Flag enums do not support order</w:t>
        <w:br w:clear="none"/>
      </w:r>
      <w:r>
        <w:rPr>
          <w:rStyle w:val="Text26"/>
        </w:rPr>
        <w:t xml:space="preserve"> </w:t>
        <w:br w:clear="none"/>
      </w:r>
      <w:r>
        <w:rPr>
          <w:rStyle w:val="Text6"/>
        </w:rPr>
        <w:t xml:space="preserve"/>
        <w:br w:clear="none"/>
      </w:r>
      <w:r>
        <w:rPr>
          <w:rStyle w:val="Text15"/>
        </w:rPr>
        <w:t xml:space="preserve"># comparisons</w:t>
        <w:br w:clear="none"/>
      </w:r>
      <w:r>
        <w:rPr>
          <w:rStyle w:val="Text6"/>
        </w:rPr>
        <w:t xml:space="preserve"/>
        <w:br w:clear="none"/>
      </w:r>
      <w:r>
        <w:rPr>
          <w:rStyle w:val="Text16"/>
        </w:rPr>
        <w:t xml:space="preserve">print</w:t>
        <w:br w:clear="none"/>
      </w:r>
      <w:r>
        <w:rPr>
          <w:rStyle w:val="Text7"/>
        </w:rPr>
        <w:t xml:space="preserve">(</w:t>
        <w:br w:clear="none"/>
      </w:r>
      <w:r>
        <w:t xml:space="preserve">Permission</w:t>
        <w:br w:clear="none"/>
      </w:r>
      <w:r>
        <w:rPr>
          <w:rStyle w:val="Text13"/>
        </w:rPr>
        <w:t xml:space="preserve">.</w:t>
        <w:br w:clear="none"/>
      </w:r>
      <w:r>
        <w:t xml:space="preserve">READ_USR</w:t>
        <w:br w:clear="none"/>
      </w:r>
      <w:r>
        <w:rPr>
          <w:rStyle w:val="Text6"/>
        </w:rPr>
        <w:t xml:space="preserve"> </w:t>
        <w:br w:clear="none"/>
      </w:r>
      <w:r>
        <w:rPr>
          <w:rStyle w:val="Text13"/>
        </w:rPr>
        <w:t xml:space="preserve">&gt;</w:t>
        <w:br w:clear="none"/>
      </w:r>
      <w:r>
        <w:rPr>
          <w:rStyle w:val="Text6"/>
        </w:rPr>
        <w:t xml:space="preserve"> </w:t>
        <w:br w:clear="none"/>
      </w:r>
      <w:r>
        <w:t xml:space="preserve">Permission</w:t>
        <w:br w:clear="none"/>
      </w:r>
      <w:r>
        <w:rPr>
          <w:rStyle w:val="Text13"/>
        </w:rPr>
        <w:t xml:space="preserve">.</w:t>
        <w:br w:clear="none"/>
      </w:r>
      <w:r>
        <w:t xml:space="preserve">READ_OTH</w:t>
        <w:br w:clear="none"/>
      </w:r>
      <w:r>
        <w:rPr>
          <w:rStyle w:val="Text7"/>
        </w:rPr>
        <w:t xml:space="preserve">)</w:t>
        <w:br w:clear="none"/>
      </w:r>
    </w:p>
    <w:p>
      <w:pPr>
        <w:pStyle w:val="Normal"/>
      </w:pPr>
      <w:r>
        <w:t xml:space="preserve">Using enums in place of arbitrary </w:t>
      </w:r>
      <w:r>
        <w:rPr>
          <w:rStyle w:val="Text0"/>
        </w:rPr>
        <w:t>int</w:t>
      </w:r>
      <w:r>
        <w:t xml:space="preserve">s or </w:t>
      </w:r>
      <w:r>
        <w:rPr>
          <w:rStyle w:val="Text0"/>
        </w:rPr>
        <w:t>str</w:t>
      </w:r>
      <w:r>
        <w:t xml:space="preserve">s can add readability and type integrity to your code. You can find more details on the classes and methods of the </w:t>
      </w:r>
      <w:r>
        <w:rPr>
          <w:rStyle w:val="Text0"/>
        </w:rPr>
        <w:t>enum</w:t>
      </w:r>
      <w:r>
        <w:t xml:space="preserve"> module in the Python </w:t>
      </w:r>
      <w:hyperlink r:id="rId237">
        <w:r>
          <w:rPr>
            <w:rStyle w:val="Text1"/>
          </w:rPr>
          <w:t>docs</w:t>
        </w:r>
      </w:hyperlink>
      <w:r>
        <w:t>.</w:t>
      </w:r>
      <w:r>
        <w:rPr>
          <w:rStyle w:val="Text111"/>
        </w:rPr>
        <w:bookmarkStart w:id="1598" w:name="idm45965269266656"/>
        <w:t/>
        <w:bookmarkEnd w:id="1598"/>
        <w:bookmarkStart w:id="1599" w:name="idm45965269265248"/>
        <w:t/>
        <w:bookmarkEnd w:id="1599"/>
        <w:bookmarkStart w:id="1600" w:name="idm45965269289072"/>
        <w:t/>
        <w:bookmarkEnd w:id="1600"/>
      </w:r>
    </w:p>
    <w:p>
      <w:bookmarkStart w:id="1601" w:name="1_Or__drawbacks___according_to_o"/>
      <w:pPr>
        <w:pStyle w:val="Para 035"/>
      </w:pPr>
      <w:hyperlink w:anchor="1_4">
        <w:r>
          <w:rPr>
            <w:rStyle w:val="Text1"/>
          </w:rPr>
          <w:t>1</w:t>
        </w:r>
      </w:hyperlink>
      <w:r>
        <w:t xml:space="preserve"> Or “drawbacks,” according to one reviewer. One developer’s meat is another developer’s poison.</w:t>
      </w:r>
      <w:bookmarkEnd w:id="1601"/>
    </w:p>
    <w:p>
      <w:bookmarkStart w:id="1602" w:name="2_When_that_s_the_case__it_s_als"/>
      <w:pPr>
        <w:pStyle w:val="Para 015"/>
      </w:pPr>
      <w:hyperlink w:anchor="2_4">
        <w:r>
          <w:rPr>
            <w:rStyle w:val="Text1"/>
          </w:rPr>
          <w:t>2</w:t>
        </w:r>
      </w:hyperlink>
      <w:r>
        <w:t xml:space="preserve"> When that’s the case, it’s also OK to have other named arguments after </w:t>
      </w:r>
      <w:r>
        <w:rPr>
          <w:rStyle w:val="Text25"/>
        </w:rPr>
        <w:t>metaclass=</w:t>
      </w:r>
      <w:r>
        <w:t>. Such arguments, if any, are passed on to the metaclass.</w:t>
      </w:r>
      <w:bookmarkEnd w:id="1602"/>
    </w:p>
    <w:p>
      <w:bookmarkStart w:id="1603" w:name="3_That_need_arises_because___ini"/>
      <w:pPr>
        <w:pStyle w:val="Para 015"/>
      </w:pPr>
      <w:hyperlink w:anchor="3_4">
        <w:r>
          <w:rPr>
            <w:rStyle w:val="Text1"/>
          </w:rPr>
          <w:t>3</w:t>
        </w:r>
      </w:hyperlink>
      <w:r>
        <w:t xml:space="preserve"> That need arises because </w:t>
      </w:r>
      <w:r>
        <w:rPr>
          <w:rStyle w:val="Text25"/>
        </w:rPr>
        <w:t>__</w:t>
        <w:t>init</w:t>
        <w:t>__</w:t>
      </w:r>
      <w:r>
        <w:t xml:space="preserve">, on any subclass of </w:t>
      </w:r>
      <w:r>
        <w:rPr>
          <w:rStyle w:val="Text25"/>
        </w:rPr>
        <w:t>Singleton</w:t>
      </w:r>
      <w:r>
        <w:t xml:space="preserve"> that defines this special method, repeatedly executes, each time you instantiate the subclass, on the only instance that exists for each subclass of </w:t>
      </w:r>
      <w:r>
        <w:rPr>
          <w:rStyle w:val="Text25"/>
        </w:rPr>
        <w:t>Singleton</w:t>
      </w:r>
      <w:r>
        <w:t>.</w:t>
      </w:r>
      <w:bookmarkEnd w:id="1603"/>
    </w:p>
    <w:p>
      <w:bookmarkStart w:id="1604" w:name="4_Except_for_instances_of_a_clas"/>
      <w:pPr>
        <w:pStyle w:val="Para 015"/>
      </w:pPr>
      <w:hyperlink w:anchor="4_3">
        <w:r>
          <w:rPr>
            <w:rStyle w:val="Text1"/>
          </w:rPr>
          <w:t>4</w:t>
        </w:r>
      </w:hyperlink>
      <w:r>
        <w:t xml:space="preserve"> Except for instances of a class defining </w:t>
      </w:r>
      <w:r>
        <w:rPr>
          <w:rStyle w:val="Text25"/>
        </w:rPr>
        <w:t>__slots__</w:t>
      </w:r>
      <w:r>
        <w:t xml:space="preserve">, covered in </w:t>
      </w:r>
      <w:hyperlink w:anchor="__slots____Normally__each_instan">
        <w:r>
          <w:rPr>
            <w:rStyle w:val="Text1"/>
          </w:rPr>
          <w:t>“__slots__”</w:t>
        </w:r>
      </w:hyperlink>
      <w:r>
        <w:t>.</w:t>
      </w:r>
      <w:bookmarkEnd w:id="1604"/>
    </w:p>
    <w:p>
      <w:bookmarkStart w:id="1605" w:name="5_Some_other_OO_languages__like"/>
      <w:pPr>
        <w:pStyle w:val="Para 015"/>
      </w:pPr>
      <w:hyperlink w:anchor="5_3">
        <w:r>
          <w:rPr>
            <w:rStyle w:val="Text1"/>
          </w:rPr>
          <w:t>5</w:t>
        </w:r>
      </w:hyperlink>
      <w:r>
        <w:t xml:space="preserve"> Some other OO languages, like </w:t>
      </w:r>
      <w:hyperlink r:id="rId238">
        <w:r>
          <w:rPr>
            <w:rStyle w:val="Text1"/>
          </w:rPr>
          <w:t>Modula-3</w:t>
        </w:r>
      </w:hyperlink>
      <w:r>
        <w:t xml:space="preserve">, similarly require explicit use of </w:t>
      </w:r>
      <w:r>
        <w:rPr>
          <w:rStyle w:val="Text25"/>
        </w:rPr>
        <w:t>self</w:t>
      </w:r>
      <w:r>
        <w:t>.</w:t>
      </w:r>
      <w:bookmarkEnd w:id="1605"/>
    </w:p>
    <w:p>
      <w:bookmarkStart w:id="1606" w:name="6_Many_Python_releases_later__Mi"/>
      <w:pPr>
        <w:pStyle w:val="Para 015"/>
      </w:pPr>
      <w:hyperlink w:anchor="6_3">
        <w:r>
          <w:rPr>
            <w:rStyle w:val="Text1"/>
          </w:rPr>
          <w:t>6</w:t>
        </w:r>
      </w:hyperlink>
      <w:r>
        <w:t xml:space="preserve"> Many Python releases later, Michele’s essay still applies!</w:t>
      </w:r>
      <w:bookmarkEnd w:id="1606"/>
    </w:p>
    <w:p>
      <w:bookmarkStart w:id="1607" w:name="7_One_of_the_authors_has_used_th"/>
      <w:pPr>
        <w:pStyle w:val="Para 015"/>
      </w:pPr>
      <w:hyperlink w:anchor="7_3">
        <w:r>
          <w:rPr>
            <w:rStyle w:val="Text1"/>
          </w:rPr>
          <w:t>7</w:t>
        </w:r>
      </w:hyperlink>
      <w:r>
        <w:t xml:space="preserve"> One of the authors has used this technique to dynamically combine small mixin test classes to create complex test case classes to test multiple independent product features.</w:t>
      </w:r>
      <w:bookmarkEnd w:id="1607"/>
    </w:p>
    <w:p>
      <w:bookmarkStart w:id="1608" w:name="8_To_complete_the_usually_trunca"/>
      <w:pPr>
        <w:pStyle w:val="Para 015"/>
      </w:pPr>
      <w:hyperlink w:anchor="8_2">
        <w:r>
          <w:rPr>
            <w:rStyle w:val="Text1"/>
          </w:rPr>
          <w:t>8</w:t>
        </w:r>
      </w:hyperlink>
      <w:r>
        <w:t xml:space="preserve"> To complete the usually truncated famous quote: “except of course for the problem of too many indirections.”</w:t>
      </w:r>
      <w:bookmarkEnd w:id="1608"/>
    </w:p>
    <w:p>
      <w:bookmarkStart w:id="1609" w:name="9_Third_party_extensions_can_als"/>
      <w:pPr>
        <w:pStyle w:val="Para 015"/>
      </w:pPr>
      <w:hyperlink w:anchor="9_2">
        <w:r>
          <w:rPr>
            <w:rStyle w:val="Text1"/>
          </w:rPr>
          <w:t>9</w:t>
        </w:r>
      </w:hyperlink>
      <w:r>
        <w:t xml:space="preserve"> Third-party extensions can also define types of containers that are not sequences, not mappings, and not sets.</w:t>
      </w:r>
      <w:bookmarkEnd w:id="1609"/>
    </w:p>
    <w:p>
      <w:bookmarkStart w:id="1610" w:name="10_Lower_bound_included__upper_b"/>
      <w:pPr>
        <w:pStyle w:val="Para 015"/>
      </w:pPr>
      <w:hyperlink w:anchor="10_2">
        <w:r>
          <w:rPr>
            <w:rStyle w:val="Text1"/>
          </w:rPr>
          <w:t>10</w:t>
        </w:r>
      </w:hyperlink>
      <w:r>
        <w:t xml:space="preserve"> Lower bound included, upper bound excluded—as always, the norm for Python.</w:t>
      </w:r>
      <w:bookmarkEnd w:id="1610"/>
    </w:p>
    <w:p>
      <w:bookmarkStart w:id="1611" w:name="11_See__for_example___Avoid_Exte"/>
      <w:pPr>
        <w:pStyle w:val="Para 015"/>
      </w:pPr>
      <w:hyperlink w:anchor="11_2">
        <w:r>
          <w:rPr>
            <w:rStyle w:val="Text1"/>
          </w:rPr>
          <w:t>11</w:t>
        </w:r>
      </w:hyperlink>
      <w:r>
        <w:t xml:space="preserve"> See, for example, </w:t>
      </w:r>
      <w:hyperlink r:id="rId239">
        <w:r>
          <w:rPr>
            <w:rStyle w:val="Text1"/>
          </w:rPr>
          <w:t>“Avoid Extending Classes”</w:t>
        </w:r>
      </w:hyperlink>
      <w:r>
        <w:t xml:space="preserve"> by Bill Harlan.</w:t>
      </w:r>
      <w:bookmarkEnd w:id="1611"/>
    </w:p>
    <w:p>
      <w:bookmarkStart w:id="1612" w:name="12_For_a_related_concept_focused"/>
      <w:pPr>
        <w:pStyle w:val="Para 015"/>
      </w:pPr>
      <w:hyperlink w:anchor="12_1">
        <w:r>
          <w:rPr>
            <w:rStyle w:val="Text1"/>
          </w:rPr>
          <w:t>12</w:t>
        </w:r>
      </w:hyperlink>
      <w:r>
        <w:t xml:space="preserve"> For a related concept focused on type checking, see </w:t>
      </w:r>
      <w:r>
        <w:rPr>
          <w:rStyle w:val="Text25"/>
        </w:rPr>
        <w:t>typing.Protocols</w:t>
      </w:r>
      <w:r>
        <w:t xml:space="preserve">, covered in </w:t>
      </w:r>
      <w:hyperlink w:anchor="Protocols__The_typing_module_def">
        <w:r>
          <w:rPr>
            <w:rStyle w:val="Text1"/>
          </w:rPr>
          <w:t>“Protocols”</w:t>
        </w:r>
      </w:hyperlink>
      <w:r>
        <w:t>.</w:t>
      </w:r>
      <w:bookmarkEnd w:id="1612"/>
    </w:p>
    <w:p>
      <w:bookmarkStart w:id="1613" w:name="13_The_abc_module_does_include_t"/>
      <w:pPr>
        <w:pStyle w:val="Para 015"/>
      </w:pPr>
      <w:hyperlink w:anchor="13_1">
        <w:r>
          <w:rPr>
            <w:rStyle w:val="Text1"/>
          </w:rPr>
          <w:t>13</w:t>
        </w:r>
      </w:hyperlink>
      <w:r>
        <w:t xml:space="preserve"> The </w:t>
      </w:r>
      <w:r>
        <w:rPr>
          <w:rStyle w:val="Text25"/>
        </w:rPr>
        <w:t>abc</w:t>
      </w:r>
      <w:r>
        <w:t xml:space="preserve"> module does include the </w:t>
      </w:r>
      <w:r>
        <w:rPr>
          <w:rStyle w:val="Text25"/>
        </w:rPr>
        <w:t>abstractproperty</w:t>
      </w:r>
      <w:r>
        <w:t xml:space="preserve"> decorator, which combines these two, but </w:t>
      </w:r>
      <w:r>
        <w:rPr>
          <w:rStyle w:val="Text25"/>
        </w:rPr>
        <w:t>abstractproperty</w:t>
      </w:r>
      <w:r>
        <w:t xml:space="preserve"> is deprecated, and new code should use the two decorators as described.</w:t>
      </w:r>
      <w:bookmarkEnd w:id="1613"/>
    </w:p>
    <w:p>
      <w:bookmarkStart w:id="1614" w:name="14_For_backward_compatibility_th"/>
      <w:pPr>
        <w:pStyle w:val="Para 015"/>
      </w:pPr>
      <w:hyperlink w:anchor="14_1">
        <w:r>
          <w:rPr>
            <w:rStyle w:val="Text1"/>
          </w:rPr>
          <w:t>14</w:t>
        </w:r>
      </w:hyperlink>
      <w:r>
        <w:t xml:space="preserve"> For backward compatibility these ABCs were also accessible in the </w:t>
      </w:r>
      <w:r>
        <w:rPr>
          <w:rStyle w:val="Text25"/>
        </w:rPr>
        <w:t>collections</w:t>
      </w:r>
      <w:r>
        <w:t xml:space="preserve"> module until Python 3.9, but the compatibility imports were removed in Python 3.10. New code should import these ABCs from </w:t>
      </w:r>
      <w:r>
        <w:rPr>
          <w:rStyle w:val="Text25"/>
        </w:rPr>
        <w:t>collections.abc</w:t>
      </w:r>
      <w:r>
        <w:t>.</w:t>
      </w:r>
      <w:bookmarkEnd w:id="1614"/>
    </w:p>
    <w:p>
      <w:bookmarkStart w:id="1615" w:name="15_Strictly_speaking__the_type_o"/>
      <w:pPr>
        <w:pStyle w:val="Para 015"/>
      </w:pPr>
      <w:hyperlink w:anchor="15_1">
        <w:r>
          <w:rPr>
            <w:rStyle w:val="Text1"/>
          </w:rPr>
          <w:t>15</w:t>
        </w:r>
      </w:hyperlink>
      <w:r>
        <w:t xml:space="preserve"> Strictly speaking, the type of a class </w:t>
      </w:r>
      <w:r>
        <w:rPr>
          <w:rStyle w:val="Text113"/>
        </w:rPr>
        <w:t>C</w:t>
      </w:r>
      <w:r>
        <w:t xml:space="preserve"> could be said to be the metaclass only of </w:t>
      </w:r>
      <w:r>
        <w:rPr>
          <w:rStyle w:val="Text4"/>
        </w:rPr>
        <w:t>instances</w:t>
      </w:r>
      <w:r>
        <w:t xml:space="preserve"> of </w:t>
      </w:r>
      <w:r>
        <w:rPr>
          <w:rStyle w:val="Text3"/>
        </w:rPr>
        <w:t>C</w:t>
      </w:r>
      <w:r>
        <w:t xml:space="preserve"> rather than of </w:t>
      </w:r>
      <w:r>
        <w:rPr>
          <w:rStyle w:val="Text3"/>
        </w:rPr>
        <w:t>C</w:t>
      </w:r>
      <w:r>
        <w:t xml:space="preserve"> itself, but this subtle semantic distinction is rarely, if ever, observed in practice.</w:t>
      </w:r>
      <w:bookmarkEnd w:id="1615"/>
    </w:p>
    <w:p>
      <w:bookmarkStart w:id="1616" w:name="16_Or_when_a_base_class_has___in"/>
      <w:pPr>
        <w:pStyle w:val="Para 015"/>
      </w:pPr>
      <w:hyperlink w:anchor="16_1">
        <w:r>
          <w:rPr>
            <w:rStyle w:val="Text1"/>
          </w:rPr>
          <w:t>16</w:t>
        </w:r>
      </w:hyperlink>
      <w:r>
        <w:t xml:space="preserve"> Or when a base class has </w:t>
      </w:r>
      <w:r>
        <w:rPr>
          <w:rStyle w:val="Text25"/>
        </w:rPr>
        <w:t>__init_subclass__</w:t>
      </w:r>
      <w:r>
        <w:t xml:space="preserve">, in which case the named arguments are passed to that method, as covered in </w:t>
      </w:r>
      <w:hyperlink w:anchor="Alternatives_to_Custom_Metaclass">
        <w:r>
          <w:rPr>
            <w:rStyle w:val="Text1"/>
          </w:rPr>
          <w:t>“Alternatives to Custom Metaclasses for Simple Class Customization”</w:t>
        </w:r>
      </w:hyperlink>
      <w:r>
        <w:t>.</w:t>
      </w:r>
      <w:bookmarkEnd w:id="1616"/>
    </w:p>
    <w:p>
      <w:bookmarkStart w:id="1617" w:name="17_This_is_similar_to_calling_ty"/>
      <w:pPr>
        <w:pStyle w:val="Para 015"/>
      </w:pPr>
      <w:hyperlink w:anchor="17_1">
        <w:r>
          <w:rPr>
            <w:rStyle w:val="Text1"/>
          </w:rPr>
          <w:t>17</w:t>
        </w:r>
      </w:hyperlink>
      <w:r>
        <w:t xml:space="preserve"> This is similar to calling </w:t>
      </w:r>
      <w:r>
        <w:rPr>
          <w:rStyle w:val="Text25"/>
        </w:rPr>
        <w:t>type</w:t>
      </w:r>
      <w:r>
        <w:t xml:space="preserve"> with three arguments, as described in </w:t>
      </w:r>
      <w:hyperlink w:anchor="Dynamic_class_definition_using_t">
        <w:r>
          <w:rPr>
            <w:rStyle w:val="Text1"/>
          </w:rPr>
          <w:t>“Dynamic class definition using the type built-in function”</w:t>
        </w:r>
      </w:hyperlink>
      <w:r>
        <w:t>.</w:t>
      </w:r>
      <w:bookmarkEnd w:id="1617"/>
    </w:p>
    <w:p>
      <w:bookmarkStart w:id="1618" w:name="18___init_subclass____covered_in"/>
      <w:pPr>
        <w:pStyle w:val="Para 015"/>
      </w:pPr>
      <w:hyperlink w:anchor="18_1">
        <w:r>
          <w:rPr>
            <w:rStyle w:val="Text1"/>
          </w:rPr>
          <w:t>18</w:t>
        </w:r>
      </w:hyperlink>
      <w:r>
        <w:t xml:space="preserve"> </w:t>
      </w:r>
      <w:r>
        <w:rPr>
          <w:rStyle w:val="Text25"/>
        </w:rPr>
        <w:t>__init_subclass__</w:t>
      </w:r>
      <w:r>
        <w:t xml:space="preserve">, covered in </w:t>
      </w:r>
      <w:hyperlink w:anchor="Alternatives_to_Custom_Metaclass">
        <w:r>
          <w:rPr>
            <w:rStyle w:val="Text1"/>
          </w:rPr>
          <w:t>“Alternatives to Custom Metaclasses for Simple Class Customization”</w:t>
        </w:r>
      </w:hyperlink>
      <w:r>
        <w:t>, works much like an “inherited decorator,” so it’s often an alternative to a custom metaclass.</w:t>
      </w:r>
      <w:bookmarkEnd w:id="1618"/>
    </w:p>
    <w:p>
      <w:bookmarkStart w:id="1619" w:name="19_Don_t_confuse_this_concept_wi"/>
      <w:pPr>
        <w:pStyle w:val="Para 015"/>
      </w:pPr>
      <w:hyperlink w:anchor="19_1">
        <w:r>
          <w:rPr>
            <w:rStyle w:val="Text1"/>
          </w:rPr>
          <w:t>19</w:t>
        </w:r>
      </w:hyperlink>
      <w:r>
        <w:t xml:space="preserve"> Don’t confuse this concept with the unrelated </w:t>
      </w:r>
      <w:r>
        <w:rPr>
          <w:rStyle w:val="Text25"/>
        </w:rPr>
        <w:t>enumerate</w:t>
      </w:r>
      <w:r>
        <w:t xml:space="preserve"> built-in function, covered in </w:t>
      </w:r>
      <w:hyperlink w:anchor="Chapter_8__Core_Built_ins_and_St_2">
        <w:r>
          <w:rPr>
            <w:rStyle w:val="Text1"/>
          </w:rPr>
          <w:t>Chapter 8</w:t>
        </w:r>
      </w:hyperlink>
      <w:r>
        <w:t xml:space="preserve">, which generates </w:t>
      </w:r>
      <w:r>
        <w:rPr>
          <w:rStyle w:val="Text25"/>
        </w:rPr>
        <w:t>(</w:t>
      </w:r>
      <w:r>
        <w:rPr>
          <w:rStyle w:val="Text3"/>
        </w:rPr>
        <w:t>number</w:t>
      </w:r>
      <w:r>
        <w:rPr>
          <w:rStyle w:val="Text25"/>
        </w:rPr>
        <w:t>,</w:t>
      </w:r>
      <w:r>
        <w:t xml:space="preserve"> </w:t>
      </w:r>
      <w:r>
        <w:rPr>
          <w:rStyle w:val="Text3"/>
        </w:rPr>
        <w:t>item</w:t>
      </w:r>
      <w:r>
        <w:rPr>
          <w:rStyle w:val="Text25"/>
        </w:rPr>
        <w:t>)</w:t>
      </w:r>
      <w:r>
        <w:t xml:space="preserve"> pairs from an iterable.</w:t>
      </w:r>
      <w:bookmarkEnd w:id="1619"/>
    </w:p>
    <w:p>
      <w:bookmarkStart w:id="1620" w:name="20_enum_s_specialized_metaclass"/>
      <w:pPr>
        <w:pStyle w:val="Para 015"/>
      </w:pPr>
      <w:hyperlink w:anchor="20_1">
        <w:r>
          <w:rPr>
            <w:rStyle w:val="Text1"/>
          </w:rPr>
          <w:t>20</w:t>
        </w:r>
      </w:hyperlink>
      <w:r>
        <w:t xml:space="preserve"> </w:t>
      </w:r>
      <w:r>
        <w:rPr>
          <w:rStyle w:val="Text25"/>
        </w:rPr>
        <w:t>enum</w:t>
      </w:r>
      <w:r>
        <w:t xml:space="preserve">’s specialized metaclass behaves so differently from the usual </w:t>
      </w:r>
      <w:r>
        <w:rPr>
          <w:rStyle w:val="Text25"/>
        </w:rPr>
        <w:t>type</w:t>
      </w:r>
      <w:r>
        <w:t xml:space="preserve"> metaclass that it’s worth pointing out all the differences between </w:t>
      </w:r>
      <w:r>
        <w:rPr>
          <w:rStyle w:val="Text25"/>
        </w:rPr>
        <w:t>enum.Enum</w:t>
      </w:r>
      <w:r>
        <w:t xml:space="preserve"> and ordinary classes. You can read about this in the </w:t>
      </w:r>
      <w:hyperlink r:id="rId240">
        <w:r>
          <w:rPr>
            <w:rStyle w:val="Text1"/>
          </w:rPr>
          <w:t>“How are Enums different?” section</w:t>
        </w:r>
      </w:hyperlink>
      <w:r>
        <w:t xml:space="preserve"> of Python’s online </w:t>
        <w:t>documentation</w:t>
        <w:t>.</w:t>
      </w:r>
      <w:bookmarkEnd w:id="1620"/>
    </w:p>
    <w:p>
      <w:bookmarkStart w:id="1621" w:name="Top_of_ch05_html"/>
      <w:bookmarkStart w:id="1622" w:name="Chapter_5__Type_Annotations__Ann_1"/>
      <w:bookmarkStart w:id="1623" w:name="Chapter_5__Type_Annotations__Ann_2"/>
      <w:bookmarkStart w:id="1624" w:name="Chapter_5__Type_Annotations__Ann"/>
      <w:pPr>
        <w:keepNext/>
        <w:pStyle w:val="Heading 1"/>
        <w:pageBreakBefore w:val="on"/>
      </w:pPr>
      <w:r>
        <w:t xml:space="preserve">Chapter 5. </w:t>
        <w:t>Type Annotations</w:t>
      </w:r>
      <w:bookmarkEnd w:id="1621"/>
      <w:bookmarkEnd w:id="1622"/>
      <w:bookmarkEnd w:id="1623"/>
      <w:bookmarkEnd w:id="1624"/>
    </w:p>
    <w:p>
      <w:pPr>
        <w:pStyle w:val="Normal"/>
      </w:pPr>
      <w:r>
        <w:t xml:space="preserve">Annotating your Python code with type information is an optional step which can be very helpful during development and maintenance of a large project or a library. Static type checkers and lint tools help identify and locate data type mismatches in function arguments and return values. IDEs can use these </w:t>
      </w:r>
      <w:r>
        <w:rPr>
          <w:rStyle w:val="Text4"/>
        </w:rPr>
        <w:t>type annotations</w:t>
      </w:r>
      <w:r>
        <w:t xml:space="preserve"> (also called </w:t>
      </w:r>
      <w:r>
        <w:rPr>
          <w:rStyle w:val="Text4"/>
        </w:rPr>
        <w:t>type hints</w:t>
      </w:r>
      <w:r>
        <w:t>)</w:t>
      </w:r>
      <w:r>
        <w:rPr>
          <w:rStyle w:val="Text111"/>
        </w:rPr>
        <w:bookmarkStart w:id="1625" w:name="idm45965269285056"/>
        <w:t/>
        <w:bookmarkEnd w:id="1625"/>
      </w:r>
      <w:r>
        <w:t xml:space="preserve"> to improve autocompletion and to provide pop-up documentation. Third-party packages and frameworks can use type annotations to tailor runtime behavior, or to autogenerate code based on type annotations for methods and variables.</w:t>
      </w:r>
    </w:p>
    <w:p>
      <w:pPr>
        <w:pStyle w:val="Normal"/>
      </w:pPr>
      <w:r>
        <w:t>Type annotations and checking in Python continue to evolve, and touch on many complicated issues. This chapter covers some of the most common use cases for type annotations; you can find more comprehensive material in the resources listed at the end of the chapter.</w:t>
      </w:r>
    </w:p>
    <w:p>
      <w:pPr>
        <w:keepNext/>
        <w:pStyle w:val="Heading 5"/>
        <w:keepLines w:val="on"/>
      </w:pPr>
      <w:r>
        <w:t>Type Annotation Support Varies by Python Version</w:t>
      </w:r>
    </w:p>
    <w:p>
      <w:pPr>
        <w:pStyle w:val="Para 012"/>
        <w:keepLines w:val="on"/>
      </w:pPr>
      <w:r>
        <w:t>Python’s features supporting type annotations have evolved from version to version, with some significant additions and deletions. The rest of this chapter will describe the type annotation support in the most recent versions of Python (3.10 and later), with notes to indicate features that might be present or absent in other versions.</w:t>
      </w:r>
    </w:p>
    <w:p>
      <w:bookmarkStart w:id="1626" w:name="History__Python_is__fundamentall"/>
      <w:pPr>
        <w:keepNext/>
        <w:pStyle w:val="Heading 1"/>
      </w:pPr>
      <w:r>
        <w:t>History</w:t>
      </w:r>
      <w:bookmarkEnd w:id="1626"/>
    </w:p>
    <w:p>
      <w:pPr>
        <w:pStyle w:val="Normal"/>
      </w:pPr>
      <w:r>
        <w:t>Python</w:t>
      </w:r>
      <w:r>
        <w:rPr>
          <w:rStyle w:val="Text111"/>
        </w:rPr>
        <w:bookmarkStart w:id="1627" w:name="idm45965269239264"/>
        <w:t/>
        <w:bookmarkEnd w:id="1627"/>
      </w:r>
      <w:r>
        <w:t xml:space="preserve"> is, fundamentally, a</w:t>
      </w:r>
      <w:r>
        <w:rPr>
          <w:rStyle w:val="Text111"/>
        </w:rPr>
        <w:bookmarkStart w:id="1628" w:name="idm45965269237728"/>
        <w:t/>
        <w:bookmarkEnd w:id="1628"/>
      </w:r>
      <w:r>
        <w:t xml:space="preserve"> </w:t>
      </w:r>
      <w:r>
        <w:rPr>
          <w:rStyle w:val="Text4"/>
        </w:rPr>
        <w:t>dynamically typed</w:t>
      </w:r>
      <w:r>
        <w:t xml:space="preserve"> language. This lets you rapidly develop code by naming and using variables without having to declare them. Dynamic typing allows for flexible coding idioms, generic containers, and polymorphic data handling without requiring explicit definition of interface types or class hierarchies. The downside is that the language offers no help during development in flagging variables of incompatible types being passed to or returned from functions. In place of the development-time compile step that some languages utilize to detect and report data type issues, Python relies on developers to maintain comprehensive unit tests, especially (though far from exclusively!</w:t>
      </w:r>
      <w:hyperlink w:anchor="1_Strong__extensive_unit_tests_w">
        <w:r>
          <w:rPr>
            <w:rStyle w:val="Text41"/>
          </w:rPr>
          <w:bookmarkStart w:id="1629" w:name="1_5"/>
          <w:t>1</w:t>
          <w:bookmarkEnd w:id="1629"/>
        </w:r>
      </w:hyperlink>
      <w:r>
        <w:t>) to uncover data type errors by re-creating the runtime environment in a series of test cases.</w:t>
      </w:r>
    </w:p>
    <w:p>
      <w:pPr>
        <w:keepNext/>
        <w:pStyle w:val="Heading 6"/>
        <w:keepLines w:val="on"/>
      </w:pPr>
      <w:r>
        <w:t>Type Annotations Are Not Enforced</w:t>
      </w:r>
    </w:p>
    <w:p>
      <w:pPr>
        <w:pStyle w:val="Para 012"/>
        <w:keepLines w:val="on"/>
      </w:pPr>
      <w:r>
        <w:t xml:space="preserve">Type annotations are </w:t>
      </w:r>
      <w:r>
        <w:rPr>
          <w:rStyle w:val="Text4"/>
        </w:rPr>
        <w:t>not</w:t>
      </w:r>
      <w:r>
        <w:t xml:space="preserve"> enforced at runtime. Python does not perform any type validation or data conversion based on them; the executable Python code is still responsible for using variables and function arguments properly. However, type annotations must be syntactically correct. A late-imported or dynamically imported module containing an invalid type annotation raises a </w:t>
      </w:r>
      <w:r>
        <w:rPr>
          <w:rStyle w:val="Text0"/>
        </w:rPr>
        <w:t>SyntaxError</w:t>
      </w:r>
      <w:r>
        <w:t xml:space="preserve"> exception in your running Python program, just like any invalid Python statement.</w:t>
      </w:r>
    </w:p>
    <w:p>
      <w:pPr>
        <w:pStyle w:val="Normal"/>
      </w:pPr>
      <w:r>
        <w:t>Historically, the absence of any kind of type checking was often seen as a shortcoming of Python, with some programmers citing this as a reason for choosing other programming languages. However, the community wanted Python to maintain its runtime type freedom, so the logical approach was to add support for static type checks performed at development time by lint-like tools (described further in the following section) and IDEs. Some attempts were made at type checking based on parsing function signatures or docstrings. Guido van Rossum</w:t>
      </w:r>
      <w:r>
        <w:rPr>
          <w:rStyle w:val="Text111"/>
        </w:rPr>
        <w:bookmarkStart w:id="1630" w:name="idm45965269231008"/>
        <w:t/>
        <w:bookmarkEnd w:id="1630"/>
      </w:r>
      <w:r>
        <w:t xml:space="preserve"> cited several cases on the </w:t>
      </w:r>
      <w:hyperlink r:id="rId241">
        <w:r>
          <w:rPr>
            <w:rStyle w:val="Text1"/>
          </w:rPr>
          <w:t>Python Developers mailing list</w:t>
        </w:r>
      </w:hyperlink>
      <w:r>
        <w:t xml:space="preserve"> showing that type annotations could be helpful; for example, when maintaining large legacy codebases. With an annotation syntax, development tools could perform static type checks to highlight variable and function usages that conflict with the intended types.</w:t>
      </w:r>
    </w:p>
    <w:p>
      <w:pPr>
        <w:pStyle w:val="Normal"/>
      </w:pPr>
      <w:r>
        <w:t xml:space="preserve">The first official version of type annotations used specially formatted comments to indicate variable types and return codes, as defined in </w:t>
      </w:r>
      <w:hyperlink r:id="rId242">
        <w:r>
          <w:rPr>
            <w:rStyle w:val="Text1"/>
          </w:rPr>
          <w:t>PEP 484</w:t>
        </w:r>
      </w:hyperlink>
      <w:r>
        <w:t>, a provisional PEP for Python 3.5.</w:t>
      </w:r>
      <w:hyperlink w:anchor="2_The_syntax_for_type_annotation">
        <w:r>
          <w:rPr>
            <w:rStyle w:val="Text41"/>
          </w:rPr>
          <w:bookmarkStart w:id="1631" w:name="2_5"/>
          <w:t>2</w:t>
          <w:bookmarkEnd w:id="1631"/>
        </w:r>
      </w:hyperlink>
      <w:r>
        <w:t xml:space="preserve"> Using comments allowed for rapid implementation of, and experimentation with, the new typing syntax, without having to modify the Python compiler itself.</w:t>
      </w:r>
      <w:hyperlink w:anchor="3_This_approach_was_also_compati">
        <w:r>
          <w:rPr>
            <w:rStyle w:val="Text41"/>
          </w:rPr>
          <w:bookmarkStart w:id="1632" w:name="3_5"/>
          <w:t>3</w:t>
          <w:bookmarkEnd w:id="1632"/>
        </w:r>
      </w:hyperlink>
      <w:r>
        <w:t xml:space="preserve"> The</w:t>
      </w:r>
      <w:r>
        <w:rPr>
          <w:rStyle w:val="Text111"/>
        </w:rPr>
        <w:bookmarkStart w:id="1633" w:name="mypy05"/>
        <w:t/>
        <w:bookmarkEnd w:id="1633"/>
      </w:r>
      <w:r>
        <w:t xml:space="preserve"> third-party package </w:t>
      </w:r>
      <w:hyperlink r:id="rId187">
        <w:r>
          <w:rPr>
            <w:rStyle w:val="Text30"/>
          </w:rPr>
          <w:t>mypy</w:t>
        </w:r>
      </w:hyperlink>
      <w:r>
        <w:t xml:space="preserve"> gained broad acceptance performing static type checking using these comments. With the adoption of </w:t>
      </w:r>
      <w:hyperlink r:id="rId243">
        <w:r>
          <w:rPr>
            <w:rStyle w:val="Text1"/>
          </w:rPr>
          <w:t>PEP 526</w:t>
        </w:r>
      </w:hyperlink>
      <w:r>
        <w:t xml:space="preserve"> in Python 3.6, type annotations were fully incorporated into the Python language itself, with a supporting </w:t>
      </w:r>
      <w:r>
        <w:rPr>
          <w:rStyle w:val="Text0"/>
        </w:rPr>
        <w:t>typing</w:t>
      </w:r>
      <w:r>
        <w:t xml:space="preserve"> module added to the standard library.</w:t>
      </w:r>
    </w:p>
    <w:p>
      <w:bookmarkStart w:id="1634" w:name="Type_Checking_Utilities__As_type"/>
      <w:pPr>
        <w:keepNext/>
        <w:pStyle w:val="Heading 1"/>
      </w:pPr>
      <w:r>
        <w:t>Type-Checking Utilities</w:t>
      </w:r>
      <w:bookmarkEnd w:id="1634"/>
    </w:p>
    <w:p>
      <w:pPr>
        <w:pStyle w:val="Normal"/>
      </w:pPr>
      <w:r>
        <w:t>As</w:t>
      </w:r>
      <w:r>
        <w:rPr>
          <w:rStyle w:val="Text111"/>
        </w:rPr>
        <w:bookmarkStart w:id="1635" w:name="idm45965269218864"/>
        <w:t/>
        <w:bookmarkEnd w:id="1635"/>
        <w:bookmarkStart w:id="1636" w:name="idm45965269217488"/>
        <w:t/>
        <w:bookmarkEnd w:id="1636"/>
      </w:r>
      <w:r>
        <w:t xml:space="preserve"> type annotations have become an established part of Python, type-checking utilities and IDE plug-ins have also become part of the Python ecosystem.</w:t>
      </w:r>
    </w:p>
    <w:p>
      <w:bookmarkStart w:id="1637" w:name="mypy__The_standalone_mypy_utilit"/>
      <w:pPr>
        <w:keepNext/>
        <w:pStyle w:val="Heading 2"/>
      </w:pPr>
      <w:r>
        <w:t>mypy</w:t>
      </w:r>
      <w:bookmarkEnd w:id="1637"/>
    </w:p>
    <w:p>
      <w:pPr>
        <w:pStyle w:val="Normal"/>
      </w:pPr>
      <w:r>
        <w:t xml:space="preserve">The standalone </w:t>
      </w:r>
      <w:hyperlink r:id="rId244">
        <w:r>
          <w:rPr>
            <w:rStyle w:val="Text30"/>
          </w:rPr>
          <w:t>mypy</w:t>
        </w:r>
      </w:hyperlink>
      <w:r>
        <w:t xml:space="preserve"> utility continues to be a mainstay for static type checking, always up-to-date (give or take a Python version!) with evolving Python type annotation forms. </w:t>
      </w:r>
      <w:r>
        <w:rPr>
          <w:rStyle w:val="Text0"/>
        </w:rPr>
        <w:t>mypy</w:t>
      </w:r>
      <w:r>
        <w:t xml:space="preserve"> is also available as a plug-in for editors including Vim, Emacs, and SublimeText, and for the Atom, PyCharm, and VS Code IDEs. (PyCharm, VS Code, and Wing IDE also incorporate their own type-checking features separate from </w:t>
      </w:r>
      <w:r>
        <w:rPr>
          <w:rStyle w:val="Text0"/>
        </w:rPr>
        <w:t>mypy</w:t>
      </w:r>
      <w:r>
        <w:t xml:space="preserve">.) The most common command for running </w:t>
      </w:r>
      <w:r>
        <w:rPr>
          <w:rStyle w:val="Text0"/>
        </w:rPr>
        <w:t>mypy</w:t>
      </w:r>
      <w:r>
        <w:t xml:space="preserve"> is simply </w:t>
      </w:r>
      <w:r>
        <w:rPr>
          <w:rStyle w:val="Text5"/>
        </w:rPr>
        <w:t>mypy my_python_script.py</w:t>
      </w:r>
      <w:r>
        <w:t>.</w:t>
      </w:r>
    </w:p>
    <w:p>
      <w:pPr>
        <w:pStyle w:val="Normal"/>
      </w:pPr>
      <w:r>
        <w:t xml:space="preserve">You can find more detailed usage examples and command-line options in the </w:t>
      </w:r>
      <w:hyperlink r:id="rId245">
        <w:r>
          <w:rPr>
            <w:rStyle w:val="Text30"/>
          </w:rPr>
          <w:t>mypy</w:t>
        </w:r>
      </w:hyperlink>
      <w:hyperlink r:id="rId245">
        <w:r>
          <w:rPr>
            <w:rStyle w:val="Text1"/>
          </w:rPr>
          <w:t xml:space="preserve"> online documentation</w:t>
        </w:r>
      </w:hyperlink>
      <w:r>
        <w:t xml:space="preserve">, as well as a </w:t>
      </w:r>
      <w:hyperlink r:id="rId246">
        <w:r>
          <w:rPr>
            <w:rStyle w:val="Text1"/>
          </w:rPr>
          <w:t>cheat sheet</w:t>
        </w:r>
      </w:hyperlink>
      <w:r>
        <w:t xml:space="preserve"> that serves as a handy reference. Code examples later in this section will include example </w:t>
      </w:r>
      <w:r>
        <w:rPr>
          <w:rStyle w:val="Text0"/>
        </w:rPr>
        <w:t>mypy</w:t>
      </w:r>
      <w:r>
        <w:t xml:space="preserve"> error messages to illustrate the kinds of Python errors that can be caught using type</w:t>
      </w:r>
      <w:r>
        <w:rPr>
          <w:rStyle w:val="Text111"/>
        </w:rPr>
        <w:bookmarkStart w:id="1638" w:name="idm45965269206816"/>
        <w:t/>
        <w:bookmarkEnd w:id="1638"/>
      </w:r>
      <w:r>
        <w:t xml:space="preserve"> checking.</w:t>
      </w:r>
    </w:p>
    <w:p>
      <w:bookmarkStart w:id="1639" w:name="Other_Type_Checkers__Other_type"/>
      <w:pPr>
        <w:keepNext/>
        <w:pStyle w:val="Heading 2"/>
      </w:pPr>
      <w:r>
        <w:t>Other Type Checkers</w:t>
      </w:r>
      <w:bookmarkEnd w:id="1639"/>
    </w:p>
    <w:p>
      <w:pPr>
        <w:pStyle w:val="Normal"/>
      </w:pPr>
      <w:r>
        <w:t>Other type checkers to consider using include:</w:t>
      </w:r>
    </w:p>
    <w:p>
      <w:pPr>
        <w:pStyle w:val="Para 023"/>
      </w:pPr>
      <w:r>
        <w:t>MonkeyType</w:t>
      </w:r>
    </w:p>
    <w:p>
      <w:pPr>
        <w:pStyle w:val="Para 016"/>
      </w:pPr>
      <w:r>
        <w:t xml:space="preserve">Instagram’s </w:t>
      </w:r>
      <w:hyperlink r:id="rId247">
        <w:r>
          <w:rPr>
            <w:rStyle w:val="Text43"/>
          </w:rPr>
          <w:t>MonkeyType</w:t>
        </w:r>
      </w:hyperlink>
      <w:r>
        <w:t xml:space="preserve"> uses</w:t>
      </w:r>
      <w:r>
        <w:rPr>
          <w:rStyle w:val="Text115"/>
        </w:rPr>
        <w:bookmarkStart w:id="1640" w:name="idm45965269200736"/>
        <w:t/>
        <w:bookmarkEnd w:id="1640"/>
      </w:r>
      <w:r>
        <w:t xml:space="preserve"> the </w:t>
      </w:r>
      <w:r>
        <w:rPr>
          <w:rStyle w:val="Text0"/>
        </w:rPr>
        <w:t>sys.setprofile</w:t>
      </w:r>
      <w:r>
        <w:t xml:space="preserve"> hook to detect types dynamically at runtime; like </w:t>
      </w:r>
      <w:r>
        <w:rPr>
          <w:rStyle w:val="Text0"/>
        </w:rPr>
        <w:t>pytype</w:t>
      </w:r>
      <w:r>
        <w:t xml:space="preserve"> (see below), it can also generate a </w:t>
      </w:r>
      <w:r>
        <w:rPr>
          <w:rStyle w:val="Text4"/>
        </w:rPr>
        <w:t>.pyi</w:t>
      </w:r>
      <w:r>
        <w:t xml:space="preserve"> (stub) file instead of, or in addition to, inserting type annotations in the Python code file itself.</w:t>
      </w:r>
    </w:p>
    <w:p>
      <w:pPr>
        <w:pStyle w:val="Para 030"/>
      </w:pPr>
      <w:r>
        <w:t>pydantic</w:t>
      </w:r>
    </w:p>
    <w:p>
      <w:pPr>
        <w:pStyle w:val="Para 016"/>
      </w:pPr>
      <w:hyperlink r:id="rId248">
        <w:r>
          <w:rPr>
            <w:rStyle w:val="Text30"/>
          </w:rPr>
          <w:t>pydantic</w:t>
        </w:r>
      </w:hyperlink>
      <w:r>
        <w:t xml:space="preserve"> also</w:t>
      </w:r>
      <w:r>
        <w:rPr>
          <w:rStyle w:val="Text115"/>
        </w:rPr>
        <w:bookmarkStart w:id="1641" w:name="idm45965269195136"/>
        <w:t/>
        <w:bookmarkEnd w:id="1641"/>
      </w:r>
      <w:r>
        <w:t xml:space="preserve"> works at runtime, but it does not generate stubs or insert type annotations; rather, its primary goal is to parse inputs and ensure that Python code receives clean data. As described in the </w:t>
      </w:r>
      <w:hyperlink r:id="rId249">
        <w:r>
          <w:rPr>
            <w:rStyle w:val="Text43"/>
          </w:rPr>
          <w:t>online docs</w:t>
        </w:r>
      </w:hyperlink>
      <w:r>
        <w:t xml:space="preserve">, it also allows you to extend its validation features for your own environment. See </w:t>
      </w:r>
      <w:hyperlink w:anchor="FastAPI__FastAPI_is_of_a_more_re">
        <w:r>
          <w:rPr>
            <w:rStyle w:val="Text43"/>
          </w:rPr>
          <w:t>“FastAPI”</w:t>
        </w:r>
      </w:hyperlink>
      <w:r>
        <w:t xml:space="preserve"> for a simple example.</w:t>
      </w:r>
    </w:p>
    <w:p>
      <w:pPr>
        <w:pStyle w:val="Para 023"/>
      </w:pPr>
      <w:r>
        <w:t>Pylance</w:t>
      </w:r>
    </w:p>
    <w:p>
      <w:pPr>
        <w:pStyle w:val="Para 016"/>
      </w:pPr>
      <w:hyperlink r:id="rId250">
        <w:r>
          <w:rPr>
            <w:rStyle w:val="Text43"/>
          </w:rPr>
          <w:t>Pylance</w:t>
        </w:r>
      </w:hyperlink>
      <w:r>
        <w:t xml:space="preserve"> is a type checking module</w:t>
      </w:r>
      <w:r>
        <w:rPr>
          <w:rStyle w:val="Text115"/>
        </w:rPr>
        <w:bookmarkStart w:id="1642" w:name="idm45965269190800"/>
        <w:t/>
        <w:bookmarkEnd w:id="1642"/>
      </w:r>
      <w:r>
        <w:t xml:space="preserve"> primarily meant to embed Pyright (see below) into VS Code.</w:t>
      </w:r>
    </w:p>
    <w:p>
      <w:pPr>
        <w:pStyle w:val="Para 023"/>
      </w:pPr>
      <w:r>
        <w:t>Pyre</w:t>
      </w:r>
    </w:p>
    <w:p>
      <w:pPr>
        <w:pStyle w:val="Para 016"/>
      </w:pPr>
      <w:r>
        <w:t xml:space="preserve">Facebook’s </w:t>
      </w:r>
      <w:hyperlink r:id="rId251">
        <w:r>
          <w:rPr>
            <w:rStyle w:val="Text43"/>
          </w:rPr>
          <w:t>Pyre</w:t>
        </w:r>
      </w:hyperlink>
      <w:r>
        <w:t xml:space="preserve"> can also</w:t>
      </w:r>
      <w:r>
        <w:rPr>
          <w:rStyle w:val="Text115"/>
        </w:rPr>
        <w:bookmarkStart w:id="1643" w:name="idm45965269187984"/>
        <w:t/>
        <w:bookmarkEnd w:id="1643"/>
      </w:r>
      <w:r>
        <w:t xml:space="preserve"> generate </w:t>
      </w:r>
      <w:r>
        <w:rPr>
          <w:rStyle w:val="Text4"/>
        </w:rPr>
        <w:t>.pyi</w:t>
      </w:r>
      <w:r>
        <w:t xml:space="preserve"> files. It currently does not run on Windows, unless you have the </w:t>
      </w:r>
      <w:hyperlink r:id="rId252">
        <w:r>
          <w:rPr>
            <w:rStyle w:val="Text43"/>
          </w:rPr>
          <w:t>Windows Subsystem for Linux (WSL)</w:t>
        </w:r>
      </w:hyperlink>
      <w:r>
        <w:t xml:space="preserve"> installed.</w:t>
      </w:r>
    </w:p>
    <w:p>
      <w:pPr>
        <w:pStyle w:val="Para 023"/>
      </w:pPr>
      <w:r>
        <w:t>Pyright</w:t>
      </w:r>
    </w:p>
    <w:p>
      <w:pPr>
        <w:pStyle w:val="Para 016"/>
      </w:pPr>
      <w:hyperlink r:id="rId253">
        <w:r>
          <w:rPr>
            <w:rStyle w:val="Text43"/>
          </w:rPr>
          <w:t>Pyright</w:t>
        </w:r>
      </w:hyperlink>
      <w:r>
        <w:t xml:space="preserve"> is Microsoft’s static type</w:t>
      </w:r>
      <w:r>
        <w:rPr>
          <w:rStyle w:val="Text115"/>
        </w:rPr>
        <w:bookmarkStart w:id="1644" w:name="idm45965269184160"/>
        <w:t/>
        <w:bookmarkEnd w:id="1644"/>
      </w:r>
      <w:r>
        <w:t xml:space="preserve"> checking tool, available as a command-line utility and a VS Code extension.</w:t>
      </w:r>
    </w:p>
    <w:p>
      <w:pPr>
        <w:pStyle w:val="Para 030"/>
      </w:pPr>
      <w:r>
        <w:t>pytype</w:t>
      </w:r>
    </w:p>
    <w:p>
      <w:pPr>
        <w:pStyle w:val="Para 016"/>
      </w:pPr>
      <w:hyperlink r:id="rId254">
        <w:r>
          <w:rPr>
            <w:rStyle w:val="Text30"/>
          </w:rPr>
          <w:t>pytype</w:t>
        </w:r>
      </w:hyperlink>
      <w:r>
        <w:t xml:space="preserve"> from Google</w:t>
      </w:r>
      <w:r>
        <w:rPr>
          <w:rStyle w:val="Text115"/>
        </w:rPr>
        <w:bookmarkStart w:id="1645" w:name="idm45965269180176"/>
        <w:t/>
        <w:bookmarkEnd w:id="1645"/>
      </w:r>
      <w:r>
        <w:t xml:space="preserve"> is a static type checker that focuses on</w:t>
      </w:r>
      <w:r>
        <w:rPr>
          <w:rStyle w:val="Text115"/>
        </w:rPr>
        <w:bookmarkStart w:id="1646" w:name="idm45965269178944"/>
        <w:t/>
        <w:bookmarkEnd w:id="1646"/>
      </w:r>
      <w:r>
        <w:t xml:space="preserve"> </w:t>
      </w:r>
      <w:r>
        <w:rPr>
          <w:rStyle w:val="Text4"/>
        </w:rPr>
        <w:t>type inferencin</w:t>
      </w:r>
      <w:r>
        <w:t xml:space="preserve">g (and offers advice even in the absence of type hints) in addition to type annotations. Type inferencing offers a powerful capability for detecting type errors even in code without annotations. </w:t>
      </w:r>
      <w:r>
        <w:rPr>
          <w:rStyle w:val="Text0"/>
        </w:rPr>
        <w:t>pytype</w:t>
      </w:r>
      <w:r>
        <w:t xml:space="preserve"> can also generate </w:t>
      </w:r>
      <w:r>
        <w:rPr>
          <w:rStyle w:val="Text4"/>
        </w:rPr>
        <w:t>.pyi</w:t>
      </w:r>
      <w:r>
        <w:t xml:space="preserve"> files and merge stub files back into </w:t>
      </w:r>
      <w:r>
        <w:rPr>
          <w:rStyle w:val="Text4"/>
        </w:rPr>
        <w:t>.py</w:t>
      </w:r>
      <w:r>
        <w:t xml:space="preserve"> sources (the most recent versions of </w:t>
      </w:r>
      <w:r>
        <w:rPr>
          <w:rStyle w:val="Text0"/>
        </w:rPr>
        <w:t>mypy</w:t>
      </w:r>
      <w:r>
        <w:t xml:space="preserve"> are following suit on this). Currently, </w:t>
      </w:r>
      <w:r>
        <w:rPr>
          <w:rStyle w:val="Text0"/>
        </w:rPr>
        <w:t>pytype</w:t>
      </w:r>
      <w:r>
        <w:t xml:space="preserve"> does not run on Windows unless you first install </w:t>
      </w:r>
      <w:hyperlink r:id="rId255">
        <w:r>
          <w:rPr>
            <w:rStyle w:val="Text43"/>
          </w:rPr>
          <w:t>WSL</w:t>
        </w:r>
      </w:hyperlink>
      <w:r>
        <w:t>.</w:t>
      </w:r>
    </w:p>
    <w:p>
      <w:pPr>
        <w:pStyle w:val="Normal"/>
      </w:pPr>
      <w:r>
        <w:t>The emergence of type-checking applications from multiple major software organizations is a testimonial to the widespread interest in the Python developer community in using type annotations.</w:t>
      </w:r>
    </w:p>
    <w:p>
      <w:bookmarkStart w:id="1647" w:name="Type_Annotation_Syntax__A_type_a"/>
      <w:pPr>
        <w:keepNext/>
        <w:pStyle w:val="Heading 1"/>
      </w:pPr>
      <w:r>
        <w:t>Type Annotation Syntax</w:t>
      </w:r>
      <w:bookmarkEnd w:id="1647"/>
    </w:p>
    <w:p>
      <w:pPr>
        <w:pStyle w:val="Normal"/>
      </w:pPr>
      <w:r>
        <w:t>A</w:t>
      </w:r>
      <w:r>
        <w:rPr>
          <w:rStyle w:val="Text111"/>
        </w:rPr>
        <w:bookmarkStart w:id="1648" w:name="TAsyntax05"/>
        <w:t/>
        <w:bookmarkEnd w:id="1648"/>
      </w:r>
      <w:r>
        <w:t xml:space="preserve"> </w:t>
      </w:r>
      <w:r>
        <w:rPr>
          <w:rStyle w:val="Text4"/>
        </w:rPr>
        <w:t>type annotation</w:t>
      </w:r>
      <w:r>
        <w:t xml:space="preserve"> is specified in Python using the form:</w:t>
      </w:r>
    </w:p>
    <w:p>
      <w:pPr>
        <w:pStyle w:val="Para 032"/>
      </w:pPr>
      <w:r>
        <w:rPr>
          <w:rStyle w:val="Text116"/>
        </w:rPr>
        <w:t xml:space="preserve"/>
        <w:br w:clear="none"/>
      </w:r>
      <w:r>
        <w:t xml:space="preserve">identifier</w:t>
        <w:br w:clear="none"/>
      </w:r>
      <w:r>
        <w:rPr>
          <w:rStyle w:val="Text19"/>
        </w:rPr>
        <w:t xml:space="preserve">:</w:t>
        <w:br w:clear="none"/>
      </w:r>
      <w:r>
        <w:rPr>
          <w:rStyle w:val="Text11"/>
        </w:rPr>
        <w:t xml:space="preserve"> </w:t>
        <w:br w:clear="none"/>
      </w:r>
      <w:r>
        <w:t xml:space="preserve">type_specification</w:t>
        <w:br w:clear="none"/>
      </w:r>
    </w:p>
    <w:p>
      <w:pPr>
        <w:pStyle w:val="Normal"/>
      </w:pPr>
      <w:r>
        <w:rPr>
          <w:rStyle w:val="Text3"/>
        </w:rPr>
        <w:t>type_specification</w:t>
      </w:r>
      <w:r>
        <w:t xml:space="preserve"> can be any Python expression, but usually involves one or more built-in types (for example, just mentioning a Python type is a perfectly valid expression) and/or attributes imported from the </w:t>
      </w:r>
      <w:r>
        <w:rPr>
          <w:rStyle w:val="Text0"/>
        </w:rPr>
        <w:t>typing</w:t>
      </w:r>
      <w:r>
        <w:t xml:space="preserve"> module (discussed in the following section). The typical form is:</w:t>
      </w:r>
    </w:p>
    <w:p>
      <w:pPr>
        <w:pStyle w:val="Para 032"/>
      </w:pPr>
      <w:r>
        <w:rPr>
          <w:rStyle w:val="Text116"/>
        </w:rPr>
        <w:t xml:space="preserve"/>
        <w:br w:clear="none"/>
      </w:r>
      <w:r>
        <w:t xml:space="preserve">type_specifier</w:t>
        <w:br w:clear="none"/>
      </w:r>
      <w:r>
        <w:rPr>
          <w:rStyle w:val="Text19"/>
        </w:rPr>
        <w:t xml:space="preserve">[</w:t>
        <w:br w:clear="none"/>
      </w:r>
      <w:r>
        <w:t xml:space="preserve">type_parameter</w:t>
        <w:br w:clear="none"/>
      </w:r>
      <w:r>
        <w:rPr>
          <w:rStyle w:val="Text19"/>
        </w:rPr>
        <w:t xml:space="preserve">,</w:t>
        <w:br w:clear="none"/>
      </w:r>
      <w:r>
        <w:rPr>
          <w:rStyle w:val="Text11"/>
        </w:rPr>
        <w:t xml:space="preserve"> </w:t>
        <w:br w:clear="none"/>
      </w:r>
      <w:r>
        <w:rPr>
          <w:rStyle w:val="Text28"/>
        </w:rPr>
        <w:t xml:space="preserve">.</w:t>
        <w:br w:clear="none"/>
        <w:t xml:space="preserve">.</w:t>
        <w:br w:clear="none"/>
        <w:t xml:space="preserve">.</w:t>
        <w:br w:clear="none"/>
      </w:r>
      <w:r>
        <w:rPr>
          <w:rStyle w:val="Text19"/>
        </w:rPr>
        <w:t xml:space="preserve">]</w:t>
        <w:br w:clear="none"/>
      </w:r>
    </w:p>
    <w:p>
      <w:pPr>
        <w:pStyle w:val="Normal"/>
      </w:pPr>
      <w:r>
        <w:t>Here are some examples of type expressions used as type annotations for a variable:</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typing</w:t>
        <w:br w:clear="none"/>
      </w:r>
      <w:r>
        <w:rPr>
          <w:rStyle w:val="Text11"/>
        </w:rPr>
        <w:t xml:space="preserve"/>
        <w:br w:clear="none"/>
        <w:t xml:space="preserve"/>
        <w:br w:clear="none"/>
      </w:r>
      <w:r>
        <w:t xml:space="preserve"># an int</w:t>
        <w:br w:clear="none"/>
      </w:r>
      <w:r>
        <w:rPr>
          <w:rStyle w:val="Text11"/>
        </w:rPr>
        <w:t xml:space="preserve"/>
        <w:br w:clear="none"/>
      </w:r>
      <w:r>
        <w:rPr>
          <w:rStyle w:val="Text14"/>
        </w:rPr>
        <w:t xml:space="preserve">count</w:t>
        <w:br w:clear="none"/>
      </w:r>
      <w:r>
        <w:rPr>
          <w:rStyle w:val="Text19"/>
        </w:rPr>
        <w:t xml:space="preserve">:</w:t>
        <w:br w:clear="none"/>
      </w:r>
      <w:r>
        <w:rPr>
          <w:rStyle w:val="Text11"/>
        </w:rPr>
        <w:t xml:space="preserve"> </w:t>
        <w:br w:clear="none"/>
      </w:r>
      <w:r>
        <w:rPr>
          <w:rStyle w:val="Text21"/>
        </w:rPr>
        <w:t xml:space="preserve">int</w:t>
        <w:br w:clear="none"/>
      </w:r>
      <w:r>
        <w:rPr>
          <w:rStyle w:val="Text11"/>
        </w:rPr>
        <w:t xml:space="preserve"/>
        <w:br w:clear="none"/>
        <w:t xml:space="preserve"/>
        <w:br w:clear="none"/>
      </w:r>
      <w:r>
        <w:t xml:space="preserve"># a list of ints, with a default value</w:t>
        <w:br w:clear="none"/>
      </w:r>
      <w:r>
        <w:rPr>
          <w:rStyle w:val="Text11"/>
        </w:rPr>
        <w:t xml:space="preserve"/>
        <w:br w:clear="none"/>
      </w:r>
      <w:r>
        <w:rPr>
          <w:rStyle w:val="Text14"/>
        </w:rPr>
        <w:t xml:space="preserve">counts</w:t>
        <w:br w:clear="none"/>
      </w:r>
      <w:r>
        <w:rPr>
          <w:rStyle w:val="Text19"/>
        </w:rPr>
        <w:t xml:space="preserve">:</w:t>
        <w:br w:clear="none"/>
      </w:r>
      <w:r>
        <w:rPr>
          <w:rStyle w:val="Text11"/>
        </w:rPr>
        <w:t xml:space="preserve"> </w:t>
        <w:br w:clear="none"/>
      </w:r>
      <w:r>
        <w:rPr>
          <w:rStyle w:val="Text21"/>
        </w:rPr>
        <w:t xml:space="preserve">list</w:t>
        <w:br w:clear="none"/>
      </w:r>
      <w:r>
        <w:rPr>
          <w:rStyle w:val="Text19"/>
        </w:rPr>
        <w:t xml:space="preserve">[</w:t>
        <w:br w:clear="none"/>
      </w:r>
      <w:r>
        <w:rPr>
          <w:rStyle w:val="Text21"/>
        </w:rPr>
        <w:t xml:space="preserve">int</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t xml:space="preserve">]</w:t>
        <w:br w:clear="none"/>
      </w:r>
      <w:r>
        <w:rPr>
          <w:rStyle w:val="Text11"/>
        </w:rPr>
        <w:t xml:space="preserve"/>
        <w:br w:clear="none"/>
        <w:t xml:space="preserve"/>
        <w:br w:clear="none"/>
      </w:r>
      <w:r>
        <w:t xml:space="preserve"># a dict with str keys, values are tuples containing 2 ints and a str</w:t>
        <w:br w:clear="none"/>
      </w:r>
      <w:r>
        <w:rPr>
          <w:rStyle w:val="Text11"/>
        </w:rPr>
        <w:t xml:space="preserve"/>
        <w:br w:clear="none"/>
      </w:r>
      <w:r>
        <w:rPr>
          <w:rStyle w:val="Text14"/>
        </w:rPr>
        <w:t xml:space="preserve">employee_data</w:t>
        <w:br w:clear="none"/>
      </w:r>
      <w:r>
        <w:rPr>
          <w:rStyle w:val="Text19"/>
        </w:rPr>
        <w:t xml:space="preserve">:</w:t>
        <w:br w:clear="none"/>
      </w:r>
      <w:r>
        <w:rPr>
          <w:rStyle w:val="Text11"/>
        </w:rPr>
        <w:t xml:space="preserve"> </w:t>
        <w:br w:clear="none"/>
      </w:r>
      <w:r>
        <w:rPr>
          <w:rStyle w:val="Text21"/>
        </w:rPr>
        <w:t xml:space="preserve">dict</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21"/>
        </w:rPr>
        <w:t xml:space="preserve">tuple</w:t>
        <w:br w:clear="none"/>
      </w:r>
      <w:r>
        <w:rPr>
          <w:rStyle w:val="Text19"/>
        </w:rPr>
        <w:t xml:space="preserve">[</w:t>
        <w:br w:clear="none"/>
      </w:r>
      <w:r>
        <w:rPr>
          <w:rStyle w:val="Text21"/>
        </w:rPr>
        <w:t xml:space="preserve">int</w:t>
        <w:br w:clear="none"/>
      </w:r>
      <w:r>
        <w:rPr>
          <w:rStyle w:val="Text19"/>
        </w:rPr>
        <w:t xml:space="preserve">,</w:t>
        <w:br w:clear="none"/>
      </w:r>
      <w:r>
        <w:rPr>
          <w:rStyle w:val="Text11"/>
        </w:rPr>
        <w:t xml:space="preserve"> </w:t>
        <w:br w:clear="none"/>
      </w:r>
      <w:r>
        <w:rPr>
          <w:rStyle w:val="Text21"/>
        </w:rPr>
        <w:t xml:space="preserve">int</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t xml:space="preserve">]</w:t>
        <w:br w:clear="none"/>
      </w:r>
      <w:r>
        <w:rPr>
          <w:rStyle w:val="Text11"/>
        </w:rPr>
        <w:t xml:space="preserve"/>
        <w:br w:clear="none"/>
        <w:t xml:space="preserve"/>
        <w:br w:clear="none"/>
      </w:r>
      <w:r>
        <w:t xml:space="preserve"># a callable taking a single str or bytes argument and returning a bool</w:t>
        <w:br w:clear="none"/>
      </w:r>
      <w:r>
        <w:rPr>
          <w:rStyle w:val="Text11"/>
        </w:rPr>
        <w:t xml:space="preserve"/>
        <w:br w:clear="none"/>
      </w:r>
      <w:r>
        <w:rPr>
          <w:rStyle w:val="Text14"/>
        </w:rPr>
        <w:t xml:space="preserve">str_predicate_function</w:t>
        <w:br w:clear="none"/>
      </w:r>
      <w:r>
        <w:rPr>
          <w:rStyle w:val="Text19"/>
        </w:rPr>
        <w:t xml:space="preserve">:</w:t>
        <w:br w:clear="none"/>
      </w:r>
      <w:r>
        <w:rPr>
          <w:rStyle w:val="Text11"/>
        </w:rPr>
        <w:t xml:space="preserve"> </w:t>
        <w:br w:clear="none"/>
      </w:r>
      <w:r>
        <w:rPr>
          <w:rStyle w:val="Text14"/>
        </w:rPr>
        <w:t xml:space="preserve">typing</w:t>
        <w:br w:clear="none"/>
      </w:r>
      <w:r>
        <w:rPr>
          <w:rStyle w:val="Text28"/>
        </w:rPr>
        <w:t xml:space="preserve">.</w:t>
        <w:br w:clear="none"/>
      </w:r>
      <w:r>
        <w:rPr>
          <w:rStyle w:val="Text14"/>
        </w:rPr>
        <w:t xml:space="preserve">Callable</w:t>
        <w:br w:clear="none"/>
      </w:r>
      <w:r>
        <w:rPr>
          <w:rStyle w:val="Text19"/>
        </w:rPr>
        <w:t xml:space="preserve">[</w:t>
        <w:br w:clear="none"/>
        <w:t xml:space="preserve">[</w:t>
        <w:br w:clear="none"/>
      </w:r>
      <w:r>
        <w:rPr>
          <w:rStyle w:val="Text21"/>
        </w:rPr>
        <w:t xml:space="preserve">str</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bytes</w:t>
        <w:br w:clear="none"/>
      </w:r>
      <w:r>
        <w:rPr>
          <w:rStyle w:val="Text19"/>
        </w:rPr>
        <w:t xml:space="preserve">]</w:t>
        <w:br w:clear="none"/>
        <w:t xml:space="preserve">,</w:t>
        <w:br w:clear="none"/>
      </w:r>
      <w:r>
        <w:rPr>
          <w:rStyle w:val="Text11"/>
        </w:rPr>
        <w:t xml:space="preserve"> </w:t>
        <w:br w:clear="none"/>
      </w:r>
      <w:r>
        <w:rPr>
          <w:rStyle w:val="Text21"/>
        </w:rPr>
        <w:t xml:space="preserve">bool</w:t>
        <w:br w:clear="none"/>
      </w:r>
      <w:r>
        <w:rPr>
          <w:rStyle w:val="Text19"/>
        </w:rPr>
        <w:t xml:space="preserve">]</w:t>
        <w:br w:clear="none"/>
      </w:r>
      <w:r>
        <w:rPr>
          <w:rStyle w:val="Text11"/>
        </w:rPr>
        <w:t xml:space="preserve"/>
        <w:br w:clear="none"/>
        <w:t xml:space="preserve"/>
        <w:br w:clear="none"/>
      </w:r>
      <w:r>
        <w:t xml:space="preserve"># a dict with str keys, whose values are functions that take and return</w:t>
        <w:br w:clear="none"/>
      </w:r>
      <w:r>
        <w:rPr>
          <w:rStyle w:val="Text4"/>
        </w:rPr>
        <w:t xml:space="preserve"> </w:t>
        <w:br w:clear="none"/>
      </w:r>
      <w:r>
        <w:rPr>
          <w:rStyle w:val="Text11"/>
        </w:rPr>
        <w:t xml:space="preserve"/>
        <w:br w:clear="none"/>
      </w:r>
      <w:r>
        <w:t xml:space="preserve"># an int</w:t>
        <w:br w:clear="none"/>
      </w:r>
      <w:r>
        <w:rPr>
          <w:rStyle w:val="Text11"/>
        </w:rPr>
        <w:t xml:space="preserve"/>
        <w:br w:clear="none"/>
      </w:r>
      <w:r>
        <w:rPr>
          <w:rStyle w:val="Text14"/>
        </w:rPr>
        <w:t xml:space="preserve">str_function_map</w:t>
        <w:br w:clear="none"/>
      </w:r>
      <w:r>
        <w:rPr>
          <w:rStyle w:val="Text19"/>
        </w:rPr>
        <w:t xml:space="preserve">:</w:t>
        <w:br w:clear="none"/>
      </w:r>
      <w:r>
        <w:rPr>
          <w:rStyle w:val="Text11"/>
        </w:rPr>
        <w:t xml:space="preserve"> </w:t>
        <w:br w:clear="none"/>
      </w:r>
      <w:r>
        <w:rPr>
          <w:rStyle w:val="Text21"/>
        </w:rPr>
        <w:t xml:space="preserve">dict</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14"/>
        </w:rPr>
        <w:t xml:space="preserve">typing</w:t>
        <w:br w:clear="none"/>
      </w:r>
      <w:r>
        <w:rPr>
          <w:rStyle w:val="Text28"/>
        </w:rPr>
        <w:t xml:space="preserve">.</w:t>
        <w:br w:clear="none"/>
      </w:r>
      <w:r>
        <w:rPr>
          <w:rStyle w:val="Text14"/>
        </w:rPr>
        <w:t xml:space="preserve">Callable</w:t>
        <w:br w:clear="none"/>
      </w:r>
      <w:r>
        <w:rPr>
          <w:rStyle w:val="Text19"/>
        </w:rPr>
        <w:t xml:space="preserve">[</w:t>
        <w:br w:clear="none"/>
        <w:t xml:space="preserve">[</w:t>
        <w:br w:clear="none"/>
      </w:r>
      <w:r>
        <w:rPr>
          <w:rStyle w:val="Text21"/>
        </w:rPr>
        <w:t xml:space="preserve">int</w:t>
        <w:br w:clear="none"/>
      </w:r>
      <w:r>
        <w:rPr>
          <w:rStyle w:val="Text19"/>
        </w:rPr>
        <w:t xml:space="preserve">]</w:t>
        <w:br w:clear="none"/>
        <w:t xml:space="preserve">,</w:t>
        <w:br w:clear="none"/>
      </w:r>
      <w:r>
        <w:rPr>
          <w:rStyle w:val="Text11"/>
        </w:rPr>
        <w:t xml:space="preserve"> </w:t>
        <w:br w:clear="none"/>
      </w:r>
      <w:r>
        <w:rPr>
          <w:rStyle w:val="Text21"/>
        </w:rPr>
        <w:t xml:space="preserve">int</w:t>
        <w:br w:clear="none"/>
      </w:r>
      <w:r>
        <w:rPr>
          <w:rStyle w:val="Text19"/>
        </w:rPr>
        <w:t xml:space="preserve">]</w:t>
        <w:br w:clear="none"/>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1"/>
        </w:rPr>
        <w:t xml:space="preserve"/>
        <w:br w:clear="none"/>
        <w:t xml:space="preserve">    </w:t>
        <w:br w:clear="none"/>
      </w:r>
      <w:r>
        <w:rPr>
          <w:rStyle w:val="Text17"/>
        </w:rPr>
        <w:t xml:space="preserve">'</w:t>
        <w:br w:clear="none"/>
        <w:t xml:space="preserve">square</w:t>
        <w:br w:clear="none"/>
        <w:t xml:space="preserve">'</w:t>
        <w:br w:clear="none"/>
      </w:r>
      <w:r>
        <w:rPr>
          <w:rStyle w:val="Text19"/>
        </w:rPr>
        <w:t xml:space="preserve">:</w:t>
        <w:br w:clear="none"/>
      </w:r>
      <w:r>
        <w:rPr>
          <w:rStyle w:val="Text11"/>
        </w:rPr>
        <w:t xml:space="preserve"> </w:t>
        <w:br w:clear="none"/>
      </w:r>
      <w:r>
        <w:rPr>
          <w:rStyle w:val="Text22"/>
        </w:rPr>
        <w:t xml:space="preserve">lambda</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br w:clear="none"/>
        <w:t xml:space="preserve">    </w:t>
        <w:br w:clear="none"/>
      </w:r>
      <w:r>
        <w:rPr>
          <w:rStyle w:val="Text17"/>
        </w:rPr>
        <w:t xml:space="preserve">'</w:t>
        <w:br w:clear="none"/>
        <w:t xml:space="preserve">cube</w:t>
        <w:br w:clear="none"/>
        <w:t xml:space="preserve">'</w:t>
        <w:br w:clear="none"/>
      </w:r>
      <w:r>
        <w:rPr>
          <w:rStyle w:val="Text19"/>
        </w:rPr>
        <w:t xml:space="preserve">:</w:t>
        <w:br w:clear="none"/>
      </w:r>
      <w:r>
        <w:rPr>
          <w:rStyle w:val="Text11"/>
        </w:rPr>
        <w:t xml:space="preserve"> </w:t>
        <w:br w:clear="none"/>
      </w:r>
      <w:r>
        <w:rPr>
          <w:rStyle w:val="Text22"/>
        </w:rPr>
        <w:t xml:space="preserve">lambda</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br w:clear="none"/>
      </w:r>
      <w:r>
        <w:rPr>
          <w:rStyle w:val="Text19"/>
        </w:rPr>
        <w:t xml:space="preserve">}</w:t>
        <w:br w:clear="none"/>
      </w:r>
    </w:p>
    <w:p>
      <w:pPr>
        <w:pStyle w:val="Normal"/>
      </w:pPr>
      <w:r>
        <w:t>Note that</w:t>
      </w:r>
      <w:r>
        <w:rPr>
          <w:rStyle w:val="Text111"/>
        </w:rPr>
        <w:bookmarkStart w:id="1649" w:name="idm45965268985648"/>
        <w:t/>
        <w:bookmarkEnd w:id="1649"/>
      </w:r>
      <w:r>
        <w:t xml:space="preserve"> </w:t>
      </w:r>
      <w:r>
        <w:rPr>
          <w:rStyle w:val="Text5"/>
        </w:rPr>
        <w:t>lambda</w:t>
      </w:r>
      <w:r>
        <w:t xml:space="preserve">s do </w:t>
      </w:r>
      <w:r>
        <w:rPr>
          <w:rStyle w:val="Text4"/>
        </w:rPr>
        <w:t>not</w:t>
      </w:r>
      <w:r>
        <w:t xml:space="preserve"> accept type annotations.</w:t>
      </w:r>
    </w:p>
    <w:p>
      <w:bookmarkStart w:id="1650" w:name="Typing_Syntax_Changes_in_Python"/>
      <w:pPr>
        <w:keepNext/>
        <w:pStyle w:val="Heading 5"/>
        <w:keepLines w:val="on"/>
      </w:pPr>
      <w:r>
        <w:t>Typing Syntax Changes in Python 3.9 and 3.10</w:t>
      </w:r>
      <w:bookmarkEnd w:id="1650"/>
    </w:p>
    <w:p>
      <w:pPr>
        <w:pStyle w:val="Para 012"/>
        <w:keepLines w:val="on"/>
      </w:pPr>
      <w:r>
        <w:t>One of the most significant changes in type annotations during the span of Python versions covered in this book was the support added in Python 3.9 for using built-in Python types, as shown in these examples.</w:t>
      </w:r>
    </w:p>
    <w:p>
      <w:pPr>
        <w:pStyle w:val="Para 012"/>
        <w:keepLines w:val="on"/>
      </w:pPr>
      <w:r>
        <w:rPr>
          <w:rStyle w:val="Text87"/>
        </w:rPr>
        <w:t>-3.9</w:t>
      </w:r>
      <w:r>
        <w:t xml:space="preserve"> Prior to Python 3.9, these annotations required the use of type names imported from the </w:t>
      </w:r>
      <w:r>
        <w:rPr>
          <w:rStyle w:val="Text0"/>
        </w:rPr>
        <w:t>typing</w:t>
      </w:r>
      <w:r>
        <w:t xml:space="preserve"> module, such as </w:t>
      </w:r>
      <w:r>
        <w:rPr>
          <w:rStyle w:val="Text0"/>
        </w:rPr>
        <w:t>Dict</w:t>
      </w:r>
      <w:r>
        <w:t xml:space="preserve">, </w:t>
      </w:r>
      <w:r>
        <w:rPr>
          <w:rStyle w:val="Text0"/>
        </w:rPr>
        <w:t>List</w:t>
      </w:r>
      <w:r>
        <w:t xml:space="preserve">, </w:t>
      </w:r>
      <w:r>
        <w:rPr>
          <w:rStyle w:val="Text0"/>
        </w:rPr>
        <w:t>Tuple</w:t>
      </w:r>
      <w:r>
        <w:t>, etc.</w:t>
      </w:r>
    </w:p>
    <w:p>
      <w:pPr>
        <w:pStyle w:val="Para 012"/>
        <w:keepLines w:val="on"/>
      </w:pPr>
      <w:r>
        <w:rPr>
          <w:rStyle w:val="Text87"/>
        </w:rPr>
        <w:t>3.10+</w:t>
      </w:r>
      <w:r>
        <w:t xml:space="preserve"> Python 3.10 added support for using </w:t>
      </w:r>
      <w:r>
        <w:rPr>
          <w:rStyle w:val="Text0"/>
        </w:rPr>
        <w:t>|</w:t>
      </w:r>
      <w:r>
        <w:t xml:space="preserve"> to indicate alternative types, as a more readable, concise alternative to the </w:t>
      </w:r>
      <w:r>
        <w:rPr>
          <w:rStyle w:val="Text0"/>
        </w:rPr>
        <w:t>Union[</w:t>
      </w:r>
      <w:r>
        <w:rPr>
          <w:rStyle w:val="Text3"/>
        </w:rPr>
        <w:t>atype</w:t>
      </w:r>
      <w:r>
        <w:rPr>
          <w:rStyle w:val="Text0"/>
        </w:rPr>
        <w:t>,</w:t>
      </w:r>
      <w:r>
        <w:t xml:space="preserve"> </w:t>
      </w:r>
      <w:r>
        <w:rPr>
          <w:rStyle w:val="Text3"/>
        </w:rPr>
        <w:t>btype</w:t>
      </w:r>
      <w:r>
        <w:rPr>
          <w:rStyle w:val="Text0"/>
        </w:rPr>
        <w:t>, ...]</w:t>
      </w:r>
      <w:r>
        <w:t xml:space="preserve"> notation. The </w:t>
      </w:r>
      <w:r>
        <w:rPr>
          <w:rStyle w:val="Text0"/>
        </w:rPr>
        <w:t>|</w:t>
      </w:r>
      <w:r>
        <w:t xml:space="preserve"> operator can also be used to replace </w:t>
      </w:r>
      <w:r>
        <w:rPr>
          <w:rStyle w:val="Text0"/>
        </w:rPr>
        <w:t>Optional[</w:t>
      </w:r>
      <w:r>
        <w:rPr>
          <w:rStyle w:val="Text3"/>
        </w:rPr>
        <w:t>atype</w:t>
      </w:r>
      <w:r>
        <w:rPr>
          <w:rStyle w:val="Text0"/>
        </w:rPr>
        <w:t>]</w:t>
      </w:r>
      <w:r>
        <w:t xml:space="preserve"> with </w:t>
      </w:r>
      <w:r>
        <w:rPr>
          <w:rStyle w:val="Text3"/>
        </w:rPr>
        <w:t>atype</w:t>
      </w:r>
      <w:r>
        <w:t xml:space="preserve"> </w:t>
      </w:r>
      <w:r>
        <w:rPr>
          <w:rStyle w:val="Text0"/>
        </w:rPr>
        <w:t>| None</w:t>
      </w:r>
      <w:r>
        <w:t>.</w:t>
      </w:r>
    </w:p>
    <w:p>
      <w:pPr>
        <w:pStyle w:val="Para 012"/>
        <w:keepLines w:val="on"/>
      </w:pPr>
      <w:r>
        <w:t xml:space="preserve">For instance, the previous </w:t>
      </w:r>
      <w:r>
        <w:rPr>
          <w:rStyle w:val="Text0"/>
        </w:rPr>
        <w:t>str_predicate_function</w:t>
      </w:r>
      <w:r>
        <w:t xml:space="preserve"> definition would take one of the following forms, depending on your version of Python:</w:t>
      </w:r>
    </w:p>
    <w:p>
      <w:pPr>
        <w:pStyle w:val="Para 047"/>
        <w:keepLines w:val="on"/>
      </w:pPr>
      <w:r>
        <w:rPr>
          <w:rStyle w:val="Text116"/>
        </w:rPr>
        <w:t xml:space="preserve"/>
        <w:br w:clear="none"/>
      </w:r>
      <w:r>
        <w:t xml:space="preserve"># prior to 3.10, specifying alternative types </w:t>
        <w:br w:clear="none"/>
      </w:r>
      <w:r>
        <w:rPr>
          <w:rStyle w:val="Text6"/>
        </w:rPr>
        <w:t xml:space="preserve"/>
        <w:br w:clear="none"/>
      </w:r>
      <w:r>
        <w:t xml:space="preserve"># requires use of the Union type</w:t>
        <w:br w:clear="none"/>
      </w:r>
      <w:r>
        <w:rPr>
          <w:rStyle w:val="Text11"/>
        </w:rPr>
        <w:t xml:space="preserve"/>
        <w:br w:clear="none"/>
      </w:r>
      <w:r>
        <w:rPr>
          <w:rStyle w:val="Text22"/>
        </w:rPr>
        <w:t xml:space="preserve">from</w:t>
        <w:br w:clear="none"/>
      </w:r>
      <w:r>
        <w:rPr>
          <w:rStyle w:val="Text11"/>
        </w:rPr>
        <w:t xml:space="preserve"> </w:t>
        <w:br w:clear="none"/>
      </w:r>
      <w:r>
        <w:rPr>
          <w:rStyle w:val="Text53"/>
        </w:rPr>
        <w:t xml:space="preserve">typing</w:t>
        <w:br w:clear="none"/>
      </w:r>
      <w:r>
        <w:rPr>
          <w:rStyle w:val="Text11"/>
        </w:rPr>
        <w:t xml:space="preserve"> </w:t>
        <w:br w:clear="none"/>
      </w:r>
      <w:r>
        <w:rPr>
          <w:rStyle w:val="Text22"/>
        </w:rPr>
        <w:t xml:space="preserve">import</w:t>
        <w:br w:clear="none"/>
      </w:r>
      <w:r>
        <w:rPr>
          <w:rStyle w:val="Text11"/>
        </w:rPr>
        <w:t xml:space="preserve"> </w:t>
        <w:br w:clear="none"/>
      </w:r>
      <w:r>
        <w:rPr>
          <w:rStyle w:val="Text14"/>
        </w:rPr>
        <w:t xml:space="preserve">Callable</w:t>
        <w:br w:clear="none"/>
      </w:r>
      <w:r>
        <w:rPr>
          <w:rStyle w:val="Text19"/>
        </w:rPr>
        <w:t xml:space="preserve">,</w:t>
        <w:br w:clear="none"/>
      </w:r>
      <w:r>
        <w:rPr>
          <w:rStyle w:val="Text11"/>
        </w:rPr>
        <w:t xml:space="preserve"> </w:t>
        <w:br w:clear="none"/>
      </w:r>
      <w:r>
        <w:rPr>
          <w:rStyle w:val="Text14"/>
        </w:rPr>
        <w:t xml:space="preserve">Union</w:t>
        <w:br w:clear="none"/>
      </w:r>
      <w:r>
        <w:rPr>
          <w:rStyle w:val="Text11"/>
        </w:rPr>
        <w:t xml:space="preserve"/>
        <w:br w:clear="none"/>
      </w:r>
      <w:r>
        <w:rPr>
          <w:rStyle w:val="Text14"/>
        </w:rPr>
        <w:t xml:space="preserve">str_predicate_function</w:t>
        <w:br w:clear="none"/>
      </w:r>
      <w:r>
        <w:rPr>
          <w:rStyle w:val="Text19"/>
        </w:rPr>
        <w:t xml:space="preserve">:</w:t>
        <w:br w:clear="none"/>
      </w:r>
      <w:r>
        <w:rPr>
          <w:rStyle w:val="Text11"/>
        </w:rPr>
        <w:t xml:space="preserve"> </w:t>
        <w:br w:clear="none"/>
      </w:r>
      <w:r>
        <w:rPr>
          <w:rStyle w:val="Text14"/>
        </w:rPr>
        <w:t xml:space="preserve">Callable</w:t>
        <w:br w:clear="none"/>
      </w:r>
      <w:r>
        <w:rPr>
          <w:rStyle w:val="Text19"/>
        </w:rPr>
        <w:t xml:space="preserve">[</w:t>
        <w:br w:clear="none"/>
      </w:r>
      <w:r>
        <w:rPr>
          <w:rStyle w:val="Text14"/>
        </w:rPr>
        <w:t xml:space="preserve">Union</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21"/>
        </w:rPr>
        <w:t xml:space="preserve">bytes</w:t>
        <w:br w:clear="none"/>
      </w:r>
      <w:r>
        <w:rPr>
          <w:rStyle w:val="Text19"/>
        </w:rPr>
        <w:t xml:space="preserve">]</w:t>
        <w:br w:clear="none"/>
        <w:t xml:space="preserve">,</w:t>
        <w:br w:clear="none"/>
      </w:r>
      <w:r>
        <w:rPr>
          <w:rStyle w:val="Text11"/>
        </w:rPr>
        <w:t xml:space="preserve"> </w:t>
        <w:br w:clear="none"/>
      </w:r>
      <w:r>
        <w:rPr>
          <w:rStyle w:val="Text21"/>
        </w:rPr>
        <w:t xml:space="preserve">bool</w:t>
        <w:br w:clear="none"/>
      </w:r>
      <w:r>
        <w:rPr>
          <w:rStyle w:val="Text19"/>
        </w:rPr>
        <w:t xml:space="preserve">]</w:t>
        <w:br w:clear="none"/>
      </w:r>
      <w:r>
        <w:rPr>
          <w:rStyle w:val="Text11"/>
        </w:rPr>
        <w:t xml:space="preserve"/>
        <w:br w:clear="none"/>
        <w:t xml:space="preserve"/>
        <w:br w:clear="none"/>
      </w:r>
      <w:r>
        <w:t xml:space="preserve"># prior to 3.9, built-ins such as list, tuple, dict, </w:t>
        <w:br w:clear="none"/>
      </w:r>
      <w:r>
        <w:rPr>
          <w:rStyle w:val="Text6"/>
        </w:rPr>
        <w:t xml:space="preserve"/>
        <w:br w:clear="none"/>
      </w:r>
      <w:r>
        <w:t xml:space="preserve"># set, etc. required types imported from the typing</w:t>
        <w:br w:clear="none"/>
      </w:r>
      <w:r>
        <w:rPr>
          <w:rStyle w:val="Text6"/>
        </w:rPr>
        <w:t xml:space="preserve"/>
        <w:br w:clear="none"/>
      </w:r>
      <w:r>
        <w:t xml:space="preserve"># module</w:t>
        <w:br w:clear="none"/>
      </w:r>
      <w:r>
        <w:rPr>
          <w:rStyle w:val="Text11"/>
        </w:rPr>
        <w:t xml:space="preserve"/>
        <w:br w:clear="none"/>
      </w:r>
      <w:r>
        <w:rPr>
          <w:rStyle w:val="Text22"/>
        </w:rPr>
        <w:t xml:space="preserve">from</w:t>
        <w:br w:clear="none"/>
      </w:r>
      <w:r>
        <w:rPr>
          <w:rStyle w:val="Text11"/>
        </w:rPr>
        <w:t xml:space="preserve"> </w:t>
        <w:br w:clear="none"/>
      </w:r>
      <w:r>
        <w:rPr>
          <w:rStyle w:val="Text53"/>
        </w:rPr>
        <w:t xml:space="preserve">typing</w:t>
        <w:br w:clear="none"/>
      </w:r>
      <w:r>
        <w:rPr>
          <w:rStyle w:val="Text11"/>
        </w:rPr>
        <w:t xml:space="preserve"> </w:t>
        <w:br w:clear="none"/>
      </w:r>
      <w:r>
        <w:rPr>
          <w:rStyle w:val="Text22"/>
        </w:rPr>
        <w:t xml:space="preserve">import</w:t>
        <w:br w:clear="none"/>
      </w:r>
      <w:r>
        <w:rPr>
          <w:rStyle w:val="Text11"/>
        </w:rPr>
        <w:t xml:space="preserve"> </w:t>
        <w:br w:clear="none"/>
      </w:r>
      <w:r>
        <w:rPr>
          <w:rStyle w:val="Text14"/>
        </w:rPr>
        <w:t xml:space="preserve">Dict</w:t>
        <w:br w:clear="none"/>
      </w:r>
      <w:r>
        <w:rPr>
          <w:rStyle w:val="Text19"/>
        </w:rPr>
        <w:t xml:space="preserve">,</w:t>
        <w:br w:clear="none"/>
      </w:r>
      <w:r>
        <w:rPr>
          <w:rStyle w:val="Text11"/>
        </w:rPr>
        <w:t xml:space="preserve"> </w:t>
        <w:br w:clear="none"/>
      </w:r>
      <w:r>
        <w:rPr>
          <w:rStyle w:val="Text14"/>
        </w:rPr>
        <w:t xml:space="preserve">Tuple</w:t>
        <w:br w:clear="none"/>
      </w:r>
      <w:r>
        <w:rPr>
          <w:rStyle w:val="Text19"/>
        </w:rPr>
        <w:t xml:space="preserve">,</w:t>
        <w:br w:clear="none"/>
      </w:r>
      <w:r>
        <w:rPr>
          <w:rStyle w:val="Text11"/>
        </w:rPr>
        <w:t xml:space="preserve"> </w:t>
        <w:br w:clear="none"/>
      </w:r>
      <w:r>
        <w:rPr>
          <w:rStyle w:val="Text14"/>
        </w:rPr>
        <w:t xml:space="preserve">Callable</w:t>
        <w:br w:clear="none"/>
      </w:r>
      <w:r>
        <w:rPr>
          <w:rStyle w:val="Text19"/>
        </w:rPr>
        <w:t xml:space="preserve">,</w:t>
        <w:br w:clear="none"/>
      </w:r>
      <w:r>
        <w:rPr>
          <w:rStyle w:val="Text11"/>
        </w:rPr>
        <w:t xml:space="preserve"> </w:t>
        <w:br w:clear="none"/>
      </w:r>
      <w:r>
        <w:rPr>
          <w:rStyle w:val="Text14"/>
        </w:rPr>
        <w:t xml:space="preserve">Union</w:t>
        <w:br w:clear="none"/>
      </w:r>
      <w:r>
        <w:rPr>
          <w:rStyle w:val="Text11"/>
        </w:rPr>
        <w:t xml:space="preserve"/>
        <w:br w:clear="none"/>
      </w:r>
      <w:r>
        <w:rPr>
          <w:rStyle w:val="Text14"/>
        </w:rPr>
        <w:t xml:space="preserve">employee_data</w:t>
        <w:br w:clear="none"/>
      </w:r>
      <w:r>
        <w:rPr>
          <w:rStyle w:val="Text19"/>
        </w:rPr>
        <w:t xml:space="preserve">:</w:t>
        <w:br w:clear="none"/>
      </w:r>
      <w:r>
        <w:rPr>
          <w:rStyle w:val="Text11"/>
        </w:rPr>
        <w:t xml:space="preserve"> </w:t>
        <w:br w:clear="none"/>
      </w:r>
      <w:r>
        <w:rPr>
          <w:rStyle w:val="Text14"/>
        </w:rPr>
        <w:t xml:space="preserve">Dict</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14"/>
        </w:rPr>
        <w:t xml:space="preserve">Tuple</w:t>
        <w:br w:clear="none"/>
      </w:r>
      <w:r>
        <w:rPr>
          <w:rStyle w:val="Text19"/>
        </w:rPr>
        <w:t xml:space="preserve">[</w:t>
        <w:br w:clear="none"/>
      </w:r>
      <w:r>
        <w:rPr>
          <w:rStyle w:val="Text21"/>
        </w:rPr>
        <w:t xml:space="preserve">int</w:t>
        <w:br w:clear="none"/>
      </w:r>
      <w:r>
        <w:rPr>
          <w:rStyle w:val="Text19"/>
        </w:rPr>
        <w:t xml:space="preserve">,</w:t>
        <w:br w:clear="none"/>
      </w:r>
      <w:r>
        <w:rPr>
          <w:rStyle w:val="Text11"/>
        </w:rPr>
        <w:t xml:space="preserve"> </w:t>
        <w:br w:clear="none"/>
      </w:r>
      <w:r>
        <w:rPr>
          <w:rStyle w:val="Text21"/>
        </w:rPr>
        <w:t xml:space="preserve">int</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t xml:space="preserve">]</w:t>
        <w:br w:clear="none"/>
      </w:r>
      <w:r>
        <w:rPr>
          <w:rStyle w:val="Text11"/>
        </w:rPr>
        <w:t xml:space="preserve"/>
        <w:br w:clear="none"/>
      </w:r>
      <w:r>
        <w:rPr>
          <w:rStyle w:val="Text14"/>
        </w:rPr>
        <w:t xml:space="preserve">str_predicate_function</w:t>
        <w:br w:clear="none"/>
      </w:r>
      <w:r>
        <w:rPr>
          <w:rStyle w:val="Text19"/>
        </w:rPr>
        <w:t xml:space="preserve">:</w:t>
        <w:br w:clear="none"/>
      </w:r>
      <w:r>
        <w:rPr>
          <w:rStyle w:val="Text11"/>
        </w:rPr>
        <w:t xml:space="preserve"> </w:t>
        <w:br w:clear="none"/>
      </w:r>
      <w:r>
        <w:rPr>
          <w:rStyle w:val="Text14"/>
        </w:rPr>
        <w:t xml:space="preserve">Callable</w:t>
        <w:br w:clear="none"/>
      </w:r>
      <w:r>
        <w:rPr>
          <w:rStyle w:val="Text19"/>
        </w:rPr>
        <w:t xml:space="preserve">[</w:t>
        <w:br w:clear="none"/>
      </w:r>
      <w:r>
        <w:rPr>
          <w:rStyle w:val="Text14"/>
        </w:rPr>
        <w:t xml:space="preserve">Union</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21"/>
        </w:rPr>
        <w:t xml:space="preserve">bytes</w:t>
        <w:br w:clear="none"/>
      </w:r>
      <w:r>
        <w:rPr>
          <w:rStyle w:val="Text19"/>
        </w:rPr>
        <w:t xml:space="preserve">]</w:t>
        <w:br w:clear="none"/>
        <w:t xml:space="preserve">,</w:t>
        <w:br w:clear="none"/>
      </w:r>
      <w:r>
        <w:rPr>
          <w:rStyle w:val="Text11"/>
        </w:rPr>
        <w:t xml:space="preserve"> </w:t>
        <w:br w:clear="none"/>
      </w:r>
      <w:r>
        <w:rPr>
          <w:rStyle w:val="Text21"/>
        </w:rPr>
        <w:t xml:space="preserve">bool</w:t>
        <w:br w:clear="none"/>
      </w:r>
      <w:r>
        <w:rPr>
          <w:rStyle w:val="Text19"/>
        </w:rPr>
        <w:t xml:space="preserve">]</w:t>
        <w:br w:clear="none"/>
      </w:r>
    </w:p>
    <w:p>
      <w:pPr>
        <w:pStyle w:val="Normal"/>
      </w:pPr>
      <w:r>
        <w:t>To annotate a function with a return type, use the form:</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identifier</w:t>
        <w:br w:clear="none"/>
      </w:r>
      <w:r>
        <w:rPr>
          <w:rStyle w:val="Text7"/>
        </w:rPr>
        <w:t xml:space="preserve">(</w:t>
        <w:br w:clear="none"/>
      </w:r>
      <w:r>
        <w:t xml:space="preserve">argument</w:t>
        <w:br w:clear="none"/>
      </w:r>
      <w:r>
        <w:rPr>
          <w:rStyle w:val="Text7"/>
        </w:rPr>
        <w:t xml:space="preserve">,</w:t>
        <w:br w:clear="none"/>
      </w:r>
      <w:r>
        <w:rPr>
          <w:rStyle w:val="Text6"/>
        </w:rPr>
        <w:t xml:space="preserve"> </w:t>
        <w:br w:clear="none"/>
      </w:r>
      <w:r>
        <w:rPr>
          <w:rStyle w:val="Text13"/>
        </w:rPr>
        <w:t xml:space="preserve">.</w:t>
        <w:br w:clear="none"/>
        <w:t xml:space="preserve">.</w:t>
        <w:br w:clear="none"/>
        <w:t xml:space="preserve">.</w:t>
        <w:br w:clear="none"/>
      </w:r>
      <w:r>
        <w:rPr>
          <w:rStyle w:val="Text7"/>
        </w:rPr>
        <w:t xml:space="preserve">)</w:t>
        <w:br w:clear="none"/>
      </w:r>
      <w:r>
        <w:rPr>
          <w:rStyle w:val="Text6"/>
        </w:rPr>
        <w:t xml:space="preserve"> </w:t>
        <w:br w:clear="none"/>
      </w:r>
      <w:r>
        <w:rPr>
          <w:rStyle w:val="Text13"/>
        </w:rPr>
        <w:t xml:space="preserve">-</w:t>
        <w:br w:clear="none"/>
        <w:t xml:space="preserve">&gt;</w:t>
        <w:br w:clear="none"/>
      </w:r>
      <w:r>
        <w:rPr>
          <w:rStyle w:val="Text6"/>
        </w:rPr>
        <w:t xml:space="preserve"> </w:t>
        <w:br w:clear="none"/>
      </w:r>
      <w:r>
        <w:t xml:space="preserve">type_specification</w:t>
        <w:br w:clear="none"/>
      </w:r>
      <w:r>
        <w:rPr>
          <w:rStyle w:val="Text6"/>
        </w:rPr>
        <w:t xml:space="preserve"> </w:t>
        <w:br w:clear="none"/>
      </w:r>
      <w:r>
        <w:rPr>
          <w:rStyle w:val="Text7"/>
        </w:rPr>
        <w:t xml:space="preserve">:</w:t>
        <w:br w:clear="none"/>
      </w:r>
    </w:p>
    <w:p>
      <w:pPr>
        <w:pStyle w:val="Normal"/>
      </w:pPr>
      <w:r>
        <w:t xml:space="preserve">where each </w:t>
      </w:r>
      <w:r>
        <w:rPr>
          <w:rStyle w:val="Text3"/>
        </w:rPr>
        <w:t>argument</w:t>
      </w:r>
      <w:r>
        <w:t xml:space="preserve"> takes the form:</w:t>
      </w:r>
    </w:p>
    <w:p>
      <w:pPr>
        <w:pStyle w:val="Para 032"/>
      </w:pPr>
      <w:r>
        <w:rPr>
          <w:rStyle w:val="Text116"/>
        </w:rPr>
        <w:t xml:space="preserve"/>
        <w:br w:clear="none"/>
      </w:r>
      <w:r>
        <w:t xml:space="preserve">identifier</w:t>
        <w:br w:clear="none"/>
      </w:r>
      <w:r>
        <w:rPr>
          <w:rStyle w:val="Text19"/>
        </w:rPr>
        <w:t xml:space="preserve">[</w:t>
        <w:br w:clear="none"/>
        <w:t xml:space="preserve">:</w:t>
        <w:br w:clear="none"/>
      </w:r>
      <w:r>
        <w:rPr>
          <w:rStyle w:val="Text11"/>
        </w:rPr>
        <w:t xml:space="preserve"> </w:t>
        <w:br w:clear="none"/>
      </w:r>
      <w:r>
        <w:t xml:space="preserve">type_specification</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t xml:space="preserve">default_value</w:t>
        <w:br w:clear="none"/>
      </w:r>
      <w:r>
        <w:rPr>
          <w:rStyle w:val="Text19"/>
        </w:rPr>
        <w:t xml:space="preserve">]</w:t>
        <w:br w:clear="none"/>
        <w:t xml:space="preserve">]</w:t>
        <w:br w:clear="none"/>
      </w:r>
    </w:p>
    <w:p>
      <w:pPr>
        <w:pStyle w:val="Normal"/>
      </w:pPr>
      <w:r>
        <w:t>Here’s an example of an annotated function:</w:t>
      </w:r>
    </w:p>
    <w:p>
      <w:pPr>
        <w:pStyle w:val="Para 043"/>
      </w:pPr>
      <w:r>
        <w:rPr>
          <w:rStyle w:val="Text116"/>
        </w:rPr>
        <w:t xml:space="preserve"/>
        <w:br w:clear="none"/>
      </w:r>
      <w:r>
        <w:rPr>
          <w:rStyle w:val="Text22"/>
        </w:rPr>
        <w:t xml:space="preserve">def</w:t>
        <w:br w:clear="none"/>
      </w:r>
      <w:r>
        <w:rPr>
          <w:rStyle w:val="Text11"/>
        </w:rPr>
        <w:t xml:space="preserve"> </w:t>
        <w:br w:clear="none"/>
      </w:r>
      <w:r>
        <w:rPr>
          <w:rStyle w:val="Text42"/>
        </w:rPr>
        <w:t xml:space="preserve">pad</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21"/>
        </w:rPr>
        <w:t xml:space="preserve">list</w:t>
        <w:br w:clear="none"/>
      </w:r>
      <w:r>
        <w:rPr>
          <w:rStyle w:val="Text19"/>
        </w:rPr>
        <w:t xml:space="preserve">[</w:t>
        <w:br w:clear="none"/>
      </w:r>
      <w:r>
        <w:rPr>
          <w:rStyle w:val="Text21"/>
        </w:rPr>
        <w:t xml:space="preserve">str</w:t>
        <w:br w:clear="none"/>
      </w:r>
      <w:r>
        <w:rPr>
          <w:rStyle w:val="Text19"/>
        </w:rPr>
        <w:t xml:space="preserve">]</w:t>
        <w:br w:clear="none"/>
        <w:t xml:space="preserve">,</w:t>
        <w:br w:clear="none"/>
      </w:r>
      <w:r>
        <w:rPr>
          <w:rStyle w:val="Text11"/>
        </w:rPr>
        <w:t xml:space="preserve"> </w:t>
        <w:br w:clear="none"/>
      </w:r>
      <w:r>
        <w:rPr>
          <w:rStyle w:val="Text14"/>
        </w:rPr>
        <w:t xml:space="preserve">min_len</w:t>
        <w:br w:clear="none"/>
      </w:r>
      <w:r>
        <w:rPr>
          <w:rStyle w:val="Text19"/>
        </w:rPr>
        <w:t xml:space="preserve">:</w:t>
        <w:br w:clear="none"/>
      </w:r>
      <w:r>
        <w:rPr>
          <w:rStyle w:val="Text11"/>
        </w:rPr>
        <w:t xml:space="preserve"> </w:t>
        <w:br w:clear="none"/>
      </w:r>
      <w:r>
        <w:rPr>
          <w:rStyle w:val="Text21"/>
        </w:rPr>
        <w:t xml:space="preserve">int</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14"/>
        </w:rPr>
        <w:t xml:space="preserve">padstr</w:t>
        <w:br w:clear="none"/>
      </w:r>
      <w:r>
        <w:rPr>
          <w:rStyle w:val="Text19"/>
        </w:rPr>
        <w:t xml:space="preserve">:</w:t>
        <w:br w:clear="none"/>
      </w:r>
      <w:r>
        <w:rPr>
          <w:rStyle w:val="Text11"/>
        </w:rPr>
        <w:t xml:space="preserve"> </w:t>
        <w:br w:clear="none"/>
      </w:r>
      <w:r>
        <w:rPr>
          <w:rStyle w:val="Text21"/>
        </w:rPr>
        <w:t xml:space="preserve">str</w:t>
        <w:br w:clear="none"/>
      </w:r>
      <w:r>
        <w:rPr>
          <w:rStyle w:val="Text11"/>
        </w:rPr>
        <w:t xml:space="preserve"> </w:t>
        <w:br w:clear="none"/>
      </w:r>
      <w:r>
        <w:rPr>
          <w:rStyle w:val="Text28"/>
        </w:rPr>
        <w:t xml:space="preserve">=</w:t>
        <w:br w:clear="none"/>
      </w:r>
      <w:r>
        <w:rPr>
          <w:rStyle w:val="Text11"/>
        </w:rPr>
        <w:t xml:space="preserve"> </w:t>
        <w:br w:clear="none"/>
      </w:r>
      <w:r>
        <w:rPr>
          <w:rStyle w:val="Text4"/>
        </w:rPr>
        <w:t xml:space="preserve">'</w:t>
        <w:br w:clear="none"/>
        <w:t xml:space="preserve"> </w:t>
        <w:br w:clear="none"/>
        <w:t xml:space="preserve">'</w:t>
        <w:br w:clear="none"/>
      </w:r>
      <w:r>
        <w:rPr>
          <w:rStyle w:val="Text19"/>
        </w:rPr>
        <w:t xml:space="preserve">)</w:t>
        <w:br w:clear="none"/>
      </w:r>
      <w:r>
        <w:rPr>
          <w:rStyle w:val="Text11"/>
        </w:rPr>
        <w:t xml:space="preserve"> </w:t>
        <w:br w:clear="none"/>
      </w:r>
      <w:r>
        <w:rPr>
          <w:rStyle w:val="Text28"/>
        </w:rPr>
        <w:t xml:space="preserve">-</w:t>
        <w:br w:clear="none"/>
        <w:t xml:space="preserve">&gt;</w:t>
        <w:br w:clear="none"/>
      </w:r>
      <w:r>
        <w:rPr>
          <w:rStyle w:val="Text11"/>
        </w:rPr>
        <w:t xml:space="preserve"> </w:t>
        <w:br w:clear="none"/>
      </w:r>
      <w:r>
        <w:rPr>
          <w:rStyle w:val="Text21"/>
        </w:rPr>
        <w:t xml:space="preserve">list</w:t>
        <w:br w:clear="none"/>
      </w:r>
      <w:r>
        <w:rPr>
          <w:rStyle w:val="Text19"/>
        </w:rPr>
        <w:t xml:space="preserve">[</w:t>
        <w:br w:clear="none"/>
      </w:r>
      <w:r>
        <w:rPr>
          <w:rStyle w:val="Text21"/>
        </w:rPr>
        <w:t xml:space="preserve">str</w:t>
        <w:br w:clear="none"/>
      </w:r>
      <w:r>
        <w:rPr>
          <w:rStyle w:val="Text19"/>
        </w:rPr>
        <w:t xml:space="preserve">]</w:t>
        <w:br w:clear="none"/>
        <w:t xml:space="preserve">:</w:t>
        <w:br w:clear="none"/>
      </w:r>
      <w:r>
        <w:rPr>
          <w:rStyle w:val="Text11"/>
        </w:rPr>
        <w:t xml:space="preserve"/>
        <w:br w:clear="none"/>
        <w:t xml:space="preserve">    </w:t>
        <w:br w:clear="none"/>
      </w:r>
      <w:r>
        <w:t xml:space="preserve">"""Given a list of strings and a minimum length, return a copy of</w:t>
        <w:br w:clear="none"/>
      </w:r>
      <w:r>
        <w:rPr>
          <w:rStyle w:val="Text4"/>
        </w:rPr>
        <w:t xml:space="preserve"/>
        <w:br w:clear="none"/>
      </w:r>
      <w:r>
        <w:t xml:space="preserve">       the list extended with "padding" strings to be at least the</w:t>
        <w:br w:clear="none"/>
      </w:r>
      <w:r>
        <w:rPr>
          <w:rStyle w:val="Text4"/>
        </w:rPr>
        <w:t xml:space="preserve"/>
        <w:br w:clear="none"/>
      </w:r>
      <w:r>
        <w:t xml:space="preserve">       minimum length.</w:t>
        <w:br w:clear="none"/>
      </w:r>
      <w:r>
        <w:rPr>
          <w:rStyle w:val="Text4"/>
        </w:rPr>
        <w:t xml:space="preserve"/>
        <w:br w:clear="none"/>
      </w:r>
      <w:r>
        <w:t xml:space="preserve">    """</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t xml:space="preserve">[</w:t>
        <w:br w:clear="none"/>
      </w:r>
      <w:r>
        <w:rPr>
          <w:rStyle w:val="Text14"/>
        </w:rPr>
        <w:t xml:space="preserve">padstr</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min_len</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len</w:t>
        <w:br w:clear="none"/>
      </w:r>
      <w:r>
        <w:rPr>
          <w:rStyle w:val="Text19"/>
        </w:rPr>
        <w:t xml:space="preserve">(</w:t>
        <w:br w:clear="none"/>
      </w:r>
      <w:r>
        <w:rPr>
          <w:rStyle w:val="Text14"/>
        </w:rPr>
        <w:t xml:space="preserve">a</w:t>
        <w:br w:clear="none"/>
      </w:r>
      <w:r>
        <w:rPr>
          <w:rStyle w:val="Text19"/>
        </w:rPr>
        <w:t xml:space="preserve">)</w:t>
        <w:br w:clear="none"/>
        <w:t xml:space="preserve">)</w:t>
        <w:br w:clear="none"/>
        <w:t xml:space="preserve">)</w:t>
        <w:br w:clear="none"/>
      </w:r>
    </w:p>
    <w:p>
      <w:pPr>
        <w:pStyle w:val="Normal"/>
      </w:pPr>
      <w:r>
        <w:t>Note that when an annotated parameter has a default value, PEP 8 recommends using spaces around the equals sign.</w:t>
      </w:r>
    </w:p>
    <w:p>
      <w:pPr>
        <w:keepNext/>
        <w:pStyle w:val="Heading 5"/>
        <w:keepLines w:val="on"/>
      </w:pPr>
      <w:r>
        <w:t>Forward-Referencing Types That Are Not Yet Fully Defined</w:t>
      </w:r>
    </w:p>
    <w:p>
      <w:pPr>
        <w:pStyle w:val="Para 012"/>
        <w:keepLines w:val="on"/>
      </w:pPr>
      <w:r>
        <w:t>At</w:t>
      </w:r>
      <w:r>
        <w:rPr>
          <w:rStyle w:val="Text111"/>
        </w:rPr>
        <w:bookmarkStart w:id="1651" w:name="idm45965268698208"/>
        <w:t/>
        <w:bookmarkEnd w:id="1651"/>
        <w:bookmarkStart w:id="1652" w:name="idm45965268711568"/>
        <w:t/>
        <w:bookmarkEnd w:id="1652"/>
      </w:r>
      <w:r>
        <w:t xml:space="preserve"> times, a function or variable definition needs to reference a type that has not yet been defined. This is quite common in class methods, or methods that must define arguments or return values of the type of the current class. Those function signatures are parsed at compile time, and at that point the type is not yet defined. For example, this </w:t>
      </w:r>
      <w:r>
        <w:rPr>
          <w:rStyle w:val="Text0"/>
        </w:rPr>
        <w:t>classmethod</w:t>
      </w:r>
      <w:r>
        <w:t xml:space="preserve"> fails to compile:</w:t>
      </w:r>
    </w:p>
    <w:p>
      <w:pPr>
        <w:pStyle w:val="Para 047"/>
        <w:keepLines w:val="on"/>
      </w:pPr>
      <w:r>
        <w:rPr>
          <w:rStyle w:val="Text116"/>
        </w:rPr>
        <w:t xml:space="preserve"/>
        <w:br w:clear="none"/>
      </w:r>
      <w:r>
        <w:rPr>
          <w:rStyle w:val="Text22"/>
        </w:rPr>
        <w:t xml:space="preserve">class</w:t>
        <w:br w:clear="none"/>
      </w:r>
      <w:r>
        <w:rPr>
          <w:rStyle w:val="Text11"/>
        </w:rPr>
        <w:t xml:space="preserve"> </w:t>
        <w:br w:clear="none"/>
      </w:r>
      <w:r>
        <w:rPr>
          <w:rStyle w:val="Text45"/>
        </w:rPr>
        <w:t xml:space="preserve">A</w:t>
        <w:br w:clear="none"/>
      </w:r>
      <w:r>
        <w:rPr>
          <w:rStyle w:val="Text19"/>
        </w:rPr>
        <w:t xml:space="preserve">:</w:t>
        <w:br w:clear="none"/>
      </w:r>
      <w:r>
        <w:rPr>
          <w:rStyle w:val="Text11"/>
        </w:rPr>
        <w:t xml:space="preserve"/>
        <w:br w:clear="none"/>
        <w:t xml:space="preserve">    </w:t>
        <w:br w:clear="none"/>
      </w:r>
      <w:r>
        <w:rPr>
          <w:rStyle w:val="Text66"/>
        </w:rPr>
        <w:t xml:space="preserve">@classmethod</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factory_method</w:t>
        <w:br w:clear="none"/>
      </w:r>
      <w:r>
        <w:rPr>
          <w:rStyle w:val="Text19"/>
        </w:rPr>
        <w:t xml:space="preserve">(</w:t>
        <w:br w:clear="none"/>
      </w:r>
      <w:r>
        <w:rPr>
          <w:rStyle w:val="Text21"/>
        </w:rPr>
        <w:t xml:space="preserve">cls</w:t>
        <w:br w:clear="none"/>
      </w:r>
      <w:r>
        <w:rPr>
          <w:rStyle w:val="Text19"/>
        </w:rPr>
        <w:t xml:space="preserve">)</w:t>
        <w:br w:clear="none"/>
      </w:r>
      <w:r>
        <w:rPr>
          <w:rStyle w:val="Text11"/>
        </w:rPr>
        <w:t xml:space="preserve"> </w:t>
        <w:br w:clear="none"/>
      </w:r>
      <w:r>
        <w:rPr>
          <w:rStyle w:val="Text28"/>
        </w:rPr>
        <w:t xml:space="preserve">-</w:t>
        <w:br w:clear="none"/>
        <w:t xml:space="preserve">&gt;</w:t>
        <w:br w:clear="none"/>
      </w:r>
      <w:r>
        <w:rPr>
          <w:rStyle w:val="Text11"/>
        </w:rPr>
        <w:t xml:space="preserve"> </w:t>
        <w:br w:clear="none"/>
      </w:r>
      <w:r>
        <w:rPr>
          <w:rStyle w:val="Text14"/>
        </w:rPr>
        <w:t xml:space="preserve">A</w:t>
        <w:br w:clear="none"/>
      </w:r>
      <w:r>
        <w:rPr>
          <w:rStyle w:val="Text19"/>
        </w:rPr>
        <w:t xml:space="preserve">:</w:t>
        <w:br w:clear="none"/>
      </w:r>
      <w:r>
        <w:rPr>
          <w:rStyle w:val="Text11"/>
        </w:rPr>
        <w:t xml:space="preserve"/>
        <w:br w:clear="none"/>
        <w:t xml:space="preserve">        </w:t>
        <w:br w:clear="none"/>
      </w:r>
      <w:r>
        <w:t xml:space="preserve"># ... method body goes here ...</w:t>
        <w:br w:clear="none"/>
      </w:r>
    </w:p>
    <w:p>
      <w:pPr>
        <w:pStyle w:val="Para 012"/>
        <w:keepLines w:val="on"/>
      </w:pPr>
      <w:r>
        <w:t xml:space="preserve">Since class </w:t>
      </w:r>
      <w:r>
        <w:rPr>
          <w:rStyle w:val="Text0"/>
        </w:rPr>
        <w:t>A</w:t>
      </w:r>
      <w:r>
        <w:t xml:space="preserve"> has not yet been defined when Python compiles </w:t>
      </w:r>
      <w:r>
        <w:rPr>
          <w:rStyle w:val="Text0"/>
        </w:rPr>
        <w:t>factory_method</w:t>
      </w:r>
      <w:r>
        <w:t xml:space="preserve">, the code raises </w:t>
      </w:r>
      <w:r>
        <w:rPr>
          <w:rStyle w:val="Text0"/>
        </w:rPr>
        <w:t>NameError</w:t>
      </w:r>
      <w:r>
        <w:t>.</w:t>
      </w:r>
    </w:p>
    <w:p>
      <w:pPr>
        <w:pStyle w:val="Para 012"/>
        <w:keepLines w:val="on"/>
      </w:pPr>
      <w:r>
        <w:t xml:space="preserve">The problem can be resolved by enclosing the return type </w:t>
      </w:r>
      <w:r>
        <w:rPr>
          <w:rStyle w:val="Text0"/>
        </w:rPr>
        <w:t>A</w:t>
      </w:r>
      <w:r>
        <w:t xml:space="preserve"> in quotes:</w:t>
      </w:r>
    </w:p>
    <w:p>
      <w:pPr>
        <w:pStyle w:val="Para 047"/>
        <w:keepLines w:val="on"/>
      </w:pPr>
      <w:r>
        <w:rPr>
          <w:rStyle w:val="Text116"/>
        </w:rPr>
        <w:t xml:space="preserve"/>
        <w:br w:clear="none"/>
      </w:r>
      <w:r>
        <w:rPr>
          <w:rStyle w:val="Text22"/>
        </w:rPr>
        <w:t xml:space="preserve">class</w:t>
        <w:br w:clear="none"/>
      </w:r>
      <w:r>
        <w:rPr>
          <w:rStyle w:val="Text11"/>
        </w:rPr>
        <w:t xml:space="preserve"> </w:t>
        <w:br w:clear="none"/>
      </w:r>
      <w:r>
        <w:rPr>
          <w:rStyle w:val="Text45"/>
        </w:rPr>
        <w:t xml:space="preserve">A</w:t>
        <w:br w:clear="none"/>
      </w:r>
      <w:r>
        <w:rPr>
          <w:rStyle w:val="Text19"/>
        </w:rPr>
        <w:t xml:space="preserve">:</w:t>
        <w:br w:clear="none"/>
      </w:r>
      <w:r>
        <w:rPr>
          <w:rStyle w:val="Text11"/>
        </w:rPr>
        <w:t xml:space="preserve"/>
        <w:br w:clear="none"/>
        <w:t xml:space="preserve">    </w:t>
        <w:br w:clear="none"/>
      </w:r>
      <w:r>
        <w:rPr>
          <w:rStyle w:val="Text66"/>
        </w:rPr>
        <w:t xml:space="preserve">@classmethod</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factory_method</w:t>
        <w:br w:clear="none"/>
      </w:r>
      <w:r>
        <w:rPr>
          <w:rStyle w:val="Text19"/>
        </w:rPr>
        <w:t xml:space="preserve">(</w:t>
        <w:br w:clear="none"/>
      </w:r>
      <w:r>
        <w:rPr>
          <w:rStyle w:val="Text21"/>
        </w:rPr>
        <w:t xml:space="preserve">cls</w:t>
        <w:br w:clear="none"/>
      </w:r>
      <w:r>
        <w:rPr>
          <w:rStyle w:val="Text19"/>
        </w:rPr>
        <w:t xml:space="preserve">)</w:t>
        <w:br w:clear="none"/>
      </w:r>
      <w:r>
        <w:rPr>
          <w:rStyle w:val="Text11"/>
        </w:rPr>
        <w:t xml:space="preserve"> </w:t>
        <w:br w:clear="none"/>
      </w:r>
      <w:r>
        <w:rPr>
          <w:rStyle w:val="Text28"/>
        </w:rPr>
        <w:t xml:space="preserve">-</w:t>
        <w:br w:clear="none"/>
        <w:t xml:space="preserve">&gt;</w:t>
        <w:br w:clear="none"/>
      </w:r>
      <w:r>
        <w:rPr>
          <w:rStyle w:val="Text11"/>
        </w:rPr>
        <w:t xml:space="preserve"> </w:t>
        <w:br w:clear="none"/>
      </w:r>
      <w:r>
        <w:rPr>
          <w:rStyle w:val="Text17"/>
        </w:rPr>
        <w:t xml:space="preserve">'</w:t>
        <w:br w:clear="none"/>
        <w:t xml:space="preserve">A</w:t>
        <w:br w:clear="none"/>
        <w:t xml:space="preserve">'</w:t>
        <w:br w:clear="none"/>
      </w:r>
      <w:r>
        <w:rPr>
          <w:rStyle w:val="Text19"/>
        </w:rPr>
        <w:t xml:space="preserve">:</w:t>
        <w:br w:clear="none"/>
      </w:r>
      <w:r>
        <w:rPr>
          <w:rStyle w:val="Text11"/>
        </w:rPr>
        <w:t xml:space="preserve"/>
        <w:br w:clear="none"/>
        <w:t xml:space="preserve">        </w:t>
        <w:br w:clear="none"/>
      </w:r>
      <w:r>
        <w:t xml:space="preserve"># ... method body goes here ...</w:t>
        <w:br w:clear="none"/>
      </w:r>
    </w:p>
    <w:p>
      <w:pPr>
        <w:pStyle w:val="Para 012"/>
        <w:keepLines w:val="on"/>
      </w:pPr>
      <w:r>
        <w:t>A</w:t>
      </w:r>
      <w:r>
        <w:rPr>
          <w:rStyle w:val="Text111"/>
        </w:rPr>
        <w:bookmarkStart w:id="1653" w:name="idm45965268605392"/>
        <w:t/>
        <w:bookmarkEnd w:id="1653"/>
      </w:r>
      <w:r>
        <w:t xml:space="preserve"> future version of Python may defer the evaluation of type annotations until runtime, making the enclosing quotes unnecessary (Python’s Steering Committee is evaluating various possibilities). You can preview this behavior using </w:t>
      </w:r>
      <w:r>
        <w:rPr>
          <w:rStyle w:val="Text5"/>
        </w:rPr>
        <w:t>from</w:t>
      </w:r>
      <w:r>
        <w:t xml:space="preserve"> </w:t>
      </w:r>
      <w:r>
        <w:rPr>
          <w:rStyle w:val="Text0"/>
        </w:rPr>
        <w:t>__future__</w:t>
      </w:r>
      <w:r>
        <w:t xml:space="preserve"> </w:t>
      </w:r>
      <w:r>
        <w:rPr>
          <w:rStyle w:val="Text5"/>
        </w:rPr>
        <w:t>import</w:t>
      </w:r>
      <w:r>
        <w:t xml:space="preserve"> </w:t>
      </w:r>
      <w:r>
        <w:rPr>
          <w:rStyle w:val="Text0"/>
        </w:rPr>
        <w:t>annotations</w:t>
      </w:r>
      <w:r>
        <w:t>.</w:t>
      </w:r>
      <w:r>
        <w:rPr>
          <w:rStyle w:val="Text111"/>
        </w:rPr>
        <w:bookmarkStart w:id="1654" w:name="idm45965268601328"/>
        <w:t/>
        <w:bookmarkEnd w:id="1654"/>
      </w:r>
    </w:p>
    <w:p>
      <w:bookmarkStart w:id="1655" w:name="The_typing_Module__The_typing_mo"/>
      <w:pPr>
        <w:keepNext/>
        <w:pStyle w:val="Heading 1"/>
      </w:pPr>
      <w:r>
        <w:t>The typing Module</w:t>
      </w:r>
      <w:bookmarkEnd w:id="1655"/>
    </w:p>
    <w:p>
      <w:pPr>
        <w:pStyle w:val="Normal"/>
      </w:pPr>
      <w:r>
        <w:t>The</w:t>
      </w:r>
      <w:r>
        <w:rPr>
          <w:rStyle w:val="Text111"/>
        </w:rPr>
        <w:bookmarkStart w:id="1656" w:name="TAmod05"/>
        <w:t/>
        <w:bookmarkEnd w:id="1656"/>
      </w:r>
      <w:r>
        <w:t xml:space="preserve"> </w:t>
      </w:r>
      <w:r>
        <w:rPr>
          <w:rStyle w:val="Text0"/>
        </w:rPr>
        <w:t>typing</w:t>
      </w:r>
      <w:r>
        <w:t xml:space="preserve"> module supports type hints. It contains definitions that are useful when creating type annotations, including:</w:t>
      </w:r>
    </w:p>
    <w:p>
      <w:pPr>
        <w:pStyle w:val="Para 010"/>
      </w:pPr>
      <w:r>
        <w:t>Classes and functions for defining types</w:t>
      </w:r>
    </w:p>
    <w:p>
      <w:pPr>
        <w:pStyle w:val="Para 010"/>
      </w:pPr>
      <w:r>
        <w:t>Classes and functions for modifying type expressions</w:t>
      </w:r>
    </w:p>
    <w:p>
      <w:pPr>
        <w:pStyle w:val="Para 010"/>
      </w:pPr>
      <w:r>
        <w:t>Abstract base classes (ABCs)</w:t>
      </w:r>
    </w:p>
    <w:p>
      <w:pPr>
        <w:pStyle w:val="Para 010"/>
      </w:pPr>
      <w:r>
        <w:t>Protocols</w:t>
      </w:r>
    </w:p>
    <w:p>
      <w:pPr>
        <w:pStyle w:val="Para 010"/>
      </w:pPr>
      <w:r>
        <w:t>Utilities and decorators</w:t>
      </w:r>
    </w:p>
    <w:p>
      <w:pPr>
        <w:pStyle w:val="Para 010"/>
      </w:pPr>
      <w:r>
        <w:t>Classes for defining custom types</w:t>
      </w:r>
    </w:p>
    <w:p>
      <w:bookmarkStart w:id="1657" w:name="Types__The_initial_implementatio"/>
      <w:pPr>
        <w:keepNext/>
        <w:pStyle w:val="Heading 2"/>
      </w:pPr>
      <w:r>
        <w:t>Types</w:t>
      </w:r>
      <w:bookmarkEnd w:id="1657"/>
    </w:p>
    <w:p>
      <w:pPr>
        <w:pStyle w:val="Normal"/>
      </w:pPr>
      <w:r>
        <w:t>The</w:t>
      </w:r>
      <w:r>
        <w:rPr>
          <w:rStyle w:val="Text111"/>
        </w:rPr>
        <w:bookmarkStart w:id="1658" w:name="TMtypes05"/>
        <w:t/>
        <w:bookmarkEnd w:id="1658"/>
      </w:r>
      <w:r>
        <w:t xml:space="preserve"> initial implementations of the </w:t>
      </w:r>
      <w:r>
        <w:rPr>
          <w:rStyle w:val="Text0"/>
        </w:rPr>
        <w:t>typing</w:t>
      </w:r>
      <w:r>
        <w:t xml:space="preserve"> module included definitions of types corresponding to Python built-in containers and other types, as well as types from standard library modules. Many of these types have since been deprecated (see below), but some are still useful, since they do not correspond directly to any Python built-in type. </w:t>
      </w:r>
      <w:hyperlink w:anchor="Table_5_1__Useful_definitions_in">
        <w:r>
          <w:rPr>
            <w:rStyle w:val="Text1"/>
          </w:rPr>
          <w:t>Table 5-1</w:t>
        </w:r>
      </w:hyperlink>
      <w:r>
        <w:t xml:space="preserve"> lists the </w:t>
      </w:r>
      <w:r>
        <w:rPr>
          <w:rStyle w:val="Text0"/>
        </w:rPr>
        <w:t>typing</w:t>
      </w:r>
      <w:r>
        <w:t xml:space="preserve"> types still useful in Python 3.9 and later.</w:t>
      </w:r>
    </w:p>
    <w:tbl>
      <w:tblPr>
        <w:tblW w:type="auto" w:w="0"/>
      </w:tblPr>
      <w:tr>
        <w:tc>
          <w:tcPr>
            <w:tcW w:type="auto" w:w="0"/>
            <w:tcMar>
              <w:left w:type="dxa" w:w="200"/>
              <w:top w:type="dxa" w:w="200"/>
              <w:right w:type="dxa" w:w="200"/>
              <w:bottom w:type="dxa" w:w="200"/>
            </w:tcMar>
            <w:vAlign w:val="center"/>
          </w:tcPr>
          <w:p>
            <w:bookmarkStart w:id="1659" w:name="Table_5_1__Useful_definitions_in"/>
            <w:pPr>
              <w:pStyle w:val="Para 011"/>
            </w:pPr>
            <w:r>
              <w:rPr>
                <w:rStyle w:val="Text117"/>
              </w:rPr>
              <w:t/>
            </w:r>
            <w:r>
              <w:t xml:space="preserve">Table 5-1. </w:t>
              <w:t xml:space="preserve">Useful definitions in the </w:t>
            </w:r>
            <w:r>
              <w:rPr>
                <w:rStyle w:val="Text0"/>
              </w:rPr>
              <w:t>typing</w:t>
            </w:r>
            <w:r>
              <w:t xml:space="preserve"> module</w:t>
            </w:r>
            <w:bookmarkEnd w:id="1659"/>
          </w:p>
          <w:p>
            <w:pPr>
              <w:pStyle w:val="Para 013"/>
            </w:pPr>
            <w:r>
              <w:t>Type</w:t>
            </w:r>
          </w:p>
        </w:tc>
        <w:tc>
          <w:tcPr>
            <w:tcW w:type="auto" w:w="0"/>
            <w:tcMar>
              <w:left w:type="dxa" w:w="200"/>
              <w:top w:type="dxa" w:w="200"/>
              <w:right w:type="dxa" w:w="200"/>
              <w:bottom w:type="dxa" w:w="200"/>
            </w:tcMar>
            <w:vAlign w:val="center"/>
          </w:tcPr>
          <w:p>
            <w:pPr>
              <w:pStyle w:val="Para 013"/>
            </w:pPr>
            <w:r>
              <w:t>Description</w:t>
            </w:r>
          </w:p>
        </w:tc>
      </w:tr>
    </w:tbl>
    <w:tbl>
      <w:tblPr>
        <w:tblW w:type="auto" w:w="0"/>
      </w:tblPr>
      <w:tr>
        <w:tc>
          <w:tcPr>
            <w:tcW w:type="auto" w:w="0"/>
            <w:tcMar>
              <w:left w:type="dxa" w:w="200"/>
              <w:top w:type="dxa" w:w="200"/>
              <w:right w:type="dxa" w:w="200"/>
              <w:bottom w:type="dxa" w:w="200"/>
            </w:tcMar>
          </w:tcPr>
          <w:p>
            <w:pPr>
              <w:pStyle w:val="Para 001"/>
            </w:pPr>
            <w:r>
              <w:t>Any</w:t>
            </w:r>
          </w:p>
        </w:tc>
        <w:tc>
          <w:tcPr>
            <w:tcW w:type="auto" w:w="0"/>
            <w:tcMar>
              <w:left w:type="dxa" w:w="200"/>
              <w:top w:type="dxa" w:w="200"/>
              <w:right w:type="dxa" w:w="200"/>
              <w:bottom w:type="dxa" w:w="200"/>
            </w:tcMar>
          </w:tcPr>
          <w:p>
            <w:pPr>
              <w:pStyle w:val="Para 002"/>
            </w:pPr>
            <w:r>
              <w:t>Matches</w:t>
            </w:r>
            <w:r>
              <w:rPr>
                <w:rStyle w:val="Text111"/>
              </w:rPr>
              <w:bookmarkStart w:id="1660" w:name="idm45965268558496"/>
              <w:t/>
              <w:bookmarkEnd w:id="1660"/>
            </w:r>
            <w:r>
              <w:t xml:space="preserve"> any 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AnyStr</w:t>
            </w:r>
          </w:p>
        </w:tc>
        <w:tc>
          <w:tcPr>
            <w:tcW w:type="auto" w:w="0"/>
            <w:shd w:val="clear" w:color="auto" w:fill="EEF2F6"/>
            <w:tcMar>
              <w:left w:type="dxa" w:w="200"/>
              <w:top w:type="dxa" w:w="200"/>
              <w:right w:type="dxa" w:w="200"/>
              <w:bottom w:type="dxa" w:w="200"/>
            </w:tcMar>
          </w:tcPr>
          <w:p>
            <w:pPr>
              <w:pStyle w:val="Para 002"/>
            </w:pPr>
            <w:r>
              <w:t xml:space="preserve">Equivalent to </w:t>
            </w:r>
            <w:r>
              <w:rPr>
                <w:rStyle w:val="Text0"/>
              </w:rPr>
              <w:t>str | bytes</w:t>
            </w:r>
            <w:r>
              <w:t xml:space="preserve">. </w:t>
            </w:r>
            <w:r>
              <w:rPr>
                <w:rStyle w:val="Text0"/>
              </w:rPr>
              <w:t>AnyStr</w:t>
            </w:r>
            <w:r>
              <w:t xml:space="preserve"> is meant to be used to annotate function arguments and return types where either string type is acceptable, but the types should not be mixed between multiple arguments, or arguments and return types.</w:t>
            </w:r>
          </w:p>
        </w:tc>
      </w:tr>
    </w:tbl>
    <w:tbl>
      <w:tblPr>
        <w:tblW w:type="auto" w:w="0"/>
      </w:tblPr>
      <w:tr>
        <w:tc>
          <w:tcPr>
            <w:tcW w:type="auto" w:w="0"/>
            <w:tcMar>
              <w:left w:type="dxa" w:w="200"/>
              <w:top w:type="dxa" w:w="200"/>
              <w:right w:type="dxa" w:w="200"/>
              <w:bottom w:type="dxa" w:w="200"/>
            </w:tcMar>
          </w:tcPr>
          <w:p>
            <w:pPr>
              <w:pStyle w:val="Para 001"/>
            </w:pPr>
            <w:r>
              <w:t>BinaryIO</w:t>
            </w:r>
          </w:p>
        </w:tc>
        <w:tc>
          <w:tcPr>
            <w:tcW w:type="auto" w:w="0"/>
            <w:tcMar>
              <w:left w:type="dxa" w:w="200"/>
              <w:top w:type="dxa" w:w="200"/>
              <w:right w:type="dxa" w:w="200"/>
              <w:bottom w:type="dxa" w:w="200"/>
            </w:tcMar>
          </w:tcPr>
          <w:p>
            <w:pPr>
              <w:pStyle w:val="Para 002"/>
            </w:pPr>
            <w:r>
              <w:t>Matches streams with binary (</w:t>
            </w:r>
            <w:r>
              <w:rPr>
                <w:rStyle w:val="Text0"/>
              </w:rPr>
              <w:t>bytes</w:t>
            </w:r>
            <w:r>
              <w:t xml:space="preserve">) content such as those returned from </w:t>
            </w:r>
            <w:r>
              <w:rPr>
                <w:rStyle w:val="Text0"/>
              </w:rPr>
              <w:t>open</w:t>
            </w:r>
            <w:r>
              <w:t xml:space="preserve"> with </w:t>
            </w:r>
            <w:r>
              <w:rPr>
                <w:rStyle w:val="Text0"/>
              </w:rPr>
              <w:t>mode='b'</w:t>
            </w:r>
            <w:r>
              <w:t xml:space="preserve">, or </w:t>
            </w:r>
            <w:r>
              <w:rPr>
                <w:rStyle w:val="Text0"/>
              </w:rPr>
              <w:t>io.BytesIO</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Callable</w:t>
            </w:r>
          </w:p>
        </w:tc>
        <w:tc>
          <w:tcPr>
            <w:tcW w:type="auto" w:w="0"/>
            <w:shd w:val="clear" w:color="auto" w:fill="EEF2F6"/>
            <w:tcMar>
              <w:left w:type="dxa" w:w="200"/>
              <w:top w:type="dxa" w:w="200"/>
              <w:right w:type="dxa" w:w="200"/>
              <w:bottom w:type="dxa" w:w="200"/>
            </w:tcMar>
          </w:tcPr>
          <w:p>
            <w:pPr>
              <w:pStyle w:val="Para 002"/>
            </w:pPr>
            <w:r>
              <w:rPr>
                <w:rStyle w:val="Text0"/>
              </w:rPr>
              <w:t>Callable[[</w:t>
            </w:r>
            <w:r>
              <w:rPr>
                <w:rStyle w:val="Text3"/>
              </w:rPr>
              <w:t>argument_type</w:t>
            </w:r>
            <w:r>
              <w:rPr>
                <w:rStyle w:val="Text0"/>
              </w:rPr>
              <w:t>, ...],</w:t>
            </w:r>
            <w:r>
              <w:t xml:space="preserve"> </w:t>
            </w:r>
            <w:r>
              <w:rPr>
                <w:rStyle w:val="Text3"/>
              </w:rPr>
              <w:t>return_type</w:t>
            </w:r>
            <w:r>
              <w:rPr>
                <w:rStyle w:val="Text0"/>
              </w:rPr>
              <w:t>]</w:t>
              <w:br w:clear="none"/>
            </w:r>
            <w:r>
              <w:t xml:space="preserve"> Defines</w:t>
            </w:r>
            <w:r>
              <w:rPr>
                <w:rStyle w:val="Text111"/>
              </w:rPr>
              <w:bookmarkStart w:id="1661" w:name="idm45965268545040"/>
              <w:t/>
              <w:bookmarkEnd w:id="1661"/>
            </w:r>
            <w:r>
              <w:t xml:space="preserve"> the</w:t>
            </w:r>
            <w:r>
              <w:rPr>
                <w:rStyle w:val="Text111"/>
              </w:rPr>
              <w:bookmarkStart w:id="1662" w:name="idm45965268543840"/>
              <w:t/>
              <w:bookmarkEnd w:id="1662"/>
            </w:r>
            <w:r>
              <w:t xml:space="preserve"> type signature for a callable object. Takes a list of types corresponding to the arguments to the callable, and a type for the return value of the function. If the callable takes no arguments, indicate this with an empty list, </w:t>
            </w:r>
            <w:r>
              <w:rPr>
                <w:rStyle w:val="Text0"/>
              </w:rPr>
              <w:t>[]</w:t>
            </w:r>
            <w:r>
              <w:t xml:space="preserve">. If the callable has no return value, use </w:t>
            </w:r>
            <w:r>
              <w:rPr>
                <w:rStyle w:val="Text5"/>
              </w:rPr>
              <w:t>None</w:t>
            </w:r>
            <w:r>
              <w:t xml:space="preserve"> for </w:t>
            </w:r>
            <w:r>
              <w:rPr>
                <w:rStyle w:val="Text3"/>
              </w:rPr>
              <w:t>return_type</w:t>
            </w:r>
            <w:r>
              <w:t>.</w:t>
            </w:r>
          </w:p>
        </w:tc>
      </w:tr>
    </w:tbl>
    <w:tbl>
      <w:tblPr>
        <w:tblW w:type="auto" w:w="0"/>
      </w:tblPr>
      <w:tr>
        <w:tc>
          <w:tcPr>
            <w:tcW w:type="auto" w:w="0"/>
            <w:tcMar>
              <w:left w:type="dxa" w:w="200"/>
              <w:top w:type="dxa" w:w="200"/>
              <w:right w:type="dxa" w:w="200"/>
              <w:bottom w:type="dxa" w:w="200"/>
            </w:tcMar>
          </w:tcPr>
          <w:p>
            <w:pPr>
              <w:pStyle w:val="Para 001"/>
            </w:pPr>
            <w:r>
              <w:t>IO</w:t>
            </w:r>
          </w:p>
        </w:tc>
        <w:tc>
          <w:tcPr>
            <w:tcW w:type="auto" w:w="0"/>
            <w:tcMar>
              <w:left w:type="dxa" w:w="200"/>
              <w:top w:type="dxa" w:w="200"/>
              <w:right w:type="dxa" w:w="200"/>
              <w:bottom w:type="dxa" w:w="200"/>
            </w:tcMar>
          </w:tcPr>
          <w:p>
            <w:pPr>
              <w:pStyle w:val="Para 001"/>
            </w:pPr>
            <w:r>
              <w:rPr>
                <w:rStyle w:val="Text12"/>
              </w:rPr>
              <w:t xml:space="preserve">Equivalent to </w:t>
            </w:r>
            <w:r>
              <w:t>BinaryIO | TextIO</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Lit⁠e⁠r⁠a⁠l​[</w:t>
            </w:r>
            <w:r>
              <w:rPr>
                <w:rStyle w:val="Text3"/>
              </w:rPr>
              <w:t>⁠e⁠x⁠p⁠ression</w:t>
            </w:r>
            <w:r>
              <w:t>,...]</w:t>
            </w:r>
          </w:p>
        </w:tc>
        <w:tc>
          <w:tcPr>
            <w:tcW w:type="auto" w:w="0"/>
            <w:shd w:val="clear" w:color="auto" w:fill="EEF2F6"/>
            <w:tcMar>
              <w:left w:type="dxa" w:w="200"/>
              <w:top w:type="dxa" w:w="200"/>
              <w:right w:type="dxa" w:w="200"/>
              <w:bottom w:type="dxa" w:w="200"/>
            </w:tcMar>
          </w:tcPr>
          <w:p>
            <w:pPr>
              <w:pStyle w:val="Para 002"/>
            </w:pPr>
            <w:r>
              <w:rPr>
                <w:rStyle w:val="Text34"/>
              </w:rPr>
              <w:t>3.8+</w:t>
            </w:r>
            <w:r>
              <w:t xml:space="preserve"> Specifies</w:t>
            </w:r>
            <w:r>
              <w:rPr>
                <w:rStyle w:val="Text111"/>
              </w:rPr>
              <w:bookmarkStart w:id="1663" w:name="idm45965268534864"/>
              <w:t/>
              <w:bookmarkEnd w:id="1663"/>
            </w:r>
            <w:r>
              <w:t xml:space="preserve"> a list of valid values that the variable may take.</w:t>
            </w:r>
          </w:p>
        </w:tc>
      </w:tr>
    </w:tbl>
    <w:tbl>
      <w:tblPr>
        <w:tblW w:type="auto" w:w="0"/>
      </w:tblPr>
      <w:tr>
        <w:tc>
          <w:tcPr>
            <w:tcW w:type="auto" w:w="0"/>
            <w:tcMar>
              <w:left w:type="dxa" w:w="200"/>
              <w:top w:type="dxa" w:w="200"/>
              <w:right w:type="dxa" w:w="200"/>
              <w:bottom w:type="dxa" w:w="200"/>
            </w:tcMar>
          </w:tcPr>
          <w:p>
            <w:pPr>
              <w:pStyle w:val="Para 001"/>
            </w:pPr>
            <w:r>
              <w:t>LiteralString</w:t>
            </w:r>
          </w:p>
        </w:tc>
        <w:tc>
          <w:tcPr>
            <w:tcW w:type="auto" w:w="0"/>
            <w:tcMar>
              <w:left w:type="dxa" w:w="200"/>
              <w:top w:type="dxa" w:w="200"/>
              <w:right w:type="dxa" w:w="200"/>
              <w:bottom w:type="dxa" w:w="200"/>
            </w:tcMar>
          </w:tcPr>
          <w:p>
            <w:pPr>
              <w:pStyle w:val="Para 002"/>
            </w:pPr>
            <w:r>
              <w:rPr>
                <w:rStyle w:val="Text34"/>
              </w:rPr>
              <w:t>3.11+</w:t>
            </w:r>
            <w:r>
              <w:t xml:space="preserve"> Specifies a </w:t>
            </w:r>
            <w:r>
              <w:rPr>
                <w:rStyle w:val="Text0"/>
              </w:rPr>
              <w:t>str</w:t>
            </w:r>
            <w:r>
              <w:t xml:space="preserve"> that must be implemented as a literal quoted value. Used to guard against leaving code open to injection attacks.</w:t>
            </w:r>
          </w:p>
        </w:tc>
      </w:tr>
    </w:tbl>
    <w:tbl>
      <w:tblPr>
        <w:tblW w:type="auto" w:w="0"/>
      </w:tblPr>
      <w:tr>
        <w:tc>
          <w:tcPr>
            <w:tcW w:type="auto" w:w="0"/>
            <w:shd w:val="clear" w:color="auto" w:fill="EEF2F6"/>
            <w:tcMar>
              <w:left w:type="dxa" w:w="200"/>
              <w:top w:type="dxa" w:w="200"/>
              <w:right w:type="dxa" w:w="200"/>
              <w:bottom w:type="dxa" w:w="200"/>
            </w:tcMar>
          </w:tcPr>
          <w:p>
            <w:pPr>
              <w:pStyle w:val="Para 001"/>
            </w:pPr>
            <w:r>
              <w:t>NoReturn</w:t>
            </w:r>
          </w:p>
        </w:tc>
        <w:tc>
          <w:tcPr>
            <w:tcW w:type="auto" w:w="0"/>
            <w:shd w:val="clear" w:color="auto" w:fill="EEF2F6"/>
            <w:tcMar>
              <w:left w:type="dxa" w:w="200"/>
              <w:top w:type="dxa" w:w="200"/>
              <w:right w:type="dxa" w:w="200"/>
              <w:bottom w:type="dxa" w:w="200"/>
            </w:tcMar>
          </w:tcPr>
          <w:p>
            <w:pPr>
              <w:pStyle w:val="Para 002"/>
            </w:pPr>
            <w:r>
              <w:t xml:space="preserve">Use as the return type for functions that “run forever,” such as those that call </w:t>
            </w:r>
            <w:r>
              <w:rPr>
                <w:rStyle w:val="Text0"/>
              </w:rPr>
              <w:t>http.serve_forever</w:t>
            </w:r>
            <w:r>
              <w:t xml:space="preserve"> or </w:t>
            </w:r>
            <w:r>
              <w:rPr>
                <w:rStyle w:val="Text0"/>
              </w:rPr>
              <w:t>event_loop.run_forever</w:t>
            </w:r>
            <w:r>
              <w:t xml:space="preserve"> without returning. This is </w:t>
            </w:r>
            <w:r>
              <w:rPr>
                <w:rStyle w:val="Text4"/>
              </w:rPr>
              <w:t>not</w:t>
            </w:r>
            <w:r>
              <w:t xml:space="preserve"> intended for functions that simply return with no explicit value; for those use </w:t>
            </w:r>
            <w:r>
              <w:rPr>
                <w:rStyle w:val="Text0"/>
              </w:rPr>
              <w:t>-&gt;</w:t>
            </w:r>
            <w:r>
              <w:t xml:space="preserve"> </w:t>
            </w:r>
            <w:r>
              <w:rPr>
                <w:rStyle w:val="Text5"/>
              </w:rPr>
              <w:t>None</w:t>
            </w:r>
            <w:r>
              <w:t xml:space="preserve">. More discussion of return types can be found in </w:t>
            </w:r>
            <w:hyperlink w:anchor="Adding_Type_Annotations_to_Exist">
              <w:r>
                <w:rPr>
                  <w:rStyle w:val="Text1"/>
                </w:rPr>
                <w:t>“Adding Type Annotations to Existing Code (Gradual Typing)”</w:t>
              </w:r>
            </w:hyperlink>
            <w:r>
              <w:t>.</w:t>
            </w:r>
          </w:p>
        </w:tc>
      </w:tr>
    </w:tbl>
    <w:tbl>
      <w:tblPr>
        <w:tblW w:type="auto" w:w="0"/>
      </w:tblPr>
      <w:tr>
        <w:tc>
          <w:tcPr>
            <w:tcW w:type="auto" w:w="0"/>
            <w:tcMar>
              <w:left w:type="dxa" w:w="200"/>
              <w:top w:type="dxa" w:w="200"/>
              <w:right w:type="dxa" w:w="200"/>
              <w:bottom w:type="dxa" w:w="200"/>
            </w:tcMar>
          </w:tcPr>
          <w:p>
            <w:pPr>
              <w:pStyle w:val="Para 001"/>
            </w:pPr>
            <w:r>
              <w:t>Self</w:t>
            </w:r>
          </w:p>
        </w:tc>
        <w:tc>
          <w:tcPr>
            <w:tcW w:type="auto" w:w="0"/>
            <w:tcMar>
              <w:left w:type="dxa" w:w="200"/>
              <w:top w:type="dxa" w:w="200"/>
              <w:right w:type="dxa" w:w="200"/>
              <w:bottom w:type="dxa" w:w="200"/>
            </w:tcMar>
          </w:tcPr>
          <w:p>
            <w:pPr>
              <w:pStyle w:val="Para 002"/>
            </w:pPr>
            <w:r>
              <w:rPr>
                <w:rStyle w:val="Text34"/>
              </w:rPr>
              <w:t>3.11+</w:t>
            </w:r>
            <w:r>
              <w:t xml:space="preserve"> Use as the return type for instance functions that </w:t>
            </w:r>
            <w:r>
              <w:rPr>
                <w:rStyle w:val="Text5"/>
              </w:rPr>
              <w:t>return</w:t>
            </w:r>
            <w:r>
              <w:t xml:space="preserve"> </w:t>
            </w:r>
            <w:r>
              <w:rPr>
                <w:rStyle w:val="Text0"/>
              </w:rPr>
              <w:t>self</w:t>
            </w:r>
            <w:r>
              <w:t xml:space="preserve"> (and in a few other cases, as exemplified in </w:t>
            </w:r>
            <w:hyperlink r:id="rId256">
              <w:r>
                <w:rPr>
                  <w:rStyle w:val="Text1"/>
                </w:rPr>
                <w:t>PEP 673</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TextIO</w:t>
            </w:r>
          </w:p>
        </w:tc>
        <w:tc>
          <w:tcPr>
            <w:tcW w:type="auto" w:w="0"/>
            <w:shd w:val="clear" w:color="auto" w:fill="EEF2F6"/>
            <w:tcMar>
              <w:left w:type="dxa" w:w="200"/>
              <w:top w:type="dxa" w:w="200"/>
              <w:right w:type="dxa" w:w="200"/>
              <w:bottom w:type="dxa" w:w="200"/>
            </w:tcMar>
          </w:tcPr>
          <w:p>
            <w:pPr>
              <w:pStyle w:val="Para 002"/>
            </w:pPr>
            <w:r>
              <w:t>Matches streams with text (</w:t>
            </w:r>
            <w:r>
              <w:rPr>
                <w:rStyle w:val="Text0"/>
              </w:rPr>
              <w:t>str</w:t>
            </w:r>
            <w:r>
              <w:t xml:space="preserve">) content, such as those returned from </w:t>
            </w:r>
            <w:r>
              <w:rPr>
                <w:rStyle w:val="Text0"/>
              </w:rPr>
              <w:t>open</w:t>
            </w:r>
            <w:r>
              <w:t xml:space="preserve"> with </w:t>
            </w:r>
            <w:r>
              <w:rPr>
                <w:rStyle w:val="Text0"/>
              </w:rPr>
              <w:t>mode='t'</w:t>
            </w:r>
            <w:r>
              <w:t xml:space="preserve">, or </w:t>
            </w:r>
            <w:r>
              <w:rPr>
                <w:rStyle w:val="Text0"/>
              </w:rPr>
              <w:t>io.StringIO</w:t>
            </w:r>
            <w:r>
              <w:t>.</w:t>
            </w:r>
          </w:p>
        </w:tc>
      </w:tr>
    </w:tbl>
    <w:p>
      <w:pPr>
        <w:pStyle w:val="Normal"/>
      </w:pPr>
      <w:r>
        <w:rPr>
          <w:rStyle w:val="Text34"/>
        </w:rPr>
        <w:t>-3.9</w:t>
      </w:r>
      <w:r>
        <w:t xml:space="preserve"> Prior to 3.9, the definitions in the </w:t>
      </w:r>
      <w:r>
        <w:rPr>
          <w:rStyle w:val="Text0"/>
        </w:rPr>
        <w:t>typing</w:t>
      </w:r>
      <w:r>
        <w:t xml:space="preserve"> module were used to create types representing built-in types, such as </w:t>
      </w:r>
      <w:r>
        <w:rPr>
          <w:rStyle w:val="Text0"/>
        </w:rPr>
        <w:t>List[int]</w:t>
      </w:r>
      <w:r>
        <w:t xml:space="preserve"> for a list of </w:t>
      </w:r>
      <w:r>
        <w:rPr>
          <w:rStyle w:val="Text0"/>
        </w:rPr>
        <w:t>int</w:t>
      </w:r>
      <w:r>
        <w:t xml:space="preserve">s. From 3.9 onward, these names are deprecated, as their corresponding built-in or standard library types now support the </w:t>
      </w:r>
      <w:r>
        <w:rPr>
          <w:rStyle w:val="Text0"/>
        </w:rPr>
        <w:t>[]</w:t>
      </w:r>
      <w:r>
        <w:t xml:space="preserve"> syntax: a list of </w:t>
      </w:r>
      <w:r>
        <w:rPr>
          <w:rStyle w:val="Text0"/>
        </w:rPr>
        <w:t>int</w:t>
      </w:r>
      <w:r>
        <w:t xml:space="preserve">s is now simply typed using </w:t>
      </w:r>
      <w:r>
        <w:rPr>
          <w:rStyle w:val="Text0"/>
        </w:rPr>
        <w:t>list[int]</w:t>
      </w:r>
      <w:r>
        <w:t xml:space="preserve">. </w:t>
      </w:r>
      <w:hyperlink w:anchor="Table_5_2__Python_built_in_types">
        <w:r>
          <w:rPr>
            <w:rStyle w:val="Text1"/>
          </w:rPr>
          <w:t>Table 5-2</w:t>
        </w:r>
      </w:hyperlink>
      <w:r>
        <w:t xml:space="preserve"> lists the definitions from the </w:t>
      </w:r>
      <w:r>
        <w:rPr>
          <w:rStyle w:val="Text0"/>
        </w:rPr>
        <w:t>typing</w:t>
      </w:r>
      <w:r>
        <w:t xml:space="preserve"> module that were necessary prior to Python 3.9 for type annotations using built-in types.</w:t>
      </w:r>
    </w:p>
    <w:tbl>
      <w:tblPr>
        <w:tblW w:type="auto" w:w="0"/>
      </w:tblPr>
      <w:tr>
        <w:tc>
          <w:tcPr>
            <w:tcW w:type="auto" w:w="0"/>
            <w:tcMar>
              <w:left w:type="dxa" w:w="200"/>
              <w:top w:type="dxa" w:w="200"/>
              <w:right w:type="dxa" w:w="200"/>
              <w:bottom w:type="dxa" w:w="200"/>
            </w:tcMar>
            <w:vAlign w:val="center"/>
          </w:tcPr>
          <w:p>
            <w:bookmarkStart w:id="1664" w:name="Table_5_2__Python_built_in_types"/>
            <w:pPr>
              <w:pStyle w:val="Para 011"/>
            </w:pPr>
            <w:r>
              <w:rPr>
                <w:rStyle w:val="Text117"/>
              </w:rPr>
              <w:t/>
            </w:r>
            <w:r>
              <w:t xml:space="preserve">Table 5-2. </w:t>
              <w:t xml:space="preserve">Python built-in types and their pre-3.9 definitions in the </w:t>
            </w:r>
            <w:r>
              <w:rPr>
                <w:rStyle w:val="Text0"/>
              </w:rPr>
              <w:t>typing</w:t>
            </w:r>
            <w:r>
              <w:t xml:space="preserve"> module</w:t>
            </w:r>
            <w:bookmarkEnd w:id="1664"/>
          </w:p>
          <w:p>
            <w:pPr>
              <w:pStyle w:val="Para 013"/>
            </w:pPr>
            <w:r>
              <w:t>Built-in type</w:t>
            </w:r>
          </w:p>
        </w:tc>
        <w:tc>
          <w:tcPr>
            <w:tcW w:type="auto" w:w="0"/>
            <w:tcMar>
              <w:left w:type="dxa" w:w="200"/>
              <w:top w:type="dxa" w:w="200"/>
              <w:right w:type="dxa" w:w="200"/>
              <w:bottom w:type="dxa" w:w="200"/>
            </w:tcMar>
            <w:vAlign w:val="center"/>
          </w:tcPr>
          <w:p>
            <w:pPr>
              <w:pStyle w:val="Para 013"/>
            </w:pPr>
            <w:r>
              <w:t>Pre-3.9 typing module equivalent</w:t>
            </w:r>
          </w:p>
        </w:tc>
      </w:tr>
    </w:tbl>
    <w:tbl>
      <w:tblPr>
        <w:tblW w:type="auto" w:w="0"/>
      </w:tblPr>
      <w:tr>
        <w:tc>
          <w:tcPr>
            <w:tcW w:type="auto" w:w="0"/>
            <w:tcMar>
              <w:left w:type="dxa" w:w="200"/>
              <w:top w:type="dxa" w:w="200"/>
              <w:right w:type="dxa" w:w="200"/>
              <w:bottom w:type="dxa" w:w="200"/>
            </w:tcMar>
          </w:tcPr>
          <w:p>
            <w:pPr>
              <w:pStyle w:val="Para 001"/>
            </w:pPr>
            <w:r>
              <w:t>dict</w:t>
            </w:r>
          </w:p>
        </w:tc>
        <w:tc>
          <w:tcPr>
            <w:tcW w:type="auto" w:w="0"/>
            <w:tcMar>
              <w:left w:type="dxa" w:w="200"/>
              <w:top w:type="dxa" w:w="200"/>
              <w:right w:type="dxa" w:w="200"/>
              <w:bottom w:type="dxa" w:w="200"/>
            </w:tcMar>
          </w:tcPr>
          <w:p>
            <w:pPr>
              <w:pStyle w:val="Para 001"/>
            </w:pPr>
            <w:r>
              <w:t>Dict</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frozenset</w:t>
            </w:r>
          </w:p>
        </w:tc>
        <w:tc>
          <w:tcPr>
            <w:tcW w:type="auto" w:w="0"/>
            <w:shd w:val="clear" w:color="auto" w:fill="EEF2F6"/>
            <w:tcMar>
              <w:left w:type="dxa" w:w="200"/>
              <w:top w:type="dxa" w:w="200"/>
              <w:right w:type="dxa" w:w="200"/>
              <w:bottom w:type="dxa" w:w="200"/>
            </w:tcMar>
          </w:tcPr>
          <w:p>
            <w:pPr>
              <w:pStyle w:val="Para 001"/>
            </w:pPr>
            <w:r>
              <w:t>FrozenSet</w:t>
            </w:r>
          </w:p>
        </w:tc>
      </w:tr>
    </w:tbl>
    <w:tbl>
      <w:tblPr>
        <w:tblW w:type="auto" w:w="0"/>
      </w:tblPr>
      <w:tr>
        <w:tc>
          <w:tcPr>
            <w:tcW w:type="auto" w:w="0"/>
            <w:tcMar>
              <w:left w:type="dxa" w:w="200"/>
              <w:top w:type="dxa" w:w="200"/>
              <w:right w:type="dxa" w:w="200"/>
              <w:bottom w:type="dxa" w:w="200"/>
            </w:tcMar>
          </w:tcPr>
          <w:p>
            <w:pPr>
              <w:pStyle w:val="Para 001"/>
            </w:pPr>
            <w:r>
              <w:t>list</w:t>
            </w:r>
          </w:p>
        </w:tc>
        <w:tc>
          <w:tcPr>
            <w:tcW w:type="auto" w:w="0"/>
            <w:tcMar>
              <w:left w:type="dxa" w:w="200"/>
              <w:top w:type="dxa" w:w="200"/>
              <w:right w:type="dxa" w:w="200"/>
              <w:bottom w:type="dxa" w:w="200"/>
            </w:tcMar>
          </w:tcPr>
          <w:p>
            <w:pPr>
              <w:pStyle w:val="Para 001"/>
            </w:pPr>
            <w:r>
              <w:t>List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w:t>
            </w:r>
          </w:p>
        </w:tc>
        <w:tc>
          <w:tcPr>
            <w:tcW w:type="auto" w:w="0"/>
            <w:shd w:val="clear" w:color="auto" w:fill="EEF2F6"/>
            <w:tcMar>
              <w:left w:type="dxa" w:w="200"/>
              <w:top w:type="dxa" w:w="200"/>
              <w:right w:type="dxa" w:w="200"/>
              <w:bottom w:type="dxa" w:w="200"/>
            </w:tcMar>
          </w:tcPr>
          <w:p>
            <w:pPr>
              <w:pStyle w:val="Para 001"/>
            </w:pPr>
            <w:r>
              <w:t>Set</w:t>
            </w:r>
          </w:p>
        </w:tc>
      </w:tr>
    </w:tbl>
    <w:tbl>
      <w:tblPr>
        <w:tblW w:type="auto" w:w="0"/>
      </w:tblPr>
      <w:tr>
        <w:tc>
          <w:tcPr>
            <w:tcW w:type="auto" w:w="0"/>
            <w:tcMar>
              <w:left w:type="dxa" w:w="200"/>
              <w:top w:type="dxa" w:w="200"/>
              <w:right w:type="dxa" w:w="200"/>
              <w:bottom w:type="dxa" w:w="200"/>
            </w:tcMar>
          </w:tcPr>
          <w:p>
            <w:pPr>
              <w:pStyle w:val="Para 001"/>
            </w:pPr>
            <w:r>
              <w:t>str</w:t>
            </w:r>
          </w:p>
        </w:tc>
        <w:tc>
          <w:tcPr>
            <w:tcW w:type="auto" w:w="0"/>
            <w:tcMar>
              <w:left w:type="dxa" w:w="200"/>
              <w:top w:type="dxa" w:w="200"/>
              <w:right w:type="dxa" w:w="200"/>
              <w:bottom w:type="dxa" w:w="200"/>
            </w:tcMar>
          </w:tcPr>
          <w:p>
            <w:pPr>
              <w:pStyle w:val="Para 001"/>
            </w:pPr>
            <w:r>
              <w:t>Text</w:t>
            </w:r>
          </w:p>
        </w:tc>
      </w:tr>
    </w:tbl>
    <w:tbl>
      <w:tblPr>
        <w:tblW w:type="auto" w:w="0"/>
      </w:tblPr>
      <w:tr>
        <w:tc>
          <w:tcPr>
            <w:tcW w:type="auto" w:w="0"/>
            <w:shd w:val="clear" w:color="auto" w:fill="EEF2F6"/>
            <w:tcMar>
              <w:left w:type="dxa" w:w="200"/>
              <w:top w:type="dxa" w:w="200"/>
              <w:right w:type="dxa" w:w="200"/>
              <w:bottom w:type="dxa" w:w="200"/>
            </w:tcMar>
          </w:tcPr>
          <w:p>
            <w:pPr>
              <w:pStyle w:val="Para 001"/>
            </w:pPr>
            <w:r>
              <w:t>tuple</w:t>
            </w:r>
          </w:p>
        </w:tc>
        <w:tc>
          <w:tcPr>
            <w:tcW w:type="auto" w:w="0"/>
            <w:shd w:val="clear" w:color="auto" w:fill="EEF2F6"/>
            <w:tcMar>
              <w:left w:type="dxa" w:w="200"/>
              <w:top w:type="dxa" w:w="200"/>
              <w:right w:type="dxa" w:w="200"/>
              <w:bottom w:type="dxa" w:w="200"/>
            </w:tcMar>
          </w:tcPr>
          <w:p>
            <w:pPr>
              <w:pStyle w:val="Para 001"/>
            </w:pPr>
            <w:r>
              <w:t>Tuple</w:t>
            </w:r>
          </w:p>
        </w:tc>
      </w:tr>
    </w:tbl>
    <w:tbl>
      <w:tblPr>
        <w:tblW w:type="auto" w:w="0"/>
      </w:tblPr>
      <w:tr>
        <w:tc>
          <w:tcPr>
            <w:tcW w:type="auto" w:w="0"/>
            <w:tcMar>
              <w:left w:type="dxa" w:w="200"/>
              <w:top w:type="dxa" w:w="200"/>
              <w:right w:type="dxa" w:w="200"/>
              <w:bottom w:type="dxa" w:w="200"/>
            </w:tcMar>
          </w:tcPr>
          <w:p>
            <w:pPr>
              <w:pStyle w:val="Para 001"/>
            </w:pPr>
            <w:r>
              <w:t>type</w:t>
            </w:r>
          </w:p>
        </w:tc>
        <w:tc>
          <w:tcPr>
            <w:tcW w:type="auto" w:w="0"/>
            <w:tcMar>
              <w:left w:type="dxa" w:w="200"/>
              <w:top w:type="dxa" w:w="200"/>
              <w:right w:type="dxa" w:w="200"/>
              <w:bottom w:type="dxa" w:w="200"/>
            </w:tcMar>
          </w:tcPr>
          <w:p>
            <w:pPr>
              <w:pStyle w:val="Para 001"/>
            </w:pPr>
            <w:r>
              <w:t>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collections.ChainMap</w:t>
            </w:r>
          </w:p>
        </w:tc>
        <w:tc>
          <w:tcPr>
            <w:tcW w:type="auto" w:w="0"/>
            <w:shd w:val="clear" w:color="auto" w:fill="EEF2F6"/>
            <w:tcMar>
              <w:left w:type="dxa" w:w="200"/>
              <w:top w:type="dxa" w:w="200"/>
              <w:right w:type="dxa" w:w="200"/>
              <w:bottom w:type="dxa" w:w="200"/>
            </w:tcMar>
          </w:tcPr>
          <w:p>
            <w:pPr>
              <w:pStyle w:val="Para 001"/>
            </w:pPr>
            <w:r>
              <w:t>ChainMap</w:t>
            </w:r>
          </w:p>
        </w:tc>
      </w:tr>
    </w:tbl>
    <w:tbl>
      <w:tblPr>
        <w:tblW w:type="auto" w:w="0"/>
      </w:tblPr>
      <w:tr>
        <w:tc>
          <w:tcPr>
            <w:tcW w:type="auto" w:w="0"/>
            <w:tcMar>
              <w:left w:type="dxa" w:w="200"/>
              <w:top w:type="dxa" w:w="200"/>
              <w:right w:type="dxa" w:w="200"/>
              <w:bottom w:type="dxa" w:w="200"/>
            </w:tcMar>
          </w:tcPr>
          <w:p>
            <w:pPr>
              <w:pStyle w:val="Para 001"/>
            </w:pPr>
            <w:r>
              <w:t>collections.Counter</w:t>
            </w:r>
          </w:p>
        </w:tc>
        <w:tc>
          <w:tcPr>
            <w:tcW w:type="auto" w:w="0"/>
            <w:tcMar>
              <w:left w:type="dxa" w:w="200"/>
              <w:top w:type="dxa" w:w="200"/>
              <w:right w:type="dxa" w:w="200"/>
              <w:bottom w:type="dxa" w:w="200"/>
            </w:tcMar>
          </w:tcPr>
          <w:p>
            <w:pPr>
              <w:pStyle w:val="Para 001"/>
            </w:pPr>
            <w:r>
              <w:t>Counter</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collections.defaultdict</w:t>
            </w:r>
          </w:p>
        </w:tc>
        <w:tc>
          <w:tcPr>
            <w:tcW w:type="auto" w:w="0"/>
            <w:shd w:val="clear" w:color="auto" w:fill="EEF2F6"/>
            <w:tcMar>
              <w:left w:type="dxa" w:w="200"/>
              <w:top w:type="dxa" w:w="200"/>
              <w:right w:type="dxa" w:w="200"/>
              <w:bottom w:type="dxa" w:w="200"/>
            </w:tcMar>
          </w:tcPr>
          <w:p>
            <w:pPr>
              <w:pStyle w:val="Para 001"/>
            </w:pPr>
            <w:r>
              <w:t>DefaultDict</w:t>
            </w:r>
          </w:p>
        </w:tc>
      </w:tr>
    </w:tbl>
    <w:tbl>
      <w:tblPr>
        <w:tblW w:type="auto" w:w="0"/>
      </w:tblPr>
      <w:tr>
        <w:tc>
          <w:tcPr>
            <w:tcW w:type="auto" w:w="0"/>
            <w:tcMar>
              <w:left w:type="dxa" w:w="200"/>
              <w:top w:type="dxa" w:w="200"/>
              <w:right w:type="dxa" w:w="200"/>
              <w:bottom w:type="dxa" w:w="200"/>
            </w:tcMar>
          </w:tcPr>
          <w:p>
            <w:pPr>
              <w:pStyle w:val="Para 001"/>
            </w:pPr>
            <w:r>
              <w:t>collections.deque</w:t>
            </w:r>
          </w:p>
        </w:tc>
        <w:tc>
          <w:tcPr>
            <w:tcW w:type="auto" w:w="0"/>
            <w:tcMar>
              <w:left w:type="dxa" w:w="200"/>
              <w:top w:type="dxa" w:w="200"/>
              <w:right w:type="dxa" w:w="200"/>
              <w:bottom w:type="dxa" w:w="200"/>
            </w:tcMar>
          </w:tcPr>
          <w:p>
            <w:pPr>
              <w:pStyle w:val="Para 001"/>
            </w:pPr>
            <w:r>
              <w:t>Deque</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collections.OrderedDict</w:t>
            </w:r>
          </w:p>
        </w:tc>
        <w:tc>
          <w:tcPr>
            <w:tcW w:type="auto" w:w="0"/>
            <w:shd w:val="clear" w:color="auto" w:fill="EEF2F6"/>
            <w:tcMar>
              <w:left w:type="dxa" w:w="200"/>
              <w:top w:type="dxa" w:w="200"/>
              <w:right w:type="dxa" w:w="200"/>
              <w:bottom w:type="dxa" w:w="200"/>
            </w:tcMar>
          </w:tcPr>
          <w:p>
            <w:pPr>
              <w:pStyle w:val="Para 001"/>
            </w:pPr>
            <w:r>
              <w:t>OrderedDict</w:t>
            </w:r>
          </w:p>
        </w:tc>
      </w:tr>
    </w:tbl>
    <w:tbl>
      <w:tblPr>
        <w:tblW w:type="auto" w:w="0"/>
      </w:tblPr>
      <w:tr>
        <w:tc>
          <w:tcPr>
            <w:tcW w:type="auto" w:w="0"/>
            <w:tcMar>
              <w:left w:type="dxa" w:w="200"/>
              <w:top w:type="dxa" w:w="200"/>
              <w:right w:type="dxa" w:w="200"/>
              <w:bottom w:type="dxa" w:w="200"/>
            </w:tcMar>
          </w:tcPr>
          <w:p>
            <w:pPr>
              <w:pStyle w:val="Para 001"/>
            </w:pPr>
            <w:r>
              <w:t>re.Match</w:t>
            </w:r>
          </w:p>
        </w:tc>
        <w:tc>
          <w:tcPr>
            <w:tcW w:type="auto" w:w="0"/>
            <w:tcMar>
              <w:left w:type="dxa" w:w="200"/>
              <w:top w:type="dxa" w:w="200"/>
              <w:right w:type="dxa" w:w="200"/>
              <w:bottom w:type="dxa" w:w="200"/>
            </w:tcMar>
          </w:tcPr>
          <w:p>
            <w:pPr>
              <w:pStyle w:val="Para 001"/>
            </w:pPr>
            <w:r>
              <w:t>Match</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re.Pattern</w:t>
            </w:r>
          </w:p>
        </w:tc>
        <w:tc>
          <w:tcPr>
            <w:tcW w:type="auto" w:w="0"/>
            <w:shd w:val="clear" w:color="auto" w:fill="EEF2F6"/>
            <w:tcMar>
              <w:left w:type="dxa" w:w="200"/>
              <w:top w:type="dxa" w:w="200"/>
              <w:right w:type="dxa" w:w="200"/>
              <w:bottom w:type="dxa" w:w="200"/>
            </w:tcMar>
          </w:tcPr>
          <w:p>
            <w:pPr>
              <w:pStyle w:val="Para 001"/>
            </w:pPr>
            <w:r>
              <w:t>Pattern</w:t>
            </w:r>
            <w:r>
              <w:rPr>
                <w:rStyle w:val="Text115"/>
              </w:rPr>
              <w:bookmarkStart w:id="1665" w:name="idm45965268473536"/>
              <w:t/>
              <w:bookmarkEnd w:id="1665"/>
            </w:r>
          </w:p>
        </w:tc>
      </w:tr>
    </w:tbl>
    <w:p>
      <w:bookmarkStart w:id="1666" w:name="Type_Expression_Parameters__Some"/>
      <w:pPr>
        <w:keepNext/>
        <w:pStyle w:val="Heading 2"/>
      </w:pPr>
      <w:r>
        <w:t>Type Expression Parameters</w:t>
      </w:r>
      <w:bookmarkEnd w:id="1666"/>
    </w:p>
    <w:p>
      <w:pPr>
        <w:pStyle w:val="Normal"/>
      </w:pPr>
      <w:r>
        <w:t>Some</w:t>
      </w:r>
      <w:r>
        <w:rPr>
          <w:rStyle w:val="Text111"/>
        </w:rPr>
        <w:bookmarkStart w:id="1667" w:name="idm45965268470432"/>
        <w:t/>
        <w:bookmarkEnd w:id="1667"/>
      </w:r>
      <w:r>
        <w:t xml:space="preserve"> types defined in the </w:t>
      </w:r>
      <w:r>
        <w:rPr>
          <w:rStyle w:val="Text0"/>
        </w:rPr>
        <w:t>typing</w:t>
      </w:r>
      <w:r>
        <w:t xml:space="preserve"> module modify other type expressions. The types listed in </w:t>
      </w:r>
      <w:hyperlink w:anchor="Table_5_3__Type_expression_param">
        <w:r>
          <w:rPr>
            <w:rStyle w:val="Text1"/>
          </w:rPr>
          <w:t>Table 5-3</w:t>
        </w:r>
      </w:hyperlink>
      <w:r>
        <w:t xml:space="preserve"> provide additional typing information or constraints for the modified types in </w:t>
      </w:r>
      <w:r>
        <w:rPr>
          <w:rStyle w:val="Text3"/>
        </w:rPr>
        <w:t>type_expression</w:t>
      </w:r>
      <w:r>
        <w:t>.</w:t>
      </w:r>
    </w:p>
    <w:tbl>
      <w:tblPr>
        <w:tblW w:type="auto" w:w="0"/>
      </w:tblPr>
      <w:tr>
        <w:tc>
          <w:tcPr>
            <w:tcW w:type="auto" w:w="0"/>
            <w:tcMar>
              <w:left w:type="dxa" w:w="200"/>
              <w:top w:type="dxa" w:w="200"/>
              <w:right w:type="dxa" w:w="200"/>
              <w:bottom w:type="dxa" w:w="200"/>
            </w:tcMar>
            <w:vAlign w:val="center"/>
          </w:tcPr>
          <w:p>
            <w:bookmarkStart w:id="1668" w:name="Table_5_3__Type_expression_param"/>
            <w:pPr>
              <w:pStyle w:val="Para 011"/>
            </w:pPr>
            <w:r>
              <w:rPr>
                <w:rStyle w:val="Text117"/>
              </w:rPr>
              <w:t/>
            </w:r>
            <w:r>
              <w:t xml:space="preserve">Table 5-3. </w:t>
              <w:t>Type expression parameters</w:t>
            </w:r>
            <w:bookmarkEnd w:id="1668"/>
          </w:p>
          <w:p>
            <w:pPr>
              <w:pStyle w:val="Para 013"/>
            </w:pPr>
            <w:r>
              <w:t>Parameter</w:t>
            </w:r>
          </w:p>
        </w:tc>
        <w:tc>
          <w:tcPr>
            <w:tcW w:type="auto" w:w="0"/>
            <w:tcMar>
              <w:left w:type="dxa" w:w="200"/>
              <w:top w:type="dxa" w:w="200"/>
              <w:right w:type="dxa" w:w="200"/>
              <w:bottom w:type="dxa" w:w="200"/>
            </w:tcMar>
            <w:vAlign w:val="center"/>
          </w:tcPr>
          <w:p>
            <w:pPr>
              <w:pStyle w:val="Para 013"/>
            </w:pPr>
            <w:r>
              <w:t>Usage and description</w:t>
            </w:r>
          </w:p>
        </w:tc>
      </w:tr>
    </w:tbl>
    <w:tbl>
      <w:tblPr>
        <w:tblW w:type="auto" w:w="0"/>
      </w:tblPr>
      <w:tr>
        <w:tc>
          <w:tcPr>
            <w:tcW w:type="auto" w:w="0"/>
            <w:tcMar>
              <w:left w:type="dxa" w:w="200"/>
              <w:top w:type="dxa" w:w="200"/>
              <w:right w:type="dxa" w:w="200"/>
              <w:bottom w:type="dxa" w:w="200"/>
            </w:tcMar>
          </w:tcPr>
          <w:p>
            <w:pPr>
              <w:pStyle w:val="Para 001"/>
            </w:pPr>
            <w:r>
              <w:t>Annotated</w:t>
            </w:r>
          </w:p>
        </w:tc>
        <w:tc>
          <w:tcPr>
            <w:tcW w:type="auto" w:w="0"/>
            <w:tcMar>
              <w:left w:type="dxa" w:w="200"/>
              <w:top w:type="dxa" w:w="200"/>
              <w:right w:type="dxa" w:w="200"/>
              <w:bottom w:type="dxa" w:w="200"/>
            </w:tcMar>
          </w:tcPr>
          <w:p>
            <w:pPr>
              <w:pStyle w:val="Para 002"/>
            </w:pPr>
            <w:r>
              <w:rPr>
                <w:rStyle w:val="Text0"/>
              </w:rPr>
              <w:t>Annotated[</w:t>
            </w:r>
            <w:r>
              <w:rPr>
                <w:rStyle w:val="Text3"/>
              </w:rPr>
              <w:t>type_expression, expression, ...</w:t>
            </w:r>
            <w:r>
              <w:rPr>
                <w:rStyle w:val="Text0"/>
              </w:rPr>
              <w:t>]</w:t>
              <w:br w:clear="none"/>
            </w:r>
            <w:r>
              <w:t xml:space="preserve"> </w:t>
            </w:r>
            <w:r>
              <w:rPr>
                <w:rStyle w:val="Text34"/>
              </w:rPr>
              <w:t>3.9+</w:t>
            </w:r>
            <w:r>
              <w:t xml:space="preserve"> Extends the </w:t>
            </w:r>
            <w:r>
              <w:rPr>
                <w:rStyle w:val="Text3"/>
              </w:rPr>
              <w:t>type_expression</w:t>
            </w:r>
            <w:r>
              <w:t xml:space="preserve"> with additional metadata. The extra metadata values for function </w:t>
            </w:r>
            <w:r>
              <w:rPr>
                <w:rStyle w:val="Text3"/>
              </w:rPr>
              <w:t>fn</w:t>
            </w:r>
            <w:r>
              <w:t xml:space="preserve"> can be retrieved at runtime using </w:t>
            </w:r>
            <w:r>
              <w:rPr>
                <w:rStyle w:val="Text0"/>
              </w:rPr>
              <w:t>get_type_hints(</w:t>
            </w:r>
            <w:r>
              <w:rPr>
                <w:rStyle w:val="Text3"/>
              </w:rPr>
              <w:t>fn</w:t>
            </w:r>
            <w:r>
              <w:rPr>
                <w:rStyle w:val="Text0"/>
              </w:rPr>
              <w:t>, include_extras=</w:t>
            </w:r>
            <w:r>
              <w:rPr>
                <w:rStyle w:val="Text5"/>
              </w:rPr>
              <w:t>True</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ClassVar</w:t>
            </w:r>
          </w:p>
        </w:tc>
        <w:tc>
          <w:tcPr>
            <w:tcW w:type="auto" w:w="0"/>
            <w:shd w:val="clear" w:color="auto" w:fill="EEF2F6"/>
            <w:tcMar>
              <w:left w:type="dxa" w:w="200"/>
              <w:top w:type="dxa" w:w="200"/>
              <w:right w:type="dxa" w:w="200"/>
              <w:bottom w:type="dxa" w:w="200"/>
            </w:tcMar>
          </w:tcPr>
          <w:p>
            <w:pPr>
              <w:pStyle w:val="Para 002"/>
            </w:pPr>
            <w:r>
              <w:rPr>
                <w:rStyle w:val="Text0"/>
              </w:rPr>
              <w:t>ClassVar[</w:t>
            </w:r>
            <w:r>
              <w:rPr>
                <w:rStyle w:val="Text3"/>
              </w:rPr>
              <w:t>type_expression</w:t>
            </w:r>
            <w:r>
              <w:rPr>
                <w:rStyle w:val="Text0"/>
              </w:rPr>
              <w:t>]</w:t>
              <w:br w:clear="none"/>
            </w:r>
            <w:r>
              <w:t xml:space="preserve"> Indicates that the variable is a class variable, and should not be assigned as an instance variable.</w:t>
            </w:r>
          </w:p>
        </w:tc>
      </w:tr>
    </w:tbl>
    <w:tbl>
      <w:tblPr>
        <w:tblW w:type="auto" w:w="0"/>
      </w:tblPr>
      <w:tr>
        <w:tc>
          <w:tcPr>
            <w:tcW w:type="auto" w:w="0"/>
            <w:tcMar>
              <w:left w:type="dxa" w:w="200"/>
              <w:top w:type="dxa" w:w="200"/>
              <w:right w:type="dxa" w:w="200"/>
              <w:bottom w:type="dxa" w:w="200"/>
            </w:tcMar>
          </w:tcPr>
          <w:p>
            <w:pPr>
              <w:pStyle w:val="Para 001"/>
            </w:pPr>
            <w:r>
              <w:t>Final</w:t>
            </w:r>
          </w:p>
        </w:tc>
        <w:tc>
          <w:tcPr>
            <w:tcW w:type="auto" w:w="0"/>
            <w:tcMar>
              <w:left w:type="dxa" w:w="200"/>
              <w:top w:type="dxa" w:w="200"/>
              <w:right w:type="dxa" w:w="200"/>
              <w:bottom w:type="dxa" w:w="200"/>
            </w:tcMar>
          </w:tcPr>
          <w:p>
            <w:pPr>
              <w:pStyle w:val="Para 002"/>
            </w:pPr>
            <w:r>
              <w:rPr>
                <w:rStyle w:val="Text0"/>
              </w:rPr>
              <w:t>Final[</w:t>
            </w:r>
            <w:r>
              <w:rPr>
                <w:rStyle w:val="Text3"/>
              </w:rPr>
              <w:t>type_expression</w:t>
            </w:r>
            <w:r>
              <w:rPr>
                <w:rStyle w:val="Text0"/>
              </w:rPr>
              <w:t>]</w:t>
              <w:br w:clear="none"/>
            </w:r>
            <w:r>
              <w:t xml:space="preserve"> </w:t>
            </w:r>
            <w:r>
              <w:rPr>
                <w:rStyle w:val="Text34"/>
              </w:rPr>
              <w:t>3.8+</w:t>
            </w:r>
            <w:r>
              <w:t xml:space="preserve"> Indicates that the variable should not be written to or overridden in a subclass.</w:t>
            </w:r>
          </w:p>
        </w:tc>
      </w:tr>
    </w:tbl>
    <w:tbl>
      <w:tblPr>
        <w:tblW w:type="auto" w:w="0"/>
      </w:tblPr>
      <w:tr>
        <w:tc>
          <w:tcPr>
            <w:tcW w:type="auto" w:w="0"/>
            <w:shd w:val="clear" w:color="auto" w:fill="EEF2F6"/>
            <w:tcMar>
              <w:left w:type="dxa" w:w="200"/>
              <w:top w:type="dxa" w:w="200"/>
              <w:right w:type="dxa" w:w="200"/>
              <w:bottom w:type="dxa" w:w="200"/>
            </w:tcMar>
          </w:tcPr>
          <w:p>
            <w:pPr>
              <w:pStyle w:val="Para 001"/>
            </w:pPr>
            <w:r>
              <w:t>Optional</w:t>
            </w:r>
          </w:p>
        </w:tc>
        <w:tc>
          <w:tcPr>
            <w:tcW w:type="auto" w:w="0"/>
            <w:shd w:val="clear" w:color="auto" w:fill="EEF2F6"/>
            <w:tcMar>
              <w:left w:type="dxa" w:w="200"/>
              <w:top w:type="dxa" w:w="200"/>
              <w:right w:type="dxa" w:w="200"/>
              <w:bottom w:type="dxa" w:w="200"/>
            </w:tcMar>
          </w:tcPr>
          <w:p>
            <w:pPr>
              <w:pStyle w:val="Para 002"/>
            </w:pPr>
            <w:r>
              <w:rPr>
                <w:rStyle w:val="Text0"/>
              </w:rPr>
              <w:t>Optional[</w:t>
            </w:r>
            <w:r>
              <w:rPr>
                <w:rStyle w:val="Text3"/>
              </w:rPr>
              <w:t>type_expression</w:t>
            </w:r>
            <w:r>
              <w:rPr>
                <w:rStyle w:val="Text0"/>
              </w:rPr>
              <w:t xml:space="preserve">] </w:t>
            </w:r>
            <w:r>
              <w:t xml:space="preserve"> Equivalent to </w:t>
            </w:r>
            <w:r>
              <w:rPr>
                <w:rStyle w:val="Text3"/>
              </w:rPr>
              <w:t>type_expression</w:t>
            </w:r>
            <w:r>
              <w:t xml:space="preserve"> </w:t>
            </w:r>
            <w:r>
              <w:rPr>
                <w:rStyle w:val="Text0"/>
              </w:rPr>
              <w:t>|</w:t>
            </w:r>
            <w:r>
              <w:t xml:space="preserve"> </w:t>
            </w:r>
            <w:r>
              <w:rPr>
                <w:rStyle w:val="Text5"/>
              </w:rPr>
              <w:t>None</w:t>
            </w:r>
            <w:r>
              <w:t>. Often used for</w:t>
            </w:r>
            <w:r>
              <w:rPr>
                <w:rStyle w:val="Text111"/>
              </w:rPr>
              <w:bookmarkStart w:id="1669" w:name="idm45965268443984"/>
              <w:t/>
              <w:bookmarkEnd w:id="1669"/>
            </w:r>
            <w:r>
              <w:t xml:space="preserve"> named arguments with a default value of </w:t>
            </w:r>
            <w:r>
              <w:rPr>
                <w:rStyle w:val="Text5"/>
              </w:rPr>
              <w:t>None</w:t>
            </w:r>
            <w:r>
              <w:t>. (</w:t>
            </w:r>
            <w:r>
              <w:rPr>
                <w:rStyle w:val="Text0"/>
              </w:rPr>
              <w:t>Optional</w:t>
            </w:r>
            <w:r>
              <w:t xml:space="preserve"> does not automatically define </w:t>
            </w:r>
            <w:r>
              <w:rPr>
                <w:rStyle w:val="Text5"/>
              </w:rPr>
              <w:t>None</w:t>
            </w:r>
            <w:r>
              <w:t xml:space="preserve"> as the default value, so you must still follow it with </w:t>
            </w:r>
            <w:r>
              <w:rPr>
                <w:rStyle w:val="Text0"/>
              </w:rPr>
              <w:t>=</w:t>
            </w:r>
            <w:r>
              <w:rPr>
                <w:rStyle w:val="Text5"/>
              </w:rPr>
              <w:t>None</w:t>
            </w:r>
            <w:r>
              <w:t xml:space="preserve"> in a function signature.) </w:t>
            </w:r>
            <w:r>
              <w:rPr>
                <w:rStyle w:val="Text34"/>
              </w:rPr>
              <w:t>3.10+</w:t>
            </w:r>
            <w:r>
              <w:t xml:space="preserve"> With the availability of the </w:t>
            </w:r>
            <w:r>
              <w:rPr>
                <w:rStyle w:val="Text0"/>
              </w:rPr>
              <w:t>|</w:t>
            </w:r>
            <w:r>
              <w:t xml:space="preserve"> operator for specifying alternative type attributes, there is a growing consensus to prefer </w:t>
            </w:r>
            <w:r>
              <w:rPr>
                <w:rStyle w:val="Text3"/>
              </w:rPr>
              <w:t>type_expression</w:t>
            </w:r>
            <w:r>
              <w:t xml:space="preserve"> </w:t>
            </w:r>
            <w:r>
              <w:rPr>
                <w:rStyle w:val="Text0"/>
              </w:rPr>
              <w:t>|</w:t>
            </w:r>
            <w:r>
              <w:t xml:space="preserve"> </w:t>
            </w:r>
            <w:r>
              <w:rPr>
                <w:rStyle w:val="Text5"/>
              </w:rPr>
              <w:t>None</w:t>
            </w:r>
            <w:r>
              <w:t xml:space="preserve"> over using </w:t>
            </w:r>
            <w:r>
              <w:rPr>
                <w:rStyle w:val="Text0"/>
              </w:rPr>
              <w:t>Optional[</w:t>
            </w:r>
            <w:r>
              <w:rPr>
                <w:rStyle w:val="Text3"/>
              </w:rPr>
              <w:t>type_expression</w:t>
            </w:r>
            <w:r>
              <w:rPr>
                <w:rStyle w:val="Text0"/>
              </w:rPr>
              <w:t>]</w:t>
            </w:r>
            <w:r>
              <w:t>.</w:t>
            </w:r>
          </w:p>
        </w:tc>
      </w:tr>
    </w:tbl>
    <w:p>
      <w:bookmarkStart w:id="1670" w:name="Abstract_Base_Classes__Just_as_f"/>
      <w:pPr>
        <w:keepNext/>
        <w:pStyle w:val="Heading 2"/>
      </w:pPr>
      <w:r>
        <w:t>Abstract Base Classes</w:t>
      </w:r>
      <w:bookmarkEnd w:id="1670"/>
    </w:p>
    <w:p>
      <w:pPr>
        <w:pStyle w:val="Normal"/>
      </w:pPr>
      <w:r>
        <w:t>Just</w:t>
      </w:r>
      <w:r>
        <w:rPr>
          <w:rStyle w:val="Text111"/>
        </w:rPr>
        <w:bookmarkStart w:id="1671" w:name="idm45965268431520"/>
        <w:t/>
        <w:bookmarkEnd w:id="1671"/>
        <w:bookmarkStart w:id="1672" w:name="idm45965268430096"/>
        <w:t/>
        <w:bookmarkEnd w:id="1672"/>
      </w:r>
      <w:r>
        <w:t xml:space="preserve"> as for built-in types, the initial implementations of the </w:t>
      </w:r>
      <w:r>
        <w:rPr>
          <w:rStyle w:val="Text0"/>
        </w:rPr>
        <w:t>typing</w:t>
      </w:r>
      <w:r>
        <w:t xml:space="preserve"> module included definitions of types corresponding to abstract base classes in the </w:t>
      </w:r>
      <w:r>
        <w:rPr>
          <w:rStyle w:val="Text0"/>
        </w:rPr>
        <w:t>collections.abc</w:t>
      </w:r>
      <w:r>
        <w:t xml:space="preserve"> module. Many of these types have since been deprecated (see below), but two definitions have been retained as aliases to ABCs in </w:t>
      </w:r>
      <w:r>
        <w:rPr>
          <w:rStyle w:val="Text0"/>
        </w:rPr>
        <w:t>collections.abc</w:t>
      </w:r>
      <w:r>
        <w:t xml:space="preserve"> (see </w:t>
      </w:r>
      <w:hyperlink w:anchor="Table_5_4__Abstract_base_class_a">
        <w:r>
          <w:rPr>
            <w:rStyle w:val="Text1"/>
          </w:rPr>
          <w:t>Table 5-4</w:t>
        </w:r>
      </w:hyperlink>
      <w:r>
        <w:t>).</w:t>
      </w:r>
    </w:p>
    <w:tbl>
      <w:tblPr>
        <w:tblW w:type="auto" w:w="0"/>
      </w:tblPr>
      <w:tr>
        <w:tc>
          <w:tcPr>
            <w:tcW w:type="auto" w:w="0"/>
            <w:tcMar>
              <w:left w:type="dxa" w:w="200"/>
              <w:top w:type="dxa" w:w="200"/>
              <w:right w:type="dxa" w:w="200"/>
              <w:bottom w:type="dxa" w:w="200"/>
            </w:tcMar>
            <w:vAlign w:val="center"/>
          </w:tcPr>
          <w:p>
            <w:bookmarkStart w:id="1673" w:name="Table_5_4__Abstract_base_class_a"/>
            <w:pPr>
              <w:pStyle w:val="Para 011"/>
            </w:pPr>
            <w:r>
              <w:rPr>
                <w:rStyle w:val="Text117"/>
              </w:rPr>
              <w:t/>
            </w:r>
            <w:r>
              <w:t xml:space="preserve">Table 5-4. </w:t>
              <w:t>Abstract base class aliases</w:t>
            </w:r>
            <w:bookmarkEnd w:id="1673"/>
          </w:p>
          <w:p>
            <w:pPr>
              <w:pStyle w:val="Para 013"/>
            </w:pPr>
            <w:r>
              <w:t>Type</w:t>
            </w:r>
          </w:p>
        </w:tc>
        <w:tc>
          <w:tcPr>
            <w:tcW w:type="auto" w:w="0"/>
            <w:tcMar>
              <w:left w:type="dxa" w:w="200"/>
              <w:top w:type="dxa" w:w="200"/>
              <w:right w:type="dxa" w:w="200"/>
              <w:bottom w:type="dxa" w:w="200"/>
            </w:tcMar>
            <w:vAlign w:val="center"/>
          </w:tcPr>
          <w:p>
            <w:pPr>
              <w:pStyle w:val="Para 013"/>
            </w:pPr>
            <w:r>
              <w:t>Method subclasses must implement</w:t>
            </w:r>
          </w:p>
        </w:tc>
      </w:tr>
    </w:tbl>
    <w:tbl>
      <w:tblPr>
        <w:tblW w:type="auto" w:w="0"/>
      </w:tblPr>
      <w:tr>
        <w:tc>
          <w:tcPr>
            <w:tcW w:type="auto" w:w="0"/>
            <w:tcMar>
              <w:left w:type="dxa" w:w="200"/>
              <w:top w:type="dxa" w:w="200"/>
              <w:right w:type="dxa" w:w="200"/>
              <w:bottom w:type="dxa" w:w="200"/>
            </w:tcMar>
          </w:tcPr>
          <w:p>
            <w:pPr>
              <w:pStyle w:val="Para 001"/>
            </w:pPr>
            <w:r>
              <w:t>Hashable</w:t>
            </w:r>
          </w:p>
        </w:tc>
        <w:tc>
          <w:tcPr>
            <w:tcW w:type="auto" w:w="0"/>
            <w:tcMar>
              <w:left w:type="dxa" w:w="200"/>
              <w:top w:type="dxa" w:w="200"/>
              <w:right w:type="dxa" w:w="200"/>
              <w:bottom w:type="dxa" w:w="200"/>
            </w:tcMar>
          </w:tcPr>
          <w:p>
            <w:pPr>
              <w:pStyle w:val="Para 001"/>
            </w:pPr>
            <w:r>
              <w:t>__hash__</w:t>
            </w:r>
          </w:p>
        </w:tc>
      </w:tr>
    </w:tbl>
    <w:tbl>
      <w:tblPr>
        <w:tblW w:type="auto" w:w="0"/>
      </w:tblPr>
      <w:tr>
        <w:tc>
          <w:tcPr>
            <w:tcW w:type="auto" w:w="0"/>
            <w:shd w:val="clear" w:color="auto" w:fill="EEF2F6"/>
            <w:tcMar>
              <w:left w:type="dxa" w:w="200"/>
              <w:top w:type="dxa" w:w="200"/>
              <w:right w:type="dxa" w:w="200"/>
              <w:bottom w:type="dxa" w:w="200"/>
            </w:tcMar>
          </w:tcPr>
          <w:p>
            <w:pPr>
              <w:pStyle w:val="Para 001"/>
            </w:pPr>
            <w:r>
              <w:t>Sized</w:t>
            </w:r>
          </w:p>
        </w:tc>
        <w:tc>
          <w:tcPr>
            <w:tcW w:type="auto" w:w="0"/>
            <w:shd w:val="clear" w:color="auto" w:fill="EEF2F6"/>
            <w:tcMar>
              <w:left w:type="dxa" w:w="200"/>
              <w:top w:type="dxa" w:w="200"/>
              <w:right w:type="dxa" w:w="200"/>
              <w:bottom w:type="dxa" w:w="200"/>
            </w:tcMar>
          </w:tcPr>
          <w:p>
            <w:pPr>
              <w:pStyle w:val="Para 001"/>
            </w:pPr>
            <w:r>
              <w:t>__len__</w:t>
            </w:r>
          </w:p>
        </w:tc>
      </w:tr>
    </w:tbl>
    <w:p>
      <w:pPr>
        <w:pStyle w:val="Normal"/>
      </w:pPr>
      <w:r>
        <w:rPr>
          <w:rStyle w:val="Text34"/>
        </w:rPr>
        <w:t>-3.9</w:t>
      </w:r>
      <w:r>
        <w:t xml:space="preserve"> Prior to Python 3.9, the following definitions in the </w:t>
      </w:r>
      <w:r>
        <w:rPr>
          <w:rStyle w:val="Text0"/>
        </w:rPr>
        <w:t>typing</w:t>
      </w:r>
      <w:r>
        <w:t xml:space="preserve"> module represented abstract base classes defined in the </w:t>
      </w:r>
      <w:r>
        <w:rPr>
          <w:rStyle w:val="Text0"/>
        </w:rPr>
        <w:t>collections.abc</w:t>
      </w:r>
      <w:r>
        <w:t xml:space="preserve"> module, such as </w:t>
      </w:r>
      <w:r>
        <w:rPr>
          <w:rStyle w:val="Text0"/>
        </w:rPr>
        <w:t>Sequence[int]</w:t>
      </w:r>
      <w:r>
        <w:t xml:space="preserve"> for a sequence of </w:t>
      </w:r>
      <w:r>
        <w:rPr>
          <w:rStyle w:val="Text0"/>
        </w:rPr>
        <w:t>int</w:t>
      </w:r>
      <w:r>
        <w:t xml:space="preserve">s. From 3.9 onward, these names in the </w:t>
      </w:r>
      <w:r>
        <w:rPr>
          <w:rStyle w:val="Text0"/>
        </w:rPr>
        <w:t>typing</w:t>
      </w:r>
      <w:r>
        <w:t xml:space="preserve"> module are deprecated, as their corresponding types in </w:t>
      </w:r>
      <w:r>
        <w:rPr>
          <w:rStyle w:val="Text0"/>
        </w:rPr>
        <w:t>collections.abc</w:t>
      </w:r>
      <w:r>
        <w:t xml:space="preserve"> now support the </w:t>
      </w:r>
      <w:r>
        <w:rPr>
          <w:rStyle w:val="Text0"/>
        </w:rPr>
        <w:t>[]</w:t>
      </w:r>
      <w:r>
        <w:t xml:space="preserve"> syntax:</w:t>
      </w:r>
    </w:p>
    <w:tbl>
      <w:tblPr>
        <w:tblW w:type="auto" w:w="0"/>
      </w:tblPr>
      <w:tr>
        <w:tc>
          <w:tcPr>
            <w:tcW w:type="auto" w:w="0"/>
            <w:tcMar>
              <w:left w:type="dxa" w:w="200"/>
              <w:top w:type="dxa" w:w="200"/>
              <w:right w:type="dxa" w:w="200"/>
              <w:bottom w:type="dxa" w:w="200"/>
            </w:tcMar>
          </w:tcPr>
          <w:p>
            <w:pPr>
              <w:pStyle w:val="Para 119"/>
            </w:pPr>
            <w:r>
              <w:t/>
            </w:r>
          </w:p>
          <w:p>
            <w:pPr>
              <w:pStyle w:val="Para 001"/>
            </w:pPr>
            <w:r>
              <w:t>AbstractSet</w:t>
            </w:r>
          </w:p>
        </w:tc>
        <w:tc>
          <w:tcPr>
            <w:tcW w:type="auto" w:w="0"/>
            <w:tcMar>
              <w:left w:type="dxa" w:w="200"/>
              <w:top w:type="dxa" w:w="200"/>
              <w:right w:type="dxa" w:w="200"/>
              <w:bottom w:type="dxa" w:w="200"/>
            </w:tcMar>
          </w:tcPr>
          <w:p>
            <w:pPr>
              <w:pStyle w:val="Para 001"/>
            </w:pPr>
            <w:r>
              <w:t>Container</w:t>
            </w:r>
          </w:p>
        </w:tc>
        <w:tc>
          <w:tcPr>
            <w:tcW w:type="auto" w:w="0"/>
            <w:tcMar>
              <w:left w:type="dxa" w:w="200"/>
              <w:top w:type="dxa" w:w="200"/>
              <w:right w:type="dxa" w:w="200"/>
              <w:bottom w:type="dxa" w:w="200"/>
            </w:tcMar>
          </w:tcPr>
          <w:p>
            <w:pPr>
              <w:pStyle w:val="Para 001"/>
            </w:pPr>
            <w:r>
              <w:t>Mapping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AsyncContextManager</w:t>
            </w:r>
          </w:p>
        </w:tc>
        <w:tc>
          <w:tcPr>
            <w:tcW w:type="auto" w:w="0"/>
            <w:shd w:val="clear" w:color="auto" w:fill="EEF2F6"/>
            <w:tcMar>
              <w:left w:type="dxa" w:w="200"/>
              <w:top w:type="dxa" w:w="200"/>
              <w:right w:type="dxa" w:w="200"/>
              <w:bottom w:type="dxa" w:w="200"/>
            </w:tcMar>
          </w:tcPr>
          <w:p>
            <w:pPr>
              <w:pStyle w:val="Para 001"/>
            </w:pPr>
            <w:r>
              <w:t>ContextManager</w:t>
            </w:r>
          </w:p>
        </w:tc>
        <w:tc>
          <w:tcPr>
            <w:tcW w:type="auto" w:w="0"/>
            <w:shd w:val="clear" w:color="auto" w:fill="EEF2F6"/>
            <w:tcMar>
              <w:left w:type="dxa" w:w="200"/>
              <w:top w:type="dxa" w:w="200"/>
              <w:right w:type="dxa" w:w="200"/>
              <w:bottom w:type="dxa" w:w="200"/>
            </w:tcMar>
          </w:tcPr>
          <w:p>
            <w:pPr>
              <w:pStyle w:val="Para 001"/>
            </w:pPr>
            <w:r>
              <w:t>MappingView</w:t>
            </w:r>
          </w:p>
        </w:tc>
      </w:tr>
    </w:tbl>
    <w:tbl>
      <w:tblPr>
        <w:tblW w:type="auto" w:w="0"/>
      </w:tblPr>
      <w:tr>
        <w:tc>
          <w:tcPr>
            <w:tcW w:type="auto" w:w="0"/>
            <w:tcMar>
              <w:left w:type="dxa" w:w="200"/>
              <w:top w:type="dxa" w:w="200"/>
              <w:right w:type="dxa" w:w="200"/>
              <w:bottom w:type="dxa" w:w="200"/>
            </w:tcMar>
          </w:tcPr>
          <w:p>
            <w:pPr>
              <w:pStyle w:val="Para 001"/>
            </w:pPr>
            <w:r>
              <w:t>AsyncGenerator</w:t>
            </w:r>
          </w:p>
        </w:tc>
        <w:tc>
          <w:tcPr>
            <w:tcW w:type="auto" w:w="0"/>
            <w:tcMar>
              <w:left w:type="dxa" w:w="200"/>
              <w:top w:type="dxa" w:w="200"/>
              <w:right w:type="dxa" w:w="200"/>
              <w:bottom w:type="dxa" w:w="200"/>
            </w:tcMar>
          </w:tcPr>
          <w:p>
            <w:pPr>
              <w:pStyle w:val="Para 001"/>
            </w:pPr>
            <w:r>
              <w:t>Coroutine</w:t>
            </w:r>
          </w:p>
        </w:tc>
        <w:tc>
          <w:tcPr>
            <w:tcW w:type="auto" w:w="0"/>
            <w:tcMar>
              <w:left w:type="dxa" w:w="200"/>
              <w:top w:type="dxa" w:w="200"/>
              <w:right w:type="dxa" w:w="200"/>
              <w:bottom w:type="dxa" w:w="200"/>
            </w:tcMar>
          </w:tcPr>
          <w:p>
            <w:pPr>
              <w:pStyle w:val="Para 001"/>
            </w:pPr>
            <w:r>
              <w:t>MutableMapping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AsyncIterable</w:t>
            </w:r>
          </w:p>
        </w:tc>
        <w:tc>
          <w:tcPr>
            <w:tcW w:type="auto" w:w="0"/>
            <w:shd w:val="clear" w:color="auto" w:fill="EEF2F6"/>
            <w:tcMar>
              <w:left w:type="dxa" w:w="200"/>
              <w:top w:type="dxa" w:w="200"/>
              <w:right w:type="dxa" w:w="200"/>
              <w:bottom w:type="dxa" w:w="200"/>
            </w:tcMar>
          </w:tcPr>
          <w:p>
            <w:pPr>
              <w:pStyle w:val="Para 001"/>
            </w:pPr>
            <w:r>
              <w:t>Generator</w:t>
            </w:r>
          </w:p>
        </w:tc>
        <w:tc>
          <w:tcPr>
            <w:tcW w:type="auto" w:w="0"/>
            <w:shd w:val="clear" w:color="auto" w:fill="EEF2F6"/>
            <w:tcMar>
              <w:left w:type="dxa" w:w="200"/>
              <w:top w:type="dxa" w:w="200"/>
              <w:right w:type="dxa" w:w="200"/>
              <w:bottom w:type="dxa" w:w="200"/>
            </w:tcMar>
          </w:tcPr>
          <w:p>
            <w:pPr>
              <w:pStyle w:val="Para 001"/>
            </w:pPr>
            <w:r>
              <w:t>MutableSequence</w:t>
            </w:r>
          </w:p>
        </w:tc>
      </w:tr>
    </w:tbl>
    <w:tbl>
      <w:tblPr>
        <w:tblW w:type="auto" w:w="0"/>
      </w:tblPr>
      <w:tr>
        <w:tc>
          <w:tcPr>
            <w:tcW w:type="auto" w:w="0"/>
            <w:tcMar>
              <w:left w:type="dxa" w:w="200"/>
              <w:top w:type="dxa" w:w="200"/>
              <w:right w:type="dxa" w:w="200"/>
              <w:bottom w:type="dxa" w:w="200"/>
            </w:tcMar>
          </w:tcPr>
          <w:p>
            <w:pPr>
              <w:pStyle w:val="Para 001"/>
            </w:pPr>
            <w:r>
              <w:t>AsyncIterator</w:t>
            </w:r>
          </w:p>
        </w:tc>
        <w:tc>
          <w:tcPr>
            <w:tcW w:type="auto" w:w="0"/>
            <w:tcMar>
              <w:left w:type="dxa" w:w="200"/>
              <w:top w:type="dxa" w:w="200"/>
              <w:right w:type="dxa" w:w="200"/>
              <w:bottom w:type="dxa" w:w="200"/>
            </w:tcMar>
          </w:tcPr>
          <w:p>
            <w:pPr>
              <w:pStyle w:val="Para 001"/>
            </w:pPr>
            <w:r>
              <w:t>ItemsView</w:t>
            </w:r>
          </w:p>
        </w:tc>
        <w:tc>
          <w:tcPr>
            <w:tcW w:type="auto" w:w="0"/>
            <w:tcMar>
              <w:left w:type="dxa" w:w="200"/>
              <w:top w:type="dxa" w:w="200"/>
              <w:right w:type="dxa" w:w="200"/>
              <w:bottom w:type="dxa" w:w="200"/>
            </w:tcMar>
          </w:tcPr>
          <w:p>
            <w:pPr>
              <w:pStyle w:val="Para 001"/>
            </w:pPr>
            <w:r>
              <w:t>MutableSet</w:t>
            </w:r>
          </w:p>
        </w:tc>
      </w:tr>
    </w:tbl>
    <w:tbl>
      <w:tblPr>
        <w:tblW w:type="auto" w:w="0"/>
      </w:tblPr>
      <w:tr>
        <w:tc>
          <w:tcPr>
            <w:tcW w:type="auto" w:w="0"/>
            <w:shd w:val="clear" w:color="auto" w:fill="EEF2F6"/>
            <w:tcMar>
              <w:left w:type="dxa" w:w="200"/>
              <w:top w:type="dxa" w:w="200"/>
              <w:right w:type="dxa" w:w="200"/>
              <w:bottom w:type="dxa" w:w="200"/>
            </w:tcMar>
          </w:tcPr>
          <w:p>
            <w:pPr>
              <w:pStyle w:val="Para 001"/>
            </w:pPr>
            <w:r>
              <w:t>Awaitable</w:t>
            </w:r>
          </w:p>
        </w:tc>
        <w:tc>
          <w:tcPr>
            <w:tcW w:type="auto" w:w="0"/>
            <w:shd w:val="clear" w:color="auto" w:fill="EEF2F6"/>
            <w:tcMar>
              <w:left w:type="dxa" w:w="200"/>
              <w:top w:type="dxa" w:w="200"/>
              <w:right w:type="dxa" w:w="200"/>
              <w:bottom w:type="dxa" w:w="200"/>
            </w:tcMar>
          </w:tcPr>
          <w:p>
            <w:pPr>
              <w:pStyle w:val="Para 001"/>
            </w:pPr>
            <w:r>
              <w:t>Iterable</w:t>
            </w:r>
          </w:p>
        </w:tc>
        <w:tc>
          <w:tcPr>
            <w:tcW w:type="auto" w:w="0"/>
            <w:shd w:val="clear" w:color="auto" w:fill="EEF2F6"/>
            <w:tcMar>
              <w:left w:type="dxa" w:w="200"/>
              <w:top w:type="dxa" w:w="200"/>
              <w:right w:type="dxa" w:w="200"/>
              <w:bottom w:type="dxa" w:w="200"/>
            </w:tcMar>
          </w:tcPr>
          <w:p>
            <w:pPr>
              <w:pStyle w:val="Para 001"/>
            </w:pPr>
            <w:r>
              <w:t>Reversible</w:t>
            </w:r>
          </w:p>
        </w:tc>
      </w:tr>
    </w:tbl>
    <w:tbl>
      <w:tblPr>
        <w:tblW w:type="auto" w:w="0"/>
      </w:tblPr>
      <w:tr>
        <w:tc>
          <w:tcPr>
            <w:tcW w:type="auto" w:w="0"/>
            <w:tcMar>
              <w:left w:type="dxa" w:w="200"/>
              <w:top w:type="dxa" w:w="200"/>
              <w:right w:type="dxa" w:w="200"/>
              <w:bottom w:type="dxa" w:w="200"/>
            </w:tcMar>
          </w:tcPr>
          <w:p>
            <w:pPr>
              <w:pStyle w:val="Para 001"/>
            </w:pPr>
            <w:r>
              <w:t>ByteString</w:t>
            </w:r>
          </w:p>
        </w:tc>
        <w:tc>
          <w:tcPr>
            <w:tcW w:type="auto" w:w="0"/>
            <w:tcMar>
              <w:left w:type="dxa" w:w="200"/>
              <w:top w:type="dxa" w:w="200"/>
              <w:right w:type="dxa" w:w="200"/>
              <w:bottom w:type="dxa" w:w="200"/>
            </w:tcMar>
          </w:tcPr>
          <w:p>
            <w:pPr>
              <w:pStyle w:val="Para 001"/>
            </w:pPr>
            <w:r>
              <w:t>Iterator</w:t>
            </w:r>
          </w:p>
        </w:tc>
        <w:tc>
          <w:tcPr>
            <w:tcW w:type="auto" w:w="0"/>
            <w:tcMar>
              <w:left w:type="dxa" w:w="200"/>
              <w:top w:type="dxa" w:w="200"/>
              <w:right w:type="dxa" w:w="200"/>
              <w:bottom w:type="dxa" w:w="200"/>
            </w:tcMar>
          </w:tcPr>
          <w:p>
            <w:pPr>
              <w:pStyle w:val="Para 001"/>
            </w:pPr>
            <w:r>
              <w:t>Sequence</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Collection</w:t>
            </w:r>
          </w:p>
        </w:tc>
        <w:tc>
          <w:tcPr>
            <w:tcW w:type="auto" w:w="0"/>
            <w:shd w:val="clear" w:color="auto" w:fill="EEF2F6"/>
            <w:tcMar>
              <w:left w:type="dxa" w:w="200"/>
              <w:top w:type="dxa" w:w="200"/>
              <w:right w:type="dxa" w:w="200"/>
              <w:bottom w:type="dxa" w:w="200"/>
            </w:tcMar>
          </w:tcPr>
          <w:p>
            <w:pPr>
              <w:pStyle w:val="Para 001"/>
            </w:pPr>
            <w:r>
              <w:t>KeysView</w:t>
            </w:r>
          </w:p>
        </w:tc>
        <w:tc>
          <w:tcPr>
            <w:tcW w:type="auto" w:w="0"/>
            <w:shd w:val="clear" w:color="auto" w:fill="EEF2F6"/>
            <w:tcMar>
              <w:left w:type="dxa" w:w="200"/>
              <w:top w:type="dxa" w:w="200"/>
              <w:right w:type="dxa" w:w="200"/>
              <w:bottom w:type="dxa" w:w="200"/>
            </w:tcMar>
          </w:tcPr>
          <w:p>
            <w:pPr>
              <w:pStyle w:val="Para 001"/>
            </w:pPr>
            <w:r>
              <w:t>ValuesView</w:t>
            </w:r>
          </w:p>
        </w:tc>
      </w:tr>
    </w:tbl>
    <w:p>
      <w:bookmarkStart w:id="1674" w:name="Protocols__The_typing_module_def"/>
      <w:pPr>
        <w:keepNext/>
        <w:pStyle w:val="Heading 2"/>
      </w:pPr>
      <w:r>
        <w:t>Protocols</w:t>
      </w:r>
      <w:bookmarkEnd w:id="1674"/>
    </w:p>
    <w:p>
      <w:pPr>
        <w:pStyle w:val="Normal"/>
      </w:pPr>
      <w:r>
        <w:t>The</w:t>
      </w:r>
      <w:r>
        <w:rPr>
          <w:rStyle w:val="Text111"/>
        </w:rPr>
        <w:bookmarkStart w:id="1675" w:name="idm45965268384544"/>
        <w:t/>
        <w:bookmarkEnd w:id="1675"/>
      </w:r>
      <w:r>
        <w:t xml:space="preserve"> </w:t>
      </w:r>
      <w:r>
        <w:rPr>
          <w:rStyle w:val="Text0"/>
        </w:rPr>
        <w:t>typing</w:t>
      </w:r>
      <w:r>
        <w:t xml:space="preserve"> module defines several </w:t>
      </w:r>
      <w:r>
        <w:rPr>
          <w:rStyle w:val="Text4"/>
        </w:rPr>
        <w:t>protocols</w:t>
      </w:r>
      <w:r>
        <w:t xml:space="preserve">, which are similar to what some other languages call “interfaces.” Protocols are abstract base classes intended to concisely express constraints on a type, ensuring it contains certain methods. Each protocol currently defined in the </w:t>
      </w:r>
      <w:r>
        <w:rPr>
          <w:rStyle w:val="Text0"/>
        </w:rPr>
        <w:t>typing</w:t>
      </w:r>
      <w:r>
        <w:t xml:space="preserve"> module relates to a single special method, and its name starts with </w:t>
      </w:r>
      <w:r>
        <w:rPr>
          <w:rStyle w:val="Text0"/>
        </w:rPr>
        <w:t>Supports</w:t>
      </w:r>
      <w:r>
        <w:t xml:space="preserve"> followed by the name of the method (however, other libraries, such as those defined in </w:t>
      </w:r>
      <w:hyperlink r:id="rId257">
        <w:r>
          <w:rPr>
            <w:rStyle w:val="Text30"/>
          </w:rPr>
          <w:t>typeshed</w:t>
        </w:r>
      </w:hyperlink>
      <w:r>
        <w:t>, need not follow the same constraints). Protocols can be used as minimal abstract classes to determine a class’s support for that protocol’s capabilities: all that a class needs to do to comply with a protocol is to implement the protocol’s special method(s).</w:t>
      </w:r>
    </w:p>
    <w:p>
      <w:pPr>
        <w:pStyle w:val="Normal"/>
      </w:pPr>
      <w:hyperlink w:anchor="Table_5_5__Protocols_in_the_typi">
        <w:r>
          <w:rPr>
            <w:rStyle w:val="Text1"/>
          </w:rPr>
          <w:t>Table 5-5</w:t>
        </w:r>
      </w:hyperlink>
      <w:r>
        <w:t xml:space="preserve"> lists the protocols defined in the </w:t>
      </w:r>
      <w:r>
        <w:rPr>
          <w:rStyle w:val="Text0"/>
        </w:rPr>
        <w:t>typing</w:t>
      </w:r>
      <w:r>
        <w:t xml:space="preserve"> module.</w:t>
      </w:r>
    </w:p>
    <w:tbl>
      <w:tblPr>
        <w:tblW w:type="auto" w:w="0"/>
      </w:tblPr>
      <w:tr>
        <w:tc>
          <w:tcPr>
            <w:tcW w:type="auto" w:w="0"/>
            <w:tcMar>
              <w:left w:type="dxa" w:w="200"/>
              <w:top w:type="dxa" w:w="200"/>
              <w:right w:type="dxa" w:w="200"/>
              <w:bottom w:type="dxa" w:w="200"/>
            </w:tcMar>
            <w:vAlign w:val="center"/>
          </w:tcPr>
          <w:p>
            <w:bookmarkStart w:id="1676" w:name="Table_5_5__Protocols_in_the_typi"/>
            <w:pPr>
              <w:pStyle w:val="Para 011"/>
            </w:pPr>
            <w:r>
              <w:rPr>
                <w:rStyle w:val="Text117"/>
              </w:rPr>
              <w:t/>
            </w:r>
            <w:r>
              <w:t xml:space="preserve">Table 5-5. </w:t>
              <w:t xml:space="preserve">Protocols in the </w:t>
            </w:r>
            <w:r>
              <w:rPr>
                <w:rStyle w:val="Text0"/>
              </w:rPr>
              <w:t>typing</w:t>
            </w:r>
            <w:r>
              <w:t xml:space="preserve"> module and their required methods</w:t>
            </w:r>
            <w:bookmarkEnd w:id="1676"/>
          </w:p>
          <w:p>
            <w:pPr>
              <w:pStyle w:val="Para 013"/>
            </w:pPr>
            <w:r>
              <w:t>Protocol</w:t>
            </w:r>
          </w:p>
        </w:tc>
        <w:tc>
          <w:tcPr>
            <w:tcW w:type="auto" w:w="0"/>
            <w:tcMar>
              <w:left w:type="dxa" w:w="200"/>
              <w:top w:type="dxa" w:w="200"/>
              <w:right w:type="dxa" w:w="200"/>
              <w:bottom w:type="dxa" w:w="200"/>
            </w:tcMar>
            <w:vAlign w:val="center"/>
          </w:tcPr>
          <w:p>
            <w:pPr>
              <w:pStyle w:val="Para 013"/>
            </w:pPr>
            <w:r>
              <w:t>Has method</w:t>
            </w:r>
          </w:p>
        </w:tc>
      </w:tr>
    </w:tbl>
    <w:tbl>
      <w:tblPr>
        <w:tblW w:type="auto" w:w="0"/>
      </w:tblPr>
      <w:tr>
        <w:tc>
          <w:tcPr>
            <w:tcW w:type="auto" w:w="0"/>
            <w:tcMar>
              <w:left w:type="dxa" w:w="200"/>
              <w:top w:type="dxa" w:w="200"/>
              <w:right w:type="dxa" w:w="200"/>
              <w:bottom w:type="dxa" w:w="200"/>
            </w:tcMar>
          </w:tcPr>
          <w:p>
            <w:pPr>
              <w:pStyle w:val="Para 001"/>
            </w:pPr>
            <w:r>
              <w:t>SupportsAbs</w:t>
            </w:r>
            <w:r>
              <w:rPr>
                <w:rStyle w:val="Text115"/>
              </w:rPr>
              <w:bookmarkStart w:id="1677" w:name="idm45965268371728"/>
              <w:t/>
              <w:bookmarkEnd w:id="1677"/>
            </w:r>
          </w:p>
        </w:tc>
        <w:tc>
          <w:tcPr>
            <w:tcW w:type="auto" w:w="0"/>
            <w:tcMar>
              <w:left w:type="dxa" w:w="200"/>
              <w:top w:type="dxa" w:w="200"/>
              <w:right w:type="dxa" w:w="200"/>
              <w:bottom w:type="dxa" w:w="200"/>
            </w:tcMar>
          </w:tcPr>
          <w:p>
            <w:pPr>
              <w:pStyle w:val="Para 001"/>
            </w:pPr>
            <w:r>
              <w:t>__abs__</w:t>
            </w:r>
          </w:p>
        </w:tc>
      </w:tr>
    </w:tbl>
    <w:tbl>
      <w:tblPr>
        <w:tblW w:type="auto" w:w="0"/>
      </w:tblPr>
      <w:tr>
        <w:tc>
          <w:tcPr>
            <w:tcW w:type="auto" w:w="0"/>
            <w:shd w:val="clear" w:color="auto" w:fill="EEF2F6"/>
            <w:tcMar>
              <w:left w:type="dxa" w:w="200"/>
              <w:top w:type="dxa" w:w="200"/>
              <w:right w:type="dxa" w:w="200"/>
              <w:bottom w:type="dxa" w:w="200"/>
            </w:tcMar>
          </w:tcPr>
          <w:p>
            <w:pPr>
              <w:pStyle w:val="Para 001"/>
            </w:pPr>
            <w:r>
              <w:t>SupportsBytes</w:t>
            </w:r>
          </w:p>
        </w:tc>
        <w:tc>
          <w:tcPr>
            <w:tcW w:type="auto" w:w="0"/>
            <w:shd w:val="clear" w:color="auto" w:fill="EEF2F6"/>
            <w:tcMar>
              <w:left w:type="dxa" w:w="200"/>
              <w:top w:type="dxa" w:w="200"/>
              <w:right w:type="dxa" w:w="200"/>
              <w:bottom w:type="dxa" w:w="200"/>
            </w:tcMar>
          </w:tcPr>
          <w:p>
            <w:pPr>
              <w:pStyle w:val="Para 001"/>
            </w:pPr>
            <w:r>
              <w:t>__bytes__</w:t>
            </w:r>
          </w:p>
        </w:tc>
      </w:tr>
    </w:tbl>
    <w:tbl>
      <w:tblPr>
        <w:tblW w:type="auto" w:w="0"/>
      </w:tblPr>
      <w:tr>
        <w:tc>
          <w:tcPr>
            <w:tcW w:type="auto" w:w="0"/>
            <w:tcMar>
              <w:left w:type="dxa" w:w="200"/>
              <w:top w:type="dxa" w:w="200"/>
              <w:right w:type="dxa" w:w="200"/>
              <w:bottom w:type="dxa" w:w="200"/>
            </w:tcMar>
          </w:tcPr>
          <w:p>
            <w:pPr>
              <w:pStyle w:val="Para 001"/>
            </w:pPr>
            <w:r>
              <w:t>SupportsComplex</w:t>
            </w:r>
          </w:p>
        </w:tc>
        <w:tc>
          <w:tcPr>
            <w:tcW w:type="auto" w:w="0"/>
            <w:tcMar>
              <w:left w:type="dxa" w:w="200"/>
              <w:top w:type="dxa" w:w="200"/>
              <w:right w:type="dxa" w:w="200"/>
              <w:bottom w:type="dxa" w:w="200"/>
            </w:tcMar>
          </w:tcPr>
          <w:p>
            <w:pPr>
              <w:pStyle w:val="Para 001"/>
            </w:pPr>
            <w:r>
              <w:t>__complex__</w:t>
            </w:r>
          </w:p>
        </w:tc>
      </w:tr>
    </w:tbl>
    <w:tbl>
      <w:tblPr>
        <w:tblW w:type="auto" w:w="0"/>
      </w:tblPr>
      <w:tr>
        <w:tc>
          <w:tcPr>
            <w:tcW w:type="auto" w:w="0"/>
            <w:shd w:val="clear" w:color="auto" w:fill="EEF2F6"/>
            <w:tcMar>
              <w:left w:type="dxa" w:w="200"/>
              <w:top w:type="dxa" w:w="200"/>
              <w:right w:type="dxa" w:w="200"/>
              <w:bottom w:type="dxa" w:w="200"/>
            </w:tcMar>
          </w:tcPr>
          <w:p>
            <w:pPr>
              <w:pStyle w:val="Para 001"/>
            </w:pPr>
            <w:r>
              <w:t>SupportsFloat</w:t>
            </w:r>
          </w:p>
        </w:tc>
        <w:tc>
          <w:tcPr>
            <w:tcW w:type="auto" w:w="0"/>
            <w:shd w:val="clear" w:color="auto" w:fill="EEF2F6"/>
            <w:tcMar>
              <w:left w:type="dxa" w:w="200"/>
              <w:top w:type="dxa" w:w="200"/>
              <w:right w:type="dxa" w:w="200"/>
              <w:bottom w:type="dxa" w:w="200"/>
            </w:tcMar>
          </w:tcPr>
          <w:p>
            <w:pPr>
              <w:pStyle w:val="Para 001"/>
            </w:pPr>
            <w:r>
              <w:t>__float__</w:t>
            </w:r>
          </w:p>
        </w:tc>
      </w:tr>
    </w:tbl>
    <w:tbl>
      <w:tblPr>
        <w:tblW w:type="auto" w:w="0"/>
      </w:tblPr>
      <w:tr>
        <w:tc>
          <w:tcPr>
            <w:tcW w:type="auto" w:w="0"/>
            <w:tcMar>
              <w:left w:type="dxa" w:w="200"/>
              <w:top w:type="dxa" w:w="200"/>
              <w:right w:type="dxa" w:w="200"/>
              <w:bottom w:type="dxa" w:w="200"/>
            </w:tcMar>
          </w:tcPr>
          <w:p>
            <w:pPr>
              <w:pStyle w:val="Para 001"/>
            </w:pPr>
            <w:r>
              <w:t>SupportsIndex</w:t>
            </w:r>
            <w:r>
              <w:rPr>
                <w:rStyle w:val="Text12"/>
              </w:rPr>
              <w:t xml:space="preserve"> </w:t>
            </w:r>
            <w:r>
              <w:rPr>
                <w:rStyle w:val="Text34"/>
              </w:rPr>
              <w:t>3.8+</w:t>
            </w:r>
          </w:p>
        </w:tc>
        <w:tc>
          <w:tcPr>
            <w:tcW w:type="auto" w:w="0"/>
            <w:tcMar>
              <w:left w:type="dxa" w:w="200"/>
              <w:top w:type="dxa" w:w="200"/>
              <w:right w:type="dxa" w:w="200"/>
              <w:bottom w:type="dxa" w:w="200"/>
            </w:tcMar>
          </w:tcPr>
          <w:p>
            <w:pPr>
              <w:pStyle w:val="Para 001"/>
            </w:pPr>
            <w:r>
              <w:t>__index__</w:t>
            </w:r>
          </w:p>
        </w:tc>
      </w:tr>
    </w:tbl>
    <w:tbl>
      <w:tblPr>
        <w:tblW w:type="auto" w:w="0"/>
      </w:tblPr>
      <w:tr>
        <w:tc>
          <w:tcPr>
            <w:tcW w:type="auto" w:w="0"/>
            <w:shd w:val="clear" w:color="auto" w:fill="EEF2F6"/>
            <w:tcMar>
              <w:left w:type="dxa" w:w="200"/>
              <w:top w:type="dxa" w:w="200"/>
              <w:right w:type="dxa" w:w="200"/>
              <w:bottom w:type="dxa" w:w="200"/>
            </w:tcMar>
          </w:tcPr>
          <w:p>
            <w:pPr>
              <w:pStyle w:val="Para 001"/>
            </w:pPr>
            <w:r>
              <w:t>SupportsInt</w:t>
            </w:r>
          </w:p>
        </w:tc>
        <w:tc>
          <w:tcPr>
            <w:tcW w:type="auto" w:w="0"/>
            <w:shd w:val="clear" w:color="auto" w:fill="EEF2F6"/>
            <w:tcMar>
              <w:left w:type="dxa" w:w="200"/>
              <w:top w:type="dxa" w:w="200"/>
              <w:right w:type="dxa" w:w="200"/>
              <w:bottom w:type="dxa" w:w="200"/>
            </w:tcMar>
          </w:tcPr>
          <w:p>
            <w:pPr>
              <w:pStyle w:val="Para 001"/>
            </w:pPr>
            <w:r>
              <w:t>__int__</w:t>
            </w:r>
          </w:p>
        </w:tc>
      </w:tr>
    </w:tbl>
    <w:tbl>
      <w:tblPr>
        <w:tblW w:type="auto" w:w="0"/>
      </w:tblPr>
      <w:tr>
        <w:tc>
          <w:tcPr>
            <w:tcW w:type="auto" w:w="0"/>
            <w:tcMar>
              <w:left w:type="dxa" w:w="200"/>
              <w:top w:type="dxa" w:w="200"/>
              <w:right w:type="dxa" w:w="200"/>
              <w:bottom w:type="dxa" w:w="200"/>
            </w:tcMar>
          </w:tcPr>
          <w:p>
            <w:pPr>
              <w:pStyle w:val="Para 001"/>
            </w:pPr>
            <w:r>
              <w:t>SupportsRound</w:t>
            </w:r>
          </w:p>
        </w:tc>
        <w:tc>
          <w:tcPr>
            <w:tcW w:type="auto" w:w="0"/>
            <w:tcMar>
              <w:left w:type="dxa" w:w="200"/>
              <w:top w:type="dxa" w:w="200"/>
              <w:right w:type="dxa" w:w="200"/>
              <w:bottom w:type="dxa" w:w="200"/>
            </w:tcMar>
          </w:tcPr>
          <w:p>
            <w:pPr>
              <w:pStyle w:val="Para 001"/>
            </w:pPr>
            <w:r>
              <w:t>__round__</w:t>
            </w:r>
          </w:p>
        </w:tc>
      </w:tr>
    </w:tbl>
    <w:p>
      <w:pPr>
        <w:pStyle w:val="Normal"/>
      </w:pPr>
      <w:r>
        <w:t xml:space="preserve">A class does not have to explicitly inherit from a protocol in order to satisfy </w:t>
      </w:r>
      <w:r>
        <w:rPr>
          <w:rStyle w:val="Text0"/>
        </w:rPr>
        <w:t>issubclass(</w:t>
      </w:r>
      <w:r>
        <w:rPr>
          <w:rStyle w:val="Text3"/>
        </w:rPr>
        <w:t>cls</w:t>
      </w:r>
      <w:r>
        <w:rPr>
          <w:rStyle w:val="Text0"/>
        </w:rPr>
        <w:t>,</w:t>
      </w:r>
      <w:r>
        <w:t xml:space="preserve"> </w:t>
      </w:r>
      <w:r>
        <w:rPr>
          <w:rStyle w:val="Text3"/>
        </w:rPr>
        <w:t>protocol_type</w:t>
      </w:r>
      <w:r>
        <w:rPr>
          <w:rStyle w:val="Text0"/>
        </w:rPr>
        <w:t>)</w:t>
      </w:r>
      <w:r>
        <w:t xml:space="preserve">, or for its instances to satisfy </w:t>
      </w:r>
      <w:r>
        <w:rPr>
          <w:rStyle w:val="Text0"/>
        </w:rPr>
        <w:t>isinstance(</w:t>
      </w:r>
      <w:r>
        <w:rPr>
          <w:rStyle w:val="Text3"/>
        </w:rPr>
        <w:t>obj</w:t>
      </w:r>
      <w:r>
        <w:rPr>
          <w:rStyle w:val="Text0"/>
        </w:rPr>
        <w:t>,</w:t>
      </w:r>
      <w:r>
        <w:t xml:space="preserve"> </w:t>
      </w:r>
      <w:r>
        <w:rPr>
          <w:rStyle w:val="Text3"/>
        </w:rPr>
        <w:t>protocol_type</w:t>
      </w:r>
      <w:r>
        <w:rPr>
          <w:rStyle w:val="Text0"/>
        </w:rPr>
        <w:t>)</w:t>
      </w:r>
      <w:r>
        <w:t>. The class simply has to implement the method(s) defined in the protocol. Imagine, for example, a class implementing Roman numerals:</w:t>
      </w:r>
    </w:p>
    <w:p>
      <w:pPr>
        <w:pStyle w:val="Para 043"/>
      </w:pPr>
      <w:r>
        <w:rPr>
          <w:rStyle w:val="Text116"/>
        </w:rPr>
        <w:t xml:space="preserve"/>
        <w:br w:clear="none"/>
      </w:r>
      <w:r>
        <w:rPr>
          <w:rStyle w:val="Text22"/>
        </w:rPr>
        <w:t xml:space="preserve">class</w:t>
        <w:br w:clear="none"/>
      </w:r>
      <w:r>
        <w:rPr>
          <w:rStyle w:val="Text11"/>
        </w:rPr>
        <w:t xml:space="preserve"> </w:t>
        <w:br w:clear="none"/>
      </w:r>
      <w:r>
        <w:rPr>
          <w:rStyle w:val="Text45"/>
        </w:rPr>
        <w:t xml:space="preserve">RomanNumeral</w:t>
        <w:br w:clear="none"/>
      </w:r>
      <w:r>
        <w:rPr>
          <w:rStyle w:val="Text19"/>
        </w:rPr>
        <w:t xml:space="preserve">:</w:t>
        <w:br w:clear="none"/>
      </w:r>
      <w:r>
        <w:rPr>
          <w:rStyle w:val="Text11"/>
        </w:rPr>
        <w:t xml:space="preserve"/>
        <w:br w:clear="none"/>
        <w:t xml:space="preserve">    </w:t>
        <w:br w:clear="none"/>
      </w:r>
      <w:r>
        <w:t xml:space="preserve">"""Class representing some Roman numerals and their int</w:t>
        <w:br w:clear="none"/>
      </w:r>
      <w:r>
        <w:rPr>
          <w:rStyle w:val="Text4"/>
        </w:rPr>
        <w:t xml:space="preserve"> </w:t>
        <w:br w:clear="none"/>
      </w:r>
      <w:r>
        <w:t xml:space="preserve">       values.</w:t>
        <w:br w:clear="none"/>
      </w:r>
      <w:r>
        <w:rPr>
          <w:rStyle w:val="Text4"/>
        </w:rPr>
        <w:t xml:space="preserve"/>
        <w:br w:clear="none"/>
      </w:r>
      <w:r>
        <w:t xml:space="preserve">    """</w:t>
        <w:br w:clear="none"/>
      </w:r>
      <w:r>
        <w:rPr>
          <w:rStyle w:val="Text11"/>
        </w:rPr>
        <w:t xml:space="preserve"/>
        <w:br w:clear="none"/>
        <w:t xml:space="preserve">    </w:t>
        <w:br w:clear="none"/>
      </w:r>
      <w:r>
        <w:rPr>
          <w:rStyle w:val="Text14"/>
        </w:rPr>
        <w:t xml:space="preserve">int_values</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4"/>
        </w:rPr>
        <w:t xml:space="preserve">'</w:t>
        <w:br w:clear="none"/>
        <w:t xml:space="preserve">I</w:t>
        <w:br w:clear="none"/>
        <w:t xml:space="preserve">'</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4"/>
        </w:rPr>
        <w:t xml:space="preserve">'</w:t>
        <w:br w:clear="none"/>
        <w:t xml:space="preserve">II</w:t>
        <w:br w:clear="none"/>
        <w:t xml:space="preserve">'</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4"/>
        </w:rPr>
        <w:t xml:space="preserve">'</w:t>
        <w:br w:clear="none"/>
        <w:t xml:space="preserve">III</w:t>
        <w:br w:clear="none"/>
        <w:t xml:space="preserve">'</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t>
        <w:br w:clear="none"/>
      </w:r>
      <w:r>
        <w:rPr>
          <w:rStyle w:val="Text4"/>
        </w:rPr>
        <w:t xml:space="preserve">'</w:t>
        <w:br w:clear="none"/>
        <w:t xml:space="preserve">IV</w:t>
        <w:br w:clear="none"/>
        <w:t xml:space="preserve">'</w:t>
        <w:br w:clear="none"/>
      </w:r>
      <w:r>
        <w:rPr>
          <w:rStyle w:val="Text19"/>
        </w:rPr>
        <w:t xml:space="preserve">:</w:t>
        <w:br w:clear="none"/>
      </w:r>
      <w:r>
        <w:rPr>
          <w:rStyle w:val="Text11"/>
        </w:rPr>
        <w:t xml:space="preserve"> </w:t>
        <w:br w:clear="none"/>
      </w:r>
      <w:r>
        <w:rPr>
          <w:rStyle w:val="Text35"/>
        </w:rPr>
        <w:t xml:space="preserve">4</w:t>
        <w:br w:clear="none"/>
      </w:r>
      <w:r>
        <w:rPr>
          <w:rStyle w:val="Text19"/>
        </w:rPr>
        <w:t xml:space="preserve">,</w:t>
        <w:br w:clear="none"/>
      </w:r>
      <w:r>
        <w:rPr>
          <w:rStyle w:val="Text11"/>
        </w:rPr>
        <w:t xml:space="preserve"> </w:t>
        <w:br w:clear="none"/>
      </w:r>
      <w:r>
        <w:rPr>
          <w:rStyle w:val="Text4"/>
        </w:rPr>
        <w:t xml:space="preserve">'</w:t>
        <w:br w:clear="none"/>
        <w:t xml:space="preserve">V</w:t>
        <w:br w:clear="none"/>
        <w:t xml:space="preserve">'</w:t>
        <w:br w:clear="none"/>
      </w:r>
      <w:r>
        <w:rPr>
          <w:rStyle w:val="Text19"/>
        </w:rPr>
        <w:t xml:space="preserve">:</w:t>
        <w:br w:clear="none"/>
      </w:r>
      <w:r>
        <w:rPr>
          <w:rStyle w:val="Text11"/>
        </w:rPr>
        <w:t xml:space="preserve"> </w:t>
        <w:br w:clear="none"/>
      </w:r>
      <w:r>
        <w:rPr>
          <w:rStyle w:val="Text35"/>
        </w:rPr>
        <w:t xml:space="preserve">5</w:t>
        <w:br w:clear="none"/>
      </w:r>
      <w:r>
        <w:rPr>
          <w:rStyle w:val="Text19"/>
        </w:rPr>
        <w:t xml:space="preserve">}</w:t>
        <w:br w:clear="none"/>
      </w:r>
      <w:r>
        <w:rPr>
          <w:rStyle w:val="Text11"/>
        </w:rPr>
        <w:t xml:space="preserve"/>
        <w:br w:clear="none"/>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label</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4"/>
        </w:rPr>
        <w:t xml:space="preserve">label</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label</w:t>
        <w:br w:clear="none"/>
      </w:r>
      <w:r>
        <w:rPr>
          <w:rStyle w:val="Text11"/>
        </w:rPr>
        <w:t xml:space="preserve"/>
        <w:br w:clear="none"/>
        <w:t xml:space="preserve"/>
        <w:br w:clear="none"/>
        <w:t xml:space="preserve">    </w:t>
        <w:br w:clear="none"/>
      </w:r>
      <w:r>
        <w:rPr>
          <w:rStyle w:val="Text22"/>
        </w:rPr>
        <w:t xml:space="preserve">def</w:t>
        <w:br w:clear="none"/>
      </w:r>
      <w:r>
        <w:rPr>
          <w:rStyle w:val="Text11"/>
        </w:rPr>
        <w:t xml:space="preserve"> </w:t>
        <w:br w:clear="none"/>
        <w:t xml:space="preserve">__int__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28"/>
        </w:rPr>
        <w:t xml:space="preserve">-</w:t>
        <w:br w:clear="none"/>
        <w:t xml:space="preserve">&gt;</w:t>
        <w:br w:clear="none"/>
      </w:r>
      <w:r>
        <w:rPr>
          <w:rStyle w:val="Text11"/>
        </w:rPr>
        <w:t xml:space="preserve"> </w:t>
        <w:br w:clear="none"/>
      </w:r>
      <w:r>
        <w:rPr>
          <w:rStyle w:val="Text21"/>
        </w:rPr>
        <w:t xml:space="preserve">int</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RomanNumeral</w:t>
        <w:br w:clear="none"/>
      </w:r>
      <w:r>
        <w:rPr>
          <w:rStyle w:val="Text28"/>
        </w:rPr>
        <w:t xml:space="preserve">.</w:t>
        <w:br w:clear="none"/>
      </w:r>
      <w:r>
        <w:rPr>
          <w:rStyle w:val="Text14"/>
        </w:rPr>
        <w:t xml:space="preserve">int_values</w:t>
        <w:br w:clear="none"/>
      </w:r>
      <w:r>
        <w:rPr>
          <w:rStyle w:val="Text19"/>
        </w:rPr>
        <w:t xml:space="preserve">[</w:t>
        <w:br w:clear="none"/>
      </w:r>
      <w:r>
        <w:rPr>
          <w:rStyle w:val="Text21"/>
        </w:rPr>
        <w:t xml:space="preserve">self</w:t>
        <w:br w:clear="none"/>
      </w:r>
      <w:r>
        <w:rPr>
          <w:rStyle w:val="Text28"/>
        </w:rPr>
        <w:t xml:space="preserve">.</w:t>
        <w:br w:clear="none"/>
      </w:r>
      <w:r>
        <w:rPr>
          <w:rStyle w:val="Text14"/>
        </w:rPr>
        <w:t xml:space="preserve">label</w:t>
        <w:br w:clear="none"/>
      </w:r>
      <w:r>
        <w:rPr>
          <w:rStyle w:val="Text19"/>
        </w:rPr>
        <w:t xml:space="preserve">]</w:t>
        <w:br w:clear="none"/>
      </w:r>
    </w:p>
    <w:p>
      <w:pPr>
        <w:pStyle w:val="Normal"/>
      </w:pPr>
      <w:r>
        <w:t>To create an instance of this class (to, say, represent a sequel in a movie title) and get its value, you could use the following code: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movie_sequel</w:t>
        <w:br w:clear="none"/>
      </w:r>
      <w:r>
        <w:rPr>
          <w:rStyle w:val="Text23"/>
        </w:rPr>
        <w:t xml:space="preserve"> </w:t>
        <w:br w:clear="none"/>
      </w:r>
      <w:r>
        <w:rPr>
          <w:rStyle w:val="Text13"/>
        </w:rPr>
        <w:t xml:space="preserve">=</w:t>
        <w:br w:clear="none"/>
      </w:r>
      <w:r>
        <w:rPr>
          <w:rStyle w:val="Text23"/>
        </w:rPr>
        <w:t xml:space="preserve"> </w:t>
        <w:br w:clear="none"/>
      </w:r>
      <w:r>
        <w:t xml:space="preserve">RomanNumeral</w:t>
        <w:br w:clear="none"/>
      </w:r>
      <w:r>
        <w:rPr>
          <w:rStyle w:val="Text7"/>
        </w:rPr>
        <w:t xml:space="preserve">(</w:t>
        <w:br w:clear="none"/>
      </w:r>
      <w:r>
        <w:rPr>
          <w:rStyle w:val="Text8"/>
        </w:rPr>
        <w:t xml:space="preserve">'II'</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16"/>
        </w:rPr>
        <w:t xml:space="preserve">int</w:t>
        <w:br w:clear="none"/>
      </w:r>
      <w:r>
        <w:rPr>
          <w:rStyle w:val="Text7"/>
        </w:rPr>
        <w:t xml:space="preserve">(</w:t>
        <w:br w:clear="none"/>
      </w:r>
      <w:r>
        <w:t xml:space="preserve">movie_sequel</w:t>
        <w:br w:clear="none"/>
      </w:r>
      <w:r>
        <w:rPr>
          <w:rStyle w:val="Text7"/>
        </w:rPr>
        <w:t xml:space="preserve">))</w:t>
        <w:br w:clear="none"/>
      </w:r>
    </w:p>
    <w:p>
      <w:pPr>
        <w:pStyle w:val="Para 008"/>
      </w:pPr>
      <w:r>
        <w:rPr>
          <w:rStyle w:val="Text48"/>
        </w:rPr>
        <w:t xml:space="preserve"/>
        <w:br w:clear="none"/>
      </w:r>
      <w:r>
        <w:t xml:space="preserve">2</w:t>
        <w:br w:clear="none"/>
      </w:r>
    </w:p>
    <w:p>
      <w:pPr>
        <w:pStyle w:val="Normal"/>
      </w:pPr>
      <w:r>
        <w:rPr>
          <w:rStyle w:val="Text0"/>
        </w:rPr>
        <w:t>RomanNumeral</w:t>
      </w:r>
      <w:r>
        <w:t xml:space="preserve"> satisfies </w:t>
      </w:r>
      <w:r>
        <w:rPr>
          <w:rStyle w:val="Text0"/>
        </w:rPr>
        <w:t>issubclass</w:t>
      </w:r>
      <w:r>
        <w:t xml:space="preserve">, and </w:t>
      </w:r>
      <w:r>
        <w:rPr>
          <w:rStyle w:val="Text0"/>
        </w:rPr>
        <w:t>isinstance</w:t>
      </w:r>
      <w:r>
        <w:t xml:space="preserve"> checks with </w:t>
      </w:r>
      <w:r>
        <w:rPr>
          <w:rStyle w:val="Text0"/>
        </w:rPr>
        <w:t>SupportsInt</w:t>
      </w:r>
      <w:r>
        <w:t xml:space="preserve"> because it implements </w:t>
      </w:r>
      <w:r>
        <w:rPr>
          <w:rStyle w:val="Text0"/>
        </w:rPr>
        <w:t>__int__</w:t>
      </w:r>
      <w:r>
        <w:t xml:space="preserve">, even though it does not inherit explicitly from the protocol class </w:t>
      </w:r>
      <w:r>
        <w:rPr>
          <w:rStyle w:val="Text0"/>
        </w:rPr>
        <w:t>SupportsInt</w:t>
      </w:r>
      <w:r>
        <w:t>:</w:t>
      </w:r>
      <w:hyperlink w:anchor="4_And_SupportsInt_uses_the_runti">
        <w:r>
          <w:rPr>
            <w:rStyle w:val="Text41"/>
          </w:rPr>
          <w:bookmarkStart w:id="1678" w:name="4_4"/>
          <w:t>4</w:t>
          <w:bookmarkEnd w:id="1678"/>
        </w:r>
      </w:hyperlink>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issubclass</w:t>
        <w:br w:clear="none"/>
      </w:r>
      <w:r>
        <w:rPr>
          <w:rStyle w:val="Text7"/>
        </w:rPr>
        <w:t xml:space="preserve">(</w:t>
        <w:br w:clear="none"/>
      </w:r>
      <w:r>
        <w:t xml:space="preserve">RomanNumeral</w:t>
        <w:br w:clear="none"/>
      </w:r>
      <w:r>
        <w:rPr>
          <w:rStyle w:val="Text7"/>
        </w:rPr>
        <w:t xml:space="preserve">,</w:t>
        <w:br w:clear="none"/>
      </w:r>
      <w:r>
        <w:rPr>
          <w:rStyle w:val="Text23"/>
        </w:rPr>
        <w:t xml:space="preserve"> </w:t>
        <w:br w:clear="none"/>
      </w:r>
      <w:r>
        <w:t xml:space="preserve">typing</w:t>
        <w:br w:clear="none"/>
      </w:r>
      <w:r>
        <w:rPr>
          <w:rStyle w:val="Text13"/>
        </w:rPr>
        <w:t xml:space="preserve">.</w:t>
        <w:br w:clear="none"/>
      </w:r>
      <w:r>
        <w:t xml:space="preserve">SupportsInt</w:t>
        <w:br w:clear="none"/>
      </w:r>
      <w:r>
        <w:rPr>
          <w:rStyle w:val="Text7"/>
        </w:rPr>
        <w:t xml:space="preserve">)</w:t>
        <w:br w:clear="none"/>
      </w:r>
    </w:p>
    <w:p>
      <w:pPr>
        <w:pStyle w:val="Para 008"/>
      </w:pPr>
      <w:r>
        <w:rPr>
          <w:rStyle w:val="Text48"/>
        </w:rPr>
        <w:t xml:space="preserve"/>
        <w:br w:clear="none"/>
      </w:r>
      <w:r>
        <w:t xml:space="preserve">True</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isinstance</w:t>
        <w:br w:clear="none"/>
      </w:r>
      <w:r>
        <w:rPr>
          <w:rStyle w:val="Text7"/>
        </w:rPr>
        <w:t xml:space="preserve">(</w:t>
        <w:br w:clear="none"/>
      </w:r>
      <w:r>
        <w:t xml:space="preserve">movie_sequel</w:t>
        <w:br w:clear="none"/>
      </w:r>
      <w:r>
        <w:rPr>
          <w:rStyle w:val="Text7"/>
        </w:rPr>
        <w:t xml:space="preserve">,</w:t>
        <w:br w:clear="none"/>
      </w:r>
      <w:r>
        <w:rPr>
          <w:rStyle w:val="Text23"/>
        </w:rPr>
        <w:t xml:space="preserve"> </w:t>
        <w:br w:clear="none"/>
      </w:r>
      <w:r>
        <w:t xml:space="preserve">typing</w:t>
        <w:br w:clear="none"/>
      </w:r>
      <w:r>
        <w:rPr>
          <w:rStyle w:val="Text13"/>
        </w:rPr>
        <w:t xml:space="preserve">.</w:t>
        <w:br w:clear="none"/>
      </w:r>
      <w:r>
        <w:t xml:space="preserve">SupportsInt</w:t>
        <w:br w:clear="none"/>
      </w:r>
      <w:r>
        <w:rPr>
          <w:rStyle w:val="Text7"/>
        </w:rPr>
        <w:t xml:space="preserve">)</w:t>
        <w:br w:clear="none"/>
      </w:r>
    </w:p>
    <w:p>
      <w:pPr>
        <w:pStyle w:val="Para 008"/>
      </w:pPr>
      <w:r>
        <w:rPr>
          <w:rStyle w:val="Text48"/>
        </w:rPr>
        <w:t xml:space="preserve"/>
        <w:br w:clear="none"/>
      </w:r>
      <w:r>
        <w:t xml:space="preserve">True</w:t>
        <w:br w:clear="none"/>
      </w:r>
    </w:p>
    <w:p>
      <w:bookmarkStart w:id="1679" w:name="Utilities_and_Decorators__Table"/>
      <w:pPr>
        <w:keepNext/>
        <w:pStyle w:val="Heading 2"/>
      </w:pPr>
      <w:r>
        <w:t>Utilities and Decorators</w:t>
      </w:r>
      <w:bookmarkEnd w:id="1679"/>
    </w:p>
    <w:p>
      <w:pPr>
        <w:pStyle w:val="Normal"/>
      </w:pPr>
      <w:hyperlink w:anchor="Table_5_6__Commonly_used_functio">
        <w:r>
          <w:rPr>
            <w:rStyle w:val="Text1"/>
          </w:rPr>
          <w:t>Table 5-6</w:t>
        </w:r>
      </w:hyperlink>
      <w:r>
        <w:t xml:space="preserve"> lists</w:t>
      </w:r>
      <w:r>
        <w:rPr>
          <w:rStyle w:val="Text111"/>
        </w:rPr>
        <w:bookmarkStart w:id="1680" w:name="TMutil05"/>
        <w:t/>
        <w:bookmarkEnd w:id="1680"/>
        <w:bookmarkStart w:id="1681" w:name="decor05"/>
        <w:t/>
        <w:bookmarkEnd w:id="1681"/>
      </w:r>
      <w:r>
        <w:t xml:space="preserve"> commonly used functions and decorators defined in the </w:t>
      </w:r>
      <w:r>
        <w:rPr>
          <w:rStyle w:val="Text0"/>
        </w:rPr>
        <w:t>typing</w:t>
      </w:r>
      <w:r>
        <w:t xml:space="preserve"> module; it’s followed by a few examples.</w:t>
      </w:r>
    </w:p>
    <w:tbl>
      <w:tblPr>
        <w:tblW w:type="auto" w:w="0"/>
      </w:tblPr>
      <w:tr>
        <w:tc>
          <w:tcPr>
            <w:tcW w:type="auto" w:w="0"/>
            <w:tcMar>
              <w:left w:type="dxa" w:w="200"/>
              <w:top w:type="dxa" w:w="200"/>
              <w:right w:type="dxa" w:w="200"/>
              <w:bottom w:type="dxa" w:w="200"/>
            </w:tcMar>
            <w:vAlign w:val="center"/>
          </w:tcPr>
          <w:p>
            <w:bookmarkStart w:id="1682" w:name="Table_5_6__Commonly_used_functio"/>
            <w:pPr>
              <w:pStyle w:val="Para 011"/>
            </w:pPr>
            <w:r>
              <w:rPr>
                <w:rStyle w:val="Text117"/>
              </w:rPr>
              <w:t/>
            </w:r>
            <w:r>
              <w:t xml:space="preserve">Table 5-6. </w:t>
              <w:t xml:space="preserve">Commonly used functions and decorators defined in the </w:t>
            </w:r>
            <w:r>
              <w:rPr>
                <w:rStyle w:val="Text0"/>
              </w:rPr>
              <w:t>typing</w:t>
            </w:r>
            <w:r>
              <w:t xml:space="preserve"> module</w:t>
            </w:r>
            <w:bookmarkEnd w:id="1682"/>
          </w:p>
          <w:p>
            <w:pPr>
              <w:pStyle w:val="Para 013"/>
            </w:pPr>
            <w:r>
              <w:t>Function/decorator</w:t>
            </w:r>
          </w:p>
        </w:tc>
        <w:tc>
          <w:tcPr>
            <w:tcW w:type="auto" w:w="0"/>
            <w:tcMar>
              <w:left w:type="dxa" w:w="200"/>
              <w:top w:type="dxa" w:w="200"/>
              <w:right w:type="dxa" w:w="200"/>
              <w:bottom w:type="dxa" w:w="200"/>
            </w:tcMar>
            <w:vAlign w:val="center"/>
          </w:tcPr>
          <w:p>
            <w:pPr>
              <w:pStyle w:val="Para 013"/>
            </w:pPr>
            <w:r>
              <w:t>Usage and description</w:t>
            </w:r>
          </w:p>
        </w:tc>
      </w:tr>
    </w:tbl>
    <w:tbl>
      <w:tblPr>
        <w:tblW w:type="auto" w:w="0"/>
      </w:tblPr>
      <w:tr>
        <w:tc>
          <w:tcPr>
            <w:tcW w:type="auto" w:w="0"/>
            <w:tcMar>
              <w:left w:type="dxa" w:w="200"/>
              <w:top w:type="dxa" w:w="200"/>
              <w:right w:type="dxa" w:w="200"/>
              <w:bottom w:type="dxa" w:w="200"/>
            </w:tcMar>
          </w:tcPr>
          <w:p>
            <w:pPr>
              <w:pStyle w:val="Para 001"/>
            </w:pPr>
            <w:r>
              <w:t>cast</w:t>
            </w:r>
          </w:p>
        </w:tc>
        <w:tc>
          <w:tcPr>
            <w:tcW w:type="auto" w:w="0"/>
            <w:tcMar>
              <w:left w:type="dxa" w:w="200"/>
              <w:top w:type="dxa" w:w="200"/>
              <w:right w:type="dxa" w:w="200"/>
              <w:bottom w:type="dxa" w:w="200"/>
            </w:tcMar>
          </w:tcPr>
          <w:p>
            <w:pPr>
              <w:pStyle w:val="Para 002"/>
            </w:pPr>
            <w:r>
              <w:rPr>
                <w:rStyle w:val="Text0"/>
              </w:rPr>
              <w:t>cast(</w:t>
            </w:r>
            <w:r>
              <w:rPr>
                <w:rStyle w:val="Text3"/>
              </w:rPr>
              <w:t>type</w:t>
            </w:r>
            <w:r>
              <w:rPr>
                <w:rStyle w:val="Text0"/>
              </w:rPr>
              <w:t>,</w:t>
            </w:r>
            <w:r>
              <w:t xml:space="preserve"> </w:t>
            </w:r>
            <w:r>
              <w:rPr>
                <w:rStyle w:val="Text3"/>
              </w:rPr>
              <w:t>var</w:t>
            </w:r>
            <w:r>
              <w:rPr>
                <w:rStyle w:val="Text0"/>
              </w:rPr>
              <w:t>)</w:t>
              <w:br w:clear="none"/>
            </w:r>
            <w:r>
              <w:t xml:space="preserve"> Signals</w:t>
            </w:r>
            <w:r>
              <w:rPr>
                <w:rStyle w:val="Text111"/>
              </w:rPr>
              <w:bookmarkStart w:id="1683" w:name="idm45965268109008"/>
              <w:t/>
              <w:bookmarkEnd w:id="1683"/>
            </w:r>
            <w:r>
              <w:t xml:space="preserve"> to the static type checker that </w:t>
            </w:r>
            <w:r>
              <w:rPr>
                <w:rStyle w:val="Text3"/>
              </w:rPr>
              <w:t>var</w:t>
            </w:r>
            <w:r>
              <w:t xml:space="preserve"> should be considered as type </w:t>
            </w:r>
            <w:r>
              <w:rPr>
                <w:rStyle w:val="Text3"/>
              </w:rPr>
              <w:t>type</w:t>
            </w:r>
            <w:r>
              <w:t xml:space="preserve">. Returns </w:t>
            </w:r>
            <w:r>
              <w:rPr>
                <w:rStyle w:val="Text3"/>
              </w:rPr>
              <w:t>var</w:t>
            </w:r>
            <w:r>
              <w:t xml:space="preserve">; at runtime there is no change, conversion, or validation of </w:t>
            </w:r>
            <w:r>
              <w:rPr>
                <w:rStyle w:val="Text3"/>
              </w:rPr>
              <w:t>var</w:t>
            </w:r>
            <w:r>
              <w:t>. See the example after the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final</w:t>
            </w:r>
          </w:p>
        </w:tc>
        <w:tc>
          <w:tcPr>
            <w:tcW w:type="auto" w:w="0"/>
            <w:shd w:val="clear" w:color="auto" w:fill="EEF2F6"/>
            <w:tcMar>
              <w:left w:type="dxa" w:w="200"/>
              <w:top w:type="dxa" w:w="200"/>
              <w:right w:type="dxa" w:w="200"/>
              <w:bottom w:type="dxa" w:w="200"/>
            </w:tcMar>
          </w:tcPr>
          <w:p>
            <w:pPr>
              <w:pStyle w:val="Para 002"/>
            </w:pPr>
            <w:r>
              <w:rPr>
                <w:rStyle w:val="Text0"/>
              </w:rPr>
              <w:t>@final</w:t>
              <w:br w:clear="none"/>
            </w:r>
            <w:r>
              <w:t xml:space="preserve"> </w:t>
            </w:r>
            <w:r>
              <w:rPr>
                <w:rStyle w:val="Text34"/>
              </w:rPr>
              <w:t>3.8+</w:t>
            </w:r>
            <w:r>
              <w:t xml:space="preserve"> Used</w:t>
            </w:r>
            <w:r>
              <w:rPr>
                <w:rStyle w:val="Text111"/>
              </w:rPr>
              <w:bookmarkStart w:id="1684" w:name="idm45965268101488"/>
              <w:t/>
              <w:bookmarkEnd w:id="1684"/>
            </w:r>
            <w:r>
              <w:t xml:space="preserve"> to decorate a method in a class definition, to warn if the method is overridden in a subclass. Can also be used as a class decorator, to warn if the class itself is being subclassed.</w:t>
            </w:r>
          </w:p>
        </w:tc>
      </w:tr>
    </w:tbl>
    <w:tbl>
      <w:tblPr>
        <w:tblW w:type="auto" w:w="0"/>
      </w:tblPr>
      <w:tr>
        <w:tc>
          <w:tcPr>
            <w:tcW w:type="auto" w:w="0"/>
            <w:tcMar>
              <w:left w:type="dxa" w:w="200"/>
              <w:top w:type="dxa" w:w="200"/>
              <w:right w:type="dxa" w:w="200"/>
              <w:bottom w:type="dxa" w:w="200"/>
            </w:tcMar>
          </w:tcPr>
          <w:p>
            <w:pPr>
              <w:pStyle w:val="Para 001"/>
            </w:pPr>
            <w:r>
              <w:t>get_args</w:t>
            </w:r>
          </w:p>
        </w:tc>
        <w:tc>
          <w:tcPr>
            <w:tcW w:type="auto" w:w="0"/>
            <w:tcMar>
              <w:left w:type="dxa" w:w="200"/>
              <w:top w:type="dxa" w:w="200"/>
              <w:right w:type="dxa" w:w="200"/>
              <w:bottom w:type="dxa" w:w="200"/>
            </w:tcMar>
          </w:tcPr>
          <w:p>
            <w:pPr>
              <w:pStyle w:val="Para 002"/>
            </w:pPr>
            <w:r>
              <w:rPr>
                <w:rStyle w:val="Text0"/>
              </w:rPr>
              <w:t>get_args(</w:t>
            </w:r>
            <w:r>
              <w:rPr>
                <w:rStyle w:val="Text3"/>
              </w:rPr>
              <w:t>custom_type</w:t>
            </w:r>
            <w:r>
              <w:rPr>
                <w:rStyle w:val="Text0"/>
              </w:rPr>
              <w:t>)</w:t>
              <w:br w:clear="none"/>
            </w:r>
            <w:r>
              <w:t xml:space="preserve"> Returns the arguments used to construct a custom 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get_origin</w:t>
            </w:r>
          </w:p>
        </w:tc>
        <w:tc>
          <w:tcPr>
            <w:tcW w:type="auto" w:w="0"/>
            <w:shd w:val="clear" w:color="auto" w:fill="EEF2F6"/>
            <w:tcMar>
              <w:left w:type="dxa" w:w="200"/>
              <w:top w:type="dxa" w:w="200"/>
              <w:right w:type="dxa" w:w="200"/>
              <w:bottom w:type="dxa" w:w="200"/>
            </w:tcMar>
          </w:tcPr>
          <w:p>
            <w:pPr>
              <w:pStyle w:val="Para 002"/>
            </w:pPr>
            <w:r>
              <w:rPr>
                <w:rStyle w:val="Text0"/>
              </w:rPr>
              <w:t>get_origin(</w:t>
            </w:r>
            <w:r>
              <w:rPr>
                <w:rStyle w:val="Text3"/>
              </w:rPr>
              <w:t>custom_type</w:t>
            </w:r>
            <w:r>
              <w:rPr>
                <w:rStyle w:val="Text0"/>
              </w:rPr>
              <w:t>)</w:t>
              <w:br w:clear="none"/>
            </w:r>
            <w:r>
              <w:t xml:space="preserve"> </w:t>
            </w:r>
            <w:r>
              <w:rPr>
                <w:rStyle w:val="Text34"/>
              </w:rPr>
              <w:t>3.8+</w:t>
            </w:r>
            <w:r>
              <w:t xml:space="preserve"> Returns the base type used to construct a custom type.</w:t>
            </w:r>
          </w:p>
        </w:tc>
      </w:tr>
    </w:tbl>
    <w:tbl>
      <w:tblPr>
        <w:tblW w:type="auto" w:w="0"/>
      </w:tblPr>
      <w:tr>
        <w:tc>
          <w:tcPr>
            <w:tcW w:type="auto" w:w="0"/>
            <w:tcMar>
              <w:left w:type="dxa" w:w="200"/>
              <w:top w:type="dxa" w:w="200"/>
              <w:right w:type="dxa" w:w="200"/>
              <w:bottom w:type="dxa" w:w="200"/>
            </w:tcMar>
          </w:tcPr>
          <w:p>
            <w:pPr>
              <w:pStyle w:val="Para 001"/>
            </w:pPr>
            <w:r>
              <w:t>get_type_hints</w:t>
            </w:r>
          </w:p>
        </w:tc>
        <w:tc>
          <w:tcPr>
            <w:tcW w:type="auto" w:w="0"/>
            <w:tcMar>
              <w:left w:type="dxa" w:w="200"/>
              <w:top w:type="dxa" w:w="200"/>
              <w:right w:type="dxa" w:w="200"/>
              <w:bottom w:type="dxa" w:w="200"/>
            </w:tcMar>
          </w:tcPr>
          <w:p>
            <w:pPr>
              <w:pStyle w:val="Para 002"/>
            </w:pPr>
            <w:r>
              <w:rPr>
                <w:rStyle w:val="Text0"/>
              </w:rPr>
              <w:t>get_type_hints(</w:t>
            </w:r>
            <w:r>
              <w:rPr>
                <w:rStyle w:val="Text3"/>
              </w:rPr>
              <w:t>obj</w:t>
            </w:r>
            <w:r>
              <w:rPr>
                <w:rStyle w:val="Text0"/>
              </w:rPr>
              <w:t>)</w:t>
              <w:br w:clear="none"/>
            </w:r>
            <w:r>
              <w:t xml:space="preserve"> Returns results as if accessing </w:t>
            </w:r>
            <w:r>
              <w:rPr>
                <w:rStyle w:val="Text3"/>
              </w:rPr>
              <w:t>obj</w:t>
            </w:r>
            <w:r>
              <w:rPr>
                <w:rStyle w:val="Text0"/>
              </w:rPr>
              <w:t>.__annotations__</w:t>
            </w:r>
            <w:r>
              <w:t xml:space="preserve">. Can be called with optional </w:t>
            </w:r>
            <w:r>
              <w:rPr>
                <w:rStyle w:val="Text0"/>
              </w:rPr>
              <w:t>globalns</w:t>
            </w:r>
            <w:r>
              <w:t xml:space="preserve"> and </w:t>
            </w:r>
            <w:r>
              <w:rPr>
                <w:rStyle w:val="Text0"/>
              </w:rPr>
              <w:t>localns</w:t>
            </w:r>
            <w:r>
              <w:t xml:space="preserve"> namespace arguments to resolve forward type references given as strings, and/or with optional Boolean </w:t>
            </w:r>
            <w:r>
              <w:rPr>
                <w:rStyle w:val="Text0"/>
              </w:rPr>
              <w:t>include_extras</w:t>
            </w:r>
            <w:r>
              <w:t xml:space="preserve"> argument to include any nontyping annotations added using </w:t>
            </w:r>
            <w:r>
              <w:rPr>
                <w:rStyle w:val="Text0"/>
              </w:rPr>
              <w:t>Annotations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NewType</w:t>
            </w:r>
          </w:p>
        </w:tc>
        <w:tc>
          <w:tcPr>
            <w:tcW w:type="auto" w:w="0"/>
            <w:shd w:val="clear" w:color="auto" w:fill="EEF2F6"/>
            <w:tcMar>
              <w:left w:type="dxa" w:w="200"/>
              <w:top w:type="dxa" w:w="200"/>
              <w:right w:type="dxa" w:w="200"/>
              <w:bottom w:type="dxa" w:w="200"/>
            </w:tcMar>
          </w:tcPr>
          <w:p>
            <w:pPr>
              <w:pStyle w:val="Para 002"/>
            </w:pPr>
            <w:r>
              <w:rPr>
                <w:rStyle w:val="Text0"/>
              </w:rPr>
              <w:t>NewType(</w:t>
            </w:r>
            <w:r>
              <w:rPr>
                <w:rStyle w:val="Text3"/>
              </w:rPr>
              <w:t>type_name</w:t>
            </w:r>
            <w:r>
              <w:rPr>
                <w:rStyle w:val="Text0"/>
              </w:rPr>
              <w:t>,</w:t>
            </w:r>
            <w:r>
              <w:t xml:space="preserve"> </w:t>
            </w:r>
            <w:r>
              <w:rPr>
                <w:rStyle w:val="Text3"/>
              </w:rPr>
              <w:t>type</w:t>
            </w:r>
            <w:r>
              <w:rPr>
                <w:rStyle w:val="Text0"/>
              </w:rPr>
              <w:t>)</w:t>
              <w:br w:clear="none"/>
            </w:r>
            <w:r>
              <w:t xml:space="preserve"> Defines</w:t>
            </w:r>
            <w:r>
              <w:rPr>
                <w:rStyle w:val="Text111"/>
              </w:rPr>
              <w:bookmarkStart w:id="1685" w:name="idm45965268082048"/>
              <w:t/>
              <w:bookmarkEnd w:id="1685"/>
            </w:r>
            <w:r>
              <w:t xml:space="preserve"> a custom type derived from </w:t>
            </w:r>
            <w:r>
              <w:rPr>
                <w:rStyle w:val="Text3"/>
              </w:rPr>
              <w:t>type</w:t>
            </w:r>
            <w:r>
              <w:t xml:space="preserve">. </w:t>
            </w:r>
            <w:r>
              <w:rPr>
                <w:rStyle w:val="Text3"/>
              </w:rPr>
              <w:t>type_name</w:t>
            </w:r>
            <w:r>
              <w:t xml:space="preserve"> is a string that should match the local variable to which the </w:t>
            </w:r>
            <w:r>
              <w:rPr>
                <w:rStyle w:val="Text0"/>
              </w:rPr>
              <w:t>NewType</w:t>
            </w:r>
            <w:r>
              <w:t xml:space="preserve"> is being assigned. Useful for distinguishing different uses for common types, such as a </w:t>
            </w:r>
            <w:r>
              <w:rPr>
                <w:rStyle w:val="Text0"/>
              </w:rPr>
              <w:t>str</w:t>
            </w:r>
            <w:r>
              <w:t xml:space="preserve"> used for an employee name versus a </w:t>
            </w:r>
            <w:r>
              <w:rPr>
                <w:rStyle w:val="Text0"/>
              </w:rPr>
              <w:t>str</w:t>
            </w:r>
            <w:r>
              <w:t xml:space="preserve"> used for a department name. See </w:t>
            </w:r>
            <w:hyperlink w:anchor="NewType__NewType_allows_you_to_d">
              <w:r>
                <w:rPr>
                  <w:rStyle w:val="Text1"/>
                </w:rPr>
                <w:t>“NewType”</w:t>
              </w:r>
            </w:hyperlink>
            <w:r>
              <w:t xml:space="preserve"> for more on this function.</w:t>
            </w:r>
          </w:p>
        </w:tc>
      </w:tr>
    </w:tbl>
    <w:tbl>
      <w:tblPr>
        <w:tblW w:type="auto" w:w="0"/>
      </w:tblPr>
      <w:tr>
        <w:tc>
          <w:tcPr>
            <w:tcW w:type="auto" w:w="0"/>
            <w:tcMar>
              <w:left w:type="dxa" w:w="200"/>
              <w:top w:type="dxa" w:w="200"/>
              <w:right w:type="dxa" w:w="200"/>
              <w:bottom w:type="dxa" w:w="200"/>
            </w:tcMar>
          </w:tcPr>
          <w:p>
            <w:pPr>
              <w:pStyle w:val="Para 001"/>
            </w:pPr>
            <w:r>
              <w:t>no_type_check</w:t>
            </w:r>
          </w:p>
        </w:tc>
        <w:tc>
          <w:tcPr>
            <w:tcW w:type="auto" w:w="0"/>
            <w:tcMar>
              <w:left w:type="dxa" w:w="200"/>
              <w:top w:type="dxa" w:w="200"/>
              <w:right w:type="dxa" w:w="200"/>
              <w:bottom w:type="dxa" w:w="200"/>
            </w:tcMar>
          </w:tcPr>
          <w:p>
            <w:pPr>
              <w:pStyle w:val="Para 002"/>
            </w:pPr>
            <w:r>
              <w:rPr>
                <w:rStyle w:val="Text0"/>
              </w:rPr>
              <w:t>@no_type_check</w:t>
              <w:br w:clear="none"/>
            </w:r>
            <w:r>
              <w:t xml:space="preserve"> Used to indicate that annotations are not intended to be used as type information. Can be applied to a class or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no_type_che⁠c⁠k⁠_​d⁠e⁠c⁠orator</w:t>
            </w:r>
          </w:p>
        </w:tc>
        <w:tc>
          <w:tcPr>
            <w:tcW w:type="auto" w:w="0"/>
            <w:shd w:val="clear" w:color="auto" w:fill="EEF2F6"/>
            <w:tcMar>
              <w:left w:type="dxa" w:w="200"/>
              <w:top w:type="dxa" w:w="200"/>
              <w:right w:type="dxa" w:w="200"/>
              <w:bottom w:type="dxa" w:w="200"/>
            </w:tcMar>
          </w:tcPr>
          <w:p>
            <w:pPr>
              <w:pStyle w:val="Para 002"/>
            </w:pPr>
            <w:r>
              <w:rPr>
                <w:rStyle w:val="Text0"/>
              </w:rPr>
              <w:t>@no_type_check_decorator</w:t>
              <w:br w:clear="none"/>
            </w:r>
            <w:r>
              <w:t xml:space="preserve"> Used to add </w:t>
            </w:r>
            <w:r>
              <w:rPr>
                <w:rStyle w:val="Text0"/>
              </w:rPr>
              <w:t>no_type_check</w:t>
            </w:r>
            <w:r>
              <w:t xml:space="preserve"> behavior to another decorator.</w:t>
            </w:r>
          </w:p>
        </w:tc>
      </w:tr>
    </w:tbl>
    <w:tbl>
      <w:tblPr>
        <w:tblW w:type="auto" w:w="0"/>
      </w:tblPr>
      <w:tr>
        <w:tc>
          <w:tcPr>
            <w:tcW w:type="auto" w:w="0"/>
            <w:tcMar>
              <w:left w:type="dxa" w:w="200"/>
              <w:top w:type="dxa" w:w="200"/>
              <w:right w:type="dxa" w:w="200"/>
              <w:bottom w:type="dxa" w:w="200"/>
            </w:tcMar>
          </w:tcPr>
          <w:p>
            <w:pPr>
              <w:pStyle w:val="Para 001"/>
            </w:pPr>
            <w:r>
              <w:t>overload</w:t>
            </w:r>
          </w:p>
        </w:tc>
        <w:tc>
          <w:tcPr>
            <w:tcW w:type="auto" w:w="0"/>
            <w:tcMar>
              <w:left w:type="dxa" w:w="200"/>
              <w:top w:type="dxa" w:w="200"/>
              <w:right w:type="dxa" w:w="200"/>
              <w:bottom w:type="dxa" w:w="200"/>
            </w:tcMar>
          </w:tcPr>
          <w:p>
            <w:pPr>
              <w:pStyle w:val="Para 002"/>
            </w:pPr>
            <w:r>
              <w:rPr>
                <w:rStyle w:val="Text0"/>
              </w:rPr>
              <w:t>@overload</w:t>
              <w:br w:clear="none"/>
            </w:r>
            <w:r>
              <w:t xml:space="preserve"> Used</w:t>
            </w:r>
            <w:r>
              <w:rPr>
                <w:rStyle w:val="Text111"/>
              </w:rPr>
              <w:bookmarkStart w:id="1686" w:name="idm45965268068144"/>
              <w:t/>
              <w:bookmarkEnd w:id="1686"/>
            </w:r>
            <w:r>
              <w:t xml:space="preserve"> to allow defining multiple methods with the same name but differing types in their</w:t>
            </w:r>
            <w:r>
              <w:rPr>
                <w:rStyle w:val="Text111"/>
              </w:rPr>
              <w:bookmarkStart w:id="1687" w:name="idm45965268066848"/>
              <w:t/>
              <w:bookmarkEnd w:id="1687"/>
            </w:r>
            <w:r>
              <w:t xml:space="preserve"> signatures. See the example after the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r⁠u⁠n⁠t⁠i⁠m⁠e⁠_​c⁠h⁠e⁠c⁠k⁠a⁠b⁠l⁠e</w:t>
            </w:r>
          </w:p>
        </w:tc>
        <w:tc>
          <w:tcPr>
            <w:tcW w:type="auto" w:w="0"/>
            <w:shd w:val="clear" w:color="auto" w:fill="EEF2F6"/>
            <w:tcMar>
              <w:left w:type="dxa" w:w="200"/>
              <w:top w:type="dxa" w:w="200"/>
              <w:right w:type="dxa" w:w="200"/>
              <w:bottom w:type="dxa" w:w="200"/>
            </w:tcMar>
          </w:tcPr>
          <w:p>
            <w:pPr>
              <w:pStyle w:val="Para 002"/>
            </w:pPr>
            <w:r>
              <w:rPr>
                <w:rStyle w:val="Text0"/>
              </w:rPr>
              <w:t>@runtime_checkable</w:t>
              <w:br w:clear="none"/>
            </w:r>
            <w:r>
              <w:t xml:space="preserve"> </w:t>
            </w:r>
            <w:r>
              <w:rPr>
                <w:rStyle w:val="Text34"/>
              </w:rPr>
              <w:t>3.8+</w:t>
            </w:r>
            <w:r>
              <w:t xml:space="preserve"> Used</w:t>
            </w:r>
            <w:r>
              <w:rPr>
                <w:rStyle w:val="Text111"/>
              </w:rPr>
              <w:bookmarkStart w:id="1688" w:name="idm45965268062000"/>
              <w:t/>
              <w:bookmarkEnd w:id="1688"/>
            </w:r>
            <w:r>
              <w:t xml:space="preserve"> to add </w:t>
            </w:r>
            <w:r>
              <w:rPr>
                <w:rStyle w:val="Text0"/>
              </w:rPr>
              <w:t>isinstance</w:t>
            </w:r>
            <w:r>
              <w:t xml:space="preserve"> and </w:t>
            </w:r>
            <w:r>
              <w:rPr>
                <w:rStyle w:val="Text0"/>
              </w:rPr>
              <w:t>issubclass</w:t>
            </w:r>
            <w:r>
              <w:t xml:space="preserve"> support for custom protocol classes. See </w:t>
            </w:r>
            <w:hyperlink w:anchor="Using_Type_Annotations_at_Runtim">
              <w:r>
                <w:rPr>
                  <w:rStyle w:val="Text1"/>
                </w:rPr>
                <w:t>“Using Type Annotations at Runtime”</w:t>
              </w:r>
            </w:hyperlink>
            <w:r>
              <w:t xml:space="preserve"> for more on this decorator.</w:t>
            </w:r>
          </w:p>
        </w:tc>
      </w:tr>
    </w:tbl>
    <w:tbl>
      <w:tblPr>
        <w:tblW w:type="auto" w:w="0"/>
      </w:tblPr>
      <w:tr>
        <w:tc>
          <w:tcPr>
            <w:tcW w:type="auto" w:w="0"/>
            <w:tcMar>
              <w:left w:type="dxa" w:w="200"/>
              <w:top w:type="dxa" w:w="200"/>
              <w:right w:type="dxa" w:w="200"/>
              <w:bottom w:type="dxa" w:w="200"/>
            </w:tcMar>
          </w:tcPr>
          <w:p>
            <w:pPr>
              <w:pStyle w:val="Para 001"/>
            </w:pPr>
            <w:r>
              <w:t>TypeAlias</w:t>
            </w:r>
          </w:p>
        </w:tc>
        <w:tc>
          <w:tcPr>
            <w:tcW w:type="auto" w:w="0"/>
            <w:tcMar>
              <w:left w:type="dxa" w:w="200"/>
              <w:top w:type="dxa" w:w="200"/>
              <w:right w:type="dxa" w:w="200"/>
              <w:bottom w:type="dxa" w:w="200"/>
            </w:tcMar>
          </w:tcPr>
          <w:p>
            <w:pPr>
              <w:pStyle w:val="Para 002"/>
            </w:pPr>
            <w:r>
              <w:rPr>
                <w:rStyle w:val="Text3"/>
              </w:rPr>
              <w:t>name</w:t>
            </w:r>
            <w:r>
              <w:rPr>
                <w:rStyle w:val="Text0"/>
              </w:rPr>
              <w:t>: TypeAlias =</w:t>
            </w:r>
            <w:r>
              <w:t xml:space="preserve"> </w:t>
            </w:r>
            <w:r>
              <w:rPr>
                <w:rStyle w:val="Text3"/>
              </w:rPr>
              <w:t>type_expression</w:t>
              <w:br w:clear="none"/>
            </w:r>
            <w:r>
              <w:t xml:space="preserve"> </w:t>
            </w:r>
            <w:r>
              <w:rPr>
                <w:rStyle w:val="Text34"/>
              </w:rPr>
              <w:t>3.10+</w:t>
            </w:r>
            <w:r>
              <w:t xml:space="preserve"> Used</w:t>
            </w:r>
            <w:r>
              <w:rPr>
                <w:rStyle w:val="Text111"/>
              </w:rPr>
              <w:bookmarkStart w:id="1689" w:name="idm45965268053568"/>
              <w:t/>
              <w:bookmarkEnd w:id="1689"/>
            </w:r>
            <w:r>
              <w:t xml:space="preserve"> to distinguish the definition of a type alias from a simple assignment. Most useful in cases where </w:t>
            </w:r>
            <w:r>
              <w:rPr>
                <w:rStyle w:val="Text3"/>
              </w:rPr>
              <w:t>type_expression</w:t>
            </w:r>
            <w:r>
              <w:t xml:space="preserve"> is a simple class name or a string value referring to a class that is not yet defined, which might look like an assignment. </w:t>
            </w:r>
            <w:r>
              <w:rPr>
                <w:rStyle w:val="Text0"/>
              </w:rPr>
              <w:t>TypeAlias</w:t>
            </w:r>
            <w:r>
              <w:t xml:space="preserve"> may only be used at module scope. A common use is to make it easier to consistently reuse a lengthy type expression, e.g.: </w:t>
            </w:r>
            <w:r>
              <w:rPr>
                <w:rStyle w:val="Text0"/>
              </w:rPr>
              <w:t>Number: TypeAlias = int | float | Fraction</w:t>
            </w:r>
            <w:r>
              <w:t xml:space="preserve">. See </w:t>
            </w:r>
            <w:hyperlink w:anchor="TypeAlias__3_10__Defining_a_simp">
              <w:r>
                <w:rPr>
                  <w:rStyle w:val="Text1"/>
                </w:rPr>
                <w:t>“TypeAlias”</w:t>
              </w:r>
            </w:hyperlink>
            <w:r>
              <w:t xml:space="preserve"> for more on this annotation.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type_check_only</w:t>
            </w:r>
          </w:p>
        </w:tc>
        <w:tc>
          <w:tcPr>
            <w:tcW w:type="auto" w:w="0"/>
            <w:shd w:val="clear" w:color="auto" w:fill="EEF2F6"/>
            <w:tcMar>
              <w:left w:type="dxa" w:w="200"/>
              <w:top w:type="dxa" w:w="200"/>
              <w:right w:type="dxa" w:w="200"/>
              <w:bottom w:type="dxa" w:w="200"/>
            </w:tcMar>
          </w:tcPr>
          <w:p>
            <w:pPr>
              <w:pStyle w:val="Para 002"/>
            </w:pPr>
            <w:r>
              <w:rPr>
                <w:rStyle w:val="Text0"/>
              </w:rPr>
              <w:t>@type_check_only</w:t>
              <w:br w:clear="none"/>
            </w:r>
            <w:r>
              <w:t xml:space="preserve"> Used to indicate that the class or function is only used at type-checking time and is not available at runtime.</w:t>
            </w:r>
          </w:p>
        </w:tc>
      </w:tr>
    </w:tbl>
    <w:tbl>
      <w:tblPr>
        <w:tblW w:type="auto" w:w="0"/>
      </w:tblPr>
      <w:tr>
        <w:tc>
          <w:tcPr>
            <w:tcW w:type="auto" w:w="0"/>
            <w:tcMar>
              <w:left w:type="dxa" w:w="200"/>
              <w:top w:type="dxa" w:w="200"/>
              <w:right w:type="dxa" w:w="200"/>
              <w:bottom w:type="dxa" w:w="200"/>
            </w:tcMar>
          </w:tcPr>
          <w:p>
            <w:pPr>
              <w:pStyle w:val="Para 001"/>
            </w:pPr>
            <w:r>
              <w:t>TYPE_CHECKING</w:t>
            </w:r>
          </w:p>
        </w:tc>
        <w:tc>
          <w:tcPr>
            <w:tcW w:type="auto" w:w="0"/>
            <w:tcMar>
              <w:left w:type="dxa" w:w="200"/>
              <w:top w:type="dxa" w:w="200"/>
              <w:right w:type="dxa" w:w="200"/>
              <w:bottom w:type="dxa" w:w="200"/>
            </w:tcMar>
          </w:tcPr>
          <w:p>
            <w:pPr>
              <w:pStyle w:val="Para 002"/>
            </w:pPr>
            <w:r>
              <w:t>A</w:t>
            </w:r>
            <w:r>
              <w:rPr>
                <w:rStyle w:val="Text111"/>
              </w:rPr>
              <w:bookmarkStart w:id="1690" w:name="idm45965268044896"/>
              <w:t/>
              <w:bookmarkEnd w:id="1690"/>
            </w:r>
            <w:r>
              <w:t xml:space="preserve"> special constant that static type checkers evaluate as </w:t>
            </w:r>
            <w:r>
              <w:rPr>
                <w:rStyle w:val="Text5"/>
              </w:rPr>
              <w:t>True</w:t>
            </w:r>
            <w:r>
              <w:t xml:space="preserve"> but that is set to </w:t>
            </w:r>
            <w:r>
              <w:rPr>
                <w:rStyle w:val="Text5"/>
              </w:rPr>
              <w:t>False</w:t>
            </w:r>
            <w:r>
              <w:t xml:space="preserve"> at runtime. Use this to skip imports of large, slow-to-import modules used solely to support type checking (so that the import is not needed at runtime).</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TypeVar</w:t>
            </w:r>
          </w:p>
        </w:tc>
        <w:tc>
          <w:tcPr>
            <w:tcW w:type="auto" w:w="0"/>
            <w:shd w:val="clear" w:color="auto" w:fill="EEF2F6"/>
            <w:tcMar>
              <w:left w:type="dxa" w:w="200"/>
              <w:top w:type="dxa" w:w="200"/>
              <w:right w:type="dxa" w:w="200"/>
              <w:bottom w:type="dxa" w:w="200"/>
            </w:tcMar>
          </w:tcPr>
          <w:p>
            <w:pPr>
              <w:pStyle w:val="Para 002"/>
            </w:pPr>
            <w:r>
              <w:rPr>
                <w:rStyle w:val="Text0"/>
              </w:rPr>
              <w:t>TypeVar(</w:t>
            </w:r>
            <w:r>
              <w:rPr>
                <w:rStyle w:val="Text3"/>
              </w:rPr>
              <w:t>type_name</w:t>
            </w:r>
            <w:r>
              <w:rPr>
                <w:rStyle w:val="Text0"/>
              </w:rPr>
              <w:t>,</w:t>
            </w:r>
            <w:r>
              <w:t xml:space="preserve"> </w:t>
            </w:r>
            <w:r>
              <w:rPr>
                <w:rStyle w:val="Text0"/>
              </w:rPr>
              <w:t>*</w:t>
            </w:r>
            <w:r>
              <w:rPr>
                <w:rStyle w:val="Text3"/>
              </w:rPr>
              <w:t>types</w:t>
            </w:r>
            <w:r>
              <w:rPr>
                <w:rStyle w:val="Text0"/>
              </w:rPr>
              <w:t>)</w:t>
              <w:br w:clear="none"/>
            </w:r>
            <w:r>
              <w:t xml:space="preserve"> Defines</w:t>
            </w:r>
            <w:r>
              <w:rPr>
                <w:rStyle w:val="Text111"/>
              </w:rPr>
              <w:bookmarkStart w:id="1691" w:name="idm45965268037504"/>
              <w:t/>
              <w:bookmarkEnd w:id="1691"/>
            </w:r>
            <w:r>
              <w:t xml:space="preserve"> a type expression element for use in complex generic types using </w:t>
            </w:r>
            <w:r>
              <w:rPr>
                <w:rStyle w:val="Text0"/>
              </w:rPr>
              <w:t>Generic</w:t>
            </w:r>
            <w:r>
              <w:t xml:space="preserve">. </w:t>
            </w:r>
            <w:r>
              <w:rPr>
                <w:rStyle w:val="Text3"/>
              </w:rPr>
              <w:t>type_name</w:t>
            </w:r>
            <w:r>
              <w:t xml:space="preserve"> is a string that should match the local variable to which the </w:t>
            </w:r>
            <w:r>
              <w:rPr>
                <w:rStyle w:val="Text0"/>
              </w:rPr>
              <w:t>TypeVar</w:t>
            </w:r>
            <w:r>
              <w:t xml:space="preserve"> is being assigned. If </w:t>
            </w:r>
            <w:r>
              <w:rPr>
                <w:rStyle w:val="Text3"/>
              </w:rPr>
              <w:t>types</w:t>
            </w:r>
            <w:r>
              <w:t xml:space="preserve"> are not given, then the associated </w:t>
            </w:r>
            <w:r>
              <w:rPr>
                <w:rStyle w:val="Text0"/>
              </w:rPr>
              <w:t>Generic</w:t>
            </w:r>
            <w:r>
              <w:t xml:space="preserve"> will accept any type. If </w:t>
            </w:r>
            <w:r>
              <w:rPr>
                <w:rStyle w:val="Text3"/>
              </w:rPr>
              <w:t>types</w:t>
            </w:r>
            <w:r>
              <w:t xml:space="preserve"> are given, then the </w:t>
            </w:r>
            <w:r>
              <w:rPr>
                <w:rStyle w:val="Text0"/>
              </w:rPr>
              <w:t>Generic</w:t>
            </w:r>
            <w:r>
              <w:t xml:space="preserve"> will only accept instances of any of the provided types or their subclasses. Also accepts the named Boolean arguments </w:t>
            </w:r>
            <w:r>
              <w:rPr>
                <w:rStyle w:val="Text0"/>
              </w:rPr>
              <w:t>covariant</w:t>
            </w:r>
            <w:r>
              <w:t xml:space="preserve"> and </w:t>
            </w:r>
            <w:r>
              <w:rPr>
                <w:rStyle w:val="Text0"/>
              </w:rPr>
              <w:t>contravariant</w:t>
            </w:r>
            <w:r>
              <w:t xml:space="preserve"> (both defaulting to </w:t>
            </w:r>
            <w:r>
              <w:rPr>
                <w:rStyle w:val="Text0"/>
              </w:rPr>
              <w:t>False</w:t>
            </w:r>
            <w:r>
              <w:t xml:space="preserve">), and the argument </w:t>
            </w:r>
            <w:r>
              <w:rPr>
                <w:rStyle w:val="Text0"/>
              </w:rPr>
              <w:t>bound</w:t>
            </w:r>
            <w:r>
              <w:t xml:space="preserve">. These are described in more detail in </w:t>
            </w:r>
            <w:hyperlink w:anchor="Generics_and_TypeVars__Generics">
              <w:r>
                <w:rPr>
                  <w:rStyle w:val="Text1"/>
                </w:rPr>
                <w:t>“Generics and TypeVars”</w:t>
              </w:r>
            </w:hyperlink>
            <w:r>
              <w:t xml:space="preserve"> and in the </w:t>
            </w:r>
            <w:hyperlink r:id="rId258">
              <w:r>
                <w:rPr>
                  <w:rStyle w:val="Text1"/>
                </w:rPr>
                <w:t>typing module docs</w:t>
              </w:r>
            </w:hyperlink>
            <w:r>
              <w:t>.</w:t>
            </w:r>
          </w:p>
        </w:tc>
      </w:tr>
    </w:tbl>
    <w:p>
      <w:pPr>
        <w:pStyle w:val="Normal"/>
      </w:pPr>
      <w:r>
        <w:t xml:space="preserve">Use </w:t>
      </w:r>
      <w:r>
        <w:rPr>
          <w:rStyle w:val="Text0"/>
        </w:rPr>
        <w:t>overload</w:t>
      </w:r>
      <w:r>
        <w:t xml:space="preserve"> at type-checking time to flag named arguments that must be used in particular combinations. In this case, </w:t>
      </w:r>
      <w:r>
        <w:rPr>
          <w:rStyle w:val="Text0"/>
        </w:rPr>
        <w:t>fn</w:t>
      </w:r>
      <w:r>
        <w:t xml:space="preserve"> must be called with either a </w:t>
      </w:r>
      <w:r>
        <w:rPr>
          <w:rStyle w:val="Text0"/>
        </w:rPr>
        <w:t>str</w:t>
      </w:r>
      <w:r>
        <w:t xml:space="preserve"> key and </w:t>
      </w:r>
      <w:r>
        <w:rPr>
          <w:rStyle w:val="Text0"/>
        </w:rPr>
        <w:t>int</w:t>
      </w:r>
      <w:r>
        <w:t xml:space="preserve"> value pair, or with a single </w:t>
      </w:r>
      <w:r>
        <w:rPr>
          <w:rStyle w:val="Text0"/>
        </w:rPr>
        <w:t>bool</w:t>
      </w:r>
      <w:r>
        <w:t xml:space="preserve"> value:</w:t>
      </w:r>
    </w:p>
    <w:p>
      <w:pPr>
        <w:pStyle w:val="Para 014"/>
      </w:pPr>
      <w:r>
        <w:rPr>
          <w:rStyle w:val="Text116"/>
        </w:rPr>
        <w:t xml:space="preserve"/>
        <w:br w:clear="none"/>
      </w:r>
      <w:r>
        <w:rPr>
          <w:rStyle w:val="Text66"/>
        </w:rPr>
        <w:t xml:space="preserve">@typing</w:t>
        <w:br w:clear="none"/>
      </w:r>
      <w:r>
        <w:rPr>
          <w:rStyle w:val="Text28"/>
        </w:rPr>
        <w:t xml:space="preserve">.</w:t>
        <w:br w:clear="none"/>
      </w:r>
      <w:r>
        <w:rPr>
          <w:rStyle w:val="Text14"/>
        </w:rPr>
        <w:t xml:space="preserve">overload</w:t>
        <w:br w:clear="none"/>
      </w:r>
      <w:r>
        <w:rPr>
          <w:rStyle w:val="Text11"/>
        </w:rPr>
        <w:t xml:space="preserve"/>
        <w:br w:clear="none"/>
      </w:r>
      <w:r>
        <w:rPr>
          <w:rStyle w:val="Text22"/>
        </w:rPr>
        <w:t xml:space="preserve">def</w:t>
        <w:br w:clear="none"/>
      </w:r>
      <w:r>
        <w:rPr>
          <w:rStyle w:val="Text11"/>
        </w:rPr>
        <w:t xml:space="preserve"> </w:t>
        <w:br w:clear="none"/>
      </w:r>
      <w:r>
        <w:rPr>
          <w:rStyle w:val="Text42"/>
        </w:rPr>
        <w:t xml:space="preserve">fn</w:t>
        <w:br w:clear="none"/>
      </w:r>
      <w:r>
        <w:rPr>
          <w:rStyle w:val="Text19"/>
        </w:rPr>
        <w:t xml:space="preserve">(</w:t>
        <w:br w:clear="none"/>
      </w:r>
      <w:r>
        <w:rPr>
          <w:rStyle w:val="Text28"/>
        </w:rPr>
        <w:t xml:space="preserve">*</w:t>
        <w:br w:clear="none"/>
      </w:r>
      <w:r>
        <w:rPr>
          <w:rStyle w:val="Text19"/>
        </w:rPr>
        <w:t xml:space="preserve">,</w:t>
        <w:br w:clear="none"/>
      </w:r>
      <w:r>
        <w:rPr>
          <w:rStyle w:val="Text11"/>
        </w:rPr>
        <w:t xml:space="preserve"> </w:t>
        <w:br w:clear="none"/>
      </w:r>
      <w:r>
        <w:rPr>
          <w:rStyle w:val="Text14"/>
        </w:rPr>
        <w:t xml:space="preserve">key</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r>
      <w:r>
        <w:rPr>
          <w:rStyle w:val="Text11"/>
        </w:rPr>
        <w:t xml:space="preserve"> </w:t>
        <w:br w:clear="none"/>
      </w:r>
      <w:r>
        <w:rPr>
          <w:rStyle w:val="Text14"/>
        </w:rPr>
        <w:t xml:space="preserve">value</w:t>
        <w:br w:clear="none"/>
      </w:r>
      <w:r>
        <w:rPr>
          <w:rStyle w:val="Text19"/>
        </w:rPr>
        <w:t xml:space="preserve">:</w:t>
        <w:br w:clear="none"/>
      </w:r>
      <w:r>
        <w:rPr>
          <w:rStyle w:val="Text11"/>
        </w:rPr>
        <w:t xml:space="preserve"> </w:t>
        <w:br w:clear="none"/>
      </w:r>
      <w:r>
        <w:rPr>
          <w:rStyle w:val="Text21"/>
        </w:rPr>
        <w:t xml:space="preserve">int</w:t>
        <w:br w:clear="none"/>
      </w:r>
      <w:r>
        <w:rPr>
          <w:rStyle w:val="Text19"/>
        </w:rPr>
        <w:t xml:space="preserve">)</w:t>
        <w:br w:clear="none"/>
        <w:t xml:space="preserve">:</w:t>
        <w:br w:clear="none"/>
      </w:r>
      <w:r>
        <w:rPr>
          <w:rStyle w:val="Text11"/>
        </w:rPr>
        <w:t xml:space="preserve"/>
        <w:br w:clear="none"/>
        <w:t xml:space="preserve">    </w:t>
        <w:br w:clear="none"/>
      </w:r>
      <w:r>
        <w:rPr>
          <w:rStyle w:val="Text98"/>
        </w:rPr>
        <w:t xml:space="preserve">.</w:t>
        <w:br w:clear="none"/>
        <w:t xml:space="preserve">.</w:t>
        <w:br w:clear="none"/>
        <w:t xml:space="preserve">.</w:t>
        <w:br w:clear="none"/>
      </w:r>
      <w:r>
        <w:rPr>
          <w:rStyle w:val="Text11"/>
        </w:rPr>
        <w:t xml:space="preserve"/>
        <w:br w:clear="none"/>
        <w:t xml:space="preserve"/>
        <w:br w:clear="none"/>
      </w:r>
      <w:r>
        <w:rPr>
          <w:rStyle w:val="Text66"/>
        </w:rPr>
        <w:t xml:space="preserve">@typing</w:t>
        <w:br w:clear="none"/>
      </w:r>
      <w:r>
        <w:rPr>
          <w:rStyle w:val="Text28"/>
        </w:rPr>
        <w:t xml:space="preserve">.</w:t>
        <w:br w:clear="none"/>
      </w:r>
      <w:r>
        <w:rPr>
          <w:rStyle w:val="Text14"/>
        </w:rPr>
        <w:t xml:space="preserve">overload</w:t>
        <w:br w:clear="none"/>
      </w:r>
      <w:r>
        <w:rPr>
          <w:rStyle w:val="Text11"/>
        </w:rPr>
        <w:t xml:space="preserve"/>
        <w:br w:clear="none"/>
      </w:r>
      <w:r>
        <w:rPr>
          <w:rStyle w:val="Text22"/>
        </w:rPr>
        <w:t xml:space="preserve">def</w:t>
        <w:br w:clear="none"/>
      </w:r>
      <w:r>
        <w:rPr>
          <w:rStyle w:val="Text11"/>
        </w:rPr>
        <w:t xml:space="preserve"> </w:t>
        <w:br w:clear="none"/>
      </w:r>
      <w:r>
        <w:rPr>
          <w:rStyle w:val="Text42"/>
        </w:rPr>
        <w:t xml:space="preserve">fn</w:t>
        <w:br w:clear="none"/>
      </w:r>
      <w:r>
        <w:rPr>
          <w:rStyle w:val="Text19"/>
        </w:rPr>
        <w:t xml:space="preserve">(</w:t>
        <w:br w:clear="none"/>
      </w:r>
      <w:r>
        <w:rPr>
          <w:rStyle w:val="Text28"/>
        </w:rPr>
        <w:t xml:space="preserve">*</w:t>
        <w:br w:clear="none"/>
      </w:r>
      <w:r>
        <w:rPr>
          <w:rStyle w:val="Text19"/>
        </w:rPr>
        <w:t xml:space="preserve">,</w:t>
        <w:br w:clear="none"/>
      </w:r>
      <w:r>
        <w:rPr>
          <w:rStyle w:val="Text11"/>
        </w:rPr>
        <w:t xml:space="preserve"> </w:t>
        <w:br w:clear="none"/>
      </w:r>
      <w:r>
        <w:rPr>
          <w:rStyle w:val="Text14"/>
        </w:rPr>
        <w:t xml:space="preserve">strict</w:t>
        <w:br w:clear="none"/>
      </w:r>
      <w:r>
        <w:rPr>
          <w:rStyle w:val="Text19"/>
        </w:rPr>
        <w:t xml:space="preserve">:</w:t>
        <w:br w:clear="none"/>
      </w:r>
      <w:r>
        <w:rPr>
          <w:rStyle w:val="Text11"/>
        </w:rPr>
        <w:t xml:space="preserve"> </w:t>
        <w:br w:clear="none"/>
      </w:r>
      <w:r>
        <w:rPr>
          <w:rStyle w:val="Text21"/>
        </w:rPr>
        <w:t xml:space="preserve">bool</w:t>
        <w:br w:clear="none"/>
      </w:r>
      <w:r>
        <w:rPr>
          <w:rStyle w:val="Text19"/>
        </w:rPr>
        <w:t xml:space="preserve">)</w:t>
        <w:br w:clear="none"/>
        <w:t xml:space="preserve">:</w:t>
        <w:br w:clear="none"/>
      </w:r>
      <w:r>
        <w:rPr>
          <w:rStyle w:val="Text11"/>
        </w:rPr>
        <w:t xml:space="preserve"/>
        <w:br w:clear="none"/>
        <w:t xml:space="preserve">    </w:t>
        <w:br w:clear="none"/>
      </w:r>
      <w:r>
        <w:rPr>
          <w:rStyle w:val="Text98"/>
        </w:rPr>
        <w:t xml:space="preserve">.</w:t>
        <w:br w:clear="none"/>
        <w:t xml:space="preserve">.</w:t>
        <w:br w:clear="none"/>
        <w:t xml:space="preserve">.</w:t>
        <w:br w:clear="none"/>
      </w:r>
      <w:r>
        <w:rPr>
          <w:rStyle w:val="Text11"/>
        </w:rPr>
        <w:t xml:space="preserve"/>
        <w:br w:clear="none"/>
        <w:t xml:space="preserve"/>
        <w:br w:clear="none"/>
      </w:r>
      <w:r>
        <w:rPr>
          <w:rStyle w:val="Text22"/>
        </w:rPr>
        <w:t xml:space="preserve">def</w:t>
        <w:br w:clear="none"/>
      </w:r>
      <w:r>
        <w:rPr>
          <w:rStyle w:val="Text11"/>
        </w:rPr>
        <w:t xml:space="preserve"> </w:t>
        <w:br w:clear="none"/>
      </w:r>
      <w:r>
        <w:rPr>
          <w:rStyle w:val="Text42"/>
        </w:rPr>
        <w:t xml:space="preserve">fn</w:t>
        <w:br w:clear="none"/>
      </w:r>
      <w:r>
        <w:rPr>
          <w:rStyle w:val="Text19"/>
        </w:rPr>
        <w:t xml:space="preserve">(</w:t>
        <w:br w:clear="none"/>
      </w:r>
      <w:r>
        <w:rPr>
          <w:rStyle w:val="Text28"/>
        </w:rPr>
        <w:t xml:space="preserve">*</w:t>
        <w:br w:clear="none"/>
        <w:t xml:space="preserve">*</w:t>
        <w:br w:clear="none"/>
      </w:r>
      <w:r>
        <w:rPr>
          <w:rStyle w:val="Text14"/>
        </w:rPr>
        <w:t xml:space="preserve">kwargs</w:t>
        <w:br w:clear="none"/>
      </w:r>
      <w:r>
        <w:rPr>
          <w:rStyle w:val="Text19"/>
        </w:rPr>
        <w:t xml:space="preserve">)</w:t>
        <w:br w:clear="none"/>
        <w:t xml:space="preserve">:</w:t>
        <w:br w:clear="none"/>
      </w:r>
      <w:r>
        <w:rPr>
          <w:rStyle w:val="Text11"/>
        </w:rPr>
        <w:t xml:space="preserve"/>
        <w:br w:clear="none"/>
        <w:t xml:space="preserve">    </w:t>
        <w:br w:clear="none"/>
      </w:r>
      <w:r>
        <w:t xml:space="preserve"># implementation goes here, including handling of differing</w:t>
        <w:br w:clear="none"/>
      </w:r>
      <w:r>
        <w:rPr>
          <w:rStyle w:val="Text4"/>
        </w:rPr>
        <w:t xml:space="preserve"> </w:t>
        <w:br w:clear="none"/>
      </w:r>
      <w:r>
        <w:rPr>
          <w:rStyle w:val="Text11"/>
        </w:rPr>
        <w:t xml:space="preserve"/>
        <w:br w:clear="none"/>
        <w:t xml:space="preserve">    </w:t>
        <w:br w:clear="none"/>
      </w:r>
      <w:r>
        <w:t xml:space="preserve"># named arguments</w:t>
        <w:br w:clear="none"/>
      </w:r>
      <w:r>
        <w:rPr>
          <w:rStyle w:val="Text11"/>
        </w:rPr>
        <w:t xml:space="preserve"/>
        <w:br w:clear="none"/>
        <w:t xml:space="preserve">    </w:t>
        <w:br w:clear="none"/>
      </w:r>
      <w:r>
        <w:rPr>
          <w:rStyle w:val="Text22"/>
        </w:rPr>
        <w:t xml:space="preserve">pass</w:t>
        <w:br w:clear="none"/>
      </w:r>
      <w:r>
        <w:rPr>
          <w:rStyle w:val="Text11"/>
        </w:rPr>
        <w:t xml:space="preserve"/>
        <w:br w:clear="none"/>
        <w:t xml:space="preserve"/>
        <w:br w:clear="none"/>
      </w:r>
      <w:r>
        <w:t xml:space="preserve"># valid calls</w:t>
        <w:br w:clear="none"/>
      </w:r>
      <w:r>
        <w:rPr>
          <w:rStyle w:val="Text11"/>
        </w:rPr>
        <w:t xml:space="preserve"/>
        <w:br w:clear="none"/>
      </w:r>
      <w:r>
        <w:rPr>
          <w:rStyle w:val="Text14"/>
        </w:rPr>
        <w:t xml:space="preserve">fn</w:t>
        <w:br w:clear="none"/>
      </w:r>
      <w:r>
        <w:rPr>
          <w:rStyle w:val="Text19"/>
        </w:rPr>
        <w:t xml:space="preserve">(</w:t>
        <w:br w:clear="none"/>
      </w:r>
      <w:r>
        <w:rPr>
          <w:rStyle w:val="Text14"/>
        </w:rPr>
        <w:t xml:space="preserve">key</w:t>
        <w:br w:clear="none"/>
      </w:r>
      <w:r>
        <w:rPr>
          <w:rStyle w:val="Text28"/>
        </w:rPr>
        <w:t xml:space="preserve">=</w:t>
        <w:br w:clear="none"/>
      </w:r>
      <w:r>
        <w:rPr>
          <w:rStyle w:val="Text17"/>
        </w:rPr>
        <w:t xml:space="preserve">'</w:t>
        <w:br w:clear="none"/>
        <w:t xml:space="preserve">abc</w:t>
        <w:br w:clear="none"/>
        <w:t xml:space="preserve">'</w:t>
        <w:br w:clear="none"/>
      </w:r>
      <w:r>
        <w:rPr>
          <w:rStyle w:val="Text19"/>
        </w:rPr>
        <w:t xml:space="preserve">,</w:t>
        <w:br w:clear="none"/>
      </w:r>
      <w:r>
        <w:rPr>
          <w:rStyle w:val="Text11"/>
        </w:rPr>
        <w:t xml:space="preserve"> </w:t>
        <w:br w:clear="none"/>
      </w:r>
      <w:r>
        <w:rPr>
          <w:rStyle w:val="Text14"/>
        </w:rPr>
        <w:t xml:space="preserve">value</w:t>
        <w:br w:clear="none"/>
      </w:r>
      <w:r>
        <w:rPr>
          <w:rStyle w:val="Text28"/>
        </w:rPr>
        <w:t xml:space="preserve">=</w:t>
        <w:br w:clear="none"/>
      </w:r>
      <w:r>
        <w:rPr>
          <w:rStyle w:val="Text35"/>
        </w:rPr>
        <w:t xml:space="preserve">100</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14"/>
        </w:rPr>
        <w:t xml:space="preserve">strict</w:t>
        <w:br w:clear="none"/>
      </w:r>
      <w:r>
        <w:rPr>
          <w:rStyle w:val="Text28"/>
        </w:rPr>
        <w:t xml:space="preserve">=</w:t>
        <w:br w:clear="none"/>
      </w:r>
      <w:r>
        <w:rPr>
          <w:rStyle w:val="Text80"/>
        </w:rPr>
        <w:t xml:space="preserve">True</w:t>
        <w:br w:clear="none"/>
      </w:r>
      <w:r>
        <w:rPr>
          <w:rStyle w:val="Text19"/>
        </w:rPr>
        <w:t xml:space="preserve">)</w:t>
        <w:br w:clear="none"/>
      </w:r>
      <w:r>
        <w:rPr>
          <w:rStyle w:val="Text11"/>
        </w:rPr>
        <w:t xml:space="preserve"/>
        <w:br w:clear="none"/>
        <w:t xml:space="preserve"/>
        <w:br w:clear="none"/>
      </w:r>
      <w:r>
        <w:t xml:space="preserve"># invalid calls</w:t>
        <w:br w:clear="none"/>
      </w:r>
      <w:r>
        <w:rPr>
          <w:rStyle w:val="Text11"/>
        </w:rPr>
        <w:t xml:space="preserve"/>
        <w:br w:clear="none"/>
      </w:r>
      <w:r>
        <w:rPr>
          <w:rStyle w:val="Text14"/>
        </w:rPr>
        <w:t xml:space="preserve">fn</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17"/>
        </w:rPr>
        <w:t xml:space="preserve">'</w:t>
        <w:br w:clear="none"/>
        <w:t xml:space="preserve">abc</w:t>
        <w:br w:clear="none"/>
        <w:t xml:space="preserve">'</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17"/>
        </w:rPr>
        <w:t xml:space="preserve">'</w:t>
        <w:br w:clear="none"/>
        <w:t xml:space="preserve">abc</w:t>
        <w:br w:clear="none"/>
        <w:t xml:space="preserve">'</w:t>
        <w:br w:clear="none"/>
      </w:r>
      <w:r>
        <w:rPr>
          <w:rStyle w:val="Text19"/>
        </w:rPr>
        <w:t xml:space="preserve">,</w:t>
        <w:br w:clear="none"/>
      </w:r>
      <w:r>
        <w:rPr>
          <w:rStyle w:val="Text11"/>
        </w:rPr>
        <w:t xml:space="preserve"> </w:t>
        <w:br w:clear="none"/>
      </w:r>
      <w:r>
        <w:rPr>
          <w:rStyle w:val="Text35"/>
        </w:rPr>
        <w:t xml:space="preserve">100</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14"/>
        </w:rPr>
        <w:t xml:space="preserve">key</w:t>
        <w:br w:clear="none"/>
      </w:r>
      <w:r>
        <w:rPr>
          <w:rStyle w:val="Text28"/>
        </w:rPr>
        <w:t xml:space="preserve">=</w:t>
        <w:br w:clear="none"/>
      </w:r>
      <w:r>
        <w:rPr>
          <w:rStyle w:val="Text17"/>
        </w:rPr>
        <w:t xml:space="preserve">'</w:t>
        <w:br w:clear="none"/>
        <w:t xml:space="preserve">abc</w:t>
        <w:br w:clear="none"/>
        <w:t xml:space="preserve">'</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22"/>
        </w:rPr>
        <w:t xml:space="preserve">True</w:t>
        <w:br w:clear="none"/>
      </w:r>
      <w:r>
        <w:rPr>
          <w:rStyle w:val="Text19"/>
        </w:rPr>
        <w:t xml:space="preserve">)</w:t>
        <w:br w:clear="none"/>
      </w:r>
      <w:r>
        <w:rPr>
          <w:rStyle w:val="Text11"/>
        </w:rPr>
        <w:t xml:space="preserve"/>
        <w:br w:clear="none"/>
      </w:r>
      <w:r>
        <w:rPr>
          <w:rStyle w:val="Text14"/>
        </w:rPr>
        <w:t xml:space="preserve">fn</w:t>
        <w:br w:clear="none"/>
      </w:r>
      <w:r>
        <w:rPr>
          <w:rStyle w:val="Text19"/>
        </w:rPr>
        <w:t xml:space="preserve">(</w:t>
        <w:br w:clear="none"/>
      </w:r>
      <w:r>
        <w:rPr>
          <w:rStyle w:val="Text14"/>
        </w:rPr>
        <w:t xml:space="preserve">strict</w:t>
        <w:br w:clear="none"/>
      </w:r>
      <w:r>
        <w:rPr>
          <w:rStyle w:val="Text28"/>
        </w:rPr>
        <w:t xml:space="preserve">=</w:t>
        <w:br w:clear="none"/>
      </w:r>
      <w:r>
        <w:rPr>
          <w:rStyle w:val="Text80"/>
        </w:rPr>
        <w:t xml:space="preserve">True</w:t>
        <w:br w:clear="none"/>
      </w:r>
      <w:r>
        <w:rPr>
          <w:rStyle w:val="Text19"/>
        </w:rPr>
        <w:t xml:space="preserve">,</w:t>
        <w:br w:clear="none"/>
      </w:r>
      <w:r>
        <w:rPr>
          <w:rStyle w:val="Text11"/>
        </w:rPr>
        <w:t xml:space="preserve"> </w:t>
        <w:br w:clear="none"/>
      </w:r>
      <w:r>
        <w:rPr>
          <w:rStyle w:val="Text14"/>
        </w:rPr>
        <w:t xml:space="preserve">value</w:t>
        <w:br w:clear="none"/>
      </w:r>
      <w:r>
        <w:rPr>
          <w:rStyle w:val="Text28"/>
        </w:rPr>
        <w:t xml:space="preserve">=</w:t>
        <w:br w:clear="none"/>
      </w:r>
      <w:r>
        <w:rPr>
          <w:rStyle w:val="Text35"/>
        </w:rPr>
        <w:t xml:space="preserve">100</w:t>
        <w:br w:clear="none"/>
      </w:r>
      <w:r>
        <w:rPr>
          <w:rStyle w:val="Text19"/>
        </w:rPr>
        <w:t xml:space="preserve">)</w:t>
        <w:br w:clear="none"/>
      </w:r>
    </w:p>
    <w:p>
      <w:pPr>
        <w:pStyle w:val="Normal"/>
      </w:pPr>
      <w:r>
        <w:t xml:space="preserve">Note that the </w:t>
      </w:r>
      <w:r>
        <w:rPr>
          <w:rStyle w:val="Text0"/>
        </w:rPr>
        <w:t>overload</w:t>
      </w:r>
      <w:r>
        <w:t xml:space="preserve"> decorator is used purely for static type checking. To actually dispatch to different methods based on a parameter type at runtime, use </w:t>
      </w:r>
      <w:r>
        <w:rPr>
          <w:rStyle w:val="Text0"/>
        </w:rPr>
        <w:t>functools.singledispatch</w:t>
      </w:r>
      <w:r>
        <w:t>.</w:t>
      </w:r>
    </w:p>
    <w:p>
      <w:pPr>
        <w:pStyle w:val="Normal"/>
      </w:pPr>
      <w:r>
        <w:t xml:space="preserve">Use the </w:t>
      </w:r>
      <w:r>
        <w:rPr>
          <w:rStyle w:val="Text0"/>
        </w:rPr>
        <w:t>cast</w:t>
      </w:r>
      <w:r>
        <w:t xml:space="preserve"> function to force a type checker to treat a variable as being of a particular type, within the scope of the cast:</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func</w:t>
        <w:br w:clear="none"/>
      </w:r>
      <w:r>
        <w:rPr>
          <w:rStyle w:val="Text7"/>
        </w:rPr>
        <w:t xml:space="preserve">(</w:t>
        <w:br w:clear="none"/>
      </w:r>
      <w:r>
        <w:rPr>
          <w:rStyle w:val="Text9"/>
        </w:rPr>
        <w:t xml:space="preserve">x</w:t>
        <w:br w:clear="none"/>
      </w:r>
      <w:r>
        <w:rPr>
          <w:rStyle w:val="Text7"/>
        </w:rPr>
        <w:t xml:space="preserve">:</w:t>
        <w:br w:clear="none"/>
      </w:r>
      <w:r>
        <w:t xml:space="preserve"> </w:t>
        <w:br w:clear="none"/>
      </w:r>
      <w:r>
        <w:rPr>
          <w:rStyle w:val="Text16"/>
        </w:rPr>
        <w:t xml:space="preserve">list</w:t>
        <w:br w:clear="none"/>
      </w:r>
      <w:r>
        <w:rPr>
          <w:rStyle w:val="Text7"/>
        </w:rPr>
        <w:t xml:space="preserve">[</w:t>
        <w:br w:clear="none"/>
      </w:r>
      <w:r>
        <w:rPr>
          <w:rStyle w:val="Text16"/>
        </w:rPr>
        <w:t xml:space="preserve">int</w:t>
        <w:br w:clear="none"/>
      </w:r>
      <w:r>
        <w:rPr>
          <w:rStyle w:val="Text7"/>
        </w:rPr>
        <w:t xml:space="preserve">]</w:t>
        <w:br w:clear="none"/>
      </w:r>
      <w:r>
        <w:t xml:space="preserve"> </w:t>
        <w:br w:clear="none"/>
      </w:r>
      <w:r>
        <w:rPr>
          <w:rStyle w:val="Text13"/>
        </w:rPr>
        <w:t xml:space="preserve">|</w:t>
        <w:br w:clear="none"/>
      </w:r>
      <w:r>
        <w:t xml:space="preserve"> </w:t>
        <w:br w:clear="none"/>
      </w:r>
      <w:r>
        <w:rPr>
          <w:rStyle w:val="Text16"/>
        </w:rPr>
        <w:t xml:space="preserve">list</w:t>
        <w:br w:clear="none"/>
      </w:r>
      <w:r>
        <w:rPr>
          <w:rStyle w:val="Text7"/>
        </w:rPr>
        <w:t xml:space="preserve">[</w:t>
        <w:br w:clear="none"/>
      </w:r>
      <w:r>
        <w:rPr>
          <w:rStyle w:val="Text16"/>
        </w:rPr>
        <w:t xml:space="preserve">str</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try</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sum</w:t>
        <w:br w:clear="none"/>
      </w:r>
      <w:r>
        <w:rPr>
          <w:rStyle w:val="Text7"/>
        </w:rPr>
        <w:t xml:space="preserve">(</w:t>
        <w:br w:clear="none"/>
      </w:r>
      <w:r>
        <w:rPr>
          <w:rStyle w:val="Text9"/>
        </w:rPr>
        <w:t xml:space="preserve">x</w:t>
        <w:br w:clear="none"/>
      </w:r>
      <w:r>
        <w:rPr>
          <w:rStyle w:val="Text7"/>
        </w:rPr>
        <w:t xml:space="preserve">)</w:t>
        <w:br w:clear="none"/>
      </w:r>
      <w:r>
        <w:t xml:space="preserve"/>
        <w:br w:clear="none"/>
        <w:t xml:space="preserve">    </w:t>
        <w:br w:clear="none"/>
      </w:r>
      <w:r>
        <w:rPr>
          <w:rStyle w:val="Text10"/>
        </w:rPr>
        <w:t xml:space="preserve">except</w:t>
        <w:br w:clear="none"/>
      </w:r>
      <w:r>
        <w:t xml:space="preserve"> </w:t>
        <w:br w:clear="none"/>
      </w:r>
      <w:r>
        <w:rPr>
          <w:rStyle w:val="Text36"/>
        </w:rPr>
        <w:t xml:space="preserve">TypeError</w:t>
        <w:br w:clear="none"/>
      </w:r>
      <w:r>
        <w:rPr>
          <w:rStyle w:val="Text7"/>
        </w:rPr>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9"/>
        </w:rPr>
        <w:t xml:space="preserve">cast</w:t>
        <w:br w:clear="none"/>
      </w:r>
      <w:r>
        <w:rPr>
          <w:rStyle w:val="Text7"/>
        </w:rPr>
        <w:t xml:space="preserve">(</w:t>
        <w:br w:clear="none"/>
      </w:r>
      <w:r>
        <w:rPr>
          <w:rStyle w:val="Text16"/>
        </w:rPr>
        <w:t xml:space="preserve">list</w:t>
        <w:br w:clear="none"/>
      </w:r>
      <w:r>
        <w:rPr>
          <w:rStyle w:val="Text7"/>
        </w:rPr>
        <w:t xml:space="preserve">[</w:t>
        <w:br w:clear="none"/>
      </w:r>
      <w:r>
        <w:rPr>
          <w:rStyle w:val="Text16"/>
        </w:rPr>
        <w:t xml:space="preserve">str</w:t>
        <w:br w:clear="none"/>
      </w:r>
      <w:r>
        <w:rPr>
          <w:rStyle w:val="Text7"/>
        </w:rPr>
        <w:t xml:space="preserve">]</w:t>
        <w:br w:clear="none"/>
        <w:t xml:space="preserve">,</w:t>
        <w:br w:clear="none"/>
      </w:r>
      <w:r>
        <w:t xml:space="preserve"> </w:t>
        <w:br w:clear="none"/>
      </w:r>
      <w:r>
        <w:rPr>
          <w:rStyle w:val="Text9"/>
        </w:rPr>
        <w:t xml:space="preserve">x</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8"/>
        </w:rPr>
        <w:t xml:space="preserve">'</w:t>
        <w:br w:clear="none"/>
        <w:t xml:space="preserve">,</w:t>
        <w:br w:clear="none"/>
        <w:t xml:space="preserve">'</w:t>
        <w:br w:clear="none"/>
      </w:r>
      <w:r>
        <w:rPr>
          <w:rStyle w:val="Text13"/>
        </w:rPr>
        <w:t xml:space="preserve">.</w:t>
        <w:br w:clear="none"/>
      </w:r>
      <w:r>
        <w:rPr>
          <w:rStyle w:val="Text9"/>
        </w:rPr>
        <w:t xml:space="preserve">join</w:t>
        <w:br w:clear="none"/>
      </w:r>
      <w:r>
        <w:rPr>
          <w:rStyle w:val="Text7"/>
        </w:rPr>
        <w:t xml:space="preserve">(</w:t>
        <w:br w:clear="none"/>
      </w:r>
      <w:r>
        <w:rPr>
          <w:rStyle w:val="Text9"/>
        </w:rPr>
        <w:t xml:space="preserve">x</w:t>
        <w:br w:clear="none"/>
      </w:r>
      <w:r>
        <w:rPr>
          <w:rStyle w:val="Text7"/>
        </w:rPr>
        <w:t xml:space="preserve">)</w:t>
        <w:br w:clear="none"/>
      </w:r>
    </w:p>
    <w:p>
      <w:pPr>
        <w:keepNext/>
        <w:pStyle w:val="Heading 6"/>
        <w:keepLines w:val="on"/>
      </w:pPr>
      <w:r>
        <w:t>Use cast with Caution</w:t>
      </w:r>
    </w:p>
    <w:p>
      <w:pPr>
        <w:pStyle w:val="Para 012"/>
        <w:keepLines w:val="on"/>
      </w:pPr>
      <w:r>
        <w:rPr>
          <w:rStyle w:val="Text0"/>
        </w:rPr>
        <w:t>cast</w:t>
      </w:r>
      <w:r>
        <w:t xml:space="preserve"> is a way of overriding any inferences or prior annotations that may be present at a particular place in your code. It may hide actual type errors in your code, rendering the type-checking pass incomplete or inaccurate. The </w:t>
      </w:r>
      <w:r>
        <w:rPr>
          <w:rStyle w:val="Text0"/>
        </w:rPr>
        <w:t>func</w:t>
      </w:r>
      <w:r>
        <w:t xml:space="preserve"> in the preceding example raises no </w:t>
      </w:r>
      <w:r>
        <w:rPr>
          <w:rStyle w:val="Text0"/>
        </w:rPr>
        <w:t>mypy</w:t>
      </w:r>
      <w:r>
        <w:t xml:space="preserve"> warnings itself, but fails at runtime if passed a list of mixed </w:t>
      </w:r>
      <w:r>
        <w:rPr>
          <w:rStyle w:val="Text0"/>
        </w:rPr>
        <w:t>int</w:t>
      </w:r>
      <w:r>
        <w:t xml:space="preserve">s and </w:t>
      </w:r>
      <w:r>
        <w:rPr>
          <w:rStyle w:val="Text0"/>
        </w:rPr>
        <w:t>str</w:t>
      </w:r>
      <w:r>
        <w:t>s.</w:t>
      </w:r>
      <w:r>
        <w:rPr>
          <w:rStyle w:val="Text111"/>
        </w:rPr>
        <w:bookmarkStart w:id="1692" w:name="idm45965267805088"/>
        <w:t/>
        <w:bookmarkEnd w:id="1692"/>
        <w:bookmarkStart w:id="1693" w:name="idm45965267803680"/>
        <w:t/>
        <w:bookmarkEnd w:id="1693"/>
      </w:r>
    </w:p>
    <w:p>
      <w:bookmarkStart w:id="1694" w:name="Defining_Custom_Types__Just_as_P"/>
      <w:pPr>
        <w:keepNext/>
        <w:pStyle w:val="Heading 2"/>
      </w:pPr>
      <w:r>
        <w:t>Defining Custom Types</w:t>
      </w:r>
      <w:bookmarkEnd w:id="1694"/>
    </w:p>
    <w:p>
      <w:pPr>
        <w:pStyle w:val="Normal"/>
      </w:pPr>
      <w:r>
        <w:t>Just</w:t>
      </w:r>
      <w:r>
        <w:rPr>
          <w:rStyle w:val="Text111"/>
        </w:rPr>
        <w:bookmarkStart w:id="1695" w:name="TMcustom05"/>
        <w:t/>
        <w:bookmarkEnd w:id="1695"/>
      </w:r>
      <w:r>
        <w:t xml:space="preserve"> as Python’s </w:t>
      </w:r>
      <w:r>
        <w:rPr>
          <w:rStyle w:val="Text5"/>
        </w:rPr>
        <w:t>class</w:t>
      </w:r>
      <w:r>
        <w:t xml:space="preserve"> syntax permits the creation of new runtime types and behavior, the </w:t>
      </w:r>
      <w:r>
        <w:rPr>
          <w:rStyle w:val="Text0"/>
        </w:rPr>
        <w:t>typing</w:t>
      </w:r>
      <w:r>
        <w:t xml:space="preserve"> module constructs discussed in this section enable the creation of specialized type expressions for advanced type checking.</w:t>
      </w:r>
    </w:p>
    <w:p>
      <w:pPr>
        <w:pStyle w:val="Normal"/>
      </w:pPr>
      <w:r>
        <w:t>The</w:t>
      </w:r>
      <w:r>
        <w:rPr>
          <w:rStyle w:val="Text111"/>
        </w:rPr>
        <w:bookmarkStart w:id="1696" w:name="idm45965267764320"/>
        <w:t/>
        <w:bookmarkEnd w:id="1696"/>
      </w:r>
      <w:r>
        <w:t xml:space="preserve"> </w:t>
      </w:r>
      <w:r>
        <w:rPr>
          <w:rStyle w:val="Text0"/>
        </w:rPr>
        <w:t>typing</w:t>
      </w:r>
      <w:r>
        <w:t xml:space="preserve"> module includes three classes from which your classes can inherit to get type definitions and other default features, listed in </w:t>
      </w:r>
      <w:hyperlink w:anchor="Table_5_7__Base_classes_for_defi">
        <w:r>
          <w:rPr>
            <w:rStyle w:val="Text1"/>
          </w:rPr>
          <w:t>Table 5-7</w:t>
        </w:r>
      </w:hyperlink>
      <w:r>
        <w:t>.</w:t>
      </w:r>
    </w:p>
    <w:tbl>
      <w:tblPr>
        <w:tblW w:type="auto" w:w="0"/>
      </w:tblPr>
      <w:tr>
        <w:tc>
          <w:tcPr>
            <w:tcW w:type="auto" w:w="0"/>
            <w:tcMar>
              <w:left w:type="dxa" w:w="200"/>
              <w:top w:type="dxa" w:w="200"/>
              <w:right w:type="dxa" w:w="200"/>
              <w:bottom w:type="dxa" w:w="200"/>
            </w:tcMar>
          </w:tcPr>
          <w:p>
            <w:bookmarkStart w:id="1697" w:name="Table_5_7__Base_classes_for_defi"/>
            <w:pPr>
              <w:pStyle w:val="Para 011"/>
            </w:pPr>
            <w:r>
              <w:rPr>
                <w:rStyle w:val="Text117"/>
              </w:rPr>
              <w:t/>
            </w:r>
            <w:r>
              <w:t xml:space="preserve">Table 5-7. </w:t>
              <w:t>Base classes for defining custom types</w:t>
            </w:r>
            <w:bookmarkEnd w:id="1697"/>
          </w:p>
          <w:p>
            <w:pPr>
              <w:pStyle w:val="Para 001"/>
            </w:pPr>
            <w:r>
              <w:t>Generic</w:t>
            </w:r>
          </w:p>
        </w:tc>
        <w:tc>
          <w:tcPr>
            <w:tcW w:type="auto" w:w="0"/>
            <w:tcMar>
              <w:left w:type="dxa" w:w="200"/>
              <w:top w:type="dxa" w:w="200"/>
              <w:right w:type="dxa" w:w="200"/>
              <w:bottom w:type="dxa" w:w="200"/>
            </w:tcMar>
          </w:tcPr>
          <w:p>
            <w:pPr>
              <w:pStyle w:val="Para 002"/>
            </w:pPr>
            <w:r>
              <w:rPr>
                <w:rStyle w:val="Text0"/>
              </w:rPr>
              <w:t>Generic[</w:t>
            </w:r>
            <w:r>
              <w:rPr>
                <w:rStyle w:val="Text3"/>
              </w:rPr>
              <w:t>type_var</w:t>
            </w:r>
            <w:r>
              <w:rPr>
                <w:rStyle w:val="Text0"/>
              </w:rPr>
              <w:t>,</w:t>
            </w:r>
            <w:r>
              <w:t xml:space="preserve"> </w:t>
            </w:r>
            <w:r>
              <w:rPr>
                <w:rStyle w:val="Text0"/>
              </w:rPr>
              <w:t>...</w:t>
              <w:t>]</w:t>
              <w:br w:clear="none"/>
            </w:r>
            <w:r>
              <w:t xml:space="preserve"> Defines</w:t>
            </w:r>
            <w:r>
              <w:rPr>
                <w:rStyle w:val="Text111"/>
              </w:rPr>
              <w:bookmarkStart w:id="1698" w:name="idm45965267755296"/>
              <w:t/>
              <w:bookmarkEnd w:id="1698"/>
            </w:r>
            <w:r>
              <w:t xml:space="preserve"> a type-checking abstract base class for a class whose methods reference one or more </w:t>
            </w:r>
            <w:r>
              <w:rPr>
                <w:rStyle w:val="Text0"/>
              </w:rPr>
              <w:t>TypeVar</w:t>
            </w:r>
            <w:r>
              <w:t>-defined types. Generics are described in more detail in the following subsection.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NamedTuple</w:t>
            </w:r>
          </w:p>
        </w:tc>
        <w:tc>
          <w:tcPr>
            <w:tcW w:type="auto" w:w="0"/>
            <w:shd w:val="clear" w:color="auto" w:fill="EEF2F6"/>
            <w:tcMar>
              <w:left w:type="dxa" w:w="200"/>
              <w:top w:type="dxa" w:w="200"/>
              <w:right w:type="dxa" w:w="200"/>
              <w:bottom w:type="dxa" w:w="200"/>
            </w:tcMar>
          </w:tcPr>
          <w:p>
            <w:pPr>
              <w:pStyle w:val="Para 002"/>
            </w:pPr>
            <w:r>
              <w:rPr>
                <w:rStyle w:val="Text0"/>
              </w:rPr>
              <w:t>NamedTuple</w:t>
              <w:br w:clear="none"/>
            </w:r>
            <w:r>
              <w:t xml:space="preserve"> A</w:t>
            </w:r>
            <w:r>
              <w:rPr>
                <w:rStyle w:val="Text111"/>
              </w:rPr>
              <w:bookmarkStart w:id="1699" w:name="idm45965267750944"/>
              <w:t/>
              <w:bookmarkEnd w:id="1699"/>
            </w:r>
            <w:r>
              <w:t xml:space="preserve"> typed implementation of </w:t>
            </w:r>
            <w:r>
              <w:rPr>
                <w:rStyle w:val="Text0"/>
              </w:rPr>
              <w:t>collections.namedtuple</w:t>
            </w:r>
            <w:r>
              <w:t xml:space="preserve">. See </w:t>
            </w:r>
            <w:hyperlink w:anchor="NamedTuple__The_collections_name">
              <w:r>
                <w:rPr>
                  <w:rStyle w:val="Text1"/>
                </w:rPr>
                <w:t>“NamedTuple”</w:t>
              </w:r>
            </w:hyperlink>
            <w:r>
              <w:t xml:space="preserve"> for further details and examples.</w:t>
            </w:r>
          </w:p>
        </w:tc>
      </w:tr>
    </w:tbl>
    <w:tbl>
      <w:tblPr>
        <w:tblW w:type="auto" w:w="0"/>
      </w:tblPr>
      <w:tr>
        <w:tc>
          <w:tcPr>
            <w:tcW w:type="auto" w:w="0"/>
            <w:tcMar>
              <w:left w:type="dxa" w:w="200"/>
              <w:top w:type="dxa" w:w="200"/>
              <w:right w:type="dxa" w:w="200"/>
              <w:bottom w:type="dxa" w:w="200"/>
            </w:tcMar>
          </w:tcPr>
          <w:p>
            <w:pPr>
              <w:pStyle w:val="Para 001"/>
            </w:pPr>
            <w:r>
              <w:t>TypedDict</w:t>
            </w:r>
          </w:p>
        </w:tc>
        <w:tc>
          <w:tcPr>
            <w:tcW w:type="auto" w:w="0"/>
            <w:tcMar>
              <w:left w:type="dxa" w:w="200"/>
              <w:top w:type="dxa" w:w="200"/>
              <w:right w:type="dxa" w:w="200"/>
              <w:bottom w:type="dxa" w:w="200"/>
            </w:tcMar>
          </w:tcPr>
          <w:p>
            <w:pPr>
              <w:pStyle w:val="Para 002"/>
            </w:pPr>
            <w:r>
              <w:rPr>
                <w:rStyle w:val="Text0"/>
              </w:rPr>
              <w:t>TypedDict</w:t>
              <w:br w:clear="none"/>
            </w:r>
            <w:r>
              <w:t xml:space="preserve"> </w:t>
            </w:r>
            <w:r>
              <w:rPr>
                <w:rStyle w:val="Text34"/>
              </w:rPr>
              <w:t>3.8+</w:t>
            </w:r>
            <w:r>
              <w:t xml:space="preserve"> Defines</w:t>
            </w:r>
            <w:r>
              <w:rPr>
                <w:rStyle w:val="Text111"/>
              </w:rPr>
              <w:bookmarkStart w:id="1700" w:name="idm45965267744784"/>
              <w:t/>
              <w:bookmarkEnd w:id="1700"/>
            </w:r>
            <w:r>
              <w:t xml:space="preserve"> a type-checking </w:t>
            </w:r>
            <w:r>
              <w:rPr>
                <w:rStyle w:val="Text0"/>
              </w:rPr>
              <w:t>dict</w:t>
            </w:r>
            <w:r>
              <w:t xml:space="preserve"> that has specific keys and value types for each key. See </w:t>
            </w:r>
            <w:hyperlink w:anchor="TypedDict__3_8__Python_dict_vari">
              <w:r>
                <w:rPr>
                  <w:rStyle w:val="Text1"/>
                </w:rPr>
                <w:t>“TypedDict”</w:t>
              </w:r>
            </w:hyperlink>
            <w:r>
              <w:t xml:space="preserve"> for details.</w:t>
            </w:r>
          </w:p>
        </w:tc>
      </w:tr>
    </w:tbl>
    <w:p>
      <w:bookmarkStart w:id="1701" w:name="Generics_and_TypeVars__Generics"/>
      <w:pPr>
        <w:keepNext/>
        <w:pStyle w:val="Heading 2"/>
      </w:pPr>
      <w:r>
        <w:t>Generics and TypeVars</w:t>
      </w:r>
      <w:bookmarkEnd w:id="1701"/>
    </w:p>
    <w:p>
      <w:pPr>
        <w:pStyle w:val="Normal"/>
      </w:pPr>
      <w:r>
        <w:rPr>
          <w:rStyle w:val="Text4"/>
        </w:rPr>
        <w:t>Generics</w:t>
      </w:r>
      <w:r>
        <w:rPr>
          <w:rStyle w:val="Text105"/>
        </w:rPr>
        <w:bookmarkStart w:id="1702" w:name="idm45965267738928"/>
        <w:t/>
        <w:bookmarkEnd w:id="1702"/>
      </w:r>
      <w:r>
        <w:t xml:space="preserve"> are types</w:t>
      </w:r>
      <w:r>
        <w:rPr>
          <w:rStyle w:val="Text111"/>
        </w:rPr>
        <w:bookmarkStart w:id="1703" w:name="idm45965267737504"/>
        <w:t/>
        <w:bookmarkEnd w:id="1703"/>
        <w:bookmarkStart w:id="1704" w:name="typevar05"/>
        <w:t/>
        <w:bookmarkEnd w:id="1704"/>
      </w:r>
      <w:r>
        <w:t xml:space="preserve"> that define a template for classes that can adapt the type annotations of their method signatures based on one or more type parameters. For instance, </w:t>
      </w:r>
      <w:r>
        <w:rPr>
          <w:rStyle w:val="Text0"/>
        </w:rPr>
        <w:t>dict</w:t>
      </w:r>
      <w:r>
        <w:t xml:space="preserve"> is a generic that takes two type parameters: the type for the dictionary keys and the type for the dictionary values. Here is how </w:t>
      </w:r>
      <w:r>
        <w:rPr>
          <w:rStyle w:val="Text0"/>
        </w:rPr>
        <w:t>dict</w:t>
      </w:r>
      <w:r>
        <w:t xml:space="preserve"> might be used to define a dictionary that maps color names to RGB triples:</w:t>
      </w:r>
    </w:p>
    <w:p>
      <w:pPr>
        <w:pStyle w:val="Para 049"/>
      </w:pPr>
      <w:r>
        <w:rPr>
          <w:rStyle w:val="Text23"/>
        </w:rPr>
        <w:t xml:space="preserve"/>
        <w:br w:clear="none"/>
      </w:r>
      <w:r>
        <w:rPr>
          <w:rStyle w:val="Text9"/>
        </w:rPr>
        <w:t xml:space="preserve">color_lookup</w:t>
        <w:br w:clear="none"/>
      </w:r>
      <w:r>
        <w:rPr>
          <w:rStyle w:val="Text7"/>
        </w:rPr>
        <w:t xml:space="preserve">:</w:t>
        <w:br w:clear="none"/>
      </w:r>
      <w:r>
        <w:rPr>
          <w:rStyle w:val="Text23"/>
        </w:rPr>
        <w:t xml:space="preserve"> </w:t>
        <w:br w:clear="none"/>
      </w:r>
      <w:r>
        <w:t xml:space="preserve">dict</w:t>
        <w:br w:clear="none"/>
      </w:r>
      <w:r>
        <w:rPr>
          <w:rStyle w:val="Text7"/>
        </w:rPr>
        <w:t xml:space="preserve">[</w:t>
        <w:br w:clear="none"/>
      </w:r>
      <w:r>
        <w:t xml:space="preserve">str</w:t>
        <w:br w:clear="none"/>
      </w:r>
      <w:r>
        <w:rPr>
          <w:rStyle w:val="Text7"/>
        </w:rPr>
        <w:t xml:space="preserve">,</w:t>
        <w:br w:clear="none"/>
      </w:r>
      <w:r>
        <w:rPr>
          <w:rStyle w:val="Text23"/>
        </w:rPr>
        <w:t xml:space="preserve"> </w:t>
        <w:br w:clear="none"/>
      </w:r>
      <w:r>
        <w:t xml:space="preserve">tuple</w:t>
        <w:br w:clear="none"/>
      </w:r>
      <w:r>
        <w:rPr>
          <w:rStyle w:val="Text7"/>
        </w:rPr>
        <w:t xml:space="preserve">[</w:t>
        <w:br w:clear="none"/>
      </w:r>
      <w:r>
        <w:t xml:space="preserve">int</w:t>
        <w:br w:clear="none"/>
      </w:r>
      <w:r>
        <w:rPr>
          <w:rStyle w:val="Text7"/>
        </w:rPr>
        <w:t xml:space="preserve">,</w:t>
        <w:br w:clear="none"/>
      </w:r>
      <w:r>
        <w:rPr>
          <w:rStyle w:val="Text23"/>
        </w:rPr>
        <w:t xml:space="preserve"> </w:t>
        <w:br w:clear="none"/>
      </w:r>
      <w:r>
        <w:t xml:space="preserve">int</w:t>
        <w:br w:clear="none"/>
      </w:r>
      <w:r>
        <w:rPr>
          <w:rStyle w:val="Text7"/>
        </w:rPr>
        <w:t xml:space="preserve">,</w:t>
        <w:br w:clear="none"/>
      </w:r>
      <w:r>
        <w:rPr>
          <w:rStyle w:val="Text23"/>
        </w:rPr>
        <w:t xml:space="preserve"> </w:t>
        <w:br w:clear="none"/>
      </w:r>
      <w:r>
        <w:t xml:space="preserve">int</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p>
    <w:p>
      <w:pPr>
        <w:pStyle w:val="Normal"/>
      </w:pPr>
      <w:r>
        <w:t xml:space="preserve">The variable </w:t>
      </w:r>
      <w:r>
        <w:rPr>
          <w:rStyle w:val="Text0"/>
        </w:rPr>
        <w:t>color_lookup</w:t>
      </w:r>
      <w:r>
        <w:t xml:space="preserve"> will support statements like:</w:t>
      </w:r>
    </w:p>
    <w:p>
      <w:pPr>
        <w:pStyle w:val="Para 007"/>
      </w:pPr>
      <w:r>
        <w:rPr>
          <w:rStyle w:val="Text23"/>
        </w:rPr>
        <w:t xml:space="preserve"/>
        <w:br w:clear="none"/>
      </w:r>
      <w:r>
        <w:t xml:space="preserve">color_lookup</w:t>
        <w:br w:clear="none"/>
      </w:r>
      <w:r>
        <w:rPr>
          <w:rStyle w:val="Text7"/>
        </w:rPr>
        <w:t xml:space="preserve">[</w:t>
        <w:br w:clear="none"/>
      </w:r>
      <w:r>
        <w:rPr>
          <w:rStyle w:val="Text8"/>
        </w:rPr>
        <w:t xml:space="preserve">'red'</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7"/>
        </w:rPr>
        <w:t xml:space="preserve">255</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br w:clear="none"/>
      </w:r>
      <w:r>
        <w:t xml:space="preserve">color_lookup</w:t>
        <w:br w:clear="none"/>
      </w:r>
      <w:r>
        <w:rPr>
          <w:rStyle w:val="Text7"/>
        </w:rPr>
        <w:t xml:space="preserve">[</w:t>
        <w:br w:clear="none"/>
      </w:r>
      <w:r>
        <w:rPr>
          <w:rStyle w:val="Text8"/>
        </w:rPr>
        <w:t xml:space="preserve">'red'</w:t>
        <w:br w:clear="none"/>
      </w:r>
      <w:r>
        <w:rPr>
          <w:rStyle w:val="Text7"/>
        </w:rPr>
        <w:t xml:space="preserve">][</w:t>
        <w:br w:clear="none"/>
      </w:r>
      <w:r>
        <w:rPr>
          <w:rStyle w:val="Text27"/>
        </w:rPr>
        <w:t xml:space="preserve">2</w:t>
        <w:br w:clear="none"/>
      </w:r>
      <w:r>
        <w:rPr>
          <w:rStyle w:val="Text7"/>
        </w:rPr>
        <w:t xml:space="preserve">]</w:t>
        <w:br w:clear="none"/>
      </w:r>
    </w:p>
    <w:p>
      <w:pPr>
        <w:pStyle w:val="Normal"/>
      </w:pPr>
      <w:r>
        <w:t xml:space="preserve">However, the following statements generate </w:t>
      </w:r>
      <w:r>
        <w:rPr>
          <w:rStyle w:val="Text0"/>
        </w:rPr>
        <w:t>mypy</w:t>
      </w:r>
      <w:r>
        <w:t xml:space="preserve"> errors, due to a mismatched key or value type:</w:t>
      </w:r>
    </w:p>
    <w:p>
      <w:pPr>
        <w:pStyle w:val="Para 007"/>
      </w:pPr>
      <w:r>
        <w:rPr>
          <w:rStyle w:val="Text23"/>
        </w:rPr>
        <w:t xml:space="preserve"/>
        <w:br w:clear="none"/>
      </w:r>
      <w:r>
        <w:t xml:space="preserve">color_lookup</w:t>
        <w:br w:clear="none"/>
      </w:r>
      <w:r>
        <w:rPr>
          <w:rStyle w:val="Text7"/>
        </w:rPr>
        <w:t xml:space="preserve">[</w:t>
        <w:br w:clear="none"/>
      </w:r>
      <w:r>
        <w:rPr>
          <w:rStyle w:val="Text27"/>
        </w:rPr>
        <w:t xml:space="preserve">0</w:t>
        <w:br w:clear="none"/>
      </w:r>
      <w:r>
        <w:rPr>
          <w:rStyle w:val="Text7"/>
        </w:rPr>
        <w:t xml:space="preserve">]</w:t>
        <w:br w:clear="none"/>
      </w:r>
    </w:p>
    <w:p>
      <w:pPr>
        <w:pStyle w:val="Para 008"/>
      </w:pPr>
      <w:r>
        <w:rPr>
          <w:rStyle w:val="Text48"/>
        </w:rPr>
        <w:t xml:space="preserve"/>
        <w:br w:clear="none"/>
      </w:r>
      <w:r>
        <w:t xml:space="preserve">error: Invalid index type "int" for "dict[str, tuple[int, int, int]]";</w:t>
        <w:br w:clear="none"/>
      </w:r>
      <w:r>
        <w:rPr>
          <w:rStyle w:val="Text48"/>
        </w:rPr>
        <w:t xml:space="preserve"/>
        <w:br w:clear="none"/>
      </w:r>
      <w:r>
        <w:t xml:space="preserve">expected type "str"</w:t>
        <w:br w:clear="none"/>
      </w:r>
    </w:p>
    <w:p>
      <w:pPr>
        <w:pStyle w:val="Para 007"/>
      </w:pPr>
      <w:r>
        <w:rPr>
          <w:rStyle w:val="Text23"/>
        </w:rPr>
        <w:t xml:space="preserve"/>
        <w:br w:clear="none"/>
      </w:r>
      <w:r>
        <w:t xml:space="preserve">color_lookup</w:t>
        <w:br w:clear="none"/>
      </w:r>
      <w:r>
        <w:rPr>
          <w:rStyle w:val="Text7"/>
        </w:rPr>
        <w:t xml:space="preserve">[</w:t>
        <w:br w:clear="none"/>
      </w:r>
      <w:r>
        <w:rPr>
          <w:rStyle w:val="Text8"/>
        </w:rPr>
        <w:t xml:space="preserve">'red'</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7"/>
        </w:rPr>
        <w:t xml:space="preserve">255</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p>
    <w:p>
      <w:pPr>
        <w:pStyle w:val="Para 008"/>
      </w:pPr>
      <w:r>
        <w:rPr>
          <w:rStyle w:val="Text48"/>
        </w:rPr>
        <w:t xml:space="preserve"/>
        <w:br w:clear="none"/>
      </w:r>
      <w:r>
        <w:t xml:space="preserve">error: Incompatible types in assignment (expression has type</w:t>
        <w:br w:clear="none"/>
      </w:r>
      <w:r>
        <w:rPr>
          <w:rStyle w:val="Text48"/>
        </w:rPr>
        <w:t xml:space="preserve"/>
        <w:br w:clear="none"/>
      </w:r>
      <w:r>
        <w:t xml:space="preserve">"tuple[int, int, int, int]", target has type "tuple[int, int, int]")</w:t>
        <w:br w:clear="none"/>
      </w:r>
    </w:p>
    <w:p>
      <w:pPr>
        <w:pStyle w:val="Normal"/>
      </w:pPr>
      <w:r>
        <w:t xml:space="preserve">Generic typing permits the definition of behavior in a class that is independent of the specific types of the objects that class works with. Generics are often used for defining container types, such as </w:t>
      </w:r>
      <w:r>
        <w:rPr>
          <w:rStyle w:val="Text0"/>
        </w:rPr>
        <w:t>dict</w:t>
      </w:r>
      <w:r>
        <w:t xml:space="preserve">, </w:t>
      </w:r>
      <w:r>
        <w:rPr>
          <w:rStyle w:val="Text0"/>
        </w:rPr>
        <w:t>list</w:t>
      </w:r>
      <w:r>
        <w:t xml:space="preserve">, </w:t>
      </w:r>
      <w:r>
        <w:rPr>
          <w:rStyle w:val="Text0"/>
        </w:rPr>
        <w:t>set</w:t>
      </w:r>
      <w:r>
        <w:t xml:space="preserve">, etc. By defining a generic type, we avoid the necessity of exhaustively defining types for </w:t>
      </w:r>
      <w:r>
        <w:rPr>
          <w:rStyle w:val="Text0"/>
        </w:rPr>
        <w:t>DictOfStrInt</w:t>
      </w:r>
      <w:r>
        <w:t xml:space="preserve">, </w:t>
      </w:r>
      <w:r>
        <w:rPr>
          <w:rStyle w:val="Text0"/>
        </w:rPr>
        <w:t>DictOfIntEmployee</w:t>
      </w:r>
      <w:r>
        <w:t xml:space="preserve">, and so on. Instead, a generic </w:t>
      </w:r>
      <w:r>
        <w:rPr>
          <w:rStyle w:val="Text0"/>
        </w:rPr>
        <w:t>dict</w:t>
      </w:r>
      <w:r>
        <w:t xml:space="preserve"> is defined as </w:t>
      </w:r>
      <w:r>
        <w:rPr>
          <w:rStyle w:val="Text0"/>
        </w:rPr>
        <w:t>dict[</w:t>
      </w:r>
      <w:r>
        <w:rPr>
          <w:rStyle w:val="Text3"/>
        </w:rPr>
        <w:t>KT</w:t>
      </w:r>
      <w:r>
        <w:rPr>
          <w:rStyle w:val="Text0"/>
        </w:rPr>
        <w:t>,</w:t>
      </w:r>
      <w:r>
        <w:t xml:space="preserve"> </w:t>
      </w:r>
      <w:r>
        <w:rPr>
          <w:rStyle w:val="Text3"/>
        </w:rPr>
        <w:t>VT</w:t>
      </w:r>
      <w:r>
        <w:rPr>
          <w:rStyle w:val="Text0"/>
        </w:rPr>
        <w:t>]</w:t>
      </w:r>
      <w:r>
        <w:t xml:space="preserve">, where </w:t>
      </w:r>
      <w:r>
        <w:rPr>
          <w:rStyle w:val="Text3"/>
        </w:rPr>
        <w:t>KT</w:t>
      </w:r>
      <w:r>
        <w:t xml:space="preserve"> and </w:t>
      </w:r>
      <w:r>
        <w:rPr>
          <w:rStyle w:val="Text3"/>
        </w:rPr>
        <w:t>VT</w:t>
      </w:r>
      <w:r>
        <w:t xml:space="preserve"> are placeholders for the </w:t>
      </w:r>
      <w:r>
        <w:rPr>
          <w:rStyle w:val="Text0"/>
        </w:rPr>
        <w:t>dict</w:t>
      </w:r>
      <w:r>
        <w:t xml:space="preserve">’s key type and value type, and the specific types for any particular </w:t>
      </w:r>
      <w:r>
        <w:rPr>
          <w:rStyle w:val="Text0"/>
        </w:rPr>
        <w:t>dict</w:t>
      </w:r>
      <w:r>
        <w:t xml:space="preserve"> can be defined when the </w:t>
      </w:r>
      <w:r>
        <w:rPr>
          <w:rStyle w:val="Text0"/>
        </w:rPr>
        <w:t>dict</w:t>
      </w:r>
      <w:r>
        <w:t xml:space="preserve"> is instantiated.</w:t>
      </w:r>
    </w:p>
    <w:p>
      <w:pPr>
        <w:pStyle w:val="Normal"/>
      </w:pPr>
      <w:r>
        <w:t xml:space="preserve">As an example, let’s define a hypothetical generic class: an accumulator that can be updated with values, but which also supports an </w:t>
      </w:r>
      <w:r>
        <w:rPr>
          <w:rStyle w:val="Text0"/>
        </w:rPr>
        <w:t>undo</w:t>
      </w:r>
      <w:r>
        <w:t xml:space="preserve"> method. Since the </w:t>
        <w:t>accumulator</w:t>
        <w:t xml:space="preserve"> is a generic container, we declare a </w:t>
      </w:r>
      <w:r>
        <w:rPr>
          <w:rStyle w:val="Text0"/>
        </w:rPr>
        <w:t>TypeVar</w:t>
      </w:r>
      <w:r>
        <w:t xml:space="preserve"> to represent the type of the contained objects: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typing</w:t>
        <w:br w:clear="none"/>
      </w:r>
      <w:r>
        <w:rPr>
          <w:rStyle w:val="Text6"/>
        </w:rPr>
        <w:t xml:space="preserve"/>
        <w:br w:clear="none"/>
      </w:r>
      <w:r>
        <w:t xml:space="preserve">T</w:t>
        <w:br w:clear="none"/>
      </w:r>
      <w:r>
        <w:rPr>
          <w:rStyle w:val="Text6"/>
        </w:rPr>
        <w:t xml:space="preserve"> </w:t>
        <w:br w:clear="none"/>
      </w:r>
      <w:r>
        <w:rPr>
          <w:rStyle w:val="Text13"/>
        </w:rPr>
        <w:t xml:space="preserve">=</w:t>
        <w:br w:clear="none"/>
      </w:r>
      <w:r>
        <w:rPr>
          <w:rStyle w:val="Text6"/>
        </w:rPr>
        <w:t xml:space="preserve"> </w:t>
        <w:br w:clear="none"/>
      </w:r>
      <w:r>
        <w:t xml:space="preserve">typing</w:t>
        <w:br w:clear="none"/>
      </w:r>
      <w:r>
        <w:rPr>
          <w:rStyle w:val="Text13"/>
        </w:rPr>
        <w:t xml:space="preserve">.</w:t>
        <w:br w:clear="none"/>
      </w:r>
      <w:r>
        <w:t xml:space="preserve">TypeVar</w:t>
        <w:br w:clear="none"/>
      </w:r>
      <w:r>
        <w:rPr>
          <w:rStyle w:val="Text7"/>
        </w:rPr>
        <w:t xml:space="preserve">(</w:t>
        <w:br w:clear="none"/>
      </w:r>
      <w:r>
        <w:rPr>
          <w:rStyle w:val="Text8"/>
        </w:rPr>
        <w:t xml:space="preserve">'</w:t>
        <w:br w:clear="none"/>
        <w:t xml:space="preserve">T</w:t>
        <w:br w:clear="none"/>
        <w:t xml:space="preserve">'</w:t>
        <w:br w:clear="none"/>
      </w:r>
      <w:r>
        <w:rPr>
          <w:rStyle w:val="Text7"/>
        </w:rPr>
        <w:t xml:space="preserve">)</w:t>
        <w:br w:clear="none"/>
      </w:r>
    </w:p>
    <w:p>
      <w:pPr>
        <w:pStyle w:val="Normal"/>
      </w:pPr>
      <w:r>
        <w:t xml:space="preserve">The </w:t>
      </w:r>
      <w:r>
        <w:rPr>
          <w:rStyle w:val="Text0"/>
        </w:rPr>
        <w:t>Accumulator</w:t>
      </w:r>
      <w:r>
        <w:t xml:space="preserve"> class is defined as a subclass of </w:t>
      </w:r>
      <w:r>
        <w:rPr>
          <w:rStyle w:val="Text0"/>
        </w:rPr>
        <w:t>Generic</w:t>
      </w:r>
      <w:r>
        <w:t xml:space="preserve">, with </w:t>
      </w:r>
      <w:r>
        <w:rPr>
          <w:rStyle w:val="Text0"/>
        </w:rPr>
        <w:t>T</w:t>
      </w:r>
      <w:r>
        <w:t xml:space="preserve"> as a type parameter. Here is the class declaration and its </w:t>
      </w:r>
      <w:r>
        <w:rPr>
          <w:rStyle w:val="Text0"/>
        </w:rPr>
        <w:t>__init__</w:t>
      </w:r>
      <w:r>
        <w:t xml:space="preserve"> method, which creates a contained list, initially empty, of objects of type </w:t>
      </w:r>
      <w:r>
        <w:rPr>
          <w:rStyle w:val="Text0"/>
        </w:rPr>
        <w:t>T</w:t>
      </w:r>
      <w:r>
        <w:t>:</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Accumulator</w:t>
        <w:br w:clear="none"/>
      </w:r>
      <w:r>
        <w:rPr>
          <w:rStyle w:val="Text7"/>
        </w:rPr>
        <w:t xml:space="preserve">(</w:t>
        <w:br w:clear="none"/>
      </w:r>
      <w:r>
        <w:rPr>
          <w:rStyle w:val="Text9"/>
        </w:rPr>
        <w:t xml:space="preserve">typing</w:t>
        <w:br w:clear="none"/>
      </w:r>
      <w:r>
        <w:rPr>
          <w:rStyle w:val="Text13"/>
        </w:rPr>
        <w:t xml:space="preserve">.</w:t>
        <w:br w:clear="none"/>
      </w:r>
      <w:r>
        <w:rPr>
          <w:rStyle w:val="Text9"/>
        </w:rPr>
        <w:t xml:space="preserve">Generic</w:t>
        <w:br w:clear="none"/>
      </w:r>
      <w:r>
        <w:rPr>
          <w:rStyle w:val="Text7"/>
        </w:rPr>
        <w:t xml:space="preserve">[</w:t>
        <w:br w:clear="none"/>
      </w:r>
      <w:r>
        <w:rPr>
          <w:rStyle w:val="Text9"/>
        </w:rPr>
        <w:t xml:space="preserve">T</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_contents</w:t>
        <w:br w:clear="none"/>
      </w:r>
      <w:r>
        <w:rPr>
          <w:rStyle w:val="Text7"/>
        </w:rPr>
        <w:t xml:space="preserve">:</w:t>
        <w:br w:clear="none"/>
      </w:r>
      <w:r>
        <w:t xml:space="preserve"> </w:t>
        <w:br w:clear="none"/>
      </w:r>
      <w:r>
        <w:rPr>
          <w:rStyle w:val="Text16"/>
        </w:rPr>
        <w:t xml:space="preserve">list</w:t>
        <w:br w:clear="none"/>
      </w:r>
      <w:r>
        <w:rPr>
          <w:rStyle w:val="Text7"/>
        </w:rPr>
        <w:t xml:space="preserve">[</w:t>
        <w:br w:clear="none"/>
      </w:r>
      <w:r>
        <w:rPr>
          <w:rStyle w:val="Text9"/>
        </w:rPr>
        <w:t xml:space="preserve">T</w:t>
        <w:br w:clear="none"/>
      </w:r>
      <w:r>
        <w:rPr>
          <w:rStyle w:val="Text7"/>
        </w:rPr>
        <w:t xml:space="preserve">]</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p>
    <w:p>
      <w:pPr>
        <w:pStyle w:val="Normal"/>
      </w:pPr>
      <w:r>
        <w:t xml:space="preserve">To add the </w:t>
      </w:r>
      <w:r>
        <w:rPr>
          <w:rStyle w:val="Text0"/>
        </w:rPr>
        <w:t>update</w:t>
      </w:r>
      <w:r>
        <w:t xml:space="preserve"> and </w:t>
      </w:r>
      <w:r>
        <w:rPr>
          <w:rStyle w:val="Text0"/>
        </w:rPr>
        <w:t>undo</w:t>
      </w:r>
      <w:r>
        <w:t xml:space="preserve"> methods, we define arguments that reference the contained objects as being of type </w:t>
      </w:r>
      <w:r>
        <w:rPr>
          <w:rStyle w:val="Text0"/>
        </w:rPr>
        <w:t>T</w:t>
      </w:r>
      <w:r>
        <w:t>:</w:t>
      </w:r>
    </w:p>
    <w:p>
      <w:pPr>
        <w:pStyle w:val="Para 018"/>
      </w:pPr>
      <w:r>
        <w:rPr>
          <w:rStyle w:val="Text104"/>
        </w:rPr>
        <w:t xml:space="preserve"/>
        <w:br w:clear="none"/>
      </w:r>
      <w:r>
        <w:t xml:space="preserve">    </w:t>
        <w:br w:clear="none"/>
      </w:r>
      <w:r>
        <w:rPr>
          <w:rStyle w:val="Text10"/>
        </w:rPr>
        <w:t xml:space="preserve">def</w:t>
        <w:br w:clear="none"/>
      </w:r>
      <w:r>
        <w:t xml:space="preserve"> </w:t>
        <w:br w:clear="none"/>
      </w:r>
      <w:r>
        <w:rPr>
          <w:rStyle w:val="Text18"/>
        </w:rPr>
        <w:t xml:space="preserve">update</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3"/>
        </w:rPr>
        <w:t xml:space="preserve">*</w:t>
        <w:br w:clear="none"/>
      </w:r>
      <w:r>
        <w:rPr>
          <w:rStyle w:val="Text9"/>
        </w:rPr>
        <w:t xml:space="preserve">args</w:t>
        <w:br w:clear="none"/>
      </w:r>
      <w:r>
        <w:rPr>
          <w:rStyle w:val="Text7"/>
        </w:rPr>
        <w:t xml:space="preserve">:</w:t>
        <w:br w:clear="none"/>
      </w:r>
      <w:r>
        <w:t xml:space="preserve"> </w:t>
        <w:br w:clear="none"/>
      </w:r>
      <w:r>
        <w:rPr>
          <w:rStyle w:val="Text9"/>
        </w:rPr>
        <w:t xml:space="preserve">T</w:t>
        <w:br w:clear="none"/>
      </w:r>
      <w:r>
        <w:rPr>
          <w:rStyle w:val="Text7"/>
        </w:rPr>
        <w:t xml:space="preserve">)</w:t>
        <w:br w:clear="none"/>
      </w:r>
      <w:r>
        <w:t xml:space="preserve"> </w:t>
        <w:br w:clear="none"/>
      </w:r>
      <w:r>
        <w:rPr>
          <w:rStyle w:val="Text13"/>
        </w:rPr>
        <w:t xml:space="preserve">-</w:t>
        <w:br w:clear="none"/>
        <w:t xml:space="preserve">&gt;</w:t>
        <w:br w:clear="none"/>
      </w:r>
      <w: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_contents</w:t>
        <w:br w:clear="none"/>
      </w:r>
      <w:r>
        <w:rPr>
          <w:rStyle w:val="Text13"/>
        </w:rPr>
        <w:t xml:space="preserve">.</w:t>
        <w:br w:clear="none"/>
      </w:r>
      <w:r>
        <w:rPr>
          <w:rStyle w:val="Text9"/>
        </w:rPr>
        <w:t xml:space="preserve">extend</w:t>
        <w:br w:clear="none"/>
      </w:r>
      <w:r>
        <w:rPr>
          <w:rStyle w:val="Text7"/>
        </w:rPr>
        <w:t xml:space="preserve">(</w:t>
        <w:br w:clear="none"/>
      </w:r>
      <w:r>
        <w:rPr>
          <w:rStyle w:val="Text9"/>
        </w:rPr>
        <w:t xml:space="preserve">args</w:t>
        <w:br w:clear="none"/>
      </w:r>
      <w:r>
        <w:rPr>
          <w:rStyle w:val="Text7"/>
        </w:rPr>
        <w:t xml:space="preserve">)</w:t>
        <w:br w:clear="none"/>
      </w:r>
      <w:r>
        <w:t xml:space="preserve"/>
        <w:br w:clear="none"/>
        <w:t xml:space="preserve"/>
        <w:br w:clear="none"/>
        <w:t xml:space="preserve">    </w:t>
        <w:br w:clear="none"/>
      </w:r>
      <w:r>
        <w:rPr>
          <w:rStyle w:val="Text10"/>
        </w:rPr>
        <w:t xml:space="preserve">def</w:t>
        <w:br w:clear="none"/>
      </w:r>
      <w:r>
        <w:t xml:space="preserve"> </w:t>
        <w:br w:clear="none"/>
      </w:r>
      <w:r>
        <w:rPr>
          <w:rStyle w:val="Text18"/>
        </w:rPr>
        <w:t xml:space="preserve">undo</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3"/>
        </w:rPr>
        <w:t xml:space="preserve">-</w:t>
        <w:br w:clear="none"/>
        <w:t xml:space="preserve">&gt;</w:t>
        <w:br w:clear="none"/>
      </w:r>
      <w: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15"/>
        </w:rPr>
        <w:t xml:space="preserve"># remove last value added</w:t>
        <w:br w:clear="none"/>
      </w:r>
      <w:r>
        <w:t xml:space="preserve"/>
        <w:br w:clear="none"/>
        <w:t xml:space="preserve">        </w:t>
        <w:br w:clear="none"/>
      </w:r>
      <w:r>
        <w:rPr>
          <w:rStyle w:val="Text10"/>
        </w:rPr>
        <w:t xml:space="preserve">if</w:t>
        <w:br w:clear="none"/>
      </w:r>
      <w:r>
        <w:t xml:space="preserve"> </w:t>
        <w:br w:clear="none"/>
      </w:r>
      <w:r>
        <w:rPr>
          <w:rStyle w:val="Text16"/>
        </w:rPr>
        <w:t xml:space="preserve">self</w:t>
        <w:br w:clear="none"/>
      </w:r>
      <w:r>
        <w:rPr>
          <w:rStyle w:val="Text13"/>
        </w:rPr>
        <w:t xml:space="preserve">.</w:t>
        <w:br w:clear="none"/>
      </w:r>
      <w:r>
        <w:rPr>
          <w:rStyle w:val="Text9"/>
        </w:rPr>
        <w:t xml:space="preserve">_contents</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_contents</w:t>
        <w:br w:clear="none"/>
      </w:r>
      <w:r>
        <w:rPr>
          <w:rStyle w:val="Text13"/>
        </w:rPr>
        <w:t xml:space="preserve">.</w:t>
        <w:br w:clear="none"/>
      </w:r>
      <w:r>
        <w:rPr>
          <w:rStyle w:val="Text9"/>
        </w:rPr>
        <w:t xml:space="preserve">pop</w:t>
        <w:br w:clear="none"/>
      </w:r>
      <w:r>
        <w:rPr>
          <w:rStyle w:val="Text7"/>
        </w:rPr>
        <w:t xml:space="preserve">(</w:t>
        <w:br w:clear="none"/>
        <w:t xml:space="preserve">)</w:t>
        <w:br w:clear="none"/>
      </w:r>
    </w:p>
    <w:p>
      <w:pPr>
        <w:pStyle w:val="Normal"/>
      </w:pPr>
      <w:r>
        <w:t xml:space="preserve">Lastly, we add </w:t>
      </w:r>
      <w:r>
        <w:rPr>
          <w:rStyle w:val="Text0"/>
        </w:rPr>
        <w:t>__len__</w:t>
      </w:r>
      <w:r>
        <w:t xml:space="preserve"> and </w:t>
      </w:r>
      <w:r>
        <w:rPr>
          <w:rStyle w:val="Text0"/>
        </w:rPr>
        <w:t>__iter__</w:t>
      </w:r>
      <w:r>
        <w:t xml:space="preserve"> methods so that </w:t>
      </w:r>
      <w:r>
        <w:rPr>
          <w:rStyle w:val="Text0"/>
        </w:rPr>
        <w:t>Accumulator</w:t>
      </w:r>
      <w:r>
        <w:t xml:space="preserve"> instances can be iterated over:</w:t>
      </w:r>
    </w:p>
    <w:p>
      <w:pPr>
        <w:pStyle w:val="Para 018"/>
      </w:pPr>
      <w:r>
        <w:rPr>
          <w:rStyle w:val="Text104"/>
        </w:rPr>
        <w:t xml:space="preserve"/>
        <w:br w:clear="none"/>
      </w:r>
      <w:r>
        <w:t xml:space="preserve">    </w:t>
        <w:br w:clear="none"/>
      </w:r>
      <w:r>
        <w:rPr>
          <w:rStyle w:val="Text10"/>
        </w:rPr>
        <w:t xml:space="preserve">def</w:t>
        <w:br w:clear="none"/>
      </w:r>
      <w:r>
        <w:t xml:space="preserve"> </w:t>
        <w:br w:clear="none"/>
        <w:t xml:space="preserve">__len__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3"/>
        </w:rPr>
        <w:t xml:space="preserve">-</w:t>
        <w:br w:clear="none"/>
        <w:t xml:space="preserve">&gt;</w:t>
        <w:br w:clear="none"/>
      </w:r>
      <w:r>
        <w:t xml:space="preserve"> </w:t>
        <w:br w:clear="none"/>
      </w:r>
      <w:r>
        <w:rPr>
          <w:rStyle w:val="Text16"/>
        </w:rPr>
        <w:t xml:space="preserve">int</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len</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_contents</w:t>
        <w:br w:clear="none"/>
      </w:r>
      <w:r>
        <w:rPr>
          <w:rStyle w:val="Text7"/>
        </w:rPr>
        <w:t xml:space="preserve">)</w:t>
        <w:br w:clear="none"/>
      </w:r>
      <w:r>
        <w:t xml:space="preserve"/>
        <w:br w:clear="none"/>
        <w:t xml:space="preserve"/>
        <w:br w:clear="none"/>
        <w:t xml:space="preserve">    </w:t>
        <w:br w:clear="none"/>
      </w:r>
      <w:r>
        <w:rPr>
          <w:rStyle w:val="Text10"/>
        </w:rPr>
        <w:t xml:space="preserve">def</w:t>
        <w:br w:clear="none"/>
      </w:r>
      <w:r>
        <w:t xml:space="preserve"> </w:t>
        <w:br w:clear="none"/>
        <w:t xml:space="preserve">__iter__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3"/>
        </w:rPr>
        <w:t xml:space="preserve">-</w:t>
        <w:br w:clear="none"/>
        <w:t xml:space="preserve">&gt;</w:t>
        <w:br w:clear="none"/>
      </w:r>
      <w:r>
        <w:t xml:space="preserve"> </w:t>
        <w:br w:clear="none"/>
      </w:r>
      <w:r>
        <w:rPr>
          <w:rStyle w:val="Text9"/>
        </w:rPr>
        <w:t xml:space="preserve">typing</w:t>
        <w:br w:clear="none"/>
      </w:r>
      <w:r>
        <w:rPr>
          <w:rStyle w:val="Text13"/>
        </w:rPr>
        <w:t xml:space="preserve">.</w:t>
        <w:br w:clear="none"/>
      </w:r>
      <w:r>
        <w:rPr>
          <w:rStyle w:val="Text9"/>
        </w:rPr>
        <w:t xml:space="preserve">Iterator</w:t>
        <w:br w:clear="none"/>
      </w:r>
      <w:r>
        <w:rPr>
          <w:rStyle w:val="Text7"/>
        </w:rPr>
        <w:t xml:space="preserve">[</w:t>
        <w:br w:clear="none"/>
      </w:r>
      <w:r>
        <w:rPr>
          <w:rStyle w:val="Text9"/>
        </w:rPr>
        <w:t xml:space="preserve">T</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iter</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_contents</w:t>
        <w:br w:clear="none"/>
      </w:r>
      <w:r>
        <w:rPr>
          <w:rStyle w:val="Text7"/>
        </w:rPr>
        <w:t xml:space="preserve">)</w:t>
        <w:br w:clear="none"/>
      </w:r>
    </w:p>
    <w:p>
      <w:pPr>
        <w:pStyle w:val="Normal"/>
      </w:pPr>
      <w:r>
        <w:t xml:space="preserve">Now this class can be used to write code using </w:t>
      </w:r>
      <w:r>
        <w:rPr>
          <w:rStyle w:val="Text0"/>
        </w:rPr>
        <w:t>Accumulator[int]</w:t>
      </w:r>
      <w:r>
        <w:t xml:space="preserve"> to collect a number of </w:t>
      </w:r>
      <w:r>
        <w:rPr>
          <w:rStyle w:val="Text0"/>
        </w:rPr>
        <w:t>int</w:t>
      </w:r>
      <w:r>
        <w:t xml:space="preserve"> values:</w:t>
      </w:r>
    </w:p>
    <w:p>
      <w:pPr>
        <w:pStyle w:val="Para 007"/>
      </w:pPr>
      <w:r>
        <w:rPr>
          <w:rStyle w:val="Text23"/>
        </w:rPr>
        <w:t xml:space="preserve"/>
        <w:br w:clear="none"/>
      </w:r>
      <w:r>
        <w:t xml:space="preserve">acc</w:t>
        <w:br w:clear="none"/>
      </w:r>
      <w:r>
        <w:rPr>
          <w:rStyle w:val="Text7"/>
        </w:rPr>
        <w:t xml:space="preserve">:</w:t>
        <w:br w:clear="none"/>
      </w:r>
      <w:r>
        <w:rPr>
          <w:rStyle w:val="Text23"/>
        </w:rPr>
        <w:t xml:space="preserve"> </w:t>
        <w:br w:clear="none"/>
      </w:r>
      <w:r>
        <w:t xml:space="preserve">Accumulator</w:t>
        <w:br w:clear="none"/>
      </w:r>
      <w:r>
        <w:rPr>
          <w:rStyle w:val="Text7"/>
        </w:rPr>
        <w:t xml:space="preserve">[</w:t>
        <w:br w:clear="none"/>
      </w:r>
      <w:r>
        <w:rPr>
          <w:rStyle w:val="Text16"/>
        </w:rPr>
        <w:t xml:space="preserve">int</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Accumulator</w:t>
        <w:br w:clear="none"/>
      </w:r>
      <w:r>
        <w:rPr>
          <w:rStyle w:val="Text7"/>
        </w:rPr>
        <w:t xml:space="preserve">()</w:t>
        <w:br w:clear="none"/>
      </w:r>
      <w:r>
        <w:rPr>
          <w:rStyle w:val="Text23"/>
        </w:rPr>
        <w:t xml:space="preserve"/>
        <w:br w:clear="none"/>
      </w:r>
      <w:r>
        <w:t xml:space="preserve">acc</w:t>
        <w:br w:clear="none"/>
      </w:r>
      <w:r>
        <w:rPr>
          <w:rStyle w:val="Text13"/>
        </w:rPr>
        <w:t xml:space="preserve">.</w:t>
        <w:br w:clear="none"/>
      </w:r>
      <w:r>
        <w:t xml:space="preserve">update</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27"/>
        </w:rPr>
        <w:t xml:space="preserve">2</w:t>
        <w:br w:clear="none"/>
      </w:r>
      <w:r>
        <w:rPr>
          <w:rStyle w:val="Text7"/>
        </w:rPr>
        <w:t xml:space="preserve">,</w:t>
        <w:br w:clear="none"/>
      </w:r>
      <w:r>
        <w:rPr>
          <w:rStyle w:val="Text23"/>
        </w:rPr>
        <w:t xml:space="preserve"> </w:t>
        <w:br w:clear="none"/>
      </w:r>
      <w:r>
        <w:rPr>
          <w:rStyle w:val="Text27"/>
        </w:rPr>
        <w:t xml:space="preserve">3</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rPr>
          <w:rStyle w:val="Text16"/>
        </w:rPr>
        <w:t xml:space="preserve">sum</w:t>
        <w:br w:clear="none"/>
      </w:r>
      <w:r>
        <w:rPr>
          <w:rStyle w:val="Text7"/>
        </w:rPr>
        <w:t xml:space="preserve">(</w:t>
        <w:br w:clear="none"/>
      </w:r>
      <w:r>
        <w:t xml:space="preserve">acc</w:t>
        <w:br w:clear="none"/>
      </w:r>
      <w:r>
        <w:rPr>
          <w:rStyle w:val="Text7"/>
        </w:rPr>
        <w:t xml:space="preserve">))</w:t>
        <w:br w:clear="none"/>
      </w:r>
      <w:r>
        <w:rPr>
          <w:rStyle w:val="Text23"/>
        </w:rPr>
        <w:t xml:space="preserve">  </w:t>
        <w:br w:clear="none"/>
      </w:r>
      <w:r>
        <w:rPr>
          <w:rStyle w:val="Text26"/>
        </w:rPr>
        <w:t xml:space="preserve"># prints 6</w:t>
        <w:br w:clear="none"/>
      </w:r>
      <w:r>
        <w:rPr>
          <w:rStyle w:val="Text23"/>
        </w:rPr>
        <w:t xml:space="preserve"/>
        <w:br w:clear="none"/>
      </w:r>
      <w:r>
        <w:t xml:space="preserve">acc</w:t>
        <w:br w:clear="none"/>
      </w:r>
      <w:r>
        <w:rPr>
          <w:rStyle w:val="Text13"/>
        </w:rPr>
        <w:t xml:space="preserve">.</w:t>
        <w:br w:clear="none"/>
      </w:r>
      <w:r>
        <w:t xml:space="preserve">undo</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rPr>
          <w:rStyle w:val="Text16"/>
        </w:rPr>
        <w:t xml:space="preserve">sum</w:t>
        <w:br w:clear="none"/>
      </w:r>
      <w:r>
        <w:rPr>
          <w:rStyle w:val="Text7"/>
        </w:rPr>
        <w:t xml:space="preserve">(</w:t>
        <w:br w:clear="none"/>
      </w:r>
      <w:r>
        <w:t xml:space="preserve">acc</w:t>
        <w:br w:clear="none"/>
      </w:r>
      <w:r>
        <w:rPr>
          <w:rStyle w:val="Text7"/>
        </w:rPr>
        <w:t xml:space="preserve">))</w:t>
        <w:br w:clear="none"/>
      </w:r>
      <w:r>
        <w:rPr>
          <w:rStyle w:val="Text23"/>
        </w:rPr>
        <w:t xml:space="preserve">  </w:t>
        <w:br w:clear="none"/>
      </w:r>
      <w:r>
        <w:rPr>
          <w:rStyle w:val="Text26"/>
        </w:rPr>
        <w:t xml:space="preserve"># prints 3</w:t>
        <w:br w:clear="none"/>
      </w:r>
    </w:p>
    <w:p>
      <w:pPr>
        <w:pStyle w:val="Normal"/>
      </w:pPr>
      <w:r>
        <w:t xml:space="preserve">Because </w:t>
      </w:r>
      <w:r>
        <w:rPr>
          <w:rStyle w:val="Text0"/>
        </w:rPr>
        <w:t>acc</w:t>
      </w:r>
      <w:r>
        <w:t xml:space="preserve"> is an </w:t>
      </w:r>
      <w:r>
        <w:rPr>
          <w:rStyle w:val="Text0"/>
        </w:rPr>
        <w:t>Accumulator</w:t>
      </w:r>
      <w:r>
        <w:t xml:space="preserve"> containing </w:t>
      </w:r>
      <w:r>
        <w:rPr>
          <w:rStyle w:val="Text0"/>
        </w:rPr>
        <w:t>int</w:t>
      </w:r>
      <w:r>
        <w:t xml:space="preserve">s, the following statements generate </w:t>
      </w:r>
      <w:r>
        <w:rPr>
          <w:rStyle w:val="Text0"/>
        </w:rPr>
        <w:t>mypy</w:t>
      </w:r>
      <w:r>
        <w:t xml:space="preserve"> error messages:</w:t>
      </w:r>
    </w:p>
    <w:p>
      <w:pPr>
        <w:pStyle w:val="Para 007"/>
      </w:pPr>
      <w:r>
        <w:rPr>
          <w:rStyle w:val="Text23"/>
        </w:rPr>
        <w:t xml:space="preserve"/>
        <w:br w:clear="none"/>
      </w:r>
      <w:r>
        <w:t xml:space="preserve">acc</w:t>
        <w:br w:clear="none"/>
      </w:r>
      <w:r>
        <w:rPr>
          <w:rStyle w:val="Text13"/>
        </w:rPr>
        <w:t xml:space="preserve">.</w:t>
        <w:br w:clear="none"/>
      </w:r>
      <w:r>
        <w:t xml:space="preserve">update</w:t>
        <w:br w:clear="none"/>
      </w:r>
      <w:r>
        <w:rPr>
          <w:rStyle w:val="Text7"/>
        </w:rPr>
        <w:t xml:space="preserve">(</w:t>
        <w:br w:clear="none"/>
      </w:r>
      <w:r>
        <w:rPr>
          <w:rStyle w:val="Text8"/>
        </w:rPr>
        <w:t xml:space="preserve">'A'</w:t>
        <w:br w:clear="none"/>
      </w:r>
      <w:r>
        <w:rPr>
          <w:rStyle w:val="Text7"/>
        </w:rPr>
        <w:t xml:space="preserve">)</w:t>
        <w:br w:clear="none"/>
      </w:r>
    </w:p>
    <w:p>
      <w:pPr>
        <w:pStyle w:val="Para 008"/>
      </w:pPr>
      <w:r>
        <w:rPr>
          <w:rStyle w:val="Text48"/>
        </w:rPr>
        <w:t xml:space="preserve"/>
        <w:br w:clear="none"/>
      </w:r>
      <w:r>
        <w:t xml:space="preserve">error: Argument 1 to "update" of "Accumulator" has incompatible type</w:t>
        <w:br w:clear="none"/>
      </w:r>
      <w:r>
        <w:rPr>
          <w:rStyle w:val="Text48"/>
        </w:rPr>
        <w:t xml:space="preserve"/>
        <w:br w:clear="none"/>
      </w:r>
      <w:r>
        <w:t xml:space="preserve">"str"; expected "int"</w:t>
        <w:br w:clear="none"/>
      </w:r>
    </w:p>
    <w:p>
      <w:pPr>
        <w:pStyle w:val="Para 007"/>
      </w:pPr>
      <w:r>
        <w:rPr>
          <w:rStyle w:val="Text23"/>
        </w:rPr>
        <w:t xml:space="preserve"/>
        <w:br w:clear="none"/>
      </w:r>
      <w:r>
        <w:rPr>
          <w:rStyle w:val="Text16"/>
        </w:rPr>
        <w:t xml:space="preserve">print</w:t>
        <w:br w:clear="none"/>
      </w:r>
      <w:r>
        <w:rPr>
          <w:rStyle w:val="Text7"/>
        </w:rPr>
        <w:t xml:space="preserve">(</w:t>
        <w:br w:clear="none"/>
      </w:r>
      <w:r>
        <w:rPr>
          <w:rStyle w:val="Text8"/>
        </w:rPr>
        <w:t xml:space="preserve">''</w:t>
        <w:br w:clear="none"/>
      </w:r>
      <w:r>
        <w:rPr>
          <w:rStyle w:val="Text13"/>
        </w:rPr>
        <w:t xml:space="preserve">.</w:t>
        <w:br w:clear="none"/>
      </w:r>
      <w:r>
        <w:t xml:space="preserve">join</w:t>
        <w:br w:clear="none"/>
      </w:r>
      <w:r>
        <w:rPr>
          <w:rStyle w:val="Text7"/>
        </w:rPr>
        <w:t xml:space="preserve">(</w:t>
        <w:br w:clear="none"/>
      </w:r>
      <w:r>
        <w:t xml:space="preserve">acc</w:t>
        <w:br w:clear="none"/>
      </w:r>
      <w:r>
        <w:rPr>
          <w:rStyle w:val="Text7"/>
        </w:rPr>
        <w:t xml:space="preserve">))</w:t>
        <w:br w:clear="none"/>
      </w:r>
    </w:p>
    <w:p>
      <w:pPr>
        <w:pStyle w:val="Para 008"/>
      </w:pPr>
      <w:r>
        <w:rPr>
          <w:rStyle w:val="Text48"/>
        </w:rPr>
        <w:t xml:space="preserve"/>
        <w:br w:clear="none"/>
      </w:r>
      <w:r>
        <w:t xml:space="preserve">error: Argument 1 to "join" of "str" has incompatible type</w:t>
        <w:br w:clear="none"/>
      </w:r>
      <w:r>
        <w:rPr>
          <w:rStyle w:val="Text48"/>
        </w:rPr>
        <w:t xml:space="preserve"/>
        <w:br w:clear="none"/>
      </w:r>
      <w:r>
        <w:t xml:space="preserve">"Accumulator[int]"; expected "Iterable[str]"</w:t>
        <w:br w:clear="none"/>
      </w:r>
    </w:p>
    <w:p>
      <w:bookmarkStart w:id="1705" w:name="Restricting_TypeVar_to_specific"/>
      <w:pPr>
        <w:keepNext/>
        <w:pStyle w:val="Heading 2"/>
      </w:pPr>
      <w:r>
        <w:t>Restricting TypeVar to specific types</w:t>
      </w:r>
      <w:bookmarkEnd w:id="1705"/>
    </w:p>
    <w:p>
      <w:pPr>
        <w:pStyle w:val="Normal"/>
      </w:pPr>
      <w:r>
        <w:t>Nowhere</w:t>
      </w:r>
      <w:r>
        <w:rPr>
          <w:rStyle w:val="Text111"/>
        </w:rPr>
        <w:bookmarkStart w:id="1706" w:name="idm45965267220064"/>
        <w:t/>
        <w:bookmarkEnd w:id="1706"/>
      </w:r>
      <w:r>
        <w:t xml:space="preserve"> in our </w:t>
      </w:r>
      <w:r>
        <w:rPr>
          <w:rStyle w:val="Text0"/>
        </w:rPr>
        <w:t>Accumulator</w:t>
      </w:r>
      <w:r>
        <w:t xml:space="preserve"> class do we ever invoke methods directly on the contained </w:t>
      </w:r>
      <w:r>
        <w:rPr>
          <w:rStyle w:val="Text0"/>
        </w:rPr>
        <w:t>T</w:t>
      </w:r>
      <w:r>
        <w:t xml:space="preserve"> objects themselves. For this example, the </w:t>
      </w:r>
      <w:r>
        <w:rPr>
          <w:rStyle w:val="Text0"/>
        </w:rPr>
        <w:t>T</w:t>
      </w:r>
      <w:r>
        <w:t xml:space="preserve"> </w:t>
      </w:r>
      <w:r>
        <w:rPr>
          <w:rStyle w:val="Text0"/>
        </w:rPr>
        <w:t>TypeVar</w:t>
      </w:r>
      <w:r>
        <w:t xml:space="preserve"> is purely untyped, so type checkers like </w:t>
      </w:r>
      <w:r>
        <w:rPr>
          <w:rStyle w:val="Text0"/>
        </w:rPr>
        <w:t>mypy</w:t>
      </w:r>
      <w:r>
        <w:t xml:space="preserve"> cannot infer the presence of any attributes or methods of the </w:t>
      </w:r>
      <w:r>
        <w:rPr>
          <w:rStyle w:val="Text0"/>
        </w:rPr>
        <w:t>T</w:t>
      </w:r>
      <w:r>
        <w:t xml:space="preserve"> objects. If the generic needs to access attributes of the </w:t>
      </w:r>
      <w:r>
        <w:rPr>
          <w:rStyle w:val="Text0"/>
        </w:rPr>
        <w:t>T</w:t>
      </w:r>
      <w:r>
        <w:t xml:space="preserve"> objects it contains, then </w:t>
      </w:r>
      <w:r>
        <w:rPr>
          <w:rStyle w:val="Text0"/>
        </w:rPr>
        <w:t>T</w:t>
      </w:r>
      <w:r>
        <w:t xml:space="preserve"> should be defined using a modified form of </w:t>
      </w:r>
      <w:r>
        <w:rPr>
          <w:rStyle w:val="Text0"/>
        </w:rPr>
        <w:t>TypeVar</w:t>
      </w:r>
      <w:r>
        <w:t>.</w:t>
      </w:r>
    </w:p>
    <w:p>
      <w:pPr>
        <w:pStyle w:val="Normal"/>
      </w:pPr>
      <w:r>
        <w:t xml:space="preserve">Here are some examples of </w:t>
      </w:r>
      <w:r>
        <w:rPr>
          <w:rStyle w:val="Text0"/>
        </w:rPr>
        <w:t>TypeVar</w:t>
      </w:r>
      <w:r>
        <w:t xml:space="preserve"> definitions:</w:t>
      </w:r>
    </w:p>
    <w:p>
      <w:pPr>
        <w:pStyle w:val="Para 014"/>
      </w:pPr>
      <w:r>
        <w:rPr>
          <w:rStyle w:val="Text116"/>
        </w:rPr>
        <w:t xml:space="preserve"/>
        <w:br w:clear="none"/>
      </w:r>
      <w:r>
        <w:t xml:space="preserve"># T must be one of the types listed (int, float, complex, or str)</w:t>
        <w:br w:clear="none"/>
      </w:r>
      <w:r>
        <w:rPr>
          <w:rStyle w:val="Text11"/>
        </w:rPr>
        <w:t xml:space="preserve"/>
        <w:br w:clear="none"/>
      </w:r>
      <w:r>
        <w:rPr>
          <w:rStyle w:val="Text14"/>
        </w:rPr>
        <w:t xml:space="preserve">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typing</w:t>
        <w:br w:clear="none"/>
      </w:r>
      <w:r>
        <w:rPr>
          <w:rStyle w:val="Text28"/>
        </w:rPr>
        <w:t xml:space="preserve">.</w:t>
        <w:br w:clear="none"/>
      </w:r>
      <w:r>
        <w:rPr>
          <w:rStyle w:val="Text14"/>
        </w:rPr>
        <w:t xml:space="preserve">TypeVar</w:t>
        <w:br w:clear="none"/>
      </w:r>
      <w:r>
        <w:rPr>
          <w:rStyle w:val="Text19"/>
        </w:rPr>
        <w:t xml:space="preserve">(</w:t>
        <w:br w:clear="none"/>
      </w:r>
      <w:r>
        <w:rPr>
          <w:rStyle w:val="Text17"/>
        </w:rPr>
        <w:t xml:space="preserve">'</w:t>
        <w:br w:clear="none"/>
        <w:t xml:space="preserve">T</w:t>
        <w:br w:clear="none"/>
        <w:t xml:space="preserve">'</w:t>
        <w:br w:clear="none"/>
      </w:r>
      <w:r>
        <w:rPr>
          <w:rStyle w:val="Text19"/>
        </w:rPr>
        <w:t xml:space="preserve">,</w:t>
        <w:br w:clear="none"/>
      </w:r>
      <w:r>
        <w:rPr>
          <w:rStyle w:val="Text11"/>
        </w:rPr>
        <w:t xml:space="preserve"> </w:t>
        <w:br w:clear="none"/>
      </w:r>
      <w:r>
        <w:rPr>
          <w:rStyle w:val="Text21"/>
        </w:rPr>
        <w:t xml:space="preserve">int</w:t>
        <w:br w:clear="none"/>
      </w:r>
      <w:r>
        <w:rPr>
          <w:rStyle w:val="Text19"/>
        </w:rPr>
        <w:t xml:space="preserve">,</w:t>
        <w:br w:clear="none"/>
      </w:r>
      <w:r>
        <w:rPr>
          <w:rStyle w:val="Text11"/>
        </w:rPr>
        <w:t xml:space="preserve"> </w:t>
        <w:br w:clear="none"/>
      </w:r>
      <w:r>
        <w:rPr>
          <w:rStyle w:val="Text21"/>
        </w:rPr>
        <w:t xml:space="preserve">float</w:t>
        <w:br w:clear="none"/>
      </w:r>
      <w:r>
        <w:rPr>
          <w:rStyle w:val="Text19"/>
        </w:rPr>
        <w:t xml:space="preserve">,</w:t>
        <w:br w:clear="none"/>
      </w:r>
      <w:r>
        <w:rPr>
          <w:rStyle w:val="Text11"/>
        </w:rPr>
        <w:t xml:space="preserve"> </w:t>
        <w:br w:clear="none"/>
      </w:r>
      <w:r>
        <w:rPr>
          <w:rStyle w:val="Text21"/>
        </w:rPr>
        <w:t xml:space="preserve">complex</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r>
      <w:r>
        <w:rPr>
          <w:rStyle w:val="Text11"/>
        </w:rPr>
        <w:t xml:space="preserve"/>
        <w:br w:clear="none"/>
      </w:r>
      <w:r>
        <w:t xml:space="preserve"># T must be the class MyClass or a subclass of the class MyClass</w:t>
        <w:br w:clear="none"/>
      </w:r>
      <w:r>
        <w:rPr>
          <w:rStyle w:val="Text11"/>
        </w:rPr>
        <w:t xml:space="preserve"/>
        <w:br w:clear="none"/>
      </w:r>
      <w:r>
        <w:rPr>
          <w:rStyle w:val="Text14"/>
        </w:rPr>
        <w:t xml:space="preserve">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typing</w:t>
        <w:br w:clear="none"/>
      </w:r>
      <w:r>
        <w:rPr>
          <w:rStyle w:val="Text28"/>
        </w:rPr>
        <w:t xml:space="preserve">.</w:t>
        <w:br w:clear="none"/>
      </w:r>
      <w:r>
        <w:rPr>
          <w:rStyle w:val="Text14"/>
        </w:rPr>
        <w:t xml:space="preserve">TypeVar</w:t>
        <w:br w:clear="none"/>
      </w:r>
      <w:r>
        <w:rPr>
          <w:rStyle w:val="Text19"/>
        </w:rPr>
        <w:t xml:space="preserve">(</w:t>
        <w:br w:clear="none"/>
      </w:r>
      <w:r>
        <w:rPr>
          <w:rStyle w:val="Text17"/>
        </w:rPr>
        <w:t xml:space="preserve">'</w:t>
        <w:br w:clear="none"/>
        <w:t xml:space="preserve">T</w:t>
        <w:br w:clear="none"/>
        <w:t xml:space="preserve">'</w:t>
        <w:br w:clear="none"/>
      </w:r>
      <w:r>
        <w:rPr>
          <w:rStyle w:val="Text19"/>
        </w:rPr>
        <w:t xml:space="preserve">,</w:t>
        <w:br w:clear="none"/>
      </w:r>
      <w:r>
        <w:rPr>
          <w:rStyle w:val="Text11"/>
        </w:rPr>
        <w:t xml:space="preserve"> </w:t>
        <w:br w:clear="none"/>
      </w:r>
      <w:r>
        <w:rPr>
          <w:rStyle w:val="Text14"/>
        </w:rPr>
        <w:t xml:space="preserve">bound</w:t>
        <w:br w:clear="none"/>
      </w:r>
      <w:r>
        <w:rPr>
          <w:rStyle w:val="Text28"/>
        </w:rPr>
        <w:t xml:space="preserve">=</w:t>
        <w:br w:clear="none"/>
      </w:r>
      <w:r>
        <w:rPr>
          <w:rStyle w:val="Text14"/>
        </w:rPr>
        <w:t xml:space="preserve">MyClass</w:t>
        <w:br w:clear="none"/>
      </w:r>
      <w:r>
        <w:rPr>
          <w:rStyle w:val="Text19"/>
        </w:rPr>
        <w:t xml:space="preserve">)</w:t>
        <w:br w:clear="none"/>
      </w:r>
      <w:r>
        <w:rPr>
          <w:rStyle w:val="Text11"/>
        </w:rPr>
        <w:t xml:space="preserve"/>
        <w:br w:clear="none"/>
      </w:r>
      <w:r>
        <w:t xml:space="preserve"># T must implement __len__ to be a valid subclass of the Sized protocol</w:t>
        <w:br w:clear="none"/>
      </w:r>
      <w:r>
        <w:rPr>
          <w:rStyle w:val="Text11"/>
        </w:rPr>
        <w:t xml:space="preserve"/>
        <w:br w:clear="none"/>
      </w:r>
      <w:r>
        <w:rPr>
          <w:rStyle w:val="Text14"/>
        </w:rPr>
        <w:t xml:space="preserve">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typing</w:t>
        <w:br w:clear="none"/>
      </w:r>
      <w:r>
        <w:rPr>
          <w:rStyle w:val="Text28"/>
        </w:rPr>
        <w:t xml:space="preserve">.</w:t>
        <w:br w:clear="none"/>
      </w:r>
      <w:r>
        <w:rPr>
          <w:rStyle w:val="Text14"/>
        </w:rPr>
        <w:t xml:space="preserve">TypeVar</w:t>
        <w:br w:clear="none"/>
      </w:r>
      <w:r>
        <w:rPr>
          <w:rStyle w:val="Text19"/>
        </w:rPr>
        <w:t xml:space="preserve">(</w:t>
        <w:br w:clear="none"/>
      </w:r>
      <w:r>
        <w:rPr>
          <w:rStyle w:val="Text17"/>
        </w:rPr>
        <w:t xml:space="preserve">'</w:t>
        <w:br w:clear="none"/>
        <w:t xml:space="preserve">T</w:t>
        <w:br w:clear="none"/>
        <w:t xml:space="preserve">'</w:t>
        <w:br w:clear="none"/>
      </w:r>
      <w:r>
        <w:rPr>
          <w:rStyle w:val="Text19"/>
        </w:rPr>
        <w:t xml:space="preserve">,</w:t>
        <w:br w:clear="none"/>
      </w:r>
      <w:r>
        <w:rPr>
          <w:rStyle w:val="Text11"/>
        </w:rPr>
        <w:t xml:space="preserve"> </w:t>
        <w:br w:clear="none"/>
      </w:r>
      <w:r>
        <w:rPr>
          <w:rStyle w:val="Text14"/>
        </w:rPr>
        <w:t xml:space="preserve">bound</w:t>
        <w:br w:clear="none"/>
      </w:r>
      <w:r>
        <w:rPr>
          <w:rStyle w:val="Text28"/>
        </w:rPr>
        <w:t xml:space="preserve">=</w:t>
        <w:br w:clear="none"/>
      </w:r>
      <w:r>
        <w:rPr>
          <w:rStyle w:val="Text14"/>
        </w:rPr>
        <w:t xml:space="preserve">collections</w:t>
        <w:br w:clear="none"/>
      </w:r>
      <w:r>
        <w:rPr>
          <w:rStyle w:val="Text28"/>
        </w:rPr>
        <w:t xml:space="preserve">.</w:t>
        <w:br w:clear="none"/>
      </w:r>
      <w:r>
        <w:rPr>
          <w:rStyle w:val="Text14"/>
        </w:rPr>
        <w:t xml:space="preserve">abc</w:t>
        <w:br w:clear="none"/>
      </w:r>
      <w:r>
        <w:rPr>
          <w:rStyle w:val="Text28"/>
        </w:rPr>
        <w:t xml:space="preserve">.</w:t>
        <w:br w:clear="none"/>
      </w:r>
      <w:r>
        <w:rPr>
          <w:rStyle w:val="Text14"/>
        </w:rPr>
        <w:t xml:space="preserve">Sized</w:t>
        <w:br w:clear="none"/>
      </w:r>
      <w:r>
        <w:rPr>
          <w:rStyle w:val="Text19"/>
        </w:rPr>
        <w:t xml:space="preserve">)</w:t>
        <w:br w:clear="none"/>
      </w:r>
    </w:p>
    <w:p>
      <w:pPr>
        <w:pStyle w:val="Normal"/>
      </w:pPr>
      <w:r>
        <w:t xml:space="preserve">These forms of </w:t>
      </w:r>
      <w:r>
        <w:rPr>
          <w:rStyle w:val="Text0"/>
        </w:rPr>
        <w:t>T</w:t>
      </w:r>
      <w:r>
        <w:t xml:space="preserve"> allow a generic defined on </w:t>
      </w:r>
      <w:r>
        <w:rPr>
          <w:rStyle w:val="Text0"/>
        </w:rPr>
        <w:t>T</w:t>
      </w:r>
      <w:r>
        <w:t xml:space="preserve"> to use methods from these types in </w:t>
      </w:r>
      <w:r>
        <w:rPr>
          <w:rStyle w:val="Text0"/>
        </w:rPr>
        <w:t>T</w:t>
      </w:r>
      <w:r>
        <w:t xml:space="preserve">’s </w:t>
      </w:r>
      <w:r>
        <w:rPr>
          <w:rStyle w:val="Text0"/>
        </w:rPr>
        <w:t>TypeVar</w:t>
      </w:r>
      <w:r>
        <w:t xml:space="preserve"> definition.</w:t>
      </w:r>
      <w:r>
        <w:rPr>
          <w:rStyle w:val="Text111"/>
        </w:rPr>
        <w:bookmarkStart w:id="1707" w:name="idm45965267169488"/>
        <w:t/>
        <w:bookmarkEnd w:id="1707"/>
      </w:r>
    </w:p>
    <w:p>
      <w:bookmarkStart w:id="1708" w:name="NamedTuple__The_collections_name"/>
      <w:pPr>
        <w:keepNext/>
        <w:pStyle w:val="Heading 2"/>
      </w:pPr>
      <w:r>
        <w:t>NamedTuple</w:t>
      </w:r>
      <w:bookmarkEnd w:id="1708"/>
    </w:p>
    <w:p>
      <w:pPr>
        <w:pStyle w:val="Normal"/>
      </w:pPr>
      <w:r>
        <w:t>The</w:t>
      </w:r>
      <w:r>
        <w:rPr>
          <w:rStyle w:val="Text111"/>
        </w:rPr>
        <w:bookmarkStart w:id="1709" w:name="idm45965267165888"/>
        <w:t/>
        <w:bookmarkEnd w:id="1709"/>
        <w:bookmarkStart w:id="1710" w:name="idm45965267164752"/>
        <w:t/>
        <w:bookmarkEnd w:id="1710"/>
      </w:r>
      <w:r>
        <w:t xml:space="preserve"> </w:t>
      </w:r>
      <w:r>
        <w:rPr>
          <w:rStyle w:val="Text0"/>
        </w:rPr>
        <w:t>collections.namedtuple</w:t>
      </w:r>
      <w:r>
        <w:t xml:space="preserve"> function simplifies the definition of class-like tuple types that support named access to the tuple elements. </w:t>
      </w:r>
      <w:r>
        <w:rPr>
          <w:rStyle w:val="Text0"/>
        </w:rPr>
        <w:t>NamedTuple</w:t>
      </w:r>
      <w:r>
        <w:t xml:space="preserve"> provides a typed version of this feature, using a class with attributes-style syntax similar to </w:t>
      </w:r>
      <w:r>
        <w:rPr>
          <w:rStyle w:val="Text0"/>
        </w:rPr>
        <w:t>dataclasses</w:t>
      </w:r>
      <w:r>
        <w:t xml:space="preserve"> (covered in </w:t>
      </w:r>
      <w:hyperlink w:anchor="Data_Classes__As_the_previous_Bu">
        <w:r>
          <w:rPr>
            <w:rStyle w:val="Text1"/>
          </w:rPr>
          <w:t>“Data Classes”</w:t>
        </w:r>
      </w:hyperlink>
      <w:r>
        <w:t xml:space="preserve">). Here’s a </w:t>
      </w:r>
      <w:r>
        <w:rPr>
          <w:rStyle w:val="Text0"/>
        </w:rPr>
        <w:t>NamedTuple</w:t>
      </w:r>
      <w:r>
        <w:t xml:space="preserve"> with four elements, with names, types, and optional default values:</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HouseListingTuple</w:t>
        <w:br w:clear="none"/>
      </w:r>
      <w:r>
        <w:rPr>
          <w:rStyle w:val="Text7"/>
        </w:rPr>
        <w:t xml:space="preserve">(</w:t>
        <w:br w:clear="none"/>
      </w:r>
      <w:r>
        <w:t xml:space="preserve">typing</w:t>
        <w:br w:clear="none"/>
      </w:r>
      <w:r>
        <w:rPr>
          <w:rStyle w:val="Text13"/>
        </w:rPr>
        <w:t xml:space="preserve">.</w:t>
        <w:br w:clear="none"/>
      </w:r>
      <w:r>
        <w:t xml:space="preserve">NamedTuple</w:t>
        <w:br w:clear="none"/>
      </w:r>
      <w:r>
        <w:rPr>
          <w:rStyle w:val="Text7"/>
        </w:rPr>
        <w:t xml:space="preserve">)</w:t>
        <w:br w:clear="none"/>
        <w:t xml:space="preserve">:</w:t>
        <w:br w:clear="none"/>
      </w:r>
      <w:r>
        <w:rPr>
          <w:rStyle w:val="Text6"/>
        </w:rPr>
        <w:t xml:space="preserve"/>
        <w:br w:clear="none"/>
        <w:t xml:space="preserve">    </w:t>
        <w:br w:clear="none"/>
      </w:r>
      <w:r>
        <w:t xml:space="preserve">address</w:t>
        <w:br w:clear="none"/>
      </w:r>
      <w:r>
        <w:rPr>
          <w:rStyle w:val="Text7"/>
        </w:rPr>
        <w:t xml:space="preserve">:</w:t>
        <w:br w:clear="none"/>
      </w:r>
      <w:r>
        <w:rPr>
          <w:rStyle w:val="Text6"/>
        </w:rPr>
        <w:t xml:space="preserve"> </w:t>
        <w:br w:clear="none"/>
      </w:r>
      <w:r>
        <w:rPr>
          <w:rStyle w:val="Text16"/>
        </w:rPr>
        <w:t xml:space="preserve">str</w:t>
        <w:br w:clear="none"/>
      </w:r>
      <w:r>
        <w:rPr>
          <w:rStyle w:val="Text6"/>
        </w:rPr>
        <w:t xml:space="preserve"/>
        <w:br w:clear="none"/>
        <w:t xml:space="preserve">    </w:t>
        <w:br w:clear="none"/>
      </w:r>
      <w:r>
        <w:t xml:space="preserve">list_price</w:t>
        <w:br w:clear="none"/>
      </w:r>
      <w:r>
        <w:rPr>
          <w:rStyle w:val="Text7"/>
        </w:rPr>
        <w:t xml:space="preserve">:</w:t>
        <w:br w:clear="none"/>
      </w:r>
      <w:r>
        <w:rPr>
          <w:rStyle w:val="Text6"/>
        </w:rPr>
        <w:t xml:space="preserve"> </w:t>
        <w:br w:clear="none"/>
      </w:r>
      <w:r>
        <w:rPr>
          <w:rStyle w:val="Text16"/>
        </w:rPr>
        <w:t xml:space="preserve">int</w:t>
        <w:br w:clear="none"/>
      </w:r>
      <w:r>
        <w:rPr>
          <w:rStyle w:val="Text6"/>
        </w:rPr>
        <w:t xml:space="preserve"/>
        <w:br w:clear="none"/>
        <w:t xml:space="preserve">    </w:t>
        <w:br w:clear="none"/>
      </w:r>
      <w:r>
        <w:t xml:space="preserve">square_footage</w:t>
        <w:br w:clear="none"/>
      </w:r>
      <w:r>
        <w:rPr>
          <w:rStyle w:val="Text7"/>
        </w:rPr>
        <w:t xml:space="preserve">:</w:t>
        <w:br w:clear="none"/>
      </w:r>
      <w:r>
        <w:rPr>
          <w:rStyle w:val="Text6"/>
        </w:rPr>
        <w:t xml:space="preserve"> </w:t>
        <w:br w:clear="none"/>
      </w:r>
      <w:r>
        <w:rPr>
          <w:rStyle w:val="Text16"/>
        </w:rPr>
        <w:t xml:space="preserve">int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r>
        <w:rPr>
          <w:rStyle w:val="Text6"/>
        </w:rPr>
        <w:t xml:space="preserve"/>
        <w:br w:clear="none"/>
        <w:t xml:space="preserve">    </w:t>
        <w:br w:clear="none"/>
      </w:r>
      <w:r>
        <w:t xml:space="preserve">condition</w:t>
        <w:br w:clear="none"/>
      </w:r>
      <w:r>
        <w:rPr>
          <w:rStyle w:val="Text7"/>
        </w:rPr>
        <w:t xml:space="preserve">:</w:t>
        <w:br w:clear="none"/>
      </w:r>
      <w:r>
        <w:rPr>
          <w:rStyle w:val="Text6"/>
        </w:rPr>
        <w:t xml:space="preserve"> </w:t>
        <w:br w:clear="none"/>
      </w:r>
      <w:r>
        <w:rPr>
          <w:rStyle w:val="Text16"/>
        </w:rPr>
        <w:t xml:space="preserve">str</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Good</w:t>
        <w:br w:clear="none"/>
        <w:t xml:space="preserve">'</w:t>
        <w:br w:clear="none"/>
      </w:r>
    </w:p>
    <w:p>
      <w:pPr>
        <w:pStyle w:val="Normal"/>
      </w:pPr>
      <w:r>
        <w:rPr>
          <w:rStyle w:val="Text0"/>
        </w:rPr>
        <w:t>NamedTuple</w:t>
      </w:r>
      <w:r>
        <w:t xml:space="preserve"> classes generate a default constructor, accepting positional or named arguments for each named field:</w:t>
      </w:r>
    </w:p>
    <w:p>
      <w:pPr>
        <w:pStyle w:val="Para 007"/>
      </w:pPr>
      <w:r>
        <w:rPr>
          <w:rStyle w:val="Text23"/>
        </w:rPr>
        <w:t xml:space="preserve"/>
        <w:br w:clear="none"/>
      </w:r>
      <w:r>
        <w:t xml:space="preserve">listing1</w:t>
        <w:br w:clear="none"/>
      </w:r>
      <w:r>
        <w:rPr>
          <w:rStyle w:val="Text6"/>
        </w:rPr>
        <w:t xml:space="preserve"> </w:t>
        <w:br w:clear="none"/>
      </w:r>
      <w:r>
        <w:rPr>
          <w:rStyle w:val="Text13"/>
        </w:rPr>
        <w:t xml:space="preserve">=</w:t>
        <w:br w:clear="none"/>
      </w:r>
      <w:r>
        <w:rPr>
          <w:rStyle w:val="Text6"/>
        </w:rPr>
        <w:t xml:space="preserve"> </w:t>
        <w:br w:clear="none"/>
      </w:r>
      <w:r>
        <w:t xml:space="preserve">HouseListingTuple</w:t>
        <w:br w:clear="none"/>
      </w:r>
      <w:r>
        <w:rPr>
          <w:rStyle w:val="Text7"/>
        </w:rPr>
        <w:t xml:space="preserve">(</w:t>
        <w:br w:clear="none"/>
      </w:r>
      <w:r>
        <w:rPr>
          <w:rStyle w:val="Text6"/>
        </w:rPr>
        <w:t xml:space="preserve"/>
        <w:br w:clear="none"/>
        <w:t xml:space="preserve">    </w:t>
        <w:br w:clear="none"/>
      </w:r>
      <w:r>
        <w:t xml:space="preserve">address</w:t>
        <w:br w:clear="none"/>
      </w:r>
      <w:r>
        <w:rPr>
          <w:rStyle w:val="Text13"/>
        </w:rPr>
        <w:t xml:space="preserve">=</w:t>
        <w:br w:clear="none"/>
      </w:r>
      <w:r>
        <w:rPr>
          <w:rStyle w:val="Text8"/>
        </w:rPr>
        <w:t xml:space="preserve">'</w:t>
        <w:br w:clear="none"/>
        <w:t xml:space="preserve">123 Main</w:t>
        <w:br w:clear="none"/>
        <w:t xml:space="preserve">'</w:t>
        <w:br w:clear="none"/>
      </w:r>
      <w:r>
        <w:rPr>
          <w:rStyle w:val="Text7"/>
        </w:rPr>
        <w:t xml:space="preserve">,</w:t>
        <w:br w:clear="none"/>
      </w:r>
      <w:r>
        <w:rPr>
          <w:rStyle w:val="Text6"/>
        </w:rPr>
        <w:t xml:space="preserve"/>
        <w:br w:clear="none"/>
        <w:t xml:space="preserve">    </w:t>
        <w:br w:clear="none"/>
      </w:r>
      <w:r>
        <w:t xml:space="preserve">list_price</w:t>
        <w:br w:clear="none"/>
      </w:r>
      <w:r>
        <w:rPr>
          <w:rStyle w:val="Text13"/>
        </w:rPr>
        <w:t xml:space="preserve">=</w:t>
        <w:br w:clear="none"/>
      </w:r>
      <w:r>
        <w:rPr>
          <w:rStyle w:val="Text27"/>
        </w:rPr>
        <w:t xml:space="preserve">100_000</w:t>
        <w:br w:clear="none"/>
      </w:r>
      <w:r>
        <w:rPr>
          <w:rStyle w:val="Text7"/>
        </w:rPr>
        <w:t xml:space="preserve">,</w:t>
        <w:br w:clear="none"/>
      </w:r>
      <w:r>
        <w:rPr>
          <w:rStyle w:val="Text6"/>
        </w:rPr>
        <w:t xml:space="preserve"/>
        <w:br w:clear="none"/>
        <w:t xml:space="preserve">    </w:t>
        <w:br w:clear="none"/>
      </w:r>
      <w:r>
        <w:t xml:space="preserve">square_footage</w:t>
        <w:br w:clear="none"/>
      </w:r>
      <w:r>
        <w:rPr>
          <w:rStyle w:val="Text13"/>
        </w:rPr>
        <w:t xml:space="preserve">=</w:t>
        <w:br w:clear="none"/>
      </w:r>
      <w:r>
        <w:rPr>
          <w:rStyle w:val="Text27"/>
        </w:rPr>
        <w:t xml:space="preserve">2400</w:t>
        <w:br w:clear="none"/>
      </w:r>
      <w:r>
        <w:rPr>
          <w:rStyle w:val="Text7"/>
        </w:rPr>
        <w:t xml:space="preserve">,</w:t>
        <w:br w:clear="none"/>
      </w:r>
      <w:r>
        <w:rPr>
          <w:rStyle w:val="Text6"/>
        </w:rPr>
        <w:t xml:space="preserve"/>
        <w:br w:clear="none"/>
        <w:t xml:space="preserve">    </w:t>
        <w:br w:clear="none"/>
      </w:r>
      <w:r>
        <w:t xml:space="preserve">condition</w:t>
        <w:br w:clear="none"/>
      </w:r>
      <w:r>
        <w:rPr>
          <w:rStyle w:val="Text13"/>
        </w:rPr>
        <w:t xml:space="preserve">=</w:t>
        <w:br w:clear="none"/>
      </w:r>
      <w:r>
        <w:rPr>
          <w:rStyle w:val="Text8"/>
        </w:rPr>
        <w:t xml:space="preserve">'</w:t>
        <w:br w:clear="none"/>
        <w:t xml:space="preserve">Good</w:t>
        <w:br w:clear="none"/>
        <w:t xml:space="preserve">'</w:t>
        <w:br w:clear="none"/>
      </w:r>
      <w:r>
        <w:rPr>
          <w:rStyle w:val="Text7"/>
        </w:rPr>
        <w:t xml:space="preserve">,</w:t>
        <w:br w:clear="none"/>
      </w:r>
      <w:r>
        <w:rPr>
          <w:rStyle w:val="Text6"/>
        </w:rPr>
        <w:t xml:space="preserve"/>
        <w:br w:clear="none"/>
      </w:r>
      <w:r>
        <w:rPr>
          <w:rStyle w:val="Text7"/>
        </w:rPr>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t xml:space="preserve">listing1</w:t>
        <w:br w:clear="none"/>
      </w:r>
      <w:r>
        <w:rPr>
          <w:rStyle w:val="Text13"/>
        </w:rPr>
        <w:t xml:space="preserve">.</w:t>
        <w:br w:clear="none"/>
      </w:r>
      <w:r>
        <w:t xml:space="preserve">address</w:t>
        <w:br w:clear="none"/>
      </w:r>
      <w:r>
        <w:rPr>
          <w:rStyle w:val="Text7"/>
        </w:rPr>
        <w:t xml:space="preserve">)</w:t>
        <w:br w:clear="none"/>
      </w:r>
      <w:r>
        <w:rPr>
          <w:rStyle w:val="Text6"/>
        </w:rPr>
        <w:t xml:space="preserve">  </w:t>
        <w:br w:clear="none"/>
      </w:r>
      <w:r>
        <w:rPr>
          <w:rStyle w:val="Text15"/>
        </w:rPr>
        <w:t xml:space="preserve"># prints: 123 Main</w:t>
        <w:br w:clear="none"/>
      </w:r>
      <w:r>
        <w:rPr>
          <w:rStyle w:val="Text6"/>
        </w:rPr>
        <w:t xml:space="preserve"/>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t xml:space="preserve">listing1</w:t>
        <w:br w:clear="none"/>
      </w:r>
      <w:r>
        <w:rPr>
          <w:rStyle w:val="Text7"/>
        </w:rPr>
        <w:t xml:space="preserve">)</w:t>
        <w:br w:clear="none"/>
        <w:t xml:space="preserve">)</w:t>
        <w:br w:clear="none"/>
      </w:r>
      <w:r>
        <w:rPr>
          <w:rStyle w:val="Text6"/>
        </w:rPr>
        <w:t xml:space="preserve">    </w:t>
        <w:br w:clear="none"/>
      </w:r>
      <w:r>
        <w:rPr>
          <w:rStyle w:val="Text15"/>
        </w:rPr>
        <w:t xml:space="preserve"># prints: &lt;class 'HouseListingTuple'&gt;</w:t>
        <w:br w:clear="none"/>
      </w:r>
    </w:p>
    <w:p>
      <w:pPr>
        <w:pStyle w:val="Normal"/>
      </w:pPr>
      <w:r>
        <w:t>Attempting to create a tuple with too few elements raises a runtime error:</w:t>
      </w:r>
    </w:p>
    <w:p>
      <w:pPr>
        <w:pStyle w:val="Para 014"/>
      </w:pPr>
      <w:r>
        <w:rPr>
          <w:rStyle w:val="Text116"/>
        </w:rPr>
        <w:t xml:space="preserve"/>
        <w:br w:clear="none"/>
      </w:r>
      <w:r>
        <w:rPr>
          <w:rStyle w:val="Text14"/>
        </w:rPr>
        <w:t xml:space="preserve">listing2</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HouseListingTuple</w:t>
        <w:br w:clear="none"/>
      </w:r>
      <w:r>
        <w:rPr>
          <w:rStyle w:val="Text19"/>
        </w:rPr>
        <w:t xml:space="preserve">(</w:t>
        <w:br w:clear="none"/>
      </w:r>
      <w:r>
        <w:rPr>
          <w:rStyle w:val="Text11"/>
        </w:rPr>
        <w:t xml:space="preserve"/>
        <w:br w:clear="none"/>
        <w:t xml:space="preserve">    </w:t>
        <w:br w:clear="none"/>
      </w:r>
      <w:r>
        <w:rPr>
          <w:rStyle w:val="Text17"/>
        </w:rPr>
        <w:t xml:space="preserve">'</w:t>
        <w:br w:clear="none"/>
        <w:t xml:space="preserve">123 Main</w:t>
        <w:br w:clear="none"/>
        <w:t xml:space="preserve">'</w:t>
        <w:br w:clear="none"/>
      </w:r>
      <w:r>
        <w:rPr>
          <w:rStyle w:val="Text19"/>
        </w:rPr>
        <w:t xml:space="preserve">,</w:t>
        <w:br w:clear="none"/>
      </w:r>
      <w:r>
        <w:rPr>
          <w:rStyle w:val="Text11"/>
        </w:rPr>
        <w:t xml:space="preserve"/>
        <w:br w:clear="none"/>
      </w:r>
      <w:r>
        <w:rPr>
          <w:rStyle w:val="Text19"/>
        </w:rPr>
        <w:t xml:space="preserve">)</w:t>
        <w:br w:clear="none"/>
      </w:r>
      <w:r>
        <w:rPr>
          <w:rStyle w:val="Text11"/>
        </w:rPr>
        <w:t xml:space="preserve"/>
        <w:br w:clear="none"/>
      </w:r>
      <w:r>
        <w:t xml:space="preserve"># raises a runtime error: TypeError: HouseListingTuple.__new__() </w:t>
        <w:br w:clear="none"/>
      </w:r>
      <w:r>
        <w:rPr>
          <w:rStyle w:val="Text6"/>
        </w:rPr>
        <w:t xml:space="preserve"/>
        <w:br w:clear="none"/>
      </w:r>
      <w:r>
        <w:t xml:space="preserve"># missing 1 required positional argument: 'list_price'</w:t>
        <w:br w:clear="none"/>
      </w:r>
    </w:p>
    <w:p>
      <w:bookmarkStart w:id="1711" w:name="TypedDict__3_8__Python_dict_vari"/>
      <w:pPr>
        <w:keepNext/>
        <w:pStyle w:val="Heading 2"/>
      </w:pPr>
      <w:r>
        <w:t>TypedDict</w:t>
      </w:r>
      <w:bookmarkEnd w:id="1711"/>
    </w:p>
    <w:p>
      <w:pPr>
        <w:pStyle w:val="Normal"/>
      </w:pPr>
      <w:r>
        <w:rPr>
          <w:rStyle w:val="Text34"/>
        </w:rPr>
        <w:t>3.8+</w:t>
      </w:r>
      <w:r>
        <w:t xml:space="preserve"> Python</w:t>
      </w:r>
      <w:r>
        <w:rPr>
          <w:rStyle w:val="Text111"/>
        </w:rPr>
        <w:bookmarkStart w:id="1712" w:name="idm45965262006368"/>
        <w:t/>
        <w:bookmarkEnd w:id="1712"/>
        <w:bookmarkStart w:id="1713" w:name="CTtypeddict05"/>
        <w:t/>
        <w:bookmarkEnd w:id="1713"/>
      </w:r>
      <w:r>
        <w:t xml:space="preserve"> </w:t>
      </w:r>
      <w:r>
        <w:rPr>
          <w:rStyle w:val="Text0"/>
        </w:rPr>
        <w:t>dict</w:t>
      </w:r>
      <w:r>
        <w:t xml:space="preserve"> variables are often difficult to decipher in legacy codebases, because </w:t>
      </w:r>
      <w:r>
        <w:rPr>
          <w:rStyle w:val="Text0"/>
        </w:rPr>
        <w:t>dict</w:t>
      </w:r>
      <w:r>
        <w:t xml:space="preserve">s are used in two ways: as collections of key/value pairs (such as a mapping from user ID to username), and records mapping known field names to values. It is usually easy to see that a function argument is to be passed as a </w:t>
      </w:r>
      <w:r>
        <w:rPr>
          <w:rStyle w:val="Text0"/>
        </w:rPr>
        <w:t>dict</w:t>
      </w:r>
      <w:r>
        <w:t xml:space="preserve">, but the actual keys and value types are dependent on the code that may call that function. Beyond simply defining that a </w:t>
      </w:r>
      <w:r>
        <w:rPr>
          <w:rStyle w:val="Text0"/>
        </w:rPr>
        <w:t>dict</w:t>
      </w:r>
      <w:r>
        <w:t xml:space="preserve"> may be a mapping of </w:t>
      </w:r>
      <w:r>
        <w:rPr>
          <w:rStyle w:val="Text0"/>
        </w:rPr>
        <w:t>str</w:t>
      </w:r>
      <w:r>
        <w:t xml:space="preserve"> values to </w:t>
      </w:r>
      <w:r>
        <w:rPr>
          <w:rStyle w:val="Text0"/>
        </w:rPr>
        <w:t>int</w:t>
      </w:r>
      <w:r>
        <w:t xml:space="preserve"> values, as in </w:t>
      </w:r>
      <w:r>
        <w:rPr>
          <w:rStyle w:val="Text0"/>
        </w:rPr>
        <w:t>dict[str, int]</w:t>
      </w:r>
      <w:r>
        <w:t xml:space="preserve">, a </w:t>
      </w:r>
      <w:r>
        <w:rPr>
          <w:rStyle w:val="Text0"/>
        </w:rPr>
        <w:t>TypedDict</w:t>
      </w:r>
      <w:r>
        <w:t xml:space="preserve"> defines the expected keys and the types of each corresponding value. The following example defines a </w:t>
      </w:r>
      <w:r>
        <w:rPr>
          <w:rStyle w:val="Text0"/>
        </w:rPr>
        <w:t>TypedDict</w:t>
      </w:r>
      <w:r>
        <w:t xml:space="preserve"> version of the previous house listing type (note that </w:t>
      </w:r>
      <w:r>
        <w:rPr>
          <w:rStyle w:val="Text0"/>
        </w:rPr>
        <w:t>TypedDict</w:t>
      </w:r>
      <w:r>
        <w:t xml:space="preserve"> definitions do not accept default value definitions):</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HouseListingDict</w:t>
        <w:br w:clear="none"/>
      </w:r>
      <w:r>
        <w:rPr>
          <w:rStyle w:val="Text7"/>
        </w:rPr>
        <w:t xml:space="preserve">(</w:t>
        <w:br w:clear="none"/>
      </w:r>
      <w:r>
        <w:t xml:space="preserve">typing</w:t>
        <w:br w:clear="none"/>
      </w:r>
      <w:r>
        <w:rPr>
          <w:rStyle w:val="Text13"/>
        </w:rPr>
        <w:t xml:space="preserve">.</w:t>
        <w:br w:clear="none"/>
      </w:r>
      <w:r>
        <w:t xml:space="preserve">TypedDict</w:t>
        <w:br w:clear="none"/>
      </w:r>
      <w:r>
        <w:rPr>
          <w:rStyle w:val="Text7"/>
        </w:rPr>
        <w:t xml:space="preserve">)</w:t>
        <w:br w:clear="none"/>
        <w:t xml:space="preserve">:</w:t>
        <w:br w:clear="none"/>
      </w:r>
      <w:r>
        <w:rPr>
          <w:rStyle w:val="Text6"/>
        </w:rPr>
        <w:t xml:space="preserve"/>
        <w:br w:clear="none"/>
        <w:t xml:space="preserve">    </w:t>
        <w:br w:clear="none"/>
      </w:r>
      <w:r>
        <w:t xml:space="preserve">address</w:t>
        <w:br w:clear="none"/>
      </w:r>
      <w:r>
        <w:rPr>
          <w:rStyle w:val="Text7"/>
        </w:rPr>
        <w:t xml:space="preserve">:</w:t>
        <w:br w:clear="none"/>
      </w:r>
      <w:r>
        <w:rPr>
          <w:rStyle w:val="Text6"/>
        </w:rPr>
        <w:t xml:space="preserve"> </w:t>
        <w:br w:clear="none"/>
      </w:r>
      <w:r>
        <w:rPr>
          <w:rStyle w:val="Text16"/>
        </w:rPr>
        <w:t xml:space="preserve">str</w:t>
        <w:br w:clear="none"/>
      </w:r>
      <w:r>
        <w:rPr>
          <w:rStyle w:val="Text6"/>
        </w:rPr>
        <w:t xml:space="preserve"/>
        <w:br w:clear="none"/>
        <w:t xml:space="preserve">    </w:t>
        <w:br w:clear="none"/>
      </w:r>
      <w:r>
        <w:t xml:space="preserve">list_price</w:t>
        <w:br w:clear="none"/>
      </w:r>
      <w:r>
        <w:rPr>
          <w:rStyle w:val="Text7"/>
        </w:rPr>
        <w:t xml:space="preserve">:</w:t>
        <w:br w:clear="none"/>
      </w:r>
      <w:r>
        <w:rPr>
          <w:rStyle w:val="Text6"/>
        </w:rPr>
        <w:t xml:space="preserve"> </w:t>
        <w:br w:clear="none"/>
      </w:r>
      <w:r>
        <w:rPr>
          <w:rStyle w:val="Text16"/>
        </w:rPr>
        <w:t xml:space="preserve">int</w:t>
        <w:br w:clear="none"/>
      </w:r>
      <w:r>
        <w:rPr>
          <w:rStyle w:val="Text6"/>
        </w:rPr>
        <w:t xml:space="preserve"/>
        <w:br w:clear="none"/>
        <w:t xml:space="preserve">    </w:t>
        <w:br w:clear="none"/>
      </w:r>
      <w:r>
        <w:t xml:space="preserve">square_footage</w:t>
        <w:br w:clear="none"/>
      </w:r>
      <w:r>
        <w:rPr>
          <w:rStyle w:val="Text7"/>
        </w:rPr>
        <w:t xml:space="preserve">:</w:t>
        <w:br w:clear="none"/>
      </w:r>
      <w:r>
        <w:rPr>
          <w:rStyle w:val="Text6"/>
        </w:rPr>
        <w:t xml:space="preserve"> </w:t>
        <w:br w:clear="none"/>
      </w:r>
      <w:r>
        <w:rPr>
          <w:rStyle w:val="Text16"/>
        </w:rPr>
        <w:t xml:space="preserve">int</w:t>
        <w:br w:clear="none"/>
      </w:r>
      <w:r>
        <w:rPr>
          <w:rStyle w:val="Text6"/>
        </w:rPr>
        <w:t xml:space="preserve"/>
        <w:br w:clear="none"/>
        <w:t xml:space="preserve">    </w:t>
        <w:br w:clear="none"/>
      </w:r>
      <w:r>
        <w:t xml:space="preserve">condition</w:t>
        <w:br w:clear="none"/>
      </w:r>
      <w:r>
        <w:rPr>
          <w:rStyle w:val="Text7"/>
        </w:rPr>
        <w:t xml:space="preserve">:</w:t>
        <w:br w:clear="none"/>
      </w:r>
      <w:r>
        <w:rPr>
          <w:rStyle w:val="Text6"/>
        </w:rPr>
        <w:t xml:space="preserve"> </w:t>
        <w:br w:clear="none"/>
      </w:r>
      <w:r>
        <w:rPr>
          <w:rStyle w:val="Text16"/>
        </w:rPr>
        <w:t xml:space="preserve">str</w:t>
        <w:br w:clear="none"/>
      </w:r>
    </w:p>
    <w:p>
      <w:pPr>
        <w:pStyle w:val="Normal"/>
      </w:pPr>
      <w:r>
        <w:rPr>
          <w:rStyle w:val="Text0"/>
        </w:rPr>
        <w:t>TypedDict</w:t>
      </w:r>
      <w:r>
        <w:t xml:space="preserve"> classes generate a default constructor, accepting named arguments for each defined key:</w:t>
      </w:r>
    </w:p>
    <w:p>
      <w:pPr>
        <w:pStyle w:val="Para 007"/>
      </w:pPr>
      <w:r>
        <w:rPr>
          <w:rStyle w:val="Text23"/>
        </w:rPr>
        <w:t xml:space="preserve"/>
        <w:br w:clear="none"/>
      </w:r>
      <w:r>
        <w:t xml:space="preserve">listing1</w:t>
        <w:br w:clear="none"/>
      </w:r>
      <w:r>
        <w:rPr>
          <w:rStyle w:val="Text6"/>
        </w:rPr>
        <w:t xml:space="preserve"> </w:t>
        <w:br w:clear="none"/>
      </w:r>
      <w:r>
        <w:rPr>
          <w:rStyle w:val="Text13"/>
        </w:rPr>
        <w:t xml:space="preserve">=</w:t>
        <w:br w:clear="none"/>
      </w:r>
      <w:r>
        <w:rPr>
          <w:rStyle w:val="Text6"/>
        </w:rPr>
        <w:t xml:space="preserve"> </w:t>
        <w:br w:clear="none"/>
      </w:r>
      <w:r>
        <w:t xml:space="preserve">HouseListingDict</w:t>
        <w:br w:clear="none"/>
      </w:r>
      <w:r>
        <w:rPr>
          <w:rStyle w:val="Text7"/>
        </w:rPr>
        <w:t xml:space="preserve">(</w:t>
        <w:br w:clear="none"/>
      </w:r>
      <w:r>
        <w:rPr>
          <w:rStyle w:val="Text6"/>
        </w:rPr>
        <w:t xml:space="preserve"/>
        <w:br w:clear="none"/>
        <w:t xml:space="preserve">    </w:t>
        <w:br w:clear="none"/>
      </w:r>
      <w:r>
        <w:t xml:space="preserve">address</w:t>
        <w:br w:clear="none"/>
      </w:r>
      <w:r>
        <w:rPr>
          <w:rStyle w:val="Text13"/>
        </w:rPr>
        <w:t xml:space="preserve">=</w:t>
        <w:br w:clear="none"/>
      </w:r>
      <w:r>
        <w:rPr>
          <w:rStyle w:val="Text8"/>
        </w:rPr>
        <w:t xml:space="preserve">'</w:t>
        <w:br w:clear="none"/>
        <w:t xml:space="preserve">123 Main</w:t>
        <w:br w:clear="none"/>
        <w:t xml:space="preserve">'</w:t>
        <w:br w:clear="none"/>
      </w:r>
      <w:r>
        <w:rPr>
          <w:rStyle w:val="Text7"/>
        </w:rPr>
        <w:t xml:space="preserve">,</w:t>
        <w:br w:clear="none"/>
      </w:r>
      <w:r>
        <w:rPr>
          <w:rStyle w:val="Text6"/>
        </w:rPr>
        <w:t xml:space="preserve"/>
        <w:br w:clear="none"/>
        <w:t xml:space="preserve">    </w:t>
        <w:br w:clear="none"/>
      </w:r>
      <w:r>
        <w:t xml:space="preserve">list_price</w:t>
        <w:br w:clear="none"/>
      </w:r>
      <w:r>
        <w:rPr>
          <w:rStyle w:val="Text13"/>
        </w:rPr>
        <w:t xml:space="preserve">=</w:t>
        <w:br w:clear="none"/>
      </w:r>
      <w:r>
        <w:rPr>
          <w:rStyle w:val="Text27"/>
        </w:rPr>
        <w:t xml:space="preserve">100_000</w:t>
        <w:br w:clear="none"/>
      </w:r>
      <w:r>
        <w:rPr>
          <w:rStyle w:val="Text7"/>
        </w:rPr>
        <w:t xml:space="preserve">,</w:t>
        <w:br w:clear="none"/>
      </w:r>
      <w:r>
        <w:rPr>
          <w:rStyle w:val="Text6"/>
        </w:rPr>
        <w:t xml:space="preserve"/>
        <w:br w:clear="none"/>
        <w:t xml:space="preserve">    </w:t>
        <w:br w:clear="none"/>
      </w:r>
      <w:r>
        <w:t xml:space="preserve">square_footage</w:t>
        <w:br w:clear="none"/>
      </w:r>
      <w:r>
        <w:rPr>
          <w:rStyle w:val="Text13"/>
        </w:rPr>
        <w:t xml:space="preserve">=</w:t>
        <w:br w:clear="none"/>
      </w:r>
      <w:r>
        <w:rPr>
          <w:rStyle w:val="Text27"/>
        </w:rPr>
        <w:t xml:space="preserve">2400</w:t>
        <w:br w:clear="none"/>
      </w:r>
      <w:r>
        <w:rPr>
          <w:rStyle w:val="Text7"/>
        </w:rPr>
        <w:t xml:space="preserve">,</w:t>
        <w:br w:clear="none"/>
      </w:r>
      <w:r>
        <w:rPr>
          <w:rStyle w:val="Text6"/>
        </w:rPr>
        <w:t xml:space="preserve"/>
        <w:br w:clear="none"/>
        <w:t xml:space="preserve">    </w:t>
        <w:br w:clear="none"/>
      </w:r>
      <w:r>
        <w:t xml:space="preserve">condition</w:t>
        <w:br w:clear="none"/>
      </w:r>
      <w:r>
        <w:rPr>
          <w:rStyle w:val="Text13"/>
        </w:rPr>
        <w:t xml:space="preserve">=</w:t>
        <w:br w:clear="none"/>
      </w:r>
      <w:r>
        <w:rPr>
          <w:rStyle w:val="Text8"/>
        </w:rPr>
        <w:t xml:space="preserve">'</w:t>
        <w:br w:clear="none"/>
        <w:t xml:space="preserve">Good</w:t>
        <w:br w:clear="none"/>
        <w:t xml:space="preserve">'</w:t>
        <w:br w:clear="none"/>
      </w:r>
      <w:r>
        <w:rPr>
          <w:rStyle w:val="Text7"/>
        </w:rPr>
        <w:t xml:space="preserve">,</w:t>
        <w:br w:clear="none"/>
      </w:r>
      <w:r>
        <w:rPr>
          <w:rStyle w:val="Text6"/>
        </w:rPr>
        <w:t xml:space="preserve"/>
        <w:br w:clear="none"/>
      </w:r>
      <w:r>
        <w:rPr>
          <w:rStyle w:val="Text7"/>
        </w:rPr>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t xml:space="preserve">listing1</w:t>
        <w:br w:clear="none"/>
      </w:r>
      <w:r>
        <w:rPr>
          <w:rStyle w:val="Text7"/>
        </w:rPr>
        <w:t xml:space="preserve">[</w:t>
        <w:br w:clear="none"/>
      </w:r>
      <w:r>
        <w:rPr>
          <w:rStyle w:val="Text8"/>
        </w:rPr>
        <w:t xml:space="preserve">'</w:t>
        <w:br w:clear="none"/>
        <w:t xml:space="preserve">address</w:t>
        <w:br w:clear="none"/>
        <w:t xml:space="preserve">'</w:t>
        <w:br w:clear="none"/>
      </w:r>
      <w:r>
        <w:rPr>
          <w:rStyle w:val="Text7"/>
        </w:rPr>
        <w:t xml:space="preserve">]</w:t>
        <w:br w:clear="none"/>
        <w:t xml:space="preserve">)</w:t>
        <w:br w:clear="none"/>
      </w:r>
      <w:r>
        <w:rPr>
          <w:rStyle w:val="Text6"/>
        </w:rPr>
        <w:t xml:space="preserve">  </w:t>
        <w:br w:clear="none"/>
      </w:r>
      <w:r>
        <w:rPr>
          <w:rStyle w:val="Text26"/>
        </w:rPr>
        <w:t xml:space="preserve"># prints </w:t>
        <w:br w:clear="none"/>
      </w:r>
      <w:r>
        <w:rPr>
          <w:rStyle w:val="Text15"/>
        </w:rPr>
        <w:t xml:space="preserve">123 Main</w:t>
        <w:br w:clear="none"/>
      </w:r>
      <w:r>
        <w:rPr>
          <w:rStyle w:val="Text6"/>
        </w:rPr>
        <w:t xml:space="preserve"/>
        <w:br w:clear="none"/>
      </w:r>
      <w:r>
        <w:rPr>
          <w:rStyle w:val="Text16"/>
        </w:rPr>
        <w:t xml:space="preserve">print</w:t>
        <w:br w:clear="none"/>
      </w:r>
      <w:r>
        <w:rPr>
          <w:rStyle w:val="Text7"/>
        </w:rPr>
        <w:t xml:space="preserve">(</w:t>
        <w:br w:clear="none"/>
      </w:r>
      <w:r>
        <w:rPr>
          <w:rStyle w:val="Text16"/>
        </w:rPr>
        <w:t xml:space="preserve">type</w:t>
        <w:br w:clear="none"/>
      </w:r>
      <w:r>
        <w:rPr>
          <w:rStyle w:val="Text7"/>
        </w:rPr>
        <w:t xml:space="preserve">(</w:t>
        <w:br w:clear="none"/>
      </w:r>
      <w:r>
        <w:t xml:space="preserve">listing1</w:t>
        <w:br w:clear="none"/>
      </w:r>
      <w:r>
        <w:rPr>
          <w:rStyle w:val="Text7"/>
        </w:rPr>
        <w:t xml:space="preserve">)</w:t>
        <w:br w:clear="none"/>
        <w:t xml:space="preserve">)</w:t>
        <w:br w:clear="none"/>
      </w:r>
      <w:r>
        <w:rPr>
          <w:rStyle w:val="Text6"/>
        </w:rPr>
        <w:t xml:space="preserve">  </w:t>
        <w:br w:clear="none"/>
      </w:r>
      <w:r>
        <w:rPr>
          <w:rStyle w:val="Text26"/>
        </w:rPr>
        <w:t xml:space="preserve"># prints </w:t>
        <w:br w:clear="none"/>
      </w:r>
      <w:r>
        <w:rPr>
          <w:rStyle w:val="Text15"/>
        </w:rPr>
        <w:t xml:space="preserve">&lt;class 'dict'&gt;</w:t>
        <w:br w:clear="none"/>
      </w:r>
      <w:r>
        <w:rPr>
          <w:rStyle w:val="Text6"/>
        </w:rPr>
        <w:t xml:space="preserve"/>
        <w:br w:clear="none"/>
        <w:t xml:space="preserve"/>
        <w:br w:clear="none"/>
      </w:r>
      <w:r>
        <w:t xml:space="preserve">listing2</w:t>
        <w:br w:clear="none"/>
      </w:r>
      <w:r>
        <w:rPr>
          <w:rStyle w:val="Text6"/>
        </w:rPr>
        <w:t xml:space="preserve"> </w:t>
        <w:br w:clear="none"/>
      </w:r>
      <w:r>
        <w:rPr>
          <w:rStyle w:val="Text13"/>
        </w:rPr>
        <w:t xml:space="preserve">=</w:t>
        <w:br w:clear="none"/>
      </w:r>
      <w:r>
        <w:rPr>
          <w:rStyle w:val="Text6"/>
        </w:rPr>
        <w:t xml:space="preserve"> </w:t>
        <w:br w:clear="none"/>
      </w:r>
      <w:r>
        <w:t xml:space="preserve">HouseListingDict</w:t>
        <w:br w:clear="none"/>
      </w:r>
      <w:r>
        <w:rPr>
          <w:rStyle w:val="Text7"/>
        </w:rPr>
        <w:t xml:space="preserve">(</w:t>
        <w:br w:clear="none"/>
      </w:r>
      <w:r>
        <w:rPr>
          <w:rStyle w:val="Text6"/>
        </w:rPr>
        <w:t xml:space="preserve"/>
        <w:br w:clear="none"/>
        <w:t xml:space="preserve">    </w:t>
        <w:br w:clear="none"/>
      </w:r>
      <w:r>
        <w:t xml:space="preserve">address</w:t>
        <w:br w:clear="none"/>
      </w:r>
      <w:r>
        <w:rPr>
          <w:rStyle w:val="Text13"/>
        </w:rPr>
        <w:t xml:space="preserve">=</w:t>
        <w:br w:clear="none"/>
      </w:r>
      <w:r>
        <w:rPr>
          <w:rStyle w:val="Text8"/>
        </w:rPr>
        <w:t xml:space="preserve">'</w:t>
        <w:br w:clear="none"/>
        <w:t xml:space="preserve">124 Main</w:t>
        <w:br w:clear="none"/>
        <w:t xml:space="preserve">'</w:t>
        <w:br w:clear="none"/>
      </w:r>
      <w:r>
        <w:rPr>
          <w:rStyle w:val="Text7"/>
        </w:rPr>
        <w:t xml:space="preserve">,</w:t>
        <w:br w:clear="none"/>
      </w:r>
      <w:r>
        <w:rPr>
          <w:rStyle w:val="Text6"/>
        </w:rPr>
        <w:t xml:space="preserve"/>
        <w:br w:clear="none"/>
        <w:t xml:space="preserve">    </w:t>
        <w:br w:clear="none"/>
      </w:r>
      <w:r>
        <w:t xml:space="preserve">list_price</w:t>
        <w:br w:clear="none"/>
      </w:r>
      <w:r>
        <w:rPr>
          <w:rStyle w:val="Text13"/>
        </w:rPr>
        <w:t xml:space="preserve">=</w:t>
        <w:br w:clear="none"/>
      </w:r>
      <w:r>
        <w:rPr>
          <w:rStyle w:val="Text27"/>
        </w:rPr>
        <w:t xml:space="preserve">110_000</w:t>
        <w:br w:clear="none"/>
      </w:r>
      <w:r>
        <w:rPr>
          <w:rStyle w:val="Text7"/>
        </w:rPr>
        <w:t xml:space="preserve">,</w:t>
        <w:br w:clear="none"/>
      </w:r>
      <w:r>
        <w:rPr>
          <w:rStyle w:val="Text6"/>
        </w:rPr>
        <w:t xml:space="preserve"/>
        <w:br w:clear="none"/>
      </w:r>
      <w:r>
        <w:rPr>
          <w:rStyle w:val="Text7"/>
        </w:rPr>
        <w:t xml:space="preserve">)</w:t>
        <w:br w:clear="none"/>
      </w:r>
    </w:p>
    <w:p>
      <w:pPr>
        <w:pStyle w:val="Normal"/>
      </w:pPr>
      <w:r>
        <w:t xml:space="preserve">Unlike the </w:t>
      </w:r>
      <w:r>
        <w:rPr>
          <w:rStyle w:val="Text0"/>
        </w:rPr>
        <w:t>NamedTuple</w:t>
      </w:r>
      <w:r>
        <w:t xml:space="preserve"> example, </w:t>
      </w:r>
      <w:r>
        <w:rPr>
          <w:rStyle w:val="Text0"/>
        </w:rPr>
        <w:t>listing2</w:t>
      </w:r>
      <w:r>
        <w:t xml:space="preserve"> will not raise a runtime error, simply creating a </w:t>
      </w:r>
      <w:r>
        <w:rPr>
          <w:rStyle w:val="Text0"/>
        </w:rPr>
        <w:t>dict</w:t>
      </w:r>
      <w:r>
        <w:t xml:space="preserve"> with just the given keys. However, </w:t>
      </w:r>
      <w:r>
        <w:rPr>
          <w:rStyle w:val="Text0"/>
        </w:rPr>
        <w:t>mypy</w:t>
      </w:r>
      <w:r>
        <w:t xml:space="preserve"> will flag </w:t>
      </w:r>
      <w:r>
        <w:rPr>
          <w:rStyle w:val="Text0"/>
        </w:rPr>
        <w:t>listing2</w:t>
      </w:r>
      <w:r>
        <w:t xml:space="preserve"> as a type error with the message:</w:t>
      </w:r>
    </w:p>
    <w:p>
      <w:pPr>
        <w:pStyle w:val="Para 008"/>
      </w:pPr>
      <w:r>
        <w:rPr>
          <w:rStyle w:val="Text48"/>
        </w:rPr>
        <w:t xml:space="preserve"/>
        <w:br w:clear="none"/>
      </w:r>
      <w:r>
        <w:t xml:space="preserve">error: Missing keys ("square_footage", "condition") for TypedDict</w:t>
        <w:br w:clear="none"/>
      </w:r>
      <w:r>
        <w:rPr>
          <w:rStyle w:val="Text48"/>
        </w:rPr>
        <w:t xml:space="preserve"/>
        <w:br w:clear="none"/>
      </w:r>
      <w:r>
        <w:t xml:space="preserve">"HouseListing"</w:t>
        <w:br w:clear="none"/>
      </w:r>
    </w:p>
    <w:p>
      <w:pPr>
        <w:pStyle w:val="Normal"/>
      </w:pPr>
      <w:r>
        <w:t xml:space="preserve">To indicate to the type checker that some keys may be omitted (but to still validate those that are given), add </w:t>
      </w:r>
      <w:r>
        <w:rPr>
          <w:rStyle w:val="Text0"/>
        </w:rPr>
        <w:t>total=False</w:t>
      </w:r>
      <w:r>
        <w:t xml:space="preserve"> to the class declaration:</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HouseListing</w:t>
        <w:br w:clear="none"/>
      </w:r>
      <w:r>
        <w:rPr>
          <w:rStyle w:val="Text7"/>
        </w:rPr>
        <w:t xml:space="preserve">(</w:t>
        <w:br w:clear="none"/>
      </w:r>
      <w:r>
        <w:t xml:space="preserve">typing</w:t>
        <w:br w:clear="none"/>
      </w:r>
      <w:r>
        <w:rPr>
          <w:rStyle w:val="Text13"/>
        </w:rPr>
        <w:t xml:space="preserve">.</w:t>
        <w:br w:clear="none"/>
      </w:r>
      <w:r>
        <w:t xml:space="preserve">TypedDict</w:t>
        <w:br w:clear="none"/>
      </w:r>
      <w:r>
        <w:rPr>
          <w:rStyle w:val="Text7"/>
        </w:rPr>
        <w:t xml:space="preserve">,</w:t>
        <w:br w:clear="none"/>
      </w:r>
      <w:r>
        <w:rPr>
          <w:rStyle w:val="Text6"/>
        </w:rPr>
        <w:t xml:space="preserve"> </w:t>
        <w:br w:clear="none"/>
      </w:r>
      <w:r>
        <w:t xml:space="preserve">total</w:t>
        <w:br w:clear="none"/>
      </w:r>
      <w:r>
        <w:rPr>
          <w:rStyle w:val="Text13"/>
        </w:rPr>
        <w:t xml:space="preserve">=</w:t>
        <w:br w:clear="none"/>
      </w:r>
      <w:r>
        <w:rPr>
          <w:rStyle w:val="Text39"/>
        </w:rPr>
        <w:t xml:space="preserve">False</w:t>
        <w:br w:clear="none"/>
      </w:r>
      <w:r>
        <w:rPr>
          <w:rStyle w:val="Text7"/>
        </w:rPr>
        <w:t xml:space="preserve">)</w:t>
        <w:br w:clear="none"/>
        <w:t xml:space="preserve">:</w:t>
        <w:br w:clear="none"/>
      </w:r>
      <w:r>
        <w:rPr>
          <w:rStyle w:val="Text6"/>
        </w:rPr>
        <w:t xml:space="preserve"/>
        <w:br w:clear="none"/>
        <w:t xml:space="preserve">    </w:t>
        <w:br w:clear="none"/>
      </w:r>
      <w:r>
        <w:rPr>
          <w:rStyle w:val="Text15"/>
        </w:rPr>
        <w:t xml:space="preserve"># ...</w:t>
        <w:br w:clear="none"/>
      </w:r>
    </w:p>
    <w:p>
      <w:pPr>
        <w:pStyle w:val="Normal"/>
      </w:pPr>
      <w:r>
        <w:rPr>
          <w:rStyle w:val="Text34"/>
        </w:rPr>
        <w:t>3.11+</w:t>
      </w:r>
      <w:r>
        <w:t xml:space="preserve"> Individual fields can also use the </w:t>
      </w:r>
      <w:r>
        <w:rPr>
          <w:rStyle w:val="Text0"/>
        </w:rPr>
        <w:t>Required</w:t>
      </w:r>
      <w:r>
        <w:t xml:space="preserve"> or </w:t>
      </w:r>
      <w:r>
        <w:rPr>
          <w:rStyle w:val="Text0"/>
        </w:rPr>
        <w:t>NotRequired</w:t>
      </w:r>
      <w:r>
        <w:t xml:space="preserve"> type annotations to explicitly mark them as required or optional:</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HouseListing</w:t>
        <w:br w:clear="none"/>
      </w:r>
      <w:r>
        <w:rPr>
          <w:rStyle w:val="Text7"/>
        </w:rPr>
        <w:t xml:space="preserve">(</w:t>
        <w:br w:clear="none"/>
      </w:r>
      <w:r>
        <w:t xml:space="preserve">typing</w:t>
        <w:br w:clear="none"/>
      </w:r>
      <w:r>
        <w:rPr>
          <w:rStyle w:val="Text13"/>
        </w:rPr>
        <w:t xml:space="preserve">.</w:t>
        <w:br w:clear="none"/>
      </w:r>
      <w:r>
        <w:t xml:space="preserve">TypedDict</w:t>
        <w:br w:clear="none"/>
      </w:r>
      <w:r>
        <w:rPr>
          <w:rStyle w:val="Text7"/>
        </w:rPr>
        <w:t xml:space="preserve">)</w:t>
        <w:br w:clear="none"/>
        <w:t xml:space="preserve">:</w:t>
        <w:br w:clear="none"/>
      </w:r>
      <w:r>
        <w:rPr>
          <w:rStyle w:val="Text6"/>
        </w:rPr>
        <w:t xml:space="preserve"/>
        <w:br w:clear="none"/>
        <w:t xml:space="preserve">    </w:t>
        <w:br w:clear="none"/>
      </w:r>
      <w:r>
        <w:t xml:space="preserve">address</w:t>
        <w:br w:clear="none"/>
      </w:r>
      <w:r>
        <w:rPr>
          <w:rStyle w:val="Text7"/>
        </w:rPr>
        <w:t xml:space="preserve">:</w:t>
        <w:br w:clear="none"/>
      </w:r>
      <w:r>
        <w:rPr>
          <w:rStyle w:val="Text6"/>
        </w:rPr>
        <w:t xml:space="preserve"> </w:t>
        <w:br w:clear="none"/>
      </w:r>
      <w:r>
        <w:t xml:space="preserve">typing</w:t>
        <w:br w:clear="none"/>
      </w:r>
      <w:r>
        <w:rPr>
          <w:rStyle w:val="Text13"/>
        </w:rPr>
        <w:t xml:space="preserve">.</w:t>
        <w:br w:clear="none"/>
      </w:r>
      <w:r>
        <w:t xml:space="preserve">Required</w:t>
        <w:br w:clear="none"/>
      </w:r>
      <w:r>
        <w:rPr>
          <w:rStyle w:val="Text7"/>
        </w:rPr>
        <w:t xml:space="preserve">[</w:t>
        <w:br w:clear="none"/>
      </w:r>
      <w:r>
        <w:rPr>
          <w:rStyle w:val="Text16"/>
        </w:rPr>
        <w:t xml:space="preserve">str</w:t>
        <w:br w:clear="none"/>
      </w:r>
      <w:r>
        <w:rPr>
          <w:rStyle w:val="Text7"/>
        </w:rPr>
        <w:t xml:space="preserve">]</w:t>
        <w:br w:clear="none"/>
      </w:r>
      <w:r>
        <w:rPr>
          <w:rStyle w:val="Text6"/>
        </w:rPr>
        <w:t xml:space="preserve"/>
        <w:br w:clear="none"/>
        <w:t xml:space="preserve">    </w:t>
        <w:br w:clear="none"/>
      </w:r>
      <w:r>
        <w:t xml:space="preserve">list_price</w:t>
        <w:br w:clear="none"/>
      </w:r>
      <w:r>
        <w:rPr>
          <w:rStyle w:val="Text7"/>
        </w:rPr>
        <w:t xml:space="preserve">:</w:t>
        <w:br w:clear="none"/>
      </w:r>
      <w:r>
        <w:rPr>
          <w:rStyle w:val="Text6"/>
        </w:rPr>
        <w:t xml:space="preserve"> </w:t>
        <w:br w:clear="none"/>
      </w:r>
      <w:r>
        <w:rPr>
          <w:rStyle w:val="Text16"/>
        </w:rPr>
        <w:t xml:space="preserve">int</w:t>
        <w:br w:clear="none"/>
      </w:r>
      <w:r>
        <w:rPr>
          <w:rStyle w:val="Text6"/>
        </w:rPr>
        <w:t xml:space="preserve"/>
        <w:br w:clear="none"/>
        <w:t xml:space="preserve">    </w:t>
        <w:br w:clear="none"/>
      </w:r>
      <w:r>
        <w:t xml:space="preserve">square_footage</w:t>
        <w:br w:clear="none"/>
      </w:r>
      <w:r>
        <w:rPr>
          <w:rStyle w:val="Text7"/>
        </w:rPr>
        <w:t xml:space="preserve">:</w:t>
        <w:br w:clear="none"/>
      </w:r>
      <w:r>
        <w:rPr>
          <w:rStyle w:val="Text6"/>
        </w:rPr>
        <w:t xml:space="preserve"> </w:t>
        <w:br w:clear="none"/>
      </w:r>
      <w:r>
        <w:t xml:space="preserve">typing</w:t>
        <w:br w:clear="none"/>
      </w:r>
      <w:r>
        <w:rPr>
          <w:rStyle w:val="Text13"/>
        </w:rPr>
        <w:t xml:space="preserve">.</w:t>
        <w:br w:clear="none"/>
      </w:r>
      <w:r>
        <w:t xml:space="preserve">NotRequired</w:t>
        <w:br w:clear="none"/>
      </w:r>
      <w:r>
        <w:rPr>
          <w:rStyle w:val="Text7"/>
        </w:rPr>
        <w:t xml:space="preserve">[</w:t>
        <w:br w:clear="none"/>
      </w:r>
      <w:r>
        <w:rPr>
          <w:rStyle w:val="Text16"/>
        </w:rPr>
        <w:t xml:space="preserve">int</w:t>
        <w:br w:clear="none"/>
      </w:r>
      <w:r>
        <w:rPr>
          <w:rStyle w:val="Text7"/>
        </w:rPr>
        <w:t xml:space="preserve">]</w:t>
        <w:br w:clear="none"/>
      </w:r>
      <w:r>
        <w:rPr>
          <w:rStyle w:val="Text6"/>
        </w:rPr>
        <w:t xml:space="preserve"/>
        <w:br w:clear="none"/>
        <w:t xml:space="preserve">    </w:t>
        <w:br w:clear="none"/>
      </w:r>
      <w:r>
        <w:t xml:space="preserve">condition</w:t>
        <w:br w:clear="none"/>
      </w:r>
      <w:r>
        <w:rPr>
          <w:rStyle w:val="Text7"/>
        </w:rPr>
        <w:t xml:space="preserve">:</w:t>
        <w:br w:clear="none"/>
      </w:r>
      <w:r>
        <w:rPr>
          <w:rStyle w:val="Text6"/>
        </w:rPr>
        <w:t xml:space="preserve"> </w:t>
        <w:br w:clear="none"/>
      </w:r>
      <w:r>
        <w:rPr>
          <w:rStyle w:val="Text16"/>
        </w:rPr>
        <w:t xml:space="preserve">str</w:t>
        <w:br w:clear="none"/>
      </w:r>
    </w:p>
    <w:p>
      <w:pPr>
        <w:pStyle w:val="Normal"/>
      </w:pPr>
      <w:r>
        <w:rPr>
          <w:rStyle w:val="Text0"/>
        </w:rPr>
        <w:t>TypedDict</w:t>
      </w:r>
      <w:r>
        <w:t xml:space="preserve"> can be used to define a generic type, too:</w:t>
      </w:r>
    </w:p>
    <w:p>
      <w:pPr>
        <w:pStyle w:val="Para 007"/>
      </w:pPr>
      <w:r>
        <w:rPr>
          <w:rStyle w:val="Text23"/>
        </w:rPr>
        <w:t xml:space="preserve"/>
        <w:br w:clear="none"/>
      </w:r>
      <w:r>
        <w:t xml:space="preserve">T</w:t>
        <w:br w:clear="none"/>
      </w:r>
      <w:r>
        <w:rPr>
          <w:rStyle w:val="Text6"/>
        </w:rPr>
        <w:t xml:space="preserve"> </w:t>
        <w:br w:clear="none"/>
      </w:r>
      <w:r>
        <w:rPr>
          <w:rStyle w:val="Text13"/>
        </w:rPr>
        <w:t xml:space="preserve">=</w:t>
        <w:br w:clear="none"/>
      </w:r>
      <w:r>
        <w:rPr>
          <w:rStyle w:val="Text6"/>
        </w:rPr>
        <w:t xml:space="preserve"> </w:t>
        <w:br w:clear="none"/>
      </w:r>
      <w:r>
        <w:t xml:space="preserve">typing</w:t>
        <w:br w:clear="none"/>
      </w:r>
      <w:r>
        <w:rPr>
          <w:rStyle w:val="Text13"/>
        </w:rPr>
        <w:t xml:space="preserve">.</w:t>
        <w:br w:clear="none"/>
      </w:r>
      <w:r>
        <w:t xml:space="preserve">TypeVar</w:t>
        <w:br w:clear="none"/>
      </w:r>
      <w:r>
        <w:rPr>
          <w:rStyle w:val="Text7"/>
        </w:rPr>
        <w:t xml:space="preserve">(</w:t>
        <w:br w:clear="none"/>
      </w:r>
      <w:r>
        <w:rPr>
          <w:rStyle w:val="Text8"/>
        </w:rPr>
        <w:t xml:space="preserve">'</w:t>
        <w:br w:clear="none"/>
        <w:t xml:space="preserve">T</w:t>
        <w:br w:clear="none"/>
        <w:t xml:space="preserve">'</w:t>
        <w:br w:clear="none"/>
      </w:r>
      <w:r>
        <w:rPr>
          <w:rStyle w:val="Text7"/>
        </w:rPr>
        <w:t xml:space="preserve">)</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Node</w:t>
        <w:br w:clear="none"/>
      </w:r>
      <w:r>
        <w:rPr>
          <w:rStyle w:val="Text7"/>
        </w:rPr>
        <w:t xml:space="preserve">(</w:t>
        <w:br w:clear="none"/>
      </w:r>
      <w:r>
        <w:t xml:space="preserve">typing</w:t>
        <w:br w:clear="none"/>
      </w:r>
      <w:r>
        <w:rPr>
          <w:rStyle w:val="Text13"/>
        </w:rPr>
        <w:t xml:space="preserve">.</w:t>
        <w:br w:clear="none"/>
      </w:r>
      <w:r>
        <w:t xml:space="preserve">TypedDict</w:t>
        <w:br w:clear="none"/>
      </w:r>
      <w:r>
        <w:rPr>
          <w:rStyle w:val="Text7"/>
        </w:rPr>
        <w:t xml:space="preserve">,</w:t>
        <w:br w:clear="none"/>
      </w:r>
      <w:r>
        <w:rPr>
          <w:rStyle w:val="Text6"/>
        </w:rPr>
        <w:t xml:space="preserve"> </w:t>
        <w:br w:clear="none"/>
      </w:r>
      <w:r>
        <w:t xml:space="preserve">typing</w:t>
        <w:br w:clear="none"/>
      </w:r>
      <w:r>
        <w:rPr>
          <w:rStyle w:val="Text13"/>
        </w:rPr>
        <w:t xml:space="preserve">.</w:t>
        <w:br w:clear="none"/>
      </w:r>
      <w:r>
        <w:t xml:space="preserve">Generic</w:t>
        <w:br w:clear="none"/>
      </w:r>
      <w:r>
        <w:rPr>
          <w:rStyle w:val="Text7"/>
        </w:rPr>
        <w:t xml:space="preserve">[</w:t>
        <w:br w:clear="none"/>
      </w:r>
      <w:r>
        <w:t xml:space="preserve">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label</w:t>
        <w:br w:clear="none"/>
      </w:r>
      <w:r>
        <w:rPr>
          <w:rStyle w:val="Text7"/>
        </w:rPr>
        <w:t xml:space="preserve">:</w:t>
        <w:br w:clear="none"/>
      </w:r>
      <w:r>
        <w:rPr>
          <w:rStyle w:val="Text6"/>
        </w:rPr>
        <w:t xml:space="preserve"> </w:t>
        <w:br w:clear="none"/>
      </w:r>
      <w:r>
        <w:t xml:space="preserve">T</w:t>
        <w:br w:clear="none"/>
      </w:r>
      <w:r>
        <w:rPr>
          <w:rStyle w:val="Text6"/>
        </w:rPr>
        <w:t xml:space="preserve"/>
        <w:br w:clear="none"/>
        <w:t xml:space="preserve">    </w:t>
        <w:br w:clear="none"/>
      </w:r>
      <w:r>
        <w:t xml:space="preserve">neighbors</w:t>
        <w:br w:clear="none"/>
      </w:r>
      <w:r>
        <w:rPr>
          <w:rStyle w:val="Text7"/>
        </w:rPr>
        <w:t xml:space="preserve">:</w:t>
        <w:br w:clear="none"/>
      </w:r>
      <w:r>
        <w:rPr>
          <w:rStyle w:val="Text6"/>
        </w:rPr>
        <w:t xml:space="preserve"> </w:t>
        <w:br w:clear="none"/>
      </w:r>
      <w:r>
        <w:rPr>
          <w:rStyle w:val="Text16"/>
        </w:rPr>
        <w:t xml:space="preserve">list</w:t>
        <w:br w:clear="none"/>
      </w:r>
      <w:r>
        <w:rPr>
          <w:rStyle w:val="Text7"/>
        </w:rPr>
        <w:t xml:space="preserve">[</w:t>
        <w:br w:clear="none"/>
      </w:r>
      <w:r>
        <w:t xml:space="preserve">T</w:t>
        <w:br w:clear="none"/>
      </w:r>
      <w:r>
        <w:rPr>
          <w:rStyle w:val="Text7"/>
        </w:rPr>
        <w:t xml:space="preserve">]</w:t>
        <w:br w:clear="none"/>
      </w:r>
      <w:r>
        <w:rPr>
          <w:rStyle w:val="Text6"/>
        </w:rPr>
        <w:t xml:space="preserve"/>
        <w:br w:clear="none"/>
        <w:t xml:space="preserve"/>
        <w:br w:clear="none"/>
      </w:r>
      <w:r>
        <w:t xml:space="preserve">n</w:t>
        <w:br w:clear="none"/>
      </w:r>
      <w:r>
        <w:rPr>
          <w:rStyle w:val="Text6"/>
        </w:rPr>
        <w:t xml:space="preserve"> </w:t>
        <w:br w:clear="none"/>
      </w:r>
      <w:r>
        <w:rPr>
          <w:rStyle w:val="Text13"/>
        </w:rPr>
        <w:t xml:space="preserve">=</w:t>
        <w:br w:clear="none"/>
      </w:r>
      <w:r>
        <w:rPr>
          <w:rStyle w:val="Text6"/>
        </w:rPr>
        <w:t xml:space="preserve"> </w:t>
        <w:br w:clear="none"/>
      </w:r>
      <w:r>
        <w:t xml:space="preserve">Node</w:t>
        <w:br w:clear="none"/>
      </w:r>
      <w:r>
        <w:rPr>
          <w:rStyle w:val="Text7"/>
        </w:rPr>
        <w:t xml:space="preserve">(</w:t>
        <w:br w:clear="none"/>
      </w:r>
      <w:r>
        <w:t xml:space="preserve">label</w:t>
        <w:br w:clear="none"/>
      </w:r>
      <w:r>
        <w:rPr>
          <w:rStyle w:val="Text13"/>
        </w:rPr>
        <w:t xml:space="preserve">=</w:t>
        <w:br w:clear="none"/>
      </w:r>
      <w:r>
        <w:rPr>
          <w:rStyle w:val="Text8"/>
        </w:rPr>
        <w:t xml:space="preserve">'</w:t>
        <w:br w:clear="none"/>
        <w:t xml:space="preserve">Acme</w:t>
        <w:br w:clear="none"/>
        <w:t xml:space="preserve">'</w:t>
        <w:br w:clear="none"/>
      </w:r>
      <w:r>
        <w:rPr>
          <w:rStyle w:val="Text7"/>
        </w:rPr>
        <w:t xml:space="preserve">,</w:t>
        <w:br w:clear="none"/>
      </w:r>
      <w:r>
        <w:rPr>
          <w:rStyle w:val="Text6"/>
        </w:rPr>
        <w:t xml:space="preserve"> </w:t>
        <w:br w:clear="none"/>
      </w:r>
      <w:r>
        <w:t xml:space="preserve">neighbors</w:t>
        <w:br w:clear="none"/>
      </w:r>
      <w:r>
        <w:rPr>
          <w:rStyle w:val="Text13"/>
        </w:rPr>
        <w:t xml:space="preserve">=</w:t>
        <w:br w:clear="none"/>
      </w:r>
      <w:r>
        <w:rPr>
          <w:rStyle w:val="Text7"/>
        </w:rPr>
        <w:t xml:space="preserve">[</w:t>
        <w:br w:clear="none"/>
      </w:r>
      <w:r>
        <w:rPr>
          <w:rStyle w:val="Text8"/>
        </w:rPr>
        <w:t xml:space="preserve">'</w:t>
        <w:br w:clear="none"/>
        <w:t xml:space="preserve">anvil</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magnet</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bird seed</w:t>
        <w:br w:clear="none"/>
        <w:t xml:space="preserve">'</w:t>
        <w:br w:clear="none"/>
      </w:r>
      <w:r>
        <w:rPr>
          <w:rStyle w:val="Text7"/>
        </w:rPr>
        <w:t xml:space="preserve">]</w:t>
        <w:br w:clear="none"/>
        <w:t xml:space="preserve">)</w:t>
        <w:br w:clear="none"/>
      </w:r>
    </w:p>
    <w:p>
      <w:pPr>
        <w:keepNext/>
        <w:pStyle w:val="Heading 6"/>
        <w:keepLines w:val="on"/>
      </w:pPr>
      <w:r>
        <w:t>Do Not Use the Legacy TypedDict(name, **fields) Format</w:t>
      </w:r>
    </w:p>
    <w:p>
      <w:pPr>
        <w:pStyle w:val="Para 012"/>
        <w:keepLines w:val="on"/>
      </w:pPr>
      <w:r>
        <w:t xml:space="preserve">To support backporting to older versions of Python, the initial release of </w:t>
      </w:r>
      <w:r>
        <w:rPr>
          <w:rStyle w:val="Text0"/>
        </w:rPr>
        <w:t>TypedDict</w:t>
      </w:r>
      <w:r>
        <w:t xml:space="preserve"> also let you use a syntax similar to that for </w:t>
      </w:r>
      <w:r>
        <w:rPr>
          <w:rStyle w:val="Text0"/>
        </w:rPr>
        <w:t>namedtuple</w:t>
      </w:r>
      <w:r>
        <w:t>, such as:</w:t>
      </w:r>
    </w:p>
    <w:p>
      <w:pPr>
        <w:pStyle w:val="Para 068"/>
        <w:keepLines w:val="on"/>
      </w:pPr>
      <w:r>
        <w:t xml:space="preserve"/>
        <w:br w:clear="none"/>
      </w:r>
      <w:r>
        <w:rPr>
          <w:rStyle w:val="Text49"/>
        </w:rPr>
        <w:t xml:space="preserve">HouseListing</w:t>
        <w:br w:clear="none"/>
      </w:r>
      <w:r>
        <w:t xml:space="preserve"> </w:t>
        <w:br w:clear="none"/>
      </w:r>
      <w:r>
        <w:rPr>
          <w:rStyle w:val="Text65"/>
        </w:rPr>
        <w:t xml:space="preserve">=</w:t>
        <w:br w:clear="none"/>
      </w:r>
      <w:r>
        <w:t xml:space="preserve"> </w:t>
        <w:br w:clear="none"/>
      </w:r>
      <w:r>
        <w:rPr>
          <w:rStyle w:val="Text49"/>
        </w:rPr>
        <w:t xml:space="preserve">TypedDict</w:t>
        <w:br w:clear="none"/>
      </w:r>
      <w:r>
        <w:rPr>
          <w:rStyle w:val="Text58"/>
        </w:rPr>
        <w:t xml:space="preserve">(</w:t>
        <w:br w:clear="none"/>
      </w:r>
      <w:r>
        <w:rPr>
          <w:rStyle w:val="Text46"/>
        </w:rPr>
        <w:t xml:space="preserve">'HouseListing'</w:t>
        <w:br w:clear="none"/>
      </w:r>
      <w:r>
        <w:rPr>
          <w:rStyle w:val="Text58"/>
        </w:rPr>
        <w:t xml:space="preserve">,</w:t>
        <w:br w:clear="none"/>
      </w:r>
      <w:r>
        <w:t xml:space="preserve"/>
        <w:br w:clear="none"/>
        <w:t xml:space="preserve">                         </w:t>
        <w:br w:clear="none"/>
      </w:r>
      <w:r>
        <w:rPr>
          <w:rStyle w:val="Text49"/>
        </w:rPr>
        <w:t xml:space="preserve">address</w:t>
        <w:br w:clear="none"/>
      </w:r>
      <w:r>
        <w:rPr>
          <w:rStyle w:val="Text65"/>
        </w:rPr>
        <w:t xml:space="preserve">=</w:t>
        <w:br w:clear="none"/>
      </w:r>
      <w:r>
        <w:rPr>
          <w:rStyle w:val="Text62"/>
        </w:rPr>
        <w:t xml:space="preserve">str</w:t>
        <w:br w:clear="none"/>
      </w:r>
      <w:r>
        <w:rPr>
          <w:rStyle w:val="Text58"/>
        </w:rPr>
        <w:t xml:space="preserve">,</w:t>
        <w:br w:clear="none"/>
      </w:r>
      <w:r>
        <w:t xml:space="preserve"> </w:t>
        <w:br w:clear="none"/>
        <w:t xml:space="preserve">                         </w:t>
        <w:br w:clear="none"/>
      </w:r>
      <w:r>
        <w:rPr>
          <w:rStyle w:val="Text49"/>
        </w:rPr>
        <w:t xml:space="preserve">list_price</w:t>
        <w:br w:clear="none"/>
      </w:r>
      <w:r>
        <w:rPr>
          <w:rStyle w:val="Text65"/>
        </w:rPr>
        <w:t xml:space="preserve">=</w:t>
        <w:br w:clear="none"/>
      </w:r>
      <w:r>
        <w:rPr>
          <w:rStyle w:val="Text62"/>
        </w:rPr>
        <w:t xml:space="preserve">int</w:t>
        <w:br w:clear="none"/>
      </w:r>
      <w:r>
        <w:rPr>
          <w:rStyle w:val="Text58"/>
        </w:rPr>
        <w:t xml:space="preserve">,</w:t>
        <w:br w:clear="none"/>
      </w:r>
      <w:r>
        <w:t xml:space="preserve"> </w:t>
        <w:br w:clear="none"/>
        <w:t xml:space="preserve">                         </w:t>
        <w:br w:clear="none"/>
      </w:r>
      <w:r>
        <w:rPr>
          <w:rStyle w:val="Text49"/>
        </w:rPr>
        <w:t xml:space="preserve">square_footage</w:t>
        <w:br w:clear="none"/>
      </w:r>
      <w:r>
        <w:rPr>
          <w:rStyle w:val="Text65"/>
        </w:rPr>
        <w:t xml:space="preserve">=</w:t>
        <w:br w:clear="none"/>
      </w:r>
      <w:r>
        <w:rPr>
          <w:rStyle w:val="Text62"/>
        </w:rPr>
        <w:t xml:space="preserve">int</w:t>
        <w:br w:clear="none"/>
      </w:r>
      <w:r>
        <w:rPr>
          <w:rStyle w:val="Text58"/>
        </w:rPr>
        <w:t xml:space="preserve">,</w:t>
        <w:br w:clear="none"/>
      </w:r>
      <w:r>
        <w:t xml:space="preserve"> </w:t>
        <w:br w:clear="none"/>
        <w:t xml:space="preserve">                         </w:t>
        <w:br w:clear="none"/>
      </w:r>
      <w:r>
        <w:rPr>
          <w:rStyle w:val="Text49"/>
        </w:rPr>
        <w:t xml:space="preserve">condition</w:t>
        <w:br w:clear="none"/>
      </w:r>
      <w:r>
        <w:rPr>
          <w:rStyle w:val="Text65"/>
        </w:rPr>
        <w:t xml:space="preserve">=</w:t>
        <w:br w:clear="none"/>
      </w:r>
      <w:r>
        <w:rPr>
          <w:rStyle w:val="Text62"/>
        </w:rPr>
        <w:t xml:space="preserve">str</w:t>
        <w:br w:clear="none"/>
      </w:r>
      <w:r>
        <w:rPr>
          <w:rStyle w:val="Text58"/>
        </w:rPr>
        <w:t xml:space="preserve">)</w:t>
        <w:br w:clear="none"/>
      </w:r>
    </w:p>
    <w:p>
      <w:pPr>
        <w:pStyle w:val="Para 012"/>
        <w:keepLines w:val="on"/>
      </w:pPr>
      <w:r>
        <w:t>or:</w:t>
      </w:r>
    </w:p>
    <w:p>
      <w:pPr>
        <w:pStyle w:val="Para 068"/>
        <w:keepLines w:val="on"/>
      </w:pPr>
      <w:r>
        <w:t xml:space="preserve"/>
        <w:br w:clear="none"/>
      </w:r>
      <w:r>
        <w:rPr>
          <w:rStyle w:val="Text49"/>
        </w:rPr>
        <w:t xml:space="preserve">HouseListing</w:t>
        <w:br w:clear="none"/>
      </w:r>
      <w:r>
        <w:t xml:space="preserve"> </w:t>
        <w:br w:clear="none"/>
      </w:r>
      <w:r>
        <w:rPr>
          <w:rStyle w:val="Text65"/>
        </w:rPr>
        <w:t xml:space="preserve">=</w:t>
        <w:br w:clear="none"/>
      </w:r>
      <w:r>
        <w:t xml:space="preserve"> </w:t>
        <w:br w:clear="none"/>
      </w:r>
      <w:r>
        <w:rPr>
          <w:rStyle w:val="Text49"/>
        </w:rPr>
        <w:t xml:space="preserve">TypedDict</w:t>
        <w:br w:clear="none"/>
      </w:r>
      <w:r>
        <w:rPr>
          <w:rStyle w:val="Text58"/>
        </w:rPr>
        <w:t xml:space="preserve">(</w:t>
        <w:br w:clear="none"/>
      </w:r>
      <w:r>
        <w:rPr>
          <w:rStyle w:val="Text46"/>
        </w:rPr>
        <w:t xml:space="preserve">'HouseListing'</w:t>
        <w:br w:clear="none"/>
      </w:r>
      <w:r>
        <w:rPr>
          <w:rStyle w:val="Text58"/>
        </w:rPr>
        <w:t xml:space="preserve">,</w:t>
        <w:br w:clear="none"/>
      </w:r>
      <w:r>
        <w:t xml:space="preserve"/>
        <w:br w:clear="none"/>
        <w:t xml:space="preserve">                         </w:t>
        <w:br w:clear="none"/>
      </w:r>
      <w:r>
        <w:rPr>
          <w:rStyle w:val="Text58"/>
        </w:rPr>
        <w:t xml:space="preserve">{</w:t>
        <w:br w:clear="none"/>
      </w:r>
      <w:r>
        <w:rPr>
          <w:rStyle w:val="Text46"/>
        </w:rPr>
        <w:t xml:space="preserve">'address'</w:t>
        <w:br w:clear="none"/>
      </w:r>
      <w:r>
        <w:rPr>
          <w:rStyle w:val="Text58"/>
        </w:rPr>
        <w:t xml:space="preserve">:</w:t>
        <w:br w:clear="none"/>
      </w:r>
      <w:r>
        <w:t xml:space="preserve"> </w:t>
        <w:br w:clear="none"/>
      </w:r>
      <w:r>
        <w:rPr>
          <w:rStyle w:val="Text62"/>
        </w:rPr>
        <w:t xml:space="preserve">str</w:t>
        <w:br w:clear="none"/>
      </w:r>
      <w:r>
        <w:rPr>
          <w:rStyle w:val="Text58"/>
        </w:rPr>
        <w:t xml:space="preserve">,</w:t>
        <w:br w:clear="none"/>
      </w:r>
      <w:r>
        <w:t xml:space="preserve"> </w:t>
        <w:br w:clear="none"/>
        <w:t xml:space="preserve">                          </w:t>
        <w:br w:clear="none"/>
      </w:r>
      <w:r>
        <w:rPr>
          <w:rStyle w:val="Text46"/>
        </w:rPr>
        <w:t xml:space="preserve">'list_price'</w:t>
        <w:br w:clear="none"/>
      </w:r>
      <w:r>
        <w:rPr>
          <w:rStyle w:val="Text58"/>
        </w:rPr>
        <w:t xml:space="preserve">:</w:t>
        <w:br w:clear="none"/>
      </w:r>
      <w:r>
        <w:t xml:space="preserve"> </w:t>
        <w:br w:clear="none"/>
      </w:r>
      <w:r>
        <w:rPr>
          <w:rStyle w:val="Text62"/>
        </w:rPr>
        <w:t xml:space="preserve">int</w:t>
        <w:br w:clear="none"/>
      </w:r>
      <w:r>
        <w:rPr>
          <w:rStyle w:val="Text58"/>
        </w:rPr>
        <w:t xml:space="preserve">,</w:t>
        <w:br w:clear="none"/>
      </w:r>
      <w:r>
        <w:t xml:space="preserve"> </w:t>
        <w:br w:clear="none"/>
        <w:t xml:space="preserve">                          </w:t>
        <w:br w:clear="none"/>
      </w:r>
      <w:r>
        <w:rPr>
          <w:rStyle w:val="Text46"/>
        </w:rPr>
        <w:t xml:space="preserve">'square_footage'</w:t>
        <w:br w:clear="none"/>
      </w:r>
      <w:r>
        <w:rPr>
          <w:rStyle w:val="Text58"/>
        </w:rPr>
        <w:t xml:space="preserve">:</w:t>
        <w:br w:clear="none"/>
      </w:r>
      <w:r>
        <w:t xml:space="preserve"> </w:t>
        <w:br w:clear="none"/>
      </w:r>
      <w:r>
        <w:rPr>
          <w:rStyle w:val="Text62"/>
        </w:rPr>
        <w:t xml:space="preserve">int</w:t>
        <w:br w:clear="none"/>
      </w:r>
      <w:r>
        <w:rPr>
          <w:rStyle w:val="Text58"/>
        </w:rPr>
        <w:t xml:space="preserve">,</w:t>
        <w:br w:clear="none"/>
      </w:r>
      <w:r>
        <w:t xml:space="preserve"/>
        <w:br w:clear="none"/>
        <w:t xml:space="preserve">                          </w:t>
        <w:br w:clear="none"/>
      </w:r>
      <w:r>
        <w:rPr>
          <w:rStyle w:val="Text46"/>
        </w:rPr>
        <w:t xml:space="preserve">'condition'</w:t>
        <w:br w:clear="none"/>
      </w:r>
      <w:r>
        <w:rPr>
          <w:rStyle w:val="Text58"/>
        </w:rPr>
        <w:t xml:space="preserve">:</w:t>
        <w:br w:clear="none"/>
      </w:r>
      <w:r>
        <w:t xml:space="preserve"> </w:t>
        <w:br w:clear="none"/>
      </w:r>
      <w:r>
        <w:rPr>
          <w:rStyle w:val="Text62"/>
        </w:rPr>
        <w:t xml:space="preserve">str</w:t>
        <w:br w:clear="none"/>
      </w:r>
      <w:r>
        <w:rPr>
          <w:rStyle w:val="Text58"/>
        </w:rPr>
        <w:t xml:space="preserve">})</w:t>
        <w:br w:clear="none"/>
      </w:r>
    </w:p>
    <w:p>
      <w:pPr>
        <w:pStyle w:val="Para 012"/>
        <w:keepLines w:val="on"/>
      </w:pPr>
      <w:r>
        <w:t>These forms are deprecated in Python 3.11, and are planned to be removed in Python 3.13.</w:t>
      </w:r>
    </w:p>
    <w:p>
      <w:pPr>
        <w:pStyle w:val="Normal"/>
      </w:pPr>
      <w:r>
        <w:t xml:space="preserve">Note that </w:t>
      </w:r>
      <w:r>
        <w:rPr>
          <w:rStyle w:val="Text0"/>
        </w:rPr>
        <w:t>TypedDict</w:t>
      </w:r>
      <w:r>
        <w:t xml:space="preserve"> does not actually define a new type. Classes created by inheriting from </w:t>
      </w:r>
      <w:r>
        <w:rPr>
          <w:rStyle w:val="Text0"/>
        </w:rPr>
        <w:t>TypedDict</w:t>
      </w:r>
      <w:r>
        <w:t xml:space="preserve"> actually serve as </w:t>
      </w:r>
      <w:r>
        <w:rPr>
          <w:rStyle w:val="Text0"/>
        </w:rPr>
        <w:t>dict</w:t>
      </w:r>
      <w:r>
        <w:t xml:space="preserve"> factories, such that instances created from them </w:t>
      </w:r>
      <w:r>
        <w:rPr>
          <w:rStyle w:val="Text4"/>
        </w:rPr>
        <w:t>are</w:t>
      </w:r>
      <w:r>
        <w:t xml:space="preserve"> </w:t>
      </w:r>
      <w:r>
        <w:rPr>
          <w:rStyle w:val="Text0"/>
        </w:rPr>
        <w:t>dict</w:t>
      </w:r>
      <w:r>
        <w:t xml:space="preserve">s. Reusing the previous code snippet defining the </w:t>
      </w:r>
      <w:r>
        <w:rPr>
          <w:rStyle w:val="Text0"/>
        </w:rPr>
        <w:t>Node</w:t>
      </w:r>
      <w:r>
        <w:t xml:space="preserve"> class, we can see this using the </w:t>
      </w:r>
      <w:r>
        <w:rPr>
          <w:rStyle w:val="Text0"/>
        </w:rPr>
        <w:t>type</w:t>
      </w:r>
      <w:r>
        <w:t xml:space="preserve"> built-in function:</w:t>
      </w:r>
    </w:p>
    <w:p>
      <w:pPr>
        <w:pStyle w:val="Para 014"/>
      </w:pPr>
      <w:r>
        <w:rPr>
          <w:rStyle w:val="Text116"/>
        </w:rPr>
        <w:t xml:space="preserve"/>
        <w:br w:clear="none"/>
      </w:r>
      <w:r>
        <w:rPr>
          <w:rStyle w:val="Text14"/>
        </w:rPr>
        <w:t xml:space="preserve">n</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Node</w:t>
        <w:br w:clear="none"/>
      </w:r>
      <w:r>
        <w:rPr>
          <w:rStyle w:val="Text19"/>
        </w:rPr>
        <w:t xml:space="preserve">(</w:t>
        <w:br w:clear="none"/>
      </w:r>
      <w:r>
        <w:rPr>
          <w:rStyle w:val="Text14"/>
        </w:rPr>
        <w:t xml:space="preserve">label</w:t>
        <w:br w:clear="none"/>
      </w:r>
      <w:r>
        <w:rPr>
          <w:rStyle w:val="Text28"/>
        </w:rPr>
        <w:t xml:space="preserve">=</w:t>
        <w:br w:clear="none"/>
      </w:r>
      <w:r>
        <w:rPr>
          <w:rStyle w:val="Text17"/>
        </w:rPr>
        <w:t xml:space="preserve">'</w:t>
        <w:br w:clear="none"/>
        <w:t xml:space="preserve">Acme</w:t>
        <w:br w:clear="none"/>
        <w:t xml:space="preserve">'</w:t>
        <w:br w:clear="none"/>
      </w:r>
      <w:r>
        <w:rPr>
          <w:rStyle w:val="Text19"/>
        </w:rPr>
        <w:t xml:space="preserve">,</w:t>
        <w:br w:clear="none"/>
      </w:r>
      <w:r>
        <w:rPr>
          <w:rStyle w:val="Text11"/>
        </w:rPr>
        <w:t xml:space="preserve"> </w:t>
        <w:br w:clear="none"/>
      </w:r>
      <w:r>
        <w:rPr>
          <w:rStyle w:val="Text14"/>
        </w:rPr>
        <w:t xml:space="preserve">neighbors</w:t>
        <w:br w:clear="none"/>
      </w:r>
      <w:r>
        <w:rPr>
          <w:rStyle w:val="Text28"/>
        </w:rPr>
        <w:t xml:space="preserve">=</w:t>
        <w:br w:clear="none"/>
      </w:r>
      <w:r>
        <w:rPr>
          <w:rStyle w:val="Text19"/>
        </w:rPr>
        <w:t xml:space="preserve">[</w:t>
        <w:br w:clear="none"/>
      </w:r>
      <w:r>
        <w:rPr>
          <w:rStyle w:val="Text17"/>
        </w:rPr>
        <w:t xml:space="preserve">'</w:t>
        <w:br w:clear="none"/>
        <w:t xml:space="preserve">anvil</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magnet</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bird seed</w:t>
        <w:br w:clear="none"/>
        <w:t xml:space="preserve">'</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type</w:t>
        <w:br w:clear="none"/>
      </w:r>
      <w:r>
        <w:rPr>
          <w:rStyle w:val="Text19"/>
        </w:rPr>
        <w:t xml:space="preserve">(</w:t>
        <w:br w:clear="none"/>
      </w:r>
      <w:r>
        <w:rPr>
          <w:rStyle w:val="Text14"/>
        </w:rPr>
        <w:t xml:space="preserve">n</w:t>
        <w:br w:clear="none"/>
      </w:r>
      <w:r>
        <w:rPr>
          <w:rStyle w:val="Text19"/>
        </w:rPr>
        <w:t xml:space="preserve">)</w:t>
        <w:br w:clear="none"/>
        <w:t xml:space="preserve">)</w:t>
        <w:br w:clear="none"/>
      </w:r>
      <w:r>
        <w:rPr>
          <w:rStyle w:val="Text11"/>
        </w:rPr>
        <w:t xml:space="preserve">           </w:t>
        <w:br w:clear="none"/>
      </w:r>
      <w:r>
        <w:t xml:space="preserve"># prints: &lt;class 'dict'&gt;</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type</w:t>
        <w:br w:clear="none"/>
      </w:r>
      <w:r>
        <w:rPr>
          <w:rStyle w:val="Text19"/>
        </w:rPr>
        <w:t xml:space="preserve">(</w:t>
        <w:br w:clear="none"/>
      </w:r>
      <w:r>
        <w:rPr>
          <w:rStyle w:val="Text14"/>
        </w:rPr>
        <w:t xml:space="preserve">n</w:t>
        <w:br w:clear="none"/>
      </w:r>
      <w:r>
        <w:rPr>
          <w:rStyle w:val="Text19"/>
        </w:rPr>
        <w:t xml:space="preserve">)</w:t>
        <w:br w:clear="none"/>
      </w:r>
      <w:r>
        <w:rPr>
          <w:rStyle w:val="Text11"/>
        </w:rPr>
        <w:t xml:space="preserve"> </w:t>
        <w:br w:clear="none"/>
      </w:r>
      <w:r>
        <w:rPr>
          <w:rStyle w:val="Text19"/>
        </w:rPr>
        <w:t xml:space="preserve">is</w:t>
        <w:br w:clear="none"/>
      </w:r>
      <w:r>
        <w:rPr>
          <w:rStyle w:val="Text11"/>
        </w:rPr>
        <w:t xml:space="preserve"> </w:t>
        <w:br w:clear="none"/>
      </w:r>
      <w:r>
        <w:rPr>
          <w:rStyle w:val="Text21"/>
        </w:rPr>
        <w:t xml:space="preserve">dict</w:t>
        <w:br w:clear="none"/>
      </w:r>
      <w:r>
        <w:rPr>
          <w:rStyle w:val="Text19"/>
        </w:rPr>
        <w:t xml:space="preserve">)</w:t>
        <w:br w:clear="none"/>
      </w:r>
      <w:r>
        <w:rPr>
          <w:rStyle w:val="Text11"/>
        </w:rPr>
        <w:t xml:space="preserve">   </w:t>
        <w:br w:clear="none"/>
      </w:r>
      <w:r>
        <w:t xml:space="preserve"># prints: True</w:t>
        <w:br w:clear="none"/>
      </w:r>
    </w:p>
    <w:p>
      <w:pPr>
        <w:pStyle w:val="Normal"/>
      </w:pPr>
      <w:r>
        <w:t xml:space="preserve">There is no special runtime conversion or initialization when using </w:t>
      </w:r>
      <w:r>
        <w:rPr>
          <w:rStyle w:val="Text0"/>
        </w:rPr>
        <w:t>TypedDict</w:t>
      </w:r>
      <w:r>
        <w:t xml:space="preserve">; the benefits of </w:t>
      </w:r>
      <w:r>
        <w:rPr>
          <w:rStyle w:val="Text0"/>
        </w:rPr>
        <w:t>TypedDict</w:t>
      </w:r>
      <w:r>
        <w:t xml:space="preserve"> are those of static type checking and self documentation, which naturally accrue from using type annotations.</w:t>
      </w:r>
      <w:r>
        <w:rPr>
          <w:rStyle w:val="Text111"/>
        </w:rPr>
        <w:bookmarkStart w:id="1714" w:name="idm45965261365888"/>
        <w:t/>
        <w:bookmarkEnd w:id="1714"/>
      </w:r>
    </w:p>
    <w:p>
      <w:bookmarkStart w:id="1715" w:name="Which_Should_You_Use__NamedTuple"/>
      <w:pPr>
        <w:keepNext/>
        <w:pStyle w:val="Heading 5"/>
        <w:keepLines w:val="on"/>
      </w:pPr>
      <w:r>
        <w:t>Which Should You Use, NamedTuple or TypedDict?</w:t>
      </w:r>
      <w:bookmarkEnd w:id="1715"/>
    </w:p>
    <w:p>
      <w:pPr>
        <w:pStyle w:val="Para 012"/>
        <w:keepLines w:val="on"/>
      </w:pPr>
      <w:r>
        <w:t>The</w:t>
      </w:r>
      <w:r>
        <w:rPr>
          <w:rStyle w:val="Text111"/>
        </w:rPr>
        <w:bookmarkStart w:id="1716" w:name="idm45965261362640"/>
        <w:t/>
        <w:bookmarkEnd w:id="1716"/>
        <w:bookmarkStart w:id="1717" w:name="idm45965261361504"/>
        <w:t/>
        <w:bookmarkEnd w:id="1717"/>
      </w:r>
      <w:r>
        <w:t xml:space="preserve"> two data types appear similar in terms of their supported features, but there are significant differences that should help you determine which one to use.</w:t>
      </w:r>
    </w:p>
    <w:p>
      <w:pPr>
        <w:pStyle w:val="Para 012"/>
        <w:keepLines w:val="on"/>
      </w:pPr>
      <w:r>
        <w:rPr>
          <w:rStyle w:val="Text0"/>
        </w:rPr>
        <w:t>NamedTuple</w:t>
      </w:r>
      <w:r>
        <w:t xml:space="preserve">s are immutable, so they can be used as dictionary keys or stored in sets, and are inherently safe to share across threads. As a </w:t>
      </w:r>
      <w:r>
        <w:rPr>
          <w:rStyle w:val="Text0"/>
        </w:rPr>
        <w:t>NamedTuple</w:t>
      </w:r>
      <w:r>
        <w:t xml:space="preserve"> object is a tuple, you can get its property values in order simply by iterating over it. However, to get the attribute names, you need to use the</w:t>
      </w:r>
      <w:r>
        <w:rPr>
          <w:rStyle w:val="Text111"/>
        </w:rPr>
        <w:bookmarkStart w:id="1718" w:name="idm45965261358368"/>
        <w:t/>
        <w:bookmarkEnd w:id="1718"/>
      </w:r>
      <w:r>
        <w:t xml:space="preserve"> special </w:t>
      </w:r>
      <w:r>
        <w:rPr>
          <w:rStyle w:val="Text0"/>
        </w:rPr>
        <w:t>__annotations__</w:t>
      </w:r>
      <w:r>
        <w:t xml:space="preserve"> attribute.</w:t>
      </w:r>
    </w:p>
    <w:p>
      <w:pPr>
        <w:pStyle w:val="Para 012"/>
        <w:keepLines w:val="on"/>
      </w:pPr>
      <w:r>
        <w:t xml:space="preserve">Since classes created with </w:t>
      </w:r>
      <w:r>
        <w:rPr>
          <w:rStyle w:val="Text0"/>
        </w:rPr>
        <w:t>TypedDict</w:t>
      </w:r>
      <w:r>
        <w:t xml:space="preserve"> are actually </w:t>
      </w:r>
      <w:r>
        <w:rPr>
          <w:rStyle w:val="Text0"/>
        </w:rPr>
        <w:t>dict</w:t>
      </w:r>
      <w:r>
        <w:t xml:space="preserve"> factories, instances created from them are </w:t>
      </w:r>
      <w:r>
        <w:rPr>
          <w:rStyle w:val="Text0"/>
        </w:rPr>
        <w:t>dict</w:t>
      </w:r>
      <w:r>
        <w:t xml:space="preserve">s, with all the behavior and attributes of </w:t>
      </w:r>
      <w:r>
        <w:rPr>
          <w:rStyle w:val="Text0"/>
        </w:rPr>
        <w:t>dict</w:t>
      </w:r>
      <w:r>
        <w:t xml:space="preserve">s. They are mutable, so their values can be updated without creating a new container instance, and they support all the </w:t>
      </w:r>
      <w:r>
        <w:rPr>
          <w:rStyle w:val="Text0"/>
        </w:rPr>
        <w:t>dict</w:t>
      </w:r>
      <w:r>
        <w:t xml:space="preserve"> methods, such as </w:t>
      </w:r>
      <w:r>
        <w:rPr>
          <w:rStyle w:val="Text0"/>
        </w:rPr>
        <w:t>keys</w:t>
      </w:r>
      <w:r>
        <w:t xml:space="preserve">, </w:t>
      </w:r>
      <w:r>
        <w:rPr>
          <w:rStyle w:val="Text0"/>
        </w:rPr>
        <w:t>values</w:t>
      </w:r>
      <w:r>
        <w:t xml:space="preserve">, and </w:t>
      </w:r>
      <w:r>
        <w:rPr>
          <w:rStyle w:val="Text0"/>
        </w:rPr>
        <w:t>items</w:t>
      </w:r>
      <w:r>
        <w:t xml:space="preserve">. They are also easily serialized using JSON or </w:t>
      </w:r>
      <w:r>
        <w:rPr>
          <w:rStyle w:val="Text0"/>
        </w:rPr>
        <w:t>pickle</w:t>
      </w:r>
      <w:r>
        <w:t xml:space="preserve">. However, being mutable, they cannot be used as keys in another </w:t>
      </w:r>
      <w:r>
        <w:rPr>
          <w:rStyle w:val="Text0"/>
        </w:rPr>
        <w:t>dict</w:t>
      </w:r>
      <w:r>
        <w:t xml:space="preserve">, nor can they be stored in a </w:t>
      </w:r>
      <w:r>
        <w:rPr>
          <w:rStyle w:val="Text0"/>
        </w:rPr>
        <w:t>set</w:t>
      </w:r>
      <w:r>
        <w:t>.</w:t>
      </w:r>
    </w:p>
    <w:p>
      <w:pPr>
        <w:pStyle w:val="Para 012"/>
        <w:keepLines w:val="on"/>
      </w:pPr>
      <w:r>
        <w:rPr>
          <w:rStyle w:val="Text0"/>
        </w:rPr>
        <w:t>TypedDict</w:t>
      </w:r>
      <w:r>
        <w:t xml:space="preserve">s are more lenient than </w:t>
      </w:r>
      <w:r>
        <w:rPr>
          <w:rStyle w:val="Text0"/>
        </w:rPr>
        <w:t>NamedTuple</w:t>
      </w:r>
      <w:r>
        <w:t xml:space="preserve">s about missing keys. When a key is omitted when constructing a </w:t>
      </w:r>
      <w:r>
        <w:rPr>
          <w:rStyle w:val="Text0"/>
        </w:rPr>
        <w:t>TypedDict</w:t>
      </w:r>
      <w:r>
        <w:t xml:space="preserve">, there is no error (though you will get a type-check warning from the static type checker). On the other hand, if an attribute is omitted when constructing a </w:t>
      </w:r>
      <w:r>
        <w:rPr>
          <w:rStyle w:val="Text0"/>
        </w:rPr>
        <w:t>NamedTuple</w:t>
      </w:r>
      <w:r>
        <w:t xml:space="preserve">, this will raise a runtime </w:t>
      </w:r>
      <w:r>
        <w:rPr>
          <w:rStyle w:val="Text0"/>
        </w:rPr>
        <w:t>TypeError</w:t>
      </w:r>
      <w:r>
        <w:t>.</w:t>
      </w:r>
    </w:p>
    <w:p>
      <w:pPr>
        <w:pStyle w:val="Para 012"/>
        <w:keepLines w:val="on"/>
      </w:pPr>
      <w:r>
        <w:t xml:space="preserve">In short, there is no across-the-board rule for when to use a </w:t>
      </w:r>
      <w:r>
        <w:rPr>
          <w:rStyle w:val="Text0"/>
        </w:rPr>
        <w:t>NamedTuple</w:t>
      </w:r>
      <w:r>
        <w:t xml:space="preserve"> versus a </w:t>
      </w:r>
      <w:r>
        <w:rPr>
          <w:rStyle w:val="Text0"/>
        </w:rPr>
        <w:t>TypedDict</w:t>
      </w:r>
      <w:r>
        <w:t xml:space="preserve">. Consider these alternative behaviors and how they relate to your program and its use of these data objects when deciding between a </w:t>
      </w:r>
      <w:r>
        <w:rPr>
          <w:rStyle w:val="Text0"/>
        </w:rPr>
        <w:t>NamedTuple</w:t>
      </w:r>
      <w:r>
        <w:t xml:space="preserve"> and a </w:t>
      </w:r>
      <w:r>
        <w:rPr>
          <w:rStyle w:val="Text0"/>
        </w:rPr>
        <w:t>TypedDict</w:t>
      </w:r>
      <w:r>
        <w:t xml:space="preserve">—and don’t forget the other, often preferable, alternative of using a </w:t>
      </w:r>
      <w:r>
        <w:rPr>
          <w:rStyle w:val="Text0"/>
        </w:rPr>
        <w:t>dataclass</w:t>
      </w:r>
      <w:r>
        <w:t xml:space="preserve"> (covered in </w:t>
      </w:r>
      <w:hyperlink w:anchor="Data_Classes__As_the_previous_Bu">
        <w:r>
          <w:rPr>
            <w:rStyle w:val="Text1"/>
          </w:rPr>
          <w:t>“Data Classes”</w:t>
        </w:r>
      </w:hyperlink>
      <w:r>
        <w:t>) instead!</w:t>
      </w:r>
      <w:r>
        <w:rPr>
          <w:rStyle w:val="Text111"/>
        </w:rPr>
        <w:bookmarkStart w:id="1719" w:name="idm45965261307840"/>
        <w:t/>
        <w:bookmarkEnd w:id="1719"/>
      </w:r>
    </w:p>
    <w:p>
      <w:bookmarkStart w:id="1720" w:name="TypeAlias__3_10__Defining_a_simp"/>
      <w:pPr>
        <w:keepNext/>
        <w:pStyle w:val="Heading 2"/>
      </w:pPr>
      <w:r>
        <w:t>TypeAlias</w:t>
      </w:r>
      <w:bookmarkEnd w:id="1720"/>
    </w:p>
    <w:p>
      <w:pPr>
        <w:pStyle w:val="Normal"/>
      </w:pPr>
      <w:r>
        <w:rPr>
          <w:rStyle w:val="Text34"/>
        </w:rPr>
        <w:t>3.10+</w:t>
      </w:r>
      <w:r>
        <w:t xml:space="preserve"> Defining</w:t>
      </w:r>
      <w:r>
        <w:rPr>
          <w:rStyle w:val="Text111"/>
        </w:rPr>
        <w:bookmarkStart w:id="1721" w:name="idm45965261304224"/>
        <w:t/>
        <w:bookmarkEnd w:id="1721"/>
        <w:bookmarkStart w:id="1722" w:name="idm45965261303120"/>
        <w:t/>
        <w:bookmarkEnd w:id="1722"/>
      </w:r>
      <w:r>
        <w:t xml:space="preserve"> a simple type alias can be misinterpreted as assigning a class to a variable. For instance, here we define a type for record identifiers in a database:</w:t>
      </w:r>
    </w:p>
    <w:p>
      <w:pPr>
        <w:pStyle w:val="Para 007"/>
      </w:pPr>
      <w:r>
        <w:rPr>
          <w:rStyle w:val="Text23"/>
        </w:rPr>
        <w:t xml:space="preserve"/>
        <w:br w:clear="none"/>
      </w:r>
      <w:r>
        <w:t xml:space="preserve">Identifier</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int</w:t>
        <w:br w:clear="none"/>
      </w:r>
    </w:p>
    <w:p>
      <w:pPr>
        <w:pStyle w:val="Normal"/>
      </w:pPr>
      <w:r>
        <w:t xml:space="preserve">To clarify that this statement is intended to define a custom type name for the purposes of type checking, use </w:t>
      </w:r>
      <w:r>
        <w:rPr>
          <w:rStyle w:val="Text0"/>
        </w:rPr>
        <w:t>TypeAlias</w:t>
      </w:r>
      <w:r>
        <w:t>:</w:t>
      </w:r>
    </w:p>
    <w:p>
      <w:pPr>
        <w:pStyle w:val="Para 007"/>
      </w:pPr>
      <w:r>
        <w:rPr>
          <w:rStyle w:val="Text23"/>
        </w:rPr>
        <w:t xml:space="preserve"/>
        <w:br w:clear="none"/>
      </w:r>
      <w:r>
        <w:t xml:space="preserve">Identifier</w:t>
        <w:br w:clear="none"/>
      </w:r>
      <w:r>
        <w:rPr>
          <w:rStyle w:val="Text7"/>
        </w:rPr>
        <w:t xml:space="preserve">:</w:t>
        <w:br w:clear="none"/>
      </w:r>
      <w:r>
        <w:rPr>
          <w:rStyle w:val="Text23"/>
        </w:rPr>
        <w:t xml:space="preserve"> </w:t>
        <w:br w:clear="none"/>
      </w:r>
      <w:r>
        <w:t xml:space="preserve">TypeAlias</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int</w:t>
        <w:br w:clear="none"/>
      </w:r>
    </w:p>
    <w:p>
      <w:pPr>
        <w:pStyle w:val="Normal"/>
      </w:pPr>
      <w:r>
        <w:rPr>
          <w:rStyle w:val="Text0"/>
        </w:rPr>
        <w:t>TypeAlias</w:t>
      </w:r>
      <w:r>
        <w:t xml:space="preserve"> is also useful when defining an alias for a type that is not yet defined, and so referenced as a string value:</w:t>
      </w:r>
    </w:p>
    <w:p>
      <w:pPr>
        <w:pStyle w:val="Para 014"/>
      </w:pPr>
      <w:r>
        <w:rPr>
          <w:rStyle w:val="Text116"/>
        </w:rPr>
        <w:t xml:space="preserve"/>
        <w:br w:clear="none"/>
      </w:r>
      <w:r>
        <w:t xml:space="preserve"># Python will treat this like a standard str assignment</w:t>
        <w:br w:clear="none"/>
      </w:r>
      <w:r>
        <w:rPr>
          <w:rStyle w:val="Text11"/>
        </w:rPr>
        <w:t xml:space="preserve"/>
        <w:br w:clear="none"/>
      </w:r>
      <w:r>
        <w:rPr>
          <w:rStyle w:val="Text14"/>
        </w:rPr>
        <w:t xml:space="preserve">TBDType</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ClassNotDefinedYet</w:t>
        <w:br w:clear="none"/>
        <w:t xml:space="preserve">'</w:t>
        <w:br w:clear="none"/>
      </w:r>
      <w:r>
        <w:rPr>
          <w:rStyle w:val="Text11"/>
        </w:rPr>
        <w:t xml:space="preserve"/>
        <w:br w:clear="none"/>
        <w:t xml:space="preserve"/>
        <w:br w:clear="none"/>
      </w:r>
      <w:r>
        <w:t xml:space="preserve"># indicates that this is actually a forward reference to a class</w:t>
        <w:br w:clear="none"/>
      </w:r>
      <w:r>
        <w:rPr>
          <w:rStyle w:val="Text11"/>
        </w:rPr>
        <w:t xml:space="preserve"/>
        <w:br w:clear="none"/>
      </w:r>
      <w:r>
        <w:rPr>
          <w:rStyle w:val="Text14"/>
        </w:rPr>
        <w:t xml:space="preserve">TBDType</w:t>
        <w:br w:clear="none"/>
      </w:r>
      <w:r>
        <w:rPr>
          <w:rStyle w:val="Text19"/>
        </w:rPr>
        <w:t xml:space="preserve">:</w:t>
        <w:br w:clear="none"/>
      </w:r>
      <w:r>
        <w:rPr>
          <w:rStyle w:val="Text11"/>
        </w:rPr>
        <w:t xml:space="preserve"> </w:t>
        <w:br w:clear="none"/>
      </w:r>
      <w:r>
        <w:rPr>
          <w:rStyle w:val="Text14"/>
        </w:rPr>
        <w:t xml:space="preserve">TypeAlias</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ClassNotDefinedYet</w:t>
        <w:br w:clear="none"/>
        <w:t xml:space="preserve">'</w:t>
        <w:br w:clear="none"/>
      </w:r>
    </w:p>
    <w:p>
      <w:pPr>
        <w:pStyle w:val="Normal"/>
      </w:pPr>
      <w:r>
        <w:rPr>
          <w:rStyle w:val="Text0"/>
        </w:rPr>
        <w:t>TypeAlias</w:t>
      </w:r>
      <w:r>
        <w:t xml:space="preserve"> types may only be defined at module scope. Custom types defined using </w:t>
      </w:r>
      <w:r>
        <w:rPr>
          <w:rStyle w:val="Text0"/>
        </w:rPr>
        <w:t>TypeAlias</w:t>
      </w:r>
      <w:r>
        <w:t xml:space="preserve"> are interchangeable with the target type. Contrast </w:t>
      </w:r>
      <w:r>
        <w:rPr>
          <w:rStyle w:val="Text0"/>
        </w:rPr>
        <w:t>TypeAlias</w:t>
      </w:r>
      <w:r>
        <w:t xml:space="preserve"> (which does not create a new type, just gives a new name for an existing one) with </w:t>
      </w:r>
      <w:r>
        <w:rPr>
          <w:rStyle w:val="Text0"/>
        </w:rPr>
        <w:t>NewType</w:t>
      </w:r>
      <w:r>
        <w:t>, covered in the following section, which does create a new type.</w:t>
      </w:r>
    </w:p>
    <w:p>
      <w:bookmarkStart w:id="1723" w:name="NewType__NewType_allows_you_to_d"/>
      <w:pPr>
        <w:keepNext/>
        <w:pStyle w:val="Heading 2"/>
      </w:pPr>
      <w:r>
        <w:t>NewType</w:t>
      </w:r>
      <w:bookmarkEnd w:id="1723"/>
    </w:p>
    <w:p>
      <w:pPr>
        <w:pStyle w:val="Normal"/>
      </w:pPr>
      <w:r>
        <w:rPr>
          <w:rStyle w:val="Text0"/>
        </w:rPr>
        <w:t>NewType</w:t>
      </w:r>
      <w:r>
        <w:rPr>
          <w:rStyle w:val="Text111"/>
        </w:rPr>
        <w:bookmarkStart w:id="1724" w:name="idm45965261228640"/>
        <w:t/>
        <w:bookmarkEnd w:id="1724"/>
        <w:bookmarkStart w:id="1725" w:name="idm45965261227536"/>
        <w:t/>
        <w:bookmarkEnd w:id="1725"/>
      </w:r>
      <w:r>
        <w:t xml:space="preserve"> allows you to define application-specific subtypes, to avoid confusion that might result from using the same type for different variables. If your program uses </w:t>
      </w:r>
      <w:r>
        <w:rPr>
          <w:rStyle w:val="Text0"/>
        </w:rPr>
        <w:t>str</w:t>
      </w:r>
      <w:r>
        <w:t xml:space="preserve"> values for different types of data, for example, it is easy to accidentally interchange values. Suppose you have a program that models employees in departments. The following type declaration is not sufficiently descriptive—which is the key and which is the value?</w:t>
      </w:r>
    </w:p>
    <w:p>
      <w:pPr>
        <w:pStyle w:val="Para 007"/>
      </w:pPr>
      <w:r>
        <w:rPr>
          <w:rStyle w:val="Text23"/>
        </w:rPr>
        <w:t xml:space="preserve"/>
        <w:br w:clear="none"/>
      </w:r>
      <w:r>
        <w:t xml:space="preserve">employee_department_map</w:t>
        <w:br w:clear="none"/>
      </w:r>
      <w:r>
        <w:rPr>
          <w:rStyle w:val="Text7"/>
        </w:rPr>
        <w:t xml:space="preserve">:</w:t>
        <w:br w:clear="none"/>
      </w:r>
      <w:r>
        <w:rPr>
          <w:rStyle w:val="Text23"/>
        </w:rPr>
        <w:t xml:space="preserve"> </w:t>
        <w:br w:clear="none"/>
      </w:r>
      <w:r>
        <w:rPr>
          <w:rStyle w:val="Text16"/>
        </w:rPr>
        <w:t xml:space="preserve">dict</w:t>
        <w:br w:clear="none"/>
      </w:r>
      <w:r>
        <w:rPr>
          <w:rStyle w:val="Text7"/>
        </w:rPr>
        <w:t xml:space="preserve">[</w:t>
        <w:br w:clear="none"/>
      </w:r>
      <w:r>
        <w:rPr>
          <w:rStyle w:val="Text16"/>
        </w:rPr>
        <w:t xml:space="preserve">str</w:t>
        <w:br w:clear="none"/>
      </w:r>
      <w:r>
        <w:rPr>
          <w:rStyle w:val="Text7"/>
        </w:rPr>
        <w:t xml:space="preserve">,</w:t>
        <w:br w:clear="none"/>
      </w:r>
      <w:r>
        <w:rPr>
          <w:rStyle w:val="Text23"/>
        </w:rPr>
        <w:t xml:space="preserve"> </w:t>
        <w:br w:clear="none"/>
      </w:r>
      <w:r>
        <w:rPr>
          <w:rStyle w:val="Text16"/>
        </w:rPr>
        <w:t xml:space="preserve">str</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p>
    <w:p>
      <w:pPr>
        <w:pStyle w:val="Normal"/>
      </w:pPr>
      <w:r>
        <w:t>Defining types for employee and department IDs makes this declaration clearer:</w:t>
      </w:r>
    </w:p>
    <w:p>
      <w:pPr>
        <w:pStyle w:val="Para 007"/>
      </w:pPr>
      <w:r>
        <w:rPr>
          <w:rStyle w:val="Text23"/>
        </w:rPr>
        <w:t xml:space="preserve"/>
        <w:br w:clear="none"/>
      </w:r>
      <w:r>
        <w:t xml:space="preserve">EmpId</w:t>
        <w:br w:clear="none"/>
      </w:r>
      <w:r>
        <w:rPr>
          <w:rStyle w:val="Text23"/>
        </w:rPr>
        <w:t xml:space="preserve"> </w:t>
        <w:br w:clear="none"/>
      </w:r>
      <w:r>
        <w:rPr>
          <w:rStyle w:val="Text13"/>
        </w:rPr>
        <w:t xml:space="preserve">=</w:t>
        <w:br w:clear="none"/>
      </w:r>
      <w:r>
        <w:rPr>
          <w:rStyle w:val="Text23"/>
        </w:rPr>
        <w:t xml:space="preserve"> </w:t>
        <w:br w:clear="none"/>
      </w:r>
      <w:r>
        <w:t xml:space="preserve">typing</w:t>
        <w:br w:clear="none"/>
      </w:r>
      <w:r>
        <w:rPr>
          <w:rStyle w:val="Text13"/>
        </w:rPr>
        <w:t xml:space="preserve">.</w:t>
        <w:br w:clear="none"/>
      </w:r>
      <w:r>
        <w:t xml:space="preserve">NewType</w:t>
        <w:br w:clear="none"/>
      </w:r>
      <w:r>
        <w:rPr>
          <w:rStyle w:val="Text7"/>
        </w:rPr>
        <w:t xml:space="preserve">(</w:t>
        <w:br w:clear="none"/>
      </w:r>
      <w:r>
        <w:rPr>
          <w:rStyle w:val="Text8"/>
        </w:rPr>
        <w:t xml:space="preserve">'EmpId'</w:t>
        <w:br w:clear="none"/>
      </w:r>
      <w:r>
        <w:rPr>
          <w:rStyle w:val="Text7"/>
        </w:rPr>
        <w:t xml:space="preserve">,</w:t>
        <w:br w:clear="none"/>
      </w:r>
      <w:r>
        <w:rPr>
          <w:rStyle w:val="Text23"/>
        </w:rPr>
        <w:t xml:space="preserve"> </w:t>
        <w:br w:clear="none"/>
      </w:r>
      <w:r>
        <w:rPr>
          <w:rStyle w:val="Text16"/>
        </w:rPr>
        <w:t xml:space="preserve">str</w:t>
        <w:br w:clear="none"/>
      </w:r>
      <w:r>
        <w:rPr>
          <w:rStyle w:val="Text7"/>
        </w:rPr>
        <w:t xml:space="preserve">)</w:t>
        <w:br w:clear="none"/>
      </w:r>
      <w:r>
        <w:rPr>
          <w:rStyle w:val="Text23"/>
        </w:rPr>
        <w:t xml:space="preserve"/>
        <w:br w:clear="none"/>
      </w:r>
      <w:r>
        <w:t xml:space="preserve">DeptId</w:t>
        <w:br w:clear="none"/>
      </w:r>
      <w:r>
        <w:rPr>
          <w:rStyle w:val="Text23"/>
        </w:rPr>
        <w:t xml:space="preserve"> </w:t>
        <w:br w:clear="none"/>
      </w:r>
      <w:r>
        <w:rPr>
          <w:rStyle w:val="Text13"/>
        </w:rPr>
        <w:t xml:space="preserve">=</w:t>
        <w:br w:clear="none"/>
      </w:r>
      <w:r>
        <w:rPr>
          <w:rStyle w:val="Text23"/>
        </w:rPr>
        <w:t xml:space="preserve"> </w:t>
        <w:br w:clear="none"/>
      </w:r>
      <w:r>
        <w:t xml:space="preserve">typing</w:t>
        <w:br w:clear="none"/>
      </w:r>
      <w:r>
        <w:rPr>
          <w:rStyle w:val="Text13"/>
        </w:rPr>
        <w:t xml:space="preserve">.</w:t>
        <w:br w:clear="none"/>
      </w:r>
      <w:r>
        <w:t xml:space="preserve">NewType</w:t>
        <w:br w:clear="none"/>
      </w:r>
      <w:r>
        <w:rPr>
          <w:rStyle w:val="Text7"/>
        </w:rPr>
        <w:t xml:space="preserve">(</w:t>
        <w:br w:clear="none"/>
      </w:r>
      <w:r>
        <w:rPr>
          <w:rStyle w:val="Text8"/>
        </w:rPr>
        <w:t xml:space="preserve">'DeptId'</w:t>
        <w:br w:clear="none"/>
      </w:r>
      <w:r>
        <w:rPr>
          <w:rStyle w:val="Text7"/>
        </w:rPr>
        <w:t xml:space="preserve">,</w:t>
        <w:br w:clear="none"/>
      </w:r>
      <w:r>
        <w:rPr>
          <w:rStyle w:val="Text23"/>
        </w:rPr>
        <w:t xml:space="preserve"> </w:t>
        <w:br w:clear="none"/>
      </w:r>
      <w:r>
        <w:rPr>
          <w:rStyle w:val="Text16"/>
        </w:rPr>
        <w:t xml:space="preserve">str</w:t>
        <w:br w:clear="none"/>
      </w:r>
      <w:r>
        <w:rPr>
          <w:rStyle w:val="Text7"/>
        </w:rPr>
        <w:t xml:space="preserve">)</w:t>
        <w:br w:clear="none"/>
      </w:r>
      <w:r>
        <w:rPr>
          <w:rStyle w:val="Text23"/>
        </w:rPr>
        <w:t xml:space="preserve"/>
        <w:br w:clear="none"/>
      </w:r>
      <w:r>
        <w:t xml:space="preserve">employee_department_map</w:t>
        <w:br w:clear="none"/>
      </w:r>
      <w:r>
        <w:rPr>
          <w:rStyle w:val="Text7"/>
        </w:rPr>
        <w:t xml:space="preserve">:</w:t>
        <w:br w:clear="none"/>
      </w:r>
      <w:r>
        <w:rPr>
          <w:rStyle w:val="Text23"/>
        </w:rPr>
        <w:t xml:space="preserve"> </w:t>
        <w:br w:clear="none"/>
      </w:r>
      <w:r>
        <w:rPr>
          <w:rStyle w:val="Text16"/>
        </w:rPr>
        <w:t xml:space="preserve">dict</w:t>
        <w:br w:clear="none"/>
      </w:r>
      <w:r>
        <w:rPr>
          <w:rStyle w:val="Text7"/>
        </w:rPr>
        <w:t xml:space="preserve">[</w:t>
        <w:br w:clear="none"/>
      </w:r>
      <w:r>
        <w:t xml:space="preserve">EmpId</w:t>
        <w:br w:clear="none"/>
      </w:r>
      <w:r>
        <w:rPr>
          <w:rStyle w:val="Text7"/>
        </w:rPr>
        <w:t xml:space="preserve">,</w:t>
        <w:br w:clear="none"/>
      </w:r>
      <w:r>
        <w:rPr>
          <w:rStyle w:val="Text23"/>
        </w:rPr>
        <w:t xml:space="preserve"> </w:t>
        <w:br w:clear="none"/>
      </w:r>
      <w:r>
        <w:t xml:space="preserve">DeptId</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p>
    <w:p>
      <w:pPr>
        <w:pStyle w:val="Normal"/>
      </w:pPr>
      <w:r>
        <w:t>These type definitions will also allow type checkers to flag this incorrect usage: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transfer_employee</w:t>
        <w:br w:clear="none"/>
      </w:r>
      <w:r>
        <w:rPr>
          <w:rStyle w:val="Text7"/>
        </w:rPr>
        <w:t xml:space="preserve">(</w:t>
        <w:br w:clear="none"/>
      </w:r>
      <w:r>
        <w:t xml:space="preserve">empid</w:t>
        <w:br w:clear="none"/>
      </w:r>
      <w:r>
        <w:rPr>
          <w:rStyle w:val="Text7"/>
        </w:rPr>
        <w:t xml:space="preserve">:</w:t>
        <w:br w:clear="none"/>
      </w:r>
      <w:r>
        <w:rPr>
          <w:rStyle w:val="Text6"/>
        </w:rPr>
        <w:t xml:space="preserve"> </w:t>
        <w:br w:clear="none"/>
      </w:r>
      <w:r>
        <w:t xml:space="preserve">EmpId</w:t>
        <w:br w:clear="none"/>
      </w:r>
      <w:r>
        <w:rPr>
          <w:rStyle w:val="Text7"/>
        </w:rPr>
        <w:t xml:space="preserve">,</w:t>
        <w:br w:clear="none"/>
      </w:r>
      <w:r>
        <w:rPr>
          <w:rStyle w:val="Text6"/>
        </w:rPr>
        <w:t xml:space="preserve"> </w:t>
        <w:br w:clear="none"/>
      </w:r>
      <w:r>
        <w:t xml:space="preserve">to_dept</w:t>
        <w:br w:clear="none"/>
      </w:r>
      <w:r>
        <w:rPr>
          <w:rStyle w:val="Text7"/>
        </w:rPr>
        <w:t xml:space="preserve">:</w:t>
        <w:br w:clear="none"/>
      </w:r>
      <w:r>
        <w:rPr>
          <w:rStyle w:val="Text6"/>
        </w:rPr>
        <w:t xml:space="preserve"> </w:t>
        <w:br w:clear="none"/>
      </w:r>
      <w:r>
        <w:t xml:space="preserve">DeptId</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5"/>
        </w:rPr>
        <w:t xml:space="preserve"># update department for employee</w:t>
        <w:br w:clear="none"/>
      </w:r>
      <w:r>
        <w:rPr>
          <w:rStyle w:val="Text11"/>
        </w:rPr>
        <w:t xml:space="preserve"/>
        <w:br w:clear="none"/>
      </w:r>
      <w:r>
        <w:rPr>
          <w:rStyle w:val="Text6"/>
        </w:rPr>
        <w:t xml:space="preserve">     </w:t>
        <w:br w:clear="none"/>
      </w:r>
      <w:r>
        <w:t xml:space="preserve">employee_department_map</w:t>
        <w:br w:clear="none"/>
      </w:r>
      <w:r>
        <w:rPr>
          <w:rStyle w:val="Text7"/>
        </w:rPr>
        <w:t xml:space="preserve">[</w:t>
        <w:br w:clear="none"/>
      </w:r>
      <w:r>
        <w:t xml:space="preserve">to_dept</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empid</w:t>
        <w:br w:clear="none"/>
      </w:r>
    </w:p>
    <w:p>
      <w:pPr>
        <w:pStyle w:val="Normal"/>
      </w:pPr>
      <w:r>
        <w:t xml:space="preserve">Running </w:t>
      </w:r>
      <w:r>
        <w:rPr>
          <w:rStyle w:val="Text0"/>
        </w:rPr>
        <w:t>mypy</w:t>
      </w:r>
      <w:r>
        <w:t xml:space="preserve"> reports these errors for the line </w:t>
      </w:r>
      <w:r>
        <w:rPr>
          <w:rStyle w:val="Text0"/>
        </w:rPr>
        <w:t>employee_department_map[to_dept] = empid</w:t>
      </w:r>
      <w:r>
        <w:t>:</w:t>
      </w:r>
    </w:p>
    <w:p>
      <w:pPr>
        <w:pStyle w:val="Para 008"/>
      </w:pPr>
      <w:r>
        <w:rPr>
          <w:rStyle w:val="Text48"/>
        </w:rPr>
        <w:t xml:space="preserve"/>
        <w:br w:clear="none"/>
      </w:r>
      <w:r>
        <w:t xml:space="preserve">error: Invalid index type "DeptId" for "Dict[EmpId, DeptId]"; expected</w:t>
        <w:br w:clear="none"/>
      </w:r>
      <w:r>
        <w:rPr>
          <w:rStyle w:val="Text48"/>
        </w:rPr>
        <w:t xml:space="preserve"/>
        <w:br w:clear="none"/>
      </w:r>
      <w:r>
        <w:t xml:space="preserve">type "EmpId"</w:t>
        <w:br w:clear="none"/>
      </w:r>
      <w:r>
        <w:rPr>
          <w:rStyle w:val="Text48"/>
        </w:rPr>
        <w:t xml:space="preserve"/>
        <w:br w:clear="none"/>
      </w:r>
      <w:r>
        <w:t xml:space="preserve">error: Incompatible types in assignment (expression has type "EmpId",</w:t>
        <w:br w:clear="none"/>
      </w:r>
      <w:r>
        <w:rPr>
          <w:rStyle w:val="Text48"/>
        </w:rPr>
        <w:t xml:space="preserve"/>
        <w:br w:clear="none"/>
      </w:r>
      <w:r>
        <w:t xml:space="preserve">target has type "DeptId")</w:t>
        <w:br w:clear="none"/>
      </w:r>
    </w:p>
    <w:p>
      <w:pPr>
        <w:pStyle w:val="Normal"/>
      </w:pPr>
      <w:r>
        <w:t xml:space="preserve">Using </w:t>
      </w:r>
      <w:r>
        <w:rPr>
          <w:rStyle w:val="Text0"/>
        </w:rPr>
        <w:t>NewType</w:t>
      </w:r>
      <w:r>
        <w:t xml:space="preserve"> often requires you to use </w:t>
      </w:r>
      <w:r>
        <w:rPr>
          <w:rStyle w:val="Text0"/>
        </w:rPr>
        <w:t>typing.cast</w:t>
      </w:r>
      <w:r>
        <w:t xml:space="preserve"> too; for example, to create an </w:t>
      </w:r>
      <w:r>
        <w:rPr>
          <w:rStyle w:val="Text0"/>
        </w:rPr>
        <w:t>EmpId</w:t>
      </w:r>
      <w:r>
        <w:t xml:space="preserve">, you need to cast a </w:t>
      </w:r>
      <w:r>
        <w:rPr>
          <w:rStyle w:val="Text0"/>
        </w:rPr>
        <w:t>str</w:t>
      </w:r>
      <w:r>
        <w:t xml:space="preserve"> to the </w:t>
      </w:r>
      <w:r>
        <w:rPr>
          <w:rStyle w:val="Text0"/>
        </w:rPr>
        <w:t>EmpId</w:t>
      </w:r>
      <w:r>
        <w:t xml:space="preserve"> type.</w:t>
      </w:r>
    </w:p>
    <w:p>
      <w:pPr>
        <w:pStyle w:val="Normal"/>
      </w:pPr>
      <w:r>
        <w:t xml:space="preserve">You can also use </w:t>
      </w:r>
      <w:r>
        <w:rPr>
          <w:rStyle w:val="Text0"/>
        </w:rPr>
        <w:t>NewType</w:t>
      </w:r>
      <w:r>
        <w:t xml:space="preserve"> to indicate the desired implementation type for an application-specific type. For instance, the basic US postal zip code is five numeric digits. It is common to see this implemented using </w:t>
      </w:r>
      <w:r>
        <w:rPr>
          <w:rStyle w:val="Text0"/>
        </w:rPr>
        <w:t>int</w:t>
      </w:r>
      <w:r>
        <w:t xml:space="preserve">, which becomes problematic with zip codes that have a leading </w:t>
      </w:r>
      <w:r>
        <w:rPr>
          <w:rStyle w:val="Text0"/>
        </w:rPr>
        <w:t>0</w:t>
      </w:r>
      <w:r>
        <w:t xml:space="preserve">. To indicate that zip codes should be implemented using </w:t>
      </w:r>
      <w:r>
        <w:rPr>
          <w:rStyle w:val="Text0"/>
        </w:rPr>
        <w:t>str</w:t>
      </w:r>
      <w:r>
        <w:t>, your code can define this type-checking type:</w:t>
      </w:r>
    </w:p>
    <w:p>
      <w:pPr>
        <w:pStyle w:val="Para 007"/>
      </w:pPr>
      <w:r>
        <w:rPr>
          <w:rStyle w:val="Text23"/>
        </w:rPr>
        <w:t xml:space="preserve"/>
        <w:br w:clear="none"/>
      </w:r>
      <w:r>
        <w:t xml:space="preserve">ZipCode</w:t>
        <w:br w:clear="none"/>
      </w:r>
      <w:r>
        <w:rPr>
          <w:rStyle w:val="Text23"/>
        </w:rPr>
        <w:t xml:space="preserve"> </w:t>
        <w:br w:clear="none"/>
      </w:r>
      <w:r>
        <w:rPr>
          <w:rStyle w:val="Text13"/>
        </w:rPr>
        <w:t xml:space="preserve">=</w:t>
        <w:br w:clear="none"/>
      </w:r>
      <w:r>
        <w:rPr>
          <w:rStyle w:val="Text23"/>
        </w:rPr>
        <w:t xml:space="preserve"> </w:t>
        <w:br w:clear="none"/>
      </w:r>
      <w:r>
        <w:t xml:space="preserve">typing</w:t>
        <w:br w:clear="none"/>
      </w:r>
      <w:r>
        <w:rPr>
          <w:rStyle w:val="Text13"/>
        </w:rPr>
        <w:t xml:space="preserve">.</w:t>
        <w:br w:clear="none"/>
      </w:r>
      <w:r>
        <w:t xml:space="preserve">NewType</w:t>
        <w:br w:clear="none"/>
      </w:r>
      <w:r>
        <w:rPr>
          <w:rStyle w:val="Text7"/>
        </w:rPr>
        <w:t xml:space="preserve">(</w:t>
        <w:br w:clear="none"/>
      </w:r>
      <w:r>
        <w:rPr>
          <w:rStyle w:val="Text8"/>
        </w:rPr>
        <w:t xml:space="preserve">"ZipCode"</w:t>
        <w:br w:clear="none"/>
      </w:r>
      <w:r>
        <w:rPr>
          <w:rStyle w:val="Text7"/>
        </w:rPr>
        <w:t xml:space="preserve">,</w:t>
        <w:br w:clear="none"/>
      </w:r>
      <w:r>
        <w:rPr>
          <w:rStyle w:val="Text23"/>
        </w:rPr>
        <w:t xml:space="preserve"> </w:t>
        <w:br w:clear="none"/>
      </w:r>
      <w:r>
        <w:rPr>
          <w:rStyle w:val="Text16"/>
        </w:rPr>
        <w:t xml:space="preserve">str</w:t>
        <w:br w:clear="none"/>
      </w:r>
      <w:r>
        <w:rPr>
          <w:rStyle w:val="Text7"/>
        </w:rPr>
        <w:t xml:space="preserve">)</w:t>
        <w:br w:clear="none"/>
      </w:r>
    </w:p>
    <w:p>
      <w:pPr>
        <w:pStyle w:val="Normal"/>
      </w:pPr>
      <w:r>
        <w:t xml:space="preserve">Annotating variables and function arguments using </w:t>
      </w:r>
      <w:r>
        <w:rPr>
          <w:rStyle w:val="Text0"/>
        </w:rPr>
        <w:t>ZipCode</w:t>
      </w:r>
      <w:r>
        <w:t xml:space="preserve"> will help flag incorrect uses of </w:t>
      </w:r>
      <w:r>
        <w:rPr>
          <w:rStyle w:val="Text0"/>
        </w:rPr>
        <w:t>int</w:t>
      </w:r>
      <w:r>
        <w:t xml:space="preserve"> for zip code values.</w:t>
      </w:r>
      <w:r>
        <w:rPr>
          <w:rStyle w:val="Text111"/>
        </w:rPr>
        <w:bookmarkStart w:id="1726" w:name="idm45965261043744"/>
        <w:t/>
        <w:bookmarkEnd w:id="1726"/>
        <w:bookmarkStart w:id="1727" w:name="idm45965261042368"/>
        <w:t/>
        <w:bookmarkEnd w:id="1727"/>
      </w:r>
    </w:p>
    <w:p>
      <w:bookmarkStart w:id="1728" w:name="Using_Type_Annotations_at_Runtim"/>
      <w:pPr>
        <w:keepNext/>
        <w:pStyle w:val="Heading 1"/>
      </w:pPr>
      <w:r>
        <w:t>Using Type Annotations at Runtime</w:t>
      </w:r>
      <w:bookmarkEnd w:id="1728"/>
    </w:p>
    <w:p>
      <w:pPr>
        <w:pStyle w:val="Normal"/>
      </w:pPr>
      <w:r>
        <w:t>Function</w:t>
      </w:r>
      <w:r>
        <w:rPr>
          <w:rStyle w:val="Text111"/>
        </w:rPr>
        <w:bookmarkStart w:id="1729" w:name="idm45965261039424"/>
        <w:t/>
        <w:bookmarkEnd w:id="1729"/>
        <w:bookmarkStart w:id="1730" w:name="idm45965261017888"/>
        <w:t/>
        <w:bookmarkEnd w:id="1730"/>
      </w:r>
      <w:r>
        <w:t xml:space="preserve"> and class variable annotations can be introspected by accessing the function or class’s </w:t>
      </w:r>
      <w:r>
        <w:rPr>
          <w:rStyle w:val="Text0"/>
        </w:rPr>
        <w:t>__annotations__</w:t>
      </w:r>
      <w:r>
        <w:t xml:space="preserve"> attribute (although a </w:t>
      </w:r>
      <w:hyperlink r:id="rId259">
        <w:r>
          <w:rPr>
            <w:rStyle w:val="Text1"/>
          </w:rPr>
          <w:t>better practice</w:t>
        </w:r>
      </w:hyperlink>
      <w:r>
        <w:t xml:space="preserve"> is to instead call </w:t>
      </w:r>
      <w:r>
        <w:rPr>
          <w:rStyle w:val="Text0"/>
        </w:rPr>
        <w:t>inspect.get_annotations()</w:t>
      </w:r>
      <w:r>
        <w:t>):</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9"/>
        </w:rPr>
        <w:t xml:space="preserve">a</w:t>
        <w:br w:clear="none"/>
      </w:r>
      <w:r>
        <w:rPr>
          <w:rStyle w:val="Text7"/>
        </w:rPr>
        <w:t xml:space="preserve">:</w:t>
        <w:br w:clear="none"/>
      </w:r>
      <w:r>
        <w:rPr>
          <w:rStyle w:val="Text16"/>
        </w:rPr>
        <w:t xml:space="preserve">list</w:t>
        <w:br w:clear="none"/>
      </w:r>
      <w:r>
        <w:rPr>
          <w:rStyle w:val="Text7"/>
        </w:rPr>
        <w:t xml:space="preserve">[</w:t>
        <w:br w:clear="none"/>
      </w:r>
      <w:r>
        <w:rPr>
          <w:rStyle w:val="Text16"/>
        </w:rPr>
        <w:t xml:space="preserve">str</w:t>
        <w:br w:clear="none"/>
      </w:r>
      <w:r>
        <w:rPr>
          <w:rStyle w:val="Text7"/>
        </w:rPr>
        <w:t xml:space="preserve">]</w:t>
        <w:br w:clear="none"/>
        <w:t xml:space="preserve">,</w:t>
        <w:br w:clear="none"/>
      </w:r>
      <w:r>
        <w:t xml:space="preserve"> </w:t>
        <w:br w:clear="none"/>
      </w:r>
      <w:r>
        <w:rPr>
          <w:rStyle w:val="Text9"/>
        </w:rPr>
        <w:t xml:space="preserve">b</w:t>
        <w:br w:clear="none"/>
      </w:r>
      <w:r>
        <w:rPr>
          <w:rStyle w:val="Text7"/>
        </w:rPr>
        <w:t xml:space="preserve">)</w:t>
        <w:br w:clear="none"/>
      </w:r>
      <w:r>
        <w:t xml:space="preserve"> </w:t>
        <w:br w:clear="none"/>
      </w:r>
      <w:r>
        <w:rPr>
          <w:rStyle w:val="Text13"/>
        </w:rPr>
        <w:t xml:space="preserve">-</w:t>
        <w:br w:clear="none"/>
        <w:t xml:space="preserve">&gt;</w:t>
        <w:br w:clear="none"/>
      </w:r>
      <w:r>
        <w:t xml:space="preserve"> </w:t>
        <w:br w:clear="none"/>
      </w:r>
      <w:r>
        <w:rPr>
          <w:rStyle w:val="Text16"/>
        </w:rPr>
        <w:t xml:space="preserve">int</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pass</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f</w:t>
        <w:br w:clear="none"/>
      </w:r>
      <w:r>
        <w:rPr>
          <w:rStyle w:val="Text13"/>
        </w:rPr>
        <w:t xml:space="preserve">.</w:t>
        <w:br w:clear="none"/>
      </w:r>
      <w:r>
        <w:t xml:space="preserve">__annotations__</w:t>
        <w:br w:clear="none"/>
      </w:r>
    </w:p>
    <w:p>
      <w:pPr>
        <w:pStyle w:val="Para 008"/>
      </w:pPr>
      <w:r>
        <w:rPr>
          <w:rStyle w:val="Text48"/>
        </w:rPr>
        <w:t xml:space="preserve"/>
        <w:br w:clear="none"/>
      </w:r>
      <w:r>
        <w:t xml:space="preserve">{'a': list[str], 'return': &lt;class 'int'&gt;}</w:t>
        <w:br w:clear="none"/>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Customer</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name</w:t>
        <w:br w:clear="none"/>
      </w:r>
      <w:r>
        <w:rPr>
          <w:rStyle w:val="Text7"/>
        </w:rPr>
        <w:t xml:space="preserve">:</w:t>
        <w:br w:clear="none"/>
      </w:r>
      <w:r>
        <w:t xml:space="preserve"> </w:t>
        <w:br w:clear="none"/>
      </w:r>
      <w:r>
        <w:rPr>
          <w:rStyle w:val="Text16"/>
        </w:rPr>
        <w:t xml:space="preserve">str</w:t>
        <w:br w:clear="none"/>
      </w:r>
      <w:r>
        <w:t xml:space="preserve"/>
        <w:br w:clear="none"/>
      </w:r>
      <w:r>
        <w:rPr>
          <w:rStyle w:val="Text13"/>
        </w:rPr>
        <w:t xml:space="preserve">.</w:t>
        <w:br w:clear="none"/>
        <w:t xml:space="preserve">.</w:t>
        <w:br w:clear="none"/>
        <w:t xml:space="preserve">.</w:t>
        <w:br w:clear="none"/>
      </w:r>
      <w:r>
        <w:t xml:space="preserve">     </w:t>
        <w:br w:clear="none"/>
      </w:r>
      <w:r>
        <w:rPr>
          <w:rStyle w:val="Text9"/>
        </w:rPr>
        <w:t xml:space="preserve">reward_points</w:t>
        <w:br w:clear="none"/>
      </w:r>
      <w:r>
        <w:rPr>
          <w:rStyle w:val="Text7"/>
        </w:rPr>
        <w:t xml:space="preserve">:</w:t>
        <w:br w:clear="none"/>
      </w:r>
      <w:r>
        <w:t xml:space="preserve"> </w:t>
        <w:br w:clear="none"/>
      </w:r>
      <w:r>
        <w:rPr>
          <w:rStyle w:val="Text16"/>
        </w:rPr>
        <w:t xml:space="preserve">int</w:t>
        <w:br w:clear="none"/>
      </w:r>
      <w:r>
        <w:t xml:space="preserve"> </w:t>
        <w:br w:clear="none"/>
      </w:r>
      <w:r>
        <w:rPr>
          <w:rStyle w:val="Text13"/>
        </w:rPr>
        <w:t xml:space="preserve">=</w:t>
        <w:br w:clear="none"/>
      </w:r>
      <w:r>
        <w:t xml:space="preserve"> </w:t>
        <w:br w:clear="none"/>
      </w:r>
      <w:r>
        <w:rPr>
          <w:rStyle w:val="Text27"/>
        </w:rPr>
        <w:t xml:space="preserve">0</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Customer</w:t>
        <w:br w:clear="none"/>
      </w:r>
      <w:r>
        <w:rPr>
          <w:rStyle w:val="Text13"/>
        </w:rPr>
        <w:t xml:space="preserve">.</w:t>
        <w:br w:clear="none"/>
      </w:r>
      <w:r>
        <w:t xml:space="preserve">__annotations__</w:t>
        <w:br w:clear="none"/>
      </w:r>
    </w:p>
    <w:p>
      <w:pPr>
        <w:pStyle w:val="Para 008"/>
      </w:pPr>
      <w:r>
        <w:rPr>
          <w:rStyle w:val="Text48"/>
        </w:rPr>
        <w:t xml:space="preserve"/>
        <w:br w:clear="none"/>
      </w:r>
      <w:r>
        <w:t xml:space="preserve">{'name': &lt;class 'str'&gt;, 'reward_points': &lt;class 'int'&gt;}</w:t>
        <w:br w:clear="none"/>
      </w:r>
    </w:p>
    <w:p>
      <w:pPr>
        <w:pStyle w:val="Normal"/>
      </w:pPr>
      <w:r>
        <w:t xml:space="preserve">This feature is used by third-party packages such as </w:t>
      </w:r>
      <w:r>
        <w:rPr>
          <w:rStyle w:val="Text0"/>
        </w:rPr>
        <w:t>pydantic</w:t>
      </w:r>
      <w:r>
        <w:t xml:space="preserve"> and FastAPI to provide extra code generation and validation capabilities.</w:t>
      </w:r>
    </w:p>
    <w:p>
      <w:pPr>
        <w:pStyle w:val="Normal"/>
      </w:pPr>
      <w:r>
        <w:rPr>
          <w:rStyle w:val="Text34"/>
        </w:rPr>
        <w:t>3.8+</w:t>
      </w:r>
      <w:r>
        <w:t xml:space="preserve"> To define your own custom protocol class that supports runtime checking with </w:t>
      </w:r>
      <w:r>
        <w:rPr>
          <w:rStyle w:val="Text0"/>
        </w:rPr>
        <w:t>issubclass</w:t>
      </w:r>
      <w:r>
        <w:t xml:space="preserve"> and </w:t>
      </w:r>
      <w:r>
        <w:rPr>
          <w:rStyle w:val="Text0"/>
        </w:rPr>
        <w:t>isinstance</w:t>
      </w:r>
      <w:r>
        <w:t xml:space="preserve">, define that class as a subclass of </w:t>
      </w:r>
      <w:r>
        <w:rPr>
          <w:rStyle w:val="Text0"/>
        </w:rPr>
        <w:t>typing.Protocol</w:t>
      </w:r>
      <w:r>
        <w:t xml:space="preserve">, with empty method definitions for the required protocol methods, and decorate the class with </w:t>
      </w:r>
      <w:r>
        <w:rPr>
          <w:rStyle w:val="Text0"/>
        </w:rPr>
        <w:t>@runtime_checkable</w:t>
      </w:r>
      <w:r>
        <w:t xml:space="preserve"> (covered in </w:t>
      </w:r>
      <w:hyperlink w:anchor="Table_5_6__Commonly_used_functio">
        <w:r>
          <w:rPr>
            <w:rStyle w:val="Text1"/>
          </w:rPr>
          <w:t>Table 5-6</w:t>
        </w:r>
      </w:hyperlink>
      <w:r>
        <w:t xml:space="preserve">). If you </w:t>
      </w:r>
      <w:r>
        <w:rPr>
          <w:rStyle w:val="Text4"/>
        </w:rPr>
        <w:t>don’t</w:t>
      </w:r>
      <w:r>
        <w:t xml:space="preserve"> decorate it with </w:t>
      </w:r>
      <w:r>
        <w:rPr>
          <w:rStyle w:val="Text0"/>
        </w:rPr>
        <w:t>@runtime_checkable</w:t>
      </w:r>
      <w:r>
        <w:t xml:space="preserve">, you’re still defining a </w:t>
      </w:r>
      <w:r>
        <w:rPr>
          <w:rStyle w:val="Text0"/>
        </w:rPr>
        <w:t>Protocol</w:t>
      </w:r>
      <w:r>
        <w:t xml:space="preserve"> that’s quite usable for static type checking, but it won’t be runtime-checkable with </w:t>
      </w:r>
      <w:r>
        <w:rPr>
          <w:rStyle w:val="Text0"/>
        </w:rPr>
        <w:t>issubclass</w:t>
      </w:r>
      <w:r>
        <w:t xml:space="preserve"> and </w:t>
      </w:r>
      <w:r>
        <w:rPr>
          <w:rStyle w:val="Text0"/>
        </w:rPr>
        <w:t>isinstance</w:t>
      </w:r>
      <w:r>
        <w:t>.</w:t>
      </w:r>
    </w:p>
    <w:p>
      <w:pPr>
        <w:pStyle w:val="Normal"/>
      </w:pPr>
      <w:r>
        <w:t xml:space="preserve">For example, we could define a protocol that indicates that a class implements the </w:t>
      </w:r>
      <w:r>
        <w:rPr>
          <w:rStyle w:val="Text0"/>
        </w:rPr>
        <w:t>update</w:t>
      </w:r>
      <w:r>
        <w:t xml:space="preserve"> and </w:t>
      </w:r>
      <w:r>
        <w:rPr>
          <w:rStyle w:val="Text0"/>
        </w:rPr>
        <w:t>undo</w:t>
      </w:r>
      <w:r>
        <w:t xml:space="preserve"> methods as follows (the Python </w:t>
      </w:r>
      <w:r>
        <w:rPr>
          <w:rStyle w:val="Text0"/>
        </w:rPr>
        <w:t>Ellipsis</w:t>
      </w:r>
      <w:r>
        <w:t xml:space="preserve">, </w:t>
      </w:r>
      <w:r>
        <w:rPr>
          <w:rStyle w:val="Text0"/>
        </w:rPr>
        <w:t>...</w:t>
      </w:r>
      <w:r>
        <w:t>, is a convenient syntax for indicating an empty method definition):</w:t>
      </w:r>
    </w:p>
    <w:p>
      <w:pPr>
        <w:pStyle w:val="Para 007"/>
      </w:pPr>
      <w:r>
        <w:rPr>
          <w:rStyle w:val="Text23"/>
        </w:rPr>
        <w:t xml:space="preserve"/>
        <w:br w:clear="none"/>
      </w:r>
      <w:r>
        <w:t xml:space="preserve">T</w:t>
        <w:br w:clear="none"/>
      </w:r>
      <w:r>
        <w:rPr>
          <w:rStyle w:val="Text6"/>
        </w:rPr>
        <w:t xml:space="preserve"> </w:t>
        <w:br w:clear="none"/>
      </w:r>
      <w:r>
        <w:rPr>
          <w:rStyle w:val="Text13"/>
        </w:rPr>
        <w:t xml:space="preserve">=</w:t>
        <w:br w:clear="none"/>
      </w:r>
      <w:r>
        <w:rPr>
          <w:rStyle w:val="Text6"/>
        </w:rPr>
        <w:t xml:space="preserve"> </w:t>
        <w:br w:clear="none"/>
      </w:r>
      <w:r>
        <w:t xml:space="preserve">typing</w:t>
        <w:br w:clear="none"/>
      </w:r>
      <w:r>
        <w:rPr>
          <w:rStyle w:val="Text13"/>
        </w:rPr>
        <w:t xml:space="preserve">.</w:t>
        <w:br w:clear="none"/>
      </w:r>
      <w:r>
        <w:t xml:space="preserve">TypeVar</w:t>
        <w:br w:clear="none"/>
      </w:r>
      <w:r>
        <w:rPr>
          <w:rStyle w:val="Text7"/>
        </w:rPr>
        <w:t xml:space="preserve">(</w:t>
        <w:br w:clear="none"/>
      </w:r>
      <w:r>
        <w:rPr>
          <w:rStyle w:val="Text8"/>
        </w:rPr>
        <w:t xml:space="preserve">'</w:t>
        <w:br w:clear="none"/>
        <w:t xml:space="preserve">T</w:t>
        <w:br w:clear="none"/>
        <w:t xml:space="preserve">'</w:t>
        <w:br w:clear="none"/>
      </w:r>
      <w:r>
        <w:rPr>
          <w:rStyle w:val="Text7"/>
        </w:rPr>
        <w:t xml:space="preserve">)</w:t>
        <w:br w:clear="none"/>
      </w:r>
      <w:r>
        <w:rPr>
          <w:rStyle w:val="Text6"/>
        </w:rPr>
        <w:t xml:space="preserve"/>
        <w:br w:clear="none"/>
        <w:t xml:space="preserve"/>
        <w:br w:clear="none"/>
      </w:r>
      <w:r>
        <w:rPr>
          <w:rStyle w:val="Text44"/>
        </w:rPr>
        <w:t xml:space="preserve">@typing</w:t>
        <w:br w:clear="none"/>
      </w:r>
      <w:r>
        <w:rPr>
          <w:rStyle w:val="Text13"/>
        </w:rPr>
        <w:t xml:space="preserve">.</w:t>
        <w:br w:clear="none"/>
      </w:r>
      <w:r>
        <w:t xml:space="preserve">runtime_checkable</w:t>
        <w:br w:clear="none"/>
      </w:r>
      <w:r>
        <w:rPr>
          <w:rStyle w:val="Text6"/>
        </w:rPr>
        <w:t xml:space="preserve"/>
        <w:br w:clear="none"/>
      </w:r>
      <w:r>
        <w:rPr>
          <w:rStyle w:val="Text10"/>
        </w:rPr>
        <w:t xml:space="preserve">class</w:t>
        <w:br w:clear="none"/>
      </w:r>
      <w:r>
        <w:rPr>
          <w:rStyle w:val="Text6"/>
        </w:rPr>
        <w:t xml:space="preserve"> </w:t>
        <w:br w:clear="none"/>
      </w:r>
      <w:r>
        <w:rPr>
          <w:rStyle w:val="Text33"/>
        </w:rPr>
        <w:t xml:space="preserve">SupportsUpdateUndo</w:t>
        <w:br w:clear="none"/>
      </w:r>
      <w:r>
        <w:rPr>
          <w:rStyle w:val="Text7"/>
        </w:rPr>
        <w:t xml:space="preserve">(</w:t>
        <w:br w:clear="none"/>
      </w:r>
      <w:r>
        <w:t xml:space="preserve">typing</w:t>
        <w:br w:clear="none"/>
      </w:r>
      <w:r>
        <w:rPr>
          <w:rStyle w:val="Text13"/>
        </w:rPr>
        <w:t xml:space="preserve">.</w:t>
        <w:br w:clear="none"/>
      </w:r>
      <w:r>
        <w:t xml:space="preserve">Protocol</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update</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t xml:space="preserve">T</w:t>
        <w:br w:clear="none"/>
      </w:r>
      <w:r>
        <w:rPr>
          <w:rStyle w:val="Text7"/>
        </w:rPr>
        <w:t xml:space="preserve">)</w:t>
        <w:br w:clear="none"/>
      </w:r>
      <w:r>
        <w:rPr>
          <w:rStyle w:val="Text6"/>
        </w:rPr>
        <w:t xml:space="preserve"> </w:t>
        <w:br w:clear="none"/>
      </w:r>
      <w:r>
        <w:rPr>
          <w:rStyle w:val="Text13"/>
        </w:rPr>
        <w:t xml:space="preserve">-</w:t>
        <w:br w:clear="none"/>
        <w:t xml:space="preserve">&gt;</w:t>
        <w:br w:clear="none"/>
      </w:r>
      <w:r>
        <w:rPr>
          <w:rStyle w:val="Text6"/>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undo</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rPr>
          <w:rStyle w:val="Text13"/>
        </w:rPr>
        <w:t xml:space="preserve">-</w:t>
        <w:br w:clear="none"/>
        <w:t xml:space="preserve">&gt;</w:t>
        <w:br w:clear="none"/>
      </w:r>
      <w:r>
        <w:rPr>
          <w:rStyle w:val="Text6"/>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p>
    <w:p>
      <w:pPr>
        <w:pStyle w:val="Normal"/>
      </w:pPr>
      <w:r>
        <w:t xml:space="preserve">Without making any changes to the inheritance path of </w:t>
      </w:r>
      <w:r>
        <w:rPr>
          <w:rStyle w:val="Text0"/>
        </w:rPr>
        <w:t>Accumulator</w:t>
      </w:r>
      <w:r>
        <w:t xml:space="preserve"> (defined in </w:t>
      </w:r>
      <w:hyperlink w:anchor="Generics_and_TypeVars__Generics">
        <w:r>
          <w:rPr>
            <w:rStyle w:val="Text1"/>
          </w:rPr>
          <w:t>“Generics and TypeVars”</w:t>
        </w:r>
      </w:hyperlink>
      <w:r>
        <w:t xml:space="preserve">), it now satisfies runtime type checks with </w:t>
      </w:r>
      <w:r>
        <w:rPr>
          <w:rStyle w:val="Text0"/>
        </w:rPr>
        <w:t>SupportsUpdateUndo</w:t>
      </w:r>
      <w:r>
        <w:t>:</w:t>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issubclass</w:t>
        <w:br w:clear="none"/>
      </w:r>
      <w:r>
        <w:rPr>
          <w:rStyle w:val="Text7"/>
        </w:rPr>
        <w:t xml:space="preserve">(</w:t>
        <w:br w:clear="none"/>
      </w:r>
      <w:r>
        <w:t xml:space="preserve">Accumulator</w:t>
        <w:br w:clear="none"/>
      </w:r>
      <w:r>
        <w:rPr>
          <w:rStyle w:val="Text7"/>
        </w:rPr>
        <w:t xml:space="preserve">,</w:t>
        <w:br w:clear="none"/>
      </w:r>
      <w:r>
        <w:rPr>
          <w:rStyle w:val="Text23"/>
        </w:rPr>
        <w:t xml:space="preserve"> </w:t>
        <w:br w:clear="none"/>
      </w:r>
      <w:r>
        <w:t xml:space="preserve">SupportsUpdateUndo</w:t>
        <w:br w:clear="none"/>
      </w:r>
      <w:r>
        <w:rPr>
          <w:rStyle w:val="Text7"/>
        </w:rPr>
        <w:t xml:space="preserve">)</w:t>
        <w:br w:clear="none"/>
      </w:r>
    </w:p>
    <w:p>
      <w:pPr>
        <w:pStyle w:val="Para 008"/>
      </w:pPr>
      <w:r>
        <w:rPr>
          <w:rStyle w:val="Text48"/>
        </w:rPr>
        <w:t xml:space="preserve"/>
        <w:br w:clear="none"/>
      </w:r>
      <w:r>
        <w:t xml:space="preserve">True</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isinstance</w:t>
        <w:br w:clear="none"/>
      </w:r>
      <w:r>
        <w:rPr>
          <w:rStyle w:val="Text7"/>
        </w:rPr>
        <w:t xml:space="preserve">(</w:t>
        <w:br w:clear="none"/>
      </w:r>
      <w:r>
        <w:t xml:space="preserve">acc</w:t>
        <w:br w:clear="none"/>
      </w:r>
      <w:r>
        <w:rPr>
          <w:rStyle w:val="Text7"/>
        </w:rPr>
        <w:t xml:space="preserve">,</w:t>
        <w:br w:clear="none"/>
      </w:r>
      <w:r>
        <w:rPr>
          <w:rStyle w:val="Text23"/>
        </w:rPr>
        <w:t xml:space="preserve"> </w:t>
        <w:br w:clear="none"/>
      </w:r>
      <w:r>
        <w:t xml:space="preserve">SupportsUpdateUndo</w:t>
        <w:br w:clear="none"/>
      </w:r>
      <w:r>
        <w:rPr>
          <w:rStyle w:val="Text7"/>
        </w:rPr>
        <w:t xml:space="preserve">)</w:t>
        <w:br w:clear="none"/>
      </w:r>
    </w:p>
    <w:p>
      <w:pPr>
        <w:pStyle w:val="Para 008"/>
      </w:pPr>
      <w:r>
        <w:rPr>
          <w:rStyle w:val="Text48"/>
        </w:rPr>
        <w:t xml:space="preserve"/>
        <w:br w:clear="none"/>
      </w:r>
      <w:r>
        <w:t xml:space="preserve">True</w:t>
        <w:br w:clear="none"/>
      </w:r>
    </w:p>
    <w:p>
      <w:pPr>
        <w:pStyle w:val="Normal"/>
      </w:pPr>
      <w:r>
        <w:t xml:space="preserve">In addition, any other class that implements </w:t>
      </w:r>
      <w:r>
        <w:rPr>
          <w:rStyle w:val="Text0"/>
        </w:rPr>
        <w:t>update</w:t>
      </w:r>
      <w:r>
        <w:t xml:space="preserve"> and </w:t>
      </w:r>
      <w:r>
        <w:rPr>
          <w:rStyle w:val="Text0"/>
        </w:rPr>
        <w:t>undo</w:t>
      </w:r>
      <w:r>
        <w:t xml:space="preserve"> methods will now qualify as a </w:t>
      </w:r>
      <w:r>
        <w:rPr>
          <w:rStyle w:val="Text0"/>
        </w:rPr>
        <w:t>SupportsUpdateUndo</w:t>
      </w:r>
      <w:r>
        <w:t xml:space="preserve"> “subclass.”</w:t>
      </w:r>
    </w:p>
    <w:p>
      <w:bookmarkStart w:id="1731" w:name="How_to_Add_Type_Annotations_to_Y"/>
      <w:pPr>
        <w:keepNext/>
        <w:pStyle w:val="Heading 1"/>
      </w:pPr>
      <w:r>
        <w:t>How to Add Type Annotations to Your Code</w:t>
      </w:r>
      <w:bookmarkEnd w:id="1731"/>
    </w:p>
    <w:p>
      <w:pPr>
        <w:pStyle w:val="Normal"/>
      </w:pPr>
      <w:r>
        <w:t>Having</w:t>
      </w:r>
      <w:r>
        <w:rPr>
          <w:rStyle w:val="Text111"/>
        </w:rPr>
        <w:bookmarkStart w:id="1732" w:name="TAadd05"/>
        <w:t/>
        <w:bookmarkEnd w:id="1732"/>
      </w:r>
      <w:r>
        <w:t xml:space="preserve"> seen some of the features and capabilities provided by using type annotations, you may be wondering about the best way to get started. This section describes a few scenarios and approaches to adding type annotations.</w:t>
      </w:r>
    </w:p>
    <w:p>
      <w:bookmarkStart w:id="1733" w:name="Adding_Type_Annotations_to_New_C"/>
      <w:pPr>
        <w:keepNext/>
        <w:pStyle w:val="Heading 2"/>
      </w:pPr>
      <w:r>
        <w:t>Adding Type Annotations to New Code</w:t>
      </w:r>
      <w:bookmarkEnd w:id="1733"/>
    </w:p>
    <w:p>
      <w:pPr>
        <w:pStyle w:val="Normal"/>
      </w:pPr>
      <w:r>
        <w:t>When you start writing a short Python script, adding type annotations may seem like an unnecessary extra burden. As a spinoff of the</w:t>
      </w:r>
      <w:r>
        <w:rPr>
          <w:rStyle w:val="Text111"/>
        </w:rPr>
        <w:bookmarkStart w:id="1734" w:name="idm45965260754224"/>
        <w:t/>
        <w:bookmarkEnd w:id="1734"/>
      </w:r>
      <w:r>
        <w:t xml:space="preserve"> </w:t>
      </w:r>
      <w:hyperlink r:id="rId260">
        <w:r>
          <w:rPr>
            <w:rStyle w:val="Text1"/>
          </w:rPr>
          <w:t>Two Pizza Rule</w:t>
        </w:r>
      </w:hyperlink>
      <w:r>
        <w:t>, we suggest the</w:t>
      </w:r>
      <w:r>
        <w:rPr>
          <w:rStyle w:val="Text111"/>
        </w:rPr>
        <w:bookmarkStart w:id="1735" w:name="idm45965260751888"/>
        <w:t/>
        <w:bookmarkEnd w:id="1735"/>
      </w:r>
      <w:r>
        <w:t xml:space="preserve"> Two Function Rule: as soon as your script contains two functions or methods, go back and add type annotations to the</w:t>
      </w:r>
      <w:r>
        <w:rPr>
          <w:rStyle w:val="Text111"/>
        </w:rPr>
        <w:bookmarkStart w:id="1736" w:name="idm45965260731392"/>
        <w:t/>
        <w:bookmarkEnd w:id="1736"/>
      </w:r>
      <w:r>
        <w:t xml:space="preserve"> method signatures, and any shared variables or types as necessary. Use</w:t>
      </w:r>
      <w:r>
        <w:rPr>
          <w:rStyle w:val="Text111"/>
        </w:rPr>
        <w:bookmarkStart w:id="1737" w:name="idm45965260729888"/>
        <w:t/>
        <w:bookmarkEnd w:id="1737"/>
      </w:r>
      <w:r>
        <w:t xml:space="preserve"> </w:t>
      </w:r>
      <w:r>
        <w:rPr>
          <w:rStyle w:val="Text0"/>
        </w:rPr>
        <w:t>TypedDict</w:t>
      </w:r>
      <w:r>
        <w:t xml:space="preserve"> to annotate any </w:t>
      </w:r>
      <w:r>
        <w:rPr>
          <w:rStyle w:val="Text0"/>
        </w:rPr>
        <w:t>dict</w:t>
      </w:r>
      <w:r>
        <w:t xml:space="preserve"> structures that are used in place of classes, so that </w:t>
      </w:r>
      <w:r>
        <w:rPr>
          <w:rStyle w:val="Text0"/>
        </w:rPr>
        <w:t>dict</w:t>
      </w:r>
      <w:r>
        <w:t xml:space="preserve"> keys get clearly defined up front or get documented as you go; use </w:t>
      </w:r>
      <w:r>
        <w:rPr>
          <w:rStyle w:val="Text0"/>
        </w:rPr>
        <w:t>NamedTuple</w:t>
      </w:r>
      <w:r>
        <w:t xml:space="preserve">s (or </w:t>
      </w:r>
      <w:r>
        <w:rPr>
          <w:rStyle w:val="Text0"/>
        </w:rPr>
        <w:t>dataclass</w:t>
      </w:r>
      <w:r>
        <w:t xml:space="preserve">es: some of this book’s authors </w:t>
      </w:r>
      <w:r>
        <w:rPr>
          <w:rStyle w:val="Text4"/>
        </w:rPr>
        <w:t>strongly</w:t>
      </w:r>
      <w:r>
        <w:t xml:space="preserve"> prefer the latter option) to define the specific attributes needed for those data “bundles.”</w:t>
      </w:r>
    </w:p>
    <w:p>
      <w:pPr>
        <w:pStyle w:val="Normal"/>
      </w:pPr>
      <w:r>
        <w:t>If you are beginning a major project with many modules and classes, then you should definitely use type annotations from the beginning. They can easily make you more productive, as they help avoid common naming and typing mistakes and ensure you get more fully supported autocompletion while working in your IDE. This is even more important on projects with multiple developers: having documented types helps tell everyone on the team the expectations for types and values to be used across the project. Capturing these types in the code itself makes them immediately accessible and visible during development, much more so than separate documentation or specifications.</w:t>
      </w:r>
    </w:p>
    <w:p>
      <w:pPr>
        <w:pStyle w:val="Normal"/>
      </w:pPr>
      <w:r>
        <w:t>If you are developing a library to be shared across projects, then you should also use type annotations from the very start, most likely paralleling the function signatures in your API design. Having type annotations in a library will make life easier for your client developers, as all modern IDEs include type annotation plug-ins to support static type checking and function autocompletion and documentation. They will also help you when writing your unit tests, since you will benefit from the same rich IDE support.</w:t>
      </w:r>
    </w:p>
    <w:p>
      <w:pPr>
        <w:pStyle w:val="Normal"/>
      </w:pPr>
      <w:r>
        <w:t>For any of these projects, add a type-checking utility to your pre-commit hooks, so that you stay ahead of any type infractions that might creep into your new codebase. This way you can fix them as they occur, instead of waiting until you do a large commit and finding that you have made some fundamental typing errors in multiple places.</w:t>
      </w:r>
    </w:p>
    <w:p>
      <w:bookmarkStart w:id="1738" w:name="Adding_Type_Annotations_to_Exist"/>
      <w:pPr>
        <w:keepNext/>
        <w:pStyle w:val="Heading 2"/>
      </w:pPr>
      <w:r>
        <w:t>Adding Type Annotations to Existing Code (Gradual Typing)</w:t>
      </w:r>
      <w:bookmarkEnd w:id="1738"/>
    </w:p>
    <w:p>
      <w:pPr>
        <w:pStyle w:val="Normal"/>
      </w:pPr>
      <w:r>
        <w:t>Several companies</w:t>
      </w:r>
      <w:r>
        <w:rPr>
          <w:rStyle w:val="Text111"/>
        </w:rPr>
        <w:bookmarkStart w:id="1739" w:name="idm45965260721920"/>
        <w:t/>
        <w:bookmarkEnd w:id="1739"/>
      </w:r>
      <w:r>
        <w:t xml:space="preserve"> that have run projects to apply type annotations to large existing codebases recommend an incremental approach, referred to as </w:t>
      </w:r>
      <w:r>
        <w:rPr>
          <w:rStyle w:val="Text4"/>
        </w:rPr>
        <w:t>gradual typing</w:t>
      </w:r>
      <w:r>
        <w:t>. With gradual typing, you can work through your codebase in a stepwise manner, adding and validating type annotations a few classes or modules at a time.</w:t>
      </w:r>
    </w:p>
    <w:p>
      <w:pPr>
        <w:pStyle w:val="Normal"/>
      </w:pPr>
      <w:r>
        <w:t xml:space="preserve">Some utilities, like </w:t>
      </w:r>
      <w:r>
        <w:rPr>
          <w:rStyle w:val="Text0"/>
        </w:rPr>
        <w:t>mypy</w:t>
      </w:r>
      <w:r>
        <w:t xml:space="preserve">, will let you add type annotations function by function. </w:t>
      </w:r>
      <w:r>
        <w:rPr>
          <w:rStyle w:val="Text0"/>
        </w:rPr>
        <w:t>mypy</w:t>
      </w:r>
      <w:r>
        <w:t>, by default, skips functions without typed signatures, so you can methodically go through your codebase a few functions at a time. This incremental process allows you to focus your efforts on individual parts of the code, as opposed to adding type annotations everywhere and then trying to sort out an avalanche of type-checker errors.</w:t>
      </w:r>
    </w:p>
    <w:p>
      <w:pPr>
        <w:pStyle w:val="Normal"/>
      </w:pPr>
      <w:r>
        <w:t>Some recommended approaches are:</w:t>
      </w:r>
    </w:p>
    <w:p>
      <w:pPr>
        <w:pStyle w:val="Para 010"/>
      </w:pPr>
      <w:r>
        <w:t>Identify your most heavily used modules, and begin adding types to them, a method at a time. (These could be core application class modules, or widely shared utility modules.)</w:t>
      </w:r>
    </w:p>
    <w:p>
      <w:pPr>
        <w:pStyle w:val="Para 010"/>
      </w:pPr>
      <w:r>
        <w:t>Annotate a few methods at a time, so that type-checking issues get raised and resolved gradually.</w:t>
      </w:r>
    </w:p>
    <w:p>
      <w:pPr>
        <w:pStyle w:val="Para 010"/>
      </w:pPr>
      <w:r>
        <w:t xml:space="preserve">Use </w:t>
      </w:r>
      <w:r>
        <w:rPr>
          <w:rStyle w:val="Text0"/>
        </w:rPr>
        <w:t>pytype</w:t>
      </w:r>
      <w:r>
        <w:t xml:space="preserve"> or </w:t>
      </w:r>
      <w:r>
        <w:rPr>
          <w:rStyle w:val="Text0"/>
        </w:rPr>
        <w:t>pyre</w:t>
      </w:r>
      <w:r>
        <w:t xml:space="preserve"> inference to generate initial </w:t>
      </w:r>
      <w:r>
        <w:rPr>
          <w:rStyle w:val="Text4"/>
        </w:rPr>
        <w:t>.pyi</w:t>
      </w:r>
      <w:r>
        <w:t xml:space="preserve"> stub files (discussed in the following section). Then, steadily migrate types from the </w:t>
      </w:r>
      <w:r>
        <w:rPr>
          <w:rStyle w:val="Text4"/>
        </w:rPr>
        <w:t>.pyi</w:t>
      </w:r>
      <w:r>
        <w:t xml:space="preserve"> files, either manually or using automation such as </w:t>
      </w:r>
      <w:r>
        <w:rPr>
          <w:rStyle w:val="Text0"/>
        </w:rPr>
        <w:t>pytype</w:t>
      </w:r>
      <w:r>
        <w:t xml:space="preserve">’s </w:t>
      </w:r>
      <w:r>
        <w:rPr>
          <w:rStyle w:val="Text0"/>
        </w:rPr>
        <w:t>merge_pyi</w:t>
      </w:r>
      <w:r>
        <w:t xml:space="preserve"> utility.</w:t>
      </w:r>
    </w:p>
    <w:p>
      <w:pPr>
        <w:pStyle w:val="Para 010"/>
      </w:pPr>
      <w:r>
        <w:t>Begin using type checkers in a lenient default mode, so that most code is skipped and you can focus attention on specific files. As work progresses, shift to a stricter mode so that remaining items are made more prominent, and files that have been annotated do not regress by taking on new nonannotated code.</w:t>
      </w:r>
    </w:p>
    <w:p>
      <w:bookmarkStart w:id="1740" w:name="Using__pyi_Stub_Files__Sometimes"/>
      <w:pPr>
        <w:keepNext/>
        <w:pStyle w:val="Heading 2"/>
      </w:pPr>
      <w:r>
        <w:t>Using .pyi Stub Files</w:t>
      </w:r>
      <w:bookmarkEnd w:id="1740"/>
    </w:p>
    <w:p>
      <w:pPr>
        <w:pStyle w:val="Normal"/>
      </w:pPr>
      <w:r>
        <w:t>Sometimes</w:t>
      </w:r>
      <w:r>
        <w:rPr>
          <w:rStyle w:val="Text111"/>
        </w:rPr>
        <w:bookmarkStart w:id="1741" w:name="idm45965260708032"/>
        <w:t/>
        <w:bookmarkEnd w:id="1741"/>
      </w:r>
      <w:r>
        <w:t xml:space="preserve"> you don’t have access to Python type annotations. For example, you might be using a library that does not have type annotations, or using a module whose functions are implemented in C.</w:t>
      </w:r>
    </w:p>
    <w:p>
      <w:pPr>
        <w:pStyle w:val="Normal"/>
      </w:pPr>
      <w:r>
        <w:t xml:space="preserve">In these cases, you can use separate </w:t>
      </w:r>
      <w:r>
        <w:rPr>
          <w:rStyle w:val="Text4"/>
        </w:rPr>
        <w:t>.pyi</w:t>
      </w:r>
      <w:r>
        <w:t xml:space="preserve"> stub files containing just the related type annotations. Several of the type checkers mentioned at the beginning of this chapter can generate these stub files. You can download stub files for popular Python libraries, as well as the Python standard library itself, from the </w:t>
      </w:r>
      <w:hyperlink r:id="rId261">
        <w:r>
          <w:rPr>
            <w:rStyle w:val="Text30"/>
          </w:rPr>
          <w:t>typeshed</w:t>
        </w:r>
      </w:hyperlink>
      <w:hyperlink r:id="rId261">
        <w:r>
          <w:rPr>
            <w:rStyle w:val="Text1"/>
          </w:rPr>
          <w:t xml:space="preserve"> repository</w:t>
        </w:r>
      </w:hyperlink>
      <w:r>
        <w:t>. You can maintain stub files from the Python source, or, using merging utilities available in some of the type checkers, integrate them back into the original Python source.</w:t>
      </w:r>
      <w:r>
        <w:rPr>
          <w:rStyle w:val="Text111"/>
        </w:rPr>
        <w:bookmarkStart w:id="1742" w:name="idm45965260704688"/>
        <w:t/>
        <w:bookmarkEnd w:id="1742"/>
      </w:r>
    </w:p>
    <w:p>
      <w:bookmarkStart w:id="1743" w:name="Do_Type_Annotations_Get_in_the_W"/>
      <w:pPr>
        <w:keepNext/>
        <w:pStyle w:val="Heading 5"/>
        <w:keepLines w:val="on"/>
      </w:pPr>
      <w:r>
        <w:t>Do Type Annotations Get in the Way of Coding?</w:t>
      </w:r>
      <w:bookmarkEnd w:id="1743"/>
    </w:p>
    <w:p>
      <w:pPr>
        <w:pStyle w:val="Para 012"/>
        <w:keepLines w:val="on"/>
      </w:pPr>
      <w:r>
        <w:t xml:space="preserve">Type annotations carry some stigma, especially for those who have worked with Python for many years and are used to taking full advantage of Python’s adaptive nature. Flexible method signatures like that of the built-in function </w:t>
      </w:r>
      <w:r>
        <w:rPr>
          <w:rStyle w:val="Text0"/>
        </w:rPr>
        <w:t>max</w:t>
      </w:r>
      <w:r>
        <w:t xml:space="preserve">, which can take a single argument containing a sequence of values or multiple arguments containing the values to be maximized, have been cited as being </w:t>
      </w:r>
      <w:hyperlink r:id="rId262">
        <w:r>
          <w:rPr>
            <w:rStyle w:val="Text1"/>
          </w:rPr>
          <w:t>especially challenging to type-annotate</w:t>
        </w:r>
      </w:hyperlink>
      <w:r>
        <w:t>. Is this the fault of the code? Of typing? Of Python itself? Each of these explanations is possible.</w:t>
      </w:r>
    </w:p>
    <w:p>
      <w:pPr>
        <w:pStyle w:val="Para 012"/>
        <w:keepLines w:val="on"/>
      </w:pPr>
      <w:r>
        <w:t xml:space="preserve">In general, typing fosters a degree of formalism and discipline that can be more confining than the historical Python philosophy of “coding by and for consenting adults.” Moving forward, we may find that the flexibility of style in older Python code is not wholly conducive to long-term use, reuse, and maintenance by those who are not the original code authors. As a recent PyCon presenter </w:t>
      </w:r>
      <w:hyperlink r:id="rId263">
        <w:r>
          <w:rPr>
            <w:rStyle w:val="Text1"/>
          </w:rPr>
          <w:t>suggested</w:t>
        </w:r>
      </w:hyperlink>
      <w:r>
        <w:t xml:space="preserve">, “Ugly type annotations hint at ugly code.” (However, it may sometimes be the case, like for </w:t>
      </w:r>
      <w:r>
        <w:rPr>
          <w:rStyle w:val="Text0"/>
        </w:rPr>
        <w:t>max</w:t>
      </w:r>
      <w:r>
        <w:t>, that it’s the typing system that’s not expressive enough.)</w:t>
      </w:r>
    </w:p>
    <w:p>
      <w:pPr>
        <w:pStyle w:val="Para 012"/>
        <w:keepLines w:val="on"/>
      </w:pPr>
      <w:r>
        <w:t xml:space="preserve">You can take the level of typing difficulty as an indicator of your method design. If your methods require multiple </w:t>
      </w:r>
      <w:r>
        <w:rPr>
          <w:rStyle w:val="Text0"/>
        </w:rPr>
        <w:t>Union</w:t>
      </w:r>
      <w:r>
        <w:t xml:space="preserve"> definitions, or multiple overrides for the same method using different argument types, perhaps your design is too flexible across multiple calling styles. You may be overdoing the flexibility of your API because Python allows it, but that might not always be a good idea in the long run. After all, as the </w:t>
      </w:r>
      <w:hyperlink r:id="rId264">
        <w:r>
          <w:rPr>
            <w:rStyle w:val="Text1"/>
          </w:rPr>
          <w:t>Zen of Python</w:t>
        </w:r>
      </w:hyperlink>
      <w:r>
        <w:t xml:space="preserve"> says, “There should be one—and preferably only one—obvious way to do it.” Maybe that should include “only one obvious way” to call your API!</w:t>
      </w:r>
    </w:p>
    <w:p>
      <w:bookmarkStart w:id="1744" w:name="Summary__Python_has_steadily_ris"/>
      <w:pPr>
        <w:keepNext/>
        <w:pStyle w:val="Heading 1"/>
      </w:pPr>
      <w:r>
        <w:t>Summary</w:t>
      </w:r>
      <w:bookmarkEnd w:id="1744"/>
    </w:p>
    <w:p>
      <w:pPr>
        <w:pStyle w:val="Normal"/>
      </w:pPr>
      <w:r>
        <w:t>Python has steadily risen to prominence as a powerful language and programming ecosystem, supporting important enterprise applications. What was once a utility language for scripting and task automation has become a platform for significant and complex applications affecting millions of users, used in mission-critical and even extraterrestrial systems.</w:t>
      </w:r>
      <w:hyperlink w:anchor="5_NASA_s_Jet_Propulsion_Lab_used">
        <w:r>
          <w:rPr>
            <w:rStyle w:val="Text41"/>
          </w:rPr>
          <w:bookmarkStart w:id="1745" w:name="5_4"/>
          <w:t>5</w:t>
          <w:bookmarkEnd w:id="1745"/>
        </w:r>
      </w:hyperlink>
      <w:r>
        <w:t xml:space="preserve"> Adding type annotations is a significant step in developing and maintaining these systems.</w:t>
      </w:r>
    </w:p>
    <w:p>
      <w:pPr>
        <w:pStyle w:val="Normal"/>
      </w:pPr>
      <w:r>
        <w:t xml:space="preserve">The </w:t>
      </w:r>
      <w:hyperlink r:id="rId265">
        <w:r>
          <w:rPr>
            <w:rStyle w:val="Text1"/>
          </w:rPr>
          <w:t>online documentation</w:t>
        </w:r>
      </w:hyperlink>
      <w:r>
        <w:t xml:space="preserve"> for type annotations provides up-to-date descriptions, examples, and </w:t>
      </w:r>
      <w:hyperlink r:id="rId266">
        <w:r>
          <w:rPr>
            <w:rStyle w:val="Text1"/>
          </w:rPr>
          <w:t>best practices</w:t>
        </w:r>
      </w:hyperlink>
      <w:r>
        <w:t xml:space="preserve"> as the syntax and practices for annotating types continue to evolve. The authors also recommend </w:t>
      </w:r>
      <w:hyperlink r:id="rId267">
        <w:r>
          <w:rPr>
            <w:rStyle w:val="Text24"/>
          </w:rPr>
          <w:t>Fluent Python</w:t>
        </w:r>
      </w:hyperlink>
      <w:hyperlink r:id="rId267">
        <w:r>
          <w:rPr>
            <w:rStyle w:val="Text1"/>
          </w:rPr>
          <w:t>, 2nd edition</w:t>
        </w:r>
      </w:hyperlink>
      <w:r>
        <w:t>, by Luciano Ramalho (O’Reilly), especially Chapters 8 and 15, which deal specifically with Python type annotations.</w:t>
      </w:r>
    </w:p>
    <w:p>
      <w:bookmarkStart w:id="1746" w:name="1_Strong__extensive_unit_tests_w"/>
      <w:pPr>
        <w:pStyle w:val="Para 035"/>
      </w:pPr>
      <w:hyperlink w:anchor="1_5">
        <w:r>
          <w:rPr>
            <w:rStyle w:val="Text1"/>
          </w:rPr>
          <w:t>1</w:t>
        </w:r>
      </w:hyperlink>
      <w:r>
        <w:t xml:space="preserve"> Strong, extensive unit tests will also guard against many business logic problems that no amount of type checking would ever catch for you—so, type hints are not to be used </w:t>
      </w:r>
      <w:r>
        <w:rPr>
          <w:rStyle w:val="Text4"/>
        </w:rPr>
        <w:t>instead of</w:t>
      </w:r>
      <w:r>
        <w:t xml:space="preserve"> unit tests, but </w:t>
      </w:r>
      <w:r>
        <w:rPr>
          <w:rStyle w:val="Text4"/>
        </w:rPr>
        <w:t>in addition</w:t>
      </w:r>
      <w:r>
        <w:t xml:space="preserve"> to them.</w:t>
      </w:r>
      <w:bookmarkEnd w:id="1746"/>
    </w:p>
    <w:p>
      <w:bookmarkStart w:id="1747" w:name="2_The_syntax_for_type_annotation"/>
      <w:pPr>
        <w:pStyle w:val="Para 015"/>
      </w:pPr>
      <w:hyperlink w:anchor="2_5">
        <w:r>
          <w:rPr>
            <w:rStyle w:val="Text1"/>
          </w:rPr>
          <w:t>2</w:t>
        </w:r>
      </w:hyperlink>
      <w:r>
        <w:t xml:space="preserve"> The </w:t>
      </w:r>
      <w:r>
        <w:rPr>
          <w:rStyle w:val="Text4"/>
        </w:rPr>
        <w:t>syntax</w:t>
      </w:r>
      <w:r>
        <w:t xml:space="preserve"> for type annotation was introduced in Python 3.0, but only later were its </w:t>
      </w:r>
      <w:r>
        <w:rPr>
          <w:rStyle w:val="Text4"/>
        </w:rPr>
        <w:t>semantics</w:t>
      </w:r>
      <w:r>
        <w:t xml:space="preserve"> specified.</w:t>
      </w:r>
      <w:bookmarkEnd w:id="1747"/>
    </w:p>
    <w:p>
      <w:bookmarkStart w:id="1748" w:name="3_This_approach_was_also_compati"/>
      <w:pPr>
        <w:pStyle w:val="Para 015"/>
      </w:pPr>
      <w:hyperlink w:anchor="3_5">
        <w:r>
          <w:rPr>
            <w:rStyle w:val="Text1"/>
          </w:rPr>
          <w:t>3</w:t>
        </w:r>
      </w:hyperlink>
      <w:r>
        <w:t xml:space="preserve"> This approach was also compatible with Python 2.7 code, still in widespread use at the time.</w:t>
      </w:r>
      <w:bookmarkEnd w:id="1748"/>
    </w:p>
    <w:p>
      <w:bookmarkStart w:id="1749" w:name="4_And_SupportsInt_uses_the_runti"/>
      <w:pPr>
        <w:pStyle w:val="Para 101"/>
      </w:pPr>
      <w:hyperlink w:anchor="4_4">
        <w:r>
          <w:rPr>
            <w:rStyle w:val="Text43"/>
          </w:rPr>
          <w:t>4</w:t>
        </w:r>
      </w:hyperlink>
      <w:r>
        <w:rPr>
          <w:rStyle w:val="Text12"/>
        </w:rPr>
        <w:t xml:space="preserve"> And </w:t>
      </w:r>
      <w:r>
        <w:t>SupportsInt</w:t>
      </w:r>
      <w:r>
        <w:rPr>
          <w:rStyle w:val="Text12"/>
        </w:rPr>
        <w:t xml:space="preserve"> uses the </w:t>
      </w:r>
      <w:r>
        <w:t>runtime_checkable</w:t>
      </w:r>
      <w:r>
        <w:rPr>
          <w:rStyle w:val="Text12"/>
        </w:rPr>
        <w:t xml:space="preserve"> decorator.</w:t>
      </w:r>
      <w:bookmarkEnd w:id="1749"/>
    </w:p>
    <w:p>
      <w:bookmarkStart w:id="1750" w:name="5_NASA_s_Jet_Propulsion_Lab_used"/>
      <w:pPr>
        <w:pStyle w:val="Para 015"/>
      </w:pPr>
      <w:hyperlink w:anchor="5_4">
        <w:r>
          <w:rPr>
            <w:rStyle w:val="Text1"/>
          </w:rPr>
          <w:t>5</w:t>
        </w:r>
      </w:hyperlink>
      <w:r>
        <w:t xml:space="preserve"> NASA’s Jet Propulsion Lab used Python for the Persistence Mars Rover and the Ingenuity Mars Helicopter; the team responsible for the discovery of gravitational waves used Python both to coordinate the instrumentation and to analyze the resulting hoard of data.</w:t>
      </w:r>
      <w:bookmarkEnd w:id="1750"/>
    </w:p>
    <w:p>
      <w:bookmarkStart w:id="1751" w:name="Top_of_ch06_html"/>
      <w:bookmarkStart w:id="1752" w:name="Chapter_6__Exceptions__Python_us_2"/>
      <w:bookmarkStart w:id="1753" w:name="Chapter_6__Exceptions__Python_us"/>
      <w:bookmarkStart w:id="1754" w:name="Chapter_6__Exceptions__Python_us_1"/>
      <w:pPr>
        <w:keepNext/>
        <w:pStyle w:val="Heading 1"/>
        <w:pageBreakBefore w:val="on"/>
      </w:pPr>
      <w:r>
        <w:t xml:space="preserve">Chapter 6. </w:t>
        <w:t>Exceptions</w:t>
      </w:r>
      <w:bookmarkEnd w:id="1751"/>
      <w:bookmarkEnd w:id="1752"/>
      <w:bookmarkEnd w:id="1753"/>
      <w:bookmarkEnd w:id="1754"/>
    </w:p>
    <w:p>
      <w:pPr>
        <w:pStyle w:val="Normal"/>
      </w:pPr>
      <w:r>
        <w:t>Python uses</w:t>
      </w:r>
      <w:r>
        <w:rPr>
          <w:rStyle w:val="Text111"/>
        </w:rPr>
        <w:bookmarkStart w:id="1755" w:name="idm45965260687392"/>
        <w:t/>
        <w:bookmarkEnd w:id="1755"/>
      </w:r>
      <w:r>
        <w:t xml:space="preserve"> </w:t>
      </w:r>
      <w:r>
        <w:rPr>
          <w:rStyle w:val="Text4"/>
        </w:rPr>
        <w:t>exceptions</w:t>
      </w:r>
      <w:r>
        <w:t xml:space="preserve"> to indicate errors and anomalies. When Python detects an error, it </w:t>
      </w:r>
      <w:r>
        <w:rPr>
          <w:rStyle w:val="Text4"/>
        </w:rPr>
        <w:t>raises</w:t>
      </w:r>
      <w:r>
        <w:t xml:space="preserve"> an exception—that is, Python signals the occurrence of an anomalous condition by passing an exception object to the exception propagation mechanism. Your code can explicitly raise an exception by executing a </w:t>
      </w:r>
      <w:r>
        <w:rPr>
          <w:rStyle w:val="Text5"/>
        </w:rPr>
        <w:t>raise</w:t>
      </w:r>
      <w:r>
        <w:t xml:space="preserve"> statement.</w:t>
      </w:r>
    </w:p>
    <w:p>
      <w:pPr>
        <w:pStyle w:val="Normal"/>
      </w:pPr>
      <w:r>
        <w:rPr>
          <w:rStyle w:val="Text4"/>
        </w:rPr>
        <w:t>Handling</w:t>
      </w:r>
      <w:r>
        <w:rPr>
          <w:rStyle w:val="Text105"/>
        </w:rPr>
        <w:bookmarkStart w:id="1756" w:name="idm45965260683568"/>
        <w:t/>
        <w:bookmarkEnd w:id="1756"/>
      </w:r>
      <w:r>
        <w:t xml:space="preserve"> an exception means catching the exception object from the propagation mechanism and taking actions as needed to deal with the anomalous situation. If a program does not handle an exception, the program terminates with an error message and traceback message. However, a program can handle exceptions and keep running, despite errors or other anomalies, by using the </w:t>
      </w:r>
      <w:r>
        <w:rPr>
          <w:rStyle w:val="Text5"/>
        </w:rPr>
        <w:t>try</w:t>
      </w:r>
      <w:r>
        <w:t xml:space="preserve"> statement with </w:t>
      </w:r>
      <w:r>
        <w:rPr>
          <w:rStyle w:val="Text5"/>
        </w:rPr>
        <w:t>except</w:t>
      </w:r>
      <w:r>
        <w:t xml:space="preserve"> clauses.</w:t>
      </w:r>
    </w:p>
    <w:p>
      <w:pPr>
        <w:pStyle w:val="Normal"/>
      </w:pPr>
      <w:r>
        <w:t xml:space="preserve">Python also uses exceptions to indicate some situations that are not errors, and not even abnormal. For example, as covered in </w:t>
      </w:r>
      <w:hyperlink w:anchor="Iterators__An_iterator_is_an_obj">
        <w:r>
          <w:rPr>
            <w:rStyle w:val="Text1"/>
          </w:rPr>
          <w:t>“Iterators”</w:t>
        </w:r>
      </w:hyperlink>
      <w:r>
        <w:t xml:space="preserve">, calling the </w:t>
      </w:r>
      <w:r>
        <w:rPr>
          <w:rStyle w:val="Text0"/>
        </w:rPr>
        <w:t>next</w:t>
      </w:r>
      <w:r>
        <w:t xml:space="preserve"> built-in function on an iterator raises </w:t>
      </w:r>
      <w:r>
        <w:rPr>
          <w:rStyle w:val="Text0"/>
        </w:rPr>
        <w:t>StopIteration</w:t>
      </w:r>
      <w:r>
        <w:t xml:space="preserve"> when the iterator has no more items. This is not an error; it is not even an anomaly, since most iterators run out of items eventually. The optimal strategies for checking and handling errors and other special situations in Python are therefore different from those in other languages; we cover them in </w:t>
      </w:r>
      <w:hyperlink w:anchor="Error_Checking_Strategies__Most">
        <w:r>
          <w:rPr>
            <w:rStyle w:val="Text1"/>
          </w:rPr>
          <w:t>“Error-Checking Strategies”</w:t>
        </w:r>
      </w:hyperlink>
      <w:r>
        <w:t>.</w:t>
      </w:r>
    </w:p>
    <w:p>
      <w:pPr>
        <w:pStyle w:val="Normal"/>
      </w:pPr>
      <w:r>
        <w:t xml:space="preserve">This chapter shows how to use exceptions for errors and special situations. It also covers the </w:t>
      </w:r>
      <w:r>
        <w:rPr>
          <w:rStyle w:val="Text0"/>
        </w:rPr>
        <w:t>logging</w:t>
      </w:r>
      <w:r>
        <w:t xml:space="preserve"> module of the standard library, in </w:t>
      </w:r>
      <w:hyperlink w:anchor="Logging_Errors__When_Python_prop">
        <w:r>
          <w:rPr>
            <w:rStyle w:val="Text1"/>
          </w:rPr>
          <w:t>“Logging Errors”</w:t>
        </w:r>
      </w:hyperlink>
      <w:r>
        <w:t xml:space="preserve">, and the </w:t>
      </w:r>
      <w:r>
        <w:rPr>
          <w:rStyle w:val="Text5"/>
        </w:rPr>
        <w:t>assert</w:t>
      </w:r>
      <w:r>
        <w:t xml:space="preserve"> statement, in </w:t>
      </w:r>
      <w:hyperlink w:anchor="The_assert_Statement__The_assert">
        <w:r>
          <w:rPr>
            <w:rStyle w:val="Text1"/>
          </w:rPr>
          <w:t>“The assert Statement”</w:t>
        </w:r>
      </w:hyperlink>
      <w:r>
        <w:t>.</w:t>
      </w:r>
    </w:p>
    <w:p>
      <w:bookmarkStart w:id="1757" w:name="The_try_Statement__The_try_state"/>
      <w:pPr>
        <w:keepNext/>
        <w:pStyle w:val="Heading 1"/>
      </w:pPr>
      <w:r>
        <w:t>The try Statement</w:t>
      </w:r>
      <w:bookmarkEnd w:id="1757"/>
    </w:p>
    <w:p>
      <w:pPr>
        <w:pStyle w:val="Normal"/>
      </w:pPr>
      <w:r>
        <w:t>The</w:t>
      </w:r>
      <w:r>
        <w:rPr>
          <w:rStyle w:val="Text111"/>
        </w:rPr>
        <w:bookmarkStart w:id="1758" w:name="Etry06"/>
        <w:t/>
        <w:bookmarkEnd w:id="1758"/>
        <w:bookmarkStart w:id="1759" w:name="tryst06"/>
        <w:t/>
        <w:bookmarkEnd w:id="1759"/>
      </w:r>
      <w:r>
        <w:t xml:space="preserve"> </w:t>
      </w:r>
      <w:r>
        <w:rPr>
          <w:rStyle w:val="Text5"/>
        </w:rPr>
        <w:t>try</w:t>
      </w:r>
      <w:r>
        <w:t xml:space="preserve"> statement is Python’s core exception handling mechanism. It’s a compound statement with three kinds of optional clauses:</w:t>
      </w:r>
    </w:p>
    <w:p>
      <w:pPr>
        <w:pStyle w:val="Para 010"/>
      </w:pPr>
      <w:r>
        <w:t xml:space="preserve">It may have zero or more </w:t>
      </w:r>
      <w:r>
        <w:rPr>
          <w:rStyle w:val="Text5"/>
        </w:rPr>
        <w:t>except</w:t>
      </w:r>
      <w:r>
        <w:t xml:space="preserve"> clauses, defining how to handle particular classes of exceptions.</w:t>
      </w:r>
    </w:p>
    <w:p>
      <w:pPr>
        <w:pStyle w:val="Para 010"/>
      </w:pPr>
      <w:r>
        <w:t xml:space="preserve">If it has </w:t>
      </w:r>
      <w:r>
        <w:rPr>
          <w:rStyle w:val="Text5"/>
        </w:rPr>
        <w:t>except</w:t>
      </w:r>
      <w:r>
        <w:t xml:space="preserve"> clauses, then it may also have, right afterwards, one </w:t>
      </w:r>
      <w:r>
        <w:rPr>
          <w:rStyle w:val="Text5"/>
        </w:rPr>
        <w:t>else</w:t>
      </w:r>
      <w:r>
        <w:t xml:space="preserve"> clause, executed only if the </w:t>
      </w:r>
      <w:r>
        <w:rPr>
          <w:rStyle w:val="Text5"/>
        </w:rPr>
        <w:t>try</w:t>
      </w:r>
      <w:r>
        <w:t xml:space="preserve"> suite raised no exceptions.</w:t>
      </w:r>
    </w:p>
    <w:p>
      <w:pPr>
        <w:pStyle w:val="Para 010"/>
      </w:pPr>
      <w:r>
        <w:t xml:space="preserve">Whether or not it has </w:t>
      </w:r>
      <w:r>
        <w:rPr>
          <w:rStyle w:val="Text5"/>
        </w:rPr>
        <w:t>except</w:t>
      </w:r>
      <w:r>
        <w:t xml:space="preserve"> clauses, it may have a single </w:t>
      </w:r>
      <w:r>
        <w:rPr>
          <w:rStyle w:val="Text5"/>
        </w:rPr>
        <w:t>finally</w:t>
      </w:r>
      <w:r>
        <w:t xml:space="preserve"> clause, unconditionally executed, with the behavior covered in </w:t>
      </w:r>
      <w:hyperlink w:anchor="try_except_finally__A_try_except">
        <w:r>
          <w:rPr>
            <w:rStyle w:val="Text1"/>
          </w:rPr>
          <w:t>“try/except/finally”</w:t>
        </w:r>
      </w:hyperlink>
      <w:r>
        <w:t>.</w:t>
      </w:r>
    </w:p>
    <w:p>
      <w:pPr>
        <w:pStyle w:val="Normal"/>
      </w:pPr>
      <w:r>
        <w:t xml:space="preserve">Python’s syntax requires the presence of at least one </w:t>
      </w:r>
      <w:r>
        <w:rPr>
          <w:rStyle w:val="Text5"/>
        </w:rPr>
        <w:t>except</w:t>
      </w:r>
      <w:r>
        <w:t xml:space="preserve"> clause or a </w:t>
      </w:r>
      <w:r>
        <w:rPr>
          <w:rStyle w:val="Text5"/>
        </w:rPr>
        <w:t>finally</w:t>
      </w:r>
      <w:r>
        <w:t xml:space="preserve"> clause, both of which might also be present in the same statement; </w:t>
      </w:r>
      <w:r>
        <w:rPr>
          <w:rStyle w:val="Text5"/>
        </w:rPr>
        <w:t>else</w:t>
      </w:r>
      <w:r>
        <w:t xml:space="preserve"> is only valid following one or more </w:t>
      </w:r>
      <w:r>
        <w:rPr>
          <w:rStyle w:val="Text5"/>
        </w:rPr>
        <w:t>except</w:t>
      </w:r>
      <w:r>
        <w:t>s.</w:t>
      </w:r>
    </w:p>
    <w:p>
      <w:bookmarkStart w:id="1760" w:name="try_except__Here_s_the_syntax_fo"/>
      <w:pPr>
        <w:keepNext/>
        <w:pStyle w:val="Heading 2"/>
      </w:pPr>
      <w:r>
        <w:t>try/except</w:t>
      </w:r>
      <w:bookmarkEnd w:id="1760"/>
    </w:p>
    <w:p>
      <w:pPr>
        <w:pStyle w:val="Normal"/>
      </w:pPr>
      <w:r>
        <w:t xml:space="preserve">Here’s the syntax for the </w:t>
      </w:r>
      <w:r>
        <w:rPr>
          <w:rStyle w:val="Text5"/>
        </w:rPr>
        <w:t>try</w:t>
      </w:r>
      <w:r>
        <w:rPr>
          <w:rStyle w:val="Text0"/>
        </w:rPr>
        <w:t>/</w:t>
      </w:r>
      <w:r>
        <w:rPr>
          <w:rStyle w:val="Text5"/>
        </w:rPr>
        <w:t>except</w:t>
      </w:r>
      <w:r>
        <w:t xml:space="preserve"> form of the </w:t>
      </w:r>
      <w:r>
        <w:rPr>
          <w:rStyle w:val="Text5"/>
        </w:rPr>
        <w:t>try</w:t>
      </w:r>
      <w:r>
        <w:t xml:space="preserve"> statement:</w:t>
      </w:r>
    </w:p>
    <w:p>
      <w:pPr>
        <w:pStyle w:val="Para 032"/>
      </w:pPr>
      <w:r>
        <w:rPr>
          <w:rStyle w:val="Text116"/>
        </w:rPr>
        <w:t xml:space="preserve"/>
        <w:br w:clear="none"/>
      </w:r>
      <w:r>
        <w:rPr>
          <w:rStyle w:val="Text22"/>
        </w:rPr>
        <w:t xml:space="preserve">try</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22"/>
        </w:rPr>
        <w:t xml:space="preserve">except</w:t>
        <w:br w:clear="none"/>
      </w:r>
      <w:r>
        <w:rPr>
          <w:rStyle w:val="Text11"/>
        </w:rPr>
        <w:t xml:space="preserve"> </w:t>
        <w:br w:clear="none"/>
      </w:r>
      <w:r>
        <w:rPr>
          <w:rStyle w:val="Text19"/>
        </w:rPr>
        <w:t xml:space="preserve">[</w:t>
        <w:br w:clear="none"/>
      </w:r>
      <w:r>
        <w:t xml:space="preserve">expression</w:t>
        <w:br w:clear="none"/>
      </w:r>
      <w:r>
        <w:rPr>
          <w:rStyle w:val="Text11"/>
        </w:rPr>
        <w:t xml:space="preserve"> </w:t>
        <w:br w:clear="none"/>
      </w:r>
      <w:r>
        <w:rPr>
          <w:rStyle w:val="Text19"/>
        </w:rPr>
        <w:t xml:space="preserve">[</w:t>
        <w:br w:clear="none"/>
      </w:r>
      <w:r>
        <w:rPr>
          <w:rStyle w:val="Text22"/>
        </w:rPr>
        <w:t xml:space="preserve">as</w:t>
        <w:br w:clear="none"/>
      </w:r>
      <w:r>
        <w:rPr>
          <w:rStyle w:val="Text11"/>
        </w:rPr>
        <w:t xml:space="preserve"> </w:t>
        <w:br w:clear="none"/>
      </w:r>
      <w:r>
        <w:t xml:space="preserve">target</w:t>
        <w:br w:clear="none"/>
      </w:r>
      <w:r>
        <w:rPr>
          <w:rStyle w:val="Text19"/>
        </w:rPr>
        <w:t xml:space="preserve">]</w:t>
        <w:br w:clear="none"/>
        <w:t xml:space="preserve">]</w:t>
        <w:br w:clear="none"/>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19"/>
        </w:rPr>
        <w:t xml:space="preserve">[</w:t>
        <w:br w:clear="none"/>
      </w:r>
      <w:r>
        <w:rPr>
          <w:rStyle w:val="Text22"/>
        </w:rPr>
        <w:t xml:space="preserve">else</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9"/>
        </w:rPr>
        <w:t xml:space="preserve">]</w:t>
        <w:br w:clear="none"/>
      </w:r>
      <w:r>
        <w:rPr>
          <w:rStyle w:val="Text11"/>
        </w:rPr>
        <w:t xml:space="preserve"/>
        <w:br w:clear="none"/>
      </w:r>
      <w:r>
        <w:rPr>
          <w:rStyle w:val="Text19"/>
        </w:rPr>
        <w:t xml:space="preserve">[</w:t>
        <w:br w:clear="none"/>
      </w:r>
      <w:r>
        <w:rPr>
          <w:rStyle w:val="Text22"/>
        </w:rPr>
        <w:t xml:space="preserve">finally</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9"/>
        </w:rPr>
        <w:t xml:space="preserve">]</w:t>
        <w:br w:clear="none"/>
      </w:r>
    </w:p>
    <w:p>
      <w:pPr>
        <w:pStyle w:val="Normal"/>
      </w:pPr>
      <w:r>
        <w:t xml:space="preserve">This form of the </w:t>
      </w:r>
      <w:r>
        <w:rPr>
          <w:rStyle w:val="Text5"/>
        </w:rPr>
        <w:t>try</w:t>
      </w:r>
      <w:r>
        <w:t xml:space="preserve"> statement has one or more</w:t>
      </w:r>
      <w:r>
        <w:rPr>
          <w:rStyle w:val="Text111"/>
        </w:rPr>
        <w:bookmarkStart w:id="1761" w:name="exccla06"/>
        <w:t/>
        <w:bookmarkEnd w:id="1761"/>
      </w:r>
      <w:r>
        <w:t xml:space="preserve"> </w:t>
      </w:r>
      <w:r>
        <w:rPr>
          <w:rStyle w:val="Text5"/>
        </w:rPr>
        <w:t>except</w:t>
      </w:r>
      <w:r>
        <w:t xml:space="preserve"> clauses, as well as an optional </w:t>
      </w:r>
      <w:r>
        <w:rPr>
          <w:rStyle w:val="Text5"/>
        </w:rPr>
        <w:t>else</w:t>
      </w:r>
      <w:r>
        <w:t xml:space="preserve"> clause (and an optional </w:t>
      </w:r>
      <w:r>
        <w:rPr>
          <w:rStyle w:val="Text5"/>
        </w:rPr>
        <w:t>finally</w:t>
      </w:r>
      <w:r>
        <w:t xml:space="preserve"> clause, whose meaning does not depend on whether </w:t>
      </w:r>
      <w:r>
        <w:rPr>
          <w:rStyle w:val="Text5"/>
        </w:rPr>
        <w:t>except</w:t>
      </w:r>
      <w:r>
        <w:t xml:space="preserve"> and </w:t>
      </w:r>
      <w:r>
        <w:rPr>
          <w:rStyle w:val="Text5"/>
        </w:rPr>
        <w:t>else</w:t>
      </w:r>
      <w:r>
        <w:t xml:space="preserve"> clauses are present: we cover this in the following section).</w:t>
      </w:r>
    </w:p>
    <w:p>
      <w:pPr>
        <w:pStyle w:val="Normal"/>
      </w:pPr>
      <w:r>
        <w:t xml:space="preserve">The body of each </w:t>
      </w:r>
      <w:r>
        <w:rPr>
          <w:rStyle w:val="Text5"/>
        </w:rPr>
        <w:t>except</w:t>
      </w:r>
      <w:r>
        <w:t xml:space="preserve"> clause is known as an</w:t>
      </w:r>
      <w:r>
        <w:rPr>
          <w:rStyle w:val="Text111"/>
        </w:rPr>
        <w:bookmarkStart w:id="1762" w:name="idm45965260596720"/>
        <w:t/>
        <w:bookmarkEnd w:id="1762"/>
      </w:r>
      <w:r>
        <w:t xml:space="preserve"> </w:t>
      </w:r>
      <w:r>
        <w:rPr>
          <w:rStyle w:val="Text4"/>
        </w:rPr>
        <w:t>exception handler</w:t>
      </w:r>
      <w:r>
        <w:t xml:space="preserve">. The code executes when the </w:t>
      </w:r>
      <w:r>
        <w:rPr>
          <w:rStyle w:val="Text3"/>
        </w:rPr>
        <w:t>expression</w:t>
      </w:r>
      <w:r>
        <w:t xml:space="preserve"> in the </w:t>
      </w:r>
      <w:r>
        <w:rPr>
          <w:rStyle w:val="Text5"/>
        </w:rPr>
        <w:t>except</w:t>
      </w:r>
      <w:r>
        <w:t xml:space="preserve"> clause matches an exception object propagating from the </w:t>
      </w:r>
      <w:r>
        <w:rPr>
          <w:rStyle w:val="Text5"/>
        </w:rPr>
        <w:t>try</w:t>
      </w:r>
      <w:r>
        <w:t xml:space="preserve"> clause. </w:t>
      </w:r>
      <w:r>
        <w:rPr>
          <w:rStyle w:val="Text3"/>
        </w:rPr>
        <w:t>expression</w:t>
      </w:r>
      <w:r>
        <w:t xml:space="preserve"> is a class or tuple of classes, in parentheses, and matches any instance of one of those classes or their subclasses. The optional </w:t>
      </w:r>
      <w:r>
        <w:rPr>
          <w:rStyle w:val="Text3"/>
        </w:rPr>
        <w:t>target</w:t>
      </w:r>
      <w:r>
        <w:t xml:space="preserve"> is an identifier that names a variable that Python binds to the exception object just before the exception handler executes. A handler can also obtain the current exception object by calling the </w:t>
      </w:r>
      <w:r>
        <w:rPr>
          <w:rStyle w:val="Text0"/>
        </w:rPr>
        <w:t>exc_info</w:t>
      </w:r>
      <w:r>
        <w:t xml:space="preserve"> function (</w:t>
      </w:r>
      <w:r>
        <w:rPr>
          <w:rStyle w:val="Text34"/>
        </w:rPr>
        <w:t>3.11+</w:t>
      </w:r>
      <w:r>
        <w:t xml:space="preserve"> or the </w:t>
      </w:r>
      <w:r>
        <w:rPr>
          <w:rStyle w:val="Text0"/>
        </w:rPr>
        <w:t>exception</w:t>
      </w:r>
      <w:r>
        <w:t xml:space="preserve"> function) of the module </w:t>
      </w:r>
      <w:r>
        <w:rPr>
          <w:rStyle w:val="Text0"/>
        </w:rPr>
        <w:t>sys</w:t>
      </w:r>
      <w:r>
        <w:t xml:space="preserve"> (covered in </w:t>
      </w:r>
      <w:hyperlink w:anchor="Table_9_3__Alignment_indicators">
        <w:r>
          <w:rPr>
            <w:rStyle w:val="Text1"/>
          </w:rPr>
          <w:t>Table 9-3</w:t>
        </w:r>
      </w:hyperlink>
      <w:r>
        <w:t>).</w:t>
      </w:r>
    </w:p>
    <w:p>
      <w:pPr>
        <w:pStyle w:val="Normal"/>
      </w:pPr>
      <w:r>
        <w:t xml:space="preserve">Here is an example of the </w:t>
      </w:r>
      <w:r>
        <w:rPr>
          <w:rStyle w:val="Text0"/>
        </w:rPr>
        <w:t>try/except</w:t>
      </w:r>
      <w:r>
        <w:t xml:space="preserve"> form of the </w:t>
      </w:r>
      <w:r>
        <w:rPr>
          <w:rStyle w:val="Text0"/>
        </w:rPr>
        <w:t>try</w:t>
      </w:r>
      <w:r>
        <w:t xml:space="preserve"> statement:</w:t>
      </w:r>
    </w:p>
    <w:p>
      <w:pPr>
        <w:pStyle w:val="Para 020"/>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27"/>
        </w:rPr>
        <w:t xml:space="preserve">1</w:t>
        <w:br w:clear="none"/>
      </w:r>
      <w:r>
        <w:rPr>
          <w:rStyle w:val="Text13"/>
        </w:rPr>
        <w:t xml:space="preserve">/</w:t>
        <w:br w:clear="none"/>
      </w:r>
      <w:r>
        <w:rPr>
          <w:rStyle w:val="Text27"/>
        </w:rPr>
        <w:t xml:space="preserve">0</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not executed</w:t>
        <w:br w:clear="none"/>
        <w:t xml:space="preserve">'</w:t>
        <w:br w:clear="none"/>
      </w:r>
      <w:r>
        <w:rPr>
          <w:rStyle w:val="Text7"/>
        </w:rPr>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ZeroDivisionError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caught divide-by-0 attempt</w:t>
        <w:br w:clear="none"/>
        <w:t xml:space="preserve">'</w:t>
        <w:br w:clear="none"/>
      </w:r>
      <w:r>
        <w:rPr>
          <w:rStyle w:val="Text7"/>
        </w:rPr>
        <w:t xml:space="preserve">)</w:t>
        <w:br w:clear="none"/>
      </w:r>
    </w:p>
    <w:p>
      <w:pPr>
        <w:pStyle w:val="Normal"/>
      </w:pPr>
      <w:r>
        <w:t xml:space="preserve">When an exception is raised, execution of the </w:t>
      </w:r>
      <w:r>
        <w:rPr>
          <w:rStyle w:val="Text5"/>
        </w:rPr>
        <w:t>try</w:t>
      </w:r>
      <w:r>
        <w:t xml:space="preserve"> suite immediately ceases. If a </w:t>
      </w:r>
      <w:r>
        <w:rPr>
          <w:rStyle w:val="Text5"/>
        </w:rPr>
        <w:t>try</w:t>
      </w:r>
      <w:r>
        <w:t xml:space="preserve"> statement has several </w:t>
      </w:r>
      <w:r>
        <w:rPr>
          <w:rStyle w:val="Text5"/>
        </w:rPr>
        <w:t>except</w:t>
      </w:r>
      <w:r>
        <w:t xml:space="preserve"> clauses, the exception propagation mechanism checks the </w:t>
      </w:r>
      <w:r>
        <w:rPr>
          <w:rStyle w:val="Text5"/>
        </w:rPr>
        <w:t>except</w:t>
      </w:r>
      <w:r>
        <w:t xml:space="preserve"> clauses in order; the first </w:t>
      </w:r>
      <w:r>
        <w:rPr>
          <w:rStyle w:val="Text5"/>
        </w:rPr>
        <w:t>except</w:t>
      </w:r>
      <w:r>
        <w:t xml:space="preserve"> clause whose expression matches the exception object executes as the handler, and the exception propagation mechanism checks no further </w:t>
      </w:r>
      <w:r>
        <w:rPr>
          <w:rStyle w:val="Text5"/>
        </w:rPr>
        <w:t>except</w:t>
      </w:r>
      <w:r>
        <w:t xml:space="preserve"> clauses after that.</w:t>
      </w:r>
    </w:p>
    <w:p>
      <w:pPr>
        <w:keepNext/>
        <w:pStyle w:val="Heading 5"/>
        <w:keepLines w:val="on"/>
      </w:pPr>
      <w:r>
        <w:t>Specific Before General</w:t>
      </w:r>
    </w:p>
    <w:p>
      <w:pPr>
        <w:pStyle w:val="Para 012"/>
        <w:keepLines w:val="on"/>
      </w:pPr>
      <w:r>
        <w:t xml:space="preserve">Place handlers for specific cases before handlers for more general cases: when you place a general case first, the more specific </w:t>
      </w:r>
      <w:r>
        <w:rPr>
          <w:rStyle w:val="Text5"/>
        </w:rPr>
        <w:t>except</w:t>
      </w:r>
      <w:r>
        <w:t xml:space="preserve"> clauses that follow never execute.</w:t>
      </w:r>
    </w:p>
    <w:p>
      <w:pPr>
        <w:pStyle w:val="Normal"/>
      </w:pPr>
      <w:r>
        <w:t xml:space="preserve">The last </w:t>
      </w:r>
      <w:r>
        <w:rPr>
          <w:rStyle w:val="Text5"/>
        </w:rPr>
        <w:t>except</w:t>
      </w:r>
      <w:r>
        <w:t xml:space="preserve"> clause need not specify an expression. An </w:t>
      </w:r>
      <w:r>
        <w:rPr>
          <w:rStyle w:val="Text5"/>
        </w:rPr>
        <w:t>except</w:t>
      </w:r>
      <w:r>
        <w:t xml:space="preserve"> clause without any expression handles any exception that reaches it during propagation. Such unconditional handling is rare, but it does occur, often in “wrapper” functions that must perform some extra task before re-raising an exception (see </w:t>
      </w:r>
      <w:hyperlink w:anchor="The_raise_Statement__You_can_use">
        <w:r>
          <w:rPr>
            <w:rStyle w:val="Text1"/>
          </w:rPr>
          <w:t>“The raise Statement”</w:t>
        </w:r>
      </w:hyperlink>
      <w:r>
        <w:t>).</w:t>
      </w:r>
    </w:p>
    <w:p>
      <w:pPr>
        <w:keepNext/>
        <w:pStyle w:val="Heading 6"/>
        <w:keepLines w:val="on"/>
      </w:pPr>
      <w:r>
        <w:t>Avoid a “Bare Except” That Doesn’t Re-Raise</w:t>
      </w:r>
    </w:p>
    <w:p>
      <w:pPr>
        <w:pStyle w:val="Para 012"/>
        <w:keepLines w:val="on"/>
      </w:pPr>
      <w:r>
        <w:t>Beware</w:t>
      </w:r>
      <w:r>
        <w:rPr>
          <w:rStyle w:val="Text111"/>
        </w:rPr>
        <w:bookmarkStart w:id="1763" w:name="idm45965260498608"/>
        <w:t/>
        <w:bookmarkEnd w:id="1763"/>
      </w:r>
      <w:r>
        <w:t xml:space="preserve"> of using a “bare” </w:t>
      </w:r>
      <w:r>
        <w:rPr>
          <w:rStyle w:val="Text5"/>
        </w:rPr>
        <w:t>except</w:t>
      </w:r>
      <w:r>
        <w:t xml:space="preserve"> (an </w:t>
      </w:r>
      <w:r>
        <w:rPr>
          <w:rStyle w:val="Text5"/>
        </w:rPr>
        <w:t>except</w:t>
      </w:r>
      <w:r>
        <w:t xml:space="preserve"> clause without an expression) unless you’re re-raising the exception in it: such sloppy style can make bugs very hard to find, since the bare </w:t>
      </w:r>
      <w:r>
        <w:rPr>
          <w:rStyle w:val="Text5"/>
        </w:rPr>
        <w:t>except</w:t>
      </w:r>
      <w:r>
        <w:t xml:space="preserve"> is overly broad and can easily mask coding errors and other kinds of bugs by allowing execution to continue after an unanticipated exception.</w:t>
      </w:r>
    </w:p>
    <w:p>
      <w:pPr>
        <w:pStyle w:val="Para 012"/>
        <w:keepLines w:val="on"/>
      </w:pPr>
      <w:r>
        <w:t>New programmers who are “just trying to get things to work” may even write code like:</w:t>
      </w:r>
    </w:p>
    <w:p>
      <w:pPr>
        <w:pStyle w:val="Para 047"/>
        <w:keepLines w:val="on"/>
      </w:pPr>
      <w:r>
        <w:rPr>
          <w:rStyle w:val="Text116"/>
        </w:rPr>
        <w:t xml:space="preserve"/>
        <w:br w:clear="none"/>
      </w:r>
      <w:r>
        <w:rPr>
          <w:rStyle w:val="Text22"/>
        </w:rPr>
        <w:t xml:space="preserve">try</w:t>
        <w:br w:clear="none"/>
      </w:r>
      <w:r>
        <w:rPr>
          <w:rStyle w:val="Text51"/>
        </w:rPr>
        <w:t xml:space="preserve">:</w:t>
        <w:br w:clear="none"/>
      </w:r>
      <w:r>
        <w:rPr>
          <w:rStyle w:val="Text11"/>
        </w:rPr>
        <w:t xml:space="preserve"/>
        <w:br w:clear="none"/>
        <w:t xml:space="preserve">    </w:t>
        <w:br w:clear="none"/>
      </w:r>
      <w:r>
        <w:t xml:space="preserve"># ...code that has a problem...</w:t>
        <w:br w:clear="none"/>
      </w:r>
      <w:r>
        <w:rPr>
          <w:rStyle w:val="Text11"/>
        </w:rPr>
        <w:t xml:space="preserve"/>
        <w:br w:clear="none"/>
      </w:r>
      <w:r>
        <w:rPr>
          <w:rStyle w:val="Text22"/>
        </w:rPr>
        <w:t xml:space="preserve">except</w:t>
        <w:br w:clear="none"/>
      </w:r>
      <w:r>
        <w:rPr>
          <w:rStyle w:val="Text51"/>
        </w:rPr>
        <w:t xml:space="preserve">:</w:t>
        <w:br w:clear="none"/>
      </w:r>
      <w:r>
        <w:rPr>
          <w:rStyle w:val="Text11"/>
        </w:rPr>
        <w:t xml:space="preserve"/>
        <w:br w:clear="none"/>
        <w:t xml:space="preserve">    </w:t>
        <w:br w:clear="none"/>
      </w:r>
      <w:r>
        <w:rPr>
          <w:rStyle w:val="Text22"/>
        </w:rPr>
        <w:t xml:space="preserve">pass</w:t>
        <w:br w:clear="none"/>
      </w:r>
    </w:p>
    <w:p>
      <w:pPr>
        <w:pStyle w:val="Para 012"/>
        <w:keepLines w:val="on"/>
      </w:pPr>
      <w:r>
        <w:t xml:space="preserve">This is a dangerous practice, since it catches important process-exiting exceptions such as </w:t>
      </w:r>
      <w:r>
        <w:rPr>
          <w:rStyle w:val="Text0"/>
        </w:rPr>
        <w:t>KeyboardInterrupt</w:t>
      </w:r>
      <w:r>
        <w:t xml:space="preserve"> or </w:t>
      </w:r>
      <w:r>
        <w:rPr>
          <w:rStyle w:val="Text0"/>
        </w:rPr>
        <w:t>SystemExit</w:t>
      </w:r>
      <w:r>
        <w:t>—a loop with such an exception handler can’t be exited with Ctrl-C, and possibly not even terminated with a system</w:t>
      </w:r>
      <w:r>
        <w:rPr>
          <w:rStyle w:val="Text111"/>
        </w:rPr>
        <w:bookmarkStart w:id="1764" w:name="idm45965260478528"/>
        <w:t/>
        <w:bookmarkEnd w:id="1764"/>
      </w:r>
      <w:r>
        <w:t xml:space="preserve"> </w:t>
      </w:r>
      <w:r>
        <w:rPr>
          <w:rStyle w:val="Text5"/>
        </w:rPr>
        <w:t>kill</w:t>
      </w:r>
      <w:r>
        <w:t xml:space="preserve"> command. At the very least, such code should use </w:t>
      </w:r>
      <w:r>
        <w:rPr>
          <w:rStyle w:val="Text5"/>
        </w:rPr>
        <w:t>except</w:t>
      </w:r>
      <w:r>
        <w:t xml:space="preserve"> </w:t>
      </w:r>
      <w:r>
        <w:rPr>
          <w:rStyle w:val="Text0"/>
        </w:rPr>
        <w:t>Exception:</w:t>
      </w:r>
      <w:r>
        <w:t>, which is still overly broad but at least does not catch the process-exiting exceptions.</w:t>
      </w:r>
    </w:p>
    <w:p>
      <w:pPr>
        <w:pStyle w:val="Normal"/>
      </w:pPr>
      <w:r>
        <w:t xml:space="preserve">Exception propagation terminates when it finds a handler whose expression matches the exception object. When a </w:t>
      </w:r>
      <w:r>
        <w:rPr>
          <w:rStyle w:val="Text5"/>
        </w:rPr>
        <w:t>try</w:t>
      </w:r>
      <w:r>
        <w:t xml:space="preserve"> statement is nested (lexically in the source code, or dynamically within function calls) in the </w:t>
      </w:r>
      <w:r>
        <w:rPr>
          <w:rStyle w:val="Text5"/>
        </w:rPr>
        <w:t>try</w:t>
      </w:r>
      <w:r>
        <w:t xml:space="preserve"> clause of another </w:t>
      </w:r>
      <w:r>
        <w:rPr>
          <w:rStyle w:val="Text5"/>
        </w:rPr>
        <w:t>try</w:t>
      </w:r>
      <w:r>
        <w:t xml:space="preserve"> statement, a handler established by the inner </w:t>
      </w:r>
      <w:r>
        <w:rPr>
          <w:rStyle w:val="Text5"/>
        </w:rPr>
        <w:t>try</w:t>
      </w:r>
      <w:r>
        <w:t xml:space="preserve"> is reached first on propagation, so it handles the exception when it matches it. This may not be what you want. Consider this example:</w:t>
      </w:r>
    </w:p>
    <w:p>
      <w:pPr>
        <w:pStyle w:val="Para 020"/>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27"/>
        </w:rPr>
        <w:t xml:space="preserve">1</w:t>
        <w:br w:clear="none"/>
      </w:r>
      <w:r>
        <w:rPr>
          <w:rStyle w:val="Text13"/>
        </w:rPr>
        <w:t xml:space="preserve">/</w:t>
        <w:br w:clear="none"/>
      </w:r>
      <w:r>
        <w:rPr>
          <w:rStyle w:val="Text27"/>
        </w:rPr>
        <w:t xml:space="preserve">0</w:t>
        <w:br w:clear="none"/>
      </w:r>
      <w:r>
        <w:rPr>
          <w:rStyle w:val="Text6"/>
        </w:rPr>
        <w:t xml:space="preserve"/>
        <w:br w:clear="none"/>
        <w:t xml:space="preserve">    </w:t>
        <w:br w:clear="none"/>
      </w:r>
      <w:r>
        <w:rPr>
          <w:rStyle w:val="Text10"/>
        </w:rPr>
        <w:t xml:space="preserve">except</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caught an exception</w:t>
        <w:br w:clear="none"/>
        <w:t xml:space="preserve">'</w:t>
        <w:br w:clear="none"/>
      </w:r>
      <w:r>
        <w:rPr>
          <w:rStyle w:val="Text7"/>
        </w:rPr>
        <w:t xml:space="preserve">)</w:t>
        <w:br w:clear="none"/>
      </w:r>
      <w:r>
        <w:rPr>
          <w:rStyle w:val="Text6"/>
        </w:rPr>
        <w:t xml:space="preserve"/>
        <w:br w:clear="none"/>
      </w:r>
      <w:r>
        <w:rPr>
          <w:rStyle w:val="Text10"/>
        </w:rPr>
        <w:t xml:space="preserve">except</w:t>
        <w:br w:clear="none"/>
      </w:r>
      <w:r>
        <w:rPr>
          <w:rStyle w:val="Text29"/>
        </w:rPr>
        <w:t xml:space="preserve"> </w:t>
        <w:br w:clear="none"/>
      </w:r>
      <w:r>
        <w:rPr>
          <w:rStyle w:val="Text57"/>
        </w:rPr>
        <w:t xml:space="preserve">ZeroDivisionError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caught divide-by-0 attempt</w:t>
        <w:br w:clear="none"/>
        <w:t xml:space="preserve">'</w:t>
        <w:br w:clear="none"/>
      </w:r>
      <w:r>
        <w:rPr>
          <w:rStyle w:val="Text7"/>
        </w:rPr>
        <w:t xml:space="preserve">)</w:t>
        <w:br w:clear="none"/>
      </w:r>
      <w:r>
        <w:rPr>
          <w:rStyle w:val="Text6"/>
        </w:rPr>
        <w:t xml:space="preserve"/>
        <w:br w:clear="none"/>
      </w:r>
      <w:r>
        <w:rPr>
          <w:rStyle w:val="Text15"/>
        </w:rPr>
        <w:t xml:space="preserve"># prints:</w:t>
        <w:br w:clear="none"/>
      </w:r>
      <w:r>
        <w:rPr>
          <w:rStyle w:val="Text26"/>
        </w:rPr>
        <w:t xml:space="preserve"> </w:t>
        <w:br w:clear="none"/>
      </w:r>
      <w:r>
        <w:rPr>
          <w:rStyle w:val="Text15"/>
        </w:rPr>
        <w:t xml:space="preserve">caught an exception</w:t>
        <w:br w:clear="none"/>
      </w:r>
    </w:p>
    <w:p>
      <w:pPr>
        <w:pStyle w:val="Normal"/>
      </w:pPr>
      <w:r>
        <w:t xml:space="preserve">In this case, it does not matter that the handler established by the clause </w:t>
      </w:r>
      <w:r>
        <w:rPr>
          <w:rStyle w:val="Text5"/>
        </w:rPr>
        <w:t>except</w:t>
      </w:r>
      <w:r>
        <w:t xml:space="preserve"> </w:t>
      </w:r>
      <w:r>
        <w:rPr>
          <w:rStyle w:val="Text0"/>
        </w:rPr>
        <w:t>ZeroDivisionError</w:t>
        <w:t>:</w:t>
      </w:r>
      <w:r>
        <w:t xml:space="preserve"> in the outer </w:t>
      </w:r>
      <w:r>
        <w:rPr>
          <w:rStyle w:val="Text5"/>
        </w:rPr>
        <w:t>try</w:t>
      </w:r>
      <w:r>
        <w:t xml:space="preserve"> clause is more specific than the catch-all </w:t>
      </w:r>
      <w:r>
        <w:rPr>
          <w:rStyle w:val="Text5"/>
        </w:rPr>
        <w:t>except</w:t>
      </w:r>
      <w:r>
        <w:t xml:space="preserve">: in the inner </w:t>
      </w:r>
      <w:r>
        <w:rPr>
          <w:rStyle w:val="Text5"/>
        </w:rPr>
        <w:t>try</w:t>
      </w:r>
      <w:r>
        <w:t xml:space="preserve"> clause. The outer </w:t>
      </w:r>
      <w:r>
        <w:rPr>
          <w:rStyle w:val="Text5"/>
        </w:rPr>
        <w:t>try</w:t>
      </w:r>
      <w:r>
        <w:t xml:space="preserve"> does not enter into the picture: the exception doesn’t propagate out of the inner </w:t>
      </w:r>
      <w:r>
        <w:rPr>
          <w:rStyle w:val="Text5"/>
        </w:rPr>
        <w:t>try</w:t>
      </w:r>
      <w:r>
        <w:t xml:space="preserve">. For more on exception propagation, see </w:t>
      </w:r>
      <w:hyperlink w:anchor="Exception_Propagation__When_an_e">
        <w:r>
          <w:rPr>
            <w:rStyle w:val="Text1"/>
          </w:rPr>
          <w:t>“Exception Propagation”</w:t>
        </w:r>
      </w:hyperlink>
      <w:r>
        <w:t>.</w:t>
      </w:r>
    </w:p>
    <w:p>
      <w:pPr>
        <w:pStyle w:val="Normal"/>
      </w:pPr>
      <w:r>
        <w:t>The optional</w:t>
      </w:r>
      <w:r>
        <w:rPr>
          <w:rStyle w:val="Text111"/>
        </w:rPr>
        <w:bookmarkStart w:id="1765" w:name="idm45965260411920"/>
        <w:t/>
        <w:bookmarkEnd w:id="1765"/>
        <w:bookmarkStart w:id="1766" w:name="idm45965260387808"/>
        <w:t/>
        <w:bookmarkEnd w:id="1766"/>
      </w:r>
      <w:r>
        <w:t xml:space="preserve"> </w:t>
      </w:r>
      <w:r>
        <w:rPr>
          <w:rStyle w:val="Text5"/>
        </w:rPr>
        <w:t>else</w:t>
      </w:r>
      <w:r>
        <w:t xml:space="preserve"> clause of </w:t>
      </w:r>
      <w:r>
        <w:rPr>
          <w:rStyle w:val="Text5"/>
        </w:rPr>
        <w:t>try</w:t>
      </w:r>
      <w:r>
        <w:rPr>
          <w:rStyle w:val="Text0"/>
        </w:rPr>
        <w:t>/</w:t>
      </w:r>
      <w:r>
        <w:rPr>
          <w:rStyle w:val="Text5"/>
        </w:rPr>
        <w:t>except</w:t>
      </w:r>
      <w:r>
        <w:t xml:space="preserve"> executes only when the </w:t>
      </w:r>
      <w:r>
        <w:rPr>
          <w:rStyle w:val="Text5"/>
        </w:rPr>
        <w:t>try</w:t>
      </w:r>
      <w:r>
        <w:t xml:space="preserve"> clause terminates normally. In other words, the </w:t>
      </w:r>
      <w:r>
        <w:rPr>
          <w:rStyle w:val="Text5"/>
        </w:rPr>
        <w:t>else</w:t>
      </w:r>
      <w:r>
        <w:t xml:space="preserve"> clause does not execute when an exception propagates from the </w:t>
      </w:r>
      <w:r>
        <w:rPr>
          <w:rStyle w:val="Text5"/>
        </w:rPr>
        <w:t>try</w:t>
      </w:r>
      <w:r>
        <w:t xml:space="preserve"> clause, or when the </w:t>
      </w:r>
      <w:r>
        <w:rPr>
          <w:rStyle w:val="Text5"/>
        </w:rPr>
        <w:t>try</w:t>
      </w:r>
      <w:r>
        <w:t xml:space="preserve"> clause exits with a</w:t>
      </w:r>
      <w:r>
        <w:rPr>
          <w:rStyle w:val="Text111"/>
        </w:rPr>
        <w:bookmarkStart w:id="1767" w:name="idm45965260380432"/>
        <w:t/>
        <w:bookmarkEnd w:id="1767"/>
      </w:r>
      <w:r>
        <w:t xml:space="preserve"> </w:t>
      </w:r>
      <w:r>
        <w:rPr>
          <w:rStyle w:val="Text5"/>
        </w:rPr>
        <w:t>break</w:t>
      </w:r>
      <w:r>
        <w:t xml:space="preserve">, </w:t>
      </w:r>
      <w:r>
        <w:rPr>
          <w:rStyle w:val="Text5"/>
        </w:rPr>
        <w:t>continue</w:t>
      </w:r>
      <w:r>
        <w:t xml:space="preserve">, or </w:t>
      </w:r>
      <w:r>
        <w:rPr>
          <w:rStyle w:val="Text5"/>
        </w:rPr>
        <w:t>return</w:t>
      </w:r>
      <w:r>
        <w:t xml:space="preserve"> statement. Handlers established by </w:t>
      </w:r>
      <w:r>
        <w:rPr>
          <w:rStyle w:val="Text5"/>
        </w:rPr>
        <w:t>try</w:t>
      </w:r>
      <w:r>
        <w:rPr>
          <w:rStyle w:val="Text0"/>
        </w:rPr>
        <w:t>/</w:t>
      </w:r>
      <w:r>
        <w:rPr>
          <w:rStyle w:val="Text5"/>
        </w:rPr>
        <w:t>except</w:t>
      </w:r>
      <w:r>
        <w:t xml:space="preserve"> cover only the </w:t>
      </w:r>
      <w:r>
        <w:rPr>
          <w:rStyle w:val="Text5"/>
        </w:rPr>
        <w:t>try</w:t>
      </w:r>
      <w:r>
        <w:t xml:space="preserve"> clause, not the </w:t>
      </w:r>
      <w:r>
        <w:rPr>
          <w:rStyle w:val="Text5"/>
        </w:rPr>
        <w:t>else</w:t>
      </w:r>
      <w:r>
        <w:t xml:space="preserve"> clause. The </w:t>
      </w:r>
      <w:r>
        <w:rPr>
          <w:rStyle w:val="Text5"/>
        </w:rPr>
        <w:t>else</w:t>
      </w:r>
      <w:r>
        <w:t xml:space="preserve"> clause is useful to avoid accidentally handling unexpected exceptions. For example:</w:t>
      </w:r>
    </w:p>
    <w:p>
      <w:pPr>
        <w:pStyle w:val="Para 020"/>
      </w:pPr>
      <w:r>
        <w:rPr>
          <w:rStyle w:val="Text23"/>
        </w:rPr>
        <w:t xml:space="preserve"/>
        <w:br w:clear="none"/>
      </w:r>
      <w:r>
        <w:rPr>
          <w:rStyle w:val="Text16"/>
        </w:rPr>
        <w:t xml:space="preserve">print</w:t>
        <w:br w:clear="none"/>
      </w:r>
      <w:r>
        <w:rPr>
          <w:rStyle w:val="Text7"/>
        </w:rPr>
        <w:t xml:space="preserve">(</w:t>
        <w:br w:clear="none"/>
      </w:r>
      <w:r>
        <w:rPr>
          <w:rStyle w:val="Text16"/>
        </w:rPr>
        <w:t xml:space="preserve">repr</w:t>
        <w:br w:clear="none"/>
      </w:r>
      <w:r>
        <w:rPr>
          <w:rStyle w:val="Text7"/>
        </w:rPr>
        <w:t xml:space="preserve">(</w:t>
        <w:br w:clear="none"/>
      </w:r>
      <w:r>
        <w:rPr>
          <w:rStyle w:val="Text9"/>
        </w:rPr>
        <w:t xml:space="preserve">value</w:t>
        <w:br w:clear="none"/>
      </w:r>
      <w:r>
        <w:rPr>
          <w:rStyle w:val="Text7"/>
        </w:rPr>
        <w:t xml:space="preserve">)</w:t>
        <w:br w:clear="none"/>
        <w:t xml:space="preserve">,</w:t>
        <w:br w:clear="none"/>
      </w:r>
      <w:r>
        <w:rPr>
          <w:rStyle w:val="Text6"/>
        </w:rPr>
        <w:t xml:space="preserve"> </w:t>
        <w:br w:clear="none"/>
      </w:r>
      <w:r>
        <w:t xml:space="preserve">'</w:t>
        <w:br w:clear="none"/>
        <w:t xml:space="preserve">is </w:t>
        <w:br w:clear="none"/>
        <w:t xml:space="preserve">'</w:t>
        <w:br w:clear="none"/>
      </w:r>
      <w:r>
        <w:rPr>
          <w:rStyle w:val="Text7"/>
        </w:rPr>
        <w:t xml:space="preserve">,</w:t>
        <w:br w:clear="none"/>
      </w:r>
      <w:r>
        <w:rPr>
          <w:rStyle w:val="Text6"/>
        </w:rPr>
        <w:t xml:space="preserve"> </w:t>
        <w:br w:clear="none"/>
      </w:r>
      <w:r>
        <w:rPr>
          <w:rStyle w:val="Text9"/>
        </w:rPr>
        <w:t xml:space="preserve">end</w:t>
        <w:br w:clear="none"/>
      </w:r>
      <w:r>
        <w:rPr>
          <w:rStyle w:val="Text13"/>
        </w:rPr>
        <w:t xml:space="preserve">=</w:t>
        <w:br w:clear="none"/>
      </w:r>
      <w:r>
        <w:t xml:space="preserve">'</w:t>
        <w:br w:clear="none"/>
        <w:t xml:space="preserve"> </w:t>
        <w:br w:clear="none"/>
        <w:t xml:space="preserve">'</w:t>
        <w:br w:clear="none"/>
      </w:r>
      <w:r>
        <w:rPr>
          <w:rStyle w:val="Text7"/>
        </w:rPr>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9"/>
        </w:rPr>
        <w:t xml:space="preserve">value</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TypeError</w:t>
        <w:br w:clear="none"/>
      </w:r>
      <w:r>
        <w:rPr>
          <w:rStyle w:val="Text7"/>
        </w:rPr>
        <w:t xml:space="preserve">:</w:t>
        <w:br w:clear="none"/>
      </w:r>
      <w:r>
        <w:rPr>
          <w:rStyle w:val="Text6"/>
        </w:rPr>
        <w:t xml:space="preserve"/>
        <w:br w:clear="none"/>
        <w:t xml:space="preserve">    </w:t>
        <w:br w:clear="none"/>
      </w:r>
      <w:r>
        <w:rPr>
          <w:rStyle w:val="Text15"/>
        </w:rPr>
        <w:t xml:space="preserve"># not a number, maybe a string...?</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9"/>
        </w:rPr>
        <w:t xml:space="preserve">value</w:t>
        <w:br w:clear="none"/>
      </w:r>
      <w:r>
        <w:rPr>
          <w:rStyle w:val="Text6"/>
        </w:rPr>
        <w:t xml:space="preserve"> </w:t>
        <w:br w:clear="none"/>
      </w:r>
      <w:r>
        <w:rPr>
          <w:rStyle w:val="Text13"/>
        </w:rPr>
        <w:t xml:space="preserve">+</w:t>
        <w:br w:clear="none"/>
      </w:r>
      <w:r>
        <w:rPr>
          <w:rStyle w:val="Text6"/>
        </w:rPr>
        <w:t xml:space="preserve"> </w:t>
        <w:br w:clear="none"/>
      </w:r>
      <w:r>
        <w:t xml:space="preserve">'</w:t>
        <w:br w:clear="none"/>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TypeError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neither a number nor a string</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some kind of string</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some kind of number</w:t>
        <w:br w:clear="none"/>
        <w:t xml:space="preserve">'</w:t>
        <w:br w:clear="none"/>
      </w:r>
      <w:r>
        <w:rPr>
          <w:rStyle w:val="Text7"/>
        </w:rPr>
        <w:t xml:space="preserve">)</w:t>
        <w:br w:clear="none"/>
      </w:r>
    </w:p>
    <w:p>
      <w:bookmarkStart w:id="1768" w:name="try_finally__Here_s_the_syntax_f"/>
      <w:pPr>
        <w:keepNext/>
        <w:pStyle w:val="Heading 2"/>
      </w:pPr>
      <w:r>
        <w:t>try/finally</w:t>
      </w:r>
      <w:bookmarkEnd w:id="1768"/>
    </w:p>
    <w:p>
      <w:pPr>
        <w:pStyle w:val="Normal"/>
      </w:pPr>
      <w:r>
        <w:t xml:space="preserve">Here’s the syntax for the </w:t>
      </w:r>
      <w:r>
        <w:rPr>
          <w:rStyle w:val="Text5"/>
        </w:rPr>
        <w:t>try</w:t>
      </w:r>
      <w:r>
        <w:rPr>
          <w:rStyle w:val="Text0"/>
        </w:rPr>
        <w:t>/</w:t>
      </w:r>
      <w:r>
        <w:rPr>
          <w:rStyle w:val="Text5"/>
        </w:rPr>
        <w:t>finally</w:t>
      </w:r>
      <w:r>
        <w:t xml:space="preserve"> form of the </w:t>
      </w:r>
      <w:r>
        <w:rPr>
          <w:rStyle w:val="Text5"/>
        </w:rPr>
        <w:t>try</w:t>
      </w:r>
      <w:r>
        <w:t xml:space="preserve"> statement:</w:t>
      </w:r>
    </w:p>
    <w:p>
      <w:pPr>
        <w:pStyle w:val="Para 032"/>
      </w:pPr>
      <w:r>
        <w:rPr>
          <w:rStyle w:val="Text116"/>
        </w:rPr>
        <w:t xml:space="preserve"/>
        <w:br w:clear="none"/>
      </w:r>
      <w:r>
        <w:rPr>
          <w:rStyle w:val="Text22"/>
        </w:rPr>
        <w:t xml:space="preserve">try</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r>
        <w:rPr>
          <w:rStyle w:val="Text11"/>
        </w:rPr>
        <w:t xml:space="preserve"/>
        <w:br w:clear="none"/>
      </w:r>
      <w:r>
        <w:rPr>
          <w:rStyle w:val="Text22"/>
        </w:rPr>
        <w:t xml:space="preserve">finally</w:t>
        <w:br w:clear="none"/>
      </w:r>
      <w:r>
        <w:rPr>
          <w:rStyle w:val="Text19"/>
        </w:rPr>
        <w:t xml:space="preserve">:</w:t>
        <w:br w:clear="none"/>
      </w:r>
      <w:r>
        <w:rPr>
          <w:rStyle w:val="Text11"/>
        </w:rPr>
        <w:t xml:space="preserve"/>
        <w:br w:clear="none"/>
        <w:t xml:space="preserve">    </w:t>
        <w:br w:clear="none"/>
      </w:r>
      <w:r>
        <w:t xml:space="preserve">statement</w:t>
        <w:br w:clear="none"/>
      </w:r>
      <w:r>
        <w:rPr>
          <w:rStyle w:val="Text7"/>
        </w:rPr>
        <w:t xml:space="preserve">(</w:t>
        <w:br w:clear="none"/>
      </w:r>
      <w:r>
        <w:t xml:space="preserve">s</w:t>
        <w:br w:clear="none"/>
      </w:r>
      <w:r>
        <w:rPr>
          <w:rStyle w:val="Text7"/>
        </w:rPr>
        <w:t xml:space="preserve">)</w:t>
        <w:br w:clear="none"/>
      </w:r>
    </w:p>
    <w:p>
      <w:pPr>
        <w:pStyle w:val="Normal"/>
      </w:pPr>
      <w:r>
        <w:t>This form has one</w:t>
      </w:r>
      <w:r>
        <w:rPr>
          <w:rStyle w:val="Text111"/>
        </w:rPr>
        <w:bookmarkStart w:id="1769" w:name="idm45965260255792"/>
        <w:t/>
        <w:bookmarkEnd w:id="1769"/>
      </w:r>
      <w:r>
        <w:t xml:space="preserve"> </w:t>
      </w:r>
      <w:r>
        <w:rPr>
          <w:rStyle w:val="Text5"/>
        </w:rPr>
        <w:t>finally</w:t>
      </w:r>
      <w:r>
        <w:t xml:space="preserve"> clause, and no </w:t>
      </w:r>
      <w:r>
        <w:rPr>
          <w:rStyle w:val="Text0"/>
        </w:rPr>
        <w:t>else</w:t>
      </w:r>
      <w:r>
        <w:t xml:space="preserve"> clause (unless it also has one or more </w:t>
      </w:r>
      <w:r>
        <w:rPr>
          <w:rStyle w:val="Text5"/>
        </w:rPr>
        <w:t>except</w:t>
      </w:r>
      <w:r>
        <w:t xml:space="preserve"> clauses, as covered in the following section).</w:t>
      </w:r>
    </w:p>
    <w:p>
      <w:pPr>
        <w:pStyle w:val="Normal"/>
      </w:pPr>
      <w:r>
        <w:t xml:space="preserve">The </w:t>
      </w:r>
      <w:r>
        <w:rPr>
          <w:rStyle w:val="Text5"/>
        </w:rPr>
        <w:t>finally</w:t>
      </w:r>
      <w:r>
        <w:t xml:space="preserve"> clause establishes what is known as a</w:t>
      </w:r>
      <w:r>
        <w:rPr>
          <w:rStyle w:val="Text111"/>
        </w:rPr>
        <w:bookmarkStart w:id="1770" w:name="idm45965260250768"/>
        <w:t/>
        <w:bookmarkEnd w:id="1770"/>
      </w:r>
      <w:r>
        <w:t xml:space="preserve"> </w:t>
      </w:r>
      <w:r>
        <w:rPr>
          <w:rStyle w:val="Text4"/>
        </w:rPr>
        <w:t>cleanup handler</w:t>
      </w:r>
      <w:r>
        <w:t xml:space="preserve">. This code always executes after the </w:t>
      </w:r>
      <w:r>
        <w:rPr>
          <w:rStyle w:val="Text5"/>
        </w:rPr>
        <w:t>try</w:t>
      </w:r>
      <w:r>
        <w:t xml:space="preserve"> clause terminates in any way. When an exception propagates from the </w:t>
      </w:r>
      <w:r>
        <w:rPr>
          <w:rStyle w:val="Text5"/>
        </w:rPr>
        <w:t>try</w:t>
      </w:r>
      <w:r>
        <w:t xml:space="preserve"> clause, the </w:t>
      </w:r>
      <w:r>
        <w:rPr>
          <w:rStyle w:val="Text5"/>
        </w:rPr>
        <w:t>try</w:t>
      </w:r>
      <w:r>
        <w:t xml:space="preserve"> clause terminates, the cleanup handler executes, and the exception keeps propagating. When no exception occurs, the cleanup handler executes anyway, regardless of whether the </w:t>
      </w:r>
      <w:r>
        <w:rPr>
          <w:rStyle w:val="Text5"/>
        </w:rPr>
        <w:t>try</w:t>
      </w:r>
      <w:r>
        <w:t xml:space="preserve"> clause reaches its end or exits by executing a </w:t>
      </w:r>
      <w:r>
        <w:rPr>
          <w:rStyle w:val="Text5"/>
        </w:rPr>
        <w:t>break</w:t>
      </w:r>
      <w:r>
        <w:t xml:space="preserve">, </w:t>
      </w:r>
      <w:r>
        <w:rPr>
          <w:rStyle w:val="Text5"/>
        </w:rPr>
        <w:t>continue</w:t>
      </w:r>
      <w:r>
        <w:t xml:space="preserve">, or </w:t>
      </w:r>
      <w:r>
        <w:rPr>
          <w:rStyle w:val="Text5"/>
        </w:rPr>
        <w:t>return</w:t>
      </w:r>
      <w:r>
        <w:t xml:space="preserve"> statement.</w:t>
      </w:r>
    </w:p>
    <w:p>
      <w:pPr>
        <w:pStyle w:val="Normal"/>
      </w:pPr>
      <w:r>
        <w:t xml:space="preserve">Cleanup handlers established with </w:t>
      </w:r>
      <w:r>
        <w:rPr>
          <w:rStyle w:val="Text5"/>
        </w:rPr>
        <w:t>try</w:t>
      </w:r>
      <w:r>
        <w:rPr>
          <w:rStyle w:val="Text0"/>
        </w:rPr>
        <w:t>/</w:t>
      </w:r>
      <w:r>
        <w:rPr>
          <w:rStyle w:val="Text5"/>
        </w:rPr>
        <w:t>finally</w:t>
      </w:r>
      <w:r>
        <w:t xml:space="preserve"> offer a robust and explicit way to specify finalization code that must always execute, no matter what, to ensure consistency of program state and/or external entities (e.g., files, databases, network connections). Such assured finalization is nowadays usually best expressed via</w:t>
      </w:r>
      <w:r>
        <w:rPr>
          <w:rStyle w:val="Text111"/>
        </w:rPr>
        <w:bookmarkStart w:id="1771" w:name="idm45965260219264"/>
        <w:t/>
        <w:bookmarkEnd w:id="1771"/>
      </w:r>
      <w:r>
        <w:t xml:space="preserve"> a </w:t>
      </w:r>
      <w:r>
        <w:rPr>
          <w:rStyle w:val="Text4"/>
        </w:rPr>
        <w:t>context manager</w:t>
      </w:r>
      <w:r>
        <w:t xml:space="preserve"> used in a </w:t>
      </w:r>
      <w:r>
        <w:rPr>
          <w:rStyle w:val="Text5"/>
        </w:rPr>
        <w:t>with</w:t>
      </w:r>
      <w:r>
        <w:t xml:space="preserve"> statement (see </w:t>
      </w:r>
      <w:hyperlink w:anchor="The_with_Statement_and_Context_M">
        <w:r>
          <w:rPr>
            <w:rStyle w:val="Text1"/>
          </w:rPr>
          <w:t>“The with Statement and Context Managers”</w:t>
        </w:r>
      </w:hyperlink>
      <w:r>
        <w:t xml:space="preserve">). Here is an example of the </w:t>
      </w:r>
      <w:r>
        <w:rPr>
          <w:rStyle w:val="Text5"/>
        </w:rPr>
        <w:t>try</w:t>
      </w:r>
      <w:r>
        <w:rPr>
          <w:rStyle w:val="Text0"/>
        </w:rPr>
        <w:t>/</w:t>
      </w:r>
      <w:r>
        <w:rPr>
          <w:rStyle w:val="Text5"/>
        </w:rPr>
        <w:t>finally</w:t>
      </w:r>
      <w:r>
        <w:t xml:space="preserve"> form of the </w:t>
      </w:r>
      <w:r>
        <w:rPr>
          <w:rStyle w:val="Text5"/>
        </w:rPr>
        <w:t>try</w:t>
      </w:r>
      <w:r>
        <w:t xml:space="preserve"> statement:</w:t>
      </w:r>
    </w:p>
    <w:p>
      <w:pPr>
        <w:pStyle w:val="Para 007"/>
      </w:pPr>
      <w:r>
        <w:rPr>
          <w:rStyle w:val="Text23"/>
        </w:rPr>
        <w:t xml:space="preserve"/>
        <w:br w:clear="none"/>
      </w:r>
      <w:r>
        <w:t xml:space="preserve">f</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open</w:t>
        <w:br w:clear="none"/>
      </w:r>
      <w:r>
        <w:rPr>
          <w:rStyle w:val="Text7"/>
        </w:rPr>
        <w:t xml:space="preserve">(</w:t>
        <w:br w:clear="none"/>
      </w:r>
      <w:r>
        <w:t xml:space="preserve">some_file</w:t>
        <w:br w:clear="none"/>
      </w:r>
      <w:r>
        <w:rPr>
          <w:rStyle w:val="Text7"/>
        </w:rPr>
        <w:t xml:space="preserve">,</w:t>
        <w:br w:clear="none"/>
      </w:r>
      <w:r>
        <w:rPr>
          <w:rStyle w:val="Text6"/>
        </w:rPr>
        <w:t xml:space="preserve"> </w:t>
        <w:br w:clear="none"/>
      </w:r>
      <w:r>
        <w:rPr>
          <w:rStyle w:val="Text8"/>
        </w:rPr>
        <w:t xml:space="preserve">'</w:t>
        <w:br w:clear="none"/>
        <w:t xml:space="preserve">w</w:t>
        <w:br w:clear="none"/>
        <w:t xml:space="preserve">'</w:t>
        <w:br w:clear="none"/>
      </w:r>
      <w:r>
        <w:rPr>
          <w:rStyle w:val="Text7"/>
        </w:rPr>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do_something_with_file</w:t>
        <w:br w:clear="none"/>
      </w:r>
      <w:r>
        <w:rPr>
          <w:rStyle w:val="Text7"/>
        </w:rPr>
        <w:t xml:space="preserve">(</w:t>
        <w:br w:clear="none"/>
      </w:r>
      <w:r>
        <w:t xml:space="preserve">f</w:t>
        <w:br w:clear="none"/>
      </w:r>
      <w:r>
        <w:rPr>
          <w:rStyle w:val="Text7"/>
        </w:rPr>
        <w:t xml:space="preserve">)</w:t>
        <w:br w:clear="none"/>
      </w:r>
      <w:r>
        <w:rPr>
          <w:rStyle w:val="Text6"/>
        </w:rPr>
        <w:t xml:space="preserve"/>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t xml:space="preserve">f</w:t>
        <w:br w:clear="none"/>
      </w:r>
      <w:r>
        <w:rPr>
          <w:rStyle w:val="Text13"/>
        </w:rPr>
        <w:t xml:space="preserve">.</w:t>
        <w:br w:clear="none"/>
      </w:r>
      <w:r>
        <w:t xml:space="preserve">close</w:t>
        <w:br w:clear="none"/>
      </w:r>
      <w:r>
        <w:rPr>
          <w:rStyle w:val="Text7"/>
        </w:rPr>
        <w:t xml:space="preserve">(</w:t>
        <w:br w:clear="none"/>
        <w:t xml:space="preserve">)</w:t>
        <w:br w:clear="none"/>
      </w:r>
    </w:p>
    <w:p>
      <w:pPr>
        <w:pStyle w:val="Normal"/>
      </w:pPr>
      <w:r>
        <w:t xml:space="preserve">and here is the corresponding, more concise and readable, example of using </w:t>
      </w:r>
      <w:r>
        <w:rPr>
          <w:rStyle w:val="Text5"/>
        </w:rPr>
        <w:t>with</w:t>
      </w:r>
      <w:r>
        <w:t xml:space="preserve"> for exactly the same purpose:</w:t>
      </w:r>
    </w:p>
    <w:p>
      <w:pPr>
        <w:pStyle w:val="Para 007"/>
      </w:pPr>
      <w:r>
        <w:rPr>
          <w:rStyle w:val="Text23"/>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t xml:space="preserve">some_file</w:t>
        <w:br w:clear="none"/>
      </w:r>
      <w:r>
        <w:rPr>
          <w:rStyle w:val="Text7"/>
        </w:rPr>
        <w:t xml:space="preserve">,</w:t>
        <w:br w:clear="none"/>
      </w:r>
      <w:r>
        <w:rPr>
          <w:rStyle w:val="Text6"/>
        </w:rPr>
        <w:t xml:space="preserve"> </w:t>
        <w:br w:clear="none"/>
      </w:r>
      <w:r>
        <w:rPr>
          <w:rStyle w:val="Text8"/>
        </w:rPr>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t xml:space="preserve">do_something_with_file</w:t>
        <w:br w:clear="none"/>
      </w:r>
      <w:r>
        <w:rPr>
          <w:rStyle w:val="Text7"/>
        </w:rPr>
        <w:t xml:space="preserve">(</w:t>
        <w:br w:clear="none"/>
      </w:r>
      <w:r>
        <w:t xml:space="preserve">f</w:t>
        <w:br w:clear="none"/>
      </w:r>
      <w:r>
        <w:rPr>
          <w:rStyle w:val="Text7"/>
        </w:rPr>
        <w:t xml:space="preserve">)</w:t>
        <w:br w:clear="none"/>
      </w:r>
    </w:p>
    <w:p>
      <w:pPr>
        <w:keepNext/>
        <w:pStyle w:val="Heading 5"/>
        <w:keepLines w:val="on"/>
      </w:pPr>
      <w:r>
        <w:t>Avoid break and return Statements in a finally Clause</w:t>
      </w:r>
    </w:p>
    <w:p>
      <w:pPr>
        <w:pStyle w:val="Para 012"/>
        <w:keepLines w:val="on"/>
      </w:pPr>
      <w:r>
        <w:t xml:space="preserve">A </w:t>
      </w:r>
      <w:r>
        <w:rPr>
          <w:rStyle w:val="Text5"/>
        </w:rPr>
        <w:t>finally</w:t>
      </w:r>
      <w:r>
        <w:t xml:space="preserve"> clause may contain one or more of the statements </w:t>
      </w:r>
      <w:r>
        <w:rPr>
          <w:rStyle w:val="Text5"/>
        </w:rPr>
        <w:t>continue</w:t>
      </w:r>
      <w:r>
        <w:t xml:space="preserve">, </w:t>
      </w:r>
      <w:r>
        <w:rPr>
          <w:rStyle w:val="Text87"/>
        </w:rPr>
        <w:t>3.8+</w:t>
      </w:r>
      <w:r>
        <w:t xml:space="preserve"> </w:t>
      </w:r>
      <w:r>
        <w:rPr>
          <w:rStyle w:val="Text5"/>
        </w:rPr>
        <w:t>break</w:t>
      </w:r>
      <w:r>
        <w:t xml:space="preserve">, or </w:t>
      </w:r>
      <w:r>
        <w:rPr>
          <w:rStyle w:val="Text5"/>
        </w:rPr>
        <w:t>return</w:t>
      </w:r>
      <w:r>
        <w:t xml:space="preserve">. However, such usage may make your program less clear: exception propagation stops when such a statement executes, and most programmers would not expect propagation to be stopped within a </w:t>
      </w:r>
      <w:r>
        <w:rPr>
          <w:rStyle w:val="Text5"/>
        </w:rPr>
        <w:t>finally</w:t>
      </w:r>
      <w:r>
        <w:t xml:space="preserve"> clause. This usage may confuse people who are reading your code, so we recommend you avoid it.</w:t>
      </w:r>
    </w:p>
    <w:p>
      <w:bookmarkStart w:id="1772" w:name="try_except_finally__A_try_except"/>
      <w:pPr>
        <w:keepNext/>
        <w:pStyle w:val="Heading 2"/>
      </w:pPr>
      <w:r>
        <w:t>try/except/finally</w:t>
      </w:r>
      <w:bookmarkEnd w:id="1772"/>
    </w:p>
    <w:p>
      <w:pPr>
        <w:pStyle w:val="Normal"/>
      </w:pPr>
      <w:r>
        <w:t xml:space="preserve">A </w:t>
      </w:r>
      <w:r>
        <w:rPr>
          <w:rStyle w:val="Text5"/>
        </w:rPr>
        <w:t>try</w:t>
      </w:r>
      <w:r>
        <w:rPr>
          <w:rStyle w:val="Text0"/>
        </w:rPr>
        <w:t>/</w:t>
      </w:r>
      <w:r>
        <w:rPr>
          <w:rStyle w:val="Text5"/>
        </w:rPr>
        <w:t>except</w:t>
      </w:r>
      <w:r>
        <w:rPr>
          <w:rStyle w:val="Text0"/>
        </w:rPr>
        <w:t>/</w:t>
      </w:r>
      <w:r>
        <w:rPr>
          <w:rStyle w:val="Text5"/>
        </w:rPr>
        <w:t>finally</w:t>
      </w:r>
      <w:r>
        <w:t xml:space="preserve"> statement, such as:</w:t>
      </w:r>
    </w:p>
    <w:p>
      <w:pPr>
        <w:pStyle w:val="Para 032"/>
      </w:pPr>
      <w:r>
        <w:rPr>
          <w:rStyle w:val="Text116"/>
        </w:rPr>
        <w:t xml:space="preserve"/>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guarded</w:t>
        <w:br w:clear="none"/>
      </w:r>
      <w:r>
        <w:rPr>
          <w:rStyle w:val="Text6"/>
        </w:rPr>
        <w:t xml:space="preserve"> </w:t>
        <w:br w:clear="none"/>
      </w:r>
      <w:r>
        <w:t xml:space="preserve">clause</w:t>
        <w:br w:clear="none"/>
      </w:r>
      <w:r>
        <w:rPr>
          <w:rStyle w:val="Text28"/>
        </w:rPr>
        <w:t xml:space="preserve">.</w:t>
        <w:br w:clear="none"/>
        <w:t xml:space="preserve">.</w:t>
        <w:br w:clear="none"/>
        <w:t xml:space="preserve">.</w:t>
        <w:br w:clear="none"/>
      </w:r>
      <w:r>
        <w:rPr>
          <w:rStyle w:val="Text11"/>
        </w:rPr>
        <w:t xml:space="preserve"/>
        <w:br w:clear="none"/>
      </w:r>
      <w:r>
        <w:rPr>
          <w:rStyle w:val="Text22"/>
        </w:rPr>
        <w:t xml:space="preserve">except</w:t>
        <w:br w:clear="none"/>
      </w:r>
      <w:r>
        <w:rPr>
          <w:rStyle w:val="Text11"/>
        </w:rPr>
        <w:t xml:space="preserve"> </w:t>
        <w:br w:clear="none"/>
      </w:r>
      <w:r>
        <w:rPr>
          <w:rStyle w:val="Text28"/>
        </w:rPr>
        <w:t xml:space="preserve">.</w:t>
        <w:br w:clear="none"/>
        <w:t xml:space="preserve">.</w:t>
        <w:br w:clear="none"/>
        <w:t xml:space="preserve">.</w:t>
        <w:br w:clear="none"/>
      </w:r>
      <w:r>
        <w:t xml:space="preserve">expression</w:t>
        <w:br w:clear="none"/>
      </w:r>
      <w:r>
        <w:rPr>
          <w:rStyle w:val="Text28"/>
        </w:rPr>
        <w:t xml:space="preserve">.</w:t>
        <w:br w:clear="none"/>
        <w:t xml:space="preserve">.</w:t>
        <w:br w:clear="none"/>
        <w:t xml:space="preserve">.</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exception</w:t>
        <w:br w:clear="none"/>
      </w:r>
      <w:r>
        <w:rPr>
          <w:rStyle w:val="Text6"/>
        </w:rPr>
        <w:t xml:space="preserve"> </w:t>
        <w:br w:clear="none"/>
      </w:r>
      <w:r>
        <w:t xml:space="preserve">handler</w:t>
        <w:br w:clear="none"/>
      </w:r>
      <w:r>
        <w:rPr>
          <w:rStyle w:val="Text6"/>
        </w:rPr>
        <w:t xml:space="preserve"> </w:t>
        <w:br w:clear="none"/>
      </w:r>
      <w:r>
        <w:t xml:space="preserve">code</w:t>
        <w:br w:clear="none"/>
      </w:r>
      <w:r>
        <w:rPr>
          <w:rStyle w:val="Text28"/>
        </w:rPr>
        <w:t xml:space="preserve">.</w:t>
        <w:br w:clear="none"/>
        <w:t xml:space="preserve">.</w:t>
        <w:br w:clear="none"/>
        <w:t xml:space="preserve">.</w:t>
        <w:br w:clear="none"/>
      </w:r>
      <w:r>
        <w:rPr>
          <w:rStyle w:val="Text11"/>
        </w:rPr>
        <w:t xml:space="preserve"/>
        <w:br w:clear="none"/>
      </w:r>
      <w:r>
        <w:rPr>
          <w:rStyle w:val="Text22"/>
        </w:rPr>
        <w:t xml:space="preserve">finally</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cleanup</w:t>
        <w:br w:clear="none"/>
      </w:r>
      <w:r>
        <w:rPr>
          <w:rStyle w:val="Text6"/>
        </w:rPr>
        <w:t xml:space="preserve"> </w:t>
        <w:br w:clear="none"/>
      </w:r>
      <w:r>
        <w:t xml:space="preserve">code</w:t>
        <w:br w:clear="none"/>
      </w:r>
      <w:r>
        <w:rPr>
          <w:rStyle w:val="Text28"/>
        </w:rPr>
        <w:t xml:space="preserve">.</w:t>
        <w:br w:clear="none"/>
        <w:t xml:space="preserve">.</w:t>
        <w:br w:clear="none"/>
        <w:t xml:space="preserve">.</w:t>
        <w:br w:clear="none"/>
      </w:r>
    </w:p>
    <w:p>
      <w:pPr>
        <w:pStyle w:val="Normal"/>
      </w:pPr>
      <w:r>
        <w:t>is equivalent to the nested statement:</w:t>
      </w:r>
    </w:p>
    <w:p>
      <w:pPr>
        <w:pStyle w:val="Para 032"/>
      </w:pPr>
      <w:r>
        <w:rPr>
          <w:rStyle w:val="Text116"/>
        </w:rPr>
        <w:t xml:space="preserve"/>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guarded</w:t>
        <w:br w:clear="none"/>
      </w:r>
      <w:r>
        <w:rPr>
          <w:rStyle w:val="Text6"/>
        </w:rPr>
        <w:t xml:space="preserve"> </w:t>
        <w:br w:clear="none"/>
      </w:r>
      <w:r>
        <w:t xml:space="preserve">clause</w:t>
        <w:br w:clear="none"/>
      </w:r>
      <w:r>
        <w:rPr>
          <w:rStyle w:val="Text28"/>
        </w:rPr>
        <w:t xml:space="preserve">.</w:t>
        <w:br w:clear="none"/>
        <w:t xml:space="preserve">.</w:t>
        <w:br w:clear="none"/>
        <w:t xml:space="preserve">.</w:t>
        <w:br w:clear="none"/>
      </w:r>
      <w:r>
        <w:rPr>
          <w:rStyle w:val="Text11"/>
        </w:rPr>
        <w:t xml:space="preserve"/>
        <w:br w:clear="none"/>
        <w:t xml:space="preserve">    </w:t>
        <w:br w:clear="none"/>
      </w:r>
      <w:r>
        <w:rPr>
          <w:rStyle w:val="Text22"/>
        </w:rPr>
        <w:t xml:space="preserve">except</w:t>
        <w:br w:clear="none"/>
      </w:r>
      <w:r>
        <w:rPr>
          <w:rStyle w:val="Text11"/>
        </w:rPr>
        <w:t xml:space="preserve"> </w:t>
        <w:br w:clear="none"/>
      </w:r>
      <w:r>
        <w:rPr>
          <w:rStyle w:val="Text28"/>
        </w:rPr>
        <w:t xml:space="preserve">.</w:t>
        <w:br w:clear="none"/>
        <w:t xml:space="preserve">.</w:t>
        <w:br w:clear="none"/>
        <w:t xml:space="preserve">.</w:t>
        <w:br w:clear="none"/>
      </w:r>
      <w:r>
        <w:t xml:space="preserve">expression</w:t>
        <w:br w:clear="none"/>
      </w:r>
      <w:r>
        <w:rPr>
          <w:rStyle w:val="Text28"/>
        </w:rPr>
        <w:t xml:space="preserve">.</w:t>
        <w:br w:clear="none"/>
        <w:t xml:space="preserve">.</w:t>
        <w:br w:clear="none"/>
        <w:t xml:space="preserve">.</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exception</w:t>
        <w:br w:clear="none"/>
      </w:r>
      <w:r>
        <w:rPr>
          <w:rStyle w:val="Text6"/>
        </w:rPr>
        <w:t xml:space="preserve"> </w:t>
        <w:br w:clear="none"/>
      </w:r>
      <w:r>
        <w:t xml:space="preserve">handler</w:t>
        <w:br w:clear="none"/>
      </w:r>
      <w:r>
        <w:rPr>
          <w:rStyle w:val="Text6"/>
        </w:rPr>
        <w:t xml:space="preserve"> </w:t>
        <w:br w:clear="none"/>
      </w:r>
      <w:r>
        <w:t xml:space="preserve">code</w:t>
        <w:br w:clear="none"/>
      </w:r>
      <w:r>
        <w:rPr>
          <w:rStyle w:val="Text28"/>
        </w:rPr>
        <w:t xml:space="preserve">.</w:t>
        <w:br w:clear="none"/>
        <w:t xml:space="preserve">.</w:t>
        <w:br w:clear="none"/>
        <w:t xml:space="preserve">.</w:t>
        <w:br w:clear="none"/>
      </w:r>
      <w:r>
        <w:rPr>
          <w:rStyle w:val="Text11"/>
        </w:rPr>
        <w:t xml:space="preserve"/>
        <w:br w:clear="none"/>
      </w:r>
      <w:r>
        <w:rPr>
          <w:rStyle w:val="Text22"/>
        </w:rPr>
        <w:t xml:space="preserve">finally</w:t>
        <w:br w:clear="none"/>
      </w:r>
      <w:r>
        <w:rPr>
          <w:rStyle w:val="Text19"/>
        </w:rPr>
        <w:t xml:space="preserve">:</w:t>
        <w:br w:clear="none"/>
      </w:r>
      <w:r>
        <w:rPr>
          <w:rStyle w:val="Text11"/>
        </w:rPr>
        <w:t xml:space="preserve"/>
        <w:br w:clear="none"/>
        <w:t xml:space="preserve">    </w:t>
        <w:br w:clear="none"/>
      </w:r>
      <w:r>
        <w:rPr>
          <w:rStyle w:val="Text28"/>
        </w:rPr>
        <w:t xml:space="preserve">.</w:t>
        <w:br w:clear="none"/>
        <w:t xml:space="preserve">.</w:t>
        <w:br w:clear="none"/>
        <w:t xml:space="preserve">.</w:t>
        <w:br w:clear="none"/>
      </w:r>
      <w:r>
        <w:t xml:space="preserve">cleanup</w:t>
        <w:br w:clear="none"/>
      </w:r>
      <w:r>
        <w:rPr>
          <w:rStyle w:val="Text6"/>
        </w:rPr>
        <w:t xml:space="preserve"> </w:t>
        <w:br w:clear="none"/>
      </w:r>
      <w:r>
        <w:t xml:space="preserve">code</w:t>
        <w:br w:clear="none"/>
      </w:r>
      <w:r>
        <w:rPr>
          <w:rStyle w:val="Text28"/>
        </w:rPr>
        <w:t xml:space="preserve">.</w:t>
        <w:br w:clear="none"/>
        <w:t xml:space="preserve">.</w:t>
        <w:br w:clear="none"/>
        <w:t xml:space="preserve">.</w:t>
        <w:br w:clear="none"/>
      </w:r>
    </w:p>
    <w:p>
      <w:pPr>
        <w:pStyle w:val="Normal"/>
      </w:pPr>
      <w:r>
        <w:t xml:space="preserve">A </w:t>
      </w:r>
      <w:r>
        <w:rPr>
          <w:rStyle w:val="Text5"/>
        </w:rPr>
        <w:t>try</w:t>
      </w:r>
      <w:r>
        <w:t xml:space="preserve"> statement can have multiple </w:t>
      </w:r>
      <w:r>
        <w:rPr>
          <w:rStyle w:val="Text5"/>
        </w:rPr>
        <w:t>except</w:t>
      </w:r>
      <w:r>
        <w:t xml:space="preserve"> clauses, and optionally an </w:t>
      </w:r>
      <w:r>
        <w:rPr>
          <w:rStyle w:val="Text5"/>
        </w:rPr>
        <w:t>else</w:t>
      </w:r>
      <w:r>
        <w:t xml:space="preserve"> clause, before a terminating </w:t>
      </w:r>
      <w:r>
        <w:rPr>
          <w:rStyle w:val="Text5"/>
        </w:rPr>
        <w:t>finally</w:t>
      </w:r>
      <w:r>
        <w:t xml:space="preserve"> clause. In all variations, the effect is always as just shown—that is, it’s just like nesting a </w:t>
      </w:r>
      <w:r>
        <w:rPr>
          <w:rStyle w:val="Text5"/>
        </w:rPr>
        <w:t>try</w:t>
      </w:r>
      <w:r>
        <w:rPr>
          <w:rStyle w:val="Text0"/>
        </w:rPr>
        <w:t>/</w:t>
      </w:r>
      <w:r>
        <w:rPr>
          <w:rStyle w:val="Text5"/>
        </w:rPr>
        <w:t>except</w:t>
      </w:r>
      <w:r>
        <w:t xml:space="preserve"> statement, with all the </w:t>
      </w:r>
      <w:r>
        <w:rPr>
          <w:rStyle w:val="Text5"/>
        </w:rPr>
        <w:t>except</w:t>
      </w:r>
      <w:r>
        <w:t xml:space="preserve"> clauses and the </w:t>
      </w:r>
      <w:r>
        <w:rPr>
          <w:rStyle w:val="Text5"/>
        </w:rPr>
        <w:t>else</w:t>
      </w:r>
      <w:r>
        <w:t xml:space="preserve"> clause, if any, into a containing </w:t>
      </w:r>
      <w:r>
        <w:rPr>
          <w:rStyle w:val="Text5"/>
        </w:rPr>
        <w:t>try</w:t>
      </w:r>
      <w:r>
        <w:rPr>
          <w:rStyle w:val="Text0"/>
        </w:rPr>
        <w:t>/</w:t>
      </w:r>
      <w:r>
        <w:rPr>
          <w:rStyle w:val="Text5"/>
        </w:rPr>
        <w:t>finally</w:t>
      </w:r>
      <w:r>
        <w:t xml:space="preserve"> statement.</w:t>
      </w:r>
      <w:r>
        <w:rPr>
          <w:rStyle w:val="Text111"/>
        </w:rPr>
        <w:bookmarkStart w:id="1773" w:name="idm45965259989856"/>
        <w:t/>
        <w:bookmarkEnd w:id="1773"/>
        <w:bookmarkStart w:id="1774" w:name="idm45965259958768"/>
        <w:t/>
        <w:bookmarkEnd w:id="1774"/>
        <w:bookmarkStart w:id="1775" w:name="idm45965259957392"/>
        <w:t/>
        <w:bookmarkEnd w:id="1775"/>
      </w:r>
    </w:p>
    <w:p>
      <w:bookmarkStart w:id="1776" w:name="The_raise_Statement__You_can_use"/>
      <w:pPr>
        <w:keepNext/>
        <w:pStyle w:val="Heading 1"/>
      </w:pPr>
      <w:r>
        <w:t>The raise Statement</w:t>
      </w:r>
      <w:bookmarkEnd w:id="1776"/>
    </w:p>
    <w:p>
      <w:pPr>
        <w:pStyle w:val="Normal"/>
      </w:pPr>
      <w:r>
        <w:t>You</w:t>
      </w:r>
      <w:r>
        <w:rPr>
          <w:rStyle w:val="Text111"/>
        </w:rPr>
        <w:bookmarkStart w:id="1777" w:name="idm45965259954288"/>
        <w:t/>
        <w:bookmarkEnd w:id="1777"/>
        <w:bookmarkStart w:id="1778" w:name="idm45965259952880"/>
        <w:t/>
        <w:bookmarkEnd w:id="1778"/>
      </w:r>
      <w:r>
        <w:t xml:space="preserve"> can use the </w:t>
      </w:r>
      <w:r>
        <w:rPr>
          <w:rStyle w:val="Text5"/>
        </w:rPr>
        <w:t>raise</w:t>
      </w:r>
      <w:r>
        <w:t xml:space="preserve"> statement to raise an exception explicitly. </w:t>
      </w:r>
      <w:r>
        <w:rPr>
          <w:rStyle w:val="Text5"/>
        </w:rPr>
        <w:t>raise</w:t>
      </w:r>
      <w:r>
        <w:t xml:space="preserve"> is a simple statement with the following syntax:</w:t>
      </w:r>
    </w:p>
    <w:p>
      <w:pPr>
        <w:pStyle w:val="Para 032"/>
      </w:pPr>
      <w:r>
        <w:rPr>
          <w:rStyle w:val="Text116"/>
        </w:rPr>
        <w:t xml:space="preserve"/>
        <w:br w:clear="none"/>
      </w:r>
      <w:r>
        <w:rPr>
          <w:rStyle w:val="Text22"/>
        </w:rPr>
        <w:t xml:space="preserve">raise</w:t>
        <w:br w:clear="none"/>
      </w:r>
      <w:r>
        <w:rPr>
          <w:rStyle w:val="Text11"/>
        </w:rPr>
        <w:t xml:space="preserve"> </w:t>
        <w:br w:clear="none"/>
      </w:r>
      <w:r>
        <w:rPr>
          <w:rStyle w:val="Text19"/>
        </w:rPr>
        <w:t xml:space="preserve">[</w:t>
        <w:br w:clear="none"/>
      </w:r>
      <w:r>
        <w:t xml:space="preserve">expression</w:t>
        <w:br w:clear="none"/>
      </w:r>
      <w:r>
        <w:rPr>
          <w:rStyle w:val="Text11"/>
        </w:rPr>
        <w:t xml:space="preserve"> </w:t>
        <w:br w:clear="none"/>
      </w:r>
      <w:r>
        <w:rPr>
          <w:rStyle w:val="Text19"/>
        </w:rPr>
        <w:t xml:space="preserve">[</w:t>
        <w:br w:clear="none"/>
      </w:r>
      <w:r>
        <w:rPr>
          <w:rStyle w:val="Text22"/>
        </w:rPr>
        <w:t xml:space="preserve">from</w:t>
        <w:br w:clear="none"/>
      </w:r>
      <w:r>
        <w:rPr>
          <w:rStyle w:val="Text11"/>
        </w:rPr>
        <w:t xml:space="preserve"> </w:t>
        <w:br w:clear="none"/>
      </w:r>
      <w:r>
        <w:rPr>
          <w:rStyle w:val="Text20"/>
        </w:rPr>
        <w:t xml:space="preserve">exception</w:t>
        <w:br w:clear="none"/>
      </w:r>
      <w:r>
        <w:rPr>
          <w:rStyle w:val="Text19"/>
        </w:rPr>
        <w:t xml:space="preserve">]</w:t>
        <w:br w:clear="none"/>
        <w:t xml:space="preserve">]</w:t>
        <w:br w:clear="none"/>
      </w:r>
    </w:p>
    <w:p>
      <w:pPr>
        <w:pStyle w:val="Normal"/>
      </w:pPr>
      <w:r>
        <w:t xml:space="preserve">Only an exception handler (or a function that a handler calls, directly or indirectly) can use </w:t>
      </w:r>
      <w:r>
        <w:rPr>
          <w:rStyle w:val="Text5"/>
        </w:rPr>
        <w:t>raise</w:t>
      </w:r>
      <w:r>
        <w:t xml:space="preserve"> without any expression. A plain </w:t>
      </w:r>
      <w:r>
        <w:rPr>
          <w:rStyle w:val="Text5"/>
        </w:rPr>
        <w:t>raise</w:t>
      </w:r>
      <w:r>
        <w:t xml:space="preserve"> statement re-raises the same exception object that the handler received. The handler terminates, and the exception propagation mechanism keeps going up the call stack, searching for other applicable handlers. Using </w:t>
      </w:r>
      <w:r>
        <w:rPr>
          <w:rStyle w:val="Text5"/>
        </w:rPr>
        <w:t>raise</w:t>
      </w:r>
      <w:r>
        <w:t xml:space="preserve"> without any expression is useful when a handler discovers that it is unable to handle an exception it receives, or can handle the exception only partially, so the exception should keep propagating to allow handlers up the call stack to perform their own handling and cleanup.</w:t>
      </w:r>
    </w:p>
    <w:p>
      <w:pPr>
        <w:pStyle w:val="Normal"/>
      </w:pPr>
      <w:r>
        <w:t xml:space="preserve">When </w:t>
      </w:r>
      <w:r>
        <w:rPr>
          <w:rStyle w:val="Text3"/>
        </w:rPr>
        <w:t>expression</w:t>
      </w:r>
      <w:r>
        <w:t xml:space="preserve"> is present, it must be an instance of a class inheriting from the built-in class </w:t>
      </w:r>
      <w:r>
        <w:rPr>
          <w:rStyle w:val="Text0"/>
        </w:rPr>
        <w:t>BaseException</w:t>
      </w:r>
      <w:r>
        <w:t>, and Python raises that instance.</w:t>
      </w:r>
    </w:p>
    <w:p>
      <w:pPr>
        <w:pStyle w:val="Normal"/>
      </w:pPr>
      <w:r>
        <w:t xml:space="preserve">When </w:t>
      </w:r>
      <w:r>
        <w:rPr>
          <w:rStyle w:val="Text5"/>
        </w:rPr>
        <w:t>from</w:t>
      </w:r>
      <w:r>
        <w:t xml:space="preserve"> </w:t>
      </w:r>
      <w:r>
        <w:rPr>
          <w:rStyle w:val="Text3"/>
        </w:rPr>
        <w:t>exception</w:t>
      </w:r>
      <w:r>
        <w:t xml:space="preserve"> is included (which can only occur in an </w:t>
      </w:r>
      <w:r>
        <w:rPr>
          <w:rStyle w:val="Text5"/>
        </w:rPr>
        <w:t>except</w:t>
      </w:r>
      <w:r>
        <w:t xml:space="preserve"> block that receives </w:t>
      </w:r>
      <w:r>
        <w:rPr>
          <w:rStyle w:val="Text3"/>
        </w:rPr>
        <w:t>exception</w:t>
      </w:r>
      <w:r>
        <w:t xml:space="preserve">), Python raises the received expression “nested” in the newly raised exception expression. </w:t>
      </w:r>
      <w:hyperlink w:anchor="Exceptions__wrapping__other_exce">
        <w:r>
          <w:rPr>
            <w:rStyle w:val="Text1"/>
          </w:rPr>
          <w:t>“Exceptions “wrapping” other exceptions or tracebacks”</w:t>
        </w:r>
      </w:hyperlink>
      <w:r>
        <w:t xml:space="preserve"> describes this in more detail.</w:t>
      </w:r>
    </w:p>
    <w:p>
      <w:pPr>
        <w:pStyle w:val="Normal"/>
      </w:pPr>
      <w:r>
        <w:t xml:space="preserve">Here’s an example of a typical use of the </w:t>
      </w:r>
      <w:r>
        <w:rPr>
          <w:rStyle w:val="Text5"/>
        </w:rPr>
        <w:t>raise</w:t>
      </w:r>
      <w:r>
        <w:t xml:space="preserve"> statement:</w:t>
      </w:r>
    </w:p>
    <w:p>
      <w:pPr>
        <w:pStyle w:val="Para 020"/>
      </w:pPr>
      <w:r>
        <w:rPr>
          <w:rStyle w:val="Text23"/>
        </w:rPr>
        <w:t xml:space="preserve"/>
        <w:br w:clear="none"/>
      </w:r>
      <w:r>
        <w:rPr>
          <w:rStyle w:val="Text10"/>
        </w:rPr>
        <w:t xml:space="preserve">def</w:t>
        <w:br w:clear="none"/>
      </w:r>
      <w:r>
        <w:rPr>
          <w:rStyle w:val="Text6"/>
        </w:rPr>
        <w:t xml:space="preserve"> </w:t>
        <w:br w:clear="none"/>
      </w:r>
      <w:r>
        <w:rPr>
          <w:rStyle w:val="Text18"/>
        </w:rPr>
        <w:t xml:space="preserve">cross_product</w:t>
        <w:br w:clear="none"/>
      </w:r>
      <w:r>
        <w:rPr>
          <w:rStyle w:val="Text7"/>
        </w:rPr>
        <w:t xml:space="preserve">(</w:t>
        <w:br w:clear="none"/>
      </w:r>
      <w:r>
        <w:rPr>
          <w:rStyle w:val="Text9"/>
        </w:rPr>
        <w:t xml:space="preserve">seq1</w:t>
        <w:br w:clear="none"/>
      </w:r>
      <w:r>
        <w:rPr>
          <w:rStyle w:val="Text7"/>
        </w:rPr>
        <w:t xml:space="preserve">,</w:t>
        <w:br w:clear="none"/>
      </w:r>
      <w:r>
        <w:rPr>
          <w:rStyle w:val="Text6"/>
        </w:rPr>
        <w:t xml:space="preserve"> </w:t>
        <w:br w:clear="none"/>
      </w:r>
      <w:r>
        <w:rPr>
          <w:rStyle w:val="Text9"/>
        </w:rPr>
        <w:t xml:space="preserve">seq2</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rPr>
          <w:rStyle w:val="Text9"/>
        </w:rPr>
        <w:t xml:space="preserve">seq1</w:t>
        <w:br w:clear="none"/>
      </w:r>
      <w:r>
        <w:rPr>
          <w:rStyle w:val="Text6"/>
        </w:rPr>
        <w:t xml:space="preserve"> </w:t>
        <w:br w:clear="none"/>
      </w:r>
      <w:r>
        <w:rPr>
          <w:rStyle w:val="Text31"/>
        </w:rPr>
        <w:t xml:space="preserve">or</w:t>
        <w:br w:clear="none"/>
      </w:r>
      <w:r>
        <w:rPr>
          <w:rStyle w:val="Text29"/>
        </w:rPr>
        <w:t xml:space="preserve"> </w:t>
        <w:br w:clear="none"/>
      </w:r>
      <w:r>
        <w:rPr>
          <w:rStyle w:val="Text31"/>
        </w:rPr>
        <w:t xml:space="preserve">not</w:t>
        <w:br w:clear="none"/>
      </w:r>
      <w:r>
        <w:rPr>
          <w:rStyle w:val="Text6"/>
        </w:rPr>
        <w:t xml:space="preserve"> </w:t>
        <w:br w:clear="none"/>
      </w:r>
      <w:r>
        <w:rPr>
          <w:rStyle w:val="Text9"/>
        </w:rPr>
        <w:t xml:space="preserve">seq2</w:t>
        <w:br w:clear="none"/>
      </w:r>
      <w:r>
        <w:rPr>
          <w:rStyle w:val="Text7"/>
        </w:rPr>
        <w:t xml:space="preserve">:</w:t>
        <w:br w:clear="none"/>
      </w:r>
      <w:r>
        <w:rPr>
          <w:rStyle w:val="Text6"/>
        </w:rPr>
        <w:t xml:space="preserve"/>
        <w:br w:clear="none"/>
        <w:t xml:space="preserve">        </w:t>
        <w:br w:clear="none"/>
      </w:r>
      <w:r>
        <w:rPr>
          <w:rStyle w:val="Text10"/>
        </w:rPr>
        <w:t xml:space="preserve">raise</w:t>
        <w:br w:clear="none"/>
      </w:r>
      <w:r>
        <w:rPr>
          <w:rStyle w:val="Text6"/>
        </w:rPr>
        <w:t xml:space="preserve"> </w:t>
        <w:br w:clear="none"/>
      </w:r>
      <w:r>
        <w:rPr>
          <w:rStyle w:val="Text36"/>
        </w:rPr>
        <w:t xml:space="preserve">ValueError</w:t>
        <w:br w:clear="none"/>
      </w:r>
      <w:r>
        <w:rPr>
          <w:rStyle w:val="Text7"/>
        </w:rPr>
        <w:t xml:space="preserve">(</w:t>
        <w:br w:clear="none"/>
      </w:r>
      <w:r>
        <w:t xml:space="preserve">'</w:t>
        <w:br w:clear="none"/>
        <w:t xml:space="preserve">Sequence arguments must be non-empty</w:t>
        <w:br w:clear="none"/>
        <w:t xml:space="preserve">'</w:t>
        <w:br w:clear="none"/>
      </w:r>
      <w:r>
        <w:rPr>
          <w:rStyle w:val="Text7"/>
        </w:rPr>
        <w:t xml:space="preserve">)</w:t>
        <w:br w:clear="none"/>
      </w:r>
      <w:r>
        <w:rPr>
          <w:rStyle w:val="Text6"/>
        </w:rPr>
        <w:t xml:space="preserve"> </w:t>
        <w:br w:clear="none"/>
      </w:r>
      <w:r>
        <w:rPr>
          <w:rStyle w:val="Text119"/>
        </w:rPr>
        <w:drawing>
          <wp:inline>
            <wp:extent cx="63500" cy="63500"/>
            <wp:effectExtent l="0" r="0" t="0" b="0"/>
            <wp:docPr id="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7"/>
        </w:rPr>
        <w:t xml:space="preserve">[</w:t>
        <w:br w:clear="none"/>
        <w:t xml:space="preserve">(</w:t>
        <w:br w:clear="none"/>
      </w:r>
      <w:r>
        <w:rPr>
          <w:rStyle w:val="Text9"/>
        </w:rPr>
        <w:t xml:space="preserve">x1</w:t>
        <w:br w:clear="none"/>
      </w:r>
      <w:r>
        <w:rPr>
          <w:rStyle w:val="Text7"/>
        </w:rPr>
        <w:t xml:space="preserve">,</w:t>
        <w:br w:clear="none"/>
      </w:r>
      <w:r>
        <w:rPr>
          <w:rStyle w:val="Text6"/>
        </w:rPr>
        <w:t xml:space="preserve"> </w:t>
        <w:br w:clear="none"/>
      </w:r>
      <w:r>
        <w:rPr>
          <w:rStyle w:val="Text9"/>
        </w:rPr>
        <w:t xml:space="preserve">x2</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x1</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seq1</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x2</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seq2</w:t>
        <w:br w:clear="none"/>
      </w:r>
      <w:r>
        <w:rPr>
          <w:rStyle w:val="Text7"/>
        </w:rPr>
        <w:t xml:space="preserve">]</w:t>
        <w:br w:clear="none"/>
      </w:r>
    </w:p>
    <w:p>
      <w:pPr>
        <w:pStyle w:val="Para 031"/>
      </w:pPr>
      <w:hyperlink w:anchor="comarker1">
        <w:r>
          <w:bookmarkStart w:id="1779" w:name="c01"/>
          <w:t/>
          <w:bookmarkEnd w:id="1779"/>
          <w:drawing>
            <wp:inline>
              <wp:extent cx="63500" cy="63500"/>
              <wp:effectExtent l="0" r="0" t="0" b="0"/>
              <wp:docPr id="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102"/>
      </w:pPr>
      <w:r>
        <w:t>Some people consider raising a standard exception here to be inappropriate, and would prefer to raise an instance of a custom exception, as covered later in this chapter; this book’s authors disagree with this opinion.</w:t>
      </w:r>
    </w:p>
    <w:p>
      <w:pPr>
        <w:pStyle w:val="Normal"/>
      </w:pPr>
      <w:r>
        <w:t xml:space="preserve">This </w:t>
      </w:r>
      <w:r>
        <w:rPr>
          <w:rStyle w:val="Text0"/>
        </w:rPr>
        <w:t>cross_product</w:t>
      </w:r>
      <w:r>
        <w:t xml:space="preserve"> example function returns a list of all pairs with one item from each of its sequence arguments, but first, it tests both arguments. If either argument is empty, the function raises </w:t>
      </w:r>
      <w:r>
        <w:rPr>
          <w:rStyle w:val="Text0"/>
        </w:rPr>
        <w:t>ValueError</w:t>
      </w:r>
      <w:r>
        <w:t xml:space="preserve"> rather than just returning an empty list as the list comprehension would normally do.</w:t>
      </w:r>
    </w:p>
    <w:p>
      <w:pPr>
        <w:keepNext/>
        <w:pStyle w:val="Heading 5"/>
        <w:keepLines w:val="on"/>
      </w:pPr>
      <w:r>
        <w:t>Check Only What You Need To</w:t>
      </w:r>
    </w:p>
    <w:p>
      <w:pPr>
        <w:pStyle w:val="Para 012"/>
        <w:keepLines w:val="on"/>
      </w:pPr>
      <w:r>
        <w:t xml:space="preserve">There is no need for </w:t>
      </w:r>
      <w:r>
        <w:rPr>
          <w:rStyle w:val="Text0"/>
        </w:rPr>
        <w:t>cross_product</w:t>
      </w:r>
      <w:r>
        <w:t xml:space="preserve"> to check whether </w:t>
      </w:r>
      <w:r>
        <w:rPr>
          <w:rStyle w:val="Text0"/>
        </w:rPr>
        <w:t>seq1</w:t>
      </w:r>
      <w:r>
        <w:t xml:space="preserve"> and </w:t>
      </w:r>
      <w:r>
        <w:rPr>
          <w:rStyle w:val="Text0"/>
        </w:rPr>
        <w:t>seq2</w:t>
      </w:r>
      <w:r>
        <w:t xml:space="preserve"> are iterable: if either isn’t, the list comprehension itself raises the appropriate exception, presumably a </w:t>
      </w:r>
      <w:r>
        <w:rPr>
          <w:rStyle w:val="Text0"/>
        </w:rPr>
        <w:t>TypeError</w:t>
      </w:r>
      <w:r>
        <w:t>.</w:t>
      </w:r>
    </w:p>
    <w:p>
      <w:pPr>
        <w:pStyle w:val="Normal"/>
      </w:pPr>
      <w:r>
        <w:t xml:space="preserve">Once an exception is raised, by Python itself or with an explicit </w:t>
      </w:r>
      <w:r>
        <w:rPr>
          <w:rStyle w:val="Text5"/>
        </w:rPr>
        <w:t>raise</w:t>
      </w:r>
      <w:r>
        <w:t xml:space="preserve"> statement in your code, it is up to the caller to either handle it (with a suitable </w:t>
      </w:r>
      <w:r>
        <w:rPr>
          <w:rStyle w:val="Text5"/>
        </w:rPr>
        <w:t>try</w:t>
      </w:r>
      <w:r>
        <w:rPr>
          <w:rStyle w:val="Text0"/>
        </w:rPr>
        <w:t>/</w:t>
      </w:r>
      <w:r>
        <w:rPr>
          <w:rStyle w:val="Text5"/>
        </w:rPr>
        <w:t>except</w:t>
      </w:r>
      <w:r>
        <w:t xml:space="preserve"> statement) or let it propagate further up the call stack.</w:t>
      </w:r>
    </w:p>
    <w:p>
      <w:pPr>
        <w:keepNext/>
        <w:pStyle w:val="Heading 5"/>
        <w:keepLines w:val="on"/>
      </w:pPr>
      <w:r>
        <w:t>Don’t Use raise for Redundant Error Checks</w:t>
      </w:r>
    </w:p>
    <w:p>
      <w:pPr>
        <w:pStyle w:val="Para 012"/>
        <w:keepLines w:val="on"/>
      </w:pPr>
      <w:r>
        <w:t xml:space="preserve">Use the </w:t>
      </w:r>
      <w:r>
        <w:rPr>
          <w:rStyle w:val="Text0"/>
        </w:rPr>
        <w:t>raise</w:t>
      </w:r>
      <w:r>
        <w:t xml:space="preserve"> statement only to raise additional exceptions for cases that would normally be OK but that your specification defines to be errors. Do not use </w:t>
      </w:r>
      <w:r>
        <w:rPr>
          <w:rStyle w:val="Text0"/>
        </w:rPr>
        <w:t>raise</w:t>
      </w:r>
      <w:r>
        <w:t xml:space="preserve"> to duplicate the same error checking that Python already (implicitly) does on your behalf.</w:t>
      </w:r>
    </w:p>
    <w:p>
      <w:bookmarkStart w:id="1780" w:name="The_with_Statement_and_Context_M"/>
      <w:pPr>
        <w:keepNext/>
        <w:pStyle w:val="Heading 1"/>
      </w:pPr>
      <w:r>
        <w:t>The with Statement and Context Managers</w:t>
      </w:r>
      <w:bookmarkEnd w:id="1780"/>
    </w:p>
    <w:p>
      <w:pPr>
        <w:pStyle w:val="Normal"/>
      </w:pPr>
      <w:r>
        <w:t>The</w:t>
      </w:r>
      <w:r>
        <w:rPr>
          <w:rStyle w:val="Text111"/>
        </w:rPr>
        <w:bookmarkStart w:id="1781" w:name="idm45965259810592"/>
        <w:t/>
        <w:bookmarkEnd w:id="1781"/>
        <w:bookmarkStart w:id="1782" w:name="Ewith06"/>
        <w:t/>
        <w:bookmarkEnd w:id="1782"/>
        <w:bookmarkStart w:id="1783" w:name="with06"/>
        <w:t/>
        <w:bookmarkEnd w:id="1783"/>
        <w:bookmarkStart w:id="1784" w:name="conman06"/>
        <w:t/>
        <w:bookmarkEnd w:id="1784"/>
      </w:r>
      <w:r>
        <w:t xml:space="preserve"> </w:t>
      </w:r>
      <w:r>
        <w:rPr>
          <w:rStyle w:val="Text5"/>
        </w:rPr>
        <w:t>with</w:t>
      </w:r>
      <w:r>
        <w:t xml:space="preserve"> statement is a compound statement with the following syntax:</w:t>
      </w:r>
    </w:p>
    <w:p>
      <w:pPr>
        <w:pStyle w:val="Para 042"/>
      </w:pPr>
      <w:r>
        <w:rPr>
          <w:rStyle w:val="Text55"/>
        </w:rPr>
        <w:t xml:space="preserve"/>
        <w:br w:clear="none"/>
      </w:r>
      <w:r>
        <w:rPr>
          <w:rStyle w:val="Text40"/>
        </w:rPr>
        <w:t xml:space="preserve">with</w:t>
        <w:br w:clear="none"/>
      </w:r>
      <w:r>
        <w:rPr>
          <w:rStyle w:val="Text55"/>
        </w:rPr>
        <w:t xml:space="preserve"> </w:t>
        <w:br w:clear="none"/>
      </w:r>
      <w:r>
        <w:t xml:space="preserve">expression</w:t>
        <w:br w:clear="none"/>
      </w:r>
      <w:r>
        <w:rPr>
          <w:rStyle w:val="Text55"/>
        </w:rPr>
        <w:t xml:space="preserve"> [</w:t>
        <w:br w:clear="none"/>
      </w:r>
      <w:r>
        <w:rPr>
          <w:rStyle w:val="Text40"/>
        </w:rPr>
        <w:t xml:space="preserve">as</w:t>
        <w:br w:clear="none"/>
      </w:r>
      <w:r>
        <w:rPr>
          <w:rStyle w:val="Text55"/>
        </w:rPr>
        <w:t xml:space="preserve"> </w:t>
        <w:br w:clear="none"/>
      </w:r>
      <w:r>
        <w:t xml:space="preserve">varname</w:t>
        <w:br w:clear="none"/>
      </w:r>
      <w:r>
        <w:rPr>
          <w:rStyle w:val="Text55"/>
        </w:rPr>
        <w:t xml:space="preserve">] [, ...]:</w:t>
        <w:br w:clear="none"/>
        <w:t xml:space="preserve">    </w:t>
        <w:br w:clear="none"/>
      </w:r>
      <w:r>
        <w:t xml:space="preserve">statement(s)</w:t>
        <w:br w:clear="none"/>
      </w:r>
      <w:r>
        <w:rPr>
          <w:rStyle w:val="Text55"/>
        </w:rPr>
        <w:t xml:space="preserve"/>
        <w:br w:clear="none"/>
        <w:t xml:space="preserve"/>
        <w:br w:clear="none"/>
      </w:r>
      <w:r>
        <w:t xml:space="preserve"># </w:t>
        <w:br w:clear="none"/>
      </w:r>
      <w:r>
        <w:rPr>
          <w:rStyle w:val="Text34"/>
        </w:rPr>
        <w:t>3.10+</w:t>
      </w:r>
      <w:r>
        <w:t xml:space="preserve"> multiple context managers for a with statement</w:t>
        <w:br w:clear="none"/>
      </w:r>
      <w:r>
        <w:rPr>
          <w:rStyle w:val="Text55"/>
        </w:rPr>
        <w:t xml:space="preserve"> </w:t>
        <w:br w:clear="none"/>
      </w:r>
      <w:r>
        <w:t xml:space="preserve"># can be enclosed in parentheses</w:t>
        <w:br w:clear="none"/>
      </w:r>
      <w:r>
        <w:rPr>
          <w:rStyle w:val="Text55"/>
        </w:rPr>
        <w:t xml:space="preserve"/>
        <w:br w:clear="none"/>
      </w:r>
      <w:r>
        <w:rPr>
          <w:rStyle w:val="Text40"/>
        </w:rPr>
        <w:t xml:space="preserve">with</w:t>
        <w:br w:clear="none"/>
      </w:r>
      <w:r>
        <w:rPr>
          <w:rStyle w:val="Text55"/>
        </w:rPr>
        <w:t xml:space="preserve"> (</w:t>
        <w:br w:clear="none"/>
      </w:r>
      <w:r>
        <w:t xml:space="preserve">expression</w:t>
        <w:br w:clear="none"/>
      </w:r>
      <w:r>
        <w:rPr>
          <w:rStyle w:val="Text55"/>
        </w:rPr>
        <w:t xml:space="preserve"> [</w:t>
        <w:br w:clear="none"/>
      </w:r>
      <w:r>
        <w:rPr>
          <w:rStyle w:val="Text40"/>
        </w:rPr>
        <w:t xml:space="preserve">as</w:t>
        <w:br w:clear="none"/>
      </w:r>
      <w:r>
        <w:rPr>
          <w:rStyle w:val="Text55"/>
        </w:rPr>
        <w:t xml:space="preserve"> </w:t>
        <w:br w:clear="none"/>
      </w:r>
      <w:r>
        <w:t xml:space="preserve">varname</w:t>
        <w:br w:clear="none"/>
      </w:r>
      <w:r>
        <w:rPr>
          <w:rStyle w:val="Text55"/>
        </w:rPr>
        <w:t xml:space="preserve">], ...):</w:t>
        <w:br w:clear="none"/>
        <w:t xml:space="preserve">    </w:t>
        <w:br w:clear="none"/>
      </w:r>
      <w:r>
        <w:t xml:space="preserve">statement(s)</w:t>
        <w:br w:clear="none"/>
      </w:r>
    </w:p>
    <w:p>
      <w:pPr>
        <w:pStyle w:val="Normal"/>
      </w:pPr>
      <w:r>
        <w:t xml:space="preserve">The semantics of </w:t>
      </w:r>
      <w:r>
        <w:rPr>
          <w:rStyle w:val="Text5"/>
        </w:rPr>
        <w:t>with</w:t>
      </w:r>
      <w:r>
        <w:t xml:space="preserve"> are equivalent to:</w:t>
      </w:r>
    </w:p>
    <w:p>
      <w:pPr>
        <w:pStyle w:val="Para 007"/>
      </w:pPr>
      <w:r>
        <w:rPr>
          <w:rStyle w:val="Text23"/>
        </w:rPr>
        <w:t xml:space="preserve"/>
        <w:br w:clear="none"/>
      </w:r>
      <w:r>
        <w:t xml:space="preserve">_normal_exit</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True</w:t>
        <w:br w:clear="none"/>
      </w:r>
      <w:r>
        <w:rPr>
          <w:rStyle w:val="Text6"/>
        </w:rPr>
        <w:t xml:space="preserve"/>
        <w:br w:clear="none"/>
      </w:r>
      <w:r>
        <w:t xml:space="preserve">_manager</w:t>
        <w:br w:clear="none"/>
      </w:r>
      <w:r>
        <w:rPr>
          <w:rStyle w:val="Text6"/>
        </w:rPr>
        <w:t xml:space="preserve"> </w:t>
        <w:br w:clear="none"/>
      </w:r>
      <w:r>
        <w:rPr>
          <w:rStyle w:val="Text13"/>
        </w:rPr>
        <w:t xml:space="preserve">=</w:t>
        <w:br w:clear="none"/>
      </w:r>
      <w:r>
        <w:rPr>
          <w:rStyle w:val="Text6"/>
        </w:rPr>
        <w:t xml:space="preserve"> </w:t>
        <w:br w:clear="none"/>
      </w:r>
      <w:r>
        <w:rPr>
          <w:rStyle w:val="Text4"/>
        </w:rPr>
        <w:t xml:space="preserve">expression</w:t>
        <w:br w:clear="none"/>
      </w:r>
      <w:r>
        <w:rPr>
          <w:rStyle w:val="Text6"/>
        </w:rPr>
        <w:t xml:space="preserve"/>
        <w:br w:clear="none"/>
      </w:r>
      <w:r>
        <w:rPr>
          <w:rStyle w:val="Text4"/>
        </w:rPr>
        <w:t xml:space="preserve">varname</w:t>
        <w:br w:clear="none"/>
      </w:r>
      <w:r>
        <w:rPr>
          <w:rStyle w:val="Text6"/>
        </w:rPr>
        <w:t xml:space="preserve"> </w:t>
        <w:br w:clear="none"/>
      </w:r>
      <w:r>
        <w:rPr>
          <w:rStyle w:val="Text13"/>
        </w:rPr>
        <w:t xml:space="preserve">=</w:t>
        <w:br w:clear="none"/>
      </w:r>
      <w:r>
        <w:rPr>
          <w:rStyle w:val="Text6"/>
        </w:rPr>
        <w:t xml:space="preserve"> </w:t>
        <w:br w:clear="none"/>
      </w:r>
      <w:r>
        <w:t xml:space="preserve">_manager</w:t>
        <w:br w:clear="none"/>
      </w:r>
      <w:r>
        <w:rPr>
          <w:rStyle w:val="Text13"/>
        </w:rPr>
        <w:t xml:space="preserve">.</w:t>
        <w:br w:clear="none"/>
      </w:r>
      <w:r>
        <w:rPr>
          <w:rStyle w:val="Text6"/>
        </w:rPr>
        <w:t xml:space="preserve">__enter__</w:t>
        <w:br w:clear="none"/>
      </w:r>
      <w:r>
        <w:rPr>
          <w:rStyle w:val="Text7"/>
        </w:rPr>
        <w:t xml:space="preserve">(</w:t>
        <w:br w:clear="none"/>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4"/>
        </w:rPr>
        <w:t xml:space="preserve">statement</w:t>
        <w:br w:clear="none"/>
      </w:r>
      <w:r>
        <w:rPr>
          <w:rStyle w:val="Text19"/>
        </w:rPr>
        <w:t xml:space="preserve">(</w:t>
        <w:br w:clear="none"/>
      </w:r>
      <w:r>
        <w:rPr>
          <w:rStyle w:val="Text4"/>
        </w:rPr>
        <w:t xml:space="preserve">s</w:t>
        <w:br w:clear="none"/>
      </w:r>
      <w:r>
        <w:rPr>
          <w:rStyle w:val="Text19"/>
        </w:rPr>
        <w:t xml:space="preserve">)</w:t>
        <w:br w:clear="none"/>
      </w:r>
      <w:r>
        <w:rPr>
          <w:rStyle w:val="Text6"/>
        </w:rPr>
        <w:t xml:space="preserve"/>
        <w:br w:clear="none"/>
      </w:r>
      <w:r>
        <w:rPr>
          <w:rStyle w:val="Text10"/>
        </w:rPr>
        <w:t xml:space="preserve">except</w:t>
        <w:br w:clear="none"/>
      </w:r>
      <w:r>
        <w:rPr>
          <w:rStyle w:val="Text7"/>
        </w:rPr>
        <w:t xml:space="preserve">:</w:t>
        <w:br w:clear="none"/>
      </w:r>
      <w:r>
        <w:rPr>
          <w:rStyle w:val="Text6"/>
        </w:rPr>
        <w:t xml:space="preserve"/>
        <w:br w:clear="none"/>
        <w:t xml:space="preserve">    </w:t>
        <w:br w:clear="none"/>
      </w:r>
      <w:r>
        <w:t xml:space="preserve">_normal_exit</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False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_manager</w:t>
        <w:br w:clear="none"/>
      </w:r>
      <w:r>
        <w:rPr>
          <w:rStyle w:val="Text13"/>
        </w:rPr>
        <w:t xml:space="preserve">.</w:t>
        <w:br w:clear="none"/>
      </w:r>
      <w:r>
        <w:t xml:space="preserve">__exit_</w:t>
        <w:br w:clear="none"/>
      </w:r>
      <w:r>
        <w:rPr>
          <w:rStyle w:val="Text7"/>
        </w:rPr>
        <w:t xml:space="preserve">(</w:t>
        <w:br w:clear="none"/>
      </w:r>
      <w:r>
        <w:rPr>
          <w:rStyle w:val="Text13"/>
        </w:rPr>
        <w:t xml:space="preserve">*</w:t>
        <w:br w:clear="none"/>
      </w:r>
      <w:r>
        <w:t xml:space="preserve">sys</w:t>
        <w:br w:clear="none"/>
      </w:r>
      <w:r>
        <w:rPr>
          <w:rStyle w:val="Text13"/>
        </w:rPr>
        <w:t xml:space="preserve">.</w:t>
        <w:br w:clear="none"/>
      </w:r>
      <w:r>
        <w:t xml:space="preserve">exc_info</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0"/>
        </w:rPr>
        <w:t xml:space="preserve">raise</w:t>
        <w:br w:clear="none"/>
      </w:r>
      <w:r>
        <w:rPr>
          <w:rStyle w:val="Text6"/>
        </w:rPr>
        <w:t xml:space="preserve"/>
        <w:br w:clear="none"/>
        <w:t xml:space="preserve">    </w:t>
        <w:br w:clear="none"/>
      </w:r>
      <w:r>
        <w:rPr>
          <w:rStyle w:val="Text15"/>
        </w:rPr>
        <w:t xml:space="preserve"># note that exception does not propagate if __exit__ returns</w:t>
        <w:br w:clear="none"/>
      </w:r>
      <w:r>
        <w:rPr>
          <w:rStyle w:val="Text26"/>
        </w:rPr>
        <w:t xml:space="preserve"> </w:t>
        <w:br w:clear="none"/>
      </w:r>
      <w:r>
        <w:rPr>
          <w:rStyle w:val="Text6"/>
        </w:rPr>
        <w:t xml:space="preserve"/>
        <w:br w:clear="none"/>
        <w:t xml:space="preserve">    </w:t>
        <w:br w:clear="none"/>
      </w:r>
      <w:r>
        <w:rPr>
          <w:rStyle w:val="Text15"/>
        </w:rPr>
        <w:t xml:space="preserve"># a true value</w:t>
        <w:br w:clear="none"/>
      </w:r>
      <w:r>
        <w:rPr>
          <w:rStyle w:val="Text6"/>
        </w:rPr>
        <w:t xml:space="preserve"/>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_normal_exit</w:t>
        <w:br w:clear="none"/>
      </w:r>
      <w:r>
        <w:rPr>
          <w:rStyle w:val="Text7"/>
        </w:rPr>
        <w:t xml:space="preserve">:</w:t>
        <w:br w:clear="none"/>
      </w:r>
      <w:r>
        <w:rPr>
          <w:rStyle w:val="Text6"/>
        </w:rPr>
        <w:t xml:space="preserve"/>
        <w:br w:clear="none"/>
        <w:t xml:space="preserve">        </w:t>
        <w:br w:clear="none"/>
      </w:r>
      <w:r>
        <w:t xml:space="preserve">_manager</w:t>
        <w:br w:clear="none"/>
      </w:r>
      <w:r>
        <w:rPr>
          <w:rStyle w:val="Text13"/>
        </w:rPr>
        <w:t xml:space="preserve">.</w:t>
        <w:br w:clear="none"/>
      </w:r>
      <w:r>
        <w:rPr>
          <w:rStyle w:val="Text6"/>
        </w:rPr>
        <w:t xml:space="preserve">__exit__</w:t>
        <w:br w:clear="none"/>
      </w:r>
      <w:r>
        <w:rPr>
          <w:rStyle w:val="Text7"/>
        </w:rPr>
        <w:t xml:space="preserve">(</w:t>
        <w:br w:clear="none"/>
      </w:r>
      <w:r>
        <w:rPr>
          <w:rStyle w:val="Text10"/>
        </w:rPr>
        <w:t xml:space="preserve">None</w:t>
        <w:br w:clear="none"/>
      </w:r>
      <w:r>
        <w:rPr>
          <w:rStyle w:val="Text31"/>
        </w:rPr>
        <w:t xml:space="preserve">,</w:t>
        <w:br w:clear="none"/>
      </w:r>
      <w:r>
        <w:rPr>
          <w:rStyle w:val="Text29"/>
        </w:rPr>
        <w:t xml:space="preserve"> </w:t>
        <w:br w:clear="none"/>
      </w:r>
      <w:r>
        <w:rPr>
          <w:rStyle w:val="Text10"/>
        </w:rPr>
        <w:t xml:space="preserve">None</w:t>
        <w:br w:clear="none"/>
      </w:r>
      <w:r>
        <w:rPr>
          <w:rStyle w:val="Text31"/>
        </w:rPr>
        <w:t xml:space="preserve">,</w:t>
        <w:br w:clear="none"/>
      </w:r>
      <w:r>
        <w:rPr>
          <w:rStyle w:val="Text29"/>
        </w:rPr>
        <w:t xml:space="preserve"> </w:t>
        <w:br w:clear="none"/>
      </w:r>
      <w:r>
        <w:rPr>
          <w:rStyle w:val="Text10"/>
        </w:rPr>
        <w:t xml:space="preserve">None</w:t>
        <w:br w:clear="none"/>
      </w:r>
      <w:r>
        <w:rPr>
          <w:rStyle w:val="Text7"/>
        </w:rPr>
        <w:t xml:space="preserve">)</w:t>
        <w:br w:clear="none"/>
      </w:r>
    </w:p>
    <w:p>
      <w:pPr>
        <w:pStyle w:val="Normal"/>
      </w:pPr>
      <w:r>
        <w:t xml:space="preserve">where </w:t>
      </w:r>
      <w:r>
        <w:rPr>
          <w:rStyle w:val="Text0"/>
        </w:rPr>
        <w:t>_manager</w:t>
      </w:r>
      <w:r>
        <w:t xml:space="preserve"> and </w:t>
      </w:r>
      <w:r>
        <w:rPr>
          <w:rStyle w:val="Text0"/>
        </w:rPr>
        <w:t>_normal_exit</w:t>
      </w:r>
      <w:r>
        <w:t xml:space="preserve"> are arbitrary internal names that are not used elsewhere in the current scope. If you omit the optional </w:t>
      </w:r>
      <w:r>
        <w:rPr>
          <w:rStyle w:val="Text5"/>
        </w:rPr>
        <w:t>as</w:t>
      </w:r>
      <w:r>
        <w:t xml:space="preserve"> </w:t>
      </w:r>
      <w:r>
        <w:rPr>
          <w:rStyle w:val="Text3"/>
        </w:rPr>
        <w:t>varname</w:t>
      </w:r>
      <w:r>
        <w:t xml:space="preserve"> part of the </w:t>
      </w:r>
      <w:r>
        <w:rPr>
          <w:rStyle w:val="Text5"/>
        </w:rPr>
        <w:t>with</w:t>
      </w:r>
      <w:r>
        <w:t xml:space="preserve"> clause, Python still calls </w:t>
      </w:r>
      <w:r>
        <w:rPr>
          <w:rStyle w:val="Text0"/>
        </w:rPr>
        <w:t>_manager.__enter__</w:t>
      </w:r>
      <w:r>
        <w:t xml:space="preserve">, but doesn’t bind the result to any name, and still calls </w:t>
      </w:r>
      <w:r>
        <w:rPr>
          <w:rStyle w:val="Text0"/>
        </w:rPr>
        <w:t>_manager.__exit__</w:t>
      </w:r>
      <w:r>
        <w:t xml:space="preserve"> at block termination. The object returned by the </w:t>
      </w:r>
      <w:r>
        <w:rPr>
          <w:rStyle w:val="Text3"/>
        </w:rPr>
        <w:t>expression</w:t>
      </w:r>
      <w:r>
        <w:t xml:space="preserve">, with methods </w:t>
      </w:r>
      <w:r>
        <w:rPr>
          <w:rStyle w:val="Text0"/>
        </w:rPr>
        <w:t>__enter__</w:t>
      </w:r>
      <w:r>
        <w:t xml:space="preserve"> and </w:t>
      </w:r>
      <w:r>
        <w:rPr>
          <w:rStyle w:val="Text0"/>
        </w:rPr>
        <w:t>__exit__</w:t>
      </w:r>
      <w:r>
        <w:t xml:space="preserve">, is known as a </w:t>
      </w:r>
      <w:r>
        <w:rPr>
          <w:rStyle w:val="Text4"/>
        </w:rPr>
        <w:t>context manager</w:t>
      </w:r>
      <w:r>
        <w:t>.</w:t>
      </w:r>
    </w:p>
    <w:p>
      <w:pPr>
        <w:pStyle w:val="Normal"/>
      </w:pPr>
      <w:r>
        <w:t>The</w:t>
      </w:r>
      <w:r>
        <w:rPr>
          <w:rStyle w:val="Text111"/>
        </w:rPr>
        <w:bookmarkStart w:id="1785" w:name="idm45965259711504"/>
        <w:t/>
        <w:bookmarkEnd w:id="1785"/>
        <w:bookmarkStart w:id="1786" w:name="idm45965259710400"/>
        <w:t/>
        <w:bookmarkEnd w:id="1786"/>
      </w:r>
      <w:r>
        <w:t xml:space="preserve"> </w:t>
      </w:r>
      <w:r>
        <w:rPr>
          <w:rStyle w:val="Text5"/>
        </w:rPr>
        <w:t>with</w:t>
      </w:r>
      <w:r>
        <w:t xml:space="preserve"> statement is the Python embodiment of the well-known C++ idiom </w:t>
      </w:r>
      <w:hyperlink r:id="rId268">
        <w:r>
          <w:rPr>
            <w:rStyle w:val="Text1"/>
          </w:rPr>
          <w:t>“resource acquisition is initialization” (RAII)</w:t>
        </w:r>
      </w:hyperlink>
      <w:r>
        <w:t xml:space="preserve">: you need only write context manager classes—that is, classes with two special methods, </w:t>
      </w:r>
      <w:r>
        <w:rPr>
          <w:rStyle w:val="Text0"/>
        </w:rPr>
        <w:t>__enter__</w:t>
      </w:r>
      <w:r>
        <w:t xml:space="preserve"> and </w:t>
      </w:r>
      <w:r>
        <w:rPr>
          <w:rStyle w:val="Text0"/>
        </w:rPr>
        <w:t>__exit__</w:t>
      </w:r>
      <w:r>
        <w:t xml:space="preserve">. </w:t>
      </w:r>
      <w:r>
        <w:rPr>
          <w:rStyle w:val="Text0"/>
        </w:rPr>
        <w:t>__enter__</w:t>
      </w:r>
      <w:r>
        <w:t xml:space="preserve"> must be callable without arguments. </w:t>
      </w:r>
      <w:r>
        <w:rPr>
          <w:rStyle w:val="Text0"/>
        </w:rPr>
        <w:t>__exit__</w:t>
      </w:r>
      <w:r>
        <w:t xml:space="preserve"> must be callable with three arguments: all </w:t>
      </w:r>
      <w:r>
        <w:rPr>
          <w:rStyle w:val="Text5"/>
        </w:rPr>
        <w:t>None</w:t>
      </w:r>
      <w:r>
        <w:t xml:space="preserve"> when the body completes without propagating exceptions, and otherwise, the type, value, and traceback of the exception. This provides the same guaranteed finalization behavior as typical </w:t>
      </w:r>
      <w:r>
        <w:rPr>
          <w:rStyle w:val="Text0"/>
        </w:rPr>
        <w:t>ctor/dtor</w:t>
      </w:r>
      <w:r>
        <w:t xml:space="preserve"> pairs have for </w:t>
      </w:r>
      <w:r>
        <w:rPr>
          <w:rStyle w:val="Text0"/>
        </w:rPr>
        <w:t>auto</w:t>
      </w:r>
      <w:r>
        <w:t xml:space="preserve"> variables in C++ and </w:t>
      </w:r>
      <w:r>
        <w:rPr>
          <w:rStyle w:val="Text5"/>
        </w:rPr>
        <w:t>try</w:t>
      </w:r>
      <w:r>
        <w:rPr>
          <w:rStyle w:val="Text0"/>
        </w:rPr>
        <w:t>/</w:t>
      </w:r>
      <w:r>
        <w:rPr>
          <w:rStyle w:val="Text5"/>
        </w:rPr>
        <w:t>finally</w:t>
      </w:r>
      <w:r>
        <w:t xml:space="preserve"> statements have in Python or Java. In addition, they can finalize differently depending on what exception, if any, propagates, and optionally block a propagating exception by returning a true value from </w:t>
      </w:r>
      <w:r>
        <w:rPr>
          <w:rStyle w:val="Text0"/>
        </w:rPr>
        <w:t>__exit__</w:t>
      </w:r>
      <w:r>
        <w:t>.</w:t>
      </w:r>
    </w:p>
    <w:p>
      <w:pPr>
        <w:pStyle w:val="Normal"/>
      </w:pPr>
      <w:r>
        <w:t xml:space="preserve">For example, here is a simple, purely illustrative way to ensure </w:t>
      </w:r>
      <w:r>
        <w:rPr>
          <w:rStyle w:val="Text0"/>
        </w:rPr>
        <w:t>&lt;name&gt;</w:t>
      </w:r>
      <w:r>
        <w:t xml:space="preserve"> and </w:t>
      </w:r>
      <w:r>
        <w:rPr>
          <w:rStyle w:val="Text0"/>
        </w:rPr>
        <w:t>&lt;/name&gt;</w:t>
      </w:r>
      <w:r>
        <w:t xml:space="preserve"> tags are printed around some other output (note that context manager classes often have lowercase names, rather than following the normal title case convention for class names):</w:t>
      </w:r>
    </w:p>
    <w:p>
      <w:pPr>
        <w:pStyle w:val="Para 014"/>
      </w:pPr>
      <w:r>
        <w:rPr>
          <w:rStyle w:val="Text116"/>
        </w:rPr>
        <w:t xml:space="preserve"/>
        <w:br w:clear="none"/>
      </w:r>
      <w:r>
        <w:rPr>
          <w:rStyle w:val="Text22"/>
        </w:rPr>
        <w:t xml:space="preserve">class</w:t>
        <w:br w:clear="none"/>
      </w:r>
      <w:r>
        <w:rPr>
          <w:rStyle w:val="Text11"/>
        </w:rPr>
        <w:t xml:space="preserve"> </w:t>
        <w:br w:clear="none"/>
      </w:r>
      <w:r>
        <w:rPr>
          <w:rStyle w:val="Text45"/>
        </w:rPr>
        <w:t xml:space="preserve">enclosing_tag</w:t>
        <w:br w:clear="none"/>
      </w:r>
      <w:r>
        <w:rPr>
          <w:rStyle w:val="Text19"/>
        </w:rP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tagname</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self</w:t>
        <w:br w:clear="none"/>
      </w:r>
      <w:r>
        <w:rPr>
          <w:rStyle w:val="Text28"/>
        </w:rPr>
        <w:t xml:space="preserve">.</w:t>
        <w:br w:clear="none"/>
      </w:r>
      <w:r>
        <w:rPr>
          <w:rStyle w:val="Text14"/>
        </w:rPr>
        <w:t xml:space="preserve">tagname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tagname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__enter__</w:t>
        <w:br w:clear="none"/>
      </w:r>
      <w:r>
        <w:rPr>
          <w:rStyle w:val="Text19"/>
        </w:rPr>
        <w:t xml:space="preserve">(</w:t>
        <w:br w:clear="none"/>
      </w:r>
      <w:r>
        <w:rPr>
          <w:rStyle w:val="Text21"/>
        </w:rPr>
        <w:t xml:space="preserve">self</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1"/>
        </w:rPr>
        <w:t xml:space="preserve">f</w:t>
        <w:br w:clear="none"/>
      </w:r>
      <w:r>
        <w:rPr>
          <w:rStyle w:val="Text17"/>
        </w:rPr>
        <w:t xml:space="preserve">'</w:t>
        <w:br w:clear="none"/>
        <w:t xml:space="preserve">&lt;</w:t>
        <w:br w:clear="none"/>
      </w:r>
      <w:r>
        <w:rPr>
          <w:rStyle w:val="Text64"/>
        </w:rPr>
        <w:t xml:space="preserve">{</w:t>
        <w:br w:clear="none"/>
      </w:r>
      <w:r>
        <w:rPr>
          <w:rStyle w:val="Text21"/>
        </w:rPr>
        <w:t xml:space="preserve">self</w:t>
        <w:br w:clear="none"/>
      </w:r>
      <w:r>
        <w:rPr>
          <w:rStyle w:val="Text28"/>
        </w:rPr>
        <w:t xml:space="preserve">.</w:t>
        <w:br w:clear="none"/>
      </w:r>
      <w:r>
        <w:rPr>
          <w:rStyle w:val="Text14"/>
        </w:rPr>
        <w:t xml:space="preserve">tagname</w:t>
        <w:br w:clear="none"/>
      </w:r>
      <w:r>
        <w:rPr>
          <w:rStyle w:val="Text64"/>
        </w:rPr>
        <w:t xml:space="preserve">}</w:t>
        <w:br w:clear="none"/>
      </w:r>
      <w:r>
        <w:rPr>
          <w:rStyle w:val="Text17"/>
        </w:rPr>
        <w:t xml:space="preserve">&gt;</w:t>
        <w:br w:clear="none"/>
        <w:t xml:space="preserve">'</w:t>
        <w:br w:clear="none"/>
      </w:r>
      <w:r>
        <w:rPr>
          <w:rStyle w:val="Text19"/>
        </w:rPr>
        <w:t xml:space="preserve">,</w:t>
        <w:br w:clear="none"/>
      </w:r>
      <w:r>
        <w:rPr>
          <w:rStyle w:val="Text11"/>
        </w:rPr>
        <w:t xml:space="preserve"> </w:t>
        <w:br w:clear="none"/>
      </w:r>
      <w:r>
        <w:rPr>
          <w:rStyle w:val="Text14"/>
        </w:rPr>
        <w:t xml:space="preserve">end</w:t>
        <w:br w:clear="none"/>
      </w:r>
      <w:r>
        <w:rPr>
          <w:rStyle w:val="Text28"/>
        </w:rPr>
        <w:t xml:space="preserve">=</w:t>
        <w:br w:clear="none"/>
      </w:r>
      <w:r>
        <w:rPr>
          <w:rStyle w:val="Text17"/>
        </w:rPr>
        <w:t xml:space="preserve">'</w:t>
        <w:br w:clear="none"/>
        <w:t xml:space="preserve">'</w:t>
        <w:br w:clear="none"/>
      </w:r>
      <w:r>
        <w:rPr>
          <w:rStyle w:val="Text19"/>
        </w:rPr>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__exit__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etyp</w:t>
        <w:br w:clear="none"/>
      </w:r>
      <w:r>
        <w:rPr>
          <w:rStyle w:val="Text19"/>
        </w:rPr>
        <w:t xml:space="preserve">,</w:t>
        <w:br w:clear="none"/>
      </w:r>
      <w:r>
        <w:rPr>
          <w:rStyle w:val="Text11"/>
        </w:rPr>
        <w:t xml:space="preserve"> </w:t>
        <w:br w:clear="none"/>
      </w:r>
      <w:r>
        <w:rPr>
          <w:rStyle w:val="Text14"/>
        </w:rPr>
        <w:t xml:space="preserve">einst</w:t>
        <w:br w:clear="none"/>
      </w:r>
      <w:r>
        <w:rPr>
          <w:rStyle w:val="Text19"/>
        </w:rPr>
        <w:t xml:space="preserve">,</w:t>
        <w:br w:clear="none"/>
      </w:r>
      <w:r>
        <w:rPr>
          <w:rStyle w:val="Text11"/>
        </w:rPr>
        <w:t xml:space="preserve"> </w:t>
        <w:br w:clear="none"/>
      </w:r>
      <w:r>
        <w:rPr>
          <w:rStyle w:val="Text14"/>
        </w:rPr>
        <w:t xml:space="preserve">etb</w:t>
        <w:br w:clear="none"/>
      </w:r>
      <w:r>
        <w:rPr>
          <w:rStyle w:val="Text19"/>
        </w:rPr>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1"/>
        </w:rPr>
        <w:t xml:space="preserve">f</w:t>
        <w:br w:clear="none"/>
      </w:r>
      <w:r>
        <w:rPr>
          <w:rStyle w:val="Text17"/>
        </w:rPr>
        <w:t xml:space="preserve">'</w:t>
        <w:br w:clear="none"/>
        <w:t xml:space="preserve">&lt;/</w:t>
        <w:br w:clear="none"/>
      </w:r>
      <w:r>
        <w:rPr>
          <w:rStyle w:val="Text64"/>
        </w:rPr>
        <w:t xml:space="preserve">{</w:t>
        <w:br w:clear="none"/>
      </w:r>
      <w:r>
        <w:rPr>
          <w:rStyle w:val="Text21"/>
        </w:rPr>
        <w:t xml:space="preserve">self</w:t>
        <w:br w:clear="none"/>
      </w:r>
      <w:r>
        <w:rPr>
          <w:rStyle w:val="Text28"/>
        </w:rPr>
        <w:t xml:space="preserve">.</w:t>
        <w:br w:clear="none"/>
      </w:r>
      <w:r>
        <w:rPr>
          <w:rStyle w:val="Text14"/>
        </w:rPr>
        <w:t xml:space="preserve">tagname</w:t>
        <w:br w:clear="none"/>
      </w:r>
      <w:r>
        <w:rPr>
          <w:rStyle w:val="Text64"/>
        </w:rPr>
        <w:t xml:space="preserve">}</w:t>
        <w:br w:clear="none"/>
      </w:r>
      <w:r>
        <w:rPr>
          <w:rStyle w:val="Text17"/>
        </w:rPr>
        <w:t xml:space="preserve">&gt;</w:t>
        <w:br w:clear="none"/>
        <w:t xml:space="preserve">'</w:t>
        <w:br w:clear="none"/>
      </w:r>
      <w:r>
        <w:rPr>
          <w:rStyle w:val="Text19"/>
        </w:rPr>
        <w:t xml:space="preserve">)</w:t>
        <w:br w:clear="none"/>
      </w:r>
      <w:r>
        <w:rPr>
          <w:rStyle w:val="Text11"/>
        </w:rPr>
        <w:t xml:space="preserve"/>
        <w:br w:clear="none"/>
        <w:t xml:space="preserve"/>
        <w:br w:clear="none"/>
      </w:r>
      <w:r>
        <w:t xml:space="preserve"># to be used as:</w:t>
        <w:br w:clear="none"/>
      </w:r>
      <w:r>
        <w:rPr>
          <w:rStyle w:val="Text11"/>
        </w:rPr>
        <w:t xml:space="preserve"/>
        <w:br w:clear="none"/>
      </w:r>
      <w:r>
        <w:rPr>
          <w:rStyle w:val="Text22"/>
        </w:rPr>
        <w:t xml:space="preserve">with</w:t>
        <w:br w:clear="none"/>
      </w:r>
      <w:r>
        <w:rPr>
          <w:rStyle w:val="Text11"/>
        </w:rPr>
        <w:t xml:space="preserve"> </w:t>
        <w:br w:clear="none"/>
      </w:r>
      <w:r>
        <w:rPr>
          <w:rStyle w:val="Text14"/>
        </w:rPr>
        <w:t xml:space="preserve">enclosing_tag</w:t>
        <w:br w:clear="none"/>
      </w:r>
      <w:r>
        <w:rPr>
          <w:rStyle w:val="Text19"/>
        </w:rPr>
        <w:t xml:space="preserve">(</w:t>
        <w:br w:clear="none"/>
      </w:r>
      <w:r>
        <w:rPr>
          <w:rStyle w:val="Text17"/>
        </w:rPr>
        <w:t xml:space="preserve">'</w:t>
        <w:br w:clear="none"/>
        <w:t xml:space="preserve">sometag</w:t>
        <w:br w:clear="none"/>
        <w:t xml:space="preserve">'</w:t>
        <w:br w:clear="none"/>
      </w:r>
      <w:r>
        <w:rPr>
          <w:rStyle w:val="Text19"/>
        </w:rPr>
        <w:t xml:space="preserve">)</w:t>
        <w:br w:clear="none"/>
        <w:t xml:space="preserve">:</w:t>
        <w:br w:clear="none"/>
      </w:r>
      <w:r>
        <w:rPr>
          <w:rStyle w:val="Text11"/>
        </w:rPr>
        <w:t xml:space="preserve"/>
        <w:br w:clear="none"/>
        <w:t xml:space="preserve">    </w:t>
        <w:br w:clear="none"/>
      </w:r>
      <w:r>
        <w:t xml:space="preserve"># ...statements printing output to be enclosed in</w:t>
        <w:br w:clear="none"/>
      </w:r>
      <w:r>
        <w:rPr>
          <w:rStyle w:val="Text11"/>
        </w:rPr>
        <w:t xml:space="preserve"/>
        <w:br w:clear="none"/>
        <w:t xml:space="preserve">    </w:t>
        <w:br w:clear="none"/>
      </w:r>
      <w:r>
        <w:t xml:space="preserve"># a matched open/close `sometag` pair...</w:t>
        <w:br w:clear="none"/>
      </w:r>
    </w:p>
    <w:p>
      <w:pPr>
        <w:pStyle w:val="Normal"/>
      </w:pPr>
      <w:r>
        <w:t>A</w:t>
      </w:r>
      <w:r>
        <w:rPr>
          <w:rStyle w:val="Text111"/>
        </w:rPr>
        <w:bookmarkStart w:id="1787" w:name="idm45965257346176"/>
        <w:t/>
        <w:bookmarkEnd w:id="1787"/>
        <w:bookmarkStart w:id="1788" w:name="idm45965257345200"/>
        <w:t/>
        <w:bookmarkEnd w:id="1788"/>
      </w:r>
      <w:r>
        <w:t xml:space="preserve"> simpler way to build context managers is to use the </w:t>
      </w:r>
      <w:r>
        <w:rPr>
          <w:rStyle w:val="Text0"/>
        </w:rPr>
        <w:t>contextmanager</w:t>
      </w:r>
      <w:r>
        <w:t xml:space="preserve"> decorator in the </w:t>
      </w:r>
      <w:r>
        <w:rPr>
          <w:rStyle w:val="Text0"/>
        </w:rPr>
        <w:t>contextlib</w:t>
      </w:r>
      <w:r>
        <w:t xml:space="preserve"> module of the Python standard library. This decorator turns a generator function into a factory of context manager objects.</w:t>
      </w:r>
    </w:p>
    <w:p>
      <w:pPr>
        <w:pStyle w:val="Normal"/>
      </w:pPr>
      <w:r>
        <w:t xml:space="preserve">The </w:t>
      </w:r>
      <w:r>
        <w:rPr>
          <w:rStyle w:val="Text0"/>
        </w:rPr>
        <w:t>contextlib</w:t>
      </w:r>
      <w:r>
        <w:t xml:space="preserve"> way to implement the </w:t>
      </w:r>
      <w:r>
        <w:rPr>
          <w:rStyle w:val="Text0"/>
        </w:rPr>
        <w:t>enclosing_tag</w:t>
      </w:r>
      <w:r>
        <w:t xml:space="preserve"> context manager, having imported </w:t>
      </w:r>
      <w:r>
        <w:rPr>
          <w:rStyle w:val="Text0"/>
        </w:rPr>
        <w:t>contextlib</w:t>
      </w:r>
      <w:r>
        <w:t xml:space="preserve"> earlier, is:</w:t>
      </w:r>
    </w:p>
    <w:p>
      <w:pPr>
        <w:pStyle w:val="Para 007"/>
      </w:pPr>
      <w:r>
        <w:rPr>
          <w:rStyle w:val="Text23"/>
        </w:rPr>
        <w:t xml:space="preserve"/>
        <w:br w:clear="none"/>
      </w:r>
      <w:r>
        <w:rPr>
          <w:rStyle w:val="Text44"/>
        </w:rPr>
        <w:t xml:space="preserve">@contextlib</w:t>
        <w:br w:clear="none"/>
      </w:r>
      <w:r>
        <w:rPr>
          <w:rStyle w:val="Text13"/>
        </w:rPr>
        <w:t xml:space="preserve">.</w:t>
        <w:br w:clear="none"/>
      </w:r>
      <w:r>
        <w:t xml:space="preserve">contextmanager</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enclosing_tag</w:t>
        <w:br w:clear="none"/>
      </w:r>
      <w:r>
        <w:rPr>
          <w:rStyle w:val="Text7"/>
        </w:rPr>
        <w:t xml:space="preserve">(</w:t>
        <w:br w:clear="none"/>
      </w:r>
      <w:r>
        <w:t xml:space="preserve">tagname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&lt;</w:t>
        <w:br w:clear="none"/>
      </w:r>
      <w:r>
        <w:rPr>
          <w:rStyle w:val="Text32"/>
        </w:rPr>
        <w:t xml:space="preserve">{</w:t>
        <w:br w:clear="none"/>
      </w:r>
      <w:r>
        <w:t xml:space="preserve">tagname</w:t>
        <w:br w:clear="none"/>
      </w:r>
      <w:r>
        <w:rPr>
          <w:rStyle w:val="Text32"/>
        </w:rPr>
        <w:t xml:space="preserve">}</w:t>
        <w:br w:clear="none"/>
      </w:r>
      <w:r>
        <w:rPr>
          <w:rStyle w:val="Text8"/>
        </w:rPr>
        <w:t xml:space="preserve">&gt;</w:t>
        <w:br w:clear="none"/>
        <w:t xml:space="preserve">'</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br w:clear="none"/>
        <w:t xml:space="preserve">    </w:t>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&lt;/</w:t>
        <w:br w:clear="none"/>
      </w:r>
      <w:r>
        <w:rPr>
          <w:rStyle w:val="Text32"/>
        </w:rPr>
        <w:t xml:space="preserve">{</w:t>
        <w:br w:clear="none"/>
      </w:r>
      <w:r>
        <w:t xml:space="preserve">tagname</w:t>
        <w:br w:clear="none"/>
      </w:r>
      <w:r>
        <w:rPr>
          <w:rStyle w:val="Text32"/>
        </w:rPr>
        <w:t xml:space="preserve">}</w:t>
        <w:br w:clear="none"/>
      </w:r>
      <w:r>
        <w:rPr>
          <w:rStyle w:val="Text8"/>
        </w:rPr>
        <w:t xml:space="preserve">&gt;</w:t>
        <w:br w:clear="none"/>
        <w:t xml:space="preserve">'</w:t>
        <w:br w:clear="none"/>
      </w:r>
      <w:r>
        <w:rPr>
          <w:rStyle w:val="Text7"/>
        </w:rPr>
        <w:t xml:space="preserve">)</w:t>
        <w:br w:clear="none"/>
      </w:r>
      <w:r>
        <w:rPr>
          <w:rStyle w:val="Text6"/>
        </w:rPr>
        <w:t xml:space="preserve"/>
        <w:br w:clear="none"/>
      </w:r>
      <w:r>
        <w:rPr>
          <w:rStyle w:val="Text15"/>
        </w:rPr>
        <w:t xml:space="preserve"># to be used the same way as before</w:t>
        <w:br w:clear="none"/>
      </w:r>
    </w:p>
    <w:p>
      <w:pPr>
        <w:pStyle w:val="Normal"/>
      </w:pPr>
      <w:r>
        <w:rPr>
          <w:rStyle w:val="Text0"/>
        </w:rPr>
        <w:t>contextlib</w:t>
      </w:r>
      <w:r>
        <w:t xml:space="preserve"> supplies, among others, the class and functions listed in </w:t>
      </w:r>
      <w:hyperlink w:anchor="Table_6_1__Commonly_used_classes">
        <w:r>
          <w:rPr>
            <w:rStyle w:val="Text1"/>
          </w:rPr>
          <w:t>Table 6-1</w:t>
        </w:r>
      </w:hyperlink>
      <w:r>
        <w:t>.</w:t>
      </w:r>
    </w:p>
    <w:tbl>
      <w:tblPr>
        <w:tblW w:type="auto" w:w="0"/>
      </w:tblPr>
      <w:tr>
        <w:tc>
          <w:tcPr>
            <w:tcW w:type="pct" w:w="1000"/>
            <w:tcMar>
              <w:left w:type="dxa" w:w="200"/>
              <w:top w:type="dxa" w:w="200"/>
              <w:right w:type="dxa" w:w="200"/>
              <w:bottom w:type="dxa" w:w="200"/>
            </w:tcMar>
          </w:tcPr>
          <w:p>
            <w:bookmarkStart w:id="1789" w:name="Table_6_1__Commonly_used_classes"/>
            <w:pPr>
              <w:pStyle w:val="Para 011"/>
            </w:pPr>
            <w:r>
              <w:rPr>
                <w:rStyle w:val="Text117"/>
              </w:rPr>
              <w:t/>
            </w:r>
            <w:r>
              <w:t xml:space="preserve">Table 6-1. </w:t>
              <w:t xml:space="preserve">Commonly used classes and functions in the </w:t>
            </w:r>
            <w:r>
              <w:rPr>
                <w:rStyle w:val="Text0"/>
              </w:rPr>
              <w:t>contextlib</w:t>
            </w:r>
            <w:r>
              <w:t xml:space="preserve"> module</w:t>
            </w:r>
            <w:bookmarkEnd w:id="1789"/>
          </w:p>
          <w:p>
            <w:pPr>
              <w:pStyle w:val="Para 001"/>
            </w:pPr>
            <w:r>
              <w:t>AbstractContextManager</w:t>
            </w:r>
          </w:p>
        </w:tc>
        <w:tc>
          <w:tcPr>
            <w:tcW w:type="auto" w:w="0"/>
            <w:tcMar>
              <w:left w:type="dxa" w:w="200"/>
              <w:top w:type="dxa" w:w="200"/>
              <w:right w:type="dxa" w:w="200"/>
              <w:bottom w:type="dxa" w:w="200"/>
            </w:tcMar>
          </w:tcPr>
          <w:p>
            <w:pPr>
              <w:pStyle w:val="Para 002"/>
            </w:pPr>
            <w:r>
              <w:rPr>
                <w:rStyle w:val="Text0"/>
              </w:rPr>
              <w:t>AbstractContextManager</w:t>
              <w:br w:clear="none"/>
            </w:r>
            <w:r>
              <w:t xml:space="preserve"> An abstract base class with two overridable methods: </w:t>
            </w:r>
            <w:r>
              <w:rPr>
                <w:rStyle w:val="Text0"/>
              </w:rPr>
              <w:t>__enter__</w:t>
            </w:r>
            <w:r>
              <w:t xml:space="preserve">, which defaults to </w:t>
            </w:r>
            <w:r>
              <w:rPr>
                <w:rStyle w:val="Text5"/>
              </w:rPr>
              <w:t>return</w:t>
            </w:r>
            <w:r>
              <w:t xml:space="preserve"> </w:t>
            </w:r>
            <w:r>
              <w:rPr>
                <w:rStyle w:val="Text0"/>
              </w:rPr>
              <w:t>self</w:t>
            </w:r>
            <w:r>
              <w:t xml:space="preserve">, and </w:t>
            </w:r>
            <w:r>
              <w:rPr>
                <w:rStyle w:val="Text0"/>
              </w:rPr>
              <w:t>__exit__</w:t>
            </w:r>
            <w:r>
              <w:t xml:space="preserve">, which defaults to </w:t>
            </w:r>
            <w:r>
              <w:rPr>
                <w:rStyle w:val="Text5"/>
              </w:rPr>
              <w:t>return</w:t>
            </w:r>
            <w:r>
              <w:t xml:space="preserve"> </w:t>
            </w:r>
            <w:r>
              <w:rPr>
                <w:rStyle w:val="Text0"/>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chdir</w:t>
            </w:r>
          </w:p>
        </w:tc>
        <w:tc>
          <w:tcPr>
            <w:tcW w:type="auto" w:w="0"/>
            <w:shd w:val="clear" w:color="auto" w:fill="EEF2F6"/>
            <w:tcMar>
              <w:left w:type="dxa" w:w="200"/>
              <w:top w:type="dxa" w:w="200"/>
              <w:right w:type="dxa" w:w="200"/>
              <w:bottom w:type="dxa" w:w="200"/>
            </w:tcMar>
          </w:tcPr>
          <w:p>
            <w:pPr>
              <w:pStyle w:val="Para 002"/>
            </w:pPr>
            <w:r>
              <w:rPr>
                <w:rStyle w:val="Text0"/>
              </w:rPr>
              <w:t>chdir(</w:t>
            </w:r>
            <w:r>
              <w:rPr>
                <w:rStyle w:val="Text3"/>
              </w:rPr>
              <w:t>dir_path</w:t>
            </w:r>
            <w:r>
              <w:rPr>
                <w:rStyle w:val="Text0"/>
              </w:rPr>
              <w:t>)</w:t>
              <w:br w:clear="none"/>
            </w:r>
            <w:r>
              <w:t xml:space="preserve"> </w:t>
            </w:r>
            <w:r>
              <w:rPr>
                <w:rStyle w:val="Text34"/>
              </w:rPr>
              <w:t>3.11+</w:t>
            </w:r>
            <w:r>
              <w:t xml:space="preserve"> A</w:t>
            </w:r>
            <w:r>
              <w:rPr>
                <w:rStyle w:val="Text111"/>
              </w:rPr>
              <w:bookmarkStart w:id="1790" w:name="idm45965257230448"/>
              <w:t/>
              <w:bookmarkEnd w:id="1790"/>
            </w:r>
            <w:r>
              <w:t xml:space="preserve"> context manager whose </w:t>
            </w:r>
            <w:r>
              <w:rPr>
                <w:rStyle w:val="Text0"/>
              </w:rPr>
              <w:t>__enter__</w:t>
            </w:r>
            <w:r>
              <w:t xml:space="preserve"> method saves the current working directory path and performs </w:t>
            </w:r>
            <w:r>
              <w:rPr>
                <w:rStyle w:val="Text0"/>
              </w:rPr>
              <w:t>os.chdir(</w:t>
            </w:r>
            <w:r>
              <w:rPr>
                <w:rStyle w:val="Text3"/>
              </w:rPr>
              <w:t>dir_path</w:t>
            </w:r>
            <w:r>
              <w:rPr>
                <w:rStyle w:val="Text0"/>
              </w:rPr>
              <w:t>)</w:t>
            </w:r>
            <w:r>
              <w:t xml:space="preserve">, and whose </w:t>
            </w:r>
            <w:r>
              <w:rPr>
                <w:rStyle w:val="Text0"/>
              </w:rPr>
              <w:t>__exit__</w:t>
            </w:r>
            <w:r>
              <w:t xml:space="preserve"> method performs </w:t>
            </w:r>
            <w:r>
              <w:rPr>
                <w:rStyle w:val="Text0"/>
              </w:rPr>
              <w:t>os.chdir(</w:t>
            </w:r>
            <w:r>
              <w:rPr>
                <w:rStyle w:val="Text3"/>
              </w:rPr>
              <w:t>saved_path</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closing</w:t>
            </w:r>
          </w:p>
        </w:tc>
        <w:tc>
          <w:tcPr>
            <w:tcW w:type="auto" w:w="0"/>
            <w:tcMar>
              <w:left w:type="dxa" w:w="200"/>
              <w:top w:type="dxa" w:w="200"/>
              <w:right w:type="dxa" w:w="200"/>
              <w:bottom w:type="dxa" w:w="200"/>
            </w:tcMar>
          </w:tcPr>
          <w:p>
            <w:pPr>
              <w:pStyle w:val="Para 002"/>
            </w:pPr>
            <w:r>
              <w:rPr>
                <w:rStyle w:val="Text0"/>
              </w:rPr>
              <w:t>closing(</w:t>
            </w:r>
            <w:r>
              <w:rPr>
                <w:rStyle w:val="Text3"/>
              </w:rPr>
              <w:t>something</w:t>
            </w:r>
            <w:r>
              <w:rPr>
                <w:rStyle w:val="Text0"/>
              </w:rPr>
              <w:t>)</w:t>
              <w:br w:clear="none"/>
            </w:r>
            <w:r>
              <w:t xml:space="preserve"> A</w:t>
            </w:r>
            <w:r>
              <w:rPr>
                <w:rStyle w:val="Text111"/>
              </w:rPr>
              <w:bookmarkStart w:id="1791" w:name="idm45965257222464"/>
              <w:t/>
              <w:bookmarkEnd w:id="1791"/>
            </w:r>
            <w:r>
              <w:t xml:space="preserve"> context manager whose </w:t>
            </w:r>
            <w:r>
              <w:rPr>
                <w:rStyle w:val="Text0"/>
              </w:rPr>
              <w:t>__enter__</w:t>
            </w:r>
            <w:r>
              <w:t xml:space="preserve"> method is </w:t>
            </w:r>
            <w:r>
              <w:rPr>
                <w:rStyle w:val="Text5"/>
              </w:rPr>
              <w:t>return</w:t>
            </w:r>
            <w:r>
              <w:t xml:space="preserve"> </w:t>
            </w:r>
            <w:r>
              <w:rPr>
                <w:rStyle w:val="Text3"/>
              </w:rPr>
              <w:t>something</w:t>
            </w:r>
            <w:r>
              <w:t xml:space="preserve">, and whose </w:t>
            </w:r>
            <w:r>
              <w:rPr>
                <w:rStyle w:val="Text0"/>
              </w:rPr>
              <w:t>__exit__</w:t>
            </w:r>
            <w:r>
              <w:t xml:space="preserve"> method calls </w:t>
            </w:r>
            <w:r>
              <w:rPr>
                <w:rStyle w:val="Text3"/>
              </w:rPr>
              <w:t>something</w:t>
            </w:r>
            <w:r>
              <w:rPr>
                <w:rStyle w:val="Text0"/>
              </w:rPr>
              <w:t>.close()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contextmanager</w:t>
            </w:r>
          </w:p>
        </w:tc>
        <w:tc>
          <w:tcPr>
            <w:tcW w:type="auto" w:w="0"/>
            <w:shd w:val="clear" w:color="auto" w:fill="EEF2F6"/>
            <w:tcMar>
              <w:left w:type="dxa" w:w="200"/>
              <w:top w:type="dxa" w:w="200"/>
              <w:right w:type="dxa" w:w="200"/>
              <w:bottom w:type="dxa" w:w="200"/>
            </w:tcMar>
          </w:tcPr>
          <w:p>
            <w:pPr>
              <w:pStyle w:val="Para 002"/>
            </w:pPr>
            <w:r>
              <w:rPr>
                <w:rStyle w:val="Text0"/>
              </w:rPr>
              <w:t>contextmanager</w:t>
              <w:br w:clear="none"/>
            </w:r>
            <w:r>
              <w:t xml:space="preserve"> A</w:t>
            </w:r>
            <w:r>
              <w:rPr>
                <w:rStyle w:val="Text111"/>
              </w:rPr>
              <w:bookmarkStart w:id="1792" w:name="idm45965257214384"/>
              <w:t/>
              <w:bookmarkEnd w:id="1792"/>
            </w:r>
            <w:r>
              <w:t xml:space="preserve"> decorator that you apply to a generator to make it into a context manager.</w:t>
            </w:r>
          </w:p>
        </w:tc>
      </w:tr>
    </w:tbl>
    <w:tbl>
      <w:tblPr>
        <w:tblW w:type="auto" w:w="0"/>
      </w:tblPr>
      <w:tr>
        <w:tc>
          <w:tcPr>
            <w:tcW w:type="auto" w:w="0"/>
            <w:tcMar>
              <w:left w:type="dxa" w:w="200"/>
              <w:top w:type="dxa" w:w="200"/>
              <w:right w:type="dxa" w:w="200"/>
              <w:bottom w:type="dxa" w:w="200"/>
            </w:tcMar>
          </w:tcPr>
          <w:p>
            <w:pPr>
              <w:pStyle w:val="Para 001"/>
            </w:pPr>
            <w:r>
              <w:t>nullcontext</w:t>
            </w:r>
          </w:p>
        </w:tc>
        <w:tc>
          <w:tcPr>
            <w:tcW w:type="auto" w:w="0"/>
            <w:tcMar>
              <w:left w:type="dxa" w:w="200"/>
              <w:top w:type="dxa" w:w="200"/>
              <w:right w:type="dxa" w:w="200"/>
              <w:bottom w:type="dxa" w:w="200"/>
            </w:tcMar>
          </w:tcPr>
          <w:p>
            <w:pPr>
              <w:pStyle w:val="Para 002"/>
            </w:pPr>
            <w:r>
              <w:rPr>
                <w:rStyle w:val="Text0"/>
              </w:rPr>
              <w:t>nullcontext(</w:t>
            </w:r>
            <w:r>
              <w:rPr>
                <w:rStyle w:val="Text3"/>
              </w:rPr>
              <w:t>something</w:t>
            </w:r>
            <w:r>
              <w:rPr>
                <w:rStyle w:val="Text0"/>
              </w:rPr>
              <w:t>)</w:t>
              <w:br w:clear="none"/>
            </w:r>
            <w:r>
              <w:t xml:space="preserve"> A</w:t>
            </w:r>
            <w:r>
              <w:rPr>
                <w:rStyle w:val="Text111"/>
              </w:rPr>
              <w:bookmarkStart w:id="1793" w:name="idm45965257210080"/>
              <w:t/>
              <w:bookmarkEnd w:id="1793"/>
            </w:r>
            <w:r>
              <w:t xml:space="preserve"> context manager whose </w:t>
            </w:r>
            <w:r>
              <w:rPr>
                <w:rStyle w:val="Text0"/>
              </w:rPr>
              <w:t>__enter__</w:t>
            </w:r>
            <w:r>
              <w:t xml:space="preserve"> method is </w:t>
            </w:r>
            <w:r>
              <w:rPr>
                <w:rStyle w:val="Text5"/>
              </w:rPr>
              <w:t>return</w:t>
            </w:r>
            <w:r>
              <w:t xml:space="preserve"> </w:t>
            </w:r>
            <w:r>
              <w:rPr>
                <w:rStyle w:val="Text3"/>
              </w:rPr>
              <w:t>something</w:t>
            </w:r>
            <w:r>
              <w:t xml:space="preserve">, and whose </w:t>
            </w:r>
            <w:r>
              <w:rPr>
                <w:rStyle w:val="Text0"/>
              </w:rPr>
              <w:t>__exit__</w:t>
            </w:r>
            <w:r>
              <w:t xml:space="preserve"> method does nothing.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redirect_stderr</w:t>
            </w:r>
          </w:p>
        </w:tc>
        <w:tc>
          <w:tcPr>
            <w:tcW w:type="auto" w:w="0"/>
            <w:shd w:val="clear" w:color="auto" w:fill="EEF2F6"/>
            <w:tcMar>
              <w:left w:type="dxa" w:w="200"/>
              <w:top w:type="dxa" w:w="200"/>
              <w:right w:type="dxa" w:w="200"/>
              <w:bottom w:type="dxa" w:w="200"/>
            </w:tcMar>
          </w:tcPr>
          <w:p>
            <w:pPr>
              <w:pStyle w:val="Para 002"/>
            </w:pPr>
            <w:r>
              <w:rPr>
                <w:rStyle w:val="Text0"/>
              </w:rPr>
              <w:t>redirect_stderr(</w:t>
            </w:r>
            <w:r>
              <w:rPr>
                <w:rStyle w:val="Text3"/>
              </w:rPr>
              <w:t>destination</w:t>
            </w:r>
            <w:r>
              <w:rPr>
                <w:rStyle w:val="Text0"/>
              </w:rPr>
              <w:t>)</w:t>
              <w:br w:clear="none"/>
            </w:r>
            <w:r>
              <w:t xml:space="preserve"> A</w:t>
            </w:r>
            <w:r>
              <w:rPr>
                <w:rStyle w:val="Text111"/>
              </w:rPr>
              <w:bookmarkStart w:id="1794" w:name="idm45965257202736"/>
              <w:t/>
              <w:bookmarkEnd w:id="1794"/>
            </w:r>
            <w:r>
              <w:t xml:space="preserve"> context manager that temporarily redirects, within the body of the </w:t>
            </w:r>
            <w:r>
              <w:rPr>
                <w:rStyle w:val="Text5"/>
              </w:rPr>
              <w:t>with</w:t>
            </w:r>
            <w:r>
              <w:t xml:space="preserve"> statement, </w:t>
            </w:r>
            <w:r>
              <w:rPr>
                <w:rStyle w:val="Text0"/>
              </w:rPr>
              <w:t>sys.stderr</w:t>
            </w:r>
            <w:r>
              <w:t xml:space="preserve"> to the file or file-like object </w:t>
            </w:r>
            <w:r>
              <w:rPr>
                <w:rStyle w:val="Text3"/>
              </w:rPr>
              <w:t>destination</w:t>
            </w:r>
            <w:r>
              <w:t>.</w:t>
            </w:r>
          </w:p>
        </w:tc>
      </w:tr>
    </w:tbl>
    <w:tbl>
      <w:tblPr>
        <w:tblW w:type="auto" w:w="0"/>
      </w:tblPr>
      <w:tr>
        <w:tc>
          <w:tcPr>
            <w:tcW w:type="auto" w:w="0"/>
            <w:tcMar>
              <w:left w:type="dxa" w:w="200"/>
              <w:top w:type="dxa" w:w="200"/>
              <w:right w:type="dxa" w:w="200"/>
              <w:bottom w:type="dxa" w:w="200"/>
            </w:tcMar>
          </w:tcPr>
          <w:p>
            <w:pPr>
              <w:pStyle w:val="Para 001"/>
            </w:pPr>
            <w:r>
              <w:t>redirect_stdout</w:t>
            </w:r>
          </w:p>
        </w:tc>
        <w:tc>
          <w:tcPr>
            <w:tcW w:type="auto" w:w="0"/>
            <w:tcMar>
              <w:left w:type="dxa" w:w="200"/>
              <w:top w:type="dxa" w:w="200"/>
              <w:right w:type="dxa" w:w="200"/>
              <w:bottom w:type="dxa" w:w="200"/>
            </w:tcMar>
          </w:tcPr>
          <w:p>
            <w:pPr>
              <w:pStyle w:val="Para 002"/>
            </w:pPr>
            <w:r>
              <w:rPr>
                <w:rStyle w:val="Text0"/>
              </w:rPr>
              <w:t>redirect_stdout(</w:t>
            </w:r>
            <w:r>
              <w:rPr>
                <w:rStyle w:val="Text3"/>
              </w:rPr>
              <w:t>destination</w:t>
            </w:r>
            <w:r>
              <w:rPr>
                <w:rStyle w:val="Text0"/>
              </w:rPr>
              <w:t>)</w:t>
              <w:br w:clear="none"/>
            </w:r>
            <w:r>
              <w:t xml:space="preserve"> A</w:t>
            </w:r>
            <w:r>
              <w:rPr>
                <w:rStyle w:val="Text111"/>
              </w:rPr>
              <w:bookmarkStart w:id="1795" w:name="idm45965257196176"/>
              <w:t/>
              <w:bookmarkEnd w:id="1795"/>
            </w:r>
            <w:r>
              <w:t xml:space="preserve"> context manager that temporarily redirects, within the body of the </w:t>
            </w:r>
            <w:r>
              <w:rPr>
                <w:rStyle w:val="Text5"/>
              </w:rPr>
              <w:t>with</w:t>
            </w:r>
            <w:r>
              <w:t xml:space="preserve"> statement, </w:t>
            </w:r>
            <w:r>
              <w:rPr>
                <w:rStyle w:val="Text0"/>
              </w:rPr>
              <w:t>sys.stdout</w:t>
            </w:r>
            <w:r>
              <w:t xml:space="preserve"> to the file or file-like object </w:t>
            </w:r>
            <w:r>
              <w:rPr>
                <w:rStyle w:val="Text3"/>
              </w:rPr>
              <w:t>destination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suppress</w:t>
            </w:r>
          </w:p>
        </w:tc>
        <w:tc>
          <w:tcPr>
            <w:tcW w:type="auto" w:w="0"/>
            <w:shd w:val="clear" w:color="auto" w:fill="EEF2F6"/>
            <w:tcMar>
              <w:left w:type="dxa" w:w="200"/>
              <w:top w:type="dxa" w:w="200"/>
              <w:right w:type="dxa" w:w="200"/>
              <w:bottom w:type="dxa" w:w="200"/>
            </w:tcMar>
          </w:tcPr>
          <w:p>
            <w:pPr>
              <w:pStyle w:val="Para 002"/>
            </w:pPr>
            <w:r>
              <w:rPr>
                <w:rStyle w:val="Text0"/>
              </w:rPr>
              <w:t>suppress(</w:t>
            </w:r>
            <w:r>
              <w:rPr>
                <w:rStyle w:val="Text3"/>
              </w:rPr>
              <w:t>*exception_classes</w:t>
            </w:r>
            <w:r>
              <w:rPr>
                <w:rStyle w:val="Text0"/>
              </w:rPr>
              <w:t>)</w:t>
              <w:br w:clear="none"/>
            </w:r>
            <w:r>
              <w:t xml:space="preserve"> A </w:t>
            </w:r>
            <w:r>
              <w:rPr>
                <w:rStyle w:val="Text111"/>
              </w:rPr>
              <w:bookmarkStart w:id="1796" w:name="idm45965257189616"/>
              <w:t/>
              <w:bookmarkEnd w:id="1796"/>
            </w:r>
            <w:r>
              <w:t xml:space="preserve">context manager that silently suppresses exceptions occurring in the body of the </w:t>
            </w:r>
            <w:r>
              <w:rPr>
                <w:rStyle w:val="Text5"/>
              </w:rPr>
              <w:t>with</w:t>
            </w:r>
            <w:r>
              <w:t xml:space="preserve"> statement of any of the classes listed in </w:t>
            </w:r>
            <w:r>
              <w:rPr>
                <w:rStyle w:val="Text3"/>
              </w:rPr>
              <w:t>exception_classes</w:t>
            </w:r>
            <w:r>
              <w:t xml:space="preserve">. For instance, this function to delete a file ignores </w:t>
            </w:r>
            <w:r>
              <w:rPr>
                <w:rStyle w:val="Text0"/>
              </w:rPr>
              <w:t>FileNotFoundError</w:t>
            </w:r>
            <w:r>
              <w:t xml:space="preserve">: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delete_file</w:t>
              <w:br w:clear="none"/>
            </w:r>
            <w:r>
              <w:rPr>
                <w:rStyle w:val="Text7"/>
              </w:rPr>
              <w:t xml:space="preserve">(</w:t>
              <w:br w:clear="none"/>
            </w:r>
            <w:r>
              <w:t xml:space="preserve">filename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contextlib</w:t>
              <w:br w:clear="none"/>
            </w:r>
            <w:r>
              <w:rPr>
                <w:rStyle w:val="Text13"/>
              </w:rPr>
              <w:t xml:space="preserve">.</w:t>
              <w:br w:clear="none"/>
            </w:r>
            <w:r>
              <w:t xml:space="preserve">suppress</w:t>
              <w:br w:clear="none"/>
            </w:r>
            <w:r>
              <w:rPr>
                <w:rStyle w:val="Text7"/>
              </w:rPr>
              <w:t xml:space="preserve">(</w:t>
              <w:br w:clear="none"/>
            </w:r>
            <w:r>
              <w:rPr>
                <w:rStyle w:val="Text36"/>
              </w:rPr>
              <w:t xml:space="preserve">FileNotFoundError</w:t>
              <w:br w:clear="none"/>
            </w:r>
            <w:r>
              <w:rPr>
                <w:rStyle w:val="Text7"/>
              </w:rPr>
              <w:t xml:space="preserve">)</w:t>
              <w:br w:clear="none"/>
              <w:t xml:space="preserve">:</w:t>
              <w:br w:clear="none"/>
            </w:r>
            <w:r>
              <w:rPr>
                <w:rStyle w:val="Text6"/>
              </w:rPr>
              <w:t xml:space="preserve"/>
              <w:br w:clear="none"/>
              <w:t xml:space="preserve">        </w:t>
              <w:br w:clear="none"/>
            </w:r>
            <w:r>
              <w:t xml:space="preserve">os</w:t>
              <w:br w:clear="none"/>
            </w:r>
            <w:r>
              <w:rPr>
                <w:rStyle w:val="Text13"/>
              </w:rPr>
              <w:t xml:space="preserve">.</w:t>
              <w:br w:clear="none"/>
            </w:r>
            <w:r>
              <w:t xml:space="preserve">remove</w:t>
              <w:br w:clear="none"/>
            </w:r>
            <w:r>
              <w:rPr>
                <w:rStyle w:val="Text7"/>
              </w:rPr>
              <w:t xml:space="preserve">(</w:t>
              <w:br w:clear="none"/>
            </w:r>
            <w:r>
              <w:t xml:space="preserve">filename</w:t>
              <w:br w:clear="none"/>
            </w:r>
            <w:r>
              <w:rPr>
                <w:rStyle w:val="Text7"/>
              </w:rPr>
              <w:t xml:space="preserve">)</w:t>
              <w:br w:clear="none"/>
            </w:r>
          </w:p>
          <w:p>
            <w:pPr>
              <w:pStyle w:val="Para 022"/>
            </w:pPr>
            <w:r>
              <w:t xml:space="preserve"> Use sparingly, since silently suppressing exceptions is often bad practice.</w:t>
            </w:r>
          </w:p>
        </w:tc>
      </w:tr>
    </w:tbl>
    <w:p>
      <w:pPr>
        <w:pStyle w:val="Normal"/>
      </w:pPr>
      <w:r>
        <w:t xml:space="preserve">For more details, examples, “recipes,” and even more (somewhat abstruse) classes, see Python’s </w:t>
      </w:r>
      <w:hyperlink r:id="rId269">
        <w:r>
          <w:rPr>
            <w:rStyle w:val="Text1"/>
          </w:rPr>
          <w:t>online docs</w:t>
        </w:r>
      </w:hyperlink>
      <w:r>
        <w:t>.</w:t>
      </w:r>
      <w:r>
        <w:rPr>
          <w:rStyle w:val="Text111"/>
        </w:rPr>
        <w:bookmarkStart w:id="1797" w:name="idm45965257159920"/>
        <w:t/>
        <w:bookmarkEnd w:id="1797"/>
        <w:bookmarkStart w:id="1798" w:name="idm45965257158704"/>
        <w:t/>
        <w:bookmarkEnd w:id="1798"/>
        <w:bookmarkStart w:id="1799" w:name="idm45965257157328"/>
        <w:t/>
        <w:bookmarkEnd w:id="1799"/>
      </w:r>
    </w:p>
    <w:p>
      <w:bookmarkStart w:id="1800" w:name="Generators_and_Exceptions__To_he"/>
      <w:pPr>
        <w:keepNext/>
        <w:pStyle w:val="Heading 1"/>
      </w:pPr>
      <w:r>
        <w:t>Generators and Exceptions</w:t>
      </w:r>
      <w:bookmarkEnd w:id="1800"/>
    </w:p>
    <w:p>
      <w:pPr>
        <w:pStyle w:val="Normal"/>
      </w:pPr>
      <w:r>
        <w:t>To</w:t>
      </w:r>
      <w:r>
        <w:rPr>
          <w:rStyle w:val="Text111"/>
        </w:rPr>
        <w:bookmarkStart w:id="1801" w:name="idm45965257153984"/>
        <w:t/>
        <w:bookmarkEnd w:id="1801"/>
        <w:bookmarkStart w:id="1802" w:name="idm45965257133184"/>
        <w:t/>
        <w:bookmarkEnd w:id="1802"/>
      </w:r>
      <w:r>
        <w:t xml:space="preserve"> help generators cooperate with exceptions, </w:t>
      </w:r>
      <w:r>
        <w:rPr>
          <w:rStyle w:val="Text5"/>
        </w:rPr>
        <w:t>yield</w:t>
      </w:r>
      <w:r>
        <w:t xml:space="preserve"> statements are allowed inside </w:t>
      </w:r>
      <w:r>
        <w:rPr>
          <w:rStyle w:val="Text5"/>
        </w:rPr>
        <w:t>try</w:t>
      </w:r>
      <w:r>
        <w:rPr>
          <w:rStyle w:val="Text0"/>
        </w:rPr>
        <w:t>/</w:t>
      </w:r>
      <w:r>
        <w:rPr>
          <w:rStyle w:val="Text5"/>
        </w:rPr>
        <w:t>finally</w:t>
      </w:r>
      <w:r>
        <w:t xml:space="preserve"> statements. Moreover, generator objects have two other relevant methods, </w:t>
      </w:r>
      <w:r>
        <w:rPr>
          <w:rStyle w:val="Text0"/>
        </w:rPr>
        <w:t>throw</w:t>
      </w:r>
      <w:r>
        <w:t xml:space="preserve"> and </w:t>
      </w:r>
      <w:r>
        <w:rPr>
          <w:rStyle w:val="Text0"/>
        </w:rPr>
        <w:t>close</w:t>
      </w:r>
      <w:r>
        <w:t xml:space="preserve">. Given a generator object </w:t>
      </w:r>
      <w:r>
        <w:rPr>
          <w:rStyle w:val="Text3"/>
        </w:rPr>
        <w:t>g</w:t>
      </w:r>
      <w:r>
        <w:t xml:space="preserve"> built by calling a generator function, the </w:t>
      </w:r>
      <w:r>
        <w:rPr>
          <w:rStyle w:val="Text0"/>
        </w:rPr>
        <w:t>throw</w:t>
      </w:r>
      <w:r>
        <w:t xml:space="preserve"> method’s signature is:</w:t>
      </w:r>
    </w:p>
    <w:p>
      <w:pPr>
        <w:pStyle w:val="Para 032"/>
      </w:pPr>
      <w:r>
        <w:rPr>
          <w:rStyle w:val="Text116"/>
        </w:rPr>
        <w:t xml:space="preserve"/>
        <w:br w:clear="none"/>
      </w:r>
      <w:r>
        <w:rPr>
          <w:rStyle w:val="Text4"/>
        </w:rPr>
        <w:t xml:space="preserve">g</w:t>
        <w:br w:clear="none"/>
      </w:r>
      <w:r>
        <w:rPr>
          <w:rStyle w:val="Text28"/>
        </w:rPr>
        <w:t xml:space="preserve">.</w:t>
        <w:br w:clear="none"/>
      </w:r>
      <w:r>
        <w:rPr>
          <w:rStyle w:val="Text4"/>
        </w:rPr>
        <w:t xml:space="preserve">throw</w:t>
        <w:br w:clear="none"/>
      </w:r>
      <w:r>
        <w:rPr>
          <w:rStyle w:val="Text19"/>
        </w:rPr>
        <w:t xml:space="preserve">(</w:t>
        <w:br w:clear="none"/>
      </w:r>
      <w:r>
        <w:t xml:space="preserve">exc_value</w:t>
        <w:br w:clear="none"/>
      </w:r>
      <w:r>
        <w:rPr>
          <w:rStyle w:val="Text19"/>
        </w:rPr>
        <w:t xml:space="preserve">)</w:t>
        <w:br w:clear="none"/>
      </w:r>
    </w:p>
    <w:p>
      <w:pPr>
        <w:pStyle w:val="Normal"/>
      </w:pPr>
      <w:r>
        <w:t xml:space="preserve">When the generator’s caller calls </w:t>
      </w:r>
      <w:r>
        <w:rPr>
          <w:rStyle w:val="Text3"/>
        </w:rPr>
        <w:t>g</w:t>
      </w:r>
      <w:r>
        <w:rPr>
          <w:rStyle w:val="Text0"/>
        </w:rPr>
        <w:t>.throw</w:t>
      </w:r>
      <w:r>
        <w:t xml:space="preserve">, the effect is just as if a </w:t>
      </w:r>
      <w:r>
        <w:rPr>
          <w:rStyle w:val="Text5"/>
        </w:rPr>
        <w:t>raise</w:t>
      </w:r>
      <w:r>
        <w:t xml:space="preserve"> statement with the same argument executed at the spot of the </w:t>
      </w:r>
      <w:r>
        <w:rPr>
          <w:rStyle w:val="Text5"/>
        </w:rPr>
        <w:t>yield</w:t>
      </w:r>
      <w:r>
        <w:t xml:space="preserve"> at which generator </w:t>
      </w:r>
      <w:r>
        <w:rPr>
          <w:rStyle w:val="Text3"/>
        </w:rPr>
        <w:t>g</w:t>
      </w:r>
      <w:r>
        <w:t xml:space="preserve"> is suspended.</w:t>
      </w:r>
    </w:p>
    <w:p>
      <w:pPr>
        <w:pStyle w:val="Normal"/>
      </w:pPr>
      <w:r>
        <w:t xml:space="preserve">The generator method </w:t>
      </w:r>
      <w:r>
        <w:rPr>
          <w:rStyle w:val="Text0"/>
        </w:rPr>
        <w:t>close</w:t>
      </w:r>
      <w:r>
        <w:t xml:space="preserve"> has no arguments; when the generator’s caller calls </w:t>
      </w:r>
      <w:r>
        <w:rPr>
          <w:rStyle w:val="Text3"/>
        </w:rPr>
        <w:t>g</w:t>
      </w:r>
      <w:r>
        <w:rPr>
          <w:rStyle w:val="Text0"/>
        </w:rPr>
        <w:t>.close()</w:t>
      </w:r>
      <w:r>
        <w:t xml:space="preserve">, the effect is like calling </w:t>
      </w:r>
      <w:r>
        <w:rPr>
          <w:rStyle w:val="Text3"/>
        </w:rPr>
        <w:t>g</w:t>
      </w:r>
      <w:r>
        <w:rPr>
          <w:rStyle w:val="Text0"/>
        </w:rPr>
        <w:t>.throw(GeneratorExit())</w:t>
      </w:r>
      <w:r>
        <w:t>.</w:t>
      </w:r>
      <w:hyperlink w:anchor="1_Except_that_multiple_calls_to">
        <w:r>
          <w:rPr>
            <w:rStyle w:val="Text41"/>
          </w:rPr>
          <w:bookmarkStart w:id="1803" w:name="1_6"/>
          <w:t>1</w:t>
          <w:bookmarkEnd w:id="1803"/>
        </w:r>
      </w:hyperlink>
      <w:r>
        <w:t xml:space="preserve"> </w:t>
      </w:r>
      <w:r>
        <w:rPr>
          <w:rStyle w:val="Text0"/>
        </w:rPr>
        <w:t>GeneratorExit</w:t>
      </w:r>
      <w:r>
        <w:t xml:space="preserve"> is a built-in exception class that inherits directly from </w:t>
      </w:r>
      <w:r>
        <w:rPr>
          <w:rStyle w:val="Text0"/>
        </w:rPr>
        <w:t>BaseException</w:t>
      </w:r>
      <w:r>
        <w:t xml:space="preserve">. Generators also have a finalizer (the special method </w:t>
      </w:r>
      <w:r>
        <w:rPr>
          <w:rStyle w:val="Text0"/>
        </w:rPr>
        <w:t>__del__</w:t>
      </w:r>
      <w:r>
        <w:t xml:space="preserve">) that implicitly calls </w:t>
      </w:r>
      <w:r>
        <w:rPr>
          <w:rStyle w:val="Text0"/>
        </w:rPr>
        <w:t>close</w:t>
      </w:r>
      <w:r>
        <w:t xml:space="preserve"> when the generator object is garbage-collected.</w:t>
      </w:r>
    </w:p>
    <w:p>
      <w:pPr>
        <w:pStyle w:val="Normal"/>
      </w:pPr>
      <w:r>
        <w:t xml:space="preserve">If a generator raises or propagates a </w:t>
      </w:r>
      <w:r>
        <w:rPr>
          <w:rStyle w:val="Text0"/>
        </w:rPr>
        <w:t>StopIteration</w:t>
      </w:r>
      <w:r>
        <w:t xml:space="preserve"> exception, Python turns the exception’s type into </w:t>
      </w:r>
      <w:r>
        <w:rPr>
          <w:rStyle w:val="Text0"/>
        </w:rPr>
        <w:t>RuntimeError</w:t>
      </w:r>
      <w:r>
        <w:t>.</w:t>
      </w:r>
    </w:p>
    <w:p>
      <w:bookmarkStart w:id="1804" w:name="Exception_Propagation__When_an_e"/>
      <w:pPr>
        <w:keepNext/>
        <w:pStyle w:val="Heading 1"/>
      </w:pPr>
      <w:r>
        <w:t>Exception Propagation</w:t>
      </w:r>
      <w:bookmarkEnd w:id="1804"/>
    </w:p>
    <w:p>
      <w:pPr>
        <w:pStyle w:val="Normal"/>
      </w:pPr>
      <w:r>
        <w:t>When</w:t>
      </w:r>
      <w:r>
        <w:rPr>
          <w:rStyle w:val="Text111"/>
        </w:rPr>
        <w:bookmarkStart w:id="1805" w:name="idm45965257084064"/>
        <w:t/>
        <w:bookmarkEnd w:id="1805"/>
      </w:r>
      <w:r>
        <w:t xml:space="preserve"> an exception is raised, the exception propagation mechanism takes control. The normal control flow of the program stops, and Python looks for a suitable exception handler. Python’s </w:t>
      </w:r>
      <w:r>
        <w:rPr>
          <w:rStyle w:val="Text5"/>
        </w:rPr>
        <w:t>try</w:t>
      </w:r>
      <w:r>
        <w:t xml:space="preserve"> statement establishes exception handlers via its </w:t>
      </w:r>
      <w:r>
        <w:rPr>
          <w:rStyle w:val="Text5"/>
        </w:rPr>
        <w:t>except</w:t>
      </w:r>
      <w:r>
        <w:t xml:space="preserve"> clauses. The handlers deal with exceptions raised in the body of the </w:t>
      </w:r>
      <w:r>
        <w:rPr>
          <w:rStyle w:val="Text5"/>
        </w:rPr>
        <w:t>try</w:t>
      </w:r>
      <w:r>
        <w:t xml:space="preserve"> clause, as well as exceptions propagating from functions called by that code, directly or indirectly. If an exception is raised within a </w:t>
      </w:r>
      <w:r>
        <w:rPr>
          <w:rStyle w:val="Text5"/>
        </w:rPr>
        <w:t>try</w:t>
      </w:r>
      <w:r>
        <w:t xml:space="preserve"> clause that has an applicable </w:t>
      </w:r>
      <w:r>
        <w:rPr>
          <w:rStyle w:val="Text5"/>
        </w:rPr>
        <w:t>except</w:t>
      </w:r>
      <w:r>
        <w:t xml:space="preserve"> handler, the </w:t>
      </w:r>
      <w:r>
        <w:rPr>
          <w:rStyle w:val="Text5"/>
        </w:rPr>
        <w:t>try</w:t>
      </w:r>
      <w:r>
        <w:t xml:space="preserve"> clause terminates and the handler executes. When the handler finishes, execution continues with the statement after the </w:t>
      </w:r>
      <w:r>
        <w:rPr>
          <w:rStyle w:val="Text5"/>
        </w:rPr>
        <w:t>try</w:t>
      </w:r>
      <w:r>
        <w:t xml:space="preserve"> statement (in the absence of any explicit change to the flow of control, such as a </w:t>
      </w:r>
      <w:r>
        <w:rPr>
          <w:rStyle w:val="Text5"/>
        </w:rPr>
        <w:t>raise</w:t>
      </w:r>
      <w:r>
        <w:t xml:space="preserve"> or </w:t>
      </w:r>
      <w:r>
        <w:rPr>
          <w:rStyle w:val="Text5"/>
        </w:rPr>
        <w:t>return</w:t>
      </w:r>
      <w:r>
        <w:t xml:space="preserve"> statement).</w:t>
      </w:r>
    </w:p>
    <w:p>
      <w:pPr>
        <w:pStyle w:val="Normal"/>
      </w:pPr>
      <w:r>
        <w:t xml:space="preserve">If the statement raising the exception is not within a </w:t>
      </w:r>
      <w:r>
        <w:rPr>
          <w:rStyle w:val="Text5"/>
        </w:rPr>
        <w:t>try</w:t>
      </w:r>
      <w:r>
        <w:t xml:space="preserve"> clause that has an applicable handler, the function containing the statement terminates, and the exception propagates “upward” along the stack of function calls to the statement that called the function. If the call to the terminated function is within a </w:t>
      </w:r>
      <w:r>
        <w:rPr>
          <w:rStyle w:val="Text5"/>
        </w:rPr>
        <w:t>try</w:t>
      </w:r>
      <w:r>
        <w:t xml:space="preserve"> clause that has an applicable handler, that </w:t>
      </w:r>
      <w:r>
        <w:rPr>
          <w:rStyle w:val="Text5"/>
        </w:rPr>
        <w:t>try</w:t>
      </w:r>
      <w:r>
        <w:t xml:space="preserve"> clause terminates, and the handler executes. Otherwise, the function containing the call terminates, and the propagation process repeats, </w:t>
      </w:r>
      <w:r>
        <w:rPr>
          <w:rStyle w:val="Text4"/>
        </w:rPr>
        <w:t>unwinding</w:t>
      </w:r>
      <w:r>
        <w:t xml:space="preserve"> the stack of function calls until an applicable handler is found.</w:t>
      </w:r>
    </w:p>
    <w:p>
      <w:pPr>
        <w:pStyle w:val="Normal"/>
      </w:pPr>
      <w:r>
        <w:t>If Python cannot find any applicable handler, by default the program prints an error message to the standard error stream (</w:t>
      </w:r>
      <w:r>
        <w:rPr>
          <w:rStyle w:val="Text0"/>
        </w:rPr>
        <w:t>sys.stderr</w:t>
      </w:r>
      <w:r>
        <w:t xml:space="preserve">). The error message includes a traceback that gives details about functions terminated during propagation. You can change Python’s default error-reporting behavior by setting </w:t>
      </w:r>
      <w:r>
        <w:rPr>
          <w:rStyle w:val="Text0"/>
        </w:rPr>
        <w:t>sys.excepthook</w:t>
      </w:r>
      <w:r>
        <w:t xml:space="preserve"> (covered in </w:t>
      </w:r>
      <w:hyperlink w:anchor="Table_8_3__Functions_and_attribu">
        <w:r>
          <w:rPr>
            <w:rStyle w:val="Text1"/>
          </w:rPr>
          <w:t>Table 8-3</w:t>
        </w:r>
      </w:hyperlink>
      <w:r>
        <w:t xml:space="preserve">). After error reporting, Python goes back to the interactive session, if any, or terminates if execution was not interactive. When the exception type is </w:t>
      </w:r>
      <w:r>
        <w:rPr>
          <w:rStyle w:val="Text0"/>
        </w:rPr>
        <w:t>SystemExit</w:t>
      </w:r>
      <w:r>
        <w:t>, termination is silent and ends the interactive session, if any.</w:t>
      </w:r>
    </w:p>
    <w:p>
      <w:pPr>
        <w:pStyle w:val="Normal"/>
      </w:pPr>
      <w:r>
        <w:t>Here are some functions to show exception propagation at work:</w:t>
      </w:r>
    </w:p>
    <w:p>
      <w:pPr>
        <w:pStyle w:val="Para 020"/>
      </w:pPr>
      <w:r>
        <w:rPr>
          <w:rStyle w:val="Text23"/>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f, before 1/0</w:t>
        <w:br w:clear="none"/>
        <w:t xml:space="preserve">'</w:t>
        <w:br w:clear="none"/>
      </w:r>
      <w:r>
        <w:rPr>
          <w:rStyle w:val="Text7"/>
        </w:rPr>
        <w:t xml:space="preserve">)</w:t>
        <w:br w:clear="none"/>
      </w:r>
      <w:r>
        <w:rPr>
          <w:rStyle w:val="Text6"/>
        </w:rPr>
        <w:t xml:space="preserve"/>
        <w:br w:clear="none"/>
        <w:t xml:space="preserve">    </w:t>
        <w:br w:clear="none"/>
      </w:r>
      <w:r>
        <w:rPr>
          <w:rStyle w:val="Text27"/>
        </w:rPr>
        <w:t xml:space="preserve">1</w:t>
        <w:br w:clear="none"/>
      </w:r>
      <w:r>
        <w:rPr>
          <w:rStyle w:val="Text13"/>
        </w:rPr>
        <w:t xml:space="preserve">/</w:t>
        <w:br w:clear="none"/>
      </w:r>
      <w:r>
        <w:rPr>
          <w:rStyle w:val="Text27"/>
        </w:rPr>
        <w:t xml:space="preserve">0</w:t>
        <w:br w:clear="none"/>
      </w:r>
      <w:r>
        <w:rPr>
          <w:rStyle w:val="Text6"/>
        </w:rPr>
        <w:t xml:space="preserve">    </w:t>
        <w:br w:clear="none"/>
      </w:r>
      <w:r>
        <w:rPr>
          <w:rStyle w:val="Text15"/>
        </w:rPr>
        <w:t xml:space="preserve"># raises a ZeroDivisionError exception</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f, after 1/0</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g</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g, before f()</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g, after f()</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h</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h, before g()</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9"/>
        </w:rPr>
        <w:t xml:space="preserve">g</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in h, after g()</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ZeroDivisionError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ZD exception caught</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function h ends</w:t>
        <w:br w:clear="none"/>
        <w:t xml:space="preserve">'</w:t>
        <w:br w:clear="none"/>
      </w:r>
      <w:r>
        <w:rPr>
          <w:rStyle w:val="Text7"/>
        </w:rPr>
        <w:t xml:space="preserve">)</w:t>
        <w:br w:clear="none"/>
      </w:r>
    </w:p>
    <w:p>
      <w:pPr>
        <w:pStyle w:val="Normal"/>
      </w:pPr>
      <w:r>
        <w:t xml:space="preserve">Calling the </w:t>
      </w:r>
      <w:r>
        <w:rPr>
          <w:rStyle w:val="Text0"/>
        </w:rPr>
        <w:t>h</w:t>
      </w:r>
      <w:r>
        <w:t xml:space="preserve"> function prints the following:</w:t>
      </w:r>
    </w:p>
    <w:p>
      <w:pPr>
        <w:pStyle w:val="Para 008"/>
      </w:pPr>
      <w:r>
        <w:rPr>
          <w:rStyle w:val="Text48"/>
        </w:rPr>
        <w:t xml:space="preserve"/>
        <w:br w:clear="none"/>
      </w:r>
      <w:r>
        <w:t xml:space="preserve">in h, before g()</w:t>
        <w:br w:clear="none"/>
      </w:r>
      <w:r>
        <w:rPr>
          <w:rStyle w:val="Text48"/>
        </w:rPr>
        <w:t xml:space="preserve"/>
        <w:br w:clear="none"/>
      </w:r>
      <w:r>
        <w:t xml:space="preserve">in g, before f()</w:t>
        <w:br w:clear="none"/>
      </w:r>
      <w:r>
        <w:rPr>
          <w:rStyle w:val="Text48"/>
        </w:rPr>
        <w:t xml:space="preserve"/>
        <w:br w:clear="none"/>
      </w:r>
      <w:r>
        <w:t xml:space="preserve">in f, before 1/0</w:t>
        <w:br w:clear="none"/>
      </w:r>
      <w:r>
        <w:rPr>
          <w:rStyle w:val="Text48"/>
        </w:rPr>
        <w:t xml:space="preserve"/>
        <w:br w:clear="none"/>
      </w:r>
      <w:r>
        <w:t xml:space="preserve">ZD exception caught</w:t>
        <w:br w:clear="none"/>
      </w:r>
      <w:r>
        <w:rPr>
          <w:rStyle w:val="Text48"/>
        </w:rPr>
        <w:t xml:space="preserve"/>
        <w:br w:clear="none"/>
      </w:r>
      <w:r>
        <w:t xml:space="preserve">function h ends</w:t>
        <w:br w:clear="none"/>
      </w:r>
    </w:p>
    <w:p>
      <w:pPr>
        <w:pStyle w:val="Normal"/>
      </w:pPr>
      <w:r>
        <w:t xml:space="preserve">That is, none of the “after” </w:t>
      </w:r>
      <w:r>
        <w:rPr>
          <w:rStyle w:val="Text0"/>
        </w:rPr>
        <w:t>print</w:t>
      </w:r>
      <w:r>
        <w:t xml:space="preserve"> statements execute, since the flow of exception propagation cuts them off.</w:t>
      </w:r>
    </w:p>
    <w:p>
      <w:pPr>
        <w:pStyle w:val="Normal"/>
      </w:pPr>
      <w:r>
        <w:t xml:space="preserve">The function </w:t>
      </w:r>
      <w:r>
        <w:rPr>
          <w:rStyle w:val="Text0"/>
        </w:rPr>
        <w:t>h</w:t>
      </w:r>
      <w:r>
        <w:t xml:space="preserve"> establishes a </w:t>
      </w:r>
      <w:r>
        <w:rPr>
          <w:rStyle w:val="Text5"/>
        </w:rPr>
        <w:t>try</w:t>
      </w:r>
      <w:r>
        <w:t xml:space="preserve"> statement and calls the function </w:t>
      </w:r>
      <w:r>
        <w:rPr>
          <w:rStyle w:val="Text0"/>
        </w:rPr>
        <w:t>g</w:t>
      </w:r>
      <w:r>
        <w:t xml:space="preserve"> within the </w:t>
      </w:r>
      <w:r>
        <w:rPr>
          <w:rStyle w:val="Text5"/>
        </w:rPr>
        <w:t>try</w:t>
      </w:r>
      <w:r>
        <w:t xml:space="preserve"> clause. </w:t>
      </w:r>
      <w:r>
        <w:rPr>
          <w:rStyle w:val="Text0"/>
        </w:rPr>
        <w:t>g</w:t>
      </w:r>
      <w:r>
        <w:t xml:space="preserve">, in turn, calls </w:t>
      </w:r>
      <w:r>
        <w:rPr>
          <w:rStyle w:val="Text0"/>
        </w:rPr>
        <w:t>f</w:t>
      </w:r>
      <w:r>
        <w:t xml:space="preserve">, which performs a division by </w:t>
      </w:r>
      <w:r>
        <w:rPr>
          <w:rStyle w:val="Text0"/>
        </w:rPr>
        <w:t>0</w:t>
      </w:r>
      <w:r>
        <w:t xml:space="preserve">, raising an exception of type </w:t>
      </w:r>
      <w:r>
        <w:rPr>
          <w:rStyle w:val="Text0"/>
        </w:rPr>
        <w:t>ZeroDivisionError</w:t>
      </w:r>
      <w:r>
        <w:t xml:space="preserve">. The exception propagates all the way back to the </w:t>
      </w:r>
      <w:r>
        <w:rPr>
          <w:rStyle w:val="Text5"/>
        </w:rPr>
        <w:t>except</w:t>
      </w:r>
      <w:r>
        <w:t xml:space="preserve"> clause in </w:t>
      </w:r>
      <w:r>
        <w:rPr>
          <w:rStyle w:val="Text0"/>
        </w:rPr>
        <w:t>h</w:t>
      </w:r>
      <w:r>
        <w:t xml:space="preserve">. The functions </w:t>
      </w:r>
      <w:r>
        <w:rPr>
          <w:rStyle w:val="Text0"/>
        </w:rPr>
        <w:t>f</w:t>
      </w:r>
      <w:r>
        <w:t xml:space="preserve"> and </w:t>
      </w:r>
      <w:r>
        <w:rPr>
          <w:rStyle w:val="Text0"/>
        </w:rPr>
        <w:t>g</w:t>
      </w:r>
      <w:r>
        <w:t xml:space="preserve"> terminate during the exception propagation phase, which is why neither of their “after” messages is printed. The execution of </w:t>
      </w:r>
      <w:r>
        <w:rPr>
          <w:rStyle w:val="Text0"/>
        </w:rPr>
        <w:t>h</w:t>
      </w:r>
      <w:r>
        <w:t xml:space="preserve">’s </w:t>
      </w:r>
      <w:r>
        <w:rPr>
          <w:rStyle w:val="Text5"/>
        </w:rPr>
        <w:t>try</w:t>
      </w:r>
      <w:r>
        <w:t xml:space="preserve"> clause also terminates during the exception propagation phase, so its “after” message isn’t printed either. Execution continues after the handler, at the end of </w:t>
      </w:r>
      <w:r>
        <w:rPr>
          <w:rStyle w:val="Text0"/>
        </w:rPr>
        <w:t>h</w:t>
      </w:r>
      <w:r>
        <w:t xml:space="preserve">’s </w:t>
      </w:r>
      <w:r>
        <w:rPr>
          <w:rStyle w:val="Text5"/>
        </w:rPr>
        <w:t>try</w:t>
      </w:r>
      <w:r>
        <w:rPr>
          <w:rStyle w:val="Text0"/>
        </w:rPr>
        <w:t>/</w:t>
      </w:r>
      <w:r>
        <w:rPr>
          <w:rStyle w:val="Text5"/>
        </w:rPr>
        <w:t>except</w:t>
      </w:r>
      <w:r>
        <w:t xml:space="preserve"> block.</w:t>
      </w:r>
    </w:p>
    <w:p>
      <w:bookmarkStart w:id="1806" w:name="Exception_Objects__Exceptions_ar"/>
      <w:pPr>
        <w:keepNext/>
        <w:pStyle w:val="Heading 1"/>
      </w:pPr>
      <w:r>
        <w:t>Exception Objects</w:t>
      </w:r>
      <w:bookmarkEnd w:id="1806"/>
    </w:p>
    <w:p>
      <w:pPr>
        <w:pStyle w:val="Normal"/>
      </w:pPr>
      <w:r>
        <w:t>Exceptions</w:t>
      </w:r>
      <w:r>
        <w:rPr>
          <w:rStyle w:val="Text111"/>
        </w:rPr>
        <w:bookmarkStart w:id="1807" w:name="Eexobj06"/>
        <w:t/>
        <w:bookmarkEnd w:id="1807"/>
      </w:r>
      <w:r>
        <w:t xml:space="preserve"> are instances of </w:t>
      </w:r>
      <w:r>
        <w:rPr>
          <w:rStyle w:val="Text0"/>
        </w:rPr>
        <w:t>BaseException</w:t>
      </w:r>
      <w:r>
        <w:t xml:space="preserve"> (more specifically, instances of one of its subclasses). </w:t>
      </w:r>
      <w:hyperlink w:anchor="Table_6_2__Attributes_and_method">
        <w:r>
          <w:rPr>
            <w:rStyle w:val="Text1"/>
          </w:rPr>
          <w:t>Table 6-2</w:t>
        </w:r>
      </w:hyperlink>
      <w:r>
        <w:t xml:space="preserve"> lists the attributes and methods of </w:t>
      </w:r>
      <w:r>
        <w:rPr>
          <w:rStyle w:val="Text0"/>
        </w:rPr>
        <w:t>BaseException</w:t>
      </w:r>
      <w:r>
        <w:t>.</w:t>
      </w:r>
    </w:p>
    <w:tbl>
      <w:tblPr>
        <w:tblW w:type="auto" w:w="0"/>
      </w:tblPr>
      <w:tr>
        <w:tc>
          <w:tcPr>
            <w:tcW w:type="auto" w:w="0"/>
            <w:tcMar>
              <w:left w:type="dxa" w:w="200"/>
              <w:top w:type="dxa" w:w="200"/>
              <w:right w:type="dxa" w:w="200"/>
              <w:bottom w:type="dxa" w:w="200"/>
            </w:tcMar>
          </w:tcPr>
          <w:p>
            <w:bookmarkStart w:id="1808" w:name="Table_6_2__Attributes_and_method"/>
            <w:pPr>
              <w:pStyle w:val="Para 011"/>
            </w:pPr>
            <w:r>
              <w:rPr>
                <w:rStyle w:val="Text117"/>
              </w:rPr>
              <w:t/>
            </w:r>
            <w:r>
              <w:t xml:space="preserve">Table 6-2. </w:t>
              <w:t xml:space="preserve">Attributes and methods of the </w:t>
            </w:r>
            <w:r>
              <w:rPr>
                <w:rStyle w:val="Text0"/>
              </w:rPr>
              <w:t>BaseException</w:t>
            </w:r>
            <w:r>
              <w:t xml:space="preserve"> class</w:t>
            </w:r>
            <w:bookmarkEnd w:id="1808"/>
          </w:p>
          <w:p>
            <w:pPr>
              <w:pStyle w:val="Para 001"/>
            </w:pPr>
            <w:r>
              <w:t>__cause__</w:t>
            </w:r>
          </w:p>
        </w:tc>
        <w:tc>
          <w:tcPr>
            <w:tcW w:type="auto" w:w="0"/>
            <w:tcMar>
              <w:left w:type="dxa" w:w="200"/>
              <w:top w:type="dxa" w:w="200"/>
              <w:right w:type="dxa" w:w="200"/>
              <w:bottom w:type="dxa" w:w="200"/>
            </w:tcMar>
          </w:tcPr>
          <w:p>
            <w:pPr>
              <w:pStyle w:val="Para 002"/>
            </w:pPr>
            <w:r>
              <w:rPr>
                <w:rStyle w:val="Text3"/>
              </w:rPr>
              <w:t>exc</w:t>
            </w:r>
            <w:r>
              <w:rPr>
                <w:rStyle w:val="Text0"/>
              </w:rPr>
              <w:t>.__cause__</w:t>
              <w:br w:clear="none"/>
            </w:r>
            <w:r>
              <w:t xml:space="preserve"> Returns the parent exception of an exception raised using </w:t>
            </w:r>
            <w:r>
              <w:rPr>
                <w:rStyle w:val="Text5"/>
              </w:rPr>
              <w:t>raise</w:t>
            </w:r>
            <w:r>
              <w:t xml:space="preserve"> </w:t>
            </w:r>
            <w:r>
              <w:rPr>
                <w:rStyle w:val="Text5"/>
              </w:rPr>
              <w:t>from</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__notes__</w:t>
            </w:r>
          </w:p>
        </w:tc>
        <w:tc>
          <w:tcPr>
            <w:tcW w:type="auto" w:w="0"/>
            <w:shd w:val="clear" w:color="auto" w:fill="EEF2F6"/>
            <w:tcMar>
              <w:left w:type="dxa" w:w="200"/>
              <w:top w:type="dxa" w:w="200"/>
              <w:right w:type="dxa" w:w="200"/>
              <w:bottom w:type="dxa" w:w="200"/>
            </w:tcMar>
          </w:tcPr>
          <w:p>
            <w:pPr>
              <w:pStyle w:val="Para 002"/>
            </w:pPr>
            <w:r>
              <w:rPr>
                <w:rStyle w:val="Text3"/>
              </w:rPr>
              <w:t>exc</w:t>
            </w:r>
            <w:r>
              <w:rPr>
                <w:rStyle w:val="Text0"/>
              </w:rPr>
              <w:t>.__notes__</w:t>
              <w:br w:clear="none"/>
            </w:r>
            <w:r>
              <w:t xml:space="preserve"> </w:t>
            </w:r>
            <w:r>
              <w:rPr>
                <w:rStyle w:val="Text34"/>
              </w:rPr>
              <w:t>3.11+</w:t>
            </w:r>
            <w:r>
              <w:t xml:space="preserve"> Returns a list of </w:t>
            </w:r>
            <w:r>
              <w:rPr>
                <w:rStyle w:val="Text0"/>
              </w:rPr>
              <w:t>str</w:t>
            </w:r>
            <w:r>
              <w:t xml:space="preserve">s added to the exception using </w:t>
            </w:r>
            <w:r>
              <w:rPr>
                <w:rStyle w:val="Text0"/>
              </w:rPr>
              <w:t>add_note</w:t>
            </w:r>
            <w:r>
              <w:t xml:space="preserve">. This attribute only exists if </w:t>
            </w:r>
            <w:r>
              <w:rPr>
                <w:rStyle w:val="Text0"/>
              </w:rPr>
              <w:t>add_note</w:t>
            </w:r>
            <w:r>
              <w:t xml:space="preserve"> has been called at least once, so the safe way to access this list is with </w:t>
            </w:r>
            <w:r>
              <w:rPr>
                <w:rStyle w:val="Text0"/>
              </w:rPr>
              <w:t>getattr(</w:t>
            </w:r>
            <w:r>
              <w:rPr>
                <w:rStyle w:val="Text3"/>
              </w:rPr>
              <w:t>exc</w:t>
            </w:r>
            <w:r>
              <w:rPr>
                <w:rStyle w:val="Text0"/>
              </w:rPr>
              <w:t>, '__notes__', [])</w:t>
            </w:r>
            <w:r>
              <w:t>.</w:t>
            </w:r>
          </w:p>
        </w:tc>
      </w:tr>
    </w:tbl>
    <w:tbl>
      <w:tblPr>
        <w:tblW w:type="auto" w:w="0"/>
      </w:tblPr>
      <w:tr>
        <w:tc>
          <w:tcPr>
            <w:tcW w:type="auto" w:w="0"/>
            <w:tcMar>
              <w:left w:type="dxa" w:w="200"/>
              <w:top w:type="dxa" w:w="200"/>
              <w:right w:type="dxa" w:w="200"/>
              <w:bottom w:type="dxa" w:w="200"/>
            </w:tcMar>
          </w:tcPr>
          <w:p>
            <w:pPr>
              <w:pStyle w:val="Para 001"/>
            </w:pPr>
            <w:r>
              <w:t>add_note</w:t>
            </w:r>
          </w:p>
        </w:tc>
        <w:tc>
          <w:tcPr>
            <w:tcW w:type="auto" w:w="0"/>
            <w:tcMar>
              <w:left w:type="dxa" w:w="200"/>
              <w:top w:type="dxa" w:w="200"/>
              <w:right w:type="dxa" w:w="200"/>
              <w:bottom w:type="dxa" w:w="200"/>
            </w:tcMar>
          </w:tcPr>
          <w:p>
            <w:pPr>
              <w:pStyle w:val="Para 002"/>
            </w:pPr>
            <w:r>
              <w:rPr>
                <w:rStyle w:val="Text3"/>
              </w:rPr>
              <w:t>exc</w:t>
            </w:r>
            <w:r>
              <w:rPr>
                <w:rStyle w:val="Text0"/>
              </w:rPr>
              <w:t>.add_note(</w:t>
            </w:r>
            <w:r>
              <w:rPr>
                <w:rStyle w:val="Text3"/>
              </w:rPr>
              <w:t>note</w:t>
            </w:r>
            <w:r>
              <w:rPr>
                <w:rStyle w:val="Text0"/>
              </w:rPr>
              <w:t>)</w:t>
              <w:br w:clear="none"/>
            </w:r>
            <w:r>
              <w:t xml:space="preserve"> </w:t>
            </w:r>
            <w:r>
              <w:rPr>
                <w:rStyle w:val="Text34"/>
              </w:rPr>
              <w:t>3.11+</w:t>
            </w:r>
            <w:r>
              <w:t xml:space="preserve"> Appends the </w:t>
            </w:r>
            <w:r>
              <w:rPr>
                <w:rStyle w:val="Text0"/>
              </w:rPr>
              <w:t>str</w:t>
            </w:r>
            <w:r>
              <w:t xml:space="preserve"> </w:t>
            </w:r>
            <w:r>
              <w:rPr>
                <w:rStyle w:val="Text3"/>
              </w:rPr>
              <w:t>note</w:t>
            </w:r>
            <w:r>
              <w:t xml:space="preserve"> to the notes on this exception. These notes are shown after the traceback when displaying the exception.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args</w:t>
            </w:r>
          </w:p>
        </w:tc>
        <w:tc>
          <w:tcPr>
            <w:tcW w:type="auto" w:w="0"/>
            <w:shd w:val="clear" w:color="auto" w:fill="EEF2F6"/>
            <w:tcMar>
              <w:left w:type="dxa" w:w="200"/>
              <w:top w:type="dxa" w:w="200"/>
              <w:right w:type="dxa" w:w="200"/>
              <w:bottom w:type="dxa" w:w="200"/>
            </w:tcMar>
          </w:tcPr>
          <w:p>
            <w:pPr>
              <w:pStyle w:val="Para 002"/>
            </w:pPr>
            <w:r>
              <w:rPr>
                <w:rStyle w:val="Text3"/>
              </w:rPr>
              <w:t>exc.</w:t>
            </w:r>
            <w:r>
              <w:rPr>
                <w:rStyle w:val="Text0"/>
              </w:rPr>
              <w:t>args</w:t>
              <w:br w:clear="none"/>
            </w:r>
            <w:r>
              <w:t xml:space="preserve"> Returns a tuple of the arguments used to construct the exception. This error-specific information is useful for diagnostic or recovery purposes. Some exception classes interpret </w:t>
            </w:r>
            <w:r>
              <w:rPr>
                <w:rStyle w:val="Text0"/>
              </w:rPr>
              <w:t>args</w:t>
            </w:r>
            <w:r>
              <w:t xml:space="preserve"> and set convenient named attributes on the classes’ instances.</w:t>
            </w:r>
          </w:p>
        </w:tc>
      </w:tr>
    </w:tbl>
    <w:tbl>
      <w:tblPr>
        <w:tblW w:type="auto" w:w="0"/>
      </w:tblPr>
      <w:tr>
        <w:tc>
          <w:tcPr>
            <w:tcW w:type="auto" w:w="0"/>
            <w:tcMar>
              <w:left w:type="dxa" w:w="200"/>
              <w:top w:type="dxa" w:w="200"/>
              <w:right w:type="dxa" w:w="200"/>
              <w:bottom w:type="dxa" w:w="200"/>
            </w:tcMar>
          </w:tcPr>
          <w:p>
            <w:pPr>
              <w:pStyle w:val="Para 001"/>
            </w:pPr>
            <w:r>
              <w:t>wi⁠t⁠h⁠_​t⁠r⁠a⁠ceback</w:t>
            </w:r>
          </w:p>
        </w:tc>
        <w:tc>
          <w:tcPr>
            <w:tcW w:type="auto" w:w="0"/>
            <w:tcMar>
              <w:left w:type="dxa" w:w="200"/>
              <w:top w:type="dxa" w:w="200"/>
              <w:right w:type="dxa" w:w="200"/>
              <w:bottom w:type="dxa" w:w="200"/>
            </w:tcMar>
          </w:tcPr>
          <w:p>
            <w:pPr>
              <w:pStyle w:val="Para 002"/>
            </w:pPr>
            <w:r>
              <w:rPr>
                <w:rStyle w:val="Text3"/>
              </w:rPr>
              <w:t>exc</w:t>
            </w:r>
            <w:r>
              <w:rPr>
                <w:rStyle w:val="Text0"/>
              </w:rPr>
              <w:t>.with_traceback(</w:t>
            </w:r>
            <w:r>
              <w:rPr>
                <w:rStyle w:val="Text3"/>
              </w:rPr>
              <w:t>tb</w:t>
            </w:r>
            <w:r>
              <w:rPr>
                <w:rStyle w:val="Text0"/>
              </w:rPr>
              <w:t>)</w:t>
              <w:br w:clear="none"/>
            </w:r>
            <w:r>
              <w:t xml:space="preserve"> Returns a new exception, replacing the original exception’s traceback with the new traceback </w:t>
            </w:r>
            <w:r>
              <w:rPr>
                <w:rStyle w:val="Text3"/>
              </w:rPr>
              <w:t>tb</w:t>
            </w:r>
            <w:r>
              <w:t xml:space="preserve">, or with no traceback if </w:t>
            </w:r>
            <w:r>
              <w:rPr>
                <w:rStyle w:val="Text3"/>
              </w:rPr>
              <w:t>tb</w:t>
            </w:r>
            <w:r>
              <w:t xml:space="preserve"> is </w:t>
            </w:r>
            <w:r>
              <w:rPr>
                <w:rStyle w:val="Text5"/>
              </w:rPr>
              <w:t>None</w:t>
            </w:r>
            <w:r>
              <w:t>. Can be used to trim the original traceback to remove internal library function call frames.</w:t>
            </w:r>
          </w:p>
        </w:tc>
      </w:tr>
    </w:tbl>
    <w:p>
      <w:bookmarkStart w:id="1809" w:name="The_Hierarchy_of_Standard_Except"/>
      <w:pPr>
        <w:keepNext/>
        <w:pStyle w:val="Heading 2"/>
      </w:pPr>
      <w:r>
        <w:t>The Hierarchy of Standard Exceptions</w:t>
      </w:r>
      <w:bookmarkEnd w:id="1809"/>
    </w:p>
    <w:p>
      <w:pPr>
        <w:pStyle w:val="Normal"/>
      </w:pPr>
      <w:r>
        <w:t>As</w:t>
      </w:r>
      <w:r>
        <w:rPr>
          <w:rStyle w:val="Text111"/>
        </w:rPr>
        <w:bookmarkStart w:id="1810" w:name="idm45965256887456"/>
        <w:t/>
        <w:bookmarkEnd w:id="1810"/>
        <w:bookmarkStart w:id="1811" w:name="idm45965256885328"/>
        <w:t/>
        <w:bookmarkEnd w:id="1811"/>
      </w:r>
      <w:r>
        <w:t xml:space="preserve"> mentioned previously, exceptions are instances of subclasses of </w:t>
      </w:r>
      <w:r>
        <w:rPr>
          <w:rStyle w:val="Text0"/>
        </w:rPr>
        <w:t>BaseException</w:t>
      </w:r>
      <w:r>
        <w:t xml:space="preserve">. The inheritance structure of exception classes is important, as it determines which </w:t>
      </w:r>
      <w:r>
        <w:rPr>
          <w:rStyle w:val="Text5"/>
        </w:rPr>
        <w:t>except</w:t>
      </w:r>
      <w:r>
        <w:t xml:space="preserve"> clauses handle which exceptions. Most exception classes extend the class </w:t>
      </w:r>
      <w:r>
        <w:rPr>
          <w:rStyle w:val="Text0"/>
        </w:rPr>
        <w:t>Exception</w:t>
      </w:r>
      <w:r>
        <w:t xml:space="preserve">; however, the classes </w:t>
      </w:r>
      <w:r>
        <w:rPr>
          <w:rStyle w:val="Text0"/>
        </w:rPr>
        <w:t>KeyboardInterrupt</w:t>
      </w:r>
      <w:r>
        <w:t xml:space="preserve">, </w:t>
      </w:r>
      <w:r>
        <w:rPr>
          <w:rStyle w:val="Text0"/>
        </w:rPr>
        <w:t>GeneratorExit</w:t>
      </w:r>
      <w:r>
        <w:t xml:space="preserve">, and </w:t>
      </w:r>
      <w:r>
        <w:rPr>
          <w:rStyle w:val="Text0"/>
        </w:rPr>
        <w:t>SystemExit</w:t>
      </w:r>
      <w:r>
        <w:t xml:space="preserve"> inherit directly from </w:t>
      </w:r>
      <w:r>
        <w:rPr>
          <w:rStyle w:val="Text0"/>
        </w:rPr>
        <w:t>BaseException</w:t>
      </w:r>
      <w:r>
        <w:t xml:space="preserve"> and are not subclasses of </w:t>
      </w:r>
      <w:r>
        <w:rPr>
          <w:rStyle w:val="Text0"/>
        </w:rPr>
        <w:t>Exception</w:t>
      </w:r>
      <w:r>
        <w:t xml:space="preserve">. Thus, a handler clause </w:t>
      </w:r>
      <w:r>
        <w:rPr>
          <w:rStyle w:val="Text5"/>
        </w:rPr>
        <w:t>except</w:t>
      </w:r>
      <w:r>
        <w:t xml:space="preserve"> </w:t>
      </w:r>
      <w:r>
        <w:rPr>
          <w:rStyle w:val="Text0"/>
        </w:rPr>
        <w:t>Exception</w:t>
      </w:r>
      <w:r>
        <w:t xml:space="preserve"> </w:t>
      </w:r>
      <w:r>
        <w:rPr>
          <w:rStyle w:val="Text5"/>
        </w:rPr>
        <w:t>as</w:t>
      </w:r>
      <w:r>
        <w:t xml:space="preserve"> </w:t>
      </w:r>
      <w:r>
        <w:rPr>
          <w:rStyle w:val="Text0"/>
        </w:rPr>
        <w:t>e</w:t>
      </w:r>
      <w:r>
        <w:t xml:space="preserve"> does not catch </w:t>
      </w:r>
      <w:r>
        <w:rPr>
          <w:rStyle w:val="Text0"/>
        </w:rPr>
        <w:t>KeyboardInterrupt</w:t>
      </w:r>
      <w:r>
        <w:t xml:space="preserve">, </w:t>
      </w:r>
      <w:r>
        <w:rPr>
          <w:rStyle w:val="Text0"/>
        </w:rPr>
        <w:t>GeneratorExit</w:t>
      </w:r>
      <w:r>
        <w:t xml:space="preserve">, or </w:t>
      </w:r>
      <w:r>
        <w:rPr>
          <w:rStyle w:val="Text0"/>
        </w:rPr>
        <w:t>SystemExit</w:t>
      </w:r>
      <w:r>
        <w:t xml:space="preserve"> (we covered exception handlers in </w:t>
      </w:r>
      <w:hyperlink w:anchor="try_except__Here_s_the_syntax_fo">
        <w:r>
          <w:rPr>
            <w:rStyle w:val="Text1"/>
          </w:rPr>
          <w:t>“try/except”</w:t>
        </w:r>
      </w:hyperlink>
      <w:r>
        <w:t xml:space="preserve"> and </w:t>
      </w:r>
      <w:r>
        <w:rPr>
          <w:rStyle w:val="Text0"/>
        </w:rPr>
        <w:t>GeneratorExit</w:t>
      </w:r>
      <w:r>
        <w:t xml:space="preserve"> in </w:t>
      </w:r>
      <w:hyperlink w:anchor="Generators_and_Exceptions__To_he">
        <w:r>
          <w:rPr>
            <w:rStyle w:val="Text1"/>
          </w:rPr>
          <w:t>“Generators and Exceptions”</w:t>
        </w:r>
      </w:hyperlink>
      <w:r>
        <w:t xml:space="preserve">). Instances of </w:t>
      </w:r>
      <w:r>
        <w:rPr>
          <w:rStyle w:val="Text0"/>
        </w:rPr>
        <w:t>SystemExit</w:t>
      </w:r>
      <w:r>
        <w:t xml:space="preserve"> are normally raised via the </w:t>
      </w:r>
      <w:r>
        <w:rPr>
          <w:rStyle w:val="Text0"/>
        </w:rPr>
        <w:t>exit</w:t>
      </w:r>
      <w:r>
        <w:t xml:space="preserve"> function in the </w:t>
      </w:r>
      <w:r>
        <w:rPr>
          <w:rStyle w:val="Text0"/>
        </w:rPr>
        <w:t>sys</w:t>
      </w:r>
      <w:r>
        <w:t xml:space="preserve"> module (covered in </w:t>
      </w:r>
      <w:hyperlink w:anchor="Table_8_3__Functions_and_attribu">
        <w:r>
          <w:rPr>
            <w:rStyle w:val="Text1"/>
          </w:rPr>
          <w:t>Table 8-3</w:t>
        </w:r>
      </w:hyperlink>
      <w:r>
        <w:t xml:space="preserve">). When the user hits Ctrl-C, Ctrl-Break, or other interrupting keys on their keyboard, that raises </w:t>
      </w:r>
      <w:r>
        <w:rPr>
          <w:rStyle w:val="Text0"/>
        </w:rPr>
        <w:t>KeyboardInterrupt</w:t>
      </w:r>
      <w:r>
        <w:t>.</w:t>
      </w:r>
    </w:p>
    <w:p>
      <w:pPr>
        <w:pStyle w:val="Normal"/>
      </w:pPr>
      <w:r>
        <w:t>The hierarchy of built-in exception classes is, roughly:</w:t>
      </w:r>
    </w:p>
    <w:p>
      <w:pPr>
        <w:pStyle w:val="Para 038"/>
      </w:pPr>
      <w:r>
        <w:t xml:space="preserve"/>
        <w:br w:clear="none"/>
        <w:t xml:space="preserve">BaseException</w:t>
        <w:br w:clear="none"/>
        <w:t xml:space="preserve">  Exception</w:t>
        <w:br w:clear="none"/>
        <w:t xml:space="preserve">    AssertionError, AttributeError, BufferError, EOFError,</w:t>
        <w:br w:clear="none"/>
        <w:t xml:space="preserve">    MemoryError, ReferenceError, OsError, StopAsyncIteration,</w:t>
        <w:br w:clear="none"/>
        <w:t xml:space="preserve">    StopIteration, SystemError, TypeError</w:t>
        <w:br w:clear="none"/>
        <w:t xml:space="preserve">    ArithmeticError (abstract)</w:t>
        <w:br w:clear="none"/>
        <w:t xml:space="preserve">      OverflowError, ZeroDivisionError</w:t>
        <w:br w:clear="none"/>
        <w:t xml:space="preserve">    ImportError</w:t>
        <w:br w:clear="none"/>
        <w:t xml:space="preserve">      ModuleNotFoundError, ZipImportError</w:t>
        <w:br w:clear="none"/>
        <w:t xml:space="preserve">    LookupError (abstract)</w:t>
        <w:br w:clear="none"/>
        <w:t xml:space="preserve">      IndexError, KeyError</w:t>
        <w:br w:clear="none"/>
        <w:t xml:space="preserve">    NameError</w:t>
        <w:br w:clear="none"/>
        <w:t xml:space="preserve">      UnboundLocalError</w:t>
        <w:br w:clear="none"/>
        <w:t xml:space="preserve">    OSError</w:t>
        <w:br w:clear="none"/>
        <w:t xml:space="preserve">      ...</w:t>
        <w:br w:clear="none"/>
        <w:t xml:space="preserve">    RuntimeError</w:t>
        <w:br w:clear="none"/>
        <w:t xml:space="preserve">      RecursionError</w:t>
        <w:br w:clear="none"/>
        <w:t xml:space="preserve">      NotImplementedError</w:t>
        <w:br w:clear="none"/>
        <w:t xml:space="preserve">    SyntaxError</w:t>
        <w:br w:clear="none"/>
        <w:t xml:space="preserve">      IndentationError</w:t>
        <w:br w:clear="none"/>
        <w:t xml:space="preserve">        TabError</w:t>
        <w:br w:clear="none"/>
        <w:t xml:space="preserve">    ValueError</w:t>
        <w:br w:clear="none"/>
        <w:t xml:space="preserve">      UnsupportedOperation</w:t>
        <w:br w:clear="none"/>
        <w:t xml:space="preserve">      UnicodeError</w:t>
        <w:br w:clear="none"/>
        <w:t xml:space="preserve">        UnicodeDecodeError, UnicodeEncodeError,</w:t>
        <w:br w:clear="none"/>
        <w:t xml:space="preserve">        UnicodeTranslateError</w:t>
        <w:br w:clear="none"/>
        <w:t xml:space="preserve">    Warning</w:t>
        <w:br w:clear="none"/>
        <w:t xml:space="preserve">      ...</w:t>
        <w:br w:clear="none"/>
        <w:t xml:space="preserve">  GeneratorExit</w:t>
        <w:br w:clear="none"/>
        <w:t xml:space="preserve">  KeyboardInterrupt</w:t>
        <w:br w:clear="none"/>
        <w:t xml:space="preserve">  SystemExit</w:t>
        <w:br w:clear="none"/>
      </w:r>
    </w:p>
    <w:p>
      <w:pPr>
        <w:pStyle w:val="Normal"/>
      </w:pPr>
      <w:r>
        <w:t xml:space="preserve">There are other exception subclasses (in particular, </w:t>
      </w:r>
      <w:r>
        <w:rPr>
          <w:rStyle w:val="Text0"/>
        </w:rPr>
        <w:t>Warning</w:t>
      </w:r>
      <w:r>
        <w:t xml:space="preserve"> and </w:t>
      </w:r>
      <w:r>
        <w:rPr>
          <w:rStyle w:val="Text0"/>
        </w:rPr>
        <w:t>OSError</w:t>
      </w:r>
      <w:r>
        <w:t xml:space="preserve"> have many, whose omission is indicated here with ellipses), but this is the gist. A complete list is available in Python’s </w:t>
      </w:r>
      <w:hyperlink r:id="rId270">
        <w:r>
          <w:rPr>
            <w:rStyle w:val="Text1"/>
          </w:rPr>
          <w:t>online docs</w:t>
        </w:r>
      </w:hyperlink>
      <w:r>
        <w:t>.</w:t>
      </w:r>
    </w:p>
    <w:p>
      <w:pPr>
        <w:pStyle w:val="Normal"/>
      </w:pPr>
      <w:r>
        <w:t xml:space="preserve">The classes marked “(abstract)” are never instantiated directly; their purpose is to make it easier for you to specify </w:t>
      </w:r>
      <w:r>
        <w:rPr>
          <w:rStyle w:val="Text5"/>
        </w:rPr>
        <w:t>except</w:t>
      </w:r>
      <w:r>
        <w:t xml:space="preserve"> clauses that handle a range of related errors.</w:t>
      </w:r>
    </w:p>
    <w:p>
      <w:bookmarkStart w:id="1812" w:name="Standard_Exception_Classes__Tabl"/>
      <w:pPr>
        <w:keepNext/>
        <w:pStyle w:val="Heading 2"/>
      </w:pPr>
      <w:r>
        <w:t>Standard Exception Classes</w:t>
      </w:r>
      <w:bookmarkEnd w:id="1812"/>
    </w:p>
    <w:p>
      <w:pPr>
        <w:pStyle w:val="Normal"/>
      </w:pPr>
      <w:hyperlink w:anchor="Table_6_3__Standard_exception_cl">
        <w:r>
          <w:rPr>
            <w:rStyle w:val="Text1"/>
          </w:rPr>
          <w:t>Table 6-3</w:t>
        </w:r>
      </w:hyperlink>
      <w:r>
        <w:t xml:space="preserve"> lists</w:t>
      </w:r>
      <w:r>
        <w:rPr>
          <w:rStyle w:val="Text111"/>
        </w:rPr>
        <w:bookmarkStart w:id="1813" w:name="idm45965256859152"/>
        <w:t/>
        <w:bookmarkEnd w:id="1813"/>
        <w:bookmarkStart w:id="1814" w:name="idm45965256857712"/>
        <w:t/>
        <w:bookmarkEnd w:id="1814"/>
      </w:r>
      <w:r>
        <w:t xml:space="preserve"> exception classes raised by common runtime errors.</w:t>
      </w:r>
    </w:p>
    <w:tbl>
      <w:tblPr>
        <w:tblW w:type="auto" w:w="0"/>
      </w:tblPr>
      <w:tr>
        <w:tc>
          <w:tcPr>
            <w:tcW w:type="pct" w:w="1000"/>
            <w:tcMar>
              <w:left w:type="dxa" w:w="200"/>
              <w:top w:type="dxa" w:w="200"/>
              <w:right w:type="dxa" w:w="200"/>
              <w:bottom w:type="dxa" w:w="200"/>
            </w:tcMar>
            <w:vAlign w:val="center"/>
          </w:tcPr>
          <w:p>
            <w:bookmarkStart w:id="1815" w:name="Table_6_3__Standard_exception_cl"/>
            <w:pPr>
              <w:pStyle w:val="Para 011"/>
            </w:pPr>
            <w:r>
              <w:rPr>
                <w:rStyle w:val="Text117"/>
              </w:rPr>
              <w:t/>
            </w:r>
            <w:r>
              <w:t xml:space="preserve">Table 6-3. </w:t>
              <w:t>Standard exception classes</w:t>
            </w:r>
            <w:bookmarkEnd w:id="1815"/>
          </w:p>
          <w:p>
            <w:pPr>
              <w:pStyle w:val="Para 013"/>
            </w:pPr>
            <w:r>
              <w:t>Exception class</w:t>
            </w:r>
          </w:p>
        </w:tc>
        <w:tc>
          <w:tcPr>
            <w:tcW w:type="auto" w:w="0"/>
            <w:tcMar>
              <w:left w:type="dxa" w:w="200"/>
              <w:top w:type="dxa" w:w="200"/>
              <w:right w:type="dxa" w:w="200"/>
              <w:bottom w:type="dxa" w:w="200"/>
            </w:tcMar>
            <w:vAlign w:val="center"/>
          </w:tcPr>
          <w:p>
            <w:pPr>
              <w:pStyle w:val="Para 013"/>
            </w:pPr>
            <w:r>
              <w:t>Raised when</w:t>
            </w:r>
          </w:p>
        </w:tc>
      </w:tr>
    </w:tbl>
    <w:tbl>
      <w:tblPr>
        <w:tblW w:type="auto" w:w="0"/>
      </w:tblPr>
      <w:tr>
        <w:tc>
          <w:tcPr>
            <w:tcW w:type="auto" w:w="0"/>
            <w:tcMar>
              <w:left w:type="dxa" w:w="200"/>
              <w:top w:type="dxa" w:w="200"/>
              <w:right w:type="dxa" w:w="200"/>
              <w:bottom w:type="dxa" w:w="200"/>
            </w:tcMar>
          </w:tcPr>
          <w:p>
            <w:pPr>
              <w:pStyle w:val="Para 001"/>
            </w:pPr>
            <w:r>
              <w:t>AssertionError</w:t>
            </w:r>
          </w:p>
        </w:tc>
        <w:tc>
          <w:tcPr>
            <w:tcW w:type="auto" w:w="0"/>
            <w:tcMar>
              <w:left w:type="dxa" w:w="200"/>
              <w:top w:type="dxa" w:w="200"/>
              <w:right w:type="dxa" w:w="200"/>
              <w:bottom w:type="dxa" w:w="200"/>
            </w:tcMar>
          </w:tcPr>
          <w:p>
            <w:pPr>
              <w:pStyle w:val="Para 002"/>
            </w:pPr>
            <w:r>
              <w:t xml:space="preserve">An </w:t>
            </w:r>
            <w:r>
              <w:rPr>
                <w:rStyle w:val="Text5"/>
              </w:rPr>
              <w:t>assert</w:t>
            </w:r>
            <w:r>
              <w:t xml:space="preserve"> statement failed.</w:t>
            </w:r>
          </w:p>
        </w:tc>
      </w:tr>
    </w:tbl>
    <w:tbl>
      <w:tblPr>
        <w:tblW w:type="auto" w:w="0"/>
      </w:tblPr>
      <w:tr>
        <w:tc>
          <w:tcPr>
            <w:tcW w:type="auto" w:w="0"/>
            <w:shd w:val="clear" w:color="auto" w:fill="EEF2F6"/>
            <w:tcMar>
              <w:left w:type="dxa" w:w="200"/>
              <w:top w:type="dxa" w:w="200"/>
              <w:right w:type="dxa" w:w="200"/>
              <w:bottom w:type="dxa" w:w="200"/>
            </w:tcMar>
          </w:tcPr>
          <w:p>
            <w:pPr>
              <w:pStyle w:val="Para 001"/>
            </w:pPr>
            <w:r>
              <w:t>AttributeError</w:t>
            </w:r>
          </w:p>
        </w:tc>
        <w:tc>
          <w:tcPr>
            <w:tcW w:type="auto" w:w="0"/>
            <w:shd w:val="clear" w:color="auto" w:fill="EEF2F6"/>
            <w:tcMar>
              <w:left w:type="dxa" w:w="200"/>
              <w:top w:type="dxa" w:w="200"/>
              <w:right w:type="dxa" w:w="200"/>
              <w:bottom w:type="dxa" w:w="200"/>
            </w:tcMar>
          </w:tcPr>
          <w:p>
            <w:pPr>
              <w:pStyle w:val="Para 002"/>
            </w:pPr>
            <w:r>
              <w:t>An attribute reference or assignment failed.</w:t>
            </w:r>
          </w:p>
        </w:tc>
      </w:tr>
    </w:tbl>
    <w:tbl>
      <w:tblPr>
        <w:tblW w:type="auto" w:w="0"/>
      </w:tblPr>
      <w:tr>
        <w:tc>
          <w:tcPr>
            <w:tcW w:type="auto" w:w="0"/>
            <w:tcMar>
              <w:left w:type="dxa" w:w="200"/>
              <w:top w:type="dxa" w:w="200"/>
              <w:right w:type="dxa" w:w="200"/>
              <w:bottom w:type="dxa" w:w="200"/>
            </w:tcMar>
          </w:tcPr>
          <w:p>
            <w:pPr>
              <w:pStyle w:val="Para 001"/>
            </w:pPr>
            <w:r>
              <w:t>ImportError</w:t>
            </w:r>
          </w:p>
        </w:tc>
        <w:tc>
          <w:tcPr>
            <w:tcW w:type="auto" w:w="0"/>
            <w:tcMar>
              <w:left w:type="dxa" w:w="200"/>
              <w:top w:type="dxa" w:w="200"/>
              <w:right w:type="dxa" w:w="200"/>
              <w:bottom w:type="dxa" w:w="200"/>
            </w:tcMar>
          </w:tcPr>
          <w:p>
            <w:pPr>
              <w:pStyle w:val="Para 002"/>
            </w:pPr>
            <w:r>
              <w:t xml:space="preserve">An </w:t>
            </w:r>
            <w:r>
              <w:rPr>
                <w:rStyle w:val="Text5"/>
              </w:rPr>
              <w:t>import</w:t>
            </w:r>
            <w:r>
              <w:t xml:space="preserve"> or </w:t>
            </w:r>
            <w:r>
              <w:rPr>
                <w:rStyle w:val="Text5"/>
              </w:rPr>
              <w:t>from</w:t>
            </w:r>
            <w:r>
              <w:rPr>
                <w:rStyle w:val="Text0"/>
              </w:rPr>
              <w:t>...</w:t>
            </w:r>
            <w:r>
              <w:rPr>
                <w:rStyle w:val="Text5"/>
              </w:rPr>
              <w:t>import</w:t>
            </w:r>
            <w:r>
              <w:t xml:space="preserve"> statement (covered in </w:t>
            </w:r>
            <w:hyperlink w:anchor="The_import_Statement__The_Python">
              <w:r>
                <w:rPr>
                  <w:rStyle w:val="Text1"/>
                </w:rPr>
                <w:t>“The import Statement”</w:t>
              </w:r>
            </w:hyperlink>
            <w:r>
              <w:t xml:space="preserve">) couldn’t find the module to import (in this case, what Python raises is actually an instance of </w:t>
            </w:r>
            <w:r>
              <w:rPr>
                <w:rStyle w:val="Text0"/>
              </w:rPr>
              <w:t>ImportError</w:t>
            </w:r>
            <w:r>
              <w:t xml:space="preserve">’s subclass </w:t>
            </w:r>
            <w:r>
              <w:rPr>
                <w:rStyle w:val="Text0"/>
              </w:rPr>
              <w:t>ModuleNotFoundError</w:t>
            </w:r>
            <w:r>
              <w:t>), or couldn’t find a name to be imported from the module.</w:t>
            </w:r>
          </w:p>
        </w:tc>
      </w:tr>
    </w:tbl>
    <w:tbl>
      <w:tblPr>
        <w:tblW w:type="auto" w:w="0"/>
      </w:tblPr>
      <w:tr>
        <w:tc>
          <w:tcPr>
            <w:tcW w:type="auto" w:w="0"/>
            <w:shd w:val="clear" w:color="auto" w:fill="EEF2F6"/>
            <w:tcMar>
              <w:left w:type="dxa" w:w="200"/>
              <w:top w:type="dxa" w:w="200"/>
              <w:right w:type="dxa" w:w="200"/>
              <w:bottom w:type="dxa" w:w="200"/>
            </w:tcMar>
          </w:tcPr>
          <w:p>
            <w:pPr>
              <w:pStyle w:val="Para 001"/>
            </w:pPr>
            <w:r>
              <w:t>IndentationError</w:t>
            </w:r>
          </w:p>
        </w:tc>
        <w:tc>
          <w:tcPr>
            <w:tcW w:type="auto" w:w="0"/>
            <w:shd w:val="clear" w:color="auto" w:fill="EEF2F6"/>
            <w:tcMar>
              <w:left w:type="dxa" w:w="200"/>
              <w:top w:type="dxa" w:w="200"/>
              <w:right w:type="dxa" w:w="200"/>
              <w:bottom w:type="dxa" w:w="200"/>
            </w:tcMar>
          </w:tcPr>
          <w:p>
            <w:pPr>
              <w:pStyle w:val="Para 002"/>
            </w:pPr>
            <w:r>
              <w:t xml:space="preserve">The parser encountered a syntax error due to incorrect indentation. Subclasses </w:t>
            </w:r>
            <w:r>
              <w:rPr>
                <w:rStyle w:val="Text0"/>
              </w:rPr>
              <w:t>SyntaxError</w:t>
            </w:r>
            <w:r>
              <w:t>.</w:t>
            </w:r>
          </w:p>
        </w:tc>
      </w:tr>
    </w:tbl>
    <w:tbl>
      <w:tblPr>
        <w:tblW w:type="auto" w:w="0"/>
      </w:tblPr>
      <w:tr>
        <w:tc>
          <w:tcPr>
            <w:tcW w:type="auto" w:w="0"/>
            <w:tcMar>
              <w:left w:type="dxa" w:w="200"/>
              <w:top w:type="dxa" w:w="200"/>
              <w:right w:type="dxa" w:w="200"/>
              <w:bottom w:type="dxa" w:w="200"/>
            </w:tcMar>
          </w:tcPr>
          <w:p>
            <w:pPr>
              <w:pStyle w:val="Para 001"/>
            </w:pPr>
            <w:r>
              <w:t>IndexError</w:t>
            </w:r>
          </w:p>
        </w:tc>
        <w:tc>
          <w:tcPr>
            <w:tcW w:type="auto" w:w="0"/>
            <w:tcMar>
              <w:left w:type="dxa" w:w="200"/>
              <w:top w:type="dxa" w:w="200"/>
              <w:right w:type="dxa" w:w="200"/>
              <w:bottom w:type="dxa" w:w="200"/>
            </w:tcMar>
          </w:tcPr>
          <w:p>
            <w:pPr>
              <w:pStyle w:val="Para 002"/>
            </w:pPr>
            <w:r>
              <w:t xml:space="preserve">An integer used to index a sequence is out of range (using a noninteger as a sequence index raises </w:t>
            </w:r>
            <w:r>
              <w:rPr>
                <w:rStyle w:val="Text0"/>
              </w:rPr>
              <w:t>TypeError</w:t>
            </w:r>
            <w:r>
              <w:t xml:space="preserve">). Subclasses </w:t>
            </w:r>
            <w:r>
              <w:rPr>
                <w:rStyle w:val="Text0"/>
              </w:rPr>
              <w:t>LookupError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KeyboardInterrupt</w:t>
            </w:r>
          </w:p>
        </w:tc>
        <w:tc>
          <w:tcPr>
            <w:tcW w:type="auto" w:w="0"/>
            <w:shd w:val="clear" w:color="auto" w:fill="EEF2F6"/>
            <w:tcMar>
              <w:left w:type="dxa" w:w="200"/>
              <w:top w:type="dxa" w:w="200"/>
              <w:right w:type="dxa" w:w="200"/>
              <w:bottom w:type="dxa" w:w="200"/>
            </w:tcMar>
          </w:tcPr>
          <w:p>
            <w:pPr>
              <w:pStyle w:val="Para 002"/>
            </w:pPr>
            <w:r>
              <w:t>The user pressed the interrupt key combination (Ctrl-C, Ctrl-Break, Delete, or others, depending on the platform’s handling of the keyboard).</w:t>
            </w:r>
          </w:p>
        </w:tc>
      </w:tr>
    </w:tbl>
    <w:tbl>
      <w:tblPr>
        <w:tblW w:type="auto" w:w="0"/>
      </w:tblPr>
      <w:tr>
        <w:tc>
          <w:tcPr>
            <w:tcW w:type="auto" w:w="0"/>
            <w:tcMar>
              <w:left w:type="dxa" w:w="200"/>
              <w:top w:type="dxa" w:w="200"/>
              <w:right w:type="dxa" w:w="200"/>
              <w:bottom w:type="dxa" w:w="200"/>
            </w:tcMar>
          </w:tcPr>
          <w:p>
            <w:pPr>
              <w:pStyle w:val="Para 001"/>
            </w:pPr>
            <w:r>
              <w:t>KeyError</w:t>
            </w:r>
          </w:p>
        </w:tc>
        <w:tc>
          <w:tcPr>
            <w:tcW w:type="auto" w:w="0"/>
            <w:tcMar>
              <w:left w:type="dxa" w:w="200"/>
              <w:top w:type="dxa" w:w="200"/>
              <w:right w:type="dxa" w:w="200"/>
              <w:bottom w:type="dxa" w:w="200"/>
            </w:tcMar>
          </w:tcPr>
          <w:p>
            <w:pPr>
              <w:pStyle w:val="Para 002"/>
            </w:pPr>
            <w:r>
              <w:t xml:space="preserve">A key used to index a mapping is not in the mapping. Subclasses </w:t>
            </w:r>
            <w:r>
              <w:rPr>
                <w:rStyle w:val="Text0"/>
              </w:rPr>
              <w:t>LookupError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MemoryError</w:t>
            </w:r>
          </w:p>
        </w:tc>
        <w:tc>
          <w:tcPr>
            <w:tcW w:type="auto" w:w="0"/>
            <w:shd w:val="clear" w:color="auto" w:fill="EEF2F6"/>
            <w:tcMar>
              <w:left w:type="dxa" w:w="200"/>
              <w:top w:type="dxa" w:w="200"/>
              <w:right w:type="dxa" w:w="200"/>
              <w:bottom w:type="dxa" w:w="200"/>
            </w:tcMar>
          </w:tcPr>
          <w:p>
            <w:pPr>
              <w:pStyle w:val="Para 002"/>
            </w:pPr>
            <w:r>
              <w:t>An operation ran out of memory.</w:t>
            </w:r>
          </w:p>
        </w:tc>
      </w:tr>
    </w:tbl>
    <w:tbl>
      <w:tblPr>
        <w:tblW w:type="auto" w:w="0"/>
      </w:tblPr>
      <w:tr>
        <w:tc>
          <w:tcPr>
            <w:tcW w:type="auto" w:w="0"/>
            <w:tcMar>
              <w:left w:type="dxa" w:w="200"/>
              <w:top w:type="dxa" w:w="200"/>
              <w:right w:type="dxa" w:w="200"/>
              <w:bottom w:type="dxa" w:w="200"/>
            </w:tcMar>
          </w:tcPr>
          <w:p>
            <w:pPr>
              <w:pStyle w:val="Para 001"/>
            </w:pPr>
            <w:r>
              <w:t>NameError</w:t>
            </w:r>
          </w:p>
        </w:tc>
        <w:tc>
          <w:tcPr>
            <w:tcW w:type="auto" w:w="0"/>
            <w:tcMar>
              <w:left w:type="dxa" w:w="200"/>
              <w:top w:type="dxa" w:w="200"/>
              <w:right w:type="dxa" w:w="200"/>
              <w:bottom w:type="dxa" w:w="200"/>
            </w:tcMar>
          </w:tcPr>
          <w:p>
            <w:pPr>
              <w:pStyle w:val="Para 002"/>
            </w:pPr>
            <w:r>
              <w:t>A name was referenced, but it was not bound to any variable in the current scope.</w:t>
            </w:r>
          </w:p>
        </w:tc>
      </w:tr>
    </w:tbl>
    <w:tbl>
      <w:tblPr>
        <w:tblW w:type="auto" w:w="0"/>
      </w:tblPr>
      <w:tr>
        <w:tc>
          <w:tcPr>
            <w:tcW w:type="auto" w:w="0"/>
            <w:shd w:val="clear" w:color="auto" w:fill="EEF2F6"/>
            <w:tcMar>
              <w:left w:type="dxa" w:w="200"/>
              <w:top w:type="dxa" w:w="200"/>
              <w:right w:type="dxa" w:w="200"/>
              <w:bottom w:type="dxa" w:w="200"/>
            </w:tcMar>
          </w:tcPr>
          <w:p>
            <w:pPr>
              <w:pStyle w:val="Para 001"/>
            </w:pPr>
            <w:r>
              <w:t>N⁠o⁠t⁠I⁠m⁠p⁠l⁠e⁠m⁠e⁠n⁠t⁠e⁠d​E⁠r⁠r⁠o⁠r</w:t>
            </w:r>
          </w:p>
        </w:tc>
        <w:tc>
          <w:tcPr>
            <w:tcW w:type="auto" w:w="0"/>
            <w:shd w:val="clear" w:color="auto" w:fill="EEF2F6"/>
            <w:tcMar>
              <w:left w:type="dxa" w:w="200"/>
              <w:top w:type="dxa" w:w="200"/>
              <w:right w:type="dxa" w:w="200"/>
              <w:bottom w:type="dxa" w:w="200"/>
            </w:tcMar>
          </w:tcPr>
          <w:p>
            <w:pPr>
              <w:pStyle w:val="Para 002"/>
            </w:pPr>
            <w:r>
              <w:t>Raised by abstract base classes to indicate that a concrete subclass must override a method.</w:t>
            </w:r>
          </w:p>
        </w:tc>
      </w:tr>
    </w:tbl>
    <w:tbl>
      <w:tblPr>
        <w:tblW w:type="auto" w:w="0"/>
      </w:tblPr>
      <w:tr>
        <w:tc>
          <w:tcPr>
            <w:tcW w:type="auto" w:w="0"/>
            <w:tcMar>
              <w:left w:type="dxa" w:w="200"/>
              <w:top w:type="dxa" w:w="200"/>
              <w:right w:type="dxa" w:w="200"/>
              <w:bottom w:type="dxa" w:w="200"/>
            </w:tcMar>
          </w:tcPr>
          <w:p>
            <w:pPr>
              <w:pStyle w:val="Para 001"/>
            </w:pPr>
            <w:r>
              <w:t>OSError</w:t>
            </w:r>
          </w:p>
        </w:tc>
        <w:tc>
          <w:tcPr>
            <w:tcW w:type="auto" w:w="0"/>
            <w:tcMar>
              <w:left w:type="dxa" w:w="200"/>
              <w:top w:type="dxa" w:w="200"/>
              <w:right w:type="dxa" w:w="200"/>
              <w:bottom w:type="dxa" w:w="200"/>
            </w:tcMar>
          </w:tcPr>
          <w:p>
            <w:pPr>
              <w:pStyle w:val="Para 002"/>
            </w:pPr>
            <w:r>
              <w:t xml:space="preserve">Raised by functions in the module </w:t>
            </w:r>
            <w:r>
              <w:rPr>
                <w:rStyle w:val="Text0"/>
              </w:rPr>
              <w:t>os</w:t>
            </w:r>
            <w:r>
              <w:t xml:space="preserve"> (covered in </w:t>
            </w:r>
            <w:hyperlink w:anchor="The_os_Module__os_is_an_umbrella">
              <w:r>
                <w:rPr>
                  <w:rStyle w:val="Text1"/>
                </w:rPr>
                <w:t>“The os Module”</w:t>
              </w:r>
            </w:hyperlink>
            <w:r>
              <w:t xml:space="preserve"> and </w:t>
            </w:r>
            <w:hyperlink w:anchor="Running_Other_Programs_with_the">
              <w:r>
                <w:rPr>
                  <w:rStyle w:val="Text1"/>
                </w:rPr>
                <w:t>“Running Other Programs with the os Module”</w:t>
              </w:r>
            </w:hyperlink>
            <w:r>
              <w:t xml:space="preserve">) to indicate platform-dependent errors. </w:t>
            </w:r>
            <w:r>
              <w:rPr>
                <w:rStyle w:val="Text0"/>
              </w:rPr>
              <w:t>OSError</w:t>
            </w:r>
            <w:r>
              <w:t xml:space="preserve"> has many subclasses, covered in the following subsection.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RecursionError</w:t>
            </w:r>
          </w:p>
        </w:tc>
        <w:tc>
          <w:tcPr>
            <w:tcW w:type="auto" w:w="0"/>
            <w:shd w:val="clear" w:color="auto" w:fill="EEF2F6"/>
            <w:tcMar>
              <w:left w:type="dxa" w:w="200"/>
              <w:top w:type="dxa" w:w="200"/>
              <w:right w:type="dxa" w:w="200"/>
              <w:bottom w:type="dxa" w:w="200"/>
            </w:tcMar>
          </w:tcPr>
          <w:p>
            <w:pPr>
              <w:pStyle w:val="Para 002"/>
            </w:pPr>
            <w:r>
              <w:t xml:space="preserve">Python detected that the recursion depth has been exceeded. Subclasses </w:t>
            </w:r>
            <w:r>
              <w:rPr>
                <w:rStyle w:val="Text0"/>
              </w:rPr>
              <w:t>RuntimeError</w:t>
            </w:r>
            <w:r>
              <w:t>.</w:t>
            </w:r>
          </w:p>
        </w:tc>
      </w:tr>
    </w:tbl>
    <w:tbl>
      <w:tblPr>
        <w:tblW w:type="auto" w:w="0"/>
      </w:tblPr>
      <w:tr>
        <w:tc>
          <w:tcPr>
            <w:tcW w:type="auto" w:w="0"/>
            <w:tcMar>
              <w:left w:type="dxa" w:w="200"/>
              <w:top w:type="dxa" w:w="200"/>
              <w:right w:type="dxa" w:w="200"/>
              <w:bottom w:type="dxa" w:w="200"/>
            </w:tcMar>
          </w:tcPr>
          <w:p>
            <w:pPr>
              <w:pStyle w:val="Para 001"/>
            </w:pPr>
            <w:r>
              <w:t>RuntimeError</w:t>
            </w:r>
          </w:p>
        </w:tc>
        <w:tc>
          <w:tcPr>
            <w:tcW w:type="auto" w:w="0"/>
            <w:tcMar>
              <w:left w:type="dxa" w:w="200"/>
              <w:top w:type="dxa" w:w="200"/>
              <w:right w:type="dxa" w:w="200"/>
              <w:bottom w:type="dxa" w:w="200"/>
            </w:tcMar>
          </w:tcPr>
          <w:p>
            <w:pPr>
              <w:pStyle w:val="Para 002"/>
            </w:pPr>
            <w:r>
              <w:t>Raised for any error or anomaly not otherwise classified.</w:t>
            </w:r>
          </w:p>
        </w:tc>
      </w:tr>
    </w:tbl>
    <w:tbl>
      <w:tblPr>
        <w:tblW w:type="auto" w:w="0"/>
      </w:tblPr>
      <w:tr>
        <w:tc>
          <w:tcPr>
            <w:tcW w:type="auto" w:w="0"/>
            <w:shd w:val="clear" w:color="auto" w:fill="EEF2F6"/>
            <w:tcMar>
              <w:left w:type="dxa" w:w="200"/>
              <w:top w:type="dxa" w:w="200"/>
              <w:right w:type="dxa" w:w="200"/>
              <w:bottom w:type="dxa" w:w="200"/>
            </w:tcMar>
          </w:tcPr>
          <w:p>
            <w:pPr>
              <w:pStyle w:val="Para 001"/>
            </w:pPr>
            <w:r>
              <w:t>SyntaxError</w:t>
            </w:r>
          </w:p>
        </w:tc>
        <w:tc>
          <w:tcPr>
            <w:tcW w:type="auto" w:w="0"/>
            <w:shd w:val="clear" w:color="auto" w:fill="EEF2F6"/>
            <w:tcMar>
              <w:left w:type="dxa" w:w="200"/>
              <w:top w:type="dxa" w:w="200"/>
              <w:right w:type="dxa" w:w="200"/>
              <w:bottom w:type="dxa" w:w="200"/>
            </w:tcMar>
          </w:tcPr>
          <w:p>
            <w:pPr>
              <w:pStyle w:val="Para 002"/>
            </w:pPr>
            <w:r>
              <w:t>Python’s parser encountered a syntax error.</w:t>
            </w:r>
          </w:p>
        </w:tc>
      </w:tr>
    </w:tbl>
    <w:tbl>
      <w:tblPr>
        <w:tblW w:type="auto" w:w="0"/>
      </w:tblPr>
      <w:tr>
        <w:tc>
          <w:tcPr>
            <w:tcW w:type="auto" w:w="0"/>
            <w:tcMar>
              <w:left w:type="dxa" w:w="200"/>
              <w:top w:type="dxa" w:w="200"/>
              <w:right w:type="dxa" w:w="200"/>
              <w:bottom w:type="dxa" w:w="200"/>
            </w:tcMar>
          </w:tcPr>
          <w:p>
            <w:pPr>
              <w:pStyle w:val="Para 001"/>
            </w:pPr>
            <w:r>
              <w:t>SystemError</w:t>
            </w:r>
          </w:p>
        </w:tc>
        <w:tc>
          <w:tcPr>
            <w:tcW w:type="auto" w:w="0"/>
            <w:tcMar>
              <w:left w:type="dxa" w:w="200"/>
              <w:top w:type="dxa" w:w="200"/>
              <w:right w:type="dxa" w:w="200"/>
              <w:bottom w:type="dxa" w:w="200"/>
            </w:tcMar>
          </w:tcPr>
          <w:p>
            <w:pPr>
              <w:pStyle w:val="Para 002"/>
            </w:pPr>
            <w:r>
              <w:t>Python has detected an error in its own code, or in an extension module. Please report this to the maintainers of your Python version, or of the extension in question, including the error message, the exact Python version (</w:t>
            </w:r>
            <w:r>
              <w:rPr>
                <w:rStyle w:val="Text0"/>
              </w:rPr>
              <w:t>sys.version</w:t>
            </w:r>
            <w:r>
              <w:t>), and, if possible, your program’s source code.</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TypeError</w:t>
            </w:r>
          </w:p>
        </w:tc>
        <w:tc>
          <w:tcPr>
            <w:tcW w:type="auto" w:w="0"/>
            <w:shd w:val="clear" w:color="auto" w:fill="EEF2F6"/>
            <w:tcMar>
              <w:left w:type="dxa" w:w="200"/>
              <w:top w:type="dxa" w:w="200"/>
              <w:right w:type="dxa" w:w="200"/>
              <w:bottom w:type="dxa" w:w="200"/>
            </w:tcMar>
          </w:tcPr>
          <w:p>
            <w:pPr>
              <w:pStyle w:val="Para 002"/>
            </w:pPr>
            <w:r>
              <w:t>An operation or function was applied to an object of an inappropriate type.</w:t>
            </w:r>
          </w:p>
        </w:tc>
      </w:tr>
    </w:tbl>
    <w:tbl>
      <w:tblPr>
        <w:tblW w:type="auto" w:w="0"/>
      </w:tblPr>
      <w:tr>
        <w:tc>
          <w:tcPr>
            <w:tcW w:type="auto" w:w="0"/>
            <w:tcMar>
              <w:left w:type="dxa" w:w="200"/>
              <w:top w:type="dxa" w:w="200"/>
              <w:right w:type="dxa" w:w="200"/>
              <w:bottom w:type="dxa" w:w="200"/>
            </w:tcMar>
          </w:tcPr>
          <w:p>
            <w:pPr>
              <w:pStyle w:val="Para 001"/>
            </w:pPr>
            <w:r>
              <w:t>UnboundLocalError</w:t>
            </w:r>
          </w:p>
        </w:tc>
        <w:tc>
          <w:tcPr>
            <w:tcW w:type="auto" w:w="0"/>
            <w:tcMar>
              <w:left w:type="dxa" w:w="200"/>
              <w:top w:type="dxa" w:w="200"/>
              <w:right w:type="dxa" w:w="200"/>
              <w:bottom w:type="dxa" w:w="200"/>
            </w:tcMar>
          </w:tcPr>
          <w:p>
            <w:pPr>
              <w:pStyle w:val="Para 002"/>
            </w:pPr>
            <w:r>
              <w:t xml:space="preserve">A reference was made to a local variable, but no value is currently bound to that local variable. Subclasses </w:t>
            </w:r>
            <w:r>
              <w:rPr>
                <w:rStyle w:val="Text0"/>
              </w:rPr>
              <w:t>NameError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UnicodeError</w:t>
            </w:r>
          </w:p>
        </w:tc>
        <w:tc>
          <w:tcPr>
            <w:tcW w:type="auto" w:w="0"/>
            <w:shd w:val="clear" w:color="auto" w:fill="EEF2F6"/>
            <w:tcMar>
              <w:left w:type="dxa" w:w="200"/>
              <w:top w:type="dxa" w:w="200"/>
              <w:right w:type="dxa" w:w="200"/>
              <w:bottom w:type="dxa" w:w="200"/>
            </w:tcMar>
          </w:tcPr>
          <w:p>
            <w:pPr>
              <w:pStyle w:val="Para 002"/>
            </w:pPr>
            <w:r>
              <w:t xml:space="preserve">An error occurred while converting Unicode (i.e., a </w:t>
            </w:r>
            <w:r>
              <w:rPr>
                <w:rStyle w:val="Text0"/>
              </w:rPr>
              <w:t>str</w:t>
            </w:r>
            <w:r>
              <w:t xml:space="preserve">) to a byte string, or vice versa. Subclasses </w:t>
            </w:r>
            <w:r>
              <w:rPr>
                <w:rStyle w:val="Text0"/>
              </w:rPr>
              <w:t>ValueError</w:t>
            </w:r>
            <w:r>
              <w:t>.</w:t>
            </w:r>
          </w:p>
        </w:tc>
      </w:tr>
    </w:tbl>
    <w:tbl>
      <w:tblPr>
        <w:tblW w:type="auto" w:w="0"/>
      </w:tblPr>
      <w:tr>
        <w:tc>
          <w:tcPr>
            <w:tcW w:type="auto" w:w="0"/>
            <w:tcMar>
              <w:left w:type="dxa" w:w="200"/>
              <w:top w:type="dxa" w:w="200"/>
              <w:right w:type="dxa" w:w="200"/>
              <w:bottom w:type="dxa" w:w="200"/>
            </w:tcMar>
          </w:tcPr>
          <w:p>
            <w:pPr>
              <w:pStyle w:val="Para 001"/>
            </w:pPr>
            <w:r>
              <w:t>ValueError</w:t>
            </w:r>
          </w:p>
        </w:tc>
        <w:tc>
          <w:tcPr>
            <w:tcW w:type="auto" w:w="0"/>
            <w:tcMar>
              <w:left w:type="dxa" w:w="200"/>
              <w:top w:type="dxa" w:w="200"/>
              <w:right w:type="dxa" w:w="200"/>
              <w:bottom w:type="dxa" w:w="200"/>
            </w:tcMar>
          </w:tcPr>
          <w:p>
            <w:pPr>
              <w:pStyle w:val="Para 002"/>
            </w:pPr>
            <w:r>
              <w:t xml:space="preserve">An operation or function was applied to an object that has a correct type but an inappropriate value, and nothing more specific (e.g., </w:t>
            </w:r>
            <w:r>
              <w:rPr>
                <w:rStyle w:val="Text0"/>
              </w:rPr>
              <w:t>KeyError</w:t>
            </w:r>
            <w:r>
              <w:t>) applies.</w:t>
            </w:r>
          </w:p>
        </w:tc>
      </w:tr>
    </w:tbl>
    <w:tbl>
      <w:tblPr>
        <w:tblW w:type="auto" w:w="0"/>
      </w:tblPr>
      <w:tr>
        <w:tc>
          <w:tcPr>
            <w:tcW w:type="auto" w:w="0"/>
            <w:shd w:val="clear" w:color="auto" w:fill="EEF2F6"/>
            <w:tcMar>
              <w:left w:type="dxa" w:w="200"/>
              <w:top w:type="dxa" w:w="200"/>
              <w:right w:type="dxa" w:w="200"/>
              <w:bottom w:type="dxa" w:w="200"/>
            </w:tcMar>
          </w:tcPr>
          <w:p>
            <w:pPr>
              <w:pStyle w:val="Para 001"/>
            </w:pPr>
            <w:r>
              <w:t>ZeroDivisionError</w:t>
            </w:r>
          </w:p>
        </w:tc>
        <w:tc>
          <w:tcPr>
            <w:tcW w:type="auto" w:w="0"/>
            <w:shd w:val="clear" w:color="auto" w:fill="EEF2F6"/>
            <w:tcMar>
              <w:left w:type="dxa" w:w="200"/>
              <w:top w:type="dxa" w:w="200"/>
              <w:right w:type="dxa" w:w="200"/>
              <w:bottom w:type="dxa" w:w="200"/>
            </w:tcMar>
          </w:tcPr>
          <w:p>
            <w:pPr>
              <w:pStyle w:val="Para 002"/>
            </w:pPr>
            <w:r>
              <w:t xml:space="preserve">A divisor (the righthand operand of a </w:t>
            </w:r>
            <w:r>
              <w:rPr>
                <w:rStyle w:val="Text0"/>
              </w:rPr>
              <w:t>/</w:t>
            </w:r>
            <w:r>
              <w:t xml:space="preserve">, </w:t>
            </w:r>
            <w:r>
              <w:rPr>
                <w:rStyle w:val="Text0"/>
              </w:rPr>
              <w:t>//</w:t>
            </w:r>
            <w:r>
              <w:t xml:space="preserve">, or </w:t>
            </w:r>
            <w:r>
              <w:rPr>
                <w:rStyle w:val="Text0"/>
              </w:rPr>
              <w:t>%</w:t>
            </w:r>
            <w:r>
              <w:t xml:space="preserve"> operator, or the second argument to the built-in function </w:t>
            </w:r>
            <w:r>
              <w:rPr>
                <w:rStyle w:val="Text0"/>
              </w:rPr>
              <w:t>divmod</w:t>
            </w:r>
            <w:r>
              <w:t xml:space="preserve">) is </w:t>
            </w:r>
            <w:r>
              <w:rPr>
                <w:rStyle w:val="Text0"/>
              </w:rPr>
              <w:t>0</w:t>
            </w:r>
            <w:r>
              <w:t xml:space="preserve">. Subclasses </w:t>
            </w:r>
            <w:r>
              <w:rPr>
                <w:rStyle w:val="Text0"/>
              </w:rPr>
              <w:t>ArithmeticError</w:t>
            </w:r>
            <w:r>
              <w:t>.</w:t>
            </w:r>
          </w:p>
        </w:tc>
      </w:tr>
    </w:tbl>
    <w:p>
      <w:bookmarkStart w:id="1816" w:name="OSError_subclasses__OSError_repr"/>
      <w:pPr>
        <w:keepNext/>
        <w:pStyle w:val="Heading 2"/>
      </w:pPr>
      <w:r>
        <w:t>OSError subclasses</w:t>
      </w:r>
      <w:bookmarkEnd w:id="1816"/>
    </w:p>
    <w:p>
      <w:pPr>
        <w:pStyle w:val="Normal"/>
      </w:pPr>
      <w:r>
        <w:rPr>
          <w:rStyle w:val="Text0"/>
        </w:rPr>
        <w:t>OSError</w:t>
      </w:r>
      <w:r>
        <w:t xml:space="preserve"> represents</w:t>
      </w:r>
      <w:r>
        <w:rPr>
          <w:rStyle w:val="Text111"/>
        </w:rPr>
        <w:bookmarkStart w:id="1817" w:name="idm45965256793664"/>
        <w:t/>
        <w:bookmarkEnd w:id="1817"/>
        <w:bookmarkStart w:id="1818" w:name="idm45965256792256"/>
        <w:t/>
        <w:bookmarkEnd w:id="1818"/>
      </w:r>
      <w:r>
        <w:t xml:space="preserve"> errors detected by the operating system. To handle such errors more elegantly, </w:t>
      </w:r>
      <w:r>
        <w:rPr>
          <w:rStyle w:val="Text0"/>
        </w:rPr>
        <w:t>OSError</w:t>
      </w:r>
      <w:r>
        <w:t xml:space="preserve"> has many subclasses, whose instances are what actually get raised; for a complete list, see Python’s </w:t>
      </w:r>
      <w:hyperlink r:id="rId271">
        <w:r>
          <w:rPr>
            <w:rStyle w:val="Text1"/>
          </w:rPr>
          <w:t>online docs</w:t>
        </w:r>
      </w:hyperlink>
      <w:r>
        <w:t>.</w:t>
      </w:r>
    </w:p>
    <w:p>
      <w:pPr>
        <w:pStyle w:val="Normal"/>
      </w:pPr>
      <w:r>
        <w:t xml:space="preserve">For example, consider this task: try to read and return the contents of a certain file, return a default string if the file does not exist, and propagate any other exception that makes the file unreadable (except for the file not existing). Using an existing </w:t>
      </w:r>
      <w:r>
        <w:rPr>
          <w:rStyle w:val="Text0"/>
        </w:rPr>
        <w:t>OSError</w:t>
      </w:r>
      <w:r>
        <w:t xml:space="preserve"> subclass, you can accomplish the task quite simply:</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read_or_default</w:t>
        <w:br w:clear="none"/>
      </w:r>
      <w:r>
        <w:rPr>
          <w:rStyle w:val="Text7"/>
        </w:rPr>
        <w:t xml:space="preserve">(</w:t>
        <w:br w:clear="none"/>
      </w:r>
      <w:r>
        <w:rPr>
          <w:rStyle w:val="Text9"/>
        </w:rPr>
        <w:t xml:space="preserve">filepath</w:t>
        <w:br w:clear="none"/>
      </w:r>
      <w:r>
        <w:rPr>
          <w:rStyle w:val="Text7"/>
        </w:rPr>
        <w:t xml:space="preserve">,</w:t>
        <w:br w:clear="none"/>
      </w:r>
      <w:r>
        <w:t xml:space="preserve"> </w:t>
        <w:br w:clear="none"/>
      </w:r>
      <w:r>
        <w:rPr>
          <w:rStyle w:val="Text9"/>
        </w:rPr>
        <w:t xml:space="preserve">default</w:t>
        <w:br w:clear="none"/>
      </w:r>
      <w:r>
        <w:rPr>
          <w:rStyle w:val="Text7"/>
        </w:rPr>
        <w:t xml:space="preserve">)</w:t>
        <w:br w:clear="none"/>
        <w:t xml:space="preserve">:</w:t>
        <w:br w:clear="none"/>
      </w:r>
      <w:r>
        <w:t xml:space="preserve"/>
        <w:br w:clear="none"/>
        <w:t xml:space="preserve">    </w:t>
        <w:br w:clear="none"/>
      </w:r>
      <w:r>
        <w:rPr>
          <w:rStyle w:val="Text10"/>
        </w:rPr>
        <w:t xml:space="preserve">try</w:t>
        <w:br w:clear="none"/>
      </w:r>
      <w:r>
        <w:rPr>
          <w:rStyle w:val="Text7"/>
        </w:rPr>
        <w:t xml:space="preserve">:</w:t>
        <w:br w:clear="none"/>
      </w:r>
      <w:r>
        <w:t xml:space="preserve"/>
        <w:br w:clear="none"/>
        <w:t xml:space="preserve">        </w:t>
        <w:br w:clear="none"/>
      </w:r>
      <w:r>
        <w:rPr>
          <w:rStyle w:val="Text10"/>
        </w:rPr>
        <w:t xml:space="preserve">with</w:t>
        <w:br w:clear="none"/>
      </w:r>
      <w:r>
        <w:t xml:space="preserve"> </w:t>
        <w:br w:clear="none"/>
      </w:r>
      <w:r>
        <w:rPr>
          <w:rStyle w:val="Text16"/>
        </w:rPr>
        <w:t xml:space="preserve">open</w:t>
        <w:br w:clear="none"/>
      </w:r>
      <w:r>
        <w:rPr>
          <w:rStyle w:val="Text7"/>
        </w:rPr>
        <w:t xml:space="preserve">(</w:t>
        <w:br w:clear="none"/>
      </w:r>
      <w:r>
        <w:rPr>
          <w:rStyle w:val="Text9"/>
        </w:rPr>
        <w:t xml:space="preserve">filepath</w:t>
        <w:br w:clear="none"/>
      </w:r>
      <w:r>
        <w:rPr>
          <w:rStyle w:val="Text7"/>
        </w:rPr>
        <w:t xml:space="preserve">)</w:t>
        <w:br w:clear="none"/>
      </w:r>
      <w:r>
        <w:t xml:space="preserve"> </w:t>
        <w:br w:clear="none"/>
      </w:r>
      <w:r>
        <w:rPr>
          <w:rStyle w:val="Text10"/>
        </w:rPr>
        <w:t xml:space="preserve">as</w:t>
        <w:br w:clear="none"/>
      </w:r>
      <w:r>
        <w:t xml:space="preserve"> </w:t>
        <w:br w:clear="none"/>
      </w:r>
      <w:r>
        <w:rPr>
          <w:rStyle w:val="Text9"/>
        </w:rPr>
        <w:t xml:space="preserve">f</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f</w:t>
        <w:br w:clear="none"/>
      </w:r>
      <w:r>
        <w:rPr>
          <w:rStyle w:val="Text13"/>
        </w:rPr>
        <w:t xml:space="preserve">.</w:t>
        <w:br w:clear="none"/>
      </w:r>
      <w:r>
        <w:rPr>
          <w:rStyle w:val="Text9"/>
        </w:rPr>
        <w:t xml:space="preserve">read</w:t>
        <w:br w:clear="none"/>
      </w:r>
      <w:r>
        <w:rPr>
          <w:rStyle w:val="Text7"/>
        </w:rPr>
        <w:t xml:space="preserve">(</w:t>
        <w:br w:clear="none"/>
        <w:t xml:space="preserve">)</w:t>
        <w:br w:clear="none"/>
      </w:r>
      <w:r>
        <w:t xml:space="preserve"/>
        <w:br w:clear="none"/>
        <w:t xml:space="preserve">    </w:t>
        <w:br w:clear="none"/>
      </w:r>
      <w:r>
        <w:rPr>
          <w:rStyle w:val="Text10"/>
        </w:rPr>
        <w:t xml:space="preserve">except</w:t>
        <w:br w:clear="none"/>
      </w:r>
      <w:r>
        <w:t xml:space="preserve"> </w:t>
        <w:br w:clear="none"/>
      </w:r>
      <w:r>
        <w:rPr>
          <w:rStyle w:val="Text36"/>
        </w:rPr>
        <w:t xml:space="preserve">FileNotFoundError</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default</w:t>
        <w:br w:clear="none"/>
      </w:r>
    </w:p>
    <w:p>
      <w:pPr>
        <w:pStyle w:val="Normal"/>
      </w:pPr>
      <w:r>
        <w:t xml:space="preserve">The </w:t>
      </w:r>
      <w:r>
        <w:rPr>
          <w:rStyle w:val="Text0"/>
        </w:rPr>
        <w:t>FileNotFoundError</w:t>
      </w:r>
      <w:r>
        <w:t xml:space="preserve"> subclass of </w:t>
      </w:r>
      <w:r>
        <w:rPr>
          <w:rStyle w:val="Text0"/>
        </w:rPr>
        <w:t>OSError</w:t>
      </w:r>
      <w:r>
        <w:t xml:space="preserve"> makes this kind of common task simple and direct to express in code.</w:t>
      </w:r>
    </w:p>
    <w:p>
      <w:bookmarkStart w:id="1819" w:name="Exceptions__wrapping__other_exce"/>
      <w:pPr>
        <w:keepNext/>
        <w:pStyle w:val="Heading 2"/>
      </w:pPr>
      <w:r>
        <w:t>Exceptions “wrapping” other exceptions or tracebacks</w:t>
      </w:r>
      <w:bookmarkEnd w:id="1819"/>
    </w:p>
    <w:p>
      <w:pPr>
        <w:pStyle w:val="Normal"/>
      </w:pPr>
      <w:r>
        <w:t xml:space="preserve">Sometimes, you cause an exception while trying to handle another. To let you clearly diagnose this issue, each exception instance holds its own traceback object; you can make another exception instance with a different traceback with the </w:t>
      </w:r>
      <w:r>
        <w:rPr>
          <w:rStyle w:val="Text0"/>
        </w:rPr>
        <w:t>with_traceback</w:t>
      </w:r>
      <w:r>
        <w:t xml:space="preserve"> method.</w:t>
      </w:r>
    </w:p>
    <w:p>
      <w:pPr>
        <w:pStyle w:val="Normal"/>
      </w:pPr>
      <w:r>
        <w:t xml:space="preserve">Moreover, Python automatically stores which exception it’s handling as the </w:t>
      </w:r>
      <w:r>
        <w:rPr>
          <w:rStyle w:val="Text0"/>
        </w:rPr>
        <w:t>__context__</w:t>
      </w:r>
      <w:r>
        <w:t xml:space="preserve"> attribute of any further exception raised during the handling (unless you set the exception’s </w:t>
      </w:r>
      <w:r>
        <w:rPr>
          <w:rStyle w:val="Text0"/>
        </w:rPr>
        <w:t>__suppress_context__</w:t>
      </w:r>
      <w:r>
        <w:t xml:space="preserve"> attribute to </w:t>
      </w:r>
      <w:r>
        <w:rPr>
          <w:rStyle w:val="Text5"/>
        </w:rPr>
        <w:t>True</w:t>
      </w:r>
      <w:r>
        <w:t xml:space="preserve"> with the </w:t>
      </w:r>
      <w:r>
        <w:rPr>
          <w:rStyle w:val="Text5"/>
        </w:rPr>
        <w:t>raise</w:t>
      </w:r>
      <w:r>
        <w:rPr>
          <w:rStyle w:val="Text0"/>
        </w:rPr>
        <w:t>...</w:t>
      </w:r>
      <w:r>
        <w:rPr>
          <w:rStyle w:val="Text5"/>
        </w:rPr>
        <w:t>from</w:t>
      </w:r>
      <w:r>
        <w:t xml:space="preserve"> statement, which we cover shortly). If the new exception propagates, Python’s error message uses that exception’s </w:t>
      </w:r>
      <w:r>
        <w:rPr>
          <w:rStyle w:val="Text0"/>
        </w:rPr>
        <w:t>__context__</w:t>
      </w:r>
      <w:r>
        <w:t xml:space="preserve"> attribute to show details of the problem. For example, take the (deliberately!) broken code:</w:t>
      </w:r>
    </w:p>
    <w:p>
      <w:pPr>
        <w:pStyle w:val="Para 084"/>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27"/>
        </w:rPr>
        <w:t xml:space="preserve">1</w:t>
        <w:br w:clear="none"/>
      </w:r>
      <w:r>
        <w:rPr>
          <w:rStyle w:val="Text13"/>
        </w:rPr>
        <w:t xml:space="preserve">/</w:t>
        <w:br w:clear="none"/>
      </w:r>
      <w:r>
        <w:rPr>
          <w:rStyle w:val="Text27"/>
        </w:rPr>
        <w:t xml:space="preserve">0</w:t>
        <w:br w:clear="none"/>
      </w:r>
      <w:r>
        <w:rPr>
          <w:rStyle w:val="Text6"/>
        </w:rPr>
        <w:t xml:space="preserve"/>
        <w:br w:clear="none"/>
      </w:r>
      <w:r>
        <w:rPr>
          <w:rStyle w:val="Text10"/>
        </w:rPr>
        <w:t xml:space="preserve">except</w:t>
        <w:br w:clear="none"/>
      </w:r>
      <w:r>
        <w:rPr>
          <w:rStyle w:val="Text6"/>
        </w:rPr>
        <w:t xml:space="preserve"> </w:t>
        <w:br w:clear="none"/>
      </w:r>
      <w:r>
        <w:t xml:space="preserve">ZeroDivisionError</w:t>
        <w:br w:clear="none"/>
      </w:r>
      <w:r>
        <w:rPr>
          <w:rStyle w:val="Text7"/>
        </w:rPr>
        <w:t xml:space="preserve">:</w:t>
        <w:br w:clear="none"/>
      </w:r>
      <w:r>
        <w:rPr>
          <w:rStyle w:val="Text6"/>
        </w:rPr>
        <w:t xml:space="preserve"/>
        <w:br w:clear="none"/>
        <w:t xml:space="preserve">    </w:t>
        <w:br w:clear="none"/>
      </w:r>
      <w:r>
        <w:rPr>
          <w:rStyle w:val="Text27"/>
        </w:rPr>
        <w:t xml:space="preserve">1</w:t>
        <w:br w:clear="none"/>
      </w:r>
      <w:r>
        <w:rPr>
          <w:rStyle w:val="Text13"/>
        </w:rPr>
        <w:t xml:space="preserve">+</w:t>
        <w:br w:clear="none"/>
      </w:r>
      <w:r>
        <w:rPr>
          <w:rStyle w:val="Text8"/>
        </w:rPr>
        <w:t xml:space="preserve">'</w:t>
        <w:br w:clear="none"/>
        <w:t xml:space="preserve">x</w:t>
        <w:br w:clear="none"/>
        <w:t xml:space="preserve">'</w:t>
        <w:br w:clear="none"/>
      </w:r>
    </w:p>
    <w:p>
      <w:pPr>
        <w:pStyle w:val="Normal"/>
      </w:pPr>
      <w:r>
        <w:t>The error displayed is:</w:t>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"&lt;stdin&gt;", line 1, in &lt;module&gt;</w:t>
        <w:br w:clear="none"/>
      </w:r>
      <w:r>
        <w:rPr>
          <w:rStyle w:val="Text48"/>
        </w:rPr>
        <w:t xml:space="preserve"/>
        <w:br w:clear="none"/>
      </w:r>
      <w:r>
        <w:t xml:space="preserve">ZeroDivisionError: division by zero</w:t>
        <w:br w:clear="none"/>
      </w:r>
      <w:r>
        <w:rPr>
          <w:rStyle w:val="Text48"/>
        </w:rPr>
        <w:t xml:space="preserve"/>
        <w:br w:clear="none"/>
        <w:t xml:space="preserve"/>
        <w:br w:clear="none"/>
      </w:r>
      <w:r>
        <w:t xml:space="preserve">During handling of the above exception, another exception occurred:</w:t>
        <w:br w:clear="none"/>
      </w:r>
      <w:r>
        <w:rPr>
          <w:rStyle w:val="Text48"/>
        </w:rPr>
        <w:t xml:space="preserve"/>
        <w:br w:clear="none"/>
        <w:t xml:space="preserve"/>
        <w:br w:clear="none"/>
      </w:r>
      <w:r>
        <w:t xml:space="preserve">Traceback (most recent call last):</w:t>
        <w:br w:clear="none"/>
      </w:r>
      <w:r>
        <w:rPr>
          <w:rStyle w:val="Text48"/>
        </w:rPr>
        <w:t xml:space="preserve"/>
        <w:br w:clear="none"/>
      </w:r>
      <w:r>
        <w:t xml:space="preserve">  File "&lt;stdin&gt;", line 3, in &lt;module&gt;</w:t>
        <w:br w:clear="none"/>
      </w:r>
      <w:r>
        <w:rPr>
          <w:rStyle w:val="Text48"/>
        </w:rPr>
        <w:t xml:space="preserve"/>
        <w:br w:clear="none"/>
      </w:r>
      <w:r>
        <w:t xml:space="preserve">TypeError: unsupported operand type(s) for +: 'int' and 'str'</w:t>
        <w:br w:clear="none"/>
      </w:r>
    </w:p>
    <w:p>
      <w:pPr>
        <w:pStyle w:val="Normal"/>
      </w:pPr>
      <w:r>
        <w:t>Thus, Python clearly displays both exceptions, the original and the intervening one.</w:t>
      </w:r>
    </w:p>
    <w:p>
      <w:pPr>
        <w:pStyle w:val="Normal"/>
      </w:pPr>
      <w:r>
        <w:t xml:space="preserve">To get more control over the error display, you can, if you wish, use the </w:t>
      </w:r>
      <w:r>
        <w:rPr>
          <w:rStyle w:val="Text5"/>
        </w:rPr>
        <w:t>raise</w:t>
      </w:r>
      <w:r>
        <w:rPr>
          <w:rStyle w:val="Text0"/>
        </w:rPr>
        <w:t>...</w:t>
      </w:r>
      <w:r>
        <w:rPr>
          <w:rStyle w:val="Text5"/>
        </w:rPr>
        <w:t>from</w:t>
      </w:r>
      <w:r>
        <w:t xml:space="preserve"> statement. When you execute </w:t>
      </w:r>
      <w:r>
        <w:rPr>
          <w:rStyle w:val="Text5"/>
        </w:rPr>
        <w:t>raise</w:t>
      </w:r>
      <w:r>
        <w:t xml:space="preserve"> </w:t>
      </w:r>
      <w:r>
        <w:rPr>
          <w:rStyle w:val="Text3"/>
        </w:rPr>
        <w:t>e</w:t>
      </w:r>
      <w:r>
        <w:t xml:space="preserve"> </w:t>
      </w:r>
      <w:r>
        <w:rPr>
          <w:rStyle w:val="Text5"/>
        </w:rPr>
        <w:t>from</w:t>
      </w:r>
      <w:r>
        <w:t xml:space="preserve"> </w:t>
      </w:r>
      <w:r>
        <w:rPr>
          <w:rStyle w:val="Text3"/>
        </w:rPr>
        <w:t>ex</w:t>
      </w:r>
      <w:r>
        <w:t xml:space="preserve">, both </w:t>
      </w:r>
      <w:r>
        <w:rPr>
          <w:rStyle w:val="Text3"/>
        </w:rPr>
        <w:t>e</w:t>
      </w:r>
      <w:r>
        <w:t xml:space="preserve"> and </w:t>
      </w:r>
      <w:r>
        <w:rPr>
          <w:rStyle w:val="Text3"/>
        </w:rPr>
        <w:t>ex</w:t>
      </w:r>
      <w:r>
        <w:t xml:space="preserve"> are exception objects: </w:t>
      </w:r>
      <w:r>
        <w:rPr>
          <w:rStyle w:val="Text3"/>
        </w:rPr>
        <w:t>e</w:t>
      </w:r>
      <w:r>
        <w:t xml:space="preserve"> is the one that propagates, and </w:t>
      </w:r>
      <w:r>
        <w:rPr>
          <w:rStyle w:val="Text3"/>
        </w:rPr>
        <w:t>ex</w:t>
      </w:r>
      <w:r>
        <w:t xml:space="preserve"> is its “cause.” Python records </w:t>
      </w:r>
      <w:r>
        <w:rPr>
          <w:rStyle w:val="Text3"/>
        </w:rPr>
        <w:t>ex</w:t>
      </w:r>
      <w:r>
        <w:t xml:space="preserve"> as the value of </w:t>
      </w:r>
      <w:r>
        <w:rPr>
          <w:rStyle w:val="Text3"/>
        </w:rPr>
        <w:t>e.__cause__</w:t>
      </w:r>
      <w:r>
        <w:t xml:space="preserve">, and sets </w:t>
      </w:r>
      <w:r>
        <w:rPr>
          <w:rStyle w:val="Text3"/>
        </w:rPr>
        <w:t>e.</w:t>
      </w:r>
      <w:r>
        <w:rPr>
          <w:rStyle w:val="Text0"/>
        </w:rPr>
        <w:t>__suppress_context__</w:t>
      </w:r>
      <w:r>
        <w:t xml:space="preserve"> to true. (Alternatively, </w:t>
      </w:r>
      <w:r>
        <w:rPr>
          <w:rStyle w:val="Text3"/>
        </w:rPr>
        <w:t>ex</w:t>
      </w:r>
      <w:r>
        <w:t xml:space="preserve"> can be </w:t>
      </w:r>
      <w:r>
        <w:rPr>
          <w:rStyle w:val="Text5"/>
        </w:rPr>
        <w:t>None</w:t>
      </w:r>
      <w:r>
        <w:t xml:space="preserve">: then, Python sets </w:t>
      </w:r>
      <w:r>
        <w:rPr>
          <w:rStyle w:val="Text3"/>
        </w:rPr>
        <w:t>e.__cause__</w:t>
      </w:r>
      <w:r>
        <w:t xml:space="preserve"> to </w:t>
      </w:r>
      <w:r>
        <w:rPr>
          <w:rStyle w:val="Text5"/>
        </w:rPr>
        <w:t>None</w:t>
      </w:r>
      <w:r>
        <w:t xml:space="preserve">, but still sets </w:t>
      </w:r>
      <w:r>
        <w:rPr>
          <w:rStyle w:val="Text3"/>
        </w:rPr>
        <w:t>e.</w:t>
      </w:r>
      <w:r>
        <w:rPr>
          <w:rStyle w:val="Text0"/>
        </w:rPr>
        <w:t>__suppress_context__</w:t>
      </w:r>
      <w:r>
        <w:t xml:space="preserve"> to true, and thus leaves </w:t>
      </w:r>
      <w:r>
        <w:rPr>
          <w:rStyle w:val="Text3"/>
        </w:rPr>
        <w:t>e.</w:t>
      </w:r>
      <w:r>
        <w:rPr>
          <w:rStyle w:val="Text0"/>
        </w:rPr>
        <w:t>__context__</w:t>
      </w:r>
      <w:r>
        <w:t xml:space="preserve"> alone).</w:t>
      </w:r>
    </w:p>
    <w:p>
      <w:pPr>
        <w:pStyle w:val="Normal"/>
      </w:pPr>
      <w:r>
        <w:t>As another example, here’s a class implementing a mock filesystem directory using a Python dict, with the filenames as the keys and the file contents as the values: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FileSystemDirectory</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_files</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r>
        <w:t xml:space="preserve"/>
        <w:br w:clear="none"/>
        <w:t xml:space="preserve"/>
        <w:br w:clear="none"/>
        <w:t xml:space="preserve">    </w:t>
        <w:br w:clear="none"/>
      </w:r>
      <w:r>
        <w:rPr>
          <w:rStyle w:val="Text10"/>
        </w:rPr>
        <w:t xml:space="preserve">def</w:t>
        <w:br w:clear="none"/>
      </w:r>
      <w:r>
        <w:t xml:space="preserve"> </w:t>
        <w:br w:clear="none"/>
      </w:r>
      <w:r>
        <w:rPr>
          <w:rStyle w:val="Text18"/>
        </w:rPr>
        <w:t xml:space="preserve">write_file</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filename</w:t>
        <w:br w:clear="none"/>
      </w:r>
      <w:r>
        <w:rPr>
          <w:rStyle w:val="Text7"/>
        </w:rPr>
        <w:t xml:space="preserve">,</w:t>
        <w:br w:clear="none"/>
      </w:r>
      <w:r>
        <w:t xml:space="preserve"> </w:t>
        <w:br w:clear="none"/>
      </w:r>
      <w:r>
        <w:rPr>
          <w:rStyle w:val="Text9"/>
        </w:rPr>
        <w:t xml:space="preserve">contents</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_files</w:t>
        <w:br w:clear="none"/>
      </w:r>
      <w:r>
        <w:rPr>
          <w:rStyle w:val="Text7"/>
        </w:rPr>
        <w:t xml:space="preserve">[</w:t>
        <w:br w:clear="none"/>
      </w:r>
      <w:r>
        <w:rPr>
          <w:rStyle w:val="Text9"/>
        </w:rPr>
        <w:t xml:space="preserve">filename</w:t>
        <w:br w:clear="none"/>
      </w:r>
      <w:r>
        <w:rPr>
          <w:rStyle w:val="Text7"/>
        </w:rPr>
        <w:t xml:space="preserve">]</w:t>
        <w:br w:clear="none"/>
      </w:r>
      <w:r>
        <w:t xml:space="preserve"> </w:t>
        <w:br w:clear="none"/>
      </w:r>
      <w:r>
        <w:rPr>
          <w:rStyle w:val="Text13"/>
        </w:rPr>
        <w:t xml:space="preserve">=</w:t>
        <w:br w:clear="none"/>
      </w:r>
      <w:r>
        <w:t xml:space="preserve"> </w:t>
        <w:br w:clear="none"/>
      </w:r>
      <w:r>
        <w:rPr>
          <w:rStyle w:val="Text9"/>
        </w:rPr>
        <w:t xml:space="preserve">contents</w:t>
        <w:br w:clear="none"/>
      </w:r>
      <w:r>
        <w:t xml:space="preserve"/>
        <w:br w:clear="none"/>
        <w:t xml:space="preserve"/>
        <w:br w:clear="none"/>
        <w:t xml:space="preserve">    </w:t>
        <w:br w:clear="none"/>
      </w:r>
      <w:r>
        <w:rPr>
          <w:rStyle w:val="Text10"/>
        </w:rPr>
        <w:t xml:space="preserve">def</w:t>
        <w:br w:clear="none"/>
      </w:r>
      <w:r>
        <w:t xml:space="preserve"> </w:t>
        <w:br w:clear="none"/>
      </w:r>
      <w:r>
        <w:rPr>
          <w:rStyle w:val="Text18"/>
        </w:rPr>
        <w:t xml:space="preserve">read_file</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filename</w:t>
        <w:br w:clear="none"/>
      </w:r>
      <w:r>
        <w:rPr>
          <w:rStyle w:val="Text7"/>
        </w:rPr>
        <w:t xml:space="preserve">)</w:t>
        <w:br w:clear="none"/>
        <w:t xml:space="preserve">:</w:t>
        <w:br w:clear="none"/>
      </w:r>
      <w:r>
        <w:t xml:space="preserve"/>
        <w:br w:clear="none"/>
        <w:t xml:space="preserve">        </w:t>
        <w:br w:clear="none"/>
      </w:r>
      <w:r>
        <w:rPr>
          <w:rStyle w:val="Text10"/>
        </w:rPr>
        <w:t xml:space="preserve">try</w:t>
        <w:br w:clear="none"/>
      </w:r>
      <w:r>
        <w:rPr>
          <w:rStyle w:val="Text7"/>
        </w:rPr>
        <w:t xml:space="preserve">:</w:t>
        <w:br w:clear="none"/>
      </w:r>
      <w:r>
        <w:t xml:space="preserve"/>
        <w:br w:clear="none"/>
        <w:t xml:space="preserve">            </w:t>
        <w:br w:clear="none"/>
      </w:r>
      <w:r>
        <w:rPr>
          <w:rStyle w:val="Text39"/>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_files</w:t>
        <w:br w:clear="none"/>
      </w:r>
      <w:r>
        <w:rPr>
          <w:rStyle w:val="Text7"/>
        </w:rPr>
        <w:t xml:space="preserve">[</w:t>
        <w:br w:clear="none"/>
      </w:r>
      <w:r>
        <w:rPr>
          <w:rStyle w:val="Text9"/>
        </w:rPr>
        <w:t xml:space="preserve">filename</w:t>
        <w:br w:clear="none"/>
      </w:r>
      <w:r>
        <w:rPr>
          <w:rStyle w:val="Text7"/>
        </w:rPr>
        <w:t xml:space="preserve">]</w:t>
        <w:br w:clear="none"/>
      </w:r>
      <w:r>
        <w:t xml:space="preserve"/>
        <w:br w:clear="none"/>
        <w:t xml:space="preserve">        </w:t>
        <w:br w:clear="none"/>
      </w:r>
      <w:r>
        <w:rPr>
          <w:rStyle w:val="Text10"/>
        </w:rPr>
        <w:t xml:space="preserve">except</w:t>
        <w:br w:clear="none"/>
      </w:r>
      <w:r>
        <w:t xml:space="preserve"> </w:t>
        <w:br w:clear="none"/>
      </w:r>
      <w:r>
        <w:rPr>
          <w:rStyle w:val="Text36"/>
        </w:rPr>
        <w:t xml:space="preserve">KeyError</w:t>
        <w:br w:clear="none"/>
      </w:r>
      <w:r>
        <w:rPr>
          <w:rStyle w:val="Text7"/>
        </w:rPr>
        <w:t xml:space="preserve">:</w:t>
        <w:br w:clear="none"/>
      </w:r>
      <w:r>
        <w:t xml:space="preserve"/>
        <w:br w:clear="none"/>
        <w:t xml:space="preserve">            </w:t>
        <w:br w:clear="none"/>
      </w:r>
      <w:r>
        <w:rPr>
          <w:rStyle w:val="Text10"/>
        </w:rPr>
        <w:t xml:space="preserve">raise</w:t>
        <w:br w:clear="none"/>
      </w:r>
      <w:r>
        <w:t xml:space="preserve"> </w:t>
        <w:br w:clear="none"/>
      </w:r>
      <w:r>
        <w:rPr>
          <w:rStyle w:val="Text36"/>
        </w:rPr>
        <w:t xml:space="preserve">FileNotFoundError</w:t>
        <w:br w:clear="none"/>
      </w:r>
      <w:r>
        <w:rPr>
          <w:rStyle w:val="Text7"/>
        </w:rPr>
        <w:t xml:space="preserve">(</w:t>
        <w:br w:clear="none"/>
      </w:r>
      <w:r>
        <w:rPr>
          <w:rStyle w:val="Text9"/>
        </w:rPr>
        <w:t xml:space="preserve">filename</w:t>
        <w:br w:clear="none"/>
      </w:r>
      <w:r>
        <w:rPr>
          <w:rStyle w:val="Text7"/>
        </w:rPr>
        <w:t xml:space="preserve">)</w:t>
        <w:br w:clear="none"/>
      </w:r>
    </w:p>
    <w:p>
      <w:pPr>
        <w:pStyle w:val="Normal"/>
      </w:pPr>
      <w:r>
        <w:t xml:space="preserve">When </w:t>
      </w:r>
      <w:r>
        <w:rPr>
          <w:rStyle w:val="Text0"/>
        </w:rPr>
        <w:t>read_file</w:t>
      </w:r>
      <w:r>
        <w:t xml:space="preserve"> is called with a nonexistent filename, the access to the </w:t>
      </w:r>
      <w:r>
        <w:rPr>
          <w:rStyle w:val="Text0"/>
        </w:rPr>
        <w:t>self._files</w:t>
      </w:r>
      <w:r>
        <w:t xml:space="preserve"> </w:t>
      </w:r>
      <w:r>
        <w:rPr>
          <w:rStyle w:val="Text0"/>
        </w:rPr>
        <w:t>dict</w:t>
      </w:r>
      <w:r>
        <w:t xml:space="preserve"> raises </w:t>
      </w:r>
      <w:r>
        <w:rPr>
          <w:rStyle w:val="Text0"/>
        </w:rPr>
        <w:t>KeyError</w:t>
      </w:r>
      <w:r>
        <w:t xml:space="preserve">. Since this code is intended to emulate a filesystem directory, </w:t>
      </w:r>
      <w:r>
        <w:rPr>
          <w:rStyle w:val="Text0"/>
        </w:rPr>
        <w:t>read_file</w:t>
      </w:r>
      <w:r>
        <w:t xml:space="preserve"> catches the </w:t>
      </w:r>
      <w:r>
        <w:rPr>
          <w:rStyle w:val="Text0"/>
        </w:rPr>
        <w:t>KeyError</w:t>
      </w:r>
      <w:r>
        <w:t xml:space="preserve"> and raises </w:t>
      </w:r>
      <w:r>
        <w:rPr>
          <w:rStyle w:val="Text0"/>
        </w:rPr>
        <w:t>FileNotFoundError</w:t>
      </w:r>
      <w:r>
        <w:t xml:space="preserve"> instead.</w:t>
      </w:r>
    </w:p>
    <w:p>
      <w:pPr>
        <w:pStyle w:val="Normal"/>
      </w:pPr>
      <w:r>
        <w:t xml:space="preserve">As is, accessing a nonexistent file named </w:t>
      </w:r>
      <w:r>
        <w:rPr>
          <w:rStyle w:val="Text0"/>
        </w:rPr>
        <w:t>'data.txt'</w:t>
      </w:r>
      <w:r>
        <w:t xml:space="preserve"> will output an exception message similar to:</w:t>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"C:\dev\python\faux_fs.py", line 11, in read_file</w:t>
        <w:br w:clear="none"/>
      </w:r>
      <w:r>
        <w:rPr>
          <w:rStyle w:val="Text48"/>
        </w:rPr>
        <w:t xml:space="preserve"/>
        <w:br w:clear="none"/>
      </w:r>
      <w:r>
        <w:t xml:space="preserve">    return self._files[filename]</w:t>
        <w:br w:clear="none"/>
      </w:r>
      <w:r>
        <w:rPr>
          <w:rStyle w:val="Text48"/>
        </w:rPr>
        <w:t xml:space="preserve"/>
        <w:br w:clear="none"/>
      </w:r>
      <w:r>
        <w:t xml:space="preserve">KeyError: 'data.txt'</w:t>
        <w:br w:clear="none"/>
      </w:r>
      <w:r>
        <w:rPr>
          <w:rStyle w:val="Text48"/>
        </w:rPr>
        <w:t xml:space="preserve"/>
        <w:br w:clear="none"/>
        <w:t xml:space="preserve"/>
        <w:br w:clear="none"/>
      </w:r>
      <w:r>
        <w:t xml:space="preserve">During handling of the above exception, another exception occurred:</w:t>
        <w:br w:clear="none"/>
      </w:r>
      <w:r>
        <w:rPr>
          <w:rStyle w:val="Text48"/>
        </w:rPr>
        <w:t xml:space="preserve"/>
        <w:br w:clear="none"/>
        <w:t xml:space="preserve"/>
        <w:br w:clear="none"/>
      </w:r>
      <w:r>
        <w:t xml:space="preserve">Traceback (most recent call last):</w:t>
        <w:br w:clear="none"/>
      </w:r>
      <w:r>
        <w:rPr>
          <w:rStyle w:val="Text48"/>
        </w:rPr>
        <w:t xml:space="preserve"/>
        <w:br w:clear="none"/>
      </w:r>
      <w:r>
        <w:t xml:space="preserve">  File "C:\dev\python\faux_fs.py", line 20, in &lt;module&gt;</w:t>
        <w:br w:clear="none"/>
      </w:r>
      <w:r>
        <w:rPr>
          <w:rStyle w:val="Text48"/>
        </w:rPr>
        <w:t xml:space="preserve"/>
        <w:br w:clear="none"/>
      </w:r>
      <w:r>
        <w:t xml:space="preserve">    print(fs.read_file("data.txt"))</w:t>
        <w:br w:clear="none"/>
      </w:r>
      <w:r>
        <w:rPr>
          <w:rStyle w:val="Text48"/>
        </w:rPr>
        <w:t xml:space="preserve"/>
        <w:br w:clear="none"/>
      </w:r>
      <w:r>
        <w:t xml:space="preserve">  File "C:\dev\python\faux_fs.py", line 13, in read_file</w:t>
        <w:br w:clear="none"/>
      </w:r>
      <w:r>
        <w:rPr>
          <w:rStyle w:val="Text48"/>
        </w:rPr>
        <w:t xml:space="preserve"/>
        <w:br w:clear="none"/>
      </w:r>
      <w:r>
        <w:t xml:space="preserve">    raise FileNotFoundError(filename)</w:t>
        <w:br w:clear="none"/>
      </w:r>
      <w:r>
        <w:rPr>
          <w:rStyle w:val="Text48"/>
        </w:rPr>
        <w:t xml:space="preserve"/>
        <w:br w:clear="none"/>
      </w:r>
      <w:r>
        <w:t xml:space="preserve">FileNotFoundError: data.txt</w:t>
        <w:br w:clear="none"/>
      </w:r>
    </w:p>
    <w:p>
      <w:pPr>
        <w:pStyle w:val="Normal"/>
      </w:pPr>
      <w:r>
        <w:t xml:space="preserve">This exception report shows both the </w:t>
      </w:r>
      <w:r>
        <w:rPr>
          <w:rStyle w:val="Text0"/>
        </w:rPr>
        <w:t>KeyError</w:t>
      </w:r>
      <w:r>
        <w:t xml:space="preserve"> and the </w:t>
      </w:r>
      <w:r>
        <w:rPr>
          <w:rStyle w:val="Text0"/>
        </w:rPr>
        <w:t>FileNotFoundError</w:t>
      </w:r>
      <w:r>
        <w:t xml:space="preserve">. To suppress the internal </w:t>
      </w:r>
      <w:r>
        <w:rPr>
          <w:rStyle w:val="Text0"/>
        </w:rPr>
        <w:t>KeyError</w:t>
      </w:r>
      <w:r>
        <w:t xml:space="preserve"> exception (to hide implementation details of </w:t>
      </w:r>
      <w:r>
        <w:rPr>
          <w:rStyle w:val="Text0"/>
        </w:rPr>
        <w:t>FileSystemDirectory</w:t>
      </w:r>
      <w:r>
        <w:t xml:space="preserve">), we change the </w:t>
      </w:r>
      <w:r>
        <w:rPr>
          <w:rStyle w:val="Text5"/>
        </w:rPr>
        <w:t>raise</w:t>
      </w:r>
      <w:r>
        <w:t xml:space="preserve"> statement in </w:t>
      </w:r>
      <w:r>
        <w:rPr>
          <w:rStyle w:val="Text0"/>
        </w:rPr>
        <w:t>read_file</w:t>
      </w:r>
      <w:r>
        <w:t xml:space="preserve"> to:</w:t>
      </w:r>
    </w:p>
    <w:p>
      <w:pPr>
        <w:pStyle w:val="Para 084"/>
      </w:pPr>
      <w:r>
        <w:rPr>
          <w:rStyle w:val="Text23"/>
        </w:rPr>
        <w:t xml:space="preserve"/>
        <w:br w:clear="none"/>
      </w:r>
      <w:r>
        <w:rPr>
          <w:rStyle w:val="Text29"/>
        </w:rPr>
        <w:t xml:space="preserve">    </w:t>
        <w:br w:clear="none"/>
      </w:r>
      <w:r>
        <w:rPr>
          <w:rStyle w:val="Text10"/>
        </w:rPr>
        <w:t xml:space="preserve">raise</w:t>
        <w:br w:clear="none"/>
      </w:r>
      <w:r>
        <w:rPr>
          <w:rStyle w:val="Text6"/>
        </w:rPr>
        <w:t xml:space="preserve"> </w:t>
        <w:br w:clear="none"/>
      </w:r>
      <w:r>
        <w:t xml:space="preserve">FileNotFoundError</w:t>
        <w:br w:clear="none"/>
      </w:r>
      <w:r>
        <w:rPr>
          <w:rStyle w:val="Text7"/>
        </w:rPr>
        <w:t xml:space="preserve">(</w:t>
        <w:br w:clear="none"/>
      </w:r>
      <w:r>
        <w:rPr>
          <w:rStyle w:val="Text9"/>
        </w:rPr>
        <w:t xml:space="preserve">filename</w:t>
        <w:br w:clear="none"/>
      </w:r>
      <w:r>
        <w:rPr>
          <w:rStyle w:val="Text7"/>
        </w:rPr>
        <w:t xml:space="preserve">)</w:t>
        <w:br w:clear="none"/>
      </w:r>
      <w:r>
        <w:rPr>
          <w:rStyle w:val="Text6"/>
        </w:rPr>
        <w:t xml:space="preserve"> </w:t>
        <w:br w:clear="none"/>
      </w:r>
      <w:r>
        <w:rPr>
          <w:rStyle w:val="Text10"/>
        </w:rPr>
        <w:t xml:space="preserve">from</w:t>
        <w:br w:clear="none"/>
      </w:r>
      <w:r>
        <w:rPr>
          <w:rStyle w:val="Text29"/>
        </w:rPr>
        <w:t xml:space="preserve"> </w:t>
        <w:br w:clear="none"/>
      </w:r>
      <w:r>
        <w:rPr>
          <w:rStyle w:val="Text67"/>
        </w:rPr>
        <w:t xml:space="preserve">None</w:t>
        <w:br w:clear="none"/>
      </w:r>
    </w:p>
    <w:p>
      <w:pPr>
        <w:pStyle w:val="Normal"/>
      </w:pPr>
      <w:r>
        <w:t xml:space="preserve">Now the exception only shows the </w:t>
      </w:r>
      <w:r>
        <w:rPr>
          <w:rStyle w:val="Text0"/>
        </w:rPr>
        <w:t>FileNotFoundError</w:t>
      </w:r>
      <w:r>
        <w:t xml:space="preserve"> information:</w:t>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"C:\dev\python\faux_fs.py", line 20, in &lt;module&gt;</w:t>
        <w:br w:clear="none"/>
      </w:r>
      <w:r>
        <w:rPr>
          <w:rStyle w:val="Text48"/>
        </w:rPr>
        <w:t xml:space="preserve"/>
        <w:br w:clear="none"/>
      </w:r>
      <w:r>
        <w:t xml:space="preserve">    print(fs.read_file("data.txt"))</w:t>
        <w:br w:clear="none"/>
      </w:r>
      <w:r>
        <w:rPr>
          <w:rStyle w:val="Text48"/>
        </w:rPr>
        <w:t xml:space="preserve"/>
        <w:br w:clear="none"/>
      </w:r>
      <w:r>
        <w:t xml:space="preserve">  File "C:\dev\python\faux_fs.py", line 13, in read_file</w:t>
        <w:br w:clear="none"/>
      </w:r>
      <w:r>
        <w:rPr>
          <w:rStyle w:val="Text48"/>
        </w:rPr>
        <w:t xml:space="preserve"/>
        <w:br w:clear="none"/>
      </w:r>
      <w:r>
        <w:t xml:space="preserve">    raise FileNotFoundError(filename) from None</w:t>
        <w:br w:clear="none"/>
      </w:r>
      <w:r>
        <w:rPr>
          <w:rStyle w:val="Text48"/>
        </w:rPr>
        <w:t xml:space="preserve"/>
        <w:br w:clear="none"/>
      </w:r>
      <w:r>
        <w:t xml:space="preserve">FileNotFoundError: data.txt</w:t>
        <w:br w:clear="none"/>
      </w:r>
    </w:p>
    <w:p>
      <w:pPr>
        <w:pStyle w:val="Normal"/>
      </w:pPr>
      <w:r>
        <w:t xml:space="preserve">For details and motivations regarding exception chaining and embedding, see </w:t>
      </w:r>
      <w:hyperlink r:id="rId272">
        <w:r>
          <w:rPr>
            <w:rStyle w:val="Text1"/>
          </w:rPr>
          <w:t>PEP 3134</w:t>
        </w:r>
      </w:hyperlink>
      <w:r>
        <w:t>.</w:t>
      </w:r>
      <w:r>
        <w:rPr>
          <w:rStyle w:val="Text111"/>
        </w:rPr>
        <w:bookmarkStart w:id="1820" w:name="idm45965256517968"/>
        <w:t/>
        <w:bookmarkEnd w:id="1820"/>
      </w:r>
    </w:p>
    <w:p>
      <w:bookmarkStart w:id="1821" w:name="Custom_Exception_Classes__You_ca"/>
      <w:pPr>
        <w:keepNext/>
        <w:pStyle w:val="Heading 1"/>
      </w:pPr>
      <w:r>
        <w:t>Custom Exception Classes</w:t>
      </w:r>
      <w:bookmarkEnd w:id="1821"/>
    </w:p>
    <w:p>
      <w:pPr>
        <w:pStyle w:val="Normal"/>
      </w:pPr>
      <w:r>
        <w:t>You</w:t>
      </w:r>
      <w:r>
        <w:rPr>
          <w:rStyle w:val="Text111"/>
        </w:rPr>
        <w:bookmarkStart w:id="1822" w:name="Ecustom06"/>
        <w:t/>
        <w:bookmarkEnd w:id="1822"/>
        <w:bookmarkStart w:id="1823" w:name="custexc06"/>
        <w:t/>
        <w:bookmarkEnd w:id="1823"/>
      </w:r>
      <w:r>
        <w:t xml:space="preserve"> can extend any of the standard exception classes in order to define your own exception class. Often, such a subclass adds nothing more than a docstring:</w:t>
      </w:r>
    </w:p>
    <w:p>
      <w:pPr>
        <w:pStyle w:val="Para 043"/>
      </w:pPr>
      <w:r>
        <w:rPr>
          <w:rStyle w:val="Text116"/>
        </w:rPr>
        <w:t xml:space="preserve"/>
        <w:br w:clear="none"/>
      </w:r>
      <w:r>
        <w:rPr>
          <w:rStyle w:val="Text22"/>
        </w:rPr>
        <w:t xml:space="preserve">class</w:t>
        <w:br w:clear="none"/>
      </w:r>
      <w:r>
        <w:rPr>
          <w:rStyle w:val="Text11"/>
        </w:rPr>
        <w:t xml:space="preserve"> </w:t>
        <w:br w:clear="none"/>
      </w:r>
      <w:r>
        <w:rPr>
          <w:rStyle w:val="Text45"/>
        </w:rPr>
        <w:t xml:space="preserve">InvalidAttributeError</w:t>
        <w:br w:clear="none"/>
      </w:r>
      <w:r>
        <w:rPr>
          <w:rStyle w:val="Text19"/>
        </w:rPr>
        <w:t xml:space="preserve">(</w:t>
        <w:br w:clear="none"/>
      </w:r>
      <w:r>
        <w:rPr>
          <w:rStyle w:val="Text56"/>
        </w:rPr>
        <w:t xml:space="preserve">AttributeError</w:t>
        <w:br w:clear="none"/>
      </w:r>
      <w:r>
        <w:rPr>
          <w:rStyle w:val="Text19"/>
        </w:rPr>
        <w:t xml:space="preserve">)</w:t>
        <w:br w:clear="none"/>
        <w:t xml:space="preserve">:</w:t>
        <w:br w:clear="none"/>
      </w:r>
      <w:r>
        <w:rPr>
          <w:rStyle w:val="Text11"/>
        </w:rPr>
        <w:t xml:space="preserve"/>
        <w:br w:clear="none"/>
        <w:t xml:space="preserve">    </w:t>
        <w:br w:clear="none"/>
      </w:r>
      <w:r>
        <w:t xml:space="preserve">"""Used to indicate attributes that could never be valid."""</w:t>
        <w:br w:clear="none"/>
      </w:r>
    </w:p>
    <w:p>
      <w:pPr>
        <w:keepNext/>
        <w:pStyle w:val="Heading 5"/>
        <w:keepLines w:val="on"/>
      </w:pPr>
      <w:r>
        <w:t>An Empty Class or Function Should Have a Docstring</w:t>
      </w:r>
    </w:p>
    <w:p>
      <w:pPr>
        <w:pStyle w:val="Para 012"/>
        <w:keepLines w:val="on"/>
      </w:pPr>
      <w:r>
        <w:t xml:space="preserve">As covered in </w:t>
      </w:r>
      <w:hyperlink w:anchor="The_pass_Statement__The_body_of">
        <w:r>
          <w:rPr>
            <w:rStyle w:val="Text1"/>
          </w:rPr>
          <w:t>“The pass Statement”</w:t>
        </w:r>
      </w:hyperlink>
      <w:r>
        <w:t xml:space="preserve">, you don’t need a </w:t>
      </w:r>
      <w:r>
        <w:rPr>
          <w:rStyle w:val="Text0"/>
        </w:rPr>
        <w:t>pass</w:t>
      </w:r>
      <w:r>
        <w:t xml:space="preserve"> statement to make up the body of a class. The docstring (which you should always write, to document the class’s purpose if nothing else!) is enough to keep Python happy. Best practice for all “empty” classes (regardless of whether they are exception classes), just like for all “empty” functions, is usually to have a docstring and no </w:t>
      </w:r>
      <w:r>
        <w:rPr>
          <w:rStyle w:val="Text5"/>
        </w:rPr>
        <w:t>pass</w:t>
      </w:r>
      <w:r>
        <w:t xml:space="preserve"> </w:t>
        <w:t>statement</w:t>
        <w:t>.</w:t>
      </w:r>
    </w:p>
    <w:p>
      <w:pPr>
        <w:pStyle w:val="Normal"/>
      </w:pPr>
      <w:r>
        <w:t xml:space="preserve">Given the semantics of </w:t>
      </w:r>
      <w:r>
        <w:rPr>
          <w:rStyle w:val="Text5"/>
        </w:rPr>
        <w:t>try</w:t>
      </w:r>
      <w:r>
        <w:rPr>
          <w:rStyle w:val="Text0"/>
        </w:rPr>
        <w:t>/</w:t>
      </w:r>
      <w:r>
        <w:rPr>
          <w:rStyle w:val="Text5"/>
        </w:rPr>
        <w:t>except</w:t>
      </w:r>
      <w:r>
        <w:t xml:space="preserve">, raising an instance of a custom exception class such as </w:t>
      </w:r>
      <w:r>
        <w:rPr>
          <w:rStyle w:val="Text0"/>
        </w:rPr>
        <w:t>InvalidAttributeError</w:t>
      </w:r>
      <w:r>
        <w:t xml:space="preserve"> is almost the same as raising an instance of its standard exception superclass, </w:t>
      </w:r>
      <w:r>
        <w:rPr>
          <w:rStyle w:val="Text0"/>
        </w:rPr>
        <w:t>AttributeError</w:t>
      </w:r>
      <w:r>
        <w:t xml:space="preserve">, but with some advantages. Any </w:t>
      </w:r>
      <w:r>
        <w:rPr>
          <w:rStyle w:val="Text5"/>
        </w:rPr>
        <w:t>except</w:t>
      </w:r>
      <w:r>
        <w:t xml:space="preserve"> clause that can handle </w:t>
      </w:r>
      <w:r>
        <w:rPr>
          <w:rStyle w:val="Text0"/>
        </w:rPr>
        <w:t>AttributeError</w:t>
      </w:r>
      <w:r>
        <w:t xml:space="preserve"> can handle </w:t>
      </w:r>
      <w:r>
        <w:rPr>
          <w:rStyle w:val="Text0"/>
        </w:rPr>
        <w:t>InvalidAttributeError</w:t>
      </w:r>
      <w:r>
        <w:t xml:space="preserve"> just as well. In addition, client code that knows about your </w:t>
      </w:r>
      <w:r>
        <w:rPr>
          <w:rStyle w:val="Text0"/>
        </w:rPr>
        <w:t>InvalidAttributeError</w:t>
      </w:r>
      <w:r>
        <w:t xml:space="preserve"> custom exception class can handle it specifically, without having to handle all other cases of </w:t>
      </w:r>
      <w:r>
        <w:rPr>
          <w:rStyle w:val="Text0"/>
        </w:rPr>
        <w:t>AttributeError</w:t>
      </w:r>
      <w:r>
        <w:t xml:space="preserve"> when it is not prepared for those. For example, suppose you write code like the following:</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SomeFunkyClass</w:t>
        <w:br w:clear="none"/>
      </w:r>
      <w:r>
        <w:rPr>
          <w:rStyle w:val="Text7"/>
        </w:rPr>
        <w:t xml:space="preserve">:</w:t>
        <w:br w:clear="none"/>
      </w:r>
      <w:r>
        <w:t xml:space="preserve"/>
        <w:br w:clear="none"/>
        <w:t xml:space="preserve">    </w:t>
        <w:br w:clear="none"/>
      </w:r>
      <w:r>
        <w:rPr>
          <w:rStyle w:val="Text17"/>
        </w:rPr>
        <w:t xml:space="preserve">"""much hypothetical functionality snipped"""</w:t>
        <w:br w:clear="none"/>
      </w:r>
      <w:r>
        <w:t xml:space="preserve"/>
        <w:br w:clear="none"/>
        <w:t xml:space="preserve">    </w:t>
        <w:br w:clear="none"/>
      </w:r>
      <w:r>
        <w:rPr>
          <w:rStyle w:val="Text10"/>
        </w:rPr>
        <w:t xml:space="preserve">def</w:t>
        <w:br w:clear="none"/>
      </w:r>
      <w:r>
        <w:t xml:space="preserve"> </w:t>
        <w:br w:clear="none"/>
        <w:t xml:space="preserve">__getattr__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t xml:space="preserve">:</w:t>
        <w:br w:clear="none"/>
      </w:r>
      <w:r>
        <w:t xml:space="preserve"/>
        <w:br w:clear="none"/>
        <w:t xml:space="preserve">        </w:t>
        <w:br w:clear="none"/>
      </w:r>
      <w:r>
        <w:rPr>
          <w:rStyle w:val="Text17"/>
        </w:rPr>
        <w:t xml:space="preserve">"""only clarifies the kind of attribute error"""</w:t>
        <w:br w:clear="none"/>
      </w:r>
      <w:r>
        <w:t xml:space="preserve"/>
        <w:br w:clear="none"/>
        <w:t xml:space="preserve">        </w:t>
        <w:br w:clear="none"/>
      </w:r>
      <w:r>
        <w:rPr>
          <w:rStyle w:val="Text10"/>
        </w:rPr>
        <w:t xml:space="preserve">if</w:t>
        <w:br w:clear="none"/>
      </w:r>
      <w:r>
        <w:t xml:space="preserve"> </w:t>
        <w:br w:clear="none"/>
      </w:r>
      <w:r>
        <w:rPr>
          <w:rStyle w:val="Text9"/>
        </w:rPr>
        <w:t xml:space="preserve">name</w:t>
        <w:br w:clear="none"/>
      </w:r>
      <w:r>
        <w:rPr>
          <w:rStyle w:val="Text13"/>
        </w:rPr>
        <w:t xml:space="preserve">.</w:t>
        <w:br w:clear="none"/>
      </w:r>
      <w:r>
        <w:rPr>
          <w:rStyle w:val="Text9"/>
        </w:rPr>
        <w:t xml:space="preserve">startswith</w:t>
        <w:br w:clear="none"/>
      </w:r>
      <w:r>
        <w:rPr>
          <w:rStyle w:val="Text7"/>
        </w:rPr>
        <w:t xml:space="preserve">(</w:t>
        <w:br w:clear="none"/>
      </w:r>
      <w:r>
        <w:rPr>
          <w:rStyle w:val="Text8"/>
        </w:rPr>
        <w:t xml:space="preserve">'</w:t>
        <w:br w:clear="none"/>
        <w:t xml:space="preserve">_</w:t>
        <w:br w:clear="none"/>
        <w:t xml:space="preserve">'</w:t>
        <w:br w:clear="none"/>
      </w:r>
      <w:r>
        <w:rPr>
          <w:rStyle w:val="Text7"/>
        </w:rPr>
        <w:t xml:space="preserve">)</w:t>
        <w:br w:clear="none"/>
        <w:t xml:space="preserve">:</w:t>
        <w:br w:clear="none"/>
      </w:r>
      <w:r>
        <w:t xml:space="preserve"/>
        <w:br w:clear="none"/>
        <w:t xml:space="preserve">            </w:t>
        <w:br w:clear="none"/>
      </w:r>
      <w:r>
        <w:rPr>
          <w:rStyle w:val="Text10"/>
        </w:rPr>
        <w:t xml:space="preserve">raise</w:t>
        <w:br w:clear="none"/>
      </w:r>
      <w:r>
        <w:t xml:space="preserve"> </w:t>
        <w:br w:clear="none"/>
      </w:r>
      <w:r>
        <w:rPr>
          <w:rStyle w:val="Text9"/>
        </w:rPr>
        <w:t xml:space="preserve">InvalidAttributeError</w:t>
        <w:br w:clear="none"/>
      </w:r>
      <w:r>
        <w:rPr>
          <w:rStyle w:val="Text7"/>
        </w:rPr>
        <w:t xml:space="preserve">(</w:t>
        <w:br w:clear="none"/>
      </w:r>
      <w:r>
        <w:t xml:space="preserve"/>
        <w:br w:clear="none"/>
        <w:t xml:space="preserve">                </w:t>
        <w:br w:clear="none"/>
        <w:t xml:space="preserve">f</w:t>
        <w:br w:clear="none"/>
      </w:r>
      <w:r>
        <w:rPr>
          <w:rStyle w:val="Text8"/>
        </w:rPr>
        <w:t xml:space="preserve">'</w:t>
        <w:br w:clear="none"/>
        <w:t xml:space="preserve">Unknown private attribute </w:t>
        <w:br w:clear="none"/>
      </w:r>
      <w:r>
        <w:rPr>
          <w:rStyle w:val="Text32"/>
        </w:rPr>
        <w:t xml:space="preserve">{</w:t>
        <w:br w:clear="none"/>
      </w:r>
      <w:r>
        <w:rPr>
          <w:rStyle w:val="Text9"/>
        </w:rPr>
        <w:t xml:space="preserve">name</w:t>
        <w:br w:clear="none"/>
      </w:r>
      <w:r>
        <w:rPr>
          <w:rStyle w:val="Text32"/>
        </w:rPr>
        <w:t xml:space="preserve">!r}</w:t>
        <w:br w:clear="none"/>
      </w:r>
      <w:r>
        <w:rPr>
          <w:rStyle w:val="Text8"/>
        </w:rPr>
        <w:t xml:space="preserve">'</w:t>
        <w:br w:clear="none"/>
      </w:r>
      <w:r>
        <w:t xml:space="preserve"/>
        <w:br w:clear="none"/>
        <w:t xml:space="preserve">            </w:t>
        <w:br w:clear="none"/>
      </w:r>
      <w:r>
        <w:rPr>
          <w:rStyle w:val="Text7"/>
        </w:rPr>
        <w:t xml:space="preserve">)</w:t>
        <w:br w:clear="none"/>
      </w:r>
      <w:r>
        <w:t xml:space="preserve"/>
        <w:br w:clear="none"/>
        <w:t xml:space="preserve">        </w:t>
        <w:br w:clear="none"/>
      </w:r>
      <w:r>
        <w:rPr>
          <w:rStyle w:val="Text10"/>
        </w:rPr>
        <w:t xml:space="preserve">else</w:t>
        <w:br w:clear="none"/>
      </w:r>
      <w:r>
        <w:rPr>
          <w:rStyle w:val="Text7"/>
        </w:rPr>
        <w:t xml:space="preserve">:</w:t>
        <w:br w:clear="none"/>
      </w:r>
      <w:r>
        <w:t xml:space="preserve"/>
        <w:br w:clear="none"/>
        <w:t xml:space="preserve">            </w:t>
        <w:br w:clear="none"/>
      </w:r>
      <w:r>
        <w:rPr>
          <w:rStyle w:val="Text10"/>
        </w:rPr>
        <w:t xml:space="preserve">raise</w:t>
        <w:br w:clear="none"/>
      </w:r>
      <w:r>
        <w:t xml:space="preserve"> </w:t>
        <w:br w:clear="none"/>
      </w:r>
      <w:r>
        <w:rPr>
          <w:rStyle w:val="Text36"/>
        </w:rPr>
        <w:t xml:space="preserve">AttributeError</w:t>
        <w:br w:clear="none"/>
      </w:r>
      <w:r>
        <w:rPr>
          <w:rStyle w:val="Text7"/>
        </w:rPr>
        <w:t xml:space="preserve">(</w:t>
        <w:br w:clear="none"/>
      </w:r>
      <w:r>
        <w:t xml:space="preserve">f</w:t>
        <w:br w:clear="none"/>
      </w:r>
      <w:r>
        <w:rPr>
          <w:rStyle w:val="Text8"/>
        </w:rPr>
        <w:t xml:space="preserve">'</w:t>
        <w:br w:clear="none"/>
        <w:t xml:space="preserve">Unknown attribute </w:t>
        <w:br w:clear="none"/>
      </w:r>
      <w:r>
        <w:rPr>
          <w:rStyle w:val="Text32"/>
        </w:rPr>
        <w:t xml:space="preserve">{</w:t>
        <w:br w:clear="none"/>
      </w:r>
      <w:r>
        <w:rPr>
          <w:rStyle w:val="Text9"/>
        </w:rPr>
        <w:t xml:space="preserve">name</w:t>
        <w:br w:clear="none"/>
      </w:r>
      <w:r>
        <w:rPr>
          <w:rStyle w:val="Text32"/>
        </w:rPr>
        <w:t xml:space="preserve">!r}</w:t>
        <w:br w:clear="none"/>
      </w:r>
      <w:r>
        <w:rPr>
          <w:rStyle w:val="Text8"/>
        </w:rPr>
        <w:t xml:space="preserve">'</w:t>
        <w:br w:clear="none"/>
      </w:r>
      <w:r>
        <w:rPr>
          <w:rStyle w:val="Text7"/>
        </w:rPr>
        <w:t xml:space="preserve">)</w:t>
        <w:br w:clear="none"/>
      </w:r>
    </w:p>
    <w:p>
      <w:pPr>
        <w:pStyle w:val="Normal"/>
      </w:pPr>
      <w:r>
        <w:t>Now, client code can, if it so chooses, be more selective in its handlers. For example:</w:t>
      </w:r>
    </w:p>
    <w:p>
      <w:pPr>
        <w:pStyle w:val="Para 007"/>
      </w:pPr>
      <w:r>
        <w:rPr>
          <w:rStyle w:val="Text23"/>
        </w:rPr>
        <w:t xml:space="preserve"/>
        <w:br w:clear="none"/>
      </w:r>
      <w:r>
        <w:t xml:space="preserve">s</w:t>
        <w:br w:clear="none"/>
      </w:r>
      <w:r>
        <w:rPr>
          <w:rStyle w:val="Text6"/>
        </w:rPr>
        <w:t xml:space="preserve"> </w:t>
        <w:br w:clear="none"/>
      </w:r>
      <w:r>
        <w:rPr>
          <w:rStyle w:val="Text13"/>
        </w:rPr>
        <w:t xml:space="preserve">=</w:t>
        <w:br w:clear="none"/>
      </w:r>
      <w:r>
        <w:rPr>
          <w:rStyle w:val="Text6"/>
        </w:rPr>
        <w:t xml:space="preserve"> </w:t>
        <w:br w:clear="none"/>
      </w:r>
      <w:r>
        <w:t xml:space="preserve">SomeFunkyClass</w:t>
        <w:br w:clear="none"/>
      </w:r>
      <w:r>
        <w:rPr>
          <w:rStyle w:val="Text7"/>
        </w:rPr>
        <w:t xml:space="preserve">(</w:t>
        <w:br w:clear="none"/>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value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getattr</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t xml:space="preserve">thename</w:t>
        <w:br w:clear="none"/>
      </w:r>
      <w:r>
        <w:rPr>
          <w:rStyle w:val="Text7"/>
        </w:rPr>
        <w:t xml:space="preserve">)</w:t>
        <w:br w:clear="none"/>
      </w:r>
      <w:r>
        <w:rPr>
          <w:rStyle w:val="Text6"/>
        </w:rPr>
        <w:t xml:space="preserve"/>
        <w:br w:clear="none"/>
      </w:r>
      <w:r>
        <w:rPr>
          <w:rStyle w:val="Text10"/>
        </w:rPr>
        <w:t xml:space="preserve">except</w:t>
        <w:br w:clear="none"/>
      </w:r>
      <w:r>
        <w:rPr>
          <w:rStyle w:val="Text6"/>
        </w:rPr>
        <w:t xml:space="preserve"> </w:t>
        <w:br w:clear="none"/>
      </w:r>
      <w:r>
        <w:t xml:space="preserve">InvalidAttributeError</w:t>
        <w:br w:clear="none"/>
      </w:r>
      <w:r>
        <w:rPr>
          <w:rStyle w:val="Text6"/>
        </w:rPr>
        <w:t xml:space="preserve"> </w:t>
        <w:br w:clear="none"/>
      </w:r>
      <w:r>
        <w:rPr>
          <w:rStyle w:val="Text39"/>
        </w:rPr>
        <w:t xml:space="preserve">as</w:t>
        <w:br w:clear="none"/>
      </w:r>
      <w:r>
        <w:rPr>
          <w:rStyle w:val="Text6"/>
        </w:rPr>
        <w:t xml:space="preserve"> </w:t>
        <w:br w:clear="none"/>
      </w:r>
      <w:r>
        <w:t xml:space="preserve">err</w:t>
        <w:br w:clear="none"/>
      </w:r>
      <w:r>
        <w:rPr>
          <w:rStyle w:val="Text7"/>
        </w:rPr>
        <w:t xml:space="preserve">:</w:t>
        <w:br w:clear="none"/>
      </w:r>
      <w:r>
        <w:rPr>
          <w:rStyle w:val="Text6"/>
        </w:rPr>
        <w:t xml:space="preserve"/>
        <w:br w:clear="none"/>
        <w:t xml:space="preserve">    </w:t>
        <w:br w:clear="none"/>
      </w:r>
      <w:r>
        <w:t xml:space="preserve">warnings</w:t>
        <w:br w:clear="none"/>
      </w:r>
      <w:r>
        <w:rPr>
          <w:rStyle w:val="Text13"/>
        </w:rPr>
        <w:t xml:space="preserve">.</w:t>
        <w:br w:clear="none"/>
      </w:r>
      <w:r>
        <w:t xml:space="preserve">warn</w:t>
        <w:br w:clear="none"/>
      </w:r>
      <w:r>
        <w:rPr>
          <w:rStyle w:val="Text7"/>
        </w:rPr>
        <w:t xml:space="preserve">(</w:t>
        <w:br w:clear="none"/>
      </w:r>
      <w:r>
        <w:rPr>
          <w:rStyle w:val="Text16"/>
        </w:rPr>
        <w:t xml:space="preserve">str</w:t>
        <w:br w:clear="none"/>
      </w:r>
      <w:r>
        <w:rPr>
          <w:rStyle w:val="Text7"/>
        </w:rPr>
        <w:t xml:space="preserve">(</w:t>
        <w:br w:clear="none"/>
      </w:r>
      <w:r>
        <w:t xml:space="preserve">err</w:t>
        <w:br w:clear="none"/>
      </w:r>
      <w:r>
        <w:rPr>
          <w:rStyle w:val="Text7"/>
        </w:rPr>
        <w:t xml:space="preserve">)</w:t>
        <w:br w:clear="none"/>
        <w:t xml:space="preserve">,</w:t>
        <w:br w:clear="none"/>
      </w:r>
      <w:r>
        <w:rPr>
          <w:rStyle w:val="Text6"/>
        </w:rPr>
        <w:t xml:space="preserve"> </w:t>
        <w:br w:clear="none"/>
      </w:r>
      <w:r>
        <w:t xml:space="preserve">stacklevel</w:t>
        <w:br w:clear="none"/>
      </w:r>
      <w:r>
        <w:rPr>
          <w:rStyle w:val="Text13"/>
        </w:rPr>
        <w:t xml:space="preserve">=</w:t>
        <w:br w:clear="none"/>
      </w:r>
      <w:r>
        <w:rPr>
          <w:rStyle w:val="Text27"/>
        </w:rPr>
        <w:t xml:space="preserve">2</w:t>
        <w:br w:clear="none"/>
      </w:r>
      <w:r>
        <w:rPr>
          <w:rStyle w:val="Text7"/>
        </w:rPr>
        <w:t xml:space="preserve">)</w:t>
        <w:br w:clear="none"/>
      </w:r>
      <w:r>
        <w:rPr>
          <w:rStyle w:val="Text6"/>
        </w:rPr>
        <w:t xml:space="preserve"/>
        <w:br w:clear="none"/>
        <w:t xml:space="preserve">    </w:t>
        <w:br w:clear="none"/>
      </w:r>
      <w:r>
        <w:t xml:space="preserve">value</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None</w:t>
        <w:br w:clear="none"/>
      </w:r>
      <w:r>
        <w:rPr>
          <w:rStyle w:val="Text6"/>
        </w:rPr>
        <w:t xml:space="preserve"/>
        <w:br w:clear="none"/>
      </w:r>
      <w:r>
        <w:rPr>
          <w:rStyle w:val="Text15"/>
        </w:rPr>
        <w:t xml:space="preserve"># other cases of AttributeError just propagate, as they're unexpected</w:t>
        <w:br w:clear="none"/>
      </w:r>
    </w:p>
    <w:p>
      <w:pPr>
        <w:keepNext/>
        <w:pStyle w:val="Heading 5"/>
        <w:keepLines w:val="on"/>
      </w:pPr>
      <w:r>
        <w:t>Use Custom Exception Classes</w:t>
      </w:r>
    </w:p>
    <w:p>
      <w:pPr>
        <w:pStyle w:val="Para 012"/>
        <w:keepLines w:val="on"/>
      </w:pPr>
      <w:r>
        <w:t>It’s an excellent idea to define, and raise, instances of custom exception classes in your modules, rather than plain standard exceptions. By using custom exception classes that extend standard ones, you make it easier for callers of your module’s code to handle exceptions that come from your module separately from others, if they choose to.</w:t>
      </w:r>
    </w:p>
    <w:p>
      <w:bookmarkStart w:id="1824" w:name="Custom_Exceptions_and_Multiple_I"/>
      <w:pPr>
        <w:keepNext/>
        <w:pStyle w:val="Heading 2"/>
      </w:pPr>
      <w:r>
        <w:t>Custom Exceptions and Multiple Inheritance</w:t>
      </w:r>
      <w:bookmarkEnd w:id="1824"/>
    </w:p>
    <w:p>
      <w:pPr>
        <w:pStyle w:val="Normal"/>
      </w:pPr>
      <w:r>
        <w:t>An</w:t>
      </w:r>
      <w:r>
        <w:rPr>
          <w:rStyle w:val="Text111"/>
        </w:rPr>
        <w:bookmarkStart w:id="1825" w:name="idm45965261663920"/>
        <w:t/>
        <w:bookmarkEnd w:id="1825"/>
        <w:bookmarkStart w:id="1826" w:name="idm45965256298576"/>
        <w:t/>
        <w:bookmarkEnd w:id="1826"/>
      </w:r>
      <w:r>
        <w:t xml:space="preserve"> effective approach to the use of custom exceptions is to multiply inherit exception classes from your module’s special custom exception class and a standard exception class, as in the following snippet:</w:t>
      </w:r>
    </w:p>
    <w:p>
      <w:pPr>
        <w:pStyle w:val="Para 043"/>
      </w:pPr>
      <w:r>
        <w:rPr>
          <w:rStyle w:val="Text116"/>
        </w:rPr>
        <w:t xml:space="preserve"/>
        <w:br w:clear="none"/>
      </w:r>
      <w:r>
        <w:rPr>
          <w:rStyle w:val="Text22"/>
        </w:rPr>
        <w:t xml:space="preserve">class</w:t>
        <w:br w:clear="none"/>
      </w:r>
      <w:r>
        <w:rPr>
          <w:rStyle w:val="Text11"/>
        </w:rPr>
        <w:t xml:space="preserve"> </w:t>
        <w:br w:clear="none"/>
      </w:r>
      <w:r>
        <w:rPr>
          <w:rStyle w:val="Text45"/>
        </w:rPr>
        <w:t xml:space="preserve">CustomAttributeError</w:t>
        <w:br w:clear="none"/>
      </w:r>
      <w:r>
        <w:rPr>
          <w:rStyle w:val="Text19"/>
        </w:rPr>
        <w:t xml:space="preserve">(</w:t>
        <w:br w:clear="none"/>
      </w:r>
      <w:r>
        <w:rPr>
          <w:rStyle w:val="Text14"/>
        </w:rPr>
        <w:t xml:space="preserve">CustomException</w:t>
        <w:br w:clear="none"/>
      </w:r>
      <w:r>
        <w:rPr>
          <w:rStyle w:val="Text19"/>
        </w:rPr>
        <w:t xml:space="preserve">,</w:t>
        <w:br w:clear="none"/>
      </w:r>
      <w:r>
        <w:rPr>
          <w:rStyle w:val="Text11"/>
        </w:rPr>
        <w:t xml:space="preserve"> </w:t>
        <w:br w:clear="none"/>
      </w:r>
      <w:r>
        <w:rPr>
          <w:rStyle w:val="Text56"/>
        </w:rPr>
        <w:t xml:space="preserve">AttributeError</w:t>
        <w:br w:clear="none"/>
      </w:r>
      <w:r>
        <w:rPr>
          <w:rStyle w:val="Text19"/>
        </w:rPr>
        <w:t xml:space="preserve">)</w:t>
        <w:br w:clear="none"/>
        <w:t xml:space="preserve">:</w:t>
        <w:br w:clear="none"/>
      </w:r>
      <w:r>
        <w:rPr>
          <w:rStyle w:val="Text11"/>
        </w:rPr>
        <w:t xml:space="preserve"/>
        <w:br w:clear="none"/>
        <w:t xml:space="preserve">    </w:t>
        <w:br w:clear="none"/>
      </w:r>
      <w:r>
        <w:t xml:space="preserve">"""An AttributeError which is ALSO a CustomException."""</w:t>
        <w:br w:clear="none"/>
      </w:r>
    </w:p>
    <w:p>
      <w:pPr>
        <w:pStyle w:val="Normal"/>
      </w:pPr>
      <w:r>
        <w:t xml:space="preserve">Now, an instance of </w:t>
      </w:r>
      <w:r>
        <w:rPr>
          <w:rStyle w:val="Text0"/>
        </w:rPr>
        <w:t>CustomAttributeError</w:t>
      </w:r>
      <w:r>
        <w:t xml:space="preserve"> can only be raised explicitly and deliberately, showing an error related specifically to your code that </w:t>
      </w:r>
      <w:r>
        <w:rPr>
          <w:rStyle w:val="Text4"/>
        </w:rPr>
        <w:t>also</w:t>
      </w:r>
      <w:r>
        <w:t xml:space="preserve"> happens to be an </w:t>
      </w:r>
      <w:r>
        <w:rPr>
          <w:rStyle w:val="Text0"/>
        </w:rPr>
        <w:t>AttributeError</w:t>
      </w:r>
      <w:r>
        <w:t xml:space="preserve">. When your code raises an instance of </w:t>
      </w:r>
      <w:r>
        <w:rPr>
          <w:rStyle w:val="Text0"/>
        </w:rPr>
        <w:t>CustomAttributeError</w:t>
      </w:r>
      <w:r>
        <w:t xml:space="preserve">, that exception can be caught by calling code that’s designed to catch all cases of </w:t>
      </w:r>
      <w:r>
        <w:rPr>
          <w:rStyle w:val="Text0"/>
        </w:rPr>
        <w:t>AttributeError</w:t>
      </w:r>
      <w:r>
        <w:t xml:space="preserve"> as well as by code that’s designed to catch all exceptions raised only, specifically, by your module.</w:t>
      </w:r>
    </w:p>
    <w:p>
      <w:pPr>
        <w:keepNext/>
        <w:pStyle w:val="Heading 5"/>
        <w:keepLines w:val="on"/>
      </w:pPr>
      <w:r>
        <w:t>Use Multiple Inheritance for Custom Exceptions</w:t>
      </w:r>
    </w:p>
    <w:p>
      <w:pPr>
        <w:pStyle w:val="Para 012"/>
        <w:keepLines w:val="on"/>
      </w:pPr>
      <w:r>
        <w:t xml:space="preserve">Whenever you must decide whether to raise an instance of a specific standard exception, such as </w:t>
      </w:r>
      <w:r>
        <w:rPr>
          <w:rStyle w:val="Text0"/>
        </w:rPr>
        <w:t>AttributeError</w:t>
      </w:r>
      <w:r>
        <w:t>, or of a custom exception class you define in your module, consider this multiple inheritance approach, which, in this book’s authors’ opinion,</w:t>
      </w:r>
      <w:hyperlink w:anchor="2_This_is_somewhat_controversial">
        <w:r>
          <w:rPr>
            <w:rStyle w:val="Text96"/>
          </w:rPr>
          <w:bookmarkStart w:id="1827" w:name="2_6"/>
          <w:t>2</w:t>
          <w:bookmarkEnd w:id="1827"/>
        </w:r>
      </w:hyperlink>
      <w:r>
        <w:t xml:space="preserve"> gives you the best of both worlds in such cases. Make sure you clearly document this aspect of your module, because the technique, although handy, is not widely used. Users of your module may not expect it unless you clearly and explicitly document what you are doing.</w:t>
      </w:r>
    </w:p>
    <w:p>
      <w:bookmarkStart w:id="1828" w:name="Other_Exceptions_Used_in_the_Sta"/>
      <w:pPr>
        <w:keepNext/>
        <w:pStyle w:val="Heading 2"/>
      </w:pPr>
      <w:r>
        <w:t>Other Exceptions Used in the Standard Library</w:t>
      </w:r>
      <w:bookmarkEnd w:id="1828"/>
    </w:p>
    <w:p>
      <w:pPr>
        <w:pStyle w:val="Normal"/>
      </w:pPr>
      <w:r>
        <w:t xml:space="preserve">Many modules in Python’s standard library define their own exception classes, which are equivalent to the custom exception classes that your own modules can define. Typically, all functions in such standard library modules may raise exceptions of such classes, in addition to exceptions in the standard hierarchy covered in </w:t>
      </w:r>
      <w:hyperlink w:anchor="Standard_Exception_Classes__Tabl">
        <w:r>
          <w:rPr>
            <w:rStyle w:val="Text1"/>
          </w:rPr>
          <w:t>“Standard Exception Classes”</w:t>
        </w:r>
      </w:hyperlink>
      <w:r>
        <w:t>. We cover the main cases of such exception classes throughout the rest of this book, in chapters covering the standard library modules that supply and may raise them.</w:t>
      </w:r>
      <w:r>
        <w:rPr>
          <w:rStyle w:val="Text111"/>
        </w:rPr>
        <w:bookmarkStart w:id="1829" w:name="idm45965256225184"/>
        <w:t/>
        <w:bookmarkEnd w:id="1829"/>
        <w:bookmarkStart w:id="1830" w:name="idm45965256223840"/>
        <w:t/>
        <w:bookmarkEnd w:id="1830"/>
      </w:r>
    </w:p>
    <w:p>
      <w:bookmarkStart w:id="1831" w:name="ExceptionGroup_and_except___3_11"/>
      <w:pPr>
        <w:keepNext/>
        <w:pStyle w:val="Heading 1"/>
      </w:pPr>
      <w:r>
        <w:t>ExceptionGroup and except*</w:t>
      </w:r>
      <w:bookmarkEnd w:id="1831"/>
    </w:p>
    <w:p>
      <w:pPr>
        <w:pStyle w:val="Normal"/>
      </w:pPr>
      <w:r>
        <w:rPr>
          <w:rStyle w:val="Text34"/>
        </w:rPr>
        <w:t>3.11+</w:t>
      </w:r>
      <w:r>
        <w:t xml:space="preserve"> In</w:t>
      </w:r>
      <w:r>
        <w:rPr>
          <w:rStyle w:val="Text111"/>
        </w:rPr>
        <w:bookmarkStart w:id="1832" w:name="EXgrpstar06"/>
        <w:t/>
        <w:bookmarkEnd w:id="1832"/>
      </w:r>
      <w:r>
        <w:t xml:space="preserve"> some circumstances, such as when performing validation of some input data against multiple criteria, it is useful to be able to raise more than a single exception at once. Python 3.11 introduced a mechanism to raise multiple exceptions at once using an </w:t>
      </w:r>
      <w:r>
        <w:rPr>
          <w:rStyle w:val="Text0"/>
        </w:rPr>
        <w:t>ExceptionGroup</w:t>
      </w:r>
      <w:r>
        <w:t xml:space="preserve"> instance and to process more than one exception using an </w:t>
      </w:r>
      <w:r>
        <w:rPr>
          <w:rStyle w:val="Text5"/>
        </w:rPr>
        <w:t>except*</w:t>
      </w:r>
      <w:r>
        <w:t xml:space="preserve"> form in place of </w:t>
      </w:r>
      <w:r>
        <w:rPr>
          <w:rStyle w:val="Text5"/>
        </w:rPr>
        <w:t>except</w:t>
      </w:r>
      <w:r>
        <w:t>.</w:t>
      </w:r>
    </w:p>
    <w:p>
      <w:pPr>
        <w:pStyle w:val="Normal"/>
      </w:pPr>
      <w:r>
        <w:t xml:space="preserve">To raise </w:t>
      </w:r>
      <w:r>
        <w:rPr>
          <w:rStyle w:val="Text0"/>
        </w:rPr>
        <w:t>ExceptionGroup</w:t>
      </w:r>
      <w:r>
        <w:t xml:space="preserve">, the validating code captures multiple </w:t>
      </w:r>
      <w:r>
        <w:rPr>
          <w:rStyle w:val="Text0"/>
        </w:rPr>
        <w:t>Exception</w:t>
      </w:r>
      <w:r>
        <w:t xml:space="preserve">s into a list and then raises an </w:t>
      </w:r>
      <w:r>
        <w:rPr>
          <w:rStyle w:val="Text0"/>
        </w:rPr>
        <w:t>ExceptionGroup</w:t>
      </w:r>
      <w:r>
        <w:t xml:space="preserve"> that is constructed using that list. Here is some code that searches for misspelled and invalid words, and raises an </w:t>
      </w:r>
      <w:r>
        <w:rPr>
          <w:rStyle w:val="Text0"/>
        </w:rPr>
        <w:t>ExceptionGroup</w:t>
      </w:r>
      <w:r>
        <w:t xml:space="preserve"> containing all of the found errors:</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GrammarError</w:t>
        <w:br w:clear="none"/>
      </w:r>
      <w:r>
        <w:rPr>
          <w:rStyle w:val="Text7"/>
        </w:rPr>
        <w:t xml:space="preserve">(</w:t>
        <w:br w:clear="none"/>
      </w:r>
      <w:r>
        <w:rPr>
          <w:rStyle w:val="Text36"/>
        </w:rPr>
        <w:t xml:space="preserve">Exception</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7"/>
        </w:rPr>
        <w:t xml:space="preserve">"""Base exception for grammar checking"""</w:t>
        <w:br w:clear="none"/>
      </w:r>
      <w:r>
        <w:rPr>
          <w:rStyle w:val="Text6"/>
        </w:rPr>
        <w:t xml:space="preserve"/>
        <w:br w:clear="none"/>
      </w:r>
      <w:r>
        <w:rPr>
          <w:rStyle w:val="Text29"/>
        </w:rPr>
        <w:t xml:space="preserve">    </w:t>
        <w:br w:clear="none"/>
      </w:r>
      <w:r>
        <w:rPr>
          <w:rStyle w:val="Text10"/>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found</w:t>
        <w:br w:clear="none"/>
      </w:r>
      <w:r>
        <w:rPr>
          <w:rStyle w:val="Text7"/>
        </w:rPr>
        <w:t xml:space="preserve">,</w:t>
        <w:br w:clear="none"/>
      </w:r>
      <w:r>
        <w:rPr>
          <w:rStyle w:val="Text6"/>
        </w:rPr>
        <w:t xml:space="preserve"> </w:t>
        <w:br w:clear="none"/>
      </w:r>
      <w:r>
        <w:t xml:space="preserve">suggestion</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found</w:t>
        <w:br w:clear="none"/>
      </w:r>
      <w:r>
        <w:rPr>
          <w:rStyle w:val="Text6"/>
        </w:rPr>
        <w:t xml:space="preserve"> </w:t>
        <w:br w:clear="none"/>
      </w:r>
      <w:r>
        <w:rPr>
          <w:rStyle w:val="Text13"/>
        </w:rPr>
        <w:t xml:space="preserve">=</w:t>
        <w:br w:clear="none"/>
      </w:r>
      <w:r>
        <w:rPr>
          <w:rStyle w:val="Text6"/>
        </w:rPr>
        <w:t xml:space="preserve"> </w:t>
        <w:br w:clear="none"/>
      </w:r>
      <w:r>
        <w:t xml:space="preserve">found</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suggestion</w:t>
        <w:br w:clear="none"/>
      </w:r>
      <w:r>
        <w:rPr>
          <w:rStyle w:val="Text6"/>
        </w:rPr>
        <w:t xml:space="preserve"> </w:t>
        <w:br w:clear="none"/>
      </w:r>
      <w:r>
        <w:rPr>
          <w:rStyle w:val="Text13"/>
        </w:rPr>
        <w:t xml:space="preserve">=</w:t>
        <w:br w:clear="none"/>
      </w:r>
      <w:r>
        <w:rPr>
          <w:rStyle w:val="Text6"/>
        </w:rPr>
        <w:t xml:space="preserve"> </w:t>
        <w:br w:clear="none"/>
      </w:r>
      <w:r>
        <w:t xml:space="preserve">suggestion</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InvalidWordError</w:t>
        <w:br w:clear="none"/>
      </w:r>
      <w:r>
        <w:rPr>
          <w:rStyle w:val="Text7"/>
        </w:rPr>
        <w:t xml:space="preserve">(</w:t>
        <w:br w:clear="none"/>
      </w:r>
      <w:r>
        <w:t xml:space="preserve">GrammarError</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7"/>
        </w:rPr>
        <w:t xml:space="preserve">"""Misused or nonexistent word"""</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MisspelledWordError</w:t>
        <w:br w:clear="none"/>
      </w:r>
      <w:r>
        <w:rPr>
          <w:rStyle w:val="Text7"/>
        </w:rPr>
        <w:t xml:space="preserve">(</w:t>
        <w:br w:clear="none"/>
      </w:r>
      <w:r>
        <w:t xml:space="preserve">GrammarError</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7"/>
        </w:rPr>
        <w:t xml:space="preserve">"""Spelling error"""</w:t>
        <w:br w:clear="none"/>
      </w:r>
      <w:r>
        <w:rPr>
          <w:rStyle w:val="Text6"/>
        </w:rPr>
        <w:t xml:space="preserve"/>
        <w:br w:clear="none"/>
        <w:t xml:space="preserve"/>
        <w:br w:clear="none"/>
      </w:r>
      <w:r>
        <w:t xml:space="preserve">invalid_words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irregardless</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regardless</w:t>
        <w:br w:clear="none"/>
        <w:t xml:space="preserve">'</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ain</w:t>
        <w:br w:clear="none"/>
        <w:t xml:space="preserve">'</w:t>
        <w:br w:clear="none"/>
        <w:t xml:space="preserve">t</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isn</w:t>
        <w:br w:clear="none"/>
        <w:t xml:space="preserve">'</w:t>
        <w:br w:clear="none"/>
        <w:t xml:space="preserve">t</w:t>
        <w:br w:clear="none"/>
        <w:t xml:space="preserve">"</w:t>
        <w:br w:clear="none"/>
      </w:r>
      <w:r>
        <w:rPr>
          <w:rStyle w:val="Text7"/>
        </w:rPr>
        <w:t xml:space="preserve">,</w:t>
        <w:br w:clear="none"/>
      </w:r>
      <w:r>
        <w:rPr>
          <w:rStyle w:val="Text6"/>
        </w:rPr>
        <w:t xml:space="preserve"/>
        <w:br w:clear="none"/>
      </w:r>
      <w:r>
        <w:rPr>
          <w:rStyle w:val="Text7"/>
        </w:rPr>
        <w:t xml:space="preserve">}</w:t>
        <w:br w:clear="none"/>
      </w:r>
      <w:r>
        <w:rPr>
          <w:rStyle w:val="Text6"/>
        </w:rPr>
        <w:t xml:space="preserve"> </w:t>
        <w:br w:clear="none"/>
        <w:t xml:space="preserve"/>
        <w:br w:clear="none"/>
      </w:r>
      <w:r>
        <w:t xml:space="preserve">misspelled_words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tacco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taco</w:t>
        <w:br w:clear="none"/>
        <w:t xml:space="preserve">'</w:t>
        <w:br w:clear="none"/>
      </w:r>
      <w:r>
        <w:rPr>
          <w:rStyle w:val="Text7"/>
        </w:rPr>
        <w:t xml:space="preserve">,</w:t>
        <w:br w:clear="none"/>
      </w:r>
      <w:r>
        <w:rPr>
          <w:rStyle w:val="Text6"/>
        </w:rPr>
        <w:t xml:space="preserve"/>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check_grammar</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t xml:space="preserve">exceptions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s</w:t>
        <w:br w:clear="none"/>
      </w:r>
      <w:r>
        <w:rPr>
          <w:rStyle w:val="Text13"/>
        </w:rPr>
        <w:t xml:space="preserve">.</w:t>
        <w:br w:clear="none"/>
      </w:r>
      <w:r>
        <w:t xml:space="preserve">lower</w:t>
        <w:br w:clear="none"/>
      </w:r>
      <w:r>
        <w:rPr>
          <w:rStyle w:val="Text7"/>
        </w:rPr>
        <w:t xml:space="preserve">(</w:t>
        <w:br w:clear="none"/>
        <w:t xml:space="preserv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r>
      <w:r>
        <w:rPr>
          <w:rStyle w:val="Text6"/>
        </w:rPr>
        <w:t xml:space="preserve"/>
        <w:br w:clear="none"/>
      </w:r>
      <w:r>
        <w:rPr>
          <w:rStyle w:val="Text29"/>
        </w:rPr>
        <w:t xml:space="preserve">        </w:t>
        <w:br w:clear="none"/>
      </w:r>
      <w:r>
        <w:rPr>
          <w:rStyle w:val="Text10"/>
        </w:rPr>
        <w:t xml:space="preserve">if</w:t>
        <w:br w:clear="none"/>
      </w:r>
      <w:r>
        <w:rPr>
          <w:rStyle w:val="Text6"/>
        </w:rPr>
        <w:t xml:space="preserve"> </w:t>
        <w:br w:clear="none"/>
      </w:r>
      <w:r>
        <w:rPr>
          <w:rStyle w:val="Text7"/>
        </w:rPr>
        <w:t xml:space="preserve">(</w:t>
        <w:br w:clear="none"/>
      </w:r>
      <w:r>
        <w:t xml:space="preserve">suggestion</w:t>
        <w:br w:clear="none"/>
      </w:r>
      <w:r>
        <w:rPr>
          <w:rStyle w:val="Text6"/>
        </w:rPr>
        <w:t xml:space="preserve"> </w:t>
        <w:br w:clear="none"/>
      </w:r>
      <w:r>
        <w:rPr>
          <w:rStyle w:val="Text13"/>
        </w:rPr>
        <w:t xml:space="preserve">:=</w:t>
        <w:br w:clear="none"/>
      </w:r>
      <w:r>
        <w:rPr>
          <w:rStyle w:val="Text6"/>
        </w:rPr>
        <w:t xml:space="preserve"> </w:t>
        <w:br w:clear="none"/>
      </w:r>
      <w:r>
        <w:t xml:space="preserve">invalid_words</w:t>
        <w:br w:clear="none"/>
      </w:r>
      <w:r>
        <w:rPr>
          <w:rStyle w:val="Text13"/>
        </w:rPr>
        <w:t xml:space="preserve">.</w:t>
        <w:br w:clear="none"/>
      </w:r>
      <w:r>
        <w:t xml:space="preserve">get</w:t>
        <w:br w:clear="none"/>
      </w:r>
      <w:r>
        <w:rPr>
          <w:rStyle w:val="Text7"/>
        </w:rPr>
        <w:t xml:space="preserve">(</w:t>
        <w:br w:clear="none"/>
      </w:r>
      <w:r>
        <w:t xml:space="preserve">word</w:t>
        <w:br w:clear="none"/>
      </w:r>
      <w:r>
        <w:rPr>
          <w:rStyle w:val="Text7"/>
        </w:rPr>
        <w:t xml:space="preserve">)</w:t>
        <w:br w:clear="none"/>
        <w:t xml:space="preserv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t xml:space="preserve">exceptions</w:t>
        <w:br w:clear="none"/>
      </w:r>
      <w:r>
        <w:rPr>
          <w:rStyle w:val="Text13"/>
        </w:rPr>
        <w:t xml:space="preserve">.</w:t>
        <w:br w:clear="none"/>
      </w:r>
      <w:r>
        <w:t xml:space="preserve">append</w:t>
        <w:br w:clear="none"/>
      </w:r>
      <w:r>
        <w:rPr>
          <w:rStyle w:val="Text7"/>
        </w:rPr>
        <w:t xml:space="preserve">(</w:t>
        <w:br w:clear="none"/>
      </w:r>
      <w:r>
        <w:t xml:space="preserve">InvalidWordError</w:t>
        <w:br w:clear="none"/>
      </w:r>
      <w:r>
        <w:rPr>
          <w:rStyle w:val="Text7"/>
        </w:rPr>
        <w:t xml:space="preserve">(</w:t>
        <w:br w:clear="none"/>
      </w:r>
      <w:r>
        <w:t xml:space="preserve">word</w:t>
        <w:br w:clear="none"/>
      </w:r>
      <w:r>
        <w:rPr>
          <w:rStyle w:val="Text7"/>
        </w:rPr>
        <w:t xml:space="preserve">,</w:t>
        <w:br w:clear="none"/>
      </w:r>
      <w:r>
        <w:rPr>
          <w:rStyle w:val="Text6"/>
        </w:rPr>
        <w:t xml:space="preserve"> </w:t>
        <w:br w:clear="none"/>
      </w:r>
      <w:r>
        <w:t xml:space="preserve">suggestion</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10"/>
        </w:rPr>
        <w:t xml:space="preserve">elif</w:t>
        <w:br w:clear="none"/>
      </w:r>
      <w:r>
        <w:rPr>
          <w:rStyle w:val="Text6"/>
        </w:rPr>
        <w:t xml:space="preserve"> </w:t>
        <w:br w:clear="none"/>
      </w:r>
      <w:r>
        <w:rPr>
          <w:rStyle w:val="Text7"/>
        </w:rPr>
        <w:t xml:space="preserve">(</w:t>
        <w:br w:clear="none"/>
      </w:r>
      <w:r>
        <w:t xml:space="preserve">suggestion</w:t>
        <w:br w:clear="none"/>
      </w:r>
      <w:r>
        <w:rPr>
          <w:rStyle w:val="Text6"/>
        </w:rPr>
        <w:t xml:space="preserve"> </w:t>
        <w:br w:clear="none"/>
      </w:r>
      <w:r>
        <w:rPr>
          <w:rStyle w:val="Text13"/>
        </w:rPr>
        <w:t xml:space="preserve">:=</w:t>
        <w:br w:clear="none"/>
      </w:r>
      <w:r>
        <w:rPr>
          <w:rStyle w:val="Text6"/>
        </w:rPr>
        <w:t xml:space="preserve"> </w:t>
        <w:br w:clear="none"/>
      </w:r>
      <w:r>
        <w:t xml:space="preserve">misspelled_words</w:t>
        <w:br w:clear="none"/>
      </w:r>
      <w:r>
        <w:rPr>
          <w:rStyle w:val="Text13"/>
        </w:rPr>
        <w:t xml:space="preserve">.</w:t>
        <w:br w:clear="none"/>
      </w:r>
      <w:r>
        <w:t xml:space="preserve">get</w:t>
        <w:br w:clear="none"/>
      </w:r>
      <w:r>
        <w:rPr>
          <w:rStyle w:val="Text7"/>
        </w:rPr>
        <w:t xml:space="preserve">(</w:t>
        <w:br w:clear="none"/>
      </w:r>
      <w:r>
        <w:t xml:space="preserve">word</w:t>
        <w:br w:clear="none"/>
      </w:r>
      <w:r>
        <w:rPr>
          <w:rStyle w:val="Text7"/>
        </w:rPr>
        <w:t xml:space="preserve">)</w:t>
        <w:br w:clear="none"/>
        <w:t xml:space="preserv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31"/>
        </w:rPr>
        <w:t xml:space="preserve">:</w:t>
        <w:br w:clear="none"/>
      </w:r>
      <w:r>
        <w:rPr>
          <w:rStyle w:val="Text6"/>
        </w:rPr>
        <w:t xml:space="preserve"/>
        <w:br w:clear="none"/>
      </w:r>
      <w:r>
        <w:rPr>
          <w:rStyle w:val="Text29"/>
        </w:rPr>
        <w:t xml:space="preserve">           </w:t>
        <w:br w:clear="none"/>
      </w:r>
      <w:r>
        <w:rPr>
          <w:rStyle w:val="Text6"/>
        </w:rPr>
        <w:t xml:space="preserve"> </w:t>
        <w:br w:clear="none"/>
      </w:r>
      <w:r>
        <w:t xml:space="preserve">exceptions</w:t>
        <w:br w:clear="none"/>
      </w:r>
      <w:r>
        <w:rPr>
          <w:rStyle w:val="Text13"/>
        </w:rPr>
        <w:t xml:space="preserve">.</w:t>
        <w:br w:clear="none"/>
      </w:r>
      <w:r>
        <w:t xml:space="preserve">append</w:t>
        <w:br w:clear="none"/>
      </w:r>
      <w:r>
        <w:rPr>
          <w:rStyle w:val="Text7"/>
        </w:rPr>
        <w:t xml:space="preserve">(</w:t>
        <w:br w:clear="none"/>
      </w:r>
      <w:r>
        <w:t xml:space="preserve">MisspelledWordError</w:t>
        <w:br w:clear="none"/>
      </w:r>
      <w:r>
        <w:rPr>
          <w:rStyle w:val="Text7"/>
        </w:rPr>
        <w:t xml:space="preserve">(</w:t>
        <w:br w:clear="none"/>
      </w:r>
      <w:r>
        <w:t xml:space="preserve">word</w:t>
        <w:br w:clear="none"/>
      </w:r>
      <w:r>
        <w:rPr>
          <w:rStyle w:val="Text7"/>
        </w:rPr>
        <w:t xml:space="preserve">,</w:t>
        <w:br w:clear="none"/>
      </w:r>
      <w:r>
        <w:rPr>
          <w:rStyle w:val="Text6"/>
        </w:rPr>
        <w:t xml:space="preserve"> </w:t>
        <w:br w:clear="none"/>
      </w:r>
      <w:r>
        <w:t xml:space="preserve">suggestion</w:t>
        <w:br w:clear="none"/>
      </w:r>
      <w:r>
        <w:rPr>
          <w:rStyle w:val="Text7"/>
        </w:rPr>
        <w:t xml:space="preserve">)</w:t>
        <w:br w:clear="none"/>
        <w:t xml:space="preserve">)</w:t>
        <w:br w:clear="none"/>
      </w:r>
      <w:r>
        <w:rPr>
          <w:rStyle w:val="Text6"/>
        </w:rPr>
        <w:t xml:space="preserve"/>
        <w:br w:clear="none"/>
      </w:r>
      <w:r>
        <w:rPr>
          <w:rStyle w:val="Text29"/>
        </w:rPr>
        <w:t xml:space="preserve">    </w:t>
        <w:br w:clear="none"/>
      </w:r>
      <w:r>
        <w:rPr>
          <w:rStyle w:val="Text10"/>
        </w:rPr>
        <w:t xml:space="preserve">if</w:t>
        <w:br w:clear="none"/>
      </w:r>
      <w:r>
        <w:rPr>
          <w:rStyle w:val="Text6"/>
        </w:rPr>
        <w:t xml:space="preserve"> </w:t>
        <w:br w:clear="none"/>
      </w:r>
      <w:r>
        <w:t xml:space="preserve">exceptions</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raise</w:t>
        <w:br w:clear="none"/>
      </w:r>
      <w:r>
        <w:rPr>
          <w:rStyle w:val="Text6"/>
        </w:rPr>
        <w:t xml:space="preserve"> </w:t>
        <w:br w:clear="none"/>
      </w:r>
      <w:r>
        <w:t xml:space="preserve">ExceptionGroup</w:t>
        <w:br w:clear="none"/>
      </w:r>
      <w:r>
        <w:rPr>
          <w:rStyle w:val="Text7"/>
        </w:rPr>
        <w:t xml:space="preserve">(</w:t>
        <w:br w:clear="none"/>
      </w:r>
      <w:r>
        <w:rPr>
          <w:rStyle w:val="Text8"/>
        </w:rPr>
        <w:t xml:space="preserve">'</w:t>
        <w:br w:clear="none"/>
        <w:t xml:space="preserve">Found grammar errors</w:t>
        <w:br w:clear="none"/>
        <w:t xml:space="preserve">'</w:t>
        <w:br w:clear="none"/>
      </w:r>
      <w:r>
        <w:rPr>
          <w:rStyle w:val="Text7"/>
        </w:rPr>
        <w:t xml:space="preserve">,</w:t>
        <w:br w:clear="none"/>
      </w:r>
      <w:r>
        <w:rPr>
          <w:rStyle w:val="Text6"/>
        </w:rPr>
        <w:t xml:space="preserve"> </w:t>
        <w:br w:clear="none"/>
      </w:r>
      <w:r>
        <w:t xml:space="preserve">exceptions</w:t>
        <w:br w:clear="none"/>
      </w:r>
      <w:r>
        <w:rPr>
          <w:rStyle w:val="Text7"/>
        </w:rPr>
        <w:t xml:space="preserve">)</w:t>
        <w:br w:clear="none"/>
      </w:r>
    </w:p>
    <w:p>
      <w:pPr>
        <w:pStyle w:val="Normal"/>
      </w:pPr>
      <w:r>
        <w:t>The following code validates a sample text string and lists out all the found errors:</w:t>
      </w:r>
    </w:p>
    <w:p>
      <w:pPr>
        <w:pStyle w:val="Para 007"/>
      </w:pPr>
      <w:r>
        <w:rPr>
          <w:rStyle w:val="Text23"/>
        </w:rPr>
        <w:t xml:space="preserve"/>
        <w:br w:clear="none"/>
      </w:r>
      <w:r>
        <w:t xml:space="preserve">text</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Irregardless a hot dog ain</w:t>
        <w:br w:clear="none"/>
        <w:t xml:space="preserve">'</w:t>
        <w:br w:clear="none"/>
        <w:t xml:space="preserve">t a tacco</w:t>
        <w:br w:clear="none"/>
        <w:t xml:space="preserve">"</w:t>
        <w:br w:clear="none"/>
      </w:r>
      <w:r>
        <w:rPr>
          <w:rStyle w:val="Text6"/>
        </w:rPr>
        <w:t xml:space="preserve"/>
        <w:br w:clear="none"/>
      </w:r>
      <w:r>
        <w:rPr>
          <w:rStyle w:val="Text10"/>
        </w:rPr>
        <w:t xml:space="preserve">try</w:t>
        <w:br w:clear="none"/>
      </w:r>
      <w:r>
        <w:rPr>
          <w:rStyle w:val="Text31"/>
        </w:rPr>
        <w:t xml:space="preserve">:</w:t>
        <w:br w:clear="none"/>
      </w:r>
      <w:r>
        <w:rPr>
          <w:rStyle w:val="Text6"/>
        </w:rPr>
        <w:t xml:space="preserve"/>
        <w:br w:clear="none"/>
      </w:r>
      <w:r>
        <w:rPr>
          <w:rStyle w:val="Text29"/>
        </w:rPr>
        <w:t xml:space="preserve">   </w:t>
        <w:br w:clear="none"/>
      </w:r>
      <w:r>
        <w:rPr>
          <w:rStyle w:val="Text6"/>
        </w:rPr>
        <w:t xml:space="preserve"> </w:t>
        <w:br w:clear="none"/>
      </w:r>
      <w:r>
        <w:t xml:space="preserve">check_grammar</w:t>
        <w:br w:clear="none"/>
      </w:r>
      <w:r>
        <w:rPr>
          <w:rStyle w:val="Text7"/>
        </w:rPr>
        <w:t xml:space="preserve">(</w:t>
        <w:br w:clear="none"/>
      </w:r>
      <w:r>
        <w:t xml:space="preserve">text</w:t>
        <w:br w:clear="none"/>
      </w:r>
      <w:r>
        <w:rPr>
          <w:rStyle w:val="Text7"/>
        </w:rPr>
        <w:t xml:space="preserve">)</w:t>
        <w:br w:clear="none"/>
      </w:r>
      <w:r>
        <w:rPr>
          <w:rStyle w:val="Text6"/>
        </w:rPr>
        <w:t xml:space="preserve"/>
        <w:br w:clear="none"/>
      </w:r>
      <w:r>
        <w:rPr>
          <w:rStyle w:val="Text39"/>
        </w:rPr>
        <w:t xml:space="preserve">except</w:t>
        <w:br w:clear="none"/>
      </w:r>
      <w:r>
        <w:rPr>
          <w:rStyle w:val="Text13"/>
        </w:rPr>
        <w:t xml:space="preserve">*</w:t>
        <w:br w:clear="none"/>
      </w:r>
      <w:r>
        <w:rPr>
          <w:rStyle w:val="Text6"/>
        </w:rPr>
        <w:t xml:space="preserve"> </w:t>
        <w:br w:clear="none"/>
      </w:r>
      <w:r>
        <w:t xml:space="preserve">InvalidWordError</w:t>
        <w:br w:clear="none"/>
      </w:r>
      <w:r>
        <w:rPr>
          <w:rStyle w:val="Text6"/>
        </w:rPr>
        <w:t xml:space="preserve"> </w:t>
        <w:br w:clear="none"/>
      </w:r>
      <w:r>
        <w:rPr>
          <w:rStyle w:val="Text10"/>
        </w:rPr>
        <w:t xml:space="preserve">as</w:t>
        <w:br w:clear="none"/>
      </w:r>
      <w:r>
        <w:rPr>
          <w:rStyle w:val="Text6"/>
        </w:rPr>
        <w:t xml:space="preserve"> </w:t>
        <w:br w:clear="none"/>
      </w:r>
      <w:r>
        <w:t xml:space="preserve">iwe</w:t>
        <w:br w:clear="none"/>
      </w:r>
      <w:r>
        <w:rPr>
          <w:rStyle w:val="Text31"/>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6"/>
        </w:rPr>
        <w:t xml:space="preserve">print</w:t>
        <w:br w:clear="none"/>
      </w:r>
      <w:r>
        <w:rPr>
          <w:rStyle w:val="Text7"/>
        </w:rPr>
        <w:t xml:space="preserve">(</w:t>
        <w:br w:clear="none"/>
      </w:r>
      <w:r>
        <w:rPr>
          <w:rStyle w:val="Text8"/>
        </w:rPr>
        <w:t xml:space="preserve">'</w:t>
        <w:br w:clear="none"/>
        <w:t xml:space="preserve">\n</w:t>
        <w:br w:clear="none"/>
        <w:t xml:space="preserve">'</w:t>
        <w:br w:clear="none"/>
      </w:r>
      <w:r>
        <w:rPr>
          <w:rStyle w:val="Text13"/>
        </w:rPr>
        <w:t xml:space="preserve">.</w:t>
        <w:br w:clear="none"/>
      </w:r>
      <w:r>
        <w:t xml:space="preserve">join</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e</w:t>
        <w:br w:clear="none"/>
      </w:r>
      <w:r>
        <w:rPr>
          <w:rStyle w:val="Text13"/>
        </w:rPr>
        <w:t xml:space="preserve">.</w:t>
        <w:br w:clear="none"/>
      </w:r>
      <w:r>
        <w:t xml:space="preserve">found</w:t>
        <w:br w:clear="none"/>
      </w:r>
      <w:r>
        <w:rPr>
          <w:rStyle w:val="Text32"/>
        </w:rPr>
        <w:t xml:space="preserve">!r}</w:t>
        <w:br w:clear="none"/>
      </w:r>
      <w:r>
        <w:rPr>
          <w:rStyle w:val="Text8"/>
        </w:rPr>
        <w:t xml:space="preserve"> is not a word, use </w:t>
        <w:br w:clear="none"/>
      </w:r>
      <w:r>
        <w:rPr>
          <w:rStyle w:val="Text32"/>
        </w:rPr>
        <w:t xml:space="preserve">{</w:t>
        <w:br w:clear="none"/>
      </w:r>
      <w:r>
        <w:t xml:space="preserve">e</w:t>
        <w:br w:clear="none"/>
      </w:r>
      <w:r>
        <w:rPr>
          <w:rStyle w:val="Text13"/>
        </w:rPr>
        <w:t xml:space="preserve">.</w:t>
        <w:br w:clear="none"/>
      </w:r>
      <w:r>
        <w:t xml:space="preserve">suggestion</w:t>
        <w:br w:clear="none"/>
      </w:r>
      <w:r>
        <w:rPr>
          <w:rStyle w:val="Text32"/>
        </w:rPr>
        <w:t xml:space="preserve">!r}</w:t>
        <w:br w:clear="none"/>
      </w:r>
      <w:r>
        <w:rPr>
          <w:rStyle w:val="Text8"/>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e</w:t>
        <w:br w:clear="none"/>
      </w:r>
      <w:r>
        <w:rPr>
          <w:rStyle w:val="Text6"/>
        </w:rPr>
        <w:t xml:space="preserve"> </w:t>
        <w:br w:clear="none"/>
      </w:r>
      <w:r>
        <w:rPr>
          <w:rStyle w:val="Text31"/>
        </w:rPr>
        <w:t xml:space="preserve">in</w:t>
        <w:br w:clear="none"/>
      </w:r>
      <w:r>
        <w:rPr>
          <w:rStyle w:val="Text6"/>
        </w:rPr>
        <w:t xml:space="preserve"> </w:t>
        <w:br w:clear="none"/>
      </w:r>
      <w:r>
        <w:t xml:space="preserve">iwe</w:t>
        <w:br w:clear="none"/>
      </w:r>
      <w:r>
        <w:rPr>
          <w:rStyle w:val="Text63"/>
        </w:rPr>
        <w:t xml:space="preserve">.</w:t>
        <w:br w:clear="none"/>
      </w:r>
      <w:r>
        <w:t xml:space="preserve">exceptions</w:t>
        <w:br w:clear="none"/>
      </w:r>
      <w:r>
        <w:rPr>
          <w:rStyle w:val="Text7"/>
        </w:rPr>
        <w:t xml:space="preserve">)</w:t>
        <w:br w:clear="none"/>
        <w:t xml:space="preserve">)</w:t>
        <w:br w:clear="none"/>
      </w:r>
      <w:r>
        <w:rPr>
          <w:rStyle w:val="Text6"/>
        </w:rPr>
        <w:t xml:space="preserve"/>
        <w:br w:clear="none"/>
      </w:r>
      <w:r>
        <w:rPr>
          <w:rStyle w:val="Text39"/>
        </w:rPr>
        <w:t xml:space="preserve">except</w:t>
        <w:br w:clear="none"/>
      </w:r>
      <w:r>
        <w:rPr>
          <w:rStyle w:val="Text13"/>
        </w:rPr>
        <w:t xml:space="preserve">*</w:t>
        <w:br w:clear="none"/>
      </w:r>
      <w:r>
        <w:rPr>
          <w:rStyle w:val="Text6"/>
        </w:rPr>
        <w:t xml:space="preserve"> </w:t>
        <w:br w:clear="none"/>
      </w:r>
      <w:r>
        <w:t xml:space="preserve">MisspelledWordError</w:t>
        <w:br w:clear="none"/>
      </w:r>
      <w:r>
        <w:rPr>
          <w:rStyle w:val="Text6"/>
        </w:rPr>
        <w:t xml:space="preserve"> </w:t>
        <w:br w:clear="none"/>
      </w:r>
      <w:r>
        <w:rPr>
          <w:rStyle w:val="Text10"/>
        </w:rPr>
        <w:t xml:space="preserve">as</w:t>
        <w:br w:clear="none"/>
      </w:r>
      <w:r>
        <w:rPr>
          <w:rStyle w:val="Text6"/>
        </w:rPr>
        <w:t xml:space="preserve"> </w:t>
        <w:br w:clear="none"/>
      </w:r>
      <w:r>
        <w:t xml:space="preserve">mwe</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6"/>
        </w:rPr>
        <w:t xml:space="preserve">print</w:t>
        <w:br w:clear="none"/>
      </w:r>
      <w:r>
        <w:rPr>
          <w:rStyle w:val="Text7"/>
        </w:rPr>
        <w:t xml:space="preserve">(</w:t>
        <w:br w:clear="none"/>
      </w:r>
      <w:r>
        <w:rPr>
          <w:rStyle w:val="Text8"/>
        </w:rPr>
        <w:t xml:space="preserve">'</w:t>
        <w:br w:clear="none"/>
        <w:t xml:space="preserve">\n</w:t>
        <w:br w:clear="none"/>
        <w:t xml:space="preserve">'</w:t>
        <w:br w:clear="none"/>
      </w:r>
      <w:r>
        <w:rPr>
          <w:rStyle w:val="Text13"/>
        </w:rPr>
        <w:t xml:space="preserve">.</w:t>
        <w:br w:clear="none"/>
      </w:r>
      <w:r>
        <w:t xml:space="preserve">join</w:t>
        <w:br w:clear="none"/>
      </w:r>
      <w:r>
        <w:rPr>
          <w:rStyle w:val="Text7"/>
        </w:rPr>
        <w:t xml:space="preserve">(</w:t>
        <w:br w:clear="none"/>
      </w:r>
      <w:r>
        <w:rPr>
          <w:rStyle w:val="Text6"/>
        </w:rPr>
        <w:t xml:space="preserve">f</w:t>
        <w:br w:clear="none"/>
      </w:r>
      <w:r>
        <w:rPr>
          <w:rStyle w:val="Text8"/>
        </w:rPr>
        <w:t xml:space="preserve">'</w:t>
        <w:br w:clear="none"/>
        <w:t xml:space="preserve">Found </w:t>
        <w:br w:clear="none"/>
      </w:r>
      <w:r>
        <w:rPr>
          <w:rStyle w:val="Text32"/>
        </w:rPr>
        <w:t xml:space="preserve">{</w:t>
        <w:br w:clear="none"/>
      </w:r>
      <w:r>
        <w:t xml:space="preserve">e</w:t>
        <w:br w:clear="none"/>
      </w:r>
      <w:r>
        <w:rPr>
          <w:rStyle w:val="Text13"/>
        </w:rPr>
        <w:t xml:space="preserve">.</w:t>
        <w:br w:clear="none"/>
      </w:r>
      <w:r>
        <w:t xml:space="preserve">found</w:t>
        <w:br w:clear="none"/>
      </w:r>
      <w:r>
        <w:rPr>
          <w:rStyle w:val="Text32"/>
        </w:rPr>
        <w:t xml:space="preserve">!r}</w:t>
        <w:br w:clear="none"/>
      </w:r>
      <w:r>
        <w:rPr>
          <w:rStyle w:val="Text8"/>
        </w:rPr>
        <w:t xml:space="preserve">, perhaps you meant</w:t>
        <w:br w:clear="none"/>
        <w:t xml:space="preserve">'</w:t>
        <w:br w:clear="none"/>
      </w:r>
      <w:r>
        <w:rPr>
          <w:rStyle w:val="Text6"/>
        </w:rPr>
        <w:t xml:space="preserve"/>
        <w:br w:clear="none"/>
        <w:t xml:space="preserve">                    </w:t>
        <w:br w:clear="none"/>
        <w:t xml:space="preserve">f</w:t>
        <w:br w:clear="none"/>
      </w:r>
      <w:r>
        <w:rPr>
          <w:rStyle w:val="Text8"/>
        </w:rPr>
        <w:t xml:space="preserve">'</w:t>
        <w:br w:clear="none"/>
        <w:t xml:space="preserve"> </w:t>
        <w:br w:clear="none"/>
      </w:r>
      <w:r>
        <w:rPr>
          <w:rStyle w:val="Text32"/>
        </w:rPr>
        <w:t xml:space="preserve">{</w:t>
        <w:br w:clear="none"/>
      </w:r>
      <w:r>
        <w:t xml:space="preserve">e</w:t>
        <w:br w:clear="none"/>
      </w:r>
      <w:r>
        <w:rPr>
          <w:rStyle w:val="Text13"/>
        </w:rPr>
        <w:t xml:space="preserve">.</w:t>
        <w:br w:clear="none"/>
      </w:r>
      <w:r>
        <w:t xml:space="preserve">suggestion</w:t>
        <w:br w:clear="none"/>
      </w:r>
      <w:r>
        <w:rPr>
          <w:rStyle w:val="Text32"/>
        </w:rPr>
        <w:t xml:space="preserve">!r}</w:t>
        <w:br w:clear="none"/>
      </w:r>
      <w:r>
        <w:rPr>
          <w:rStyle w:val="Text8"/>
        </w:rPr>
        <w:t xml:space="preserve">?</w:t>
        <w:br w:clear="none"/>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e</w:t>
        <w:br w:clear="none"/>
      </w:r>
      <w:r>
        <w:rPr>
          <w:rStyle w:val="Text6"/>
        </w:rPr>
        <w:t xml:space="preserve"> </w:t>
        <w:br w:clear="none"/>
      </w:r>
      <w:r>
        <w:rPr>
          <w:rStyle w:val="Text31"/>
        </w:rPr>
        <w:t xml:space="preserve">in</w:t>
        <w:br w:clear="none"/>
      </w:r>
      <w:r>
        <w:rPr>
          <w:rStyle w:val="Text6"/>
        </w:rPr>
        <w:t xml:space="preserve"> </w:t>
        <w:br w:clear="none"/>
      </w:r>
      <w:r>
        <w:t xml:space="preserve">mwe</w:t>
        <w:br w:clear="none"/>
      </w:r>
      <w:r>
        <w:rPr>
          <w:rStyle w:val="Text63"/>
        </w:rPr>
        <w:t xml:space="preserve">.</w:t>
        <w:br w:clear="none"/>
      </w:r>
      <w:r>
        <w:t xml:space="preserve">exceptions</w:t>
        <w:br w:clear="none"/>
      </w:r>
      <w:r>
        <w:rPr>
          <w:rStyle w:val="Text7"/>
        </w:rPr>
        <w:t xml:space="preserve">)</w:t>
        <w:br w:clear="none"/>
        <w:t xml:space="preserve">)</w:t>
        <w:br w:clear="none"/>
      </w:r>
      <w:r>
        <w:rPr>
          <w:rStyle w:val="Text6"/>
        </w:rPr>
        <w:t xml:space="preserve"/>
        <w:br w:clear="none"/>
      </w:r>
      <w:r>
        <w:rPr>
          <w:rStyle w:val="Text10"/>
        </w:rPr>
        <w:t xml:space="preserve">else</w:t>
        <w:br w:clear="none"/>
      </w:r>
      <w:r>
        <w:rPr>
          <w:rStyle w:val="Text31"/>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6"/>
        </w:rPr>
        <w:t xml:space="preserve">print</w:t>
        <w:br w:clear="none"/>
      </w:r>
      <w:r>
        <w:rPr>
          <w:rStyle w:val="Text7"/>
        </w:rPr>
        <w:t xml:space="preserve">(</w:t>
        <w:br w:clear="none"/>
      </w:r>
      <w:r>
        <w:rPr>
          <w:rStyle w:val="Text8"/>
        </w:rPr>
        <w:t xml:space="preserve">'</w:t>
        <w:br w:clear="none"/>
        <w:t xml:space="preserve">No errors!</w:t>
        <w:br w:clear="none"/>
        <w:t xml:space="preserve">'</w:t>
        <w:br w:clear="none"/>
      </w:r>
      <w:r>
        <w:rPr>
          <w:rStyle w:val="Text7"/>
        </w:rPr>
        <w:t xml:space="preserve">)</w:t>
        <w:br w:clear="none"/>
      </w:r>
    </w:p>
    <w:p>
      <w:pPr>
        <w:pStyle w:val="Normal"/>
      </w:pPr>
      <w:r>
        <w:t>giving this output:</w:t>
      </w:r>
    </w:p>
    <w:p>
      <w:pPr>
        <w:pStyle w:val="Para 008"/>
      </w:pPr>
      <w:r>
        <w:rPr>
          <w:rStyle w:val="Text48"/>
        </w:rPr>
        <w:t xml:space="preserve"/>
        <w:br w:clear="none"/>
      </w:r>
      <w:r>
        <w:t xml:space="preserve">'irregardless' is not a word, use 'regardless'</w:t>
        <w:br w:clear="none"/>
      </w:r>
      <w:r>
        <w:rPr>
          <w:rStyle w:val="Text48"/>
        </w:rPr>
        <w:t xml:space="preserve"/>
        <w:br w:clear="none"/>
      </w:r>
      <w:r>
        <w:t xml:space="preserve">"ain't" is not a word, use "isn't"</w:t>
        <w:br w:clear="none"/>
      </w:r>
      <w:r>
        <w:rPr>
          <w:rStyle w:val="Text48"/>
        </w:rPr>
        <w:t xml:space="preserve"/>
        <w:br w:clear="none"/>
      </w:r>
      <w:r>
        <w:t xml:space="preserve">Found 'tacco', perhaps you meant 'taco'?</w:t>
        <w:br w:clear="none"/>
      </w:r>
    </w:p>
    <w:p>
      <w:pPr>
        <w:pStyle w:val="Normal"/>
      </w:pPr>
      <w:r>
        <w:t xml:space="preserve">Unlike </w:t>
      </w:r>
      <w:r>
        <w:rPr>
          <w:rStyle w:val="Text5"/>
        </w:rPr>
        <w:t>except</w:t>
      </w:r>
      <w:r>
        <w:t xml:space="preserve">, after it finds an initial match, </w:t>
      </w:r>
      <w:r>
        <w:rPr>
          <w:rStyle w:val="Text5"/>
        </w:rPr>
        <w:t>except*</w:t>
      </w:r>
      <w:r>
        <w:t xml:space="preserve"> continues to look for additional exception handlers matching exception types in the raised </w:t>
      </w:r>
      <w:r>
        <w:rPr>
          <w:rStyle w:val="Text0"/>
        </w:rPr>
        <w:t>ExceptionGroup</w:t>
      </w:r>
      <w:r>
        <w:t>.</w:t>
      </w:r>
      <w:r>
        <w:rPr>
          <w:rStyle w:val="Text111"/>
        </w:rPr>
        <w:bookmarkStart w:id="1833" w:name="idm45965255845840"/>
        <w:t/>
        <w:bookmarkEnd w:id="1833"/>
      </w:r>
    </w:p>
    <w:p>
      <w:bookmarkStart w:id="1834" w:name="Error_Checking_Strategies__Most"/>
      <w:pPr>
        <w:keepNext/>
        <w:pStyle w:val="Heading 1"/>
      </w:pPr>
      <w:r>
        <w:t>Error-Checking Strategies</w:t>
      </w:r>
      <w:bookmarkEnd w:id="1834"/>
    </w:p>
    <w:p>
      <w:pPr>
        <w:pStyle w:val="Normal"/>
      </w:pPr>
      <w:r>
        <w:t>Most</w:t>
      </w:r>
      <w:r>
        <w:rPr>
          <w:rStyle w:val="Text111"/>
        </w:rPr>
        <w:bookmarkStart w:id="1835" w:name="EXerchk06"/>
        <w:t/>
        <w:bookmarkEnd w:id="1835"/>
      </w:r>
      <w:r>
        <w:t xml:space="preserve"> programming languages that support exceptions raise exceptions only in rare cases. Python’s emphasis is different. Python deems exceptions appropriate whenever they make a program simpler and more robust, even if that makes exceptions rather frequent.</w:t>
      </w:r>
    </w:p>
    <w:p>
      <w:bookmarkStart w:id="1836" w:name="LBYL_Versus_EAFP__A_common_idiom"/>
      <w:pPr>
        <w:keepNext/>
        <w:pStyle w:val="Heading 2"/>
      </w:pPr>
      <w:r>
        <w:t>LBYL Versus EAFP</w:t>
      </w:r>
      <w:bookmarkEnd w:id="1836"/>
    </w:p>
    <w:p>
      <w:pPr>
        <w:pStyle w:val="Normal"/>
      </w:pPr>
      <w:r>
        <w:t>A</w:t>
      </w:r>
      <w:r>
        <w:rPr>
          <w:rStyle w:val="Text111"/>
        </w:rPr>
        <w:bookmarkStart w:id="1837" w:name="idm45965255794144"/>
        <w:t/>
        <w:bookmarkEnd w:id="1837"/>
        <w:bookmarkStart w:id="1838" w:name="idm45965255792800"/>
        <w:t/>
        <w:bookmarkEnd w:id="1838"/>
        <w:bookmarkStart w:id="1839" w:name="idm45965255791728"/>
        <w:t/>
        <w:bookmarkEnd w:id="1839"/>
      </w:r>
      <w:r>
        <w:t xml:space="preserve"> common idiom in other languages, sometimes known as “look before you leap” (LBYL), is to check in advance, before attempting an operation, for anything that might make the operation invalid. This approach is not ideal, for several reasons:</w:t>
      </w:r>
    </w:p>
    <w:p>
      <w:pPr>
        <w:pStyle w:val="Para 010"/>
      </w:pPr>
      <w:r>
        <w:t>The checks may diminish the readability and clarity of the common, mainstream cases where everything is OK.</w:t>
      </w:r>
    </w:p>
    <w:p>
      <w:pPr>
        <w:pStyle w:val="Para 010"/>
      </w:pPr>
      <w:r>
        <w:t>The work needed for checking purposes may duplicate a substantial part of the work done in the operation itself.</w:t>
      </w:r>
    </w:p>
    <w:p>
      <w:pPr>
        <w:pStyle w:val="Para 010"/>
      </w:pPr>
      <w:r>
        <w:t>The programmer might easily err by omitting a needed check.</w:t>
      </w:r>
    </w:p>
    <w:p>
      <w:pPr>
        <w:pStyle w:val="Para 010"/>
      </w:pPr>
      <w:r>
        <w:t>The situation might change between the moment when you perform the checks and the moment when, later (even by a tiny fraction of a second!), you attempt the operation.</w:t>
      </w:r>
    </w:p>
    <w:p>
      <w:pPr>
        <w:pStyle w:val="Normal"/>
      </w:pPr>
      <w:r>
        <w:t>The</w:t>
      </w:r>
      <w:r>
        <w:rPr>
          <w:rStyle w:val="Text111"/>
        </w:rPr>
        <w:bookmarkStart w:id="1840" w:name="idm45965255785952"/>
        <w:t/>
        <w:bookmarkEnd w:id="1840"/>
        <w:bookmarkStart w:id="1841" w:name="idm45965255784848"/>
        <w:t/>
        <w:bookmarkEnd w:id="1841"/>
      </w:r>
      <w:r>
        <w:t xml:space="preserve"> preferred idiom in Python is to attempt the operation in a </w:t>
      </w:r>
      <w:r>
        <w:rPr>
          <w:rStyle w:val="Text5"/>
        </w:rPr>
        <w:t>try</w:t>
      </w:r>
      <w:r>
        <w:t xml:space="preserve"> clause and handle the exceptions that may result in one or more </w:t>
      </w:r>
      <w:r>
        <w:rPr>
          <w:rStyle w:val="Text5"/>
        </w:rPr>
        <w:t>except</w:t>
      </w:r>
      <w:r>
        <w:t xml:space="preserve"> clauses. This idiom is known as </w:t>
      </w:r>
      <w:hyperlink r:id="rId273">
        <w:r>
          <w:rPr>
            <w:rStyle w:val="Text1"/>
          </w:rPr>
          <w:t>“It’s easier to ask forgiveness than permission” (EAFP)</w:t>
        </w:r>
      </w:hyperlink>
      <w:r>
        <w:t>, a frequently quoted motto widely credited to Rear Admiral Grace Murray Hopper, co-inventor of COBOL. EAFP shares none of the defects of LBYL. Here is a function using the LBYL idiom:</w:t>
      </w:r>
    </w:p>
    <w:p>
      <w:pPr>
        <w:pStyle w:val="Para 020"/>
      </w:pPr>
      <w:r>
        <w:rPr>
          <w:rStyle w:val="Text23"/>
        </w:rPr>
        <w:t xml:space="preserve"/>
        <w:br w:clear="none"/>
      </w:r>
      <w:r>
        <w:rPr>
          <w:rStyle w:val="Text10"/>
        </w:rPr>
        <w:t xml:space="preserve">def</w:t>
        <w:br w:clear="none"/>
      </w:r>
      <w:r>
        <w:rPr>
          <w:rStyle w:val="Text6"/>
        </w:rPr>
        <w:t xml:space="preserve"> </w:t>
        <w:br w:clear="none"/>
      </w:r>
      <w:r>
        <w:rPr>
          <w:rStyle w:val="Text18"/>
        </w:rPr>
        <w:t xml:space="preserve">safe_divide_1</w:t>
        <w:br w:clear="none"/>
      </w:r>
      <w:r>
        <w:rPr>
          <w:rStyle w:val="Text7"/>
        </w:rPr>
        <w:t xml:space="preserve">(</w:t>
        <w:br w:clear="none"/>
      </w:r>
      <w:r>
        <w:rPr>
          <w:rStyle w:val="Text9"/>
        </w:rPr>
        <w:t xml:space="preserve">x</w:t>
        <w:br w:clear="none"/>
      </w:r>
      <w:r>
        <w:rPr>
          <w:rStyle w:val="Text7"/>
        </w:rPr>
        <w:t xml:space="preserve">,</w:t>
        <w:br w:clear="none"/>
      </w:r>
      <w:r>
        <w:rPr>
          <w:rStyle w:val="Text6"/>
        </w:rPr>
        <w:t xml:space="preserve"> </w:t>
        <w:br w:clear="none"/>
      </w:r>
      <w:r>
        <w:rPr>
          <w:rStyle w:val="Text9"/>
        </w:rPr>
        <w:t xml:space="preserve">y</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y</w:t>
        <w:br w:clear="none"/>
      </w:r>
      <w:r>
        <w:rPr>
          <w:rStyle w:val="Text13"/>
        </w:rPr>
        <w:t xml:space="preserve">==</w:t>
        <w:br w:clear="none"/>
      </w:r>
      <w:r>
        <w:rPr>
          <w:rStyle w:val="Text27"/>
        </w:rPr>
        <w:t xml:space="preserve">0</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Divide-by-0 attempt detected</w:t>
        <w:br w:clear="none"/>
        <w:t xml:space="preserve">'</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return</w:t>
        <w:br w:clear="none"/>
      </w:r>
      <w:r>
        <w:rPr>
          <w:rStyle w:val="Text29"/>
        </w:rPr>
        <w:t xml:space="preserve"> </w:t>
        <w:br w:clear="none"/>
      </w:r>
      <w:r>
        <w:rPr>
          <w:rStyle w:val="Text10"/>
        </w:rPr>
        <w:t xml:space="preserve">None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9"/>
        </w:rPr>
        <w:t xml:space="preserve">x</w:t>
        <w:br w:clear="none"/>
      </w:r>
      <w:r>
        <w:rPr>
          <w:rStyle w:val="Text13"/>
        </w:rPr>
        <w:t xml:space="preserve">/</w:t>
        <w:br w:clear="none"/>
      </w:r>
      <w:r>
        <w:rPr>
          <w:rStyle w:val="Text9"/>
        </w:rPr>
        <w:t xml:space="preserve">y</w:t>
        <w:br w:clear="none"/>
      </w:r>
    </w:p>
    <w:p>
      <w:pPr>
        <w:pStyle w:val="Normal"/>
      </w:pPr>
      <w:r>
        <w:t>With LBYL, the checks come first, and the mainstream case is somewhat hidden at the end of the function.</w:t>
      </w:r>
    </w:p>
    <w:p>
      <w:pPr>
        <w:pStyle w:val="Normal"/>
      </w:pPr>
      <w:r>
        <w:t>Here is the equivalent function using the EAFP idiom:</w:t>
      </w:r>
    </w:p>
    <w:p>
      <w:pPr>
        <w:pStyle w:val="Para 020"/>
      </w:pPr>
      <w:r>
        <w:rPr>
          <w:rStyle w:val="Text23"/>
        </w:rPr>
        <w:t xml:space="preserve"/>
        <w:br w:clear="none"/>
      </w:r>
      <w:r>
        <w:rPr>
          <w:rStyle w:val="Text10"/>
        </w:rPr>
        <w:t xml:space="preserve">def</w:t>
        <w:br w:clear="none"/>
      </w:r>
      <w:r>
        <w:rPr>
          <w:rStyle w:val="Text6"/>
        </w:rPr>
        <w:t xml:space="preserve"> </w:t>
        <w:br w:clear="none"/>
      </w:r>
      <w:r>
        <w:rPr>
          <w:rStyle w:val="Text18"/>
        </w:rPr>
        <w:t xml:space="preserve">safe_divide_2</w:t>
        <w:br w:clear="none"/>
      </w:r>
      <w:r>
        <w:rPr>
          <w:rStyle w:val="Text7"/>
        </w:rPr>
        <w:t xml:space="preserve">(</w:t>
        <w:br w:clear="none"/>
      </w:r>
      <w:r>
        <w:rPr>
          <w:rStyle w:val="Text9"/>
        </w:rPr>
        <w:t xml:space="preserve">x</w:t>
        <w:br w:clear="none"/>
      </w:r>
      <w:r>
        <w:rPr>
          <w:rStyle w:val="Text7"/>
        </w:rPr>
        <w:t xml:space="preserve">,</w:t>
        <w:br w:clear="none"/>
      </w:r>
      <w:r>
        <w:rPr>
          <w:rStyle w:val="Text6"/>
        </w:rPr>
        <w:t xml:space="preserve"> </w:t>
        <w:br w:clear="none"/>
      </w:r>
      <w:r>
        <w:rPr>
          <w:rStyle w:val="Text9"/>
        </w:rPr>
        <w:t xml:space="preserve">y</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9"/>
        </w:rPr>
        <w:t xml:space="preserve">x</w:t>
        <w:br w:clear="none"/>
      </w:r>
      <w:r>
        <w:rPr>
          <w:rStyle w:val="Text13"/>
        </w:rPr>
        <w:t xml:space="preserve">/</w:t>
        <w:br w:clear="none"/>
      </w:r>
      <w:r>
        <w:rPr>
          <w:rStyle w:val="Text9"/>
        </w:rPr>
        <w:t xml:space="preserve">y</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ZeroDivisionError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Divide-by-0 attempt detected</w:t>
        <w:br w:clear="none"/>
        <w:t xml:space="preserve">'</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return</w:t>
        <w:br w:clear="none"/>
      </w:r>
      <w:r>
        <w:rPr>
          <w:rStyle w:val="Text29"/>
        </w:rPr>
        <w:t xml:space="preserve"> </w:t>
        <w:br w:clear="none"/>
      </w:r>
      <w:r>
        <w:rPr>
          <w:rStyle w:val="Text10"/>
        </w:rPr>
        <w:t xml:space="preserve">None</w:t>
        <w:br w:clear="none"/>
      </w:r>
    </w:p>
    <w:p>
      <w:pPr>
        <w:pStyle w:val="Normal"/>
      </w:pPr>
      <w:r>
        <w:t xml:space="preserve">With EAFP, the mainstream case is up front in a </w:t>
      </w:r>
      <w:r>
        <w:rPr>
          <w:rStyle w:val="Text5"/>
        </w:rPr>
        <w:t>try</w:t>
      </w:r>
      <w:r>
        <w:t xml:space="preserve"> clause, and the anomalies are handled in the following </w:t>
      </w:r>
      <w:r>
        <w:rPr>
          <w:rStyle w:val="Text5"/>
        </w:rPr>
        <w:t>except</w:t>
      </w:r>
      <w:r>
        <w:t xml:space="preserve"> clause, making the whole function easier to read and understand.</w:t>
      </w:r>
    </w:p>
    <w:p>
      <w:pPr>
        <w:pStyle w:val="Normal"/>
      </w:pPr>
      <w:r>
        <w:t xml:space="preserve">EAFP is a good error-handling strategy, but it is not a panacea. In particular, you must take care not to cast too wide a net, catching errors that you did not expect and therefore did not mean to catch. The following is a typical case of such a risk (we cover built-in function </w:t>
      </w:r>
      <w:r>
        <w:rPr>
          <w:rStyle w:val="Text0"/>
        </w:rPr>
        <w:t>getattr</w:t>
      </w:r>
      <w:r>
        <w:t xml:space="preserve"> in </w:t>
      </w:r>
      <w:hyperlink w:anchor="Table_8_2__Python_s_core_built_i">
        <w:r>
          <w:rPr>
            <w:rStyle w:val="Text1"/>
          </w:rPr>
          <w:t>Table 8-2</w:t>
        </w:r>
      </w:hyperlink>
      <w:r>
        <w: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trycalling</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attrib</w:t>
        <w:br w:clear="none"/>
      </w:r>
      <w:r>
        <w:rPr>
          <w:rStyle w:val="Text7"/>
        </w:rPr>
        <w:t xml:space="preserve">,</w:t>
        <w:br w:clear="none"/>
      </w:r>
      <w:r>
        <w:rPr>
          <w:rStyle w:val="Text6"/>
        </w:rPr>
        <w:t xml:space="preserve"> </w:t>
        <w:br w:clear="none"/>
      </w:r>
      <w:r>
        <w:t xml:space="preserve">default</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getattr</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attrib</w:t>
        <w:br w:clear="none"/>
      </w:r>
      <w:r>
        <w:rPr>
          <w:rStyle w:val="Text7"/>
        </w:rPr>
        <w:t xml:space="preserve">)</w:t>
        <w:br w:clear="none"/>
        <w:t xml:space="preserve">(</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AttributeError</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default</w:t>
        <w:br w:clear="none"/>
      </w:r>
    </w:p>
    <w:p>
      <w:pPr>
        <w:pStyle w:val="Normal"/>
      </w:pPr>
      <w:r>
        <w:t xml:space="preserve">The intention of the </w:t>
      </w:r>
      <w:r>
        <w:rPr>
          <w:rStyle w:val="Text0"/>
        </w:rPr>
        <w:t>trycalling</w:t>
      </w:r>
      <w:r>
        <w:t xml:space="preserve"> function is to try calling a method named </w:t>
      </w:r>
      <w:r>
        <w:rPr>
          <w:rStyle w:val="Text3"/>
        </w:rPr>
        <w:t>attrib</w:t>
      </w:r>
      <w:r>
        <w:t xml:space="preserve"> on the object </w:t>
      </w:r>
      <w:r>
        <w:rPr>
          <w:rStyle w:val="Text3"/>
        </w:rPr>
        <w:t>obj</w:t>
      </w:r>
      <w:r>
        <w:t xml:space="preserve">, but to return </w:t>
      </w:r>
      <w:r>
        <w:rPr>
          <w:rStyle w:val="Text3"/>
        </w:rPr>
        <w:t>default</w:t>
      </w:r>
      <w:r>
        <w:t xml:space="preserve"> if </w:t>
      </w:r>
      <w:r>
        <w:rPr>
          <w:rStyle w:val="Text3"/>
        </w:rPr>
        <w:t>obj</w:t>
      </w:r>
      <w:r>
        <w:t xml:space="preserve"> has no method thus named. However, the function as coded does not do </w:t>
      </w:r>
      <w:r>
        <w:rPr>
          <w:rStyle w:val="Text4"/>
        </w:rPr>
        <w:t>just</w:t>
      </w:r>
      <w:r>
        <w:t xml:space="preserve"> that: it also accidentally hides any error case where an </w:t>
      </w:r>
      <w:r>
        <w:rPr>
          <w:rStyle w:val="Text0"/>
        </w:rPr>
        <w:t>AttributeError</w:t>
      </w:r>
      <w:r>
        <w:t xml:space="preserve"> is raised inside the sought-after method, silently returning </w:t>
      </w:r>
      <w:r>
        <w:rPr>
          <w:rStyle w:val="Text3"/>
        </w:rPr>
        <w:t>default</w:t>
      </w:r>
      <w:r>
        <w:t xml:space="preserve"> in those cases. This could easily hide bugs in other code. To do exactly what’s intended, the function must take a little bit more care: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trycalling</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attrib</w:t>
        <w:br w:clear="none"/>
      </w:r>
      <w:r>
        <w:rPr>
          <w:rStyle w:val="Text7"/>
        </w:rPr>
        <w:t xml:space="preserve">,</w:t>
        <w:br w:clear="none"/>
      </w:r>
      <w:r>
        <w:rPr>
          <w:rStyle w:val="Text6"/>
        </w:rPr>
        <w:t xml:space="preserve"> </w:t>
        <w:br w:clear="none"/>
      </w:r>
      <w:r>
        <w:t xml:space="preserve">default</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method</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getattr</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attrib</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AttributeError</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default</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method</w:t>
        <w:br w:clear="none"/>
      </w:r>
      <w:r>
        <w:rPr>
          <w:rStyle w:val="Text7"/>
        </w:rPr>
        <w:t xml:space="preserve">(</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r>
    </w:p>
    <w:p>
      <w:pPr>
        <w:pStyle w:val="Normal"/>
      </w:pPr>
      <w:r>
        <w:t xml:space="preserve">This implementation of </w:t>
      </w:r>
      <w:r>
        <w:rPr>
          <w:rStyle w:val="Text0"/>
        </w:rPr>
        <w:t>trycalling</w:t>
      </w:r>
      <w:r>
        <w:t xml:space="preserve"> separates the </w:t>
      </w:r>
      <w:r>
        <w:rPr>
          <w:rStyle w:val="Text0"/>
        </w:rPr>
        <w:t>getattr</w:t>
      </w:r>
      <w:r>
        <w:t xml:space="preserve"> call, placed in the </w:t>
      </w:r>
      <w:r>
        <w:rPr>
          <w:rStyle w:val="Text5"/>
        </w:rPr>
        <w:t>try</w:t>
      </w:r>
      <w:r>
        <w:t xml:space="preserve"> clause and therefore guarded by the handler in the </w:t>
      </w:r>
      <w:r>
        <w:rPr>
          <w:rStyle w:val="Text5"/>
        </w:rPr>
        <w:t>except</w:t>
      </w:r>
      <w:r>
        <w:t xml:space="preserve"> clause, from the call of the method, placed in the </w:t>
      </w:r>
      <w:r>
        <w:rPr>
          <w:rStyle w:val="Text5"/>
        </w:rPr>
        <w:t>else</w:t>
      </w:r>
      <w:r>
        <w:t xml:space="preserve"> clause and therefore free to propagate any exception. The proper approach to EAFP involves frequent use of the </w:t>
      </w:r>
      <w:r>
        <w:rPr>
          <w:rStyle w:val="Text5"/>
        </w:rPr>
        <w:t>else</w:t>
      </w:r>
      <w:r>
        <w:t xml:space="preserve"> clause in </w:t>
      </w:r>
      <w:r>
        <w:rPr>
          <w:rStyle w:val="Text5"/>
        </w:rPr>
        <w:t>try</w:t>
      </w:r>
      <w:r>
        <w:rPr>
          <w:rStyle w:val="Text0"/>
        </w:rPr>
        <w:t>/</w:t>
      </w:r>
      <w:r>
        <w:rPr>
          <w:rStyle w:val="Text5"/>
        </w:rPr>
        <w:t>except</w:t>
      </w:r>
      <w:r>
        <w:t xml:space="preserve"> statements (which is more explicit, and thus better Python style, than just placing the nonguarded code after the whole </w:t>
      </w:r>
      <w:r>
        <w:rPr>
          <w:rStyle w:val="Text5"/>
        </w:rPr>
        <w:t>try</w:t>
      </w:r>
      <w:r>
        <w:rPr>
          <w:rStyle w:val="Text0"/>
        </w:rPr>
        <w:t>/</w:t>
      </w:r>
      <w:r>
        <w:rPr>
          <w:rStyle w:val="Text5"/>
        </w:rPr>
        <w:t>except</w:t>
      </w:r>
      <w:r>
        <w:t xml:space="preserve"> statement).</w:t>
      </w:r>
    </w:p>
    <w:p>
      <w:bookmarkStart w:id="1842" w:name="Handling_Errors_in_Large_Program"/>
      <w:pPr>
        <w:keepNext/>
        <w:pStyle w:val="Heading 2"/>
      </w:pPr>
      <w:r>
        <w:t>Handling Errors in Large Programs</w:t>
      </w:r>
      <w:bookmarkEnd w:id="1842"/>
    </w:p>
    <w:p>
      <w:pPr>
        <w:pStyle w:val="Normal"/>
      </w:pPr>
      <w:r>
        <w:t>In</w:t>
      </w:r>
      <w:r>
        <w:rPr>
          <w:rStyle w:val="Text111"/>
        </w:rPr>
        <w:bookmarkStart w:id="1843" w:name="idm45965255491568"/>
        <w:t/>
        <w:bookmarkEnd w:id="1843"/>
      </w:r>
      <w:r>
        <w:t xml:space="preserve"> large programs, it is especially easy to err by making your </w:t>
      </w:r>
      <w:r>
        <w:rPr>
          <w:rStyle w:val="Text5"/>
        </w:rPr>
        <w:t>try</w:t>
      </w:r>
      <w:r>
        <w:rPr>
          <w:rStyle w:val="Text0"/>
        </w:rPr>
        <w:t>/</w:t>
      </w:r>
      <w:r>
        <w:rPr>
          <w:rStyle w:val="Text5"/>
        </w:rPr>
        <w:t>except</w:t>
      </w:r>
      <w:r>
        <w:t xml:space="preserve"> statements too broad, particularly once you have convinced yourself of the power of EAFP as a general error-checking strategy. A </w:t>
      </w:r>
      <w:r>
        <w:rPr>
          <w:rStyle w:val="Text5"/>
        </w:rPr>
        <w:t>try</w:t>
      </w:r>
      <w:r>
        <w:rPr>
          <w:rStyle w:val="Text0"/>
        </w:rPr>
        <w:t>/</w:t>
      </w:r>
      <w:r>
        <w:rPr>
          <w:rStyle w:val="Text5"/>
        </w:rPr>
        <w:t>except</w:t>
      </w:r>
      <w:r>
        <w:t xml:space="preserve"> combination is too broad when it catches too many different errors, or an error that can occur in too many different places. The latter is a problem when you need to distinguish exactly what went wrong and where, and the information in the traceback is not sufficient to pinpoint such details (or you discard some or all of the information in the traceback). For effective error handling, you have to keep a clear distinction between errors and anomalies that you expect (and thus know how to handle) and unexpected errors and anomalies that may indicate a bug in your program.</w:t>
      </w:r>
    </w:p>
    <w:p>
      <w:pPr>
        <w:pStyle w:val="Normal"/>
      </w:pPr>
      <w:r>
        <w:t>Some errors and anomalies are not really erroneous, and perhaps not even all that anomalous: they are just special “edge” cases, perhaps somewhat rare but nevertheless quite expected, which you choose to handle via EAFP rather than via LBYL to avoid LBYL’s many intrinsic defects. In such cases, you should just handle the anomaly, often without even logging or reporting it.</w:t>
      </w:r>
    </w:p>
    <w:p>
      <w:pPr>
        <w:keepNext/>
        <w:pStyle w:val="Heading 6"/>
        <w:keepLines w:val="on"/>
      </w:pPr>
      <w:r>
        <w:t>Keep Your try/except Constructs Narrow</w:t>
      </w:r>
    </w:p>
    <w:p>
      <w:pPr>
        <w:pStyle w:val="Para 012"/>
        <w:keepLines w:val="on"/>
      </w:pPr>
      <w:r>
        <w:t xml:space="preserve">Be very careful to keep </w:t>
      </w:r>
      <w:r>
        <w:rPr>
          <w:rStyle w:val="Text5"/>
        </w:rPr>
        <w:t>try</w:t>
      </w:r>
      <w:r>
        <w:rPr>
          <w:rStyle w:val="Text0"/>
        </w:rPr>
        <w:t>/</w:t>
      </w:r>
      <w:r>
        <w:rPr>
          <w:rStyle w:val="Text5"/>
        </w:rPr>
        <w:t>except</w:t>
      </w:r>
      <w:r>
        <w:t xml:space="preserve"> constructs as narrow as feasible. Use a small </w:t>
      </w:r>
      <w:r>
        <w:rPr>
          <w:rStyle w:val="Text5"/>
        </w:rPr>
        <w:t>try</w:t>
      </w:r>
      <w:r>
        <w:t xml:space="preserve"> clause that contains a small amount of code that doesn’t call too many other functions, and use very specific exception class tuples in the </w:t>
      </w:r>
      <w:r>
        <w:rPr>
          <w:rStyle w:val="Text5"/>
        </w:rPr>
        <w:t>except</w:t>
      </w:r>
      <w:r>
        <w:t xml:space="preserve"> clauses. If need be, further analyze the details of the exception in your handler code, and </w:t>
      </w:r>
      <w:r>
        <w:rPr>
          <w:rStyle w:val="Text5"/>
        </w:rPr>
        <w:t>raise</w:t>
      </w:r>
      <w:r>
        <w:t xml:space="preserve"> again as soon as you know it’s not a case this handler can deal with.</w:t>
      </w:r>
    </w:p>
    <w:p>
      <w:pPr>
        <w:pStyle w:val="Normal"/>
      </w:pPr>
      <w:r>
        <w:t xml:space="preserve">Errors and anomalies that depend on user input or other external conditions not under your control are always expected, precisely because you have no control over their underlying causes. In such cases, you should concentrate your effort on handling the anomaly gracefully, reporting and logging its exact nature and details, and keeping your program running with undamaged internal and persistent state. Your </w:t>
      </w:r>
      <w:r>
        <w:rPr>
          <w:rStyle w:val="Text5"/>
        </w:rPr>
        <w:t>try</w:t>
      </w:r>
      <w:r>
        <w:rPr>
          <w:rStyle w:val="Text0"/>
        </w:rPr>
        <w:t>/</w:t>
      </w:r>
      <w:r>
        <w:rPr>
          <w:rStyle w:val="Text5"/>
        </w:rPr>
        <w:t>except</w:t>
      </w:r>
      <w:r>
        <w:t xml:space="preserve"> clauses should still be reasonably narrow, although this is not quite as crucial as when you use EAFP to structure your handling of not-really-erroneous special/edge cases.</w:t>
      </w:r>
    </w:p>
    <w:p>
      <w:pPr>
        <w:pStyle w:val="Normal"/>
      </w:pPr>
      <w:r>
        <w:t xml:space="preserve">Lastly, entirely unexpected errors and anomalies indicate bugs in your program’s design or coding. In most cases, the best strategy regarding such errors is to avoid </w:t>
      </w:r>
      <w:r>
        <w:rPr>
          <w:rStyle w:val="Text5"/>
        </w:rPr>
        <w:t>try</w:t>
      </w:r>
      <w:r>
        <w:rPr>
          <w:rStyle w:val="Text0"/>
        </w:rPr>
        <w:t>/</w:t>
      </w:r>
      <w:r>
        <w:rPr>
          <w:rStyle w:val="Text5"/>
        </w:rPr>
        <w:t>except</w:t>
      </w:r>
      <w:r>
        <w:t xml:space="preserve"> and just let the program terminate with error and traceback messages. (You might want to log such information and/or display it more suitably with an application-specific hook in </w:t>
      </w:r>
      <w:r>
        <w:rPr>
          <w:rStyle w:val="Text0"/>
        </w:rPr>
        <w:t>sys.excepthook</w:t>
      </w:r>
      <w:r>
        <w:t xml:space="preserve">, as we’ll discuss shortly.) In the unlikely case that your program must keep running at all costs, even under dire circumstances, </w:t>
      </w:r>
      <w:r>
        <w:rPr>
          <w:rStyle w:val="Text5"/>
        </w:rPr>
        <w:t>try</w:t>
      </w:r>
      <w:r>
        <w:rPr>
          <w:rStyle w:val="Text0"/>
        </w:rPr>
        <w:t>/</w:t>
      </w:r>
      <w:r>
        <w:rPr>
          <w:rStyle w:val="Text5"/>
        </w:rPr>
        <w:t>except</w:t>
      </w:r>
      <w:r>
        <w:t xml:space="preserve"> statements that are quite wide may be appropriate, with the </w:t>
      </w:r>
      <w:r>
        <w:rPr>
          <w:rStyle w:val="Text5"/>
        </w:rPr>
        <w:t>try</w:t>
      </w:r>
      <w:r>
        <w:t xml:space="preserve"> clause guarding function calls that exercise vast swaths of program functionality, and broad </w:t>
      </w:r>
      <w:r>
        <w:rPr>
          <w:rStyle w:val="Text5"/>
        </w:rPr>
        <w:t>except</w:t>
      </w:r>
      <w:r>
        <w:t xml:space="preserve"> clauses.</w:t>
      </w:r>
    </w:p>
    <w:p>
      <w:pPr>
        <w:pStyle w:val="Normal"/>
      </w:pPr>
      <w:r>
        <w:t>In the case of a long-running program, make sure to log all details of the anomaly or error to some persistent place for later study (and also report to yourself some indication of the problem, so that you know such later study is necessary). The key is making sure that you can revert the program’s persistent state to some undamaged, internally consistent point. The techniques that enable long-running programs to survive some of their own bugs, as well as environmental adversities, are known as</w:t>
      </w:r>
      <w:r>
        <w:rPr>
          <w:rStyle w:val="Text111"/>
        </w:rPr>
        <w:bookmarkStart w:id="1844" w:name="idm45965255470720"/>
        <w:t/>
        <w:bookmarkEnd w:id="1844"/>
      </w:r>
      <w:r>
        <w:t xml:space="preserve"> </w:t>
      </w:r>
      <w:hyperlink r:id="rId274">
        <w:r>
          <w:rPr>
            <w:rStyle w:val="Text1"/>
          </w:rPr>
          <w:t>checkpointing</w:t>
        </w:r>
      </w:hyperlink>
      <w:r>
        <w:t xml:space="preserve"> (basically, periodically saving program state, and writing the program so it can reload the saved state and continue from there) and</w:t>
      </w:r>
      <w:r>
        <w:rPr>
          <w:rStyle w:val="Text111"/>
        </w:rPr>
        <w:bookmarkStart w:id="1845" w:name="idm45965255468768"/>
        <w:t/>
        <w:bookmarkEnd w:id="1845"/>
      </w:r>
      <w:r>
        <w:t xml:space="preserve"> </w:t>
      </w:r>
      <w:hyperlink r:id="rId275">
        <w:r>
          <w:rPr>
            <w:rStyle w:val="Text1"/>
          </w:rPr>
          <w:t>transaction processing</w:t>
        </w:r>
      </w:hyperlink>
      <w:r>
        <w:t>; we do not cover them further in this book.</w:t>
      </w:r>
    </w:p>
    <w:p>
      <w:bookmarkStart w:id="1846" w:name="Logging_Errors__When_Python_prop"/>
      <w:pPr>
        <w:keepNext/>
        <w:pStyle w:val="Heading 2"/>
      </w:pPr>
      <w:r>
        <w:t>Logging Errors</w:t>
      </w:r>
      <w:bookmarkEnd w:id="1846"/>
    </w:p>
    <w:p>
      <w:pPr>
        <w:pStyle w:val="Normal"/>
      </w:pPr>
      <w:r>
        <w:t>When</w:t>
      </w:r>
      <w:r>
        <w:rPr>
          <w:rStyle w:val="Text111"/>
        </w:rPr>
        <w:bookmarkStart w:id="1847" w:name="ECSlog06"/>
        <w:t/>
        <w:bookmarkEnd w:id="1847"/>
        <w:bookmarkStart w:id="1848" w:name="Lerror06"/>
        <w:t/>
        <w:bookmarkEnd w:id="1848"/>
      </w:r>
      <w:r>
        <w:t xml:space="preserve"> Python propagates an exception all the way to the top of the stack without finding an applicable handler, the interpreter normally prints an error traceback to the standard error stream of the process (</w:t>
      </w:r>
      <w:r>
        <w:rPr>
          <w:rStyle w:val="Text0"/>
        </w:rPr>
        <w:t>sys.stderr</w:t>
      </w:r>
      <w:r>
        <w:t xml:space="preserve">) before terminating the program. You can rebind </w:t>
      </w:r>
      <w:r>
        <w:rPr>
          <w:rStyle w:val="Text0"/>
        </w:rPr>
        <w:t>sys.stderr</w:t>
      </w:r>
      <w:r>
        <w:t xml:space="preserve"> to any file-like object usable for output in order to divert this information to a destination more suitable for your purposes.</w:t>
      </w:r>
    </w:p>
    <w:p>
      <w:pPr>
        <w:pStyle w:val="Normal"/>
      </w:pPr>
      <w:r>
        <w:t xml:space="preserve">When you want to change the amount and kind of information output on such occasions, rebinding </w:t>
      </w:r>
      <w:r>
        <w:rPr>
          <w:rStyle w:val="Text0"/>
        </w:rPr>
        <w:t>sys.stderr</w:t>
      </w:r>
      <w:r>
        <w:t xml:space="preserve"> is not sufficient. In such cases, you can assign your own function to </w:t>
      </w:r>
      <w:r>
        <w:rPr>
          <w:rStyle w:val="Text0"/>
        </w:rPr>
        <w:t>sys.excepthook</w:t>
      </w:r>
      <w:r>
        <w:t xml:space="preserve">: Python calls it when terminating the program due to an unhandled exception. In your exception-reporting function, output whatever information will help you diagnose and debug the problem and direct that information to whatever destinations you please. For example, you might use the </w:t>
      </w:r>
      <w:r>
        <w:rPr>
          <w:rStyle w:val="Text0"/>
        </w:rPr>
        <w:t>traceback</w:t>
      </w:r>
      <w:r>
        <w:t xml:space="preserve"> module (covered in </w:t>
      </w:r>
      <w:hyperlink w:anchor="The_traceback_Module__The_traceb">
        <w:r>
          <w:rPr>
            <w:rStyle w:val="Text1"/>
          </w:rPr>
          <w:t>“The traceback Module”</w:t>
        </w:r>
      </w:hyperlink>
      <w:r>
        <w:t>) to format stack traces. When your exception-reporting function terminates, so does your program.</w:t>
      </w:r>
    </w:p>
    <w:p>
      <w:bookmarkStart w:id="1849" w:name="The_logging_module__The_Python_s"/>
      <w:pPr>
        <w:keepNext/>
        <w:pStyle w:val="Heading 2"/>
      </w:pPr>
      <w:r>
        <w:t>The logging module</w:t>
      </w:r>
      <w:bookmarkEnd w:id="1849"/>
    </w:p>
    <w:p>
      <w:pPr>
        <w:pStyle w:val="Normal"/>
      </w:pPr>
      <w:r>
        <w:t>The Python standard library offers the rich and powerful</w:t>
      </w:r>
      <w:r>
        <w:rPr>
          <w:rStyle w:val="Text111"/>
        </w:rPr>
        <w:bookmarkStart w:id="1850" w:name="idm45965255454000"/>
        <w:t/>
        <w:bookmarkEnd w:id="1850"/>
        <w:bookmarkStart w:id="1851" w:name="idm45965255452624"/>
        <w:t/>
        <w:bookmarkEnd w:id="1851"/>
      </w:r>
      <w:r>
        <w:t xml:space="preserve"> </w:t>
      </w:r>
      <w:r>
        <w:rPr>
          <w:rStyle w:val="Text0"/>
        </w:rPr>
        <w:t>logging</w:t>
      </w:r>
      <w:r>
        <w:t xml:space="preserve"> module to let you organize the logging of messages from your applications in systematic, flexible ways. Pushing things to the limit, you might write a whole hierarchy of </w:t>
      </w:r>
      <w:r>
        <w:rPr>
          <w:rStyle w:val="Text0"/>
        </w:rPr>
        <w:t>Logger</w:t>
      </w:r>
      <w:r>
        <w:t xml:space="preserve"> classes and subclasses; you could couple the loggers with instances of </w:t>
      </w:r>
      <w:r>
        <w:rPr>
          <w:rStyle w:val="Text0"/>
        </w:rPr>
        <w:t>Handler</w:t>
      </w:r>
      <w:r>
        <w:t xml:space="preserve"> (and subclasses thereof), or insert instances of the class </w:t>
      </w:r>
      <w:r>
        <w:rPr>
          <w:rStyle w:val="Text0"/>
        </w:rPr>
        <w:t>Filter</w:t>
      </w:r>
      <w:r>
        <w:t xml:space="preserve"> to fine-tune criteria determining what messages get logged in which ways.</w:t>
      </w:r>
    </w:p>
    <w:p>
      <w:pPr>
        <w:pStyle w:val="Normal"/>
      </w:pPr>
      <w:r>
        <w:t xml:space="preserve">Messages are formatted by instances of the </w:t>
      </w:r>
      <w:r>
        <w:rPr>
          <w:rStyle w:val="Text0"/>
        </w:rPr>
        <w:t>Formatter</w:t>
      </w:r>
      <w:r>
        <w:t xml:space="preserve"> class—the messages themselves are instances of the </w:t>
      </w:r>
      <w:r>
        <w:rPr>
          <w:rStyle w:val="Text0"/>
        </w:rPr>
        <w:t>LogRecord</w:t>
      </w:r>
      <w:r>
        <w:t xml:space="preserve"> class. The </w:t>
      </w:r>
      <w:r>
        <w:rPr>
          <w:rStyle w:val="Text0"/>
        </w:rPr>
        <w:t>logging</w:t>
      </w:r>
      <w:r>
        <w:t xml:space="preserve"> module even includes a dynamic configuration facility, whereby you may dynamically set logging configuration files by reading them from disk files, or even by receiving them on a dedicated socket in a specialized thread.</w:t>
      </w:r>
    </w:p>
    <w:p>
      <w:pPr>
        <w:pStyle w:val="Normal"/>
      </w:pPr>
      <w:r>
        <w:t xml:space="preserve">While the </w:t>
      </w:r>
      <w:r>
        <w:rPr>
          <w:rStyle w:val="Text0"/>
        </w:rPr>
        <w:t>logging</w:t>
      </w:r>
      <w:r>
        <w:t xml:space="preserve"> module sports a frighteningly complex and powerful architecture, suitable for implementing highly sophisticated logging strategies and policies that may be needed in vast and complicated software systems, in most applications you might get away with using a tiny subset of the package. First, </w:t>
      </w:r>
      <w:r>
        <w:rPr>
          <w:rStyle w:val="Text5"/>
        </w:rPr>
        <w:t>import</w:t>
      </w:r>
      <w:r>
        <w:t xml:space="preserve"> </w:t>
      </w:r>
      <w:r>
        <w:rPr>
          <w:rStyle w:val="Text0"/>
        </w:rPr>
        <w:t>logging</w:t>
      </w:r>
      <w:r>
        <w:t xml:space="preserve">. Then, emit your message by passing it as a string to any of the module’s functions </w:t>
      </w:r>
      <w:r>
        <w:rPr>
          <w:rStyle w:val="Text0"/>
        </w:rPr>
        <w:t>debug</w:t>
      </w:r>
      <w:r>
        <w:t xml:space="preserve">, </w:t>
      </w:r>
      <w:r>
        <w:rPr>
          <w:rStyle w:val="Text0"/>
        </w:rPr>
        <w:t>info</w:t>
      </w:r>
      <w:r>
        <w:t xml:space="preserve">, </w:t>
      </w:r>
      <w:r>
        <w:rPr>
          <w:rStyle w:val="Text0"/>
        </w:rPr>
        <w:t>warning</w:t>
      </w:r>
      <w:r>
        <w:t xml:space="preserve">, </w:t>
      </w:r>
      <w:r>
        <w:rPr>
          <w:rStyle w:val="Text0"/>
        </w:rPr>
        <w:t>error</w:t>
      </w:r>
      <w:r>
        <w:t xml:space="preserve">, or </w:t>
      </w:r>
      <w:r>
        <w:rPr>
          <w:rStyle w:val="Text0"/>
        </w:rPr>
        <w:t>critical</w:t>
      </w:r>
      <w:r>
        <w:t>, in increasing order of severity. If</w:t>
      </w:r>
      <w:r>
        <w:rPr>
          <w:rStyle w:val="Text111"/>
        </w:rPr>
        <w:bookmarkStart w:id="1852" w:name="idm45965255439360"/>
        <w:t/>
        <w:bookmarkEnd w:id="1852"/>
        <w:bookmarkStart w:id="1853" w:name="idm45965255437984"/>
        <w:t/>
        <w:bookmarkEnd w:id="1853"/>
      </w:r>
      <w:r>
        <w:t xml:space="preserve"> the string you pass contains format specifiers such as </w:t>
      </w:r>
      <w:r>
        <w:rPr>
          <w:rStyle w:val="Text0"/>
        </w:rPr>
        <w:t>%s</w:t>
      </w:r>
      <w:r>
        <w:t xml:space="preserve"> (as covered in </w:t>
      </w:r>
      <w:hyperlink w:anchor="Legacy_String_Formatting_with">
        <w:r>
          <w:rPr>
            <w:rStyle w:val="Text1"/>
          </w:rPr>
          <w:t>“Legacy String Formatting with %”</w:t>
        </w:r>
      </w:hyperlink>
      <w:r>
        <w:t>), then, after the string, pass as further arguments all the values to be formatted in that string. For example, don’t call:</w:t>
      </w:r>
    </w:p>
    <w:p>
      <w:pPr>
        <w:pStyle w:val="Para 007"/>
      </w:pPr>
      <w:r>
        <w:rPr>
          <w:rStyle w:val="Text23"/>
        </w:rPr>
        <w:t xml:space="preserve"/>
        <w:br w:clear="none"/>
      </w:r>
      <w:r>
        <w:t xml:space="preserve">logging</w:t>
        <w:br w:clear="none"/>
      </w:r>
      <w:r>
        <w:rPr>
          <w:rStyle w:val="Text13"/>
        </w:rPr>
        <w:t xml:space="preserve">.</w:t>
        <w:br w:clear="none"/>
      </w:r>
      <w:r>
        <w:t xml:space="preserve">debug</w:t>
        <w:br w:clear="none"/>
      </w:r>
      <w:r>
        <w:rPr>
          <w:rStyle w:val="Text7"/>
        </w:rPr>
        <w:t xml:space="preserve">(</w:t>
        <w:br w:clear="none"/>
      </w:r>
      <w:r>
        <w:rPr>
          <w:rStyle w:val="Text8"/>
        </w:rPr>
        <w:t xml:space="preserve">'foo is </w:t>
        <w:br w:clear="none"/>
      </w:r>
      <w:r>
        <w:rPr>
          <w:rStyle w:val="Text32"/>
        </w:rPr>
        <w:t xml:space="preserve">%r</w:t>
        <w:br w:clear="none"/>
      </w:r>
      <w:r>
        <w:rPr>
          <w:rStyle w:val="Text8"/>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foo</w:t>
        <w:br w:clear="none"/>
      </w:r>
      <w:r>
        <w:rPr>
          <w:rStyle w:val="Text7"/>
        </w:rPr>
        <w:t xml:space="preserve">)</w:t>
        <w:br w:clear="none"/>
      </w:r>
    </w:p>
    <w:p>
      <w:pPr>
        <w:pStyle w:val="Normal"/>
      </w:pPr>
      <w:r>
        <w:t>which performs the formatting operation whether it’s needed or not; rather, call:</w:t>
      </w:r>
    </w:p>
    <w:p>
      <w:pPr>
        <w:pStyle w:val="Para 007"/>
      </w:pPr>
      <w:r>
        <w:rPr>
          <w:rStyle w:val="Text23"/>
        </w:rPr>
        <w:t xml:space="preserve"/>
        <w:br w:clear="none"/>
      </w:r>
      <w:r>
        <w:t xml:space="preserve">logging</w:t>
        <w:br w:clear="none"/>
      </w:r>
      <w:r>
        <w:rPr>
          <w:rStyle w:val="Text13"/>
        </w:rPr>
        <w:t xml:space="preserve">.</w:t>
        <w:br w:clear="none"/>
      </w:r>
      <w:r>
        <w:t xml:space="preserve">debug</w:t>
        <w:br w:clear="none"/>
      </w:r>
      <w:r>
        <w:rPr>
          <w:rStyle w:val="Text7"/>
        </w:rPr>
        <w:t xml:space="preserve">(</w:t>
        <w:br w:clear="none"/>
      </w:r>
      <w:r>
        <w:rPr>
          <w:rStyle w:val="Text8"/>
        </w:rPr>
        <w:t xml:space="preserve">'foo is </w:t>
        <w:br w:clear="none"/>
      </w:r>
      <w:r>
        <w:rPr>
          <w:rStyle w:val="Text32"/>
        </w:rPr>
        <w:t xml:space="preserve">%r</w:t>
        <w:br w:clear="none"/>
      </w:r>
      <w:r>
        <w:rPr>
          <w:rStyle w:val="Text8"/>
        </w:rPr>
        <w:t xml:space="preserve">'</w:t>
        <w:br w:clear="none"/>
      </w:r>
      <w:r>
        <w:rPr>
          <w:rStyle w:val="Text7"/>
        </w:rPr>
        <w:t xml:space="preserve">,</w:t>
        <w:br w:clear="none"/>
      </w:r>
      <w:r>
        <w:rPr>
          <w:rStyle w:val="Text23"/>
        </w:rPr>
        <w:t xml:space="preserve"> </w:t>
        <w:br w:clear="none"/>
      </w:r>
      <w:r>
        <w:t xml:space="preserve">foo</w:t>
        <w:br w:clear="none"/>
      </w:r>
      <w:r>
        <w:rPr>
          <w:rStyle w:val="Text7"/>
        </w:rPr>
        <w:t xml:space="preserve">)</w:t>
        <w:br w:clear="none"/>
      </w:r>
    </w:p>
    <w:p>
      <w:pPr>
        <w:pStyle w:val="Normal"/>
      </w:pPr>
      <w:r>
        <w:t xml:space="preserve">which performs formatting if and only if needed (i.e., if and only if calling debug is going to result in logging output, depending on the current threshold logging level). If </w:t>
      </w:r>
      <w:r>
        <w:rPr>
          <w:rStyle w:val="Text0"/>
        </w:rPr>
        <w:t>foo</w:t>
      </w:r>
      <w:r>
        <w:t xml:space="preserve"> is used only for logging and is especially compute- or I/O-intensive to create, you can use </w:t>
      </w:r>
      <w:r>
        <w:rPr>
          <w:rStyle w:val="Text0"/>
        </w:rPr>
        <w:t>isEnabledFor</w:t>
      </w:r>
      <w:r>
        <w:t xml:space="preserve"> to conditionalize the expensive code that creates </w:t>
      </w:r>
      <w:r>
        <w:rPr>
          <w:rStyle w:val="Text0"/>
        </w:rPr>
        <w:t>foo</w:t>
      </w:r>
      <w:r>
        <w:t>:</w:t>
      </w:r>
    </w:p>
    <w:p>
      <w:pPr>
        <w:pStyle w:val="Para 007"/>
      </w:pPr>
      <w:r>
        <w:rPr>
          <w:rStyle w:val="Text23"/>
        </w:rPr>
        <w:t xml:space="preserve"/>
        <w:br w:clear="none"/>
      </w:r>
      <w:r>
        <w:rPr>
          <w:rStyle w:val="Text10"/>
        </w:rPr>
        <w:t xml:space="preserve">if</w:t>
        <w:br w:clear="none"/>
      </w:r>
      <w:r>
        <w:rPr>
          <w:rStyle w:val="Text6"/>
        </w:rPr>
        <w:t xml:space="preserve"> </w:t>
        <w:br w:clear="none"/>
      </w:r>
      <w:r>
        <w:t xml:space="preserve">logging</w:t>
        <w:br w:clear="none"/>
      </w:r>
      <w:r>
        <w:rPr>
          <w:rStyle w:val="Text13"/>
        </w:rPr>
        <w:t xml:space="preserve">.</w:t>
        <w:br w:clear="none"/>
      </w:r>
      <w:r>
        <w:t xml:space="preserve">getLogger</w:t>
        <w:br w:clear="none"/>
      </w:r>
      <w:r>
        <w:rPr>
          <w:rStyle w:val="Text7"/>
        </w:rPr>
        <w:t xml:space="preserve">(</w:t>
        <w:br w:clear="none"/>
        <w:t xml:space="preserve">)</w:t>
        <w:br w:clear="none"/>
      </w:r>
      <w:r>
        <w:rPr>
          <w:rStyle w:val="Text13"/>
        </w:rPr>
        <w:t xml:space="preserve">.</w:t>
        <w:br w:clear="none"/>
      </w:r>
      <w:r>
        <w:t xml:space="preserve">isEnabledFor</w:t>
        <w:br w:clear="none"/>
      </w:r>
      <w:r>
        <w:rPr>
          <w:rStyle w:val="Text7"/>
        </w:rPr>
        <w:t xml:space="preserve">(</w:t>
        <w:br w:clear="none"/>
      </w:r>
      <w:r>
        <w:t xml:space="preserve">logging</w:t>
        <w:br w:clear="none"/>
      </w:r>
      <w:r>
        <w:rPr>
          <w:rStyle w:val="Text13"/>
        </w:rPr>
        <w:t xml:space="preserve">.</w:t>
        <w:br w:clear="none"/>
      </w:r>
      <w:r>
        <w:t xml:space="preserve">DEBUG</w:t>
        <w:br w:clear="none"/>
      </w:r>
      <w:r>
        <w:rPr>
          <w:rStyle w:val="Text7"/>
        </w:rPr>
        <w:t xml:space="preserve">)</w:t>
        <w:br w:clear="none"/>
        <w:t xml:space="preserve">:</w:t>
        <w:br w:clear="none"/>
      </w:r>
      <w:r>
        <w:rPr>
          <w:rStyle w:val="Text6"/>
        </w:rPr>
        <w:t xml:space="preserve"/>
        <w:br w:clear="none"/>
        <w:t xml:space="preserve">    </w:t>
        <w:br w:clear="none"/>
      </w:r>
      <w:r>
        <w:t xml:space="preserve">foo</w:t>
        <w:br w:clear="none"/>
      </w:r>
      <w:r>
        <w:rPr>
          <w:rStyle w:val="Text6"/>
        </w:rPr>
        <w:t xml:space="preserve"> </w:t>
        <w:br w:clear="none"/>
      </w:r>
      <w:r>
        <w:rPr>
          <w:rStyle w:val="Text13"/>
        </w:rPr>
        <w:t xml:space="preserve">=</w:t>
        <w:br w:clear="none"/>
      </w:r>
      <w:r>
        <w:rPr>
          <w:rStyle w:val="Text6"/>
        </w:rPr>
        <w:t xml:space="preserve"> </w:t>
        <w:br w:clear="none"/>
      </w:r>
      <w:r>
        <w:t xml:space="preserve">cpu_intensive_function</w:t>
        <w:br w:clear="none"/>
      </w:r>
      <w:r>
        <w:rPr>
          <w:rStyle w:val="Text7"/>
        </w:rPr>
        <w:t xml:space="preserve">(</w:t>
        <w:br w:clear="none"/>
        <w:t xml:space="preserve">)</w:t>
        <w:br w:clear="none"/>
      </w:r>
      <w:r>
        <w:rPr>
          <w:rStyle w:val="Text6"/>
        </w:rPr>
        <w:t xml:space="preserve"/>
        <w:br w:clear="none"/>
        <w:t xml:space="preserve">    </w:t>
        <w:br w:clear="none"/>
      </w:r>
      <w:r>
        <w:t xml:space="preserve">logging</w:t>
        <w:br w:clear="none"/>
      </w:r>
      <w:r>
        <w:rPr>
          <w:rStyle w:val="Text13"/>
        </w:rPr>
        <w:t xml:space="preserve">.</w:t>
        <w:br w:clear="none"/>
      </w:r>
      <w:r>
        <w:t xml:space="preserve">debug</w:t>
        <w:br w:clear="none"/>
      </w:r>
      <w:r>
        <w:rPr>
          <w:rStyle w:val="Text7"/>
        </w:rPr>
        <w:t xml:space="preserve">(</w:t>
        <w:br w:clear="none"/>
      </w:r>
      <w:r>
        <w:rPr>
          <w:rStyle w:val="Text8"/>
        </w:rPr>
        <w:t xml:space="preserve">'</w:t>
        <w:br w:clear="none"/>
        <w:t xml:space="preserve">foo is </w:t>
        <w:br w:clear="none"/>
      </w:r>
      <w:r>
        <w:rPr>
          <w:rStyle w:val="Text32"/>
        </w:rPr>
        <w:t xml:space="preserve">%r</w:t>
        <w:br w:clear="none"/>
      </w:r>
      <w:r>
        <w:rPr>
          <w:rStyle w:val="Text8"/>
        </w:rPr>
        <w:t xml:space="preserve">'</w:t>
        <w:br w:clear="none"/>
      </w:r>
      <w:r>
        <w:rPr>
          <w:rStyle w:val="Text7"/>
        </w:rPr>
        <w:t xml:space="preserve">,</w:t>
        <w:br w:clear="none"/>
      </w:r>
      <w:r>
        <w:rPr>
          <w:rStyle w:val="Text6"/>
        </w:rPr>
        <w:t xml:space="preserve"> </w:t>
        <w:br w:clear="none"/>
      </w:r>
      <w:r>
        <w:t xml:space="preserve">foo</w:t>
        <w:br w:clear="none"/>
      </w:r>
      <w:r>
        <w:rPr>
          <w:rStyle w:val="Text7"/>
        </w:rPr>
        <w:t xml:space="preserve">)</w:t>
        <w:br w:clear="none"/>
      </w:r>
    </w:p>
    <w:p>
      <w:bookmarkStart w:id="1854" w:name="Configuring_logging__Unfortunate"/>
      <w:pPr>
        <w:keepNext/>
        <w:pStyle w:val="Heading 2"/>
      </w:pPr>
      <w:r>
        <w:t>Configuring logging</w:t>
      </w:r>
      <w:bookmarkEnd w:id="1854"/>
    </w:p>
    <w:p>
      <w:pPr>
        <w:pStyle w:val="Normal"/>
      </w:pPr>
      <w:r>
        <w:t xml:space="preserve">Unfortunately, the </w:t>
      </w:r>
      <w:r>
        <w:rPr>
          <w:rStyle w:val="Text0"/>
        </w:rPr>
        <w:t>logging</w:t>
      </w:r>
      <w:r>
        <w:t xml:space="preserve"> module does not support the more readable formatting approaches covered in </w:t>
      </w:r>
      <w:hyperlink w:anchor="String_Formatting__Python_provid">
        <w:r>
          <w:rPr>
            <w:rStyle w:val="Text1"/>
          </w:rPr>
          <w:t>“String Formatting”</w:t>
        </w:r>
      </w:hyperlink>
      <w:r>
        <w:t xml:space="preserve">, but only the legacy one mentioned in the previous subsection. Fortunately, it’s very rare to need any formatting specifiers beyond </w:t>
      </w:r>
      <w:r>
        <w:rPr>
          <w:rStyle w:val="Text0"/>
        </w:rPr>
        <w:t>%s</w:t>
      </w:r>
      <w:r>
        <w:t xml:space="preserve"> (which calls </w:t>
      </w:r>
      <w:r>
        <w:rPr>
          <w:rStyle w:val="Text0"/>
        </w:rPr>
        <w:t>__str__</w:t>
      </w:r>
      <w:r>
        <w:t xml:space="preserve">) and </w:t>
      </w:r>
      <w:r>
        <w:rPr>
          <w:rStyle w:val="Text0"/>
        </w:rPr>
        <w:t>%r</w:t>
      </w:r>
      <w:r>
        <w:t xml:space="preserve"> (which calls </w:t>
      </w:r>
      <w:r>
        <w:rPr>
          <w:rStyle w:val="Text0"/>
        </w:rPr>
        <w:t>__repr__</w:t>
      </w:r>
      <w:r>
        <w:t>).</w:t>
      </w:r>
    </w:p>
    <w:p>
      <w:pPr>
        <w:pStyle w:val="Normal"/>
      </w:pPr>
      <w:r>
        <w:t xml:space="preserve">By default, the threshold level is </w:t>
      </w:r>
      <w:r>
        <w:rPr>
          <w:rStyle w:val="Text0"/>
        </w:rPr>
        <w:t>WARNING</w:t>
      </w:r>
      <w:r>
        <w:t xml:space="preserve">: any of the functions </w:t>
      </w:r>
      <w:r>
        <w:rPr>
          <w:rStyle w:val="Text0"/>
        </w:rPr>
        <w:t>warning</w:t>
      </w:r>
      <w:r>
        <w:t xml:space="preserve">, </w:t>
      </w:r>
      <w:r>
        <w:rPr>
          <w:rStyle w:val="Text0"/>
        </w:rPr>
        <w:t>error</w:t>
      </w:r>
      <w:r>
        <w:t xml:space="preserve">, or </w:t>
      </w:r>
      <w:r>
        <w:rPr>
          <w:rStyle w:val="Text0"/>
        </w:rPr>
        <w:t>critical</w:t>
      </w:r>
      <w:r>
        <w:t xml:space="preserve"> results in logging output, but the functions </w:t>
      </w:r>
      <w:r>
        <w:rPr>
          <w:rStyle w:val="Text0"/>
        </w:rPr>
        <w:t>debug</w:t>
      </w:r>
      <w:r>
        <w:t xml:space="preserve"> and </w:t>
      </w:r>
      <w:r>
        <w:rPr>
          <w:rStyle w:val="Text0"/>
        </w:rPr>
        <w:t>info</w:t>
      </w:r>
      <w:r>
        <w:t xml:space="preserve"> do not. To change the threshold level at any time, call </w:t>
      </w:r>
      <w:r>
        <w:rPr>
          <w:rStyle w:val="Text0"/>
        </w:rPr>
        <w:t>logging.getLogger().setLevel</w:t>
      </w:r>
      <w:r>
        <w:t xml:space="preserve">, passing as the only argument one of the corresponding constants supplied by the </w:t>
      </w:r>
      <w:r>
        <w:rPr>
          <w:rStyle w:val="Text0"/>
        </w:rPr>
        <w:t>logging</w:t>
      </w:r>
      <w:r>
        <w:t xml:space="preserve"> module: </w:t>
      </w:r>
      <w:r>
        <w:rPr>
          <w:rStyle w:val="Text0"/>
        </w:rPr>
        <w:t>DEBUG</w:t>
      </w:r>
      <w:r>
        <w:t xml:space="preserve">, </w:t>
      </w:r>
      <w:r>
        <w:rPr>
          <w:rStyle w:val="Text0"/>
        </w:rPr>
        <w:t>INFO</w:t>
      </w:r>
      <w:r>
        <w:t xml:space="preserve">, </w:t>
      </w:r>
      <w:r>
        <w:rPr>
          <w:rStyle w:val="Text0"/>
        </w:rPr>
        <w:t>WARNING</w:t>
      </w:r>
      <w:r>
        <w:t xml:space="preserve">, </w:t>
      </w:r>
      <w:r>
        <w:rPr>
          <w:rStyle w:val="Text0"/>
        </w:rPr>
        <w:t>ERROR</w:t>
      </w:r>
      <w:r>
        <w:t xml:space="preserve">, or </w:t>
      </w:r>
      <w:r>
        <w:rPr>
          <w:rStyle w:val="Text0"/>
        </w:rPr>
        <w:t>CRITICAL</w:t>
      </w:r>
      <w:r>
        <w:t>. For example, once you call:</w:t>
      </w:r>
    </w:p>
    <w:p>
      <w:pPr>
        <w:pStyle w:val="Para 007"/>
      </w:pPr>
      <w:r>
        <w:rPr>
          <w:rStyle w:val="Text23"/>
        </w:rPr>
        <w:t xml:space="preserve"/>
        <w:br w:clear="none"/>
      </w:r>
      <w:r>
        <w:t xml:space="preserve">logging</w:t>
        <w:br w:clear="none"/>
      </w:r>
      <w:r>
        <w:rPr>
          <w:rStyle w:val="Text13"/>
        </w:rPr>
        <w:t xml:space="preserve">.</w:t>
        <w:br w:clear="none"/>
      </w:r>
      <w:r>
        <w:t xml:space="preserve">getLogger</w:t>
        <w:br w:clear="none"/>
      </w:r>
      <w:r>
        <w:rPr>
          <w:rStyle w:val="Text7"/>
        </w:rPr>
        <w:t xml:space="preserve">()</w:t>
        <w:br w:clear="none"/>
      </w:r>
      <w:r>
        <w:rPr>
          <w:rStyle w:val="Text13"/>
        </w:rPr>
        <w:t xml:space="preserve">.</w:t>
        <w:br w:clear="none"/>
      </w:r>
      <w:r>
        <w:t xml:space="preserve">setLevel</w:t>
        <w:br w:clear="none"/>
      </w:r>
      <w:r>
        <w:rPr>
          <w:rStyle w:val="Text7"/>
        </w:rPr>
        <w:t xml:space="preserve">(</w:t>
        <w:br w:clear="none"/>
      </w:r>
      <w:r>
        <w:t xml:space="preserve">logging</w:t>
        <w:br w:clear="none"/>
      </w:r>
      <w:r>
        <w:rPr>
          <w:rStyle w:val="Text13"/>
        </w:rPr>
        <w:t xml:space="preserve">.</w:t>
        <w:br w:clear="none"/>
      </w:r>
      <w:r>
        <w:t xml:space="preserve">DEBUG</w:t>
        <w:br w:clear="none"/>
      </w:r>
      <w:r>
        <w:rPr>
          <w:rStyle w:val="Text7"/>
        </w:rPr>
        <w:t xml:space="preserve">)</w:t>
        <w:br w:clear="none"/>
      </w:r>
    </w:p>
    <w:p>
      <w:pPr>
        <w:pStyle w:val="Normal"/>
      </w:pPr>
      <w:r>
        <w:t xml:space="preserve">all of the logging functions from </w:t>
      </w:r>
      <w:r>
        <w:rPr>
          <w:rStyle w:val="Text0"/>
        </w:rPr>
        <w:t>debug</w:t>
      </w:r>
      <w:r>
        <w:t xml:space="preserve"> to </w:t>
      </w:r>
      <w:r>
        <w:rPr>
          <w:rStyle w:val="Text0"/>
        </w:rPr>
        <w:t>critical</w:t>
      </w:r>
      <w:r>
        <w:t xml:space="preserve"> result in logging output until you change the level again. If later you call:</w:t>
      </w:r>
    </w:p>
    <w:p>
      <w:pPr>
        <w:pStyle w:val="Para 007"/>
      </w:pPr>
      <w:r>
        <w:rPr>
          <w:rStyle w:val="Text23"/>
        </w:rPr>
        <w:t xml:space="preserve"/>
        <w:br w:clear="none"/>
      </w:r>
      <w:r>
        <w:t xml:space="preserve">logging</w:t>
        <w:br w:clear="none"/>
      </w:r>
      <w:r>
        <w:rPr>
          <w:rStyle w:val="Text13"/>
        </w:rPr>
        <w:t xml:space="preserve">.</w:t>
        <w:br w:clear="none"/>
      </w:r>
      <w:r>
        <w:t xml:space="preserve">getLogger</w:t>
        <w:br w:clear="none"/>
      </w:r>
      <w:r>
        <w:rPr>
          <w:rStyle w:val="Text7"/>
        </w:rPr>
        <w:t xml:space="preserve">()</w:t>
        <w:br w:clear="none"/>
      </w:r>
      <w:r>
        <w:rPr>
          <w:rStyle w:val="Text13"/>
        </w:rPr>
        <w:t xml:space="preserve">.</w:t>
        <w:br w:clear="none"/>
      </w:r>
      <w:r>
        <w:t xml:space="preserve">setLevel</w:t>
        <w:br w:clear="none"/>
      </w:r>
      <w:r>
        <w:rPr>
          <w:rStyle w:val="Text7"/>
        </w:rPr>
        <w:t xml:space="preserve">(</w:t>
        <w:br w:clear="none"/>
      </w:r>
      <w:r>
        <w:t xml:space="preserve">logging</w:t>
        <w:br w:clear="none"/>
      </w:r>
      <w:r>
        <w:rPr>
          <w:rStyle w:val="Text13"/>
        </w:rPr>
        <w:t xml:space="preserve">.</w:t>
        <w:br w:clear="none"/>
      </w:r>
      <w:r>
        <w:t xml:space="preserve">ERROR</w:t>
        <w:br w:clear="none"/>
      </w:r>
      <w:r>
        <w:rPr>
          <w:rStyle w:val="Text7"/>
        </w:rPr>
        <w:t xml:space="preserve">)</w:t>
        <w:br w:clear="none"/>
      </w:r>
    </w:p>
    <w:p>
      <w:pPr>
        <w:pStyle w:val="Normal"/>
      </w:pPr>
      <w:r>
        <w:t xml:space="preserve">then only the functions </w:t>
      </w:r>
      <w:r>
        <w:rPr>
          <w:rStyle w:val="Text0"/>
        </w:rPr>
        <w:t>error</w:t>
      </w:r>
      <w:r>
        <w:t xml:space="preserve"> and </w:t>
      </w:r>
      <w:r>
        <w:rPr>
          <w:rStyle w:val="Text0"/>
        </w:rPr>
        <w:t>critical</w:t>
      </w:r>
      <w:r>
        <w:t xml:space="preserve"> result in logging output (</w:t>
      </w:r>
      <w:r>
        <w:rPr>
          <w:rStyle w:val="Text0"/>
        </w:rPr>
        <w:t>debug</w:t>
      </w:r>
      <w:r>
        <w:t xml:space="preserve">, </w:t>
      </w:r>
      <w:r>
        <w:rPr>
          <w:rStyle w:val="Text0"/>
        </w:rPr>
        <w:t>info</w:t>
      </w:r>
      <w:r>
        <w:t xml:space="preserve">, and </w:t>
      </w:r>
      <w:r>
        <w:rPr>
          <w:rStyle w:val="Text0"/>
        </w:rPr>
        <w:t>warning</w:t>
      </w:r>
      <w:r>
        <w:t xml:space="preserve"> won’t result in logging output); this condition, too, persists until you change the level again, and so forth.</w:t>
      </w:r>
    </w:p>
    <w:p>
      <w:pPr>
        <w:pStyle w:val="Normal"/>
      </w:pPr>
      <w:r>
        <w:t>By default, logging output goes to your process’s standard error stream (</w:t>
      </w:r>
      <w:r>
        <w:rPr>
          <w:rStyle w:val="Text0"/>
        </w:rPr>
        <w:t>sys.stderr</w:t>
      </w:r>
      <w:r>
        <w:t xml:space="preserve">, as covered in </w:t>
      </w:r>
      <w:hyperlink w:anchor="Table_8_3__Functions_and_attribu">
        <w:r>
          <w:rPr>
            <w:rStyle w:val="Text1"/>
          </w:rPr>
          <w:t>Table 8-3</w:t>
        </w:r>
      </w:hyperlink>
      <w:r>
        <w:t xml:space="preserve">) and uses a rather simplistic format (for example, it does not include a timestamp on each line it outputs). You can control these settings by instantiating an appropriate handler instance, with a suitable formatter instance, and creating and setting a new logger instance to hold it. In the simple, common case in which you just want to set these logging parameters once and for all, after which they persist throughout the run of your program, the simplest approach is to call the </w:t>
      </w:r>
      <w:r>
        <w:rPr>
          <w:rStyle w:val="Text0"/>
        </w:rPr>
        <w:t>logging.basicConfig</w:t>
      </w:r>
      <w:r>
        <w:t xml:space="preserve"> function, which lets you set things up quite simply via named parameters. Only the very first call to </w:t>
      </w:r>
      <w:r>
        <w:rPr>
          <w:rStyle w:val="Text0"/>
        </w:rPr>
        <w:t>logging.basicConfig</w:t>
      </w:r>
      <w:r>
        <w:t xml:space="preserve"> has any effect, and only if you call it before any of the logging functions (</w:t>
      </w:r>
      <w:r>
        <w:rPr>
          <w:rStyle w:val="Text0"/>
        </w:rPr>
        <w:t>debug</w:t>
      </w:r>
      <w:r>
        <w:t xml:space="preserve">, </w:t>
      </w:r>
      <w:r>
        <w:rPr>
          <w:rStyle w:val="Text0"/>
        </w:rPr>
        <w:t>info</w:t>
      </w:r>
      <w:r>
        <w:t xml:space="preserve">, and so on). Therefore, the most common use is to call </w:t>
      </w:r>
      <w:r>
        <w:rPr>
          <w:rStyle w:val="Text0"/>
        </w:rPr>
        <w:t>logging.basicConfig</w:t>
      </w:r>
      <w:r>
        <w:t xml:space="preserve"> at the very start of your program. For example, a common idiom at the start of a program is something like:</w:t>
      </w:r>
    </w:p>
    <w:p>
      <w:pPr>
        <w:pStyle w:val="Para 071"/>
      </w:pPr>
      <w:r>
        <w:rPr>
          <w:rStyle w:val="Text23"/>
        </w:rPr>
        <w:t xml:space="preserve"/>
        <w:br w:clear="none"/>
      </w:r>
      <w:r>
        <w:rPr>
          <w:rStyle w:val="Text10"/>
        </w:rPr>
        <w:t xml:space="preserve">import</w:t>
        <w:br w:clear="none"/>
      </w:r>
      <w:r>
        <w:rPr>
          <w:rStyle w:val="Text6"/>
        </w:rPr>
        <w:t xml:space="preserve"> </w:t>
        <w:br w:clear="none"/>
      </w:r>
      <w:r>
        <w:rPr>
          <w:rStyle w:val="Text20"/>
        </w:rPr>
        <w:t xml:space="preserve">logging</w:t>
        <w:br w:clear="none"/>
      </w:r>
      <w:r>
        <w:rPr>
          <w:rStyle w:val="Text6"/>
        </w:rPr>
        <w:t xml:space="preserve"/>
        <w:br w:clear="none"/>
      </w:r>
      <w:r>
        <w:rPr>
          <w:rStyle w:val="Text9"/>
        </w:rPr>
        <w:t xml:space="preserve">logging</w:t>
        <w:br w:clear="none"/>
      </w:r>
      <w:r>
        <w:rPr>
          <w:rStyle w:val="Text13"/>
        </w:rPr>
        <w:t xml:space="preserve">.</w:t>
        <w:br w:clear="none"/>
      </w:r>
      <w:r>
        <w:rPr>
          <w:rStyle w:val="Text9"/>
        </w:rPr>
        <w:t xml:space="preserve">basicConfig</w:t>
        <w:br w:clear="none"/>
      </w:r>
      <w:r>
        <w:rPr>
          <w:rStyle w:val="Text7"/>
        </w:rPr>
        <w:t xml:space="preserve">(</w:t>
        <w:br w:clear="none"/>
      </w:r>
      <w:r>
        <w:rPr>
          <w:rStyle w:val="Text6"/>
        </w:rPr>
        <w:t xml:space="preserve"/>
        <w:br w:clear="none"/>
        <w:t xml:space="preserve">    </w:t>
        <w:br w:clear="none"/>
      </w:r>
      <w:r>
        <w:rPr>
          <w:rStyle w:val="Text16"/>
        </w:rPr>
        <w:t xml:space="preserve">format</w:t>
        <w:br w:clear="none"/>
      </w:r>
      <w:r>
        <w:rPr>
          <w:rStyle w:val="Text13"/>
        </w:rPr>
        <w:t xml:space="preserve">=</w:t>
        <w:br w:clear="none"/>
      </w:r>
      <w:r>
        <w:rPr>
          <w:rStyle w:val="Text8"/>
        </w:rPr>
        <w:t xml:space="preserve">'</w:t>
        <w:br w:clear="none"/>
      </w:r>
      <w:r>
        <w:t xml:space="preserve">%(asctime)s</w:t>
        <w:br w:clear="none"/>
      </w:r>
      <w:r>
        <w:rPr>
          <w:rStyle w:val="Text8"/>
        </w:rPr>
        <w:t xml:space="preserve"> </w:t>
        <w:br w:clear="none"/>
      </w:r>
      <w:r>
        <w:t xml:space="preserve">%(levelname)8s</w:t>
        <w:br w:clear="none"/>
      </w:r>
      <w:r>
        <w:rPr>
          <w:rStyle w:val="Text8"/>
        </w:rPr>
        <w:t xml:space="preserve"> </w:t>
        <w:br w:clear="none"/>
      </w:r>
      <w:r>
        <w:t xml:space="preserve">%(message)s</w:t>
        <w:br w:clear="none"/>
      </w:r>
      <w:r>
        <w:rPr>
          <w:rStyle w:val="Text8"/>
        </w:rPr>
        <w:t xml:space="preserve">'</w:t>
        <w:br w:clear="none"/>
      </w:r>
      <w:r>
        <w:rPr>
          <w:rStyle w:val="Text7"/>
        </w:rPr>
        <w:t xml:space="preserve">,</w:t>
        <w:br w:clear="none"/>
      </w:r>
      <w:r>
        <w:rPr>
          <w:rStyle w:val="Text6"/>
        </w:rPr>
        <w:t xml:space="preserve"/>
        <w:br w:clear="none"/>
        <w:t xml:space="preserve">    </w:t>
        <w:br w:clear="none"/>
      </w:r>
      <w:r>
        <w:rPr>
          <w:rStyle w:val="Text9"/>
        </w:rPr>
        <w:t xml:space="preserve">filename</w:t>
        <w:br w:clear="none"/>
      </w:r>
      <w:r>
        <w:rPr>
          <w:rStyle w:val="Text13"/>
        </w:rPr>
        <w:t xml:space="preserve">=</w:t>
        <w:br w:clear="none"/>
      </w:r>
      <w:r>
        <w:rPr>
          <w:rStyle w:val="Text8"/>
        </w:rPr>
        <w:t xml:space="preserve">'</w:t>
        <w:br w:clear="none"/>
        <w:t xml:space="preserve">/tmp/logfile.txt</w:t>
        <w:br w:clear="none"/>
        <w:t xml:space="preserve">'</w:t>
        <w:br w:clear="none"/>
      </w:r>
      <w:r>
        <w:rPr>
          <w:rStyle w:val="Text7"/>
        </w:rPr>
        <w:t xml:space="preserve">,</w:t>
        <w:br w:clear="none"/>
      </w:r>
      <w:r>
        <w:rPr>
          <w:rStyle w:val="Text6"/>
        </w:rPr>
        <w:t xml:space="preserve"> </w:t>
        <w:br w:clear="none"/>
      </w:r>
      <w:r>
        <w:rPr>
          <w:rStyle w:val="Text9"/>
        </w:rPr>
        <w:t xml:space="preserve">filemode</w:t>
        <w:br w:clear="none"/>
      </w:r>
      <w:r>
        <w:rPr>
          <w:rStyle w:val="Text13"/>
        </w:rPr>
        <w:t xml:space="preserve">=</w:t>
        <w:br w:clear="none"/>
      </w:r>
      <w:r>
        <w:rPr>
          <w:rStyle w:val="Text8"/>
        </w:rPr>
        <w:t xml:space="preserve">'</w:t>
        <w:br w:clear="none"/>
        <w:t xml:space="preserve">w</w:t>
        <w:br w:clear="none"/>
        <w:t xml:space="preserve">'</w:t>
        <w:br w:clear="none"/>
      </w:r>
      <w:r>
        <w:rPr>
          <w:rStyle w:val="Text7"/>
        </w:rPr>
        <w:t xml:space="preserve">)</w:t>
        <w:br w:clear="none"/>
      </w:r>
    </w:p>
    <w:p>
      <w:pPr>
        <w:pStyle w:val="Normal"/>
      </w:pPr>
      <w:r>
        <w:t>This setting writes logging messages to a file, nicely formatted with a precise human-readable timestamp, followed by the severity level right-aligned in an eight-character field, followed by the message proper.</w:t>
      </w:r>
    </w:p>
    <w:p>
      <w:pPr>
        <w:pStyle w:val="Normal"/>
      </w:pPr>
      <w:r>
        <w:t xml:space="preserve">For much, much more detailed information on the </w:t>
      </w:r>
      <w:r>
        <w:rPr>
          <w:rStyle w:val="Text0"/>
        </w:rPr>
        <w:t>logging</w:t>
      </w:r>
      <w:r>
        <w:t xml:space="preserve"> module and all the wonders you can perform with it, be sure to consult Python’s </w:t>
      </w:r>
      <w:hyperlink r:id="rId276">
        <w:r>
          <w:rPr>
            <w:rStyle w:val="Text1"/>
          </w:rPr>
          <w:t>rich online documentation</w:t>
        </w:r>
      </w:hyperlink>
      <w:r>
        <w:rPr>
          <w:rStyle w:val="Text4"/>
        </w:rPr>
        <w:t>.</w:t>
      </w:r>
      <w:r>
        <w:rPr>
          <w:rStyle w:val="Text105"/>
        </w:rPr>
        <w:bookmarkStart w:id="1855" w:name="idm45965255190576"/>
        <w:t/>
        <w:bookmarkEnd w:id="1855"/>
        <w:bookmarkStart w:id="1856" w:name="idm45965255189168"/>
        <w:t/>
        <w:bookmarkEnd w:id="1856"/>
        <w:bookmarkStart w:id="1857" w:name="idm45965255187792"/>
        <w:t/>
        <w:bookmarkEnd w:id="1857"/>
      </w:r>
    </w:p>
    <w:p>
      <w:bookmarkStart w:id="1858" w:name="The_assert_Statement__The_assert"/>
      <w:pPr>
        <w:keepNext/>
        <w:pStyle w:val="Heading 1"/>
      </w:pPr>
      <w:r>
        <w:t>The assert Statement</w:t>
      </w:r>
      <w:bookmarkEnd w:id="1858"/>
    </w:p>
    <w:p>
      <w:pPr>
        <w:pStyle w:val="Normal"/>
      </w:pPr>
      <w:r>
        <w:t>The</w:t>
      </w:r>
      <w:r>
        <w:rPr>
          <w:rStyle w:val="Text111"/>
        </w:rPr>
        <w:bookmarkStart w:id="1859" w:name="idm45965255184608"/>
        <w:t/>
        <w:bookmarkEnd w:id="1859"/>
        <w:bookmarkStart w:id="1860" w:name="idm45965255159808"/>
        <w:t/>
        <w:bookmarkEnd w:id="1860"/>
      </w:r>
      <w:r>
        <w:t xml:space="preserve"> </w:t>
      </w:r>
      <w:r>
        <w:rPr>
          <w:rStyle w:val="Text5"/>
        </w:rPr>
        <w:t>assert</w:t>
      </w:r>
      <w:r>
        <w:t xml:space="preserve"> statement allows you to introduce “sanity checks” into a program. </w:t>
      </w:r>
      <w:r>
        <w:rPr>
          <w:rStyle w:val="Text5"/>
        </w:rPr>
        <w:t>assert</w:t>
      </w:r>
      <w:r>
        <w:t xml:space="preserve"> is a simple statement with the following syntax:</w:t>
      </w:r>
    </w:p>
    <w:p>
      <w:pPr>
        <w:pStyle w:val="Para 032"/>
      </w:pPr>
      <w:r>
        <w:rPr>
          <w:rStyle w:val="Text116"/>
        </w:rPr>
        <w:t xml:space="preserve"/>
        <w:br w:clear="none"/>
      </w:r>
      <w:r>
        <w:rPr>
          <w:rStyle w:val="Text22"/>
        </w:rPr>
        <w:t xml:space="preserve">assert</w:t>
        <w:br w:clear="none"/>
      </w:r>
      <w:r>
        <w:rPr>
          <w:rStyle w:val="Text11"/>
        </w:rPr>
        <w:t xml:space="preserve"> </w:t>
        <w:br w:clear="none"/>
      </w:r>
      <w:r>
        <w:t xml:space="preserve">condition</w:t>
        <w:br w:clear="none"/>
      </w:r>
      <w:r>
        <w:rPr>
          <w:rStyle w:val="Text19"/>
        </w:rPr>
        <w:t xml:space="preserve">[</w:t>
        <w:br w:clear="none"/>
        <w:t xml:space="preserve">,</w:t>
        <w:br w:clear="none"/>
      </w:r>
      <w:r>
        <w:rPr>
          <w:rStyle w:val="Text11"/>
        </w:rPr>
        <w:t xml:space="preserve"> </w:t>
        <w:br w:clear="none"/>
      </w:r>
      <w:r>
        <w:t xml:space="preserve">expression</w:t>
        <w:br w:clear="none"/>
      </w:r>
      <w:r>
        <w:rPr>
          <w:rStyle w:val="Text19"/>
        </w:rPr>
        <w:t xml:space="preserve">]</w:t>
        <w:br w:clear="none"/>
      </w:r>
    </w:p>
    <w:p>
      <w:pPr>
        <w:pStyle w:val="Normal"/>
      </w:pPr>
      <w:r>
        <w:t>When you run Python with the optimize flag (</w:t>
      </w:r>
      <w:r>
        <w:rPr>
          <w:rStyle w:val="Text5"/>
        </w:rPr>
        <w:t>-O</w:t>
      </w:r>
      <w:r>
        <w:t xml:space="preserve">, as covered in </w:t>
      </w:r>
      <w:hyperlink w:anchor="Command_Line_Syntax_and_Options">
        <w:r>
          <w:rPr>
            <w:rStyle w:val="Text1"/>
          </w:rPr>
          <w:t>“Command-Line Syntax and Options”</w:t>
        </w:r>
      </w:hyperlink>
      <w:r>
        <w:t xml:space="preserve">), </w:t>
      </w:r>
      <w:r>
        <w:rPr>
          <w:rStyle w:val="Text5"/>
        </w:rPr>
        <w:t>assert</w:t>
      </w:r>
      <w:r>
        <w:t xml:space="preserve"> is a null operation: the compiler generates no code for it. Otherwise, </w:t>
      </w:r>
      <w:r>
        <w:rPr>
          <w:rStyle w:val="Text5"/>
        </w:rPr>
        <w:t>assert</w:t>
      </w:r>
      <w:r>
        <w:t xml:space="preserve"> evaluates </w:t>
      </w:r>
      <w:r>
        <w:rPr>
          <w:rStyle w:val="Text3"/>
        </w:rPr>
        <w:t>condition</w:t>
      </w:r>
      <w:r>
        <w:t xml:space="preserve">. When </w:t>
      </w:r>
      <w:r>
        <w:rPr>
          <w:rStyle w:val="Text3"/>
        </w:rPr>
        <w:t>condition</w:t>
      </w:r>
      <w:r>
        <w:t xml:space="preserve"> is satisfied, </w:t>
      </w:r>
      <w:r>
        <w:rPr>
          <w:rStyle w:val="Text5"/>
        </w:rPr>
        <w:t>assert</w:t>
      </w:r>
      <w:r>
        <w:t xml:space="preserve"> does nothing. When </w:t>
      </w:r>
      <w:r>
        <w:rPr>
          <w:rStyle w:val="Text3"/>
        </w:rPr>
        <w:t>condition</w:t>
      </w:r>
      <w:r>
        <w:t xml:space="preserve"> is not satisfied, </w:t>
      </w:r>
      <w:r>
        <w:rPr>
          <w:rStyle w:val="Text5"/>
        </w:rPr>
        <w:t>assert</w:t>
      </w:r>
      <w:r>
        <w:t xml:space="preserve"> instantiates </w:t>
      </w:r>
      <w:r>
        <w:rPr>
          <w:rStyle w:val="Text0"/>
        </w:rPr>
        <w:t>AssertionError</w:t>
      </w:r>
      <w:r>
        <w:t xml:space="preserve"> with </w:t>
      </w:r>
      <w:r>
        <w:rPr>
          <w:rStyle w:val="Text3"/>
        </w:rPr>
        <w:t>expression</w:t>
      </w:r>
      <w:r>
        <w:t xml:space="preserve"> as the argument (or without arguments, if there is no </w:t>
      </w:r>
      <w:r>
        <w:rPr>
          <w:rStyle w:val="Text3"/>
        </w:rPr>
        <w:t>expression</w:t>
      </w:r>
      <w:r>
        <w:t>) and raises the resulting instance.</w:t>
      </w:r>
      <w:hyperlink w:anchor="3_Some_third_party_frameworks__s">
        <w:r>
          <w:rPr>
            <w:rStyle w:val="Text41"/>
          </w:rPr>
          <w:bookmarkStart w:id="1861" w:name="3_6"/>
          <w:t>3</w:t>
          <w:bookmarkEnd w:id="1861"/>
        </w:r>
      </w:hyperlink>
    </w:p>
    <w:p>
      <w:pPr>
        <w:pStyle w:val="Normal"/>
      </w:pPr>
      <w:r>
        <w:rPr>
          <w:rStyle w:val="Text5"/>
        </w:rPr>
        <w:t>assert</w:t>
      </w:r>
      <w:r>
        <w:t xml:space="preserve"> statements can be an effective way to document your program. When you want to state that a significant, nonobvious condition </w:t>
      </w:r>
      <w:r>
        <w:rPr>
          <w:rStyle w:val="Text3"/>
        </w:rPr>
        <w:t>C</w:t>
      </w:r>
      <w:r>
        <w:t xml:space="preserve"> is known to hold at a certain point in a program’s execution (known as an </w:t>
      </w:r>
      <w:r>
        <w:rPr>
          <w:rStyle w:val="Text4"/>
        </w:rPr>
        <w:t>invariant</w:t>
      </w:r>
      <w:r>
        <w:t xml:space="preserve"> of your program), </w:t>
      </w:r>
      <w:r>
        <w:rPr>
          <w:rStyle w:val="Text5"/>
        </w:rPr>
        <w:t>assert</w:t>
      </w:r>
      <w:r>
        <w:t xml:space="preserve"> </w:t>
      </w:r>
      <w:r>
        <w:rPr>
          <w:rStyle w:val="Text3"/>
        </w:rPr>
        <w:t>C</w:t>
      </w:r>
      <w:r>
        <w:t xml:space="preserve"> is often better than a comment that just states that </w:t>
      </w:r>
      <w:r>
        <w:rPr>
          <w:rStyle w:val="Text3"/>
        </w:rPr>
        <w:t>C</w:t>
      </w:r>
      <w:r>
        <w:t xml:space="preserve"> holds.</w:t>
      </w:r>
    </w:p>
    <w:p>
      <w:pPr>
        <w:keepNext/>
        <w:pStyle w:val="Heading 6"/>
        <w:keepLines w:val="on"/>
      </w:pPr>
      <w:r>
        <w:t>Don’t Overuse assert</w:t>
      </w:r>
    </w:p>
    <w:p>
      <w:pPr>
        <w:pStyle w:val="Para 012"/>
        <w:keepLines w:val="on"/>
      </w:pPr>
      <w:r>
        <w:t xml:space="preserve">Never use </w:t>
      </w:r>
      <w:r>
        <w:rPr>
          <w:rStyle w:val="Text5"/>
        </w:rPr>
        <w:t>assert</w:t>
      </w:r>
      <w:r>
        <w:t xml:space="preserve"> for other purposes besides sanity-checking program invariants. A serious but very common mistake is to use </w:t>
      </w:r>
      <w:r>
        <w:rPr>
          <w:rStyle w:val="Text5"/>
        </w:rPr>
        <w:t>assert</w:t>
      </w:r>
      <w:r>
        <w:t xml:space="preserve"> about the values of inputs or arguments. Checking for erroneous arguments or inputs is best done more explicitly, and in particular must not be done using </w:t>
      </w:r>
      <w:r>
        <w:rPr>
          <w:rStyle w:val="Text5"/>
        </w:rPr>
        <w:t>assert</w:t>
      </w:r>
      <w:r>
        <w:t>, since it can be turned into a null operation by a Python command-line flag.</w:t>
      </w:r>
    </w:p>
    <w:p>
      <w:pPr>
        <w:pStyle w:val="Normal"/>
      </w:pPr>
      <w:r>
        <w:t xml:space="preserve">The advantage of </w:t>
      </w:r>
      <w:r>
        <w:rPr>
          <w:rStyle w:val="Text5"/>
        </w:rPr>
        <w:t>assert</w:t>
      </w:r>
      <w:r>
        <w:t xml:space="preserve"> is that, when </w:t>
      </w:r>
      <w:r>
        <w:rPr>
          <w:rStyle w:val="Text3"/>
        </w:rPr>
        <w:t>C</w:t>
      </w:r>
      <w:r>
        <w:t xml:space="preserve"> does </w:t>
      </w:r>
      <w:r>
        <w:rPr>
          <w:rStyle w:val="Text4"/>
        </w:rPr>
        <w:t>not</w:t>
      </w:r>
      <w:r>
        <w:t xml:space="preserve"> in fact hold, </w:t>
      </w:r>
      <w:r>
        <w:rPr>
          <w:rStyle w:val="Text5"/>
        </w:rPr>
        <w:t>assert</w:t>
      </w:r>
      <w:r>
        <w:t xml:space="preserve"> immediately alerts you to the problem by raising </w:t>
      </w:r>
      <w:r>
        <w:rPr>
          <w:rStyle w:val="Text0"/>
        </w:rPr>
        <w:t>AssertionError</w:t>
      </w:r>
      <w:r>
        <w:t xml:space="preserve">, if the program is running without the </w:t>
      </w:r>
      <w:r>
        <w:rPr>
          <w:rStyle w:val="Text5"/>
        </w:rPr>
        <w:t>-O</w:t>
      </w:r>
      <w:r>
        <w:t xml:space="preserve"> flag. Once the code is thoroughly debugged, run it with </w:t>
      </w:r>
      <w:r>
        <w:rPr>
          <w:rStyle w:val="Text5"/>
        </w:rPr>
        <w:t>-O</w:t>
      </w:r>
      <w:r>
        <w:t xml:space="preserve">, turning </w:t>
      </w:r>
      <w:r>
        <w:rPr>
          <w:rStyle w:val="Text5"/>
        </w:rPr>
        <w:t>assert</w:t>
      </w:r>
      <w:r>
        <w:t xml:space="preserve"> into a null operation and incurring no overhead (the </w:t>
      </w:r>
      <w:r>
        <w:rPr>
          <w:rStyle w:val="Text5"/>
        </w:rPr>
        <w:t>assert</w:t>
      </w:r>
      <w:r>
        <w:t xml:space="preserve"> remains in your source code to document the invariant).</w:t>
      </w:r>
    </w:p>
    <w:p>
      <w:pPr>
        <w:keepNext/>
        <w:pStyle w:val="Heading 5"/>
        <w:keepLines w:val="on"/>
      </w:pPr>
      <w:r>
        <w:t>The __debug__ Built-in Variable</w:t>
      </w:r>
    </w:p>
    <w:p>
      <w:pPr>
        <w:pStyle w:val="Para 012"/>
        <w:keepLines w:val="on"/>
      </w:pPr>
      <w:r>
        <w:t>When</w:t>
      </w:r>
      <w:r>
        <w:rPr>
          <w:rStyle w:val="Text111"/>
        </w:rPr>
        <w:bookmarkStart w:id="1862" w:name="idm45965255096656"/>
        <w:t/>
        <w:bookmarkEnd w:id="1862"/>
      </w:r>
      <w:r>
        <w:t xml:space="preserve"> you run Python without the option </w:t>
      </w:r>
      <w:r>
        <w:rPr>
          <w:rStyle w:val="Text5"/>
        </w:rPr>
        <w:t>-O</w:t>
      </w:r>
      <w:r>
        <w:t xml:space="preserve">, the </w:t>
      </w:r>
      <w:r>
        <w:rPr>
          <w:rStyle w:val="Text0"/>
        </w:rPr>
        <w:t>__debug__</w:t>
      </w:r>
      <w:r>
        <w:t xml:space="preserve"> built-in variable is </w:t>
      </w:r>
      <w:r>
        <w:rPr>
          <w:rStyle w:val="Text5"/>
        </w:rPr>
        <w:t>True</w:t>
      </w:r>
      <w:r>
        <w:t xml:space="preserve">. When you run Python with the option </w:t>
      </w:r>
      <w:r>
        <w:rPr>
          <w:rStyle w:val="Text5"/>
        </w:rPr>
        <w:t>-O</w:t>
      </w:r>
      <w:r>
        <w:t xml:space="preserve">, </w:t>
      </w:r>
      <w:r>
        <w:rPr>
          <w:rStyle w:val="Text0"/>
        </w:rPr>
        <w:t>__debug__</w:t>
      </w:r>
      <w:r>
        <w:t xml:space="preserve"> is </w:t>
      </w:r>
      <w:r>
        <w:rPr>
          <w:rStyle w:val="Text5"/>
        </w:rPr>
        <w:t>False</w:t>
      </w:r>
      <w:r>
        <w:t xml:space="preserve">. Also, in the latter case the compiler generates no code for any </w:t>
      </w:r>
      <w:r>
        <w:rPr>
          <w:rStyle w:val="Text5"/>
        </w:rPr>
        <w:t>if</w:t>
      </w:r>
      <w:r>
        <w:t xml:space="preserve"> statement whose sole guard condition is </w:t>
      </w:r>
      <w:r>
        <w:rPr>
          <w:rStyle w:val="Text0"/>
        </w:rPr>
        <w:t>__debug__</w:t>
      </w:r>
      <w:r>
        <w:t>.</w:t>
      </w:r>
    </w:p>
    <w:p>
      <w:pPr>
        <w:pStyle w:val="Para 012"/>
        <w:keepLines w:val="on"/>
      </w:pPr>
      <w:r>
        <w:t xml:space="preserve">To exploit this optimization, surround the definitions of functions that you call only in </w:t>
      </w:r>
      <w:r>
        <w:rPr>
          <w:rStyle w:val="Text5"/>
        </w:rPr>
        <w:t>assert</w:t>
      </w:r>
      <w:r>
        <w:t xml:space="preserve"> statements with </w:t>
      </w:r>
      <w:r>
        <w:rPr>
          <w:rStyle w:val="Text5"/>
        </w:rPr>
        <w:t>if</w:t>
      </w:r>
      <w:r>
        <w:t xml:space="preserve"> </w:t>
      </w:r>
      <w:r>
        <w:rPr>
          <w:rStyle w:val="Text0"/>
        </w:rPr>
        <w:t>__debug__:</w:t>
      </w:r>
      <w:r>
        <w:t xml:space="preserve">. This technique makes compiled code smaller and faster when Python is run with </w:t>
      </w:r>
      <w:r>
        <w:rPr>
          <w:rStyle w:val="Text5"/>
        </w:rPr>
        <w:t>-O</w:t>
      </w:r>
      <w:r>
        <w:t>, and enhances program clarity by showing that those functions exist only to perform sanity checks.</w:t>
      </w:r>
    </w:p>
    <w:p>
      <w:bookmarkStart w:id="1863" w:name="1_Except_that_multiple_calls_to"/>
      <w:pPr>
        <w:pStyle w:val="Para 035"/>
      </w:pPr>
      <w:hyperlink w:anchor="1_6">
        <w:r>
          <w:rPr>
            <w:rStyle w:val="Text1"/>
          </w:rPr>
          <w:t>1</w:t>
        </w:r>
      </w:hyperlink>
      <w:r>
        <w:t xml:space="preserve"> Except that multiple calls to </w:t>
      </w:r>
      <w:r>
        <w:rPr>
          <w:rStyle w:val="Text25"/>
        </w:rPr>
        <w:t>close</w:t>
      </w:r>
      <w:r>
        <w:t xml:space="preserve"> are allowed and innocuous: all but the first one perform no operation.</w:t>
      </w:r>
      <w:bookmarkEnd w:id="1863"/>
    </w:p>
    <w:p>
      <w:bookmarkStart w:id="1864" w:name="2_This_is_somewhat_controversial"/>
      <w:pPr>
        <w:pStyle w:val="Para 015"/>
      </w:pPr>
      <w:hyperlink w:anchor="2_6">
        <w:r>
          <w:rPr>
            <w:rStyle w:val="Text1"/>
          </w:rPr>
          <w:t>2</w:t>
        </w:r>
      </w:hyperlink>
      <w:r>
        <w:t xml:space="preserve"> This is somewhat controversial: while this book’s authors agree on this being “best practice,” some others strongly insist that one should always avoid multiple inheritance, including in this specific case.</w:t>
      </w:r>
      <w:bookmarkEnd w:id="1864"/>
    </w:p>
    <w:p>
      <w:bookmarkStart w:id="1865" w:name="3_Some_third_party_frameworks__s"/>
      <w:pPr>
        <w:pStyle w:val="Para 015"/>
      </w:pPr>
      <w:hyperlink w:anchor="3_6">
        <w:r>
          <w:rPr>
            <w:rStyle w:val="Text1"/>
          </w:rPr>
          <w:t>3</w:t>
        </w:r>
      </w:hyperlink>
      <w:r>
        <w:t xml:space="preserve"> Some third-party frameworks, such as </w:t>
      </w:r>
      <w:hyperlink r:id="rId277">
        <w:r>
          <w:rPr>
            <w:rStyle w:val="Text74"/>
          </w:rPr>
          <w:t>pytest</w:t>
        </w:r>
      </w:hyperlink>
      <w:r>
        <w:t xml:space="preserve">, materially improve the usefulness of the </w:t>
      </w:r>
      <w:r>
        <w:rPr>
          <w:rStyle w:val="Text5"/>
        </w:rPr>
        <w:t>assert</w:t>
      </w:r>
      <w:r>
        <w:t xml:space="preserve"> statement.</w:t>
      </w:r>
      <w:bookmarkEnd w:id="1865"/>
    </w:p>
    <w:p>
      <w:bookmarkStart w:id="1866" w:name="Chapter_7__Modules_and_Packages_2"/>
      <w:bookmarkStart w:id="1867" w:name="Top_of_ch07_html"/>
      <w:bookmarkStart w:id="1868" w:name="Chapter_7__Modules_and_Packages_1"/>
      <w:bookmarkStart w:id="1869" w:name="Chapter_7__Modules_and_Packages"/>
      <w:pPr>
        <w:keepNext/>
        <w:pStyle w:val="Heading 1"/>
        <w:pageBreakBefore w:val="on"/>
      </w:pPr>
      <w:r>
        <w:t xml:space="preserve">Chapter 7. </w:t>
        <w:t>Modules and Packages</w:t>
      </w:r>
      <w:bookmarkEnd w:id="1866"/>
      <w:bookmarkEnd w:id="1867"/>
      <w:bookmarkEnd w:id="1868"/>
      <w:bookmarkEnd w:id="1869"/>
    </w:p>
    <w:p>
      <w:pPr>
        <w:pStyle w:val="Normal"/>
      </w:pPr>
      <w:r>
        <w:t>A</w:t>
      </w:r>
      <w:r>
        <w:rPr>
          <w:rStyle w:val="Text111"/>
        </w:rPr>
        <w:bookmarkStart w:id="1870" w:name="idm45965255082976"/>
        <w:t/>
        <w:bookmarkEnd w:id="1870"/>
      </w:r>
      <w:r>
        <w:t xml:space="preserve"> typical Python program is made up of several source files. Each source file is a </w:t>
      </w:r>
      <w:r>
        <w:rPr>
          <w:rStyle w:val="Text4"/>
        </w:rPr>
        <w:t>module</w:t>
      </w:r>
      <w:r>
        <w:t>, grouping code and data for reuse. Modules are normally independent of each other, so that other programs can reuse the specific modules they need. Sometimes, to manage complexity, developers group together related modules into a</w:t>
      </w:r>
      <w:r>
        <w:rPr>
          <w:rStyle w:val="Text111"/>
        </w:rPr>
        <w:bookmarkStart w:id="1871" w:name="idm45965255081024"/>
        <w:t/>
        <w:bookmarkEnd w:id="1871"/>
      </w:r>
      <w:r>
        <w:t xml:space="preserve"> </w:t>
      </w:r>
      <w:r>
        <w:rPr>
          <w:rStyle w:val="Text4"/>
        </w:rPr>
        <w:t>package</w:t>
      </w:r>
      <w:r>
        <w:t>—a hierarchical, tree-like structure of related modules and subpackages.</w:t>
      </w:r>
    </w:p>
    <w:p>
      <w:pPr>
        <w:pStyle w:val="Normal"/>
      </w:pPr>
      <w:r>
        <w:t>A</w:t>
      </w:r>
      <w:r>
        <w:rPr>
          <w:rStyle w:val="Text111"/>
        </w:rPr>
        <w:bookmarkStart w:id="1872" w:name="idm45965255078656"/>
        <w:t/>
        <w:bookmarkEnd w:id="1872"/>
      </w:r>
      <w:r>
        <w:t xml:space="preserve"> module explicitly establishes dependencies upon other modules by using </w:t>
      </w:r>
      <w:r>
        <w:rPr>
          <w:rStyle w:val="Text5"/>
        </w:rPr>
        <w:t>import</w:t>
      </w:r>
      <w:r>
        <w:t xml:space="preserve"> or </w:t>
      </w:r>
      <w:r>
        <w:rPr>
          <w:rStyle w:val="Text5"/>
        </w:rPr>
        <w:t>from</w:t>
      </w:r>
      <w:r>
        <w:t xml:space="preserve"> statements. In some programming languages, global variables provide a hidden conduit for coupling between modules. In Python, global variables are not global to all modules, but rather are attributes of a single module object. Thus, Python modules always communicate in explicit and maintainable ways, clarifying the couplings between them by making them explicit.</w:t>
      </w:r>
    </w:p>
    <w:p>
      <w:pPr>
        <w:pStyle w:val="Normal"/>
      </w:pPr>
      <w:r>
        <w:t>Python</w:t>
      </w:r>
      <w:r>
        <w:rPr>
          <w:rStyle w:val="Text111"/>
        </w:rPr>
        <w:bookmarkStart w:id="1873" w:name="idm45965255074816"/>
        <w:t/>
        <w:bookmarkEnd w:id="1873"/>
      </w:r>
      <w:r>
        <w:t xml:space="preserve"> also supports </w:t>
      </w:r>
      <w:r>
        <w:rPr>
          <w:rStyle w:val="Text4"/>
        </w:rPr>
        <w:t>extension modules</w:t>
      </w:r>
      <w:r>
        <w:t xml:space="preserve">—modules coded in other languages such as C, C++, Java, C#, or Rust. For the Python code importing a module, it does not matter whether the module is pure Python or an extension. You can always start by coding a module in Python. Should you need more speed later, you can refactor and recode some parts of your module in lower-level languages, without changing the client code that uses the module. </w:t>
      </w:r>
      <w:hyperlink w:anchor="Chapter_25__Extending_and_Embedd_2">
        <w:r>
          <w:rPr>
            <w:rStyle w:val="Text1"/>
          </w:rPr>
          <w:t>Chapter 25</w:t>
        </w:r>
      </w:hyperlink>
      <w:r>
        <w:t xml:space="preserve"> (available </w:t>
      </w:r>
      <w:hyperlink r:id="rId24">
        <w:r>
          <w:rPr>
            <w:rStyle w:val="Text1"/>
          </w:rPr>
          <w:t>online</w:t>
        </w:r>
      </w:hyperlink>
      <w:r>
        <w:t xml:space="preserve">) shows how to write extensions in C and </w:t>
      </w:r>
      <w:r>
        <w:rPr>
          <w:rStyle w:val="Text111"/>
        </w:rPr>
        <w:bookmarkStart w:id="1874" w:name="idm45965255071200"/>
        <w:t/>
        <w:bookmarkEnd w:id="1874"/>
      </w:r>
      <w:r>
        <w:t>Cython.</w:t>
      </w:r>
    </w:p>
    <w:p>
      <w:pPr>
        <w:pStyle w:val="Normal"/>
      </w:pPr>
      <w:r>
        <w:t xml:space="preserve">This chapter discusses module creation and loading. It also covers grouping modules into packages, using </w:t>
      </w:r>
      <w:hyperlink r:id="rId278">
        <w:r>
          <w:rPr>
            <w:rStyle w:val="Text30"/>
          </w:rPr>
          <w:t>setuptools</w:t>
        </w:r>
      </w:hyperlink>
      <w:r>
        <w:t xml:space="preserve"> to install packages, and how to prepare packages for distribution; this latter subject is more thoroughly covered in </w:t>
      </w:r>
      <w:hyperlink w:anchor="Chapter_24__Packaging_Programs_a_2">
        <w:r>
          <w:rPr>
            <w:rStyle w:val="Text1"/>
          </w:rPr>
          <w:t>Chapter 24</w:t>
        </w:r>
      </w:hyperlink>
      <w:r>
        <w:t xml:space="preserve"> (also available </w:t>
      </w:r>
      <w:hyperlink r:id="rId188">
        <w:r>
          <w:rPr>
            <w:rStyle w:val="Text1"/>
          </w:rPr>
          <w:t>online</w:t>
        </w:r>
      </w:hyperlink>
      <w:r>
        <w:t xml:space="preserve">). We close this chapter with a discussion of how best to manage your Python </w:t>
        <w:t>environment(s)</w:t>
        <w:t xml:space="preserve"> .</w:t>
      </w:r>
    </w:p>
    <w:p>
      <w:bookmarkStart w:id="1875" w:name="Module_Objects__In_Python__a_mod"/>
      <w:pPr>
        <w:keepNext/>
        <w:pStyle w:val="Heading 1"/>
      </w:pPr>
      <w:r>
        <w:t>Module Objects</w:t>
      </w:r>
      <w:bookmarkEnd w:id="1875"/>
    </w:p>
    <w:p>
      <w:pPr>
        <w:pStyle w:val="Normal"/>
      </w:pPr>
      <w:r>
        <w:t>In</w:t>
      </w:r>
      <w:r>
        <w:rPr>
          <w:rStyle w:val="Text111"/>
        </w:rPr>
        <w:bookmarkStart w:id="1876" w:name="Mobje07"/>
        <w:t/>
        <w:bookmarkEnd w:id="1876"/>
      </w:r>
      <w:r>
        <w:t xml:space="preserve"> Python, a module is an object with arbitrarily named attributes that you can bind and reference. Modules in Python are handled like other objects. Thus, you can pass a module as an argument in a call to a function. Similarly, a function can return a module as the result of a call. A module, just like any other object, can be bound to a variable, an item in a container, or an attribute of an object. Modules can be keys or values in a dictionary, and can be members of a set. For example, the </w:t>
      </w:r>
      <w:r>
        <w:rPr>
          <w:rStyle w:val="Text0"/>
        </w:rPr>
        <w:t>sys.modules</w:t>
      </w:r>
      <w:r>
        <w:t xml:space="preserve"> dictionary, discussed in </w:t>
      </w:r>
      <w:hyperlink w:anchor="Module_Loading__Module_loading_o">
        <w:r>
          <w:rPr>
            <w:rStyle w:val="Text1"/>
          </w:rPr>
          <w:t>“Module Loading”</w:t>
        </w:r>
      </w:hyperlink>
      <w:r>
        <w:t xml:space="preserve">, holds module objects as its values. The fact that modules can be treated like other values in Python is often expressed by saying that modules are </w:t>
      </w:r>
      <w:r>
        <w:rPr>
          <w:rStyle w:val="Text4"/>
        </w:rPr>
        <w:t>first-class</w:t>
      </w:r>
      <w:r>
        <w:t xml:space="preserve"> objects.</w:t>
      </w:r>
    </w:p>
    <w:p>
      <w:bookmarkStart w:id="1877" w:name="The_import_Statement__The_Python"/>
      <w:pPr>
        <w:keepNext/>
        <w:pStyle w:val="Heading 2"/>
      </w:pPr>
      <w:r>
        <w:t>The import Statement</w:t>
      </w:r>
      <w:bookmarkEnd w:id="1877"/>
    </w:p>
    <w:p>
      <w:pPr>
        <w:pStyle w:val="Normal"/>
      </w:pPr>
      <w:r>
        <w:t>The</w:t>
      </w:r>
      <w:r>
        <w:rPr>
          <w:rStyle w:val="Text111"/>
        </w:rPr>
        <w:bookmarkStart w:id="1878" w:name="importstat07"/>
        <w:t/>
        <w:bookmarkEnd w:id="1878"/>
      </w:r>
      <w:r>
        <w:t xml:space="preserve"> Python code for a module named </w:t>
      </w:r>
      <w:r>
        <w:rPr>
          <w:rStyle w:val="Text3"/>
        </w:rPr>
        <w:t>aname</w:t>
      </w:r>
      <w:r>
        <w:t xml:space="preserve"> usually lives in a file named </w:t>
      </w:r>
      <w:r>
        <w:rPr>
          <w:rStyle w:val="Text4"/>
        </w:rPr>
        <w:t>aname.py</w:t>
      </w:r>
      <w:r>
        <w:t xml:space="preserve">, as covered in </w:t>
      </w:r>
      <w:hyperlink w:anchor="Searching_the_Filesystem_for_a_M">
        <w:r>
          <w:rPr>
            <w:rStyle w:val="Text1"/>
          </w:rPr>
          <w:t>“Searching the Filesystem for a Module”</w:t>
        </w:r>
      </w:hyperlink>
      <w:r>
        <w:t>. You can use any Python source file</w:t>
      </w:r>
      <w:hyperlink w:anchor="1_One_of_our_tech_reviewers_repo">
        <w:r>
          <w:rPr>
            <w:rStyle w:val="Text41"/>
          </w:rPr>
          <w:bookmarkStart w:id="1879" w:name="1_7"/>
          <w:t>1</w:t>
          <w:bookmarkEnd w:id="1879"/>
        </w:r>
      </w:hyperlink>
      <w:r>
        <w:t xml:space="preserve"> as a module by executing an </w:t>
      </w:r>
      <w:r>
        <w:rPr>
          <w:rStyle w:val="Text5"/>
        </w:rPr>
        <w:t>import</w:t>
      </w:r>
      <w:r>
        <w:t xml:space="preserve"> statement in another Python source file. </w:t>
      </w:r>
      <w:r>
        <w:rPr>
          <w:rStyle w:val="Text5"/>
        </w:rPr>
        <w:t>import</w:t>
      </w:r>
      <w:r>
        <w:t xml:space="preserve"> has the following syntax:</w:t>
      </w:r>
    </w:p>
    <w:p>
      <w:pPr>
        <w:pStyle w:val="Para 037"/>
      </w:pPr>
      <w:r>
        <w:rPr>
          <w:rStyle w:val="Text118"/>
        </w:rPr>
        <w:t xml:space="preserve"/>
        <w:br w:clear="none"/>
      </w:r>
      <w:r>
        <w:t xml:space="preserve">import</w:t>
        <w:br w:clear="none"/>
      </w:r>
      <w:r>
        <w:rPr>
          <w:rStyle w:val="Text29"/>
        </w:rPr>
        <w:t xml:space="preserve"> </w:t>
        <w:br w:clear="none"/>
      </w:r>
      <w:r>
        <w:rPr>
          <w:rStyle w:val="Text75"/>
        </w:rPr>
        <w:t xml:space="preserve">modname</w:t>
        <w:br w:clear="none"/>
      </w:r>
      <w:r>
        <w:rPr>
          <w:rStyle w:val="Text29"/>
        </w:rPr>
        <w:t xml:space="preserve"> </w:t>
        <w:br w:clear="none"/>
      </w:r>
      <w:r>
        <w:rPr>
          <w:rStyle w:val="Text31"/>
        </w:rPr>
        <w:t xml:space="preserve">[</w:t>
        <w:br w:clear="none"/>
      </w:r>
      <w:r>
        <w:t xml:space="preserve">as</w:t>
        <w:br w:clear="none"/>
      </w:r>
      <w:r>
        <w:rPr>
          <w:rStyle w:val="Text29"/>
        </w:rPr>
        <w:t xml:space="preserve"> </w:t>
        <w:br w:clear="none"/>
      </w:r>
      <w:r>
        <w:rPr>
          <w:rStyle w:val="Text69"/>
        </w:rPr>
        <w:t xml:space="preserve">varname</w:t>
        <w:br w:clear="none"/>
      </w:r>
      <w:r>
        <w:rPr>
          <w:rStyle w:val="Text31"/>
        </w:rPr>
        <w:t xml:space="preserve">]</w:t>
        <w:br w:clear="none"/>
        <w:t xml:space="preserve">[</w:t>
        <w:br w:clear="none"/>
        <w:t xml:space="preserve">,</w:t>
        <w:br w:clear="none"/>
      </w:r>
      <w:r>
        <w:rPr>
          <w:rStyle w:val="Text63"/>
        </w:rPr>
        <w:t xml:space="preserve">.</w:t>
        <w:br w:clear="none"/>
        <w:t xml:space="preserve">.</w:t>
        <w:br w:clear="none"/>
        <w:t xml:space="preserve">.</w:t>
        <w:br w:clear="none"/>
      </w:r>
      <w:r>
        <w:rPr>
          <w:rStyle w:val="Text31"/>
        </w:rPr>
        <w:t xml:space="preserve">]</w:t>
        <w:br w:clear="none"/>
      </w:r>
    </w:p>
    <w:p>
      <w:pPr>
        <w:pStyle w:val="Normal"/>
      </w:pPr>
      <w:r>
        <w:t xml:space="preserve">After the </w:t>
      </w:r>
      <w:r>
        <w:rPr>
          <w:rStyle w:val="Text5"/>
        </w:rPr>
        <w:t>import</w:t>
      </w:r>
      <w:r>
        <w:t xml:space="preserve"> keyword come one or more module specifiers separated by commas. In the simplest, most common case, a module specifier is just </w:t>
      </w:r>
      <w:r>
        <w:rPr>
          <w:rStyle w:val="Text3"/>
        </w:rPr>
        <w:t>modname</w:t>
      </w:r>
      <w:r>
        <w:t xml:space="preserve">, an identifier—a variable that Python binds to the module object when the </w:t>
      </w:r>
      <w:r>
        <w:rPr>
          <w:rStyle w:val="Text5"/>
        </w:rPr>
        <w:t>import</w:t>
      </w:r>
      <w:r>
        <w:t xml:space="preserve"> statement finishes. In this case, Python looks for the module of the same name to satisfy the </w:t>
      </w:r>
      <w:r>
        <w:rPr>
          <w:rStyle w:val="Text5"/>
        </w:rPr>
        <w:t>import</w:t>
      </w:r>
      <w:r>
        <w:t xml:space="preserve"> request. For example, this statement:</w:t>
      </w:r>
    </w:p>
    <w:p>
      <w:pPr>
        <w:pStyle w:val="Para 072"/>
      </w:pPr>
      <w:r>
        <w:rPr>
          <w:rStyle w:val="Text23"/>
        </w:rPr>
        <w:t xml:space="preserve"/>
        <w:br w:clear="none"/>
      </w:r>
      <w:r>
        <w:rPr>
          <w:rStyle w:val="Text10"/>
        </w:rPr>
        <w:t xml:space="preserve">import</w:t>
        <w:br w:clear="none"/>
      </w:r>
      <w:r>
        <w:rPr>
          <w:rStyle w:val="Text6"/>
        </w:rPr>
        <w:t xml:space="preserve"> </w:t>
        <w:br w:clear="none"/>
      </w:r>
      <w:r>
        <w:t xml:space="preserve">mymodule</w:t>
        <w:br w:clear="none"/>
      </w:r>
    </w:p>
    <w:p>
      <w:pPr>
        <w:pStyle w:val="Normal"/>
      </w:pPr>
      <w:r>
        <w:t xml:space="preserve">looks for the module named </w:t>
      </w:r>
      <w:r>
        <w:rPr>
          <w:rStyle w:val="Text0"/>
        </w:rPr>
        <w:t>mymodule</w:t>
      </w:r>
      <w:r>
        <w:t xml:space="preserve"> and binds the variable named </w:t>
      </w:r>
      <w:r>
        <w:rPr>
          <w:rStyle w:val="Text0"/>
        </w:rPr>
        <w:t>mymodule</w:t>
      </w:r>
      <w:r>
        <w:t xml:space="preserve"> in the current scope to the module object. </w:t>
      </w:r>
      <w:r>
        <w:rPr>
          <w:rStyle w:val="Text3"/>
        </w:rPr>
        <w:t>modname</w:t>
      </w:r>
      <w:r>
        <w:t xml:space="preserve"> can also be a sequence of identifiers separated by</w:t>
      </w:r>
      <w:r>
        <w:rPr>
          <w:rStyle w:val="Text111"/>
        </w:rPr>
        <w:bookmarkStart w:id="1880" w:name="idm45965255002752"/>
        <w:t/>
        <w:bookmarkEnd w:id="1880"/>
        <w:bookmarkStart w:id="1881" w:name="idm45965255001408"/>
        <w:t/>
        <w:bookmarkEnd w:id="1881"/>
      </w:r>
      <w:r>
        <w:t xml:space="preserve"> dots (</w:t>
      </w:r>
      <w:r>
        <w:rPr>
          <w:rStyle w:val="Text0"/>
        </w:rPr>
        <w:t>.</w:t>
      </w:r>
      <w:r>
        <w:t xml:space="preserve">) to name a module contained in a package, as covered in </w:t>
      </w:r>
      <w:hyperlink w:anchor="Packages__As_mentioned_at_the_be">
        <w:r>
          <w:rPr>
            <w:rStyle w:val="Text1"/>
          </w:rPr>
          <w:t>“Packages”</w:t>
        </w:r>
      </w:hyperlink>
      <w:r>
        <w:t>.</w:t>
      </w:r>
    </w:p>
    <w:p>
      <w:pPr>
        <w:pStyle w:val="Normal"/>
      </w:pPr>
      <w:r>
        <w:t xml:space="preserve">When </w:t>
      </w:r>
      <w:r>
        <w:rPr>
          <w:rStyle w:val="Text5"/>
        </w:rPr>
        <w:t>as</w:t>
      </w:r>
      <w:r>
        <w:t xml:space="preserve"> </w:t>
      </w:r>
      <w:r>
        <w:rPr>
          <w:rStyle w:val="Text3"/>
        </w:rPr>
        <w:t>varname</w:t>
      </w:r>
      <w:r>
        <w:t xml:space="preserve"> is part of a module specifier, Python looks for a module named </w:t>
      </w:r>
      <w:r>
        <w:rPr>
          <w:rStyle w:val="Text3"/>
        </w:rPr>
        <w:t>modname</w:t>
      </w:r>
      <w:r>
        <w:t xml:space="preserve"> and binds the module object to the variable </w:t>
      </w:r>
      <w:r>
        <w:rPr>
          <w:rStyle w:val="Text3"/>
        </w:rPr>
        <w:t>varname</w:t>
      </w:r>
      <w:r>
        <w:t>. For example, this:</w:t>
      </w:r>
    </w:p>
    <w:p>
      <w:pPr>
        <w:pStyle w:val="Para 072"/>
      </w:pPr>
      <w:r>
        <w:rPr>
          <w:rStyle w:val="Text23"/>
        </w:rPr>
        <w:t xml:space="preserve"/>
        <w:br w:clear="none"/>
      </w:r>
      <w:r>
        <w:rPr>
          <w:rStyle w:val="Text10"/>
        </w:rPr>
        <w:t xml:space="preserve">import</w:t>
        <w:br w:clear="none"/>
      </w:r>
      <w:r>
        <w:rPr>
          <w:rStyle w:val="Text6"/>
        </w:rPr>
        <w:t xml:space="preserve"> </w:t>
        <w:br w:clear="none"/>
      </w:r>
      <w:r>
        <w:t xml:space="preserve">mymodule</w:t>
        <w:br w:clear="none"/>
      </w:r>
      <w:r>
        <w:rPr>
          <w:rStyle w:val="Text6"/>
        </w:rPr>
        <w:t xml:space="preserve"> </w:t>
        <w:br w:clear="none"/>
      </w:r>
      <w:r>
        <w:rPr>
          <w:rStyle w:val="Text10"/>
        </w:rPr>
        <w:t xml:space="preserve">as</w:t>
        <w:br w:clear="none"/>
      </w:r>
      <w:r>
        <w:rPr>
          <w:rStyle w:val="Text6"/>
        </w:rPr>
        <w:t xml:space="preserve"> </w:t>
        <w:br w:clear="none"/>
      </w:r>
      <w:r>
        <w:t xml:space="preserve">alias</w:t>
        <w:br w:clear="none"/>
      </w:r>
    </w:p>
    <w:p>
      <w:pPr>
        <w:pStyle w:val="Normal"/>
      </w:pPr>
      <w:r>
        <w:t xml:space="preserve">looks for the module named </w:t>
      </w:r>
      <w:r>
        <w:rPr>
          <w:rStyle w:val="Text0"/>
        </w:rPr>
        <w:t>mymodule</w:t>
      </w:r>
      <w:r>
        <w:t xml:space="preserve"> and binds the module object to the variable </w:t>
      </w:r>
      <w:r>
        <w:rPr>
          <w:rStyle w:val="Text3"/>
        </w:rPr>
        <w:t>alias</w:t>
      </w:r>
      <w:r>
        <w:t xml:space="preserve"> in the current scope. </w:t>
      </w:r>
      <w:r>
        <w:rPr>
          <w:rStyle w:val="Text3"/>
        </w:rPr>
        <w:t>varname</w:t>
      </w:r>
      <w:r>
        <w:t xml:space="preserve"> must always be a simple identifier.</w:t>
      </w:r>
    </w:p>
    <w:p>
      <w:bookmarkStart w:id="1882" w:name="The_module_body__The_body_of_a_m"/>
      <w:pPr>
        <w:keepNext/>
        <w:pStyle w:val="Heading 2"/>
      </w:pPr>
      <w:r>
        <w:t>The module body</w:t>
      </w:r>
      <w:bookmarkEnd w:id="1882"/>
    </w:p>
    <w:p>
      <w:pPr>
        <w:pStyle w:val="Normal"/>
      </w:pPr>
      <w:r>
        <w:t xml:space="preserve">The </w:t>
      </w:r>
      <w:r>
        <w:rPr>
          <w:rStyle w:val="Text4"/>
        </w:rPr>
        <w:t>body</w:t>
      </w:r>
      <w:r>
        <w:t xml:space="preserve"> of a module is the sequence of statements in the module’s source file. There is no special syntax required to indicate that a source file is a module; as mentioned previously, you can use any valid Python source file as a module. A module’s body executes immediately the first time a given run of a program imports it. When the body starts executing, the module object has already been created, with an entry in </w:t>
      </w:r>
      <w:r>
        <w:rPr>
          <w:rStyle w:val="Text0"/>
        </w:rPr>
        <w:t>sys.modules</w:t>
      </w:r>
      <w:r>
        <w:t xml:space="preserve"> already bound to the module object. The module’s (global) namespace is gradually populated as the module’s body executes.</w:t>
      </w:r>
    </w:p>
    <w:p>
      <w:bookmarkStart w:id="1883" w:name="Attributes_of_module_objects__An"/>
      <w:pPr>
        <w:keepNext/>
        <w:pStyle w:val="Heading 2"/>
      </w:pPr>
      <w:r>
        <w:t>Attributes of module objects</w:t>
      </w:r>
      <w:bookmarkEnd w:id="1883"/>
    </w:p>
    <w:p>
      <w:pPr>
        <w:pStyle w:val="Normal"/>
      </w:pPr>
      <w:r>
        <w:t xml:space="preserve">An </w:t>
      </w:r>
      <w:r>
        <w:rPr>
          <w:rStyle w:val="Text5"/>
        </w:rPr>
        <w:t>import</w:t>
      </w:r>
      <w:r>
        <w:t xml:space="preserve"> statement creates a new namespace containing all the attributes of the module. To access an attribute in this namespace, use the name or alias of the module as a prefix:</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mymodule</w:t>
        <w:br w:clear="none"/>
      </w:r>
      <w:r>
        <w:rPr>
          <w:rStyle w:val="Text6"/>
        </w:rPr>
        <w:t xml:space="preserve"/>
        <w:br w:clear="none"/>
      </w:r>
      <w:r>
        <w:t xml:space="preserve">a</w:t>
        <w:br w:clear="none"/>
      </w:r>
      <w:r>
        <w:rPr>
          <w:rStyle w:val="Text6"/>
        </w:rPr>
        <w:t xml:space="preserve"> </w:t>
        <w:br w:clear="none"/>
      </w:r>
      <w:r>
        <w:rPr>
          <w:rStyle w:val="Text13"/>
        </w:rPr>
        <w:t xml:space="preserve">=</w:t>
        <w:br w:clear="none"/>
      </w:r>
      <w:r>
        <w:rPr>
          <w:rStyle w:val="Text6"/>
        </w:rPr>
        <w:t xml:space="preserve"> </w:t>
        <w:br w:clear="none"/>
      </w:r>
      <w:r>
        <w:t xml:space="preserve">mymodule</w:t>
        <w:br w:clear="none"/>
      </w:r>
      <w:r>
        <w:rPr>
          <w:rStyle w:val="Text13"/>
        </w:rPr>
        <w:t xml:space="preserve">.</w:t>
        <w:br w:clear="none"/>
      </w:r>
      <w:r>
        <w:t xml:space="preserve">f</w:t>
        <w:br w:clear="none"/>
      </w:r>
      <w:r>
        <w:rPr>
          <w:rStyle w:val="Text7"/>
        </w:rPr>
        <w:t xml:space="preserve">(</w:t>
        <w:br w:clear="none"/>
        <w:t xml:space="preserve">)</w:t>
        <w:br w:clear="none"/>
      </w:r>
    </w:p>
    <w:p>
      <w:pPr>
        <w:pStyle w:val="Normal"/>
      </w:pPr>
      <w:r>
        <w:t>or:</w:t>
      </w:r>
    </w:p>
    <w:p>
      <w:pPr>
        <w:pStyle w:val="Para 072"/>
      </w:pPr>
      <w:r>
        <w:rPr>
          <w:rStyle w:val="Text23"/>
        </w:rPr>
        <w:t xml:space="preserve"/>
        <w:br w:clear="none"/>
      </w:r>
      <w:r>
        <w:rPr>
          <w:rStyle w:val="Text10"/>
        </w:rPr>
        <w:t xml:space="preserve">import</w:t>
        <w:br w:clear="none"/>
      </w:r>
      <w:r>
        <w:rPr>
          <w:rStyle w:val="Text6"/>
        </w:rPr>
        <w:t xml:space="preserve"> </w:t>
        <w:br w:clear="none"/>
      </w:r>
      <w:r>
        <w:t xml:space="preserve">mymodule</w:t>
        <w:br w:clear="none"/>
      </w:r>
      <w:r>
        <w:rPr>
          <w:rStyle w:val="Text6"/>
        </w:rPr>
        <w:t xml:space="preserve"> </w:t>
        <w:br w:clear="none"/>
      </w:r>
      <w:r>
        <w:rPr>
          <w:rStyle w:val="Text10"/>
        </w:rPr>
        <w:t xml:space="preserve">as</w:t>
        <w:br w:clear="none"/>
      </w:r>
      <w:r>
        <w:rPr>
          <w:rStyle w:val="Text6"/>
        </w:rPr>
        <w:t xml:space="preserve"> </w:t>
        <w:br w:clear="none"/>
      </w:r>
      <w:r>
        <w:t xml:space="preserve">alias</w:t>
        <w:br w:clear="none"/>
      </w:r>
      <w:r>
        <w:rPr>
          <w:rStyle w:val="Text6"/>
        </w:rPr>
        <w:t xml:space="preserve"/>
        <w:br w:clear="none"/>
      </w:r>
      <w:r>
        <w:rPr>
          <w:rStyle w:val="Text9"/>
        </w:rPr>
        <w:t xml:space="preserve">a</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alias</w:t>
        <w:br w:clear="none"/>
      </w:r>
      <w:r>
        <w:rPr>
          <w:rStyle w:val="Text13"/>
        </w:rPr>
        <w:t xml:space="preserve">.</w:t>
        <w:br w:clear="none"/>
      </w:r>
      <w:r>
        <w:rPr>
          <w:rStyle w:val="Text9"/>
        </w:rPr>
        <w:t xml:space="preserve">f</w:t>
        <w:br w:clear="none"/>
      </w:r>
      <w:r>
        <w:rPr>
          <w:rStyle w:val="Text7"/>
        </w:rPr>
        <w:t xml:space="preserve">(</w:t>
        <w:br w:clear="none"/>
        <w:t xml:space="preserve">)</w:t>
        <w:br w:clear="none"/>
      </w:r>
    </w:p>
    <w:p>
      <w:pPr>
        <w:pStyle w:val="Normal"/>
      </w:pPr>
      <w:r>
        <w:t>This reduces the time it takes to import the module and ensures that only those applications that use that module incur the overhead of creating it.</w:t>
      </w:r>
    </w:p>
    <w:p>
      <w:pPr>
        <w:pStyle w:val="Normal"/>
      </w:pPr>
      <w:r>
        <w:t>Normally, it is the statements in the module body that bind the attributes of a module object. When a statement in the module body binds a (global) variable, what gets bound is an attribute of the module object.</w:t>
      </w:r>
    </w:p>
    <w:p>
      <w:pPr>
        <w:keepNext/>
        <w:pStyle w:val="Heading 5"/>
        <w:keepLines w:val="on"/>
      </w:pPr>
      <w:r>
        <w:t>A Module Body Exists to Bind the Module’s Attributes</w:t>
      </w:r>
    </w:p>
    <w:p>
      <w:pPr>
        <w:pStyle w:val="Para 012"/>
        <w:keepLines w:val="on"/>
      </w:pPr>
      <w:r>
        <w:t xml:space="preserve">The normal purpose of a module body is to create the module’s attributes: </w:t>
      </w:r>
      <w:r>
        <w:rPr>
          <w:rStyle w:val="Text5"/>
        </w:rPr>
        <w:t>def</w:t>
      </w:r>
      <w:r>
        <w:t xml:space="preserve"> statements create and bind functions, </w:t>
      </w:r>
      <w:r>
        <w:rPr>
          <w:rStyle w:val="Text5"/>
        </w:rPr>
        <w:t>class</w:t>
      </w:r>
      <w:r>
        <w:t xml:space="preserve"> statements create and bind classes, and assignment statements can bind attributes of any type. For clarity and cleanliness in your code, be wary about doing anything else in the top logical level of the module’s body </w:t>
      </w:r>
      <w:r>
        <w:rPr>
          <w:rStyle w:val="Text4"/>
        </w:rPr>
        <w:t>except</w:t>
      </w:r>
      <w:r>
        <w:t xml:space="preserve"> binding the module’s attributes.</w:t>
      </w:r>
    </w:p>
    <w:p>
      <w:pPr>
        <w:pStyle w:val="Normal"/>
      </w:pPr>
      <w:r>
        <w:t>A</w:t>
      </w:r>
      <w:r>
        <w:rPr>
          <w:rStyle w:val="Text111"/>
        </w:rPr>
        <w:bookmarkStart w:id="1884" w:name="idm45965254893088"/>
        <w:t/>
        <w:bookmarkEnd w:id="1884"/>
      </w:r>
      <w:r>
        <w:t xml:space="preserve"> </w:t>
      </w:r>
      <w:r>
        <w:rPr>
          <w:rStyle w:val="Text0"/>
        </w:rPr>
        <w:t>__getattr__</w:t>
      </w:r>
      <w:r>
        <w:t xml:space="preserve"> function defined at module scope can dynamically create new module attributes. One possible reason for doing so would be to lazily define attributes that are time-consuming to create; defining them in a module-level </w:t>
      </w:r>
      <w:r>
        <w:rPr>
          <w:rStyle w:val="Text0"/>
        </w:rPr>
        <w:t>__getattr__</w:t>
      </w:r>
      <w:r>
        <w:t xml:space="preserve"> function defers the creation of the attributes until they are actually referenced, if ever. For instance, this code could be added to </w:t>
      </w:r>
      <w:r>
        <w:rPr>
          <w:rStyle w:val="Text4"/>
        </w:rPr>
        <w:t>mymodule.py</w:t>
      </w:r>
      <w:r>
        <w:t xml:space="preserve"> to defer the creation of a list containing the first million prime numbers, which can take some time to compute:</w:t>
      </w:r>
    </w:p>
    <w:p>
      <w:pPr>
        <w:pStyle w:val="Para 018"/>
      </w:pPr>
      <w:r>
        <w:rPr>
          <w:rStyle w:val="Text104"/>
        </w:rPr>
        <w:t xml:space="preserve"/>
        <w:br w:clear="none"/>
      </w:r>
      <w:r>
        <w:rPr>
          <w:rStyle w:val="Text10"/>
        </w:rPr>
        <w:t xml:space="preserve">def</w:t>
        <w:br w:clear="none"/>
      </w:r>
      <w:r>
        <w:t xml:space="preserve"> </w:t>
        <w:br w:clear="none"/>
        <w:t xml:space="preserve">__getattr__</w:t>
        <w:br w:clear="none"/>
      </w:r>
      <w:r>
        <w:rPr>
          <w:rStyle w:val="Text7"/>
        </w:rPr>
        <w:t xml:space="preserve">(</w:t>
        <w:br w:clear="none"/>
      </w:r>
      <w:r>
        <w:rPr>
          <w:rStyle w:val="Text9"/>
        </w:rPr>
        <w:t xml:space="preserve">name</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name</w:t>
        <w:br w:clear="none"/>
      </w:r>
      <w:r>
        <w:t xml:space="preserve"> </w:t>
        <w:br w:clear="none"/>
      </w:r>
      <w:r>
        <w:rPr>
          <w:rStyle w:val="Text13"/>
        </w:rPr>
        <w:t xml:space="preserve">==</w:t>
        <w:br w:clear="none"/>
      </w:r>
      <w:r>
        <w:t xml:space="preserve"> </w:t>
        <w:br w:clear="none"/>
      </w:r>
      <w:r>
        <w:rPr>
          <w:rStyle w:val="Text8"/>
        </w:rPr>
        <w:t xml:space="preserve">'</w:t>
        <w:br w:clear="none"/>
        <w:t xml:space="preserve">first_million_primes</w:t>
        <w:br w:clear="none"/>
        <w:t xml:space="preserve">'</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r>
      <w:r>
        <w:rPr>
          <w:rStyle w:val="Text18"/>
        </w:rPr>
        <w:t xml:space="preserve">generate_n_primes</w:t>
        <w:br w:clear="none"/>
      </w:r>
      <w:r>
        <w:rPr>
          <w:rStyle w:val="Text7"/>
        </w:rPr>
        <w:t xml:space="preserve">(</w:t>
        <w:br w:clear="none"/>
      </w:r>
      <w:r>
        <w:rPr>
          <w:rStyle w:val="Text9"/>
        </w:rPr>
        <w:t xml:space="preserve">n</w:t>
        <w:br w:clear="none"/>
      </w:r>
      <w:r>
        <w:rPr>
          <w:rStyle w:val="Text7"/>
        </w:rPr>
        <w:t xml:space="preserve">)</w:t>
        <w:br w:clear="none"/>
        <w:t xml:space="preserve">:</w:t>
        <w:br w:clear="none"/>
      </w:r>
      <w:r>
        <w:t xml:space="preserve"/>
        <w:br w:clear="none"/>
        <w:t xml:space="preserve">            </w:t>
        <w:br w:clear="none"/>
      </w:r>
      <w:r>
        <w:rPr>
          <w:rStyle w:val="Text15"/>
        </w:rPr>
        <w:t xml:space="preserve"># ... code to generate 'n' prime numbers ...</w:t>
        <w:br w:clear="none"/>
      </w:r>
      <w:r>
        <w:t xml:space="preserve"/>
        <w:br w:clear="none"/>
        <w:t xml:space="preserve"/>
        <w:br w:clear="none"/>
        <w:t xml:space="preserve">        </w:t>
        <w:br w:clear="none"/>
      </w:r>
      <w:r>
        <w:rPr>
          <w:rStyle w:val="Text10"/>
        </w:rPr>
        <w:t xml:space="preserve">import</w:t>
        <w:br w:clear="none"/>
      </w:r>
      <w:r>
        <w:t xml:space="preserve"> </w:t>
        <w:br w:clear="none"/>
      </w:r>
      <w:r>
        <w:rPr>
          <w:rStyle w:val="Text20"/>
        </w:rPr>
        <w:t xml:space="preserve">sys</w:t>
        <w:br w:clear="none"/>
      </w:r>
      <w:r>
        <w:t xml:space="preserve"/>
        <w:br w:clear="none"/>
        <w:t xml:space="preserve">        </w:t>
        <w:br w:clear="none"/>
      </w:r>
      <w:r>
        <w:rPr>
          <w:rStyle w:val="Text15"/>
        </w:rPr>
        <w:t xml:space="preserve"># Look up __name__ in sys.modules to get current module</w:t>
        <w:br w:clear="none"/>
      </w:r>
      <w:r>
        <w:t xml:space="preserve"/>
        <w:br w:clear="none"/>
        <w:t xml:space="preserve">        </w:t>
        <w:br w:clear="none"/>
      </w:r>
      <w:r>
        <w:rPr>
          <w:rStyle w:val="Text9"/>
        </w:rPr>
        <w:t xml:space="preserve">this_module</w:t>
        <w:br w:clear="none"/>
      </w:r>
      <w:r>
        <w:t xml:space="preserve"> </w:t>
        <w:br w:clear="none"/>
      </w:r>
      <w:r>
        <w:rPr>
          <w:rStyle w:val="Text13"/>
        </w:rPr>
        <w:t xml:space="preserve">=</w:t>
        <w:br w:clear="none"/>
      </w:r>
      <w:r>
        <w:t xml:space="preserve"> </w:t>
        <w:br w:clear="none"/>
      </w:r>
      <w:r>
        <w:rPr>
          <w:rStyle w:val="Text9"/>
        </w:rPr>
        <w:t xml:space="preserve">sys</w:t>
        <w:br w:clear="none"/>
      </w:r>
      <w:r>
        <w:rPr>
          <w:rStyle w:val="Text13"/>
        </w:rPr>
        <w:t xml:space="preserve">.</w:t>
        <w:br w:clear="none"/>
      </w:r>
      <w:r>
        <w:rPr>
          <w:rStyle w:val="Text9"/>
        </w:rPr>
        <w:t xml:space="preserve">modules</w:t>
        <w:br w:clear="none"/>
      </w:r>
      <w:r>
        <w:rPr>
          <w:rStyle w:val="Text7"/>
        </w:rPr>
        <w:t xml:space="preserve">[</w:t>
        <w:br w:clear="none"/>
      </w:r>
      <w:r>
        <w:t xml:space="preserve">__name__</w:t>
        <w:br w:clear="none"/>
      </w:r>
      <w:r>
        <w:rPr>
          <w:rStyle w:val="Text7"/>
        </w:rPr>
        <w:t xml:space="preserve">]</w:t>
        <w:br w:clear="none"/>
      </w:r>
      <w:r>
        <w:t xml:space="preserve"/>
        <w:br w:clear="none"/>
        <w:t xml:space="preserve">        </w:t>
        <w:br w:clear="none"/>
      </w:r>
      <w:r>
        <w:rPr>
          <w:rStyle w:val="Text9"/>
        </w:rPr>
        <w:t xml:space="preserve">this_module</w:t>
        <w:br w:clear="none"/>
      </w:r>
      <w:r>
        <w:rPr>
          <w:rStyle w:val="Text13"/>
        </w:rPr>
        <w:t xml:space="preserve">.</w:t>
        <w:br w:clear="none"/>
      </w:r>
      <w:r>
        <w:rPr>
          <w:rStyle w:val="Text9"/>
        </w:rPr>
        <w:t xml:space="preserve">first_million_primes</w:t>
        <w:br w:clear="none"/>
      </w:r>
      <w:r>
        <w:t xml:space="preserve"> </w:t>
        <w:br w:clear="none"/>
      </w:r>
      <w:r>
        <w:rPr>
          <w:rStyle w:val="Text13"/>
        </w:rPr>
        <w:t xml:space="preserve">=</w:t>
        <w:br w:clear="none"/>
      </w:r>
      <w:r>
        <w:t xml:space="preserve"> </w:t>
        <w:br w:clear="none"/>
      </w:r>
      <w:r>
        <w:rPr>
          <w:rStyle w:val="Text9"/>
        </w:rPr>
        <w:t xml:space="preserve">generate_n_primes</w:t>
        <w:br w:clear="none"/>
      </w:r>
      <w:r>
        <w:rPr>
          <w:rStyle w:val="Text7"/>
        </w:rPr>
        <w:t xml:space="preserve">(</w:t>
        <w:br w:clear="none"/>
      </w:r>
      <w:r>
        <w:rPr>
          <w:rStyle w:val="Text27"/>
        </w:rPr>
        <w:t xml:space="preserve">1_000_000</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this_module</w:t>
        <w:br w:clear="none"/>
      </w:r>
      <w:r>
        <w:rPr>
          <w:rStyle w:val="Text13"/>
        </w:rPr>
        <w:t xml:space="preserve">.</w:t>
        <w:br w:clear="none"/>
      </w:r>
      <w:r>
        <w:rPr>
          <w:rStyle w:val="Text9"/>
        </w:rPr>
        <w:t xml:space="preserve">first_million_primes</w:t>
        <w:br w:clear="none"/>
      </w:r>
      <w:r>
        <w:t xml:space="preserve"/>
        <w:br w:clear="none"/>
        <w:t xml:space="preserve"/>
        <w:br w:clear="none"/>
        <w:t xml:space="preserve">    </w:t>
        <w:br w:clear="none"/>
      </w:r>
      <w:r>
        <w:rPr>
          <w:rStyle w:val="Text10"/>
        </w:rPr>
        <w:t xml:space="preserve">raise</w:t>
        <w:br w:clear="none"/>
      </w:r>
      <w:r>
        <w:t xml:space="preserve"> </w:t>
        <w:br w:clear="none"/>
      </w:r>
      <w:r>
        <w:rPr>
          <w:rStyle w:val="Text36"/>
        </w:rPr>
        <w:t xml:space="preserve">AttributeError</w:t>
        <w:br w:clear="none"/>
      </w:r>
      <w:r>
        <w:rPr>
          <w:rStyle w:val="Text7"/>
        </w:rPr>
        <w:t xml:space="preserve">(</w:t>
        <w:br w:clear="none"/>
      </w:r>
      <w:r>
        <w:t xml:space="preserve">f</w:t>
        <w:br w:clear="none"/>
      </w:r>
      <w:r>
        <w:rPr>
          <w:rStyle w:val="Text8"/>
        </w:rPr>
        <w:t xml:space="preserve">'</w:t>
        <w:br w:clear="none"/>
        <w:t xml:space="preserve">module </w:t>
        <w:br w:clear="none"/>
      </w:r>
      <w:r>
        <w:rPr>
          <w:rStyle w:val="Text32"/>
        </w:rPr>
        <w:t xml:space="preserve">{</w:t>
        <w:br w:clear="none"/>
      </w:r>
      <w:r>
        <w:t xml:space="preserve">__name__</w:t>
        <w:br w:clear="none"/>
      </w:r>
      <w:r>
        <w:rPr>
          <w:rStyle w:val="Text32"/>
        </w:rPr>
        <w:t xml:space="preserve">!r}</w:t>
        <w:br w:clear="none"/>
      </w:r>
      <w:r>
        <w:rPr>
          <w:rStyle w:val="Text83"/>
        </w:rPr>
        <w:t xml:space="preserve"/>
        <w:br w:clear="none"/>
      </w:r>
      <w:r>
        <w:t xml:space="preserve">	                  </w:t>
        <w:br w:clear="none"/>
        <w:t xml:space="preserve">f</w:t>
        <w:br w:clear="none"/>
      </w:r>
      <w:r>
        <w:rPr>
          <w:rStyle w:val="Text8"/>
        </w:rPr>
        <w:t xml:space="preserve">'</w:t>
        <w:br w:clear="none"/>
        <w:t xml:space="preserve"> has no attribute </w:t>
        <w:br w:clear="none"/>
      </w:r>
      <w:r>
        <w:rPr>
          <w:rStyle w:val="Text32"/>
        </w:rPr>
        <w:t xml:space="preserve">{</w:t>
        <w:br w:clear="none"/>
      </w:r>
      <w:r>
        <w:rPr>
          <w:rStyle w:val="Text9"/>
        </w:rPr>
        <w:t xml:space="preserve">name</w:t>
        <w:br w:clear="none"/>
      </w:r>
      <w:r>
        <w:rPr>
          <w:rStyle w:val="Text32"/>
        </w:rPr>
        <w:t xml:space="preserve">!r}</w:t>
        <w:br w:clear="none"/>
      </w:r>
      <w:r>
        <w:rPr>
          <w:rStyle w:val="Text8"/>
        </w:rPr>
        <w:t xml:space="preserve">'</w:t>
        <w:br w:clear="none"/>
      </w:r>
      <w:r>
        <w:rPr>
          <w:rStyle w:val="Text7"/>
        </w:rPr>
        <w:t xml:space="preserve">)</w:t>
        <w:br w:clear="none"/>
      </w:r>
    </w:p>
    <w:p>
      <w:pPr>
        <w:pStyle w:val="Normal"/>
      </w:pPr>
      <w:r>
        <w:t xml:space="preserve">Using a module-level </w:t>
      </w:r>
      <w:r>
        <w:rPr>
          <w:rStyle w:val="Text0"/>
        </w:rPr>
        <w:t>__getattr__</w:t>
      </w:r>
      <w:r>
        <w:t xml:space="preserve"> function has only a small impact on the time to import </w:t>
      </w:r>
      <w:r>
        <w:rPr>
          <w:rStyle w:val="Text4"/>
        </w:rPr>
        <w:t>mymodule.py</w:t>
      </w:r>
      <w:r>
        <w:t xml:space="preserve">, and only those applications that actually use </w:t>
      </w:r>
      <w:r>
        <w:rPr>
          <w:rStyle w:val="Text0"/>
        </w:rPr>
        <w:t>mymodule.first_million_primes</w:t>
      </w:r>
      <w:r>
        <w:t xml:space="preserve"> will incur the overhead of creating it.</w:t>
      </w:r>
    </w:p>
    <w:p>
      <w:pPr>
        <w:pStyle w:val="Normal"/>
      </w:pPr>
      <w:r>
        <w:t xml:space="preserve">You can also bind module attributes in code outside the body (i.e., in other modules); just assign a value to the attribute reference syntax </w:t>
      </w:r>
      <w:r>
        <w:rPr>
          <w:rStyle w:val="Text3"/>
        </w:rPr>
        <w:t>M.name</w:t>
      </w:r>
      <w:r>
        <w:t xml:space="preserve"> (where </w:t>
      </w:r>
      <w:r>
        <w:rPr>
          <w:rStyle w:val="Text3"/>
        </w:rPr>
        <w:t>M</w:t>
      </w:r>
      <w:r>
        <w:t xml:space="preserve"> is any expression whose value is the module, and the identifier </w:t>
      </w:r>
      <w:r>
        <w:rPr>
          <w:rStyle w:val="Text3"/>
        </w:rPr>
        <w:t>name</w:t>
      </w:r>
      <w:r>
        <w:t xml:space="preserve"> is the attribute name). For clarity, however, it’s best to bind module attributes only in the module’s own body.</w:t>
      </w:r>
    </w:p>
    <w:p>
      <w:pPr>
        <w:pStyle w:val="Normal"/>
      </w:pPr>
      <w:r>
        <w:t xml:space="preserve">The </w:t>
      </w:r>
      <w:r>
        <w:rPr>
          <w:rStyle w:val="Text5"/>
        </w:rPr>
        <w:t>import</w:t>
      </w:r>
      <w:r>
        <w:t xml:space="preserve"> statement binds some module attributes as soon as it creates the module object, before the module’s body executes. The </w:t>
      </w:r>
      <w:r>
        <w:rPr>
          <w:rStyle w:val="Text0"/>
        </w:rPr>
        <w:t>__dict__</w:t>
      </w:r>
      <w:r>
        <w:t xml:space="preserve"> attribute is the </w:t>
      </w:r>
      <w:r>
        <w:rPr>
          <w:rStyle w:val="Text0"/>
        </w:rPr>
        <w:t>dict</w:t>
      </w:r>
      <w:r>
        <w:t xml:space="preserve"> object that the module uses as the namespace for its attributes. Unlike other attributes of the module, </w:t>
      </w:r>
      <w:r>
        <w:rPr>
          <w:rStyle w:val="Text0"/>
        </w:rPr>
        <w:t>__dict__</w:t>
      </w:r>
      <w:r>
        <w:t xml:space="preserve"> is not available to code in the module as a global variable. All other attributes in the module are items in </w:t>
      </w:r>
      <w:r>
        <w:rPr>
          <w:rStyle w:val="Text0"/>
        </w:rPr>
        <w:t>__dict__</w:t>
      </w:r>
      <w:r>
        <w:t xml:space="preserve"> and are available to code in the module as global variables. The </w:t>
      </w:r>
      <w:r>
        <w:rPr>
          <w:rStyle w:val="Text0"/>
        </w:rPr>
        <w:t>__name__</w:t>
      </w:r>
      <w:r>
        <w:t xml:space="preserve"> attribute is the module’s name, and </w:t>
      </w:r>
      <w:r>
        <w:rPr>
          <w:rStyle w:val="Text0"/>
        </w:rPr>
        <w:t>__file__</w:t>
      </w:r>
      <w:r>
        <w:t xml:space="preserve"> is the filename from which the module was loaded; other</w:t>
      </w:r>
      <w:r>
        <w:rPr>
          <w:rStyle w:val="Text111"/>
        </w:rPr>
        <w:bookmarkStart w:id="1885" w:name="idm45965254751616"/>
        <w:t/>
        <w:bookmarkEnd w:id="1885"/>
      </w:r>
      <w:r>
        <w:t xml:space="preserve"> dunder-named attributes hold other module metadata. (See also </w:t>
      </w:r>
      <w:hyperlink w:anchor="Special_Attributes_of_Package_Ob">
        <w:r>
          <w:rPr>
            <w:rStyle w:val="Text1"/>
          </w:rPr>
          <w:t>“Special Attributes of Package Objects”</w:t>
        </w:r>
      </w:hyperlink>
      <w:r>
        <w:t xml:space="preserve"> for details on the attribute </w:t>
      </w:r>
      <w:r>
        <w:rPr>
          <w:rStyle w:val="Text0"/>
        </w:rPr>
        <w:t>__path__</w:t>
      </w:r>
      <w:r>
        <w:t>, in packages only.)</w:t>
      </w:r>
    </w:p>
    <w:p>
      <w:pPr>
        <w:pStyle w:val="Normal"/>
      </w:pPr>
      <w:r>
        <w:t xml:space="preserve">For any module object </w:t>
      </w:r>
      <w:r>
        <w:rPr>
          <w:rStyle w:val="Text3"/>
        </w:rPr>
        <w:t>M</w:t>
      </w:r>
      <w:r>
        <w:t xml:space="preserve">, any object </w:t>
      </w:r>
      <w:r>
        <w:rPr>
          <w:rStyle w:val="Text3"/>
        </w:rPr>
        <w:t>x</w:t>
      </w:r>
      <w:r>
        <w:t xml:space="preserve">, and any identifier string </w:t>
      </w:r>
      <w:r>
        <w:rPr>
          <w:rStyle w:val="Text3"/>
        </w:rPr>
        <w:t>S</w:t>
      </w:r>
      <w:r>
        <w:t xml:space="preserve"> (except </w:t>
      </w:r>
      <w:r>
        <w:rPr>
          <w:rStyle w:val="Text0"/>
        </w:rPr>
        <w:t>__dict__</w:t>
      </w:r>
      <w:r>
        <w:t xml:space="preserve">), binding </w:t>
      </w:r>
      <w:r>
        <w:rPr>
          <w:rStyle w:val="Text3"/>
        </w:rPr>
        <w:t>M.S = x</w:t>
      </w:r>
      <w:r>
        <w:t xml:space="preserve"> is equivalent to binding </w:t>
      </w:r>
      <w:r>
        <w:rPr>
          <w:rStyle w:val="Text3"/>
        </w:rPr>
        <w:t>M</w:t>
      </w:r>
      <w:r>
        <w:rPr>
          <w:rStyle w:val="Text0"/>
        </w:rPr>
        <w:t>.__dict__['</w:t>
      </w:r>
      <w:r>
        <w:rPr>
          <w:rStyle w:val="Text3"/>
        </w:rPr>
        <w:t>S</w:t>
      </w:r>
      <w:r>
        <w:rPr>
          <w:rStyle w:val="Text0"/>
        </w:rPr>
        <w:t>'] =</w:t>
      </w:r>
      <w:r>
        <w:t xml:space="preserve"> </w:t>
      </w:r>
      <w:r>
        <w:rPr>
          <w:rStyle w:val="Text3"/>
        </w:rPr>
        <w:t>x</w:t>
      </w:r>
      <w:r>
        <w:t xml:space="preserve">. An attribute reference such as </w:t>
      </w:r>
      <w:r>
        <w:rPr>
          <w:rStyle w:val="Text3"/>
        </w:rPr>
        <w:t>M.S</w:t>
      </w:r>
      <w:r>
        <w:t xml:space="preserve"> is also substantially equivalent to </w:t>
      </w:r>
      <w:r>
        <w:rPr>
          <w:rStyle w:val="Text3"/>
        </w:rPr>
        <w:t>M.__dict__</w:t>
      </w:r>
      <w:r>
        <w:rPr>
          <w:rStyle w:val="Text0"/>
        </w:rPr>
        <w:t>['</w:t>
      </w:r>
      <w:r>
        <w:rPr>
          <w:rStyle w:val="Text3"/>
        </w:rPr>
        <w:t>S</w:t>
      </w:r>
      <w:r>
        <w:rPr>
          <w:rStyle w:val="Text0"/>
        </w:rPr>
        <w:t>']</w:t>
      </w:r>
      <w:r>
        <w:t xml:space="preserve">. The only difference is that, when </w:t>
      </w:r>
      <w:r>
        <w:rPr>
          <w:rStyle w:val="Text3"/>
        </w:rPr>
        <w:t>S</w:t>
      </w:r>
      <w:r>
        <w:t xml:space="preserve"> is not a key in </w:t>
      </w:r>
      <w:r>
        <w:rPr>
          <w:rStyle w:val="Text3"/>
        </w:rPr>
        <w:t>M</w:t>
      </w:r>
      <w:r>
        <w:rPr>
          <w:rStyle w:val="Text0"/>
        </w:rPr>
        <w:t>.__dict__</w:t>
      </w:r>
      <w:r>
        <w:t xml:space="preserve">, accessing </w:t>
      </w:r>
      <w:r>
        <w:rPr>
          <w:rStyle w:val="Text3"/>
        </w:rPr>
        <w:t>M</w:t>
      </w:r>
      <w:r>
        <w:rPr>
          <w:rStyle w:val="Text0"/>
        </w:rPr>
        <w:t>.__dict__['</w:t>
      </w:r>
      <w:r>
        <w:rPr>
          <w:rStyle w:val="Text3"/>
        </w:rPr>
        <w:t>S</w:t>
      </w:r>
      <w:r>
        <w:rPr>
          <w:rStyle w:val="Text0"/>
        </w:rPr>
        <w:t>']</w:t>
      </w:r>
      <w:r>
        <w:t xml:space="preserve"> raises </w:t>
      </w:r>
      <w:r>
        <w:rPr>
          <w:rStyle w:val="Text0"/>
        </w:rPr>
        <w:t>KeyError</w:t>
      </w:r>
      <w:r>
        <w:t xml:space="preserve">, while accessing </w:t>
      </w:r>
      <w:r>
        <w:rPr>
          <w:rStyle w:val="Text3"/>
        </w:rPr>
        <w:t>M.S</w:t>
      </w:r>
      <w:r>
        <w:t xml:space="preserve"> raises </w:t>
      </w:r>
      <w:r>
        <w:rPr>
          <w:rStyle w:val="Text0"/>
        </w:rPr>
        <w:t>AttributeError</w:t>
      </w:r>
      <w:r>
        <w:t xml:space="preserve">. Module attributes are also available to all code in the module’s body as global variables. In other words, within the module body, </w:t>
      </w:r>
      <w:r>
        <w:rPr>
          <w:rStyle w:val="Text3"/>
        </w:rPr>
        <w:t>S</w:t>
      </w:r>
      <w:r>
        <w:t xml:space="preserve"> used as a global variable is equivalent to </w:t>
      </w:r>
      <w:r>
        <w:rPr>
          <w:rStyle w:val="Text3"/>
        </w:rPr>
        <w:t>M.S</w:t>
      </w:r>
      <w:r>
        <w:t xml:space="preserve"> (i.e., </w:t>
      </w:r>
      <w:r>
        <w:rPr>
          <w:rStyle w:val="Text3"/>
        </w:rPr>
        <w:t>M</w:t>
      </w:r>
      <w:r>
        <w:rPr>
          <w:rStyle w:val="Text0"/>
        </w:rPr>
        <w:t>.__dict__['</w:t>
      </w:r>
      <w:r>
        <w:rPr>
          <w:rStyle w:val="Text3"/>
        </w:rPr>
        <w:t>S</w:t>
      </w:r>
      <w:r>
        <w:rPr>
          <w:rStyle w:val="Text0"/>
        </w:rPr>
        <w:t>']</w:t>
      </w:r>
      <w:r>
        <w:t xml:space="preserve">) for both binding and reference (when </w:t>
      </w:r>
      <w:r>
        <w:rPr>
          <w:rStyle w:val="Text3"/>
        </w:rPr>
        <w:t>S</w:t>
      </w:r>
      <w:r>
        <w:t xml:space="preserve"> is </w:t>
      </w:r>
      <w:r>
        <w:rPr>
          <w:rStyle w:val="Text4"/>
        </w:rPr>
        <w:t>not</w:t>
      </w:r>
      <w:r>
        <w:t xml:space="preserve"> a key in </w:t>
      </w:r>
      <w:r>
        <w:rPr>
          <w:rStyle w:val="Text3"/>
        </w:rPr>
        <w:t>M</w:t>
      </w:r>
      <w:r>
        <w:rPr>
          <w:rStyle w:val="Text0"/>
        </w:rPr>
        <w:t>.__dict__</w:t>
      </w:r>
      <w:r>
        <w:t xml:space="preserve">, however, referring to </w:t>
      </w:r>
      <w:r>
        <w:rPr>
          <w:rStyle w:val="Text3"/>
        </w:rPr>
        <w:t>S</w:t>
      </w:r>
      <w:r>
        <w:t xml:space="preserve"> as a global variable raises </w:t>
      </w:r>
      <w:r>
        <w:rPr>
          <w:rStyle w:val="Text0"/>
        </w:rPr>
        <w:t>NameError</w:t>
      </w:r>
      <w:r>
        <w:t>).</w:t>
      </w:r>
    </w:p>
    <w:p>
      <w:bookmarkStart w:id="1886" w:name="Python_built_ins__Python_supplie"/>
      <w:pPr>
        <w:keepNext/>
        <w:pStyle w:val="Heading 2"/>
      </w:pPr>
      <w:r>
        <w:t>Python built-ins</w:t>
      </w:r>
      <w:bookmarkEnd w:id="1886"/>
    </w:p>
    <w:p>
      <w:pPr>
        <w:pStyle w:val="Normal"/>
      </w:pPr>
      <w:r>
        <w:t>Python</w:t>
      </w:r>
      <w:r>
        <w:rPr>
          <w:rStyle w:val="Text111"/>
        </w:rPr>
        <w:bookmarkStart w:id="1887" w:name="idm45965254723088"/>
        <w:t/>
        <w:bookmarkEnd w:id="1887"/>
      </w:r>
      <w:r>
        <w:t xml:space="preserve"> supplies many built-in objects (covered in </w:t>
      </w:r>
      <w:hyperlink w:anchor="Chapter_8__Core_Built_ins_and_St_2">
        <w:r>
          <w:rPr>
            <w:rStyle w:val="Text1"/>
          </w:rPr>
          <w:t>Chapter 8</w:t>
        </w:r>
      </w:hyperlink>
      <w:r>
        <w:t xml:space="preserve">). All built-in objects are attributes of a preloaded module named </w:t>
      </w:r>
      <w:r>
        <w:rPr>
          <w:rStyle w:val="Text0"/>
        </w:rPr>
        <w:t>builtins</w:t>
      </w:r>
      <w:r>
        <w:t xml:space="preserve">. When Python loads a module, the module automatically gets an extra attribute named </w:t>
      </w:r>
      <w:r>
        <w:rPr>
          <w:rStyle w:val="Text0"/>
        </w:rPr>
        <w:t>__builtins__</w:t>
      </w:r>
      <w:r>
        <w:t xml:space="preserve">, which refers either to the module </w:t>
      </w:r>
      <w:r>
        <w:rPr>
          <w:rStyle w:val="Text0"/>
        </w:rPr>
        <w:t>builtins</w:t>
      </w:r>
      <w:r>
        <w:t xml:space="preserve"> or to its dictionary. Python may choose either, so don’t rely</w:t>
      </w:r>
      <w:r>
        <w:rPr>
          <w:rStyle w:val="Text111"/>
        </w:rPr>
        <w:bookmarkStart w:id="1888" w:name="idm45965254718272"/>
        <w:t/>
        <w:bookmarkEnd w:id="1888"/>
      </w:r>
      <w:r>
        <w:t xml:space="preserve"> on </w:t>
      </w:r>
      <w:r>
        <w:rPr>
          <w:rStyle w:val="Text0"/>
        </w:rPr>
        <w:t>__builtins__</w:t>
      </w:r>
      <w:r>
        <w:t xml:space="preserve">. If you need to access the module </w:t>
      </w:r>
      <w:r>
        <w:rPr>
          <w:rStyle w:val="Text0"/>
        </w:rPr>
        <w:t>builtins</w:t>
      </w:r>
      <w:r>
        <w:t xml:space="preserve"> directly (a rare need), use an </w:t>
      </w:r>
      <w:r>
        <w:rPr>
          <w:rStyle w:val="Text5"/>
        </w:rPr>
        <w:t>import</w:t>
      </w:r>
      <w:r>
        <w:t xml:space="preserve"> </w:t>
      </w:r>
      <w:r>
        <w:rPr>
          <w:rStyle w:val="Text0"/>
        </w:rPr>
        <w:t>builtins</w:t>
      </w:r>
      <w:r>
        <w:t xml:space="preserve"> statement. When you access a variable found neither in the local namespace nor in the global namespace of the current module, Python looks for the identifier in the current module’s </w:t>
      </w:r>
      <w:r>
        <w:rPr>
          <w:rStyle w:val="Text0"/>
        </w:rPr>
        <w:t>__builtins__</w:t>
      </w:r>
      <w:r>
        <w:t xml:space="preserve"> before raising </w:t>
      </w:r>
      <w:r>
        <w:rPr>
          <w:rStyle w:val="Text0"/>
        </w:rPr>
        <w:t>NameError</w:t>
      </w:r>
      <w:r>
        <w:t>.</w:t>
      </w:r>
    </w:p>
    <w:p>
      <w:pPr>
        <w:pStyle w:val="Normal"/>
      </w:pPr>
      <w:r>
        <w:t xml:space="preserve">The lookup is the only mechanism that Python uses to let your code access built-ins. Your own code can use the access mechanism directly (do so in moderation, however, or your program’s clarity and simplicity will suffer). The built-ins’ names are not reserved, nor are they hardwired in Python itself—you can add your own built-ins or substitute your functions for the normal built-in ones, in which case all modules see the added or replaced ones. Since Python accesses built-ins only when it cannot resolve a name in the local or module namespace, it is usually sufficient to define a replacement in one of those namespaces. The following toy example shows how you can wrap a built-in function with your own function, allowing </w:t>
      </w:r>
      <w:r>
        <w:rPr>
          <w:rStyle w:val="Text0"/>
        </w:rPr>
        <w:t>abs</w:t>
      </w:r>
      <w:r>
        <w:t xml:space="preserve"> to take a string argument (and return a rather arbitrary mangling of the string):</w:t>
      </w:r>
    </w:p>
    <w:p>
      <w:pPr>
        <w:pStyle w:val="Para 014"/>
      </w:pPr>
      <w:r>
        <w:rPr>
          <w:rStyle w:val="Text116"/>
        </w:rPr>
        <w:t xml:space="preserve"/>
        <w:br w:clear="none"/>
      </w:r>
      <w:r>
        <w:t xml:space="preserve"># abs takes a numeric argument; let's make it accept a string as well</w:t>
        <w:br w:clear="none"/>
      </w:r>
      <w:r>
        <w:rPr>
          <w:rStyle w:val="Text11"/>
        </w:rPr>
        <w:t xml:space="preserve"/>
        <w:br w:clear="none"/>
      </w:r>
      <w:r>
        <w:rPr>
          <w:rStyle w:val="Text22"/>
        </w:rPr>
        <w:t xml:space="preserve">import</w:t>
        <w:br w:clear="none"/>
      </w:r>
      <w:r>
        <w:rPr>
          <w:rStyle w:val="Text11"/>
        </w:rPr>
        <w:t xml:space="preserve"> </w:t>
        <w:br w:clear="none"/>
      </w:r>
      <w:r>
        <w:rPr>
          <w:rStyle w:val="Text53"/>
        </w:rPr>
        <w:t xml:space="preserve">builtins</w:t>
        <w:br w:clear="none"/>
      </w:r>
      <w:r>
        <w:rPr>
          <w:rStyle w:val="Text11"/>
        </w:rPr>
        <w:t xml:space="preserve"/>
        <w:br w:clear="none"/>
      </w:r>
      <w:r>
        <w:rPr>
          <w:rStyle w:val="Text14"/>
        </w:rPr>
        <w:t xml:space="preserve">_abs</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builtins</w:t>
        <w:br w:clear="none"/>
      </w:r>
      <w:r>
        <w:rPr>
          <w:rStyle w:val="Text28"/>
        </w:rPr>
        <w:t xml:space="preserve">.</w:t>
        <w:br w:clear="none"/>
      </w:r>
      <w:r>
        <w:rPr>
          <w:rStyle w:val="Text14"/>
        </w:rPr>
        <w:t xml:space="preserve">abs</w:t>
        <w:br w:clear="none"/>
      </w:r>
      <w:r>
        <w:rPr>
          <w:rStyle w:val="Text11"/>
        </w:rPr>
        <w:t xml:space="preserve">                       </w:t>
        <w:br w:clear="none"/>
      </w:r>
      <w:r>
        <w:t xml:space="preserve"># save original built-in</w:t>
        <w:br w:clear="none"/>
      </w:r>
      <w:r>
        <w:rPr>
          <w:rStyle w:val="Text11"/>
        </w:rPr>
        <w:t xml:space="preserve"/>
        <w:br w:clear="none"/>
      </w:r>
      <w:r>
        <w:rPr>
          <w:rStyle w:val="Text22"/>
        </w:rPr>
        <w:t xml:space="preserve">def</w:t>
        <w:br w:clear="none"/>
      </w:r>
      <w:r>
        <w:rPr>
          <w:rStyle w:val="Text11"/>
        </w:rPr>
        <w:t xml:space="preserve"> </w:t>
        <w:br w:clear="none"/>
      </w:r>
      <w:r>
        <w:rPr>
          <w:rStyle w:val="Text42"/>
        </w:rPr>
        <w:t xml:space="preserve">abs</w:t>
        <w:br w:clear="none"/>
      </w:r>
      <w:r>
        <w:rPr>
          <w:rStyle w:val="Text19"/>
        </w:rPr>
        <w:t xml:space="preserve">(</w:t>
        <w:br w:clear="none"/>
      </w:r>
      <w:r>
        <w:rPr>
          <w:rStyle w:val="Text14"/>
        </w:rPr>
        <w:t xml:space="preserve">str_or_num</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21"/>
        </w:rPr>
        <w:t xml:space="preserve">isinstance</w:t>
        <w:br w:clear="none"/>
      </w:r>
      <w:r>
        <w:rPr>
          <w:rStyle w:val="Text19"/>
        </w:rPr>
        <w:t xml:space="preserve">(</w:t>
        <w:br w:clear="none"/>
      </w:r>
      <w:r>
        <w:rPr>
          <w:rStyle w:val="Text14"/>
        </w:rPr>
        <w:t xml:space="preserve">str_or_num</w:t>
        <w:br w:clear="none"/>
      </w:r>
      <w:r>
        <w:rPr>
          <w:rStyle w:val="Text19"/>
        </w:rPr>
        <w:t xml:space="preserve">,</w:t>
        <w:br w:clear="none"/>
      </w:r>
      <w:r>
        <w:rPr>
          <w:rStyle w:val="Text11"/>
        </w:rPr>
        <w:t xml:space="preserve"> </w:t>
        <w:br w:clear="none"/>
      </w:r>
      <w:r>
        <w:rPr>
          <w:rStyle w:val="Text21"/>
        </w:rPr>
        <w:t xml:space="preserve">str</w:t>
        <w:br w:clear="none"/>
      </w:r>
      <w:r>
        <w:rPr>
          <w:rStyle w:val="Text19"/>
        </w:rPr>
        <w:t xml:space="preserve">)</w:t>
        <w:br w:clear="none"/>
        <w:t xml:space="preserve">:</w:t>
        <w:br w:clear="none"/>
      </w:r>
      <w:r>
        <w:rPr>
          <w:rStyle w:val="Text11"/>
        </w:rPr>
        <w:t xml:space="preserve">       </w:t>
        <w:br w:clear="none"/>
      </w:r>
      <w:r>
        <w:t xml:space="preserve"># if arg is a string</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7"/>
        </w:rPr>
        <w:t xml:space="preserve">'</w:t>
        <w:br w:clear="none"/>
        <w:t xml:space="preserve">'</w:t>
        <w:br w:clear="none"/>
      </w:r>
      <w:r>
        <w:rPr>
          <w:rStyle w:val="Text28"/>
        </w:rPr>
        <w:t xml:space="preserve">.</w:t>
        <w:br w:clear="none"/>
      </w:r>
      <w:r>
        <w:rPr>
          <w:rStyle w:val="Text14"/>
        </w:rPr>
        <w:t xml:space="preserve">join</w:t>
        <w:br w:clear="none"/>
      </w:r>
      <w:r>
        <w:rPr>
          <w:rStyle w:val="Text19"/>
        </w:rPr>
        <w:t xml:space="preserve">(</w:t>
        <w:br w:clear="none"/>
      </w:r>
      <w:r>
        <w:rPr>
          <w:rStyle w:val="Text21"/>
        </w:rPr>
        <w:t xml:space="preserve">sorted</w:t>
        <w:br w:clear="none"/>
      </w:r>
      <w:r>
        <w:rPr>
          <w:rStyle w:val="Text19"/>
        </w:rPr>
        <w:t xml:space="preserve">(</w:t>
        <w:br w:clear="none"/>
      </w:r>
      <w:r>
        <w:rPr>
          <w:rStyle w:val="Text21"/>
        </w:rPr>
        <w:t xml:space="preserve">set</w:t>
        <w:br w:clear="none"/>
      </w:r>
      <w:r>
        <w:rPr>
          <w:rStyle w:val="Text19"/>
        </w:rPr>
        <w:t xml:space="preserve">(</w:t>
        <w:br w:clear="none"/>
      </w:r>
      <w:r>
        <w:rPr>
          <w:rStyle w:val="Text14"/>
        </w:rPr>
        <w:t xml:space="preserve">str_or_num</w:t>
        <w:br w:clear="none"/>
      </w:r>
      <w:r>
        <w:rPr>
          <w:rStyle w:val="Text19"/>
        </w:rPr>
        <w:t xml:space="preserve">)</w:t>
        <w:br w:clear="none"/>
        <w:t xml:space="preserve">)</w:t>
        <w:br w:clear="none"/>
        <w:t xml:space="preserve">)</w:t>
        <w:br w:clear="none"/>
      </w:r>
      <w:r>
        <w:rPr>
          <w:rStyle w:val="Text11"/>
        </w:rPr>
        <w:t xml:space="preserve">  </w:t>
        <w:br w:clear="none"/>
      </w:r>
      <w:r>
        <w:t xml:space="preserve"># get this instead</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_abs</w:t>
        <w:br w:clear="none"/>
      </w:r>
      <w:r>
        <w:rPr>
          <w:rStyle w:val="Text19"/>
        </w:rPr>
        <w:t xml:space="preserve">(</w:t>
        <w:br w:clear="none"/>
      </w:r>
      <w:r>
        <w:rPr>
          <w:rStyle w:val="Text14"/>
        </w:rPr>
        <w:t xml:space="preserve">str_or_num</w:t>
        <w:br w:clear="none"/>
      </w:r>
      <w:r>
        <w:rPr>
          <w:rStyle w:val="Text19"/>
        </w:rPr>
        <w:t xml:space="preserve">)</w:t>
        <w:br w:clear="none"/>
      </w:r>
      <w:r>
        <w:rPr>
          <w:rStyle w:val="Text11"/>
        </w:rPr>
        <w:t xml:space="preserve">               </w:t>
        <w:br w:clear="none"/>
      </w:r>
      <w:r>
        <w:t xml:space="preserve"># call real built-in</w:t>
        <w:br w:clear="none"/>
      </w:r>
      <w:r>
        <w:rPr>
          <w:rStyle w:val="Text11"/>
        </w:rPr>
        <w:t xml:space="preserve"/>
        <w:br w:clear="none"/>
      </w:r>
      <w:r>
        <w:rPr>
          <w:rStyle w:val="Text14"/>
        </w:rPr>
        <w:t xml:space="preserve">builtins</w:t>
        <w:br w:clear="none"/>
      </w:r>
      <w:r>
        <w:rPr>
          <w:rStyle w:val="Text28"/>
        </w:rPr>
        <w:t xml:space="preserve">.</w:t>
        <w:br w:clear="none"/>
      </w:r>
      <w:r>
        <w:rPr>
          <w:rStyle w:val="Text14"/>
        </w:rPr>
        <w:t xml:space="preserve">abs</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abs</w:t>
        <w:br w:clear="none"/>
      </w:r>
      <w:r>
        <w:rPr>
          <w:rStyle w:val="Text11"/>
        </w:rPr>
        <w:t xml:space="preserve">                        </w:t>
        <w:br w:clear="none"/>
      </w:r>
      <w:r>
        <w:t xml:space="preserve"># override built-in w/wrapper</w:t>
        <w:br w:clear="none"/>
      </w:r>
    </w:p>
    <w:p>
      <w:bookmarkStart w:id="1889" w:name="Module_documentation_strings__If"/>
      <w:pPr>
        <w:keepNext/>
        <w:pStyle w:val="Heading 2"/>
      </w:pPr>
      <w:r>
        <w:t>Module documentation strings</w:t>
      </w:r>
      <w:bookmarkEnd w:id="1889"/>
    </w:p>
    <w:p>
      <w:pPr>
        <w:pStyle w:val="Normal"/>
      </w:pPr>
      <w:r>
        <w:t>If</w:t>
      </w:r>
      <w:r>
        <w:rPr>
          <w:rStyle w:val="Text111"/>
        </w:rPr>
        <w:bookmarkStart w:id="1890" w:name="idm45965254632048"/>
        <w:t/>
        <w:bookmarkEnd w:id="1890"/>
      </w:r>
      <w:r>
        <w:t xml:space="preserve"> the first statement in the module body is a string literal, Python binds that string as the module’s documentation string attribute, named </w:t>
      </w:r>
      <w:r>
        <w:rPr>
          <w:rStyle w:val="Text0"/>
        </w:rPr>
        <w:t>__doc__</w:t>
      </w:r>
      <w:r>
        <w:t xml:space="preserve">. For more information on documentation strings, see </w:t>
      </w:r>
      <w:hyperlink w:anchor="Docstrings__Another_function_att">
        <w:r>
          <w:rPr>
            <w:rStyle w:val="Text1"/>
          </w:rPr>
          <w:t>“Docstrings”</w:t>
        </w:r>
      </w:hyperlink>
      <w:r>
        <w:t>.</w:t>
      </w:r>
    </w:p>
    <w:p>
      <w:bookmarkStart w:id="1891" w:name="Module_private_variables__No_var"/>
      <w:pPr>
        <w:keepNext/>
        <w:pStyle w:val="Heading 2"/>
      </w:pPr>
      <w:r>
        <w:t>Module-private variables</w:t>
      </w:r>
      <w:bookmarkEnd w:id="1891"/>
    </w:p>
    <w:p>
      <w:pPr>
        <w:pStyle w:val="Normal"/>
      </w:pPr>
      <w:r>
        <w:t>No</w:t>
      </w:r>
      <w:r>
        <w:rPr>
          <w:rStyle w:val="Text111"/>
        </w:rPr>
        <w:bookmarkStart w:id="1892" w:name="idm45965254642080"/>
        <w:t/>
        <w:bookmarkEnd w:id="1892"/>
        <w:bookmarkStart w:id="1893" w:name="idm45965254640736"/>
        <w:t/>
        <w:bookmarkEnd w:id="1893"/>
      </w:r>
      <w:r>
        <w:t xml:space="preserve"> variable of a module is truly private. However, by convention, every identifier starting with a</w:t>
      </w:r>
      <w:r>
        <w:rPr>
          <w:rStyle w:val="Text111"/>
        </w:rPr>
        <w:bookmarkStart w:id="1894" w:name="idm45965254639424"/>
        <w:t/>
        <w:bookmarkEnd w:id="1894"/>
        <w:bookmarkStart w:id="1895" w:name="idm45965254608928"/>
        <w:t/>
        <w:bookmarkEnd w:id="1895"/>
      </w:r>
      <w:r>
        <w:t xml:space="preserve"> single underscore (</w:t>
      </w:r>
      <w:r>
        <w:rPr>
          <w:rStyle w:val="Text0"/>
        </w:rPr>
        <w:t>_</w:t>
      </w:r>
      <w:r>
        <w:t xml:space="preserve">), such as </w:t>
      </w:r>
      <w:r>
        <w:rPr>
          <w:rStyle w:val="Text0"/>
        </w:rPr>
        <w:t>_secret</w:t>
      </w:r>
      <w:r>
        <w:t xml:space="preserve">, is </w:t>
      </w:r>
      <w:r>
        <w:rPr>
          <w:rStyle w:val="Text4"/>
        </w:rPr>
        <w:t>meant</w:t>
      </w:r>
      <w:r>
        <w:t xml:space="preserve"> to be private. In other words, the leading underscore communicates to client-code programmers that they should not access the identifier directly.</w:t>
      </w:r>
    </w:p>
    <w:p>
      <w:pPr>
        <w:pStyle w:val="Normal"/>
      </w:pPr>
      <w:r>
        <w:t>Development environments and other tools rely on the leading underscore naming convention to discern which attributes of a module are public (i.e., part of the module’s interface) and which are private (i.e., to be used only within the module).</w:t>
      </w:r>
    </w:p>
    <w:p>
      <w:pPr>
        <w:keepNext/>
        <w:pStyle w:val="Heading 5"/>
        <w:keepLines w:val="on"/>
      </w:pPr>
      <w:r>
        <w:t>Respect the “Leading Underscore Means Private” Convention</w:t>
      </w:r>
    </w:p>
    <w:p>
      <w:pPr>
        <w:pStyle w:val="Para 012"/>
        <w:keepLines w:val="on"/>
      </w:pPr>
      <w:r>
        <w:t xml:space="preserve">It’s important to respect the convention that a leading underscore means private, particularly when you write client code that uses modules written by others. Avoid using any attributes in such modules whose names start with </w:t>
      </w:r>
      <w:r>
        <w:rPr>
          <w:rStyle w:val="Text0"/>
        </w:rPr>
        <w:t>_</w:t>
      </w:r>
      <w:r>
        <w:t>. Future releases of the modules will strive to maintain their public interface, but are quite likely to change private implementation details: private attributes are meant exactly for such details.</w:t>
      </w:r>
      <w:r>
        <w:rPr>
          <w:rStyle w:val="Text111"/>
        </w:rPr>
        <w:bookmarkStart w:id="1896" w:name="idm45965254602960"/>
        <w:t/>
        <w:bookmarkEnd w:id="1896"/>
      </w:r>
    </w:p>
    <w:p>
      <w:bookmarkStart w:id="1897" w:name="The_from_Statement__Python_s_fro"/>
      <w:pPr>
        <w:keepNext/>
        <w:pStyle w:val="Heading 2"/>
      </w:pPr>
      <w:r>
        <w:t>The from Statement</w:t>
      </w:r>
      <w:bookmarkEnd w:id="1897"/>
    </w:p>
    <w:p>
      <w:pPr>
        <w:pStyle w:val="Normal"/>
      </w:pPr>
      <w:r>
        <w:t>Python’s</w:t>
      </w:r>
      <w:r>
        <w:rPr>
          <w:rStyle w:val="Text111"/>
        </w:rPr>
        <w:bookmarkStart w:id="1898" w:name="idm45965254599600"/>
        <w:t/>
        <w:bookmarkEnd w:id="1898"/>
        <w:bookmarkStart w:id="1899" w:name="frmimp07"/>
        <w:t/>
        <w:bookmarkEnd w:id="1899"/>
      </w:r>
      <w:r>
        <w:t xml:space="preserve"> </w:t>
      </w:r>
      <w:r>
        <w:rPr>
          <w:rStyle w:val="Text5"/>
        </w:rPr>
        <w:t>from</w:t>
      </w:r>
      <w:r>
        <w:t xml:space="preserve"> statement lets you import specific attributes from a module into the current namespace. </w:t>
      </w:r>
      <w:r>
        <w:rPr>
          <w:rStyle w:val="Text5"/>
        </w:rPr>
        <w:t>from</w:t>
      </w:r>
      <w:r>
        <w:t xml:space="preserve"> has two syntax variants:</w:t>
      </w:r>
    </w:p>
    <w:p>
      <w:pPr>
        <w:pStyle w:val="Para 037"/>
      </w:pPr>
      <w:r>
        <w:rPr>
          <w:rStyle w:val="Text118"/>
        </w:rPr>
        <w:t xml:space="preserve"/>
        <w:br w:clear="none"/>
      </w:r>
      <w:r>
        <w:t xml:space="preserve">from</w:t>
        <w:br w:clear="none"/>
      </w:r>
      <w:r>
        <w:rPr>
          <w:rStyle w:val="Text29"/>
        </w:rPr>
        <w:t xml:space="preserve"> </w:t>
        <w:br w:clear="none"/>
      </w:r>
      <w:r>
        <w:rPr>
          <w:rStyle w:val="Text75"/>
        </w:rPr>
        <w:t xml:space="preserve">modname</w:t>
        <w:br w:clear="none"/>
      </w:r>
      <w:r>
        <w:rPr>
          <w:rStyle w:val="Text29"/>
        </w:rPr>
        <w:t xml:space="preserve"> </w:t>
        <w:br w:clear="none"/>
      </w:r>
      <w:r>
        <w:t xml:space="preserve">import</w:t>
        <w:br w:clear="none"/>
      </w:r>
      <w:r>
        <w:rPr>
          <w:rStyle w:val="Text29"/>
        </w:rPr>
        <w:t xml:space="preserve"> </w:t>
        <w:br w:clear="none"/>
      </w:r>
      <w:r>
        <w:rPr>
          <w:rStyle w:val="Text69"/>
        </w:rPr>
        <w:t xml:space="preserve">attrname</w:t>
        <w:br w:clear="none"/>
      </w:r>
      <w:r>
        <w:rPr>
          <w:rStyle w:val="Text29"/>
        </w:rPr>
        <w:t xml:space="preserve"> </w:t>
        <w:br w:clear="none"/>
      </w:r>
      <w:r>
        <w:rPr>
          <w:rStyle w:val="Text31"/>
        </w:rPr>
        <w:t xml:space="preserve">[</w:t>
        <w:br w:clear="none"/>
      </w:r>
      <w:r>
        <w:t xml:space="preserve">as</w:t>
        <w:br w:clear="none"/>
      </w:r>
      <w:r>
        <w:rPr>
          <w:rStyle w:val="Text29"/>
        </w:rPr>
        <w:t xml:space="preserve"> </w:t>
        <w:br w:clear="none"/>
      </w:r>
      <w:r>
        <w:rPr>
          <w:rStyle w:val="Text69"/>
        </w:rPr>
        <w:t xml:space="preserve">varname</w:t>
        <w:br w:clear="none"/>
      </w:r>
      <w:r>
        <w:rPr>
          <w:rStyle w:val="Text31"/>
        </w:rPr>
        <w:t xml:space="preserve">]</w:t>
        <w:br w:clear="none"/>
        <w:t xml:space="preserve">[</w:t>
        <w:br w:clear="none"/>
        <w:t xml:space="preserve">,</w:t>
        <w:br w:clear="none"/>
      </w:r>
      <w:r>
        <w:rPr>
          <w:rStyle w:val="Text63"/>
        </w:rPr>
        <w:t xml:space="preserve">.</w:t>
        <w:br w:clear="none"/>
        <w:t xml:space="preserve">.</w:t>
        <w:br w:clear="none"/>
        <w:t xml:space="preserve">.</w:t>
        <w:br w:clear="none"/>
      </w:r>
      <w:r>
        <w:rPr>
          <w:rStyle w:val="Text31"/>
        </w:rPr>
        <w:t xml:space="preserve">]</w:t>
        <w:br w:clear="none"/>
      </w:r>
      <w:r>
        <w:rPr>
          <w:rStyle w:val="Text29"/>
        </w:rPr>
        <w:t xml:space="preserve"/>
        <w:br w:clear="none"/>
      </w:r>
      <w:r>
        <w:t xml:space="preserve">from</w:t>
        <w:br w:clear="none"/>
      </w:r>
      <w:r>
        <w:rPr>
          <w:rStyle w:val="Text29"/>
        </w:rPr>
        <w:t xml:space="preserve"> </w:t>
        <w:br w:clear="none"/>
      </w:r>
      <w:r>
        <w:rPr>
          <w:rStyle w:val="Text75"/>
        </w:rPr>
        <w:t xml:space="preserve">modname</w:t>
        <w:br w:clear="none"/>
      </w:r>
      <w:r>
        <w:rPr>
          <w:rStyle w:val="Text29"/>
        </w:rPr>
        <w:t xml:space="preserve"> </w:t>
        <w:br w:clear="none"/>
      </w:r>
      <w:r>
        <w:t xml:space="preserve">import</w:t>
        <w:br w:clear="none"/>
      </w:r>
      <w:r>
        <w:rPr>
          <w:rStyle w:val="Text29"/>
        </w:rPr>
        <w:t xml:space="preserve"> </w:t>
        <w:br w:clear="none"/>
      </w:r>
      <w:r>
        <w:rPr>
          <w:rStyle w:val="Text63"/>
        </w:rPr>
        <w:t xml:space="preserve">*</w:t>
        <w:br w:clear="none"/>
      </w:r>
    </w:p>
    <w:p>
      <w:pPr>
        <w:pStyle w:val="Normal"/>
      </w:pPr>
      <w:r>
        <w:t xml:space="preserve">A </w:t>
      </w:r>
      <w:r>
        <w:rPr>
          <w:rStyle w:val="Text5"/>
        </w:rPr>
        <w:t>from</w:t>
      </w:r>
      <w:r>
        <w:t xml:space="preserve"> statement specifies a module name, followed by one or more attribute specifiers separated by commas. In the simplest and most common case, an attribute specifier is just an identifier </w:t>
      </w:r>
      <w:r>
        <w:rPr>
          <w:rStyle w:val="Text3"/>
        </w:rPr>
        <w:t>attrname</w:t>
      </w:r>
      <w:r>
        <w:t xml:space="preserve">, which is a variable that Python binds to the attribute of the same name in the module named </w:t>
      </w:r>
      <w:r>
        <w:rPr>
          <w:rStyle w:val="Text3"/>
        </w:rPr>
        <w:t>modname</w:t>
      </w:r>
      <w:r>
        <w:t>. For example:</w:t>
      </w:r>
    </w:p>
    <w:p>
      <w:pPr>
        <w:pStyle w:val="Para 037"/>
      </w:pPr>
      <w:r>
        <w:rPr>
          <w:rStyle w:val="Text118"/>
        </w:rPr>
        <w:t xml:space="preserve"/>
        <w:br w:clear="none"/>
      </w:r>
      <w:r>
        <w:t xml:space="preserve">from</w:t>
        <w:br w:clear="none"/>
      </w:r>
      <w:r>
        <w:rPr>
          <w:rStyle w:val="Text29"/>
        </w:rPr>
        <w:t xml:space="preserve"> </w:t>
        <w:br w:clear="none"/>
      </w:r>
      <w:r>
        <w:rPr>
          <w:rStyle w:val="Text54"/>
        </w:rPr>
        <w:t xml:space="preserve">mymodule</w:t>
        <w:br w:clear="none"/>
      </w:r>
      <w:r>
        <w:rPr>
          <w:rStyle w:val="Text29"/>
        </w:rPr>
        <w:t xml:space="preserve"> </w:t>
        <w:br w:clear="none"/>
      </w:r>
      <w:r>
        <w:t xml:space="preserve">import</w:t>
        <w:br w:clear="none"/>
      </w:r>
      <w:r>
        <w:rPr>
          <w:rStyle w:val="Text29"/>
        </w:rPr>
        <w:t xml:space="preserve"> </w:t>
        <w:br w:clear="none"/>
      </w:r>
      <w:r>
        <w:rPr>
          <w:rStyle w:val="Text38"/>
        </w:rPr>
        <w:t xml:space="preserve">f</w:t>
        <w:br w:clear="none"/>
      </w:r>
    </w:p>
    <w:p>
      <w:pPr>
        <w:pStyle w:val="Normal"/>
      </w:pPr>
      <w:r>
        <w:rPr>
          <w:rStyle w:val="Text3"/>
        </w:rPr>
        <w:t>modname</w:t>
      </w:r>
      <w:r>
        <w:t xml:space="preserve"> can also be a sequence of identifiers separated by dots (</w:t>
      </w:r>
      <w:r>
        <w:rPr>
          <w:rStyle w:val="Text0"/>
        </w:rPr>
        <w:t>.</w:t>
      </w:r>
      <w:r>
        <w:t xml:space="preserve">) to name a module within a package, as covered in </w:t>
      </w:r>
      <w:hyperlink w:anchor="Packages__As_mentioned_at_the_be">
        <w:r>
          <w:rPr>
            <w:rStyle w:val="Text1"/>
          </w:rPr>
          <w:t>“Packages”</w:t>
        </w:r>
      </w:hyperlink>
      <w:r>
        <w:t>.</w:t>
      </w:r>
    </w:p>
    <w:p>
      <w:pPr>
        <w:pStyle w:val="Normal"/>
      </w:pPr>
      <w:r>
        <w:t xml:space="preserve">When </w:t>
      </w:r>
      <w:r>
        <w:rPr>
          <w:rStyle w:val="Text5"/>
        </w:rPr>
        <w:t>as</w:t>
      </w:r>
      <w:r>
        <w:t xml:space="preserve"> </w:t>
      </w:r>
      <w:r>
        <w:rPr>
          <w:rStyle w:val="Text3"/>
        </w:rPr>
        <w:t>varname</w:t>
      </w:r>
      <w:r>
        <w:t xml:space="preserve"> is part of an attribute specifier, Python gets the value of the attribute </w:t>
      </w:r>
      <w:r>
        <w:rPr>
          <w:rStyle w:val="Text3"/>
        </w:rPr>
        <w:t>attrname</w:t>
      </w:r>
      <w:r>
        <w:t xml:space="preserve"> from the module and binds it to the variable </w:t>
      </w:r>
      <w:r>
        <w:rPr>
          <w:rStyle w:val="Text3"/>
        </w:rPr>
        <w:t>varname</w:t>
      </w:r>
      <w:r>
        <w:t>. For example:</w:t>
      </w:r>
    </w:p>
    <w:p>
      <w:pPr>
        <w:pStyle w:val="Para 037"/>
      </w:pPr>
      <w:r>
        <w:rPr>
          <w:rStyle w:val="Text118"/>
        </w:rPr>
        <w:t xml:space="preserve"/>
        <w:br w:clear="none"/>
      </w:r>
      <w:r>
        <w:t xml:space="preserve">from</w:t>
        <w:br w:clear="none"/>
      </w:r>
      <w:r>
        <w:rPr>
          <w:rStyle w:val="Text29"/>
        </w:rPr>
        <w:t xml:space="preserve"> </w:t>
        <w:br w:clear="none"/>
      </w:r>
      <w:r>
        <w:rPr>
          <w:rStyle w:val="Text54"/>
        </w:rPr>
        <w:t xml:space="preserve">mymodule</w:t>
        <w:br w:clear="none"/>
      </w:r>
      <w:r>
        <w:rPr>
          <w:rStyle w:val="Text29"/>
        </w:rPr>
        <w:t xml:space="preserve"> </w:t>
        <w:br w:clear="none"/>
      </w:r>
      <w:r>
        <w:t xml:space="preserve">import</w:t>
        <w:br w:clear="none"/>
      </w:r>
      <w:r>
        <w:rPr>
          <w:rStyle w:val="Text29"/>
        </w:rPr>
        <w:t xml:space="preserve"> </w:t>
        <w:br w:clear="none"/>
      </w:r>
      <w:r>
        <w:rPr>
          <w:rStyle w:val="Text38"/>
        </w:rPr>
        <w:t xml:space="preserve">f</w:t>
        <w:br w:clear="none"/>
      </w:r>
      <w:r>
        <w:rPr>
          <w:rStyle w:val="Text29"/>
        </w:rPr>
        <w:t xml:space="preserve"> </w:t>
        <w:br w:clear="none"/>
      </w:r>
      <w:r>
        <w:t xml:space="preserve">as</w:t>
        <w:br w:clear="none"/>
      </w:r>
      <w:r>
        <w:rPr>
          <w:rStyle w:val="Text29"/>
        </w:rPr>
        <w:t xml:space="preserve"> </w:t>
        <w:br w:clear="none"/>
      </w:r>
      <w:r>
        <w:rPr>
          <w:rStyle w:val="Text38"/>
        </w:rPr>
        <w:t xml:space="preserve">foo</w:t>
        <w:br w:clear="none"/>
      </w:r>
    </w:p>
    <w:p>
      <w:pPr>
        <w:pStyle w:val="Normal"/>
      </w:pPr>
      <w:r>
        <w:rPr>
          <w:rStyle w:val="Text3"/>
        </w:rPr>
        <w:t>attrname</w:t>
      </w:r>
      <w:r>
        <w:t xml:space="preserve"> and </w:t>
      </w:r>
      <w:r>
        <w:rPr>
          <w:rStyle w:val="Text3"/>
        </w:rPr>
        <w:t>varname</w:t>
      </w:r>
      <w:r>
        <w:t xml:space="preserve"> are always simple identifiers.</w:t>
      </w:r>
    </w:p>
    <w:p>
      <w:pPr>
        <w:pStyle w:val="Normal"/>
      </w:pPr>
      <w:r>
        <w:t xml:space="preserve">You may optionally enclose in parentheses all the attribute specifiers that follow the keyword </w:t>
      </w:r>
      <w:r>
        <w:rPr>
          <w:rStyle w:val="Text5"/>
        </w:rPr>
        <w:t>import</w:t>
      </w:r>
      <w:r>
        <w:t xml:space="preserve"> in a </w:t>
      </w:r>
      <w:r>
        <w:rPr>
          <w:rStyle w:val="Text5"/>
        </w:rPr>
        <w:t>from</w:t>
      </w:r>
      <w:r>
        <w:t xml:space="preserve"> statement. This can be useful when you have many attribute specifiers, in order to split the single logical line of the </w:t>
      </w:r>
      <w:r>
        <w:rPr>
          <w:rStyle w:val="Text5"/>
        </w:rPr>
        <w:t>from</w:t>
      </w:r>
      <w:r>
        <w:t xml:space="preserve"> statement into multiple logical lines more elegantly than by using backslashes (</w:t>
      </w:r>
      <w:r>
        <w:rPr>
          <w:rStyle w:val="Text0"/>
        </w:rPr>
        <w:t>\</w:t>
      </w:r>
      <w:r>
        <w:t>):</w:t>
      </w:r>
    </w:p>
    <w:p>
      <w:pPr>
        <w:pStyle w:val="Para 007"/>
      </w:pPr>
      <w:r>
        <w:rPr>
          <w:rStyle w:val="Text23"/>
        </w:rPr>
        <w:t xml:space="preserve"/>
        <w:br w:clear="none"/>
      </w:r>
      <w:r>
        <w:rPr>
          <w:rStyle w:val="Text10"/>
        </w:rPr>
        <w:t xml:space="preserve">from</w:t>
        <w:br w:clear="none"/>
      </w:r>
      <w:r>
        <w:rPr>
          <w:rStyle w:val="Text6"/>
        </w:rPr>
        <w:t xml:space="preserve"> </w:t>
        <w:br w:clear="none"/>
      </w:r>
      <w:r>
        <w:rPr>
          <w:rStyle w:val="Text20"/>
        </w:rPr>
        <w:t xml:space="preserve">some_module_with_a_long_name</w:t>
        <w:br w:clear="none"/>
      </w:r>
      <w:r>
        <w:rPr>
          <w:rStyle w:val="Text6"/>
        </w:rPr>
        <w:t xml:space="preserve"> </w:t>
        <w:br w:clear="none"/>
      </w:r>
      <w:r>
        <w:rPr>
          <w:rStyle w:val="Text10"/>
        </w:rPr>
        <w:t xml:space="preserve">import</w:t>
        <w:br w:clear="none"/>
      </w:r>
      <w:r>
        <w:rPr>
          <w:rStyle w:val="Text6"/>
        </w:rPr>
        <w:t xml:space="preserve"> </w:t>
        <w:br w:clear="none"/>
      </w:r>
      <w:r>
        <w:rPr>
          <w:rStyle w:val="Text7"/>
        </w:rPr>
        <w:t xml:space="preserve">(</w:t>
        <w:br w:clear="none"/>
      </w:r>
      <w:r>
        <w:rPr>
          <w:rStyle w:val="Text6"/>
        </w:rPr>
        <w:t xml:space="preserve"/>
        <w:br w:clear="none"/>
        <w:t xml:space="preserve">    </w:t>
        <w:br w:clear="none"/>
      </w:r>
      <w:r>
        <w:t xml:space="preserve">another_name</w:t>
        <w:br w:clear="none"/>
      </w:r>
      <w:r>
        <w:rPr>
          <w:rStyle w:val="Text7"/>
        </w:rPr>
        <w:t xml:space="preserve">,</w:t>
        <w:br w:clear="none"/>
      </w:r>
      <w:r>
        <w:rPr>
          <w:rStyle w:val="Text6"/>
        </w:rPr>
        <w:t xml:space="preserve"> </w:t>
        <w:br w:clear="none"/>
      </w:r>
      <w:r>
        <w:t xml:space="preserve">and_another</w:t>
        <w:br w:clear="none"/>
      </w:r>
      <w:r>
        <w:rPr>
          <w:rStyle w:val="Text6"/>
        </w:rPr>
        <w:t xml:space="preserve"> </w:t>
        <w:br w:clear="none"/>
      </w:r>
      <w:r>
        <w:rPr>
          <w:rStyle w:val="Text10"/>
        </w:rPr>
        <w:t xml:space="preserve">as</w:t>
        <w:br w:clear="none"/>
      </w:r>
      <w:r>
        <w:rPr>
          <w:rStyle w:val="Text6"/>
        </w:rPr>
        <w:t xml:space="preserve"> </w:t>
        <w:br w:clear="none"/>
      </w:r>
      <w:r>
        <w:t xml:space="preserve">x</w:t>
        <w:br w:clear="none"/>
      </w:r>
      <w:r>
        <w:rPr>
          <w:rStyle w:val="Text7"/>
        </w:rPr>
        <w:t xml:space="preserve">,</w:t>
        <w:br w:clear="none"/>
      </w:r>
      <w:r>
        <w:rPr>
          <w:rStyle w:val="Text6"/>
        </w:rPr>
        <w:t xml:space="preserve"> </w:t>
        <w:br w:clear="none"/>
      </w:r>
      <w:r>
        <w:t xml:space="preserve">one_more</w:t>
        <w:br w:clear="none"/>
      </w:r>
      <w:r>
        <w:rPr>
          <w:rStyle w:val="Text7"/>
        </w:rPr>
        <w:t xml:space="preserve">,</w:t>
        <w:br w:clear="none"/>
      </w:r>
      <w:r>
        <w:rPr>
          <w:rStyle w:val="Text6"/>
        </w:rPr>
        <w:t xml:space="preserve"> </w:t>
        <w:br w:clear="none"/>
      </w:r>
      <w:r>
        <w:t xml:space="preserve">and_yet_another</w:t>
        <w:br w:clear="none"/>
      </w:r>
      <w:r>
        <w:rPr>
          <w:rStyle w:val="Text6"/>
        </w:rPr>
        <w:t xml:space="preserve"> </w:t>
        <w:br w:clear="none"/>
      </w:r>
      <w:r>
        <w:rPr>
          <w:rStyle w:val="Text10"/>
        </w:rPr>
        <w:t xml:space="preserve">as</w:t>
        <w:br w:clear="none"/>
      </w:r>
      <w:r>
        <w:rPr>
          <w:rStyle w:val="Text6"/>
        </w:rPr>
        <w:t xml:space="preserve"> </w:t>
        <w:br w:clear="none"/>
      </w:r>
      <w:r>
        <w:t xml:space="preserve">y</w:t>
        <w:br w:clear="none"/>
      </w:r>
      <w:r>
        <w:rPr>
          <w:rStyle w:val="Text7"/>
        </w:rPr>
        <w:t xml:space="preserve">)</w:t>
        <w:br w:clear="none"/>
      </w:r>
    </w:p>
    <w:p>
      <w:bookmarkStart w:id="1900" w:name="from___import____Code_that_is_di"/>
      <w:pPr>
        <w:keepNext/>
        <w:pStyle w:val="Heading 2"/>
      </w:pPr>
      <w:r>
        <w:t>from...import *</w:t>
      </w:r>
      <w:bookmarkEnd w:id="1900"/>
    </w:p>
    <w:p>
      <w:pPr>
        <w:pStyle w:val="Normal"/>
      </w:pPr>
      <w:r>
        <w:t>Code that is directly inside a module body (not in the body of a function or class) may use an</w:t>
      </w:r>
      <w:r>
        <w:rPr>
          <w:rStyle w:val="Text111"/>
        </w:rPr>
        <w:bookmarkStart w:id="1901" w:name="idm45965254452112"/>
        <w:t/>
        <w:bookmarkEnd w:id="1901"/>
        <w:bookmarkStart w:id="1902" w:name="idm45965254450768"/>
        <w:t/>
        <w:bookmarkEnd w:id="1902"/>
      </w:r>
      <w:r>
        <w:t xml:space="preserve"> asterisk (</w:t>
      </w:r>
      <w:r>
        <w:rPr>
          <w:rStyle w:val="Text0"/>
        </w:rPr>
        <w:t>*</w:t>
      </w:r>
      <w:r>
        <w:t xml:space="preserve">) in a </w:t>
      </w:r>
      <w:r>
        <w:rPr>
          <w:rStyle w:val="Text5"/>
        </w:rPr>
        <w:t>from</w:t>
      </w:r>
      <w:r>
        <w:t xml:space="preserve"> statement:</w:t>
      </w:r>
    </w:p>
    <w:p>
      <w:pPr>
        <w:pStyle w:val="Para 037"/>
      </w:pPr>
      <w:r>
        <w:rPr>
          <w:rStyle w:val="Text118"/>
        </w:rPr>
        <w:t xml:space="preserve"/>
        <w:br w:clear="none"/>
      </w:r>
      <w:r>
        <w:t xml:space="preserve">from</w:t>
        <w:br w:clear="none"/>
      </w:r>
      <w:r>
        <w:rPr>
          <w:rStyle w:val="Text29"/>
        </w:rPr>
        <w:t xml:space="preserve"> </w:t>
        <w:br w:clear="none"/>
      </w:r>
      <w:r>
        <w:rPr>
          <w:rStyle w:val="Text54"/>
        </w:rPr>
        <w:t xml:space="preserve">mymodule</w:t>
        <w:br w:clear="none"/>
      </w:r>
      <w:r>
        <w:rPr>
          <w:rStyle w:val="Text29"/>
        </w:rPr>
        <w:t xml:space="preserve"> </w:t>
        <w:br w:clear="none"/>
      </w:r>
      <w:r>
        <w:t xml:space="preserve">import</w:t>
        <w:br w:clear="none"/>
      </w:r>
      <w:r>
        <w:rPr>
          <w:rStyle w:val="Text29"/>
        </w:rPr>
        <w:t xml:space="preserve"> </w:t>
        <w:br w:clear="none"/>
      </w:r>
      <w:r>
        <w:rPr>
          <w:rStyle w:val="Text63"/>
        </w:rPr>
        <w:t xml:space="preserve">*</w:t>
        <w:br w:clear="none"/>
      </w:r>
    </w:p>
    <w:p>
      <w:pPr>
        <w:pStyle w:val="Normal"/>
      </w:pPr>
      <w:r>
        <w:t xml:space="preserve">The </w:t>
      </w:r>
      <w:r>
        <w:rPr>
          <w:rStyle w:val="Text0"/>
        </w:rPr>
        <w:t>*</w:t>
      </w:r>
      <w:r>
        <w:t xml:space="preserve"> requests that “all” attributes of module </w:t>
      </w:r>
      <w:r>
        <w:rPr>
          <w:rStyle w:val="Text3"/>
        </w:rPr>
        <w:t>modname</w:t>
      </w:r>
      <w:r>
        <w:t xml:space="preserve"> be bound as global variables in the importing module. When module </w:t>
      </w:r>
      <w:r>
        <w:rPr>
          <w:rStyle w:val="Text3"/>
        </w:rPr>
        <w:t>modname</w:t>
      </w:r>
      <w:r>
        <w:t xml:space="preserve"> has an attribute named </w:t>
      </w:r>
      <w:r>
        <w:rPr>
          <w:rStyle w:val="Text0"/>
        </w:rPr>
        <w:t>__all__</w:t>
      </w:r>
      <w:r>
        <w:t xml:space="preserve">, the attribute’s value is the list of the attribute names that this type of </w:t>
      </w:r>
      <w:r>
        <w:rPr>
          <w:rStyle w:val="Text5"/>
        </w:rPr>
        <w:t>from</w:t>
      </w:r>
      <w:r>
        <w:t xml:space="preserve"> statement binds. Otherwise, this type of </w:t>
      </w:r>
      <w:r>
        <w:rPr>
          <w:rStyle w:val="Text5"/>
        </w:rPr>
        <w:t>from</w:t>
      </w:r>
      <w:r>
        <w:t xml:space="preserve"> statement binds all attributes of </w:t>
      </w:r>
      <w:r>
        <w:rPr>
          <w:rStyle w:val="Text3"/>
        </w:rPr>
        <w:t>modname</w:t>
      </w:r>
      <w:r>
        <w:t xml:space="preserve"> except those beginning with underscores.</w:t>
      </w:r>
    </w:p>
    <w:p>
      <w:pPr>
        <w:keepNext/>
        <w:pStyle w:val="Heading 6"/>
        <w:keepLines w:val="on"/>
      </w:pPr>
      <w:r>
        <w:t>Beware Using “from M import *” in Your Code</w:t>
      </w:r>
    </w:p>
    <w:p>
      <w:pPr>
        <w:pStyle w:val="Para 012"/>
        <w:keepLines w:val="on"/>
      </w:pPr>
      <w:r>
        <w:t>Since</w:t>
      </w:r>
      <w:r>
        <w:rPr>
          <w:rStyle w:val="Text111"/>
        </w:rPr>
        <w:bookmarkStart w:id="1903" w:name="idm45965254412832"/>
        <w:t/>
        <w:bookmarkEnd w:id="1903"/>
      </w:r>
      <w:r>
        <w:t xml:space="preserve"> </w:t>
      </w:r>
      <w:r>
        <w:rPr>
          <w:rStyle w:val="Text5"/>
        </w:rPr>
        <w:t>from</w:t>
      </w:r>
      <w:r>
        <w:t xml:space="preserve"> </w:t>
      </w:r>
      <w:r>
        <w:rPr>
          <w:rStyle w:val="Text3"/>
        </w:rPr>
        <w:t>M</w:t>
      </w:r>
      <w:r>
        <w:t xml:space="preserve"> </w:t>
      </w:r>
      <w:r>
        <w:rPr>
          <w:rStyle w:val="Text5"/>
        </w:rPr>
        <w:t>import</w:t>
      </w:r>
      <w:r>
        <w:t xml:space="preserve"> </w:t>
      </w:r>
      <w:r>
        <w:rPr>
          <w:rStyle w:val="Text0"/>
        </w:rPr>
        <w:t>*</w:t>
      </w:r>
      <w:r>
        <w:t xml:space="preserve"> may bind an arbitrary set of global variables, it can have unforeseen, undesired side effects, such as hiding built-ins and rebinding variables you still need. Use the </w:t>
      </w:r>
      <w:r>
        <w:rPr>
          <w:rStyle w:val="Text0"/>
        </w:rPr>
        <w:t>*</w:t>
      </w:r>
      <w:r>
        <w:t xml:space="preserve"> form of </w:t>
      </w:r>
      <w:r>
        <w:rPr>
          <w:rStyle w:val="Text5"/>
        </w:rPr>
        <w:t>from</w:t>
      </w:r>
      <w:r>
        <w:t xml:space="preserve"> very sparingly, if at all, and only to import modules that are explicitly documented as supporting such usage. Your code is most likely better off </w:t>
      </w:r>
      <w:r>
        <w:rPr>
          <w:rStyle w:val="Text4"/>
        </w:rPr>
        <w:t>never</w:t>
      </w:r>
      <w:r>
        <w:t xml:space="preserve"> using this form, which is meant mostly as a convenience for occasional use in interactive Python sessions.</w:t>
      </w:r>
    </w:p>
    <w:p>
      <w:bookmarkStart w:id="1904" w:name="from_versus_import__The_import_s"/>
      <w:pPr>
        <w:keepNext/>
        <w:pStyle w:val="Heading 2"/>
      </w:pPr>
      <w:r>
        <w:t>from versus import</w:t>
      </w:r>
      <w:bookmarkEnd w:id="1904"/>
    </w:p>
    <w:p>
      <w:pPr>
        <w:pStyle w:val="Normal"/>
      </w:pPr>
      <w:r>
        <w:t>The</w:t>
      </w:r>
      <w:r>
        <w:rPr>
          <w:rStyle w:val="Text111"/>
        </w:rPr>
        <w:bookmarkStart w:id="1905" w:name="idm45965254387600"/>
        <w:t/>
        <w:bookmarkEnd w:id="1905"/>
      </w:r>
      <w:r>
        <w:t xml:space="preserve"> </w:t>
      </w:r>
      <w:r>
        <w:rPr>
          <w:rStyle w:val="Text5"/>
        </w:rPr>
        <w:t>import</w:t>
      </w:r>
      <w:r>
        <w:t xml:space="preserve"> statement is often a better choice than the </w:t>
      </w:r>
      <w:r>
        <w:rPr>
          <w:rStyle w:val="Text5"/>
        </w:rPr>
        <w:t>from</w:t>
      </w:r>
      <w:r>
        <w:t xml:space="preserve"> statement. When you always access module </w:t>
      </w:r>
      <w:r>
        <w:rPr>
          <w:rStyle w:val="Text3"/>
        </w:rPr>
        <w:t>M</w:t>
      </w:r>
      <w:r>
        <w:t xml:space="preserve"> with the statement </w:t>
      </w:r>
      <w:r>
        <w:rPr>
          <w:rStyle w:val="Text5"/>
        </w:rPr>
        <w:t>import</w:t>
      </w:r>
      <w:r>
        <w:t xml:space="preserve"> </w:t>
      </w:r>
      <w:r>
        <w:rPr>
          <w:rStyle w:val="Text3"/>
        </w:rPr>
        <w:t>M</w:t>
      </w:r>
      <w:r>
        <w:t xml:space="preserve">, and always access </w:t>
      </w:r>
      <w:r>
        <w:rPr>
          <w:rStyle w:val="Text3"/>
        </w:rPr>
        <w:t>M</w:t>
      </w:r>
      <w:r>
        <w:t xml:space="preserve">’s attributes with the explicit syntax </w:t>
      </w:r>
      <w:r>
        <w:rPr>
          <w:rStyle w:val="Text3"/>
        </w:rPr>
        <w:t>M.A</w:t>
      </w:r>
      <w:r>
        <w:t xml:space="preserve">, your code is slightly less concise but far clearer and more readable. One good use of </w:t>
      </w:r>
      <w:r>
        <w:rPr>
          <w:rStyle w:val="Text5"/>
        </w:rPr>
        <w:t>from</w:t>
      </w:r>
      <w:r>
        <w:t xml:space="preserve"> is to import specific modules from a package, as we discuss in </w:t>
      </w:r>
      <w:hyperlink w:anchor="Packages__As_mentioned_at_the_be">
        <w:r>
          <w:rPr>
            <w:rStyle w:val="Text1"/>
          </w:rPr>
          <w:t>“Packages”</w:t>
        </w:r>
      </w:hyperlink>
      <w:r>
        <w:t xml:space="preserve">. In most other cases, </w:t>
      </w:r>
      <w:r>
        <w:rPr>
          <w:rStyle w:val="Text5"/>
        </w:rPr>
        <w:t>import</w:t>
      </w:r>
      <w:r>
        <w:t xml:space="preserve"> is better style than </w:t>
      </w:r>
      <w:r>
        <w:rPr>
          <w:rStyle w:val="Text5"/>
        </w:rPr>
        <w:t>from</w:t>
      </w:r>
      <w:r>
        <w:t>.</w:t>
      </w:r>
      <w:r>
        <w:rPr>
          <w:rStyle w:val="Text111"/>
        </w:rPr>
        <w:bookmarkStart w:id="1906" w:name="idm45965254376224"/>
        <w:t/>
        <w:bookmarkEnd w:id="1906"/>
      </w:r>
    </w:p>
    <w:p>
      <w:bookmarkStart w:id="1907" w:name="Handling_import_failures__If_you"/>
      <w:pPr>
        <w:keepNext/>
        <w:pStyle w:val="Heading 2"/>
      </w:pPr>
      <w:r>
        <w:t>Handling import failures</w:t>
      </w:r>
      <w:bookmarkEnd w:id="1907"/>
    </w:p>
    <w:p>
      <w:pPr>
        <w:pStyle w:val="Normal"/>
      </w:pPr>
      <w:r>
        <w:t>If</w:t>
      </w:r>
      <w:r>
        <w:rPr>
          <w:rStyle w:val="Text111"/>
        </w:rPr>
        <w:bookmarkStart w:id="1908" w:name="idm45965254373264"/>
        <w:t/>
        <w:bookmarkEnd w:id="1908"/>
      </w:r>
      <w:r>
        <w:t xml:space="preserve"> you are importing a module that is not part of standard Python and wish to handle import failures, you can do so by catching the </w:t>
      </w:r>
      <w:r>
        <w:rPr>
          <w:rStyle w:val="Text0"/>
        </w:rPr>
        <w:t>ImportError</w:t>
      </w:r>
      <w:r>
        <w:t xml:space="preserve"> exception. For instance, if your code does optional output formatting using the third-party </w:t>
      </w:r>
      <w:r>
        <w:rPr>
          <w:rStyle w:val="Text0"/>
        </w:rPr>
        <w:t>rich</w:t>
      </w:r>
      <w:r>
        <w:t xml:space="preserve"> module, but falls back to regular output if that module has not been installed, you would import the module using:</w:t>
      </w:r>
    </w:p>
    <w:p>
      <w:pPr>
        <w:pStyle w:val="Para 037"/>
      </w:pPr>
      <w:r>
        <w:rPr>
          <w:rStyle w:val="Text118"/>
        </w:rPr>
        <w:t xml:space="preserve"/>
        <w:br w:clear="none"/>
      </w:r>
      <w:r>
        <w:rPr>
          <w:rStyle w:val="Text37"/>
        </w:rPr>
        <w:t xml:space="preserve">try</w:t>
        <w:br w:clear="none"/>
      </w:r>
      <w:r>
        <w:rPr>
          <w:rStyle w:val="Text31"/>
        </w:rPr>
        <w:t xml:space="preserve">:</w:t>
        <w:br w:clear="none"/>
      </w:r>
      <w:r>
        <w:rPr>
          <w:rStyle w:val="Text29"/>
        </w:rPr>
        <w:t xml:space="preserve"/>
        <w:br w:clear="none"/>
      </w:r>
      <w:r>
        <w:rPr>
          <w:rStyle w:val="Text6"/>
        </w:rPr>
        <w:t xml:space="preserve">    </w:t>
        <w:br w:clear="none"/>
      </w:r>
      <w:r>
        <w:t xml:space="preserve">import</w:t>
        <w:br w:clear="none"/>
      </w:r>
      <w:r>
        <w:rPr>
          <w:rStyle w:val="Text29"/>
        </w:rPr>
        <w:t xml:space="preserve"> </w:t>
        <w:br w:clear="none"/>
      </w:r>
      <w:r>
        <w:rPr>
          <w:rStyle w:val="Text54"/>
        </w:rPr>
        <w:t xml:space="preserve">rich</w:t>
        <w:br w:clear="none"/>
      </w:r>
      <w:r>
        <w:rPr>
          <w:rStyle w:val="Text29"/>
        </w:rPr>
        <w:t xml:space="preserve"/>
        <w:br w:clear="none"/>
      </w:r>
      <w:r>
        <w:t xml:space="preserve">except</w:t>
        <w:br w:clear="none"/>
      </w:r>
      <w:r>
        <w:rPr>
          <w:rStyle w:val="Text29"/>
        </w:rPr>
        <w:t xml:space="preserve"> </w:t>
        <w:br w:clear="none"/>
      </w:r>
      <w:r>
        <w:rPr>
          <w:rStyle w:val="Text57"/>
        </w:rPr>
        <w:t xml:space="preserve">ImportError</w:t>
        <w:br w:clear="none"/>
      </w:r>
      <w:r>
        <w:rPr>
          <w:rStyle w:val="Text7"/>
        </w:rPr>
        <w:t xml:space="preserve">:</w:t>
        <w:br w:clear="none"/>
      </w:r>
      <w:r>
        <w:rPr>
          <w:rStyle w:val="Text29"/>
        </w:rPr>
        <w:t xml:space="preserve"/>
        <w:br w:clear="none"/>
      </w:r>
      <w:r>
        <w:rPr>
          <w:rStyle w:val="Text6"/>
        </w:rPr>
        <w:t xml:space="preserve">   </w:t>
        <w:br w:clear="none"/>
      </w:r>
      <w:r>
        <w:rPr>
          <w:rStyle w:val="Text29"/>
        </w:rPr>
        <w:t xml:space="preserve"> </w:t>
        <w:br w:clear="none"/>
      </w:r>
      <w:r>
        <w:rPr>
          <w:rStyle w:val="Text38"/>
        </w:rPr>
        <w:t xml:space="preserve">rich</w:t>
        <w:br w:clear="none"/>
      </w:r>
      <w:r>
        <w:rPr>
          <w:rStyle w:val="Text29"/>
        </w:rPr>
        <w:t xml:space="preserve"> </w:t>
        <w:br w:clear="none"/>
      </w:r>
      <w:r>
        <w:rPr>
          <w:rStyle w:val="Text63"/>
        </w:rPr>
        <w:t xml:space="preserve">=</w:t>
        <w:br w:clear="none"/>
      </w:r>
      <w:r>
        <w:rPr>
          <w:rStyle w:val="Text29"/>
        </w:rPr>
        <w:t xml:space="preserve"> </w:t>
        <w:br w:clear="none"/>
      </w:r>
      <w:r>
        <w:t xml:space="preserve">None</w:t>
        <w:br w:clear="none"/>
      </w:r>
    </w:p>
    <w:p>
      <w:pPr>
        <w:pStyle w:val="Normal"/>
      </w:pPr>
      <w:r>
        <w:t>Then, in the output portion of your program, you would</w:t>
      </w:r>
      <w:r>
        <w:rPr>
          <w:rStyle w:val="Text111"/>
        </w:rPr>
        <w:bookmarkStart w:id="1909" w:name="idm45965254363040"/>
        <w:t/>
        <w:bookmarkEnd w:id="1909"/>
      </w:r>
      <w:r>
        <w:t xml:space="preserve"> write:</w:t>
      </w:r>
    </w:p>
    <w:p>
      <w:pPr>
        <w:pStyle w:val="Para 007"/>
      </w:pPr>
      <w:r>
        <w:rPr>
          <w:rStyle w:val="Text23"/>
        </w:rPr>
        <w:t xml:space="preserve"/>
        <w:br w:clear="none"/>
      </w:r>
      <w:r>
        <w:rPr>
          <w:rStyle w:val="Text10"/>
        </w:rPr>
        <w:t xml:space="preserve">if</w:t>
        <w:br w:clear="none"/>
      </w:r>
      <w:r>
        <w:rPr>
          <w:rStyle w:val="Text6"/>
        </w:rPr>
        <w:t xml:space="preserve"> </w:t>
        <w:br w:clear="none"/>
      </w:r>
      <w:r>
        <w:t xml:space="preserve">rich</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r>
        <w:rPr>
          <w:rStyle w:val="Text6"/>
        </w:rPr>
        <w:t xml:space="preserve"> </w:t>
        <w:br w:clear="none"/>
      </w:r>
      <w:r>
        <w:t xml:space="preserve">output</w:t>
        <w:br w:clear="none"/>
      </w:r>
      <w:r>
        <w:rPr>
          <w:rStyle w:val="Text6"/>
        </w:rPr>
        <w:t xml:space="preserve"> </w:t>
        <w:br w:clear="none"/>
      </w:r>
      <w:r>
        <w:t xml:space="preserve">using</w:t>
        <w:br w:clear="none"/>
      </w:r>
      <w:r>
        <w:rPr>
          <w:rStyle w:val="Text6"/>
        </w:rPr>
        <w:t xml:space="preserve"> </w:t>
        <w:br w:clear="none"/>
      </w:r>
      <w:r>
        <w:t xml:space="preserve">rich</w:t>
        <w:br w:clear="none"/>
      </w:r>
      <w:r>
        <w:rPr>
          <w:rStyle w:val="Text6"/>
        </w:rPr>
        <w:t xml:space="preserve"> </w:t>
        <w:br w:clear="none"/>
      </w:r>
      <w:r>
        <w:t xml:space="preserve">module</w:t>
        <w:br w:clear="none"/>
      </w:r>
      <w:r>
        <w:rPr>
          <w:rStyle w:val="Text6"/>
        </w:rPr>
        <w:t xml:space="preserve"> </w:t>
        <w:br w:clear="none"/>
      </w:r>
      <w:r>
        <w:t xml:space="preserve">features</w:t>
        <w:br w:clear="none"/>
      </w:r>
      <w:r>
        <w:rPr>
          <w:rStyle w:val="Text6"/>
        </w:rPr>
        <w:t xml:space="preserve"> </w:t>
        <w:br w:clear="none"/>
      </w:r>
      <w:r>
        <w:rPr>
          <w:rStyle w:val="Text13"/>
        </w:rPr>
        <w:t xml:space="preserve">.</w:t>
        <w:br w:clear="none"/>
        <w:t xml:space="preserve">.</w:t>
        <w:br w:clear="none"/>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r>
        <w:rPr>
          <w:rStyle w:val="Text6"/>
        </w:rPr>
        <w:t xml:space="preserve"> </w:t>
        <w:br w:clear="none"/>
      </w:r>
      <w:r>
        <w:t xml:space="preserve">output</w:t>
        <w:br w:clear="none"/>
      </w:r>
      <w:r>
        <w:rPr>
          <w:rStyle w:val="Text6"/>
        </w:rPr>
        <w:t xml:space="preserve"> </w:t>
        <w:br w:clear="none"/>
      </w:r>
      <w:r>
        <w:t xml:space="preserve">using</w:t>
        <w:br w:clear="none"/>
      </w:r>
      <w:r>
        <w:rPr>
          <w:rStyle w:val="Text6"/>
        </w:rPr>
        <w:t xml:space="preserve"> </w:t>
        <w:br w:clear="none"/>
      </w:r>
      <w:r>
        <w:t xml:space="preserve">normal</w:t>
        <w:br w:clear="none"/>
      </w:r>
      <w:r>
        <w:rPr>
          <w:rStyle w:val="Text6"/>
        </w:rPr>
        <w:t xml:space="preserve"> </w:t>
        <w:br w:clear="none"/>
      </w:r>
      <w:r>
        <w:rPr>
          <w:rStyle w:val="Text16"/>
        </w:rPr>
        <w:t xml:space="preserve">print</w:t>
        <w:br w:clear="none"/>
      </w:r>
      <w:r>
        <w:rPr>
          <w:rStyle w:val="Text7"/>
        </w:rPr>
        <w:t xml:space="preserve">(</w:t>
        <w:br w:clear="none"/>
        <w:t xml:space="preserve">)</w:t>
        <w:br w:clear="none"/>
      </w:r>
      <w:r>
        <w:rPr>
          <w:rStyle w:val="Text6"/>
        </w:rPr>
        <w:t xml:space="preserve"> </w:t>
        <w:br w:clear="none"/>
      </w:r>
      <w:r>
        <w:t xml:space="preserve">statements</w:t>
        <w:br w:clear="none"/>
      </w:r>
      <w:r>
        <w:rPr>
          <w:rStyle w:val="Text6"/>
        </w:rPr>
        <w:t xml:space="preserve"> </w:t>
        <w:br w:clear="none"/>
      </w:r>
      <w:r>
        <w:rPr>
          <w:rStyle w:val="Text13"/>
        </w:rPr>
        <w:t xml:space="preserve">.</w:t>
        <w:br w:clear="none"/>
        <w:t xml:space="preserve">.</w:t>
        <w:br w:clear="none"/>
        <w:t xml:space="preserve">.</w:t>
        <w:br w:clear="none"/>
      </w:r>
    </w:p>
    <w:p>
      <w:bookmarkStart w:id="1910" w:name="Module_Loading__Module_loading_o"/>
      <w:pPr>
        <w:keepNext/>
        <w:pStyle w:val="Heading 1"/>
      </w:pPr>
      <w:r>
        <w:t>Module Loading</w:t>
      </w:r>
      <w:bookmarkEnd w:id="1910"/>
    </w:p>
    <w:p>
      <w:pPr>
        <w:pStyle w:val="Normal"/>
      </w:pPr>
      <w:r>
        <w:t>Module-loading operations</w:t>
      </w:r>
      <w:r>
        <w:rPr>
          <w:rStyle w:val="Text111"/>
        </w:rPr>
        <w:bookmarkStart w:id="1911" w:name="Mload07"/>
        <w:t/>
        <w:bookmarkEnd w:id="1911"/>
      </w:r>
      <w:r>
        <w:t xml:space="preserve"> rely on attributes of the built-in </w:t>
      </w:r>
      <w:r>
        <w:rPr>
          <w:rStyle w:val="Text0"/>
        </w:rPr>
        <w:t>sys</w:t>
      </w:r>
      <w:r>
        <w:t xml:space="preserve"> module (covered in </w:t>
      </w:r>
      <w:hyperlink w:anchor="The_sys_Module__The_attributes_o">
        <w:r>
          <w:rPr>
            <w:rStyle w:val="Text1"/>
          </w:rPr>
          <w:t>“The sys Module”</w:t>
        </w:r>
      </w:hyperlink>
      <w:r>
        <w:t xml:space="preserve">) and are implemented in the built-in function </w:t>
      </w:r>
      <w:r>
        <w:rPr>
          <w:rStyle w:val="Text0"/>
        </w:rPr>
        <w:t>__import__</w:t>
      </w:r>
      <w:r>
        <w:t xml:space="preserve">. Your code could call </w:t>
      </w:r>
      <w:r>
        <w:rPr>
          <w:rStyle w:val="Text0"/>
        </w:rPr>
        <w:t>__import__</w:t>
      </w:r>
      <w:r>
        <w:t xml:space="preserve"> directly, but this is strongly discouraged in modern Python; rather, </w:t>
      </w:r>
      <w:r>
        <w:rPr>
          <w:rStyle w:val="Text5"/>
        </w:rPr>
        <w:t>import</w:t>
      </w:r>
      <w:r>
        <w:t xml:space="preserve"> </w:t>
      </w:r>
      <w:r>
        <w:rPr>
          <w:rStyle w:val="Text0"/>
        </w:rPr>
        <w:t>importlib</w:t>
      </w:r>
      <w:r>
        <w:t xml:space="preserve"> and call </w:t>
      </w:r>
      <w:r>
        <w:rPr>
          <w:rStyle w:val="Text0"/>
        </w:rPr>
        <w:t>importlib.import_module</w:t>
      </w:r>
      <w:r>
        <w:t xml:space="preserve"> with the module name string as the argument. </w:t>
      </w:r>
      <w:r>
        <w:rPr>
          <w:rStyle w:val="Text0"/>
        </w:rPr>
        <w:t>import_module</w:t>
      </w:r>
      <w:r>
        <w:t xml:space="preserve"> returns the module object or, should the import fail, raises </w:t>
      </w:r>
      <w:r>
        <w:rPr>
          <w:rStyle w:val="Text0"/>
        </w:rPr>
        <w:t>ImportError</w:t>
      </w:r>
      <w:r>
        <w:t xml:space="preserve">. However, it’s best to have a clear understanding of the semantics of </w:t>
      </w:r>
      <w:r>
        <w:rPr>
          <w:rStyle w:val="Text0"/>
        </w:rPr>
        <w:t>__import__</w:t>
      </w:r>
      <w:r>
        <w:t xml:space="preserve">, because </w:t>
      </w:r>
      <w:r>
        <w:rPr>
          <w:rStyle w:val="Text0"/>
        </w:rPr>
        <w:t>import_module</w:t>
      </w:r>
      <w:r>
        <w:t xml:space="preserve"> and </w:t>
      </w:r>
      <w:r>
        <w:rPr>
          <w:rStyle w:val="Text5"/>
        </w:rPr>
        <w:t>import</w:t>
      </w:r>
      <w:r>
        <w:t xml:space="preserve"> statements both depend on it.</w:t>
      </w:r>
    </w:p>
    <w:p>
      <w:pPr>
        <w:pStyle w:val="Normal"/>
      </w:pPr>
      <w:r>
        <w:t xml:space="preserve">To import a module named </w:t>
      </w:r>
      <w:r>
        <w:rPr>
          <w:rStyle w:val="Text3"/>
        </w:rPr>
        <w:t>M</w:t>
      </w:r>
      <w:r>
        <w:t xml:space="preserve">, </w:t>
      </w:r>
      <w:r>
        <w:rPr>
          <w:rStyle w:val="Text0"/>
        </w:rPr>
        <w:t>__import__</w:t>
      </w:r>
      <w:r>
        <w:t xml:space="preserve"> first checks the dictionary </w:t>
      </w:r>
      <w:r>
        <w:rPr>
          <w:rStyle w:val="Text0"/>
        </w:rPr>
        <w:t>sys.modules</w:t>
      </w:r>
      <w:r>
        <w:t xml:space="preserve">, using the string </w:t>
      </w:r>
      <w:r>
        <w:rPr>
          <w:rStyle w:val="Text3"/>
        </w:rPr>
        <w:t>M</w:t>
      </w:r>
      <w:r>
        <w:t xml:space="preserve"> as the key. When the key </w:t>
      </w:r>
      <w:r>
        <w:rPr>
          <w:rStyle w:val="Text3"/>
        </w:rPr>
        <w:t>M</w:t>
      </w:r>
      <w:r>
        <w:t xml:space="preserve"> is in the dictionary, </w:t>
      </w:r>
      <w:r>
        <w:rPr>
          <w:rStyle w:val="Text0"/>
        </w:rPr>
        <w:t>__import__</w:t>
      </w:r>
      <w:r>
        <w:t xml:space="preserve"> returns the corresponding value as the requested module object. Otherwise, </w:t>
      </w:r>
      <w:r>
        <w:rPr>
          <w:rStyle w:val="Text0"/>
        </w:rPr>
        <w:t>__import__</w:t>
      </w:r>
      <w:r>
        <w:t xml:space="preserve"> binds </w:t>
      </w:r>
      <w:r>
        <w:rPr>
          <w:rStyle w:val="Text0"/>
        </w:rPr>
        <w:t>sys.modules[</w:t>
      </w:r>
      <w:r>
        <w:rPr>
          <w:rStyle w:val="Text3"/>
        </w:rPr>
        <w:t>M</w:t>
      </w:r>
      <w:r>
        <w:rPr>
          <w:rStyle w:val="Text0"/>
        </w:rPr>
        <w:t>]</w:t>
      </w:r>
      <w:r>
        <w:t xml:space="preserve"> to a new empty module object with a </w:t>
      </w:r>
      <w:r>
        <w:rPr>
          <w:rStyle w:val="Text0"/>
        </w:rPr>
        <w:t>__name__</w:t>
      </w:r>
      <w:r>
        <w:t xml:space="preserve"> of </w:t>
      </w:r>
      <w:r>
        <w:rPr>
          <w:rStyle w:val="Text3"/>
        </w:rPr>
        <w:t>M</w:t>
      </w:r>
      <w:r>
        <w:t>, then looks for the right way to initialize (load) the module, as covered in the upcoming section on searching the filesystem for a module.</w:t>
      </w:r>
    </w:p>
    <w:p>
      <w:pPr>
        <w:pStyle w:val="Normal"/>
      </w:pPr>
      <w:r>
        <w:t xml:space="preserve">Thanks to this mechanism, the relatively slow loading operation takes place only the first time a module is imported in a given run of the program. When a module is imported again, the module is not reloaded, since </w:t>
      </w:r>
      <w:r>
        <w:rPr>
          <w:rStyle w:val="Text0"/>
        </w:rPr>
        <w:t>__import__</w:t>
      </w:r>
      <w:r>
        <w:t xml:space="preserve"> rapidly finds and returns the module’s entry in </w:t>
      </w:r>
      <w:r>
        <w:rPr>
          <w:rStyle w:val="Text0"/>
        </w:rPr>
        <w:t>sys.modules</w:t>
      </w:r>
      <w:r>
        <w:t xml:space="preserve">. Thus, all imports of a given module after the first one are very fast: they’re just dictionary lookups. (To </w:t>
      </w:r>
      <w:r>
        <w:rPr>
          <w:rStyle w:val="Text4"/>
        </w:rPr>
        <w:t>force</w:t>
      </w:r>
      <w:r>
        <w:t xml:space="preserve"> a reload, see </w:t>
      </w:r>
      <w:hyperlink w:anchor="Reloading_Modules__Python_loads">
        <w:r>
          <w:rPr>
            <w:rStyle w:val="Text1"/>
          </w:rPr>
          <w:t>“Reloading Modules”</w:t>
        </w:r>
      </w:hyperlink>
      <w:r>
        <w:t>.)</w:t>
      </w:r>
    </w:p>
    <w:p>
      <w:bookmarkStart w:id="1912" w:name="Built_in_Modules__When_a_module"/>
      <w:pPr>
        <w:keepNext/>
        <w:pStyle w:val="Heading 2"/>
      </w:pPr>
      <w:r>
        <w:t>Built-in Modules</w:t>
      </w:r>
      <w:bookmarkEnd w:id="1912"/>
    </w:p>
    <w:p>
      <w:pPr>
        <w:pStyle w:val="Normal"/>
      </w:pPr>
      <w:r>
        <w:t>When</w:t>
      </w:r>
      <w:r>
        <w:rPr>
          <w:rStyle w:val="Text111"/>
        </w:rPr>
        <w:bookmarkStart w:id="1913" w:name="idm45965254242432"/>
        <w:t/>
        <w:bookmarkEnd w:id="1913"/>
      </w:r>
      <w:r>
        <w:t xml:space="preserve"> a module is loaded, </w:t>
      </w:r>
      <w:r>
        <w:rPr>
          <w:rStyle w:val="Text0"/>
        </w:rPr>
        <w:t>__import__</w:t>
      </w:r>
      <w:r>
        <w:t xml:space="preserve"> first checks whether the module is a built-in. The tuple </w:t>
      </w:r>
      <w:r>
        <w:rPr>
          <w:rStyle w:val="Text0"/>
        </w:rPr>
        <w:t>sys.builtin_module_names</w:t>
      </w:r>
      <w:r>
        <w:t xml:space="preserve"> names all built-in modules, but rebinding that tuple does not affect module loading. When it loads a built-in module, as when it loads any other extension, Python calls the module’s initialization function. The search for built-in modules also looks for modules in platform-specific locations, such as the Registry in Windows.</w:t>
      </w:r>
    </w:p>
    <w:p>
      <w:bookmarkStart w:id="1914" w:name="Searching_the_Filesystem_for_a_M"/>
      <w:pPr>
        <w:keepNext/>
        <w:pStyle w:val="Heading 2"/>
      </w:pPr>
      <w:r>
        <w:t>Searching the Filesystem for a Module</w:t>
      </w:r>
      <w:bookmarkEnd w:id="1914"/>
    </w:p>
    <w:p>
      <w:pPr>
        <w:pStyle w:val="Normal"/>
      </w:pPr>
      <w:r>
        <w:t>If</w:t>
      </w:r>
      <w:r>
        <w:rPr>
          <w:rStyle w:val="Text111"/>
        </w:rPr>
        <w:bookmarkStart w:id="1915" w:name="FSmod07"/>
        <w:t/>
        <w:bookmarkEnd w:id="1915"/>
      </w:r>
      <w:r>
        <w:t xml:space="preserve"> module </w:t>
      </w:r>
      <w:r>
        <w:rPr>
          <w:rStyle w:val="Text3"/>
        </w:rPr>
        <w:t>M</w:t>
      </w:r>
      <w:r>
        <w:t xml:space="preserve"> is not a built-in, </w:t>
      </w:r>
      <w:r>
        <w:rPr>
          <w:rStyle w:val="Text0"/>
        </w:rPr>
        <w:t>__import__</w:t>
      </w:r>
      <w:r>
        <w:t xml:space="preserve"> looks for </w:t>
      </w:r>
      <w:r>
        <w:rPr>
          <w:rStyle w:val="Text3"/>
        </w:rPr>
        <w:t>M</w:t>
      </w:r>
      <w:r>
        <w:t xml:space="preserve">’s code as a file on the filesystem. </w:t>
      </w:r>
      <w:r>
        <w:rPr>
          <w:rStyle w:val="Text0"/>
        </w:rPr>
        <w:t>__import__</w:t>
      </w:r>
      <w:r>
        <w:t xml:space="preserve"> looks at the items of the list </w:t>
      </w:r>
      <w:r>
        <w:rPr>
          <w:rStyle w:val="Text0"/>
        </w:rPr>
        <w:t>sys.path</w:t>
      </w:r>
      <w:r>
        <w:t xml:space="preserve">, which are strings, in order. Each item is the path of a directory, or the path of an archive file in the popular </w:t>
      </w:r>
      <w:hyperlink r:id="rId279">
        <w:r>
          <w:rPr>
            <w:rStyle w:val="Text1"/>
          </w:rPr>
          <w:t>ZIP format</w:t>
        </w:r>
      </w:hyperlink>
      <w:r>
        <w:t xml:space="preserve">. </w:t>
      </w:r>
      <w:r>
        <w:rPr>
          <w:rStyle w:val="Text0"/>
        </w:rPr>
        <w:t>sys.path</w:t>
      </w:r>
      <w:r>
        <w:t xml:space="preserve"> is initialized at program startup, using the environment variable </w:t>
      </w:r>
      <w:r>
        <w:rPr>
          <w:rStyle w:val="Text0"/>
        </w:rPr>
        <w:t>PYTHONPATH</w:t>
      </w:r>
      <w:r>
        <w:t xml:space="preserve"> (covered in </w:t>
      </w:r>
      <w:hyperlink w:anchor="Environment_Variables__Besides_P">
        <w:r>
          <w:rPr>
            <w:rStyle w:val="Text1"/>
          </w:rPr>
          <w:t>“Environment Variables”</w:t>
        </w:r>
      </w:hyperlink>
      <w:r>
        <w:t xml:space="preserve">), if present. The first item in </w:t>
      </w:r>
      <w:r>
        <w:rPr>
          <w:rStyle w:val="Text0"/>
        </w:rPr>
        <w:t>sys.path</w:t>
      </w:r>
      <w:r>
        <w:t xml:space="preserve"> is always the directory from which the main program is loaded. An empty string in </w:t>
      </w:r>
      <w:r>
        <w:rPr>
          <w:rStyle w:val="Text0"/>
        </w:rPr>
        <w:t>sys.path</w:t>
      </w:r>
      <w:r>
        <w:t xml:space="preserve"> indicates the current directory.</w:t>
      </w:r>
    </w:p>
    <w:p>
      <w:pPr>
        <w:pStyle w:val="Normal"/>
      </w:pPr>
      <w:r>
        <w:t xml:space="preserve">Your code can mutate or rebind </w:t>
      </w:r>
      <w:r>
        <w:rPr>
          <w:rStyle w:val="Text0"/>
        </w:rPr>
        <w:t>sys.path</w:t>
      </w:r>
      <w:r>
        <w:t xml:space="preserve">, and such changes affect which directories and ZIP archives </w:t>
      </w:r>
      <w:r>
        <w:rPr>
          <w:rStyle w:val="Text0"/>
        </w:rPr>
        <w:t>__import__</w:t>
      </w:r>
      <w:r>
        <w:t xml:space="preserve"> searches to load modules. Changing </w:t>
      </w:r>
      <w:r>
        <w:rPr>
          <w:rStyle w:val="Text0"/>
        </w:rPr>
        <w:t>sys.path</w:t>
      </w:r>
      <w:r>
        <w:t xml:space="preserve"> does </w:t>
      </w:r>
      <w:r>
        <w:rPr>
          <w:rStyle w:val="Text4"/>
        </w:rPr>
        <w:t>not</w:t>
      </w:r>
      <w:r>
        <w:t xml:space="preserve"> affect modules that are already loaded (and thus already recorded in </w:t>
      </w:r>
      <w:r>
        <w:rPr>
          <w:rStyle w:val="Text0"/>
        </w:rPr>
        <w:t>sys.modules</w:t>
      </w:r>
      <w:r>
        <w:t>).</w:t>
      </w:r>
    </w:p>
    <w:p>
      <w:pPr>
        <w:pStyle w:val="Normal"/>
      </w:pPr>
      <w:r>
        <w:t xml:space="preserve">If there is a text file with the extension </w:t>
      </w:r>
      <w:r>
        <w:rPr>
          <w:rStyle w:val="Text4"/>
        </w:rPr>
        <w:t>.pth</w:t>
      </w:r>
      <w:r>
        <w:t xml:space="preserve"> in the </w:t>
      </w:r>
      <w:r>
        <w:rPr>
          <w:rStyle w:val="Text0"/>
        </w:rPr>
        <w:t>PYTHONHOME</w:t>
      </w:r>
      <w:r>
        <w:t xml:space="preserve"> directory at startup, Python adds the file’s contents to </w:t>
      </w:r>
      <w:r>
        <w:rPr>
          <w:rStyle w:val="Text0"/>
        </w:rPr>
        <w:t>sys.path</w:t>
      </w:r>
      <w:r>
        <w:t xml:space="preserve">, one item per line. </w:t>
      </w:r>
      <w:r>
        <w:rPr>
          <w:rStyle w:val="Text4"/>
        </w:rPr>
        <w:t>.pth</w:t>
      </w:r>
      <w:r>
        <w:t xml:space="preserve"> files can contain blank lines and comment lines starting with the character </w:t>
      </w:r>
      <w:r>
        <w:rPr>
          <w:rStyle w:val="Text0"/>
        </w:rPr>
        <w:t>#</w:t>
      </w:r>
      <w:r>
        <w:t xml:space="preserve">; Python ignores any such lines. </w:t>
      </w:r>
      <w:r>
        <w:rPr>
          <w:rStyle w:val="Text4"/>
        </w:rPr>
        <w:t>.pth</w:t>
      </w:r>
      <w:r>
        <w:t xml:space="preserve"> files can also contain </w:t>
      </w:r>
      <w:r>
        <w:rPr>
          <w:rStyle w:val="Text5"/>
        </w:rPr>
        <w:t>import</w:t>
      </w:r>
      <w:r>
        <w:t xml:space="preserve"> statements (which Python executes before your program starts to execute), but no other kinds of statements.</w:t>
      </w:r>
    </w:p>
    <w:p>
      <w:pPr>
        <w:pStyle w:val="Normal"/>
      </w:pPr>
      <w:r>
        <w:t xml:space="preserve">When looking for the file for module </w:t>
      </w:r>
      <w:r>
        <w:rPr>
          <w:rStyle w:val="Text3"/>
        </w:rPr>
        <w:t>M</w:t>
      </w:r>
      <w:r>
        <w:t xml:space="preserve"> in each directory and ZIP archive along </w:t>
      </w:r>
      <w:r>
        <w:rPr>
          <w:rStyle w:val="Text0"/>
        </w:rPr>
        <w:t>sys.path</w:t>
      </w:r>
      <w:r>
        <w:t>, Python considers the following extensions in this order:</w:t>
      </w:r>
    </w:p>
    <w:p>
      <w:pPr>
        <w:pStyle w:val="Para 010"/>
      </w:pPr>
      <w:r>
        <w:rPr>
          <w:rStyle w:val="Text4"/>
        </w:rPr>
        <w:t>.pyd</w:t>
      </w:r>
      <w:r>
        <w:t xml:space="preserve"> and </w:t>
      </w:r>
      <w:r>
        <w:rPr>
          <w:rStyle w:val="Text4"/>
        </w:rPr>
        <w:t>.dll</w:t>
      </w:r>
      <w:r>
        <w:t xml:space="preserve"> (Windows) or </w:t>
      </w:r>
      <w:r>
        <w:rPr>
          <w:rStyle w:val="Text4"/>
        </w:rPr>
        <w:t>.so</w:t>
      </w:r>
      <w:r>
        <w:t xml:space="preserve"> (most Unix-like platforms), which indicate Python extension modules. (Some Unix dialects use different extensions; e.g., </w:t>
      </w:r>
      <w:r>
        <w:rPr>
          <w:rStyle w:val="Text4"/>
        </w:rPr>
        <w:t>.sl</w:t>
      </w:r>
      <w:r>
        <w:t xml:space="preserve"> on HP-UX.) On most platforms, extensions cannot be loaded from a ZIP archive—only source or bytecode-compiled Python modules can.</w:t>
      </w:r>
    </w:p>
    <w:p>
      <w:pPr>
        <w:pStyle w:val="Para 010"/>
      </w:pPr>
      <w:r>
        <w:rPr>
          <w:rStyle w:val="Text4"/>
        </w:rPr>
        <w:t>.py</w:t>
      </w:r>
      <w:r>
        <w:t>, which indicates Python source modules.</w:t>
      </w:r>
    </w:p>
    <w:p>
      <w:pPr>
        <w:pStyle w:val="Para 010"/>
      </w:pPr>
      <w:r>
        <w:rPr>
          <w:rStyle w:val="Text4"/>
        </w:rPr>
        <w:t>.pyc</w:t>
      </w:r>
      <w:r>
        <w:t>, which indicates bytecode-compiled Python modules.</w:t>
      </w:r>
    </w:p>
    <w:p>
      <w:pPr>
        <w:pStyle w:val="Para 010"/>
      </w:pPr>
      <w:r>
        <w:t xml:space="preserve">When it finds a </w:t>
      </w:r>
      <w:r>
        <w:rPr>
          <w:rStyle w:val="Text4"/>
        </w:rPr>
        <w:t>.py</w:t>
      </w:r>
      <w:r>
        <w:t xml:space="preserve"> file, Python also looks for a directory called </w:t>
      </w:r>
      <w:r>
        <w:rPr>
          <w:rStyle w:val="Text4"/>
        </w:rPr>
        <w:t>__pycache__</w:t>
      </w:r>
      <w:r>
        <w:t xml:space="preserve">. If it finds such a directory, Python looks in that directory for the extension </w:t>
      </w:r>
      <w:r>
        <w:rPr>
          <w:rStyle w:val="Text4"/>
        </w:rPr>
        <w:t>.&lt;tag&gt;.pyc</w:t>
      </w:r>
      <w:r>
        <w:t xml:space="preserve">, where </w:t>
      </w:r>
      <w:r>
        <w:rPr>
          <w:rStyle w:val="Text4"/>
        </w:rPr>
        <w:t>&lt;tag&gt;</w:t>
      </w:r>
      <w:r>
        <w:t xml:space="preserve"> is a string specific to the version of Python that is looking for the module.</w:t>
      </w:r>
    </w:p>
    <w:p>
      <w:pPr>
        <w:pStyle w:val="Normal"/>
      </w:pPr>
      <w:r>
        <w:t xml:space="preserve">One last path in which Python looks for the file for module </w:t>
      </w:r>
      <w:r>
        <w:rPr>
          <w:rStyle w:val="Text3"/>
        </w:rPr>
        <w:t>M</w:t>
      </w:r>
      <w:r>
        <w:t xml:space="preserve"> is </w:t>
      </w:r>
      <w:r>
        <w:rPr>
          <w:rStyle w:val="Text4"/>
        </w:rPr>
        <w:t>M</w:t>
      </w:r>
      <w:r>
        <w:rPr>
          <w:rStyle w:val="Text3"/>
        </w:rPr>
        <w:t>/</w:t>
      </w:r>
      <w:r>
        <w:rPr>
          <w:rStyle w:val="Text4"/>
        </w:rPr>
        <w:t>__init__.py</w:t>
      </w:r>
      <w:r>
        <w:t xml:space="preserve">: a file named </w:t>
      </w:r>
      <w:r>
        <w:rPr>
          <w:rStyle w:val="Text4"/>
        </w:rPr>
        <w:t>__init__.py</w:t>
      </w:r>
      <w:r>
        <w:t xml:space="preserve"> in a directory named </w:t>
      </w:r>
      <w:r>
        <w:rPr>
          <w:rStyle w:val="Text4"/>
        </w:rPr>
        <w:t>M</w:t>
      </w:r>
      <w:r>
        <w:t xml:space="preserve">, as covered in </w:t>
      </w:r>
      <w:hyperlink w:anchor="Packages__As_mentioned_at_the_be">
        <w:r>
          <w:rPr>
            <w:rStyle w:val="Text1"/>
          </w:rPr>
          <w:t>“Packages”</w:t>
        </w:r>
      </w:hyperlink>
      <w:r>
        <w:t>.</w:t>
      </w:r>
    </w:p>
    <w:p>
      <w:pPr>
        <w:pStyle w:val="Normal"/>
      </w:pPr>
      <w:r>
        <w:t xml:space="preserve">Upon finding the source file </w:t>
      </w:r>
      <w:r>
        <w:rPr>
          <w:rStyle w:val="Text4"/>
        </w:rPr>
        <w:t>M.py</w:t>
      </w:r>
      <w:r>
        <w:t xml:space="preserve">, Python compiles it to </w:t>
      </w:r>
      <w:r>
        <w:rPr>
          <w:rStyle w:val="Text4"/>
        </w:rPr>
        <w:t>M.&lt;tag&gt;.pyc</w:t>
      </w:r>
      <w:r>
        <w:t xml:space="preserve">, unless the bytecode file is already present, is newer than </w:t>
      </w:r>
      <w:r>
        <w:rPr>
          <w:rStyle w:val="Text4"/>
        </w:rPr>
        <w:t>M.py</w:t>
      </w:r>
      <w:r>
        <w:t xml:space="preserve">, and was compiled by the same version of Python. If </w:t>
      </w:r>
      <w:r>
        <w:rPr>
          <w:rStyle w:val="Text4"/>
        </w:rPr>
        <w:t>M.py</w:t>
      </w:r>
      <w:r>
        <w:t xml:space="preserve"> is compiled from a writable directory, Python creates a </w:t>
      </w:r>
      <w:r>
        <w:rPr>
          <w:rStyle w:val="Text4"/>
        </w:rPr>
        <w:t>__pycache__</w:t>
      </w:r>
      <w:r>
        <w:t xml:space="preserve"> subdirectory if necessary and saves the bytecode file to the filesystem in that subdirectory so that future runs won’t needlessly recompile it. When the bytecode file is newer than the source file (based on an internal timestamp in the bytecode file, not on trusting the date as recorded in the filesystem), Python does not recompile the module.</w:t>
      </w:r>
    </w:p>
    <w:p>
      <w:pPr>
        <w:pStyle w:val="Normal"/>
      </w:pPr>
      <w:r>
        <w:t>Once Python has the bytecode, whether built anew by compilation or read from the filesystem, Python executes the module body to initialize the module object. If the module is an extension, Python calls the module’s initialization function.</w:t>
      </w:r>
    </w:p>
    <w:p>
      <w:pPr>
        <w:keepNext/>
        <w:pStyle w:val="Heading 6"/>
        <w:keepLines w:val="on"/>
      </w:pPr>
      <w:r>
        <w:t>Be Careful About Naming Your Project’s .py Files</w:t>
      </w:r>
    </w:p>
    <w:p>
      <w:pPr>
        <w:pStyle w:val="Para 012"/>
        <w:keepLines w:val="on"/>
      </w:pPr>
      <w:r>
        <w:t>A</w:t>
      </w:r>
      <w:r>
        <w:rPr>
          <w:rStyle w:val="Text111"/>
        </w:rPr>
        <w:bookmarkStart w:id="1916" w:name="idm45965254199440"/>
        <w:t/>
        <w:bookmarkEnd w:id="1916"/>
      </w:r>
      <w:r>
        <w:t xml:space="preserve"> common problem for beginners occurs when programmers writing their first few projects accidentally name one of their </w:t>
      </w:r>
      <w:r>
        <w:rPr>
          <w:rStyle w:val="Text4"/>
        </w:rPr>
        <w:t>.py</w:t>
      </w:r>
      <w:r>
        <w:t xml:space="preserve"> files with the same name as an imported package, or a module in the standard library (stdlib). For example, an easy mistake when learning the </w:t>
      </w:r>
      <w:r>
        <w:rPr>
          <w:rStyle w:val="Text0"/>
        </w:rPr>
        <w:t>turtle</w:t>
      </w:r>
      <w:r>
        <w:t xml:space="preserve"> module is to name your program </w:t>
      </w:r>
      <w:r>
        <w:rPr>
          <w:rStyle w:val="Text4"/>
        </w:rPr>
        <w:t>turtle.py</w:t>
      </w:r>
      <w:r>
        <w:t xml:space="preserve">. When Python then tries to import the </w:t>
      </w:r>
      <w:r>
        <w:rPr>
          <w:rStyle w:val="Text0"/>
        </w:rPr>
        <w:t>turtle</w:t>
      </w:r>
      <w:r>
        <w:t xml:space="preserve"> module from the stdlib, it will load the local module instead, and usually raise some unexpected </w:t>
      </w:r>
      <w:r>
        <w:rPr>
          <w:rStyle w:val="Text0"/>
        </w:rPr>
        <w:t>AttributeError</w:t>
      </w:r>
      <w:r>
        <w:t xml:space="preserve">s shortly thereafter (since the local module does not include all the classes, functions, and variables defined in the stdlib module). Do not name your project </w:t>
      </w:r>
      <w:r>
        <w:rPr>
          <w:rStyle w:val="Text4"/>
        </w:rPr>
        <w:t>.py</w:t>
      </w:r>
      <w:r>
        <w:t xml:space="preserve"> files the same as imported or stdlib modules!</w:t>
      </w:r>
    </w:p>
    <w:p>
      <w:pPr>
        <w:pStyle w:val="Para 012"/>
        <w:keepLines w:val="on"/>
      </w:pPr>
      <w:r>
        <w:t xml:space="preserve">You can check whether a module name already exists using a command of the form </w:t>
      </w:r>
      <w:r>
        <w:rPr>
          <w:rStyle w:val="Text5"/>
        </w:rPr>
        <w:t>python -m</w:t>
      </w:r>
      <w:r>
        <w:t xml:space="preserve"> </w:t>
      </w:r>
      <w:r>
        <w:rPr>
          <w:rStyle w:val="Text84"/>
        </w:rPr>
        <w:t>testname</w:t>
      </w:r>
      <w:r>
        <w:t xml:space="preserve">. If the message </w:t>
      </w:r>
      <w:r>
        <w:rPr>
          <w:rStyle w:val="Text0"/>
        </w:rPr>
        <w:t>'no module</w:t>
      </w:r>
      <w:r>
        <w:t xml:space="preserve"> </w:t>
      </w:r>
      <w:r>
        <w:rPr>
          <w:rStyle w:val="Text3"/>
        </w:rPr>
        <w:t>testname</w:t>
      </w:r>
      <w:r>
        <w:rPr>
          <w:rStyle w:val="Text0"/>
        </w:rPr>
        <w:t>'</w:t>
      </w:r>
      <w:r>
        <w:t xml:space="preserve"> is displayed, then you should be safe to name your module </w:t>
      </w:r>
      <w:r>
        <w:rPr>
          <w:rStyle w:val="Text4"/>
        </w:rPr>
        <w:t>testname.py</w:t>
      </w:r>
      <w:r>
        <w:t>.</w:t>
      </w:r>
    </w:p>
    <w:p>
      <w:pPr>
        <w:pStyle w:val="Para 012"/>
        <w:keepLines w:val="on"/>
      </w:pPr>
      <w:r>
        <w:t>In general, as you become familiar with the modules in the stdlib and common package names, you will come to know what names to avoid.</w:t>
      </w:r>
      <w:r>
        <w:rPr>
          <w:rStyle w:val="Text111"/>
        </w:rPr>
        <w:bookmarkStart w:id="1917" w:name="idm45965254188896"/>
        <w:t/>
        <w:bookmarkEnd w:id="1917"/>
      </w:r>
    </w:p>
    <w:p>
      <w:bookmarkStart w:id="1918" w:name="The_Main_Program__Execution_of_a"/>
      <w:pPr>
        <w:keepNext/>
        <w:pStyle w:val="Heading 2"/>
      </w:pPr>
      <w:r>
        <w:t>The Main Program</w:t>
      </w:r>
      <w:bookmarkEnd w:id="1918"/>
    </w:p>
    <w:p>
      <w:pPr>
        <w:pStyle w:val="Normal"/>
      </w:pPr>
      <w:r>
        <w:t>Execution</w:t>
      </w:r>
      <w:r>
        <w:rPr>
          <w:rStyle w:val="Text111"/>
        </w:rPr>
        <w:bookmarkStart w:id="1919" w:name="idm45965254185520"/>
        <w:t/>
        <w:bookmarkEnd w:id="1919"/>
      </w:r>
      <w:r>
        <w:t xml:space="preserve"> of a Python application starts with a top-level script (known as the </w:t>
      </w:r>
      <w:r>
        <w:rPr>
          <w:rStyle w:val="Text4"/>
        </w:rPr>
        <w:t>main program</w:t>
      </w:r>
      <w:r>
        <w:t xml:space="preserve">), as explained in </w:t>
      </w:r>
      <w:hyperlink w:anchor="The_python_Program__The_Python_i">
        <w:r>
          <w:rPr>
            <w:rStyle w:val="Text1"/>
          </w:rPr>
          <w:t>“The python Program”</w:t>
        </w:r>
      </w:hyperlink>
      <w:r>
        <w:t xml:space="preserve">. The main program executes like any other module being loaded, except that Python keeps the bytecode in memory, not saving it to disk. The module name for the main program is </w:t>
      </w:r>
      <w:r>
        <w:rPr>
          <w:rStyle w:val="Text0"/>
        </w:rPr>
        <w:t>'__main__'</w:t>
      </w:r>
      <w:r>
        <w:t xml:space="preserve">, both as the </w:t>
      </w:r>
      <w:r>
        <w:rPr>
          <w:rStyle w:val="Text0"/>
        </w:rPr>
        <w:t>__name__</w:t>
      </w:r>
      <w:r>
        <w:t xml:space="preserve"> variable (module attribute) and as the key in </w:t>
      </w:r>
      <w:r>
        <w:rPr>
          <w:rStyle w:val="Text0"/>
        </w:rPr>
        <w:t>sys.modules</w:t>
      </w:r>
      <w:r>
        <w:t>.</w:t>
      </w:r>
    </w:p>
    <w:p>
      <w:pPr>
        <w:keepNext/>
        <w:pStyle w:val="Heading 6"/>
        <w:keepLines w:val="on"/>
      </w:pPr>
      <w:r>
        <w:t>Don’t Import the .py File You’re Using as the Main Program</w:t>
      </w:r>
    </w:p>
    <w:p>
      <w:pPr>
        <w:pStyle w:val="Para 012"/>
        <w:keepLines w:val="on"/>
      </w:pPr>
      <w:r>
        <w:t xml:space="preserve">You should not import the same </w:t>
      </w:r>
      <w:r>
        <w:rPr>
          <w:rStyle w:val="Text4"/>
        </w:rPr>
        <w:t>.py</w:t>
      </w:r>
      <w:r>
        <w:t xml:space="preserve"> file that is the main program. If you do, Python loads the module again, and the body executes again in a separate module object with a different </w:t>
      </w:r>
      <w:r>
        <w:rPr>
          <w:rStyle w:val="Text0"/>
        </w:rPr>
        <w:t>__name__</w:t>
      </w:r>
      <w:r>
        <w:t>.</w:t>
      </w:r>
    </w:p>
    <w:p>
      <w:pPr>
        <w:pStyle w:val="Normal"/>
      </w:pPr>
      <w:r>
        <w:t xml:space="preserve">Code in a Python module can test if the module is being used as the main program by checking if the global variable </w:t>
      </w:r>
      <w:r>
        <w:rPr>
          <w:rStyle w:val="Text0"/>
        </w:rPr>
        <w:t>__name__</w:t>
      </w:r>
      <w:r>
        <w:t xml:space="preserve"> has the value </w:t>
      </w:r>
      <w:r>
        <w:rPr>
          <w:rStyle w:val="Text0"/>
        </w:rPr>
        <w:t>'__main__'</w:t>
      </w:r>
      <w:r>
        <w:t>. The idiom:</w:t>
      </w:r>
    </w:p>
    <w:p>
      <w:pPr>
        <w:pStyle w:val="Para 018"/>
      </w:pPr>
      <w:r>
        <w:rPr>
          <w:rStyle w:val="Text104"/>
        </w:rPr>
        <w:t xml:space="preserve"/>
        <w:br w:clear="none"/>
      </w:r>
      <w:r>
        <w:rPr>
          <w:rStyle w:val="Text10"/>
        </w:rPr>
        <w:t xml:space="preserve">if</w:t>
        <w:br w:clear="none"/>
      </w:r>
      <w:r>
        <w:t xml:space="preserve"> </w:t>
        <w:br w:clear="none"/>
        <w:t xml:space="preserve">__name__</w:t>
        <w:br w:clear="none"/>
        <w:t xml:space="preserve"> </w:t>
        <w:br w:clear="none"/>
      </w:r>
      <w:r>
        <w:rPr>
          <w:rStyle w:val="Text13"/>
        </w:rPr>
        <w:t xml:space="preserve">==</w:t>
        <w:br w:clear="none"/>
      </w:r>
      <w:r>
        <w:t xml:space="preserve"> </w:t>
        <w:br w:clear="none"/>
      </w:r>
      <w:r>
        <w:rPr>
          <w:rStyle w:val="Text8"/>
        </w:rPr>
        <w:t xml:space="preserve">'</w:t>
        <w:br w:clear="none"/>
        <w:t xml:space="preserve">__main__</w:t>
        <w:br w:clear="none"/>
        <w:t xml:space="preserve">'</w:t>
        <w:br w:clear="none"/>
      </w:r>
      <w:r>
        <w:rPr>
          <w:rStyle w:val="Text7"/>
        </w:rPr>
        <w:t xml:space="preserve">:</w:t>
        <w:br w:clear="none"/>
      </w:r>
    </w:p>
    <w:p>
      <w:pPr>
        <w:pStyle w:val="Normal"/>
      </w:pPr>
      <w:r>
        <w:t xml:space="preserve">is often used to guard some code so that it executes only when the module runs as the main program. If a module is meant only to be imported, it should normally execute unit tests when run as the main program, as covered in </w:t>
      </w:r>
      <w:hyperlink w:anchor="Unit_Testing_and_System_Testing">
        <w:r>
          <w:rPr>
            <w:rStyle w:val="Text1"/>
          </w:rPr>
          <w:t>“Unit Testing and System Testing”</w:t>
        </w:r>
      </w:hyperlink>
      <w:r>
        <w:t>.</w:t>
      </w:r>
    </w:p>
    <w:p>
      <w:bookmarkStart w:id="1920" w:name="Reloading_Modules__Python_loads"/>
      <w:pPr>
        <w:keepNext/>
        <w:pStyle w:val="Heading 2"/>
      </w:pPr>
      <w:r>
        <w:t>Reloading Modules</w:t>
      </w:r>
      <w:bookmarkEnd w:id="1920"/>
    </w:p>
    <w:p>
      <w:pPr>
        <w:pStyle w:val="Normal"/>
      </w:pPr>
      <w:r>
        <w:t xml:space="preserve">Python loads a module only the first time you import the module during a program run. When you develop interactively, you need to </w:t>
      </w:r>
      <w:r>
        <w:rPr>
          <w:rStyle w:val="Text4"/>
        </w:rPr>
        <w:t>reload</w:t>
      </w:r>
      <w:r>
        <w:t xml:space="preserve"> your modules after editing them (some development environments provide automatic reloading).</w:t>
      </w:r>
    </w:p>
    <w:p>
      <w:pPr>
        <w:pStyle w:val="Normal"/>
      </w:pPr>
      <w:r>
        <w:t>To reload a module, pass the module object (</w:t>
      </w:r>
      <w:r>
        <w:rPr>
          <w:rStyle w:val="Text4"/>
        </w:rPr>
        <w:t>not</w:t>
      </w:r>
      <w:r>
        <w:t xml:space="preserve"> the module name) as the only argument to the function </w:t>
      </w:r>
      <w:r>
        <w:rPr>
          <w:rStyle w:val="Text0"/>
        </w:rPr>
        <w:t>reload</w:t>
      </w:r>
      <w:r>
        <w:t xml:space="preserve"> from the </w:t>
      </w:r>
      <w:r>
        <w:rPr>
          <w:rStyle w:val="Text0"/>
        </w:rPr>
        <w:t>importlib</w:t>
      </w:r>
      <w:r>
        <w:t xml:space="preserve"> module. </w:t>
      </w:r>
      <w:r>
        <w:rPr>
          <w:rStyle w:val="Text0"/>
        </w:rPr>
        <w:t>importlib.reload(</w:t>
      </w:r>
      <w:r>
        <w:rPr>
          <w:rStyle w:val="Text3"/>
        </w:rPr>
        <w:t>M</w:t>
      </w:r>
      <w:r>
        <w:rPr>
          <w:rStyle w:val="Text0"/>
        </w:rPr>
        <w:t>)</w:t>
      </w:r>
      <w:r>
        <w:t xml:space="preserve"> ensures the reloaded version of </w:t>
      </w:r>
      <w:r>
        <w:rPr>
          <w:rStyle w:val="Text3"/>
        </w:rPr>
        <w:t>M</w:t>
      </w:r>
      <w:r>
        <w:t xml:space="preserve"> is used by client code that relies on </w:t>
      </w:r>
      <w:r>
        <w:rPr>
          <w:rStyle w:val="Text0"/>
        </w:rPr>
        <w:t>import</w:t>
      </w:r>
      <w:r>
        <w:t xml:space="preserve"> </w:t>
      </w:r>
      <w:r>
        <w:rPr>
          <w:rStyle w:val="Text3"/>
        </w:rPr>
        <w:t>M</w:t>
      </w:r>
      <w:r>
        <w:t xml:space="preserve"> and accesses attributes with the syntax </w:t>
      </w:r>
      <w:r>
        <w:rPr>
          <w:rStyle w:val="Text3"/>
        </w:rPr>
        <w:t>M.A</w:t>
      </w:r>
      <w:r>
        <w:t xml:space="preserve">. However, </w:t>
      </w:r>
      <w:r>
        <w:rPr>
          <w:rStyle w:val="Text0"/>
        </w:rPr>
        <w:t>importlib.reload(</w:t>
      </w:r>
      <w:r>
        <w:rPr>
          <w:rStyle w:val="Text3"/>
        </w:rPr>
        <w:t>M</w:t>
      </w:r>
      <w:r>
        <w:rPr>
          <w:rStyle w:val="Text0"/>
        </w:rPr>
        <w:t>)</w:t>
      </w:r>
      <w:r>
        <w:t xml:space="preserve"> has no effect on other existing references bound to previous values of </w:t>
      </w:r>
      <w:r>
        <w:rPr>
          <w:rStyle w:val="Text3"/>
        </w:rPr>
        <w:t>M</w:t>
      </w:r>
      <w:r>
        <w:t xml:space="preserve">’s attributes (e.g., with a </w:t>
      </w:r>
      <w:r>
        <w:rPr>
          <w:rStyle w:val="Text5"/>
        </w:rPr>
        <w:t>from</w:t>
      </w:r>
      <w:r>
        <w:t xml:space="preserve"> statement). In other words, already-bound variables remain bound as they were, unaffected by </w:t>
      </w:r>
      <w:r>
        <w:rPr>
          <w:rStyle w:val="Text0"/>
        </w:rPr>
        <w:t>reload</w:t>
      </w:r>
      <w:r>
        <w:t xml:space="preserve">. </w:t>
      </w:r>
      <w:r>
        <w:rPr>
          <w:rStyle w:val="Text0"/>
        </w:rPr>
        <w:t>reload</w:t>
      </w:r>
      <w:r>
        <w:t xml:space="preserve">’s inability to rebind such variables is a further incentive to use </w:t>
      </w:r>
      <w:r>
        <w:rPr>
          <w:rStyle w:val="Text5"/>
        </w:rPr>
        <w:t>import</w:t>
      </w:r>
      <w:r>
        <w:t xml:space="preserve"> rather than </w:t>
      </w:r>
      <w:r>
        <w:rPr>
          <w:rStyle w:val="Text5"/>
        </w:rPr>
        <w:t>from</w:t>
      </w:r>
      <w:r>
        <w:t>.</w:t>
      </w:r>
    </w:p>
    <w:p>
      <w:pPr>
        <w:pStyle w:val="Normal"/>
      </w:pPr>
      <w:r>
        <w:rPr>
          <w:rStyle w:val="Text0"/>
        </w:rPr>
        <w:t>reload</w:t>
      </w:r>
      <w:r>
        <w:t xml:space="preserve"> is not recursive: when you reload module </w:t>
      </w:r>
      <w:r>
        <w:rPr>
          <w:rStyle w:val="Text3"/>
        </w:rPr>
        <w:t>M</w:t>
      </w:r>
      <w:r>
        <w:t xml:space="preserve">, this does not imply that other modules imported by </w:t>
      </w:r>
      <w:r>
        <w:rPr>
          <w:rStyle w:val="Text3"/>
        </w:rPr>
        <w:t>M</w:t>
      </w:r>
      <w:r>
        <w:t xml:space="preserve"> get reloaded in turn. You must reload, by explicit calls to </w:t>
      </w:r>
      <w:r>
        <w:rPr>
          <w:rStyle w:val="Text0"/>
        </w:rPr>
        <w:t>reload</w:t>
      </w:r>
      <w:r>
        <w:t>, every module you have modified. Be sure to take into account any module reference dependencies, so that reloads are done in the proper order.</w:t>
      </w:r>
    </w:p>
    <w:p>
      <w:bookmarkStart w:id="1921" w:name="Circular_Imports__Python_lets_yo"/>
      <w:pPr>
        <w:keepNext/>
        <w:pStyle w:val="Heading 2"/>
      </w:pPr>
      <w:r>
        <w:t>Circular Imports</w:t>
      </w:r>
      <w:bookmarkEnd w:id="1921"/>
    </w:p>
    <w:p>
      <w:pPr>
        <w:pStyle w:val="Normal"/>
      </w:pPr>
      <w:r>
        <w:t>Python</w:t>
      </w:r>
      <w:r>
        <w:rPr>
          <w:rStyle w:val="Text111"/>
        </w:rPr>
        <w:bookmarkStart w:id="1922" w:name="idm45965254142496"/>
        <w:t/>
        <w:bookmarkEnd w:id="1922"/>
      </w:r>
      <w:r>
        <w:t xml:space="preserve"> lets you specify circular imports. For example, you can write a module </w:t>
      </w:r>
      <w:r>
        <w:rPr>
          <w:rStyle w:val="Text4"/>
        </w:rPr>
        <w:t>a.py</w:t>
      </w:r>
      <w:r>
        <w:t xml:space="preserve"> that contains </w:t>
      </w:r>
      <w:r>
        <w:rPr>
          <w:rStyle w:val="Text5"/>
        </w:rPr>
        <w:t>import</w:t>
      </w:r>
      <w:r>
        <w:t xml:space="preserve"> </w:t>
      </w:r>
      <w:r>
        <w:rPr>
          <w:rStyle w:val="Text0"/>
        </w:rPr>
        <w:t>b</w:t>
      </w:r>
      <w:r>
        <w:t xml:space="preserve">, while module </w:t>
      </w:r>
      <w:r>
        <w:rPr>
          <w:rStyle w:val="Text4"/>
        </w:rPr>
        <w:t>b.py</w:t>
      </w:r>
      <w:r>
        <w:t xml:space="preserve"> contains </w:t>
      </w:r>
      <w:r>
        <w:rPr>
          <w:rStyle w:val="Text5"/>
        </w:rPr>
        <w:t>import</w:t>
      </w:r>
      <w:r>
        <w:t xml:space="preserve"> </w:t>
      </w:r>
      <w:r>
        <w:rPr>
          <w:rStyle w:val="Text0"/>
        </w:rPr>
        <w:t>a</w:t>
      </w:r>
      <w:r>
        <w:t>.</w:t>
      </w:r>
    </w:p>
    <w:p>
      <w:pPr>
        <w:pStyle w:val="Normal"/>
      </w:pPr>
      <w:r>
        <w:t>If you decide to use a circular import for some reason, you need to understand how circular imports work in order to avoid errors in your code.</w:t>
      </w:r>
    </w:p>
    <w:p>
      <w:pPr>
        <w:keepNext/>
        <w:pStyle w:val="Heading 6"/>
        <w:keepLines w:val="on"/>
      </w:pPr>
      <w:r>
        <w:t>Avoid Circular Imports</w:t>
      </w:r>
    </w:p>
    <w:p>
      <w:pPr>
        <w:pStyle w:val="Para 012"/>
        <w:keepLines w:val="on"/>
      </w:pPr>
      <w:r>
        <w:t>In practice, you are nearly always better off avoiding circular imports, since circular dependencies are fragile and hard to manage.</w:t>
      </w:r>
    </w:p>
    <w:p>
      <w:pPr>
        <w:pStyle w:val="Normal"/>
      </w:pPr>
      <w:r>
        <w:t xml:space="preserve">Say that the main script executes </w:t>
      </w:r>
      <w:r>
        <w:rPr>
          <w:rStyle w:val="Text5"/>
        </w:rPr>
        <w:t>import</w:t>
      </w:r>
      <w:r>
        <w:t xml:space="preserve"> </w:t>
      </w:r>
      <w:r>
        <w:rPr>
          <w:rStyle w:val="Text0"/>
        </w:rPr>
        <w:t>a</w:t>
      </w:r>
      <w:r>
        <w:t xml:space="preserve">. As discussed earlier, this </w:t>
      </w:r>
      <w:r>
        <w:rPr>
          <w:rStyle w:val="Text5"/>
        </w:rPr>
        <w:t>import</w:t>
      </w:r>
      <w:r>
        <w:t xml:space="preserve"> statement creates a new empty module object as </w:t>
      </w:r>
      <w:r>
        <w:rPr>
          <w:rStyle w:val="Text0"/>
        </w:rPr>
        <w:t>sys.modules['a']</w:t>
      </w:r>
      <w:r>
        <w:t xml:space="preserve">, then the body of module </w:t>
      </w:r>
      <w:r>
        <w:rPr>
          <w:rStyle w:val="Text0"/>
        </w:rPr>
        <w:t>a</w:t>
      </w:r>
      <w:r>
        <w:t xml:space="preserve"> starts executing. When </w:t>
      </w:r>
      <w:r>
        <w:rPr>
          <w:rStyle w:val="Text0"/>
        </w:rPr>
        <w:t>a</w:t>
      </w:r>
      <w:r>
        <w:t xml:space="preserve"> executes </w:t>
      </w:r>
      <w:r>
        <w:rPr>
          <w:rStyle w:val="Text5"/>
        </w:rPr>
        <w:t>import</w:t>
      </w:r>
      <w:r>
        <w:t xml:space="preserve"> </w:t>
      </w:r>
      <w:r>
        <w:rPr>
          <w:rStyle w:val="Text0"/>
        </w:rPr>
        <w:t>b</w:t>
      </w:r>
      <w:r>
        <w:t xml:space="preserve">, this creates a new empty module object as </w:t>
      </w:r>
      <w:r>
        <w:rPr>
          <w:rStyle w:val="Text0"/>
        </w:rPr>
        <w:t>sys.modules['b']</w:t>
      </w:r>
      <w:r>
        <w:t xml:space="preserve">, and then the body of module </w:t>
      </w:r>
      <w:r>
        <w:rPr>
          <w:rStyle w:val="Text0"/>
        </w:rPr>
        <w:t>b</w:t>
      </w:r>
      <w:r>
        <w:t xml:space="preserve"> starts executing. </w:t>
      </w:r>
      <w:r>
        <w:rPr>
          <w:rStyle w:val="Text0"/>
        </w:rPr>
        <w:t>a</w:t>
      </w:r>
      <w:r>
        <w:t xml:space="preserve">’s module body cannot proceed until </w:t>
      </w:r>
      <w:r>
        <w:rPr>
          <w:rStyle w:val="Text0"/>
        </w:rPr>
        <w:t>b</w:t>
      </w:r>
      <w:r>
        <w:t>’s module body finishes.</w:t>
      </w:r>
    </w:p>
    <w:p>
      <w:pPr>
        <w:pStyle w:val="Normal"/>
      </w:pPr>
      <w:r>
        <w:t xml:space="preserve">Now, when </w:t>
      </w:r>
      <w:r>
        <w:rPr>
          <w:rStyle w:val="Text0"/>
        </w:rPr>
        <w:t>b</w:t>
      </w:r>
      <w:r>
        <w:t xml:space="preserve"> executes </w:t>
      </w:r>
      <w:r>
        <w:rPr>
          <w:rStyle w:val="Text5"/>
        </w:rPr>
        <w:t>import</w:t>
      </w:r>
      <w:r>
        <w:t xml:space="preserve"> </w:t>
      </w:r>
      <w:r>
        <w:rPr>
          <w:rStyle w:val="Text0"/>
        </w:rPr>
        <w:t>a</w:t>
      </w:r>
      <w:r>
        <w:t xml:space="preserve">, the </w:t>
      </w:r>
      <w:r>
        <w:rPr>
          <w:rStyle w:val="Text5"/>
        </w:rPr>
        <w:t>import</w:t>
      </w:r>
      <w:r>
        <w:t xml:space="preserve"> statement finds </w:t>
      </w:r>
      <w:r>
        <w:rPr>
          <w:rStyle w:val="Text0"/>
        </w:rPr>
        <w:t>sys.modules['a']</w:t>
      </w:r>
      <w:r>
        <w:t xml:space="preserve"> already bound, and therefore binds global variable </w:t>
      </w:r>
      <w:r>
        <w:rPr>
          <w:rStyle w:val="Text0"/>
        </w:rPr>
        <w:t>a</w:t>
      </w:r>
      <w:r>
        <w:t xml:space="preserve"> in module </w:t>
      </w:r>
      <w:r>
        <w:rPr>
          <w:rStyle w:val="Text0"/>
        </w:rPr>
        <w:t>b</w:t>
      </w:r>
      <w:r>
        <w:t xml:space="preserve"> to the module object for module </w:t>
      </w:r>
      <w:r>
        <w:rPr>
          <w:rStyle w:val="Text0"/>
        </w:rPr>
        <w:t>a</w:t>
      </w:r>
      <w:r>
        <w:t xml:space="preserve">. Since the execution of </w:t>
      </w:r>
      <w:r>
        <w:rPr>
          <w:rStyle w:val="Text0"/>
        </w:rPr>
        <w:t>a</w:t>
      </w:r>
      <w:r>
        <w:t xml:space="preserve">’s module body is currently blocked, module </w:t>
      </w:r>
      <w:r>
        <w:rPr>
          <w:rStyle w:val="Text0"/>
        </w:rPr>
        <w:t>a</w:t>
      </w:r>
      <w:r>
        <w:t xml:space="preserve"> is usually only partly populated at this time. Should the code in </w:t>
      </w:r>
      <w:r>
        <w:rPr>
          <w:rStyle w:val="Text0"/>
        </w:rPr>
        <w:t>b</w:t>
      </w:r>
      <w:r>
        <w:t xml:space="preserve">’s module body try to access some attribute of module </w:t>
      </w:r>
      <w:r>
        <w:rPr>
          <w:rStyle w:val="Text0"/>
        </w:rPr>
        <w:t>a</w:t>
      </w:r>
      <w:r>
        <w:t xml:space="preserve"> that is not yet bound, an error results.</w:t>
      </w:r>
    </w:p>
    <w:p>
      <w:pPr>
        <w:pStyle w:val="Normal"/>
      </w:pPr>
      <w:r>
        <w:t>If you keep a circular import, you must carefully manage the order in which each module binds its own globals, imports other modules, and accesses globals of other modules. You get greater control over the sequence in which things happen by grouping your statements into functions, and calling those functions in a controlled order, rather than just relying on sequential execution of top-level statements in module bodies. Removing circular dependencies (for example, by moving an import away from module scope and into a referencing function) is easier than ensuring bombproof ordering to deal with circular dependencies.</w:t>
      </w:r>
    </w:p>
    <w:p>
      <w:pPr>
        <w:keepNext/>
        <w:pStyle w:val="Heading 5"/>
        <w:keepLines w:val="on"/>
      </w:pPr>
      <w:r>
        <w:t>sys.modules Entries</w:t>
      </w:r>
    </w:p>
    <w:p>
      <w:pPr>
        <w:pStyle w:val="Para 012"/>
        <w:keepLines w:val="on"/>
      </w:pPr>
      <w:r>
        <w:rPr>
          <w:rStyle w:val="Text0"/>
        </w:rPr>
        <w:t>__import__</w:t>
      </w:r>
      <w:r>
        <w:t xml:space="preserve"> never binds anything other than a module object as a value in </w:t>
      </w:r>
      <w:r>
        <w:rPr>
          <w:rStyle w:val="Text0"/>
        </w:rPr>
        <w:t>sys.modules</w:t>
      </w:r>
      <w:r>
        <w:t xml:space="preserve">. However, if </w:t>
      </w:r>
      <w:r>
        <w:rPr>
          <w:rStyle w:val="Text0"/>
        </w:rPr>
        <w:t>__import__</w:t>
      </w:r>
      <w:r>
        <w:t xml:space="preserve"> finds an entry already in </w:t>
      </w:r>
      <w:r>
        <w:rPr>
          <w:rStyle w:val="Text0"/>
        </w:rPr>
        <w:t>sys.modules</w:t>
      </w:r>
      <w:r>
        <w:t xml:space="preserve">, it returns that value, whatever type it may be. </w:t>
      </w:r>
      <w:r>
        <w:rPr>
          <w:rStyle w:val="Text5"/>
        </w:rPr>
        <w:t>import</w:t>
      </w:r>
      <w:r>
        <w:t xml:space="preserve"> and </w:t>
      </w:r>
      <w:r>
        <w:rPr>
          <w:rStyle w:val="Text5"/>
        </w:rPr>
        <w:t>from</w:t>
      </w:r>
      <w:r>
        <w:t xml:space="preserve"> statements rely on </w:t>
      </w:r>
      <w:r>
        <w:rPr>
          <w:rStyle w:val="Text0"/>
        </w:rPr>
        <w:t>__import__</w:t>
      </w:r>
      <w:r>
        <w:t>, so they too can use objects that are not modules.</w:t>
      </w:r>
    </w:p>
    <w:p>
      <w:bookmarkStart w:id="1923" w:name="Custom_Importers__Another_advanc"/>
      <w:pPr>
        <w:keepNext/>
        <w:pStyle w:val="Heading 2"/>
      </w:pPr>
      <w:r>
        <w:t>Custom Importers</w:t>
      </w:r>
      <w:bookmarkEnd w:id="1923"/>
    </w:p>
    <w:p>
      <w:pPr>
        <w:pStyle w:val="Normal"/>
      </w:pPr>
      <w:r>
        <w:t>Another</w:t>
      </w:r>
      <w:r>
        <w:rPr>
          <w:rStyle w:val="Text111"/>
        </w:rPr>
        <w:bookmarkStart w:id="1924" w:name="idm45965217525776"/>
        <w:t/>
        <w:bookmarkEnd w:id="1924"/>
      </w:r>
      <w:r>
        <w:t xml:space="preserve"> advanced, rarely needed functionality that Python offers is the ability to change the semantics of some or all </w:t>
      </w:r>
      <w:r>
        <w:rPr>
          <w:rStyle w:val="Text5"/>
        </w:rPr>
        <w:t>import</w:t>
      </w:r>
      <w:r>
        <w:t xml:space="preserve"> and </w:t>
      </w:r>
      <w:r>
        <w:rPr>
          <w:rStyle w:val="Text5"/>
        </w:rPr>
        <w:t>from</w:t>
      </w:r>
      <w:r>
        <w:t xml:space="preserve"> statements.</w:t>
      </w:r>
    </w:p>
    <w:p>
      <w:bookmarkStart w:id="1925" w:name="Rebinding___import____You_can_re"/>
      <w:pPr>
        <w:keepNext/>
        <w:pStyle w:val="Heading 2"/>
      </w:pPr>
      <w:r>
        <w:t>Rebinding __import__</w:t>
      </w:r>
      <w:bookmarkEnd w:id="1925"/>
    </w:p>
    <w:p>
      <w:pPr>
        <w:pStyle w:val="Normal"/>
      </w:pPr>
      <w:r>
        <w:t>You</w:t>
      </w:r>
      <w:r>
        <w:rPr>
          <w:rStyle w:val="Text111"/>
        </w:rPr>
        <w:bookmarkStart w:id="1926" w:name="idm45965217521312"/>
        <w:t/>
        <w:bookmarkEnd w:id="1926"/>
      </w:r>
      <w:r>
        <w:t xml:space="preserve"> can rebind the </w:t>
      </w:r>
      <w:r>
        <w:rPr>
          <w:rStyle w:val="Text0"/>
        </w:rPr>
        <w:t>__import__</w:t>
      </w:r>
      <w:r>
        <w:t xml:space="preserve"> attribute of the </w:t>
      </w:r>
      <w:r>
        <w:rPr>
          <w:rStyle w:val="Text0"/>
        </w:rPr>
        <w:t>builtin</w:t>
      </w:r>
      <w:r>
        <w:t xml:space="preserve"> module to your own custom importer function—for example, one using the generic built-in-wrapping technique shown in </w:t>
      </w:r>
      <w:hyperlink w:anchor="Python_built_ins__Python_supplie">
        <w:r>
          <w:rPr>
            <w:rStyle w:val="Text1"/>
          </w:rPr>
          <w:t>“Python built-ins”</w:t>
        </w:r>
      </w:hyperlink>
      <w:r>
        <w:t xml:space="preserve">. Such a rebinding affects all </w:t>
      </w:r>
      <w:r>
        <w:rPr>
          <w:rStyle w:val="Text5"/>
        </w:rPr>
        <w:t>import</w:t>
      </w:r>
      <w:r>
        <w:t xml:space="preserve"> and </w:t>
      </w:r>
      <w:r>
        <w:rPr>
          <w:rStyle w:val="Text5"/>
        </w:rPr>
        <w:t>from</w:t>
      </w:r>
      <w:r>
        <w:t xml:space="preserve"> statements that execute after the rebinding and thus can have an undesired global impact. A custom importer built by rebinding </w:t>
      </w:r>
      <w:r>
        <w:rPr>
          <w:rStyle w:val="Text0"/>
        </w:rPr>
        <w:t>__import__</w:t>
      </w:r>
      <w:r>
        <w:t xml:space="preserve"> must implement the same interface and semantics as the built-in </w:t>
      </w:r>
      <w:r>
        <w:rPr>
          <w:rStyle w:val="Text0"/>
        </w:rPr>
        <w:t>__import__</w:t>
      </w:r>
      <w:r>
        <w:t xml:space="preserve">, and, in particular, it is responsible for supporting the correct use of </w:t>
      </w:r>
      <w:r>
        <w:rPr>
          <w:rStyle w:val="Text0"/>
        </w:rPr>
        <w:t>sys.modules</w:t>
      </w:r>
      <w:r>
        <w:t>.</w:t>
      </w:r>
    </w:p>
    <w:p>
      <w:pPr>
        <w:keepNext/>
        <w:pStyle w:val="Heading 6"/>
        <w:keepLines w:val="on"/>
      </w:pPr>
      <w:r>
        <w:t>Avoid Rebinding the Built-in __import__</w:t>
      </w:r>
    </w:p>
    <w:p>
      <w:pPr>
        <w:pStyle w:val="Para 012"/>
        <w:keepLines w:val="on"/>
      </w:pPr>
      <w:r>
        <w:t xml:space="preserve">While rebinding </w:t>
      </w:r>
      <w:r>
        <w:rPr>
          <w:rStyle w:val="Text0"/>
        </w:rPr>
        <w:t>__import__</w:t>
      </w:r>
      <w:r>
        <w:t xml:space="preserve"> may initially look like an attractive approach, in most cases where custom importers are necessary, you’re better off implementing them via </w:t>
      </w:r>
      <w:r>
        <w:rPr>
          <w:rStyle w:val="Text4"/>
        </w:rPr>
        <w:t>import hooks</w:t>
      </w:r>
      <w:r>
        <w:t xml:space="preserve"> (discussed next).</w:t>
      </w:r>
    </w:p>
    <w:p>
      <w:bookmarkStart w:id="1927" w:name="Import_hooks__Python_offers_rich"/>
      <w:pPr>
        <w:keepNext/>
        <w:pStyle w:val="Heading 2"/>
      </w:pPr>
      <w:r>
        <w:t>Import hooks</w:t>
      </w:r>
      <w:bookmarkEnd w:id="1927"/>
    </w:p>
    <w:p>
      <w:pPr>
        <w:pStyle w:val="Normal"/>
      </w:pPr>
      <w:r>
        <w:t>Python</w:t>
      </w:r>
      <w:r>
        <w:rPr>
          <w:rStyle w:val="Text111"/>
        </w:rPr>
        <w:bookmarkStart w:id="1928" w:name="idm45965217510288"/>
        <w:t/>
        <w:bookmarkEnd w:id="1928"/>
      </w:r>
      <w:r>
        <w:t xml:space="preserve"> offers rich support for selectively changing the details of imports’ behavior. Custom importers are an advanced and rarely called for technique, yet some applications may need them for purposes such as importing code from archives other than ZIP files, databases, network servers, and so on.</w:t>
      </w:r>
    </w:p>
    <w:p>
      <w:pPr>
        <w:pStyle w:val="Normal"/>
      </w:pPr>
      <w:r>
        <w:t>The most suitable approach for such highly advanced needs is to record</w:t>
      </w:r>
      <w:r>
        <w:rPr>
          <w:rStyle w:val="Text111"/>
        </w:rPr>
        <w:bookmarkStart w:id="1929" w:name="idm45965217508336"/>
        <w:t/>
        <w:bookmarkEnd w:id="1929"/>
      </w:r>
      <w:r>
        <w:t xml:space="preserve"> </w:t>
      </w:r>
      <w:r>
        <w:rPr>
          <w:rStyle w:val="Text4"/>
        </w:rPr>
        <w:t>importer factory</w:t>
      </w:r>
      <w:r>
        <w:t xml:space="preserve"> callables as items in the </w:t>
      </w:r>
      <w:r>
        <w:rPr>
          <w:rStyle w:val="Text0"/>
        </w:rPr>
        <w:t>meta_path</w:t>
      </w:r>
      <w:r>
        <w:t xml:space="preserve"> and/or </w:t>
      </w:r>
      <w:r>
        <w:rPr>
          <w:rStyle w:val="Text0"/>
        </w:rPr>
        <w:t>path_hooks</w:t>
      </w:r>
      <w:r>
        <w:t xml:space="preserve"> attributes of the module </w:t>
      </w:r>
      <w:r>
        <w:rPr>
          <w:rStyle w:val="Text0"/>
        </w:rPr>
        <w:t>sys</w:t>
      </w:r>
      <w:r>
        <w:t xml:space="preserve">, as detailed in </w:t>
      </w:r>
      <w:hyperlink r:id="rId280">
        <w:r>
          <w:rPr>
            <w:rStyle w:val="Text1"/>
          </w:rPr>
          <w:t>PEP 451</w:t>
        </w:r>
      </w:hyperlink>
      <w:r>
        <w:t xml:space="preserve">. This is how Python hooks up the standard library module </w:t>
      </w:r>
      <w:r>
        <w:rPr>
          <w:rStyle w:val="Text0"/>
        </w:rPr>
        <w:t>zipimport</w:t>
      </w:r>
      <w:r>
        <w:t xml:space="preserve"> to allow seamless importing of modules from ZIP files, as previously mentioned. A full study of the details of PEP 451 is indispensable for any substantial use of </w:t>
      </w:r>
      <w:r>
        <w:rPr>
          <w:rStyle w:val="Text0"/>
        </w:rPr>
        <w:t>sys.path_hooks</w:t>
      </w:r>
      <w:r>
        <w:t xml:space="preserve"> and friends, but here’s a toy-level example to help understand the possibilities, should you ever need them.</w:t>
      </w:r>
    </w:p>
    <w:p>
      <w:pPr>
        <w:pStyle w:val="Normal"/>
      </w:pPr>
      <w:r>
        <w:t xml:space="preserve">Suppose that, while developing the first outline of some program, we want to be able to use </w:t>
      </w:r>
      <w:r>
        <w:rPr>
          <w:rStyle w:val="Text5"/>
        </w:rPr>
        <w:t>import</w:t>
      </w:r>
      <w:r>
        <w:t xml:space="preserve"> statements for modules that we haven’t written yet, getting just messages (and empty modules) as a consequence. We can obtain such functionality (leaving aside the complexities connected with packages, and dealing with simple modules only) by coding a custom importer module as follows:</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sys</w:t>
        <w:br w:clear="none"/>
      </w:r>
      <w:r>
        <w:rPr>
          <w:rStyle w:val="Text28"/>
        </w:rPr>
        <w:t xml:space="preserve">,</w:t>
        <w:br w:clear="none"/>
      </w:r>
      <w:r>
        <w:rPr>
          <w:rStyle w:val="Text11"/>
        </w:rPr>
        <w:t xml:space="preserve"> </w:t>
        <w:br w:clear="none"/>
      </w:r>
      <w:r>
        <w:rPr>
          <w:rStyle w:val="Text53"/>
        </w:rPr>
        <w:t xml:space="preserve">types</w:t>
        <w:br w:clear="none"/>
      </w:r>
      <w:r>
        <w:rPr>
          <w:rStyle w:val="Text11"/>
        </w:rPr>
        <w:t xml:space="preserve"/>
        <w:br w:clear="none"/>
      </w:r>
      <w:r>
        <w:rPr>
          <w:rStyle w:val="Text22"/>
        </w:rPr>
        <w:t xml:space="preserve">class</w:t>
        <w:br w:clear="none"/>
      </w:r>
      <w:r>
        <w:rPr>
          <w:rStyle w:val="Text11"/>
        </w:rPr>
        <w:t xml:space="preserve"> </w:t>
        <w:br w:clear="none"/>
      </w:r>
      <w:r>
        <w:rPr>
          <w:rStyle w:val="Text45"/>
        </w:rPr>
        <w:t xml:space="preserve">ImporterAndLoader</w:t>
        <w:br w:clear="none"/>
      </w:r>
      <w:r>
        <w:rPr>
          <w:rStyle w:val="Text19"/>
        </w:rPr>
        <w:t xml:space="preserve">:</w:t>
        <w:br w:clear="none"/>
      </w:r>
      <w:r>
        <w:rPr>
          <w:rStyle w:val="Text11"/>
        </w:rPr>
        <w:t xml:space="preserve"/>
        <w:br w:clear="none"/>
        <w:t xml:space="preserve">     </w:t>
        <w:br w:clear="none"/>
      </w:r>
      <w:r>
        <w:rPr>
          <w:rStyle w:val="Text8"/>
        </w:rPr>
        <w:t xml:space="preserve">"""importer and loader can be a single class"""</w:t>
        <w:br w:clear="none"/>
      </w:r>
      <w:r>
        <w:rPr>
          <w:rStyle w:val="Text11"/>
        </w:rPr>
        <w:t xml:space="preserve"/>
        <w:br w:clear="none"/>
        <w:t xml:space="preserve">     </w:t>
        <w:br w:clear="none"/>
      </w:r>
      <w:r>
        <w:rPr>
          <w:rStyle w:val="Text14"/>
        </w:rPr>
        <w:t xml:space="preserve">fake_path</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!dummy!</w:t>
        <w:br w:clear="none"/>
        <w:t xml:space="preserve">'</w:t>
        <w:br w:clear="none"/>
      </w:r>
      <w:r>
        <w:rPr>
          <w:rStyle w:val="Text11"/>
        </w:rPr>
        <w:t xml:space="preserve"/>
        <w:br w:clear="none"/>
        <w:t xml:space="preserve">     </w:t>
        <w:br w:clear="none"/>
      </w:r>
      <w:r>
        <w:rPr>
          <w:rStyle w:val="Text22"/>
        </w:rPr>
        <w:t xml:space="preserve">def</w:t>
        <w:br w:clear="none"/>
      </w:r>
      <w:r>
        <w:rPr>
          <w:rStyle w:val="Text11"/>
        </w:rPr>
        <w:t xml:space="preserve"> </w:t>
        <w:br w:clear="none"/>
        <w:t xml:space="preserve">__init__</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path</w:t>
        <w:br w:clear="none"/>
      </w:r>
      <w:r>
        <w:rPr>
          <w:rStyle w:val="Text19"/>
        </w:rPr>
        <w:t xml:space="preserve">)</w:t>
        <w:br w:clear="none"/>
        <w:t xml:space="preserve">:</w:t>
        <w:br w:clear="none"/>
      </w:r>
      <w:r>
        <w:rPr>
          <w:rStyle w:val="Text11"/>
        </w:rPr>
        <w:t xml:space="preserve"/>
        <w:br w:clear="none"/>
        <w:t xml:space="preserve">         </w:t>
        <w:br w:clear="none"/>
      </w:r>
      <w:r>
        <w:t xml:space="preserve"># only handle our own fake-path marker</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4"/>
        </w:rPr>
        <w:t xml:space="preserve">path</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fake_path</w:t>
        <w:br w:clear="none"/>
      </w:r>
      <w:r>
        <w:rPr>
          <w:rStyle w:val="Text19"/>
        </w:rPr>
        <w:t xml:space="preserve">:</w:t>
        <w:br w:clear="none"/>
      </w:r>
      <w:r>
        <w:rPr>
          <w:rStyle w:val="Text11"/>
        </w:rPr>
        <w:t xml:space="preserve"/>
        <w:br w:clear="none"/>
        <w:t xml:space="preserve">             </w:t>
        <w:br w:clear="none"/>
      </w:r>
      <w:r>
        <w:rPr>
          <w:rStyle w:val="Text22"/>
        </w:rPr>
        <w:t xml:space="preserve">raise</w:t>
        <w:br w:clear="none"/>
      </w:r>
      <w:r>
        <w:rPr>
          <w:rStyle w:val="Text11"/>
        </w:rPr>
        <w:t xml:space="preserve"> </w:t>
        <w:br w:clear="none"/>
      </w:r>
      <w:r>
        <w:rPr>
          <w:rStyle w:val="Text56"/>
        </w:rPr>
        <w:t xml:space="preserve">ImportError</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find_module</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fullname</w:t>
        <w:br w:clear="none"/>
      </w:r>
      <w:r>
        <w:rPr>
          <w:rStyle w:val="Text19"/>
        </w:rPr>
        <w:t xml:space="preserve">)</w:t>
        <w:br w:clear="none"/>
        <w:t xml:space="preserve">:</w:t>
        <w:br w:clear="none"/>
      </w:r>
      <w:r>
        <w:rPr>
          <w:rStyle w:val="Text11"/>
        </w:rPr>
        <w:t xml:space="preserve"/>
        <w:br w:clear="none"/>
        <w:t xml:space="preserve">         </w:t>
        <w:br w:clear="none"/>
      </w:r>
      <w:r>
        <w:t xml:space="preserve"># don't even try to handle any qualified module name</w:t>
        <w:br w:clear="none"/>
      </w:r>
      <w:r>
        <w:rPr>
          <w:rStyle w:val="Text11"/>
        </w:rPr>
        <w:t xml:space="preserve"/>
        <w:br w:clear="none"/>
        <w:t xml:space="preserve">         </w:t>
        <w:br w:clear="none"/>
      </w:r>
      <w:r>
        <w:rPr>
          <w:rStyle w:val="Text22"/>
        </w:rPr>
        <w:t xml:space="preserve">if</w:t>
        <w:br w:clear="none"/>
      </w:r>
      <w:r>
        <w:rPr>
          <w:rStyle w:val="Text11"/>
        </w:rPr>
        <w:t xml:space="preserve"> </w:t>
        <w:br w:clear="none"/>
      </w:r>
      <w:r>
        <w:rPr>
          <w:rStyle w:val="Text17"/>
        </w:rPr>
        <w:t xml:space="preserve">'</w:t>
        <w:br w:clear="none"/>
        <w:t xml:space="preserve">.</w:t>
        <w:br w:clear="none"/>
        <w:t xml:space="preserve">'</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fullname</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59"/>
        </w:rPr>
        <w:t xml:space="preserve"> </w:t>
        <w:br w:clear="none"/>
      </w:r>
      <w:r>
        <w:rPr>
          <w:rStyle w:val="Text22"/>
        </w:rPr>
        <w:t xml:space="preserve">None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21"/>
        </w:rPr>
        <w:t xml:space="preserve">self</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create_module</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spec</w:t>
        <w:br w:clear="none"/>
      </w:r>
      <w:r>
        <w:rPr>
          <w:rStyle w:val="Text19"/>
        </w:rPr>
        <w:t xml:space="preserve">)</w:t>
        <w:br w:clear="none"/>
        <w:t xml:space="preserve">:</w:t>
        <w:br w:clear="none"/>
      </w:r>
      <w:r>
        <w:rPr>
          <w:rStyle w:val="Text11"/>
        </w:rPr>
        <w:t xml:space="preserve"/>
        <w:br w:clear="none"/>
        <w:t xml:space="preserve">         </w:t>
        <w:br w:clear="none"/>
      </w:r>
      <w:r>
        <w:t xml:space="preserve"># returning None will have Python fall back and</w:t>
        <w:br w:clear="none"/>
      </w:r>
      <w:r>
        <w:rPr>
          <w:rStyle w:val="Text11"/>
        </w:rPr>
        <w:t xml:space="preserve"/>
        <w:br w:clear="none"/>
      </w:r>
      <w:r>
        <w:rPr>
          <w:rStyle w:val="Text6"/>
        </w:rPr>
        <w:t xml:space="preserve">         </w:t>
        <w:br w:clear="none"/>
      </w:r>
      <w:r>
        <w:t xml:space="preserve"># create the module "the default way"</w:t>
        <w:br w:clear="none"/>
      </w:r>
      <w:r>
        <w:rPr>
          <w:rStyle w:val="Text11"/>
        </w:rPr>
        <w:t xml:space="preserve"/>
        <w:br w:clear="none"/>
      </w:r>
      <w:r>
        <w:rPr>
          <w:rStyle w:val="Text59"/>
        </w:rPr>
        <w:t xml:space="preserve">         </w:t>
        <w:br w:clear="none"/>
      </w:r>
      <w:r>
        <w:rPr>
          <w:rStyle w:val="Text22"/>
        </w:rPr>
        <w:t xml:space="preserve">return</w:t>
        <w:br w:clear="none"/>
      </w:r>
      <w:r>
        <w:rPr>
          <w:rStyle w:val="Text59"/>
        </w:rPr>
        <w:t xml:space="preserve"> </w:t>
        <w:br w:clear="none"/>
      </w:r>
      <w:r>
        <w:rPr>
          <w:rStyle w:val="Text22"/>
        </w:rPr>
        <w:t xml:space="preserve">None</w:t>
        <w:br w:clear="none"/>
      </w:r>
      <w:r>
        <w:rPr>
          <w:rStyle w:val="Text11"/>
        </w:rPr>
        <w:t xml:space="preserve"/>
        <w:br w:clear="none"/>
        <w:t xml:space="preserve">     </w:t>
        <w:br w:clear="none"/>
      </w:r>
      <w:r>
        <w:rPr>
          <w:rStyle w:val="Text22"/>
        </w:rPr>
        <w:t xml:space="preserve">def</w:t>
        <w:br w:clear="none"/>
      </w:r>
      <w:r>
        <w:rPr>
          <w:rStyle w:val="Text11"/>
        </w:rPr>
        <w:t xml:space="preserve"> </w:t>
        <w:br w:clear="none"/>
      </w:r>
      <w:r>
        <w:rPr>
          <w:rStyle w:val="Text42"/>
        </w:rPr>
        <w:t xml:space="preserve">exec_module</w:t>
        <w:br w:clear="none"/>
      </w:r>
      <w:r>
        <w:rPr>
          <w:rStyle w:val="Text19"/>
        </w:rPr>
        <w:t xml:space="preserve">(</w:t>
        <w:br w:clear="none"/>
      </w:r>
      <w:r>
        <w:rPr>
          <w:rStyle w:val="Text21"/>
        </w:rPr>
        <w:t xml:space="preserve">self</w:t>
        <w:br w:clear="none"/>
      </w:r>
      <w:r>
        <w:rPr>
          <w:rStyle w:val="Text19"/>
        </w:rPr>
        <w:t xml:space="preserve">,</w:t>
        <w:br w:clear="none"/>
      </w:r>
      <w:r>
        <w:rPr>
          <w:rStyle w:val="Text11"/>
        </w:rPr>
        <w:t xml:space="preserve"> </w:t>
        <w:br w:clear="none"/>
      </w:r>
      <w:r>
        <w:rPr>
          <w:rStyle w:val="Text14"/>
        </w:rPr>
        <w:t xml:space="preserve">mod</w:t>
        <w:br w:clear="none"/>
      </w:r>
      <w:r>
        <w:rPr>
          <w:rStyle w:val="Text19"/>
        </w:rPr>
        <w:t xml:space="preserve">)</w:t>
        <w:br w:clear="none"/>
        <w:t xml:space="preserve">:</w:t>
        <w:br w:clear="none"/>
      </w:r>
      <w:r>
        <w:rPr>
          <w:rStyle w:val="Text11"/>
        </w:rPr>
        <w:t xml:space="preserve"/>
        <w:br w:clear="none"/>
        <w:t xml:space="preserve">         </w:t>
        <w:br w:clear="none"/>
      </w:r>
      <w:r>
        <w:t xml:space="preserve"># populate the already initialized module</w:t>
        <w:br w:clear="none"/>
      </w:r>
      <w:r>
        <w:rPr>
          <w:rStyle w:val="Text11"/>
        </w:rPr>
        <w:t xml:space="preserve"/>
        <w:br w:clear="none"/>
        <w:t xml:space="preserve">         </w:t>
        <w:br w:clear="none"/>
      </w:r>
      <w:r>
        <w:t xml:space="preserve"># just print a message in this toy example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1"/>
        </w:rPr>
        <w:t xml:space="preserve">f</w:t>
        <w:br w:clear="none"/>
      </w:r>
      <w:r>
        <w:rPr>
          <w:rStyle w:val="Text17"/>
        </w:rPr>
        <w:t xml:space="preserve">'</w:t>
        <w:br w:clear="none"/>
        <w:t xml:space="preserve">NOTE: module </w:t>
        <w:br w:clear="none"/>
      </w:r>
      <w:r>
        <w:rPr>
          <w:rStyle w:val="Text64"/>
        </w:rPr>
        <w:t xml:space="preserve">{</w:t>
        <w:br w:clear="none"/>
      </w:r>
      <w:r>
        <w:rPr>
          <w:rStyle w:val="Text14"/>
        </w:rPr>
        <w:t xml:space="preserve">mod</w:t>
        <w:br w:clear="none"/>
      </w:r>
      <w:r>
        <w:rPr>
          <w:rStyle w:val="Text64"/>
        </w:rPr>
        <w:t xml:space="preserve">!r}</w:t>
        <w:br w:clear="none"/>
      </w:r>
      <w:r>
        <w:rPr>
          <w:rStyle w:val="Text17"/>
        </w:rPr>
        <w:t xml:space="preserve"> not yet written</w:t>
        <w:br w:clear="none"/>
        <w:t xml:space="preserve">'</w:t>
        <w:br w:clear="none"/>
      </w:r>
      <w:r>
        <w:rPr>
          <w:rStyle w:val="Text19"/>
        </w:rPr>
        <w:t xml:space="preserve">)</w:t>
        <w:br w:clear="none"/>
      </w:r>
      <w:r>
        <w:rPr>
          <w:rStyle w:val="Text11"/>
        </w:rPr>
        <w:t xml:space="preserve"/>
        <w:br w:clear="none"/>
      </w:r>
      <w:r>
        <w:rPr>
          <w:rStyle w:val="Text14"/>
        </w:rPr>
        <w:t xml:space="preserve">sys</w:t>
        <w:br w:clear="none"/>
      </w:r>
      <w:r>
        <w:rPr>
          <w:rStyle w:val="Text28"/>
        </w:rPr>
        <w:t xml:space="preserve">.</w:t>
        <w:br w:clear="none"/>
      </w:r>
      <w:r>
        <w:rPr>
          <w:rStyle w:val="Text14"/>
        </w:rPr>
        <w:t xml:space="preserve">path_hooks</w:t>
        <w:br w:clear="none"/>
      </w:r>
      <w:r>
        <w:rPr>
          <w:rStyle w:val="Text28"/>
        </w:rPr>
        <w:t xml:space="preserve">.</w:t>
        <w:br w:clear="none"/>
      </w:r>
      <w:r>
        <w:rPr>
          <w:rStyle w:val="Text14"/>
        </w:rPr>
        <w:t xml:space="preserve">append</w:t>
        <w:br w:clear="none"/>
      </w:r>
      <w:r>
        <w:rPr>
          <w:rStyle w:val="Text19"/>
        </w:rPr>
        <w:t xml:space="preserve">(</w:t>
        <w:br w:clear="none"/>
      </w:r>
      <w:r>
        <w:rPr>
          <w:rStyle w:val="Text14"/>
        </w:rPr>
        <w:t xml:space="preserve">ImporterAndLoader</w:t>
        <w:br w:clear="none"/>
      </w:r>
      <w:r>
        <w:rPr>
          <w:rStyle w:val="Text19"/>
        </w:rPr>
        <w:t xml:space="preserve">)</w:t>
        <w:br w:clear="none"/>
      </w:r>
      <w:r>
        <w:rPr>
          <w:rStyle w:val="Text11"/>
        </w:rPr>
        <w:t xml:space="preserve"/>
        <w:br w:clear="none"/>
      </w:r>
      <w:r>
        <w:rPr>
          <w:rStyle w:val="Text14"/>
        </w:rPr>
        <w:t xml:space="preserve">sys</w:t>
        <w:br w:clear="none"/>
      </w:r>
      <w:r>
        <w:rPr>
          <w:rStyle w:val="Text28"/>
        </w:rPr>
        <w:t xml:space="preserve">.</w:t>
        <w:br w:clear="none"/>
      </w:r>
      <w:r>
        <w:rPr>
          <w:rStyle w:val="Text14"/>
        </w:rPr>
        <w:t xml:space="preserve">path</w:t>
        <w:br w:clear="none"/>
      </w:r>
      <w:r>
        <w:rPr>
          <w:rStyle w:val="Text28"/>
        </w:rPr>
        <w:t xml:space="preserve">.</w:t>
        <w:br w:clear="none"/>
      </w:r>
      <w:r>
        <w:rPr>
          <w:rStyle w:val="Text14"/>
        </w:rPr>
        <w:t xml:space="preserve">append</w:t>
        <w:br w:clear="none"/>
      </w:r>
      <w:r>
        <w:rPr>
          <w:rStyle w:val="Text19"/>
        </w:rPr>
        <w:t xml:space="preserve">(</w:t>
        <w:br w:clear="none"/>
      </w:r>
      <w:r>
        <w:rPr>
          <w:rStyle w:val="Text14"/>
        </w:rPr>
        <w:t xml:space="preserve">ImporterAndLoader</w:t>
        <w:br w:clear="none"/>
      </w:r>
      <w:r>
        <w:rPr>
          <w:rStyle w:val="Text28"/>
        </w:rPr>
        <w:t xml:space="preserve">.</w:t>
        <w:br w:clear="none"/>
      </w:r>
      <w:r>
        <w:rPr>
          <w:rStyle w:val="Text14"/>
        </w:rPr>
        <w:t xml:space="preserve">fake_path</w:t>
        <w:br w:clear="none"/>
      </w:r>
      <w:r>
        <w:rPr>
          <w:rStyle w:val="Text19"/>
        </w:rPr>
        <w:t xml:space="preserve">)</w:t>
        <w:br w:clear="none"/>
      </w:r>
      <w:r>
        <w:rPr>
          <w:rStyle w:val="Text11"/>
        </w:rPr>
        <w:t xml:space="preserve"/>
        <w:br w:clear="none"/>
      </w:r>
      <w:r>
        <w:rPr>
          <w:rStyle w:val="Text22"/>
        </w:rPr>
        <w:t xml:space="preserve">if</w:t>
        <w:br w:clear="none"/>
      </w:r>
      <w:r>
        <w:rPr>
          <w:rStyle w:val="Text11"/>
        </w:rPr>
        <w:t xml:space="preserve"> </w:t>
        <w:br w:clear="none"/>
        <w:t xml:space="preserve">__name__</w:t>
        <w:br w:clear="none"/>
        <w:t xml:space="preserve"> </w:t>
        <w:br w:clear="none"/>
      </w:r>
      <w:r>
        <w:rPr>
          <w:rStyle w:val="Text28"/>
        </w:rPr>
        <w:t xml:space="preserve">==</w:t>
        <w:br w:clear="none"/>
      </w:r>
      <w:r>
        <w:rPr>
          <w:rStyle w:val="Text11"/>
        </w:rPr>
        <w:t xml:space="preserve"> </w:t>
        <w:br w:clear="none"/>
      </w:r>
      <w:r>
        <w:rPr>
          <w:rStyle w:val="Text17"/>
        </w:rPr>
        <w:t xml:space="preserve">'</w:t>
        <w:br w:clear="none"/>
        <w:t xml:space="preserve">__main__</w:t>
        <w:br w:clear="none"/>
        <w:t xml:space="preserve">'</w:t>
        <w:br w:clear="none"/>
      </w:r>
      <w:r>
        <w:rPr>
          <w:rStyle w:val="Text19"/>
        </w:rPr>
        <w:t xml:space="preserve">:</w:t>
        <w:br w:clear="none"/>
      </w:r>
      <w:r>
        <w:rPr>
          <w:rStyle w:val="Text11"/>
        </w:rPr>
        <w:t xml:space="preserve">      </w:t>
        <w:br w:clear="none"/>
      </w:r>
      <w:r>
        <w:t xml:space="preserve"># self-test when run as main script</w:t>
        <w:br w:clear="none"/>
      </w:r>
      <w:r>
        <w:rPr>
          <w:rStyle w:val="Text11"/>
        </w:rPr>
        <w:t xml:space="preserve"/>
        <w:br w:clear="none"/>
        <w:t xml:space="preserve">    </w:t>
        <w:br w:clear="none"/>
      </w:r>
      <w:r>
        <w:rPr>
          <w:rStyle w:val="Text22"/>
        </w:rPr>
        <w:t xml:space="preserve">import</w:t>
        <w:br w:clear="none"/>
      </w:r>
      <w:r>
        <w:rPr>
          <w:rStyle w:val="Text11"/>
        </w:rPr>
        <w:t xml:space="preserve"> </w:t>
        <w:br w:clear="none"/>
      </w:r>
      <w:r>
        <w:rPr>
          <w:rStyle w:val="Text53"/>
        </w:rPr>
        <w:t xml:space="preserve">missing_module</w:t>
        <w:br w:clear="none"/>
      </w:r>
      <w:r>
        <w:rPr>
          <w:rStyle w:val="Text11"/>
        </w:rPr>
        <w:t xml:space="preserve">       </w:t>
        <w:br w:clear="none"/>
      </w:r>
      <w:r>
        <w:t xml:space="preserve"># importing a simple *missing* module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missing_module</w:t>
        <w:br w:clear="none"/>
      </w:r>
      <w:r>
        <w:rPr>
          <w:rStyle w:val="Text19"/>
        </w:rPr>
        <w:t xml:space="preserve">)</w:t>
        <w:br w:clear="none"/>
      </w:r>
      <w:r>
        <w:rPr>
          <w:rStyle w:val="Text11"/>
        </w:rPr>
        <w:t xml:space="preserve">       </w:t>
        <w:br w:clear="none"/>
      </w:r>
      <w:r>
        <w:t xml:space="preserve"># ...should succeed</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4"/>
        </w:rPr>
        <w:t xml:space="preserve">sys</w:t>
        <w:br w:clear="none"/>
      </w:r>
      <w:r>
        <w:rPr>
          <w:rStyle w:val="Text28"/>
        </w:rPr>
        <w:t xml:space="preserve">.</w:t>
        <w:br w:clear="none"/>
      </w:r>
      <w:r>
        <w:rPr>
          <w:rStyle w:val="Text14"/>
        </w:rPr>
        <w:t xml:space="preserve">modules</w:t>
        <w:br w:clear="none"/>
      </w:r>
      <w:r>
        <w:rPr>
          <w:rStyle w:val="Text28"/>
        </w:rPr>
        <w:t xml:space="preserve">.</w:t>
        <w:br w:clear="none"/>
      </w:r>
      <w:r>
        <w:rPr>
          <w:rStyle w:val="Text14"/>
        </w:rPr>
        <w:t xml:space="preserve">get</w:t>
        <w:br w:clear="none"/>
      </w:r>
      <w:r>
        <w:rPr>
          <w:rStyle w:val="Text19"/>
        </w:rPr>
        <w:t xml:space="preserve">(</w:t>
        <w:br w:clear="none"/>
      </w:r>
      <w:r>
        <w:rPr>
          <w:rStyle w:val="Text17"/>
        </w:rPr>
        <w:t xml:space="preserve">'</w:t>
        <w:br w:clear="none"/>
        <w:t xml:space="preserve">missing_module</w:t>
        <w:br w:clear="none"/>
        <w:t xml:space="preserve">'</w:t>
        <w:br w:clear="none"/>
      </w:r>
      <w:r>
        <w:rPr>
          <w:rStyle w:val="Text19"/>
        </w:rPr>
        <w:t xml:space="preserve">)</w:t>
        <w:br w:clear="none"/>
        <w:t xml:space="preserve">)</w:t>
        <w:br w:clear="none"/>
      </w:r>
      <w:r>
        <w:rPr>
          <w:rStyle w:val="Text11"/>
        </w:rPr>
        <w:t xml:space="preserve">  </w:t>
        <w:br w:clear="none"/>
      </w:r>
      <w:r>
        <w:t xml:space="preserve"># ...should also succeed</w:t>
        <w:br w:clear="none"/>
      </w:r>
    </w:p>
    <w:p>
      <w:pPr>
        <w:pStyle w:val="Normal"/>
      </w:pPr>
      <w:r>
        <w:t xml:space="preserve">We just wrote trivial versions of </w:t>
      </w:r>
      <w:r>
        <w:rPr>
          <w:rStyle w:val="Text0"/>
        </w:rPr>
        <w:t>create_module</w:t>
      </w:r>
      <w:r>
        <w:t xml:space="preserve"> (which in this case just returns </w:t>
      </w:r>
      <w:r>
        <w:rPr>
          <w:rStyle w:val="Text0"/>
        </w:rPr>
        <w:t>None</w:t>
      </w:r>
      <w:r>
        <w:t xml:space="preserve">, asking the system to create the module object in the “default way”) and </w:t>
      </w:r>
      <w:r>
        <w:rPr>
          <w:rStyle w:val="Text0"/>
        </w:rPr>
        <w:t>exec_module</w:t>
      </w:r>
      <w:r>
        <w:t xml:space="preserve"> (which receives the module object already initialized with</w:t>
      </w:r>
      <w:r>
        <w:rPr>
          <w:rStyle w:val="Text111"/>
        </w:rPr>
        <w:bookmarkStart w:id="1930" w:name="idm45965217328416"/>
        <w:t/>
        <w:bookmarkEnd w:id="1930"/>
      </w:r>
      <w:r>
        <w:t xml:space="preserve"> dunder attributes, and whose task would normally be to populate it appropriately).</w:t>
      </w:r>
    </w:p>
    <w:p>
      <w:pPr>
        <w:pStyle w:val="Normal"/>
      </w:pPr>
      <w:r>
        <w:t>We could, alternatively, have used the powerful new</w:t>
      </w:r>
      <w:r>
        <w:rPr>
          <w:rStyle w:val="Text111"/>
        </w:rPr>
        <w:bookmarkStart w:id="1931" w:name="idm45965217326096"/>
        <w:t/>
        <w:bookmarkEnd w:id="1931"/>
      </w:r>
      <w:r>
        <w:t xml:space="preserve"> </w:t>
      </w:r>
      <w:r>
        <w:rPr>
          <w:rStyle w:val="Text4"/>
        </w:rPr>
        <w:t>module spec</w:t>
      </w:r>
      <w:r>
        <w:t xml:space="preserve"> concept, as detailed in PEP 451. However, that requires the standard library module </w:t>
      </w:r>
      <w:r>
        <w:rPr>
          <w:rStyle w:val="Text0"/>
        </w:rPr>
        <w:t>importlib</w:t>
      </w:r>
      <w:r>
        <w:t xml:space="preserve">; for this toy example, we don’t need all that extra power. Therefore, we chose instead to implement the method </w:t>
      </w:r>
      <w:r>
        <w:rPr>
          <w:rStyle w:val="Text0"/>
        </w:rPr>
        <w:t>find_module</w:t>
      </w:r>
      <w:r>
        <w:t>, which, although now deprecated, still works fine for backward compatibility.</w:t>
      </w:r>
      <w:r>
        <w:rPr>
          <w:rStyle w:val="Text111"/>
        </w:rPr>
        <w:bookmarkStart w:id="1932" w:name="idm45965217349136"/>
        <w:t/>
        <w:bookmarkEnd w:id="1932"/>
      </w:r>
    </w:p>
    <w:p>
      <w:bookmarkStart w:id="1933" w:name="Packages__As_mentioned_at_the_be"/>
      <w:pPr>
        <w:keepNext/>
        <w:pStyle w:val="Heading 1"/>
      </w:pPr>
      <w:r>
        <w:t>Packages</w:t>
      </w:r>
      <w:bookmarkEnd w:id="1933"/>
    </w:p>
    <w:p>
      <w:pPr>
        <w:pStyle w:val="Normal"/>
      </w:pPr>
      <w:r>
        <w:t xml:space="preserve">As mentioned at the beginning of this chapter, a </w:t>
      </w:r>
      <w:r>
        <w:rPr>
          <w:rStyle w:val="Text4"/>
        </w:rPr>
        <w:t>package</w:t>
      </w:r>
      <w:r>
        <w:rPr>
          <w:rStyle w:val="Text105"/>
        </w:rPr>
        <w:bookmarkStart w:id="1934" w:name="idm45965217345824"/>
        <w:t/>
        <w:bookmarkEnd w:id="1934"/>
      </w:r>
      <w:r>
        <w:t xml:space="preserve"> is a module containing other modules. Some or all of the modules in a package may be</w:t>
      </w:r>
      <w:r>
        <w:rPr>
          <w:rStyle w:val="Text111"/>
        </w:rPr>
        <w:bookmarkStart w:id="1935" w:name="idm45965217344480"/>
        <w:t/>
        <w:bookmarkEnd w:id="1935"/>
      </w:r>
      <w:r>
        <w:t xml:space="preserve"> </w:t>
      </w:r>
      <w:r>
        <w:rPr>
          <w:rStyle w:val="Text4"/>
        </w:rPr>
        <w:t>subpackages</w:t>
      </w:r>
      <w:r>
        <w:t xml:space="preserve">, resulting in a hierarchical tree-like structure. A package named </w:t>
      </w:r>
      <w:r>
        <w:rPr>
          <w:rStyle w:val="Text3"/>
        </w:rPr>
        <w:t>P</w:t>
      </w:r>
      <w:r>
        <w:t xml:space="preserve"> typically resides in a subdirectory, also called </w:t>
      </w:r>
      <w:r>
        <w:rPr>
          <w:rStyle w:val="Text4"/>
        </w:rPr>
        <w:t>P</w:t>
      </w:r>
      <w:r>
        <w:t xml:space="preserve">, of some directory in </w:t>
      </w:r>
      <w:r>
        <w:rPr>
          <w:rStyle w:val="Text0"/>
        </w:rPr>
        <w:t>sys.path</w:t>
      </w:r>
      <w:r>
        <w:t xml:space="preserve">. Packages can also live in ZIP files; in this section we explain the case in which the package lives on the filesystem, but the case in which a package is in a ZIP file is similar, relying on </w:t>
        <w:t>the hierarchical</w:t>
        <w:t xml:space="preserve"> filesystem-like structure within the ZIP file.</w:t>
      </w:r>
    </w:p>
    <w:p>
      <w:pPr>
        <w:pStyle w:val="Normal"/>
      </w:pPr>
      <w:r>
        <w:t xml:space="preserve">The module body of </w:t>
      </w:r>
      <w:r>
        <w:rPr>
          <w:rStyle w:val="Text3"/>
        </w:rPr>
        <w:t>P</w:t>
      </w:r>
      <w:r>
        <w:t xml:space="preserve"> is in the file </w:t>
      </w:r>
      <w:r>
        <w:rPr>
          <w:rStyle w:val="Text4"/>
        </w:rPr>
        <w:t>P/__init__.py</w:t>
      </w:r>
      <w:r>
        <w:t xml:space="preserve">. This file </w:t>
      </w:r>
      <w:r>
        <w:rPr>
          <w:rStyle w:val="Text4"/>
        </w:rPr>
        <w:t>must</w:t>
      </w:r>
      <w:r>
        <w:t xml:space="preserve"> exist (except in the case of namespace packages, described in </w:t>
      </w:r>
      <w:hyperlink r:id="rId281">
        <w:r>
          <w:rPr>
            <w:rStyle w:val="Text1"/>
          </w:rPr>
          <w:t>PEP 420</w:t>
        </w:r>
      </w:hyperlink>
      <w:r>
        <w:t xml:space="preserve">), even if it’s empty (representing an empty module body), in order to tell Python that directory </w:t>
      </w:r>
      <w:r>
        <w:rPr>
          <w:rStyle w:val="Text4"/>
        </w:rPr>
        <w:t>P</w:t>
      </w:r>
      <w:r>
        <w:t xml:space="preserve"> is indeed a package. Python loads the module body of a package when you first import the package (or any of the package’s modules), just like with any other Python module. The other </w:t>
      </w:r>
      <w:r>
        <w:rPr>
          <w:rStyle w:val="Text4"/>
        </w:rPr>
        <w:t>.py</w:t>
      </w:r>
      <w:r>
        <w:t xml:space="preserve"> files in the directory </w:t>
      </w:r>
      <w:r>
        <w:rPr>
          <w:rStyle w:val="Text4"/>
        </w:rPr>
        <w:t>P</w:t>
      </w:r>
      <w:r>
        <w:t xml:space="preserve"> are the modules of package </w:t>
      </w:r>
      <w:r>
        <w:rPr>
          <w:rStyle w:val="Text3"/>
        </w:rPr>
        <w:t>P</w:t>
      </w:r>
      <w:r>
        <w:t xml:space="preserve">. Subdirectories of </w:t>
      </w:r>
      <w:r>
        <w:rPr>
          <w:rStyle w:val="Text4"/>
        </w:rPr>
        <w:t>P</w:t>
      </w:r>
      <w:r>
        <w:t xml:space="preserve"> containing </w:t>
      </w:r>
      <w:r>
        <w:rPr>
          <w:rStyle w:val="Text4"/>
        </w:rPr>
        <w:t>__init__.py</w:t>
      </w:r>
      <w:r>
        <w:t xml:space="preserve"> files are subpackages of </w:t>
      </w:r>
      <w:r>
        <w:rPr>
          <w:rStyle w:val="Text3"/>
        </w:rPr>
        <w:t>P</w:t>
      </w:r>
      <w:r>
        <w:t>. Nesting can proceed to any depth.</w:t>
      </w:r>
    </w:p>
    <w:p>
      <w:pPr>
        <w:pStyle w:val="Normal"/>
      </w:pPr>
      <w:r>
        <w:t xml:space="preserve">You can import a module named </w:t>
      </w:r>
      <w:r>
        <w:rPr>
          <w:rStyle w:val="Text3"/>
        </w:rPr>
        <w:t>M</w:t>
      </w:r>
      <w:r>
        <w:t xml:space="preserve"> in package </w:t>
      </w:r>
      <w:r>
        <w:rPr>
          <w:rStyle w:val="Text3"/>
        </w:rPr>
        <w:t>P</w:t>
      </w:r>
      <w:r>
        <w:t xml:space="preserve"> as </w:t>
      </w:r>
      <w:r>
        <w:rPr>
          <w:rStyle w:val="Text3"/>
        </w:rPr>
        <w:t>P.M</w:t>
      </w:r>
      <w:r>
        <w:rPr>
          <w:rStyle w:val="Text4"/>
        </w:rPr>
        <w:t>.</w:t>
      </w:r>
      <w:r>
        <w:t xml:space="preserve"> More dots let you navigate a hierarchical package structure. (A package’s module body always loads </w:t>
      </w:r>
      <w:r>
        <w:rPr>
          <w:rStyle w:val="Text4"/>
        </w:rPr>
        <w:t>before</w:t>
      </w:r>
      <w:r>
        <w:t xml:space="preserve"> any module in the package.) If you use the syntax </w:t>
      </w:r>
      <w:r>
        <w:rPr>
          <w:rStyle w:val="Text5"/>
        </w:rPr>
        <w:t>import</w:t>
      </w:r>
      <w:r>
        <w:t xml:space="preserve"> </w:t>
      </w:r>
      <w:r>
        <w:rPr>
          <w:rStyle w:val="Text3"/>
        </w:rPr>
        <w:t>P.M</w:t>
      </w:r>
      <w:r>
        <w:t xml:space="preserve">, the variable </w:t>
      </w:r>
      <w:r>
        <w:rPr>
          <w:rStyle w:val="Text3"/>
        </w:rPr>
        <w:t>P</w:t>
      </w:r>
      <w:r>
        <w:t xml:space="preserve"> is bound to the module object of package </w:t>
      </w:r>
      <w:r>
        <w:rPr>
          <w:rStyle w:val="Text3"/>
        </w:rPr>
        <w:t>P</w:t>
      </w:r>
      <w:r>
        <w:t xml:space="preserve">, and the attribute </w:t>
      </w:r>
      <w:r>
        <w:rPr>
          <w:rStyle w:val="Text3"/>
        </w:rPr>
        <w:t>M</w:t>
      </w:r>
      <w:r>
        <w:t xml:space="preserve"> of object </w:t>
      </w:r>
      <w:r>
        <w:rPr>
          <w:rStyle w:val="Text3"/>
        </w:rPr>
        <w:t>P</w:t>
      </w:r>
      <w:r>
        <w:t xml:space="preserve"> is bound to the module </w:t>
      </w:r>
      <w:r>
        <w:rPr>
          <w:rStyle w:val="Text3"/>
        </w:rPr>
        <w:t>P.M</w:t>
      </w:r>
      <w:r>
        <w:rPr>
          <w:rStyle w:val="Text4"/>
        </w:rPr>
        <w:t>.</w:t>
      </w:r>
      <w:r>
        <w:t xml:space="preserve"> If you use the syntax </w:t>
      </w:r>
      <w:r>
        <w:rPr>
          <w:rStyle w:val="Text5"/>
        </w:rPr>
        <w:t>import</w:t>
      </w:r>
      <w:r>
        <w:t xml:space="preserve"> </w:t>
      </w:r>
      <w:r>
        <w:rPr>
          <w:rStyle w:val="Text3"/>
        </w:rPr>
        <w:t>P.M</w:t>
      </w:r>
      <w:r>
        <w:t xml:space="preserve"> as </w:t>
      </w:r>
      <w:r>
        <w:rPr>
          <w:rStyle w:val="Text3"/>
        </w:rPr>
        <w:t>V</w:t>
      </w:r>
      <w:r>
        <w:t xml:space="preserve">, the variable </w:t>
      </w:r>
      <w:r>
        <w:rPr>
          <w:rStyle w:val="Text3"/>
        </w:rPr>
        <w:t>V</w:t>
      </w:r>
      <w:r>
        <w:t xml:space="preserve"> is bound directly to the module </w:t>
      </w:r>
      <w:r>
        <w:rPr>
          <w:rStyle w:val="Text3"/>
        </w:rPr>
        <w:t>P.M</w:t>
      </w:r>
      <w:r>
        <w:t>.</w:t>
      </w:r>
    </w:p>
    <w:p>
      <w:pPr>
        <w:pStyle w:val="Normal"/>
      </w:pPr>
      <w:r>
        <w:t xml:space="preserve">Using </w:t>
      </w:r>
      <w:r>
        <w:rPr>
          <w:rStyle w:val="Text5"/>
        </w:rPr>
        <w:t>from</w:t>
      </w:r>
      <w:r>
        <w:t xml:space="preserve"> </w:t>
      </w:r>
      <w:r>
        <w:rPr>
          <w:rStyle w:val="Text3"/>
        </w:rPr>
        <w:t>P</w:t>
      </w:r>
      <w:r>
        <w:t xml:space="preserve"> </w:t>
      </w:r>
      <w:r>
        <w:rPr>
          <w:rStyle w:val="Text5"/>
        </w:rPr>
        <w:t>import</w:t>
      </w:r>
      <w:r>
        <w:t xml:space="preserve"> </w:t>
      </w:r>
      <w:r>
        <w:rPr>
          <w:rStyle w:val="Text3"/>
        </w:rPr>
        <w:t>M</w:t>
      </w:r>
      <w:r>
        <w:t xml:space="preserve"> to import a specific module </w:t>
      </w:r>
      <w:r>
        <w:rPr>
          <w:rStyle w:val="Text3"/>
        </w:rPr>
        <w:t>M</w:t>
      </w:r>
      <w:r>
        <w:t xml:space="preserve"> from package </w:t>
      </w:r>
      <w:r>
        <w:rPr>
          <w:rStyle w:val="Text3"/>
        </w:rPr>
        <w:t>P</w:t>
      </w:r>
      <w:r>
        <w:t xml:space="preserve"> is a perfectly acceptable and indeed highly recommended practice: the </w:t>
      </w:r>
      <w:r>
        <w:rPr>
          <w:rStyle w:val="Text5"/>
        </w:rPr>
        <w:t>from</w:t>
      </w:r>
      <w:r>
        <w:t xml:space="preserve"> statement is specifically OK in this case. </w:t>
      </w:r>
      <w:r>
        <w:rPr>
          <w:rStyle w:val="Text5"/>
        </w:rPr>
        <w:t>from</w:t>
      </w:r>
      <w:r>
        <w:t xml:space="preserve"> </w:t>
      </w:r>
      <w:r>
        <w:rPr>
          <w:rStyle w:val="Text3"/>
        </w:rPr>
        <w:t>P</w:t>
      </w:r>
      <w:r>
        <w:t xml:space="preserve"> </w:t>
      </w:r>
      <w:r>
        <w:rPr>
          <w:rStyle w:val="Text5"/>
        </w:rPr>
        <w:t>import</w:t>
      </w:r>
      <w:r>
        <w:t xml:space="preserve"> </w:t>
      </w:r>
      <w:r>
        <w:rPr>
          <w:rStyle w:val="Text3"/>
        </w:rPr>
        <w:t>M</w:t>
      </w:r>
      <w:r>
        <w:t xml:space="preserve"> </w:t>
      </w:r>
      <w:r>
        <w:rPr>
          <w:rStyle w:val="Text5"/>
        </w:rPr>
        <w:t>as</w:t>
      </w:r>
      <w:r>
        <w:t xml:space="preserve"> </w:t>
      </w:r>
      <w:r>
        <w:rPr>
          <w:rStyle w:val="Text3"/>
        </w:rPr>
        <w:t>V</w:t>
      </w:r>
      <w:r>
        <w:t xml:space="preserve"> is also just fine, and exactly equivalent to </w:t>
      </w:r>
      <w:r>
        <w:rPr>
          <w:rStyle w:val="Text5"/>
        </w:rPr>
        <w:t>import</w:t>
      </w:r>
      <w:r>
        <w:t xml:space="preserve"> </w:t>
      </w:r>
      <w:r>
        <w:rPr>
          <w:rStyle w:val="Text3"/>
        </w:rPr>
        <w:t>P.M</w:t>
      </w:r>
      <w:r>
        <w:t xml:space="preserve"> </w:t>
      </w:r>
      <w:r>
        <w:rPr>
          <w:rStyle w:val="Text5"/>
        </w:rPr>
        <w:t>as</w:t>
      </w:r>
      <w:r>
        <w:t xml:space="preserve"> </w:t>
      </w:r>
      <w:r>
        <w:rPr>
          <w:rStyle w:val="Text3"/>
        </w:rPr>
        <w:t>V</w:t>
      </w:r>
      <w:r>
        <w:t>. You can also use</w:t>
      </w:r>
      <w:r>
        <w:rPr>
          <w:rStyle w:val="Text111"/>
        </w:rPr>
        <w:bookmarkStart w:id="1936" w:name="idm45965217239632"/>
        <w:t/>
        <w:bookmarkEnd w:id="1936"/>
      </w:r>
      <w:r>
        <w:t xml:space="preserve"> </w:t>
      </w:r>
      <w:r>
        <w:rPr>
          <w:rStyle w:val="Text4"/>
        </w:rPr>
        <w:t>relative</w:t>
      </w:r>
      <w:r>
        <w:t xml:space="preserve"> paths: that is, module </w:t>
      </w:r>
      <w:r>
        <w:rPr>
          <w:rStyle w:val="Text3"/>
        </w:rPr>
        <w:t>M</w:t>
      </w:r>
      <w:r>
        <w:t xml:space="preserve"> in package </w:t>
      </w:r>
      <w:r>
        <w:rPr>
          <w:rStyle w:val="Text3"/>
        </w:rPr>
        <w:t>P</w:t>
      </w:r>
      <w:r>
        <w:t xml:space="preserve"> can import its “sibling” module </w:t>
      </w:r>
      <w:r>
        <w:rPr>
          <w:rStyle w:val="Text3"/>
        </w:rPr>
        <w:t>X</w:t>
      </w:r>
      <w:r>
        <w:t xml:space="preserve"> (also in package </w:t>
      </w:r>
      <w:r>
        <w:rPr>
          <w:rStyle w:val="Text3"/>
        </w:rPr>
        <w:t>P</w:t>
      </w:r>
      <w:r>
        <w:t xml:space="preserve">) with </w:t>
      </w:r>
      <w:r>
        <w:rPr>
          <w:rStyle w:val="Text5"/>
        </w:rPr>
        <w:t>from</w:t>
      </w:r>
      <w:r>
        <w:t xml:space="preserve"> </w:t>
      </w:r>
      <w:r>
        <w:rPr>
          <w:rStyle w:val="Text0"/>
        </w:rPr>
        <w:t>.</w:t>
      </w:r>
      <w:r>
        <w:t xml:space="preserve"> </w:t>
      </w:r>
      <w:r>
        <w:rPr>
          <w:rStyle w:val="Text5"/>
        </w:rPr>
        <w:t>import</w:t>
      </w:r>
      <w:r>
        <w:t xml:space="preserve"> </w:t>
      </w:r>
      <w:r>
        <w:rPr>
          <w:rStyle w:val="Text0"/>
        </w:rPr>
        <w:t>X</w:t>
      </w:r>
      <w:r>
        <w:t>.</w:t>
      </w:r>
    </w:p>
    <w:p>
      <w:pPr>
        <w:keepNext/>
        <w:pStyle w:val="Heading 5"/>
        <w:keepLines w:val="on"/>
      </w:pPr>
      <w:r>
        <w:t>Sharing Objects Among Modules in a Package</w:t>
      </w:r>
    </w:p>
    <w:p>
      <w:pPr>
        <w:pStyle w:val="Para 012"/>
        <w:keepLines w:val="on"/>
      </w:pPr>
      <w:r>
        <w:t>The</w:t>
      </w:r>
      <w:r>
        <w:rPr>
          <w:rStyle w:val="Text111"/>
        </w:rPr>
        <w:bookmarkStart w:id="1937" w:name="idm45965217231744"/>
        <w:t/>
        <w:bookmarkEnd w:id="1937"/>
        <w:bookmarkStart w:id="1938" w:name="idm45965217230112"/>
        <w:t/>
        <w:bookmarkEnd w:id="1938"/>
      </w:r>
      <w:r>
        <w:t xml:space="preserve"> simplest, cleanest way to share objects (e.g., functions or constants) among modules in a package </w:t>
      </w:r>
      <w:r>
        <w:rPr>
          <w:rStyle w:val="Text3"/>
        </w:rPr>
        <w:t>P</w:t>
      </w:r>
      <w:r>
        <w:t xml:space="preserve"> is to group the shared objects in a module conventionally named </w:t>
      </w:r>
      <w:r>
        <w:rPr>
          <w:rStyle w:val="Text4"/>
        </w:rPr>
        <w:t>common.py</w:t>
      </w:r>
      <w:r>
        <w:t xml:space="preserve">. That way, you can use </w:t>
      </w:r>
      <w:r>
        <w:rPr>
          <w:rStyle w:val="Text5"/>
        </w:rPr>
        <w:t>from</w:t>
      </w:r>
      <w:r>
        <w:t xml:space="preserve"> </w:t>
      </w:r>
      <w:r>
        <w:rPr>
          <w:rStyle w:val="Text0"/>
        </w:rPr>
        <w:t>.</w:t>
      </w:r>
      <w:r>
        <w:t xml:space="preserve"> </w:t>
      </w:r>
      <w:r>
        <w:rPr>
          <w:rStyle w:val="Text5"/>
        </w:rPr>
        <w:t>import</w:t>
      </w:r>
      <w:r>
        <w:t xml:space="preserve"> </w:t>
      </w:r>
      <w:r>
        <w:rPr>
          <w:rStyle w:val="Text0"/>
        </w:rPr>
        <w:t>common</w:t>
      </w:r>
      <w:r>
        <w:t xml:space="preserve"> in every module in the package that needs to access some of the common objects, and then refer to the objects as </w:t>
      </w:r>
      <w:r>
        <w:rPr>
          <w:rStyle w:val="Text0"/>
        </w:rPr>
        <w:t>common.</w:t>
      </w:r>
      <w:r>
        <w:rPr>
          <w:rStyle w:val="Text3"/>
        </w:rPr>
        <w:t>f</w:t>
      </w:r>
      <w:r>
        <w:t xml:space="preserve">, </w:t>
      </w:r>
      <w:r>
        <w:rPr>
          <w:rStyle w:val="Text0"/>
        </w:rPr>
        <w:t>common.</w:t>
      </w:r>
      <w:r>
        <w:rPr>
          <w:rStyle w:val="Text3"/>
        </w:rPr>
        <w:t>K</w:t>
      </w:r>
      <w:r>
        <w:t>, and so on.</w:t>
      </w:r>
    </w:p>
    <w:p>
      <w:bookmarkStart w:id="1939" w:name="Special_Attributes_of_Package_Ob"/>
      <w:pPr>
        <w:keepNext/>
        <w:pStyle w:val="Heading 2"/>
      </w:pPr>
      <w:r>
        <w:t>Special Attributes of Package Objects</w:t>
      </w:r>
      <w:bookmarkEnd w:id="1939"/>
    </w:p>
    <w:p>
      <w:pPr>
        <w:pStyle w:val="Normal"/>
      </w:pPr>
      <w:r>
        <w:t>A</w:t>
      </w:r>
      <w:r>
        <w:rPr>
          <w:rStyle w:val="Text111"/>
        </w:rPr>
        <w:bookmarkStart w:id="1940" w:name="idm45965217220368"/>
        <w:t/>
        <w:bookmarkEnd w:id="1940"/>
        <w:bookmarkStart w:id="1941" w:name="idm45965217219152"/>
        <w:t/>
        <w:bookmarkEnd w:id="1941"/>
      </w:r>
      <w:r>
        <w:t xml:space="preserve"> package </w:t>
      </w:r>
      <w:r>
        <w:rPr>
          <w:rStyle w:val="Text3"/>
        </w:rPr>
        <w:t>P</w:t>
      </w:r>
      <w:r>
        <w:t xml:space="preserve">’s </w:t>
      </w:r>
      <w:r>
        <w:rPr>
          <w:rStyle w:val="Text0"/>
        </w:rPr>
        <w:t>__file__</w:t>
      </w:r>
      <w:r>
        <w:t xml:space="preserve"> attribute is the string that is the path of </w:t>
      </w:r>
      <w:r>
        <w:rPr>
          <w:rStyle w:val="Text3"/>
        </w:rPr>
        <w:t>P</w:t>
      </w:r>
      <w:r>
        <w:t xml:space="preserve">’s module body—that is, the path of the file </w:t>
      </w:r>
      <w:r>
        <w:rPr>
          <w:rStyle w:val="Text4"/>
        </w:rPr>
        <w:t>P/__init__.py</w:t>
      </w:r>
      <w:r>
        <w:t xml:space="preserve">. </w:t>
      </w:r>
      <w:r>
        <w:rPr>
          <w:rStyle w:val="Text3"/>
        </w:rPr>
        <w:t>P</w:t>
      </w:r>
      <w:r>
        <w:t xml:space="preserve">’s </w:t>
      </w:r>
      <w:r>
        <w:rPr>
          <w:rStyle w:val="Text0"/>
        </w:rPr>
        <w:t>__package__</w:t>
      </w:r>
      <w:r>
        <w:t xml:space="preserve"> attribute is the name of </w:t>
      </w:r>
      <w:r>
        <w:rPr>
          <w:rStyle w:val="Text3"/>
        </w:rPr>
        <w:t>P</w:t>
      </w:r>
      <w:r>
        <w:t>’s package.</w:t>
      </w:r>
    </w:p>
    <w:p>
      <w:pPr>
        <w:pStyle w:val="Normal"/>
      </w:pPr>
      <w:r>
        <w:t xml:space="preserve">A package </w:t>
      </w:r>
      <w:r>
        <w:rPr>
          <w:rStyle w:val="Text3"/>
        </w:rPr>
        <w:t>P</w:t>
      </w:r>
      <w:r>
        <w:t xml:space="preserve">’s module body—that is, the Python source that is in the file </w:t>
      </w:r>
      <w:r>
        <w:rPr>
          <w:rStyle w:val="Text4"/>
        </w:rPr>
        <w:t>P/__init__.py</w:t>
      </w:r>
      <w:r>
        <w:t xml:space="preserve">—can optionally set a global variable named </w:t>
      </w:r>
      <w:r>
        <w:rPr>
          <w:rStyle w:val="Text0"/>
        </w:rPr>
        <w:t>__all__</w:t>
      </w:r>
      <w:r>
        <w:t xml:space="preserve"> (just like any other module can) to control what happens if some other Python code executes the statement </w:t>
      </w:r>
      <w:r>
        <w:rPr>
          <w:rStyle w:val="Text5"/>
        </w:rPr>
        <w:t>from</w:t>
      </w:r>
      <w:r>
        <w:t xml:space="preserve"> </w:t>
      </w:r>
      <w:r>
        <w:rPr>
          <w:rStyle w:val="Text3"/>
        </w:rPr>
        <w:t>P</w:t>
      </w:r>
      <w:r>
        <w:t xml:space="preserve"> </w:t>
      </w:r>
      <w:r>
        <w:rPr>
          <w:rStyle w:val="Text5"/>
        </w:rPr>
        <w:t>import</w:t>
      </w:r>
      <w:r>
        <w:t xml:space="preserve"> </w:t>
      </w:r>
      <w:r>
        <w:rPr>
          <w:rStyle w:val="Text0"/>
        </w:rPr>
        <w:t>*</w:t>
      </w:r>
      <w:r>
        <w:t xml:space="preserve">. In particular, if </w:t>
      </w:r>
      <w:r>
        <w:rPr>
          <w:rStyle w:val="Text0"/>
        </w:rPr>
        <w:t>__all__</w:t>
      </w:r>
      <w:r>
        <w:t xml:space="preserve"> is not set, </w:t>
      </w:r>
      <w:r>
        <w:rPr>
          <w:rStyle w:val="Text5"/>
        </w:rPr>
        <w:t>from</w:t>
      </w:r>
      <w:r>
        <w:t xml:space="preserve"> </w:t>
      </w:r>
      <w:r>
        <w:rPr>
          <w:rStyle w:val="Text3"/>
        </w:rPr>
        <w:t>P</w:t>
      </w:r>
      <w:r>
        <w:t xml:space="preserve"> </w:t>
      </w:r>
      <w:r>
        <w:rPr>
          <w:rStyle w:val="Text5"/>
        </w:rPr>
        <w:t>import</w:t>
      </w:r>
      <w:r>
        <w:t xml:space="preserve"> </w:t>
      </w:r>
      <w:r>
        <w:rPr>
          <w:rStyle w:val="Text0"/>
        </w:rPr>
        <w:t>*</w:t>
      </w:r>
      <w:r>
        <w:t xml:space="preserve"> does not import </w:t>
      </w:r>
      <w:r>
        <w:rPr>
          <w:rStyle w:val="Text3"/>
        </w:rPr>
        <w:t>P</w:t>
      </w:r>
      <w:r>
        <w:t xml:space="preserve">’s modules, but only names that are set in </w:t>
      </w:r>
      <w:r>
        <w:rPr>
          <w:rStyle w:val="Text3"/>
        </w:rPr>
        <w:t>P</w:t>
      </w:r>
      <w:r>
        <w:t xml:space="preserve">’s module body and lack a leading </w:t>
      </w:r>
      <w:r>
        <w:rPr>
          <w:rStyle w:val="Text0"/>
        </w:rPr>
        <w:t>_</w:t>
      </w:r>
      <w:r>
        <w:t xml:space="preserve">. In any case, this is </w:t>
      </w:r>
      <w:r>
        <w:rPr>
          <w:rStyle w:val="Text4"/>
        </w:rPr>
        <w:t>not</w:t>
      </w:r>
      <w:r>
        <w:t xml:space="preserve"> recommended usage.</w:t>
      </w:r>
    </w:p>
    <w:p>
      <w:pPr>
        <w:pStyle w:val="Normal"/>
      </w:pPr>
      <w:r>
        <w:t xml:space="preserve">A package </w:t>
      </w:r>
      <w:r>
        <w:rPr>
          <w:rStyle w:val="Text3"/>
        </w:rPr>
        <w:t>P</w:t>
      </w:r>
      <w:r>
        <w:t xml:space="preserve">’s </w:t>
      </w:r>
      <w:r>
        <w:rPr>
          <w:rStyle w:val="Text0"/>
        </w:rPr>
        <w:t>__path__</w:t>
      </w:r>
      <w:r>
        <w:t xml:space="preserve"> attribute is the list of strings that are the paths to the directories from which </w:t>
      </w:r>
      <w:r>
        <w:rPr>
          <w:rStyle w:val="Text3"/>
        </w:rPr>
        <w:t>P</w:t>
      </w:r>
      <w:r>
        <w:t xml:space="preserve">’s modules and subpackages are loaded. Initially, Python sets </w:t>
      </w:r>
      <w:r>
        <w:rPr>
          <w:rStyle w:val="Text0"/>
        </w:rPr>
        <w:t>__path__</w:t>
      </w:r>
      <w:r>
        <w:t xml:space="preserve"> to a list with a single element: the path of the directory containing the file </w:t>
      </w:r>
      <w:r>
        <w:rPr>
          <w:rStyle w:val="Text4"/>
        </w:rPr>
        <w:t>__init__.py</w:t>
      </w:r>
      <w:r>
        <w:t xml:space="preserve"> that is the module body of the package. Your code can modify this list to affect future searches for modules and subpackages of this package. This advanced technique is rarely necessary, but can be useful when you want to place a package’s modules in multiple directories (a namespace package is, however, the usual way to accomplish this goal).</w:t>
      </w:r>
    </w:p>
    <w:p>
      <w:bookmarkStart w:id="1942" w:name="Absolute_Versus_Relative_Imports"/>
      <w:pPr>
        <w:keepNext/>
        <w:pStyle w:val="Heading 2"/>
      </w:pPr>
      <w:r>
        <w:t>Absolute Versus Relative Imports</w:t>
      </w:r>
      <w:bookmarkEnd w:id="1942"/>
    </w:p>
    <w:p>
      <w:pPr>
        <w:pStyle w:val="Normal"/>
      </w:pPr>
      <w:r>
        <w:t>As</w:t>
      </w:r>
      <w:r>
        <w:rPr>
          <w:rStyle w:val="Text111"/>
        </w:rPr>
        <w:bookmarkStart w:id="1943" w:name="idm45965217196848"/>
        <w:t/>
        <w:bookmarkEnd w:id="1943"/>
        <w:bookmarkStart w:id="1944" w:name="idm45965217194816"/>
        <w:t/>
        <w:bookmarkEnd w:id="1944"/>
        <w:bookmarkStart w:id="1945" w:name="idm45965217193600"/>
        <w:t/>
        <w:bookmarkEnd w:id="1945"/>
        <w:bookmarkStart w:id="1946" w:name="idm45965217192624"/>
        <w:t/>
        <w:bookmarkEnd w:id="1946"/>
      </w:r>
      <w:r>
        <w:t xml:space="preserve"> mentioned previously, an </w:t>
      </w:r>
      <w:r>
        <w:rPr>
          <w:rStyle w:val="Text5"/>
        </w:rPr>
        <w:t>import</w:t>
      </w:r>
      <w:r>
        <w:t xml:space="preserve"> statement normally expects to find its target somewhere on </w:t>
      </w:r>
      <w:r>
        <w:rPr>
          <w:rStyle w:val="Text0"/>
        </w:rPr>
        <w:t>sys.path</w:t>
      </w:r>
      <w:r>
        <w:t xml:space="preserve">—a behavior known as an </w:t>
      </w:r>
      <w:r>
        <w:rPr>
          <w:rStyle w:val="Text4"/>
        </w:rPr>
        <w:t>absolute</w:t>
      </w:r>
      <w:r>
        <w:t xml:space="preserve"> import. Alternatively, you can explicitly use a </w:t>
      </w:r>
      <w:r>
        <w:rPr>
          <w:rStyle w:val="Text4"/>
        </w:rPr>
        <w:t>relative</w:t>
      </w:r>
      <w:r>
        <w:t xml:space="preserve"> import, meaning an import of an object from within the current package. Using relative imports can make it easier for you to refactor or restructure the subpackages within your package. Relative imports use module or package names beginning with one or more dots, and are only available within the </w:t>
      </w:r>
      <w:r>
        <w:rPr>
          <w:rStyle w:val="Text5"/>
        </w:rPr>
        <w:t>from</w:t>
      </w:r>
      <w:r>
        <w:t xml:space="preserve"> statement. </w:t>
      </w:r>
      <w:r>
        <w:rPr>
          <w:rStyle w:val="Text5"/>
        </w:rPr>
        <w:t>from</w:t>
      </w:r>
      <w:r>
        <w:t xml:space="preserve"> </w:t>
      </w:r>
      <w:r>
        <w:rPr>
          <w:rStyle w:val="Text0"/>
        </w:rPr>
        <w:t>.</w:t>
      </w:r>
      <w:r>
        <w:t xml:space="preserve"> </w:t>
      </w:r>
      <w:r>
        <w:rPr>
          <w:rStyle w:val="Text5"/>
        </w:rPr>
        <w:t>import</w:t>
      </w:r>
      <w:r>
        <w:t xml:space="preserve"> </w:t>
      </w:r>
      <w:r>
        <w:rPr>
          <w:rStyle w:val="Text3"/>
        </w:rPr>
        <w:t>X</w:t>
      </w:r>
      <w:r>
        <w:t xml:space="preserve"> looks for the module or object named </w:t>
      </w:r>
      <w:r>
        <w:rPr>
          <w:rStyle w:val="Text3"/>
        </w:rPr>
        <w:t>X</w:t>
      </w:r>
      <w:r>
        <w:t xml:space="preserve"> in the current package; </w:t>
      </w:r>
      <w:r>
        <w:rPr>
          <w:rStyle w:val="Text5"/>
        </w:rPr>
        <w:t>from</w:t>
      </w:r>
      <w:r>
        <w:t xml:space="preserve"> </w:t>
      </w:r>
      <w:r>
        <w:rPr>
          <w:rStyle w:val="Text0"/>
        </w:rPr>
        <w:t>.</w:t>
      </w:r>
      <w:r>
        <w:rPr>
          <w:rStyle w:val="Text3"/>
        </w:rPr>
        <w:t>X</w:t>
      </w:r>
      <w:r>
        <w:t xml:space="preserve"> </w:t>
      </w:r>
      <w:r>
        <w:rPr>
          <w:rStyle w:val="Text5"/>
        </w:rPr>
        <w:t>import</w:t>
      </w:r>
      <w:r>
        <w:t xml:space="preserve"> </w:t>
      </w:r>
      <w:r>
        <w:rPr>
          <w:rStyle w:val="Text3"/>
        </w:rPr>
        <w:t>y</w:t>
      </w:r>
      <w:r>
        <w:t xml:space="preserve"> looks in module or subpackage </w:t>
      </w:r>
      <w:r>
        <w:rPr>
          <w:rStyle w:val="Text3"/>
        </w:rPr>
        <w:t>X</w:t>
      </w:r>
      <w:r>
        <w:t xml:space="preserve"> within the current package for the module or object named </w:t>
      </w:r>
      <w:r>
        <w:rPr>
          <w:rStyle w:val="Text3"/>
        </w:rPr>
        <w:t>y</w:t>
      </w:r>
      <w:r>
        <w:t xml:space="preserve">. If your package has subpackages, their code can access higher-up objects in the package by using multiple dots at the start of the module or subpackage name you place between </w:t>
      </w:r>
      <w:r>
        <w:rPr>
          <w:rStyle w:val="Text5"/>
        </w:rPr>
        <w:t>from</w:t>
      </w:r>
      <w:r>
        <w:t xml:space="preserve"> and </w:t>
      </w:r>
      <w:r>
        <w:rPr>
          <w:rStyle w:val="Text5"/>
        </w:rPr>
        <w:t>import</w:t>
      </w:r>
      <w:r>
        <w:t>. Each additional dot ascends the directory hierarchy one level. Getting too fancy with this feature can easily damage your code’s clarity, so use it with care, and only when necessary.</w:t>
      </w:r>
    </w:p>
    <w:p>
      <w:bookmarkStart w:id="1947" w:name="Distribution_Utilities__distutil"/>
      <w:pPr>
        <w:keepNext/>
        <w:pStyle w:val="Heading 1"/>
      </w:pPr>
      <w:r>
        <w:t>Distribution Utilities (distutils) and setuptools</w:t>
      </w:r>
      <w:bookmarkEnd w:id="1947"/>
    </w:p>
    <w:p>
      <w:pPr>
        <w:pStyle w:val="Normal"/>
      </w:pPr>
      <w:r>
        <w:t>Python</w:t>
      </w:r>
      <w:r>
        <w:rPr>
          <w:rStyle w:val="Text111"/>
        </w:rPr>
        <w:bookmarkStart w:id="1948" w:name="Mdist07"/>
        <w:t/>
        <w:bookmarkEnd w:id="1948"/>
        <w:bookmarkStart w:id="1949" w:name="dist07"/>
        <w:t/>
        <w:bookmarkEnd w:id="1949"/>
        <w:bookmarkStart w:id="1950" w:name="seetuptools07"/>
        <w:t/>
        <w:bookmarkEnd w:id="1950"/>
        <w:bookmarkStart w:id="1951" w:name="PCKdist07"/>
        <w:t/>
        <w:bookmarkEnd w:id="1951"/>
      </w:r>
      <w:r>
        <w:t xml:space="preserve"> modules, extensions, and applications can be packaged and distributed in several forms:</w:t>
      </w:r>
    </w:p>
    <w:p>
      <w:pPr>
        <w:pStyle w:val="Para 023"/>
      </w:pPr>
      <w:r>
        <w:t>Compressed archive files</w:t>
      </w:r>
    </w:p>
    <w:p>
      <w:pPr>
        <w:pStyle w:val="Para 016"/>
      </w:pPr>
      <w:r>
        <w:t xml:space="preserve">Generally </w:t>
      </w:r>
      <w:r>
        <w:rPr>
          <w:rStyle w:val="Text4"/>
        </w:rPr>
        <w:t>.zip</w:t>
      </w:r>
      <w:r>
        <w:t xml:space="preserve">, </w:t>
      </w:r>
      <w:r>
        <w:rPr>
          <w:rStyle w:val="Text4"/>
        </w:rPr>
        <w:t>.tar.gz</w:t>
      </w:r>
      <w:r>
        <w:t xml:space="preserve"> (aka </w:t>
      </w:r>
      <w:r>
        <w:rPr>
          <w:rStyle w:val="Text4"/>
        </w:rPr>
        <w:t>.tgz</w:t>
      </w:r>
      <w:r>
        <w:t xml:space="preserve">), </w:t>
      </w:r>
      <w:r>
        <w:rPr>
          <w:rStyle w:val="Text4"/>
        </w:rPr>
        <w:t>.tar.bz2</w:t>
      </w:r>
      <w:r>
        <w:t xml:space="preserve">, or </w:t>
      </w:r>
      <w:r>
        <w:rPr>
          <w:rStyle w:val="Text4"/>
        </w:rPr>
        <w:t>.tar.xz</w:t>
      </w:r>
      <w:r>
        <w:t xml:space="preserve"> files—all these forms are portable, and many other forms of compressed archives of trees of files and directories exist</w:t>
      </w:r>
    </w:p>
    <w:p>
      <w:pPr>
        <w:pStyle w:val="Para 023"/>
      </w:pPr>
      <w:r>
        <w:t>Self-unpacking or self-installing executables</w:t>
      </w:r>
    </w:p>
    <w:p>
      <w:pPr>
        <w:pStyle w:val="Para 016"/>
      </w:pPr>
      <w:r>
        <w:t xml:space="preserve">Normally </w:t>
      </w:r>
      <w:r>
        <w:rPr>
          <w:rStyle w:val="Text4"/>
        </w:rPr>
        <w:t>.exe</w:t>
      </w:r>
      <w:r>
        <w:t xml:space="preserve"> for Windows</w:t>
      </w:r>
    </w:p>
    <w:p>
      <w:pPr>
        <w:pStyle w:val="Para 023"/>
      </w:pPr>
      <w:r>
        <w:t>Self-contained, ready-to-run executables that require no installation</w:t>
      </w:r>
    </w:p>
    <w:p>
      <w:pPr>
        <w:pStyle w:val="Para 016"/>
      </w:pPr>
      <w:r>
        <w:t xml:space="preserve">For example, </w:t>
      </w:r>
      <w:r>
        <w:rPr>
          <w:rStyle w:val="Text4"/>
        </w:rPr>
        <w:t>.exe</w:t>
      </w:r>
      <w:r>
        <w:t xml:space="preserve"> for Windows, ZIP archives with a short script prefix on Unix, </w:t>
      </w:r>
      <w:r>
        <w:rPr>
          <w:rStyle w:val="Text4"/>
        </w:rPr>
        <w:t>.app</w:t>
      </w:r>
      <w:r>
        <w:t xml:space="preserve"> for the Mac, and so on</w:t>
      </w:r>
    </w:p>
    <w:p>
      <w:pPr>
        <w:pStyle w:val="Para 023"/>
      </w:pPr>
      <w:r>
        <w:t>Platform-specific installers</w:t>
      </w:r>
    </w:p>
    <w:p>
      <w:pPr>
        <w:pStyle w:val="Para 016"/>
      </w:pPr>
      <w:r>
        <w:t xml:space="preserve">For example, </w:t>
      </w:r>
      <w:r>
        <w:rPr>
          <w:rStyle w:val="Text4"/>
        </w:rPr>
        <w:t>.rpm</w:t>
      </w:r>
      <w:r>
        <w:t xml:space="preserve"> and </w:t>
      </w:r>
      <w:r>
        <w:rPr>
          <w:rStyle w:val="Text4"/>
        </w:rPr>
        <w:t>.srpm</w:t>
      </w:r>
      <w:r>
        <w:t xml:space="preserve"> on many Linux distributions, </w:t>
      </w:r>
      <w:r>
        <w:rPr>
          <w:rStyle w:val="Text4"/>
        </w:rPr>
        <w:t>.deb</w:t>
      </w:r>
      <w:r>
        <w:t xml:space="preserve"> on Debian GNU/Linux and Ubuntu, </w:t>
      </w:r>
      <w:r>
        <w:rPr>
          <w:rStyle w:val="Text4"/>
        </w:rPr>
        <w:t>.pkg</w:t>
      </w:r>
      <w:r>
        <w:t xml:space="preserve"> on macOS</w:t>
      </w:r>
    </w:p>
    <w:p>
      <w:pPr>
        <w:pStyle w:val="Para 023"/>
      </w:pPr>
      <w:r>
        <w:t>Python wheels</w:t>
      </w:r>
    </w:p>
    <w:p>
      <w:pPr>
        <w:pStyle w:val="Normal"/>
      </w:pPr>
      <w:r>
        <w:t>Popular third-party extensions, covered in the following note</w:t>
      </w:r>
    </w:p>
    <w:p>
      <w:pPr>
        <w:keepNext/>
        <w:pStyle w:val="Heading 5"/>
        <w:keepLines w:val="on"/>
      </w:pPr>
      <w:r>
        <w:t>Python Wheels</w:t>
      </w:r>
    </w:p>
    <w:p>
      <w:pPr>
        <w:pStyle w:val="Para 012"/>
        <w:keepLines w:val="on"/>
      </w:pPr>
      <w:r>
        <w:t xml:space="preserve">A Python </w:t>
      </w:r>
      <w:r>
        <w:rPr>
          <w:rStyle w:val="Text4"/>
        </w:rPr>
        <w:t>wheel</w:t>
      </w:r>
      <w:r>
        <w:rPr>
          <w:rStyle w:val="Text105"/>
        </w:rPr>
        <w:bookmarkStart w:id="1952" w:name="idm45965217160448"/>
        <w:t/>
        <w:bookmarkEnd w:id="1952"/>
      </w:r>
      <w:r>
        <w:t xml:space="preserve"> is an archive file including structured metadata as well as Python code. Wheels offer an excellent way to package and distribute your Python packages, and </w:t>
      </w:r>
      <w:r>
        <w:rPr>
          <w:rStyle w:val="Text0"/>
        </w:rPr>
        <w:t>setuptools</w:t>
      </w:r>
      <w:r>
        <w:t xml:space="preserve"> (with the </w:t>
      </w:r>
      <w:r>
        <w:rPr>
          <w:rStyle w:val="Text0"/>
        </w:rPr>
        <w:t>wheel</w:t>
      </w:r>
      <w:r>
        <w:t xml:space="preserve"> extension, easily installed with </w:t>
      </w:r>
      <w:r>
        <w:rPr>
          <w:rStyle w:val="Text5"/>
        </w:rPr>
        <w:t>pip install wheel</w:t>
      </w:r>
      <w:r>
        <w:t xml:space="preserve">) works seamlessly with them. Read all about them at </w:t>
      </w:r>
      <w:hyperlink r:id="rId282">
        <w:r>
          <w:rPr>
            <w:rStyle w:val="Text1"/>
          </w:rPr>
          <w:t>PythonWheels.com</w:t>
        </w:r>
      </w:hyperlink>
      <w:r>
        <w:t xml:space="preserve"> and in </w:t>
      </w:r>
      <w:hyperlink w:anchor="Chapter_24__Packaging_Programs_a_2">
        <w:r>
          <w:rPr>
            <w:rStyle w:val="Text1"/>
          </w:rPr>
          <w:t>Chapter 24</w:t>
        </w:r>
      </w:hyperlink>
      <w:r>
        <w:t xml:space="preserve"> (available </w:t>
      </w:r>
      <w:hyperlink r:id="rId188">
        <w:r>
          <w:rPr>
            <w:rStyle w:val="Text1"/>
          </w:rPr>
          <w:t>online</w:t>
        </w:r>
      </w:hyperlink>
      <w:r>
        <w:t>).</w:t>
      </w:r>
    </w:p>
    <w:p>
      <w:pPr>
        <w:pStyle w:val="Normal"/>
      </w:pPr>
      <w:r>
        <w:t xml:space="preserve">When you distribute a package as a self-installing executable or platform-specific installer, a user simply runs the installer. How to run such a program depends on the platform, but it doesn’t matter which language the program was written in. We cover building self-contained, runnable executables for various platforms in </w:t>
      </w:r>
      <w:hyperlink r:id="rId188">
        <w:r>
          <w:rPr>
            <w:rStyle w:val="Text1"/>
          </w:rPr>
          <w:t>Chapter 24</w:t>
        </w:r>
      </w:hyperlink>
      <w:r>
        <w:t>.</w:t>
      </w:r>
    </w:p>
    <w:p>
      <w:pPr>
        <w:pStyle w:val="Normal"/>
      </w:pPr>
      <w:r>
        <w:t xml:space="preserve">When you distribute a package as an archive file or as an executable that unpacks but does not install itself, it </w:t>
      </w:r>
      <w:r>
        <w:rPr>
          <w:rStyle w:val="Text4"/>
        </w:rPr>
        <w:t>does</w:t>
      </w:r>
      <w:r>
        <w:t xml:space="preserve"> matter that the package was coded in Python. In this case, the user must first unpack the archive file into some appropriate directory, say </w:t>
      </w:r>
      <w:r>
        <w:rPr>
          <w:rStyle w:val="Text4"/>
        </w:rPr>
        <w:t>C:\Temp\MyPack</w:t>
      </w:r>
      <w:r>
        <w:t xml:space="preserve"> on a Windows machine or </w:t>
      </w:r>
      <w:r>
        <w:rPr>
          <w:rStyle w:val="Text4"/>
        </w:rPr>
        <w:t>~/MyPack</w:t>
      </w:r>
      <w:r>
        <w:t xml:space="preserve"> on a Unix-like machine. Among the extracted files there should be a script, conventionally named </w:t>
      </w:r>
      <w:r>
        <w:rPr>
          <w:rStyle w:val="Text4"/>
        </w:rPr>
        <w:t>setup.py</w:t>
      </w:r>
      <w:r>
        <w:t xml:space="preserve">, that uses the Python facility known as the </w:t>
      </w:r>
      <w:r>
        <w:rPr>
          <w:rStyle w:val="Text4"/>
        </w:rPr>
        <w:t>distribution utilities</w:t>
      </w:r>
      <w:r>
        <w:t xml:space="preserve"> (the now deprecated, but still functioning, standard library package </w:t>
      </w:r>
      <w:r>
        <w:rPr>
          <w:rStyle w:val="Text0"/>
        </w:rPr>
        <w:t>distutils</w:t>
      </w:r>
      <w:hyperlink w:anchor="2_distutils_is_scheduled_for_del">
        <w:r>
          <w:rPr>
            <w:rStyle w:val="Text41"/>
          </w:rPr>
          <w:bookmarkStart w:id="1953" w:name="2_7"/>
          <w:t>2</w:t>
          <w:bookmarkEnd w:id="1953"/>
        </w:r>
      </w:hyperlink>
      <w:r>
        <w:t xml:space="preserve">) or, better, the more popular, modern, and powerful third-party package </w:t>
      </w:r>
      <w:hyperlink r:id="rId283">
        <w:r>
          <w:rPr>
            <w:rStyle w:val="Text1"/>
          </w:rPr>
          <w:t>setuptools</w:t>
        </w:r>
      </w:hyperlink>
      <w:r>
        <w:t>. The distributed package is then almost as easy to install as a self-installing executable; the user simply opens a command prompt window, changes to the directory into which the archive is unpacked, then runs, for example:</w:t>
      </w:r>
    </w:p>
    <w:p>
      <w:pPr>
        <w:pStyle w:val="Para 085"/>
      </w:pPr>
      <w:r>
        <w:rPr>
          <w:rStyle w:val="Text118"/>
        </w:rPr>
        <w:t xml:space="preserve"/>
        <w:br w:clear="none"/>
      </w:r>
      <w:r>
        <w:rPr>
          <w:rStyle w:val="Text37"/>
        </w:rPr>
        <w:t xml:space="preserve">C</w:t>
        <w:br w:clear="none"/>
      </w:r>
      <w:r>
        <w:rPr>
          <w:rStyle w:val="Text31"/>
        </w:rPr>
        <w:t xml:space="preserve">:</w:t>
        <w:br w:clear="none"/>
      </w:r>
      <w:r>
        <w:rPr>
          <w:rStyle w:val="Text29"/>
        </w:rPr>
        <w:t xml:space="preserve">\</w:t>
        <w:br w:clear="none"/>
      </w:r>
      <w:r>
        <w:rPr>
          <w:rStyle w:val="Text37"/>
        </w:rPr>
        <w:t xml:space="preserve">Temp</w:t>
        <w:br w:clear="none"/>
      </w:r>
      <w:r>
        <w:rPr>
          <w:rStyle w:val="Text29"/>
        </w:rPr>
        <w:t xml:space="preserve">\</w:t>
        <w:br w:clear="none"/>
      </w:r>
      <w:r>
        <w:rPr>
          <w:rStyle w:val="Text37"/>
        </w:rPr>
        <w:t xml:space="preserve">MyPack</w:t>
        <w:br w:clear="none"/>
      </w:r>
      <w:r>
        <w:rPr>
          <w:rStyle w:val="Text63"/>
        </w:rPr>
        <w:t xml:space="preserve">&gt;</w:t>
        <w:br w:clear="none"/>
      </w:r>
      <w:r>
        <w:rPr>
          <w:rStyle w:val="Text29"/>
        </w:rPr>
        <w:t xml:space="preserve"> </w:t>
        <w:br w:clear="none"/>
      </w:r>
      <w:r>
        <w:t xml:space="preserve">python</w:t>
        <w:br w:clear="none"/>
      </w:r>
      <w:r>
        <w:rPr>
          <w:rStyle w:val="Text6"/>
        </w:rPr>
        <w:t xml:space="preserve"> </w:t>
        <w:br w:clear="none"/>
      </w:r>
      <w:r>
        <w:t xml:space="preserve">setup</w:t>
        <w:br w:clear="none"/>
      </w:r>
      <w:r>
        <w:rPr>
          <w:rStyle w:val="Text13"/>
        </w:rPr>
        <w:t xml:space="preserve">.</w:t>
        <w:br w:clear="none"/>
      </w:r>
      <w:r>
        <w:t xml:space="preserve">py</w:t>
        <w:br w:clear="none"/>
      </w:r>
      <w:r>
        <w:rPr>
          <w:rStyle w:val="Text6"/>
        </w:rPr>
        <w:t xml:space="preserve"> </w:t>
        <w:br w:clear="none"/>
      </w:r>
      <w:r>
        <w:t xml:space="preserve">install</w:t>
        <w:br w:clear="none"/>
      </w:r>
    </w:p>
    <w:p>
      <w:pPr>
        <w:pStyle w:val="Normal"/>
      </w:pPr>
      <w:r>
        <w:t xml:space="preserve">(Another, often preferable, option is to use </w:t>
      </w:r>
      <w:r>
        <w:rPr>
          <w:rStyle w:val="Text0"/>
        </w:rPr>
        <w:t>pip</w:t>
      </w:r>
      <w:r>
        <w:t xml:space="preserve">; we’ll describe that momentarily.) The </w:t>
      </w:r>
      <w:r>
        <w:rPr>
          <w:rStyle w:val="Text4"/>
        </w:rPr>
        <w:t>setup.py</w:t>
      </w:r>
      <w:r>
        <w:t xml:space="preserve"> script run with this </w:t>
      </w:r>
      <w:r>
        <w:rPr>
          <w:rStyle w:val="Text5"/>
        </w:rPr>
        <w:t>install</w:t>
      </w:r>
      <w:r>
        <w:t xml:space="preserve"> command installs the package as a part of the user’s Python installation, according to the options specified by the package’s author in the setup script. Of course, the user needs appropriate permissions to write into the directories of the Python installation, so permission-raising commands such as </w:t>
      </w:r>
      <w:r>
        <w:rPr>
          <w:rStyle w:val="Text0"/>
        </w:rPr>
        <w:t>sudo</w:t>
      </w:r>
      <w:r>
        <w:t xml:space="preserve"> may also be needed; or, better yet, you can install into a </w:t>
      </w:r>
      <w:r>
        <w:rPr>
          <w:rStyle w:val="Text4"/>
        </w:rPr>
        <w:t>virtual environment</w:t>
      </w:r>
      <w:r>
        <w:t xml:space="preserve">, as described in the next section. </w:t>
      </w:r>
      <w:r>
        <w:rPr>
          <w:rStyle w:val="Text0"/>
        </w:rPr>
        <w:t>distutils</w:t>
      </w:r>
      <w:r>
        <w:t xml:space="preserve"> and </w:t>
      </w:r>
      <w:r>
        <w:rPr>
          <w:rStyle w:val="Text0"/>
        </w:rPr>
        <w:t>setuptools</w:t>
      </w:r>
      <w:r>
        <w:t xml:space="preserve">, by default, print some information when the user runs </w:t>
      </w:r>
      <w:r>
        <w:rPr>
          <w:rStyle w:val="Text4"/>
        </w:rPr>
        <w:t>setup.py</w:t>
      </w:r>
      <w:r>
        <w:t xml:space="preserve">. Including the option </w:t>
      </w:r>
      <w:r>
        <w:rPr>
          <w:rStyle w:val="Text5"/>
        </w:rPr>
        <w:t>--quiet</w:t>
      </w:r>
      <w:r>
        <w:t xml:space="preserve"> right before the </w:t>
      </w:r>
      <w:r>
        <w:rPr>
          <w:rStyle w:val="Text5"/>
        </w:rPr>
        <w:t>install</w:t>
      </w:r>
      <w:r>
        <w:t xml:space="preserve"> command hides most details (the user still sees error messages, if any). The following command gives detailed help on </w:t>
      </w:r>
      <w:r>
        <w:rPr>
          <w:rStyle w:val="Text0"/>
        </w:rPr>
        <w:t>distutils</w:t>
      </w:r>
      <w:r>
        <w:t xml:space="preserve"> or </w:t>
      </w:r>
      <w:r>
        <w:rPr>
          <w:rStyle w:val="Text0"/>
        </w:rPr>
        <w:t>setuptools</w:t>
      </w:r>
      <w:r>
        <w:t xml:space="preserve">, depending on which toolset the package author used in their </w:t>
      </w:r>
      <w:r>
        <w:rPr>
          <w:rStyle w:val="Text4"/>
        </w:rPr>
        <w:t>setup.py</w:t>
      </w:r>
      <w:r>
        <w:t>:</w:t>
      </w:r>
    </w:p>
    <w:p>
      <w:pPr>
        <w:pStyle w:val="Para 085"/>
      </w:pPr>
      <w:r>
        <w:rPr>
          <w:rStyle w:val="Text118"/>
        </w:rPr>
        <w:t xml:space="preserve"/>
        <w:br w:clear="none"/>
      </w:r>
      <w:r>
        <w:rPr>
          <w:rStyle w:val="Text37"/>
        </w:rPr>
        <w:t xml:space="preserve">C</w:t>
        <w:br w:clear="none"/>
      </w:r>
      <w:r>
        <w:rPr>
          <w:rStyle w:val="Text31"/>
        </w:rPr>
        <w:t xml:space="preserve">:</w:t>
        <w:br w:clear="none"/>
      </w:r>
      <w:r>
        <w:rPr>
          <w:rStyle w:val="Text29"/>
        </w:rPr>
        <w:t xml:space="preserve">\</w:t>
        <w:br w:clear="none"/>
      </w:r>
      <w:r>
        <w:rPr>
          <w:rStyle w:val="Text37"/>
        </w:rPr>
        <w:t xml:space="preserve">Temp</w:t>
        <w:br w:clear="none"/>
      </w:r>
      <w:r>
        <w:rPr>
          <w:rStyle w:val="Text29"/>
        </w:rPr>
        <w:t xml:space="preserve">\</w:t>
        <w:br w:clear="none"/>
      </w:r>
      <w:r>
        <w:rPr>
          <w:rStyle w:val="Text37"/>
        </w:rPr>
        <w:t xml:space="preserve">MyPack</w:t>
        <w:br w:clear="none"/>
      </w:r>
      <w:r>
        <w:rPr>
          <w:rStyle w:val="Text63"/>
        </w:rPr>
        <w:t xml:space="preserve">&gt;</w:t>
        <w:br w:clear="none"/>
      </w:r>
      <w:r>
        <w:rPr>
          <w:rStyle w:val="Text29"/>
        </w:rPr>
        <w:t xml:space="preserve"> </w:t>
        <w:br w:clear="none"/>
      </w:r>
      <w:r>
        <w:t xml:space="preserve">python</w:t>
        <w:br w:clear="none"/>
      </w:r>
      <w:r>
        <w:rPr>
          <w:rStyle w:val="Text6"/>
        </w:rPr>
        <w:t xml:space="preserve"> </w:t>
        <w:br w:clear="none"/>
      </w:r>
      <w:r>
        <w:t xml:space="preserve">setup</w:t>
        <w:br w:clear="none"/>
      </w:r>
      <w:r>
        <w:rPr>
          <w:rStyle w:val="Text13"/>
        </w:rPr>
        <w:t xml:space="preserve">.</w:t>
        <w:br w:clear="none"/>
      </w:r>
      <w:r>
        <w:t xml:space="preserve">py</w:t>
        <w:br w:clear="none"/>
      </w:r>
      <w:r>
        <w:rPr>
          <w:rStyle w:val="Text6"/>
        </w:rPr>
        <w:t xml:space="preserve"> </w:t>
        <w:br w:clear="none"/>
      </w:r>
      <w:r>
        <w:rPr>
          <w:rStyle w:val="Text13"/>
        </w:rPr>
        <w:t xml:space="preserve">-</w:t>
        <w:br w:clear="none"/>
        <w:t xml:space="preserve">-</w:t>
        <w:br w:clear="none"/>
      </w:r>
      <w:r>
        <w:t xml:space="preserve">help</w:t>
        <w:br w:clear="none"/>
      </w:r>
    </w:p>
    <w:p>
      <w:pPr>
        <w:pStyle w:val="Normal"/>
      </w:pPr>
      <w:r>
        <w:t xml:space="preserve">An alternative to this process, and the preferred way to install packages nowadays, is to use the excellent installer </w:t>
      </w:r>
      <w:r>
        <w:rPr>
          <w:rStyle w:val="Text0"/>
        </w:rPr>
        <w:t>pip</w:t>
      </w:r>
      <w:r>
        <w:t xml:space="preserve"> that comes with Python. </w:t>
      </w:r>
      <w:r>
        <w:rPr>
          <w:rStyle w:val="Text0"/>
        </w:rPr>
        <w:t>pip</w:t>
      </w:r>
      <w:r>
        <w:t>—a recursive acronym for “</w:t>
      </w:r>
      <w:r>
        <w:rPr>
          <w:rStyle w:val="Text0"/>
        </w:rPr>
        <w:t>pip</w:t>
      </w:r>
      <w:r>
        <w:t xml:space="preserve"> installs packages”—is copiously documented </w:t>
      </w:r>
      <w:hyperlink r:id="rId284">
        <w:r>
          <w:rPr>
            <w:rStyle w:val="Text1"/>
          </w:rPr>
          <w:t>online</w:t>
        </w:r>
      </w:hyperlink>
      <w:r>
        <w:t xml:space="preserve">, yet very simple to use in most cases. </w:t>
      </w:r>
      <w:r>
        <w:rPr>
          <w:rStyle w:val="Text5"/>
        </w:rPr>
        <w:t>pip install</w:t>
      </w:r>
      <w:r>
        <w:t xml:space="preserve"> </w:t>
      </w:r>
      <w:r>
        <w:rPr>
          <w:rStyle w:val="Text84"/>
        </w:rPr>
        <w:t>package</w:t>
      </w:r>
      <w:r>
        <w:t xml:space="preserve"> finds the online version of </w:t>
      </w:r>
      <w:r>
        <w:rPr>
          <w:rStyle w:val="Text3"/>
        </w:rPr>
        <w:t>package</w:t>
      </w:r>
      <w:r>
        <w:t xml:space="preserve"> (usually in the huge </w:t>
      </w:r>
      <w:hyperlink r:id="rId80">
        <w:r>
          <w:rPr>
            <w:rStyle w:val="Text1"/>
          </w:rPr>
          <w:t>PyPI</w:t>
        </w:r>
      </w:hyperlink>
      <w:r>
        <w:t xml:space="preserve"> repository, hosting more than 400,000 packages at the time of this writing), downloads it, and installs it for you (in a virtual environment, if one is active; see the next section for details). This books’ authors have been using that simple, powerful approach for well over 90% of their installs for quite a while now.</w:t>
      </w:r>
    </w:p>
    <w:p>
      <w:pPr>
        <w:pStyle w:val="Normal"/>
      </w:pPr>
      <w:r>
        <w:t xml:space="preserve">Even if you have downloaded the package locally (say to </w:t>
      </w:r>
      <w:r>
        <w:rPr>
          <w:rStyle w:val="Text4"/>
        </w:rPr>
        <w:t>/tmp/mypack</w:t>
      </w:r>
      <w:r>
        <w:t xml:space="preserve">), for whatever reason (maybe it’s not on PyPI, or you’re trying out an experimental version that is not yet there), </w:t>
      </w:r>
      <w:r>
        <w:rPr>
          <w:rStyle w:val="Text0"/>
        </w:rPr>
        <w:t>pip</w:t>
      </w:r>
      <w:r>
        <w:t xml:space="preserve"> can still install it for you: just run </w:t>
      </w:r>
      <w:r>
        <w:rPr>
          <w:rStyle w:val="Text5"/>
        </w:rPr>
        <w:t>pip install --no-index --find-links=/tmp/mypack</w:t>
      </w:r>
      <w:r>
        <w:t xml:space="preserve"> and </w:t>
      </w:r>
      <w:r>
        <w:rPr>
          <w:rStyle w:val="Text0"/>
        </w:rPr>
        <w:t>pip</w:t>
      </w:r>
      <w:r>
        <w:t xml:space="preserve"> does the rest.</w:t>
      </w:r>
      <w:r>
        <w:rPr>
          <w:rStyle w:val="Text111"/>
        </w:rPr>
        <w:bookmarkStart w:id="1954" w:name="idm45965217062384"/>
        <w:t/>
        <w:bookmarkEnd w:id="1954"/>
        <w:bookmarkStart w:id="1955" w:name="idm45965217061168"/>
        <w:t/>
        <w:bookmarkEnd w:id="1955"/>
        <w:bookmarkStart w:id="1956" w:name="idm45965217059952"/>
        <w:t/>
        <w:bookmarkEnd w:id="1956"/>
        <w:bookmarkStart w:id="1957" w:name="idm45965217058736"/>
        <w:t/>
        <w:bookmarkEnd w:id="1957"/>
      </w:r>
    </w:p>
    <w:p>
      <w:bookmarkStart w:id="1958" w:name="Python_Environments__A_typical_P"/>
      <w:pPr>
        <w:keepNext/>
        <w:pStyle w:val="Heading 1"/>
      </w:pPr>
      <w:r>
        <w:t>Python Environments</w:t>
      </w:r>
      <w:bookmarkEnd w:id="1958"/>
    </w:p>
    <w:p>
      <w:pPr>
        <w:pStyle w:val="Normal"/>
      </w:pPr>
      <w:r>
        <w:t>A</w:t>
      </w:r>
      <w:r>
        <w:rPr>
          <w:rStyle w:val="Text111"/>
        </w:rPr>
        <w:bookmarkStart w:id="1959" w:name="MDpenv07"/>
        <w:t/>
        <w:bookmarkEnd w:id="1959"/>
        <w:bookmarkStart w:id="1960" w:name="idm45965217054128"/>
        <w:t/>
        <w:bookmarkEnd w:id="1960"/>
        <w:bookmarkStart w:id="1961" w:name="PCKpyenv07"/>
        <w:t/>
        <w:bookmarkEnd w:id="1961"/>
        <w:bookmarkStart w:id="1962" w:name="pyenv07"/>
        <w:t/>
        <w:bookmarkEnd w:id="1962"/>
      </w:r>
      <w:r>
        <w:t xml:space="preserve"> typical Python programmer works on several projects concurrently, each with its own list of dependencies (typically, third-party libraries and data files). When the dependencies for all projects are installed into the same Python interpreter, it is very difficult to determine which projects use which dependencies, and impossible to handle projects with conflicting versions of certain dependencies.</w:t>
      </w:r>
    </w:p>
    <w:p>
      <w:pPr>
        <w:pStyle w:val="Normal"/>
      </w:pPr>
      <w:r>
        <w:t>Early Python interpreters were built on the assumption that each computer system would have “a Python interpreter” installed on it, to be used to run any Python program on that system. Operating system distributions soon started to include Python in their base installations, but, because Python has always been under active development, users often complained that they would like to use a more up-to-date version of the language than the one their operating system provided.</w:t>
      </w:r>
    </w:p>
    <w:p>
      <w:pPr>
        <w:pStyle w:val="Normal"/>
      </w:pPr>
      <w:r>
        <w:t>Techniques arose to let multiple versions of the language be installed on a system, but installation of third-party software remained nonstandard and intrusive. This problem was eased by the introduction of the</w:t>
      </w:r>
      <w:r>
        <w:rPr>
          <w:rStyle w:val="Text111"/>
        </w:rPr>
        <w:bookmarkStart w:id="1963" w:name="idm45965217049008"/>
        <w:t/>
        <w:bookmarkEnd w:id="1963"/>
      </w:r>
      <w:r>
        <w:t xml:space="preserve"> </w:t>
      </w:r>
      <w:r>
        <w:rPr>
          <w:rStyle w:val="Text4"/>
        </w:rPr>
        <w:t>site-packages</w:t>
      </w:r>
      <w:r>
        <w:t xml:space="preserve"> directory as the repository for modules added to a Python installation, but it was still not possible to maintain multiple projects with conflicting requirements using the same interpreter.</w:t>
      </w:r>
    </w:p>
    <w:p>
      <w:pPr>
        <w:pStyle w:val="Normal"/>
      </w:pPr>
      <w:r>
        <w:t>Programmers accustomed to command-line operations are familiar with the concept of a</w:t>
      </w:r>
      <w:r>
        <w:rPr>
          <w:rStyle w:val="Text111"/>
        </w:rPr>
        <w:bookmarkStart w:id="1964" w:name="idm45965217046912"/>
        <w:t/>
        <w:bookmarkEnd w:id="1964"/>
      </w:r>
      <w:r>
        <w:t xml:space="preserve"> </w:t>
      </w:r>
      <w:r>
        <w:rPr>
          <w:rStyle w:val="Text4"/>
        </w:rPr>
        <w:t>shell environment</w:t>
      </w:r>
      <w:r>
        <w:t xml:space="preserve">. A shell program running in a process has a current directory, variables that you can set with shell commands (very similar to a Python namespace), and various other pieces of process-specific state data. Python programs have access to the shell environment through </w:t>
      </w:r>
      <w:r>
        <w:rPr>
          <w:rStyle w:val="Text0"/>
        </w:rPr>
        <w:t>os.environ</w:t>
      </w:r>
      <w:r>
        <w:t>.</w:t>
      </w:r>
    </w:p>
    <w:p>
      <w:pPr>
        <w:pStyle w:val="Normal"/>
      </w:pPr>
      <w:r>
        <w:t xml:space="preserve">Various aspects of the shell environment affect Python’s operation, as mentioned in </w:t>
      </w:r>
      <w:hyperlink w:anchor="Environment_Variables__Besides_P">
        <w:r>
          <w:rPr>
            <w:rStyle w:val="Text1"/>
          </w:rPr>
          <w:t>“Environment Variables”</w:t>
        </w:r>
      </w:hyperlink>
      <w:r>
        <w:t>. For example, the</w:t>
      </w:r>
      <w:r>
        <w:rPr>
          <w:rStyle w:val="Text111"/>
        </w:rPr>
        <w:bookmarkStart w:id="1965" w:name="idm45965217043008"/>
        <w:t/>
        <w:bookmarkEnd w:id="1965"/>
      </w:r>
      <w:r>
        <w:t xml:space="preserve"> </w:t>
      </w:r>
      <w:r>
        <w:rPr>
          <w:rStyle w:val="Text0"/>
        </w:rPr>
        <w:t>PATH</w:t>
      </w:r>
      <w:r>
        <w:t xml:space="preserve"> environment variable determines which program, exactly, executes in response to </w:t>
      </w:r>
      <w:r>
        <w:rPr>
          <w:rStyle w:val="Text5"/>
        </w:rPr>
        <w:t>python</w:t>
      </w:r>
      <w:r>
        <w:t xml:space="preserve"> and other commands. You can think of those aspects of your shell environment that affect Python’s operation as your </w:t>
      </w:r>
      <w:r>
        <w:rPr>
          <w:rStyle w:val="Text4"/>
        </w:rPr>
        <w:t>Python environment</w:t>
      </w:r>
      <w:r>
        <w:t xml:space="preserve">. By modifying it you can determine which Python interpreter runs in response to the </w:t>
      </w:r>
      <w:r>
        <w:rPr>
          <w:rStyle w:val="Text5"/>
        </w:rPr>
        <w:t>python</w:t>
      </w:r>
      <w:r>
        <w:t xml:space="preserve"> command, which packages and modules are available under certain names, and so on.</w:t>
      </w:r>
    </w:p>
    <w:p>
      <w:pPr>
        <w:keepNext/>
        <w:pStyle w:val="Heading 6"/>
        <w:keepLines w:val="on"/>
      </w:pPr>
      <w:r>
        <w:t>Leave the System’s Python to the System</w:t>
      </w:r>
    </w:p>
    <w:p>
      <w:pPr>
        <w:pStyle w:val="Para 012"/>
        <w:keepLines w:val="on"/>
      </w:pPr>
      <w:r>
        <w:t xml:space="preserve">We recommend taking control of your Python environment. In particular, do not build applications on top of a system-distributed Python. Instead, install another Python distribution independently, and adjust your shell environment so that the </w:t>
      </w:r>
      <w:r>
        <w:rPr>
          <w:rStyle w:val="Text5"/>
        </w:rPr>
        <w:t>python</w:t>
      </w:r>
      <w:r>
        <w:t xml:space="preserve"> command runs your locally installed Python rather than the system’s Python.</w:t>
      </w:r>
    </w:p>
    <w:p>
      <w:bookmarkStart w:id="1966" w:name="Enter_the_Virtual_Environment__T"/>
      <w:pPr>
        <w:keepNext/>
        <w:pStyle w:val="Heading 2"/>
      </w:pPr>
      <w:r>
        <w:t>Enter the Virtual Environment</w:t>
      </w:r>
      <w:bookmarkEnd w:id="1966"/>
    </w:p>
    <w:p>
      <w:pPr>
        <w:pStyle w:val="Normal"/>
      </w:pPr>
      <w:r>
        <w:t>The</w:t>
      </w:r>
      <w:r>
        <w:rPr>
          <w:rStyle w:val="Text111"/>
        </w:rPr>
        <w:bookmarkStart w:id="1967" w:name="idm45965217034800"/>
        <w:t/>
        <w:bookmarkEnd w:id="1967"/>
      </w:r>
      <w:r>
        <w:t xml:space="preserve"> introduction of the </w:t>
      </w:r>
      <w:r>
        <w:rPr>
          <w:rStyle w:val="Text0"/>
        </w:rPr>
        <w:t>pip</w:t>
      </w:r>
      <w:r>
        <w:t xml:space="preserve"> utility created a simple way to install (and, for the first time, to uninstall) packages and modules in a Python environment. Modifying the system Python’s </w:t>
      </w:r>
      <w:r>
        <w:rPr>
          <w:rStyle w:val="Text4"/>
        </w:rPr>
        <w:t>site-packages</w:t>
      </w:r>
      <w:r>
        <w:t xml:space="preserve"> still requires administrative privileges, and hence so does </w:t>
      </w:r>
      <w:r>
        <w:rPr>
          <w:rStyle w:val="Text0"/>
        </w:rPr>
        <w:t>pip</w:t>
      </w:r>
      <w:r>
        <w:t xml:space="preserve"> (although it can optionally install somewhere other than </w:t>
      </w:r>
      <w:r>
        <w:rPr>
          <w:rStyle w:val="Text4"/>
        </w:rPr>
        <w:t>site-packages</w:t>
      </w:r>
      <w:r>
        <w:t xml:space="preserve">). Modules installed in the central </w:t>
      </w:r>
      <w:r>
        <w:rPr>
          <w:rStyle w:val="Text4"/>
        </w:rPr>
        <w:t>site-packages</w:t>
      </w:r>
      <w:r>
        <w:t xml:space="preserve"> are visible to all programs.</w:t>
      </w:r>
    </w:p>
    <w:p>
      <w:pPr>
        <w:pStyle w:val="Normal"/>
      </w:pPr>
      <w:r>
        <w:t xml:space="preserve">The missing piece is the ability to make controlled changes to the Python environment, to direct the use of a specific interpreter and a specific set of Python libraries. That functionality is just what </w:t>
      </w:r>
      <w:r>
        <w:rPr>
          <w:rStyle w:val="Text4"/>
        </w:rPr>
        <w:t>virtual environments</w:t>
      </w:r>
      <w:r>
        <w:t xml:space="preserve"> (</w:t>
      </w:r>
      <w:r>
        <w:rPr>
          <w:rStyle w:val="Text4"/>
        </w:rPr>
        <w:t>virtualenvs</w:t>
      </w:r>
      <w:r>
        <w:t xml:space="preserve">) give you. Creating a virtualenv based on a specific Python interpreter copies or links to components from that interpreter’s installation. Critically, though, each one has its own </w:t>
      </w:r>
      <w:r>
        <w:rPr>
          <w:rStyle w:val="Text4"/>
        </w:rPr>
        <w:t>site-packages</w:t>
      </w:r>
      <w:r>
        <w:t xml:space="preserve"> directory, into which you can install the Python resources of your choice.</w:t>
      </w:r>
    </w:p>
    <w:p>
      <w:pPr>
        <w:pStyle w:val="Normal"/>
      </w:pPr>
      <w:r>
        <w:t xml:space="preserve">Creating a virtualenv is </w:t>
      </w:r>
      <w:r>
        <w:rPr>
          <w:rStyle w:val="Text4"/>
        </w:rPr>
        <w:t>much</w:t>
      </w:r>
      <w:r>
        <w:t xml:space="preserve"> simpler than installing Python, and requires far less system resources (a typical newly created virtualenv takes up less than 20 MB). You can easily create and activate virtualenvs on demand, and deactivate and destroy them just as easily. You can activate and deactivate a virtualenv as many times as you like during its lifetime, and if necessary use </w:t>
      </w:r>
      <w:r>
        <w:rPr>
          <w:rStyle w:val="Text0"/>
        </w:rPr>
        <w:t>pip</w:t>
      </w:r>
      <w:r>
        <w:t xml:space="preserve"> to update the installed resources. When you are done with it, removing its directory tree reclaims all storage occupied by the virtualenv. A virtualenv’s lifetime can span minutes or months.</w:t>
      </w:r>
    </w:p>
    <w:p>
      <w:bookmarkStart w:id="1968" w:name="What_Is_a_Virtual_Environment"/>
      <w:pPr>
        <w:keepNext/>
        <w:pStyle w:val="Heading 2"/>
      </w:pPr>
      <w:r>
        <w:t>What Is a Virtual Environment?</w:t>
      </w:r>
      <w:bookmarkEnd w:id="1968"/>
    </w:p>
    <w:p>
      <w:pPr>
        <w:pStyle w:val="Normal"/>
      </w:pPr>
      <w:r>
        <w:t>A virtualenv is essentially a self-contained subset of your Python environment that you can switch in or out on demand. For a Python 3.</w:t>
      </w:r>
      <w:r>
        <w:rPr>
          <w:rStyle w:val="Text4"/>
        </w:rPr>
        <w:t>x</w:t>
      </w:r>
      <w:r>
        <w:t xml:space="preserve"> interpreter it includes, among other things, a </w:t>
      </w:r>
      <w:r>
        <w:rPr>
          <w:rStyle w:val="Text4"/>
        </w:rPr>
        <w:t>bin</w:t>
      </w:r>
      <w:r>
        <w:t xml:space="preserve"> directory containing a Python 3.</w:t>
      </w:r>
      <w:r>
        <w:rPr>
          <w:rStyle w:val="Text4"/>
        </w:rPr>
        <w:t>x</w:t>
      </w:r>
      <w:r>
        <w:t xml:space="preserve"> interpreter, and a </w:t>
      </w:r>
      <w:r>
        <w:rPr>
          <w:rStyle w:val="Text4"/>
        </w:rPr>
        <w:t>lib/python3.x/site-packages</w:t>
      </w:r>
      <w:r>
        <w:t xml:space="preserve"> directory containing preinstalled versions of </w:t>
      </w:r>
      <w:r>
        <w:rPr>
          <w:rStyle w:val="Text0"/>
        </w:rPr>
        <w:t>easy-install</w:t>
      </w:r>
      <w:r>
        <w:t xml:space="preserve">, </w:t>
      </w:r>
      <w:r>
        <w:rPr>
          <w:rStyle w:val="Text0"/>
        </w:rPr>
        <w:t>pip</w:t>
      </w:r>
      <w:r>
        <w:t xml:space="preserve">, </w:t>
      </w:r>
      <w:r>
        <w:rPr>
          <w:rStyle w:val="Text0"/>
        </w:rPr>
        <w:t>pkg_resources</w:t>
      </w:r>
      <w:r>
        <w:t xml:space="preserve">, and </w:t>
      </w:r>
      <w:r>
        <w:rPr>
          <w:rStyle w:val="Text0"/>
        </w:rPr>
        <w:t>setuptools</w:t>
      </w:r>
      <w:r>
        <w:t>. Maintaining separate copies of these important distribution-related resources lets you update them as necessary rather than forcing you to rely on the base Python distribution.</w:t>
      </w:r>
    </w:p>
    <w:p>
      <w:pPr>
        <w:pStyle w:val="Normal"/>
      </w:pPr>
      <w:r>
        <w:t xml:space="preserve">A virtualenv has its own copies of (on Windows) or symbolic links to (on other platforms) Python distribution files. It adjusts the values of </w:t>
      </w:r>
      <w:r>
        <w:rPr>
          <w:rStyle w:val="Text0"/>
        </w:rPr>
        <w:t>sys.prefix</w:t>
      </w:r>
      <w:r>
        <w:t xml:space="preserve"> and </w:t>
      </w:r>
      <w:r>
        <w:rPr>
          <w:rStyle w:val="Text0"/>
        </w:rPr>
        <w:t>sys.exec_prefix</w:t>
      </w:r>
      <w:r>
        <w:t xml:space="preserve">, from which the interpreter and various installation utilities determine the locations of some libraries. This means that </w:t>
      </w:r>
      <w:r>
        <w:rPr>
          <w:rStyle w:val="Text0"/>
        </w:rPr>
        <w:t>pip</w:t>
      </w:r>
      <w:r>
        <w:t xml:space="preserve"> can install dependencies in isolation from other environments, in the virtualenv’s </w:t>
      </w:r>
      <w:r>
        <w:rPr>
          <w:rStyle w:val="Text4"/>
        </w:rPr>
        <w:t>site-packages</w:t>
      </w:r>
      <w:r>
        <w:t xml:space="preserve"> directory. In effect, the virtualenv redefines which interpreter runs when you run the </w:t>
      </w:r>
      <w:r>
        <w:rPr>
          <w:rStyle w:val="Text5"/>
        </w:rPr>
        <w:t>python</w:t>
      </w:r>
      <w:r>
        <w:t xml:space="preserve"> command and which libraries are available to it, but leaves most aspects of your Python environment (such as the </w:t>
      </w:r>
      <w:r>
        <w:rPr>
          <w:rStyle w:val="Text0"/>
        </w:rPr>
        <w:t>PYTHONPATH</w:t>
      </w:r>
      <w:r>
        <w:t xml:space="preserve"> and </w:t>
      </w:r>
      <w:r>
        <w:rPr>
          <w:rStyle w:val="Text0"/>
        </w:rPr>
        <w:t>PYTHONHOME</w:t>
      </w:r>
      <w:r>
        <w:t xml:space="preserve"> variables) alone. Since its changes affect your shell environment, they also affect any subshells in which you run commands.</w:t>
      </w:r>
    </w:p>
    <w:p>
      <w:pPr>
        <w:pStyle w:val="Normal"/>
      </w:pPr>
      <w:r>
        <w:t>With separate virtualenvs you can, for example, test two different versions of the same library with a project, or test your project with multiple versions of Python. You can also add dependencies to your Python projects without needing any special privileges, since you normally create your virtualenvs somewhere you have write permission.</w:t>
      </w:r>
    </w:p>
    <w:p>
      <w:pPr>
        <w:pStyle w:val="Normal"/>
      </w:pPr>
      <w:r>
        <w:t xml:space="preserve">The modern way to deal with virtualenvs is with the </w:t>
      </w:r>
      <w:r>
        <w:rPr>
          <w:rStyle w:val="Text0"/>
        </w:rPr>
        <w:t>venv</w:t>
      </w:r>
      <w:r>
        <w:t xml:space="preserve"> module of the standard library: just run </w:t>
      </w:r>
      <w:r>
        <w:rPr>
          <w:rStyle w:val="Text5"/>
        </w:rPr>
        <w:t>python -m venv</w:t>
      </w:r>
      <w:r>
        <w:t xml:space="preserve"> </w:t>
      </w:r>
      <w:r>
        <w:rPr>
          <w:rStyle w:val="Text3"/>
        </w:rPr>
        <w:t>envpath</w:t>
      </w:r>
      <w:r>
        <w:t>.</w:t>
      </w:r>
    </w:p>
    <w:p>
      <w:bookmarkStart w:id="1969" w:name="Creating_and_Deleting_Virtual_En"/>
      <w:pPr>
        <w:keepNext/>
        <w:pStyle w:val="Heading 2"/>
      </w:pPr>
      <w:r>
        <w:t>Creating and Deleting Virtual Environments</w:t>
      </w:r>
      <w:bookmarkEnd w:id="1969"/>
    </w:p>
    <w:p>
      <w:pPr>
        <w:pStyle w:val="Normal"/>
      </w:pPr>
      <w:r>
        <w:t>The</w:t>
      </w:r>
      <w:r>
        <w:rPr>
          <w:rStyle w:val="Text111"/>
        </w:rPr>
        <w:bookmarkStart w:id="1970" w:name="VEcre07"/>
        <w:t/>
        <w:bookmarkEnd w:id="1970"/>
      </w:r>
      <w:r>
        <w:t xml:space="preserve"> command </w:t>
      </w:r>
      <w:r>
        <w:rPr>
          <w:rStyle w:val="Text5"/>
        </w:rPr>
        <w:t>python -m venv</w:t>
      </w:r>
      <w:r>
        <w:t xml:space="preserve"> </w:t>
      </w:r>
      <w:r>
        <w:rPr>
          <w:rStyle w:val="Text3"/>
        </w:rPr>
        <w:t>envpath</w:t>
      </w:r>
      <w:r>
        <w:t xml:space="preserve"> creates a virtual environment (in the </w:t>
      </w:r>
      <w:r>
        <w:rPr>
          <w:rStyle w:val="Text4"/>
        </w:rPr>
        <w:t>envpath</w:t>
      </w:r>
      <w:r>
        <w:t xml:space="preserve"> directory, which it also creates if necessary) based on the Python interpreter used to run the command. You can give multiple directory arguments to create, with a single command, several virtual environments (running the same Python interpreter); you can then install different sets of dependencies in each virtualenv. </w:t>
      </w:r>
      <w:r>
        <w:rPr>
          <w:rStyle w:val="Text0"/>
        </w:rPr>
        <w:t>venv</w:t>
      </w:r>
      <w:r>
        <w:t xml:space="preserve"> can take a number of options, as shown in </w:t>
      </w:r>
      <w:hyperlink w:anchor="Table_7_1__venv_options">
        <w:r>
          <w:rPr>
            <w:rStyle w:val="Text1"/>
          </w:rPr>
          <w:t>Table 7-1</w:t>
        </w:r>
      </w:hyperlink>
      <w:r>
        <w:t>.</w:t>
      </w:r>
    </w:p>
    <w:tbl>
      <w:tblPr>
        <w:tblW w:type="auto" w:w="0"/>
      </w:tblPr>
      <w:tr>
        <w:tc>
          <w:tcPr>
            <w:tcW w:type="auto" w:w="0"/>
            <w:tcMar>
              <w:left w:type="dxa" w:w="200"/>
              <w:top w:type="dxa" w:w="200"/>
              <w:right w:type="dxa" w:w="200"/>
              <w:bottom w:type="dxa" w:w="200"/>
            </w:tcMar>
            <w:vAlign w:val="center"/>
          </w:tcPr>
          <w:p>
            <w:bookmarkStart w:id="1971" w:name="Table_7_1__venv_options"/>
            <w:pPr>
              <w:pStyle w:val="Para 011"/>
            </w:pPr>
            <w:r>
              <w:rPr>
                <w:rStyle w:val="Text117"/>
              </w:rPr>
              <w:t/>
            </w:r>
            <w:r>
              <w:t xml:space="preserve">Table 7-1. </w:t>
            </w:r>
            <w:r>
              <w:rPr>
                <w:rStyle w:val="Text0"/>
              </w:rPr>
              <w:t>venv</w:t>
            </w:r>
            <w:r>
              <w:t xml:space="preserve"> options</w:t>
            </w:r>
            <w:bookmarkEnd w:id="1971"/>
          </w:p>
          <w:p>
            <w:pPr>
              <w:pStyle w:val="Para 013"/>
            </w:pPr>
            <w:r>
              <w:t>Option</w:t>
            </w:r>
          </w:p>
        </w:tc>
        <w:tc>
          <w:tcPr>
            <w:tcW w:type="auto" w:w="0"/>
            <w:tcMar>
              <w:left w:type="dxa" w:w="200"/>
              <w:top w:type="dxa" w:w="200"/>
              <w:right w:type="dxa" w:w="200"/>
              <w:bottom w:type="dxa" w:w="200"/>
            </w:tcMar>
            <w:vAlign w:val="center"/>
          </w:tcPr>
          <w:p>
            <w:pPr>
              <w:pStyle w:val="Para 013"/>
            </w:pPr>
            <w:r>
              <w:t>Purpose</w:t>
            </w:r>
          </w:p>
        </w:tc>
      </w:tr>
    </w:tbl>
    <w:tbl>
      <w:tblPr>
        <w:tblW w:type="auto" w:w="0"/>
      </w:tblPr>
      <w:tr>
        <w:tc>
          <w:tcPr>
            <w:tcW w:type="auto" w:w="0"/>
            <w:tcMar>
              <w:left w:type="dxa" w:w="200"/>
              <w:top w:type="dxa" w:w="200"/>
              <w:right w:type="dxa" w:w="200"/>
              <w:bottom w:type="dxa" w:w="200"/>
            </w:tcMar>
          </w:tcPr>
          <w:p>
            <w:pPr>
              <w:pStyle w:val="Para 021"/>
            </w:pPr>
            <w:r>
              <w:t>--clear</w:t>
            </w:r>
          </w:p>
        </w:tc>
        <w:tc>
          <w:tcPr>
            <w:tcW w:type="auto" w:w="0"/>
            <w:tcMar>
              <w:left w:type="dxa" w:w="200"/>
              <w:top w:type="dxa" w:w="200"/>
              <w:right w:type="dxa" w:w="200"/>
              <w:bottom w:type="dxa" w:w="200"/>
            </w:tcMar>
          </w:tcPr>
          <w:p>
            <w:pPr>
              <w:pStyle w:val="Para 002"/>
            </w:pPr>
            <w:r>
              <w:t>Removes any existing directory content before installing the virtual environment</w:t>
            </w:r>
          </w:p>
        </w:tc>
      </w:tr>
    </w:tbl>
    <w:tbl>
      <w:tblPr>
        <w:tblW w:type="auto" w:w="0"/>
      </w:tblPr>
      <w:tr>
        <w:tc>
          <w:tcPr>
            <w:tcW w:type="auto" w:w="0"/>
            <w:shd w:val="clear" w:color="auto" w:fill="EEF2F6"/>
            <w:tcMar>
              <w:left w:type="dxa" w:w="200"/>
              <w:top w:type="dxa" w:w="200"/>
              <w:right w:type="dxa" w:w="200"/>
              <w:bottom w:type="dxa" w:w="200"/>
            </w:tcMar>
          </w:tcPr>
          <w:p>
            <w:pPr>
              <w:pStyle w:val="Para 021"/>
            </w:pPr>
            <w:r>
              <w:t>--copies</w:t>
            </w:r>
          </w:p>
        </w:tc>
        <w:tc>
          <w:tcPr>
            <w:tcW w:type="auto" w:w="0"/>
            <w:shd w:val="clear" w:color="auto" w:fill="EEF2F6"/>
            <w:tcMar>
              <w:left w:type="dxa" w:w="200"/>
              <w:top w:type="dxa" w:w="200"/>
              <w:right w:type="dxa" w:w="200"/>
              <w:bottom w:type="dxa" w:w="200"/>
            </w:tcMar>
          </w:tcPr>
          <w:p>
            <w:pPr>
              <w:pStyle w:val="Para 002"/>
            </w:pPr>
            <w:r>
              <w:t>Installs files by copying on the Unix-like platforms where using symbolic links is the default</w:t>
            </w:r>
          </w:p>
        </w:tc>
      </w:tr>
    </w:tbl>
    <w:tbl>
      <w:tblPr>
        <w:tblW w:type="auto" w:w="0"/>
      </w:tblPr>
      <w:tr>
        <w:tc>
          <w:tcPr>
            <w:tcW w:type="auto" w:w="0"/>
            <w:tcMar>
              <w:left w:type="dxa" w:w="200"/>
              <w:top w:type="dxa" w:w="200"/>
              <w:right w:type="dxa" w:w="200"/>
              <w:bottom w:type="dxa" w:w="200"/>
            </w:tcMar>
          </w:tcPr>
          <w:p>
            <w:pPr>
              <w:pStyle w:val="Para 021"/>
            </w:pPr>
            <w:r>
              <w:t>--h</w:t>
            </w:r>
            <w:r>
              <w:rPr>
                <w:rStyle w:val="Text60"/>
              </w:rPr>
              <w:t xml:space="preserve"> or </w:t>
            </w:r>
            <w:r>
              <w:t>--help</w:t>
            </w:r>
          </w:p>
        </w:tc>
        <w:tc>
          <w:tcPr>
            <w:tcW w:type="auto" w:w="0"/>
            <w:tcMar>
              <w:left w:type="dxa" w:w="200"/>
              <w:top w:type="dxa" w:w="200"/>
              <w:right w:type="dxa" w:w="200"/>
              <w:bottom w:type="dxa" w:w="200"/>
            </w:tcMar>
          </w:tcPr>
          <w:p>
            <w:pPr>
              <w:pStyle w:val="Para 002"/>
            </w:pPr>
            <w:r>
              <w:t>Prints out a command-line summary and a list of available options</w:t>
            </w:r>
          </w:p>
        </w:tc>
      </w:tr>
    </w:tbl>
    <w:tbl>
      <w:tblPr>
        <w:tblW w:type="auto" w:w="0"/>
      </w:tblPr>
      <w:tr>
        <w:tc>
          <w:tcPr>
            <w:tcW w:type="auto" w:w="0"/>
            <w:shd w:val="clear" w:color="auto" w:fill="EEF2F6"/>
            <w:tcMar>
              <w:left w:type="dxa" w:w="200"/>
              <w:top w:type="dxa" w:w="200"/>
              <w:right w:type="dxa" w:w="200"/>
              <w:bottom w:type="dxa" w:w="200"/>
            </w:tcMar>
          </w:tcPr>
          <w:p>
            <w:pPr>
              <w:pStyle w:val="Para 021"/>
            </w:pPr>
            <w:r>
              <w:t>--symlinks</w:t>
            </w:r>
          </w:p>
        </w:tc>
        <w:tc>
          <w:tcPr>
            <w:tcW w:type="auto" w:w="0"/>
            <w:shd w:val="clear" w:color="auto" w:fill="EEF2F6"/>
            <w:tcMar>
              <w:left w:type="dxa" w:w="200"/>
              <w:top w:type="dxa" w:w="200"/>
              <w:right w:type="dxa" w:w="200"/>
              <w:bottom w:type="dxa" w:w="200"/>
            </w:tcMar>
          </w:tcPr>
          <w:p>
            <w:pPr>
              <w:pStyle w:val="Para 002"/>
            </w:pPr>
            <w:r>
              <w:t>Installs files by using symbolic links on platforms where copying is the system default</w:t>
            </w:r>
          </w:p>
        </w:tc>
      </w:tr>
    </w:tbl>
    <w:tbl>
      <w:tblPr>
        <w:tblW w:type="auto" w:w="0"/>
      </w:tblPr>
      <w:tr>
        <w:tc>
          <w:tcPr>
            <w:tcW w:type="auto" w:w="0"/>
            <w:tcMar>
              <w:left w:type="dxa" w:w="200"/>
              <w:top w:type="dxa" w:w="200"/>
              <w:right w:type="dxa" w:w="200"/>
              <w:bottom w:type="dxa" w:w="200"/>
            </w:tcMar>
          </w:tcPr>
          <w:p>
            <w:pPr>
              <w:pStyle w:val="Para 021"/>
            </w:pPr>
            <w:r>
              <w:t>--system-site-packages</w:t>
            </w:r>
          </w:p>
        </w:tc>
        <w:tc>
          <w:tcPr>
            <w:tcW w:type="auto" w:w="0"/>
            <w:tcMar>
              <w:left w:type="dxa" w:w="200"/>
              <w:top w:type="dxa" w:w="200"/>
              <w:right w:type="dxa" w:w="200"/>
              <w:bottom w:type="dxa" w:w="200"/>
            </w:tcMar>
          </w:tcPr>
          <w:p>
            <w:pPr>
              <w:pStyle w:val="Para 002"/>
            </w:pPr>
            <w:r>
              <w:t xml:space="preserve">Adds the standard system </w:t>
            </w:r>
            <w:r>
              <w:rPr>
                <w:rStyle w:val="Text4"/>
              </w:rPr>
              <w:t>site-packages</w:t>
            </w:r>
            <w:r>
              <w:t xml:space="preserve"> directory to the environment’s search path, making modules already installed in the base Python available inside the environment</w:t>
            </w:r>
          </w:p>
        </w:tc>
      </w:tr>
    </w:tbl>
    <w:tbl>
      <w:tblPr>
        <w:tblW w:type="auto" w:w="0"/>
      </w:tblPr>
      <w:tr>
        <w:tc>
          <w:tcPr>
            <w:tcW w:type="auto" w:w="0"/>
            <w:shd w:val="clear" w:color="auto" w:fill="EEF2F6"/>
            <w:tcMar>
              <w:left w:type="dxa" w:w="200"/>
              <w:top w:type="dxa" w:w="200"/>
              <w:right w:type="dxa" w:w="200"/>
              <w:bottom w:type="dxa" w:w="200"/>
            </w:tcMar>
          </w:tcPr>
          <w:p>
            <w:pPr>
              <w:pStyle w:val="Para 021"/>
            </w:pPr>
            <w:r>
              <w:t>--upgrade</w:t>
            </w:r>
          </w:p>
        </w:tc>
        <w:tc>
          <w:tcPr>
            <w:tcW w:type="auto" w:w="0"/>
            <w:shd w:val="clear" w:color="auto" w:fill="EEF2F6"/>
            <w:tcMar>
              <w:left w:type="dxa" w:w="200"/>
              <w:top w:type="dxa" w:w="200"/>
              <w:right w:type="dxa" w:w="200"/>
              <w:bottom w:type="dxa" w:w="200"/>
            </w:tcMar>
          </w:tcPr>
          <w:p>
            <w:pPr>
              <w:pStyle w:val="Para 002"/>
            </w:pPr>
            <w:r>
              <w:t>Installs the running Python in the virtual environment, replacing whichever version had originally created the environment</w:t>
            </w:r>
          </w:p>
        </w:tc>
      </w:tr>
    </w:tbl>
    <w:tbl>
      <w:tblPr>
        <w:tblW w:type="auto" w:w="0"/>
      </w:tblPr>
      <w:tr>
        <w:tc>
          <w:tcPr>
            <w:tcW w:type="auto" w:w="0"/>
            <w:tcMar>
              <w:left w:type="dxa" w:w="200"/>
              <w:top w:type="dxa" w:w="200"/>
              <w:right w:type="dxa" w:w="200"/>
              <w:bottom w:type="dxa" w:w="200"/>
            </w:tcMar>
          </w:tcPr>
          <w:p>
            <w:pPr>
              <w:pStyle w:val="Para 021"/>
            </w:pPr>
            <w:r>
              <w:t>--without-pip</w:t>
            </w:r>
          </w:p>
        </w:tc>
        <w:tc>
          <w:tcPr>
            <w:tcW w:type="auto" w:w="0"/>
            <w:tcMar>
              <w:left w:type="dxa" w:w="200"/>
              <w:top w:type="dxa" w:w="200"/>
              <w:right w:type="dxa" w:w="200"/>
              <w:bottom w:type="dxa" w:w="200"/>
            </w:tcMar>
          </w:tcPr>
          <w:p>
            <w:pPr>
              <w:pStyle w:val="Para 002"/>
            </w:pPr>
            <w:r>
              <w:t xml:space="preserve">Inhibits the usual behavior of calling </w:t>
            </w:r>
            <w:r>
              <w:rPr>
                <w:rStyle w:val="Text0"/>
              </w:rPr>
              <w:t>ensurepip</w:t>
            </w:r>
            <w:r>
              <w:t xml:space="preserve"> to bootstrap the </w:t>
            </w:r>
            <w:r>
              <w:rPr>
                <w:rStyle w:val="Text0"/>
              </w:rPr>
              <w:t>pip</w:t>
            </w:r>
            <w:r>
              <w:t xml:space="preserve"> installer utility into the environment</w:t>
            </w:r>
          </w:p>
        </w:tc>
      </w:tr>
    </w:tbl>
    <w:p>
      <w:pPr>
        <w:keepNext/>
        <w:pStyle w:val="Heading 5"/>
        <w:keepLines w:val="on"/>
      </w:pPr>
      <w:r>
        <w:t>Know Which Python You’re Running</w:t>
      </w:r>
    </w:p>
    <w:p>
      <w:pPr>
        <w:pStyle w:val="Para 012"/>
        <w:keepLines w:val="on"/>
      </w:pPr>
      <w:r>
        <w:t xml:space="preserve">When you enter the command </w:t>
      </w:r>
      <w:r>
        <w:rPr>
          <w:rStyle w:val="Text5"/>
        </w:rPr>
        <w:t>python</w:t>
      </w:r>
      <w:r>
        <w:t xml:space="preserve"> at the command line, your shell has rules (which differ among Windows, Linux, and macOS) that determine which program you run. If you are clear on those rules, you always know which interpreter you are using.</w:t>
      </w:r>
    </w:p>
    <w:p>
      <w:pPr>
        <w:pStyle w:val="Para 012"/>
        <w:keepLines w:val="on"/>
      </w:pPr>
      <w:r>
        <w:t xml:space="preserve">Using </w:t>
      </w:r>
      <w:r>
        <w:rPr>
          <w:rStyle w:val="Text5"/>
        </w:rPr>
        <w:t>python -m venv</w:t>
      </w:r>
      <w:r>
        <w:t xml:space="preserve"> </w:t>
      </w:r>
      <w:r>
        <w:rPr>
          <w:rStyle w:val="Text3"/>
        </w:rPr>
        <w:t>directory_path</w:t>
      </w:r>
      <w:r>
        <w:t xml:space="preserve"> to create a virtual environment guarantees that it’s based on the same Python version as the interpreter used to create it. Similarly, using </w:t>
      </w:r>
      <w:r>
        <w:rPr>
          <w:rStyle w:val="Text5"/>
        </w:rPr>
        <w:t>python -m pip</w:t>
      </w:r>
      <w:r>
        <w:t xml:space="preserve"> </w:t>
      </w:r>
      <w:r>
        <w:rPr>
          <w:rStyle w:val="Text3"/>
        </w:rPr>
        <w:t>package_name</w:t>
      </w:r>
      <w:r>
        <w:t xml:space="preserve"> will install the package for the interpreter associated with the </w:t>
      </w:r>
      <w:r>
        <w:rPr>
          <w:rStyle w:val="Text5"/>
        </w:rPr>
        <w:t>python</w:t>
      </w:r>
      <w:r>
        <w:t xml:space="preserve"> command. Activating a virtual environment changes the association with the </w:t>
      </w:r>
      <w:r>
        <w:rPr>
          <w:rStyle w:val="Text5"/>
        </w:rPr>
        <w:t>python</w:t>
      </w:r>
      <w:r>
        <w:t xml:space="preserve"> command: this is the simplest way to ensure packages are installed into the virtual environment.</w:t>
      </w:r>
    </w:p>
    <w:p>
      <w:pPr>
        <w:pStyle w:val="Normal"/>
      </w:pPr>
      <w:r>
        <w:t xml:space="preserve">The following Unix terminal session shows the creation of a virtualenv and the structure of the created directory tree. The listing of the </w:t>
      </w:r>
      <w:r>
        <w:rPr>
          <w:rStyle w:val="Text4"/>
        </w:rPr>
        <w:t>bin</w:t>
      </w:r>
      <w:r>
        <w:t xml:space="preserve"> subdirectory shows that this particular user, by default, uses an interpreter installed in </w:t>
      </w:r>
      <w:r>
        <w:rPr>
          <w:rStyle w:val="Text4"/>
        </w:rPr>
        <w:t>/usr/local/bin</w:t>
      </w:r>
      <w:r>
        <w:t>.</w:t>
      </w:r>
      <w:hyperlink w:anchor="3_When_running_these_commands_on">
        <w:r>
          <w:rPr>
            <w:rStyle w:val="Text41"/>
          </w:rPr>
          <w:bookmarkStart w:id="1972" w:name="3_7"/>
          <w:t>3</w:t>
          <w:bookmarkEnd w:id="1972"/>
        </w:r>
      </w:hyperlink>
    </w:p>
    <w:p>
      <w:pPr>
        <w:pStyle w:val="Para 038"/>
      </w:pPr>
      <w:r>
        <w:t xml:space="preserve"/>
        <w:br w:clear="none"/>
        <w:t xml:space="preserve">$ </w:t>
        <w:br w:clear="none"/>
      </w:r>
      <w:r>
        <w:rPr>
          <w:rStyle w:val="Text5"/>
        </w:rPr>
        <w:t xml:space="preserve">python3 -m venv /tmp/tempenv</w:t>
        <w:br w:clear="none"/>
      </w:r>
      <w:r>
        <w:t xml:space="preserve"/>
        <w:br w:clear="none"/>
        <w:t xml:space="preserve">$ </w:t>
        <w:br w:clear="none"/>
      </w:r>
      <w:r>
        <w:rPr>
          <w:rStyle w:val="Text5"/>
        </w:rPr>
        <w:t xml:space="preserve">tree -dL 4 /tmp/tempenv</w:t>
        <w:br w:clear="none"/>
      </w:r>
      <w:r>
        <w:t xml:space="preserve"/>
        <w:br w:clear="none"/>
        <w:t xml:space="preserve">/tmp/tempenv</w:t>
        <w:br w:clear="none"/>
        <w:t xml:space="preserve">|--- bin</w:t>
        <w:br w:clear="none"/>
        <w:t xml:space="preserve">|--- include</w:t>
        <w:br w:clear="none"/>
        <w:t xml:space="preserve">|___ lib</w:t>
        <w:br w:clear="none"/>
        <w:t xml:space="preserve">     |___ python3.5</w:t>
        <w:br w:clear="none"/>
        <w:t xml:space="preserve">          |___ site-packages</w:t>
        <w:br w:clear="none"/>
        <w:t xml:space="preserve">               |--- __pycache__</w:t>
        <w:br w:clear="none"/>
        <w:t xml:space="preserve">               |--- pip</w:t>
        <w:br w:clear="none"/>
        <w:t xml:space="preserve">               |--- pip-8.1.1.dist-info</w:t>
        <w:br w:clear="none"/>
        <w:t xml:space="preserve">               |--- pkg_resources</w:t>
        <w:br w:clear="none"/>
        <w:t xml:space="preserve">               |--- setuptools</w:t>
        <w:br w:clear="none"/>
        <w:t xml:space="preserve">               |___ setuptools-20.10.1.dist-info</w:t>
        <w:br w:clear="none"/>
        <w:t xml:space="preserve"/>
        <w:br w:clear="none"/>
        <w:t xml:space="preserve">11 directories</w:t>
        <w:br w:clear="none"/>
        <w:t xml:space="preserve">$ </w:t>
        <w:br w:clear="none"/>
      </w:r>
      <w:r>
        <w:rPr>
          <w:rStyle w:val="Text5"/>
        </w:rPr>
        <w:t xml:space="preserve">ls -l /tmp/tempenv/bin/</w:t>
        <w:br w:clear="none"/>
      </w:r>
      <w:r>
        <w:t xml:space="preserve"/>
        <w:br w:clear="none"/>
        <w:t xml:space="preserve">total 80</w:t>
        <w:br w:clear="none"/>
        <w:t xml:space="preserve">-rw-r--r-- 1 sh wheel 2134 Oct 24 15:26 activate</w:t>
        <w:br w:clear="none"/>
        <w:t xml:space="preserve">-rw-r--r-- 1 sh wheel 1250 Oct 24 15:26 activate.csh</w:t>
        <w:br w:clear="none"/>
        <w:t xml:space="preserve">-rw-r--r-- 1 sh wheel 2388 Oct 24 15:26 activate.fish</w:t>
        <w:br w:clear="none"/>
        <w:t xml:space="preserve">-rwxr-xr-x 1 sh wheel  249 Oct 24 15:26 easy_install</w:t>
        <w:br w:clear="none"/>
        <w:t xml:space="preserve">-rwxr-xr-x 1 sh wheel  249 Oct 24 15:26 easy_install-3.5</w:t>
        <w:br w:clear="none"/>
        <w:t xml:space="preserve">-rwxr-xr-x 1 sh wheel  221 Oct 24 15:26 pip</w:t>
        <w:br w:clear="none"/>
        <w:t xml:space="preserve">-rwxr-xr-x 1 sh wheel  221 Oct 24 15:26 pip3</w:t>
        <w:br w:clear="none"/>
        <w:t xml:space="preserve">-rwxr-xr-x 1 sh wheel  221 Oct 24 15:26 pip3.5</w:t>
        <w:br w:clear="none"/>
        <w:t xml:space="preserve">lrwxr-xr-x 1 sh wheel    7 Oct 24 15:26 python-&gt;python3</w:t>
        <w:br w:clear="none"/>
        <w:t xml:space="preserve">lrwxr-xr-x 1 sh wheel   22 Oct 24 15:26 python3-&gt;/usr/local/bin/python3</w:t>
        <w:br w:clear="none"/>
      </w:r>
    </w:p>
    <w:p>
      <w:pPr>
        <w:pStyle w:val="Normal"/>
      </w:pPr>
      <w:r>
        <w:t xml:space="preserve">Deleting a virtualenv is as simple as removing the directory in which it resides (and all subdirectories and files in the tree: </w:t>
      </w:r>
      <w:r>
        <w:rPr>
          <w:rStyle w:val="Text5"/>
        </w:rPr>
        <w:t>rm -rf</w:t>
      </w:r>
      <w:r>
        <w:t xml:space="preserve"> </w:t>
      </w:r>
      <w:r>
        <w:rPr>
          <w:rStyle w:val="Text3"/>
        </w:rPr>
        <w:t>envpath</w:t>
      </w:r>
      <w:r>
        <w:t xml:space="preserve"> in Unix-like systems). Ease of removal is a helpful aspect of using virtualenvs.</w:t>
      </w:r>
    </w:p>
    <w:p>
      <w:pPr>
        <w:pStyle w:val="Normal"/>
      </w:pPr>
      <w:r>
        <w:t xml:space="preserve">The </w:t>
      </w:r>
      <w:r>
        <w:rPr>
          <w:rStyle w:val="Text0"/>
        </w:rPr>
        <w:t>venv</w:t>
      </w:r>
      <w:r>
        <w:t xml:space="preserve"> module includes features to help the programmed creation of tailored environments (e.g., by preinstalling certain modules in the environment or performing other post-creation steps). It is comprehensively documented </w:t>
      </w:r>
      <w:hyperlink r:id="rId285">
        <w:r>
          <w:rPr>
            <w:rStyle w:val="Text1"/>
          </w:rPr>
          <w:t>online</w:t>
        </w:r>
      </w:hyperlink>
      <w:r>
        <w:t>; we do not cover the API further in this book.</w:t>
      </w:r>
      <w:r>
        <w:rPr>
          <w:rStyle w:val="Text111"/>
        </w:rPr>
        <w:bookmarkStart w:id="1973" w:name="idm45965216966352"/>
        <w:t/>
        <w:bookmarkEnd w:id="1973"/>
      </w:r>
    </w:p>
    <w:p>
      <w:bookmarkStart w:id="1974" w:name="Working_with_Virtual_Environment"/>
      <w:pPr>
        <w:keepNext/>
        <w:pStyle w:val="Heading 2"/>
      </w:pPr>
      <w:r>
        <w:t>Working with Virtual Environments</w:t>
      </w:r>
      <w:bookmarkEnd w:id="1974"/>
    </w:p>
    <w:p>
      <w:pPr>
        <w:pStyle w:val="Normal"/>
      </w:pPr>
      <w:r>
        <w:t>To</w:t>
      </w:r>
      <w:r>
        <w:rPr>
          <w:rStyle w:val="Text111"/>
        </w:rPr>
        <w:bookmarkStart w:id="1975" w:name="idm45965216962096"/>
        <w:t/>
        <w:bookmarkEnd w:id="1975"/>
      </w:r>
      <w:r>
        <w:t xml:space="preserve"> use a virtualenv, you </w:t>
      </w:r>
      <w:r>
        <w:rPr>
          <w:rStyle w:val="Text4"/>
        </w:rPr>
        <w:t>activate</w:t>
      </w:r>
      <w:r>
        <w:t xml:space="preserve"> it from your normal shell environment. Only one virtualenv can be active at a time—activations don’t “stack” like function calls. Activation tells your Python environment to use the virtualenv’s Python interpreter and</w:t>
      </w:r>
      <w:r>
        <w:rPr>
          <w:rStyle w:val="Text111"/>
        </w:rPr>
        <w:bookmarkStart w:id="1976" w:name="idm45965216960112"/>
        <w:t/>
        <w:bookmarkEnd w:id="1976"/>
      </w:r>
      <w:r>
        <w:t xml:space="preserve"> </w:t>
      </w:r>
      <w:r>
        <w:rPr>
          <w:rStyle w:val="Text4"/>
        </w:rPr>
        <w:t>site-packages</w:t>
      </w:r>
      <w:r>
        <w:t xml:space="preserve"> (along with the interpreter’s full standard library). When you want to stop using those dependencies, deactivate the virtualenv, and your standard Python environment is once again available. The virtualenv directory tree continues to exist until deleted, so you can activate and deactivate it at will.</w:t>
      </w:r>
    </w:p>
    <w:p>
      <w:pPr>
        <w:pStyle w:val="Normal"/>
      </w:pPr>
      <w:r>
        <w:t xml:space="preserve">Activating a virtualenv in Unix-based environments requires using the </w:t>
      </w:r>
      <w:r>
        <w:rPr>
          <w:rStyle w:val="Text5"/>
        </w:rPr>
        <w:t>source</w:t>
      </w:r>
      <w:r>
        <w:t xml:space="preserve"> shell command so that the commands in the activation script make changes to the current shell environment. Simply running the script would mean its commands were executed in a subshell, and the changes would be lost when the subshell terminated. For bash, </w:t>
      </w:r>
      <w:r>
        <w:rPr>
          <w:rStyle w:val="Text0"/>
        </w:rPr>
        <w:t>zsh</w:t>
      </w:r>
      <w:r>
        <w:t xml:space="preserve">, and similar shells, you activate an environment located at path </w:t>
      </w:r>
      <w:r>
        <w:rPr>
          <w:rStyle w:val="Text3"/>
        </w:rPr>
        <w:t>envpath</w:t>
      </w:r>
      <w:r>
        <w:t xml:space="preserve"> with the command:</w:t>
      </w:r>
    </w:p>
    <w:p>
      <w:pPr>
        <w:pStyle w:val="Para 008"/>
      </w:pPr>
      <w:r>
        <w:rPr>
          <w:rStyle w:val="Text48"/>
        </w:rPr>
        <w:t xml:space="preserve"/>
        <w:br w:clear="none"/>
        <w:t xml:space="preserve">$ </w:t>
        <w:br w:clear="none"/>
      </w:r>
      <w:r>
        <w:t xml:space="preserve">source</w:t>
        <w:br w:clear="none"/>
      </w:r>
      <w:r>
        <w:rPr>
          <w:rStyle w:val="Text48"/>
        </w:rPr>
        <w:t xml:space="preserve"> </w:t>
        <w:br w:clear="none"/>
      </w:r>
      <w:r>
        <w:rPr>
          <w:rStyle w:val="Text70"/>
        </w:rPr>
        <w:t xml:space="preserve">envpath</w:t>
        <w:br w:clear="none"/>
      </w:r>
      <w:r>
        <w:t xml:space="preserve">/bin/activate</w:t>
        <w:br w:clear="none"/>
      </w:r>
    </w:p>
    <w:p>
      <w:pPr>
        <w:pStyle w:val="Normal"/>
      </w:pPr>
      <w:r>
        <w:t>or:</w:t>
      </w:r>
    </w:p>
    <w:p>
      <w:pPr>
        <w:pStyle w:val="Para 008"/>
      </w:pPr>
      <w:r>
        <w:rPr>
          <w:rStyle w:val="Text48"/>
        </w:rPr>
        <w:t xml:space="preserve"/>
        <w:br w:clear="none"/>
        <w:t xml:space="preserve">$ </w:t>
        <w:br w:clear="none"/>
      </w:r>
      <w:r>
        <w:rPr>
          <w:rStyle w:val="Text70"/>
        </w:rPr>
        <w:t xml:space="preserve">. envpath</w:t>
        <w:br w:clear="none"/>
      </w:r>
      <w:r>
        <w:t xml:space="preserve">/bin/activate</w:t>
        <w:br w:clear="none"/>
      </w:r>
    </w:p>
    <w:p>
      <w:pPr>
        <w:pStyle w:val="Normal"/>
      </w:pPr>
      <w:r>
        <w:t xml:space="preserve">Users of other shells are supported by the scripts </w:t>
      </w:r>
      <w:r>
        <w:rPr>
          <w:rStyle w:val="Text4"/>
        </w:rPr>
        <w:t>activate.csh</w:t>
      </w:r>
      <w:r>
        <w:t xml:space="preserve"> and </w:t>
      </w:r>
      <w:r>
        <w:rPr>
          <w:rStyle w:val="Text4"/>
        </w:rPr>
        <w:t>activate.fish</w:t>
      </w:r>
      <w:r>
        <w:t xml:space="preserve">, located in the same directory. On Windows systems, use </w:t>
      </w:r>
      <w:r>
        <w:rPr>
          <w:rStyle w:val="Text4"/>
        </w:rPr>
        <w:t>activate.bat</w:t>
      </w:r>
      <w:r>
        <w:t xml:space="preserve"> (or, if using Powershell, </w:t>
      </w:r>
      <w:r>
        <w:rPr>
          <w:rStyle w:val="Text4"/>
        </w:rPr>
        <w:t>Activate.ps1</w:t>
      </w:r>
      <w:r>
        <w:t>):</w:t>
      </w:r>
    </w:p>
    <w:p>
      <w:pPr>
        <w:pStyle w:val="Para 008"/>
      </w:pPr>
      <w:r>
        <w:rPr>
          <w:rStyle w:val="Text48"/>
        </w:rPr>
        <w:t xml:space="preserve"/>
        <w:br w:clear="none"/>
        <w:t xml:space="preserve">C:\&gt; </w:t>
        <w:br w:clear="none"/>
      </w:r>
      <w:r>
        <w:rPr>
          <w:rStyle w:val="Text70"/>
        </w:rPr>
        <w:t xml:space="preserve">envpath</w:t>
        <w:br w:clear="none"/>
      </w:r>
      <w:r>
        <w:t xml:space="preserve">/Scripts/activate.bat</w:t>
        <w:br w:clear="none"/>
      </w:r>
    </w:p>
    <w:p>
      <w:pPr>
        <w:pStyle w:val="Normal"/>
      </w:pPr>
      <w:r>
        <w:t>Activation does many things. Most importantly, it:</w:t>
      </w:r>
    </w:p>
    <w:p>
      <w:pPr>
        <w:pStyle w:val="Para 010"/>
      </w:pPr>
      <w:r>
        <w:t xml:space="preserve">Adds the virtualenv’s </w:t>
      </w:r>
      <w:r>
        <w:rPr>
          <w:rStyle w:val="Text4"/>
        </w:rPr>
        <w:t>bin</w:t>
      </w:r>
      <w:r>
        <w:t xml:space="preserve"> directory at the beginning of the shell’s </w:t>
      </w:r>
      <w:r>
        <w:rPr>
          <w:rStyle w:val="Text0"/>
        </w:rPr>
        <w:t>PATH</w:t>
      </w:r>
      <w:r>
        <w:t xml:space="preserve"> environment variable, so its commands get run in preference to anything of the same name already on the </w:t>
      </w:r>
      <w:r>
        <w:rPr>
          <w:rStyle w:val="Text0"/>
        </w:rPr>
        <w:t>PATH</w:t>
      </w:r>
    </w:p>
    <w:p>
      <w:pPr>
        <w:pStyle w:val="Para 010"/>
      </w:pPr>
      <w:r>
        <w:t xml:space="preserve">Defines a </w:t>
      </w:r>
      <w:r>
        <w:rPr>
          <w:rStyle w:val="Text0"/>
        </w:rPr>
        <w:t>deactivate</w:t>
      </w:r>
      <w:r>
        <w:t xml:space="preserve"> command to remove all effects of activation and return the Python environment to its former state</w:t>
      </w:r>
    </w:p>
    <w:p>
      <w:pPr>
        <w:pStyle w:val="Para 010"/>
      </w:pPr>
      <w:r>
        <w:t>Modifies the shell prompt to include the virtualenv’s name at the start</w:t>
      </w:r>
    </w:p>
    <w:p>
      <w:pPr>
        <w:pStyle w:val="Para 010"/>
      </w:pPr>
      <w:r>
        <w:t xml:space="preserve">Defines a </w:t>
      </w:r>
      <w:r>
        <w:rPr>
          <w:rStyle w:val="Text0"/>
        </w:rPr>
        <w:t>VIRTUAL_ENV</w:t>
      </w:r>
      <w:r>
        <w:t xml:space="preserve"> environment variable as the path to the virtualenv’s root directory (scripts can use this to introspect the virtualenv)</w:t>
      </w:r>
    </w:p>
    <w:p>
      <w:pPr>
        <w:pStyle w:val="Normal"/>
      </w:pPr>
      <w:r>
        <w:t xml:space="preserve">As a result of these actions, once a virtualenv is activated, the </w:t>
      </w:r>
      <w:r>
        <w:rPr>
          <w:rStyle w:val="Text5"/>
        </w:rPr>
        <w:t>python</w:t>
      </w:r>
      <w:r>
        <w:t xml:space="preserve"> command runs the interpreter associated with that virtualenv. The interpreter sees the libraries (modules and packages) installed in that environment, and </w:t>
      </w:r>
      <w:r>
        <w:rPr>
          <w:rStyle w:val="Text0"/>
        </w:rPr>
        <w:t>pip</w:t>
      </w:r>
      <w:r>
        <w:t xml:space="preserve">—now the one from the virtualenv, since installing the module also installed the command in the virtualenv’s </w:t>
      </w:r>
      <w:r>
        <w:rPr>
          <w:rStyle w:val="Text4"/>
        </w:rPr>
        <w:t>bin</w:t>
      </w:r>
      <w:r>
        <w:t xml:space="preserve"> directory—by default installs new packages and modules in the environment’s </w:t>
      </w:r>
      <w:r>
        <w:rPr>
          <w:rStyle w:val="Text4"/>
        </w:rPr>
        <w:t>site-packages</w:t>
      </w:r>
      <w:r>
        <w:t xml:space="preserve"> directory.</w:t>
      </w:r>
    </w:p>
    <w:p>
      <w:pPr>
        <w:pStyle w:val="Normal"/>
      </w:pPr>
      <w:r>
        <w:t>Those new to virtualenvs should understand that a virtualenv is not tied to any project directory. It’s perfectly possible to work on several projects, each with its own source tree, using the same virtualenv. Activate it, then move around your filesystem as necessary to accomplish your programming tasks, with the same libraries available (because the virtualenv determines the Python environment).</w:t>
      </w:r>
    </w:p>
    <w:p>
      <w:pPr>
        <w:pStyle w:val="Normal"/>
      </w:pPr>
      <w:r>
        <w:t xml:space="preserve">When you want to disable the virtualenv and stop using that set of resources, simply issue the command </w:t>
      </w:r>
      <w:r>
        <w:rPr>
          <w:rStyle w:val="Text5"/>
        </w:rPr>
        <w:t>deactivate</w:t>
      </w:r>
      <w:r>
        <w:t xml:space="preserve">. This undoes the changes made on activation, removing the virtualenv’s </w:t>
      </w:r>
      <w:r>
        <w:rPr>
          <w:rStyle w:val="Text4"/>
        </w:rPr>
        <w:t>bin</w:t>
      </w:r>
      <w:r>
        <w:t xml:space="preserve"> directory from your </w:t>
      </w:r>
      <w:r>
        <w:rPr>
          <w:rStyle w:val="Text0"/>
        </w:rPr>
        <w:t>PATH</w:t>
      </w:r>
      <w:r>
        <w:t xml:space="preserve">, so the </w:t>
      </w:r>
      <w:r>
        <w:rPr>
          <w:rStyle w:val="Text5"/>
        </w:rPr>
        <w:t>python</w:t>
      </w:r>
      <w:r>
        <w:t xml:space="preserve"> command once again runs your usual interpreter. As long as you don’t delete it, the virtualenv remains available for future use: just repeat the command to activate it.</w:t>
      </w:r>
    </w:p>
    <w:p>
      <w:pPr>
        <w:keepNext/>
        <w:pStyle w:val="Heading 6"/>
        <w:keepLines w:val="on"/>
      </w:pPr>
      <w:r>
        <w:t>Do Not Use py –3.x in a Virtualenv on Windows</w:t>
      </w:r>
    </w:p>
    <w:p>
      <w:pPr>
        <w:pStyle w:val="Para 012"/>
        <w:keepLines w:val="on"/>
      </w:pPr>
      <w:r>
        <w:t>The Windows</w:t>
      </w:r>
      <w:r>
        <w:rPr>
          <w:rStyle w:val="Text111"/>
        </w:rPr>
        <w:bookmarkStart w:id="1977" w:name="idm45965216931712"/>
        <w:t/>
        <w:bookmarkEnd w:id="1977"/>
      </w:r>
      <w:r>
        <w:t xml:space="preserve"> py launcher provides mixed support for virtualenvs. It makes it very easy to define a virtualenv using a specific Python version, using a command like the following:</w:t>
      </w:r>
    </w:p>
    <w:p>
      <w:pPr>
        <w:pStyle w:val="Para 103"/>
        <w:keepLines w:val="on"/>
      </w:pPr>
      <w:r>
        <w:rPr>
          <w:rStyle w:val="Text118"/>
        </w:rPr>
        <w:t xml:space="preserve"/>
        <w:br w:clear="none"/>
      </w:r>
      <w:r>
        <w:rPr>
          <w:rStyle w:val="Text37"/>
        </w:rPr>
        <w:t xml:space="preserve">C</w:t>
        <w:br w:clear="none"/>
      </w:r>
      <w:r>
        <w:rPr>
          <w:rStyle w:val="Text31"/>
        </w:rPr>
        <w:t xml:space="preserve">:</w:t>
        <w:br w:clear="none"/>
      </w:r>
      <w:r>
        <w:rPr>
          <w:rStyle w:val="Text29"/>
        </w:rPr>
        <w:t xml:space="preserve">\</w:t>
        <w:br w:clear="none"/>
      </w:r>
      <w:r>
        <w:rPr>
          <w:rStyle w:val="Text63"/>
        </w:rPr>
        <w:t xml:space="preserve">&gt;</w:t>
        <w:br w:clear="none"/>
      </w:r>
      <w:r>
        <w:rPr>
          <w:rStyle w:val="Text29"/>
        </w:rPr>
        <w:t xml:space="preserve"> </w:t>
        <w:br w:clear="none"/>
      </w:r>
      <w:r>
        <w:t xml:space="preserve">py</w:t>
        <w:br w:clear="none"/>
      </w:r>
      <w:r>
        <w:rPr>
          <w:rStyle w:val="Text6"/>
        </w:rPr>
        <w:t xml:space="preserve"> </w:t>
        <w:br w:clear="none"/>
      </w:r>
      <w:r>
        <w:rPr>
          <w:rStyle w:val="Text13"/>
        </w:rPr>
        <w:t xml:space="preserve">-</w:t>
        <w:br w:clear="none"/>
      </w:r>
      <w:r>
        <w:rPr>
          <w:rStyle w:val="Text27"/>
        </w:rPr>
        <w:t xml:space="preserve">3.7</w:t>
        <w:br w:clear="none"/>
      </w:r>
      <w:r>
        <w:rPr>
          <w:rStyle w:val="Text6"/>
        </w:rPr>
        <w:t xml:space="preserve"> </w:t>
        <w:br w:clear="none"/>
      </w:r>
      <w:r>
        <w:rPr>
          <w:rStyle w:val="Text13"/>
        </w:rPr>
        <w:t xml:space="preserve">-</w:t>
        <w:br w:clear="none"/>
      </w:r>
      <w:r>
        <w:t xml:space="preserve">m</w:t>
        <w:br w:clear="none"/>
      </w:r>
      <w:r>
        <w:rPr>
          <w:rStyle w:val="Text6"/>
        </w:rPr>
        <w:t xml:space="preserve"> </w:t>
        <w:br w:clear="none"/>
      </w:r>
      <w:r>
        <w:t xml:space="preserve">venv</w:t>
        <w:br w:clear="none"/>
      </w:r>
      <w:r>
        <w:rPr>
          <w:rStyle w:val="Text6"/>
        </w:rPr>
        <w:t xml:space="preserve"> </w:t>
        <w:br w:clear="none"/>
      </w:r>
      <w:r>
        <w:t xml:space="preserve">C</w:t>
        <w:br w:clear="none"/>
      </w:r>
      <w:r>
        <w:rPr>
          <w:rStyle w:val="Text7"/>
        </w:rPr>
        <w:t xml:space="preserve">:</w:t>
        <w:br w:clear="none"/>
      </w:r>
      <w:r>
        <w:rPr>
          <w:rStyle w:val="Text6"/>
        </w:rPr>
        <w:t xml:space="preserve">\</w:t>
        <w:br w:clear="none"/>
      </w:r>
      <w:r>
        <w:t xml:space="preserve">path</w:t>
        <w:br w:clear="none"/>
      </w:r>
      <w:r>
        <w:rPr>
          <w:rStyle w:val="Text6"/>
        </w:rPr>
        <w:t xml:space="preserve">\</w:t>
        <w:br w:clear="none"/>
      </w:r>
      <w:r>
        <w:t xml:space="preserve">to</w:t>
        <w:br w:clear="none"/>
      </w:r>
      <w:r>
        <w:rPr>
          <w:rStyle w:val="Text6"/>
        </w:rPr>
        <w:t xml:space="preserve">\</w:t>
        <w:br w:clear="none"/>
      </w:r>
      <w:r>
        <w:t xml:space="preserve">new_virtualenv</w:t>
        <w:br w:clear="none"/>
      </w:r>
    </w:p>
    <w:p>
      <w:pPr>
        <w:pStyle w:val="Para 012"/>
        <w:keepLines w:val="on"/>
      </w:pPr>
      <w:r>
        <w:t>This creates a new virtualenv, running the installed Python 3.7.</w:t>
      </w:r>
    </w:p>
    <w:p>
      <w:pPr>
        <w:pStyle w:val="Para 012"/>
        <w:keepLines w:val="on"/>
      </w:pPr>
      <w:r>
        <w:t xml:space="preserve">Once activated, you can run the Python interpreter in the virtualenv using either the </w:t>
      </w:r>
      <w:r>
        <w:rPr>
          <w:rStyle w:val="Text5"/>
        </w:rPr>
        <w:t>python</w:t>
      </w:r>
      <w:r>
        <w:t xml:space="preserve"> command or the bare </w:t>
      </w:r>
      <w:r>
        <w:rPr>
          <w:rStyle w:val="Text5"/>
        </w:rPr>
        <w:t>py</w:t>
      </w:r>
      <w:r>
        <w:t xml:space="preserve"> command with no version specified. However, if you specify the </w:t>
      </w:r>
      <w:r>
        <w:rPr>
          <w:rStyle w:val="Text5"/>
        </w:rPr>
        <w:t>py</w:t>
      </w:r>
      <w:r>
        <w:t xml:space="preserve"> command using a version option, even if it is the same version used to construct the virtualenv, you will </w:t>
      </w:r>
      <w:r>
        <w:rPr>
          <w:rStyle w:val="Text4"/>
        </w:rPr>
        <w:t>not</w:t>
      </w:r>
      <w:r>
        <w:t xml:space="preserve"> run the </w:t>
      </w:r>
      <w:r>
        <w:rPr>
          <w:rStyle w:val="Text4"/>
        </w:rPr>
        <w:t>virtualenv</w:t>
      </w:r>
      <w:r>
        <w:t xml:space="preserve"> Python. Instead, you will run the corresponding </w:t>
      </w:r>
      <w:r>
        <w:rPr>
          <w:rStyle w:val="Text4"/>
        </w:rPr>
        <w:t>system-installed</w:t>
      </w:r>
      <w:r>
        <w:t xml:space="preserve"> version of Python.</w:t>
      </w:r>
    </w:p>
    <w:p>
      <w:bookmarkStart w:id="1978" w:name="Managing_Dependency_Requirements"/>
      <w:pPr>
        <w:keepNext/>
        <w:pStyle w:val="Heading 2"/>
      </w:pPr>
      <w:r>
        <w:t>Managing Dependency Requirements</w:t>
      </w:r>
      <w:bookmarkEnd w:id="1978"/>
    </w:p>
    <w:p>
      <w:pPr>
        <w:pStyle w:val="Normal"/>
      </w:pPr>
      <w:r>
        <w:t>Since</w:t>
      </w:r>
      <w:r>
        <w:rPr>
          <w:rStyle w:val="Text111"/>
        </w:rPr>
        <w:bookmarkStart w:id="1979" w:name="idm45965216902800"/>
        <w:t/>
        <w:bookmarkEnd w:id="1979"/>
      </w:r>
      <w:r>
        <w:t xml:space="preserve"> virtualenvs were designed to complement installation with </w:t>
      </w:r>
      <w:r>
        <w:rPr>
          <w:rStyle w:val="Text0"/>
        </w:rPr>
        <w:t>pip</w:t>
      </w:r>
      <w:r>
        <w:t xml:space="preserve">, it should come as no surprise that </w:t>
      </w:r>
      <w:r>
        <w:rPr>
          <w:rStyle w:val="Text0"/>
        </w:rPr>
        <w:t>pip</w:t>
      </w:r>
      <w:r>
        <w:t xml:space="preserve"> is the preferred way to maintain dependencies in a virtualenv. Because </w:t>
      </w:r>
      <w:r>
        <w:rPr>
          <w:rStyle w:val="Text0"/>
        </w:rPr>
        <w:t>pip</w:t>
      </w:r>
      <w:r>
        <w:t xml:space="preserve"> is already extensively documented, we mention only enough here to demonstrate its advantages in virtual environments. Having created a virtualenv, activated it, and installed dependencies, you can use the </w:t>
      </w:r>
      <w:r>
        <w:rPr>
          <w:rStyle w:val="Text5"/>
        </w:rPr>
        <w:t>pip freeze</w:t>
      </w:r>
      <w:r>
        <w:t xml:space="preserve"> command to learn the exact versions of those dependencies:</w:t>
      </w:r>
    </w:p>
    <w:p>
      <w:pPr>
        <w:pStyle w:val="Para 038"/>
      </w:pPr>
      <w:r>
        <w:t xml:space="preserve"/>
        <w:br w:clear="none"/>
        <w:t xml:space="preserve">(tempenv) $ </w:t>
        <w:br w:clear="none"/>
      </w:r>
      <w:r>
        <w:rPr>
          <w:rStyle w:val="Text5"/>
        </w:rPr>
        <w:t xml:space="preserve">pip freeze</w:t>
        <w:br w:clear="none"/>
      </w:r>
      <w:r>
        <w:t xml:space="preserve"/>
        <w:br w:clear="none"/>
        <w:t xml:space="preserve">appnope==0.1.0</w:t>
        <w:br w:clear="none"/>
        <w:t xml:space="preserve">decorator==4.0.10</w:t>
        <w:br w:clear="none"/>
        <w:t xml:space="preserve">ipython==5.1.0</w:t>
        <w:br w:clear="none"/>
        <w:t xml:space="preserve">ipython-genutils==0.1.0</w:t>
        <w:br w:clear="none"/>
        <w:t xml:space="preserve">pexpect==4.2.1</w:t>
        <w:br w:clear="none"/>
        <w:t xml:space="preserve">pickleshare==0.7.4</w:t>
        <w:br w:clear="none"/>
        <w:t xml:space="preserve">prompt-toolkit==1.0.8</w:t>
        <w:br w:clear="none"/>
        <w:t xml:space="preserve">ptyprocess==0.5.1</w:t>
        <w:br w:clear="none"/>
        <w:t xml:space="preserve">Pygments==2.1.3</w:t>
        <w:br w:clear="none"/>
        <w:t xml:space="preserve">requests==2.11.1</w:t>
        <w:br w:clear="none"/>
        <w:t xml:space="preserve">simplegeneric==0.8.1</w:t>
        <w:br w:clear="none"/>
        <w:t xml:space="preserve">six==1.10.0</w:t>
        <w:br w:clear="none"/>
        <w:t xml:space="preserve">traitlets==4.3.1</w:t>
        <w:br w:clear="none"/>
        <w:t xml:space="preserve">wcwidth==0.1.7</w:t>
        <w:br w:clear="none"/>
      </w:r>
    </w:p>
    <w:p>
      <w:pPr>
        <w:pStyle w:val="Normal"/>
      </w:pPr>
      <w:r>
        <w:t xml:space="preserve">If you redirect the output of this command to a file called </w:t>
      </w:r>
      <w:r>
        <w:rPr>
          <w:rStyle w:val="Text4"/>
        </w:rPr>
        <w:t>filename</w:t>
      </w:r>
      <w:r>
        <w:t xml:space="preserve">, you can re-create the same set of dependencies in a different virtualenv with the command </w:t>
      </w:r>
      <w:r>
        <w:rPr>
          <w:rStyle w:val="Text5"/>
        </w:rPr>
        <w:t>pip</w:t>
      </w:r>
      <w:r>
        <w:t xml:space="preserve"> </w:t>
      </w:r>
      <w:r>
        <w:rPr>
          <w:rStyle w:val="Text5"/>
        </w:rPr>
        <w:t>install</w:t>
      </w:r>
      <w:r>
        <w:t xml:space="preserve"> </w:t>
      </w:r>
      <w:r>
        <w:rPr>
          <w:rStyle w:val="Text5"/>
        </w:rPr>
        <w:t>-r</w:t>
      </w:r>
      <w:r>
        <w:t xml:space="preserve"> </w:t>
      </w:r>
      <w:r>
        <w:rPr>
          <w:rStyle w:val="Text3"/>
        </w:rPr>
        <w:t>filename</w:t>
      </w:r>
      <w:r>
        <w:t>.</w:t>
      </w:r>
    </w:p>
    <w:p>
      <w:pPr>
        <w:pStyle w:val="Normal"/>
      </w:pPr>
      <w:r>
        <w:t xml:space="preserve">When distributing code for use by others, Python developers conventionally include a </w:t>
      </w:r>
      <w:r>
        <w:rPr>
          <w:rStyle w:val="Text4"/>
        </w:rPr>
        <w:t>requirements.txt</w:t>
      </w:r>
      <w:r>
        <w:t xml:space="preserve"> file listing the necessary dependencies. </w:t>
      </w:r>
      <w:r>
        <w:rPr>
          <w:rStyle w:val="Text0"/>
        </w:rPr>
        <w:t>pip</w:t>
      </w:r>
      <w:r>
        <w:t xml:space="preserve"> installs any indicated dependencies along with the packages you request when you install software from PyPI. While you’re developing software it’s also convenient to have a requirements file, as you can use it to add the necessary dependencies to the active virtualenv (unless they are already installed) with a simple </w:t>
      </w:r>
      <w:r>
        <w:rPr>
          <w:rStyle w:val="Text5"/>
        </w:rPr>
        <w:t>pip install -r requirements.txt</w:t>
      </w:r>
      <w:r>
        <w:t>.</w:t>
      </w:r>
    </w:p>
    <w:p>
      <w:pPr>
        <w:pStyle w:val="Normal"/>
      </w:pPr>
      <w:r>
        <w:t xml:space="preserve">To maintain the same set of dependencies in several virtualenvs, use the same requirements file to add dependencies to each one. This is a convenient way to develop projects to run on multiple Python versions: create virtualenvs based on each of your required versions, then install from the same requirements file in each. While the preceding example uses exactly versioned dependency specifications as produced by </w:t>
      </w:r>
      <w:r>
        <w:rPr>
          <w:rStyle w:val="Text5"/>
        </w:rPr>
        <w:t>pip freeze</w:t>
      </w:r>
      <w:r>
        <w:t xml:space="preserve">, in practice you can specify dependencies and version requirements in quite complex ways; see the </w:t>
      </w:r>
      <w:hyperlink r:id="rId286">
        <w:r>
          <w:rPr>
            <w:rStyle w:val="Text1"/>
          </w:rPr>
          <w:t>documentation</w:t>
        </w:r>
      </w:hyperlink>
      <w:r>
        <w:t xml:space="preserve"> for details.</w:t>
      </w:r>
    </w:p>
    <w:p>
      <w:bookmarkStart w:id="1980" w:name="Other_Environment_Management_Sol"/>
      <w:pPr>
        <w:keepNext/>
        <w:pStyle w:val="Heading 2"/>
      </w:pPr>
      <w:r>
        <w:t>Other Environment Management Solutions</w:t>
      </w:r>
      <w:bookmarkEnd w:id="1980"/>
    </w:p>
    <w:p>
      <w:pPr>
        <w:pStyle w:val="Normal"/>
      </w:pPr>
      <w:r>
        <w:t>Python</w:t>
      </w:r>
      <w:r>
        <w:rPr>
          <w:rStyle w:val="Text111"/>
        </w:rPr>
        <w:bookmarkStart w:id="1981" w:name="idm45965216863712"/>
        <w:t/>
        <w:bookmarkEnd w:id="1981"/>
        <w:bookmarkStart w:id="1982" w:name="idm45965216862272"/>
        <w:t/>
        <w:bookmarkEnd w:id="1982"/>
      </w:r>
      <w:r>
        <w:t xml:space="preserve"> virtual environments are focused on providing an isolated Python interpreter, into which you can install dependencies for one or more Python applications. The</w:t>
      </w:r>
      <w:r>
        <w:rPr>
          <w:rStyle w:val="Text111"/>
        </w:rPr>
        <w:bookmarkStart w:id="1983" w:name="idm45965216860768"/>
        <w:t/>
        <w:bookmarkEnd w:id="1983"/>
      </w:r>
      <w:r>
        <w:t xml:space="preserve"> </w:t>
      </w:r>
      <w:hyperlink r:id="rId287">
        <w:r>
          <w:rPr>
            <w:rStyle w:val="Text30"/>
          </w:rPr>
          <w:t>virtualenv</w:t>
        </w:r>
      </w:hyperlink>
      <w:r>
        <w:t xml:space="preserve"> package was the original way to create and manage virtualenvs. It has extensive facilities, including the ability to create environments from any available Python interpreter. Now maintained by the Python Packaging Authority team, a subset of its functionality has been extracted as the standard library </w:t>
      </w:r>
      <w:r>
        <w:rPr>
          <w:rStyle w:val="Text0"/>
        </w:rPr>
        <w:t>venv</w:t>
      </w:r>
      <w:r>
        <w:t xml:space="preserve"> module covered earlier, but </w:t>
      </w:r>
      <w:r>
        <w:rPr>
          <w:rStyle w:val="Text0"/>
        </w:rPr>
        <w:t>virtualenv</w:t>
      </w:r>
      <w:r>
        <w:t xml:space="preserve"> is worth learning about if you need more control.</w:t>
      </w:r>
    </w:p>
    <w:p>
      <w:pPr>
        <w:pStyle w:val="Normal"/>
      </w:pPr>
      <w:r>
        <w:t>The</w:t>
      </w:r>
      <w:r>
        <w:rPr>
          <w:rStyle w:val="Text111"/>
        </w:rPr>
        <w:bookmarkStart w:id="1984" w:name="idm45965216856560"/>
        <w:t/>
        <w:bookmarkEnd w:id="1984"/>
      </w:r>
      <w:r>
        <w:t xml:space="preserve"> </w:t>
      </w:r>
      <w:hyperlink r:id="rId288">
        <w:r>
          <w:rPr>
            <w:rStyle w:val="Text30"/>
          </w:rPr>
          <w:t>pipenv</w:t>
        </w:r>
      </w:hyperlink>
      <w:r>
        <w:t xml:space="preserve"> package is another dependency manager for Python environments. It maintains virtual environments whose contents are recorded in a file named </w:t>
      </w:r>
      <w:r>
        <w:rPr>
          <w:rStyle w:val="Text4"/>
        </w:rPr>
        <w:t>Pipfile</w:t>
      </w:r>
      <w:r>
        <w:t xml:space="preserve">. Much in the manner of similar JavaScript tools, it provides deterministic environments through the use of a </w:t>
      </w:r>
      <w:r>
        <w:rPr>
          <w:rStyle w:val="Text4"/>
        </w:rPr>
        <w:t>Pipfile.lock</w:t>
      </w:r>
      <w:r>
        <w:t xml:space="preserve"> file, allowing the exact same dependencies to be deployed as in the original installation.</w:t>
      </w:r>
    </w:p>
    <w:p>
      <w:pPr>
        <w:pStyle w:val="Normal"/>
      </w:pPr>
      <w:r>
        <w:rPr>
          <w:rStyle w:val="Text0"/>
        </w:rPr>
        <w:t>conda</w:t>
      </w:r>
      <w:r>
        <w:t xml:space="preserve">, </w:t>
      </w:r>
      <w:r>
        <w:rPr>
          <w:rStyle w:val="Text111"/>
        </w:rPr>
        <w:bookmarkStart w:id="1985" w:name="idm45965216851744"/>
        <w:t/>
        <w:bookmarkEnd w:id="1985"/>
      </w:r>
      <w:r>
        <w:t xml:space="preserve">mentioned in </w:t>
      </w:r>
      <w:hyperlink w:anchor="Anaconda_and_Miniconda__One_of_t">
        <w:r>
          <w:rPr>
            <w:rStyle w:val="Text1"/>
          </w:rPr>
          <w:t>“Anaconda and Miniconda”</w:t>
        </w:r>
      </w:hyperlink>
      <w:r>
        <w:t xml:space="preserve">, has a rather broader scope and can provide package, environment, and dependency management for any language. </w:t>
      </w:r>
      <w:r>
        <w:rPr>
          <w:rStyle w:val="Text0"/>
        </w:rPr>
        <w:t>conda</w:t>
      </w:r>
      <w:r>
        <w:t xml:space="preserve"> is written in Python, and installs its own Python interpreter in the base environment. Whereas a standard Python virtualenv normally uses the Python interpreter with which it was created; in </w:t>
      </w:r>
      <w:r>
        <w:rPr>
          <w:rStyle w:val="Text0"/>
        </w:rPr>
        <w:t>conda</w:t>
      </w:r>
      <w:r>
        <w:t xml:space="preserve">, Python itself (when it is included in the environment) is simply another dependency. This makes it practical to update the version of Python used in the environment, if necessary. You can also, if you wish, use </w:t>
      </w:r>
      <w:r>
        <w:rPr>
          <w:rStyle w:val="Text0"/>
        </w:rPr>
        <w:t>pip</w:t>
      </w:r>
      <w:r>
        <w:t xml:space="preserve"> to install packages in a Python-based </w:t>
      </w:r>
      <w:r>
        <w:rPr>
          <w:rStyle w:val="Text0"/>
        </w:rPr>
        <w:t>conda</w:t>
      </w:r>
      <w:r>
        <w:t xml:space="preserve"> environment. </w:t>
      </w:r>
      <w:r>
        <w:rPr>
          <w:rStyle w:val="Text0"/>
        </w:rPr>
        <w:t>conda</w:t>
      </w:r>
      <w:r>
        <w:t xml:space="preserve"> can dump an environment’s contents as a YAML file, and you can use the file to replicate the environment elsewhere.</w:t>
      </w:r>
    </w:p>
    <w:p>
      <w:pPr>
        <w:pStyle w:val="Normal"/>
      </w:pPr>
      <w:r>
        <w:t>Because</w:t>
      </w:r>
      <w:r>
        <w:rPr>
          <w:rStyle w:val="Text111"/>
        </w:rPr>
        <w:bookmarkStart w:id="1986" w:name="idm45965216845264"/>
        <w:t/>
        <w:bookmarkEnd w:id="1986"/>
      </w:r>
      <w:r>
        <w:t xml:space="preserve"> of its additional flexibility, coupled with comprehensive open source support led by its originator, Anaconda, Inc. (formerly Continuum), </w:t>
      </w:r>
      <w:r>
        <w:rPr>
          <w:rStyle w:val="Text0"/>
        </w:rPr>
        <w:t>conda</w:t>
      </w:r>
      <w:r>
        <w:t xml:space="preserve"> is widely used in academic environments, particularly in data science and engineering, artificial intelligence, and financial analytics. It installs software from what it calls </w:t>
      </w:r>
      <w:r>
        <w:rPr>
          <w:rStyle w:val="Text4"/>
        </w:rPr>
        <w:t>channels</w:t>
      </w:r>
      <w:r>
        <w:t xml:space="preserve">. The default channel maintained by Anaconda contains a wide range of packages, and third parties maintain specialized channels (such as the </w:t>
      </w:r>
      <w:r>
        <w:rPr>
          <w:rStyle w:val="Text4"/>
        </w:rPr>
        <w:t>bioconda</w:t>
      </w:r>
      <w:r>
        <w:t xml:space="preserve"> channel for bioinformatics software). There is also a community-based </w:t>
      </w:r>
      <w:hyperlink r:id="rId289">
        <w:r>
          <w:rPr>
            <w:rStyle w:val="Text24"/>
          </w:rPr>
          <w:t>conda-forge</w:t>
        </w:r>
      </w:hyperlink>
      <w:hyperlink r:id="rId289">
        <w:r>
          <w:rPr>
            <w:rStyle w:val="Text1"/>
          </w:rPr>
          <w:t xml:space="preserve"> channel</w:t>
        </w:r>
      </w:hyperlink>
      <w:r>
        <w:t xml:space="preserve">, open to anyone who wants to join up and add software. Signing up for an account on </w:t>
      </w:r>
      <w:hyperlink r:id="rId290">
        <w:r>
          <w:rPr>
            <w:rStyle w:val="Text1"/>
          </w:rPr>
          <w:t>Anaconda.org</w:t>
        </w:r>
      </w:hyperlink>
      <w:r>
        <w:t xml:space="preserve"> lets you create your own channel and distribute software through the </w:t>
      </w:r>
      <w:r>
        <w:rPr>
          <w:rStyle w:val="Text4"/>
        </w:rPr>
        <w:t>conda-forge</w:t>
      </w:r>
      <w:r>
        <w:t xml:space="preserve"> channel.</w:t>
      </w:r>
      <w:r>
        <w:rPr>
          <w:rStyle w:val="Text111"/>
        </w:rPr>
        <w:bookmarkStart w:id="1987" w:name="idm45965216839920"/>
        <w:t/>
        <w:bookmarkEnd w:id="1987"/>
      </w:r>
    </w:p>
    <w:p>
      <w:bookmarkStart w:id="1988" w:name="Best_Practices_with_Virtualenvs"/>
      <w:pPr>
        <w:keepNext/>
        <w:pStyle w:val="Heading 2"/>
      </w:pPr>
      <w:r>
        <w:t>Best Practices with Virtualenvs</w:t>
      </w:r>
      <w:bookmarkEnd w:id="1988"/>
    </w:p>
    <w:p>
      <w:pPr>
        <w:pStyle w:val="Normal"/>
      </w:pPr>
      <w:r>
        <w:t>There</w:t>
      </w:r>
      <w:r>
        <w:rPr>
          <w:rStyle w:val="Text111"/>
        </w:rPr>
        <w:bookmarkStart w:id="1989" w:name="idm45965216836304"/>
        <w:t/>
        <w:bookmarkEnd w:id="1989"/>
      </w:r>
      <w:r>
        <w:t xml:space="preserve"> is remarkably little advice on how best to manage your work with virtualenvs, though there are several sound tutorials: any good search engine will give you access to the most current ones. We can, however, offer a modest amount of advice that we hope will help you to get the most out of virtual environments.</w:t>
      </w:r>
    </w:p>
    <w:p>
      <w:pPr>
        <w:pStyle w:val="Normal"/>
      </w:pPr>
      <w:r>
        <w:t xml:space="preserve">When you are working with the same dependencies in multiple Python versions, it is useful to indicate the version in the environment name and use a common prefix. So, for the project </w:t>
      </w:r>
      <w:r>
        <w:rPr>
          <w:rStyle w:val="Text4"/>
        </w:rPr>
        <w:t>mutex</w:t>
      </w:r>
      <w:r>
        <w:t xml:space="preserve"> you might maintain environments called </w:t>
      </w:r>
      <w:r>
        <w:rPr>
          <w:rStyle w:val="Text4"/>
        </w:rPr>
        <w:t>mutex_39</w:t>
      </w:r>
      <w:r>
        <w:t xml:space="preserve"> and </w:t>
      </w:r>
      <w:r>
        <w:rPr>
          <w:rStyle w:val="Text4"/>
        </w:rPr>
        <w:t>mutex_310</w:t>
      </w:r>
      <w:r>
        <w:t xml:space="preserve"> for development under two different versions of Python. When it’s obvious which Python is involved (remember, you see the environment name in your shell prompt), there’s less risk of testing with the wrong version. You can maintain dependencies using common requirements to control resource installation in both.</w:t>
      </w:r>
    </w:p>
    <w:p>
      <w:pPr>
        <w:pStyle w:val="Normal"/>
      </w:pPr>
      <w:r>
        <w:t>Keep the requirements file(s) under source control, not the whole environment. Given the requirements file it’s easy to re-create a virtualenv, which depends only on the Python release and the requirements. You distribute your project, and let your users decide which version(s) of Python to run it on and create the appropriate virtual environment(s).</w:t>
      </w:r>
    </w:p>
    <w:p>
      <w:pPr>
        <w:pStyle w:val="Normal"/>
      </w:pPr>
      <w:r>
        <w:t>Keep your virtualenvs outside your project directories. This avoids the need to explicitly force source code control systems to ignore them. It really doesn’t matter where else you store them.</w:t>
      </w:r>
    </w:p>
    <w:p>
      <w:pPr>
        <w:pStyle w:val="Normal"/>
      </w:pPr>
      <w:r>
        <w:t>Your Python environment is independent of your projects’ locations in the filesystem. You can activate a virtual environment and then switch branches and move around a change-controlled source tree to use it wherever is convenient.</w:t>
      </w:r>
    </w:p>
    <w:p>
      <w:pPr>
        <w:pStyle w:val="Normal"/>
      </w:pPr>
      <w:r>
        <w:t xml:space="preserve">To investigate a new module or package, create and activate a new virtualenv and then </w:t>
      </w:r>
      <w:r>
        <w:rPr>
          <w:rStyle w:val="Text5"/>
        </w:rPr>
        <w:t>pip install</w:t>
      </w:r>
      <w:r>
        <w:t xml:space="preserve"> the resources that interest you. You can play with this new environment to your heart’s content, confident in the knowledge that you won’t be installing unwanted dependencies into other projects.</w:t>
      </w:r>
    </w:p>
    <w:p>
      <w:pPr>
        <w:pStyle w:val="Normal"/>
      </w:pPr>
      <w:r>
        <w:t>You may find that experiments in a virtualenv require installation of resources that aren’t currently project requirements. Rather than “pollute” your development environment, fork it: create a new virtualenv from the same requirements plus the testing functionality. Later, to make these changes permanent, use change control to merge your source and requirements changes back in from the forked branch.</w:t>
      </w:r>
    </w:p>
    <w:p>
      <w:pPr>
        <w:pStyle w:val="Normal"/>
      </w:pPr>
      <w:r>
        <w:t>If you are so inclined, you can create virtual environments based on debug builds of Python, giving you access to a wealth of information about the performance of your Python code (and, of course, of the interpreter itself).</w:t>
      </w:r>
    </w:p>
    <w:p>
      <w:pPr>
        <w:pStyle w:val="Normal"/>
      </w:pPr>
      <w:r>
        <w:t xml:space="preserve">Developing a virtual environment also requires change control, and the ease of virtualenv creation helps here too. Suppose that you recently released version 4.3 of a module, and you want to test your code with new versions of two of its dependencies. You </w:t>
      </w:r>
      <w:r>
        <w:rPr>
          <w:rStyle w:val="Text4"/>
        </w:rPr>
        <w:t>could</w:t>
      </w:r>
      <w:r>
        <w:t xml:space="preserve">, with sufficient skill, persuade </w:t>
      </w:r>
      <w:r>
        <w:rPr>
          <w:rStyle w:val="Text0"/>
        </w:rPr>
        <w:t>pip</w:t>
      </w:r>
      <w:r>
        <w:t xml:space="preserve"> to replace the existing copies of dependencies in your existing virtualenv. It’s much easier, though, to branch your project using source control tools, update the requirements, and create an entirely new virtual environment based on the updated requirements. The original virtualenv remains intact, and you can switch between virtualenvs to investigate specific aspects of any migration issues that might arise. Once you have adjusted your code so that all tests pass with the updated dependencies, you can check in your code </w:t>
      </w:r>
      <w:r>
        <w:rPr>
          <w:rStyle w:val="Text4"/>
        </w:rPr>
        <w:t>and</w:t>
      </w:r>
      <w:r>
        <w:t xml:space="preserve"> requirement changes and merge into version 4.4 to complete the update, advising your colleagues that your code is now ready for the updated versions of the dependencies.</w:t>
      </w:r>
    </w:p>
    <w:p>
      <w:pPr>
        <w:pStyle w:val="Normal"/>
      </w:pPr>
      <w:r>
        <w:t>Virtual environments won’t solve all of a Python programmer’s problems: tools can always be made more sophisticated, or more general. But, by golly, virtualenvs work, and we should take all the advantage of them that we can.</w:t>
      </w:r>
      <w:r>
        <w:rPr>
          <w:rStyle w:val="Text111"/>
        </w:rPr>
        <w:bookmarkStart w:id="1990" w:name="idm45965216826512"/>
        <w:t/>
        <w:bookmarkEnd w:id="1990"/>
        <w:bookmarkStart w:id="1991" w:name="idm45965216825136"/>
        <w:t/>
        <w:bookmarkEnd w:id="1991"/>
      </w:r>
    </w:p>
    <w:p>
      <w:bookmarkStart w:id="1992" w:name="1_One_of_our_tech_reviewers_repo"/>
      <w:pPr>
        <w:pStyle w:val="Para 035"/>
      </w:pPr>
      <w:hyperlink w:anchor="1_7">
        <w:r>
          <w:rPr>
            <w:rStyle w:val="Text1"/>
          </w:rPr>
          <w:t>1</w:t>
        </w:r>
      </w:hyperlink>
      <w:r>
        <w:t xml:space="preserve"> One of our tech reviewers reports that </w:t>
      </w:r>
      <w:r>
        <w:rPr>
          <w:rStyle w:val="Text4"/>
        </w:rPr>
        <w:t>.pyw</w:t>
      </w:r>
      <w:r>
        <w:t xml:space="preserve"> files on Windows are an exception to this.</w:t>
      </w:r>
      <w:bookmarkEnd w:id="1992"/>
    </w:p>
    <w:p>
      <w:bookmarkStart w:id="1993" w:name="2_distutils_is_scheduled_for_del"/>
      <w:pPr>
        <w:pStyle w:val="Para 015"/>
      </w:pPr>
      <w:hyperlink w:anchor="2_7">
        <w:r>
          <w:rPr>
            <w:rStyle w:val="Text1"/>
          </w:rPr>
          <w:t>2</w:t>
        </w:r>
      </w:hyperlink>
      <w:r>
        <w:t xml:space="preserve"> </w:t>
      </w:r>
      <w:r>
        <w:rPr>
          <w:rStyle w:val="Text25"/>
        </w:rPr>
        <w:t>distutils</w:t>
      </w:r>
      <w:r>
        <w:t xml:space="preserve"> is scheduled for deletion in Python 3.12.</w:t>
      </w:r>
      <w:bookmarkEnd w:id="1993"/>
    </w:p>
    <w:p>
      <w:bookmarkStart w:id="1994" w:name="3_When_running_these_commands_on"/>
      <w:pPr>
        <w:pStyle w:val="Para 015"/>
      </w:pPr>
      <w:hyperlink w:anchor="3_7">
        <w:r>
          <w:rPr>
            <w:rStyle w:val="Text1"/>
          </w:rPr>
          <w:t>3</w:t>
        </w:r>
      </w:hyperlink>
      <w:r>
        <w:t xml:space="preserve"> When running these commands on reduced-footprint Linux distributions, you may need to separately install </w:t>
      </w:r>
      <w:r>
        <w:rPr>
          <w:rStyle w:val="Text25"/>
        </w:rPr>
        <w:t>venv</w:t>
      </w:r>
      <w:r>
        <w:t xml:space="preserve"> or other supporting packages first.</w:t>
      </w:r>
      <w:bookmarkEnd w:id="1994"/>
    </w:p>
    <w:p>
      <w:bookmarkStart w:id="1995" w:name="Chapter_8__Core_Built_ins_and_St"/>
      <w:bookmarkStart w:id="1996" w:name="Top_of_ch08_html"/>
      <w:bookmarkStart w:id="1997" w:name="Chapter_8__Core_Built_ins_and_St_1"/>
      <w:bookmarkStart w:id="1998" w:name="Chapter_8__Core_Built_ins_and_St_2"/>
      <w:pPr>
        <w:keepNext/>
        <w:pStyle w:val="Heading 1"/>
        <w:pageBreakBefore w:val="on"/>
      </w:pPr>
      <w:r>
        <w:t xml:space="preserve">Chapter 8. </w:t>
        <w:t>Core Built-ins and Standard Library Modules</w:t>
      </w:r>
      <w:bookmarkEnd w:id="1995"/>
      <w:bookmarkEnd w:id="1996"/>
      <w:bookmarkEnd w:id="1997"/>
      <w:bookmarkEnd w:id="1998"/>
    </w:p>
    <w:p>
      <w:pPr>
        <w:pStyle w:val="Normal"/>
      </w:pPr>
      <w:r>
        <w:t>The</w:t>
      </w:r>
      <w:r>
        <w:rPr>
          <w:rStyle w:val="Text111"/>
        </w:rPr>
        <w:bookmarkStart w:id="1999" w:name="idm45965216821568"/>
        <w:t/>
        <w:bookmarkEnd w:id="1999"/>
      </w:r>
      <w:r>
        <w:t xml:space="preserve"> term </w:t>
      </w:r>
      <w:r>
        <w:rPr>
          <w:rStyle w:val="Text4"/>
        </w:rPr>
        <w:t>built-in</w:t>
      </w:r>
      <w:r>
        <w:t xml:space="preserve"> has more than one meaning in Python. In many contexts, </w:t>
      </w:r>
      <w:r>
        <w:rPr>
          <w:rStyle w:val="Text4"/>
        </w:rPr>
        <w:t>built-in</w:t>
      </w:r>
      <w:r>
        <w:t xml:space="preserve"> means an object directly accessible to Python code without an </w:t>
      </w:r>
      <w:r>
        <w:rPr>
          <w:rStyle w:val="Text5"/>
        </w:rPr>
        <w:t>import</w:t>
      </w:r>
      <w:r>
        <w:t xml:space="preserve"> statement. The section </w:t>
      </w:r>
      <w:hyperlink w:anchor="Python_built_ins__Python_supplie">
        <w:r>
          <w:rPr>
            <w:rStyle w:val="Text1"/>
          </w:rPr>
          <w:t>“Python built-ins”</w:t>
        </w:r>
      </w:hyperlink>
      <w:r>
        <w:t xml:space="preserve"> shows Python’s mechanism to allow this direct access. Built-in types in Python include numbers, sequences, dictionaries, sets, functions (all covered in </w:t>
      </w:r>
      <w:hyperlink w:anchor="Chapter_3__The_Python_Language_2">
        <w:r>
          <w:rPr>
            <w:rStyle w:val="Text1"/>
          </w:rPr>
          <w:t>Chapter 3</w:t>
        </w:r>
      </w:hyperlink>
      <w:r>
        <w:t xml:space="preserve">), classes (covered in </w:t>
      </w:r>
      <w:hyperlink w:anchor="Python_Classes__A_class_is_a_Pyt">
        <w:r>
          <w:rPr>
            <w:rStyle w:val="Text1"/>
          </w:rPr>
          <w:t>“Python Classes”</w:t>
        </w:r>
      </w:hyperlink>
      <w:r>
        <w:t xml:space="preserve">), standard exception classes (covered in </w:t>
      </w:r>
      <w:hyperlink w:anchor="Exception_Objects__Exceptions_ar">
        <w:r>
          <w:rPr>
            <w:rStyle w:val="Text1"/>
          </w:rPr>
          <w:t>“Exception Objects”</w:t>
        </w:r>
      </w:hyperlink>
      <w:r>
        <w:t xml:space="preserve">), and modules (covered in </w:t>
      </w:r>
      <w:hyperlink w:anchor="Module_Objects__In_Python__a_mod">
        <w:r>
          <w:rPr>
            <w:rStyle w:val="Text1"/>
          </w:rPr>
          <w:t>“Module Objects”</w:t>
        </w:r>
      </w:hyperlink>
      <w:r>
        <w:t xml:space="preserve">). </w:t>
      </w:r>
      <w:hyperlink w:anchor="The_io_Module__As_mentioned_in_t">
        <w:r>
          <w:rPr>
            <w:rStyle w:val="Text1"/>
          </w:rPr>
          <w:t>“The io Module”</w:t>
        </w:r>
      </w:hyperlink>
      <w:r>
        <w:t xml:space="preserve"> covers the </w:t>
      </w:r>
      <w:r>
        <w:rPr>
          <w:rStyle w:val="Text0"/>
        </w:rPr>
        <w:t>file</w:t>
      </w:r>
      <w:r>
        <w:t xml:space="preserve"> type, and </w:t>
      </w:r>
      <w:hyperlink w:anchor="Internal_Types__Some_of_the_inte">
        <w:r>
          <w:rPr>
            <w:rStyle w:val="Text1"/>
          </w:rPr>
          <w:t>“Internal Types”</w:t>
        </w:r>
      </w:hyperlink>
      <w:r>
        <w:t xml:space="preserve"> some other built-in types intrinsic to Python’s internal operation. This chapter provides additional coverage of built-in core types in the opening section and covers built-in functions available in the module </w:t>
      </w:r>
      <w:r>
        <w:rPr>
          <w:rStyle w:val="Text0"/>
        </w:rPr>
        <w:t>builtins</w:t>
      </w:r>
      <w:r>
        <w:t xml:space="preserve"> in </w:t>
      </w:r>
      <w:hyperlink w:anchor="Built_in_Functions__Table_8_2_co">
        <w:r>
          <w:rPr>
            <w:rStyle w:val="Text1"/>
          </w:rPr>
          <w:t>“Built-in Functions”</w:t>
        </w:r>
      </w:hyperlink>
      <w:r>
        <w:t>.</w:t>
      </w:r>
    </w:p>
    <w:p>
      <w:pPr>
        <w:pStyle w:val="Normal"/>
      </w:pPr>
      <w:r>
        <w:t>Some</w:t>
      </w:r>
      <w:r>
        <w:rPr>
          <w:rStyle w:val="Text111"/>
        </w:rPr>
        <w:bookmarkStart w:id="2000" w:name="idm45965216808368"/>
        <w:t/>
        <w:bookmarkEnd w:id="2000"/>
        <w:bookmarkStart w:id="2001" w:name="idm45965216806992"/>
        <w:t/>
        <w:bookmarkEnd w:id="2001"/>
      </w:r>
      <w:r>
        <w:t xml:space="preserve"> modules are called “built-in” because they’re in the Python standard library (though it takes an </w:t>
      </w:r>
      <w:r>
        <w:rPr>
          <w:rStyle w:val="Text5"/>
        </w:rPr>
        <w:t>import</w:t>
      </w:r>
      <w:r>
        <w:t xml:space="preserve"> statement to use them), as opposed to add-on modules, also known as Python </w:t>
      </w:r>
      <w:r>
        <w:rPr>
          <w:rStyle w:val="Text4"/>
        </w:rPr>
        <w:t>extensions</w:t>
      </w:r>
      <w:r>
        <w:t>.</w:t>
      </w:r>
    </w:p>
    <w:p>
      <w:pPr>
        <w:pStyle w:val="Normal"/>
      </w:pPr>
      <w:r>
        <w:t xml:space="preserve">This chapter covers several built-in core modules: namely, the standard library modules </w:t>
      </w:r>
      <w:r>
        <w:rPr>
          <w:rStyle w:val="Text0"/>
        </w:rPr>
        <w:t>sys</w:t>
      </w:r>
      <w:r>
        <w:t xml:space="preserve">, </w:t>
      </w:r>
      <w:r>
        <w:rPr>
          <w:rStyle w:val="Text0"/>
        </w:rPr>
        <w:t>copy</w:t>
      </w:r>
      <w:r>
        <w:t xml:space="preserve">, </w:t>
      </w:r>
      <w:r>
        <w:rPr>
          <w:rStyle w:val="Text0"/>
        </w:rPr>
        <w:t>collections</w:t>
      </w:r>
      <w:r>
        <w:t xml:space="preserve">, </w:t>
      </w:r>
      <w:r>
        <w:rPr>
          <w:rStyle w:val="Text0"/>
        </w:rPr>
        <w:t>functools</w:t>
      </w:r>
      <w:r>
        <w:t xml:space="preserve">, </w:t>
      </w:r>
      <w:r>
        <w:rPr>
          <w:rStyle w:val="Text0"/>
        </w:rPr>
        <w:t>heapq</w:t>
      </w:r>
      <w:r>
        <w:t xml:space="preserve">, </w:t>
      </w:r>
      <w:r>
        <w:rPr>
          <w:rStyle w:val="Text0"/>
        </w:rPr>
        <w:t>argparse</w:t>
      </w:r>
      <w:r>
        <w:t xml:space="preserve">, and </w:t>
      </w:r>
      <w:r>
        <w:rPr>
          <w:rStyle w:val="Text0"/>
        </w:rPr>
        <w:t>itertools</w:t>
      </w:r>
      <w:r>
        <w:t xml:space="preserve">. You’ll find a discussion of each module </w:t>
      </w:r>
      <w:r>
        <w:rPr>
          <w:rStyle w:val="Text4"/>
        </w:rPr>
        <w:t>x</w:t>
      </w:r>
      <w:r>
        <w:t xml:space="preserve"> in the respective section “The </w:t>
      </w:r>
      <w:r>
        <w:rPr>
          <w:rStyle w:val="Text4"/>
        </w:rPr>
        <w:t>x</w:t>
      </w:r>
      <w:r>
        <w:t xml:space="preserve"> Module.”</w:t>
      </w:r>
    </w:p>
    <w:p>
      <w:pPr>
        <w:pStyle w:val="Normal"/>
      </w:pPr>
      <w:hyperlink w:anchor="Chapter_9__Strings_and_Things__P_2">
        <w:r>
          <w:rPr>
            <w:rStyle w:val="Text1"/>
          </w:rPr>
          <w:t>Chapter 9</w:t>
        </w:r>
      </w:hyperlink>
      <w:r>
        <w:t xml:space="preserve"> covers some string-related built-in core modules (</w:t>
      </w:r>
      <w:r>
        <w:rPr>
          <w:rStyle w:val="Text0"/>
        </w:rPr>
        <w:t>string</w:t>
      </w:r>
      <w:r>
        <w:t xml:space="preserve">, </w:t>
      </w:r>
      <w:r>
        <w:rPr>
          <w:rStyle w:val="Text0"/>
        </w:rPr>
        <w:t>codecs</w:t>
      </w:r>
      <w:r>
        <w:t xml:space="preserve">, and </w:t>
      </w:r>
      <w:r>
        <w:rPr>
          <w:rStyle w:val="Text0"/>
        </w:rPr>
        <w:t>unicodedata</w:t>
      </w:r>
      <w:r>
        <w:t xml:space="preserve">) with the same section-name convention. </w:t>
      </w:r>
      <w:hyperlink w:anchor="Chapter_10__Regular_Expressions_2">
        <w:r>
          <w:rPr>
            <w:rStyle w:val="Text1"/>
          </w:rPr>
          <w:t>Chapter 10</w:t>
        </w:r>
      </w:hyperlink>
      <w:r>
        <w:t xml:space="preserve"> covers </w:t>
      </w:r>
      <w:r>
        <w:rPr>
          <w:rStyle w:val="Text0"/>
        </w:rPr>
        <w:t>re</w:t>
      </w:r>
      <w:r>
        <w:t xml:space="preserve"> in </w:t>
      </w:r>
      <w:hyperlink w:anchor="Regular_Expressions_and_the_re_M">
        <w:r>
          <w:rPr>
            <w:rStyle w:val="Text1"/>
          </w:rPr>
          <w:t>“Regular Expressions and the re Module”</w:t>
        </w:r>
      </w:hyperlink>
      <w:r>
        <w:t>.</w:t>
      </w:r>
    </w:p>
    <w:p>
      <w:bookmarkStart w:id="2002" w:name="Built_in_Types__Table_8_1_provid"/>
      <w:pPr>
        <w:keepNext/>
        <w:pStyle w:val="Heading 1"/>
      </w:pPr>
      <w:r>
        <w:t>Built-in Types</w:t>
      </w:r>
      <w:bookmarkEnd w:id="2002"/>
    </w:p>
    <w:p>
      <w:pPr>
        <w:pStyle w:val="Normal"/>
      </w:pPr>
      <w:hyperlink w:anchor="Table_8_1__Python_s_core_built_i">
        <w:r>
          <w:rPr>
            <w:rStyle w:val="Text1"/>
          </w:rPr>
          <w:t>Table 8-1</w:t>
        </w:r>
      </w:hyperlink>
      <w:r>
        <w:t xml:space="preserve"> provides</w:t>
      </w:r>
      <w:r>
        <w:rPr>
          <w:rStyle w:val="Text111"/>
        </w:rPr>
        <w:bookmarkStart w:id="2003" w:name="BIOTcore08"/>
        <w:t/>
        <w:bookmarkEnd w:id="2003"/>
      </w:r>
      <w:r>
        <w:t xml:space="preserve"> a brief overview of Python’s core built-in types. More details about many of these types, and about operations on their instances, are found throughout </w:t>
      </w:r>
      <w:hyperlink w:anchor="Chapter_3__The_Python_Language_2">
        <w:r>
          <w:rPr>
            <w:rStyle w:val="Text1"/>
          </w:rPr>
          <w:t>Chapter 3</w:t>
        </w:r>
      </w:hyperlink>
      <w:r>
        <w:t xml:space="preserve">. In this section, by “any number” we mean, specifically, “any noncomplex number.” Also, many built-ins accept at least some of their parameters in a positional-only way; we use the </w:t>
      </w:r>
      <w:r>
        <w:rPr>
          <w:rStyle w:val="Text34"/>
        </w:rPr>
        <w:t>3.8+</w:t>
      </w:r>
      <w:r>
        <w:t xml:space="preserve"> positional-only marker </w:t>
      </w:r>
      <w:r>
        <w:rPr>
          <w:rStyle w:val="Text0"/>
        </w:rPr>
        <w:t>/</w:t>
      </w:r>
      <w:r>
        <w:t xml:space="preserve">, covered in </w:t>
      </w:r>
      <w:hyperlink w:anchor="Positional_only_marker__3_8__A_f">
        <w:r>
          <w:rPr>
            <w:rStyle w:val="Text1"/>
          </w:rPr>
          <w:t>“Positional-only marker”</w:t>
        </w:r>
      </w:hyperlink>
      <w:r>
        <w:t>, to indicate this.</w:t>
      </w:r>
    </w:p>
    <w:tbl>
      <w:tblPr>
        <w:tblW w:type="auto" w:w="0"/>
      </w:tblPr>
      <w:tr>
        <w:tc>
          <w:tcPr>
            <w:tcW w:type="auto" w:w="0"/>
            <w:tcMar>
              <w:left w:type="dxa" w:w="200"/>
              <w:top w:type="dxa" w:w="200"/>
              <w:right w:type="dxa" w:w="200"/>
              <w:bottom w:type="dxa" w:w="200"/>
            </w:tcMar>
          </w:tcPr>
          <w:p>
            <w:bookmarkStart w:id="2004" w:name="Table_8_1__Python_s_core_built_i"/>
            <w:pPr>
              <w:pStyle w:val="Para 011"/>
            </w:pPr>
            <w:r>
              <w:rPr>
                <w:rStyle w:val="Text117"/>
              </w:rPr>
              <w:t/>
            </w:r>
            <w:r>
              <w:t xml:space="preserve">Table 8-1. </w:t>
              <w:t>Python’s core built-in types</w:t>
            </w:r>
            <w:bookmarkEnd w:id="2004"/>
          </w:p>
          <w:p>
            <w:pPr>
              <w:pStyle w:val="Para 001"/>
            </w:pPr>
            <w:r>
              <w:t>bool</w:t>
            </w:r>
          </w:p>
        </w:tc>
        <w:tc>
          <w:tcPr>
            <w:tcW w:type="auto" w:w="0"/>
            <w:tcMar>
              <w:left w:type="dxa" w:w="200"/>
              <w:top w:type="dxa" w:w="200"/>
              <w:right w:type="dxa" w:w="200"/>
              <w:bottom w:type="dxa" w:w="200"/>
            </w:tcMar>
          </w:tcPr>
          <w:p>
            <w:pPr>
              <w:pStyle w:val="Para 002"/>
            </w:pPr>
            <w:r>
              <w:rPr>
                <w:rStyle w:val="Text0"/>
              </w:rPr>
              <w:t>bool(</w:t>
            </w:r>
            <w:r>
              <w:rPr>
                <w:rStyle w:val="Text3"/>
              </w:rPr>
              <w:t>x</w:t>
            </w:r>
            <w:r>
              <w:rPr>
                <w:rStyle w:val="Text0"/>
              </w:rPr>
              <w:t>=</w:t>
            </w:r>
            <w:r>
              <w:rPr>
                <w:rStyle w:val="Text5"/>
              </w:rPr>
              <w:t>False</w:t>
            </w:r>
            <w:r>
              <w:rPr>
                <w:rStyle w:val="Text0"/>
              </w:rPr>
              <w:t>, /)</w:t>
              <w:br w:clear="none"/>
            </w:r>
            <w:r>
              <w:t xml:space="preserve"> Returns</w:t>
            </w:r>
            <w:r>
              <w:rPr>
                <w:rStyle w:val="Text111"/>
              </w:rPr>
              <w:bookmarkStart w:id="2005" w:name="idm45965216776192"/>
              <w:t/>
              <w:bookmarkEnd w:id="2005"/>
            </w:r>
            <w:r>
              <w:t xml:space="preserve"> </w:t>
            </w:r>
            <w:r>
              <w:rPr>
                <w:rStyle w:val="Text5"/>
              </w:rPr>
              <w:t>False</w:t>
            </w:r>
            <w:r>
              <w:t xml:space="preserve"> when </w:t>
            </w:r>
            <w:r>
              <w:rPr>
                <w:rStyle w:val="Text3"/>
              </w:rPr>
              <w:t>x</w:t>
            </w:r>
            <w:r>
              <w:t xml:space="preserve"> evaluates as</w:t>
            </w:r>
            <w:r>
              <w:rPr>
                <w:rStyle w:val="Text111"/>
              </w:rPr>
              <w:bookmarkStart w:id="2006" w:name="idm45965216773232"/>
              <w:t/>
              <w:bookmarkEnd w:id="2006"/>
              <w:bookmarkStart w:id="2007" w:name="idm45965216771840"/>
              <w:t/>
              <w:bookmarkEnd w:id="2007"/>
            </w:r>
            <w:r>
              <w:t xml:space="preserve"> falsy; returns </w:t>
            </w:r>
            <w:r>
              <w:rPr>
                <w:rStyle w:val="Text5"/>
              </w:rPr>
              <w:t>True</w:t>
            </w:r>
            <w:r>
              <w:t xml:space="preserve"> when </w:t>
            </w:r>
            <w:r>
              <w:rPr>
                <w:rStyle w:val="Text3"/>
              </w:rPr>
              <w:t>x</w:t>
            </w:r>
            <w:r>
              <w:t xml:space="preserve"> evaluates as truthy (see </w:t>
            </w:r>
            <w:hyperlink w:anchor="Boolean_Values__Any11_data_value">
              <w:r>
                <w:rPr>
                  <w:rStyle w:val="Text1"/>
                </w:rPr>
                <w:t>“Boolean Values”</w:t>
              </w:r>
            </w:hyperlink>
            <w:r>
              <w:t xml:space="preserve">). </w:t>
            </w:r>
            <w:r>
              <w:rPr>
                <w:rStyle w:val="Text0"/>
              </w:rPr>
              <w:t>bool</w:t>
            </w:r>
            <w:r>
              <w:t xml:space="preserve"> extends </w:t>
            </w:r>
            <w:r>
              <w:rPr>
                <w:rStyle w:val="Text0"/>
              </w:rPr>
              <w:t>int</w:t>
            </w:r>
            <w:r>
              <w:t xml:space="preserve">: the built-in names </w:t>
            </w:r>
            <w:r>
              <w:rPr>
                <w:rStyle w:val="Text5"/>
              </w:rPr>
              <w:t>False</w:t>
            </w:r>
            <w:r>
              <w:t xml:space="preserve"> and </w:t>
            </w:r>
            <w:r>
              <w:rPr>
                <w:rStyle w:val="Text5"/>
              </w:rPr>
              <w:t>True</w:t>
            </w:r>
            <w:r>
              <w:t xml:space="preserve"> refer to the only two instances of </w:t>
            </w:r>
            <w:r>
              <w:rPr>
                <w:rStyle w:val="Text0"/>
              </w:rPr>
              <w:t>bool</w:t>
            </w:r>
            <w:r>
              <w:t xml:space="preserve">. These instances are also </w:t>
            </w:r>
            <w:r>
              <w:rPr>
                <w:rStyle w:val="Text0"/>
              </w:rPr>
              <w:t>int</w:t>
            </w:r>
            <w:r>
              <w:t xml:space="preserve">s equal to </w:t>
            </w:r>
            <w:r>
              <w:rPr>
                <w:rStyle w:val="Text0"/>
              </w:rPr>
              <w:t>0</w:t>
            </w:r>
            <w:r>
              <w:t xml:space="preserve"> and </w:t>
            </w:r>
            <w:r>
              <w:rPr>
                <w:rStyle w:val="Text0"/>
              </w:rPr>
              <w:t>1</w:t>
            </w:r>
            <w:r>
              <w:t xml:space="preserve">, respectively, but </w:t>
            </w:r>
            <w:r>
              <w:rPr>
                <w:rStyle w:val="Text0"/>
              </w:rPr>
              <w:t>str(</w:t>
            </w:r>
            <w:r>
              <w:rPr>
                <w:rStyle w:val="Text5"/>
              </w:rPr>
              <w:t>True</w:t>
            </w:r>
            <w:r>
              <w:rPr>
                <w:rStyle w:val="Text0"/>
              </w:rPr>
              <w:t>)</w:t>
            </w:r>
            <w:r>
              <w:t xml:space="preserve"> is </w:t>
            </w:r>
            <w:r>
              <w:rPr>
                <w:rStyle w:val="Text0"/>
              </w:rPr>
              <w:t>'True'</w:t>
            </w:r>
            <w:r>
              <w:t xml:space="preserve"> and </w:t>
            </w:r>
            <w:r>
              <w:rPr>
                <w:rStyle w:val="Text0"/>
              </w:rPr>
              <w:t>str(</w:t>
            </w:r>
            <w:r>
              <w:rPr>
                <w:rStyle w:val="Text5"/>
              </w:rPr>
              <w:t>False</w:t>
            </w:r>
            <w:r>
              <w:rPr>
                <w:rStyle w:val="Text0"/>
              </w:rPr>
              <w:t>)</w:t>
            </w:r>
            <w:r>
              <w:t xml:space="preserve"> is </w:t>
            </w:r>
            <w:r>
              <w:rPr>
                <w:rStyle w:val="Text0"/>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bytearray</w:t>
            </w:r>
          </w:p>
        </w:tc>
        <w:tc>
          <w:tcPr>
            <w:tcW w:type="auto" w:w="0"/>
            <w:shd w:val="clear" w:color="auto" w:fill="EEF2F6"/>
            <w:tcMar>
              <w:left w:type="dxa" w:w="200"/>
              <w:top w:type="dxa" w:w="200"/>
              <w:right w:type="dxa" w:w="200"/>
              <w:bottom w:type="dxa" w:w="200"/>
            </w:tcMar>
          </w:tcPr>
          <w:p>
            <w:pPr>
              <w:pStyle w:val="Para 002"/>
            </w:pPr>
            <w:r>
              <w:rPr>
                <w:rStyle w:val="Text0"/>
              </w:rPr>
              <w:t>bytearray(</w:t>
            </w:r>
            <w:r>
              <w:rPr>
                <w:rStyle w:val="Text3"/>
              </w:rPr>
              <w:t>x</w:t>
            </w:r>
            <w:r>
              <w:rPr>
                <w:rStyle w:val="Text0"/>
              </w:rPr>
              <w:t>=b'', /[, codec[, errors]])</w:t>
              <w:br w:clear="none"/>
            </w:r>
            <w:r>
              <w:t xml:space="preserve"> Returns</w:t>
            </w:r>
            <w:r>
              <w:rPr>
                <w:rStyle w:val="Text111"/>
              </w:rPr>
              <w:bookmarkStart w:id="2008" w:name="idm45965216755168"/>
              <w:t/>
              <w:bookmarkEnd w:id="2008"/>
            </w:r>
            <w:r>
              <w:t xml:space="preserve"> a mutable sequence of bytes (</w:t>
            </w:r>
            <w:r>
              <w:rPr>
                <w:rStyle w:val="Text0"/>
              </w:rPr>
              <w:t>int</w:t>
            </w:r>
            <w:r>
              <w:t xml:space="preserve">s with values from </w:t>
            </w:r>
            <w:r>
              <w:rPr>
                <w:rStyle w:val="Text0"/>
              </w:rPr>
              <w:t>0</w:t>
            </w:r>
            <w:r>
              <w:t xml:space="preserve"> to </w:t>
            </w:r>
            <w:r>
              <w:rPr>
                <w:rStyle w:val="Text0"/>
              </w:rPr>
              <w:t>255</w:t>
            </w:r>
            <w:r>
              <w:t xml:space="preserve">), supporting the usual methods of mutable sequences, plus the methods of </w:t>
            </w:r>
            <w:r>
              <w:rPr>
                <w:rStyle w:val="Text0"/>
              </w:rPr>
              <w:t>str</w:t>
            </w:r>
            <w:r>
              <w:t xml:space="preserve">. When </w:t>
            </w:r>
            <w:r>
              <w:rPr>
                <w:rStyle w:val="Text3"/>
              </w:rPr>
              <w:t>x</w:t>
            </w:r>
            <w:r>
              <w:t xml:space="preserve"> is a </w:t>
            </w:r>
            <w:r>
              <w:rPr>
                <w:rStyle w:val="Text0"/>
              </w:rPr>
              <w:t>str</w:t>
            </w:r>
            <w:r>
              <w:t xml:space="preserve">, you must also pass </w:t>
            </w:r>
            <w:r>
              <w:rPr>
                <w:rStyle w:val="Text0"/>
              </w:rPr>
              <w:t>codec</w:t>
            </w:r>
            <w:r>
              <w:t xml:space="preserve"> and may pass </w:t>
            </w:r>
            <w:r>
              <w:rPr>
                <w:rStyle w:val="Text0"/>
              </w:rPr>
              <w:t>errors</w:t>
            </w:r>
            <w:r>
              <w:t xml:space="preserve">; the result is just like calling </w:t>
            </w:r>
            <w:r>
              <w:rPr>
                <w:rStyle w:val="Text0"/>
              </w:rPr>
              <w:t>bytearray(</w:t>
            </w:r>
            <w:r>
              <w:rPr>
                <w:rStyle w:val="Text3"/>
              </w:rPr>
              <w:t>x</w:t>
            </w:r>
            <w:r>
              <w:rPr>
                <w:rStyle w:val="Text0"/>
              </w:rPr>
              <w:t>.encode(codec, errors))</w:t>
            </w:r>
            <w:r>
              <w:t xml:space="preserve">. When </w:t>
            </w:r>
            <w:r>
              <w:rPr>
                <w:rStyle w:val="Text3"/>
              </w:rPr>
              <w:t>x</w:t>
            </w:r>
            <w:r>
              <w:t xml:space="preserve"> is an </w:t>
            </w:r>
            <w:r>
              <w:rPr>
                <w:rStyle w:val="Text0"/>
              </w:rPr>
              <w:t>int</w:t>
            </w:r>
            <w:r>
              <w:t xml:space="preserve">, it must be </w:t>
            </w:r>
            <w:r>
              <w:rPr>
                <w:rStyle w:val="Text0"/>
              </w:rPr>
              <w:t>&gt;=0</w:t>
            </w:r>
            <w:r>
              <w:t xml:space="preserve">: the resulting instance has a length of </w:t>
            </w:r>
            <w:r>
              <w:rPr>
                <w:rStyle w:val="Text3"/>
              </w:rPr>
              <w:t>x</w:t>
            </w:r>
            <w:r>
              <w:t xml:space="preserve">, and each item is initialized to </w:t>
            </w:r>
            <w:r>
              <w:rPr>
                <w:rStyle w:val="Text0"/>
              </w:rPr>
              <w:t>0</w:t>
            </w:r>
            <w:r>
              <w:t xml:space="preserve">. When </w:t>
            </w:r>
            <w:r>
              <w:rPr>
                <w:rStyle w:val="Text3"/>
              </w:rPr>
              <w:t>x</w:t>
            </w:r>
            <w:r>
              <w:t xml:space="preserve"> conforms to the </w:t>
            </w:r>
            <w:hyperlink r:id="rId291">
              <w:r>
                <w:rPr>
                  <w:rStyle w:val="Text1"/>
                </w:rPr>
                <w:t>buffer protocol</w:t>
              </w:r>
            </w:hyperlink>
            <w:r>
              <w:t xml:space="preserve">, the read-only buffer of bytes from </w:t>
            </w:r>
            <w:r>
              <w:rPr>
                <w:rStyle w:val="Text3"/>
              </w:rPr>
              <w:t>x</w:t>
            </w:r>
            <w:r>
              <w:t xml:space="preserve"> initializes the instance. Otherwise, </w:t>
            </w:r>
            <w:r>
              <w:rPr>
                <w:rStyle w:val="Text3"/>
              </w:rPr>
              <w:t>x</w:t>
            </w:r>
            <w:r>
              <w:t xml:space="preserve"> must be an iterable yielding </w:t>
            </w:r>
            <w:r>
              <w:rPr>
                <w:rStyle w:val="Text0"/>
              </w:rPr>
              <w:t>int</w:t>
            </w:r>
            <w:r>
              <w:t xml:space="preserve">s </w:t>
            </w:r>
            <w:r>
              <w:rPr>
                <w:rStyle w:val="Text0"/>
              </w:rPr>
              <w:t>&gt;=0</w:t>
            </w:r>
            <w:r>
              <w:t xml:space="preserve"> and </w:t>
            </w:r>
            <w:r>
              <w:rPr>
                <w:rStyle w:val="Text0"/>
              </w:rPr>
              <w:t>&lt;256</w:t>
            </w:r>
            <w:r>
              <w:t xml:space="preserve">; e.g., </w:t>
            </w:r>
            <w:r>
              <w:rPr>
                <w:rStyle w:val="Text0"/>
              </w:rPr>
              <w:t>bytearray([1,2,3,4]) == bytearray(b'\x01\x02\x03\x04')</w:t>
            </w:r>
            <w:r>
              <w:t>.</w:t>
            </w:r>
          </w:p>
        </w:tc>
      </w:tr>
    </w:tbl>
    <w:tbl>
      <w:tblPr>
        <w:tblW w:type="auto" w:w="0"/>
      </w:tblPr>
      <w:tr>
        <w:tc>
          <w:tcPr>
            <w:tcW w:type="auto" w:w="0"/>
            <w:tcMar>
              <w:left w:type="dxa" w:w="200"/>
              <w:top w:type="dxa" w:w="200"/>
              <w:right w:type="dxa" w:w="200"/>
              <w:bottom w:type="dxa" w:w="200"/>
            </w:tcMar>
          </w:tcPr>
          <w:p>
            <w:pPr>
              <w:pStyle w:val="Para 001"/>
            </w:pPr>
            <w:r>
              <w:t>bytes</w:t>
            </w:r>
          </w:p>
        </w:tc>
        <w:tc>
          <w:tcPr>
            <w:tcW w:type="auto" w:w="0"/>
            <w:tcMar>
              <w:left w:type="dxa" w:w="200"/>
              <w:top w:type="dxa" w:w="200"/>
              <w:right w:type="dxa" w:w="200"/>
              <w:bottom w:type="dxa" w:w="200"/>
            </w:tcMar>
          </w:tcPr>
          <w:p>
            <w:pPr>
              <w:pStyle w:val="Para 002"/>
            </w:pPr>
            <w:r>
              <w:rPr>
                <w:rStyle w:val="Text0"/>
              </w:rPr>
              <w:t>bytes(</w:t>
            </w:r>
            <w:r>
              <w:rPr>
                <w:rStyle w:val="Text3"/>
              </w:rPr>
              <w:t>x</w:t>
            </w:r>
            <w:r>
              <w:rPr>
                <w:rStyle w:val="Text0"/>
              </w:rPr>
              <w:t>=b'', /[, codec[, errors]])</w:t>
              <w:br w:clear="none"/>
            </w:r>
            <w:r>
              <w:t xml:space="preserve"> Returns</w:t>
            </w:r>
            <w:r>
              <w:rPr>
                <w:rStyle w:val="Text111"/>
              </w:rPr>
              <w:bookmarkStart w:id="2009" w:name="idm45965216734304"/>
              <w:t/>
              <w:bookmarkEnd w:id="2009"/>
            </w:r>
            <w:r>
              <w:t xml:space="preserve"> an immutable sequence of bytes, with the same nonmutating methods and the same initialization behavior as </w:t>
            </w:r>
            <w:r>
              <w:rPr>
                <w:rStyle w:val="Text0"/>
              </w:rPr>
              <w:t>bytearray</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complex</w:t>
            </w:r>
          </w:p>
        </w:tc>
        <w:tc>
          <w:tcPr>
            <w:tcW w:type="auto" w:w="0"/>
            <w:shd w:val="clear" w:color="auto" w:fill="EEF2F6"/>
            <w:tcMar>
              <w:left w:type="dxa" w:w="200"/>
              <w:top w:type="dxa" w:w="200"/>
              <w:right w:type="dxa" w:w="200"/>
              <w:bottom w:type="dxa" w:w="200"/>
            </w:tcMar>
          </w:tcPr>
          <w:p>
            <w:pPr>
              <w:pStyle w:val="Para 002"/>
            </w:pPr>
            <w:r>
              <w:rPr>
                <w:rStyle w:val="Text0"/>
              </w:rPr>
              <w:t>complex(real=0, imag=0)</w:t>
              <w:br w:clear="none"/>
            </w:r>
            <w:r>
              <w:t xml:space="preserve"> Converts</w:t>
            </w:r>
            <w:r>
              <w:rPr>
                <w:rStyle w:val="Text111"/>
              </w:rPr>
              <w:bookmarkStart w:id="2010" w:name="idm45965216729568"/>
              <w:t/>
              <w:bookmarkEnd w:id="2010"/>
            </w:r>
            <w:r>
              <w:t xml:space="preserve"> any number, or a suitable string, to a complex number. </w:t>
            </w:r>
            <w:r>
              <w:rPr>
                <w:rStyle w:val="Text0"/>
              </w:rPr>
              <w:t>imag</w:t>
            </w:r>
            <w:r>
              <w:t xml:space="preserve"> may be present only when </w:t>
            </w:r>
            <w:r>
              <w:rPr>
                <w:rStyle w:val="Text0"/>
              </w:rPr>
              <w:t>real</w:t>
            </w:r>
            <w:r>
              <w:t xml:space="preserve"> is a number, and in that case </w:t>
            </w:r>
            <w:r>
              <w:rPr>
                <w:rStyle w:val="Text0"/>
              </w:rPr>
              <w:t>imag</w:t>
            </w:r>
            <w:r>
              <w:t xml:space="preserve"> is also a number: the imaginary part of the resulting complex number. See also </w:t>
            </w:r>
            <w:hyperlink w:anchor="Complex_numbers__A_complex_numbe">
              <w:r>
                <w:rPr>
                  <w:rStyle w:val="Text1"/>
                </w:rPr>
                <w:t>“Complex numbers”</w:t>
              </w:r>
            </w:hyperlink>
            <w:r>
              <w:t>.</w:t>
            </w:r>
          </w:p>
        </w:tc>
      </w:tr>
    </w:tbl>
    <w:tbl>
      <w:tblPr>
        <w:tblW w:type="auto" w:w="0"/>
      </w:tblPr>
      <w:tr>
        <w:tc>
          <w:tcPr>
            <w:tcW w:type="auto" w:w="0"/>
            <w:tcMar>
              <w:left w:type="dxa" w:w="200"/>
              <w:top w:type="dxa" w:w="200"/>
              <w:right w:type="dxa" w:w="200"/>
              <w:bottom w:type="dxa" w:w="200"/>
            </w:tcMar>
          </w:tcPr>
          <w:p>
            <w:pPr>
              <w:pStyle w:val="Para 001"/>
            </w:pPr>
            <w:r>
              <w:t>dict</w:t>
            </w:r>
          </w:p>
        </w:tc>
        <w:tc>
          <w:tcPr>
            <w:tcW w:type="auto" w:w="0"/>
            <w:tcMar>
              <w:left w:type="dxa" w:w="200"/>
              <w:top w:type="dxa" w:w="200"/>
              <w:right w:type="dxa" w:w="200"/>
              <w:bottom w:type="dxa" w:w="200"/>
            </w:tcMar>
          </w:tcPr>
          <w:p>
            <w:pPr>
              <w:pStyle w:val="Para 002"/>
            </w:pPr>
            <w:r>
              <w:rPr>
                <w:rStyle w:val="Text0"/>
              </w:rPr>
              <w:t>dict(</w:t>
            </w:r>
            <w:r>
              <w:rPr>
                <w:rStyle w:val="Text3"/>
              </w:rPr>
              <w:t>x</w:t>
            </w:r>
            <w:r>
              <w:rPr>
                <w:rStyle w:val="Text0"/>
              </w:rPr>
              <w:t>={}, /)</w:t>
              <w:br w:clear="none"/>
            </w:r>
            <w:r>
              <w:t xml:space="preserve"> Returns</w:t>
            </w:r>
            <w:r>
              <w:rPr>
                <w:rStyle w:val="Text111"/>
              </w:rPr>
              <w:bookmarkStart w:id="2011" w:name="idm45965216721776"/>
              <w:t/>
              <w:bookmarkEnd w:id="2011"/>
            </w:r>
            <w:r>
              <w:t xml:space="preserve"> a new dictionary with the same items as </w:t>
            </w:r>
            <w:r>
              <w:rPr>
                <w:rStyle w:val="Text3"/>
              </w:rPr>
              <w:t>x</w:t>
            </w:r>
            <w:r>
              <w:t xml:space="preserve">. (We cover dictionaries in </w:t>
            </w:r>
            <w:hyperlink w:anchor="Dictionaries__A_mapping_is_an_ar">
              <w:r>
                <w:rPr>
                  <w:rStyle w:val="Text1"/>
                </w:rPr>
                <w:t>“Dictionaries”</w:t>
              </w:r>
            </w:hyperlink>
            <w:r>
              <w:t xml:space="preserve">.) When </w:t>
            </w:r>
            <w:r>
              <w:rPr>
                <w:rStyle w:val="Text3"/>
              </w:rPr>
              <w:t>x</w:t>
            </w:r>
            <w:r>
              <w:t xml:space="preserve"> is a </w:t>
            </w:r>
            <w:r>
              <w:rPr>
                <w:rStyle w:val="Text0"/>
              </w:rPr>
              <w:t>dict</w:t>
            </w:r>
            <w:r>
              <w:t xml:space="preserve">, </w:t>
            </w:r>
            <w:r>
              <w:rPr>
                <w:rStyle w:val="Text0"/>
              </w:rPr>
              <w:t>dict(</w:t>
            </w:r>
            <w:r>
              <w:rPr>
                <w:rStyle w:val="Text3"/>
              </w:rPr>
              <w:t>x</w:t>
            </w:r>
            <w:r>
              <w:rPr>
                <w:rStyle w:val="Text0"/>
              </w:rPr>
              <w:t>)</w:t>
            </w:r>
            <w:r>
              <w:t xml:space="preserve"> returns a shallow copy of </w:t>
            </w:r>
            <w:r>
              <w:rPr>
                <w:rStyle w:val="Text3"/>
              </w:rPr>
              <w:t>x</w:t>
            </w:r>
            <w:r>
              <w:t xml:space="preserve">, like </w:t>
            </w:r>
            <w:r>
              <w:rPr>
                <w:rStyle w:val="Text3"/>
              </w:rPr>
              <w:t>x</w:t>
            </w:r>
            <w:r>
              <w:rPr>
                <w:rStyle w:val="Text0"/>
              </w:rPr>
              <w:t>.copy()</w:t>
            </w:r>
            <w:r>
              <w:t xml:space="preserve">. Alternatively, </w:t>
            </w:r>
            <w:r>
              <w:rPr>
                <w:rStyle w:val="Text3"/>
              </w:rPr>
              <w:t>x</w:t>
            </w:r>
            <w:r>
              <w:t xml:space="preserve"> can be an iterable whose items are pairs (iterables with two items each). In this case, </w:t>
            </w:r>
            <w:r>
              <w:rPr>
                <w:rStyle w:val="Text0"/>
              </w:rPr>
              <w:t>dict(</w:t>
            </w:r>
            <w:r>
              <w:rPr>
                <w:rStyle w:val="Text3"/>
              </w:rPr>
              <w:t>x</w:t>
            </w:r>
            <w:r>
              <w:rPr>
                <w:rStyle w:val="Text0"/>
              </w:rPr>
              <w:t>)</w:t>
            </w:r>
            <w:r>
              <w:t xml:space="preserve"> returns a dictionary whose keys are the first items of each pair in </w:t>
            </w:r>
            <w:r>
              <w:rPr>
                <w:rStyle w:val="Text3"/>
              </w:rPr>
              <w:t>x</w:t>
            </w:r>
            <w:r>
              <w:t xml:space="preserve">, and whose values are the corresponding second items. When a key appears more than once in </w:t>
            </w:r>
            <w:r>
              <w:rPr>
                <w:rStyle w:val="Text3"/>
              </w:rPr>
              <w:t>x</w:t>
            </w:r>
            <w:r>
              <w:t xml:space="preserve">, Python uses the value corresponding to the last occurrence of the key. In other words, when </w:t>
            </w:r>
            <w:r>
              <w:rPr>
                <w:rStyle w:val="Text3"/>
              </w:rPr>
              <w:t>x</w:t>
            </w:r>
            <w:r>
              <w:t xml:space="preserve"> is any iterable yielding pairs, </w:t>
            </w:r>
            <w:r>
              <w:rPr>
                <w:rStyle w:val="Text3"/>
              </w:rPr>
              <w:t>c</w:t>
            </w:r>
            <w:r>
              <w:t xml:space="preserve"> </w:t>
            </w:r>
            <w:r>
              <w:rPr>
                <w:rStyle w:val="Text0"/>
              </w:rPr>
              <w:t>= dict(</w:t>
            </w:r>
            <w:r>
              <w:rPr>
                <w:rStyle w:val="Text3"/>
              </w:rPr>
              <w:t>x</w:t>
            </w:r>
            <w:r>
              <w:rPr>
                <w:rStyle w:val="Text0"/>
              </w:rPr>
              <w:t>)</w:t>
            </w:r>
            <w:r>
              <w:t xml:space="preserve"> is exactly equivalent to: </w:t>
            </w:r>
          </w:p>
          <w:p>
            <w:pPr>
              <w:pStyle w:val="Para 025"/>
            </w:pPr>
            <w:r>
              <w:rPr>
                <w:rStyle w:val="Text23"/>
              </w:rPr>
              <w:t xml:space="preserve"/>
              <w:br w:clear="none"/>
            </w:r>
            <w:r>
              <w:t xml:space="preserve">c</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key</w:t>
              <w:br w:clear="none"/>
            </w:r>
            <w:r>
              <w:rPr>
                <w:rStyle w:val="Text7"/>
              </w:rPr>
              <w:t xml:space="preserve">,</w:t>
              <w:br w:clear="none"/>
            </w:r>
            <w:r>
              <w:rPr>
                <w:rStyle w:val="Text6"/>
              </w:rPr>
              <w:t xml:space="preserve"> </w:t>
              <w:br w:clear="none"/>
            </w:r>
            <w:r>
              <w:t xml:space="preserve">value</w:t>
              <w:br w:clear="none"/>
            </w:r>
            <w:r>
              <w:rPr>
                <w:rStyle w:val="Text6"/>
              </w:rPr>
              <w:t xml:space="preserve"> </w:t>
              <w:br w:clear="none"/>
            </w:r>
            <w:r>
              <w:rPr>
                <w:rStyle w:val="Text31"/>
              </w:rPr>
              <w:t xml:space="preserve">in</w:t>
              <w:br w:clear="none"/>
            </w:r>
            <w:r>
              <w:rPr>
                <w:rStyle w:val="Text6"/>
              </w:rPr>
              <w:t xml:space="preserve"> </w:t>
              <w:br w:clear="none"/>
            </w:r>
            <w:r>
              <w:t xml:space="preserve">x</w:t>
              <w:br w:clear="none"/>
            </w:r>
            <w:r>
              <w:rPr>
                <w:rStyle w:val="Text7"/>
              </w:rPr>
              <w:t xml:space="preserve">:</w:t>
              <w:br w:clear="none"/>
            </w:r>
            <w:r>
              <w:rPr>
                <w:rStyle w:val="Text6"/>
              </w:rPr>
              <w:t xml:space="preserve"/>
              <w:br w:clear="none"/>
              <w:t xml:space="preserve">    </w:t>
              <w:br w:clear="none"/>
            </w:r>
            <w:r>
              <w:t xml:space="preserve">c</w:t>
              <w:br w:clear="none"/>
            </w:r>
            <w:r>
              <w:rPr>
                <w:rStyle w:val="Text7"/>
              </w:rPr>
              <w:t xml:space="preserve">[</w:t>
              <w:br w:clear="none"/>
            </w:r>
            <w:r>
              <w:t xml:space="preserve">key</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value</w:t>
              <w:br w:clear="none"/>
            </w:r>
          </w:p>
          <w:p>
            <w:pPr>
              <w:pStyle w:val="Para 022"/>
            </w:pPr>
            <w:r>
              <w:t xml:space="preserve"> You can also call </w:t>
            </w:r>
            <w:r>
              <w:rPr>
                <w:rStyle w:val="Text0"/>
              </w:rPr>
              <w:t>dict</w:t>
            </w:r>
            <w:r>
              <w:t xml:space="preserve"> with named arguments, in addition to, or instead of, positional argument </w:t>
            </w:r>
            <w:r>
              <w:rPr>
                <w:rStyle w:val="Text3"/>
              </w:rPr>
              <w:t>x</w:t>
            </w:r>
            <w:r>
              <w:t xml:space="preserve">. Each named argument becomes an item in the dictionary, with the name as the key: each such extra item might “overwrite” an item from </w:t>
            </w:r>
            <w:r>
              <w:rPr>
                <w:rStyle w:val="Text3"/>
              </w:rPr>
              <w:t>x</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float</w:t>
            </w:r>
          </w:p>
        </w:tc>
        <w:tc>
          <w:tcPr>
            <w:tcW w:type="auto" w:w="0"/>
            <w:shd w:val="clear" w:color="auto" w:fill="EEF2F6"/>
            <w:tcMar>
              <w:left w:type="dxa" w:w="200"/>
              <w:top w:type="dxa" w:w="200"/>
              <w:right w:type="dxa" w:w="200"/>
              <w:bottom w:type="dxa" w:w="200"/>
            </w:tcMar>
          </w:tcPr>
          <w:p>
            <w:pPr>
              <w:pStyle w:val="Para 002"/>
            </w:pPr>
            <w:r>
              <w:rPr>
                <w:rStyle w:val="Text0"/>
              </w:rPr>
              <w:t>float(</w:t>
            </w:r>
            <w:r>
              <w:rPr>
                <w:rStyle w:val="Text3"/>
              </w:rPr>
              <w:t>x</w:t>
            </w:r>
            <w:r>
              <w:rPr>
                <w:rStyle w:val="Text0"/>
              </w:rPr>
              <w:t>=0.0, /)</w:t>
              <w:br w:clear="none"/>
            </w:r>
            <w:r>
              <w:t xml:space="preserve"> Converts</w:t>
            </w:r>
            <w:r>
              <w:rPr>
                <w:rStyle w:val="Text111"/>
              </w:rPr>
              <w:bookmarkStart w:id="2012" w:name="idm45965216677408"/>
              <w:t/>
              <w:bookmarkEnd w:id="2012"/>
            </w:r>
            <w:r>
              <w:t xml:space="preserve"> any number, or a suitable string, to a floating-point number. See </w:t>
            </w:r>
            <w:hyperlink w:anchor="Floating_point_numbers__A_floati">
              <w:r>
                <w:rPr>
                  <w:rStyle w:val="Text1"/>
                </w:rPr>
                <w:t>“Floating-point numbers”</w:t>
              </w:r>
            </w:hyperlink>
            <w:r>
              <w:t>.</w:t>
            </w:r>
          </w:p>
        </w:tc>
      </w:tr>
    </w:tbl>
    <w:tbl>
      <w:tblPr>
        <w:tblW w:type="auto" w:w="0"/>
      </w:tblPr>
      <w:tr>
        <w:tc>
          <w:tcPr>
            <w:tcW w:type="auto" w:w="0"/>
            <w:tcMar>
              <w:left w:type="dxa" w:w="200"/>
              <w:top w:type="dxa" w:w="200"/>
              <w:right w:type="dxa" w:w="200"/>
              <w:bottom w:type="dxa" w:w="200"/>
            </w:tcMar>
          </w:tcPr>
          <w:p>
            <w:pPr>
              <w:pStyle w:val="Para 001"/>
            </w:pPr>
            <w:r>
              <w:t>frozenset</w:t>
            </w:r>
          </w:p>
        </w:tc>
        <w:tc>
          <w:tcPr>
            <w:tcW w:type="auto" w:w="0"/>
            <w:tcMar>
              <w:left w:type="dxa" w:w="200"/>
              <w:top w:type="dxa" w:w="200"/>
              <w:right w:type="dxa" w:w="200"/>
              <w:bottom w:type="dxa" w:w="200"/>
            </w:tcMar>
          </w:tcPr>
          <w:p>
            <w:pPr>
              <w:pStyle w:val="Para 002"/>
            </w:pPr>
            <w:r>
              <w:rPr>
                <w:rStyle w:val="Text0"/>
              </w:rPr>
              <w:t>frozenset(</w:t>
            </w:r>
            <w:r>
              <w:rPr>
                <w:rStyle w:val="Text3"/>
              </w:rPr>
              <w:t>seq</w:t>
            </w:r>
            <w:r>
              <w:rPr>
                <w:rStyle w:val="Text0"/>
              </w:rPr>
              <w:t>=(), /)</w:t>
              <w:br w:clear="none"/>
            </w:r>
            <w:r>
              <w:t xml:space="preserve"> Returns</w:t>
            </w:r>
            <w:r>
              <w:rPr>
                <w:rStyle w:val="Text111"/>
              </w:rPr>
              <w:bookmarkStart w:id="2013" w:name="idm45965216649008"/>
              <w:t/>
              <w:bookmarkEnd w:id="2013"/>
            </w:r>
            <w:r>
              <w:t xml:space="preserve"> a new frozen (i.e., immutable) set object with the same items as iterable </w:t>
            </w:r>
            <w:r>
              <w:rPr>
                <w:rStyle w:val="Text3"/>
              </w:rPr>
              <w:t>seq</w:t>
            </w:r>
            <w:r>
              <w:t xml:space="preserve">. When </w:t>
            </w:r>
            <w:r>
              <w:rPr>
                <w:rStyle w:val="Text3"/>
              </w:rPr>
              <w:t>seq</w:t>
            </w:r>
            <w:r>
              <w:t xml:space="preserve"> is a frozenset, </w:t>
            </w:r>
            <w:r>
              <w:rPr>
                <w:rStyle w:val="Text0"/>
              </w:rPr>
              <w:t>frozenset(</w:t>
            </w:r>
            <w:r>
              <w:rPr>
                <w:rStyle w:val="Text3"/>
              </w:rPr>
              <w:t>seq</w:t>
            </w:r>
            <w:r>
              <w:rPr>
                <w:rStyle w:val="Text0"/>
              </w:rPr>
              <w:t>)</w:t>
            </w:r>
            <w:r>
              <w:t xml:space="preserve"> returns </w:t>
            </w:r>
            <w:r>
              <w:rPr>
                <w:rStyle w:val="Text3"/>
              </w:rPr>
              <w:t>seq</w:t>
            </w:r>
            <w:r>
              <w:t xml:space="preserve"> itself, just like </w:t>
            </w:r>
            <w:r>
              <w:rPr>
                <w:rStyle w:val="Text3"/>
              </w:rPr>
              <w:t>seq</w:t>
            </w:r>
            <w:r>
              <w:rPr>
                <w:rStyle w:val="Text0"/>
              </w:rPr>
              <w:t>.copy()</w:t>
            </w:r>
            <w:r>
              <w:t xml:space="preserve"> does. See </w:t>
            </w:r>
            <w:hyperlink w:anchor="Set_Operations__Python_provides">
              <w:r>
                <w:rPr>
                  <w:rStyle w:val="Text1"/>
                </w:rPr>
                <w:t>“Set Operations”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rPr>
                <w:rStyle w:val="Text0"/>
              </w:rPr>
              <w:t>int(</w:t>
            </w:r>
            <w:r>
              <w:rPr>
                <w:rStyle w:val="Text3"/>
              </w:rPr>
              <w:t>x</w:t>
            </w:r>
            <w:r>
              <w:rPr>
                <w:rStyle w:val="Text0"/>
              </w:rPr>
              <w:t>=0, /, base=10)</w:t>
              <w:br w:clear="none"/>
            </w:r>
            <w:r>
              <w:t xml:space="preserve"> Converts</w:t>
            </w:r>
            <w:r>
              <w:rPr>
                <w:rStyle w:val="Text111"/>
              </w:rPr>
              <w:bookmarkStart w:id="2014" w:name="idm45965216638320"/>
              <w:t/>
              <w:bookmarkEnd w:id="2014"/>
            </w:r>
            <w:r>
              <w:t xml:space="preserve"> any number, or a suitable string, to an </w:t>
            </w:r>
            <w:r>
              <w:rPr>
                <w:rStyle w:val="Text0"/>
              </w:rPr>
              <w:t>int</w:t>
            </w:r>
            <w:r>
              <w:t xml:space="preserve">. When </w:t>
            </w:r>
            <w:r>
              <w:rPr>
                <w:rStyle w:val="Text3"/>
              </w:rPr>
              <w:t>x</w:t>
            </w:r>
            <w:r>
              <w:t xml:space="preserve"> is a number, </w:t>
            </w:r>
            <w:r>
              <w:rPr>
                <w:rStyle w:val="Text0"/>
              </w:rPr>
              <w:t>int</w:t>
            </w:r>
            <w:r>
              <w:t xml:space="preserve"> truncates toward </w:t>
            </w:r>
            <w:r>
              <w:rPr>
                <w:rStyle w:val="Text0"/>
              </w:rPr>
              <w:t>0</w:t>
            </w:r>
            <w:r>
              <w:t xml:space="preserve">, “dropping” any fractional part. </w:t>
            </w:r>
            <w:r>
              <w:rPr>
                <w:rStyle w:val="Text0"/>
              </w:rPr>
              <w:t>base</w:t>
            </w:r>
            <w:r>
              <w:t xml:space="preserve"> may be present only when </w:t>
            </w:r>
            <w:r>
              <w:rPr>
                <w:rStyle w:val="Text3"/>
              </w:rPr>
              <w:t>x</w:t>
            </w:r>
            <w:r>
              <w:t xml:space="preserve"> is a string: then, </w:t>
            </w:r>
            <w:r>
              <w:rPr>
                <w:rStyle w:val="Text0"/>
              </w:rPr>
              <w:t>base</w:t>
            </w:r>
            <w:r>
              <w:t xml:space="preserve"> is the conversion base, between </w:t>
            </w:r>
            <w:r>
              <w:rPr>
                <w:rStyle w:val="Text0"/>
              </w:rPr>
              <w:t>2</w:t>
            </w:r>
            <w:r>
              <w:t xml:space="preserve"> and </w:t>
            </w:r>
            <w:r>
              <w:rPr>
                <w:rStyle w:val="Text0"/>
              </w:rPr>
              <w:t>36</w:t>
            </w:r>
            <w:r>
              <w:t xml:space="preserve">, with </w:t>
            </w:r>
            <w:r>
              <w:rPr>
                <w:rStyle w:val="Text0"/>
              </w:rPr>
              <w:t>10</w:t>
            </w:r>
            <w:r>
              <w:t xml:space="preserve"> as the default. You can explicitly pass </w:t>
            </w:r>
            <w:r>
              <w:rPr>
                <w:rStyle w:val="Text0"/>
              </w:rPr>
              <w:t>base</w:t>
            </w:r>
            <w:r>
              <w:t xml:space="preserve"> as </w:t>
            </w:r>
            <w:r>
              <w:rPr>
                <w:rStyle w:val="Text0"/>
              </w:rPr>
              <w:t>0</w:t>
            </w:r>
            <w:r>
              <w:t xml:space="preserve">: the base is then </w:t>
            </w:r>
            <w:r>
              <w:rPr>
                <w:rStyle w:val="Text0"/>
              </w:rPr>
              <w:t>2</w:t>
            </w:r>
            <w:r>
              <w:t xml:space="preserve">, </w:t>
            </w:r>
            <w:r>
              <w:rPr>
                <w:rStyle w:val="Text0"/>
              </w:rPr>
              <w:t>8</w:t>
            </w:r>
            <w:r>
              <w:t xml:space="preserve">, </w:t>
            </w:r>
            <w:r>
              <w:rPr>
                <w:rStyle w:val="Text0"/>
              </w:rPr>
              <w:t>10</w:t>
            </w:r>
            <w:r>
              <w:t xml:space="preserve">, or </w:t>
            </w:r>
            <w:r>
              <w:rPr>
                <w:rStyle w:val="Text0"/>
              </w:rPr>
              <w:t>16</w:t>
            </w:r>
            <w:r>
              <w:t xml:space="preserve">, depending on the form of string </w:t>
            </w:r>
            <w:r>
              <w:rPr>
                <w:rStyle w:val="Text3"/>
              </w:rPr>
              <w:t>x</w:t>
            </w:r>
            <w:r>
              <w:t xml:space="preserve">, just like for integer literals, as covered in </w:t>
            </w:r>
            <w:hyperlink w:anchor="Integer_numbers__Integer_literal">
              <w:r>
                <w:rPr>
                  <w:rStyle w:val="Text1"/>
                </w:rPr>
                <w:t>“Integer numbers”</w:t>
              </w:r>
            </w:hyperlink>
            <w:r>
              <w:t>.</w:t>
            </w:r>
          </w:p>
        </w:tc>
      </w:tr>
    </w:tbl>
    <w:tbl>
      <w:tblPr>
        <w:tblW w:type="auto" w:w="0"/>
      </w:tblPr>
      <w:tr>
        <w:tc>
          <w:tcPr>
            <w:tcW w:type="auto" w:w="0"/>
            <w:tcMar>
              <w:left w:type="dxa" w:w="200"/>
              <w:top w:type="dxa" w:w="200"/>
              <w:right w:type="dxa" w:w="200"/>
              <w:bottom w:type="dxa" w:w="200"/>
            </w:tcMar>
          </w:tcPr>
          <w:p>
            <w:pPr>
              <w:pStyle w:val="Para 001"/>
            </w:pPr>
            <w:r>
              <w:t>list</w:t>
            </w:r>
          </w:p>
        </w:tc>
        <w:tc>
          <w:tcPr>
            <w:tcW w:type="auto" w:w="0"/>
            <w:tcMar>
              <w:left w:type="dxa" w:w="200"/>
              <w:top w:type="dxa" w:w="200"/>
              <w:right w:type="dxa" w:w="200"/>
              <w:bottom w:type="dxa" w:w="200"/>
            </w:tcMar>
          </w:tcPr>
          <w:p>
            <w:pPr>
              <w:pStyle w:val="Para 002"/>
            </w:pPr>
            <w:r>
              <w:rPr>
                <w:rStyle w:val="Text0"/>
              </w:rPr>
              <w:t>list(</w:t>
            </w:r>
            <w:r>
              <w:rPr>
                <w:rStyle w:val="Text3"/>
              </w:rPr>
              <w:t>seq</w:t>
            </w:r>
            <w:r>
              <w:rPr>
                <w:rStyle w:val="Text0"/>
              </w:rPr>
              <w:t>=(), /)</w:t>
              <w:br w:clear="none"/>
            </w:r>
            <w:r>
              <w:t xml:space="preserve"> Returns</w:t>
            </w:r>
            <w:r>
              <w:rPr>
                <w:rStyle w:val="Text111"/>
              </w:rPr>
              <w:bookmarkStart w:id="2015" w:name="idm45965216621136"/>
              <w:t/>
              <w:bookmarkEnd w:id="2015"/>
            </w:r>
            <w:r>
              <w:t xml:space="preserve"> a new list object with the same items as iterable </w:t>
            </w:r>
            <w:r>
              <w:rPr>
                <w:rStyle w:val="Text3"/>
              </w:rPr>
              <w:t>seq</w:t>
            </w:r>
            <w:r>
              <w:t xml:space="preserve">, in the same order. When </w:t>
            </w:r>
            <w:r>
              <w:rPr>
                <w:rStyle w:val="Text3"/>
              </w:rPr>
              <w:t>seq</w:t>
            </w:r>
            <w:r>
              <w:t xml:space="preserve"> is a list, </w:t>
            </w:r>
            <w:r>
              <w:rPr>
                <w:rStyle w:val="Text0"/>
              </w:rPr>
              <w:t>list(</w:t>
            </w:r>
            <w:r>
              <w:rPr>
                <w:rStyle w:val="Text3"/>
              </w:rPr>
              <w:t>seq</w:t>
            </w:r>
            <w:r>
              <w:rPr>
                <w:rStyle w:val="Text0"/>
              </w:rPr>
              <w:t>)</w:t>
            </w:r>
            <w:r>
              <w:t xml:space="preserve"> returns a shallow copy of </w:t>
            </w:r>
            <w:r>
              <w:rPr>
                <w:rStyle w:val="Text3"/>
              </w:rPr>
              <w:t>seq</w:t>
            </w:r>
            <w:r>
              <w:t xml:space="preserve">, like </w:t>
            </w:r>
            <w:r>
              <w:rPr>
                <w:rStyle w:val="Text3"/>
              </w:rPr>
              <w:t>seq</w:t>
            </w:r>
            <w:r>
              <w:rPr>
                <w:rStyle w:val="Text0"/>
              </w:rPr>
              <w:t>[:]</w:t>
            </w:r>
            <w:r>
              <w:t xml:space="preserve">. See </w:t>
            </w:r>
            <w:hyperlink w:anchor="Lists__A_list_is_a_mutable_order">
              <w:r>
                <w:rPr>
                  <w:rStyle w:val="Text1"/>
                </w:rPr>
                <w:t>“Lists”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memoryview</w:t>
            </w:r>
          </w:p>
        </w:tc>
        <w:tc>
          <w:tcPr>
            <w:tcW w:type="auto" w:w="0"/>
            <w:shd w:val="clear" w:color="auto" w:fill="EEF2F6"/>
            <w:tcMar>
              <w:left w:type="dxa" w:w="200"/>
              <w:top w:type="dxa" w:w="200"/>
              <w:right w:type="dxa" w:w="200"/>
              <w:bottom w:type="dxa" w:w="200"/>
            </w:tcMar>
          </w:tcPr>
          <w:p>
            <w:pPr>
              <w:pStyle w:val="Para 002"/>
            </w:pPr>
            <w:r>
              <w:rPr>
                <w:rStyle w:val="Text0"/>
              </w:rPr>
              <w:t>memoryview(</w:t>
            </w:r>
            <w:r>
              <w:rPr>
                <w:rStyle w:val="Text3"/>
              </w:rPr>
              <w:t>x</w:t>
            </w:r>
            <w:r>
              <w:rPr>
                <w:rStyle w:val="Text0"/>
              </w:rPr>
              <w:t>, /)</w:t>
              <w:br w:clear="none"/>
            </w:r>
            <w:r>
              <w:t xml:space="preserve"> Returns</w:t>
            </w:r>
            <w:r>
              <w:rPr>
                <w:rStyle w:val="Text111"/>
              </w:rPr>
              <w:bookmarkStart w:id="2016" w:name="idm45965216610416"/>
              <w:t/>
              <w:bookmarkEnd w:id="2016"/>
            </w:r>
            <w:r>
              <w:t xml:space="preserve"> an object </w:t>
            </w:r>
            <w:r>
              <w:rPr>
                <w:rStyle w:val="Text3"/>
              </w:rPr>
              <w:t>m</w:t>
            </w:r>
            <w:r>
              <w:t xml:space="preserve"> “viewing” exactly the same underlying memory as </w:t>
            </w:r>
            <w:r>
              <w:rPr>
                <w:rStyle w:val="Text3"/>
              </w:rPr>
              <w:t>x</w:t>
            </w:r>
            <w:r>
              <w:t xml:space="preserve">, which must be an object supporting the </w:t>
            </w:r>
            <w:hyperlink r:id="rId291">
              <w:r>
                <w:rPr>
                  <w:rStyle w:val="Text1"/>
                </w:rPr>
                <w:t>buffer protocol</w:t>
              </w:r>
            </w:hyperlink>
            <w:r>
              <w:t xml:space="preserve"> (for example, an instance of </w:t>
            </w:r>
            <w:r>
              <w:rPr>
                <w:rStyle w:val="Text0"/>
              </w:rPr>
              <w:t>bytes</w:t>
            </w:r>
            <w:r>
              <w:t xml:space="preserve">, </w:t>
            </w:r>
            <w:r>
              <w:rPr>
                <w:rStyle w:val="Text0"/>
              </w:rPr>
              <w:t>bytearray</w:t>
            </w:r>
            <w:r>
              <w:t xml:space="preserve">, or </w:t>
            </w:r>
            <w:r>
              <w:rPr>
                <w:rStyle w:val="Text0"/>
              </w:rPr>
              <w:t>array.array</w:t>
            </w:r>
            <w:r>
              <w:t xml:space="preserve">), with items of </w:t>
            </w:r>
            <w:r>
              <w:rPr>
                <w:rStyle w:val="Text3"/>
              </w:rPr>
              <w:t>m</w:t>
            </w:r>
            <w:r>
              <w:rPr>
                <w:rStyle w:val="Text0"/>
              </w:rPr>
              <w:t>.</w:t>
              <w:t>itemsize</w:t>
            </w:r>
            <w:r>
              <w:t xml:space="preserve"> bytes each. In the normal case in which </w:t>
            </w:r>
            <w:r>
              <w:rPr>
                <w:rStyle w:val="Text3"/>
              </w:rPr>
              <w:t>m</w:t>
            </w:r>
            <w:r>
              <w:t xml:space="preserve"> is “one-dimensional” (we don’t cover the complicated case of “multidimensional” </w:t>
            </w:r>
            <w:r>
              <w:rPr>
                <w:rStyle w:val="Text0"/>
              </w:rPr>
              <w:t>memoryview</w:t>
            </w:r>
            <w:r>
              <w:t xml:space="preserve"> instances in this book), </w:t>
            </w:r>
            <w:r>
              <w:rPr>
                <w:rStyle w:val="Text0"/>
              </w:rPr>
              <w:t>len(</w:t>
            </w:r>
            <w:r>
              <w:rPr>
                <w:rStyle w:val="Text3"/>
              </w:rPr>
              <w:t>m</w:t>
            </w:r>
            <w:r>
              <w:rPr>
                <w:rStyle w:val="Text0"/>
              </w:rPr>
              <w:t>)</w:t>
            </w:r>
            <w:r>
              <w:t xml:space="preserve"> is the number of items. You can index </w:t>
            </w:r>
            <w:r>
              <w:rPr>
                <w:rStyle w:val="Text3"/>
              </w:rPr>
              <w:t>m</w:t>
            </w:r>
            <w:r>
              <w:t xml:space="preserve"> (returning </w:t>
            </w:r>
            <w:r>
              <w:rPr>
                <w:rStyle w:val="Text0"/>
              </w:rPr>
              <w:t>int</w:t>
            </w:r>
            <w:r>
              <w:t xml:space="preserve">) or slice it (returning an instance of </w:t>
            </w:r>
            <w:r>
              <w:rPr>
                <w:rStyle w:val="Text0"/>
              </w:rPr>
              <w:t>memoryview</w:t>
            </w:r>
            <w:r>
              <w:t xml:space="preserve"> “viewing” the appropriate subset of the same underlying memory). </w:t>
            </w:r>
            <w:r>
              <w:rPr>
                <w:rStyle w:val="Text3"/>
              </w:rPr>
              <w:t>m</w:t>
            </w:r>
            <w:r>
              <w:t xml:space="preserve"> is mutable when </w:t>
            </w:r>
            <w:r>
              <w:rPr>
                <w:rStyle w:val="Text3"/>
              </w:rPr>
              <w:t>x</w:t>
            </w:r>
            <w:r>
              <w:t xml:space="preserve"> is (but you can’t change </w:t>
            </w:r>
            <w:r>
              <w:rPr>
                <w:rStyle w:val="Text3"/>
              </w:rPr>
              <w:t>m</w:t>
            </w:r>
            <w:r>
              <w:t xml:space="preserve">’s size, so, when you assign to a slice, it must be from an iterable of the same length as the slice). </w:t>
            </w:r>
            <w:r>
              <w:rPr>
                <w:rStyle w:val="Text3"/>
              </w:rPr>
              <w:t>m</w:t>
            </w:r>
            <w:r>
              <w:t xml:space="preserve"> is a sequence, thus iterable, and is hashable when </w:t>
            </w:r>
            <w:r>
              <w:rPr>
                <w:rStyle w:val="Text3"/>
              </w:rPr>
              <w:t>x</w:t>
            </w:r>
            <w:r>
              <w:t xml:space="preserve"> is hashable and when </w:t>
            </w:r>
            <w:r>
              <w:rPr>
                <w:rStyle w:val="Text3"/>
              </w:rPr>
              <w:t>m</w:t>
            </w:r>
            <w:r>
              <w:rPr>
                <w:rStyle w:val="Text0"/>
              </w:rPr>
              <w:t>.</w:t>
              <w:t>itemsize</w:t>
            </w:r>
            <w:r>
              <w:t xml:space="preserve"> is one byte.</w:t>
              <w:br w:clear="none"/>
              <w:t xml:space="preserve"> </w:t>
            </w:r>
            <w:r>
              <w:rPr>
                <w:rStyle w:val="Text3"/>
              </w:rPr>
              <w:t>m</w:t>
            </w:r>
            <w:r>
              <w:t xml:space="preserve"> supplies several read-only attributes and methods; see the </w:t>
            </w:r>
            <w:hyperlink r:id="rId292">
              <w:r>
                <w:rPr>
                  <w:rStyle w:val="Text1"/>
                </w:rPr>
                <w:t>online docs</w:t>
              </w:r>
            </w:hyperlink>
            <w:r>
              <w:t xml:space="preserve"> for details. Two particularly useful methods are </w:t>
            </w:r>
            <w:r>
              <w:rPr>
                <w:rStyle w:val="Text3"/>
              </w:rPr>
              <w:t>m</w:t>
            </w:r>
            <w:r>
              <w:rPr>
                <w:rStyle w:val="Text0"/>
              </w:rPr>
              <w:t>.tobytes</w:t>
            </w:r>
            <w:r>
              <w:t xml:space="preserve"> (returns </w:t>
            </w:r>
            <w:r>
              <w:rPr>
                <w:rStyle w:val="Text3"/>
              </w:rPr>
              <w:t>m</w:t>
            </w:r>
            <w:r>
              <w:t xml:space="preserve">’s data as an instance of </w:t>
            </w:r>
            <w:r>
              <w:rPr>
                <w:rStyle w:val="Text0"/>
              </w:rPr>
              <w:t>bytes</w:t>
            </w:r>
            <w:r>
              <w:t xml:space="preserve">) and </w:t>
            </w:r>
            <w:r>
              <w:rPr>
                <w:rStyle w:val="Text3"/>
              </w:rPr>
              <w:t>m</w:t>
            </w:r>
            <w:r>
              <w:rPr>
                <w:rStyle w:val="Text0"/>
              </w:rPr>
              <w:t>.tolist</w:t>
            </w:r>
            <w:r>
              <w:t xml:space="preserve"> (returns </w:t>
            </w:r>
            <w:r>
              <w:rPr>
                <w:rStyle w:val="Text3"/>
              </w:rPr>
              <w:t>m</w:t>
            </w:r>
            <w:r>
              <w:t xml:space="preserve">’s data as a list of </w:t>
            </w:r>
            <w:r>
              <w:rPr>
                <w:rStyle w:val="Text0"/>
              </w:rPr>
              <w:t>int</w:t>
            </w:r>
            <w:r>
              <w:t>s).</w:t>
            </w:r>
          </w:p>
        </w:tc>
      </w:tr>
    </w:tbl>
    <w:tbl>
      <w:tblPr>
        <w:tblW w:type="auto" w:w="0"/>
      </w:tblPr>
      <w:tr>
        <w:tc>
          <w:tcPr>
            <w:tcW w:type="auto" w:w="0"/>
            <w:tcMar>
              <w:left w:type="dxa" w:w="200"/>
              <w:top w:type="dxa" w:w="200"/>
              <w:right w:type="dxa" w:w="200"/>
              <w:bottom w:type="dxa" w:w="200"/>
            </w:tcMar>
          </w:tcPr>
          <w:p>
            <w:pPr>
              <w:pStyle w:val="Para 001"/>
            </w:pPr>
            <w:r>
              <w:t>object</w:t>
            </w:r>
          </w:p>
        </w:tc>
        <w:tc>
          <w:tcPr>
            <w:tcW w:type="auto" w:w="0"/>
            <w:tcMar>
              <w:left w:type="dxa" w:w="200"/>
              <w:top w:type="dxa" w:w="200"/>
              <w:right w:type="dxa" w:w="200"/>
              <w:bottom w:type="dxa" w:w="200"/>
            </w:tcMar>
          </w:tcPr>
          <w:p>
            <w:pPr>
              <w:pStyle w:val="Para 002"/>
            </w:pPr>
            <w:r>
              <w:rPr>
                <w:rStyle w:val="Text0"/>
              </w:rPr>
              <w:t>object()</w:t>
              <w:br w:clear="none"/>
            </w:r>
            <w:r>
              <w:t xml:space="preserve"> Returns</w:t>
            </w:r>
            <w:r>
              <w:rPr>
                <w:rStyle w:val="Text111"/>
              </w:rPr>
              <w:bookmarkStart w:id="2017" w:name="idm45965216581136"/>
              <w:t/>
              <w:bookmarkEnd w:id="2017"/>
            </w:r>
            <w:r>
              <w:t xml:space="preserve"> a new instance of </w:t>
            </w:r>
            <w:r>
              <w:rPr>
                <w:rStyle w:val="Text0"/>
              </w:rPr>
              <w:t>object</w:t>
            </w:r>
            <w:r>
              <w:t xml:space="preserve">, the most fundamental type in Python. Instances of type </w:t>
            </w:r>
            <w:r>
              <w:rPr>
                <w:rStyle w:val="Text0"/>
              </w:rPr>
              <w:t>object</w:t>
            </w:r>
            <w:r>
              <w:t xml:space="preserve"> have no functionality: the only use of such instances is as “sentinels”—i.e., objects not equal to any distinct object. For instance, when a function takes an optional argument where </w:t>
            </w:r>
            <w:r>
              <w:rPr>
                <w:rStyle w:val="Text5"/>
              </w:rPr>
              <w:t>None</w:t>
            </w:r>
            <w:r>
              <w:t xml:space="preserve"> is a legitimate value, you can use a sentinel for the argument’s default value to indicate that the argument was omitted: </w:t>
            </w:r>
          </w:p>
          <w:p>
            <w:pPr>
              <w:pStyle w:val="Para 025"/>
            </w:pPr>
            <w:r>
              <w:rPr>
                <w:rStyle w:val="Text23"/>
              </w:rPr>
              <w:t xml:space="preserve"/>
              <w:br w:clear="none"/>
            </w:r>
            <w:r>
              <w:t xml:space="preserve">MISSING</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object</w:t>
              <w:br w:clear="none"/>
            </w:r>
            <w:r>
              <w:rPr>
                <w:rStyle w:val="Text7"/>
              </w:rPr>
              <w:t xml:space="preserve">(</w:t>
              <w:br w:clear="none"/>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check_for_none</w:t>
              <w:br w:clear="none"/>
            </w:r>
            <w:r>
              <w:rPr>
                <w:rStyle w:val="Text7"/>
              </w:rPr>
              <w:t xml:space="preserve">(</w:t>
              <w:br w:clear="none"/>
            </w:r>
            <w:r>
              <w:t xml:space="preserve">obj</w:t>
              <w:br w:clear="none"/>
            </w:r>
            <w:r>
              <w:rPr>
                <w:rStyle w:val="Text13"/>
              </w:rPr>
              <w:t xml:space="preserve">=</w:t>
              <w:br w:clear="none"/>
            </w:r>
            <w:r>
              <w:t xml:space="preserve">MISSING</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obj</w:t>
              <w:br w:clear="none"/>
            </w:r>
            <w:r>
              <w:rPr>
                <w:rStyle w:val="Text6"/>
              </w:rPr>
              <w:t xml:space="preserve"> </w:t>
              <w:br w:clear="none"/>
            </w:r>
            <w:r>
              <w:rPr>
                <w:rStyle w:val="Text31"/>
              </w:rPr>
              <w:t xml:space="preserve">is</w:t>
              <w:br w:clear="none"/>
            </w:r>
            <w:r>
              <w:rPr>
                <w:rStyle w:val="Text6"/>
              </w:rPr>
              <w:t xml:space="preserve"> </w:t>
              <w:br w:clear="none"/>
            </w:r>
            <w:r>
              <w:t xml:space="preserve">MISSING</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3"/>
              </w:rPr>
              <w:t xml:space="preserve">-</w:t>
              <w:br w:clear="none"/>
            </w:r>
            <w:r>
              <w:rPr>
                <w:rStyle w:val="Text27"/>
              </w:rPr>
              <w:t xml:space="preserve">1</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27"/>
              </w:rPr>
              <w:t xml:space="preserve">0</w:t>
              <w:br w:clear="none"/>
            </w:r>
            <w:r>
              <w:rPr>
                <w:rStyle w:val="Text6"/>
              </w:rPr>
              <w:t xml:space="preserve"> </w:t>
              <w:br w:clear="none"/>
            </w:r>
            <w:r>
              <w:rPr>
                <w:rStyle w:val="Text10"/>
              </w:rPr>
              <w:t xml:space="preserve">if</w:t>
              <w:br w:clear="none"/>
            </w:r>
            <w:r>
              <w:rPr>
                <w:rStyle w:val="Text6"/>
              </w:rPr>
              <w:t xml:space="preserve"> </w:t>
              <w:br w:clear="none"/>
            </w:r>
            <w:r>
              <w:t xml:space="preserve">obj</w:t>
              <w:br w:clear="none"/>
            </w:r>
            <w:r>
              <w:rPr>
                <w:rStyle w:val="Text6"/>
              </w:rPr>
              <w:t xml:space="preserve"> </w:t>
              <w:br w:clear="none"/>
            </w:r>
            <w:r>
              <w:rPr>
                <w:rStyle w:val="Text31"/>
              </w:rPr>
              <w:t xml:space="preserve">is</w:t>
              <w:br w:clear="none"/>
            </w:r>
            <w:r>
              <w:rPr>
                <w:rStyle w:val="Text6"/>
              </w:rPr>
              <w:t xml:space="preserve"> </w:t>
              <w:br w:clear="none"/>
            </w:r>
            <w:r>
              <w:rPr>
                <w:rStyle w:val="Text10"/>
              </w:rPr>
              <w:t xml:space="preserve">None</w:t>
              <w:br w:clear="none"/>
            </w:r>
            <w:r>
              <w:rPr>
                <w:rStyle w:val="Text6"/>
              </w:rPr>
              <w:t xml:space="preserve"> </w:t>
              <w:br w:clear="none"/>
            </w:r>
            <w:r>
              <w:rPr>
                <w:rStyle w:val="Text10"/>
              </w:rPr>
              <w:t xml:space="preserve">else</w:t>
              <w:br w:clear="none"/>
            </w:r>
            <w:r>
              <w:rPr>
                <w:rStyle w:val="Text6"/>
              </w:rPr>
              <w:t xml:space="preserve"> </w:t>
              <w:br w:clear="none"/>
            </w:r>
            <w:r>
              <w:rPr>
                <w:rStyle w:val="Text27"/>
              </w:rPr>
              <w:t xml:space="preserve">1</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set</w:t>
            </w:r>
          </w:p>
        </w:tc>
        <w:tc>
          <w:tcPr>
            <w:tcW w:type="auto" w:w="0"/>
            <w:shd w:val="clear" w:color="auto" w:fill="EEF2F6"/>
            <w:tcMar>
              <w:left w:type="dxa" w:w="200"/>
              <w:top w:type="dxa" w:w="200"/>
              <w:right w:type="dxa" w:w="200"/>
              <w:bottom w:type="dxa" w:w="200"/>
            </w:tcMar>
          </w:tcPr>
          <w:p>
            <w:pPr>
              <w:pStyle w:val="Para 002"/>
            </w:pPr>
            <w:r>
              <w:rPr>
                <w:rStyle w:val="Text0"/>
              </w:rPr>
              <w:t>set(</w:t>
            </w:r>
            <w:r>
              <w:rPr>
                <w:rStyle w:val="Text3"/>
              </w:rPr>
              <w:t>seq</w:t>
            </w:r>
            <w:r>
              <w:rPr>
                <w:rStyle w:val="Text0"/>
              </w:rPr>
              <w:t>=(), /)</w:t>
              <w:br w:clear="none"/>
            </w:r>
            <w:r>
              <w:t xml:space="preserve"> Returns</w:t>
            </w:r>
            <w:r>
              <w:rPr>
                <w:rStyle w:val="Text111"/>
              </w:rPr>
              <w:bookmarkStart w:id="2018" w:name="idm45965216535952"/>
              <w:t/>
              <w:bookmarkEnd w:id="2018"/>
            </w:r>
            <w:r>
              <w:t xml:space="preserve"> a new mutable set object with the same items as iterable </w:t>
            </w:r>
            <w:r>
              <w:rPr>
                <w:rStyle w:val="Text3"/>
              </w:rPr>
              <w:t>seq</w:t>
            </w:r>
            <w:r>
              <w:t xml:space="preserve">. When </w:t>
            </w:r>
            <w:r>
              <w:rPr>
                <w:rStyle w:val="Text3"/>
              </w:rPr>
              <w:t>seq</w:t>
            </w:r>
            <w:r>
              <w:t xml:space="preserve"> is a set, </w:t>
            </w:r>
            <w:r>
              <w:rPr>
                <w:rStyle w:val="Text0"/>
              </w:rPr>
              <w:t>set(</w:t>
            </w:r>
            <w:r>
              <w:rPr>
                <w:rStyle w:val="Text3"/>
              </w:rPr>
              <w:t>seq</w:t>
            </w:r>
            <w:r>
              <w:rPr>
                <w:rStyle w:val="Text0"/>
              </w:rPr>
              <w:t>)</w:t>
            </w:r>
            <w:r>
              <w:t xml:space="preserve"> returns a shallow copy of </w:t>
            </w:r>
            <w:r>
              <w:rPr>
                <w:rStyle w:val="Text3"/>
              </w:rPr>
              <w:t>seq</w:t>
            </w:r>
            <w:r>
              <w:t xml:space="preserve">, like </w:t>
            </w:r>
            <w:r>
              <w:rPr>
                <w:rStyle w:val="Text3"/>
              </w:rPr>
              <w:t>seq</w:t>
            </w:r>
            <w:r>
              <w:rPr>
                <w:rStyle w:val="Text0"/>
              </w:rPr>
              <w:t>.copy()</w:t>
            </w:r>
            <w:r>
              <w:t xml:space="preserve">. See </w:t>
            </w:r>
            <w:hyperlink w:anchor="Sets__Python_has_two_built_in_se">
              <w:r>
                <w:rPr>
                  <w:rStyle w:val="Text1"/>
                </w:rPr>
                <w:t>“Sets”</w:t>
              </w:r>
            </w:hyperlink>
            <w:r>
              <w:t>.</w:t>
            </w:r>
          </w:p>
        </w:tc>
      </w:tr>
    </w:tbl>
    <w:tbl>
      <w:tblPr>
        <w:tblW w:type="auto" w:w="0"/>
      </w:tblPr>
      <w:tr>
        <w:tc>
          <w:tcPr>
            <w:tcW w:type="auto" w:w="0"/>
            <w:tcMar>
              <w:left w:type="dxa" w:w="200"/>
              <w:top w:type="dxa" w:w="200"/>
              <w:right w:type="dxa" w:w="200"/>
              <w:bottom w:type="dxa" w:w="200"/>
            </w:tcMar>
          </w:tcPr>
          <w:p>
            <w:pPr>
              <w:pStyle w:val="Para 001"/>
            </w:pPr>
            <w:r>
              <w:t>slice</w:t>
            </w:r>
          </w:p>
        </w:tc>
        <w:tc>
          <w:tcPr>
            <w:tcW w:type="auto" w:w="0"/>
            <w:tcMar>
              <w:left w:type="dxa" w:w="200"/>
              <w:top w:type="dxa" w:w="200"/>
              <w:right w:type="dxa" w:w="200"/>
              <w:bottom w:type="dxa" w:w="200"/>
            </w:tcMar>
          </w:tcPr>
          <w:p>
            <w:pPr>
              <w:pStyle w:val="Para 002"/>
            </w:pPr>
            <w:r>
              <w:rPr>
                <w:rStyle w:val="Text0"/>
              </w:rPr>
              <w:t>slice([start, ]stop[, step], /)</w:t>
              <w:br w:clear="none"/>
            </w:r>
            <w:r>
              <w:t xml:space="preserve"> Returns</w:t>
            </w:r>
            <w:r>
              <w:rPr>
                <w:rStyle w:val="Text111"/>
              </w:rPr>
              <w:bookmarkStart w:id="2019" w:name="idm45965216499488"/>
              <w:t/>
              <w:bookmarkEnd w:id="2019"/>
            </w:r>
            <w:r>
              <w:t xml:space="preserve"> a slice object with the read-only attributes </w:t>
            </w:r>
            <w:r>
              <w:rPr>
                <w:rStyle w:val="Text0"/>
              </w:rPr>
              <w:t>start</w:t>
            </w:r>
            <w:r>
              <w:t xml:space="preserve">, </w:t>
            </w:r>
            <w:r>
              <w:rPr>
                <w:rStyle w:val="Text0"/>
              </w:rPr>
              <w:t>stop</w:t>
            </w:r>
            <w:r>
              <w:t xml:space="preserve">, and </w:t>
            </w:r>
            <w:r>
              <w:rPr>
                <w:rStyle w:val="Text0"/>
              </w:rPr>
              <w:t>step</w:t>
            </w:r>
            <w:r>
              <w:t xml:space="preserve"> bound to the respective argument values, each defaulting to </w:t>
            </w:r>
            <w:r>
              <w:rPr>
                <w:rStyle w:val="Text5"/>
              </w:rPr>
              <w:t>None</w:t>
            </w:r>
            <w:r>
              <w:t xml:space="preserve"> when missing. For positive indices, such a slice signifies the same indices as </w:t>
            </w:r>
            <w:r>
              <w:rPr>
                <w:rStyle w:val="Text0"/>
              </w:rPr>
              <w:t>range(start</w:t>
            </w:r>
            <w:r>
              <w:t xml:space="preserve">, </w:t>
            </w:r>
            <w:r>
              <w:rPr>
                <w:rStyle w:val="Text0"/>
              </w:rPr>
              <w:t>stop</w:t>
            </w:r>
            <w:r>
              <w:t xml:space="preserve">, </w:t>
            </w:r>
            <w:r>
              <w:rPr>
                <w:rStyle w:val="Text0"/>
              </w:rPr>
              <w:t>step)</w:t>
            </w:r>
            <w:r>
              <w:t xml:space="preserve">. Slicing syntax, </w:t>
            </w:r>
            <w:r>
              <w:rPr>
                <w:rStyle w:val="Text3"/>
              </w:rPr>
              <w:t>obj</w:t>
            </w:r>
            <w:r>
              <w:rPr>
                <w:rStyle w:val="Text0"/>
              </w:rPr>
              <w:t>[start:stop:step]</w:t>
            </w:r>
            <w:r>
              <w:t xml:space="preserve">, passes a slice object as the argument to the </w:t>
            </w:r>
            <w:r>
              <w:rPr>
                <w:rStyle w:val="Text0"/>
              </w:rPr>
              <w:t>__getitem__</w:t>
            </w:r>
            <w:r>
              <w:t xml:space="preserve">, </w:t>
            </w:r>
            <w:r>
              <w:rPr>
                <w:rStyle w:val="Text0"/>
              </w:rPr>
              <w:t>__setitem__</w:t>
            </w:r>
            <w:r>
              <w:t xml:space="preserve">, or </w:t>
            </w:r>
            <w:r>
              <w:rPr>
                <w:rStyle w:val="Text0"/>
              </w:rPr>
              <w:t>__delitem__</w:t>
            </w:r>
            <w:r>
              <w:t xml:space="preserve"> method of object </w:t>
            </w:r>
            <w:r>
              <w:rPr>
                <w:rStyle w:val="Text3"/>
              </w:rPr>
              <w:t>obj</w:t>
            </w:r>
            <w:r>
              <w:t xml:space="preserve">. It is up to </w:t>
            </w:r>
            <w:r>
              <w:rPr>
                <w:rStyle w:val="Text3"/>
              </w:rPr>
              <w:t>obj</w:t>
            </w:r>
            <w:r>
              <w:t xml:space="preserve">’s class to interpret the slices that its methods receive. See also </w:t>
            </w:r>
            <w:hyperlink w:anchor="Container_slicing__When_you_refe">
              <w:r>
                <w:rPr>
                  <w:rStyle w:val="Text1"/>
                </w:rPr>
                <w:t>“Container slicing”</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str</w:t>
            </w:r>
          </w:p>
        </w:tc>
        <w:tc>
          <w:tcPr>
            <w:tcW w:type="auto" w:w="0"/>
            <w:shd w:val="clear" w:color="auto" w:fill="EEF2F6"/>
            <w:tcMar>
              <w:left w:type="dxa" w:w="200"/>
              <w:top w:type="dxa" w:w="200"/>
              <w:right w:type="dxa" w:w="200"/>
              <w:bottom w:type="dxa" w:w="200"/>
            </w:tcMar>
          </w:tcPr>
          <w:p>
            <w:pPr>
              <w:pStyle w:val="Para 002"/>
            </w:pPr>
            <w:r>
              <w:rPr>
                <w:rStyle w:val="Text0"/>
              </w:rPr>
              <w:t>str(</w:t>
            </w:r>
            <w:r>
              <w:rPr>
                <w:rStyle w:val="Text3"/>
              </w:rPr>
              <w:t>obj</w:t>
            </w:r>
            <w:r>
              <w:rPr>
                <w:rStyle w:val="Text0"/>
              </w:rPr>
              <w:t>='', /)</w:t>
              <w:br w:clear="none"/>
            </w:r>
            <w:r>
              <w:t xml:space="preserve"> Returns</w:t>
            </w:r>
            <w:r>
              <w:rPr>
                <w:rStyle w:val="Text111"/>
              </w:rPr>
              <w:bookmarkStart w:id="2020" w:name="idm45965216484352"/>
              <w:t/>
              <w:bookmarkEnd w:id="2020"/>
            </w:r>
            <w:r>
              <w:t xml:space="preserve"> a concise, readable string representation of </w:t>
            </w:r>
            <w:r>
              <w:rPr>
                <w:rStyle w:val="Text3"/>
              </w:rPr>
              <w:t>obj</w:t>
            </w:r>
            <w:r>
              <w:t xml:space="preserve">. If </w:t>
            </w:r>
            <w:r>
              <w:rPr>
                <w:rStyle w:val="Text3"/>
              </w:rPr>
              <w:t>obj</w:t>
            </w:r>
            <w:r>
              <w:t xml:space="preserve"> is a string, </w:t>
            </w:r>
            <w:r>
              <w:rPr>
                <w:rStyle w:val="Text0"/>
              </w:rPr>
              <w:t>str</w:t>
            </w:r>
            <w:r>
              <w:t xml:space="preserve"> returns </w:t>
            </w:r>
            <w:r>
              <w:rPr>
                <w:rStyle w:val="Text3"/>
              </w:rPr>
              <w:t>obj</w:t>
            </w:r>
            <w:r>
              <w:t xml:space="preserve">. See also </w:t>
            </w:r>
            <w:r>
              <w:rPr>
                <w:rStyle w:val="Text0"/>
              </w:rPr>
              <w:t>repr</w:t>
            </w:r>
            <w:r>
              <w:t xml:space="preserve"> in </w:t>
            </w:r>
            <w:hyperlink w:anchor="Table_8_2__Python_s_core_built_i">
              <w:r>
                <w:rPr>
                  <w:rStyle w:val="Text1"/>
                </w:rPr>
                <w:t>Table 8-2</w:t>
              </w:r>
            </w:hyperlink>
            <w:r>
              <w:t xml:space="preserve"> and </w:t>
            </w:r>
            <w:r>
              <w:rPr>
                <w:rStyle w:val="Text0"/>
              </w:rPr>
              <w:t>__str__</w:t>
            </w:r>
            <w:r>
              <w:t xml:space="preserve"> in </w:t>
            </w:r>
            <w:hyperlink w:anchor="Table_4_1__General_purpose_speci">
              <w:r>
                <w:rPr>
                  <w:rStyle w:val="Text1"/>
                </w:rPr>
                <w:t>Table 4-1</w:t>
              </w:r>
            </w:hyperlink>
            <w:r>
              <w:t>.</w:t>
            </w:r>
          </w:p>
        </w:tc>
      </w:tr>
    </w:tbl>
    <w:tbl>
      <w:tblPr>
        <w:tblW w:type="auto" w:w="0"/>
      </w:tblPr>
      <w:tr>
        <w:tc>
          <w:tcPr>
            <w:tcW w:type="auto" w:w="0"/>
            <w:tcMar>
              <w:left w:type="dxa" w:w="200"/>
              <w:top w:type="dxa" w:w="200"/>
              <w:right w:type="dxa" w:w="200"/>
              <w:bottom w:type="dxa" w:w="200"/>
            </w:tcMar>
          </w:tcPr>
          <w:p>
            <w:pPr>
              <w:pStyle w:val="Para 001"/>
            </w:pPr>
            <w:r>
              <w:t>super</w:t>
            </w:r>
          </w:p>
        </w:tc>
        <w:tc>
          <w:tcPr>
            <w:tcW w:type="auto" w:w="0"/>
            <w:tcMar>
              <w:left w:type="dxa" w:w="200"/>
              <w:top w:type="dxa" w:w="200"/>
              <w:right w:type="dxa" w:w="200"/>
              <w:bottom w:type="dxa" w:w="200"/>
            </w:tcMar>
          </w:tcPr>
          <w:p>
            <w:pPr>
              <w:pStyle w:val="Para 002"/>
            </w:pPr>
            <w:r>
              <w:rPr>
                <w:rStyle w:val="Text0"/>
              </w:rPr>
              <w:t>super()</w:t>
            </w:r>
            <w:r>
              <w:t>,</w:t>
            </w:r>
            <w:r>
              <w:rPr>
                <w:rStyle w:val="Text0"/>
              </w:rPr>
              <w:t xml:space="preserve"> super(</w:t>
            </w:r>
            <w:r>
              <w:rPr>
                <w:rStyle w:val="Text3"/>
              </w:rPr>
              <w:t>cls</w:t>
            </w:r>
            <w:r>
              <w:rPr>
                <w:rStyle w:val="Text0"/>
              </w:rPr>
              <w:t>,</w:t>
            </w:r>
            <w:r>
              <w:t xml:space="preserve"> </w:t>
            </w:r>
            <w:r>
              <w:rPr>
                <w:rStyle w:val="Text3"/>
              </w:rPr>
              <w:t>obj</w:t>
            </w:r>
            <w:r>
              <w:rPr>
                <w:rStyle w:val="Text0"/>
              </w:rPr>
              <w:t>, /)</w:t>
              <w:br w:clear="none"/>
            </w:r>
            <w:r>
              <w:t xml:space="preserve"> Returns</w:t>
            </w:r>
            <w:r>
              <w:rPr>
                <w:rStyle w:val="Text111"/>
              </w:rPr>
              <w:bookmarkStart w:id="2021" w:name="idm45965216471280"/>
              <w:t/>
              <w:bookmarkEnd w:id="2021"/>
            </w:r>
            <w:r>
              <w:t xml:space="preserve"> a superobject of object </w:t>
            </w:r>
            <w:r>
              <w:rPr>
                <w:rStyle w:val="Text3"/>
              </w:rPr>
              <w:t>obj</w:t>
            </w:r>
            <w:r>
              <w:t xml:space="preserve"> (which must be an instance of class </w:t>
            </w:r>
            <w:r>
              <w:rPr>
                <w:rStyle w:val="Text3"/>
              </w:rPr>
              <w:t>cls</w:t>
            </w:r>
            <w:r>
              <w:t xml:space="preserve"> or of any subclass of </w:t>
            </w:r>
            <w:r>
              <w:rPr>
                <w:rStyle w:val="Text3"/>
              </w:rPr>
              <w:t>cls</w:t>
            </w:r>
            <w:r>
              <w:t xml:space="preserve">), suitable for calling superclass methods. Instantiate this built-in type only within a method’s code. The </w:t>
            </w:r>
            <w:r>
              <w:rPr>
                <w:rStyle w:val="Text0"/>
              </w:rPr>
              <w:t xml:space="preserve"> super(</w:t>
            </w:r>
            <w:r>
              <w:rPr>
                <w:rStyle w:val="Text3"/>
              </w:rPr>
              <w:t>cls</w:t>
            </w:r>
            <w:r>
              <w:rPr>
                <w:rStyle w:val="Text0"/>
              </w:rPr>
              <w:t>,</w:t>
            </w:r>
            <w:r>
              <w:t xml:space="preserve"> </w:t>
            </w:r>
            <w:r>
              <w:rPr>
                <w:rStyle w:val="Text3"/>
              </w:rPr>
              <w:t>obj</w:t>
            </w:r>
            <w:r>
              <w:rPr>
                <w:rStyle w:val="Text0"/>
              </w:rPr>
              <w:t>)</w:t>
            </w:r>
            <w:r>
              <w:t xml:space="preserve"> syntax is a legacy form from Python 2 that has been retained for compatibility. In new code, you usually call </w:t>
            </w:r>
            <w:r>
              <w:rPr>
                <w:rStyle w:val="Text0"/>
              </w:rPr>
              <w:t>super()</w:t>
            </w:r>
            <w:r>
              <w:t xml:space="preserve"> without arguments, within a method, and Python determines the </w:t>
            </w:r>
            <w:r>
              <w:rPr>
                <w:rStyle w:val="Text3"/>
              </w:rPr>
              <w:t>cls</w:t>
            </w:r>
            <w:r>
              <w:t xml:space="preserve"> and </w:t>
            </w:r>
            <w:r>
              <w:rPr>
                <w:rStyle w:val="Text3"/>
              </w:rPr>
              <w:t>obj</w:t>
            </w:r>
            <w:r>
              <w:t xml:space="preserve"> by introspection (as </w:t>
            </w:r>
            <w:r>
              <w:rPr>
                <w:rStyle w:val="Text0"/>
              </w:rPr>
              <w:t>type(self)</w:t>
            </w:r>
            <w:r>
              <w:t xml:space="preserve"> and </w:t>
            </w:r>
            <w:r>
              <w:rPr>
                <w:rStyle w:val="Text0"/>
              </w:rPr>
              <w:t>self</w:t>
            </w:r>
            <w:r>
              <w:t xml:space="preserve">, respectively). See </w:t>
            </w:r>
            <w:hyperlink w:anchor="Cooperative_superclass_method_ca">
              <w:r>
                <w:rPr>
                  <w:rStyle w:val="Text1"/>
                </w:rPr>
                <w:t>“Cooperative superclass method calling”</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tuple</w:t>
            </w:r>
          </w:p>
        </w:tc>
        <w:tc>
          <w:tcPr>
            <w:tcW w:type="auto" w:w="0"/>
            <w:shd w:val="clear" w:color="auto" w:fill="EEF2F6"/>
            <w:tcMar>
              <w:left w:type="dxa" w:w="200"/>
              <w:top w:type="dxa" w:w="200"/>
              <w:right w:type="dxa" w:w="200"/>
              <w:bottom w:type="dxa" w:w="200"/>
            </w:tcMar>
          </w:tcPr>
          <w:p>
            <w:pPr>
              <w:pStyle w:val="Para 002"/>
            </w:pPr>
            <w:r>
              <w:rPr>
                <w:rStyle w:val="Text0"/>
              </w:rPr>
              <w:t>tuple(</w:t>
            </w:r>
            <w:r>
              <w:rPr>
                <w:rStyle w:val="Text3"/>
              </w:rPr>
              <w:t>seq</w:t>
            </w:r>
            <w:r>
              <w:rPr>
                <w:rStyle w:val="Text0"/>
              </w:rPr>
              <w:t>=(), /)</w:t>
              <w:br w:clear="none"/>
            </w:r>
            <w:r>
              <w:t xml:space="preserve"> Returns</w:t>
            </w:r>
            <w:r>
              <w:rPr>
                <w:rStyle w:val="Text111"/>
              </w:rPr>
              <w:bookmarkStart w:id="2022" w:name="idm45965216457200"/>
              <w:t/>
              <w:bookmarkEnd w:id="2022"/>
            </w:r>
            <w:r>
              <w:t xml:space="preserve"> a tuple with the same items as iterable </w:t>
            </w:r>
            <w:r>
              <w:rPr>
                <w:rStyle w:val="Text3"/>
              </w:rPr>
              <w:t>seq</w:t>
            </w:r>
            <w:r>
              <w:t xml:space="preserve">, in order. When </w:t>
            </w:r>
            <w:r>
              <w:rPr>
                <w:rStyle w:val="Text3"/>
              </w:rPr>
              <w:t>seq</w:t>
            </w:r>
            <w:r>
              <w:t xml:space="preserve"> is a tuple, </w:t>
            </w:r>
            <w:r>
              <w:rPr>
                <w:rStyle w:val="Text0"/>
              </w:rPr>
              <w:t>tuple</w:t>
            </w:r>
            <w:r>
              <w:t xml:space="preserve"> returns </w:t>
            </w:r>
            <w:r>
              <w:rPr>
                <w:rStyle w:val="Text3"/>
              </w:rPr>
              <w:t>seq</w:t>
            </w:r>
            <w:r>
              <w:t xml:space="preserve"> itself, like </w:t>
            </w:r>
            <w:r>
              <w:rPr>
                <w:rStyle w:val="Text3"/>
              </w:rPr>
              <w:t>seq</w:t>
            </w:r>
            <w:r>
              <w:rPr>
                <w:rStyle w:val="Text0"/>
              </w:rPr>
              <w:t>[:]</w:t>
            </w:r>
            <w:r>
              <w:t xml:space="preserve">. See </w:t>
            </w:r>
            <w:hyperlink w:anchor="Tuples__A_tuple_is_an_immutable">
              <w:r>
                <w:rPr>
                  <w:rStyle w:val="Text1"/>
                </w:rPr>
                <w:t>“Tuples”</w:t>
              </w:r>
            </w:hyperlink>
            <w:r>
              <w:t>.</w:t>
            </w:r>
          </w:p>
        </w:tc>
      </w:tr>
    </w:tbl>
    <w:tbl>
      <w:tblPr>
        <w:tblW w:type="auto" w:w="0"/>
      </w:tblPr>
      <w:tr>
        <w:tc>
          <w:tcPr>
            <w:tcW w:type="auto" w:w="0"/>
            <w:tcMar>
              <w:left w:type="dxa" w:w="200"/>
              <w:top w:type="dxa" w:w="200"/>
              <w:right w:type="dxa" w:w="200"/>
              <w:bottom w:type="dxa" w:w="200"/>
            </w:tcMar>
          </w:tcPr>
          <w:p>
            <w:pPr>
              <w:pStyle w:val="Para 001"/>
            </w:pPr>
            <w:r>
              <w:t>type</w:t>
            </w:r>
          </w:p>
        </w:tc>
        <w:tc>
          <w:tcPr>
            <w:tcW w:type="auto" w:w="0"/>
            <w:tcMar>
              <w:left w:type="dxa" w:w="200"/>
              <w:top w:type="dxa" w:w="200"/>
              <w:right w:type="dxa" w:w="200"/>
              <w:bottom w:type="dxa" w:w="200"/>
            </w:tcMar>
          </w:tcPr>
          <w:p>
            <w:pPr>
              <w:pStyle w:val="Para 002"/>
            </w:pPr>
            <w:r>
              <w:rPr>
                <w:rStyle w:val="Text0"/>
              </w:rPr>
              <w:t>type(</w:t>
            </w:r>
            <w:r>
              <w:rPr>
                <w:rStyle w:val="Text3"/>
              </w:rPr>
              <w:t>obj</w:t>
            </w:r>
            <w:r>
              <w:rPr>
                <w:rStyle w:val="Text0"/>
              </w:rPr>
              <w:t>, /)</w:t>
              <w:br w:clear="none"/>
            </w:r>
            <w:r>
              <w:t xml:space="preserve"> Returns</w:t>
            </w:r>
            <w:r>
              <w:rPr>
                <w:rStyle w:val="Text111"/>
              </w:rPr>
              <w:bookmarkStart w:id="2023" w:name="idm45965216447184"/>
              <w:t/>
              <w:bookmarkEnd w:id="2023"/>
            </w:r>
            <w:r>
              <w:t xml:space="preserve"> the type object that is the type of </w:t>
            </w:r>
            <w:r>
              <w:rPr>
                <w:rStyle w:val="Text3"/>
              </w:rPr>
              <w:t>obj</w:t>
            </w:r>
            <w:r>
              <w:t xml:space="preserve"> (i.e., the most-derived, aka </w:t>
            </w:r>
            <w:r>
              <w:rPr>
                <w:rStyle w:val="Text4"/>
              </w:rPr>
              <w:t>leafmost</w:t>
            </w:r>
            <w:r>
              <w:t xml:space="preserve">, type of which </w:t>
            </w:r>
            <w:r>
              <w:rPr>
                <w:rStyle w:val="Text3"/>
              </w:rPr>
              <w:t>obj</w:t>
            </w:r>
            <w:r>
              <w:t xml:space="preserve"> is an instance). </w:t>
            </w:r>
            <w:r>
              <w:rPr>
                <w:rStyle w:val="Text0"/>
              </w:rPr>
              <w:t>type(</w:t>
            </w:r>
            <w:r>
              <w:rPr>
                <w:rStyle w:val="Text3"/>
              </w:rPr>
              <w:t>x</w:t>
            </w:r>
            <w:r>
              <w:rPr>
                <w:rStyle w:val="Text0"/>
              </w:rPr>
              <w:t>)</w:t>
            </w:r>
            <w:r>
              <w:t xml:space="preserve"> is the same as </w:t>
            </w:r>
            <w:r>
              <w:rPr>
                <w:rStyle w:val="Text3"/>
              </w:rPr>
              <w:t>x</w:t>
            </w:r>
            <w:r>
              <w:rPr>
                <w:rStyle w:val="Text0"/>
              </w:rPr>
              <w:t>.__class__</w:t>
            </w:r>
            <w:r>
              <w:t xml:space="preserve"> for any </w:t>
            </w:r>
            <w:r>
              <w:rPr>
                <w:rStyle w:val="Text3"/>
              </w:rPr>
              <w:t>x</w:t>
            </w:r>
            <w:r>
              <w:t xml:space="preserve">. Avoid checking equality or identity of types (see the following warning for details). This function is commonly used for debugging; for example, when value </w:t>
            </w:r>
            <w:r>
              <w:rPr>
                <w:rStyle w:val="Text3"/>
              </w:rPr>
              <w:t>x</w:t>
            </w:r>
            <w:r>
              <w:t xml:space="preserve"> does not behave as expected, inserting </w:t>
            </w:r>
            <w:r>
              <w:rPr>
                <w:rStyle w:val="Text0"/>
              </w:rPr>
              <w:t>print(type(</w:t>
            </w:r>
            <w:r>
              <w:rPr>
                <w:rStyle w:val="Text3"/>
              </w:rPr>
              <w:t>x</w:t>
            </w:r>
            <w:r>
              <w:rPr>
                <w:rStyle w:val="Text0"/>
              </w:rPr>
              <w:t>),</w:t>
            </w:r>
            <w:r>
              <w:t xml:space="preserve"> </w:t>
            </w:r>
            <w:r>
              <w:rPr>
                <w:rStyle w:val="Text3"/>
              </w:rPr>
              <w:t>x</w:t>
            </w:r>
            <w:r>
              <w:rPr>
                <w:rStyle w:val="Text0"/>
              </w:rPr>
              <w:t>)</w:t>
            </w:r>
            <w:r>
              <w:t xml:space="preserve">. It can also be used to dynamically create classes at runtime, as described in </w:t>
            </w:r>
            <w:hyperlink w:anchor="Chapter_4__Object_Oriented_Pytho_2">
              <w:r>
                <w:rPr>
                  <w:rStyle w:val="Text1"/>
                </w:rPr>
                <w:t>Chapter 4</w:t>
              </w:r>
            </w:hyperlink>
            <w:r>
              <w:t>.</w:t>
            </w:r>
          </w:p>
        </w:tc>
      </w:tr>
    </w:tbl>
    <w:p>
      <w:bookmarkStart w:id="2024" w:name="Type_Equality_Checking__Avoid_It"/>
      <w:pPr>
        <w:keepNext/>
        <w:pStyle w:val="Heading 5"/>
        <w:keepLines w:val="on"/>
      </w:pPr>
      <w:r>
        <w:t>Type Equality Checking: Avoid It!</w:t>
      </w:r>
      <w:bookmarkEnd w:id="2024"/>
    </w:p>
    <w:p>
      <w:pPr>
        <w:pStyle w:val="Para 012"/>
        <w:keepLines w:val="on"/>
      </w:pPr>
      <w:r>
        <w:t>Use</w:t>
      </w:r>
      <w:r>
        <w:rPr>
          <w:rStyle w:val="Text111"/>
        </w:rPr>
        <w:bookmarkStart w:id="2025" w:name="idm45965216434832"/>
        <w:t/>
        <w:bookmarkEnd w:id="2025"/>
        <w:bookmarkStart w:id="2026" w:name="idm45965216433312"/>
        <w:t/>
        <w:bookmarkEnd w:id="2026"/>
        <w:bookmarkStart w:id="2027" w:name="idm45965216432208"/>
        <w:t/>
        <w:bookmarkEnd w:id="2027"/>
      </w:r>
      <w:r>
        <w:t xml:space="preserve"> </w:t>
      </w:r>
      <w:r>
        <w:rPr>
          <w:rStyle w:val="Text0"/>
        </w:rPr>
        <w:t>isinstance</w:t>
      </w:r>
      <w:r>
        <w:t xml:space="preserve"> (covered in </w:t>
      </w:r>
      <w:hyperlink w:anchor="Table_8_2__Python_s_core_built_i">
        <w:r>
          <w:rPr>
            <w:rStyle w:val="Text1"/>
          </w:rPr>
          <w:t>Table 8-2</w:t>
        </w:r>
      </w:hyperlink>
      <w:r>
        <w:t xml:space="preserve">), </w:t>
      </w:r>
      <w:r>
        <w:rPr>
          <w:rStyle w:val="Text4"/>
        </w:rPr>
        <w:t>not</w:t>
      </w:r>
      <w:r>
        <w:t xml:space="preserve"> equality comparison of types, to check whether an instance belongs to a particular class in order to support</w:t>
      </w:r>
      <w:r>
        <w:rPr>
          <w:rStyle w:val="Text111"/>
        </w:rPr>
        <w:bookmarkStart w:id="2028" w:name="idm45965216428656"/>
        <w:t/>
        <w:bookmarkEnd w:id="2028"/>
      </w:r>
      <w:r>
        <w:t xml:space="preserve"> inheritance properly.</w:t>
      </w:r>
      <w:hyperlink w:anchor="1_I_e___according_to_the_Liskov">
        <w:r>
          <w:rPr>
            <w:rStyle w:val="Text96"/>
          </w:rPr>
          <w:bookmarkStart w:id="2029" w:name="1_8"/>
          <w:t>1</w:t>
          <w:bookmarkEnd w:id="2029"/>
        </w:r>
      </w:hyperlink>
      <w:r>
        <w:t xml:space="preserve"> Using </w:t>
      </w:r>
      <w:r>
        <w:rPr>
          <w:rStyle w:val="Text0"/>
        </w:rPr>
        <w:t>type(</w:t>
      </w:r>
      <w:r>
        <w:rPr>
          <w:rStyle w:val="Text3"/>
        </w:rPr>
        <w:t>x</w:t>
      </w:r>
      <w:r>
        <w:rPr>
          <w:rStyle w:val="Text0"/>
        </w:rPr>
        <w:t>)</w:t>
      </w:r>
      <w:r>
        <w:t xml:space="preserve"> to check for equality or identity to some other type object is known as </w:t>
      </w:r>
      <w:r>
        <w:rPr>
          <w:rStyle w:val="Text4"/>
        </w:rPr>
        <w:t>type equality checking</w:t>
      </w:r>
      <w:r>
        <w:t xml:space="preserve">. Type equality checking is inappropriate in production Python code, as it interferes with polymorphism. Typically, you just try to use </w:t>
      </w:r>
      <w:r>
        <w:rPr>
          <w:rStyle w:val="Text3"/>
        </w:rPr>
        <w:t>x</w:t>
      </w:r>
      <w:r>
        <w:t xml:space="preserve"> </w:t>
      </w:r>
      <w:r>
        <w:rPr>
          <w:rStyle w:val="Text4"/>
        </w:rPr>
        <w:t>as if</w:t>
      </w:r>
      <w:r>
        <w:t xml:space="preserve"> it were of the type you expect, handling any problems with a </w:t>
      </w:r>
      <w:r>
        <w:rPr>
          <w:rStyle w:val="Text5"/>
        </w:rPr>
        <w:t>try</w:t>
      </w:r>
      <w:r>
        <w:rPr>
          <w:rStyle w:val="Text0"/>
        </w:rPr>
        <w:t>/</w:t>
      </w:r>
      <w:r>
        <w:rPr>
          <w:rStyle w:val="Text5"/>
        </w:rPr>
        <w:t>except</w:t>
      </w:r>
      <w:r>
        <w:t xml:space="preserve"> statement, as discussed in </w:t>
      </w:r>
      <w:hyperlink w:anchor="Error_Checking_Strategies__Most">
        <w:r>
          <w:rPr>
            <w:rStyle w:val="Text1"/>
          </w:rPr>
          <w:t>“Error-Checking Strategies”</w:t>
        </w:r>
      </w:hyperlink>
      <w:r>
        <w:t>; this is known as</w:t>
      </w:r>
      <w:r>
        <w:rPr>
          <w:rStyle w:val="Text111"/>
        </w:rPr>
        <w:bookmarkStart w:id="2030" w:name="idm45965216419152"/>
        <w:t/>
        <w:bookmarkEnd w:id="2030"/>
      </w:r>
      <w:r>
        <w:t xml:space="preserve"> </w:t>
      </w:r>
      <w:hyperlink r:id="rId293">
        <w:r>
          <w:rPr>
            <w:rStyle w:val="Text24"/>
          </w:rPr>
          <w:t>duck typing</w:t>
        </w:r>
      </w:hyperlink>
      <w:r>
        <w:t xml:space="preserve"> (one of this book’s authors is often credited with an early use of this colorful phrase).</w:t>
      </w:r>
    </w:p>
    <w:p>
      <w:pPr>
        <w:pStyle w:val="Para 012"/>
        <w:keepLines w:val="on"/>
      </w:pPr>
      <w:r>
        <w:t xml:space="preserve">When you just </w:t>
      </w:r>
      <w:r>
        <w:rPr>
          <w:rStyle w:val="Text4"/>
        </w:rPr>
        <w:t>have</w:t>
      </w:r>
      <w:r>
        <w:t xml:space="preserve"> to</w:t>
      </w:r>
      <w:r>
        <w:rPr>
          <w:rStyle w:val="Text111"/>
        </w:rPr>
        <w:bookmarkStart w:id="2031" w:name="idm45965216415616"/>
        <w:t/>
        <w:bookmarkEnd w:id="2031"/>
      </w:r>
      <w:r>
        <w:t xml:space="preserve"> type-check, usually for debugging purposes, use </w:t>
      </w:r>
      <w:r>
        <w:rPr>
          <w:rStyle w:val="Text0"/>
        </w:rPr>
        <w:t>isinstance</w:t>
      </w:r>
      <w:r>
        <w:t xml:space="preserve"> instead. In a broader sense, </w:t>
      </w:r>
      <w:r>
        <w:rPr>
          <w:rStyle w:val="Text0"/>
        </w:rPr>
        <w:t>isinstance(</w:t>
      </w:r>
      <w:r>
        <w:rPr>
          <w:rStyle w:val="Text3"/>
        </w:rPr>
        <w:t>x</w:t>
      </w:r>
      <w:r>
        <w:rPr>
          <w:rStyle w:val="Text0"/>
        </w:rPr>
        <w:t>,</w:t>
      </w:r>
      <w:r>
        <w:t xml:space="preserve"> </w:t>
      </w:r>
      <w:r>
        <w:rPr>
          <w:rStyle w:val="Text3"/>
        </w:rPr>
        <w:t>atype</w:t>
      </w:r>
      <w:r>
        <w:rPr>
          <w:rStyle w:val="Text0"/>
        </w:rPr>
        <w:t>)</w:t>
      </w:r>
      <w:r>
        <w:t xml:space="preserve"> is also a form of type checking, but</w:t>
      </w:r>
      <w:r>
        <w:rPr>
          <w:rStyle w:val="Text111"/>
        </w:rPr>
        <w:bookmarkStart w:id="2032" w:name="idm45965216410560"/>
        <w:t/>
        <w:bookmarkEnd w:id="2032"/>
      </w:r>
      <w:r>
        <w:t xml:space="preserve"> it is a lesser evil than </w:t>
      </w:r>
      <w:r>
        <w:rPr>
          <w:rStyle w:val="Text0"/>
        </w:rPr>
        <w:t>type(</w:t>
      </w:r>
      <w:r>
        <w:rPr>
          <w:rStyle w:val="Text3"/>
        </w:rPr>
        <w:t>x</w:t>
      </w:r>
      <w:r>
        <w:rPr>
          <w:rStyle w:val="Text0"/>
        </w:rPr>
        <w:t>)</w:t>
      </w:r>
      <w:r>
        <w:t xml:space="preserve"> </w:t>
      </w:r>
      <w:r>
        <w:rPr>
          <w:rStyle w:val="Text5"/>
        </w:rPr>
        <w:t>is</w:t>
      </w:r>
      <w:r>
        <w:t xml:space="preserve"> </w:t>
      </w:r>
      <w:r>
        <w:rPr>
          <w:rStyle w:val="Text3"/>
        </w:rPr>
        <w:t>atype</w:t>
      </w:r>
      <w:r>
        <w:t xml:space="preserve">. </w:t>
      </w:r>
      <w:r>
        <w:rPr>
          <w:rStyle w:val="Text0"/>
        </w:rPr>
        <w:t>isinstance</w:t>
      </w:r>
      <w:r>
        <w:t xml:space="preserve"> accepts an </w:t>
      </w:r>
      <w:r>
        <w:rPr>
          <w:rStyle w:val="Text3"/>
        </w:rPr>
        <w:t>x</w:t>
      </w:r>
      <w:r>
        <w:t xml:space="preserve"> that is an instance of any subclass of </w:t>
      </w:r>
      <w:r>
        <w:rPr>
          <w:rStyle w:val="Text3"/>
        </w:rPr>
        <w:t>atype</w:t>
      </w:r>
      <w:r>
        <w:t xml:space="preserve">, or an object that implements protocol </w:t>
      </w:r>
      <w:r>
        <w:rPr>
          <w:rStyle w:val="Text3"/>
        </w:rPr>
        <w:t>atype</w:t>
      </w:r>
      <w:r>
        <w:t xml:space="preserve">, not just a </w:t>
      </w:r>
      <w:r>
        <w:rPr>
          <w:rStyle w:val="Text4"/>
        </w:rPr>
        <w:t>direct</w:t>
      </w:r>
      <w:r>
        <w:t xml:space="preserve"> instance of </w:t>
      </w:r>
      <w:r>
        <w:rPr>
          <w:rStyle w:val="Text3"/>
        </w:rPr>
        <w:t>atype</w:t>
      </w:r>
      <w:r>
        <w:t xml:space="preserve"> itself. In particular, </w:t>
      </w:r>
      <w:r>
        <w:rPr>
          <w:rStyle w:val="Text0"/>
        </w:rPr>
        <w:t>isinstance</w:t>
      </w:r>
      <w:r>
        <w:t xml:space="preserve"> is fine when you’re checking for an abstract base class (see </w:t>
      </w:r>
      <w:hyperlink w:anchor="Abstract_Base_Classes__Abstract">
        <w:r>
          <w:rPr>
            <w:rStyle w:val="Text1"/>
          </w:rPr>
          <w:t>“Abstract Base Classes”</w:t>
        </w:r>
      </w:hyperlink>
      <w:r>
        <w:t xml:space="preserve">) or protocol (see </w:t>
      </w:r>
      <w:hyperlink w:anchor="Protocols__The_typing_module_def">
        <w:r>
          <w:rPr>
            <w:rStyle w:val="Text1"/>
          </w:rPr>
          <w:t>“Protocols”</w:t>
        </w:r>
      </w:hyperlink>
      <w:r>
        <w:t xml:space="preserve">); this newer idiom is also sometimes known as </w:t>
      </w:r>
      <w:hyperlink r:id="rId294">
        <w:r>
          <w:rPr>
            <w:rStyle w:val="Text24"/>
          </w:rPr>
          <w:t>goose typing</w:t>
        </w:r>
      </w:hyperlink>
      <w:r>
        <w:t xml:space="preserve"> (again, this phrase is credited to one of this book’s authors).</w:t>
      </w:r>
      <w:r>
        <w:rPr>
          <w:rStyle w:val="Text111"/>
        </w:rPr>
        <w:bookmarkStart w:id="2033" w:name="idm45965216398144"/>
        <w:t/>
        <w:bookmarkEnd w:id="2033"/>
      </w:r>
    </w:p>
    <w:p>
      <w:bookmarkStart w:id="2034" w:name="Built_in_Functions__Table_8_2_co"/>
      <w:pPr>
        <w:keepNext/>
        <w:pStyle w:val="Heading 1"/>
      </w:pPr>
      <w:r>
        <w:t>Built-in Functions</w:t>
      </w:r>
      <w:bookmarkEnd w:id="2034"/>
    </w:p>
    <w:p>
      <w:pPr>
        <w:pStyle w:val="Normal"/>
      </w:pPr>
      <w:hyperlink w:anchor="Table_8_2__Python_s_core_built_i">
        <w:r>
          <w:rPr>
            <w:rStyle w:val="Text1"/>
          </w:rPr>
          <w:t>Table 8-2</w:t>
        </w:r>
      </w:hyperlink>
      <w:r>
        <w:t xml:space="preserve"> covers Python</w:t>
      </w:r>
      <w:r>
        <w:rPr>
          <w:rStyle w:val="Text111"/>
        </w:rPr>
        <w:bookmarkStart w:id="2035" w:name="BIfunct08"/>
        <w:t/>
        <w:bookmarkEnd w:id="2035"/>
        <w:bookmarkStart w:id="2036" w:name="Fbuiltin08"/>
        <w:t/>
        <w:bookmarkEnd w:id="2036"/>
      </w:r>
      <w:r>
        <w:t xml:space="preserve"> functions (and some types that, in practice, are only used </w:t>
      </w:r>
      <w:r>
        <w:rPr>
          <w:rStyle w:val="Text4"/>
        </w:rPr>
        <w:t>as if</w:t>
      </w:r>
      <w:r>
        <w:t xml:space="preserve"> they were functions) in the module </w:t>
      </w:r>
      <w:r>
        <w:rPr>
          <w:rStyle w:val="Text0"/>
        </w:rPr>
        <w:t>builtins</w:t>
      </w:r>
      <w:r>
        <w:t xml:space="preserve">, in alphabetical order. Built-ins’ names are </w:t>
      </w:r>
      <w:r>
        <w:rPr>
          <w:rStyle w:val="Text4"/>
        </w:rPr>
        <w:t>not</w:t>
      </w:r>
      <w:r>
        <w:t xml:space="preserve"> keywords. This means you </w:t>
      </w:r>
      <w:r>
        <w:rPr>
          <w:rStyle w:val="Text4"/>
        </w:rPr>
        <w:t>can</w:t>
      </w:r>
      <w:r>
        <w:t xml:space="preserve"> bind, in local or global scope, an identifier that’s a built-in name, although we recommend avoiding it (see the following warning!). Names bound in local or global scope override names bound in built-in scope, so local and global names </w:t>
      </w:r>
      <w:r>
        <w:rPr>
          <w:rStyle w:val="Text4"/>
        </w:rPr>
        <w:t>hide</w:t>
      </w:r>
      <w:r>
        <w:t xml:space="preserve"> built-in ones. You can also rebind names in built-in scope, as covered in </w:t>
      </w:r>
      <w:hyperlink w:anchor="Python_built_ins__Python_supplie">
        <w:r>
          <w:rPr>
            <w:rStyle w:val="Text1"/>
          </w:rPr>
          <w:t>“Python built-ins”</w:t>
        </w:r>
      </w:hyperlink>
      <w:r>
        <w:t>.</w:t>
      </w:r>
    </w:p>
    <w:p>
      <w:pPr>
        <w:keepNext/>
        <w:pStyle w:val="Heading 6"/>
        <w:keepLines w:val="on"/>
      </w:pPr>
      <w:r>
        <w:t>Don’t Hide Built-ins</w:t>
      </w:r>
    </w:p>
    <w:p>
      <w:pPr>
        <w:pStyle w:val="Para 012"/>
        <w:keepLines w:val="on"/>
      </w:pPr>
      <w:r>
        <w:t>Avoid accidentally hiding</w:t>
      </w:r>
      <w:r>
        <w:rPr>
          <w:rStyle w:val="Text111"/>
        </w:rPr>
        <w:bookmarkStart w:id="2037" w:name="idm45965216385552"/>
        <w:t/>
        <w:bookmarkEnd w:id="2037"/>
        <w:bookmarkStart w:id="2038" w:name="idm45965216384176"/>
        <w:t/>
        <w:bookmarkEnd w:id="2038"/>
      </w:r>
      <w:r>
        <w:t xml:space="preserve"> built-ins: your code might need them later. It’s often tempting to use natural names such as </w:t>
      </w:r>
      <w:r>
        <w:rPr>
          <w:rStyle w:val="Text0"/>
        </w:rPr>
        <w:t>input</w:t>
      </w:r>
      <w:r>
        <w:t xml:space="preserve">, </w:t>
      </w:r>
      <w:r>
        <w:rPr>
          <w:rStyle w:val="Text0"/>
        </w:rPr>
        <w:t>list</w:t>
      </w:r>
      <w:r>
        <w:t xml:space="preserve">, or </w:t>
      </w:r>
      <w:r>
        <w:rPr>
          <w:rStyle w:val="Text0"/>
        </w:rPr>
        <w:t>filter</w:t>
      </w:r>
      <w:r>
        <w:t xml:space="preserve"> for your own variables, but </w:t>
      </w:r>
      <w:r>
        <w:rPr>
          <w:rStyle w:val="Text4"/>
        </w:rPr>
        <w:t>don’t do it</w:t>
      </w:r>
      <w:r>
        <w:t xml:space="preserve">: these are names of built-in Python types or functions, and reusing them for your own purposes makes those built-in types and functions inaccessible. Unless you get into the habit of </w:t>
      </w:r>
      <w:r>
        <w:rPr>
          <w:rStyle w:val="Text4"/>
        </w:rPr>
        <w:t>never</w:t>
      </w:r>
      <w:r>
        <w:t xml:space="preserve"> hiding built-ins’ names with your own, sooner or later you’ll get mysterious bugs in your code caused by just such hiding occurring accidentally.</w:t>
      </w:r>
    </w:p>
    <w:p>
      <w:pPr>
        <w:pStyle w:val="Normal"/>
      </w:pPr>
      <w:r>
        <w:t xml:space="preserve">Many built-in functions cannot be called with named arguments, only with positional ones. In </w:t>
      </w:r>
      <w:hyperlink w:anchor="Table_8_2__Python_s_core_built_i">
        <w:r>
          <w:rPr>
            <w:rStyle w:val="Text1"/>
          </w:rPr>
          <w:t>Table 8-2</w:t>
        </w:r>
      </w:hyperlink>
      <w:r>
        <w:t xml:space="preserve">, we mention cases in which this limitation does not hold; when it does, we also use the </w:t>
      </w:r>
      <w:r>
        <w:rPr>
          <w:rStyle w:val="Text34"/>
        </w:rPr>
        <w:t>3.8+</w:t>
      </w:r>
      <w:r>
        <w:t xml:space="preserve"> positional-only marker </w:t>
      </w:r>
      <w:r>
        <w:rPr>
          <w:rStyle w:val="Text0"/>
        </w:rPr>
        <w:t>/</w:t>
      </w:r>
      <w:r>
        <w:t xml:space="preserve">, covered in </w:t>
      </w:r>
      <w:hyperlink w:anchor="Positional_only_marker__3_8__A_f">
        <w:r>
          <w:rPr>
            <w:rStyle w:val="Text1"/>
          </w:rPr>
          <w:t>“Positional-only marker”</w:t>
        </w:r>
      </w:hyperlink>
      <w:r>
        <w:t>.</w:t>
      </w:r>
    </w:p>
    <w:tbl>
      <w:tblPr>
        <w:tblW w:type="auto" w:w="0"/>
      </w:tblPr>
      <w:tr>
        <w:tc>
          <w:tcPr>
            <w:tcW w:type="auto" w:w="0"/>
            <w:tcMar>
              <w:left w:type="dxa" w:w="200"/>
              <w:top w:type="dxa" w:w="200"/>
              <w:right w:type="dxa" w:w="200"/>
              <w:bottom w:type="dxa" w:w="200"/>
            </w:tcMar>
          </w:tcPr>
          <w:p>
            <w:bookmarkStart w:id="2039" w:name="Table_8_2__Python_s_core_built_i"/>
            <w:pPr>
              <w:pStyle w:val="Para 011"/>
            </w:pPr>
            <w:r>
              <w:rPr>
                <w:rStyle w:val="Text117"/>
              </w:rPr>
              <w:t/>
            </w:r>
            <w:r>
              <w:t xml:space="preserve">Table 8-2. </w:t>
              <w:t>Python’s core built-in functions</w:t>
            </w:r>
            <w:bookmarkEnd w:id="2039"/>
          </w:p>
          <w:p>
            <w:pPr>
              <w:pStyle w:val="Para 001"/>
            </w:pPr>
            <w:r>
              <w:t>__import__</w:t>
            </w:r>
          </w:p>
        </w:tc>
        <w:tc>
          <w:tcPr>
            <w:tcW w:type="auto" w:w="0"/>
            <w:tcMar>
              <w:left w:type="dxa" w:w="200"/>
              <w:top w:type="dxa" w:w="200"/>
              <w:right w:type="dxa" w:w="200"/>
              <w:bottom w:type="dxa" w:w="200"/>
            </w:tcMar>
          </w:tcPr>
          <w:p>
            <w:pPr>
              <w:pStyle w:val="Para 002"/>
            </w:pPr>
            <w:r>
              <w:rPr>
                <w:rStyle w:val="Text0"/>
              </w:rPr>
              <w:t>__import__(</w:t>
            </w:r>
            <w:r>
              <w:rPr>
                <w:rStyle w:val="Text3"/>
              </w:rPr>
              <w:t>module_name</w:t>
            </w:r>
            <w:r>
              <w:rPr>
                <w:rStyle w:val="Text0"/>
              </w:rPr>
              <w:t>[,</w:t>
            </w:r>
            <w:r>
              <w:t xml:space="preserve"> </w:t>
            </w:r>
            <w:r>
              <w:rPr>
                <w:rStyle w:val="Text3"/>
              </w:rPr>
              <w:t>globals</w:t>
            </w:r>
            <w:r>
              <w:rPr>
                <w:rStyle w:val="Text0"/>
              </w:rPr>
              <w:t>[,</w:t>
            </w:r>
            <w:r>
              <w:t xml:space="preserve"> </w:t>
            </w:r>
            <w:r>
              <w:rPr>
                <w:rStyle w:val="Text3"/>
              </w:rPr>
              <w:t>locals</w:t>
            </w:r>
            <w:r>
              <w:rPr>
                <w:rStyle w:val="Text0"/>
              </w:rPr>
              <w:t>[,</w:t>
            </w:r>
            <w:r>
              <w:t xml:space="preserve"> </w:t>
            </w:r>
            <w:r>
              <w:rPr>
                <w:rStyle w:val="Text3"/>
              </w:rPr>
              <w:t>fromlist</w:t>
            </w:r>
            <w:r>
              <w:rPr>
                <w:rStyle w:val="Text0"/>
              </w:rPr>
              <w:t>]]], /)</w:t>
              <w:br w:clear="none"/>
            </w:r>
            <w:r>
              <w:t xml:space="preserve"> Deprecated</w:t>
            </w:r>
            <w:r>
              <w:rPr>
                <w:rStyle w:val="Text111"/>
              </w:rPr>
              <w:bookmarkStart w:id="2040" w:name="idm45965216364816"/>
              <w:t/>
              <w:bookmarkEnd w:id="2040"/>
            </w:r>
            <w:r>
              <w:t xml:space="preserve"> in modern Python; use </w:t>
            </w:r>
            <w:r>
              <w:rPr>
                <w:rStyle w:val="Text0"/>
              </w:rPr>
              <w:t>importlib.import_module</w:t>
            </w:r>
            <w:r>
              <w:t xml:space="preserve">, covered in </w:t>
            </w:r>
            <w:hyperlink w:anchor="Module_Loading__Module_loading_o">
              <w:r>
                <w:rPr>
                  <w:rStyle w:val="Text1"/>
                </w:rPr>
                <w:t>“Module Loading”</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abs</w:t>
            </w:r>
          </w:p>
        </w:tc>
        <w:tc>
          <w:tcPr>
            <w:tcW w:type="auto" w:w="0"/>
            <w:shd w:val="clear" w:color="auto" w:fill="EEF2F6"/>
            <w:tcMar>
              <w:left w:type="dxa" w:w="200"/>
              <w:top w:type="dxa" w:w="200"/>
              <w:right w:type="dxa" w:w="200"/>
              <w:bottom w:type="dxa" w:w="200"/>
            </w:tcMar>
          </w:tcPr>
          <w:p>
            <w:pPr>
              <w:pStyle w:val="Para 002"/>
            </w:pPr>
            <w:r>
              <w:rPr>
                <w:rStyle w:val="Text0"/>
              </w:rPr>
              <w:t>abs(</w:t>
            </w:r>
            <w:r>
              <w:rPr>
                <w:rStyle w:val="Text3"/>
              </w:rPr>
              <w:t>x</w:t>
            </w:r>
            <w:r>
              <w:rPr>
                <w:rStyle w:val="Text0"/>
              </w:rPr>
              <w:t>, /)</w:t>
              <w:br w:clear="none"/>
            </w:r>
            <w:r>
              <w:t xml:space="preserve"> Returns</w:t>
            </w:r>
            <w:r>
              <w:rPr>
                <w:rStyle w:val="Text111"/>
              </w:rPr>
              <w:bookmarkStart w:id="2041" w:name="idm45965216358192"/>
              <w:t/>
              <w:bookmarkEnd w:id="2041"/>
            </w:r>
            <w:r>
              <w:t xml:space="preserve"> the absolute value of number </w:t>
            </w:r>
            <w:r>
              <w:rPr>
                <w:rStyle w:val="Text3"/>
              </w:rPr>
              <w:t>x</w:t>
            </w:r>
            <w:r>
              <w:t xml:space="preserve">. When </w:t>
            </w:r>
            <w:r>
              <w:rPr>
                <w:rStyle w:val="Text3"/>
              </w:rPr>
              <w:t>x</w:t>
            </w:r>
            <w:r>
              <w:t xml:space="preserve"> is complex, </w:t>
            </w:r>
            <w:r>
              <w:rPr>
                <w:rStyle w:val="Text0"/>
              </w:rPr>
              <w:t>abs</w:t>
            </w:r>
            <w:r>
              <w:t xml:space="preserve"> returns the square root of </w:t>
            </w:r>
            <w:r>
              <w:rPr>
                <w:rStyle w:val="Text3"/>
              </w:rPr>
              <w:t>x</w:t>
            </w:r>
            <w:r>
              <w:rPr>
                <w:rStyle w:val="Text0"/>
              </w:rPr>
              <w:t>.imag ** 2 +</w:t>
            </w:r>
            <w:r>
              <w:t xml:space="preserve"> </w:t>
            </w:r>
            <w:r>
              <w:rPr>
                <w:rStyle w:val="Text3"/>
              </w:rPr>
              <w:t>x</w:t>
            </w:r>
            <w:r>
              <w:rPr>
                <w:rStyle w:val="Text0"/>
              </w:rPr>
              <w:t>.real ** 2</w:t>
            </w:r>
            <w:r>
              <w:t xml:space="preserve"> (also known as the magnitude of the complex number). Otherwise, </w:t>
            </w:r>
            <w:r>
              <w:rPr>
                <w:rStyle w:val="Text0"/>
              </w:rPr>
              <w:t>abs</w:t>
            </w:r>
            <w:r>
              <w:t xml:space="preserve"> returns </w:t>
            </w:r>
            <w:r>
              <w:rPr>
                <w:rStyle w:val="Text3"/>
              </w:rPr>
              <w:t>-x</w:t>
            </w:r>
            <w:r>
              <w:t xml:space="preserve"> when </w:t>
            </w:r>
            <w:r>
              <w:rPr>
                <w:rStyle w:val="Text3"/>
              </w:rPr>
              <w:t>x</w:t>
            </w:r>
            <w:r>
              <w:t xml:space="preserve"> </w:t>
            </w:r>
            <w:r>
              <w:rPr>
                <w:rStyle w:val="Text0"/>
              </w:rPr>
              <w:t>&lt; 0</w:t>
            </w:r>
            <w:r>
              <w:t xml:space="preserve">, or </w:t>
            </w:r>
            <w:r>
              <w:rPr>
                <w:rStyle w:val="Text3"/>
              </w:rPr>
              <w:t>x</w:t>
            </w:r>
            <w:r>
              <w:t xml:space="preserve"> when </w:t>
            </w:r>
            <w:r>
              <w:rPr>
                <w:rStyle w:val="Text3"/>
              </w:rPr>
              <w:t>x</w:t>
            </w:r>
            <w:r>
              <w:t xml:space="preserve"> </w:t>
            </w:r>
            <w:r>
              <w:rPr>
                <w:rStyle w:val="Text0"/>
              </w:rPr>
              <w:t>&gt;= 0</w:t>
            </w:r>
            <w:r>
              <w:t xml:space="preserve">. See also </w:t>
            </w:r>
            <w:r>
              <w:rPr>
                <w:rStyle w:val="Text0"/>
              </w:rPr>
              <w:t>__abs__</w:t>
            </w:r>
            <w:r>
              <w:t xml:space="preserve">, </w:t>
            </w:r>
            <w:r>
              <w:rPr>
                <w:rStyle w:val="Text0"/>
              </w:rPr>
              <w:t>__invert__</w:t>
            </w:r>
            <w:r>
              <w:t xml:space="preserve">, </w:t>
            </w:r>
            <w:r>
              <w:rPr>
                <w:rStyle w:val="Text0"/>
              </w:rPr>
              <w:t>__neg__</w:t>
            </w:r>
            <w:r>
              <w:t xml:space="preserve">, and </w:t>
            </w:r>
            <w:r>
              <w:rPr>
                <w:rStyle w:val="Text0"/>
              </w:rPr>
              <w:t>__pos__</w:t>
            </w:r>
            <w:r>
              <w:t xml:space="preserve"> in </w:t>
            </w:r>
            <w:hyperlink w:anchor="Table_4_4__ABCs_with_additional">
              <w:r>
                <w:rPr>
                  <w:rStyle w:val="Text1"/>
                </w:rPr>
                <w:t>Table 4-4</w:t>
              </w:r>
            </w:hyperlink>
            <w:r>
              <w:t>.</w:t>
            </w:r>
          </w:p>
        </w:tc>
      </w:tr>
    </w:tbl>
    <w:tbl>
      <w:tblPr>
        <w:tblW w:type="auto" w:w="0"/>
      </w:tblPr>
      <w:tr>
        <w:tc>
          <w:tcPr>
            <w:tcW w:type="auto" w:w="0"/>
            <w:tcMar>
              <w:left w:type="dxa" w:w="200"/>
              <w:top w:type="dxa" w:w="200"/>
              <w:right w:type="dxa" w:w="200"/>
              <w:bottom w:type="dxa" w:w="200"/>
            </w:tcMar>
          </w:tcPr>
          <w:p>
            <w:pPr>
              <w:pStyle w:val="Para 001"/>
            </w:pPr>
            <w:r>
              <w:t>all</w:t>
            </w:r>
          </w:p>
        </w:tc>
        <w:tc>
          <w:tcPr>
            <w:tcW w:type="auto" w:w="0"/>
            <w:tcMar>
              <w:left w:type="dxa" w:w="200"/>
              <w:top w:type="dxa" w:w="200"/>
              <w:right w:type="dxa" w:w="200"/>
              <w:bottom w:type="dxa" w:w="200"/>
            </w:tcMar>
          </w:tcPr>
          <w:p>
            <w:pPr>
              <w:pStyle w:val="Para 002"/>
            </w:pPr>
            <w:r>
              <w:rPr>
                <w:rStyle w:val="Text0"/>
              </w:rPr>
              <w:t>all(</w:t>
            </w:r>
            <w:r>
              <w:rPr>
                <w:rStyle w:val="Text3"/>
              </w:rPr>
              <w:t>seq</w:t>
            </w:r>
            <w:r>
              <w:rPr>
                <w:rStyle w:val="Text0"/>
              </w:rPr>
              <w:t>, /)</w:t>
              <w:br w:clear="none"/>
            </w:r>
            <w:r>
              <w:t xml:space="preserve"> </w:t>
            </w:r>
            <w:r>
              <w:rPr>
                <w:rStyle w:val="Text3"/>
              </w:rPr>
              <w:t>seq</w:t>
            </w:r>
            <w:r>
              <w:t xml:space="preserve"> is</w:t>
            </w:r>
            <w:r>
              <w:rPr>
                <w:rStyle w:val="Text111"/>
              </w:rPr>
              <w:bookmarkStart w:id="2042" w:name="idm45965216338400"/>
              <w:t/>
              <w:bookmarkEnd w:id="2042"/>
            </w:r>
            <w:r>
              <w:t xml:space="preserve"> an iterable. </w:t>
            </w:r>
            <w:r>
              <w:rPr>
                <w:rStyle w:val="Text0"/>
              </w:rPr>
              <w:t>all</w:t>
            </w:r>
            <w:r>
              <w:t xml:space="preserve"> returns </w:t>
            </w:r>
            <w:r>
              <w:rPr>
                <w:rStyle w:val="Text5"/>
              </w:rPr>
              <w:t>False</w:t>
            </w:r>
            <w:r>
              <w:t xml:space="preserve"> when any item of </w:t>
            </w:r>
            <w:r>
              <w:rPr>
                <w:rStyle w:val="Text3"/>
              </w:rPr>
              <w:t>seq</w:t>
            </w:r>
            <w:r>
              <w:t xml:space="preserve"> is falsy; otherwise, </w:t>
            </w:r>
            <w:r>
              <w:rPr>
                <w:rStyle w:val="Text0"/>
              </w:rPr>
              <w:t>all</w:t>
            </w:r>
            <w:r>
              <w:t xml:space="preserve"> returns </w:t>
            </w:r>
            <w:r>
              <w:rPr>
                <w:rStyle w:val="Text5"/>
              </w:rPr>
              <w:t>True</w:t>
            </w:r>
            <w:r>
              <w:t xml:space="preserve">. Like the operators </w:t>
            </w:r>
            <w:r>
              <w:rPr>
                <w:rStyle w:val="Text5"/>
              </w:rPr>
              <w:t>and</w:t>
            </w:r>
            <w:r>
              <w:t xml:space="preserve"> and </w:t>
            </w:r>
            <w:r>
              <w:rPr>
                <w:rStyle w:val="Text5"/>
              </w:rPr>
              <w:t>or</w:t>
            </w:r>
            <w:r>
              <w:t xml:space="preserve">, covered in </w:t>
            </w:r>
            <w:hyperlink w:anchor="Short_Circuiting_Operators__The">
              <w:r>
                <w:rPr>
                  <w:rStyle w:val="Text1"/>
                </w:rPr>
                <w:t>“Short-Circuiting Operators”</w:t>
              </w:r>
            </w:hyperlink>
            <w:r>
              <w:t xml:space="preserve">, </w:t>
            </w:r>
            <w:r>
              <w:rPr>
                <w:rStyle w:val="Text0"/>
              </w:rPr>
              <w:t>all</w:t>
            </w:r>
            <w:r>
              <w:t xml:space="preserve"> stops evaluating and returns a result as soon as it knows the answer; in the case of </w:t>
            </w:r>
            <w:r>
              <w:rPr>
                <w:rStyle w:val="Text0"/>
              </w:rPr>
              <w:t>all</w:t>
            </w:r>
            <w:r>
              <w:t xml:space="preserve">, this means it stops as soon as a falsy item is reached, but proceeds throughout </w:t>
            </w:r>
            <w:r>
              <w:rPr>
                <w:rStyle w:val="Text3"/>
              </w:rPr>
              <w:t>seq</w:t>
            </w:r>
            <w:r>
              <w:t xml:space="preserve"> if all of </w:t>
            </w:r>
            <w:r>
              <w:rPr>
                <w:rStyle w:val="Text3"/>
              </w:rPr>
              <w:t>seq</w:t>
            </w:r>
            <w:r>
              <w:t xml:space="preserve">’s items are truthy. Here is a typical toy example of the use of </w:t>
            </w:r>
            <w:r>
              <w:rPr>
                <w:rStyle w:val="Text0"/>
              </w:rPr>
              <w:t>all</w:t>
            </w:r>
            <w:r>
              <w:t xml:space="preserve">: </w:t>
            </w:r>
          </w:p>
          <w:p>
            <w:pPr>
              <w:pStyle w:val="Para 044"/>
            </w:pPr>
            <w:r>
              <w:rPr>
                <w:rStyle w:val="Text23"/>
              </w:rPr>
              <w:t xml:space="preserve"/>
              <w:br w:clear="none"/>
            </w:r>
            <w:r>
              <w:rPr>
                <w:rStyle w:val="Text10"/>
              </w:rPr>
              <w:t xml:space="preserve">if</w:t>
              <w:br w:clear="none"/>
            </w:r>
            <w:r>
              <w:rPr>
                <w:rStyle w:val="Text6"/>
              </w:rPr>
              <w:t xml:space="preserve"> </w:t>
              <w:br w:clear="none"/>
            </w:r>
            <w:r>
              <w:rPr>
                <w:rStyle w:val="Text16"/>
              </w:rPr>
              <w:t xml:space="preserve">all</w:t>
              <w:br w:clear="none"/>
            </w:r>
            <w:r>
              <w:rPr>
                <w:rStyle w:val="Text7"/>
              </w:rPr>
              <w:t xml:space="preserve">(</w:t>
              <w:br w:clear="none"/>
            </w:r>
            <w:r>
              <w:rPr>
                <w:rStyle w:val="Text9"/>
              </w:rPr>
              <w:t xml:space="preserve">x</w:t>
              <w:br w:clear="none"/>
            </w:r>
            <w:r>
              <w:rPr>
                <w:rStyle w:val="Text13"/>
              </w:rPr>
              <w:t xml:space="preserve">&gt;</w:t>
              <w:br w:clear="none"/>
            </w:r>
            <w:r>
              <w:rPr>
                <w:rStyle w:val="Text27"/>
              </w:rPr>
              <w:t xml:space="preserve">0</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x</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the_numbers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all of the numbers are positive</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some of the numbers are not positive</w:t>
              <w:br w:clear="none"/>
              <w:t xml:space="preserve">'</w:t>
              <w:br w:clear="none"/>
            </w:r>
            <w:r>
              <w:rPr>
                <w:rStyle w:val="Text7"/>
              </w:rPr>
              <w:t xml:space="preserve">)</w:t>
              <w:br w:clear="none"/>
            </w:r>
          </w:p>
          <w:p>
            <w:pPr>
              <w:pStyle w:val="Para 022"/>
            </w:pPr>
            <w:r>
              <w:t xml:space="preserve"> When </w:t>
            </w:r>
            <w:r>
              <w:rPr>
                <w:rStyle w:val="Text3"/>
              </w:rPr>
              <w:t>seq</w:t>
            </w:r>
            <w:r>
              <w:t xml:space="preserve"> is empty, </w:t>
            </w:r>
            <w:r>
              <w:rPr>
                <w:rStyle w:val="Text0"/>
              </w:rPr>
              <w:t>all</w:t>
            </w:r>
            <w:r>
              <w:t xml:space="preserve"> returns </w:t>
            </w:r>
            <w:r>
              <w:rPr>
                <w:rStyle w:val="Text5"/>
              </w:rPr>
              <w:t>True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any</w:t>
            </w:r>
          </w:p>
        </w:tc>
        <w:tc>
          <w:tcPr>
            <w:tcW w:type="auto" w:w="0"/>
            <w:shd w:val="clear" w:color="auto" w:fill="EEF2F6"/>
            <w:tcMar>
              <w:left w:type="dxa" w:w="200"/>
              <w:top w:type="dxa" w:w="200"/>
              <w:right w:type="dxa" w:w="200"/>
              <w:bottom w:type="dxa" w:w="200"/>
            </w:tcMar>
          </w:tcPr>
          <w:p>
            <w:pPr>
              <w:pStyle w:val="Para 002"/>
            </w:pPr>
            <w:r>
              <w:rPr>
                <w:rStyle w:val="Text0"/>
              </w:rPr>
              <w:t>any(</w:t>
            </w:r>
            <w:r>
              <w:rPr>
                <w:rStyle w:val="Text3"/>
              </w:rPr>
              <w:t>seq</w:t>
            </w:r>
            <w:r>
              <w:rPr>
                <w:rStyle w:val="Text0"/>
              </w:rPr>
              <w:t>, /)</w:t>
              <w:br w:clear="none"/>
            </w:r>
            <w:r>
              <w:t xml:space="preserve"> </w:t>
            </w:r>
            <w:r>
              <w:rPr>
                <w:rStyle w:val="Text3"/>
              </w:rPr>
              <w:t>seq</w:t>
            </w:r>
            <w:r>
              <w:t xml:space="preserve"> is an iterable. </w:t>
            </w:r>
            <w:r>
              <w:rPr>
                <w:rStyle w:val="Text0"/>
              </w:rPr>
              <w:t>any</w:t>
            </w:r>
            <w:r>
              <w:rPr>
                <w:rStyle w:val="Text111"/>
              </w:rPr>
              <w:bookmarkStart w:id="2043" w:name="idm45965216292096"/>
              <w:t/>
              <w:bookmarkEnd w:id="2043"/>
            </w:r>
            <w:r>
              <w:t xml:space="preserve"> returns </w:t>
            </w:r>
            <w:r>
              <w:rPr>
                <w:rStyle w:val="Text5"/>
              </w:rPr>
              <w:t>True</w:t>
            </w:r>
            <w:r>
              <w:t xml:space="preserve"> if any item of </w:t>
            </w:r>
            <w:r>
              <w:rPr>
                <w:rStyle w:val="Text3"/>
              </w:rPr>
              <w:t>seq</w:t>
            </w:r>
            <w:r>
              <w:t xml:space="preserve"> is truthy; otherwise, </w:t>
            </w:r>
            <w:r>
              <w:rPr>
                <w:rStyle w:val="Text0"/>
              </w:rPr>
              <w:t>any</w:t>
            </w:r>
            <w:r>
              <w:t xml:space="preserve"> returns </w:t>
            </w:r>
            <w:r>
              <w:rPr>
                <w:rStyle w:val="Text5"/>
              </w:rPr>
              <w:t>False</w:t>
            </w:r>
            <w:r>
              <w:t xml:space="preserve">. Like the operators </w:t>
            </w:r>
            <w:r>
              <w:rPr>
                <w:rStyle w:val="Text5"/>
              </w:rPr>
              <w:t>and</w:t>
            </w:r>
            <w:r>
              <w:t xml:space="preserve"> and </w:t>
            </w:r>
            <w:r>
              <w:rPr>
                <w:rStyle w:val="Text5"/>
              </w:rPr>
              <w:t>or</w:t>
            </w:r>
            <w:r>
              <w:t xml:space="preserve">, covered in </w:t>
            </w:r>
            <w:hyperlink w:anchor="Short_Circuiting_Operators__The">
              <w:r>
                <w:rPr>
                  <w:rStyle w:val="Text1"/>
                </w:rPr>
                <w:t>“Short-Circuiting Operators”</w:t>
              </w:r>
            </w:hyperlink>
            <w:r>
              <w:t xml:space="preserve">, </w:t>
            </w:r>
            <w:r>
              <w:rPr>
                <w:rStyle w:val="Text0"/>
              </w:rPr>
              <w:t>any</w:t>
            </w:r>
            <w:r>
              <w:t xml:space="preserve"> stops evaluating and returns a result as soon as it knows the answer; in the case of </w:t>
            </w:r>
            <w:r>
              <w:rPr>
                <w:rStyle w:val="Text0"/>
              </w:rPr>
              <w:t>any</w:t>
            </w:r>
            <w:r>
              <w:t xml:space="preserve">, this means it stops as soon as a truthy item is reached, but proceeds throughout </w:t>
            </w:r>
            <w:r>
              <w:rPr>
                <w:rStyle w:val="Text3"/>
              </w:rPr>
              <w:t>seq</w:t>
            </w:r>
            <w:r>
              <w:t xml:space="preserve"> if all of </w:t>
            </w:r>
            <w:r>
              <w:rPr>
                <w:rStyle w:val="Text3"/>
              </w:rPr>
              <w:t>seq</w:t>
            </w:r>
            <w:r>
              <w:t xml:space="preserve">’s items are falsy. Here is a typical toy example of the use of </w:t>
            </w:r>
            <w:r>
              <w:rPr>
                <w:rStyle w:val="Text0"/>
              </w:rPr>
              <w:t>any</w:t>
            </w:r>
            <w:r>
              <w:t xml:space="preserve">: </w:t>
            </w:r>
          </w:p>
          <w:p>
            <w:pPr>
              <w:pStyle w:val="Para 045"/>
            </w:pPr>
            <w:r>
              <w:rPr>
                <w:rStyle w:val="Text23"/>
              </w:rPr>
              <w:t xml:space="preserve"/>
              <w:br w:clear="none"/>
            </w:r>
            <w:r>
              <w:rPr>
                <w:rStyle w:val="Text10"/>
              </w:rPr>
              <w:t xml:space="preserve">if</w:t>
              <w:br w:clear="none"/>
            </w:r>
            <w:r>
              <w:rPr>
                <w:rStyle w:val="Text6"/>
              </w:rPr>
              <w:t xml:space="preserve"> </w:t>
              <w:br w:clear="none"/>
            </w:r>
            <w:r>
              <w:rPr>
                <w:rStyle w:val="Text16"/>
              </w:rPr>
              <w:t xml:space="preserve">any</w:t>
              <w:br w:clear="none"/>
            </w:r>
            <w:r>
              <w:rPr>
                <w:rStyle w:val="Text7"/>
              </w:rPr>
              <w:t xml:space="preserve">(</w:t>
              <w:br w:clear="none"/>
            </w:r>
            <w:r>
              <w:rPr>
                <w:rStyle w:val="Text9"/>
              </w:rPr>
              <w:t xml:space="preserve">x</w:t>
              <w:br w:clear="none"/>
            </w:r>
            <w:r>
              <w:rPr>
                <w:rStyle w:val="Text13"/>
              </w:rPr>
              <w:t xml:space="preserve">&lt;</w:t>
              <w:br w:clear="none"/>
            </w:r>
            <w:r>
              <w:rPr>
                <w:rStyle w:val="Text27"/>
              </w:rPr>
              <w:t xml:space="preserve">0</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x</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the_numbers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some of the numbers are negative</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none of the numbers are negative</w:t>
              <w:br w:clear="none"/>
              <w:t xml:space="preserve">'</w:t>
              <w:br w:clear="none"/>
            </w:r>
            <w:r>
              <w:rPr>
                <w:rStyle w:val="Text7"/>
              </w:rPr>
              <w:t xml:space="preserve">)</w:t>
              <w:br w:clear="none"/>
            </w:r>
          </w:p>
          <w:p>
            <w:pPr>
              <w:pStyle w:val="Para 022"/>
            </w:pPr>
            <w:r>
              <w:t xml:space="preserve"> When </w:t>
            </w:r>
            <w:r>
              <w:rPr>
                <w:rStyle w:val="Text3"/>
              </w:rPr>
              <w:t>seq</w:t>
            </w:r>
            <w:r>
              <w:t xml:space="preserve"> is empty, </w:t>
            </w:r>
            <w:r>
              <w:rPr>
                <w:rStyle w:val="Text0"/>
              </w:rPr>
              <w:t>any</w:t>
            </w:r>
            <w:r>
              <w:t xml:space="preserv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ascii</w:t>
            </w:r>
          </w:p>
        </w:tc>
        <w:tc>
          <w:tcPr>
            <w:tcW w:type="auto" w:w="0"/>
            <w:tcMar>
              <w:left w:type="dxa" w:w="200"/>
              <w:top w:type="dxa" w:w="200"/>
              <w:right w:type="dxa" w:w="200"/>
              <w:bottom w:type="dxa" w:w="200"/>
            </w:tcMar>
          </w:tcPr>
          <w:p>
            <w:pPr>
              <w:pStyle w:val="Para 002"/>
            </w:pPr>
            <w:r>
              <w:rPr>
                <w:rStyle w:val="Text0"/>
              </w:rPr>
              <w:t>ascii(</w:t>
            </w:r>
            <w:r>
              <w:rPr>
                <w:rStyle w:val="Text3"/>
              </w:rPr>
              <w:t>x</w:t>
            </w:r>
            <w:r>
              <w:rPr>
                <w:rStyle w:val="Text0"/>
              </w:rPr>
              <w:t>, /)</w:t>
              <w:br w:clear="none"/>
            </w:r>
            <w:r>
              <w:t xml:space="preserve"> Like </w:t>
            </w:r>
            <w:r>
              <w:rPr>
                <w:rStyle w:val="Text0"/>
              </w:rPr>
              <w:t>repr</w:t>
            </w:r>
            <w:r>
              <w:t>, but</w:t>
            </w:r>
            <w:r>
              <w:rPr>
                <w:rStyle w:val="Text111"/>
              </w:rPr>
              <w:bookmarkStart w:id="2044" w:name="idm45965216220784"/>
              <w:t/>
              <w:bookmarkEnd w:id="2044"/>
            </w:r>
            <w:r>
              <w:t xml:space="preserve"> escapes non-ASCII characters in the string it returns; the result is usually similar to that of </w:t>
            </w:r>
            <w:r>
              <w:rPr>
                <w:rStyle w:val="Text0"/>
              </w:rPr>
              <w:t>repr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bin</w:t>
            </w:r>
          </w:p>
        </w:tc>
        <w:tc>
          <w:tcPr>
            <w:tcW w:type="auto" w:w="0"/>
            <w:shd w:val="clear" w:color="auto" w:fill="EEF2F6"/>
            <w:tcMar>
              <w:left w:type="dxa" w:w="200"/>
              <w:top w:type="dxa" w:w="200"/>
              <w:right w:type="dxa" w:w="200"/>
              <w:bottom w:type="dxa" w:w="200"/>
            </w:tcMar>
          </w:tcPr>
          <w:p>
            <w:pPr>
              <w:pStyle w:val="Para 002"/>
            </w:pPr>
            <w:r>
              <w:rPr>
                <w:rStyle w:val="Text0"/>
              </w:rPr>
              <w:t>bin(</w:t>
            </w:r>
            <w:r>
              <w:rPr>
                <w:rStyle w:val="Text3"/>
              </w:rPr>
              <w:t>x</w:t>
            </w:r>
            <w:r>
              <w:rPr>
                <w:rStyle w:val="Text0"/>
              </w:rPr>
              <w:t>, /)</w:t>
              <w:br w:clear="none"/>
            </w:r>
            <w:r>
              <w:t xml:space="preserve"> Returns</w:t>
            </w:r>
            <w:r>
              <w:rPr>
                <w:rStyle w:val="Text111"/>
              </w:rPr>
              <w:bookmarkStart w:id="2045" w:name="idm45965216189392"/>
              <w:t/>
              <w:bookmarkEnd w:id="2045"/>
            </w:r>
            <w:r>
              <w:t xml:space="preserve"> a binary string representation of integer </w:t>
            </w:r>
            <w:r>
              <w:rPr>
                <w:rStyle w:val="Text3"/>
              </w:rPr>
              <w:t>x</w:t>
            </w:r>
            <w:r>
              <w:t xml:space="preserve">. E.g., </w:t>
            </w:r>
            <w:r>
              <w:rPr>
                <w:rStyle w:val="Text0"/>
              </w:rPr>
              <w:t>bin(23)==</w:t>
            </w:r>
            <w:r>
              <w:t>'</w:t>
            </w:r>
            <w:r>
              <w:rPr>
                <w:rStyle w:val="Text0"/>
              </w:rPr>
              <w:t>0b10111</w:t>
            </w:r>
            <w:r>
              <w:t>‘.</w:t>
            </w:r>
          </w:p>
        </w:tc>
      </w:tr>
    </w:tbl>
    <w:tbl>
      <w:tblPr>
        <w:tblW w:type="auto" w:w="0"/>
      </w:tblPr>
      <w:tr>
        <w:tc>
          <w:tcPr>
            <w:tcW w:type="auto" w:w="0"/>
            <w:tcMar>
              <w:left w:type="dxa" w:w="200"/>
              <w:top w:type="dxa" w:w="200"/>
              <w:right w:type="dxa" w:w="200"/>
              <w:bottom w:type="dxa" w:w="200"/>
            </w:tcMar>
          </w:tcPr>
          <w:p>
            <w:pPr>
              <w:pStyle w:val="Para 001"/>
            </w:pPr>
            <w:r>
              <w:t>breakpoint</w:t>
            </w:r>
          </w:p>
        </w:tc>
        <w:tc>
          <w:tcPr>
            <w:tcW w:type="auto" w:w="0"/>
            <w:tcMar>
              <w:left w:type="dxa" w:w="200"/>
              <w:top w:type="dxa" w:w="200"/>
              <w:right w:type="dxa" w:w="200"/>
              <w:bottom w:type="dxa" w:w="200"/>
            </w:tcMar>
          </w:tcPr>
          <w:p>
            <w:pPr>
              <w:pStyle w:val="Para 002"/>
            </w:pPr>
            <w:r>
              <w:rPr>
                <w:rStyle w:val="Text0"/>
              </w:rPr>
              <w:t>breakpoint()</w:t>
              <w:br w:clear="none"/>
            </w:r>
            <w:r>
              <w:t xml:space="preserve"> Invokes</w:t>
            </w:r>
            <w:r>
              <w:rPr>
                <w:rStyle w:val="Text111"/>
              </w:rPr>
              <w:bookmarkStart w:id="2046" w:name="idm45965216183440"/>
              <w:t/>
              <w:bookmarkEnd w:id="2046"/>
            </w:r>
            <w:r>
              <w:t xml:space="preserve"> the </w:t>
            </w:r>
            <w:r>
              <w:rPr>
                <w:rStyle w:val="Text0"/>
              </w:rPr>
              <w:t>pdb</w:t>
            </w:r>
            <w:r>
              <w:t xml:space="preserve"> Python debugger. Set </w:t>
            </w:r>
            <w:r>
              <w:rPr>
                <w:rStyle w:val="Text0"/>
              </w:rPr>
              <w:t>sys.breakpointhook</w:t>
            </w:r>
            <w:r>
              <w:t xml:space="preserve"> to a callable function if you want </w:t>
            </w:r>
            <w:r>
              <w:rPr>
                <w:rStyle w:val="Text0"/>
              </w:rPr>
              <w:t>breakpoint</w:t>
            </w:r>
            <w:r>
              <w:t xml:space="preserve"> to invoke an alternate debugger.</w:t>
            </w:r>
          </w:p>
        </w:tc>
      </w:tr>
    </w:tbl>
    <w:tbl>
      <w:tblPr>
        <w:tblW w:type="auto" w:w="0"/>
      </w:tblPr>
      <w:tr>
        <w:tc>
          <w:tcPr>
            <w:tcW w:type="auto" w:w="0"/>
            <w:shd w:val="clear" w:color="auto" w:fill="EEF2F6"/>
            <w:tcMar>
              <w:left w:type="dxa" w:w="200"/>
              <w:top w:type="dxa" w:w="200"/>
              <w:right w:type="dxa" w:w="200"/>
              <w:bottom w:type="dxa" w:w="200"/>
            </w:tcMar>
          </w:tcPr>
          <w:p>
            <w:pPr>
              <w:pStyle w:val="Para 001"/>
            </w:pPr>
            <w:r>
              <w:t>callable</w:t>
            </w:r>
          </w:p>
        </w:tc>
        <w:tc>
          <w:tcPr>
            <w:tcW w:type="auto" w:w="0"/>
            <w:shd w:val="clear" w:color="auto" w:fill="EEF2F6"/>
            <w:tcMar>
              <w:left w:type="dxa" w:w="200"/>
              <w:top w:type="dxa" w:w="200"/>
              <w:right w:type="dxa" w:w="200"/>
              <w:bottom w:type="dxa" w:w="200"/>
            </w:tcMar>
          </w:tcPr>
          <w:p>
            <w:pPr>
              <w:pStyle w:val="Para 002"/>
            </w:pPr>
            <w:r>
              <w:rPr>
                <w:rStyle w:val="Text0"/>
              </w:rPr>
              <w:t>callable(</w:t>
            </w:r>
            <w:r>
              <w:rPr>
                <w:rStyle w:val="Text3"/>
              </w:rPr>
              <w:t>obj</w:t>
            </w:r>
            <w:r>
              <w:rPr>
                <w:rStyle w:val="Text0"/>
              </w:rPr>
              <w:t>, /)</w:t>
              <w:br w:clear="none"/>
            </w:r>
            <w:r>
              <w:t xml:space="preserve"> Returns</w:t>
            </w:r>
            <w:r>
              <w:rPr>
                <w:rStyle w:val="Text111"/>
              </w:rPr>
              <w:bookmarkStart w:id="2047" w:name="idm45965216177136"/>
              <w:t/>
              <w:bookmarkEnd w:id="2047"/>
            </w:r>
            <w:r>
              <w:t xml:space="preserve"> </w:t>
            </w:r>
            <w:r>
              <w:rPr>
                <w:rStyle w:val="Text5"/>
              </w:rPr>
              <w:t>True</w:t>
            </w:r>
            <w:r>
              <w:t xml:space="preserve"> when </w:t>
            </w:r>
            <w:r>
              <w:rPr>
                <w:rStyle w:val="Text3"/>
              </w:rPr>
              <w:t>obj</w:t>
            </w:r>
            <w:r>
              <w:t xml:space="preserve"> can be called; otherwise, returns </w:t>
            </w:r>
            <w:r>
              <w:rPr>
                <w:rStyle w:val="Text5"/>
              </w:rPr>
              <w:t>False</w:t>
            </w:r>
            <w:r>
              <w:t xml:space="preserve">. An object can be called if it is a function, method, class, or type, or an instance of a class with a </w:t>
            </w:r>
            <w:r>
              <w:rPr>
                <w:rStyle w:val="Text0"/>
              </w:rPr>
              <w:t>__call__</w:t>
            </w:r>
            <w:r>
              <w:t xml:space="preserve"> method. See also </w:t>
            </w:r>
            <w:r>
              <w:rPr>
                <w:rStyle w:val="Text0"/>
              </w:rPr>
              <w:t>__call__</w:t>
            </w:r>
            <w:r>
              <w:t xml:space="preserve"> in </w:t>
            </w:r>
            <w:hyperlink w:anchor="Table_4_1__General_purpose_speci">
              <w:r>
                <w:rPr>
                  <w:rStyle w:val="Text1"/>
                </w:rPr>
                <w:t>Table 4-1</w:t>
              </w:r>
            </w:hyperlink>
            <w:r>
              <w:t>.</w:t>
            </w:r>
          </w:p>
        </w:tc>
      </w:tr>
    </w:tbl>
    <w:tbl>
      <w:tblPr>
        <w:tblW w:type="auto" w:w="0"/>
      </w:tblPr>
      <w:tr>
        <w:tc>
          <w:tcPr>
            <w:tcW w:type="auto" w:w="0"/>
            <w:tcMar>
              <w:left w:type="dxa" w:w="200"/>
              <w:top w:type="dxa" w:w="200"/>
              <w:right w:type="dxa" w:w="200"/>
              <w:bottom w:type="dxa" w:w="200"/>
            </w:tcMar>
          </w:tcPr>
          <w:p>
            <w:pPr>
              <w:pStyle w:val="Para 001"/>
            </w:pPr>
            <w:r>
              <w:t>chr</w:t>
            </w:r>
          </w:p>
        </w:tc>
        <w:tc>
          <w:tcPr>
            <w:tcW w:type="auto" w:w="0"/>
            <w:tcMar>
              <w:left w:type="dxa" w:w="200"/>
              <w:top w:type="dxa" w:w="200"/>
              <w:right w:type="dxa" w:w="200"/>
              <w:bottom w:type="dxa" w:w="200"/>
            </w:tcMar>
          </w:tcPr>
          <w:p>
            <w:pPr>
              <w:pStyle w:val="Para 002"/>
            </w:pPr>
            <w:r>
              <w:rPr>
                <w:rStyle w:val="Text0"/>
              </w:rPr>
              <w:t>chr(</w:t>
            </w:r>
            <w:r>
              <w:rPr>
                <w:rStyle w:val="Text3"/>
              </w:rPr>
              <w:t>code</w:t>
            </w:r>
            <w:r>
              <w:rPr>
                <w:rStyle w:val="Text0"/>
              </w:rPr>
              <w:t>, /)</w:t>
              <w:br w:clear="none"/>
            </w:r>
            <w:r>
              <w:t xml:space="preserve"> Returns</w:t>
            </w:r>
            <w:r>
              <w:rPr>
                <w:rStyle w:val="Text111"/>
              </w:rPr>
              <w:bookmarkStart w:id="2048" w:name="idm45965216167952"/>
              <w:t/>
              <w:bookmarkEnd w:id="2048"/>
            </w:r>
            <w:r>
              <w:t xml:space="preserve"> a string of length </w:t>
            </w:r>
            <w:r>
              <w:rPr>
                <w:rStyle w:val="Text0"/>
              </w:rPr>
              <w:t>1</w:t>
            </w:r>
            <w:r>
              <w:t xml:space="preserve">, a single character corresponding to the integer </w:t>
            </w:r>
            <w:r>
              <w:rPr>
                <w:rStyle w:val="Text3"/>
              </w:rPr>
              <w:t>code</w:t>
            </w:r>
            <w:r>
              <w:t xml:space="preserve"> in Unicode. See also </w:t>
            </w:r>
            <w:r>
              <w:rPr>
                <w:rStyle w:val="Text0"/>
              </w:rPr>
              <w:t>ord</w:t>
            </w:r>
            <w:r>
              <w:t xml:space="preserve"> later in this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compile</w:t>
            </w:r>
          </w:p>
        </w:tc>
        <w:tc>
          <w:tcPr>
            <w:tcW w:type="auto" w:w="0"/>
            <w:shd w:val="clear" w:color="auto" w:fill="EEF2F6"/>
            <w:tcMar>
              <w:left w:type="dxa" w:w="200"/>
              <w:top w:type="dxa" w:w="200"/>
              <w:right w:type="dxa" w:w="200"/>
              <w:bottom w:type="dxa" w:w="200"/>
            </w:tcMar>
          </w:tcPr>
          <w:p>
            <w:pPr>
              <w:pStyle w:val="Para 002"/>
            </w:pPr>
            <w:r>
              <w:rPr>
                <w:rStyle w:val="Text0"/>
              </w:rPr>
              <w:t>compile(</w:t>
            </w:r>
            <w:r>
              <w:rPr>
                <w:rStyle w:val="Text3"/>
              </w:rPr>
              <w:t>source</w:t>
            </w:r>
            <w:r>
              <w:rPr>
                <w:rStyle w:val="Text0"/>
              </w:rPr>
              <w:t>,</w:t>
            </w:r>
            <w:r>
              <w:t xml:space="preserve"> </w:t>
            </w:r>
            <w:r>
              <w:rPr>
                <w:rStyle w:val="Text3"/>
              </w:rPr>
              <w:t>filename</w:t>
            </w:r>
            <w:r>
              <w:rPr>
                <w:rStyle w:val="Text0"/>
              </w:rPr>
              <w:t>,</w:t>
            </w:r>
            <w:r>
              <w:t xml:space="preserve"> </w:t>
            </w:r>
            <w:r>
              <w:rPr>
                <w:rStyle w:val="Text3"/>
              </w:rPr>
              <w:t>mode</w:t>
            </w:r>
            <w:r>
              <w:rPr>
                <w:rStyle w:val="Text0"/>
              </w:rPr>
              <w:t>)</w:t>
              <w:br w:clear="none"/>
            </w:r>
            <w:r>
              <w:t xml:space="preserve"> Compiles</w:t>
            </w:r>
            <w:r>
              <w:rPr>
                <w:rStyle w:val="Text111"/>
              </w:rPr>
              <w:bookmarkStart w:id="2049" w:name="idm45965216158144"/>
              <w:t/>
              <w:bookmarkEnd w:id="2049"/>
            </w:r>
            <w:r>
              <w:t xml:space="preserve"> a string and returns a code object usable by </w:t>
            </w:r>
            <w:r>
              <w:rPr>
                <w:rStyle w:val="Text0"/>
              </w:rPr>
              <w:t>exec</w:t>
            </w:r>
            <w:r>
              <w:t xml:space="preserve"> or </w:t>
            </w:r>
            <w:r>
              <w:rPr>
                <w:rStyle w:val="Text0"/>
              </w:rPr>
              <w:t>eval</w:t>
            </w:r>
            <w:r>
              <w:t xml:space="preserve">. </w:t>
            </w:r>
            <w:r>
              <w:rPr>
                <w:rStyle w:val="Text0"/>
              </w:rPr>
              <w:t>compile</w:t>
            </w:r>
            <w:r>
              <w:t xml:space="preserve"> raises </w:t>
            </w:r>
            <w:r>
              <w:rPr>
                <w:rStyle w:val="Text0"/>
              </w:rPr>
              <w:t>SyntaxError</w:t>
            </w:r>
            <w:r>
              <w:t xml:space="preserve"> when </w:t>
            </w:r>
            <w:r>
              <w:rPr>
                <w:rStyle w:val="Text3"/>
              </w:rPr>
              <w:t>source</w:t>
            </w:r>
            <w:r>
              <w:t xml:space="preserve"> is not syntactically valid Python. When </w:t>
            </w:r>
            <w:r>
              <w:rPr>
                <w:rStyle w:val="Text3"/>
              </w:rPr>
              <w:t>source</w:t>
            </w:r>
            <w:r>
              <w:t xml:space="preserve"> is a multiline compound statement, the last character must be </w:t>
            </w:r>
            <w:r>
              <w:rPr>
                <w:rStyle w:val="Text0"/>
              </w:rPr>
              <w:t>'\n'</w:t>
            </w:r>
            <w:r>
              <w:t xml:space="preserve">. </w:t>
            </w:r>
            <w:r>
              <w:rPr>
                <w:rStyle w:val="Text3"/>
              </w:rPr>
              <w:t>mode</w:t>
            </w:r>
            <w:r>
              <w:t xml:space="preserve"> must be </w:t>
            </w:r>
            <w:r>
              <w:rPr>
                <w:rStyle w:val="Text0"/>
              </w:rPr>
              <w:t>'eval'</w:t>
            </w:r>
            <w:r>
              <w:t xml:space="preserve"> when </w:t>
            </w:r>
            <w:r>
              <w:rPr>
                <w:rStyle w:val="Text3"/>
              </w:rPr>
              <w:t>source</w:t>
            </w:r>
            <w:r>
              <w:t xml:space="preserve"> is an expression and the result is meant for </w:t>
            </w:r>
            <w:r>
              <w:rPr>
                <w:rStyle w:val="Text0"/>
              </w:rPr>
              <w:t>eval</w:t>
            </w:r>
            <w:r>
              <w:t xml:space="preserve">; otherwise, </w:t>
            </w:r>
            <w:r>
              <w:rPr>
                <w:rStyle w:val="Text3"/>
              </w:rPr>
              <w:t>mode</w:t>
            </w:r>
            <w:r>
              <w:t xml:space="preserve"> must be </w:t>
            </w:r>
            <w:r>
              <w:rPr>
                <w:rStyle w:val="Text0"/>
              </w:rPr>
              <w:t>'exec'</w:t>
            </w:r>
            <w:r>
              <w:t xml:space="preserve"> (for a single or multiple-statement string) or </w:t>
            </w:r>
            <w:r>
              <w:rPr>
                <w:rStyle w:val="Text0"/>
              </w:rPr>
              <w:t>'single'</w:t>
            </w:r>
            <w:r>
              <w:t xml:space="preserve"> (for a string containing a single statement) when the string is meant for </w:t>
            </w:r>
            <w:r>
              <w:rPr>
                <w:rStyle w:val="Text0"/>
              </w:rPr>
              <w:t>exec</w:t>
            </w:r>
            <w:r>
              <w:t xml:space="preserve">. </w:t>
            </w:r>
            <w:r>
              <w:rPr>
                <w:rStyle w:val="Text3"/>
              </w:rPr>
              <w:t>filename</w:t>
            </w:r>
            <w:r>
              <w:t xml:space="preserve"> must be a string, used only in error messages (if an error occurs). See also </w:t>
            </w:r>
            <w:r>
              <w:rPr>
                <w:rStyle w:val="Text0"/>
              </w:rPr>
              <w:t>eval</w:t>
            </w:r>
            <w:r>
              <w:t xml:space="preserve"> later in this table, and </w:t>
            </w:r>
            <w:hyperlink w:anchor="compile_and_Code_Objects__To_mak">
              <w:r>
                <w:rPr>
                  <w:rStyle w:val="Text1"/>
                </w:rPr>
                <w:t>“compile and Code Objects”</w:t>
              </w:r>
            </w:hyperlink>
            <w:r>
              <w:t>. (</w:t>
            </w:r>
            <w:r>
              <w:rPr>
                <w:rStyle w:val="Text0"/>
              </w:rPr>
              <w:t>compile</w:t>
            </w:r>
            <w:r>
              <w:t xml:space="preserve"> also takes the optional arguments </w:t>
            </w:r>
            <w:r>
              <w:rPr>
                <w:rStyle w:val="Text0"/>
              </w:rPr>
              <w:t>flags</w:t>
            </w:r>
            <w:r>
              <w:t xml:space="preserve">, </w:t>
            </w:r>
            <w:r>
              <w:rPr>
                <w:rStyle w:val="Text0"/>
              </w:rPr>
              <w:t>dont_inherit</w:t>
            </w:r>
            <w:r>
              <w:t xml:space="preserve">, </w:t>
            </w:r>
            <w:r>
              <w:rPr>
                <w:rStyle w:val="Text0"/>
              </w:rPr>
              <w:t>optimize</w:t>
            </w:r>
            <w:r>
              <w:t xml:space="preserve">, and </w:t>
            </w:r>
            <w:r>
              <w:rPr>
                <w:rStyle w:val="Text34"/>
              </w:rPr>
              <w:t>3.11+</w:t>
            </w:r>
            <w:r>
              <w:t xml:space="preserve"> </w:t>
            </w:r>
            <w:r>
              <w:rPr>
                <w:rStyle w:val="Text0"/>
              </w:rPr>
              <w:t>_feature_version</w:t>
            </w:r>
            <w:r>
              <w:t xml:space="preserve">, though these are rarely used; see the </w:t>
            </w:r>
            <w:hyperlink r:id="rId295">
              <w:r>
                <w:rPr>
                  <w:rStyle w:val="Text1"/>
                </w:rPr>
                <w:t>online documentation</w:t>
              </w:r>
            </w:hyperlink>
            <w:r>
              <w:t xml:space="preserve"> for more information on these arguments.)</w:t>
            </w:r>
          </w:p>
        </w:tc>
      </w:tr>
    </w:tbl>
    <w:tbl>
      <w:tblPr>
        <w:tblW w:type="auto" w:w="0"/>
      </w:tblPr>
      <w:tr>
        <w:tc>
          <w:tcPr>
            <w:tcW w:type="auto" w:w="0"/>
            <w:tcMar>
              <w:left w:type="dxa" w:w="200"/>
              <w:top w:type="dxa" w:w="200"/>
              <w:right w:type="dxa" w:w="200"/>
              <w:bottom w:type="dxa" w:w="200"/>
            </w:tcMar>
          </w:tcPr>
          <w:p>
            <w:pPr>
              <w:pStyle w:val="Para 001"/>
            </w:pPr>
            <w:r>
              <w:t>delattr</w:t>
            </w:r>
          </w:p>
        </w:tc>
        <w:tc>
          <w:tcPr>
            <w:tcW w:type="auto" w:w="0"/>
            <w:tcMar>
              <w:left w:type="dxa" w:w="200"/>
              <w:top w:type="dxa" w:w="200"/>
              <w:right w:type="dxa" w:w="200"/>
              <w:bottom w:type="dxa" w:w="200"/>
            </w:tcMar>
          </w:tcPr>
          <w:p>
            <w:pPr>
              <w:pStyle w:val="Para 002"/>
            </w:pPr>
            <w:r>
              <w:rPr>
                <w:rStyle w:val="Text0"/>
              </w:rPr>
              <w:t>delattr(</w:t>
            </w:r>
            <w:r>
              <w:rPr>
                <w:rStyle w:val="Text3"/>
              </w:rPr>
              <w:t>obj</w:t>
            </w:r>
            <w:r>
              <w:rPr>
                <w:rStyle w:val="Text0"/>
              </w:rPr>
              <w:t>,</w:t>
            </w:r>
            <w:r>
              <w:t xml:space="preserve"> </w:t>
            </w:r>
            <w:r>
              <w:rPr>
                <w:rStyle w:val="Text3"/>
              </w:rPr>
              <w:t>name</w:t>
            </w:r>
            <w:r>
              <w:rPr>
                <w:rStyle w:val="Text0"/>
              </w:rPr>
              <w:t>, /)</w:t>
              <w:br w:clear="none"/>
            </w:r>
            <w:r>
              <w:t xml:space="preserve"> Removes</w:t>
            </w:r>
            <w:r>
              <w:rPr>
                <w:rStyle w:val="Text111"/>
              </w:rPr>
              <w:bookmarkStart w:id="2050" w:name="idm45965216133760"/>
              <w:t/>
              <w:bookmarkEnd w:id="2050"/>
            </w:r>
            <w:r>
              <w:t xml:space="preserve"> the attribute </w:t>
            </w:r>
            <w:r>
              <w:rPr>
                <w:rStyle w:val="Text3"/>
              </w:rPr>
              <w:t>name</w:t>
            </w:r>
            <w:r>
              <w:t xml:space="preserve"> from </w:t>
            </w:r>
            <w:r>
              <w:rPr>
                <w:rStyle w:val="Text3"/>
              </w:rPr>
              <w:t>obj</w:t>
            </w:r>
            <w:r>
              <w:t xml:space="preserve">. </w:t>
            </w:r>
            <w:r>
              <w:rPr>
                <w:rStyle w:val="Text0"/>
              </w:rPr>
              <w:t>delattr(</w:t>
            </w:r>
            <w:r>
              <w:rPr>
                <w:rStyle w:val="Text3"/>
              </w:rPr>
              <w:t>obj</w:t>
            </w:r>
            <w:r>
              <w:rPr>
                <w:rStyle w:val="Text0"/>
              </w:rPr>
              <w:t>, '</w:t>
            </w:r>
            <w:r>
              <w:rPr>
                <w:rStyle w:val="Text3"/>
              </w:rPr>
              <w:t>ident</w:t>
            </w:r>
            <w:r>
              <w:rPr>
                <w:rStyle w:val="Text0"/>
              </w:rPr>
              <w:t>')</w:t>
            </w:r>
            <w:r>
              <w:t xml:space="preserve"> is like </w:t>
            </w:r>
            <w:r>
              <w:rPr>
                <w:rStyle w:val="Text0"/>
              </w:rPr>
              <w:t>del</w:t>
            </w:r>
            <w:r>
              <w:t xml:space="preserve"> </w:t>
            </w:r>
            <w:r>
              <w:rPr>
                <w:rStyle w:val="Text3"/>
              </w:rPr>
              <w:t>obj.ident</w:t>
            </w:r>
            <w:r>
              <w:rPr>
                <w:rStyle w:val="Text4"/>
              </w:rPr>
              <w:t>.</w:t>
            </w:r>
            <w:r>
              <w:t xml:space="preserve"> If </w:t>
            </w:r>
            <w:r>
              <w:rPr>
                <w:rStyle w:val="Text3"/>
              </w:rPr>
              <w:t>obj</w:t>
            </w:r>
            <w:r>
              <w:t xml:space="preserve"> has an attribute named </w:t>
            </w:r>
            <w:r>
              <w:rPr>
                <w:rStyle w:val="Text3"/>
              </w:rPr>
              <w:t>name</w:t>
            </w:r>
            <w:r>
              <w:t xml:space="preserve"> just because its class has it (as is normally the case, for example, for </w:t>
            </w:r>
            <w:r>
              <w:rPr>
                <w:rStyle w:val="Text4"/>
              </w:rPr>
              <w:t>methods</w:t>
            </w:r>
            <w:r>
              <w:t xml:space="preserve"> of </w:t>
            </w:r>
            <w:r>
              <w:rPr>
                <w:rStyle w:val="Text3"/>
              </w:rPr>
              <w:t>obj</w:t>
            </w:r>
            <w:r>
              <w:t xml:space="preserve">), you cannot delete that attribute from </w:t>
            </w:r>
            <w:r>
              <w:rPr>
                <w:rStyle w:val="Text3"/>
              </w:rPr>
              <w:t>obj</w:t>
            </w:r>
            <w:r>
              <w:t xml:space="preserve"> itself. You may be able to delete that attribute from the </w:t>
            </w:r>
            <w:r>
              <w:rPr>
                <w:rStyle w:val="Text4"/>
              </w:rPr>
              <w:t>class</w:t>
            </w:r>
            <w:r>
              <w:t xml:space="preserve">, if the metaclass lets you. If you can delete the class attribute, </w:t>
            </w:r>
            <w:r>
              <w:rPr>
                <w:rStyle w:val="Text3"/>
              </w:rPr>
              <w:t>obj</w:t>
            </w:r>
            <w:r>
              <w:t xml:space="preserve"> ceases to have the attribute, and so does every other instance of that class.</w:t>
            </w:r>
          </w:p>
        </w:tc>
      </w:tr>
    </w:tbl>
    <w:tbl>
      <w:tblPr>
        <w:tblW w:type="auto" w:w="0"/>
      </w:tblPr>
      <w:tr>
        <w:tc>
          <w:tcPr>
            <w:tcW w:type="auto" w:w="0"/>
            <w:shd w:val="clear" w:color="auto" w:fill="EEF2F6"/>
            <w:tcMar>
              <w:left w:type="dxa" w:w="200"/>
              <w:top w:type="dxa" w:w="200"/>
              <w:right w:type="dxa" w:w="200"/>
              <w:bottom w:type="dxa" w:w="200"/>
            </w:tcMar>
          </w:tcPr>
          <w:p>
            <w:pPr>
              <w:pStyle w:val="Para 001"/>
            </w:pPr>
            <w:r>
              <w:t>dir</w:t>
            </w:r>
          </w:p>
        </w:tc>
        <w:tc>
          <w:tcPr>
            <w:tcW w:type="auto" w:w="0"/>
            <w:shd w:val="clear" w:color="auto" w:fill="EEF2F6"/>
            <w:tcMar>
              <w:left w:type="dxa" w:w="200"/>
              <w:top w:type="dxa" w:w="200"/>
              <w:right w:type="dxa" w:w="200"/>
              <w:bottom w:type="dxa" w:w="200"/>
            </w:tcMar>
          </w:tcPr>
          <w:p>
            <w:pPr>
              <w:pStyle w:val="Para 002"/>
            </w:pPr>
            <w:r>
              <w:rPr>
                <w:rStyle w:val="Text0"/>
              </w:rPr>
              <w:t>dir([</w:t>
            </w:r>
            <w:r>
              <w:rPr>
                <w:rStyle w:val="Text3"/>
              </w:rPr>
              <w:t>obj</w:t>
            </w:r>
            <w:r>
              <w:rPr>
                <w:rStyle w:val="Text0"/>
              </w:rPr>
              <w:t>, ]/)</w:t>
              <w:br w:clear="none"/>
            </w:r>
            <w:r>
              <w:t xml:space="preserve"> Called</w:t>
            </w:r>
            <w:r>
              <w:rPr>
                <w:rStyle w:val="Text111"/>
              </w:rPr>
              <w:bookmarkStart w:id="2051" w:name="idm45965216119344"/>
              <w:t/>
              <w:bookmarkEnd w:id="2051"/>
            </w:r>
            <w:r>
              <w:t xml:space="preserve"> without arguments, </w:t>
            </w:r>
            <w:r>
              <w:rPr>
                <w:rStyle w:val="Text0"/>
              </w:rPr>
              <w:t>dir</w:t>
            </w:r>
            <w:r>
              <w:t xml:space="preserve"> returns a sorted list of all variable names that are bound in the current scope. </w:t>
            </w:r>
            <w:r>
              <w:rPr>
                <w:rStyle w:val="Text0"/>
              </w:rPr>
              <w:t>dir(</w:t>
            </w:r>
            <w:r>
              <w:rPr>
                <w:rStyle w:val="Text3"/>
              </w:rPr>
              <w:t>obj</w:t>
            </w:r>
            <w:r>
              <w:rPr>
                <w:rStyle w:val="Text0"/>
              </w:rPr>
              <w:t>)</w:t>
            </w:r>
            <w:r>
              <w:t xml:space="preserve"> returns a sorted list of names of attributes of </w:t>
            </w:r>
            <w:r>
              <w:rPr>
                <w:rStyle w:val="Text3"/>
              </w:rPr>
              <w:t>obj</w:t>
            </w:r>
            <w:r>
              <w:t xml:space="preserve">, including ones coming from </w:t>
            </w:r>
            <w:r>
              <w:rPr>
                <w:rStyle w:val="Text3"/>
              </w:rPr>
              <w:t>obj</w:t>
            </w:r>
            <w:r>
              <w:t xml:space="preserve">’s type or by inheritance. See also </w:t>
            </w:r>
            <w:r>
              <w:rPr>
                <w:rStyle w:val="Text0"/>
              </w:rPr>
              <w:t>vars</w:t>
            </w:r>
            <w:r>
              <w:t xml:space="preserve"> later in this table.</w:t>
            </w:r>
          </w:p>
        </w:tc>
      </w:tr>
    </w:tbl>
    <w:tbl>
      <w:tblPr>
        <w:tblW w:type="auto" w:w="0"/>
      </w:tblPr>
      <w:tr>
        <w:tc>
          <w:tcPr>
            <w:tcW w:type="auto" w:w="0"/>
            <w:tcMar>
              <w:left w:type="dxa" w:w="200"/>
              <w:top w:type="dxa" w:w="200"/>
              <w:right w:type="dxa" w:w="200"/>
              <w:bottom w:type="dxa" w:w="200"/>
            </w:tcMar>
          </w:tcPr>
          <w:p>
            <w:pPr>
              <w:pStyle w:val="Para 001"/>
            </w:pPr>
            <w:r>
              <w:t>divmod</w:t>
            </w:r>
          </w:p>
        </w:tc>
        <w:tc>
          <w:tcPr>
            <w:tcW w:type="auto" w:w="0"/>
            <w:tcMar>
              <w:left w:type="dxa" w:w="200"/>
              <w:top w:type="dxa" w:w="200"/>
              <w:right w:type="dxa" w:w="200"/>
              <w:bottom w:type="dxa" w:w="200"/>
            </w:tcMar>
          </w:tcPr>
          <w:p>
            <w:pPr>
              <w:pStyle w:val="Para 002"/>
            </w:pPr>
            <w:r>
              <w:rPr>
                <w:rStyle w:val="Text0"/>
              </w:rPr>
              <w:t>divmod(</w:t>
            </w:r>
            <w:r>
              <w:rPr>
                <w:rStyle w:val="Text3"/>
              </w:rPr>
              <w:t>dividend</w:t>
            </w:r>
            <w:r>
              <w:rPr>
                <w:rStyle w:val="Text0"/>
              </w:rPr>
              <w:t>,</w:t>
            </w:r>
            <w:r>
              <w:t xml:space="preserve"> </w:t>
            </w:r>
            <w:r>
              <w:rPr>
                <w:rStyle w:val="Text3"/>
              </w:rPr>
              <w:t>divisor</w:t>
            </w:r>
            <w:r>
              <w:rPr>
                <w:rStyle w:val="Text0"/>
              </w:rPr>
              <w:t>, /)</w:t>
              <w:br w:clear="none"/>
            </w:r>
            <w:r>
              <w:t xml:space="preserve"> Divides</w:t>
            </w:r>
            <w:r>
              <w:rPr>
                <w:rStyle w:val="Text111"/>
              </w:rPr>
              <w:bookmarkStart w:id="2052" w:name="idm45965216109392"/>
              <w:t/>
              <w:bookmarkEnd w:id="2052"/>
            </w:r>
            <w:r>
              <w:t xml:space="preserve"> two numbers and returns a pair whose items are the quotient and remainder. See also </w:t>
            </w:r>
            <w:r>
              <w:rPr>
                <w:rStyle w:val="Text0"/>
              </w:rPr>
              <w:t>__divmod__</w:t>
            </w:r>
            <w:r>
              <w:t xml:space="preserve"> in </w:t>
            </w:r>
            <w:hyperlink w:anchor="Table_4_4__ABCs_with_additional">
              <w:r>
                <w:rPr>
                  <w:rStyle w:val="Text1"/>
                </w:rPr>
                <w:t>Table 4-4</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enumerate</w:t>
            </w:r>
          </w:p>
        </w:tc>
        <w:tc>
          <w:tcPr>
            <w:tcW w:type="auto" w:w="0"/>
            <w:shd w:val="clear" w:color="auto" w:fill="EEF2F6"/>
            <w:tcMar>
              <w:left w:type="dxa" w:w="200"/>
              <w:top w:type="dxa" w:w="200"/>
              <w:right w:type="dxa" w:w="200"/>
              <w:bottom w:type="dxa" w:w="200"/>
            </w:tcMar>
          </w:tcPr>
          <w:p>
            <w:pPr>
              <w:pStyle w:val="Para 002"/>
            </w:pPr>
            <w:r>
              <w:rPr>
                <w:rStyle w:val="Text0"/>
              </w:rPr>
              <w:t>enumerate(iterable, start=0)</w:t>
              <w:br w:clear="none"/>
            </w:r>
            <w:r>
              <w:t xml:space="preserve"> Returns</w:t>
            </w:r>
            <w:r>
              <w:rPr>
                <w:rStyle w:val="Text111"/>
              </w:rPr>
              <w:bookmarkStart w:id="2053" w:name="idm45965216103904"/>
              <w:t/>
              <w:bookmarkEnd w:id="2053"/>
            </w:r>
            <w:r>
              <w:t xml:space="preserve"> a new iterator whose items are pairs. For each such pair, the second item is the corresponding item in </w:t>
            </w:r>
            <w:r>
              <w:rPr>
                <w:rStyle w:val="Text0"/>
              </w:rPr>
              <w:t>iterable</w:t>
            </w:r>
            <w:r>
              <w:t xml:space="preserve">, while the first item is an integer: </w:t>
            </w:r>
            <w:r>
              <w:rPr>
                <w:rStyle w:val="Text0"/>
              </w:rPr>
              <w:t>start, start+1, start+2...</w:t>
            </w:r>
            <w:r>
              <w:t xml:space="preserve">. For example, the following snippet loops on a list </w:t>
            </w:r>
            <w:r>
              <w:rPr>
                <w:rStyle w:val="Text0"/>
              </w:rPr>
              <w:t>L</w:t>
            </w:r>
            <w:r>
              <w:t xml:space="preserve"> of integers, changing </w:t>
            </w:r>
            <w:r>
              <w:rPr>
                <w:rStyle w:val="Text0"/>
              </w:rPr>
              <w:t>L</w:t>
            </w:r>
            <w:r>
              <w:t xml:space="preserve"> in place by halving every even value: </w:t>
            </w:r>
          </w:p>
          <w:p>
            <w:pPr>
              <w:pStyle w:val="Para 063"/>
            </w:pPr>
            <w:r>
              <w:rPr>
                <w:rStyle w:val="Text104"/>
              </w:rPr>
              <w:t xml:space="preserve"/>
              <w:br w:clear="none"/>
            </w:r>
            <w:r>
              <w:rPr>
                <w:rStyle w:val="Text10"/>
              </w:rPr>
              <w:t xml:space="preserve">for</w:t>
              <w:br w:clear="none"/>
            </w:r>
            <w:r>
              <w:t xml:space="preserve"> </w:t>
              <w:br w:clear="none"/>
            </w:r>
            <w:r>
              <w:rPr>
                <w:rStyle w:val="Text9"/>
              </w:rPr>
              <w:t xml:space="preserve">i</w:t>
              <w:br w:clear="none"/>
            </w:r>
            <w:r>
              <w:rPr>
                <w:rStyle w:val="Text7"/>
              </w:rPr>
              <w:t xml:space="preserve">,</w:t>
              <w:br w:clear="none"/>
            </w:r>
            <w:r>
              <w:t xml:space="preserve"> </w:t>
              <w:br w:clear="none"/>
            </w:r>
            <w:r>
              <w:rPr>
                <w:rStyle w:val="Text9"/>
              </w:rPr>
              <w:t xml:space="preserve">num</w:t>
              <w:br w:clear="none"/>
            </w:r>
            <w:r>
              <w:t xml:space="preserve"> </w:t>
              <w:br w:clear="none"/>
            </w:r>
            <w:r>
              <w:rPr>
                <w:rStyle w:val="Text31"/>
              </w:rPr>
              <w:t xml:space="preserve">in</w:t>
              <w:br w:clear="none"/>
            </w:r>
            <w:r>
              <w:t xml:space="preserve"> </w:t>
              <w:br w:clear="none"/>
            </w:r>
            <w:r>
              <w:rPr>
                <w:rStyle w:val="Text16"/>
              </w:rPr>
              <w:t xml:space="preserve">enumerate</w:t>
              <w:br w:clear="none"/>
            </w:r>
            <w:r>
              <w:rPr>
                <w:rStyle w:val="Text7"/>
              </w:rPr>
              <w:t xml:space="preserve">(</w:t>
              <w:br w:clear="none"/>
            </w:r>
            <w:r>
              <w:rPr>
                <w:rStyle w:val="Text9"/>
              </w:rPr>
              <w:t xml:space="preserve">L</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num</w:t>
              <w:br w:clear="none"/>
            </w:r>
            <w:r>
              <w:t xml:space="preserve"> </w:t>
              <w:br w:clear="none"/>
            </w:r>
            <w:r>
              <w:rPr>
                <w:rStyle w:val="Text13"/>
              </w:rPr>
              <w:t xml:space="preserve">%</w:t>
              <w:br w:clear="none"/>
            </w:r>
            <w:r>
              <w:t xml:space="preserve"> </w:t>
              <w:br w:clear="none"/>
            </w:r>
            <w:r>
              <w:rPr>
                <w:rStyle w:val="Text27"/>
              </w:rPr>
              <w:t xml:space="preserve">2</w:t>
              <w:br w:clear="none"/>
            </w:r>
            <w:r>
              <w:t xml:space="preserve"> </w:t>
              <w:br w:clear="none"/>
            </w:r>
            <w:r>
              <w:rPr>
                <w:rStyle w:val="Text13"/>
              </w:rPr>
              <w:t xml:space="preserve">==</w:t>
              <w:br w:clear="none"/>
            </w:r>
            <w:r>
              <w:t xml:space="preserve"> </w:t>
              <w:br w:clear="none"/>
            </w:r>
            <w:r>
              <w:rPr>
                <w:rStyle w:val="Text27"/>
              </w:rPr>
              <w:t xml:space="preserve">0</w:t>
              <w:br w:clear="none"/>
            </w:r>
            <w:r>
              <w:rPr>
                <w:rStyle w:val="Text7"/>
              </w:rPr>
              <w:t xml:space="preserve">:</w:t>
              <w:br w:clear="none"/>
            </w:r>
            <w:r>
              <w:t xml:space="preserve"/>
              <w:br w:clear="none"/>
              <w:t xml:space="preserve">        </w:t>
              <w:br w:clear="none"/>
            </w:r>
            <w:r>
              <w:rPr>
                <w:rStyle w:val="Text9"/>
              </w:rPr>
              <w:t xml:space="preserve">L</w:t>
              <w:br w:clear="none"/>
            </w:r>
            <w:r>
              <w:rPr>
                <w:rStyle w:val="Text7"/>
              </w:rPr>
              <w:t xml:space="preserve">[</w:t>
              <w:br w:clear="none"/>
            </w:r>
            <w:r>
              <w:rPr>
                <w:rStyle w:val="Text9"/>
              </w:rPr>
              <w:t xml:space="preserve">i</w:t>
              <w:br w:clear="none"/>
            </w:r>
            <w:r>
              <w:rPr>
                <w:rStyle w:val="Text7"/>
              </w:rPr>
              <w:t xml:space="preserve">]</w:t>
              <w:br w:clear="none"/>
            </w:r>
            <w:r>
              <w:t xml:space="preserve"> </w:t>
              <w:br w:clear="none"/>
            </w:r>
            <w:r>
              <w:rPr>
                <w:rStyle w:val="Text13"/>
              </w:rPr>
              <w:t xml:space="preserve">=</w:t>
              <w:br w:clear="none"/>
            </w:r>
            <w:r>
              <w:t xml:space="preserve"> </w:t>
              <w:br w:clear="none"/>
            </w:r>
            <w:r>
              <w:rPr>
                <w:rStyle w:val="Text9"/>
              </w:rPr>
              <w:t xml:space="preserve">num</w:t>
              <w:br w:clear="none"/>
            </w:r>
            <w:r>
              <w:t xml:space="preserve"> </w:t>
              <w:br w:clear="none"/>
            </w:r>
            <w:r>
              <w:rPr>
                <w:rStyle w:val="Text13"/>
              </w:rPr>
              <w:t xml:space="preserve">/</w:t>
              <w:br w:clear="none"/>
              <w:t xml:space="preserve">/</w:t>
              <w:br w:clear="none"/>
            </w:r>
            <w:r>
              <w:t xml:space="preserve"> </w:t>
              <w:br w:clear="none"/>
            </w:r>
            <w:r>
              <w:rPr>
                <w:rStyle w:val="Text27"/>
              </w:rPr>
              <w:t xml:space="preserve">2</w:t>
              <w:br w:clear="none"/>
            </w:r>
          </w:p>
          <w:p>
            <w:pPr>
              <w:pStyle w:val="Para 022"/>
            </w:pPr>
            <w:r>
              <w:rPr>
                <w:rStyle w:val="Text0"/>
              </w:rPr>
              <w:t>enumerate</w:t>
            </w:r>
            <w:r>
              <w:t xml:space="preserve"> is one of the few built-ins callable with named arguments.</w:t>
            </w:r>
          </w:p>
        </w:tc>
      </w:tr>
    </w:tbl>
    <w:tbl>
      <w:tblPr>
        <w:tblW w:type="auto" w:w="0"/>
      </w:tblPr>
      <w:tr>
        <w:tc>
          <w:tcPr>
            <w:tcW w:type="auto" w:w="0"/>
            <w:tcMar>
              <w:left w:type="dxa" w:w="200"/>
              <w:top w:type="dxa" w:w="200"/>
              <w:right w:type="dxa" w:w="200"/>
              <w:bottom w:type="dxa" w:w="200"/>
            </w:tcMar>
          </w:tcPr>
          <w:p>
            <w:pPr>
              <w:pStyle w:val="Para 001"/>
            </w:pPr>
            <w:r>
              <w:t>eval</w:t>
            </w:r>
          </w:p>
        </w:tc>
        <w:tc>
          <w:tcPr>
            <w:tcW w:type="auto" w:w="0"/>
            <w:tcMar>
              <w:left w:type="dxa" w:w="200"/>
              <w:top w:type="dxa" w:w="200"/>
              <w:right w:type="dxa" w:w="200"/>
              <w:bottom w:type="dxa" w:w="200"/>
            </w:tcMar>
          </w:tcPr>
          <w:p>
            <w:pPr>
              <w:pStyle w:val="Para 002"/>
            </w:pPr>
            <w:r>
              <w:rPr>
                <w:rStyle w:val="Text0"/>
              </w:rPr>
              <w:t>eval(</w:t>
            </w:r>
            <w:r>
              <w:rPr>
                <w:rStyle w:val="Text3"/>
              </w:rPr>
              <w:t>expr</w:t>
            </w:r>
            <w:r>
              <w:rPr>
                <w:rStyle w:val="Text0"/>
              </w:rPr>
              <w:t>[,</w:t>
            </w:r>
            <w:r>
              <w:t xml:space="preserve"> </w:t>
            </w:r>
            <w:r>
              <w:rPr>
                <w:rStyle w:val="Text3"/>
              </w:rPr>
              <w:t>globals</w:t>
            </w:r>
            <w:r>
              <w:rPr>
                <w:rStyle w:val="Text0"/>
              </w:rPr>
              <w:t>[,</w:t>
            </w:r>
            <w:r>
              <w:t xml:space="preserve"> </w:t>
            </w:r>
            <w:r>
              <w:rPr>
                <w:rStyle w:val="Text3"/>
              </w:rPr>
              <w:t>locals</w:t>
            </w:r>
            <w:r>
              <w:rPr>
                <w:rStyle w:val="Text0"/>
              </w:rPr>
              <w:t>]]</w:t>
            </w:r>
            <w:r>
              <w:rPr>
                <w:rStyle w:val="Text3"/>
              </w:rPr>
              <w:t>,</w:t>
            </w:r>
            <w:r>
              <w:t xml:space="preserve"> </w:t>
            </w:r>
            <w:r>
              <w:rPr>
                <w:rStyle w:val="Text0"/>
              </w:rPr>
              <w:t>/)</w:t>
              <w:br w:clear="none"/>
            </w:r>
            <w:r>
              <w:t xml:space="preserve"> Returns</w:t>
            </w:r>
            <w:r>
              <w:rPr>
                <w:rStyle w:val="Text111"/>
              </w:rPr>
              <w:bookmarkStart w:id="2054" w:name="idm45965216061408"/>
              <w:t/>
              <w:bookmarkEnd w:id="2054"/>
            </w:r>
            <w:r>
              <w:t xml:space="preserve"> the result of an expression. </w:t>
            </w:r>
            <w:r>
              <w:rPr>
                <w:rStyle w:val="Text3"/>
              </w:rPr>
              <w:t>expr</w:t>
            </w:r>
            <w:r>
              <w:t xml:space="preserve"> may be a code object ready for evaluation, or a string; if a string, </w:t>
            </w:r>
            <w:r>
              <w:rPr>
                <w:rStyle w:val="Text0"/>
              </w:rPr>
              <w:t>eval</w:t>
            </w:r>
            <w:r>
              <w:t xml:space="preserve"> gets a code object by internally calling </w:t>
            </w:r>
            <w:r>
              <w:rPr>
                <w:rStyle w:val="Text0"/>
              </w:rPr>
              <w:t>compile(</w:t>
            </w:r>
            <w:r>
              <w:rPr>
                <w:rStyle w:val="Text3"/>
              </w:rPr>
              <w:t>expr</w:t>
            </w:r>
            <w:r>
              <w:rPr>
                <w:rStyle w:val="Text0"/>
              </w:rPr>
              <w:t>, '&lt;string&gt;', 'eval')</w:t>
            </w:r>
            <w:r>
              <w:t xml:space="preserve">. </w:t>
            </w:r>
            <w:r>
              <w:rPr>
                <w:rStyle w:val="Text0"/>
              </w:rPr>
              <w:t>eval</w:t>
            </w:r>
            <w:r>
              <w:t xml:space="preserve"> evaluates the code object as an expression, using the </w:t>
            </w:r>
            <w:r>
              <w:rPr>
                <w:rStyle w:val="Text3"/>
              </w:rPr>
              <w:t>globals</w:t>
            </w:r>
            <w:r>
              <w:t xml:space="preserve"> and </w:t>
            </w:r>
            <w:r>
              <w:rPr>
                <w:rStyle w:val="Text3"/>
              </w:rPr>
              <w:t>locals</w:t>
            </w:r>
            <w:r>
              <w:t xml:space="preserve"> dictionaries as namespaces (when they’re missing, </w:t>
            </w:r>
            <w:r>
              <w:rPr>
                <w:rStyle w:val="Text0"/>
              </w:rPr>
              <w:t>eval</w:t>
            </w:r>
            <w:r>
              <w:t xml:space="preserve"> uses the current namespace). </w:t>
            </w:r>
            <w:r>
              <w:rPr>
                <w:rStyle w:val="Text0"/>
              </w:rPr>
              <w:t>eval</w:t>
            </w:r>
            <w:r>
              <w:t xml:space="preserve"> doesn’t execute statements: it only evaluates expressions. Nevertheless, </w:t>
            </w:r>
            <w:r>
              <w:rPr>
                <w:rStyle w:val="Text0"/>
              </w:rPr>
              <w:t>eval</w:t>
            </w:r>
            <w:r>
              <w:t xml:space="preserve"> is dangerous; avoid it unless you know and trust that </w:t>
            </w:r>
            <w:r>
              <w:rPr>
                <w:rStyle w:val="Text3"/>
              </w:rPr>
              <w:t>expr</w:t>
            </w:r>
            <w:r>
              <w:t xml:space="preserve"> comes from a source that you are certain is safe. See also </w:t>
            </w:r>
            <w:r>
              <w:rPr>
                <w:rStyle w:val="Text0"/>
              </w:rPr>
              <w:t>ast.literal_eval</w:t>
            </w:r>
            <w:r>
              <w:t xml:space="preserve"> (covered in </w:t>
            </w:r>
            <w:hyperlink w:anchor="Standard_Input__In_addition_to_s">
              <w:r>
                <w:rPr>
                  <w:rStyle w:val="Text1"/>
                </w:rPr>
                <w:t>“Standard Input”</w:t>
              </w:r>
            </w:hyperlink>
            <w:r>
              <w:t xml:space="preserve">), and </w:t>
            </w:r>
            <w:hyperlink w:anchor="Dynamic_Execution_and_exec__Pyth">
              <w:r>
                <w:rPr>
                  <w:rStyle w:val="Text1"/>
                </w:rPr>
                <w:t>“Dynamic Execution and exec”</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exec</w:t>
            </w:r>
          </w:p>
        </w:tc>
        <w:tc>
          <w:tcPr>
            <w:tcW w:type="auto" w:w="0"/>
            <w:shd w:val="clear" w:color="auto" w:fill="EEF2F6"/>
            <w:tcMar>
              <w:left w:type="dxa" w:w="200"/>
              <w:top w:type="dxa" w:w="200"/>
              <w:right w:type="dxa" w:w="200"/>
              <w:bottom w:type="dxa" w:w="200"/>
            </w:tcMar>
          </w:tcPr>
          <w:p>
            <w:pPr>
              <w:pStyle w:val="Para 002"/>
            </w:pPr>
            <w:r>
              <w:rPr>
                <w:rStyle w:val="Text0"/>
              </w:rPr>
              <w:t>exec(</w:t>
            </w:r>
            <w:r>
              <w:rPr>
                <w:rStyle w:val="Text3"/>
              </w:rPr>
              <w:t>statement</w:t>
            </w:r>
            <w:r>
              <w:rPr>
                <w:rStyle w:val="Text0"/>
              </w:rPr>
              <w:t>[,</w:t>
            </w:r>
            <w:r>
              <w:t xml:space="preserve"> </w:t>
            </w:r>
            <w:r>
              <w:rPr>
                <w:rStyle w:val="Text3"/>
              </w:rPr>
              <w:t>globals</w:t>
            </w:r>
            <w:r>
              <w:rPr>
                <w:rStyle w:val="Text0"/>
              </w:rPr>
              <w:t>[,</w:t>
            </w:r>
            <w:r>
              <w:t xml:space="preserve"> </w:t>
            </w:r>
            <w:r>
              <w:rPr>
                <w:rStyle w:val="Text3"/>
              </w:rPr>
              <w:t>locals</w:t>
            </w:r>
            <w:r>
              <w:rPr>
                <w:rStyle w:val="Text0"/>
              </w:rPr>
              <w:t>]]</w:t>
            </w:r>
            <w:r>
              <w:rPr>
                <w:rStyle w:val="Text3"/>
              </w:rPr>
              <w:t>, /</w:t>
            </w:r>
            <w:r>
              <w:rPr>
                <w:rStyle w:val="Text0"/>
              </w:rPr>
              <w:t>)</w:t>
              <w:br w:clear="none"/>
            </w:r>
            <w:r>
              <w:t xml:space="preserve"> Like</w:t>
            </w:r>
            <w:r>
              <w:rPr>
                <w:rStyle w:val="Text111"/>
              </w:rPr>
              <w:bookmarkStart w:id="2055" w:name="idm45965216016544"/>
              <w:t/>
              <w:bookmarkEnd w:id="2055"/>
            </w:r>
            <w:r>
              <w:t xml:space="preserve"> </w:t>
            </w:r>
            <w:r>
              <w:rPr>
                <w:rStyle w:val="Text0"/>
              </w:rPr>
              <w:t>eval</w:t>
            </w:r>
            <w:r>
              <w:t xml:space="preserve">, but applies to any statement and returns </w:t>
            </w:r>
            <w:r>
              <w:rPr>
                <w:rStyle w:val="Text5"/>
              </w:rPr>
              <w:t>None</w:t>
            </w:r>
            <w:r>
              <w:t xml:space="preserve">. </w:t>
            </w:r>
            <w:r>
              <w:rPr>
                <w:rStyle w:val="Text0"/>
              </w:rPr>
              <w:t>exec</w:t>
            </w:r>
            <w:r>
              <w:t xml:space="preserve"> is very dangerous, unless you know and trust that </w:t>
            </w:r>
            <w:r>
              <w:rPr>
                <w:rStyle w:val="Text3"/>
              </w:rPr>
              <w:t>statement</w:t>
            </w:r>
            <w:r>
              <w:t xml:space="preserve"> comes from a source that you are certain is safe. See also </w:t>
            </w:r>
            <w:hyperlink w:anchor="Statements__You_can_look_at_a_Py">
              <w:r>
                <w:rPr>
                  <w:rStyle w:val="Text1"/>
                </w:rPr>
                <w:t>“Statements”</w:t>
              </w:r>
            </w:hyperlink>
            <w:r>
              <w:t xml:space="preserve"> and </w:t>
            </w:r>
            <w:hyperlink w:anchor="Dynamic_Execution_and_exec__Pyth">
              <w:r>
                <w:rPr>
                  <w:rStyle w:val="Text1"/>
                </w:rPr>
                <w:t>“Dynamic Execution and exec”</w:t>
              </w:r>
            </w:hyperlink>
            <w:r>
              <w:t>.</w:t>
            </w:r>
          </w:p>
        </w:tc>
      </w:tr>
    </w:tbl>
    <w:tbl>
      <w:tblPr>
        <w:tblW w:type="auto" w:w="0"/>
      </w:tblPr>
      <w:tr>
        <w:tc>
          <w:tcPr>
            <w:tcW w:type="auto" w:w="0"/>
            <w:tcMar>
              <w:left w:type="dxa" w:w="200"/>
              <w:top w:type="dxa" w:w="200"/>
              <w:right w:type="dxa" w:w="200"/>
              <w:bottom w:type="dxa" w:w="200"/>
            </w:tcMar>
          </w:tcPr>
          <w:p>
            <w:pPr>
              <w:pStyle w:val="Para 001"/>
            </w:pPr>
            <w:r>
              <w:t>filter</w:t>
            </w:r>
          </w:p>
        </w:tc>
        <w:tc>
          <w:tcPr>
            <w:tcW w:type="auto" w:w="0"/>
            <w:tcMar>
              <w:left w:type="dxa" w:w="200"/>
              <w:top w:type="dxa" w:w="200"/>
              <w:right w:type="dxa" w:w="200"/>
              <w:bottom w:type="dxa" w:w="200"/>
            </w:tcMar>
          </w:tcPr>
          <w:p>
            <w:pPr>
              <w:pStyle w:val="Para 002"/>
            </w:pPr>
            <w:r>
              <w:rPr>
                <w:rStyle w:val="Text0"/>
              </w:rPr>
              <w:t>filter(</w:t>
            </w:r>
            <w:r>
              <w:rPr>
                <w:rStyle w:val="Text3"/>
              </w:rPr>
              <w:t>func</w:t>
            </w:r>
            <w:r>
              <w:rPr>
                <w:rStyle w:val="Text0"/>
              </w:rPr>
              <w:t>,</w:t>
            </w:r>
            <w:r>
              <w:t xml:space="preserve"> </w:t>
            </w:r>
            <w:r>
              <w:rPr>
                <w:rStyle w:val="Text3"/>
              </w:rPr>
              <w:t>seq</w:t>
            </w:r>
            <w:r>
              <w:rPr>
                <w:rStyle w:val="Text0"/>
              </w:rPr>
              <w:t>, /)</w:t>
              <w:br w:clear="none"/>
            </w:r>
            <w:r>
              <w:t xml:space="preserve"> Returns</w:t>
            </w:r>
            <w:r>
              <w:rPr>
                <w:rStyle w:val="Text111"/>
              </w:rPr>
              <w:bookmarkStart w:id="2056" w:name="idm45965216005888"/>
              <w:t/>
              <w:bookmarkEnd w:id="2056"/>
            </w:r>
            <w:r>
              <w:t xml:space="preserve"> an iterator of those items of </w:t>
            </w:r>
            <w:r>
              <w:rPr>
                <w:rStyle w:val="Text3"/>
              </w:rPr>
              <w:t>seq</w:t>
            </w:r>
            <w:r>
              <w:t xml:space="preserve"> for which </w:t>
            </w:r>
            <w:r>
              <w:rPr>
                <w:rStyle w:val="Text3"/>
              </w:rPr>
              <w:t>func</w:t>
            </w:r>
            <w:r>
              <w:t xml:space="preserve"> is true. </w:t>
            </w:r>
            <w:r>
              <w:rPr>
                <w:rStyle w:val="Text3"/>
              </w:rPr>
              <w:t>func</w:t>
            </w:r>
            <w:r>
              <w:t xml:space="preserve"> can be any callable object accepting a single argument, or </w:t>
            </w:r>
            <w:r>
              <w:rPr>
                <w:rStyle w:val="Text5"/>
              </w:rPr>
              <w:t>None</w:t>
            </w:r>
            <w:r>
              <w:t xml:space="preserve">. </w:t>
            </w:r>
            <w:r>
              <w:rPr>
                <w:rStyle w:val="Text3"/>
              </w:rPr>
              <w:t>seq</w:t>
            </w:r>
            <w:r>
              <w:t xml:space="preserve"> can be any iterable. When </w:t>
            </w:r>
            <w:r>
              <w:rPr>
                <w:rStyle w:val="Text3"/>
              </w:rPr>
              <w:t>func</w:t>
            </w:r>
            <w:r>
              <w:t xml:space="preserve"> is callable, </w:t>
            </w:r>
            <w:r>
              <w:rPr>
                <w:rStyle w:val="Text0"/>
              </w:rPr>
              <w:t>filter</w:t>
            </w:r>
            <w:r>
              <w:t xml:space="preserve"> calls </w:t>
            </w:r>
            <w:r>
              <w:rPr>
                <w:rStyle w:val="Text3"/>
              </w:rPr>
              <w:t>func</w:t>
            </w:r>
            <w:r>
              <w:t xml:space="preserve"> on each item of </w:t>
            </w:r>
            <w:r>
              <w:rPr>
                <w:rStyle w:val="Text3"/>
              </w:rPr>
              <w:t>seq</w:t>
            </w:r>
            <w:r>
              <w:t xml:space="preserve">, just like the following generator expression: </w:t>
            </w:r>
          </w:p>
          <w:p>
            <w:pPr>
              <w:pStyle w:val="Para 051"/>
            </w:pPr>
            <w:r>
              <w:rPr>
                <w:rStyle w:val="Text116"/>
              </w:rPr>
              <w:t xml:space="preserve"/>
              <w:br w:clear="none"/>
            </w:r>
            <w:r>
              <w:rPr>
                <w:rStyle w:val="Text19"/>
              </w:rPr>
              <w:t xml:space="preserve">(</w:t>
              <w:br w:clear="none"/>
            </w:r>
            <w:r>
              <w:t xml:space="preserve">item</w:t>
              <w:br w:clear="none"/>
            </w:r>
            <w:r>
              <w:rPr>
                <w:rStyle w:val="Text11"/>
              </w:rPr>
              <w:t xml:space="preserve"> </w:t>
              <w:br w:clear="none"/>
            </w:r>
            <w:r>
              <w:rPr>
                <w:rStyle w:val="Text22"/>
              </w:rPr>
              <w:t xml:space="preserve">for</w:t>
              <w:br w:clear="none"/>
            </w:r>
            <w:r>
              <w:rPr>
                <w:rStyle w:val="Text11"/>
              </w:rPr>
              <w:t xml:space="preserve"> </w:t>
              <w:br w:clear="none"/>
            </w:r>
            <w:r>
              <w:t xml:space="preserve">item</w:t>
              <w:br w:clear="none"/>
            </w:r>
            <w:r>
              <w:rPr>
                <w:rStyle w:val="Text11"/>
              </w:rPr>
              <w:t xml:space="preserve"> </w:t>
              <w:br w:clear="none"/>
            </w:r>
            <w:r>
              <w:rPr>
                <w:rStyle w:val="Text51"/>
              </w:rPr>
              <w:t xml:space="preserve">in</w:t>
              <w:br w:clear="none"/>
            </w:r>
            <w:r>
              <w:rPr>
                <w:rStyle w:val="Text11"/>
              </w:rPr>
              <w:t xml:space="preserve"> </w:t>
              <w:br w:clear="none"/>
            </w:r>
            <w:r>
              <w:t xml:space="preserve">seq</w:t>
              <w:br w:clear="none"/>
            </w:r>
            <w:r>
              <w:rPr>
                <w:rStyle w:val="Text11"/>
              </w:rPr>
              <w:t xml:space="preserve"> </w:t>
              <w:br w:clear="none"/>
            </w:r>
            <w:r>
              <w:rPr>
                <w:rStyle w:val="Text22"/>
              </w:rPr>
              <w:t xml:space="preserve">if</w:t>
              <w:br w:clear="none"/>
            </w:r>
            <w:r>
              <w:rPr>
                <w:rStyle w:val="Text11"/>
              </w:rPr>
              <w:t xml:space="preserve"> </w:t>
              <w:br w:clear="none"/>
            </w:r>
            <w:r>
              <w:t xml:space="preserve">func</w:t>
              <w:br w:clear="none"/>
            </w:r>
            <w:r>
              <w:rPr>
                <w:rStyle w:val="Text19"/>
              </w:rPr>
              <w:t xml:space="preserve">(</w:t>
              <w:br w:clear="none"/>
            </w:r>
            <w:r>
              <w:t xml:space="preserve">item</w:t>
              <w:br w:clear="none"/>
            </w:r>
            <w:r>
              <w:rPr>
                <w:rStyle w:val="Text19"/>
              </w:rPr>
              <w:t xml:space="preserve">)</w:t>
              <w:br w:clear="none"/>
            </w:r>
          </w:p>
          <w:p>
            <w:pPr>
              <w:pStyle w:val="Para 022"/>
            </w:pPr>
            <w:r>
              <w:t xml:space="preserve"> When </w:t>
            </w:r>
            <w:r>
              <w:rPr>
                <w:rStyle w:val="Text3"/>
              </w:rPr>
              <w:t>func</w:t>
            </w:r>
            <w:r>
              <w:t xml:space="preserve"> is </w:t>
            </w:r>
            <w:r>
              <w:rPr>
                <w:rStyle w:val="Text5"/>
              </w:rPr>
              <w:t>None</w:t>
            </w:r>
            <w:r>
              <w:t xml:space="preserve">, </w:t>
            </w:r>
            <w:r>
              <w:rPr>
                <w:rStyle w:val="Text0"/>
              </w:rPr>
              <w:t>filter</w:t>
            </w:r>
            <w:r>
              <w:t xml:space="preserve"> tests for truthy items, just like: </w:t>
            </w:r>
          </w:p>
          <w:p>
            <w:pPr>
              <w:pStyle w:val="Para 051"/>
            </w:pPr>
            <w:r>
              <w:rPr>
                <w:rStyle w:val="Text116"/>
              </w:rPr>
              <w:t xml:space="preserve"/>
              <w:br w:clear="none"/>
            </w:r>
            <w:r>
              <w:rPr>
                <w:rStyle w:val="Text19"/>
              </w:rPr>
              <w:t xml:space="preserve">(</w:t>
              <w:br w:clear="none"/>
            </w:r>
            <w:r>
              <w:t xml:space="preserve">item</w:t>
              <w:br w:clear="none"/>
            </w:r>
            <w:r>
              <w:rPr>
                <w:rStyle w:val="Text11"/>
              </w:rPr>
              <w:t xml:space="preserve"> </w:t>
              <w:br w:clear="none"/>
            </w:r>
            <w:r>
              <w:rPr>
                <w:rStyle w:val="Text22"/>
              </w:rPr>
              <w:t xml:space="preserve">for</w:t>
              <w:br w:clear="none"/>
            </w:r>
            <w:r>
              <w:rPr>
                <w:rStyle w:val="Text11"/>
              </w:rPr>
              <w:t xml:space="preserve"> </w:t>
              <w:br w:clear="none"/>
            </w:r>
            <w:r>
              <w:t xml:space="preserve">item</w:t>
              <w:br w:clear="none"/>
            </w:r>
            <w:r>
              <w:rPr>
                <w:rStyle w:val="Text11"/>
              </w:rPr>
              <w:t xml:space="preserve"> </w:t>
              <w:br w:clear="none"/>
            </w:r>
            <w:r>
              <w:rPr>
                <w:rStyle w:val="Text51"/>
              </w:rPr>
              <w:t xml:space="preserve">in</w:t>
              <w:br w:clear="none"/>
            </w:r>
            <w:r>
              <w:rPr>
                <w:rStyle w:val="Text11"/>
              </w:rPr>
              <w:t xml:space="preserve"> </w:t>
              <w:br w:clear="none"/>
            </w:r>
            <w:r>
              <w:t xml:space="preserve">seq</w:t>
              <w:br w:clear="none"/>
            </w:r>
            <w:r>
              <w:rPr>
                <w:rStyle w:val="Text11"/>
              </w:rPr>
              <w:t xml:space="preserve"> </w:t>
              <w:br w:clear="none"/>
            </w:r>
            <w:r>
              <w:rPr>
                <w:rStyle w:val="Text22"/>
              </w:rPr>
              <w:t xml:space="preserve">if</w:t>
              <w:br w:clear="none"/>
            </w:r>
            <w:r>
              <w:rPr>
                <w:rStyle w:val="Text11"/>
              </w:rPr>
              <w:t xml:space="preserve"> </w:t>
              <w:br w:clear="none"/>
            </w:r>
            <w:r>
              <w:t xml:space="preserve">item</w:t>
              <w:br w:clear="none"/>
            </w:r>
            <w:r>
              <w:rPr>
                <w:rStyle w:val="Text19"/>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format</w:t>
            </w:r>
          </w:p>
        </w:tc>
        <w:tc>
          <w:tcPr>
            <w:tcW w:type="auto" w:w="0"/>
            <w:shd w:val="clear" w:color="auto" w:fill="EEF2F6"/>
            <w:tcMar>
              <w:left w:type="dxa" w:w="200"/>
              <w:top w:type="dxa" w:w="200"/>
              <w:right w:type="dxa" w:w="200"/>
              <w:bottom w:type="dxa" w:w="200"/>
            </w:tcMar>
          </w:tcPr>
          <w:p>
            <w:pPr>
              <w:pStyle w:val="Para 001"/>
            </w:pPr>
            <w:r>
              <w:t>format(</w:t>
            </w:r>
            <w:r>
              <w:rPr>
                <w:rStyle w:val="Text3"/>
              </w:rPr>
              <w:t>x</w:t>
            </w:r>
            <w:r>
              <w:t>,</w:t>
            </w:r>
            <w:r>
              <w:rPr>
                <w:rStyle w:val="Text12"/>
              </w:rPr>
              <w:t xml:space="preserve"> </w:t>
            </w:r>
            <w:r>
              <w:rPr>
                <w:rStyle w:val="Text3"/>
              </w:rPr>
              <w:t>format_spec</w:t>
            </w:r>
            <w:r>
              <w:t>='', /)</w:t>
              <w:br w:clear="none"/>
            </w:r>
            <w:r>
              <w:rPr>
                <w:rStyle w:val="Text12"/>
              </w:rPr>
              <w:t xml:space="preserve"> Returns</w:t>
            </w:r>
            <w:r>
              <w:rPr>
                <w:rStyle w:val="Text115"/>
              </w:rPr>
              <w:bookmarkStart w:id="2057" w:name="idm45965215940416"/>
              <w:t/>
              <w:bookmarkEnd w:id="2057"/>
            </w:r>
            <w:r>
              <w:rPr>
                <w:rStyle w:val="Text12"/>
              </w:rPr>
              <w:t xml:space="preserve"> </w:t>
            </w:r>
            <w:r>
              <w:rPr>
                <w:rStyle w:val="Text3"/>
              </w:rPr>
              <w:t>x</w:t>
            </w:r>
            <w:r>
              <w:t>.__format__(</w:t>
            </w:r>
            <w:r>
              <w:rPr>
                <w:rStyle w:val="Text3"/>
              </w:rPr>
              <w:t>format_spec</w:t>
            </w:r>
            <w:r>
              <w:t>)</w:t>
            </w:r>
            <w:r>
              <w:rPr>
                <w:rStyle w:val="Text12"/>
              </w:rPr>
              <w:t xml:space="preserve">. See </w:t>
            </w:r>
            <w:hyperlink w:anchor="Table_4_1__General_purpose_speci">
              <w:r>
                <w:rPr>
                  <w:rStyle w:val="Text43"/>
                </w:rPr>
                <w:t>Table 4-1</w:t>
              </w:r>
            </w:hyperlink>
            <w:r>
              <w:rPr>
                <w:rStyle w:val="Text12"/>
              </w:rPr>
              <w:t>.</w:t>
            </w:r>
          </w:p>
        </w:tc>
      </w:tr>
    </w:tbl>
    <w:tbl>
      <w:tblPr>
        <w:tblW w:type="auto" w:w="0"/>
      </w:tblPr>
      <w:tr>
        <w:tc>
          <w:tcPr>
            <w:tcW w:type="auto" w:w="0"/>
            <w:tcMar>
              <w:left w:type="dxa" w:w="200"/>
              <w:top w:type="dxa" w:w="200"/>
              <w:right w:type="dxa" w:w="200"/>
              <w:bottom w:type="dxa" w:w="200"/>
            </w:tcMar>
          </w:tcPr>
          <w:p>
            <w:pPr>
              <w:pStyle w:val="Para 001"/>
            </w:pPr>
            <w:r>
              <w:t>getattr</w:t>
            </w:r>
          </w:p>
        </w:tc>
        <w:tc>
          <w:tcPr>
            <w:tcW w:type="auto" w:w="0"/>
            <w:tcMar>
              <w:left w:type="dxa" w:w="200"/>
              <w:top w:type="dxa" w:w="200"/>
              <w:right w:type="dxa" w:w="200"/>
              <w:bottom w:type="dxa" w:w="200"/>
            </w:tcMar>
          </w:tcPr>
          <w:p>
            <w:pPr>
              <w:pStyle w:val="Para 002"/>
            </w:pPr>
            <w:r>
              <w:rPr>
                <w:rStyle w:val="Text0"/>
              </w:rPr>
              <w:t>getattr(</w:t>
            </w:r>
            <w:r>
              <w:rPr>
                <w:rStyle w:val="Text3"/>
              </w:rPr>
              <w:t>obj</w:t>
            </w:r>
            <w:r>
              <w:rPr>
                <w:rStyle w:val="Text0"/>
              </w:rPr>
              <w:t>,</w:t>
            </w:r>
            <w:r>
              <w:t xml:space="preserve"> </w:t>
            </w:r>
            <w:r>
              <w:rPr>
                <w:rStyle w:val="Text3"/>
              </w:rPr>
              <w:t>name</w:t>
            </w:r>
            <w:r>
              <w:rPr>
                <w:rStyle w:val="Text0"/>
              </w:rPr>
              <w:t>[,</w:t>
            </w:r>
            <w:r>
              <w:t xml:space="preserve"> </w:t>
            </w:r>
            <w:r>
              <w:rPr>
                <w:rStyle w:val="Text3"/>
              </w:rPr>
              <w:t>default</w:t>
            </w:r>
            <w:r>
              <w:rPr>
                <w:rStyle w:val="Text0"/>
              </w:rPr>
              <w:t>], /)</w:t>
              <w:br w:clear="none"/>
            </w:r>
            <w:r>
              <w:t xml:space="preserve"> Returns</w:t>
            </w:r>
            <w:r>
              <w:rPr>
                <w:rStyle w:val="Text111"/>
              </w:rPr>
              <w:bookmarkStart w:id="2058" w:name="idm45965215909936"/>
              <w:t/>
              <w:bookmarkEnd w:id="2058"/>
            </w:r>
            <w:r>
              <w:t xml:space="preserve"> </w:t>
            </w:r>
            <w:r>
              <w:rPr>
                <w:rStyle w:val="Text3"/>
              </w:rPr>
              <w:t>obj</w:t>
            </w:r>
            <w:r>
              <w:t xml:space="preserve">’s attribute named by string </w:t>
            </w:r>
            <w:r>
              <w:rPr>
                <w:rStyle w:val="Text3"/>
              </w:rPr>
              <w:t>name</w:t>
            </w:r>
            <w:r>
              <w:rPr>
                <w:rStyle w:val="Text4"/>
              </w:rPr>
              <w:t>.</w:t>
            </w:r>
            <w:r>
              <w:t xml:space="preserve"> </w:t>
            </w:r>
            <w:r>
              <w:rPr>
                <w:rStyle w:val="Text0"/>
              </w:rPr>
              <w:t>getattr(</w:t>
            </w:r>
            <w:r>
              <w:rPr>
                <w:rStyle w:val="Text3"/>
              </w:rPr>
              <w:t>obj</w:t>
            </w:r>
            <w:r>
              <w:rPr>
                <w:rStyle w:val="Text0"/>
              </w:rPr>
              <w:t>, '</w:t>
            </w:r>
            <w:r>
              <w:rPr>
                <w:rStyle w:val="Text3"/>
              </w:rPr>
              <w:t>ident</w:t>
            </w:r>
            <w:r>
              <w:rPr>
                <w:rStyle w:val="Text0"/>
              </w:rPr>
              <w:t>')</w:t>
            </w:r>
            <w:r>
              <w:t xml:space="preserve"> is like </w:t>
            </w:r>
            <w:r>
              <w:rPr>
                <w:rStyle w:val="Text3"/>
              </w:rPr>
              <w:t>obj.ident</w:t>
            </w:r>
            <w:r>
              <w:t xml:space="preserve">. When </w:t>
            </w:r>
            <w:r>
              <w:rPr>
                <w:rStyle w:val="Text3"/>
              </w:rPr>
              <w:t>default</w:t>
            </w:r>
            <w:r>
              <w:t xml:space="preserve"> is present and </w:t>
            </w:r>
            <w:r>
              <w:rPr>
                <w:rStyle w:val="Text3"/>
              </w:rPr>
              <w:t>name</w:t>
            </w:r>
            <w:r>
              <w:t xml:space="preserve"> is not found in </w:t>
            </w:r>
            <w:r>
              <w:rPr>
                <w:rStyle w:val="Text3"/>
              </w:rPr>
              <w:t>obj</w:t>
            </w:r>
            <w:r>
              <w:t xml:space="preserve">, </w:t>
            </w:r>
            <w:r>
              <w:rPr>
                <w:rStyle w:val="Text0"/>
              </w:rPr>
              <w:t>getattr</w:t>
            </w:r>
            <w:r>
              <w:t xml:space="preserve"> returns </w:t>
            </w:r>
            <w:r>
              <w:rPr>
                <w:rStyle w:val="Text3"/>
              </w:rPr>
              <w:t>default</w:t>
            </w:r>
            <w:r>
              <w:t xml:space="preserve"> instead of raising </w:t>
            </w:r>
            <w:r>
              <w:rPr>
                <w:rStyle w:val="Text0"/>
              </w:rPr>
              <w:t>AttributeError</w:t>
            </w:r>
            <w:r>
              <w:t xml:space="preserve">. See also </w:t>
            </w:r>
            <w:hyperlink w:anchor="Object_attributes_and_items__The">
              <w:r>
                <w:rPr>
                  <w:rStyle w:val="Text1"/>
                </w:rPr>
                <w:t>“Object attributes and items”</w:t>
              </w:r>
            </w:hyperlink>
            <w:r>
              <w:t xml:space="preserve"> and </w:t>
            </w:r>
            <w:hyperlink w:anchor="Attribute_Reference_Basics__An_a">
              <w:r>
                <w:rPr>
                  <w:rStyle w:val="Text1"/>
                </w:rPr>
                <w:t>“Attribute Reference Basics”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globals</w:t>
            </w:r>
          </w:p>
        </w:tc>
        <w:tc>
          <w:tcPr>
            <w:tcW w:type="auto" w:w="0"/>
            <w:shd w:val="clear" w:color="auto" w:fill="EEF2F6"/>
            <w:tcMar>
              <w:left w:type="dxa" w:w="200"/>
              <w:top w:type="dxa" w:w="200"/>
              <w:right w:type="dxa" w:w="200"/>
              <w:bottom w:type="dxa" w:w="200"/>
            </w:tcMar>
          </w:tcPr>
          <w:p>
            <w:pPr>
              <w:pStyle w:val="Para 002"/>
            </w:pPr>
            <w:r>
              <w:rPr>
                <w:rStyle w:val="Text0"/>
              </w:rPr>
              <w:t>globals()</w:t>
              <w:br w:clear="none"/>
            </w:r>
            <w:r>
              <w:t xml:space="preserve"> Returns</w:t>
            </w:r>
            <w:r>
              <w:rPr>
                <w:rStyle w:val="Text111"/>
              </w:rPr>
              <w:bookmarkStart w:id="2059" w:name="idm45965215895680"/>
              <w:t/>
              <w:bookmarkEnd w:id="2059"/>
            </w:r>
            <w:r>
              <w:t xml:space="preserve"> the </w:t>
            </w:r>
            <w:r>
              <w:rPr>
                <w:rStyle w:val="Text0"/>
              </w:rPr>
              <w:t>__dict__</w:t>
            </w:r>
            <w:r>
              <w:t xml:space="preserve"> of the calling module (i.e., the dictionary used as the global namespace at the point of call). See also </w:t>
            </w:r>
            <w:r>
              <w:rPr>
                <w:rStyle w:val="Text0"/>
              </w:rPr>
              <w:t>locals</w:t>
            </w:r>
            <w:r>
              <w:t xml:space="preserve"> later in this table. (Unlike </w:t>
            </w:r>
            <w:r>
              <w:rPr>
                <w:rStyle w:val="Text0"/>
              </w:rPr>
              <w:t>locals()</w:t>
            </w:r>
            <w:r>
              <w:t xml:space="preserve">, the </w:t>
            </w:r>
            <w:r>
              <w:rPr>
                <w:rStyle w:val="Text0"/>
              </w:rPr>
              <w:t>dict</w:t>
            </w:r>
            <w:r>
              <w:t xml:space="preserve"> returned by </w:t>
            </w:r>
            <w:r>
              <w:rPr>
                <w:rStyle w:val="Text0"/>
              </w:rPr>
              <w:t>globals()</w:t>
            </w:r>
            <w:r>
              <w:t xml:space="preserve"> is read/write, and updates to that </w:t>
            </w:r>
            <w:r>
              <w:rPr>
                <w:rStyle w:val="Text0"/>
              </w:rPr>
              <w:t>dict</w:t>
            </w:r>
            <w:r>
              <w:t xml:space="preserve"> are equivalent to ordinary name definitions.)</w:t>
            </w:r>
          </w:p>
        </w:tc>
      </w:tr>
    </w:tbl>
    <w:tbl>
      <w:tblPr>
        <w:tblW w:type="auto" w:w="0"/>
      </w:tblPr>
      <w:tr>
        <w:tc>
          <w:tcPr>
            <w:tcW w:type="auto" w:w="0"/>
            <w:tcMar>
              <w:left w:type="dxa" w:w="200"/>
              <w:top w:type="dxa" w:w="200"/>
              <w:right w:type="dxa" w:w="200"/>
              <w:bottom w:type="dxa" w:w="200"/>
            </w:tcMar>
          </w:tcPr>
          <w:p>
            <w:pPr>
              <w:pStyle w:val="Para 001"/>
            </w:pPr>
            <w:r>
              <w:t>hasattr</w:t>
            </w:r>
          </w:p>
        </w:tc>
        <w:tc>
          <w:tcPr>
            <w:tcW w:type="auto" w:w="0"/>
            <w:tcMar>
              <w:left w:type="dxa" w:w="200"/>
              <w:top w:type="dxa" w:w="200"/>
              <w:right w:type="dxa" w:w="200"/>
              <w:bottom w:type="dxa" w:w="200"/>
            </w:tcMar>
          </w:tcPr>
          <w:p>
            <w:pPr>
              <w:pStyle w:val="Para 002"/>
            </w:pPr>
            <w:r>
              <w:rPr>
                <w:rStyle w:val="Text0"/>
              </w:rPr>
              <w:t>hasattr(</w:t>
            </w:r>
            <w:r>
              <w:rPr>
                <w:rStyle w:val="Text3"/>
              </w:rPr>
              <w:t>obj</w:t>
            </w:r>
            <w:r>
              <w:rPr>
                <w:rStyle w:val="Text0"/>
              </w:rPr>
              <w:t>,</w:t>
            </w:r>
            <w:r>
              <w:t xml:space="preserve"> </w:t>
            </w:r>
            <w:r>
              <w:rPr>
                <w:rStyle w:val="Text3"/>
              </w:rPr>
              <w:t>name</w:t>
            </w:r>
            <w:r>
              <w:rPr>
                <w:rStyle w:val="Text0"/>
              </w:rPr>
              <w:t>, /)</w:t>
              <w:br w:clear="none"/>
            </w:r>
            <w:r>
              <w:t xml:space="preserve"> Returns</w:t>
            </w:r>
            <w:r>
              <w:rPr>
                <w:rStyle w:val="Text111"/>
              </w:rPr>
              <w:bookmarkStart w:id="2060" w:name="idm45965215885632"/>
              <w:t/>
              <w:bookmarkEnd w:id="2060"/>
            </w:r>
            <w:r>
              <w:t xml:space="preserve"> </w:t>
            </w:r>
            <w:r>
              <w:rPr>
                <w:rStyle w:val="Text5"/>
              </w:rPr>
              <w:t>False</w:t>
            </w:r>
            <w:r>
              <w:t xml:space="preserve"> when </w:t>
            </w:r>
            <w:r>
              <w:rPr>
                <w:rStyle w:val="Text3"/>
              </w:rPr>
              <w:t>obj</w:t>
            </w:r>
            <w:r>
              <w:t xml:space="preserve"> has no attribute </w:t>
            </w:r>
            <w:r>
              <w:rPr>
                <w:rStyle w:val="Text3"/>
              </w:rPr>
              <w:t>name</w:t>
            </w:r>
            <w:r>
              <w:t xml:space="preserve"> (i.e., when </w:t>
            </w:r>
            <w:r>
              <w:rPr>
                <w:rStyle w:val="Text0"/>
              </w:rPr>
              <w:t>getattr(</w:t>
            </w:r>
            <w:r>
              <w:rPr>
                <w:rStyle w:val="Text3"/>
              </w:rPr>
              <w:t>obj, name</w:t>
            </w:r>
            <w:r>
              <w:rPr>
                <w:rStyle w:val="Text0"/>
              </w:rPr>
              <w:t>)</w:t>
            </w:r>
            <w:r>
              <w:t xml:space="preserve"> would raise </w:t>
            </w:r>
            <w:r>
              <w:rPr>
                <w:rStyle w:val="Text0"/>
              </w:rPr>
              <w:t>AttributeError</w:t>
            </w:r>
            <w:r>
              <w:t xml:space="preserve">); otherwise, returns </w:t>
            </w:r>
            <w:r>
              <w:rPr>
                <w:rStyle w:val="Text0"/>
              </w:rPr>
              <w:t>True</w:t>
            </w:r>
            <w:r>
              <w:t xml:space="preserve">. See also </w:t>
            </w:r>
            <w:hyperlink w:anchor="Attribute_Reference_Basics__An_a">
              <w:r>
                <w:rPr>
                  <w:rStyle w:val="Text1"/>
                </w:rPr>
                <w:t>“Attribute Reference Basics”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hash</w:t>
            </w:r>
          </w:p>
        </w:tc>
        <w:tc>
          <w:tcPr>
            <w:tcW w:type="auto" w:w="0"/>
            <w:shd w:val="clear" w:color="auto" w:fill="EEF2F6"/>
            <w:tcMar>
              <w:left w:type="dxa" w:w="200"/>
              <w:top w:type="dxa" w:w="200"/>
              <w:right w:type="dxa" w:w="200"/>
              <w:bottom w:type="dxa" w:w="200"/>
            </w:tcMar>
          </w:tcPr>
          <w:p>
            <w:pPr>
              <w:pStyle w:val="Para 002"/>
            </w:pPr>
            <w:r>
              <w:rPr>
                <w:rStyle w:val="Text0"/>
              </w:rPr>
              <w:t>hash(</w:t>
            </w:r>
            <w:r>
              <w:rPr>
                <w:rStyle w:val="Text3"/>
              </w:rPr>
              <w:t>obj,</w:t>
            </w:r>
            <w:r>
              <w:t xml:space="preserve"> </w:t>
            </w:r>
            <w:r>
              <w:rPr>
                <w:rStyle w:val="Text0"/>
              </w:rPr>
              <w:t>/)</w:t>
              <w:br w:clear="none"/>
            </w:r>
            <w:r>
              <w:t xml:space="preserve"> Returns</w:t>
            </w:r>
            <w:r>
              <w:rPr>
                <w:rStyle w:val="Text111"/>
              </w:rPr>
              <w:bookmarkStart w:id="2061" w:name="idm45965215874832"/>
              <w:t/>
              <w:bookmarkEnd w:id="2061"/>
            </w:r>
            <w:r>
              <w:t xml:space="preserve"> the hash value for </w:t>
            </w:r>
            <w:r>
              <w:rPr>
                <w:rStyle w:val="Text3"/>
              </w:rPr>
              <w:t>obj</w:t>
            </w:r>
            <w:r>
              <w:rPr>
                <w:rStyle w:val="Text4"/>
              </w:rPr>
              <w:t>.</w:t>
            </w:r>
            <w:r>
              <w:t xml:space="preserve"> </w:t>
            </w:r>
            <w:r>
              <w:rPr>
                <w:rStyle w:val="Text3"/>
              </w:rPr>
              <w:t>obj</w:t>
            </w:r>
            <w:r>
              <w:t xml:space="preserve"> can be a dictionary key, or an item in a set, only if </w:t>
            </w:r>
            <w:r>
              <w:rPr>
                <w:rStyle w:val="Text3"/>
              </w:rPr>
              <w:t>obj</w:t>
            </w:r>
            <w:r>
              <w:t xml:space="preserve"> can be hashed. All objects that compare equal must have the same hash value, even if they are of different types. If the type of </w:t>
            </w:r>
            <w:r>
              <w:rPr>
                <w:rStyle w:val="Text3"/>
              </w:rPr>
              <w:t>obj</w:t>
            </w:r>
            <w:r>
              <w:t xml:space="preserve"> does not define equality comparison, </w:t>
            </w:r>
            <w:r>
              <w:rPr>
                <w:rStyle w:val="Text0"/>
              </w:rPr>
              <w:t>hash(</w:t>
            </w:r>
            <w:r>
              <w:rPr>
                <w:rStyle w:val="Text3"/>
              </w:rPr>
              <w:t>obj</w:t>
            </w:r>
            <w:r>
              <w:rPr>
                <w:rStyle w:val="Text0"/>
              </w:rPr>
              <w:t>)</w:t>
            </w:r>
            <w:r>
              <w:t xml:space="preserve"> normally returns </w:t>
            </w:r>
            <w:r>
              <w:rPr>
                <w:rStyle w:val="Text0"/>
              </w:rPr>
              <w:t>id(</w:t>
            </w:r>
            <w:r>
              <w:rPr>
                <w:rStyle w:val="Text3"/>
              </w:rPr>
              <w:t>obj</w:t>
            </w:r>
            <w:r>
              <w:rPr>
                <w:rStyle w:val="Text0"/>
              </w:rPr>
              <w:t>)</w:t>
            </w:r>
            <w:r>
              <w:t xml:space="preserve"> (see </w:t>
            </w:r>
            <w:r>
              <w:rPr>
                <w:rStyle w:val="Text0"/>
              </w:rPr>
              <w:t>id</w:t>
            </w:r>
            <w:r>
              <w:t xml:space="preserve"> in this table and </w:t>
            </w:r>
            <w:r>
              <w:rPr>
                <w:rStyle w:val="Text0"/>
              </w:rPr>
              <w:t>__hash__</w:t>
            </w:r>
            <w:r>
              <w:t xml:space="preserve"> in </w:t>
            </w:r>
            <w:hyperlink w:anchor="Table_4_1__General_purpose_speci">
              <w:r>
                <w:rPr>
                  <w:rStyle w:val="Text1"/>
                </w:rPr>
                <w:t>Table 4-1</w:t>
              </w:r>
            </w:hyperlink>
            <w:r>
              <w:t>).</w:t>
            </w:r>
          </w:p>
        </w:tc>
      </w:tr>
    </w:tbl>
    <w:tbl>
      <w:tblPr>
        <w:tblW w:type="auto" w:w="0"/>
      </w:tblPr>
      <w:tr>
        <w:tc>
          <w:tcPr>
            <w:tcW w:type="auto" w:w="0"/>
            <w:tcMar>
              <w:left w:type="dxa" w:w="200"/>
              <w:top w:type="dxa" w:w="200"/>
              <w:right w:type="dxa" w:w="200"/>
              <w:bottom w:type="dxa" w:w="200"/>
            </w:tcMar>
          </w:tcPr>
          <w:p>
            <w:pPr>
              <w:pStyle w:val="Para 001"/>
            </w:pPr>
            <w:r>
              <w:t>help</w:t>
            </w:r>
          </w:p>
        </w:tc>
        <w:tc>
          <w:tcPr>
            <w:tcW w:type="auto" w:w="0"/>
            <w:tcMar>
              <w:left w:type="dxa" w:w="200"/>
              <w:top w:type="dxa" w:w="200"/>
              <w:right w:type="dxa" w:w="200"/>
              <w:bottom w:type="dxa" w:w="200"/>
            </w:tcMar>
          </w:tcPr>
          <w:p>
            <w:pPr>
              <w:pStyle w:val="Para 002"/>
            </w:pPr>
            <w:r>
              <w:rPr>
                <w:rStyle w:val="Text0"/>
              </w:rPr>
              <w:t>help([</w:t>
            </w:r>
            <w:r>
              <w:rPr>
                <w:rStyle w:val="Text3"/>
              </w:rPr>
              <w:t>obj</w:t>
            </w:r>
            <w:r>
              <w:rPr>
                <w:rStyle w:val="Text0"/>
              </w:rPr>
              <w:t>, /])</w:t>
              <w:br w:clear="none"/>
            </w:r>
            <w:r>
              <w:t xml:space="preserve"> When</w:t>
            </w:r>
            <w:r>
              <w:rPr>
                <w:rStyle w:val="Text111"/>
              </w:rPr>
              <w:bookmarkStart w:id="2062" w:name="idm45965215862048"/>
              <w:t/>
              <w:bookmarkEnd w:id="2062"/>
            </w:r>
            <w:r>
              <w:t xml:space="preserve"> called without an </w:t>
            </w:r>
            <w:r>
              <w:rPr>
                <w:rStyle w:val="Text3"/>
              </w:rPr>
              <w:t>obj</w:t>
            </w:r>
            <w:r>
              <w:t xml:space="preserve"> argument, begins an interactive help session, which you exit by entering </w:t>
            </w:r>
            <w:r>
              <w:rPr>
                <w:rStyle w:val="Text5"/>
              </w:rPr>
              <w:t>quit</w:t>
            </w:r>
            <w:r>
              <w:t xml:space="preserve">. When </w:t>
            </w:r>
            <w:r>
              <w:rPr>
                <w:rStyle w:val="Text3"/>
              </w:rPr>
              <w:t>obj</w:t>
            </w:r>
            <w:r>
              <w:t xml:space="preserve"> is given, </w:t>
            </w:r>
            <w:r>
              <w:rPr>
                <w:rStyle w:val="Text0"/>
              </w:rPr>
              <w:t>help</w:t>
            </w:r>
            <w:r>
              <w:t xml:space="preserve"> prints the documentation for </w:t>
            </w:r>
            <w:r>
              <w:rPr>
                <w:rStyle w:val="Text3"/>
              </w:rPr>
              <w:t>obj</w:t>
            </w:r>
            <w:r>
              <w:t xml:space="preserve"> and its attributes, and returns </w:t>
            </w:r>
            <w:r>
              <w:rPr>
                <w:rStyle w:val="Text5"/>
              </w:rPr>
              <w:t>None</w:t>
            </w:r>
            <w:r>
              <w:t xml:space="preserve">. </w:t>
            </w:r>
            <w:r>
              <w:rPr>
                <w:rStyle w:val="Text0"/>
              </w:rPr>
              <w:t>help</w:t>
            </w:r>
            <w:r>
              <w:t xml:space="preserve"> is useful in interactive Python sessions to get a quick reference to an object’s functionality.</w:t>
            </w:r>
          </w:p>
        </w:tc>
      </w:tr>
    </w:tbl>
    <w:tbl>
      <w:tblPr>
        <w:tblW w:type="auto" w:w="0"/>
      </w:tblPr>
      <w:tr>
        <w:tc>
          <w:tcPr>
            <w:tcW w:type="auto" w:w="0"/>
            <w:shd w:val="clear" w:color="auto" w:fill="EEF2F6"/>
            <w:tcMar>
              <w:left w:type="dxa" w:w="200"/>
              <w:top w:type="dxa" w:w="200"/>
              <w:right w:type="dxa" w:w="200"/>
              <w:bottom w:type="dxa" w:w="200"/>
            </w:tcMar>
          </w:tcPr>
          <w:p>
            <w:pPr>
              <w:pStyle w:val="Para 001"/>
            </w:pPr>
            <w:r>
              <w:t>hex</w:t>
            </w:r>
          </w:p>
        </w:tc>
        <w:tc>
          <w:tcPr>
            <w:tcW w:type="auto" w:w="0"/>
            <w:shd w:val="clear" w:color="auto" w:fill="EEF2F6"/>
            <w:tcMar>
              <w:left w:type="dxa" w:w="200"/>
              <w:top w:type="dxa" w:w="200"/>
              <w:right w:type="dxa" w:w="200"/>
              <w:bottom w:type="dxa" w:w="200"/>
            </w:tcMar>
          </w:tcPr>
          <w:p>
            <w:pPr>
              <w:pStyle w:val="Para 002"/>
            </w:pPr>
            <w:r>
              <w:rPr>
                <w:rStyle w:val="Text0"/>
              </w:rPr>
              <w:t>hex(</w:t>
            </w:r>
            <w:r>
              <w:rPr>
                <w:rStyle w:val="Text3"/>
              </w:rPr>
              <w:t>x</w:t>
            </w:r>
            <w:r>
              <w:rPr>
                <w:rStyle w:val="Text0"/>
              </w:rPr>
              <w:t>, /)</w:t>
              <w:br w:clear="none"/>
            </w:r>
            <w:r>
              <w:t xml:space="preserve"> Returns</w:t>
            </w:r>
            <w:r>
              <w:rPr>
                <w:rStyle w:val="Text111"/>
              </w:rPr>
              <w:bookmarkStart w:id="2063" w:name="idm45965215852128"/>
              <w:t/>
              <w:bookmarkEnd w:id="2063"/>
            </w:r>
            <w:r>
              <w:t xml:space="preserve"> a hex string representation of </w:t>
            </w:r>
            <w:r>
              <w:rPr>
                <w:rStyle w:val="Text0"/>
              </w:rPr>
              <w:t>int</w:t>
            </w:r>
            <w:r>
              <w:t xml:space="preserve"> </w:t>
            </w:r>
            <w:r>
              <w:rPr>
                <w:rStyle w:val="Text3"/>
              </w:rPr>
              <w:t>x</w:t>
            </w:r>
            <w:r>
              <w:t xml:space="preserve">. See also </w:t>
            </w:r>
            <w:r>
              <w:rPr>
                <w:rStyle w:val="Text0"/>
              </w:rPr>
              <w:t>__hex__</w:t>
            </w:r>
            <w:r>
              <w:t xml:space="preserve"> in </w:t>
            </w:r>
            <w:hyperlink w:anchor="Table_4_4__ABCs_with_additional">
              <w:r>
                <w:rPr>
                  <w:rStyle w:val="Text1"/>
                </w:rPr>
                <w:t>Table 4-4</w:t>
              </w:r>
            </w:hyperlink>
            <w:r>
              <w:t>.</w:t>
            </w:r>
          </w:p>
        </w:tc>
      </w:tr>
    </w:tbl>
    <w:tbl>
      <w:tblPr>
        <w:tblW w:type="auto" w:w="0"/>
      </w:tblPr>
      <w:tr>
        <w:tc>
          <w:tcPr>
            <w:tcW w:type="auto" w:w="0"/>
            <w:tcMar>
              <w:left w:type="dxa" w:w="200"/>
              <w:top w:type="dxa" w:w="200"/>
              <w:right w:type="dxa" w:w="200"/>
              <w:bottom w:type="dxa" w:w="200"/>
            </w:tcMar>
          </w:tcPr>
          <w:p>
            <w:pPr>
              <w:pStyle w:val="Para 001"/>
            </w:pPr>
            <w:r>
              <w:t>id</w:t>
            </w:r>
          </w:p>
        </w:tc>
        <w:tc>
          <w:tcPr>
            <w:tcW w:type="auto" w:w="0"/>
            <w:tcMar>
              <w:left w:type="dxa" w:w="200"/>
              <w:top w:type="dxa" w:w="200"/>
              <w:right w:type="dxa" w:w="200"/>
              <w:bottom w:type="dxa" w:w="200"/>
            </w:tcMar>
          </w:tcPr>
          <w:p>
            <w:pPr>
              <w:pStyle w:val="Para 002"/>
            </w:pPr>
            <w:r>
              <w:rPr>
                <w:rStyle w:val="Text0"/>
              </w:rPr>
              <w:t>id(</w:t>
            </w:r>
            <w:r>
              <w:rPr>
                <w:rStyle w:val="Text3"/>
              </w:rPr>
              <w:t>obj</w:t>
            </w:r>
            <w:r>
              <w:rPr>
                <w:rStyle w:val="Text0"/>
              </w:rPr>
              <w:t>, /)</w:t>
              <w:br w:clear="none"/>
            </w:r>
            <w:r>
              <w:t xml:space="preserve"> Returns</w:t>
            </w:r>
            <w:r>
              <w:rPr>
                <w:rStyle w:val="Text111"/>
              </w:rPr>
              <w:bookmarkStart w:id="2064" w:name="idm45965215844544"/>
              <w:t/>
              <w:bookmarkEnd w:id="2064"/>
            </w:r>
            <w:r>
              <w:t xml:space="preserve"> the integer value that is the identity of </w:t>
            </w:r>
            <w:r>
              <w:rPr>
                <w:rStyle w:val="Text3"/>
              </w:rPr>
              <w:t>obj</w:t>
            </w:r>
            <w:r>
              <w:t xml:space="preserve">. The </w:t>
            </w:r>
            <w:r>
              <w:rPr>
                <w:rStyle w:val="Text0"/>
              </w:rPr>
              <w:t>id</w:t>
            </w:r>
            <w:r>
              <w:t xml:space="preserve"> of </w:t>
            </w:r>
            <w:r>
              <w:rPr>
                <w:rStyle w:val="Text3"/>
              </w:rPr>
              <w:t>obj</w:t>
            </w:r>
            <w:r>
              <w:t xml:space="preserve"> is unique and constant during </w:t>
            </w:r>
            <w:r>
              <w:rPr>
                <w:rStyle w:val="Text3"/>
              </w:rPr>
              <w:t>obj</w:t>
            </w:r>
            <w:r>
              <w:t>’s lifetime</w:t>
            </w:r>
            <w:hyperlink w:anchor="a_Otherwise_arbitrary__often__an">
              <w:r>
                <w:rPr>
                  <w:rStyle w:val="Text41"/>
                </w:rPr>
                <w:bookmarkStart w:id="2065" w:name="a_2"/>
                <w:t>a</w:t>
                <w:bookmarkEnd w:id="2065"/>
              </w:r>
            </w:hyperlink>
            <w:r>
              <w:t xml:space="preserve"> (but may be reused at any later time after </w:t>
            </w:r>
            <w:r>
              <w:rPr>
                <w:rStyle w:val="Text3"/>
              </w:rPr>
              <w:t>obj</w:t>
            </w:r>
            <w:r>
              <w:t xml:space="preserve"> is garbage-collected, so don’t rely on storing or checking </w:t>
            </w:r>
            <w:r>
              <w:rPr>
                <w:rStyle w:val="Text0"/>
              </w:rPr>
              <w:t>id</w:t>
            </w:r>
            <w:r>
              <w:t xml:space="preserve"> values). When a type or class does not define equality comparison, Python uses </w:t>
            </w:r>
            <w:r>
              <w:rPr>
                <w:rStyle w:val="Text0"/>
              </w:rPr>
              <w:t>id</w:t>
            </w:r>
            <w:r>
              <w:t xml:space="preserve"> to compare and hash instances. For any objects </w:t>
            </w:r>
            <w:r>
              <w:rPr>
                <w:rStyle w:val="Text3"/>
              </w:rPr>
              <w:t>x</w:t>
            </w:r>
            <w:r>
              <w:t xml:space="preserve"> and </w:t>
            </w:r>
            <w:r>
              <w:rPr>
                <w:rStyle w:val="Text3"/>
              </w:rPr>
              <w:t>y</w:t>
            </w:r>
            <w:r>
              <w:t xml:space="preserve">, identity check </w:t>
            </w:r>
            <w:r>
              <w:rPr>
                <w:rStyle w:val="Text3"/>
              </w:rPr>
              <w:t>x</w:t>
            </w:r>
            <w:r>
              <w:t xml:space="preserve"> </w:t>
            </w:r>
            <w:r>
              <w:rPr>
                <w:rStyle w:val="Text5"/>
              </w:rPr>
              <w:t>is</w:t>
            </w:r>
            <w:r>
              <w:t xml:space="preserve"> </w:t>
            </w:r>
            <w:r>
              <w:rPr>
                <w:rStyle w:val="Text3"/>
              </w:rPr>
              <w:t>y</w:t>
            </w:r>
            <w:r>
              <w:t xml:space="preserve"> is the same as </w:t>
            </w:r>
            <w:r>
              <w:rPr>
                <w:rStyle w:val="Text0"/>
              </w:rPr>
              <w:t>id(</w:t>
            </w:r>
            <w:r>
              <w:rPr>
                <w:rStyle w:val="Text3"/>
              </w:rPr>
              <w:t>x</w:t>
            </w:r>
            <w:r>
              <w:rPr>
                <w:rStyle w:val="Text0"/>
              </w:rPr>
              <w:t>)==id(</w:t>
            </w:r>
            <w:r>
              <w:rPr>
                <w:rStyle w:val="Text3"/>
              </w:rPr>
              <w:t>y</w:t>
            </w:r>
            <w:r>
              <w:rPr>
                <w:rStyle w:val="Text0"/>
              </w:rPr>
              <w:t>)</w:t>
            </w:r>
            <w:r>
              <w:t>, but more readable and better performing.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input</w:t>
            </w:r>
          </w:p>
        </w:tc>
        <w:tc>
          <w:tcPr>
            <w:tcW w:type="auto" w:w="0"/>
            <w:shd w:val="clear" w:color="auto" w:fill="EEF2F6"/>
            <w:tcMar>
              <w:left w:type="dxa" w:w="200"/>
              <w:top w:type="dxa" w:w="200"/>
              <w:right w:type="dxa" w:w="200"/>
              <w:bottom w:type="dxa" w:w="200"/>
            </w:tcMar>
          </w:tcPr>
          <w:p>
            <w:pPr>
              <w:pStyle w:val="Para 002"/>
            </w:pPr>
            <w:r>
              <w:rPr>
                <w:rStyle w:val="Text0"/>
              </w:rPr>
              <w:t>input(</w:t>
            </w:r>
            <w:r>
              <w:rPr>
                <w:rStyle w:val="Text3"/>
              </w:rPr>
              <w:t>prompt</w:t>
            </w:r>
            <w:r>
              <w:rPr>
                <w:rStyle w:val="Text0"/>
              </w:rPr>
              <w:t>='', /)</w:t>
              <w:br w:clear="none"/>
            </w:r>
            <w:r>
              <w:t xml:space="preserve"> Writes</w:t>
            </w:r>
            <w:r>
              <w:rPr>
                <w:rStyle w:val="Text111"/>
              </w:rPr>
              <w:bookmarkStart w:id="2066" w:name="idm45965215827216"/>
              <w:t/>
              <w:bookmarkEnd w:id="2066"/>
            </w:r>
            <w:r>
              <w:t xml:space="preserve"> </w:t>
            </w:r>
            <w:r>
              <w:rPr>
                <w:rStyle w:val="Text3"/>
              </w:rPr>
              <w:t>prompt</w:t>
            </w:r>
            <w:r>
              <w:t xml:space="preserve"> to standard output, reads a line from standard input, and returns the line (without </w:t>
            </w:r>
            <w:r>
              <w:rPr>
                <w:rStyle w:val="Text0"/>
              </w:rPr>
              <w:t>\n</w:t>
            </w:r>
            <w:r>
              <w:t xml:space="preserve">) as a </w:t>
            </w:r>
            <w:r>
              <w:rPr>
                <w:rStyle w:val="Text0"/>
              </w:rPr>
              <w:t>str</w:t>
            </w:r>
            <w:r>
              <w:t xml:space="preserve">. At end-of-file, </w:t>
            </w:r>
            <w:r>
              <w:rPr>
                <w:rStyle w:val="Text0"/>
              </w:rPr>
              <w:t>input</w:t>
            </w:r>
            <w:r>
              <w:t xml:space="preserve"> raises </w:t>
            </w:r>
            <w:r>
              <w:rPr>
                <w:rStyle w:val="Text0"/>
              </w:rPr>
              <w:t>EOFError</w:t>
            </w:r>
            <w:r>
              <w:t>.</w:t>
            </w:r>
          </w:p>
        </w:tc>
      </w:tr>
    </w:tbl>
    <w:tbl>
      <w:tblPr>
        <w:tblW w:type="auto" w:w="0"/>
      </w:tblPr>
      <w:tr>
        <w:tc>
          <w:tcPr>
            <w:tcW w:type="auto" w:w="0"/>
            <w:tcMar>
              <w:left w:type="dxa" w:w="200"/>
              <w:top w:type="dxa" w:w="200"/>
              <w:right w:type="dxa" w:w="200"/>
              <w:bottom w:type="dxa" w:w="200"/>
            </w:tcMar>
          </w:tcPr>
          <w:p>
            <w:pPr>
              <w:pStyle w:val="Para 001"/>
            </w:pPr>
            <w:r>
              <w:t>isinstance</w:t>
            </w:r>
          </w:p>
        </w:tc>
        <w:tc>
          <w:tcPr>
            <w:tcW w:type="auto" w:w="0"/>
            <w:tcMar>
              <w:left w:type="dxa" w:w="200"/>
              <w:top w:type="dxa" w:w="200"/>
              <w:right w:type="dxa" w:w="200"/>
              <w:bottom w:type="dxa" w:w="200"/>
            </w:tcMar>
          </w:tcPr>
          <w:p>
            <w:pPr>
              <w:pStyle w:val="Para 002"/>
            </w:pPr>
            <w:r>
              <w:rPr>
                <w:rStyle w:val="Text0"/>
              </w:rPr>
              <w:t>isinstance(</w:t>
            </w:r>
            <w:r>
              <w:rPr>
                <w:rStyle w:val="Text3"/>
              </w:rPr>
              <w:t>obj, cls</w:t>
            </w:r>
            <w:r>
              <w:rPr>
                <w:rStyle w:val="Text0"/>
              </w:rPr>
              <w:t>, /)</w:t>
              <w:br w:clear="none"/>
            </w:r>
            <w:r>
              <w:t xml:space="preserve"> Returns</w:t>
            </w:r>
            <w:r>
              <w:rPr>
                <w:rStyle w:val="Text111"/>
              </w:rPr>
              <w:bookmarkStart w:id="2067" w:name="idm45965215819232"/>
              <w:t/>
              <w:bookmarkEnd w:id="2067"/>
            </w:r>
            <w:r>
              <w:t xml:space="preserve"> </w:t>
            </w:r>
            <w:r>
              <w:rPr>
                <w:rStyle w:val="Text5"/>
              </w:rPr>
              <w:t>True</w:t>
            </w:r>
            <w:r>
              <w:t xml:space="preserve"> when </w:t>
            </w:r>
            <w:r>
              <w:rPr>
                <w:rStyle w:val="Text3"/>
              </w:rPr>
              <w:t>obj</w:t>
            </w:r>
            <w:r>
              <w:t xml:space="preserve"> is an instance of class </w:t>
            </w:r>
            <w:r>
              <w:rPr>
                <w:rStyle w:val="Text3"/>
              </w:rPr>
              <w:t>cls</w:t>
            </w:r>
            <w:r>
              <w:t xml:space="preserve"> (or any subclass of </w:t>
            </w:r>
            <w:r>
              <w:rPr>
                <w:rStyle w:val="Text3"/>
              </w:rPr>
              <w:t>cls</w:t>
            </w:r>
            <w:r>
              <w:t xml:space="preserve">, or implements protocol or ABC </w:t>
            </w:r>
            <w:r>
              <w:rPr>
                <w:rStyle w:val="Text3"/>
              </w:rPr>
              <w:t>cls</w:t>
            </w:r>
            <w:r>
              <w:t xml:space="preserve">); otherwise, returns </w:t>
            </w:r>
            <w:r>
              <w:rPr>
                <w:rStyle w:val="Text5"/>
              </w:rPr>
              <w:t>False</w:t>
            </w:r>
            <w:r>
              <w:t xml:space="preserve">. </w:t>
            </w:r>
            <w:r>
              <w:rPr>
                <w:rStyle w:val="Text3"/>
              </w:rPr>
              <w:t>cls</w:t>
            </w:r>
            <w:r>
              <w:t xml:space="preserve"> can be a tuple whose items are classes (or </w:t>
            </w:r>
            <w:r>
              <w:rPr>
                <w:rStyle w:val="Text34"/>
              </w:rPr>
              <w:t>3.10+</w:t>
            </w:r>
            <w:r>
              <w:t xml:space="preserve"> multiple types joined using the </w:t>
            </w:r>
            <w:r>
              <w:rPr>
                <w:rStyle w:val="Text0"/>
              </w:rPr>
              <w:t>|</w:t>
            </w:r>
            <w:r>
              <w:t xml:space="preserve"> operator): in this case, </w:t>
            </w:r>
            <w:r>
              <w:rPr>
                <w:rStyle w:val="Text0"/>
              </w:rPr>
              <w:t>isinstance</w:t>
            </w:r>
            <w:r>
              <w:t xml:space="preserve"> returns </w:t>
            </w:r>
            <w:r>
              <w:rPr>
                <w:rStyle w:val="Text5"/>
              </w:rPr>
              <w:t>True</w:t>
            </w:r>
            <w:r>
              <w:t xml:space="preserve"> when </w:t>
            </w:r>
            <w:r>
              <w:rPr>
                <w:rStyle w:val="Text3"/>
              </w:rPr>
              <w:t>obj</w:t>
            </w:r>
            <w:r>
              <w:t xml:space="preserve"> is an instance of any of the items of </w:t>
            </w:r>
            <w:r>
              <w:rPr>
                <w:rStyle w:val="Text3"/>
              </w:rPr>
              <w:t>cls</w:t>
            </w:r>
            <w:r>
              <w:t xml:space="preserve">; otherwise, it returns </w:t>
            </w:r>
            <w:r>
              <w:rPr>
                <w:rStyle w:val="Text5"/>
              </w:rPr>
              <w:t>False</w:t>
            </w:r>
            <w:r>
              <w:t xml:space="preserve">. See also </w:t>
            </w:r>
            <w:hyperlink w:anchor="Abstract_Base_Classes__Abstract">
              <w:r>
                <w:rPr>
                  <w:rStyle w:val="Text1"/>
                </w:rPr>
                <w:t>“Abstract Base Classes”</w:t>
              </w:r>
            </w:hyperlink>
            <w:r>
              <w:t xml:space="preserve"> and </w:t>
            </w:r>
            <w:hyperlink w:anchor="Protocols__The_typing_module_def">
              <w:r>
                <w:rPr>
                  <w:rStyle w:val="Text1"/>
                </w:rPr>
                <w:t>“Protocols”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issubclass</w:t>
            </w:r>
          </w:p>
        </w:tc>
        <w:tc>
          <w:tcPr>
            <w:tcW w:type="auto" w:w="0"/>
            <w:shd w:val="clear" w:color="auto" w:fill="EEF2F6"/>
            <w:tcMar>
              <w:left w:type="dxa" w:w="200"/>
              <w:top w:type="dxa" w:w="200"/>
              <w:right w:type="dxa" w:w="200"/>
              <w:bottom w:type="dxa" w:w="200"/>
            </w:tcMar>
          </w:tcPr>
          <w:p>
            <w:pPr>
              <w:pStyle w:val="Para 002"/>
            </w:pPr>
            <w:r>
              <w:rPr>
                <w:rStyle w:val="Text0"/>
              </w:rPr>
              <w:t>issubclass(</w:t>
            </w:r>
            <w:r>
              <w:rPr>
                <w:rStyle w:val="Text3"/>
              </w:rPr>
              <w:t>cls1</w:t>
            </w:r>
            <w:r>
              <w:rPr>
                <w:rStyle w:val="Text0"/>
              </w:rPr>
              <w:t>,</w:t>
            </w:r>
            <w:r>
              <w:t xml:space="preserve"> </w:t>
            </w:r>
            <w:r>
              <w:rPr>
                <w:rStyle w:val="Text3"/>
              </w:rPr>
              <w:t>cls2</w:t>
            </w:r>
            <w:r>
              <w:rPr>
                <w:rStyle w:val="Text0"/>
              </w:rPr>
              <w:t>, /)</w:t>
              <w:br w:clear="none"/>
            </w:r>
            <w:r>
              <w:t xml:space="preserve"> Returns</w:t>
            </w:r>
            <w:r>
              <w:rPr>
                <w:rStyle w:val="Text111"/>
              </w:rPr>
              <w:bookmarkStart w:id="2068" w:name="idm45965215799744"/>
              <w:t/>
              <w:bookmarkEnd w:id="2068"/>
            </w:r>
            <w:r>
              <w:t xml:space="preserve"> </w:t>
            </w:r>
            <w:r>
              <w:rPr>
                <w:rStyle w:val="Text5"/>
              </w:rPr>
              <w:t>True</w:t>
            </w:r>
            <w:r>
              <w:t xml:space="preserve"> when </w:t>
            </w:r>
            <w:r>
              <w:rPr>
                <w:rStyle w:val="Text3"/>
              </w:rPr>
              <w:t>cls1</w:t>
            </w:r>
            <w:r>
              <w:t xml:space="preserve"> is a direct or indirect subclass of </w:t>
            </w:r>
            <w:r>
              <w:rPr>
                <w:rStyle w:val="Text3"/>
              </w:rPr>
              <w:t>cls2</w:t>
            </w:r>
            <w:r>
              <w:t xml:space="preserve">, or defines all the elements of protocol or ABC </w:t>
            </w:r>
            <w:r>
              <w:rPr>
                <w:rStyle w:val="Text3"/>
              </w:rPr>
              <w:t>cls2</w:t>
            </w:r>
            <w:r>
              <w:t xml:space="preserve">; otherwise, returns </w:t>
            </w:r>
            <w:r>
              <w:rPr>
                <w:rStyle w:val="Text5"/>
              </w:rPr>
              <w:t>False</w:t>
            </w:r>
            <w:r>
              <w:t xml:space="preserve">. </w:t>
            </w:r>
            <w:r>
              <w:rPr>
                <w:rStyle w:val="Text3"/>
              </w:rPr>
              <w:t>cls1</w:t>
            </w:r>
            <w:r>
              <w:t xml:space="preserve"> and </w:t>
            </w:r>
            <w:r>
              <w:rPr>
                <w:rStyle w:val="Text3"/>
              </w:rPr>
              <w:t>cls2</w:t>
            </w:r>
            <w:r>
              <w:t xml:space="preserve"> must be classes. </w:t>
            </w:r>
            <w:r>
              <w:rPr>
                <w:rStyle w:val="Text3"/>
              </w:rPr>
              <w:t>cls2</w:t>
            </w:r>
            <w:r>
              <w:t xml:space="preserve"> can also be a tuple whose items are classes. In this case, </w:t>
            </w:r>
            <w:r>
              <w:rPr>
                <w:rStyle w:val="Text0"/>
              </w:rPr>
              <w:t>issubclass</w:t>
            </w:r>
            <w:r>
              <w:t xml:space="preserve"> returns </w:t>
            </w:r>
            <w:r>
              <w:rPr>
                <w:rStyle w:val="Text5"/>
              </w:rPr>
              <w:t>True</w:t>
            </w:r>
            <w:r>
              <w:t xml:space="preserve"> when </w:t>
            </w:r>
            <w:r>
              <w:rPr>
                <w:rStyle w:val="Text3"/>
              </w:rPr>
              <w:t>cls1</w:t>
            </w:r>
            <w:r>
              <w:t xml:space="preserve"> is a direct or indirect subclass of any of the items of </w:t>
            </w:r>
            <w:r>
              <w:rPr>
                <w:rStyle w:val="Text3"/>
              </w:rPr>
              <w:t>cls2</w:t>
            </w:r>
            <w:r>
              <w:t xml:space="preserve">; otherwise, it returns </w:t>
            </w:r>
            <w:r>
              <w:rPr>
                <w:rStyle w:val="Text5"/>
              </w:rPr>
              <w:t>False</w:t>
            </w:r>
            <w:r>
              <w:t xml:space="preserve">. For any class </w:t>
            </w:r>
            <w:r>
              <w:rPr>
                <w:rStyle w:val="Text3"/>
              </w:rPr>
              <w:t>C</w:t>
            </w:r>
            <w:r>
              <w:t xml:space="preserve">, </w:t>
            </w:r>
            <w:r>
              <w:rPr>
                <w:rStyle w:val="Text0"/>
              </w:rPr>
              <w:t>issubclass(</w:t>
            </w:r>
            <w:r>
              <w:rPr>
                <w:rStyle w:val="Text3"/>
              </w:rPr>
              <w:t>C</w:t>
            </w:r>
            <w:r>
              <w:rPr>
                <w:rStyle w:val="Text0"/>
              </w:rPr>
              <w:t>,</w:t>
            </w:r>
            <w:r>
              <w:t xml:space="preserve"> </w:t>
            </w:r>
            <w:r>
              <w:rPr>
                <w:rStyle w:val="Text3"/>
              </w:rPr>
              <w:t>C</w:t>
            </w:r>
            <w:r>
              <w:rPr>
                <w:rStyle w:val="Text0"/>
              </w:rPr>
              <w:t>)</w:t>
            </w:r>
            <w:r>
              <w:t xml:space="preserve"> returns </w:t>
            </w:r>
            <w:r>
              <w:rPr>
                <w:rStyle w:val="Text5"/>
              </w:rPr>
              <w:t>True</w:t>
            </w:r>
            <w:r>
              <w:t>.</w:t>
            </w:r>
          </w:p>
        </w:tc>
      </w:tr>
    </w:tbl>
    <w:tbl>
      <w:tblPr>
        <w:tblW w:type="auto" w:w="0"/>
      </w:tblPr>
      <w:tr>
        <w:tc>
          <w:tcPr>
            <w:tcW w:type="auto" w:w="0"/>
            <w:tcMar>
              <w:left w:type="dxa" w:w="200"/>
              <w:top w:type="dxa" w:w="200"/>
              <w:right w:type="dxa" w:w="200"/>
              <w:bottom w:type="dxa" w:w="200"/>
            </w:tcMar>
          </w:tcPr>
          <w:p>
            <w:pPr>
              <w:pStyle w:val="Para 001"/>
            </w:pPr>
            <w:r>
              <w:t>iter</w:t>
            </w:r>
          </w:p>
        </w:tc>
        <w:tc>
          <w:tcPr>
            <w:tcW w:type="auto" w:w="0"/>
            <w:tcMar>
              <w:left w:type="dxa" w:w="200"/>
              <w:top w:type="dxa" w:w="200"/>
              <w:right w:type="dxa" w:w="200"/>
              <w:bottom w:type="dxa" w:w="200"/>
            </w:tcMar>
          </w:tcPr>
          <w:p>
            <w:pPr>
              <w:pStyle w:val="Para 002"/>
            </w:pPr>
            <w:r>
              <w:rPr>
                <w:rStyle w:val="Text0"/>
              </w:rPr>
              <w:t>iter(</w:t>
            </w:r>
            <w:r>
              <w:rPr>
                <w:rStyle w:val="Text3"/>
              </w:rPr>
              <w:t>obj</w:t>
            </w:r>
            <w:r>
              <w:rPr>
                <w:rStyle w:val="Text0"/>
              </w:rPr>
              <w:t>, /)</w:t>
            </w:r>
            <w:r>
              <w:t>,</w:t>
              <w:br w:clear="none"/>
              <w:t xml:space="preserve"> </w:t>
            </w:r>
            <w:r>
              <w:rPr>
                <w:rStyle w:val="Text0"/>
              </w:rPr>
              <w:t>iter(</w:t>
            </w:r>
            <w:r>
              <w:rPr>
                <w:rStyle w:val="Text3"/>
              </w:rPr>
              <w:t>func</w:t>
            </w:r>
            <w:r>
              <w:rPr>
                <w:rStyle w:val="Text0"/>
              </w:rPr>
              <w:t>,</w:t>
            </w:r>
            <w:r>
              <w:t xml:space="preserve"> </w:t>
            </w:r>
            <w:r>
              <w:rPr>
                <w:rStyle w:val="Text3"/>
              </w:rPr>
              <w:t>sentinel, /</w:t>
            </w:r>
            <w:r>
              <w:rPr>
                <w:rStyle w:val="Text0"/>
              </w:rPr>
              <w:t>)</w:t>
              <w:br w:clear="none"/>
            </w:r>
            <w:r>
              <w:t xml:space="preserve"> Creates</w:t>
            </w:r>
            <w:r>
              <w:rPr>
                <w:rStyle w:val="Text111"/>
              </w:rPr>
              <w:bookmarkStart w:id="2069" w:name="idm45965215777840"/>
              <w:t/>
              <w:bookmarkEnd w:id="2069"/>
            </w:r>
            <w:r>
              <w:t xml:space="preserve"> and returns an iterator (an object that you can repeatedly pass to the </w:t>
            </w:r>
            <w:r>
              <w:rPr>
                <w:rStyle w:val="Text0"/>
              </w:rPr>
              <w:t>next</w:t>
            </w:r>
            <w:r>
              <w:t xml:space="preserve"> built-in function to get one item at a time; see </w:t>
            </w:r>
            <w:hyperlink w:anchor="Iterators__An_iterator_is_an_obj">
              <w:r>
                <w:rPr>
                  <w:rStyle w:val="Text1"/>
                </w:rPr>
                <w:t>“Iterators”</w:t>
              </w:r>
            </w:hyperlink>
            <w:r>
              <w:t xml:space="preserve">). When called with one argument, </w:t>
            </w:r>
            <w:r>
              <w:rPr>
                <w:rStyle w:val="Text0"/>
              </w:rPr>
              <w:t>iter(</w:t>
            </w:r>
            <w:r>
              <w:rPr>
                <w:rStyle w:val="Text3"/>
              </w:rPr>
              <w:t>obj</w:t>
            </w:r>
            <w:r>
              <w:rPr>
                <w:rStyle w:val="Text0"/>
              </w:rPr>
              <w:t>)</w:t>
            </w:r>
            <w:r>
              <w:t xml:space="preserve"> normally returns </w:t>
            </w:r>
            <w:r>
              <w:rPr>
                <w:rStyle w:val="Text3"/>
              </w:rPr>
              <w:t>obj</w:t>
            </w:r>
            <w:r>
              <w:rPr>
                <w:rStyle w:val="Text0"/>
              </w:rPr>
              <w:t>.__iter__()</w:t>
            </w:r>
            <w:r>
              <w:t xml:space="preserve">. When </w:t>
            </w:r>
            <w:r>
              <w:rPr>
                <w:rStyle w:val="Text3"/>
              </w:rPr>
              <w:t>obj</w:t>
            </w:r>
            <w:r>
              <w:t xml:space="preserve"> is a sequence without a special method </w:t>
            </w:r>
            <w:r>
              <w:rPr>
                <w:rStyle w:val="Text0"/>
              </w:rPr>
              <w:t>__iter__</w:t>
            </w:r>
            <w:r>
              <w:t xml:space="preserve">, </w:t>
            </w:r>
            <w:r>
              <w:rPr>
                <w:rStyle w:val="Text0"/>
              </w:rPr>
              <w:t>iter(</w:t>
            </w:r>
            <w:r>
              <w:rPr>
                <w:rStyle w:val="Text3"/>
              </w:rPr>
              <w:t>obj</w:t>
            </w:r>
            <w:r>
              <w:rPr>
                <w:rStyle w:val="Text0"/>
              </w:rPr>
              <w:t>)</w:t>
            </w:r>
            <w:r>
              <w:t xml:space="preserve"> is equivalent to the generator: </w:t>
            </w:r>
          </w:p>
          <w:p>
            <w:pPr>
              <w:pStyle w:val="Para 104"/>
            </w:pPr>
            <w:r>
              <w:rPr>
                <w:rStyle w:val="Text120"/>
              </w:rPr>
              <w:t xml:space="preserve"/>
              <w:br w:clear="none"/>
            </w:r>
            <w:r>
              <w:rPr>
                <w:rStyle w:val="Text39"/>
              </w:rPr>
              <w:t xml:space="preserve">def</w:t>
              <w:br w:clear="none"/>
            </w:r>
            <w:r>
              <w:rPr>
                <w:rStyle w:val="Text37"/>
              </w:rPr>
              <w:t xml:space="preserve"> </w:t>
              <w:br w:clear="none"/>
            </w:r>
            <w:r>
              <w:rPr>
                <w:rStyle w:val="Text61"/>
              </w:rPr>
              <w:t xml:space="preserve">iter_sequence</w:t>
              <w:br w:clear="none"/>
            </w:r>
            <w:r>
              <w:rPr>
                <w:rStyle w:val="Text31"/>
              </w:rPr>
              <w:t xml:space="preserve">(</w:t>
              <w:br w:clear="none"/>
            </w:r>
            <w:r>
              <w:rPr>
                <w:rStyle w:val="Text38"/>
              </w:rPr>
              <w:t xml:space="preserve">obj</w:t>
              <w:br w:clear="none"/>
            </w:r>
            <w:r>
              <w:rPr>
                <w:rStyle w:val="Text31"/>
              </w:rPr>
              <w:t xml:space="preserve">)</w:t>
              <w:br w:clear="none"/>
              <w:t xml:space="preserve">:</w:t>
              <w:br w:clear="none"/>
            </w:r>
            <w:r>
              <w:rPr>
                <w:rStyle w:val="Text37"/>
              </w:rPr>
              <w:t xml:space="preserve"/>
              <w:br w:clear="none"/>
              <w:t xml:space="preserve">    </w:t>
              <w:br w:clear="none"/>
            </w:r>
            <w:r>
              <w:rPr>
                <w:rStyle w:val="Text38"/>
              </w:rPr>
              <w:t xml:space="preserve">i</w:t>
              <w:br w:clear="none"/>
            </w:r>
            <w:r>
              <w:rPr>
                <w:rStyle w:val="Text37"/>
              </w:rPr>
              <w:t xml:space="preserve"> </w:t>
              <w:br w:clear="none"/>
            </w:r>
            <w:r>
              <w:rPr>
                <w:rStyle w:val="Text63"/>
              </w:rPr>
              <w:t xml:space="preserve">=</w:t>
              <w:br w:clear="none"/>
            </w:r>
            <w:r>
              <w:rPr>
                <w:rStyle w:val="Text37"/>
              </w:rPr>
              <w:t xml:space="preserve"> </w:t>
              <w:br w:clear="none"/>
            </w:r>
            <w:r>
              <w:rPr>
                <w:rStyle w:val="Text93"/>
              </w:rPr>
              <w:t xml:space="preserve">0</w:t>
              <w:br w:clear="none"/>
            </w:r>
            <w:r>
              <w:rPr>
                <w:rStyle w:val="Text37"/>
              </w:rPr>
              <w:t xml:space="preserve"/>
              <w:br w:clear="none"/>
              <w:t xml:space="preserve">    </w:t>
              <w:br w:clear="none"/>
            </w:r>
            <w:r>
              <w:rPr>
                <w:rStyle w:val="Text39"/>
              </w:rPr>
              <w:t xml:space="preserve">while</w:t>
              <w:br w:clear="none"/>
            </w:r>
            <w:r>
              <w:t xml:space="preserve"> </w:t>
              <w:br w:clear="none"/>
            </w:r>
            <w:r>
              <w:rPr>
                <w:rStyle w:val="Text39"/>
              </w:rPr>
              <w:t xml:space="preserve">True</w:t>
              <w:br w:clear="none"/>
            </w:r>
            <w:r>
              <w:rPr>
                <w:rStyle w:val="Text31"/>
              </w:rPr>
              <w:t xml:space="preserve">:</w:t>
              <w:br w:clear="none"/>
            </w:r>
            <w:r>
              <w:rPr>
                <w:rStyle w:val="Text37"/>
              </w:rPr>
              <w:t xml:space="preserve"/>
              <w:br w:clear="none"/>
              <w:t xml:space="preserve">        </w:t>
              <w:br w:clear="none"/>
            </w:r>
            <w:r>
              <w:rPr>
                <w:rStyle w:val="Text39"/>
              </w:rPr>
              <w:t xml:space="preserve">try</w:t>
              <w:br w:clear="none"/>
            </w:r>
            <w:r>
              <w:rPr>
                <w:rStyle w:val="Text31"/>
              </w:rPr>
              <w:t xml:space="preserve">:</w:t>
              <w:br w:clear="none"/>
            </w:r>
            <w:r>
              <w:rPr>
                <w:rStyle w:val="Text37"/>
              </w:rPr>
              <w:t xml:space="preserve"/>
              <w:br w:clear="none"/>
            </w:r>
            <w:r>
              <w:t xml:space="preserve">            </w:t>
              <w:br w:clear="none"/>
            </w:r>
            <w:r>
              <w:rPr>
                <w:rStyle w:val="Text39"/>
              </w:rPr>
              <w:t xml:space="preserve">yield</w:t>
              <w:br w:clear="none"/>
            </w:r>
            <w:r>
              <w:rPr>
                <w:rStyle w:val="Text37"/>
              </w:rPr>
              <w:t xml:space="preserve"> </w:t>
              <w:br w:clear="none"/>
            </w:r>
            <w:r>
              <w:rPr>
                <w:rStyle w:val="Text38"/>
              </w:rPr>
              <w:t xml:space="preserve">obj</w:t>
              <w:br w:clear="none"/>
            </w:r>
            <w:r>
              <w:rPr>
                <w:rStyle w:val="Text31"/>
              </w:rPr>
              <w:t xml:space="preserve">[</w:t>
              <w:br w:clear="none"/>
            </w:r>
            <w:r>
              <w:rPr>
                <w:rStyle w:val="Text38"/>
              </w:rPr>
              <w:t xml:space="preserve">i</w:t>
              <w:br w:clear="none"/>
            </w:r>
            <w:r>
              <w:rPr>
                <w:rStyle w:val="Text31"/>
              </w:rPr>
              <w:t xml:space="preserve">]</w:t>
              <w:br w:clear="none"/>
            </w:r>
            <w:r>
              <w:rPr>
                <w:rStyle w:val="Text37"/>
              </w:rPr>
              <w:t xml:space="preserve"/>
              <w:br w:clear="none"/>
            </w:r>
            <w:r>
              <w:t xml:space="preserve">        </w:t>
              <w:br w:clear="none"/>
            </w:r>
            <w:r>
              <w:rPr>
                <w:rStyle w:val="Text39"/>
              </w:rPr>
              <w:t xml:space="preserve">except</w:t>
              <w:br w:clear="none"/>
            </w:r>
            <w:r>
              <w:rPr>
                <w:rStyle w:val="Text37"/>
              </w:rPr>
              <w:t xml:space="preserve"> </w:t>
              <w:br w:clear="none"/>
            </w:r>
            <w:r>
              <w:rPr>
                <w:rStyle w:val="Text57"/>
              </w:rPr>
              <w:t xml:space="preserve">IndexError</w:t>
              <w:br w:clear="none"/>
            </w:r>
            <w:r>
              <w:rPr>
                <w:rStyle w:val="Text31"/>
              </w:rPr>
              <w:t xml:space="preserve">:</w:t>
              <w:br w:clear="none"/>
            </w:r>
            <w:r>
              <w:rPr>
                <w:rStyle w:val="Text37"/>
              </w:rPr>
              <w:t xml:space="preserve"/>
              <w:br w:clear="none"/>
            </w:r>
            <w:r>
              <w:t xml:space="preserve">            </w:t>
              <w:br w:clear="none"/>
            </w:r>
            <w:r>
              <w:rPr>
                <w:rStyle w:val="Text39"/>
              </w:rPr>
              <w:t xml:space="preserve">raise</w:t>
              <w:br w:clear="none"/>
            </w:r>
            <w:r>
              <w:rPr>
                <w:rStyle w:val="Text37"/>
              </w:rPr>
              <w:t xml:space="preserve"> </w:t>
              <w:br w:clear="none"/>
            </w:r>
            <w:r>
              <w:rPr>
                <w:rStyle w:val="Text57"/>
              </w:rPr>
              <w:t xml:space="preserve">StopIteration</w:t>
              <w:br w:clear="none"/>
            </w:r>
            <w:r>
              <w:rPr>
                <w:rStyle w:val="Text37"/>
              </w:rPr>
              <w:t xml:space="preserve"/>
              <w:br w:clear="none"/>
              <w:t xml:space="preserve">        </w:t>
              <w:br w:clear="none"/>
            </w:r>
            <w:r>
              <w:rPr>
                <w:rStyle w:val="Text38"/>
              </w:rPr>
              <w:t xml:space="preserve">i</w:t>
              <w:br w:clear="none"/>
            </w:r>
            <w:r>
              <w:rPr>
                <w:rStyle w:val="Text37"/>
              </w:rPr>
              <w:t xml:space="preserve"> </w:t>
              <w:br w:clear="none"/>
            </w:r>
            <w:r>
              <w:rPr>
                <w:rStyle w:val="Text63"/>
              </w:rPr>
              <w:t xml:space="preserve">+</w:t>
              <w:br w:clear="none"/>
              <w:t xml:space="preserve">=</w:t>
              <w:br w:clear="none"/>
            </w:r>
            <w:r>
              <w:rPr>
                <w:rStyle w:val="Text37"/>
              </w:rPr>
              <w:t xml:space="preserve"> </w:t>
              <w:br w:clear="none"/>
            </w:r>
            <w:r>
              <w:rPr>
                <w:rStyle w:val="Text93"/>
              </w:rPr>
              <w:t xml:space="preserve">1</w:t>
              <w:br w:clear="none"/>
            </w:r>
          </w:p>
          <w:p>
            <w:pPr>
              <w:pStyle w:val="Para 022"/>
            </w:pPr>
            <w:r>
              <w:t xml:space="preserve"> See also </w:t>
            </w:r>
            <w:hyperlink w:anchor="Sequences__A_sequence_is_an_orde">
              <w:r>
                <w:rPr>
                  <w:rStyle w:val="Text1"/>
                </w:rPr>
                <w:t>“Sequences”</w:t>
              </w:r>
            </w:hyperlink>
            <w:r>
              <w:t xml:space="preserve"> and </w:t>
            </w:r>
            <w:r>
              <w:rPr>
                <w:rStyle w:val="Text0"/>
              </w:rPr>
              <w:t>__iter__</w:t>
            </w:r>
            <w:r>
              <w:t xml:space="preserve"> in </w:t>
            </w:r>
            <w:hyperlink w:anchor="Table_4_2__Container_methods">
              <w:r>
                <w:rPr>
                  <w:rStyle w:val="Text1"/>
                </w:rPr>
                <w:t>Table 4-2</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52"/>
            </w:pPr>
            <w:r>
              <w:rPr>
                <w:rStyle w:val="Text50"/>
              </w:rPr>
              <w:t>iter</w:t>
              <w:br w:clear="none"/>
            </w:r>
            <w:r>
              <w:rPr>
                <w:rStyle w:val="Text4"/>
              </w:rPr>
              <w:t xml:space="preserve"> </w:t>
            </w:r>
            <w:r>
              <w:t>(cont.)</w:t>
            </w:r>
            <w:r>
              <w:rPr>
                <w:rStyle w:val="Text4"/>
              </w:rPr>
              <w:t xml:space="preserve"> </w:t>
            </w:r>
          </w:p>
        </w:tc>
        <w:tc>
          <w:tcPr>
            <w:tcW w:type="auto" w:w="0"/>
            <w:shd w:val="clear" w:color="auto" w:fill="EEF2F6"/>
            <w:tcMar>
              <w:left w:type="dxa" w:w="200"/>
              <w:top w:type="dxa" w:w="200"/>
              <w:right w:type="dxa" w:w="200"/>
              <w:bottom w:type="dxa" w:w="200"/>
            </w:tcMar>
          </w:tcPr>
          <w:p>
            <w:pPr>
              <w:pStyle w:val="Para 002"/>
            </w:pPr>
            <w:r>
              <w:t xml:space="preserve">When called with two arguments, the first argument must be callable without arguments, and </w:t>
            </w:r>
            <w:r>
              <w:rPr>
                <w:rStyle w:val="Text0"/>
              </w:rPr>
              <w:t>iter(</w:t>
            </w:r>
            <w:r>
              <w:rPr>
                <w:rStyle w:val="Text3"/>
              </w:rPr>
              <w:t>func</w:t>
            </w:r>
            <w:r>
              <w:rPr>
                <w:rStyle w:val="Text0"/>
              </w:rPr>
              <w:t>,</w:t>
            </w:r>
            <w:r>
              <w:t xml:space="preserve"> </w:t>
            </w:r>
            <w:r>
              <w:rPr>
                <w:rStyle w:val="Text3"/>
              </w:rPr>
              <w:t>sentinel</w:t>
            </w:r>
            <w:r>
              <w:rPr>
                <w:rStyle w:val="Text0"/>
              </w:rPr>
              <w:t>)</w:t>
            </w:r>
            <w:r>
              <w:t xml:space="preserve"> is equivalent to the generator: </w:t>
            </w:r>
          </w:p>
          <w:p>
            <w:pPr>
              <w:pStyle w:val="Para 063"/>
            </w:pPr>
            <w:r>
              <w:rPr>
                <w:rStyle w:val="Text104"/>
              </w:rPr>
              <w:t xml:space="preserve"/>
              <w:br w:clear="none"/>
            </w:r>
            <w:r>
              <w:rPr>
                <w:rStyle w:val="Text10"/>
              </w:rPr>
              <w:t xml:space="preserve">def</w:t>
              <w:br w:clear="none"/>
            </w:r>
            <w:r>
              <w:t xml:space="preserve"> </w:t>
              <w:br w:clear="none"/>
            </w:r>
            <w:r>
              <w:rPr>
                <w:rStyle w:val="Text18"/>
              </w:rPr>
              <w:t xml:space="preserve">iter_sentinel</w:t>
              <w:br w:clear="none"/>
            </w:r>
            <w:r>
              <w:rPr>
                <w:rStyle w:val="Text7"/>
              </w:rPr>
              <w:t xml:space="preserve">(</w:t>
              <w:br w:clear="none"/>
            </w:r>
            <w:r>
              <w:rPr>
                <w:rStyle w:val="Text9"/>
              </w:rPr>
              <w:t xml:space="preserve">func</w:t>
              <w:br w:clear="none"/>
            </w:r>
            <w:r>
              <w:rPr>
                <w:rStyle w:val="Text7"/>
              </w:rPr>
              <w:t xml:space="preserve">,</w:t>
              <w:br w:clear="none"/>
            </w:r>
            <w:r>
              <w:t xml:space="preserve"> </w:t>
              <w:br w:clear="none"/>
            </w:r>
            <w:r>
              <w:rPr>
                <w:rStyle w:val="Text9"/>
              </w:rPr>
              <w:t xml:space="preserve">sentinel</w:t>
              <w:br w:clear="none"/>
            </w:r>
            <w:r>
              <w:rPr>
                <w:rStyle w:val="Text7"/>
              </w:rPr>
              <w:t xml:space="preserve">)</w:t>
              <w:br w:clear="none"/>
              <w:t xml:space="preserve">:</w:t>
              <w:br w:clear="none"/>
            </w:r>
            <w:r>
              <w:t xml:space="preserve"/>
              <w:br w:clear="none"/>
              <w:t xml:space="preserve">    </w:t>
              <w:br w:clear="none"/>
            </w:r>
            <w:r>
              <w:rPr>
                <w:rStyle w:val="Text10"/>
              </w:rPr>
              <w:t xml:space="preserve">while</w:t>
              <w:br w:clear="none"/>
            </w:r>
            <w:r>
              <w:rPr>
                <w:rStyle w:val="Text37"/>
              </w:rPr>
              <w:t xml:space="preserve"> </w:t>
              <w:br w:clear="none"/>
            </w:r>
            <w:r>
              <w:rPr>
                <w:rStyle w:val="Text10"/>
              </w:rPr>
              <w:t xml:space="preserve">True</w:t>
              <w:br w:clear="none"/>
            </w:r>
            <w:r>
              <w:rPr>
                <w:rStyle w:val="Text7"/>
              </w:rPr>
              <w:t xml:space="preserve">:</w:t>
              <w:br w:clear="none"/>
            </w:r>
            <w:r>
              <w:t xml:space="preserve"/>
              <w:br w:clear="none"/>
              <w:t xml:space="preserve">        </w:t>
              <w:br w:clear="none"/>
            </w:r>
            <w:r>
              <w:rPr>
                <w:rStyle w:val="Text9"/>
              </w:rPr>
              <w:t xml:space="preserve">item</w:t>
              <w:br w:clear="none"/>
            </w:r>
            <w:r>
              <w:t xml:space="preserve"> </w:t>
              <w:br w:clear="none"/>
            </w:r>
            <w:r>
              <w:rPr>
                <w:rStyle w:val="Text13"/>
              </w:rPr>
              <w:t xml:space="preserve">=</w:t>
              <w:br w:clear="none"/>
            </w:r>
            <w:r>
              <w:t xml:space="preserve"> </w:t>
              <w:br w:clear="none"/>
            </w:r>
            <w:r>
              <w:rPr>
                <w:rStyle w:val="Text9"/>
              </w:rPr>
              <w:t xml:space="preserve">func</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item</w:t>
              <w:br w:clear="none"/>
            </w:r>
            <w:r>
              <w:t xml:space="preserve"> </w:t>
              <w:br w:clear="none"/>
            </w:r>
            <w:r>
              <w:rPr>
                <w:rStyle w:val="Text13"/>
              </w:rPr>
              <w:t xml:space="preserve">==</w:t>
              <w:br w:clear="none"/>
            </w:r>
            <w:r>
              <w:t xml:space="preserve"> </w:t>
              <w:br w:clear="none"/>
            </w:r>
            <w:r>
              <w:rPr>
                <w:rStyle w:val="Text9"/>
              </w:rPr>
              <w:t xml:space="preserve">sentinel</w:t>
              <w:br w:clear="none"/>
            </w:r>
            <w:r>
              <w:rPr>
                <w:rStyle w:val="Text7"/>
              </w:rPr>
              <w:t xml:space="preserve">:</w:t>
              <w:br w:clear="none"/>
            </w:r>
            <w:r>
              <w:t xml:space="preserve"/>
              <w:br w:clear="none"/>
              <w:t xml:space="preserve">            </w:t>
              <w:br w:clear="none"/>
            </w:r>
            <w:r>
              <w:rPr>
                <w:rStyle w:val="Text10"/>
              </w:rPr>
              <w:t xml:space="preserve">raise</w:t>
              <w:br w:clear="none"/>
            </w:r>
            <w:r>
              <w:t xml:space="preserve"> </w:t>
              <w:br w:clear="none"/>
            </w:r>
            <w:r>
              <w:rPr>
                <w:rStyle w:val="Text36"/>
              </w:rPr>
              <w:t xml:space="preserve">StopIteration</w:t>
              <w:br w:clear="none"/>
            </w:r>
            <w:r>
              <w:t xml:space="preserve"/>
              <w:br w:clear="none"/>
              <w:t xml:space="preserve">        </w:t>
              <w:br w:clear="none"/>
            </w:r>
            <w:r>
              <w:rPr>
                <w:rStyle w:val="Text10"/>
              </w:rPr>
              <w:t xml:space="preserve">yield</w:t>
              <w:br w:clear="none"/>
            </w:r>
            <w:r>
              <w:t xml:space="preserve"> </w:t>
              <w:br w:clear="none"/>
            </w:r>
            <w:r>
              <w:rPr>
                <w:rStyle w:val="Text9"/>
              </w:rPr>
              <w:t xml:space="preserve">item</w:t>
              <w:br w:clear="none"/>
            </w:r>
          </w:p>
          <w:p>
            <w:pPr>
              <w:keepNext/>
              <w:pStyle w:val="Para 050"/>
              <w:keepLines w:val="on"/>
            </w:pPr>
            <w:r>
              <w:t>Don’t Call iter in a for Clause</w:t>
            </w:r>
          </w:p>
          <w:p>
            <w:pPr>
              <w:pStyle w:val="Para 041"/>
              <w:keepLines w:val="on"/>
            </w:pPr>
            <w:r>
              <w:t xml:space="preserve">As discussed in </w:t>
            </w:r>
            <w:hyperlink w:anchor="The_for_Statement__The_for_state">
              <w:r>
                <w:rPr>
                  <w:rStyle w:val="Text1"/>
                </w:rPr>
                <w:t>“The for Statement”</w:t>
              </w:r>
            </w:hyperlink>
            <w:r>
              <w:t xml:space="preserve">, the statement </w:t>
            </w:r>
            <w:r>
              <w:rPr>
                <w:rStyle w:val="Text5"/>
              </w:rPr>
              <w:t>for</w:t>
            </w:r>
            <w:r>
              <w:t xml:space="preserve"> </w:t>
            </w:r>
            <w:r>
              <w:rPr>
                <w:rStyle w:val="Text3"/>
              </w:rPr>
              <w:t>x</w:t>
            </w:r>
            <w:r>
              <w:t xml:space="preserve"> </w:t>
            </w:r>
            <w:r>
              <w:rPr>
                <w:rStyle w:val="Text5"/>
              </w:rPr>
              <w:t>in</w:t>
            </w:r>
            <w:r>
              <w:t xml:space="preserve"> </w:t>
            </w:r>
            <w:r>
              <w:rPr>
                <w:rStyle w:val="Text3"/>
              </w:rPr>
              <w:t>obj</w:t>
            </w:r>
            <w:r>
              <w:t xml:space="preserve"> is exactly equivalent to </w:t>
            </w:r>
            <w:r>
              <w:rPr>
                <w:rStyle w:val="Text5"/>
              </w:rPr>
              <w:t>for</w:t>
            </w:r>
            <w:r>
              <w:t xml:space="preserve"> </w:t>
            </w:r>
            <w:r>
              <w:rPr>
                <w:rStyle w:val="Text3"/>
              </w:rPr>
              <w:t>x</w:t>
            </w:r>
            <w:r>
              <w:t xml:space="preserve"> </w:t>
            </w:r>
            <w:r>
              <w:rPr>
                <w:rStyle w:val="Text5"/>
              </w:rPr>
              <w:t>in</w:t>
            </w:r>
            <w:r>
              <w:t xml:space="preserve"> </w:t>
            </w:r>
            <w:r>
              <w:rPr>
                <w:rStyle w:val="Text0"/>
              </w:rPr>
              <w:t>iter(</w:t>
            </w:r>
            <w:r>
              <w:rPr>
                <w:rStyle w:val="Text3"/>
              </w:rPr>
              <w:t>obj</w:t>
            </w:r>
            <w:r>
              <w:rPr>
                <w:rStyle w:val="Text0"/>
              </w:rPr>
              <w:t>)</w:t>
            </w:r>
            <w:r>
              <w:t xml:space="preserve">; therefore, do </w:t>
            </w:r>
            <w:r>
              <w:rPr>
                <w:rStyle w:val="Text4"/>
              </w:rPr>
              <w:t>not</w:t>
            </w:r>
            <w:r>
              <w:t xml:space="preserve"> explicitly call </w:t>
            </w:r>
            <w:r>
              <w:rPr>
                <w:rStyle w:val="Text0"/>
              </w:rPr>
              <w:t>iter</w:t>
            </w:r>
            <w:r>
              <w:t xml:space="preserve"> in such a </w:t>
            </w:r>
            <w:r>
              <w:rPr>
                <w:rStyle w:val="Text5"/>
              </w:rPr>
              <w:t>for</w:t>
            </w:r>
            <w:r>
              <w:t xml:space="preserve"> statement. That would be redundant and, therefore, bad Python style, slower, and less readable.</w:t>
            </w:r>
          </w:p>
          <w:p>
            <w:pPr>
              <w:pStyle w:val="Para 022"/>
            </w:pPr>
            <w:r>
              <w:rPr>
                <w:rStyle w:val="Text0"/>
              </w:rPr>
              <w:t>iter</w:t>
            </w:r>
            <w:r>
              <w:t xml:space="preserve"> is </w:t>
            </w:r>
            <w:r>
              <w:rPr>
                <w:rStyle w:val="Text4"/>
              </w:rPr>
              <w:t>idempotent</w:t>
            </w:r>
            <w:r>
              <w:t xml:space="preserve">. In other words, when </w:t>
            </w:r>
            <w:r>
              <w:rPr>
                <w:rStyle w:val="Text3"/>
              </w:rPr>
              <w:t>x</w:t>
            </w:r>
            <w:r>
              <w:t xml:space="preserve"> is an iterator, </w:t>
            </w:r>
            <w:r>
              <w:rPr>
                <w:rStyle w:val="Text0"/>
              </w:rPr>
              <w:t>iter(</w:t>
            </w:r>
            <w:r>
              <w:rPr>
                <w:rStyle w:val="Text3"/>
              </w:rPr>
              <w:t>x</w:t>
            </w:r>
            <w:r>
              <w:rPr>
                <w:rStyle w:val="Text0"/>
              </w:rPr>
              <w:t>)</w:t>
            </w:r>
            <w:r>
              <w:t xml:space="preserve"> is </w:t>
            </w:r>
            <w:r>
              <w:rPr>
                <w:rStyle w:val="Text3"/>
              </w:rPr>
              <w:t>x</w:t>
            </w:r>
            <w:r>
              <w:t xml:space="preserve">, as long as </w:t>
            </w:r>
            <w:r>
              <w:rPr>
                <w:rStyle w:val="Text3"/>
              </w:rPr>
              <w:t>x</w:t>
            </w:r>
            <w:r>
              <w:t xml:space="preserve">’s class supplies an </w:t>
            </w:r>
            <w:r>
              <w:rPr>
                <w:rStyle w:val="Text0"/>
              </w:rPr>
              <w:t>__iter__</w:t>
            </w:r>
            <w:r>
              <w:t xml:space="preserve"> method whose body is just </w:t>
            </w:r>
            <w:r>
              <w:rPr>
                <w:rStyle w:val="Text5"/>
              </w:rPr>
              <w:t>return</w:t>
            </w:r>
            <w:r>
              <w:t xml:space="preserve"> </w:t>
            </w:r>
            <w:r>
              <w:rPr>
                <w:rStyle w:val="Text0"/>
              </w:rPr>
              <w:t>self</w:t>
            </w:r>
            <w:r>
              <w:t>, as an iterator’s class should.</w:t>
            </w:r>
          </w:p>
        </w:tc>
      </w:tr>
    </w:tbl>
    <w:tbl>
      <w:tblPr>
        <w:tblW w:type="auto" w:w="0"/>
      </w:tblPr>
      <w:tr>
        <w:tc>
          <w:tcPr>
            <w:tcW w:type="auto" w:w="0"/>
            <w:tcMar>
              <w:left w:type="dxa" w:w="200"/>
              <w:top w:type="dxa" w:w="200"/>
              <w:right w:type="dxa" w:w="200"/>
              <w:bottom w:type="dxa" w:w="200"/>
            </w:tcMar>
          </w:tcPr>
          <w:p>
            <w:pPr>
              <w:pStyle w:val="Para 001"/>
            </w:pPr>
            <w:r>
              <w:t>len</w:t>
            </w:r>
          </w:p>
        </w:tc>
        <w:tc>
          <w:tcPr>
            <w:tcW w:type="auto" w:w="0"/>
            <w:tcMar>
              <w:left w:type="dxa" w:w="200"/>
              <w:top w:type="dxa" w:w="200"/>
              <w:right w:type="dxa" w:w="200"/>
              <w:bottom w:type="dxa" w:w="200"/>
            </w:tcMar>
          </w:tcPr>
          <w:p>
            <w:pPr>
              <w:pStyle w:val="Para 002"/>
            </w:pPr>
            <w:r>
              <w:rPr>
                <w:rStyle w:val="Text0"/>
              </w:rPr>
              <w:t>len(</w:t>
            </w:r>
            <w:r>
              <w:rPr>
                <w:rStyle w:val="Text3"/>
              </w:rPr>
              <w:t>container</w:t>
            </w:r>
            <w:r>
              <w:rPr>
                <w:rStyle w:val="Text0"/>
              </w:rPr>
              <w:t>, /)</w:t>
              <w:br w:clear="none"/>
            </w:r>
            <w:r>
              <w:t xml:space="preserve"> Returns</w:t>
            </w:r>
            <w:r>
              <w:rPr>
                <w:rStyle w:val="Text111"/>
              </w:rPr>
              <w:bookmarkStart w:id="2070" w:name="idm45965215617408"/>
              <w:t/>
              <w:bookmarkEnd w:id="2070"/>
            </w:r>
            <w:r>
              <w:t xml:space="preserve"> the number of items in </w:t>
            </w:r>
            <w:r>
              <w:rPr>
                <w:rStyle w:val="Text3"/>
              </w:rPr>
              <w:t>container</w:t>
            </w:r>
            <w:r>
              <w:t xml:space="preserve">, which may be a sequence, a mapping, or a set. See also </w:t>
            </w:r>
            <w:r>
              <w:rPr>
                <w:rStyle w:val="Text0"/>
              </w:rPr>
              <w:t>__len__</w:t>
            </w:r>
            <w:r>
              <w:t xml:space="preserve"> in </w:t>
            </w:r>
            <w:hyperlink w:anchor="Container_methods__The_special_m">
              <w:r>
                <w:rPr>
                  <w:rStyle w:val="Text1"/>
                </w:rPr>
                <w:t>“Container methods”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locals</w:t>
            </w:r>
          </w:p>
        </w:tc>
        <w:tc>
          <w:tcPr>
            <w:tcW w:type="auto" w:w="0"/>
            <w:shd w:val="clear" w:color="auto" w:fill="EEF2F6"/>
            <w:tcMar>
              <w:left w:type="dxa" w:w="200"/>
              <w:top w:type="dxa" w:w="200"/>
              <w:right w:type="dxa" w:w="200"/>
              <w:bottom w:type="dxa" w:w="200"/>
            </w:tcMar>
          </w:tcPr>
          <w:p>
            <w:pPr>
              <w:pStyle w:val="Para 002"/>
            </w:pPr>
            <w:r>
              <w:rPr>
                <w:rStyle w:val="Text0"/>
              </w:rPr>
              <w:t>locals()</w:t>
              <w:br w:clear="none"/>
            </w:r>
            <w:r>
              <w:t xml:space="preserve"> Returns</w:t>
            </w:r>
            <w:r>
              <w:rPr>
                <w:rStyle w:val="Text111"/>
              </w:rPr>
              <w:bookmarkStart w:id="2071" w:name="idm45965215611376"/>
              <w:t/>
              <w:bookmarkEnd w:id="2071"/>
            </w:r>
            <w:r>
              <w:t xml:space="preserve"> a dictionary that represents the current local namespace. Treat the returned dictionary as read-only; trying to modify it may or may not affect the values of local variables, and might raise an exception. See also </w:t>
            </w:r>
            <w:r>
              <w:rPr>
                <w:rStyle w:val="Text0"/>
              </w:rPr>
              <w:t>globals</w:t>
            </w:r>
            <w:r>
              <w:t xml:space="preserve"> and </w:t>
            </w:r>
            <w:r>
              <w:rPr>
                <w:rStyle w:val="Text0"/>
              </w:rPr>
              <w:t>vars</w:t>
            </w:r>
            <w:r>
              <w:t xml:space="preserve"> in this table.</w:t>
            </w:r>
          </w:p>
        </w:tc>
      </w:tr>
    </w:tbl>
    <w:tbl>
      <w:tblPr>
        <w:tblW w:type="auto" w:w="0"/>
      </w:tblPr>
      <w:tr>
        <w:tc>
          <w:tcPr>
            <w:tcW w:type="auto" w:w="0"/>
            <w:tcMar>
              <w:left w:type="dxa" w:w="200"/>
              <w:top w:type="dxa" w:w="200"/>
              <w:right w:type="dxa" w:w="200"/>
              <w:bottom w:type="dxa" w:w="200"/>
            </w:tcMar>
          </w:tcPr>
          <w:p>
            <w:pPr>
              <w:pStyle w:val="Para 001"/>
            </w:pPr>
            <w:r>
              <w:t>map</w:t>
            </w:r>
          </w:p>
        </w:tc>
        <w:tc>
          <w:tcPr>
            <w:tcW w:type="auto" w:w="0"/>
            <w:tcMar>
              <w:left w:type="dxa" w:w="200"/>
              <w:top w:type="dxa" w:w="200"/>
              <w:right w:type="dxa" w:w="200"/>
              <w:bottom w:type="dxa" w:w="200"/>
            </w:tcMar>
          </w:tcPr>
          <w:p>
            <w:pPr>
              <w:pStyle w:val="Para 002"/>
            </w:pPr>
            <w:r>
              <w:rPr>
                <w:rStyle w:val="Text0"/>
              </w:rPr>
              <w:t>map(</w:t>
            </w:r>
            <w:r>
              <w:rPr>
                <w:rStyle w:val="Text3"/>
              </w:rPr>
              <w:t>func, seq</w:t>
            </w:r>
            <w:r>
              <w:rPr>
                <w:rStyle w:val="Text0"/>
              </w:rPr>
              <w:t>, /)</w:t>
            </w:r>
            <w:r>
              <w:t>,</w:t>
              <w:br w:clear="none"/>
              <w:t xml:space="preserve"> </w:t>
            </w:r>
            <w:r>
              <w:rPr>
                <w:rStyle w:val="Text0"/>
              </w:rPr>
              <w:t>map(</w:t>
            </w:r>
            <w:r>
              <w:rPr>
                <w:rStyle w:val="Text3"/>
              </w:rPr>
              <w:t>func</w:t>
            </w:r>
            <w:r>
              <w:rPr>
                <w:rStyle w:val="Text0"/>
              </w:rPr>
              <w:t>, /, *</w:t>
            </w:r>
            <w:r>
              <w:rPr>
                <w:rStyle w:val="Text3"/>
              </w:rPr>
              <w:t>seqs</w:t>
            </w:r>
            <w:r>
              <w:rPr>
                <w:rStyle w:val="Text0"/>
              </w:rPr>
              <w:t>)</w:t>
              <w:br w:clear="none"/>
            </w:r>
            <w:r>
              <w:t xml:space="preserve"> </w:t>
            </w:r>
            <w:r>
              <w:rPr>
                <w:rStyle w:val="Text0"/>
              </w:rPr>
              <w:t>map</w:t>
            </w:r>
            <w:r>
              <w:rPr>
                <w:rStyle w:val="Text111"/>
              </w:rPr>
              <w:bookmarkStart w:id="2072" w:name="idm45965215602704"/>
              <w:t/>
              <w:bookmarkEnd w:id="2072"/>
            </w:r>
            <w:r>
              <w:t xml:space="preserve"> calls </w:t>
            </w:r>
            <w:r>
              <w:rPr>
                <w:rStyle w:val="Text3"/>
              </w:rPr>
              <w:t>func</w:t>
            </w:r>
            <w:r>
              <w:t xml:space="preserve"> on every item of iterable </w:t>
            </w:r>
            <w:r>
              <w:rPr>
                <w:rStyle w:val="Text3"/>
              </w:rPr>
              <w:t>seq</w:t>
            </w:r>
            <w:r>
              <w:t xml:space="preserve"> and returns an iterator of the results. When you call </w:t>
            </w:r>
            <w:r>
              <w:rPr>
                <w:rStyle w:val="Text0"/>
              </w:rPr>
              <w:t>map</w:t>
            </w:r>
            <w:r>
              <w:t xml:space="preserve"> with multiple </w:t>
            </w:r>
            <w:r>
              <w:rPr>
                <w:rStyle w:val="Text3"/>
              </w:rPr>
              <w:t>seqs</w:t>
            </w:r>
            <w:r>
              <w:t xml:space="preserve"> iterables, </w:t>
            </w:r>
            <w:r>
              <w:rPr>
                <w:rStyle w:val="Text3"/>
              </w:rPr>
              <w:t>func</w:t>
            </w:r>
            <w:r>
              <w:t xml:space="preserve"> must be a callable object that accepts </w:t>
            </w:r>
            <w:r>
              <w:rPr>
                <w:rStyle w:val="Text3"/>
              </w:rPr>
              <w:t>n</w:t>
            </w:r>
            <w:r>
              <w:t xml:space="preserve"> arguments (where </w:t>
            </w:r>
            <w:r>
              <w:rPr>
                <w:rStyle w:val="Text3"/>
              </w:rPr>
              <w:t>n</w:t>
            </w:r>
            <w:r>
              <w:t xml:space="preserve"> is the number of </w:t>
            </w:r>
            <w:r>
              <w:rPr>
                <w:rStyle w:val="Text3"/>
              </w:rPr>
              <w:t>seqs</w:t>
            </w:r>
            <w:r>
              <w:t xml:space="preserve"> arguments,). </w:t>
            </w:r>
            <w:r>
              <w:rPr>
                <w:rStyle w:val="Text0"/>
              </w:rPr>
              <w:t>map</w:t>
            </w:r>
            <w:r>
              <w:t xml:space="preserve"> repeatedly calls </w:t>
            </w:r>
            <w:r>
              <w:rPr>
                <w:rStyle w:val="Text3"/>
              </w:rPr>
              <w:t>func</w:t>
            </w:r>
            <w:r>
              <w:t xml:space="preserve"> with </w:t>
            </w:r>
            <w:r>
              <w:rPr>
                <w:rStyle w:val="Text3"/>
              </w:rPr>
              <w:t>n</w:t>
            </w:r>
            <w:r>
              <w:t xml:space="preserve"> arguments, one corresponding item from each iterable.</w:t>
              <w:br w:clear="none"/>
              <w:t xml:space="preserve"> For example, </w:t>
            </w:r>
            <w:r>
              <w:rPr>
                <w:rStyle w:val="Text0"/>
              </w:rPr>
              <w:t>map(</w:t>
            </w:r>
            <w:r>
              <w:rPr>
                <w:rStyle w:val="Text3"/>
              </w:rPr>
              <w:t>func</w:t>
            </w:r>
            <w:r>
              <w:rPr>
                <w:rStyle w:val="Text0"/>
              </w:rPr>
              <w:t>,</w:t>
            </w:r>
            <w:r>
              <w:t xml:space="preserve"> </w:t>
            </w:r>
            <w:r>
              <w:rPr>
                <w:rStyle w:val="Text3"/>
              </w:rPr>
              <w:t>seq</w:t>
            </w:r>
            <w:r>
              <w:rPr>
                <w:rStyle w:val="Text0"/>
              </w:rPr>
              <w:t>)</w:t>
            </w:r>
            <w:r>
              <w:t xml:space="preserve"> is just like the generator expression: </w:t>
            </w:r>
          </w:p>
          <w:p>
            <w:pPr>
              <w:pStyle w:val="Para 051"/>
            </w:pPr>
            <w:r>
              <w:rPr>
                <w:rStyle w:val="Text116"/>
              </w:rPr>
              <w:t xml:space="preserve"/>
              <w:br w:clear="none"/>
            </w:r>
            <w:r>
              <w:rPr>
                <w:rStyle w:val="Text19"/>
              </w:rPr>
              <w:t xml:space="preserve">(</w:t>
              <w:br w:clear="none"/>
            </w:r>
            <w:r>
              <w:t xml:space="preserve">func</w:t>
              <w:br w:clear="none"/>
            </w:r>
            <w:r>
              <w:rPr>
                <w:rStyle w:val="Text19"/>
              </w:rPr>
              <w:t xml:space="preserve">(</w:t>
              <w:br w:clear="none"/>
            </w:r>
            <w:r>
              <w:t xml:space="preserve">item</w:t>
              <w:br w:clear="none"/>
            </w:r>
            <w:r>
              <w:rPr>
                <w:rStyle w:val="Text19"/>
              </w:rPr>
              <w:t xml:space="preserve">)</w:t>
              <w:br w:clear="none"/>
            </w:r>
            <w:r>
              <w:rPr>
                <w:rStyle w:val="Text11"/>
              </w:rPr>
              <w:t xml:space="preserve"> </w:t>
              <w:br w:clear="none"/>
            </w:r>
            <w:r>
              <w:rPr>
                <w:rStyle w:val="Text22"/>
              </w:rPr>
              <w:t xml:space="preserve">for</w:t>
              <w:br w:clear="none"/>
            </w:r>
            <w:r>
              <w:rPr>
                <w:rStyle w:val="Text11"/>
              </w:rPr>
              <w:t xml:space="preserve"> </w:t>
              <w:br w:clear="none"/>
            </w:r>
            <w:r>
              <w:t xml:space="preserve">item</w:t>
              <w:br w:clear="none"/>
            </w:r>
            <w:r>
              <w:rPr>
                <w:rStyle w:val="Text11"/>
              </w:rPr>
              <w:t xml:space="preserve"> </w:t>
              <w:br w:clear="none"/>
            </w:r>
            <w:r>
              <w:rPr>
                <w:rStyle w:val="Text51"/>
              </w:rPr>
              <w:t xml:space="preserve">in</w:t>
              <w:br w:clear="none"/>
            </w:r>
            <w:r>
              <w:rPr>
                <w:rStyle w:val="Text11"/>
              </w:rPr>
              <w:t xml:space="preserve"> </w:t>
              <w:br w:clear="none"/>
            </w:r>
            <w:r>
              <w:t xml:space="preserve">seq</w:t>
              <w:br w:clear="none"/>
            </w:r>
            <w:r>
              <w:rPr>
                <w:rStyle w:val="Text19"/>
              </w:rPr>
              <w:t xml:space="preserve">)</w:t>
              <w:br w:clear="none"/>
            </w:r>
            <w:r>
              <w:rPr>
                <w:rStyle w:val="Text28"/>
              </w:rPr>
              <w:t xml:space="preserve">.</w:t>
              <w:br w:clear="none"/>
            </w:r>
            <w:r>
              <w:rPr>
                <w:rStyle w:val="Text4"/>
              </w:rPr>
              <w:t xml:space="preserve">map</w:t>
              <w:br w:clear="none"/>
            </w:r>
            <w:r>
              <w:rPr>
                <w:rStyle w:val="Text19"/>
              </w:rPr>
              <w:t xml:space="preserve">(</w:t>
              <w:br w:clear="none"/>
            </w:r>
            <w:r>
              <w:t xml:space="preserve">func</w:t>
              <w:br w:clear="none"/>
            </w:r>
            <w:r>
              <w:rPr>
                <w:rStyle w:val="Text19"/>
              </w:rPr>
              <w:t xml:space="preserve">,</w:t>
              <w:br w:clear="none"/>
            </w:r>
            <w:r>
              <w:rPr>
                <w:rStyle w:val="Text11"/>
              </w:rPr>
              <w:t xml:space="preserve"> </w:t>
              <w:br w:clear="none"/>
            </w:r>
            <w:r>
              <w:t xml:space="preserve">seq1</w:t>
              <w:br w:clear="none"/>
            </w:r>
            <w:r>
              <w:rPr>
                <w:rStyle w:val="Text19"/>
              </w:rPr>
              <w:t xml:space="preserve">,</w:t>
              <w:br w:clear="none"/>
            </w:r>
            <w:r>
              <w:rPr>
                <w:rStyle w:val="Text11"/>
              </w:rPr>
              <w:t xml:space="preserve"> </w:t>
              <w:br w:clear="none"/>
            </w:r>
            <w:r>
              <w:t xml:space="preserve">seq2</w:t>
              <w:br w:clear="none"/>
            </w:r>
            <w:r>
              <w:rPr>
                <w:rStyle w:val="Text19"/>
              </w:rPr>
              <w:t xml:space="preserve">)</w:t>
              <w:br w:clear="none"/>
            </w:r>
          </w:p>
          <w:p>
            <w:pPr>
              <w:pStyle w:val="Para 022"/>
            </w:pPr>
            <w:r>
              <w:t xml:space="preserve"> is just like the generator expression: </w:t>
            </w:r>
          </w:p>
          <w:p>
            <w:pPr>
              <w:pStyle w:val="Para 051"/>
            </w:pPr>
            <w:r>
              <w:rPr>
                <w:rStyle w:val="Text116"/>
              </w:rPr>
              <w:t xml:space="preserve"/>
              <w:br w:clear="none"/>
            </w:r>
            <w:r>
              <w:rPr>
                <w:rStyle w:val="Text19"/>
              </w:rPr>
              <w:t xml:space="preserve">(</w:t>
              <w:br w:clear="none"/>
            </w:r>
            <w:r>
              <w:t xml:space="preserve">func</w:t>
              <w:br w:clear="none"/>
            </w:r>
            <w:r>
              <w:rPr>
                <w:rStyle w:val="Text19"/>
              </w:rPr>
              <w:t xml:space="preserve">(</w:t>
              <w:br w:clear="none"/>
            </w:r>
            <w:r>
              <w:t xml:space="preserve">a</w:t>
              <w:br w:clear="none"/>
            </w:r>
            <w:r>
              <w:rPr>
                <w:rStyle w:val="Text7"/>
              </w:rPr>
              <w:t xml:space="preserve">,</w:t>
              <w:br w:clear="none"/>
            </w:r>
            <w:r>
              <w:rPr>
                <w:rStyle w:val="Text6"/>
              </w:rPr>
              <w:t xml:space="preserve"> </w:t>
              <w:br w:clear="none"/>
            </w:r>
            <w:r>
              <w:t xml:space="preserve">b</w:t>
              <w:br w:clear="none"/>
            </w:r>
            <w:r>
              <w:rPr>
                <w:rStyle w:val="Text19"/>
              </w:rPr>
              <w:t xml:space="preserve">)</w:t>
              <w:br w:clear="none"/>
            </w:r>
            <w:r>
              <w:rPr>
                <w:rStyle w:val="Text11"/>
              </w:rPr>
              <w:t xml:space="preserve"> </w:t>
              <w:br w:clear="none"/>
            </w:r>
            <w:r>
              <w:rPr>
                <w:rStyle w:val="Text22"/>
              </w:rPr>
              <w:t xml:space="preserve">for</w:t>
              <w:br w:clear="none"/>
            </w:r>
            <w:r>
              <w:rPr>
                <w:rStyle w:val="Text11"/>
              </w:rPr>
              <w:t xml:space="preserve"> </w:t>
              <w:br w:clear="none"/>
            </w:r>
            <w:r>
              <w:t xml:space="preserve">a</w:t>
              <w:br w:clear="none"/>
            </w:r>
            <w:r>
              <w:rPr>
                <w:rStyle w:val="Text19"/>
              </w:rPr>
              <w:t xml:space="preserve">,</w:t>
              <w:br w:clear="none"/>
            </w:r>
            <w:r>
              <w:rPr>
                <w:rStyle w:val="Text11"/>
              </w:rPr>
              <w:t xml:space="preserve"> </w:t>
              <w:br w:clear="none"/>
            </w:r>
            <w:r>
              <w:t xml:space="preserve">b</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zip</w:t>
              <w:br w:clear="none"/>
            </w:r>
            <w:r>
              <w:rPr>
                <w:rStyle w:val="Text19"/>
              </w:rPr>
              <w:t xml:space="preserve">(</w:t>
              <w:br w:clear="none"/>
            </w:r>
            <w:r>
              <w:t xml:space="preserve">seq1</w:t>
              <w:br w:clear="none"/>
            </w:r>
            <w:r>
              <w:rPr>
                <w:rStyle w:val="Text19"/>
              </w:rPr>
              <w:t xml:space="preserve">,</w:t>
              <w:br w:clear="none"/>
            </w:r>
            <w:r>
              <w:rPr>
                <w:rStyle w:val="Text11"/>
              </w:rPr>
              <w:t xml:space="preserve"> </w:t>
              <w:br w:clear="none"/>
            </w:r>
            <w:r>
              <w:t xml:space="preserve">seq2</w:t>
              <w:br w:clear="none"/>
            </w:r>
            <w:r>
              <w:rPr>
                <w:rStyle w:val="Text19"/>
              </w:rPr>
              <w:t xml:space="preserve">)</w:t>
              <w:br w:clear="none"/>
              <w:t xml:space="preserve">)</w:t>
              <w:br w:clear="none"/>
            </w:r>
          </w:p>
          <w:p>
            <w:pPr>
              <w:pStyle w:val="Para 022"/>
            </w:pPr>
            <w:r>
              <w:t xml:space="preserve"> When </w:t>
            </w:r>
            <w:r>
              <w:rPr>
                <w:rStyle w:val="Text0"/>
              </w:rPr>
              <w:t>map</w:t>
            </w:r>
            <w:r>
              <w:t xml:space="preserve">’s iterable arguments have different lengths, </w:t>
            </w:r>
            <w:r>
              <w:rPr>
                <w:rStyle w:val="Text0"/>
              </w:rPr>
              <w:t>map</w:t>
            </w:r>
            <w:r>
              <w:t xml:space="preserve"> acts as if the longer ones were truncated (just as </w:t>
            </w:r>
            <w:r>
              <w:rPr>
                <w:rStyle w:val="Text0"/>
              </w:rPr>
              <w:t>zip</w:t>
            </w:r>
            <w:r>
              <w:t xml:space="preserve"> itself does).</w:t>
            </w:r>
          </w:p>
        </w:tc>
      </w:tr>
    </w:tbl>
    <w:tbl>
      <w:tblPr>
        <w:tblW w:type="auto" w:w="0"/>
      </w:tblPr>
      <w:tr>
        <w:tc>
          <w:tcPr>
            <w:tcW w:type="auto" w:w="0"/>
            <w:shd w:val="clear" w:color="auto" w:fill="EEF2F6"/>
            <w:tcMar>
              <w:left w:type="dxa" w:w="200"/>
              <w:top w:type="dxa" w:w="200"/>
              <w:right w:type="dxa" w:w="200"/>
              <w:bottom w:type="dxa" w:w="200"/>
            </w:tcMar>
          </w:tcPr>
          <w:p>
            <w:pPr>
              <w:pStyle w:val="Para 001"/>
            </w:pPr>
            <w:r>
              <w:t>max</w:t>
            </w:r>
          </w:p>
        </w:tc>
        <w:tc>
          <w:tcPr>
            <w:tcW w:type="auto" w:w="0"/>
            <w:shd w:val="clear" w:color="auto" w:fill="EEF2F6"/>
            <w:tcMar>
              <w:left w:type="dxa" w:w="200"/>
              <w:top w:type="dxa" w:w="200"/>
              <w:right w:type="dxa" w:w="200"/>
              <w:bottom w:type="dxa" w:w="200"/>
            </w:tcMar>
          </w:tcPr>
          <w:p>
            <w:pPr>
              <w:pStyle w:val="Para 002"/>
            </w:pPr>
            <w:r>
              <w:rPr>
                <w:rStyle w:val="Text0"/>
              </w:rPr>
              <w:t>max(</w:t>
            </w:r>
            <w:r>
              <w:rPr>
                <w:rStyle w:val="Text3"/>
              </w:rPr>
              <w:t>seq</w:t>
            </w:r>
            <w:r>
              <w:rPr>
                <w:rStyle w:val="Text0"/>
              </w:rPr>
              <w:t>, /, *, key=</w:t>
            </w:r>
            <w:r>
              <w:rPr>
                <w:rStyle w:val="Text5"/>
              </w:rPr>
              <w:t>None</w:t>
            </w:r>
            <w:r>
              <w:rPr>
                <w:rStyle w:val="Text0"/>
              </w:rPr>
              <w:t>[, default=...])</w:t>
            </w:r>
            <w:r>
              <w:t>,</w:t>
              <w:br w:clear="none"/>
              <w:t xml:space="preserve"> </w:t>
            </w:r>
            <w:r>
              <w:rPr>
                <w:rStyle w:val="Text0"/>
              </w:rPr>
              <w:t>max(*</w:t>
            </w:r>
            <w:r>
              <w:rPr>
                <w:rStyle w:val="Text3"/>
              </w:rPr>
              <w:t>args</w:t>
            </w:r>
            <w:r>
              <w:rPr>
                <w:rStyle w:val="Text0"/>
              </w:rPr>
              <w:t>, key=</w:t>
            </w:r>
            <w:r>
              <w:rPr>
                <w:rStyle w:val="Text5"/>
              </w:rPr>
              <w:t>None</w:t>
            </w:r>
            <w:r>
              <w:rPr>
                <w:rStyle w:val="Text0"/>
              </w:rPr>
              <w:t>[, default=...])</w:t>
              <w:br w:clear="none"/>
            </w:r>
            <w:r>
              <w:t xml:space="preserve"> Returns</w:t>
            </w:r>
            <w:r>
              <w:rPr>
                <w:rStyle w:val="Text111"/>
              </w:rPr>
              <w:bookmarkStart w:id="2073" w:name="idm45965215514560"/>
              <w:t/>
              <w:bookmarkEnd w:id="2073"/>
            </w:r>
            <w:r>
              <w:t xml:space="preserve"> the largest item in the iterable argument </w:t>
            </w:r>
            <w:r>
              <w:rPr>
                <w:rStyle w:val="Text3"/>
              </w:rPr>
              <w:t>seq</w:t>
            </w:r>
            <w:r>
              <w:t xml:space="preserve">, or the largest one of multiple positional arguments </w:t>
            </w:r>
            <w:r>
              <w:rPr>
                <w:rStyle w:val="Text3"/>
              </w:rPr>
              <w:t>args</w:t>
            </w:r>
            <w:r>
              <w:t xml:space="preserve">. You can pass a </w:t>
            </w:r>
            <w:r>
              <w:rPr>
                <w:rStyle w:val="Text0"/>
              </w:rPr>
              <w:t>key</w:t>
            </w:r>
            <w:r>
              <w:t xml:space="preserve"> argument, with the same semantics covered in </w:t>
            </w:r>
            <w:hyperlink w:anchor="Sorting_a_list__A_list_s_sort_me">
              <w:r>
                <w:rPr>
                  <w:rStyle w:val="Text1"/>
                </w:rPr>
                <w:t>“Sorting a list”</w:t>
              </w:r>
            </w:hyperlink>
            <w:r>
              <w:t xml:space="preserve">. You can also pass a </w:t>
            </w:r>
            <w:r>
              <w:rPr>
                <w:rStyle w:val="Text0"/>
              </w:rPr>
              <w:t>default</w:t>
            </w:r>
            <w:r>
              <w:t xml:space="preserve"> argument, the value to return if </w:t>
            </w:r>
            <w:r>
              <w:rPr>
                <w:rStyle w:val="Text3"/>
              </w:rPr>
              <w:t>seq</w:t>
            </w:r>
            <w:r>
              <w:t xml:space="preserve"> is empty; when you don’t pass </w:t>
            </w:r>
            <w:r>
              <w:rPr>
                <w:rStyle w:val="Text0"/>
              </w:rPr>
              <w:t>default</w:t>
            </w:r>
            <w:r>
              <w:t xml:space="preserve">, and </w:t>
            </w:r>
            <w:r>
              <w:rPr>
                <w:rStyle w:val="Text3"/>
              </w:rPr>
              <w:t>seq</w:t>
            </w:r>
            <w:r>
              <w:t xml:space="preserve"> is empty, </w:t>
            </w:r>
            <w:r>
              <w:rPr>
                <w:rStyle w:val="Text0"/>
              </w:rPr>
              <w:t>max</w:t>
            </w:r>
            <w:r>
              <w:t xml:space="preserve"> raises </w:t>
            </w:r>
            <w:r>
              <w:rPr>
                <w:rStyle w:val="Text0"/>
              </w:rPr>
              <w:t>ValueError</w:t>
            </w:r>
            <w:r>
              <w:t xml:space="preserve">. (When you pass </w:t>
            </w:r>
            <w:r>
              <w:rPr>
                <w:rStyle w:val="Text0"/>
              </w:rPr>
              <w:t>key</w:t>
            </w:r>
            <w:r>
              <w:t xml:space="preserve"> and/or </w:t>
            </w:r>
            <w:r>
              <w:rPr>
                <w:rStyle w:val="Text0"/>
              </w:rPr>
              <w:t>default</w:t>
            </w:r>
            <w:r>
              <w:t>, you must pass either or both as named arguments.)</w:t>
            </w:r>
          </w:p>
        </w:tc>
      </w:tr>
    </w:tbl>
    <w:tbl>
      <w:tblPr>
        <w:tblW w:type="auto" w:w="0"/>
      </w:tblPr>
      <w:tr>
        <w:tc>
          <w:tcPr>
            <w:tcW w:type="auto" w:w="0"/>
            <w:tcMar>
              <w:left w:type="dxa" w:w="200"/>
              <w:top w:type="dxa" w:w="200"/>
              <w:right w:type="dxa" w:w="200"/>
              <w:bottom w:type="dxa" w:w="200"/>
            </w:tcMar>
          </w:tcPr>
          <w:p>
            <w:pPr>
              <w:pStyle w:val="Para 001"/>
            </w:pPr>
            <w:r>
              <w:t>min</w:t>
            </w:r>
          </w:p>
        </w:tc>
        <w:tc>
          <w:tcPr>
            <w:tcW w:type="auto" w:w="0"/>
            <w:tcMar>
              <w:left w:type="dxa" w:w="200"/>
              <w:top w:type="dxa" w:w="200"/>
              <w:right w:type="dxa" w:w="200"/>
              <w:bottom w:type="dxa" w:w="200"/>
            </w:tcMar>
          </w:tcPr>
          <w:p>
            <w:pPr>
              <w:pStyle w:val="Para 002"/>
            </w:pPr>
            <w:r>
              <w:rPr>
                <w:rStyle w:val="Text0"/>
              </w:rPr>
              <w:t>min(</w:t>
            </w:r>
            <w:r>
              <w:rPr>
                <w:rStyle w:val="Text3"/>
              </w:rPr>
              <w:t>seq,</w:t>
            </w:r>
            <w:r>
              <w:t xml:space="preserve"> </w:t>
            </w:r>
            <w:r>
              <w:rPr>
                <w:rStyle w:val="Text0"/>
              </w:rPr>
              <w:t>/, *, key</w:t>
            </w:r>
            <w:r>
              <w:rPr>
                <w:rStyle w:val="Text3"/>
              </w:rPr>
              <w:t>=</w:t>
            </w:r>
            <w:r>
              <w:rPr>
                <w:rStyle w:val="Text5"/>
              </w:rPr>
              <w:t>None</w:t>
            </w:r>
            <w:r>
              <w:rPr>
                <w:rStyle w:val="Text0"/>
              </w:rPr>
              <w:t>[, default=...])</w:t>
            </w:r>
            <w:r>
              <w:t>,</w:t>
              <w:br w:clear="none"/>
              <w:t xml:space="preserve"> </w:t>
            </w:r>
            <w:r>
              <w:rPr>
                <w:rStyle w:val="Text0"/>
              </w:rPr>
              <w:t>min(</w:t>
            </w:r>
            <w:r>
              <w:rPr>
                <w:rStyle w:val="Text3"/>
              </w:rPr>
              <w:t>*args</w:t>
            </w:r>
            <w:r>
              <w:rPr>
                <w:rStyle w:val="Text0"/>
              </w:rPr>
              <w:t>, key</w:t>
            </w:r>
            <w:r>
              <w:rPr>
                <w:rStyle w:val="Text3"/>
              </w:rPr>
              <w:t>=</w:t>
            </w:r>
            <w:r>
              <w:rPr>
                <w:rStyle w:val="Text5"/>
              </w:rPr>
              <w:t>None</w:t>
            </w:r>
            <w:r>
              <w:rPr>
                <w:rStyle w:val="Text0"/>
              </w:rPr>
              <w:t>[, default=...])</w:t>
              <w:br w:clear="none"/>
            </w:r>
            <w:r>
              <w:t xml:space="preserve"> Returns</w:t>
            </w:r>
            <w:r>
              <w:rPr>
                <w:rStyle w:val="Text111"/>
              </w:rPr>
              <w:bookmarkStart w:id="2074" w:name="idm45965215474256"/>
              <w:t/>
              <w:bookmarkEnd w:id="2074"/>
            </w:r>
            <w:r>
              <w:t xml:space="preserve"> the smallest item in the iterable argument </w:t>
            </w:r>
            <w:r>
              <w:rPr>
                <w:rStyle w:val="Text3"/>
              </w:rPr>
              <w:t>seq</w:t>
            </w:r>
            <w:r>
              <w:t xml:space="preserve">, or the smallest one of multiple positional arguments </w:t>
            </w:r>
            <w:r>
              <w:rPr>
                <w:rStyle w:val="Text3"/>
              </w:rPr>
              <w:t>args</w:t>
            </w:r>
            <w:r>
              <w:t xml:space="preserve">. You can pass a </w:t>
            </w:r>
            <w:r>
              <w:rPr>
                <w:rStyle w:val="Text0"/>
              </w:rPr>
              <w:t>key</w:t>
            </w:r>
            <w:r>
              <w:t xml:space="preserve"> argument, with the same semantics covered in </w:t>
            </w:r>
            <w:hyperlink w:anchor="Sorting_a_list__A_list_s_sort_me">
              <w:r>
                <w:rPr>
                  <w:rStyle w:val="Text1"/>
                </w:rPr>
                <w:t>“Sorting a list”</w:t>
              </w:r>
            </w:hyperlink>
            <w:r>
              <w:t xml:space="preserve">. You can also pass a </w:t>
            </w:r>
            <w:r>
              <w:rPr>
                <w:rStyle w:val="Text0"/>
              </w:rPr>
              <w:t>default</w:t>
            </w:r>
            <w:r>
              <w:t xml:space="preserve"> argument, the value to return if </w:t>
            </w:r>
            <w:r>
              <w:rPr>
                <w:rStyle w:val="Text3"/>
              </w:rPr>
              <w:t>seq</w:t>
            </w:r>
            <w:r>
              <w:t xml:space="preserve"> is empty; when you don’t pass </w:t>
            </w:r>
            <w:r>
              <w:rPr>
                <w:rStyle w:val="Text0"/>
              </w:rPr>
              <w:t>default</w:t>
            </w:r>
            <w:r>
              <w:t xml:space="preserve">, and </w:t>
            </w:r>
            <w:r>
              <w:rPr>
                <w:rStyle w:val="Text3"/>
              </w:rPr>
              <w:t>seq</w:t>
            </w:r>
            <w:r>
              <w:t xml:space="preserve"> is empty, </w:t>
            </w:r>
            <w:r>
              <w:rPr>
                <w:rStyle w:val="Text0"/>
              </w:rPr>
              <w:t>min</w:t>
            </w:r>
            <w:r>
              <w:t xml:space="preserve"> raises </w:t>
            </w:r>
            <w:r>
              <w:rPr>
                <w:rStyle w:val="Text0"/>
              </w:rPr>
              <w:t>ValueError</w:t>
            </w:r>
            <w:r>
              <w:t xml:space="preserve">. (When you pass </w:t>
            </w:r>
            <w:r>
              <w:rPr>
                <w:rStyle w:val="Text0"/>
              </w:rPr>
              <w:t>key</w:t>
            </w:r>
            <w:r>
              <w:t xml:space="preserve"> and/or </w:t>
            </w:r>
            <w:r>
              <w:rPr>
                <w:rStyle w:val="Text0"/>
              </w:rPr>
              <w:t>default</w:t>
            </w:r>
            <w:r>
              <w:t>, you must pass either or both as named arguments.)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next</w:t>
            </w:r>
          </w:p>
        </w:tc>
        <w:tc>
          <w:tcPr>
            <w:tcW w:type="auto" w:w="0"/>
            <w:shd w:val="clear" w:color="auto" w:fill="EEF2F6"/>
            <w:tcMar>
              <w:left w:type="dxa" w:w="200"/>
              <w:top w:type="dxa" w:w="200"/>
              <w:right w:type="dxa" w:w="200"/>
              <w:bottom w:type="dxa" w:w="200"/>
            </w:tcMar>
          </w:tcPr>
          <w:p>
            <w:pPr>
              <w:pStyle w:val="Para 002"/>
            </w:pPr>
            <w:r>
              <w:rPr>
                <w:rStyle w:val="Text0"/>
              </w:rPr>
              <w:t>next(</w:t>
            </w:r>
            <w:r>
              <w:rPr>
                <w:rStyle w:val="Text3"/>
              </w:rPr>
              <w:t>it</w:t>
            </w:r>
            <w:r>
              <w:rPr>
                <w:rStyle w:val="Text0"/>
              </w:rPr>
              <w:t>[,</w:t>
            </w:r>
            <w:r>
              <w:t xml:space="preserve"> </w:t>
            </w:r>
            <w:r>
              <w:rPr>
                <w:rStyle w:val="Text3"/>
              </w:rPr>
              <w:t>default</w:t>
            </w:r>
            <w:r>
              <w:rPr>
                <w:rStyle w:val="Text0"/>
              </w:rPr>
              <w:t>], /)</w:t>
              <w:br w:clear="none"/>
            </w:r>
            <w:r>
              <w:t xml:space="preserve"> Returns</w:t>
            </w:r>
            <w:r>
              <w:rPr>
                <w:rStyle w:val="Text111"/>
              </w:rPr>
              <w:bookmarkStart w:id="2075" w:name="idm45965215459344"/>
              <w:t/>
              <w:bookmarkEnd w:id="2075"/>
            </w:r>
            <w:r>
              <w:t xml:space="preserve"> the next item from iterator </w:t>
            </w:r>
            <w:r>
              <w:rPr>
                <w:rStyle w:val="Text3"/>
              </w:rPr>
              <w:t>it</w:t>
            </w:r>
            <w:r>
              <w:t xml:space="preserve">, which advances to the next item. When </w:t>
            </w:r>
            <w:r>
              <w:rPr>
                <w:rStyle w:val="Text3"/>
              </w:rPr>
              <w:t>it</w:t>
            </w:r>
            <w:r>
              <w:t xml:space="preserve"> has no more items, </w:t>
            </w:r>
            <w:r>
              <w:rPr>
                <w:rStyle w:val="Text0"/>
              </w:rPr>
              <w:t>next</w:t>
            </w:r>
            <w:r>
              <w:t xml:space="preserve"> returns </w:t>
            </w:r>
            <w:r>
              <w:rPr>
                <w:rStyle w:val="Text3"/>
              </w:rPr>
              <w:t>default</w:t>
            </w:r>
            <w:r>
              <w:t xml:space="preserve">, or, when you don’t pass </w:t>
            </w:r>
            <w:r>
              <w:rPr>
                <w:rStyle w:val="Text3"/>
              </w:rPr>
              <w:t>default</w:t>
            </w:r>
            <w:r>
              <w:t xml:space="preserve">, raises </w:t>
            </w:r>
            <w:r>
              <w:rPr>
                <w:rStyle w:val="Text0"/>
              </w:rPr>
              <w:t>StopIteration</w:t>
            </w:r>
            <w:r>
              <w:t>.</w:t>
            </w:r>
          </w:p>
        </w:tc>
      </w:tr>
    </w:tbl>
    <w:tbl>
      <w:tblPr>
        <w:tblW w:type="auto" w:w="0"/>
      </w:tblPr>
      <w:tr>
        <w:tc>
          <w:tcPr>
            <w:tcW w:type="auto" w:w="0"/>
            <w:tcMar>
              <w:left w:type="dxa" w:w="200"/>
              <w:top w:type="dxa" w:w="200"/>
              <w:right w:type="dxa" w:w="200"/>
              <w:bottom w:type="dxa" w:w="200"/>
            </w:tcMar>
          </w:tcPr>
          <w:p>
            <w:pPr>
              <w:pStyle w:val="Para 001"/>
            </w:pPr>
            <w:r>
              <w:t>oct</w:t>
            </w:r>
          </w:p>
        </w:tc>
        <w:tc>
          <w:tcPr>
            <w:tcW w:type="auto" w:w="0"/>
            <w:tcMar>
              <w:left w:type="dxa" w:w="200"/>
              <w:top w:type="dxa" w:w="200"/>
              <w:right w:type="dxa" w:w="200"/>
              <w:bottom w:type="dxa" w:w="200"/>
            </w:tcMar>
          </w:tcPr>
          <w:p>
            <w:pPr>
              <w:pStyle w:val="Para 002"/>
            </w:pPr>
            <w:r>
              <w:rPr>
                <w:rStyle w:val="Text0"/>
              </w:rPr>
              <w:t>oct(</w:t>
            </w:r>
            <w:r>
              <w:rPr>
                <w:rStyle w:val="Text3"/>
              </w:rPr>
              <w:t>x</w:t>
            </w:r>
            <w:r>
              <w:rPr>
                <w:rStyle w:val="Text0"/>
              </w:rPr>
              <w:t>, /)</w:t>
              <w:br w:clear="none"/>
            </w:r>
            <w:r>
              <w:t xml:space="preserve"> Converts</w:t>
            </w:r>
            <w:r>
              <w:rPr>
                <w:rStyle w:val="Text111"/>
              </w:rPr>
              <w:bookmarkStart w:id="2076" w:name="idm45965215450368"/>
              <w:t/>
              <w:bookmarkEnd w:id="2076"/>
            </w:r>
            <w:r>
              <w:t xml:space="preserve"> </w:t>
            </w:r>
            <w:r>
              <w:rPr>
                <w:rStyle w:val="Text0"/>
              </w:rPr>
              <w:t>int</w:t>
            </w:r>
            <w:r>
              <w:t xml:space="preserve"> </w:t>
            </w:r>
            <w:r>
              <w:rPr>
                <w:rStyle w:val="Text3"/>
              </w:rPr>
              <w:t>x</w:t>
            </w:r>
            <w:r>
              <w:t xml:space="preserve"> to an octal string. See also </w:t>
            </w:r>
            <w:r>
              <w:rPr>
                <w:rStyle w:val="Text0"/>
              </w:rPr>
              <w:t>__oct__</w:t>
            </w:r>
            <w:r>
              <w:t xml:space="preserve"> in </w:t>
            </w:r>
            <w:hyperlink w:anchor="Table_4_4__ABCs_with_additional">
              <w:r>
                <w:rPr>
                  <w:rStyle w:val="Text1"/>
                </w:rPr>
                <w:t>Table 4-4</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open</w:t>
            </w:r>
          </w:p>
        </w:tc>
        <w:tc>
          <w:tcPr>
            <w:tcW w:type="auto" w:w="0"/>
            <w:shd w:val="clear" w:color="auto" w:fill="EEF2F6"/>
            <w:tcMar>
              <w:left w:type="dxa" w:w="200"/>
              <w:top w:type="dxa" w:w="200"/>
              <w:right w:type="dxa" w:w="200"/>
              <w:bottom w:type="dxa" w:w="200"/>
            </w:tcMar>
          </w:tcPr>
          <w:p>
            <w:pPr>
              <w:pStyle w:val="Para 002"/>
            </w:pPr>
            <w:r>
              <w:rPr>
                <w:rStyle w:val="Text0"/>
              </w:rPr>
              <w:t>open(file, mode='r', buffering=-1)</w:t>
              <w:br w:clear="none"/>
            </w:r>
            <w:r>
              <w:t xml:space="preserve"> Opens</w:t>
            </w:r>
            <w:r>
              <w:rPr>
                <w:rStyle w:val="Text111"/>
              </w:rPr>
              <w:bookmarkStart w:id="2077" w:name="idm45965215443424"/>
              <w:t/>
              <w:bookmarkEnd w:id="2077"/>
            </w:r>
            <w:r>
              <w:t xml:space="preserve"> or creates a file and returns a new file object. </w:t>
            </w:r>
            <w:r>
              <w:rPr>
                <w:rStyle w:val="Text0"/>
              </w:rPr>
              <w:t>open</w:t>
            </w:r>
            <w:r>
              <w:t xml:space="preserve"> accepts many, many more optional parameters; see </w:t>
            </w:r>
            <w:hyperlink w:anchor="The_io_Module__As_mentioned_in_t">
              <w:r>
                <w:rPr>
                  <w:rStyle w:val="Text1"/>
                </w:rPr>
                <w:t>“The io Module”</w:t>
              </w:r>
            </w:hyperlink>
            <w:r>
              <w:t xml:space="preserve"> for details.</w:t>
              <w:br w:clear="none"/>
              <w:t xml:space="preserve"> </w:t>
            </w:r>
            <w:r>
              <w:rPr>
                <w:rStyle w:val="Text0"/>
              </w:rPr>
              <w:t>open</w:t>
            </w:r>
            <w:r>
              <w:t xml:space="preserve"> is one of the few built-ins callable with named arguments.</w:t>
            </w:r>
          </w:p>
        </w:tc>
      </w:tr>
    </w:tbl>
    <w:tbl>
      <w:tblPr>
        <w:tblW w:type="auto" w:w="0"/>
      </w:tblPr>
      <w:tr>
        <w:tc>
          <w:tcPr>
            <w:tcW w:type="auto" w:w="0"/>
            <w:tcMar>
              <w:left w:type="dxa" w:w="200"/>
              <w:top w:type="dxa" w:w="200"/>
              <w:right w:type="dxa" w:w="200"/>
              <w:bottom w:type="dxa" w:w="200"/>
            </w:tcMar>
          </w:tcPr>
          <w:p>
            <w:pPr>
              <w:pStyle w:val="Para 001"/>
            </w:pPr>
            <w:r>
              <w:t>ord</w:t>
            </w:r>
          </w:p>
        </w:tc>
        <w:tc>
          <w:tcPr>
            <w:tcW w:type="auto" w:w="0"/>
            <w:tcMar>
              <w:left w:type="dxa" w:w="200"/>
              <w:top w:type="dxa" w:w="200"/>
              <w:right w:type="dxa" w:w="200"/>
              <w:bottom w:type="dxa" w:w="200"/>
            </w:tcMar>
          </w:tcPr>
          <w:p>
            <w:pPr>
              <w:pStyle w:val="Para 002"/>
            </w:pPr>
            <w:r>
              <w:rPr>
                <w:rStyle w:val="Text0"/>
              </w:rPr>
              <w:t>ord(</w:t>
            </w:r>
            <w:r>
              <w:rPr>
                <w:rStyle w:val="Text3"/>
              </w:rPr>
              <w:t>ch</w:t>
            </w:r>
            <w:r>
              <w:rPr>
                <w:rStyle w:val="Text0"/>
              </w:rPr>
              <w:t>, /)</w:t>
              <w:br w:clear="none"/>
            </w:r>
            <w:r>
              <w:t xml:space="preserve"> Returns</w:t>
            </w:r>
            <w:r>
              <w:rPr>
                <w:rStyle w:val="Text111"/>
              </w:rPr>
              <w:bookmarkStart w:id="2078" w:name="idm45965215436464"/>
              <w:t/>
              <w:bookmarkEnd w:id="2078"/>
            </w:r>
            <w:r>
              <w:t xml:space="preserve"> an </w:t>
            </w:r>
            <w:r>
              <w:rPr>
                <w:rStyle w:val="Text0"/>
              </w:rPr>
              <w:t>int</w:t>
            </w:r>
            <w:r>
              <w:t xml:space="preserve"> between </w:t>
            </w:r>
            <w:r>
              <w:rPr>
                <w:rStyle w:val="Text0"/>
              </w:rPr>
              <w:t>0</w:t>
            </w:r>
            <w:r>
              <w:t xml:space="preserve"> and </w:t>
            </w:r>
            <w:r>
              <w:rPr>
                <w:rStyle w:val="Text0"/>
              </w:rPr>
              <w:t>sys.maxunicode</w:t>
            </w:r>
            <w:r>
              <w:t xml:space="preserve"> (inclusive), corresponding to the single-character </w:t>
            </w:r>
            <w:r>
              <w:rPr>
                <w:rStyle w:val="Text0"/>
              </w:rPr>
              <w:t>str</w:t>
            </w:r>
            <w:r>
              <w:t xml:space="preserve"> argument </w:t>
            </w:r>
            <w:r>
              <w:rPr>
                <w:rStyle w:val="Text3"/>
              </w:rPr>
              <w:t>ch</w:t>
            </w:r>
            <w:r>
              <w:t xml:space="preserve">. See also </w:t>
            </w:r>
            <w:r>
              <w:rPr>
                <w:rStyle w:val="Text0"/>
              </w:rPr>
              <w:t>chr</w:t>
            </w:r>
            <w:r>
              <w:t xml:space="preserve"> earlier in this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pow</w:t>
            </w:r>
          </w:p>
        </w:tc>
        <w:tc>
          <w:tcPr>
            <w:tcW w:type="auto" w:w="0"/>
            <w:shd w:val="clear" w:color="auto" w:fill="EEF2F6"/>
            <w:tcMar>
              <w:left w:type="dxa" w:w="200"/>
              <w:top w:type="dxa" w:w="200"/>
              <w:right w:type="dxa" w:w="200"/>
              <w:bottom w:type="dxa" w:w="200"/>
            </w:tcMar>
          </w:tcPr>
          <w:p>
            <w:pPr>
              <w:pStyle w:val="Para 002"/>
            </w:pPr>
            <w:r>
              <w:rPr>
                <w:rStyle w:val="Text0"/>
              </w:rPr>
              <w:t>pow(</w:t>
            </w:r>
            <w:r>
              <w:rPr>
                <w:rStyle w:val="Text3"/>
              </w:rPr>
              <w:t>x</w:t>
            </w:r>
            <w:r>
              <w:rPr>
                <w:rStyle w:val="Text0"/>
              </w:rPr>
              <w:t>,</w:t>
            </w:r>
            <w:r>
              <w:t xml:space="preserve"> </w:t>
            </w:r>
            <w:r>
              <w:rPr>
                <w:rStyle w:val="Text3"/>
              </w:rPr>
              <w:t>y</w:t>
            </w:r>
            <w:r>
              <w:rPr>
                <w:rStyle w:val="Text0"/>
              </w:rPr>
              <w:t>[,</w:t>
            </w:r>
            <w:r>
              <w:t xml:space="preserve"> </w:t>
            </w:r>
            <w:r>
              <w:rPr>
                <w:rStyle w:val="Text3"/>
              </w:rPr>
              <w:t>z</w:t>
            </w:r>
            <w:r>
              <w:rPr>
                <w:rStyle w:val="Text0"/>
              </w:rPr>
              <w:t>], /)</w:t>
              <w:br w:clear="none"/>
            </w:r>
            <w:r>
              <w:t xml:space="preserve"> When</w:t>
            </w:r>
            <w:r>
              <w:rPr>
                <w:rStyle w:val="Text111"/>
              </w:rPr>
              <w:bookmarkStart w:id="2079" w:name="idm45965215423856"/>
              <w:t/>
              <w:bookmarkEnd w:id="2079"/>
            </w:r>
            <w:r>
              <w:t xml:space="preserve"> </w:t>
            </w:r>
            <w:r>
              <w:rPr>
                <w:rStyle w:val="Text3"/>
              </w:rPr>
              <w:t>z</w:t>
            </w:r>
            <w:r>
              <w:t xml:space="preserve"> is present, </w:t>
            </w:r>
            <w:r>
              <w:rPr>
                <w:rStyle w:val="Text0"/>
              </w:rPr>
              <w:t>pow(</w:t>
            </w:r>
            <w:r>
              <w:rPr>
                <w:rStyle w:val="Text3"/>
              </w:rPr>
              <w:t>x</w:t>
            </w:r>
            <w:r>
              <w:rPr>
                <w:rStyle w:val="Text0"/>
              </w:rPr>
              <w:t>,</w:t>
            </w:r>
            <w:r>
              <w:t xml:space="preserve"> </w:t>
            </w:r>
            <w:r>
              <w:rPr>
                <w:rStyle w:val="Text3"/>
              </w:rPr>
              <w:t>y</w:t>
            </w:r>
            <w:r>
              <w:rPr>
                <w:rStyle w:val="Text0"/>
              </w:rPr>
              <w:t>,</w:t>
            </w:r>
            <w:r>
              <w:t xml:space="preserve"> </w:t>
            </w:r>
            <w:r>
              <w:rPr>
                <w:rStyle w:val="Text3"/>
              </w:rPr>
              <w:t>z</w:t>
            </w:r>
            <w:r>
              <w:rPr>
                <w:rStyle w:val="Text0"/>
              </w:rPr>
              <w:t>)</w:t>
            </w:r>
            <w:r>
              <w:t xml:space="preserve"> returns </w:t>
            </w:r>
            <w:r>
              <w:rPr>
                <w:rStyle w:val="Text0"/>
              </w:rPr>
              <w:t>(</w:t>
            </w:r>
            <w:r>
              <w:rPr>
                <w:rStyle w:val="Text3"/>
              </w:rPr>
              <w:t>x</w:t>
            </w:r>
            <w:r>
              <w:t xml:space="preserve"> </w:t>
            </w:r>
            <w:r>
              <w:rPr>
                <w:rStyle w:val="Text0"/>
              </w:rPr>
              <w:t>**</w:t>
            </w:r>
            <w:r>
              <w:t xml:space="preserve"> </w:t>
            </w:r>
            <w:r>
              <w:rPr>
                <w:rStyle w:val="Text3"/>
              </w:rPr>
              <w:t>y</w:t>
            </w:r>
            <w:r>
              <w:rPr>
                <w:rStyle w:val="Text0"/>
              </w:rPr>
              <w:t>) %</w:t>
            </w:r>
            <w:r>
              <w:t xml:space="preserve"> </w:t>
            </w:r>
            <w:r>
              <w:rPr>
                <w:rStyle w:val="Text3"/>
              </w:rPr>
              <w:t>z</w:t>
            </w:r>
            <w:r>
              <w:t xml:space="preserve">. When </w:t>
            </w:r>
            <w:r>
              <w:rPr>
                <w:rStyle w:val="Text3"/>
              </w:rPr>
              <w:t>z</w:t>
            </w:r>
            <w:r>
              <w:t xml:space="preserve"> is missing, </w:t>
            </w:r>
            <w:r>
              <w:rPr>
                <w:rStyle w:val="Text0"/>
              </w:rPr>
              <w:t>pow(</w:t>
            </w:r>
            <w:r>
              <w:rPr>
                <w:rStyle w:val="Text3"/>
              </w:rPr>
              <w:t>x</w:t>
            </w:r>
            <w:r>
              <w:rPr>
                <w:rStyle w:val="Text0"/>
              </w:rPr>
              <w:t>,</w:t>
            </w:r>
            <w:r>
              <w:t xml:space="preserve"> </w:t>
            </w:r>
            <w:r>
              <w:rPr>
                <w:rStyle w:val="Text3"/>
              </w:rPr>
              <w:t>y</w:t>
            </w:r>
            <w:r>
              <w:rPr>
                <w:rStyle w:val="Text0"/>
              </w:rPr>
              <w:t>)</w:t>
            </w:r>
            <w:r>
              <w:t xml:space="preserve"> returns </w:t>
            </w:r>
            <w:r>
              <w:rPr>
                <w:rStyle w:val="Text3"/>
              </w:rPr>
              <w:t>x</w:t>
            </w:r>
            <w:r>
              <w:t xml:space="preserve"> </w:t>
            </w:r>
            <w:r>
              <w:rPr>
                <w:rStyle w:val="Text0"/>
              </w:rPr>
              <w:t>**</w:t>
            </w:r>
            <w:r>
              <w:t xml:space="preserve"> </w:t>
            </w:r>
            <w:r>
              <w:rPr>
                <w:rStyle w:val="Text3"/>
              </w:rPr>
              <w:t>y</w:t>
            </w:r>
            <w:r>
              <w:t xml:space="preserve">. See also </w:t>
            </w:r>
            <w:r>
              <w:rPr>
                <w:rStyle w:val="Text0"/>
              </w:rPr>
              <w:t>__pow__</w:t>
            </w:r>
            <w:r>
              <w:t xml:space="preserve"> in </w:t>
            </w:r>
            <w:hyperlink w:anchor="Table_4_4__ABCs_with_additional">
              <w:r>
                <w:rPr>
                  <w:rStyle w:val="Text1"/>
                </w:rPr>
                <w:t>Table 4-4</w:t>
              </w:r>
            </w:hyperlink>
            <w:r>
              <w:t xml:space="preserve">. When </w:t>
            </w:r>
            <w:r>
              <w:rPr>
                <w:rStyle w:val="Text3"/>
              </w:rPr>
              <w:t>x</w:t>
            </w:r>
            <w:r>
              <w:t xml:space="preserve"> is an </w:t>
            </w:r>
            <w:r>
              <w:rPr>
                <w:rStyle w:val="Text0"/>
              </w:rPr>
              <w:t>int</w:t>
            </w:r>
            <w:r>
              <w:t xml:space="preserve"> and </w:t>
            </w:r>
            <w:r>
              <w:rPr>
                <w:rStyle w:val="Text3"/>
              </w:rPr>
              <w:t>y</w:t>
            </w:r>
            <w:r>
              <w:t xml:space="preserve"> is a nonnegative </w:t>
            </w:r>
            <w:r>
              <w:rPr>
                <w:rStyle w:val="Text0"/>
              </w:rPr>
              <w:t>int</w:t>
            </w:r>
            <w:r>
              <w:t xml:space="preserve">, </w:t>
            </w:r>
            <w:r>
              <w:rPr>
                <w:rStyle w:val="Text0"/>
              </w:rPr>
              <w:t>pow</w:t>
            </w:r>
            <w:r>
              <w:t xml:space="preserve"> returns an </w:t>
            </w:r>
            <w:r>
              <w:rPr>
                <w:rStyle w:val="Text0"/>
              </w:rPr>
              <w:t>int</w:t>
            </w:r>
            <w:r>
              <w:t xml:space="preserve"> and uses Python’s full value range for </w:t>
            </w:r>
            <w:r>
              <w:rPr>
                <w:rStyle w:val="Text0"/>
              </w:rPr>
              <w:t>int</w:t>
            </w:r>
            <w:r>
              <w:t xml:space="preserve"> (though evaluating </w:t>
            </w:r>
            <w:r>
              <w:rPr>
                <w:rStyle w:val="Text0"/>
              </w:rPr>
              <w:t>pow</w:t>
            </w:r>
            <w:r>
              <w:t xml:space="preserve"> for large </w:t>
            </w:r>
            <w:r>
              <w:rPr>
                <w:rStyle w:val="Text3"/>
              </w:rPr>
              <w:t>x</w:t>
            </w:r>
            <w:r>
              <w:t xml:space="preserve"> and </w:t>
            </w:r>
            <w:r>
              <w:rPr>
                <w:rStyle w:val="Text3"/>
              </w:rPr>
              <w:t>y</w:t>
            </w:r>
            <w:r>
              <w:t xml:space="preserve"> integer values may take some time). When either </w:t>
            </w:r>
            <w:r>
              <w:rPr>
                <w:rStyle w:val="Text3"/>
              </w:rPr>
              <w:t>x</w:t>
            </w:r>
            <w:r>
              <w:t xml:space="preserve"> or </w:t>
            </w:r>
            <w:r>
              <w:rPr>
                <w:rStyle w:val="Text3"/>
              </w:rPr>
              <w:t>y</w:t>
            </w:r>
            <w:r>
              <w:t xml:space="preserve"> is a </w:t>
            </w:r>
            <w:r>
              <w:rPr>
                <w:rStyle w:val="Text0"/>
              </w:rPr>
              <w:t>float</w:t>
            </w:r>
            <w:r>
              <w:t xml:space="preserve">, or </w:t>
            </w:r>
            <w:r>
              <w:rPr>
                <w:rStyle w:val="Text3"/>
              </w:rPr>
              <w:t>y</w:t>
            </w:r>
            <w:r>
              <w:t xml:space="preserve"> is </w:t>
            </w:r>
            <w:r>
              <w:rPr>
                <w:rStyle w:val="Text0"/>
              </w:rPr>
              <w:t>&lt; 0</w:t>
            </w:r>
            <w:r>
              <w:t xml:space="preserve">, </w:t>
            </w:r>
            <w:r>
              <w:rPr>
                <w:rStyle w:val="Text0"/>
              </w:rPr>
              <w:t>pow</w:t>
            </w:r>
            <w:r>
              <w:t xml:space="preserve"> returns a </w:t>
            </w:r>
            <w:r>
              <w:rPr>
                <w:rStyle w:val="Text0"/>
              </w:rPr>
              <w:t>float</w:t>
            </w:r>
            <w:r>
              <w:t xml:space="preserve"> (or a </w:t>
            </w:r>
            <w:r>
              <w:rPr>
                <w:rStyle w:val="Text0"/>
              </w:rPr>
              <w:t>complex</w:t>
            </w:r>
            <w:r>
              <w:t xml:space="preserve">, when </w:t>
            </w:r>
            <w:r>
              <w:rPr>
                <w:rStyle w:val="Text0"/>
              </w:rPr>
              <w:t>x &lt; 0</w:t>
            </w:r>
            <w:r>
              <w:t xml:space="preserve"> and </w:t>
            </w:r>
            <w:r>
              <w:rPr>
                <w:rStyle w:val="Text0"/>
              </w:rPr>
              <w:t>y != int(y)</w:t>
            </w:r>
            <w:r>
              <w:t xml:space="preserve">); in this case, </w:t>
            </w:r>
            <w:r>
              <w:rPr>
                <w:rStyle w:val="Text0"/>
              </w:rPr>
              <w:t>pow</w:t>
            </w:r>
            <w:r>
              <w:t xml:space="preserve"> raises </w:t>
            </w:r>
            <w:r>
              <w:rPr>
                <w:rStyle w:val="Text0"/>
              </w:rPr>
              <w:t>OverflowError</w:t>
            </w:r>
            <w:r>
              <w:t xml:space="preserve"> if </w:t>
            </w:r>
            <w:r>
              <w:rPr>
                <w:rStyle w:val="Text3"/>
              </w:rPr>
              <w:t>x</w:t>
            </w:r>
            <w:r>
              <w:t xml:space="preserve"> or </w:t>
            </w:r>
            <w:r>
              <w:rPr>
                <w:rStyle w:val="Text3"/>
              </w:rPr>
              <w:t>y</w:t>
            </w:r>
            <w:r>
              <w:t xml:space="preserve"> is too large.</w:t>
            </w:r>
          </w:p>
        </w:tc>
      </w:tr>
    </w:tbl>
    <w:tbl>
      <w:tblPr>
        <w:tblW w:type="auto" w:w="0"/>
      </w:tblPr>
      <w:tr>
        <w:tc>
          <w:tcPr>
            <w:tcW w:type="auto" w:w="0"/>
            <w:tcMar>
              <w:left w:type="dxa" w:w="200"/>
              <w:top w:type="dxa" w:w="200"/>
              <w:right w:type="dxa" w:w="200"/>
              <w:bottom w:type="dxa" w:w="200"/>
            </w:tcMar>
          </w:tcPr>
          <w:p>
            <w:pPr>
              <w:pStyle w:val="Para 001"/>
            </w:pPr>
            <w:r>
              <w:t>print</w:t>
            </w:r>
          </w:p>
        </w:tc>
        <w:tc>
          <w:tcPr>
            <w:tcW w:type="auto" w:w="0"/>
            <w:tcMar>
              <w:left w:type="dxa" w:w="200"/>
              <w:top w:type="dxa" w:w="200"/>
              <w:right w:type="dxa" w:w="200"/>
              <w:bottom w:type="dxa" w:w="200"/>
            </w:tcMar>
          </w:tcPr>
          <w:p>
            <w:pPr>
              <w:pStyle w:val="Para 002"/>
            </w:pPr>
            <w:r>
              <w:rPr>
                <w:rStyle w:val="Text0"/>
              </w:rPr>
              <w:t>print(/,</w:t>
            </w:r>
            <w:r>
              <w:t xml:space="preserve"> </w:t>
            </w:r>
            <w:r>
              <w:rPr>
                <w:rStyle w:val="Text0"/>
              </w:rPr>
              <w:t>*</w:t>
            </w:r>
            <w:r>
              <w:rPr>
                <w:rStyle w:val="Text3"/>
              </w:rPr>
              <w:t>args</w:t>
            </w:r>
            <w:r>
              <w:rPr>
                <w:rStyle w:val="Text0"/>
              </w:rPr>
              <w:t>, sep=' ', end='\n', file=sys.stdout, flush=</w:t>
            </w:r>
            <w:r>
              <w:rPr>
                <w:rStyle w:val="Text5"/>
              </w:rPr>
              <w:t>False</w:t>
            </w:r>
            <w:r>
              <w:rPr>
                <w:rStyle w:val="Text0"/>
              </w:rPr>
              <w:t>)</w:t>
              <w:br w:clear="none"/>
            </w:r>
            <w:r>
              <w:t xml:space="preserve"> Formats</w:t>
            </w:r>
            <w:r>
              <w:rPr>
                <w:rStyle w:val="Text111"/>
              </w:rPr>
              <w:bookmarkStart w:id="2080" w:name="idm45965215385072"/>
              <w:t/>
              <w:bookmarkEnd w:id="2080"/>
            </w:r>
            <w:r>
              <w:t xml:space="preserve"> with </w:t>
            </w:r>
            <w:r>
              <w:rPr>
                <w:rStyle w:val="Text0"/>
              </w:rPr>
              <w:t>str</w:t>
            </w:r>
            <w:r>
              <w:t xml:space="preserve">, and emits to stream </w:t>
            </w:r>
            <w:r>
              <w:rPr>
                <w:rStyle w:val="Text0"/>
              </w:rPr>
              <w:t>file</w:t>
            </w:r>
            <w:r>
              <w:t xml:space="preserve">, each item of </w:t>
            </w:r>
            <w:r>
              <w:rPr>
                <w:rStyle w:val="Text3"/>
              </w:rPr>
              <w:t>args</w:t>
            </w:r>
            <w:r>
              <w:t xml:space="preserve"> (if any), separated by </w:t>
            </w:r>
            <w:r>
              <w:rPr>
                <w:rStyle w:val="Text0"/>
              </w:rPr>
              <w:t>sep</w:t>
            </w:r>
            <w:r>
              <w:t xml:space="preserve">, with </w:t>
            </w:r>
            <w:r>
              <w:rPr>
                <w:rStyle w:val="Text0"/>
              </w:rPr>
              <w:t>end</w:t>
            </w:r>
            <w:r>
              <w:t xml:space="preserve"> after all of them; then, </w:t>
            </w:r>
            <w:r>
              <w:rPr>
                <w:rStyle w:val="Text0"/>
              </w:rPr>
              <w:t>print</w:t>
            </w:r>
            <w:r>
              <w:t xml:space="preserve"> flushes the stream if </w:t>
            </w:r>
            <w:r>
              <w:rPr>
                <w:rStyle w:val="Text0"/>
              </w:rPr>
              <w:t>flush</w:t>
            </w:r>
            <w:r>
              <w:t xml:space="preserve"> is truthy.</w:t>
            </w:r>
          </w:p>
        </w:tc>
      </w:tr>
    </w:tbl>
    <w:tbl>
      <w:tblPr>
        <w:tblW w:type="auto" w:w="0"/>
      </w:tblPr>
      <w:tr>
        <w:tc>
          <w:tcPr>
            <w:tcW w:type="auto" w:w="0"/>
            <w:shd w:val="clear" w:color="auto" w:fill="EEF2F6"/>
            <w:tcMar>
              <w:left w:type="dxa" w:w="200"/>
              <w:top w:type="dxa" w:w="200"/>
              <w:right w:type="dxa" w:w="200"/>
              <w:bottom w:type="dxa" w:w="200"/>
            </w:tcMar>
          </w:tcPr>
          <w:p>
            <w:pPr>
              <w:pStyle w:val="Para 001"/>
            </w:pPr>
            <w:r>
              <w:t>range</w:t>
            </w:r>
          </w:p>
        </w:tc>
        <w:tc>
          <w:tcPr>
            <w:tcW w:type="auto" w:w="0"/>
            <w:shd w:val="clear" w:color="auto" w:fill="EEF2F6"/>
            <w:tcMar>
              <w:left w:type="dxa" w:w="200"/>
              <w:top w:type="dxa" w:w="200"/>
              <w:right w:type="dxa" w:w="200"/>
              <w:bottom w:type="dxa" w:w="200"/>
            </w:tcMar>
          </w:tcPr>
          <w:p>
            <w:pPr>
              <w:pStyle w:val="Para 002"/>
            </w:pPr>
            <w:r>
              <w:rPr>
                <w:rStyle w:val="Text0"/>
              </w:rPr>
              <w:t>range([start=0, ]stop[, step=1], /)</w:t>
              <w:br w:clear="none"/>
            </w:r>
            <w:r>
              <w:t xml:space="preserve"> Returns</w:t>
            </w:r>
            <w:r>
              <w:rPr>
                <w:rStyle w:val="Text111"/>
              </w:rPr>
              <w:bookmarkStart w:id="2081" w:name="idm45965215375872"/>
              <w:t/>
              <w:bookmarkEnd w:id="2081"/>
            </w:r>
            <w:r>
              <w:t xml:space="preserve"> an iterator of </w:t>
            </w:r>
            <w:r>
              <w:rPr>
                <w:rStyle w:val="Text0"/>
              </w:rPr>
              <w:t>int</w:t>
            </w:r>
            <w:r>
              <w:t xml:space="preserve">s in arithmetic progression: </w:t>
            </w:r>
          </w:p>
          <w:p>
            <w:pPr>
              <w:pStyle w:val="Para 029"/>
            </w:pPr>
            <w:r>
              <w:rPr>
                <w:rStyle w:val="Text23"/>
              </w:rPr>
              <w:t xml:space="preserve"/>
              <w:br w:clear="none"/>
            </w:r>
            <w:r>
              <w:t xml:space="preserve">start</w:t>
              <w:br w:clear="none"/>
            </w:r>
            <w:r>
              <w:rPr>
                <w:rStyle w:val="Text7"/>
              </w:rPr>
              <w:t xml:space="preserve">,</w:t>
              <w:br w:clear="none"/>
            </w:r>
            <w:r>
              <w:rPr>
                <w:rStyle w:val="Text23"/>
              </w:rPr>
              <w:t xml:space="preserve"> </w:t>
              <w:br w:clear="none"/>
            </w:r>
            <w:r>
              <w:t xml:space="preserve">start</w:t>
              <w:br w:clear="none"/>
            </w:r>
            <w:r>
              <w:rPr>
                <w:rStyle w:val="Text13"/>
              </w:rPr>
              <w:t xml:space="preserve">+</w:t>
              <w:br w:clear="none"/>
            </w:r>
            <w:r>
              <w:t xml:space="preserve">step</w:t>
              <w:br w:clear="none"/>
            </w:r>
            <w:r>
              <w:rPr>
                <w:rStyle w:val="Text7"/>
              </w:rPr>
              <w:t xml:space="preserve">,</w:t>
              <w:br w:clear="none"/>
            </w:r>
            <w:r>
              <w:rPr>
                <w:rStyle w:val="Text23"/>
              </w:rPr>
              <w:t xml:space="preserve"> </w:t>
              <w:br w:clear="none"/>
            </w:r>
            <w:r>
              <w:t xml:space="preserve">start</w:t>
              <w:br w:clear="none"/>
            </w:r>
            <w:r>
              <w:rPr>
                <w:rStyle w:val="Text13"/>
              </w:rPr>
              <w:t xml:space="preserve">+</w:t>
              <w:br w:clear="none"/>
            </w:r>
            <w:r>
              <w:rPr>
                <w:rStyle w:val="Text7"/>
              </w:rPr>
              <w:t xml:space="preserve">(</w:t>
              <w:br w:clear="none"/>
            </w:r>
            <w:r>
              <w:rPr>
                <w:rStyle w:val="Text27"/>
              </w:rPr>
              <w:t xml:space="preserve">2</w:t>
              <w:br w:clear="none"/>
            </w:r>
            <w:r>
              <w:rPr>
                <w:rStyle w:val="Text13"/>
              </w:rPr>
              <w:t xml:space="preserve">*</w:t>
              <w:br w:clear="none"/>
            </w:r>
            <w:r>
              <w:t xml:space="preserve">step</w:t>
              <w:br w:clear="none"/>
            </w:r>
            <w:r>
              <w:rPr>
                <w:rStyle w:val="Text7"/>
              </w:rPr>
              <w:t xml:space="preserve">),</w:t>
              <w:br w:clear="none"/>
            </w:r>
            <w:r>
              <w:rPr>
                <w:rStyle w:val="Text23"/>
              </w:rPr>
              <w:t xml:space="preserve"> </w:t>
              <w:br w:clear="none"/>
            </w:r>
            <w:r>
              <w:rPr>
                <w:rStyle w:val="Text13"/>
              </w:rPr>
              <w:t xml:space="preserve">...</w:t>
              <w:br w:clear="none"/>
            </w:r>
          </w:p>
          <w:p>
            <w:pPr>
              <w:pStyle w:val="Para 022"/>
            </w:pPr>
            <w:r>
              <w:t xml:space="preserve"> When </w:t>
            </w:r>
            <w:r>
              <w:rPr>
                <w:rStyle w:val="Text0"/>
              </w:rPr>
              <w:t>start</w:t>
            </w:r>
            <w:r>
              <w:t xml:space="preserve"> is missing, it defaults to </w:t>
            </w:r>
            <w:r>
              <w:rPr>
                <w:rStyle w:val="Text0"/>
              </w:rPr>
              <w:t>0</w:t>
            </w:r>
            <w:r>
              <w:t xml:space="preserve">. When </w:t>
            </w:r>
            <w:r>
              <w:rPr>
                <w:rStyle w:val="Text0"/>
              </w:rPr>
              <w:t>step</w:t>
            </w:r>
            <w:r>
              <w:t xml:space="preserve"> is missing, it defaults to </w:t>
            </w:r>
            <w:r>
              <w:rPr>
                <w:rStyle w:val="Text0"/>
              </w:rPr>
              <w:t>1</w:t>
            </w:r>
            <w:r>
              <w:t xml:space="preserve">. When </w:t>
            </w:r>
            <w:r>
              <w:rPr>
                <w:rStyle w:val="Text0"/>
              </w:rPr>
              <w:t>step</w:t>
            </w:r>
            <w:r>
              <w:t xml:space="preserve"> is </w:t>
            </w:r>
            <w:r>
              <w:rPr>
                <w:rStyle w:val="Text0"/>
              </w:rPr>
              <w:t>0</w:t>
            </w:r>
            <w:r>
              <w:t xml:space="preserve">, </w:t>
            </w:r>
            <w:r>
              <w:rPr>
                <w:rStyle w:val="Text0"/>
              </w:rPr>
              <w:t>range</w:t>
            </w:r>
            <w:r>
              <w:t xml:space="preserve"> raises </w:t>
            </w:r>
            <w:r>
              <w:rPr>
                <w:rStyle w:val="Text0"/>
              </w:rPr>
              <w:t>ValueError</w:t>
            </w:r>
            <w:r>
              <w:t xml:space="preserve">. When </w:t>
            </w:r>
            <w:r>
              <w:rPr>
                <w:rStyle w:val="Text0"/>
              </w:rPr>
              <w:t>step</w:t>
            </w:r>
            <w:r>
              <w:t xml:space="preserve"> is </w:t>
            </w:r>
            <w:r>
              <w:rPr>
                <w:rStyle w:val="Text0"/>
              </w:rPr>
              <w:t>&gt; 0</w:t>
            </w:r>
            <w:r>
              <w:t xml:space="preserve">, the last item is the largest </w:t>
            </w:r>
            <w:r>
              <w:rPr>
                <w:rStyle w:val="Text0"/>
              </w:rPr>
              <w:t>start+(</w:t>
            </w:r>
            <w:r>
              <w:rPr>
                <w:rStyle w:val="Text3"/>
              </w:rPr>
              <w:t>i*</w:t>
            </w:r>
            <w:r>
              <w:rPr>
                <w:rStyle w:val="Text0"/>
              </w:rPr>
              <w:t>step)</w:t>
            </w:r>
            <w:r>
              <w:t xml:space="preserve"> strictly less than </w:t>
            </w:r>
            <w:r>
              <w:rPr>
                <w:rStyle w:val="Text0"/>
              </w:rPr>
              <w:t>stop</w:t>
            </w:r>
            <w:r>
              <w:t xml:space="preserve">. When </w:t>
            </w:r>
            <w:r>
              <w:rPr>
                <w:rStyle w:val="Text0"/>
              </w:rPr>
              <w:t>step</w:t>
            </w:r>
            <w:r>
              <w:t xml:space="preserve"> is </w:t>
            </w:r>
            <w:r>
              <w:rPr>
                <w:rStyle w:val="Text0"/>
              </w:rPr>
              <w:t>&lt; 0</w:t>
            </w:r>
            <w:r>
              <w:t xml:space="preserve">, the last item is the smallest </w:t>
            </w:r>
            <w:r>
              <w:rPr>
                <w:rStyle w:val="Text0"/>
              </w:rPr>
              <w:t>start+(</w:t>
            </w:r>
            <w:r>
              <w:rPr>
                <w:rStyle w:val="Text3"/>
              </w:rPr>
              <w:t>i</w:t>
            </w:r>
            <w:r>
              <w:rPr>
                <w:rStyle w:val="Text0"/>
              </w:rPr>
              <w:t>*step</w:t>
            </w:r>
            <w:r>
              <w:rPr>
                <w:rStyle w:val="Text3"/>
              </w:rPr>
              <w:t>)</w:t>
            </w:r>
            <w:r>
              <w:t xml:space="preserve"> strictly greater than </w:t>
            </w:r>
            <w:r>
              <w:rPr>
                <w:rStyle w:val="Text0"/>
              </w:rPr>
              <w:t>stop</w:t>
            </w:r>
            <w:r>
              <w:t xml:space="preserve">. The iterator is empty when </w:t>
            </w:r>
            <w:r>
              <w:rPr>
                <w:rStyle w:val="Text0"/>
              </w:rPr>
              <w:t>start</w:t>
            </w:r>
            <w:r>
              <w:t xml:space="preserve"> is greater than or equal to </w:t>
            </w:r>
            <w:r>
              <w:rPr>
                <w:rStyle w:val="Text0"/>
              </w:rPr>
              <w:t>stop</w:t>
            </w:r>
            <w:r>
              <w:t xml:space="preserve"> and </w:t>
            </w:r>
            <w:r>
              <w:rPr>
                <w:rStyle w:val="Text0"/>
              </w:rPr>
              <w:t>step</w:t>
            </w:r>
            <w:r>
              <w:t xml:space="preserve"> is greater than </w:t>
            </w:r>
            <w:r>
              <w:rPr>
                <w:rStyle w:val="Text0"/>
              </w:rPr>
              <w:t>0</w:t>
            </w:r>
            <w:r>
              <w:t xml:space="preserve">, or when </w:t>
            </w:r>
            <w:r>
              <w:rPr>
                <w:rStyle w:val="Text0"/>
              </w:rPr>
              <w:t>start</w:t>
            </w:r>
            <w:r>
              <w:t xml:space="preserve"> is less than or equal to </w:t>
            </w:r>
            <w:r>
              <w:rPr>
                <w:rStyle w:val="Text0"/>
              </w:rPr>
              <w:t>stop</w:t>
            </w:r>
            <w:r>
              <w:t xml:space="preserve"> and </w:t>
            </w:r>
            <w:r>
              <w:rPr>
                <w:rStyle w:val="Text0"/>
              </w:rPr>
              <w:t>step</w:t>
            </w:r>
            <w:r>
              <w:t xml:space="preserve"> is less than </w:t>
            </w:r>
            <w:r>
              <w:rPr>
                <w:rStyle w:val="Text0"/>
              </w:rPr>
              <w:t>0</w:t>
            </w:r>
            <w:r>
              <w:t xml:space="preserve">. Otherwise, the first item of the iterator is always </w:t>
            </w:r>
            <w:r>
              <w:rPr>
                <w:rStyle w:val="Text0"/>
              </w:rPr>
              <w:t>start</w:t>
            </w:r>
            <w:r>
              <w:t>.</w:t>
              <w:br w:clear="none"/>
              <w:t xml:space="preserve"> When what you need is a </w:t>
            </w:r>
            <w:r>
              <w:rPr>
                <w:rStyle w:val="Text0"/>
              </w:rPr>
              <w:t>list</w:t>
            </w:r>
            <w:r>
              <w:t xml:space="preserve"> of </w:t>
            </w:r>
            <w:r>
              <w:rPr>
                <w:rStyle w:val="Text0"/>
              </w:rPr>
              <w:t>int</w:t>
            </w:r>
            <w:r>
              <w:t xml:space="preserve">s in arithmetic progression, call </w:t>
            </w:r>
            <w:r>
              <w:rPr>
                <w:rStyle w:val="Text0"/>
              </w:rPr>
              <w:t>list(range(...))</w:t>
            </w:r>
            <w:r>
              <w:t>.</w:t>
            </w:r>
          </w:p>
        </w:tc>
      </w:tr>
    </w:tbl>
    <w:tbl>
      <w:tblPr>
        <w:tblW w:type="auto" w:w="0"/>
      </w:tblPr>
      <w:tr>
        <w:tc>
          <w:tcPr>
            <w:tcW w:type="auto" w:w="0"/>
            <w:tcMar>
              <w:left w:type="dxa" w:w="200"/>
              <w:top w:type="dxa" w:w="200"/>
              <w:right w:type="dxa" w:w="200"/>
              <w:bottom w:type="dxa" w:w="200"/>
            </w:tcMar>
          </w:tcPr>
          <w:p>
            <w:pPr>
              <w:pStyle w:val="Para 001"/>
            </w:pPr>
            <w:r>
              <w:t>repr</w:t>
            </w:r>
          </w:p>
        </w:tc>
        <w:tc>
          <w:tcPr>
            <w:tcW w:type="auto" w:w="0"/>
            <w:tcMar>
              <w:left w:type="dxa" w:w="200"/>
              <w:top w:type="dxa" w:w="200"/>
              <w:right w:type="dxa" w:w="200"/>
              <w:bottom w:type="dxa" w:w="200"/>
            </w:tcMar>
          </w:tcPr>
          <w:p>
            <w:pPr>
              <w:pStyle w:val="Para 002"/>
            </w:pPr>
            <w:r>
              <w:rPr>
                <w:rStyle w:val="Text0"/>
              </w:rPr>
              <w:t>repr(</w:t>
            </w:r>
            <w:r>
              <w:rPr>
                <w:rStyle w:val="Text3"/>
              </w:rPr>
              <w:t>obj</w:t>
            </w:r>
            <w:r>
              <w:rPr>
                <w:rStyle w:val="Text0"/>
              </w:rPr>
              <w:t>, /)</w:t>
              <w:br w:clear="none"/>
            </w:r>
            <w:r>
              <w:t xml:space="preserve"> Returns</w:t>
            </w:r>
            <w:r>
              <w:rPr>
                <w:rStyle w:val="Text111"/>
              </w:rPr>
              <w:bookmarkStart w:id="2082" w:name="idm45965215311504"/>
              <w:t/>
              <w:bookmarkEnd w:id="2082"/>
            </w:r>
            <w:r>
              <w:t xml:space="preserve"> a complete and unambiguous string representation of </w:t>
            </w:r>
            <w:r>
              <w:rPr>
                <w:rStyle w:val="Text3"/>
              </w:rPr>
              <w:t>obj</w:t>
            </w:r>
            <w:r>
              <w:t xml:space="preserve">. When feasible, </w:t>
            </w:r>
            <w:r>
              <w:rPr>
                <w:rStyle w:val="Text0"/>
              </w:rPr>
              <w:t>repr</w:t>
            </w:r>
            <w:r>
              <w:t xml:space="preserve"> returns a string that you could pass to </w:t>
            </w:r>
            <w:r>
              <w:rPr>
                <w:rStyle w:val="Text0"/>
              </w:rPr>
              <w:t>eval</w:t>
            </w:r>
            <w:r>
              <w:t xml:space="preserve"> in order to create a new object with the same value as </w:t>
            </w:r>
            <w:r>
              <w:rPr>
                <w:rStyle w:val="Text3"/>
              </w:rPr>
              <w:t>obj</w:t>
            </w:r>
            <w:r>
              <w:t xml:space="preserve">. See also </w:t>
            </w:r>
            <w:r>
              <w:rPr>
                <w:rStyle w:val="Text0"/>
              </w:rPr>
              <w:t>str</w:t>
            </w:r>
            <w:r>
              <w:t xml:space="preserve"> in </w:t>
            </w:r>
            <w:hyperlink w:anchor="Table_8_1__Python_s_core_built_i">
              <w:r>
                <w:rPr>
                  <w:rStyle w:val="Text1"/>
                </w:rPr>
                <w:t>Table 8-1</w:t>
              </w:r>
            </w:hyperlink>
            <w:r>
              <w:t xml:space="preserve"> and </w:t>
            </w:r>
            <w:r>
              <w:rPr>
                <w:rStyle w:val="Text0"/>
              </w:rPr>
              <w:t>__repr__</w:t>
            </w:r>
            <w:r>
              <w:t xml:space="preserve"> in </w:t>
            </w:r>
            <w:hyperlink w:anchor="Table_4_1__General_purpose_speci">
              <w:r>
                <w:rPr>
                  <w:rStyle w:val="Text1"/>
                </w:rPr>
                <w:t>Table 4-1</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reversed</w:t>
            </w:r>
          </w:p>
        </w:tc>
        <w:tc>
          <w:tcPr>
            <w:tcW w:type="auto" w:w="0"/>
            <w:shd w:val="clear" w:color="auto" w:fill="EEF2F6"/>
            <w:tcMar>
              <w:left w:type="dxa" w:w="200"/>
              <w:top w:type="dxa" w:w="200"/>
              <w:right w:type="dxa" w:w="200"/>
              <w:bottom w:type="dxa" w:w="200"/>
            </w:tcMar>
          </w:tcPr>
          <w:p>
            <w:pPr>
              <w:pStyle w:val="Para 002"/>
            </w:pPr>
            <w:r>
              <w:rPr>
                <w:rStyle w:val="Text0"/>
              </w:rPr>
              <w:t>reversed(</w:t>
            </w:r>
            <w:r>
              <w:rPr>
                <w:rStyle w:val="Text3"/>
              </w:rPr>
              <w:t>seq</w:t>
            </w:r>
            <w:r>
              <w:rPr>
                <w:rStyle w:val="Text0"/>
              </w:rPr>
              <w:t>, /)</w:t>
              <w:br w:clear="none"/>
            </w:r>
            <w:r>
              <w:t xml:space="preserve"> Returns</w:t>
            </w:r>
            <w:r>
              <w:rPr>
                <w:rStyle w:val="Text111"/>
              </w:rPr>
              <w:bookmarkStart w:id="2083" w:name="idm45965215301168"/>
              <w:t/>
              <w:bookmarkEnd w:id="2083"/>
            </w:r>
            <w:r>
              <w:t xml:space="preserve"> a new iterator object that yields the items of </w:t>
            </w:r>
            <w:r>
              <w:rPr>
                <w:rStyle w:val="Text3"/>
              </w:rPr>
              <w:t>seq</w:t>
            </w:r>
            <w:r>
              <w:t xml:space="preserve"> (which must be specifically a sequence, not just any iterable) in reverse order.</w:t>
            </w:r>
          </w:p>
        </w:tc>
      </w:tr>
    </w:tbl>
    <w:tbl>
      <w:tblPr>
        <w:tblW w:type="auto" w:w="0"/>
      </w:tblPr>
      <w:tr>
        <w:tc>
          <w:tcPr>
            <w:tcW w:type="auto" w:w="0"/>
            <w:tcMar>
              <w:left w:type="dxa" w:w="200"/>
              <w:top w:type="dxa" w:w="200"/>
              <w:right w:type="dxa" w:w="200"/>
              <w:bottom w:type="dxa" w:w="200"/>
            </w:tcMar>
          </w:tcPr>
          <w:p>
            <w:pPr>
              <w:pStyle w:val="Para 001"/>
            </w:pPr>
            <w:r>
              <w:t>round</w:t>
            </w:r>
          </w:p>
        </w:tc>
        <w:tc>
          <w:tcPr>
            <w:tcW w:type="auto" w:w="0"/>
            <w:tcMar>
              <w:left w:type="dxa" w:w="200"/>
              <w:top w:type="dxa" w:w="200"/>
              <w:right w:type="dxa" w:w="200"/>
              <w:bottom w:type="dxa" w:w="200"/>
            </w:tcMar>
          </w:tcPr>
          <w:p>
            <w:pPr>
              <w:pStyle w:val="Para 002"/>
            </w:pPr>
            <w:r>
              <w:rPr>
                <w:rStyle w:val="Text0"/>
              </w:rPr>
              <w:t>round(number, ndigits=0)</w:t>
              <w:br w:clear="none"/>
            </w:r>
            <w:r>
              <w:t xml:space="preserve"> Returns</w:t>
            </w:r>
            <w:r>
              <w:rPr>
                <w:rStyle w:val="Text111"/>
              </w:rPr>
              <w:bookmarkStart w:id="2084" w:name="idm45965215296336"/>
              <w:t/>
              <w:bookmarkEnd w:id="2084"/>
            </w:r>
            <w:r>
              <w:t xml:space="preserve"> a </w:t>
            </w:r>
            <w:r>
              <w:rPr>
                <w:rStyle w:val="Text0"/>
              </w:rPr>
              <w:t>float</w:t>
            </w:r>
            <w:r>
              <w:t xml:space="preserve"> whose value is </w:t>
            </w:r>
            <w:r>
              <w:rPr>
                <w:rStyle w:val="Text0"/>
              </w:rPr>
              <w:t>int</w:t>
            </w:r>
            <w:r>
              <w:t xml:space="preserve"> or </w:t>
            </w:r>
            <w:r>
              <w:rPr>
                <w:rStyle w:val="Text0"/>
              </w:rPr>
              <w:t>float</w:t>
            </w:r>
            <w:r>
              <w:t xml:space="preserve"> </w:t>
            </w:r>
            <w:r>
              <w:rPr>
                <w:rStyle w:val="Text0"/>
              </w:rPr>
              <w:t>number</w:t>
            </w:r>
            <w:r>
              <w:t xml:space="preserve"> rounded to </w:t>
            </w:r>
            <w:r>
              <w:rPr>
                <w:rStyle w:val="Text0"/>
              </w:rPr>
              <w:t>ndigits</w:t>
            </w:r>
            <w:r>
              <w:t xml:space="preserve"> digits after the decimal point (i.e., the multiple of </w:t>
            </w:r>
            <w:r>
              <w:rPr>
                <w:rStyle w:val="Text0"/>
              </w:rPr>
              <w:t>10**-ndigits</w:t>
            </w:r>
            <w:r>
              <w:t xml:space="preserve"> that is closest to </w:t>
            </w:r>
            <w:r>
              <w:rPr>
                <w:rStyle w:val="Text0"/>
              </w:rPr>
              <w:t>number</w:t>
            </w:r>
            <w:r>
              <w:t xml:space="preserve">). When two such multiples are equally close to </w:t>
            </w:r>
            <w:r>
              <w:rPr>
                <w:rStyle w:val="Text0"/>
              </w:rPr>
              <w:t>number</w:t>
            </w:r>
            <w:r>
              <w:t xml:space="preserve">, </w:t>
            </w:r>
            <w:r>
              <w:rPr>
                <w:rStyle w:val="Text0"/>
              </w:rPr>
              <w:t>round</w:t>
            </w:r>
            <w:r>
              <w:t xml:space="preserve"> returns the </w:t>
            </w:r>
            <w:r>
              <w:rPr>
                <w:rStyle w:val="Text4"/>
              </w:rPr>
              <w:t>even</w:t>
            </w:r>
            <w:r>
              <w:t xml:space="preserve"> multiple. Since today’s computers represent floating-point numbers in binary, not in decimal, most of </w:t>
            </w:r>
            <w:r>
              <w:rPr>
                <w:rStyle w:val="Text0"/>
              </w:rPr>
              <w:t>round</w:t>
            </w:r>
            <w:r>
              <w:t xml:space="preserve">’s results are not exact, as the </w:t>
            </w:r>
            <w:hyperlink r:id="rId296">
              <w:r>
                <w:rPr>
                  <w:rStyle w:val="Text1"/>
                </w:rPr>
                <w:t>tutorial</w:t>
              </w:r>
            </w:hyperlink>
            <w:r>
              <w:t xml:space="preserve"> in the docs explains in detail. See also </w:t>
            </w:r>
            <w:hyperlink w:anchor="The_decimal_Module__A_Python_flo">
              <w:r>
                <w:rPr>
                  <w:rStyle w:val="Text1"/>
                </w:rPr>
                <w:t>“The decimal Module”</w:t>
              </w:r>
            </w:hyperlink>
            <w:r>
              <w:t xml:space="preserve"> and David Goldberg’s famous language-independent </w:t>
            </w:r>
            <w:hyperlink r:id="rId297">
              <w:r>
                <w:rPr>
                  <w:rStyle w:val="Text1"/>
                </w:rPr>
                <w:t>article</w:t>
              </w:r>
            </w:hyperlink>
            <w:r>
              <w:t xml:space="preserve"> on floating-point arithmetic.</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setattr</w:t>
            </w:r>
          </w:p>
        </w:tc>
        <w:tc>
          <w:tcPr>
            <w:tcW w:type="auto" w:w="0"/>
            <w:shd w:val="clear" w:color="auto" w:fill="EEF2F6"/>
            <w:tcMar>
              <w:left w:type="dxa" w:w="200"/>
              <w:top w:type="dxa" w:w="200"/>
              <w:right w:type="dxa" w:w="200"/>
              <w:bottom w:type="dxa" w:w="200"/>
            </w:tcMar>
          </w:tcPr>
          <w:p>
            <w:pPr>
              <w:pStyle w:val="Para 002"/>
            </w:pPr>
            <w:r>
              <w:rPr>
                <w:rStyle w:val="Text0"/>
              </w:rPr>
              <w:t>setattr(</w:t>
            </w:r>
            <w:r>
              <w:rPr>
                <w:rStyle w:val="Text3"/>
              </w:rPr>
              <w:t>obj</w:t>
            </w:r>
            <w:r>
              <w:rPr>
                <w:rStyle w:val="Text0"/>
              </w:rPr>
              <w:t>,</w:t>
            </w:r>
            <w:r>
              <w:t xml:space="preserve"> </w:t>
            </w:r>
            <w:r>
              <w:rPr>
                <w:rStyle w:val="Text3"/>
              </w:rPr>
              <w:t>name</w:t>
            </w:r>
            <w:r>
              <w:rPr>
                <w:rStyle w:val="Text0"/>
              </w:rPr>
              <w:t>,</w:t>
            </w:r>
            <w:r>
              <w:t xml:space="preserve"> </w:t>
            </w:r>
            <w:r>
              <w:rPr>
                <w:rStyle w:val="Text3"/>
              </w:rPr>
              <w:t>value</w:t>
            </w:r>
            <w:r>
              <w:rPr>
                <w:rStyle w:val="Text0"/>
              </w:rPr>
              <w:t>, /)</w:t>
              <w:br w:clear="none"/>
            </w:r>
            <w:r>
              <w:t xml:space="preserve"> Binds</w:t>
            </w:r>
            <w:r>
              <w:rPr>
                <w:rStyle w:val="Text111"/>
              </w:rPr>
              <w:bookmarkStart w:id="2085" w:name="idm45965215279072"/>
              <w:t/>
              <w:bookmarkEnd w:id="2085"/>
            </w:r>
            <w:r>
              <w:t xml:space="preserve"> </w:t>
            </w:r>
            <w:r>
              <w:rPr>
                <w:rStyle w:val="Text3"/>
              </w:rPr>
              <w:t>obj</w:t>
            </w:r>
            <w:r>
              <w:t xml:space="preserve">’s attribute </w:t>
            </w:r>
            <w:r>
              <w:rPr>
                <w:rStyle w:val="Text3"/>
              </w:rPr>
              <w:t>name</w:t>
            </w:r>
            <w:r>
              <w:t xml:space="preserve"> to </w:t>
            </w:r>
            <w:r>
              <w:rPr>
                <w:rStyle w:val="Text3"/>
              </w:rPr>
              <w:t>value</w:t>
            </w:r>
            <w:r>
              <w:t xml:space="preserve">. </w:t>
            </w:r>
            <w:r>
              <w:rPr>
                <w:rStyle w:val="Text0"/>
              </w:rPr>
              <w:t>setattr(</w:t>
            </w:r>
            <w:r>
              <w:rPr>
                <w:rStyle w:val="Text3"/>
              </w:rPr>
              <w:t>obj</w:t>
            </w:r>
            <w:r>
              <w:rPr>
                <w:rStyle w:val="Text0"/>
              </w:rPr>
              <w:t>, '</w:t>
            </w:r>
            <w:r>
              <w:rPr>
                <w:rStyle w:val="Text3"/>
              </w:rPr>
              <w:t>ident</w:t>
            </w:r>
            <w:r>
              <w:rPr>
                <w:rStyle w:val="Text0"/>
              </w:rPr>
              <w:t>',</w:t>
            </w:r>
            <w:r>
              <w:t xml:space="preserve"> </w:t>
            </w:r>
            <w:r>
              <w:rPr>
                <w:rStyle w:val="Text3"/>
              </w:rPr>
              <w:t>val</w:t>
            </w:r>
            <w:r>
              <w:rPr>
                <w:rStyle w:val="Text0"/>
              </w:rPr>
              <w:t>)</w:t>
            </w:r>
            <w:r>
              <w:t xml:space="preserve"> is like </w:t>
            </w:r>
            <w:r>
              <w:rPr>
                <w:rStyle w:val="Text3"/>
              </w:rPr>
              <w:t>obj</w:t>
            </w:r>
            <w:r>
              <w:rPr>
                <w:rStyle w:val="Text0"/>
              </w:rPr>
              <w:t>.</w:t>
            </w:r>
            <w:r>
              <w:rPr>
                <w:rStyle w:val="Text3"/>
              </w:rPr>
              <w:t>ident</w:t>
            </w:r>
            <w:r>
              <w:rPr>
                <w:rStyle w:val="Text0"/>
              </w:rPr>
              <w:t>=</w:t>
            </w:r>
            <w:r>
              <w:rPr>
                <w:rStyle w:val="Text3"/>
              </w:rPr>
              <w:t>val</w:t>
            </w:r>
            <w:r>
              <w:t xml:space="preserve">. See also </w:t>
            </w:r>
            <w:r>
              <w:rPr>
                <w:rStyle w:val="Text0"/>
              </w:rPr>
              <w:t>getattr</w:t>
            </w:r>
            <w:r>
              <w:t xml:space="preserve"> earlier in this table, </w:t>
            </w:r>
            <w:hyperlink w:anchor="Object_attributes_and_items__The">
              <w:r>
                <w:rPr>
                  <w:rStyle w:val="Text1"/>
                </w:rPr>
                <w:t>“Object attributes and items”</w:t>
              </w:r>
            </w:hyperlink>
            <w:r>
              <w:t xml:space="preserve">, and </w:t>
            </w:r>
            <w:hyperlink w:anchor="Setting_an_attribute__Note_that">
              <w:r>
                <w:rPr>
                  <w:rStyle w:val="Text1"/>
                </w:rPr>
                <w:t>“Setting an attribute”</w:t>
              </w:r>
            </w:hyperlink>
            <w:r>
              <w:t>.</w:t>
            </w:r>
          </w:p>
        </w:tc>
      </w:tr>
    </w:tbl>
    <w:tbl>
      <w:tblPr>
        <w:tblW w:type="auto" w:w="0"/>
      </w:tblPr>
      <w:tr>
        <w:tc>
          <w:tcPr>
            <w:tcW w:type="auto" w:w="0"/>
            <w:tcMar>
              <w:left w:type="dxa" w:w="200"/>
              <w:top w:type="dxa" w:w="200"/>
              <w:right w:type="dxa" w:w="200"/>
              <w:bottom w:type="dxa" w:w="200"/>
            </w:tcMar>
          </w:tcPr>
          <w:p>
            <w:pPr>
              <w:pStyle w:val="Para 001"/>
            </w:pPr>
            <w:r>
              <w:t>sorted</w:t>
            </w:r>
          </w:p>
        </w:tc>
        <w:tc>
          <w:tcPr>
            <w:tcW w:type="auto" w:w="0"/>
            <w:tcMar>
              <w:left w:type="dxa" w:w="200"/>
              <w:top w:type="dxa" w:w="200"/>
              <w:right w:type="dxa" w:w="200"/>
              <w:bottom w:type="dxa" w:w="200"/>
            </w:tcMar>
          </w:tcPr>
          <w:p>
            <w:pPr>
              <w:pStyle w:val="Para 002"/>
            </w:pPr>
            <w:r>
              <w:rPr>
                <w:rStyle w:val="Text0"/>
              </w:rPr>
              <w:t>sorted(</w:t>
            </w:r>
            <w:r>
              <w:rPr>
                <w:rStyle w:val="Text3"/>
              </w:rPr>
              <w:t>seq</w:t>
            </w:r>
            <w:r>
              <w:rPr>
                <w:rStyle w:val="Text0"/>
              </w:rPr>
              <w:t>, /, *, key=</w:t>
            </w:r>
            <w:r>
              <w:rPr>
                <w:rStyle w:val="Text5"/>
              </w:rPr>
              <w:t>None</w:t>
            </w:r>
            <w:r>
              <w:rPr>
                <w:rStyle w:val="Text0"/>
              </w:rPr>
              <w:t>, reverse=</w:t>
            </w:r>
            <w:r>
              <w:rPr>
                <w:rStyle w:val="Text5"/>
              </w:rPr>
              <w:t>False</w:t>
            </w:r>
            <w:r>
              <w:rPr>
                <w:rStyle w:val="Text0"/>
              </w:rPr>
              <w:t>)</w:t>
              <w:br w:clear="none"/>
            </w:r>
            <w:r>
              <w:t xml:space="preserve"> Returns</w:t>
            </w:r>
            <w:r>
              <w:rPr>
                <w:rStyle w:val="Text111"/>
              </w:rPr>
              <w:bookmarkStart w:id="2086" w:name="idm45965215263264"/>
              <w:t/>
              <w:bookmarkEnd w:id="2086"/>
            </w:r>
            <w:r>
              <w:t xml:space="preserve"> a list with the same items as iterable </w:t>
            </w:r>
            <w:r>
              <w:rPr>
                <w:rStyle w:val="Text3"/>
              </w:rPr>
              <w:t>seq</w:t>
            </w:r>
            <w:r>
              <w:t xml:space="preserve">, in sorted order. Same as: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sorted</w:t>
              <w:br w:clear="none"/>
            </w:r>
            <w:r>
              <w:rPr>
                <w:rStyle w:val="Text7"/>
              </w:rPr>
              <w:t xml:space="preserve">(</w:t>
              <w:br w:clear="none"/>
            </w:r>
            <w:r>
              <w:rPr>
                <w:rStyle w:val="Text4"/>
              </w:rPr>
              <w:t xml:space="preserve">seq</w:t>
              <w:br w:clear="none"/>
            </w:r>
            <w:r>
              <w:rPr>
                <w:rStyle w:val="Text7"/>
              </w:rPr>
              <w:t xml:space="preserve">,</w:t>
              <w:br w:clear="none"/>
            </w:r>
            <w:r>
              <w:rPr>
                <w:rStyle w:val="Text6"/>
              </w:rPr>
              <w:t xml:space="preserve"> </w:t>
              <w:br w:clear="none"/>
            </w:r>
            <w:r>
              <w:rPr>
                <w:rStyle w:val="Text13"/>
              </w:rPr>
              <w:t xml:space="preserve">/</w:t>
              <w:br w:clear="none"/>
            </w:r>
            <w:r>
              <w:rPr>
                <w:rStyle w:val="Text7"/>
              </w:rPr>
              <w:t xml:space="preserve">,</w:t>
              <w:br w:clear="none"/>
            </w:r>
            <w:r>
              <w:rPr>
                <w:rStyle w:val="Text6"/>
              </w:rPr>
              <w:t xml:space="preserve"> </w:t>
              <w:br w:clear="none"/>
            </w:r>
            <w:r>
              <w:rPr>
                <w:rStyle w:val="Text13"/>
              </w:rPr>
              <w:t xml:space="preserve">*</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rPr>
                <w:rStyle w:val="Text10"/>
              </w:rPr>
              <w:t xml:space="preserve">None</w:t>
              <w:br w:clear="none"/>
            </w:r>
            <w:r>
              <w:rPr>
                <w:rStyle w:val="Text7"/>
              </w:rPr>
              <w:t xml:space="preserve">,</w:t>
              <w:br w:clear="none"/>
            </w:r>
            <w:r>
              <w:rPr>
                <w:rStyle w:val="Text6"/>
              </w:rPr>
              <w:t xml:space="preserve"> </w:t>
              <w:br w:clear="none"/>
            </w:r>
            <w:r>
              <w:t xml:space="preserve">reverse</w:t>
              <w:br w:clear="none"/>
            </w:r>
            <w:r>
              <w:rPr>
                <w:rStyle w:val="Text13"/>
              </w:rPr>
              <w:t xml:space="preserve">=</w:t>
              <w:br w:clear="none"/>
            </w:r>
            <w:r>
              <w:rPr>
                <w:rStyle w:val="Text10"/>
              </w:rPr>
              <w:t xml:space="preserve">False</w:t>
              <w:br w:clear="none"/>
            </w:r>
            <w:r>
              <w:rPr>
                <w:rStyle w:val="Text7"/>
              </w:rPr>
              <w:t xml:space="preserve">)</w:t>
              <w:br w:clear="none"/>
              <w:t xml:space="preserve">:</w:t>
              <w:br w:clear="none"/>
            </w:r>
            <w:r>
              <w:rPr>
                <w:rStyle w:val="Text6"/>
              </w:rPr>
              <w:t xml:space="preserve"/>
              <w:br w:clear="none"/>
              <w:t xml:space="preserve">    </w:t>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list</w:t>
              <w:br w:clear="none"/>
            </w:r>
            <w:r>
              <w:rPr>
                <w:rStyle w:val="Text7"/>
              </w:rPr>
              <w:t xml:space="preserve">(</w:t>
              <w:br w:clear="none"/>
            </w:r>
            <w:r>
              <w:rPr>
                <w:rStyle w:val="Text4"/>
              </w:rPr>
              <w:t xml:space="preserve">seq</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sort</w:t>
              <w:br w:clear="none"/>
            </w:r>
            <w:r>
              <w:rPr>
                <w:rStyle w:val="Text7"/>
              </w:rPr>
              <w:t xml:space="preserve">(</w:t>
              <w:br w:clear="none"/>
            </w:r>
            <w:r>
              <w:t xml:space="preserve">key</w:t>
              <w:br w:clear="none"/>
            </w:r>
            <w:r>
              <w:rPr>
                <w:rStyle w:val="Text7"/>
              </w:rPr>
              <w:t xml:space="preserve">,</w:t>
              <w:br w:clear="none"/>
            </w:r>
            <w:r>
              <w:rPr>
                <w:rStyle w:val="Text6"/>
              </w:rPr>
              <w:t xml:space="preserve"> </w:t>
              <w:br w:clear="none"/>
            </w:r>
            <w:r>
              <w:t xml:space="preserve">reverse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result</w:t>
              <w:br w:clear="none"/>
            </w:r>
          </w:p>
          <w:p>
            <w:pPr>
              <w:pStyle w:val="Para 022"/>
            </w:pPr>
            <w:r>
              <w:t xml:space="preserve"> See </w:t>
            </w:r>
            <w:hyperlink w:anchor="Sorting_a_list__A_list_s_sort_me">
              <w:r>
                <w:rPr>
                  <w:rStyle w:val="Text1"/>
                </w:rPr>
                <w:t>“Sorting a list”</w:t>
              </w:r>
            </w:hyperlink>
            <w:r>
              <w:t xml:space="preserve"> for the meaning of the arguments. If you want to pass </w:t>
            </w:r>
            <w:r>
              <w:rPr>
                <w:rStyle w:val="Text0"/>
              </w:rPr>
              <w:t>key</w:t>
            </w:r>
            <w:r>
              <w:t xml:space="preserve"> and/or </w:t>
            </w:r>
            <w:r>
              <w:rPr>
                <w:rStyle w:val="Text0"/>
              </w:rPr>
              <w:t>reverse</w:t>
            </w:r>
            <w:r>
              <w:t xml:space="preserve">, you </w:t>
            </w:r>
            <w:r>
              <w:rPr>
                <w:rStyle w:val="Text4"/>
              </w:rPr>
              <w:t>must</w:t>
            </w:r>
            <w:r>
              <w:t xml:space="preserve"> pass them by name.</w:t>
            </w:r>
          </w:p>
        </w:tc>
      </w:tr>
    </w:tbl>
    <w:tbl>
      <w:tblPr>
        <w:tblW w:type="auto" w:w="0"/>
      </w:tblPr>
      <w:tr>
        <w:tc>
          <w:tcPr>
            <w:tcW w:type="auto" w:w="0"/>
            <w:shd w:val="clear" w:color="auto" w:fill="EEF2F6"/>
            <w:tcMar>
              <w:left w:type="dxa" w:w="200"/>
              <w:top w:type="dxa" w:w="200"/>
              <w:right w:type="dxa" w:w="200"/>
              <w:bottom w:type="dxa" w:w="200"/>
            </w:tcMar>
          </w:tcPr>
          <w:p>
            <w:pPr>
              <w:pStyle w:val="Para 001"/>
            </w:pPr>
            <w:r>
              <w:t>sum</w:t>
            </w:r>
          </w:p>
        </w:tc>
        <w:tc>
          <w:tcPr>
            <w:tcW w:type="auto" w:w="0"/>
            <w:shd w:val="clear" w:color="auto" w:fill="EEF2F6"/>
            <w:tcMar>
              <w:left w:type="dxa" w:w="200"/>
              <w:top w:type="dxa" w:w="200"/>
              <w:right w:type="dxa" w:w="200"/>
              <w:bottom w:type="dxa" w:w="200"/>
            </w:tcMar>
          </w:tcPr>
          <w:p>
            <w:pPr>
              <w:pStyle w:val="Para 002"/>
            </w:pPr>
            <w:r>
              <w:rPr>
                <w:rStyle w:val="Text0"/>
              </w:rPr>
              <w:t>sum(</w:t>
            </w:r>
            <w:r>
              <w:rPr>
                <w:rStyle w:val="Text3"/>
              </w:rPr>
              <w:t>seq</w:t>
            </w:r>
            <w:r>
              <w:rPr>
                <w:rStyle w:val="Text0"/>
              </w:rPr>
              <w:t>, /, start=0)</w:t>
              <w:br w:clear="none"/>
            </w:r>
            <w:r>
              <w:t xml:space="preserve"> Returns</w:t>
            </w:r>
            <w:r>
              <w:rPr>
                <w:rStyle w:val="Text111"/>
              </w:rPr>
              <w:bookmarkStart w:id="2087" w:name="idm45965215218272"/>
              <w:t/>
              <w:bookmarkEnd w:id="2087"/>
            </w:r>
            <w:r>
              <w:t xml:space="preserve"> the sum of the items of iterable </w:t>
            </w:r>
            <w:r>
              <w:rPr>
                <w:rStyle w:val="Text3"/>
              </w:rPr>
              <w:t>seq</w:t>
            </w:r>
            <w:r>
              <w:t xml:space="preserve"> (which should be numbers, and, in particular, cannot be strings) plus the value of </w:t>
            </w:r>
            <w:r>
              <w:rPr>
                <w:rStyle w:val="Text0"/>
              </w:rPr>
              <w:t>start</w:t>
            </w:r>
            <w:r>
              <w:t xml:space="preserve">. When </w:t>
            </w:r>
            <w:r>
              <w:rPr>
                <w:rStyle w:val="Text3"/>
              </w:rPr>
              <w:t>seq</w:t>
            </w:r>
            <w:r>
              <w:t xml:space="preserve"> is empty, returns </w:t>
            </w:r>
            <w:r>
              <w:rPr>
                <w:rStyle w:val="Text0"/>
              </w:rPr>
              <w:t>start</w:t>
            </w:r>
            <w:r>
              <w:t xml:space="preserve">. To “sum” (concatenate) an iterable of strings, in order, use </w:t>
            </w:r>
            <w:r>
              <w:rPr>
                <w:rStyle w:val="Text0"/>
              </w:rPr>
              <w:t>''.join(</w:t>
            </w:r>
            <w:r>
              <w:rPr>
                <w:rStyle w:val="Text3"/>
              </w:rPr>
              <w:t>iterofstrs</w:t>
            </w:r>
            <w:r>
              <w:rPr>
                <w:rStyle w:val="Text0"/>
              </w:rPr>
              <w:t>)</w:t>
            </w:r>
            <w:r>
              <w:t xml:space="preserve">, as covered in </w:t>
            </w:r>
            <w:hyperlink w:anchor="Table_8_1__Python_s_core_built_i">
              <w:r>
                <w:rPr>
                  <w:rStyle w:val="Text1"/>
                </w:rPr>
                <w:t>Table 8-1</w:t>
              </w:r>
            </w:hyperlink>
            <w:r>
              <w:t xml:space="preserve"> and </w:t>
            </w:r>
            <w:hyperlink w:anchor="Building_up_a_string_from_pieces">
              <w:r>
                <w:rPr>
                  <w:rStyle w:val="Text1"/>
                </w:rPr>
                <w:t>“Building up a string from pieces”</w:t>
              </w:r>
            </w:hyperlink>
            <w:r>
              <w:t>.</w:t>
            </w:r>
          </w:p>
        </w:tc>
      </w:tr>
    </w:tbl>
    <w:tbl>
      <w:tblPr>
        <w:tblW w:type="auto" w:w="0"/>
      </w:tblPr>
      <w:tr>
        <w:tc>
          <w:tcPr>
            <w:tcW w:type="auto" w:w="0"/>
            <w:tcMar>
              <w:left w:type="dxa" w:w="200"/>
              <w:top w:type="dxa" w:w="200"/>
              <w:right w:type="dxa" w:w="200"/>
              <w:bottom w:type="dxa" w:w="200"/>
            </w:tcMar>
          </w:tcPr>
          <w:p>
            <w:pPr>
              <w:pStyle w:val="Para 001"/>
            </w:pPr>
            <w:r>
              <w:t>vars</w:t>
            </w:r>
          </w:p>
        </w:tc>
        <w:tc>
          <w:tcPr>
            <w:tcW w:type="auto" w:w="0"/>
            <w:tcMar>
              <w:left w:type="dxa" w:w="200"/>
              <w:top w:type="dxa" w:w="200"/>
              <w:right w:type="dxa" w:w="200"/>
              <w:bottom w:type="dxa" w:w="200"/>
            </w:tcMar>
          </w:tcPr>
          <w:p>
            <w:pPr>
              <w:pStyle w:val="Para 002"/>
            </w:pPr>
            <w:r>
              <w:rPr>
                <w:rStyle w:val="Text0"/>
              </w:rPr>
              <w:t>vars([</w:t>
            </w:r>
            <w:r>
              <w:rPr>
                <w:rStyle w:val="Text3"/>
              </w:rPr>
              <w:t>obj</w:t>
            </w:r>
            <w:r>
              <w:rPr>
                <w:rStyle w:val="Text0"/>
              </w:rPr>
              <w:t>, ]</w:t>
            </w:r>
            <w:r>
              <w:rPr>
                <w:rStyle w:val="Text3"/>
              </w:rPr>
              <w:t>/</w:t>
            </w:r>
            <w:r>
              <w:rPr>
                <w:rStyle w:val="Text0"/>
              </w:rPr>
              <w:t>)</w:t>
              <w:br w:clear="none"/>
            </w:r>
            <w:r>
              <w:t xml:space="preserve"> When</w:t>
            </w:r>
            <w:r>
              <w:rPr>
                <w:rStyle w:val="Text111"/>
              </w:rPr>
              <w:bookmarkStart w:id="2088" w:name="idm45965215179168"/>
              <w:t/>
              <w:bookmarkEnd w:id="2088"/>
            </w:r>
            <w:r>
              <w:t xml:space="preserve"> called with no argument, </w:t>
            </w:r>
            <w:r>
              <w:rPr>
                <w:rStyle w:val="Text0"/>
              </w:rPr>
              <w:t>vars</w:t>
            </w:r>
            <w:r>
              <w:t xml:space="preserve"> returns a dictionary with all variables that are bound in the current scope (like </w:t>
            </w:r>
            <w:r>
              <w:rPr>
                <w:rStyle w:val="Text0"/>
              </w:rPr>
              <w:t>locals</w:t>
            </w:r>
            <w:r>
              <w:t xml:space="preserve">, covered earlier in this table). Treat this dictionary as read-only. </w:t>
            </w:r>
            <w:r>
              <w:rPr>
                <w:rStyle w:val="Text0"/>
              </w:rPr>
              <w:t>vars(</w:t>
            </w:r>
            <w:r>
              <w:rPr>
                <w:rStyle w:val="Text3"/>
              </w:rPr>
              <w:t>obj</w:t>
            </w:r>
            <w:r>
              <w:rPr>
                <w:rStyle w:val="Text0"/>
              </w:rPr>
              <w:t>)</w:t>
            </w:r>
            <w:r>
              <w:t xml:space="preserve"> returns a dictionary with all attributes currently bound in </w:t>
            </w:r>
            <w:r>
              <w:rPr>
                <w:rStyle w:val="Text3"/>
              </w:rPr>
              <w:t>obj</w:t>
            </w:r>
            <w:r>
              <w:t xml:space="preserve">, similar to </w:t>
            </w:r>
            <w:r>
              <w:rPr>
                <w:rStyle w:val="Text0"/>
              </w:rPr>
              <w:t>dir</w:t>
            </w:r>
            <w:r>
              <w:t xml:space="preserve">, covered earlier in this table. This dictionary may be modifiable or not, depending on the type of </w:t>
            </w:r>
            <w:r>
              <w:rPr>
                <w:rStyle w:val="Text3"/>
              </w:rPr>
              <w:t>obj</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zip</w:t>
            </w:r>
          </w:p>
        </w:tc>
        <w:tc>
          <w:tcPr>
            <w:tcW w:type="auto" w:w="0"/>
            <w:shd w:val="clear" w:color="auto" w:fill="EEF2F6"/>
            <w:tcMar>
              <w:left w:type="dxa" w:w="200"/>
              <w:top w:type="dxa" w:w="200"/>
              <w:right w:type="dxa" w:w="200"/>
              <w:bottom w:type="dxa" w:w="200"/>
            </w:tcMar>
          </w:tcPr>
          <w:p>
            <w:pPr>
              <w:pStyle w:val="Para 002"/>
            </w:pPr>
            <w:r>
              <w:rPr>
                <w:rStyle w:val="Text0"/>
              </w:rPr>
              <w:t>zip(</w:t>
            </w:r>
            <w:r>
              <w:rPr>
                <w:rStyle w:val="Text3"/>
              </w:rPr>
              <w:t>seq</w:t>
            </w:r>
            <w:r>
              <w:rPr>
                <w:rStyle w:val="Text0"/>
              </w:rPr>
              <w:t>, /, *</w:t>
            </w:r>
            <w:r>
              <w:rPr>
                <w:rStyle w:val="Text3"/>
              </w:rPr>
              <w:t>seqs</w:t>
            </w:r>
            <w:r>
              <w:rPr>
                <w:rStyle w:val="Text0"/>
              </w:rPr>
              <w:t>, strict</w:t>
            </w:r>
            <w:r>
              <w:rPr>
                <w:rStyle w:val="Text3"/>
              </w:rPr>
              <w:t>=</w:t>
            </w:r>
            <w:r>
              <w:rPr>
                <w:rStyle w:val="Text5"/>
              </w:rPr>
              <w:t>False</w:t>
            </w:r>
            <w:r>
              <w:rPr>
                <w:rStyle w:val="Text0"/>
              </w:rPr>
              <w:t>)</w:t>
              <w:br w:clear="none"/>
            </w:r>
            <w:r>
              <w:t xml:space="preserve"> Returns</w:t>
            </w:r>
            <w:r>
              <w:rPr>
                <w:rStyle w:val="Text111"/>
              </w:rPr>
              <w:bookmarkStart w:id="2089" w:name="idm45965215168288"/>
              <w:t/>
              <w:bookmarkEnd w:id="2089"/>
            </w:r>
            <w:r>
              <w:t xml:space="preserve"> an iterator of tuples, where the </w:t>
            </w:r>
            <w:r>
              <w:rPr>
                <w:rStyle w:val="Text3"/>
              </w:rPr>
              <w:t>n</w:t>
            </w:r>
            <w:r>
              <w:t xml:space="preserve">th tuple contains the </w:t>
            </w:r>
            <w:r>
              <w:rPr>
                <w:rStyle w:val="Text3"/>
              </w:rPr>
              <w:t>n</w:t>
            </w:r>
            <w:r>
              <w:t xml:space="preserve">th item from each of the argument iterables. You must call </w:t>
            </w:r>
            <w:r>
              <w:rPr>
                <w:rStyle w:val="Text0"/>
              </w:rPr>
              <w:t>zip</w:t>
            </w:r>
            <w:r>
              <w:t xml:space="preserve"> with at least one (positional) argument, and all positional arguments must be iterable. </w:t>
            </w:r>
            <w:r>
              <w:rPr>
                <w:rStyle w:val="Text0"/>
              </w:rPr>
              <w:t>zip</w:t>
            </w:r>
            <w:r>
              <w:t xml:space="preserve"> returns an iterator with as many items as the shortest iterable, ignoring trailing items in the other iterable objects. </w:t>
            </w:r>
            <w:r>
              <w:rPr>
                <w:rStyle w:val="Text34"/>
              </w:rPr>
              <w:t>3.10+</w:t>
            </w:r>
            <w:r>
              <w:t xml:space="preserve"> When the iterables have different lengths and </w:t>
            </w:r>
            <w:r>
              <w:rPr>
                <w:rStyle w:val="Text0"/>
              </w:rPr>
              <w:t>strict</w:t>
            </w:r>
            <w:r>
              <w:t xml:space="preserve"> is </w:t>
            </w:r>
            <w:r>
              <w:rPr>
                <w:rStyle w:val="Text5"/>
              </w:rPr>
              <w:t>True</w:t>
            </w:r>
            <w:r>
              <w:t xml:space="preserve">, </w:t>
            </w:r>
            <w:r>
              <w:rPr>
                <w:rStyle w:val="Text0"/>
              </w:rPr>
              <w:t>zip</w:t>
            </w:r>
            <w:r>
              <w:t xml:space="preserve"> raises </w:t>
            </w:r>
            <w:r>
              <w:rPr>
                <w:rStyle w:val="Text0"/>
              </w:rPr>
              <w:t>ValueError</w:t>
            </w:r>
            <w:r>
              <w:t xml:space="preserve"> once it reaches the end of the shortest iterable. See also </w:t>
            </w:r>
            <w:r>
              <w:rPr>
                <w:rStyle w:val="Text0"/>
              </w:rPr>
              <w:t>map</w:t>
            </w:r>
            <w:r>
              <w:t xml:space="preserve"> earlier in this table and </w:t>
            </w:r>
            <w:r>
              <w:rPr>
                <w:rStyle w:val="Text0"/>
              </w:rPr>
              <w:t>zip_longest</w:t>
            </w:r>
            <w:r>
              <w:t xml:space="preserve"> in </w:t>
            </w:r>
            <w:hyperlink w:anchor="Table_8_10__Functions_and_attrib">
              <w:r>
                <w:rPr>
                  <w:rStyle w:val="Text1"/>
                </w:rPr>
                <w:t>Table 8-10</w:t>
              </w:r>
            </w:hyperlink>
            <w:r>
              <w:t>.</w:t>
            </w:r>
            <w:r>
              <w:rPr>
                <w:rStyle w:val="Text111"/>
              </w:rPr>
              <w:bookmarkStart w:id="2090" w:name="idm45965215157776"/>
              <w:t/>
              <w:bookmarkEnd w:id="2090"/>
              <w:bookmarkStart w:id="2091" w:name="idm45965215156400"/>
              <w:t/>
              <w:bookmarkEnd w:id="2091"/>
            </w:r>
          </w:p>
        </w:tc>
      </w:tr>
    </w:tbl>
    <w:tbl>
      <w:tblPr>
        <w:tblW w:type="auto" w:w="0"/>
      </w:tblPr>
      <w:tr>
        <w:tc>
          <w:tcPr>
            <w:tcW w:type="auto" w:w="0"/>
            <w:tcMar>
              <w:left w:type="dxa" w:w="200"/>
              <w:top w:type="dxa" w:w="200"/>
              <w:right w:type="dxa" w:w="200"/>
              <w:bottom w:type="dxa" w:w="200"/>
            </w:tcMar>
            <w:hMerge w:val="restart"/>
          </w:tcPr>
          <w:p>
            <w:bookmarkStart w:id="2092" w:name="a_Otherwise_arbitrary__often__an"/>
            <w:pPr>
              <w:pStyle w:val="Para 036"/>
            </w:pPr>
            <w:hyperlink w:anchor="a_2">
              <w:r>
                <w:rPr>
                  <w:rStyle w:val="Text1"/>
                </w:rPr>
                <w:t>a</w:t>
              </w:r>
            </w:hyperlink>
            <w:r>
              <w:t xml:space="preserve"> Otherwise arbitrary; often, an implementation detail, </w:t>
            </w:r>
            <w:r>
              <w:rPr>
                <w:rStyle w:val="Text3"/>
              </w:rPr>
              <w:t>obj</w:t>
            </w:r>
            <w:r>
              <w:t>’s address in memory.</w:t>
            </w:r>
            <w:bookmarkEnd w:id="2092"/>
          </w:p>
        </w:tc>
        <w:tc>
          <w:tcPr>
            <w:hMerge w:val="continue"/>
          </w:tcPr>
          <w:p/>
        </w:tc>
      </w:tr>
    </w:tbl>
    <w:p>
      <w:bookmarkStart w:id="2093" w:name="The_sys_Module__The_attributes_o"/>
      <w:pPr>
        <w:keepNext/>
        <w:pStyle w:val="Heading 1"/>
      </w:pPr>
      <w:r>
        <w:t>The sys Module</w:t>
      </w:r>
      <w:bookmarkEnd w:id="2093"/>
    </w:p>
    <w:p>
      <w:pPr>
        <w:pStyle w:val="Normal"/>
      </w:pPr>
      <w:r>
        <w:t>The</w:t>
      </w:r>
      <w:r>
        <w:rPr>
          <w:rStyle w:val="Text111"/>
        </w:rPr>
        <w:bookmarkStart w:id="2094" w:name="sysmod08"/>
        <w:t/>
        <w:bookmarkEnd w:id="2094"/>
        <w:bookmarkStart w:id="2095" w:name="SLsys08"/>
        <w:t/>
        <w:bookmarkEnd w:id="2095"/>
      </w:r>
      <w:r>
        <w:t xml:space="preserve"> attributes of the </w:t>
      </w:r>
      <w:r>
        <w:rPr>
          <w:rStyle w:val="Text0"/>
        </w:rPr>
        <w:t>sys</w:t>
      </w:r>
      <w:r>
        <w:t xml:space="preserve"> module are bound to data and functions that provide information on the state of the Python interpreter or affect the interpreter directly. </w:t>
      </w:r>
      <w:hyperlink w:anchor="Table_8_3__Functions_and_attribu">
        <w:r>
          <w:rPr>
            <w:rStyle w:val="Text1"/>
          </w:rPr>
          <w:t>Table 8-3</w:t>
        </w:r>
      </w:hyperlink>
      <w:r>
        <w:t xml:space="preserve"> covers the most frequently used attributes of </w:t>
      </w:r>
      <w:r>
        <w:rPr>
          <w:rStyle w:val="Text0"/>
        </w:rPr>
        <w:t>sys</w:t>
      </w:r>
      <w:r>
        <w:t xml:space="preserve">. Most </w:t>
      </w:r>
      <w:r>
        <w:rPr>
          <w:rStyle w:val="Text0"/>
        </w:rPr>
        <w:t>sys</w:t>
      </w:r>
      <w:r>
        <w:t xml:space="preserve"> attributes we don’t cover are meant specifically for use in debuggers, profilers, and integrated development environments; see the </w:t>
      </w:r>
      <w:hyperlink r:id="rId298">
        <w:r>
          <w:rPr>
            <w:rStyle w:val="Text1"/>
          </w:rPr>
          <w:t>online docs</w:t>
        </w:r>
      </w:hyperlink>
      <w:r>
        <w:t xml:space="preserve"> for more information.</w:t>
      </w:r>
    </w:p>
    <w:p>
      <w:pPr>
        <w:pStyle w:val="Normal"/>
      </w:pPr>
      <w:r>
        <w:t xml:space="preserve">Platform-specific information is best accessed using the </w:t>
      </w:r>
      <w:r>
        <w:rPr>
          <w:rStyle w:val="Text0"/>
        </w:rPr>
        <w:t>platform</w:t>
      </w:r>
      <w:r>
        <w:t xml:space="preserve"> module, which we do not cover in this book; see the </w:t>
      </w:r>
      <w:hyperlink r:id="rId299">
        <w:r>
          <w:rPr>
            <w:rStyle w:val="Text1"/>
          </w:rPr>
          <w:t>online docs</w:t>
        </w:r>
      </w:hyperlink>
      <w:r>
        <w:t xml:space="preserve"> for details on this module.</w:t>
      </w:r>
    </w:p>
    <w:tbl>
      <w:tblPr>
        <w:tblW w:type="auto" w:w="0"/>
      </w:tblPr>
      <w:tr>
        <w:tc>
          <w:tcPr>
            <w:tcW w:type="pct" w:w="1000"/>
            <w:tcMar>
              <w:left w:type="dxa" w:w="200"/>
              <w:top w:type="dxa" w:w="200"/>
              <w:right w:type="dxa" w:w="200"/>
              <w:bottom w:type="dxa" w:w="200"/>
            </w:tcMar>
          </w:tcPr>
          <w:p>
            <w:bookmarkStart w:id="2096" w:name="Table_8_3__Functions_and_attribu"/>
            <w:pPr>
              <w:pStyle w:val="Para 011"/>
            </w:pPr>
            <w:r>
              <w:rPr>
                <w:rStyle w:val="Text117"/>
              </w:rPr>
              <w:t/>
            </w:r>
            <w:r>
              <w:t xml:space="preserve">Table 8-3. </w:t>
              <w:t xml:space="preserve">Functions and attributes of the </w:t>
            </w:r>
            <w:r>
              <w:rPr>
                <w:rStyle w:val="Text0"/>
              </w:rPr>
              <w:t>sys</w:t>
            </w:r>
            <w:r>
              <w:t xml:space="preserve"> module</w:t>
            </w:r>
            <w:bookmarkEnd w:id="2096"/>
          </w:p>
          <w:p>
            <w:pPr>
              <w:pStyle w:val="Para 001"/>
            </w:pPr>
            <w:r>
              <w:t>argv</w:t>
            </w:r>
          </w:p>
        </w:tc>
        <w:tc>
          <w:tcPr>
            <w:tcW w:type="auto" w:w="0"/>
            <w:tcMar>
              <w:left w:type="dxa" w:w="200"/>
              <w:top w:type="dxa" w:w="200"/>
              <w:right w:type="dxa" w:w="200"/>
              <w:bottom w:type="dxa" w:w="200"/>
            </w:tcMar>
          </w:tcPr>
          <w:p>
            <w:pPr>
              <w:pStyle w:val="Para 002"/>
            </w:pPr>
            <w:r>
              <w:t>The</w:t>
            </w:r>
            <w:r>
              <w:rPr>
                <w:rStyle w:val="Text111"/>
              </w:rPr>
              <w:bookmarkStart w:id="2097" w:name="idm45965215140064"/>
              <w:t/>
              <w:bookmarkEnd w:id="2097"/>
            </w:r>
            <w:r>
              <w:t xml:space="preserve"> list of command-line arguments passed to the main script. </w:t>
            </w:r>
            <w:r>
              <w:rPr>
                <w:rStyle w:val="Text0"/>
              </w:rPr>
              <w:t>argv[0]</w:t>
            </w:r>
            <w:r>
              <w:t xml:space="preserve"> is the name of the main script,</w:t>
            </w:r>
            <w:hyperlink w:anchor="a_It_could__of_course__also_be_a">
              <w:r>
                <w:rPr>
                  <w:rStyle w:val="Text41"/>
                </w:rPr>
                <w:bookmarkStart w:id="2098" w:name="a_3"/>
                <w:t>a</w:t>
                <w:bookmarkEnd w:id="2098"/>
              </w:r>
            </w:hyperlink>
            <w:r>
              <w:t xml:space="preserve"> or </w:t>
            </w:r>
            <w:r>
              <w:rPr>
                <w:rStyle w:val="Text0"/>
              </w:rPr>
              <w:t>'-c'</w:t>
            </w:r>
            <w:r>
              <w:t xml:space="preserve"> if the command line used the </w:t>
            </w:r>
            <w:r>
              <w:rPr>
                <w:rStyle w:val="Text5"/>
              </w:rPr>
              <w:t>-c</w:t>
            </w:r>
            <w:r>
              <w:t xml:space="preserve"> option. See </w:t>
            </w:r>
            <w:hyperlink w:anchor="The_argparse_Module__When_you_wr">
              <w:r>
                <w:rPr>
                  <w:rStyle w:val="Text1"/>
                </w:rPr>
                <w:t>“The argparse Module”</w:t>
              </w:r>
            </w:hyperlink>
            <w:r>
              <w:t xml:space="preserve"> for one good way to use </w:t>
            </w:r>
            <w:r>
              <w:rPr>
                <w:rStyle w:val="Text0"/>
              </w:rPr>
              <w:t>sys.argv</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audit</w:t>
            </w:r>
          </w:p>
        </w:tc>
        <w:tc>
          <w:tcPr>
            <w:tcW w:type="auto" w:w="0"/>
            <w:shd w:val="clear" w:color="auto" w:fill="EEF2F6"/>
            <w:tcMar>
              <w:left w:type="dxa" w:w="200"/>
              <w:top w:type="dxa" w:w="200"/>
              <w:right w:type="dxa" w:w="200"/>
              <w:bottom w:type="dxa" w:w="200"/>
            </w:tcMar>
          </w:tcPr>
          <w:p>
            <w:pPr>
              <w:pStyle w:val="Para 002"/>
            </w:pPr>
            <w:r>
              <w:rPr>
                <w:rStyle w:val="Text0"/>
              </w:rPr>
              <w:t>audit(</w:t>
            </w:r>
            <w:r>
              <w:rPr>
                <w:rStyle w:val="Text3"/>
              </w:rPr>
              <w:t>event</w:t>
            </w:r>
            <w:r>
              <w:rPr>
                <w:rStyle w:val="Text0"/>
              </w:rPr>
              <w:t>, /, *</w:t>
            </w:r>
            <w:r>
              <w:rPr>
                <w:rStyle w:val="Text3"/>
              </w:rPr>
              <w:t>args</w:t>
            </w:r>
            <w:r>
              <w:rPr>
                <w:rStyle w:val="Text0"/>
              </w:rPr>
              <w:t>)</w:t>
              <w:br w:clear="none"/>
            </w:r>
            <w:r>
              <w:t xml:space="preserve"> Raises</w:t>
            </w:r>
            <w:r>
              <w:rPr>
                <w:rStyle w:val="Text111"/>
              </w:rPr>
              <w:bookmarkStart w:id="2099" w:name="idm45965215130224"/>
              <w:t/>
              <w:bookmarkEnd w:id="2099"/>
            </w:r>
            <w:r>
              <w:t xml:space="preserve"> an </w:t>
            </w:r>
            <w:r>
              <w:rPr>
                <w:rStyle w:val="Text4"/>
              </w:rPr>
              <w:t>audit event</w:t>
            </w:r>
            <w:r>
              <w:t xml:space="preserve"> whose name is </w:t>
            </w:r>
            <w:r>
              <w:rPr>
                <w:rStyle w:val="Text0"/>
              </w:rPr>
              <w:t>str</w:t>
            </w:r>
            <w:r>
              <w:t xml:space="preserve"> </w:t>
            </w:r>
            <w:r>
              <w:rPr>
                <w:rStyle w:val="Text3"/>
              </w:rPr>
              <w:t>event</w:t>
            </w:r>
            <w:r>
              <w:t xml:space="preserve"> and whose arguments are </w:t>
            </w:r>
            <w:r>
              <w:rPr>
                <w:rStyle w:val="Text3"/>
              </w:rPr>
              <w:t>args</w:t>
            </w:r>
            <w:r>
              <w:t xml:space="preserve">. The rationale for Python’s audit system is laid out in exhaustive detail in </w:t>
            </w:r>
            <w:hyperlink r:id="rId300">
              <w:r>
                <w:rPr>
                  <w:rStyle w:val="Text1"/>
                </w:rPr>
                <w:t>PEP 578</w:t>
              </w:r>
            </w:hyperlink>
            <w:r>
              <w:t xml:space="preserve">; Python itself raises the large variety of events listed in the </w:t>
            </w:r>
            <w:hyperlink r:id="rId301">
              <w:r>
                <w:rPr>
                  <w:rStyle w:val="Text1"/>
                </w:rPr>
                <w:t>online docs</w:t>
              </w:r>
            </w:hyperlink>
            <w:r>
              <w:t xml:space="preserve">. To </w:t>
            </w:r>
            <w:r>
              <w:rPr>
                <w:rStyle w:val="Text4"/>
              </w:rPr>
              <w:t>listen</w:t>
            </w:r>
            <w:r>
              <w:t xml:space="preserve"> for events, call </w:t>
            </w:r>
            <w:r>
              <w:rPr>
                <w:rStyle w:val="Text0"/>
              </w:rPr>
              <w:t>sys.addaudithook(</w:t>
            </w:r>
            <w:r>
              <w:rPr>
                <w:rStyle w:val="Text3"/>
              </w:rPr>
              <w:t>hook</w:t>
            </w:r>
            <w:r>
              <w:rPr>
                <w:rStyle w:val="Text0"/>
              </w:rPr>
              <w:t>)</w:t>
            </w:r>
            <w:r>
              <w:t xml:space="preserve">, where </w:t>
            </w:r>
            <w:r>
              <w:rPr>
                <w:rStyle w:val="Text3"/>
              </w:rPr>
              <w:t>hook</w:t>
            </w:r>
            <w:r>
              <w:t xml:space="preserve"> is a callable whose arguments are a </w:t>
            </w:r>
            <w:r>
              <w:rPr>
                <w:rStyle w:val="Text0"/>
              </w:rPr>
              <w:t>str</w:t>
            </w:r>
            <w:r>
              <w:t xml:space="preserve">, the event’s name, followed by arbitrary positional arguments. For more details, see the </w:t>
            </w:r>
            <w:hyperlink r:id="rId302">
              <w:r>
                <w:rPr>
                  <w:rStyle w:val="Text1"/>
                </w:rPr>
                <w:t>docs</w:t>
              </w:r>
            </w:hyperlink>
            <w:r>
              <w:t>.</w:t>
            </w:r>
          </w:p>
        </w:tc>
      </w:tr>
    </w:tbl>
    <w:tbl>
      <w:tblPr>
        <w:tblW w:type="auto" w:w="0"/>
      </w:tblPr>
      <w:tr>
        <w:tc>
          <w:tcPr>
            <w:tcW w:type="auto" w:w="0"/>
            <w:tcMar>
              <w:left w:type="dxa" w:w="200"/>
              <w:top w:type="dxa" w:w="200"/>
              <w:right w:type="dxa" w:w="200"/>
              <w:bottom w:type="dxa" w:w="200"/>
            </w:tcMar>
          </w:tcPr>
          <w:p>
            <w:pPr>
              <w:pStyle w:val="Para 001"/>
            </w:pPr>
            <w:r>
              <w:t>buil⁠t⁠i⁠n⁠_​m⁠o⁠d⁠ule_names</w:t>
            </w:r>
          </w:p>
        </w:tc>
        <w:tc>
          <w:tcPr>
            <w:tcW w:type="auto" w:w="0"/>
            <w:tcMar>
              <w:left w:type="dxa" w:w="200"/>
              <w:top w:type="dxa" w:w="200"/>
              <w:right w:type="dxa" w:w="200"/>
              <w:bottom w:type="dxa" w:w="200"/>
            </w:tcMar>
          </w:tcPr>
          <w:p>
            <w:pPr>
              <w:pStyle w:val="Para 002"/>
            </w:pPr>
            <w:r>
              <w:t xml:space="preserve">A tuple of </w:t>
            </w:r>
            <w:r>
              <w:rPr>
                <w:rStyle w:val="Text0"/>
              </w:rPr>
              <w:t>str</w:t>
            </w:r>
            <w:r>
              <w:t>s: the names of all the modules compiled into this Python interpreter.</w:t>
            </w:r>
          </w:p>
        </w:tc>
      </w:tr>
    </w:tbl>
    <w:tbl>
      <w:tblPr>
        <w:tblW w:type="auto" w:w="0"/>
      </w:tblPr>
      <w:tr>
        <w:tc>
          <w:tcPr>
            <w:tcW w:type="auto" w:w="0"/>
            <w:shd w:val="clear" w:color="auto" w:fill="EEF2F6"/>
            <w:tcMar>
              <w:left w:type="dxa" w:w="200"/>
              <w:top w:type="dxa" w:w="200"/>
              <w:right w:type="dxa" w:w="200"/>
              <w:bottom w:type="dxa" w:w="200"/>
            </w:tcMar>
          </w:tcPr>
          <w:p>
            <w:pPr>
              <w:pStyle w:val="Para 001"/>
            </w:pPr>
            <w:r>
              <w:t>displayhook</w:t>
            </w:r>
          </w:p>
        </w:tc>
        <w:tc>
          <w:tcPr>
            <w:tcW w:type="auto" w:w="0"/>
            <w:shd w:val="clear" w:color="auto" w:fill="EEF2F6"/>
            <w:tcMar>
              <w:left w:type="dxa" w:w="200"/>
              <w:top w:type="dxa" w:w="200"/>
              <w:right w:type="dxa" w:w="200"/>
              <w:bottom w:type="dxa" w:w="200"/>
            </w:tcMar>
          </w:tcPr>
          <w:p>
            <w:pPr>
              <w:pStyle w:val="Para 002"/>
            </w:pPr>
            <w:r>
              <w:rPr>
                <w:rStyle w:val="Text0"/>
              </w:rPr>
              <w:t>displayhook(</w:t>
            </w:r>
            <w:r>
              <w:rPr>
                <w:rStyle w:val="Text3"/>
              </w:rPr>
              <w:t>value</w:t>
            </w:r>
            <w:r>
              <w:rPr>
                <w:rStyle w:val="Text0"/>
              </w:rPr>
              <w:t>, /)</w:t>
              <w:br w:clear="none"/>
            </w:r>
            <w:r>
              <w:t xml:space="preserve"> In</w:t>
            </w:r>
            <w:r>
              <w:rPr>
                <w:rStyle w:val="Text111"/>
              </w:rPr>
              <w:bookmarkStart w:id="2100" w:name="idm45965215115120"/>
              <w:t/>
              <w:bookmarkEnd w:id="2100"/>
            </w:r>
            <w:r>
              <w:t xml:space="preserve"> interactive sessions, the Python interpreter calls </w:t>
            </w:r>
            <w:r>
              <w:rPr>
                <w:rStyle w:val="Text0"/>
              </w:rPr>
              <w:t>displayhook</w:t>
            </w:r>
            <w:r>
              <w:t xml:space="preserve">, passing it the result of each expression statement you enter. The default </w:t>
            </w:r>
            <w:r>
              <w:rPr>
                <w:rStyle w:val="Text0"/>
              </w:rPr>
              <w:t>displayhook</w:t>
            </w:r>
            <w:r>
              <w:t xml:space="preserve"> does nothing when </w:t>
            </w:r>
            <w:r>
              <w:rPr>
                <w:rStyle w:val="Text3"/>
              </w:rPr>
              <w:t>value</w:t>
            </w:r>
            <w:r>
              <w:t xml:space="preserve"> is </w:t>
            </w:r>
            <w:r>
              <w:rPr>
                <w:rStyle w:val="Text5"/>
              </w:rPr>
              <w:t>None</w:t>
            </w:r>
            <w:r>
              <w:t xml:space="preserve">; otherwise, it saves </w:t>
            </w:r>
            <w:r>
              <w:rPr>
                <w:rStyle w:val="Text3"/>
              </w:rPr>
              <w:t>value</w:t>
            </w:r>
            <w:r>
              <w:t xml:space="preserve"> in the built-in variable whose name is </w:t>
            </w:r>
            <w:r>
              <w:rPr>
                <w:rStyle w:val="Text0"/>
              </w:rPr>
              <w:t>_</w:t>
            </w:r>
            <w:r>
              <w:t xml:space="preserve"> (an underscore) and displays it via </w:t>
            </w:r>
            <w:r>
              <w:rPr>
                <w:rStyle w:val="Text0"/>
              </w:rPr>
              <w:t>repr</w:t>
            </w:r>
            <w:r>
              <w:t xml:space="preserve">: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_default_sys_displayhook</w:t>
              <w:br w:clear="none"/>
            </w:r>
            <w:r>
              <w:rPr>
                <w:rStyle w:val="Text7"/>
              </w:rPr>
              <w:t xml:space="preserve">(</w:t>
              <w:br w:clear="none"/>
            </w:r>
            <w:r>
              <w:t xml:space="preserve">value</w:t>
              <w:br w:clear="none"/>
            </w:r>
            <w:r>
              <w:rPr>
                <w:rStyle w:val="Text7"/>
              </w:rPr>
              <w:t xml:space="preserve">,</w:t>
              <w:br w:clear="none"/>
            </w:r>
            <w:r>
              <w:rPr>
                <w:rStyle w:val="Text6"/>
              </w:rPr>
              <w:t xml:space="preserve"> </w:t>
              <w:br w:clear="none"/>
            </w:r>
            <w:r>
              <w:rPr>
                <w:rStyle w:val="Text13"/>
              </w:rPr>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value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t xml:space="preserve">__builtins__</w:t>
              <w:br w:clear="none"/>
            </w:r>
            <w:r>
              <w:rPr>
                <w:rStyle w:val="Text13"/>
              </w:rPr>
              <w:t xml:space="preserve">.</w:t>
              <w:br w:clear="none"/>
            </w:r>
            <w:r>
              <w:t xml:space="preserve">_</w:t>
              <w:br w:clear="none"/>
            </w:r>
            <w:r>
              <w:rPr>
                <w:rStyle w:val="Text6"/>
              </w:rPr>
              <w:t xml:space="preserve"> </w:t>
              <w:br w:clear="none"/>
            </w:r>
            <w:r>
              <w:rPr>
                <w:rStyle w:val="Text13"/>
              </w:rPr>
              <w:t xml:space="preserve">=</w:t>
              <w:br w:clear="none"/>
            </w:r>
            <w:r>
              <w:rPr>
                <w:rStyle w:val="Text6"/>
              </w:rPr>
              <w:t xml:space="preserve"> </w:t>
              <w:br w:clear="none"/>
            </w:r>
            <w:r>
              <w:t xml:space="preserve">value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16"/>
              </w:rPr>
              <w:t xml:space="preserve">repr</w:t>
              <w:br w:clear="none"/>
            </w:r>
            <w:r>
              <w:rPr>
                <w:rStyle w:val="Text7"/>
              </w:rPr>
              <w:t xml:space="preserve">(</w:t>
              <w:br w:clear="none"/>
            </w:r>
            <w:r>
              <w:t xml:space="preserve">value</w:t>
              <w:br w:clear="none"/>
            </w:r>
            <w:r>
              <w:rPr>
                <w:rStyle w:val="Text7"/>
              </w:rPr>
              <w:t xml:space="preserve">)</w:t>
              <w:br w:clear="none"/>
              <w:t xml:space="preserve">)</w:t>
              <w:br w:clear="none"/>
            </w:r>
          </w:p>
          <w:p>
            <w:pPr>
              <w:pStyle w:val="Para 022"/>
            </w:pPr>
            <w:r>
              <w:t xml:space="preserve"> You can rebind </w:t>
            </w:r>
            <w:r>
              <w:rPr>
                <w:rStyle w:val="Text0"/>
              </w:rPr>
              <w:t>sys.displayhook</w:t>
            </w:r>
            <w:r>
              <w:t xml:space="preserve"> in order to change interactive behavior. The original value is available as </w:t>
            </w:r>
            <w:r>
              <w:rPr>
                <w:rStyle w:val="Text0"/>
              </w:rPr>
              <w:t>sys.__displayhook__</w:t>
            </w:r>
            <w:r>
              <w:t>.</w:t>
            </w:r>
          </w:p>
        </w:tc>
      </w:tr>
    </w:tbl>
    <w:tbl>
      <w:tblPr>
        <w:tblW w:type="auto" w:w="0"/>
      </w:tblPr>
      <w:tr>
        <w:tc>
          <w:tcPr>
            <w:tcW w:type="auto" w:w="0"/>
            <w:tcMar>
              <w:left w:type="dxa" w:w="200"/>
              <w:top w:type="dxa" w:w="200"/>
              <w:right w:type="dxa" w:w="200"/>
              <w:bottom w:type="dxa" w:w="200"/>
            </w:tcMar>
          </w:tcPr>
          <w:p>
            <w:pPr>
              <w:pStyle w:val="Para 001"/>
            </w:pPr>
            <w:r>
              <w:t>dont_wri⁠t⁠e⁠_​b⁠y⁠t⁠ecode</w:t>
            </w:r>
          </w:p>
        </w:tc>
        <w:tc>
          <w:tcPr>
            <w:tcW w:type="auto" w:w="0"/>
            <w:tcMar>
              <w:left w:type="dxa" w:w="200"/>
              <w:top w:type="dxa" w:w="200"/>
              <w:right w:type="dxa" w:w="200"/>
              <w:bottom w:type="dxa" w:w="200"/>
            </w:tcMar>
          </w:tcPr>
          <w:p>
            <w:pPr>
              <w:pStyle w:val="Para 002"/>
            </w:pPr>
            <w:r>
              <w:t xml:space="preserve">When </w:t>
            </w:r>
            <w:r>
              <w:rPr>
                <w:rStyle w:val="Text5"/>
              </w:rPr>
              <w:t>True</w:t>
            </w:r>
            <w:r>
              <w:t xml:space="preserve">, Python does not write a bytecode file (with extension </w:t>
            </w:r>
            <w:r>
              <w:rPr>
                <w:rStyle w:val="Text4"/>
              </w:rPr>
              <w:t>.pyc</w:t>
            </w:r>
            <w:r>
              <w:t xml:space="preserve">) to disk when it imports a source file (with extension </w:t>
            </w:r>
            <w:r>
              <w:rPr>
                <w:rStyle w:val="Text4"/>
              </w:rPr>
              <w:t>.py</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excepthook</w:t>
            </w:r>
          </w:p>
        </w:tc>
        <w:tc>
          <w:tcPr>
            <w:tcW w:type="auto" w:w="0"/>
            <w:shd w:val="clear" w:color="auto" w:fill="EEF2F6"/>
            <w:tcMar>
              <w:left w:type="dxa" w:w="200"/>
              <w:top w:type="dxa" w:w="200"/>
              <w:right w:type="dxa" w:w="200"/>
              <w:bottom w:type="dxa" w:w="200"/>
            </w:tcMar>
          </w:tcPr>
          <w:p>
            <w:pPr>
              <w:pStyle w:val="Para 002"/>
            </w:pPr>
            <w:r>
              <w:rPr>
                <w:rStyle w:val="Text0"/>
              </w:rPr>
              <w:t>excepthook(</w:t>
            </w:r>
            <w:r>
              <w:rPr>
                <w:rStyle w:val="Text3"/>
              </w:rPr>
              <w:t>type</w:t>
            </w:r>
            <w:r>
              <w:rPr>
                <w:rStyle w:val="Text0"/>
              </w:rPr>
              <w:t>,</w:t>
            </w:r>
            <w:r>
              <w:t xml:space="preserve"> </w:t>
            </w:r>
            <w:r>
              <w:rPr>
                <w:rStyle w:val="Text3"/>
              </w:rPr>
              <w:t>value</w:t>
            </w:r>
            <w:r>
              <w:rPr>
                <w:rStyle w:val="Text0"/>
              </w:rPr>
              <w:t>,</w:t>
            </w:r>
            <w:r>
              <w:t xml:space="preserve"> </w:t>
            </w:r>
            <w:r>
              <w:rPr>
                <w:rStyle w:val="Text3"/>
              </w:rPr>
              <w:t>traceback</w:t>
            </w:r>
            <w:r>
              <w:rPr>
                <w:rStyle w:val="Text0"/>
              </w:rPr>
              <w:t>, /)</w:t>
              <w:br w:clear="none"/>
            </w:r>
            <w:r>
              <w:t xml:space="preserve"> When</w:t>
            </w:r>
            <w:r>
              <w:rPr>
                <w:rStyle w:val="Text111"/>
              </w:rPr>
              <w:bookmarkStart w:id="2101" w:name="idm45965215041488"/>
              <w:t/>
              <w:bookmarkEnd w:id="2101"/>
            </w:r>
            <w:r>
              <w:t xml:space="preserve"> an exception is not caught by any handler, propagating all the way up the call stack, Python calls </w:t>
            </w:r>
            <w:r>
              <w:rPr>
                <w:rStyle w:val="Text0"/>
              </w:rPr>
              <w:t>excepthook</w:t>
            </w:r>
            <w:r>
              <w:t xml:space="preserve">, passing it the exception class, object, and traceback, as covered in </w:t>
            </w:r>
            <w:hyperlink w:anchor="Exception_Propagation__When_an_e">
              <w:r>
                <w:rPr>
                  <w:rStyle w:val="Text1"/>
                </w:rPr>
                <w:t>“Exception Propagation”</w:t>
              </w:r>
            </w:hyperlink>
            <w:r>
              <w:t xml:space="preserve">. The default </w:t>
            </w:r>
            <w:r>
              <w:rPr>
                <w:rStyle w:val="Text0"/>
              </w:rPr>
              <w:t>excepthook</w:t>
            </w:r>
            <w:r>
              <w:t xml:space="preserve"> displays the error and traceback. You can rebind </w:t>
            </w:r>
            <w:r>
              <w:rPr>
                <w:rStyle w:val="Text0"/>
              </w:rPr>
              <w:t>sys.excepthook</w:t>
            </w:r>
            <w:r>
              <w:t xml:space="preserve"> to change how uncaught exceptions (just before Python returns to the interactive loop or terminates) get displayed and/or logged. The original value is available as </w:t>
            </w:r>
            <w:r>
              <w:rPr>
                <w:rStyle w:val="Text0"/>
              </w:rPr>
              <w:t>sys.__excepthook__</w:t>
            </w:r>
            <w:r>
              <w:t>.</w:t>
            </w:r>
          </w:p>
        </w:tc>
      </w:tr>
    </w:tbl>
    <w:tbl>
      <w:tblPr>
        <w:tblW w:type="auto" w:w="0"/>
      </w:tblPr>
      <w:tr>
        <w:tc>
          <w:tcPr>
            <w:tcW w:type="auto" w:w="0"/>
            <w:tcMar>
              <w:left w:type="dxa" w:w="200"/>
              <w:top w:type="dxa" w:w="200"/>
              <w:right w:type="dxa" w:w="200"/>
              <w:bottom w:type="dxa" w:w="200"/>
            </w:tcMar>
          </w:tcPr>
          <w:p>
            <w:pPr>
              <w:pStyle w:val="Para 001"/>
            </w:pPr>
            <w:r>
              <w:t>exception</w:t>
            </w:r>
          </w:p>
        </w:tc>
        <w:tc>
          <w:tcPr>
            <w:tcW w:type="auto" w:w="0"/>
            <w:tcMar>
              <w:left w:type="dxa" w:w="200"/>
              <w:top w:type="dxa" w:w="200"/>
              <w:right w:type="dxa" w:w="200"/>
              <w:bottom w:type="dxa" w:w="200"/>
            </w:tcMar>
          </w:tcPr>
          <w:p>
            <w:pPr>
              <w:pStyle w:val="Para 002"/>
            </w:pPr>
            <w:r>
              <w:rPr>
                <w:rStyle w:val="Text0"/>
              </w:rPr>
              <w:t>exception()</w:t>
              <w:br w:clear="none"/>
            </w:r>
            <w:r>
              <w:t xml:space="preserve"> </w:t>
            </w:r>
            <w:r>
              <w:rPr>
                <w:rStyle w:val="Text34"/>
              </w:rPr>
              <w:t>3.11+</w:t>
            </w:r>
            <w:r>
              <w:t xml:space="preserve"> When</w:t>
            </w:r>
            <w:r>
              <w:rPr>
                <w:rStyle w:val="Text111"/>
              </w:rPr>
              <w:bookmarkStart w:id="2102" w:name="idm45965215033632"/>
              <w:t/>
              <w:bookmarkEnd w:id="2102"/>
            </w:r>
            <w:r>
              <w:t xml:space="preserve"> called within an </w:t>
            </w:r>
            <w:r>
              <w:rPr>
                <w:rStyle w:val="Text5"/>
              </w:rPr>
              <w:t>except</w:t>
            </w:r>
            <w:r>
              <w:t xml:space="preserve"> clause, returns the current exception instance (equivalent to </w:t>
            </w:r>
            <w:r>
              <w:rPr>
                <w:rStyle w:val="Text0"/>
              </w:rPr>
              <w:t>sys.exc_info()[1]</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exc_info</w:t>
            </w:r>
          </w:p>
        </w:tc>
        <w:tc>
          <w:tcPr>
            <w:tcW w:type="auto" w:w="0"/>
            <w:shd w:val="clear" w:color="auto" w:fill="EEF2F6"/>
            <w:tcMar>
              <w:left w:type="dxa" w:w="200"/>
              <w:top w:type="dxa" w:w="200"/>
              <w:right w:type="dxa" w:w="200"/>
              <w:bottom w:type="dxa" w:w="200"/>
            </w:tcMar>
          </w:tcPr>
          <w:p>
            <w:pPr>
              <w:pStyle w:val="Para 002"/>
            </w:pPr>
            <w:r>
              <w:rPr>
                <w:rStyle w:val="Text0"/>
              </w:rPr>
              <w:t>exc_info()</w:t>
              <w:br w:clear="none"/>
            </w:r>
            <w:r>
              <w:t xml:space="preserve"> When</w:t>
            </w:r>
            <w:r>
              <w:rPr>
                <w:rStyle w:val="Text111"/>
              </w:rPr>
              <w:bookmarkStart w:id="2103" w:name="idm45965215028192"/>
              <w:t/>
              <w:bookmarkEnd w:id="2103"/>
            </w:r>
            <w:r>
              <w:t xml:space="preserve"> the current thread is handling an exception, </w:t>
            </w:r>
            <w:r>
              <w:rPr>
                <w:rStyle w:val="Text0"/>
              </w:rPr>
              <w:t>exc_info</w:t>
            </w:r>
            <w:r>
              <w:t xml:space="preserve"> returns a tuple with three items: the class, object, and traceback for the exception. When the thread is not handling an exception, </w:t>
            </w:r>
            <w:r>
              <w:rPr>
                <w:rStyle w:val="Text0"/>
              </w:rPr>
              <w:t>exc_info</w:t>
            </w:r>
            <w:r>
              <w:t xml:space="preserve"> returns </w:t>
            </w:r>
            <w:r>
              <w:rPr>
                <w:rStyle w:val="Text0"/>
              </w:rPr>
              <w:t>(</w:t>
            </w:r>
            <w:r>
              <w:rPr>
                <w:rStyle w:val="Text5"/>
              </w:rPr>
              <w:t>None</w:t>
            </w:r>
            <w:r>
              <w:rPr>
                <w:rStyle w:val="Text0"/>
              </w:rPr>
              <w:t>,</w:t>
            </w:r>
            <w:r>
              <w:t xml:space="preserve"> </w:t>
            </w:r>
            <w:r>
              <w:rPr>
                <w:rStyle w:val="Text5"/>
              </w:rPr>
              <w:t>None</w:t>
            </w:r>
            <w:r>
              <w:rPr>
                <w:rStyle w:val="Text0"/>
              </w:rPr>
              <w:t>,</w:t>
            </w:r>
            <w:r>
              <w:t xml:space="preserve"> </w:t>
            </w:r>
            <w:r>
              <w:rPr>
                <w:rStyle w:val="Text5"/>
              </w:rPr>
              <w:t>None</w:t>
            </w:r>
            <w:r>
              <w:rPr>
                <w:rStyle w:val="Text0"/>
              </w:rPr>
              <w:t>)</w:t>
            </w:r>
            <w:r>
              <w:t xml:space="preserve">. To display information from a traceback, see </w:t>
            </w:r>
            <w:hyperlink w:anchor="The_traceback_Module__The_traceb">
              <w:r>
                <w:rPr>
                  <w:rStyle w:val="Text1"/>
                </w:rPr>
                <w:t>“The traceback Module”</w:t>
              </w:r>
            </w:hyperlink>
            <w:r>
              <w:t xml:space="preserve">. </w:t>
            </w:r>
          </w:p>
          <w:p>
            <w:pPr>
              <w:keepNext/>
              <w:pStyle w:val="Para 050"/>
              <w:keepLines w:val="on"/>
            </w:pPr>
            <w:r>
              <w:t>Holding On to a Traceback Object Can Make Some Garbage Uncollectable</w:t>
            </w:r>
          </w:p>
          <w:p>
            <w:pPr>
              <w:pStyle w:val="Para 041"/>
              <w:keepLines w:val="on"/>
            </w:pPr>
            <w:r>
              <w:t xml:space="preserve">A traceback object indirectly holds references to all variables on the call stack; if you hold a reference to the traceback (e.g., indirectly, by binding a variable to the tuple that </w:t>
            </w:r>
            <w:r>
              <w:rPr>
                <w:rStyle w:val="Text0"/>
              </w:rPr>
              <w:t>exc_info</w:t>
            </w:r>
            <w:r>
              <w:t xml:space="preserve"> returns), Python must keep in memory data that might otherwise be garbage-collected. Make sure that any binding to the traceback object is of short duration, for example with a </w:t>
            </w:r>
            <w:r>
              <w:rPr>
                <w:rStyle w:val="Text5"/>
              </w:rPr>
              <w:t>try</w:t>
            </w:r>
            <w:r>
              <w:rPr>
                <w:rStyle w:val="Text0"/>
              </w:rPr>
              <w:t>/</w:t>
            </w:r>
            <w:r>
              <w:rPr>
                <w:rStyle w:val="Text5"/>
              </w:rPr>
              <w:t>finally</w:t>
            </w:r>
            <w:r>
              <w:t xml:space="preserve"> statement (discussed in </w:t>
            </w:r>
            <w:hyperlink w:anchor="try_finally__Here_s_the_syntax_f">
              <w:r>
                <w:rPr>
                  <w:rStyle w:val="Text1"/>
                </w:rPr>
                <w:t>“try/finally”</w:t>
              </w:r>
            </w:hyperlink>
            <w:r>
              <w:t xml:space="preserve">). If you must hold a reference to an exception </w:t>
            </w:r>
            <w:r>
              <w:rPr>
                <w:rStyle w:val="Text3"/>
              </w:rPr>
              <w:t>e</w:t>
            </w:r>
            <w:r>
              <w:t xml:space="preserve">, clear </w:t>
            </w:r>
            <w:r>
              <w:rPr>
                <w:rStyle w:val="Text3"/>
              </w:rPr>
              <w:t>e</w:t>
            </w:r>
            <w:r>
              <w:t xml:space="preserve">’s traceback: </w:t>
            </w:r>
            <w:r>
              <w:rPr>
                <w:rStyle w:val="Text3"/>
              </w:rPr>
              <w:t>e</w:t>
            </w:r>
            <w:r>
              <w:rPr>
                <w:rStyle w:val="Text0"/>
              </w:rPr>
              <w:t>.__traceback__=</w:t>
            </w:r>
            <w:r>
              <w:rPr>
                <w:rStyle w:val="Text5"/>
              </w:rPr>
              <w:t>None</w:t>
            </w:r>
            <w:r>
              <w:t>.</w:t>
            </w:r>
            <w:hyperlink w:anchor="b_One_of_the_book_s_authors_had">
              <w:r>
                <w:rPr>
                  <w:rStyle w:val="Text96"/>
                </w:rPr>
                <w:bookmarkStart w:id="2104" w:name="b_2"/>
                <w:t>b</w:t>
                <w:bookmarkEnd w:id="2104"/>
              </w:r>
            </w:hyperlink>
          </w:p>
        </w:tc>
      </w:tr>
    </w:tbl>
    <w:tbl>
      <w:tblPr>
        <w:tblW w:type="auto" w:w="0"/>
      </w:tblPr>
      <w:tr>
        <w:tc>
          <w:tcPr>
            <w:tcW w:type="auto" w:w="0"/>
            <w:tcMar>
              <w:left w:type="dxa" w:w="200"/>
              <w:top w:type="dxa" w:w="200"/>
              <w:right w:type="dxa" w:w="200"/>
              <w:bottom w:type="dxa" w:w="200"/>
            </w:tcMar>
          </w:tcPr>
          <w:p>
            <w:pPr>
              <w:pStyle w:val="Para 001"/>
            </w:pPr>
            <w:r>
              <w:t>exit</w:t>
            </w:r>
          </w:p>
        </w:tc>
        <w:tc>
          <w:tcPr>
            <w:tcW w:type="auto" w:w="0"/>
            <w:tcMar>
              <w:left w:type="dxa" w:w="200"/>
              <w:top w:type="dxa" w:w="200"/>
              <w:right w:type="dxa" w:w="200"/>
              <w:bottom w:type="dxa" w:w="200"/>
            </w:tcMar>
          </w:tcPr>
          <w:p>
            <w:pPr>
              <w:pStyle w:val="Para 002"/>
            </w:pPr>
            <w:r>
              <w:rPr>
                <w:rStyle w:val="Text0"/>
              </w:rPr>
              <w:t>exit(</w:t>
            </w:r>
            <w:r>
              <w:rPr>
                <w:rStyle w:val="Text3"/>
              </w:rPr>
              <w:t>arg</w:t>
            </w:r>
            <w:r>
              <w:rPr>
                <w:rStyle w:val="Text0"/>
              </w:rPr>
              <w:t>=0, /)</w:t>
              <w:br w:clear="none"/>
            </w:r>
            <w:r>
              <w:t xml:space="preserve"> Raises</w:t>
            </w:r>
            <w:r>
              <w:rPr>
                <w:rStyle w:val="Text111"/>
              </w:rPr>
              <w:bookmarkStart w:id="2105" w:name="idm45965215006688"/>
              <w:t/>
              <w:bookmarkEnd w:id="2105"/>
            </w:r>
            <w:r>
              <w:t xml:space="preserve"> a </w:t>
            </w:r>
            <w:r>
              <w:rPr>
                <w:rStyle w:val="Text0"/>
              </w:rPr>
              <w:t>SystemExit</w:t>
            </w:r>
            <w:r>
              <w:t xml:space="preserve"> exception, which normally terminates execution after executing cleanup handlers installed by </w:t>
            </w:r>
            <w:r>
              <w:rPr>
                <w:rStyle w:val="Text5"/>
              </w:rPr>
              <w:t>try</w:t>
            </w:r>
            <w:r>
              <w:rPr>
                <w:rStyle w:val="Text0"/>
              </w:rPr>
              <w:t>/</w:t>
            </w:r>
            <w:r>
              <w:rPr>
                <w:rStyle w:val="Text5"/>
              </w:rPr>
              <w:t>finally</w:t>
            </w:r>
            <w:r>
              <w:t xml:space="preserve"> statements, </w:t>
            </w:r>
            <w:r>
              <w:rPr>
                <w:rStyle w:val="Text5"/>
              </w:rPr>
              <w:t>with</w:t>
            </w:r>
            <w:r>
              <w:t xml:space="preserve"> statements, and the </w:t>
            </w:r>
            <w:r>
              <w:rPr>
                <w:rStyle w:val="Text0"/>
              </w:rPr>
              <w:t>atexit</w:t>
            </w:r>
            <w:r>
              <w:t xml:space="preserve"> module. When </w:t>
            </w:r>
            <w:r>
              <w:rPr>
                <w:rStyle w:val="Text3"/>
              </w:rPr>
              <w:t>arg</w:t>
            </w:r>
            <w:r>
              <w:t xml:space="preserve"> is an </w:t>
            </w:r>
            <w:r>
              <w:rPr>
                <w:rStyle w:val="Text0"/>
              </w:rPr>
              <w:t>int</w:t>
            </w:r>
            <w:r>
              <w:t xml:space="preserve">, Python uses </w:t>
            </w:r>
            <w:r>
              <w:rPr>
                <w:rStyle w:val="Text3"/>
              </w:rPr>
              <w:t>arg</w:t>
            </w:r>
            <w:r>
              <w:t xml:space="preserve"> as the program’s exit code: </w:t>
            </w:r>
            <w:r>
              <w:rPr>
                <w:rStyle w:val="Text0"/>
              </w:rPr>
              <w:t>0</w:t>
            </w:r>
            <w:r>
              <w:t xml:space="preserve"> indicates successful termination; any other value indicates unsuccessful termination of the program. Most platforms require exit codes to be between </w:t>
            </w:r>
            <w:r>
              <w:rPr>
                <w:rStyle w:val="Text0"/>
              </w:rPr>
              <w:t>0</w:t>
            </w:r>
            <w:r>
              <w:t xml:space="preserve"> and </w:t>
            </w:r>
            <w:r>
              <w:rPr>
                <w:rStyle w:val="Text0"/>
              </w:rPr>
              <w:t>127</w:t>
            </w:r>
            <w:r>
              <w:t xml:space="preserve">. When </w:t>
            </w:r>
            <w:r>
              <w:rPr>
                <w:rStyle w:val="Text3"/>
              </w:rPr>
              <w:t>arg</w:t>
            </w:r>
            <w:r>
              <w:t xml:space="preserve"> is not an </w:t>
            </w:r>
            <w:r>
              <w:rPr>
                <w:rStyle w:val="Text0"/>
              </w:rPr>
              <w:t>int</w:t>
            </w:r>
            <w:r>
              <w:t xml:space="preserve">, Python prints </w:t>
            </w:r>
            <w:r>
              <w:rPr>
                <w:rStyle w:val="Text3"/>
              </w:rPr>
              <w:t>arg</w:t>
            </w:r>
            <w:r>
              <w:t xml:space="preserve"> to </w:t>
            </w:r>
            <w:r>
              <w:rPr>
                <w:rStyle w:val="Text0"/>
              </w:rPr>
              <w:t>sys.stderr</w:t>
            </w:r>
            <w:r>
              <w:t xml:space="preserve">, and the exit code of the program is </w:t>
            </w:r>
            <w:r>
              <w:rPr>
                <w:rStyle w:val="Text0"/>
              </w:rPr>
              <w:t>1</w:t>
            </w:r>
            <w:r>
              <w:t xml:space="preserve"> (a generic “unsuccessful termination” code).</w:t>
            </w:r>
          </w:p>
        </w:tc>
      </w:tr>
    </w:tbl>
    <w:tbl>
      <w:tblPr>
        <w:tblW w:type="auto" w:w="0"/>
      </w:tblPr>
      <w:tr>
        <w:tc>
          <w:tcPr>
            <w:tcW w:type="auto" w:w="0"/>
            <w:shd w:val="clear" w:color="auto" w:fill="EEF2F6"/>
            <w:tcMar>
              <w:left w:type="dxa" w:w="200"/>
              <w:top w:type="dxa" w:w="200"/>
              <w:right w:type="dxa" w:w="200"/>
              <w:bottom w:type="dxa" w:w="200"/>
            </w:tcMar>
          </w:tcPr>
          <w:p>
            <w:pPr>
              <w:pStyle w:val="Para 001"/>
            </w:pPr>
            <w:r>
              <w:t>float_info</w:t>
            </w:r>
          </w:p>
        </w:tc>
        <w:tc>
          <w:tcPr>
            <w:tcW w:type="auto" w:w="0"/>
            <w:shd w:val="clear" w:color="auto" w:fill="EEF2F6"/>
            <w:tcMar>
              <w:left w:type="dxa" w:w="200"/>
              <w:top w:type="dxa" w:w="200"/>
              <w:right w:type="dxa" w:w="200"/>
              <w:bottom w:type="dxa" w:w="200"/>
            </w:tcMar>
          </w:tcPr>
          <w:p>
            <w:pPr>
              <w:pStyle w:val="Para 002"/>
            </w:pPr>
            <w:r>
              <w:t xml:space="preserve">A read-only object whose attributes hold low-level details about the implementation of the </w:t>
            </w:r>
            <w:r>
              <w:rPr>
                <w:rStyle w:val="Text0"/>
              </w:rPr>
              <w:t>float</w:t>
            </w:r>
            <w:r>
              <w:t xml:space="preserve"> type in this Python interpreter. See the </w:t>
            </w:r>
            <w:hyperlink r:id="rId303">
              <w:r>
                <w:rPr>
                  <w:rStyle w:val="Text1"/>
                </w:rPr>
                <w:t>online docs</w:t>
              </w:r>
            </w:hyperlink>
            <w:r>
              <w:t xml:space="preserve"> for details.</w:t>
            </w:r>
          </w:p>
        </w:tc>
      </w:tr>
    </w:tbl>
    <w:tbl>
      <w:tblPr>
        <w:tblW w:type="auto" w:w="0"/>
      </w:tblPr>
      <w:tr>
        <w:tc>
          <w:tcPr>
            <w:tcW w:type="auto" w:w="0"/>
            <w:tcMar>
              <w:left w:type="dxa" w:w="200"/>
              <w:top w:type="dxa" w:w="200"/>
              <w:right w:type="dxa" w:w="200"/>
              <w:bottom w:type="dxa" w:w="200"/>
            </w:tcMar>
          </w:tcPr>
          <w:p>
            <w:pPr>
              <w:pStyle w:val="Para 001"/>
            </w:pPr>
            <w:r>
              <w:t>g⁠e⁠t⁠r⁠e⁠c⁠u⁠r⁠s⁠i⁠o⁠n​l⁠i⁠m⁠i⁠t</w:t>
            </w:r>
          </w:p>
        </w:tc>
        <w:tc>
          <w:tcPr>
            <w:tcW w:type="auto" w:w="0"/>
            <w:tcMar>
              <w:left w:type="dxa" w:w="200"/>
              <w:top w:type="dxa" w:w="200"/>
              <w:right w:type="dxa" w:w="200"/>
              <w:bottom w:type="dxa" w:w="200"/>
            </w:tcMar>
          </w:tcPr>
          <w:p>
            <w:pPr>
              <w:pStyle w:val="Para 002"/>
            </w:pPr>
            <w:r>
              <w:rPr>
                <w:rStyle w:val="Text0"/>
              </w:rPr>
              <w:t>getrecursionlimit()</w:t>
              <w:br w:clear="none"/>
            </w:r>
            <w:r>
              <w:t xml:space="preserve"> Returns</w:t>
            </w:r>
            <w:r>
              <w:rPr>
                <w:rStyle w:val="Text111"/>
              </w:rPr>
              <w:bookmarkStart w:id="2106" w:name="idm45965214987024"/>
              <w:t/>
              <w:bookmarkEnd w:id="2106"/>
            </w:r>
            <w:r>
              <w:t xml:space="preserve"> the current limit on the depth of Python’s call stack. See also </w:t>
            </w:r>
            <w:hyperlink w:anchor="Recursion__Python_supports_recur">
              <w:r>
                <w:rPr>
                  <w:rStyle w:val="Text1"/>
                </w:rPr>
                <w:t>“Recursion”</w:t>
              </w:r>
            </w:hyperlink>
            <w:r>
              <w:t xml:space="preserve"> and </w:t>
            </w:r>
            <w:r>
              <w:rPr>
                <w:rStyle w:val="Text0"/>
              </w:rPr>
              <w:t>setrecursionlimit</w:t>
            </w:r>
            <w:r>
              <w:t xml:space="preserve"> later in this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getrefcount</w:t>
            </w:r>
          </w:p>
        </w:tc>
        <w:tc>
          <w:tcPr>
            <w:tcW w:type="auto" w:w="0"/>
            <w:shd w:val="clear" w:color="auto" w:fill="EEF2F6"/>
            <w:tcMar>
              <w:left w:type="dxa" w:w="200"/>
              <w:top w:type="dxa" w:w="200"/>
              <w:right w:type="dxa" w:w="200"/>
              <w:bottom w:type="dxa" w:w="200"/>
            </w:tcMar>
          </w:tcPr>
          <w:p>
            <w:pPr>
              <w:pStyle w:val="Para 002"/>
            </w:pPr>
            <w:r>
              <w:rPr>
                <w:rStyle w:val="Text0"/>
              </w:rPr>
              <w:t>getrefcount(</w:t>
            </w:r>
            <w:r>
              <w:rPr>
                <w:rStyle w:val="Text3"/>
              </w:rPr>
              <w:t>obj</w:t>
            </w:r>
            <w:r>
              <w:rPr>
                <w:rStyle w:val="Text0"/>
              </w:rPr>
              <w:t>, /)</w:t>
              <w:br w:clear="none"/>
            </w:r>
            <w:r>
              <w:t xml:space="preserve"> Returns</w:t>
            </w:r>
            <w:r>
              <w:rPr>
                <w:rStyle w:val="Text111"/>
              </w:rPr>
              <w:bookmarkStart w:id="2107" w:name="idm45965214981152"/>
              <w:t/>
              <w:bookmarkEnd w:id="2107"/>
            </w:r>
            <w:r>
              <w:t xml:space="preserve"> the reference count of </w:t>
            </w:r>
            <w:r>
              <w:rPr>
                <w:rStyle w:val="Text3"/>
              </w:rPr>
              <w:t>obj</w:t>
            </w:r>
            <w:r>
              <w:t xml:space="preserve">. Reference counts are covered in </w:t>
            </w:r>
            <w:hyperlink w:anchor="Garbage_Collection__Python_s_gar">
              <w:r>
                <w:rPr>
                  <w:rStyle w:val="Text1"/>
                </w:rPr>
                <w:t>“Garbage Collection”</w:t>
              </w:r>
            </w:hyperlink>
            <w:r>
              <w:t>.</w:t>
            </w:r>
          </w:p>
        </w:tc>
      </w:tr>
    </w:tbl>
    <w:tbl>
      <w:tblPr>
        <w:tblW w:type="auto" w:w="0"/>
      </w:tblPr>
      <w:tr>
        <w:tc>
          <w:tcPr>
            <w:tcW w:type="auto" w:w="0"/>
            <w:tcMar>
              <w:left w:type="dxa" w:w="200"/>
              <w:top w:type="dxa" w:w="200"/>
              <w:right w:type="dxa" w:w="200"/>
              <w:bottom w:type="dxa" w:w="200"/>
            </w:tcMar>
          </w:tcPr>
          <w:p>
            <w:pPr>
              <w:pStyle w:val="Para 001"/>
            </w:pPr>
            <w:r>
              <w:t>getsizeof</w:t>
            </w:r>
          </w:p>
        </w:tc>
        <w:tc>
          <w:tcPr>
            <w:tcW w:type="auto" w:w="0"/>
            <w:tcMar>
              <w:left w:type="dxa" w:w="200"/>
              <w:top w:type="dxa" w:w="200"/>
              <w:right w:type="dxa" w:w="200"/>
              <w:bottom w:type="dxa" w:w="200"/>
            </w:tcMar>
          </w:tcPr>
          <w:p>
            <w:pPr>
              <w:pStyle w:val="Para 002"/>
            </w:pPr>
            <w:r>
              <w:rPr>
                <w:rStyle w:val="Text0"/>
              </w:rPr>
              <w:t>getsizeof(</w:t>
            </w:r>
            <w:r>
              <w:rPr>
                <w:rStyle w:val="Text3"/>
              </w:rPr>
              <w:t>obj</w:t>
            </w:r>
            <w:r>
              <w:rPr>
                <w:rStyle w:val="Text0"/>
              </w:rPr>
              <w:t>[,</w:t>
            </w:r>
            <w:r>
              <w:t xml:space="preserve"> </w:t>
            </w:r>
            <w:r>
              <w:rPr>
                <w:rStyle w:val="Text3"/>
              </w:rPr>
              <w:t>default</w:t>
            </w:r>
            <w:r>
              <w:rPr>
                <w:rStyle w:val="Text0"/>
              </w:rPr>
              <w:t>], /)</w:t>
              <w:br w:clear="none"/>
            </w:r>
            <w:r>
              <w:t xml:space="preserve"> Returns</w:t>
            </w:r>
            <w:r>
              <w:rPr>
                <w:rStyle w:val="Text111"/>
              </w:rPr>
              <w:bookmarkStart w:id="2108" w:name="idm45965214973520"/>
              <w:t/>
              <w:bookmarkEnd w:id="2108"/>
            </w:r>
            <w:r>
              <w:t xml:space="preserve"> the size, in bytes, of </w:t>
            </w:r>
            <w:r>
              <w:rPr>
                <w:rStyle w:val="Text3"/>
              </w:rPr>
              <w:t>obj</w:t>
            </w:r>
            <w:r>
              <w:t xml:space="preserve"> (not counting any items or attributes </w:t>
            </w:r>
            <w:r>
              <w:rPr>
                <w:rStyle w:val="Text3"/>
              </w:rPr>
              <w:t>obj</w:t>
            </w:r>
            <w:r>
              <w:t xml:space="preserve"> may refer to), or </w:t>
            </w:r>
            <w:r>
              <w:rPr>
                <w:rStyle w:val="Text3"/>
              </w:rPr>
              <w:t>default</w:t>
            </w:r>
            <w:r>
              <w:t xml:space="preserve"> when </w:t>
            </w:r>
            <w:r>
              <w:rPr>
                <w:rStyle w:val="Text3"/>
              </w:rPr>
              <w:t>obj</w:t>
            </w:r>
            <w:r>
              <w:t xml:space="preserve"> does not provide a way to retrieve its size (in the latter case, when </w:t>
            </w:r>
            <w:r>
              <w:rPr>
                <w:rStyle w:val="Text3"/>
              </w:rPr>
              <w:t>default</w:t>
            </w:r>
            <w:r>
              <w:t xml:space="preserve"> is absent, </w:t>
            </w:r>
            <w:r>
              <w:rPr>
                <w:rStyle w:val="Text0"/>
              </w:rPr>
              <w:t>getsizeof</w:t>
            </w:r>
            <w:r>
              <w:t xml:space="preserve"> raises </w:t>
            </w:r>
            <w:r>
              <w:rPr>
                <w:rStyle w:val="Text0"/>
              </w:rPr>
              <w:t>TypeError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maxsize</w:t>
            </w:r>
          </w:p>
        </w:tc>
        <w:tc>
          <w:tcPr>
            <w:tcW w:type="auto" w:w="0"/>
            <w:shd w:val="clear" w:color="auto" w:fill="EEF2F6"/>
            <w:tcMar>
              <w:left w:type="dxa" w:w="200"/>
              <w:top w:type="dxa" w:w="200"/>
              <w:right w:type="dxa" w:w="200"/>
              <w:bottom w:type="dxa" w:w="200"/>
            </w:tcMar>
          </w:tcPr>
          <w:p>
            <w:pPr>
              <w:pStyle w:val="Para 002"/>
            </w:pPr>
            <w:r>
              <w:t xml:space="preserve">The maximum number of bytes in an object in this version of Python (at least </w:t>
            </w:r>
            <w:r>
              <w:rPr>
                <w:rStyle w:val="Text0"/>
              </w:rPr>
              <w:t>2 ** 31 - 1</w:t>
            </w:r>
            <w:r>
              <w:t xml:space="preserve">, that is, </w:t>
            </w:r>
            <w:r>
              <w:rPr>
                <w:rStyle w:val="Text0"/>
              </w:rPr>
              <w:t>2147483647</w:t>
            </w:r>
            <w:r>
              <w:t>).</w:t>
            </w:r>
          </w:p>
        </w:tc>
      </w:tr>
    </w:tbl>
    <w:tbl>
      <w:tblPr>
        <w:tblW w:type="auto" w:w="0"/>
      </w:tblPr>
      <w:tr>
        <w:tc>
          <w:tcPr>
            <w:tcW w:type="auto" w:w="0"/>
            <w:tcMar>
              <w:left w:type="dxa" w:w="200"/>
              <w:top w:type="dxa" w:w="200"/>
              <w:right w:type="dxa" w:w="200"/>
              <w:bottom w:type="dxa" w:w="200"/>
            </w:tcMar>
          </w:tcPr>
          <w:p>
            <w:pPr>
              <w:pStyle w:val="Para 001"/>
            </w:pPr>
            <w:r>
              <w:t>maxunicode</w:t>
            </w:r>
          </w:p>
        </w:tc>
        <w:tc>
          <w:tcPr>
            <w:tcW w:type="auto" w:w="0"/>
            <w:tcMar>
              <w:left w:type="dxa" w:w="200"/>
              <w:top w:type="dxa" w:w="200"/>
              <w:right w:type="dxa" w:w="200"/>
              <w:bottom w:type="dxa" w:w="200"/>
            </w:tcMar>
          </w:tcPr>
          <w:p>
            <w:pPr>
              <w:pStyle w:val="Para 002"/>
            </w:pPr>
            <w:r>
              <w:t xml:space="preserve">The largest codepoint for a Unicode character in this version of Python; currently, always </w:t>
            </w:r>
            <w:r>
              <w:rPr>
                <w:rStyle w:val="Text0"/>
              </w:rPr>
              <w:t>1114111</w:t>
            </w:r>
            <w:r>
              <w:t xml:space="preserve"> (</w:t>
            </w:r>
            <w:r>
              <w:rPr>
                <w:rStyle w:val="Text0"/>
              </w:rPr>
              <w:t>0x10FFFF</w:t>
            </w:r>
            <w:r>
              <w:t xml:space="preserve">). The version of the Unicode database used by Python is in </w:t>
            </w:r>
            <w:r>
              <w:rPr>
                <w:rStyle w:val="Text0"/>
              </w:rPr>
              <w:t>unicodedata.unidata_version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modules</w:t>
            </w:r>
          </w:p>
        </w:tc>
        <w:tc>
          <w:tcPr>
            <w:tcW w:type="auto" w:w="0"/>
            <w:shd w:val="clear" w:color="auto" w:fill="EEF2F6"/>
            <w:tcMar>
              <w:left w:type="dxa" w:w="200"/>
              <w:top w:type="dxa" w:w="200"/>
              <w:right w:type="dxa" w:w="200"/>
              <w:bottom w:type="dxa" w:w="200"/>
            </w:tcMar>
          </w:tcPr>
          <w:p>
            <w:pPr>
              <w:pStyle w:val="Para 002"/>
            </w:pPr>
            <w:r>
              <w:t xml:space="preserve">A dictionary whose items are the names and module objects for all loaded modules. See </w:t>
            </w:r>
            <w:hyperlink w:anchor="Module_Loading__Module_loading_o">
              <w:r>
                <w:rPr>
                  <w:rStyle w:val="Text1"/>
                </w:rPr>
                <w:t>“Module Loading”</w:t>
              </w:r>
            </w:hyperlink>
            <w:r>
              <w:t xml:space="preserve"> for more information on </w:t>
            </w:r>
            <w:r>
              <w:rPr>
                <w:rStyle w:val="Text0"/>
              </w:rPr>
              <w:t>sys.modules</w:t>
            </w:r>
            <w:r>
              <w:t>.</w:t>
            </w:r>
          </w:p>
        </w:tc>
      </w:tr>
    </w:tbl>
    <w:tbl>
      <w:tblPr>
        <w:tblW w:type="auto" w:w="0"/>
      </w:tblPr>
      <w:tr>
        <w:tc>
          <w:tcPr>
            <w:tcW w:type="auto" w:w="0"/>
            <w:tcMar>
              <w:left w:type="dxa" w:w="200"/>
              <w:top w:type="dxa" w:w="200"/>
              <w:right w:type="dxa" w:w="200"/>
              <w:bottom w:type="dxa" w:w="200"/>
            </w:tcMar>
          </w:tcPr>
          <w:p>
            <w:pPr>
              <w:pStyle w:val="Para 001"/>
            </w:pPr>
            <w:r>
              <w:t>path</w:t>
            </w:r>
          </w:p>
        </w:tc>
        <w:tc>
          <w:tcPr>
            <w:tcW w:type="auto" w:w="0"/>
            <w:tcMar>
              <w:left w:type="dxa" w:w="200"/>
              <w:top w:type="dxa" w:w="200"/>
              <w:right w:type="dxa" w:w="200"/>
              <w:bottom w:type="dxa" w:w="200"/>
            </w:tcMar>
          </w:tcPr>
          <w:p>
            <w:pPr>
              <w:pStyle w:val="Para 002"/>
            </w:pPr>
            <w:r>
              <w:t>A</w:t>
            </w:r>
            <w:r>
              <w:rPr>
                <w:rStyle w:val="Text111"/>
              </w:rPr>
              <w:bookmarkStart w:id="2109" w:name="idm45965214954480"/>
              <w:t/>
              <w:bookmarkEnd w:id="2109"/>
            </w:r>
            <w:r>
              <w:t xml:space="preserve"> list of strings that specifies the directories and ZIP files that Python searches when looking for a module to load. See </w:t>
            </w:r>
            <w:hyperlink w:anchor="Searching_the_Filesystem_for_a_M">
              <w:r>
                <w:rPr>
                  <w:rStyle w:val="Text1"/>
                </w:rPr>
                <w:t>“Searching the Filesystem for a Module”</w:t>
              </w:r>
            </w:hyperlink>
            <w:r>
              <w:t xml:space="preserve"> for more information on </w:t>
            </w:r>
            <w:r>
              <w:rPr>
                <w:rStyle w:val="Text0"/>
              </w:rPr>
              <w:t>sys.path</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platform</w:t>
            </w:r>
          </w:p>
        </w:tc>
        <w:tc>
          <w:tcPr>
            <w:tcW w:type="auto" w:w="0"/>
            <w:shd w:val="clear" w:color="auto" w:fill="EEF2F6"/>
            <w:tcMar>
              <w:left w:type="dxa" w:w="200"/>
              <w:top w:type="dxa" w:w="200"/>
              <w:right w:type="dxa" w:w="200"/>
              <w:bottom w:type="dxa" w:w="200"/>
            </w:tcMar>
          </w:tcPr>
          <w:p>
            <w:pPr>
              <w:pStyle w:val="Para 002"/>
            </w:pPr>
            <w:r>
              <w:t>A</w:t>
            </w:r>
            <w:r>
              <w:rPr>
                <w:rStyle w:val="Text111"/>
              </w:rPr>
              <w:bookmarkStart w:id="2110" w:name="idm45965214949520"/>
              <w:t/>
              <w:bookmarkEnd w:id="2110"/>
            </w:r>
            <w:r>
              <w:t xml:space="preserve"> string that names the platform on which this program is running. Typical values are brief operating system names, such as </w:t>
            </w:r>
            <w:r>
              <w:rPr>
                <w:rStyle w:val="Text0"/>
              </w:rPr>
              <w:t>'darwin'</w:t>
            </w:r>
            <w:r>
              <w:t xml:space="preserve">, </w:t>
            </w:r>
            <w:r>
              <w:rPr>
                <w:rStyle w:val="Text0"/>
              </w:rPr>
              <w:t>'linux2'</w:t>
            </w:r>
            <w:r>
              <w:t xml:space="preserve">, and </w:t>
            </w:r>
            <w:r>
              <w:rPr>
                <w:rStyle w:val="Text0"/>
              </w:rPr>
              <w:t>'win32'</w:t>
            </w:r>
            <w:r>
              <w:t xml:space="preserve">. For Linux, check </w:t>
            </w:r>
            <w:r>
              <w:rPr>
                <w:rStyle w:val="Text0"/>
              </w:rPr>
              <w:t>sys.platform.startswith('linux')</w:t>
            </w:r>
            <w:r>
              <w:t xml:space="preserve">, for portability among Linux versions. See also the online docs for the module </w:t>
            </w:r>
            <w:hyperlink r:id="rId304">
              <w:r>
                <w:rPr>
                  <w:rStyle w:val="Text30"/>
                </w:rPr>
                <w:t>platform</w:t>
              </w:r>
            </w:hyperlink>
            <w:r>
              <w:t>, which we don’t cover in this book.</w:t>
            </w:r>
          </w:p>
        </w:tc>
      </w:tr>
    </w:tbl>
    <w:tbl>
      <w:tblPr>
        <w:tblW w:type="auto" w:w="0"/>
      </w:tblPr>
      <w:tr>
        <w:tc>
          <w:tcPr>
            <w:tcW w:type="auto" w:w="0"/>
            <w:tcMar>
              <w:left w:type="dxa" w:w="200"/>
              <w:top w:type="dxa" w:w="200"/>
              <w:right w:type="dxa" w:w="200"/>
              <w:bottom w:type="dxa" w:w="200"/>
            </w:tcMar>
          </w:tcPr>
          <w:p>
            <w:pPr>
              <w:pStyle w:val="Para 001"/>
            </w:pPr>
            <w:r>
              <w:t>ps1</w:t>
            </w:r>
            <w:r>
              <w:rPr>
                <w:rStyle w:val="Text12"/>
              </w:rPr>
              <w:t xml:space="preserve">, </w:t>
            </w:r>
            <w:r>
              <w:t>ps2</w:t>
            </w:r>
          </w:p>
        </w:tc>
        <w:tc>
          <w:tcPr>
            <w:tcW w:type="auto" w:w="0"/>
            <w:tcMar>
              <w:left w:type="dxa" w:w="200"/>
              <w:top w:type="dxa" w:w="200"/>
              <w:right w:type="dxa" w:w="200"/>
              <w:bottom w:type="dxa" w:w="200"/>
            </w:tcMar>
          </w:tcPr>
          <w:p>
            <w:pPr>
              <w:pStyle w:val="Para 002"/>
            </w:pPr>
            <w:r>
              <w:rPr>
                <w:rStyle w:val="Text0"/>
              </w:rPr>
              <w:t>ps1</w:t>
            </w:r>
            <w:r>
              <w:t xml:space="preserve"> and </w:t>
            </w:r>
            <w:r>
              <w:rPr>
                <w:rStyle w:val="Text0"/>
              </w:rPr>
              <w:t>ps2</w:t>
            </w:r>
            <w:r>
              <w:t xml:space="preserve"> specify the primary and secondary interpreter prompt strings, initially </w:t>
            </w:r>
            <w:r>
              <w:rPr>
                <w:rStyle w:val="Text0"/>
              </w:rPr>
              <w:t>&gt;&gt;&gt;</w:t>
            </w:r>
            <w:r>
              <w:t xml:space="preserve"> and </w:t>
            </w:r>
            <w:r>
              <w:rPr>
                <w:rStyle w:val="Text0"/>
              </w:rPr>
              <w:t>...</w:t>
            </w:r>
            <w:r>
              <w:t>, respectively. These</w:t>
            </w:r>
            <w:r>
              <w:rPr>
                <w:rStyle w:val="Text111"/>
              </w:rPr>
              <w:bookmarkStart w:id="2111" w:name="idm45965214938880"/>
              <w:t/>
              <w:bookmarkEnd w:id="2111"/>
            </w:r>
            <w:r>
              <w:t xml:space="preserve"> </w:t>
            </w:r>
            <w:r>
              <w:rPr>
                <w:rStyle w:val="Text0"/>
              </w:rPr>
              <w:t>sys</w:t>
            </w:r>
            <w:r>
              <w:t xml:space="preserve"> attributes exist only in interactive interpreter sessions. If you bind either attribute to a non-</w:t>
            </w:r>
            <w:r>
              <w:rPr>
                <w:rStyle w:val="Text0"/>
              </w:rPr>
              <w:t>str</w:t>
            </w:r>
            <w:r>
              <w:t xml:space="preserve"> object </w:t>
            </w:r>
            <w:r>
              <w:rPr>
                <w:rStyle w:val="Text3"/>
              </w:rPr>
              <w:t>x</w:t>
            </w:r>
            <w:r>
              <w:t xml:space="preserve">, Python prompts by calling </w:t>
            </w:r>
            <w:r>
              <w:rPr>
                <w:rStyle w:val="Text0"/>
              </w:rPr>
              <w:t>str(</w:t>
            </w:r>
            <w:r>
              <w:rPr>
                <w:rStyle w:val="Text3"/>
              </w:rPr>
              <w:t>x</w:t>
            </w:r>
            <w:r>
              <w:rPr>
                <w:rStyle w:val="Text0"/>
              </w:rPr>
              <w:t>)</w:t>
            </w:r>
            <w:r>
              <w:t xml:space="preserve"> on the object each time a prompt is output. This feature allows dynamic prompting: code a class that defines </w:t>
            </w:r>
            <w:r>
              <w:rPr>
                <w:rStyle w:val="Text0"/>
              </w:rPr>
              <w:t>__str__</w:t>
            </w:r>
            <w:r>
              <w:t xml:space="preserve">, then assign an instance of that class to </w:t>
            </w:r>
            <w:r>
              <w:rPr>
                <w:rStyle w:val="Text0"/>
              </w:rPr>
              <w:t>sys.ps1</w:t>
            </w:r>
            <w:r>
              <w:t xml:space="preserve"> and/or </w:t>
            </w:r>
            <w:r>
              <w:rPr>
                <w:rStyle w:val="Text0"/>
              </w:rPr>
              <w:t>sys.ps2</w:t>
            </w:r>
            <w:r>
              <w:t xml:space="preserve">. For example, to get numbered prompts: </w:t>
            </w:r>
          </w:p>
          <w:p>
            <w:pPr>
              <w:pStyle w:val="Para 057"/>
            </w:pPr>
            <w:r>
              <w:rPr>
                <w:rStyle w:val="Text104"/>
              </w:rPr>
              <w:t xml:space="preserve"/>
              <w:br w:clear="none"/>
            </w:r>
            <w:r>
              <w:rPr>
                <w:rStyle w:val="Text13"/>
              </w:rPr>
              <w:t xml:space="preserve">&gt;&gt;</w:t>
              <w:br w:clear="none"/>
              <w:t xml:space="preserve">&gt;</w:t>
              <w:br w:clear="none"/>
            </w:r>
            <w:r>
              <w:t xml:space="preserve"> </w:t>
              <w:br w:clear="none"/>
            </w:r>
            <w:r>
              <w:rPr>
                <w:rStyle w:val="Text10"/>
              </w:rPr>
              <w:t xml:space="preserve">import</w:t>
              <w:br w:clear="none"/>
            </w:r>
            <w:r>
              <w:rPr>
                <w:rStyle w:val="Text37"/>
              </w:rPr>
              <w:t xml:space="preserve"> </w:t>
              <w:br w:clear="none"/>
            </w:r>
            <w:r>
              <w:rPr>
                <w:rStyle w:val="Text54"/>
              </w:rPr>
              <w:t xml:space="preserve">sys</w:t>
              <w:br w:clear="none"/>
            </w:r>
            <w: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Ps1</w:t>
              <w:br w:clear="none"/>
            </w:r>
            <w:r>
              <w:rPr>
                <w:rStyle w:val="Text7"/>
              </w:rPr>
              <w:t xml:space="preserve">(</w:t>
              <w:br w:clear="none"/>
            </w:r>
            <w:r>
              <w:rPr>
                <w:rStyle w:val="Text16"/>
              </w:rPr>
              <w:t xml:space="preserve">object</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p</w:t>
              <w:br w:clear="none"/>
            </w:r>
            <w:r>
              <w:t xml:space="preserve"> </w:t>
              <w:br w:clear="none"/>
            </w:r>
            <w:r>
              <w:rPr>
                <w:rStyle w:val="Text13"/>
              </w:rPr>
              <w:t xml:space="preserve">=</w:t>
              <w:br w:clear="none"/>
            </w:r>
            <w:r>
              <w:t xml:space="preserve"> </w:t>
              <w:br w:clear="none"/>
            </w:r>
            <w:r>
              <w:rPr>
                <w:rStyle w:val="Text27"/>
              </w:rPr>
              <w:t xml:space="preserve">0</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t xml:space="preserve">__str__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p</w:t>
              <w:br w:clear="none"/>
            </w:r>
            <w:r>
              <w:t xml:space="preserve"> </w:t>
              <w:br w:clear="none"/>
            </w:r>
            <w:r>
              <w:rPr>
                <w:rStyle w:val="Text13"/>
              </w:rPr>
              <w:t xml:space="preserve">+</w:t>
              <w:br w:clear="none"/>
              <w:t xml:space="preserve">=</w:t>
              <w:br w:clear="none"/>
            </w:r>
            <w:r>
              <w:t xml:space="preserve"> </w:t>
              <w:br w:clear="none"/>
            </w:r>
            <w:r>
              <w:rPr>
                <w:rStyle w:val="Text27"/>
              </w:rPr>
              <w:t xml:space="preserve">1</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t xml:space="preserve">f</w:t>
              <w:br w:clear="none"/>
            </w:r>
            <w:r>
              <w:rPr>
                <w:rStyle w:val="Text8"/>
              </w:rPr>
              <w:t xml:space="preserve">'</w:t>
              <w:br w:clear="none"/>
              <w:t xml:space="preserve">[</w:t>
              <w:br w:clear="none"/>
            </w:r>
            <w:r>
              <w:rPr>
                <w:rStyle w:val="Text32"/>
              </w:rPr>
              <w:t xml:space="preserve">{</w:t>
              <w:br w:clear="none"/>
            </w:r>
            <w:r>
              <w:rPr>
                <w:rStyle w:val="Text16"/>
              </w:rPr>
              <w:t xml:space="preserve">self</w:t>
              <w:br w:clear="none"/>
            </w:r>
            <w:r>
              <w:rPr>
                <w:rStyle w:val="Text13"/>
              </w:rPr>
              <w:t xml:space="preserve">.</w:t>
              <w:br w:clear="none"/>
            </w:r>
            <w:r>
              <w:rPr>
                <w:rStyle w:val="Text9"/>
              </w:rPr>
              <w:t xml:space="preserve">p</w:t>
              <w:br w:clear="none"/>
            </w:r>
            <w:r>
              <w:rPr>
                <w:rStyle w:val="Text32"/>
              </w:rPr>
              <w:t xml:space="preserve">}</w:t>
              <w:br w:clear="none"/>
            </w:r>
            <w:r>
              <w:rPr>
                <w:rStyle w:val="Text8"/>
              </w:rPr>
              <w:t xml:space="preserve">]&gt;&gt;&gt; </w:t>
              <w:br w:clear="none"/>
              <w:t xml:space="preserve">'</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10"/>
              </w:rPr>
              <w:t xml:space="preserve">class</w:t>
              <w:br w:clear="none"/>
            </w:r>
            <w:r>
              <w:t xml:space="preserve"> </w:t>
              <w:br w:clear="none"/>
            </w:r>
            <w:r>
              <w:rPr>
                <w:rStyle w:val="Text33"/>
              </w:rPr>
              <w:t xml:space="preserve">Ps2</w:t>
              <w:br w:clear="none"/>
            </w:r>
            <w:r>
              <w:rPr>
                <w:rStyle w:val="Text7"/>
              </w:rPr>
              <w:t xml:space="preserve">(</w:t>
              <w:br w:clear="none"/>
            </w:r>
            <w:r>
              <w:rPr>
                <w:rStyle w:val="Text16"/>
              </w:rPr>
              <w:t xml:space="preserve">object</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t xml:space="preserve">__str__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t xml:space="preserve">f</w:t>
              <w:br w:clear="none"/>
            </w:r>
            <w:r>
              <w:rPr>
                <w:rStyle w:val="Text8"/>
              </w:rPr>
              <w:t xml:space="preserve">'</w:t>
              <w:br w:clear="none"/>
              <w:t xml:space="preserve">[</w:t>
              <w:br w:clear="none"/>
            </w:r>
            <w:r>
              <w:rPr>
                <w:rStyle w:val="Text32"/>
              </w:rPr>
              <w:t xml:space="preserve">{</w:t>
              <w:br w:clear="none"/>
            </w:r>
            <w:r>
              <w:rPr>
                <w:rStyle w:val="Text9"/>
              </w:rPr>
              <w:t xml:space="preserve">sys</w:t>
              <w:br w:clear="none"/>
            </w:r>
            <w:r>
              <w:rPr>
                <w:rStyle w:val="Text13"/>
              </w:rPr>
              <w:t xml:space="preserve">.</w:t>
              <w:br w:clear="none"/>
            </w:r>
            <w:r>
              <w:rPr>
                <w:rStyle w:val="Text9"/>
              </w:rPr>
              <w:t xml:space="preserve">ps1</w:t>
              <w:br w:clear="none"/>
            </w:r>
            <w:r>
              <w:rPr>
                <w:rStyle w:val="Text13"/>
              </w:rPr>
              <w:t xml:space="preserve">.</w:t>
              <w:br w:clear="none"/>
            </w:r>
            <w:r>
              <w:rPr>
                <w:rStyle w:val="Text9"/>
              </w:rPr>
              <w:t xml:space="preserve">p</w:t>
              <w:br w:clear="none"/>
            </w:r>
            <w:r>
              <w:rPr>
                <w:rStyle w:val="Text32"/>
              </w:rPr>
              <w:t xml:space="preserve">}</w:t>
              <w:br w:clear="none"/>
            </w:r>
            <w:r>
              <w:rPr>
                <w:rStyle w:val="Text8"/>
              </w:rPr>
              <w:t xml:space="preserve">]... </w:t>
              <w:br w:clear="none"/>
              <w:t xml:space="preserve">'</w:t>
              <w:br w:clear="none"/>
            </w:r>
            <w:r>
              <w:t xml:space="preserve"/>
              <w:br w:clear="none"/>
            </w:r>
            <w:r>
              <w:rPr>
                <w:rStyle w:val="Text13"/>
              </w:rPr>
              <w:t xml:space="preserve">.</w:t>
              <w:br w:clear="none"/>
              <w:t xml:space="preserve">.</w:t>
              <w:br w:clear="none"/>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sys</w:t>
              <w:br w:clear="none"/>
            </w:r>
            <w:r>
              <w:rPr>
                <w:rStyle w:val="Text13"/>
              </w:rPr>
              <w:t xml:space="preserve">.</w:t>
              <w:br w:clear="none"/>
            </w:r>
            <w:r>
              <w:rPr>
                <w:rStyle w:val="Text9"/>
              </w:rPr>
              <w:t xml:space="preserve">ps1</w:t>
              <w:br w:clear="none"/>
            </w:r>
            <w:r>
              <w:rPr>
                <w:rStyle w:val="Text7"/>
              </w:rPr>
              <w:t xml:space="preserve">,</w:t>
              <w:br w:clear="none"/>
            </w:r>
            <w:r>
              <w:t xml:space="preserve"> </w:t>
              <w:br w:clear="none"/>
            </w:r>
            <w:r>
              <w:rPr>
                <w:rStyle w:val="Text9"/>
              </w:rPr>
              <w:t xml:space="preserve">sys</w:t>
              <w:br w:clear="none"/>
            </w:r>
            <w:r>
              <w:rPr>
                <w:rStyle w:val="Text13"/>
              </w:rPr>
              <w:t xml:space="preserve">.</w:t>
              <w:br w:clear="none"/>
            </w:r>
            <w:r>
              <w:rPr>
                <w:rStyle w:val="Text9"/>
              </w:rPr>
              <w:t xml:space="preserve">ps2</w:t>
              <w:br w:clear="none"/>
            </w:r>
            <w:r>
              <w:t xml:space="preserve"> </w:t>
              <w:br w:clear="none"/>
            </w:r>
            <w:r>
              <w:rPr>
                <w:rStyle w:val="Text13"/>
              </w:rPr>
              <w:t xml:space="preserve">=</w:t>
              <w:br w:clear="none"/>
            </w:r>
            <w:r>
              <w:t xml:space="preserve"> </w:t>
              <w:br w:clear="none"/>
            </w:r>
            <w:r>
              <w:rPr>
                <w:rStyle w:val="Text9"/>
              </w:rPr>
              <w:t xml:space="preserve">Ps1</w:t>
              <w:br w:clear="none"/>
            </w:r>
            <w:r>
              <w:rPr>
                <w:rStyle w:val="Text7"/>
              </w:rPr>
              <w:t xml:space="preserve">(</w:t>
              <w:br w:clear="none"/>
              <w:t xml:space="preserve">)</w:t>
              <w:br w:clear="none"/>
              <w:t xml:space="preserve">,</w:t>
              <w:br w:clear="none"/>
            </w:r>
            <w:r>
              <w:t xml:space="preserve"> </w:t>
              <w:br w:clear="none"/>
            </w:r>
            <w:r>
              <w:rPr>
                <w:rStyle w:val="Text9"/>
              </w:rPr>
              <w:t xml:space="preserve">Ps2</w:t>
              <w:br w:clear="none"/>
            </w:r>
            <w:r>
              <w:rPr>
                <w:rStyle w:val="Text7"/>
              </w:rPr>
              <w:t xml:space="preserve">(</w:t>
              <w:br w:clear="none"/>
              <w:t xml:space="preserve">)</w:t>
              <w:br w:clear="none"/>
            </w:r>
            <w:r>
              <w:t xml:space="preserve"/>
              <w:br w:clear="none"/>
            </w:r>
            <w:r>
              <w:rPr>
                <w:rStyle w:val="Text7"/>
              </w:rPr>
              <w:t xml:space="preserve">[</w:t>
              <w:br w:clear="none"/>
            </w:r>
            <w:r>
              <w:rPr>
                <w:rStyle w:val="Text27"/>
              </w:rPr>
              <w:t xml:space="preserve">1</w:t>
              <w:br w:clear="none"/>
            </w:r>
            <w:r>
              <w:rPr>
                <w:rStyle w:val="Text7"/>
              </w:rPr>
              <w:t xml:space="preserve">]</w:t>
              <w:br w:clear="none"/>
            </w:r>
            <w:r>
              <w:rPr>
                <w:rStyle w:val="Text13"/>
              </w:rPr>
              <w:t xml:space="preserve">&gt;&gt;</w:t>
              <w:br w:clear="none"/>
              <w:t xml:space="preserve">&gt;</w:t>
              <w:br w:clear="none"/>
            </w:r>
            <w:r>
              <w:t xml:space="preserve"> </w:t>
              <w:br w:clear="none"/>
            </w:r>
            <w:r>
              <w:rPr>
                <w:rStyle w:val="Text7"/>
              </w:rPr>
              <w:t xml:space="preserve">(</w:t>
              <w:br w:clear="none"/>
            </w:r>
            <w:r>
              <w:rPr>
                <w:rStyle w:val="Text27"/>
              </w:rPr>
              <w:t xml:space="preserve">2</w:t>
              <w:br w:clear="none"/>
            </w:r>
            <w:r>
              <w:t xml:space="preserve"> </w:t>
              <w:br w:clear="none"/>
            </w:r>
            <w:r>
              <w:rPr>
                <w:rStyle w:val="Text13"/>
              </w:rPr>
              <w:t xml:space="preserve">+</w:t>
              <w:br w:clear="none"/>
            </w:r>
            <w:r>
              <w:t xml:space="preserve"/>
              <w:br w:clear="none"/>
            </w:r>
            <w:r>
              <w:rPr>
                <w:rStyle w:val="Text7"/>
              </w:rPr>
              <w:t xml:space="preserve">[</w:t>
              <w:br w:clear="none"/>
            </w:r>
            <w:r>
              <w:rPr>
                <w:rStyle w:val="Text27"/>
              </w:rPr>
              <w:t xml:space="preserve">1</w:t>
              <w:br w:clear="none"/>
            </w:r>
            <w:r>
              <w:rPr>
                <w:rStyle w:val="Text7"/>
              </w:rPr>
              <w:t xml:space="preserve">]</w:t>
              <w:br w:clear="none"/>
            </w:r>
            <w:r>
              <w:rPr>
                <w:rStyle w:val="Text13"/>
              </w:rPr>
              <w:t xml:space="preserve">.</w:t>
              <w:br w:clear="none"/>
              <w:t xml:space="preserve">.</w:t>
              <w:br w:clear="none"/>
              <w:t xml:space="preserve">.</w:t>
              <w:br w:clear="none"/>
            </w:r>
            <w:r>
              <w:t xml:space="preserve"> </w:t>
              <w:br w:clear="none"/>
            </w:r>
            <w:r>
              <w:rPr>
                <w:rStyle w:val="Text27"/>
              </w:rPr>
              <w:t xml:space="preserve">2</w:t>
              <w:br w:clear="none"/>
            </w:r>
            <w:r>
              <w:rPr>
                <w:rStyle w:val="Text7"/>
              </w:rPr>
              <w:t xml:space="preserve">)</w:t>
              <w:br w:clear="none"/>
            </w:r>
          </w:p>
          <w:p>
            <w:pPr>
              <w:pStyle w:val="Para 033"/>
            </w:pPr>
            <w:r>
              <w:t xml:space="preserve">4</w:t>
              <w:br w:clear="none"/>
            </w:r>
          </w:p>
          <w:p>
            <w:pPr>
              <w:pStyle w:val="Para 073"/>
            </w:pPr>
            <w:r>
              <w:rPr>
                <w:rStyle w:val="Text23"/>
              </w:rPr>
              <w:t xml:space="preserve"/>
              <w:br w:clear="none"/>
            </w:r>
            <w:r>
              <w:rPr>
                <w:rStyle w:val="Text7"/>
              </w:rPr>
              <w:t xml:space="preserve">[</w:t>
              <w:br w:clear="none"/>
            </w:r>
            <w:r>
              <w:rPr>
                <w:rStyle w:val="Text27"/>
              </w:rPr>
              <w:t xml:space="preserve">2</w:t>
              <w:br w:clear="none"/>
            </w:r>
            <w:r>
              <w:rPr>
                <w:rStyle w:val="Text7"/>
              </w:rPr>
              <w:t xml:space="preserve">]</w:t>
              <w:br w:clear="none"/>
            </w:r>
            <w:r>
              <w:t xml:space="preserve">&gt;&gt;&gt;</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s⁠e⁠t⁠r⁠e⁠c⁠u⁠r⁠s⁠i⁠o⁠n​l⁠i⁠m⁠i⁠t</w:t>
            </w:r>
          </w:p>
        </w:tc>
        <w:tc>
          <w:tcPr>
            <w:tcW w:type="auto" w:w="0"/>
            <w:shd w:val="clear" w:color="auto" w:fill="EEF2F6"/>
            <w:tcMar>
              <w:left w:type="dxa" w:w="200"/>
              <w:top w:type="dxa" w:w="200"/>
              <w:right w:type="dxa" w:w="200"/>
              <w:bottom w:type="dxa" w:w="200"/>
            </w:tcMar>
          </w:tcPr>
          <w:p>
            <w:pPr>
              <w:pStyle w:val="Para 002"/>
            </w:pPr>
            <w:r>
              <w:rPr>
                <w:rStyle w:val="Text0"/>
              </w:rPr>
              <w:t>setrecursionlimit(</w:t>
            </w:r>
            <w:r>
              <w:rPr>
                <w:rStyle w:val="Text3"/>
              </w:rPr>
              <w:t>limit</w:t>
            </w:r>
            <w:r>
              <w:rPr>
                <w:rStyle w:val="Text0"/>
              </w:rPr>
              <w:t>, /)</w:t>
              <w:br w:clear="none"/>
            </w:r>
            <w:r>
              <w:t xml:space="preserve"> Sets</w:t>
            </w:r>
            <w:r>
              <w:rPr>
                <w:rStyle w:val="Text111"/>
              </w:rPr>
              <w:bookmarkStart w:id="2112" w:name="idm45965214721376"/>
              <w:t/>
              <w:bookmarkEnd w:id="2112"/>
            </w:r>
            <w:r>
              <w:t xml:space="preserve"> the limit on the depth of Python’s call stack (the default is </w:t>
            </w:r>
            <w:r>
              <w:rPr>
                <w:rStyle w:val="Text0"/>
              </w:rPr>
              <w:t>1000</w:t>
            </w:r>
            <w:r>
              <w:t xml:space="preserve">). The limit prevents runaway recursion from crashing Python. Raising the limit may be necessary for programs that rely on deep recursion, but most platforms cannot support very large limits on call stack depth. More usefully, </w:t>
            </w:r>
            <w:r>
              <w:rPr>
                <w:rStyle w:val="Text4"/>
              </w:rPr>
              <w:t>lowering</w:t>
            </w:r>
            <w:r>
              <w:t xml:space="preserve"> the limit helps you check, during testing and debugging, that your program degrades gracefully, rather than abruptly crashing with a </w:t>
            </w:r>
            <w:r>
              <w:rPr>
                <w:rStyle w:val="Text0"/>
              </w:rPr>
              <w:t>RecursionError</w:t>
            </w:r>
            <w:r>
              <w:t xml:space="preserve">, under situations of almost runaway recursion. See also </w:t>
            </w:r>
            <w:hyperlink w:anchor="Recursion__Python_supports_recur">
              <w:r>
                <w:rPr>
                  <w:rStyle w:val="Text1"/>
                </w:rPr>
                <w:t>“Recursion”</w:t>
              </w:r>
            </w:hyperlink>
            <w:r>
              <w:t xml:space="preserve"> and </w:t>
            </w:r>
            <w:r>
              <w:rPr>
                <w:rStyle w:val="Text0"/>
              </w:rPr>
              <w:t>getrecursionlimit</w:t>
            </w:r>
            <w:r>
              <w:t xml:space="preserve"> earlier in this table.</w:t>
            </w:r>
          </w:p>
        </w:tc>
      </w:tr>
    </w:tbl>
    <w:tbl>
      <w:tblPr>
        <w:tblW w:type="auto" w:w="0"/>
      </w:tblPr>
      <w:tr>
        <w:tc>
          <w:tcPr>
            <w:tcW w:type="auto" w:w="0"/>
            <w:tcMar>
              <w:left w:type="dxa" w:w="200"/>
              <w:top w:type="dxa" w:w="200"/>
              <w:right w:type="dxa" w:w="200"/>
              <w:bottom w:type="dxa" w:w="200"/>
            </w:tcMar>
          </w:tcPr>
          <w:p>
            <w:pPr>
              <w:pStyle w:val="Para 001"/>
            </w:pPr>
            <w:r>
              <w:t>stdin</w:t>
            </w:r>
            <w:r>
              <w:rPr>
                <w:rStyle w:val="Text12"/>
              </w:rPr>
              <w:t>,</w:t>
              <w:br w:clear="none"/>
              <w:t xml:space="preserve"> </w:t>
            </w:r>
            <w:r>
              <w:t>stdout</w:t>
            </w:r>
            <w:r>
              <w:rPr>
                <w:rStyle w:val="Text12"/>
              </w:rPr>
              <w:t>,</w:t>
              <w:br w:clear="none"/>
              <w:t xml:space="preserve"> </w:t>
            </w:r>
            <w:r>
              <w:t>stderr</w:t>
            </w:r>
          </w:p>
        </w:tc>
        <w:tc>
          <w:tcPr>
            <w:tcW w:type="auto" w:w="0"/>
            <w:tcMar>
              <w:left w:type="dxa" w:w="200"/>
              <w:top w:type="dxa" w:w="200"/>
              <w:right w:type="dxa" w:w="200"/>
              <w:bottom w:type="dxa" w:w="200"/>
            </w:tcMar>
          </w:tcPr>
          <w:p>
            <w:pPr>
              <w:pStyle w:val="Para 002"/>
            </w:pPr>
            <w:r>
              <w:rPr>
                <w:rStyle w:val="Text0"/>
              </w:rPr>
              <w:t>stdin</w:t>
            </w:r>
            <w:r>
              <w:t xml:space="preserve">, </w:t>
            </w:r>
            <w:r>
              <w:rPr>
                <w:rStyle w:val="Text0"/>
              </w:rPr>
              <w:t>stdout</w:t>
            </w:r>
            <w:r>
              <w:t xml:space="preserve">, and </w:t>
            </w:r>
            <w:r>
              <w:rPr>
                <w:rStyle w:val="Text0"/>
              </w:rPr>
              <w:t>stderr</w:t>
            </w:r>
            <w:r>
              <w:rPr>
                <w:rStyle w:val="Text111"/>
              </w:rPr>
              <w:bookmarkStart w:id="2113" w:name="idm45965214714928"/>
              <w:t/>
              <w:bookmarkEnd w:id="2113"/>
              <w:bookmarkStart w:id="2114" w:name="idm45965214713824"/>
              <w:t/>
              <w:bookmarkEnd w:id="2114"/>
              <w:bookmarkStart w:id="2115" w:name="idm45965214712720"/>
              <w:t/>
              <w:bookmarkEnd w:id="2115"/>
            </w:r>
            <w:r>
              <w:t xml:space="preserve"> are predefined file-like objects that correspond to Python’s standard input, output, and error streams. You can rebind </w:t>
            </w:r>
            <w:r>
              <w:rPr>
                <w:rStyle w:val="Text0"/>
              </w:rPr>
              <w:t>stdout</w:t>
            </w:r>
            <w:r>
              <w:t xml:space="preserve"> and </w:t>
            </w:r>
            <w:r>
              <w:rPr>
                <w:rStyle w:val="Text0"/>
              </w:rPr>
              <w:t>stderr</w:t>
            </w:r>
            <w:r>
              <w:t xml:space="preserve"> to file-like objects open for writing (objects that supply a </w:t>
            </w:r>
            <w:r>
              <w:rPr>
                <w:rStyle w:val="Text0"/>
              </w:rPr>
              <w:t>write</w:t>
            </w:r>
            <w:r>
              <w:t xml:space="preserve"> method accepting a string argument) to redirect the destination of output and error messages. You can rebind </w:t>
            </w:r>
            <w:r>
              <w:rPr>
                <w:rStyle w:val="Text0"/>
              </w:rPr>
              <w:t>stdin</w:t>
            </w:r>
            <w:r>
              <w:t xml:space="preserve"> to a file-like object open for reading (one that supplies a </w:t>
            </w:r>
            <w:r>
              <w:rPr>
                <w:rStyle w:val="Text0"/>
              </w:rPr>
              <w:t>readline</w:t>
            </w:r>
            <w:r>
              <w:t xml:space="preserve"> method returning a string) to redirect the source from which built-in function </w:t>
            </w:r>
            <w:r>
              <w:rPr>
                <w:rStyle w:val="Text0"/>
              </w:rPr>
              <w:t>input</w:t>
            </w:r>
            <w:r>
              <w:t xml:space="preserve"> reads. The original values are available as </w:t>
            </w:r>
            <w:r>
              <w:rPr>
                <w:rStyle w:val="Text0"/>
              </w:rPr>
              <w:t>__stdin__</w:t>
            </w:r>
            <w:r>
              <w:t xml:space="preserve">, </w:t>
            </w:r>
            <w:r>
              <w:rPr>
                <w:rStyle w:val="Text0"/>
              </w:rPr>
              <w:t>__stdout__</w:t>
            </w:r>
            <w:r>
              <w:t xml:space="preserve">, and </w:t>
            </w:r>
            <w:r>
              <w:rPr>
                <w:rStyle w:val="Text0"/>
              </w:rPr>
              <w:t>__stderr__</w:t>
            </w:r>
            <w:r>
              <w:t xml:space="preserve">. We cover file objects in </w:t>
            </w:r>
            <w:hyperlink w:anchor="The_io_Module__As_mentioned_in_t">
              <w:r>
                <w:rPr>
                  <w:rStyle w:val="Text1"/>
                </w:rPr>
                <w:t>“The io Module”</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tracebacklimit</w:t>
            </w:r>
          </w:p>
        </w:tc>
        <w:tc>
          <w:tcPr>
            <w:tcW w:type="auto" w:w="0"/>
            <w:shd w:val="clear" w:color="auto" w:fill="EEF2F6"/>
            <w:tcMar>
              <w:left w:type="dxa" w:w="200"/>
              <w:top w:type="dxa" w:w="200"/>
              <w:right w:type="dxa" w:w="200"/>
              <w:bottom w:type="dxa" w:w="200"/>
            </w:tcMar>
          </w:tcPr>
          <w:p>
            <w:pPr>
              <w:pStyle w:val="Para 002"/>
            </w:pPr>
            <w:r>
              <w:t xml:space="preserve">The maximum number of levels of traceback displayed for unhandled exceptions. By default, this attribute is not defined (i.e., there is no limit). When </w:t>
            </w:r>
            <w:r>
              <w:rPr>
                <w:rStyle w:val="Text0"/>
              </w:rPr>
              <w:t>sys.tracebacklimit</w:t>
            </w:r>
            <w:r>
              <w:t xml:space="preserve"> is </w:t>
            </w:r>
            <w:r>
              <w:rPr>
                <w:rStyle w:val="Text0"/>
              </w:rPr>
              <w:t>&lt;= 0</w:t>
            </w:r>
            <w:r>
              <w:t>, Python prints only the exception type and value, without a traceback.</w:t>
            </w:r>
          </w:p>
        </w:tc>
      </w:tr>
    </w:tbl>
    <w:tbl>
      <w:tblPr>
        <w:tblW w:type="auto" w:w="0"/>
      </w:tblPr>
      <w:tr>
        <w:tc>
          <w:tcPr>
            <w:tcW w:type="auto" w:w="0"/>
            <w:tcMar>
              <w:left w:type="dxa" w:w="200"/>
              <w:top w:type="dxa" w:w="200"/>
              <w:right w:type="dxa" w:w="200"/>
              <w:bottom w:type="dxa" w:w="200"/>
            </w:tcMar>
          </w:tcPr>
          <w:p>
            <w:pPr>
              <w:pStyle w:val="Para 001"/>
            </w:pPr>
            <w:r>
              <w:t>version</w:t>
            </w:r>
          </w:p>
        </w:tc>
        <w:tc>
          <w:tcPr>
            <w:tcW w:type="auto" w:w="0"/>
            <w:tcMar>
              <w:left w:type="dxa" w:w="200"/>
              <w:top w:type="dxa" w:w="200"/>
              <w:right w:type="dxa" w:w="200"/>
              <w:bottom w:type="dxa" w:w="200"/>
            </w:tcMar>
          </w:tcPr>
          <w:p>
            <w:pPr>
              <w:pStyle w:val="Para 002"/>
            </w:pPr>
            <w:r>
              <w:t>A</w:t>
            </w:r>
            <w:r>
              <w:rPr>
                <w:rStyle w:val="Text111"/>
              </w:rPr>
              <w:bookmarkStart w:id="2116" w:name="idm45965214687872"/>
              <w:t/>
              <w:bookmarkEnd w:id="2116"/>
            </w:r>
            <w:r>
              <w:t xml:space="preserve"> string that describes the Python version, build number and date, and C compiler used. Use </w:t>
            </w:r>
            <w:r>
              <w:rPr>
                <w:rStyle w:val="Text0"/>
              </w:rPr>
              <w:t>sys.version</w:t>
            </w:r>
            <w:r>
              <w:t xml:space="preserve"> only for logging or interactive output; to perform version comparisons, use </w:t>
            </w:r>
            <w:r>
              <w:rPr>
                <w:rStyle w:val="Text0"/>
              </w:rPr>
              <w:t>sys.version_info</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version_info</w:t>
            </w:r>
          </w:p>
        </w:tc>
        <w:tc>
          <w:tcPr>
            <w:tcW w:type="auto" w:w="0"/>
            <w:shd w:val="clear" w:color="auto" w:fill="EEF2F6"/>
            <w:tcMar>
              <w:left w:type="dxa" w:w="200"/>
              <w:top w:type="dxa" w:w="200"/>
              <w:right w:type="dxa" w:w="200"/>
              <w:bottom w:type="dxa" w:w="200"/>
            </w:tcMar>
          </w:tcPr>
          <w:p>
            <w:pPr>
              <w:pStyle w:val="Para 002"/>
            </w:pPr>
            <w:r>
              <w:t>A</w:t>
            </w:r>
            <w:r>
              <w:rPr>
                <w:rStyle w:val="Text111"/>
              </w:rPr>
              <w:bookmarkStart w:id="2117" w:name="idm45965214683376"/>
              <w:t/>
              <w:bookmarkEnd w:id="2117"/>
            </w:r>
            <w:r>
              <w:t xml:space="preserve"> </w:t>
            </w:r>
            <w:r>
              <w:rPr>
                <w:rStyle w:val="Text0"/>
              </w:rPr>
              <w:t>namedtuple</w:t>
            </w:r>
            <w:r>
              <w:t xml:space="preserve"> of the </w:t>
            </w:r>
            <w:r>
              <w:rPr>
                <w:rStyle w:val="Text0"/>
              </w:rPr>
              <w:t>major</w:t>
            </w:r>
            <w:r>
              <w:t xml:space="preserve">, </w:t>
            </w:r>
            <w:r>
              <w:rPr>
                <w:rStyle w:val="Text0"/>
              </w:rPr>
              <w:t>minor</w:t>
            </w:r>
            <w:r>
              <w:t xml:space="preserve">, </w:t>
            </w:r>
            <w:r>
              <w:rPr>
                <w:rStyle w:val="Text0"/>
              </w:rPr>
              <w:t>micro</w:t>
            </w:r>
            <w:r>
              <w:t xml:space="preserve">, </w:t>
            </w:r>
            <w:r>
              <w:rPr>
                <w:rStyle w:val="Text0"/>
              </w:rPr>
              <w:t>releaselevel</w:t>
            </w:r>
            <w:r>
              <w:t xml:space="preserve">, and </w:t>
            </w:r>
            <w:r>
              <w:rPr>
                <w:rStyle w:val="Text0"/>
              </w:rPr>
              <w:t>serial</w:t>
            </w:r>
            <w:r>
              <w:t xml:space="preserve"> fields of the running Python version. For example, in the first post-beta release of Python 3.10, </w:t>
            </w:r>
            <w:r>
              <w:rPr>
                <w:rStyle w:val="Text0"/>
              </w:rPr>
              <w:t>sys.version_info</w:t>
            </w:r>
            <w:r>
              <w:t xml:space="preserve"> was </w:t>
            </w:r>
            <w:r>
              <w:rPr>
                <w:rStyle w:val="Text0"/>
              </w:rPr>
              <w:t>sys.version_info(major=3, minor=10, micro=0, releaselevel='final', serial=0)</w:t>
            </w:r>
            <w:r>
              <w:t xml:space="preserve">, equivalent to the tuple </w:t>
            </w:r>
            <w:r>
              <w:rPr>
                <w:rStyle w:val="Text0"/>
              </w:rPr>
              <w:t>(3, 10, 0, 'final', 0)</w:t>
            </w:r>
            <w:r>
              <w:t xml:space="preserve">. This form is defined to be directly comparable between versions; to see if the current version running is greater than or equal to, say, 3.8, you can test </w:t>
            </w:r>
            <w:r>
              <w:rPr>
                <w:rStyle w:val="Text0"/>
              </w:rPr>
              <w:t>sys.version_info[:3] &gt;= (3, 8, 0)</w:t>
            </w:r>
            <w:r>
              <w:t xml:space="preserve">. (Do </w:t>
            </w:r>
            <w:r>
              <w:rPr>
                <w:rStyle w:val="Text4"/>
              </w:rPr>
              <w:t>not</w:t>
            </w:r>
            <w:r>
              <w:t xml:space="preserve"> do string comparisons of the </w:t>
            </w:r>
            <w:r>
              <w:rPr>
                <w:rStyle w:val="Text4"/>
              </w:rPr>
              <w:t>string</w:t>
            </w:r>
            <w:r>
              <w:t xml:space="preserve"> </w:t>
            </w:r>
            <w:r>
              <w:rPr>
                <w:rStyle w:val="Text0"/>
              </w:rPr>
              <w:t>sys.version</w:t>
            </w:r>
            <w:r>
              <w:t xml:space="preserve">, since the string </w:t>
            </w:r>
            <w:r>
              <w:rPr>
                <w:rStyle w:val="Text0"/>
              </w:rPr>
              <w:t>"3.10"</w:t>
            </w:r>
            <w:r>
              <w:t xml:space="preserve"> would compare as less than </w:t>
            </w:r>
            <w:r>
              <w:rPr>
                <w:rStyle w:val="Text0"/>
              </w:rPr>
              <w:t>"3.9"</w:t>
            </w:r>
            <w:r>
              <w:t>!)</w:t>
            </w:r>
            <w:r>
              <w:rPr>
                <w:rStyle w:val="Text111"/>
              </w:rPr>
              <w:bookmarkStart w:id="2118" w:name="idm45965214671648"/>
              <w:t/>
              <w:bookmarkEnd w:id="2118"/>
              <w:bookmarkStart w:id="2119" w:name="idm45965214670240"/>
              <w:t/>
              <w:bookmarkEnd w:id="2119"/>
            </w:r>
          </w:p>
        </w:tc>
      </w:tr>
    </w:tbl>
    <w:tbl>
      <w:tblPr>
        <w:tblW w:type="auto" w:w="0"/>
      </w:tblPr>
      <w:tr>
        <w:tc>
          <w:tcPr>
            <w:tcW w:type="auto" w:w="0"/>
            <w:tcMar>
              <w:left w:type="dxa" w:w="200"/>
              <w:top w:type="dxa" w:w="200"/>
              <w:right w:type="dxa" w:w="200"/>
              <w:bottom w:type="dxa" w:w="200"/>
            </w:tcMar>
            <w:hMerge w:val="restart"/>
          </w:tcPr>
          <w:p>
            <w:bookmarkStart w:id="2120" w:name="a_It_could__of_course__also_be_a"/>
            <w:pPr>
              <w:pStyle w:val="Para 036"/>
            </w:pPr>
            <w:hyperlink w:anchor="a_3">
              <w:r>
                <w:rPr>
                  <w:rStyle w:val="Text1"/>
                </w:rPr>
                <w:t>a</w:t>
              </w:r>
            </w:hyperlink>
            <w:r>
              <w:t xml:space="preserve"> It could, of course, also be a path to the script, and/or a symbolic link to it, if that’s what you gave Python.</w:t>
            </w:r>
            <w:bookmarkEnd w:id="2120"/>
          </w:p>
          <w:p>
            <w:bookmarkStart w:id="2121" w:name="b_One_of_the_book_s_authors_had"/>
            <w:pPr>
              <w:pStyle w:val="Para 062"/>
            </w:pPr>
            <w:hyperlink w:anchor="b_2">
              <w:r>
                <w:rPr>
                  <w:rStyle w:val="Text1"/>
                </w:rPr>
                <w:t>b</w:t>
              </w:r>
            </w:hyperlink>
            <w:r>
              <w:t xml:space="preserve"> One of the book’s authors had this very problem when memoizing return values and exceptions raised in </w:t>
            </w:r>
            <w:r>
              <w:rPr>
                <w:rStyle w:val="Text25"/>
              </w:rPr>
              <w:t>pyparsing</w:t>
            </w:r>
            <w:r>
              <w:t>: the cached exception tracebacks held many object references and interfered with garbage collection. The solution was to clear the tracebacks of the exceptions before putting them in the cache.</w:t>
            </w:r>
            <w:bookmarkEnd w:id="2121"/>
          </w:p>
        </w:tc>
        <w:tc>
          <w:tcPr>
            <w:hMerge w:val="continue"/>
          </w:tcPr>
          <w:p/>
        </w:tc>
      </w:tr>
    </w:tbl>
    <w:p>
      <w:bookmarkStart w:id="2122" w:name="The_copy_Module__As_discussed_in"/>
      <w:pPr>
        <w:keepNext/>
        <w:pStyle w:val="Heading 1"/>
      </w:pPr>
      <w:r>
        <w:t>The copy Module</w:t>
      </w:r>
      <w:bookmarkEnd w:id="2122"/>
    </w:p>
    <w:p>
      <w:pPr>
        <w:pStyle w:val="Normal"/>
      </w:pPr>
      <w:r>
        <w:t>As</w:t>
      </w:r>
      <w:r>
        <w:rPr>
          <w:rStyle w:val="Text111"/>
        </w:rPr>
        <w:bookmarkStart w:id="2123" w:name="idm45965214667520"/>
        <w:t/>
        <w:bookmarkEnd w:id="2123"/>
        <w:bookmarkStart w:id="2124" w:name="idm45965214665760"/>
        <w:t/>
        <w:bookmarkEnd w:id="2124"/>
        <w:bookmarkStart w:id="2125" w:name="idm45965214664544"/>
        <w:t/>
        <w:bookmarkEnd w:id="2125"/>
        <w:bookmarkStart w:id="2126" w:name="SLcopy08"/>
        <w:t/>
        <w:bookmarkEnd w:id="2126"/>
      </w:r>
      <w:r>
        <w:t xml:space="preserve"> discussed in </w:t>
      </w:r>
      <w:hyperlink w:anchor="Assignment_Statements__Assignmen">
        <w:r>
          <w:rPr>
            <w:rStyle w:val="Text1"/>
          </w:rPr>
          <w:t>“Assignment Statements”</w:t>
        </w:r>
      </w:hyperlink>
      <w:r>
        <w:t xml:space="preserve">, assignments in Python do not </w:t>
      </w:r>
      <w:r>
        <w:rPr>
          <w:rStyle w:val="Text4"/>
        </w:rPr>
        <w:t>copy</w:t>
      </w:r>
      <w:r>
        <w:t xml:space="preserve"> the righthand-side object being assigned. Rather, assignments </w:t>
      </w:r>
      <w:r>
        <w:rPr>
          <w:rStyle w:val="Text4"/>
        </w:rPr>
        <w:t>add references</w:t>
      </w:r>
      <w:r>
        <w:t xml:space="preserve"> to the RHS object. When you want a </w:t>
      </w:r>
      <w:r>
        <w:rPr>
          <w:rStyle w:val="Text4"/>
        </w:rPr>
        <w:t>copy</w:t>
      </w:r>
      <w:r>
        <w:t xml:space="preserve"> of object </w:t>
      </w:r>
      <w:r>
        <w:rPr>
          <w:rStyle w:val="Text3"/>
        </w:rPr>
        <w:t>x</w:t>
      </w:r>
      <w:r>
        <w:t xml:space="preserve">, ask </w:t>
      </w:r>
      <w:r>
        <w:rPr>
          <w:rStyle w:val="Text3"/>
        </w:rPr>
        <w:t>x</w:t>
      </w:r>
      <w:r>
        <w:t xml:space="preserve"> for a copy of itself, or ask </w:t>
      </w:r>
      <w:r>
        <w:rPr>
          <w:rStyle w:val="Text3"/>
        </w:rPr>
        <w:t>x</w:t>
      </w:r>
      <w:r>
        <w:t xml:space="preserve">’s type to make a new instance copied from </w:t>
      </w:r>
      <w:r>
        <w:rPr>
          <w:rStyle w:val="Text3"/>
        </w:rPr>
        <w:t>x</w:t>
      </w:r>
      <w:r>
        <w:t xml:space="preserve">. If </w:t>
      </w:r>
      <w:r>
        <w:rPr>
          <w:rStyle w:val="Text3"/>
        </w:rPr>
        <w:t>x</w:t>
      </w:r>
      <w:r>
        <w:t xml:space="preserve"> is a list, </w:t>
      </w:r>
      <w:r>
        <w:rPr>
          <w:rStyle w:val="Text0"/>
        </w:rPr>
        <w:t>list(</w:t>
      </w:r>
      <w:r>
        <w:rPr>
          <w:rStyle w:val="Text3"/>
        </w:rPr>
        <w:t>x</w:t>
      </w:r>
      <w:r>
        <w:rPr>
          <w:rStyle w:val="Text0"/>
        </w:rPr>
        <w:t>)</w:t>
      </w:r>
      <w:r>
        <w:t xml:space="preserve"> returns a copy of </w:t>
      </w:r>
      <w:r>
        <w:rPr>
          <w:rStyle w:val="Text3"/>
        </w:rPr>
        <w:t>x</w:t>
      </w:r>
      <w:r>
        <w:t xml:space="preserve">, as does </w:t>
      </w:r>
      <w:r>
        <w:rPr>
          <w:rStyle w:val="Text3"/>
        </w:rPr>
        <w:t>x</w:t>
      </w:r>
      <w:r>
        <w:rPr>
          <w:rStyle w:val="Text0"/>
        </w:rPr>
        <w:t>[:]</w:t>
      </w:r>
      <w:r>
        <w:t xml:space="preserve">. If </w:t>
      </w:r>
      <w:r>
        <w:rPr>
          <w:rStyle w:val="Text3"/>
        </w:rPr>
        <w:t>x</w:t>
      </w:r>
      <w:r>
        <w:t xml:space="preserve"> is a dictionary, </w:t>
      </w:r>
      <w:r>
        <w:rPr>
          <w:rStyle w:val="Text0"/>
        </w:rPr>
        <w:t>dict(</w:t>
      </w:r>
      <w:r>
        <w:rPr>
          <w:rStyle w:val="Text3"/>
        </w:rPr>
        <w:t>x</w:t>
      </w:r>
      <w:r>
        <w:rPr>
          <w:rStyle w:val="Text0"/>
        </w:rPr>
        <w:t>)</w:t>
      </w:r>
      <w:r>
        <w:t xml:space="preserve"> and </w:t>
      </w:r>
      <w:r>
        <w:rPr>
          <w:rStyle w:val="Text3"/>
        </w:rPr>
        <w:t>x</w:t>
      </w:r>
      <w:r>
        <w:rPr>
          <w:rStyle w:val="Text0"/>
        </w:rPr>
        <w:t>.copy()</w:t>
      </w:r>
      <w:r>
        <w:t xml:space="preserve"> return a copy of </w:t>
      </w:r>
      <w:r>
        <w:rPr>
          <w:rStyle w:val="Text3"/>
        </w:rPr>
        <w:t>x</w:t>
      </w:r>
      <w:r>
        <w:t xml:space="preserve">. If </w:t>
      </w:r>
      <w:r>
        <w:rPr>
          <w:rStyle w:val="Text3"/>
        </w:rPr>
        <w:t>x</w:t>
      </w:r>
      <w:r>
        <w:t xml:space="preserve"> is a set, </w:t>
      </w:r>
      <w:r>
        <w:rPr>
          <w:rStyle w:val="Text0"/>
        </w:rPr>
        <w:t>set(</w:t>
      </w:r>
      <w:r>
        <w:rPr>
          <w:rStyle w:val="Text3"/>
        </w:rPr>
        <w:t>x</w:t>
      </w:r>
      <w:r>
        <w:rPr>
          <w:rStyle w:val="Text0"/>
        </w:rPr>
        <w:t>)</w:t>
      </w:r>
      <w:r>
        <w:t xml:space="preserve"> and </w:t>
      </w:r>
      <w:r>
        <w:rPr>
          <w:rStyle w:val="Text3"/>
        </w:rPr>
        <w:t>x</w:t>
      </w:r>
      <w:r>
        <w:rPr>
          <w:rStyle w:val="Text0"/>
        </w:rPr>
        <w:t>.copy()</w:t>
      </w:r>
      <w:r>
        <w:t xml:space="preserve"> return a copy of </w:t>
      </w:r>
      <w:r>
        <w:rPr>
          <w:rStyle w:val="Text3"/>
        </w:rPr>
        <w:t>x</w:t>
      </w:r>
      <w:r>
        <w:t>. In each case, this book’s authors prefer the uniform and readable idiom of calling the type, but there is no consensus on this style issue in the Python community.</w:t>
      </w:r>
    </w:p>
    <w:p>
      <w:pPr>
        <w:pStyle w:val="Normal"/>
      </w:pPr>
      <w:r>
        <w:t xml:space="preserve">The </w:t>
      </w:r>
      <w:r>
        <w:rPr>
          <w:rStyle w:val="Text0"/>
        </w:rPr>
        <w:t>copy</w:t>
      </w:r>
      <w:r>
        <w:t xml:space="preserve"> module supplies a </w:t>
      </w:r>
      <w:r>
        <w:rPr>
          <w:rStyle w:val="Text0"/>
        </w:rPr>
        <w:t>copy</w:t>
      </w:r>
      <w:r>
        <w:t xml:space="preserve"> function to create and return a copy of many types of objects. Normal copies, such as those returned by </w:t>
      </w:r>
      <w:r>
        <w:rPr>
          <w:rStyle w:val="Text0"/>
        </w:rPr>
        <w:t>list(</w:t>
      </w:r>
      <w:r>
        <w:rPr>
          <w:rStyle w:val="Text3"/>
        </w:rPr>
        <w:t>x</w:t>
      </w:r>
      <w:r>
        <w:rPr>
          <w:rStyle w:val="Text0"/>
        </w:rPr>
        <w:t>)</w:t>
      </w:r>
      <w:r>
        <w:t xml:space="preserve"> for a list </w:t>
      </w:r>
      <w:r>
        <w:rPr>
          <w:rStyle w:val="Text3"/>
        </w:rPr>
        <w:t>x</w:t>
      </w:r>
      <w:r>
        <w:t xml:space="preserve"> and </w:t>
      </w:r>
      <w:r>
        <w:rPr>
          <w:rStyle w:val="Text0"/>
        </w:rPr>
        <w:t>copy.copy(</w:t>
      </w:r>
      <w:r>
        <w:rPr>
          <w:rStyle w:val="Text3"/>
        </w:rPr>
        <w:t>x</w:t>
      </w:r>
      <w:r>
        <w:rPr>
          <w:rStyle w:val="Text0"/>
        </w:rPr>
        <w:t>)</w:t>
      </w:r>
      <w:r>
        <w:t xml:space="preserve"> for any </w:t>
      </w:r>
      <w:r>
        <w:rPr>
          <w:rStyle w:val="Text3"/>
        </w:rPr>
        <w:t>x</w:t>
      </w:r>
      <w:r>
        <w:t>, are known as</w:t>
      </w:r>
      <w:r>
        <w:rPr>
          <w:rStyle w:val="Text111"/>
        </w:rPr>
        <w:bookmarkStart w:id="2127" w:name="idm45965214637616"/>
        <w:t/>
        <w:bookmarkEnd w:id="2127"/>
      </w:r>
      <w:r>
        <w:t xml:space="preserve"> </w:t>
      </w:r>
      <w:r>
        <w:rPr>
          <w:rStyle w:val="Text4"/>
        </w:rPr>
        <w:t>shallow</w:t>
      </w:r>
      <w:r>
        <w:t xml:space="preserve"> copies: when </w:t>
      </w:r>
      <w:r>
        <w:rPr>
          <w:rStyle w:val="Text3"/>
        </w:rPr>
        <w:t>x</w:t>
      </w:r>
      <w:r>
        <w:t xml:space="preserve"> has references to other objects (either as items or as attributes), a normal (shallow) copy of </w:t>
      </w:r>
      <w:r>
        <w:rPr>
          <w:rStyle w:val="Text3"/>
        </w:rPr>
        <w:t>x</w:t>
      </w:r>
      <w:r>
        <w:t xml:space="preserve"> has distinct references to the </w:t>
      </w:r>
      <w:r>
        <w:rPr>
          <w:rStyle w:val="Text4"/>
        </w:rPr>
        <w:t>same</w:t>
      </w:r>
      <w:r>
        <w:t xml:space="preserve"> objects. Sometimes, however, you need a </w:t>
      </w:r>
      <w:r>
        <w:rPr>
          <w:rStyle w:val="Text4"/>
        </w:rPr>
        <w:t>deep</w:t>
      </w:r>
      <w:r>
        <w:t xml:space="preserve"> copy, where referenced objects are deep-copied recursively (fortunately, this need is rare, since a deep copy can take a lot of memory and time); for these cases, the </w:t>
      </w:r>
      <w:r>
        <w:rPr>
          <w:rStyle w:val="Text0"/>
        </w:rPr>
        <w:t>copy</w:t>
      </w:r>
      <w:r>
        <w:t xml:space="preserve"> module also supplies a </w:t>
      </w:r>
      <w:r>
        <w:rPr>
          <w:rStyle w:val="Text0"/>
        </w:rPr>
        <w:t>deepcopy</w:t>
      </w:r>
      <w:r>
        <w:t xml:space="preserve"> function. These functions are discussed further in </w:t>
      </w:r>
      <w:hyperlink w:anchor="Table_8_4__copy_module_functions">
        <w:r>
          <w:rPr>
            <w:rStyle w:val="Text1"/>
          </w:rPr>
          <w:t>Table 8-4</w:t>
        </w:r>
      </w:hyperlink>
      <w:r>
        <w:t>.</w:t>
      </w:r>
    </w:p>
    <w:tbl>
      <w:tblPr>
        <w:tblW w:type="auto" w:w="0"/>
      </w:tblPr>
      <w:tr>
        <w:tc>
          <w:tcPr>
            <w:tcW w:type="auto" w:w="0"/>
            <w:tcMar>
              <w:left w:type="dxa" w:w="200"/>
              <w:top w:type="dxa" w:w="200"/>
              <w:right w:type="dxa" w:w="200"/>
              <w:bottom w:type="dxa" w:w="200"/>
            </w:tcMar>
          </w:tcPr>
          <w:p>
            <w:bookmarkStart w:id="2128" w:name="Table_8_4__copy_module_functions"/>
            <w:pPr>
              <w:pStyle w:val="Para 011"/>
            </w:pPr>
            <w:r>
              <w:rPr>
                <w:rStyle w:val="Text117"/>
              </w:rPr>
              <w:t/>
            </w:r>
            <w:r>
              <w:t xml:space="preserve">Table 8-4. </w:t>
            </w:r>
            <w:r>
              <w:rPr>
                <w:rStyle w:val="Text0"/>
              </w:rPr>
              <w:t>copy</w:t>
            </w:r>
            <w:r>
              <w:t xml:space="preserve"> module functions</w:t>
            </w:r>
            <w:bookmarkEnd w:id="2128"/>
          </w:p>
          <w:p>
            <w:pPr>
              <w:pStyle w:val="Para 001"/>
            </w:pPr>
            <w:r>
              <w:t>copy</w:t>
            </w:r>
          </w:p>
        </w:tc>
        <w:tc>
          <w:tcPr>
            <w:tcW w:type="auto" w:w="0"/>
            <w:tcMar>
              <w:left w:type="dxa" w:w="200"/>
              <w:top w:type="dxa" w:w="200"/>
              <w:right w:type="dxa" w:w="200"/>
              <w:bottom w:type="dxa" w:w="200"/>
            </w:tcMar>
          </w:tcPr>
          <w:p>
            <w:pPr>
              <w:pStyle w:val="Para 002"/>
            </w:pPr>
            <w:r>
              <w:rPr>
                <w:rStyle w:val="Text0"/>
              </w:rPr>
              <w:t>copy(</w:t>
            </w:r>
            <w:r>
              <w:rPr>
                <w:rStyle w:val="Text3"/>
              </w:rPr>
              <w:t>x</w:t>
            </w:r>
            <w:r>
              <w:rPr>
                <w:rStyle w:val="Text0"/>
              </w:rPr>
              <w:t>)</w:t>
              <w:br w:clear="none"/>
            </w:r>
            <w:r>
              <w:t xml:space="preserve"> Creates</w:t>
            </w:r>
            <w:r>
              <w:rPr>
                <w:rStyle w:val="Text111"/>
              </w:rPr>
              <w:bookmarkStart w:id="2129" w:name="idm45965214625552"/>
              <w:t/>
              <w:bookmarkEnd w:id="2129"/>
            </w:r>
            <w:r>
              <w:t xml:space="preserve"> and returns a shallow copy of </w:t>
            </w:r>
            <w:r>
              <w:rPr>
                <w:rStyle w:val="Text3"/>
              </w:rPr>
              <w:t>x</w:t>
            </w:r>
            <w:r>
              <w:t xml:space="preserve">, for </w:t>
            </w:r>
            <w:r>
              <w:rPr>
                <w:rStyle w:val="Text3"/>
              </w:rPr>
              <w:t>x</w:t>
            </w:r>
            <w:r>
              <w:t xml:space="preserve"> of many types (modules, files, frames, and other internal types, however, are not supported). When </w:t>
            </w:r>
            <w:r>
              <w:rPr>
                <w:rStyle w:val="Text3"/>
              </w:rPr>
              <w:t>x</w:t>
            </w:r>
            <w:r>
              <w:t xml:space="preserve"> is immutable, </w:t>
            </w:r>
            <w:r>
              <w:rPr>
                <w:rStyle w:val="Text0"/>
              </w:rPr>
              <w:t>copy.copy(</w:t>
            </w:r>
            <w:r>
              <w:rPr>
                <w:rStyle w:val="Text3"/>
              </w:rPr>
              <w:t>x</w:t>
            </w:r>
            <w:r>
              <w:rPr>
                <w:rStyle w:val="Text0"/>
              </w:rPr>
              <w:t>)</w:t>
            </w:r>
            <w:r>
              <w:t xml:space="preserve"> may return </w:t>
            </w:r>
            <w:r>
              <w:rPr>
                <w:rStyle w:val="Text3"/>
              </w:rPr>
              <w:t>x</w:t>
            </w:r>
            <w:r>
              <w:t xml:space="preserve"> itself as an optimization. A class can customize the way </w:t>
            </w:r>
            <w:r>
              <w:rPr>
                <w:rStyle w:val="Text0"/>
              </w:rPr>
              <w:t>copy.copy</w:t>
            </w:r>
            <w:r>
              <w:t xml:space="preserve"> copies its instances by having a special method </w:t>
            </w:r>
            <w:r>
              <w:rPr>
                <w:rStyle w:val="Text0"/>
              </w:rPr>
              <w:t>__copy__(self)</w:t>
            </w:r>
            <w:r>
              <w:t xml:space="preserve"> that returns a new object, a shallow copy of </w:t>
            </w:r>
            <w:r>
              <w:rPr>
                <w:rStyle w:val="Text0"/>
              </w:rPr>
              <w:t>self</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deepcopy</w:t>
            </w:r>
          </w:p>
        </w:tc>
        <w:tc>
          <w:tcPr>
            <w:tcW w:type="auto" w:w="0"/>
            <w:shd w:val="clear" w:color="auto" w:fill="EEF2F6"/>
            <w:tcMar>
              <w:left w:type="dxa" w:w="200"/>
              <w:top w:type="dxa" w:w="200"/>
              <w:right w:type="dxa" w:w="200"/>
              <w:bottom w:type="dxa" w:w="200"/>
            </w:tcMar>
          </w:tcPr>
          <w:p>
            <w:pPr>
              <w:pStyle w:val="Para 002"/>
            </w:pPr>
            <w:r>
              <w:rPr>
                <w:rStyle w:val="Text0"/>
              </w:rPr>
              <w:t>deepcopy(</w:t>
            </w:r>
            <w:r>
              <w:rPr>
                <w:rStyle w:val="Text3"/>
              </w:rPr>
              <w:t>x</w:t>
            </w:r>
            <w:r>
              <w:rPr>
                <w:rStyle w:val="Text0"/>
              </w:rPr>
              <w:t>,[memo])</w:t>
              <w:br w:clear="none"/>
            </w:r>
            <w:r>
              <w:t xml:space="preserve"> Makes</w:t>
            </w:r>
            <w:r>
              <w:rPr>
                <w:rStyle w:val="Text111"/>
              </w:rPr>
              <w:bookmarkStart w:id="2130" w:name="idm45965214613376"/>
              <w:t/>
              <w:bookmarkEnd w:id="2130"/>
            </w:r>
            <w:r>
              <w:t xml:space="preserve"> a deep copy of </w:t>
            </w:r>
            <w:r>
              <w:rPr>
                <w:rStyle w:val="Text3"/>
              </w:rPr>
              <w:t>x</w:t>
            </w:r>
            <w:r>
              <w:t xml:space="preserve"> and returns it. Deep copying implies a </w:t>
            </w:r>
            <w:hyperlink r:id="rId305">
              <w:r>
                <w:rPr>
                  <w:rStyle w:val="Text1"/>
                </w:rPr>
                <w:t>recursive walk</w:t>
              </w:r>
            </w:hyperlink>
            <w:r>
              <w:t xml:space="preserve"> over a directed (but not necessarily </w:t>
            </w:r>
            <w:hyperlink r:id="rId306">
              <w:r>
                <w:rPr>
                  <w:rStyle w:val="Text1"/>
                </w:rPr>
                <w:t>acyclic</w:t>
              </w:r>
            </w:hyperlink>
            <w:r>
              <w:t xml:space="preserve">) graph of references. Be aware that to reproduce the graph’s exact shape, when references to the same object are met more than once during the walk, you must </w:t>
            </w:r>
            <w:r>
              <w:rPr>
                <w:rStyle w:val="Text4"/>
              </w:rPr>
              <w:t>not</w:t>
            </w:r>
            <w:r>
              <w:t xml:space="preserve"> make distinct copies; rather, you must use </w:t>
            </w:r>
            <w:r>
              <w:rPr>
                <w:rStyle w:val="Text4"/>
              </w:rPr>
              <w:t>references</w:t>
            </w:r>
            <w:r>
              <w:t xml:space="preserve"> to the same copied object. Consider the following simple example: </w:t>
            </w:r>
          </w:p>
          <w:p>
            <w:pPr>
              <w:pStyle w:val="Para 029"/>
            </w:pPr>
            <w:r>
              <w:rPr>
                <w:rStyle w:val="Text23"/>
              </w:rPr>
              <w:t xml:space="preserve"/>
              <w:br w:clear="none"/>
            </w:r>
            <w:r>
              <w:t xml:space="preserve">sublist</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2</w:t>
              <w:br w:clear="none"/>
            </w:r>
            <w:r>
              <w:rPr>
                <w:rStyle w:val="Text7"/>
              </w:rPr>
              <w:t xml:space="preserve">]</w:t>
              <w:br w:clear="none"/>
            </w:r>
            <w:r>
              <w:rPr>
                <w:rStyle w:val="Text23"/>
              </w:rPr>
              <w:t xml:space="preserve"/>
              <w:br w:clear="none"/>
            </w:r>
            <w:r>
              <w:t xml:space="preserve">original</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t xml:space="preserve">sublist</w:t>
              <w:br w:clear="none"/>
            </w:r>
            <w:r>
              <w:rPr>
                <w:rStyle w:val="Text7"/>
              </w:rPr>
              <w:t xml:space="preserve">,</w:t>
              <w:br w:clear="none"/>
            </w:r>
            <w:r>
              <w:rPr>
                <w:rStyle w:val="Text23"/>
              </w:rPr>
              <w:t xml:space="preserve"> </w:t>
              <w:br w:clear="none"/>
            </w:r>
            <w:r>
              <w:t xml:space="preserve">sublist</w:t>
              <w:br w:clear="none"/>
            </w:r>
            <w:r>
              <w:rPr>
                <w:rStyle w:val="Text7"/>
              </w:rPr>
              <w:t xml:space="preserve">]</w:t>
              <w:br w:clear="none"/>
            </w:r>
            <w:r>
              <w:rPr>
                <w:rStyle w:val="Text23"/>
              </w:rPr>
              <w:t xml:space="preserve"/>
              <w:br w:clear="none"/>
            </w:r>
            <w:r>
              <w:t xml:space="preserve">thecopy</w:t>
              <w:br w:clear="none"/>
            </w:r>
            <w:r>
              <w:rPr>
                <w:rStyle w:val="Text23"/>
              </w:rPr>
              <w:t xml:space="preserve"> </w:t>
              <w:br w:clear="none"/>
            </w:r>
            <w:r>
              <w:rPr>
                <w:rStyle w:val="Text13"/>
              </w:rPr>
              <w:t xml:space="preserve">=</w:t>
              <w:br w:clear="none"/>
            </w:r>
            <w:r>
              <w:rPr>
                <w:rStyle w:val="Text23"/>
              </w:rPr>
              <w:t xml:space="preserve"> </w:t>
              <w:br w:clear="none"/>
            </w:r>
            <w:r>
              <w:t xml:space="preserve">copy</w:t>
              <w:br w:clear="none"/>
            </w:r>
            <w:r>
              <w:rPr>
                <w:rStyle w:val="Text13"/>
              </w:rPr>
              <w:t xml:space="preserve">.</w:t>
              <w:br w:clear="none"/>
            </w:r>
            <w:r>
              <w:t xml:space="preserve">deepcopy</w:t>
              <w:br w:clear="none"/>
            </w:r>
            <w:r>
              <w:rPr>
                <w:rStyle w:val="Text7"/>
              </w:rPr>
              <w:t xml:space="preserve">(</w:t>
              <w:br w:clear="none"/>
            </w:r>
            <w:r>
              <w:t xml:space="preserve">original</w:t>
              <w:br w:clear="none"/>
            </w:r>
            <w:r>
              <w:rPr>
                <w:rStyle w:val="Text7"/>
              </w:rPr>
              <w:t xml:space="preserve">)</w:t>
              <w:br w:clear="none"/>
            </w:r>
          </w:p>
          <w:p>
            <w:pPr>
              <w:pStyle w:val="Para 022"/>
            </w:pPr>
            <w:r>
              <w:rPr>
                <w:rStyle w:val="Text0"/>
              </w:rPr>
              <w:t>original[0]</w:t>
            </w:r>
            <w:r>
              <w:t xml:space="preserve"> </w:t>
            </w:r>
            <w:r>
              <w:rPr>
                <w:rStyle w:val="Text5"/>
              </w:rPr>
              <w:t>is</w:t>
            </w:r>
            <w:r>
              <w:t xml:space="preserve"> </w:t>
            </w:r>
            <w:r>
              <w:rPr>
                <w:rStyle w:val="Text0"/>
              </w:rPr>
              <w:t>original[1]</w:t>
            </w:r>
            <w:r>
              <w:t xml:space="preserve"> is </w:t>
            </w:r>
            <w:r>
              <w:rPr>
                <w:rStyle w:val="Text5"/>
              </w:rPr>
              <w:t>True</w:t>
            </w:r>
            <w:r>
              <w:t xml:space="preserve"> (i.e., the two items of </w:t>
            </w:r>
            <w:r>
              <w:rPr>
                <w:rStyle w:val="Text0"/>
              </w:rPr>
              <w:t>original</w:t>
            </w:r>
            <w:r>
              <w:t xml:space="preserve"> refer to the same object). This is an important property of </w:t>
            </w:r>
            <w:r>
              <w:rPr>
                <w:rStyle w:val="Text0"/>
              </w:rPr>
              <w:t>original</w:t>
            </w:r>
            <w:r>
              <w:t xml:space="preserve">, and anything claiming to be “a copy” must preserve it. The semantics of </w:t>
            </w:r>
            <w:r>
              <w:rPr>
                <w:rStyle w:val="Text0"/>
              </w:rPr>
              <w:t>copy.deepcopy</w:t>
            </w:r>
            <w:r>
              <w:t xml:space="preserve"> ensure that </w:t>
            </w:r>
            <w:r>
              <w:rPr>
                <w:rStyle w:val="Text0"/>
              </w:rPr>
              <w:t>thecopy[0]</w:t>
            </w:r>
            <w:r>
              <w:t xml:space="preserve"> </w:t>
            </w:r>
            <w:r>
              <w:rPr>
                <w:rStyle w:val="Text5"/>
              </w:rPr>
              <w:t>is</w:t>
            </w:r>
            <w:r>
              <w:t xml:space="preserve"> </w:t>
            </w:r>
            <w:r>
              <w:rPr>
                <w:rStyle w:val="Text0"/>
              </w:rPr>
              <w:t>thecopy[1]</w:t>
            </w:r>
            <w:r>
              <w:t xml:space="preserve"> is also </w:t>
            </w:r>
            <w:r>
              <w:rPr>
                <w:rStyle w:val="Text5"/>
              </w:rPr>
              <w:t>True</w:t>
            </w:r>
            <w:r>
              <w:t xml:space="preserve">: the graphs of references of </w:t>
            </w:r>
            <w:r>
              <w:rPr>
                <w:rStyle w:val="Text0"/>
              </w:rPr>
              <w:t>original</w:t>
            </w:r>
            <w:r>
              <w:t xml:space="preserve"> and </w:t>
            </w:r>
            <w:r>
              <w:rPr>
                <w:rStyle w:val="Text0"/>
              </w:rPr>
              <w:t>thecopy</w:t>
            </w:r>
            <w:r>
              <w:t xml:space="preserve"> have the same shape. Avoiding repeated copying has an important beneficial side effect: it prevents infinite loops that would otherwise occur when the graph of references has cycles.</w:t>
              <w:br w:clear="none"/>
              <w:t xml:space="preserve"> </w:t>
            </w:r>
            <w:r>
              <w:rPr>
                <w:rStyle w:val="Text0"/>
              </w:rPr>
              <w:t>copy.deepcopy</w:t>
            </w:r>
            <w:r>
              <w:t xml:space="preserve"> accepts a second, optional argument: </w:t>
            </w:r>
            <w:r>
              <w:rPr>
                <w:rStyle w:val="Text0"/>
              </w:rPr>
              <w:t>memo</w:t>
            </w:r>
            <w:r>
              <w:t xml:space="preserve">, a </w:t>
            </w:r>
            <w:r>
              <w:rPr>
                <w:rStyle w:val="Text0"/>
              </w:rPr>
              <w:t>dict</w:t>
            </w:r>
            <w:r>
              <w:t xml:space="preserve"> that maps the </w:t>
            </w:r>
            <w:r>
              <w:rPr>
                <w:rStyle w:val="Text0"/>
              </w:rPr>
              <w:t>id</w:t>
            </w:r>
            <w:r>
              <w:t xml:space="preserve"> of each object already copied to the new object that is its copy. </w:t>
            </w:r>
            <w:r>
              <w:rPr>
                <w:rStyle w:val="Text0"/>
              </w:rPr>
              <w:t>memo</w:t>
            </w:r>
            <w:r>
              <w:t xml:space="preserve"> is passed by all recursive calls of </w:t>
            </w:r>
            <w:r>
              <w:rPr>
                <w:rStyle w:val="Text0"/>
              </w:rPr>
              <w:t>deepcopy</w:t>
            </w:r>
            <w:r>
              <w:t xml:space="preserve"> to itself; you may also explicitly pass it (normally as an originally empty </w:t>
            </w:r>
            <w:r>
              <w:rPr>
                <w:rStyle w:val="Text0"/>
              </w:rPr>
              <w:t>dict</w:t>
            </w:r>
            <w:r>
              <w:t xml:space="preserve">) if you also need to obtain a correspondence map between the identities of originals and copies (the final state of </w:t>
            </w:r>
            <w:r>
              <w:rPr>
                <w:rStyle w:val="Text0"/>
              </w:rPr>
              <w:t>memo</w:t>
            </w:r>
            <w:r>
              <w:t xml:space="preserve"> will then be just such a mapping).</w:t>
              <w:br w:clear="none"/>
              <w:t xml:space="preserve"> A class can customize the way </w:t>
            </w:r>
            <w:r>
              <w:rPr>
                <w:rStyle w:val="Text0"/>
              </w:rPr>
              <w:t>copy.deepcopy</w:t>
            </w:r>
            <w:r>
              <w:t xml:space="preserve"> copies its instances by having a special method </w:t>
            </w:r>
            <w:r>
              <w:rPr>
                <w:rStyle w:val="Text0"/>
              </w:rPr>
              <w:t>__deepcopy__(self,</w:t>
            </w:r>
            <w:r>
              <w:t xml:space="preserve"> </w:t>
            </w:r>
            <w:r>
              <w:rPr>
                <w:rStyle w:val="Text0"/>
              </w:rPr>
              <w:t>memo)</w:t>
            </w:r>
            <w:r>
              <w:t xml:space="preserve"> that returns a new object, a deep copy of </w:t>
            </w:r>
            <w:r>
              <w:rPr>
                <w:rStyle w:val="Text0"/>
              </w:rPr>
              <w:t>self</w:t>
            </w:r>
            <w:r>
              <w:t xml:space="preserve">. When </w:t>
            </w:r>
            <w:r>
              <w:rPr>
                <w:rStyle w:val="Text0"/>
              </w:rPr>
              <w:t>__deepcopy__</w:t>
            </w:r>
            <w:r>
              <w:t xml:space="preserve"> needs to deep-copy some referenced object </w:t>
            </w:r>
            <w:r>
              <w:rPr>
                <w:rStyle w:val="Text3"/>
              </w:rPr>
              <w:t>subobject</w:t>
            </w:r>
            <w:r>
              <w:t xml:space="preserve">, it must do so by calling </w:t>
            </w:r>
            <w:r>
              <w:rPr>
                <w:rStyle w:val="Text0"/>
              </w:rPr>
              <w:t>copy.deepcopy(</w:t>
            </w:r>
            <w:r>
              <w:rPr>
                <w:rStyle w:val="Text3"/>
              </w:rPr>
              <w:t>subobject</w:t>
            </w:r>
            <w:r>
              <w:rPr>
                <w:rStyle w:val="Text0"/>
              </w:rPr>
              <w:t>, memo)</w:t>
            </w:r>
            <w:r>
              <w:t xml:space="preserve">. When a class has no special method </w:t>
            </w:r>
            <w:r>
              <w:rPr>
                <w:rStyle w:val="Text0"/>
              </w:rPr>
              <w:t>__deepcopy__</w:t>
            </w:r>
            <w:r>
              <w:t xml:space="preserve">, </w:t>
            </w:r>
            <w:r>
              <w:rPr>
                <w:rStyle w:val="Text0"/>
              </w:rPr>
              <w:t>copy.deepcopy</w:t>
            </w:r>
            <w:r>
              <w:t xml:space="preserve"> on an instance of that class also tries calling the special methods </w:t>
            </w:r>
            <w:r>
              <w:rPr>
                <w:rStyle w:val="Text0"/>
              </w:rPr>
              <w:t>__getinitargs__</w:t>
            </w:r>
            <w:r>
              <w:t xml:space="preserve">, </w:t>
            </w:r>
            <w:r>
              <w:rPr>
                <w:rStyle w:val="Text0"/>
              </w:rPr>
              <w:t>__getnewargs__</w:t>
            </w:r>
            <w:r>
              <w:t xml:space="preserve">, </w:t>
            </w:r>
            <w:r>
              <w:rPr>
                <w:rStyle w:val="Text0"/>
              </w:rPr>
              <w:t>__getstate__</w:t>
            </w:r>
            <w:r>
              <w:t xml:space="preserve">, and </w:t>
            </w:r>
            <w:r>
              <w:rPr>
                <w:rStyle w:val="Text0"/>
              </w:rPr>
              <w:t>__setstate__</w:t>
            </w:r>
            <w:r>
              <w:t>, covered in</w:t>
            </w:r>
            <w:r>
              <w:rPr>
                <w:rStyle w:val="Text111"/>
              </w:rPr>
              <w:bookmarkStart w:id="2131" w:name="idm45965214533424"/>
              <w:t/>
              <w:bookmarkEnd w:id="2131"/>
            </w:r>
            <w:r>
              <w:t xml:space="preserve"> </w:t>
            </w:r>
            <w:hyperlink w:anchor="Pickling_instances__In_order_for">
              <w:r>
                <w:rPr>
                  <w:rStyle w:val="Text1"/>
                </w:rPr>
                <w:t>“Pickling instances”</w:t>
              </w:r>
            </w:hyperlink>
            <w:r>
              <w:t>.</w:t>
            </w:r>
          </w:p>
        </w:tc>
      </w:tr>
    </w:tbl>
    <w:p>
      <w:bookmarkStart w:id="2132" w:name="The_collections_Module__The_coll"/>
      <w:pPr>
        <w:keepNext/>
        <w:pStyle w:val="Heading 1"/>
      </w:pPr>
      <w:r>
        <w:t>The collections Module</w:t>
      </w:r>
      <w:bookmarkEnd w:id="2132"/>
    </w:p>
    <w:p>
      <w:pPr>
        <w:pStyle w:val="Normal"/>
      </w:pPr>
      <w:r>
        <w:t>The</w:t>
      </w:r>
      <w:r>
        <w:rPr>
          <w:rStyle w:val="Text111"/>
        </w:rPr>
        <w:bookmarkStart w:id="2133" w:name="colmod08"/>
        <w:t/>
        <w:bookmarkEnd w:id="2133"/>
        <w:bookmarkStart w:id="2134" w:name="SLcollect08"/>
        <w:t/>
        <w:bookmarkEnd w:id="2134"/>
      </w:r>
      <w:r>
        <w:t xml:space="preserve"> </w:t>
      </w:r>
      <w:r>
        <w:rPr>
          <w:rStyle w:val="Text0"/>
        </w:rPr>
        <w:t>collections</w:t>
      </w:r>
      <w:r>
        <w:t xml:space="preserve"> module supplies useful types that are collections (i.e., containers), as well as the ABCs covered in </w:t>
      </w:r>
      <w:hyperlink w:anchor="Abstract_Base_Classes__Abstract">
        <w:r>
          <w:rPr>
            <w:rStyle w:val="Text1"/>
          </w:rPr>
          <w:t>“Abstract Base Classes”</w:t>
        </w:r>
      </w:hyperlink>
      <w:r>
        <w:t xml:space="preserve">. Since Python 3.4, the ABCs have been in </w:t>
      </w:r>
      <w:r>
        <w:rPr>
          <w:rStyle w:val="Text0"/>
        </w:rPr>
        <w:t>collections.abc</w:t>
      </w:r>
      <w:r>
        <w:t xml:space="preserve">; for backward compatibility they could still be accessed directly in </w:t>
      </w:r>
      <w:r>
        <w:rPr>
          <w:rStyle w:val="Text0"/>
        </w:rPr>
        <w:t>collections</w:t>
      </w:r>
      <w:r>
        <w:t xml:space="preserve"> itself until Python 3.9, but this functionality was removed in 3.10.</w:t>
      </w:r>
    </w:p>
    <w:p>
      <w:bookmarkStart w:id="2135" w:name="ChainMap__ChainMap__chains__mult"/>
      <w:pPr>
        <w:keepNext/>
        <w:pStyle w:val="Heading 2"/>
      </w:pPr>
      <w:r>
        <w:t>ChainMap</w:t>
      </w:r>
      <w:bookmarkEnd w:id="2135"/>
    </w:p>
    <w:p>
      <w:pPr>
        <w:pStyle w:val="Normal"/>
      </w:pPr>
      <w:r>
        <w:rPr>
          <w:rStyle w:val="Text0"/>
        </w:rPr>
        <w:t>ChainMap</w:t>
      </w:r>
      <w:r>
        <w:rPr>
          <w:rStyle w:val="Text111"/>
        </w:rPr>
        <w:bookmarkStart w:id="2136" w:name="idm45965214521232"/>
        <w:t/>
        <w:bookmarkEnd w:id="2136"/>
      </w:r>
      <w:r>
        <w:t xml:space="preserve"> “chains” multiple mappings together; given a </w:t>
      </w:r>
      <w:r>
        <w:rPr>
          <w:rStyle w:val="Text0"/>
        </w:rPr>
        <w:t>ChainMap</w:t>
      </w:r>
      <w:r>
        <w:t xml:space="preserve"> instance </w:t>
      </w:r>
      <w:r>
        <w:rPr>
          <w:rStyle w:val="Text3"/>
        </w:rPr>
        <w:t>c</w:t>
      </w:r>
      <w:r>
        <w:t xml:space="preserve">, accessing </w:t>
      </w:r>
      <w:r>
        <w:rPr>
          <w:rStyle w:val="Text3"/>
        </w:rPr>
        <w:t>c</w:t>
      </w:r>
      <w:r>
        <w:rPr>
          <w:rStyle w:val="Text0"/>
        </w:rPr>
        <w:t>[</w:t>
      </w:r>
      <w:r>
        <w:rPr>
          <w:rStyle w:val="Text3"/>
        </w:rPr>
        <w:t>key</w:t>
      </w:r>
      <w:r>
        <w:rPr>
          <w:rStyle w:val="Text0"/>
        </w:rPr>
        <w:t>]</w:t>
      </w:r>
      <w:r>
        <w:t xml:space="preserve"> returns the value in the first of the mappings that has that key, while </w:t>
      </w:r>
      <w:r>
        <w:rPr>
          <w:rStyle w:val="Text4"/>
        </w:rPr>
        <w:t>all</w:t>
      </w:r>
      <w:r>
        <w:t xml:space="preserve"> changes to </w:t>
      </w:r>
      <w:r>
        <w:rPr>
          <w:rStyle w:val="Text3"/>
        </w:rPr>
        <w:t>c</w:t>
      </w:r>
      <w:r>
        <w:t xml:space="preserve"> affect only the very first mapping in </w:t>
      </w:r>
      <w:r>
        <w:rPr>
          <w:rStyle w:val="Text3"/>
        </w:rPr>
        <w:t>c</w:t>
      </w:r>
      <w:r>
        <w:t>. To further explain, you could approximate this as follows: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ChainMap</w:t>
        <w:br w:clear="none"/>
      </w:r>
      <w:r>
        <w:rPr>
          <w:rStyle w:val="Text7"/>
        </w:rPr>
        <w:t xml:space="preserve">(</w:t>
        <w:br w:clear="none"/>
      </w:r>
      <w:r>
        <w:rPr>
          <w:rStyle w:val="Text9"/>
        </w:rPr>
        <w:t xml:space="preserve">collections</w:t>
        <w:br w:clear="none"/>
      </w:r>
      <w:r>
        <w:rPr>
          <w:rStyle w:val="Text13"/>
        </w:rPr>
        <w:t xml:space="preserve">.</w:t>
        <w:br w:clear="none"/>
      </w:r>
      <w:r>
        <w:rPr>
          <w:rStyle w:val="Text9"/>
        </w:rPr>
        <w:t xml:space="preserve">abc</w:t>
        <w:br w:clear="none"/>
      </w:r>
      <w:r>
        <w:rPr>
          <w:rStyle w:val="Text13"/>
        </w:rPr>
        <w:t xml:space="preserve">.</w:t>
        <w:br w:clear="none"/>
      </w:r>
      <w:r>
        <w:rPr>
          <w:rStyle w:val="Text9"/>
        </w:rPr>
        <w:t xml:space="preserve">MutableMapping</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13"/>
        </w:rPr>
        <w:t xml:space="preserve">*</w:t>
        <w:br w:clear="none"/>
      </w:r>
      <w:r>
        <w:rPr>
          <w:rStyle w:val="Text9"/>
        </w:rPr>
        <w:t xml:space="preserve">maps</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maps</w:t>
        <w:br w:clear="none"/>
      </w:r>
      <w:r>
        <w:t xml:space="preserve"> </w:t>
        <w:br w:clear="none"/>
      </w:r>
      <w:r>
        <w:rPr>
          <w:rStyle w:val="Text13"/>
        </w:rPr>
        <w:t xml:space="preserve">=</w:t>
        <w:br w:clear="none"/>
      </w:r>
      <w:r>
        <w:t xml:space="preserve"> </w:t>
        <w:br w:clear="none"/>
      </w:r>
      <w:r>
        <w:rPr>
          <w:rStyle w:val="Text16"/>
        </w:rPr>
        <w:t xml:space="preserve">list</w:t>
        <w:br w:clear="none"/>
      </w:r>
      <w:r>
        <w:rPr>
          <w:rStyle w:val="Text7"/>
        </w:rPr>
        <w:t xml:space="preserve">(</w:t>
        <w:br w:clear="none"/>
      </w:r>
      <w:r>
        <w:rPr>
          <w:rStyle w:val="Text9"/>
        </w:rPr>
        <w:t xml:space="preserve">maps</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_keys</w:t>
        <w:br w:clear="none"/>
      </w:r>
      <w:r>
        <w:t xml:space="preserve"> </w:t>
        <w:br w:clear="none"/>
      </w:r>
      <w:r>
        <w:rPr>
          <w:rStyle w:val="Text13"/>
        </w:rPr>
        <w:t xml:space="preserve">=</w:t>
        <w:br w:clear="none"/>
      </w:r>
      <w:r>
        <w:t xml:space="preserve"> </w:t>
        <w:br w:clear="none"/>
      </w:r>
      <w:r>
        <w:rPr>
          <w:rStyle w:val="Text16"/>
        </w:rPr>
        <w:t xml:space="preserve">set</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m</w:t>
        <w:br w:clear="none"/>
      </w:r>
      <w:r>
        <w:t xml:space="preserve"> </w:t>
        <w:br w:clear="none"/>
      </w:r>
      <w:r>
        <w:rPr>
          <w:rStyle w:val="Text31"/>
        </w:rPr>
        <w:t xml:space="preserve">in</w:t>
        <w:br w:clear="none"/>
      </w:r>
      <w:r>
        <w:t xml:space="preserve"> </w:t>
        <w:br w:clear="none"/>
      </w:r>
      <w:r>
        <w:rPr>
          <w:rStyle w:val="Text16"/>
        </w:rPr>
        <w:t xml:space="preserve">self</w:t>
        <w:br w:clear="none"/>
      </w:r>
      <w:r>
        <w:rPr>
          <w:rStyle w:val="Text13"/>
        </w:rPr>
        <w:t xml:space="preserve">.</w:t>
        <w:br w:clear="none"/>
      </w:r>
      <w:r>
        <w:rPr>
          <w:rStyle w:val="Text9"/>
        </w:rPr>
        <w:t xml:space="preserve">maps</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_keys</w:t>
        <w:br w:clear="none"/>
      </w:r>
      <w:r>
        <w:rPr>
          <w:rStyle w:val="Text13"/>
        </w:rPr>
        <w:t xml:space="preserve">.</w:t>
        <w:br w:clear="none"/>
      </w:r>
      <w:r>
        <w:rPr>
          <w:rStyle w:val="Text9"/>
        </w:rPr>
        <w:t xml:space="preserve">update</w:t>
        <w:br w:clear="none"/>
      </w:r>
      <w:r>
        <w:rPr>
          <w:rStyle w:val="Text7"/>
        </w:rPr>
        <w:t xml:space="preserve">(</w:t>
        <w:br w:clear="none"/>
      </w:r>
      <w:r>
        <w:rPr>
          <w:rStyle w:val="Text9"/>
        </w:rPr>
        <w:t xml:space="preserve">m</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__len__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t>
        <w:br w:clear="none"/>
      </w:r>
      <w:r>
        <w:rPr>
          <w:rStyle w:val="Text10"/>
        </w:rPr>
        <w:t xml:space="preserve">return</w:t>
        <w:br w:clear="none"/>
      </w:r>
      <w:r>
        <w:t xml:space="preserve"> </w:t>
        <w:br w:clear="none"/>
      </w:r>
      <w:r>
        <w:rPr>
          <w:rStyle w:val="Text16"/>
        </w:rPr>
        <w:t xml:space="preserve">len</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_keys</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__iter__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t>
        <w:br w:clear="none"/>
      </w:r>
      <w:r>
        <w:rPr>
          <w:rStyle w:val="Text10"/>
        </w:rPr>
        <w:t xml:space="preserve">return</w:t>
        <w:br w:clear="none"/>
      </w:r>
      <w:r>
        <w:t xml:space="preserve"> </w:t>
        <w:br w:clear="none"/>
      </w:r>
      <w:r>
        <w:rPr>
          <w:rStyle w:val="Text16"/>
        </w:rPr>
        <w:t xml:space="preserve">iter</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_keys</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__getitem__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key</w:t>
        <w:br w:clear="none"/>
      </w:r>
      <w:r>
        <w:t xml:space="preserve"> </w:t>
        <w:br w:clear="none"/>
      </w:r>
      <w:r>
        <w:rPr>
          <w:rStyle w:val="Text31"/>
        </w:rPr>
        <w:t xml:space="preserve">not</w:t>
        <w:br w:clear="none"/>
      </w:r>
      <w:r>
        <w:rPr>
          <w:rStyle w:val="Text37"/>
        </w:rPr>
        <w:t xml:space="preserve"> </w:t>
        <w:br w:clear="none"/>
      </w:r>
      <w:r>
        <w:rPr>
          <w:rStyle w:val="Text31"/>
        </w:rPr>
        <w:t xml:space="preserve">in</w:t>
        <w:br w:clear="none"/>
      </w:r>
      <w:r>
        <w:t xml:space="preserve"> </w:t>
        <w:br w:clear="none"/>
      </w:r>
      <w:r>
        <w:rPr>
          <w:rStyle w:val="Text16"/>
        </w:rPr>
        <w:t xml:space="preserve">self</w:t>
        <w:br w:clear="none"/>
      </w:r>
      <w:r>
        <w:rPr>
          <w:rStyle w:val="Text13"/>
        </w:rPr>
        <w:t xml:space="preserve">.</w:t>
        <w:br w:clear="none"/>
      </w:r>
      <w:r>
        <w:rPr>
          <w:rStyle w:val="Text9"/>
        </w:rPr>
        <w:t xml:space="preserve">_keys</w:t>
        <w:br w:clear="none"/>
      </w:r>
      <w:r>
        <w:rPr>
          <w:rStyle w:val="Text7"/>
        </w:rPr>
        <w:t xml:space="preserve">:</w:t>
        <w:br w:clear="none"/>
      </w:r>
      <w:r>
        <w:t xml:space="preserve"> </w:t>
        <w:br w:clear="none"/>
      </w:r>
      <w:r>
        <w:rPr>
          <w:rStyle w:val="Text10"/>
        </w:rPr>
        <w:t xml:space="preserve">raise</w:t>
        <w:br w:clear="none"/>
      </w:r>
      <w:r>
        <w:t xml:space="preserve"> </w:t>
        <w:br w:clear="none"/>
      </w:r>
      <w:r>
        <w:rPr>
          <w:rStyle w:val="Text36"/>
        </w:rPr>
        <w:t xml:space="preserve">KeyError</w:t>
        <w:br w:clear="none"/>
      </w:r>
      <w:r>
        <w:rPr>
          <w:rStyle w:val="Text7"/>
        </w:rPr>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m</w:t>
        <w:br w:clear="none"/>
      </w:r>
      <w:r>
        <w:t xml:space="preserve"> </w:t>
        <w:br w:clear="none"/>
      </w:r>
      <w:r>
        <w:rPr>
          <w:rStyle w:val="Text31"/>
        </w:rPr>
        <w:t xml:space="preserve">in</w:t>
        <w:br w:clear="none"/>
      </w:r>
      <w:r>
        <w:t xml:space="preserve"> </w:t>
        <w:br w:clear="none"/>
      </w:r>
      <w:r>
        <w:rPr>
          <w:rStyle w:val="Text16"/>
        </w:rPr>
        <w:t xml:space="preserve">self</w:t>
        <w:br w:clear="none"/>
      </w:r>
      <w:r>
        <w:rPr>
          <w:rStyle w:val="Text13"/>
        </w:rPr>
        <w:t xml:space="preserve">.</w:t>
        <w:br w:clear="none"/>
      </w:r>
      <w:r>
        <w:rPr>
          <w:rStyle w:val="Text9"/>
        </w:rPr>
        <w:t xml:space="preserve">maps</w:t>
        <w:br w:clear="none"/>
      </w:r>
      <w:r>
        <w:rPr>
          <w:rStyle w:val="Text7"/>
        </w:rPr>
        <w:t xml:space="preserve">:</w:t>
        <w:br w:clear="none"/>
      </w:r>
      <w:r>
        <w:t xml:space="preserve"/>
        <w:br w:clear="none"/>
        <w:t xml:space="preserve">            </w:t>
        <w:br w:clear="none"/>
      </w:r>
      <w:r>
        <w:rPr>
          <w:rStyle w:val="Text10"/>
        </w:rPr>
        <w:t xml:space="preserve">try</w:t>
        <w:br w:clear="none"/>
      </w:r>
      <w:r>
        <w:rPr>
          <w:rStyle w:val="Text7"/>
        </w:rPr>
        <w:t xml:space="preserve">:</w:t>
        <w:br w:clear="none"/>
      </w:r>
      <w:r>
        <w:t xml:space="preserve"> </w:t>
        <w:br w:clear="none"/>
      </w:r>
      <w:r>
        <w:rPr>
          <w:rStyle w:val="Text10"/>
        </w:rPr>
        <w:t xml:space="preserve">return</w:t>
        <w:br w:clear="none"/>
      </w:r>
      <w:r>
        <w:t xml:space="preserve"> </w:t>
        <w:br w:clear="none"/>
      </w:r>
      <w:r>
        <w:rPr>
          <w:rStyle w:val="Text9"/>
        </w:rPr>
        <w:t xml:space="preserve">m</w:t>
        <w:br w:clear="none"/>
      </w:r>
      <w:r>
        <w:rPr>
          <w:rStyle w:val="Text7"/>
        </w:rPr>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0"/>
        </w:rPr>
        <w:t xml:space="preserve">except</w:t>
        <w:br w:clear="none"/>
      </w:r>
      <w:r>
        <w:t xml:space="preserve"> </w:t>
        <w:br w:clear="none"/>
      </w:r>
      <w:r>
        <w:rPr>
          <w:rStyle w:val="Text36"/>
        </w:rPr>
        <w:t xml:space="preserve">KeyError</w:t>
        <w:br w:clear="none"/>
      </w:r>
      <w:r>
        <w:rPr>
          <w:rStyle w:val="Text7"/>
        </w:rPr>
        <w:t xml:space="preserve">:</w:t>
        <w:br w:clear="none"/>
      </w:r>
      <w:r>
        <w:t xml:space="preserve"> </w:t>
        <w:br w:clear="none"/>
      </w:r>
      <w:r>
        <w:rPr>
          <w:rStyle w:val="Text10"/>
        </w:rPr>
        <w:t xml:space="preserve">pass</w:t>
        <w:br w:clear="none"/>
      </w:r>
      <w:r>
        <w:t xml:space="preserve"/>
        <w:br w:clear="none"/>
        <w:t xml:space="preserve">    </w:t>
        <w:br w:clear="none"/>
      </w:r>
      <w:r>
        <w:rPr>
          <w:rStyle w:val="Text10"/>
        </w:rPr>
        <w:t xml:space="preserve">def</w:t>
        <w:br w:clear="none"/>
      </w:r>
      <w:r>
        <w:t xml:space="preserve"> </w:t>
        <w:br w:clear="none"/>
        <w:t xml:space="preserve">__setitem__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r>
      <w:r>
        <w:t xml:space="preserve"> </w:t>
        <w:br w:clear="none"/>
      </w:r>
      <w:r>
        <w:rPr>
          <w:rStyle w:val="Text9"/>
        </w:rPr>
        <w:t xml:space="preserve">value</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maps</w:t>
        <w:br w:clear="none"/>
      </w:r>
      <w:r>
        <w:rPr>
          <w:rStyle w:val="Text7"/>
        </w:rPr>
        <w:t xml:space="preserve">[</w:t>
        <w:br w:clear="none"/>
      </w:r>
      <w:r>
        <w:rPr>
          <w:rStyle w:val="Text27"/>
        </w:rPr>
        <w:t xml:space="preserve">0</w:t>
        <w:br w:clear="none"/>
      </w:r>
      <w:r>
        <w:rPr>
          <w:rStyle w:val="Text7"/>
        </w:rPr>
        <w:t xml:space="preserve">]</w:t>
        <w:br w:clear="none"/>
        <w:t xml:space="preserve">[</w:t>
        <w:br w:clear="none"/>
      </w:r>
      <w:r>
        <w:rPr>
          <w:rStyle w:val="Text9"/>
        </w:rPr>
        <w:t xml:space="preserve">key</w:t>
        <w:br w:clear="none"/>
      </w:r>
      <w:r>
        <w:rPr>
          <w:rStyle w:val="Text7"/>
        </w:rPr>
        <w:t xml:space="preserve">]</w:t>
        <w:br w:clear="none"/>
      </w:r>
      <w:r>
        <w:t xml:space="preserve"> </w:t>
        <w:br w:clear="none"/>
      </w:r>
      <w:r>
        <w:rPr>
          <w:rStyle w:val="Text13"/>
        </w:rPr>
        <w:t xml:space="preserve">=</w:t>
        <w:br w:clear="none"/>
      </w:r>
      <w:r>
        <w:t xml:space="preserve"> </w:t>
        <w:br w:clear="none"/>
      </w:r>
      <w:r>
        <w:rPr>
          <w:rStyle w:val="Text9"/>
        </w:rPr>
        <w:t xml:space="preserve">value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_keys</w:t>
        <w:br w:clear="none"/>
      </w:r>
      <w:r>
        <w:rPr>
          <w:rStyle w:val="Text13"/>
        </w:rPr>
        <w:t xml:space="preserve">.</w:t>
        <w:br w:clear="none"/>
      </w:r>
      <w:r>
        <w:rPr>
          <w:rStyle w:val="Text9"/>
        </w:rPr>
        <w:t xml:space="preserve">add</w:t>
        <w:br w:clear="none"/>
      </w:r>
      <w:r>
        <w:rPr>
          <w:rStyle w:val="Text7"/>
        </w:rPr>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0"/>
        </w:rPr>
        <w:t xml:space="preserve">def</w:t>
        <w:br w:clear="none"/>
      </w:r>
      <w:r>
        <w:t xml:space="preserve"> </w:t>
        <w:br w:clear="none"/>
        <w:t xml:space="preserve">__delitem__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t xml:space="preserve">:</w:t>
        <w:br w:clear="none"/>
      </w:r>
      <w:r>
        <w:t xml:space="preserve"/>
        <w:br w:clear="none"/>
        <w:t xml:space="preserve">        </w:t>
        <w:br w:clear="none"/>
      </w:r>
      <w:r>
        <w:rPr>
          <w:rStyle w:val="Text10"/>
        </w:rPr>
        <w:t xml:space="preserve">del</w:t>
        <w:br w:clear="none"/>
      </w:r>
      <w:r>
        <w:t xml:space="preserve"> </w:t>
        <w:br w:clear="none"/>
      </w:r>
      <w:r>
        <w:rPr>
          <w:rStyle w:val="Text16"/>
        </w:rPr>
        <w:t xml:space="preserve">self</w:t>
        <w:br w:clear="none"/>
      </w:r>
      <w:r>
        <w:rPr>
          <w:rStyle w:val="Text13"/>
        </w:rPr>
        <w:t xml:space="preserve">.</w:t>
        <w:br w:clear="none"/>
      </w:r>
      <w:r>
        <w:rPr>
          <w:rStyle w:val="Text9"/>
        </w:rPr>
        <w:t xml:space="preserve">maps</w:t>
        <w:br w:clear="none"/>
      </w:r>
      <w:r>
        <w:rPr>
          <w:rStyle w:val="Text7"/>
        </w:rPr>
        <w:t xml:space="preserve">[</w:t>
        <w:br w:clear="none"/>
      </w:r>
      <w:r>
        <w:rPr>
          <w:rStyle w:val="Text27"/>
        </w:rPr>
        <w:t xml:space="preserve">0</w:t>
        <w:br w:clear="none"/>
      </w:r>
      <w:r>
        <w:rPr>
          <w:rStyle w:val="Text7"/>
        </w:rPr>
        <w:t xml:space="preserve">]</w:t>
        <w:br w:clear="none"/>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_keys</w:t>
        <w:br w:clear="none"/>
      </w:r>
      <w:r>
        <w:t xml:space="preserve"> </w:t>
        <w:br w:clear="none"/>
      </w:r>
      <w:r>
        <w:rPr>
          <w:rStyle w:val="Text13"/>
        </w:rPr>
        <w:t xml:space="preserve">=</w:t>
        <w:br w:clear="none"/>
      </w:r>
      <w:r>
        <w:t xml:space="preserve"> </w:t>
        <w:br w:clear="none"/>
      </w:r>
      <w:r>
        <w:rPr>
          <w:rStyle w:val="Text16"/>
        </w:rPr>
        <w:t xml:space="preserve">set</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m</w:t>
        <w:br w:clear="none"/>
      </w:r>
      <w:r>
        <w:t xml:space="preserve"> </w:t>
        <w:br w:clear="none"/>
      </w:r>
      <w:r>
        <w:rPr>
          <w:rStyle w:val="Text31"/>
        </w:rPr>
        <w:t xml:space="preserve">in</w:t>
        <w:br w:clear="none"/>
      </w:r>
      <w:r>
        <w:t xml:space="preserve"> </w:t>
        <w:br w:clear="none"/>
      </w:r>
      <w:r>
        <w:rPr>
          <w:rStyle w:val="Text16"/>
        </w:rPr>
        <w:t xml:space="preserve">self</w:t>
        <w:br w:clear="none"/>
      </w:r>
      <w:r>
        <w:rPr>
          <w:rStyle w:val="Text13"/>
        </w:rPr>
        <w:t xml:space="preserve">.</w:t>
        <w:br w:clear="none"/>
      </w:r>
      <w:r>
        <w:rPr>
          <w:rStyle w:val="Text9"/>
        </w:rPr>
        <w:t xml:space="preserve">maps</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_keys</w:t>
        <w:br w:clear="none"/>
      </w:r>
      <w:r>
        <w:rPr>
          <w:rStyle w:val="Text13"/>
        </w:rPr>
        <w:t xml:space="preserve">.</w:t>
        <w:br w:clear="none"/>
      </w:r>
      <w:r>
        <w:rPr>
          <w:rStyle w:val="Text9"/>
        </w:rPr>
        <w:t xml:space="preserve">update</w:t>
        <w:br w:clear="none"/>
      </w:r>
      <w:r>
        <w:rPr>
          <w:rStyle w:val="Text7"/>
        </w:rPr>
        <w:t xml:space="preserve">(</w:t>
        <w:br w:clear="none"/>
      </w:r>
      <w:r>
        <w:rPr>
          <w:rStyle w:val="Text9"/>
        </w:rPr>
        <w:t xml:space="preserve">m</w:t>
        <w:br w:clear="none"/>
      </w:r>
      <w:r>
        <w:rPr>
          <w:rStyle w:val="Text7"/>
        </w:rPr>
        <w:t xml:space="preserve">)</w:t>
        <w:br w:clear="none"/>
      </w:r>
    </w:p>
    <w:p>
      <w:pPr>
        <w:pStyle w:val="Normal"/>
      </w:pPr>
      <w:r>
        <w:t xml:space="preserve">Other methods could be defined for efficiency, but this is the minimum set that a </w:t>
      </w:r>
      <w:r>
        <w:rPr>
          <w:rStyle w:val="Text0"/>
        </w:rPr>
        <w:t>MutableMapping</w:t>
      </w:r>
      <w:r>
        <w:t xml:space="preserve"> requires. See the </w:t>
      </w:r>
      <w:hyperlink r:id="rId307">
        <w:r>
          <w:rPr>
            <w:rStyle w:val="Text1"/>
          </w:rPr>
          <w:t>online docs</w:t>
        </w:r>
      </w:hyperlink>
      <w:r>
        <w:t xml:space="preserve"> for more details and a collection of recipes on how to use </w:t>
      </w:r>
      <w:r>
        <w:rPr>
          <w:rStyle w:val="Text0"/>
        </w:rPr>
        <w:t>ChainMap</w:t>
      </w:r>
      <w:r>
        <w:t>.</w:t>
      </w:r>
    </w:p>
    <w:p>
      <w:bookmarkStart w:id="2137" w:name="Counter__Counter_is_a_subclass_o"/>
      <w:pPr>
        <w:keepNext/>
        <w:pStyle w:val="Heading 2"/>
      </w:pPr>
      <w:r>
        <w:t>Counter</w:t>
      </w:r>
      <w:bookmarkEnd w:id="2137"/>
    </w:p>
    <w:p>
      <w:pPr>
        <w:pStyle w:val="Normal"/>
      </w:pPr>
      <w:r>
        <w:rPr>
          <w:rStyle w:val="Text0"/>
        </w:rPr>
        <w:t>Counter</w:t>
      </w:r>
      <w:r>
        <w:rPr>
          <w:rStyle w:val="Text111"/>
        </w:rPr>
        <w:bookmarkStart w:id="2138" w:name="idm45965214279392"/>
        <w:t/>
        <w:bookmarkEnd w:id="2138"/>
      </w:r>
      <w:r>
        <w:t xml:space="preserve"> is a subclass of </w:t>
      </w:r>
      <w:r>
        <w:rPr>
          <w:rStyle w:val="Text0"/>
        </w:rPr>
        <w:t>dict</w:t>
      </w:r>
      <w:r>
        <w:t xml:space="preserve"> with </w:t>
      </w:r>
      <w:r>
        <w:rPr>
          <w:rStyle w:val="Text0"/>
        </w:rPr>
        <w:t>int</w:t>
      </w:r>
      <w:r>
        <w:t xml:space="preserve"> values that are meant to </w:t>
      </w:r>
      <w:r>
        <w:rPr>
          <w:rStyle w:val="Text4"/>
        </w:rPr>
        <w:t>count</w:t>
      </w:r>
      <w:r>
        <w:t xml:space="preserve"> how many times a key has been seen (although values are allowed to be </w:t>
      </w:r>
      <w:r>
        <w:rPr>
          <w:rStyle w:val="Text0"/>
        </w:rPr>
        <w:t>&lt;= 0</w:t>
      </w:r>
      <w:r>
        <w:t xml:space="preserve">); it’s roughly equivalent to types that other languages call “bag” or “multiset” types. A </w:t>
      </w:r>
      <w:r>
        <w:rPr>
          <w:rStyle w:val="Text0"/>
        </w:rPr>
        <w:t>Counter</w:t>
      </w:r>
      <w:r>
        <w:t xml:space="preserve"> instance is normally built from an iterable whose items are hashable: </w:t>
      </w:r>
      <w:r>
        <w:rPr>
          <w:rStyle w:val="Text3"/>
        </w:rPr>
        <w:t>c</w:t>
      </w:r>
      <w:r>
        <w:t xml:space="preserve"> </w:t>
      </w:r>
      <w:r>
        <w:rPr>
          <w:rStyle w:val="Text0"/>
        </w:rPr>
        <w:t>= collections.Counter(</w:t>
      </w:r>
      <w:r>
        <w:rPr>
          <w:rStyle w:val="Text3"/>
        </w:rPr>
        <w:t>iterable</w:t>
      </w:r>
      <w:r>
        <w:rPr>
          <w:rStyle w:val="Text0"/>
        </w:rPr>
        <w:t>)</w:t>
      </w:r>
      <w:r>
        <w:t xml:space="preserve">. Then, you can index </w:t>
      </w:r>
      <w:r>
        <w:rPr>
          <w:rStyle w:val="Text3"/>
        </w:rPr>
        <w:t>c</w:t>
      </w:r>
      <w:r>
        <w:t xml:space="preserve"> with any of </w:t>
      </w:r>
      <w:r>
        <w:rPr>
          <w:rStyle w:val="Text3"/>
        </w:rPr>
        <w:t>iterable</w:t>
      </w:r>
      <w:r>
        <w:t xml:space="preserve">’s items to get the number of times that item appeared. When you index </w:t>
      </w:r>
      <w:r>
        <w:rPr>
          <w:rStyle w:val="Text3"/>
        </w:rPr>
        <w:t>c</w:t>
      </w:r>
      <w:r>
        <w:t xml:space="preserve"> with any missing key, the result is </w:t>
      </w:r>
      <w:r>
        <w:rPr>
          <w:rStyle w:val="Text0"/>
        </w:rPr>
        <w:t>0</w:t>
      </w:r>
      <w:r>
        <w:t xml:space="preserve"> (to </w:t>
      </w:r>
      <w:r>
        <w:rPr>
          <w:rStyle w:val="Text4"/>
        </w:rPr>
        <w:t>remove</w:t>
      </w:r>
      <w:r>
        <w:t xml:space="preserve"> an entry in </w:t>
      </w:r>
      <w:r>
        <w:rPr>
          <w:rStyle w:val="Text3"/>
        </w:rPr>
        <w:t>c</w:t>
      </w:r>
      <w:r>
        <w:t xml:space="preserve">, use </w:t>
      </w:r>
      <w:r>
        <w:rPr>
          <w:rStyle w:val="Text5"/>
        </w:rPr>
        <w:t>del</w:t>
      </w:r>
      <w:r>
        <w:t xml:space="preserve"> </w:t>
      </w:r>
      <w:r>
        <w:rPr>
          <w:rStyle w:val="Text3"/>
        </w:rPr>
        <w:t>c</w:t>
      </w:r>
      <w:r>
        <w:rPr>
          <w:rStyle w:val="Text0"/>
        </w:rPr>
        <w:t>[</w:t>
      </w:r>
      <w:r>
        <w:rPr>
          <w:rStyle w:val="Text3"/>
        </w:rPr>
        <w:t>entry</w:t>
      </w:r>
      <w:r>
        <w:rPr>
          <w:rStyle w:val="Text0"/>
        </w:rPr>
        <w:t>]</w:t>
      </w:r>
      <w:r>
        <w:t xml:space="preserve">; setting </w:t>
      </w:r>
      <w:r>
        <w:rPr>
          <w:rStyle w:val="Text3"/>
        </w:rPr>
        <w:t>c</w:t>
      </w:r>
      <w:r>
        <w:rPr>
          <w:rStyle w:val="Text0"/>
        </w:rPr>
        <w:t>[</w:t>
      </w:r>
      <w:r>
        <w:rPr>
          <w:rStyle w:val="Text3"/>
        </w:rPr>
        <w:t>entry</w:t>
      </w:r>
      <w:r>
        <w:rPr>
          <w:rStyle w:val="Text0"/>
        </w:rPr>
        <w:t>]=0</w:t>
      </w:r>
      <w:r>
        <w:t xml:space="preserve"> leaves </w:t>
      </w:r>
      <w:r>
        <w:rPr>
          <w:rStyle w:val="Text3"/>
        </w:rPr>
        <w:t>entry</w:t>
      </w:r>
      <w:r>
        <w:t xml:space="preserve"> in </w:t>
      </w:r>
      <w:r>
        <w:rPr>
          <w:rStyle w:val="Text3"/>
        </w:rPr>
        <w:t>c</w:t>
      </w:r>
      <w:r>
        <w:t xml:space="preserve">, with a value of </w:t>
      </w:r>
      <w:r>
        <w:rPr>
          <w:rStyle w:val="Text0"/>
        </w:rPr>
        <w:t>0</w:t>
      </w:r>
      <w:r>
        <w:t>).</w:t>
      </w:r>
    </w:p>
    <w:p>
      <w:pPr>
        <w:pStyle w:val="Normal"/>
      </w:pPr>
      <w:r>
        <w:rPr>
          <w:rStyle w:val="Text3"/>
        </w:rPr>
        <w:t>c</w:t>
      </w:r>
      <w:r>
        <w:t xml:space="preserve"> supports all methods of </w:t>
      </w:r>
      <w:r>
        <w:rPr>
          <w:rStyle w:val="Text0"/>
        </w:rPr>
        <w:t>dict</w:t>
      </w:r>
      <w:r>
        <w:t xml:space="preserve">; in particular, </w:t>
      </w:r>
      <w:r>
        <w:rPr>
          <w:rStyle w:val="Text3"/>
        </w:rPr>
        <w:t>c</w:t>
      </w:r>
      <w:r>
        <w:rPr>
          <w:rStyle w:val="Text0"/>
        </w:rPr>
        <w:t>.update(</w:t>
      </w:r>
      <w:r>
        <w:rPr>
          <w:rStyle w:val="Text3"/>
        </w:rPr>
        <w:t>otheriterable</w:t>
      </w:r>
      <w:r>
        <w:rPr>
          <w:rStyle w:val="Text0"/>
        </w:rPr>
        <w:t>)</w:t>
      </w:r>
      <w:r>
        <w:t xml:space="preserve"> updates all the counts, incrementing them according to occurrences in </w:t>
      </w:r>
      <w:r>
        <w:rPr>
          <w:rStyle w:val="Text3"/>
        </w:rPr>
        <w:t>otheriterable</w:t>
      </w:r>
      <w:r>
        <w:t>. So, for example: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c</w:t>
        <w:br w:clear="none"/>
      </w:r>
      <w:r>
        <w:rPr>
          <w:rStyle w:val="Text23"/>
        </w:rPr>
        <w:t xml:space="preserve"> </w:t>
        <w:br w:clear="none"/>
      </w:r>
      <w:r>
        <w:rPr>
          <w:rStyle w:val="Text13"/>
        </w:rPr>
        <w:t xml:space="preserve">=</w:t>
        <w:br w:clear="none"/>
      </w:r>
      <w:r>
        <w:rPr>
          <w:rStyle w:val="Text23"/>
        </w:rPr>
        <w:t xml:space="preserve"> </w:t>
        <w:br w:clear="none"/>
      </w:r>
      <w:r>
        <w:t xml:space="preserve">collections</w:t>
        <w:br w:clear="none"/>
      </w:r>
      <w:r>
        <w:rPr>
          <w:rStyle w:val="Text13"/>
        </w:rPr>
        <w:t xml:space="preserve">.</w:t>
        <w:br w:clear="none"/>
      </w:r>
      <w:r>
        <w:t xml:space="preserve">Counter</w:t>
        <w:br w:clear="none"/>
      </w:r>
      <w:r>
        <w:rPr>
          <w:rStyle w:val="Text7"/>
        </w:rPr>
        <w:t xml:space="preserve">(</w:t>
        <w:br w:clear="none"/>
      </w:r>
      <w:r>
        <w:rPr>
          <w:rStyle w:val="Text8"/>
        </w:rPr>
        <w:t xml:space="preserve">'moo'</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c</w:t>
        <w:br w:clear="none"/>
      </w:r>
      <w:r>
        <w:rPr>
          <w:rStyle w:val="Text13"/>
        </w:rPr>
        <w:t xml:space="preserve">.</w:t>
        <w:br w:clear="none"/>
      </w:r>
      <w:r>
        <w:t xml:space="preserve">update</w:t>
        <w:br w:clear="none"/>
      </w:r>
      <w:r>
        <w:rPr>
          <w:rStyle w:val="Text7"/>
        </w:rPr>
        <w:t xml:space="preserve">(</w:t>
        <w:br w:clear="none"/>
      </w:r>
      <w:r>
        <w:rPr>
          <w:rStyle w:val="Text8"/>
        </w:rPr>
        <w:t xml:space="preserve">'foo'</w:t>
        <w:br w:clear="none"/>
      </w:r>
      <w:r>
        <w:rPr>
          <w:rStyle w:val="Text7"/>
        </w:rPr>
        <w:t xml:space="preserve">)</w:t>
        <w:br w:clear="none"/>
      </w:r>
    </w:p>
    <w:p>
      <w:pPr>
        <w:pStyle w:val="Normal"/>
      </w:pPr>
      <w:r>
        <w:t xml:space="preserve">leaves </w:t>
      </w:r>
      <w:r>
        <w:rPr>
          <w:rStyle w:val="Text3"/>
        </w:rPr>
        <w:t>c</w:t>
      </w:r>
      <w:r>
        <w:rPr>
          <w:rStyle w:val="Text0"/>
        </w:rPr>
        <w:t>['o']</w:t>
      </w:r>
      <w:r>
        <w:t xml:space="preserve"> giving </w:t>
      </w:r>
      <w:r>
        <w:rPr>
          <w:rStyle w:val="Text0"/>
        </w:rPr>
        <w:t>4</w:t>
      </w:r>
      <w:r>
        <w:t xml:space="preserve">, and </w:t>
      </w:r>
      <w:r>
        <w:rPr>
          <w:rStyle w:val="Text3"/>
        </w:rPr>
        <w:t>c</w:t>
      </w:r>
      <w:r>
        <w:rPr>
          <w:rStyle w:val="Text0"/>
        </w:rPr>
        <w:t>['f']</w:t>
      </w:r>
      <w:r>
        <w:t xml:space="preserve"> and </w:t>
      </w:r>
      <w:r>
        <w:rPr>
          <w:rStyle w:val="Text3"/>
        </w:rPr>
        <w:t>c</w:t>
      </w:r>
      <w:r>
        <w:rPr>
          <w:rStyle w:val="Text0"/>
        </w:rPr>
        <w:t>['m']</w:t>
      </w:r>
      <w:r>
        <w:t xml:space="preserve"> each giving </w:t>
      </w:r>
      <w:r>
        <w:rPr>
          <w:rStyle w:val="Text0"/>
        </w:rPr>
        <w:t>1</w:t>
      </w:r>
      <w:r>
        <w:t xml:space="preserve">. Note that removing an entry from </w:t>
      </w:r>
      <w:r>
        <w:rPr>
          <w:rStyle w:val="Text3"/>
        </w:rPr>
        <w:t>c</w:t>
      </w:r>
      <w:r>
        <w:t xml:space="preserve"> (with </w:t>
      </w:r>
      <w:r>
        <w:rPr>
          <w:rStyle w:val="Text5"/>
        </w:rPr>
        <w:t>del</w:t>
      </w:r>
      <w:r>
        <w:t xml:space="preserve">) may </w:t>
      </w:r>
      <w:r>
        <w:rPr>
          <w:rStyle w:val="Text4"/>
        </w:rPr>
        <w:t>not</w:t>
      </w:r>
      <w:r>
        <w:t xml:space="preserve"> decrement the counter, but </w:t>
      </w:r>
      <w:r>
        <w:rPr>
          <w:rStyle w:val="Text0"/>
        </w:rPr>
        <w:t>subtract</w:t>
      </w:r>
      <w:r>
        <w:t xml:space="preserve"> (described in the following table) does:</w:t>
      </w:r>
    </w:p>
    <w:p>
      <w:pPr>
        <w:pStyle w:val="Para 020"/>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del</w:t>
        <w:br w:clear="none"/>
      </w:r>
      <w:r>
        <w:rPr>
          <w:rStyle w:val="Text6"/>
        </w:rPr>
        <w:t xml:space="preserve"> </w:t>
        <w:br w:clear="none"/>
      </w:r>
      <w:r>
        <w:rPr>
          <w:rStyle w:val="Text9"/>
        </w:rPr>
        <w:t xml:space="preserve">c</w:t>
        <w:br w:clear="none"/>
      </w:r>
      <w:r>
        <w:rPr>
          <w:rStyle w:val="Text7"/>
        </w:rPr>
        <w:t xml:space="preserve">[</w:t>
        <w:br w:clear="none"/>
      </w:r>
      <w:r>
        <w:t xml:space="preserve">'</w:t>
        <w:br w:clear="none"/>
        <w:t xml:space="preserve">foo</w:t>
        <w:br w:clear="none"/>
        <w:t xml:space="preserve">'</w:t>
        <w:br w:clear="none"/>
      </w:r>
      <w:r>
        <w:rPr>
          <w:rStyle w:val="Text7"/>
        </w:rPr>
        <w:t xml:space="preserve">]</w:t>
        <w:br w:clear="none"/>
      </w:r>
      <w:r>
        <w:rPr>
          <w:rStyle w:val="Text6"/>
        </w:rPr>
        <w:t xml:space="preserve">    </w:t>
        <w:br w:clear="none"/>
        <w:t xml:space="preserve"/>
        <w:br w:clear="none"/>
      </w:r>
      <w:r>
        <w:rPr>
          <w:rStyle w:val="Text13"/>
        </w:rPr>
        <w:t xml:space="preserve">&gt;&gt;</w:t>
        <w:br w:clear="none"/>
        <w:t xml:space="preserve">&gt;</w:t>
        <w:br w:clear="none"/>
      </w:r>
      <w:r>
        <w:rPr>
          <w:rStyle w:val="Text6"/>
        </w:rPr>
        <w:t xml:space="preserve"> </w:t>
        <w:br w:clear="none"/>
      </w:r>
      <w:r>
        <w:rPr>
          <w:rStyle w:val="Text9"/>
        </w:rPr>
        <w:t xml:space="preserve">c</w:t>
        <w:br w:clear="none"/>
      </w:r>
      <w:r>
        <w:rPr>
          <w:rStyle w:val="Text7"/>
        </w:rPr>
        <w:t xml:space="preserve">[</w:t>
        <w:br w:clear="none"/>
      </w:r>
      <w:r>
        <w:t xml:space="preserve">'</w:t>
        <w:br w:clear="none"/>
        <w:t xml:space="preserve">o</w:t>
        <w:br w:clear="none"/>
        <w:t xml:space="preserve">'</w:t>
        <w:br w:clear="none"/>
      </w:r>
      <w:r>
        <w:rPr>
          <w:rStyle w:val="Text7"/>
        </w:rPr>
        <w:t xml:space="preserve">]</w:t>
        <w:br w:clear="none"/>
      </w:r>
    </w:p>
    <w:p>
      <w:pPr>
        <w:pStyle w:val="Para 008"/>
      </w:pPr>
      <w:r>
        <w:rPr>
          <w:rStyle w:val="Text48"/>
        </w:rPr>
        <w:t xml:space="preserve"/>
        <w:br w:clear="none"/>
      </w:r>
      <w:r>
        <w:t xml:space="preserve">4</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c</w:t>
        <w:br w:clear="none"/>
      </w:r>
      <w:r>
        <w:rPr>
          <w:rStyle w:val="Text13"/>
        </w:rPr>
        <w:t xml:space="preserve">.</w:t>
        <w:br w:clear="none"/>
      </w:r>
      <w:r>
        <w:t xml:space="preserve">subtract</w:t>
        <w:br w:clear="none"/>
      </w:r>
      <w:r>
        <w:rPr>
          <w:rStyle w:val="Text7"/>
        </w:rPr>
        <w:t xml:space="preserve">(</w:t>
        <w:br w:clear="none"/>
      </w:r>
      <w:r>
        <w:rPr>
          <w:rStyle w:val="Text8"/>
        </w:rPr>
        <w:t xml:space="preserve">'foo'</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c</w:t>
        <w:br w:clear="none"/>
      </w:r>
      <w:r>
        <w:rPr>
          <w:rStyle w:val="Text7"/>
        </w:rPr>
        <w:t xml:space="preserve">[</w:t>
        <w:br w:clear="none"/>
      </w:r>
      <w:r>
        <w:rPr>
          <w:rStyle w:val="Text8"/>
        </w:rPr>
        <w:t xml:space="preserve">'o'</w:t>
        <w:br w:clear="none"/>
      </w:r>
      <w:r>
        <w:rPr>
          <w:rStyle w:val="Text7"/>
        </w:rPr>
        <w:t xml:space="preserve">]</w:t>
        <w:br w:clear="none"/>
      </w:r>
    </w:p>
    <w:p>
      <w:pPr>
        <w:pStyle w:val="Para 008"/>
      </w:pPr>
      <w:r>
        <w:rPr>
          <w:rStyle w:val="Text48"/>
        </w:rPr>
        <w:t xml:space="preserve"/>
        <w:br w:clear="none"/>
      </w:r>
      <w:r>
        <w:t xml:space="preserve">2</w:t>
        <w:br w:clear="none"/>
      </w:r>
    </w:p>
    <w:p>
      <w:pPr>
        <w:pStyle w:val="Normal"/>
      </w:pPr>
      <w:r>
        <w:t xml:space="preserve">In addition to </w:t>
      </w:r>
      <w:r>
        <w:rPr>
          <w:rStyle w:val="Text0"/>
        </w:rPr>
        <w:t>dict</w:t>
      </w:r>
      <w:r>
        <w:t xml:space="preserve"> methods, </w:t>
      </w:r>
      <w:r>
        <w:rPr>
          <w:rStyle w:val="Text3"/>
        </w:rPr>
        <w:t>c</w:t>
      </w:r>
      <w:r>
        <w:t xml:space="preserve"> supports the extra methods detailed in </w:t>
      </w:r>
      <w:hyperlink w:anchor="Table_8_5__Methods_of_a_Counter">
        <w:r>
          <w:rPr>
            <w:rStyle w:val="Text1"/>
          </w:rPr>
          <w:t>Table 8-5</w:t>
        </w:r>
      </w:hyperlink>
      <w:r>
        <w:t>.</w:t>
      </w:r>
    </w:p>
    <w:tbl>
      <w:tblPr>
        <w:tblW w:type="auto" w:w="0"/>
      </w:tblPr>
      <w:tr>
        <w:tc>
          <w:tcPr>
            <w:tcW w:type="auto" w:w="0"/>
            <w:tcMar>
              <w:left w:type="dxa" w:w="200"/>
              <w:top w:type="dxa" w:w="200"/>
              <w:right w:type="dxa" w:w="200"/>
              <w:bottom w:type="dxa" w:w="200"/>
            </w:tcMar>
          </w:tcPr>
          <w:p>
            <w:bookmarkStart w:id="2139" w:name="Table_8_5__Methods_of_a_Counter"/>
            <w:pPr>
              <w:pStyle w:val="Para 011"/>
            </w:pPr>
            <w:r>
              <w:rPr>
                <w:rStyle w:val="Text117"/>
              </w:rPr>
              <w:t/>
            </w:r>
            <w:r>
              <w:t xml:space="preserve">Table 8-5. </w:t>
              <w:t xml:space="preserve">Methods of a </w:t>
            </w:r>
            <w:r>
              <w:rPr>
                <w:rStyle w:val="Text0"/>
              </w:rPr>
              <w:t>Counter</w:t>
            </w:r>
            <w:r>
              <w:t xml:space="preserve"> instance </w:t>
            </w:r>
            <w:r>
              <w:rPr>
                <w:rStyle w:val="Text0"/>
              </w:rPr>
              <w:t>c</w:t>
            </w:r>
            <w:bookmarkEnd w:id="2139"/>
          </w:p>
          <w:p>
            <w:pPr>
              <w:pStyle w:val="Para 001"/>
            </w:pPr>
            <w:r>
              <w:t>elements</w:t>
            </w:r>
          </w:p>
        </w:tc>
        <w:tc>
          <w:tcPr>
            <w:tcW w:type="auto" w:w="0"/>
            <w:tcMar>
              <w:left w:type="dxa" w:w="200"/>
              <w:top w:type="dxa" w:w="200"/>
              <w:right w:type="dxa" w:w="200"/>
              <w:bottom w:type="dxa" w:w="200"/>
            </w:tcMar>
          </w:tcPr>
          <w:p>
            <w:pPr>
              <w:pStyle w:val="Para 002"/>
            </w:pPr>
            <w:r>
              <w:rPr>
                <w:rStyle w:val="Text3"/>
              </w:rPr>
              <w:t>c</w:t>
            </w:r>
            <w:r>
              <w:rPr>
                <w:rStyle w:val="Text0"/>
              </w:rPr>
              <w:t>.elements()</w:t>
              <w:br w:clear="none"/>
            </w:r>
            <w:r>
              <w:t xml:space="preserve"> Yields, in</w:t>
            </w:r>
            <w:r>
              <w:rPr>
                <w:rStyle w:val="Text111"/>
              </w:rPr>
              <w:bookmarkStart w:id="2140" w:name="idm45965278209712"/>
              <w:t/>
              <w:bookmarkEnd w:id="2140"/>
            </w:r>
            <w:r>
              <w:t xml:space="preserve"> arbitrary order, keys in </w:t>
            </w:r>
            <w:r>
              <w:rPr>
                <w:rStyle w:val="Text3"/>
              </w:rPr>
              <w:t>c</w:t>
            </w:r>
            <w:r>
              <w:t xml:space="preserve"> with </w:t>
            </w:r>
            <w:r>
              <w:rPr>
                <w:rStyle w:val="Text3"/>
              </w:rPr>
              <w:t>c</w:t>
            </w:r>
            <w:r>
              <w:rPr>
                <w:rStyle w:val="Text0"/>
              </w:rPr>
              <w:t>[</w:t>
            </w:r>
            <w:r>
              <w:rPr>
                <w:rStyle w:val="Text3"/>
              </w:rPr>
              <w:t>key</w:t>
            </w:r>
            <w:r>
              <w:rPr>
                <w:rStyle w:val="Text0"/>
              </w:rPr>
              <w:t>]&gt;0</w:t>
            </w:r>
            <w:r>
              <w:t>, yielding each key as many times as its count.</w:t>
            </w:r>
          </w:p>
        </w:tc>
      </w:tr>
    </w:tbl>
    <w:tbl>
      <w:tblPr>
        <w:tblW w:type="auto" w:w="0"/>
      </w:tblPr>
      <w:tr>
        <w:tc>
          <w:tcPr>
            <w:tcW w:type="auto" w:w="0"/>
            <w:shd w:val="clear" w:color="auto" w:fill="EEF2F6"/>
            <w:tcMar>
              <w:left w:type="dxa" w:w="200"/>
              <w:top w:type="dxa" w:w="200"/>
              <w:right w:type="dxa" w:w="200"/>
              <w:bottom w:type="dxa" w:w="200"/>
            </w:tcMar>
          </w:tcPr>
          <w:p>
            <w:pPr>
              <w:pStyle w:val="Para 001"/>
            </w:pPr>
            <w:r>
              <w:t>mo⁠s⁠t⁠_​c⁠o⁠m⁠mon</w:t>
            </w:r>
          </w:p>
        </w:tc>
        <w:tc>
          <w:tcPr>
            <w:tcW w:type="auto" w:w="0"/>
            <w:shd w:val="clear" w:color="auto" w:fill="EEF2F6"/>
            <w:tcMar>
              <w:left w:type="dxa" w:w="200"/>
              <w:top w:type="dxa" w:w="200"/>
              <w:right w:type="dxa" w:w="200"/>
              <w:bottom w:type="dxa" w:w="200"/>
            </w:tcMar>
          </w:tcPr>
          <w:p>
            <w:pPr>
              <w:pStyle w:val="Para 002"/>
            </w:pPr>
            <w:r>
              <w:rPr>
                <w:rStyle w:val="Text3"/>
              </w:rPr>
              <w:t>c</w:t>
            </w:r>
            <w:r>
              <w:rPr>
                <w:rStyle w:val="Text0"/>
              </w:rPr>
              <w:t>.most_common([</w:t>
            </w:r>
            <w:r>
              <w:rPr>
                <w:rStyle w:val="Text3"/>
              </w:rPr>
              <w:t>n</w:t>
            </w:r>
            <w:r>
              <w:rPr>
                <w:rStyle w:val="Text0"/>
              </w:rPr>
              <w:t>, /])</w:t>
              <w:br w:clear="none"/>
            </w:r>
            <w:r>
              <w:t xml:space="preserve"> Returns</w:t>
            </w:r>
            <w:r>
              <w:rPr>
                <w:rStyle w:val="Text111"/>
              </w:rPr>
              <w:bookmarkStart w:id="2141" w:name="idm45965278202032"/>
              <w:t/>
              <w:bookmarkEnd w:id="2141"/>
            </w:r>
            <w:r>
              <w:t xml:space="preserve"> a list of pairs for the </w:t>
            </w:r>
            <w:r>
              <w:rPr>
                <w:rStyle w:val="Text3"/>
              </w:rPr>
              <w:t>n</w:t>
            </w:r>
            <w:r>
              <w:t xml:space="preserve"> keys in </w:t>
            </w:r>
            <w:r>
              <w:rPr>
                <w:rStyle w:val="Text3"/>
              </w:rPr>
              <w:t>c</w:t>
            </w:r>
            <w:r>
              <w:t xml:space="preserve"> with the highest counts (all of them, if you omit </w:t>
            </w:r>
            <w:r>
              <w:rPr>
                <w:rStyle w:val="Text3"/>
              </w:rPr>
              <w:t>n</w:t>
            </w:r>
            <w:r>
              <w:t xml:space="preserve">), in order of decreasing count (“ties” between keys with the same count are resolved arbitrarily); each pair is of the form </w:t>
            </w:r>
            <w:r>
              <w:rPr>
                <w:rStyle w:val="Text0"/>
              </w:rPr>
              <w:t>(</w:t>
            </w:r>
            <w:r>
              <w:rPr>
                <w:rStyle w:val="Text3"/>
              </w:rPr>
              <w:t>k</w:t>
            </w:r>
            <w:r>
              <w:rPr>
                <w:rStyle w:val="Text0"/>
              </w:rPr>
              <w:t>,</w:t>
            </w:r>
            <w:r>
              <w:t xml:space="preserve"> </w:t>
            </w:r>
            <w:r>
              <w:rPr>
                <w:rStyle w:val="Text3"/>
              </w:rPr>
              <w:t>c</w:t>
            </w:r>
            <w:r>
              <w:rPr>
                <w:rStyle w:val="Text0"/>
              </w:rPr>
              <w:t>[</w:t>
            </w:r>
            <w:r>
              <w:rPr>
                <w:rStyle w:val="Text3"/>
              </w:rPr>
              <w:t>k</w:t>
            </w:r>
            <w:r>
              <w:rPr>
                <w:rStyle w:val="Text0"/>
              </w:rPr>
              <w:t>])</w:t>
            </w:r>
            <w:r>
              <w:t xml:space="preserve">, where </w:t>
            </w:r>
            <w:r>
              <w:rPr>
                <w:rStyle w:val="Text3"/>
              </w:rPr>
              <w:t>k</w:t>
            </w:r>
            <w:r>
              <w:t xml:space="preserve"> is one of the </w:t>
            </w:r>
            <w:r>
              <w:rPr>
                <w:rStyle w:val="Text3"/>
              </w:rPr>
              <w:t>n</w:t>
            </w:r>
            <w:r>
              <w:t xml:space="preserve"> most common keys in </w:t>
            </w:r>
            <w:r>
              <w:rPr>
                <w:rStyle w:val="Text3"/>
              </w:rPr>
              <w:t>c</w:t>
            </w:r>
            <w:r>
              <w:t>.</w:t>
            </w:r>
          </w:p>
        </w:tc>
      </w:tr>
    </w:tbl>
    <w:tbl>
      <w:tblPr>
        <w:tblW w:type="auto" w:w="0"/>
      </w:tblPr>
      <w:tr>
        <w:tc>
          <w:tcPr>
            <w:tcW w:type="auto" w:w="0"/>
            <w:tcMar>
              <w:left w:type="dxa" w:w="200"/>
              <w:top w:type="dxa" w:w="200"/>
              <w:right w:type="dxa" w:w="200"/>
              <w:bottom w:type="dxa" w:w="200"/>
            </w:tcMar>
          </w:tcPr>
          <w:p>
            <w:pPr>
              <w:pStyle w:val="Para 001"/>
            </w:pPr>
            <w:r>
              <w:t>subtract</w:t>
            </w:r>
          </w:p>
        </w:tc>
        <w:tc>
          <w:tcPr>
            <w:tcW w:type="auto" w:w="0"/>
            <w:tcMar>
              <w:left w:type="dxa" w:w="200"/>
              <w:top w:type="dxa" w:w="200"/>
              <w:right w:type="dxa" w:w="200"/>
              <w:bottom w:type="dxa" w:w="200"/>
            </w:tcMar>
          </w:tcPr>
          <w:p>
            <w:pPr>
              <w:pStyle w:val="Para 002"/>
            </w:pPr>
            <w:r>
              <w:rPr>
                <w:rStyle w:val="Text3"/>
              </w:rPr>
              <w:t>c</w:t>
            </w:r>
            <w:r>
              <w:rPr>
                <w:rStyle w:val="Text0"/>
              </w:rPr>
              <w:t>.subtract(</w:t>
            </w:r>
            <w:r>
              <w:rPr>
                <w:rStyle w:val="Text3"/>
              </w:rPr>
              <w:t>iterable=</w:t>
            </w:r>
            <w:r>
              <w:rPr>
                <w:rStyle w:val="Text5"/>
              </w:rPr>
              <w:t>None</w:t>
            </w:r>
            <w:r>
              <w:rPr>
                <w:rStyle w:val="Text0"/>
              </w:rPr>
              <w:t>, /, **</w:t>
            </w:r>
            <w:r>
              <w:rPr>
                <w:rStyle w:val="Text3"/>
              </w:rPr>
              <w:t>kwds</w:t>
            </w:r>
            <w:r>
              <w:rPr>
                <w:rStyle w:val="Text0"/>
              </w:rPr>
              <w:t>)</w:t>
              <w:br w:clear="none"/>
            </w:r>
            <w:r>
              <w:t xml:space="preserve"> Like</w:t>
            </w:r>
            <w:r>
              <w:rPr>
                <w:rStyle w:val="Text111"/>
              </w:rPr>
              <w:bookmarkStart w:id="2142" w:name="idm45965278188240"/>
              <w:t/>
              <w:bookmarkEnd w:id="2142"/>
            </w:r>
            <w:r>
              <w:t xml:space="preserve"> </w:t>
            </w:r>
            <w:r>
              <w:rPr>
                <w:rStyle w:val="Text3"/>
              </w:rPr>
              <w:t>c</w:t>
            </w:r>
            <w:r>
              <w:rPr>
                <w:rStyle w:val="Text0"/>
              </w:rPr>
              <w:t>.update(</w:t>
            </w:r>
            <w:r>
              <w:rPr>
                <w:rStyle w:val="Text3"/>
              </w:rPr>
              <w:t>iterable</w:t>
            </w:r>
            <w:r>
              <w:rPr>
                <w:rStyle w:val="Text0"/>
              </w:rPr>
              <w:t>)</w:t>
            </w:r>
            <w:r>
              <w:t xml:space="preserve"> “in reverse”—that is, </w:t>
            </w:r>
            <w:r>
              <w:rPr>
                <w:rStyle w:val="Text4"/>
              </w:rPr>
              <w:t>subtracting</w:t>
            </w:r>
            <w:r>
              <w:t xml:space="preserve"> counts rather than </w:t>
            </w:r>
            <w:r>
              <w:rPr>
                <w:rStyle w:val="Text4"/>
              </w:rPr>
              <w:t>adding</w:t>
            </w:r>
            <w:r>
              <w:t xml:space="preserve"> them. Resulting counts in </w:t>
            </w:r>
            <w:r>
              <w:rPr>
                <w:rStyle w:val="Text3"/>
              </w:rPr>
              <w:t>c</w:t>
            </w:r>
            <w:r>
              <w:t xml:space="preserve"> can be </w:t>
            </w:r>
            <w:r>
              <w:rPr>
                <w:rStyle w:val="Text0"/>
              </w:rPr>
              <w:t>&lt;= 0</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total</w:t>
            </w:r>
          </w:p>
        </w:tc>
        <w:tc>
          <w:tcPr>
            <w:tcW w:type="auto" w:w="0"/>
            <w:shd w:val="clear" w:color="auto" w:fill="EEF2F6"/>
            <w:tcMar>
              <w:left w:type="dxa" w:w="200"/>
              <w:top w:type="dxa" w:w="200"/>
              <w:right w:type="dxa" w:w="200"/>
              <w:bottom w:type="dxa" w:w="200"/>
            </w:tcMar>
          </w:tcPr>
          <w:p>
            <w:pPr>
              <w:pStyle w:val="Para 002"/>
            </w:pPr>
            <w:r>
              <w:rPr>
                <w:rStyle w:val="Text3"/>
              </w:rPr>
              <w:t>c.</w:t>
            </w:r>
            <w:r>
              <w:rPr>
                <w:rStyle w:val="Text0"/>
              </w:rPr>
              <w:t>total()</w:t>
              <w:br w:clear="none"/>
            </w:r>
            <w:r>
              <w:t xml:space="preserve"> </w:t>
            </w:r>
            <w:r>
              <w:rPr>
                <w:rStyle w:val="Text34"/>
              </w:rPr>
              <w:t>3.10+</w:t>
            </w:r>
            <w:r>
              <w:t xml:space="preserve"> Returns</w:t>
            </w:r>
            <w:r>
              <w:rPr>
                <w:rStyle w:val="Text111"/>
              </w:rPr>
              <w:bookmarkStart w:id="2143" w:name="idm45965278178912"/>
              <w:t/>
              <w:bookmarkEnd w:id="2143"/>
            </w:r>
            <w:r>
              <w:t xml:space="preserve"> the sum of all the individual counts. Equivalent to </w:t>
            </w:r>
            <w:r>
              <w:rPr>
                <w:rStyle w:val="Text0"/>
              </w:rPr>
              <w:t>sum(</w:t>
            </w:r>
            <w:r>
              <w:rPr>
                <w:rStyle w:val="Text3"/>
              </w:rPr>
              <w:t>c</w:t>
            </w:r>
            <w:r>
              <w:rPr>
                <w:rStyle w:val="Text0"/>
              </w:rPr>
              <w:t>.values())</w:t>
            </w:r>
            <w:r>
              <w:t>.</w:t>
            </w:r>
          </w:p>
        </w:tc>
      </w:tr>
    </w:tbl>
    <w:p>
      <w:pPr>
        <w:pStyle w:val="Normal"/>
      </w:pPr>
      <w:r>
        <w:rPr>
          <w:rStyle w:val="Text0"/>
        </w:rPr>
        <w:t>Counter</w:t>
      </w:r>
      <w:r>
        <w:t xml:space="preserve"> objects support common arithmetic operators, such as </w:t>
      </w:r>
      <w:r>
        <w:rPr>
          <w:rStyle w:val="Text0"/>
        </w:rPr>
        <w:t>+</w:t>
      </w:r>
      <w:r>
        <w:t xml:space="preserve">, </w:t>
      </w:r>
      <w:r>
        <w:rPr>
          <w:rStyle w:val="Text0"/>
        </w:rPr>
        <w:t>-</w:t>
      </w:r>
      <w:r>
        <w:t xml:space="preserve">, </w:t>
      </w:r>
      <w:r>
        <w:rPr>
          <w:rStyle w:val="Text0"/>
        </w:rPr>
        <w:t>&amp;,</w:t>
      </w:r>
      <w:r>
        <w:t xml:space="preserve"> and </w:t>
      </w:r>
      <w:r>
        <w:rPr>
          <w:rStyle w:val="Text0"/>
        </w:rPr>
        <w:t>|</w:t>
      </w:r>
      <w:r>
        <w:t xml:space="preserve"> for addition, subtraction, union, and intersection. See the </w:t>
      </w:r>
      <w:hyperlink r:id="rId308">
        <w:r>
          <w:rPr>
            <w:rStyle w:val="Text1"/>
          </w:rPr>
          <w:t>online docs</w:t>
        </w:r>
      </w:hyperlink>
      <w:r>
        <w:t xml:space="preserve"> for more details and a collection of useful recipes on how to use </w:t>
      </w:r>
      <w:r>
        <w:rPr>
          <w:rStyle w:val="Text0"/>
        </w:rPr>
        <w:t>Counter</w:t>
      </w:r>
      <w:r>
        <w:t>.</w:t>
      </w:r>
    </w:p>
    <w:p>
      <w:bookmarkStart w:id="2144" w:name="OrderedDict__OrderedDict_is_a_su"/>
      <w:pPr>
        <w:keepNext/>
        <w:pStyle w:val="Heading 2"/>
      </w:pPr>
      <w:r>
        <w:t>OrderedDict</w:t>
      </w:r>
      <w:bookmarkEnd w:id="2144"/>
    </w:p>
    <w:p>
      <w:pPr>
        <w:pStyle w:val="Normal"/>
      </w:pPr>
      <w:r>
        <w:rPr>
          <w:rStyle w:val="Text0"/>
        </w:rPr>
        <w:t>OrderedDict</w:t>
      </w:r>
      <w:r>
        <w:rPr>
          <w:rStyle w:val="Text111"/>
        </w:rPr>
        <w:bookmarkStart w:id="2145" w:name="idm45965278168048"/>
        <w:t/>
        <w:bookmarkEnd w:id="2145"/>
      </w:r>
      <w:r>
        <w:t xml:space="preserve"> is a subclass of </w:t>
      </w:r>
      <w:r>
        <w:rPr>
          <w:rStyle w:val="Text0"/>
        </w:rPr>
        <w:t>dict</w:t>
      </w:r>
      <w:r>
        <w:t xml:space="preserve"> with additional methods to access and manipulate items with respect to their insertion order. </w:t>
      </w:r>
      <w:r>
        <w:rPr>
          <w:rStyle w:val="Text3"/>
        </w:rPr>
        <w:t>o</w:t>
      </w:r>
      <w:r>
        <w:rPr>
          <w:rStyle w:val="Text0"/>
        </w:rPr>
        <w:t>.popitem()</w:t>
      </w:r>
      <w:r>
        <w:t xml:space="preserve"> removes and returns the item at the most recently inserted key; </w:t>
      </w:r>
      <w:r>
        <w:rPr>
          <w:rStyle w:val="Text3"/>
        </w:rPr>
        <w:t>o</w:t>
      </w:r>
      <w:r>
        <w:rPr>
          <w:rStyle w:val="Text0"/>
        </w:rPr>
        <w:t>.move_to_end(</w:t>
      </w:r>
      <w:r>
        <w:rPr>
          <w:rStyle w:val="Text3"/>
        </w:rPr>
        <w:t>key</w:t>
      </w:r>
      <w:r>
        <w:rPr>
          <w:rStyle w:val="Text0"/>
        </w:rPr>
        <w:t>,</w:t>
      </w:r>
      <w:r>
        <w:t xml:space="preserve"> </w:t>
      </w:r>
      <w:r>
        <w:rPr>
          <w:rStyle w:val="Text0"/>
        </w:rPr>
        <w:t>last=</w:t>
      </w:r>
      <w:r>
        <w:rPr>
          <w:rStyle w:val="Text5"/>
        </w:rPr>
        <w:t>True</w:t>
      </w:r>
      <w:r>
        <w:rPr>
          <w:rStyle w:val="Text0"/>
        </w:rPr>
        <w:t>)</w:t>
      </w:r>
      <w:r>
        <w:t xml:space="preserve"> moves the item with key </w:t>
      </w:r>
      <w:r>
        <w:rPr>
          <w:rStyle w:val="Text3"/>
        </w:rPr>
        <w:t>key</w:t>
      </w:r>
      <w:r>
        <w:t xml:space="preserve"> to the end (when </w:t>
      </w:r>
      <w:r>
        <w:rPr>
          <w:rStyle w:val="Text0"/>
        </w:rPr>
        <w:t>last</w:t>
      </w:r>
      <w:r>
        <w:t xml:space="preserve"> is </w:t>
      </w:r>
      <w:r>
        <w:rPr>
          <w:rStyle w:val="Text5"/>
        </w:rPr>
        <w:t>True</w:t>
      </w:r>
      <w:r>
        <w:t xml:space="preserve">, the default) or to the start (when </w:t>
      </w:r>
      <w:r>
        <w:rPr>
          <w:rStyle w:val="Text0"/>
        </w:rPr>
        <w:t>last</w:t>
      </w:r>
      <w:r>
        <w:t xml:space="preserve"> is </w:t>
      </w:r>
      <w:r>
        <w:rPr>
          <w:rStyle w:val="Text5"/>
        </w:rPr>
        <w:t>False</w:t>
      </w:r>
      <w:r>
        <w:t xml:space="preserve">). Equality tests between two instances of </w:t>
      </w:r>
      <w:r>
        <w:rPr>
          <w:rStyle w:val="Text0"/>
        </w:rPr>
        <w:t>OrderedDict</w:t>
      </w:r>
      <w:r>
        <w:t xml:space="preserve"> are order sensitive; equality tests between an instance of </w:t>
      </w:r>
      <w:r>
        <w:rPr>
          <w:rStyle w:val="Text0"/>
        </w:rPr>
        <w:t>OrderedDict</w:t>
      </w:r>
      <w:r>
        <w:t xml:space="preserve"> and a </w:t>
      </w:r>
      <w:r>
        <w:rPr>
          <w:rStyle w:val="Text0"/>
        </w:rPr>
        <w:t>dict</w:t>
      </w:r>
      <w:r>
        <w:t xml:space="preserve"> or other mapping are not. Since Python 3.7, </w:t>
      </w:r>
      <w:r>
        <w:rPr>
          <w:rStyle w:val="Text0"/>
        </w:rPr>
        <w:t>dict</w:t>
      </w:r>
      <w:r>
        <w:t xml:space="preserve"> insertion order is guaranteed to be maintained: many uses that previously required </w:t>
      </w:r>
      <w:r>
        <w:rPr>
          <w:rStyle w:val="Text0"/>
        </w:rPr>
        <w:t>OrderedDict</w:t>
      </w:r>
      <w:r>
        <w:t xml:space="preserve"> can now just use ordinary Python dicts. A significant difference remaining between the two is that </w:t>
      </w:r>
      <w:r>
        <w:rPr>
          <w:rStyle w:val="Text0"/>
        </w:rPr>
        <w:t>OrderedDict</w:t>
      </w:r>
      <w:r>
        <w:t xml:space="preserve">’s test for equality with other </w:t>
      </w:r>
      <w:r>
        <w:rPr>
          <w:rStyle w:val="Text0"/>
        </w:rPr>
        <w:t>OrderedDict</w:t>
      </w:r>
      <w:r>
        <w:t xml:space="preserve">s is order sensitive, while </w:t>
      </w:r>
      <w:r>
        <w:rPr>
          <w:rStyle w:val="Text0"/>
        </w:rPr>
        <w:t>dict</w:t>
      </w:r>
      <w:r>
        <w:t xml:space="preserve">’s equality test is not. See the </w:t>
      </w:r>
      <w:hyperlink r:id="rId309">
        <w:r>
          <w:rPr>
            <w:rStyle w:val="Text1"/>
          </w:rPr>
          <w:t>online docs</w:t>
        </w:r>
      </w:hyperlink>
      <w:r>
        <w:t xml:space="preserve"> for more details and a collection of recipes on how to use </w:t>
      </w:r>
      <w:r>
        <w:rPr>
          <w:rStyle w:val="Text0"/>
        </w:rPr>
        <w:t>OrderedDict</w:t>
      </w:r>
      <w:r>
        <w:t>.</w:t>
      </w:r>
    </w:p>
    <w:p>
      <w:bookmarkStart w:id="2146" w:name="defaultdict__defaultdict_extends"/>
      <w:pPr>
        <w:keepNext/>
        <w:pStyle w:val="Heading 2"/>
      </w:pPr>
      <w:r>
        <w:t>defaultdict</w:t>
      </w:r>
      <w:bookmarkEnd w:id="2146"/>
    </w:p>
    <w:p>
      <w:pPr>
        <w:pStyle w:val="Normal"/>
      </w:pPr>
      <w:r>
        <w:rPr>
          <w:rStyle w:val="Text0"/>
        </w:rPr>
        <w:t>defaultdict</w:t>
      </w:r>
      <w:r>
        <w:rPr>
          <w:rStyle w:val="Text111"/>
        </w:rPr>
        <w:bookmarkStart w:id="2147" w:name="idm45965278147776"/>
        <w:t/>
        <w:bookmarkEnd w:id="2147"/>
      </w:r>
      <w:r>
        <w:t xml:space="preserve"> extends </w:t>
      </w:r>
      <w:r>
        <w:rPr>
          <w:rStyle w:val="Text0"/>
        </w:rPr>
        <w:t>dict</w:t>
      </w:r>
      <w:r>
        <w:t xml:space="preserve"> and adds one per instance attribute, named </w:t>
      </w:r>
      <w:r>
        <w:rPr>
          <w:rStyle w:val="Text0"/>
        </w:rPr>
        <w:t>default_factory</w:t>
      </w:r>
      <w:r>
        <w:t xml:space="preserve">. When an instance </w:t>
      </w:r>
      <w:r>
        <w:rPr>
          <w:rStyle w:val="Text3"/>
        </w:rPr>
        <w:t>d</w:t>
      </w:r>
      <w:r>
        <w:t xml:space="preserve"> of </w:t>
      </w:r>
      <w:r>
        <w:rPr>
          <w:rStyle w:val="Text0"/>
        </w:rPr>
        <w:t>defaultdict</w:t>
      </w:r>
      <w:r>
        <w:t xml:space="preserve"> has </w:t>
      </w:r>
      <w:r>
        <w:rPr>
          <w:rStyle w:val="Text5"/>
        </w:rPr>
        <w:t>None</w:t>
      </w:r>
      <w:r>
        <w:t xml:space="preserve"> as the value of </w:t>
      </w:r>
      <w:r>
        <w:rPr>
          <w:rStyle w:val="Text3"/>
        </w:rPr>
        <w:t>d</w:t>
      </w:r>
      <w:r>
        <w:rPr>
          <w:rStyle w:val="Text0"/>
        </w:rPr>
        <w:t>.default_factory</w:t>
      </w:r>
      <w:r>
        <w:t xml:space="preserve">, </w:t>
      </w:r>
      <w:r>
        <w:rPr>
          <w:rStyle w:val="Text3"/>
        </w:rPr>
        <w:t>d</w:t>
      </w:r>
      <w:r>
        <w:t xml:space="preserve"> behaves exactly like a </w:t>
      </w:r>
      <w:r>
        <w:rPr>
          <w:rStyle w:val="Text0"/>
        </w:rPr>
        <w:t>dict</w:t>
      </w:r>
      <w:r>
        <w:t xml:space="preserve">. Otherwise, </w:t>
      </w:r>
      <w:r>
        <w:rPr>
          <w:rStyle w:val="Text3"/>
        </w:rPr>
        <w:t>d</w:t>
      </w:r>
      <w:r>
        <w:rPr>
          <w:rStyle w:val="Text0"/>
        </w:rPr>
        <w:t>.default_factory</w:t>
      </w:r>
      <w:r>
        <w:t xml:space="preserve"> must be callable without arguments, and </w:t>
      </w:r>
      <w:r>
        <w:rPr>
          <w:rStyle w:val="Text3"/>
        </w:rPr>
        <w:t>d</w:t>
      </w:r>
      <w:r>
        <w:t xml:space="preserve"> behaves just like a </w:t>
      </w:r>
      <w:r>
        <w:rPr>
          <w:rStyle w:val="Text0"/>
        </w:rPr>
        <w:t>dict</w:t>
      </w:r>
      <w:r>
        <w:t xml:space="preserve"> except when you access </w:t>
      </w:r>
      <w:r>
        <w:rPr>
          <w:rStyle w:val="Text3"/>
        </w:rPr>
        <w:t>d</w:t>
      </w:r>
      <w:r>
        <w:t xml:space="preserve"> with a key </w:t>
      </w:r>
      <w:r>
        <w:rPr>
          <w:rStyle w:val="Text3"/>
        </w:rPr>
        <w:t>k</w:t>
      </w:r>
      <w:r>
        <w:t xml:space="preserve"> that is not in </w:t>
      </w:r>
      <w:r>
        <w:rPr>
          <w:rStyle w:val="Text3"/>
        </w:rPr>
        <w:t>d</w:t>
      </w:r>
      <w:r>
        <w:t xml:space="preserve">. In this specific case, the indexing </w:t>
      </w:r>
      <w:r>
        <w:rPr>
          <w:rStyle w:val="Text3"/>
        </w:rPr>
        <w:t>d</w:t>
      </w:r>
      <w:r>
        <w:rPr>
          <w:rStyle w:val="Text0"/>
        </w:rPr>
        <w:t>[</w:t>
      </w:r>
      <w:r>
        <w:rPr>
          <w:rStyle w:val="Text3"/>
        </w:rPr>
        <w:t>k</w:t>
      </w:r>
      <w:r>
        <w:rPr>
          <w:rStyle w:val="Text0"/>
        </w:rPr>
        <w:t>]</w:t>
      </w:r>
      <w:r>
        <w:t xml:space="preserve"> calls </w:t>
      </w:r>
      <w:r>
        <w:rPr>
          <w:rStyle w:val="Text3"/>
        </w:rPr>
        <w:t>d</w:t>
      </w:r>
      <w:r>
        <w:rPr>
          <w:rStyle w:val="Text0"/>
        </w:rPr>
        <w:t>.default_factory()</w:t>
      </w:r>
      <w:r>
        <w:t xml:space="preserve">, assigns the result as the value of </w:t>
      </w:r>
      <w:r>
        <w:rPr>
          <w:rStyle w:val="Text3"/>
        </w:rPr>
        <w:t>d</w:t>
      </w:r>
      <w:r>
        <w:rPr>
          <w:rStyle w:val="Text0"/>
        </w:rPr>
        <w:t>[</w:t>
      </w:r>
      <w:r>
        <w:rPr>
          <w:rStyle w:val="Text3"/>
        </w:rPr>
        <w:t>k</w:t>
      </w:r>
      <w:r>
        <w:rPr>
          <w:rStyle w:val="Text0"/>
        </w:rPr>
        <w:t>]</w:t>
      </w:r>
      <w:r>
        <w:t xml:space="preserve">, and returns the result. In other words, the type </w:t>
      </w:r>
      <w:r>
        <w:rPr>
          <w:rStyle w:val="Text0"/>
        </w:rPr>
        <w:t>defaultdict</w:t>
      </w:r>
      <w:r>
        <w:t xml:space="preserve"> behaves much like the following Python-coded class:</w:t>
      </w:r>
    </w:p>
    <w:p>
      <w:pPr>
        <w:pStyle w:val="Para 018"/>
      </w:pPr>
      <w:r>
        <w:rPr>
          <w:rStyle w:val="Text104"/>
        </w:rPr>
        <w:t xml:space="preserve"/>
        <w:br w:clear="none"/>
      </w:r>
      <w:r>
        <w:rPr>
          <w:rStyle w:val="Text10"/>
        </w:rPr>
        <w:t xml:space="preserve">class</w:t>
        <w:br w:clear="none"/>
      </w:r>
      <w:r>
        <w:t xml:space="preserve"> </w:t>
        <w:br w:clear="none"/>
      </w:r>
      <w:r>
        <w:rPr>
          <w:rStyle w:val="Text33"/>
        </w:rPr>
        <w:t xml:space="preserve">defaultdict</w:t>
        <w:br w:clear="none"/>
      </w:r>
      <w:r>
        <w:rPr>
          <w:rStyle w:val="Text7"/>
        </w:rPr>
        <w:t xml:space="preserve">(</w:t>
        <w:br w:clear="none"/>
      </w:r>
      <w:r>
        <w:rPr>
          <w:rStyle w:val="Text16"/>
        </w:rPr>
        <w:t xml:space="preserve">dict</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default_factory</w:t>
        <w:br w:clear="none"/>
      </w:r>
      <w:r>
        <w:rPr>
          <w:rStyle w:val="Text13"/>
        </w:rPr>
        <w:t xml:space="preserve">=</w:t>
        <w:br w:clear="none"/>
      </w:r>
      <w:r>
        <w:rPr>
          <w:rStyle w:val="Text10"/>
        </w:rPr>
        <w:t xml:space="preserve">None</w:t>
        <w:br w:clear="none"/>
      </w:r>
      <w:r>
        <w:rPr>
          <w:rStyle w:val="Text7"/>
        </w:rPr>
        <w:t xml:space="preserve">,</w:t>
        <w:br w:clear="none"/>
      </w:r>
      <w:r>
        <w:t xml:space="preserve"> </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t xml:space="preserve">__init__</w:t>
        <w:br w:clear="none"/>
      </w:r>
      <w:r>
        <w:rPr>
          <w:rStyle w:val="Text7"/>
        </w:rPr>
        <w:t xml:space="preserve">(</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t xml:space="preserve"> </w:t>
        <w:br w:clear="none"/>
      </w:r>
      <w:r>
        <w:rPr>
          <w:rStyle w:val="Text13"/>
        </w:rPr>
        <w:t xml:space="preserve">=</w:t>
        <w:br w:clear="none"/>
      </w:r>
      <w:r>
        <w:t xml:space="preserve"> </w:t>
        <w:br w:clear="none"/>
      </w:r>
      <w:r>
        <w:rPr>
          <w:rStyle w:val="Text9"/>
        </w:rPr>
        <w:t xml:space="preserve">default_factory</w:t>
        <w:br w:clear="none"/>
      </w:r>
      <w:r>
        <w:t xml:space="preserve"/>
        <w:br w:clear="none"/>
        <w:t xml:space="preserve">    </w:t>
        <w:br w:clear="none"/>
      </w:r>
      <w:r>
        <w:rPr>
          <w:rStyle w:val="Text10"/>
        </w:rPr>
        <w:t xml:space="preserve">def</w:t>
        <w:br w:clear="none"/>
      </w:r>
      <w:r>
        <w:t xml:space="preserve"> </w:t>
        <w:br w:clear="none"/>
        <w:t xml:space="preserve">__getitem__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key</w:t>
        <w:br w:clear="none"/>
      </w:r>
      <w:r>
        <w:t xml:space="preserve"> </w:t>
        <w:br w:clear="none"/>
      </w:r>
      <w:r>
        <w:rPr>
          <w:rStyle w:val="Text31"/>
        </w:rPr>
        <w:t xml:space="preserve">not</w:t>
        <w:br w:clear="none"/>
      </w:r>
      <w:r>
        <w:rPr>
          <w:rStyle w:val="Text37"/>
        </w:rPr>
        <w:t xml:space="preserve"> </w:t>
        <w:br w:clear="none"/>
      </w:r>
      <w:r>
        <w:rPr>
          <w:rStyle w:val="Text31"/>
        </w:rPr>
        <w:t xml:space="preserve">in</w:t>
        <w:br w:clear="none"/>
      </w:r>
      <w:r>
        <w:t xml:space="preserve"> </w:t>
        <w:br w:clear="none"/>
      </w:r>
      <w:r>
        <w:rPr>
          <w:rStyle w:val="Text16"/>
        </w:rPr>
        <w:t xml:space="preserve">self</w:t>
        <w:br w:clear="none"/>
      </w:r>
      <w:r>
        <w:t xml:space="preserve"> </w:t>
        <w:br w:clear="none"/>
      </w:r>
      <w:r>
        <w:rPr>
          <w:rStyle w:val="Text31"/>
        </w:rPr>
        <w:t xml:space="preserve">and</w:t>
        <w:br w:clear="none"/>
      </w:r>
      <w:r>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t xml:space="preserve"> </w:t>
        <w:br w:clear="none"/>
      </w:r>
      <w:r>
        <w:rPr>
          <w:rStyle w:val="Text31"/>
        </w:rPr>
        <w:t xml:space="preserve">is</w:t>
        <w:br w:clear="none"/>
      </w:r>
      <w:r>
        <w:rPr>
          <w:rStyle w:val="Text37"/>
        </w:rPr>
        <w:t xml:space="preserve"> </w:t>
        <w:br w:clear="none"/>
      </w:r>
      <w:r>
        <w:rPr>
          <w:rStyle w:val="Text31"/>
        </w:rPr>
        <w:t xml:space="preserve">not</w:t>
        <w:br w:clear="none"/>
      </w:r>
      <w:r>
        <w:rPr>
          <w:rStyle w:val="Text37"/>
        </w:rP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16"/>
        </w:rPr>
        <w:t xml:space="preserve">self</w:t>
        <w:br w:clear="none"/>
      </w:r>
      <w:r>
        <w:rPr>
          <w:rStyle w:val="Text7"/>
        </w:rPr>
        <w:t xml:space="preserve">[</w:t>
        <w:br w:clear="none"/>
      </w:r>
      <w:r>
        <w:rPr>
          <w:rStyle w:val="Text9"/>
        </w:rPr>
        <w:t xml:space="preserve">key</w:t>
        <w:br w:clear="none"/>
      </w:r>
      <w:r>
        <w:rPr>
          <w:rStyle w:val="Text7"/>
        </w:rPr>
        <w:t xml:space="preserve">]</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dict</w:t>
        <w:br w:clear="none"/>
      </w:r>
      <w:r>
        <w:rPr>
          <w:rStyle w:val="Text13"/>
        </w:rPr>
        <w:t xml:space="preserve">.</w:t>
        <w:br w:clear="none"/>
      </w:r>
      <w:r>
        <w:t xml:space="preserve">__getitem__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r>
    </w:p>
    <w:p>
      <w:pPr>
        <w:pStyle w:val="Normal"/>
      </w:pPr>
      <w:r>
        <w:t xml:space="preserve">As this Python equivalent implies, to instantiate </w:t>
      </w:r>
      <w:r>
        <w:rPr>
          <w:rStyle w:val="Text0"/>
        </w:rPr>
        <w:t>defaultdict</w:t>
      </w:r>
      <w:r>
        <w:t xml:space="preserve"> you usually pass it an extra first argument (before any other arguments, positional and/or named, if any, to pass on to plain </w:t>
      </w:r>
      <w:r>
        <w:rPr>
          <w:rStyle w:val="Text0"/>
        </w:rPr>
        <w:t>dict</w:t>
      </w:r>
      <w:r>
        <w:t xml:space="preserve">). The extra first argument becomes the initial value of </w:t>
      </w:r>
      <w:r>
        <w:rPr>
          <w:rStyle w:val="Text0"/>
        </w:rPr>
        <w:t>default_factory</w:t>
      </w:r>
      <w:r>
        <w:t xml:space="preserve">; you can also access and rebind </w:t>
      </w:r>
      <w:r>
        <w:rPr>
          <w:rStyle w:val="Text0"/>
        </w:rPr>
        <w:t>default_factory</w:t>
      </w:r>
      <w:r>
        <w:t xml:space="preserve"> later, though doing so is infrequent in normal Python code.</w:t>
      </w:r>
    </w:p>
    <w:p>
      <w:pPr>
        <w:pStyle w:val="Normal"/>
      </w:pPr>
      <w:r>
        <w:t xml:space="preserve">All behavior of </w:t>
      </w:r>
      <w:r>
        <w:rPr>
          <w:rStyle w:val="Text0"/>
        </w:rPr>
        <w:t>defaultdict</w:t>
      </w:r>
      <w:r>
        <w:t xml:space="preserve"> is essentially as implied by this Python equivalent (except </w:t>
      </w:r>
      <w:r>
        <w:rPr>
          <w:rStyle w:val="Text0"/>
        </w:rPr>
        <w:t>str</w:t>
      </w:r>
      <w:r>
        <w:t xml:space="preserve"> and </w:t>
      </w:r>
      <w:r>
        <w:rPr>
          <w:rStyle w:val="Text0"/>
        </w:rPr>
        <w:t>repr</w:t>
      </w:r>
      <w:r>
        <w:t xml:space="preserve">, which return strings different from those they would return for a </w:t>
      </w:r>
      <w:r>
        <w:rPr>
          <w:rStyle w:val="Text0"/>
        </w:rPr>
        <w:t>dict</w:t>
      </w:r>
      <w:r>
        <w:t xml:space="preserve">). Named methods, such as </w:t>
      </w:r>
      <w:r>
        <w:rPr>
          <w:rStyle w:val="Text0"/>
        </w:rPr>
        <w:t>get</w:t>
      </w:r>
      <w:r>
        <w:t xml:space="preserve"> and </w:t>
      </w:r>
      <w:r>
        <w:rPr>
          <w:rStyle w:val="Text0"/>
        </w:rPr>
        <w:t>pop</w:t>
      </w:r>
      <w:r>
        <w:t xml:space="preserve">, are not affected. All behavior related to keys (method </w:t>
      </w:r>
      <w:r>
        <w:rPr>
          <w:rStyle w:val="Text0"/>
        </w:rPr>
        <w:t>keys</w:t>
      </w:r>
      <w:r>
        <w:t xml:space="preserve">, iteration, membership test via operator </w:t>
      </w:r>
      <w:r>
        <w:rPr>
          <w:rStyle w:val="Text0"/>
        </w:rPr>
        <w:t>in</w:t>
      </w:r>
      <w:r>
        <w:t xml:space="preserve">, etc.) reflects exactly the keys that are currently in the container (whether you put them there explicitly, or implicitly via an indexing that called </w:t>
      </w:r>
      <w:r>
        <w:rPr>
          <w:rStyle w:val="Text0"/>
        </w:rPr>
        <w:t>default_factory</w:t>
      </w:r>
      <w:r>
        <w:t>).</w:t>
      </w:r>
    </w:p>
    <w:p>
      <w:pPr>
        <w:pStyle w:val="Normal"/>
      </w:pPr>
      <w:r>
        <w:t xml:space="preserve">A typical use of </w:t>
      </w:r>
      <w:r>
        <w:rPr>
          <w:rStyle w:val="Text0"/>
        </w:rPr>
        <w:t>defaultdict</w:t>
      </w:r>
      <w:r>
        <w:t xml:space="preserve"> is, for example, to set </w:t>
      </w:r>
      <w:r>
        <w:rPr>
          <w:rStyle w:val="Text0"/>
        </w:rPr>
        <w:t>default_factory</w:t>
      </w:r>
      <w:r>
        <w:t xml:space="preserve"> to </w:t>
      </w:r>
      <w:r>
        <w:rPr>
          <w:rStyle w:val="Text0"/>
        </w:rPr>
        <w:t>list</w:t>
      </w:r>
      <w:r>
        <w:t>, to make a mapping from keys to lists of values: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make_multi_dict</w:t>
        <w:br w:clear="none"/>
      </w:r>
      <w:r>
        <w:rPr>
          <w:rStyle w:val="Text7"/>
        </w:rPr>
        <w:t xml:space="preserve">(</w:t>
        <w:br w:clear="none"/>
      </w:r>
      <w:r>
        <w:t xml:space="preserve">items</w:t>
        <w:br w:clear="none"/>
      </w:r>
      <w:r>
        <w:rPr>
          <w:rStyle w:val="Text7"/>
        </w:rPr>
        <w:t xml:space="preserve">)</w:t>
        <w:br w:clear="none"/>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t xml:space="preserve">collections</w:t>
        <w:br w:clear="none"/>
      </w:r>
      <w:r>
        <w:rPr>
          <w:rStyle w:val="Text13"/>
        </w:rPr>
        <w:t xml:space="preserve">.</w:t>
        <w:br w:clear="none"/>
      </w:r>
      <w:r>
        <w:t xml:space="preserve">defaultdict</w:t>
        <w:br w:clear="none"/>
      </w:r>
      <w:r>
        <w:rPr>
          <w:rStyle w:val="Text7"/>
        </w:rPr>
        <w:t xml:space="preserve">(</w:t>
        <w:br w:clear="none"/>
      </w:r>
      <w:r>
        <w:rPr>
          <w:rStyle w:val="Text16"/>
        </w:rPr>
        <w:t xml:space="preserve">list</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key</w:t>
        <w:br w:clear="none"/>
      </w:r>
      <w:r>
        <w:rPr>
          <w:rStyle w:val="Text7"/>
        </w:rPr>
        <w:t xml:space="preserve">,</w:t>
        <w:br w:clear="none"/>
      </w:r>
      <w:r>
        <w:rPr>
          <w:rStyle w:val="Text6"/>
        </w:rPr>
        <w:t xml:space="preserve"> </w:t>
        <w:br w:clear="none"/>
      </w:r>
      <w:r>
        <w:t xml:space="preserve">value</w:t>
        <w:br w:clear="none"/>
      </w:r>
      <w:r>
        <w:rPr>
          <w:rStyle w:val="Text6"/>
        </w:rPr>
        <w:t xml:space="preserve"> </w:t>
        <w:br w:clear="none"/>
      </w:r>
      <w:r>
        <w:rPr>
          <w:rStyle w:val="Text31"/>
        </w:rPr>
        <w:t xml:space="preserve">in</w:t>
        <w:br w:clear="none"/>
      </w:r>
      <w:r>
        <w:rPr>
          <w:rStyle w:val="Text6"/>
        </w:rPr>
        <w:t xml:space="preserve"> </w:t>
        <w:br w:clear="none"/>
      </w:r>
      <w:r>
        <w:t xml:space="preserve">items</w:t>
        <w:br w:clear="none"/>
      </w:r>
      <w:r>
        <w:rPr>
          <w:rStyle w:val="Text7"/>
        </w:rPr>
        <w:t xml:space="preserve">:</w:t>
        <w:br w:clear="none"/>
      </w:r>
      <w:r>
        <w:rPr>
          <w:rStyle w:val="Text6"/>
        </w:rPr>
        <w:t xml:space="preserve"/>
        <w:br w:clear="none"/>
        <w:t xml:space="preserve">        </w:t>
        <w:br w:clear="none"/>
      </w:r>
      <w:r>
        <w:t xml:space="preserve">d</w:t>
        <w:br w:clear="none"/>
      </w:r>
      <w:r>
        <w:rPr>
          <w:rStyle w:val="Text7"/>
        </w:rPr>
        <w:t xml:space="preserve">[</w:t>
        <w:br w:clear="none"/>
      </w:r>
      <w:r>
        <w:t xml:space="preserve">key</w:t>
        <w:br w:clear="none"/>
      </w:r>
      <w:r>
        <w:rPr>
          <w:rStyle w:val="Text7"/>
        </w:rPr>
        <w:t xml:space="preserve">]</w:t>
        <w:br w:clear="none"/>
      </w:r>
      <w:r>
        <w:rPr>
          <w:rStyle w:val="Text13"/>
        </w:rPr>
        <w:t xml:space="preserve">.</w:t>
        <w:br w:clear="none"/>
      </w:r>
      <w:r>
        <w:t xml:space="preserve">append</w:t>
        <w:br w:clear="none"/>
      </w:r>
      <w:r>
        <w:rPr>
          <w:rStyle w:val="Text7"/>
        </w:rPr>
        <w:t xml:space="preserve">(</w:t>
        <w:br w:clear="none"/>
      </w:r>
      <w:r>
        <w:t xml:space="preserve">value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w:t>
        <w:br w:clear="none"/>
      </w:r>
    </w:p>
    <w:p>
      <w:pPr>
        <w:pStyle w:val="Normal"/>
      </w:pPr>
      <w:r>
        <w:t xml:space="preserve">Called with any iterable whose items are pairs of the form </w:t>
      </w:r>
      <w:r>
        <w:rPr>
          <w:rStyle w:val="Text0"/>
        </w:rPr>
        <w:t>(</w:t>
      </w:r>
      <w:r>
        <w:rPr>
          <w:rStyle w:val="Text3"/>
        </w:rPr>
        <w:t>key</w:t>
      </w:r>
      <w:r>
        <w:rPr>
          <w:rStyle w:val="Text0"/>
        </w:rPr>
        <w:t>,</w:t>
      </w:r>
      <w:r>
        <w:t xml:space="preserve"> </w:t>
      </w:r>
      <w:r>
        <w:rPr>
          <w:rStyle w:val="Text3"/>
        </w:rPr>
        <w:t>value</w:t>
      </w:r>
      <w:r>
        <w:rPr>
          <w:rStyle w:val="Text0"/>
        </w:rPr>
        <w:t>)</w:t>
      </w:r>
      <w:r>
        <w:t xml:space="preserve">, with all keys being hashable, this </w:t>
      </w:r>
      <w:r>
        <w:rPr>
          <w:rStyle w:val="Text0"/>
        </w:rPr>
        <w:t>make_multi_dict</w:t>
      </w:r>
      <w:r>
        <w:t xml:space="preserve"> function returns a mapping that associates each key to the lists of one or more values that accompanied it in the iterable (if you want a pure </w:t>
      </w:r>
      <w:r>
        <w:rPr>
          <w:rStyle w:val="Text0"/>
        </w:rPr>
        <w:t>dict</w:t>
      </w:r>
      <w:r>
        <w:t xml:space="preserve"> result, change the last statement into </w:t>
      </w:r>
      <w:r>
        <w:rPr>
          <w:rStyle w:val="Text0"/>
        </w:rPr>
        <w:t>return dict(d)</w:t>
      </w:r>
      <w:r>
        <w:t>—this is rarely necessary).</w:t>
      </w:r>
    </w:p>
    <w:p>
      <w:pPr>
        <w:pStyle w:val="Normal"/>
      </w:pPr>
      <w:r>
        <w:t xml:space="preserve">If you don’t want duplicates in the result, and every </w:t>
      </w:r>
      <w:r>
        <w:rPr>
          <w:rStyle w:val="Text3"/>
        </w:rPr>
        <w:t>value</w:t>
      </w:r>
      <w:r>
        <w:t xml:space="preserve"> is hashable, use a </w:t>
      </w:r>
      <w:r>
        <w:rPr>
          <w:rStyle w:val="Text0"/>
        </w:rPr>
        <w:t>collections.defaultdict(set)</w:t>
      </w:r>
      <w:r>
        <w:t xml:space="preserve">, and </w:t>
      </w:r>
      <w:r>
        <w:rPr>
          <w:rStyle w:val="Text0"/>
        </w:rPr>
        <w:t>add</w:t>
      </w:r>
      <w:r>
        <w:t xml:space="preserve"> rather than </w:t>
      </w:r>
      <w:r>
        <w:rPr>
          <w:rStyle w:val="Text0"/>
        </w:rPr>
        <w:t>append</w:t>
      </w:r>
      <w:r>
        <w:t xml:space="preserve"> in the loop.</w:t>
      </w:r>
      <w:hyperlink w:anchor="2_When_first_introduced__default">
        <w:r>
          <w:rPr>
            <w:rStyle w:val="Text41"/>
          </w:rPr>
          <w:bookmarkStart w:id="2148" w:name="2_8"/>
          <w:t>2</w:t>
          <w:bookmarkEnd w:id="2148"/>
        </w:r>
      </w:hyperlink>
    </w:p>
    <w:p>
      <w:bookmarkStart w:id="2149" w:name="keydefaultdict__A_variation_on_d"/>
      <w:pPr>
        <w:keepNext/>
        <w:pStyle w:val="Heading 5"/>
        <w:keepLines w:val="on"/>
      </w:pPr>
      <w:r>
        <w:t>keydefaultdict</w:t>
      </w:r>
      <w:bookmarkEnd w:id="2149"/>
    </w:p>
    <w:p>
      <w:pPr>
        <w:pStyle w:val="Para 012"/>
        <w:keepLines w:val="on"/>
      </w:pPr>
      <w:r>
        <w:t>A</w:t>
      </w:r>
      <w:r>
        <w:rPr>
          <w:rStyle w:val="Text111"/>
        </w:rPr>
        <w:bookmarkStart w:id="2150" w:name="idm45965277908832"/>
        <w:t/>
        <w:bookmarkEnd w:id="2150"/>
      </w:r>
      <w:r>
        <w:t xml:space="preserve"> variation on </w:t>
      </w:r>
      <w:r>
        <w:rPr>
          <w:rStyle w:val="Text0"/>
        </w:rPr>
        <w:t>defaultdict</w:t>
      </w:r>
      <w:r>
        <w:t xml:space="preserve"> that is </w:t>
      </w:r>
      <w:r>
        <w:rPr>
          <w:rStyle w:val="Text4"/>
        </w:rPr>
        <w:t>not</w:t>
      </w:r>
      <w:r>
        <w:t xml:space="preserve"> found in the </w:t>
      </w:r>
      <w:r>
        <w:rPr>
          <w:rStyle w:val="Text0"/>
        </w:rPr>
        <w:t>collections</w:t>
      </w:r>
      <w:r>
        <w:t xml:space="preserve"> module is a </w:t>
      </w:r>
      <w:r>
        <w:rPr>
          <w:rStyle w:val="Text0"/>
        </w:rPr>
        <w:t>defaultdict</w:t>
      </w:r>
      <w:r>
        <w:t xml:space="preserve"> whose </w:t>
      </w:r>
      <w:r>
        <w:rPr>
          <w:rStyle w:val="Text0"/>
        </w:rPr>
        <w:t>default_factory</w:t>
      </w:r>
      <w:r>
        <w:t xml:space="preserve"> takes the key as an initialization argument. This example shows how you can implement this for yourself:</w:t>
      </w:r>
    </w:p>
    <w:p>
      <w:pPr>
        <w:pStyle w:val="Para 105"/>
        <w:keepLines w:val="on"/>
      </w:pPr>
      <w:r>
        <w:rPr>
          <w:rStyle w:val="Text104"/>
        </w:rPr>
        <w:t xml:space="preserve"/>
        <w:br w:clear="none"/>
      </w:r>
      <w:r>
        <w:rPr>
          <w:rStyle w:val="Text10"/>
        </w:rPr>
        <w:t xml:space="preserve">class</w:t>
        <w:br w:clear="none"/>
      </w:r>
      <w:r>
        <w:t xml:space="preserve"> </w:t>
        <w:br w:clear="none"/>
      </w:r>
      <w:r>
        <w:rPr>
          <w:rStyle w:val="Text33"/>
        </w:rPr>
        <w:t xml:space="preserve">keydefaultdict</w:t>
        <w:br w:clear="none"/>
      </w:r>
      <w:r>
        <w:rPr>
          <w:rStyle w:val="Text7"/>
        </w:rPr>
        <w:t xml:space="preserve">(</w:t>
        <w:br w:clear="none"/>
      </w:r>
      <w:r>
        <w:rPr>
          <w:rStyle w:val="Text16"/>
        </w:rPr>
        <w:t xml:space="preserve">dict</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default_factory</w:t>
        <w:br w:clear="none"/>
      </w:r>
      <w:r>
        <w:rPr>
          <w:rStyle w:val="Text13"/>
        </w:rPr>
        <w:t xml:space="preserve">=</w:t>
        <w:br w:clear="none"/>
      </w:r>
      <w:r>
        <w:rPr>
          <w:rStyle w:val="Text10"/>
        </w:rPr>
        <w:t xml:space="preserve">None</w:t>
        <w:br w:clear="none"/>
      </w:r>
      <w:r>
        <w:rPr>
          <w:rStyle w:val="Text7"/>
        </w:rPr>
        <w:t xml:space="preserve">,</w:t>
        <w:br w:clear="none"/>
      </w:r>
      <w:r>
        <w:t xml:space="preserve"> </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t xml:space="preserve">:</w:t>
        <w:br w:clear="none"/>
      </w:r>
      <w: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t xml:space="preserve">__init__</w:t>
        <w:br w:clear="none"/>
      </w:r>
      <w:r>
        <w:rPr>
          <w:rStyle w:val="Text7"/>
        </w:rPr>
        <w:t xml:space="preserve">(</w:t>
        <w:br w:clear="none"/>
      </w:r>
      <w:r>
        <w:rPr>
          <w:rStyle w:val="Text13"/>
        </w:rPr>
        <w:t xml:space="preserve">*</w:t>
        <w:br w:clear="none"/>
      </w:r>
      <w:r>
        <w:rPr>
          <w:rStyle w:val="Text9"/>
        </w:rPr>
        <w:t xml:space="preserve">a</w:t>
        <w:br w:clear="none"/>
      </w:r>
      <w:r>
        <w:rPr>
          <w:rStyle w:val="Text7"/>
        </w:rPr>
        <w:t xml:space="preserve">,</w:t>
        <w:br w:clear="none"/>
      </w:r>
      <w:r>
        <w:t xml:space="preserve"> </w:t>
        <w:br w:clear="none"/>
      </w:r>
      <w:r>
        <w:rPr>
          <w:rStyle w:val="Text13"/>
        </w:rPr>
        <w:t xml:space="preserve">*</w:t>
        <w:br w:clear="none"/>
        <w:t xml:space="preserve">*</w:t>
        <w:br w:clear="none"/>
      </w:r>
      <w:r>
        <w:rPr>
          <w:rStyle w:val="Text9"/>
        </w:rPr>
        <w:t xml:space="preserve">k</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t xml:space="preserve"> </w:t>
        <w:br w:clear="none"/>
      </w:r>
      <w:r>
        <w:rPr>
          <w:rStyle w:val="Text13"/>
        </w:rPr>
        <w:t xml:space="preserve">=</w:t>
        <w:br w:clear="none"/>
      </w:r>
      <w:r>
        <w:t xml:space="preserve"> </w:t>
        <w:br w:clear="none"/>
      </w:r>
      <w:r>
        <w:rPr>
          <w:rStyle w:val="Text9"/>
        </w:rPr>
        <w:t xml:space="preserve">default_factory</w:t>
        <w:br w:clear="none"/>
      </w:r>
      <w:r>
        <w:t xml:space="preserve"/>
        <w:br w:clear="none"/>
        <w:t xml:space="preserve">    </w:t>
        <w:br w:clear="none"/>
      </w:r>
      <w:r>
        <w:rPr>
          <w:rStyle w:val="Text10"/>
        </w:rPr>
        <w:t xml:space="preserve">def</w:t>
        <w:br w:clear="none"/>
      </w:r>
      <w:r>
        <w:t xml:space="preserve"> </w:t>
        <w:br w:clear="none"/>
        <w:t xml:space="preserve">__missing__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key</w:t>
        <w:br w:clear="none"/>
      </w:r>
      <w:r>
        <w:rPr>
          <w:rStyle w:val="Text7"/>
        </w:rPr>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t xml:space="preserve"> </w:t>
        <w:br w:clear="none"/>
      </w:r>
      <w:r>
        <w:rPr>
          <w:rStyle w:val="Text31"/>
        </w:rPr>
        <w:t xml:space="preserve">is</w:t>
        <w:br w:clear="none"/>
      </w:r>
      <w:r>
        <w:rPr>
          <w:rStyle w:val="Text37"/>
        </w:rP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39"/>
        </w:rPr>
        <w:t xml:space="preserve">raise</w:t>
        <w:br w:clear="none"/>
      </w:r>
      <w:r>
        <w:t xml:space="preserve"> </w:t>
        <w:br w:clear="none"/>
      </w:r>
      <w:r>
        <w:rPr>
          <w:rStyle w:val="Text36"/>
        </w:rPr>
        <w:t xml:space="preserve">KeyError</w:t>
        <w:br w:clear="none"/>
      </w:r>
      <w:r>
        <w:rPr>
          <w:rStyle w:val="Text7"/>
        </w:rPr>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6"/>
        </w:rPr>
        <w:t xml:space="preserve">self</w:t>
        <w:br w:clear="none"/>
      </w:r>
      <w:r>
        <w:rPr>
          <w:rStyle w:val="Text7"/>
        </w:rPr>
        <w:t xml:space="preserve">[</w:t>
        <w:br w:clear="none"/>
      </w:r>
      <w:r>
        <w:rPr>
          <w:rStyle w:val="Text9"/>
        </w:rPr>
        <w:t xml:space="preserve">key</w:t>
        <w:br w:clear="none"/>
      </w:r>
      <w:r>
        <w:rPr>
          <w:rStyle w:val="Text7"/>
        </w:rPr>
        <w:t xml:space="preserve">]</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default_factory</w:t>
        <w:br w:clear="none"/>
      </w:r>
      <w:r>
        <w:rPr>
          <w:rStyle w:val="Text7"/>
        </w:rPr>
        <w:t xml:space="preserve">(</w:t>
        <w:br w:clear="none"/>
      </w:r>
      <w:r>
        <w:rPr>
          <w:rStyle w:val="Text9"/>
        </w:rPr>
        <w:t xml:space="preserve">key</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self</w:t>
        <w:br w:clear="none"/>
      </w:r>
      <w:r>
        <w:rPr>
          <w:rStyle w:val="Text7"/>
        </w:rPr>
        <w:t xml:space="preserve">[</w:t>
        <w:br w:clear="none"/>
      </w:r>
      <w:r>
        <w:rPr>
          <w:rStyle w:val="Text9"/>
        </w:rPr>
        <w:t xml:space="preserve">key</w:t>
        <w:br w:clear="none"/>
      </w:r>
      <w:r>
        <w:rPr>
          <w:rStyle w:val="Text7"/>
        </w:rPr>
        <w:t xml:space="preserve">]</w:t>
        <w:br w:clear="none"/>
      </w:r>
    </w:p>
    <w:p>
      <w:pPr>
        <w:pStyle w:val="Para 012"/>
        <w:keepLines w:val="on"/>
      </w:pPr>
      <w:r>
        <w:t>The</w:t>
      </w:r>
      <w:r>
        <w:rPr>
          <w:rStyle w:val="Text111"/>
        </w:rPr>
        <w:bookmarkStart w:id="2151" w:name="idm45965277801488"/>
        <w:t/>
        <w:bookmarkEnd w:id="2151"/>
      </w:r>
      <w:r>
        <w:t xml:space="preserve"> </w:t>
      </w:r>
      <w:r>
        <w:rPr>
          <w:rStyle w:val="Text0"/>
        </w:rPr>
        <w:t>dict</w:t>
      </w:r>
      <w:r>
        <w:t xml:space="preserve"> class supports the</w:t>
      </w:r>
      <w:r>
        <w:rPr>
          <w:rStyle w:val="Text111"/>
        </w:rPr>
        <w:bookmarkStart w:id="2152" w:name="idm45965277802256"/>
        <w:t/>
        <w:bookmarkEnd w:id="2152"/>
      </w:r>
      <w:r>
        <w:t xml:space="preserve"> </w:t>
      </w:r>
      <w:r>
        <w:rPr>
          <w:rStyle w:val="Text0"/>
        </w:rPr>
        <w:t>__missing__</w:t>
      </w:r>
      <w:r>
        <w:t xml:space="preserve"> method for subclasses to implement custom behavior when a key is accessed that is not yet in the </w:t>
      </w:r>
      <w:r>
        <w:rPr>
          <w:rStyle w:val="Text0"/>
        </w:rPr>
        <w:t>dict</w:t>
      </w:r>
      <w:r>
        <w:t xml:space="preserve">. In this example, we implement </w:t>
      </w:r>
      <w:r>
        <w:rPr>
          <w:rStyle w:val="Text0"/>
        </w:rPr>
        <w:t>__missing__</w:t>
      </w:r>
      <w:r>
        <w:t xml:space="preserve"> to call the default factory method with the new key, and add it to the </w:t>
      </w:r>
      <w:r>
        <w:rPr>
          <w:rStyle w:val="Text0"/>
        </w:rPr>
        <w:t>dict</w:t>
      </w:r>
      <w:r>
        <w:t xml:space="preserve">. You can use </w:t>
      </w:r>
      <w:r>
        <w:rPr>
          <w:rStyle w:val="Text0"/>
        </w:rPr>
        <w:t>keydefaultdict</w:t>
      </w:r>
      <w:r>
        <w:t xml:space="preserve"> rather than </w:t>
      </w:r>
      <w:r>
        <w:rPr>
          <w:rStyle w:val="Text0"/>
        </w:rPr>
        <w:t>defaultdict</w:t>
      </w:r>
      <w:r>
        <w:t xml:space="preserve"> when the </w:t>
      </w:r>
      <w:r>
        <w:rPr>
          <w:rStyle w:val="Text0"/>
        </w:rPr>
        <w:t>default_factory</w:t>
      </w:r>
      <w:r>
        <w:t xml:space="preserve"> requires an argument (most often, this happens when the default factory is a class that takes an identifier constructor argument).</w:t>
      </w:r>
    </w:p>
    <w:p>
      <w:bookmarkStart w:id="2153" w:name="deque__deque_is_a_sequence_type"/>
      <w:pPr>
        <w:keepNext/>
        <w:pStyle w:val="Heading 2"/>
      </w:pPr>
      <w:r>
        <w:t>deque</w:t>
      </w:r>
      <w:bookmarkEnd w:id="2153"/>
    </w:p>
    <w:p>
      <w:pPr>
        <w:pStyle w:val="Normal"/>
      </w:pPr>
      <w:r>
        <w:rPr>
          <w:rStyle w:val="Text0"/>
        </w:rPr>
        <w:t>deque</w:t>
      </w:r>
      <w:r>
        <w:rPr>
          <w:rStyle w:val="Text111"/>
        </w:rPr>
        <w:bookmarkStart w:id="2154" w:name="idm45965277771696"/>
        <w:t/>
        <w:bookmarkEnd w:id="2154"/>
        <w:bookmarkStart w:id="2155" w:name="idm45965277770384"/>
        <w:t/>
        <w:bookmarkEnd w:id="2155"/>
      </w:r>
      <w:r>
        <w:t xml:space="preserve"> is a sequence type whose instances are “double-ended queues” (additions and removals at either end are fast and thread-safe). A </w:t>
      </w:r>
      <w:r>
        <w:rPr>
          <w:rStyle w:val="Text0"/>
        </w:rPr>
        <w:t>deque</w:t>
      </w:r>
      <w:r>
        <w:t xml:space="preserve"> instance </w:t>
      </w:r>
      <w:r>
        <w:rPr>
          <w:rStyle w:val="Text3"/>
        </w:rPr>
        <w:t>d</w:t>
      </w:r>
      <w:r>
        <w:t xml:space="preserve"> is a mutable sequence, with an optional maximum length, and can be indexed and iterated on (however, </w:t>
      </w:r>
      <w:r>
        <w:rPr>
          <w:rStyle w:val="Text3"/>
        </w:rPr>
        <w:t>d</w:t>
      </w:r>
      <w:r>
        <w:t xml:space="preserve"> cannot be sliced; it can only be indexed one item at a time, whether for access, rebinding, or deletion). If a deque instance </w:t>
      </w:r>
      <w:r>
        <w:rPr>
          <w:rStyle w:val="Text3"/>
        </w:rPr>
        <w:t>d</w:t>
      </w:r>
      <w:r>
        <w:t xml:space="preserve"> has a maximum length, when items are added to either side of </w:t>
      </w:r>
      <w:r>
        <w:rPr>
          <w:rStyle w:val="Text3"/>
        </w:rPr>
        <w:t>d</w:t>
      </w:r>
      <w:r>
        <w:t xml:space="preserve"> so that </w:t>
      </w:r>
      <w:r>
        <w:rPr>
          <w:rStyle w:val="Text3"/>
        </w:rPr>
        <w:t>d</w:t>
      </w:r>
      <w:r>
        <w:t>’s length exceeds that maximum, items are silently dropped from the other side.</w:t>
      </w:r>
    </w:p>
    <w:p>
      <w:pPr>
        <w:pStyle w:val="Normal"/>
      </w:pPr>
      <w:r>
        <w:rPr>
          <w:rStyle w:val="Text0"/>
        </w:rPr>
        <w:t>deque</w:t>
      </w:r>
      <w:r>
        <w:t xml:space="preserve"> is especially useful for implementing first-in, first-out (FIFO) queues.</w:t>
      </w:r>
      <w:hyperlink w:anchor="3_For_last_in__first_out__LIFO">
        <w:r>
          <w:rPr>
            <w:rStyle w:val="Text41"/>
          </w:rPr>
          <w:bookmarkStart w:id="2156" w:name="3_8"/>
          <w:t>3</w:t>
          <w:bookmarkEnd w:id="2156"/>
        </w:r>
      </w:hyperlink>
      <w:r>
        <w:t xml:space="preserve"> </w:t>
      </w:r>
      <w:r>
        <w:rPr>
          <w:rStyle w:val="Text0"/>
        </w:rPr>
        <w:t>deque</w:t>
      </w:r>
      <w:r>
        <w:t xml:space="preserve"> is also good for maintaining “the latest </w:t>
      </w:r>
      <w:r>
        <w:rPr>
          <w:rStyle w:val="Text4"/>
        </w:rPr>
        <w:t>N</w:t>
      </w:r>
      <w:r>
        <w:t xml:space="preserve"> things seen,” also known in some other languages as a </w:t>
      </w:r>
      <w:r>
        <w:rPr>
          <w:rStyle w:val="Text4"/>
        </w:rPr>
        <w:t>ring buffer</w:t>
      </w:r>
      <w:r>
        <w:t>.</w:t>
      </w:r>
    </w:p>
    <w:p>
      <w:pPr>
        <w:pStyle w:val="Normal"/>
      </w:pPr>
      <w:hyperlink w:anchor="Table_8_6__deque_methods">
        <w:r>
          <w:rPr>
            <w:rStyle w:val="Text1"/>
          </w:rPr>
          <w:t>Table 8-6</w:t>
        </w:r>
      </w:hyperlink>
      <w:r>
        <w:t xml:space="preserve"> lists the methods the </w:t>
      </w:r>
      <w:r>
        <w:rPr>
          <w:rStyle w:val="Text0"/>
        </w:rPr>
        <w:t>deque</w:t>
      </w:r>
      <w:r>
        <w:t xml:space="preserve"> type supplies.</w:t>
      </w:r>
    </w:p>
    <w:tbl>
      <w:tblPr>
        <w:tblW w:type="auto" w:w="0"/>
      </w:tblPr>
      <w:tr>
        <w:tc>
          <w:tcPr>
            <w:tcW w:type="auto" w:w="0"/>
            <w:tcMar>
              <w:left w:type="dxa" w:w="200"/>
              <w:top w:type="dxa" w:w="200"/>
              <w:right w:type="dxa" w:w="200"/>
              <w:bottom w:type="dxa" w:w="200"/>
            </w:tcMar>
          </w:tcPr>
          <w:p>
            <w:bookmarkStart w:id="2157" w:name="Table_8_6__deque_methods"/>
            <w:pPr>
              <w:pStyle w:val="Para 011"/>
            </w:pPr>
            <w:r>
              <w:rPr>
                <w:rStyle w:val="Text117"/>
              </w:rPr>
              <w:t/>
            </w:r>
            <w:r>
              <w:t xml:space="preserve">Table 8-6. </w:t>
            </w:r>
            <w:r>
              <w:rPr>
                <w:rStyle w:val="Text0"/>
              </w:rPr>
              <w:t>deque</w:t>
            </w:r>
            <w:r>
              <w:t xml:space="preserve"> methods</w:t>
            </w:r>
            <w:bookmarkEnd w:id="2157"/>
          </w:p>
          <w:p>
            <w:pPr>
              <w:pStyle w:val="Para 001"/>
            </w:pPr>
            <w:r>
              <w:t>deque</w:t>
            </w:r>
          </w:p>
        </w:tc>
        <w:tc>
          <w:tcPr>
            <w:tcW w:type="auto" w:w="0"/>
            <w:tcMar>
              <w:left w:type="dxa" w:w="200"/>
              <w:top w:type="dxa" w:w="200"/>
              <w:right w:type="dxa" w:w="200"/>
              <w:bottom w:type="dxa" w:w="200"/>
            </w:tcMar>
          </w:tcPr>
          <w:p>
            <w:pPr>
              <w:pStyle w:val="Para 002"/>
            </w:pPr>
            <w:r>
              <w:rPr>
                <w:rStyle w:val="Text0"/>
              </w:rPr>
              <w:t>deque(</w:t>
            </w:r>
            <w:r>
              <w:rPr>
                <w:rStyle w:val="Text3"/>
              </w:rPr>
              <w:t>seq</w:t>
            </w:r>
            <w:r>
              <w:rPr>
                <w:rStyle w:val="Text0"/>
              </w:rPr>
              <w:t>=(), /, maxlen=</w:t>
            </w:r>
            <w:r>
              <w:rPr>
                <w:rStyle w:val="Text5"/>
              </w:rPr>
              <w:t>None</w:t>
            </w:r>
            <w:r>
              <w:rPr>
                <w:rStyle w:val="Text0"/>
              </w:rPr>
              <w:t>)</w:t>
              <w:br w:clear="none"/>
            </w:r>
            <w:r>
              <w:t xml:space="preserve"> The initial items of </w:t>
            </w:r>
            <w:r>
              <w:rPr>
                <w:rStyle w:val="Text3"/>
              </w:rPr>
              <w:t>d</w:t>
            </w:r>
            <w:r>
              <w:t xml:space="preserve"> are those of </w:t>
            </w:r>
            <w:r>
              <w:rPr>
                <w:rStyle w:val="Text3"/>
              </w:rPr>
              <w:t>seq</w:t>
            </w:r>
            <w:r>
              <w:t xml:space="preserve">, in the same order. </w:t>
            </w:r>
            <w:r>
              <w:rPr>
                <w:rStyle w:val="Text3"/>
              </w:rPr>
              <w:t>d</w:t>
            </w:r>
            <w:r>
              <w:rPr>
                <w:rStyle w:val="Text0"/>
              </w:rPr>
              <w:t>.maxlen</w:t>
            </w:r>
            <w:r>
              <w:t xml:space="preserve"> is a read-only attribute: when its value is </w:t>
            </w:r>
            <w:r>
              <w:rPr>
                <w:rStyle w:val="Text5"/>
              </w:rPr>
              <w:t>None</w:t>
            </w:r>
            <w:r>
              <w:t xml:space="preserve">, </w:t>
            </w:r>
            <w:r>
              <w:rPr>
                <w:rStyle w:val="Text3"/>
              </w:rPr>
              <w:t>d</w:t>
            </w:r>
            <w:r>
              <w:t xml:space="preserve"> has no maximum length; when an </w:t>
            </w:r>
            <w:r>
              <w:rPr>
                <w:rStyle w:val="Text0"/>
              </w:rPr>
              <w:t>int</w:t>
            </w:r>
            <w:r>
              <w:t xml:space="preserve">, it must be </w:t>
            </w:r>
            <w:r>
              <w:rPr>
                <w:rStyle w:val="Text0"/>
              </w:rPr>
              <w:t>&gt;=0</w:t>
            </w:r>
            <w:r>
              <w:t xml:space="preserve">. </w:t>
            </w:r>
            <w:r>
              <w:rPr>
                <w:rStyle w:val="Text3"/>
              </w:rPr>
              <w:t>d</w:t>
            </w:r>
            <w:r>
              <w:t xml:space="preserve">’s maximum length is </w:t>
            </w:r>
            <w:r>
              <w:rPr>
                <w:rStyle w:val="Text3"/>
              </w:rPr>
              <w:t>d</w:t>
            </w:r>
            <w:r>
              <w:rPr>
                <w:rStyle w:val="Text0"/>
              </w:rPr>
              <w:t>.maxlen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append</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.append(</w:t>
            </w:r>
            <w:r>
              <w:rPr>
                <w:rStyle w:val="Text3"/>
              </w:rPr>
              <w:t>item</w:t>
            </w:r>
            <w:r>
              <w:rPr>
                <w:rStyle w:val="Text0"/>
              </w:rPr>
              <w:t>, /)</w:t>
              <w:br w:clear="none"/>
            </w:r>
            <w:r>
              <w:t xml:space="preserve"> Appends</w:t>
            </w:r>
            <w:r>
              <w:rPr>
                <w:rStyle w:val="Text111"/>
              </w:rPr>
              <w:bookmarkStart w:id="2158" w:name="idm45965277738912"/>
              <w:t/>
              <w:bookmarkEnd w:id="2158"/>
            </w:r>
            <w:r>
              <w:t xml:space="preserve"> </w:t>
            </w:r>
            <w:r>
              <w:rPr>
                <w:rStyle w:val="Text3"/>
              </w:rPr>
              <w:t>item</w:t>
            </w:r>
            <w:r>
              <w:t xml:space="preserve"> at the right (end) of </w:t>
            </w:r>
            <w:r>
              <w:rPr>
                <w:rStyle w:val="Text3"/>
              </w:rPr>
              <w:t>d</w:t>
            </w:r>
            <w:r>
              <w:t>.</w:t>
            </w:r>
          </w:p>
        </w:tc>
      </w:tr>
    </w:tbl>
    <w:tbl>
      <w:tblPr>
        <w:tblW w:type="auto" w:w="0"/>
      </w:tblPr>
      <w:tr>
        <w:tc>
          <w:tcPr>
            <w:tcW w:type="auto" w:w="0"/>
            <w:tcMar>
              <w:left w:type="dxa" w:w="200"/>
              <w:top w:type="dxa" w:w="200"/>
              <w:right w:type="dxa" w:w="200"/>
              <w:bottom w:type="dxa" w:w="200"/>
            </w:tcMar>
          </w:tcPr>
          <w:p>
            <w:pPr>
              <w:pStyle w:val="Para 001"/>
            </w:pPr>
            <w:r>
              <w:t>appendleft</w:t>
            </w:r>
          </w:p>
        </w:tc>
        <w:tc>
          <w:tcPr>
            <w:tcW w:type="auto" w:w="0"/>
            <w:tcMar>
              <w:left w:type="dxa" w:w="200"/>
              <w:top w:type="dxa" w:w="200"/>
              <w:right w:type="dxa" w:w="200"/>
              <w:bottom w:type="dxa" w:w="200"/>
            </w:tcMar>
          </w:tcPr>
          <w:p>
            <w:pPr>
              <w:pStyle w:val="Para 002"/>
            </w:pPr>
            <w:r>
              <w:rPr>
                <w:rStyle w:val="Text3"/>
              </w:rPr>
              <w:t>d</w:t>
            </w:r>
            <w:r>
              <w:rPr>
                <w:rStyle w:val="Text0"/>
              </w:rPr>
              <w:t>.appendleft(</w:t>
            </w:r>
            <w:r>
              <w:rPr>
                <w:rStyle w:val="Text3"/>
              </w:rPr>
              <w:t>item</w:t>
            </w:r>
            <w:r>
              <w:rPr>
                <w:rStyle w:val="Text0"/>
              </w:rPr>
              <w:t>, /)</w:t>
              <w:br w:clear="none"/>
            </w:r>
            <w:r>
              <w:t xml:space="preserve"> Appends</w:t>
            </w:r>
            <w:r>
              <w:rPr>
                <w:rStyle w:val="Text111"/>
              </w:rPr>
              <w:bookmarkStart w:id="2159" w:name="idm45965277732080"/>
              <w:t/>
              <w:bookmarkEnd w:id="2159"/>
            </w:r>
            <w:r>
              <w:t xml:space="preserve"> </w:t>
            </w:r>
            <w:r>
              <w:rPr>
                <w:rStyle w:val="Text3"/>
              </w:rPr>
              <w:t>item</w:t>
            </w:r>
            <w:r>
              <w:t xml:space="preserve"> at the left (start) of </w:t>
            </w:r>
            <w:r>
              <w:rPr>
                <w:rStyle w:val="Text3"/>
              </w:rPr>
              <w:t>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clear</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.clear()</w:t>
              <w:br w:clear="none"/>
            </w:r>
            <w:r>
              <w:t xml:space="preserve"> Removes</w:t>
            </w:r>
            <w:r>
              <w:rPr>
                <w:rStyle w:val="Text111"/>
              </w:rPr>
              <w:bookmarkStart w:id="2160" w:name="idm45965277726064"/>
              <w:t/>
              <w:bookmarkEnd w:id="2160"/>
            </w:r>
            <w:r>
              <w:t xml:space="preserve"> all items from </w:t>
            </w:r>
            <w:r>
              <w:rPr>
                <w:rStyle w:val="Text3"/>
              </w:rPr>
              <w:t>d</w:t>
            </w:r>
            <w:r>
              <w:t>, leaving it empty.</w:t>
            </w:r>
          </w:p>
        </w:tc>
      </w:tr>
    </w:tbl>
    <w:tbl>
      <w:tblPr>
        <w:tblW w:type="auto" w:w="0"/>
      </w:tblPr>
      <w:tr>
        <w:tc>
          <w:tcPr>
            <w:tcW w:type="auto" w:w="0"/>
            <w:tcMar>
              <w:left w:type="dxa" w:w="200"/>
              <w:top w:type="dxa" w:w="200"/>
              <w:right w:type="dxa" w:w="200"/>
              <w:bottom w:type="dxa" w:w="200"/>
            </w:tcMar>
          </w:tcPr>
          <w:p>
            <w:pPr>
              <w:pStyle w:val="Para 001"/>
            </w:pPr>
            <w:r>
              <w:t>extend</w:t>
            </w:r>
          </w:p>
        </w:tc>
        <w:tc>
          <w:tcPr>
            <w:tcW w:type="auto" w:w="0"/>
            <w:tcMar>
              <w:left w:type="dxa" w:w="200"/>
              <w:top w:type="dxa" w:w="200"/>
              <w:right w:type="dxa" w:w="200"/>
              <w:bottom w:type="dxa" w:w="200"/>
            </w:tcMar>
          </w:tcPr>
          <w:p>
            <w:pPr>
              <w:pStyle w:val="Para 002"/>
            </w:pPr>
            <w:r>
              <w:rPr>
                <w:rStyle w:val="Text3"/>
              </w:rPr>
              <w:t>d</w:t>
            </w:r>
            <w:r>
              <w:rPr>
                <w:rStyle w:val="Text0"/>
              </w:rPr>
              <w:t>.extend(</w:t>
            </w:r>
            <w:r>
              <w:rPr>
                <w:rStyle w:val="Text3"/>
              </w:rPr>
              <w:t>iterable</w:t>
            </w:r>
            <w:r>
              <w:rPr>
                <w:rStyle w:val="Text0"/>
              </w:rPr>
              <w:t>, /)</w:t>
              <w:br w:clear="none"/>
            </w:r>
            <w:r>
              <w:t xml:space="preserve"> Appends</w:t>
            </w:r>
            <w:r>
              <w:rPr>
                <w:rStyle w:val="Text111"/>
              </w:rPr>
              <w:bookmarkStart w:id="2161" w:name="idm45965277720112"/>
              <w:t/>
              <w:bookmarkEnd w:id="2161"/>
            </w:r>
            <w:r>
              <w:t xml:space="preserve"> all items of </w:t>
            </w:r>
            <w:r>
              <w:rPr>
                <w:rStyle w:val="Text3"/>
              </w:rPr>
              <w:t>iterable</w:t>
            </w:r>
            <w:r>
              <w:t xml:space="preserve"> at the right (end) of </w:t>
            </w:r>
            <w:r>
              <w:rPr>
                <w:rStyle w:val="Text3"/>
              </w:rPr>
              <w:t>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extendleft</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.extendleft(</w:t>
            </w:r>
            <w:r>
              <w:rPr>
                <w:rStyle w:val="Text3"/>
              </w:rPr>
              <w:t>iterable</w:t>
            </w:r>
            <w:r>
              <w:rPr>
                <w:rStyle w:val="Text0"/>
              </w:rPr>
              <w:t>, /)</w:t>
              <w:br w:clear="none"/>
            </w:r>
            <w:r>
              <w:t xml:space="preserve"> Appends</w:t>
            </w:r>
            <w:r>
              <w:rPr>
                <w:rStyle w:val="Text111"/>
              </w:rPr>
              <w:bookmarkStart w:id="2162" w:name="idm45965277713312"/>
              <w:t/>
              <w:bookmarkEnd w:id="2162"/>
            </w:r>
            <w:r>
              <w:t xml:space="preserve"> all items of </w:t>
            </w:r>
            <w:r>
              <w:rPr>
                <w:rStyle w:val="Text3"/>
              </w:rPr>
              <w:t>iterable</w:t>
            </w:r>
            <w:r>
              <w:t xml:space="preserve"> at the left (start) of </w:t>
            </w:r>
            <w:r>
              <w:rPr>
                <w:rStyle w:val="Text3"/>
              </w:rPr>
              <w:t>d</w:t>
            </w:r>
            <w:r>
              <w:t>, in reverse order.</w:t>
            </w:r>
          </w:p>
        </w:tc>
      </w:tr>
    </w:tbl>
    <w:tbl>
      <w:tblPr>
        <w:tblW w:type="auto" w:w="0"/>
      </w:tblPr>
      <w:tr>
        <w:tc>
          <w:tcPr>
            <w:tcW w:type="auto" w:w="0"/>
            <w:tcMar>
              <w:left w:type="dxa" w:w="200"/>
              <w:top w:type="dxa" w:w="200"/>
              <w:right w:type="dxa" w:w="200"/>
              <w:bottom w:type="dxa" w:w="200"/>
            </w:tcMar>
          </w:tcPr>
          <w:p>
            <w:pPr>
              <w:pStyle w:val="Para 001"/>
            </w:pPr>
            <w:r>
              <w:t>pop</w:t>
            </w:r>
          </w:p>
        </w:tc>
        <w:tc>
          <w:tcPr>
            <w:tcW w:type="auto" w:w="0"/>
            <w:tcMar>
              <w:left w:type="dxa" w:w="200"/>
              <w:top w:type="dxa" w:w="200"/>
              <w:right w:type="dxa" w:w="200"/>
              <w:bottom w:type="dxa" w:w="200"/>
            </w:tcMar>
          </w:tcPr>
          <w:p>
            <w:pPr>
              <w:pStyle w:val="Para 002"/>
            </w:pPr>
            <w:r>
              <w:rPr>
                <w:rStyle w:val="Text3"/>
              </w:rPr>
              <w:t>d</w:t>
            </w:r>
            <w:r>
              <w:rPr>
                <w:rStyle w:val="Text0"/>
              </w:rPr>
              <w:t>.pop()</w:t>
              <w:br w:clear="none"/>
            </w:r>
            <w:r>
              <w:t xml:space="preserve"> Removes and returns the last (rightmost) item from </w:t>
            </w:r>
            <w:r>
              <w:rPr>
                <w:rStyle w:val="Text3"/>
              </w:rPr>
              <w:t>d</w:t>
            </w:r>
            <w:r>
              <w:t xml:space="preserve">. If </w:t>
            </w:r>
            <w:r>
              <w:rPr>
                <w:rStyle w:val="Text3"/>
              </w:rPr>
              <w:t>d</w:t>
            </w:r>
            <w:r>
              <w:t xml:space="preserve"> is empty, raises </w:t>
            </w:r>
            <w:r>
              <w:rPr>
                <w:rStyle w:val="Text0"/>
              </w:rPr>
              <w:t>IndexError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popleft</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.popleft()</w:t>
              <w:br w:clear="none"/>
            </w:r>
            <w:r>
              <w:t xml:space="preserve"> Removes and returns the first (leftmost) item from </w:t>
            </w:r>
            <w:r>
              <w:rPr>
                <w:rStyle w:val="Text3"/>
              </w:rPr>
              <w:t>d</w:t>
            </w:r>
            <w:r>
              <w:t xml:space="preserve">. If </w:t>
            </w:r>
            <w:r>
              <w:rPr>
                <w:rStyle w:val="Text3"/>
              </w:rPr>
              <w:t>d</w:t>
            </w:r>
            <w:r>
              <w:t xml:space="preserve"> is empty, raises </w:t>
            </w:r>
            <w:r>
              <w:rPr>
                <w:rStyle w:val="Text0"/>
              </w:rPr>
              <w:t>IndexError</w:t>
            </w:r>
            <w:r>
              <w:t>.</w:t>
            </w:r>
          </w:p>
        </w:tc>
      </w:tr>
    </w:tbl>
    <w:tbl>
      <w:tblPr>
        <w:tblW w:type="auto" w:w="0"/>
      </w:tblPr>
      <w:tr>
        <w:tc>
          <w:tcPr>
            <w:tcW w:type="auto" w:w="0"/>
            <w:tcMar>
              <w:left w:type="dxa" w:w="200"/>
              <w:top w:type="dxa" w:w="200"/>
              <w:right w:type="dxa" w:w="200"/>
              <w:bottom w:type="dxa" w:w="200"/>
            </w:tcMar>
          </w:tcPr>
          <w:p>
            <w:pPr>
              <w:pStyle w:val="Para 001"/>
            </w:pPr>
            <w:r>
              <w:t>rotate</w:t>
            </w:r>
          </w:p>
        </w:tc>
        <w:tc>
          <w:tcPr>
            <w:tcW w:type="auto" w:w="0"/>
            <w:tcMar>
              <w:left w:type="dxa" w:w="200"/>
              <w:top w:type="dxa" w:w="200"/>
              <w:right w:type="dxa" w:w="200"/>
              <w:bottom w:type="dxa" w:w="200"/>
            </w:tcMar>
          </w:tcPr>
          <w:p>
            <w:pPr>
              <w:pStyle w:val="Para 002"/>
            </w:pPr>
            <w:r>
              <w:rPr>
                <w:rStyle w:val="Text3"/>
              </w:rPr>
              <w:t>d</w:t>
            </w:r>
            <w:r>
              <w:rPr>
                <w:rStyle w:val="Text0"/>
              </w:rPr>
              <w:t>.rotate(</w:t>
            </w:r>
            <w:r>
              <w:rPr>
                <w:rStyle w:val="Text3"/>
              </w:rPr>
              <w:t>n</w:t>
            </w:r>
            <w:r>
              <w:rPr>
                <w:rStyle w:val="Text0"/>
              </w:rPr>
              <w:t>=1, /)</w:t>
              <w:br w:clear="none"/>
            </w:r>
            <w:r>
              <w:t xml:space="preserve"> Rotates </w:t>
            </w:r>
            <w:r>
              <w:rPr>
                <w:rStyle w:val="Text3"/>
              </w:rPr>
              <w:t>d n</w:t>
            </w:r>
            <w:r>
              <w:t xml:space="preserve"> steps to the right (if </w:t>
            </w:r>
            <w:r>
              <w:rPr>
                <w:rStyle w:val="Text3"/>
              </w:rPr>
              <w:t>n</w:t>
            </w:r>
            <w:r>
              <w:rPr>
                <w:rStyle w:val="Text0"/>
              </w:rPr>
              <w:t>&lt;0</w:t>
            </w:r>
            <w:r>
              <w:t>, rotates left).</w:t>
            </w:r>
            <w:r>
              <w:rPr>
                <w:rStyle w:val="Text111"/>
              </w:rPr>
              <w:bookmarkStart w:id="2163" w:name="idm45965277693424"/>
              <w:t/>
              <w:bookmarkEnd w:id="2163"/>
              <w:bookmarkStart w:id="2164" w:name="idm45965277692288"/>
              <w:t/>
              <w:bookmarkEnd w:id="2164"/>
            </w:r>
          </w:p>
        </w:tc>
      </w:tr>
    </w:tbl>
    <w:p>
      <w:pPr>
        <w:keepNext/>
        <w:pStyle w:val="Heading 6"/>
        <w:keepLines w:val="on"/>
      </w:pPr>
      <w:r>
        <w:t>Avoid Indexing or Slicing a deque</w:t>
      </w:r>
    </w:p>
    <w:p>
      <w:pPr>
        <w:pStyle w:val="Para 012"/>
        <w:keepLines w:val="on"/>
      </w:pPr>
      <w:r>
        <w:rPr>
          <w:rStyle w:val="Text0"/>
        </w:rPr>
        <w:t>deque</w:t>
      </w:r>
      <w:r>
        <w:t xml:space="preserve"> is primarily intended for cases that access, add, and remove items from either the </w:t>
      </w:r>
      <w:r>
        <w:rPr>
          <w:rStyle w:val="Text0"/>
        </w:rPr>
        <w:t>deque</w:t>
      </w:r>
      <w:r>
        <w:t xml:space="preserve">’s start or end. While indexing or slicing into a </w:t>
      </w:r>
      <w:r>
        <w:rPr>
          <w:rStyle w:val="Text0"/>
        </w:rPr>
        <w:t>deque</w:t>
      </w:r>
      <w:r>
        <w:t xml:space="preserve"> is possible, it may only have </w:t>
      </w:r>
      <w:r>
        <w:rPr>
          <w:rStyle w:val="Text0"/>
        </w:rPr>
        <w:t>O(n)</w:t>
      </w:r>
      <w:r>
        <w:t xml:space="preserve"> performance (vs </w:t>
      </w:r>
      <w:r>
        <w:rPr>
          <w:rStyle w:val="Text0"/>
        </w:rPr>
        <w:t>O(1)</w:t>
      </w:r>
      <w:r>
        <w:t xml:space="preserve"> for </w:t>
      </w:r>
      <w:r>
        <w:rPr>
          <w:rStyle w:val="Text0"/>
        </w:rPr>
        <w:t>list</w:t>
      </w:r>
      <w:r>
        <w:t xml:space="preserve">) when accessing an inner value using </w:t>
      </w:r>
      <w:r>
        <w:rPr>
          <w:rStyle w:val="Text0"/>
        </w:rPr>
        <w:t>deque[i]</w:t>
      </w:r>
      <w:r>
        <w:t xml:space="preserve"> form. If you must access inner values, consider using a </w:t>
      </w:r>
      <w:r>
        <w:rPr>
          <w:rStyle w:val="Text0"/>
        </w:rPr>
        <w:t>list</w:t>
      </w:r>
      <w:r>
        <w:t xml:space="preserve"> instead.</w:t>
      </w:r>
    </w:p>
    <w:p>
      <w:bookmarkStart w:id="2165" w:name="The_functools_Module__The_functo"/>
      <w:pPr>
        <w:keepNext/>
        <w:pStyle w:val="Heading 1"/>
      </w:pPr>
      <w:r>
        <w:t>The functools Module</w:t>
      </w:r>
      <w:bookmarkEnd w:id="2165"/>
    </w:p>
    <w:p>
      <w:pPr>
        <w:pStyle w:val="Normal"/>
      </w:pPr>
      <w:r>
        <w:t>The</w:t>
      </w:r>
      <w:r>
        <w:rPr>
          <w:rStyle w:val="Text111"/>
        </w:rPr>
        <w:bookmarkStart w:id="2166" w:name="SLfunc08"/>
        <w:t/>
        <w:bookmarkEnd w:id="2166"/>
        <w:bookmarkStart w:id="2167" w:name="funcmod08"/>
        <w:t/>
        <w:bookmarkEnd w:id="2167"/>
      </w:r>
      <w:r>
        <w:t xml:space="preserve"> </w:t>
      </w:r>
      <w:r>
        <w:rPr>
          <w:rStyle w:val="Text0"/>
        </w:rPr>
        <w:t>functools</w:t>
      </w:r>
      <w:r>
        <w:t xml:space="preserve"> module supplies functions and types supporting functional programming in Python, listed in </w:t>
      </w:r>
      <w:hyperlink w:anchor="Table_8_7__Functions_and_attribu">
        <w:r>
          <w:rPr>
            <w:rStyle w:val="Text1"/>
          </w:rPr>
          <w:t>Table 8-7</w:t>
        </w:r>
      </w:hyperlink>
      <w:r>
        <w:t>.</w:t>
      </w:r>
    </w:p>
    <w:tbl>
      <w:tblPr>
        <w:tblW w:type="auto" w:w="0"/>
      </w:tblPr>
      <w:tr>
        <w:tc>
          <w:tcPr>
            <w:tcW w:type="auto" w:w="0"/>
            <w:tcMar>
              <w:left w:type="dxa" w:w="200"/>
              <w:top w:type="dxa" w:w="200"/>
              <w:right w:type="dxa" w:w="200"/>
              <w:bottom w:type="dxa" w:w="200"/>
            </w:tcMar>
          </w:tcPr>
          <w:p>
            <w:bookmarkStart w:id="2168" w:name="Table_8_7__Functions_and_attribu"/>
            <w:pPr>
              <w:pStyle w:val="Para 011"/>
            </w:pPr>
            <w:r>
              <w:rPr>
                <w:rStyle w:val="Text117"/>
              </w:rPr>
              <w:t/>
            </w:r>
            <w:r>
              <w:t xml:space="preserve">Table 8-7. </w:t>
              <w:t xml:space="preserve">Functions and attributes of the </w:t>
            </w:r>
            <w:r>
              <w:rPr>
                <w:rStyle w:val="Text0"/>
              </w:rPr>
              <w:t>functools</w:t>
            </w:r>
            <w:r>
              <w:t xml:space="preserve"> module</w:t>
            </w:r>
            <w:bookmarkEnd w:id="2168"/>
          </w:p>
          <w:p>
            <w:pPr>
              <w:pStyle w:val="Para 001"/>
            </w:pPr>
            <w:r>
              <w:t>cach⁠e⁠d⁠_​p⁠r⁠o⁠perty</w:t>
            </w:r>
          </w:p>
        </w:tc>
        <w:tc>
          <w:tcPr>
            <w:tcW w:type="auto" w:w="0"/>
            <w:tcMar>
              <w:left w:type="dxa" w:w="200"/>
              <w:top w:type="dxa" w:w="200"/>
              <w:right w:type="dxa" w:w="200"/>
              <w:bottom w:type="dxa" w:w="200"/>
            </w:tcMar>
          </w:tcPr>
          <w:p>
            <w:pPr>
              <w:pStyle w:val="Para 002"/>
            </w:pPr>
            <w:r>
              <w:rPr>
                <w:rStyle w:val="Text0"/>
              </w:rPr>
              <w:t>cached_property(func)</w:t>
              <w:br w:clear="none"/>
            </w:r>
            <w:r>
              <w:t xml:space="preserve"> </w:t>
            </w:r>
            <w:r>
              <w:rPr>
                <w:rStyle w:val="Text34"/>
              </w:rPr>
              <w:t>3.8+</w:t>
            </w:r>
            <w:r>
              <w:t xml:space="preserve"> A</w:t>
            </w:r>
            <w:r>
              <w:rPr>
                <w:rStyle w:val="Text111"/>
              </w:rPr>
              <w:bookmarkStart w:id="2169" w:name="idm45965277671088"/>
              <w:t/>
              <w:bookmarkEnd w:id="2169"/>
            </w:r>
            <w:r>
              <w:t xml:space="preserve"> caching version of the </w:t>
            </w:r>
            <w:r>
              <w:rPr>
                <w:rStyle w:val="Text0"/>
              </w:rPr>
              <w:t>property</w:t>
            </w:r>
            <w:r>
              <w:t xml:space="preserve"> decorator. Evaluating the property the first time caches the returned value, so that subsequent calls can return the cached value instead of repeating the property calculation. </w:t>
            </w:r>
            <w:r>
              <w:rPr>
                <w:rStyle w:val="Text0"/>
              </w:rPr>
              <w:t>cached_property</w:t>
            </w:r>
            <w:r>
              <w:t xml:space="preserve"> uses a threading lock to ensure that the property calculation is performed only once, even in a multithreaded environment.</w:t>
            </w:r>
            <w:hyperlink w:anchor="a_In_Python_versions_3_8_to_3_11">
              <w:r>
                <w:rPr>
                  <w:rStyle w:val="Text41"/>
                </w:rPr>
                <w:bookmarkStart w:id="2170" w:name="a_4"/>
                <w:t>a</w:t>
                <w:bookmarkEnd w:id="2170"/>
              </w:r>
            </w:hyperlink>
          </w:p>
        </w:tc>
      </w:tr>
    </w:tbl>
    <w:tbl>
      <w:tblPr>
        <w:tblW w:type="auto" w:w="0"/>
      </w:tblPr>
      <w:tr>
        <w:tc>
          <w:tcPr>
            <w:tcW w:type="auto" w:w="0"/>
            <w:shd w:val="clear" w:color="auto" w:fill="EEF2F6"/>
            <w:tcMar>
              <w:left w:type="dxa" w:w="200"/>
              <w:top w:type="dxa" w:w="200"/>
              <w:right w:type="dxa" w:w="200"/>
              <w:bottom w:type="dxa" w:w="200"/>
            </w:tcMar>
          </w:tcPr>
          <w:p>
            <w:pPr>
              <w:pStyle w:val="Para 001"/>
            </w:pPr>
            <w:r>
              <w:t>lru_cache</w:t>
            </w:r>
            <w:r>
              <w:rPr>
                <w:rStyle w:val="Text12"/>
              </w:rPr>
              <w:t>,</w:t>
              <w:br w:clear="none"/>
              <w:t xml:space="preserve"> </w:t>
            </w:r>
            <w:r>
              <w:t>cache</w:t>
            </w:r>
          </w:p>
        </w:tc>
        <w:tc>
          <w:tcPr>
            <w:tcW w:type="auto" w:w="0"/>
            <w:shd w:val="clear" w:color="auto" w:fill="EEF2F6"/>
            <w:tcMar>
              <w:left w:type="dxa" w:w="200"/>
              <w:top w:type="dxa" w:w="200"/>
              <w:right w:type="dxa" w:w="200"/>
              <w:bottom w:type="dxa" w:w="200"/>
            </w:tcMar>
          </w:tcPr>
          <w:p>
            <w:pPr>
              <w:pStyle w:val="Para 002"/>
            </w:pPr>
            <w:r>
              <w:rPr>
                <w:rStyle w:val="Text0"/>
              </w:rPr>
              <w:t>lru_cache(max_size=128,</w:t>
            </w:r>
            <w:r>
              <w:t xml:space="preserve"> </w:t>
            </w:r>
            <w:r>
              <w:rPr>
                <w:rStyle w:val="Text0"/>
              </w:rPr>
              <w:t>typed=</w:t>
            </w:r>
            <w:r>
              <w:rPr>
                <w:rStyle w:val="Text5"/>
              </w:rPr>
              <w:t>False</w:t>
            </w:r>
            <w:r>
              <w:rPr>
                <w:rStyle w:val="Text0"/>
              </w:rPr>
              <w:t>)</w:t>
            </w:r>
            <w:r>
              <w:t>,</w:t>
              <w:br w:clear="none"/>
              <w:t xml:space="preserve"> </w:t>
            </w:r>
            <w:r>
              <w:rPr>
                <w:rStyle w:val="Text0"/>
              </w:rPr>
              <w:t>cache()</w:t>
              <w:br w:clear="none"/>
            </w:r>
            <w:r>
              <w:t xml:space="preserve"> A </w:t>
            </w:r>
            <w:r>
              <w:rPr>
                <w:rStyle w:val="Text4"/>
              </w:rPr>
              <w:t>memoizing</w:t>
            </w:r>
            <w:r>
              <w:rPr>
                <w:rStyle w:val="Text105"/>
              </w:rPr>
              <w:bookmarkStart w:id="2171" w:name="idm45965277659504"/>
              <w:t/>
              <w:bookmarkEnd w:id="2171"/>
            </w:r>
            <w:r>
              <w:t xml:space="preserve"> decorator</w:t>
            </w:r>
            <w:r>
              <w:rPr>
                <w:rStyle w:val="Text111"/>
              </w:rPr>
              <w:bookmarkStart w:id="2172" w:name="idm45965277658240"/>
              <w:t/>
              <w:bookmarkEnd w:id="2172"/>
              <w:bookmarkStart w:id="2173" w:name="idm45965277657072"/>
              <w:t/>
              <w:bookmarkEnd w:id="2173"/>
            </w:r>
            <w:r>
              <w:t xml:space="preserve"> suitable for decorating a function whose arguments are all hashable, adding to the function a cache storing the last </w:t>
            </w:r>
            <w:r>
              <w:rPr>
                <w:rStyle w:val="Text0"/>
              </w:rPr>
              <w:t>max_size</w:t>
            </w:r>
            <w:r>
              <w:t xml:space="preserve"> results (</w:t>
            </w:r>
            <w:r>
              <w:rPr>
                <w:rStyle w:val="Text0"/>
              </w:rPr>
              <w:t>max_size</w:t>
            </w:r>
            <w:r>
              <w:t xml:space="preserve"> should be a power of 2, or </w:t>
            </w:r>
            <w:r>
              <w:rPr>
                <w:rStyle w:val="Text5"/>
              </w:rPr>
              <w:t>None</w:t>
            </w:r>
            <w:r>
              <w:t xml:space="preserve"> to have the cache keep all previous results); when you call the decorated function again with arguments that are in the cache, it immediately returns the previously cached result, bypassing the underlying function’s body code. When </w:t>
            </w:r>
            <w:r>
              <w:rPr>
                <w:rStyle w:val="Text0"/>
              </w:rPr>
              <w:t>typed</w:t>
            </w:r>
            <w:r>
              <w:t xml:space="preserve"> is </w:t>
            </w:r>
            <w:r>
              <w:rPr>
                <w:rStyle w:val="Text5"/>
              </w:rPr>
              <w:t>True</w:t>
            </w:r>
            <w:r>
              <w:t xml:space="preserve">, arguments that compare equal but have different types, such as 23 and 23.0, are cached separately. </w:t>
            </w:r>
            <w:r>
              <w:rPr>
                <w:rStyle w:val="Text34"/>
              </w:rPr>
              <w:t>3.9+</w:t>
            </w:r>
            <w:r>
              <w:t xml:space="preserve"> If setting </w:t>
            </w:r>
            <w:r>
              <w:rPr>
                <w:rStyle w:val="Text0"/>
              </w:rPr>
              <w:t>max_size</w:t>
            </w:r>
            <w:r>
              <w:t xml:space="preserve"> to </w:t>
            </w:r>
            <w:r>
              <w:rPr>
                <w:rStyle w:val="Text5"/>
              </w:rPr>
              <w:t>None</w:t>
            </w:r>
            <w:r>
              <w:t xml:space="preserve">, use </w:t>
            </w:r>
            <w:r>
              <w:rPr>
                <w:rStyle w:val="Text0"/>
              </w:rPr>
              <w:t>cache</w:t>
            </w:r>
            <w:r>
              <w:t xml:space="preserve"> instead. For more details and examples, see the </w:t>
            </w:r>
            <w:hyperlink r:id="rId310">
              <w:r>
                <w:rPr>
                  <w:rStyle w:val="Text1"/>
                </w:rPr>
                <w:t>online docs</w:t>
              </w:r>
            </w:hyperlink>
            <w:r>
              <w:t xml:space="preserve">. </w:t>
            </w:r>
            <w:r>
              <w:rPr>
                <w:rStyle w:val="Text34"/>
              </w:rPr>
              <w:t>3.8+</w:t>
            </w:r>
            <w:r>
              <w:t xml:space="preserve"> </w:t>
            </w:r>
            <w:r>
              <w:rPr>
                <w:rStyle w:val="Text0"/>
              </w:rPr>
              <w:t>lru_cache</w:t>
            </w:r>
            <w:r>
              <w:t xml:space="preserve"> may also be used as a decorator with no ().</w:t>
            </w:r>
          </w:p>
        </w:tc>
      </w:tr>
    </w:tbl>
    <w:tbl>
      <w:tblPr>
        <w:tblW w:type="auto" w:w="0"/>
      </w:tblPr>
      <w:tr>
        <w:tc>
          <w:tcPr>
            <w:tcW w:type="auto" w:w="0"/>
            <w:tcMar>
              <w:left w:type="dxa" w:w="200"/>
              <w:top w:type="dxa" w:w="200"/>
              <w:right w:type="dxa" w:w="200"/>
              <w:bottom w:type="dxa" w:w="200"/>
            </w:tcMar>
          </w:tcPr>
          <w:p>
            <w:pPr>
              <w:pStyle w:val="Para 001"/>
            </w:pPr>
            <w:r>
              <w:t>partial</w:t>
            </w:r>
          </w:p>
        </w:tc>
        <w:tc>
          <w:tcPr>
            <w:tcW w:type="auto" w:w="0"/>
            <w:tcMar>
              <w:left w:type="dxa" w:w="200"/>
              <w:top w:type="dxa" w:w="200"/>
              <w:right w:type="dxa" w:w="200"/>
              <w:bottom w:type="dxa" w:w="200"/>
            </w:tcMar>
          </w:tcPr>
          <w:p>
            <w:pPr>
              <w:pStyle w:val="Para 002"/>
            </w:pPr>
            <w:r>
              <w:rPr>
                <w:rStyle w:val="Text0"/>
              </w:rPr>
              <w:t>partial(</w:t>
            </w:r>
            <w:r>
              <w:rPr>
                <w:rStyle w:val="Text3"/>
              </w:rPr>
              <w:t>func</w:t>
            </w:r>
            <w:r>
              <w:rPr>
                <w:rStyle w:val="Text0"/>
              </w:rPr>
              <w:t>, /,</w:t>
            </w:r>
            <w:r>
              <w:t xml:space="preserve"> </w:t>
            </w:r>
            <w:r>
              <w:rPr>
                <w:rStyle w:val="Text0"/>
              </w:rPr>
              <w:t>*</w:t>
            </w:r>
            <w:r>
              <w:rPr>
                <w:rStyle w:val="Text3"/>
              </w:rPr>
              <w:t>a, **k</w:t>
            </w:r>
            <w:r>
              <w:rPr>
                <w:rStyle w:val="Text0"/>
              </w:rPr>
              <w:t>)</w:t>
              <w:br w:clear="none"/>
            </w:r>
            <w:r>
              <w:t xml:space="preserve"> Returns</w:t>
            </w:r>
            <w:r>
              <w:rPr>
                <w:rStyle w:val="Text111"/>
              </w:rPr>
              <w:bookmarkStart w:id="2174" w:name="idm45965277642336"/>
              <w:t/>
              <w:bookmarkEnd w:id="2174"/>
            </w:r>
            <w:r>
              <w:t xml:space="preserve"> a callable </w:t>
            </w:r>
            <w:r>
              <w:rPr>
                <w:rStyle w:val="Text3"/>
              </w:rPr>
              <w:t>p</w:t>
            </w:r>
            <w:r>
              <w:t xml:space="preserve"> that is just like </w:t>
            </w:r>
            <w:r>
              <w:rPr>
                <w:rStyle w:val="Text3"/>
              </w:rPr>
              <w:t>func</w:t>
            </w:r>
            <w:r>
              <w:t xml:space="preserve"> (which is any callable), but with some positional and/or named parameters already bound to the values given in </w:t>
            </w:r>
            <w:r>
              <w:rPr>
                <w:rStyle w:val="Text3"/>
              </w:rPr>
              <w:t>a</w:t>
            </w:r>
            <w:r>
              <w:t xml:space="preserve"> and </w:t>
            </w:r>
            <w:r>
              <w:rPr>
                <w:rStyle w:val="Text3"/>
              </w:rPr>
              <w:t>k</w:t>
            </w:r>
            <w:r>
              <w:t xml:space="preserve">. In other words, </w:t>
            </w:r>
            <w:r>
              <w:rPr>
                <w:rStyle w:val="Text3"/>
              </w:rPr>
              <w:t>p</w:t>
            </w:r>
            <w:r>
              <w:t xml:space="preserve"> is a </w:t>
            </w:r>
            <w:r>
              <w:rPr>
                <w:rStyle w:val="Text4"/>
              </w:rPr>
              <w:t>partial application</w:t>
            </w:r>
            <w:r>
              <w:t xml:space="preserve"> of </w:t>
            </w:r>
            <w:r>
              <w:rPr>
                <w:rStyle w:val="Text3"/>
              </w:rPr>
              <w:t>func</w:t>
            </w:r>
            <w:r>
              <w:t xml:space="preserve">, often also known (with debatable correctness, but colorfully, in honor of mathematician Haskell Curry) as a </w:t>
            </w:r>
            <w:r>
              <w:rPr>
                <w:rStyle w:val="Text4"/>
              </w:rPr>
              <w:t>currying</w:t>
            </w:r>
            <w:r>
              <w:t xml:space="preserve"> of </w:t>
            </w:r>
            <w:r>
              <w:rPr>
                <w:rStyle w:val="Text3"/>
              </w:rPr>
              <w:t>func</w:t>
            </w:r>
            <w:r>
              <w:t xml:space="preserve"> to the given arguments. For example, say that we have a list of numbers </w:t>
            </w:r>
            <w:r>
              <w:rPr>
                <w:rStyle w:val="Text0"/>
              </w:rPr>
              <w:t>L</w:t>
            </w:r>
            <w:r>
              <w:t xml:space="preserve"> and want to clip the negative ones to </w:t>
            </w:r>
            <w:r>
              <w:rPr>
                <w:rStyle w:val="Text0"/>
              </w:rPr>
              <w:t>0</w:t>
            </w:r>
            <w:r>
              <w:t xml:space="preserve">. One way to do it is: </w:t>
            </w:r>
          </w:p>
          <w:p>
            <w:pPr>
              <w:pStyle w:val="Para 025"/>
            </w:pPr>
            <w:r>
              <w:rPr>
                <w:rStyle w:val="Text23"/>
              </w:rPr>
              <w:t xml:space="preserve"/>
              <w:br w:clear="none"/>
            </w:r>
            <w:r>
              <w:t xml:space="preserve">L</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map</w:t>
              <w:br w:clear="none"/>
            </w:r>
            <w:r>
              <w:rPr>
                <w:rStyle w:val="Text7"/>
              </w:rPr>
              <w:t xml:space="preserve">(</w:t>
              <w:br w:clear="none"/>
            </w:r>
            <w:r>
              <w:t xml:space="preserve">functools</w:t>
              <w:br w:clear="none"/>
            </w:r>
            <w:r>
              <w:rPr>
                <w:rStyle w:val="Text13"/>
              </w:rPr>
              <w:t xml:space="preserve">.</w:t>
              <w:br w:clear="none"/>
            </w:r>
            <w:r>
              <w:t xml:space="preserve">partial</w:t>
              <w:br w:clear="none"/>
            </w:r>
            <w:r>
              <w:rPr>
                <w:rStyle w:val="Text7"/>
              </w:rPr>
              <w:t xml:space="preserve">(</w:t>
              <w:br w:clear="none"/>
            </w:r>
            <w:r>
              <w:rPr>
                <w:rStyle w:val="Text16"/>
              </w:rPr>
              <w:t xml:space="preserve">max</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r>
              <w:rPr>
                <w:rStyle w:val="Text23"/>
              </w:rPr>
              <w:t xml:space="preserve"> </w:t>
              <w:br w:clear="none"/>
            </w:r>
            <w:r>
              <w:t xml:space="preserve">L</w:t>
              <w:br w:clear="none"/>
            </w:r>
            <w:r>
              <w:rPr>
                <w:rStyle w:val="Text7"/>
              </w:rPr>
              <w:t xml:space="preserve">)</w:t>
              <w:br w:clear="none"/>
            </w:r>
          </w:p>
          <w:p>
            <w:pPr>
              <w:pStyle w:val="Para 022"/>
            </w:pPr>
            <w:r>
              <w:t xml:space="preserve"> as an alternative to the </w:t>
            </w:r>
            <w:r>
              <w:rPr>
                <w:rStyle w:val="Text5"/>
              </w:rPr>
              <w:t>lambda</w:t>
            </w:r>
            <w:r>
              <w:t xml:space="preserve">-using snippet: </w:t>
            </w:r>
          </w:p>
          <w:p>
            <w:pPr>
              <w:pStyle w:val="Para 106"/>
            </w:pPr>
            <w:r>
              <w:rPr>
                <w:rStyle w:val="Text23"/>
              </w:rPr>
              <w:t xml:space="preserve"/>
              <w:br w:clear="none"/>
            </w:r>
            <w:r>
              <w:rPr>
                <w:rStyle w:val="Text9"/>
              </w:rPr>
              <w:t xml:space="preserve">L</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map</w:t>
              <w:br w:clear="none"/>
            </w:r>
            <w:r>
              <w:t xml:space="preserve">(</w:t>
              <w:br w:clear="none"/>
            </w:r>
            <w:r>
              <w:rPr>
                <w:rStyle w:val="Text10"/>
              </w:rPr>
              <w:t xml:space="preserve">lambda</w:t>
              <w:br w:clear="none"/>
            </w:r>
            <w:r>
              <w:rPr>
                <w:rStyle w:val="Text6"/>
              </w:rPr>
              <w:t xml:space="preserve"> </w:t>
              <w:br w:clear="none"/>
            </w:r>
            <w:r>
              <w:rPr>
                <w:rStyle w:val="Text9"/>
              </w:rPr>
              <w:t xml:space="preserve">x</w:t>
              <w:br w:clear="none"/>
            </w:r>
            <w:r>
              <w:t xml:space="preserve">:</w:t>
              <w:br w:clear="none"/>
            </w:r>
            <w:r>
              <w:rPr>
                <w:rStyle w:val="Text6"/>
              </w:rPr>
              <w:t xml:space="preserve"> </w:t>
              <w:br w:clear="none"/>
            </w:r>
            <w:r>
              <w:rPr>
                <w:rStyle w:val="Text16"/>
              </w:rPr>
              <w:t xml:space="preserve">max</w:t>
              <w:br w:clear="none"/>
            </w:r>
            <w:r>
              <w:t xml:space="preserve">(</w:t>
              <w:br w:clear="none"/>
            </w:r>
            <w:r>
              <w:rPr>
                <w:rStyle w:val="Text27"/>
              </w:rPr>
              <w:t xml:space="preserve">0</w:t>
              <w:br w:clear="none"/>
            </w:r>
            <w:r>
              <w:t xml:space="preserve">,</w:t>
              <w:br w:clear="none"/>
            </w:r>
            <w:r>
              <w:rPr>
                <w:rStyle w:val="Text6"/>
              </w:rPr>
              <w:t xml:space="preserve"> </w:t>
              <w:br w:clear="none"/>
            </w:r>
            <w:r>
              <w:rPr>
                <w:rStyle w:val="Text9"/>
              </w:rPr>
              <w:t xml:space="preserve">x</w:t>
              <w:br w:clear="none"/>
            </w:r>
            <w:r>
              <w:t xml:space="preserve">)</w:t>
              <w:br w:clear="none"/>
              <w:t xml:space="preserve">,</w:t>
              <w:br w:clear="none"/>
            </w:r>
            <w:r>
              <w:rPr>
                <w:rStyle w:val="Text6"/>
              </w:rPr>
              <w:t xml:space="preserve"> </w:t>
              <w:br w:clear="none"/>
            </w:r>
            <w:r>
              <w:rPr>
                <w:rStyle w:val="Text9"/>
              </w:rPr>
              <w:t xml:space="preserve">L</w:t>
              <w:br w:clear="none"/>
            </w:r>
            <w:r>
              <w:t xml:space="preserve">)</w:t>
              <w:br w:clear="none"/>
            </w:r>
          </w:p>
          <w:p>
            <w:pPr>
              <w:pStyle w:val="Para 022"/>
            </w:pPr>
            <w:r>
              <w:t xml:space="preserve"> and to the most concise approach, a list comprehension: </w:t>
            </w:r>
          </w:p>
          <w:p>
            <w:pPr>
              <w:pStyle w:val="Para 057"/>
            </w:pPr>
            <w:r>
              <w:rPr>
                <w:rStyle w:val="Text104"/>
              </w:rPr>
              <w:t xml:space="preserve"/>
              <w:br w:clear="none"/>
            </w:r>
            <w:r>
              <w:rPr>
                <w:rStyle w:val="Text9"/>
              </w:rPr>
              <w:t xml:space="preserve">L</w:t>
              <w:br w:clear="none"/>
            </w:r>
            <w:r>
              <w:t xml:space="preserve"> </w:t>
              <w:br w:clear="none"/>
            </w:r>
            <w:r>
              <w:rPr>
                <w:rStyle w:val="Text13"/>
              </w:rPr>
              <w:t xml:space="preserve">=</w:t>
              <w:br w:clear="none"/>
            </w:r>
            <w:r>
              <w:t xml:space="preserve"> </w:t>
              <w:br w:clear="none"/>
            </w:r>
            <w:r>
              <w:rPr>
                <w:rStyle w:val="Text7"/>
              </w:rPr>
              <w:t xml:space="preserve">[</w:t>
              <w:br w:clear="none"/>
            </w:r>
            <w:r>
              <w:rPr>
                <w:rStyle w:val="Text16"/>
              </w:rPr>
              <w:t xml:space="preserve">max</w:t>
              <w:br w:clear="none"/>
            </w:r>
            <w:r>
              <w:rPr>
                <w:rStyle w:val="Text7"/>
              </w:rPr>
              <w:t xml:space="preserve">(</w:t>
              <w:br w:clear="none"/>
            </w:r>
            <w:r>
              <w:rPr>
                <w:rStyle w:val="Text27"/>
              </w:rPr>
              <w:t xml:space="preserve">0</w:t>
              <w:br w:clear="none"/>
            </w:r>
            <w:r>
              <w:rPr>
                <w:rStyle w:val="Text7"/>
              </w:rPr>
              <w:t xml:space="preserve">,</w:t>
              <w:br w:clear="none"/>
            </w:r>
            <w:r>
              <w:t xml:space="preserve"> </w:t>
              <w:br w:clear="none"/>
            </w:r>
            <w:r>
              <w:rPr>
                <w:rStyle w:val="Text9"/>
              </w:rPr>
              <w:t xml:space="preserve">x</w:t>
              <w:br w:clear="none"/>
            </w:r>
            <w:r>
              <w:rPr>
                <w:rStyle w:val="Text7"/>
              </w:rPr>
              <w:t xml:space="preserve">)</w:t>
              <w:br w:clear="none"/>
            </w:r>
            <w:r>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9"/>
              </w:rPr>
              <w:t xml:space="preserve">L</w:t>
              <w:br w:clear="none"/>
            </w:r>
            <w:r>
              <w:rPr>
                <w:rStyle w:val="Text7"/>
              </w:rPr>
              <w:t xml:space="preserve">]</w:t>
              <w:br w:clear="none"/>
            </w:r>
          </w:p>
          <w:p>
            <w:pPr>
              <w:pStyle w:val="Para 022"/>
            </w:pPr>
            <w:r>
              <w:rPr>
                <w:rStyle w:val="Text0"/>
              </w:rPr>
              <w:t>functools.partial</w:t>
            </w:r>
            <w:r>
              <w:t xml:space="preserve"> comes into its own in situations that demand callbacks, such as event-driven programming for some GUIs and networking applications.</w:t>
              <w:br w:clear="none"/>
              <w:t xml:space="preserve"> </w:t>
            </w:r>
            <w:r>
              <w:rPr>
                <w:rStyle w:val="Text0"/>
              </w:rPr>
              <w:t>partial</w:t>
            </w:r>
            <w:r>
              <w:t xml:space="preserve"> returns a callable with the attributes </w:t>
            </w:r>
            <w:r>
              <w:rPr>
                <w:rStyle w:val="Text0"/>
              </w:rPr>
              <w:t>func</w:t>
            </w:r>
            <w:r>
              <w:t xml:space="preserve"> (the wrapped function), </w:t>
            </w:r>
            <w:r>
              <w:rPr>
                <w:rStyle w:val="Text0"/>
              </w:rPr>
              <w:t>args</w:t>
            </w:r>
            <w:r>
              <w:t xml:space="preserve"> (the </w:t>
            </w:r>
            <w:r>
              <w:rPr>
                <w:rStyle w:val="Text0"/>
              </w:rPr>
              <w:t>tuple</w:t>
            </w:r>
            <w:r>
              <w:t xml:space="preserve"> of prebound positional arguments), and </w:t>
            </w:r>
            <w:r>
              <w:rPr>
                <w:rStyle w:val="Text0"/>
              </w:rPr>
              <w:t>keywords</w:t>
            </w:r>
            <w:r>
              <w:t xml:space="preserve"> (the </w:t>
            </w:r>
            <w:r>
              <w:rPr>
                <w:rStyle w:val="Text0"/>
              </w:rPr>
              <w:t>dict</w:t>
            </w:r>
            <w:r>
              <w:t xml:space="preserve"> of prebound named arguments, or </w:t>
            </w:r>
            <w:r>
              <w:rPr>
                <w:rStyle w:val="Text5"/>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reduce</w:t>
            </w:r>
          </w:p>
        </w:tc>
        <w:tc>
          <w:tcPr>
            <w:tcW w:type="auto" w:w="0"/>
            <w:shd w:val="clear" w:color="auto" w:fill="EEF2F6"/>
            <w:tcMar>
              <w:left w:type="dxa" w:w="200"/>
              <w:top w:type="dxa" w:w="200"/>
              <w:right w:type="dxa" w:w="200"/>
              <w:bottom w:type="dxa" w:w="200"/>
            </w:tcMar>
          </w:tcPr>
          <w:p>
            <w:pPr>
              <w:pStyle w:val="Para 002"/>
            </w:pPr>
            <w:r>
              <w:rPr>
                <w:rStyle w:val="Text0"/>
              </w:rPr>
              <w:t>reduce(</w:t>
            </w:r>
            <w:r>
              <w:rPr>
                <w:rStyle w:val="Text3"/>
              </w:rPr>
              <w:t>func</w:t>
            </w:r>
            <w:r>
              <w:rPr>
                <w:rStyle w:val="Text0"/>
              </w:rPr>
              <w:t>,</w:t>
            </w:r>
            <w:r>
              <w:t xml:space="preserve"> </w:t>
            </w:r>
            <w:r>
              <w:rPr>
                <w:rStyle w:val="Text3"/>
              </w:rPr>
              <w:t>seq</w:t>
            </w:r>
            <w:r>
              <w:rPr>
                <w:rStyle w:val="Text0"/>
              </w:rPr>
              <w:t>[,</w:t>
            </w:r>
            <w:r>
              <w:t xml:space="preserve"> </w:t>
            </w:r>
            <w:r>
              <w:rPr>
                <w:rStyle w:val="Text3"/>
              </w:rPr>
              <w:t>init</w:t>
            </w:r>
            <w:r>
              <w:rPr>
                <w:rStyle w:val="Text0"/>
              </w:rPr>
              <w:t>], /)</w:t>
              <w:br w:clear="none"/>
            </w:r>
            <w:r>
              <w:t xml:space="preserve"> Applies</w:t>
            </w:r>
            <w:r>
              <w:rPr>
                <w:rStyle w:val="Text111"/>
              </w:rPr>
              <w:bookmarkStart w:id="2175" w:name="idm45965277505152"/>
              <w:t/>
              <w:bookmarkEnd w:id="2175"/>
            </w:r>
            <w:r>
              <w:t xml:space="preserve"> </w:t>
            </w:r>
            <w:r>
              <w:rPr>
                <w:rStyle w:val="Text3"/>
              </w:rPr>
              <w:t>func</w:t>
            </w:r>
            <w:r>
              <w:t xml:space="preserve"> to the items of </w:t>
            </w:r>
            <w:r>
              <w:rPr>
                <w:rStyle w:val="Text3"/>
              </w:rPr>
              <w:t>seq</w:t>
            </w:r>
            <w:r>
              <w:t xml:space="preserve">, from left to right, to reduce the iterable to a single value. </w:t>
            </w:r>
            <w:r>
              <w:rPr>
                <w:rStyle w:val="Text3"/>
              </w:rPr>
              <w:t>func</w:t>
            </w:r>
            <w:r>
              <w:t xml:space="preserve"> must be callable with two arguments. </w:t>
            </w:r>
            <w:r>
              <w:rPr>
                <w:rStyle w:val="Text0"/>
              </w:rPr>
              <w:t>reduce</w:t>
            </w:r>
            <w:r>
              <w:t xml:space="preserve"> calls </w:t>
            </w:r>
            <w:r>
              <w:rPr>
                <w:rStyle w:val="Text3"/>
              </w:rPr>
              <w:t>func</w:t>
            </w:r>
            <w:r>
              <w:t xml:space="preserve"> on the first two items of </w:t>
            </w:r>
            <w:r>
              <w:rPr>
                <w:rStyle w:val="Text3"/>
              </w:rPr>
              <w:t>seq</w:t>
            </w:r>
            <w:r>
              <w:t xml:space="preserve">, then on the result of the first call and the third item, and so on, and returns the result of the last such call. When </w:t>
            </w:r>
            <w:r>
              <w:rPr>
                <w:rStyle w:val="Text3"/>
              </w:rPr>
              <w:t>init</w:t>
            </w:r>
            <w:r>
              <w:t xml:space="preserve"> is present, </w:t>
            </w:r>
            <w:r>
              <w:rPr>
                <w:rStyle w:val="Text0"/>
              </w:rPr>
              <w:t>reduce</w:t>
            </w:r>
            <w:r>
              <w:t xml:space="preserve"> uses it before </w:t>
            </w:r>
            <w:r>
              <w:rPr>
                <w:rStyle w:val="Text3"/>
              </w:rPr>
              <w:t>seq</w:t>
            </w:r>
            <w:r>
              <w:t xml:space="preserve">’s first item, if any. When </w:t>
            </w:r>
            <w:r>
              <w:rPr>
                <w:rStyle w:val="Text3"/>
              </w:rPr>
              <w:t>init</w:t>
            </w:r>
            <w:r>
              <w:t xml:space="preserve"> is missing, </w:t>
            </w:r>
            <w:r>
              <w:rPr>
                <w:rStyle w:val="Text3"/>
              </w:rPr>
              <w:t>seq</w:t>
            </w:r>
            <w:r>
              <w:t xml:space="preserve"> must be nonempty. When </w:t>
            </w:r>
            <w:r>
              <w:rPr>
                <w:rStyle w:val="Text3"/>
              </w:rPr>
              <w:t>init</w:t>
            </w:r>
            <w:r>
              <w:t xml:space="preserve"> is missing and </w:t>
            </w:r>
            <w:r>
              <w:rPr>
                <w:rStyle w:val="Text3"/>
              </w:rPr>
              <w:t>seq</w:t>
            </w:r>
            <w:r>
              <w:t xml:space="preserve"> has only one item, </w:t>
            </w:r>
            <w:r>
              <w:rPr>
                <w:rStyle w:val="Text0"/>
              </w:rPr>
              <w:t>reduce</w:t>
            </w:r>
            <w:r>
              <w:t xml:space="preserve"> returns </w:t>
            </w:r>
            <w:r>
              <w:rPr>
                <w:rStyle w:val="Text3"/>
              </w:rPr>
              <w:t>seq</w:t>
            </w:r>
            <w:r>
              <w:rPr>
                <w:rStyle w:val="Text0"/>
              </w:rPr>
              <w:t>[0]</w:t>
            </w:r>
            <w:r>
              <w:t xml:space="preserve">. Similarly, when </w:t>
            </w:r>
            <w:r>
              <w:rPr>
                <w:rStyle w:val="Text3"/>
              </w:rPr>
              <w:t>init</w:t>
            </w:r>
            <w:r>
              <w:t xml:space="preserve"> is present and </w:t>
            </w:r>
            <w:r>
              <w:rPr>
                <w:rStyle w:val="Text3"/>
              </w:rPr>
              <w:t>seq</w:t>
            </w:r>
            <w:r>
              <w:t xml:space="preserve"> is empty, </w:t>
            </w:r>
            <w:r>
              <w:rPr>
                <w:rStyle w:val="Text0"/>
              </w:rPr>
              <w:t>reduce</w:t>
            </w:r>
            <w:r>
              <w:t xml:space="preserve"> returns </w:t>
            </w:r>
            <w:r>
              <w:rPr>
                <w:rStyle w:val="Text3"/>
              </w:rPr>
              <w:t>init</w:t>
            </w:r>
            <w:r>
              <w:rPr>
                <w:rStyle w:val="Text4"/>
              </w:rPr>
              <w:t>.</w:t>
            </w:r>
            <w:r>
              <w:t xml:space="preserve"> </w:t>
            </w:r>
            <w:r>
              <w:rPr>
                <w:rStyle w:val="Text0"/>
              </w:rPr>
              <w:t>reduce</w:t>
            </w:r>
            <w:r>
              <w:t xml:space="preserve"> is thus roughly equivalent to: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reduce_equiv</w:t>
              <w:br w:clear="none"/>
            </w:r>
            <w:r>
              <w:rPr>
                <w:rStyle w:val="Text7"/>
              </w:rPr>
              <w:t xml:space="preserve">(</w:t>
              <w:br w:clear="none"/>
            </w:r>
            <w:r>
              <w:t xml:space="preserve">func</w:t>
              <w:br w:clear="none"/>
            </w:r>
            <w:r>
              <w:rPr>
                <w:rStyle w:val="Text7"/>
              </w:rPr>
              <w:t xml:space="preserve">,</w:t>
              <w:br w:clear="none"/>
            </w:r>
            <w:r>
              <w:rPr>
                <w:rStyle w:val="Text6"/>
              </w:rPr>
              <w:t xml:space="preserve"> </w:t>
              <w:br w:clear="none"/>
            </w:r>
            <w:r>
              <w:t xml:space="preserve">seq</w:t>
              <w:br w:clear="none"/>
            </w:r>
            <w:r>
              <w:rPr>
                <w:rStyle w:val="Text7"/>
              </w:rPr>
              <w:t xml:space="preserve">,</w:t>
              <w:br w:clear="none"/>
            </w:r>
            <w:r>
              <w:rPr>
                <w:rStyle w:val="Text6"/>
              </w:rPr>
              <w:t xml:space="preserve"> </w:t>
              <w:br w:clear="none"/>
            </w:r>
            <w:r>
              <w:t xml:space="preserve">init</w:t>
              <w:br w:clear="none"/>
            </w:r>
            <w:r>
              <w:rPr>
                <w:rStyle w:val="Text13"/>
              </w:rPr>
              <w:t xml:space="preserve">=</w:t>
              <w:br w:clear="none"/>
            </w:r>
            <w:r>
              <w:rPr>
                <w:rStyle w:val="Text10"/>
              </w:rPr>
              <w:t xml:space="preserve">None</w:t>
              <w:br w:clear="none"/>
            </w:r>
            <w:r>
              <w:rPr>
                <w:rStyle w:val="Text7"/>
              </w:rPr>
              <w:t xml:space="preserve">)</w:t>
              <w:br w:clear="none"/>
              <w:t xml:space="preserve">:</w:t>
              <w:br w:clear="none"/>
            </w:r>
            <w:r>
              <w:rPr>
                <w:rStyle w:val="Text6"/>
              </w:rPr>
              <w:t xml:space="preserve"/>
              <w:br w:clear="none"/>
              <w:t xml:space="preserve">    </w:t>
              <w:br w:clear="none"/>
            </w:r>
            <w:r>
              <w:t xml:space="preserve">seq</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iter</w:t>
              <w:br w:clear="none"/>
            </w:r>
            <w:r>
              <w:rPr>
                <w:rStyle w:val="Text7"/>
              </w:rPr>
              <w:t xml:space="preserve">(</w:t>
              <w:br w:clear="none"/>
            </w:r>
            <w:r>
              <w:t xml:space="preserve">seq</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init</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t xml:space="preserve">init</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next</w:t>
              <w:br w:clear="none"/>
            </w:r>
            <w:r>
              <w:rPr>
                <w:rStyle w:val="Text7"/>
              </w:rPr>
              <w:t xml:space="preserve">(</w:t>
              <w:br w:clear="none"/>
            </w:r>
            <w:r>
              <w:t xml:space="preserve">seq</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seq</w:t>
              <w:br w:clear="none"/>
            </w:r>
            <w:r>
              <w:rPr>
                <w:rStyle w:val="Text7"/>
              </w:rPr>
              <w:t xml:space="preserve">:</w:t>
              <w:br w:clear="none"/>
            </w:r>
            <w:r>
              <w:rPr>
                <w:rStyle w:val="Text6"/>
              </w:rPr>
              <w:t xml:space="preserve"> </w:t>
              <w:br w:clear="none"/>
              <w:t xml:space="preserve"/>
              <w:br w:clear="none"/>
              <w:t xml:space="preserve">        </w:t>
              <w:br w:clear="none"/>
            </w:r>
            <w:r>
              <w:t xml:space="preserve">init</w:t>
              <w:br w:clear="none"/>
            </w:r>
            <w:r>
              <w:rPr>
                <w:rStyle w:val="Text6"/>
              </w:rPr>
              <w:t xml:space="preserve"> </w:t>
              <w:br w:clear="none"/>
            </w:r>
            <w:r>
              <w:rPr>
                <w:rStyle w:val="Text13"/>
              </w:rPr>
              <w:t xml:space="preserve">=</w:t>
              <w:br w:clear="none"/>
            </w:r>
            <w:r>
              <w:rPr>
                <w:rStyle w:val="Text6"/>
              </w:rPr>
              <w:t xml:space="preserve"> </w:t>
              <w:br w:clear="none"/>
            </w:r>
            <w:r>
              <w:t xml:space="preserve">func</w:t>
              <w:br w:clear="none"/>
            </w:r>
            <w:r>
              <w:rPr>
                <w:rStyle w:val="Text7"/>
              </w:rPr>
              <w:t xml:space="preserve">(</w:t>
              <w:br w:clear="none"/>
            </w:r>
            <w:r>
              <w:t xml:space="preserve">init</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init</w:t>
              <w:br w:clear="none"/>
            </w:r>
          </w:p>
          <w:p>
            <w:pPr>
              <w:pStyle w:val="Para 022"/>
            </w:pPr>
            <w:r>
              <w:t xml:space="preserve"> An example use of </w:t>
            </w:r>
            <w:r>
              <w:rPr>
                <w:rStyle w:val="Text0"/>
              </w:rPr>
              <w:t>reduce</w:t>
            </w:r>
            <w:r>
              <w:t xml:space="preserve"> is to compute the product of a sequence of numbers: </w:t>
            </w:r>
          </w:p>
          <w:p>
            <w:pPr>
              <w:pStyle w:val="Para 029"/>
            </w:pPr>
            <w:r>
              <w:rPr>
                <w:rStyle w:val="Text23"/>
              </w:rPr>
              <w:t xml:space="preserve"/>
              <w:br w:clear="none"/>
            </w:r>
            <w:r>
              <w:t xml:space="preserve">prod</w:t>
              <w:br w:clear="none"/>
            </w:r>
            <w:r>
              <w:rPr>
                <w:rStyle w:val="Text13"/>
              </w:rPr>
              <w:t xml:space="preserve">=</w:t>
              <w:br w:clear="none"/>
            </w:r>
            <w:r>
              <w:t xml:space="preserve">reduce</w:t>
              <w:br w:clear="none"/>
            </w:r>
            <w:r>
              <w:rPr>
                <w:rStyle w:val="Text7"/>
              </w:rPr>
              <w:t xml:space="preserve">(</w:t>
              <w:br w:clear="none"/>
            </w:r>
            <w:r>
              <w:t xml:space="preserve">operator</w:t>
              <w:br w:clear="none"/>
            </w:r>
            <w:r>
              <w:rPr>
                <w:rStyle w:val="Text13"/>
              </w:rPr>
              <w:t xml:space="preserve">.</w:t>
              <w:br w:clear="none"/>
            </w:r>
            <w:r>
              <w:t xml:space="preserve">mul</w:t>
              <w:br w:clear="none"/>
            </w:r>
            <w:r>
              <w:rPr>
                <w:rStyle w:val="Text7"/>
              </w:rPr>
              <w:t xml:space="preserve">,</w:t>
              <w:br w:clear="none"/>
            </w:r>
            <w:r>
              <w:rPr>
                <w:rStyle w:val="Text23"/>
              </w:rPr>
              <w:t xml:space="preserve"> </w:t>
              <w:br w:clear="none"/>
            </w:r>
            <w:r>
              <w:t xml:space="preserve">seq</w:t>
              <w:br w:clear="none"/>
            </w:r>
            <w:r>
              <w:rPr>
                <w:rStyle w:val="Text7"/>
              </w:rPr>
              <w:t xml:space="preserve">,</w:t>
              <w:br w:clear="none"/>
            </w:r>
            <w:r>
              <w:rPr>
                <w:rStyle w:val="Text23"/>
              </w:rPr>
              <w:t xml:space="preserve"> </w:t>
              <w:br w:clear="none"/>
            </w:r>
            <w:r>
              <w:rPr>
                <w:rStyle w:val="Text27"/>
              </w:rPr>
              <w:t xml:space="preserve">1</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singledispatch</w:t>
            </w:r>
            <w:r>
              <w:rPr>
                <w:rStyle w:val="Text12"/>
              </w:rPr>
              <w:t>,</w:t>
              <w:br w:clear="none"/>
              <w:t xml:space="preserve"> </w:t>
            </w:r>
            <w:r>
              <w:t>singledispatchmethod</w:t>
            </w:r>
          </w:p>
        </w:tc>
        <w:tc>
          <w:tcPr>
            <w:tcW w:type="auto" w:w="0"/>
            <w:tcMar>
              <w:left w:type="dxa" w:w="200"/>
              <w:top w:type="dxa" w:w="200"/>
              <w:right w:type="dxa" w:w="200"/>
              <w:bottom w:type="dxa" w:w="200"/>
            </w:tcMar>
          </w:tcPr>
          <w:p>
            <w:pPr>
              <w:pStyle w:val="Para 002"/>
            </w:pPr>
            <w:r>
              <w:t>Function</w:t>
            </w:r>
            <w:r>
              <w:rPr>
                <w:rStyle w:val="Text111"/>
              </w:rPr>
              <w:bookmarkStart w:id="2176" w:name="idm45965277420720"/>
              <w:t/>
              <w:bookmarkEnd w:id="2176"/>
              <w:bookmarkStart w:id="2177" w:name="idm45965277390544"/>
              <w:t/>
              <w:bookmarkEnd w:id="2177"/>
            </w:r>
            <w:r>
              <w:t xml:space="preserve"> decorators to support multiple implementations of a method with differing types for their first argument. See the </w:t>
            </w:r>
            <w:hyperlink r:id="rId311">
              <w:r>
                <w:rPr>
                  <w:rStyle w:val="Text1"/>
                </w:rPr>
                <w:t>online docs</w:t>
              </w:r>
            </w:hyperlink>
            <w:r>
              <w:t xml:space="preserve"> for a detailed description.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total_ordering</w:t>
            </w:r>
          </w:p>
        </w:tc>
        <w:tc>
          <w:tcPr>
            <w:tcW w:type="auto" w:w="0"/>
            <w:shd w:val="clear" w:color="auto" w:fill="EEF2F6"/>
            <w:tcMar>
              <w:left w:type="dxa" w:w="200"/>
              <w:top w:type="dxa" w:w="200"/>
              <w:right w:type="dxa" w:w="200"/>
              <w:bottom w:type="dxa" w:w="200"/>
            </w:tcMar>
          </w:tcPr>
          <w:p>
            <w:pPr>
              <w:pStyle w:val="Para 002"/>
            </w:pPr>
            <w:r>
              <w:t xml:space="preserve">A </w:t>
            </w:r>
            <w:r>
              <w:rPr>
                <w:rStyle w:val="Text111"/>
              </w:rPr>
              <w:bookmarkStart w:id="2178" w:name="idm45965277386928"/>
              <w:t/>
              <w:bookmarkEnd w:id="2178"/>
            </w:r>
            <w:r>
              <w:t xml:space="preserve">class decorator suitable for decorating classes that supply at least one inequality comparison method, such as </w:t>
            </w:r>
            <w:r>
              <w:rPr>
                <w:rStyle w:val="Text0"/>
              </w:rPr>
              <w:t>__lt__</w:t>
            </w:r>
            <w:r>
              <w:t xml:space="preserve">, and, ideally, also supply </w:t>
            </w:r>
            <w:r>
              <w:rPr>
                <w:rStyle w:val="Text0"/>
              </w:rPr>
              <w:t>__eq__</w:t>
            </w:r>
            <w:r>
              <w:t xml:space="preserve">. Based on the class’s existing methods, the class decorator </w:t>
            </w:r>
            <w:r>
              <w:rPr>
                <w:rStyle w:val="Text0"/>
              </w:rPr>
              <w:t>total_ordering</w:t>
            </w:r>
            <w:r>
              <w:t xml:space="preserve"> adds to the class all other inequality comparison methods that aren’t implemented in the class itself or any of its superclasses, removing the need for you to add boilerplate code for them.</w:t>
            </w:r>
          </w:p>
        </w:tc>
      </w:tr>
    </w:tbl>
    <w:tbl>
      <w:tblPr>
        <w:tblW w:type="auto" w:w="0"/>
      </w:tblPr>
      <w:tr>
        <w:tc>
          <w:tcPr>
            <w:tcW w:type="auto" w:w="0"/>
            <w:tcMar>
              <w:left w:type="dxa" w:w="200"/>
              <w:top w:type="dxa" w:w="200"/>
              <w:right w:type="dxa" w:w="200"/>
              <w:bottom w:type="dxa" w:w="200"/>
            </w:tcMar>
          </w:tcPr>
          <w:p>
            <w:pPr>
              <w:pStyle w:val="Para 001"/>
            </w:pPr>
            <w:r>
              <w:t>wraps</w:t>
            </w:r>
          </w:p>
        </w:tc>
        <w:tc>
          <w:tcPr>
            <w:tcW w:type="auto" w:w="0"/>
            <w:tcMar>
              <w:left w:type="dxa" w:w="200"/>
              <w:top w:type="dxa" w:w="200"/>
              <w:right w:type="dxa" w:w="200"/>
              <w:bottom w:type="dxa" w:w="200"/>
            </w:tcMar>
          </w:tcPr>
          <w:p>
            <w:pPr>
              <w:pStyle w:val="Para 002"/>
            </w:pPr>
            <w:r>
              <w:rPr>
                <w:rStyle w:val="Text0"/>
              </w:rPr>
              <w:t>wraps(wrapped)</w:t>
              <w:br w:clear="none"/>
            </w:r>
            <w:r>
              <w:t xml:space="preserve"> A</w:t>
            </w:r>
            <w:r>
              <w:rPr>
                <w:rStyle w:val="Text111"/>
              </w:rPr>
              <w:bookmarkStart w:id="2179" w:name="idm45965277355392"/>
              <w:t/>
              <w:bookmarkEnd w:id="2179"/>
            </w:r>
            <w:r>
              <w:t xml:space="preserve"> decorator suitable for decorating functions that wrap another function, </w:t>
            </w:r>
            <w:r>
              <w:rPr>
                <w:rStyle w:val="Text0"/>
              </w:rPr>
              <w:t>wrapped</w:t>
            </w:r>
            <w:r>
              <w:t xml:space="preserve"> (often nested functions within another decorator). </w:t>
            </w:r>
            <w:r>
              <w:rPr>
                <w:rStyle w:val="Text0"/>
              </w:rPr>
              <w:t>wraps</w:t>
            </w:r>
            <w:r>
              <w:t xml:space="preserve"> copies the </w:t>
            </w:r>
            <w:r>
              <w:rPr>
                <w:rStyle w:val="Text0"/>
              </w:rPr>
              <w:t>__name__</w:t>
            </w:r>
            <w:r>
              <w:t xml:space="preserve">, </w:t>
            </w:r>
            <w:r>
              <w:rPr>
                <w:rStyle w:val="Text0"/>
              </w:rPr>
              <w:t>__doc__</w:t>
            </w:r>
            <w:r>
              <w:t xml:space="preserve">, and </w:t>
            </w:r>
            <w:r>
              <w:rPr>
                <w:rStyle w:val="Text0"/>
              </w:rPr>
              <w:t>__module__</w:t>
            </w:r>
            <w:r>
              <w:t xml:space="preserve"> attributes of </w:t>
            </w:r>
            <w:r>
              <w:rPr>
                <w:rStyle w:val="Text0"/>
              </w:rPr>
              <w:t>wrapped</w:t>
            </w:r>
            <w:r>
              <w:t xml:space="preserve"> on the decorated function, thus improving the behavior of the built-in function </w:t>
            </w:r>
            <w:r>
              <w:rPr>
                <w:rStyle w:val="Text0"/>
              </w:rPr>
              <w:t>help</w:t>
            </w:r>
            <w:r>
              <w:t xml:space="preserve">, and of doctests, covered in </w:t>
            </w:r>
            <w:hyperlink w:anchor="The_doctest_Module__The_doctest">
              <w:r>
                <w:rPr>
                  <w:rStyle w:val="Text1"/>
                </w:rPr>
                <w:t>“The doctest Module”</w:t>
              </w:r>
            </w:hyperlink>
            <w:r>
              <w:t>.</w:t>
            </w:r>
            <w:r>
              <w:rPr>
                <w:rStyle w:val="Text111"/>
              </w:rPr>
              <w:bookmarkStart w:id="2180" w:name="idm45965277348288"/>
              <w:t/>
              <w:bookmarkEnd w:id="2180"/>
              <w:bookmarkStart w:id="2181" w:name="idm45965277346880"/>
              <w:t/>
              <w:bookmarkEnd w:id="2181"/>
            </w:r>
          </w:p>
        </w:tc>
      </w:tr>
    </w:tbl>
    <w:tbl>
      <w:tblPr>
        <w:tblW w:type="auto" w:w="0"/>
      </w:tblPr>
      <w:tr>
        <w:tc>
          <w:tcPr>
            <w:tcW w:type="auto" w:w="0"/>
            <w:tcMar>
              <w:left w:type="dxa" w:w="200"/>
              <w:top w:type="dxa" w:w="200"/>
              <w:right w:type="dxa" w:w="200"/>
              <w:bottom w:type="dxa" w:w="200"/>
            </w:tcMar>
            <w:hMerge w:val="restart"/>
          </w:tcPr>
          <w:p>
            <w:bookmarkStart w:id="2182" w:name="a_In_Python_versions_3_8_to_3_11"/>
            <w:pPr>
              <w:pStyle w:val="Para 036"/>
            </w:pPr>
            <w:hyperlink w:anchor="a_4">
              <w:r>
                <w:rPr>
                  <w:rStyle w:val="Text1"/>
                </w:rPr>
                <w:t>a</w:t>
              </w:r>
            </w:hyperlink>
            <w:r>
              <w:t xml:space="preserve"> In Python versions 3.8 to 3.11, </w:t>
            </w:r>
            <w:r>
              <w:rPr>
                <w:rStyle w:val="Text25"/>
              </w:rPr>
              <w:t>cached_property</w:t>
            </w:r>
            <w:r>
              <w:t xml:space="preserve"> is implemented using a class-level lock. As such, it synchronizes for all instances of the class or any subclass, not just the current instance. Thus, </w:t>
            </w:r>
            <w:r>
              <w:rPr>
                <w:rStyle w:val="Text25"/>
              </w:rPr>
              <w:t>cached_property</w:t>
            </w:r>
            <w:r>
              <w:t xml:space="preserve"> can reduce performance in a multithreaded environment, and is </w:t>
            </w:r>
            <w:r>
              <w:rPr>
                <w:rStyle w:val="Text4"/>
              </w:rPr>
              <w:t>not</w:t>
            </w:r>
            <w:r>
              <w:t xml:space="preserve"> recommended.</w:t>
            </w:r>
            <w:bookmarkEnd w:id="2182"/>
          </w:p>
        </w:tc>
        <w:tc>
          <w:tcPr>
            <w:hMerge w:val="continue"/>
          </w:tcPr>
          <w:p/>
        </w:tc>
      </w:tr>
    </w:tbl>
    <w:p>
      <w:bookmarkStart w:id="2183" w:name="The_heapq_Module__The_heapq_modu"/>
      <w:pPr>
        <w:keepNext/>
        <w:pStyle w:val="Heading 1"/>
      </w:pPr>
      <w:r>
        <w:t>The heapq Module</w:t>
      </w:r>
      <w:bookmarkEnd w:id="2183"/>
    </w:p>
    <w:p>
      <w:pPr>
        <w:pStyle w:val="Normal"/>
      </w:pPr>
      <w:r>
        <w:t>The</w:t>
      </w:r>
      <w:r>
        <w:rPr>
          <w:rStyle w:val="Text111"/>
        </w:rPr>
        <w:bookmarkStart w:id="2184" w:name="heapqmod08"/>
        <w:t/>
        <w:bookmarkEnd w:id="2184"/>
      </w:r>
      <w:r>
        <w:t xml:space="preserve"> </w:t>
      </w:r>
      <w:r>
        <w:rPr>
          <w:rStyle w:val="Text0"/>
        </w:rPr>
        <w:t>heapq</w:t>
      </w:r>
      <w:r>
        <w:t xml:space="preserve"> module uses </w:t>
      </w:r>
      <w:hyperlink r:id="rId312">
        <w:r>
          <w:rPr>
            <w:rStyle w:val="Text24"/>
          </w:rPr>
          <w:t>min-heap</w:t>
        </w:r>
      </w:hyperlink>
      <w:r>
        <w:t xml:space="preserve"> algorithms to keep a list in “nearly sorted” order as items are inserted and extracted. </w:t>
      </w:r>
      <w:r>
        <w:rPr>
          <w:rStyle w:val="Text0"/>
        </w:rPr>
        <w:t>heapq</w:t>
      </w:r>
      <w:r>
        <w:t xml:space="preserve">’s operation is faster than calling a list’s </w:t>
      </w:r>
      <w:r>
        <w:rPr>
          <w:rStyle w:val="Text0"/>
        </w:rPr>
        <w:t>sort</w:t>
      </w:r>
      <w:r>
        <w:t xml:space="preserve"> method after each insertion, and much faster than </w:t>
      </w:r>
      <w:r>
        <w:rPr>
          <w:rStyle w:val="Text0"/>
        </w:rPr>
        <w:t>bisect</w:t>
      </w:r>
      <w:r>
        <w:t xml:space="preserve"> (covered in the </w:t>
      </w:r>
      <w:hyperlink r:id="rId313">
        <w:r>
          <w:rPr>
            <w:rStyle w:val="Text1"/>
          </w:rPr>
          <w:t>online docs</w:t>
        </w:r>
      </w:hyperlink>
      <w:r>
        <w:t xml:space="preserve">). For many purposes, such as implementing “priority queues,” the nearly sorted order supported by </w:t>
      </w:r>
      <w:r>
        <w:rPr>
          <w:rStyle w:val="Text0"/>
        </w:rPr>
        <w:t>heapq</w:t>
      </w:r>
      <w:r>
        <w:t xml:space="preserve"> is just as good as a fully sorted order, and faster to establish and maintain. The </w:t>
      </w:r>
      <w:r>
        <w:rPr>
          <w:rStyle w:val="Text0"/>
        </w:rPr>
        <w:t>heapq</w:t>
      </w:r>
      <w:r>
        <w:t xml:space="preserve"> module supplies the functions listed in </w:t>
      </w:r>
      <w:hyperlink w:anchor="Table_8_8__Functions_of_the_heap">
        <w:r>
          <w:rPr>
            <w:rStyle w:val="Text1"/>
          </w:rPr>
          <w:t>Table 8-8</w:t>
        </w:r>
      </w:hyperlink>
      <w:r>
        <w:t>.</w:t>
      </w:r>
    </w:p>
    <w:tbl>
      <w:tblPr>
        <w:tblW w:type="auto" w:w="0"/>
      </w:tblPr>
      <w:tr>
        <w:tc>
          <w:tcPr>
            <w:tcW w:type="auto" w:w="0"/>
            <w:tcMar>
              <w:left w:type="dxa" w:w="200"/>
              <w:top w:type="dxa" w:w="200"/>
              <w:right w:type="dxa" w:w="200"/>
              <w:bottom w:type="dxa" w:w="200"/>
            </w:tcMar>
          </w:tcPr>
          <w:p>
            <w:bookmarkStart w:id="2185" w:name="Table_8_8__Functions_of_the_heap"/>
            <w:pPr>
              <w:pStyle w:val="Para 011"/>
            </w:pPr>
            <w:r>
              <w:rPr>
                <w:rStyle w:val="Text117"/>
              </w:rPr>
              <w:t/>
            </w:r>
            <w:r>
              <w:t xml:space="preserve">Table 8-8. </w:t>
              <w:t xml:space="preserve">Functions of the </w:t>
            </w:r>
            <w:r>
              <w:rPr>
                <w:rStyle w:val="Text0"/>
              </w:rPr>
              <w:t>heapq</w:t>
            </w:r>
            <w:r>
              <w:t xml:space="preserve"> module</w:t>
            </w:r>
            <w:bookmarkEnd w:id="2185"/>
          </w:p>
          <w:p>
            <w:pPr>
              <w:pStyle w:val="Para 001"/>
            </w:pPr>
            <w:r>
              <w:t>heapify</w:t>
            </w:r>
          </w:p>
        </w:tc>
        <w:tc>
          <w:tcPr>
            <w:tcW w:type="auto" w:w="0"/>
            <w:tcMar>
              <w:left w:type="dxa" w:w="200"/>
              <w:top w:type="dxa" w:w="200"/>
              <w:right w:type="dxa" w:w="200"/>
              <w:bottom w:type="dxa" w:w="200"/>
            </w:tcMar>
          </w:tcPr>
          <w:p>
            <w:pPr>
              <w:pStyle w:val="Para 002"/>
            </w:pPr>
            <w:r>
              <w:rPr>
                <w:rStyle w:val="Text0"/>
              </w:rPr>
              <w:t>heapify(</w:t>
            </w:r>
            <w:r>
              <w:rPr>
                <w:rStyle w:val="Text3"/>
              </w:rPr>
              <w:t>alist</w:t>
            </w:r>
            <w:r>
              <w:rPr>
                <w:rStyle w:val="Text0"/>
              </w:rPr>
              <w:t>, /)</w:t>
              <w:br w:clear="none"/>
            </w:r>
            <w:r>
              <w:t xml:space="preserve"> Permutes </w:t>
            </w:r>
            <w:r>
              <w:rPr>
                <w:rStyle w:val="Text0"/>
              </w:rPr>
              <w:t>list</w:t>
            </w:r>
            <w:r>
              <w:t xml:space="preserve"> </w:t>
            </w:r>
            <w:r>
              <w:rPr>
                <w:rStyle w:val="Text3"/>
              </w:rPr>
              <w:t>alist</w:t>
            </w:r>
            <w:r>
              <w:t xml:space="preserve"> as needed to make it satisfy the (min) heap condition: </w:t>
            </w:r>
          </w:p>
          <w:p>
            <w:pPr>
              <w:pStyle w:val="Para 003"/>
            </w:pPr>
            <w:r>
              <w:t xml:space="preserve">For any </w:t>
            </w:r>
            <w:r>
              <w:rPr>
                <w:rStyle w:val="Text3"/>
              </w:rPr>
              <w:t>i</w:t>
            </w:r>
            <w:r>
              <w:t xml:space="preserve"> </w:t>
            </w:r>
            <w:r>
              <w:rPr>
                <w:rStyle w:val="Text0"/>
              </w:rPr>
              <w:t>&gt;= 0</w:t>
            </w:r>
            <w:r>
              <w:t>:</w:t>
            </w:r>
          </w:p>
          <w:p>
            <w:pPr>
              <w:pStyle w:val="Para 024"/>
            </w:pPr>
            <w:r>
              <w:t>alist[</w:t>
            </w:r>
            <w:r>
              <w:rPr>
                <w:rStyle w:val="Text3"/>
              </w:rPr>
              <w:t>i</w:t>
            </w:r>
            <w:r>
              <w:t>] &lt;= alist[2 *</w:t>
            </w:r>
            <w:r>
              <w:rPr>
                <w:rStyle w:val="Text12"/>
              </w:rPr>
              <w:t xml:space="preserve"> </w:t>
            </w:r>
            <w:r>
              <w:rPr>
                <w:rStyle w:val="Text3"/>
              </w:rPr>
              <w:t>i</w:t>
            </w:r>
            <w:r>
              <w:rPr>
                <w:rStyle w:val="Text12"/>
              </w:rPr>
              <w:t xml:space="preserve"> </w:t>
            </w:r>
            <w:r>
              <w:t>+ 1]</w:t>
            </w:r>
            <w:r>
              <w:rPr>
                <w:rStyle w:val="Text12"/>
              </w:rPr>
              <w:t xml:space="preserve"> and</w:t>
            </w:r>
          </w:p>
          <w:p>
            <w:pPr>
              <w:pStyle w:val="Para 024"/>
            </w:pPr>
            <w:r>
              <w:t>alist[</w:t>
            </w:r>
            <w:r>
              <w:rPr>
                <w:rStyle w:val="Text3"/>
              </w:rPr>
              <w:t>i</w:t>
            </w:r>
            <w:r>
              <w:t>] &lt;= alist[2 *</w:t>
            </w:r>
            <w:r>
              <w:rPr>
                <w:rStyle w:val="Text12"/>
              </w:rPr>
              <w:t xml:space="preserve"> </w:t>
            </w:r>
            <w:r>
              <w:rPr>
                <w:rStyle w:val="Text3"/>
              </w:rPr>
              <w:t>i</w:t>
            </w:r>
            <w:r>
              <w:rPr>
                <w:rStyle w:val="Text12"/>
              </w:rPr>
              <w:t xml:space="preserve"> </w:t>
            </w:r>
            <w:r>
              <w:t>+ 2]</w:t>
            </w:r>
          </w:p>
          <w:p>
            <w:pPr>
              <w:pStyle w:val="Para 003"/>
            </w:pPr>
            <w:r>
              <w:t xml:space="preserve">as long as all the indices in question are </w:t>
            </w:r>
            <w:r>
              <w:rPr>
                <w:rStyle w:val="Text0"/>
              </w:rPr>
              <w:t>&lt;len(</w:t>
            </w:r>
            <w:r>
              <w:rPr>
                <w:rStyle w:val="Text3"/>
              </w:rPr>
              <w:t>alist</w:t>
            </w:r>
            <w:r>
              <w:rPr>
                <w:rStyle w:val="Text0"/>
              </w:rPr>
              <w:t>)</w:t>
            </w:r>
            <w:r>
              <w:t>.</w:t>
            </w:r>
          </w:p>
          <w:p>
            <w:pPr>
              <w:pStyle w:val="Para 022"/>
            </w:pPr>
            <w:r>
              <w:t xml:space="preserve"> If a </w:t>
            </w:r>
            <w:r>
              <w:rPr>
                <w:rStyle w:val="Text0"/>
              </w:rPr>
              <w:t>list</w:t>
            </w:r>
            <w:r>
              <w:t xml:space="preserve"> satisfies the (min) heap condition, the list’s first item is the smallest (or equal-smallest) one. A sorted </w:t>
            </w:r>
            <w:r>
              <w:rPr>
                <w:rStyle w:val="Text0"/>
              </w:rPr>
              <w:t>list</w:t>
            </w:r>
            <w:r>
              <w:t xml:space="preserve"> satisfies the heap condition, but many other permutations of a list also satisfy the heap condition without requiring the list to be fully sorted. </w:t>
            </w:r>
            <w:r>
              <w:rPr>
                <w:rStyle w:val="Text0"/>
              </w:rPr>
              <w:t>heapify</w:t>
            </w:r>
            <w:r>
              <w:t xml:space="preserve"> runs in </w:t>
            </w:r>
            <w:r>
              <w:rPr>
                <w:rStyle w:val="Text0"/>
              </w:rPr>
              <w:t>O(len(</w:t>
            </w:r>
            <w:r>
              <w:rPr>
                <w:rStyle w:val="Text3"/>
              </w:rPr>
              <w:t>alist</w:t>
            </w:r>
            <w:r>
              <w:rPr>
                <w:rStyle w:val="Text0"/>
              </w:rPr>
              <w:t>))</w:t>
            </w:r>
            <w:r>
              <w:t xml:space="preserve"> time.</w:t>
            </w:r>
          </w:p>
        </w:tc>
      </w:tr>
    </w:tbl>
    <w:tbl>
      <w:tblPr>
        <w:tblW w:type="auto" w:w="0"/>
      </w:tblPr>
      <w:tr>
        <w:tc>
          <w:tcPr>
            <w:tcW w:type="auto" w:w="0"/>
            <w:shd w:val="clear" w:color="auto" w:fill="EEF2F6"/>
            <w:tcMar>
              <w:left w:type="dxa" w:w="200"/>
              <w:top w:type="dxa" w:w="200"/>
              <w:right w:type="dxa" w:w="200"/>
              <w:bottom w:type="dxa" w:w="200"/>
            </w:tcMar>
          </w:tcPr>
          <w:p>
            <w:pPr>
              <w:pStyle w:val="Para 001"/>
            </w:pPr>
            <w:r>
              <w:t>heappop</w:t>
            </w:r>
          </w:p>
        </w:tc>
        <w:tc>
          <w:tcPr>
            <w:tcW w:type="auto" w:w="0"/>
            <w:shd w:val="clear" w:color="auto" w:fill="EEF2F6"/>
            <w:tcMar>
              <w:left w:type="dxa" w:w="200"/>
              <w:top w:type="dxa" w:w="200"/>
              <w:right w:type="dxa" w:w="200"/>
              <w:bottom w:type="dxa" w:w="200"/>
            </w:tcMar>
          </w:tcPr>
          <w:p>
            <w:pPr>
              <w:pStyle w:val="Para 002"/>
            </w:pPr>
            <w:r>
              <w:rPr>
                <w:rStyle w:val="Text0"/>
              </w:rPr>
              <w:t>heappop(</w:t>
            </w:r>
            <w:r>
              <w:rPr>
                <w:rStyle w:val="Text3"/>
              </w:rPr>
              <w:t>alist</w:t>
            </w:r>
            <w:r>
              <w:rPr>
                <w:rStyle w:val="Text0"/>
              </w:rPr>
              <w:t>, /)</w:t>
              <w:br w:clear="none"/>
            </w:r>
            <w:r>
              <w:t xml:space="preserve"> Removes and returns the smallest (first) item of </w:t>
            </w:r>
            <w:r>
              <w:rPr>
                <w:rStyle w:val="Text3"/>
              </w:rPr>
              <w:t>alist</w:t>
            </w:r>
            <w:r>
              <w:t xml:space="preserve">, a </w:t>
            </w:r>
            <w:r>
              <w:rPr>
                <w:rStyle w:val="Text0"/>
              </w:rPr>
              <w:t>list</w:t>
            </w:r>
            <w:r>
              <w:t xml:space="preserve"> that satisfies the heap condition, and permutes some of the remaining items of </w:t>
            </w:r>
            <w:r>
              <w:rPr>
                <w:rStyle w:val="Text3"/>
              </w:rPr>
              <w:t>alist</w:t>
            </w:r>
            <w:r>
              <w:t xml:space="preserve"> to ensure the heap condition is still satisfied after the removal. </w:t>
            </w:r>
            <w:r>
              <w:rPr>
                <w:rStyle w:val="Text0"/>
              </w:rPr>
              <w:t>heappop</w:t>
            </w:r>
            <w:r>
              <w:t xml:space="preserve"> runs in </w:t>
            </w:r>
            <w:r>
              <w:rPr>
                <w:rStyle w:val="Text0"/>
              </w:rPr>
              <w:t>O(log(len(</w:t>
            </w:r>
            <w:r>
              <w:rPr>
                <w:rStyle w:val="Text3"/>
              </w:rPr>
              <w:t>alist</w:t>
            </w:r>
            <w:r>
              <w:rPr>
                <w:rStyle w:val="Text0"/>
              </w:rPr>
              <w:t>)))</w:t>
            </w:r>
            <w:r>
              <w:t xml:space="preserve"> time.</w:t>
            </w:r>
          </w:p>
        </w:tc>
      </w:tr>
    </w:tbl>
    <w:tbl>
      <w:tblPr>
        <w:tblW w:type="auto" w:w="0"/>
      </w:tblPr>
      <w:tr>
        <w:tc>
          <w:tcPr>
            <w:tcW w:type="auto" w:w="0"/>
            <w:tcMar>
              <w:left w:type="dxa" w:w="200"/>
              <w:top w:type="dxa" w:w="200"/>
              <w:right w:type="dxa" w:w="200"/>
              <w:bottom w:type="dxa" w:w="200"/>
            </w:tcMar>
          </w:tcPr>
          <w:p>
            <w:pPr>
              <w:pStyle w:val="Para 001"/>
            </w:pPr>
            <w:r>
              <w:t>heappush</w:t>
            </w:r>
          </w:p>
        </w:tc>
        <w:tc>
          <w:tcPr>
            <w:tcW w:type="auto" w:w="0"/>
            <w:tcMar>
              <w:left w:type="dxa" w:w="200"/>
              <w:top w:type="dxa" w:w="200"/>
              <w:right w:type="dxa" w:w="200"/>
              <w:bottom w:type="dxa" w:w="200"/>
            </w:tcMar>
          </w:tcPr>
          <w:p>
            <w:pPr>
              <w:pStyle w:val="Para 002"/>
            </w:pPr>
            <w:r>
              <w:rPr>
                <w:rStyle w:val="Text0"/>
              </w:rPr>
              <w:t>heappush(</w:t>
            </w:r>
            <w:r>
              <w:rPr>
                <w:rStyle w:val="Text3"/>
              </w:rPr>
              <w:t>alist</w:t>
            </w:r>
            <w:r>
              <w:rPr>
                <w:rStyle w:val="Text0"/>
              </w:rPr>
              <w:t>,</w:t>
            </w:r>
            <w:r>
              <w:t xml:space="preserve"> </w:t>
            </w:r>
            <w:r>
              <w:rPr>
                <w:rStyle w:val="Text3"/>
              </w:rPr>
              <w:t>item</w:t>
            </w:r>
            <w:r>
              <w:rPr>
                <w:rStyle w:val="Text0"/>
              </w:rPr>
              <w:t>, /)</w:t>
              <w:br w:clear="none"/>
            </w:r>
            <w:r>
              <w:t xml:space="preserve"> Inserts </w:t>
            </w:r>
            <w:r>
              <w:rPr>
                <w:rStyle w:val="Text3"/>
              </w:rPr>
              <w:t>item</w:t>
            </w:r>
            <w:r>
              <w:t xml:space="preserve"> in </w:t>
            </w:r>
            <w:r>
              <w:rPr>
                <w:rStyle w:val="Text3"/>
              </w:rPr>
              <w:t>alist</w:t>
            </w:r>
            <w:r>
              <w:t xml:space="preserve">, a </w:t>
            </w:r>
            <w:r>
              <w:rPr>
                <w:rStyle w:val="Text0"/>
              </w:rPr>
              <w:t>list</w:t>
            </w:r>
            <w:r>
              <w:t xml:space="preserve"> that satisfies the heap condition, and permutes some items of </w:t>
            </w:r>
            <w:r>
              <w:rPr>
                <w:rStyle w:val="Text3"/>
              </w:rPr>
              <w:t>alist</w:t>
            </w:r>
            <w:r>
              <w:t xml:space="preserve"> to ensure the heap condition is still satisfied after the insertion. </w:t>
            </w:r>
            <w:r>
              <w:rPr>
                <w:rStyle w:val="Text0"/>
              </w:rPr>
              <w:t>heappush</w:t>
            </w:r>
            <w:r>
              <w:t xml:space="preserve"> runs in </w:t>
            </w:r>
            <w:r>
              <w:rPr>
                <w:rStyle w:val="Text0"/>
              </w:rPr>
              <w:t>O(log(len(</w:t>
            </w:r>
            <w:r>
              <w:rPr>
                <w:rStyle w:val="Text3"/>
              </w:rPr>
              <w:t>alist</w:t>
            </w:r>
            <w:r>
              <w:rPr>
                <w:rStyle w:val="Text0"/>
              </w:rPr>
              <w:t>)))</w:t>
            </w:r>
            <w:r>
              <w:t xml:space="preserve"> time.</w:t>
            </w:r>
          </w:p>
        </w:tc>
      </w:tr>
    </w:tbl>
    <w:tbl>
      <w:tblPr>
        <w:tblW w:type="auto" w:w="0"/>
      </w:tblPr>
      <w:tr>
        <w:tc>
          <w:tcPr>
            <w:tcW w:type="auto" w:w="0"/>
            <w:shd w:val="clear" w:color="auto" w:fill="EEF2F6"/>
            <w:tcMar>
              <w:left w:type="dxa" w:w="200"/>
              <w:top w:type="dxa" w:w="200"/>
              <w:right w:type="dxa" w:w="200"/>
              <w:bottom w:type="dxa" w:w="200"/>
            </w:tcMar>
          </w:tcPr>
          <w:p>
            <w:pPr>
              <w:pStyle w:val="Para 001"/>
            </w:pPr>
            <w:r>
              <w:t>heappushpop</w:t>
            </w:r>
          </w:p>
        </w:tc>
        <w:tc>
          <w:tcPr>
            <w:tcW w:type="auto" w:w="0"/>
            <w:shd w:val="clear" w:color="auto" w:fill="EEF2F6"/>
            <w:tcMar>
              <w:left w:type="dxa" w:w="200"/>
              <w:top w:type="dxa" w:w="200"/>
              <w:right w:type="dxa" w:w="200"/>
              <w:bottom w:type="dxa" w:w="200"/>
            </w:tcMar>
          </w:tcPr>
          <w:p>
            <w:pPr>
              <w:pStyle w:val="Para 002"/>
            </w:pPr>
            <w:r>
              <w:rPr>
                <w:rStyle w:val="Text0"/>
              </w:rPr>
              <w:t>heappushpop(</w:t>
            </w:r>
            <w:r>
              <w:rPr>
                <w:rStyle w:val="Text3"/>
              </w:rPr>
              <w:t>alist</w:t>
            </w:r>
            <w:r>
              <w:rPr>
                <w:rStyle w:val="Text0"/>
              </w:rPr>
              <w:t>,</w:t>
            </w:r>
            <w:r>
              <w:t xml:space="preserve"> </w:t>
            </w:r>
            <w:r>
              <w:rPr>
                <w:rStyle w:val="Text3"/>
              </w:rPr>
              <w:t>item</w:t>
            </w:r>
            <w:r>
              <w:rPr>
                <w:rStyle w:val="Text0"/>
              </w:rPr>
              <w:t>, /)</w:t>
              <w:br w:clear="none"/>
            </w:r>
            <w:r>
              <w:t xml:space="preserve"> Logically equivalent to </w:t>
            </w:r>
            <w:r>
              <w:rPr>
                <w:rStyle w:val="Text0"/>
              </w:rPr>
              <w:t>heappush</w:t>
            </w:r>
            <w:r>
              <w:t xml:space="preserve"> followed by </w:t>
            </w:r>
            <w:r>
              <w:rPr>
                <w:rStyle w:val="Text0"/>
              </w:rPr>
              <w:t>heappop</w:t>
            </w:r>
            <w:r>
              <w:t xml:space="preserve">, similar to: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heappushpop</w:t>
              <w:br w:clear="none"/>
            </w:r>
            <w:r>
              <w:rPr>
                <w:rStyle w:val="Text7"/>
              </w:rPr>
              <w:t xml:space="preserve">(</w:t>
              <w:br w:clear="none"/>
            </w:r>
            <w:r>
              <w:t xml:space="preserve">alist</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t xml:space="preserve">:</w:t>
              <w:br w:clear="none"/>
            </w:r>
            <w:r>
              <w:rPr>
                <w:rStyle w:val="Text6"/>
              </w:rPr>
              <w:t xml:space="preserve"/>
              <w:br w:clear="none"/>
              <w:t xml:space="preserve">    </w:t>
              <w:br w:clear="none"/>
            </w:r>
            <w:r>
              <w:t xml:space="preserve">heappush</w:t>
              <w:br w:clear="none"/>
            </w:r>
            <w:r>
              <w:rPr>
                <w:rStyle w:val="Text7"/>
              </w:rPr>
              <w:t xml:space="preserve">(</w:t>
              <w:br w:clear="none"/>
            </w:r>
            <w:r>
              <w:t xml:space="preserve">alist</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heappop</w:t>
              <w:br w:clear="none"/>
            </w:r>
            <w:r>
              <w:rPr>
                <w:rStyle w:val="Text7"/>
              </w:rPr>
              <w:t xml:space="preserve">(</w:t>
              <w:br w:clear="none"/>
            </w:r>
            <w:r>
              <w:t xml:space="preserve">alist</w:t>
              <w:br w:clear="none"/>
            </w:r>
            <w:r>
              <w:rPr>
                <w:rStyle w:val="Text7"/>
              </w:rPr>
              <w:t xml:space="preserve">)</w:t>
              <w:br w:clear="none"/>
            </w:r>
          </w:p>
          <w:p>
            <w:pPr>
              <w:pStyle w:val="Para 022"/>
            </w:pPr>
            <w:r>
              <w:rPr>
                <w:rStyle w:val="Text0"/>
              </w:rPr>
              <w:t>heappushpop</w:t>
            </w:r>
            <w:r>
              <w:t xml:space="preserve"> runs in </w:t>
            </w:r>
            <w:r>
              <w:rPr>
                <w:rStyle w:val="Text0"/>
              </w:rPr>
              <w:t>O(log(len(</w:t>
            </w:r>
            <w:r>
              <w:rPr>
                <w:rStyle w:val="Text3"/>
              </w:rPr>
              <w:t>alist</w:t>
            </w:r>
            <w:r>
              <w:rPr>
                <w:rStyle w:val="Text0"/>
              </w:rPr>
              <w:t>)))</w:t>
            </w:r>
            <w:r>
              <w:t xml:space="preserve"> time and is generally faster than the logically equivalent function just shown. </w:t>
            </w:r>
            <w:r>
              <w:rPr>
                <w:rStyle w:val="Text0"/>
              </w:rPr>
              <w:t>heappushpop</w:t>
            </w:r>
            <w:r>
              <w:t xml:space="preserve"> can be called on an empty </w:t>
            </w:r>
            <w:r>
              <w:rPr>
                <w:rStyle w:val="Text3"/>
              </w:rPr>
              <w:t>alist</w:t>
            </w:r>
            <w:r>
              <w:t xml:space="preserve">: in that case, it returns the </w:t>
            </w:r>
            <w:r>
              <w:rPr>
                <w:rStyle w:val="Text3"/>
              </w:rPr>
              <w:t>item</w:t>
            </w:r>
            <w:r>
              <w:t xml:space="preserve"> argument, as it does when </w:t>
            </w:r>
            <w:r>
              <w:rPr>
                <w:rStyle w:val="Text3"/>
              </w:rPr>
              <w:t>item</w:t>
            </w:r>
            <w:r>
              <w:t xml:space="preserve"> is smaller than any existing item of </w:t>
            </w:r>
            <w:r>
              <w:rPr>
                <w:rStyle w:val="Text3"/>
              </w:rPr>
              <w:t>alist</w:t>
            </w:r>
            <w:r>
              <w:t>.</w:t>
            </w:r>
          </w:p>
        </w:tc>
      </w:tr>
    </w:tbl>
    <w:tbl>
      <w:tblPr>
        <w:tblW w:type="auto" w:w="0"/>
      </w:tblPr>
      <w:tr>
        <w:tc>
          <w:tcPr>
            <w:tcW w:type="auto" w:w="0"/>
            <w:tcMar>
              <w:left w:type="dxa" w:w="200"/>
              <w:top w:type="dxa" w:w="200"/>
              <w:right w:type="dxa" w:w="200"/>
              <w:bottom w:type="dxa" w:w="200"/>
            </w:tcMar>
          </w:tcPr>
          <w:p>
            <w:pPr>
              <w:pStyle w:val="Para 001"/>
            </w:pPr>
            <w:r>
              <w:t>heapreplace</w:t>
            </w:r>
          </w:p>
        </w:tc>
        <w:tc>
          <w:tcPr>
            <w:tcW w:type="auto" w:w="0"/>
            <w:tcMar>
              <w:left w:type="dxa" w:w="200"/>
              <w:top w:type="dxa" w:w="200"/>
              <w:right w:type="dxa" w:w="200"/>
              <w:bottom w:type="dxa" w:w="200"/>
            </w:tcMar>
          </w:tcPr>
          <w:p>
            <w:pPr>
              <w:pStyle w:val="Para 002"/>
            </w:pPr>
            <w:r>
              <w:rPr>
                <w:rStyle w:val="Text0"/>
              </w:rPr>
              <w:t>heapreplace(</w:t>
            </w:r>
            <w:r>
              <w:rPr>
                <w:rStyle w:val="Text3"/>
              </w:rPr>
              <w:t>alist</w:t>
            </w:r>
            <w:r>
              <w:rPr>
                <w:rStyle w:val="Text0"/>
              </w:rPr>
              <w:t>,</w:t>
            </w:r>
            <w:r>
              <w:t xml:space="preserve"> </w:t>
            </w:r>
            <w:r>
              <w:rPr>
                <w:rStyle w:val="Text3"/>
              </w:rPr>
              <w:t>item</w:t>
            </w:r>
            <w:r>
              <w:rPr>
                <w:rStyle w:val="Text0"/>
              </w:rPr>
              <w:t>, /)</w:t>
              <w:br w:clear="none"/>
            </w:r>
            <w:r>
              <w:t xml:space="preserve"> Logically equivalent to </w:t>
            </w:r>
            <w:r>
              <w:rPr>
                <w:rStyle w:val="Text0"/>
              </w:rPr>
              <w:t>heappop</w:t>
            </w:r>
            <w:r>
              <w:t xml:space="preserve"> followed by </w:t>
            </w:r>
            <w:r>
              <w:rPr>
                <w:rStyle w:val="Text0"/>
              </w:rPr>
              <w:t>heappush</w:t>
            </w:r>
            <w:r>
              <w:t xml:space="preserve">, similar to: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heapreplace</w:t>
              <w:br w:clear="none"/>
            </w:r>
            <w:r>
              <w:rPr>
                <w:rStyle w:val="Text7"/>
              </w:rPr>
              <w:t xml:space="preserve">(</w:t>
              <w:br w:clear="none"/>
            </w:r>
            <w:r>
              <w:t xml:space="preserve">alist</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t>
              <w:br w:clear="none"/>
            </w:r>
            <w:r>
              <w:rPr>
                <w:rStyle w:val="Text10"/>
              </w:rPr>
              <w:t xml:space="preserve">return</w:t>
              <w:br w:clear="none"/>
            </w:r>
            <w:r>
              <w:rPr>
                <w:rStyle w:val="Text6"/>
              </w:rPr>
              <w:t xml:space="preserve"> </w:t>
              <w:br w:clear="none"/>
            </w:r>
            <w:r>
              <w:t xml:space="preserve">heappop</w:t>
              <w:br w:clear="none"/>
            </w:r>
            <w:r>
              <w:rPr>
                <w:rStyle w:val="Text7"/>
              </w:rPr>
              <w:t xml:space="preserve">(</w:t>
              <w:br w:clear="none"/>
            </w:r>
            <w:r>
              <w:t xml:space="preserve">alist</w:t>
              <w:br w:clear="none"/>
            </w:r>
            <w:r>
              <w:rPr>
                <w:rStyle w:val="Text7"/>
              </w:rPr>
              <w:t xml:space="preserve">)</w:t>
              <w:br w:clear="none"/>
            </w:r>
            <w:r>
              <w:rPr>
                <w:rStyle w:val="Text6"/>
              </w:rPr>
              <w:t xml:space="preserve"/>
              <w:br w:clear="none"/>
              <w:t xml:space="preserve">    </w:t>
              <w:br w:clear="none"/>
            </w:r>
            <w:r>
              <w:rPr>
                <w:rStyle w:val="Text10"/>
              </w:rPr>
              <w:t xml:space="preserve">finally</w:t>
              <w:br w:clear="none"/>
            </w:r>
            <w:r>
              <w:rPr>
                <w:rStyle w:val="Text7"/>
              </w:rPr>
              <w:t xml:space="preserve">:</w:t>
              <w:br w:clear="none"/>
            </w:r>
            <w:r>
              <w:rPr>
                <w:rStyle w:val="Text6"/>
              </w:rPr>
              <w:t xml:space="preserve"> </w:t>
              <w:br w:clear="none"/>
            </w:r>
            <w:r>
              <w:t xml:space="preserve">heappush</w:t>
              <w:br w:clear="none"/>
            </w:r>
            <w:r>
              <w:rPr>
                <w:rStyle w:val="Text7"/>
              </w:rPr>
              <w:t xml:space="preserve">(</w:t>
              <w:br w:clear="none"/>
            </w:r>
            <w:r>
              <w:t xml:space="preserve">alist</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r>
          </w:p>
          <w:p>
            <w:pPr>
              <w:pStyle w:val="Para 022"/>
            </w:pPr>
            <w:r>
              <w:rPr>
                <w:rStyle w:val="Text0"/>
              </w:rPr>
              <w:t>heapreplace</w:t>
            </w:r>
            <w:r>
              <w:t xml:space="preserve"> runs in </w:t>
            </w:r>
            <w:r>
              <w:rPr>
                <w:rStyle w:val="Text0"/>
              </w:rPr>
              <w:t>O(log(len(</w:t>
            </w:r>
            <w:r>
              <w:rPr>
                <w:rStyle w:val="Text3"/>
              </w:rPr>
              <w:t>alist</w:t>
            </w:r>
            <w:r>
              <w:rPr>
                <w:rStyle w:val="Text0"/>
              </w:rPr>
              <w:t>)))</w:t>
            </w:r>
            <w:r>
              <w:t xml:space="preserve"> time and is generally faster than the logically equivalent function just shown. </w:t>
            </w:r>
            <w:r>
              <w:rPr>
                <w:rStyle w:val="Text0"/>
              </w:rPr>
              <w:t>heapreplace</w:t>
            </w:r>
            <w:r>
              <w:t xml:space="preserve"> cannot be called on an empty </w:t>
            </w:r>
            <w:r>
              <w:rPr>
                <w:rStyle w:val="Text3"/>
              </w:rPr>
              <w:t>alist</w:t>
            </w:r>
            <w:r>
              <w:t xml:space="preserve">: </w:t>
            </w:r>
            <w:r>
              <w:rPr>
                <w:rStyle w:val="Text0"/>
              </w:rPr>
              <w:t>heapreplace</w:t>
            </w:r>
            <w:r>
              <w:t xml:space="preserve"> always returns an item that was already in </w:t>
            </w:r>
            <w:r>
              <w:rPr>
                <w:rStyle w:val="Text3"/>
              </w:rPr>
              <w:t>alist</w:t>
            </w:r>
            <w:r>
              <w:t xml:space="preserve">, never the </w:t>
            </w:r>
            <w:r>
              <w:rPr>
                <w:rStyle w:val="Text3"/>
              </w:rPr>
              <w:t>item</w:t>
            </w:r>
            <w:r>
              <w:t xml:space="preserve"> just being pushed onto it.</w:t>
            </w:r>
          </w:p>
        </w:tc>
      </w:tr>
    </w:tbl>
    <w:tbl>
      <w:tblPr>
        <w:tblW w:type="auto" w:w="0"/>
      </w:tblPr>
      <w:tr>
        <w:tc>
          <w:tcPr>
            <w:tcW w:type="auto" w:w="0"/>
            <w:shd w:val="clear" w:color="auto" w:fill="EEF2F6"/>
            <w:tcMar>
              <w:left w:type="dxa" w:w="200"/>
              <w:top w:type="dxa" w:w="200"/>
              <w:right w:type="dxa" w:w="200"/>
              <w:bottom w:type="dxa" w:w="200"/>
            </w:tcMar>
          </w:tcPr>
          <w:p>
            <w:pPr>
              <w:pStyle w:val="Para 001"/>
            </w:pPr>
            <w:r>
              <w:t>merge</w:t>
            </w:r>
          </w:p>
        </w:tc>
        <w:tc>
          <w:tcPr>
            <w:tcW w:type="auto" w:w="0"/>
            <w:shd w:val="clear" w:color="auto" w:fill="EEF2F6"/>
            <w:tcMar>
              <w:left w:type="dxa" w:w="200"/>
              <w:top w:type="dxa" w:w="200"/>
              <w:right w:type="dxa" w:w="200"/>
              <w:bottom w:type="dxa" w:w="200"/>
            </w:tcMar>
          </w:tcPr>
          <w:p>
            <w:pPr>
              <w:pStyle w:val="Para 002"/>
            </w:pPr>
            <w:r>
              <w:rPr>
                <w:rStyle w:val="Text0"/>
              </w:rPr>
              <w:t>merge(</w:t>
            </w:r>
            <w:r>
              <w:rPr>
                <w:rStyle w:val="Text3"/>
              </w:rPr>
              <w:t>*iterables</w:t>
            </w:r>
            <w:r>
              <w:rPr>
                <w:rStyle w:val="Text0"/>
              </w:rPr>
              <w:t>)</w:t>
              <w:br w:clear="none"/>
            </w:r>
            <w:r>
              <w:t xml:space="preserve"> Returns</w:t>
            </w:r>
            <w:r>
              <w:rPr>
                <w:rStyle w:val="Text111"/>
              </w:rPr>
              <w:bookmarkStart w:id="2186" w:name="idm45965277195424"/>
              <w:t/>
              <w:bookmarkEnd w:id="2186"/>
            </w:r>
            <w:r>
              <w:t xml:space="preserve"> an iterator yielding, in sorted order (smallest to largest), the items of the </w:t>
            </w:r>
            <w:r>
              <w:rPr>
                <w:rStyle w:val="Text3"/>
              </w:rPr>
              <w:t>iterables</w:t>
            </w:r>
            <w:r>
              <w:t>, each of which must be smallest-to-largest sorted.</w:t>
            </w:r>
          </w:p>
        </w:tc>
      </w:tr>
    </w:tbl>
    <w:tbl>
      <w:tblPr>
        <w:tblW w:type="auto" w:w="0"/>
      </w:tblPr>
      <w:tr>
        <w:tc>
          <w:tcPr>
            <w:tcW w:type="auto" w:w="0"/>
            <w:tcMar>
              <w:left w:type="dxa" w:w="200"/>
              <w:top w:type="dxa" w:w="200"/>
              <w:right w:type="dxa" w:w="200"/>
              <w:bottom w:type="dxa" w:w="200"/>
            </w:tcMar>
          </w:tcPr>
          <w:p>
            <w:pPr>
              <w:pStyle w:val="Para 001"/>
            </w:pPr>
            <w:r>
              <w:t>nlargest</w:t>
            </w:r>
          </w:p>
        </w:tc>
        <w:tc>
          <w:tcPr>
            <w:tcW w:type="auto" w:w="0"/>
            <w:tcMar>
              <w:left w:type="dxa" w:w="200"/>
              <w:top w:type="dxa" w:w="200"/>
              <w:right w:type="dxa" w:w="200"/>
              <w:bottom w:type="dxa" w:w="200"/>
            </w:tcMar>
          </w:tcPr>
          <w:p>
            <w:pPr>
              <w:pStyle w:val="Para 002"/>
            </w:pPr>
            <w:r>
              <w:rPr>
                <w:rStyle w:val="Text0"/>
              </w:rPr>
              <w:t>nlargest(</w:t>
            </w:r>
            <w:r>
              <w:rPr>
                <w:rStyle w:val="Text3"/>
              </w:rPr>
              <w:t>n</w:t>
            </w:r>
            <w:r>
              <w:rPr>
                <w:rStyle w:val="Text0"/>
              </w:rPr>
              <w:t>,</w:t>
            </w:r>
            <w:r>
              <w:t xml:space="preserve"> </w:t>
            </w:r>
            <w:r>
              <w:rPr>
                <w:rStyle w:val="Text3"/>
              </w:rPr>
              <w:t>seq</w:t>
            </w:r>
            <w:r>
              <w:rPr>
                <w:rStyle w:val="Text0"/>
              </w:rPr>
              <w:t>, /, key=</w:t>
            </w:r>
            <w:r>
              <w:rPr>
                <w:rStyle w:val="Text5"/>
              </w:rPr>
              <w:t>None</w:t>
            </w:r>
            <w:r>
              <w:rPr>
                <w:rStyle w:val="Text0"/>
              </w:rPr>
              <w:t>)</w:t>
              <w:br w:clear="none"/>
            </w:r>
            <w:r>
              <w:t xml:space="preserve"> Returns</w:t>
            </w:r>
            <w:r>
              <w:rPr>
                <w:rStyle w:val="Text111"/>
              </w:rPr>
              <w:bookmarkStart w:id="2187" w:name="idm45965277167760"/>
              <w:t/>
              <w:bookmarkEnd w:id="2187"/>
            </w:r>
            <w:r>
              <w:t xml:space="preserve"> a reverse-sorted </w:t>
            </w:r>
            <w:r>
              <w:rPr>
                <w:rStyle w:val="Text0"/>
              </w:rPr>
              <w:t>list</w:t>
            </w:r>
            <w:r>
              <w:t xml:space="preserve"> with the </w:t>
            </w:r>
            <w:r>
              <w:rPr>
                <w:rStyle w:val="Text3"/>
              </w:rPr>
              <w:t>n</w:t>
            </w:r>
            <w:r>
              <w:t xml:space="preserve"> largest items of iterable </w:t>
            </w:r>
            <w:r>
              <w:rPr>
                <w:rStyle w:val="Text3"/>
              </w:rPr>
              <w:t>seq</w:t>
            </w:r>
            <w:r>
              <w:t xml:space="preserve"> (or less than </w:t>
            </w:r>
            <w:r>
              <w:rPr>
                <w:rStyle w:val="Text3"/>
              </w:rPr>
              <w:t>n</w:t>
            </w:r>
            <w:r>
              <w:t xml:space="preserve"> if </w:t>
            </w:r>
            <w:r>
              <w:rPr>
                <w:rStyle w:val="Text3"/>
              </w:rPr>
              <w:t>seq</w:t>
            </w:r>
            <w:r>
              <w:t xml:space="preserve"> has fewer than </w:t>
            </w:r>
            <w:r>
              <w:rPr>
                <w:rStyle w:val="Text3"/>
              </w:rPr>
              <w:t>n</w:t>
            </w:r>
            <w:r>
              <w:t xml:space="preserve"> items); like </w:t>
            </w:r>
            <w:r>
              <w:rPr>
                <w:rStyle w:val="Text0"/>
              </w:rPr>
              <w:t>sorted(</w:t>
            </w:r>
            <w:r>
              <w:rPr>
                <w:rStyle w:val="Text3"/>
              </w:rPr>
              <w:t>seq</w:t>
            </w:r>
            <w:r>
              <w:rPr>
                <w:rStyle w:val="Text0"/>
              </w:rPr>
              <w:t>, reverse=</w:t>
            </w:r>
            <w:r>
              <w:rPr>
                <w:rStyle w:val="Text5"/>
              </w:rPr>
              <w:t>True</w:t>
            </w:r>
            <w:r>
              <w:rPr>
                <w:rStyle w:val="Text0"/>
              </w:rPr>
              <w:t>)[:</w:t>
            </w:r>
            <w:r>
              <w:rPr>
                <w:rStyle w:val="Text3"/>
              </w:rPr>
              <w:t>n</w:t>
            </w:r>
            <w:r>
              <w:rPr>
                <w:rStyle w:val="Text0"/>
              </w:rPr>
              <w:t>]</w:t>
            </w:r>
            <w:r>
              <w:t xml:space="preserve">, but faster when </w:t>
            </w:r>
            <w:r>
              <w:rPr>
                <w:rStyle w:val="Text3"/>
              </w:rPr>
              <w:t>n</w:t>
            </w:r>
            <w:r>
              <w:t xml:space="preserve"> is “small enough”</w:t>
            </w:r>
            <w:hyperlink w:anchor="a_To_find_out_how_specific_value">
              <w:r>
                <w:rPr>
                  <w:rStyle w:val="Text41"/>
                </w:rPr>
                <w:bookmarkStart w:id="2188" w:name="a_5"/>
                <w:t>a</w:t>
                <w:bookmarkEnd w:id="2188"/>
              </w:r>
            </w:hyperlink>
            <w:r>
              <w:t xml:space="preserve"> compared to </w:t>
            </w:r>
            <w:r>
              <w:rPr>
                <w:rStyle w:val="Text0"/>
              </w:rPr>
              <w:t>len(</w:t>
            </w:r>
            <w:r>
              <w:rPr>
                <w:rStyle w:val="Text3"/>
              </w:rPr>
              <w:t>seq</w:t>
            </w:r>
            <w:r>
              <w:rPr>
                <w:rStyle w:val="Text0"/>
              </w:rPr>
              <w:t>)</w:t>
            </w:r>
            <w:r>
              <w:t xml:space="preserve">. You may also specify a (named or positional) </w:t>
            </w:r>
            <w:r>
              <w:rPr>
                <w:rStyle w:val="Text0"/>
              </w:rPr>
              <w:t>key=</w:t>
            </w:r>
            <w:r>
              <w:t xml:space="preserve"> argument, like you can for </w:t>
            </w:r>
            <w:r>
              <w:rPr>
                <w:rStyle w:val="Text0"/>
              </w:rPr>
              <w:t>sorted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nsmallest</w:t>
            </w:r>
          </w:p>
        </w:tc>
        <w:tc>
          <w:tcPr>
            <w:tcW w:type="auto" w:w="0"/>
            <w:shd w:val="clear" w:color="auto" w:fill="EEF2F6"/>
            <w:tcMar>
              <w:left w:type="dxa" w:w="200"/>
              <w:top w:type="dxa" w:w="200"/>
              <w:right w:type="dxa" w:w="200"/>
              <w:bottom w:type="dxa" w:w="200"/>
            </w:tcMar>
          </w:tcPr>
          <w:p>
            <w:pPr>
              <w:pStyle w:val="Para 002"/>
            </w:pPr>
            <w:r>
              <w:rPr>
                <w:rStyle w:val="Text0"/>
              </w:rPr>
              <w:t>nsmallest(</w:t>
            </w:r>
            <w:r>
              <w:rPr>
                <w:rStyle w:val="Text3"/>
              </w:rPr>
              <w:t>n</w:t>
            </w:r>
            <w:r>
              <w:rPr>
                <w:rStyle w:val="Text0"/>
              </w:rPr>
              <w:t>,</w:t>
            </w:r>
            <w:r>
              <w:t xml:space="preserve"> </w:t>
            </w:r>
            <w:r>
              <w:rPr>
                <w:rStyle w:val="Text3"/>
              </w:rPr>
              <w:t>seq</w:t>
            </w:r>
            <w:r>
              <w:rPr>
                <w:rStyle w:val="Text0"/>
              </w:rPr>
              <w:t>, /, key=</w:t>
            </w:r>
            <w:r>
              <w:rPr>
                <w:rStyle w:val="Text5"/>
              </w:rPr>
              <w:t>None</w:t>
            </w:r>
            <w:r>
              <w:rPr>
                <w:rStyle w:val="Text0"/>
              </w:rPr>
              <w:t>)</w:t>
              <w:br w:clear="none"/>
            </w:r>
            <w:r>
              <w:t xml:space="preserve"> Returns</w:t>
            </w:r>
            <w:r>
              <w:rPr>
                <w:rStyle w:val="Text111"/>
              </w:rPr>
              <w:bookmarkStart w:id="2189" w:name="idm45965277144512"/>
              <w:t/>
              <w:bookmarkEnd w:id="2189"/>
            </w:r>
            <w:r>
              <w:t xml:space="preserve"> a sorted </w:t>
            </w:r>
            <w:r>
              <w:rPr>
                <w:rStyle w:val="Text0"/>
              </w:rPr>
              <w:t>list</w:t>
            </w:r>
            <w:r>
              <w:t xml:space="preserve"> with the </w:t>
            </w:r>
            <w:r>
              <w:rPr>
                <w:rStyle w:val="Text3"/>
              </w:rPr>
              <w:t>n</w:t>
            </w:r>
            <w:r>
              <w:t xml:space="preserve"> smallest items of iterable </w:t>
            </w:r>
            <w:r>
              <w:rPr>
                <w:rStyle w:val="Text3"/>
              </w:rPr>
              <w:t>seq</w:t>
            </w:r>
            <w:r>
              <w:t xml:space="preserve"> (or less than </w:t>
            </w:r>
            <w:r>
              <w:rPr>
                <w:rStyle w:val="Text3"/>
              </w:rPr>
              <w:t>n</w:t>
            </w:r>
            <w:r>
              <w:t xml:space="preserve"> if </w:t>
            </w:r>
            <w:r>
              <w:rPr>
                <w:rStyle w:val="Text3"/>
              </w:rPr>
              <w:t>seq</w:t>
            </w:r>
            <w:r>
              <w:t xml:space="preserve"> has fewer than </w:t>
            </w:r>
            <w:r>
              <w:rPr>
                <w:rStyle w:val="Text3"/>
              </w:rPr>
              <w:t>n</w:t>
            </w:r>
            <w:r>
              <w:t xml:space="preserve"> items); like </w:t>
            </w:r>
            <w:r>
              <w:rPr>
                <w:rStyle w:val="Text0"/>
              </w:rPr>
              <w:t>sorted(</w:t>
            </w:r>
            <w:r>
              <w:rPr>
                <w:rStyle w:val="Text3"/>
              </w:rPr>
              <w:t>seq</w:t>
            </w:r>
            <w:r>
              <w:rPr>
                <w:rStyle w:val="Text0"/>
              </w:rPr>
              <w:t>)[:</w:t>
            </w:r>
            <w:r>
              <w:rPr>
                <w:rStyle w:val="Text3"/>
              </w:rPr>
              <w:t>n</w:t>
            </w:r>
            <w:r>
              <w:rPr>
                <w:rStyle w:val="Text0"/>
              </w:rPr>
              <w:t>]</w:t>
            </w:r>
            <w:r>
              <w:t xml:space="preserve">, but faster when </w:t>
            </w:r>
            <w:r>
              <w:rPr>
                <w:rStyle w:val="Text3"/>
              </w:rPr>
              <w:t>n</w:t>
            </w:r>
            <w:r>
              <w:t xml:space="preserve"> is “small enough” compared to </w:t>
            </w:r>
            <w:r>
              <w:rPr>
                <w:rStyle w:val="Text0"/>
              </w:rPr>
              <w:t>len(</w:t>
            </w:r>
            <w:r>
              <w:rPr>
                <w:rStyle w:val="Text3"/>
              </w:rPr>
              <w:t>seq</w:t>
            </w:r>
            <w:r>
              <w:rPr>
                <w:rStyle w:val="Text0"/>
              </w:rPr>
              <w:t>)</w:t>
            </w:r>
            <w:r>
              <w:t xml:space="preserve">. You may also specify a (named or positional) </w:t>
            </w:r>
            <w:r>
              <w:rPr>
                <w:rStyle w:val="Text0"/>
              </w:rPr>
              <w:t>key=</w:t>
            </w:r>
            <w:r>
              <w:t xml:space="preserve"> argument, like you can for </w:t>
            </w:r>
            <w:r>
              <w:rPr>
                <w:rStyle w:val="Text0"/>
              </w:rPr>
              <w:t>sorted</w:t>
            </w:r>
            <w:r>
              <w:t>.</w:t>
            </w:r>
          </w:p>
        </w:tc>
      </w:tr>
    </w:tbl>
    <w:tbl>
      <w:tblPr>
        <w:tblW w:type="auto" w:w="0"/>
      </w:tblPr>
      <w:tr>
        <w:tc>
          <w:tcPr>
            <w:tcW w:type="auto" w:w="0"/>
            <w:tcMar>
              <w:left w:type="dxa" w:w="200"/>
              <w:top w:type="dxa" w:w="200"/>
              <w:right w:type="dxa" w:w="200"/>
              <w:bottom w:type="dxa" w:w="200"/>
            </w:tcMar>
            <w:hMerge w:val="restart"/>
          </w:tcPr>
          <w:p>
            <w:bookmarkStart w:id="2190" w:name="a_To_find_out_how_specific_value"/>
            <w:pPr>
              <w:pStyle w:val="Para 036"/>
            </w:pPr>
            <w:hyperlink w:anchor="a_5">
              <w:r>
                <w:rPr>
                  <w:rStyle w:val="Text1"/>
                </w:rPr>
                <w:t>a</w:t>
              </w:r>
            </w:hyperlink>
            <w:r>
              <w:t xml:space="preserve"> To find out how specific values of </w:t>
            </w:r>
            <w:r>
              <w:rPr>
                <w:rStyle w:val="Text3"/>
              </w:rPr>
              <w:t>n</w:t>
            </w:r>
            <w:r>
              <w:t xml:space="preserve"> and </w:t>
            </w:r>
            <w:r>
              <w:rPr>
                <w:rStyle w:val="Text25"/>
              </w:rPr>
              <w:t>len(</w:t>
            </w:r>
            <w:r>
              <w:rPr>
                <w:rStyle w:val="Text3"/>
              </w:rPr>
              <w:t>seq</w:t>
            </w:r>
            <w:r>
              <w:rPr>
                <w:rStyle w:val="Text25"/>
              </w:rPr>
              <w:t>)</w:t>
            </w:r>
            <w:r>
              <w:t xml:space="preserve"> affect the timing of </w:t>
            </w:r>
            <w:r>
              <w:rPr>
                <w:rStyle w:val="Text25"/>
              </w:rPr>
              <w:t>nlargest</w:t>
            </w:r>
            <w:r>
              <w:t xml:space="preserve">, </w:t>
            </w:r>
            <w:r>
              <w:rPr>
                <w:rStyle w:val="Text25"/>
              </w:rPr>
              <w:t>nsmallest</w:t>
            </w:r>
            <w:r>
              <w:t xml:space="preserve">, and </w:t>
            </w:r>
            <w:r>
              <w:rPr>
                <w:rStyle w:val="Text25"/>
              </w:rPr>
              <w:t>sorted</w:t>
            </w:r>
            <w:r>
              <w:t xml:space="preserve"> on your specific Python version and machine, use </w:t>
            </w:r>
            <w:r>
              <w:rPr>
                <w:rStyle w:val="Text25"/>
              </w:rPr>
              <w:t>timeit</w:t>
            </w:r>
            <w:r>
              <w:t xml:space="preserve">, covered in </w:t>
            </w:r>
            <w:hyperlink w:anchor="The_timeit_module__The_standard">
              <w:r>
                <w:rPr>
                  <w:rStyle w:val="Text1"/>
                </w:rPr>
                <w:t>“The timeit module”</w:t>
              </w:r>
            </w:hyperlink>
            <w:r>
              <w:t>.</w:t>
            </w:r>
            <w:bookmarkEnd w:id="2190"/>
          </w:p>
        </w:tc>
        <w:tc>
          <w:tcPr>
            <w:hMerge w:val="continue"/>
          </w:tcPr>
          <w:p/>
        </w:tc>
      </w:tr>
    </w:tbl>
    <w:p>
      <w:bookmarkStart w:id="2191" w:name="The_Decorate_Sort_Undecorate_Idi"/>
      <w:pPr>
        <w:keepNext/>
        <w:pStyle w:val="Heading 2"/>
      </w:pPr>
      <w:r>
        <w:t>The Decorate–Sort–Undecorate Idiom</w:t>
      </w:r>
      <w:bookmarkEnd w:id="2191"/>
    </w:p>
    <w:p>
      <w:pPr>
        <w:pStyle w:val="Normal"/>
      </w:pPr>
      <w:r>
        <w:t xml:space="preserve">Several functions in the </w:t>
      </w:r>
      <w:r>
        <w:rPr>
          <w:rStyle w:val="Text0"/>
        </w:rPr>
        <w:t>heapq</w:t>
      </w:r>
      <w:r>
        <w:t xml:space="preserve"> module, although they perform comparisons, do not accept a </w:t>
      </w:r>
      <w:r>
        <w:rPr>
          <w:rStyle w:val="Text0"/>
        </w:rPr>
        <w:t>key=</w:t>
      </w:r>
      <w:r>
        <w:t xml:space="preserve"> argument</w:t>
      </w:r>
      <w:r>
        <w:rPr>
          <w:rStyle w:val="Text111"/>
        </w:rPr>
        <w:bookmarkStart w:id="2192" w:name="idm45965277129776"/>
        <w:t/>
        <w:bookmarkEnd w:id="2192"/>
      </w:r>
      <w:r>
        <w:t xml:space="preserve"> to customize the comparisons. This is inevitable, since the functions operate in place on a plain </w:t>
      </w:r>
      <w:r>
        <w:rPr>
          <w:rStyle w:val="Text0"/>
        </w:rPr>
        <w:t>list</w:t>
      </w:r>
      <w:r>
        <w:t xml:space="preserve"> of the items: they have nowhere to “stash away” custom comparison keys computed once and for all.</w:t>
      </w:r>
    </w:p>
    <w:p>
      <w:pPr>
        <w:pStyle w:val="Normal"/>
      </w:pPr>
      <w:r>
        <w:t>When you need both heap functionality and custom comparisons, you can apply the good</w:t>
      </w:r>
      <w:r>
        <w:rPr>
          <w:rStyle w:val="Text111"/>
        </w:rPr>
        <w:bookmarkStart w:id="2193" w:name="idm45965277126912"/>
        <w:t/>
        <w:bookmarkEnd w:id="2193"/>
        <w:bookmarkStart w:id="2194" w:name="idm45965277125840"/>
        <w:t/>
        <w:bookmarkEnd w:id="2194"/>
      </w:r>
      <w:r>
        <w:t xml:space="preserve"> old </w:t>
      </w:r>
      <w:hyperlink r:id="rId314">
        <w:r>
          <w:rPr>
            <w:rStyle w:val="Text24"/>
          </w:rPr>
          <w:t>decorate–sort–undecorate (DSU)</w:t>
        </w:r>
      </w:hyperlink>
      <w:hyperlink r:id="rId314">
        <w:r>
          <w:rPr>
            <w:rStyle w:val="Text1"/>
          </w:rPr>
          <w:t xml:space="preserve"> idiom</w:t>
        </w:r>
      </w:hyperlink>
      <w:hyperlink w:anchor="4_Also_known_as_the_Schwartzian">
        <w:r>
          <w:rPr>
            <w:rStyle w:val="Text41"/>
          </w:rPr>
          <w:bookmarkStart w:id="2195" w:name="4_5"/>
          <w:t>4</w:t>
          <w:bookmarkEnd w:id="2195"/>
        </w:r>
      </w:hyperlink>
      <w:r>
        <w:t xml:space="preserve"> (which used to be crucial to optimize sorting in ancient versions of Python, before the </w:t>
      </w:r>
      <w:r>
        <w:rPr>
          <w:rStyle w:val="Text0"/>
        </w:rPr>
        <w:t>key=</w:t>
      </w:r>
      <w:r>
        <w:t xml:space="preserve"> functionality was introduced).</w:t>
      </w:r>
    </w:p>
    <w:p>
      <w:pPr>
        <w:pStyle w:val="Normal"/>
      </w:pPr>
      <w:r>
        <w:t xml:space="preserve">The DSU idiom, as applied to </w:t>
      </w:r>
      <w:r>
        <w:rPr>
          <w:rStyle w:val="Text0"/>
        </w:rPr>
        <w:t>heapq</w:t>
      </w:r>
      <w:r>
        <w:t>, has the following components:</w:t>
      </w:r>
    </w:p>
    <w:p>
      <w:pPr>
        <w:pStyle w:val="Para 023"/>
      </w:pPr>
      <w:r>
        <w:t>Decorate</w:t>
      </w:r>
    </w:p>
    <w:p>
      <w:pPr>
        <w:pStyle w:val="Para 016"/>
      </w:pPr>
      <w:r>
        <w:t xml:space="preserve">Build an auxiliary list </w:t>
      </w:r>
      <w:r>
        <w:rPr>
          <w:rStyle w:val="Text3"/>
        </w:rPr>
        <w:t>A</w:t>
      </w:r>
      <w:r>
        <w:t xml:space="preserve"> where each item is a tuple starting with the sort key and ending with the item of the original list </w:t>
      </w:r>
      <w:r>
        <w:rPr>
          <w:rStyle w:val="Text3"/>
        </w:rPr>
        <w:t>L</w:t>
      </w:r>
      <w:r>
        <w:t>.</w:t>
      </w:r>
    </w:p>
    <w:p>
      <w:pPr>
        <w:pStyle w:val="Para 023"/>
      </w:pPr>
      <w:r>
        <w:t>Sort</w:t>
      </w:r>
    </w:p>
    <w:p>
      <w:pPr>
        <w:pStyle w:val="Para 016"/>
      </w:pPr>
      <w:r>
        <w:t xml:space="preserve">Call </w:t>
      </w:r>
      <w:r>
        <w:rPr>
          <w:rStyle w:val="Text0"/>
        </w:rPr>
        <w:t>heapq</w:t>
      </w:r>
      <w:r>
        <w:t xml:space="preserve"> functions on </w:t>
      </w:r>
      <w:r>
        <w:rPr>
          <w:rStyle w:val="Text3"/>
        </w:rPr>
        <w:t>A</w:t>
      </w:r>
      <w:r>
        <w:t xml:space="preserve">, typically starting with </w:t>
      </w:r>
      <w:r>
        <w:rPr>
          <w:rStyle w:val="Text0"/>
        </w:rPr>
        <w:t>heapq.heapify(</w:t>
      </w:r>
      <w:r>
        <w:rPr>
          <w:rStyle w:val="Text3"/>
        </w:rPr>
        <w:t>A</w:t>
      </w:r>
      <w:r>
        <w:rPr>
          <w:rStyle w:val="Text0"/>
        </w:rPr>
        <w:t>)</w:t>
      </w:r>
      <w:r>
        <w:t>.</w:t>
      </w:r>
      <w:hyperlink w:anchor="5_This_step_is_not_quite_a_full">
        <w:r>
          <w:rPr>
            <w:rStyle w:val="Text95"/>
          </w:rPr>
          <w:bookmarkStart w:id="2196" w:name="5_5"/>
          <w:t>5</w:t>
          <w:bookmarkEnd w:id="2196"/>
        </w:r>
      </w:hyperlink>
    </w:p>
    <w:p>
      <w:pPr>
        <w:pStyle w:val="Para 023"/>
      </w:pPr>
      <w:r>
        <w:t>Undecorate</w:t>
      </w:r>
    </w:p>
    <w:p>
      <w:pPr>
        <w:pStyle w:val="Para 016"/>
      </w:pPr>
      <w:r>
        <w:t xml:space="preserve">When you extract an item from </w:t>
      </w:r>
      <w:r>
        <w:rPr>
          <w:rStyle w:val="Text3"/>
        </w:rPr>
        <w:t>A</w:t>
      </w:r>
      <w:r>
        <w:t xml:space="preserve">, typically by calling </w:t>
      </w:r>
      <w:r>
        <w:rPr>
          <w:rStyle w:val="Text0"/>
        </w:rPr>
        <w:t>heapq.heappop(</w:t>
      </w:r>
      <w:r>
        <w:rPr>
          <w:rStyle w:val="Text3"/>
        </w:rPr>
        <w:t>A</w:t>
      </w:r>
      <w:r>
        <w:rPr>
          <w:rStyle w:val="Text0"/>
        </w:rPr>
        <w:t>)</w:t>
      </w:r>
      <w:r>
        <w:t xml:space="preserve">, return just the last item of the resulting tuple (which was an item of the original list </w:t>
      </w:r>
      <w:r>
        <w:rPr>
          <w:rStyle w:val="Text3"/>
        </w:rPr>
        <w:t>L</w:t>
      </w:r>
      <w:r>
        <w:t>).</w:t>
      </w:r>
    </w:p>
    <w:p>
      <w:pPr>
        <w:pStyle w:val="Normal"/>
      </w:pPr>
      <w:r>
        <w:t xml:space="preserve">When you add an item to </w:t>
      </w:r>
      <w:r>
        <w:rPr>
          <w:rStyle w:val="Text3"/>
        </w:rPr>
        <w:t>A</w:t>
      </w:r>
      <w:r>
        <w:t xml:space="preserve"> by calling </w:t>
      </w:r>
      <w:r>
        <w:rPr>
          <w:rStyle w:val="Text0"/>
        </w:rPr>
        <w:t>heapq.heappush(</w:t>
      </w:r>
      <w:r>
        <w:rPr>
          <w:rStyle w:val="Text3"/>
        </w:rPr>
        <w:t>A</w:t>
      </w:r>
      <w:r>
        <w:rPr>
          <w:rStyle w:val="Text0"/>
        </w:rPr>
        <w:t>, /,</w:t>
      </w:r>
      <w:r>
        <w:t xml:space="preserve"> </w:t>
      </w:r>
      <w:r>
        <w:rPr>
          <w:rStyle w:val="Text3"/>
        </w:rPr>
        <w:t>item</w:t>
      </w:r>
      <w:r>
        <w:rPr>
          <w:rStyle w:val="Text0"/>
        </w:rPr>
        <w:t>)</w:t>
      </w:r>
      <w:r>
        <w:t>, decorate the actual item you’re inserting into a tuple starting with the sort key.</w:t>
      </w:r>
    </w:p>
    <w:p>
      <w:pPr>
        <w:pStyle w:val="Normal"/>
      </w:pPr>
      <w:r>
        <w:t>This sequence of operations can be wrapped up in a class, as in this example:</w:t>
      </w:r>
    </w:p>
    <w:p>
      <w:pPr>
        <w:pStyle w:val="Para 018"/>
      </w:pPr>
      <w:r>
        <w:rPr>
          <w:rStyle w:val="Text104"/>
        </w:rPr>
        <w:t xml:space="preserve"/>
        <w:br w:clear="none"/>
      </w:r>
      <w:r>
        <w:rPr>
          <w:rStyle w:val="Text10"/>
        </w:rPr>
        <w:t xml:space="preserve">import</w:t>
        <w:br w:clear="none"/>
      </w:r>
      <w:r>
        <w:rPr>
          <w:rStyle w:val="Text37"/>
        </w:rPr>
        <w:t xml:space="preserve"> </w:t>
        <w:br w:clear="none"/>
      </w:r>
      <w:r>
        <w:rPr>
          <w:rStyle w:val="Text54"/>
        </w:rPr>
        <w:t xml:space="preserve">heapq</w:t>
        <w:br w:clear="none"/>
      </w:r>
      <w:r>
        <w:t xml:space="preserve"/>
        <w:br w:clear="none"/>
        <w:t xml:space="preserve"/>
        <w:br w:clear="none"/>
      </w:r>
      <w:r>
        <w:rPr>
          <w:rStyle w:val="Text10"/>
        </w:rPr>
        <w:t xml:space="preserve">class</w:t>
        <w:br w:clear="none"/>
      </w:r>
      <w:r>
        <w:t xml:space="preserve"> </w:t>
        <w:br w:clear="none"/>
      </w:r>
      <w:r>
        <w:rPr>
          <w:rStyle w:val="Text33"/>
        </w:rPr>
        <w:t xml:space="preserve">KeyHeap</w:t>
        <w:br w:clear="none"/>
      </w:r>
      <w:r>
        <w:rPr>
          <w:rStyle w:val="Text7"/>
        </w:rPr>
        <w:t xml:space="preserve">(</w:t>
        <w:br w:clear="none"/>
      </w:r>
      <w:r>
        <w:rPr>
          <w:rStyle w:val="Text16"/>
        </w:rPr>
        <w:t xml:space="preserve">object</w:t>
        <w:br w:clear="none"/>
      </w:r>
      <w:r>
        <w:rPr>
          <w:rStyle w:val="Text7"/>
        </w:rPr>
        <w:t xml:space="preserve">)</w:t>
        <w:br w:clear="none"/>
        <w:t xml:space="preserve">:</w:t>
        <w:br w:clear="none"/>
      </w:r>
      <w:r>
        <w:t xml:space="preserve"/>
        <w:br w:clear="none"/>
        <w:t xml:space="preserve">    </w:t>
        <w:br w:clear="none"/>
      </w:r>
      <w:r>
        <w:rPr>
          <w:rStyle w:val="Text10"/>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alist</w:t>
        <w:br w:clear="none"/>
      </w:r>
      <w:r>
        <w:rPr>
          <w:rStyle w:val="Text7"/>
        </w:rPr>
        <w:t xml:space="preserve">,</w:t>
        <w:br w:clear="none"/>
      </w:r>
      <w:r>
        <w:t xml:space="preserve"> </w:t>
        <w:br w:clear="none"/>
      </w:r>
      <w:r>
        <w:rPr>
          <w:rStyle w:val="Text13"/>
        </w:rPr>
        <w:t xml:space="preserve">/</w:t>
        <w:br w:clear="none"/>
      </w:r>
      <w:r>
        <w:rPr>
          <w:rStyle w:val="Text7"/>
        </w:rPr>
        <w:t xml:space="preserve">,</w:t>
        <w:br w:clear="none"/>
      </w:r>
      <w:r>
        <w:t xml:space="preserve"> </w:t>
        <w:br w:clear="none"/>
      </w:r>
      <w:r>
        <w:rPr>
          <w:rStyle w:val="Text9"/>
        </w:rPr>
        <w:t xml:space="preserve">key</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heap</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r>
        <w:rPr>
          <w:rStyle w:val="Text9"/>
        </w:rPr>
        <w:t xml:space="preserve">key</w:t>
        <w:br w:clear="none"/>
      </w:r>
      <w:r>
        <w:rPr>
          <w:rStyle w:val="Text7"/>
        </w:rPr>
        <w:t xml:space="preserve">(</w:t>
        <w:br w:clear="none"/>
      </w:r>
      <w:r>
        <w:rPr>
          <w:rStyle w:val="Text9"/>
        </w:rPr>
        <w:t xml:space="preserve">o</w:t>
        <w:br w:clear="none"/>
      </w:r>
      <w:r>
        <w:rPr>
          <w:rStyle w:val="Text7"/>
        </w:rPr>
        <w:t xml:space="preserve">)</w:t>
        <w:br w:clear="none"/>
        <w:t xml:space="preserve">,</w:t>
        <w:br w:clear="none"/>
      </w:r>
      <w:r>
        <w:t xml:space="preserve"> </w:t>
        <w:br w:clear="none"/>
      </w:r>
      <w:r>
        <w:rPr>
          <w:rStyle w:val="Text9"/>
        </w:rPr>
        <w:t xml:space="preserve">i</w:t>
        <w:br w:clear="none"/>
      </w:r>
      <w:r>
        <w:rPr>
          <w:rStyle w:val="Text7"/>
        </w:rPr>
        <w:t xml:space="preserve">,</w:t>
        <w:br w:clear="none"/>
      </w:r>
      <w:r>
        <w:t xml:space="preserve"> </w:t>
        <w:br w:clear="none"/>
      </w:r>
      <w:r>
        <w:rPr>
          <w:rStyle w:val="Text9"/>
        </w:rPr>
        <w:t xml:space="preserve">o</w:t>
        <w:br w:clear="none"/>
      </w:r>
      <w:r>
        <w:rPr>
          <w:rStyle w:val="Text7"/>
        </w:rPr>
        <w:t xml:space="preserve">)</w:t>
        <w:br w:clear="none"/>
      </w:r>
      <w:r>
        <w:t xml:space="preserve"> </w:t>
        <w:br w:clear="none"/>
      </w:r>
      <w:r>
        <w:rPr>
          <w:rStyle w:val="Text10"/>
        </w:rPr>
        <w:t xml:space="preserve">for</w:t>
        <w:br w:clear="none"/>
      </w:r>
      <w:r>
        <w:t xml:space="preserve"> </w:t>
        <w:br w:clear="none"/>
      </w:r>
      <w:r>
        <w:rPr>
          <w:rStyle w:val="Text9"/>
        </w:rPr>
        <w:t xml:space="preserve">i</w:t>
        <w:br w:clear="none"/>
      </w:r>
      <w:r>
        <w:rPr>
          <w:rStyle w:val="Text7"/>
        </w:rPr>
        <w:t xml:space="preserve">,</w:t>
        <w:br w:clear="none"/>
      </w:r>
      <w:r>
        <w:t xml:space="preserve"> </w:t>
        <w:br w:clear="none"/>
      </w:r>
      <w:r>
        <w:rPr>
          <w:rStyle w:val="Text9"/>
        </w:rPr>
        <w:t xml:space="preserve">o</w:t>
        <w:br w:clear="none"/>
      </w:r>
      <w:r>
        <w:t xml:space="preserve"> </w:t>
        <w:br w:clear="none"/>
      </w:r>
      <w:r>
        <w:rPr>
          <w:rStyle w:val="Text31"/>
        </w:rPr>
        <w:t xml:space="preserve">in</w:t>
        <w:br w:clear="none"/>
      </w:r>
      <w:r>
        <w:t xml:space="preserve"> </w:t>
        <w:br w:clear="none"/>
      </w:r>
      <w:r>
        <w:rPr>
          <w:rStyle w:val="Text16"/>
        </w:rPr>
        <w:t xml:space="preserve">enumerate</w:t>
        <w:br w:clear="none"/>
      </w:r>
      <w:r>
        <w:rPr>
          <w:rStyle w:val="Text7"/>
        </w:rPr>
        <w:t xml:space="preserve">(</w:t>
        <w:br w:clear="none"/>
      </w:r>
      <w:r>
        <w:rPr>
          <w:rStyle w:val="Text9"/>
        </w:rPr>
        <w:t xml:space="preserve">alist</w:t>
        <w:br w:clear="none"/>
      </w:r>
      <w:r>
        <w:rPr>
          <w:rStyle w:val="Text7"/>
        </w:rPr>
        <w:t xml:space="preserve">)</w:t>
        <w:br w:clear="none"/>
        <w:t xml:space="preserve">]</w:t>
        <w:br w:clear="none"/>
      </w:r>
      <w:r>
        <w:t xml:space="preserve"/>
        <w:br w:clear="none"/>
        <w:t xml:space="preserve">        </w:t>
        <w:br w:clear="none"/>
      </w:r>
      <w:r>
        <w:rPr>
          <w:rStyle w:val="Text9"/>
        </w:rPr>
        <w:t xml:space="preserve">heapq</w:t>
        <w:br w:clear="none"/>
      </w:r>
      <w:r>
        <w:rPr>
          <w:rStyle w:val="Text13"/>
        </w:rPr>
        <w:t xml:space="preserve">.</w:t>
        <w:br w:clear="none"/>
      </w:r>
      <w:r>
        <w:rPr>
          <w:rStyle w:val="Text9"/>
        </w:rPr>
        <w:t xml:space="preserve">heapify</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heap</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key</w:t>
        <w:br w:clear="none"/>
      </w:r>
      <w:r>
        <w:t xml:space="preserve"> </w:t>
        <w:br w:clear="none"/>
      </w:r>
      <w:r>
        <w:rPr>
          <w:rStyle w:val="Text13"/>
        </w:rPr>
        <w:t xml:space="preserve">=</w:t>
        <w:br w:clear="none"/>
      </w:r>
      <w:r>
        <w:t xml:space="preserve"> </w:t>
        <w:br w:clear="none"/>
      </w:r>
      <w:r>
        <w:rPr>
          <w:rStyle w:val="Text9"/>
        </w:rPr>
        <w:t xml:space="preserve">key</w:t>
        <w:br w:clear="none"/>
      </w:r>
      <w:r>
        <w:t xml:space="preserve"/>
        <w:br w:clear="none"/>
        <w:t xml:space="preserve">        </w:t>
        <w:br w:clear="none"/>
      </w:r>
      <w:r>
        <w:rPr>
          <w:rStyle w:val="Text10"/>
        </w:rPr>
        <w:t xml:space="preserve">if</w:t>
        <w:br w:clear="none"/>
      </w:r>
      <w:r>
        <w:t xml:space="preserve"> </w:t>
        <w:br w:clear="none"/>
      </w:r>
      <w:r>
        <w:rPr>
          <w:rStyle w:val="Text9"/>
        </w:rPr>
        <w:t xml:space="preserve">alist</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nexti</w:t>
        <w:br w:clear="none"/>
      </w:r>
      <w:r>
        <w:t xml:space="preserve"> </w:t>
        <w:br w:clear="none"/>
      </w:r>
      <w:r>
        <w:rPr>
          <w:rStyle w:val="Text13"/>
        </w:rPr>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heap</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t xml:space="preserve">[</w:t>
        <w:br w:clear="none"/>
      </w:r>
      <w:r>
        <w:rPr>
          <w:rStyle w:val="Text27"/>
        </w:rPr>
        <w:t xml:space="preserve">1</w:t>
        <w:br w:clear="none"/>
      </w:r>
      <w:r>
        <w:rPr>
          <w:rStyle w:val="Text7"/>
        </w:rPr>
        <w:t xml:space="preserve">]</w:t>
        <w:br w:clear="none"/>
      </w:r>
      <w:r>
        <w:t xml:space="preserve"> </w:t>
        <w:br w:clear="none"/>
      </w:r>
      <w:r>
        <w:rPr>
          <w:rStyle w:val="Text13"/>
        </w:rPr>
        <w:t xml:space="preserve">+</w:t>
        <w:br w:clear="none"/>
      </w:r>
      <w:r>
        <w:t xml:space="preserve"> </w:t>
        <w:br w:clear="none"/>
      </w:r>
      <w:r>
        <w:rPr>
          <w:rStyle w:val="Text27"/>
        </w:rPr>
        <w:t xml:space="preserve">1</w:t>
        <w:br w:clear="none"/>
      </w:r>
      <w:r>
        <w:t xml:space="preserve"/>
        <w:br w:clear="none"/>
        <w:t xml:space="preserve">        </w:t>
        <w:br w:clear="none"/>
      </w:r>
      <w:r>
        <w:rPr>
          <w:rStyle w:val="Text10"/>
        </w:rPr>
        <w:t xml:space="preserve">else</w:t>
        <w:br w:clear="none"/>
      </w:r>
      <w:r>
        <w:rPr>
          <w:rStyle w:val="Text7"/>
        </w:rPr>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nexti</w:t>
        <w:br w:clear="none"/>
      </w:r>
      <w:r>
        <w:t xml:space="preserve"> </w:t>
        <w:br w:clear="none"/>
      </w:r>
      <w:r>
        <w:rPr>
          <w:rStyle w:val="Text13"/>
        </w:rPr>
        <w:t xml:space="preserve">=</w:t>
        <w:br w:clear="none"/>
      </w:r>
      <w:r>
        <w:t xml:space="preserve"> </w:t>
        <w:br w:clear="none"/>
      </w:r>
      <w:r>
        <w:rPr>
          <w:rStyle w:val="Text27"/>
        </w:rPr>
        <w:t xml:space="preserve">0</w:t>
        <w:br w:clear="none"/>
      </w:r>
      <w:r>
        <w:t xml:space="preserve"/>
        <w:br w:clear="none"/>
        <w:t xml:space="preserve"/>
        <w:br w:clear="none"/>
        <w:t xml:space="preserve">    </w:t>
        <w:br w:clear="none"/>
      </w:r>
      <w:r>
        <w:rPr>
          <w:rStyle w:val="Text10"/>
        </w:rPr>
        <w:t xml:space="preserve">def</w:t>
        <w:br w:clear="none"/>
      </w:r>
      <w:r>
        <w:t xml:space="preserve"> </w:t>
        <w:br w:clear="none"/>
        <w:t xml:space="preserve">__len__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len</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heap</w:t>
        <w:br w:clear="none"/>
      </w:r>
      <w:r>
        <w:rPr>
          <w:rStyle w:val="Text7"/>
        </w:rPr>
        <w:t xml:space="preserve">)</w:t>
        <w:br w:clear="none"/>
      </w:r>
      <w:r>
        <w:t xml:space="preserve"/>
        <w:br w:clear="none"/>
        <w:t xml:space="preserve"/>
        <w:br w:clear="none"/>
        <w:t xml:space="preserve">    </w:t>
        <w:br w:clear="none"/>
      </w:r>
      <w:r>
        <w:rPr>
          <w:rStyle w:val="Text10"/>
        </w:rPr>
        <w:t xml:space="preserve">def</w:t>
        <w:br w:clear="none"/>
      </w:r>
      <w:r>
        <w:t xml:space="preserve"> </w:t>
        <w:br w:clear="none"/>
      </w:r>
      <w:r>
        <w:rPr>
          <w:rStyle w:val="Text18"/>
        </w:rPr>
        <w:t xml:space="preserve">push</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o</w:t>
        <w:br w:clear="none"/>
      </w:r>
      <w:r>
        <w:rPr>
          <w:rStyle w:val="Text7"/>
        </w:rPr>
        <w:t xml:space="preserve">,</w:t>
        <w:br w:clear="none"/>
      </w:r>
      <w:r>
        <w:t xml:space="preserve"> </w:t>
        <w:br w:clear="none"/>
      </w:r>
      <w:r>
        <w:rPr>
          <w:rStyle w:val="Text13"/>
        </w:rPr>
        <w:t xml:space="preserve">/</w:t>
        <w:br w:clear="none"/>
      </w:r>
      <w:r>
        <w:rPr>
          <w:rStyle w:val="Text7"/>
        </w:rPr>
        <w:t xml:space="preserve">)</w:t>
        <w:br w:clear="none"/>
        <w:t xml:space="preserve">:</w:t>
        <w:br w:clear="none"/>
      </w:r>
      <w:r>
        <w:t xml:space="preserve"/>
        <w:br w:clear="none"/>
        <w:t xml:space="preserve">        </w:t>
        <w:br w:clear="none"/>
      </w:r>
      <w:r>
        <w:rPr>
          <w:rStyle w:val="Text9"/>
        </w:rPr>
        <w:t xml:space="preserve">heapq</w:t>
        <w:br w:clear="none"/>
      </w:r>
      <w:r>
        <w:rPr>
          <w:rStyle w:val="Text13"/>
        </w:rPr>
        <w:t xml:space="preserve">.</w:t>
        <w:br w:clear="none"/>
      </w:r>
      <w:r>
        <w:rPr>
          <w:rStyle w:val="Text9"/>
        </w:rPr>
        <w:t xml:space="preserve">heappush</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heap</w:t>
        <w:br w:clear="none"/>
      </w:r>
      <w:r>
        <w:rPr>
          <w:rStyle w:val="Text7"/>
        </w:rPr>
        <w:t xml:space="preserve">,</w:t>
        <w:br w:clear="none"/>
      </w:r>
      <w:r>
        <w:t xml:space="preserve"> </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key</w:t>
        <w:br w:clear="none"/>
      </w:r>
      <w:r>
        <w:rPr>
          <w:rStyle w:val="Text7"/>
        </w:rPr>
        <w:t xml:space="preserve">(</w:t>
        <w:br w:clear="none"/>
      </w:r>
      <w:r>
        <w:rPr>
          <w:rStyle w:val="Text9"/>
        </w:rPr>
        <w:t xml:space="preserve">o</w:t>
        <w:br w:clear="none"/>
      </w:r>
      <w:r>
        <w:rPr>
          <w:rStyle w:val="Text7"/>
        </w:rPr>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nexti</w:t>
        <w:br w:clear="none"/>
      </w:r>
      <w:r>
        <w:rPr>
          <w:rStyle w:val="Text7"/>
        </w:rPr>
        <w:t xml:space="preserve">,</w:t>
        <w:br w:clear="none"/>
      </w:r>
      <w:r>
        <w:t xml:space="preserve"> </w:t>
        <w:br w:clear="none"/>
      </w:r>
      <w:r>
        <w:rPr>
          <w:rStyle w:val="Text9"/>
        </w:rPr>
        <w:t xml:space="preserve">o</w:t>
        <w:br w:clear="none"/>
      </w:r>
      <w:r>
        <w:rPr>
          <w:rStyle w:val="Text7"/>
        </w:rPr>
        <w:t xml:space="preserve">)</w:t>
        <w:br w:clear="none"/>
        <w:t xml:space="preserve">)</w:t>
        <w:br w:clear="none"/>
      </w:r>
      <w:r>
        <w:t xml:space="preserve"/>
        <w:br w:clear="none"/>
        <w:t xml:space="preserve">        </w:t>
        <w:br w:clear="none"/>
      </w:r>
      <w:r>
        <w:rPr>
          <w:rStyle w:val="Text16"/>
        </w:rPr>
        <w:t xml:space="preserve">self</w:t>
        <w:br w:clear="none"/>
      </w:r>
      <w:r>
        <w:rPr>
          <w:rStyle w:val="Text13"/>
        </w:rPr>
        <w:t xml:space="preserve">.</w:t>
        <w:br w:clear="none"/>
      </w:r>
      <w:r>
        <w:rPr>
          <w:rStyle w:val="Text9"/>
        </w:rPr>
        <w:t xml:space="preserve">nexti</w:t>
        <w:br w:clear="none"/>
      </w:r>
      <w:r>
        <w:t xml:space="preserve"> </w:t>
        <w:br w:clear="none"/>
      </w:r>
      <w:r>
        <w:rPr>
          <w:rStyle w:val="Text13"/>
        </w:rPr>
        <w:t xml:space="preserve">+</w:t>
        <w:br w:clear="none"/>
        <w:t xml:space="preserve">=</w:t>
        <w:br w:clear="none"/>
      </w:r>
      <w:r>
        <w:t xml:space="preserve"> </w:t>
        <w:br w:clear="none"/>
      </w:r>
      <w:r>
        <w:rPr>
          <w:rStyle w:val="Text27"/>
        </w:rPr>
        <w:t xml:space="preserve">1</w:t>
        <w:br w:clear="none"/>
      </w:r>
      <w:r>
        <w:t xml:space="preserve"/>
        <w:br w:clear="none"/>
        <w:t xml:space="preserve"/>
        <w:br w:clear="none"/>
        <w:t xml:space="preserve">    </w:t>
        <w:br w:clear="none"/>
      </w:r>
      <w:r>
        <w:rPr>
          <w:rStyle w:val="Text10"/>
        </w:rPr>
        <w:t xml:space="preserve">def</w:t>
        <w:br w:clear="none"/>
      </w:r>
      <w:r>
        <w:t xml:space="preserve"> </w:t>
        <w:br w:clear="none"/>
      </w:r>
      <w:r>
        <w:rPr>
          <w:rStyle w:val="Text18"/>
        </w:rPr>
        <w:t xml:space="preserve">pop</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heapq</w:t>
        <w:br w:clear="none"/>
      </w:r>
      <w:r>
        <w:rPr>
          <w:rStyle w:val="Text13"/>
        </w:rPr>
        <w:t xml:space="preserve">.</w:t>
        <w:br w:clear="none"/>
      </w:r>
      <w:r>
        <w:rPr>
          <w:rStyle w:val="Text9"/>
        </w:rPr>
        <w:t xml:space="preserve">heappop</w:t>
        <w:br w:clear="none"/>
      </w:r>
      <w:r>
        <w:rPr>
          <w:rStyle w:val="Text7"/>
        </w:rPr>
        <w:t xml:space="preserve">(</w:t>
        <w:br w:clear="none"/>
      </w:r>
      <w:r>
        <w:rPr>
          <w:rStyle w:val="Text16"/>
        </w:rPr>
        <w:t xml:space="preserve">self</w:t>
        <w:br w:clear="none"/>
      </w:r>
      <w:r>
        <w:rPr>
          <w:rStyle w:val="Text13"/>
        </w:rPr>
        <w:t xml:space="preserve">.</w:t>
        <w:br w:clear="none"/>
      </w:r>
      <w:r>
        <w:rPr>
          <w:rStyle w:val="Text9"/>
        </w:rPr>
        <w:t xml:space="preserve">heap</w:t>
        <w:br w:clear="none"/>
      </w:r>
      <w:r>
        <w:rPr>
          <w:rStyle w:val="Text7"/>
        </w:rPr>
        <w:t xml:space="preserve">)</w:t>
        <w:br w:clear="none"/>
        <w:t xml:space="preserve">[</w:t>
        <w:br w:clear="none"/>
      </w:r>
      <w:r>
        <w:rPr>
          <w:rStyle w:val="Text13"/>
        </w:rPr>
        <w:t xml:space="preserve">-</w:t>
        <w:br w:clear="none"/>
      </w:r>
      <w:r>
        <w:rPr>
          <w:rStyle w:val="Text27"/>
        </w:rPr>
        <w:t xml:space="preserve">1</w:t>
        <w:br w:clear="none"/>
      </w:r>
      <w:r>
        <w:rPr>
          <w:rStyle w:val="Text7"/>
        </w:rPr>
        <w:t xml:space="preserve">]</w:t>
        <w:br w:clear="none"/>
      </w:r>
    </w:p>
    <w:p>
      <w:pPr>
        <w:pStyle w:val="Normal"/>
      </w:pPr>
      <w:r>
        <w:t xml:space="preserve">In this example, we use an increasing number in the middle of the decorated tuple (after the sort key, before the actual item) to ensure that actual items are </w:t>
      </w:r>
      <w:r>
        <w:rPr>
          <w:rStyle w:val="Text4"/>
        </w:rPr>
        <w:t>never</w:t>
      </w:r>
      <w:r>
        <w:t xml:space="preserve"> compared directly, even if their sort keys are equal (this semantic guarantee is an important aspect of the </w:t>
      </w:r>
      <w:r>
        <w:rPr>
          <w:rStyle w:val="Text0"/>
        </w:rPr>
        <w:t>key</w:t>
      </w:r>
      <w:r>
        <w:t xml:space="preserve"> argument’s functionality for </w:t>
      </w:r>
      <w:r>
        <w:rPr>
          <w:rStyle w:val="Text0"/>
        </w:rPr>
        <w:t>sort</w:t>
      </w:r>
      <w:r>
        <w:t xml:space="preserve"> and the like).</w:t>
      </w:r>
      <w:r>
        <w:rPr>
          <w:rStyle w:val="Text111"/>
        </w:rPr>
        <w:bookmarkStart w:id="2197" w:name="idm45965214093840"/>
        <w:t/>
        <w:bookmarkEnd w:id="2197"/>
      </w:r>
    </w:p>
    <w:p>
      <w:bookmarkStart w:id="2198" w:name="The_argparse_Module__When_you_wr"/>
      <w:pPr>
        <w:keepNext/>
        <w:pStyle w:val="Heading 1"/>
      </w:pPr>
      <w:r>
        <w:t>The argparse Module</w:t>
      </w:r>
      <w:bookmarkEnd w:id="2198"/>
    </w:p>
    <w:p>
      <w:pPr>
        <w:pStyle w:val="Normal"/>
      </w:pPr>
      <w:r>
        <w:t>When</w:t>
      </w:r>
      <w:r>
        <w:rPr>
          <w:rStyle w:val="Text111"/>
        </w:rPr>
        <w:bookmarkStart w:id="2199" w:name="SLarg08"/>
        <w:t/>
        <w:bookmarkEnd w:id="2199"/>
        <w:bookmarkStart w:id="2200" w:name="idm45965214113824"/>
        <w:t/>
        <w:bookmarkEnd w:id="2200"/>
      </w:r>
      <w:r>
        <w:t xml:space="preserve"> you write a Python program meant to be run from the command line (or from a shell script in Unix-like systems, or a batch file in Windows), you often want to let the user pass to the program, on the command line or within the</w:t>
      </w:r>
      <w:r>
        <w:rPr>
          <w:rStyle w:val="Text111"/>
        </w:rPr>
        <w:bookmarkStart w:id="2201" w:name="idm45965214112592"/>
        <w:t/>
        <w:bookmarkEnd w:id="2201"/>
      </w:r>
      <w:r>
        <w:t xml:space="preserve"> script, </w:t>
      </w:r>
      <w:r>
        <w:rPr>
          <w:rStyle w:val="Text4"/>
        </w:rPr>
        <w:t>command-line arguments</w:t>
      </w:r>
      <w:r>
        <w:t xml:space="preserve"> (including </w:t>
      </w:r>
      <w:r>
        <w:rPr>
          <w:rStyle w:val="Text4"/>
        </w:rPr>
        <w:t>command-line options</w:t>
      </w:r>
      <w:r>
        <w:t xml:space="preserve">, which by convention are arguments starting with one or two dash characters). In Python, you can access the arguments as </w:t>
      </w:r>
      <w:r>
        <w:rPr>
          <w:rStyle w:val="Text0"/>
        </w:rPr>
        <w:t>sys.argv</w:t>
      </w:r>
      <w:r>
        <w:t xml:space="preserve">, an attribute of the module </w:t>
      </w:r>
      <w:r>
        <w:rPr>
          <w:rStyle w:val="Text0"/>
        </w:rPr>
        <w:t>sys</w:t>
      </w:r>
      <w:r>
        <w:t xml:space="preserve"> holding those arguments as a list of strings (</w:t>
      </w:r>
      <w:r>
        <w:rPr>
          <w:rStyle w:val="Text0"/>
        </w:rPr>
        <w:t>sys.argv[0]</w:t>
      </w:r>
      <w:r>
        <w:t xml:space="preserve"> is the name or path by which the user started your program; the arguments are in the sublist </w:t>
      </w:r>
      <w:r>
        <w:rPr>
          <w:rStyle w:val="Text0"/>
        </w:rPr>
        <w:t>sys.argv[1:]</w:t>
      </w:r>
      <w:r>
        <w:t xml:space="preserve">). The Python standard library offers three modules to process those arguments; we only cover the newest and most powerful one, </w:t>
      </w:r>
      <w:r>
        <w:rPr>
          <w:rStyle w:val="Text0"/>
        </w:rPr>
        <w:t>argparse</w:t>
      </w:r>
      <w:r>
        <w:t xml:space="preserve">, and we only cover a small, </w:t>
      </w:r>
      <w:r>
        <w:rPr>
          <w:rStyle w:val="Text4"/>
        </w:rPr>
        <w:t>core</w:t>
      </w:r>
      <w:r>
        <w:t xml:space="preserve"> subset of </w:t>
      </w:r>
      <w:r>
        <w:rPr>
          <w:rStyle w:val="Text0"/>
        </w:rPr>
        <w:t>argparse</w:t>
      </w:r>
      <w:r>
        <w:t xml:space="preserve">’s rich functionality. See the online </w:t>
      </w:r>
      <w:hyperlink r:id="rId315">
        <w:r>
          <w:rPr>
            <w:rStyle w:val="Text1"/>
          </w:rPr>
          <w:t>reference</w:t>
        </w:r>
      </w:hyperlink>
      <w:r>
        <w:t xml:space="preserve"> and </w:t>
      </w:r>
      <w:hyperlink r:id="rId316">
        <w:r>
          <w:rPr>
            <w:rStyle w:val="Text1"/>
          </w:rPr>
          <w:t>tutorial</w:t>
        </w:r>
      </w:hyperlink>
      <w:r>
        <w:t xml:space="preserve"> for much, much more. </w:t>
      </w:r>
      <w:r>
        <w:rPr>
          <w:rStyle w:val="Text0"/>
        </w:rPr>
        <w:t>argparse</w:t>
      </w:r>
      <w:r>
        <w:t xml:space="preserve"> provides one class, which has the following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ArgumentParser</w:t>
            </w:r>
          </w:p>
        </w:tc>
        <w:tc>
          <w:tcPr>
            <w:tcW w:type="auto" w:w="0"/>
            <w:tcMar>
              <w:left w:type="dxa" w:w="200"/>
              <w:top w:type="dxa" w:w="200"/>
              <w:right w:type="dxa" w:w="200"/>
              <w:bottom w:type="dxa" w:w="200"/>
            </w:tcMar>
          </w:tcPr>
          <w:p>
            <w:pPr>
              <w:pStyle w:val="Para 002"/>
            </w:pPr>
            <w:r>
              <w:rPr>
                <w:rStyle w:val="Text0"/>
              </w:rPr>
              <w:t>ArgumentParser(**</w:t>
            </w:r>
            <w:r>
              <w:rPr>
                <w:rStyle w:val="Text3"/>
              </w:rPr>
              <w:t>kwargs</w:t>
            </w:r>
            <w:r>
              <w:rPr>
                <w:rStyle w:val="Text0"/>
              </w:rPr>
              <w:t>)</w:t>
              <w:br w:clear="none"/>
            </w:r>
            <w:r>
              <w:t xml:space="preserve"> </w:t>
            </w:r>
            <w:r>
              <w:rPr>
                <w:rStyle w:val="Text0"/>
              </w:rPr>
              <w:t>ArgumentParser</w:t>
            </w:r>
            <w:r>
              <w:t xml:space="preserve"> is the class whose instances perform argument parsing. It accepts many named arguments, mostly meant to improve the help message that your program displays if command-line arguments include </w:t>
            </w:r>
            <w:r>
              <w:rPr>
                <w:rStyle w:val="Text0"/>
              </w:rPr>
              <w:t>-h</w:t>
            </w:r>
            <w:r>
              <w:t xml:space="preserve"> or </w:t>
            </w:r>
            <w:r>
              <w:rPr>
                <w:rStyle w:val="Text0"/>
              </w:rPr>
              <w:t>--help</w:t>
            </w:r>
            <w:r>
              <w:t xml:space="preserve">. One named argument you should always pass is </w:t>
            </w:r>
            <w:r>
              <w:rPr>
                <w:rStyle w:val="Text0"/>
              </w:rPr>
              <w:t>description=</w:t>
            </w:r>
            <w:r>
              <w:t>, a string summarizing the purpose of your program.</w:t>
            </w:r>
          </w:p>
        </w:tc>
      </w:tr>
    </w:tbl>
    <w:p>
      <w:pPr>
        <w:pStyle w:val="Normal"/>
      </w:pPr>
      <w:r>
        <w:t xml:space="preserve">Given an instance </w:t>
      </w:r>
      <w:r>
        <w:rPr>
          <w:rStyle w:val="Text3"/>
        </w:rPr>
        <w:t>ap</w:t>
      </w:r>
      <w:r>
        <w:t xml:space="preserve"> of </w:t>
      </w:r>
      <w:r>
        <w:rPr>
          <w:rStyle w:val="Text0"/>
        </w:rPr>
        <w:t>ArgumentParser</w:t>
      </w:r>
      <w:r>
        <w:t xml:space="preserve">, prepare it with one or more calls to </w:t>
      </w:r>
      <w:r>
        <w:rPr>
          <w:rStyle w:val="Text3"/>
        </w:rPr>
        <w:t>ap</w:t>
      </w:r>
      <w:r>
        <w:rPr>
          <w:rStyle w:val="Text0"/>
        </w:rPr>
        <w:t>.add_argument</w:t>
      </w:r>
      <w:r>
        <w:t xml:space="preserve">, then use it by calling </w:t>
      </w:r>
      <w:r>
        <w:rPr>
          <w:rStyle w:val="Text3"/>
        </w:rPr>
        <w:t>ap</w:t>
      </w:r>
      <w:r>
        <w:rPr>
          <w:rStyle w:val="Text0"/>
        </w:rPr>
        <w:t>.parse_args()</w:t>
      </w:r>
      <w:r>
        <w:t xml:space="preserve"> without arguments (so it parses </w:t>
      </w:r>
      <w:r>
        <w:rPr>
          <w:rStyle w:val="Text0"/>
        </w:rPr>
        <w:t>sys.argv</w:t>
      </w:r>
      <w:r>
        <w:t xml:space="preserve">). The call returns an instance of </w:t>
      </w:r>
      <w:r>
        <w:rPr>
          <w:rStyle w:val="Text0"/>
        </w:rPr>
        <w:t>argparse.Namespace</w:t>
      </w:r>
      <w:r>
        <w:t>, with your program’s arguments and options as attributes.</w:t>
      </w:r>
    </w:p>
    <w:p>
      <w:pPr>
        <w:pStyle w:val="Normal"/>
      </w:pPr>
      <w:r>
        <w:rPr>
          <w:rStyle w:val="Text0"/>
        </w:rPr>
        <w:t>add_argument</w:t>
      </w:r>
      <w:r>
        <w:t xml:space="preserve"> has a mandatory first argument: an identifier string for positional command-line arguments, or a flag name for command-line options. In the latter case, pass one or more flag names; an option can have both a short name (dash, then a character) and a long name (two dashes, then an identifier).</w:t>
      </w:r>
    </w:p>
    <w:p>
      <w:pPr>
        <w:pStyle w:val="Normal"/>
      </w:pPr>
      <w:r>
        <w:t xml:space="preserve">After the positional arguments, pass to </w:t>
      </w:r>
      <w:r>
        <w:rPr>
          <w:rStyle w:val="Text0"/>
        </w:rPr>
        <w:t>add_argument</w:t>
      </w:r>
      <w:r>
        <w:t xml:space="preserve"> zero or more named arguments to control its behavior. </w:t>
      </w:r>
      <w:hyperlink w:anchor="Table_8_9__Common_named_argument">
        <w:r>
          <w:rPr>
            <w:rStyle w:val="Text1"/>
          </w:rPr>
          <w:t>Table 8-9</w:t>
        </w:r>
      </w:hyperlink>
      <w:r>
        <w:t xml:space="preserve"> lists the most commonly used ones.</w:t>
      </w:r>
    </w:p>
    <w:tbl>
      <w:tblPr>
        <w:tblW w:type="auto" w:w="0"/>
      </w:tblPr>
      <w:tr>
        <w:tc>
          <w:tcPr>
            <w:tcW w:type="auto" w:w="0"/>
            <w:tcMar>
              <w:left w:type="dxa" w:w="200"/>
              <w:top w:type="dxa" w:w="200"/>
              <w:right w:type="dxa" w:w="200"/>
              <w:bottom w:type="dxa" w:w="200"/>
            </w:tcMar>
          </w:tcPr>
          <w:p>
            <w:bookmarkStart w:id="2202" w:name="Table_8_9__Common_named_argument"/>
            <w:pPr>
              <w:pStyle w:val="Para 011"/>
            </w:pPr>
            <w:r>
              <w:rPr>
                <w:rStyle w:val="Text117"/>
              </w:rPr>
              <w:t/>
            </w:r>
            <w:r>
              <w:t xml:space="preserve">Table 8-9. </w:t>
              <w:t xml:space="preserve">Common named arguments to </w:t>
            </w:r>
            <w:r>
              <w:rPr>
                <w:rStyle w:val="Text0"/>
              </w:rPr>
              <w:t>add_argument</w:t>
            </w:r>
            <w:bookmarkEnd w:id="2202"/>
          </w:p>
          <w:p>
            <w:pPr>
              <w:pStyle w:val="Para 001"/>
            </w:pPr>
            <w:r>
              <w:t>action</w:t>
            </w:r>
          </w:p>
        </w:tc>
        <w:tc>
          <w:tcPr>
            <w:tcW w:type="auto" w:w="0"/>
            <w:tcMar>
              <w:left w:type="dxa" w:w="200"/>
              <w:top w:type="dxa" w:w="200"/>
              <w:right w:type="dxa" w:w="200"/>
              <w:bottom w:type="dxa" w:w="200"/>
            </w:tcMar>
          </w:tcPr>
          <w:p>
            <w:pPr>
              <w:pStyle w:val="Para 002"/>
            </w:pPr>
            <w:r>
              <w:t xml:space="preserve">What the parser does with this argument. Default: </w:t>
            </w:r>
            <w:r>
              <w:rPr>
                <w:rStyle w:val="Text0"/>
              </w:rPr>
              <w:t>'store'</w:t>
            </w:r>
            <w:r>
              <w:t xml:space="preserve">, which stores the argument’s value in the namespace (at the name given by </w:t>
            </w:r>
            <w:r>
              <w:rPr>
                <w:rStyle w:val="Text0"/>
              </w:rPr>
              <w:t>dest</w:t>
            </w:r>
            <w:r>
              <w:t xml:space="preserve">, described later in this table). Also useful: </w:t>
            </w:r>
            <w:r>
              <w:rPr>
                <w:rStyle w:val="Text0"/>
              </w:rPr>
              <w:t>'store_true'</w:t>
            </w:r>
            <w:r>
              <w:t xml:space="preserve"> and </w:t>
            </w:r>
            <w:r>
              <w:rPr>
                <w:rStyle w:val="Text0"/>
              </w:rPr>
              <w:t>'store_false'</w:t>
            </w:r>
            <w:r>
              <w:t xml:space="preserve">, making an option into a </w:t>
            </w:r>
            <w:r>
              <w:rPr>
                <w:rStyle w:val="Text0"/>
              </w:rPr>
              <w:t>bool</w:t>
            </w:r>
            <w:r>
              <w:t xml:space="preserve"> (defaulting to the opposite </w:t>
            </w:r>
            <w:r>
              <w:rPr>
                <w:rStyle w:val="Text0"/>
              </w:rPr>
              <w:t>bool</w:t>
            </w:r>
            <w:r>
              <w:t xml:space="preserve"> if the option is not present), and </w:t>
            </w:r>
            <w:r>
              <w:rPr>
                <w:rStyle w:val="Text0"/>
              </w:rPr>
              <w:t>'append'</w:t>
            </w:r>
            <w:r>
              <w:t>, appending argument values to a list (and thus allowing an option to be repeated).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choices</w:t>
            </w:r>
          </w:p>
        </w:tc>
        <w:tc>
          <w:tcPr>
            <w:tcW w:type="auto" w:w="0"/>
            <w:shd w:val="clear" w:color="auto" w:fill="EEF2F6"/>
            <w:tcMar>
              <w:left w:type="dxa" w:w="200"/>
              <w:top w:type="dxa" w:w="200"/>
              <w:right w:type="dxa" w:w="200"/>
              <w:bottom w:type="dxa" w:w="200"/>
            </w:tcMar>
          </w:tcPr>
          <w:p>
            <w:pPr>
              <w:pStyle w:val="Para 002"/>
            </w:pPr>
            <w:r>
              <w:t>A set of values allowed for the argument (parsing the argument raises an exception if the value is not among these). Default: no constraints.</w:t>
            </w:r>
          </w:p>
        </w:tc>
      </w:tr>
    </w:tbl>
    <w:tbl>
      <w:tblPr>
        <w:tblW w:type="auto" w:w="0"/>
      </w:tblPr>
      <w:tr>
        <w:tc>
          <w:tcPr>
            <w:tcW w:type="auto" w:w="0"/>
            <w:tcMar>
              <w:left w:type="dxa" w:w="200"/>
              <w:top w:type="dxa" w:w="200"/>
              <w:right w:type="dxa" w:w="200"/>
              <w:bottom w:type="dxa" w:w="200"/>
            </w:tcMar>
          </w:tcPr>
          <w:p>
            <w:pPr>
              <w:pStyle w:val="Para 001"/>
            </w:pPr>
            <w:r>
              <w:t>default</w:t>
            </w:r>
          </w:p>
        </w:tc>
        <w:tc>
          <w:tcPr>
            <w:tcW w:type="auto" w:w="0"/>
            <w:tcMar>
              <w:left w:type="dxa" w:w="200"/>
              <w:top w:type="dxa" w:w="200"/>
              <w:right w:type="dxa" w:w="200"/>
              <w:bottom w:type="dxa" w:w="200"/>
            </w:tcMar>
          </w:tcPr>
          <w:p>
            <w:pPr>
              <w:pStyle w:val="Para 002"/>
            </w:pPr>
            <w:r>
              <w:t xml:space="preserve">Value if the argument is not present. Default: </w:t>
            </w:r>
            <w:r>
              <w:rPr>
                <w:rStyle w:val="Text5"/>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dest</w:t>
            </w:r>
          </w:p>
        </w:tc>
        <w:tc>
          <w:tcPr>
            <w:tcW w:type="auto" w:w="0"/>
            <w:shd w:val="clear" w:color="auto" w:fill="EEF2F6"/>
            <w:tcMar>
              <w:left w:type="dxa" w:w="200"/>
              <w:top w:type="dxa" w:w="200"/>
              <w:right w:type="dxa" w:w="200"/>
              <w:bottom w:type="dxa" w:w="200"/>
            </w:tcMar>
          </w:tcPr>
          <w:p>
            <w:pPr>
              <w:pStyle w:val="Para 002"/>
            </w:pPr>
            <w:r>
              <w:t>Name of the attribute to use for this argument. Default: same as the first positional argument stripped of leading dashes, if any.</w:t>
            </w:r>
          </w:p>
        </w:tc>
      </w:tr>
    </w:tbl>
    <w:tbl>
      <w:tblPr>
        <w:tblW w:type="auto" w:w="0"/>
      </w:tblPr>
      <w:tr>
        <w:tc>
          <w:tcPr>
            <w:tcW w:type="auto" w:w="0"/>
            <w:tcMar>
              <w:left w:type="dxa" w:w="200"/>
              <w:top w:type="dxa" w:w="200"/>
              <w:right w:type="dxa" w:w="200"/>
              <w:bottom w:type="dxa" w:w="200"/>
            </w:tcMar>
          </w:tcPr>
          <w:p>
            <w:pPr>
              <w:pStyle w:val="Para 001"/>
            </w:pPr>
            <w:r>
              <w:t>help</w:t>
            </w:r>
          </w:p>
        </w:tc>
        <w:tc>
          <w:tcPr>
            <w:tcW w:type="auto" w:w="0"/>
            <w:tcMar>
              <w:left w:type="dxa" w:w="200"/>
              <w:top w:type="dxa" w:w="200"/>
              <w:right w:type="dxa" w:w="200"/>
              <w:bottom w:type="dxa" w:w="200"/>
            </w:tcMar>
          </w:tcPr>
          <w:p>
            <w:pPr>
              <w:pStyle w:val="Para 002"/>
            </w:pPr>
            <w:r>
              <w:t>A</w:t>
            </w:r>
            <w:r>
              <w:rPr>
                <w:rStyle w:val="Text111"/>
              </w:rPr>
              <w:bookmarkStart w:id="2203" w:name="idm45965214010864"/>
              <w:t/>
              <w:bookmarkEnd w:id="2203"/>
            </w:r>
            <w:r>
              <w:t xml:space="preserve"> </w:t>
            </w:r>
            <w:r>
              <w:rPr>
                <w:rStyle w:val="Text0"/>
              </w:rPr>
              <w:t>str</w:t>
            </w:r>
            <w:r>
              <w:t xml:space="preserve"> describing the argument, for help messages.</w:t>
            </w:r>
          </w:p>
        </w:tc>
      </w:tr>
    </w:tbl>
    <w:tbl>
      <w:tblPr>
        <w:tblW w:type="auto" w:w="0"/>
      </w:tblPr>
      <w:tr>
        <w:tc>
          <w:tcPr>
            <w:tcW w:type="auto" w:w="0"/>
            <w:shd w:val="clear" w:color="auto" w:fill="EEF2F6"/>
            <w:tcMar>
              <w:left w:type="dxa" w:w="200"/>
              <w:top w:type="dxa" w:w="200"/>
              <w:right w:type="dxa" w:w="200"/>
              <w:bottom w:type="dxa" w:w="200"/>
            </w:tcMar>
          </w:tcPr>
          <w:p>
            <w:pPr>
              <w:pStyle w:val="Para 001"/>
            </w:pPr>
            <w:r>
              <w:t>nargs</w:t>
            </w:r>
          </w:p>
        </w:tc>
        <w:tc>
          <w:tcPr>
            <w:tcW w:type="auto" w:w="0"/>
            <w:shd w:val="clear" w:color="auto" w:fill="EEF2F6"/>
            <w:tcMar>
              <w:left w:type="dxa" w:w="200"/>
              <w:top w:type="dxa" w:w="200"/>
              <w:right w:type="dxa" w:w="200"/>
              <w:bottom w:type="dxa" w:w="200"/>
            </w:tcMar>
          </w:tcPr>
          <w:p>
            <w:pPr>
              <w:pStyle w:val="Para 002"/>
            </w:pPr>
            <w:r>
              <w:t xml:space="preserve">The number of command-line arguments used by this logical argument. Default: </w:t>
            </w:r>
            <w:r>
              <w:rPr>
                <w:rStyle w:val="Text0"/>
              </w:rPr>
              <w:t>1</w:t>
            </w:r>
            <w:r>
              <w:t xml:space="preserve">, stored in the namespace. Can be an </w:t>
            </w:r>
            <w:r>
              <w:rPr>
                <w:rStyle w:val="Text0"/>
              </w:rPr>
              <w:t>int &gt; 0</w:t>
            </w:r>
            <w:r>
              <w:t xml:space="preserve"> (uses that many arguments, stores them as a list), </w:t>
            </w:r>
            <w:r>
              <w:rPr>
                <w:rStyle w:val="Text0"/>
              </w:rPr>
              <w:t>'?'</w:t>
            </w:r>
            <w:r>
              <w:t xml:space="preserve"> (</w:t>
            </w:r>
            <w:r>
              <w:rPr>
                <w:rStyle w:val="Text0"/>
              </w:rPr>
              <w:t>1</w:t>
            </w:r>
            <w:r>
              <w:t xml:space="preserve"> or none, in which case it uses </w:t>
            </w:r>
            <w:r>
              <w:rPr>
                <w:rStyle w:val="Text0"/>
              </w:rPr>
              <w:t>default</w:t>
            </w:r>
            <w:r>
              <w:t xml:space="preserve">), </w:t>
            </w:r>
            <w:r>
              <w:rPr>
                <w:rStyle w:val="Text0"/>
              </w:rPr>
              <w:t>'*'</w:t>
            </w:r>
            <w:r>
              <w:t xml:space="preserve"> (</w:t>
            </w:r>
            <w:r>
              <w:rPr>
                <w:rStyle w:val="Text0"/>
              </w:rPr>
              <w:t>0</w:t>
            </w:r>
            <w:r>
              <w:t xml:space="preserve"> or more, stored as a list), </w:t>
            </w:r>
            <w:r>
              <w:rPr>
                <w:rStyle w:val="Text0"/>
              </w:rPr>
              <w:t>'+'</w:t>
            </w:r>
            <w:r>
              <w:t xml:space="preserve"> (</w:t>
            </w:r>
            <w:r>
              <w:rPr>
                <w:rStyle w:val="Text0"/>
              </w:rPr>
              <w:t>1</w:t>
            </w:r>
            <w:r>
              <w:t xml:space="preserve"> or more, stored as a list), or </w:t>
            </w:r>
            <w:r>
              <w:rPr>
                <w:rStyle w:val="Text0"/>
              </w:rPr>
              <w:t>argparse.REMAINDER</w:t>
            </w:r>
            <w:r>
              <w:t xml:space="preserve"> (all remaining arguments, stored as a list).</w:t>
            </w:r>
          </w:p>
        </w:tc>
      </w:tr>
    </w:tbl>
    <w:tbl>
      <w:tblPr>
        <w:tblW w:type="auto" w:w="0"/>
      </w:tblPr>
      <w:tr>
        <w:tc>
          <w:tcPr>
            <w:tcW w:type="auto" w:w="0"/>
            <w:tcMar>
              <w:left w:type="dxa" w:w="200"/>
              <w:top w:type="dxa" w:w="200"/>
              <w:right w:type="dxa" w:w="200"/>
              <w:bottom w:type="dxa" w:w="200"/>
            </w:tcMar>
          </w:tcPr>
          <w:p>
            <w:pPr>
              <w:pStyle w:val="Para 001"/>
            </w:pPr>
            <w:r>
              <w:t>type</w:t>
            </w:r>
          </w:p>
        </w:tc>
        <w:tc>
          <w:tcPr>
            <w:tcW w:type="auto" w:w="0"/>
            <w:tcMar>
              <w:left w:type="dxa" w:w="200"/>
              <w:top w:type="dxa" w:w="200"/>
              <w:right w:type="dxa" w:w="200"/>
              <w:bottom w:type="dxa" w:w="200"/>
            </w:tcMar>
          </w:tcPr>
          <w:p>
            <w:pPr>
              <w:pStyle w:val="Para 002"/>
            </w:pPr>
            <w:r>
              <w:t xml:space="preserve">A callable accepting a string, often a type such as </w:t>
            </w:r>
            <w:r>
              <w:rPr>
                <w:rStyle w:val="Text0"/>
              </w:rPr>
              <w:t>int</w:t>
            </w:r>
            <w:r>
              <w:t xml:space="preserve">; used to transform values from strings to something else. Can be an instance of </w:t>
            </w:r>
            <w:r>
              <w:rPr>
                <w:rStyle w:val="Text0"/>
              </w:rPr>
              <w:t>argparse.FileType</w:t>
            </w:r>
            <w:r>
              <w:t xml:space="preserve"> to open the string as a filename (for reading if </w:t>
            </w:r>
            <w:r>
              <w:rPr>
                <w:rStyle w:val="Text0"/>
              </w:rPr>
              <w:t>FileType('r')</w:t>
            </w:r>
            <w:r>
              <w:t xml:space="preserve">, for writing if </w:t>
            </w:r>
            <w:r>
              <w:rPr>
                <w:rStyle w:val="Text0"/>
              </w:rPr>
              <w:t>FileType('w')</w:t>
            </w:r>
            <w:r>
              <w:t>, and so on).</w:t>
            </w:r>
          </w:p>
        </w:tc>
      </w:tr>
    </w:tbl>
    <w:p>
      <w:pPr>
        <w:pStyle w:val="Normal"/>
      </w:pPr>
      <w:r>
        <w:t xml:space="preserve">Here’s a simple example of </w:t>
      </w:r>
      <w:r>
        <w:rPr>
          <w:rStyle w:val="Text0"/>
        </w:rPr>
        <w:t>argparse</w:t>
      </w:r>
      <w:r>
        <w:t xml:space="preserve">—save this code in a file called </w:t>
      </w:r>
      <w:r>
        <w:rPr>
          <w:rStyle w:val="Text4"/>
        </w:rPr>
        <w:t>greet.py</w:t>
      </w:r>
      <w:r>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argparse</w:t>
        <w:br w:clear="none"/>
      </w:r>
      <w:r>
        <w:rPr>
          <w:rStyle w:val="Text6"/>
        </w:rPr>
        <w:t xml:space="preserve"/>
        <w:br w:clear="none"/>
      </w:r>
      <w:r>
        <w:t xml:space="preserve">ap</w:t>
        <w:br w:clear="none"/>
      </w:r>
      <w:r>
        <w:rPr>
          <w:rStyle w:val="Text6"/>
        </w:rPr>
        <w:t xml:space="preserve"> </w:t>
        <w:br w:clear="none"/>
      </w:r>
      <w:r>
        <w:rPr>
          <w:rStyle w:val="Text13"/>
        </w:rPr>
        <w:t xml:space="preserve">=</w:t>
        <w:br w:clear="none"/>
      </w:r>
      <w:r>
        <w:rPr>
          <w:rStyle w:val="Text6"/>
        </w:rPr>
        <w:t xml:space="preserve"> </w:t>
        <w:br w:clear="none"/>
      </w:r>
      <w:r>
        <w:t xml:space="preserve">argparse</w:t>
        <w:br w:clear="none"/>
      </w:r>
      <w:r>
        <w:rPr>
          <w:rStyle w:val="Text13"/>
        </w:rPr>
        <w:t xml:space="preserve">.</w:t>
        <w:br w:clear="none"/>
      </w:r>
      <w:r>
        <w:t xml:space="preserve">ArgumentParser</w:t>
        <w:br w:clear="none"/>
      </w:r>
      <w:r>
        <w:rPr>
          <w:rStyle w:val="Text7"/>
        </w:rPr>
        <w:t xml:space="preserve">(</w:t>
        <w:br w:clear="none"/>
      </w:r>
      <w:r>
        <w:t xml:space="preserve">description</w:t>
        <w:br w:clear="none"/>
      </w:r>
      <w:r>
        <w:rPr>
          <w:rStyle w:val="Text13"/>
        </w:rPr>
        <w:t xml:space="preserve">=</w:t>
        <w:br w:clear="none"/>
      </w:r>
      <w:r>
        <w:rPr>
          <w:rStyle w:val="Text8"/>
        </w:rPr>
        <w:t xml:space="preserve">'</w:t>
        <w:br w:clear="none"/>
        <w:t xml:space="preserve">Just an example</w:t>
        <w:br w:clear="none"/>
        <w:t xml:space="preserve">'</w:t>
        <w:br w:clear="none"/>
      </w:r>
      <w:r>
        <w:rPr>
          <w:rStyle w:val="Text7"/>
        </w:rPr>
        <w:t xml:space="preserve">)</w:t>
        <w:br w:clear="none"/>
      </w:r>
      <w:r>
        <w:rPr>
          <w:rStyle w:val="Text6"/>
        </w:rPr>
        <w:t xml:space="preserve"/>
        <w:br w:clear="none"/>
      </w:r>
      <w:r>
        <w:t xml:space="preserve">ap</w:t>
        <w:br w:clear="none"/>
      </w:r>
      <w:r>
        <w:rPr>
          <w:rStyle w:val="Text13"/>
        </w:rPr>
        <w:t xml:space="preserve">.</w:t>
        <w:br w:clear="none"/>
      </w:r>
      <w:r>
        <w:t xml:space="preserve">add_argument</w:t>
        <w:br w:clear="none"/>
      </w:r>
      <w:r>
        <w:rPr>
          <w:rStyle w:val="Text7"/>
        </w:rPr>
        <w:t xml:space="preserve">(</w:t>
        <w:br w:clear="none"/>
      </w:r>
      <w:r>
        <w:rPr>
          <w:rStyle w:val="Text8"/>
        </w:rPr>
        <w:t xml:space="preserve">'</w:t>
        <w:br w:clear="none"/>
        <w:t xml:space="preserve">who</w:t>
        <w:br w:clear="none"/>
        <w:t xml:space="preserve">'</w:t>
        <w:br w:clear="none"/>
      </w:r>
      <w:r>
        <w:rPr>
          <w:rStyle w:val="Text7"/>
        </w:rPr>
        <w:t xml:space="preserve">,</w:t>
        <w:br w:clear="none"/>
      </w:r>
      <w:r>
        <w:rPr>
          <w:rStyle w:val="Text6"/>
        </w:rPr>
        <w:t xml:space="preserve"> </w:t>
        <w:br w:clear="none"/>
      </w:r>
      <w:r>
        <w:t xml:space="preserve">nargs</w:t>
        <w:br w:clear="none"/>
      </w:r>
      <w:r>
        <w:rPr>
          <w:rStyle w:val="Text13"/>
        </w:rPr>
        <w:t xml:space="preserve">=</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default</w:t>
        <w:br w:clear="none"/>
      </w:r>
      <w:r>
        <w:rPr>
          <w:rStyle w:val="Text13"/>
        </w:rPr>
        <w:t xml:space="preserve">=</w:t>
        <w:br w:clear="none"/>
      </w:r>
      <w:r>
        <w:rPr>
          <w:rStyle w:val="Text8"/>
        </w:rPr>
        <w:t xml:space="preserve">'</w:t>
        <w:br w:clear="none"/>
        <w:t xml:space="preserve">World</w:t>
        <w:br w:clear="none"/>
        <w:t xml:space="preserve">'</w:t>
        <w:br w:clear="none"/>
      </w:r>
      <w:r>
        <w:rPr>
          <w:rStyle w:val="Text7"/>
        </w:rPr>
        <w:t xml:space="preserve">)</w:t>
        <w:br w:clear="none"/>
      </w:r>
      <w:r>
        <w:rPr>
          <w:rStyle w:val="Text6"/>
        </w:rPr>
        <w:t xml:space="preserve"/>
        <w:br w:clear="none"/>
      </w:r>
      <w:r>
        <w:t xml:space="preserve">ap</w:t>
        <w:br w:clear="none"/>
      </w:r>
      <w:r>
        <w:rPr>
          <w:rStyle w:val="Text13"/>
        </w:rPr>
        <w:t xml:space="preserve">.</w:t>
        <w:br w:clear="none"/>
      </w:r>
      <w:r>
        <w:t xml:space="preserve">add_argument</w:t>
        <w:br w:clear="none"/>
      </w:r>
      <w:r>
        <w:rPr>
          <w:rStyle w:val="Text7"/>
        </w:rPr>
        <w:t xml:space="preserve">(</w:t>
        <w:br w:clear="none"/>
      </w:r>
      <w:r>
        <w:rPr>
          <w:rStyle w:val="Text8"/>
        </w:rPr>
        <w:t xml:space="preserve">'</w:t>
        <w:br w:clear="none"/>
        <w:t xml:space="preserve">--formal</w:t>
        <w:br w:clear="none"/>
        <w:t xml:space="preserve">'</w:t>
        <w:br w:clear="none"/>
      </w:r>
      <w:r>
        <w:rPr>
          <w:rStyle w:val="Text7"/>
        </w:rPr>
        <w:t xml:space="preserve">,</w:t>
        <w:br w:clear="none"/>
      </w:r>
      <w:r>
        <w:rPr>
          <w:rStyle w:val="Text6"/>
        </w:rPr>
        <w:t xml:space="preserve"> </w:t>
        <w:br w:clear="none"/>
      </w:r>
      <w:r>
        <w:t xml:space="preserve">action</w:t>
        <w:br w:clear="none"/>
      </w:r>
      <w:r>
        <w:rPr>
          <w:rStyle w:val="Text13"/>
        </w:rPr>
        <w:t xml:space="preserve">=</w:t>
        <w:br w:clear="none"/>
      </w:r>
      <w:r>
        <w:rPr>
          <w:rStyle w:val="Text8"/>
        </w:rPr>
        <w:t xml:space="preserve">'</w:t>
        <w:br w:clear="none"/>
        <w:t xml:space="preserve">store_true</w:t>
        <w:br w:clear="none"/>
        <w:t xml:space="preserve">'</w:t>
        <w:br w:clear="none"/>
      </w:r>
      <w:r>
        <w:rPr>
          <w:rStyle w:val="Text7"/>
        </w:rPr>
        <w:t xml:space="preserve">)</w:t>
        <w:br w:clear="none"/>
      </w:r>
      <w:r>
        <w:rPr>
          <w:rStyle w:val="Text6"/>
        </w:rPr>
        <w:t xml:space="preserve"/>
        <w:br w:clear="none"/>
      </w:r>
      <w:r>
        <w:t xml:space="preserve">ns</w:t>
        <w:br w:clear="none"/>
      </w:r>
      <w:r>
        <w:rPr>
          <w:rStyle w:val="Text6"/>
        </w:rPr>
        <w:t xml:space="preserve"> </w:t>
        <w:br w:clear="none"/>
      </w:r>
      <w:r>
        <w:rPr>
          <w:rStyle w:val="Text13"/>
        </w:rPr>
        <w:t xml:space="preserve">=</w:t>
        <w:br w:clear="none"/>
      </w:r>
      <w:r>
        <w:rPr>
          <w:rStyle w:val="Text6"/>
        </w:rPr>
        <w:t xml:space="preserve"> </w:t>
        <w:br w:clear="none"/>
      </w:r>
      <w:r>
        <w:t xml:space="preserve">ap</w:t>
        <w:br w:clear="none"/>
      </w:r>
      <w:r>
        <w:rPr>
          <w:rStyle w:val="Text13"/>
        </w:rPr>
        <w:t xml:space="preserve">.</w:t>
        <w:br w:clear="none"/>
      </w:r>
      <w:r>
        <w:t xml:space="preserve">parse_args</w:t>
        <w:br w:clear="none"/>
      </w:r>
      <w:r>
        <w:rPr>
          <w:rStyle w:val="Text7"/>
        </w:rPr>
        <w:t xml:space="preserve">(</w:t>
        <w:br w:clear="none"/>
        <w:t xml:space="preserve">)</w:t>
        <w:br w:clear="none"/>
      </w:r>
      <w:r>
        <w:rPr>
          <w:rStyle w:val="Text6"/>
        </w:rPr>
        <w:t xml:space="preserve"/>
        <w:br w:clear="none"/>
      </w:r>
      <w:r>
        <w:rPr>
          <w:rStyle w:val="Text10"/>
        </w:rPr>
        <w:t xml:space="preserve">if</w:t>
        <w:br w:clear="none"/>
      </w:r>
      <w:r>
        <w:rPr>
          <w:rStyle w:val="Text6"/>
        </w:rPr>
        <w:t xml:space="preserve"> </w:t>
        <w:br w:clear="none"/>
      </w:r>
      <w:r>
        <w:t xml:space="preserve">ns</w:t>
        <w:br w:clear="none"/>
      </w:r>
      <w:r>
        <w:rPr>
          <w:rStyle w:val="Text13"/>
        </w:rPr>
        <w:t xml:space="preserve">.</w:t>
        <w:br w:clear="none"/>
      </w:r>
      <w:r>
        <w:t xml:space="preserve">formal</w:t>
        <w:br w:clear="none"/>
      </w:r>
      <w:r>
        <w:rPr>
          <w:rStyle w:val="Text7"/>
        </w:rPr>
        <w:t xml:space="preserve">:</w:t>
        <w:br w:clear="none"/>
      </w:r>
      <w:r>
        <w:rPr>
          <w:rStyle w:val="Text6"/>
        </w:rPr>
        <w:t xml:space="preserve"/>
        <w:br w:clear="none"/>
        <w:t xml:space="preserve">    </w:t>
        <w:br w:clear="none"/>
      </w:r>
      <w:r>
        <w:t xml:space="preserve">greet</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Most felicitous salutations, o </w:t>
        <w:br w:clear="none"/>
      </w:r>
      <w:r>
        <w:rPr>
          <w:rStyle w:val="Text32"/>
        </w:rPr>
        <w:t xml:space="preserve">{}</w:t>
        <w:br w:clear="none"/>
      </w:r>
      <w:r>
        <w:rPr>
          <w:rStyle w:val="Text8"/>
        </w:rPr>
        <w:t xml:space="preserve">.</w:t>
        <w:br w:clear="none"/>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t xml:space="preserve">greet</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Hello, </w:t>
        <w:br w:clear="none"/>
      </w:r>
      <w:r>
        <w:rPr>
          <w:rStyle w:val="Text32"/>
        </w:rPr>
        <w:t xml:space="preserve">{}</w:t>
        <w:br w:clear="none"/>
      </w:r>
      <w:r>
        <w:rPr>
          <w:rStyle w:val="Text8"/>
        </w:rPr>
        <w:t xml:space="preserve">!</w:t>
        <w:br w:clear="none"/>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greet</w:t>
        <w:br w:clear="none"/>
      </w:r>
      <w:r>
        <w:rPr>
          <w:rStyle w:val="Text13"/>
        </w:rPr>
        <w:t xml:space="preserve">.</w:t>
        <w:br w:clear="none"/>
      </w:r>
      <w:r>
        <w:t xml:space="preserve">format</w:t>
        <w:br w:clear="none"/>
      </w:r>
      <w:r>
        <w:rPr>
          <w:rStyle w:val="Text7"/>
        </w:rPr>
        <w:t xml:space="preserve">(</w:t>
        <w:br w:clear="none"/>
      </w:r>
      <w:r>
        <w:t xml:space="preserve">ns</w:t>
        <w:br w:clear="none"/>
      </w:r>
      <w:r>
        <w:rPr>
          <w:rStyle w:val="Text13"/>
        </w:rPr>
        <w:t xml:space="preserve">.</w:t>
        <w:br w:clear="none"/>
      </w:r>
      <w:r>
        <w:t xml:space="preserve">who</w:t>
        <w:br w:clear="none"/>
      </w:r>
      <w:r>
        <w:rPr>
          <w:rStyle w:val="Text7"/>
        </w:rPr>
        <w:t xml:space="preserve">)</w:t>
        <w:br w:clear="none"/>
        <w:t xml:space="preserve">)</w:t>
        <w:br w:clear="none"/>
      </w:r>
    </w:p>
    <w:p>
      <w:pPr>
        <w:pStyle w:val="Para 086"/>
      </w:pPr>
      <w:r>
        <w:rPr>
          <w:rStyle w:val="Text12"/>
        </w:rPr>
        <w:t xml:space="preserve">Now, </w:t>
      </w:r>
      <w:r>
        <w:rPr>
          <w:rStyle w:val="Text5"/>
        </w:rPr>
        <w:t>python</w:t>
      </w:r>
      <w:r>
        <w:rPr>
          <w:rStyle w:val="Text12"/>
        </w:rPr>
        <w:t xml:space="preserve"> </w:t>
      </w:r>
      <w:r>
        <w:rPr>
          <w:rStyle w:val="Text5"/>
        </w:rPr>
        <w:t>greet.py</w:t>
      </w:r>
      <w:r>
        <w:rPr>
          <w:rStyle w:val="Text12"/>
        </w:rPr>
        <w:t xml:space="preserve"> prints </w:t>
      </w:r>
      <w:r>
        <w:t>Hello,</w:t>
      </w:r>
      <w:r>
        <w:rPr>
          <w:rStyle w:val="Text12"/>
        </w:rPr>
        <w:t xml:space="preserve"> </w:t>
      </w:r>
      <w:r>
        <w:t>World!</w:t>
      </w:r>
      <w:r>
        <w:rPr>
          <w:rStyle w:val="Text12"/>
        </w:rPr>
        <w:t xml:space="preserve">, while </w:t>
      </w:r>
      <w:r>
        <w:rPr>
          <w:rStyle w:val="Text5"/>
        </w:rPr>
        <w:t>python</w:t>
      </w:r>
      <w:r>
        <w:rPr>
          <w:rStyle w:val="Text12"/>
        </w:rPr>
        <w:t xml:space="preserve"> </w:t>
      </w:r>
      <w:r>
        <w:rPr>
          <w:rStyle w:val="Text5"/>
        </w:rPr>
        <w:t>greet.py</w:t>
      </w:r>
      <w:r>
        <w:rPr>
          <w:rStyle w:val="Text12"/>
        </w:rPr>
        <w:t xml:space="preserve"> </w:t>
      </w:r>
      <w:r>
        <w:rPr>
          <w:rStyle w:val="Text5"/>
        </w:rPr>
        <w:t>--formal Cornelia</w:t>
      </w:r>
      <w:r>
        <w:rPr>
          <w:rStyle w:val="Text12"/>
        </w:rPr>
        <w:t xml:space="preserve"> prints </w:t>
      </w:r>
      <w:r>
        <w:t>Most felicitous salutations, o Cornelia</w:t>
      </w:r>
      <w:r>
        <w:rPr>
          <w:rStyle w:val="Text12"/>
        </w:rPr>
        <w:t>.</w:t>
      </w:r>
      <w:r>
        <w:rPr>
          <w:rStyle w:val="Text115"/>
        </w:rPr>
        <w:bookmarkStart w:id="2204" w:name="idm45965213903168"/>
        <w:t/>
        <w:bookmarkEnd w:id="2204"/>
      </w:r>
    </w:p>
    <w:p>
      <w:bookmarkStart w:id="2205" w:name="The_itertools_Module__The_iterto"/>
      <w:pPr>
        <w:keepNext/>
        <w:pStyle w:val="Heading 1"/>
      </w:pPr>
      <w:r>
        <w:t>The itertools Module</w:t>
      </w:r>
      <w:bookmarkEnd w:id="2205"/>
    </w:p>
    <w:p>
      <w:pPr>
        <w:pStyle w:val="Normal"/>
      </w:pPr>
      <w:r>
        <w:t>The</w:t>
      </w:r>
      <w:r>
        <w:rPr>
          <w:rStyle w:val="Text111"/>
        </w:rPr>
        <w:bookmarkStart w:id="2206" w:name="SLiter08"/>
        <w:t/>
        <w:bookmarkEnd w:id="2206"/>
        <w:bookmarkStart w:id="2207" w:name="itermod08"/>
        <w:t/>
        <w:bookmarkEnd w:id="2207"/>
      </w:r>
      <w:r>
        <w:t xml:space="preserve"> </w:t>
      </w:r>
      <w:r>
        <w:rPr>
          <w:rStyle w:val="Text0"/>
        </w:rPr>
        <w:t>itertools</w:t>
      </w:r>
      <w:r>
        <w:t xml:space="preserve"> module offers high-performance building blocks to build and manipulate iterators. To handle long processions of items, iterators are often better than lists, thanks to the iterators’ intrinsic</w:t>
      </w:r>
      <w:r>
        <w:rPr>
          <w:rStyle w:val="Text111"/>
        </w:rPr>
        <w:bookmarkStart w:id="2208" w:name="idm45965213852976"/>
        <w:t/>
        <w:bookmarkEnd w:id="2208"/>
      </w:r>
      <w:r>
        <w:t xml:space="preserve"> “lazy evaluation” approach: an iterator produces items one at a time, as needed, while all items of a list (or other sequence) must be in memory at the same time. This approach even makes it feasible to build and use unbounded iterators, while lists must always have finite numbers of items (since any machine has a finite amount of memory).</w:t>
      </w:r>
    </w:p>
    <w:p>
      <w:pPr>
        <w:pStyle w:val="Normal"/>
      </w:pPr>
      <w:hyperlink w:anchor="Table_8_10__Functions_and_attrib">
        <w:r>
          <w:rPr>
            <w:rStyle w:val="Text1"/>
          </w:rPr>
          <w:t>Table 8-10</w:t>
        </w:r>
      </w:hyperlink>
      <w:r>
        <w:t xml:space="preserve"> covers the most frequently used attributes of </w:t>
      </w:r>
      <w:r>
        <w:rPr>
          <w:rStyle w:val="Text0"/>
        </w:rPr>
        <w:t>itertools</w:t>
      </w:r>
      <w:r>
        <w:t xml:space="preserve">; each of them is an iterator type, which you call to get an instance of the type in question, or a factory function behaving similarly. See the </w:t>
      </w:r>
      <w:hyperlink r:id="rId317">
        <w:r>
          <w:rPr>
            <w:rStyle w:val="Text1"/>
          </w:rPr>
          <w:t>online docs</w:t>
        </w:r>
      </w:hyperlink>
      <w:r>
        <w:t xml:space="preserve"> for more </w:t>
      </w:r>
      <w:r>
        <w:rPr>
          <w:rStyle w:val="Text0"/>
        </w:rPr>
        <w:t>itertools</w:t>
      </w:r>
      <w:r>
        <w:t xml:space="preserve"> attributes, including</w:t>
      </w:r>
      <w:r>
        <w:rPr>
          <w:rStyle w:val="Text111"/>
        </w:rPr>
        <w:bookmarkStart w:id="2209" w:name="idm45965213848496"/>
        <w:t/>
        <w:bookmarkEnd w:id="2209"/>
        <w:bookmarkStart w:id="2210" w:name="idm45965213847360"/>
        <w:t/>
        <w:bookmarkEnd w:id="2210"/>
      </w:r>
      <w:r>
        <w:t xml:space="preserve"> </w:t>
      </w:r>
      <w:r>
        <w:rPr>
          <w:rStyle w:val="Text4"/>
        </w:rPr>
        <w:t>combinatorial</w:t>
      </w:r>
      <w:r>
        <w:t xml:space="preserve"> generators for permutations, combinations, and Cartesian products, as well as a useful taxonomy of </w:t>
      </w:r>
      <w:r>
        <w:rPr>
          <w:rStyle w:val="Text0"/>
        </w:rPr>
        <w:t>itertools</w:t>
      </w:r>
      <w:r>
        <w:t xml:space="preserve"> attributes.</w:t>
      </w:r>
    </w:p>
    <w:p>
      <w:pPr>
        <w:pStyle w:val="Normal"/>
      </w:pPr>
      <w:r>
        <w:t xml:space="preserve">The online docs also offer recipes describing ways to combine and use </w:t>
      </w:r>
      <w:r>
        <w:rPr>
          <w:rStyle w:val="Text0"/>
        </w:rPr>
        <w:t>itertools</w:t>
      </w:r>
      <w:r>
        <w:t xml:space="preserve"> attributes. The recipes assume you have </w:t>
      </w:r>
      <w:r>
        <w:rPr>
          <w:rStyle w:val="Text5"/>
        </w:rPr>
        <w:t>from</w:t>
      </w:r>
      <w:r>
        <w:t xml:space="preserve"> </w:t>
      </w:r>
      <w:r>
        <w:rPr>
          <w:rStyle w:val="Text0"/>
        </w:rPr>
        <w:t>itertools</w:t>
      </w:r>
      <w:r>
        <w:t xml:space="preserve"> </w:t>
      </w:r>
      <w:r>
        <w:rPr>
          <w:rStyle w:val="Text5"/>
        </w:rPr>
        <w:t>import</w:t>
      </w:r>
      <w:r>
        <w:t xml:space="preserve"> </w:t>
      </w:r>
      <w:r>
        <w:rPr>
          <w:rStyle w:val="Text0"/>
        </w:rPr>
        <w:t>*</w:t>
      </w:r>
      <w:r>
        <w:t xml:space="preserve"> at the top of your module; this is </w:t>
      </w:r>
      <w:r>
        <w:rPr>
          <w:rStyle w:val="Text4"/>
        </w:rPr>
        <w:t>not</w:t>
      </w:r>
      <w:r>
        <w:t xml:space="preserve"> recommended use, just an assumption to make the recipes’ code more compact. It’s best to </w:t>
      </w:r>
      <w:r>
        <w:rPr>
          <w:rStyle w:val="Text5"/>
        </w:rPr>
        <w:t>import</w:t>
      </w:r>
      <w:r>
        <w:t xml:space="preserve"> </w:t>
      </w:r>
      <w:r>
        <w:rPr>
          <w:rStyle w:val="Text0"/>
        </w:rPr>
        <w:t>itertools</w:t>
      </w:r>
      <w:r>
        <w:t xml:space="preserve"> </w:t>
      </w:r>
      <w:r>
        <w:rPr>
          <w:rStyle w:val="Text5"/>
        </w:rPr>
        <w:t>as</w:t>
      </w:r>
      <w:r>
        <w:t xml:space="preserve"> </w:t>
      </w:r>
      <w:r>
        <w:rPr>
          <w:rStyle w:val="Text0"/>
        </w:rPr>
        <w:t>it</w:t>
      </w:r>
      <w:r>
        <w:t xml:space="preserve">, then use references such as </w:t>
      </w:r>
      <w:r>
        <w:rPr>
          <w:rStyle w:val="Text0"/>
        </w:rPr>
        <w:t>it</w:t>
        <w:t>.</w:t>
      </w:r>
      <w:r>
        <w:rPr>
          <w:rStyle w:val="Text3"/>
        </w:rPr>
        <w:t>something</w:t>
      </w:r>
      <w:r>
        <w:t xml:space="preserve"> rather than the more verbose </w:t>
      </w:r>
      <w:r>
        <w:rPr>
          <w:rStyle w:val="Text0"/>
        </w:rPr>
        <w:t>itertools</w:t>
        <w:t>.</w:t>
      </w:r>
      <w:r>
        <w:rPr>
          <w:rStyle w:val="Text3"/>
        </w:rPr>
        <w:t>something</w:t>
      </w:r>
      <w:r>
        <w:t>.</w:t>
      </w:r>
      <w:hyperlink w:anchor="6_Some_experts_recommend_from_it">
        <w:r>
          <w:rPr>
            <w:rStyle w:val="Text41"/>
          </w:rPr>
          <w:bookmarkStart w:id="2211" w:name="6_4"/>
          <w:t>6</w:t>
          <w:bookmarkEnd w:id="2211"/>
        </w:r>
      </w:hyperlink>
    </w:p>
    <w:tbl>
      <w:tblPr>
        <w:tblW w:type="auto" w:w="0"/>
      </w:tblPr>
      <w:tr>
        <w:tc>
          <w:tcPr>
            <w:tcW w:type="auto" w:w="0"/>
            <w:tcMar>
              <w:left w:type="dxa" w:w="200"/>
              <w:top w:type="dxa" w:w="200"/>
              <w:right w:type="dxa" w:w="200"/>
              <w:bottom w:type="dxa" w:w="200"/>
            </w:tcMar>
          </w:tcPr>
          <w:p>
            <w:bookmarkStart w:id="2212" w:name="Table_8_10__Functions_and_attrib"/>
            <w:pPr>
              <w:pStyle w:val="Para 011"/>
            </w:pPr>
            <w:r>
              <w:rPr>
                <w:rStyle w:val="Text117"/>
              </w:rPr>
              <w:t/>
            </w:r>
            <w:r>
              <w:t xml:space="preserve">Table 8-10. </w:t>
              <w:t xml:space="preserve">Functions and attributes of the </w:t>
            </w:r>
            <w:r>
              <w:rPr>
                <w:rStyle w:val="Text0"/>
              </w:rPr>
              <w:t>itertools</w:t>
            </w:r>
            <w:r>
              <w:t xml:space="preserve"> module</w:t>
            </w:r>
            <w:bookmarkEnd w:id="2212"/>
          </w:p>
          <w:p>
            <w:pPr>
              <w:pStyle w:val="Para 001"/>
            </w:pPr>
            <w:r>
              <w:t>accumulate</w:t>
            </w:r>
          </w:p>
        </w:tc>
        <w:tc>
          <w:tcPr>
            <w:tcW w:type="auto" w:w="0"/>
            <w:tcMar>
              <w:left w:type="dxa" w:w="200"/>
              <w:top w:type="dxa" w:w="200"/>
              <w:right w:type="dxa" w:w="200"/>
              <w:bottom w:type="dxa" w:w="200"/>
            </w:tcMar>
          </w:tcPr>
          <w:p>
            <w:pPr>
              <w:pStyle w:val="Para 002"/>
            </w:pPr>
            <w:r>
              <w:rPr>
                <w:rStyle w:val="Text0"/>
              </w:rPr>
              <w:t>accumulate(</w:t>
            </w:r>
            <w:r>
              <w:rPr>
                <w:rStyle w:val="Text3"/>
              </w:rPr>
              <w:t>seq</w:t>
            </w:r>
            <w:r>
              <w:rPr>
                <w:rStyle w:val="Text0"/>
              </w:rPr>
              <w:t>,</w:t>
            </w:r>
            <w:r>
              <w:t xml:space="preserve"> </w:t>
            </w:r>
            <w:r>
              <w:rPr>
                <w:rStyle w:val="Text3"/>
              </w:rPr>
              <w:t>func</w:t>
            </w:r>
            <w:r>
              <w:rPr>
                <w:rStyle w:val="Text0"/>
              </w:rPr>
              <w:t>, /[, initial</w:t>
            </w:r>
            <w:r>
              <w:rPr>
                <w:rStyle w:val="Text3"/>
              </w:rPr>
              <w:t>=init</w:t>
            </w:r>
            <w:r>
              <w:rPr>
                <w:rStyle w:val="Text0"/>
              </w:rPr>
              <w:t>])</w:t>
              <w:br w:clear="none"/>
            </w:r>
            <w:r>
              <w:t xml:space="preserve"> Similar</w:t>
            </w:r>
            <w:r>
              <w:rPr>
                <w:rStyle w:val="Text111"/>
              </w:rPr>
              <w:bookmarkStart w:id="2213" w:name="idm45965213821680"/>
              <w:t/>
              <w:bookmarkEnd w:id="2213"/>
            </w:r>
            <w:r>
              <w:t xml:space="preserve"> to </w:t>
            </w:r>
            <w:r>
              <w:rPr>
                <w:rStyle w:val="Text0"/>
              </w:rPr>
              <w:t>functools.reduce(</w:t>
            </w:r>
            <w:r>
              <w:rPr>
                <w:rStyle w:val="Text3"/>
              </w:rPr>
              <w:t>func</w:t>
            </w:r>
            <w:r>
              <w:rPr>
                <w:rStyle w:val="Text0"/>
              </w:rPr>
              <w:t>,</w:t>
            </w:r>
            <w:r>
              <w:t xml:space="preserve"> </w:t>
            </w:r>
            <w:r>
              <w:rPr>
                <w:rStyle w:val="Text3"/>
              </w:rPr>
              <w:t>seq</w:t>
            </w:r>
            <w:r>
              <w:rPr>
                <w:rStyle w:val="Text0"/>
              </w:rPr>
              <w:t>)</w:t>
            </w:r>
            <w:r>
              <w:t xml:space="preserve">, but returns an iterator of all the intermediate computed values, not just the final value. </w:t>
            </w:r>
            <w:r>
              <w:rPr>
                <w:rStyle w:val="Text34"/>
              </w:rPr>
              <w:t>3.8+</w:t>
            </w:r>
            <w:r>
              <w:t xml:space="preserve"> You can also pass an initial value </w:t>
            </w:r>
            <w:r>
              <w:rPr>
                <w:rStyle w:val="Text3"/>
              </w:rPr>
              <w:t>init</w:t>
            </w:r>
            <w:r>
              <w:t xml:space="preserve">, which works the same way as in </w:t>
            </w:r>
            <w:r>
              <w:rPr>
                <w:rStyle w:val="Text0"/>
              </w:rPr>
              <w:t>functools.reduce</w:t>
            </w:r>
            <w:r>
              <w:t xml:space="preserve"> (see </w:t>
            </w:r>
            <w:hyperlink w:anchor="Table_8_7__Functions_and_attribu">
              <w:r>
                <w:rPr>
                  <w:rStyle w:val="Text1"/>
                </w:rPr>
                <w:t>Table 8-7</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chain</w:t>
            </w:r>
          </w:p>
        </w:tc>
        <w:tc>
          <w:tcPr>
            <w:tcW w:type="auto" w:w="0"/>
            <w:shd w:val="clear" w:color="auto" w:fill="EEF2F6"/>
            <w:tcMar>
              <w:left w:type="dxa" w:w="200"/>
              <w:top w:type="dxa" w:w="200"/>
              <w:right w:type="dxa" w:w="200"/>
              <w:bottom w:type="dxa" w:w="200"/>
            </w:tcMar>
          </w:tcPr>
          <w:p>
            <w:pPr>
              <w:pStyle w:val="Para 002"/>
            </w:pPr>
            <w:r>
              <w:rPr>
                <w:rStyle w:val="Text0"/>
              </w:rPr>
              <w:t>chain(</w:t>
            </w:r>
            <w:r>
              <w:rPr>
                <w:rStyle w:val="Text3"/>
              </w:rPr>
              <w:t>*iterables</w:t>
            </w:r>
            <w:r>
              <w:rPr>
                <w:rStyle w:val="Text0"/>
              </w:rPr>
              <w:t>)</w:t>
              <w:br w:clear="none"/>
            </w:r>
            <w:r>
              <w:t xml:space="preserve"> Yields</w:t>
            </w:r>
            <w:r>
              <w:rPr>
                <w:rStyle w:val="Text111"/>
              </w:rPr>
              <w:bookmarkStart w:id="2214" w:name="idm45965213811856"/>
              <w:t/>
              <w:bookmarkEnd w:id="2214"/>
            </w:r>
            <w:r>
              <w:t xml:space="preserve"> items from the first argument, then items from the second argument, and so on, until the end of the last argument. This is just like the generator expression: </w:t>
            </w:r>
          </w:p>
          <w:p>
            <w:pPr>
              <w:pStyle w:val="Para 053"/>
            </w:pPr>
            <w:r>
              <w:rPr>
                <w:rStyle w:val="Text116"/>
              </w:rPr>
              <w:t xml:space="preserve"/>
              <w:br w:clear="none"/>
            </w:r>
            <w:r>
              <w:rPr>
                <w:rStyle w:val="Text19"/>
              </w:rPr>
              <w:t xml:space="preserve">(</w:t>
              <w:br w:clear="none"/>
            </w:r>
            <w:r>
              <w:t xml:space="preserve">it</w:t>
              <w:br w:clear="none"/>
            </w:r>
            <w:r>
              <w:rPr>
                <w:rStyle w:val="Text11"/>
              </w:rPr>
              <w:t xml:space="preserve"> </w:t>
              <w:br w:clear="none"/>
            </w:r>
            <w:r>
              <w:rPr>
                <w:rStyle w:val="Text22"/>
              </w:rPr>
              <w:t xml:space="preserve">for</w:t>
              <w:br w:clear="none"/>
            </w:r>
            <w:r>
              <w:rPr>
                <w:rStyle w:val="Text11"/>
              </w:rPr>
              <w:t xml:space="preserve"> </w:t>
              <w:br w:clear="none"/>
            </w:r>
            <w:r>
              <w:t xml:space="preserve">iterable</w:t>
              <w:br w:clear="none"/>
            </w:r>
            <w:r>
              <w:rPr>
                <w:rStyle w:val="Text11"/>
              </w:rPr>
              <w:t xml:space="preserve"> </w:t>
              <w:br w:clear="none"/>
            </w:r>
            <w:r>
              <w:rPr>
                <w:rStyle w:val="Text51"/>
              </w:rPr>
              <w:t xml:space="preserve">in</w:t>
              <w:br w:clear="none"/>
            </w:r>
            <w:r>
              <w:rPr>
                <w:rStyle w:val="Text11"/>
              </w:rPr>
              <w:t xml:space="preserve"> </w:t>
              <w:br w:clear="none"/>
            </w:r>
            <w:r>
              <w:t xml:space="preserve">iterables</w:t>
              <w:br w:clear="none"/>
            </w:r>
            <w:r>
              <w:rPr>
                <w:rStyle w:val="Text11"/>
              </w:rPr>
              <w:t xml:space="preserve"> </w:t>
              <w:br w:clear="none"/>
            </w:r>
            <w:r>
              <w:rPr>
                <w:rStyle w:val="Text22"/>
              </w:rPr>
              <w:t xml:space="preserve">for</w:t>
              <w:br w:clear="none"/>
            </w:r>
            <w:r>
              <w:rPr>
                <w:rStyle w:val="Text11"/>
              </w:rPr>
              <w:t xml:space="preserve"> </w:t>
              <w:br w:clear="none"/>
            </w:r>
            <w:r>
              <w:t xml:space="preserve">it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r>
              <w:rPr>
                <w:rStyle w:val="Text19"/>
              </w:rPr>
              <w:t xml:space="preserve">)</w:t>
              <w:br w:clear="none"/>
            </w:r>
          </w:p>
        </w:tc>
      </w:tr>
    </w:tbl>
    <w:tbl>
      <w:tblPr>
        <w:tblW w:type="auto" w:w="0"/>
      </w:tblPr>
      <w:tr>
        <w:tc>
          <w:tcPr>
            <w:tcW w:type="auto" w:w="0"/>
            <w:tcMar>
              <w:left w:type="dxa" w:w="200"/>
              <w:top w:type="dxa" w:w="200"/>
              <w:right w:type="dxa" w:w="200"/>
              <w:bottom w:type="dxa" w:w="200"/>
            </w:tcMar>
          </w:tcPr>
          <w:p>
            <w:pPr>
              <w:pStyle w:val="Para 001"/>
            </w:pPr>
            <w:r>
              <w:t>chain.from_ iterable</w:t>
            </w:r>
          </w:p>
        </w:tc>
        <w:tc>
          <w:tcPr>
            <w:tcW w:type="auto" w:w="0"/>
            <w:tcMar>
              <w:left w:type="dxa" w:w="200"/>
              <w:top w:type="dxa" w:w="200"/>
              <w:right w:type="dxa" w:w="200"/>
              <w:bottom w:type="dxa" w:w="200"/>
            </w:tcMar>
          </w:tcPr>
          <w:p>
            <w:pPr>
              <w:pStyle w:val="Para 002"/>
            </w:pPr>
            <w:r>
              <w:rPr>
                <w:rStyle w:val="Text0"/>
              </w:rPr>
              <w:t>chain.from_iterable(</w:t>
            </w:r>
            <w:r>
              <w:rPr>
                <w:rStyle w:val="Text3"/>
              </w:rPr>
              <w:t>iterables</w:t>
            </w:r>
            <w:r>
              <w:rPr>
                <w:rStyle w:val="Text0"/>
              </w:rPr>
              <w:t>, /)</w:t>
              <w:br w:clear="none"/>
            </w:r>
            <w:r>
              <w:t xml:space="preserve"> Yields</w:t>
            </w:r>
            <w:r>
              <w:rPr>
                <w:rStyle w:val="Text111"/>
              </w:rPr>
              <w:bookmarkStart w:id="2215" w:name="idm45965213791856"/>
              <w:t/>
              <w:bookmarkEnd w:id="2215"/>
            </w:r>
            <w:r>
              <w:t xml:space="preserve"> items from the iterables in the argument, in order, just like the genexp: </w:t>
            </w:r>
          </w:p>
          <w:p>
            <w:pPr>
              <w:pStyle w:val="Para 051"/>
            </w:pPr>
            <w:r>
              <w:rPr>
                <w:rStyle w:val="Text116"/>
              </w:rPr>
              <w:t xml:space="preserve"/>
              <w:br w:clear="none"/>
            </w:r>
            <w:r>
              <w:rPr>
                <w:rStyle w:val="Text19"/>
              </w:rPr>
              <w:t xml:space="preserve">(</w:t>
              <w:br w:clear="none"/>
            </w:r>
            <w:r>
              <w:t xml:space="preserve">it</w:t>
              <w:br w:clear="none"/>
            </w:r>
            <w:r>
              <w:rPr>
                <w:rStyle w:val="Text11"/>
              </w:rPr>
              <w:t xml:space="preserve"> </w:t>
              <w:br w:clear="none"/>
            </w:r>
            <w:r>
              <w:rPr>
                <w:rStyle w:val="Text22"/>
              </w:rPr>
              <w:t xml:space="preserve">for</w:t>
              <w:br w:clear="none"/>
            </w:r>
            <w:r>
              <w:rPr>
                <w:rStyle w:val="Text11"/>
              </w:rPr>
              <w:t xml:space="preserve"> </w:t>
              <w:br w:clear="none"/>
            </w:r>
            <w:r>
              <w:t xml:space="preserve">iterable</w:t>
              <w:br w:clear="none"/>
            </w:r>
            <w:r>
              <w:rPr>
                <w:rStyle w:val="Text11"/>
              </w:rPr>
              <w:t xml:space="preserve"> </w:t>
              <w:br w:clear="none"/>
            </w:r>
            <w:r>
              <w:rPr>
                <w:rStyle w:val="Text51"/>
              </w:rPr>
              <w:t xml:space="preserve">in</w:t>
              <w:br w:clear="none"/>
            </w:r>
            <w:r>
              <w:rPr>
                <w:rStyle w:val="Text11"/>
              </w:rPr>
              <w:t xml:space="preserve"> </w:t>
              <w:br w:clear="none"/>
            </w:r>
            <w:r>
              <w:t xml:space="preserve">iterables</w:t>
              <w:br w:clear="none"/>
            </w:r>
            <w:r>
              <w:rPr>
                <w:rStyle w:val="Text11"/>
              </w:rPr>
              <w:t xml:space="preserve"> </w:t>
              <w:br w:clear="none"/>
            </w:r>
            <w:r>
              <w:rPr>
                <w:rStyle w:val="Text22"/>
              </w:rPr>
              <w:t xml:space="preserve">for</w:t>
              <w:br w:clear="none"/>
            </w:r>
            <w:r>
              <w:rPr>
                <w:rStyle w:val="Text11"/>
              </w:rPr>
              <w:t xml:space="preserve"> </w:t>
              <w:br w:clear="none"/>
            </w:r>
            <w:r>
              <w:t xml:space="preserve">it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r>
              <w:rPr>
                <w:rStyle w:val="Text19"/>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compress</w:t>
            </w:r>
          </w:p>
        </w:tc>
        <w:tc>
          <w:tcPr>
            <w:tcW w:type="auto" w:w="0"/>
            <w:shd w:val="clear" w:color="auto" w:fill="EEF2F6"/>
            <w:tcMar>
              <w:left w:type="dxa" w:w="200"/>
              <w:top w:type="dxa" w:w="200"/>
              <w:right w:type="dxa" w:w="200"/>
              <w:bottom w:type="dxa" w:w="200"/>
            </w:tcMar>
          </w:tcPr>
          <w:p>
            <w:pPr>
              <w:pStyle w:val="Para 002"/>
            </w:pPr>
            <w:r>
              <w:rPr>
                <w:rStyle w:val="Text0"/>
              </w:rPr>
              <w:t>compress(</w:t>
            </w:r>
            <w:r>
              <w:rPr>
                <w:rStyle w:val="Text3"/>
              </w:rPr>
              <w:t>data</w:t>
            </w:r>
            <w:r>
              <w:rPr>
                <w:rStyle w:val="Text0"/>
              </w:rPr>
              <w:t>,</w:t>
            </w:r>
            <w:r>
              <w:t xml:space="preserve"> </w:t>
            </w:r>
            <w:r>
              <w:rPr>
                <w:rStyle w:val="Text3"/>
              </w:rPr>
              <w:t>conditions</w:t>
            </w:r>
            <w:r>
              <w:rPr>
                <w:rStyle w:val="Text0"/>
              </w:rPr>
              <w:t>, /)</w:t>
              <w:br w:clear="none"/>
            </w:r>
            <w:r>
              <w:t xml:space="preserve"> Yields</w:t>
            </w:r>
            <w:r>
              <w:rPr>
                <w:rStyle w:val="Text111"/>
              </w:rPr>
              <w:bookmarkStart w:id="2216" w:name="idm45965213748736"/>
              <w:t/>
              <w:bookmarkEnd w:id="2216"/>
            </w:r>
            <w:r>
              <w:t xml:space="preserve"> each item from </w:t>
            </w:r>
            <w:r>
              <w:rPr>
                <w:rStyle w:val="Text3"/>
              </w:rPr>
              <w:t>data</w:t>
            </w:r>
            <w:r>
              <w:t xml:space="preserve"> corresponding to a true item in </w:t>
            </w:r>
            <w:r>
              <w:rPr>
                <w:rStyle w:val="Text3"/>
              </w:rPr>
              <w:t>conditions</w:t>
            </w:r>
            <w:r>
              <w:t xml:space="preserve">, just like the genexp: </w:t>
            </w:r>
          </w:p>
          <w:p>
            <w:pPr>
              <w:pStyle w:val="Para 053"/>
            </w:pPr>
            <w:r>
              <w:rPr>
                <w:rStyle w:val="Text116"/>
              </w:rPr>
              <w:t xml:space="preserve"/>
              <w:br w:clear="none"/>
            </w:r>
            <w:r>
              <w:rPr>
                <w:rStyle w:val="Text19"/>
              </w:rPr>
              <w:t xml:space="preserve">(</w:t>
              <w:br w:clear="none"/>
            </w:r>
            <w:r>
              <w:t xml:space="preserve">it</w:t>
              <w:br w:clear="none"/>
            </w:r>
            <w:r>
              <w:rPr>
                <w:rStyle w:val="Text11"/>
              </w:rPr>
              <w:t xml:space="preserve"> </w:t>
              <w:br w:clear="none"/>
            </w:r>
            <w:r>
              <w:rPr>
                <w:rStyle w:val="Text22"/>
              </w:rPr>
              <w:t xml:space="preserve">for</w:t>
              <w:br w:clear="none"/>
            </w:r>
            <w:r>
              <w:rPr>
                <w:rStyle w:val="Text11"/>
              </w:rPr>
              <w:t xml:space="preserve"> </w:t>
              <w:br w:clear="none"/>
            </w:r>
            <w:r>
              <w:t xml:space="preserve">it</w:t>
              <w:br w:clear="none"/>
            </w:r>
            <w:r>
              <w:rPr>
                <w:rStyle w:val="Text19"/>
              </w:rPr>
              <w:t xml:space="preserve">,</w:t>
              <w:br w:clear="none"/>
            </w:r>
            <w:r>
              <w:rPr>
                <w:rStyle w:val="Text11"/>
              </w:rPr>
              <w:t xml:space="preserve"> </w:t>
              <w:br w:clear="none"/>
            </w:r>
            <w:r>
              <w:t xml:space="preserve">cond</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zip</w:t>
              <w:br w:clear="none"/>
            </w:r>
            <w:r>
              <w:rPr>
                <w:rStyle w:val="Text19"/>
              </w:rPr>
              <w:t xml:space="preserve">(</w:t>
              <w:br w:clear="none"/>
            </w:r>
            <w:r>
              <w:t xml:space="preserve">data</w:t>
              <w:br w:clear="none"/>
            </w:r>
            <w:r>
              <w:rPr>
                <w:rStyle w:val="Text19"/>
              </w:rPr>
              <w:t xml:space="preserve">,</w:t>
              <w:br w:clear="none"/>
            </w:r>
            <w:r>
              <w:rPr>
                <w:rStyle w:val="Text11"/>
              </w:rPr>
              <w:t xml:space="preserve"> </w:t>
              <w:br w:clear="none"/>
            </w:r>
            <w:r>
              <w:t xml:space="preserve">conditions</w:t>
              <w:br w:clear="none"/>
            </w:r>
            <w:r>
              <w:rPr>
                <w:rStyle w:val="Text19"/>
              </w:rPr>
              <w:t xml:space="preserve">)</w:t>
              <w:br w:clear="none"/>
            </w:r>
            <w:r>
              <w:rPr>
                <w:rStyle w:val="Text11"/>
              </w:rPr>
              <w:t xml:space="preserve"> </w:t>
              <w:br w:clear="none"/>
            </w:r>
            <w:r>
              <w:rPr>
                <w:rStyle w:val="Text22"/>
              </w:rPr>
              <w:t xml:space="preserve">if</w:t>
              <w:br w:clear="none"/>
            </w:r>
            <w:r>
              <w:rPr>
                <w:rStyle w:val="Text11"/>
              </w:rPr>
              <w:t xml:space="preserve"> </w:t>
              <w:br w:clear="none"/>
            </w:r>
            <w:r>
              <w:t xml:space="preserve">cond</w:t>
              <w:br w:clear="none"/>
            </w:r>
            <w:r>
              <w:rPr>
                <w:rStyle w:val="Text19"/>
              </w:rPr>
              <w:t xml:space="preserve">)</w:t>
              <w:br w:clear="none"/>
            </w:r>
          </w:p>
        </w:tc>
      </w:tr>
    </w:tbl>
    <w:tbl>
      <w:tblPr>
        <w:tblW w:type="auto" w:w="0"/>
      </w:tblPr>
      <w:tr>
        <w:tc>
          <w:tcPr>
            <w:tcW w:type="auto" w:w="0"/>
            <w:tcMar>
              <w:left w:type="dxa" w:w="200"/>
              <w:top w:type="dxa" w:w="200"/>
              <w:right w:type="dxa" w:w="200"/>
              <w:bottom w:type="dxa" w:w="200"/>
            </w:tcMar>
          </w:tcPr>
          <w:p>
            <w:pPr>
              <w:pStyle w:val="Para 001"/>
            </w:pPr>
            <w:r>
              <w:t>count</w:t>
            </w:r>
          </w:p>
        </w:tc>
        <w:tc>
          <w:tcPr>
            <w:tcW w:type="auto" w:w="0"/>
            <w:tcMar>
              <w:left w:type="dxa" w:w="200"/>
              <w:top w:type="dxa" w:w="200"/>
              <w:right w:type="dxa" w:w="200"/>
              <w:bottom w:type="dxa" w:w="200"/>
            </w:tcMar>
          </w:tcPr>
          <w:p>
            <w:pPr>
              <w:pStyle w:val="Para 002"/>
            </w:pPr>
            <w:r>
              <w:rPr>
                <w:rStyle w:val="Text0"/>
              </w:rPr>
              <w:t>count(start=0, step=1)</w:t>
              <w:br w:clear="none"/>
            </w:r>
            <w:r>
              <w:t xml:space="preserve"> Yields</w:t>
            </w:r>
            <w:r>
              <w:rPr>
                <w:rStyle w:val="Text111"/>
              </w:rPr>
              <w:bookmarkStart w:id="2217" w:name="idm45965213701808"/>
              <w:t/>
              <w:bookmarkEnd w:id="2217"/>
            </w:r>
            <w:r>
              <w:t xml:space="preserve"> consecutive integers starting from </w:t>
            </w:r>
            <w:r>
              <w:rPr>
                <w:rStyle w:val="Text3"/>
              </w:rPr>
              <w:t>start</w:t>
            </w:r>
            <w:r>
              <w:t xml:space="preserve">, just like the generator: </w:t>
            </w:r>
          </w:p>
          <w:p>
            <w:pPr>
              <w:pStyle w:val="Para 057"/>
            </w:pPr>
            <w:r>
              <w:rPr>
                <w:rStyle w:val="Text104"/>
              </w:rPr>
              <w:t xml:space="preserve"/>
              <w:br w:clear="none"/>
            </w:r>
            <w:r>
              <w:rPr>
                <w:rStyle w:val="Text10"/>
              </w:rPr>
              <w:t xml:space="preserve">def</w:t>
              <w:br w:clear="none"/>
            </w:r>
            <w:r>
              <w:t xml:space="preserve"> </w:t>
              <w:br w:clear="none"/>
            </w:r>
            <w:r>
              <w:rPr>
                <w:rStyle w:val="Text18"/>
              </w:rPr>
              <w:t xml:space="preserve">count</w:t>
              <w:br w:clear="none"/>
            </w:r>
            <w:r>
              <w:rPr>
                <w:rStyle w:val="Text7"/>
              </w:rPr>
              <w:t xml:space="preserve">(</w:t>
              <w:br w:clear="none"/>
            </w:r>
            <w:r>
              <w:rPr>
                <w:rStyle w:val="Text9"/>
              </w:rPr>
              <w:t xml:space="preserve">start</w:t>
              <w:br w:clear="none"/>
            </w:r>
            <w:r>
              <w:rPr>
                <w:rStyle w:val="Text13"/>
              </w:rPr>
              <w:t xml:space="preserve">=</w:t>
              <w:br w:clear="none"/>
            </w:r>
            <w:r>
              <w:rPr>
                <w:rStyle w:val="Text27"/>
              </w:rPr>
              <w:t xml:space="preserve">0</w:t>
              <w:br w:clear="none"/>
            </w:r>
            <w:r>
              <w:rPr>
                <w:rStyle w:val="Text7"/>
              </w:rPr>
              <w:t xml:space="preserve">,</w:t>
              <w:br w:clear="none"/>
            </w:r>
            <w:r>
              <w:t xml:space="preserve"> </w:t>
              <w:br w:clear="none"/>
            </w:r>
            <w:r>
              <w:rPr>
                <w:rStyle w:val="Text9"/>
              </w:rPr>
              <w:t xml:space="preserve">step</w:t>
              <w:br w:clear="none"/>
            </w:r>
            <w:r>
              <w:rPr>
                <w:rStyle w:val="Text13"/>
              </w:rPr>
              <w:t xml:space="preserve">=</w:t>
              <w:br w:clear="none"/>
            </w:r>
            <w:r>
              <w:rPr>
                <w:rStyle w:val="Text27"/>
              </w:rPr>
              <w:t xml:space="preserve">1</w:t>
              <w:br w:clear="none"/>
            </w:r>
            <w:r>
              <w:rPr>
                <w:rStyle w:val="Text7"/>
              </w:rPr>
              <w:t xml:space="preserve">)</w:t>
              <w:br w:clear="none"/>
              <w:t xml:space="preserve">:</w:t>
              <w:br w:clear="none"/>
            </w:r>
            <w:r>
              <w:t xml:space="preserve"/>
              <w:br w:clear="none"/>
              <w:t xml:space="preserve">    </w:t>
              <w:br w:clear="none"/>
            </w:r>
            <w:r>
              <w:rPr>
                <w:rStyle w:val="Text10"/>
              </w:rPr>
              <w:t xml:space="preserve">while</w:t>
              <w:br w:clear="none"/>
            </w:r>
            <w:r>
              <w:rPr>
                <w:rStyle w:val="Text37"/>
              </w:rPr>
              <w:t xml:space="preserve"> </w:t>
              <w:br w:clear="none"/>
            </w:r>
            <w:r>
              <w:rPr>
                <w:rStyle w:val="Text10"/>
              </w:rPr>
              <w:t xml:space="preserve">True</w:t>
              <w:br w:clear="none"/>
            </w:r>
            <w:r>
              <w:rPr>
                <w:rStyle w:val="Text7"/>
              </w:rPr>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start</w:t>
              <w:br w:clear="none"/>
            </w:r>
            <w:r>
              <w:t xml:space="preserve"/>
              <w:br w:clear="none"/>
              <w:t xml:space="preserve">        </w:t>
              <w:br w:clear="none"/>
            </w:r>
            <w:r>
              <w:rPr>
                <w:rStyle w:val="Text9"/>
              </w:rPr>
              <w:t xml:space="preserve">start</w:t>
              <w:br w:clear="none"/>
            </w:r>
            <w:r>
              <w:t xml:space="preserve"> </w:t>
              <w:br w:clear="none"/>
            </w:r>
            <w:r>
              <w:rPr>
                <w:rStyle w:val="Text13"/>
              </w:rPr>
              <w:t xml:space="preserve">+</w:t>
              <w:br w:clear="none"/>
              <w:t xml:space="preserve">=</w:t>
              <w:br w:clear="none"/>
            </w:r>
            <w:r>
              <w:t xml:space="preserve"> </w:t>
              <w:br w:clear="none"/>
            </w:r>
            <w:r>
              <w:rPr>
                <w:rStyle w:val="Text9"/>
              </w:rPr>
              <w:t xml:space="preserve">step</w:t>
              <w:br w:clear="none"/>
            </w:r>
          </w:p>
          <w:p>
            <w:pPr>
              <w:pStyle w:val="Para 022"/>
            </w:pPr>
            <w:r>
              <w:rPr>
                <w:rStyle w:val="Text0"/>
              </w:rPr>
              <w:t>count</w:t>
            </w:r>
            <w:r>
              <w:t xml:space="preserve"> returns an unending iterator, so use it carefully, always ensuring you explicitly terminate any loop over it.</w:t>
            </w:r>
          </w:p>
        </w:tc>
      </w:tr>
    </w:tbl>
    <w:tbl>
      <w:tblPr>
        <w:tblW w:type="auto" w:w="0"/>
      </w:tblPr>
      <w:tr>
        <w:tc>
          <w:tcPr>
            <w:tcW w:type="auto" w:w="0"/>
            <w:shd w:val="clear" w:color="auto" w:fill="EEF2F6"/>
            <w:tcMar>
              <w:left w:type="dxa" w:w="200"/>
              <w:top w:type="dxa" w:w="200"/>
              <w:right w:type="dxa" w:w="200"/>
              <w:bottom w:type="dxa" w:w="200"/>
            </w:tcMar>
          </w:tcPr>
          <w:p>
            <w:pPr>
              <w:pStyle w:val="Para 001"/>
            </w:pPr>
            <w:r>
              <w:t>cycle</w:t>
            </w:r>
          </w:p>
        </w:tc>
        <w:tc>
          <w:tcPr>
            <w:tcW w:type="auto" w:w="0"/>
            <w:shd w:val="clear" w:color="auto" w:fill="EEF2F6"/>
            <w:tcMar>
              <w:left w:type="dxa" w:w="200"/>
              <w:top w:type="dxa" w:w="200"/>
              <w:right w:type="dxa" w:w="200"/>
              <w:bottom w:type="dxa" w:w="200"/>
            </w:tcMar>
          </w:tcPr>
          <w:p>
            <w:pPr>
              <w:pStyle w:val="Para 002"/>
            </w:pPr>
            <w:r>
              <w:rPr>
                <w:rStyle w:val="Text0"/>
              </w:rPr>
              <w:t>cycle(</w:t>
            </w:r>
            <w:r>
              <w:rPr>
                <w:rStyle w:val="Text3"/>
              </w:rPr>
              <w:t>iterable</w:t>
            </w:r>
            <w:r>
              <w:rPr>
                <w:rStyle w:val="Text0"/>
              </w:rPr>
              <w:t>, /)</w:t>
              <w:br w:clear="none"/>
            </w:r>
            <w:r>
              <w:t xml:space="preserve"> Yields</w:t>
            </w:r>
            <w:r>
              <w:rPr>
                <w:rStyle w:val="Text111"/>
              </w:rPr>
              <w:bookmarkStart w:id="2218" w:name="idm45965213650128"/>
              <w:t/>
              <w:bookmarkEnd w:id="2218"/>
            </w:r>
            <w:r>
              <w:t xml:space="preserve"> each item of </w:t>
            </w:r>
            <w:r>
              <w:rPr>
                <w:rStyle w:val="Text3"/>
              </w:rPr>
              <w:t>iterable</w:t>
            </w:r>
            <w:r>
              <w:t xml:space="preserve">, endlessly repeating items from the beginning each time it reaches the end, just like the generator: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cycle</w:t>
              <w:br w:clear="none"/>
            </w:r>
            <w:r>
              <w:rPr>
                <w:rStyle w:val="Text7"/>
              </w:rPr>
              <w:t xml:space="preserve">(</w:t>
              <w:br w:clear="none"/>
            </w:r>
            <w:r>
              <w:t xml:space="preserve">iterable</w:t>
              <w:br w:clear="none"/>
            </w:r>
            <w:r>
              <w:rPr>
                <w:rStyle w:val="Text7"/>
              </w:rPr>
              <w:t xml:space="preserve">)</w:t>
              <w:br w:clear="none"/>
              <w:t xml:space="preserve">:</w:t>
              <w:br w:clear="none"/>
            </w:r>
            <w:r>
              <w:rPr>
                <w:rStyle w:val="Text6"/>
              </w:rPr>
              <w:t xml:space="preserve"/>
              <w:br w:clear="none"/>
              <w:t xml:space="preserve">    </w:t>
              <w:br w:clear="none"/>
            </w:r>
            <w:r>
              <w:t xml:space="preserve">saved</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iterable</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item</w:t>
              <w:br w:clear="none"/>
            </w:r>
            <w:r>
              <w:rPr>
                <w:rStyle w:val="Text6"/>
              </w:rPr>
              <w:t xml:space="preserve"/>
              <w:br w:clear="none"/>
              <w:t xml:space="preserve">        </w:t>
              <w:br w:clear="none"/>
            </w:r>
            <w:r>
              <w:t xml:space="preserve">saved</w:t>
              <w:br w:clear="none"/>
            </w:r>
            <w:r>
              <w:rPr>
                <w:rStyle w:val="Text13"/>
              </w:rPr>
              <w:t xml:space="preserve">.</w:t>
              <w:br w:clear="none"/>
            </w:r>
            <w:r>
              <w:t xml:space="preserve">append</w:t>
              <w:br w:clear="none"/>
            </w:r>
            <w:r>
              <w:rPr>
                <w:rStyle w:val="Text7"/>
              </w:rPr>
              <w:t xml:space="preserve">(</w:t>
              <w:br w:clear="none"/>
            </w:r>
            <w:r>
              <w:t xml:space="preserve">item</w:t>
              <w:br w:clear="none"/>
            </w:r>
            <w:r>
              <w:rPr>
                <w:rStyle w:val="Text7"/>
              </w:rPr>
              <w:t xml:space="preserve">)</w:t>
              <w:br w:clear="none"/>
            </w:r>
            <w:r>
              <w:rPr>
                <w:rStyle w:val="Text6"/>
              </w:rPr>
              <w:t xml:space="preserve"/>
              <w:br w:clear="none"/>
              <w:t xml:space="preserve">    </w:t>
              <w:br w:clear="none"/>
            </w:r>
            <w:r>
              <w:rPr>
                <w:rStyle w:val="Text10"/>
              </w:rPr>
              <w:t xml:space="preserve">while</w:t>
              <w:br w:clear="none"/>
            </w:r>
            <w:r>
              <w:rPr>
                <w:rStyle w:val="Text6"/>
              </w:rPr>
              <w:t xml:space="preserve"> </w:t>
              <w:br w:clear="none"/>
            </w:r>
            <w:r>
              <w:t xml:space="preserve">saved</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saved</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item</w:t>
              <w:br w:clear="none"/>
            </w:r>
          </w:p>
          <w:p>
            <w:pPr>
              <w:pStyle w:val="Para 022"/>
            </w:pPr>
            <w:r>
              <w:rPr>
                <w:rStyle w:val="Text0"/>
              </w:rPr>
              <w:t>cycle</w:t>
            </w:r>
            <w:r>
              <w:t xml:space="preserve"> returns an unending iterator, so use it carefully, always ensuring you explicitly terminate any loop over it.</w:t>
            </w:r>
          </w:p>
        </w:tc>
      </w:tr>
    </w:tbl>
    <w:tbl>
      <w:tblPr>
        <w:tblW w:type="auto" w:w="0"/>
      </w:tblPr>
      <w:tr>
        <w:tc>
          <w:tcPr>
            <w:tcW w:type="auto" w:w="0"/>
            <w:tcMar>
              <w:left w:type="dxa" w:w="200"/>
              <w:top w:type="dxa" w:w="200"/>
              <w:right w:type="dxa" w:w="200"/>
              <w:bottom w:type="dxa" w:w="200"/>
            </w:tcMar>
          </w:tcPr>
          <w:p>
            <w:pPr>
              <w:pStyle w:val="Para 001"/>
            </w:pPr>
            <w:r>
              <w:t>dropwhile</w:t>
            </w:r>
          </w:p>
        </w:tc>
        <w:tc>
          <w:tcPr>
            <w:tcW w:type="auto" w:w="0"/>
            <w:tcMar>
              <w:left w:type="dxa" w:w="200"/>
              <w:top w:type="dxa" w:w="200"/>
              <w:right w:type="dxa" w:w="200"/>
              <w:bottom w:type="dxa" w:w="200"/>
            </w:tcMar>
          </w:tcPr>
          <w:p>
            <w:pPr>
              <w:pStyle w:val="Para 002"/>
            </w:pPr>
            <w:r>
              <w:rPr>
                <w:rStyle w:val="Text0"/>
              </w:rPr>
              <w:t>dropwhile(</w:t>
            </w:r>
            <w:r>
              <w:rPr>
                <w:rStyle w:val="Text3"/>
              </w:rPr>
              <w:t>func</w:t>
            </w:r>
            <w:r>
              <w:rPr>
                <w:rStyle w:val="Text0"/>
              </w:rPr>
              <w:t>,</w:t>
            </w:r>
            <w:r>
              <w:t xml:space="preserve"> </w:t>
            </w:r>
            <w:r>
              <w:rPr>
                <w:rStyle w:val="Text3"/>
              </w:rPr>
              <w:t>iterable</w:t>
            </w:r>
            <w:r>
              <w:rPr>
                <w:rStyle w:val="Text0"/>
              </w:rPr>
              <w:t>, /)</w:t>
              <w:br w:clear="none"/>
            </w:r>
            <w:r>
              <w:t xml:space="preserve"> Drops</w:t>
            </w:r>
            <w:r>
              <w:rPr>
                <w:rStyle w:val="Text111"/>
              </w:rPr>
              <w:bookmarkStart w:id="2219" w:name="idm45965213576864"/>
              <w:t/>
              <w:bookmarkEnd w:id="2219"/>
            </w:r>
            <w:r>
              <w:t xml:space="preserve"> the </w:t>
            </w:r>
            <w:r>
              <w:rPr>
                <w:rStyle w:val="Text0"/>
              </w:rPr>
              <w:t>0+</w:t>
            </w:r>
            <w:r>
              <w:t xml:space="preserve"> leading items of </w:t>
            </w:r>
            <w:r>
              <w:rPr>
                <w:rStyle w:val="Text3"/>
              </w:rPr>
              <w:t>iterable</w:t>
            </w:r>
            <w:r>
              <w:t xml:space="preserve"> for which </w:t>
            </w:r>
            <w:r>
              <w:rPr>
                <w:rStyle w:val="Text3"/>
              </w:rPr>
              <w:t>func</w:t>
            </w:r>
            <w:r>
              <w:t xml:space="preserve"> is true, then yields each remaining item, just like the generator: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dropwhile</w:t>
              <w:br w:clear="none"/>
            </w:r>
            <w:r>
              <w:rPr>
                <w:rStyle w:val="Text7"/>
              </w:rPr>
              <w:t xml:space="preserve">(</w:t>
              <w:br w:clear="none"/>
            </w:r>
            <w:r>
              <w:t xml:space="preserve">func</w:t>
              <w:br w:clear="none"/>
            </w:r>
            <w:r>
              <w:rPr>
                <w:rStyle w:val="Text7"/>
              </w:rPr>
              <w:t xml:space="preserve">,</w:t>
              <w:br w:clear="none"/>
            </w:r>
            <w:r>
              <w:rPr>
                <w:rStyle w:val="Text6"/>
              </w:rPr>
              <w:t xml:space="preserve"> </w:t>
              <w:br w:clear="none"/>
            </w:r>
            <w:r>
              <w:t xml:space="preserve">iterable</w:t>
              <w:br w:clear="none"/>
            </w:r>
            <w:r>
              <w:rPr>
                <w:rStyle w:val="Text7"/>
              </w:rPr>
              <w:t xml:space="preserve">)</w:t>
              <w:br w:clear="none"/>
              <w:t xml:space="preserve">:</w:t>
              <w:br w:clear="none"/>
            </w:r>
            <w:r>
              <w:rPr>
                <w:rStyle w:val="Text6"/>
              </w:rPr>
              <w:t xml:space="preserve"/>
              <w:br w:clear="none"/>
              <w:t xml:space="preserve">    </w:t>
              <w:br w:clear="none"/>
            </w:r>
            <w:r>
              <w:t xml:space="preserve">iterator</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iter</w:t>
              <w:br w:clear="none"/>
            </w:r>
            <w:r>
              <w:rPr>
                <w:rStyle w:val="Text7"/>
              </w:rPr>
              <w:t xml:space="preserve">(</w:t>
              <w:br w:clear="none"/>
            </w:r>
            <w:r>
              <w:t xml:space="preserve">iterable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iterator</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func</w:t>
              <w:br w:clear="none"/>
            </w:r>
            <w:r>
              <w:rPr>
                <w:rStyle w:val="Text7"/>
              </w:rPr>
              <w:t xml:space="preserve">(</w:t>
              <w:br w:clear="none"/>
            </w:r>
            <w:r>
              <w:t xml:space="preserve">item</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item</w:t>
              <w:br w:clear="none"/>
            </w:r>
            <w:r>
              <w:rPr>
                <w:rStyle w:val="Text6"/>
              </w:rPr>
              <w:t xml:space="preserve"/>
              <w:br w:clear="none"/>
            </w:r>
            <w:r>
              <w:rPr>
                <w:rStyle w:val="Text29"/>
              </w:rPr>
              <w:t xml:space="preserve">            </w:t>
              <w:br w:clear="none"/>
            </w:r>
            <w:r>
              <w:rPr>
                <w:rStyle w:val="Text10"/>
              </w:rPr>
              <w:t xml:space="preserve">break</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iterator</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item</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filterfalse</w:t>
            </w:r>
          </w:p>
        </w:tc>
        <w:tc>
          <w:tcPr>
            <w:tcW w:type="auto" w:w="0"/>
            <w:shd w:val="clear" w:color="auto" w:fill="EEF2F6"/>
            <w:tcMar>
              <w:left w:type="dxa" w:w="200"/>
              <w:top w:type="dxa" w:w="200"/>
              <w:right w:type="dxa" w:w="200"/>
              <w:bottom w:type="dxa" w:w="200"/>
            </w:tcMar>
          </w:tcPr>
          <w:p>
            <w:pPr>
              <w:pStyle w:val="Para 002"/>
            </w:pPr>
            <w:r>
              <w:rPr>
                <w:rStyle w:val="Text0"/>
              </w:rPr>
              <w:t>filterfalse(</w:t>
            </w:r>
            <w:r>
              <w:rPr>
                <w:rStyle w:val="Text3"/>
              </w:rPr>
              <w:t>func</w:t>
            </w:r>
            <w:r>
              <w:rPr>
                <w:rStyle w:val="Text0"/>
              </w:rPr>
              <w:t>,</w:t>
            </w:r>
            <w:r>
              <w:t xml:space="preserve"> </w:t>
            </w:r>
            <w:r>
              <w:rPr>
                <w:rStyle w:val="Text3"/>
              </w:rPr>
              <w:t>iterable</w:t>
            </w:r>
            <w:r>
              <w:rPr>
                <w:rStyle w:val="Text0"/>
              </w:rPr>
              <w:t>, /)</w:t>
              <w:br w:clear="none"/>
            </w:r>
            <w:r>
              <w:t xml:space="preserve"> Yields</w:t>
            </w:r>
            <w:r>
              <w:rPr>
                <w:rStyle w:val="Text111"/>
              </w:rPr>
              <w:bookmarkStart w:id="2220" w:name="idm45965213494208"/>
              <w:t/>
              <w:bookmarkEnd w:id="2220"/>
            </w:r>
            <w:r>
              <w:t xml:space="preserve"> those items of </w:t>
            </w:r>
            <w:r>
              <w:rPr>
                <w:rStyle w:val="Text3"/>
              </w:rPr>
              <w:t>iterable</w:t>
            </w:r>
            <w:r>
              <w:t xml:space="preserve"> for which </w:t>
            </w:r>
            <w:r>
              <w:rPr>
                <w:rStyle w:val="Text3"/>
              </w:rPr>
              <w:t>func</w:t>
            </w:r>
            <w:r>
              <w:t xml:space="preserve"> is false, just like the genexp: </w:t>
            </w:r>
          </w:p>
          <w:p>
            <w:pPr>
              <w:pStyle w:val="Para 053"/>
            </w:pPr>
            <w:r>
              <w:rPr>
                <w:rStyle w:val="Text116"/>
              </w:rPr>
              <w:t xml:space="preserve"/>
              <w:br w:clear="none"/>
            </w:r>
            <w:r>
              <w:rPr>
                <w:rStyle w:val="Text19"/>
              </w:rPr>
              <w:t xml:space="preserve">(</w:t>
              <w:br w:clear="none"/>
            </w:r>
            <w:r>
              <w:t xml:space="preserve">it</w:t>
              <w:br w:clear="none"/>
            </w:r>
            <w:r>
              <w:rPr>
                <w:rStyle w:val="Text11"/>
              </w:rPr>
              <w:t xml:space="preserve"> </w:t>
              <w:br w:clear="none"/>
            </w:r>
            <w:r>
              <w:rPr>
                <w:rStyle w:val="Text22"/>
              </w:rPr>
              <w:t xml:space="preserve">for</w:t>
              <w:br w:clear="none"/>
            </w:r>
            <w:r>
              <w:rPr>
                <w:rStyle w:val="Text11"/>
              </w:rPr>
              <w:t xml:space="preserve"> </w:t>
              <w:br w:clear="none"/>
            </w:r>
            <w:r>
              <w:t xml:space="preserve">it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r>
              <w:rPr>
                <w:rStyle w:val="Text11"/>
              </w:rPr>
              <w:t xml:space="preserve"> </w:t>
              <w:br w:clear="none"/>
            </w:r>
            <w:r>
              <w:rPr>
                <w:rStyle w:val="Text22"/>
              </w:rPr>
              <w:t xml:space="preserve">if</w:t>
              <w:br w:clear="none"/>
            </w:r>
            <w:r>
              <w:rPr>
                <w:rStyle w:val="Text59"/>
              </w:rPr>
              <w:t xml:space="preserve"> </w:t>
              <w:br w:clear="none"/>
            </w:r>
            <w:r>
              <w:rPr>
                <w:rStyle w:val="Text51"/>
              </w:rPr>
              <w:t xml:space="preserve">not</w:t>
              <w:br w:clear="none"/>
            </w:r>
            <w:r>
              <w:rPr>
                <w:rStyle w:val="Text11"/>
              </w:rPr>
              <w:t xml:space="preserve"> </w:t>
              <w:br w:clear="none"/>
            </w:r>
            <w:r>
              <w:t xml:space="preserve">func</w:t>
              <w:br w:clear="none"/>
            </w:r>
            <w:r>
              <w:rPr>
                <w:rStyle w:val="Text19"/>
              </w:rPr>
              <w:t xml:space="preserve">(</w:t>
              <w:br w:clear="none"/>
            </w:r>
            <w:r>
              <w:t xml:space="preserve">it</w:t>
              <w:br w:clear="none"/>
            </w:r>
            <w:r>
              <w:rPr>
                <w:rStyle w:val="Text19"/>
              </w:rPr>
              <w:t xml:space="preserve">)</w:t>
              <w:br w:clear="none"/>
              <w:t xml:space="preserve">)</w:t>
              <w:br w:clear="none"/>
            </w:r>
          </w:p>
          <w:p>
            <w:pPr>
              <w:pStyle w:val="Para 107"/>
            </w:pPr>
            <w:r>
              <w:t>func</w:t>
            </w:r>
          </w:p>
          <w:p>
            <w:pPr>
              <w:pStyle w:val="Para 022"/>
            </w:pPr>
            <w:r>
              <w:t xml:space="preserve"> can be any callable accepting a single argument, or </w:t>
            </w:r>
            <w:r>
              <w:rPr>
                <w:rStyle w:val="Text5"/>
              </w:rPr>
              <w:t>None</w:t>
            </w:r>
            <w:r>
              <w:t xml:space="preserve">. When </w:t>
            </w:r>
            <w:r>
              <w:rPr>
                <w:rStyle w:val="Text3"/>
              </w:rPr>
              <w:t>func</w:t>
            </w:r>
            <w:r>
              <w:t xml:space="preserve"> is </w:t>
            </w:r>
            <w:r>
              <w:rPr>
                <w:rStyle w:val="Text5"/>
              </w:rPr>
              <w:t>None</w:t>
            </w:r>
            <w:r>
              <w:t xml:space="preserve">, </w:t>
            </w:r>
            <w:r>
              <w:rPr>
                <w:rStyle w:val="Text0"/>
              </w:rPr>
              <w:t>filterfalse</w:t>
            </w:r>
            <w:r>
              <w:t xml:space="preserve"> yields false items, just like the genexp: </w:t>
            </w:r>
          </w:p>
          <w:p>
            <w:pPr>
              <w:pStyle w:val="Para 053"/>
            </w:pPr>
            <w:r>
              <w:rPr>
                <w:rStyle w:val="Text116"/>
              </w:rPr>
              <w:t xml:space="preserve"/>
              <w:br w:clear="none"/>
            </w:r>
            <w:r>
              <w:rPr>
                <w:rStyle w:val="Text19"/>
              </w:rPr>
              <w:t xml:space="preserve">(</w:t>
              <w:br w:clear="none"/>
            </w:r>
            <w:r>
              <w:t xml:space="preserve">it</w:t>
              <w:br w:clear="none"/>
            </w:r>
            <w:r>
              <w:rPr>
                <w:rStyle w:val="Text11"/>
              </w:rPr>
              <w:t xml:space="preserve"> </w:t>
              <w:br w:clear="none"/>
            </w:r>
            <w:r>
              <w:rPr>
                <w:rStyle w:val="Text22"/>
              </w:rPr>
              <w:t xml:space="preserve">for</w:t>
              <w:br w:clear="none"/>
            </w:r>
            <w:r>
              <w:rPr>
                <w:rStyle w:val="Text11"/>
              </w:rPr>
              <w:t xml:space="preserve"> </w:t>
              <w:br w:clear="none"/>
            </w:r>
            <w:r>
              <w:t xml:space="preserve">it</w:t>
              <w:br w:clear="none"/>
            </w:r>
            <w:r>
              <w:rPr>
                <w:rStyle w:val="Text11"/>
              </w:rPr>
              <w:t xml:space="preserve"> </w:t>
              <w:br w:clear="none"/>
            </w:r>
            <w:r>
              <w:rPr>
                <w:rStyle w:val="Text51"/>
              </w:rPr>
              <w:t xml:space="preserve">in</w:t>
              <w:br w:clear="none"/>
            </w:r>
            <w:r>
              <w:rPr>
                <w:rStyle w:val="Text11"/>
              </w:rPr>
              <w:t xml:space="preserve"> </w:t>
              <w:br w:clear="none"/>
            </w:r>
            <w:r>
              <w:t xml:space="preserve">iterable</w:t>
              <w:br w:clear="none"/>
            </w:r>
            <w:r>
              <w:rPr>
                <w:rStyle w:val="Text11"/>
              </w:rPr>
              <w:t xml:space="preserve"> </w:t>
              <w:br w:clear="none"/>
            </w:r>
            <w:r>
              <w:rPr>
                <w:rStyle w:val="Text22"/>
              </w:rPr>
              <w:t xml:space="preserve">if</w:t>
              <w:br w:clear="none"/>
            </w:r>
            <w:r>
              <w:rPr>
                <w:rStyle w:val="Text59"/>
              </w:rPr>
              <w:t xml:space="preserve"> </w:t>
              <w:br w:clear="none"/>
            </w:r>
            <w:r>
              <w:rPr>
                <w:rStyle w:val="Text51"/>
              </w:rPr>
              <w:t xml:space="preserve">not</w:t>
              <w:br w:clear="none"/>
            </w:r>
            <w:r>
              <w:rPr>
                <w:rStyle w:val="Text11"/>
              </w:rPr>
              <w:t xml:space="preserve"> </w:t>
              <w:br w:clear="none"/>
            </w:r>
            <w:r>
              <w:t xml:space="preserve">it</w:t>
              <w:br w:clear="none"/>
            </w:r>
            <w:r>
              <w:rPr>
                <w:rStyle w:val="Text19"/>
              </w:rPr>
              <w:t xml:space="preserve">)</w:t>
              <w:br w:clear="none"/>
            </w:r>
          </w:p>
        </w:tc>
      </w:tr>
    </w:tbl>
    <w:tbl>
      <w:tblPr>
        <w:tblW w:type="auto" w:w="0"/>
      </w:tblPr>
      <w:tr>
        <w:tc>
          <w:tcPr>
            <w:tcW w:type="auto" w:w="0"/>
            <w:tcMar>
              <w:left w:type="dxa" w:w="200"/>
              <w:top w:type="dxa" w:w="200"/>
              <w:right w:type="dxa" w:w="200"/>
              <w:bottom w:type="dxa" w:w="200"/>
            </w:tcMar>
          </w:tcPr>
          <w:p>
            <w:pPr>
              <w:pStyle w:val="Para 001"/>
            </w:pPr>
            <w:r>
              <w:t>groupby</w:t>
            </w:r>
          </w:p>
        </w:tc>
        <w:tc>
          <w:tcPr>
            <w:tcW w:type="auto" w:w="0"/>
            <w:tcMar>
              <w:left w:type="dxa" w:w="200"/>
              <w:top w:type="dxa" w:w="200"/>
              <w:right w:type="dxa" w:w="200"/>
              <w:bottom w:type="dxa" w:w="200"/>
            </w:tcMar>
          </w:tcPr>
          <w:p>
            <w:pPr>
              <w:pStyle w:val="Para 002"/>
            </w:pPr>
            <w:r>
              <w:rPr>
                <w:rStyle w:val="Text0"/>
              </w:rPr>
              <w:t>groupby(</w:t>
            </w:r>
            <w:r>
              <w:rPr>
                <w:rStyle w:val="Text3"/>
              </w:rPr>
              <w:t>iterable</w:t>
            </w:r>
            <w:r>
              <w:rPr>
                <w:rStyle w:val="Text0"/>
              </w:rPr>
              <w:t>, /, key=</w:t>
            </w:r>
            <w:r>
              <w:rPr>
                <w:rStyle w:val="Text5"/>
              </w:rPr>
              <w:t>None</w:t>
            </w:r>
            <w:r>
              <w:rPr>
                <w:rStyle w:val="Text0"/>
              </w:rPr>
              <w:t>)</w:t>
              <w:br w:clear="none"/>
            </w:r>
            <w:r>
              <w:t xml:space="preserve"> </w:t>
            </w:r>
            <w:r>
              <w:rPr>
                <w:rStyle w:val="Text3"/>
              </w:rPr>
              <w:t>iterable</w:t>
            </w:r>
            <w:r>
              <w:t xml:space="preserve"> normally</w:t>
            </w:r>
            <w:r>
              <w:rPr>
                <w:rStyle w:val="Text111"/>
              </w:rPr>
              <w:bookmarkStart w:id="2221" w:name="idm45965213400240"/>
              <w:t/>
              <w:bookmarkEnd w:id="2221"/>
            </w:r>
            <w:r>
              <w:t xml:space="preserve"> needs to be already sorted according to </w:t>
            </w:r>
            <w:r>
              <w:rPr>
                <w:rStyle w:val="Text0"/>
              </w:rPr>
              <w:t>key</w:t>
            </w:r>
            <w:r>
              <w:t xml:space="preserve"> (</w:t>
            </w:r>
            <w:r>
              <w:rPr>
                <w:rStyle w:val="Text5"/>
              </w:rPr>
              <w:t>None</w:t>
            </w:r>
            <w:r>
              <w:t xml:space="preserve">, as usual, standing for the identity function, </w:t>
            </w:r>
            <w:r>
              <w:rPr>
                <w:rStyle w:val="Text5"/>
              </w:rPr>
              <w:t>lambda</w:t>
            </w:r>
            <w:r>
              <w:t xml:space="preserve"> </w:t>
            </w:r>
            <w:r>
              <w:rPr>
                <w:rStyle w:val="Text0"/>
              </w:rPr>
              <w:t>x: x</w:t>
            </w:r>
            <w:r>
              <w:t xml:space="preserve">). </w:t>
            </w:r>
            <w:r>
              <w:rPr>
                <w:rStyle w:val="Text0"/>
              </w:rPr>
              <w:t>groupby</w:t>
            </w:r>
            <w:r>
              <w:t xml:space="preserve"> yields pairs </w:t>
            </w:r>
            <w:r>
              <w:rPr>
                <w:rStyle w:val="Text0"/>
              </w:rPr>
              <w:t>(</w:t>
            </w:r>
            <w:r>
              <w:rPr>
                <w:rStyle w:val="Text3"/>
              </w:rPr>
              <w:t>k</w:t>
            </w:r>
            <w:r>
              <w:rPr>
                <w:rStyle w:val="Text0"/>
              </w:rPr>
              <w:t>,</w:t>
            </w:r>
            <w:r>
              <w:t xml:space="preserve"> </w:t>
            </w:r>
            <w:r>
              <w:rPr>
                <w:rStyle w:val="Text3"/>
              </w:rPr>
              <w:t>g</w:t>
            </w:r>
            <w:r>
              <w:rPr>
                <w:rStyle w:val="Text0"/>
              </w:rPr>
              <w:t>)</w:t>
            </w:r>
            <w:r>
              <w:t xml:space="preserve">, each pair representing a </w:t>
            </w:r>
            <w:r>
              <w:rPr>
                <w:rStyle w:val="Text4"/>
              </w:rPr>
              <w:t>group</w:t>
            </w:r>
            <w:r>
              <w:t xml:space="preserve"> of adjacent items from </w:t>
            </w:r>
            <w:r>
              <w:rPr>
                <w:rStyle w:val="Text3"/>
              </w:rPr>
              <w:t>iterable</w:t>
            </w:r>
            <w:r>
              <w:t xml:space="preserve"> having the same value </w:t>
            </w:r>
            <w:r>
              <w:rPr>
                <w:rStyle w:val="Text3"/>
              </w:rPr>
              <w:t>k</w:t>
            </w:r>
            <w:r>
              <w:t xml:space="preserve"> for </w:t>
            </w:r>
            <w:r>
              <w:rPr>
                <w:rStyle w:val="Text3"/>
              </w:rPr>
              <w:t>key</w:t>
            </w:r>
            <w:r>
              <w:rPr>
                <w:rStyle w:val="Text0"/>
              </w:rPr>
              <w:t>(</w:t>
            </w:r>
            <w:r>
              <w:rPr>
                <w:rStyle w:val="Text3"/>
              </w:rPr>
              <w:t>item</w:t>
            </w:r>
            <w:r>
              <w:rPr>
                <w:rStyle w:val="Text0"/>
              </w:rPr>
              <w:t>)</w:t>
            </w:r>
            <w:r>
              <w:t xml:space="preserve">; each </w:t>
            </w:r>
            <w:r>
              <w:rPr>
                <w:rStyle w:val="Text3"/>
              </w:rPr>
              <w:t>g</w:t>
            </w:r>
            <w:r>
              <w:t xml:space="preserve"> is an iterator yielding the items in the group. When the </w:t>
            </w:r>
            <w:r>
              <w:rPr>
                <w:rStyle w:val="Text0"/>
              </w:rPr>
              <w:t>groupby</w:t>
            </w:r>
            <w:r>
              <w:t xml:space="preserve"> object advances, previous iterators </w:t>
            </w:r>
            <w:r>
              <w:rPr>
                <w:rStyle w:val="Text3"/>
              </w:rPr>
              <w:t>g</w:t>
            </w:r>
            <w:r>
              <w:t xml:space="preserve"> become invalid (so, if a group of items needs to be processed later, you’d better store somewhere a </w:t>
            </w:r>
            <w:r>
              <w:rPr>
                <w:rStyle w:val="Text0"/>
              </w:rPr>
              <w:t>list</w:t>
            </w:r>
            <w:r>
              <w:t xml:space="preserve"> “snapshot” of it, </w:t>
            </w:r>
            <w:r>
              <w:rPr>
                <w:rStyle w:val="Text0"/>
              </w:rPr>
              <w:t>list(</w:t>
            </w:r>
            <w:r>
              <w:rPr>
                <w:rStyle w:val="Text3"/>
              </w:rPr>
              <w:t>g</w:t>
            </w:r>
            <w:r>
              <w:rPr>
                <w:rStyle w:val="Text0"/>
              </w:rPr>
              <w:t>)</w:t>
            </w:r>
            <w:r>
              <w:t>).</w:t>
              <w:br w:clear="none"/>
              <w:t xml:space="preserve"> Another way of looking at the groups </w:t>
            </w:r>
            <w:r>
              <w:rPr>
                <w:rStyle w:val="Text0"/>
              </w:rPr>
              <w:t>groupby</w:t>
            </w:r>
            <w:r>
              <w:t xml:space="preserve"> yields is that each terminates as soon as </w:t>
            </w:r>
            <w:r>
              <w:rPr>
                <w:rStyle w:val="Text3"/>
              </w:rPr>
              <w:t>key</w:t>
            </w:r>
            <w:r>
              <w:rPr>
                <w:rStyle w:val="Text0"/>
              </w:rPr>
              <w:t>(</w:t>
            </w:r>
            <w:r>
              <w:rPr>
                <w:rStyle w:val="Text3"/>
              </w:rPr>
              <w:t>item</w:t>
            </w:r>
            <w:r>
              <w:rPr>
                <w:rStyle w:val="Text0"/>
              </w:rPr>
              <w:t>)</w:t>
            </w:r>
            <w:r>
              <w:t xml:space="preserve"> changes (which is why you normally call </w:t>
            </w:r>
            <w:r>
              <w:rPr>
                <w:rStyle w:val="Text0"/>
              </w:rPr>
              <w:t>groupby</w:t>
            </w:r>
            <w:r>
              <w:t xml:space="preserve"> only on an </w:t>
            </w:r>
            <w:r>
              <w:rPr>
                <w:rStyle w:val="Text3"/>
              </w:rPr>
              <w:t>iterable</w:t>
            </w:r>
            <w:r>
              <w:t xml:space="preserve"> that’s already sorted by </w:t>
            </w:r>
            <w:r>
              <w:rPr>
                <w:rStyle w:val="Text3"/>
              </w:rPr>
              <w:t>key</w:t>
            </w:r>
            <w:r>
              <w:t>).</w:t>
            </w:r>
            <w:r>
              <w:rPr>
                <w:rStyle w:val="Text111"/>
              </w:rPr>
              <w:bookmarkStart w:id="2222" w:name="idm45965213359136"/>
              <w:t/>
              <w:bookmarkEnd w:id="2222"/>
              <w:br w:clear="none"/>
            </w:r>
            <w:r>
              <w:t xml:space="preserve"> For example, suppose that, given a </w:t>
            </w:r>
            <w:r>
              <w:rPr>
                <w:rStyle w:val="Text0"/>
              </w:rPr>
              <w:t>set</w:t>
            </w:r>
            <w:r>
              <w:t xml:space="preserve"> of lowercase words, we want a </w:t>
            </w:r>
            <w:r>
              <w:rPr>
                <w:rStyle w:val="Text0"/>
              </w:rPr>
              <w:t>dict</w:t>
            </w:r>
            <w:r>
              <w:t xml:space="preserve"> that maps each initial to the longest word having that initial (with “ties” broken arbitrarily). We could write: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itertools</w:t>
              <w:br w:clear="none"/>
            </w:r>
            <w:r>
              <w:rPr>
                <w:rStyle w:val="Text6"/>
              </w:rPr>
              <w:t xml:space="preserve"> </w:t>
              <w:br w:clear="none"/>
            </w:r>
            <w:r>
              <w:rPr>
                <w:rStyle w:val="Text10"/>
              </w:rPr>
              <w:t xml:space="preserve">as</w:t>
              <w:br w:clear="none"/>
            </w:r>
            <w:r>
              <w:rPr>
                <w:rStyle w:val="Text6"/>
              </w:rPr>
              <w:t xml:space="preserve"> </w:t>
              <w:br w:clear="none"/>
            </w:r>
            <w:r>
              <w:rPr>
                <w:rStyle w:val="Text20"/>
              </w:rPr>
              <w:t xml:space="preserve">it</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operator</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set2dict</w:t>
              <w:br w:clear="none"/>
            </w:r>
            <w:r>
              <w:rPr>
                <w:rStyle w:val="Text7"/>
              </w:rPr>
              <w:t xml:space="preserve">(</w:t>
              <w:br w:clear="none"/>
            </w:r>
            <w:r>
              <w:t xml:space="preserve">aset</w:t>
              <w:br w:clear="none"/>
            </w:r>
            <w:r>
              <w:rPr>
                <w:rStyle w:val="Text7"/>
              </w:rPr>
              <w:t xml:space="preserve">)</w:t>
              <w:br w:clear="none"/>
              <w:t xml:space="preserve">:</w:t>
              <w:br w:clear="none"/>
            </w:r>
            <w:r>
              <w:rPr>
                <w:rStyle w:val="Text6"/>
              </w:rPr>
              <w:t xml:space="preserve"/>
              <w:br w:clear="none"/>
              <w:t xml:space="preserve">    </w:t>
              <w:br w:clear="none"/>
            </w:r>
            <w:r>
              <w:t xml:space="preserve">first</w:t>
              <w:br w:clear="none"/>
            </w:r>
            <w:r>
              <w:rPr>
                <w:rStyle w:val="Text6"/>
              </w:rPr>
              <w:t xml:space="preserve"> </w:t>
              <w:br w:clear="none"/>
            </w:r>
            <w:r>
              <w:rPr>
                <w:rStyle w:val="Text13"/>
              </w:rPr>
              <w:t xml:space="preserve">=</w:t>
              <w:br w:clear="none"/>
            </w:r>
            <w:r>
              <w:rPr>
                <w:rStyle w:val="Text6"/>
              </w:rPr>
              <w:t xml:space="preserve"> </w:t>
              <w:br w:clear="none"/>
            </w:r>
            <w:r>
              <w:t xml:space="preserve">operator</w:t>
              <w:br w:clear="none"/>
            </w:r>
            <w:r>
              <w:rPr>
                <w:rStyle w:val="Text13"/>
              </w:rPr>
              <w:t xml:space="preserve">.</w:t>
              <w:br w:clear="none"/>
            </w:r>
            <w:r>
              <w:t xml:space="preserve">itemgetter</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br w:clear="none"/>
              <w:t xml:space="preserve">    </w:t>
              <w:br w:clear="none"/>
            </w:r>
            <w:r>
              <w:t xml:space="preserve">words</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sorted</w:t>
              <w:br w:clear="none"/>
            </w:r>
            <w:r>
              <w:rPr>
                <w:rStyle w:val="Text7"/>
              </w:rPr>
              <w:t xml:space="preserve">(</w:t>
              <w:br w:clear="none"/>
            </w:r>
            <w:r>
              <w:t xml:space="preserve">aset</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t xml:space="preserve">first</w:t>
              <w:br w:clear="none"/>
            </w:r>
            <w:r>
              <w:rPr>
                <w:rStyle w:val="Text7"/>
              </w:rPr>
              <w:t xml:space="preserve">)</w:t>
              <w:br w:clear="none"/>
            </w:r>
            <w:r>
              <w:rPr>
                <w:rStyle w:val="Text6"/>
              </w:rPr>
              <w:t xml:space="preserve"/>
              <w:br w:clear="none"/>
              <w:t xml:space="preserve">    </w:t>
              <w:br w:clear="none"/>
            </w:r>
            <w:r>
              <w:t xml:space="preserve">adict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init</w:t>
              <w:br w:clear="none"/>
            </w:r>
            <w:r>
              <w:rPr>
                <w:rStyle w:val="Text7"/>
              </w:rPr>
              <w:t xml:space="preserve">,</w:t>
              <w:br w:clear="none"/>
            </w:r>
            <w:r>
              <w:rPr>
                <w:rStyle w:val="Text6"/>
              </w:rPr>
              <w:t xml:space="preserve"> </w:t>
              <w:br w:clear="none"/>
            </w:r>
            <w:r>
              <w:t xml:space="preserve">group</w:t>
              <w:br w:clear="none"/>
            </w:r>
            <w:r>
              <w:rPr>
                <w:rStyle w:val="Text6"/>
              </w:rPr>
              <w:t xml:space="preserve"> </w:t>
              <w:br w:clear="none"/>
            </w:r>
            <w:r>
              <w:rPr>
                <w:rStyle w:val="Text31"/>
              </w:rPr>
              <w:t xml:space="preserve">in</w:t>
              <w:br w:clear="none"/>
            </w:r>
            <w:r>
              <w:rPr>
                <w:rStyle w:val="Text6"/>
              </w:rPr>
              <w:t xml:space="preserve"> </w:t>
              <w:br w:clear="none"/>
            </w:r>
            <w:r>
              <w:t xml:space="preserve">it</w:t>
              <w:br w:clear="none"/>
            </w:r>
            <w:r>
              <w:rPr>
                <w:rStyle w:val="Text13"/>
              </w:rPr>
              <w:t xml:space="preserve">.</w:t>
              <w:br w:clear="none"/>
            </w:r>
            <w:r>
              <w:t xml:space="preserve">groupby</w:t>
              <w:br w:clear="none"/>
            </w:r>
            <w:r>
              <w:rPr>
                <w:rStyle w:val="Text7"/>
              </w:rPr>
              <w:t xml:space="preserve">(</w:t>
              <w:br w:clear="none"/>
            </w:r>
            <w:r>
              <w:t xml:space="preserve">words</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t xml:space="preserve">first</w:t>
              <w:br w:clear="none"/>
            </w:r>
            <w:r>
              <w:rPr>
                <w:rStyle w:val="Text7"/>
              </w:rPr>
              <w:t xml:space="preserve">)</w:t>
              <w:br w:clear="none"/>
              <w:t xml:space="preserve">:</w:t>
              <w:br w:clear="none"/>
            </w:r>
            <w:r>
              <w:rPr>
                <w:rStyle w:val="Text6"/>
              </w:rPr>
              <w:t xml:space="preserve"/>
              <w:br w:clear="none"/>
              <w:t xml:space="preserve">        </w:t>
              <w:br w:clear="none"/>
            </w:r>
            <w:r>
              <w:t xml:space="preserve">adict</w:t>
              <w:br w:clear="none"/>
            </w:r>
            <w:r>
              <w:rPr>
                <w:rStyle w:val="Text7"/>
              </w:rPr>
              <w:t xml:space="preserve">[</w:t>
              <w:br w:clear="none"/>
            </w:r>
            <w:r>
              <w:t xml:space="preserve">init</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max</w:t>
              <w:br w:clear="none"/>
            </w:r>
            <w:r>
              <w:rPr>
                <w:rStyle w:val="Text7"/>
              </w:rPr>
              <w:t xml:space="preserve">(</w:t>
              <w:br w:clear="none"/>
            </w:r>
            <w:r>
              <w:t xml:space="preserve">group</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rPr>
                <w:rStyle w:val="Text16"/>
              </w:rPr>
              <w:t xml:space="preserve">len</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adict</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islice</w:t>
            </w:r>
          </w:p>
        </w:tc>
        <w:tc>
          <w:tcPr>
            <w:tcW w:type="auto" w:w="0"/>
            <w:shd w:val="clear" w:color="auto" w:fill="EEF2F6"/>
            <w:tcMar>
              <w:left w:type="dxa" w:w="200"/>
              <w:top w:type="dxa" w:w="200"/>
              <w:right w:type="dxa" w:w="200"/>
              <w:bottom w:type="dxa" w:w="200"/>
            </w:tcMar>
          </w:tcPr>
          <w:p>
            <w:pPr>
              <w:pStyle w:val="Para 002"/>
            </w:pPr>
            <w:r>
              <w:rPr>
                <w:rStyle w:val="Text0"/>
              </w:rPr>
              <w:t>islice(</w:t>
            </w:r>
            <w:r>
              <w:rPr>
                <w:rStyle w:val="Text3"/>
              </w:rPr>
              <w:t>iterable</w:t>
            </w:r>
            <w:r>
              <w:rPr>
                <w:rStyle w:val="Text0"/>
              </w:rPr>
              <w:t>[,</w:t>
            </w:r>
            <w:r>
              <w:t xml:space="preserve"> </w:t>
            </w:r>
            <w:r>
              <w:rPr>
                <w:rStyle w:val="Text3"/>
              </w:rPr>
              <w:t>start</w:t>
            </w:r>
            <w:r>
              <w:rPr>
                <w:rStyle w:val="Text0"/>
              </w:rPr>
              <w:t>],</w:t>
            </w:r>
            <w:r>
              <w:t xml:space="preserve"> </w:t>
            </w:r>
            <w:r>
              <w:rPr>
                <w:rStyle w:val="Text3"/>
              </w:rPr>
              <w:t>stop</w:t>
            </w:r>
            <w:r>
              <w:rPr>
                <w:rStyle w:val="Text0"/>
              </w:rPr>
              <w:t>[,</w:t>
            </w:r>
            <w:r>
              <w:t xml:space="preserve"> </w:t>
            </w:r>
            <w:r>
              <w:rPr>
                <w:rStyle w:val="Text3"/>
              </w:rPr>
              <w:t>step</w:t>
            </w:r>
            <w:r>
              <w:rPr>
                <w:rStyle w:val="Text0"/>
              </w:rPr>
              <w:t>], /)</w:t>
              <w:br w:clear="none"/>
            </w:r>
            <w:r>
              <w:t xml:space="preserve"> Yields</w:t>
            </w:r>
            <w:r>
              <w:rPr>
                <w:rStyle w:val="Text111"/>
              </w:rPr>
              <w:bookmarkStart w:id="2223" w:name="idm45965213276096"/>
              <w:t/>
              <w:bookmarkEnd w:id="2223"/>
            </w:r>
            <w:r>
              <w:t xml:space="preserve"> items of </w:t>
            </w:r>
            <w:r>
              <w:rPr>
                <w:rStyle w:val="Text3"/>
              </w:rPr>
              <w:t>iterable</w:t>
            </w:r>
            <w:r>
              <w:t xml:space="preserve"> (skipping the first </w:t>
            </w:r>
            <w:r>
              <w:rPr>
                <w:rStyle w:val="Text3"/>
              </w:rPr>
              <w:t>start</w:t>
            </w:r>
            <w:r>
              <w:t xml:space="preserve"> ones, by default </w:t>
            </w:r>
            <w:r>
              <w:rPr>
                <w:rStyle w:val="Text0"/>
              </w:rPr>
              <w:t>0</w:t>
            </w:r>
            <w:r>
              <w:t xml:space="preserve">) up to but not including </w:t>
            </w:r>
            <w:r>
              <w:rPr>
                <w:rStyle w:val="Text3"/>
              </w:rPr>
              <w:t>stop</w:t>
            </w:r>
            <w:r>
              <w:t xml:space="preserve">, advancing by steps of </w:t>
            </w:r>
            <w:r>
              <w:rPr>
                <w:rStyle w:val="Text3"/>
              </w:rPr>
              <w:t>step</w:t>
            </w:r>
            <w:r>
              <w:t xml:space="preserve"> (default </w:t>
            </w:r>
            <w:r>
              <w:rPr>
                <w:rStyle w:val="Text0"/>
              </w:rPr>
              <w:t>1</w:t>
            </w:r>
            <w:r>
              <w:t xml:space="preserve">) at a time. All arguments must be nonnegative integers (or </w:t>
            </w:r>
            <w:r>
              <w:rPr>
                <w:rStyle w:val="Text5"/>
              </w:rPr>
              <w:t>None</w:t>
            </w:r>
            <w:r>
              <w:t xml:space="preserve">), and </w:t>
            </w:r>
            <w:r>
              <w:rPr>
                <w:rStyle w:val="Text3"/>
              </w:rPr>
              <w:t>step</w:t>
            </w:r>
            <w:r>
              <w:t xml:space="preserve"> must be </w:t>
            </w:r>
            <w:r>
              <w:rPr>
                <w:rStyle w:val="Text0"/>
              </w:rPr>
              <w:t>&gt; 0</w:t>
            </w:r>
            <w:r>
              <w:t xml:space="preserve">. Apart from checks and optional arguments, it’s like the generator: </w:t>
            </w:r>
          </w:p>
          <w:p>
            <w:pPr>
              <w:pStyle w:val="Para 063"/>
            </w:pPr>
            <w:r>
              <w:rPr>
                <w:rStyle w:val="Text104"/>
              </w:rPr>
              <w:t xml:space="preserve"/>
              <w:br w:clear="none"/>
            </w:r>
            <w:r>
              <w:rPr>
                <w:rStyle w:val="Text10"/>
              </w:rPr>
              <w:t xml:space="preserve">def</w:t>
              <w:br w:clear="none"/>
            </w:r>
            <w:r>
              <w:t xml:space="preserve"> </w:t>
              <w:br w:clear="none"/>
            </w:r>
            <w:r>
              <w:rPr>
                <w:rStyle w:val="Text18"/>
              </w:rPr>
              <w:t xml:space="preserve">islice</w:t>
              <w:br w:clear="none"/>
            </w:r>
            <w:r>
              <w:rPr>
                <w:rStyle w:val="Text7"/>
              </w:rPr>
              <w:t xml:space="preserve">(</w:t>
              <w:br w:clear="none"/>
            </w:r>
            <w:r>
              <w:rPr>
                <w:rStyle w:val="Text9"/>
              </w:rPr>
              <w:t xml:space="preserve">iterable</w:t>
              <w:br w:clear="none"/>
            </w:r>
            <w:r>
              <w:rPr>
                <w:rStyle w:val="Text7"/>
              </w:rPr>
              <w:t xml:space="preserve">,</w:t>
              <w:br w:clear="none"/>
            </w:r>
            <w:r>
              <w:t xml:space="preserve"> </w:t>
              <w:br w:clear="none"/>
            </w:r>
            <w:r>
              <w:rPr>
                <w:rStyle w:val="Text9"/>
              </w:rPr>
              <w:t xml:space="preserve">start</w:t>
              <w:br w:clear="none"/>
            </w:r>
            <w:r>
              <w:rPr>
                <w:rStyle w:val="Text7"/>
              </w:rPr>
              <w:t xml:space="preserve">,</w:t>
              <w:br w:clear="none"/>
            </w:r>
            <w:r>
              <w:t xml:space="preserve"> </w:t>
              <w:br w:clear="none"/>
            </w:r>
            <w:r>
              <w:rPr>
                <w:rStyle w:val="Text9"/>
              </w:rPr>
              <w:t xml:space="preserve">stop</w:t>
              <w:br w:clear="none"/>
            </w:r>
            <w:r>
              <w:rPr>
                <w:rStyle w:val="Text7"/>
              </w:rPr>
              <w:t xml:space="preserve">,</w:t>
              <w:br w:clear="none"/>
            </w:r>
            <w:r>
              <w:t xml:space="preserve"> </w:t>
              <w:br w:clear="none"/>
            </w:r>
            <w:r>
              <w:rPr>
                <w:rStyle w:val="Text9"/>
              </w:rPr>
              <w:t xml:space="preserve">step</w:t>
              <w:br w:clear="none"/>
            </w:r>
            <w:r>
              <w:rPr>
                <w:rStyle w:val="Text13"/>
              </w:rPr>
              <w:t xml:space="preserve">=</w:t>
              <w:br w:clear="none"/>
            </w:r>
            <w:r>
              <w:rPr>
                <w:rStyle w:val="Text27"/>
              </w:rPr>
              <w:t xml:space="preserve">1</w:t>
              <w:br w:clear="none"/>
            </w:r>
            <w:r>
              <w:rPr>
                <w:rStyle w:val="Text7"/>
              </w:rPr>
              <w:t xml:space="preserve">)</w:t>
              <w:br w:clear="none"/>
              <w:t xml:space="preserve">:</w:t>
              <w:br w:clear="none"/>
            </w:r>
            <w:r>
              <w:t xml:space="preserve"/>
              <w:br w:clear="none"/>
              <w:t xml:space="preserve">    </w:t>
              <w:br w:clear="none"/>
            </w:r>
            <w:r>
              <w:rPr>
                <w:rStyle w:val="Text9"/>
              </w:rPr>
              <w:t xml:space="preserve">en</w:t>
              <w:br w:clear="none"/>
            </w:r>
            <w:r>
              <w:t xml:space="preserve"> </w:t>
              <w:br w:clear="none"/>
            </w:r>
            <w:r>
              <w:rPr>
                <w:rStyle w:val="Text13"/>
              </w:rPr>
              <w:t xml:space="preserve">=</w:t>
              <w:br w:clear="none"/>
            </w:r>
            <w:r>
              <w:t xml:space="preserve"> </w:t>
              <w:br w:clear="none"/>
            </w:r>
            <w:r>
              <w:rPr>
                <w:rStyle w:val="Text16"/>
              </w:rPr>
              <w:t xml:space="preserve">enumerate</w:t>
              <w:br w:clear="none"/>
            </w:r>
            <w:r>
              <w:rPr>
                <w:rStyle w:val="Text7"/>
              </w:rPr>
              <w:t xml:space="preserve">(</w:t>
              <w:br w:clear="none"/>
            </w:r>
            <w:r>
              <w:rPr>
                <w:rStyle w:val="Text9"/>
              </w:rPr>
              <w:t xml:space="preserve">iterable</w:t>
              <w:br w:clear="none"/>
            </w:r>
            <w:r>
              <w:rPr>
                <w:rStyle w:val="Text7"/>
              </w:rPr>
              <w:t xml:space="preserve">)</w:t>
              <w:br w:clear="none"/>
            </w:r>
            <w:r>
              <w:t xml:space="preserve"/>
              <w:br w:clear="none"/>
              <w:t xml:space="preserve">    </w:t>
              <w:br w:clear="none"/>
            </w:r>
            <w:r>
              <w:rPr>
                <w:rStyle w:val="Text9"/>
              </w:rPr>
              <w:t xml:space="preserve">n</w:t>
              <w:br w:clear="none"/>
            </w:r>
            <w:r>
              <w:t xml:space="preserve"> </w:t>
              <w:br w:clear="none"/>
            </w:r>
            <w:r>
              <w:rPr>
                <w:rStyle w:val="Text13"/>
              </w:rPr>
              <w:t xml:space="preserve">=</w:t>
              <w:br w:clear="none"/>
            </w:r>
            <w:r>
              <w:t xml:space="preserve"> </w:t>
              <w:br w:clear="none"/>
            </w:r>
            <w:r>
              <w:rPr>
                <w:rStyle w:val="Text9"/>
              </w:rPr>
              <w:t xml:space="preserve">stop</w:t>
              <w:br w:clear="none"/>
            </w:r>
            <w:r>
              <w:t xml:space="preserve"/>
              <w:br w:clear="none"/>
              <w:t xml:space="preserve">    </w:t>
              <w:br w:clear="none"/>
            </w:r>
            <w:r>
              <w:rPr>
                <w:rStyle w:val="Text10"/>
              </w:rPr>
              <w:t xml:space="preserve">for</w:t>
              <w:br w:clear="none"/>
            </w:r>
            <w:r>
              <w:t xml:space="preserve"> </w:t>
              <w:br w:clear="none"/>
            </w:r>
            <w:r>
              <w:rPr>
                <w:rStyle w:val="Text9"/>
              </w:rPr>
              <w:t xml:space="preserve">n</w:t>
              <w:br w:clear="none"/>
            </w:r>
            <w:r>
              <w:rPr>
                <w:rStyle w:val="Text7"/>
              </w:rPr>
              <w:t xml:space="preserve">,</w:t>
              <w:br w:clear="none"/>
            </w:r>
            <w:r>
              <w:t xml:space="preserve"> </w:t>
              <w:br w:clear="none"/>
            </w:r>
            <w:r>
              <w:rPr>
                <w:rStyle w:val="Text9"/>
              </w:rPr>
              <w:t xml:space="preserve">item</w:t>
              <w:br w:clear="none"/>
            </w:r>
            <w:r>
              <w:t xml:space="preserve"> </w:t>
              <w:br w:clear="none"/>
            </w:r>
            <w:r>
              <w:rPr>
                <w:rStyle w:val="Text31"/>
              </w:rPr>
              <w:t xml:space="preserve">in</w:t>
              <w:br w:clear="none"/>
            </w:r>
            <w:r>
              <w:t xml:space="preserve"> </w:t>
              <w:br w:clear="none"/>
            </w:r>
            <w:r>
              <w:rPr>
                <w:rStyle w:val="Text9"/>
              </w:rPr>
              <w:t xml:space="preserve">en</w:t>
              <w:br w:clear="none"/>
            </w:r>
            <w:r>
              <w:rPr>
                <w:rStyle w:val="Text7"/>
              </w:rPr>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n</w:t>
              <w:br w:clear="none"/>
            </w:r>
            <w:r>
              <w:rPr>
                <w:rStyle w:val="Text13"/>
              </w:rPr>
              <w:t xml:space="preserve">&gt;</w:t>
              <w:br w:clear="none"/>
              <w:t xml:space="preserve">=</w:t>
              <w:br w:clear="none"/>
            </w:r>
            <w:r>
              <w:rPr>
                <w:rStyle w:val="Text9"/>
              </w:rPr>
              <w:t xml:space="preserve">start</w:t>
              <w:br w:clear="none"/>
            </w:r>
            <w:r>
              <w:rPr>
                <w:rStyle w:val="Text7"/>
              </w:rPr>
              <w:t xml:space="preserve">:</w:t>
              <w:br w:clear="none"/>
            </w:r>
            <w:r>
              <w:t xml:space="preserve"/>
              <w:br w:clear="none"/>
              <w:t xml:space="preserve">            </w:t>
              <w:br w:clear="none"/>
            </w:r>
            <w:r>
              <w:rPr>
                <w:rStyle w:val="Text10"/>
              </w:rPr>
              <w:t xml:space="preserve">break</w:t>
              <w:br w:clear="none"/>
            </w:r>
            <w:r>
              <w:t xml:space="preserve"/>
              <w:br w:clear="none"/>
              <w:t xml:space="preserve">    </w:t>
              <w:br w:clear="none"/>
            </w:r>
            <w:r>
              <w:rPr>
                <w:rStyle w:val="Text10"/>
              </w:rPr>
              <w:t xml:space="preserve">while</w:t>
              <w:br w:clear="none"/>
            </w:r>
            <w:r>
              <w:t xml:space="preserve"> </w:t>
              <w:br w:clear="none"/>
            </w:r>
            <w:r>
              <w:rPr>
                <w:rStyle w:val="Text9"/>
              </w:rPr>
              <w:t xml:space="preserve">n</w:t>
              <w:br w:clear="none"/>
            </w:r>
            <w:r>
              <w:rPr>
                <w:rStyle w:val="Text13"/>
              </w:rPr>
              <w:t xml:space="preserve">&lt;</w:t>
              <w:br w:clear="none"/>
            </w:r>
            <w:r>
              <w:rPr>
                <w:rStyle w:val="Text9"/>
              </w:rPr>
              <w:t xml:space="preserve">stop</w:t>
              <w:br w:clear="none"/>
            </w:r>
            <w:r>
              <w:rPr>
                <w:rStyle w:val="Text7"/>
              </w:rPr>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item</w:t>
              <w:br w:clear="none"/>
            </w:r>
            <w:r>
              <w:t xml:space="preserve"/>
              <w:br w:clear="none"/>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9"/>
              </w:rPr>
              <w:t xml:space="preserve">step</w:t>
              <w:br w:clear="none"/>
            </w:r>
            <w:r>
              <w:rPr>
                <w:rStyle w:val="Text7"/>
              </w:rPr>
              <w:t xml:space="preserve">)</w:t>
              <w:br w:clear="none"/>
              <w:t xml:space="preserve">:</w:t>
              <w:br w:clear="none"/>
            </w:r>
            <w:r>
              <w:t xml:space="preserve"/>
              <w:br w:clear="none"/>
              <w:t xml:space="preserve">            </w:t>
              <w:br w:clear="none"/>
            </w:r>
            <w:r>
              <w:rPr>
                <w:rStyle w:val="Text9"/>
              </w:rPr>
              <w:t xml:space="preserve">n</w:t>
              <w:br w:clear="none"/>
            </w:r>
            <w:r>
              <w:rPr>
                <w:rStyle w:val="Text7"/>
              </w:rPr>
              <w:t xml:space="preserve">,</w:t>
              <w:br w:clear="none"/>
            </w:r>
            <w:r>
              <w:t xml:space="preserve"> </w:t>
              <w:br w:clear="none"/>
            </w:r>
            <w:r>
              <w:rPr>
                <w:rStyle w:val="Text9"/>
              </w:rPr>
              <w:t xml:space="preserve">item</w:t>
              <w:br w:clear="none"/>
            </w:r>
            <w:r>
              <w:t xml:space="preserve"> </w:t>
              <w:br w:clear="none"/>
            </w:r>
            <w:r>
              <w:rPr>
                <w:rStyle w:val="Text13"/>
              </w:rPr>
              <w:t xml:space="preserve">=</w:t>
              <w:br w:clear="none"/>
            </w:r>
            <w:r>
              <w:t xml:space="preserve"> </w:t>
              <w:br w:clear="none"/>
            </w:r>
            <w:r>
              <w:rPr>
                <w:rStyle w:val="Text16"/>
              </w:rPr>
              <w:t xml:space="preserve">next</w:t>
              <w:br w:clear="none"/>
            </w:r>
            <w:r>
              <w:rPr>
                <w:rStyle w:val="Text7"/>
              </w:rPr>
              <w:t xml:space="preserve">(</w:t>
              <w:br w:clear="none"/>
            </w:r>
            <w:r>
              <w:rPr>
                <w:rStyle w:val="Text9"/>
              </w:rPr>
              <w:t xml:space="preserve">en</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pairwise</w:t>
            </w:r>
          </w:p>
        </w:tc>
        <w:tc>
          <w:tcPr>
            <w:tcW w:type="auto" w:w="0"/>
            <w:tcMar>
              <w:left w:type="dxa" w:w="200"/>
              <w:top w:type="dxa" w:w="200"/>
              <w:right w:type="dxa" w:w="200"/>
              <w:bottom w:type="dxa" w:w="200"/>
            </w:tcMar>
          </w:tcPr>
          <w:p>
            <w:pPr>
              <w:pStyle w:val="Para 002"/>
            </w:pPr>
            <w:r>
              <w:rPr>
                <w:rStyle w:val="Text0"/>
              </w:rPr>
              <w:t>pairwise(</w:t>
            </w:r>
            <w:r>
              <w:rPr>
                <w:rStyle w:val="Text3"/>
              </w:rPr>
              <w:t>seq</w:t>
            </w:r>
            <w:r>
              <w:rPr>
                <w:rStyle w:val="Text0"/>
              </w:rPr>
              <w:t>, /)</w:t>
              <w:br w:clear="none"/>
            </w:r>
            <w:r>
              <w:t xml:space="preserve"> </w:t>
            </w:r>
            <w:r>
              <w:rPr>
                <w:rStyle w:val="Text34"/>
              </w:rPr>
              <w:t>3.10+</w:t>
            </w:r>
            <w:r>
              <w:t xml:space="preserve"> Yields</w:t>
            </w:r>
            <w:r>
              <w:rPr>
                <w:rStyle w:val="Text111"/>
              </w:rPr>
              <w:bookmarkStart w:id="2224" w:name="idm45965213156176"/>
              <w:t/>
              <w:bookmarkEnd w:id="2224"/>
            </w:r>
            <w:r>
              <w:t xml:space="preserve"> pairs of items in </w:t>
            </w:r>
            <w:r>
              <w:rPr>
                <w:rStyle w:val="Text3"/>
              </w:rPr>
              <w:t>seq</w:t>
            </w:r>
            <w:r>
              <w:t xml:space="preserve">, with overlap (for example, </w:t>
            </w:r>
            <w:r>
              <w:rPr>
                <w:rStyle w:val="Text0"/>
              </w:rPr>
              <w:t>pairwise('ABCD')</w:t>
            </w:r>
            <w:r>
              <w:t xml:space="preserve"> will yield </w:t>
            </w:r>
            <w:r>
              <w:rPr>
                <w:rStyle w:val="Text0"/>
              </w:rPr>
              <w:t>'AB'</w:t>
            </w:r>
            <w:r>
              <w:t xml:space="preserve">, </w:t>
            </w:r>
            <w:r>
              <w:rPr>
                <w:rStyle w:val="Text0"/>
              </w:rPr>
              <w:t>'BC'</w:t>
            </w:r>
            <w:r>
              <w:t xml:space="preserve">, and </w:t>
            </w:r>
            <w:r>
              <w:rPr>
                <w:rStyle w:val="Text0"/>
              </w:rPr>
              <w:t>'CD'</w:t>
            </w:r>
            <w:r>
              <w:t xml:space="preserve">). Equivalent to the iterator returned from </w:t>
            </w:r>
            <w:r>
              <w:rPr>
                <w:rStyle w:val="Text0"/>
              </w:rPr>
              <w:t>zip(</w:t>
            </w:r>
            <w:r>
              <w:rPr>
                <w:rStyle w:val="Text3"/>
              </w:rPr>
              <w:t>seq</w:t>
            </w:r>
            <w:r>
              <w:rPr>
                <w:rStyle w:val="Text0"/>
              </w:rPr>
              <w:t>,</w:t>
            </w:r>
            <w:r>
              <w:t xml:space="preserve"> </w:t>
            </w:r>
            <w:r>
              <w:rPr>
                <w:rStyle w:val="Text3"/>
              </w:rPr>
              <w:t>seq</w:t>
            </w:r>
            <w:r>
              <w:rPr>
                <w:rStyle w:val="Text0"/>
              </w:rPr>
              <w:t>[1:])</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repeat</w:t>
            </w:r>
          </w:p>
        </w:tc>
        <w:tc>
          <w:tcPr>
            <w:tcW w:type="auto" w:w="0"/>
            <w:shd w:val="clear" w:color="auto" w:fill="EEF2F6"/>
            <w:tcMar>
              <w:left w:type="dxa" w:w="200"/>
              <w:top w:type="dxa" w:w="200"/>
              <w:right w:type="dxa" w:w="200"/>
              <w:bottom w:type="dxa" w:w="200"/>
            </w:tcMar>
          </w:tcPr>
          <w:p>
            <w:pPr>
              <w:pStyle w:val="Para 002"/>
            </w:pPr>
            <w:r>
              <w:rPr>
                <w:rStyle w:val="Text0"/>
              </w:rPr>
              <w:t>repeat(</w:t>
            </w:r>
            <w:r>
              <w:rPr>
                <w:rStyle w:val="Text3"/>
              </w:rPr>
              <w:t>item</w:t>
            </w:r>
            <w:r>
              <w:rPr>
                <w:rStyle w:val="Text0"/>
              </w:rPr>
              <w:t>, /[</w:t>
            </w:r>
            <w:r>
              <w:rPr>
                <w:rStyle w:val="Text3"/>
              </w:rPr>
              <w:t>,</w:t>
            </w:r>
            <w:r>
              <w:t xml:space="preserve"> </w:t>
            </w:r>
            <w:r>
              <w:rPr>
                <w:rStyle w:val="Text0"/>
              </w:rPr>
              <w:t>times])</w:t>
              <w:br w:clear="none"/>
            </w:r>
            <w:r>
              <w:t xml:space="preserve"> Repeatedly yields</w:t>
            </w:r>
            <w:r>
              <w:rPr>
                <w:rStyle w:val="Text111"/>
              </w:rPr>
              <w:bookmarkStart w:id="2225" w:name="idm45965213109360"/>
              <w:t/>
              <w:bookmarkEnd w:id="2225"/>
            </w:r>
            <w:r>
              <w:t xml:space="preserve"> </w:t>
            </w:r>
            <w:r>
              <w:rPr>
                <w:rStyle w:val="Text3"/>
              </w:rPr>
              <w:t>item</w:t>
            </w:r>
            <w:r>
              <w:t xml:space="preserve">, just like the genexp: </w:t>
            </w:r>
          </w:p>
          <w:p>
            <w:pPr>
              <w:pStyle w:val="Para 029"/>
            </w:pPr>
            <w:r>
              <w:rPr>
                <w:rStyle w:val="Text23"/>
              </w:rPr>
              <w:t xml:space="preserve"/>
              <w:br w:clear="none"/>
            </w:r>
            <w:r>
              <w:rPr>
                <w:rStyle w:val="Text7"/>
              </w:rPr>
              <w:t xml:space="preserve">(</w:t>
              <w:br w:clear="none"/>
            </w:r>
            <w:r>
              <w:t xml:space="preserve">item</w:t>
              <w:br w:clear="none"/>
            </w:r>
            <w:r>
              <w:rPr>
                <w:rStyle w:val="Text6"/>
              </w:rPr>
              <w:t xml:space="preserve"> </w:t>
              <w:br w:clear="none"/>
            </w:r>
            <w:r>
              <w:rPr>
                <w:rStyle w:val="Text10"/>
              </w:rPr>
              <w:t xml:space="preserve">for</w:t>
              <w:br w:clear="none"/>
            </w:r>
            <w:r>
              <w:rPr>
                <w:rStyle w:val="Text6"/>
              </w:rPr>
              <w:t xml:space="preserve"> </w:t>
              <w:br w:clear="none"/>
            </w:r>
            <w:r>
              <w:t xml:space="preserve">_</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times</w:t>
              <w:br w:clear="none"/>
            </w:r>
            <w:r>
              <w:rPr>
                <w:rStyle w:val="Text7"/>
              </w:rPr>
              <w:t xml:space="preserve">)</w:t>
              <w:br w:clear="none"/>
              <w:t xml:space="preserve">)</w:t>
              <w:br w:clear="none"/>
            </w:r>
          </w:p>
          <w:p>
            <w:pPr>
              <w:pStyle w:val="Para 022"/>
            </w:pPr>
            <w:r>
              <w:t xml:space="preserve"> When </w:t>
            </w:r>
            <w:r>
              <w:rPr>
                <w:rStyle w:val="Text0"/>
              </w:rPr>
              <w:t>times</w:t>
            </w:r>
            <w:r>
              <w:t xml:space="preserve"> is absent, the iterator is unbounded, yielding a potentially infinite number of items, each of which is the object </w:t>
            </w:r>
            <w:r>
              <w:rPr>
                <w:rStyle w:val="Text3"/>
              </w:rPr>
              <w:t>item</w:t>
            </w:r>
            <w:r>
              <w:t xml:space="preserve">, just like the generator: </w:t>
            </w:r>
          </w:p>
          <w:p>
            <w:pPr>
              <w:pStyle w:val="Para 087"/>
            </w:pPr>
            <w:r>
              <w:rPr>
                <w:rStyle w:val="Text118"/>
              </w:rPr>
              <w:t xml:space="preserve"/>
              <w:br w:clear="none"/>
            </w:r>
            <w:r>
              <w:t xml:space="preserve">def</w:t>
              <w:br w:clear="none"/>
            </w:r>
            <w:r>
              <w:rPr>
                <w:rStyle w:val="Text29"/>
              </w:rPr>
              <w:t xml:space="preserve"> </w:t>
              <w:br w:clear="none"/>
            </w:r>
            <w:r>
              <w:rPr>
                <w:rStyle w:val="Text61"/>
              </w:rPr>
              <w:t xml:space="preserve">repeat_unbounded</w:t>
              <w:br w:clear="none"/>
            </w:r>
            <w:r>
              <w:rPr>
                <w:rStyle w:val="Text31"/>
              </w:rPr>
              <w:t xml:space="preserve">(</w:t>
              <w:br w:clear="none"/>
            </w:r>
            <w:r>
              <w:rPr>
                <w:rStyle w:val="Text38"/>
              </w:rPr>
              <w:t xml:space="preserve">item</w:t>
              <w:br w:clear="none"/>
            </w:r>
            <w:r>
              <w:rPr>
                <w:rStyle w:val="Text31"/>
              </w:rPr>
              <w:t xml:space="preserve">)</w:t>
              <w:br w:clear="none"/>
              <w:t xml:space="preserve">:</w:t>
              <w:br w:clear="none"/>
            </w:r>
            <w:r>
              <w:rPr>
                <w:rStyle w:val="Text29"/>
              </w:rPr>
              <w:t xml:space="preserve"/>
              <w:br w:clear="none"/>
              <w:t xml:space="preserve">    </w:t>
              <w:br w:clear="none"/>
            </w:r>
            <w:r>
              <w:t xml:space="preserve">while</w:t>
              <w:br w:clear="none"/>
            </w:r>
            <w:r>
              <w:rPr>
                <w:rStyle w:val="Text6"/>
              </w:rPr>
              <w:t xml:space="preserve"> </w:t>
              <w:br w:clear="none"/>
            </w:r>
            <w:r>
              <w:t xml:space="preserve">True</w:t>
              <w:br w:clear="none"/>
            </w:r>
            <w:r>
              <w:rPr>
                <w:rStyle w:val="Text31"/>
              </w:rPr>
              <w:t xml:space="preserve">:</w:t>
              <w:br w:clear="none"/>
            </w:r>
            <w:r>
              <w:rPr>
                <w:rStyle w:val="Text29"/>
              </w:rPr>
              <w:t xml:space="preserve"/>
              <w:br w:clear="none"/>
              <w:t xml:space="preserve">        </w:t>
              <w:br w:clear="none"/>
            </w:r>
            <w:r>
              <w:t xml:space="preserve">yield</w:t>
              <w:br w:clear="none"/>
            </w:r>
            <w:r>
              <w:rPr>
                <w:rStyle w:val="Text29"/>
              </w:rPr>
              <w:t xml:space="preserve"> </w:t>
              <w:br w:clear="none"/>
            </w:r>
            <w:r>
              <w:rPr>
                <w:rStyle w:val="Text38"/>
              </w:rPr>
              <w:t xml:space="preserve">item</w:t>
              <w:br w:clear="none"/>
            </w:r>
          </w:p>
        </w:tc>
      </w:tr>
    </w:tbl>
    <w:tbl>
      <w:tblPr>
        <w:tblW w:type="auto" w:w="0"/>
      </w:tblPr>
      <w:tr>
        <w:tc>
          <w:tcPr>
            <w:tcW w:type="auto" w:w="0"/>
            <w:tcMar>
              <w:left w:type="dxa" w:w="200"/>
              <w:top w:type="dxa" w:w="200"/>
              <w:right w:type="dxa" w:w="200"/>
              <w:bottom w:type="dxa" w:w="200"/>
            </w:tcMar>
          </w:tcPr>
          <w:p>
            <w:pPr>
              <w:pStyle w:val="Para 001"/>
            </w:pPr>
            <w:r>
              <w:t>starmap</w:t>
            </w:r>
          </w:p>
        </w:tc>
        <w:tc>
          <w:tcPr>
            <w:tcW w:type="auto" w:w="0"/>
            <w:tcMar>
              <w:left w:type="dxa" w:w="200"/>
              <w:top w:type="dxa" w:w="200"/>
              <w:right w:type="dxa" w:w="200"/>
              <w:bottom w:type="dxa" w:w="200"/>
            </w:tcMar>
          </w:tcPr>
          <w:p>
            <w:pPr>
              <w:pStyle w:val="Para 002"/>
            </w:pPr>
            <w:r>
              <w:rPr>
                <w:rStyle w:val="Text0"/>
              </w:rPr>
              <w:t>starmap(</w:t>
            </w:r>
            <w:r>
              <w:rPr>
                <w:rStyle w:val="Text3"/>
              </w:rPr>
              <w:t>func</w:t>
            </w:r>
            <w:r>
              <w:rPr>
                <w:rStyle w:val="Text0"/>
              </w:rPr>
              <w:t>,</w:t>
            </w:r>
            <w:r>
              <w:t xml:space="preserve"> </w:t>
            </w:r>
            <w:r>
              <w:rPr>
                <w:rStyle w:val="Text3"/>
              </w:rPr>
              <w:t>iterable</w:t>
            </w:r>
            <w:r>
              <w:rPr>
                <w:rStyle w:val="Text0"/>
              </w:rPr>
              <w:t>, /)</w:t>
              <w:br w:clear="none"/>
            </w:r>
            <w:r>
              <w:t xml:space="preserve"> Yields</w:t>
            </w:r>
            <w:r>
              <w:rPr>
                <w:rStyle w:val="Text111"/>
              </w:rPr>
              <w:bookmarkStart w:id="2226" w:name="idm45965213056768"/>
              <w:t/>
              <w:bookmarkEnd w:id="2226"/>
            </w:r>
            <w:r>
              <w:t xml:space="preserve"> </w:t>
            </w:r>
            <w:r>
              <w:rPr>
                <w:rStyle w:val="Text0"/>
              </w:rPr>
              <w:t>func(*</w:t>
            </w:r>
            <w:r>
              <w:rPr>
                <w:rStyle w:val="Text3"/>
              </w:rPr>
              <w:t>item</w:t>
            </w:r>
            <w:r>
              <w:rPr>
                <w:rStyle w:val="Text0"/>
              </w:rPr>
              <w:t>)</w:t>
            </w:r>
            <w:r>
              <w:t xml:space="preserve"> for each </w:t>
            </w:r>
            <w:r>
              <w:rPr>
                <w:rStyle w:val="Text3"/>
              </w:rPr>
              <w:t>item</w:t>
            </w:r>
            <w:r>
              <w:t xml:space="preserve"> in </w:t>
            </w:r>
            <w:r>
              <w:rPr>
                <w:rStyle w:val="Text3"/>
              </w:rPr>
              <w:t>iterable</w:t>
            </w:r>
            <w:r>
              <w:t xml:space="preserve"> (each such </w:t>
            </w:r>
            <w:r>
              <w:rPr>
                <w:rStyle w:val="Text3"/>
              </w:rPr>
              <w:t>item</w:t>
            </w:r>
            <w:r>
              <w:t xml:space="preserve"> must be an iterable, normally a tuple), just like the generator: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starmap</w:t>
              <w:br w:clear="none"/>
            </w:r>
            <w:r>
              <w:rPr>
                <w:rStyle w:val="Text7"/>
              </w:rPr>
              <w:t xml:space="preserve">(</w:t>
              <w:br w:clear="none"/>
            </w:r>
            <w:r>
              <w:t xml:space="preserve">func</w:t>
              <w:br w:clear="none"/>
            </w:r>
            <w:r>
              <w:rPr>
                <w:rStyle w:val="Text7"/>
              </w:rPr>
              <w:t xml:space="preserve">,</w:t>
              <w:br w:clear="none"/>
            </w:r>
            <w:r>
              <w:rPr>
                <w:rStyle w:val="Text6"/>
              </w:rPr>
              <w:t xml:space="preserve"> </w:t>
              <w:br w:clear="none"/>
            </w:r>
            <w:r>
              <w:t xml:space="preserve">iterable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iterable</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t xml:space="preserve">func</w:t>
              <w:br w:clear="none"/>
            </w:r>
            <w:r>
              <w:rPr>
                <w:rStyle w:val="Text7"/>
              </w:rPr>
              <w:t xml:space="preserve">(</w:t>
              <w:br w:clear="none"/>
            </w:r>
            <w:r>
              <w:rPr>
                <w:rStyle w:val="Text13"/>
              </w:rPr>
              <w:t xml:space="preserve">*</w:t>
              <w:br w:clear="none"/>
            </w:r>
            <w:r>
              <w:t xml:space="preserve">item</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takewhile</w:t>
            </w:r>
          </w:p>
        </w:tc>
        <w:tc>
          <w:tcPr>
            <w:tcW w:type="auto" w:w="0"/>
            <w:shd w:val="clear" w:color="auto" w:fill="EEF2F6"/>
            <w:tcMar>
              <w:left w:type="dxa" w:w="200"/>
              <w:top w:type="dxa" w:w="200"/>
              <w:right w:type="dxa" w:w="200"/>
              <w:bottom w:type="dxa" w:w="200"/>
            </w:tcMar>
          </w:tcPr>
          <w:p>
            <w:pPr>
              <w:pStyle w:val="Para 002"/>
            </w:pPr>
            <w:r>
              <w:rPr>
                <w:rStyle w:val="Text0"/>
              </w:rPr>
              <w:t>takewhile(</w:t>
            </w:r>
            <w:r>
              <w:rPr>
                <w:rStyle w:val="Text3"/>
              </w:rPr>
              <w:t>func</w:t>
            </w:r>
            <w:r>
              <w:rPr>
                <w:rStyle w:val="Text0"/>
              </w:rPr>
              <w:t>,</w:t>
            </w:r>
            <w:r>
              <w:t xml:space="preserve"> </w:t>
            </w:r>
            <w:r>
              <w:rPr>
                <w:rStyle w:val="Text3"/>
              </w:rPr>
              <w:t>iterable</w:t>
            </w:r>
            <w:r>
              <w:rPr>
                <w:rStyle w:val="Text0"/>
              </w:rPr>
              <w:t>, /)</w:t>
              <w:br w:clear="none"/>
            </w:r>
            <w:r>
              <w:t xml:space="preserve"> Yields</w:t>
            </w:r>
            <w:r>
              <w:rPr>
                <w:rStyle w:val="Text111"/>
              </w:rPr>
              <w:bookmarkStart w:id="2227" w:name="idm45965213003888"/>
              <w:t/>
              <w:bookmarkEnd w:id="2227"/>
            </w:r>
            <w:r>
              <w:t xml:space="preserve"> items from </w:t>
            </w:r>
            <w:r>
              <w:rPr>
                <w:rStyle w:val="Text3"/>
              </w:rPr>
              <w:t>iterable</w:t>
            </w:r>
            <w:r>
              <w:t xml:space="preserve"> as long as </w:t>
            </w:r>
            <w:r>
              <w:rPr>
                <w:rStyle w:val="Text3"/>
              </w:rPr>
              <w:t>func</w:t>
            </w:r>
            <w:r>
              <w:rPr>
                <w:rStyle w:val="Text0"/>
              </w:rPr>
              <w:t>(</w:t>
            </w:r>
            <w:r>
              <w:rPr>
                <w:rStyle w:val="Text3"/>
              </w:rPr>
              <w:t>item</w:t>
            </w:r>
            <w:r>
              <w:rPr>
                <w:rStyle w:val="Text0"/>
              </w:rPr>
              <w:t>)</w:t>
            </w:r>
            <w:r>
              <w:t xml:space="preserve"> is truthy, then finishes, just like the generator: </w:t>
            </w:r>
          </w:p>
          <w:p>
            <w:pPr>
              <w:pStyle w:val="Para 063"/>
            </w:pPr>
            <w:r>
              <w:rPr>
                <w:rStyle w:val="Text104"/>
              </w:rPr>
              <w:t xml:space="preserve"/>
              <w:br w:clear="none"/>
            </w:r>
            <w:r>
              <w:rPr>
                <w:rStyle w:val="Text10"/>
              </w:rPr>
              <w:t xml:space="preserve">def</w:t>
              <w:br w:clear="none"/>
            </w:r>
            <w:r>
              <w:t xml:space="preserve"> </w:t>
              <w:br w:clear="none"/>
            </w:r>
            <w:r>
              <w:rPr>
                <w:rStyle w:val="Text18"/>
              </w:rPr>
              <w:t xml:space="preserve">takewhile</w:t>
              <w:br w:clear="none"/>
            </w:r>
            <w:r>
              <w:rPr>
                <w:rStyle w:val="Text7"/>
              </w:rPr>
              <w:t xml:space="preserve">(</w:t>
              <w:br w:clear="none"/>
            </w:r>
            <w:r>
              <w:rPr>
                <w:rStyle w:val="Text9"/>
              </w:rPr>
              <w:t xml:space="preserve">func</w:t>
              <w:br w:clear="none"/>
            </w:r>
            <w:r>
              <w:rPr>
                <w:rStyle w:val="Text7"/>
              </w:rPr>
              <w:t xml:space="preserve">,</w:t>
              <w:br w:clear="none"/>
            </w:r>
            <w:r>
              <w:t xml:space="preserve"> </w:t>
              <w:br w:clear="none"/>
            </w:r>
            <w:r>
              <w:rPr>
                <w:rStyle w:val="Text9"/>
              </w:rPr>
              <w:t xml:space="preserve">iterable</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item</w:t>
              <w:br w:clear="none"/>
            </w:r>
            <w:r>
              <w:t xml:space="preserve"> </w:t>
              <w:br w:clear="none"/>
            </w:r>
            <w:r>
              <w:rPr>
                <w:rStyle w:val="Text31"/>
              </w:rPr>
              <w:t xml:space="preserve">in</w:t>
              <w:br w:clear="none"/>
            </w:r>
            <w:r>
              <w:t xml:space="preserve"> </w:t>
              <w:br w:clear="none"/>
            </w:r>
            <w:r>
              <w:rPr>
                <w:rStyle w:val="Text9"/>
              </w:rPr>
              <w:t xml:space="preserve">iterable</w:t>
              <w:br w:clear="none"/>
            </w:r>
            <w:r>
              <w:rPr>
                <w:rStyle w:val="Text7"/>
              </w:rPr>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func</w:t>
              <w:br w:clear="none"/>
            </w:r>
            <w:r>
              <w:rPr>
                <w:rStyle w:val="Text7"/>
              </w:rPr>
              <w:t xml:space="preserve">(</w:t>
              <w:br w:clear="none"/>
            </w:r>
            <w:r>
              <w:rPr>
                <w:rStyle w:val="Text9"/>
              </w:rPr>
              <w:t xml:space="preserve">item</w:t>
              <w:br w:clear="none"/>
            </w:r>
            <w:r>
              <w:rPr>
                <w:rStyle w:val="Text7"/>
              </w:rPr>
              <w:t xml:space="preserve">)</w:t>
              <w:br w:clear="none"/>
              <w:t xml:space="preserve">:</w:t>
              <w:br w:clear="none"/>
            </w:r>
            <w:r>
              <w:t xml:space="preserve"/>
              <w:br w:clear="none"/>
              <w:t xml:space="preserve">            </w:t>
              <w:br w:clear="none"/>
            </w:r>
            <w:r>
              <w:rPr>
                <w:rStyle w:val="Text10"/>
              </w:rPr>
              <w:t xml:space="preserve">yield</w:t>
              <w:br w:clear="none"/>
            </w:r>
            <w:r>
              <w:t xml:space="preserve"> </w:t>
              <w:br w:clear="none"/>
            </w:r>
            <w:r>
              <w:rPr>
                <w:rStyle w:val="Text9"/>
              </w:rPr>
              <w:t xml:space="preserve">item</w:t>
              <w:br w:clear="none"/>
            </w:r>
            <w:r>
              <w:t xml:space="preserve"/>
              <w:br w:clear="none"/>
              <w:t xml:space="preserve">        </w:t>
              <w:br w:clear="none"/>
            </w:r>
            <w:r>
              <w:rPr>
                <w:rStyle w:val="Text10"/>
              </w:rPr>
              <w:t xml:space="preserve">else</w:t>
              <w:br w:clear="none"/>
            </w:r>
            <w:r>
              <w:rPr>
                <w:rStyle w:val="Text7"/>
              </w:rPr>
              <w:t xml:space="preserve">:</w:t>
              <w:br w:clear="none"/>
            </w:r>
            <w:r>
              <w:t xml:space="preserve"/>
              <w:br w:clear="none"/>
            </w:r>
            <w:r>
              <w:rPr>
                <w:rStyle w:val="Text37"/>
              </w:rPr>
              <w:t xml:space="preserve">            </w:t>
              <w:br w:clear="none"/>
            </w:r>
            <w:r>
              <w:rPr>
                <w:rStyle w:val="Text10"/>
              </w:rPr>
              <w:t xml:space="preserve">break</w:t>
              <w:br w:clear="none"/>
            </w:r>
          </w:p>
        </w:tc>
      </w:tr>
    </w:tbl>
    <w:tbl>
      <w:tblPr>
        <w:tblW w:type="auto" w:w="0"/>
      </w:tblPr>
      <w:tr>
        <w:tc>
          <w:tcPr>
            <w:tcW w:type="auto" w:w="0"/>
            <w:tcMar>
              <w:left w:type="dxa" w:w="200"/>
              <w:top w:type="dxa" w:w="200"/>
              <w:right w:type="dxa" w:w="200"/>
              <w:bottom w:type="dxa" w:w="200"/>
            </w:tcMar>
          </w:tcPr>
          <w:p>
            <w:pPr>
              <w:pStyle w:val="Para 001"/>
            </w:pPr>
            <w:r>
              <w:t>tee</w:t>
            </w:r>
          </w:p>
        </w:tc>
        <w:tc>
          <w:tcPr>
            <w:tcW w:type="auto" w:w="0"/>
            <w:tcMar>
              <w:left w:type="dxa" w:w="200"/>
              <w:top w:type="dxa" w:w="200"/>
              <w:right w:type="dxa" w:w="200"/>
              <w:bottom w:type="dxa" w:w="200"/>
            </w:tcMar>
          </w:tcPr>
          <w:p>
            <w:pPr>
              <w:pStyle w:val="Para 002"/>
            </w:pPr>
            <w:r>
              <w:rPr>
                <w:rStyle w:val="Text0"/>
              </w:rPr>
              <w:t>tee(</w:t>
            </w:r>
            <w:r>
              <w:rPr>
                <w:rStyle w:val="Text3"/>
              </w:rPr>
              <w:t>iterable</w:t>
            </w:r>
            <w:r>
              <w:rPr>
                <w:rStyle w:val="Text0"/>
              </w:rPr>
              <w:t>,</w:t>
            </w:r>
            <w:r>
              <w:t xml:space="preserve"> </w:t>
            </w:r>
            <w:r>
              <w:rPr>
                <w:rStyle w:val="Text3"/>
              </w:rPr>
              <w:t>n</w:t>
            </w:r>
            <w:r>
              <w:rPr>
                <w:rStyle w:val="Text0"/>
              </w:rPr>
              <w:t>=2, /)</w:t>
              <w:br w:clear="none"/>
            </w:r>
            <w:r>
              <w:t xml:space="preserve"> Returns</w:t>
            </w:r>
            <w:r>
              <w:rPr>
                <w:rStyle w:val="Text111"/>
              </w:rPr>
              <w:bookmarkStart w:id="2228" w:name="idm45965212942576"/>
              <w:t/>
              <w:bookmarkEnd w:id="2228"/>
            </w:r>
            <w:r>
              <w:t xml:space="preserve"> a tuple of </w:t>
            </w:r>
            <w:r>
              <w:rPr>
                <w:rStyle w:val="Text3"/>
              </w:rPr>
              <w:t>n</w:t>
            </w:r>
            <w:r>
              <w:t xml:space="preserve"> independent iterators, each yielding items that are the same as those of </w:t>
            </w:r>
            <w:r>
              <w:rPr>
                <w:rStyle w:val="Text3"/>
              </w:rPr>
              <w:t>iterable</w:t>
            </w:r>
            <w:r>
              <w:t xml:space="preserve">. The returned iterators are independent from each other, but they are </w:t>
            </w:r>
            <w:r>
              <w:rPr>
                <w:rStyle w:val="Text4"/>
              </w:rPr>
              <w:t>not</w:t>
            </w:r>
            <w:r>
              <w:t xml:space="preserve"> independent from </w:t>
            </w:r>
            <w:r>
              <w:rPr>
                <w:rStyle w:val="Text3"/>
              </w:rPr>
              <w:t>iterable</w:t>
            </w:r>
            <w:r>
              <w:t xml:space="preserve">; avoid altering the object </w:t>
            </w:r>
            <w:r>
              <w:rPr>
                <w:rStyle w:val="Text3"/>
              </w:rPr>
              <w:t>iterable</w:t>
            </w:r>
            <w:r>
              <w:t xml:space="preserve"> in any way, as long as you’re still using any of the returned iterators.</w:t>
            </w:r>
          </w:p>
        </w:tc>
      </w:tr>
    </w:tbl>
    <w:tbl>
      <w:tblPr>
        <w:tblW w:type="auto" w:w="0"/>
      </w:tblPr>
      <w:tr>
        <w:tc>
          <w:tcPr>
            <w:tcW w:type="auto" w:w="0"/>
            <w:shd w:val="clear" w:color="auto" w:fill="EEF2F6"/>
            <w:tcMar>
              <w:left w:type="dxa" w:w="200"/>
              <w:top w:type="dxa" w:w="200"/>
              <w:right w:type="dxa" w:w="200"/>
              <w:bottom w:type="dxa" w:w="200"/>
            </w:tcMar>
          </w:tcPr>
          <w:p>
            <w:pPr>
              <w:pStyle w:val="Para 001"/>
            </w:pPr>
            <w:r>
              <w:t>zip_longest</w:t>
            </w:r>
          </w:p>
        </w:tc>
        <w:tc>
          <w:tcPr>
            <w:tcW w:type="auto" w:w="0"/>
            <w:shd w:val="clear" w:color="auto" w:fill="EEF2F6"/>
            <w:tcMar>
              <w:left w:type="dxa" w:w="200"/>
              <w:top w:type="dxa" w:w="200"/>
              <w:right w:type="dxa" w:w="200"/>
              <w:bottom w:type="dxa" w:w="200"/>
            </w:tcMar>
          </w:tcPr>
          <w:p>
            <w:pPr>
              <w:pStyle w:val="Para 002"/>
            </w:pPr>
            <w:r>
              <w:rPr>
                <w:rStyle w:val="Text0"/>
              </w:rPr>
              <w:t>zip_longest(*</w:t>
            </w:r>
            <w:r>
              <w:rPr>
                <w:rStyle w:val="Text3"/>
              </w:rPr>
              <w:t>iterables</w:t>
            </w:r>
            <w:r>
              <w:rPr>
                <w:rStyle w:val="Text0"/>
              </w:rPr>
              <w:t>, /, fillvalue=</w:t>
            </w:r>
            <w:r>
              <w:rPr>
                <w:rStyle w:val="Text5"/>
              </w:rPr>
              <w:t>None</w:t>
            </w:r>
            <w:r>
              <w:rPr>
                <w:rStyle w:val="Text0"/>
              </w:rPr>
              <w:t>)</w:t>
              <w:br w:clear="none"/>
            </w:r>
            <w:r>
              <w:t xml:space="preserve"> Yields</w:t>
            </w:r>
            <w:r>
              <w:rPr>
                <w:rStyle w:val="Text111"/>
              </w:rPr>
              <w:bookmarkStart w:id="2229" w:name="idm45965212907424"/>
              <w:t/>
              <w:bookmarkEnd w:id="2229"/>
            </w:r>
            <w:r>
              <w:t xml:space="preserve"> tuples with one corresponding item from each of the </w:t>
            </w:r>
            <w:r>
              <w:rPr>
                <w:rStyle w:val="Text3"/>
              </w:rPr>
              <w:t>iterables</w:t>
            </w:r>
            <w:r>
              <w:t xml:space="preserve">; stops when the longest of the </w:t>
            </w:r>
            <w:r>
              <w:rPr>
                <w:rStyle w:val="Text3"/>
              </w:rPr>
              <w:t>iterables</w:t>
            </w:r>
            <w:r>
              <w:t xml:space="preserve"> is exhausted, behaving as if each of the others was “padded” to that same length with references to </w:t>
            </w:r>
            <w:r>
              <w:rPr>
                <w:rStyle w:val="Text0"/>
              </w:rPr>
              <w:t>fillvalue</w:t>
            </w:r>
            <w:r>
              <w:t xml:space="preserve">. If </w:t>
            </w:r>
            <w:r>
              <w:rPr>
                <w:rStyle w:val="Text5"/>
              </w:rPr>
              <w:t>None</w:t>
            </w:r>
            <w:r>
              <w:t xml:space="preserve"> is a value that might be valid in one or more of the </w:t>
            </w:r>
            <w:r>
              <w:rPr>
                <w:rStyle w:val="Text4"/>
              </w:rPr>
              <w:t>iterables</w:t>
            </w:r>
            <w:r>
              <w:t xml:space="preserve"> (such that it could be confused with </w:t>
            </w:r>
            <w:r>
              <w:rPr>
                <w:rStyle w:val="Text5"/>
              </w:rPr>
              <w:t>None</w:t>
            </w:r>
            <w:r>
              <w:t xml:space="preserve"> values used for padding), you can use a Python Ellipsis (</w:t>
            </w:r>
            <w:r>
              <w:rPr>
                <w:rStyle w:val="Text0"/>
              </w:rPr>
              <w:t>...</w:t>
            </w:r>
            <w:r>
              <w:t xml:space="preserve">) or a sentinel object </w:t>
            </w:r>
            <w:r>
              <w:rPr>
                <w:rStyle w:val="Text0"/>
              </w:rPr>
              <w:t>FILL=object()</w:t>
            </w:r>
            <w:r>
              <w:t xml:space="preserve"> for </w:t>
            </w:r>
            <w:r>
              <w:rPr>
                <w:rStyle w:val="Text0"/>
              </w:rPr>
              <w:t>fillvalue</w:t>
            </w:r>
            <w:r>
              <w:t>.</w:t>
            </w:r>
          </w:p>
        </w:tc>
      </w:tr>
    </w:tbl>
    <w:p>
      <w:pPr>
        <w:pStyle w:val="Normal"/>
      </w:pPr>
      <w:r>
        <w:t xml:space="preserve">We have shown equivalent generators and genexps for many attributes of </w:t>
      </w:r>
      <w:r>
        <w:rPr>
          <w:rStyle w:val="Text0"/>
        </w:rPr>
        <w:t>itertools</w:t>
      </w:r>
      <w:r>
        <w:t xml:space="preserve">, but it’s important to take into account the sheer speed of </w:t>
      </w:r>
      <w:r>
        <w:rPr>
          <w:rStyle w:val="Text0"/>
        </w:rPr>
        <w:t>itertools</w:t>
      </w:r>
      <w:r>
        <w:t>. As a trivial example, consider repeating some action 10 times:</w:t>
      </w:r>
    </w:p>
    <w:p>
      <w:pPr>
        <w:pStyle w:val="Para 007"/>
      </w:pPr>
      <w:r>
        <w:rPr>
          <w:rStyle w:val="Text23"/>
        </w:rPr>
        <w:t xml:space="preserve"/>
        <w:br w:clear="none"/>
      </w:r>
      <w:r>
        <w:rPr>
          <w:rStyle w:val="Text10"/>
        </w:rPr>
        <w:t xml:space="preserve">for</w:t>
        <w:br w:clear="none"/>
      </w:r>
      <w:r>
        <w:rPr>
          <w:rStyle w:val="Text6"/>
        </w:rPr>
        <w:t xml:space="preserve"> </w:t>
        <w:br w:clear="none"/>
      </w:r>
      <w:r>
        <w:t xml:space="preserve">_</w:t>
        <w:br w:clear="none"/>
      </w:r>
      <w:r>
        <w:rPr>
          <w:rStyle w:val="Text6"/>
        </w:rPr>
        <w:t xml:space="preserve"> </w:t>
        <w:br w:clear="none"/>
      </w:r>
      <w:r>
        <w:rPr>
          <w:rStyle w:val="Text31"/>
        </w:rPr>
        <w:t xml:space="preserve">in</w:t>
        <w:br w:clear="none"/>
      </w:r>
      <w:r>
        <w:rPr>
          <w:rStyle w:val="Text6"/>
        </w:rPr>
        <w:t xml:space="preserve"> </w:t>
        <w:br w:clear="none"/>
      </w:r>
      <w:r>
        <w:t xml:space="preserve">itertools</w:t>
        <w:br w:clear="none"/>
      </w:r>
      <w:r>
        <w:rPr>
          <w:rStyle w:val="Text13"/>
        </w:rPr>
        <w:t xml:space="preserve">.</w:t>
        <w:br w:clear="none"/>
      </w:r>
      <w:r>
        <w:t xml:space="preserve">repeat</w:t>
        <w:br w:clear="none"/>
      </w:r>
      <w:r>
        <w:rPr>
          <w:rStyle w:val="Text7"/>
        </w:rPr>
        <w:t xml:space="preserve">(</w:t>
        <w:br w:clear="none"/>
      </w:r>
      <w:r>
        <w:rPr>
          <w:rStyle w:val="Text39"/>
        </w:rPr>
        <w:t xml:space="preserve">None</w:t>
        <w:br w:clear="none"/>
      </w:r>
      <w:r>
        <w:rPr>
          <w:rStyle w:val="Text7"/>
        </w:rPr>
        <w:t xml:space="preserve">,</w:t>
        <w:br w:clear="none"/>
      </w:r>
      <w:r>
        <w:rPr>
          <w:rStyle w:val="Text6"/>
        </w:rPr>
        <w:t xml:space="preserve"> </w:t>
        <w:br w:clear="none"/>
      </w:r>
      <w:r>
        <w:rPr>
          <w:rStyle w:val="Text27"/>
        </w:rPr>
        <w:t xml:space="preserve">10</w:t>
        <w:br w:clear="none"/>
      </w:r>
      <w:r>
        <w:rPr>
          <w:rStyle w:val="Text7"/>
        </w:rPr>
        <w:t xml:space="preserve">)</w:t>
        <w:br w:clear="none"/>
        <w:t xml:space="preserve">:</w:t>
        <w:br w:clear="none"/>
      </w:r>
      <w:r>
        <w:rPr>
          <w:rStyle w:val="Text6"/>
        </w:rPr>
        <w:t xml:space="preserve"> </w:t>
        <w:br w:clear="none"/>
      </w:r>
      <w:r>
        <w:rPr>
          <w:rStyle w:val="Text10"/>
        </w:rPr>
        <w:t xml:space="preserve">pass</w:t>
        <w:br w:clear="none"/>
      </w:r>
    </w:p>
    <w:p>
      <w:pPr>
        <w:pStyle w:val="Normal"/>
      </w:pPr>
      <w:r>
        <w:t>This turns out to be about 10 to 20% faster, depending on the Python release and platform, than the straightforward</w:t>
      </w:r>
      <w:r>
        <w:rPr>
          <w:rStyle w:val="Text111"/>
        </w:rPr>
        <w:bookmarkStart w:id="2230" w:name="idm45965212884400"/>
        <w:t/>
        <w:bookmarkEnd w:id="2230"/>
        <w:bookmarkStart w:id="2231" w:name="idm45965212883232"/>
        <w:t/>
        <w:bookmarkEnd w:id="2231"/>
      </w:r>
      <w:r>
        <w:t xml:space="preserve"> alternative:</w:t>
      </w:r>
    </w:p>
    <w:p>
      <w:pPr>
        <w:pStyle w:val="Para 037"/>
      </w:pPr>
      <w:r>
        <w:rPr>
          <w:rStyle w:val="Text118"/>
        </w:rPr>
        <w:t xml:space="preserve"/>
        <w:br w:clear="none"/>
      </w:r>
      <w:r>
        <w:t xml:space="preserve">for</w:t>
        <w:br w:clear="none"/>
      </w:r>
      <w:r>
        <w:rPr>
          <w:rStyle w:val="Text29"/>
        </w:rPr>
        <w:t xml:space="preserve"> </w:t>
        <w:br w:clear="none"/>
      </w:r>
      <w:r>
        <w:rPr>
          <w:rStyle w:val="Text38"/>
        </w:rPr>
        <w:t xml:space="preserve">_</w:t>
        <w:br w:clear="none"/>
      </w:r>
      <w:r>
        <w:rPr>
          <w:rStyle w:val="Text29"/>
        </w:rPr>
        <w:t xml:space="preserve"> </w:t>
        <w:br w:clear="none"/>
      </w:r>
      <w:r>
        <w:rPr>
          <w:rStyle w:val="Text7"/>
        </w:rPr>
        <w:t xml:space="preserve">in</w:t>
        <w:br w:clear="none"/>
      </w:r>
      <w:r>
        <w:rPr>
          <w:rStyle w:val="Text29"/>
        </w:rPr>
        <w:t xml:space="preserve"> </w:t>
        <w:br w:clear="none"/>
      </w:r>
      <w:r>
        <w:rPr>
          <w:rStyle w:val="Text67"/>
        </w:rPr>
        <w:t xml:space="preserve">range</w:t>
        <w:br w:clear="none"/>
      </w:r>
      <w:r>
        <w:rPr>
          <w:rStyle w:val="Text31"/>
        </w:rPr>
        <w:t xml:space="preserve">(</w:t>
        <w:br w:clear="none"/>
      </w:r>
      <w:r>
        <w:rPr>
          <w:rStyle w:val="Text93"/>
        </w:rPr>
        <w:t xml:space="preserve">10</w:t>
        <w:br w:clear="none"/>
      </w:r>
      <w:r>
        <w:rPr>
          <w:rStyle w:val="Text31"/>
        </w:rPr>
        <w:t xml:space="preserve">)</w:t>
        <w:br w:clear="none"/>
        <w:t xml:space="preserve">:</w:t>
        <w:br w:clear="none"/>
      </w:r>
      <w:r>
        <w:rPr>
          <w:rStyle w:val="Text29"/>
        </w:rPr>
        <w:t xml:space="preserve"> </w:t>
        <w:br w:clear="none"/>
      </w:r>
      <w:r>
        <w:t xml:space="preserve">pass</w:t>
        <w:br w:clear="none"/>
      </w:r>
    </w:p>
    <w:p>
      <w:bookmarkStart w:id="2232" w:name="1_I_e___according_to_the_Liskov"/>
      <w:pPr>
        <w:pStyle w:val="Para 035"/>
      </w:pPr>
      <w:hyperlink w:anchor="1_8">
        <w:r>
          <w:rPr>
            <w:rStyle w:val="Text1"/>
          </w:rPr>
          <w:t>1</w:t>
        </w:r>
      </w:hyperlink>
      <w:r>
        <w:t xml:space="preserve"> I.e., according to the </w:t>
      </w:r>
      <w:hyperlink r:id="rId318">
        <w:r>
          <w:rPr>
            <w:rStyle w:val="Text1"/>
          </w:rPr>
          <w:t>Liskov substitution principle</w:t>
        </w:r>
      </w:hyperlink>
      <w:r>
        <w:t>, a core notion of object-oriented programming.</w:t>
      </w:r>
      <w:bookmarkEnd w:id="2232"/>
    </w:p>
    <w:p>
      <w:bookmarkStart w:id="2233" w:name="2_When_first_introduced__default"/>
      <w:pPr>
        <w:pStyle w:val="Para 015"/>
      </w:pPr>
      <w:hyperlink w:anchor="2_8">
        <w:r>
          <w:rPr>
            <w:rStyle w:val="Text1"/>
          </w:rPr>
          <w:t>2</w:t>
        </w:r>
      </w:hyperlink>
      <w:r>
        <w:t xml:space="preserve"> When first introduced, </w:t>
      </w:r>
      <w:r>
        <w:rPr>
          <w:rStyle w:val="Text25"/>
        </w:rPr>
        <w:t>defaultdict(int)</w:t>
      </w:r>
      <w:r>
        <w:t xml:space="preserve"> was commonly used to maintain counts of items. Since </w:t>
      </w:r>
      <w:r>
        <w:rPr>
          <w:rStyle w:val="Text25"/>
        </w:rPr>
        <w:t>Counter</w:t>
      </w:r>
      <w:r>
        <w:t xml:space="preserve"> is now part of the </w:t>
      </w:r>
      <w:r>
        <w:rPr>
          <w:rStyle w:val="Text25"/>
        </w:rPr>
        <w:t>collections</w:t>
      </w:r>
      <w:r>
        <w:t xml:space="preserve"> module, use </w:t>
      </w:r>
      <w:r>
        <w:rPr>
          <w:rStyle w:val="Text25"/>
        </w:rPr>
        <w:t>Counter</w:t>
      </w:r>
      <w:r>
        <w:t xml:space="preserve"> instead of </w:t>
      </w:r>
      <w:r>
        <w:rPr>
          <w:rStyle w:val="Text25"/>
        </w:rPr>
        <w:t>defaultdict(int)</w:t>
      </w:r>
      <w:r>
        <w:t xml:space="preserve"> for the specific task of counting items.</w:t>
      </w:r>
      <w:bookmarkEnd w:id="2233"/>
    </w:p>
    <w:p>
      <w:bookmarkStart w:id="2234" w:name="3_For_last_in__first_out__LIFO"/>
      <w:pPr>
        <w:pStyle w:val="Para 015"/>
      </w:pPr>
      <w:hyperlink w:anchor="3_8">
        <w:r>
          <w:rPr>
            <w:rStyle w:val="Text1"/>
          </w:rPr>
          <w:t>3</w:t>
        </w:r>
      </w:hyperlink>
      <w:r>
        <w:t xml:space="preserve"> For last-in, first-out (LIFO) queues, aka “stacks,” a </w:t>
      </w:r>
      <w:r>
        <w:rPr>
          <w:rStyle w:val="Text25"/>
        </w:rPr>
        <w:t>list</w:t>
      </w:r>
      <w:r>
        <w:t xml:space="preserve">, with its </w:t>
      </w:r>
      <w:r>
        <w:rPr>
          <w:rStyle w:val="Text25"/>
        </w:rPr>
        <w:t>append</w:t>
      </w:r>
      <w:r>
        <w:t xml:space="preserve"> and </w:t>
      </w:r>
      <w:r>
        <w:rPr>
          <w:rStyle w:val="Text25"/>
        </w:rPr>
        <w:t>pop</w:t>
      </w:r>
      <w:r>
        <w:t xml:space="preserve"> methods, is perfectly sufficient.</w:t>
      </w:r>
      <w:bookmarkEnd w:id="2234"/>
    </w:p>
    <w:p>
      <w:bookmarkStart w:id="2235" w:name="4_Also_known_as_the_Schwartzian"/>
      <w:pPr>
        <w:pStyle w:val="Para 108"/>
      </w:pPr>
      <w:hyperlink w:anchor="4_5">
        <w:r>
          <w:rPr>
            <w:rStyle w:val="Text4"/>
          </w:rPr>
          <w:t>4</w:t>
        </w:r>
      </w:hyperlink>
      <w:r>
        <w:rPr>
          <w:rStyle w:val="Text52"/>
        </w:rPr>
        <w:t xml:space="preserve"> Also known as the </w:t>
      </w:r>
      <w:hyperlink r:id="rId319">
        <w:r>
          <w:t>Schwartzian transform</w:t>
        </w:r>
      </w:hyperlink>
      <w:r>
        <w:rPr>
          <w:rStyle w:val="Text52"/>
        </w:rPr>
        <w:t>.</w:t>
      </w:r>
      <w:bookmarkEnd w:id="2235"/>
    </w:p>
    <w:p>
      <w:bookmarkStart w:id="2236" w:name="5_This_step_is_not_quite_a_full"/>
      <w:pPr>
        <w:pStyle w:val="Para 015"/>
      </w:pPr>
      <w:hyperlink w:anchor="5_5">
        <w:r>
          <w:rPr>
            <w:rStyle w:val="Text1"/>
          </w:rPr>
          <w:t>5</w:t>
        </w:r>
      </w:hyperlink>
      <w:r>
        <w:t xml:space="preserve"> This step is not </w:t>
      </w:r>
      <w:r>
        <w:rPr>
          <w:rStyle w:val="Text4"/>
        </w:rPr>
        <w:t>quite</w:t>
      </w:r>
      <w:r>
        <w:t xml:space="preserve"> a full “sort,” but it looks close enough to call it one, at least if you squint.</w:t>
      </w:r>
      <w:bookmarkEnd w:id="2236"/>
    </w:p>
    <w:p>
      <w:bookmarkStart w:id="2237" w:name="6_Some_experts_recommend_from_it"/>
      <w:pPr>
        <w:pStyle w:val="Para 015"/>
      </w:pPr>
      <w:hyperlink w:anchor="6_4">
        <w:r>
          <w:rPr>
            <w:rStyle w:val="Text1"/>
          </w:rPr>
          <w:t>6</w:t>
        </w:r>
      </w:hyperlink>
      <w:r>
        <w:t xml:space="preserve"> Some experts recommend </w:t>
      </w:r>
      <w:r>
        <w:rPr>
          <w:rStyle w:val="Text5"/>
        </w:rPr>
        <w:t>from</w:t>
      </w:r>
      <w:r>
        <w:t xml:space="preserve"> </w:t>
      </w:r>
      <w:r>
        <w:rPr>
          <w:rStyle w:val="Text25"/>
        </w:rPr>
        <w:t>itertools</w:t>
      </w:r>
      <w:r>
        <w:t xml:space="preserve"> </w:t>
      </w:r>
      <w:r>
        <w:rPr>
          <w:rStyle w:val="Text5"/>
        </w:rPr>
        <w:t>import</w:t>
      </w:r>
      <w:r>
        <w:t xml:space="preserve"> </w:t>
      </w:r>
      <w:r>
        <w:rPr>
          <w:rStyle w:val="Text25"/>
        </w:rPr>
        <w:t>*</w:t>
      </w:r>
      <w:r>
        <w:t>, but the authors of this book disagree.</w:t>
      </w:r>
      <w:bookmarkEnd w:id="2237"/>
    </w:p>
    <w:p>
      <w:bookmarkStart w:id="2238" w:name="Chapter_9__Strings_and_Things__P_1"/>
      <w:bookmarkStart w:id="2239" w:name="Chapter_9__Strings_and_Things__P"/>
      <w:bookmarkStart w:id="2240" w:name="Chapter_9__Strings_and_Things__P_2"/>
      <w:bookmarkStart w:id="2241" w:name="Top_of_ch09_html"/>
      <w:pPr>
        <w:keepNext/>
        <w:pStyle w:val="Heading 1"/>
        <w:pageBreakBefore w:val="on"/>
      </w:pPr>
      <w:r>
        <w:t xml:space="preserve">Chapter 9. </w:t>
        <w:t>Strings and Things</w:t>
      </w:r>
      <w:bookmarkEnd w:id="2238"/>
      <w:bookmarkEnd w:id="2239"/>
      <w:bookmarkEnd w:id="2240"/>
      <w:bookmarkEnd w:id="2241"/>
    </w:p>
    <w:p>
      <w:pPr>
        <w:pStyle w:val="Normal"/>
      </w:pPr>
      <w:r>
        <w:t>Python’s</w:t>
      </w:r>
      <w:r>
        <w:rPr>
          <w:rStyle w:val="Text111"/>
        </w:rPr>
        <w:bookmarkStart w:id="2242" w:name="idm45965212846112"/>
        <w:t/>
        <w:bookmarkEnd w:id="2242"/>
      </w:r>
      <w:r>
        <w:t xml:space="preserve"> </w:t>
      </w:r>
      <w:r>
        <w:rPr>
          <w:rStyle w:val="Text0"/>
        </w:rPr>
        <w:t>str</w:t>
      </w:r>
      <w:r>
        <w:t xml:space="preserve"> type implements Unicode text strings with operators, built-in functions, methods, and dedicated modules. The somewhat similar</w:t>
      </w:r>
      <w:r>
        <w:rPr>
          <w:rStyle w:val="Text111"/>
        </w:rPr>
        <w:bookmarkStart w:id="2243" w:name="idm45965212844128"/>
        <w:t/>
        <w:bookmarkEnd w:id="2243"/>
      </w:r>
      <w:r>
        <w:t xml:space="preserve"> </w:t>
      </w:r>
      <w:r>
        <w:rPr>
          <w:rStyle w:val="Text0"/>
        </w:rPr>
        <w:t>bytes</w:t>
      </w:r>
      <w:r>
        <w:t xml:space="preserve"> type represents arbitrary binary data as a sequence of bytes, also known as a</w:t>
      </w:r>
      <w:r>
        <w:rPr>
          <w:rStyle w:val="Text111"/>
        </w:rPr>
        <w:bookmarkStart w:id="2244" w:name="idm45965212842176"/>
        <w:t/>
        <w:bookmarkEnd w:id="2244"/>
      </w:r>
      <w:r>
        <w:t xml:space="preserve"> </w:t>
      </w:r>
      <w:r>
        <w:rPr>
          <w:rStyle w:val="Text4"/>
        </w:rPr>
        <w:t>bytestring</w:t>
      </w:r>
      <w:r>
        <w:t xml:space="preserve"> or </w:t>
      </w:r>
      <w:r>
        <w:rPr>
          <w:rStyle w:val="Text4"/>
        </w:rPr>
        <w:t>byte string</w:t>
      </w:r>
      <w:r>
        <w:t xml:space="preserve">. Many textual operations are possible on objects of either type: since these types are immutable, methods mostly create and return a new string unless returning the subject string unchanged. A mutable sequence of bytes can be represented as a </w:t>
      </w:r>
      <w:r>
        <w:rPr>
          <w:rStyle w:val="Text0"/>
        </w:rPr>
        <w:t>bytearray</w:t>
      </w:r>
      <w:r>
        <w:t xml:space="preserve">, briefly introduced in </w:t>
      </w:r>
      <w:hyperlink w:anchor="bytearray_objects__A_bytearray_i">
        <w:r>
          <w:rPr>
            <w:rStyle w:val="Text1"/>
          </w:rPr>
          <w:t>“bytearray objects”</w:t>
        </w:r>
      </w:hyperlink>
      <w:r>
        <w:t>.</w:t>
      </w:r>
    </w:p>
    <w:p>
      <w:pPr>
        <w:pStyle w:val="Normal"/>
      </w:pPr>
      <w:r>
        <w:t xml:space="preserve">This chapter first covers the methods available on these three types, then discusses the string module and string formatting (including formatted string literals), followed by the </w:t>
      </w:r>
      <w:r>
        <w:rPr>
          <w:rStyle w:val="Text0"/>
        </w:rPr>
        <w:t>textwrap</w:t>
      </w:r>
      <w:r>
        <w:t xml:space="preserve">, </w:t>
      </w:r>
      <w:r>
        <w:rPr>
          <w:rStyle w:val="Text0"/>
        </w:rPr>
        <w:t>pprint</w:t>
      </w:r>
      <w:r>
        <w:t xml:space="preserve">, and </w:t>
      </w:r>
      <w:r>
        <w:rPr>
          <w:rStyle w:val="Text0"/>
        </w:rPr>
        <w:t>reprlib</w:t>
      </w:r>
      <w:r>
        <w:t xml:space="preserve"> modules. Issues related specifically to Unicode are covered at the end of the chapter.</w:t>
      </w:r>
    </w:p>
    <w:p>
      <w:bookmarkStart w:id="2245" w:name="Methods_of_String_Objects__str"/>
      <w:pPr>
        <w:keepNext/>
        <w:pStyle w:val="Heading 1"/>
      </w:pPr>
      <w:r>
        <w:t>Methods of String Objects</w:t>
      </w:r>
      <w:bookmarkEnd w:id="2245"/>
    </w:p>
    <w:p>
      <w:pPr>
        <w:pStyle w:val="Normal"/>
      </w:pPr>
      <w:r>
        <w:rPr>
          <w:rStyle w:val="Text0"/>
        </w:rPr>
        <w:t>str</w:t>
      </w:r>
      <w:r>
        <w:t xml:space="preserve">, </w:t>
      </w:r>
      <w:r>
        <w:rPr>
          <w:rStyle w:val="Text0"/>
        </w:rPr>
        <w:t>bytes</w:t>
      </w:r>
      <w:r>
        <w:t xml:space="preserve">, and </w:t>
      </w:r>
      <w:r>
        <w:rPr>
          <w:rStyle w:val="Text0"/>
        </w:rPr>
        <w:t>bytearray</w:t>
      </w:r>
      <w:r>
        <w:t xml:space="preserve"> objects</w:t>
      </w:r>
      <w:r>
        <w:rPr>
          <w:rStyle w:val="Text111"/>
        </w:rPr>
        <w:bookmarkStart w:id="2246" w:name="Smethod11"/>
        <w:t/>
        <w:bookmarkEnd w:id="2246"/>
      </w:r>
      <w:r>
        <w:t xml:space="preserve"> are sequences, as covered in </w:t>
      </w:r>
      <w:hyperlink w:anchor="Strings__Python_has_two_built_in">
        <w:r>
          <w:rPr>
            <w:rStyle w:val="Text1"/>
          </w:rPr>
          <w:t>“Strings”</w:t>
        </w:r>
      </w:hyperlink>
      <w:r>
        <w:t xml:space="preserve">; of these, only </w:t>
      </w:r>
      <w:r>
        <w:rPr>
          <w:rStyle w:val="Text0"/>
        </w:rPr>
        <w:t>bytearray</w:t>
      </w:r>
      <w:r>
        <w:t xml:space="preserve"> objects are mutable. All immutable-sequence operations (repetition, concatenation, indexing, and slicing) apply to instances of all three types, returning a new object of the same type. Unless otherwise specified in </w:t>
      </w:r>
      <w:hyperlink w:anchor="Table_9_1__Significant_str_and_b">
        <w:r>
          <w:rPr>
            <w:rStyle w:val="Text1"/>
          </w:rPr>
          <w:t>Table 9-1</w:t>
        </w:r>
      </w:hyperlink>
      <w:r>
        <w:t xml:space="preserve">, methods are present on objects of all three types. Most methods of </w:t>
      </w:r>
      <w:r>
        <w:rPr>
          <w:rStyle w:val="Text0"/>
        </w:rPr>
        <w:t>str</w:t>
      </w:r>
      <w:r>
        <w:t xml:space="preserve">, </w:t>
      </w:r>
      <w:r>
        <w:rPr>
          <w:rStyle w:val="Text0"/>
        </w:rPr>
        <w:t>bytes</w:t>
      </w:r>
      <w:r>
        <w:t xml:space="preserve">, and </w:t>
      </w:r>
      <w:r>
        <w:rPr>
          <w:rStyle w:val="Text0"/>
        </w:rPr>
        <w:t>bytearray</w:t>
      </w:r>
      <w:r>
        <w:t xml:space="preserve"> objects return values of the same type, or are specifically intended to convert among representations.</w:t>
      </w:r>
    </w:p>
    <w:p>
      <w:pPr>
        <w:pStyle w:val="Normal"/>
      </w:pPr>
      <w:r>
        <w:t xml:space="preserve">Terms such as “letters,” “whitespace,” and so on refer to the corresponding attributes of the </w:t>
      </w:r>
      <w:r>
        <w:rPr>
          <w:rStyle w:val="Text0"/>
        </w:rPr>
        <w:t>string</w:t>
      </w:r>
      <w:r>
        <w:t xml:space="preserve"> module, covered in the following section. Although </w:t>
      </w:r>
      <w:r>
        <w:rPr>
          <w:rStyle w:val="Text0"/>
        </w:rPr>
        <w:t>bytearray</w:t>
      </w:r>
      <w:r>
        <w:t xml:space="preserve"> objects are mutable, their methods returning a </w:t>
      </w:r>
      <w:r>
        <w:rPr>
          <w:rStyle w:val="Text0"/>
        </w:rPr>
        <w:t>bytearray</w:t>
      </w:r>
      <w:r>
        <w:t xml:space="preserve"> result do not mutate the object but instead return a newly created </w:t>
      </w:r>
      <w:r>
        <w:rPr>
          <w:rStyle w:val="Text0"/>
        </w:rPr>
        <w:t>bytearray</w:t>
      </w:r>
      <w:r>
        <w:t>, even when the result is the same as the subject string.</w:t>
      </w:r>
    </w:p>
    <w:p>
      <w:pPr>
        <w:pStyle w:val="Normal"/>
      </w:pPr>
      <w:r>
        <w:t xml:space="preserve">For brevity, the term </w:t>
      </w:r>
      <w:r>
        <w:rPr>
          <w:rStyle w:val="Text0"/>
        </w:rPr>
        <w:t>bytes</w:t>
      </w:r>
      <w:r>
        <w:t xml:space="preserve"> in the following table refers to both </w:t>
      </w:r>
      <w:r>
        <w:rPr>
          <w:rStyle w:val="Text0"/>
        </w:rPr>
        <w:t>bytes</w:t>
      </w:r>
      <w:r>
        <w:t xml:space="preserve"> and </w:t>
      </w:r>
      <w:r>
        <w:rPr>
          <w:rStyle w:val="Text0"/>
        </w:rPr>
        <w:t>bytearray</w:t>
      </w:r>
      <w:r>
        <w:t xml:space="preserve"> objects. Take care when mixing these two types, however: while they are generally interoperable, the type of the result usually depends on the order of the operands.</w:t>
      </w:r>
    </w:p>
    <w:p>
      <w:pPr>
        <w:pStyle w:val="Normal"/>
      </w:pPr>
      <w:r>
        <w:t xml:space="preserve">In </w:t>
      </w:r>
      <w:hyperlink w:anchor="Table_9_1__Significant_str_and_b">
        <w:r>
          <w:rPr>
            <w:rStyle w:val="Text1"/>
          </w:rPr>
          <w:t>Table 9-1</w:t>
        </w:r>
      </w:hyperlink>
      <w:r>
        <w:t xml:space="preserve">, since integer values in Python can be arbitrarily large, for conciseness we use </w:t>
      </w:r>
      <w:r>
        <w:rPr>
          <w:rStyle w:val="Text0"/>
        </w:rPr>
        <w:t>sys.maxsize</w:t>
      </w:r>
      <w:r>
        <w:t xml:space="preserve"> for integer default values to mean, in practice, “integer of unlimited magnitude.”</w:t>
      </w:r>
    </w:p>
    <w:tbl>
      <w:tblPr>
        <w:tblW w:type="auto" w:w="0"/>
      </w:tblPr>
      <w:tr>
        <w:tc>
          <w:tcPr>
            <w:tcW w:type="auto" w:w="0"/>
            <w:tcMar>
              <w:left w:type="dxa" w:w="200"/>
              <w:top w:type="dxa" w:w="200"/>
              <w:right w:type="dxa" w:w="200"/>
              <w:bottom w:type="dxa" w:w="200"/>
            </w:tcMar>
          </w:tcPr>
          <w:p>
            <w:bookmarkStart w:id="2247" w:name="Table_9_1__Significant_str_and_b"/>
            <w:pPr>
              <w:pStyle w:val="Para 011"/>
            </w:pPr>
            <w:r>
              <w:rPr>
                <w:rStyle w:val="Text117"/>
              </w:rPr>
              <w:t/>
            </w:r>
            <w:r>
              <w:t xml:space="preserve">Table 9-1. </w:t>
              <w:t xml:space="preserve">Significant </w:t>
            </w:r>
            <w:r>
              <w:rPr>
                <w:rStyle w:val="Text0"/>
              </w:rPr>
              <w:t>str</w:t>
            </w:r>
            <w:r>
              <w:t xml:space="preserve"> and </w:t>
            </w:r>
            <w:r>
              <w:rPr>
                <w:rStyle w:val="Text0"/>
              </w:rPr>
              <w:t>bytes</w:t>
            </w:r>
            <w:r>
              <w:t xml:space="preserve"> methods</w:t>
            </w:r>
            <w:bookmarkEnd w:id="2247"/>
          </w:p>
          <w:p>
            <w:pPr>
              <w:pStyle w:val="Para 001"/>
            </w:pPr>
            <w:r>
              <w:t>capitalize</w:t>
            </w:r>
          </w:p>
        </w:tc>
        <w:tc>
          <w:tcPr>
            <w:tcW w:type="auto" w:w="0"/>
            <w:tcMar>
              <w:left w:type="dxa" w:w="200"/>
              <w:top w:type="dxa" w:w="200"/>
              <w:right w:type="dxa" w:w="200"/>
              <w:bottom w:type="dxa" w:w="200"/>
            </w:tcMar>
          </w:tcPr>
          <w:p>
            <w:pPr>
              <w:pStyle w:val="Para 002"/>
            </w:pPr>
            <w:r>
              <w:rPr>
                <w:rStyle w:val="Text3"/>
              </w:rPr>
              <w:t>s</w:t>
            </w:r>
            <w:r>
              <w:rPr>
                <w:rStyle w:val="Text0"/>
              </w:rPr>
              <w:t>.capitalize()</w:t>
              <w:br w:clear="none"/>
            </w:r>
            <w:r>
              <w:t xml:space="preserve"> Returns</w:t>
            </w:r>
            <w:r>
              <w:rPr>
                <w:rStyle w:val="Text111"/>
              </w:rPr>
              <w:bookmarkStart w:id="2248" w:name="idm45965212788592"/>
              <w:t/>
              <w:bookmarkEnd w:id="2248"/>
            </w:r>
            <w:r>
              <w:t xml:space="preserve"> a copy of </w:t>
            </w:r>
            <w:r>
              <w:rPr>
                <w:rStyle w:val="Text3"/>
              </w:rPr>
              <w:t>s</w:t>
            </w:r>
            <w:r>
              <w:t xml:space="preserve"> where the first character, if a letter, is uppercase, and all other letters, if any, are lowercase.</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casefold</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.casefold()</w:t>
              <w:br w:clear="none"/>
            </w:r>
            <w:r>
              <w:t xml:space="preserve"> </w:t>
            </w:r>
            <w:r>
              <w:rPr>
                <w:rStyle w:val="Text5"/>
              </w:rPr>
              <w:t>str</w:t>
            </w:r>
            <w:r>
              <w:t xml:space="preserve"> </w:t>
            </w:r>
            <w:r>
              <w:rPr>
                <w:rStyle w:val="Text37"/>
              </w:rPr>
              <w:t>only</w:t>
            </w:r>
            <w:r>
              <w:t>. Returns</w:t>
            </w:r>
            <w:r>
              <w:rPr>
                <w:rStyle w:val="Text111"/>
              </w:rPr>
              <w:bookmarkStart w:id="2249" w:name="idm45965212781264"/>
              <w:t/>
              <w:bookmarkEnd w:id="2249"/>
            </w:r>
            <w:r>
              <w:t xml:space="preserve"> a string processed by the algorithm described in </w:t>
            </w:r>
            <w:hyperlink r:id="rId320">
              <w:r>
                <w:rPr>
                  <w:rStyle w:val="Text1"/>
                </w:rPr>
                <w:t>section 3.13 of the Unicode standard</w:t>
              </w:r>
            </w:hyperlink>
            <w:r>
              <w:t xml:space="preserve">. This is similar to </w:t>
            </w:r>
            <w:r>
              <w:rPr>
                <w:rStyle w:val="Text3"/>
              </w:rPr>
              <w:t>s</w:t>
            </w:r>
            <w:r>
              <w:rPr>
                <w:rStyle w:val="Text0"/>
              </w:rPr>
              <w:t>.lower</w:t>
            </w:r>
            <w:r>
              <w:t xml:space="preserve"> (described later in this table) but also takes into account equivalences such as that between the German </w:t>
            </w:r>
            <w:r>
              <w:rPr>
                <w:rStyle w:val="Text0"/>
              </w:rPr>
              <w:t>'</w:t>
            </w:r>
            <w:r>
              <w:t>ß</w:t>
            </w:r>
            <w:r>
              <w:rPr>
                <w:rStyle w:val="Text0"/>
              </w:rPr>
              <w:t>'</w:t>
            </w:r>
            <w:r>
              <w:t xml:space="preserve"> and </w:t>
            </w:r>
            <w:r>
              <w:rPr>
                <w:rStyle w:val="Text0"/>
              </w:rPr>
              <w:t>'ss'</w:t>
            </w:r>
            <w:r>
              <w:t>, and is thus better for case-insensitive matching when working with text that can include more than just the basic ASCII characters.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center</w:t>
            </w:r>
          </w:p>
        </w:tc>
        <w:tc>
          <w:tcPr>
            <w:tcW w:type="auto" w:w="0"/>
            <w:tcMar>
              <w:left w:type="dxa" w:w="200"/>
              <w:top w:type="dxa" w:w="200"/>
              <w:right w:type="dxa" w:w="200"/>
              <w:bottom w:type="dxa" w:w="200"/>
            </w:tcMar>
          </w:tcPr>
          <w:p>
            <w:pPr>
              <w:pStyle w:val="Para 002"/>
            </w:pPr>
            <w:r>
              <w:rPr>
                <w:rStyle w:val="Text3"/>
              </w:rPr>
              <w:t>s</w:t>
            </w:r>
            <w:r>
              <w:rPr>
                <w:rStyle w:val="Text0"/>
              </w:rPr>
              <w:t>.center(</w:t>
            </w:r>
            <w:r>
              <w:rPr>
                <w:rStyle w:val="Text3"/>
              </w:rPr>
              <w:t>n</w:t>
            </w:r>
            <w:r>
              <w:rPr>
                <w:rStyle w:val="Text0"/>
              </w:rPr>
              <w:t>,</w:t>
            </w:r>
            <w:r>
              <w:t xml:space="preserve"> </w:t>
            </w:r>
            <w:r>
              <w:rPr>
                <w:rStyle w:val="Text3"/>
              </w:rPr>
              <w:t>fillchar</w:t>
            </w:r>
            <w:r>
              <w:rPr>
                <w:rStyle w:val="Text0"/>
              </w:rPr>
              <w:t>=' ', /)</w:t>
              <w:br w:clear="none"/>
            </w:r>
            <w:r>
              <w:t xml:space="preserve"> Returns</w:t>
            </w:r>
            <w:r>
              <w:rPr>
                <w:rStyle w:val="Text111"/>
              </w:rPr>
              <w:bookmarkStart w:id="2250" w:name="idm45965212770240"/>
              <w:t/>
              <w:bookmarkEnd w:id="2250"/>
            </w:r>
            <w:r>
              <w:t xml:space="preserve"> a string of length </w:t>
            </w:r>
            <w:r>
              <w:rPr>
                <w:rStyle w:val="Text0"/>
              </w:rPr>
              <w:t>max(len(</w:t>
            </w:r>
            <w:r>
              <w:rPr>
                <w:rStyle w:val="Text3"/>
              </w:rPr>
              <w:t>s</w:t>
            </w:r>
            <w:r>
              <w:rPr>
                <w:rStyle w:val="Text0"/>
              </w:rPr>
              <w:t>),</w:t>
            </w:r>
            <w:r>
              <w:t xml:space="preserve"> </w:t>
            </w:r>
            <w:r>
              <w:rPr>
                <w:rStyle w:val="Text3"/>
              </w:rPr>
              <w:t>n</w:t>
            </w:r>
            <w:r>
              <w:rPr>
                <w:rStyle w:val="Text0"/>
              </w:rPr>
              <w:t>)</w:t>
            </w:r>
            <w:r>
              <w:t xml:space="preserve">, with a copy of </w:t>
            </w:r>
            <w:r>
              <w:rPr>
                <w:rStyle w:val="Text3"/>
              </w:rPr>
              <w:t>s</w:t>
            </w:r>
            <w:r>
              <w:t xml:space="preserve"> in the central part, surrounded by equal numbers of copies of character </w:t>
            </w:r>
            <w:r>
              <w:rPr>
                <w:rStyle w:val="Text3"/>
              </w:rPr>
              <w:t>fillchar</w:t>
            </w:r>
            <w:r>
              <w:t xml:space="preserve"> on both sides. The default </w:t>
            </w:r>
            <w:r>
              <w:rPr>
                <w:rStyle w:val="Text0"/>
              </w:rPr>
              <w:t>fillchar</w:t>
            </w:r>
            <w:r>
              <w:t xml:space="preserve"> is a space. For example, </w:t>
            </w:r>
            <w:r>
              <w:rPr>
                <w:rStyle w:val="Text0"/>
              </w:rPr>
              <w:t>'ciao'.center(2)</w:t>
            </w:r>
            <w:r>
              <w:t xml:space="preserve"> is </w:t>
            </w:r>
            <w:r>
              <w:rPr>
                <w:rStyle w:val="Text0"/>
              </w:rPr>
              <w:t>'ciao'</w:t>
            </w:r>
            <w:r>
              <w:t xml:space="preserve"> and </w:t>
            </w:r>
            <w:r>
              <w:rPr>
                <w:rStyle w:val="Text0"/>
              </w:rPr>
              <w:t>'x'.center(4, '_')</w:t>
            </w:r>
            <w:r>
              <w:t xml:space="preserve"> is </w:t>
            </w:r>
            <w:r>
              <w:rPr>
                <w:rStyle w:val="Text0"/>
              </w:rPr>
              <w:t>'_x__'</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count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.count(</w:t>
            </w:r>
            <w:r>
              <w:rPr>
                <w:rStyle w:val="Text3"/>
              </w:rPr>
              <w:t>sub</w:t>
            </w:r>
            <w:r>
              <w:rPr>
                <w:rStyle w:val="Text0"/>
              </w:rPr>
              <w:t>,</w:t>
            </w:r>
            <w:r>
              <w:t xml:space="preserve"> </w:t>
            </w:r>
            <w:r>
              <w:rPr>
                <w:rStyle w:val="Text3"/>
              </w:rPr>
              <w:t>start</w:t>
            </w:r>
            <w:r>
              <w:rPr>
                <w:rStyle w:val="Text0"/>
              </w:rPr>
              <w:t>=0,</w:t>
            </w:r>
            <w:r>
              <w:t xml:space="preserve"> </w:t>
            </w:r>
            <w:r>
              <w:rPr>
                <w:rStyle w:val="Text3"/>
              </w:rPr>
              <w:t>end</w:t>
            </w:r>
            <w:r>
              <w:rPr>
                <w:rStyle w:val="Text0"/>
              </w:rPr>
              <w:t>=sys.maxsize, /)</w:t>
              <w:br w:clear="none"/>
            </w:r>
            <w:r>
              <w:t xml:space="preserve"> Returns</w:t>
            </w:r>
            <w:r>
              <w:rPr>
                <w:rStyle w:val="Text111"/>
              </w:rPr>
              <w:bookmarkStart w:id="2251" w:name="idm45965212754272"/>
              <w:t/>
              <w:bookmarkEnd w:id="2251"/>
            </w:r>
            <w:r>
              <w:t xml:space="preserve"> the number of nonoverlapping occurrences of substring </w:t>
            </w:r>
            <w:r>
              <w:rPr>
                <w:rStyle w:val="Text3"/>
              </w:rPr>
              <w:t>sub</w:t>
            </w:r>
            <w:r>
              <w:t xml:space="preserve"> in </w:t>
            </w:r>
            <w:r>
              <w:rPr>
                <w:rStyle w:val="Text3"/>
              </w:rPr>
              <w:t>s</w:t>
            </w:r>
            <w:r>
              <w:rPr>
                <w:rStyle w:val="Text0"/>
              </w:rPr>
              <w:t>[</w:t>
            </w:r>
            <w:r>
              <w:rPr>
                <w:rStyle w:val="Text3"/>
              </w:rPr>
              <w:t>start</w:t>
            </w:r>
            <w:r>
              <w:rPr>
                <w:rStyle w:val="Text0"/>
              </w:rPr>
              <w:t>:</w:t>
            </w:r>
            <w:r>
              <w:rPr>
                <w:rStyle w:val="Text3"/>
              </w:rPr>
              <w:t>end</w:t>
            </w:r>
            <w:r>
              <w:rPr>
                <w:rStyle w:val="Text0"/>
              </w:rPr>
              <w:t>]</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decode</w:t>
            </w:r>
          </w:p>
        </w:tc>
        <w:tc>
          <w:tcPr>
            <w:tcW w:type="auto" w:w="0"/>
            <w:tcMar>
              <w:left w:type="dxa" w:w="200"/>
              <w:top w:type="dxa" w:w="200"/>
              <w:right w:type="dxa" w:w="200"/>
              <w:bottom w:type="dxa" w:w="200"/>
            </w:tcMar>
          </w:tcPr>
          <w:p>
            <w:pPr>
              <w:pStyle w:val="Para 002"/>
            </w:pPr>
            <w:r>
              <w:rPr>
                <w:rStyle w:val="Text3"/>
              </w:rPr>
              <w:t>s</w:t>
            </w:r>
            <w:r>
              <w:rPr>
                <w:rStyle w:val="Text0"/>
              </w:rPr>
              <w:t>.decode(encoding='utf-8', errors='strict')</w:t>
              <w:br w:clear="none"/>
            </w:r>
            <w:r>
              <w:t xml:space="preserve"> </w:t>
            </w:r>
            <w:r>
              <w:rPr>
                <w:rStyle w:val="Text5"/>
              </w:rPr>
              <w:t>bytes</w:t>
            </w:r>
            <w:r>
              <w:t xml:space="preserve"> </w:t>
            </w:r>
            <w:r>
              <w:rPr>
                <w:rStyle w:val="Text37"/>
              </w:rPr>
              <w:t>only</w:t>
            </w:r>
            <w:r>
              <w:t xml:space="preserve">. Returns a </w:t>
            </w:r>
            <w:r>
              <w:rPr>
                <w:rStyle w:val="Text0"/>
              </w:rPr>
              <w:t>str</w:t>
            </w:r>
            <w:r>
              <w:t xml:space="preserve"> object decoded from the </w:t>
            </w:r>
            <w:r>
              <w:rPr>
                <w:rStyle w:val="Text0"/>
              </w:rPr>
              <w:t>bytes</w:t>
            </w:r>
            <w:r>
              <w:t xml:space="preserve"> </w:t>
            </w:r>
            <w:r>
              <w:rPr>
                <w:rStyle w:val="Text3"/>
              </w:rPr>
              <w:t>s</w:t>
            </w:r>
            <w:r>
              <w:t xml:space="preserve"> according to the given encoding. </w:t>
            </w:r>
            <w:r>
              <w:rPr>
                <w:rStyle w:val="Text0"/>
              </w:rPr>
              <w:t>errors</w:t>
            </w:r>
            <w:r>
              <w:t xml:space="preserve"> specifies how to handle decoding errors: </w:t>
            </w:r>
            <w:r>
              <w:rPr>
                <w:rStyle w:val="Text0"/>
              </w:rPr>
              <w:t>'strict'</w:t>
            </w:r>
            <w:r>
              <w:t xml:space="preserve"> causes errors to raise </w:t>
            </w:r>
            <w:r>
              <w:rPr>
                <w:rStyle w:val="Text0"/>
              </w:rPr>
              <w:t>UnicodeError</w:t>
            </w:r>
            <w:r>
              <w:t xml:space="preserve"> exceptions; </w:t>
            </w:r>
            <w:r>
              <w:rPr>
                <w:rStyle w:val="Text0"/>
              </w:rPr>
              <w:t>'ignore'</w:t>
            </w:r>
            <w:r>
              <w:t xml:space="preserve"> ignores the malformed values, while </w:t>
            </w:r>
            <w:r>
              <w:rPr>
                <w:rStyle w:val="Text0"/>
              </w:rPr>
              <w:t>'replace'</w:t>
            </w:r>
            <w:r>
              <w:t xml:space="preserve"> replaces them with question marks (see </w:t>
            </w:r>
            <w:hyperlink w:anchor="Unicode__To_convert_bytestrings">
              <w:r>
                <w:rPr>
                  <w:rStyle w:val="Text1"/>
                </w:rPr>
                <w:t>“Unicode”</w:t>
              </w:r>
            </w:hyperlink>
            <w:r>
              <w:t xml:space="preserve"> for details). Other values can be registered via </w:t>
            </w:r>
            <w:r>
              <w:rPr>
                <w:rStyle w:val="Text0"/>
              </w:rPr>
              <w:t>codecs.register_error</w:t>
            </w:r>
            <w:r>
              <w:t>, covered in Table 9-10.</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encode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.encode(encoding='utf-8', errors='strict')</w:t>
              <w:br w:clear="none"/>
            </w:r>
            <w:r>
              <w:t xml:space="preserve"> </w:t>
            </w:r>
            <w:r>
              <w:rPr>
                <w:rStyle w:val="Text5"/>
              </w:rPr>
              <w:t>str</w:t>
            </w:r>
            <w:r>
              <w:t xml:space="preserve"> </w:t>
            </w:r>
            <w:r>
              <w:rPr>
                <w:rStyle w:val="Text37"/>
              </w:rPr>
              <w:t>only</w:t>
            </w:r>
            <w:r>
              <w:t>. Returns</w:t>
            </w:r>
            <w:r>
              <w:rPr>
                <w:rStyle w:val="Text111"/>
              </w:rPr>
              <w:bookmarkStart w:id="2252" w:name="idm45965212732608"/>
              <w:t/>
              <w:bookmarkEnd w:id="2252"/>
            </w:r>
            <w:r>
              <w:t xml:space="preserve"> a </w:t>
            </w:r>
            <w:r>
              <w:rPr>
                <w:rStyle w:val="Text0"/>
              </w:rPr>
              <w:t>bytes</w:t>
            </w:r>
            <w:r>
              <w:t xml:space="preserve"> object obtained from </w:t>
            </w:r>
            <w:r>
              <w:rPr>
                <w:rStyle w:val="Text0"/>
              </w:rPr>
              <w:t>str</w:t>
            </w:r>
            <w:r>
              <w:t xml:space="preserve"> </w:t>
            </w:r>
            <w:r>
              <w:rPr>
                <w:rStyle w:val="Text3"/>
              </w:rPr>
              <w:t>s</w:t>
            </w:r>
            <w:r>
              <w:t xml:space="preserve"> with the given encoding and error handling. See </w:t>
            </w:r>
            <w:hyperlink w:anchor="Unicode__To_convert_bytestrings">
              <w:r>
                <w:rPr>
                  <w:rStyle w:val="Text1"/>
                </w:rPr>
                <w:t>“Unicode”</w:t>
              </w:r>
            </w:hyperlink>
            <w:r>
              <w:t xml:space="preserve"> for more details.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endswith</w:t>
            </w:r>
          </w:p>
        </w:tc>
        <w:tc>
          <w:tcPr>
            <w:tcW w:type="auto" w:w="0"/>
            <w:tcMar>
              <w:left w:type="dxa" w:w="200"/>
              <w:top w:type="dxa" w:w="200"/>
              <w:right w:type="dxa" w:w="200"/>
              <w:bottom w:type="dxa" w:w="200"/>
            </w:tcMar>
          </w:tcPr>
          <w:p>
            <w:pPr>
              <w:pStyle w:val="Para 002"/>
            </w:pPr>
            <w:r>
              <w:rPr>
                <w:rStyle w:val="Text3"/>
              </w:rPr>
              <w:t>s</w:t>
            </w:r>
            <w:r>
              <w:rPr>
                <w:rStyle w:val="Text0"/>
              </w:rPr>
              <w:t>.endswith(</w:t>
            </w:r>
            <w:r>
              <w:rPr>
                <w:rStyle w:val="Text3"/>
              </w:rPr>
              <w:t>suffix</w:t>
            </w:r>
            <w:r>
              <w:rPr>
                <w:rStyle w:val="Text0"/>
              </w:rPr>
              <w:t>,</w:t>
            </w:r>
            <w:r>
              <w:t xml:space="preserve"> </w:t>
            </w:r>
            <w:r>
              <w:rPr>
                <w:rStyle w:val="Text3"/>
              </w:rPr>
              <w:t>start</w:t>
            </w:r>
            <w:r>
              <w:rPr>
                <w:rStyle w:val="Text0"/>
              </w:rPr>
              <w:t>=0,</w:t>
            </w:r>
            <w:r>
              <w:t xml:space="preserve"> </w:t>
            </w:r>
            <w:r>
              <w:rPr>
                <w:rStyle w:val="Text3"/>
              </w:rPr>
              <w:t>end</w:t>
            </w:r>
            <w:r>
              <w:rPr>
                <w:rStyle w:val="Text0"/>
              </w:rPr>
              <w:t>=sys.maxsize, /)</w:t>
              <w:br w:clear="none"/>
            </w:r>
            <w:r>
              <w:t xml:space="preserve"> Returns</w:t>
            </w:r>
            <w:r>
              <w:rPr>
                <w:rStyle w:val="Text111"/>
              </w:rPr>
              <w:bookmarkStart w:id="2253" w:name="idm45965212720992"/>
              <w:t/>
              <w:bookmarkEnd w:id="2253"/>
            </w:r>
            <w:r>
              <w:t xml:space="preserve"> </w:t>
            </w:r>
            <w:r>
              <w:rPr>
                <w:rStyle w:val="Text5"/>
              </w:rPr>
              <w:t>True</w:t>
            </w:r>
            <w:r>
              <w:t xml:space="preserve"> when </w:t>
            </w:r>
            <w:r>
              <w:rPr>
                <w:rStyle w:val="Text3"/>
              </w:rPr>
              <w:t>s</w:t>
            </w:r>
            <w:r>
              <w:rPr>
                <w:rStyle w:val="Text0"/>
              </w:rPr>
              <w:t>[</w:t>
            </w:r>
            <w:r>
              <w:rPr>
                <w:rStyle w:val="Text3"/>
              </w:rPr>
              <w:t>start</w:t>
            </w:r>
            <w:r>
              <w:rPr>
                <w:rStyle w:val="Text0"/>
              </w:rPr>
              <w:t>:</w:t>
            </w:r>
            <w:r>
              <w:rPr>
                <w:rStyle w:val="Text3"/>
              </w:rPr>
              <w:t>end</w:t>
            </w:r>
            <w:r>
              <w:rPr>
                <w:rStyle w:val="Text0"/>
              </w:rPr>
              <w:t>]</w:t>
            </w:r>
            <w:r>
              <w:t xml:space="preserve"> ends with the string </w:t>
            </w:r>
            <w:r>
              <w:rPr>
                <w:rStyle w:val="Text3"/>
              </w:rPr>
              <w:t>suffix</w:t>
            </w:r>
            <w:r>
              <w:t xml:space="preserve">; otherwise, returns </w:t>
            </w:r>
            <w:r>
              <w:rPr>
                <w:rStyle w:val="Text5"/>
              </w:rPr>
              <w:t>False</w:t>
            </w:r>
            <w:r>
              <w:t xml:space="preserve">. </w:t>
            </w:r>
            <w:r>
              <w:rPr>
                <w:rStyle w:val="Text3"/>
              </w:rPr>
              <w:t>suffix</w:t>
            </w:r>
            <w:r>
              <w:t xml:space="preserve"> can be a tuple of strings, in which case </w:t>
            </w:r>
            <w:r>
              <w:rPr>
                <w:rStyle w:val="Text0"/>
              </w:rPr>
              <w:t>endswith</w:t>
            </w:r>
            <w:r>
              <w:t xml:space="preserve"> returns </w:t>
            </w:r>
            <w:r>
              <w:rPr>
                <w:rStyle w:val="Text5"/>
              </w:rPr>
              <w:t>True</w:t>
            </w:r>
            <w:r>
              <w:t xml:space="preserve"> when </w:t>
            </w:r>
            <w:r>
              <w:rPr>
                <w:rStyle w:val="Text3"/>
              </w:rPr>
              <w:t>s</w:t>
            </w:r>
            <w:r>
              <w:rPr>
                <w:rStyle w:val="Text0"/>
              </w:rPr>
              <w:t>[</w:t>
            </w:r>
            <w:r>
              <w:rPr>
                <w:rStyle w:val="Text3"/>
              </w:rPr>
              <w:t>start</w:t>
            </w:r>
            <w:r>
              <w:rPr>
                <w:rStyle w:val="Text0"/>
              </w:rPr>
              <w:t>:</w:t>
            </w:r>
            <w:r>
              <w:rPr>
                <w:rStyle w:val="Text3"/>
              </w:rPr>
              <w:t>end</w:t>
            </w:r>
            <w:r>
              <w:rPr>
                <w:rStyle w:val="Text0"/>
              </w:rPr>
              <w:t>]</w:t>
            </w:r>
            <w:r>
              <w:t xml:space="preserve"> ends with any one of them.</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expandtabs</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.expandtabs(tabsize=8)</w:t>
              <w:br w:clear="none"/>
            </w:r>
            <w:r>
              <w:t xml:space="preserve"> Returns</w:t>
            </w:r>
            <w:r>
              <w:rPr>
                <w:rStyle w:val="Text111"/>
              </w:rPr>
              <w:bookmarkStart w:id="2254" w:name="idm45965212706848"/>
              <w:t/>
              <w:bookmarkEnd w:id="2254"/>
            </w:r>
            <w:r>
              <w:t xml:space="preserve"> a copy of </w:t>
            </w:r>
            <w:r>
              <w:rPr>
                <w:rStyle w:val="Text3"/>
              </w:rPr>
              <w:t>s</w:t>
            </w:r>
            <w:r>
              <w:t xml:space="preserve"> where each tab character is changed into one or more spaces, with tab stops every </w:t>
            </w:r>
            <w:r>
              <w:rPr>
                <w:rStyle w:val="Text3"/>
              </w:rPr>
              <w:t>tabsize</w:t>
            </w:r>
            <w:r>
              <w:t xml:space="preserve"> characters.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find</w:t>
            </w:r>
          </w:p>
        </w:tc>
        <w:tc>
          <w:tcPr>
            <w:tcW w:type="auto" w:w="0"/>
            <w:tcMar>
              <w:left w:type="dxa" w:w="200"/>
              <w:top w:type="dxa" w:w="200"/>
              <w:right w:type="dxa" w:w="200"/>
              <w:bottom w:type="dxa" w:w="200"/>
            </w:tcMar>
          </w:tcPr>
          <w:p>
            <w:pPr>
              <w:pStyle w:val="Para 002"/>
            </w:pPr>
            <w:r>
              <w:rPr>
                <w:rStyle w:val="Text3"/>
              </w:rPr>
              <w:t>s</w:t>
            </w:r>
            <w:r>
              <w:rPr>
                <w:rStyle w:val="Text0"/>
              </w:rPr>
              <w:t>.find(</w:t>
            </w:r>
            <w:r>
              <w:rPr>
                <w:rStyle w:val="Text3"/>
              </w:rPr>
              <w:t>sub</w:t>
            </w:r>
            <w:r>
              <w:rPr>
                <w:rStyle w:val="Text0"/>
              </w:rPr>
              <w:t>,</w:t>
            </w:r>
            <w:r>
              <w:t xml:space="preserve"> </w:t>
            </w:r>
            <w:r>
              <w:rPr>
                <w:rStyle w:val="Text3"/>
              </w:rPr>
              <w:t>start</w:t>
            </w:r>
            <w:r>
              <w:rPr>
                <w:rStyle w:val="Text0"/>
              </w:rPr>
              <w:t>=0,</w:t>
            </w:r>
            <w:r>
              <w:t xml:space="preserve"> </w:t>
            </w:r>
            <w:r>
              <w:rPr>
                <w:rStyle w:val="Text3"/>
              </w:rPr>
              <w:t>end</w:t>
            </w:r>
            <w:r>
              <w:rPr>
                <w:rStyle w:val="Text0"/>
              </w:rPr>
              <w:t>=sys.maxsize, /)</w:t>
              <w:br w:clear="none"/>
            </w:r>
            <w:r>
              <w:t xml:space="preserve"> Returns</w:t>
            </w:r>
            <w:r>
              <w:rPr>
                <w:rStyle w:val="Text111"/>
              </w:rPr>
              <w:bookmarkStart w:id="2255" w:name="idm45965212696656"/>
              <w:t/>
              <w:bookmarkEnd w:id="2255"/>
            </w:r>
            <w:r>
              <w:t xml:space="preserve"> the lowest index in </w:t>
            </w:r>
            <w:r>
              <w:rPr>
                <w:rStyle w:val="Text3"/>
              </w:rPr>
              <w:t>s</w:t>
            </w:r>
            <w:r>
              <w:t xml:space="preserve"> where substring </w:t>
            </w:r>
            <w:r>
              <w:rPr>
                <w:rStyle w:val="Text3"/>
              </w:rPr>
              <w:t>sub</w:t>
            </w:r>
            <w:r>
              <w:t xml:space="preserve"> is found, such that </w:t>
            </w:r>
            <w:r>
              <w:rPr>
                <w:rStyle w:val="Text3"/>
              </w:rPr>
              <w:t>sub</w:t>
            </w:r>
            <w:r>
              <w:t xml:space="preserve"> is entirely contained in </w:t>
            </w:r>
            <w:r>
              <w:rPr>
                <w:rStyle w:val="Text3"/>
              </w:rPr>
              <w:t>s</w:t>
            </w:r>
            <w:r>
              <w:rPr>
                <w:rStyle w:val="Text0"/>
              </w:rPr>
              <w:t>[</w:t>
            </w:r>
            <w:r>
              <w:rPr>
                <w:rStyle w:val="Text3"/>
              </w:rPr>
              <w:t>start</w:t>
            </w:r>
            <w:r>
              <w:rPr>
                <w:rStyle w:val="Text0"/>
              </w:rPr>
              <w:t>:</w:t>
            </w:r>
            <w:r>
              <w:rPr>
                <w:rStyle w:val="Text3"/>
              </w:rPr>
              <w:t>end</w:t>
            </w:r>
            <w:r>
              <w:rPr>
                <w:rStyle w:val="Text0"/>
              </w:rPr>
              <w:t>]</w:t>
            </w:r>
            <w:r>
              <w:t xml:space="preserve">. For example, </w:t>
            </w:r>
            <w:r>
              <w:rPr>
                <w:rStyle w:val="Text0"/>
              </w:rPr>
              <w:t>'banana'.find('na')</w:t>
            </w:r>
            <w:r>
              <w:t xml:space="preserve"> returns </w:t>
            </w:r>
            <w:r>
              <w:rPr>
                <w:rStyle w:val="Text0"/>
              </w:rPr>
              <w:t>2</w:t>
            </w:r>
            <w:r>
              <w:t xml:space="preserve">, as does </w:t>
            </w:r>
            <w:r>
              <w:rPr>
                <w:rStyle w:val="Text0"/>
              </w:rPr>
              <w:t>'banana'.find('na', 1)</w:t>
            </w:r>
            <w:r>
              <w:t xml:space="preserve">, while </w:t>
            </w:r>
            <w:r>
              <w:rPr>
                <w:rStyle w:val="Text0"/>
              </w:rPr>
              <w:t>'banana'.find('na', 3)</w:t>
            </w:r>
            <w:r>
              <w:t xml:space="preserve"> returns </w:t>
            </w:r>
            <w:r>
              <w:rPr>
                <w:rStyle w:val="Text0"/>
              </w:rPr>
              <w:t>4</w:t>
            </w:r>
            <w:r>
              <w:t xml:space="preserve">, as does </w:t>
            </w:r>
            <w:r>
              <w:rPr>
                <w:rStyle w:val="Text0"/>
              </w:rPr>
              <w:t>'banana'.find('na', -2)</w:t>
            </w:r>
            <w:r>
              <w:t xml:space="preserve">. </w:t>
            </w:r>
            <w:r>
              <w:rPr>
                <w:rStyle w:val="Text0"/>
              </w:rPr>
              <w:t>find</w:t>
            </w:r>
            <w:r>
              <w:t xml:space="preserve"> returns </w:t>
            </w:r>
            <w:r>
              <w:rPr>
                <w:rStyle w:val="Text0"/>
              </w:rPr>
              <w:t>-1</w:t>
            </w:r>
            <w:r>
              <w:t xml:space="preserve"> when </w:t>
            </w:r>
            <w:r>
              <w:rPr>
                <w:rStyle w:val="Text3"/>
              </w:rPr>
              <w:t>sub</w:t>
            </w:r>
            <w:r>
              <w:t xml:space="preserve"> is not found.</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format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.format(</w:t>
            </w:r>
            <w:r>
              <w:rPr>
                <w:rStyle w:val="Text3"/>
              </w:rPr>
              <w:t>*args</w:t>
            </w:r>
            <w:r>
              <w:rPr>
                <w:rStyle w:val="Text0"/>
              </w:rPr>
              <w:t>,</w:t>
            </w:r>
            <w:r>
              <w:t xml:space="preserve"> </w:t>
            </w:r>
            <w:r>
              <w:rPr>
                <w:rStyle w:val="Text3"/>
              </w:rPr>
              <w:t>**kwargs</w:t>
            </w:r>
            <w:r>
              <w:rPr>
                <w:rStyle w:val="Text0"/>
              </w:rPr>
              <w:t>)</w:t>
              <w:br w:clear="none"/>
            </w:r>
            <w:r>
              <w:t xml:space="preserve"> </w:t>
            </w:r>
            <w:r>
              <w:rPr>
                <w:rStyle w:val="Text5"/>
              </w:rPr>
              <w:t>str</w:t>
            </w:r>
            <w:r>
              <w:t xml:space="preserve"> </w:t>
            </w:r>
            <w:r>
              <w:rPr>
                <w:rStyle w:val="Text37"/>
              </w:rPr>
              <w:t>only</w:t>
            </w:r>
            <w:r>
              <w:t>. Formats</w:t>
            </w:r>
            <w:r>
              <w:rPr>
                <w:rStyle w:val="Text111"/>
              </w:rPr>
              <w:bookmarkStart w:id="2256" w:name="idm45965212677200"/>
              <w:t/>
              <w:bookmarkEnd w:id="2256"/>
            </w:r>
            <w:r>
              <w:t xml:space="preserve"> the positional and named arguments according to formatting instructions contained in the string </w:t>
            </w:r>
            <w:r>
              <w:rPr>
                <w:rStyle w:val="Text3"/>
              </w:rPr>
              <w:t>s</w:t>
            </w:r>
            <w:r>
              <w:t xml:space="preserve">. See </w:t>
            </w:r>
            <w:hyperlink w:anchor="String_Formatting__Python_provid">
              <w:r>
                <w:rPr>
                  <w:rStyle w:val="Text1"/>
                </w:rPr>
                <w:t>“String Formatting”</w:t>
              </w:r>
            </w:hyperlink>
            <w:r>
              <w:t xml:space="preserve"> for further details.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format_map</w:t>
            </w:r>
          </w:p>
        </w:tc>
        <w:tc>
          <w:tcPr>
            <w:tcW w:type="auto" w:w="0"/>
            <w:tcMar>
              <w:left w:type="dxa" w:w="200"/>
              <w:top w:type="dxa" w:w="200"/>
              <w:right w:type="dxa" w:w="200"/>
              <w:bottom w:type="dxa" w:w="200"/>
            </w:tcMar>
          </w:tcPr>
          <w:p>
            <w:pPr>
              <w:pStyle w:val="Para 002"/>
            </w:pPr>
            <w:r>
              <w:rPr>
                <w:rStyle w:val="Text3"/>
              </w:rPr>
              <w:t>s</w:t>
            </w:r>
            <w:r>
              <w:t>.</w:t>
            </w:r>
            <w:r>
              <w:rPr>
                <w:rStyle w:val="Text0"/>
              </w:rPr>
              <w:t>format_map(mapping)</w:t>
              <w:br w:clear="none"/>
            </w:r>
            <w:r>
              <w:t xml:space="preserve"> </w:t>
            </w:r>
            <w:r>
              <w:rPr>
                <w:rStyle w:val="Text5"/>
              </w:rPr>
              <w:t>str</w:t>
            </w:r>
            <w:r>
              <w:t xml:space="preserve"> </w:t>
            </w:r>
            <w:r>
              <w:rPr>
                <w:rStyle w:val="Text37"/>
              </w:rPr>
              <w:t>only</w:t>
            </w:r>
            <w:r>
              <w:t>. Formats</w:t>
            </w:r>
            <w:r>
              <w:rPr>
                <w:rStyle w:val="Text111"/>
              </w:rPr>
              <w:bookmarkStart w:id="2257" w:name="idm45965212668864"/>
              <w:t/>
              <w:bookmarkEnd w:id="2257"/>
            </w:r>
            <w:r>
              <w:t xml:space="preserve"> the mapping argument according to formatting instructions contained in the string </w:t>
            </w:r>
            <w:r>
              <w:rPr>
                <w:rStyle w:val="Text3"/>
              </w:rPr>
              <w:t>s</w:t>
            </w:r>
            <w:r>
              <w:t xml:space="preserve">. Equivalent to </w:t>
            </w:r>
            <w:r>
              <w:rPr>
                <w:rStyle w:val="Text3"/>
              </w:rPr>
              <w:t>s</w:t>
            </w:r>
            <w:r>
              <w:rPr>
                <w:rStyle w:val="Text0"/>
              </w:rPr>
              <w:t>.format(**mapping)</w:t>
            </w:r>
            <w:r>
              <w:t xml:space="preserve"> but uses the mapping directly. See </w:t>
            </w:r>
            <w:hyperlink w:anchor="String_Formatting__Python_provid">
              <w:r>
                <w:rPr>
                  <w:rStyle w:val="Text1"/>
                </w:rPr>
                <w:t>“String Formatting”</w:t>
              </w:r>
            </w:hyperlink>
            <w:r>
              <w:t xml:space="preserve"> for formatting details.</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index</w:t>
            </w:r>
          </w:p>
        </w:tc>
        <w:tc>
          <w:tcPr>
            <w:tcW w:type="auto" w:w="0"/>
            <w:shd w:val="clear" w:color="auto" w:fill="EEF2F6"/>
            <w:tcMar>
              <w:left w:type="dxa" w:w="200"/>
              <w:top w:type="dxa" w:w="200"/>
              <w:right w:type="dxa" w:w="200"/>
              <w:bottom w:type="dxa" w:w="200"/>
            </w:tcMar>
          </w:tcPr>
          <w:p>
            <w:pPr>
              <w:pStyle w:val="Para 001"/>
            </w:pPr>
            <w:r>
              <w:rPr>
                <w:rStyle w:val="Text3"/>
              </w:rPr>
              <w:t>s</w:t>
            </w:r>
            <w:r>
              <w:t>.index(</w:t>
            </w:r>
            <w:r>
              <w:rPr>
                <w:rStyle w:val="Text3"/>
              </w:rPr>
              <w:t>sub</w:t>
            </w:r>
            <w:r>
              <w:t>,</w:t>
            </w:r>
            <w:r>
              <w:rPr>
                <w:rStyle w:val="Text12"/>
              </w:rPr>
              <w:t xml:space="preserve"> </w:t>
            </w:r>
            <w:r>
              <w:rPr>
                <w:rStyle w:val="Text3"/>
              </w:rPr>
              <w:t>start</w:t>
            </w:r>
            <w:r>
              <w:t>=0,</w:t>
            </w:r>
            <w:r>
              <w:rPr>
                <w:rStyle w:val="Text12"/>
              </w:rPr>
              <w:t xml:space="preserve"> </w:t>
            </w:r>
            <w:r>
              <w:rPr>
                <w:rStyle w:val="Text3"/>
              </w:rPr>
              <w:t>end</w:t>
            </w:r>
            <w:r>
              <w:t>=sys.maxsize, /)</w:t>
              <w:br w:clear="none"/>
            </w:r>
            <w:r>
              <w:rPr>
                <w:rStyle w:val="Text12"/>
              </w:rPr>
              <w:t xml:space="preserve"> Like</w:t>
            </w:r>
            <w:r>
              <w:rPr>
                <w:rStyle w:val="Text115"/>
              </w:rPr>
              <w:bookmarkStart w:id="2258" w:name="idm45965212657520"/>
              <w:t/>
              <w:bookmarkEnd w:id="2258"/>
            </w:r>
            <w:r>
              <w:rPr>
                <w:rStyle w:val="Text12"/>
              </w:rPr>
              <w:t xml:space="preserve"> </w:t>
            </w:r>
            <w:r>
              <w:t>find</w:t>
            </w:r>
            <w:r>
              <w:rPr>
                <w:rStyle w:val="Text12"/>
              </w:rPr>
              <w:t xml:space="preserve">, but raises </w:t>
            </w:r>
            <w:r>
              <w:t>ValueError</w:t>
            </w:r>
            <w:r>
              <w:rPr>
                <w:rStyle w:val="Text12"/>
              </w:rPr>
              <w:t xml:space="preserve"> when </w:t>
            </w:r>
            <w:r>
              <w:rPr>
                <w:rStyle w:val="Text3"/>
              </w:rPr>
              <w:t>sub</w:t>
            </w:r>
            <w:r>
              <w:rPr>
                <w:rStyle w:val="Text12"/>
              </w:rPr>
              <w:t xml:space="preserve"> is not found.</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isalnum</w:t>
            </w:r>
          </w:p>
        </w:tc>
        <w:tc>
          <w:tcPr>
            <w:tcW w:type="auto" w:w="0"/>
            <w:tcMar>
              <w:left w:type="dxa" w:w="200"/>
              <w:top w:type="dxa" w:w="200"/>
              <w:right w:type="dxa" w:w="200"/>
              <w:bottom w:type="dxa" w:w="200"/>
            </w:tcMar>
          </w:tcPr>
          <w:p>
            <w:pPr>
              <w:pStyle w:val="Para 002"/>
            </w:pPr>
            <w:r>
              <w:rPr>
                <w:rStyle w:val="Text3"/>
              </w:rPr>
              <w:t>s</w:t>
            </w:r>
            <w:r>
              <w:rPr>
                <w:rStyle w:val="Text0"/>
              </w:rPr>
              <w:t>.isalnum()</w:t>
              <w:br w:clear="none"/>
            </w:r>
            <w:r>
              <w:t xml:space="preserve"> Returns </w:t>
            </w:r>
            <w:r>
              <w:rPr>
                <w:rStyle w:val="Text5"/>
              </w:rPr>
              <w:t>True</w:t>
            </w:r>
            <w:r>
              <w:t xml:space="preserve"> when </w:t>
            </w:r>
            <w:r>
              <w:rPr>
                <w:rStyle w:val="Text0"/>
              </w:rPr>
              <w:t>len(</w:t>
            </w:r>
            <w:r>
              <w:rPr>
                <w:rStyle w:val="Text3"/>
              </w:rPr>
              <w:t>s</w:t>
            </w:r>
            <w:r>
              <w:rPr>
                <w:rStyle w:val="Text0"/>
              </w:rPr>
              <w:t>)</w:t>
            </w:r>
            <w:r>
              <w:t xml:space="preserve"> is greater than </w:t>
            </w:r>
            <w:r>
              <w:rPr>
                <w:rStyle w:val="Text0"/>
              </w:rPr>
              <w:t>0</w:t>
            </w:r>
            <w:r>
              <w:t xml:space="preserve"> and all characters in </w:t>
            </w:r>
            <w:r>
              <w:rPr>
                <w:rStyle w:val="Text3"/>
              </w:rPr>
              <w:t>s</w:t>
            </w:r>
            <w:r>
              <w:t xml:space="preserve"> are Unicode letters or digits. When </w:t>
            </w:r>
            <w:r>
              <w:rPr>
                <w:rStyle w:val="Text3"/>
              </w:rPr>
              <w:t>s</w:t>
            </w:r>
            <w:r>
              <w:t xml:space="preserve"> is empty, or when at least one character of </w:t>
            </w:r>
            <w:r>
              <w:rPr>
                <w:rStyle w:val="Text3"/>
              </w:rPr>
              <w:t>s</w:t>
            </w:r>
            <w:r>
              <w:t xml:space="preserve"> is neither a letter nor a digit, </w:t>
            </w:r>
            <w:r>
              <w:rPr>
                <w:rStyle w:val="Text0"/>
              </w:rPr>
              <w:t>isalnum</w:t>
            </w:r>
            <w:r>
              <w:t xml:space="preserve"> returns </w:t>
            </w:r>
            <w:r>
              <w:rPr>
                <w:rStyle w:val="Text5"/>
              </w:rPr>
              <w:t>False</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isalpha</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.isalpha()</w:t>
              <w:br w:clear="none"/>
            </w:r>
            <w:r>
              <w:t xml:space="preserve"> Returns </w:t>
            </w:r>
            <w:r>
              <w:rPr>
                <w:rStyle w:val="Text5"/>
              </w:rPr>
              <w:t>True</w:t>
            </w:r>
            <w:r>
              <w:t xml:space="preserve"> when </w:t>
            </w:r>
            <w:r>
              <w:rPr>
                <w:rStyle w:val="Text0"/>
              </w:rPr>
              <w:t>len(</w:t>
            </w:r>
            <w:r>
              <w:rPr>
                <w:rStyle w:val="Text3"/>
              </w:rPr>
              <w:t>s</w:t>
            </w:r>
            <w:r>
              <w:rPr>
                <w:rStyle w:val="Text0"/>
              </w:rPr>
              <w:t>)</w:t>
            </w:r>
            <w:r>
              <w:t xml:space="preserve"> is greater than </w:t>
            </w:r>
            <w:r>
              <w:rPr>
                <w:rStyle w:val="Text0"/>
              </w:rPr>
              <w:t>0</w:t>
            </w:r>
            <w:r>
              <w:t xml:space="preserve"> and all characters in </w:t>
            </w:r>
            <w:r>
              <w:rPr>
                <w:rStyle w:val="Text3"/>
              </w:rPr>
              <w:t>s</w:t>
            </w:r>
            <w:r>
              <w:t xml:space="preserve"> are letters. When </w:t>
            </w:r>
            <w:r>
              <w:rPr>
                <w:rStyle w:val="Text3"/>
              </w:rPr>
              <w:t>s</w:t>
            </w:r>
            <w:r>
              <w:t xml:space="preserve"> is empty, or when at least one character of </w:t>
            </w:r>
            <w:r>
              <w:rPr>
                <w:rStyle w:val="Text3"/>
              </w:rPr>
              <w:t>s</w:t>
            </w:r>
            <w:r>
              <w:t xml:space="preserve"> is not a letter, </w:t>
            </w:r>
            <w:r>
              <w:rPr>
                <w:rStyle w:val="Text0"/>
              </w:rPr>
              <w:t>isalpha</w:t>
            </w:r>
            <w:r>
              <w:t xml:space="preserve"> returns </w:t>
            </w:r>
            <w:r>
              <w:rPr>
                <w:rStyle w:val="Text5"/>
              </w:rPr>
              <w:t>False</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isascii</w:t>
            </w:r>
          </w:p>
        </w:tc>
        <w:tc>
          <w:tcPr>
            <w:tcW w:type="auto" w:w="0"/>
            <w:tcMar>
              <w:left w:type="dxa" w:w="200"/>
              <w:top w:type="dxa" w:w="200"/>
              <w:right w:type="dxa" w:w="200"/>
              <w:bottom w:type="dxa" w:w="200"/>
            </w:tcMar>
          </w:tcPr>
          <w:p>
            <w:pPr>
              <w:pStyle w:val="Para 002"/>
            </w:pPr>
            <w:r>
              <w:rPr>
                <w:rStyle w:val="Text3"/>
              </w:rPr>
              <w:t>s</w:t>
            </w:r>
            <w:r>
              <w:rPr>
                <w:rStyle w:val="Text0"/>
              </w:rPr>
              <w:t>.isascii()</w:t>
              <w:br w:clear="none"/>
            </w:r>
            <w:r>
              <w:t xml:space="preserve"> Returns </w:t>
            </w:r>
            <w:r>
              <w:rPr>
                <w:rStyle w:val="Text5"/>
              </w:rPr>
              <w:t>True</w:t>
            </w:r>
            <w:r>
              <w:t xml:space="preserve"> when the string is empty or all characters in the string are ASCII, or </w:t>
            </w:r>
            <w:r>
              <w:rPr>
                <w:rStyle w:val="Text5"/>
              </w:rPr>
              <w:t>False</w:t>
            </w:r>
            <w:r>
              <w:t xml:space="preserve"> otherwise. ASCII characters have codepoints in the range U+0000–U+007F.</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isdecimal</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.isdecimal()</w:t>
              <w:br w:clear="none"/>
            </w:r>
            <w:r>
              <w:t xml:space="preserve"> </w:t>
            </w:r>
            <w:r>
              <w:rPr>
                <w:rStyle w:val="Text5"/>
              </w:rPr>
              <w:t>str</w:t>
            </w:r>
            <w:r>
              <w:t xml:space="preserve"> </w:t>
            </w:r>
            <w:r>
              <w:rPr>
                <w:rStyle w:val="Text37"/>
              </w:rPr>
              <w:t>only</w:t>
            </w:r>
            <w:r>
              <w:t xml:space="preserve">. Returns </w:t>
            </w:r>
            <w:r>
              <w:rPr>
                <w:rStyle w:val="Text5"/>
              </w:rPr>
              <w:t>True</w:t>
            </w:r>
            <w:r>
              <w:t xml:space="preserve"> when </w:t>
            </w:r>
            <w:r>
              <w:rPr>
                <w:rStyle w:val="Text0"/>
              </w:rPr>
              <w:t>len(</w:t>
            </w:r>
            <w:r>
              <w:rPr>
                <w:rStyle w:val="Text3"/>
              </w:rPr>
              <w:t>s</w:t>
            </w:r>
            <w:r>
              <w:rPr>
                <w:rStyle w:val="Text0"/>
              </w:rPr>
              <w:t>)</w:t>
            </w:r>
            <w:r>
              <w:t xml:space="preserve"> is greater than </w:t>
            </w:r>
            <w:r>
              <w:rPr>
                <w:rStyle w:val="Text0"/>
              </w:rPr>
              <w:t>0</w:t>
            </w:r>
            <w:r>
              <w:t xml:space="preserve"> and all characters in </w:t>
            </w:r>
            <w:r>
              <w:rPr>
                <w:rStyle w:val="Text3"/>
              </w:rPr>
              <w:t>s</w:t>
            </w:r>
            <w:r>
              <w:t xml:space="preserve"> can be used to form decimal-radix numbers. This includes Unicode characters defined as Arabic digits.</w:t>
            </w:r>
            <w:hyperlink w:anchor="a_This_does_not_include_punctuat">
              <w:r>
                <w:rPr>
                  <w:rStyle w:val="Text41"/>
                </w:rPr>
                <w:bookmarkStart w:id="2259" w:name="a_6"/>
                <w:t>a</w:t>
                <w:bookmarkEnd w:id="2259"/>
              </w:r>
            </w:hyperlink>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isdigit</w:t>
            </w:r>
          </w:p>
        </w:tc>
        <w:tc>
          <w:tcPr>
            <w:tcW w:type="auto" w:w="0"/>
            <w:tcMar>
              <w:left w:type="dxa" w:w="200"/>
              <w:top w:type="dxa" w:w="200"/>
              <w:right w:type="dxa" w:w="200"/>
              <w:bottom w:type="dxa" w:w="200"/>
            </w:tcMar>
          </w:tcPr>
          <w:p>
            <w:pPr>
              <w:pStyle w:val="Para 002"/>
            </w:pPr>
            <w:r>
              <w:rPr>
                <w:rStyle w:val="Text3"/>
              </w:rPr>
              <w:t>s</w:t>
            </w:r>
            <w:r>
              <w:rPr>
                <w:rStyle w:val="Text0"/>
              </w:rPr>
              <w:t>.isdigit()</w:t>
              <w:br w:clear="none"/>
            </w:r>
            <w:r>
              <w:t xml:space="preserve"> Returns </w:t>
            </w:r>
            <w:r>
              <w:rPr>
                <w:rStyle w:val="Text5"/>
              </w:rPr>
              <w:t>True</w:t>
            </w:r>
            <w:r>
              <w:t xml:space="preserve"> when </w:t>
            </w:r>
            <w:r>
              <w:rPr>
                <w:rStyle w:val="Text0"/>
              </w:rPr>
              <w:t>len(</w:t>
            </w:r>
            <w:r>
              <w:rPr>
                <w:rStyle w:val="Text3"/>
              </w:rPr>
              <w:t>s</w:t>
            </w:r>
            <w:r>
              <w:rPr>
                <w:rStyle w:val="Text0"/>
              </w:rPr>
              <w:t>)</w:t>
            </w:r>
            <w:r>
              <w:t xml:space="preserve"> is greater than </w:t>
            </w:r>
            <w:r>
              <w:rPr>
                <w:rStyle w:val="Text0"/>
              </w:rPr>
              <w:t>0</w:t>
            </w:r>
            <w:r>
              <w:t xml:space="preserve"> and all characters in </w:t>
            </w:r>
            <w:r>
              <w:rPr>
                <w:rStyle w:val="Text3"/>
              </w:rPr>
              <w:t>s</w:t>
            </w:r>
            <w:r>
              <w:t xml:space="preserve"> are Unicode digits. When </w:t>
            </w:r>
            <w:r>
              <w:rPr>
                <w:rStyle w:val="Text3"/>
              </w:rPr>
              <w:t>s</w:t>
            </w:r>
            <w:r>
              <w:t xml:space="preserve"> is empty, or when at least one character of </w:t>
            </w:r>
            <w:r>
              <w:rPr>
                <w:rStyle w:val="Text3"/>
              </w:rPr>
              <w:t>s</w:t>
            </w:r>
            <w:r>
              <w:t xml:space="preserve"> is not a Unicode digit, </w:t>
            </w:r>
            <w:r>
              <w:rPr>
                <w:rStyle w:val="Text0"/>
              </w:rPr>
              <w:t>isdigit</w:t>
            </w:r>
            <w:r>
              <w:t xml:space="preserve"> returns </w:t>
            </w:r>
            <w:r>
              <w:rPr>
                <w:rStyle w:val="Text5"/>
              </w:rPr>
              <w:t>False</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isidentifier</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.isidentifier()</w:t>
              <w:br w:clear="none"/>
            </w:r>
            <w:r>
              <w:t xml:space="preserve"> </w:t>
            </w:r>
            <w:r>
              <w:rPr>
                <w:rStyle w:val="Text5"/>
              </w:rPr>
              <w:t>str</w:t>
            </w:r>
            <w:r>
              <w:t xml:space="preserve"> </w:t>
            </w:r>
            <w:r>
              <w:rPr>
                <w:rStyle w:val="Text37"/>
              </w:rPr>
              <w:t>only</w:t>
            </w:r>
            <w:r>
              <w:t xml:space="preserve">. Returns </w:t>
            </w:r>
            <w:r>
              <w:rPr>
                <w:rStyle w:val="Text5"/>
              </w:rPr>
              <w:t>True</w:t>
            </w:r>
            <w:r>
              <w:t xml:space="preserve"> when </w:t>
            </w:r>
            <w:r>
              <w:rPr>
                <w:rStyle w:val="Text3"/>
              </w:rPr>
              <w:t>s</w:t>
            </w:r>
            <w:r>
              <w:t xml:space="preserve"> is a valid identifier according to the Python language’s definition; keywords also satisfy the definition, so, for example, </w:t>
            </w:r>
            <w:r>
              <w:rPr>
                <w:rStyle w:val="Text0"/>
              </w:rPr>
              <w:t>'class'.isidentifier()</w:t>
            </w:r>
            <w:r>
              <w:t xml:space="preserve"> returns </w:t>
            </w:r>
            <w:r>
              <w:rPr>
                <w:rStyle w:val="Text5"/>
              </w:rPr>
              <w:t>True</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islower</w:t>
            </w:r>
          </w:p>
        </w:tc>
        <w:tc>
          <w:tcPr>
            <w:tcW w:type="auto" w:w="0"/>
            <w:tcMar>
              <w:left w:type="dxa" w:w="200"/>
              <w:top w:type="dxa" w:w="200"/>
              <w:right w:type="dxa" w:w="200"/>
              <w:bottom w:type="dxa" w:w="200"/>
            </w:tcMar>
          </w:tcPr>
          <w:p>
            <w:pPr>
              <w:pStyle w:val="Para 002"/>
            </w:pPr>
            <w:r>
              <w:rPr>
                <w:rStyle w:val="Text3"/>
              </w:rPr>
              <w:t>s</w:t>
            </w:r>
            <w:r>
              <w:rPr>
                <w:rStyle w:val="Text0"/>
              </w:rPr>
              <w:t>.islower()</w:t>
              <w:br w:clear="none"/>
            </w:r>
            <w:r>
              <w:t xml:space="preserve"> Returns </w:t>
            </w:r>
            <w:r>
              <w:rPr>
                <w:rStyle w:val="Text5"/>
              </w:rPr>
              <w:t>True</w:t>
            </w:r>
            <w:r>
              <w:t xml:space="preserve"> when all letters in </w:t>
            </w:r>
            <w:r>
              <w:rPr>
                <w:rStyle w:val="Text3"/>
              </w:rPr>
              <w:t>s</w:t>
            </w:r>
            <w:r>
              <w:t xml:space="preserve"> are lowercase. When </w:t>
            </w:r>
            <w:r>
              <w:rPr>
                <w:rStyle w:val="Text3"/>
              </w:rPr>
              <w:t>s</w:t>
            </w:r>
            <w:r>
              <w:t xml:space="preserve"> contains no letters, or when at least one letter of </w:t>
            </w:r>
            <w:r>
              <w:rPr>
                <w:rStyle w:val="Text3"/>
              </w:rPr>
              <w:t>s</w:t>
            </w:r>
            <w:r>
              <w:t xml:space="preserve"> is uppercase, </w:t>
            </w:r>
            <w:r>
              <w:rPr>
                <w:rStyle w:val="Text0"/>
              </w:rPr>
              <w:t>islower</w:t>
            </w:r>
            <w:r>
              <w:t xml:space="preserve"> returns </w:t>
            </w:r>
            <w:r>
              <w:rPr>
                <w:rStyle w:val="Text5"/>
              </w:rPr>
              <w:t>False</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isnumeric</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.isnumeric()</w:t>
              <w:br w:clear="none"/>
            </w:r>
            <w:r>
              <w:t xml:space="preserve"> </w:t>
            </w:r>
            <w:r>
              <w:rPr>
                <w:rStyle w:val="Text5"/>
              </w:rPr>
              <w:t>str</w:t>
            </w:r>
            <w:r>
              <w:t xml:space="preserve"> </w:t>
            </w:r>
            <w:r>
              <w:rPr>
                <w:rStyle w:val="Text37"/>
              </w:rPr>
              <w:t>only</w:t>
            </w:r>
            <w:r>
              <w:t xml:space="preserve">. Similar to </w:t>
            </w:r>
            <w:r>
              <w:rPr>
                <w:rStyle w:val="Text3"/>
              </w:rPr>
              <w:t>s</w:t>
            </w:r>
            <w:r>
              <w:rPr>
                <w:rStyle w:val="Text0"/>
              </w:rPr>
              <w:t>.isdigit()</w:t>
            </w:r>
            <w:r>
              <w:t>, but uses a broader definition of numeric characters that includes all characters defined as numeric in the Unicode standard (such as fractions).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isprintable</w:t>
            </w:r>
          </w:p>
        </w:tc>
        <w:tc>
          <w:tcPr>
            <w:tcW w:type="auto" w:w="0"/>
            <w:tcMar>
              <w:left w:type="dxa" w:w="200"/>
              <w:top w:type="dxa" w:w="200"/>
              <w:right w:type="dxa" w:w="200"/>
              <w:bottom w:type="dxa" w:w="200"/>
            </w:tcMar>
          </w:tcPr>
          <w:p>
            <w:pPr>
              <w:pStyle w:val="Para 002"/>
            </w:pPr>
            <w:r>
              <w:rPr>
                <w:rStyle w:val="Text3"/>
              </w:rPr>
              <w:t>s</w:t>
            </w:r>
            <w:r>
              <w:rPr>
                <w:rStyle w:val="Text0"/>
              </w:rPr>
              <w:t>.isprintable()</w:t>
              <w:br w:clear="none"/>
            </w:r>
            <w:r>
              <w:t xml:space="preserve"> </w:t>
            </w:r>
            <w:r>
              <w:rPr>
                <w:rStyle w:val="Text5"/>
              </w:rPr>
              <w:t>str</w:t>
            </w:r>
            <w:r>
              <w:t xml:space="preserve"> </w:t>
            </w:r>
            <w:r>
              <w:rPr>
                <w:rStyle w:val="Text37"/>
              </w:rPr>
              <w:t>only</w:t>
            </w:r>
            <w:r>
              <w:t xml:space="preserve">. Returns </w:t>
            </w:r>
            <w:r>
              <w:rPr>
                <w:rStyle w:val="Text5"/>
              </w:rPr>
              <w:t>True</w:t>
            </w:r>
            <w:r>
              <w:t xml:space="preserve"> when all characters in </w:t>
            </w:r>
            <w:r>
              <w:rPr>
                <w:rStyle w:val="Text3"/>
              </w:rPr>
              <w:t>s</w:t>
            </w:r>
            <w:r>
              <w:t xml:space="preserve"> are spaces (</w:t>
            </w:r>
            <w:r>
              <w:rPr>
                <w:rStyle w:val="Text0"/>
              </w:rPr>
              <w:t>'\x20'</w:t>
            </w:r>
            <w:r>
              <w:t xml:space="preserve">) or are defined in the Unicode standard as printable. Because the null string contains no unprintable characters, </w:t>
            </w:r>
            <w:r>
              <w:rPr>
                <w:rStyle w:val="Text0"/>
              </w:rPr>
              <w:t>''.isprintable()</w:t>
            </w:r>
            <w:r>
              <w:t xml:space="preserve"> returns </w:t>
            </w:r>
            <w:r>
              <w:rPr>
                <w:rStyle w:val="Text5"/>
              </w:rPr>
              <w:t>True</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isspace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.isspace()</w:t>
              <w:br w:clear="none"/>
            </w:r>
            <w:r>
              <w:t xml:space="preserve"> Returns </w:t>
            </w:r>
            <w:r>
              <w:rPr>
                <w:rStyle w:val="Text5"/>
              </w:rPr>
              <w:t>True</w:t>
            </w:r>
            <w:r>
              <w:t xml:space="preserve"> when </w:t>
            </w:r>
            <w:r>
              <w:rPr>
                <w:rStyle w:val="Text0"/>
              </w:rPr>
              <w:t>len(</w:t>
            </w:r>
            <w:r>
              <w:rPr>
                <w:rStyle w:val="Text3"/>
              </w:rPr>
              <w:t>s</w:t>
            </w:r>
            <w:r>
              <w:rPr>
                <w:rStyle w:val="Text0"/>
              </w:rPr>
              <w:t>)</w:t>
            </w:r>
            <w:r>
              <w:t xml:space="preserve"> is greater than </w:t>
            </w:r>
            <w:r>
              <w:rPr>
                <w:rStyle w:val="Text0"/>
              </w:rPr>
              <w:t>0</w:t>
            </w:r>
            <w:r>
              <w:t xml:space="preserve"> and all characters in </w:t>
            </w:r>
            <w:r>
              <w:rPr>
                <w:rStyle w:val="Text3"/>
              </w:rPr>
              <w:t>s</w:t>
            </w:r>
            <w:r>
              <w:t xml:space="preserve"> are whitespace. When </w:t>
            </w:r>
            <w:r>
              <w:rPr>
                <w:rStyle w:val="Text3"/>
              </w:rPr>
              <w:t>s</w:t>
            </w:r>
            <w:r>
              <w:t xml:space="preserve"> is empty, or when at least one character of </w:t>
            </w:r>
            <w:r>
              <w:rPr>
                <w:rStyle w:val="Text3"/>
              </w:rPr>
              <w:t>s</w:t>
            </w:r>
            <w:r>
              <w:t xml:space="preserve"> is not whitespace, </w:t>
            </w:r>
            <w:r>
              <w:rPr>
                <w:rStyle w:val="Text0"/>
              </w:rPr>
              <w:t>isspace</w:t>
            </w:r>
            <w:r>
              <w:t xml:space="preserve"> returns </w:t>
            </w:r>
            <w:r>
              <w:rPr>
                <w:rStyle w:val="Text5"/>
              </w:rPr>
              <w:t>False</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istitle</w:t>
            </w:r>
          </w:p>
        </w:tc>
        <w:tc>
          <w:tcPr>
            <w:tcW w:type="auto" w:w="0"/>
            <w:tcMar>
              <w:left w:type="dxa" w:w="200"/>
              <w:top w:type="dxa" w:w="200"/>
              <w:right w:type="dxa" w:w="200"/>
              <w:bottom w:type="dxa" w:w="200"/>
            </w:tcMar>
          </w:tcPr>
          <w:p>
            <w:pPr>
              <w:pStyle w:val="Para 002"/>
            </w:pPr>
            <w:r>
              <w:rPr>
                <w:rStyle w:val="Text3"/>
              </w:rPr>
              <w:t>s</w:t>
            </w:r>
            <w:r>
              <w:rPr>
                <w:rStyle w:val="Text0"/>
              </w:rPr>
              <w:t>.istitle()</w:t>
              <w:br w:clear="none"/>
            </w:r>
            <w:r>
              <w:t xml:space="preserve"> Returns </w:t>
            </w:r>
            <w:r>
              <w:rPr>
                <w:rStyle w:val="Text5"/>
              </w:rPr>
              <w:t>True</w:t>
            </w:r>
            <w:r>
              <w:t xml:space="preserve"> when the string </w:t>
            </w:r>
            <w:r>
              <w:rPr>
                <w:rStyle w:val="Text3"/>
              </w:rPr>
              <w:t>s</w:t>
            </w:r>
            <w:r>
              <w:t xml:space="preserve"> is </w:t>
            </w:r>
            <w:r>
              <w:rPr>
                <w:rStyle w:val="Text4"/>
              </w:rPr>
              <w:t>titlecased</w:t>
            </w:r>
            <w:r>
              <w:t xml:space="preserve">: i.e., with a capital letter at the start of every contiguous sequence of letters, and all other letters lowercase (e.g., </w:t>
            </w:r>
            <w:r>
              <w:rPr>
                <w:rStyle w:val="Text0"/>
              </w:rPr>
              <w:t>'King Lear'.istitle()</w:t>
            </w:r>
            <w:r>
              <w:t xml:space="preserve"> returns </w:t>
            </w:r>
            <w:r>
              <w:rPr>
                <w:rStyle w:val="Text5"/>
              </w:rPr>
              <w:t>True</w:t>
            </w:r>
            <w:r>
              <w:t xml:space="preserve">). When </w:t>
            </w:r>
            <w:r>
              <w:rPr>
                <w:rStyle w:val="Text3"/>
              </w:rPr>
              <w:t>s</w:t>
            </w:r>
            <w:r>
              <w:t xml:space="preserve"> contains no letters, or when at least one letter of </w:t>
            </w:r>
            <w:r>
              <w:rPr>
                <w:rStyle w:val="Text3"/>
              </w:rPr>
              <w:t>s</w:t>
            </w:r>
            <w:r>
              <w:t xml:space="preserve"> violates the title case condition, </w:t>
            </w:r>
            <w:r>
              <w:rPr>
                <w:rStyle w:val="Text0"/>
              </w:rPr>
              <w:t>istitle</w:t>
            </w:r>
            <w:r>
              <w:t xml:space="preserve"> returns </w:t>
            </w:r>
            <w:r>
              <w:rPr>
                <w:rStyle w:val="Text5"/>
              </w:rPr>
              <w:t>False</w:t>
            </w:r>
            <w:r>
              <w:t xml:space="preserve"> (e.g., </w:t>
            </w:r>
            <w:r>
              <w:rPr>
                <w:rStyle w:val="Text0"/>
              </w:rPr>
              <w:t>'1900'.istitle()</w:t>
            </w:r>
            <w:r>
              <w:t xml:space="preserve"> and </w:t>
            </w:r>
            <w:r>
              <w:rPr>
                <w:rStyle w:val="Text0"/>
              </w:rPr>
              <w:t>'Troilus and Cressida'.istitle()</w:t>
            </w:r>
            <w:r>
              <w:t xml:space="preserve"> return </w:t>
            </w:r>
            <w:r>
              <w:rPr>
                <w:rStyle w:val="Text5"/>
              </w:rPr>
              <w:t>False</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isupper</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.isupper()</w:t>
              <w:br w:clear="none"/>
            </w:r>
            <w:r>
              <w:t xml:space="preserve"> Returns </w:t>
            </w:r>
            <w:r>
              <w:rPr>
                <w:rStyle w:val="Text5"/>
              </w:rPr>
              <w:t>True</w:t>
            </w:r>
            <w:r>
              <w:t xml:space="preserve"> when all letters in </w:t>
            </w:r>
            <w:r>
              <w:rPr>
                <w:rStyle w:val="Text3"/>
              </w:rPr>
              <w:t>s</w:t>
            </w:r>
            <w:r>
              <w:t xml:space="preserve"> are uppercase. When </w:t>
            </w:r>
            <w:r>
              <w:rPr>
                <w:rStyle w:val="Text3"/>
              </w:rPr>
              <w:t>s</w:t>
            </w:r>
            <w:r>
              <w:t xml:space="preserve"> contains no letters, or when at least one letter of </w:t>
            </w:r>
            <w:r>
              <w:rPr>
                <w:rStyle w:val="Text3"/>
              </w:rPr>
              <w:t>s</w:t>
            </w:r>
            <w:r>
              <w:t xml:space="preserve"> is lowercase, </w:t>
            </w:r>
            <w:r>
              <w:rPr>
                <w:rStyle w:val="Text0"/>
              </w:rPr>
              <w:t>isupper</w:t>
            </w:r>
            <w:r>
              <w:t xml:space="preserve"> returns </w:t>
            </w:r>
            <w:r>
              <w:rPr>
                <w:rStyle w:val="Text5"/>
              </w:rPr>
              <w:t>False</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join</w:t>
            </w:r>
          </w:p>
        </w:tc>
        <w:tc>
          <w:tcPr>
            <w:tcW w:type="auto" w:w="0"/>
            <w:tcMar>
              <w:left w:type="dxa" w:w="200"/>
              <w:top w:type="dxa" w:w="200"/>
              <w:right w:type="dxa" w:w="200"/>
              <w:bottom w:type="dxa" w:w="200"/>
            </w:tcMar>
          </w:tcPr>
          <w:p>
            <w:pPr>
              <w:pStyle w:val="Para 002"/>
            </w:pPr>
            <w:r>
              <w:rPr>
                <w:rStyle w:val="Text3"/>
              </w:rPr>
              <w:t>s</w:t>
            </w:r>
            <w:r>
              <w:rPr>
                <w:rStyle w:val="Text0"/>
              </w:rPr>
              <w:t>.join(</w:t>
            </w:r>
            <w:r>
              <w:rPr>
                <w:rStyle w:val="Text3"/>
              </w:rPr>
              <w:t>seq</w:t>
            </w:r>
            <w:r>
              <w:rPr>
                <w:rStyle w:val="Text0"/>
              </w:rPr>
              <w:t>, /)</w:t>
              <w:br w:clear="none"/>
            </w:r>
            <w:r>
              <w:t xml:space="preserve"> Returns</w:t>
            </w:r>
            <w:r>
              <w:rPr>
                <w:rStyle w:val="Text111"/>
              </w:rPr>
              <w:bookmarkStart w:id="2260" w:name="idm45965212537296"/>
              <w:t/>
              <w:bookmarkEnd w:id="2260"/>
            </w:r>
            <w:r>
              <w:t xml:space="preserve"> the string obtained by concatenating the items of </w:t>
            </w:r>
            <w:r>
              <w:rPr>
                <w:rStyle w:val="Text3"/>
              </w:rPr>
              <w:t>seq</w:t>
            </w:r>
            <w:r>
              <w:t xml:space="preserve"> separated by copies of </w:t>
            </w:r>
            <w:r>
              <w:rPr>
                <w:rStyle w:val="Text3"/>
              </w:rPr>
              <w:t>s</w:t>
            </w:r>
            <w:r>
              <w:t xml:space="preserve"> (e.g., </w:t>
            </w:r>
            <w:r>
              <w:rPr>
                <w:rStyle w:val="Text0"/>
              </w:rPr>
              <w:t>''.join(str(x)</w:t>
            </w:r>
            <w:r>
              <w:t xml:space="preserve"> </w:t>
            </w:r>
            <w:r>
              <w:rPr>
                <w:rStyle w:val="Text5"/>
              </w:rPr>
              <w:t>for</w:t>
            </w:r>
            <w:r>
              <w:t xml:space="preserve"> </w:t>
            </w:r>
            <w:r>
              <w:rPr>
                <w:rStyle w:val="Text0"/>
              </w:rPr>
              <w:t>x</w:t>
            </w:r>
            <w:r>
              <w:t xml:space="preserve"> </w:t>
            </w:r>
            <w:r>
              <w:rPr>
                <w:rStyle w:val="Text5"/>
              </w:rPr>
              <w:t>in</w:t>
            </w:r>
            <w:r>
              <w:t xml:space="preserve"> </w:t>
            </w:r>
            <w:r>
              <w:rPr>
                <w:rStyle w:val="Text0"/>
              </w:rPr>
              <w:t>range(7))</w:t>
            </w:r>
            <w:r>
              <w:t xml:space="preserve"> returns </w:t>
            </w:r>
            <w:r>
              <w:rPr>
                <w:rStyle w:val="Text0"/>
              </w:rPr>
              <w:t>'0123456'</w:t>
            </w:r>
            <w:r>
              <w:t xml:space="preserve"> and </w:t>
            </w:r>
            <w:r>
              <w:rPr>
                <w:rStyle w:val="Text0"/>
              </w:rPr>
              <w:t>'x'.join('aeiou')</w:t>
            </w:r>
            <w:r>
              <w:t xml:space="preserve"> returns </w:t>
            </w:r>
            <w:r>
              <w:rPr>
                <w:rStyle w:val="Text0"/>
              </w:rPr>
              <w:t>'axexixoxu'</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ljust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.ljust(</w:t>
            </w:r>
            <w:r>
              <w:rPr>
                <w:rStyle w:val="Text3"/>
              </w:rPr>
              <w:t>n</w:t>
            </w:r>
            <w:r>
              <w:rPr>
                <w:rStyle w:val="Text0"/>
              </w:rPr>
              <w:t>,</w:t>
            </w:r>
            <w:r>
              <w:t xml:space="preserve"> </w:t>
            </w:r>
            <w:r>
              <w:rPr>
                <w:rStyle w:val="Text3"/>
              </w:rPr>
              <w:t>fillchar</w:t>
            </w:r>
            <w:r>
              <w:rPr>
                <w:rStyle w:val="Text0"/>
              </w:rPr>
              <w:t>=' ', /)</w:t>
              <w:br w:clear="none"/>
            </w:r>
            <w:r>
              <w:t xml:space="preserve"> Returns</w:t>
            </w:r>
            <w:r>
              <w:rPr>
                <w:rStyle w:val="Text111"/>
              </w:rPr>
              <w:bookmarkStart w:id="2261" w:name="idm45965212522960"/>
              <w:t/>
              <w:bookmarkEnd w:id="2261"/>
            </w:r>
            <w:r>
              <w:t xml:space="preserve"> a string of length </w:t>
            </w:r>
            <w:r>
              <w:rPr>
                <w:rStyle w:val="Text0"/>
              </w:rPr>
              <w:t>max(len(</w:t>
            </w:r>
            <w:r>
              <w:rPr>
                <w:rStyle w:val="Text3"/>
              </w:rPr>
              <w:t>s</w:t>
            </w:r>
            <w:r>
              <w:rPr>
                <w:rStyle w:val="Text0"/>
              </w:rPr>
              <w:t>),</w:t>
            </w:r>
            <w:r>
              <w:rPr>
                <w:rStyle w:val="Text3"/>
              </w:rPr>
              <w:t>n</w:t>
            </w:r>
            <w:r>
              <w:rPr>
                <w:rStyle w:val="Text0"/>
              </w:rPr>
              <w:t>)</w:t>
            </w:r>
            <w:r>
              <w:t xml:space="preserve">, with a copy of </w:t>
            </w:r>
            <w:r>
              <w:rPr>
                <w:rStyle w:val="Text3"/>
              </w:rPr>
              <w:t>s</w:t>
            </w:r>
            <w:r>
              <w:t xml:space="preserve"> at the start, followed by zero or more trailing copies of character </w:t>
            </w:r>
            <w:r>
              <w:rPr>
                <w:rStyle w:val="Text3"/>
              </w:rPr>
              <w:t>fillchar</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lower</w:t>
            </w:r>
          </w:p>
        </w:tc>
        <w:tc>
          <w:tcPr>
            <w:tcW w:type="auto" w:w="0"/>
            <w:tcMar>
              <w:left w:type="dxa" w:w="200"/>
              <w:top w:type="dxa" w:w="200"/>
              <w:right w:type="dxa" w:w="200"/>
              <w:bottom w:type="dxa" w:w="200"/>
            </w:tcMar>
          </w:tcPr>
          <w:p>
            <w:pPr>
              <w:pStyle w:val="Para 002"/>
            </w:pPr>
            <w:r>
              <w:rPr>
                <w:rStyle w:val="Text3"/>
              </w:rPr>
              <w:t>s</w:t>
            </w:r>
            <w:r>
              <w:rPr>
                <w:rStyle w:val="Text0"/>
              </w:rPr>
              <w:t>.lower()</w:t>
              <w:br w:clear="none"/>
            </w:r>
            <w:r>
              <w:t xml:space="preserve"> Returns</w:t>
            </w:r>
            <w:r>
              <w:rPr>
                <w:rStyle w:val="Text111"/>
              </w:rPr>
              <w:bookmarkStart w:id="2262" w:name="idm45965212514880"/>
              <w:t/>
              <w:bookmarkEnd w:id="2262"/>
            </w:r>
            <w:r>
              <w:t xml:space="preserve"> a copy of </w:t>
            </w:r>
            <w:r>
              <w:rPr>
                <w:rStyle w:val="Text3"/>
              </w:rPr>
              <w:t>s</w:t>
            </w:r>
            <w:r>
              <w:t xml:space="preserve"> with all letters, if any, converted to lowercase.</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lstrip</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.lstrip(</w:t>
            </w:r>
            <w:r>
              <w:rPr>
                <w:rStyle w:val="Text3"/>
              </w:rPr>
              <w:t>x</w:t>
            </w:r>
            <w:r>
              <w:rPr>
                <w:rStyle w:val="Text0"/>
              </w:rPr>
              <w:t>=string.whitespace, /)</w:t>
              <w:br w:clear="none"/>
            </w:r>
            <w:r>
              <w:t xml:space="preserve"> Returns</w:t>
            </w:r>
            <w:r>
              <w:rPr>
                <w:rStyle w:val="Text111"/>
              </w:rPr>
              <w:bookmarkStart w:id="2263" w:name="idm45965212508496"/>
              <w:t/>
              <w:bookmarkEnd w:id="2263"/>
            </w:r>
            <w:r>
              <w:t xml:space="preserve"> a copy of </w:t>
            </w:r>
            <w:r>
              <w:rPr>
                <w:rStyle w:val="Text3"/>
              </w:rPr>
              <w:t>s</w:t>
            </w:r>
            <w:r>
              <w:t xml:space="preserve"> after removing any leading characters found in string </w:t>
            </w:r>
            <w:r>
              <w:rPr>
                <w:rStyle w:val="Text3"/>
              </w:rPr>
              <w:t>x</w:t>
            </w:r>
            <w:r>
              <w:t xml:space="preserve">. For example, </w:t>
            </w:r>
            <w:r>
              <w:rPr>
                <w:rStyle w:val="Text0"/>
              </w:rPr>
              <w:t>'banana'.lstrip('ab')</w:t>
            </w:r>
            <w:r>
              <w:t xml:space="preserve"> returns </w:t>
            </w:r>
            <w:r>
              <w:rPr>
                <w:rStyle w:val="Text0"/>
              </w:rPr>
              <w:t>'nana'</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removeprefix</w:t>
            </w:r>
          </w:p>
        </w:tc>
        <w:tc>
          <w:tcPr>
            <w:tcW w:type="auto" w:w="0"/>
            <w:tcMar>
              <w:left w:type="dxa" w:w="200"/>
              <w:top w:type="dxa" w:w="200"/>
              <w:right w:type="dxa" w:w="200"/>
              <w:bottom w:type="dxa" w:w="200"/>
            </w:tcMar>
          </w:tcPr>
          <w:p>
            <w:pPr>
              <w:pStyle w:val="Para 002"/>
            </w:pPr>
            <w:r>
              <w:rPr>
                <w:rStyle w:val="Text3"/>
              </w:rPr>
              <w:t>s</w:t>
            </w:r>
            <w:r>
              <w:rPr>
                <w:rStyle w:val="Text0"/>
              </w:rPr>
              <w:t>.removeprefix(</w:t>
            </w:r>
            <w:r>
              <w:rPr>
                <w:rStyle w:val="Text3"/>
              </w:rPr>
              <w:t>prefix</w:t>
            </w:r>
            <w:r>
              <w:rPr>
                <w:rStyle w:val="Text0"/>
              </w:rPr>
              <w:t>, /)</w:t>
              <w:br w:clear="none"/>
            </w:r>
            <w:r>
              <w:t xml:space="preserve"> </w:t>
            </w:r>
            <w:r>
              <w:rPr>
                <w:rStyle w:val="Text34"/>
              </w:rPr>
              <w:t>3.9+</w:t>
            </w:r>
            <w:r>
              <w:t xml:space="preserve"> When</w:t>
            </w:r>
            <w:r>
              <w:rPr>
                <w:rStyle w:val="Text111"/>
              </w:rPr>
              <w:bookmarkStart w:id="2264" w:name="idm45965212499296"/>
              <w:t/>
              <w:bookmarkEnd w:id="2264"/>
            </w:r>
            <w:r>
              <w:t xml:space="preserve"> </w:t>
            </w:r>
            <w:r>
              <w:rPr>
                <w:rStyle w:val="Text3"/>
              </w:rPr>
              <w:t>s</w:t>
            </w:r>
            <w:r>
              <w:t xml:space="preserve"> begins with </w:t>
            </w:r>
            <w:r>
              <w:rPr>
                <w:rStyle w:val="Text3"/>
              </w:rPr>
              <w:t>prefix</w:t>
            </w:r>
            <w:r>
              <w:t xml:space="preserve">, returns the remainder of </w:t>
            </w:r>
            <w:r>
              <w:rPr>
                <w:rStyle w:val="Text3"/>
              </w:rPr>
              <w:t>s</w:t>
            </w:r>
            <w:r>
              <w:t xml:space="preserve">; otherwise, returns </w:t>
            </w:r>
            <w:r>
              <w:rPr>
                <w:rStyle w:val="Text3"/>
              </w:rPr>
              <w:t>s</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removesuffix</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.removesuffix(</w:t>
            </w:r>
            <w:r>
              <w:rPr>
                <w:rStyle w:val="Text3"/>
              </w:rPr>
              <w:t>suffix</w:t>
            </w:r>
            <w:r>
              <w:rPr>
                <w:rStyle w:val="Text0"/>
              </w:rPr>
              <w:t>, /)</w:t>
              <w:br w:clear="none"/>
            </w:r>
            <w:r>
              <w:t xml:space="preserve"> </w:t>
            </w:r>
            <w:r>
              <w:rPr>
                <w:rStyle w:val="Text34"/>
              </w:rPr>
              <w:t>3.9+</w:t>
            </w:r>
            <w:r>
              <w:t xml:space="preserve"> When</w:t>
            </w:r>
            <w:r>
              <w:rPr>
                <w:rStyle w:val="Text111"/>
              </w:rPr>
              <w:bookmarkStart w:id="2265" w:name="idm45965212489872"/>
              <w:t/>
              <w:bookmarkEnd w:id="2265"/>
            </w:r>
            <w:r>
              <w:t xml:space="preserve"> </w:t>
            </w:r>
            <w:r>
              <w:rPr>
                <w:rStyle w:val="Text3"/>
              </w:rPr>
              <w:t>s</w:t>
            </w:r>
            <w:r>
              <w:t xml:space="preserve"> ends with </w:t>
            </w:r>
            <w:r>
              <w:rPr>
                <w:rStyle w:val="Text3"/>
              </w:rPr>
              <w:t>suffix</w:t>
            </w:r>
            <w:r>
              <w:t xml:space="preserve">, returns the rest of </w:t>
            </w:r>
            <w:r>
              <w:rPr>
                <w:rStyle w:val="Text3"/>
              </w:rPr>
              <w:t>s</w:t>
            </w:r>
            <w:r>
              <w:t xml:space="preserve">; otherwise, returns </w:t>
            </w:r>
            <w:r>
              <w:rPr>
                <w:rStyle w:val="Text3"/>
              </w:rPr>
              <w:t>s</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replace</w:t>
            </w:r>
          </w:p>
        </w:tc>
        <w:tc>
          <w:tcPr>
            <w:tcW w:type="auto" w:w="0"/>
            <w:tcMar>
              <w:left w:type="dxa" w:w="200"/>
              <w:top w:type="dxa" w:w="200"/>
              <w:right w:type="dxa" w:w="200"/>
              <w:bottom w:type="dxa" w:w="200"/>
            </w:tcMar>
          </w:tcPr>
          <w:p>
            <w:pPr>
              <w:pStyle w:val="Para 002"/>
            </w:pPr>
            <w:r>
              <w:rPr>
                <w:rStyle w:val="Text3"/>
              </w:rPr>
              <w:t>s</w:t>
            </w:r>
            <w:r>
              <w:rPr>
                <w:rStyle w:val="Text0"/>
              </w:rPr>
              <w:t>.replace(</w:t>
            </w:r>
            <w:r>
              <w:rPr>
                <w:rStyle w:val="Text3"/>
              </w:rPr>
              <w:t>old</w:t>
            </w:r>
            <w:r>
              <w:rPr>
                <w:rStyle w:val="Text0"/>
              </w:rPr>
              <w:t>,</w:t>
            </w:r>
            <w:r>
              <w:t xml:space="preserve"> </w:t>
            </w:r>
            <w:r>
              <w:rPr>
                <w:rStyle w:val="Text3"/>
              </w:rPr>
              <w:t>new</w:t>
            </w:r>
            <w:r>
              <w:rPr>
                <w:rStyle w:val="Text0"/>
              </w:rPr>
              <w:t>,</w:t>
            </w:r>
            <w:r>
              <w:t xml:space="preserve"> </w:t>
            </w:r>
            <w:r>
              <w:rPr>
                <w:rStyle w:val="Text3"/>
              </w:rPr>
              <w:t>count</w:t>
            </w:r>
            <w:r>
              <w:rPr>
                <w:rStyle w:val="Text0"/>
              </w:rPr>
              <w:t>=sys.maxsize, /)</w:t>
              <w:br w:clear="none"/>
            </w:r>
            <w:r>
              <w:t xml:space="preserve"> Returns</w:t>
            </w:r>
            <w:r>
              <w:rPr>
                <w:rStyle w:val="Text111"/>
              </w:rPr>
              <w:bookmarkStart w:id="2266" w:name="idm45965212478176"/>
              <w:t/>
              <w:bookmarkEnd w:id="2266"/>
              <w:bookmarkStart w:id="2267" w:name="idm45965212477104"/>
              <w:t/>
              <w:bookmarkEnd w:id="2267"/>
            </w:r>
            <w:r>
              <w:t xml:space="preserve"> a copy of </w:t>
            </w:r>
            <w:r>
              <w:rPr>
                <w:rStyle w:val="Text3"/>
              </w:rPr>
              <w:t>s</w:t>
            </w:r>
            <w:r>
              <w:t xml:space="preserve"> with the first </w:t>
            </w:r>
            <w:r>
              <w:rPr>
                <w:rStyle w:val="Text3"/>
              </w:rPr>
              <w:t>count</w:t>
            </w:r>
            <w:r>
              <w:t xml:space="preserve"> (or fewer, if there are fewer) nonoverlapping occurrences of substring </w:t>
            </w:r>
            <w:r>
              <w:rPr>
                <w:rStyle w:val="Text3"/>
              </w:rPr>
              <w:t>old</w:t>
            </w:r>
            <w:r>
              <w:t xml:space="preserve"> replaced by string </w:t>
            </w:r>
            <w:r>
              <w:rPr>
                <w:rStyle w:val="Text3"/>
              </w:rPr>
              <w:t>new</w:t>
            </w:r>
            <w:r>
              <w:t xml:space="preserve"> (e.g., </w:t>
            </w:r>
            <w:r>
              <w:rPr>
                <w:rStyle w:val="Text0"/>
              </w:rPr>
              <w:t>'banana'.replace('a', 'e', 2)</w:t>
            </w:r>
            <w:r>
              <w:t xml:space="preserve"> returns </w:t>
            </w:r>
            <w:r>
              <w:rPr>
                <w:rStyle w:val="Text0"/>
              </w:rPr>
              <w:t>'benena'</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rfind</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.rfind(</w:t>
            </w:r>
            <w:r>
              <w:rPr>
                <w:rStyle w:val="Text3"/>
              </w:rPr>
              <w:t>sub</w:t>
            </w:r>
            <w:r>
              <w:rPr>
                <w:rStyle w:val="Text0"/>
              </w:rPr>
              <w:t>,</w:t>
            </w:r>
            <w:r>
              <w:t xml:space="preserve"> </w:t>
            </w:r>
            <w:r>
              <w:rPr>
                <w:rStyle w:val="Text3"/>
              </w:rPr>
              <w:t>start</w:t>
            </w:r>
            <w:r>
              <w:rPr>
                <w:rStyle w:val="Text0"/>
              </w:rPr>
              <w:t>=0,</w:t>
            </w:r>
            <w:r>
              <w:t xml:space="preserve"> </w:t>
            </w:r>
            <w:r>
              <w:rPr>
                <w:rStyle w:val="Text3"/>
              </w:rPr>
              <w:t>end</w:t>
            </w:r>
            <w:r>
              <w:rPr>
                <w:rStyle w:val="Text0"/>
              </w:rPr>
              <w:t>=sys.maxsize, /)</w:t>
              <w:br w:clear="none"/>
            </w:r>
            <w:r>
              <w:t xml:space="preserve"> Returns the highest index in </w:t>
            </w:r>
            <w:r>
              <w:rPr>
                <w:rStyle w:val="Text3"/>
              </w:rPr>
              <w:t>s</w:t>
            </w:r>
            <w:r>
              <w:t xml:space="preserve"> where substring </w:t>
            </w:r>
            <w:r>
              <w:rPr>
                <w:rStyle w:val="Text3"/>
              </w:rPr>
              <w:t>sub</w:t>
            </w:r>
            <w:r>
              <w:t xml:space="preserve"> is found, such that </w:t>
            </w:r>
            <w:r>
              <w:rPr>
                <w:rStyle w:val="Text3"/>
              </w:rPr>
              <w:t>sub</w:t>
            </w:r>
            <w:r>
              <w:t xml:space="preserve"> is entirely contained in </w:t>
            </w:r>
            <w:r>
              <w:rPr>
                <w:rStyle w:val="Text3"/>
              </w:rPr>
              <w:t>s</w:t>
            </w:r>
            <w:r>
              <w:rPr>
                <w:rStyle w:val="Text0"/>
              </w:rPr>
              <w:t>[</w:t>
            </w:r>
            <w:r>
              <w:rPr>
                <w:rStyle w:val="Text3"/>
              </w:rPr>
              <w:t>start</w:t>
            </w:r>
            <w:r>
              <w:rPr>
                <w:rStyle w:val="Text0"/>
              </w:rPr>
              <w:t>:</w:t>
            </w:r>
            <w:r>
              <w:rPr>
                <w:rStyle w:val="Text3"/>
              </w:rPr>
              <w:t>end</w:t>
            </w:r>
            <w:r>
              <w:rPr>
                <w:rStyle w:val="Text0"/>
              </w:rPr>
              <w:t>]</w:t>
            </w:r>
            <w:r>
              <w:t xml:space="preserve">. </w:t>
            </w:r>
            <w:r>
              <w:rPr>
                <w:rStyle w:val="Text0"/>
              </w:rPr>
              <w:t>rfind</w:t>
            </w:r>
            <w:r>
              <w:t xml:space="preserve"> returns </w:t>
            </w:r>
            <w:r>
              <w:rPr>
                <w:rStyle w:val="Text0"/>
              </w:rPr>
              <w:t>-1</w:t>
            </w:r>
            <w:r>
              <w:t xml:space="preserve"> if </w:t>
            </w:r>
            <w:r>
              <w:rPr>
                <w:rStyle w:val="Text3"/>
              </w:rPr>
              <w:t>sub</w:t>
            </w:r>
            <w:r>
              <w:t xml:space="preserve"> is not found.</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rindex</w:t>
            </w:r>
          </w:p>
        </w:tc>
        <w:tc>
          <w:tcPr>
            <w:tcW w:type="auto" w:w="0"/>
            <w:tcMar>
              <w:left w:type="dxa" w:w="200"/>
              <w:top w:type="dxa" w:w="200"/>
              <w:right w:type="dxa" w:w="200"/>
              <w:bottom w:type="dxa" w:w="200"/>
            </w:tcMar>
          </w:tcPr>
          <w:p>
            <w:pPr>
              <w:pStyle w:val="Para 001"/>
            </w:pPr>
            <w:r>
              <w:rPr>
                <w:rStyle w:val="Text3"/>
              </w:rPr>
              <w:t>s</w:t>
            </w:r>
            <w:r>
              <w:t>.rindex(</w:t>
            </w:r>
            <w:r>
              <w:rPr>
                <w:rStyle w:val="Text3"/>
              </w:rPr>
              <w:t>sub</w:t>
            </w:r>
            <w:r>
              <w:t>,</w:t>
            </w:r>
            <w:r>
              <w:rPr>
                <w:rStyle w:val="Text12"/>
              </w:rPr>
              <w:t xml:space="preserve"> </w:t>
            </w:r>
            <w:r>
              <w:rPr>
                <w:rStyle w:val="Text3"/>
              </w:rPr>
              <w:t>start</w:t>
            </w:r>
            <w:r>
              <w:t>=0,</w:t>
            </w:r>
            <w:r>
              <w:rPr>
                <w:rStyle w:val="Text12"/>
              </w:rPr>
              <w:t xml:space="preserve"> </w:t>
            </w:r>
            <w:r>
              <w:rPr>
                <w:rStyle w:val="Text3"/>
              </w:rPr>
              <w:t>end</w:t>
            </w:r>
            <w:r>
              <w:t>=sys.maxsize, /)</w:t>
              <w:br w:clear="none"/>
            </w:r>
            <w:r>
              <w:rPr>
                <w:rStyle w:val="Text12"/>
              </w:rPr>
              <w:t xml:space="preserve"> Like </w:t>
            </w:r>
            <w:r>
              <w:t>rfind</w:t>
            </w:r>
            <w:r>
              <w:rPr>
                <w:rStyle w:val="Text12"/>
              </w:rPr>
              <w:t xml:space="preserve">, but raises </w:t>
            </w:r>
            <w:r>
              <w:t>ValueError</w:t>
            </w:r>
            <w:r>
              <w:rPr>
                <w:rStyle w:val="Text12"/>
              </w:rPr>
              <w:t xml:space="preserve"> if </w:t>
            </w:r>
            <w:r>
              <w:rPr>
                <w:rStyle w:val="Text3"/>
              </w:rPr>
              <w:t>sub</w:t>
            </w:r>
            <w:r>
              <w:rPr>
                <w:rStyle w:val="Text12"/>
              </w:rPr>
              <w:t xml:space="preserve"> is not found.</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rjust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.rjust(</w:t>
            </w:r>
            <w:r>
              <w:rPr>
                <w:rStyle w:val="Text3"/>
              </w:rPr>
              <w:t>n</w:t>
            </w:r>
            <w:r>
              <w:rPr>
                <w:rStyle w:val="Text0"/>
              </w:rPr>
              <w:t>,</w:t>
            </w:r>
            <w:r>
              <w:t xml:space="preserve"> </w:t>
            </w:r>
            <w:r>
              <w:rPr>
                <w:rStyle w:val="Text3"/>
              </w:rPr>
              <w:t>fillchar</w:t>
            </w:r>
            <w:r>
              <w:rPr>
                <w:rStyle w:val="Text0"/>
              </w:rPr>
              <w:t>=' ', /)</w:t>
              <w:br w:clear="none"/>
            </w:r>
            <w:r>
              <w:t xml:space="preserve"> Returns</w:t>
            </w:r>
            <w:r>
              <w:rPr>
                <w:rStyle w:val="Text111"/>
              </w:rPr>
              <w:bookmarkStart w:id="2268" w:name="idm45965212442400"/>
              <w:t/>
              <w:bookmarkEnd w:id="2268"/>
            </w:r>
            <w:r>
              <w:t xml:space="preserve"> a string of length </w:t>
            </w:r>
            <w:r>
              <w:rPr>
                <w:rStyle w:val="Text0"/>
              </w:rPr>
              <w:t>max(len(</w:t>
            </w:r>
            <w:r>
              <w:rPr>
                <w:rStyle w:val="Text3"/>
              </w:rPr>
              <w:t>s</w:t>
            </w:r>
            <w:r>
              <w:rPr>
                <w:rStyle w:val="Text0"/>
              </w:rPr>
              <w:t>),</w:t>
            </w:r>
            <w:r>
              <w:rPr>
                <w:rStyle w:val="Text3"/>
              </w:rPr>
              <w:t>n</w:t>
            </w:r>
            <w:r>
              <w:rPr>
                <w:rStyle w:val="Text0"/>
              </w:rPr>
              <w:t>)</w:t>
            </w:r>
            <w:r>
              <w:t xml:space="preserve">, with a copy of </w:t>
            </w:r>
            <w:r>
              <w:rPr>
                <w:rStyle w:val="Text3"/>
              </w:rPr>
              <w:t>s</w:t>
            </w:r>
            <w:r>
              <w:t xml:space="preserve"> at the end, preceded by zero or more leading copies of character </w:t>
            </w:r>
            <w:r>
              <w:rPr>
                <w:rStyle w:val="Text3"/>
              </w:rPr>
              <w:t>fillchar</w:t>
            </w: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rstrip</w:t>
            </w:r>
          </w:p>
        </w:tc>
        <w:tc>
          <w:tcPr>
            <w:tcW w:type="auto" w:w="0"/>
            <w:tcMar>
              <w:left w:type="dxa" w:w="200"/>
              <w:top w:type="dxa" w:w="200"/>
              <w:right w:type="dxa" w:w="200"/>
              <w:bottom w:type="dxa" w:w="200"/>
            </w:tcMar>
          </w:tcPr>
          <w:p>
            <w:pPr>
              <w:pStyle w:val="Para 002"/>
            </w:pPr>
            <w:r>
              <w:rPr>
                <w:rStyle w:val="Text3"/>
              </w:rPr>
              <w:t>s</w:t>
            </w:r>
            <w:r>
              <w:rPr>
                <w:rStyle w:val="Text0"/>
              </w:rPr>
              <w:t>.rstrip(</w:t>
            </w:r>
            <w:r>
              <w:rPr>
                <w:rStyle w:val="Text3"/>
              </w:rPr>
              <w:t>x</w:t>
            </w:r>
            <w:r>
              <w:rPr>
                <w:rStyle w:val="Text0"/>
              </w:rPr>
              <w:t>=string.whitespace, /)</w:t>
              <w:br w:clear="none"/>
            </w:r>
            <w:r>
              <w:t xml:space="preserve"> Returns</w:t>
            </w:r>
            <w:r>
              <w:rPr>
                <w:rStyle w:val="Text111"/>
              </w:rPr>
              <w:bookmarkStart w:id="2269" w:name="idm45965212433696"/>
              <w:t/>
              <w:bookmarkEnd w:id="2269"/>
            </w:r>
            <w:r>
              <w:t xml:space="preserve"> a copy of </w:t>
            </w:r>
            <w:r>
              <w:rPr>
                <w:rStyle w:val="Text3"/>
              </w:rPr>
              <w:t>s</w:t>
            </w:r>
            <w:r>
              <w:t xml:space="preserve">, removing trailing characters that are found in string </w:t>
            </w:r>
            <w:r>
              <w:rPr>
                <w:rStyle w:val="Text3"/>
              </w:rPr>
              <w:t>x</w:t>
            </w:r>
            <w:r>
              <w:t xml:space="preserve">. For example, </w:t>
            </w:r>
            <w:r>
              <w:rPr>
                <w:rStyle w:val="Text0"/>
              </w:rPr>
              <w:t>'banana'.rstrip('ab')</w:t>
            </w:r>
            <w:r>
              <w:t xml:space="preserve"> returns </w:t>
            </w:r>
            <w:r>
              <w:rPr>
                <w:rStyle w:val="Text0"/>
              </w:rPr>
              <w:t>'banan'</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split</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.split(sep=None</w:t>
            </w:r>
            <w:r>
              <w:t xml:space="preserve">, </w:t>
            </w:r>
            <w:r>
              <w:rPr>
                <w:rStyle w:val="Text0"/>
              </w:rPr>
              <w:t>maxsplit=sys.maxsize)</w:t>
              <w:br w:clear="none"/>
            </w:r>
            <w:r>
              <w:t xml:space="preserve"> Returns</w:t>
            </w:r>
            <w:r>
              <w:rPr>
                <w:rStyle w:val="Text111"/>
              </w:rPr>
              <w:bookmarkStart w:id="2270" w:name="idm45965212424496"/>
              <w:t/>
              <w:bookmarkEnd w:id="2270"/>
            </w:r>
            <w:r>
              <w:t xml:space="preserve"> a list </w:t>
            </w:r>
            <w:r>
              <w:rPr>
                <w:rStyle w:val="Text3"/>
              </w:rPr>
              <w:t>L</w:t>
            </w:r>
            <w:r>
              <w:t xml:space="preserve"> of up to </w:t>
            </w:r>
            <w:r>
              <w:rPr>
                <w:rStyle w:val="Text0"/>
              </w:rPr>
              <w:t>maxsplit+1</w:t>
            </w:r>
            <w:r>
              <w:t xml:space="preserve"> strings. Each item of </w:t>
            </w:r>
            <w:r>
              <w:rPr>
                <w:rStyle w:val="Text3"/>
              </w:rPr>
              <w:t>L</w:t>
            </w:r>
            <w:r>
              <w:t xml:space="preserve"> is a “word” from </w:t>
            </w:r>
            <w:r>
              <w:rPr>
                <w:rStyle w:val="Text3"/>
              </w:rPr>
              <w:t>s</w:t>
            </w:r>
            <w:r>
              <w:t xml:space="preserve">, where string </w:t>
            </w:r>
            <w:r>
              <w:rPr>
                <w:rStyle w:val="Text0"/>
              </w:rPr>
              <w:t>sep</w:t>
            </w:r>
            <w:r>
              <w:t xml:space="preserve"> separates words. When </w:t>
            </w:r>
            <w:r>
              <w:rPr>
                <w:rStyle w:val="Text3"/>
              </w:rPr>
              <w:t>s</w:t>
            </w:r>
            <w:r>
              <w:t xml:space="preserve"> has more than </w:t>
            </w:r>
            <w:r>
              <w:rPr>
                <w:rStyle w:val="Text0"/>
              </w:rPr>
              <w:t>maxsplit</w:t>
            </w:r>
            <w:r>
              <w:t xml:space="preserve"> words, the last item of </w:t>
            </w:r>
            <w:r>
              <w:rPr>
                <w:rStyle w:val="Text3"/>
              </w:rPr>
              <w:t>L</w:t>
            </w:r>
            <w:r>
              <w:t xml:space="preserve"> is the substring of </w:t>
            </w:r>
            <w:r>
              <w:rPr>
                <w:rStyle w:val="Text3"/>
              </w:rPr>
              <w:t>s</w:t>
            </w:r>
            <w:r>
              <w:t xml:space="preserve"> that follows the first </w:t>
            </w:r>
            <w:r>
              <w:rPr>
                <w:rStyle w:val="Text0"/>
              </w:rPr>
              <w:t>maxsplit</w:t>
            </w:r>
            <w:r>
              <w:t xml:space="preserve"> words. When </w:t>
            </w:r>
            <w:r>
              <w:rPr>
                <w:rStyle w:val="Text0"/>
              </w:rPr>
              <w:t>sep</w:t>
            </w:r>
            <w:r>
              <w:t xml:space="preserve"> is </w:t>
            </w:r>
            <w:r>
              <w:rPr>
                <w:rStyle w:val="Text5"/>
              </w:rPr>
              <w:t>None</w:t>
            </w:r>
            <w:r>
              <w:t xml:space="preserve">, any string of whitespace separates words (e.g., </w:t>
            </w:r>
            <w:r>
              <w:rPr>
                <w:rStyle w:val="Text0"/>
              </w:rPr>
              <w:t>'four score and seven years'.split(</w:t>
            </w:r>
            <w:r>
              <w:rPr>
                <w:rStyle w:val="Text5"/>
              </w:rPr>
              <w:t>None</w:t>
            </w:r>
            <w:r>
              <w:rPr>
                <w:rStyle w:val="Text0"/>
              </w:rPr>
              <w:t>, 3)</w:t>
            </w:r>
            <w:r>
              <w:t xml:space="preserve"> returns </w:t>
            </w:r>
            <w:r>
              <w:rPr>
                <w:rStyle w:val="Text0"/>
              </w:rPr>
              <w:t>['four', 'score', 'and', 'seven years']</w:t>
            </w:r>
            <w:r>
              <w:t>).</w:t>
              <w:br w:clear="none"/>
              <w:t xml:space="preserve"> Note the difference between splitting on </w:t>
            </w:r>
            <w:r>
              <w:rPr>
                <w:rStyle w:val="Text5"/>
              </w:rPr>
              <w:t>None</w:t>
            </w:r>
            <w:r>
              <w:t xml:space="preserve"> (any run of whitespace characters is a separator) and splitting on </w:t>
            </w:r>
            <w:r>
              <w:rPr>
                <w:rStyle w:val="Text0"/>
              </w:rPr>
              <w:t>' '</w:t>
            </w:r>
            <w:r>
              <w:t xml:space="preserve"> (where each single space character, </w:t>
            </w:r>
            <w:r>
              <w:rPr>
                <w:rStyle w:val="Text4"/>
              </w:rPr>
              <w:t>not</w:t>
            </w:r>
            <w:r>
              <w:t xml:space="preserve"> other whitespace such as tabs and newlines, and </w:t>
            </w:r>
            <w:r>
              <w:rPr>
                <w:rStyle w:val="Text4"/>
              </w:rPr>
              <w:t>not</w:t>
            </w:r>
            <w:r>
              <w:t xml:space="preserve"> strings of spaces, is a separator). For example: </w:t>
            </w:r>
          </w:p>
          <w:p>
            <w:pPr>
              <w:pStyle w:val="Para 058"/>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a  bB</w:t>
              <w:br w:clear="none"/>
              <w:t xml:space="preserve">'</w:t>
              <w:br w:clear="none"/>
            </w:r>
            <w:r>
              <w:rPr>
                <w:rStyle w:val="Text11"/>
              </w:rPr>
              <w:t xml:space="preserve">  </w:t>
              <w:br w:clear="none"/>
            </w:r>
            <w:r>
              <w:t xml:space="preserve"># two spaces between a and bB</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x</w:t>
              <w:br w:clear="none"/>
            </w:r>
            <w:r>
              <w:rPr>
                <w:rStyle w:val="Text28"/>
              </w:rPr>
              <w:t xml:space="preserve">.</w:t>
              <w:br w:clear="none"/>
            </w:r>
            <w:r>
              <w:rPr>
                <w:rStyle w:val="Text14"/>
              </w:rPr>
              <w:t xml:space="preserve">split</w:t>
              <w:br w:clear="none"/>
            </w:r>
            <w:r>
              <w:rPr>
                <w:rStyle w:val="Text19"/>
              </w:rPr>
              <w:t xml:space="preserve">(</w:t>
              <w:br w:clear="none"/>
              <w:t xml:space="preserve">)</w:t>
              <w:br w:clear="none"/>
            </w:r>
            <w:r>
              <w:rPr>
                <w:rStyle w:val="Text11"/>
              </w:rPr>
              <w:t xml:space="preserve">    </w:t>
              <w:br w:clear="none"/>
            </w:r>
            <w:r>
              <w:t xml:space="preserve"># or x.split(</w:t>
              <w:br w:clear="none"/>
              <w:t xml:space="preserve">None</w:t>
              <w:br w:clear="none"/>
              <w:t xml:space="preserve">)</w:t>
              <w:br w:clear="none"/>
            </w:r>
          </w:p>
          <w:p>
            <w:pPr>
              <w:pStyle w:val="Para 033"/>
            </w:pPr>
            <w:r>
              <w:rPr>
                <w:rStyle w:val="Text48"/>
              </w:rPr>
              <w:t xml:space="preserve"/>
              <w:br w:clear="none"/>
            </w:r>
            <w:r>
              <w:t xml:space="preserve">['a', 'bB']</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x</w:t>
              <w:br w:clear="none"/>
            </w:r>
            <w:r>
              <w:rPr>
                <w:rStyle w:val="Text13"/>
              </w:rPr>
              <w:t xml:space="preserve">.</w:t>
              <w:br w:clear="none"/>
            </w:r>
            <w:r>
              <w:t xml:space="preserve">split</w:t>
              <w:br w:clear="none"/>
            </w:r>
            <w:r>
              <w:rPr>
                <w:rStyle w:val="Text7"/>
              </w:rPr>
              <w:t xml:space="preserve">(</w:t>
              <w:br w:clear="none"/>
            </w:r>
            <w:r>
              <w:rPr>
                <w:rStyle w:val="Text8"/>
              </w:rPr>
              <w:t xml:space="preserve">' '</w:t>
              <w:br w:clear="none"/>
            </w:r>
            <w:r>
              <w:rPr>
                <w:rStyle w:val="Text7"/>
              </w:rPr>
              <w:t xml:space="preserve">)</w:t>
              <w:br w:clear="none"/>
            </w:r>
          </w:p>
          <w:p>
            <w:pPr>
              <w:pStyle w:val="Para 033"/>
            </w:pPr>
            <w:r>
              <w:rPr>
                <w:rStyle w:val="Text48"/>
              </w:rPr>
              <w:t xml:space="preserve"/>
              <w:br w:clear="none"/>
            </w:r>
            <w:r>
              <w:t xml:space="preserve">['a', '', 'bB']</w:t>
              <w:br w:clear="none"/>
            </w:r>
          </w:p>
          <w:p>
            <w:pPr>
              <w:pStyle w:val="Para 022"/>
            </w:pPr>
            <w:r>
              <w:t xml:space="preserve"> In the first case, the two-spaces string in the middle is a single separator; in the second case, each single space is a separator, so that there is an empty string between the two spaces.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splitlines</w:t>
            </w:r>
          </w:p>
        </w:tc>
        <w:tc>
          <w:tcPr>
            <w:tcW w:type="auto" w:w="0"/>
            <w:tcMar>
              <w:left w:type="dxa" w:w="200"/>
              <w:top w:type="dxa" w:w="200"/>
              <w:right w:type="dxa" w:w="200"/>
              <w:bottom w:type="dxa" w:w="200"/>
            </w:tcMar>
          </w:tcPr>
          <w:p>
            <w:pPr>
              <w:pStyle w:val="Para 002"/>
            </w:pPr>
            <w:r>
              <w:rPr>
                <w:rStyle w:val="Text3"/>
              </w:rPr>
              <w:t>s</w:t>
            </w:r>
            <w:r>
              <w:rPr>
                <w:rStyle w:val="Text0"/>
              </w:rPr>
              <w:t>.splitlines(keepends=</w:t>
            </w:r>
            <w:r>
              <w:rPr>
                <w:rStyle w:val="Text5"/>
              </w:rPr>
              <w:t>False</w:t>
            </w:r>
            <w:r>
              <w:rPr>
                <w:rStyle w:val="Text0"/>
              </w:rPr>
              <w:t>)</w:t>
              <w:br w:clear="none"/>
            </w:r>
            <w:r>
              <w:t xml:space="preserve"> Like</w:t>
            </w:r>
            <w:r>
              <w:rPr>
                <w:rStyle w:val="Text111"/>
              </w:rPr>
              <w:bookmarkStart w:id="2271" w:name="idm45965212382304"/>
              <w:t/>
              <w:bookmarkEnd w:id="2271"/>
            </w:r>
            <w:r>
              <w:t xml:space="preserve"> </w:t>
            </w:r>
            <w:r>
              <w:rPr>
                <w:rStyle w:val="Text3"/>
              </w:rPr>
              <w:t>s</w:t>
            </w:r>
            <w:r>
              <w:rPr>
                <w:rStyle w:val="Text0"/>
              </w:rPr>
              <w:t>.split('\n')</w:t>
            </w:r>
            <w:r>
              <w:t xml:space="preserve">. When </w:t>
            </w:r>
            <w:r>
              <w:rPr>
                <w:rStyle w:val="Text0"/>
              </w:rPr>
              <w:t>keepends</w:t>
            </w:r>
            <w:r>
              <w:t xml:space="preserve"> is </w:t>
            </w:r>
            <w:r>
              <w:rPr>
                <w:rStyle w:val="Text5"/>
              </w:rPr>
              <w:t>True</w:t>
            </w:r>
            <w:r>
              <w:t xml:space="preserve">, however, the trailing </w:t>
            </w:r>
            <w:r>
              <w:rPr>
                <w:rStyle w:val="Text0"/>
              </w:rPr>
              <w:t>'\n'</w:t>
            </w:r>
            <w:r>
              <w:t xml:space="preserve"> is included in each item of the resulting list (except the last one, if </w:t>
            </w:r>
            <w:r>
              <w:rPr>
                <w:rStyle w:val="Text3"/>
              </w:rPr>
              <w:t>s</w:t>
            </w:r>
            <w:r>
              <w:t xml:space="preserve"> does not end with </w:t>
            </w:r>
            <w:r>
              <w:rPr>
                <w:rStyle w:val="Text0"/>
              </w:rPr>
              <w:t>'\n'</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startswith</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.startswith(</w:t>
            </w:r>
            <w:r>
              <w:rPr>
                <w:rStyle w:val="Text3"/>
              </w:rPr>
              <w:t>prefix</w:t>
            </w:r>
            <w:r>
              <w:rPr>
                <w:rStyle w:val="Text0"/>
              </w:rPr>
              <w:t>,</w:t>
            </w:r>
            <w:r>
              <w:t xml:space="preserve"> </w:t>
            </w:r>
            <w:r>
              <w:rPr>
                <w:rStyle w:val="Text3"/>
              </w:rPr>
              <w:t>start</w:t>
            </w:r>
            <w:r>
              <w:rPr>
                <w:rStyle w:val="Text0"/>
              </w:rPr>
              <w:t>=0,</w:t>
            </w:r>
            <w:r>
              <w:t xml:space="preserve"> </w:t>
            </w:r>
            <w:r>
              <w:rPr>
                <w:rStyle w:val="Text3"/>
              </w:rPr>
              <w:t>end</w:t>
            </w:r>
            <w:r>
              <w:rPr>
                <w:rStyle w:val="Text0"/>
              </w:rPr>
              <w:t>=sys.maxsize, /)</w:t>
              <w:br w:clear="none"/>
            </w:r>
            <w:r>
              <w:t xml:space="preserve"> Returns</w:t>
            </w:r>
            <w:r>
              <w:rPr>
                <w:rStyle w:val="Text111"/>
              </w:rPr>
              <w:bookmarkStart w:id="2272" w:name="idm45965212316544"/>
              <w:t/>
              <w:bookmarkEnd w:id="2272"/>
            </w:r>
            <w:r>
              <w:t xml:space="preserve"> </w:t>
            </w:r>
            <w:r>
              <w:rPr>
                <w:rStyle w:val="Text5"/>
              </w:rPr>
              <w:t>True</w:t>
            </w:r>
            <w:r>
              <w:t xml:space="preserve"> when </w:t>
            </w:r>
            <w:r>
              <w:rPr>
                <w:rStyle w:val="Text3"/>
              </w:rPr>
              <w:t>s</w:t>
            </w:r>
            <w:r>
              <w:rPr>
                <w:rStyle w:val="Text0"/>
              </w:rPr>
              <w:t>[</w:t>
            </w:r>
            <w:r>
              <w:rPr>
                <w:rStyle w:val="Text3"/>
              </w:rPr>
              <w:t>start</w:t>
            </w:r>
            <w:r>
              <w:rPr>
                <w:rStyle w:val="Text0"/>
              </w:rPr>
              <w:t>:</w:t>
            </w:r>
            <w:r>
              <w:rPr>
                <w:rStyle w:val="Text3"/>
              </w:rPr>
              <w:t>end</w:t>
            </w:r>
            <w:r>
              <w:rPr>
                <w:rStyle w:val="Text0"/>
              </w:rPr>
              <w:t>]</w:t>
            </w:r>
            <w:r>
              <w:t xml:space="preserve"> starts with string </w:t>
            </w:r>
            <w:r>
              <w:rPr>
                <w:rStyle w:val="Text3"/>
              </w:rPr>
              <w:t>prefix</w:t>
            </w:r>
            <w:r>
              <w:t xml:space="preserve">; otherwise, returns </w:t>
            </w:r>
            <w:r>
              <w:rPr>
                <w:rStyle w:val="Text5"/>
              </w:rPr>
              <w:t>False</w:t>
            </w:r>
            <w:r>
              <w:t xml:space="preserve">. </w:t>
            </w:r>
            <w:r>
              <w:rPr>
                <w:rStyle w:val="Text3"/>
              </w:rPr>
              <w:t>prefix</w:t>
            </w:r>
            <w:r>
              <w:t xml:space="preserve"> can be a tuple of strings, in which case </w:t>
            </w:r>
            <w:r>
              <w:rPr>
                <w:rStyle w:val="Text0"/>
              </w:rPr>
              <w:t>startswith</w:t>
            </w:r>
            <w:r>
              <w:t xml:space="preserve"> returns </w:t>
            </w:r>
            <w:r>
              <w:rPr>
                <w:rStyle w:val="Text5"/>
              </w:rPr>
              <w:t>True</w:t>
            </w:r>
            <w:r>
              <w:t xml:space="preserve"> when </w:t>
            </w:r>
            <w:r>
              <w:rPr>
                <w:rStyle w:val="Text3"/>
              </w:rPr>
              <w:t>s</w:t>
            </w:r>
            <w:r>
              <w:rPr>
                <w:rStyle w:val="Text0"/>
              </w:rPr>
              <w:t>[</w:t>
            </w:r>
            <w:r>
              <w:rPr>
                <w:rStyle w:val="Text3"/>
              </w:rPr>
              <w:t>start</w:t>
            </w:r>
            <w:r>
              <w:rPr>
                <w:rStyle w:val="Text0"/>
              </w:rPr>
              <w:t>:</w:t>
            </w:r>
            <w:r>
              <w:rPr>
                <w:rStyle w:val="Text3"/>
              </w:rPr>
              <w:t>end</w:t>
            </w:r>
            <w:r>
              <w:rPr>
                <w:rStyle w:val="Text0"/>
              </w:rPr>
              <w:t>]</w:t>
            </w:r>
            <w:r>
              <w:t xml:space="preserve"> starts with any one of them.</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strip</w:t>
            </w:r>
          </w:p>
        </w:tc>
        <w:tc>
          <w:tcPr>
            <w:tcW w:type="auto" w:w="0"/>
            <w:tcMar>
              <w:left w:type="dxa" w:w="200"/>
              <w:top w:type="dxa" w:w="200"/>
              <w:right w:type="dxa" w:w="200"/>
              <w:bottom w:type="dxa" w:w="200"/>
            </w:tcMar>
          </w:tcPr>
          <w:p>
            <w:pPr>
              <w:pStyle w:val="Para 002"/>
            </w:pPr>
            <w:r>
              <w:rPr>
                <w:rStyle w:val="Text3"/>
              </w:rPr>
              <w:t>s</w:t>
            </w:r>
            <w:r>
              <w:rPr>
                <w:rStyle w:val="Text0"/>
              </w:rPr>
              <w:t>.strip(</w:t>
            </w:r>
            <w:r>
              <w:rPr>
                <w:rStyle w:val="Text3"/>
              </w:rPr>
              <w:t>x</w:t>
            </w:r>
            <w:r>
              <w:rPr>
                <w:rStyle w:val="Text0"/>
              </w:rPr>
              <w:t>=string.whitespace, /)</w:t>
              <w:br w:clear="none"/>
            </w:r>
            <w:r>
              <w:t xml:space="preserve"> Returns</w:t>
            </w:r>
            <w:r>
              <w:rPr>
                <w:rStyle w:val="Text111"/>
              </w:rPr>
              <w:bookmarkStart w:id="2273" w:name="idm45965212301952"/>
              <w:t/>
              <w:bookmarkEnd w:id="2273"/>
            </w:r>
            <w:r>
              <w:t xml:space="preserve"> a copy of </w:t>
            </w:r>
            <w:r>
              <w:rPr>
                <w:rStyle w:val="Text3"/>
              </w:rPr>
              <w:t>s</w:t>
            </w:r>
            <w:r>
              <w:t xml:space="preserve">, removing both leading and trailing characters that are found in string </w:t>
            </w:r>
            <w:r>
              <w:rPr>
                <w:rStyle w:val="Text3"/>
              </w:rPr>
              <w:t>x</w:t>
            </w:r>
            <w:r>
              <w:t xml:space="preserve">. For example, </w:t>
            </w:r>
            <w:r>
              <w:rPr>
                <w:rStyle w:val="Text0"/>
              </w:rPr>
              <w:t>'banana'.strip('ab')</w:t>
            </w:r>
            <w:r>
              <w:t xml:space="preserve"> returns </w:t>
            </w:r>
            <w:r>
              <w:rPr>
                <w:rStyle w:val="Text0"/>
              </w:rPr>
              <w:t>'nan'</w:t>
            </w: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swapcase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.swapcase()</w:t>
              <w:br w:clear="none"/>
            </w:r>
            <w:r>
              <w:t xml:space="preserve"> Returns</w:t>
            </w:r>
            <w:r>
              <w:rPr>
                <w:rStyle w:val="Text111"/>
              </w:rPr>
              <w:bookmarkStart w:id="2274" w:name="idm45965212294144"/>
              <w:t/>
              <w:bookmarkEnd w:id="2274"/>
            </w:r>
            <w:r>
              <w:t xml:space="preserve"> a copy of </w:t>
            </w:r>
            <w:r>
              <w:rPr>
                <w:rStyle w:val="Text3"/>
              </w:rPr>
              <w:t>s</w:t>
            </w:r>
            <w:r>
              <w:t xml:space="preserve"> with all uppercase letters converted to lowercase and vice versa.</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title</w:t>
            </w:r>
          </w:p>
        </w:tc>
        <w:tc>
          <w:tcPr>
            <w:tcW w:type="auto" w:w="0"/>
            <w:tcMar>
              <w:left w:type="dxa" w:w="200"/>
              <w:top w:type="dxa" w:w="200"/>
              <w:right w:type="dxa" w:w="200"/>
              <w:bottom w:type="dxa" w:w="200"/>
            </w:tcMar>
          </w:tcPr>
          <w:p>
            <w:pPr>
              <w:pStyle w:val="Para 002"/>
            </w:pPr>
            <w:r>
              <w:rPr>
                <w:rStyle w:val="Text3"/>
              </w:rPr>
              <w:t>s</w:t>
            </w:r>
            <w:r>
              <w:rPr>
                <w:rStyle w:val="Text0"/>
              </w:rPr>
              <w:t>.title()</w:t>
              <w:br w:clear="none"/>
            </w:r>
            <w:r>
              <w:t xml:space="preserve"> Returns</w:t>
            </w:r>
            <w:r>
              <w:rPr>
                <w:rStyle w:val="Text111"/>
              </w:rPr>
              <w:bookmarkStart w:id="2275" w:name="idm45965212288528"/>
              <w:t/>
              <w:bookmarkEnd w:id="2275"/>
            </w:r>
            <w:r>
              <w:t xml:space="preserve"> a copy of </w:t>
            </w:r>
            <w:r>
              <w:rPr>
                <w:rStyle w:val="Text3"/>
              </w:rPr>
              <w:t>s</w:t>
            </w:r>
            <w:r>
              <w:t xml:space="preserve"> transformed to title case: a capital letter at the start of each contiguous sequence of letters, with all other letters (if any) lowercase.</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translate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.translate(</w:t>
            </w:r>
            <w:r>
              <w:rPr>
                <w:rStyle w:val="Text3"/>
              </w:rPr>
              <w:t>table</w:t>
            </w:r>
            <w:r>
              <w:rPr>
                <w:rStyle w:val="Text0"/>
              </w:rPr>
              <w:t>, /, delete</w:t>
            </w:r>
            <w:r>
              <w:rPr>
                <w:rStyle w:val="Text3"/>
              </w:rPr>
              <w:t>=</w:t>
            </w:r>
            <w:r>
              <w:rPr>
                <w:rStyle w:val="Text0"/>
              </w:rPr>
              <w:t>b'')</w:t>
              <w:br w:clear="none"/>
            </w:r>
            <w:r>
              <w:t xml:space="preserve"> Returns</w:t>
            </w:r>
            <w:r>
              <w:rPr>
                <w:rStyle w:val="Text111"/>
              </w:rPr>
              <w:bookmarkStart w:id="2276" w:name="idm45965212281168"/>
              <w:t/>
              <w:bookmarkEnd w:id="2276"/>
            </w:r>
            <w:r>
              <w:t xml:space="preserve"> a copy of </w:t>
            </w:r>
            <w:r>
              <w:rPr>
                <w:rStyle w:val="Text3"/>
              </w:rPr>
              <w:t>s</w:t>
            </w:r>
            <w:r>
              <w:t xml:space="preserve">, where characters found in </w:t>
            </w:r>
            <w:r>
              <w:rPr>
                <w:rStyle w:val="Text3"/>
              </w:rPr>
              <w:t>table</w:t>
            </w:r>
            <w:r>
              <w:t xml:space="preserve"> are translated or deleted. When </w:t>
            </w:r>
            <w:r>
              <w:rPr>
                <w:rStyle w:val="Text3"/>
              </w:rPr>
              <w:t>s</w:t>
            </w:r>
            <w:r>
              <w:t xml:space="preserve"> is a </w:t>
            </w:r>
            <w:r>
              <w:rPr>
                <w:rStyle w:val="Text0"/>
              </w:rPr>
              <w:t>str</w:t>
            </w:r>
            <w:r>
              <w:t xml:space="preserve">, you cannot pass the argument </w:t>
            </w:r>
            <w:r>
              <w:rPr>
                <w:rStyle w:val="Text0"/>
              </w:rPr>
              <w:t>delete</w:t>
            </w:r>
            <w:r>
              <w:t xml:space="preserve">; </w:t>
            </w:r>
            <w:r>
              <w:rPr>
                <w:rStyle w:val="Text3"/>
              </w:rPr>
              <w:t>table</w:t>
            </w:r>
            <w:r>
              <w:t xml:space="preserve"> is a </w:t>
            </w:r>
            <w:r>
              <w:rPr>
                <w:rStyle w:val="Text0"/>
              </w:rPr>
              <w:t>dict</w:t>
            </w:r>
            <w:r>
              <w:t xml:space="preserve"> whose keys are Unicode ordinals and whose values are Unicode ordinals, Unicode strings, or </w:t>
            </w:r>
            <w:r>
              <w:rPr>
                <w:rStyle w:val="Text5"/>
              </w:rPr>
              <w:t>None</w:t>
            </w:r>
            <w:r>
              <w:t xml:space="preserve"> (to delete the corresponding character). For example: </w:t>
            </w:r>
          </w:p>
          <w:p>
            <w:pPr>
              <w:pStyle w:val="Para 045"/>
            </w:pPr>
            <w:r>
              <w:rPr>
                <w:rStyle w:val="Text23"/>
              </w:rPr>
              <w:t xml:space="preserve"/>
              <w:br w:clear="none"/>
            </w:r>
            <w:r>
              <w:rPr>
                <w:rStyle w:val="Text9"/>
              </w:rPr>
              <w:t xml:space="preserve">tbl</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16"/>
              </w:rPr>
              <w:t xml:space="preserve">ord</w:t>
              <w:br w:clear="none"/>
            </w:r>
            <w:r>
              <w:rPr>
                <w:rStyle w:val="Text7"/>
              </w:rPr>
              <w:t xml:space="preserve">(</w:t>
              <w:br w:clear="none"/>
            </w:r>
            <w:r>
              <w:t xml:space="preserve">'</w:t>
              <w:br w:clear="none"/>
              <w:t xml:space="preserve">a</w:t>
              <w:br w:clear="none"/>
              <w:t xml:space="preserve">'</w:t>
              <w:br w:clear="none"/>
            </w:r>
            <w:r>
              <w:rPr>
                <w:rStyle w:val="Text7"/>
              </w:rPr>
              <w:t xml:space="preserve">)</w:t>
              <w:br w:clear="none"/>
              <w:t xml:space="preserve">:</w:t>
              <w:br w:clear="none"/>
            </w:r>
            <w:r>
              <w:rPr>
                <w:rStyle w:val="Text10"/>
              </w:rPr>
              <w:t xml:space="preserve">None</w:t>
              <w:br w:clear="none"/>
            </w:r>
            <w:r>
              <w:rPr>
                <w:rStyle w:val="Text7"/>
              </w:rPr>
              <w:t xml:space="preserve">,</w:t>
              <w:br w:clear="none"/>
            </w:r>
            <w:r>
              <w:rPr>
                <w:rStyle w:val="Text6"/>
              </w:rPr>
              <w:t xml:space="preserve"> </w:t>
              <w:br w:clear="none"/>
            </w:r>
            <w:r>
              <w:rPr>
                <w:rStyle w:val="Text16"/>
              </w:rPr>
              <w:t xml:space="preserve">ord</w:t>
              <w:br w:clear="none"/>
            </w:r>
            <w:r>
              <w:rPr>
                <w:rStyle w:val="Text7"/>
              </w:rPr>
              <w:t xml:space="preserve">(</w:t>
              <w:br w:clear="none"/>
            </w:r>
            <w:r>
              <w:t xml:space="preserve">'</w:t>
              <w:br w:clear="none"/>
              <w:t xml:space="preserve">n</w:t>
              <w:br w:clear="none"/>
              <w:t xml:space="preserve">'</w:t>
              <w:br w:clear="none"/>
            </w:r>
            <w:r>
              <w:rPr>
                <w:rStyle w:val="Text7"/>
              </w:rPr>
              <w:t xml:space="preserve">)</w:t>
              <w:br w:clear="none"/>
              <w:t xml:space="preserve">:</w:t>
              <w:br w:clear="none"/>
            </w:r>
            <w:r>
              <w:t xml:space="preserve">'</w:t>
              <w:br w:clear="none"/>
              <w:t xml:space="preserve">ze</w:t>
              <w:br w:clear="none"/>
              <w:t xml:space="preserve">'</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w:t>
              <w:br w:clear="none"/>
              <w:t xml:space="preserve">banana</w:t>
              <w:br w:clear="none"/>
              <w:t xml:space="preserve">'</w:t>
              <w:br w:clear="none"/>
            </w:r>
            <w:r>
              <w:rPr>
                <w:rStyle w:val="Text13"/>
              </w:rPr>
              <w:t xml:space="preserve">.</w:t>
              <w:br w:clear="none"/>
            </w:r>
            <w:r>
              <w:rPr>
                <w:rStyle w:val="Text9"/>
              </w:rPr>
              <w:t xml:space="preserve">translate</w:t>
              <w:br w:clear="none"/>
            </w:r>
            <w:r>
              <w:rPr>
                <w:rStyle w:val="Text7"/>
              </w:rPr>
              <w:t xml:space="preserve">(</w:t>
              <w:br w:clear="none"/>
            </w:r>
            <w:r>
              <w:rPr>
                <w:rStyle w:val="Text9"/>
              </w:rPr>
              <w:t xml:space="preserve">tbl</w:t>
              <w:br w:clear="none"/>
            </w:r>
            <w:r>
              <w:rPr>
                <w:rStyle w:val="Text7"/>
              </w:rPr>
              <w:t xml:space="preserve">)</w:t>
              <w:br w:clear="none"/>
              <w:t xml:space="preserve">)</w:t>
              <w:br w:clear="none"/>
            </w:r>
            <w:r>
              <w:rPr>
                <w:rStyle w:val="Text6"/>
              </w:rPr>
              <w:t xml:space="preserve">  </w:t>
              <w:br w:clear="none"/>
            </w:r>
            <w:r>
              <w:rPr>
                <w:rStyle w:val="Text15"/>
              </w:rPr>
              <w:t xml:space="preserve"># prints:</w:t>
              <w:br w:clear="none"/>
            </w:r>
            <w:r>
              <w:rPr>
                <w:rStyle w:val="Text26"/>
              </w:rPr>
              <w:t xml:space="preserve"> </w:t>
              <w:br w:clear="none"/>
            </w:r>
            <w:r>
              <w:rPr>
                <w:rStyle w:val="Text15"/>
              </w:rPr>
              <w:t xml:space="preserve">'bzeze'</w:t>
              <w:br w:clear="none"/>
            </w:r>
          </w:p>
          <w:p>
            <w:pPr>
              <w:pStyle w:val="Para 022"/>
            </w:pPr>
            <w:r>
              <w:t xml:space="preserve"> When </w:t>
            </w:r>
            <w:r>
              <w:rPr>
                <w:rStyle w:val="Text3"/>
              </w:rPr>
              <w:t>s</w:t>
            </w:r>
            <w:r>
              <w:t xml:space="preserve"> is a </w:t>
            </w:r>
            <w:r>
              <w:rPr>
                <w:rStyle w:val="Text0"/>
              </w:rPr>
              <w:t>bytes</w:t>
            </w:r>
            <w:r>
              <w:t xml:space="preserve">, </w:t>
            </w:r>
            <w:r>
              <w:rPr>
                <w:rStyle w:val="Text3"/>
              </w:rPr>
              <w:t>table</w:t>
            </w:r>
            <w:r>
              <w:t xml:space="preserve"> is a </w:t>
            </w:r>
            <w:r>
              <w:rPr>
                <w:rStyle w:val="Text0"/>
              </w:rPr>
              <w:t>bytes</w:t>
            </w:r>
            <w:r>
              <w:t xml:space="preserve"> object of length 256; the result of </w:t>
            </w:r>
            <w:r>
              <w:rPr>
                <w:rStyle w:val="Text3"/>
              </w:rPr>
              <w:t>s</w:t>
            </w:r>
            <w:r>
              <w:rPr>
                <w:rStyle w:val="Text0"/>
              </w:rPr>
              <w:t>.translate(</w:t>
            </w:r>
            <w:r>
              <w:rPr>
                <w:rStyle w:val="Text3"/>
              </w:rPr>
              <w:t>t</w:t>
            </w:r>
            <w:r>
              <w:rPr>
                <w:rStyle w:val="Text0"/>
              </w:rPr>
              <w:t>,</w:t>
            </w:r>
            <w:r>
              <w:t xml:space="preserve"> </w:t>
            </w:r>
            <w:r>
              <w:rPr>
                <w:rStyle w:val="Text3"/>
              </w:rPr>
              <w:t>b</w:t>
            </w:r>
            <w:r>
              <w:rPr>
                <w:rStyle w:val="Text0"/>
              </w:rPr>
              <w:t>)</w:t>
            </w:r>
            <w:r>
              <w:t xml:space="preserve"> is a </w:t>
            </w:r>
            <w:r>
              <w:rPr>
                <w:rStyle w:val="Text0"/>
              </w:rPr>
              <w:t>bytes</w:t>
            </w:r>
            <w:r>
              <w:t xml:space="preserve"> object with each item </w:t>
            </w:r>
            <w:r>
              <w:rPr>
                <w:rStyle w:val="Text3"/>
              </w:rPr>
              <w:t>b</w:t>
            </w:r>
            <w:r>
              <w:t xml:space="preserve"> of </w:t>
            </w:r>
            <w:r>
              <w:rPr>
                <w:rStyle w:val="Text3"/>
              </w:rPr>
              <w:t>s</w:t>
            </w:r>
            <w:r>
              <w:t xml:space="preserve"> omitted if </w:t>
            </w:r>
            <w:r>
              <w:rPr>
                <w:rStyle w:val="Text3"/>
              </w:rPr>
              <w:t>b</w:t>
            </w:r>
            <w:r>
              <w:t xml:space="preserve"> is one of the items of </w:t>
            </w:r>
            <w:r>
              <w:rPr>
                <w:rStyle w:val="Text0"/>
              </w:rPr>
              <w:t>delete</w:t>
            </w:r>
            <w:r>
              <w:t xml:space="preserve">, and otherwise changed to </w:t>
            </w:r>
            <w:r>
              <w:rPr>
                <w:rStyle w:val="Text3"/>
              </w:rPr>
              <w:t>t</w:t>
            </w:r>
            <w:r>
              <w:rPr>
                <w:rStyle w:val="Text0"/>
              </w:rPr>
              <w:t>[ord(</w:t>
            </w:r>
            <w:r>
              <w:rPr>
                <w:rStyle w:val="Text3"/>
              </w:rPr>
              <w:t>b</w:t>
            </w:r>
            <w:r>
              <w:rPr>
                <w:rStyle w:val="Text0"/>
              </w:rPr>
              <w:t>)]</w:t>
            </w:r>
            <w:r>
              <w:t>.</w:t>
              <w:br w:clear="none"/>
              <w:t xml:space="preserve"> </w:t>
            </w:r>
            <w:r>
              <w:rPr>
                <w:rStyle w:val="Text0"/>
              </w:rPr>
              <w:t>bytes</w:t>
            </w:r>
            <w:r>
              <w:t xml:space="preserve"> and </w:t>
            </w:r>
            <w:r>
              <w:rPr>
                <w:rStyle w:val="Text0"/>
              </w:rPr>
              <w:t>str</w:t>
            </w:r>
            <w:r>
              <w:t xml:space="preserve"> each have a class method named </w:t>
            </w:r>
            <w:r>
              <w:rPr>
                <w:rStyle w:val="Text0"/>
              </w:rPr>
              <w:t>maketrans</w:t>
            </w:r>
            <w:r>
              <w:t xml:space="preserve"> which you can use to build tables suitable for the respective </w:t>
            </w:r>
            <w:r>
              <w:rPr>
                <w:rStyle w:val="Text0"/>
              </w:rPr>
              <w:t>translate</w:t>
            </w:r>
            <w:r>
              <w:t xml:space="preserve"> methods.</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upper</w:t>
            </w:r>
          </w:p>
        </w:tc>
        <w:tc>
          <w:tcPr>
            <w:tcW w:type="auto" w:w="0"/>
            <w:tcMar>
              <w:left w:type="dxa" w:w="200"/>
              <w:top w:type="dxa" w:w="200"/>
              <w:right w:type="dxa" w:w="200"/>
              <w:bottom w:type="dxa" w:w="200"/>
            </w:tcMar>
          </w:tcPr>
          <w:p>
            <w:pPr>
              <w:pStyle w:val="Para 002"/>
            </w:pPr>
            <w:r>
              <w:rPr>
                <w:rStyle w:val="Text3"/>
              </w:rPr>
              <w:t>s</w:t>
            </w:r>
            <w:r>
              <w:rPr>
                <w:rStyle w:val="Text0"/>
              </w:rPr>
              <w:t>.upper()</w:t>
              <w:br w:clear="none"/>
            </w:r>
            <w:r>
              <w:t xml:space="preserve"> Returns</w:t>
            </w:r>
            <w:r>
              <w:rPr>
                <w:rStyle w:val="Text111"/>
              </w:rPr>
              <w:bookmarkStart w:id="2277" w:name="idm45965212194288"/>
              <w:t/>
              <w:bookmarkEnd w:id="2277"/>
            </w:r>
            <w:r>
              <w:t xml:space="preserve"> a copy of </w:t>
            </w:r>
            <w:r>
              <w:rPr>
                <w:rStyle w:val="Text3"/>
              </w:rPr>
              <w:t>s</w:t>
            </w:r>
            <w:r>
              <w:t xml:space="preserve"> with all letters, if any, converted to uppercase.</w:t>
            </w:r>
            <w:r>
              <w:rPr>
                <w:rStyle w:val="Text111"/>
              </w:rPr>
              <w:bookmarkStart w:id="2278" w:name="idm45965212192176"/>
              <w:t/>
              <w:bookmarkEnd w:id="2278"/>
            </w:r>
          </w:p>
        </w:tc>
        <w:tc>
          <w:tcPr>
            <w:tcW w:type="auto" w:w="0"/>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hMerge w:val="restart"/>
          </w:tcPr>
          <w:p>
            <w:bookmarkStart w:id="2279" w:name="a_This_does_not_include_punctuat"/>
            <w:pPr>
              <w:pStyle w:val="Para 036"/>
            </w:pPr>
            <w:hyperlink w:anchor="a_6">
              <w:r>
                <w:rPr>
                  <w:rStyle w:val="Text1"/>
                </w:rPr>
                <w:t>a</w:t>
              </w:r>
            </w:hyperlink>
            <w:r>
              <w:t xml:space="preserve"> This does </w:t>
            </w:r>
            <w:r>
              <w:rPr>
                <w:rStyle w:val="Text4"/>
              </w:rPr>
              <w:t>not</w:t>
            </w:r>
            <w:r>
              <w:t xml:space="preserve"> include punctuation marks used as a radix, such as a dot (</w:t>
            </w:r>
            <w:r>
              <w:rPr>
                <w:rStyle w:val="Text25"/>
              </w:rPr>
              <w:t>.</w:t>
            </w:r>
            <w:r>
              <w:t>) or comma (</w:t>
            </w:r>
            <w:r>
              <w:rPr>
                <w:rStyle w:val="Text25"/>
              </w:rPr>
              <w:t>,</w:t>
            </w:r>
            <w:r>
              <w:t>).</w:t>
            </w:r>
            <w:bookmarkEnd w:id="2279"/>
          </w:p>
        </w:tc>
        <w:tc>
          <w:tcPr>
            <w:hMerge w:val="continue"/>
          </w:tcPr>
          <w:p/>
        </w:tc>
        <w:tc>
          <w:tcPr>
            <w:hMerge w:val="continue"/>
          </w:tcPr>
          <w:p/>
        </w:tc>
      </w:tr>
    </w:tbl>
    <w:p>
      <w:bookmarkStart w:id="2280" w:name="The_string_Module__The_string_mo"/>
      <w:pPr>
        <w:keepNext/>
        <w:pStyle w:val="Heading 1"/>
      </w:pPr>
      <w:r>
        <w:t>The string Module</w:t>
      </w:r>
      <w:bookmarkEnd w:id="2280"/>
    </w:p>
    <w:p>
      <w:pPr>
        <w:pStyle w:val="Normal"/>
      </w:pPr>
      <w:r>
        <w:t>The</w:t>
      </w:r>
      <w:r>
        <w:rPr>
          <w:rStyle w:val="Text111"/>
        </w:rPr>
        <w:bookmarkStart w:id="2281" w:name="idm45965212189392"/>
        <w:t/>
        <w:bookmarkEnd w:id="2281"/>
        <w:bookmarkStart w:id="2282" w:name="idm45965212187984"/>
        <w:t/>
        <w:bookmarkEnd w:id="2282"/>
        <w:bookmarkStart w:id="2283" w:name="idm45965212186880"/>
        <w:t/>
        <w:bookmarkEnd w:id="2283"/>
      </w:r>
      <w:r>
        <w:t xml:space="preserve"> </w:t>
      </w:r>
      <w:r>
        <w:rPr>
          <w:rStyle w:val="Text0"/>
        </w:rPr>
        <w:t>string</w:t>
      </w:r>
      <w:r>
        <w:t xml:space="preserve"> module supplies several useful string attributes, listed in </w:t>
      </w:r>
      <w:hyperlink w:anchor="Table_9_2__Predefined_constants">
        <w:r>
          <w:rPr>
            <w:rStyle w:val="Text1"/>
          </w:rPr>
          <w:t>Table 9-2</w:t>
        </w:r>
      </w:hyperlink>
      <w:r>
        <w:t>.</w:t>
      </w:r>
    </w:p>
    <w:tbl>
      <w:tblPr>
        <w:tblW w:type="auto" w:w="0"/>
      </w:tblPr>
      <w:tr>
        <w:tc>
          <w:tcPr>
            <w:tcW w:type="auto" w:w="0"/>
            <w:tcMar>
              <w:left w:type="dxa" w:w="200"/>
              <w:top w:type="dxa" w:w="200"/>
              <w:right w:type="dxa" w:w="200"/>
              <w:bottom w:type="dxa" w:w="200"/>
            </w:tcMar>
          </w:tcPr>
          <w:p>
            <w:bookmarkStart w:id="2284" w:name="Table_9_2__Predefined_constants"/>
            <w:pPr>
              <w:pStyle w:val="Para 011"/>
            </w:pPr>
            <w:r>
              <w:rPr>
                <w:rStyle w:val="Text117"/>
              </w:rPr>
              <w:t/>
            </w:r>
            <w:r>
              <w:t xml:space="preserve">Table 9-2. </w:t>
              <w:t xml:space="preserve">Predefined constants in the </w:t>
            </w:r>
            <w:r>
              <w:rPr>
                <w:rStyle w:val="Text0"/>
              </w:rPr>
              <w:t>string</w:t>
            </w:r>
            <w:r>
              <w:t xml:space="preserve"> module</w:t>
            </w:r>
            <w:bookmarkEnd w:id="2284"/>
          </w:p>
          <w:p>
            <w:pPr>
              <w:pStyle w:val="Para 001"/>
            </w:pPr>
            <w:r>
              <w:t>ascii_letters</w:t>
            </w:r>
          </w:p>
        </w:tc>
        <w:tc>
          <w:tcPr>
            <w:tcW w:type="auto" w:w="0"/>
            <w:tcMar>
              <w:left w:type="dxa" w:w="200"/>
              <w:top w:type="dxa" w:w="200"/>
              <w:right w:type="dxa" w:w="200"/>
              <w:bottom w:type="dxa" w:w="200"/>
            </w:tcMar>
          </w:tcPr>
          <w:p>
            <w:pPr>
              <w:pStyle w:val="Para 002"/>
            </w:pPr>
            <w:r>
              <w:t xml:space="preserve">The string </w:t>
            </w:r>
            <w:r>
              <w:rPr>
                <w:rStyle w:val="Text0"/>
              </w:rPr>
              <w:t>ascii_lowercase+ascii_uppercase</w:t>
            </w:r>
            <w:r>
              <w:t xml:space="preserve"> (the following two constants, concatenated)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ascii_lowercase</w:t>
            </w:r>
          </w:p>
        </w:tc>
        <w:tc>
          <w:tcPr>
            <w:tcW w:type="auto" w:w="0"/>
            <w:shd w:val="clear" w:color="auto" w:fill="EEF2F6"/>
            <w:tcMar>
              <w:left w:type="dxa" w:w="200"/>
              <w:top w:type="dxa" w:w="200"/>
              <w:right w:type="dxa" w:w="200"/>
              <w:bottom w:type="dxa" w:w="200"/>
            </w:tcMar>
          </w:tcPr>
          <w:p>
            <w:pPr>
              <w:pStyle w:val="Para 001"/>
            </w:pPr>
            <w:r>
              <w:rPr>
                <w:rStyle w:val="Text12"/>
              </w:rPr>
              <w:t xml:space="preserve">The string </w:t>
            </w:r>
            <w:r>
              <w:t>'abcdefghijklmnopqrstuvwxyz'</w:t>
            </w:r>
          </w:p>
        </w:tc>
      </w:tr>
    </w:tbl>
    <w:tbl>
      <w:tblPr>
        <w:tblW w:type="auto" w:w="0"/>
      </w:tblPr>
      <w:tr>
        <w:tc>
          <w:tcPr>
            <w:tcW w:type="auto" w:w="0"/>
            <w:tcMar>
              <w:left w:type="dxa" w:w="200"/>
              <w:top w:type="dxa" w:w="200"/>
              <w:right w:type="dxa" w:w="200"/>
              <w:bottom w:type="dxa" w:w="200"/>
            </w:tcMar>
          </w:tcPr>
          <w:p>
            <w:pPr>
              <w:pStyle w:val="Para 001"/>
            </w:pPr>
            <w:r>
              <w:t>ascii_uppercase</w:t>
            </w:r>
          </w:p>
        </w:tc>
        <w:tc>
          <w:tcPr>
            <w:tcW w:type="auto" w:w="0"/>
            <w:tcMar>
              <w:left w:type="dxa" w:w="200"/>
              <w:top w:type="dxa" w:w="200"/>
              <w:right w:type="dxa" w:w="200"/>
              <w:bottom w:type="dxa" w:w="200"/>
            </w:tcMar>
          </w:tcPr>
          <w:p>
            <w:pPr>
              <w:pStyle w:val="Para 001"/>
            </w:pPr>
            <w:r>
              <w:rPr>
                <w:rStyle w:val="Text12"/>
              </w:rPr>
              <w:t xml:space="preserve">The string </w:t>
            </w:r>
            <w:r>
              <w:t>'ABCDEFGHIJKLMNOPQRSTUVWXYZ'</w:t>
            </w:r>
          </w:p>
        </w:tc>
      </w:tr>
    </w:tbl>
    <w:tbl>
      <w:tblPr>
        <w:tblW w:type="auto" w:w="0"/>
      </w:tblPr>
      <w:tr>
        <w:tc>
          <w:tcPr>
            <w:tcW w:type="auto" w:w="0"/>
            <w:shd w:val="clear" w:color="auto" w:fill="EEF2F6"/>
            <w:tcMar>
              <w:left w:type="dxa" w:w="200"/>
              <w:top w:type="dxa" w:w="200"/>
              <w:right w:type="dxa" w:w="200"/>
              <w:bottom w:type="dxa" w:w="200"/>
            </w:tcMar>
          </w:tcPr>
          <w:p>
            <w:pPr>
              <w:pStyle w:val="Para 001"/>
            </w:pPr>
            <w:r>
              <w:t>digits</w:t>
            </w:r>
          </w:p>
        </w:tc>
        <w:tc>
          <w:tcPr>
            <w:tcW w:type="auto" w:w="0"/>
            <w:shd w:val="clear" w:color="auto" w:fill="EEF2F6"/>
            <w:tcMar>
              <w:left w:type="dxa" w:w="200"/>
              <w:top w:type="dxa" w:w="200"/>
              <w:right w:type="dxa" w:w="200"/>
              <w:bottom w:type="dxa" w:w="200"/>
            </w:tcMar>
          </w:tcPr>
          <w:p>
            <w:pPr>
              <w:pStyle w:val="Para 001"/>
            </w:pPr>
            <w:r>
              <w:rPr>
                <w:rStyle w:val="Text12"/>
              </w:rPr>
              <w:t xml:space="preserve">The string </w:t>
            </w:r>
            <w:r>
              <w:t>'0123456789'</w:t>
            </w:r>
          </w:p>
        </w:tc>
      </w:tr>
    </w:tbl>
    <w:tbl>
      <w:tblPr>
        <w:tblW w:type="auto" w:w="0"/>
      </w:tblPr>
      <w:tr>
        <w:tc>
          <w:tcPr>
            <w:tcW w:type="auto" w:w="0"/>
            <w:tcMar>
              <w:left w:type="dxa" w:w="200"/>
              <w:top w:type="dxa" w:w="200"/>
              <w:right w:type="dxa" w:w="200"/>
              <w:bottom w:type="dxa" w:w="200"/>
            </w:tcMar>
          </w:tcPr>
          <w:p>
            <w:pPr>
              <w:pStyle w:val="Para 001"/>
            </w:pPr>
            <w:r>
              <w:t>hexdigits</w:t>
            </w:r>
          </w:p>
        </w:tc>
        <w:tc>
          <w:tcPr>
            <w:tcW w:type="auto" w:w="0"/>
            <w:tcMar>
              <w:left w:type="dxa" w:w="200"/>
              <w:top w:type="dxa" w:w="200"/>
              <w:right w:type="dxa" w:w="200"/>
              <w:bottom w:type="dxa" w:w="200"/>
            </w:tcMar>
          </w:tcPr>
          <w:p>
            <w:pPr>
              <w:pStyle w:val="Para 001"/>
            </w:pPr>
            <w:r>
              <w:rPr>
                <w:rStyle w:val="Text12"/>
              </w:rPr>
              <w:t xml:space="preserve">The string </w:t>
            </w:r>
            <w:r>
              <w:t>'0123456789abcdefABCDEF'</w:t>
            </w:r>
          </w:p>
        </w:tc>
      </w:tr>
    </w:tbl>
    <w:tbl>
      <w:tblPr>
        <w:tblW w:type="auto" w:w="0"/>
      </w:tblPr>
      <w:tr>
        <w:tc>
          <w:tcPr>
            <w:tcW w:type="auto" w:w="0"/>
            <w:shd w:val="clear" w:color="auto" w:fill="EEF2F6"/>
            <w:tcMar>
              <w:left w:type="dxa" w:w="200"/>
              <w:top w:type="dxa" w:w="200"/>
              <w:right w:type="dxa" w:w="200"/>
              <w:bottom w:type="dxa" w:w="200"/>
            </w:tcMar>
          </w:tcPr>
          <w:p>
            <w:pPr>
              <w:pStyle w:val="Para 001"/>
            </w:pPr>
            <w:r>
              <w:t>octdigits</w:t>
            </w:r>
          </w:p>
        </w:tc>
        <w:tc>
          <w:tcPr>
            <w:tcW w:type="auto" w:w="0"/>
            <w:shd w:val="clear" w:color="auto" w:fill="EEF2F6"/>
            <w:tcMar>
              <w:left w:type="dxa" w:w="200"/>
              <w:top w:type="dxa" w:w="200"/>
              <w:right w:type="dxa" w:w="200"/>
              <w:bottom w:type="dxa" w:w="200"/>
            </w:tcMar>
          </w:tcPr>
          <w:p>
            <w:pPr>
              <w:pStyle w:val="Para 002"/>
            </w:pPr>
            <w:r>
              <w:t xml:space="preserve">The string </w:t>
            </w:r>
            <w:r>
              <w:rPr>
                <w:rStyle w:val="Text0"/>
              </w:rPr>
              <w:t>'01234567'</w:t>
            </w:r>
          </w:p>
        </w:tc>
      </w:tr>
    </w:tbl>
    <w:tbl>
      <w:tblPr>
        <w:tblW w:type="auto" w:w="0"/>
      </w:tblPr>
      <w:tr>
        <w:tc>
          <w:tcPr>
            <w:tcW w:type="auto" w:w="0"/>
            <w:tcMar>
              <w:left w:type="dxa" w:w="200"/>
              <w:top w:type="dxa" w:w="200"/>
              <w:right w:type="dxa" w:w="200"/>
              <w:bottom w:type="dxa" w:w="200"/>
            </w:tcMar>
          </w:tcPr>
          <w:p>
            <w:pPr>
              <w:pStyle w:val="Para 001"/>
            </w:pPr>
            <w:r>
              <w:t>punctuation</w:t>
            </w:r>
          </w:p>
        </w:tc>
        <w:tc>
          <w:tcPr>
            <w:tcW w:type="auto" w:w="0"/>
            <w:tcMar>
              <w:left w:type="dxa" w:w="200"/>
              <w:top w:type="dxa" w:w="200"/>
              <w:right w:type="dxa" w:w="200"/>
              <w:bottom w:type="dxa" w:w="200"/>
            </w:tcMar>
          </w:tcPr>
          <w:p>
            <w:pPr>
              <w:pStyle w:val="Para 002"/>
            </w:pPr>
            <w:r>
              <w:t xml:space="preserve">The string </w:t>
            </w:r>
            <w:r>
              <w:rPr>
                <w:rStyle w:val="Text0"/>
              </w:rPr>
              <w:t>'!"#$%&amp;\'()*+,-./:;&lt;=&gt;?@[\]^_'{|}~'</w:t>
            </w:r>
            <w:r>
              <w:t xml:space="preserve"> (i.e., all ASCII characters that are deemed punctuation characters in the C locale; does not depend on which locale is active)</w:t>
            </w:r>
          </w:p>
        </w:tc>
      </w:tr>
    </w:tbl>
    <w:tbl>
      <w:tblPr>
        <w:tblW w:type="auto" w:w="0"/>
      </w:tblPr>
      <w:tr>
        <w:tc>
          <w:tcPr>
            <w:tcW w:type="auto" w:w="0"/>
            <w:shd w:val="clear" w:color="auto" w:fill="EEF2F6"/>
            <w:tcMar>
              <w:left w:type="dxa" w:w="200"/>
              <w:top w:type="dxa" w:w="200"/>
              <w:right w:type="dxa" w:w="200"/>
              <w:bottom w:type="dxa" w:w="200"/>
            </w:tcMar>
          </w:tcPr>
          <w:p>
            <w:pPr>
              <w:pStyle w:val="Para 001"/>
            </w:pPr>
            <w:r>
              <w:t>printable</w:t>
            </w:r>
          </w:p>
        </w:tc>
        <w:tc>
          <w:tcPr>
            <w:tcW w:type="auto" w:w="0"/>
            <w:shd w:val="clear" w:color="auto" w:fill="EEF2F6"/>
            <w:tcMar>
              <w:left w:type="dxa" w:w="200"/>
              <w:top w:type="dxa" w:w="200"/>
              <w:right w:type="dxa" w:w="200"/>
              <w:bottom w:type="dxa" w:w="200"/>
            </w:tcMar>
          </w:tcPr>
          <w:p>
            <w:pPr>
              <w:pStyle w:val="Para 002"/>
            </w:pPr>
            <w:r>
              <w:t>The string of those ASCII characters that are deemed printable (i.e., digits, letters, punctuation, and whitespace)</w:t>
            </w:r>
          </w:p>
        </w:tc>
      </w:tr>
    </w:tbl>
    <w:tbl>
      <w:tblPr>
        <w:tblW w:type="auto" w:w="0"/>
      </w:tblPr>
      <w:tr>
        <w:tc>
          <w:tcPr>
            <w:tcW w:type="auto" w:w="0"/>
            <w:tcMar>
              <w:left w:type="dxa" w:w="200"/>
              <w:top w:type="dxa" w:w="200"/>
              <w:right w:type="dxa" w:w="200"/>
              <w:bottom w:type="dxa" w:w="200"/>
            </w:tcMar>
          </w:tcPr>
          <w:p>
            <w:pPr>
              <w:pStyle w:val="Para 001"/>
            </w:pPr>
            <w:r>
              <w:t>whitespace</w:t>
            </w:r>
          </w:p>
        </w:tc>
        <w:tc>
          <w:tcPr>
            <w:tcW w:type="auto" w:w="0"/>
            <w:tcMar>
              <w:left w:type="dxa" w:w="200"/>
              <w:top w:type="dxa" w:w="200"/>
              <w:right w:type="dxa" w:w="200"/>
              <w:bottom w:type="dxa" w:w="200"/>
            </w:tcMar>
          </w:tcPr>
          <w:p>
            <w:pPr>
              <w:pStyle w:val="Para 002"/>
            </w:pPr>
            <w:r>
              <w:t>A string containing all ASCII characters that are deemed whitespace: at least space, tab, linefeed, and carriage return, but more characters (e.g., certain control characters) may be present, depending on the active locale</w:t>
            </w:r>
          </w:p>
        </w:tc>
      </w:tr>
    </w:tbl>
    <w:p>
      <w:pPr>
        <w:pStyle w:val="Normal"/>
      </w:pPr>
      <w:r>
        <w:t>You should not rebind these attributes; the effects of doing so are undefined, since other parts of the Python library may rely on them.</w:t>
      </w:r>
    </w:p>
    <w:p>
      <w:pPr>
        <w:pStyle w:val="Normal"/>
      </w:pPr>
      <w:r>
        <w:t xml:space="preserve">The module </w:t>
      </w:r>
      <w:r>
        <w:rPr>
          <w:rStyle w:val="Text0"/>
        </w:rPr>
        <w:t>string</w:t>
      </w:r>
      <w:r>
        <w:t xml:space="preserve"> also supplies the class </w:t>
      </w:r>
      <w:r>
        <w:rPr>
          <w:rStyle w:val="Text0"/>
        </w:rPr>
        <w:t>Formatter</w:t>
      </w:r>
      <w:r>
        <w:t>, covered in the following section.</w:t>
      </w:r>
    </w:p>
    <w:p>
      <w:bookmarkStart w:id="2285" w:name="String_Formatting__Python_provid"/>
      <w:pPr>
        <w:keepNext/>
        <w:pStyle w:val="Heading 1"/>
      </w:pPr>
      <w:r>
        <w:t>String Formatting</w:t>
      </w:r>
      <w:bookmarkEnd w:id="2285"/>
    </w:p>
    <w:p>
      <w:pPr>
        <w:pStyle w:val="Normal"/>
      </w:pPr>
      <w:r>
        <w:t>Python</w:t>
      </w:r>
      <w:r>
        <w:rPr>
          <w:rStyle w:val="Text111"/>
        </w:rPr>
        <w:bookmarkStart w:id="2286" w:name="Sformat09"/>
        <w:t/>
        <w:bookmarkEnd w:id="2286"/>
      </w:r>
      <w:r>
        <w:t xml:space="preserve"> provides a flexible mechanism for formatting strings (but </w:t>
      </w:r>
      <w:r>
        <w:rPr>
          <w:rStyle w:val="Text4"/>
        </w:rPr>
        <w:t>not</w:t>
      </w:r>
      <w:r>
        <w:t xml:space="preserve"> bytestrings: for those, see </w:t>
      </w:r>
      <w:hyperlink w:anchor="Legacy_String_Formatting_with">
        <w:r>
          <w:rPr>
            <w:rStyle w:val="Text1"/>
          </w:rPr>
          <w:t>“Legacy String Formatting with %”</w:t>
        </w:r>
      </w:hyperlink>
      <w:r>
        <w:t xml:space="preserve">). A </w:t>
      </w:r>
      <w:r>
        <w:rPr>
          <w:rStyle w:val="Text4"/>
        </w:rPr>
        <w:t>format string</w:t>
      </w:r>
      <w:r>
        <w:t xml:space="preserve"> is simply a string containing </w:t>
      </w:r>
      <w:r>
        <w:rPr>
          <w:rStyle w:val="Text4"/>
        </w:rPr>
        <w:t>replacement fields</w:t>
      </w:r>
      <w:r>
        <w:t xml:space="preserve"> enclosed in braces (</w:t>
      </w:r>
      <w:r>
        <w:rPr>
          <w:rStyle w:val="Text0"/>
        </w:rPr>
        <w:t>{}</w:t>
      </w:r>
      <w:r>
        <w:t xml:space="preserve">), made up of a </w:t>
      </w:r>
      <w:r>
        <w:rPr>
          <w:rStyle w:val="Text4"/>
        </w:rPr>
        <w:t>value part</w:t>
      </w:r>
      <w:r>
        <w:t xml:space="preserve">, an optional </w:t>
      </w:r>
      <w:r>
        <w:rPr>
          <w:rStyle w:val="Text4"/>
        </w:rPr>
        <w:t>conversion part</w:t>
      </w:r>
      <w:r>
        <w:t xml:space="preserve">, and an optional </w:t>
      </w:r>
      <w:r>
        <w:rPr>
          <w:rStyle w:val="Text4"/>
        </w:rPr>
        <w:t>format specifier</w:t>
      </w:r>
      <w:r>
        <w:t>:</w:t>
      </w:r>
    </w:p>
    <w:p>
      <w:pPr>
        <w:pStyle w:val="Para 032"/>
      </w:pPr>
      <w:r>
        <w:rPr>
          <w:rStyle w:val="Text116"/>
        </w:rPr>
        <w:t xml:space="preserve"/>
        <w:br w:clear="none"/>
      </w:r>
      <w:r>
        <w:rPr>
          <w:rStyle w:val="Text19"/>
        </w:rPr>
        <w:t xml:space="preserve">{</w:t>
        <w:br w:clear="none"/>
      </w:r>
      <w:r>
        <w:t xml:space="preserve">value</w:t>
        <w:br w:clear="none"/>
      </w:r>
      <w:r>
        <w:rPr>
          <w:rStyle w:val="Text13"/>
        </w:rPr>
        <w:t xml:space="preserve">-</w:t>
        <w:br w:clear="none"/>
      </w:r>
      <w:r>
        <w:t xml:space="preserve">part</w:t>
        <w:br w:clear="none"/>
      </w:r>
      <w:r>
        <w:rPr>
          <w:rStyle w:val="Text19"/>
        </w:rPr>
        <w:t xml:space="preserve">[</w:t>
        <w:br w:clear="none"/>
      </w:r>
      <w:r>
        <w:rPr>
          <w:rStyle w:val="Text64"/>
        </w:rPr>
        <w:t xml:space="preserve">!</w:t>
        <w:br w:clear="none"/>
      </w:r>
      <w:r>
        <w:t xml:space="preserve">conversion</w:t>
        <w:br w:clear="none"/>
      </w:r>
      <w:r>
        <w:rPr>
          <w:rStyle w:val="Text13"/>
        </w:rPr>
        <w:t xml:space="preserve">-</w:t>
        <w:br w:clear="none"/>
      </w:r>
      <w:r>
        <w:t xml:space="preserve">part</w:t>
        <w:br w:clear="none"/>
      </w:r>
      <w:r>
        <w:rPr>
          <w:rStyle w:val="Text19"/>
        </w:rPr>
        <w:t xml:space="preserve">]</w:t>
        <w:br w:clear="none"/>
        <w:t xml:space="preserve">[</w:t>
        <w:br w:clear="none"/>
        <w:t xml:space="preserve">:</w:t>
        <w:br w:clear="none"/>
      </w:r>
      <w:r>
        <w:rPr>
          <w:rStyle w:val="Text16"/>
        </w:rPr>
        <w:t xml:space="preserve">format</w:t>
        <w:br w:clear="none"/>
      </w:r>
      <w:r>
        <w:rPr>
          <w:rStyle w:val="Text13"/>
        </w:rPr>
        <w:t xml:space="preserve">-</w:t>
        <w:br w:clear="none"/>
      </w:r>
      <w:r>
        <w:t xml:space="preserve">specifier</w:t>
        <w:br w:clear="none"/>
      </w:r>
      <w:r>
        <w:rPr>
          <w:rStyle w:val="Text19"/>
        </w:rPr>
        <w:t xml:space="preserve">]</w:t>
        <w:br w:clear="none"/>
        <w:t xml:space="preserve">}</w:t>
        <w:br w:clear="none"/>
      </w:r>
    </w:p>
    <w:p>
      <w:pPr>
        <w:pStyle w:val="Normal"/>
      </w:pPr>
      <w:r>
        <w:t>The value part differs depending on the string type:</w:t>
      </w:r>
    </w:p>
    <w:p>
      <w:pPr>
        <w:pStyle w:val="Para 010"/>
      </w:pPr>
      <w:r>
        <w:t xml:space="preserve">For formatted string literals, or </w:t>
      </w:r>
      <w:r>
        <w:rPr>
          <w:rStyle w:val="Text4"/>
        </w:rPr>
        <w:t>f-strings</w:t>
      </w:r>
      <w:r>
        <w:t>, the value part is evaluated as a Python expression (see the following section for details); expressions cannot end in an exclamation mark.</w:t>
      </w:r>
    </w:p>
    <w:p>
      <w:pPr>
        <w:pStyle w:val="Para 010"/>
      </w:pPr>
      <w:r>
        <w:t xml:space="preserve">For other strings, the value part selects an argument, or an element of an argument, to the </w:t>
      </w:r>
      <w:r>
        <w:rPr>
          <w:rStyle w:val="Text0"/>
        </w:rPr>
        <w:t>format</w:t>
      </w:r>
      <w:r>
        <w:t xml:space="preserve"> method.</w:t>
      </w:r>
    </w:p>
    <w:p>
      <w:pPr>
        <w:pStyle w:val="Normal"/>
      </w:pPr>
      <w:r>
        <w:t>The optional conversion part is an exclamation mark (</w:t>
      </w:r>
      <w:r>
        <w:rPr>
          <w:rStyle w:val="Text0"/>
        </w:rPr>
        <w:t>!</w:t>
      </w:r>
      <w:r>
        <w:t xml:space="preserve">) followed by one of the letters </w:t>
      </w:r>
      <w:r>
        <w:rPr>
          <w:rStyle w:val="Text0"/>
        </w:rPr>
        <w:t>s</w:t>
      </w:r>
      <w:r>
        <w:t xml:space="preserve">, </w:t>
      </w:r>
      <w:r>
        <w:rPr>
          <w:rStyle w:val="Text0"/>
        </w:rPr>
        <w:t>r</w:t>
      </w:r>
      <w:r>
        <w:t xml:space="preserve">, or </w:t>
      </w:r>
      <w:r>
        <w:rPr>
          <w:rStyle w:val="Text0"/>
        </w:rPr>
        <w:t>a</w:t>
      </w:r>
      <w:r>
        <w:t xml:space="preserve"> (described in </w:t>
      </w:r>
      <w:hyperlink w:anchor="Value_Conversion__You_may_apply">
        <w:r>
          <w:rPr>
            <w:rStyle w:val="Text1"/>
          </w:rPr>
          <w:t>“Value Conversion”</w:t>
        </w:r>
      </w:hyperlink>
      <w:r>
        <w:t>).</w:t>
      </w:r>
    </w:p>
    <w:p>
      <w:pPr>
        <w:pStyle w:val="Normal"/>
      </w:pPr>
      <w:r>
        <w:t>The optional format specifier begins with a colon (</w:t>
      </w:r>
      <w:r>
        <w:rPr>
          <w:rStyle w:val="Text0"/>
        </w:rPr>
        <w:t>:</w:t>
      </w:r>
      <w:r>
        <w:t>) and determines how the converted value is rendered for interpolation in the format string in place of the original replacement field.</w:t>
      </w:r>
    </w:p>
    <w:p>
      <w:bookmarkStart w:id="2287" w:name="Formatted_String_Literals__F_Str"/>
      <w:pPr>
        <w:keepNext/>
        <w:pStyle w:val="Heading 2"/>
      </w:pPr>
      <w:r>
        <w:t>Formatted String Literals (F-Strings)</w:t>
      </w:r>
      <w:bookmarkEnd w:id="2287"/>
    </w:p>
    <w:p>
      <w:pPr>
        <w:pStyle w:val="Normal"/>
      </w:pPr>
      <w:r>
        <w:t>This</w:t>
      </w:r>
      <w:r>
        <w:rPr>
          <w:rStyle w:val="Text111"/>
        </w:rPr>
        <w:bookmarkStart w:id="2288" w:name="idm45965212100096"/>
        <w:t/>
        <w:bookmarkEnd w:id="2288"/>
        <w:bookmarkStart w:id="2289" w:name="idm45965212098928"/>
        <w:t/>
        <w:bookmarkEnd w:id="2289"/>
      </w:r>
      <w:r>
        <w:t xml:space="preserve"> feature allows you to insert values to be interpolated inline surrounded by braces. To create a formatted string literal, put an </w:t>
      </w:r>
      <w:r>
        <w:rPr>
          <w:rStyle w:val="Text0"/>
        </w:rPr>
        <w:t>f</w:t>
      </w:r>
      <w:r>
        <w:t xml:space="preserve"> before the opening quote mark (this is why they’re called </w:t>
      </w:r>
      <w:r>
        <w:rPr>
          <w:rStyle w:val="Text4"/>
        </w:rPr>
        <w:t>f-strings</w:t>
      </w:r>
      <w:r>
        <w:t xml:space="preserve">) of your string, e.g., </w:t>
      </w:r>
      <w:r>
        <w:rPr>
          <w:rStyle w:val="Text0"/>
        </w:rPr>
        <w:t>f</w:t>
        <w:t>'{value}'</w:t>
      </w:r>
      <w:r>
        <w:t>:</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name</w:t>
        <w:br w:clear="none"/>
      </w:r>
      <w:r>
        <w:rPr>
          <w:rStyle w:val="Text23"/>
        </w:rPr>
        <w:t xml:space="preserve"> </w:t>
        <w:br w:clear="none"/>
      </w:r>
      <w:r>
        <w:rPr>
          <w:rStyle w:val="Text13"/>
        </w:rPr>
        <w:t xml:space="preserve">=</w:t>
        <w:br w:clear="none"/>
      </w:r>
      <w:r>
        <w:rPr>
          <w:rStyle w:val="Text23"/>
        </w:rPr>
        <w:t xml:space="preserve"> </w:t>
        <w:br w:clear="none"/>
      </w:r>
      <w:r>
        <w:t xml:space="preserve">'Dawn'</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r>
      <w:r>
        <w:rPr>
          <w:rStyle w:val="Text32"/>
        </w:rPr>
        <w:t xml:space="preserve">{</w:t>
        <w:br w:clear="none"/>
      </w:r>
      <w:r>
        <w:rPr>
          <w:rStyle w:val="Text9"/>
        </w:rPr>
        <w:t xml:space="preserve">name</w:t>
        <w:br w:clear="none"/>
      </w:r>
      <w:r>
        <w:rPr>
          <w:rStyle w:val="Text32"/>
        </w:rPr>
        <w:t xml:space="preserve">!r}</w:t>
        <w:br w:clear="none"/>
      </w:r>
      <w:r>
        <w:t xml:space="preserve"> is </w:t>
        <w:br w:clear="none"/>
      </w:r>
      <w:r>
        <w:rPr>
          <w:rStyle w:val="Text32"/>
        </w:rPr>
        <w:t xml:space="preserve">{</w:t>
        <w:br w:clear="none"/>
      </w:r>
      <w:r>
        <w:rPr>
          <w:rStyle w:val="Text16"/>
        </w:rPr>
        <w:t xml:space="preserve">len</w:t>
        <w:br w:clear="none"/>
      </w:r>
      <w:r>
        <w:rPr>
          <w:rStyle w:val="Text7"/>
        </w:rPr>
        <w:t xml:space="preserve">(</w:t>
        <w:br w:clear="none"/>
      </w:r>
      <w:r>
        <w:rPr>
          <w:rStyle w:val="Text9"/>
        </w:rPr>
        <w:t xml:space="preserve">name</w:t>
        <w:br w:clear="none"/>
      </w:r>
      <w:r>
        <w:rPr>
          <w:rStyle w:val="Text7"/>
        </w:rPr>
        <w:t xml:space="preserve">)</w:t>
        <w:br w:clear="none"/>
      </w:r>
      <w:r>
        <w:rPr>
          <w:rStyle w:val="Text32"/>
        </w:rPr>
        <w:t xml:space="preserve">}</w:t>
        <w:br w:clear="none"/>
      </w:r>
      <w:r>
        <w:t xml:space="preserve"> characters long'</w:t>
        <w:br w:clear="none"/>
      </w:r>
      <w:r>
        <w:rPr>
          <w:rStyle w:val="Text7"/>
        </w:rPr>
        <w:t xml:space="preserve">)</w:t>
        <w:br w:clear="none"/>
      </w:r>
    </w:p>
    <w:p>
      <w:pPr>
        <w:pStyle w:val="Para 008"/>
      </w:pPr>
      <w:r>
        <w:rPr>
          <w:rStyle w:val="Text48"/>
        </w:rPr>
        <w:t xml:space="preserve"/>
        <w:br w:clear="none"/>
      </w:r>
      <w:r>
        <w:t xml:space="preserve">'Dawn' is 4 characters long</w:t>
        <w:br w:clear="none"/>
      </w:r>
    </w:p>
    <w:p>
      <w:pPr>
        <w:pStyle w:val="Normal"/>
      </w:pPr>
      <w:r>
        <w:t>You can use nested braces to specify components of formatting expressions:</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t xml:space="preserve">width</w:t>
        <w:br w:clear="none"/>
      </w:r>
      <w:r>
        <w:rPr>
          <w:rStyle w:val="Text6"/>
        </w:rPr>
        <w:t xml:space="preserve"> </w:t>
        <w:br w:clear="none"/>
      </w:r>
      <w:r>
        <w:rPr>
          <w:rStyle w:val="Text31"/>
        </w:rPr>
        <w:t xml:space="preserve">in</w:t>
        <w:br w:clear="none"/>
      </w:r>
      <w:r>
        <w:rPr>
          <w:rStyle w:val="Text6"/>
        </w:rPr>
        <w:t xml:space="preserve"> </w:t>
        <w:br w:clear="none"/>
      </w:r>
      <w:r>
        <w:rPr>
          <w:rStyle w:val="Text27"/>
        </w:rPr>
        <w:t xml:space="preserve">8</w:t>
        <w:br w:clear="none"/>
      </w:r>
      <w:r>
        <w:rPr>
          <w:rStyle w:val="Text7"/>
        </w:rPr>
        <w:t xml:space="preserve">,</w:t>
        <w:br w:clear="none"/>
      </w:r>
      <w:r>
        <w:rPr>
          <w:rStyle w:val="Text6"/>
        </w:rPr>
        <w:t xml:space="preserve"> </w:t>
        <w:br w:clear="none"/>
      </w:r>
      <w:r>
        <w:rPr>
          <w:rStyle w:val="Text27"/>
        </w:rPr>
        <w:t xml:space="preserve">11</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precision</w:t>
        <w:br w:clear="none"/>
      </w:r>
      <w:r>
        <w:rPr>
          <w:rStyle w:val="Text6"/>
        </w:rPr>
        <w:t xml:space="preserve"> </w:t>
        <w:br w:clear="none"/>
      </w:r>
      <w:r>
        <w:rPr>
          <w:rStyle w:val="Text31"/>
        </w:rPr>
        <w:t xml:space="preserve">in</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t>
        <w:br w:clear="none"/>
      </w:r>
      <w:r>
        <w:rPr>
          <w:rStyle w:val="Text27"/>
        </w:rPr>
        <w:t xml:space="preserve">3</w:t>
        <w:br w:clear="none"/>
      </w:r>
      <w:r>
        <w:rPr>
          <w:rStyle w:val="Text7"/>
        </w:rPr>
        <w:t xml:space="preserve">,</w:t>
        <w:br w:clear="none"/>
      </w:r>
      <w:r>
        <w:rPr>
          <w:rStyle w:val="Text6"/>
        </w:rPr>
        <w:t xml:space="preserve"> </w:t>
        <w:br w:clear="none"/>
      </w:r>
      <w:r>
        <w:rPr>
          <w:rStyle w:val="Text27"/>
        </w:rPr>
        <w:t xml:space="preserve">4</w:t>
        <w:br w:clear="none"/>
      </w:r>
      <w:r>
        <w:rPr>
          <w:rStyle w:val="Text7"/>
        </w:rPr>
        <w:t xml:space="preserve">,</w:t>
        <w:br w:clear="none"/>
      </w:r>
      <w:r>
        <w:rPr>
          <w:rStyle w:val="Text6"/>
        </w:rPr>
        <w:t xml:space="preserve"> </w:t>
        <w:br w:clear="none"/>
      </w:r>
      <w:r>
        <w:rPr>
          <w:rStyle w:val="Text27"/>
        </w:rPr>
        <w:t xml:space="preserve">5</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rPr>
          <w:rStyle w:val="Text27"/>
        </w:rPr>
        <w:t xml:space="preserve">2.7182818284</w:t>
        <w:br w:clear="none"/>
      </w:r>
      <w:r>
        <w:rPr>
          <w:rStyle w:val="Text32"/>
        </w:rPr>
        <w:t xml:space="preserve">:</w:t>
        <w:br w:clear="none"/>
        <w:t xml:space="preserve">{</w:t>
        <w:br w:clear="none"/>
      </w:r>
      <w:r>
        <w:t xml:space="preserve">width</w:t>
        <w:br w:clear="none"/>
      </w:r>
      <w:r>
        <w:rPr>
          <w:rStyle w:val="Text32"/>
        </w:rPr>
        <w:t xml:space="preserve">}</w:t>
        <w:br w:clear="none"/>
      </w:r>
      <w:r>
        <w:rPr>
          <w:rStyle w:val="Text8"/>
        </w:rPr>
        <w:t xml:space="preserve">.</w:t>
        <w:br w:clear="none"/>
      </w:r>
      <w:r>
        <w:rPr>
          <w:rStyle w:val="Text32"/>
        </w:rPr>
        <w:t xml:space="preserve">{</w:t>
        <w:br w:clear="none"/>
      </w:r>
      <w:r>
        <w:t xml:space="preserve">precision</w:t>
        <w:br w:clear="none"/>
      </w:r>
      <w:r>
        <w:rPr>
          <w:rStyle w:val="Text32"/>
        </w:rPr>
        <w:t xml:space="preserve">}</w:t>
        <w:br w:clear="none"/>
        <w:t xml:space="preserve">}</w:t>
        <w:br w:clear="none"/>
      </w:r>
      <w:r>
        <w:rPr>
          <w:rStyle w:val="Text8"/>
        </w:rPr>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     2.7</w:t>
        <w:br w:clear="none"/>
      </w:r>
      <w:r>
        <w:rPr>
          <w:rStyle w:val="Text48"/>
        </w:rPr>
        <w:t xml:space="preserve"/>
        <w:br w:clear="none"/>
      </w:r>
      <w:r>
        <w:t xml:space="preserve">    2.72</w:t>
        <w:br w:clear="none"/>
      </w:r>
      <w:r>
        <w:rPr>
          <w:rStyle w:val="Text48"/>
        </w:rPr>
        <w:t xml:space="preserve"/>
        <w:br w:clear="none"/>
      </w:r>
      <w:r>
        <w:t xml:space="preserve">   2.718</w:t>
        <w:br w:clear="none"/>
      </w:r>
      <w:r>
        <w:rPr>
          <w:rStyle w:val="Text48"/>
        </w:rPr>
        <w:t xml:space="preserve"/>
        <w:br w:clear="none"/>
      </w:r>
      <w:r>
        <w:t xml:space="preserve">  2.7183</w:t>
        <w:br w:clear="none"/>
      </w:r>
      <w:r>
        <w:rPr>
          <w:rStyle w:val="Text48"/>
        </w:rPr>
        <w:t xml:space="preserve"/>
        <w:br w:clear="none"/>
      </w:r>
      <w:r>
        <w:t xml:space="preserve">        2.7</w:t>
        <w:br w:clear="none"/>
      </w:r>
      <w:r>
        <w:rPr>
          <w:rStyle w:val="Text48"/>
        </w:rPr>
        <w:t xml:space="preserve"/>
        <w:br w:clear="none"/>
      </w:r>
      <w:r>
        <w:t xml:space="preserve">       2.72</w:t>
        <w:br w:clear="none"/>
      </w:r>
      <w:r>
        <w:rPr>
          <w:rStyle w:val="Text48"/>
        </w:rPr>
        <w:t xml:space="preserve"/>
        <w:br w:clear="none"/>
      </w:r>
      <w:r>
        <w:t xml:space="preserve">      2.718</w:t>
        <w:br w:clear="none"/>
      </w:r>
      <w:r>
        <w:rPr>
          <w:rStyle w:val="Text48"/>
        </w:rPr>
        <w:t xml:space="preserve"/>
        <w:br w:clear="none"/>
      </w:r>
      <w:r>
        <w:t xml:space="preserve">     2.7183</w:t>
        <w:br w:clear="none"/>
      </w:r>
    </w:p>
    <w:p>
      <w:pPr>
        <w:pStyle w:val="Normal"/>
      </w:pPr>
      <w:r>
        <w:t xml:space="preserve">We have tried to update most of the examples in the book to use f-strings, since they are the most compact way to format strings in Python. Do remember, though, that these string literals are </w:t>
      </w:r>
      <w:r>
        <w:rPr>
          <w:rStyle w:val="Text4"/>
        </w:rPr>
        <w:t>not</w:t>
      </w:r>
      <w:r>
        <w:t xml:space="preserve"> constants—they evaluate each time a statement containing them is executed, which involves runtime overhead.</w:t>
      </w:r>
    </w:p>
    <w:p>
      <w:pPr>
        <w:pStyle w:val="Normal"/>
      </w:pPr>
      <w:r>
        <w:t>The values to be formatted inside formatted string literals are already inside quotes: therefore, take care to avoid syntax errors when using value-part expressions that themselves contain string quotes. With four different string quotes, plus the ability to use escape sequences, most things are possible, though admittedly readability can suffer.</w:t>
      </w:r>
    </w:p>
    <w:p>
      <w:pPr>
        <w:keepNext/>
        <w:pStyle w:val="Heading 5"/>
        <w:keepLines w:val="on"/>
      </w:pPr>
      <w:r>
        <w:t>F-Strings Don’t Help Internationalization</w:t>
      </w:r>
    </w:p>
    <w:p>
      <w:pPr>
        <w:pStyle w:val="Para 012"/>
        <w:keepLines w:val="on"/>
      </w:pPr>
      <w:r>
        <w:t>Given</w:t>
      </w:r>
      <w:r>
        <w:rPr>
          <w:rStyle w:val="Text111"/>
        </w:rPr>
        <w:bookmarkStart w:id="2290" w:name="idm45965211995232"/>
        <w:t/>
        <w:bookmarkEnd w:id="2290"/>
        <w:bookmarkStart w:id="2291" w:name="idm45965211994096"/>
        <w:t/>
        <w:bookmarkEnd w:id="2291"/>
        <w:bookmarkStart w:id="2292" w:name="idm45965211992752"/>
        <w:t/>
        <w:bookmarkEnd w:id="2292"/>
        <w:bookmarkStart w:id="2293" w:name="idm45965211959056"/>
        <w:t/>
        <w:bookmarkEnd w:id="2293"/>
      </w:r>
      <w:r>
        <w:t xml:space="preserve"> a format whose contents will have to accommodate multiple languages, it’s much better to use the </w:t>
      </w:r>
      <w:r>
        <w:rPr>
          <w:rStyle w:val="Text0"/>
        </w:rPr>
        <w:t>format</w:t>
      </w:r>
      <w:r>
        <w:t xml:space="preserve"> method, since the values to be interpolated can then be computed independently before submitting them for formatting.</w:t>
      </w:r>
    </w:p>
    <w:p>
      <w:bookmarkStart w:id="2294" w:name="Debug_printing_with_f_strings__3"/>
      <w:pPr>
        <w:keepNext/>
        <w:pStyle w:val="Heading 2"/>
      </w:pPr>
      <w:r>
        <w:t>Debug printing with f-strings</w:t>
      </w:r>
      <w:bookmarkEnd w:id="2294"/>
    </w:p>
    <w:p>
      <w:pPr>
        <w:pStyle w:val="Normal"/>
      </w:pPr>
      <w:r>
        <w:rPr>
          <w:rStyle w:val="Text34"/>
        </w:rPr>
        <w:t>3.8+</w:t>
      </w:r>
      <w:r>
        <w:t xml:space="preserve"> As</w:t>
      </w:r>
      <w:r>
        <w:rPr>
          <w:rStyle w:val="Text111"/>
        </w:rPr>
        <w:bookmarkStart w:id="2295" w:name="idm45965211954304"/>
        <w:t/>
        <w:bookmarkEnd w:id="2295"/>
      </w:r>
      <w:r>
        <w:t xml:space="preserve"> a convenience for debugging, the last nonblank character of the value expression in a formatted string literal can be followed by an equals sign (</w:t>
      </w:r>
      <w:r>
        <w:rPr>
          <w:rStyle w:val="Text0"/>
        </w:rPr>
        <w:t>=</w:t>
      </w:r>
      <w:r>
        <w:t xml:space="preserve">), optionally surrounded by spaces. In this case the text of the expression itself and the equals sign, including any leading and trailing spaces, are output before the value. In the presence of the equals sign, when no format is specified, Python uses the </w:t>
      </w:r>
      <w:r>
        <w:rPr>
          <w:rStyle w:val="Text0"/>
        </w:rPr>
        <w:t>repr()</w:t>
      </w:r>
      <w:r>
        <w:t xml:space="preserve"> of the value as output; otherwise, Python uses the </w:t>
      </w:r>
      <w:r>
        <w:rPr>
          <w:rStyle w:val="Text0"/>
        </w:rPr>
        <w:t>str()</w:t>
      </w:r>
      <w:r>
        <w:t xml:space="preserve"> of the value unless an </w:t>
      </w:r>
      <w:r>
        <w:rPr>
          <w:rStyle w:val="Text0"/>
        </w:rPr>
        <w:t>!r</w:t>
      </w:r>
      <w:r>
        <w:t xml:space="preserve"> value conversion is specified:</w:t>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a</w:t>
        <w:br w:clear="none"/>
      </w:r>
      <w:r>
        <w:rPr>
          <w:rStyle w:val="Text23"/>
        </w:rPr>
        <w:t xml:space="preserve"> </w:t>
        <w:br w:clear="none"/>
      </w:r>
      <w:r>
        <w:t xml:space="preserve">=</w:t>
        <w:br w:clear="none"/>
      </w:r>
      <w:r>
        <w:rPr>
          <w:rStyle w:val="Text23"/>
        </w:rPr>
        <w:t xml:space="preserve"> </w:t>
        <w:br w:clear="none"/>
      </w:r>
      <w:r>
        <w:rPr>
          <w:rStyle w:val="Text8"/>
        </w:rPr>
        <w:t xml:space="preserve">'*-'</w:t>
        <w:br w:clear="none"/>
      </w:r>
      <w:r>
        <w:rPr>
          <w:rStyle w:val="Text23"/>
        </w:rPr>
        <w:t xml:space="preserve"/>
        <w:br w:clear="none"/>
      </w:r>
      <w:r>
        <w:t xml:space="preserve">&gt;&gt;&gt;</w:t>
        <w:br w:clear="none"/>
      </w:r>
      <w:r>
        <w:rPr>
          <w:rStyle w:val="Text23"/>
        </w:rPr>
        <w:t xml:space="preserve"> </w:t>
        <w:br w:clear="none"/>
      </w:r>
      <w:r>
        <w:rPr>
          <w:rStyle w:val="Text9"/>
        </w:rPr>
        <w:t xml:space="preserve">s</w:t>
        <w:br w:clear="none"/>
      </w:r>
      <w:r>
        <w:rPr>
          <w:rStyle w:val="Text23"/>
        </w:rPr>
        <w:t xml:space="preserve"> </w:t>
        <w:br w:clear="none"/>
      </w:r>
      <w:r>
        <w:t xml:space="preserve">=</w:t>
        <w:br w:clear="none"/>
      </w:r>
      <w:r>
        <w:rPr>
          <w:rStyle w:val="Text23"/>
        </w:rPr>
        <w:t xml:space="preserve"> </w:t>
        <w:br w:clear="none"/>
      </w:r>
      <w:r>
        <w:rPr>
          <w:rStyle w:val="Text27"/>
        </w:rPr>
        <w:t xml:space="preserve">12</w:t>
        <w:br w:clear="none"/>
      </w:r>
      <w:r>
        <w:rPr>
          <w:rStyle w:val="Text23"/>
        </w:rPr>
        <w:t xml:space="preserve"/>
        <w:br w:clear="none"/>
      </w:r>
      <w:r>
        <w:t xml:space="preserve">&gt;&gt;&gt;</w:t>
        <w:br w:clear="none"/>
      </w:r>
      <w:r>
        <w:rPr>
          <w:rStyle w:val="Text23"/>
        </w:rPr>
        <w:t xml:space="preserve"> </w:t>
        <w:br w:clear="none"/>
      </w:r>
      <w:r>
        <w:rPr>
          <w:rStyle w:val="Text6"/>
        </w:rPr>
        <w:t xml:space="preserve">f</w:t>
        <w:br w:clear="none"/>
      </w:r>
      <w:r>
        <w:rPr>
          <w:rStyle w:val="Text8"/>
        </w:rPr>
        <w:t xml:space="preserve">'</w:t>
        <w:br w:clear="none"/>
      </w:r>
      <w:r>
        <w:rPr>
          <w:rStyle w:val="Text32"/>
        </w:rPr>
        <w:t xml:space="preserve">{</w:t>
        <w:br w:clear="none"/>
      </w:r>
      <w:r>
        <w:rPr>
          <w:rStyle w:val="Text9"/>
        </w:rPr>
        <w:t xml:space="preserve">a</w:t>
        <w:br w:clear="none"/>
      </w:r>
      <w:r>
        <w:t xml:space="preserve">*</w:t>
        <w:br w:clear="none"/>
      </w:r>
      <w:r>
        <w:rPr>
          <w:rStyle w:val="Text9"/>
        </w:rPr>
        <w:t xml:space="preserve">s</w:t>
        <w:br w:clear="none"/>
      </w:r>
      <w:r>
        <w:rPr>
          <w:rStyle w:val="Text32"/>
        </w:rPr>
        <w:t xml:space="preserve">=}</w:t>
        <w:br w:clear="none"/>
      </w:r>
      <w:r>
        <w:rPr>
          <w:rStyle w:val="Text8"/>
        </w:rPr>
        <w:t xml:space="preserve">'</w:t>
        <w:br w:clear="none"/>
      </w:r>
    </w:p>
    <w:p>
      <w:pPr>
        <w:pStyle w:val="Para 008"/>
      </w:pPr>
      <w:r>
        <w:rPr>
          <w:rStyle w:val="Text48"/>
        </w:rPr>
        <w:t xml:space="preserve"/>
        <w:br w:clear="none"/>
      </w:r>
      <w:r>
        <w:t xml:space="preserve">"a*s='*-*-*-*-*-*-*-*-*-*-*-*-'"</w:t>
        <w:br w:clear="none"/>
      </w:r>
    </w:p>
    <w:p>
      <w:pPr>
        <w:pStyle w:val="Para 071"/>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rPr>
          <w:rStyle w:val="Text8"/>
        </w:rPr>
        <w:t xml:space="preserve">'</w:t>
        <w:br w:clear="none"/>
      </w:r>
      <w:r>
        <w:t xml:space="preserve">{</w:t>
        <w:br w:clear="none"/>
      </w:r>
      <w:r>
        <w:rPr>
          <w:rStyle w:val="Text9"/>
        </w:rPr>
        <w:t xml:space="preserve">a</w:t>
        <w:br w:clear="none"/>
      </w:r>
      <w:r>
        <w:rPr>
          <w:rStyle w:val="Text13"/>
        </w:rPr>
        <w:t xml:space="preserve">*</w:t>
        <w:br w:clear="none"/>
      </w:r>
      <w:r>
        <w:rPr>
          <w:rStyle w:val="Text9"/>
        </w:rPr>
        <w:t xml:space="preserve">s</w:t>
        <w:br w:clear="none"/>
      </w:r>
      <w:r>
        <w:rPr>
          <w:rStyle w:val="Text23"/>
        </w:rPr>
        <w:t xml:space="preserve"> </w:t>
        <w:br w:clear="none"/>
      </w:r>
      <w:r>
        <w:t xml:space="preserve">= :</w:t>
        <w:br w:clear="none"/>
      </w:r>
      <w:r>
        <w:rPr>
          <w:rStyle w:val="Text8"/>
        </w:rPr>
        <w:t xml:space="preserve">30</w:t>
        <w:br w:clear="none"/>
      </w:r>
      <w:r>
        <w:t xml:space="preserve">}</w:t>
        <w:br w:clear="none"/>
      </w:r>
      <w:r>
        <w:rPr>
          <w:rStyle w:val="Text8"/>
        </w:rPr>
        <w:t xml:space="preserve">'</w:t>
        <w:br w:clear="none"/>
      </w:r>
    </w:p>
    <w:p>
      <w:pPr>
        <w:pStyle w:val="Para 008"/>
      </w:pPr>
      <w:r>
        <w:rPr>
          <w:rStyle w:val="Text48"/>
        </w:rPr>
        <w:t xml:space="preserve"/>
        <w:br w:clear="none"/>
      </w:r>
      <w:r>
        <w:t xml:space="preserve">'a*s = *-*-*-*-*-*-*-*-*-*-*-*-      '</w:t>
        <w:br w:clear="none"/>
      </w:r>
    </w:p>
    <w:p>
      <w:pPr>
        <w:pStyle w:val="Normal"/>
      </w:pPr>
      <w:r>
        <w:t xml:space="preserve">Note that this form is </w:t>
      </w:r>
      <w:r>
        <w:rPr>
          <w:rStyle w:val="Text4"/>
        </w:rPr>
        <w:t>only</w:t>
      </w:r>
      <w:r>
        <w:t xml:space="preserve"> available in formatted string literals.</w:t>
      </w:r>
    </w:p>
    <w:p>
      <w:pPr>
        <w:pStyle w:val="Normal"/>
      </w:pPr>
      <w:r>
        <w:t>Here’s a simple f-string example. Notice that all text, including any whitespace, surrounding the replacement fields is copied literally into the result:</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n</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10</w:t>
        <w:br w:clear="none"/>
      </w: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t xml:space="preserve">'zero'</w:t>
        <w:br w:clear="none"/>
      </w:r>
      <w:r>
        <w:rPr>
          <w:rStyle w:val="Text7"/>
        </w:rPr>
        <w:t xml:space="preserve">,</w:t>
        <w:br w:clear="none"/>
      </w:r>
      <w:r>
        <w:rPr>
          <w:rStyle w:val="Text23"/>
        </w:rPr>
        <w:t xml:space="preserve"> </w:t>
        <w:br w:clear="none"/>
      </w:r>
      <w:r>
        <w:t xml:space="preserve">'one'</w:t>
        <w:br w:clear="none"/>
      </w:r>
      <w:r>
        <w:rPr>
          <w:rStyle w:val="Text7"/>
        </w:rPr>
        <w:t xml:space="preserve">,</w:t>
        <w:br w:clear="none"/>
      </w:r>
      <w:r>
        <w:rPr>
          <w:rStyle w:val="Text23"/>
        </w:rPr>
        <w:t xml:space="preserve"> </w:t>
        <w:br w:clear="none"/>
      </w:r>
      <w:r>
        <w:t xml:space="preserve">'two'</w:t>
        <w:br w:clear="none"/>
      </w:r>
      <w:r>
        <w:rPr>
          <w:rStyle w:val="Text7"/>
        </w:rPr>
        <w:t xml:space="preserve">,</w:t>
        <w:br w:clear="none"/>
      </w:r>
      <w:r>
        <w:rPr>
          <w:rStyle w:val="Text23"/>
        </w:rPr>
        <w:t xml:space="preserve"> </w:t>
        <w:br w:clear="none"/>
      </w:r>
      <w:r>
        <w:t xml:space="preserve">'three'</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9"/>
        </w:rPr>
        <w:t xml:space="preserve">i</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2</w:t>
        <w:br w:clear="none"/>
      </w: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'start </w:t>
        <w:br w:clear="none"/>
      </w:r>
      <w:r>
        <w:rPr>
          <w:rStyle w:val="Text32"/>
        </w:rPr>
        <w:t xml:space="preserve">{</w:t>
        <w:br w:clear="none"/>
      </w:r>
      <w:r>
        <w:t xml:space="preserve">"-"</w:t>
        <w:br w:clear="none"/>
      </w:r>
      <w:r>
        <w:rPr>
          <w:rStyle w:val="Text13"/>
        </w:rPr>
        <w:t xml:space="preserve">*</w:t>
        <w:br w:clear="none"/>
      </w:r>
      <w:r>
        <w:rPr>
          <w:rStyle w:val="Text9"/>
        </w:rPr>
        <w:t xml:space="preserve">n</w:t>
        <w:br w:clear="none"/>
      </w:r>
      <w:r>
        <w:rPr>
          <w:rStyle w:val="Text32"/>
        </w:rPr>
        <w:t xml:space="preserve">}</w:t>
        <w:br w:clear="none"/>
      </w:r>
      <w:r>
        <w:t xml:space="preserve"> : </w:t>
        <w:br w:clear="none"/>
      </w:r>
      <w:r>
        <w:rPr>
          <w:rStyle w:val="Text32"/>
        </w:rPr>
        <w:t xml:space="preserve">{</w:t>
        <w:br w:clear="none"/>
      </w:r>
      <w:r>
        <w:rPr>
          <w:rStyle w:val="Text9"/>
        </w:rPr>
        <w:t xml:space="preserve">s</w:t>
        <w:br w:clear="none"/>
      </w:r>
      <w:r>
        <w:rPr>
          <w:rStyle w:val="Text7"/>
        </w:rPr>
        <w:t xml:space="preserve">[</w:t>
        <w:br w:clear="none"/>
      </w:r>
      <w:r>
        <w:rPr>
          <w:rStyle w:val="Text9"/>
        </w:rPr>
        <w:t xml:space="preserve">i</w:t>
        <w:br w:clear="none"/>
      </w:r>
      <w:r>
        <w:rPr>
          <w:rStyle w:val="Text7"/>
        </w:rPr>
        <w:t xml:space="preserve">]</w:t>
        <w:br w:clear="none"/>
      </w:r>
      <w:r>
        <w:rPr>
          <w:rStyle w:val="Text32"/>
        </w:rPr>
        <w:t xml:space="preserve">}</w:t>
        <w:br w:clear="none"/>
      </w:r>
      <w:r>
        <w:t xml:space="preserve"> end'</w:t>
        <w:br w:clear="none"/>
      </w:r>
    </w:p>
    <w:p>
      <w:pPr>
        <w:pStyle w:val="Para 008"/>
      </w:pPr>
      <w:r>
        <w:rPr>
          <w:rStyle w:val="Text48"/>
        </w:rPr>
        <w:t xml:space="preserve"/>
        <w:br w:clear="none"/>
      </w:r>
      <w:r>
        <w:t xml:space="preserve">'start ---------- : two end'</w:t>
        <w:br w:clear="none"/>
      </w:r>
    </w:p>
    <w:p>
      <w:bookmarkStart w:id="2296" w:name="Formatting_Using_format_Calls__T"/>
      <w:pPr>
        <w:keepNext/>
        <w:pStyle w:val="Heading 2"/>
      </w:pPr>
      <w:r>
        <w:t>Formatting Using format Calls</w:t>
      </w:r>
      <w:bookmarkEnd w:id="2296"/>
    </w:p>
    <w:p>
      <w:pPr>
        <w:pStyle w:val="Normal"/>
      </w:pPr>
      <w:r>
        <w:t>The</w:t>
      </w:r>
      <w:r>
        <w:rPr>
          <w:rStyle w:val="Text111"/>
        </w:rPr>
        <w:bookmarkStart w:id="2297" w:name="idm45965211821648"/>
        <w:t/>
        <w:bookmarkEnd w:id="2297"/>
      </w:r>
      <w:r>
        <w:t xml:space="preserve"> same formatting operations available in formatted string literals can also be performed by a call to the string’s </w:t>
      </w:r>
      <w:r>
        <w:rPr>
          <w:rStyle w:val="Text0"/>
        </w:rPr>
        <w:t>format</w:t>
      </w:r>
      <w:r>
        <w:t xml:space="preserve"> method. In these cases, rather than the value appearing inline, the replacement field begins with a value part that selects an argument of that call. You can specify both positional and named arguments. Here’s an example of a simple </w:t>
      </w:r>
      <w:r>
        <w:rPr>
          <w:rStyle w:val="Text0"/>
        </w:rPr>
        <w:t>format</w:t>
      </w:r>
      <w:r>
        <w:t xml:space="preserve"> method call:</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name</w:t>
        <w:br w:clear="none"/>
      </w:r>
      <w:r>
        <w:rPr>
          <w:rStyle w:val="Text23"/>
        </w:rPr>
        <w:t xml:space="preserve"> </w:t>
        <w:br w:clear="none"/>
      </w:r>
      <w:r>
        <w:rPr>
          <w:rStyle w:val="Text13"/>
        </w:rPr>
        <w:t xml:space="preserve">=</w:t>
        <w:br w:clear="none"/>
      </w:r>
      <w:r>
        <w:rPr>
          <w:rStyle w:val="Text23"/>
        </w:rPr>
        <w:t xml:space="preserve"> </w:t>
        <w:br w:clear="none"/>
      </w:r>
      <w:r>
        <w:t xml:space="preserve">'Dawn'</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w:t>
        <w:br w:clear="none"/>
      </w:r>
      <w:r>
        <w:rPr>
          <w:rStyle w:val="Text32"/>
        </w:rPr>
        <w:t xml:space="preserve">{name}</w:t>
        <w:br w:clear="none"/>
      </w:r>
      <w:r>
        <w:t xml:space="preserve"> is </w:t>
        <w:br w:clear="none"/>
      </w:r>
      <w:r>
        <w:rPr>
          <w:rStyle w:val="Text32"/>
        </w:rPr>
        <w:t xml:space="preserve">{n}</w:t>
        <w:br w:clear="none"/>
      </w:r>
      <w:r>
        <w:t xml:space="preserve"> characters long'</w:t>
        <w:br w:clear="none"/>
      </w:r>
      <w:r>
        <w:rPr>
          <w:rStyle w:val="Text23"/>
        </w:rPr>
        <w:t xml:space="preserve"/>
        <w:br w:clear="none"/>
      </w:r>
      <w:r>
        <w:rPr>
          <w:rStyle w:val="Text13"/>
        </w:rPr>
        <w:t xml:space="preserve">...</w:t>
        <w:br w:clear="none"/>
      </w:r>
      <w:r>
        <w:rPr>
          <w:rStyle w:val="Text23"/>
        </w:rPr>
        <w:t xml:space="preserve"> </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name</w:t>
        <w:br w:clear="none"/>
      </w:r>
      <w:r>
        <w:rPr>
          <w:rStyle w:val="Text13"/>
        </w:rPr>
        <w:t xml:space="preserve">=</w:t>
        <w:br w:clear="none"/>
      </w:r>
      <w:r>
        <w:rPr>
          <w:rStyle w:val="Text9"/>
        </w:rPr>
        <w:t xml:space="preserve">name</w:t>
        <w:br w:clear="none"/>
      </w:r>
      <w:r>
        <w:rPr>
          <w:rStyle w:val="Text7"/>
        </w:rPr>
        <w:t xml:space="preserve">,</w:t>
        <w:br w:clear="none"/>
      </w:r>
      <w:r>
        <w:rPr>
          <w:rStyle w:val="Text23"/>
        </w:rPr>
        <w:t xml:space="preserve"> </w:t>
        <w:br w:clear="none"/>
      </w:r>
      <w:r>
        <w:rPr>
          <w:rStyle w:val="Text9"/>
        </w:rPr>
        <w:t xml:space="preserve">n</w:t>
        <w:br w:clear="none"/>
      </w:r>
      <w:r>
        <w:rPr>
          <w:rStyle w:val="Text13"/>
        </w:rPr>
        <w:t xml:space="preserve">=</w:t>
        <w:br w:clear="none"/>
      </w:r>
      <w:r>
        <w:rPr>
          <w:rStyle w:val="Text16"/>
        </w:rPr>
        <w:t xml:space="preserve">len</w:t>
        <w:br w:clear="none"/>
      </w:r>
      <w:r>
        <w:rPr>
          <w:rStyle w:val="Text7"/>
        </w:rPr>
        <w:t xml:space="preserve">(</w:t>
        <w:br w:clear="none"/>
      </w:r>
      <w:r>
        <w:rPr>
          <w:rStyle w:val="Text9"/>
        </w:rPr>
        <w:t xml:space="preserve">name</w:t>
        <w:br w:clear="none"/>
      </w:r>
      <w:r>
        <w:rPr>
          <w:rStyle w:val="Text7"/>
        </w:rPr>
        <w:t xml:space="preserve">)))</w:t>
        <w:br w:clear="none"/>
      </w:r>
    </w:p>
    <w:p>
      <w:pPr>
        <w:pStyle w:val="Para 008"/>
      </w:pPr>
      <w:r>
        <w:rPr>
          <w:rStyle w:val="Text48"/>
        </w:rPr>
        <w:t xml:space="preserve"/>
        <w:br w:clear="none"/>
      </w:r>
      <w:r>
        <w:t xml:space="preserve">'Dawn' is 4 characters long</w:t>
        <w:br w:clear="none"/>
      </w:r>
    </w:p>
    <w:p>
      <w:pPr>
        <w:pStyle w:val="Para 038"/>
      </w:pPr>
      <w:r>
        <w:t xml:space="preserve"/>
        <w:br w:clear="none"/>
      </w:r>
      <w:r>
        <w:rPr>
          <w:rStyle w:val="Text65"/>
        </w:rPr>
        <w:t xml:space="preserve">&gt;&gt;&gt;</w:t>
        <w:br w:clear="none"/>
      </w:r>
      <w:r>
        <w:t xml:space="preserve"> </w:t>
        <w:br w:clear="none"/>
      </w:r>
      <w:r>
        <w:rPr>
          <w:rStyle w:val="Text46"/>
        </w:rPr>
        <w:t xml:space="preserve">"This is a </w:t>
        <w:br w:clear="none"/>
      </w:r>
      <w:r>
        <w:rPr>
          <w:rStyle w:val="Text81"/>
        </w:rPr>
        <w:t xml:space="preserve">{1}</w:t>
        <w:br w:clear="none"/>
      </w:r>
      <w:r>
        <w:rPr>
          <w:rStyle w:val="Text46"/>
        </w:rPr>
        <w:t xml:space="preserve">, </w:t>
        <w:br w:clear="none"/>
      </w:r>
      <w:r>
        <w:rPr>
          <w:rStyle w:val="Text81"/>
        </w:rPr>
        <w:t xml:space="preserve">{0}</w:t>
        <w:br w:clear="none"/>
      </w:r>
      <w:r>
        <w:rPr>
          <w:rStyle w:val="Text46"/>
        </w:rPr>
        <w:t xml:space="preserve">, type of </w:t>
        <w:br w:clear="none"/>
      </w:r>
      <w:r>
        <w:rPr>
          <w:rStyle w:val="Text81"/>
        </w:rPr>
        <w:t xml:space="preserve">{type}</w:t>
        <w:br w:clear="none"/>
      </w:r>
      <w:r>
        <w:rPr>
          <w:rStyle w:val="Text46"/>
        </w:rPr>
        <w:t xml:space="preserve">"</w:t>
        <w:br w:clear="none"/>
      </w:r>
      <w:r>
        <w:rPr>
          <w:rStyle w:val="Text65"/>
        </w:rPr>
        <w:t xml:space="preserve">.</w:t>
        <w:br w:clear="none"/>
      </w:r>
      <w:r>
        <w:rPr>
          <w:rStyle w:val="Text49"/>
        </w:rPr>
        <w:t xml:space="preserve">format</w:t>
        <w:br w:clear="none"/>
      </w:r>
      <w:r>
        <w:rPr>
          <w:rStyle w:val="Text58"/>
        </w:rPr>
        <w:t xml:space="preserve">(</w:t>
        <w:br w:clear="none"/>
      </w:r>
      <w:r>
        <w:rPr>
          <w:rStyle w:val="Text46"/>
        </w:rPr>
        <w:t xml:space="preserve">"green"</w:t>
        <w:br w:clear="none"/>
      </w:r>
      <w:r>
        <w:rPr>
          <w:rStyle w:val="Text58"/>
        </w:rPr>
        <w:t xml:space="preserve">,</w:t>
        <w:br w:clear="none"/>
      </w:r>
      <w:r>
        <w:t xml:space="preserve"> </w:t>
        <w:br w:clear="none"/>
      </w:r>
      <w:r>
        <w:rPr>
          <w:rStyle w:val="Text46"/>
        </w:rPr>
        <w:t xml:space="preserve">"large"</w:t>
        <w:br w:clear="none"/>
      </w:r>
      <w:r>
        <w:rPr>
          <w:rStyle w:val="Text58"/>
        </w:rPr>
        <w:t xml:space="preserve">,</w:t>
        <w:br w:clear="none"/>
      </w:r>
      <w:r>
        <w:t xml:space="preserve"> </w:t>
        <w:br w:clear="none"/>
      </w:r>
      <w:r>
        <w:rPr>
          <w:rStyle w:val="Text65"/>
        </w:rPr>
        <w:t xml:space="preserve">...</w:t>
        <w:br w:clear="none"/>
      </w:r>
      <w:r>
        <w:t xml:space="preserve">                                             </w:t>
        <w:br w:clear="none"/>
      </w:r>
      <w:r>
        <w:rPr>
          <w:rStyle w:val="Text62"/>
        </w:rPr>
        <w:t xml:space="preserve">type</w:t>
        <w:br w:clear="none"/>
      </w:r>
      <w:r>
        <w:rPr>
          <w:rStyle w:val="Text65"/>
        </w:rPr>
        <w:t xml:space="preserve">=</w:t>
        <w:br w:clear="none"/>
      </w:r>
      <w:r>
        <w:rPr>
          <w:rStyle w:val="Text46"/>
        </w:rPr>
        <w:t xml:space="preserve">"vase"</w:t>
        <w:br w:clear="none"/>
      </w:r>
      <w:r>
        <w:rPr>
          <w:rStyle w:val="Text58"/>
        </w:rPr>
        <w:t xml:space="preserve">)</w:t>
        <w:br w:clear="none"/>
      </w:r>
    </w:p>
    <w:p>
      <w:pPr>
        <w:pStyle w:val="Para 008"/>
      </w:pPr>
      <w:r>
        <w:rPr>
          <w:rStyle w:val="Text48"/>
        </w:rPr>
        <w:t xml:space="preserve"/>
        <w:br w:clear="none"/>
      </w:r>
      <w:r>
        <w:t xml:space="preserve">'This is a large, green, type of vase'</w:t>
        <w:br w:clear="none"/>
      </w:r>
    </w:p>
    <w:p>
      <w:pPr>
        <w:pStyle w:val="Normal"/>
      </w:pPr>
      <w:r>
        <w:t>For simplicity, none of the replacement fields in this example contain a conversion part or a format specifier.</w:t>
      </w:r>
    </w:p>
    <w:p>
      <w:pPr>
        <w:pStyle w:val="Normal"/>
      </w:pPr>
      <w:r>
        <w:t xml:space="preserve">As mentioned previously, the argument selection mechanism when using the </w:t>
      </w:r>
      <w:r>
        <w:rPr>
          <w:rStyle w:val="Text0"/>
        </w:rPr>
        <w:t>format</w:t>
      </w:r>
      <w:r>
        <w:t xml:space="preserve"> method can handle both positional and named arguments. The simplest replacement field is the empty pair of braces (</w:t>
      </w:r>
      <w:r>
        <w:rPr>
          <w:rStyle w:val="Text0"/>
        </w:rPr>
        <w:t>{}</w:t>
      </w:r>
      <w:r>
        <w:t xml:space="preserve">), representing an </w:t>
      </w:r>
      <w:r>
        <w:rPr>
          <w:rStyle w:val="Text4"/>
        </w:rPr>
        <w:t>automatic</w:t>
      </w:r>
      <w:r>
        <w:t xml:space="preserve"> positional argument specifier. Each such replacement field automatically refers to the value of the next positional argument to </w:t>
      </w:r>
      <w:r>
        <w:rPr>
          <w:rStyle w:val="Text0"/>
        </w:rPr>
        <w:t>format</w:t>
      </w:r>
      <w:r>
        <w:t>:</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'First: </w:t>
        <w:br w:clear="none"/>
      </w:r>
      <w:r>
        <w:rPr>
          <w:rStyle w:val="Text32"/>
        </w:rPr>
        <w:t xml:space="preserve">{}</w:t>
        <w:br w:clear="none"/>
      </w:r>
      <w:r>
        <w:t xml:space="preserve"> second: </w:t>
        <w:br w:clear="none"/>
      </w:r>
      <w:r>
        <w:rPr>
          <w:rStyle w:val="Text32"/>
        </w:rPr>
        <w:t xml:space="preserve">{}</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t xml:space="preserve">'two'</w:t>
        <w:br w:clear="none"/>
      </w:r>
      <w:r>
        <w:rPr>
          <w:rStyle w:val="Text7"/>
        </w:rPr>
        <w:t xml:space="preserve">)</w:t>
        <w:br w:clear="none"/>
      </w:r>
    </w:p>
    <w:p>
      <w:pPr>
        <w:pStyle w:val="Para 008"/>
      </w:pPr>
      <w:r>
        <w:rPr>
          <w:rStyle w:val="Text48"/>
        </w:rPr>
        <w:t xml:space="preserve"/>
        <w:br w:clear="none"/>
      </w:r>
      <w:r>
        <w:t xml:space="preserve">'First: 1 second: two'</w:t>
        <w:br w:clear="none"/>
      </w:r>
    </w:p>
    <w:p>
      <w:pPr>
        <w:pStyle w:val="Normal"/>
      </w:pPr>
      <w:r>
        <w:t>To repeatedly select an argument, or use it out of order, use numbered replacement fields to specify the argument’s position in the list of arguments (counting from zero):</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'Second: </w:t>
        <w:br w:clear="none"/>
      </w:r>
      <w:r>
        <w:rPr>
          <w:rStyle w:val="Text32"/>
        </w:rPr>
        <w:t xml:space="preserve">{1}</w:t>
        <w:br w:clear="none"/>
      </w:r>
      <w:r>
        <w:t xml:space="preserve">, first: </w:t>
        <w:br w:clear="none"/>
      </w:r>
      <w:r>
        <w:rPr>
          <w:rStyle w:val="Text32"/>
        </w:rPr>
        <w:t xml:space="preserve">{0}</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42</w:t>
        <w:br w:clear="none"/>
      </w:r>
      <w:r>
        <w:rPr>
          <w:rStyle w:val="Text7"/>
        </w:rPr>
        <w:t xml:space="preserve">,</w:t>
        <w:br w:clear="none"/>
      </w:r>
      <w:r>
        <w:rPr>
          <w:rStyle w:val="Text23"/>
        </w:rPr>
        <w:t xml:space="preserve"> </w:t>
        <w:br w:clear="none"/>
      </w:r>
      <w:r>
        <w:t xml:space="preserve">'two'</w:t>
        <w:br w:clear="none"/>
      </w:r>
      <w:r>
        <w:rPr>
          <w:rStyle w:val="Text7"/>
        </w:rPr>
        <w:t xml:space="preserve">)</w:t>
        <w:br w:clear="none"/>
      </w:r>
    </w:p>
    <w:p>
      <w:pPr>
        <w:pStyle w:val="Para 008"/>
      </w:pPr>
      <w:r>
        <w:rPr>
          <w:rStyle w:val="Text48"/>
        </w:rPr>
        <w:t xml:space="preserve"/>
        <w:br w:clear="none"/>
      </w:r>
      <w:r>
        <w:t xml:space="preserve">'Second: two, first: 42'</w:t>
        <w:br w:clear="none"/>
      </w:r>
    </w:p>
    <w:p>
      <w:pPr>
        <w:pStyle w:val="Normal"/>
      </w:pPr>
      <w:r>
        <w:t>You cannot mix automatic and numbered replacement fields: it’s an either-or choice.</w:t>
      </w:r>
    </w:p>
    <w:p>
      <w:pPr>
        <w:pStyle w:val="Normal"/>
      </w:pPr>
      <w:r>
        <w:t>For named arguments, use argument names. If desired, you can mix them with (automatic or numbered) positional arguments:</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'a: </w:t>
        <w:br w:clear="none"/>
      </w:r>
      <w:r>
        <w:rPr>
          <w:rStyle w:val="Text32"/>
        </w:rPr>
        <w:t xml:space="preserve">{a}</w:t>
        <w:br w:clear="none"/>
      </w:r>
      <w:r>
        <w:t xml:space="preserve">, 1st: </w:t>
        <w:br w:clear="none"/>
      </w:r>
      <w:r>
        <w:rPr>
          <w:rStyle w:val="Text32"/>
        </w:rPr>
        <w:t xml:space="preserve">{}</w:t>
        <w:br w:clear="none"/>
      </w:r>
      <w:r>
        <w:t xml:space="preserve">, 2nd: </w:t>
        <w:br w:clear="none"/>
      </w:r>
      <w:r>
        <w:rPr>
          <w:rStyle w:val="Text32"/>
        </w:rPr>
        <w:t xml:space="preserve">{}</w:t>
        <w:br w:clear="none"/>
      </w:r>
      <w:r>
        <w:t xml:space="preserve">, a again: </w:t>
        <w:br w:clear="none"/>
      </w:r>
      <w:r>
        <w:rPr>
          <w:rStyle w:val="Text32"/>
        </w:rPr>
        <w:t xml:space="preserve">{a}</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t xml:space="preserve">'two'</w:t>
        <w:br w:clear="none"/>
      </w:r>
      <w:r>
        <w:rPr>
          <w:rStyle w:val="Text7"/>
        </w:rPr>
        <w:t xml:space="preserve">,</w:t>
        <w:br w:clear="none"/>
      </w:r>
      <w:r>
        <w:rPr>
          <w:rStyle w:val="Text23"/>
        </w:rPr>
        <w:t xml:space="preserve"> </w:t>
        <w:br w:clear="none"/>
      </w:r>
      <w:r>
        <w:rPr>
          <w:rStyle w:val="Text9"/>
        </w:rPr>
        <w:t xml:space="preserve">a</w:t>
        <w:br w:clear="none"/>
      </w:r>
      <w:r>
        <w:rPr>
          <w:rStyle w:val="Text13"/>
        </w:rPr>
        <w:t xml:space="preserve">=</w:t>
        <w:br w:clear="none"/>
      </w:r>
      <w:r>
        <w:rPr>
          <w:rStyle w:val="Text27"/>
        </w:rPr>
        <w:t xml:space="preserve">3</w:t>
        <w:br w:clear="none"/>
      </w:r>
      <w:r>
        <w:rPr>
          <w:rStyle w:val="Text7"/>
        </w:rPr>
        <w:t xml:space="preserve">)</w:t>
        <w:br w:clear="none"/>
      </w:r>
    </w:p>
    <w:p>
      <w:pPr>
        <w:pStyle w:val="Para 008"/>
      </w:pPr>
      <w:r>
        <w:rPr>
          <w:rStyle w:val="Text48"/>
        </w:rPr>
        <w:t xml:space="preserve"/>
        <w:br w:clear="none"/>
      </w:r>
      <w:r>
        <w:t xml:space="preserve">'a: 3, 1st: 1, 2nd: two, a again: 3'</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'a: </w:t>
        <w:br w:clear="none"/>
      </w:r>
      <w:r>
        <w:rPr>
          <w:rStyle w:val="Text32"/>
        </w:rPr>
        <w:t xml:space="preserve">{a}</w:t>
        <w:br w:clear="none"/>
      </w:r>
      <w:r>
        <w:t xml:space="preserve"> first:</w:t>
        <w:br w:clear="none"/>
      </w:r>
      <w:r>
        <w:rPr>
          <w:rStyle w:val="Text32"/>
        </w:rPr>
        <w:t xml:space="preserve">{0}</w:t>
        <w:br w:clear="none"/>
      </w:r>
      <w:r>
        <w:t xml:space="preserve"> second: </w:t>
        <w:br w:clear="none"/>
      </w:r>
      <w:r>
        <w:rPr>
          <w:rStyle w:val="Text32"/>
        </w:rPr>
        <w:t xml:space="preserve">{1}</w:t>
        <w:br w:clear="none"/>
      </w:r>
      <w:r>
        <w:t xml:space="preserve"> first: </w:t>
        <w:br w:clear="none"/>
      </w:r>
      <w:r>
        <w:rPr>
          <w:rStyle w:val="Text32"/>
        </w:rPr>
        <w:t xml:space="preserve">{0}</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t xml:space="preserve">'two'</w:t>
        <w:br w:clear="none"/>
      </w:r>
      <w:r>
        <w:rPr>
          <w:rStyle w:val="Text7"/>
        </w:rPr>
        <w:t xml:space="preserve">,</w:t>
        <w:br w:clear="none"/>
      </w:r>
      <w:r>
        <w:rPr>
          <w:rStyle w:val="Text23"/>
        </w:rPr>
        <w:t xml:space="preserve"> </w:t>
        <w:br w:clear="none"/>
      </w:r>
      <w:r>
        <w:rPr>
          <w:rStyle w:val="Text9"/>
        </w:rPr>
        <w:t xml:space="preserve">a</w:t>
        <w:br w:clear="none"/>
      </w:r>
      <w:r>
        <w:rPr>
          <w:rStyle w:val="Text13"/>
        </w:rPr>
        <w:t xml:space="preserve">=</w:t>
        <w:br w:clear="none"/>
      </w:r>
      <w:r>
        <w:rPr>
          <w:rStyle w:val="Text27"/>
        </w:rPr>
        <w:t xml:space="preserve">3</w:t>
        <w:br w:clear="none"/>
      </w:r>
      <w:r>
        <w:rPr>
          <w:rStyle w:val="Text7"/>
        </w:rPr>
        <w:t xml:space="preserve">)</w:t>
        <w:br w:clear="none"/>
      </w:r>
    </w:p>
    <w:p>
      <w:pPr>
        <w:pStyle w:val="Para 008"/>
      </w:pPr>
      <w:r>
        <w:rPr>
          <w:rStyle w:val="Text48"/>
        </w:rPr>
        <w:t xml:space="preserve"/>
        <w:br w:clear="none"/>
      </w:r>
      <w:r>
        <w:t xml:space="preserve">'a: 3 first:1 second: two first: 1'</w:t>
        <w:br w:clear="none"/>
      </w:r>
    </w:p>
    <w:p>
      <w:pPr>
        <w:pStyle w:val="Normal"/>
      </w:pPr>
      <w:r>
        <w:t>If an argument is a sequence, you can use numeric indices to select a specific element of the argument as the value to be formatted. This applies to both positional (automatic or numbered) and named arguments:</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'p0[1]: {[1]} p1[0]: {[0]}'</w:t>
        <w:br w:clear="none"/>
      </w:r>
      <w:r>
        <w:rPr>
          <w:rStyle w:val="Text13"/>
        </w:rPr>
        <w:t xml:space="preserve">.</w:t>
        <w:br w:clear="none"/>
      </w:r>
      <w:r>
        <w:rPr>
          <w:rStyle w:val="Text9"/>
        </w:rPr>
        <w:t xml:space="preserve">format</w:t>
        <w:br w:clear="none"/>
      </w:r>
      <w:r>
        <w:rPr>
          <w:rStyle w:val="Text7"/>
        </w:rPr>
        <w:t xml:space="preserve">((</w:t>
        <w:br w:clear="none"/>
      </w:r>
      <w:r>
        <w:t xml:space="preserve">'zero'</w:t>
        <w:br w:clear="none"/>
      </w:r>
      <w:r>
        <w:rPr>
          <w:rStyle w:val="Text7"/>
        </w:rPr>
        <w:t xml:space="preserve">,</w:t>
        <w:br w:clear="none"/>
      </w:r>
      <w:r>
        <w:rPr>
          <w:rStyle w:val="Text23"/>
        </w:rPr>
        <w:t xml:space="preserve"> </w:t>
        <w:br w:clear="none"/>
      </w:r>
      <w:r>
        <w:t xml:space="preserve">'one'</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t xml:space="preserve">'two'</w:t>
        <w:br w:clear="none"/>
      </w:r>
      <w:r>
        <w:rPr>
          <w:rStyle w:val="Text7"/>
        </w:rPr>
        <w:t xml:space="preserve">,</w:t>
        <w:br w:clear="none"/>
      </w:r>
      <w:r>
        <w:rPr>
          <w:rStyle w:val="Text23"/>
        </w:rPr>
        <w:t xml:space="preserve"> </w:t>
        <w:br w:clear="none"/>
      </w:r>
      <w:r>
        <w:t xml:space="preserve">'three'</w:t>
        <w:br w:clear="none"/>
      </w:r>
      <w:r>
        <w:rPr>
          <w:rStyle w:val="Text7"/>
        </w:rPr>
        <w:t xml:space="preserve">))</w:t>
        <w:br w:clear="none"/>
      </w:r>
    </w:p>
    <w:p>
      <w:pPr>
        <w:pStyle w:val="Para 008"/>
      </w:pPr>
      <w:r>
        <w:rPr>
          <w:rStyle w:val="Text48"/>
        </w:rPr>
        <w:t xml:space="preserve"/>
        <w:br w:clear="none"/>
      </w:r>
      <w:r>
        <w:t xml:space="preserve">'p0[1]: one p1[0]: two'</w:t>
        <w:br w:clear="none"/>
      </w:r>
    </w:p>
    <w:p>
      <w:pPr>
        <w:pStyle w:val="Para 038"/>
      </w:pPr>
      <w:r>
        <w:t xml:space="preserve"/>
        <w:br w:clear="none"/>
      </w:r>
      <w:r>
        <w:rPr>
          <w:rStyle w:val="Text65"/>
        </w:rPr>
        <w:t xml:space="preserve">&gt;&gt;&gt;</w:t>
        <w:br w:clear="none"/>
      </w:r>
      <w:r>
        <w:t xml:space="preserve"> </w:t>
        <w:br w:clear="none"/>
      </w:r>
      <w:r>
        <w:rPr>
          <w:rStyle w:val="Text46"/>
        </w:rPr>
        <w:t xml:space="preserve">'p1[0]: </w:t>
        <w:br w:clear="none"/>
      </w:r>
      <w:r>
        <w:rPr>
          <w:rStyle w:val="Text81"/>
        </w:rPr>
        <w:t xml:space="preserve">{1[0]}</w:t>
        <w:br w:clear="none"/>
      </w:r>
      <w:r>
        <w:rPr>
          <w:rStyle w:val="Text46"/>
        </w:rPr>
        <w:t xml:space="preserve"> p0[1]: </w:t>
        <w:br w:clear="none"/>
      </w:r>
      <w:r>
        <w:rPr>
          <w:rStyle w:val="Text81"/>
        </w:rPr>
        <w:t xml:space="preserve">{0[1]}</w:t>
        <w:br w:clear="none"/>
      </w:r>
      <w:r>
        <w:rPr>
          <w:rStyle w:val="Text46"/>
        </w:rPr>
        <w:t xml:space="preserve">'</w:t>
        <w:br w:clear="none"/>
      </w:r>
      <w:r>
        <w:rPr>
          <w:rStyle w:val="Text65"/>
        </w:rPr>
        <w:t xml:space="preserve">.</w:t>
        <w:br w:clear="none"/>
      </w:r>
      <w:r>
        <w:rPr>
          <w:rStyle w:val="Text49"/>
        </w:rPr>
        <w:t xml:space="preserve">format</w:t>
        <w:br w:clear="none"/>
      </w:r>
      <w:r>
        <w:rPr>
          <w:rStyle w:val="Text58"/>
        </w:rPr>
        <w:t xml:space="preserve">((</w:t>
        <w:br w:clear="none"/>
      </w:r>
      <w:r>
        <w:rPr>
          <w:rStyle w:val="Text46"/>
        </w:rPr>
        <w:t xml:space="preserve">'zero'</w:t>
        <w:br w:clear="none"/>
      </w:r>
      <w:r>
        <w:rPr>
          <w:rStyle w:val="Text58"/>
        </w:rPr>
        <w:t xml:space="preserve">,</w:t>
        <w:br w:clear="none"/>
      </w:r>
      <w:r>
        <w:t xml:space="preserve"> </w:t>
        <w:br w:clear="none"/>
      </w:r>
      <w:r>
        <w:rPr>
          <w:rStyle w:val="Text46"/>
        </w:rPr>
        <w:t xml:space="preserve">'one'</w:t>
        <w:br w:clear="none"/>
      </w:r>
      <w:r>
        <w:rPr>
          <w:rStyle w:val="Text58"/>
        </w:rPr>
        <w:t xml:space="preserve">),</w:t>
        <w:br w:clear="none"/>
      </w:r>
      <w:r>
        <w:t xml:space="preserve"/>
        <w:br w:clear="none"/>
      </w:r>
      <w:r>
        <w:rPr>
          <w:rStyle w:val="Text65"/>
        </w:rPr>
        <w:t xml:space="preserve">...</w:t>
        <w:br w:clear="none"/>
      </w:r>
      <w:r>
        <w:t xml:space="preserve">                                      </w:t>
        <w:br w:clear="none"/>
      </w:r>
      <w:r>
        <w:rPr>
          <w:rStyle w:val="Text58"/>
        </w:rPr>
        <w:t xml:space="preserve">(</w:t>
        <w:br w:clear="none"/>
      </w:r>
      <w:r>
        <w:rPr>
          <w:rStyle w:val="Text46"/>
        </w:rPr>
        <w:t xml:space="preserve">'two'</w:t>
        <w:br w:clear="none"/>
      </w:r>
      <w:r>
        <w:rPr>
          <w:rStyle w:val="Text58"/>
        </w:rPr>
        <w:t xml:space="preserve">,</w:t>
        <w:br w:clear="none"/>
      </w:r>
      <w:r>
        <w:t xml:space="preserve"> </w:t>
        <w:br w:clear="none"/>
      </w:r>
      <w:r>
        <w:rPr>
          <w:rStyle w:val="Text46"/>
        </w:rPr>
        <w:t xml:space="preserve">'three'</w:t>
        <w:br w:clear="none"/>
      </w:r>
      <w:r>
        <w:rPr>
          <w:rStyle w:val="Text58"/>
        </w:rPr>
        <w:t xml:space="preserve">))</w:t>
        <w:br w:clear="none"/>
      </w:r>
    </w:p>
    <w:p>
      <w:pPr>
        <w:pStyle w:val="Para 008"/>
      </w:pPr>
      <w:r>
        <w:rPr>
          <w:rStyle w:val="Text48"/>
        </w:rPr>
        <w:t xml:space="preserve"/>
        <w:br w:clear="none"/>
      </w:r>
      <w:r>
        <w:t xml:space="preserve">'p1[0]: two p0[1]: one'</w:t>
        <w:br w:clear="none"/>
      </w:r>
    </w:p>
    <w:p>
      <w:pPr>
        <w:pStyle w:val="Para 071"/>
      </w:pPr>
      <w:r>
        <w:rPr>
          <w:rStyle w:val="Text23"/>
        </w:rPr>
        <w:t xml:space="preserve"/>
        <w:br w:clear="none"/>
      </w:r>
      <w:r>
        <w:rPr>
          <w:rStyle w:val="Text13"/>
        </w:rPr>
        <w:t xml:space="preserve">&gt;&gt;&gt;</w:t>
        <w:br w:clear="none"/>
      </w:r>
      <w:r>
        <w:rPr>
          <w:rStyle w:val="Text23"/>
        </w:rPr>
        <w:t xml:space="preserve"> </w:t>
        <w:br w:clear="none"/>
      </w:r>
      <w:r>
        <w:rPr>
          <w:rStyle w:val="Text8"/>
        </w:rPr>
        <w:t xml:space="preserve">'</w:t>
        <w:br w:clear="none"/>
      </w:r>
      <w:r>
        <w:t xml:space="preserve">{}</w:t>
        <w:br w:clear="none"/>
      </w:r>
      <w:r>
        <w:rPr>
          <w:rStyle w:val="Text8"/>
        </w:rPr>
        <w:t xml:space="preserve"> </w:t>
        <w:br w:clear="none"/>
      </w:r>
      <w:r>
        <w:t xml:space="preserve">{}</w:t>
        <w:br w:clear="none"/>
      </w:r>
      <w:r>
        <w:rPr>
          <w:rStyle w:val="Text8"/>
        </w:rPr>
        <w:t xml:space="preserve"> </w:t>
        <w:br w:clear="none"/>
      </w:r>
      <w:r>
        <w:t xml:space="preserve">{a[2]}</w:t>
        <w:br w:clear="none"/>
      </w:r>
      <w:r>
        <w:rPr>
          <w:rStyle w:val="Text8"/>
        </w:rP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27"/>
        </w:rPr>
        <w:t xml:space="preserve">2</w:t>
        <w:br w:clear="none"/>
      </w:r>
      <w:r>
        <w:rPr>
          <w:rStyle w:val="Text7"/>
        </w:rPr>
        <w:t xml:space="preserve">,</w:t>
        <w:br w:clear="none"/>
      </w:r>
      <w:r>
        <w:rPr>
          <w:rStyle w:val="Text23"/>
        </w:rPr>
        <w:t xml:space="preserve"> </w:t>
        <w:br w:clear="none"/>
      </w:r>
      <w:r>
        <w:rPr>
          <w:rStyle w:val="Text9"/>
        </w:rPr>
        <w:t xml:space="preserve">a</w:t>
        <w:br w:clear="none"/>
      </w:r>
      <w:r>
        <w:rPr>
          <w:rStyle w:val="Text13"/>
        </w:rPr>
        <w:t xml:space="preserve">=</w:t>
        <w:br w:clear="none"/>
      </w:r>
      <w:r>
        <w:rPr>
          <w:rStyle w:val="Text7"/>
        </w:rPr>
        <w:t xml:space="preserve">(</w:t>
        <w:br w:clear="none"/>
      </w:r>
      <w:r>
        <w:rPr>
          <w:rStyle w:val="Text27"/>
        </w:rPr>
        <w:t xml:space="preserve">5</w:t>
        <w:br w:clear="none"/>
      </w:r>
      <w:r>
        <w:rPr>
          <w:rStyle w:val="Text7"/>
        </w:rPr>
        <w:t xml:space="preserve">,</w:t>
        <w:br w:clear="none"/>
      </w:r>
      <w:r>
        <w:rPr>
          <w:rStyle w:val="Text23"/>
        </w:rPr>
        <w:t xml:space="preserve"> </w:t>
        <w:br w:clear="none"/>
      </w:r>
      <w:r>
        <w:rPr>
          <w:rStyle w:val="Text27"/>
        </w:rPr>
        <w:t xml:space="preserve">4</w:t>
        <w:br w:clear="none"/>
      </w:r>
      <w:r>
        <w:rPr>
          <w:rStyle w:val="Text7"/>
        </w:rPr>
        <w:t xml:space="preserve">,</w:t>
        <w:br w:clear="none"/>
      </w:r>
      <w:r>
        <w:rPr>
          <w:rStyle w:val="Text23"/>
        </w:rPr>
        <w:t xml:space="preserve"> </w:t>
        <w:br w:clear="none"/>
      </w:r>
      <w:r>
        <w:rPr>
          <w:rStyle w:val="Text27"/>
        </w:rPr>
        <w:t xml:space="preserve">3</w:t>
        <w:br w:clear="none"/>
      </w:r>
      <w:r>
        <w:rPr>
          <w:rStyle w:val="Text7"/>
        </w:rPr>
        <w:t xml:space="preserve">))</w:t>
        <w:br w:clear="none"/>
      </w:r>
    </w:p>
    <w:p>
      <w:pPr>
        <w:pStyle w:val="Para 008"/>
      </w:pPr>
      <w:r>
        <w:rPr>
          <w:rStyle w:val="Text48"/>
        </w:rPr>
        <w:t xml:space="preserve"/>
        <w:br w:clear="none"/>
      </w:r>
      <w:r>
        <w:t xml:space="preserve">'1 2 3'</w:t>
        <w:br w:clear="none"/>
      </w:r>
    </w:p>
    <w:p>
      <w:pPr>
        <w:pStyle w:val="Normal"/>
      </w:pPr>
      <w:r>
        <w:t xml:space="preserve">If an argument is a composite object, you can select its individual attributes as values to be formatted by applying attribute-access dot notation to the argument selector. Here is an example using complex numbers, which have </w:t>
      </w:r>
      <w:r>
        <w:rPr>
          <w:rStyle w:val="Text0"/>
        </w:rPr>
        <w:t>real</w:t>
      </w:r>
      <w:r>
        <w:t xml:space="preserve"> and </w:t>
      </w:r>
      <w:r>
        <w:rPr>
          <w:rStyle w:val="Text0"/>
        </w:rPr>
        <w:t>imag</w:t>
      </w:r>
      <w:r>
        <w:t xml:space="preserve"> attributes that hold the real and imaginary parts, respectively:</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'First r: {.real} Second i: </w:t>
        <w:br w:clear="none"/>
      </w:r>
      <w:r>
        <w:rPr>
          <w:rStyle w:val="Text32"/>
        </w:rPr>
        <w:t xml:space="preserve">{a.imag}</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rPr>
          <w:rStyle w:val="Text27"/>
        </w:rPr>
        <w:t xml:space="preserve">1</w:t>
        <w:br w:clear="none"/>
      </w:r>
      <w:r>
        <w:rPr>
          <w:rStyle w:val="Text13"/>
        </w:rPr>
        <w:t xml:space="preserve">+</w:t>
        <w:br w:clear="none"/>
      </w:r>
      <w:r>
        <w:rPr>
          <w:rStyle w:val="Text27"/>
        </w:rPr>
        <w:t xml:space="preserve">2</w:t>
        <w:br w:clear="none"/>
      </w:r>
      <w:r>
        <w:rPr>
          <w:rStyle w:val="Text9"/>
        </w:rPr>
        <w:t xml:space="preserve">j</w:t>
        <w:br w:clear="none"/>
      </w:r>
      <w:r>
        <w:rPr>
          <w:rStyle w:val="Text7"/>
        </w:rPr>
        <w:t xml:space="preserve">,</w:t>
        <w:br w:clear="none"/>
      </w:r>
      <w:r>
        <w:rPr>
          <w:rStyle w:val="Text23"/>
        </w:rPr>
        <w:t xml:space="preserve"> </w:t>
        <w:br w:clear="none"/>
      </w:r>
      <w:r>
        <w:rPr>
          <w:rStyle w:val="Text9"/>
        </w:rPr>
        <w:t xml:space="preserve">a</w:t>
        <w:br w:clear="none"/>
      </w:r>
      <w:r>
        <w:rPr>
          <w:rStyle w:val="Text13"/>
        </w:rPr>
        <w:t xml:space="preserve">=</w:t>
        <w:br w:clear="none"/>
      </w:r>
      <w:r>
        <w:rPr>
          <w:rStyle w:val="Text27"/>
        </w:rPr>
        <w:t xml:space="preserve">3</w:t>
        <w:br w:clear="none"/>
      </w:r>
      <w:r>
        <w:rPr>
          <w:rStyle w:val="Text13"/>
        </w:rPr>
        <w:t xml:space="preserve">+</w:t>
        <w:br w:clear="none"/>
      </w:r>
      <w:r>
        <w:rPr>
          <w:rStyle w:val="Text27"/>
        </w:rPr>
        <w:t xml:space="preserve">4</w:t>
        <w:br w:clear="none"/>
      </w:r>
      <w:r>
        <w:rPr>
          <w:rStyle w:val="Text9"/>
        </w:rPr>
        <w:t xml:space="preserve">j</w:t>
        <w:br w:clear="none"/>
      </w:r>
      <w:r>
        <w:rPr>
          <w:rStyle w:val="Text7"/>
        </w:rPr>
        <w:t xml:space="preserve">)</w:t>
        <w:br w:clear="none"/>
      </w:r>
    </w:p>
    <w:p>
      <w:pPr>
        <w:pStyle w:val="Para 008"/>
      </w:pPr>
      <w:r>
        <w:rPr>
          <w:rStyle w:val="Text48"/>
        </w:rPr>
        <w:t xml:space="preserve"/>
        <w:br w:clear="none"/>
      </w:r>
      <w:r>
        <w:t xml:space="preserve">'First r: 1.0 Second i: 4.0'</w:t>
        <w:br w:clear="none"/>
      </w:r>
    </w:p>
    <w:p>
      <w:pPr>
        <w:pStyle w:val="Normal"/>
      </w:pPr>
      <w:r>
        <w:t>Indexing and attribute-selection operations can be used multiple times, if required.</w:t>
      </w:r>
    </w:p>
    <w:p>
      <w:bookmarkStart w:id="2298" w:name="Value_Conversion__You_may_apply"/>
      <w:pPr>
        <w:keepNext/>
        <w:pStyle w:val="Heading 2"/>
      </w:pPr>
      <w:r>
        <w:t>Value Conversion</w:t>
      </w:r>
      <w:bookmarkEnd w:id="2298"/>
    </w:p>
    <w:p>
      <w:pPr>
        <w:pStyle w:val="Normal"/>
      </w:pPr>
      <w:r>
        <w:t>You</w:t>
      </w:r>
      <w:r>
        <w:rPr>
          <w:rStyle w:val="Text111"/>
        </w:rPr>
        <w:bookmarkStart w:id="2299" w:name="idm45965211419888"/>
        <w:t/>
        <w:bookmarkEnd w:id="2299"/>
      </w:r>
      <w:r>
        <w:t xml:space="preserve"> may apply a default conversion to the value via one of its methods. You indicate this by following any selector with</w:t>
      </w:r>
      <w:r>
        <w:rPr>
          <w:rStyle w:val="Text111"/>
        </w:rPr>
        <w:bookmarkStart w:id="2300" w:name="idm45965211378736"/>
        <w:t/>
        <w:bookmarkEnd w:id="2300"/>
        <w:bookmarkStart w:id="2301" w:name="idm45965211377632"/>
        <w:t/>
        <w:bookmarkEnd w:id="2301"/>
        <w:bookmarkStart w:id="2302" w:name="idm45965211376528"/>
        <w:t/>
        <w:bookmarkEnd w:id="2302"/>
      </w:r>
      <w:r>
        <w:t xml:space="preserve"> </w:t>
      </w:r>
      <w:r>
        <w:rPr>
          <w:rStyle w:val="Text0"/>
        </w:rPr>
        <w:t>!s</w:t>
      </w:r>
      <w:r>
        <w:t xml:space="preserve"> to apply the object’s </w:t>
      </w:r>
      <w:r>
        <w:rPr>
          <w:rStyle w:val="Text0"/>
        </w:rPr>
        <w:t>__str__</w:t>
      </w:r>
      <w:r>
        <w:t xml:space="preserve"> method, </w:t>
      </w:r>
      <w:r>
        <w:rPr>
          <w:rStyle w:val="Text0"/>
        </w:rPr>
        <w:t>!r</w:t>
      </w:r>
      <w:r>
        <w:t xml:space="preserve"> for its </w:t>
      </w:r>
      <w:r>
        <w:rPr>
          <w:rStyle w:val="Text0"/>
        </w:rPr>
        <w:t>__repr__</w:t>
      </w:r>
      <w:r>
        <w:t xml:space="preserve"> method, or </w:t>
      </w:r>
      <w:r>
        <w:rPr>
          <w:rStyle w:val="Text0"/>
        </w:rPr>
        <w:t>!a</w:t>
      </w:r>
      <w:r>
        <w:t xml:space="preserve"> for the </w:t>
      </w:r>
      <w:r>
        <w:rPr>
          <w:rStyle w:val="Text0"/>
        </w:rPr>
        <w:t>ascii</w:t>
      </w:r>
      <w:r>
        <w:t xml:space="preserve"> built-in:</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"String: </w:t>
        <w:br w:clear="none"/>
      </w:r>
      <w:r>
        <w:rPr>
          <w:rStyle w:val="Text32"/>
        </w:rPr>
        <w:t xml:space="preserve">{0!s}</w:t>
        <w:br w:clear="none"/>
      </w:r>
      <w:r>
        <w:t xml:space="preserve"> Repr: </w:t>
        <w:br w:clear="none"/>
      </w:r>
      <w:r>
        <w:rPr>
          <w:rStyle w:val="Text32"/>
        </w:rPr>
        <w:t xml:space="preserve">{0!r}</w:t>
        <w:br w:clear="none"/>
      </w:r>
      <w:r>
        <w:t xml:space="preserve"> ASCII: </w:t>
        <w:br w:clear="none"/>
      </w:r>
      <w:r>
        <w:rPr>
          <w:rStyle w:val="Text32"/>
        </w:rPr>
        <w:t xml:space="preserve">{0!a}</w:t>
        <w:br w:clear="none"/>
      </w:r>
      <w:r>
        <w:t xml:space="preserve">"</w:t>
        <w:br w:clear="none"/>
      </w:r>
      <w:r>
        <w:rPr>
          <w:rStyle w:val="Text13"/>
        </w:rPr>
        <w:t xml:space="preserve">.</w:t>
        <w:br w:clear="none"/>
      </w:r>
      <w:r>
        <w:rPr>
          <w:rStyle w:val="Text9"/>
        </w:rPr>
        <w:t xml:space="preserve">format</w:t>
        <w:br w:clear="none"/>
      </w:r>
      <w:r>
        <w:rPr>
          <w:rStyle w:val="Text7"/>
        </w:rPr>
        <w:t xml:space="preserve">(</w:t>
        <w:br w:clear="none"/>
      </w:r>
      <w:r>
        <w:t xml:space="preserve">"banana 😀"</w:t>
        <w:br w:clear="none"/>
      </w:r>
      <w:r>
        <w:rPr>
          <w:rStyle w:val="Text7"/>
        </w:rPr>
        <w:t xml:space="preserve">)</w:t>
        <w:br w:clear="none"/>
      </w:r>
    </w:p>
    <w:p>
      <w:pPr>
        <w:pStyle w:val="Para 008"/>
      </w:pPr>
      <w:r>
        <w:rPr>
          <w:rStyle w:val="Text48"/>
        </w:rPr>
        <w:t xml:space="preserve"/>
        <w:br w:clear="none"/>
      </w:r>
      <w:r>
        <w:t xml:space="preserve">"String: banana 😀 Repr: 'banana 😀' ASCII: 'banana\\U0001f600'"</w:t>
        <w:br w:clear="none"/>
      </w:r>
    </w:p>
    <w:p>
      <w:pPr>
        <w:pStyle w:val="Normal"/>
      </w:pPr>
      <w:r>
        <w:t xml:space="preserve">When a conversion is present, the conversion is applied to the value before it is formatted. Since the same value is required multiple times, in this example a </w:t>
      </w:r>
      <w:r>
        <w:rPr>
          <w:rStyle w:val="Text0"/>
        </w:rPr>
        <w:t>format</w:t>
      </w:r>
      <w:r>
        <w:t xml:space="preserve"> call makes much more sense than a formatted string literal, which would require the value to be repeated three times.</w:t>
      </w:r>
    </w:p>
    <w:p>
      <w:bookmarkStart w:id="2303" w:name="Value_Formatting__The_Format_Spe"/>
      <w:pPr>
        <w:keepNext/>
        <w:pStyle w:val="Heading 2"/>
      </w:pPr>
      <w:r>
        <w:t>Value Formatting: The Format Specifier</w:t>
      </w:r>
      <w:bookmarkEnd w:id="2303"/>
    </w:p>
    <w:p>
      <w:pPr>
        <w:pStyle w:val="Normal"/>
      </w:pPr>
      <w:r>
        <w:t>The</w:t>
      </w:r>
      <w:r>
        <w:rPr>
          <w:rStyle w:val="Text111"/>
        </w:rPr>
        <w:bookmarkStart w:id="2304" w:name="idm45965211331840"/>
        <w:t/>
        <w:bookmarkEnd w:id="2304"/>
        <w:bookmarkStart w:id="2305" w:name="fspec09"/>
        <w:t/>
        <w:bookmarkEnd w:id="2305"/>
      </w:r>
      <w:r>
        <w:t xml:space="preserve"> final (optional) portion of the replacement field, known as the </w:t>
      </w:r>
      <w:r>
        <w:rPr>
          <w:rStyle w:val="Text4"/>
        </w:rPr>
        <w:t>format specifier</w:t>
      </w:r>
      <w:r>
        <w:t xml:space="preserve"> and introduced by a colon (</w:t>
      </w:r>
      <w:r>
        <w:rPr>
          <w:rStyle w:val="Text0"/>
        </w:rPr>
        <w:t>:</w:t>
      </w:r>
      <w:r>
        <w:t>), provides any further required formatting of the (possibly converted) value. The absence of a colon in the replacement field means that the converted value (after representation as a string if not already in string form) is used with no further formatting. If present, a format specifier should be provided conforming to the syntax:</w:t>
      </w:r>
    </w:p>
    <w:p>
      <w:pPr>
        <w:pStyle w:val="Para 014"/>
      </w:pPr>
      <w:r>
        <w:rPr>
          <w:rStyle w:val="Text116"/>
        </w:rPr>
        <w:t xml:space="preserve"/>
        <w:br w:clear="none"/>
      </w:r>
      <w:r>
        <w:rPr>
          <w:rStyle w:val="Text19"/>
        </w:rPr>
        <w:t xml:space="preserve">[</w:t>
        <w:br w:clear="none"/>
        <w:t xml:space="preserve">[</w:t>
        <w:br w:clear="none"/>
      </w:r>
      <w:r>
        <w:rPr>
          <w:rStyle w:val="Text9"/>
        </w:rPr>
        <w:t xml:space="preserve">fill</w:t>
        <w:br w:clear="none"/>
      </w:r>
      <w:r>
        <w:rPr>
          <w:rStyle w:val="Text19"/>
        </w:rPr>
        <w:t xml:space="preserve">]</w:t>
        <w:br w:clear="none"/>
      </w:r>
      <w:r>
        <w:rPr>
          <w:rStyle w:val="Text9"/>
        </w:rPr>
        <w:t xml:space="preserve">align</w:t>
        <w:br w:clear="none"/>
      </w:r>
      <w:r>
        <w:rPr>
          <w:rStyle w:val="Text19"/>
        </w:rPr>
        <w:t xml:space="preserve">]</w:t>
        <w:br w:clear="none"/>
        <w:t xml:space="preserve">[</w:t>
        <w:br w:clear="none"/>
      </w:r>
      <w:r>
        <w:rPr>
          <w:rStyle w:val="Text9"/>
        </w:rPr>
        <w:t xml:space="preserve">sign</w:t>
        <w:br w:clear="none"/>
      </w:r>
      <w:r>
        <w:rPr>
          <w:rStyle w:val="Text19"/>
        </w:rPr>
        <w:t xml:space="preserve">]</w:t>
        <w:br w:clear="none"/>
        <w:t xml:space="preserve">[</w:t>
        <w:br w:clear="none"/>
      </w:r>
      <w:r>
        <w:rPr>
          <w:rStyle w:val="Text14"/>
        </w:rPr>
        <w:t xml:space="preserve">z</w:t>
        <w:br w:clear="none"/>
      </w:r>
      <w:r>
        <w:rPr>
          <w:rStyle w:val="Text19"/>
        </w:rPr>
        <w:t xml:space="preserve">]</w:t>
        <w:br w:clear="none"/>
        <w:t xml:space="preserve">[</w:t>
        <w:br w:clear="none"/>
      </w:r>
      <w:r>
        <w:rPr>
          <w:rStyle w:val="Text4"/>
        </w:rPr>
        <w:t xml:space="preserve">#][0][</w:t>
        <w:br w:clear="none"/>
      </w:r>
      <w:r>
        <w:t xml:space="preserve">width</w:t>
        <w:br w:clear="none"/>
      </w:r>
      <w:r>
        <w:rPr>
          <w:rStyle w:val="Text4"/>
        </w:rPr>
        <w:t xml:space="preserve">][</w:t>
        <w:br w:clear="none"/>
      </w:r>
      <w:r>
        <w:t xml:space="preserve">grouping_option</w:t>
        <w:br w:clear="none"/>
      </w:r>
      <w:r>
        <w:rPr>
          <w:rStyle w:val="Text4"/>
        </w:rPr>
        <w:t xml:space="preserve">][.</w:t>
        <w:br w:clear="none"/>
      </w:r>
      <w:r>
        <w:t xml:space="preserve">precision</w:t>
        <w:br w:clear="none"/>
      </w:r>
      <w:r>
        <w:rPr>
          <w:rStyle w:val="Text4"/>
        </w:rPr>
        <w:t xml:space="preserve">][</w:t>
        <w:br w:clear="none"/>
      </w:r>
      <w:r>
        <w:t xml:space="preserve">type</w:t>
        <w:br w:clear="none"/>
      </w:r>
      <w:r>
        <w:rPr>
          <w:rStyle w:val="Text4"/>
        </w:rPr>
        <w:t xml:space="preserve">]</w:t>
        <w:br w:clear="none"/>
      </w:r>
    </w:p>
    <w:p>
      <w:pPr>
        <w:pStyle w:val="Normal"/>
      </w:pPr>
      <w:r>
        <w:t>Details are provided in the following subsections.</w:t>
      </w:r>
    </w:p>
    <w:p>
      <w:bookmarkStart w:id="2306" w:name="Fill_and_alignment__The_default"/>
      <w:pPr>
        <w:keepNext/>
        <w:pStyle w:val="Heading 2"/>
      </w:pPr>
      <w:r>
        <w:t>Fill and alignment</w:t>
      </w:r>
      <w:bookmarkEnd w:id="2306"/>
    </w:p>
    <w:p>
      <w:pPr>
        <w:pStyle w:val="Normal"/>
      </w:pPr>
      <w:r>
        <w:t>The</w:t>
      </w:r>
      <w:r>
        <w:rPr>
          <w:rStyle w:val="Text111"/>
        </w:rPr>
        <w:bookmarkStart w:id="2307" w:name="idm45965211287648"/>
        <w:t/>
        <w:bookmarkEnd w:id="2307"/>
      </w:r>
      <w:r>
        <w:t xml:space="preserve"> default fill character is the</w:t>
      </w:r>
      <w:r>
        <w:rPr>
          <w:rStyle w:val="Text111"/>
        </w:rPr>
        <w:bookmarkStart w:id="2308" w:name="idm45965211286512"/>
        <w:t/>
        <w:bookmarkEnd w:id="2308"/>
      </w:r>
      <w:r>
        <w:t xml:space="preserve"> space. To use an alternative fill character (which cannot be an opening or closing brace), begin the format specifier with the fill character. The fill character, if any, should be followed by an</w:t>
      </w:r>
      <w:r>
        <w:rPr>
          <w:rStyle w:val="Text111"/>
        </w:rPr>
        <w:bookmarkStart w:id="2309" w:name="idm45965211285280"/>
        <w:t/>
        <w:bookmarkEnd w:id="2309"/>
      </w:r>
      <w:r>
        <w:t xml:space="preserve"> </w:t>
      </w:r>
      <w:r>
        <w:rPr>
          <w:rStyle w:val="Text4"/>
        </w:rPr>
        <w:t>alignment indicator</w:t>
      </w:r>
      <w:r>
        <w:t xml:space="preserve"> (see </w:t>
      </w:r>
      <w:hyperlink w:anchor="Table_9_3__Alignment_indicators">
        <w:r>
          <w:rPr>
            <w:rStyle w:val="Text1"/>
          </w:rPr>
          <w:t>Table 9-3</w:t>
        </w:r>
      </w:hyperlink>
      <w:r>
        <w:t>).</w:t>
      </w:r>
    </w:p>
    <w:tbl>
      <w:tblPr>
        <w:tblW w:type="auto" w:w="0"/>
      </w:tblPr>
      <w:tr>
        <w:tc>
          <w:tcPr>
            <w:tcW w:type="auto" w:w="0"/>
            <w:tcMar>
              <w:left w:type="dxa" w:w="200"/>
              <w:top w:type="dxa" w:w="200"/>
              <w:right w:type="dxa" w:w="200"/>
              <w:bottom w:type="dxa" w:w="200"/>
            </w:tcMar>
            <w:vAlign w:val="center"/>
          </w:tcPr>
          <w:p>
            <w:bookmarkStart w:id="2310" w:name="Table_9_3__Alignment_indicators"/>
            <w:pPr>
              <w:pStyle w:val="Para 011"/>
            </w:pPr>
            <w:r>
              <w:rPr>
                <w:rStyle w:val="Text117"/>
              </w:rPr>
              <w:t/>
            </w:r>
            <w:r>
              <w:t xml:space="preserve">Table 9-3. </w:t>
              <w:t>Alignment indicators</w:t>
            </w:r>
            <w:bookmarkEnd w:id="2310"/>
          </w:p>
          <w:p>
            <w:pPr>
              <w:pStyle w:val="Para 013"/>
            </w:pPr>
            <w:r>
              <w:t>Character</w:t>
            </w:r>
          </w:p>
        </w:tc>
        <w:tc>
          <w:tcPr>
            <w:tcW w:type="auto" w:w="0"/>
            <w:tcMar>
              <w:left w:type="dxa" w:w="200"/>
              <w:top w:type="dxa" w:w="200"/>
              <w:right w:type="dxa" w:w="200"/>
              <w:bottom w:type="dxa" w:w="200"/>
            </w:tcMar>
            <w:vAlign w:val="center"/>
          </w:tcPr>
          <w:p>
            <w:pPr>
              <w:pStyle w:val="Para 013"/>
            </w:pPr>
            <w:r>
              <w:t>Significance as alignment indicator</w:t>
            </w:r>
          </w:p>
        </w:tc>
      </w:tr>
    </w:tbl>
    <w:tbl>
      <w:tblPr>
        <w:tblW w:type="auto" w:w="0"/>
      </w:tblPr>
      <w:tr>
        <w:tc>
          <w:tcPr>
            <w:tcW w:type="auto" w:w="0"/>
            <w:tcMar>
              <w:left w:type="dxa" w:w="200"/>
              <w:top w:type="dxa" w:w="200"/>
              <w:right w:type="dxa" w:w="200"/>
              <w:bottom w:type="dxa" w:w="200"/>
            </w:tcMar>
          </w:tcPr>
          <w:p>
            <w:pPr>
              <w:pStyle w:val="Para 001"/>
            </w:pPr>
            <w:r>
              <w:t>'&lt;'</w:t>
            </w:r>
          </w:p>
        </w:tc>
        <w:tc>
          <w:tcPr>
            <w:tcW w:type="auto" w:w="0"/>
            <w:tcMar>
              <w:left w:type="dxa" w:w="200"/>
              <w:top w:type="dxa" w:w="200"/>
              <w:right w:type="dxa" w:w="200"/>
              <w:bottom w:type="dxa" w:w="200"/>
            </w:tcMar>
          </w:tcPr>
          <w:p>
            <w:pPr>
              <w:pStyle w:val="Para 002"/>
            </w:pPr>
            <w:r>
              <w:t>Align</w:t>
            </w:r>
            <w:r>
              <w:rPr>
                <w:rStyle w:val="Text111"/>
              </w:rPr>
              <w:bookmarkStart w:id="2311" w:name="idm45965211253808"/>
              <w:t/>
              <w:bookmarkEnd w:id="2311"/>
              <w:bookmarkStart w:id="2312" w:name="idm45965211252832"/>
              <w:t/>
              <w:bookmarkEnd w:id="2312"/>
              <w:bookmarkStart w:id="2313" w:name="idm45965211251856"/>
              <w:t/>
              <w:bookmarkEnd w:id="2313"/>
              <w:bookmarkStart w:id="2314" w:name="idm45965211250544"/>
              <w:t/>
              <w:bookmarkEnd w:id="2314"/>
            </w:r>
            <w:r>
              <w:t xml:space="preserve"> value on left of field</w:t>
            </w:r>
          </w:p>
        </w:tc>
      </w:tr>
    </w:tbl>
    <w:tbl>
      <w:tblPr>
        <w:tblW w:type="auto" w:w="0"/>
      </w:tblPr>
      <w:tr>
        <w:tc>
          <w:tcPr>
            <w:tcW w:type="auto" w:w="0"/>
            <w:shd w:val="clear" w:color="auto" w:fill="EEF2F6"/>
            <w:tcMar>
              <w:left w:type="dxa" w:w="200"/>
              <w:top w:type="dxa" w:w="200"/>
              <w:right w:type="dxa" w:w="200"/>
              <w:bottom w:type="dxa" w:w="200"/>
            </w:tcMar>
          </w:tcPr>
          <w:p>
            <w:pPr>
              <w:pStyle w:val="Para 001"/>
            </w:pPr>
            <w:r>
              <w:t>'&gt;'</w:t>
            </w:r>
          </w:p>
        </w:tc>
        <w:tc>
          <w:tcPr>
            <w:tcW w:type="auto" w:w="0"/>
            <w:shd w:val="clear" w:color="auto" w:fill="EEF2F6"/>
            <w:tcMar>
              <w:left w:type="dxa" w:w="200"/>
              <w:top w:type="dxa" w:w="200"/>
              <w:right w:type="dxa" w:w="200"/>
              <w:bottom w:type="dxa" w:w="200"/>
            </w:tcMar>
          </w:tcPr>
          <w:p>
            <w:pPr>
              <w:pStyle w:val="Para 002"/>
            </w:pPr>
            <w:r>
              <w:t>Align</w:t>
            </w:r>
            <w:r>
              <w:rPr>
                <w:rStyle w:val="Text111"/>
              </w:rPr>
              <w:bookmarkStart w:id="2315" w:name="idm45965211247328"/>
              <w:t/>
              <w:bookmarkEnd w:id="2315"/>
              <w:bookmarkStart w:id="2316" w:name="idm45965211246192"/>
              <w:t/>
              <w:bookmarkEnd w:id="2316"/>
              <w:bookmarkStart w:id="2317" w:name="idm45965211245088"/>
              <w:t/>
              <w:bookmarkEnd w:id="2317"/>
            </w:r>
            <w:r>
              <w:t xml:space="preserve"> value on right of field</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Align</w:t>
            </w:r>
            <w:r>
              <w:rPr>
                <w:rStyle w:val="Text111"/>
              </w:rPr>
              <w:bookmarkStart w:id="2318" w:name="idm45965211241904"/>
              <w:t/>
              <w:bookmarkEnd w:id="2318"/>
              <w:bookmarkStart w:id="2319" w:name="idm45965211240768"/>
              <w:t/>
              <w:bookmarkEnd w:id="2319"/>
              <w:bookmarkStart w:id="2320" w:name="idm45965211239664"/>
              <w:t/>
              <w:bookmarkEnd w:id="2320"/>
            </w:r>
            <w:r>
              <w:t xml:space="preserve"> value at center of field</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Only</w:t>
            </w:r>
            <w:r>
              <w:rPr>
                <w:rStyle w:val="Text111"/>
              </w:rPr>
              <w:bookmarkStart w:id="2321" w:name="idm45965211236752"/>
              <w:t/>
              <w:bookmarkEnd w:id="2321"/>
              <w:bookmarkStart w:id="2322" w:name="idm45965211235552"/>
              <w:t/>
              <w:bookmarkEnd w:id="2322"/>
              <w:bookmarkStart w:id="2323" w:name="idm45965211234432"/>
              <w:t/>
              <w:bookmarkEnd w:id="2323"/>
              <w:bookmarkStart w:id="2324" w:name="idm45965211233040"/>
              <w:t/>
              <w:bookmarkEnd w:id="2324"/>
            </w:r>
            <w:r>
              <w:t xml:space="preserve"> for numeric types: add fill characters between the sign and the first digit of the numeric value</w:t>
            </w:r>
          </w:p>
        </w:tc>
      </w:tr>
    </w:tbl>
    <w:p>
      <w:pPr>
        <w:pStyle w:val="Normal"/>
      </w:pPr>
      <w:r>
        <w:t xml:space="preserve">If the first and second characters are </w:t>
      </w:r>
      <w:r>
        <w:rPr>
          <w:rStyle w:val="Text4"/>
        </w:rPr>
        <w:t>both</w:t>
      </w:r>
      <w:r>
        <w:t xml:space="preserve"> valid alignment indicators, then the first is used as the fill character and the second is used to set the alignment.</w:t>
      </w:r>
    </w:p>
    <w:p>
      <w:pPr>
        <w:pStyle w:val="Normal"/>
      </w:pPr>
      <w:r>
        <w:t xml:space="preserve">When no alignment is specified, values other than numbers are left-aligned. Unless a field width is specified later in the format specifier (see </w:t>
      </w:r>
      <w:hyperlink w:anchor="Field_width__You_can_specify_the">
        <w:r>
          <w:rPr>
            <w:rStyle w:val="Text1"/>
          </w:rPr>
          <w:t>“Field width”</w:t>
        </w:r>
      </w:hyperlink>
      <w:r>
        <w:t>), no fill characters are added, whatever the fill and alignment may be:</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23"/>
        </w:rPr>
        <w:t xml:space="preserve"> </w:t>
        <w:br w:clear="none"/>
      </w:r>
      <w:r>
        <w:rPr>
          <w:rStyle w:val="Text13"/>
        </w:rPr>
        <w:t xml:space="preserve">=</w:t>
        <w:br w:clear="none"/>
      </w:r>
      <w:r>
        <w:rPr>
          <w:rStyle w:val="Text23"/>
        </w:rPr>
        <w:t xml:space="preserve"> </w:t>
        <w:br w:clear="none"/>
      </w:r>
      <w:r>
        <w:t xml:space="preserve">'a string'</w:t>
        <w:br w:clear="none"/>
      </w: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s</w:t>
        <w:br w:clear="none"/>
      </w:r>
      <w:r>
        <w:rPr>
          <w:rStyle w:val="Text32"/>
        </w:rPr>
        <w:t xml:space="preserve">:</w:t>
        <w:br w:clear="none"/>
      </w:r>
      <w:r>
        <w:t xml:space="preserve">&gt;12s</w:t>
        <w:br w:clear="none"/>
      </w:r>
      <w:r>
        <w:rPr>
          <w:rStyle w:val="Text32"/>
        </w:rPr>
        <w:t xml:space="preserve">}</w:t>
        <w:br w:clear="none"/>
      </w:r>
      <w:r>
        <w:t xml:space="preserve">'</w:t>
        <w:br w:clear="none"/>
      </w:r>
    </w:p>
    <w:p>
      <w:pPr>
        <w:pStyle w:val="Para 008"/>
      </w:pPr>
      <w:r>
        <w:rPr>
          <w:rStyle w:val="Text48"/>
        </w:rPr>
        <w:t xml:space="preserve"/>
        <w:br w:clear="none"/>
      </w:r>
      <w:r>
        <w:t xml:space="preserve">'    a string'</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s</w:t>
        <w:br w:clear="none"/>
      </w:r>
      <w:r>
        <w:rPr>
          <w:rStyle w:val="Text32"/>
        </w:rPr>
        <w:t xml:space="preserve">:</w:t>
        <w:br w:clear="none"/>
      </w:r>
      <w:r>
        <w:t xml:space="preserve">&gt;&gt;12s</w:t>
        <w:br w:clear="none"/>
      </w:r>
      <w:r>
        <w:rPr>
          <w:rStyle w:val="Text32"/>
        </w:rPr>
        <w:t xml:space="preserve">}</w:t>
        <w:br w:clear="none"/>
      </w:r>
      <w:r>
        <w:t xml:space="preserve">'</w:t>
        <w:br w:clear="none"/>
      </w:r>
    </w:p>
    <w:p>
      <w:pPr>
        <w:pStyle w:val="Para 008"/>
      </w:pPr>
      <w:r>
        <w:rPr>
          <w:rStyle w:val="Text48"/>
        </w:rPr>
        <w:t xml:space="preserve"/>
        <w:br w:clear="none"/>
      </w:r>
      <w:r>
        <w:t xml:space="preserve">'&gt;&gt;&gt;&gt;a string'</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s</w:t>
        <w:br w:clear="none"/>
      </w:r>
      <w:r>
        <w:rPr>
          <w:rStyle w:val="Text32"/>
        </w:rPr>
        <w:t xml:space="preserve">:</w:t>
        <w:br w:clear="none"/>
      </w:r>
      <w:r>
        <w:t xml:space="preserve">&gt;&lt;12s</w:t>
        <w:br w:clear="none"/>
      </w:r>
      <w:r>
        <w:rPr>
          <w:rStyle w:val="Text32"/>
        </w:rPr>
        <w:t xml:space="preserve">}</w:t>
        <w:br w:clear="none"/>
      </w:r>
      <w:r>
        <w:t xml:space="preserve">'</w:t>
        <w:br w:clear="none"/>
      </w:r>
    </w:p>
    <w:p>
      <w:pPr>
        <w:pStyle w:val="Para 008"/>
      </w:pPr>
      <w:r>
        <w:rPr>
          <w:rStyle w:val="Text48"/>
        </w:rPr>
        <w:t xml:space="preserve"/>
        <w:br w:clear="none"/>
      </w:r>
      <w:r>
        <w:t xml:space="preserve">'a string&gt;&gt;&gt;&gt;'</w:t>
        <w:br w:clear="none"/>
      </w:r>
    </w:p>
    <w:p>
      <w:bookmarkStart w:id="2325" w:name="Sign_indication__For_numeric_val"/>
      <w:pPr>
        <w:keepNext/>
        <w:pStyle w:val="Heading 2"/>
      </w:pPr>
      <w:r>
        <w:t>Sign indication</w:t>
      </w:r>
      <w:bookmarkEnd w:id="2325"/>
    </w:p>
    <w:p>
      <w:pPr>
        <w:pStyle w:val="Normal"/>
      </w:pPr>
      <w:r>
        <w:t>For</w:t>
      </w:r>
      <w:r>
        <w:rPr>
          <w:rStyle w:val="Text111"/>
        </w:rPr>
        <w:bookmarkStart w:id="2326" w:name="idm45965211147552"/>
        <w:t/>
        <w:bookmarkEnd w:id="2326"/>
        <w:bookmarkStart w:id="2327" w:name="idm45965211146416"/>
        <w:t/>
        <w:bookmarkEnd w:id="2327"/>
        <w:bookmarkStart w:id="2328" w:name="idm45965211145312"/>
        <w:t/>
        <w:bookmarkEnd w:id="2328"/>
        <w:bookmarkStart w:id="2329" w:name="idm45965211144208"/>
        <w:t/>
        <w:bookmarkEnd w:id="2329"/>
      </w:r>
      <w:r>
        <w:t xml:space="preserve"> numeric values only, you can indicate how positive and negative numbers are differentiated by including a sign indicator (see </w:t>
      </w:r>
      <w:hyperlink w:anchor="Table_9_4__Sign_indicators">
        <w:r>
          <w:rPr>
            <w:rStyle w:val="Text1"/>
          </w:rPr>
          <w:t>Table 9-4</w:t>
        </w:r>
      </w:hyperlink>
      <w:r>
        <w:t>).</w:t>
      </w:r>
    </w:p>
    <w:tbl>
      <w:tblPr>
        <w:tblW w:type="auto" w:w="0"/>
      </w:tblPr>
      <w:tr>
        <w:tc>
          <w:tcPr>
            <w:tcW w:type="auto" w:w="0"/>
            <w:tcMar>
              <w:left w:type="dxa" w:w="200"/>
              <w:top w:type="dxa" w:w="200"/>
              <w:right w:type="dxa" w:w="200"/>
              <w:bottom w:type="dxa" w:w="200"/>
            </w:tcMar>
            <w:vAlign w:val="center"/>
          </w:tcPr>
          <w:p>
            <w:bookmarkStart w:id="2330" w:name="Table_9_4__Sign_indicators"/>
            <w:pPr>
              <w:pStyle w:val="Para 011"/>
            </w:pPr>
            <w:r>
              <w:rPr>
                <w:rStyle w:val="Text117"/>
              </w:rPr>
              <w:t/>
            </w:r>
            <w:r>
              <w:t xml:space="preserve">Table 9-4. </w:t>
              <w:t>Sign indicators</w:t>
            </w:r>
            <w:bookmarkEnd w:id="2330"/>
          </w:p>
          <w:p>
            <w:pPr>
              <w:pStyle w:val="Para 013"/>
            </w:pPr>
            <w:r>
              <w:t>Character</w:t>
            </w:r>
          </w:p>
        </w:tc>
        <w:tc>
          <w:tcPr>
            <w:tcW w:type="auto" w:w="0"/>
            <w:tcMar>
              <w:left w:type="dxa" w:w="200"/>
              <w:top w:type="dxa" w:w="200"/>
              <w:right w:type="dxa" w:w="200"/>
              <w:bottom w:type="dxa" w:w="200"/>
            </w:tcMar>
            <w:vAlign w:val="center"/>
          </w:tcPr>
          <w:p>
            <w:pPr>
              <w:pStyle w:val="Para 013"/>
            </w:pPr>
            <w:r>
              <w:t>Significance as sign indicator</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 xml:space="preserve">Insert </w:t>
            </w:r>
            <w:r>
              <w:rPr>
                <w:rStyle w:val="Text0"/>
              </w:rPr>
              <w:t>+</w:t>
            </w:r>
            <w:r>
              <w:t xml:space="preserve"> as sign for positive numbers; </w:t>
            </w:r>
            <w:r>
              <w:rPr>
                <w:rStyle w:val="Text0"/>
              </w:rPr>
              <w:t>-</w:t>
            </w:r>
            <w:r>
              <w:t xml:space="preserve"> as sign for negative numbers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 xml:space="preserve">Insert </w:t>
            </w:r>
            <w:r>
              <w:rPr>
                <w:rStyle w:val="Text0"/>
              </w:rPr>
              <w:t>-</w:t>
            </w:r>
            <w:r>
              <w:t xml:space="preserve"> as sign for negative numbers; do not insert any sign for positive numbers (default behavior if no sign indicator is included)</w:t>
            </w:r>
          </w:p>
        </w:tc>
      </w:tr>
    </w:tbl>
    <w:tbl>
      <w:tblPr>
        <w:tblW w:type="auto" w:w="0"/>
      </w:tblPr>
      <w:tr>
        <w:tc>
          <w:tcPr>
            <w:tcW w:type="auto" w:w="0"/>
            <w:tcMar>
              <w:left w:type="dxa" w:w="200"/>
              <w:top w:type="dxa" w:w="200"/>
              <w:right w:type="dxa" w:w="200"/>
              <w:bottom w:type="dxa" w:w="200"/>
            </w:tcMar>
          </w:tcPr>
          <w:p>
            <w:pPr>
              <w:pStyle w:val="Para 001"/>
            </w:pPr>
            <w:r>
              <w:t>' '</w:t>
            </w:r>
          </w:p>
        </w:tc>
        <w:tc>
          <w:tcPr>
            <w:tcW w:type="auto" w:w="0"/>
            <w:tcMar>
              <w:left w:type="dxa" w:w="200"/>
              <w:top w:type="dxa" w:w="200"/>
              <w:right w:type="dxa" w:w="200"/>
              <w:bottom w:type="dxa" w:w="200"/>
            </w:tcMar>
          </w:tcPr>
          <w:p>
            <w:pPr>
              <w:pStyle w:val="Para 002"/>
            </w:pPr>
            <w:r>
              <w:t xml:space="preserve">Insert a space character as sign for positive numbers; </w:t>
            </w:r>
            <w:r>
              <w:rPr>
                <w:rStyle w:val="Text0"/>
              </w:rPr>
              <w:t>-</w:t>
            </w:r>
            <w:r>
              <w:t xml:space="preserve"> as sign for negative numbers</w:t>
            </w:r>
          </w:p>
        </w:tc>
      </w:tr>
    </w:tbl>
    <w:p>
      <w:pPr>
        <w:pStyle w:val="Normal"/>
      </w:pPr>
      <w:r>
        <w:t xml:space="preserve">The space is the default sign indication. If a fill is specified, it will appear between the sign, if any, and the numerical value; place the sign indicator </w:t>
      </w:r>
      <w:r>
        <w:rPr>
          <w:rStyle w:val="Text4"/>
        </w:rPr>
        <w:t>after</w:t>
      </w:r>
      <w:r>
        <w:t xml:space="preserve"> the </w:t>
      </w:r>
      <w:r>
        <w:rPr>
          <w:rStyle w:val="Text0"/>
        </w:rPr>
        <w:t>=</w:t>
      </w:r>
      <w:r>
        <w:t xml:space="preserve"> to avoid it being used as a fill character:</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w:t>
        <w:br w:clear="none"/>
      </w:r>
      <w:r>
        <w:rPr>
          <w:rStyle w:val="Text11"/>
        </w:rPr>
        <w:t xml:space="preserve"> </w:t>
        <w:br w:clear="none"/>
      </w:r>
      <w:r>
        <w:rPr>
          <w:rStyle w:val="Text28"/>
        </w:rPr>
        <w:t xml:space="preserve">=</w:t>
        <w:br w:clear="none"/>
      </w:r>
      <w:r>
        <w:rPr>
          <w:rStyle w:val="Text11"/>
        </w:rPr>
        <w:t xml:space="preserve"> </w:t>
        <w:br w:clear="none"/>
      </w:r>
      <w:r>
        <w:rPr>
          <w:rStyle w:val="Text28"/>
        </w:rPr>
        <w:t xml:space="preserve">-</w:t>
        <w:br w:clear="none"/>
      </w:r>
      <w:r>
        <w:rPr>
          <w:rStyle w:val="Text35"/>
        </w:rPr>
        <w:t xml:space="preserve">1234</w:t>
        <w:br w:clear="none"/>
      </w:r>
      <w:r>
        <w:rPr>
          <w:rStyle w:val="Text11"/>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r>
      <w:r>
        <w:rPr>
          <w:rStyle w:val="Text64"/>
        </w:rPr>
        <w:t xml:space="preserve">{</w:t>
        <w:br w:clear="none"/>
      </w:r>
      <w:r>
        <w:rPr>
          <w:rStyle w:val="Text14"/>
        </w:rPr>
        <w:t xml:space="preserve">n</w:t>
        <w:br w:clear="none"/>
      </w:r>
      <w:r>
        <w:rPr>
          <w:rStyle w:val="Text64"/>
        </w:rPr>
        <w:t xml:space="preserve">:</w:t>
        <w:br w:clear="none"/>
      </w:r>
      <w:r>
        <w:rPr>
          <w:rStyle w:val="Text17"/>
        </w:rPr>
        <w:t xml:space="preserve">12</w:t>
        <w:br w:clear="none"/>
      </w:r>
      <w:r>
        <w:rPr>
          <w:rStyle w:val="Text64"/>
        </w:rPr>
        <w:t xml:space="preserve">}</w:t>
        <w:br w:clear="none"/>
      </w:r>
      <w:r>
        <w:rPr>
          <w:rStyle w:val="Text17"/>
        </w:rPr>
        <w:t xml:space="preserve">'</w:t>
        <w:br w:clear="none"/>
      </w:r>
      <w:r>
        <w:rPr>
          <w:rStyle w:val="Text11"/>
        </w:rPr>
        <w:t xml:space="preserve">    </w:t>
        <w:br w:clear="none"/>
      </w:r>
      <w:r>
        <w:t xml:space="preserve"># 12 spaces before the number</w:t>
        <w:br w:clear="none"/>
      </w:r>
    </w:p>
    <w:p>
      <w:pPr>
        <w:pStyle w:val="Para 008"/>
      </w:pPr>
      <w:r>
        <w:rPr>
          <w:rStyle w:val="Text48"/>
        </w:rPr>
        <w:t xml:space="preserve"/>
        <w:br w:clear="none"/>
      </w:r>
      <w:r>
        <w:t xml:space="preserve">'       -1234'</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r>
      <w:r>
        <w:rPr>
          <w:rStyle w:val="Text64"/>
        </w:rPr>
        <w:t xml:space="preserve">{</w:t>
        <w:br w:clear="none"/>
      </w:r>
      <w:r>
        <w:rPr>
          <w:rStyle w:val="Text28"/>
        </w:rPr>
        <w:t xml:space="preserve">-</w:t>
        <w:br w:clear="none"/>
      </w:r>
      <w:r>
        <w:rPr>
          <w:rStyle w:val="Text14"/>
        </w:rPr>
        <w:t xml:space="preserve">n</w:t>
        <w:br w:clear="none"/>
      </w:r>
      <w:r>
        <w:rPr>
          <w:rStyle w:val="Text64"/>
        </w:rPr>
        <w:t xml:space="preserve">:</w:t>
        <w:br w:clear="none"/>
      </w:r>
      <w:r>
        <w:rPr>
          <w:rStyle w:val="Text17"/>
        </w:rPr>
        <w:t xml:space="preserve">+12</w:t>
        <w:br w:clear="none"/>
      </w:r>
      <w:r>
        <w:rPr>
          <w:rStyle w:val="Text64"/>
        </w:rPr>
        <w:t xml:space="preserve">}</w:t>
        <w:br w:clear="none"/>
      </w:r>
      <w:r>
        <w:rPr>
          <w:rStyle w:val="Text17"/>
        </w:rPr>
        <w:t xml:space="preserve">'</w:t>
        <w:br w:clear="none"/>
      </w:r>
      <w:r>
        <w:rPr>
          <w:rStyle w:val="Text11"/>
        </w:rPr>
        <w:t xml:space="preserve">  </w:t>
        <w:br w:clear="none"/>
      </w:r>
      <w:r>
        <w:t xml:space="preserve"># - to flip n's sign, + as sign indicator</w:t>
        <w:br w:clear="none"/>
      </w:r>
      <w:r>
        <w:rPr>
          <w:rStyle w:val="Text4"/>
        </w:rPr>
        <w:t xml:space="preserve"> </w:t>
        <w:br w:clear="none"/>
      </w:r>
    </w:p>
    <w:p>
      <w:pPr>
        <w:pStyle w:val="Para 008"/>
      </w:pPr>
      <w:r>
        <w:rPr>
          <w:rStyle w:val="Text48"/>
        </w:rPr>
        <w:t xml:space="preserve"/>
        <w:br w:clear="none"/>
      </w:r>
      <w:r>
        <w:t xml:space="preserve">'       +1234'</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r>
      <w:r>
        <w:rPr>
          <w:rStyle w:val="Text64"/>
        </w:rPr>
        <w:t xml:space="preserve">{</w:t>
        <w:br w:clear="none"/>
      </w:r>
      <w:r>
        <w:rPr>
          <w:rStyle w:val="Text14"/>
        </w:rPr>
        <w:t xml:space="preserve">n</w:t>
        <w:br w:clear="none"/>
      </w:r>
      <w:r>
        <w:rPr>
          <w:rStyle w:val="Text64"/>
        </w:rPr>
        <w:t xml:space="preserve">:</w:t>
        <w:br w:clear="none"/>
      </w:r>
      <w:r>
        <w:rPr>
          <w:rStyle w:val="Text17"/>
        </w:rPr>
        <w:t xml:space="preserve">+=12</w:t>
        <w:br w:clear="none"/>
      </w:r>
      <w:r>
        <w:rPr>
          <w:rStyle w:val="Text64"/>
        </w:rPr>
        <w:t xml:space="preserve">}</w:t>
        <w:br w:clear="none"/>
      </w:r>
      <w:r>
        <w:rPr>
          <w:rStyle w:val="Text17"/>
        </w:rPr>
        <w:t xml:space="preserve">'</w:t>
        <w:br w:clear="none"/>
      </w:r>
      <w:r>
        <w:rPr>
          <w:rStyle w:val="Text11"/>
        </w:rPr>
        <w:t xml:space="preserve">  </w:t>
        <w:br w:clear="none"/>
      </w:r>
      <w:r>
        <w:t xml:space="preserve"># + as fill character between sign and number</w:t>
        <w:br w:clear="none"/>
      </w:r>
    </w:p>
    <w:p>
      <w:pPr>
        <w:pStyle w:val="Para 008"/>
      </w:pPr>
      <w:r>
        <w:rPr>
          <w:rStyle w:val="Text48"/>
        </w:rPr>
        <w:t xml:space="preserve"/>
        <w:br w:clear="none"/>
      </w:r>
      <w:r>
        <w:t xml:space="preserve">'-+++++++1234'</w:t>
        <w:br w:clear="none"/>
      </w:r>
    </w:p>
    <w:p>
      <w:pPr>
        <w:pStyle w:val="Para 014"/>
      </w:pPr>
      <w:r>
        <w:rPr>
          <w:rStyle w:val="Text116"/>
        </w:rPr>
        <w:t xml:space="preserve"/>
        <w:br w:clear="none"/>
      </w:r>
      <w:r>
        <w:t xml:space="preserve"># + as sign indicator, spaces fill between sign and number</w:t>
        <w:br w:clear="none"/>
      </w:r>
      <w:r>
        <w:rPr>
          <w:rStyle w:val="Text11"/>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r>
      <w:r>
        <w:rPr>
          <w:rStyle w:val="Text64"/>
        </w:rPr>
        <w:t xml:space="preserve">{</w:t>
        <w:br w:clear="none"/>
      </w:r>
      <w:r>
        <w:rPr>
          <w:rStyle w:val="Text14"/>
        </w:rPr>
        <w:t xml:space="preserve">n</w:t>
        <w:br w:clear="none"/>
      </w:r>
      <w:r>
        <w:rPr>
          <w:rStyle w:val="Text64"/>
        </w:rPr>
        <w:t xml:space="preserve">:</w:t>
        <w:br w:clear="none"/>
      </w:r>
      <w:r>
        <w:rPr>
          <w:rStyle w:val="Text17"/>
        </w:rPr>
        <w:t xml:space="preserve">=+12</w:t>
        <w:br w:clear="none"/>
      </w:r>
      <w:r>
        <w:rPr>
          <w:rStyle w:val="Text64"/>
        </w:rPr>
        <w:t xml:space="preserve">}</w:t>
        <w:br w:clear="none"/>
      </w:r>
      <w:r>
        <w:rPr>
          <w:rStyle w:val="Text17"/>
        </w:rPr>
        <w:t xml:space="preserve">'</w:t>
        <w:br w:clear="none"/>
      </w:r>
    </w:p>
    <w:p>
      <w:pPr>
        <w:pStyle w:val="Para 008"/>
      </w:pPr>
      <w:r>
        <w:rPr>
          <w:rStyle w:val="Text48"/>
        </w:rPr>
        <w:t xml:space="preserve"/>
        <w:br w:clear="none"/>
      </w:r>
      <w:r>
        <w:t xml:space="preserve">'-       1234'</w:t>
        <w:br w:clear="none"/>
      </w:r>
    </w:p>
    <w:p>
      <w:pPr>
        <w:pStyle w:val="Para 014"/>
      </w:pPr>
      <w:r>
        <w:rPr>
          <w:rStyle w:val="Text116"/>
        </w:rPr>
        <w:t xml:space="preserve"/>
        <w:br w:clear="none"/>
      </w:r>
      <w:r>
        <w:t xml:space="preserve"># * as fill between sign and number, + as sign indicator</w:t>
        <w:br w:clear="none"/>
      </w:r>
      <w:r>
        <w:rPr>
          <w:rStyle w:val="Text11"/>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r>
      <w:r>
        <w:rPr>
          <w:rStyle w:val="Text64"/>
        </w:rPr>
        <w:t xml:space="preserve">{</w:t>
        <w:br w:clear="none"/>
      </w:r>
      <w:r>
        <w:rPr>
          <w:rStyle w:val="Text14"/>
        </w:rPr>
        <w:t xml:space="preserve">n</w:t>
        <w:br w:clear="none"/>
      </w:r>
      <w:r>
        <w:rPr>
          <w:rStyle w:val="Text64"/>
        </w:rPr>
        <w:t xml:space="preserve">:</w:t>
        <w:br w:clear="none"/>
      </w:r>
      <w:r>
        <w:rPr>
          <w:rStyle w:val="Text17"/>
        </w:rPr>
        <w:t xml:space="preserve">*=+12</w:t>
        <w:br w:clear="none"/>
      </w:r>
      <w:r>
        <w:rPr>
          <w:rStyle w:val="Text64"/>
        </w:rPr>
        <w:t xml:space="preserve">}</w:t>
        <w:br w:clear="none"/>
      </w:r>
      <w:r>
        <w:rPr>
          <w:rStyle w:val="Text17"/>
        </w:rPr>
        <w:t xml:space="preserve">'</w:t>
        <w:br w:clear="none"/>
      </w:r>
    </w:p>
    <w:p>
      <w:pPr>
        <w:pStyle w:val="Para 008"/>
      </w:pPr>
      <w:r>
        <w:rPr>
          <w:rStyle w:val="Text48"/>
        </w:rPr>
        <w:t xml:space="preserve"/>
        <w:br w:clear="none"/>
      </w:r>
      <w:r>
        <w:t xml:space="preserve">'-*******1234'</w:t>
        <w:br w:clear="none"/>
      </w:r>
    </w:p>
    <w:p>
      <w:bookmarkStart w:id="2331" w:name="Zero_normalization__z___3_11__So"/>
      <w:pPr>
        <w:keepNext/>
        <w:pStyle w:val="Heading 2"/>
      </w:pPr>
      <w:r>
        <w:t>Zero normalization (z)</w:t>
      </w:r>
      <w:bookmarkEnd w:id="2331"/>
    </w:p>
    <w:p>
      <w:pPr>
        <w:pStyle w:val="Normal"/>
      </w:pPr>
      <w:r>
        <w:rPr>
          <w:rStyle w:val="Text34"/>
        </w:rPr>
        <w:t>3.11+</w:t>
      </w:r>
      <w:r>
        <w:t xml:space="preserve"> Some</w:t>
      </w:r>
      <w:r>
        <w:rPr>
          <w:rStyle w:val="Text111"/>
        </w:rPr>
        <w:bookmarkStart w:id="2332" w:name="idm45965210952976"/>
        <w:t/>
        <w:bookmarkEnd w:id="2332"/>
        <w:bookmarkStart w:id="2333" w:name="idm45965210951872"/>
        <w:t/>
        <w:bookmarkEnd w:id="2333"/>
        <w:bookmarkStart w:id="2334" w:name="idm45965210950768"/>
        <w:t/>
        <w:bookmarkEnd w:id="2334"/>
      </w:r>
      <w:r>
        <w:t xml:space="preserve"> numeric formats are capable of representing a negative zero, which is often a surprising and unwelcome result. Such negative zeros will be normalized to positive zeros when a </w:t>
      </w:r>
      <w:r>
        <w:rPr>
          <w:rStyle w:val="Text0"/>
        </w:rPr>
        <w:t>z</w:t>
      </w:r>
      <w:r>
        <w:t xml:space="preserve"> character appears in this position in the format specifier:</w:t>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x</w:t>
        <w:br w:clear="none"/>
      </w:r>
      <w:r>
        <w:rPr>
          <w:rStyle w:val="Text23"/>
        </w:rPr>
        <w:t xml:space="preserve"> </w:t>
        <w:br w:clear="none"/>
      </w:r>
      <w:r>
        <w:t xml:space="preserve">=</w:t>
        <w:br w:clear="none"/>
      </w:r>
      <w:r>
        <w:rPr>
          <w:rStyle w:val="Text23"/>
        </w:rPr>
        <w:t xml:space="preserve"> </w:t>
        <w:br w:clear="none"/>
      </w:r>
      <w:r>
        <w:t xml:space="preserve">-</w:t>
        <w:br w:clear="none"/>
      </w:r>
      <w:r>
        <w:rPr>
          <w:rStyle w:val="Text27"/>
        </w:rPr>
        <w:t xml:space="preserve">0.001</w:t>
        <w:br w:clear="none"/>
      </w:r>
      <w:r>
        <w:rPr>
          <w:rStyle w:val="Text23"/>
        </w:rPr>
        <w:t xml:space="preserve"/>
        <w:br w:clear="none"/>
      </w:r>
      <w:r>
        <w:t xml:space="preserve">&gt;&gt;&gt;</w:t>
        <w:br w:clear="none"/>
      </w:r>
      <w:r>
        <w:rPr>
          <w:rStyle w:val="Text23"/>
        </w:rPr>
        <w:t xml:space="preserve"> </w:t>
        <w:br w:clear="none"/>
      </w:r>
      <w:r>
        <w:rPr>
          <w:rStyle w:val="Text6"/>
        </w:rPr>
        <w:t xml:space="preserve">f</w:t>
        <w:br w:clear="none"/>
      </w:r>
      <w:r>
        <w:rPr>
          <w:rStyle w:val="Text8"/>
        </w:rPr>
        <w:t xml:space="preserve">'</w:t>
        <w:br w:clear="none"/>
      </w:r>
      <w:r>
        <w:rPr>
          <w:rStyle w:val="Text32"/>
        </w:rPr>
        <w:t xml:space="preserve">{</w:t>
        <w:br w:clear="none"/>
      </w:r>
      <w:r>
        <w:rPr>
          <w:rStyle w:val="Text9"/>
        </w:rPr>
        <w:t xml:space="preserve">x</w:t>
        <w:br w:clear="none"/>
      </w:r>
      <w:r>
        <w:rPr>
          <w:rStyle w:val="Text32"/>
        </w:rPr>
        <w:t xml:space="preserve">:</w:t>
        <w:br w:clear="none"/>
      </w:r>
      <w:r>
        <w:rPr>
          <w:rStyle w:val="Text8"/>
        </w:rPr>
        <w:t xml:space="preserve">.1f</w:t>
        <w:br w:clear="none"/>
      </w:r>
      <w:r>
        <w:rPr>
          <w:rStyle w:val="Text32"/>
        </w:rPr>
        <w:t xml:space="preserve">}</w:t>
        <w:br w:clear="none"/>
      </w:r>
      <w:r>
        <w:rPr>
          <w:rStyle w:val="Text8"/>
        </w:rPr>
        <w:t xml:space="preserve">'</w:t>
        <w:br w:clear="none"/>
      </w:r>
    </w:p>
    <w:p>
      <w:pPr>
        <w:pStyle w:val="Para 008"/>
      </w:pPr>
      <w:r>
        <w:rPr>
          <w:rStyle w:val="Text48"/>
        </w:rPr>
        <w:t xml:space="preserve"/>
        <w:br w:clear="none"/>
      </w:r>
      <w:r>
        <w:t xml:space="preserve">'-0.0'</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x</w:t>
        <w:br w:clear="none"/>
      </w:r>
      <w:r>
        <w:rPr>
          <w:rStyle w:val="Text32"/>
        </w:rPr>
        <w:t xml:space="preserve">:</w:t>
        <w:br w:clear="none"/>
      </w:r>
      <w:r>
        <w:t xml:space="preserve">z.1f</w:t>
        <w:br w:clear="none"/>
      </w:r>
      <w:r>
        <w:rPr>
          <w:rStyle w:val="Text32"/>
        </w:rPr>
        <w:t xml:space="preserve">}</w:t>
        <w:br w:clear="none"/>
      </w:r>
      <w:r>
        <w:t xml:space="preserve">'</w:t>
        <w:br w:clear="none"/>
      </w:r>
    </w:p>
    <w:p>
      <w:pPr>
        <w:pStyle w:val="Para 008"/>
      </w:pPr>
      <w:r>
        <w:rPr>
          <w:rStyle w:val="Text48"/>
        </w:rPr>
        <w:t xml:space="preserve"/>
        <w:br w:clear="none"/>
      </w:r>
      <w:r>
        <w:t xml:space="preserve">'0.0'</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x</w:t>
        <w:br w:clear="none"/>
      </w:r>
      <w:r>
        <w:rPr>
          <w:rStyle w:val="Text32"/>
        </w:rPr>
        <w:t xml:space="preserve">:</w:t>
        <w:br w:clear="none"/>
      </w:r>
      <w:r>
        <w:t xml:space="preserve">+z.1f</w:t>
        <w:br w:clear="none"/>
      </w:r>
      <w:r>
        <w:rPr>
          <w:rStyle w:val="Text32"/>
        </w:rPr>
        <w:t xml:space="preserve">}</w:t>
        <w:br w:clear="none"/>
      </w:r>
      <w:r>
        <w:t xml:space="preserve">'</w:t>
        <w:br w:clear="none"/>
      </w:r>
    </w:p>
    <w:p>
      <w:pPr>
        <w:pStyle w:val="Para 008"/>
      </w:pPr>
      <w:r>
        <w:rPr>
          <w:rStyle w:val="Text48"/>
        </w:rPr>
        <w:t xml:space="preserve"/>
        <w:br w:clear="none"/>
      </w:r>
      <w:r>
        <w:t xml:space="preserve">'+0.0'</w:t>
        <w:br w:clear="none"/>
      </w:r>
    </w:p>
    <w:p>
      <w:bookmarkStart w:id="2335" w:name="Radix_indicator______For_numeric"/>
      <w:pPr>
        <w:keepNext/>
        <w:pStyle w:val="Heading 2"/>
      </w:pPr>
      <w:r>
        <w:t>Radix indicator (#)</w:t>
      </w:r>
      <w:bookmarkEnd w:id="2335"/>
    </w:p>
    <w:p>
      <w:pPr>
        <w:pStyle w:val="Normal"/>
      </w:pPr>
      <w:r>
        <w:t>For</w:t>
      </w:r>
      <w:r>
        <w:rPr>
          <w:rStyle w:val="Text111"/>
        </w:rPr>
        <w:bookmarkStart w:id="2336" w:name="idm45965210863104"/>
        <w:t/>
        <w:bookmarkEnd w:id="2336"/>
        <w:bookmarkStart w:id="2337" w:name="idm45965210845536"/>
        <w:t/>
        <w:bookmarkEnd w:id="2337"/>
      </w:r>
      <w:r>
        <w:t xml:space="preserve"> numeric </w:t>
      </w:r>
      <w:r>
        <w:rPr>
          <w:rStyle w:val="Text4"/>
        </w:rPr>
        <w:t>integer</w:t>
      </w:r>
      <w:r>
        <w:t xml:space="preserve"> formats only, you can include a radix indicator, the </w:t>
      </w:r>
      <w:r>
        <w:rPr>
          <w:rStyle w:val="Text0"/>
        </w:rPr>
        <w:t>#</w:t>
      </w:r>
      <w:r>
        <w:t xml:space="preserve"> character. If present, this indicates that the digits of binary-formatted numbers should be preceded by </w:t>
      </w:r>
      <w:r>
        <w:rPr>
          <w:rStyle w:val="Text0"/>
        </w:rPr>
        <w:t>'0b'</w:t>
      </w:r>
      <w:r>
        <w:t xml:space="preserve">, those of octal-formatted numbers by </w:t>
      </w:r>
      <w:r>
        <w:rPr>
          <w:rStyle w:val="Text0"/>
        </w:rPr>
        <w:t>'0o'</w:t>
      </w:r>
      <w:r>
        <w:t xml:space="preserve">, and those of hexadecimal-formatted numbers by </w:t>
      </w:r>
      <w:r>
        <w:rPr>
          <w:rStyle w:val="Text0"/>
        </w:rPr>
        <w:t>'0x'</w:t>
      </w:r>
      <w:r>
        <w:t xml:space="preserve">. For example, </w:t>
      </w:r>
      <w:r>
        <w:rPr>
          <w:rStyle w:val="Text0"/>
        </w:rPr>
        <w:t>'{23:x}'</w:t>
      </w:r>
      <w:r>
        <w:t xml:space="preserve"> is </w:t>
      </w:r>
      <w:r>
        <w:rPr>
          <w:rStyle w:val="Text0"/>
        </w:rPr>
        <w:t>'17'</w:t>
      </w:r>
      <w:r>
        <w:t xml:space="preserve">, while </w:t>
      </w:r>
      <w:r>
        <w:rPr>
          <w:rStyle w:val="Text0"/>
        </w:rPr>
        <w:t>'{23:#x}'</w:t>
      </w:r>
      <w:r>
        <w:t xml:space="preserve"> is </w:t>
      </w:r>
      <w:r>
        <w:rPr>
          <w:rStyle w:val="Text0"/>
        </w:rPr>
        <w:t>'0x17'</w:t>
      </w:r>
      <w:r>
        <w:t>, clearly identifying the value as hexadecimal.</w:t>
      </w:r>
    </w:p>
    <w:p>
      <w:bookmarkStart w:id="2338" w:name="Leading_zero_indicator__0___For"/>
      <w:pPr>
        <w:keepNext/>
        <w:pStyle w:val="Heading 2"/>
      </w:pPr>
      <w:r>
        <w:t>Leading zero indicator (0)</w:t>
      </w:r>
      <w:bookmarkEnd w:id="2338"/>
    </w:p>
    <w:p>
      <w:pPr>
        <w:pStyle w:val="Normal"/>
      </w:pPr>
      <w:r>
        <w:t>For</w:t>
      </w:r>
      <w:r>
        <w:rPr>
          <w:rStyle w:val="Text111"/>
        </w:rPr>
        <w:bookmarkStart w:id="2339" w:name="idm45965210817152"/>
        <w:t/>
        <w:bookmarkEnd w:id="2339"/>
        <w:bookmarkStart w:id="2340" w:name="idm45965210816176"/>
        <w:t/>
        <w:bookmarkEnd w:id="2340"/>
      </w:r>
      <w:r>
        <w:t xml:space="preserve"> </w:t>
      </w:r>
      <w:r>
        <w:rPr>
          <w:rStyle w:val="Text4"/>
        </w:rPr>
        <w:t>numeric types only</w:t>
      </w:r>
      <w:r>
        <w:t>, when the field width starts with a zero, the numeric value will be padded with leading zeros rather than leading spaces:</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13"/>
        </w:rPr>
        <w:t xml:space="preserve">-</w:t>
        <w:br w:clear="none"/>
      </w:r>
      <w:r>
        <w:rPr>
          <w:rStyle w:val="Text27"/>
        </w:rPr>
        <w:t xml:space="preserve">3.1314</w:t>
        <w:br w:clear="none"/>
      </w:r>
      <w:r>
        <w:rPr>
          <w:rStyle w:val="Text32"/>
        </w:rPr>
        <w:t xml:space="preserve">:</w:t>
        <w:br w:clear="none"/>
      </w:r>
      <w:r>
        <w:t xml:space="preserve">12.2f</w:t>
        <w:br w:clear="none"/>
      </w:r>
      <w:r>
        <w:rPr>
          <w:rStyle w:val="Text32"/>
        </w:rPr>
        <w:t xml:space="preserve">}</w:t>
        <w:br w:clear="none"/>
      </w:r>
      <w:r>
        <w:t xml:space="preserve">"</w:t>
        <w:br w:clear="none"/>
      </w:r>
    </w:p>
    <w:p>
      <w:pPr>
        <w:pStyle w:val="Para 008"/>
      </w:pPr>
      <w:r>
        <w:rPr>
          <w:rStyle w:val="Text48"/>
        </w:rPr>
        <w:t xml:space="preserve"/>
        <w:br w:clear="none"/>
      </w:r>
      <w:r>
        <w:t xml:space="preserve">'       -3.13'</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13"/>
        </w:rPr>
        <w:t xml:space="preserve">-</w:t>
        <w:br w:clear="none"/>
      </w:r>
      <w:r>
        <w:rPr>
          <w:rStyle w:val="Text27"/>
        </w:rPr>
        <w:t xml:space="preserve">3.1314</w:t>
        <w:br w:clear="none"/>
      </w:r>
      <w:r>
        <w:rPr>
          <w:rStyle w:val="Text32"/>
        </w:rPr>
        <w:t xml:space="preserve">:</w:t>
        <w:br w:clear="none"/>
      </w:r>
      <w:r>
        <w:t xml:space="preserve">012.2f</w:t>
        <w:br w:clear="none"/>
      </w:r>
      <w:r>
        <w:rPr>
          <w:rStyle w:val="Text32"/>
        </w:rPr>
        <w:t xml:space="preserve">}</w:t>
        <w:br w:clear="none"/>
      </w:r>
      <w:r>
        <w:t xml:space="preserve">"</w:t>
        <w:br w:clear="none"/>
      </w:r>
    </w:p>
    <w:p>
      <w:pPr>
        <w:pStyle w:val="Para 008"/>
      </w:pPr>
      <w:r>
        <w:rPr>
          <w:rStyle w:val="Text48"/>
        </w:rPr>
        <w:t xml:space="preserve"/>
        <w:br w:clear="none"/>
      </w:r>
      <w:r>
        <w:t xml:space="preserve">'-00000003.13'</w:t>
        <w:br w:clear="none"/>
      </w:r>
    </w:p>
    <w:p>
      <w:bookmarkStart w:id="2341" w:name="Field_width__You_can_specify_the"/>
      <w:pPr>
        <w:keepNext/>
        <w:pStyle w:val="Heading 2"/>
      </w:pPr>
      <w:r>
        <w:t>Field width</w:t>
      </w:r>
      <w:bookmarkEnd w:id="2341"/>
    </w:p>
    <w:p>
      <w:pPr>
        <w:pStyle w:val="Normal"/>
      </w:pPr>
      <w:r>
        <w:t>You</w:t>
      </w:r>
      <w:r>
        <w:rPr>
          <w:rStyle w:val="Text111"/>
        </w:rPr>
        <w:bookmarkStart w:id="2342" w:name="idm45965210771296"/>
        <w:t/>
        <w:bookmarkEnd w:id="2342"/>
      </w:r>
      <w:r>
        <w:t xml:space="preserve"> can specify the width of the field to be printed. If the width specified is less than the length of the value, the length of the value is used (but for string values, see the upcoming section </w:t>
      </w:r>
      <w:hyperlink w:anchor="Precision_specification__The_pre">
        <w:r>
          <w:rPr>
            <w:rStyle w:val="Text1"/>
          </w:rPr>
          <w:t>“Precision specification”</w:t>
        </w:r>
      </w:hyperlink>
      <w:r>
        <w:t>). If alignment is not specified, the value is left justified (except for numbers, which are right justified):</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23"/>
        </w:rPr>
        <w:t xml:space="preserve"> </w:t>
        <w:br w:clear="none"/>
      </w:r>
      <w:r>
        <w:rPr>
          <w:rStyle w:val="Text13"/>
        </w:rPr>
        <w:t xml:space="preserve">=</w:t>
        <w:br w:clear="none"/>
      </w:r>
      <w:r>
        <w:rPr>
          <w:rStyle w:val="Text23"/>
        </w:rPr>
        <w:t xml:space="preserve"> </w:t>
        <w:br w:clear="none"/>
      </w:r>
      <w:r>
        <w:t xml:space="preserve">'a string'</w:t>
        <w:br w:clear="none"/>
      </w: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s</w:t>
        <w:br w:clear="none"/>
      </w:r>
      <w:r>
        <w:rPr>
          <w:rStyle w:val="Text32"/>
        </w:rPr>
        <w:t xml:space="preserve">:</w:t>
        <w:br w:clear="none"/>
      </w:r>
      <w:r>
        <w:t xml:space="preserve">^12s</w:t>
        <w:br w:clear="none"/>
      </w:r>
      <w:r>
        <w:rPr>
          <w:rStyle w:val="Text32"/>
        </w:rPr>
        <w:t xml:space="preserve">}</w:t>
        <w:br w:clear="none"/>
      </w:r>
      <w:r>
        <w:t xml:space="preserve">'</w:t>
        <w:br w:clear="none"/>
      </w:r>
    </w:p>
    <w:p>
      <w:pPr>
        <w:pStyle w:val="Para 008"/>
      </w:pPr>
      <w:r>
        <w:rPr>
          <w:rStyle w:val="Text48"/>
        </w:rPr>
        <w:t xml:space="preserve"/>
        <w:br w:clear="none"/>
      </w:r>
      <w:r>
        <w:t xml:space="preserve">'  a string  '</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s</w:t>
        <w:br w:clear="none"/>
      </w:r>
      <w:r>
        <w:rPr>
          <w:rStyle w:val="Text32"/>
        </w:rPr>
        <w:t xml:space="preserve">:</w:t>
        <w:br w:clear="none"/>
      </w:r>
      <w:r>
        <w:t xml:space="preserve">.&gt;12s</w:t>
        <w:br w:clear="none"/>
      </w:r>
      <w:r>
        <w:rPr>
          <w:rStyle w:val="Text32"/>
        </w:rPr>
        <w:t xml:space="preserve">}</w:t>
        <w:br w:clear="none"/>
      </w:r>
      <w:r>
        <w:t xml:space="preserve">'</w:t>
        <w:br w:clear="none"/>
      </w:r>
    </w:p>
    <w:p>
      <w:pPr>
        <w:pStyle w:val="Para 008"/>
      </w:pPr>
      <w:r>
        <w:rPr>
          <w:rStyle w:val="Text48"/>
        </w:rPr>
        <w:t xml:space="preserve"/>
        <w:br w:clear="none"/>
      </w:r>
      <w:r>
        <w:t xml:space="preserve">'....a string'</w:t>
        <w:br w:clear="none"/>
      </w:r>
    </w:p>
    <w:p>
      <w:pPr>
        <w:pStyle w:val="Normal"/>
      </w:pPr>
      <w:r>
        <w:t xml:space="preserve">Using nested braces, when calling the </w:t>
      </w:r>
      <w:r>
        <w:rPr>
          <w:rStyle w:val="Text0"/>
        </w:rPr>
        <w:t>format</w:t>
      </w:r>
      <w:r>
        <w:t xml:space="preserve"> method, the field width can be a format argument too:</w:t>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'{:.&gt;</w:t>
        <w:br w:clear="none"/>
      </w:r>
      <w:r>
        <w:rPr>
          <w:rStyle w:val="Text32"/>
        </w:rPr>
        <w:t xml:space="preserve">{}</w:t>
        <w:br w:clear="none"/>
      </w:r>
      <w:r>
        <w:t xml:space="preserve">s}'</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s</w:t>
        <w:br w:clear="none"/>
      </w:r>
      <w:r>
        <w:rPr>
          <w:rStyle w:val="Text7"/>
        </w:rPr>
        <w:t xml:space="preserve">,</w:t>
        <w:br w:clear="none"/>
      </w:r>
      <w:r>
        <w:rPr>
          <w:rStyle w:val="Text23"/>
        </w:rPr>
        <w:t xml:space="preserve"> </w:t>
        <w:br w:clear="none"/>
      </w:r>
      <w:r>
        <w:rPr>
          <w:rStyle w:val="Text27"/>
        </w:rPr>
        <w:t xml:space="preserve">20</w:t>
        <w:br w:clear="none"/>
      </w:r>
      <w:r>
        <w:rPr>
          <w:rStyle w:val="Text7"/>
        </w:rPr>
        <w:t xml:space="preserve">)</w:t>
        <w:br w:clear="none"/>
      </w:r>
    </w:p>
    <w:p>
      <w:pPr>
        <w:pStyle w:val="Para 008"/>
      </w:pPr>
      <w:r>
        <w:rPr>
          <w:rStyle w:val="Text48"/>
        </w:rPr>
        <w:t xml:space="preserve"/>
        <w:br w:clear="none"/>
      </w:r>
      <w:r>
        <w:t xml:space="preserve">'............a string'</w:t>
        <w:br w:clear="none"/>
      </w:r>
    </w:p>
    <w:p>
      <w:pPr>
        <w:pStyle w:val="Normal"/>
      </w:pPr>
      <w:r>
        <w:t xml:space="preserve">See </w:t>
      </w:r>
      <w:hyperlink w:anchor="Nested_Format_Specifications__In">
        <w:r>
          <w:rPr>
            <w:rStyle w:val="Text1"/>
          </w:rPr>
          <w:t>“Nested Format Specifications”</w:t>
        </w:r>
      </w:hyperlink>
      <w:r>
        <w:t xml:space="preserve"> for a fuller discussion of this technique.</w:t>
      </w:r>
    </w:p>
    <w:p>
      <w:bookmarkStart w:id="2343" w:name="Grouping_option__For_numeric_val"/>
      <w:pPr>
        <w:keepNext/>
        <w:pStyle w:val="Heading 2"/>
      </w:pPr>
      <w:r>
        <w:t>Grouping option</w:t>
      </w:r>
      <w:bookmarkEnd w:id="2343"/>
    </w:p>
    <w:p>
      <w:pPr>
        <w:pStyle w:val="Normal"/>
      </w:pPr>
      <w:r>
        <w:t>For</w:t>
      </w:r>
      <w:r>
        <w:rPr>
          <w:rStyle w:val="Text111"/>
        </w:rPr>
        <w:bookmarkStart w:id="2344" w:name="idm45965210653584"/>
        <w:t/>
        <w:bookmarkEnd w:id="2344"/>
      </w:r>
      <w:r>
        <w:t xml:space="preserve"> numeric values in the decimal (default) format type, you can insert either a comma (</w:t>
      </w:r>
      <w:r>
        <w:rPr>
          <w:rStyle w:val="Text37"/>
        </w:rPr>
        <w:t>,</w:t>
      </w:r>
      <w:r>
        <w:t>) or an underscore (</w:t>
      </w:r>
      <w:r>
        <w:rPr>
          <w:rStyle w:val="Text37"/>
        </w:rPr>
        <w:t>_</w:t>
      </w:r>
      <w:r>
        <w:t>) to request that each group of</w:t>
      </w:r>
      <w:r>
        <w:rPr>
          <w:rStyle w:val="Text111"/>
        </w:rPr>
        <w:bookmarkStart w:id="2345" w:name="idm45965210651568"/>
        <w:t/>
        <w:bookmarkEnd w:id="2345"/>
      </w:r>
      <w:r>
        <w:t xml:space="preserve"> three digits (</w:t>
      </w:r>
      <w:r>
        <w:rPr>
          <w:rStyle w:val="Text4"/>
        </w:rPr>
        <w:t>digit group</w:t>
      </w:r>
      <w:r>
        <w:t>) in the integer portion of the result be separated by that character. For example:</w:t>
      </w:r>
    </w:p>
    <w:p>
      <w:pPr>
        <w:pStyle w:val="Para 061"/>
      </w:pPr>
      <w:r>
        <w:rPr>
          <w:rStyle w:val="Text23"/>
        </w:rPr>
        <w:t xml:space="preserve"/>
        <w:br w:clear="none"/>
      </w:r>
      <w:r>
        <w:rPr>
          <w:rStyle w:val="Text13"/>
        </w:rPr>
        <w:t xml:space="preserve">&gt;&gt;&gt;</w:t>
        <w:br w:clear="none"/>
      </w:r>
      <w:r>
        <w:rPr>
          <w:rStyle w:val="Text23"/>
        </w:rPr>
        <w:t xml:space="preserve"> </w:t>
        <w:br w:clear="none"/>
      </w:r>
      <w:r>
        <w:rPr>
          <w:rStyle w:val="Text6"/>
        </w:rPr>
        <w:t xml:space="preserve">f</w:t>
        <w:br w:clear="none"/>
      </w:r>
      <w:r>
        <w:rPr>
          <w:rStyle w:val="Text8"/>
        </w:rPr>
        <w:t xml:space="preserve">'</w:t>
        <w:br w:clear="none"/>
      </w:r>
      <w:r>
        <w:rPr>
          <w:rStyle w:val="Text32"/>
        </w:rPr>
        <w:t xml:space="preserve">{</w:t>
        <w:br w:clear="none"/>
      </w:r>
      <w:r>
        <w:t xml:space="preserve">12345678.9</w:t>
        <w:br w:clear="none"/>
      </w:r>
      <w:r>
        <w:rPr>
          <w:rStyle w:val="Text32"/>
        </w:rPr>
        <w:t xml:space="preserve">:</w:t>
        <w:br w:clear="none"/>
      </w:r>
      <w:r>
        <w:rPr>
          <w:rStyle w:val="Text8"/>
        </w:rPr>
        <w:t xml:space="preserve">,</w:t>
        <w:br w:clear="none"/>
      </w:r>
      <w:r>
        <w:rPr>
          <w:rStyle w:val="Text32"/>
        </w:rPr>
        <w:t xml:space="preserve">}</w:t>
        <w:br w:clear="none"/>
      </w:r>
      <w:r>
        <w:rPr>
          <w:rStyle w:val="Text8"/>
        </w:rPr>
        <w:t xml:space="preserve">'</w:t>
        <w:br w:clear="none"/>
      </w:r>
    </w:p>
    <w:p>
      <w:pPr>
        <w:pStyle w:val="Para 008"/>
      </w:pPr>
      <w:r>
        <w:rPr>
          <w:rStyle w:val="Text48"/>
        </w:rPr>
        <w:t xml:space="preserve"/>
        <w:br w:clear="none"/>
      </w:r>
      <w:r>
        <w:t xml:space="preserve">'12,345,678.9'</w:t>
        <w:br w:clear="none"/>
      </w:r>
    </w:p>
    <w:p>
      <w:pPr>
        <w:pStyle w:val="Normal"/>
      </w:pPr>
      <w:r>
        <w:t xml:space="preserve">This behavior ignores system locale; for a locale-aware use of digit grouping and decimal point character, see format type </w:t>
      </w:r>
      <w:r>
        <w:rPr>
          <w:rStyle w:val="Text0"/>
        </w:rPr>
        <w:t>n</w:t>
      </w:r>
      <w:r>
        <w:t xml:space="preserve"> in </w:t>
      </w:r>
      <w:hyperlink w:anchor="Table_9_5__Integer_format_types">
        <w:r>
          <w:rPr>
            <w:rStyle w:val="Text1"/>
          </w:rPr>
          <w:t>Table 9-5</w:t>
        </w:r>
      </w:hyperlink>
      <w:r>
        <w:t>.</w:t>
      </w:r>
    </w:p>
    <w:p>
      <w:bookmarkStart w:id="2346" w:name="Precision_specification__The_pre"/>
      <w:pPr>
        <w:keepNext/>
        <w:pStyle w:val="Heading 2"/>
      </w:pPr>
      <w:r>
        <w:t>Precision specification</w:t>
      </w:r>
      <w:bookmarkEnd w:id="2346"/>
    </w:p>
    <w:p>
      <w:pPr>
        <w:pStyle w:val="Normal"/>
      </w:pPr>
      <w:r>
        <w:t>The</w:t>
      </w:r>
      <w:r>
        <w:rPr>
          <w:rStyle w:val="Text111"/>
        </w:rPr>
        <w:bookmarkStart w:id="2347" w:name="idm45965210621920"/>
        <w:t/>
        <w:bookmarkEnd w:id="2347"/>
      </w:r>
      <w:r>
        <w:t xml:space="preserve"> precision (e.g., </w:t>
      </w:r>
      <w:r>
        <w:rPr>
          <w:rStyle w:val="Text0"/>
        </w:rPr>
        <w:t>.2</w:t>
      </w:r>
      <w:r>
        <w:t xml:space="preserve">) has different meanings for different format types (see the following subsection for details), with </w:t>
      </w:r>
      <w:r>
        <w:rPr>
          <w:rStyle w:val="Text0"/>
        </w:rPr>
        <w:t>.6</w:t>
      </w:r>
      <w:r>
        <w:t xml:space="preserve"> as the default for most numeric formats. For the </w:t>
      </w:r>
      <w:r>
        <w:rPr>
          <w:rStyle w:val="Text0"/>
        </w:rPr>
        <w:t>f</w:t>
      </w:r>
      <w:r>
        <w:t xml:space="preserve"> and </w:t>
      </w:r>
      <w:r>
        <w:rPr>
          <w:rStyle w:val="Text0"/>
        </w:rPr>
        <w:t>F</w:t>
      </w:r>
      <w:r>
        <w:t xml:space="preserve"> format types, it specifies the number of digits following the decimal point to which the value should be rounded in formatting; for the </w:t>
      </w:r>
      <w:r>
        <w:rPr>
          <w:rStyle w:val="Text0"/>
        </w:rPr>
        <w:t>g</w:t>
      </w:r>
      <w:r>
        <w:t xml:space="preserve"> and </w:t>
      </w:r>
      <w:r>
        <w:rPr>
          <w:rStyle w:val="Text0"/>
        </w:rPr>
        <w:t>G</w:t>
      </w:r>
      <w:r>
        <w:t xml:space="preserve"> format types, it specifies the number of </w:t>
      </w:r>
      <w:r>
        <w:rPr>
          <w:rStyle w:val="Text111"/>
        </w:rPr>
        <w:bookmarkStart w:id="2348" w:name="idm45965210596528"/>
        <w:t/>
        <w:bookmarkEnd w:id="2348"/>
      </w:r>
      <w:r>
        <w:rPr>
          <w:rStyle w:val="Text4"/>
        </w:rPr>
        <w:t>significant</w:t>
      </w:r>
      <w:r>
        <w:t xml:space="preserve"> digits to which the value should</w:t>
      </w:r>
      <w:r>
        <w:rPr>
          <w:rStyle w:val="Text111"/>
        </w:rPr>
        <w:bookmarkStart w:id="2349" w:name="idm45965210595168"/>
        <w:t/>
        <w:bookmarkEnd w:id="2349"/>
      </w:r>
      <w:r>
        <w:t xml:space="preserve"> be </w:t>
      </w:r>
      <w:r>
        <w:rPr>
          <w:rStyle w:val="Text4"/>
        </w:rPr>
        <w:t>rounded</w:t>
      </w:r>
      <w:r>
        <w:t>; for nonnumeric values, it specifies</w:t>
      </w:r>
      <w:r>
        <w:rPr>
          <w:rStyle w:val="Text111"/>
        </w:rPr>
        <w:bookmarkStart w:id="2350" w:name="idm45965210593680"/>
        <w:t/>
        <w:bookmarkEnd w:id="2350"/>
      </w:r>
      <w:r>
        <w:t xml:space="preserve"> </w:t>
      </w:r>
      <w:r>
        <w:rPr>
          <w:rStyle w:val="Text4"/>
        </w:rPr>
        <w:t>truncation</w:t>
      </w:r>
      <w:r>
        <w:t xml:space="preserve"> of the value to its leftmost characters before formatting. For example:</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1.12345</w:t>
        <w:br w:clear="none"/>
      </w:r>
      <w:r>
        <w:rPr>
          <w:rStyle w:val="Text11"/>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t xml:space="preserve">as f: </w:t>
        <w:br w:clear="none"/>
      </w:r>
      <w:r>
        <w:rPr>
          <w:rStyle w:val="Text64"/>
        </w:rPr>
        <w:t xml:space="preserve">{</w:t>
        <w:br w:clear="none"/>
      </w:r>
      <w:r>
        <w:rPr>
          <w:rStyle w:val="Text14"/>
        </w:rPr>
        <w:t xml:space="preserve">x</w:t>
        <w:br w:clear="none"/>
      </w:r>
      <w:r>
        <w:rPr>
          <w:rStyle w:val="Text64"/>
        </w:rPr>
        <w:t xml:space="preserve">:</w:t>
        <w:br w:clear="none"/>
      </w:r>
      <w:r>
        <w:rPr>
          <w:rStyle w:val="Text17"/>
        </w:rPr>
        <w:t xml:space="preserve">.4f</w:t>
        <w:br w:clear="none"/>
      </w:r>
      <w:r>
        <w:rPr>
          <w:rStyle w:val="Text64"/>
        </w:rPr>
        <w:t xml:space="preserve">}</w:t>
        <w:br w:clear="none"/>
      </w:r>
      <w:r>
        <w:rPr>
          <w:rStyle w:val="Text17"/>
        </w:rPr>
        <w:t xml:space="preserve">'</w:t>
        <w:br w:clear="none"/>
      </w:r>
      <w:r>
        <w:rPr>
          <w:rStyle w:val="Text11"/>
        </w:rPr>
        <w:t xml:space="preserve">  </w:t>
        <w:br w:clear="none"/>
      </w:r>
      <w:r>
        <w:t xml:space="preserve"># rounds to 4 digits after decimal point</w:t>
        <w:br w:clear="none"/>
      </w:r>
    </w:p>
    <w:p>
      <w:pPr>
        <w:pStyle w:val="Para 008"/>
      </w:pPr>
      <w:r>
        <w:rPr>
          <w:rStyle w:val="Text48"/>
        </w:rPr>
        <w:t xml:space="preserve"/>
        <w:br w:clear="none"/>
      </w:r>
      <w:r>
        <w:t xml:space="preserve">'as f: 1.1235'</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t xml:space="preserve">as g: </w:t>
        <w:br w:clear="none"/>
      </w:r>
      <w:r>
        <w:rPr>
          <w:rStyle w:val="Text64"/>
        </w:rPr>
        <w:t xml:space="preserve">{</w:t>
        <w:br w:clear="none"/>
      </w:r>
      <w:r>
        <w:rPr>
          <w:rStyle w:val="Text14"/>
        </w:rPr>
        <w:t xml:space="preserve">x</w:t>
        <w:br w:clear="none"/>
      </w:r>
      <w:r>
        <w:rPr>
          <w:rStyle w:val="Text64"/>
        </w:rPr>
        <w:t xml:space="preserve">:</w:t>
        <w:br w:clear="none"/>
      </w:r>
      <w:r>
        <w:rPr>
          <w:rStyle w:val="Text17"/>
        </w:rPr>
        <w:t xml:space="preserve">.4g</w:t>
        <w:br w:clear="none"/>
      </w:r>
      <w:r>
        <w:rPr>
          <w:rStyle w:val="Text64"/>
        </w:rPr>
        <w:t xml:space="preserve">}</w:t>
        <w:br w:clear="none"/>
      </w:r>
      <w:r>
        <w:rPr>
          <w:rStyle w:val="Text17"/>
        </w:rPr>
        <w:t xml:space="preserve">'</w:t>
        <w:br w:clear="none"/>
      </w:r>
      <w:r>
        <w:rPr>
          <w:rStyle w:val="Text11"/>
        </w:rPr>
        <w:t xml:space="preserve">  </w:t>
        <w:br w:clear="none"/>
      </w:r>
      <w:r>
        <w:t xml:space="preserve"># rounds to 4 significant digits</w:t>
        <w:br w:clear="none"/>
      </w:r>
    </w:p>
    <w:p>
      <w:pPr>
        <w:pStyle w:val="Para 008"/>
      </w:pPr>
      <w:r>
        <w:rPr>
          <w:rStyle w:val="Text48"/>
        </w:rPr>
        <w:t xml:space="preserve"/>
        <w:br w:clear="none"/>
      </w:r>
      <w:r>
        <w:t xml:space="preserve">'as g: 1.123'</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t xml:space="preserve">f</w:t>
        <w:br w:clear="none"/>
      </w:r>
      <w:r>
        <w:rPr>
          <w:rStyle w:val="Text17"/>
        </w:rPr>
        <w:t xml:space="preserve">'</w:t>
        <w:br w:clear="none"/>
        <w:t xml:space="preserve">as s: </w:t>
        <w:br w:clear="none"/>
      </w:r>
      <w:r>
        <w:rPr>
          <w:rStyle w:val="Text64"/>
        </w:rPr>
        <w:t xml:space="preserve">{</w:t>
        <w:br w:clear="none"/>
      </w:r>
      <w:r>
        <w:rPr>
          <w:rStyle w:val="Text17"/>
        </w:rPr>
        <w:t xml:space="preserve">"</w:t>
        <w:br w:clear="none"/>
        <w:t xml:space="preserve">1234567890</w:t>
        <w:br w:clear="none"/>
        <w:t xml:space="preserve">"</w:t>
        <w:br w:clear="none"/>
      </w:r>
      <w:r>
        <w:rPr>
          <w:rStyle w:val="Text64"/>
        </w:rPr>
        <w:t xml:space="preserve">:</w:t>
        <w:br w:clear="none"/>
      </w:r>
      <w:r>
        <w:rPr>
          <w:rStyle w:val="Text17"/>
        </w:rPr>
        <w:t xml:space="preserve">.6s</w:t>
        <w:br w:clear="none"/>
      </w:r>
      <w:r>
        <w:rPr>
          <w:rStyle w:val="Text64"/>
        </w:rPr>
        <w:t xml:space="preserve">}</w:t>
        <w:br w:clear="none"/>
      </w:r>
      <w:r>
        <w:rPr>
          <w:rStyle w:val="Text17"/>
        </w:rPr>
        <w:t xml:space="preserve">'</w:t>
        <w:br w:clear="none"/>
      </w:r>
      <w:r>
        <w:rPr>
          <w:rStyle w:val="Text11"/>
        </w:rPr>
        <w:t xml:space="preserve">  </w:t>
        <w:br w:clear="none"/>
      </w:r>
      <w:r>
        <w:t xml:space="preserve"># string truncated to 6 characters</w:t>
        <w:br w:clear="none"/>
      </w:r>
    </w:p>
    <w:p>
      <w:pPr>
        <w:pStyle w:val="Para 008"/>
      </w:pPr>
      <w:r>
        <w:rPr>
          <w:rStyle w:val="Text48"/>
        </w:rPr>
        <w:t xml:space="preserve"/>
        <w:br w:clear="none"/>
      </w:r>
      <w:r>
        <w:t xml:space="preserve">'as s: 123456'</w:t>
        <w:br w:clear="none"/>
      </w:r>
    </w:p>
    <w:p>
      <w:bookmarkStart w:id="2351" w:name="Format_type__The_format_specific"/>
      <w:pPr>
        <w:keepNext/>
        <w:pStyle w:val="Heading 2"/>
      </w:pPr>
      <w:r>
        <w:t>Format type</w:t>
      </w:r>
      <w:bookmarkEnd w:id="2351"/>
    </w:p>
    <w:p>
      <w:pPr>
        <w:pStyle w:val="Normal"/>
      </w:pPr>
      <w:r>
        <w:t>The format specification ends with an optional</w:t>
      </w:r>
      <w:r>
        <w:rPr>
          <w:rStyle w:val="Text111"/>
        </w:rPr>
        <w:bookmarkStart w:id="2352" w:name="idm45965210500416"/>
        <w:t/>
        <w:bookmarkEnd w:id="2352"/>
      </w:r>
      <w:r>
        <w:t xml:space="preserve"> </w:t>
      </w:r>
      <w:r>
        <w:rPr>
          <w:rStyle w:val="Text4"/>
        </w:rPr>
        <w:t>format type</w:t>
      </w:r>
      <w:r>
        <w:t>, which determines how the value gets represented in the given width and at the given precision. In the absence of an explicit format type, the value being formatted determines the default format type.</w:t>
      </w:r>
    </w:p>
    <w:p>
      <w:pPr>
        <w:pStyle w:val="Normal"/>
      </w:pPr>
      <w:r>
        <w:t xml:space="preserve">The </w:t>
      </w:r>
      <w:r>
        <w:rPr>
          <w:rStyle w:val="Text0"/>
        </w:rPr>
        <w:t>s</w:t>
      </w:r>
      <w:r>
        <w:t xml:space="preserve"> format type is always used to format Unicode strings.</w:t>
      </w:r>
    </w:p>
    <w:p>
      <w:pPr>
        <w:pStyle w:val="Normal"/>
      </w:pPr>
      <w:r>
        <w:t>Integer numbers</w:t>
      </w:r>
      <w:r>
        <w:rPr>
          <w:rStyle w:val="Text111"/>
        </w:rPr>
        <w:bookmarkStart w:id="2353" w:name="idm45965210497184"/>
        <w:t/>
        <w:bookmarkEnd w:id="2353"/>
      </w:r>
      <w:r>
        <w:t xml:space="preserve"> have a range of acceptable format types, listed in </w:t>
      </w:r>
      <w:hyperlink w:anchor="Table_9_5__Integer_format_types">
        <w:r>
          <w:rPr>
            <w:rStyle w:val="Text1"/>
          </w:rPr>
          <w:t>Table 9-5</w:t>
        </w:r>
      </w:hyperlink>
      <w:r>
        <w:t>.</w:t>
      </w:r>
    </w:p>
    <w:tbl>
      <w:tblPr>
        <w:tblW w:type="auto" w:w="0"/>
      </w:tblPr>
      <w:tr>
        <w:tc>
          <w:tcPr>
            <w:tcW w:type="auto" w:w="0"/>
            <w:tcMar>
              <w:left w:type="dxa" w:w="200"/>
              <w:top w:type="dxa" w:w="200"/>
              <w:right w:type="dxa" w:w="200"/>
              <w:bottom w:type="dxa" w:w="200"/>
            </w:tcMar>
            <w:vAlign w:val="center"/>
          </w:tcPr>
          <w:p>
            <w:bookmarkStart w:id="2354" w:name="Table_9_5__Integer_format_types"/>
            <w:pPr>
              <w:pStyle w:val="Para 011"/>
            </w:pPr>
            <w:r>
              <w:rPr>
                <w:rStyle w:val="Text117"/>
              </w:rPr>
              <w:t/>
            </w:r>
            <w:r>
              <w:t xml:space="preserve">Table 9-5. </w:t>
              <w:t>Integer format types</w:t>
            </w:r>
            <w:bookmarkEnd w:id="2354"/>
          </w:p>
          <w:p>
            <w:pPr>
              <w:pStyle w:val="Para 013"/>
            </w:pPr>
            <w:r>
              <w:t>Format type</w:t>
            </w:r>
          </w:p>
        </w:tc>
        <w:tc>
          <w:tcPr>
            <w:tcW w:type="auto" w:w="0"/>
            <w:tcMar>
              <w:left w:type="dxa" w:w="200"/>
              <w:top w:type="dxa" w:w="200"/>
              <w:right w:type="dxa" w:w="200"/>
              <w:bottom w:type="dxa" w:w="200"/>
            </w:tcMar>
            <w:vAlign w:val="center"/>
          </w:tcPr>
          <w:p>
            <w:pPr>
              <w:pStyle w:val="Para 013"/>
            </w:pPr>
            <w:r>
              <w:t>Formatting description</w:t>
            </w:r>
          </w:p>
        </w:tc>
      </w:tr>
    </w:tbl>
    <w:tbl>
      <w:tblPr>
        <w:tblW w:type="auto" w:w="0"/>
      </w:tblPr>
      <w:tr>
        <w:tc>
          <w:tcPr>
            <w:tcW w:type="auto" w:w="0"/>
            <w:tcMar>
              <w:left w:type="dxa" w:w="200"/>
              <w:top w:type="dxa" w:w="200"/>
              <w:right w:type="dxa" w:w="200"/>
              <w:bottom w:type="dxa" w:w="200"/>
            </w:tcMar>
          </w:tcPr>
          <w:p>
            <w:pPr>
              <w:pStyle w:val="Para 001"/>
            </w:pPr>
            <w:r>
              <w:t>b</w:t>
            </w:r>
          </w:p>
        </w:tc>
        <w:tc>
          <w:tcPr>
            <w:tcW w:type="auto" w:w="0"/>
            <w:tcMar>
              <w:left w:type="dxa" w:w="200"/>
              <w:top w:type="dxa" w:w="200"/>
              <w:right w:type="dxa" w:w="200"/>
              <w:bottom w:type="dxa" w:w="200"/>
            </w:tcMar>
          </w:tcPr>
          <w:p>
            <w:pPr>
              <w:pStyle w:val="Para 002"/>
            </w:pPr>
            <w:r>
              <w:t>Binary format—a series of ones and zeros</w:t>
            </w:r>
          </w:p>
        </w:tc>
      </w:tr>
    </w:tbl>
    <w:tbl>
      <w:tblPr>
        <w:tblW w:type="auto" w:w="0"/>
      </w:tblPr>
      <w:tr>
        <w:tc>
          <w:tcPr>
            <w:tcW w:type="auto" w:w="0"/>
            <w:shd w:val="clear" w:color="auto" w:fill="EEF2F6"/>
            <w:tcMar>
              <w:left w:type="dxa" w:w="200"/>
              <w:top w:type="dxa" w:w="200"/>
              <w:right w:type="dxa" w:w="200"/>
              <w:bottom w:type="dxa" w:w="200"/>
            </w:tcMar>
          </w:tcPr>
          <w:p>
            <w:pPr>
              <w:pStyle w:val="Para 001"/>
            </w:pPr>
            <w:r>
              <w:t>c</w:t>
            </w:r>
          </w:p>
        </w:tc>
        <w:tc>
          <w:tcPr>
            <w:tcW w:type="auto" w:w="0"/>
            <w:shd w:val="clear" w:color="auto" w:fill="EEF2F6"/>
            <w:tcMar>
              <w:left w:type="dxa" w:w="200"/>
              <w:top w:type="dxa" w:w="200"/>
              <w:right w:type="dxa" w:w="200"/>
              <w:bottom w:type="dxa" w:w="200"/>
            </w:tcMar>
          </w:tcPr>
          <w:p>
            <w:pPr>
              <w:pStyle w:val="Para 002"/>
            </w:pPr>
            <w:r>
              <w:t>The Unicode character whose ordinal value is the formatted value</w:t>
            </w:r>
          </w:p>
        </w:tc>
      </w:tr>
    </w:tbl>
    <w:tbl>
      <w:tblPr>
        <w:tblW w:type="auto" w:w="0"/>
      </w:tblPr>
      <w:tr>
        <w:tc>
          <w:tcPr>
            <w:tcW w:type="auto" w:w="0"/>
            <w:tcMar>
              <w:left w:type="dxa" w:w="200"/>
              <w:top w:type="dxa" w:w="200"/>
              <w:right w:type="dxa" w:w="200"/>
              <w:bottom w:type="dxa" w:w="200"/>
            </w:tcMar>
          </w:tcPr>
          <w:p>
            <w:pPr>
              <w:pStyle w:val="Para 001"/>
            </w:pPr>
            <w:r>
              <w:t>d</w:t>
            </w:r>
          </w:p>
        </w:tc>
        <w:tc>
          <w:tcPr>
            <w:tcW w:type="auto" w:w="0"/>
            <w:tcMar>
              <w:left w:type="dxa" w:w="200"/>
              <w:top w:type="dxa" w:w="200"/>
              <w:right w:type="dxa" w:w="200"/>
              <w:bottom w:type="dxa" w:w="200"/>
            </w:tcMar>
          </w:tcPr>
          <w:p>
            <w:pPr>
              <w:pStyle w:val="Para 002"/>
            </w:pPr>
            <w:r>
              <w:t>Decimal (the default format 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n</w:t>
            </w:r>
          </w:p>
        </w:tc>
        <w:tc>
          <w:tcPr>
            <w:tcW w:type="auto" w:w="0"/>
            <w:shd w:val="clear" w:color="auto" w:fill="EEF2F6"/>
            <w:tcMar>
              <w:left w:type="dxa" w:w="200"/>
              <w:top w:type="dxa" w:w="200"/>
              <w:right w:type="dxa" w:w="200"/>
              <w:bottom w:type="dxa" w:w="200"/>
            </w:tcMar>
          </w:tcPr>
          <w:p>
            <w:pPr>
              <w:pStyle w:val="Para 002"/>
            </w:pPr>
            <w:r>
              <w:t>Decimal format, with locale-specific separators (commas in the UK and US) when system locale is set</w:t>
            </w:r>
          </w:p>
        </w:tc>
      </w:tr>
    </w:tbl>
    <w:tbl>
      <w:tblPr>
        <w:tblW w:type="auto" w:w="0"/>
      </w:tblPr>
      <w:tr>
        <w:tc>
          <w:tcPr>
            <w:tcW w:type="auto" w:w="0"/>
            <w:tcMar>
              <w:left w:type="dxa" w:w="200"/>
              <w:top w:type="dxa" w:w="200"/>
              <w:right w:type="dxa" w:w="200"/>
              <w:bottom w:type="dxa" w:w="200"/>
            </w:tcMar>
          </w:tcPr>
          <w:p>
            <w:pPr>
              <w:pStyle w:val="Para 001"/>
            </w:pPr>
            <w:r>
              <w:t>o</w:t>
            </w:r>
          </w:p>
        </w:tc>
        <w:tc>
          <w:tcPr>
            <w:tcW w:type="auto" w:w="0"/>
            <w:tcMar>
              <w:left w:type="dxa" w:w="200"/>
              <w:top w:type="dxa" w:w="200"/>
              <w:right w:type="dxa" w:w="200"/>
              <w:bottom w:type="dxa" w:w="200"/>
            </w:tcMar>
          </w:tcPr>
          <w:p>
            <w:pPr>
              <w:pStyle w:val="Para 002"/>
            </w:pPr>
            <w:r>
              <w:t>Octal format—a series of octal digits</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x</w:t>
            </w:r>
            <w:r>
              <w:t xml:space="preserve"> or </w:t>
            </w:r>
            <w:r>
              <w:rPr>
                <w:rStyle w:val="Text0"/>
              </w:rPr>
              <w:t>X</w:t>
            </w:r>
          </w:p>
        </w:tc>
        <w:tc>
          <w:tcPr>
            <w:tcW w:type="auto" w:w="0"/>
            <w:shd w:val="clear" w:color="auto" w:fill="EEF2F6"/>
            <w:tcMar>
              <w:left w:type="dxa" w:w="200"/>
              <w:top w:type="dxa" w:w="200"/>
              <w:right w:type="dxa" w:w="200"/>
              <w:bottom w:type="dxa" w:w="200"/>
            </w:tcMar>
          </w:tcPr>
          <w:p>
            <w:pPr>
              <w:pStyle w:val="Para 002"/>
            </w:pPr>
            <w:r>
              <w:t>Hexadecimal format—a series of hexadecimal digits, with the letters, respectively, in lower- or uppercase</w:t>
            </w:r>
          </w:p>
        </w:tc>
      </w:tr>
    </w:tbl>
    <w:p>
      <w:pPr>
        <w:pStyle w:val="Normal"/>
      </w:pPr>
      <w:r>
        <w:t>Floating-point numbers</w:t>
      </w:r>
      <w:r>
        <w:rPr>
          <w:rStyle w:val="Text111"/>
        </w:rPr>
        <w:bookmarkStart w:id="2355" w:name="idm45965210456848"/>
        <w:t/>
        <w:bookmarkEnd w:id="2355"/>
      </w:r>
      <w:r>
        <w:t xml:space="preserve"> have a different set of format types, shown in </w:t>
      </w:r>
      <w:hyperlink w:anchor="Table_9_6__Floating_point_format">
        <w:r>
          <w:rPr>
            <w:rStyle w:val="Text1"/>
          </w:rPr>
          <w:t>Table 9-6</w:t>
        </w:r>
      </w:hyperlink>
      <w:r>
        <w:t>.</w:t>
      </w:r>
    </w:p>
    <w:tbl>
      <w:tblPr>
        <w:tblW w:type="auto" w:w="0"/>
      </w:tblPr>
      <w:tr>
        <w:tc>
          <w:tcPr>
            <w:tcW w:type="auto" w:w="0"/>
            <w:tcMar>
              <w:left w:type="dxa" w:w="200"/>
              <w:top w:type="dxa" w:w="200"/>
              <w:right w:type="dxa" w:w="200"/>
              <w:bottom w:type="dxa" w:w="200"/>
            </w:tcMar>
            <w:vAlign w:val="center"/>
          </w:tcPr>
          <w:p>
            <w:bookmarkStart w:id="2356" w:name="Table_9_6__Floating_point_format"/>
            <w:pPr>
              <w:pStyle w:val="Para 011"/>
            </w:pPr>
            <w:r>
              <w:rPr>
                <w:rStyle w:val="Text117"/>
              </w:rPr>
              <w:t/>
            </w:r>
            <w:r>
              <w:t xml:space="preserve">Table 9-6. </w:t>
              <w:t>Floating-point format types</w:t>
            </w:r>
            <w:bookmarkEnd w:id="2356"/>
          </w:p>
          <w:p>
            <w:pPr>
              <w:pStyle w:val="Para 013"/>
            </w:pPr>
            <w:r>
              <w:t>Format type</w:t>
            </w:r>
          </w:p>
        </w:tc>
        <w:tc>
          <w:tcPr>
            <w:tcW w:type="auto" w:w="0"/>
            <w:tcMar>
              <w:left w:type="dxa" w:w="200"/>
              <w:top w:type="dxa" w:w="200"/>
              <w:right w:type="dxa" w:w="200"/>
              <w:bottom w:type="dxa" w:w="200"/>
            </w:tcMar>
            <w:vAlign w:val="center"/>
          </w:tcPr>
          <w:p>
            <w:pPr>
              <w:pStyle w:val="Para 013"/>
            </w:pPr>
            <w:r>
              <w:t>Formatting description</w:t>
            </w:r>
          </w:p>
        </w:tc>
      </w:tr>
    </w:tbl>
    <w:tbl>
      <w:tblPr>
        <w:tblW w:type="auto" w:w="0"/>
      </w:tblPr>
      <w:tr>
        <w:tc>
          <w:tcPr>
            <w:tcW w:type="auto" w:w="0"/>
            <w:tcMar>
              <w:left w:type="dxa" w:w="200"/>
              <w:top w:type="dxa" w:w="200"/>
              <w:right w:type="dxa" w:w="200"/>
              <w:bottom w:type="dxa" w:w="200"/>
            </w:tcMar>
          </w:tcPr>
          <w:p>
            <w:pPr>
              <w:pStyle w:val="Para 002"/>
            </w:pPr>
            <w:r>
              <w:rPr>
                <w:rStyle w:val="Text0"/>
              </w:rPr>
              <w:t>e</w:t>
            </w:r>
            <w:r>
              <w:t xml:space="preserve"> or </w:t>
            </w:r>
            <w:r>
              <w:rPr>
                <w:rStyle w:val="Text0"/>
              </w:rPr>
              <w:t>E</w:t>
            </w:r>
          </w:p>
        </w:tc>
        <w:tc>
          <w:tcPr>
            <w:tcW w:type="auto" w:w="0"/>
            <w:tcMar>
              <w:left w:type="dxa" w:w="200"/>
              <w:top w:type="dxa" w:w="200"/>
              <w:right w:type="dxa" w:w="200"/>
              <w:bottom w:type="dxa" w:w="200"/>
            </w:tcMar>
          </w:tcPr>
          <w:p>
            <w:pPr>
              <w:pStyle w:val="Para 002"/>
            </w:pPr>
            <w:r>
              <w:t xml:space="preserve">Exponential format—scientific notation, with an integer part between one and nine, using </w:t>
            </w:r>
            <w:r>
              <w:rPr>
                <w:rStyle w:val="Text0"/>
              </w:rPr>
              <w:t>e</w:t>
            </w:r>
            <w:r>
              <w:t xml:space="preserve"> or </w:t>
            </w:r>
            <w:r>
              <w:rPr>
                <w:rStyle w:val="Text0"/>
              </w:rPr>
              <w:t>E</w:t>
            </w:r>
            <w:r>
              <w:t xml:space="preserve"> just before the exponent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f</w:t>
            </w:r>
            <w:r>
              <w:t xml:space="preserve"> or </w:t>
            </w:r>
            <w:r>
              <w:rPr>
                <w:rStyle w:val="Text0"/>
              </w:rPr>
              <w:t>F</w:t>
            </w:r>
          </w:p>
        </w:tc>
        <w:tc>
          <w:tcPr>
            <w:tcW w:type="auto" w:w="0"/>
            <w:shd w:val="clear" w:color="auto" w:fill="EEF2F6"/>
            <w:tcMar>
              <w:left w:type="dxa" w:w="200"/>
              <w:top w:type="dxa" w:w="200"/>
              <w:right w:type="dxa" w:w="200"/>
              <w:bottom w:type="dxa" w:w="200"/>
            </w:tcMar>
          </w:tcPr>
          <w:p>
            <w:pPr>
              <w:pStyle w:val="Para 002"/>
            </w:pPr>
            <w:r>
              <w:t>Fixed-point format with infinities (</w:t>
            </w:r>
            <w:r>
              <w:rPr>
                <w:rStyle w:val="Text0"/>
              </w:rPr>
              <w:t>inf</w:t>
            </w:r>
            <w:r>
              <w:t>) and nonnumbers (</w:t>
            </w:r>
            <w:r>
              <w:rPr>
                <w:rStyle w:val="Text0"/>
              </w:rPr>
              <w:t>nan</w:t>
            </w:r>
            <w:r>
              <w:t>) in lower- or uppercase</w:t>
            </w:r>
          </w:p>
        </w:tc>
      </w:tr>
    </w:tbl>
    <w:tbl>
      <w:tblPr>
        <w:tblW w:type="auto" w:w="0"/>
      </w:tblPr>
      <w:tr>
        <w:tc>
          <w:tcPr>
            <w:tcW w:type="auto" w:w="0"/>
            <w:tcMar>
              <w:left w:type="dxa" w:w="200"/>
              <w:top w:type="dxa" w:w="200"/>
              <w:right w:type="dxa" w:w="200"/>
              <w:bottom w:type="dxa" w:w="200"/>
            </w:tcMar>
          </w:tcPr>
          <w:p>
            <w:pPr>
              <w:pStyle w:val="Para 002"/>
            </w:pPr>
            <w:r>
              <w:rPr>
                <w:rStyle w:val="Text0"/>
              </w:rPr>
              <w:t>g</w:t>
            </w:r>
            <w:r>
              <w:t xml:space="preserve"> or </w:t>
            </w:r>
            <w:r>
              <w:rPr>
                <w:rStyle w:val="Text0"/>
              </w:rPr>
              <w:t>G</w:t>
            </w:r>
          </w:p>
        </w:tc>
        <w:tc>
          <w:tcPr>
            <w:tcW w:type="auto" w:w="0"/>
            <w:tcMar>
              <w:left w:type="dxa" w:w="200"/>
              <w:top w:type="dxa" w:w="200"/>
              <w:right w:type="dxa" w:w="200"/>
              <w:bottom w:type="dxa" w:w="200"/>
            </w:tcMar>
          </w:tcPr>
          <w:p>
            <w:pPr>
              <w:pStyle w:val="Para 002"/>
            </w:pPr>
            <w:r>
              <w:t xml:space="preserve">General format (the default format type)—uses a fixed-point format when possible, otherwise exponential format; uses lower- or uppercase representations for </w:t>
            </w:r>
            <w:r>
              <w:rPr>
                <w:rStyle w:val="Text0"/>
              </w:rPr>
              <w:t>e</w:t>
            </w:r>
            <w:r>
              <w:t xml:space="preserve">, </w:t>
            </w:r>
            <w:r>
              <w:rPr>
                <w:rStyle w:val="Text0"/>
              </w:rPr>
              <w:t>inf</w:t>
            </w:r>
            <w:r>
              <w:t xml:space="preserve">, and </w:t>
            </w:r>
            <w:r>
              <w:rPr>
                <w:rStyle w:val="Text0"/>
              </w:rPr>
              <w:t>nan</w:t>
            </w:r>
            <w:r>
              <w:t>, depending on the case of the format 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n</w:t>
            </w:r>
          </w:p>
        </w:tc>
        <w:tc>
          <w:tcPr>
            <w:tcW w:type="auto" w:w="0"/>
            <w:shd w:val="clear" w:color="auto" w:fill="EEF2F6"/>
            <w:tcMar>
              <w:left w:type="dxa" w:w="200"/>
              <w:top w:type="dxa" w:w="200"/>
              <w:right w:type="dxa" w:w="200"/>
              <w:bottom w:type="dxa" w:w="200"/>
            </w:tcMar>
          </w:tcPr>
          <w:p>
            <w:pPr>
              <w:pStyle w:val="Para 002"/>
            </w:pPr>
            <w:r>
              <w:t>Like general format, but uses locale-specific separators, when system locale is set, for groups of three digits and decimal points</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 xml:space="preserve">Percentage format—multiplies the value by 100 and formats it as fixed-point followed by </w:t>
            </w:r>
            <w:r>
              <w:rPr>
                <w:rStyle w:val="Text0"/>
              </w:rPr>
              <w:t>%</w:t>
            </w:r>
          </w:p>
        </w:tc>
      </w:tr>
    </w:tbl>
    <w:p>
      <w:pPr>
        <w:pStyle w:val="Normal"/>
      </w:pPr>
      <w:r>
        <w:t xml:space="preserve">When no format type is specified, a </w:t>
      </w:r>
      <w:r>
        <w:rPr>
          <w:rStyle w:val="Text0"/>
        </w:rPr>
        <w:t>float</w:t>
      </w:r>
      <w:r>
        <w:t xml:space="preserve"> uses the </w:t>
      </w:r>
      <w:r>
        <w:rPr>
          <w:rStyle w:val="Text0"/>
        </w:rPr>
        <w:t>g</w:t>
      </w:r>
      <w:r>
        <w:t xml:space="preserve"> format, with at least one digit after the decimal point and a default precision of </w:t>
      </w:r>
      <w:r>
        <w:rPr>
          <w:rStyle w:val="Text0"/>
        </w:rPr>
        <w:t>12</w:t>
      </w:r>
      <w:r>
        <w:t>.</w:t>
      </w:r>
    </w:p>
    <w:p>
      <w:pPr>
        <w:pStyle w:val="Normal"/>
      </w:pPr>
      <w:r>
        <w:t xml:space="preserve">The following code takes a list of numbers and displays each right justified in a field width of nine characters; it specifies that each number’s sign will always display, adds a comma between each group of three digits, and rounds each number to exactly two digits after the decimal point, converting </w:t>
      </w:r>
      <w:r>
        <w:rPr>
          <w:rStyle w:val="Text0"/>
        </w:rPr>
        <w:t>int</w:t>
      </w:r>
      <w:r>
        <w:t xml:space="preserve">s to </w:t>
      </w:r>
      <w:r>
        <w:rPr>
          <w:rStyle w:val="Text0"/>
        </w:rPr>
        <w:t>float</w:t>
      </w:r>
      <w:r>
        <w:t>s</w:t>
      </w:r>
      <w:r>
        <w:rPr>
          <w:rStyle w:val="Text111"/>
        </w:rPr>
        <w:bookmarkStart w:id="2357" w:name="idm45965210429984"/>
        <w:t/>
        <w:bookmarkEnd w:id="2357"/>
      </w:r>
      <w:r>
        <w:t xml:space="preserve"> as needed:</w:t>
      </w:r>
    </w:p>
    <w:p>
      <w:pPr>
        <w:pStyle w:val="Para 061"/>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num</w:t>
        <w:br w:clear="none"/>
      </w:r>
      <w:r>
        <w:rPr>
          <w:rStyle w:val="Text6"/>
        </w:rPr>
        <w:t xml:space="preserve"> </w:t>
        <w:br w:clear="none"/>
      </w:r>
      <w:r>
        <w:rPr>
          <w:rStyle w:val="Text31"/>
        </w:rPr>
        <w:t xml:space="preserve">in</w:t>
        <w:br w:clear="none"/>
      </w:r>
      <w:r>
        <w:rPr>
          <w:rStyle w:val="Text6"/>
        </w:rPr>
        <w:t xml:space="preserve"> </w:t>
        <w:br w:clear="none"/>
      </w:r>
      <w:r>
        <w:rPr>
          <w:rStyle w:val="Text7"/>
        </w:rPr>
        <w:t xml:space="preserve">[</w:t>
        <w:br w:clear="none"/>
      </w:r>
      <w:r>
        <w:t xml:space="preserve">3.1415</w:t>
        <w:br w:clear="none"/>
      </w:r>
      <w:r>
        <w:rPr>
          <w:rStyle w:val="Text7"/>
        </w:rPr>
        <w:t xml:space="preserve">,</w:t>
        <w:br w:clear="none"/>
      </w:r>
      <w:r>
        <w:rPr>
          <w:rStyle w:val="Text6"/>
        </w:rPr>
        <w:t xml:space="preserve"> </w:t>
        <w:br w:clear="none"/>
      </w:r>
      <w:r>
        <w:rPr>
          <w:rStyle w:val="Text13"/>
        </w:rPr>
        <w:t xml:space="preserve">-</w:t>
        <w:br w:clear="none"/>
      </w:r>
      <w:r>
        <w:t xml:space="preserve">42</w:t>
        <w:br w:clear="none"/>
      </w:r>
      <w:r>
        <w:rPr>
          <w:rStyle w:val="Text7"/>
        </w:rPr>
        <w:t xml:space="preserve">,</w:t>
        <w:br w:clear="none"/>
      </w:r>
      <w:r>
        <w:rPr>
          <w:rStyle w:val="Text6"/>
        </w:rPr>
        <w:t xml:space="preserve"> </w:t>
        <w:br w:clear="none"/>
      </w:r>
      <w:r>
        <w:t xml:space="preserve">1024.0</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t xml:space="preserve">f</w:t>
        <w:br w:clear="none"/>
      </w:r>
      <w:r>
        <w:rPr>
          <w:rStyle w:val="Text8"/>
        </w:rPr>
        <w:t xml:space="preserve">'</w:t>
        <w:br w:clear="none"/>
      </w:r>
      <w:r>
        <w:rPr>
          <w:rStyle w:val="Text32"/>
        </w:rPr>
        <w:t xml:space="preserve">{</w:t>
        <w:br w:clear="none"/>
      </w:r>
      <w:r>
        <w:rPr>
          <w:rStyle w:val="Text9"/>
        </w:rPr>
        <w:t xml:space="preserve">num</w:t>
        <w:br w:clear="none"/>
      </w:r>
      <w:r>
        <w:rPr>
          <w:rStyle w:val="Text32"/>
        </w:rPr>
        <w:t xml:space="preserve">:</w:t>
        <w:br w:clear="none"/>
      </w:r>
      <w:r>
        <w:rPr>
          <w:rStyle w:val="Text8"/>
        </w:rPr>
        <w:t xml:space="preserve">&gt;+9,.2f</w:t>
        <w:br w:clear="none"/>
      </w:r>
      <w:r>
        <w:rPr>
          <w:rStyle w:val="Text32"/>
        </w:rPr>
        <w:t xml:space="preserve">}</w:t>
        <w:br w:clear="none"/>
      </w:r>
      <w:r>
        <w:rPr>
          <w:rStyle w:val="Text8"/>
        </w:rPr>
        <w:t xml:space="preserve">'</w:t>
        <w:br w:clear="none"/>
      </w:r>
      <w:r>
        <w:rPr>
          <w:rStyle w:val="Text6"/>
        </w:rPr>
        <w:t xml:space="preserve"> </w:t>
        <w:br w:clear="none"/>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    +3.14'</w:t>
        <w:br w:clear="none"/>
      </w:r>
      <w:r>
        <w:rPr>
          <w:rStyle w:val="Text48"/>
        </w:rPr>
        <w:t xml:space="preserve"/>
        <w:br w:clear="none"/>
      </w:r>
      <w:r>
        <w:t xml:space="preserve">'   -42.00'</w:t>
        <w:br w:clear="none"/>
      </w:r>
      <w:r>
        <w:rPr>
          <w:rStyle w:val="Text48"/>
        </w:rPr>
        <w:t xml:space="preserve"/>
        <w:br w:clear="none"/>
      </w:r>
      <w:r>
        <w:t xml:space="preserve">'+1,024.00'</w:t>
        <w:br w:clear="none"/>
      </w:r>
    </w:p>
    <w:p>
      <w:bookmarkStart w:id="2358" w:name="Nested_Format_Specifications__In"/>
      <w:pPr>
        <w:keepNext/>
        <w:pStyle w:val="Heading 2"/>
      </w:pPr>
      <w:r>
        <w:t>Nested Format Specifications</w:t>
      </w:r>
      <w:bookmarkEnd w:id="2358"/>
    </w:p>
    <w:p>
      <w:pPr>
        <w:pStyle w:val="Normal"/>
      </w:pPr>
      <w:r>
        <w:t>In</w:t>
      </w:r>
      <w:r>
        <w:rPr>
          <w:rStyle w:val="Text111"/>
        </w:rPr>
        <w:bookmarkStart w:id="2359" w:name="idm45965210395232"/>
        <w:t/>
        <w:bookmarkEnd w:id="2359"/>
      </w:r>
      <w:r>
        <w:t xml:space="preserve"> some cases you’ll want to use expression values to help determine the precise format used: you can use nested formatting to achieve this. For example, to format a string in a field four characters wider than the string itself, you can pass a value for the width to </w:t>
      </w:r>
      <w:r>
        <w:rPr>
          <w:rStyle w:val="Text0"/>
        </w:rPr>
        <w:t>format</w:t>
      </w:r>
      <w:r>
        <w:t>, as in:</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23"/>
        </w:rPr>
        <w:t xml:space="preserve"> </w:t>
        <w:br w:clear="none"/>
      </w:r>
      <w:r>
        <w:rPr>
          <w:rStyle w:val="Text13"/>
        </w:rPr>
        <w:t xml:space="preserve">=</w:t>
        <w:br w:clear="none"/>
      </w:r>
      <w:r>
        <w:rPr>
          <w:rStyle w:val="Text23"/>
        </w:rPr>
        <w:t xml:space="preserve"> </w:t>
        <w:br w:clear="none"/>
      </w:r>
      <w:r>
        <w:t xml:space="preserve">'a string'</w:t>
        <w:br w:clear="none"/>
      </w:r>
      <w:r>
        <w:rPr>
          <w:rStyle w:val="Text23"/>
        </w:rPr>
        <w:t xml:space="preserve"/>
        <w:br w:clear="none"/>
      </w:r>
      <w:r>
        <w:rPr>
          <w:rStyle w:val="Text13"/>
        </w:rPr>
        <w:t xml:space="preserve">&gt;&gt;&gt;</w:t>
        <w:br w:clear="none"/>
      </w:r>
      <w:r>
        <w:rPr>
          <w:rStyle w:val="Text23"/>
        </w:rPr>
        <w:t xml:space="preserve"> </w:t>
        <w:br w:clear="none"/>
      </w:r>
      <w:r>
        <w:t xml:space="preserve">'{0:&gt;</w:t>
        <w:br w:clear="none"/>
      </w:r>
      <w:r>
        <w:rPr>
          <w:rStyle w:val="Text32"/>
        </w:rPr>
        <w:t xml:space="preserve">{1}</w:t>
        <w:br w:clear="none"/>
      </w:r>
      <w:r>
        <w:t xml:space="preserve">s}'</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s</w:t>
        <w:br w:clear="none"/>
      </w:r>
      <w:r>
        <w:rPr>
          <w:rStyle w:val="Text7"/>
        </w:rPr>
        <w:t xml:space="preserve">,</w:t>
        <w:br w:clear="none"/>
      </w:r>
      <w:r>
        <w:rPr>
          <w:rStyle w:val="Text23"/>
        </w:rPr>
        <w:t xml:space="preserve"> </w:t>
        <w:br w:clear="none"/>
      </w:r>
      <w:r>
        <w:rPr>
          <w:rStyle w:val="Text16"/>
        </w:rPr>
        <w:t xml:space="preserve">len</w:t>
        <w:br w:clear="none"/>
      </w:r>
      <w:r>
        <w:rPr>
          <w:rStyle w:val="Text7"/>
        </w:rPr>
        <w:t xml:space="preserve">(</w:t>
        <w:br w:clear="none"/>
      </w:r>
      <w:r>
        <w:rPr>
          <w:rStyle w:val="Text9"/>
        </w:rPr>
        <w:t xml:space="preserve">s</w:t>
        <w:br w:clear="none"/>
      </w:r>
      <w:r>
        <w:rPr>
          <w:rStyle w:val="Text7"/>
        </w:rPr>
        <w:t xml:space="preserve">)</w:t>
        <w:br w:clear="none"/>
      </w:r>
      <w:r>
        <w:rPr>
          <w:rStyle w:val="Text13"/>
        </w:rPr>
        <w:t xml:space="preserve">+</w:t>
        <w:br w:clear="none"/>
      </w:r>
      <w:r>
        <w:rPr>
          <w:rStyle w:val="Text27"/>
        </w:rPr>
        <w:t xml:space="preserve">4</w:t>
        <w:br w:clear="none"/>
      </w:r>
      <w:r>
        <w:rPr>
          <w:rStyle w:val="Text7"/>
        </w:rPr>
        <w:t xml:space="preserve">)</w:t>
        <w:br w:clear="none"/>
      </w:r>
    </w:p>
    <w:p>
      <w:pPr>
        <w:pStyle w:val="Para 008"/>
      </w:pPr>
      <w:r>
        <w:rPr>
          <w:rStyle w:val="Text48"/>
        </w:rPr>
        <w:t xml:space="preserve"/>
        <w:br w:clear="none"/>
      </w:r>
      <w:r>
        <w:t xml:space="preserve">'    a string'</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'{0:_^</w:t>
        <w:br w:clear="none"/>
      </w:r>
      <w:r>
        <w:rPr>
          <w:rStyle w:val="Text32"/>
        </w:rPr>
        <w:t xml:space="preserve">{1}</w:t>
        <w:br w:clear="none"/>
      </w:r>
      <w:r>
        <w:t xml:space="preserve">s}'</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s</w:t>
        <w:br w:clear="none"/>
      </w:r>
      <w:r>
        <w:rPr>
          <w:rStyle w:val="Text7"/>
        </w:rPr>
        <w:t xml:space="preserve">,</w:t>
        <w:br w:clear="none"/>
      </w:r>
      <w:r>
        <w:rPr>
          <w:rStyle w:val="Text23"/>
        </w:rPr>
        <w:t xml:space="preserve"> </w:t>
        <w:br w:clear="none"/>
      </w:r>
      <w:r>
        <w:rPr>
          <w:rStyle w:val="Text16"/>
        </w:rPr>
        <w:t xml:space="preserve">len</w:t>
        <w:br w:clear="none"/>
      </w:r>
      <w:r>
        <w:rPr>
          <w:rStyle w:val="Text7"/>
        </w:rPr>
        <w:t xml:space="preserve">(</w:t>
        <w:br w:clear="none"/>
      </w:r>
      <w:r>
        <w:rPr>
          <w:rStyle w:val="Text9"/>
        </w:rPr>
        <w:t xml:space="preserve">s</w:t>
        <w:br w:clear="none"/>
      </w:r>
      <w:r>
        <w:rPr>
          <w:rStyle w:val="Text7"/>
        </w:rPr>
        <w:t xml:space="preserve">)</w:t>
        <w:br w:clear="none"/>
      </w:r>
      <w:r>
        <w:rPr>
          <w:rStyle w:val="Text13"/>
        </w:rPr>
        <w:t xml:space="preserve">+</w:t>
        <w:br w:clear="none"/>
      </w:r>
      <w:r>
        <w:rPr>
          <w:rStyle w:val="Text27"/>
        </w:rPr>
        <w:t xml:space="preserve">4</w:t>
        <w:br w:clear="none"/>
      </w:r>
      <w:r>
        <w:rPr>
          <w:rStyle w:val="Text7"/>
        </w:rPr>
        <w:t xml:space="preserve">)</w:t>
        <w:br w:clear="none"/>
      </w:r>
    </w:p>
    <w:p>
      <w:pPr>
        <w:pStyle w:val="Para 008"/>
      </w:pPr>
      <w:r>
        <w:rPr>
          <w:rStyle w:val="Text48"/>
        </w:rPr>
        <w:t xml:space="preserve"/>
        <w:br w:clear="none"/>
      </w:r>
      <w:r>
        <w:t xml:space="preserve">'__a string__'</w:t>
        <w:br w:clear="none"/>
      </w:r>
    </w:p>
    <w:p>
      <w:pPr>
        <w:pStyle w:val="Normal"/>
      </w:pPr>
      <w:r>
        <w:t>With some care, you can use width specification and nested formatting to print a sequence of tuples into well-aligned columns. For example: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columnar_strings</w:t>
        <w:br w:clear="none"/>
      </w:r>
      <w:r>
        <w:rPr>
          <w:rStyle w:val="Text7"/>
        </w:rPr>
        <w:t xml:space="preserve">(</w:t>
        <w:br w:clear="none"/>
      </w:r>
      <w:r>
        <w:t xml:space="preserve">str_seq</w:t>
        <w:br w:clear="none"/>
      </w:r>
      <w:r>
        <w:rPr>
          <w:rStyle w:val="Text7"/>
        </w:rPr>
        <w:t xml:space="preserve">,</w:t>
        <w:br w:clear="none"/>
      </w:r>
      <w:r>
        <w:rPr>
          <w:rStyle w:val="Text6"/>
        </w:rPr>
        <w:t xml:space="preserve"> </w:t>
        <w:br w:clear="none"/>
      </w:r>
      <w:r>
        <w:t xml:space="preserve">widths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cols</w:t>
        <w:br w:clear="none"/>
      </w:r>
      <w:r>
        <w:rPr>
          <w:rStyle w:val="Text6"/>
        </w:rPr>
        <w:t xml:space="preserve"> </w:t>
        <w:br w:clear="none"/>
      </w:r>
      <w:r>
        <w:rPr>
          <w:rStyle w:val="Text31"/>
        </w:rPr>
        <w:t xml:space="preserve">in</w:t>
        <w:br w:clear="none"/>
      </w:r>
      <w:r>
        <w:rPr>
          <w:rStyle w:val="Text6"/>
        </w:rPr>
        <w:t xml:space="preserve"> </w:t>
        <w:br w:clear="none"/>
      </w:r>
      <w:r>
        <w:t xml:space="preserve">str_seq</w:t>
        <w:br w:clear="none"/>
      </w:r>
      <w:r>
        <w:rPr>
          <w:rStyle w:val="Text7"/>
        </w:rPr>
        <w:t xml:space="preserve">:</w:t>
        <w:br w:clear="none"/>
      </w:r>
      <w:r>
        <w:rPr>
          <w:rStyle w:val="Text6"/>
        </w:rPr>
        <w:t xml:space="preserve"/>
        <w:br w:clear="none"/>
        <w:t xml:space="preserve">        </w:t>
        <w:br w:clear="none"/>
      </w:r>
      <w:r>
        <w:t xml:space="preserve">row</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c</w:t>
        <w:br w:clear="none"/>
      </w:r>
      <w:r>
        <w:rPr>
          <w:rStyle w:val="Text32"/>
        </w:rPr>
        <w:t xml:space="preserve">:</w:t>
        <w:br w:clear="none"/>
        <w:t xml:space="preserve">{</w:t>
        <w:br w:clear="none"/>
      </w:r>
      <w:r>
        <w:t xml:space="preserve">w</w:t>
        <w:br w:clear="none"/>
      </w:r>
      <w:r>
        <w:rPr>
          <w:rStyle w:val="Text32"/>
        </w:rPr>
        <w:t xml:space="preserve">}</w:t>
        <w:br w:clear="none"/>
      </w:r>
      <w:r>
        <w:rPr>
          <w:rStyle w:val="Text8"/>
        </w:rPr>
        <w:t xml:space="preserve">.</w:t>
        <w:br w:clear="none"/>
      </w:r>
      <w:r>
        <w:rPr>
          <w:rStyle w:val="Text32"/>
        </w:rPr>
        <w:t xml:space="preserve">{</w:t>
        <w:br w:clear="none"/>
      </w:r>
      <w:r>
        <w:t xml:space="preserve">w</w:t>
        <w:br w:clear="none"/>
      </w:r>
      <w:r>
        <w:rPr>
          <w:rStyle w:val="Text32"/>
        </w:rPr>
        <w:t xml:space="preserve">}</w:t>
        <w:br w:clear="none"/>
      </w:r>
      <w:r>
        <w:rPr>
          <w:rStyle w:val="Text8"/>
        </w:rPr>
        <w:t xml:space="preserve">s</w:t>
        <w:br w:clear="none"/>
      </w:r>
      <w:r>
        <w:rPr>
          <w:rStyle w:val="Text32"/>
        </w:rPr>
        <w:t xml:space="preserve">}</w:t>
        <w:br w:clear="none"/>
      </w:r>
      <w:r>
        <w:rPr>
          <w:rStyle w:val="Text8"/>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c</w:t>
        <w:br w:clear="none"/>
      </w:r>
      <w:r>
        <w:rPr>
          <w:rStyle w:val="Text7"/>
        </w:rPr>
        <w:t xml:space="preserve">,</w:t>
        <w:br w:clear="none"/>
      </w:r>
      <w:r>
        <w:rPr>
          <w:rStyle w:val="Text6"/>
        </w:rPr>
        <w:t xml:space="preserve"> </w:t>
        <w:br w:clear="none"/>
      </w:r>
      <w:r>
        <w:t xml:space="preserve">w</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zip</w:t>
        <w:br w:clear="none"/>
      </w:r>
      <w:r>
        <w:rPr>
          <w:rStyle w:val="Text7"/>
        </w:rPr>
        <w:t xml:space="preserve">(</w:t>
        <w:br w:clear="none"/>
      </w:r>
      <w:r>
        <w:t xml:space="preserve">cols</w:t>
        <w:br w:clear="none"/>
      </w:r>
      <w:r>
        <w:rPr>
          <w:rStyle w:val="Text7"/>
        </w:rPr>
        <w:t xml:space="preserve">,</w:t>
        <w:br w:clear="none"/>
      </w:r>
      <w:r>
        <w:rPr>
          <w:rStyle w:val="Text6"/>
        </w:rPr>
        <w:t xml:space="preserve"> </w:t>
        <w:br w:clear="none"/>
      </w:r>
      <w:r>
        <w:t xml:space="preserve">widths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 </w:t>
        <w:br w:clear="none"/>
        <w:t xml:space="preserve">'</w:t>
        <w:br w:clear="none"/>
      </w:r>
      <w:r>
        <w:rPr>
          <w:rStyle w:val="Text13"/>
        </w:rPr>
        <w:t xml:space="preserve">.</w:t>
        <w:br w:clear="none"/>
      </w:r>
      <w:r>
        <w:t xml:space="preserve">join</w:t>
        <w:br w:clear="none"/>
      </w:r>
      <w:r>
        <w:rPr>
          <w:rStyle w:val="Text7"/>
        </w:rPr>
        <w:t xml:space="preserve">(</w:t>
        <w:br w:clear="none"/>
      </w:r>
      <w:r>
        <w:t xml:space="preserve">row</w:t>
        <w:br w:clear="none"/>
      </w:r>
      <w:r>
        <w:rPr>
          <w:rStyle w:val="Text7"/>
        </w:rPr>
        <w:t xml:space="preserve">)</w:t>
        <w:br w:clear="none"/>
        <w:t xml:space="preserve">)</w:t>
        <w:br w:clear="none"/>
      </w:r>
    </w:p>
    <w:p>
      <w:pPr>
        <w:pStyle w:val="Normal"/>
      </w:pPr>
      <w:r>
        <w:t>Given this function, the following code:</w:t>
      </w:r>
    </w:p>
    <w:p>
      <w:pPr>
        <w:pStyle w:val="Para 020"/>
      </w:pPr>
      <w:r>
        <w:rPr>
          <w:rStyle w:val="Text23"/>
        </w:rPr>
        <w:t xml:space="preserve"/>
        <w:br w:clear="none"/>
      </w:r>
      <w:r>
        <w:rPr>
          <w:rStyle w:val="Text9"/>
        </w:rPr>
        <w:t xml:space="preserve">c</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3"/>
        </w:rPr>
        <w:t xml:space="preserve"/>
        <w:br w:clear="none"/>
        <w:t xml:space="preserve">        </w:t>
        <w:br w:clear="none"/>
      </w:r>
      <w:r>
        <w:t xml:space="preserve">'four score and'</w:t>
        <w:br w:clear="none"/>
      </w:r>
      <w:r>
        <w:rPr>
          <w:rStyle w:val="Text13"/>
        </w:rPr>
        <w:t xml:space="preserve">.</w:t>
        <w:br w:clear="none"/>
      </w:r>
      <w:r>
        <w:rPr>
          <w:rStyle w:val="Text9"/>
        </w:rPr>
        <w:t xml:space="preserve">split</w:t>
        <w:br w:clear="none"/>
      </w:r>
      <w:r>
        <w:rPr>
          <w:rStyle w:val="Text7"/>
        </w:rPr>
        <w:t xml:space="preserve">(),</w:t>
        <w:br w:clear="none"/>
      </w:r>
      <w:r>
        <w:rPr>
          <w:rStyle w:val="Text23"/>
        </w:rPr>
        <w:t xml:space="preserve"/>
        <w:br w:clear="none"/>
        <w:t xml:space="preserve">        </w:t>
        <w:br w:clear="none"/>
      </w:r>
      <w:r>
        <w:t xml:space="preserve">'seven years ago'</w:t>
        <w:br w:clear="none"/>
      </w:r>
      <w:r>
        <w:rPr>
          <w:rStyle w:val="Text13"/>
        </w:rPr>
        <w:t xml:space="preserve">.</w:t>
        <w:br w:clear="none"/>
      </w:r>
      <w:r>
        <w:rPr>
          <w:rStyle w:val="Text9"/>
        </w:rPr>
        <w:t xml:space="preserve">split</w:t>
        <w:br w:clear="none"/>
      </w:r>
      <w:r>
        <w:rPr>
          <w:rStyle w:val="Text7"/>
        </w:rPr>
        <w:t xml:space="preserve">(),</w:t>
        <w:br w:clear="none"/>
      </w:r>
      <w:r>
        <w:rPr>
          <w:rStyle w:val="Text23"/>
        </w:rPr>
        <w:t xml:space="preserve"/>
        <w:br w:clear="none"/>
        <w:t xml:space="preserve">        </w:t>
        <w:br w:clear="none"/>
      </w:r>
      <w:r>
        <w:t xml:space="preserve">'our forefathers brought'</w:t>
        <w:br w:clear="none"/>
      </w:r>
      <w:r>
        <w:rPr>
          <w:rStyle w:val="Text13"/>
        </w:rPr>
        <w:t xml:space="preserve">.</w:t>
        <w:br w:clear="none"/>
      </w:r>
      <w:r>
        <w:rPr>
          <w:rStyle w:val="Text9"/>
        </w:rPr>
        <w:t xml:space="preserve">split</w:t>
        <w:br w:clear="none"/>
      </w:r>
      <w:r>
        <w:rPr>
          <w:rStyle w:val="Text7"/>
        </w:rPr>
        <w:t xml:space="preserve">(),</w:t>
        <w:br w:clear="none"/>
      </w:r>
      <w:r>
        <w:rPr>
          <w:rStyle w:val="Text23"/>
        </w:rPr>
        <w:t xml:space="preserve"/>
        <w:br w:clear="none"/>
        <w:t xml:space="preserve">        </w:t>
        <w:br w:clear="none"/>
      </w:r>
      <w:r>
        <w:t xml:space="preserve">'forth on this'</w:t>
        <w:br w:clear="none"/>
      </w:r>
      <w:r>
        <w:rPr>
          <w:rStyle w:val="Text13"/>
        </w:rPr>
        <w:t xml:space="preserve">.</w:t>
        <w:br w:clear="none"/>
      </w:r>
      <w:r>
        <w:rPr>
          <w:rStyle w:val="Text9"/>
        </w:rPr>
        <w:t xml:space="preserve">split</w:t>
        <w:br w:clear="none"/>
      </w:r>
      <w:r>
        <w:rPr>
          <w:rStyle w:val="Text7"/>
        </w:rPr>
        <w:t xml:space="preserve">(),</w:t>
        <w:br w:clear="none"/>
      </w:r>
      <w:r>
        <w:rPr>
          <w:rStyle w:val="Text23"/>
        </w:rPr>
        <w:t xml:space="preserve"/>
        <w:br w:clear="none"/>
        <w:t xml:space="preserve">    </w:t>
        <w:br w:clear="none"/>
      </w:r>
      <w:r>
        <w:rPr>
          <w:rStyle w:val="Text7"/>
        </w:rPr>
        <w:t xml:space="preserve">]</w:t>
        <w:br w:clear="none"/>
      </w:r>
      <w:r>
        <w:rPr>
          <w:rStyle w:val="Text23"/>
        </w:rPr>
        <w:t xml:space="preserve"/>
        <w:br w:clear="none"/>
        <w:t xml:space="preserve"/>
        <w:br w:clear="none"/>
      </w:r>
      <w:r>
        <w:rPr>
          <w:rStyle w:val="Text9"/>
        </w:rPr>
        <w:t xml:space="preserve">columnar_strings</w:t>
        <w:br w:clear="none"/>
      </w:r>
      <w:r>
        <w:rPr>
          <w:rStyle w:val="Text7"/>
        </w:rPr>
        <w:t xml:space="preserve">(</w:t>
        <w:br w:clear="none"/>
      </w:r>
      <w:r>
        <w:rPr>
          <w:rStyle w:val="Text9"/>
        </w:rPr>
        <w:t xml:space="preserve">c</w:t>
        <w:br w:clear="none"/>
      </w:r>
      <w:r>
        <w:rPr>
          <w:rStyle w:val="Text7"/>
        </w:rPr>
        <w:t xml:space="preserve">,</w:t>
        <w:br w:clear="none"/>
      </w:r>
      <w:r>
        <w:rPr>
          <w:rStyle w:val="Text23"/>
        </w:rPr>
        <w:t xml:space="preserve"> </w:t>
        <w:br w:clear="none"/>
      </w:r>
      <w:r>
        <w:rPr>
          <w:rStyle w:val="Text7"/>
        </w:rPr>
        <w:t xml:space="preserve">(</w:t>
        <w:br w:clear="none"/>
      </w:r>
      <w:r>
        <w:rPr>
          <w:rStyle w:val="Text27"/>
        </w:rPr>
        <w:t xml:space="preserve">8</w:t>
        <w:br w:clear="none"/>
      </w:r>
      <w:r>
        <w:rPr>
          <w:rStyle w:val="Text7"/>
        </w:rPr>
        <w:t xml:space="preserve">,</w:t>
        <w:br w:clear="none"/>
      </w:r>
      <w:r>
        <w:rPr>
          <w:rStyle w:val="Text23"/>
        </w:rPr>
        <w:t xml:space="preserve"> </w:t>
        <w:br w:clear="none"/>
      </w:r>
      <w:r>
        <w:rPr>
          <w:rStyle w:val="Text27"/>
        </w:rPr>
        <w:t xml:space="preserve">8</w:t>
        <w:br w:clear="none"/>
      </w:r>
      <w:r>
        <w:rPr>
          <w:rStyle w:val="Text7"/>
        </w:rPr>
        <w:t xml:space="preserve">,</w:t>
        <w:br w:clear="none"/>
      </w:r>
      <w:r>
        <w:rPr>
          <w:rStyle w:val="Text23"/>
        </w:rPr>
        <w:t xml:space="preserve"> </w:t>
        <w:br w:clear="none"/>
      </w:r>
      <w:r>
        <w:rPr>
          <w:rStyle w:val="Text27"/>
        </w:rPr>
        <w:t xml:space="preserve">8</w:t>
        <w:br w:clear="none"/>
      </w:r>
      <w:r>
        <w:rPr>
          <w:rStyle w:val="Text7"/>
        </w:rPr>
        <w:t xml:space="preserve">))</w:t>
        <w:br w:clear="none"/>
      </w:r>
    </w:p>
    <w:p>
      <w:pPr>
        <w:pStyle w:val="Normal"/>
      </w:pPr>
      <w:r>
        <w:t>prints:</w:t>
      </w:r>
    </w:p>
    <w:p>
      <w:pPr>
        <w:pStyle w:val="Para 008"/>
      </w:pPr>
      <w:r>
        <w:rPr>
          <w:rStyle w:val="Text48"/>
        </w:rPr>
        <w:t xml:space="preserve"/>
        <w:br w:clear="none"/>
      </w:r>
      <w:r>
        <w:t xml:space="preserve">four     score    and</w:t>
        <w:br w:clear="none"/>
      </w:r>
      <w:r>
        <w:rPr>
          <w:rStyle w:val="Text48"/>
        </w:rPr>
        <w:t xml:space="preserve"/>
        <w:br w:clear="none"/>
      </w:r>
      <w:r>
        <w:t xml:space="preserve">seven    years    ago</w:t>
        <w:br w:clear="none"/>
      </w:r>
      <w:r>
        <w:rPr>
          <w:rStyle w:val="Text48"/>
        </w:rPr>
        <w:t xml:space="preserve"/>
        <w:br w:clear="none"/>
      </w:r>
      <w:r>
        <w:t xml:space="preserve">our      forefath brought</w:t>
        <w:br w:clear="none"/>
      </w:r>
      <w:r>
        <w:rPr>
          <w:rStyle w:val="Text48"/>
        </w:rPr>
        <w:t xml:space="preserve"/>
        <w:br w:clear="none"/>
      </w:r>
      <w:r>
        <w:t xml:space="preserve">forth    on       this</w:t>
        <w:br w:clear="none"/>
      </w:r>
    </w:p>
    <w:p>
      <w:bookmarkStart w:id="2360" w:name="Formatting_of_User_Coded_Classes"/>
      <w:pPr>
        <w:keepNext/>
        <w:pStyle w:val="Heading 2"/>
      </w:pPr>
      <w:r>
        <w:t>Formatting of User-Coded Classes</w:t>
      </w:r>
      <w:bookmarkEnd w:id="2360"/>
    </w:p>
    <w:p>
      <w:pPr>
        <w:pStyle w:val="Normal"/>
      </w:pPr>
      <w:r>
        <w:t>Values</w:t>
      </w:r>
      <w:r>
        <w:rPr>
          <w:rStyle w:val="Text111"/>
        </w:rPr>
        <w:bookmarkStart w:id="2361" w:name="idm45965210136960"/>
        <w:t/>
        <w:bookmarkEnd w:id="2361"/>
      </w:r>
      <w:r>
        <w:t xml:space="preserve"> are ultimately formatted by a call to their </w:t>
      </w:r>
      <w:r>
        <w:rPr>
          <w:rStyle w:val="Text0"/>
        </w:rPr>
        <w:t>__format__</w:t>
      </w:r>
      <w:r>
        <w:t xml:space="preserve"> method with the format specifier as an argument. Built-in types either implement their own method or inherit from </w:t>
      </w:r>
      <w:r>
        <w:rPr>
          <w:rStyle w:val="Text0"/>
        </w:rPr>
        <w:t>object</w:t>
      </w:r>
      <w:r>
        <w:t xml:space="preserve">, whose rather unhelpful </w:t>
      </w:r>
      <w:r>
        <w:rPr>
          <w:rStyle w:val="Text0"/>
        </w:rPr>
        <w:t>format</w:t>
      </w:r>
      <w:r>
        <w:t xml:space="preserve"> method only accepts an empty string as an argument:</w:t>
      </w:r>
    </w:p>
    <w:p>
      <w:pPr>
        <w:pStyle w:val="Para 018"/>
      </w:pPr>
      <w:r>
        <w:rPr>
          <w:rStyle w:val="Text104"/>
        </w:rPr>
        <w:t xml:space="preserve"/>
        <w:br w:clear="none"/>
      </w:r>
      <w:r>
        <w:rPr>
          <w:rStyle w:val="Text13"/>
        </w:rPr>
        <w:t xml:space="preserve">&gt;&gt;&gt;</w:t>
        <w:br w:clear="none"/>
      </w:r>
      <w:r>
        <w:rPr>
          <w:rStyle w:val="Text104"/>
        </w:rPr>
        <w:t xml:space="preserve"> </w:t>
        <w:br w:clear="none"/>
      </w:r>
      <w:r>
        <w:rPr>
          <w:rStyle w:val="Text16"/>
        </w:rPr>
        <w:t xml:space="preserve">object</w:t>
        <w:br w:clear="none"/>
      </w:r>
      <w:r>
        <w:rPr>
          <w:rStyle w:val="Text7"/>
        </w:rPr>
        <w:t xml:space="preserve">()</w:t>
        <w:br w:clear="none"/>
      </w:r>
      <w:r>
        <w:rPr>
          <w:rStyle w:val="Text13"/>
        </w:rPr>
        <w:t xml:space="preserve">.</w:t>
        <w:br w:clear="none"/>
      </w:r>
      <w:r>
        <w:t xml:space="preserve">__format__</w:t>
        <w:br w:clear="none"/>
      </w:r>
      <w:r>
        <w:rPr>
          <w:rStyle w:val="Text7"/>
        </w:rPr>
        <w:t xml:space="preserve">(</w:t>
        <w:br w:clear="none"/>
      </w:r>
      <w:r>
        <w:rPr>
          <w:rStyle w:val="Text8"/>
        </w:rPr>
        <w:t xml:space="preserve">''</w:t>
        <w:br w:clear="none"/>
      </w:r>
      <w:r>
        <w:rPr>
          <w:rStyle w:val="Text7"/>
        </w:rPr>
        <w:t xml:space="preserve">)</w:t>
        <w:br w:clear="none"/>
      </w:r>
    </w:p>
    <w:p>
      <w:pPr>
        <w:pStyle w:val="Para 008"/>
      </w:pPr>
      <w:r>
        <w:rPr>
          <w:rStyle w:val="Text48"/>
        </w:rPr>
        <w:t xml:space="preserve"/>
        <w:br w:clear="none"/>
      </w:r>
      <w:r>
        <w:t xml:space="preserve">'&lt;object object at 0x110045070&gt;'</w:t>
        <w:br w:clear="none"/>
      </w:r>
    </w:p>
    <w:p>
      <w:pPr>
        <w:pStyle w:val="Para 018"/>
      </w:pPr>
      <w:r>
        <w:rPr>
          <w:rStyle w:val="Text104"/>
        </w:rPr>
        <w:t xml:space="preserve"/>
        <w:br w:clear="none"/>
      </w:r>
      <w:r>
        <w:rPr>
          <w:rStyle w:val="Text13"/>
        </w:rPr>
        <w:t xml:space="preserve">&gt;&gt;&gt;</w:t>
        <w:br w:clear="none"/>
      </w:r>
      <w:r>
        <w:rPr>
          <w:rStyle w:val="Text104"/>
        </w:rPr>
        <w:t xml:space="preserve"> </w:t>
        <w:br w:clear="none"/>
      </w:r>
      <w:r>
        <w:rPr>
          <w:rStyle w:val="Text39"/>
        </w:rPr>
        <w:t xml:space="preserve">import</w:t>
        <w:br w:clear="none"/>
      </w:r>
      <w:r>
        <w:rPr>
          <w:rStyle w:val="Text104"/>
        </w:rPr>
        <w:t xml:space="preserve"> </w:t>
        <w:br w:clear="none"/>
      </w:r>
      <w:r>
        <w:rPr>
          <w:rStyle w:val="Text20"/>
        </w:rPr>
        <w:t xml:space="preserve">math</w:t>
        <w:br w:clear="none"/>
      </w:r>
      <w:r>
        <w:rPr>
          <w:rStyle w:val="Text104"/>
        </w:rPr>
        <w:t xml:space="preserve"/>
        <w:br w:clear="none"/>
      </w:r>
      <w:r>
        <w:rPr>
          <w:rStyle w:val="Text13"/>
        </w:rPr>
        <w:t xml:space="preserve">&gt;&gt;&gt;</w:t>
        <w:br w:clear="none"/>
      </w:r>
      <w:r>
        <w:rPr>
          <w:rStyle w:val="Text104"/>
        </w:rPr>
        <w:t xml:space="preserve"> </w:t>
        <w:br w:clear="none"/>
      </w:r>
      <w:r>
        <w:rPr>
          <w:rStyle w:val="Text9"/>
        </w:rPr>
        <w:t xml:space="preserve">math</w:t>
        <w:br w:clear="none"/>
      </w:r>
      <w:r>
        <w:rPr>
          <w:rStyle w:val="Text13"/>
        </w:rPr>
        <w:t xml:space="preserve">.</w:t>
        <w:br w:clear="none"/>
      </w:r>
      <w:r>
        <w:rPr>
          <w:rStyle w:val="Text9"/>
        </w:rPr>
        <w:t xml:space="preserve">pi</w:t>
        <w:br w:clear="none"/>
      </w:r>
      <w:r>
        <w:rPr>
          <w:rStyle w:val="Text13"/>
        </w:rPr>
        <w:t xml:space="preserve">.</w:t>
        <w:br w:clear="none"/>
      </w:r>
      <w:r>
        <w:t xml:space="preserve">__format__</w:t>
        <w:br w:clear="none"/>
      </w:r>
      <w:r>
        <w:rPr>
          <w:rStyle w:val="Text7"/>
        </w:rPr>
        <w:t xml:space="preserve">(</w:t>
        <w:br w:clear="none"/>
      </w:r>
      <w:r>
        <w:rPr>
          <w:rStyle w:val="Text8"/>
        </w:rPr>
        <w:t xml:space="preserve">'18.6'</w:t>
        <w:br w:clear="none"/>
      </w:r>
      <w:r>
        <w:rPr>
          <w:rStyle w:val="Text7"/>
        </w:rPr>
        <w:t xml:space="preserve">)</w:t>
        <w:br w:clear="none"/>
      </w:r>
    </w:p>
    <w:p>
      <w:pPr>
        <w:pStyle w:val="Para 008"/>
      </w:pPr>
      <w:r>
        <w:rPr>
          <w:rStyle w:val="Text48"/>
        </w:rPr>
        <w:t xml:space="preserve"/>
        <w:br w:clear="none"/>
      </w:r>
      <w:r>
        <w:t xml:space="preserve">'           3.14159'</w:t>
        <w:br w:clear="none"/>
      </w:r>
    </w:p>
    <w:p>
      <w:pPr>
        <w:pStyle w:val="Normal"/>
      </w:pPr>
      <w:r>
        <w:t>You can use this knowledge to implement an entirely different formatting mini-language of your own, should you so choose. The following simple example demonstrates the passing of format specifications and the return of a (constant) formatted string result. The interpretation of the format specification is under your control, and you may choose to implement whatever formatting notation you choose:</w:t>
      </w:r>
    </w:p>
    <w:p>
      <w:pPr>
        <w:pStyle w:val="Para 018"/>
      </w:pPr>
      <w:r>
        <w:rPr>
          <w:rStyle w:val="Text104"/>
        </w:rPr>
        <w:t xml:space="preserve"/>
        <w:br w:clear="none"/>
      </w:r>
      <w:r>
        <w:rPr>
          <w:rStyle w:val="Text13"/>
        </w:rPr>
        <w:t xml:space="preserve">&gt;&gt;</w:t>
        <w:br w:clear="none"/>
        <w:t xml:space="preserve">&gt;</w:t>
        <w:br w:clear="none"/>
      </w:r>
      <w:r>
        <w:t xml:space="preserve"> </w:t>
        <w:br w:clear="none"/>
      </w:r>
      <w:r>
        <w:rPr>
          <w:rStyle w:val="Text39"/>
        </w:rPr>
        <w:t xml:space="preserve">class</w:t>
        <w:br w:clear="none"/>
      </w:r>
      <w:r>
        <w:t xml:space="preserve"> </w:t>
        <w:br w:clear="none"/>
      </w:r>
      <w:r>
        <w:rPr>
          <w:rStyle w:val="Text33"/>
        </w:rPr>
        <w:t xml:space="preserve">S</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9"/>
        </w:rPr>
        <w:t xml:space="preserve">def</w:t>
        <w:br w:clear="none"/>
      </w:r>
      <w: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value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6"/>
        </w:rPr>
        <w:t xml:space="preserve">self</w:t>
        <w:br w:clear="none"/>
      </w:r>
      <w:r>
        <w:rPr>
          <w:rStyle w:val="Text13"/>
        </w:rPr>
        <w:t xml:space="preserve">.</w:t>
        <w:br w:clear="none"/>
      </w:r>
      <w:r>
        <w:rPr>
          <w:rStyle w:val="Text9"/>
        </w:rPr>
        <w:t xml:space="preserve">value</w:t>
        <w:br w:clear="none"/>
      </w:r>
      <w:r>
        <w:t xml:space="preserve"> </w:t>
        <w:br w:clear="none"/>
      </w:r>
      <w:r>
        <w:rPr>
          <w:rStyle w:val="Text13"/>
        </w:rPr>
        <w:t xml:space="preserve">=</w:t>
        <w:br w:clear="none"/>
      </w:r>
      <w:r>
        <w:t xml:space="preserve"> </w:t>
        <w:br w:clear="none"/>
      </w:r>
      <w:r>
        <w:rPr>
          <w:rStyle w:val="Text9"/>
        </w:rPr>
        <w:t xml:space="preserve">value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def</w:t>
        <w:br w:clear="none"/>
      </w:r>
      <w:r>
        <w:t xml:space="preserve"> </w:t>
        <w:br w:clear="none"/>
        <w:t xml:space="preserve">__format__</w:t>
        <w:br w:clear="none"/>
      </w:r>
      <w:r>
        <w:rPr>
          <w:rStyle w:val="Text7"/>
        </w:rPr>
        <w:t xml:space="preserve">(</w:t>
        <w:br w:clear="none"/>
      </w:r>
      <w:r>
        <w:rPr>
          <w:rStyle w:val="Text16"/>
        </w:rPr>
        <w:t xml:space="preserve">self</w:t>
        <w:br w:clear="none"/>
      </w:r>
      <w:r>
        <w:rPr>
          <w:rStyle w:val="Text7"/>
        </w:rPr>
        <w:t xml:space="preserve">,</w:t>
        <w:br w:clear="none"/>
      </w:r>
      <w:r>
        <w:t xml:space="preserve"> </w:t>
        <w:br w:clear="none"/>
      </w:r>
      <w:r>
        <w:rPr>
          <w:rStyle w:val="Text9"/>
        </w:rPr>
        <w:t xml:space="preserve">fstr</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match</w:t>
        <w:br w:clear="none"/>
      </w:r>
      <w:r>
        <w:t xml:space="preserve"> </w:t>
        <w:br w:clear="none"/>
      </w:r>
      <w:r>
        <w:rPr>
          <w:rStyle w:val="Text9"/>
        </w:rPr>
        <w:t xml:space="preserve">fstr</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8"/>
        </w:rPr>
        <w:t xml:space="preserve">'</w:t>
        <w:br w:clear="none"/>
        <w:t xml:space="preserve">U</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value</w:t>
        <w:br w:clear="none"/>
      </w:r>
      <w:r>
        <w:rPr>
          <w:rStyle w:val="Text13"/>
        </w:rPr>
        <w:t xml:space="preserve">.</w:t>
        <w:br w:clear="none"/>
      </w:r>
      <w:r>
        <w:rPr>
          <w:rStyle w:val="Text9"/>
        </w:rPr>
        <w:t xml:space="preserve">upper</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8"/>
        </w:rPr>
        <w:t xml:space="preserve">'</w:t>
        <w:br w:clear="none"/>
        <w:t xml:space="preserve">L</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value</w:t>
        <w:br w:clear="none"/>
      </w:r>
      <w:r>
        <w:rPr>
          <w:rStyle w:val="Text13"/>
        </w:rPr>
        <w:t xml:space="preserve">.</w:t>
        <w:br w:clear="none"/>
      </w:r>
      <w:r>
        <w:rPr>
          <w:rStyle w:val="Text9"/>
        </w:rPr>
        <w:t xml:space="preserve">lower</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8"/>
        </w:rPr>
        <w:t xml:space="preserve">'</w:t>
        <w:br w:clear="none"/>
        <w:t xml:space="preserve">T</w:t>
        <w:br w:clear="none"/>
        <w:t xml:space="preserve">'</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r>
      <w:r>
        <w:rPr>
          <w:rStyle w:val="Text16"/>
        </w:rPr>
        <w:t xml:space="preserve">self</w:t>
        <w:br w:clear="none"/>
      </w:r>
      <w:r>
        <w:rPr>
          <w:rStyle w:val="Text13"/>
        </w:rPr>
        <w:t xml:space="preserve">.</w:t>
        <w:br w:clear="none"/>
      </w:r>
      <w:r>
        <w:rPr>
          <w:rStyle w:val="Text9"/>
        </w:rPr>
        <w:t xml:space="preserve">value</w:t>
        <w:br w:clear="none"/>
      </w:r>
      <w:r>
        <w:rPr>
          <w:rStyle w:val="Text13"/>
        </w:rPr>
        <w:t xml:space="preserve">.</w:t>
        <w:br w:clear="none"/>
      </w:r>
      <w:r>
        <w:rPr>
          <w:rStyle w:val="Text9"/>
        </w:rPr>
        <w:t xml:space="preserve">title</w:t>
        <w:br w:clear="none"/>
      </w:r>
      <w:r>
        <w:rPr>
          <w:rStyle w:val="Text7"/>
        </w:rPr>
        <w:t xml:space="preserv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38"/>
        </w:rPr>
        <w:t xml:space="preserve">case</w:t>
        <w:br w:clear="none"/>
      </w:r>
      <w:r>
        <w:t xml:space="preserve"> </w:t>
        <w:br w:clear="none"/>
      </w:r>
      <w:r>
        <w:rPr>
          <w:rStyle w:val="Text9"/>
        </w:rPr>
        <w:t xml:space="preserve">_</w:t>
        <w:br w:clear="none"/>
      </w:r>
      <w:r>
        <w:rPr>
          <w:rStyle w:val="Text7"/>
        </w:rPr>
        <w:t xml:space="preserve">:</w:t>
        <w:br w:clear="none"/>
      </w:r>
      <w:r>
        <w:t xml:space="preserve"/>
        <w:br w:clear="none"/>
      </w:r>
      <w:r>
        <w:rPr>
          <w:rStyle w:val="Text13"/>
        </w:rPr>
        <w:t xml:space="preserve">.</w:t>
        <w:br w:clear="none"/>
        <w:t xml:space="preserve">.</w:t>
        <w:br w:clear="none"/>
        <w:t xml:space="preserve">.</w:t>
        <w:br w:clear="none"/>
      </w:r>
      <w:r>
        <w:t xml:space="preserve">                 </w:t>
        <w:br w:clear="none"/>
      </w:r>
      <w:r>
        <w:rPr>
          <w:rStyle w:val="Text10"/>
        </w:rPr>
        <w:t xml:space="preserve">return</w:t>
        <w:br w:clear="none"/>
      </w:r>
      <w:r>
        <w:t xml:space="preserve"> </w:t>
        <w:br w:clear="none"/>
      </w:r>
      <w:r>
        <w:rPr>
          <w:rStyle w:val="Text36"/>
        </w:rPr>
        <w:t xml:space="preserve">ValueError</w:t>
        <w:br w:clear="none"/>
      </w:r>
      <w:r>
        <w:rPr>
          <w:rStyle w:val="Text7"/>
        </w:rPr>
        <w:t xml:space="preserve">(</w:t>
        <w:br w:clear="none"/>
      </w:r>
      <w:r>
        <w:t xml:space="preserve">f</w:t>
        <w:br w:clear="none"/>
      </w:r>
      <w:r>
        <w:rPr>
          <w:rStyle w:val="Text8"/>
        </w:rPr>
        <w:t xml:space="preserve">'</w:t>
        <w:br w:clear="none"/>
        <w:t xml:space="preserve">Unrecognized format code</w:t>
        <w:br w:clear="none"/>
        <w:t xml:space="preserve">'</w:t>
        <w:br w:clear="none"/>
      </w:r>
      <w:r>
        <w:t xml:space="preserve"/>
        <w:br w:clear="none"/>
      </w:r>
      <w:r>
        <w:rPr>
          <w:rStyle w:val="Text13"/>
        </w:rPr>
        <w:t xml:space="preserve">.</w:t>
        <w:br w:clear="none"/>
        <w:t xml:space="preserve">.</w:t>
        <w:br w:clear="none"/>
        <w:t xml:space="preserve">.</w:t>
        <w:br w:clear="none"/>
      </w:r>
      <w:r>
        <w:t xml:space="preserve">                                   </w:t>
        <w:br w:clear="none"/>
        <w:t xml:space="preserve">f</w:t>
        <w:br w:clear="none"/>
      </w:r>
      <w:r>
        <w:rPr>
          <w:rStyle w:val="Text8"/>
        </w:rPr>
        <w:t xml:space="preserve">'</w:t>
        <w:br w:clear="none"/>
        <w:t xml:space="preserve"> </w:t>
        <w:br w:clear="none"/>
      </w:r>
      <w:r>
        <w:rPr>
          <w:rStyle w:val="Text32"/>
        </w:rPr>
        <w:t xml:space="preserve">{</w:t>
        <w:br w:clear="none"/>
      </w:r>
      <w:r>
        <w:rPr>
          <w:rStyle w:val="Text9"/>
        </w:rPr>
        <w:t xml:space="preserve">fstr</w:t>
        <w:br w:clear="none"/>
      </w:r>
      <w:r>
        <w:rPr>
          <w:rStyle w:val="Text32"/>
        </w:rPr>
        <w:t xml:space="preserve">!r}</w:t>
        <w:br w:clear="none"/>
      </w:r>
      <w:r>
        <w:rPr>
          <w:rStyle w:val="Text8"/>
        </w:rPr>
        <w:t xml:space="preserve">'</w:t>
        <w:br w:clear="none"/>
      </w:r>
      <w:r>
        <w:rPr>
          <w:rStyle w:val="Text7"/>
        </w:rPr>
        <w:t xml:space="preserve">)</w:t>
        <w:br w:clear="none"/>
      </w:r>
      <w:r>
        <w:t xml:space="preserve"/>
        <w:br w:clear="none"/>
      </w:r>
      <w:r>
        <w:rPr>
          <w:rStyle w:val="Text13"/>
        </w:rPr>
        <w:t xml:space="preserve">&gt;&gt;</w:t>
        <w:br w:clear="none"/>
        <w:t xml:space="preserve">&gt;</w:t>
        <w:br w:clear="none"/>
      </w:r>
      <w:r>
        <w:t xml:space="preserve"> </w:t>
        <w:br w:clear="none"/>
      </w:r>
      <w:r>
        <w:rPr>
          <w:rStyle w:val="Text9"/>
        </w:rPr>
        <w:t xml:space="preserve">my_s</w:t>
        <w:br w:clear="none"/>
      </w:r>
      <w:r>
        <w:t xml:space="preserve"> </w:t>
        <w:br w:clear="none"/>
      </w:r>
      <w:r>
        <w:rPr>
          <w:rStyle w:val="Text13"/>
        </w:rPr>
        <w:t xml:space="preserve">=</w:t>
        <w:br w:clear="none"/>
      </w:r>
      <w:r>
        <w:t xml:space="preserve"> </w:t>
        <w:br w:clear="none"/>
      </w:r>
      <w:r>
        <w:rPr>
          <w:rStyle w:val="Text9"/>
        </w:rPr>
        <w:t xml:space="preserve">S</w:t>
        <w:br w:clear="none"/>
      </w:r>
      <w:r>
        <w:rPr>
          <w:rStyle w:val="Text7"/>
        </w:rPr>
        <w:t xml:space="preserve">(</w:t>
        <w:br w:clear="none"/>
      </w:r>
      <w:r>
        <w:rPr>
          <w:rStyle w:val="Text8"/>
        </w:rPr>
        <w:t xml:space="preserve">'</w:t>
        <w:br w:clear="none"/>
        <w:t xml:space="preserve">random string</w:t>
        <w:br w:clear="none"/>
        <w:t xml:space="preserve">'</w:t>
        <w:br w:clear="none"/>
      </w:r>
      <w:r>
        <w:rPr>
          <w:rStyle w:val="Text7"/>
        </w:rPr>
        <w:t xml:space="preserve">)</w:t>
        <w:br w:clear="none"/>
      </w:r>
      <w:r>
        <w:t xml:space="preserve"/>
        <w:br w:clear="none"/>
      </w:r>
      <w:r>
        <w:rPr>
          <w:rStyle w:val="Text13"/>
        </w:rPr>
        <w:t xml:space="preserve">&gt;&gt;</w:t>
        <w:br w:clear="none"/>
        <w:t xml:space="preserve">&gt;</w:t>
        <w:br w:clear="none"/>
      </w:r>
      <w:r>
        <w:t xml:space="preserve"> </w:t>
        <w:br w:clear="none"/>
        <w:t xml:space="preserve">f</w:t>
        <w:br w:clear="none"/>
      </w:r>
      <w:r>
        <w:rPr>
          <w:rStyle w:val="Text8"/>
        </w:rPr>
        <w:t xml:space="preserve">'</w:t>
        <w:br w:clear="none"/>
      </w:r>
      <w:r>
        <w:rPr>
          <w:rStyle w:val="Text32"/>
        </w:rPr>
        <w:t xml:space="preserve">{</w:t>
        <w:br w:clear="none"/>
      </w:r>
      <w:r>
        <w:rPr>
          <w:rStyle w:val="Text9"/>
        </w:rPr>
        <w:t xml:space="preserve">my_s</w:t>
        <w:br w:clear="none"/>
      </w:r>
      <w:r>
        <w:rPr>
          <w:rStyle w:val="Text32"/>
        </w:rPr>
        <w:t xml:space="preserve">:</w:t>
        <w:br w:clear="none"/>
      </w:r>
      <w:r>
        <w:rPr>
          <w:rStyle w:val="Text8"/>
        </w:rPr>
        <w:t xml:space="preserve">L</w:t>
        <w:br w:clear="none"/>
      </w:r>
      <w:r>
        <w:rPr>
          <w:rStyle w:val="Text32"/>
        </w:rPr>
        <w:t xml:space="preserve">}</w:t>
        <w:br w:clear="none"/>
      </w:r>
      <w:r>
        <w:rPr>
          <w:rStyle w:val="Text8"/>
        </w:rPr>
        <w:t xml:space="preserve">, </w:t>
        <w:br w:clear="none"/>
      </w:r>
      <w:r>
        <w:rPr>
          <w:rStyle w:val="Text32"/>
        </w:rPr>
        <w:t xml:space="preserve">{</w:t>
        <w:br w:clear="none"/>
      </w:r>
      <w:r>
        <w:rPr>
          <w:rStyle w:val="Text9"/>
        </w:rPr>
        <w:t xml:space="preserve">my_s</w:t>
        <w:br w:clear="none"/>
      </w:r>
      <w:r>
        <w:rPr>
          <w:rStyle w:val="Text32"/>
        </w:rPr>
        <w:t xml:space="preserve">:</w:t>
        <w:br w:clear="none"/>
      </w:r>
      <w:r>
        <w:rPr>
          <w:rStyle w:val="Text8"/>
        </w:rPr>
        <w:t xml:space="preserve">U</w:t>
        <w:br w:clear="none"/>
      </w:r>
      <w:r>
        <w:rPr>
          <w:rStyle w:val="Text32"/>
        </w:rPr>
        <w:t xml:space="preserve">}</w:t>
        <w:br w:clear="none"/>
      </w:r>
      <w:r>
        <w:rPr>
          <w:rStyle w:val="Text8"/>
        </w:rPr>
        <w:t xml:space="preserve">, </w:t>
        <w:br w:clear="none"/>
      </w:r>
      <w:r>
        <w:rPr>
          <w:rStyle w:val="Text32"/>
        </w:rPr>
        <w:t xml:space="preserve">{</w:t>
        <w:br w:clear="none"/>
      </w:r>
      <w:r>
        <w:rPr>
          <w:rStyle w:val="Text9"/>
        </w:rPr>
        <w:t xml:space="preserve">my_s</w:t>
        <w:br w:clear="none"/>
      </w:r>
      <w:r>
        <w:rPr>
          <w:rStyle w:val="Text32"/>
        </w:rPr>
        <w:t xml:space="preserve">:</w:t>
        <w:br w:clear="none"/>
      </w:r>
      <w:r>
        <w:rPr>
          <w:rStyle w:val="Text8"/>
        </w:rPr>
        <w:t xml:space="preserve">T</w:t>
        <w:br w:clear="none"/>
      </w:r>
      <w:r>
        <w:rPr>
          <w:rStyle w:val="Text32"/>
        </w:rPr>
        <w:t xml:space="preserve">}</w:t>
        <w:br w:clear="none"/>
      </w:r>
      <w:r>
        <w:rPr>
          <w:rStyle w:val="Text8"/>
        </w:rPr>
        <w:t xml:space="preserve">'</w:t>
        <w:br w:clear="none"/>
      </w:r>
    </w:p>
    <w:p>
      <w:pPr>
        <w:pStyle w:val="Para 008"/>
      </w:pPr>
      <w:r>
        <w:rPr>
          <w:rStyle w:val="Text48"/>
        </w:rPr>
        <w:t xml:space="preserve"/>
        <w:br w:clear="none"/>
      </w:r>
      <w:r>
        <w:t xml:space="preserve">'random string, RANDOM STRING, Random String'</w:t>
        <w:br w:clear="none"/>
      </w:r>
    </w:p>
    <w:p>
      <w:pPr>
        <w:pStyle w:val="Normal"/>
      </w:pPr>
      <w:r>
        <w:t xml:space="preserve">The return value of the </w:t>
      </w:r>
      <w:r>
        <w:rPr>
          <w:rStyle w:val="Text0"/>
        </w:rPr>
        <w:t>__format__</w:t>
      </w:r>
      <w:r>
        <w:t xml:space="preserve"> method is substituted for the replacement field in the formatted output, allowing any desired interpretation of the format string.</w:t>
      </w:r>
    </w:p>
    <w:p>
      <w:pPr>
        <w:pStyle w:val="Normal"/>
      </w:pPr>
      <w:r>
        <w:t xml:space="preserve">This technique is used in the </w:t>
      </w:r>
      <w:r>
        <w:rPr>
          <w:rStyle w:val="Text0"/>
        </w:rPr>
        <w:t>datetime</w:t>
      </w:r>
      <w:r>
        <w:t xml:space="preserve"> module, to allow the use of </w:t>
      </w:r>
      <w:r>
        <w:rPr>
          <w:rStyle w:val="Text0"/>
        </w:rPr>
        <w:t>strftime</w:t>
      </w:r>
      <w:r>
        <w:t>-style format strings. Consequently, the following all give the same result:</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datetime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t xml:space="preserve">datetime</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w:t>
        <w:br w:clear="none"/>
      </w:r>
      <w:r>
        <w:rPr>
          <w:rStyle w:val="Text13"/>
        </w:rPr>
        <w:t xml:space="preserve">.</w:t>
        <w:br w:clear="none"/>
      </w:r>
      <w:r>
        <w:rPr>
          <w:rStyle w:val="Text6"/>
        </w:rPr>
        <w:t xml:space="preserve">__format__</w:t>
        <w:br w:clear="none"/>
      </w:r>
      <w:r>
        <w:rPr>
          <w:rStyle w:val="Text7"/>
        </w:rPr>
        <w:t xml:space="preserve">(</w:t>
        <w:br w:clear="none"/>
      </w:r>
      <w:r>
        <w:rPr>
          <w:rStyle w:val="Text8"/>
        </w:rPr>
        <w:t xml:space="preserve">'</w:t>
        <w:br w:clear="none"/>
      </w:r>
      <w:r>
        <w:rPr>
          <w:rStyle w:val="Text32"/>
        </w:rPr>
        <w:t xml:space="preserve">%d</w:t>
        <w:br w:clear="none"/>
      </w:r>
      <w:r>
        <w:rPr>
          <w:rStyle w:val="Text8"/>
        </w:rPr>
        <w:t xml:space="preserve">/</w:t>
        <w:br w:clear="none"/>
      </w:r>
      <w:r>
        <w:rPr>
          <w:rStyle w:val="Text32"/>
        </w:rPr>
        <w:t xml:space="preserve">%m</w:t>
        <w:br w:clear="none"/>
      </w:r>
      <w:r>
        <w:rPr>
          <w:rStyle w:val="Text8"/>
        </w:rPr>
        <w:t xml:space="preserve">/</w:t>
        <w:br w:clear="none"/>
        <w:t xml:space="preserve">%</w:t>
        <w:br w:clear="none"/>
        <w:t xml:space="preserve">y</w:t>
        <w:br w:clear="none"/>
        <w:t xml:space="preserve">'</w:t>
        <w:br w:clear="none"/>
      </w:r>
      <w:r>
        <w:rPr>
          <w:rStyle w:val="Text7"/>
        </w:rPr>
        <w:t xml:space="preserve">)</w:t>
        <w:br w:clear="none"/>
      </w:r>
    </w:p>
    <w:p>
      <w:pPr>
        <w:pStyle w:val="Para 008"/>
      </w:pPr>
      <w:r>
        <w:rPr>
          <w:rStyle w:val="Text48"/>
        </w:rPr>
        <w:t xml:space="preserve"/>
        <w:br w:clear="none"/>
      </w:r>
      <w:r>
        <w:t xml:space="preserve">'10/04/22'</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t xml:space="preserve">'{:</w:t>
        <w:br w:clear="none"/>
      </w:r>
      <w:r>
        <w:rPr>
          <w:rStyle w:val="Text32"/>
        </w:rPr>
        <w:t xml:space="preserve">%d</w:t>
        <w:br w:clear="none"/>
      </w:r>
      <w:r>
        <w:t xml:space="preserve">/</w:t>
        <w:br w:clear="none"/>
      </w:r>
      <w:r>
        <w:rPr>
          <w:rStyle w:val="Text32"/>
        </w:rPr>
        <w:t xml:space="preserve">%m</w:t>
        <w:br w:clear="none"/>
      </w:r>
      <w:r>
        <w:t xml:space="preserve">/%y}'</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d</w:t>
        <w:br w:clear="none"/>
      </w:r>
      <w:r>
        <w:rPr>
          <w:rStyle w:val="Text7"/>
        </w:rPr>
        <w:t xml:space="preserve">)</w:t>
        <w:br w:clear="none"/>
      </w:r>
    </w:p>
    <w:p>
      <w:pPr>
        <w:pStyle w:val="Para 008"/>
      </w:pPr>
      <w:r>
        <w:rPr>
          <w:rStyle w:val="Text48"/>
        </w:rPr>
        <w:t xml:space="preserve"/>
        <w:br w:clear="none"/>
      </w:r>
      <w:r>
        <w:t xml:space="preserve">'10/04/22'</w:t>
        <w:br w:clear="none"/>
      </w:r>
    </w:p>
    <w:p>
      <w:pPr>
        <w:pStyle w:val="Para 020"/>
      </w:pPr>
      <w:r>
        <w:rPr>
          <w:rStyle w:val="Text23"/>
        </w:rPr>
        <w:t xml:space="preserve"/>
        <w:br w:clear="none"/>
      </w:r>
      <w:r>
        <w:rPr>
          <w:rStyle w:val="Text13"/>
        </w:rPr>
        <w:t xml:space="preserve">&gt;&gt;</w:t>
        <w:br w:clear="none"/>
        <w:t xml:space="preserve">&gt;</w:t>
        <w:br w:clear="none"/>
      </w:r>
      <w:r>
        <w:rPr>
          <w:rStyle w:val="Text6"/>
        </w:rPr>
        <w:t xml:space="preserve"> </w:t>
        <w:br w:clear="none"/>
        <w:t xml:space="preserve">f</w:t>
        <w:br w:clear="none"/>
      </w:r>
      <w:r>
        <w:t xml:space="preserve">'</w:t>
        <w:br w:clear="none"/>
      </w:r>
      <w:r>
        <w:rPr>
          <w:rStyle w:val="Text32"/>
        </w:rPr>
        <w:t xml:space="preserve">{</w:t>
        <w:br w:clear="none"/>
        <w:t xml:space="preserve">d:</w:t>
        <w:br w:clear="none"/>
      </w:r>
      <w:r>
        <w:t xml:space="preserve">%d/%m/%y</w:t>
        <w:br w:clear="none"/>
      </w:r>
      <w:r>
        <w:rPr>
          <w:rStyle w:val="Text32"/>
        </w:rPr>
        <w:t xml:space="preserve">}</w:t>
        <w:br w:clear="none"/>
      </w:r>
      <w:r>
        <w:t xml:space="preserve">'</w:t>
        <w:br w:clear="none"/>
      </w:r>
    </w:p>
    <w:p>
      <w:pPr>
        <w:pStyle w:val="Para 008"/>
      </w:pPr>
      <w:r>
        <w:rPr>
          <w:rStyle w:val="Text48"/>
        </w:rPr>
        <w:t xml:space="preserve"/>
        <w:br w:clear="none"/>
      </w:r>
      <w:r>
        <w:t xml:space="preserve">'10/04/22'</w:t>
        <w:br w:clear="none"/>
      </w:r>
    </w:p>
    <w:p>
      <w:pPr>
        <w:pStyle w:val="Normal"/>
      </w:pPr>
      <w:r>
        <w:t xml:space="preserve">To help you format your objects more easily, the </w:t>
      </w:r>
      <w:r>
        <w:rPr>
          <w:rStyle w:val="Text0"/>
        </w:rPr>
        <w:t>string</w:t>
      </w:r>
      <w:r>
        <w:t xml:space="preserve"> module provides a </w:t>
      </w:r>
      <w:r>
        <w:rPr>
          <w:rStyle w:val="Text0"/>
        </w:rPr>
        <w:t>Formatter</w:t>
      </w:r>
      <w:r>
        <w:t xml:space="preserve"> class with many helpful methods for handling formatting tasks. See the </w:t>
      </w:r>
      <w:hyperlink r:id="rId321">
        <w:r>
          <w:rPr>
            <w:rStyle w:val="Text1"/>
          </w:rPr>
          <w:t>online docs</w:t>
        </w:r>
      </w:hyperlink>
      <w:r>
        <w:t xml:space="preserve"> for details.</w:t>
      </w:r>
    </w:p>
    <w:p>
      <w:bookmarkStart w:id="2362" w:name="Legacy_String_Formatting_with"/>
      <w:pPr>
        <w:keepNext/>
        <w:pStyle w:val="Heading 2"/>
      </w:pPr>
      <w:r>
        <w:t>Legacy String Formatting with %</w:t>
      </w:r>
      <w:bookmarkEnd w:id="2362"/>
    </w:p>
    <w:p>
      <w:pPr>
        <w:pStyle w:val="Normal"/>
      </w:pPr>
      <w:r>
        <w:t>A</w:t>
      </w:r>
      <w:r>
        <w:rPr>
          <w:rStyle w:val="Text111"/>
        </w:rPr>
        <w:bookmarkStart w:id="2363" w:name="idm45965209755024"/>
        <w:t/>
        <w:bookmarkEnd w:id="2363"/>
        <w:bookmarkStart w:id="2364" w:name="idm45965209753920"/>
        <w:t/>
        <w:bookmarkEnd w:id="2364"/>
        <w:bookmarkStart w:id="2365" w:name="idm45965209752576"/>
        <w:t/>
        <w:bookmarkEnd w:id="2365"/>
      </w:r>
      <w:r>
        <w:t xml:space="preserve"> legacy form of string formatting expression in Python has the syntax:</w:t>
      </w:r>
    </w:p>
    <w:p>
      <w:pPr>
        <w:pStyle w:val="Para 088"/>
      </w:pPr>
      <w:r>
        <w:rPr>
          <w:rStyle w:val="Text116"/>
        </w:rPr>
        <w:t xml:space="preserve"/>
        <w:br w:clear="none"/>
      </w:r>
      <w:r>
        <w:t xml:space="preserve">format</w:t>
        <w:br w:clear="none"/>
      </w:r>
      <w:r>
        <w:rPr>
          <w:rStyle w:val="Text11"/>
        </w:rPr>
        <w:t xml:space="preserve"> </w:t>
        <w:br w:clear="none"/>
      </w:r>
      <w:r>
        <w:rPr>
          <w:rStyle w:val="Text28"/>
        </w:rPr>
        <w:t xml:space="preserve">%</w:t>
        <w:br w:clear="none"/>
      </w:r>
      <w:r>
        <w:rPr>
          <w:rStyle w:val="Text11"/>
        </w:rPr>
        <w:t xml:space="preserve"> </w:t>
        <w:br w:clear="none"/>
      </w:r>
      <w:r>
        <w:rPr>
          <w:rStyle w:val="Text9"/>
        </w:rPr>
        <w:t xml:space="preserve">values</w:t>
        <w:br w:clear="none"/>
      </w:r>
    </w:p>
    <w:p>
      <w:pPr>
        <w:pStyle w:val="Normal"/>
      </w:pPr>
      <w:r>
        <w:t xml:space="preserve">where </w:t>
      </w:r>
      <w:r>
        <w:rPr>
          <w:rStyle w:val="Text3"/>
        </w:rPr>
        <w:t>format</w:t>
      </w:r>
      <w:r>
        <w:t xml:space="preserve"> is a </w:t>
      </w:r>
      <w:r>
        <w:rPr>
          <w:rStyle w:val="Text0"/>
        </w:rPr>
        <w:t>str</w:t>
      </w:r>
      <w:r>
        <w:t xml:space="preserve">, </w:t>
      </w:r>
      <w:r>
        <w:rPr>
          <w:rStyle w:val="Text0"/>
        </w:rPr>
        <w:t>bytes</w:t>
      </w:r>
      <w:r>
        <w:t xml:space="preserve">, or </w:t>
      </w:r>
      <w:r>
        <w:rPr>
          <w:rStyle w:val="Text0"/>
        </w:rPr>
        <w:t>bytearray</w:t>
      </w:r>
      <w:r>
        <w:t xml:space="preserve"> object containing format specifiers, and </w:t>
      </w:r>
      <w:r>
        <w:rPr>
          <w:rStyle w:val="Text3"/>
        </w:rPr>
        <w:t>values</w:t>
      </w:r>
      <w:r>
        <w:t xml:space="preserve"> are the values to format, usually as a tuple.</w:t>
      </w:r>
      <w:hyperlink w:anchor="1_In_this_book_we_cover_only_a_s">
        <w:r>
          <w:rPr>
            <w:rStyle w:val="Text41"/>
          </w:rPr>
          <w:bookmarkStart w:id="2366" w:name="1_9"/>
          <w:t>1</w:t>
          <w:bookmarkEnd w:id="2366"/>
        </w:r>
      </w:hyperlink>
      <w:r>
        <w:t xml:space="preserve"> Unlike Python’s newer formatting capabilities, you can also use </w:t>
      </w:r>
      <w:r>
        <w:rPr>
          <w:rStyle w:val="Text0"/>
        </w:rPr>
        <w:t>%</w:t>
      </w:r>
      <w:r>
        <w:t xml:space="preserve"> formatting with </w:t>
      </w:r>
      <w:r>
        <w:rPr>
          <w:rStyle w:val="Text0"/>
        </w:rPr>
        <w:t>bytes</w:t>
      </w:r>
      <w:r>
        <w:t xml:space="preserve"> and </w:t>
      </w:r>
      <w:r>
        <w:rPr>
          <w:rStyle w:val="Text0"/>
        </w:rPr>
        <w:t>bytearray</w:t>
      </w:r>
      <w:r>
        <w:t xml:space="preserve"> objects, not just </w:t>
      </w:r>
      <w:r>
        <w:rPr>
          <w:rStyle w:val="Text0"/>
        </w:rPr>
        <w:t>str</w:t>
      </w:r>
      <w:r>
        <w:t xml:space="preserve"> ones.</w:t>
      </w:r>
    </w:p>
    <w:p>
      <w:pPr>
        <w:pStyle w:val="Normal"/>
      </w:pPr>
      <w:r>
        <w:t xml:space="preserve">The equivalent use in </w:t>
      </w:r>
      <w:r>
        <w:rPr>
          <w:rStyle w:val="Text0"/>
        </w:rPr>
        <w:t>logging</w:t>
      </w:r>
      <w:r>
        <w:t xml:space="preserve"> would be, for example:</w:t>
      </w:r>
    </w:p>
    <w:p>
      <w:pPr>
        <w:pStyle w:val="Para 007"/>
      </w:pPr>
      <w:r>
        <w:rPr>
          <w:rStyle w:val="Text23"/>
        </w:rPr>
        <w:t xml:space="preserve"/>
        <w:br w:clear="none"/>
      </w:r>
      <w:r>
        <w:t xml:space="preserve">logging</w:t>
        <w:br w:clear="none"/>
      </w:r>
      <w:r>
        <w:rPr>
          <w:rStyle w:val="Text13"/>
        </w:rPr>
        <w:t xml:space="preserve">.</w:t>
        <w:br w:clear="none"/>
      </w:r>
      <w:r>
        <w:t xml:space="preserve">info</w:t>
        <w:br w:clear="none"/>
      </w:r>
      <w:r>
        <w:rPr>
          <w:rStyle w:val="Text7"/>
        </w:rPr>
        <w:t xml:space="preserve">(</w:t>
        <w:br w:clear="none"/>
      </w:r>
      <w:r>
        <w:rPr>
          <w:rStyle w:val="Text21"/>
        </w:rPr>
        <w:t xml:space="preserve">format</w:t>
        <w:br w:clear="none"/>
      </w:r>
      <w:r>
        <w:rPr>
          <w:rStyle w:val="Text7"/>
        </w:rPr>
        <w:t xml:space="preserve">,</w:t>
        <w:br w:clear="none"/>
      </w:r>
      <w:r>
        <w:rPr>
          <w:rStyle w:val="Text6"/>
        </w:rPr>
        <w:t xml:space="preserve"> </w:t>
        <w:br w:clear="none"/>
      </w:r>
      <w:r>
        <w:rPr>
          <w:rStyle w:val="Text13"/>
        </w:rPr>
        <w:t xml:space="preserve">*</w:t>
        <w:br w:clear="none"/>
      </w:r>
      <w:r>
        <w:rPr>
          <w:rStyle w:val="Text4"/>
        </w:rPr>
        <w:t xml:space="preserve">values</w:t>
        <w:br w:clear="none"/>
      </w:r>
      <w:r>
        <w:rPr>
          <w:rStyle w:val="Text7"/>
        </w:rPr>
        <w:t xml:space="preserve">)</w:t>
        <w:br w:clear="none"/>
      </w:r>
    </w:p>
    <w:p>
      <w:pPr>
        <w:pStyle w:val="Normal"/>
      </w:pPr>
      <w:r>
        <w:t xml:space="preserve">with the </w:t>
      </w:r>
      <w:r>
        <w:rPr>
          <w:rStyle w:val="Text3"/>
        </w:rPr>
        <w:t>values</w:t>
      </w:r>
      <w:r>
        <w:t xml:space="preserve"> coming as positional arguments after the </w:t>
      </w:r>
      <w:r>
        <w:rPr>
          <w:rStyle w:val="Text3"/>
        </w:rPr>
        <w:t>format</w:t>
      </w:r>
      <w:r>
        <w:t>.</w:t>
      </w:r>
    </w:p>
    <w:p>
      <w:pPr>
        <w:pStyle w:val="Normal"/>
      </w:pPr>
      <w:r>
        <w:t xml:space="preserve">The legacy string-formatting approach has roughly the same set of features as the C language’s </w:t>
      </w:r>
      <w:r>
        <w:rPr>
          <w:rStyle w:val="Text0"/>
        </w:rPr>
        <w:t>printf</w:t>
      </w:r>
      <w:r>
        <w:t xml:space="preserve"> and operates in a similar way. Each format specifier is a substring of </w:t>
      </w:r>
      <w:r>
        <w:rPr>
          <w:rStyle w:val="Text3"/>
        </w:rPr>
        <w:t>format</w:t>
      </w:r>
      <w:r>
        <w:t xml:space="preserve"> that starts with a percent sign (</w:t>
      </w:r>
      <w:r>
        <w:rPr>
          <w:rStyle w:val="Text0"/>
        </w:rPr>
        <w:t>%</w:t>
      </w:r>
      <w:r>
        <w:t xml:space="preserve">) and ends with one of the conversion characters shown in </w:t>
      </w:r>
      <w:hyperlink w:anchor="Table_9_7__String_formatting_con">
        <w:r>
          <w:rPr>
            <w:rStyle w:val="Text1"/>
          </w:rPr>
          <w:t>Table 9-7</w:t>
        </w:r>
      </w:hyperlink>
      <w:r>
        <w:t>.</w:t>
      </w:r>
    </w:p>
    <w:tbl>
      <w:tblPr>
        <w:tblW w:type="auto" w:w="0"/>
      </w:tblPr>
      <w:tr>
        <w:tc>
          <w:tcPr>
            <w:tcW w:type="auto" w:w="0"/>
            <w:tcMar>
              <w:left w:type="dxa" w:w="200"/>
              <w:top w:type="dxa" w:w="200"/>
              <w:right w:type="dxa" w:w="200"/>
              <w:bottom w:type="dxa" w:w="200"/>
            </w:tcMar>
            <w:vAlign w:val="center"/>
          </w:tcPr>
          <w:p>
            <w:bookmarkStart w:id="2367" w:name="Table_9_7__String_formatting_con"/>
            <w:pPr>
              <w:pStyle w:val="Para 011"/>
            </w:pPr>
            <w:r>
              <w:rPr>
                <w:rStyle w:val="Text117"/>
              </w:rPr>
              <w:t/>
            </w:r>
            <w:r>
              <w:t xml:space="preserve">Table 9-7. </w:t>
              <w:t>String-formatting conversion characters</w:t>
            </w:r>
            <w:bookmarkEnd w:id="2367"/>
          </w:p>
          <w:p>
            <w:pPr>
              <w:pStyle w:val="Para 013"/>
            </w:pPr>
            <w:r>
              <w:t>Character</w:t>
            </w:r>
          </w:p>
        </w:tc>
        <w:tc>
          <w:tcPr>
            <w:tcW w:type="auto" w:w="0"/>
            <w:tcMar>
              <w:left w:type="dxa" w:w="200"/>
              <w:top w:type="dxa" w:w="200"/>
              <w:right w:type="dxa" w:w="200"/>
              <w:bottom w:type="dxa" w:w="200"/>
            </w:tcMar>
            <w:vAlign w:val="center"/>
          </w:tcPr>
          <w:p>
            <w:pPr>
              <w:pStyle w:val="Para 013"/>
            </w:pPr>
            <w:r>
              <w:t>Output format</w:t>
            </w:r>
          </w:p>
        </w:tc>
        <w:tc>
          <w:tcPr>
            <w:tcW w:type="auto" w:w="0"/>
            <w:tcMar>
              <w:left w:type="dxa" w:w="200"/>
              <w:top w:type="dxa" w:w="200"/>
              <w:right w:type="dxa" w:w="200"/>
              <w:bottom w:type="dxa" w:w="200"/>
            </w:tcMar>
            <w:vAlign w:val="center"/>
          </w:tcPr>
          <w:p>
            <w:pPr>
              <w:pStyle w:val="Para 013"/>
            </w:pPr>
            <w:r>
              <w:t>Notes</w:t>
            </w:r>
          </w:p>
        </w:tc>
      </w:tr>
    </w:tbl>
    <w:tbl>
      <w:tblPr>
        <w:tblW w:type="auto" w:w="0"/>
      </w:tblPr>
      <w:tr>
        <w:tc>
          <w:tcPr>
            <w:tcW w:type="auto" w:w="0"/>
            <w:tcMar>
              <w:left w:type="dxa" w:w="200"/>
              <w:top w:type="dxa" w:w="200"/>
              <w:right w:type="dxa" w:w="200"/>
              <w:bottom w:type="dxa" w:w="200"/>
            </w:tcMar>
          </w:tcPr>
          <w:p>
            <w:pPr>
              <w:pStyle w:val="Para 001"/>
            </w:pPr>
            <w:r>
              <w:t>d</w:t>
            </w:r>
            <w:r>
              <w:rPr>
                <w:rStyle w:val="Text12"/>
              </w:rPr>
              <w:t xml:space="preserve">, </w:t>
            </w:r>
            <w:r>
              <w:t>i</w:t>
            </w:r>
          </w:p>
        </w:tc>
        <w:tc>
          <w:tcPr>
            <w:tcW w:type="auto" w:w="0"/>
            <w:tcMar>
              <w:left w:type="dxa" w:w="200"/>
              <w:top w:type="dxa" w:w="200"/>
              <w:right w:type="dxa" w:w="200"/>
              <w:bottom w:type="dxa" w:w="200"/>
            </w:tcMar>
          </w:tcPr>
          <w:p>
            <w:pPr>
              <w:pStyle w:val="Para 002"/>
            </w:pPr>
            <w:r>
              <w:t>Signed decimal integer</w:t>
            </w:r>
          </w:p>
        </w:tc>
        <w:tc>
          <w:tcPr>
            <w:tcW w:type="auto" w:w="0"/>
            <w:tcMar>
              <w:left w:type="dxa" w:w="200"/>
              <w:top w:type="dxa" w:w="200"/>
              <w:right w:type="dxa" w:w="200"/>
              <w:bottom w:type="dxa" w:w="200"/>
            </w:tcMar>
          </w:tcPr>
          <w:p>
            <w:pPr>
              <w:pStyle w:val="Para 002"/>
            </w:pPr>
            <w:r>
              <w:t>Value must be a number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u</w:t>
            </w:r>
          </w:p>
        </w:tc>
        <w:tc>
          <w:tcPr>
            <w:tcW w:type="auto" w:w="0"/>
            <w:shd w:val="clear" w:color="auto" w:fill="EEF2F6"/>
            <w:tcMar>
              <w:left w:type="dxa" w:w="200"/>
              <w:top w:type="dxa" w:w="200"/>
              <w:right w:type="dxa" w:w="200"/>
              <w:bottom w:type="dxa" w:w="200"/>
            </w:tcMar>
          </w:tcPr>
          <w:p>
            <w:pPr>
              <w:pStyle w:val="Para 002"/>
            </w:pPr>
            <w:r>
              <w:t>Unsigned decimal integer</w:t>
            </w:r>
          </w:p>
        </w:tc>
        <w:tc>
          <w:tcPr>
            <w:tcW w:type="auto" w:w="0"/>
            <w:shd w:val="clear" w:color="auto" w:fill="EEF2F6"/>
            <w:tcMar>
              <w:left w:type="dxa" w:w="200"/>
              <w:top w:type="dxa" w:w="200"/>
              <w:right w:type="dxa" w:w="200"/>
              <w:bottom w:type="dxa" w:w="200"/>
            </w:tcMar>
          </w:tcPr>
          <w:p>
            <w:pPr>
              <w:pStyle w:val="Para 002"/>
            </w:pPr>
            <w:r>
              <w:t>Value must be a number</w:t>
            </w:r>
          </w:p>
        </w:tc>
      </w:tr>
    </w:tbl>
    <w:tbl>
      <w:tblPr>
        <w:tblW w:type="auto" w:w="0"/>
      </w:tblPr>
      <w:tr>
        <w:tc>
          <w:tcPr>
            <w:tcW w:type="auto" w:w="0"/>
            <w:tcMar>
              <w:left w:type="dxa" w:w="200"/>
              <w:top w:type="dxa" w:w="200"/>
              <w:right w:type="dxa" w:w="200"/>
              <w:bottom w:type="dxa" w:w="200"/>
            </w:tcMar>
          </w:tcPr>
          <w:p>
            <w:pPr>
              <w:pStyle w:val="Para 001"/>
            </w:pPr>
            <w:r>
              <w:t>o</w:t>
            </w:r>
          </w:p>
        </w:tc>
        <w:tc>
          <w:tcPr>
            <w:tcW w:type="auto" w:w="0"/>
            <w:tcMar>
              <w:left w:type="dxa" w:w="200"/>
              <w:top w:type="dxa" w:w="200"/>
              <w:right w:type="dxa" w:w="200"/>
              <w:bottom w:type="dxa" w:w="200"/>
            </w:tcMar>
          </w:tcPr>
          <w:p>
            <w:pPr>
              <w:pStyle w:val="Para 002"/>
            </w:pPr>
            <w:r>
              <w:t>Unsigned octal integer</w:t>
            </w:r>
          </w:p>
        </w:tc>
        <w:tc>
          <w:tcPr>
            <w:tcW w:type="auto" w:w="0"/>
            <w:tcMar>
              <w:left w:type="dxa" w:w="200"/>
              <w:top w:type="dxa" w:w="200"/>
              <w:right w:type="dxa" w:w="200"/>
              <w:bottom w:type="dxa" w:w="200"/>
            </w:tcMar>
          </w:tcPr>
          <w:p>
            <w:pPr>
              <w:pStyle w:val="Para 002"/>
            </w:pPr>
            <w:r>
              <w:t>Value must be a number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x</w:t>
            </w:r>
          </w:p>
        </w:tc>
        <w:tc>
          <w:tcPr>
            <w:tcW w:type="auto" w:w="0"/>
            <w:shd w:val="clear" w:color="auto" w:fill="EEF2F6"/>
            <w:tcMar>
              <w:left w:type="dxa" w:w="200"/>
              <w:top w:type="dxa" w:w="200"/>
              <w:right w:type="dxa" w:w="200"/>
              <w:bottom w:type="dxa" w:w="200"/>
            </w:tcMar>
          </w:tcPr>
          <w:p>
            <w:pPr>
              <w:pStyle w:val="Para 002"/>
            </w:pPr>
            <w:r>
              <w:t>Unsigned hexadecimal integer (lowercase letters)</w:t>
            </w:r>
          </w:p>
        </w:tc>
        <w:tc>
          <w:tcPr>
            <w:tcW w:type="auto" w:w="0"/>
            <w:shd w:val="clear" w:color="auto" w:fill="EEF2F6"/>
            <w:tcMar>
              <w:left w:type="dxa" w:w="200"/>
              <w:top w:type="dxa" w:w="200"/>
              <w:right w:type="dxa" w:w="200"/>
              <w:bottom w:type="dxa" w:w="200"/>
            </w:tcMar>
          </w:tcPr>
          <w:p>
            <w:pPr>
              <w:pStyle w:val="Para 002"/>
            </w:pPr>
            <w:r>
              <w:t>Value must be a number</w:t>
            </w:r>
          </w:p>
        </w:tc>
      </w:tr>
    </w:tbl>
    <w:tbl>
      <w:tblPr>
        <w:tblW w:type="auto" w:w="0"/>
      </w:tblPr>
      <w:tr>
        <w:tc>
          <w:tcPr>
            <w:tcW w:type="auto" w:w="0"/>
            <w:tcMar>
              <w:left w:type="dxa" w:w="200"/>
              <w:top w:type="dxa" w:w="200"/>
              <w:right w:type="dxa" w:w="200"/>
              <w:bottom w:type="dxa" w:w="200"/>
            </w:tcMar>
          </w:tcPr>
          <w:p>
            <w:pPr>
              <w:pStyle w:val="Para 001"/>
            </w:pPr>
            <w:r>
              <w:t>X</w:t>
            </w:r>
          </w:p>
        </w:tc>
        <w:tc>
          <w:tcPr>
            <w:tcW w:type="auto" w:w="0"/>
            <w:tcMar>
              <w:left w:type="dxa" w:w="200"/>
              <w:top w:type="dxa" w:w="200"/>
              <w:right w:type="dxa" w:w="200"/>
              <w:bottom w:type="dxa" w:w="200"/>
            </w:tcMar>
          </w:tcPr>
          <w:p>
            <w:pPr>
              <w:pStyle w:val="Para 002"/>
            </w:pPr>
            <w:r>
              <w:t>Unsigned hexadecimal integer (uppercase letters)</w:t>
            </w:r>
          </w:p>
        </w:tc>
        <w:tc>
          <w:tcPr>
            <w:tcW w:type="auto" w:w="0"/>
            <w:tcMar>
              <w:left w:type="dxa" w:w="200"/>
              <w:top w:type="dxa" w:w="200"/>
              <w:right w:type="dxa" w:w="200"/>
              <w:bottom w:type="dxa" w:w="200"/>
            </w:tcMar>
          </w:tcPr>
          <w:p>
            <w:pPr>
              <w:pStyle w:val="Para 002"/>
            </w:pPr>
            <w:r>
              <w:t>Value must be a number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e</w:t>
            </w:r>
          </w:p>
        </w:tc>
        <w:tc>
          <w:tcPr>
            <w:tcW w:type="auto" w:w="0"/>
            <w:shd w:val="clear" w:color="auto" w:fill="EEF2F6"/>
            <w:tcMar>
              <w:left w:type="dxa" w:w="200"/>
              <w:top w:type="dxa" w:w="200"/>
              <w:right w:type="dxa" w:w="200"/>
              <w:bottom w:type="dxa" w:w="200"/>
            </w:tcMar>
          </w:tcPr>
          <w:p>
            <w:pPr>
              <w:pStyle w:val="Para 002"/>
            </w:pPr>
            <w:r>
              <w:t xml:space="preserve">Floating-point value in exponential form (lowercase </w:t>
            </w:r>
            <w:r>
              <w:rPr>
                <w:rStyle w:val="Text0"/>
              </w:rPr>
              <w:t>e</w:t>
            </w:r>
            <w:r>
              <w:t xml:space="preserve"> for exponent)</w:t>
            </w:r>
          </w:p>
        </w:tc>
        <w:tc>
          <w:tcPr>
            <w:tcW w:type="auto" w:w="0"/>
            <w:shd w:val="clear" w:color="auto" w:fill="EEF2F6"/>
            <w:tcMar>
              <w:left w:type="dxa" w:w="200"/>
              <w:top w:type="dxa" w:w="200"/>
              <w:right w:type="dxa" w:w="200"/>
              <w:bottom w:type="dxa" w:w="200"/>
            </w:tcMar>
          </w:tcPr>
          <w:p>
            <w:pPr>
              <w:pStyle w:val="Para 002"/>
            </w:pPr>
            <w:r>
              <w:t>Value must be a number</w:t>
            </w:r>
          </w:p>
        </w:tc>
      </w:tr>
    </w:tbl>
    <w:tbl>
      <w:tblPr>
        <w:tblW w:type="auto" w:w="0"/>
      </w:tblPr>
      <w:tr>
        <w:tc>
          <w:tcPr>
            <w:tcW w:type="auto" w:w="0"/>
            <w:tcMar>
              <w:left w:type="dxa" w:w="200"/>
              <w:top w:type="dxa" w:w="200"/>
              <w:right w:type="dxa" w:w="200"/>
              <w:bottom w:type="dxa" w:w="200"/>
            </w:tcMar>
          </w:tcPr>
          <w:p>
            <w:pPr>
              <w:pStyle w:val="Para 001"/>
            </w:pPr>
            <w:r>
              <w:t>E</w:t>
            </w:r>
          </w:p>
        </w:tc>
        <w:tc>
          <w:tcPr>
            <w:tcW w:type="auto" w:w="0"/>
            <w:tcMar>
              <w:left w:type="dxa" w:w="200"/>
              <w:top w:type="dxa" w:w="200"/>
              <w:right w:type="dxa" w:w="200"/>
              <w:bottom w:type="dxa" w:w="200"/>
            </w:tcMar>
          </w:tcPr>
          <w:p>
            <w:pPr>
              <w:pStyle w:val="Para 002"/>
            </w:pPr>
            <w:r>
              <w:t xml:space="preserve">Floating-point value in exponential form (uppercase </w:t>
            </w:r>
            <w:r>
              <w:rPr>
                <w:rStyle w:val="Text0"/>
              </w:rPr>
              <w:t>E</w:t>
            </w:r>
            <w:r>
              <w:t xml:space="preserve"> for exponent)</w:t>
            </w:r>
          </w:p>
        </w:tc>
        <w:tc>
          <w:tcPr>
            <w:tcW w:type="auto" w:w="0"/>
            <w:tcMar>
              <w:left w:type="dxa" w:w="200"/>
              <w:top w:type="dxa" w:w="200"/>
              <w:right w:type="dxa" w:w="200"/>
              <w:bottom w:type="dxa" w:w="200"/>
            </w:tcMar>
          </w:tcPr>
          <w:p>
            <w:pPr>
              <w:pStyle w:val="Para 002"/>
            </w:pPr>
            <w:r>
              <w:t>Value must be a number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f</w:t>
            </w:r>
            <w:r>
              <w:rPr>
                <w:rStyle w:val="Text12"/>
              </w:rPr>
              <w:t xml:space="preserve">, </w:t>
            </w:r>
            <w:r>
              <w:t>F</w:t>
            </w:r>
          </w:p>
        </w:tc>
        <w:tc>
          <w:tcPr>
            <w:tcW w:type="auto" w:w="0"/>
            <w:shd w:val="clear" w:color="auto" w:fill="EEF2F6"/>
            <w:tcMar>
              <w:left w:type="dxa" w:w="200"/>
              <w:top w:type="dxa" w:w="200"/>
              <w:right w:type="dxa" w:w="200"/>
              <w:bottom w:type="dxa" w:w="200"/>
            </w:tcMar>
          </w:tcPr>
          <w:p>
            <w:pPr>
              <w:pStyle w:val="Para 002"/>
            </w:pPr>
            <w:r>
              <w:t>Floating-point value in decimal form</w:t>
            </w:r>
          </w:p>
        </w:tc>
        <w:tc>
          <w:tcPr>
            <w:tcW w:type="auto" w:w="0"/>
            <w:shd w:val="clear" w:color="auto" w:fill="EEF2F6"/>
            <w:tcMar>
              <w:left w:type="dxa" w:w="200"/>
              <w:top w:type="dxa" w:w="200"/>
              <w:right w:type="dxa" w:w="200"/>
              <w:bottom w:type="dxa" w:w="200"/>
            </w:tcMar>
          </w:tcPr>
          <w:p>
            <w:pPr>
              <w:pStyle w:val="Para 002"/>
            </w:pPr>
            <w:r>
              <w:t>Value must be a number</w:t>
            </w:r>
          </w:p>
        </w:tc>
      </w:tr>
    </w:tbl>
    <w:tbl>
      <w:tblPr>
        <w:tblW w:type="auto" w:w="0"/>
      </w:tblPr>
      <w:tr>
        <w:tc>
          <w:tcPr>
            <w:tcW w:type="auto" w:w="0"/>
            <w:tcMar>
              <w:left w:type="dxa" w:w="200"/>
              <w:top w:type="dxa" w:w="200"/>
              <w:right w:type="dxa" w:w="200"/>
              <w:bottom w:type="dxa" w:w="200"/>
            </w:tcMar>
          </w:tcPr>
          <w:p>
            <w:pPr>
              <w:pStyle w:val="Para 001"/>
            </w:pPr>
            <w:r>
              <w:t>g</w:t>
            </w:r>
            <w:r>
              <w:rPr>
                <w:rStyle w:val="Text12"/>
              </w:rPr>
              <w:t xml:space="preserve">, </w:t>
            </w:r>
            <w:r>
              <w:t>G</w:t>
            </w:r>
          </w:p>
        </w:tc>
        <w:tc>
          <w:tcPr>
            <w:tcW w:type="auto" w:w="0"/>
            <w:tcMar>
              <w:left w:type="dxa" w:w="200"/>
              <w:top w:type="dxa" w:w="200"/>
              <w:right w:type="dxa" w:w="200"/>
              <w:bottom w:type="dxa" w:w="200"/>
            </w:tcMar>
          </w:tcPr>
          <w:p>
            <w:pPr>
              <w:pStyle w:val="Para 002"/>
            </w:pPr>
            <w:r>
              <w:t xml:space="preserve">Like </w:t>
            </w:r>
            <w:r>
              <w:rPr>
                <w:rStyle w:val="Text0"/>
              </w:rPr>
              <w:t>e</w:t>
            </w:r>
            <w:r>
              <w:t xml:space="preserve"> or </w:t>
            </w:r>
            <w:r>
              <w:rPr>
                <w:rStyle w:val="Text0"/>
              </w:rPr>
              <w:t>E</w:t>
            </w:r>
            <w:r>
              <w:t xml:space="preserve"> when </w:t>
            </w:r>
            <w:r>
              <w:rPr>
                <w:rStyle w:val="Text3"/>
              </w:rPr>
              <w:t>exp</w:t>
            </w:r>
            <w:r>
              <w:t xml:space="preserve"> is </w:t>
            </w:r>
            <w:r>
              <w:rPr>
                <w:rStyle w:val="Text0"/>
              </w:rPr>
              <w:t>&gt;=4</w:t>
            </w:r>
            <w:r>
              <w:t xml:space="preserve"> or </w:t>
            </w:r>
            <w:r>
              <w:rPr>
                <w:rStyle w:val="Text0"/>
              </w:rPr>
              <w:t>&lt;</w:t>
            </w:r>
            <w:r>
              <w:t xml:space="preserve"> precision; otherwise, like </w:t>
            </w:r>
            <w:r>
              <w:rPr>
                <w:rStyle w:val="Text0"/>
              </w:rPr>
              <w:t>f</w:t>
            </w:r>
            <w:r>
              <w:t xml:space="preserve"> or </w:t>
            </w:r>
            <w:r>
              <w:rPr>
                <w:rStyle w:val="Text0"/>
              </w:rPr>
              <w:t>F</w:t>
            </w:r>
          </w:p>
        </w:tc>
        <w:tc>
          <w:tcPr>
            <w:tcW w:type="auto" w:w="0"/>
            <w:tcMar>
              <w:left w:type="dxa" w:w="200"/>
              <w:top w:type="dxa" w:w="200"/>
              <w:right w:type="dxa" w:w="200"/>
              <w:bottom w:type="dxa" w:w="200"/>
            </w:tcMar>
          </w:tcPr>
          <w:p>
            <w:pPr>
              <w:pStyle w:val="Para 002"/>
            </w:pPr>
            <w:r>
              <w:rPr>
                <w:rStyle w:val="Text3"/>
              </w:rPr>
              <w:t>exp</w:t>
            </w:r>
            <w:r>
              <w:t xml:space="preserve"> is the exponent of the number being converted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a</w:t>
            </w:r>
          </w:p>
        </w:tc>
        <w:tc>
          <w:tcPr>
            <w:tcW w:type="auto" w:w="0"/>
            <w:shd w:val="clear" w:color="auto" w:fill="EEF2F6"/>
            <w:tcMar>
              <w:left w:type="dxa" w:w="200"/>
              <w:top w:type="dxa" w:w="200"/>
              <w:right w:type="dxa" w:w="200"/>
              <w:bottom w:type="dxa" w:w="200"/>
            </w:tcMar>
          </w:tcPr>
          <w:p>
            <w:pPr>
              <w:pStyle w:val="Para 002"/>
            </w:pPr>
            <w:r>
              <w:t>String</w:t>
            </w:r>
          </w:p>
        </w:tc>
        <w:tc>
          <w:tcPr>
            <w:tcW w:type="auto" w:w="0"/>
            <w:shd w:val="clear" w:color="auto" w:fill="EEF2F6"/>
            <w:tcMar>
              <w:left w:type="dxa" w:w="200"/>
              <w:top w:type="dxa" w:w="200"/>
              <w:right w:type="dxa" w:w="200"/>
              <w:bottom w:type="dxa" w:w="200"/>
            </w:tcMar>
          </w:tcPr>
          <w:p>
            <w:pPr>
              <w:pStyle w:val="Para 002"/>
            </w:pPr>
            <w:r>
              <w:t xml:space="preserve">Converts any value with </w:t>
            </w:r>
            <w:r>
              <w:rPr>
                <w:rStyle w:val="Text0"/>
              </w:rPr>
              <w:t>ascii</w:t>
            </w:r>
          </w:p>
        </w:tc>
      </w:tr>
    </w:tbl>
    <w:tbl>
      <w:tblPr>
        <w:tblW w:type="auto" w:w="0"/>
      </w:tblPr>
      <w:tr>
        <w:tc>
          <w:tcPr>
            <w:tcW w:type="auto" w:w="0"/>
            <w:tcMar>
              <w:left w:type="dxa" w:w="200"/>
              <w:top w:type="dxa" w:w="200"/>
              <w:right w:type="dxa" w:w="200"/>
              <w:bottom w:type="dxa" w:w="200"/>
            </w:tcMar>
          </w:tcPr>
          <w:p>
            <w:pPr>
              <w:pStyle w:val="Para 001"/>
            </w:pPr>
            <w:r>
              <w:t>r</w:t>
            </w:r>
          </w:p>
        </w:tc>
        <w:tc>
          <w:tcPr>
            <w:tcW w:type="auto" w:w="0"/>
            <w:tcMar>
              <w:left w:type="dxa" w:w="200"/>
              <w:top w:type="dxa" w:w="200"/>
              <w:right w:type="dxa" w:w="200"/>
              <w:bottom w:type="dxa" w:w="200"/>
            </w:tcMar>
          </w:tcPr>
          <w:p>
            <w:pPr>
              <w:pStyle w:val="Para 002"/>
            </w:pPr>
            <w:r>
              <w:t>String</w:t>
            </w:r>
          </w:p>
        </w:tc>
        <w:tc>
          <w:tcPr>
            <w:tcW w:type="auto" w:w="0"/>
            <w:tcMar>
              <w:left w:type="dxa" w:w="200"/>
              <w:top w:type="dxa" w:w="200"/>
              <w:right w:type="dxa" w:w="200"/>
              <w:bottom w:type="dxa" w:w="200"/>
            </w:tcMar>
          </w:tcPr>
          <w:p>
            <w:pPr>
              <w:pStyle w:val="Para 002"/>
            </w:pPr>
            <w:r>
              <w:t xml:space="preserve">Converts any value with </w:t>
            </w:r>
            <w:r>
              <w:rPr>
                <w:rStyle w:val="Text0"/>
              </w:rPr>
              <w:t>repr</w:t>
            </w:r>
          </w:p>
        </w:tc>
      </w:tr>
    </w:tbl>
    <w:tbl>
      <w:tblPr>
        <w:tblW w:type="auto" w:w="0"/>
      </w:tblPr>
      <w:tr>
        <w:tc>
          <w:tcPr>
            <w:tcW w:type="auto" w:w="0"/>
            <w:shd w:val="clear" w:color="auto" w:fill="EEF2F6"/>
            <w:tcMar>
              <w:left w:type="dxa" w:w="200"/>
              <w:top w:type="dxa" w:w="200"/>
              <w:right w:type="dxa" w:w="200"/>
              <w:bottom w:type="dxa" w:w="200"/>
            </w:tcMar>
          </w:tcPr>
          <w:p>
            <w:pPr>
              <w:pStyle w:val="Para 001"/>
            </w:pPr>
            <w:r>
              <w:t>s</w:t>
            </w:r>
          </w:p>
        </w:tc>
        <w:tc>
          <w:tcPr>
            <w:tcW w:type="auto" w:w="0"/>
            <w:shd w:val="clear" w:color="auto" w:fill="EEF2F6"/>
            <w:tcMar>
              <w:left w:type="dxa" w:w="200"/>
              <w:top w:type="dxa" w:w="200"/>
              <w:right w:type="dxa" w:w="200"/>
              <w:bottom w:type="dxa" w:w="200"/>
            </w:tcMar>
          </w:tcPr>
          <w:p>
            <w:pPr>
              <w:pStyle w:val="Para 002"/>
            </w:pPr>
            <w:r>
              <w:t>String</w:t>
            </w:r>
          </w:p>
        </w:tc>
        <w:tc>
          <w:tcPr>
            <w:tcW w:type="auto" w:w="0"/>
            <w:shd w:val="clear" w:color="auto" w:fill="EEF2F6"/>
            <w:tcMar>
              <w:left w:type="dxa" w:w="200"/>
              <w:top w:type="dxa" w:w="200"/>
              <w:right w:type="dxa" w:w="200"/>
              <w:bottom w:type="dxa" w:w="200"/>
            </w:tcMar>
          </w:tcPr>
          <w:p>
            <w:pPr>
              <w:pStyle w:val="Para 002"/>
            </w:pPr>
            <w:r>
              <w:t xml:space="preserve">Converts any value with </w:t>
            </w:r>
            <w:r>
              <w:rPr>
                <w:rStyle w:val="Text0"/>
              </w:rPr>
              <w:t>str</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 xml:space="preserve">Literal </w:t>
            </w:r>
            <w:r>
              <w:rPr>
                <w:rStyle w:val="Text0"/>
              </w:rPr>
              <w:t>%</w:t>
            </w:r>
            <w:r>
              <w:t xml:space="preserve"> character</w:t>
            </w:r>
          </w:p>
        </w:tc>
        <w:tc>
          <w:tcPr>
            <w:tcW w:type="auto" w:w="0"/>
            <w:tcMar>
              <w:left w:type="dxa" w:w="200"/>
              <w:top w:type="dxa" w:w="200"/>
              <w:right w:type="dxa" w:w="200"/>
              <w:bottom w:type="dxa" w:w="200"/>
            </w:tcMar>
          </w:tcPr>
          <w:p>
            <w:pPr>
              <w:pStyle w:val="Para 002"/>
            </w:pPr>
            <w:r>
              <w:t>Consumes no value</w:t>
            </w:r>
          </w:p>
        </w:tc>
      </w:tr>
    </w:tbl>
    <w:p>
      <w:pPr>
        <w:pStyle w:val="Normal"/>
      </w:pPr>
      <w:r>
        <w:t xml:space="preserve">The </w:t>
      </w:r>
      <w:r>
        <w:rPr>
          <w:rStyle w:val="Text0"/>
        </w:rPr>
        <w:t>a</w:t>
      </w:r>
      <w:r>
        <w:t xml:space="preserve">, </w:t>
      </w:r>
      <w:r>
        <w:rPr>
          <w:rStyle w:val="Text0"/>
        </w:rPr>
        <w:t>r</w:t>
      </w:r>
      <w:r>
        <w:t xml:space="preserve">, and </w:t>
      </w:r>
      <w:r>
        <w:rPr>
          <w:rStyle w:val="Text0"/>
        </w:rPr>
        <w:t>s</w:t>
      </w:r>
      <w:r>
        <w:t xml:space="preserve"> conversion characters are the ones most often used with the </w:t>
      </w:r>
      <w:r>
        <w:rPr>
          <w:rStyle w:val="Text0"/>
        </w:rPr>
        <w:t>logging</w:t>
      </w:r>
      <w:r>
        <w:t xml:space="preserve"> module. Between the </w:t>
      </w:r>
      <w:r>
        <w:rPr>
          <w:rStyle w:val="Text0"/>
        </w:rPr>
        <w:t>%</w:t>
      </w:r>
      <w:r>
        <w:t xml:space="preserve"> and the conversion character, you can specify a number of optional modifiers, as we’ll discuss shortly.</w:t>
      </w:r>
    </w:p>
    <w:p>
      <w:pPr>
        <w:pStyle w:val="Normal"/>
      </w:pPr>
      <w:r>
        <w:t xml:space="preserve">What is logged with a formatting expression is </w:t>
      </w:r>
      <w:r>
        <w:rPr>
          <w:rStyle w:val="Text3"/>
        </w:rPr>
        <w:t>format</w:t>
      </w:r>
      <w:r>
        <w:t xml:space="preserve">, where each format specifier is replaced by the corresponding item of </w:t>
      </w:r>
      <w:r>
        <w:rPr>
          <w:rStyle w:val="Text3"/>
        </w:rPr>
        <w:t>values</w:t>
      </w:r>
      <w:r>
        <w:t xml:space="preserve"> converted to a string according to the specifier. Here are some simple examples: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logging</w:t>
        <w:br w:clear="none"/>
      </w:r>
      <w:r>
        <w:rPr>
          <w:rStyle w:val="Text6"/>
        </w:rPr>
        <w:t xml:space="preserve"/>
        <w:br w:clear="none"/>
      </w:r>
      <w:r>
        <w:t xml:space="preserve">logging</w:t>
        <w:br w:clear="none"/>
      </w:r>
      <w:r>
        <w:rPr>
          <w:rStyle w:val="Text13"/>
        </w:rPr>
        <w:t xml:space="preserve">.</w:t>
        <w:br w:clear="none"/>
      </w:r>
      <w:r>
        <w:t xml:space="preserve">getLogger</w:t>
        <w:br w:clear="none"/>
      </w:r>
      <w:r>
        <w:rPr>
          <w:rStyle w:val="Text7"/>
        </w:rPr>
        <w:t xml:space="preserve">(</w:t>
        <w:br w:clear="none"/>
        <w:t xml:space="preserve">)</w:t>
        <w:br w:clear="none"/>
      </w:r>
      <w:r>
        <w:rPr>
          <w:rStyle w:val="Text13"/>
        </w:rPr>
        <w:t xml:space="preserve">.</w:t>
        <w:br w:clear="none"/>
      </w:r>
      <w:r>
        <w:t xml:space="preserve">setLevel</w:t>
        <w:br w:clear="none"/>
      </w:r>
      <w:r>
        <w:rPr>
          <w:rStyle w:val="Text7"/>
        </w:rPr>
        <w:t xml:space="preserve">(</w:t>
        <w:br w:clear="none"/>
      </w:r>
      <w:r>
        <w:t xml:space="preserve">logging</w:t>
        <w:br w:clear="none"/>
      </w:r>
      <w:r>
        <w:rPr>
          <w:rStyle w:val="Text13"/>
        </w:rPr>
        <w:t xml:space="preserve">.</w:t>
        <w:br w:clear="none"/>
      </w:r>
      <w:r>
        <w:t xml:space="preserve">INFO</w:t>
        <w:br w:clear="none"/>
      </w:r>
      <w:r>
        <w:rPr>
          <w:rStyle w:val="Text7"/>
        </w:rPr>
        <w:t xml:space="preserve">)</w:t>
        <w:br w:clear="none"/>
      </w:r>
      <w:r>
        <w:rPr>
          <w:rStyle w:val="Text6"/>
        </w:rPr>
        <w:t xml:space="preserve"/>
        <w:br w:clear="none"/>
      </w:r>
      <w:r>
        <w:t xml:space="preserve">x</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42</w:t>
        <w:br w:clear="none"/>
      </w:r>
      <w:r>
        <w:rPr>
          <w:rStyle w:val="Text6"/>
        </w:rPr>
        <w:t xml:space="preserve"/>
        <w:br w:clear="none"/>
      </w:r>
      <w:r>
        <w:t xml:space="preserve">y</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3.14</w:t>
        <w:br w:clear="none"/>
      </w:r>
      <w:r>
        <w:rPr>
          <w:rStyle w:val="Text6"/>
        </w:rPr>
        <w:t xml:space="preserve"/>
        <w:br w:clear="none"/>
      </w:r>
      <w:r>
        <w:t xml:space="preserve">z</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george</w:t>
        <w:br w:clear="none"/>
        <w:t xml:space="preserve">'</w:t>
        <w:br w:clear="none"/>
      </w:r>
      <w:r>
        <w:rPr>
          <w:rStyle w:val="Text6"/>
        </w:rPr>
        <w:t xml:space="preserve"/>
        <w:br w:clear="none"/>
      </w:r>
      <w:r>
        <w:t xml:space="preserve">logging</w:t>
        <w:br w:clear="none"/>
      </w:r>
      <w:r>
        <w:rPr>
          <w:rStyle w:val="Text13"/>
        </w:rPr>
        <w:t xml:space="preserve">.</w:t>
        <w:br w:clear="none"/>
      </w:r>
      <w:r>
        <w:t xml:space="preserve">info</w:t>
        <w:br w:clear="none"/>
      </w:r>
      <w:r>
        <w:rPr>
          <w:rStyle w:val="Text7"/>
        </w:rPr>
        <w:t xml:space="preserve">(</w:t>
        <w:br w:clear="none"/>
      </w:r>
      <w:r>
        <w:rPr>
          <w:rStyle w:val="Text8"/>
        </w:rPr>
        <w:t xml:space="preserve">'</w:t>
        <w:br w:clear="none"/>
        <w:t xml:space="preserve">result = </w:t>
        <w:br w:clear="none"/>
      </w:r>
      <w:r>
        <w:rPr>
          <w:rStyle w:val="Text32"/>
        </w:rPr>
        <w:t xml:space="preserve">%d</w:t>
        <w:br w:clear="none"/>
      </w:r>
      <w:r>
        <w:rPr>
          <w:rStyle w:val="Text8"/>
        </w:rPr>
        <w:t xml:space="preserve">'</w:t>
        <w:br w:clear="none"/>
      </w:r>
      <w:r>
        <w:rPr>
          <w:rStyle w:val="Text7"/>
        </w:rPr>
        <w:t xml:space="preserve">,</w:t>
        <w:br w:clear="none"/>
      </w:r>
      <w:r>
        <w:rPr>
          <w:rStyle w:val="Text6"/>
        </w:rPr>
        <w:t xml:space="preserve"> </w:t>
        <w:br w:clear="none"/>
      </w:r>
      <w:r>
        <w:t xml:space="preserve">x</w:t>
        <w:br w:clear="none"/>
      </w:r>
      <w:r>
        <w:rPr>
          <w:rStyle w:val="Text7"/>
        </w:rPr>
        <w:t xml:space="preserve">)</w:t>
        <w:br w:clear="none"/>
      </w:r>
      <w:r>
        <w:rPr>
          <w:rStyle w:val="Text6"/>
        </w:rPr>
        <w:t xml:space="preserve">        </w:t>
        <w:br w:clear="none"/>
      </w:r>
      <w:r>
        <w:rPr>
          <w:rStyle w:val="Text15"/>
        </w:rPr>
        <w:t xml:space="preserve"># logs:</w:t>
        <w:br w:clear="none"/>
      </w:r>
      <w:r>
        <w:rPr>
          <w:rStyle w:val="Text26"/>
        </w:rPr>
        <w:t xml:space="preserve"> </w:t>
        <w:br w:clear="none"/>
      </w:r>
      <w:r>
        <w:rPr>
          <w:rStyle w:val="Text15"/>
        </w:rPr>
        <w:t xml:space="preserve">result = 42</w:t>
        <w:br w:clear="none"/>
      </w:r>
      <w:r>
        <w:rPr>
          <w:rStyle w:val="Text6"/>
        </w:rPr>
        <w:t xml:space="preserve"/>
        <w:br w:clear="none"/>
      </w:r>
      <w:r>
        <w:t xml:space="preserve">logging</w:t>
        <w:br w:clear="none"/>
      </w:r>
      <w:r>
        <w:rPr>
          <w:rStyle w:val="Text13"/>
        </w:rPr>
        <w:t xml:space="preserve">.</w:t>
        <w:br w:clear="none"/>
      </w:r>
      <w:r>
        <w:t xml:space="preserve">info</w:t>
        <w:br w:clear="none"/>
      </w:r>
      <w:r>
        <w:rPr>
          <w:rStyle w:val="Text7"/>
        </w:rPr>
        <w:t xml:space="preserve">(</w:t>
        <w:br w:clear="none"/>
      </w:r>
      <w:r>
        <w:rPr>
          <w:rStyle w:val="Text8"/>
        </w:rPr>
        <w:t xml:space="preserve">'</w:t>
        <w:br w:clear="none"/>
        <w:t xml:space="preserve">answers: </w:t>
        <w:br w:clear="none"/>
      </w:r>
      <w:r>
        <w:rPr>
          <w:rStyle w:val="Text32"/>
        </w:rPr>
        <w:t xml:space="preserve">%d</w:t>
        <w:br w:clear="none"/>
      </w:r>
      <w:r>
        <w:rPr>
          <w:rStyle w:val="Text8"/>
        </w:rPr>
        <w:t xml:space="preserve"> </w:t>
        <w:br w:clear="none"/>
      </w:r>
      <w:r>
        <w:rPr>
          <w:rStyle w:val="Text32"/>
        </w:rPr>
        <w:t xml:space="preserve">%f</w:t>
        <w:br w:clear="none"/>
      </w:r>
      <w:r>
        <w:rPr>
          <w:rStyle w:val="Text8"/>
        </w:rPr>
        <w:t xml:space="preserve">'</w:t>
        <w:br w:clear="none"/>
      </w:r>
      <w:r>
        <w:rPr>
          <w:rStyle w:val="Text7"/>
        </w:rPr>
        <w:t xml:space="preserve">,</w:t>
        <w:br w:clear="none"/>
      </w:r>
      <w:r>
        <w:rPr>
          <w:rStyle w:val="Text6"/>
        </w:rPr>
        <w:t xml:space="preserve"> </w:t>
        <w:br w:clear="none"/>
      </w:r>
      <w:r>
        <w:t xml:space="preserve">x</w:t>
        <w:br w:clear="none"/>
      </w:r>
      <w:r>
        <w:rPr>
          <w:rStyle w:val="Text7"/>
        </w:rPr>
        <w:t xml:space="preserve">,</w:t>
        <w:br w:clear="none"/>
      </w:r>
      <w:r>
        <w:rPr>
          <w:rStyle w:val="Text6"/>
        </w:rPr>
        <w:t xml:space="preserve"> </w:t>
        <w:br w:clear="none"/>
      </w:r>
      <w:r>
        <w:t xml:space="preserve">y</w:t>
        <w:br w:clear="none"/>
      </w:r>
      <w:r>
        <w:rPr>
          <w:rStyle w:val="Text7"/>
        </w:rPr>
        <w:t xml:space="preserve">)</w:t>
        <w:br w:clear="none"/>
      </w:r>
      <w:r>
        <w:rPr>
          <w:rStyle w:val="Text6"/>
        </w:rPr>
        <w:t xml:space="preserve">  </w:t>
        <w:br w:clear="none"/>
      </w:r>
      <w:r>
        <w:rPr>
          <w:rStyle w:val="Text15"/>
        </w:rPr>
        <w:t xml:space="preserve"># logs:</w:t>
        <w:br w:clear="none"/>
      </w:r>
      <w:r>
        <w:rPr>
          <w:rStyle w:val="Text26"/>
        </w:rPr>
        <w:t xml:space="preserve"> </w:t>
        <w:br w:clear="none"/>
      </w:r>
      <w:r>
        <w:rPr>
          <w:rStyle w:val="Text15"/>
        </w:rPr>
        <w:t xml:space="preserve">answers: 42 3.140000</w:t>
        <w:br w:clear="none"/>
      </w:r>
      <w:r>
        <w:rPr>
          <w:rStyle w:val="Text6"/>
        </w:rPr>
        <w:t xml:space="preserve"/>
        <w:br w:clear="none"/>
      </w:r>
      <w:r>
        <w:t xml:space="preserve">logging</w:t>
        <w:br w:clear="none"/>
      </w:r>
      <w:r>
        <w:rPr>
          <w:rStyle w:val="Text13"/>
        </w:rPr>
        <w:t xml:space="preserve">.</w:t>
        <w:br w:clear="none"/>
      </w:r>
      <w:r>
        <w:t xml:space="preserve">info</w:t>
        <w:br w:clear="none"/>
      </w:r>
      <w:r>
        <w:rPr>
          <w:rStyle w:val="Text7"/>
        </w:rPr>
        <w:t xml:space="preserve">(</w:t>
        <w:br w:clear="none"/>
      </w:r>
      <w:r>
        <w:rPr>
          <w:rStyle w:val="Text8"/>
        </w:rPr>
        <w:t xml:space="preserve">'</w:t>
        <w:br w:clear="none"/>
        <w:t xml:space="preserve">hello </w:t>
        <w:br w:clear="none"/>
      </w:r>
      <w:r>
        <w:rPr>
          <w:rStyle w:val="Text32"/>
        </w:rPr>
        <w:t xml:space="preserve">%s</w:t>
        <w:br w:clear="none"/>
      </w:r>
      <w:r>
        <w:rPr>
          <w:rStyle w:val="Text8"/>
        </w:rPr>
        <w:t xml:space="preserve">'</w:t>
        <w:br w:clear="none"/>
      </w:r>
      <w:r>
        <w:rPr>
          <w:rStyle w:val="Text7"/>
        </w:rPr>
        <w:t xml:space="preserve">,</w:t>
        <w:br w:clear="none"/>
      </w:r>
      <w:r>
        <w:rPr>
          <w:rStyle w:val="Text6"/>
        </w:rPr>
        <w:t xml:space="preserve"> </w:t>
        <w:br w:clear="none"/>
      </w:r>
      <w:r>
        <w:t xml:space="preserve">z</w:t>
        <w:br w:clear="none"/>
      </w:r>
      <w:r>
        <w:rPr>
          <w:rStyle w:val="Text7"/>
        </w:rPr>
        <w:t xml:space="preserve">)</w:t>
        <w:br w:clear="none"/>
      </w:r>
      <w:r>
        <w:rPr>
          <w:rStyle w:val="Text6"/>
        </w:rPr>
        <w:t xml:space="preserve">           </w:t>
        <w:br w:clear="none"/>
      </w:r>
      <w:r>
        <w:rPr>
          <w:rStyle w:val="Text15"/>
        </w:rPr>
        <w:t xml:space="preserve"># logs:</w:t>
        <w:br w:clear="none"/>
      </w:r>
      <w:r>
        <w:rPr>
          <w:rStyle w:val="Text26"/>
        </w:rPr>
        <w:t xml:space="preserve"> </w:t>
        <w:br w:clear="none"/>
      </w:r>
      <w:r>
        <w:rPr>
          <w:rStyle w:val="Text15"/>
        </w:rPr>
        <w:t xml:space="preserve">hello george</w:t>
        <w:br w:clear="none"/>
      </w:r>
    </w:p>
    <w:p>
      <w:bookmarkStart w:id="2368" w:name="Format_Specifier_Syntax__Each_fo"/>
      <w:pPr>
        <w:keepNext/>
        <w:pStyle w:val="Heading 2"/>
      </w:pPr>
      <w:r>
        <w:t>Format Specifier Syntax</w:t>
      </w:r>
      <w:bookmarkEnd w:id="2368"/>
    </w:p>
    <w:p>
      <w:pPr>
        <w:pStyle w:val="Normal"/>
      </w:pPr>
      <w:r>
        <w:t>Each</w:t>
      </w:r>
      <w:r>
        <w:rPr>
          <w:rStyle w:val="Text111"/>
        </w:rPr>
        <w:bookmarkStart w:id="2369" w:name="idm45965209529488"/>
        <w:t/>
        <w:bookmarkEnd w:id="2369"/>
      </w:r>
      <w:r>
        <w:t xml:space="preserve"> format specifier corresponds to an item in </w:t>
      </w:r>
      <w:r>
        <w:rPr>
          <w:rStyle w:val="Text3"/>
        </w:rPr>
        <w:t>values</w:t>
      </w:r>
      <w:r>
        <w:t xml:space="preserve"> by position. A format specifier can include modifiers to control how the corresponding item in </w:t>
      </w:r>
      <w:r>
        <w:rPr>
          <w:rStyle w:val="Text3"/>
        </w:rPr>
        <w:t>values</w:t>
      </w:r>
      <w:r>
        <w:t xml:space="preserve"> is converted to a string. The components of a format specifier, in order, are:</w:t>
      </w:r>
    </w:p>
    <w:p>
      <w:pPr>
        <w:pStyle w:val="Para 010"/>
      </w:pPr>
      <w:r>
        <w:t xml:space="preserve">The mandatory leading </w:t>
      </w:r>
      <w:r>
        <w:rPr>
          <w:rStyle w:val="Text0"/>
        </w:rPr>
        <w:t>%</w:t>
      </w:r>
      <w:r>
        <w:t xml:space="preserve"> character that marks the start of the specifier</w:t>
      </w:r>
    </w:p>
    <w:p>
      <w:pPr>
        <w:pStyle w:val="Para 010"/>
      </w:pPr>
      <w:r>
        <w:t>Zero or more optional conversion flags:</w:t>
      </w:r>
    </w:p>
    <w:p>
      <w:pPr>
        <w:pStyle w:val="Para 030"/>
      </w:pPr>
      <w:r>
        <w:t>'</w:t>
        <w:t>#</w:t>
        <w:t>'</w:t>
      </w:r>
    </w:p>
    <w:p>
      <w:pPr>
        <w:pStyle w:val="Para 059"/>
      </w:pPr>
      <w:r>
        <w:t>The conversion uses an alternate form (if any exists for its type).</w:t>
      </w:r>
    </w:p>
    <w:p>
      <w:pPr>
        <w:pStyle w:val="Para 030"/>
      </w:pPr>
      <w:r>
        <w:t>'</w:t>
        <w:t>0</w:t>
        <w:t>'</w:t>
      </w:r>
    </w:p>
    <w:p>
      <w:pPr>
        <w:pStyle w:val="Para 059"/>
      </w:pPr>
      <w:r>
        <w:t>The conversion is zero padded.</w:t>
      </w:r>
    </w:p>
    <w:p>
      <w:pPr>
        <w:pStyle w:val="Para 030"/>
      </w:pPr>
      <w:r>
        <w:t>'</w:t>
        <w:t>-</w:t>
        <w:t>'</w:t>
      </w:r>
    </w:p>
    <w:p>
      <w:pPr>
        <w:pStyle w:val="Para 059"/>
      </w:pPr>
      <w:r>
        <w:t>The conversion is left justified.</w:t>
      </w:r>
    </w:p>
    <w:p>
      <w:pPr>
        <w:pStyle w:val="Para 030"/>
      </w:pPr>
      <w:r>
        <w:t>' '</w:t>
      </w:r>
    </w:p>
    <w:p>
      <w:pPr>
        <w:pStyle w:val="Para 059"/>
      </w:pPr>
      <w:r>
        <w:t>Negative numbers are signed, and a space is placed before a positive number.</w:t>
      </w:r>
    </w:p>
    <w:p>
      <w:pPr>
        <w:pStyle w:val="Para 030"/>
      </w:pPr>
      <w:r>
        <w:t>'</w:t>
        <w:t>+</w:t>
        <w:t>'</w:t>
      </w:r>
    </w:p>
    <w:p>
      <w:pPr>
        <w:pStyle w:val="Para 059"/>
      </w:pPr>
      <w:r>
        <w:t>A numeric sign (</w:t>
      </w:r>
      <w:r>
        <w:rPr>
          <w:rStyle w:val="Text0"/>
        </w:rPr>
        <w:t>+</w:t>
      </w:r>
      <w:r>
        <w:t xml:space="preserve"> or </w:t>
      </w:r>
      <w:r>
        <w:rPr>
          <w:rStyle w:val="Text0"/>
        </w:rPr>
        <w:t>-</w:t>
      </w:r>
      <w:r>
        <w:t>) is placed before any numeric conversion.</w:t>
      </w:r>
    </w:p>
    <w:p>
      <w:pPr>
        <w:pStyle w:val="Para 010"/>
      </w:pPr>
      <w:r>
        <w:t>An optional minimum width of the conversion: one or more digits, or an asterisk (</w:t>
      </w:r>
      <w:r>
        <w:rPr>
          <w:rStyle w:val="Text0"/>
        </w:rPr>
        <w:t>*</w:t>
      </w:r>
      <w:r>
        <w:t xml:space="preserve">), meaning that the width is taken from the next item in </w:t>
      </w:r>
      <w:r>
        <w:rPr>
          <w:rStyle w:val="Text3"/>
        </w:rPr>
        <w:t>values</w:t>
      </w:r>
    </w:p>
    <w:p>
      <w:pPr>
        <w:pStyle w:val="Para 010"/>
      </w:pPr>
      <w:r>
        <w:t>An optional precision for the conversion: a dot (</w:t>
      </w:r>
      <w:r>
        <w:rPr>
          <w:rStyle w:val="Text0"/>
        </w:rPr>
        <w:t>.</w:t>
      </w:r>
      <w:r>
        <w:t xml:space="preserve">) followed by zero or more digits or by a </w:t>
      </w:r>
      <w:r>
        <w:rPr>
          <w:rStyle w:val="Text0"/>
        </w:rPr>
        <w:t>*</w:t>
      </w:r>
      <w:r>
        <w:t xml:space="preserve">, meaning that the precision is taken from the next item in </w:t>
      </w:r>
      <w:r>
        <w:rPr>
          <w:rStyle w:val="Text3"/>
        </w:rPr>
        <w:t>values</w:t>
      </w:r>
    </w:p>
    <w:p>
      <w:pPr>
        <w:pStyle w:val="Para 010"/>
      </w:pPr>
      <w:r>
        <w:t xml:space="preserve">A mandatory conversion type from </w:t>
      </w:r>
      <w:hyperlink w:anchor="Table_9_7__String_formatting_con">
        <w:r>
          <w:rPr>
            <w:rStyle w:val="Text1"/>
          </w:rPr>
          <w:t>Table 9-7</w:t>
        </w:r>
      </w:hyperlink>
    </w:p>
    <w:p>
      <w:pPr>
        <w:pStyle w:val="Normal"/>
      </w:pPr>
      <w:r>
        <w:t xml:space="preserve">There must be exactly as many </w:t>
      </w:r>
      <w:r>
        <w:rPr>
          <w:rStyle w:val="Text3"/>
        </w:rPr>
        <w:t>values</w:t>
      </w:r>
      <w:r>
        <w:t xml:space="preserve"> as </w:t>
      </w:r>
      <w:r>
        <w:rPr>
          <w:rStyle w:val="Text3"/>
        </w:rPr>
        <w:t>format</w:t>
      </w:r>
      <w:r>
        <w:t xml:space="preserve"> has specifiers (plus one extra for each width or precision given by </w:t>
      </w:r>
      <w:r>
        <w:rPr>
          <w:rStyle w:val="Text0"/>
        </w:rPr>
        <w:t>*</w:t>
      </w:r>
      <w:r>
        <w:t xml:space="preserve">). When a width or precision is given by </w:t>
      </w:r>
      <w:r>
        <w:rPr>
          <w:rStyle w:val="Text0"/>
        </w:rPr>
        <w:t>*</w:t>
      </w:r>
      <w:r>
        <w:t xml:space="preserve">, the </w:t>
      </w:r>
      <w:r>
        <w:rPr>
          <w:rStyle w:val="Text0"/>
        </w:rPr>
        <w:t>*</w:t>
      </w:r>
      <w:r>
        <w:t xml:space="preserve"> consumes one item in </w:t>
      </w:r>
      <w:r>
        <w:rPr>
          <w:rStyle w:val="Text3"/>
        </w:rPr>
        <w:t>values</w:t>
      </w:r>
      <w:r>
        <w:t>, which must be an integer and is taken as the number of characters to use as the width or precision of that conversion.</w:t>
      </w:r>
    </w:p>
    <w:p>
      <w:pPr>
        <w:keepNext/>
        <w:pStyle w:val="Heading 5"/>
        <w:keepLines w:val="on"/>
      </w:pPr>
      <w:r>
        <w:t>Always Use %r (or %a) to Log Possibly Erroneous Strings</w:t>
      </w:r>
    </w:p>
    <w:p>
      <w:pPr>
        <w:pStyle w:val="Para 012"/>
        <w:keepLines w:val="on"/>
      </w:pPr>
      <w:r>
        <w:t>Most often, the format specifiers</w:t>
      </w:r>
      <w:r>
        <w:rPr>
          <w:rStyle w:val="Text111"/>
        </w:rPr>
        <w:bookmarkStart w:id="2370" w:name="idm45965209473152"/>
        <w:t/>
        <w:bookmarkEnd w:id="2370"/>
        <w:bookmarkStart w:id="2371" w:name="idm45965209472048"/>
        <w:t/>
        <w:bookmarkEnd w:id="2371"/>
        <w:bookmarkStart w:id="2372" w:name="idm45965209470944"/>
        <w:t/>
        <w:bookmarkEnd w:id="2372"/>
      </w:r>
      <w:r>
        <w:t xml:space="preserve"> in your </w:t>
      </w:r>
      <w:r>
        <w:rPr>
          <w:rStyle w:val="Text3"/>
        </w:rPr>
        <w:t>format</w:t>
      </w:r>
      <w:r>
        <w:t xml:space="preserve"> string will all be </w:t>
      </w:r>
      <w:r>
        <w:rPr>
          <w:rStyle w:val="Text0"/>
        </w:rPr>
        <w:t>%s</w:t>
      </w:r>
      <w:r>
        <w:t xml:space="preserve">; occasionally, you’ll want to ensure horizontal alignment of the output (for example, in a right-justified, maybe truncated space of exactly six characters, in which case you’d use </w:t>
      </w:r>
      <w:r>
        <w:rPr>
          <w:rStyle w:val="Text0"/>
        </w:rPr>
        <w:t>%6.6s</w:t>
      </w:r>
      <w:r>
        <w:t xml:space="preserve">). However, there is an important special case for </w:t>
      </w:r>
      <w:r>
        <w:rPr>
          <w:rStyle w:val="Text0"/>
        </w:rPr>
        <w:t>%r</w:t>
      </w:r>
      <w:r>
        <w:t xml:space="preserve"> </w:t>
        <w:t xml:space="preserve">or </w:t>
      </w:r>
      <w:r>
        <w:rPr>
          <w:rStyle w:val="Text0"/>
        </w:rPr>
        <w:t>%a</w:t>
      </w:r>
      <w:r>
        <w:t>.</w:t>
      </w:r>
    </w:p>
    <w:p>
      <w:pPr>
        <w:pStyle w:val="Para 012"/>
        <w:keepLines w:val="on"/>
      </w:pPr>
      <w:r>
        <w:t xml:space="preserve">When you’re logging a string value that might be erroneous (for example, the name of a file that is not found), don’t use </w:t>
      </w:r>
      <w:r>
        <w:rPr>
          <w:rStyle w:val="Text0"/>
        </w:rPr>
        <w:t>%s</w:t>
      </w:r>
      <w:r>
        <w:t xml:space="preserve">: when the error is that the string has spurious leading or trailing spaces, or contains some nonprinting characters such as </w:t>
      </w:r>
      <w:r>
        <w:rPr>
          <w:rStyle w:val="Text0"/>
        </w:rPr>
        <w:t>\b</w:t>
      </w:r>
      <w:r>
        <w:t xml:space="preserve">, </w:t>
      </w:r>
      <w:r>
        <w:rPr>
          <w:rStyle w:val="Text0"/>
        </w:rPr>
        <w:t>%s</w:t>
      </w:r>
      <w:r>
        <w:t xml:space="preserve"> can make this hard for you to spot by studying the logs. Use </w:t>
      </w:r>
      <w:r>
        <w:rPr>
          <w:rStyle w:val="Text0"/>
        </w:rPr>
        <w:t>%r</w:t>
      </w:r>
      <w:r>
        <w:t xml:space="preserve"> or </w:t>
      </w:r>
      <w:r>
        <w:rPr>
          <w:rStyle w:val="Text0"/>
        </w:rPr>
        <w:t>%a</w:t>
      </w:r>
      <w:r>
        <w:t xml:space="preserve"> instead, so that all characters are clearly shown, possibly via escape sequences. (For f-strings, the corresponding syntax would be </w:t>
      </w:r>
      <w:r>
        <w:rPr>
          <w:rStyle w:val="Text0"/>
        </w:rPr>
        <w:t>{variable!r}</w:t>
      </w:r>
      <w:r>
        <w:t xml:space="preserve"> or </w:t>
      </w:r>
      <w:r>
        <w:rPr>
          <w:rStyle w:val="Text0"/>
        </w:rPr>
        <w:t>{variable!a}</w:t>
      </w:r>
      <w:r>
        <w:t>).</w:t>
      </w:r>
      <w:r>
        <w:rPr>
          <w:rStyle w:val="Text111"/>
        </w:rPr>
        <w:bookmarkStart w:id="2373" w:name="idm45965209459968"/>
        <w:t/>
        <w:bookmarkEnd w:id="2373"/>
      </w:r>
    </w:p>
    <w:p>
      <w:bookmarkStart w:id="2374" w:name="Text_Wrapping_and_Filling__The_t"/>
      <w:pPr>
        <w:keepNext/>
        <w:pStyle w:val="Heading 1"/>
      </w:pPr>
      <w:r>
        <w:t>Text Wrapping and Filling</w:t>
      </w:r>
      <w:bookmarkEnd w:id="2374"/>
    </w:p>
    <w:p>
      <w:pPr>
        <w:pStyle w:val="Normal"/>
      </w:pPr>
      <w:r>
        <w:t>The</w:t>
      </w:r>
      <w:r>
        <w:rPr>
          <w:rStyle w:val="Text111"/>
        </w:rPr>
        <w:bookmarkStart w:id="2375" w:name="idm45965209456864"/>
        <w:t/>
        <w:bookmarkEnd w:id="2375"/>
        <w:bookmarkStart w:id="2376" w:name="idm45965209455520"/>
        <w:t/>
        <w:bookmarkEnd w:id="2376"/>
        <w:bookmarkStart w:id="2377" w:name="idm45965209454384"/>
        <w:t/>
        <w:bookmarkEnd w:id="2377"/>
        <w:bookmarkStart w:id="2378" w:name="idm45965209453280"/>
        <w:t/>
        <w:bookmarkEnd w:id="2378"/>
      </w:r>
      <w:r>
        <w:t xml:space="preserve"> </w:t>
      </w:r>
      <w:r>
        <w:rPr>
          <w:rStyle w:val="Text0"/>
        </w:rPr>
        <w:t>textwrap</w:t>
      </w:r>
      <w:r>
        <w:t xml:space="preserve"> module supplies a class and a few functions to format a string by breaking it into lines of a given maximum length. To fine-tune the filling and wrapping, you can instantiate the </w:t>
      </w:r>
      <w:r>
        <w:rPr>
          <w:rStyle w:val="Text0"/>
        </w:rPr>
        <w:t>TextWrapper</w:t>
      </w:r>
      <w:r>
        <w:t xml:space="preserve"> class supplied by </w:t>
      </w:r>
      <w:r>
        <w:rPr>
          <w:rStyle w:val="Text0"/>
        </w:rPr>
        <w:t>textwrap</w:t>
      </w:r>
      <w:r>
        <w:t xml:space="preserve"> and apply detailed control. Most of the time, however, one of the functions exposed by </w:t>
      </w:r>
      <w:r>
        <w:rPr>
          <w:rStyle w:val="Text0"/>
        </w:rPr>
        <w:t>textwrap</w:t>
      </w:r>
      <w:r>
        <w:t xml:space="preserve"> suffices; the most commonly used functions are covered in </w:t>
      </w:r>
      <w:hyperlink w:anchor="Table_9_8__Useful_functions_of_t">
        <w:r>
          <w:rPr>
            <w:rStyle w:val="Text1"/>
          </w:rPr>
          <w:t>Table 9-8</w:t>
        </w:r>
      </w:hyperlink>
      <w:r>
        <w:t>.</w:t>
      </w:r>
    </w:p>
    <w:tbl>
      <w:tblPr>
        <w:tblW w:type="auto" w:w="0"/>
      </w:tblPr>
      <w:tr>
        <w:tc>
          <w:tcPr>
            <w:tcW w:type="auto" w:w="0"/>
            <w:tcMar>
              <w:left w:type="dxa" w:w="200"/>
              <w:top w:type="dxa" w:w="200"/>
              <w:right w:type="dxa" w:w="200"/>
              <w:bottom w:type="dxa" w:w="200"/>
            </w:tcMar>
          </w:tcPr>
          <w:p>
            <w:bookmarkStart w:id="2379" w:name="Table_9_8__Useful_functions_of_t"/>
            <w:pPr>
              <w:pStyle w:val="Para 011"/>
            </w:pPr>
            <w:r>
              <w:rPr>
                <w:rStyle w:val="Text117"/>
              </w:rPr>
              <w:t/>
            </w:r>
            <w:r>
              <w:t xml:space="preserve">Table 9-8. </w:t>
              <w:t xml:space="preserve">Useful functions of the </w:t>
            </w:r>
            <w:r>
              <w:rPr>
                <w:rStyle w:val="Text0"/>
              </w:rPr>
              <w:t>textwrap</w:t>
            </w:r>
            <w:r>
              <w:t xml:space="preserve"> module</w:t>
            </w:r>
            <w:bookmarkEnd w:id="2379"/>
          </w:p>
          <w:p>
            <w:pPr>
              <w:pStyle w:val="Para 001"/>
            </w:pPr>
            <w:r>
              <w:t>dedent</w:t>
            </w:r>
          </w:p>
        </w:tc>
        <w:tc>
          <w:tcPr>
            <w:tcW w:type="auto" w:w="0"/>
            <w:tcMar>
              <w:left w:type="dxa" w:w="200"/>
              <w:top w:type="dxa" w:w="200"/>
              <w:right w:type="dxa" w:w="200"/>
              <w:bottom w:type="dxa" w:w="200"/>
            </w:tcMar>
          </w:tcPr>
          <w:p>
            <w:pPr>
              <w:pStyle w:val="Para 002"/>
            </w:pPr>
            <w:r>
              <w:rPr>
                <w:rStyle w:val="Text0"/>
              </w:rPr>
              <w:t>dedent(text)</w:t>
              <w:br w:clear="none"/>
            </w:r>
            <w:r>
              <w:t xml:space="preserve"> Takes</w:t>
            </w:r>
            <w:r>
              <w:rPr>
                <w:rStyle w:val="Text111"/>
              </w:rPr>
              <w:bookmarkStart w:id="2380" w:name="idm45965209443168"/>
              <w:t/>
              <w:bookmarkEnd w:id="2380"/>
            </w:r>
            <w:r>
              <w:t xml:space="preserve"> a multiline string and returns a copy in which all lines have had the same amount of leading whitespace removed, so that some lines have no leading whitespace.</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fill</w:t>
            </w:r>
          </w:p>
        </w:tc>
        <w:tc>
          <w:tcPr>
            <w:tcW w:type="auto" w:w="0"/>
            <w:shd w:val="clear" w:color="auto" w:fill="EEF2F6"/>
            <w:tcMar>
              <w:left w:type="dxa" w:w="200"/>
              <w:top w:type="dxa" w:w="200"/>
              <w:right w:type="dxa" w:w="200"/>
              <w:bottom w:type="dxa" w:w="200"/>
            </w:tcMar>
          </w:tcPr>
          <w:p>
            <w:pPr>
              <w:pStyle w:val="Para 001"/>
            </w:pPr>
            <w:r>
              <w:t>fill(text, width=70)</w:t>
              <w:br w:clear="none"/>
            </w:r>
            <w:r>
              <w:rPr>
                <w:rStyle w:val="Text12"/>
              </w:rPr>
              <w:t xml:space="preserve"> Returns</w:t>
            </w:r>
            <w:r>
              <w:rPr>
                <w:rStyle w:val="Text115"/>
              </w:rPr>
              <w:bookmarkStart w:id="2381" w:name="idm45965209439536"/>
              <w:t/>
              <w:bookmarkEnd w:id="2381"/>
            </w:r>
            <w:r>
              <w:rPr>
                <w:rStyle w:val="Text12"/>
              </w:rPr>
              <w:t xml:space="preserve"> a single multiline string equal to </w:t>
            </w:r>
            <w:r>
              <w:t>'\n'.join(wrap(text, width))</w:t>
            </w:r>
            <w:r>
              <w:rPr>
                <w:rStyle w:val="Text12"/>
              </w:rPr>
              <w:t>.</w:t>
            </w:r>
          </w:p>
        </w:tc>
      </w:tr>
    </w:tbl>
    <w:tbl>
      <w:tblPr>
        <w:tblW w:type="auto" w:w="0"/>
      </w:tblPr>
      <w:tr>
        <w:tc>
          <w:tcPr>
            <w:tcW w:type="auto" w:w="0"/>
            <w:tcMar>
              <w:left w:type="dxa" w:w="200"/>
              <w:top w:type="dxa" w:w="200"/>
              <w:right w:type="dxa" w:w="200"/>
              <w:bottom w:type="dxa" w:w="200"/>
            </w:tcMar>
          </w:tcPr>
          <w:p>
            <w:pPr>
              <w:pStyle w:val="Para 001"/>
            </w:pPr>
            <w:r>
              <w:t>wrap</w:t>
            </w:r>
          </w:p>
        </w:tc>
        <w:tc>
          <w:tcPr>
            <w:tcW w:type="auto" w:w="0"/>
            <w:tcMar>
              <w:left w:type="dxa" w:w="200"/>
              <w:top w:type="dxa" w:w="200"/>
              <w:right w:type="dxa" w:w="200"/>
              <w:bottom w:type="dxa" w:w="200"/>
            </w:tcMar>
          </w:tcPr>
          <w:p>
            <w:pPr>
              <w:pStyle w:val="Para 002"/>
            </w:pPr>
            <w:r>
              <w:rPr>
                <w:rStyle w:val="Text0"/>
              </w:rPr>
              <w:t>wrap(text, width=70)</w:t>
              <w:br w:clear="none"/>
            </w:r>
            <w:r>
              <w:t xml:space="preserve"> Returns</w:t>
            </w:r>
            <w:r>
              <w:rPr>
                <w:rStyle w:val="Text111"/>
              </w:rPr>
              <w:bookmarkStart w:id="2382" w:name="idm45965209434832"/>
              <w:t/>
              <w:bookmarkEnd w:id="2382"/>
            </w:r>
            <w:r>
              <w:t xml:space="preserve"> a list of strings (without terminating newlines), each no longer than </w:t>
            </w:r>
            <w:r>
              <w:rPr>
                <w:rStyle w:val="Text0"/>
              </w:rPr>
              <w:t>width</w:t>
            </w:r>
            <w:r>
              <w:t xml:space="preserve"> characters. </w:t>
            </w:r>
            <w:r>
              <w:rPr>
                <w:rStyle w:val="Text0"/>
              </w:rPr>
              <w:t>wrap</w:t>
            </w:r>
            <w:r>
              <w:t xml:space="preserve"> also supports other named arguments (equivalent to attributes of instances of class </w:t>
            </w:r>
            <w:r>
              <w:rPr>
                <w:rStyle w:val="Text0"/>
              </w:rPr>
              <w:t>TextWrapper</w:t>
            </w:r>
            <w:r>
              <w:t xml:space="preserve">); for such advanced uses, see the </w:t>
            </w:r>
            <w:hyperlink r:id="rId322">
              <w:r>
                <w:rPr>
                  <w:rStyle w:val="Text1"/>
                </w:rPr>
                <w:t>online docs</w:t>
              </w:r>
            </w:hyperlink>
            <w:r>
              <w:t>.</w:t>
            </w:r>
          </w:p>
        </w:tc>
      </w:tr>
    </w:tbl>
    <w:p>
      <w:bookmarkStart w:id="2383" w:name="The_pprint_Module__The_pprint_mo"/>
      <w:pPr>
        <w:keepNext/>
        <w:pStyle w:val="Heading 1"/>
      </w:pPr>
      <w:r>
        <w:t>The pprint Module</w:t>
      </w:r>
      <w:bookmarkEnd w:id="2383"/>
    </w:p>
    <w:p>
      <w:pPr>
        <w:pStyle w:val="Normal"/>
      </w:pPr>
      <w:r>
        <w:t>The</w:t>
      </w:r>
      <w:r>
        <w:rPr>
          <w:rStyle w:val="Text111"/>
        </w:rPr>
        <w:bookmarkStart w:id="2384" w:name="idm45965209428704"/>
        <w:t/>
        <w:bookmarkEnd w:id="2384"/>
        <w:bookmarkStart w:id="2385" w:name="idm45965209426912"/>
        <w:t/>
        <w:bookmarkEnd w:id="2385"/>
        <w:bookmarkStart w:id="2386" w:name="idm45965209425568"/>
        <w:t/>
        <w:bookmarkEnd w:id="2386"/>
      </w:r>
      <w:r>
        <w:t xml:space="preserve"> </w:t>
      </w:r>
      <w:r>
        <w:rPr>
          <w:rStyle w:val="Text0"/>
        </w:rPr>
        <w:t>pprint</w:t>
      </w:r>
      <w:r>
        <w:t xml:space="preserve"> module pretty-prints data structures, with formatting that strives to be more readable than that supplied by the built-in function </w:t>
      </w:r>
      <w:r>
        <w:rPr>
          <w:rStyle w:val="Text0"/>
        </w:rPr>
        <w:t>repr</w:t>
      </w:r>
      <w:r>
        <w:t xml:space="preserve"> (covered in </w:t>
      </w:r>
      <w:hyperlink w:anchor="Table_8_2__Python_s_core_built_i">
        <w:r>
          <w:rPr>
            <w:rStyle w:val="Text1"/>
          </w:rPr>
          <w:t>Table 8-2</w:t>
        </w:r>
      </w:hyperlink>
      <w:r>
        <w:t xml:space="preserve">). To fine-tune the formatting, you can instantiate the </w:t>
      </w:r>
      <w:r>
        <w:rPr>
          <w:rStyle w:val="Text0"/>
        </w:rPr>
        <w:t>PrettyPrinter</w:t>
      </w:r>
      <w:r>
        <w:t xml:space="preserve"> class supplied by </w:t>
      </w:r>
      <w:r>
        <w:rPr>
          <w:rStyle w:val="Text0"/>
        </w:rPr>
        <w:t>pprint</w:t>
      </w:r>
      <w:r>
        <w:t xml:space="preserve"> and apply detailed control, helped by auxiliary functions also supplied by </w:t>
      </w:r>
      <w:r>
        <w:rPr>
          <w:rStyle w:val="Text0"/>
        </w:rPr>
        <w:t>pprint</w:t>
      </w:r>
      <w:r>
        <w:t xml:space="preserve">. Most of the time, however, one of the functions exposed by </w:t>
      </w:r>
      <w:r>
        <w:rPr>
          <w:rStyle w:val="Text0"/>
        </w:rPr>
        <w:t>pprint</w:t>
      </w:r>
      <w:r>
        <w:t xml:space="preserve"> suffices (see </w:t>
      </w:r>
      <w:hyperlink w:anchor="Table_9_9__Useful_functions_of_t">
        <w:r>
          <w:rPr>
            <w:rStyle w:val="Text1"/>
          </w:rPr>
          <w:t>Table 9-9</w:t>
        </w:r>
      </w:hyperlink>
      <w:r>
        <w:t>).</w:t>
      </w:r>
    </w:p>
    <w:tbl>
      <w:tblPr>
        <w:tblW w:type="auto" w:w="0"/>
      </w:tblPr>
      <w:tr>
        <w:tc>
          <w:tcPr>
            <w:tcW w:type="pct" w:w="500"/>
            <w:tcMar>
              <w:left w:type="dxa" w:w="200"/>
              <w:top w:type="dxa" w:w="200"/>
              <w:right w:type="dxa" w:w="200"/>
              <w:bottom w:type="dxa" w:w="200"/>
            </w:tcMar>
          </w:tcPr>
          <w:p>
            <w:bookmarkStart w:id="2387" w:name="Table_9_9__Useful_functions_of_t"/>
            <w:pPr>
              <w:pStyle w:val="Para 011"/>
            </w:pPr>
            <w:r>
              <w:rPr>
                <w:rStyle w:val="Text117"/>
              </w:rPr>
              <w:t/>
            </w:r>
            <w:r>
              <w:t xml:space="preserve">Table 9-9. </w:t>
              <w:t xml:space="preserve">Useful functions of the </w:t>
            </w:r>
            <w:r>
              <w:rPr>
                <w:rStyle w:val="Text0"/>
              </w:rPr>
              <w:t>pprint</w:t>
            </w:r>
            <w:r>
              <w:t xml:space="preserve"> module</w:t>
            </w:r>
            <w:bookmarkEnd w:id="2387"/>
          </w:p>
          <w:p>
            <w:pPr>
              <w:pStyle w:val="Para 001"/>
            </w:pPr>
            <w:r>
              <w:t>pformat</w:t>
            </w:r>
          </w:p>
        </w:tc>
        <w:tc>
          <w:tcPr>
            <w:tcW w:type="auto" w:w="0"/>
            <w:tcMar>
              <w:left w:type="dxa" w:w="200"/>
              <w:top w:type="dxa" w:w="200"/>
              <w:right w:type="dxa" w:w="200"/>
              <w:bottom w:type="dxa" w:w="200"/>
            </w:tcMar>
          </w:tcPr>
          <w:p>
            <w:pPr>
              <w:pStyle w:val="Para 002"/>
            </w:pPr>
            <w:r>
              <w:rPr>
                <w:rStyle w:val="Text0"/>
              </w:rPr>
              <w:t>pformat(object)</w:t>
              <w:br w:clear="none"/>
            </w:r>
            <w:r>
              <w:t xml:space="preserve"> Returns a string representing the pretty-printing of </w:t>
            </w:r>
            <w:r>
              <w:rPr>
                <w:rStyle w:val="Text0"/>
              </w:rPr>
              <w:t>object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pp</w:t>
            </w:r>
            <w:r>
              <w:rPr>
                <w:rStyle w:val="Text12"/>
              </w:rPr>
              <w:t xml:space="preserve">, </w:t>
            </w:r>
            <w:r>
              <w:t>pprint</w:t>
            </w:r>
          </w:p>
        </w:tc>
        <w:tc>
          <w:tcPr>
            <w:tcW w:type="auto" w:w="0"/>
            <w:shd w:val="clear" w:color="auto" w:fill="EEF2F6"/>
            <w:tcMar>
              <w:left w:type="dxa" w:w="200"/>
              <w:top w:type="dxa" w:w="200"/>
              <w:right w:type="dxa" w:w="200"/>
              <w:bottom w:type="dxa" w:w="200"/>
            </w:tcMar>
          </w:tcPr>
          <w:p>
            <w:pPr>
              <w:pStyle w:val="Para 002"/>
            </w:pPr>
            <w:r>
              <w:rPr>
                <w:rStyle w:val="Text0"/>
              </w:rPr>
              <w:t>pp(object, stream=</w:t>
            </w:r>
            <w:r>
              <w:rPr>
                <w:rStyle w:val="Text3"/>
              </w:rPr>
              <w:t>sys.stdout</w:t>
            </w:r>
            <w:r>
              <w:rPr>
                <w:rStyle w:val="Text0"/>
              </w:rPr>
              <w:t>)</w:t>
            </w:r>
            <w:r>
              <w:t>,</w:t>
              <w:br w:clear="none"/>
              <w:t xml:space="preserve"> </w:t>
            </w:r>
            <w:r>
              <w:rPr>
                <w:rStyle w:val="Text0"/>
              </w:rPr>
              <w:t>pprint(object, stream=</w:t>
            </w:r>
            <w:r>
              <w:rPr>
                <w:rStyle w:val="Text3"/>
              </w:rPr>
              <w:t>sys.stdout</w:t>
            </w:r>
            <w:r>
              <w:rPr>
                <w:rStyle w:val="Text0"/>
              </w:rPr>
              <w:t>)</w:t>
              <w:br w:clear="none"/>
            </w:r>
            <w:r>
              <w:t xml:space="preserve"> Outputs the pretty-printing of </w:t>
            </w:r>
            <w:r>
              <w:rPr>
                <w:rStyle w:val="Text0"/>
              </w:rPr>
              <w:t>object</w:t>
            </w:r>
            <w:r>
              <w:t xml:space="preserve"> to open-for-writing file object </w:t>
            </w:r>
            <w:r>
              <w:rPr>
                <w:rStyle w:val="Text0"/>
              </w:rPr>
              <w:t>stream</w:t>
            </w:r>
            <w:r>
              <w:t>, with a terminating newline.</w:t>
              <w:br w:clear="none"/>
              <w:t xml:space="preserve"> The following statements do exactly the same thing: </w:t>
            </w:r>
          </w:p>
          <w:p>
            <w:pPr>
              <w:pStyle w:val="Para 029"/>
            </w:pPr>
            <w:r>
              <w:rPr>
                <w:rStyle w:val="Text23"/>
              </w:rPr>
              <w:t xml:space="preserve"/>
              <w:br w:clear="none"/>
            </w:r>
            <w:r>
              <w:rPr>
                <w:rStyle w:val="Text16"/>
              </w:rPr>
              <w:t xml:space="preserve">print</w:t>
              <w:br w:clear="none"/>
            </w:r>
            <w:r>
              <w:rPr>
                <w:rStyle w:val="Text7"/>
              </w:rPr>
              <w:t xml:space="preserve">(</w:t>
              <w:br w:clear="none"/>
            </w:r>
            <w:r>
              <w:t xml:space="preserve">pprint</w:t>
              <w:br w:clear="none"/>
            </w:r>
            <w:r>
              <w:rPr>
                <w:rStyle w:val="Text13"/>
              </w:rPr>
              <w:t xml:space="preserve">.</w:t>
              <w:br w:clear="none"/>
            </w:r>
            <w:r>
              <w:t xml:space="preserve">pformat</w:t>
              <w:br w:clear="none"/>
            </w:r>
            <w:r>
              <w:rPr>
                <w:rStyle w:val="Text7"/>
              </w:rPr>
              <w:t xml:space="preserve">(</w:t>
              <w:br w:clear="none"/>
            </w:r>
            <w:r>
              <w:t xml:space="preserve">x</w:t>
              <w:br w:clear="none"/>
            </w:r>
            <w:r>
              <w:rPr>
                <w:rStyle w:val="Text7"/>
              </w:rPr>
              <w:t xml:space="preserve">))</w:t>
              <w:br w:clear="none"/>
            </w:r>
            <w:r>
              <w:rPr>
                <w:rStyle w:val="Text23"/>
              </w:rPr>
              <w:t xml:space="preserve"/>
              <w:br w:clear="none"/>
            </w:r>
            <w:r>
              <w:t xml:space="preserve">pprint</w:t>
              <w:br w:clear="none"/>
            </w:r>
            <w:r>
              <w:rPr>
                <w:rStyle w:val="Text13"/>
              </w:rPr>
              <w:t xml:space="preserve">.</w:t>
              <w:br w:clear="none"/>
            </w:r>
            <w:r>
              <w:t xml:space="preserve">pprint</w:t>
              <w:br w:clear="none"/>
            </w:r>
            <w:r>
              <w:rPr>
                <w:rStyle w:val="Text7"/>
              </w:rPr>
              <w:t xml:space="preserve">(</w:t>
              <w:br w:clear="none"/>
            </w:r>
            <w:r>
              <w:t xml:space="preserve">x</w:t>
              <w:br w:clear="none"/>
            </w:r>
            <w:r>
              <w:rPr>
                <w:rStyle w:val="Text7"/>
              </w:rPr>
              <w:t xml:space="preserve">)</w:t>
              <w:br w:clear="none"/>
            </w:r>
          </w:p>
          <w:p>
            <w:pPr>
              <w:pStyle w:val="Para 022"/>
            </w:pPr>
            <w:r>
              <w:t xml:space="preserve"> Either of these constructs is roughly the same as </w:t>
            </w:r>
            <w:r>
              <w:rPr>
                <w:rStyle w:val="Text0"/>
              </w:rPr>
              <w:t>print(</w:t>
            </w:r>
            <w:r>
              <w:rPr>
                <w:rStyle w:val="Text3"/>
              </w:rPr>
              <w:t>x</w:t>
            </w:r>
            <w:r>
              <w:rPr>
                <w:rStyle w:val="Text0"/>
              </w:rPr>
              <w:t>)</w:t>
            </w:r>
            <w:r>
              <w:t xml:space="preserve"> in many cases—for example, for a container that can be displayed within a single line. However, with something like </w:t>
            </w:r>
            <w:r>
              <w:rPr>
                <w:rStyle w:val="Text3"/>
              </w:rPr>
              <w:t>x</w:t>
            </w:r>
            <w:r>
              <w:rPr>
                <w:rStyle w:val="Text0"/>
              </w:rPr>
              <w:t>=list(range(30))</w:t>
            </w:r>
            <w:r>
              <w:t xml:space="preserve">, </w:t>
            </w:r>
            <w:r>
              <w:rPr>
                <w:rStyle w:val="Text0"/>
              </w:rPr>
              <w:t>print(</w:t>
            </w:r>
            <w:r>
              <w:rPr>
                <w:rStyle w:val="Text3"/>
              </w:rPr>
              <w:t>x</w:t>
            </w:r>
            <w:r>
              <w:rPr>
                <w:rStyle w:val="Text0"/>
              </w:rPr>
              <w:t>)</w:t>
            </w:r>
            <w:r>
              <w:t xml:space="preserve"> displays </w:t>
            </w:r>
            <w:r>
              <w:rPr>
                <w:rStyle w:val="Text3"/>
              </w:rPr>
              <w:t>x</w:t>
            </w:r>
            <w:r>
              <w:t xml:space="preserve"> in 2 lines, breaking at an arbitrary point, while using the module </w:t>
            </w:r>
            <w:r>
              <w:rPr>
                <w:rStyle w:val="Text0"/>
              </w:rPr>
              <w:t>pprint</w:t>
            </w:r>
            <w:r>
              <w:t xml:space="preserve"> displays </w:t>
            </w:r>
            <w:r>
              <w:rPr>
                <w:rStyle w:val="Text0"/>
              </w:rPr>
              <w:t>x</w:t>
            </w:r>
            <w:r>
              <w:t xml:space="preserve"> over 30 lines, one line per item. Use </w:t>
            </w:r>
            <w:r>
              <w:rPr>
                <w:rStyle w:val="Text0"/>
              </w:rPr>
              <w:t>pprint</w:t>
            </w:r>
            <w:r>
              <w:t xml:space="preserve"> when you prefer the module’s specific display effects to the ones of normal string representation.</w:t>
              <w:br w:clear="none"/>
              <w:t xml:space="preserve"> </w:t>
            </w:r>
            <w:r>
              <w:rPr>
                <w:rStyle w:val="Text0"/>
              </w:rPr>
              <w:t>pprint</w:t>
            </w:r>
            <w:r>
              <w:t xml:space="preserve"> and </w:t>
            </w:r>
            <w:r>
              <w:rPr>
                <w:rStyle w:val="Text0"/>
              </w:rPr>
              <w:t>pp</w:t>
            </w:r>
            <w:r>
              <w:t xml:space="preserve"> support additional formatting arguments; consult the </w:t>
            </w:r>
            <w:hyperlink r:id="rId323">
              <w:r>
                <w:rPr>
                  <w:rStyle w:val="Text1"/>
                </w:rPr>
                <w:t>online docs</w:t>
              </w:r>
            </w:hyperlink>
            <w:r>
              <w:t xml:space="preserve"> for details.</w:t>
            </w:r>
          </w:p>
        </w:tc>
      </w:tr>
    </w:tbl>
    <w:p>
      <w:bookmarkStart w:id="2388" w:name="The_reprlib_Module__The_reprlib"/>
      <w:pPr>
        <w:keepNext/>
        <w:pStyle w:val="Heading 1"/>
      </w:pPr>
      <w:r>
        <w:t>The reprlib Module</w:t>
      </w:r>
      <w:bookmarkEnd w:id="2388"/>
    </w:p>
    <w:p>
      <w:pPr>
        <w:pStyle w:val="Normal"/>
      </w:pPr>
      <w:r>
        <w:t>The</w:t>
      </w:r>
      <w:r>
        <w:rPr>
          <w:rStyle w:val="Text111"/>
        </w:rPr>
        <w:bookmarkStart w:id="2389" w:name="idm45965209357744"/>
        <w:t/>
        <w:bookmarkEnd w:id="2389"/>
        <w:bookmarkStart w:id="2390" w:name="idm45965209356368"/>
        <w:t/>
        <w:bookmarkEnd w:id="2390"/>
        <w:bookmarkStart w:id="2391" w:name="idm45965209355232"/>
        <w:t/>
        <w:bookmarkEnd w:id="2391"/>
      </w:r>
      <w:r>
        <w:t xml:space="preserve"> </w:t>
      </w:r>
      <w:r>
        <w:rPr>
          <w:rStyle w:val="Text0"/>
        </w:rPr>
        <w:t>reprlib</w:t>
      </w:r>
      <w:r>
        <w:t xml:space="preserve"> module supplies an alternative to the built-in function </w:t>
      </w:r>
      <w:r>
        <w:rPr>
          <w:rStyle w:val="Text0"/>
        </w:rPr>
        <w:t>repr</w:t>
      </w:r>
      <w:r>
        <w:t xml:space="preserve"> (covered in </w:t>
      </w:r>
      <w:hyperlink w:anchor="Table_8_2__Python_s_core_built_i">
        <w:r>
          <w:rPr>
            <w:rStyle w:val="Text1"/>
          </w:rPr>
          <w:t>Table 8-2</w:t>
        </w:r>
      </w:hyperlink>
      <w:r>
        <w:t xml:space="preserve">), with limits on length for the representation string. To fine-tune the length limits, you can instantiate or subclass the </w:t>
      </w:r>
      <w:r>
        <w:rPr>
          <w:rStyle w:val="Text0"/>
        </w:rPr>
        <w:t>Repr</w:t>
      </w:r>
      <w:r>
        <w:t xml:space="preserve"> class supplied by the </w:t>
      </w:r>
      <w:r>
        <w:rPr>
          <w:rStyle w:val="Text0"/>
        </w:rPr>
        <w:t>reprlib</w:t>
      </w:r>
      <w:r>
        <w:t xml:space="preserve"> module and apply detailed control. Most of the time, however, the only function exposed by the module suffices: </w:t>
      </w:r>
      <w:r>
        <w:rPr>
          <w:rStyle w:val="Text0"/>
        </w:rPr>
        <w:t>repr(</w:t>
      </w:r>
      <w:r>
        <w:rPr>
          <w:rStyle w:val="Text3"/>
        </w:rPr>
        <w:t>obj</w:t>
      </w:r>
      <w:r>
        <w:rPr>
          <w:rStyle w:val="Text0"/>
        </w:rPr>
        <w:t>)</w:t>
      </w:r>
      <w:r>
        <w:t xml:space="preserve">, which returns a string representing </w:t>
      </w:r>
      <w:r>
        <w:rPr>
          <w:rStyle w:val="Text3"/>
        </w:rPr>
        <w:t>obj</w:t>
      </w:r>
      <w:r>
        <w:t>, with sensible limits on length.</w:t>
      </w:r>
    </w:p>
    <w:p>
      <w:bookmarkStart w:id="2392" w:name="Unicode__To_convert_bytestrings"/>
      <w:pPr>
        <w:keepNext/>
        <w:pStyle w:val="Heading 1"/>
      </w:pPr>
      <w:r>
        <w:t>Unicode</w:t>
      </w:r>
      <w:bookmarkEnd w:id="2392"/>
    </w:p>
    <w:p>
      <w:pPr>
        <w:pStyle w:val="Normal"/>
      </w:pPr>
      <w:r>
        <w:t>To</w:t>
      </w:r>
      <w:r>
        <w:rPr>
          <w:rStyle w:val="Text111"/>
        </w:rPr>
        <w:bookmarkStart w:id="2393" w:name="Suni09"/>
        <w:t/>
        <w:bookmarkEnd w:id="2393"/>
        <w:bookmarkStart w:id="2394" w:name="Uconvbyte09"/>
        <w:t/>
        <w:bookmarkEnd w:id="2394"/>
      </w:r>
      <w:r>
        <w:t xml:space="preserve"> convert bytestrings into Unicode strings, use the </w:t>
      </w:r>
      <w:r>
        <w:rPr>
          <w:rStyle w:val="Text0"/>
        </w:rPr>
        <w:t>decode</w:t>
      </w:r>
      <w:r>
        <w:t xml:space="preserve"> method of bytestrings (see </w:t>
      </w:r>
      <w:hyperlink w:anchor="Table_9_1__Significant_str_and_b">
        <w:r>
          <w:rPr>
            <w:rStyle w:val="Text1"/>
          </w:rPr>
          <w:t>Table 9-1</w:t>
        </w:r>
      </w:hyperlink>
      <w:r>
        <w:t xml:space="preserve">). The conversion must always be explicit, and is performed using an auxiliary object known as a </w:t>
      </w:r>
      <w:r>
        <w:rPr>
          <w:rStyle w:val="Text4"/>
        </w:rPr>
        <w:t>codec</w:t>
      </w:r>
      <w:r>
        <w:t xml:space="preserve"> (short for </w:t>
      </w:r>
      <w:r>
        <w:rPr>
          <w:rStyle w:val="Text4"/>
        </w:rPr>
        <w:t>coder–decoder</w:t>
      </w:r>
      <w:r>
        <w:t xml:space="preserve">). A codec can also convert Unicode strings to bytestrings using the </w:t>
      </w:r>
      <w:r>
        <w:rPr>
          <w:rStyle w:val="Text0"/>
        </w:rPr>
        <w:t>encode</w:t>
      </w:r>
      <w:r>
        <w:t xml:space="preserve"> method of strings. To identify a codec, pass the codec name to </w:t>
      </w:r>
      <w:r>
        <w:rPr>
          <w:rStyle w:val="Text0"/>
        </w:rPr>
        <w:t>decode</w:t>
      </w:r>
      <w:r>
        <w:t xml:space="preserve"> or </w:t>
      </w:r>
      <w:r>
        <w:rPr>
          <w:rStyle w:val="Text0"/>
        </w:rPr>
        <w:t>encode</w:t>
      </w:r>
      <w:r>
        <w:t xml:space="preserve">. When you pass no codec name, Python uses a default encoding, normally </w:t>
      </w:r>
      <w:r>
        <w:rPr>
          <w:rStyle w:val="Text0"/>
        </w:rPr>
        <w:t>'utf-8'</w:t>
      </w:r>
      <w:r>
        <w:t>.</w:t>
      </w:r>
    </w:p>
    <w:p>
      <w:pPr>
        <w:pStyle w:val="Normal"/>
      </w:pPr>
      <w:r>
        <w:t xml:space="preserve">Every conversion has a parameter </w:t>
      </w:r>
      <w:r>
        <w:rPr>
          <w:rStyle w:val="Text0"/>
        </w:rPr>
        <w:t>errors</w:t>
      </w:r>
      <w:r>
        <w:t xml:space="preserve">, a string specifying how conversion errors are to be handled. Sensibly, the default is </w:t>
      </w:r>
      <w:r>
        <w:rPr>
          <w:rStyle w:val="Text0"/>
        </w:rPr>
        <w:t>'strict'</w:t>
      </w:r>
      <w:r>
        <w:t xml:space="preserve">, meaning any error raises an exception. When </w:t>
      </w:r>
      <w:r>
        <w:rPr>
          <w:rStyle w:val="Text0"/>
        </w:rPr>
        <w:t>errors</w:t>
      </w:r>
      <w:r>
        <w:t xml:space="preserve"> is </w:t>
      </w:r>
      <w:r>
        <w:rPr>
          <w:rStyle w:val="Text0"/>
        </w:rPr>
        <w:t>'replace'</w:t>
      </w:r>
      <w:r>
        <w:t xml:space="preserve">, the conversion replaces each character causing errors with </w:t>
      </w:r>
      <w:r>
        <w:rPr>
          <w:rStyle w:val="Text0"/>
        </w:rPr>
        <w:t>'?'</w:t>
      </w:r>
      <w:r>
        <w:t xml:space="preserve"> in a bytestring result, or with </w:t>
      </w:r>
      <w:r>
        <w:rPr>
          <w:rStyle w:val="Text0"/>
        </w:rPr>
        <w:t>u'\ufffd'</w:t>
      </w:r>
      <w:r>
        <w:t xml:space="preserve"> in a Unicode result. When </w:t>
      </w:r>
      <w:r>
        <w:rPr>
          <w:rStyle w:val="Text0"/>
        </w:rPr>
        <w:t>errors</w:t>
      </w:r>
      <w:r>
        <w:t xml:space="preserve"> is </w:t>
      </w:r>
      <w:r>
        <w:rPr>
          <w:rStyle w:val="Text0"/>
        </w:rPr>
        <w:t>'ignore'</w:t>
      </w:r>
      <w:r>
        <w:t xml:space="preserve">, the conversion silently skips characters causing errors. When </w:t>
      </w:r>
      <w:r>
        <w:rPr>
          <w:rStyle w:val="Text0"/>
        </w:rPr>
        <w:t>errors</w:t>
      </w:r>
      <w:r>
        <w:t xml:space="preserve"> is </w:t>
      </w:r>
      <w:r>
        <w:rPr>
          <w:rStyle w:val="Text0"/>
        </w:rPr>
        <w:t>'xmlcharrefreplace'</w:t>
      </w:r>
      <w:r>
        <w:t xml:space="preserve">, the conversion replaces each character causing errors with the XML character reference representation of that character in the result. You may code your own function to implement a conversion error handling strategy and register it under an appropriate name by calling </w:t>
      </w:r>
      <w:r>
        <w:rPr>
          <w:rStyle w:val="Text0"/>
        </w:rPr>
        <w:t>codecs.register_error</w:t>
      </w:r>
      <w:r>
        <w:t>, covered in the table in the following section.</w:t>
      </w:r>
    </w:p>
    <w:p>
      <w:bookmarkStart w:id="2395" w:name="The_codecs_Module__The_mapping_o"/>
      <w:pPr>
        <w:keepNext/>
        <w:pStyle w:val="Heading 2"/>
      </w:pPr>
      <w:r>
        <w:t>The codecs Module</w:t>
      </w:r>
      <w:bookmarkEnd w:id="2395"/>
    </w:p>
    <w:p>
      <w:pPr>
        <w:pStyle w:val="Normal"/>
      </w:pPr>
      <w:r>
        <w:t>The</w:t>
      </w:r>
      <w:r>
        <w:rPr>
          <w:rStyle w:val="Text111"/>
        </w:rPr>
        <w:bookmarkStart w:id="2396" w:name="idm45965209326816"/>
        <w:t/>
        <w:bookmarkEnd w:id="2396"/>
        <w:bookmarkStart w:id="2397" w:name="idm45965209325680"/>
        <w:t/>
        <w:bookmarkEnd w:id="2397"/>
      </w:r>
      <w:r>
        <w:t xml:space="preserve"> mapping of codec names to codec objects is handled by the </w:t>
      </w:r>
      <w:r>
        <w:rPr>
          <w:rStyle w:val="Text0"/>
        </w:rPr>
        <w:t>codecs</w:t>
      </w:r>
      <w:r>
        <w:t xml:space="preserve"> module. This module also lets you develop your own codec objects and register them so that they can be looked up by name, just like built-in codecs. It provides a function that lets you look up any codec explicitly as well, obtaining the functions the codec uses for encoding and decoding, as well as factory functions to wrap file-like objects. Such advanced facilities are rarely used, and we do not cover them in this book.</w:t>
      </w:r>
    </w:p>
    <w:p>
      <w:pPr>
        <w:pStyle w:val="Normal"/>
      </w:pPr>
      <w:r>
        <w:t xml:space="preserve">The </w:t>
      </w:r>
      <w:r>
        <w:rPr>
          <w:rStyle w:val="Text0"/>
        </w:rPr>
        <w:t>codecs</w:t>
      </w:r>
      <w:r>
        <w:t xml:space="preserve"> module, together with the </w:t>
      </w:r>
      <w:r>
        <w:rPr>
          <w:rStyle w:val="Text0"/>
        </w:rPr>
        <w:t>encodings</w:t>
      </w:r>
      <w:r>
        <w:t xml:space="preserve"> package of the standard Python library, supplies built-in codecs useful to Python developers dealing with internationalization issues. Python comes with over 100 codecs; you can find a complete list, with a brief explanation of each, in the </w:t>
      </w:r>
      <w:hyperlink r:id="rId324">
        <w:r>
          <w:rPr>
            <w:rStyle w:val="Text1"/>
          </w:rPr>
          <w:t>online docs</w:t>
        </w:r>
      </w:hyperlink>
      <w:r>
        <w:t xml:space="preserve">. It’s </w:t>
      </w:r>
      <w:r>
        <w:rPr>
          <w:rStyle w:val="Text4"/>
        </w:rPr>
        <w:t>not</w:t>
      </w:r>
      <w:r>
        <w:t xml:space="preserve"> good practice to install a codec as the site-wide default in the module </w:t>
      </w:r>
      <w:r>
        <w:rPr>
          <w:rStyle w:val="Text0"/>
        </w:rPr>
        <w:t>sitecustomize</w:t>
      </w:r>
      <w:r>
        <w:t xml:space="preserve">; rather, the preferred usage is to always specify the codec by name whenever converting between byte and Unicode strings. Python’s default Unicode encoding is </w:t>
      </w:r>
      <w:r>
        <w:rPr>
          <w:rStyle w:val="Text0"/>
        </w:rPr>
        <w:t>'utf-8'</w:t>
      </w:r>
      <w:r>
        <w:t>.</w:t>
      </w:r>
    </w:p>
    <w:p>
      <w:pPr>
        <w:pStyle w:val="Normal"/>
      </w:pPr>
      <w:r>
        <w:t xml:space="preserve">The </w:t>
      </w:r>
      <w:r>
        <w:rPr>
          <w:rStyle w:val="Text0"/>
        </w:rPr>
        <w:t>codecs</w:t>
      </w:r>
      <w:r>
        <w:t xml:space="preserve"> module supplies codecs implemented in Python for most ISO 8859 encodings, with codec names from </w:t>
      </w:r>
      <w:r>
        <w:rPr>
          <w:rStyle w:val="Text0"/>
        </w:rPr>
        <w:t>'iso8859-1'</w:t>
      </w:r>
      <w:r>
        <w:t xml:space="preserve"> to </w:t>
      </w:r>
      <w:r>
        <w:rPr>
          <w:rStyle w:val="Text0"/>
        </w:rPr>
        <w:t>'iso8859-15'</w:t>
      </w:r>
      <w:r>
        <w:t xml:space="preserve">. A popular codec in Western Europe is </w:t>
      </w:r>
      <w:r>
        <w:rPr>
          <w:rStyle w:val="Text0"/>
        </w:rPr>
        <w:t>'latin-1'</w:t>
      </w:r>
      <w:r>
        <w:t xml:space="preserve">, a fast, built-in implementation of the ISO 8859-1 encoding that offers a one-byte-per-character encoding of special characters found in Western European languages (beware that it lacks the Euro currency character </w:t>
      </w:r>
      <w:r>
        <w:rPr>
          <w:rStyle w:val="Text0"/>
        </w:rPr>
        <w:t>'€'</w:t>
      </w:r>
      <w:r>
        <w:t xml:space="preserve">; however, if you need that, use </w:t>
      </w:r>
      <w:r>
        <w:rPr>
          <w:rStyle w:val="Text0"/>
        </w:rPr>
        <w:t>'iso8859-15'</w:t>
      </w:r>
      <w:r>
        <w:t xml:space="preserve">). On Windows systems only, the codec named </w:t>
      </w:r>
      <w:r>
        <w:rPr>
          <w:rStyle w:val="Text0"/>
        </w:rPr>
        <w:t>'mbcs'</w:t>
      </w:r>
      <w:r>
        <w:t xml:space="preserve"> wraps the platform’s multibyte character set conversion procedures. The </w:t>
      </w:r>
      <w:r>
        <w:rPr>
          <w:rStyle w:val="Text0"/>
        </w:rPr>
        <w:t>codecs</w:t>
      </w:r>
      <w:r>
        <w:t xml:space="preserve"> module also supplies various code pages with names from </w:t>
      </w:r>
      <w:r>
        <w:rPr>
          <w:rStyle w:val="Text0"/>
        </w:rPr>
        <w:t>'cp037'</w:t>
      </w:r>
      <w:r>
        <w:t xml:space="preserve"> to </w:t>
      </w:r>
      <w:r>
        <w:rPr>
          <w:rStyle w:val="Text0"/>
        </w:rPr>
        <w:t>'cp1258'</w:t>
      </w:r>
      <w:r>
        <w:t xml:space="preserve">, and Unicode standard encodings </w:t>
      </w:r>
      <w:r>
        <w:rPr>
          <w:rStyle w:val="Text0"/>
        </w:rPr>
        <w:t>'utf-8'</w:t>
      </w:r>
      <w:r>
        <w:t xml:space="preserve"> (likely to be most often the best choice, thus recommended, and the default) and </w:t>
      </w:r>
      <w:r>
        <w:rPr>
          <w:rStyle w:val="Text0"/>
        </w:rPr>
        <w:t>'utf-16'</w:t>
      </w:r>
      <w:r>
        <w:t xml:space="preserve"> (which has specific big-endian and little-endian variants: </w:t>
      </w:r>
      <w:r>
        <w:rPr>
          <w:rStyle w:val="Text0"/>
        </w:rPr>
        <w:t>'utf-16-be'</w:t>
      </w:r>
      <w:r>
        <w:t xml:space="preserve"> and </w:t>
      </w:r>
      <w:r>
        <w:rPr>
          <w:rStyle w:val="Text0"/>
        </w:rPr>
        <w:t>'utf-16-le'</w:t>
      </w:r>
      <w:r>
        <w:t xml:space="preserve">). For use with UTF-16, </w:t>
      </w:r>
      <w:r>
        <w:rPr>
          <w:rStyle w:val="Text0"/>
        </w:rPr>
        <w:t>codecs</w:t>
      </w:r>
      <w:r>
        <w:t xml:space="preserve"> also supplies attributes </w:t>
      </w:r>
      <w:r>
        <w:rPr>
          <w:rStyle w:val="Text0"/>
        </w:rPr>
        <w:t>BOM_BE</w:t>
      </w:r>
      <w:r>
        <w:t xml:space="preserve"> and </w:t>
      </w:r>
      <w:r>
        <w:rPr>
          <w:rStyle w:val="Text0"/>
        </w:rPr>
        <w:t>BOM_LE</w:t>
      </w:r>
      <w:r>
        <w:t xml:space="preserve">, byte-order marks for big-endian and little-endian machines, respectively, and </w:t>
      </w:r>
      <w:r>
        <w:rPr>
          <w:rStyle w:val="Text0"/>
        </w:rPr>
        <w:t>BOM</w:t>
      </w:r>
      <w:r>
        <w:t>, the byte-order mark for the current platform.</w:t>
      </w:r>
    </w:p>
    <w:p>
      <w:pPr>
        <w:pStyle w:val="Normal"/>
      </w:pPr>
      <w:r>
        <w:t xml:space="preserve">In addition to various functions for more advanced uses, as mentioned earlier, the </w:t>
      </w:r>
      <w:r>
        <w:rPr>
          <w:rStyle w:val="Text0"/>
        </w:rPr>
        <w:t>codecs</w:t>
      </w:r>
      <w:r>
        <w:t xml:space="preserve"> module supplies a function to let you register your own conversion error handling functions:</w:t>
      </w:r>
    </w:p>
    <w:tbl>
      <w:tblPr>
        <w:tblW w:type="auto" w:w="0"/>
      </w:tblPr>
      <w:tr>
        <w:tc>
          <w:tcPr>
            <w:tcW w:type="auto" w:w="0"/>
            <w:tcMar>
              <w:left w:type="dxa" w:w="200"/>
              <w:top w:type="dxa" w:w="200"/>
              <w:right w:type="dxa" w:w="200"/>
              <w:bottom w:type="dxa" w:w="200"/>
            </w:tcMar>
          </w:tcPr>
          <w:p>
            <w:pPr>
              <w:pStyle w:val="Para 119"/>
            </w:pPr>
            <w:r>
              <w:t/>
            </w:r>
          </w:p>
          <w:p>
            <w:pPr>
              <w:pStyle w:val="Para 001"/>
            </w:pPr>
            <w:r>
              <w:t>regis⁠t⁠e⁠r⁠_​e⁠r⁠r⁠or</w:t>
            </w:r>
          </w:p>
        </w:tc>
        <w:tc>
          <w:tcPr>
            <w:tcW w:type="auto" w:w="0"/>
            <w:tcMar>
              <w:left w:type="dxa" w:w="200"/>
              <w:top w:type="dxa" w:w="200"/>
              <w:right w:type="dxa" w:w="200"/>
              <w:bottom w:type="dxa" w:w="200"/>
            </w:tcMar>
          </w:tcPr>
          <w:p>
            <w:pPr>
              <w:pStyle w:val="Para 002"/>
            </w:pPr>
            <w:r>
              <w:rPr>
                <w:rStyle w:val="Text0"/>
              </w:rPr>
              <w:t>register_error(</w:t>
            </w:r>
            <w:r>
              <w:rPr>
                <w:rStyle w:val="Text3"/>
              </w:rPr>
              <w:t>name</w:t>
            </w:r>
            <w:r>
              <w:rPr>
                <w:rStyle w:val="Text0"/>
              </w:rPr>
              <w:t>,</w:t>
            </w:r>
            <w:r>
              <w:t xml:space="preserve"> </w:t>
            </w:r>
            <w:r>
              <w:rPr>
                <w:rStyle w:val="Text3"/>
              </w:rPr>
              <w:t>func</w:t>
            </w:r>
            <w:r>
              <w:rPr>
                <w:rStyle w:val="Text0"/>
              </w:rPr>
              <w:t>, /)</w:t>
              <w:br w:clear="none"/>
            </w:r>
            <w:r>
              <w:t xml:space="preserve"> </w:t>
            </w:r>
            <w:r>
              <w:rPr>
                <w:rStyle w:val="Text3"/>
              </w:rPr>
              <w:t>name</w:t>
            </w:r>
            <w:r>
              <w:t xml:space="preserve"> must be a string. </w:t>
            </w:r>
            <w:r>
              <w:rPr>
                <w:rStyle w:val="Text3"/>
              </w:rPr>
              <w:t>func</w:t>
            </w:r>
            <w:r>
              <w:t xml:space="preserve"> must be callable with one argument </w:t>
            </w:r>
            <w:r>
              <w:rPr>
                <w:rStyle w:val="Text3"/>
              </w:rPr>
              <w:t>e</w:t>
            </w:r>
            <w:r>
              <w:t xml:space="preserve"> that is an instance of </w:t>
            </w:r>
            <w:r>
              <w:rPr>
                <w:rStyle w:val="Text0"/>
              </w:rPr>
              <w:t>UnicodeDecodeError</w:t>
            </w:r>
            <w:r>
              <w:t xml:space="preserve">, and must return a tuple with two items: the Unicode string to insert in the converted string result, and the index from which to continue the conversion (the latter is normally </w:t>
            </w:r>
            <w:r>
              <w:rPr>
                <w:rStyle w:val="Text3"/>
              </w:rPr>
              <w:t>e</w:t>
            </w:r>
            <w:r>
              <w:rPr>
                <w:rStyle w:val="Text0"/>
              </w:rPr>
              <w:t>.end</w:t>
            </w:r>
            <w:r>
              <w:t xml:space="preserve">). The function can use </w:t>
            </w:r>
            <w:r>
              <w:rPr>
                <w:rStyle w:val="Text3"/>
              </w:rPr>
              <w:t>e</w:t>
            </w:r>
            <w:r>
              <w:rPr>
                <w:rStyle w:val="Text0"/>
              </w:rPr>
              <w:t>.encoding</w:t>
            </w:r>
            <w:r>
              <w:t xml:space="preserve">, the name of the codec of this conversion, and </w:t>
            </w:r>
            <w:r>
              <w:rPr>
                <w:rStyle w:val="Text3"/>
              </w:rPr>
              <w:t>e</w:t>
            </w:r>
            <w:r>
              <w:rPr>
                <w:rStyle w:val="Text0"/>
              </w:rPr>
              <w:t>.object[</w:t>
            </w:r>
            <w:r>
              <w:rPr>
                <w:rStyle w:val="Text3"/>
              </w:rPr>
              <w:t>e</w:t>
            </w:r>
            <w:r>
              <w:rPr>
                <w:rStyle w:val="Text0"/>
              </w:rPr>
              <w:t>.start:</w:t>
            </w:r>
            <w:r>
              <w:rPr>
                <w:rStyle w:val="Text3"/>
              </w:rPr>
              <w:t>e</w:t>
            </w:r>
            <w:r>
              <w:rPr>
                <w:rStyle w:val="Text0"/>
              </w:rPr>
              <w:t>.end]</w:t>
            </w:r>
            <w:r>
              <w:t>, the substring causing the conversion error.</w:t>
            </w:r>
          </w:p>
        </w:tc>
      </w:tr>
    </w:tbl>
    <w:p>
      <w:bookmarkStart w:id="2398" w:name="The_unicodedata_Module__The_unic"/>
      <w:pPr>
        <w:keepNext/>
        <w:pStyle w:val="Heading 2"/>
      </w:pPr>
      <w:r>
        <w:t>The unicodedata Module</w:t>
      </w:r>
      <w:bookmarkEnd w:id="2398"/>
    </w:p>
    <w:p>
      <w:pPr>
        <w:pStyle w:val="Normal"/>
      </w:pPr>
      <w:r>
        <w:t>The</w:t>
      </w:r>
      <w:r>
        <w:rPr>
          <w:rStyle w:val="Text111"/>
        </w:rPr>
        <w:bookmarkStart w:id="2399" w:name="idm45965209287744"/>
        <w:t/>
        <w:bookmarkEnd w:id="2399"/>
        <w:bookmarkStart w:id="2400" w:name="idm45965209286640"/>
        <w:t/>
        <w:bookmarkEnd w:id="2400"/>
      </w:r>
      <w:r>
        <w:t xml:space="preserve"> </w:t>
      </w:r>
      <w:r>
        <w:rPr>
          <w:rStyle w:val="Text0"/>
        </w:rPr>
        <w:t>unicodedata</w:t>
      </w:r>
      <w:r>
        <w:t xml:space="preserve"> module provides easy access to the Unicode Character Database. Given any Unicode character, you can use functions supplied by </w:t>
      </w:r>
      <w:r>
        <w:rPr>
          <w:rStyle w:val="Text0"/>
        </w:rPr>
        <w:t>unicodedata</w:t>
      </w:r>
      <w:r>
        <w:t xml:space="preserve"> to obtain the character’s Unicode category, official name (if any), and other relevant information. You can also look up the Unicode character (if any) that corresponds to a given official</w:t>
      </w:r>
      <w:r>
        <w:rPr>
          <w:rStyle w:val="Text111"/>
        </w:rPr>
        <w:bookmarkStart w:id="2401" w:name="idm45965209283584"/>
        <w:t/>
        <w:bookmarkEnd w:id="2401"/>
        <w:bookmarkStart w:id="2402" w:name="idm45965209282208"/>
        <w:t/>
        <w:bookmarkEnd w:id="2402"/>
      </w:r>
      <w:r>
        <w:t xml:space="preserve"> name:</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unicodedata</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unicodedata</w:t>
        <w:br w:clear="none"/>
      </w:r>
      <w:r>
        <w:rPr>
          <w:rStyle w:val="Text13"/>
        </w:rPr>
        <w:t xml:space="preserve">.</w:t>
        <w:br w:clear="none"/>
      </w:r>
      <w:r>
        <w:t xml:space="preserve">name</w:t>
        <w:br w:clear="none"/>
      </w:r>
      <w:r>
        <w:rPr>
          <w:rStyle w:val="Text7"/>
        </w:rPr>
        <w:t xml:space="preserve">(</w:t>
        <w:br w:clear="none"/>
      </w:r>
      <w:r>
        <w:rPr>
          <w:rStyle w:val="Text8"/>
        </w:rPr>
        <w:t xml:space="preserve">'</w:t>
        <w:br w:clear="none"/>
        <w:t xml:space="preserve">⚀</w:t>
        <w:br w:clear="none"/>
        <w:t xml:space="preserve">'</w:t>
        <w:br w:clear="none"/>
      </w:r>
      <w:r>
        <w:rPr>
          <w:rStyle w:val="Text7"/>
        </w:rPr>
        <w:t xml:space="preserve">)</w:t>
        <w:br w:clear="none"/>
      </w:r>
    </w:p>
    <w:p>
      <w:pPr>
        <w:pStyle w:val="Para 008"/>
      </w:pPr>
      <w:r>
        <w:rPr>
          <w:rStyle w:val="Text48"/>
        </w:rPr>
        <w:t xml:space="preserve"/>
        <w:br w:clear="none"/>
      </w:r>
      <w:r>
        <w:t xml:space="preserve">'DIE FACE-1'</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unicodedata</w:t>
        <w:br w:clear="none"/>
      </w:r>
      <w:r>
        <w:rPr>
          <w:rStyle w:val="Text13"/>
        </w:rPr>
        <w:t xml:space="preserve">.</w:t>
        <w:br w:clear="none"/>
      </w:r>
      <w:r>
        <w:t xml:space="preserve">name</w:t>
        <w:br w:clear="none"/>
      </w:r>
      <w:r>
        <w:rPr>
          <w:rStyle w:val="Text7"/>
        </w:rPr>
        <w:t xml:space="preserve">(</w:t>
        <w:br w:clear="none"/>
      </w:r>
      <w:r>
        <w:rPr>
          <w:rStyle w:val="Text8"/>
        </w:rPr>
        <w:t xml:space="preserve">'Ⅵ'</w:t>
        <w:br w:clear="none"/>
      </w:r>
      <w:r>
        <w:rPr>
          <w:rStyle w:val="Text7"/>
        </w:rPr>
        <w:t xml:space="preserve">)</w:t>
        <w:br w:clear="none"/>
      </w:r>
    </w:p>
    <w:p>
      <w:pPr>
        <w:pStyle w:val="Para 008"/>
      </w:pPr>
      <w:r>
        <w:rPr>
          <w:rStyle w:val="Text48"/>
        </w:rPr>
        <w:t xml:space="preserve"/>
        <w:br w:clear="none"/>
      </w:r>
      <w:r>
        <w:t xml:space="preserve">'ROMAN NUMERAL SIX'</w:t>
        <w:br w:clear="none"/>
      </w:r>
    </w:p>
    <w:p>
      <w:pPr>
        <w:pStyle w:val="Para 039"/>
      </w:pPr>
      <w:r>
        <w:rPr>
          <w:rStyle w:val="Text23"/>
        </w:rPr>
        <w:t xml:space="preserve"/>
        <w:br w:clear="none"/>
      </w:r>
      <w:r>
        <w:t xml:space="preserve">&gt;&gt;&gt;</w:t>
        <w:br w:clear="none"/>
      </w:r>
      <w:r>
        <w:rPr>
          <w:rStyle w:val="Text23"/>
        </w:rPr>
        <w:t xml:space="preserve"> </w:t>
        <w:br w:clear="none"/>
      </w:r>
      <w:r>
        <w:rPr>
          <w:rStyle w:val="Text16"/>
        </w:rPr>
        <w:t xml:space="preserve">int</w:t>
        <w:br w:clear="none"/>
      </w:r>
      <w:r>
        <w:rPr>
          <w:rStyle w:val="Text7"/>
        </w:rPr>
        <w:t xml:space="preserve">(</w:t>
        <w:br w:clear="none"/>
      </w:r>
      <w:r>
        <w:rPr>
          <w:rStyle w:val="Text8"/>
        </w:rPr>
        <w:t xml:space="preserve">'Ⅵ'</w:t>
        <w:br w:clear="none"/>
      </w:r>
      <w:r>
        <w:rPr>
          <w:rStyle w:val="Text7"/>
        </w:rPr>
        <w:t xml:space="preserve">)</w:t>
        <w:br w:clear="none"/>
      </w:r>
    </w:p>
    <w:p>
      <w:pPr>
        <w:pStyle w:val="Para 008"/>
      </w:pPr>
      <w:r>
        <w:rPr>
          <w:rStyle w:val="Text48"/>
        </w:rPr>
        <w:t xml:space="preserve"/>
        <w:br w:clear="none"/>
      </w:r>
      <w:r>
        <w:t xml:space="preserve">ValueError: invalid literal for int() with base 10: '</w:t>
        <w:br w:clear="none"/>
      </w:r>
      <w:r>
        <w:rPr>
          <w:rStyle w:val="Text48"/>
        </w:rPr>
        <w:t xml:space="preserve">Ⅵ</w:t>
        <w:br w:clear="none"/>
      </w:r>
      <w:r>
        <w:t xml:space="preserve">'</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unicodedata</w:t>
        <w:br w:clear="none"/>
      </w:r>
      <w:r>
        <w:rPr>
          <w:rStyle w:val="Text28"/>
        </w:rPr>
        <w:t xml:space="preserve">.</w:t>
        <w:br w:clear="none"/>
      </w:r>
      <w:r>
        <w:rPr>
          <w:rStyle w:val="Text14"/>
        </w:rPr>
        <w:t xml:space="preserve">numeric</w:t>
        <w:br w:clear="none"/>
      </w:r>
      <w:r>
        <w:rPr>
          <w:rStyle w:val="Text19"/>
        </w:rPr>
        <w:t xml:space="preserve">(</w:t>
        <w:br w:clear="none"/>
      </w:r>
      <w:r>
        <w:rPr>
          <w:rStyle w:val="Text17"/>
        </w:rPr>
        <w:t xml:space="preserve">'</w:t>
        <w:br w:clear="none"/>
        <w:t xml:space="preserve">Ⅵ</w:t>
        <w:br w:clear="none"/>
        <w:t xml:space="preserve">'</w:t>
        <w:br w:clear="none"/>
      </w:r>
      <w:r>
        <w:rPr>
          <w:rStyle w:val="Text19"/>
        </w:rPr>
        <w:t xml:space="preserve">)</w:t>
        <w:br w:clear="none"/>
      </w:r>
      <w:r>
        <w:rPr>
          <w:rStyle w:val="Text11"/>
        </w:rPr>
        <w:t xml:space="preserve">  </w:t>
        <w:br w:clear="none"/>
      </w:r>
      <w:r>
        <w:t xml:space="preserve"># use unicodedata to get numeric value</w:t>
        <w:br w:clear="none"/>
      </w:r>
    </w:p>
    <w:p>
      <w:pPr>
        <w:pStyle w:val="Para 008"/>
      </w:pPr>
      <w:r>
        <w:rPr>
          <w:rStyle w:val="Text48"/>
        </w:rPr>
        <w:t xml:space="preserve"/>
        <w:br w:clear="none"/>
      </w:r>
      <w:r>
        <w:t xml:space="preserve">6.0</w:t>
        <w:br w:clear="none"/>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unicodedata</w:t>
        <w:br w:clear="none"/>
      </w:r>
      <w:r>
        <w:rPr>
          <w:rStyle w:val="Text13"/>
        </w:rPr>
        <w:t xml:space="preserve">.</w:t>
        <w:br w:clear="none"/>
      </w:r>
      <w:r>
        <w:rPr>
          <w:rStyle w:val="Text9"/>
        </w:rPr>
        <w:t xml:space="preserve">lookup</w:t>
        <w:br w:clear="none"/>
      </w:r>
      <w:r>
        <w:rPr>
          <w:rStyle w:val="Text7"/>
        </w:rPr>
        <w:t xml:space="preserve">(</w:t>
        <w:br w:clear="none"/>
      </w:r>
      <w:r>
        <w:t xml:space="preserve">'RECYCLING SYMBOL FOR TYPE-1 PLASTICS'</w:t>
        <w:br w:clear="none"/>
      </w:r>
      <w:r>
        <w:rPr>
          <w:rStyle w:val="Text7"/>
        </w:rPr>
        <w:t xml:space="preserve">)</w:t>
        <w:br w:clear="none"/>
      </w:r>
    </w:p>
    <w:p>
      <w:pPr>
        <w:pStyle w:val="Para 008"/>
      </w:pPr>
      <w:r>
        <w:rPr>
          <w:rStyle w:val="Text48"/>
        </w:rPr>
        <w:t xml:space="preserve"/>
        <w:br w:clear="none"/>
      </w:r>
      <w:r>
        <w:t xml:space="preserve">'</w:t>
        <w:br w:clear="none"/>
      </w:r>
      <w:r>
        <w:rPr>
          <w:rStyle w:val="Text48"/>
        </w:rPr>
        <w:t xml:space="preserve">♳</w:t>
        <w:br w:clear="none"/>
      </w:r>
      <w:r>
        <w:t xml:space="preserve">'</w:t>
        <w:br w:clear="none"/>
      </w:r>
    </w:p>
    <w:p>
      <w:bookmarkStart w:id="2403" w:name="1_In_this_book_we_cover_only_a_s"/>
      <w:pPr>
        <w:pStyle w:val="Para 035"/>
      </w:pPr>
      <w:hyperlink w:anchor="1_9">
        <w:r>
          <w:rPr>
            <w:rStyle w:val="Text1"/>
          </w:rPr>
          <w:t>1</w:t>
        </w:r>
      </w:hyperlink>
      <w:r>
        <w:t xml:space="preserve"> In this book we cover only a subset of this legacy feature, the format specifier, that you must know about to properly use the </w:t>
      </w:r>
      <w:r>
        <w:rPr>
          <w:rStyle w:val="Text25"/>
        </w:rPr>
        <w:t>logging</w:t>
      </w:r>
      <w:r>
        <w:t xml:space="preserve"> module (discussed in </w:t>
      </w:r>
      <w:hyperlink w:anchor="The_logging_module__The_Python_s">
        <w:r>
          <w:rPr>
            <w:rStyle w:val="Text1"/>
          </w:rPr>
          <w:t>“The logging module”</w:t>
        </w:r>
      </w:hyperlink>
      <w:r>
        <w:t>).</w:t>
      </w:r>
      <w:bookmarkEnd w:id="2403"/>
    </w:p>
    <w:p>
      <w:bookmarkStart w:id="2404" w:name="Top_of_ch10_html"/>
      <w:bookmarkStart w:id="2405" w:name="Chapter_10__Regular_Expressions"/>
      <w:bookmarkStart w:id="2406" w:name="Chapter_10__Regular_Expressions_1"/>
      <w:bookmarkStart w:id="2407" w:name="Chapter_10__Regular_Expressions_2"/>
      <w:pPr>
        <w:keepNext/>
        <w:pStyle w:val="Heading 1"/>
        <w:pageBreakBefore w:val="on"/>
      </w:pPr>
      <w:r>
        <w:t xml:space="preserve">Chapter 10. </w:t>
        <w:t>Regular Expressions</w:t>
      </w:r>
      <w:bookmarkEnd w:id="2404"/>
      <w:bookmarkEnd w:id="2405"/>
      <w:bookmarkEnd w:id="2406"/>
      <w:bookmarkEnd w:id="2407"/>
    </w:p>
    <w:p>
      <w:pPr>
        <w:pStyle w:val="Normal"/>
      </w:pPr>
      <w:r>
        <w:t>Regular expressions (REs, aka regexps)</w:t>
      </w:r>
      <w:r>
        <w:rPr>
          <w:rStyle w:val="Text111"/>
        </w:rPr>
        <w:bookmarkStart w:id="2408" w:name="idm45965209143072"/>
        <w:t/>
        <w:bookmarkEnd w:id="2408"/>
      </w:r>
      <w:r>
        <w:t xml:space="preserve"> let programmers specify pattern strings and perform searches and substitutions. Regular expressions are not easy to master, but they can be a powerful tool for processing text. Python offers rich regular expression functionality through the built-in </w:t>
      </w:r>
      <w:r>
        <w:rPr>
          <w:rStyle w:val="Text0"/>
        </w:rPr>
        <w:t>re</w:t>
      </w:r>
      <w:r>
        <w:t xml:space="preserve"> module. In this chapter, we thoroughly present all about Python’s REs.</w:t>
      </w:r>
    </w:p>
    <w:p>
      <w:bookmarkStart w:id="2409" w:name="Regular_Expressions_and_the_re_M"/>
      <w:pPr>
        <w:keepNext/>
        <w:pStyle w:val="Heading 1"/>
      </w:pPr>
      <w:r>
        <w:t>Regular Expressions and the re Module</w:t>
      </w:r>
      <w:bookmarkEnd w:id="2409"/>
    </w:p>
    <w:p>
      <w:pPr>
        <w:pStyle w:val="Normal"/>
      </w:pPr>
      <w:r>
        <w:t>A</w:t>
      </w:r>
      <w:r>
        <w:rPr>
          <w:rStyle w:val="Text111"/>
        </w:rPr>
        <w:bookmarkStart w:id="2410" w:name="remodule10"/>
        <w:t/>
        <w:bookmarkEnd w:id="2410"/>
        <w:bookmarkStart w:id="2411" w:name="REremof10"/>
        <w:t/>
        <w:bookmarkEnd w:id="2411"/>
        <w:bookmarkStart w:id="2412" w:name="SLMre10"/>
        <w:t/>
        <w:bookmarkEnd w:id="2412"/>
      </w:r>
      <w:r>
        <w:t xml:space="preserve"> regular expression is built from a string that represents a pattern. With RE functionality, you can examine any string and check which parts of the string, if any, match the pattern.</w:t>
      </w:r>
    </w:p>
    <w:p>
      <w:pPr>
        <w:pStyle w:val="Normal"/>
      </w:pPr>
      <w:r>
        <w:t xml:space="preserve">The </w:t>
      </w:r>
      <w:r>
        <w:rPr>
          <w:rStyle w:val="Text0"/>
        </w:rPr>
        <w:t>re</w:t>
      </w:r>
      <w:r>
        <w:t xml:space="preserve"> module supplies Python’s RE functionality. The </w:t>
      </w:r>
      <w:r>
        <w:rPr>
          <w:rStyle w:val="Text0"/>
        </w:rPr>
        <w:t>compile</w:t>
      </w:r>
      <w:r>
        <w:t xml:space="preserve"> function builds an RE object from a pattern string and optional flags. The methods of an RE object look for matches of the RE in a string or perform substitutions. The </w:t>
      </w:r>
      <w:r>
        <w:rPr>
          <w:rStyle w:val="Text0"/>
        </w:rPr>
        <w:t>re</w:t>
      </w:r>
      <w:r>
        <w:t xml:space="preserve"> module also exposes functions equivalent to an RE object’s methods, but with the RE’s pattern string as the first argument.</w:t>
      </w:r>
    </w:p>
    <w:p>
      <w:pPr>
        <w:pStyle w:val="Normal"/>
      </w:pPr>
      <w:r>
        <w:t xml:space="preserve">This chapter covers the use of REs in Python; it does not teach every minute detail about how to create RE patterns. For general coverage of REs, we recommend the book </w:t>
      </w:r>
      <w:r>
        <w:rPr>
          <w:rStyle w:val="Text4"/>
        </w:rPr>
        <w:t>Mastering Regular Expressions</w:t>
      </w:r>
      <w:r>
        <w:t xml:space="preserve">, by Jeffrey Friedl (O’Reilly), offering thorough coverage of REs at both tutorial and advanced levels. Many tutorials and references on REs can also be found online, including an excellent, detailed tutorial in Python’s </w:t>
      </w:r>
      <w:hyperlink r:id="rId325">
        <w:r>
          <w:rPr>
            <w:rStyle w:val="Text1"/>
          </w:rPr>
          <w:t>online docs</w:t>
        </w:r>
      </w:hyperlink>
      <w:r>
        <w:t>. Sites like</w:t>
      </w:r>
      <w:r>
        <w:rPr>
          <w:rStyle w:val="Text111"/>
        </w:rPr>
        <w:bookmarkStart w:id="2413" w:name="idm45965209109840"/>
        <w:t/>
        <w:bookmarkEnd w:id="2413"/>
      </w:r>
      <w:r>
        <w:t xml:space="preserve"> </w:t>
      </w:r>
      <w:hyperlink r:id="rId326">
        <w:r>
          <w:rPr>
            <w:rStyle w:val="Text1"/>
          </w:rPr>
          <w:t>Pythex</w:t>
        </w:r>
      </w:hyperlink>
      <w:r>
        <w:t xml:space="preserve"> and</w:t>
      </w:r>
      <w:r>
        <w:rPr>
          <w:rStyle w:val="Text111"/>
        </w:rPr>
        <w:bookmarkStart w:id="2414" w:name="idm45965209108016"/>
        <w:t/>
        <w:bookmarkEnd w:id="2414"/>
      </w:r>
      <w:r>
        <w:t xml:space="preserve"> </w:t>
      </w:r>
      <w:hyperlink r:id="rId327">
        <w:r>
          <w:rPr>
            <w:rStyle w:val="Text1"/>
          </w:rPr>
          <w:t>regex101</w:t>
        </w:r>
      </w:hyperlink>
      <w:r>
        <w:t xml:space="preserve"> let you test your REs interactively. Alternatively, you can start IDLE, the Python REPL, or any other interactive interpreter, </w:t>
      </w:r>
      <w:r>
        <w:rPr>
          <w:rStyle w:val="Text5"/>
        </w:rPr>
        <w:t>import</w:t>
      </w:r>
      <w:r>
        <w:t xml:space="preserve"> </w:t>
      </w:r>
      <w:r>
        <w:rPr>
          <w:rStyle w:val="Text0"/>
        </w:rPr>
        <w:t>re</w:t>
      </w:r>
      <w:r>
        <w:t>, and experiment directly.</w:t>
      </w:r>
    </w:p>
    <w:p>
      <w:bookmarkStart w:id="2415" w:name="REs_and_bytes_Versus_str__REs_in"/>
      <w:pPr>
        <w:keepNext/>
        <w:pStyle w:val="Heading 2"/>
      </w:pPr>
      <w:r>
        <w:t>REs and bytes Versus str</w:t>
      </w:r>
      <w:bookmarkEnd w:id="2415"/>
    </w:p>
    <w:p>
      <w:pPr>
        <w:pStyle w:val="Normal"/>
      </w:pPr>
      <w:r>
        <w:t xml:space="preserve">REs in Python work in two ways, depending on the type of the object being matched: when applied to </w:t>
      </w:r>
      <w:r>
        <w:rPr>
          <w:rStyle w:val="Text0"/>
        </w:rPr>
        <w:t>str</w:t>
      </w:r>
      <w:r>
        <w:t xml:space="preserve"> instances, an RE matches accordingly (e.g., a Unicode character </w:t>
      </w:r>
      <w:r>
        <w:rPr>
          <w:rStyle w:val="Text3"/>
        </w:rPr>
        <w:t>c</w:t>
      </w:r>
      <w:r>
        <w:t xml:space="preserve"> is deemed to be “a letter” if </w:t>
      </w:r>
      <w:r>
        <w:rPr>
          <w:rStyle w:val="Text0"/>
        </w:rPr>
        <w:t>'LETTER'</w:t>
      </w:r>
      <w:r>
        <w:t xml:space="preserve"> </w:t>
      </w:r>
      <w:r>
        <w:rPr>
          <w:rStyle w:val="Text5"/>
        </w:rPr>
        <w:t>in</w:t>
      </w:r>
      <w:r>
        <w:t xml:space="preserve"> </w:t>
      </w:r>
      <w:r>
        <w:rPr>
          <w:rStyle w:val="Text0"/>
        </w:rPr>
        <w:t>unicodedata.name(</w:t>
      </w:r>
      <w:r>
        <w:rPr>
          <w:rStyle w:val="Text3"/>
        </w:rPr>
        <w:t>c</w:t>
      </w:r>
      <w:r>
        <w:rPr>
          <w:rStyle w:val="Text0"/>
        </w:rPr>
        <w:t>)</w:t>
      </w:r>
      <w:r>
        <w:t xml:space="preserve">); when applied to </w:t>
      </w:r>
      <w:r>
        <w:rPr>
          <w:rStyle w:val="Text0"/>
        </w:rPr>
        <w:t>bytes</w:t>
      </w:r>
      <w:r>
        <w:t xml:space="preserve"> instances, an RE matches in terms of ASCII (e.g., a byte </w:t>
      </w:r>
      <w:r>
        <w:rPr>
          <w:rStyle w:val="Text3"/>
        </w:rPr>
        <w:t>c</w:t>
      </w:r>
      <w:r>
        <w:t xml:space="preserve"> is deemed to be “a letter” if </w:t>
      </w:r>
      <w:r>
        <w:rPr>
          <w:rStyle w:val="Text3"/>
        </w:rPr>
        <w:t>c</w:t>
      </w:r>
      <w:r>
        <w:t xml:space="preserve"> </w:t>
      </w:r>
      <w:r>
        <w:rPr>
          <w:rStyle w:val="Text5"/>
        </w:rPr>
        <w:t>in</w:t>
      </w:r>
      <w:r>
        <w:t xml:space="preserve"> </w:t>
      </w:r>
      <w:r>
        <w:rPr>
          <w:rStyle w:val="Text0"/>
        </w:rPr>
        <w:t>string.ascii_letters</w:t>
      </w:r>
      <w:r>
        <w:t>). For example:</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re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re</w:t>
        <w:br w:clear="none"/>
      </w:r>
      <w:r>
        <w:rPr>
          <w:rStyle w:val="Text28"/>
        </w:rPr>
        <w:t xml:space="preserve">.</w:t>
        <w:br w:clear="none"/>
      </w:r>
      <w:r>
        <w:rPr>
          <w:rStyle w:val="Text14"/>
        </w:rPr>
        <w:t xml:space="preserve">findall</w:t>
        <w:br w:clear="none"/>
      </w:r>
      <w:r>
        <w:rPr>
          <w:rStyle w:val="Text19"/>
        </w:rPr>
        <w:t xml:space="preserve">(</w:t>
        <w:br w:clear="none"/>
      </w:r>
      <w:r>
        <w:rPr>
          <w:rStyle w:val="Text11"/>
        </w:rPr>
        <w:t xml:space="preserve">r</w:t>
        <w:br w:clear="none"/>
      </w:r>
      <w:r>
        <w:rPr>
          <w:rStyle w:val="Text17"/>
        </w:rPr>
        <w:t xml:space="preserve">'</w:t>
        <w:br w:clear="none"/>
        <w:t xml:space="preserve">\</w:t>
        <w:br w:clear="none"/>
        <w:t xml:space="preserve">w+</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cittá</w:t>
        <w:br w:clear="none"/>
        <w:t xml:space="preserve">'</w:t>
        <w:br w:clear="none"/>
      </w:r>
      <w:r>
        <w:rPr>
          <w:rStyle w:val="Text19"/>
        </w:rPr>
        <w:t xml:space="preserve">)</w:t>
        <w:br w:clear="none"/>
        <w:t xml:space="preserve">)</w:t>
        <w:br w:clear="none"/>
      </w:r>
      <w:r>
        <w:rPr>
          <w:rStyle w:val="Text11"/>
        </w:rPr>
        <w:t xml:space="preserve">            </w:t>
        <w:br w:clear="none"/>
      </w:r>
      <w:r>
        <w:t xml:space="preserve"># prints: ['cittá']</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re</w:t>
        <w:br w:clear="none"/>
      </w:r>
      <w:r>
        <w:rPr>
          <w:rStyle w:val="Text28"/>
        </w:rPr>
        <w:t xml:space="preserve">.</w:t>
        <w:br w:clear="none"/>
      </w:r>
      <w:r>
        <w:rPr>
          <w:rStyle w:val="Text14"/>
        </w:rPr>
        <w:t xml:space="preserve">findall</w:t>
        <w:br w:clear="none"/>
      </w:r>
      <w:r>
        <w:rPr>
          <w:rStyle w:val="Text19"/>
        </w:rPr>
        <w:t xml:space="preserve">(</w:t>
        <w:br w:clear="none"/>
      </w:r>
      <w:r>
        <w:rPr>
          <w:rStyle w:val="Text11"/>
        </w:rPr>
        <w:t xml:space="preserve">rb</w:t>
        <w:br w:clear="none"/>
      </w:r>
      <w:r>
        <w:rPr>
          <w:rStyle w:val="Text17"/>
        </w:rPr>
        <w:t xml:space="preserve">'</w:t>
        <w:br w:clear="none"/>
        <w:t xml:space="preserve">\</w:t>
        <w:br w:clear="none"/>
        <w:t xml:space="preserve">w+</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cittá</w:t>
        <w:br w:clear="none"/>
        <w:t xml:space="preserve">'</w:t>
        <w:br w:clear="none"/>
      </w:r>
      <w:r>
        <w:rPr>
          <w:rStyle w:val="Text28"/>
        </w:rPr>
        <w:t xml:space="preserve">.</w:t>
        <w:br w:clear="none"/>
      </w:r>
      <w:r>
        <w:rPr>
          <w:rStyle w:val="Text14"/>
        </w:rPr>
        <w:t xml:space="preserve">encode</w:t>
        <w:br w:clear="none"/>
      </w:r>
      <w:r>
        <w:rPr>
          <w:rStyle w:val="Text19"/>
        </w:rPr>
        <w:t xml:space="preserve">(</w:t>
        <w:br w:clear="none"/>
        <w:t xml:space="preserve">)</w:t>
        <w:br w:clear="none"/>
        <w:t xml:space="preserve">)</w:t>
        <w:br w:clear="none"/>
        <w:t xml:space="preserve">)</w:t>
        <w:br w:clear="none"/>
      </w:r>
      <w:r>
        <w:rPr>
          <w:rStyle w:val="Text6"/>
        </w:rPr>
        <w:t xml:space="preserve">  </w:t>
        <w:br w:clear="none"/>
      </w:r>
      <w:r>
        <w:t xml:space="preserve"># prints: [b'citt']</w:t>
        <w:br w:clear="none"/>
      </w:r>
    </w:p>
    <w:p>
      <w:bookmarkStart w:id="2416" w:name="Pattern_String_Syntax__The_patte"/>
      <w:pPr>
        <w:keepNext/>
        <w:pStyle w:val="Heading 2"/>
      </w:pPr>
      <w:r>
        <w:t>Pattern String Syntax</w:t>
      </w:r>
      <w:bookmarkEnd w:id="2416"/>
    </w:p>
    <w:p>
      <w:pPr>
        <w:pStyle w:val="Normal"/>
      </w:pPr>
      <w:r>
        <w:t>The</w:t>
      </w:r>
      <w:r>
        <w:rPr>
          <w:rStyle w:val="Text111"/>
        </w:rPr>
        <w:bookmarkStart w:id="2417" w:name="idm45965209053328"/>
        <w:t/>
        <w:bookmarkEnd w:id="2417"/>
        <w:bookmarkStart w:id="2418" w:name="idm45965209052192"/>
        <w:t/>
        <w:bookmarkEnd w:id="2418"/>
      </w:r>
      <w:r>
        <w:t xml:space="preserve"> pattern string representing a regular expression follows a specific syntax:</w:t>
      </w:r>
    </w:p>
    <w:p>
      <w:pPr>
        <w:pStyle w:val="Para 010"/>
      </w:pPr>
      <w:r>
        <w:t>Alphabetic and numeric characters stand for themselves. An RE whose pattern is a string of letters and digits matches the same string.</w:t>
      </w:r>
    </w:p>
    <w:p>
      <w:pPr>
        <w:pStyle w:val="Para 010"/>
      </w:pPr>
      <w:r>
        <w:t>Many alphanumeric characters acquire special meaning in a pattern when they are preceded by a backslash (</w:t>
      </w:r>
      <w:r>
        <w:rPr>
          <w:rStyle w:val="Text0"/>
        </w:rPr>
        <w:t>\</w:t>
      </w:r>
      <w:r>
        <w:t xml:space="preserve">), or </w:t>
      </w:r>
      <w:r>
        <w:rPr>
          <w:rStyle w:val="Text4"/>
        </w:rPr>
        <w:t>escaped</w:t>
      </w:r>
      <w:r>
        <w:t>.</w:t>
      </w:r>
    </w:p>
    <w:p>
      <w:pPr>
        <w:pStyle w:val="Para 010"/>
      </w:pPr>
      <w:r>
        <w:t>Punctuation characters work the other way around: they stand for themselves when escaped but have special meaning when unescaped.</w:t>
      </w:r>
    </w:p>
    <w:p>
      <w:pPr>
        <w:pStyle w:val="Para 010"/>
      </w:pPr>
      <w:r>
        <w:t>The backslash character is matched by a repeated backslash (</w:t>
      </w:r>
      <w:r>
        <w:rPr>
          <w:rStyle w:val="Text0"/>
        </w:rPr>
        <w:t>\\</w:t>
      </w:r>
      <w:r>
        <w:t>).</w:t>
      </w:r>
    </w:p>
    <w:p>
      <w:pPr>
        <w:pStyle w:val="Normal"/>
      </w:pPr>
      <w:r>
        <w:t xml:space="preserve">An RE pattern is a string concatenating one or more pattern elements; each element in turn is itself an RE pattern. For example, </w:t>
      </w:r>
      <w:r>
        <w:rPr>
          <w:rStyle w:val="Text0"/>
        </w:rPr>
        <w:t>r'a'</w:t>
      </w:r>
      <w:r>
        <w:t xml:space="preserve"> is a one-element RE pattern that matches the letter </w:t>
      </w:r>
      <w:r>
        <w:rPr>
          <w:rStyle w:val="Text0"/>
        </w:rPr>
        <w:t>a</w:t>
      </w:r>
      <w:r>
        <w:t xml:space="preserve">, and </w:t>
      </w:r>
      <w:r>
        <w:rPr>
          <w:rStyle w:val="Text0"/>
        </w:rPr>
        <w:t>r'ax'</w:t>
      </w:r>
      <w:r>
        <w:t xml:space="preserve"> is a two-element RE pattern that matches an </w:t>
      </w:r>
      <w:r>
        <w:rPr>
          <w:rStyle w:val="Text0"/>
        </w:rPr>
        <w:t>a</w:t>
      </w:r>
      <w:r>
        <w:t xml:space="preserve"> immediately followed by an </w:t>
      </w:r>
      <w:r>
        <w:rPr>
          <w:rStyle w:val="Text0"/>
        </w:rPr>
        <w:t>x</w:t>
      </w:r>
      <w:r>
        <w:t>.</w:t>
      </w:r>
    </w:p>
    <w:p>
      <w:pPr>
        <w:pStyle w:val="Normal"/>
      </w:pPr>
      <w:r>
        <w:t xml:space="preserve">Since RE patterns often contain backslashes, it’s best to always specify RE patterns in raw string literal form (covered in </w:t>
      </w:r>
      <w:hyperlink w:anchor="Strings__Python_has_two_built_in">
        <w:r>
          <w:rPr>
            <w:rStyle w:val="Text1"/>
          </w:rPr>
          <w:t>“Strings”</w:t>
        </w:r>
      </w:hyperlink>
      <w:r>
        <w:t xml:space="preserve">). Pattern elements (such as </w:t>
      </w:r>
      <w:r>
        <w:rPr>
          <w:rStyle w:val="Text0"/>
        </w:rPr>
        <w:t>r'\t'</w:t>
      </w:r>
      <w:r>
        <w:t xml:space="preserve">, equivalent to the string literal </w:t>
      </w:r>
      <w:r>
        <w:rPr>
          <w:rStyle w:val="Text0"/>
        </w:rPr>
        <w:t>'\\t'</w:t>
      </w:r>
      <w:r>
        <w:t xml:space="preserve">) do match the corresponding special characters (in this case, the tab character </w:t>
      </w:r>
      <w:r>
        <w:rPr>
          <w:rStyle w:val="Text0"/>
        </w:rPr>
        <w:t>\t</w:t>
      </w:r>
      <w:r>
        <w:t>), so you can use a raw string literal even when you need a literal match for such special characters.</w:t>
      </w:r>
    </w:p>
    <w:p>
      <w:pPr>
        <w:pStyle w:val="Normal"/>
      </w:pPr>
      <w:hyperlink w:anchor="Table_10_1__RE_pattern_syntax">
        <w:r>
          <w:rPr>
            <w:rStyle w:val="Text1"/>
          </w:rPr>
          <w:t>Table 10-1</w:t>
        </w:r>
      </w:hyperlink>
      <w:r>
        <w:t xml:space="preserve"> lists the special elements in RE pattern syntax. The exact meanings of some pattern elements change when you use optional flags, together with the pattern string, to build the RE object. The optional flags are covered in </w:t>
      </w:r>
      <w:hyperlink w:anchor="Optional_Flags__The_optional_fla">
        <w:r>
          <w:rPr>
            <w:rStyle w:val="Text1"/>
          </w:rPr>
          <w:t>“Optional Flags”</w:t>
        </w:r>
      </w:hyperlink>
      <w:r>
        <w:t>.</w:t>
      </w:r>
    </w:p>
    <w:tbl>
      <w:tblPr>
        <w:tblW w:type="auto" w:w="0"/>
      </w:tblPr>
      <w:tr>
        <w:tc>
          <w:tcPr>
            <w:tcW w:type="auto" w:w="0"/>
            <w:tcMar>
              <w:left w:type="dxa" w:w="200"/>
              <w:top w:type="dxa" w:w="200"/>
              <w:right w:type="dxa" w:w="200"/>
              <w:bottom w:type="dxa" w:w="200"/>
            </w:tcMar>
            <w:vAlign w:val="center"/>
          </w:tcPr>
          <w:p>
            <w:bookmarkStart w:id="2419" w:name="Table_10_1__RE_pattern_syntax"/>
            <w:pPr>
              <w:pStyle w:val="Para 011"/>
            </w:pPr>
            <w:r>
              <w:rPr>
                <w:rStyle w:val="Text117"/>
              </w:rPr>
              <w:t/>
            </w:r>
            <w:r>
              <w:t xml:space="preserve">Table 10-1. </w:t>
              <w:t>RE pattern syntax</w:t>
            </w:r>
            <w:bookmarkEnd w:id="2419"/>
          </w:p>
          <w:p>
            <w:pPr>
              <w:pStyle w:val="Para 013"/>
            </w:pPr>
            <w:r>
              <w:t>Element</w:t>
            </w:r>
          </w:p>
        </w:tc>
        <w:tc>
          <w:tcPr>
            <w:tcW w:type="auto" w:w="0"/>
            <w:tcMar>
              <w:left w:type="dxa" w:w="200"/>
              <w:top w:type="dxa" w:w="200"/>
              <w:right w:type="dxa" w:w="200"/>
              <w:bottom w:type="dxa" w:w="200"/>
            </w:tcMar>
            <w:vAlign w:val="center"/>
          </w:tcPr>
          <w:p>
            <w:pPr>
              <w:pStyle w:val="Para 013"/>
            </w:pPr>
            <w:r>
              <w:t>Meaning</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 xml:space="preserve">Matches any single character except </w:t>
            </w:r>
            <w:r>
              <w:rPr>
                <w:rStyle w:val="Text0"/>
              </w:rPr>
              <w:t>\n</w:t>
            </w:r>
            <w:r>
              <w:t xml:space="preserve"> (if </w:t>
            </w:r>
            <w:r>
              <w:rPr>
                <w:rStyle w:val="Text0"/>
              </w:rPr>
              <w:t>DOTALL</w:t>
            </w:r>
            <w:r>
              <w:t xml:space="preserve">, also matches </w:t>
            </w:r>
            <w:r>
              <w:rPr>
                <w:rStyle w:val="Text0"/>
              </w:rPr>
              <w:t>\n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 xml:space="preserve">Matches start of string (if </w:t>
            </w:r>
            <w:r>
              <w:rPr>
                <w:rStyle w:val="Text0"/>
              </w:rPr>
              <w:t>MULTILINE</w:t>
            </w:r>
            <w:r>
              <w:t xml:space="preserve">, also matches right after </w:t>
            </w:r>
            <w:r>
              <w:rPr>
                <w:rStyle w:val="Text0"/>
              </w:rPr>
              <w:t>\n</w:t>
            </w:r>
            <w:r>
              <w:t>)</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 xml:space="preserve">Matches end of string (if </w:t>
            </w:r>
            <w:r>
              <w:rPr>
                <w:rStyle w:val="Text0"/>
              </w:rPr>
              <w:t>MULTILINE</w:t>
            </w:r>
            <w:r>
              <w:t xml:space="preserve">, also matches right before </w:t>
            </w:r>
            <w:r>
              <w:rPr>
                <w:rStyle w:val="Text0"/>
              </w:rPr>
              <w:t>\n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Matches zero or more cases of the previous RE; greedy (matches as many as possible)</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Matches one or more cases of the previous RE; greedy (matches as many as possible)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Matches zero or one cases of the previous RE; greedy (matches one if possible)</w:t>
            </w:r>
          </w:p>
        </w:tc>
      </w:tr>
    </w:tbl>
    <w:tbl>
      <w:tblPr>
        <w:tblW w:type="auto" w:w="0"/>
      </w:tblPr>
      <w:tr>
        <w:tc>
          <w:tcPr>
            <w:tcW w:type="auto" w:w="0"/>
            <w:tcMar>
              <w:left w:type="dxa" w:w="200"/>
              <w:top w:type="dxa" w:w="200"/>
              <w:right w:type="dxa" w:w="200"/>
              <w:bottom w:type="dxa" w:w="200"/>
            </w:tcMar>
          </w:tcPr>
          <w:p>
            <w:pPr>
              <w:pStyle w:val="Para 001"/>
            </w:pPr>
            <w:r>
              <w:t>*?</w:t>
            </w:r>
            <w:r>
              <w:rPr>
                <w:rStyle w:val="Text12"/>
              </w:rPr>
              <w:t xml:space="preserve">, </w:t>
            </w:r>
            <w:r>
              <w:t>+?</w:t>
            </w:r>
            <w:r>
              <w:rPr>
                <w:rStyle w:val="Text12"/>
              </w:rPr>
              <w:t xml:space="preserve">, </w:t>
            </w:r>
            <w:r>
              <w:t>??</w:t>
            </w:r>
          </w:p>
        </w:tc>
        <w:tc>
          <w:tcPr>
            <w:tcW w:type="auto" w:w="0"/>
            <w:tcMar>
              <w:left w:type="dxa" w:w="200"/>
              <w:top w:type="dxa" w:w="200"/>
              <w:right w:type="dxa" w:w="200"/>
              <w:bottom w:type="dxa" w:w="200"/>
            </w:tcMar>
          </w:tcPr>
          <w:p>
            <w:pPr>
              <w:pStyle w:val="Para 002"/>
            </w:pPr>
            <w:r>
              <w:t>Nongreedy</w:t>
            </w:r>
            <w:r>
              <w:rPr>
                <w:rStyle w:val="Text111"/>
              </w:rPr>
              <w:bookmarkStart w:id="2420" w:name="idm45965208980528"/>
              <w:t/>
              <w:bookmarkEnd w:id="2420"/>
              <w:bookmarkStart w:id="2421" w:name="idm45965208979392"/>
              <w:t/>
              <w:bookmarkEnd w:id="2421"/>
            </w:r>
            <w:r>
              <w:t xml:space="preserve"> versions of </w:t>
            </w:r>
            <w:r>
              <w:rPr>
                <w:rStyle w:val="Text0"/>
              </w:rPr>
              <w:t>*</w:t>
            </w:r>
            <w:r>
              <w:t xml:space="preserve">, </w:t>
            </w:r>
            <w:r>
              <w:rPr>
                <w:rStyle w:val="Text0"/>
              </w:rPr>
              <w:t>+</w:t>
            </w:r>
            <w:r>
              <w:t xml:space="preserve">, and </w:t>
            </w:r>
            <w:r>
              <w:rPr>
                <w:rStyle w:val="Text0"/>
              </w:rPr>
              <w:t>?</w:t>
            </w:r>
            <w:r>
              <w:t>, respectively (match as few as possible)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r>
              <w:rPr>
                <w:rStyle w:val="Text3"/>
              </w:rPr>
              <w:t>m</w:t>
            </w:r>
            <w:r>
              <w:t>}</w:t>
            </w:r>
          </w:p>
        </w:tc>
        <w:tc>
          <w:tcPr>
            <w:tcW w:type="auto" w:w="0"/>
            <w:shd w:val="clear" w:color="auto" w:fill="EEF2F6"/>
            <w:tcMar>
              <w:left w:type="dxa" w:w="200"/>
              <w:top w:type="dxa" w:w="200"/>
              <w:right w:type="dxa" w:w="200"/>
              <w:bottom w:type="dxa" w:w="200"/>
            </w:tcMar>
          </w:tcPr>
          <w:p>
            <w:pPr>
              <w:pStyle w:val="Para 002"/>
            </w:pPr>
            <w:r>
              <w:t xml:space="preserve">Matches </w:t>
            </w:r>
            <w:r>
              <w:rPr>
                <w:rStyle w:val="Text3"/>
              </w:rPr>
              <w:t>m</w:t>
            </w:r>
            <w:r>
              <w:t xml:space="preserve"> cases of the previous RE</w:t>
            </w:r>
          </w:p>
        </w:tc>
      </w:tr>
    </w:tbl>
    <w:tbl>
      <w:tblPr>
        <w:tblW w:type="auto" w:w="0"/>
      </w:tblPr>
      <w:tr>
        <w:tc>
          <w:tcPr>
            <w:tcW w:type="auto" w:w="0"/>
            <w:tcMar>
              <w:left w:type="dxa" w:w="200"/>
              <w:top w:type="dxa" w:w="200"/>
              <w:right w:type="dxa" w:w="200"/>
              <w:bottom w:type="dxa" w:w="200"/>
            </w:tcMar>
          </w:tcPr>
          <w:p>
            <w:pPr>
              <w:pStyle w:val="Para 001"/>
            </w:pPr>
            <w:r>
              <w:t>{</w:t>
            </w:r>
            <w:r>
              <w:rPr>
                <w:rStyle w:val="Text3"/>
              </w:rPr>
              <w:t>m</w:t>
            </w:r>
            <w:r>
              <w:t>,</w:t>
            </w:r>
            <w:r>
              <w:rPr>
                <w:rStyle w:val="Text12"/>
              </w:rPr>
              <w:t xml:space="preserve"> </w:t>
            </w:r>
            <w:r>
              <w:rPr>
                <w:rStyle w:val="Text3"/>
              </w:rPr>
              <w:t>n</w:t>
            </w:r>
            <w:r>
              <w:t>}</w:t>
            </w:r>
          </w:p>
        </w:tc>
        <w:tc>
          <w:tcPr>
            <w:tcW w:type="auto" w:w="0"/>
            <w:tcMar>
              <w:left w:type="dxa" w:w="200"/>
              <w:top w:type="dxa" w:w="200"/>
              <w:right w:type="dxa" w:w="200"/>
              <w:bottom w:type="dxa" w:w="200"/>
            </w:tcMar>
          </w:tcPr>
          <w:p>
            <w:pPr>
              <w:pStyle w:val="Para 002"/>
            </w:pPr>
            <w:r>
              <w:t xml:space="preserve">Matches between </w:t>
            </w:r>
            <w:r>
              <w:rPr>
                <w:rStyle w:val="Text3"/>
              </w:rPr>
              <w:t>m</w:t>
            </w:r>
            <w:r>
              <w:t xml:space="preserve"> and </w:t>
            </w:r>
            <w:r>
              <w:rPr>
                <w:rStyle w:val="Text3"/>
              </w:rPr>
              <w:t>n</w:t>
            </w:r>
            <w:r>
              <w:t xml:space="preserve"> cases of the previous RE; </w:t>
            </w:r>
            <w:r>
              <w:rPr>
                <w:rStyle w:val="Text3"/>
              </w:rPr>
              <w:t>m</w:t>
            </w:r>
            <w:r>
              <w:t xml:space="preserve"> or </w:t>
            </w:r>
            <w:r>
              <w:rPr>
                <w:rStyle w:val="Text3"/>
              </w:rPr>
              <w:t>n</w:t>
            </w:r>
            <w:r>
              <w:t xml:space="preserve"> (or both) may be omitted, defaulting to </w:t>
            </w:r>
            <w:r>
              <w:rPr>
                <w:rStyle w:val="Text3"/>
              </w:rPr>
              <w:t>m</w:t>
            </w:r>
            <w:r>
              <w:rPr>
                <w:rStyle w:val="Text0"/>
              </w:rPr>
              <w:t>=0</w:t>
            </w:r>
            <w:r>
              <w:t xml:space="preserve"> and </w:t>
            </w:r>
            <w:r>
              <w:rPr>
                <w:rStyle w:val="Text3"/>
              </w:rPr>
              <w:t>n</w:t>
            </w:r>
            <w:r>
              <w:rPr>
                <w:rStyle w:val="Text0"/>
              </w:rPr>
              <w:t>=infinity</w:t>
            </w:r>
            <w:r>
              <w:t xml:space="preserve"> (greedy)</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r>
              <w:rPr>
                <w:rStyle w:val="Text3"/>
              </w:rPr>
              <w:t>m</w:t>
            </w:r>
            <w:r>
              <w:t>,</w:t>
            </w:r>
            <w:r>
              <w:rPr>
                <w:rStyle w:val="Text12"/>
              </w:rPr>
              <w:t xml:space="preserve"> </w:t>
            </w:r>
            <w:r>
              <w:rPr>
                <w:rStyle w:val="Text3"/>
              </w:rPr>
              <w:t>n</w:t>
            </w:r>
            <w:r>
              <w:t>}?</w:t>
            </w:r>
          </w:p>
        </w:tc>
        <w:tc>
          <w:tcPr>
            <w:tcW w:type="auto" w:w="0"/>
            <w:shd w:val="clear" w:color="auto" w:fill="EEF2F6"/>
            <w:tcMar>
              <w:left w:type="dxa" w:w="200"/>
              <w:top w:type="dxa" w:w="200"/>
              <w:right w:type="dxa" w:w="200"/>
              <w:bottom w:type="dxa" w:w="200"/>
            </w:tcMar>
          </w:tcPr>
          <w:p>
            <w:pPr>
              <w:pStyle w:val="Para 002"/>
            </w:pPr>
            <w:r>
              <w:t xml:space="preserve">Matches between </w:t>
            </w:r>
            <w:r>
              <w:rPr>
                <w:rStyle w:val="Text3"/>
              </w:rPr>
              <w:t>m</w:t>
            </w:r>
            <w:r>
              <w:t xml:space="preserve"> and </w:t>
            </w:r>
            <w:r>
              <w:rPr>
                <w:rStyle w:val="Text3"/>
              </w:rPr>
              <w:t>n</w:t>
            </w:r>
            <w:r>
              <w:t xml:space="preserve"> cases of the previous RE (nongreedy)</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Matches any one of a set of characters contained within the brackets</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 xml:space="preserve">Matches one character </w:t>
            </w:r>
            <w:r>
              <w:rPr>
                <w:rStyle w:val="Text4"/>
              </w:rPr>
              <w:t>not</w:t>
            </w:r>
            <w:r>
              <w:t xml:space="preserve"> contained within the brackets after the caret </w:t>
            </w:r>
            <w:r>
              <w:rPr>
                <w:rStyle w:val="Text0"/>
              </w:rPr>
              <w:t>^</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Matches either the preceding RE or the following RE</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 xml:space="preserve">Matches the RE within the parentheses and indicates a </w:t>
            </w:r>
            <w:r>
              <w:rPr>
                <w:rStyle w:val="Text4"/>
              </w:rPr>
              <w:t>group</w:t>
            </w:r>
          </w:p>
        </w:tc>
      </w:tr>
    </w:tbl>
    <w:tbl>
      <w:tblPr>
        <w:tblW w:type="auto" w:w="0"/>
      </w:tblPr>
      <w:tr>
        <w:tc>
          <w:tcPr>
            <w:tcW w:type="auto" w:w="0"/>
            <w:tcMar>
              <w:left w:type="dxa" w:w="200"/>
              <w:top w:type="dxa" w:w="200"/>
              <w:right w:type="dxa" w:w="200"/>
              <w:bottom w:type="dxa" w:w="200"/>
            </w:tcMar>
          </w:tcPr>
          <w:p>
            <w:pPr>
              <w:pStyle w:val="Para 001"/>
            </w:pPr>
            <w:r>
              <w:t>(?aiLmsux)</w:t>
            </w:r>
          </w:p>
        </w:tc>
        <w:tc>
          <w:tcPr>
            <w:tcW w:type="auto" w:w="0"/>
            <w:tcMar>
              <w:left w:type="dxa" w:w="200"/>
              <w:top w:type="dxa" w:w="200"/>
              <w:right w:type="dxa" w:w="200"/>
              <w:bottom w:type="dxa" w:w="200"/>
            </w:tcMar>
          </w:tcPr>
          <w:p>
            <w:pPr>
              <w:pStyle w:val="Para 002"/>
            </w:pPr>
            <w:r>
              <w:t>Alternate way to set optional flags</w:t>
            </w:r>
            <w:hyperlink w:anchor="a_Always_place_the________constr">
              <w:r>
                <w:rPr>
                  <w:rStyle w:val="Text41"/>
                </w:rPr>
                <w:bookmarkStart w:id="2422" w:name="a_7"/>
                <w:t>a</w:t>
                <w:bookmarkEnd w:id="2422"/>
              </w:r>
            </w:hyperlink>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 xml:space="preserve">Like </w:t>
            </w:r>
            <w:r>
              <w:rPr>
                <w:rStyle w:val="Text0"/>
              </w:rPr>
              <w:t>(...)</w:t>
            </w:r>
            <w:r>
              <w:t xml:space="preserve"> but does not capture the matched characters in a group</w:t>
            </w:r>
          </w:p>
        </w:tc>
      </w:tr>
    </w:tbl>
    <w:tbl>
      <w:tblPr>
        <w:tblW w:type="auto" w:w="0"/>
      </w:tblPr>
      <w:tr>
        <w:tc>
          <w:tcPr>
            <w:tcW w:type="auto" w:w="0"/>
            <w:tcMar>
              <w:left w:type="dxa" w:w="200"/>
              <w:top w:type="dxa" w:w="200"/>
              <w:right w:type="dxa" w:w="200"/>
              <w:bottom w:type="dxa" w:w="200"/>
            </w:tcMar>
          </w:tcPr>
          <w:p>
            <w:pPr>
              <w:pStyle w:val="Para 001"/>
            </w:pPr>
            <w:r>
              <w:t>(?P</w:t>
            </w:r>
            <w:r>
              <w:rPr>
                <w:rStyle w:val="Text3"/>
              </w:rPr>
              <w:t>&lt;id&gt;</w:t>
            </w:r>
            <w:r>
              <w:t>...)</w:t>
            </w:r>
          </w:p>
        </w:tc>
        <w:tc>
          <w:tcPr>
            <w:tcW w:type="auto" w:w="0"/>
            <w:tcMar>
              <w:left w:type="dxa" w:w="200"/>
              <w:top w:type="dxa" w:w="200"/>
              <w:right w:type="dxa" w:w="200"/>
              <w:bottom w:type="dxa" w:w="200"/>
            </w:tcMar>
          </w:tcPr>
          <w:p>
            <w:pPr>
              <w:pStyle w:val="Para 002"/>
            </w:pPr>
            <w:r>
              <w:t xml:space="preserve">Like </w:t>
            </w:r>
            <w:r>
              <w:rPr>
                <w:rStyle w:val="Text0"/>
              </w:rPr>
              <w:t>(...)</w:t>
            </w:r>
            <w:r>
              <w:t xml:space="preserve"> but the group also gets the name </w:t>
            </w:r>
            <w:r>
              <w:rPr>
                <w:rStyle w:val="Text3"/>
              </w:rPr>
              <w:t>&lt;id&gt;</w:t>
            </w:r>
          </w:p>
        </w:tc>
      </w:tr>
    </w:tbl>
    <w:tbl>
      <w:tblPr>
        <w:tblW w:type="auto" w:w="0"/>
      </w:tblPr>
      <w:tr>
        <w:tc>
          <w:tcPr>
            <w:tcW w:type="auto" w:w="0"/>
            <w:shd w:val="clear" w:color="auto" w:fill="EEF2F6"/>
            <w:tcMar>
              <w:left w:type="dxa" w:w="200"/>
              <w:top w:type="dxa" w:w="200"/>
              <w:right w:type="dxa" w:w="200"/>
              <w:bottom w:type="dxa" w:w="200"/>
            </w:tcMar>
          </w:tcPr>
          <w:p>
            <w:pPr>
              <w:pStyle w:val="Para 001"/>
            </w:pPr>
            <w:r>
              <w:t>(?P=</w:t>
            </w:r>
            <w:r>
              <w:rPr>
                <w:rStyle w:val="Text3"/>
              </w:rPr>
              <w:t>&lt;id&gt;</w:t>
            </w:r>
            <w:r>
              <w:t>)</w:t>
            </w:r>
          </w:p>
        </w:tc>
        <w:tc>
          <w:tcPr>
            <w:tcW w:type="auto" w:w="0"/>
            <w:shd w:val="clear" w:color="auto" w:fill="EEF2F6"/>
            <w:tcMar>
              <w:left w:type="dxa" w:w="200"/>
              <w:top w:type="dxa" w:w="200"/>
              <w:right w:type="dxa" w:w="200"/>
              <w:bottom w:type="dxa" w:w="200"/>
            </w:tcMar>
          </w:tcPr>
          <w:p>
            <w:pPr>
              <w:pStyle w:val="Para 002"/>
            </w:pPr>
            <w:r>
              <w:t xml:space="preserve">Matches whatever was previously matched by the group named </w:t>
            </w:r>
            <w:r>
              <w:rPr>
                <w:rStyle w:val="Text3"/>
              </w:rPr>
              <w:t>&lt;id&gt;</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Content of parentheses is just a comment; no effect on match</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rPr>
                <w:rStyle w:val="Text4"/>
              </w:rPr>
              <w:t>Lookahead assertion</w:t>
            </w:r>
            <w:r>
              <w:t xml:space="preserve">: matches if RE </w:t>
            </w:r>
            <w:r>
              <w:rPr>
                <w:rStyle w:val="Text0"/>
              </w:rPr>
              <w:t>...</w:t>
            </w:r>
            <w:r>
              <w:t xml:space="preserve"> matches what comes next, but does not consume any part of the string</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rPr>
                <w:rStyle w:val="Text4"/>
              </w:rPr>
              <w:t>Negative lookahead assertion</w:t>
            </w:r>
            <w:r>
              <w:t xml:space="preserve">: matches if RE </w:t>
            </w:r>
            <w:r>
              <w:rPr>
                <w:rStyle w:val="Text0"/>
              </w:rPr>
              <w:t>...</w:t>
            </w:r>
            <w:r>
              <w:t xml:space="preserve"> does </w:t>
            </w:r>
            <w:r>
              <w:rPr>
                <w:rStyle w:val="Text4"/>
              </w:rPr>
              <w:t>not</w:t>
            </w:r>
            <w:r>
              <w:t xml:space="preserve"> match what comes next, and does not consume any part of the string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(?&lt;=...)</w:t>
            </w:r>
          </w:p>
        </w:tc>
        <w:tc>
          <w:tcPr>
            <w:tcW w:type="auto" w:w="0"/>
            <w:shd w:val="clear" w:color="auto" w:fill="EEF2F6"/>
            <w:tcMar>
              <w:left w:type="dxa" w:w="200"/>
              <w:top w:type="dxa" w:w="200"/>
              <w:right w:type="dxa" w:w="200"/>
              <w:bottom w:type="dxa" w:w="200"/>
            </w:tcMar>
          </w:tcPr>
          <w:p>
            <w:pPr>
              <w:pStyle w:val="Para 002"/>
            </w:pPr>
            <w:r>
              <w:rPr>
                <w:rStyle w:val="Text4"/>
              </w:rPr>
              <w:t>Lookbehind assertion</w:t>
            </w:r>
            <w:r>
              <w:t xml:space="preserve">: matches if there is a match ending at the current position for RE </w:t>
            </w:r>
            <w:r>
              <w:rPr>
                <w:rStyle w:val="Text0"/>
              </w:rPr>
              <w:t>...</w:t>
            </w:r>
            <w:r>
              <w:t xml:space="preserve"> (</w:t>
            </w:r>
            <w:r>
              <w:rPr>
                <w:rStyle w:val="Text0"/>
              </w:rPr>
              <w:t>...</w:t>
            </w:r>
            <w:r>
              <w:t xml:space="preserve"> must match a fixed length)</w:t>
            </w:r>
          </w:p>
        </w:tc>
      </w:tr>
    </w:tbl>
    <w:tbl>
      <w:tblPr>
        <w:tblW w:type="auto" w:w="0"/>
      </w:tblPr>
      <w:tr>
        <w:tc>
          <w:tcPr>
            <w:tcW w:type="auto" w:w="0"/>
            <w:tcMar>
              <w:left w:type="dxa" w:w="200"/>
              <w:top w:type="dxa" w:w="200"/>
              <w:right w:type="dxa" w:w="200"/>
              <w:bottom w:type="dxa" w:w="200"/>
            </w:tcMar>
          </w:tcPr>
          <w:p>
            <w:pPr>
              <w:pStyle w:val="Para 001"/>
            </w:pPr>
            <w:r>
              <w:t>(?&lt;!...)</w:t>
            </w:r>
          </w:p>
        </w:tc>
        <w:tc>
          <w:tcPr>
            <w:tcW w:type="auto" w:w="0"/>
            <w:tcMar>
              <w:left w:type="dxa" w:w="200"/>
              <w:top w:type="dxa" w:w="200"/>
              <w:right w:type="dxa" w:w="200"/>
              <w:bottom w:type="dxa" w:w="200"/>
            </w:tcMar>
          </w:tcPr>
          <w:p>
            <w:pPr>
              <w:pStyle w:val="Para 002"/>
            </w:pPr>
            <w:r>
              <w:rPr>
                <w:rStyle w:val="Text4"/>
              </w:rPr>
              <w:t>Negative lookbehind assertion</w:t>
            </w:r>
            <w:r>
              <w:t xml:space="preserve">: matches if there is no match ending at the current position for RE </w:t>
            </w:r>
            <w:r>
              <w:rPr>
                <w:rStyle w:val="Text0"/>
              </w:rPr>
              <w:t>...</w:t>
            </w:r>
            <w:r>
              <w:t xml:space="preserve"> (</w:t>
            </w:r>
            <w:r>
              <w:rPr>
                <w:rStyle w:val="Text0"/>
              </w:rPr>
              <w:t>...</w:t>
            </w:r>
            <w:r>
              <w:t xml:space="preserve"> must match a fixed length)</w:t>
            </w:r>
          </w:p>
        </w:tc>
      </w:tr>
    </w:tbl>
    <w:tbl>
      <w:tblPr>
        <w:tblW w:type="auto" w:w="0"/>
      </w:tblPr>
      <w:tr>
        <w:tc>
          <w:tcPr>
            <w:tcW w:type="auto" w:w="0"/>
            <w:shd w:val="clear" w:color="auto" w:fill="EEF2F6"/>
            <w:tcMar>
              <w:left w:type="dxa" w:w="200"/>
              <w:top w:type="dxa" w:w="200"/>
              <w:right w:type="dxa" w:w="200"/>
              <w:bottom w:type="dxa" w:w="200"/>
            </w:tcMar>
          </w:tcPr>
          <w:p>
            <w:pPr>
              <w:pStyle w:val="Para 026"/>
            </w:pPr>
            <w:r>
              <w:rPr>
                <w:rStyle w:val="Text50"/>
              </w:rPr>
              <w:t>\</w:t>
            </w:r>
            <w:r>
              <w:rPr>
                <w:rStyle w:val="Text47"/>
              </w:rPr>
              <w:t xml:space="preserve"> </w:t>
            </w:r>
            <w:r>
              <w:t>number</w:t>
            </w:r>
          </w:p>
        </w:tc>
        <w:tc>
          <w:tcPr>
            <w:tcW w:type="auto" w:w="0"/>
            <w:shd w:val="clear" w:color="auto" w:fill="EEF2F6"/>
            <w:tcMar>
              <w:left w:type="dxa" w:w="200"/>
              <w:top w:type="dxa" w:w="200"/>
              <w:right w:type="dxa" w:w="200"/>
              <w:bottom w:type="dxa" w:w="200"/>
            </w:tcMar>
          </w:tcPr>
          <w:p>
            <w:pPr>
              <w:pStyle w:val="Para 002"/>
            </w:pPr>
            <w:r>
              <w:t xml:space="preserve">Matches whatever was previously matched by the group numbered </w:t>
            </w:r>
            <w:r>
              <w:rPr>
                <w:rStyle w:val="Text3"/>
              </w:rPr>
              <w:t>number</w:t>
            </w:r>
            <w:r>
              <w:t xml:space="preserve"> (groups are automatically numbered left to right, from </w:t>
            </w:r>
            <w:r>
              <w:rPr>
                <w:rStyle w:val="Text0"/>
              </w:rPr>
              <w:t>1</w:t>
            </w:r>
            <w:r>
              <w:t xml:space="preserve"> to </w:t>
            </w:r>
            <w:r>
              <w:rPr>
                <w:rStyle w:val="Text0"/>
              </w:rPr>
              <w:t>99</w:t>
            </w:r>
            <w:r>
              <w:t>)</w:t>
            </w:r>
          </w:p>
        </w:tc>
      </w:tr>
    </w:tbl>
    <w:tbl>
      <w:tblPr>
        <w:tblW w:type="auto" w:w="0"/>
      </w:tblPr>
      <w:tr>
        <w:tc>
          <w:tcPr>
            <w:tcW w:type="auto" w:w="0"/>
            <w:tcMar>
              <w:left w:type="dxa" w:w="200"/>
              <w:top w:type="dxa" w:w="200"/>
              <w:right w:type="dxa" w:w="200"/>
              <w:bottom w:type="dxa" w:w="200"/>
            </w:tcMar>
          </w:tcPr>
          <w:p>
            <w:pPr>
              <w:pStyle w:val="Para 001"/>
            </w:pPr>
            <w:r>
              <w:t>\A</w:t>
            </w:r>
          </w:p>
        </w:tc>
        <w:tc>
          <w:tcPr>
            <w:tcW w:type="auto" w:w="0"/>
            <w:tcMar>
              <w:left w:type="dxa" w:w="200"/>
              <w:top w:type="dxa" w:w="200"/>
              <w:right w:type="dxa" w:w="200"/>
              <w:bottom w:type="dxa" w:w="200"/>
            </w:tcMar>
          </w:tcPr>
          <w:p>
            <w:pPr>
              <w:pStyle w:val="Para 002"/>
            </w:pPr>
            <w:r>
              <w:t>Matches an empty string, but only at the start of the whole string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\b</w:t>
            </w:r>
          </w:p>
        </w:tc>
        <w:tc>
          <w:tcPr>
            <w:tcW w:type="auto" w:w="0"/>
            <w:shd w:val="clear" w:color="auto" w:fill="EEF2F6"/>
            <w:tcMar>
              <w:left w:type="dxa" w:w="200"/>
              <w:top w:type="dxa" w:w="200"/>
              <w:right w:type="dxa" w:w="200"/>
              <w:bottom w:type="dxa" w:w="200"/>
            </w:tcMar>
          </w:tcPr>
          <w:p>
            <w:pPr>
              <w:pStyle w:val="Para 002"/>
            </w:pPr>
            <w:r>
              <w:t xml:space="preserve">Matches an empty string, but only at the start or end of a </w:t>
            </w:r>
            <w:r>
              <w:rPr>
                <w:rStyle w:val="Text4"/>
              </w:rPr>
              <w:t>word</w:t>
            </w:r>
            <w:r>
              <w:t xml:space="preserve"> (a maximal sequence of alphanumeric characters; see also </w:t>
            </w:r>
            <w:r>
              <w:rPr>
                <w:rStyle w:val="Text0"/>
              </w:rPr>
              <w:t>\w</w:t>
            </w:r>
            <w:r>
              <w:t>)</w:t>
            </w:r>
          </w:p>
        </w:tc>
      </w:tr>
    </w:tbl>
    <w:tbl>
      <w:tblPr>
        <w:tblW w:type="auto" w:w="0"/>
      </w:tblPr>
      <w:tr>
        <w:tc>
          <w:tcPr>
            <w:tcW w:type="auto" w:w="0"/>
            <w:tcMar>
              <w:left w:type="dxa" w:w="200"/>
              <w:top w:type="dxa" w:w="200"/>
              <w:right w:type="dxa" w:w="200"/>
              <w:bottom w:type="dxa" w:w="200"/>
            </w:tcMar>
          </w:tcPr>
          <w:p>
            <w:pPr>
              <w:pStyle w:val="Para 001"/>
            </w:pPr>
            <w:r>
              <w:t>\B</w:t>
            </w:r>
          </w:p>
        </w:tc>
        <w:tc>
          <w:tcPr>
            <w:tcW w:type="auto" w:w="0"/>
            <w:tcMar>
              <w:left w:type="dxa" w:w="200"/>
              <w:top w:type="dxa" w:w="200"/>
              <w:right w:type="dxa" w:w="200"/>
              <w:bottom w:type="dxa" w:w="200"/>
            </w:tcMar>
          </w:tcPr>
          <w:p>
            <w:pPr>
              <w:pStyle w:val="Para 002"/>
            </w:pPr>
            <w:r>
              <w:t>Matches an empty string, but not at the start or end of a word</w:t>
            </w:r>
          </w:p>
        </w:tc>
      </w:tr>
    </w:tbl>
    <w:tbl>
      <w:tblPr>
        <w:tblW w:type="auto" w:w="0"/>
      </w:tblPr>
      <w:tr>
        <w:tc>
          <w:tcPr>
            <w:tcW w:type="auto" w:w="0"/>
            <w:shd w:val="clear" w:color="auto" w:fill="EEF2F6"/>
            <w:tcMar>
              <w:left w:type="dxa" w:w="200"/>
              <w:top w:type="dxa" w:w="200"/>
              <w:right w:type="dxa" w:w="200"/>
              <w:bottom w:type="dxa" w:w="200"/>
            </w:tcMar>
          </w:tcPr>
          <w:p>
            <w:pPr>
              <w:pStyle w:val="Para 001"/>
            </w:pPr>
            <w:r>
              <w:t>\d</w:t>
            </w:r>
          </w:p>
        </w:tc>
        <w:tc>
          <w:tcPr>
            <w:tcW w:type="auto" w:w="0"/>
            <w:shd w:val="clear" w:color="auto" w:fill="EEF2F6"/>
            <w:tcMar>
              <w:left w:type="dxa" w:w="200"/>
              <w:top w:type="dxa" w:w="200"/>
              <w:right w:type="dxa" w:w="200"/>
              <w:bottom w:type="dxa" w:w="200"/>
            </w:tcMar>
          </w:tcPr>
          <w:p>
            <w:pPr>
              <w:pStyle w:val="Para 002"/>
            </w:pPr>
            <w:r>
              <w:t xml:space="preserve">Matches one digit, like the set </w:t>
            </w:r>
            <w:r>
              <w:rPr>
                <w:rStyle w:val="Text0"/>
              </w:rPr>
              <w:t>[0-9]</w:t>
            </w:r>
            <w:r>
              <w:t xml:space="preserve"> (in Unicode mode, many other Unicode characters also count as “digits” for </w:t>
            </w:r>
            <w:r>
              <w:rPr>
                <w:rStyle w:val="Text0"/>
              </w:rPr>
              <w:t>\d</w:t>
            </w:r>
            <w:r>
              <w:t xml:space="preserve">, but not for </w:t>
            </w:r>
            <w:r>
              <w:rPr>
                <w:rStyle w:val="Text0"/>
              </w:rPr>
              <w:t>[0-9]</w:t>
            </w:r>
            <w:r>
              <w:t>)</w:t>
            </w:r>
          </w:p>
        </w:tc>
      </w:tr>
    </w:tbl>
    <w:tbl>
      <w:tblPr>
        <w:tblW w:type="auto" w:w="0"/>
      </w:tblPr>
      <w:tr>
        <w:tc>
          <w:tcPr>
            <w:tcW w:type="auto" w:w="0"/>
            <w:tcMar>
              <w:left w:type="dxa" w:w="200"/>
              <w:top w:type="dxa" w:w="200"/>
              <w:right w:type="dxa" w:w="200"/>
              <w:bottom w:type="dxa" w:w="200"/>
            </w:tcMar>
          </w:tcPr>
          <w:p>
            <w:pPr>
              <w:pStyle w:val="Para 001"/>
            </w:pPr>
            <w:r>
              <w:t>\D</w:t>
            </w:r>
          </w:p>
        </w:tc>
        <w:tc>
          <w:tcPr>
            <w:tcW w:type="auto" w:w="0"/>
            <w:tcMar>
              <w:left w:type="dxa" w:w="200"/>
              <w:top w:type="dxa" w:w="200"/>
              <w:right w:type="dxa" w:w="200"/>
              <w:bottom w:type="dxa" w:w="200"/>
            </w:tcMar>
          </w:tcPr>
          <w:p>
            <w:pPr>
              <w:pStyle w:val="Para 002"/>
            </w:pPr>
            <w:r>
              <w:t xml:space="preserve">Matches one nondigit character, like the set </w:t>
            </w:r>
            <w:r>
              <w:rPr>
                <w:rStyle w:val="Text0"/>
              </w:rPr>
              <w:t>[^0-9]</w:t>
            </w:r>
            <w:r>
              <w:t xml:space="preserve"> (in Unicode mode, many other Unicode characters also count as “digits” for </w:t>
            </w:r>
            <w:r>
              <w:rPr>
                <w:rStyle w:val="Text0"/>
              </w:rPr>
              <w:t>\D</w:t>
            </w:r>
            <w:r>
              <w:t xml:space="preserve">, but not for </w:t>
            </w:r>
            <w:r>
              <w:rPr>
                <w:rStyle w:val="Text0"/>
              </w:rPr>
              <w:t>[^0-9]</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w:t>
            </w:r>
            <w:r>
              <w:rPr>
                <w:rStyle w:val="Text3"/>
              </w:rPr>
              <w:t>name</w:t>
            </w:r>
            <w:r>
              <w:t>}</w:t>
            </w:r>
          </w:p>
        </w:tc>
        <w:tc>
          <w:tcPr>
            <w:tcW w:type="auto" w:w="0"/>
            <w:shd w:val="clear" w:color="auto" w:fill="EEF2F6"/>
            <w:tcMar>
              <w:left w:type="dxa" w:w="200"/>
              <w:top w:type="dxa" w:w="200"/>
              <w:right w:type="dxa" w:w="200"/>
              <w:bottom w:type="dxa" w:w="200"/>
            </w:tcMar>
          </w:tcPr>
          <w:p>
            <w:pPr>
              <w:pStyle w:val="Para 002"/>
            </w:pPr>
            <w:r>
              <w:rPr>
                <w:rStyle w:val="Text34"/>
              </w:rPr>
              <w:t>3.8+</w:t>
            </w:r>
            <w:r>
              <w:t xml:space="preserve"> Matches the Unicode character corresponding to </w:t>
            </w:r>
            <w:r>
              <w:rPr>
                <w:rStyle w:val="Text4"/>
              </w:rPr>
              <w:t>name</w:t>
            </w:r>
          </w:p>
        </w:tc>
      </w:tr>
    </w:tbl>
    <w:tbl>
      <w:tblPr>
        <w:tblW w:type="auto" w:w="0"/>
      </w:tblPr>
      <w:tr>
        <w:tc>
          <w:tcPr>
            <w:tcW w:type="auto" w:w="0"/>
            <w:tcMar>
              <w:left w:type="dxa" w:w="200"/>
              <w:top w:type="dxa" w:w="200"/>
              <w:right w:type="dxa" w:w="200"/>
              <w:bottom w:type="dxa" w:w="200"/>
            </w:tcMar>
          </w:tcPr>
          <w:p>
            <w:pPr>
              <w:pStyle w:val="Para 001"/>
            </w:pPr>
            <w:r>
              <w:t>\s</w:t>
            </w:r>
          </w:p>
        </w:tc>
        <w:tc>
          <w:tcPr>
            <w:tcW w:type="auto" w:w="0"/>
            <w:tcMar>
              <w:left w:type="dxa" w:w="200"/>
              <w:top w:type="dxa" w:w="200"/>
              <w:right w:type="dxa" w:w="200"/>
              <w:bottom w:type="dxa" w:w="200"/>
            </w:tcMar>
          </w:tcPr>
          <w:p>
            <w:pPr>
              <w:pStyle w:val="Para 002"/>
            </w:pPr>
            <w:r>
              <w:t xml:space="preserve">Matches a whitespace character, like the set </w:t>
            </w:r>
            <w:r>
              <w:rPr>
                <w:rStyle w:val="Text0"/>
              </w:rPr>
              <w:t>[\t\n\r\f\v]</w:t>
            </w:r>
          </w:p>
        </w:tc>
      </w:tr>
    </w:tbl>
    <w:tbl>
      <w:tblPr>
        <w:tblW w:type="auto" w:w="0"/>
      </w:tblPr>
      <w:tr>
        <w:tc>
          <w:tcPr>
            <w:tcW w:type="auto" w:w="0"/>
            <w:shd w:val="clear" w:color="auto" w:fill="EEF2F6"/>
            <w:tcMar>
              <w:left w:type="dxa" w:w="200"/>
              <w:top w:type="dxa" w:w="200"/>
              <w:right w:type="dxa" w:w="200"/>
              <w:bottom w:type="dxa" w:w="200"/>
            </w:tcMar>
          </w:tcPr>
          <w:p>
            <w:pPr>
              <w:pStyle w:val="Para 001"/>
            </w:pPr>
            <w:r>
              <w:t>\S</w:t>
            </w:r>
          </w:p>
        </w:tc>
        <w:tc>
          <w:tcPr>
            <w:tcW w:type="auto" w:w="0"/>
            <w:shd w:val="clear" w:color="auto" w:fill="EEF2F6"/>
            <w:tcMar>
              <w:left w:type="dxa" w:w="200"/>
              <w:top w:type="dxa" w:w="200"/>
              <w:right w:type="dxa" w:w="200"/>
              <w:bottom w:type="dxa" w:w="200"/>
            </w:tcMar>
          </w:tcPr>
          <w:p>
            <w:pPr>
              <w:pStyle w:val="Para 002"/>
            </w:pPr>
            <w:r>
              <w:t xml:space="preserve">Matches a nonwhitespace character, like the set </w:t>
            </w:r>
            <w:r>
              <w:rPr>
                <w:rStyle w:val="Text0"/>
              </w:rPr>
              <w:t>[^\t\n\r\f\v]</w:t>
            </w:r>
          </w:p>
        </w:tc>
      </w:tr>
    </w:tbl>
    <w:tbl>
      <w:tblPr>
        <w:tblW w:type="auto" w:w="0"/>
      </w:tblPr>
      <w:tr>
        <w:tc>
          <w:tcPr>
            <w:tcW w:type="auto" w:w="0"/>
            <w:tcMar>
              <w:left w:type="dxa" w:w="200"/>
              <w:top w:type="dxa" w:w="200"/>
              <w:right w:type="dxa" w:w="200"/>
              <w:bottom w:type="dxa" w:w="200"/>
            </w:tcMar>
          </w:tcPr>
          <w:p>
            <w:pPr>
              <w:pStyle w:val="Para 001"/>
            </w:pPr>
            <w:r>
              <w:t>\w</w:t>
            </w:r>
          </w:p>
        </w:tc>
        <w:tc>
          <w:tcPr>
            <w:tcW w:type="auto" w:w="0"/>
            <w:tcMar>
              <w:left w:type="dxa" w:w="200"/>
              <w:top w:type="dxa" w:w="200"/>
              <w:right w:type="dxa" w:w="200"/>
              <w:bottom w:type="dxa" w:w="200"/>
            </w:tcMar>
          </w:tcPr>
          <w:p>
            <w:pPr>
              <w:pStyle w:val="Para 002"/>
            </w:pPr>
            <w:r>
              <w:t xml:space="preserve">Matches one alphanumeric character; unless in Unicode mode, or if </w:t>
            </w:r>
            <w:r>
              <w:rPr>
                <w:rStyle w:val="Text0"/>
              </w:rPr>
              <w:t>LOCALE</w:t>
            </w:r>
            <w:r>
              <w:t xml:space="preserve"> or </w:t>
            </w:r>
            <w:r>
              <w:rPr>
                <w:rStyle w:val="Text0"/>
              </w:rPr>
              <w:t>UNICODE</w:t>
            </w:r>
            <w:r>
              <w:t xml:space="preserve"> is set, </w:t>
            </w:r>
            <w:r>
              <w:rPr>
                <w:rStyle w:val="Text0"/>
              </w:rPr>
              <w:t>\w</w:t>
            </w:r>
            <w:r>
              <w:t xml:space="preserve"> is like </w:t>
            </w:r>
            <w:r>
              <w:rPr>
                <w:rStyle w:val="Text0"/>
              </w:rPr>
              <w:t>[a-zA-Z0-9_]</w:t>
            </w:r>
          </w:p>
        </w:tc>
      </w:tr>
    </w:tbl>
    <w:tbl>
      <w:tblPr>
        <w:tblW w:type="auto" w:w="0"/>
      </w:tblPr>
      <w:tr>
        <w:tc>
          <w:tcPr>
            <w:tcW w:type="auto" w:w="0"/>
            <w:shd w:val="clear" w:color="auto" w:fill="EEF2F6"/>
            <w:tcMar>
              <w:left w:type="dxa" w:w="200"/>
              <w:top w:type="dxa" w:w="200"/>
              <w:right w:type="dxa" w:w="200"/>
              <w:bottom w:type="dxa" w:w="200"/>
            </w:tcMar>
          </w:tcPr>
          <w:p>
            <w:pPr>
              <w:pStyle w:val="Para 001"/>
            </w:pPr>
            <w:r>
              <w:t>\W</w:t>
            </w:r>
          </w:p>
        </w:tc>
        <w:tc>
          <w:tcPr>
            <w:tcW w:type="auto" w:w="0"/>
            <w:shd w:val="clear" w:color="auto" w:fill="EEF2F6"/>
            <w:tcMar>
              <w:left w:type="dxa" w:w="200"/>
              <w:top w:type="dxa" w:w="200"/>
              <w:right w:type="dxa" w:w="200"/>
              <w:bottom w:type="dxa" w:w="200"/>
            </w:tcMar>
          </w:tcPr>
          <w:p>
            <w:pPr>
              <w:pStyle w:val="Para 002"/>
            </w:pPr>
            <w:r>
              <w:t xml:space="preserve">Matches one nonalphanumeric character, the reverse of </w:t>
            </w:r>
            <w:r>
              <w:rPr>
                <w:rStyle w:val="Text0"/>
              </w:rPr>
              <w:t>\w</w:t>
            </w:r>
          </w:p>
        </w:tc>
      </w:tr>
    </w:tbl>
    <w:tbl>
      <w:tblPr>
        <w:tblW w:type="auto" w:w="0"/>
      </w:tblPr>
      <w:tr>
        <w:tc>
          <w:tcPr>
            <w:tcW w:type="auto" w:w="0"/>
            <w:tcMar>
              <w:left w:type="dxa" w:w="200"/>
              <w:top w:type="dxa" w:w="200"/>
              <w:right w:type="dxa" w:w="200"/>
              <w:bottom w:type="dxa" w:w="200"/>
            </w:tcMar>
          </w:tcPr>
          <w:p>
            <w:pPr>
              <w:pStyle w:val="Para 001"/>
            </w:pPr>
            <w:r>
              <w:t>\Z</w:t>
            </w:r>
          </w:p>
        </w:tc>
        <w:tc>
          <w:tcPr>
            <w:tcW w:type="auto" w:w="0"/>
            <w:tcMar>
              <w:left w:type="dxa" w:w="200"/>
              <w:top w:type="dxa" w:w="200"/>
              <w:right w:type="dxa" w:w="200"/>
              <w:bottom w:type="dxa" w:w="200"/>
            </w:tcMar>
          </w:tcPr>
          <w:p>
            <w:pPr>
              <w:pStyle w:val="Para 002"/>
            </w:pPr>
            <w:r>
              <w:t>Matches an empty string, but only at the end of the whole string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Matches one backslash character</w:t>
            </w:r>
          </w:p>
        </w:tc>
      </w:tr>
    </w:tbl>
    <w:tbl>
      <w:tblPr>
        <w:tblW w:type="auto" w:w="0"/>
      </w:tblPr>
      <w:tr>
        <w:tc>
          <w:tcPr>
            <w:tcW w:type="auto" w:w="0"/>
            <w:tcMar>
              <w:left w:type="dxa" w:w="200"/>
              <w:top w:type="dxa" w:w="200"/>
              <w:right w:type="dxa" w:w="200"/>
              <w:bottom w:type="dxa" w:w="200"/>
            </w:tcMar>
            <w:hMerge w:val="restart"/>
          </w:tcPr>
          <w:p>
            <w:bookmarkStart w:id="2423" w:name="a_Always_place_the________constr"/>
            <w:pPr>
              <w:pStyle w:val="Para 036"/>
            </w:pPr>
            <w:hyperlink w:anchor="a_7">
              <w:r>
                <w:rPr>
                  <w:rStyle w:val="Text1"/>
                </w:rPr>
                <w:t>a</w:t>
              </w:r>
            </w:hyperlink>
            <w:r>
              <w:t xml:space="preserve"> Always place the </w:t>
            </w:r>
            <w:r>
              <w:rPr>
                <w:rStyle w:val="Text25"/>
              </w:rPr>
              <w:t>(?...)</w:t>
            </w:r>
            <w:r>
              <w:t xml:space="preserve"> construct for setting flags, if any, at the start of the pattern, for readability; placing it elsewhere raises </w:t>
            </w:r>
            <w:r>
              <w:rPr>
                <w:rStyle w:val="Text25"/>
              </w:rPr>
              <w:t>DeprecationWarning</w:t>
            </w:r>
            <w:r>
              <w:t>.</w:t>
            </w:r>
            <w:bookmarkEnd w:id="2423"/>
          </w:p>
        </w:tc>
        <w:tc>
          <w:tcPr>
            <w:hMerge w:val="continue"/>
          </w:tcPr>
          <w:p/>
        </w:tc>
      </w:tr>
    </w:tbl>
    <w:p>
      <w:pPr>
        <w:pStyle w:val="Normal"/>
      </w:pPr>
      <w:r>
        <w:t xml:space="preserve">Using a </w:t>
      </w:r>
      <w:r>
        <w:rPr>
          <w:rStyle w:val="Text0"/>
        </w:rPr>
        <w:t>\</w:t>
      </w:r>
      <w:r>
        <w:t xml:space="preserve"> character followed by an alphabetic character not listed here or in </w:t>
      </w:r>
      <w:hyperlink w:anchor="Table_3_4__Operator_precedence_i">
        <w:r>
          <w:rPr>
            <w:rStyle w:val="Text1"/>
          </w:rPr>
          <w:t>Table 3-4</w:t>
        </w:r>
      </w:hyperlink>
      <w:r>
        <w:t xml:space="preserve"> raises an </w:t>
      </w:r>
      <w:r>
        <w:rPr>
          <w:rStyle w:val="Text0"/>
        </w:rPr>
        <w:t>re.error</w:t>
      </w:r>
      <w:r>
        <w:t xml:space="preserve"> exception.</w:t>
      </w:r>
    </w:p>
    <w:p>
      <w:bookmarkStart w:id="2424" w:name="Common_Regular_Expression_Idioms"/>
      <w:pPr>
        <w:keepNext/>
        <w:pStyle w:val="Heading 2"/>
      </w:pPr>
      <w:r>
        <w:t>Common Regular Expression Idioms</w:t>
      </w:r>
      <w:bookmarkEnd w:id="2424"/>
    </w:p>
    <w:p>
      <w:pPr>
        <w:keepNext/>
        <w:pStyle w:val="Heading 5"/>
        <w:keepLines w:val="on"/>
      </w:pPr>
      <w:r>
        <w:t>Always Use r’...’ Syntax for RE Pattern Literals</w:t>
      </w:r>
    </w:p>
    <w:p>
      <w:pPr>
        <w:pStyle w:val="Para 012"/>
        <w:keepLines w:val="on"/>
      </w:pPr>
      <w:r>
        <w:t>Use raw string literals for all RE pattern literals, and only for them. This ensures you’ll never forget to escape a backslash (</w:t>
      </w:r>
      <w:r>
        <w:rPr>
          <w:rStyle w:val="Text0"/>
        </w:rPr>
        <w:t>\</w:t>
      </w:r>
      <w:r>
        <w:t>), and improves code readability since it makes your RE pattern literals stand out.</w:t>
      </w:r>
    </w:p>
    <w:p>
      <w:pPr>
        <w:pStyle w:val="Normal"/>
      </w:pPr>
      <w:r>
        <w:rPr>
          <w:rStyle w:val="Text0"/>
        </w:rPr>
        <w:t>.*</w:t>
      </w:r>
      <w:r>
        <w:t xml:space="preserve"> as a substring of a regular expression’s pattern string means “any number of repetitions (zero or more) of any character.” In other words, </w:t>
      </w:r>
      <w:r>
        <w:rPr>
          <w:rStyle w:val="Text0"/>
        </w:rPr>
        <w:t>.*</w:t>
      </w:r>
      <w:r>
        <w:t xml:space="preserve"> matches any substring of a target string, including the empty substring. </w:t>
      </w:r>
      <w:r>
        <w:rPr>
          <w:rStyle w:val="Text0"/>
        </w:rPr>
        <w:t>.+</w:t>
      </w:r>
      <w:r>
        <w:t xml:space="preserve"> is similar but matches only a nonempty substring. For example, this:</w:t>
      </w:r>
    </w:p>
    <w:p>
      <w:pPr>
        <w:pStyle w:val="Para 020"/>
      </w:pPr>
      <w:r>
        <w:rPr>
          <w:rStyle w:val="Text23"/>
        </w:rPr>
        <w:t xml:space="preserve"/>
        <w:br w:clear="none"/>
      </w:r>
      <w:r>
        <w:rPr>
          <w:rStyle w:val="Text6"/>
        </w:rPr>
        <w:t xml:space="preserve">r</w:t>
        <w:br w:clear="none"/>
      </w:r>
      <w:r>
        <w:t xml:space="preserve">'pre.*post'</w:t>
        <w:br w:clear="none"/>
      </w:r>
    </w:p>
    <w:p>
      <w:pPr>
        <w:pStyle w:val="Normal"/>
      </w:pPr>
      <w:r>
        <w:t xml:space="preserve">matches a string containing a substring </w:t>
      </w:r>
      <w:r>
        <w:rPr>
          <w:rStyle w:val="Text0"/>
        </w:rPr>
        <w:t>'pre'</w:t>
      </w:r>
      <w:r>
        <w:t xml:space="preserve"> followed by a later substring </w:t>
      </w:r>
      <w:r>
        <w:rPr>
          <w:rStyle w:val="Text0"/>
        </w:rPr>
        <w:t>'post'</w:t>
      </w:r>
      <w:r>
        <w:t xml:space="preserve">, even if the latter is adjacent to the former (e.g., it matches both </w:t>
      </w:r>
      <w:r>
        <w:rPr>
          <w:rStyle w:val="Text0"/>
        </w:rPr>
        <w:t>'prepost'</w:t>
      </w:r>
      <w:r>
        <w:t xml:space="preserve"> and </w:t>
      </w:r>
      <w:r>
        <w:rPr>
          <w:rStyle w:val="Text0"/>
        </w:rPr>
        <w:t>'pre23post'</w:t>
      </w:r>
      <w:r>
        <w:t>). On the other hand, this:</w:t>
      </w:r>
    </w:p>
    <w:p>
      <w:pPr>
        <w:pStyle w:val="Para 020"/>
      </w:pPr>
      <w:r>
        <w:rPr>
          <w:rStyle w:val="Text23"/>
        </w:rPr>
        <w:t xml:space="preserve"/>
        <w:br w:clear="none"/>
      </w:r>
      <w:r>
        <w:rPr>
          <w:rStyle w:val="Text6"/>
        </w:rPr>
        <w:t xml:space="preserve">r</w:t>
        <w:br w:clear="none"/>
      </w:r>
      <w:r>
        <w:t xml:space="preserve">'pre.+post'</w:t>
        <w:br w:clear="none"/>
      </w:r>
    </w:p>
    <w:p>
      <w:pPr>
        <w:pStyle w:val="Normal"/>
      </w:pPr>
      <w:r>
        <w:t xml:space="preserve">matches only if </w:t>
      </w:r>
      <w:r>
        <w:rPr>
          <w:rStyle w:val="Text0"/>
        </w:rPr>
        <w:t>'pre'</w:t>
      </w:r>
      <w:r>
        <w:t xml:space="preserve"> and </w:t>
      </w:r>
      <w:r>
        <w:rPr>
          <w:rStyle w:val="Text0"/>
        </w:rPr>
        <w:t>'post'</w:t>
      </w:r>
      <w:r>
        <w:t xml:space="preserve"> are not adjacent (e.g., it matches </w:t>
      </w:r>
      <w:r>
        <w:rPr>
          <w:rStyle w:val="Text0"/>
        </w:rPr>
        <w:t>'pre23post'</w:t>
      </w:r>
      <w:r>
        <w:t xml:space="preserve"> but does not match </w:t>
      </w:r>
      <w:r>
        <w:rPr>
          <w:rStyle w:val="Text0"/>
        </w:rPr>
        <w:t>'prepost'</w:t>
      </w:r>
      <w:r>
        <w:t xml:space="preserve">). Both patterns also match strings that continue after the </w:t>
      </w:r>
      <w:r>
        <w:rPr>
          <w:rStyle w:val="Text0"/>
        </w:rPr>
        <w:t>'post'</w:t>
      </w:r>
      <w:r>
        <w:t xml:space="preserve">. To constrain a pattern to match only strings that </w:t>
      </w:r>
      <w:r>
        <w:rPr>
          <w:rStyle w:val="Text4"/>
        </w:rPr>
        <w:t>end</w:t>
      </w:r>
      <w:r>
        <w:t xml:space="preserve"> with </w:t>
      </w:r>
      <w:r>
        <w:rPr>
          <w:rStyle w:val="Text0"/>
        </w:rPr>
        <w:t>'post'</w:t>
      </w:r>
      <w:r>
        <w:t xml:space="preserve">, end the pattern with </w:t>
      </w:r>
      <w:r>
        <w:rPr>
          <w:rStyle w:val="Text0"/>
        </w:rPr>
        <w:t>\Z</w:t>
      </w:r>
      <w:r>
        <w:t>. For example, this:</w:t>
      </w:r>
    </w:p>
    <w:p>
      <w:pPr>
        <w:pStyle w:val="Para 020"/>
      </w:pPr>
      <w:r>
        <w:rPr>
          <w:rStyle w:val="Text23"/>
        </w:rPr>
        <w:t xml:space="preserve"/>
        <w:br w:clear="none"/>
      </w:r>
      <w:r>
        <w:rPr>
          <w:rStyle w:val="Text6"/>
        </w:rPr>
        <w:t xml:space="preserve">r</w:t>
        <w:br w:clear="none"/>
      </w:r>
      <w:r>
        <w:t xml:space="preserve">'pre.*post\Z'</w:t>
        <w:br w:clear="none"/>
      </w:r>
    </w:p>
    <w:p>
      <w:pPr>
        <w:pStyle w:val="Para 086"/>
      </w:pPr>
      <w:r>
        <w:rPr>
          <w:rStyle w:val="Text12"/>
        </w:rPr>
        <w:t xml:space="preserve">matches </w:t>
      </w:r>
      <w:r>
        <w:t>'prepost'</w:t>
      </w:r>
      <w:r>
        <w:rPr>
          <w:rStyle w:val="Text12"/>
        </w:rPr>
        <w:t xml:space="preserve"> but not </w:t>
      </w:r>
      <w:r>
        <w:t>'preposterous'</w:t>
      </w:r>
      <w:r>
        <w:rPr>
          <w:rStyle w:val="Text12"/>
        </w:rPr>
        <w:t>.</w:t>
      </w:r>
    </w:p>
    <w:p>
      <w:pPr>
        <w:pStyle w:val="Normal"/>
      </w:pPr>
      <w:r>
        <w:t>All of these examples are</w:t>
      </w:r>
      <w:r>
        <w:rPr>
          <w:rStyle w:val="Text111"/>
        </w:rPr>
        <w:bookmarkStart w:id="2425" w:name="idm45965208834528"/>
        <w:t/>
        <w:bookmarkEnd w:id="2425"/>
      </w:r>
      <w:r>
        <w:t xml:space="preserve"> </w:t>
      </w:r>
      <w:r>
        <w:rPr>
          <w:rStyle w:val="Text4"/>
        </w:rPr>
        <w:t>greedy</w:t>
      </w:r>
      <w:r>
        <w:t xml:space="preserve">, meaning that they match the substring beginning with the first occurrence of </w:t>
      </w:r>
      <w:r>
        <w:rPr>
          <w:rStyle w:val="Text0"/>
        </w:rPr>
        <w:t>'pre'</w:t>
      </w:r>
      <w:r>
        <w:t xml:space="preserve"> all the way to the </w:t>
      </w:r>
      <w:r>
        <w:rPr>
          <w:rStyle w:val="Text4"/>
        </w:rPr>
        <w:t>last</w:t>
      </w:r>
      <w:r>
        <w:t xml:space="preserve"> occurrence of </w:t>
      </w:r>
      <w:r>
        <w:rPr>
          <w:rStyle w:val="Text0"/>
        </w:rPr>
        <w:t>'post'</w:t>
      </w:r>
      <w:r>
        <w:t>. When you care about what part of the string you match, you may often want to</w:t>
      </w:r>
      <w:r>
        <w:rPr>
          <w:rStyle w:val="Text111"/>
        </w:rPr>
        <w:bookmarkStart w:id="2426" w:name="idm45965208809472"/>
        <w:t/>
        <w:bookmarkEnd w:id="2426"/>
      </w:r>
      <w:r>
        <w:t xml:space="preserve"> specify </w:t>
      </w:r>
      <w:r>
        <w:rPr>
          <w:rStyle w:val="Text4"/>
        </w:rPr>
        <w:t>nongreedy</w:t>
      </w:r>
      <w:r>
        <w:t xml:space="preserve"> matching, which in our example would match the substring beginning with the first occurrence of </w:t>
      </w:r>
      <w:r>
        <w:rPr>
          <w:rStyle w:val="Text0"/>
        </w:rPr>
        <w:t>'pre'</w:t>
      </w:r>
      <w:r>
        <w:t xml:space="preserve"> but only up to the </w:t>
      </w:r>
      <w:r>
        <w:rPr>
          <w:rStyle w:val="Text4"/>
        </w:rPr>
        <w:t>first</w:t>
      </w:r>
      <w:r>
        <w:t xml:space="preserve"> following occurrence of </w:t>
      </w:r>
      <w:r>
        <w:rPr>
          <w:rStyle w:val="Text0"/>
        </w:rPr>
        <w:t>'post'</w:t>
      </w:r>
      <w:r>
        <w:t>.</w:t>
      </w:r>
    </w:p>
    <w:p>
      <w:pPr>
        <w:pStyle w:val="Normal"/>
      </w:pPr>
      <w:r>
        <w:t xml:space="preserve">For example, when the string is </w:t>
      </w:r>
      <w:r>
        <w:rPr>
          <w:rStyle w:val="Text0"/>
        </w:rPr>
        <w:t>'preposterous and post facto'</w:t>
      </w:r>
      <w:r>
        <w:t xml:space="preserve">, the greedy RE pattern </w:t>
      </w:r>
      <w:r>
        <w:rPr>
          <w:rStyle w:val="Text0"/>
        </w:rPr>
        <w:t>r'pre.*post'</w:t>
      </w:r>
      <w:r>
        <w:t xml:space="preserve"> matches the substring </w:t>
      </w:r>
      <w:r>
        <w:rPr>
          <w:rStyle w:val="Text0"/>
        </w:rPr>
        <w:t>'preposterous and post'</w:t>
      </w:r>
      <w:r>
        <w:t xml:space="preserve">; the nongreedy variant </w:t>
      </w:r>
      <w:r>
        <w:rPr>
          <w:rStyle w:val="Text0"/>
        </w:rPr>
        <w:t>r'pre.*?post'</w:t>
      </w:r>
      <w:r>
        <w:t xml:space="preserve"> matches just the substring </w:t>
      </w:r>
      <w:r>
        <w:rPr>
          <w:rStyle w:val="Text0"/>
        </w:rPr>
        <w:t>'prepost'</w:t>
      </w:r>
      <w:r>
        <w:t>.</w:t>
      </w:r>
    </w:p>
    <w:p>
      <w:pPr>
        <w:pStyle w:val="Normal"/>
      </w:pPr>
      <w:r>
        <w:t xml:space="preserve">Another frequently used element in RE patterns is </w:t>
      </w:r>
      <w:r>
        <w:rPr>
          <w:rStyle w:val="Text0"/>
        </w:rPr>
        <w:t>\b</w:t>
      </w:r>
      <w:r>
        <w:t xml:space="preserve">, which matches a word boundary. To match the word </w:t>
      </w:r>
      <w:r>
        <w:rPr>
          <w:rStyle w:val="Text0"/>
        </w:rPr>
        <w:t>'his'</w:t>
      </w:r>
      <w:r>
        <w:t xml:space="preserve"> only as a whole word and not its occurrences as a substring in such words as </w:t>
      </w:r>
      <w:r>
        <w:rPr>
          <w:rStyle w:val="Text0"/>
        </w:rPr>
        <w:t>'this'</w:t>
      </w:r>
      <w:r>
        <w:t xml:space="preserve"> and </w:t>
      </w:r>
      <w:r>
        <w:rPr>
          <w:rStyle w:val="Text0"/>
        </w:rPr>
        <w:t>'history'</w:t>
      </w:r>
      <w:r>
        <w:t>, the RE pattern is:</w:t>
      </w:r>
    </w:p>
    <w:p>
      <w:pPr>
        <w:pStyle w:val="Para 020"/>
      </w:pPr>
      <w:r>
        <w:rPr>
          <w:rStyle w:val="Text23"/>
        </w:rPr>
        <w:t xml:space="preserve"/>
        <w:br w:clear="none"/>
      </w:r>
      <w:r>
        <w:rPr>
          <w:rStyle w:val="Text6"/>
        </w:rPr>
        <w:t xml:space="preserve">r</w:t>
        <w:br w:clear="none"/>
      </w:r>
      <w:r>
        <w:t xml:space="preserve">'\bhis\b'</w:t>
        <w:br w:clear="none"/>
      </w:r>
    </w:p>
    <w:p>
      <w:pPr>
        <w:pStyle w:val="Normal"/>
      </w:pPr>
      <w:r>
        <w:t xml:space="preserve">with word boundaries both before and after. To match the beginning of any word starting with </w:t>
      </w:r>
      <w:r>
        <w:rPr>
          <w:rStyle w:val="Text0"/>
        </w:rPr>
        <w:t>'her'</w:t>
      </w:r>
      <w:r>
        <w:t xml:space="preserve">, such as </w:t>
      </w:r>
      <w:r>
        <w:rPr>
          <w:rStyle w:val="Text0"/>
        </w:rPr>
        <w:t>'her'</w:t>
      </w:r>
      <w:r>
        <w:t xml:space="preserve"> itself and </w:t>
      </w:r>
      <w:r>
        <w:rPr>
          <w:rStyle w:val="Text0"/>
        </w:rPr>
        <w:t>'hermetic'</w:t>
      </w:r>
      <w:r>
        <w:t xml:space="preserve">, but not words that just contain </w:t>
      </w:r>
      <w:r>
        <w:rPr>
          <w:rStyle w:val="Text0"/>
        </w:rPr>
        <w:t>'her'</w:t>
      </w:r>
      <w:r>
        <w:t xml:space="preserve"> elsewhere, such as </w:t>
      </w:r>
      <w:r>
        <w:rPr>
          <w:rStyle w:val="Text0"/>
        </w:rPr>
        <w:t>'ether'</w:t>
      </w:r>
      <w:r>
        <w:t xml:space="preserve"> or </w:t>
      </w:r>
      <w:r>
        <w:rPr>
          <w:rStyle w:val="Text0"/>
        </w:rPr>
        <w:t>'there'</w:t>
      </w:r>
      <w:r>
        <w:t>, use:</w:t>
      </w:r>
    </w:p>
    <w:p>
      <w:pPr>
        <w:pStyle w:val="Para 020"/>
      </w:pPr>
      <w:r>
        <w:rPr>
          <w:rStyle w:val="Text23"/>
        </w:rPr>
        <w:t xml:space="preserve"/>
        <w:br w:clear="none"/>
      </w:r>
      <w:r>
        <w:rPr>
          <w:rStyle w:val="Text6"/>
        </w:rPr>
        <w:t xml:space="preserve">r</w:t>
        <w:br w:clear="none"/>
      </w:r>
      <w:r>
        <w:t xml:space="preserve">'\bher'</w:t>
        <w:br w:clear="none"/>
      </w:r>
    </w:p>
    <w:p>
      <w:pPr>
        <w:pStyle w:val="Normal"/>
      </w:pPr>
      <w:r>
        <w:t xml:space="preserve">with a word boundary before, but not after, the relevant string. To match the end of any word ending with </w:t>
      </w:r>
      <w:r>
        <w:rPr>
          <w:rStyle w:val="Text0"/>
        </w:rPr>
        <w:t>'its'</w:t>
      </w:r>
      <w:r>
        <w:t xml:space="preserve">, such as </w:t>
      </w:r>
      <w:r>
        <w:rPr>
          <w:rStyle w:val="Text0"/>
        </w:rPr>
        <w:t>'its'</w:t>
      </w:r>
      <w:r>
        <w:t xml:space="preserve"> itself and </w:t>
      </w:r>
      <w:r>
        <w:rPr>
          <w:rStyle w:val="Text0"/>
        </w:rPr>
        <w:t>'fits'</w:t>
      </w:r>
      <w:r>
        <w:t xml:space="preserve">, but not words that contain </w:t>
      </w:r>
      <w:r>
        <w:rPr>
          <w:rStyle w:val="Text0"/>
        </w:rPr>
        <w:t>'its'</w:t>
      </w:r>
      <w:r>
        <w:t xml:space="preserve"> elsewhere, such as </w:t>
      </w:r>
      <w:r>
        <w:rPr>
          <w:rStyle w:val="Text0"/>
        </w:rPr>
        <w:t>'itsy'</w:t>
      </w:r>
      <w:r>
        <w:t xml:space="preserve"> or </w:t>
      </w:r>
      <w:r>
        <w:rPr>
          <w:rStyle w:val="Text0"/>
        </w:rPr>
        <w:t>'jujitsu'</w:t>
      </w:r>
      <w:r>
        <w:t>, use:</w:t>
      </w:r>
    </w:p>
    <w:p>
      <w:pPr>
        <w:pStyle w:val="Para 020"/>
      </w:pPr>
      <w:r>
        <w:rPr>
          <w:rStyle w:val="Text23"/>
        </w:rPr>
        <w:t xml:space="preserve"/>
        <w:br w:clear="none"/>
      </w:r>
      <w:r>
        <w:rPr>
          <w:rStyle w:val="Text6"/>
        </w:rPr>
        <w:t xml:space="preserve">r</w:t>
        <w:br w:clear="none"/>
      </w:r>
      <w:r>
        <w:t xml:space="preserve">'its\b'</w:t>
        <w:br w:clear="none"/>
      </w:r>
    </w:p>
    <w:p>
      <w:pPr>
        <w:pStyle w:val="Normal"/>
      </w:pPr>
      <w:r>
        <w:t xml:space="preserve">with a word boundary after, but not before, the relevant string. To match whole words thus constrained, rather than just their beginning or end, add a pattern element </w:t>
      </w:r>
      <w:r>
        <w:rPr>
          <w:rStyle w:val="Text0"/>
        </w:rPr>
        <w:t>\w*</w:t>
      </w:r>
      <w:r>
        <w:t xml:space="preserve"> to match zero or more word characters. To match any full word starting with </w:t>
      </w:r>
      <w:r>
        <w:rPr>
          <w:rStyle w:val="Text0"/>
        </w:rPr>
        <w:t>'her'</w:t>
      </w:r>
      <w:r>
        <w:t>, use:</w:t>
      </w:r>
    </w:p>
    <w:p>
      <w:pPr>
        <w:pStyle w:val="Para 020"/>
      </w:pPr>
      <w:r>
        <w:rPr>
          <w:rStyle w:val="Text23"/>
        </w:rPr>
        <w:t xml:space="preserve"/>
        <w:br w:clear="none"/>
      </w:r>
      <w:r>
        <w:rPr>
          <w:rStyle w:val="Text6"/>
        </w:rPr>
        <w:t xml:space="preserve">r</w:t>
        <w:br w:clear="none"/>
      </w:r>
      <w:r>
        <w:t xml:space="preserve">'\bher\w*'</w:t>
        <w:br w:clear="none"/>
      </w:r>
    </w:p>
    <w:p>
      <w:pPr>
        <w:pStyle w:val="Normal"/>
      </w:pPr>
      <w:r>
        <w:t xml:space="preserve">To match just the first three letters of any word starting with </w:t>
      </w:r>
      <w:r>
        <w:rPr>
          <w:rStyle w:val="Text0"/>
        </w:rPr>
        <w:t>'her'</w:t>
      </w:r>
      <w:r>
        <w:t xml:space="preserve">, but not the word </w:t>
      </w:r>
      <w:r>
        <w:rPr>
          <w:rStyle w:val="Text0"/>
        </w:rPr>
        <w:t>'her'</w:t>
      </w:r>
      <w:r>
        <w:t xml:space="preserve"> itself, use a negative word boundary </w:t>
      </w:r>
      <w:r>
        <w:rPr>
          <w:rStyle w:val="Text0"/>
        </w:rPr>
        <w:t>\B</w:t>
      </w:r>
      <w:r>
        <w:t>:</w:t>
      </w:r>
    </w:p>
    <w:p>
      <w:pPr>
        <w:pStyle w:val="Para 020"/>
      </w:pPr>
      <w:r>
        <w:rPr>
          <w:rStyle w:val="Text23"/>
        </w:rPr>
        <w:t xml:space="preserve"/>
        <w:br w:clear="none"/>
      </w:r>
      <w:r>
        <w:rPr>
          <w:rStyle w:val="Text6"/>
        </w:rPr>
        <w:t xml:space="preserve">r</w:t>
        <w:br w:clear="none"/>
      </w:r>
      <w:r>
        <w:t xml:space="preserve">'\bher\B'</w:t>
        <w:br w:clear="none"/>
      </w:r>
    </w:p>
    <w:p>
      <w:pPr>
        <w:pStyle w:val="Normal"/>
      </w:pPr>
      <w:r>
        <w:t xml:space="preserve">To match any full word ending with </w:t>
      </w:r>
      <w:r>
        <w:rPr>
          <w:rStyle w:val="Text0"/>
        </w:rPr>
        <w:t>'its'</w:t>
      </w:r>
      <w:r>
        <w:t xml:space="preserve">, including </w:t>
      </w:r>
      <w:r>
        <w:rPr>
          <w:rStyle w:val="Text0"/>
        </w:rPr>
        <w:t>'its'</w:t>
      </w:r>
      <w:r>
        <w:t xml:space="preserve"> itself, use:</w:t>
      </w:r>
    </w:p>
    <w:p>
      <w:pPr>
        <w:pStyle w:val="Para 020"/>
      </w:pPr>
      <w:r>
        <w:rPr>
          <w:rStyle w:val="Text23"/>
        </w:rPr>
        <w:t xml:space="preserve"/>
        <w:br w:clear="none"/>
      </w:r>
      <w:r>
        <w:rPr>
          <w:rStyle w:val="Text6"/>
        </w:rPr>
        <w:t xml:space="preserve">r</w:t>
        <w:br w:clear="none"/>
      </w:r>
      <w:r>
        <w:t xml:space="preserve">'\w*its\b'</w:t>
        <w:br w:clear="none"/>
      </w:r>
    </w:p>
    <w:p>
      <w:bookmarkStart w:id="2427" w:name="Sets_of_Characters__You_denote_s"/>
      <w:pPr>
        <w:keepNext/>
        <w:pStyle w:val="Heading 2"/>
      </w:pPr>
      <w:r>
        <w:t>Sets of Characters</w:t>
      </w:r>
      <w:bookmarkEnd w:id="2427"/>
    </w:p>
    <w:p>
      <w:pPr>
        <w:pStyle w:val="Normal"/>
      </w:pPr>
      <w:r>
        <w:t>You</w:t>
      </w:r>
      <w:r>
        <w:rPr>
          <w:rStyle w:val="Text111"/>
        </w:rPr>
        <w:bookmarkStart w:id="2428" w:name="idm45965208696080"/>
        <w:t/>
        <w:bookmarkEnd w:id="2428"/>
        <w:bookmarkStart w:id="2429" w:name="idm45965208672064"/>
        <w:t/>
        <w:bookmarkEnd w:id="2429"/>
      </w:r>
      <w:r>
        <w:t xml:space="preserve"> denote sets of characters in a pattern by listing the characters within brackets (</w:t>
      </w:r>
      <w:r>
        <w:rPr>
          <w:rStyle w:val="Text0"/>
        </w:rPr>
        <w:t>[]</w:t>
      </w:r>
      <w:r>
        <w:t>). In addition to listing characters, you can denote a range by giving the first and last characters of the range separated by a hyphen (</w:t>
      </w:r>
      <w:r>
        <w:rPr>
          <w:rStyle w:val="Text0"/>
        </w:rPr>
        <w:t>-</w:t>
      </w:r>
      <w:r>
        <w:t xml:space="preserve">). The last character of the range is included in the set, differently from other Python ranges. Within a set, special characters stand for themselves, except </w:t>
      </w:r>
      <w:r>
        <w:rPr>
          <w:rStyle w:val="Text0"/>
        </w:rPr>
        <w:t>\</w:t>
      </w:r>
      <w:r>
        <w:t xml:space="preserve">, </w:t>
      </w:r>
      <w:r>
        <w:rPr>
          <w:rStyle w:val="Text0"/>
        </w:rPr>
        <w:t>]</w:t>
      </w:r>
      <w:r>
        <w:t xml:space="preserve">, and </w:t>
      </w:r>
      <w:r>
        <w:rPr>
          <w:rStyle w:val="Text0"/>
        </w:rPr>
        <w:t>-</w:t>
      </w:r>
      <w:r>
        <w:t xml:space="preserve">, which you must escape (by preceding them with a backslash) when their position is such that, if not escaped, they would form part of the set’s syntax. You can denote a class of characters within a set by escaped-letter notation, such as </w:t>
      </w:r>
      <w:r>
        <w:rPr>
          <w:rStyle w:val="Text0"/>
        </w:rPr>
        <w:t>\d</w:t>
      </w:r>
      <w:r>
        <w:t xml:space="preserve"> or </w:t>
      </w:r>
      <w:r>
        <w:rPr>
          <w:rStyle w:val="Text0"/>
        </w:rPr>
        <w:t>\S</w:t>
      </w:r>
      <w:r>
        <w:t xml:space="preserve">. </w:t>
      </w:r>
      <w:r>
        <w:rPr>
          <w:rStyle w:val="Text0"/>
        </w:rPr>
        <w:t>\b</w:t>
      </w:r>
      <w:r>
        <w:t xml:space="preserve"> in a set means a backspace character (</w:t>
      </w:r>
      <w:r>
        <w:rPr>
          <w:rStyle w:val="Text0"/>
        </w:rPr>
        <w:t>chr(8)</w:t>
      </w:r>
      <w:r>
        <w:t xml:space="preserve">), not a word boundary. If the first character in the set’s pattern, right after the </w:t>
      </w:r>
      <w:r>
        <w:rPr>
          <w:rStyle w:val="Text0"/>
        </w:rPr>
        <w:t>[</w:t>
      </w:r>
      <w:r>
        <w:t>, is a caret (</w:t>
      </w:r>
      <w:r>
        <w:rPr>
          <w:rStyle w:val="Text0"/>
        </w:rPr>
        <w:t>^</w:t>
      </w:r>
      <w:r>
        <w:t xml:space="preserve">), the set is </w:t>
      </w:r>
      <w:r>
        <w:rPr>
          <w:rStyle w:val="Text4"/>
        </w:rPr>
        <w:t>complemented</w:t>
      </w:r>
      <w:r>
        <w:t xml:space="preserve">: such a set matches any character </w:t>
      </w:r>
      <w:r>
        <w:rPr>
          <w:rStyle w:val="Text4"/>
        </w:rPr>
        <w:t>except</w:t>
      </w:r>
      <w:r>
        <w:t xml:space="preserve"> those that follow </w:t>
      </w:r>
      <w:r>
        <w:rPr>
          <w:rStyle w:val="Text0"/>
        </w:rPr>
        <w:t>^</w:t>
      </w:r>
      <w:r>
        <w:t xml:space="preserve"> in the set pattern notation.</w:t>
      </w:r>
    </w:p>
    <w:p>
      <w:pPr>
        <w:pStyle w:val="Normal"/>
      </w:pPr>
      <w:r>
        <w:t xml:space="preserve">A frequent use of character sets is to match a “word,” using a definition of which characters can make up a word that differs from </w:t>
      </w:r>
      <w:r>
        <w:rPr>
          <w:rStyle w:val="Text0"/>
        </w:rPr>
        <w:t>\w</w:t>
      </w:r>
      <w:r>
        <w:t xml:space="preserve">’s default (letters and digits). To match a word of one or more characters, each of which can be an ASCII letter, an apostrophe, or a hyphen, but not a digit (e.g., </w:t>
      </w:r>
      <w:r>
        <w:rPr>
          <w:rStyle w:val="Text0"/>
        </w:rPr>
        <w:t>"Finnegan-O'Hara"</w:t>
      </w:r>
      <w:r>
        <w:t>), use:</w:t>
      </w:r>
    </w:p>
    <w:p>
      <w:pPr>
        <w:pStyle w:val="Para 020"/>
      </w:pPr>
      <w:r>
        <w:rPr>
          <w:rStyle w:val="Text23"/>
        </w:rPr>
        <w:t xml:space="preserve"/>
        <w:br w:clear="none"/>
      </w:r>
      <w:r>
        <w:rPr>
          <w:rStyle w:val="Text6"/>
        </w:rPr>
        <w:t xml:space="preserve">r</w:t>
        <w:br w:clear="none"/>
      </w:r>
      <w:r>
        <w:t xml:space="preserve">"[a-zA-Z'\-]+"</w:t>
        <w:br w:clear="none"/>
      </w:r>
    </w:p>
    <w:p>
      <w:pPr>
        <w:keepNext/>
        <w:pStyle w:val="Heading 5"/>
        <w:keepLines w:val="on"/>
      </w:pPr>
      <w:r>
        <w:t>Always Escape Hyphens in Character Sets</w:t>
      </w:r>
    </w:p>
    <w:p>
      <w:pPr>
        <w:pStyle w:val="Para 012"/>
        <w:keepLines w:val="on"/>
      </w:pPr>
      <w:r>
        <w:t xml:space="preserve">It’s not strictly necessary to escape the hyphen with a backslash in this case, since its position at the end of the set makes the situation syntactically unambiguous. However, using the backslash is advisable because it makes the pattern more readable, by visually distinguishing the hyphen that you want to have as a character in the set from those used to denote ranges. (When you want to include a backslash in the character set, of course, you denote that by escaping the backslash itself: write it as </w:t>
      </w:r>
      <w:r>
        <w:rPr>
          <w:rStyle w:val="Text0"/>
        </w:rPr>
        <w:t>\\</w:t>
      </w:r>
      <w:r>
        <w:t>.)</w:t>
      </w:r>
    </w:p>
    <w:p>
      <w:bookmarkStart w:id="2430" w:name="Alternatives__A_vertical_bar"/>
      <w:pPr>
        <w:keepNext/>
        <w:pStyle w:val="Heading 2"/>
      </w:pPr>
      <w:r>
        <w:t>Alternatives</w:t>
      </w:r>
      <w:bookmarkEnd w:id="2430"/>
    </w:p>
    <w:p>
      <w:pPr>
        <w:pStyle w:val="Normal"/>
      </w:pPr>
      <w:r>
        <w:t>A vertical bar (</w:t>
      </w:r>
      <w:r>
        <w:rPr>
          <w:rStyle w:val="Text0"/>
        </w:rPr>
        <w:t>|</w:t>
      </w:r>
      <w:r>
        <w:t xml:space="preserve">) in a regular expression pattern, used to specify alternatives, has low syntactic precedence. Unless parentheses change the grouping, </w:t>
      </w:r>
      <w:r>
        <w:rPr>
          <w:rStyle w:val="Text0"/>
        </w:rPr>
        <w:t>|</w:t>
      </w:r>
      <w:r>
        <w:t xml:space="preserve"> applies to the whole pattern on either side, up to the start or end of the pattern, or to another </w:t>
      </w:r>
      <w:r>
        <w:rPr>
          <w:rStyle w:val="Text0"/>
        </w:rPr>
        <w:t>|</w:t>
      </w:r>
      <w:r>
        <w:t xml:space="preserve">. A pattern can be made up of any number of subpatterns joined by </w:t>
      </w:r>
      <w:r>
        <w:rPr>
          <w:rStyle w:val="Text0"/>
        </w:rPr>
        <w:t>|</w:t>
      </w:r>
      <w:r>
        <w:t xml:space="preserve">. It is important to note that an RE of subpatterns joined by </w:t>
      </w:r>
      <w:r>
        <w:rPr>
          <w:rStyle w:val="Text0"/>
        </w:rPr>
        <w:t>|</w:t>
      </w:r>
      <w:r>
        <w:t xml:space="preserve"> will match the </w:t>
      </w:r>
      <w:r>
        <w:rPr>
          <w:rStyle w:val="Text4"/>
        </w:rPr>
        <w:t>first</w:t>
      </w:r>
      <w:r>
        <w:t xml:space="preserve"> matching subpattern, not the longest. A pattern like </w:t>
      </w:r>
      <w:r>
        <w:rPr>
          <w:rStyle w:val="Text0"/>
        </w:rPr>
        <w:t>r'ab|abc'</w:t>
      </w:r>
      <w:r>
        <w:t xml:space="preserve"> will never match </w:t>
      </w:r>
      <w:r>
        <w:rPr>
          <w:rStyle w:val="Text0"/>
        </w:rPr>
        <w:t>'abc'</w:t>
      </w:r>
      <w:r>
        <w:t xml:space="preserve"> because the </w:t>
      </w:r>
      <w:r>
        <w:rPr>
          <w:rStyle w:val="Text0"/>
        </w:rPr>
        <w:t>'ab'</w:t>
      </w:r>
      <w:r>
        <w:t xml:space="preserve"> match gets evaluated first.</w:t>
      </w:r>
    </w:p>
    <w:p>
      <w:pPr>
        <w:pStyle w:val="Normal"/>
      </w:pPr>
      <w:r>
        <w:t xml:space="preserve">Given a list </w:t>
      </w:r>
      <w:r>
        <w:rPr>
          <w:rStyle w:val="Text3"/>
        </w:rPr>
        <w:t>L</w:t>
      </w:r>
      <w:r>
        <w:t xml:space="preserve"> of words, an RE pattern that matches any one of the words is:</w:t>
      </w:r>
    </w:p>
    <w:p>
      <w:pPr>
        <w:pStyle w:val="Para 007"/>
      </w:pPr>
      <w:r>
        <w:rPr>
          <w:rStyle w:val="Text23"/>
        </w:rPr>
        <w:t xml:space="preserve"/>
        <w:br w:clear="none"/>
      </w:r>
      <w:r>
        <w:rPr>
          <w:rStyle w:val="Text8"/>
        </w:rPr>
        <w:t xml:space="preserve">'</w:t>
        <w:br w:clear="none"/>
        <w:t xml:space="preserve">|</w:t>
        <w:br w:clear="none"/>
        <w:t xml:space="preserve">'</w:t>
        <w:br w:clear="none"/>
      </w:r>
      <w:r>
        <w:rPr>
          <w:rStyle w:val="Text13"/>
        </w:rPr>
        <w:t xml:space="preserve">.</w:t>
        <w:br w:clear="none"/>
      </w:r>
      <w:r>
        <w:t xml:space="preserve">join</w:t>
        <w:br w:clear="none"/>
      </w:r>
      <w:r>
        <w:rPr>
          <w:rStyle w:val="Text7"/>
        </w:rPr>
        <w:t xml:space="preserve">(</w:t>
        <w:br w:clear="none"/>
      </w:r>
      <w:r>
        <w:rPr>
          <w:rStyle w:val="Text6"/>
        </w:rPr>
        <w:t xml:space="preserve">rf</w:t>
        <w:br w:clear="none"/>
      </w:r>
      <w:r>
        <w:rPr>
          <w:rStyle w:val="Text8"/>
        </w:rPr>
        <w:t xml:space="preserve">'</w:t>
        <w:br w:clear="none"/>
        <w:t xml:space="preserve">\</w:t>
        <w:br w:clear="none"/>
        <w:t xml:space="preserve">b</w:t>
        <w:br w:clear="none"/>
      </w:r>
      <w:r>
        <w:rPr>
          <w:rStyle w:val="Text32"/>
        </w:rPr>
        <w:t xml:space="preserve">{</w:t>
        <w:br w:clear="none"/>
      </w:r>
      <w:r>
        <w:t xml:space="preserve">word</w:t>
        <w:br w:clear="none"/>
      </w:r>
      <w:r>
        <w:rPr>
          <w:rStyle w:val="Text32"/>
        </w:rPr>
        <w:t xml:space="preserve">}</w:t>
        <w:br w:clear="none"/>
      </w:r>
      <w:r>
        <w:rPr>
          <w:rStyle w:val="Text8"/>
        </w:rPr>
        <w:t xml:space="preserve">\</w:t>
        <w:br w:clear="none"/>
        <w:t xml:space="preserve">b</w:t>
        <w:br w:clear="none"/>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L</w:t>
        <w:br w:clear="none"/>
      </w:r>
      <w:r>
        <w:rPr>
          <w:rStyle w:val="Text7"/>
        </w:rPr>
        <w:t xml:space="preserve">)</w:t>
        <w:br w:clear="none"/>
      </w:r>
    </w:p>
    <w:p>
      <w:pPr>
        <w:keepNext/>
        <w:pStyle w:val="Heading 5"/>
        <w:keepLines w:val="on"/>
      </w:pPr>
      <w:r>
        <w:t>Escaping Strings</w:t>
      </w:r>
    </w:p>
    <w:p>
      <w:pPr>
        <w:pStyle w:val="Para 012"/>
        <w:keepLines w:val="on"/>
      </w:pPr>
      <w:r>
        <w:t>If</w:t>
      </w:r>
      <w:r>
        <w:rPr>
          <w:rStyle w:val="Text111"/>
        </w:rPr>
        <w:bookmarkStart w:id="2431" w:name="idm45965208572336"/>
        <w:t/>
        <w:bookmarkEnd w:id="2431"/>
      </w:r>
      <w:r>
        <w:t xml:space="preserve"> the items of </w:t>
      </w:r>
      <w:r>
        <w:rPr>
          <w:rStyle w:val="Text3"/>
        </w:rPr>
        <w:t>L</w:t>
      </w:r>
      <w:r>
        <w:t xml:space="preserve"> can be more general strings, not just words, you need to </w:t>
      </w:r>
      <w:r>
        <w:rPr>
          <w:rStyle w:val="Text4"/>
        </w:rPr>
        <w:t>escape</w:t>
      </w:r>
      <w:r>
        <w:t xml:space="preserve"> each of them with the function </w:t>
      </w:r>
      <w:r>
        <w:rPr>
          <w:rStyle w:val="Text0"/>
        </w:rPr>
        <w:t>re.escape</w:t>
      </w:r>
      <w:r>
        <w:t xml:space="preserve"> (covered in </w:t>
      </w:r>
      <w:hyperlink w:anchor="Table_10_6__Additional_re_functi">
        <w:r>
          <w:rPr>
            <w:rStyle w:val="Text1"/>
          </w:rPr>
          <w:t>Table 10-6</w:t>
        </w:r>
      </w:hyperlink>
      <w:r>
        <w:t xml:space="preserve">), and you may not want the </w:t>
      </w:r>
      <w:r>
        <w:rPr>
          <w:rStyle w:val="Text0"/>
        </w:rPr>
        <w:t>\b</w:t>
      </w:r>
      <w:r>
        <w:t xml:space="preserve"> word boundary markers on either side. In this case, you could use the following RE pattern (sorting the list in reverse order by length to avoid accidentally “masking” a longer word by a shorter one):</w:t>
      </w:r>
    </w:p>
    <w:p>
      <w:pPr>
        <w:pStyle w:val="Para 070"/>
        <w:keepLines w:val="on"/>
      </w:pPr>
      <w:r>
        <w:rPr>
          <w:rStyle w:val="Text23"/>
        </w:rPr>
        <w:t xml:space="preserve"/>
        <w:br w:clear="none"/>
      </w:r>
      <w:r>
        <w:rPr>
          <w:rStyle w:val="Text8"/>
        </w:rPr>
        <w:t xml:space="preserve">'</w:t>
        <w:br w:clear="none"/>
        <w:t xml:space="preserve">|</w:t>
        <w:br w:clear="none"/>
        <w:t xml:space="preserve">'</w:t>
        <w:br w:clear="none"/>
      </w:r>
      <w:r>
        <w:rPr>
          <w:rStyle w:val="Text13"/>
        </w:rPr>
        <w:t xml:space="preserve">.</w:t>
        <w:br w:clear="none"/>
      </w:r>
      <w:r>
        <w:t xml:space="preserve">join</w:t>
        <w:br w:clear="none"/>
      </w:r>
      <w:r>
        <w:rPr>
          <w:rStyle w:val="Text7"/>
        </w:rPr>
        <w:t xml:space="preserve">(</w:t>
        <w:br w:clear="none"/>
      </w:r>
      <w:r>
        <w:t xml:space="preserve">re</w:t>
        <w:br w:clear="none"/>
      </w:r>
      <w:r>
        <w:rPr>
          <w:rStyle w:val="Text13"/>
        </w:rPr>
        <w:t xml:space="preserve">.</w:t>
        <w:br w:clear="none"/>
      </w:r>
      <w:r>
        <w:t xml:space="preserve">escape</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sorted</w:t>
        <w:br w:clear="none"/>
      </w:r>
      <w:r>
        <w:rPr>
          <w:rStyle w:val="Text7"/>
        </w:rPr>
        <w:t xml:space="preserve">(</w:t>
        <w:br w:clear="none"/>
      </w:r>
      <w:r>
        <w:rPr>
          <w:rStyle w:val="Text6"/>
        </w:rPr>
        <w:t xml:space="preserve"/>
        <w:br w:clear="none"/>
        <w:t xml:space="preserve">         </w:t>
        <w:br w:clear="none"/>
      </w:r>
      <w:r>
        <w:t xml:space="preserve">L</w:t>
        <w:br w:clear="none"/>
      </w:r>
      <w:r>
        <w:rPr>
          <w:rStyle w:val="Text7"/>
        </w:rPr>
        <w:t xml:space="preserve">,</w:t>
        <w:br w:clear="none"/>
      </w:r>
      <w:r>
        <w:rPr>
          <w:rStyle w:val="Text6"/>
        </w:rPr>
        <w:t xml:space="preserve"> </w:t>
        <w:br w:clear="none"/>
      </w:r>
      <w:r>
        <w:t xml:space="preserve">key</w:t>
        <w:br w:clear="none"/>
      </w:r>
      <w:r>
        <w:rPr>
          <w:rStyle w:val="Text13"/>
        </w:rPr>
        <w:t xml:space="preserve">=</w:t>
        <w:br w:clear="none"/>
      </w:r>
      <w:r>
        <w:rPr>
          <w:rStyle w:val="Text16"/>
        </w:rPr>
        <w:t xml:space="preserve">len</w:t>
        <w:br w:clear="none"/>
      </w:r>
      <w:r>
        <w:rPr>
          <w:rStyle w:val="Text7"/>
        </w:rPr>
        <w:t xml:space="preserve">,</w:t>
        <w:br w:clear="none"/>
      </w:r>
      <w:r>
        <w:rPr>
          <w:rStyle w:val="Text6"/>
        </w:rPr>
        <w:t xml:space="preserve"> </w:t>
        <w:br w:clear="none"/>
      </w:r>
      <w:r>
        <w:t xml:space="preserve">reverse</w:t>
        <w:br w:clear="none"/>
      </w:r>
      <w:r>
        <w:rPr>
          <w:rStyle w:val="Text13"/>
        </w:rPr>
        <w:t xml:space="preserve">=</w:t>
        <w:br w:clear="none"/>
      </w:r>
      <w:r>
        <w:rPr>
          <w:rStyle w:val="Text10"/>
        </w:rPr>
        <w:t xml:space="preserve">True</w:t>
        <w:br w:clear="none"/>
      </w:r>
      <w:r>
        <w:rPr>
          <w:rStyle w:val="Text7"/>
        </w:rPr>
        <w:t xml:space="preserve">)</w:t>
        <w:br w:clear="none"/>
        <w:t xml:space="preserve">)</w:t>
        <w:br w:clear="none"/>
      </w:r>
    </w:p>
    <w:p>
      <w:bookmarkStart w:id="2432" w:name="Groups__A_regular_expression_can"/>
      <w:pPr>
        <w:keepNext/>
        <w:pStyle w:val="Heading 2"/>
      </w:pPr>
      <w:r>
        <w:t>Groups</w:t>
      </w:r>
      <w:bookmarkEnd w:id="2432"/>
    </w:p>
    <w:p>
      <w:pPr>
        <w:pStyle w:val="Normal"/>
      </w:pPr>
      <w:r>
        <w:t>A regular expression can contain any number of</w:t>
      </w:r>
      <w:r>
        <w:rPr>
          <w:rStyle w:val="Text111"/>
        </w:rPr>
        <w:bookmarkStart w:id="2433" w:name="idm45965208513168"/>
        <w:t/>
        <w:bookmarkEnd w:id="2433"/>
      </w:r>
      <w:r>
        <w:t xml:space="preserve"> </w:t>
      </w:r>
      <w:r>
        <w:rPr>
          <w:rStyle w:val="Text4"/>
        </w:rPr>
        <w:t>groups</w:t>
      </w:r>
      <w:r>
        <w:t xml:space="preserve">, from none to 99 (or even more, but only the first 99 groups are fully supported). Parentheses in a pattern string indicate a group. The element </w:t>
      </w:r>
      <w:r>
        <w:rPr>
          <w:rStyle w:val="Text0"/>
        </w:rPr>
        <w:t>(?P&lt;</w:t>
      </w:r>
      <w:r>
        <w:rPr>
          <w:rStyle w:val="Text3"/>
        </w:rPr>
        <w:t>id</w:t>
      </w:r>
      <w:r>
        <w:rPr>
          <w:rStyle w:val="Text0"/>
        </w:rPr>
        <w:t>&gt;...)</w:t>
      </w:r>
      <w:r>
        <w:t xml:space="preserve"> also indicates a group and gives the group a name, </w:t>
      </w:r>
      <w:r>
        <w:rPr>
          <w:rStyle w:val="Text3"/>
        </w:rPr>
        <w:t>id</w:t>
      </w:r>
      <w:r>
        <w:t>, that can be any Python identifier. All groups, named and unnamed, are numbered, left to right, 1 to 99; “group 0” means the string that the whole RE matches.</w:t>
      </w:r>
    </w:p>
    <w:p>
      <w:pPr>
        <w:pStyle w:val="Normal"/>
      </w:pPr>
      <w:r>
        <w:t xml:space="preserve">For any match of the RE with a string, each group matches a substring (possibly an empty one). When the RE uses </w:t>
      </w:r>
      <w:r>
        <w:rPr>
          <w:rStyle w:val="Text0"/>
        </w:rPr>
        <w:t>|</w:t>
      </w:r>
      <w:r>
        <w:t xml:space="preserve">, some groups may not match any substring, although the RE as a whole does match the string. When a group doesn’t match any substring, we say that the group does not </w:t>
      </w:r>
      <w:r>
        <w:rPr>
          <w:rStyle w:val="Text4"/>
        </w:rPr>
        <w:t>participate</w:t>
      </w:r>
      <w:r>
        <w:t xml:space="preserve"> in the match. An empty string (</w:t>
      </w:r>
      <w:r>
        <w:rPr>
          <w:rStyle w:val="Text0"/>
        </w:rPr>
        <w:t>''</w:t>
      </w:r>
      <w:r>
        <w:t>) is used as the matching substring for any group that does not participate in a match, except where otherwise indicated later in this chapter. For example, this:</w:t>
      </w:r>
    </w:p>
    <w:p>
      <w:pPr>
        <w:pStyle w:val="Para 020"/>
      </w:pPr>
      <w:r>
        <w:rPr>
          <w:rStyle w:val="Text23"/>
        </w:rPr>
        <w:t xml:space="preserve"/>
        <w:br w:clear="none"/>
      </w:r>
      <w:r>
        <w:rPr>
          <w:rStyle w:val="Text6"/>
        </w:rPr>
        <w:t xml:space="preserve">r</w:t>
        <w:br w:clear="none"/>
      </w:r>
      <w:r>
        <w:t xml:space="preserve">'(.+)\1+\Z'</w:t>
        <w:br w:clear="none"/>
      </w:r>
    </w:p>
    <w:p>
      <w:pPr>
        <w:pStyle w:val="Normal"/>
      </w:pPr>
      <w:r>
        <w:t xml:space="preserve">matches a string made up of two or more repetitions of any nonempty substring. The </w:t>
      </w:r>
      <w:r>
        <w:rPr>
          <w:rStyle w:val="Text0"/>
        </w:rPr>
        <w:t>(.+)</w:t>
      </w:r>
      <w:r>
        <w:t xml:space="preserve"> part of the pattern matches any nonempty substring (any character, one or more times) and defines a group, thanks to the parentheses. The </w:t>
      </w:r>
      <w:r>
        <w:rPr>
          <w:rStyle w:val="Text0"/>
        </w:rPr>
        <w:t>\1+</w:t>
      </w:r>
      <w:r>
        <w:t xml:space="preserve"> part of the pattern matches one or more repetitions of the group, and </w:t>
      </w:r>
      <w:r>
        <w:rPr>
          <w:rStyle w:val="Text0"/>
        </w:rPr>
        <w:t>\Z</w:t>
      </w:r>
      <w:r>
        <w:t xml:space="preserve"> anchors the match to the end of the string.</w:t>
      </w:r>
      <w:r>
        <w:rPr>
          <w:rStyle w:val="Text111"/>
        </w:rPr>
        <w:bookmarkStart w:id="2434" w:name="idm45965208476928"/>
        <w:t/>
        <w:bookmarkEnd w:id="2434"/>
        <w:bookmarkStart w:id="2435" w:name="idm45965208475552"/>
        <w:t/>
        <w:bookmarkEnd w:id="2435"/>
        <w:bookmarkStart w:id="2436" w:name="idm45965208470224"/>
        <w:t/>
        <w:bookmarkEnd w:id="2436"/>
      </w:r>
    </w:p>
    <w:p>
      <w:bookmarkStart w:id="2437" w:name="Optional_Flags__The_optional_fla"/>
      <w:pPr>
        <w:keepNext/>
        <w:pStyle w:val="Heading 1"/>
      </w:pPr>
      <w:r>
        <w:t>Optional Flags</w:t>
      </w:r>
      <w:bookmarkEnd w:id="2437"/>
    </w:p>
    <w:p>
      <w:pPr>
        <w:pStyle w:val="Normal"/>
      </w:pPr>
      <w:r>
        <w:t>The</w:t>
      </w:r>
      <w:r>
        <w:rPr>
          <w:rStyle w:val="Text111"/>
        </w:rPr>
        <w:bookmarkStart w:id="2438" w:name="REflag10"/>
        <w:t/>
        <w:bookmarkEnd w:id="2438"/>
      </w:r>
      <w:r>
        <w:t xml:space="preserve"> optional </w:t>
      </w:r>
      <w:r>
        <w:rPr>
          <w:rStyle w:val="Text0"/>
        </w:rPr>
        <w:t>flags</w:t>
      </w:r>
      <w:r>
        <w:t xml:space="preserve"> argument to the function </w:t>
      </w:r>
      <w:r>
        <w:rPr>
          <w:rStyle w:val="Text0"/>
        </w:rPr>
        <w:t>compile</w:t>
      </w:r>
      <w:r>
        <w:t xml:space="preserve"> is a coded integer built by bitwise ORing (with Python’s bitwise OR operator, </w:t>
      </w:r>
      <w:r>
        <w:rPr>
          <w:rStyle w:val="Text0"/>
        </w:rPr>
        <w:t>|</w:t>
      </w:r>
      <w:r>
        <w:t xml:space="preserve">) one or more of the following attributes of the module </w:t>
      </w:r>
      <w:r>
        <w:rPr>
          <w:rStyle w:val="Text0"/>
        </w:rPr>
        <w:t>re</w:t>
      </w:r>
      <w:r>
        <w:t>. Each attribute has both a short name (one uppercase letter), for convenience, and a long name (an uppercase multiletter identifier), which is more readable and thus normally preferable:</w:t>
      </w:r>
    </w:p>
    <w:p>
      <w:pPr>
        <w:pStyle w:val="Para 030"/>
      </w:pPr>
      <w:r>
        <w:t>A</w:t>
      </w:r>
      <w:r>
        <w:rPr>
          <w:rStyle w:val="Text12"/>
        </w:rPr>
        <w:t xml:space="preserve"> </w:t>
      </w:r>
      <w:r>
        <w:rPr>
          <w:rStyle w:val="Text47"/>
        </w:rPr>
        <w:t>or</w:t>
      </w:r>
      <w:r>
        <w:rPr>
          <w:rStyle w:val="Text12"/>
        </w:rPr>
        <w:t xml:space="preserve"> </w:t>
      </w:r>
      <w:r>
        <w:t>ASCII</w:t>
      </w:r>
    </w:p>
    <w:p>
      <w:pPr>
        <w:pStyle w:val="Para 016"/>
      </w:pPr>
      <w:r>
        <w:t xml:space="preserve">Uses ASCII-only characters for </w:t>
      </w:r>
      <w:r>
        <w:rPr>
          <w:rStyle w:val="Text0"/>
        </w:rPr>
        <w:t>\w</w:t>
      </w:r>
      <w:r>
        <w:t xml:space="preserve">, </w:t>
      </w:r>
      <w:r>
        <w:rPr>
          <w:rStyle w:val="Text0"/>
        </w:rPr>
        <w:t>\W</w:t>
      </w:r>
      <w:r>
        <w:t xml:space="preserve">, </w:t>
      </w:r>
      <w:r>
        <w:rPr>
          <w:rStyle w:val="Text0"/>
        </w:rPr>
        <w:t>\b</w:t>
      </w:r>
      <w:r>
        <w:t xml:space="preserve">, </w:t>
      </w:r>
      <w:r>
        <w:rPr>
          <w:rStyle w:val="Text0"/>
        </w:rPr>
        <w:t>\B</w:t>
      </w:r>
      <w:r>
        <w:t xml:space="preserve">, </w:t>
      </w:r>
      <w:r>
        <w:rPr>
          <w:rStyle w:val="Text0"/>
        </w:rPr>
        <w:t>\d</w:t>
      </w:r>
      <w:r>
        <w:t xml:space="preserve">, and </w:t>
      </w:r>
      <w:r>
        <w:rPr>
          <w:rStyle w:val="Text0"/>
        </w:rPr>
        <w:t>\D</w:t>
      </w:r>
      <w:r>
        <w:t xml:space="preserve">; overrides the default </w:t>
      </w:r>
      <w:r>
        <w:rPr>
          <w:rStyle w:val="Text0"/>
        </w:rPr>
        <w:t>UNICODE</w:t>
      </w:r>
      <w:r>
        <w:t xml:space="preserve"> flag</w:t>
      </w:r>
    </w:p>
    <w:p>
      <w:pPr>
        <w:pStyle w:val="Para 030"/>
      </w:pPr>
      <w:r>
        <w:t>I</w:t>
      </w:r>
      <w:r>
        <w:rPr>
          <w:rStyle w:val="Text12"/>
        </w:rPr>
        <w:t xml:space="preserve"> </w:t>
      </w:r>
      <w:r>
        <w:rPr>
          <w:rStyle w:val="Text47"/>
        </w:rPr>
        <w:t>or</w:t>
      </w:r>
      <w:r>
        <w:rPr>
          <w:rStyle w:val="Text12"/>
        </w:rPr>
        <w:t xml:space="preserve"> </w:t>
      </w:r>
      <w:r>
        <w:t>IGNORECASE</w:t>
      </w:r>
    </w:p>
    <w:p>
      <w:pPr>
        <w:pStyle w:val="Para 016"/>
      </w:pPr>
      <w:r>
        <w:t>Makes matching case-insensitive</w:t>
      </w:r>
    </w:p>
    <w:p>
      <w:pPr>
        <w:pStyle w:val="Para 030"/>
      </w:pPr>
      <w:r>
        <w:t>L</w:t>
      </w:r>
      <w:r>
        <w:rPr>
          <w:rStyle w:val="Text12"/>
        </w:rPr>
        <w:t xml:space="preserve"> </w:t>
      </w:r>
      <w:r>
        <w:rPr>
          <w:rStyle w:val="Text47"/>
        </w:rPr>
        <w:t>or</w:t>
      </w:r>
      <w:r>
        <w:rPr>
          <w:rStyle w:val="Text12"/>
        </w:rPr>
        <w:t xml:space="preserve"> </w:t>
      </w:r>
      <w:r>
        <w:t>LOCALE</w:t>
      </w:r>
    </w:p>
    <w:p>
      <w:pPr>
        <w:pStyle w:val="Para 016"/>
      </w:pPr>
      <w:r>
        <w:t xml:space="preserve">Uses the Python </w:t>
      </w:r>
      <w:r>
        <w:rPr>
          <w:rStyle w:val="Text0"/>
        </w:rPr>
        <w:t>LOCALE</w:t>
      </w:r>
      <w:r>
        <w:t xml:space="preserve"> setting to determine characters for </w:t>
      </w:r>
      <w:r>
        <w:rPr>
          <w:rStyle w:val="Text0"/>
        </w:rPr>
        <w:t>\w</w:t>
      </w:r>
      <w:r>
        <w:t xml:space="preserve">, </w:t>
      </w:r>
      <w:r>
        <w:rPr>
          <w:rStyle w:val="Text0"/>
        </w:rPr>
        <w:t>\W</w:t>
      </w:r>
      <w:r>
        <w:t xml:space="preserve">, </w:t>
      </w:r>
      <w:r>
        <w:rPr>
          <w:rStyle w:val="Text0"/>
        </w:rPr>
        <w:t>\b</w:t>
      </w:r>
      <w:r>
        <w:t xml:space="preserve">, </w:t>
      </w:r>
      <w:r>
        <w:rPr>
          <w:rStyle w:val="Text0"/>
        </w:rPr>
        <w:t>\B</w:t>
      </w:r>
      <w:r>
        <w:t xml:space="preserve">, </w:t>
      </w:r>
      <w:r>
        <w:rPr>
          <w:rStyle w:val="Text0"/>
        </w:rPr>
        <w:t>\d</w:t>
      </w:r>
      <w:r>
        <w:t xml:space="preserve">, and </w:t>
      </w:r>
      <w:r>
        <w:rPr>
          <w:rStyle w:val="Text0"/>
        </w:rPr>
        <w:t>\D</w:t>
      </w:r>
      <w:r>
        <w:t xml:space="preserve"> markers; you can only use this option with </w:t>
      </w:r>
      <w:r>
        <w:rPr>
          <w:rStyle w:val="Text0"/>
        </w:rPr>
        <w:t>bytes</w:t>
      </w:r>
      <w:r>
        <w:t xml:space="preserve"> patterns</w:t>
      </w:r>
    </w:p>
    <w:p>
      <w:pPr>
        <w:pStyle w:val="Para 030"/>
      </w:pPr>
      <w:r>
        <w:t>M</w:t>
      </w:r>
      <w:r>
        <w:rPr>
          <w:rStyle w:val="Text12"/>
        </w:rPr>
        <w:t xml:space="preserve"> </w:t>
      </w:r>
      <w:r>
        <w:rPr>
          <w:rStyle w:val="Text47"/>
        </w:rPr>
        <w:t>or</w:t>
      </w:r>
      <w:r>
        <w:rPr>
          <w:rStyle w:val="Text12"/>
        </w:rPr>
        <w:t xml:space="preserve"> </w:t>
      </w:r>
      <w:r>
        <w:t>MULTILINE</w:t>
      </w:r>
    </w:p>
    <w:p>
      <w:pPr>
        <w:pStyle w:val="Para 016"/>
      </w:pPr>
      <w:r>
        <w:t xml:space="preserve">Makes the special characters </w:t>
      </w:r>
      <w:r>
        <w:rPr>
          <w:rStyle w:val="Text0"/>
        </w:rPr>
        <w:t>^</w:t>
      </w:r>
      <w:r>
        <w:t xml:space="preserve"> and </w:t>
      </w:r>
      <w:r>
        <w:rPr>
          <w:rStyle w:val="Text0"/>
        </w:rPr>
        <w:t>$</w:t>
      </w:r>
      <w:r>
        <w:t xml:space="preserve"> match at the start and end of each line (i.e., right after/before a newline), as well as at the start and end of the whole string (</w:t>
      </w:r>
      <w:r>
        <w:rPr>
          <w:rStyle w:val="Text0"/>
        </w:rPr>
        <w:t>\A</w:t>
      </w:r>
      <w:r>
        <w:t xml:space="preserve"> and </w:t>
      </w:r>
      <w:r>
        <w:rPr>
          <w:rStyle w:val="Text0"/>
        </w:rPr>
        <w:t>\Z</w:t>
      </w:r>
      <w:r>
        <w:t xml:space="preserve"> always match only the start and end of the whole string)</w:t>
      </w:r>
    </w:p>
    <w:p>
      <w:pPr>
        <w:pStyle w:val="Para 030"/>
      </w:pPr>
      <w:r>
        <w:t>S</w:t>
      </w:r>
      <w:r>
        <w:rPr>
          <w:rStyle w:val="Text12"/>
        </w:rPr>
        <w:t xml:space="preserve"> </w:t>
      </w:r>
      <w:r>
        <w:rPr>
          <w:rStyle w:val="Text47"/>
        </w:rPr>
        <w:t>or</w:t>
      </w:r>
      <w:r>
        <w:rPr>
          <w:rStyle w:val="Text12"/>
        </w:rPr>
        <w:t xml:space="preserve"> </w:t>
      </w:r>
      <w:r>
        <w:t>DOTALL</w:t>
      </w:r>
    </w:p>
    <w:p>
      <w:pPr>
        <w:pStyle w:val="Para 016"/>
      </w:pPr>
      <w:r>
        <w:t xml:space="preserve">Causes the special character </w:t>
      </w:r>
      <w:r>
        <w:rPr>
          <w:rStyle w:val="Text0"/>
        </w:rPr>
        <w:t>.</w:t>
      </w:r>
      <w:r>
        <w:t xml:space="preserve"> to match any character, including a newline</w:t>
      </w:r>
    </w:p>
    <w:p>
      <w:pPr>
        <w:pStyle w:val="Para 030"/>
      </w:pPr>
      <w:r>
        <w:t>U</w:t>
      </w:r>
      <w:r>
        <w:rPr>
          <w:rStyle w:val="Text12"/>
        </w:rPr>
        <w:t xml:space="preserve"> </w:t>
      </w:r>
      <w:r>
        <w:rPr>
          <w:rStyle w:val="Text47"/>
        </w:rPr>
        <w:t>or</w:t>
      </w:r>
      <w:r>
        <w:rPr>
          <w:rStyle w:val="Text12"/>
        </w:rPr>
        <w:t xml:space="preserve"> </w:t>
      </w:r>
      <w:r>
        <w:t>UNICODE</w:t>
      </w:r>
    </w:p>
    <w:p>
      <w:pPr>
        <w:pStyle w:val="Para 016"/>
      </w:pPr>
      <w:r>
        <w:t xml:space="preserve">Uses full Unicode to determine characters for </w:t>
      </w:r>
      <w:r>
        <w:rPr>
          <w:rStyle w:val="Text0"/>
        </w:rPr>
        <w:t>\w</w:t>
      </w:r>
      <w:r>
        <w:t xml:space="preserve">, </w:t>
      </w:r>
      <w:r>
        <w:rPr>
          <w:rStyle w:val="Text0"/>
        </w:rPr>
        <w:t>\W</w:t>
      </w:r>
      <w:r>
        <w:t xml:space="preserve">, </w:t>
      </w:r>
      <w:r>
        <w:rPr>
          <w:rStyle w:val="Text0"/>
        </w:rPr>
        <w:t>\b</w:t>
      </w:r>
      <w:r>
        <w:t xml:space="preserve">, </w:t>
      </w:r>
      <w:r>
        <w:rPr>
          <w:rStyle w:val="Text0"/>
        </w:rPr>
        <w:t>\B</w:t>
      </w:r>
      <w:r>
        <w:t xml:space="preserve">, </w:t>
      </w:r>
      <w:r>
        <w:rPr>
          <w:rStyle w:val="Text0"/>
        </w:rPr>
        <w:t>\d</w:t>
      </w:r>
      <w:r>
        <w:t xml:space="preserve">, and </w:t>
      </w:r>
      <w:r>
        <w:rPr>
          <w:rStyle w:val="Text0"/>
        </w:rPr>
        <w:t>\D</w:t>
      </w:r>
      <w:r>
        <w:t xml:space="preserve"> markers; although retained for backward compatibility, this flag is now the default</w:t>
      </w:r>
    </w:p>
    <w:p>
      <w:pPr>
        <w:pStyle w:val="Para 030"/>
      </w:pPr>
      <w:r>
        <w:t>X</w:t>
      </w:r>
      <w:r>
        <w:rPr>
          <w:rStyle w:val="Text12"/>
        </w:rPr>
        <w:t xml:space="preserve"> </w:t>
      </w:r>
      <w:r>
        <w:rPr>
          <w:rStyle w:val="Text47"/>
        </w:rPr>
        <w:t>or</w:t>
      </w:r>
      <w:r>
        <w:rPr>
          <w:rStyle w:val="Text12"/>
        </w:rPr>
        <w:t xml:space="preserve"> </w:t>
      </w:r>
      <w:r>
        <w:t>VERBOSE</w:t>
      </w:r>
    </w:p>
    <w:p>
      <w:pPr>
        <w:pStyle w:val="Para 016"/>
      </w:pPr>
      <w:r>
        <w:t xml:space="preserve">Causes whitespace in the pattern to be ignored, except when escaped or in a character set, and makes a nonescaped </w:t>
      </w:r>
      <w:r>
        <w:rPr>
          <w:rStyle w:val="Text0"/>
        </w:rPr>
        <w:t>#</w:t>
      </w:r>
      <w:r>
        <w:t xml:space="preserve"> character in the pattern begin a comment that lasts until the end of the line</w:t>
      </w:r>
    </w:p>
    <w:p>
      <w:pPr>
        <w:pStyle w:val="Normal"/>
      </w:pPr>
      <w:r>
        <w:t xml:space="preserve">Flags can also be specified by inserting a pattern element with one or more of the letters </w:t>
      </w:r>
      <w:r>
        <w:rPr>
          <w:rStyle w:val="Text0"/>
        </w:rPr>
        <w:t>aiLmsux</w:t>
      </w:r>
      <w:r>
        <w:t xml:space="preserve"> between </w:t>
      </w:r>
      <w:r>
        <w:rPr>
          <w:rStyle w:val="Text0"/>
        </w:rPr>
        <w:t>(?</w:t>
      </w:r>
      <w:r>
        <w:t xml:space="preserve"> and </w:t>
      </w:r>
      <w:r>
        <w:rPr>
          <w:rStyle w:val="Text0"/>
        </w:rPr>
        <w:t>)</w:t>
      </w:r>
      <w:r>
        <w:t xml:space="preserve">, rather than by the </w:t>
      </w:r>
      <w:r>
        <w:rPr>
          <w:rStyle w:val="Text0"/>
        </w:rPr>
        <w:t>flags</w:t>
      </w:r>
      <w:r>
        <w:t xml:space="preserve"> argument to the </w:t>
      </w:r>
      <w:r>
        <w:rPr>
          <w:rStyle w:val="Text0"/>
        </w:rPr>
        <w:t>compile</w:t>
      </w:r>
      <w:r>
        <w:t xml:space="preserve"> function of the </w:t>
      </w:r>
      <w:r>
        <w:rPr>
          <w:rStyle w:val="Text0"/>
        </w:rPr>
        <w:t>re</w:t>
      </w:r>
      <w:r>
        <w:t xml:space="preserve"> module (the letters correspond to the uppercase flags given in the preceding list). Options should always be placed at the start of the pattern; not doing this produces a deprecation warning. In particular, placement at the start is mandatory if </w:t>
      </w:r>
      <w:r>
        <w:rPr>
          <w:rStyle w:val="Text0"/>
        </w:rPr>
        <w:t>x</w:t>
      </w:r>
      <w:r>
        <w:t xml:space="preserve"> (the inline flag character for verbose RE parsing) is among the options, since </w:t>
      </w:r>
      <w:r>
        <w:rPr>
          <w:rStyle w:val="Text0"/>
        </w:rPr>
        <w:t>x</w:t>
      </w:r>
      <w:r>
        <w:t xml:space="preserve"> changes the way Python parses the pattern. Options apply to the whole RE, except that the </w:t>
      </w:r>
      <w:r>
        <w:rPr>
          <w:rStyle w:val="Text0"/>
        </w:rPr>
        <w:t>aLu</w:t>
      </w:r>
      <w:r>
        <w:t xml:space="preserve"> options can be applied locally within a group.</w:t>
      </w:r>
    </w:p>
    <w:p>
      <w:pPr>
        <w:pStyle w:val="Normal"/>
      </w:pPr>
      <w:r>
        <w:t xml:space="preserve">Using the explicit </w:t>
      </w:r>
      <w:r>
        <w:rPr>
          <w:rStyle w:val="Text0"/>
        </w:rPr>
        <w:t>flags</w:t>
      </w:r>
      <w:r>
        <w:t xml:space="preserve"> argument is more readable than placing an options element within the pattern. For example, here are three ways to define equivalent REs with the </w:t>
      </w:r>
      <w:r>
        <w:rPr>
          <w:rStyle w:val="Text0"/>
        </w:rPr>
        <w:t>compile</w:t>
      </w:r>
      <w:r>
        <w:t xml:space="preserve"> function. Each of these REs matches the word “hello” in any mix of upper- and lowercase letters: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r1</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(?i)hello</w:t>
        <w:br w:clear="none"/>
        <w:t xml:space="preserve">'</w:t>
        <w:br w:clear="none"/>
      </w:r>
      <w:r>
        <w:rPr>
          <w:rStyle w:val="Text7"/>
        </w:rPr>
        <w:t xml:space="preserve">)</w:t>
        <w:br w:clear="none"/>
      </w:r>
      <w:r>
        <w:rPr>
          <w:rStyle w:val="Text6"/>
        </w:rPr>
        <w:t xml:space="preserve"/>
        <w:br w:clear="none"/>
      </w:r>
      <w:r>
        <w:t xml:space="preserve">r2</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w:t>
        <w:br w:clear="none"/>
      </w:r>
      <w:r>
        <w:rPr>
          <w:rStyle w:val="Text7"/>
        </w:rPr>
        <w:t xml:space="preserve">)</w:t>
        <w:br w:clear="none"/>
      </w:r>
      <w:r>
        <w:rPr>
          <w:rStyle w:val="Text6"/>
        </w:rPr>
        <w:t xml:space="preserve"/>
        <w:br w:clear="none"/>
      </w:r>
      <w:r>
        <w:t xml:space="preserve">r3</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IGNORECASE</w:t>
        <w:br w:clear="none"/>
      </w:r>
      <w:r>
        <w:rPr>
          <w:rStyle w:val="Text7"/>
        </w:rPr>
        <w:t xml:space="preserve">)</w:t>
        <w:br w:clear="none"/>
      </w:r>
    </w:p>
    <w:p>
      <w:pPr>
        <w:pStyle w:val="Normal"/>
      </w:pPr>
      <w:r>
        <w:t>The third approach is clearly the most readable, and thus the most maintainable, though slightly more verbose. The raw string form is not strictly necessary here, since the patterns do not include backslashes. However, using raw string literals does no harm, and we recommend you always use them for RE patterns to improve clarity and readability.</w:t>
      </w:r>
    </w:p>
    <w:p>
      <w:pPr>
        <w:pStyle w:val="Normal"/>
      </w:pPr>
      <w:r>
        <w:t xml:space="preserve">The option </w:t>
      </w:r>
      <w:r>
        <w:rPr>
          <w:rStyle w:val="Text0"/>
        </w:rPr>
        <w:t>re.VERBOSE</w:t>
      </w:r>
      <w:r>
        <w:t xml:space="preserve"> (or </w:t>
      </w:r>
      <w:r>
        <w:rPr>
          <w:rStyle w:val="Text0"/>
        </w:rPr>
        <w:t>re.X</w:t>
      </w:r>
      <w:r>
        <w:t>) lets you make patterns more readable and understandable through appropriate use of whitespace and comments. Complicated and verbose RE patterns are generally best represented by strings that take up more than one line, and therefore you normally want to use a triple-quoted raw string literal for such pattern strings. For example, to match a string representing an integer that may be in octal, hex, or decimal format, you could use use either of the following:</w:t>
      </w:r>
    </w:p>
    <w:p>
      <w:pPr>
        <w:pStyle w:val="Para 020"/>
      </w:pPr>
      <w:r>
        <w:rPr>
          <w:rStyle w:val="Text23"/>
        </w:rPr>
        <w:t xml:space="preserve"/>
        <w:br w:clear="none"/>
      </w:r>
      <w:r>
        <w:rPr>
          <w:rStyle w:val="Text9"/>
        </w:rPr>
        <w:t xml:space="preserve">repat_num1</w:t>
        <w:br w:clear="none"/>
      </w:r>
      <w:r>
        <w:rPr>
          <w:rStyle w:val="Text6"/>
        </w:rPr>
        <w:t xml:space="preserve"> </w:t>
        <w:br w:clear="none"/>
      </w:r>
      <w:r>
        <w:rPr>
          <w:rStyle w:val="Text13"/>
        </w:rPr>
        <w:t xml:space="preserve">=</w:t>
        <w:br w:clear="none"/>
      </w:r>
      <w:r>
        <w:rPr>
          <w:rStyle w:val="Text6"/>
        </w:rPr>
        <w:t xml:space="preserve"> </w:t>
        <w:br w:clear="none"/>
        <w:t xml:space="preserve">r</w:t>
        <w:br w:clear="none"/>
      </w:r>
      <w:r>
        <w:t xml:space="preserve">'</w:t>
        <w:br w:clear="none"/>
        <w:t xml:space="preserve">(0o[0-7]*|0x[</w:t>
        <w:br w:clear="none"/>
        <w:t xml:space="preserve">\</w:t>
        <w:br w:clear="none"/>
        <w:t xml:space="preserve">da-fA-F]+|[1-9]</w:t>
        <w:br w:clear="none"/>
        <w:t xml:space="preserve">\</w:t>
        <w:br w:clear="none"/>
        <w:t xml:space="preserve">d*)</w:t>
        <w:br w:clear="none"/>
        <w:t xml:space="preserve">\</w:t>
        <w:br w:clear="none"/>
        <w:t xml:space="preserve">Z</w:t>
        <w:br w:clear="none"/>
        <w:t xml:space="preserve">'</w:t>
        <w:br w:clear="none"/>
      </w:r>
      <w:r>
        <w:rPr>
          <w:rStyle w:val="Text6"/>
        </w:rPr>
        <w:t xml:space="preserve"/>
        <w:br w:clear="none"/>
      </w:r>
      <w:r>
        <w:rPr>
          <w:rStyle w:val="Text9"/>
        </w:rPr>
        <w:t xml:space="preserve">repat_num2</w:t>
        <w:br w:clear="none"/>
      </w:r>
      <w:r>
        <w:rPr>
          <w:rStyle w:val="Text6"/>
        </w:rPr>
        <w:t xml:space="preserve"> </w:t>
        <w:br w:clear="none"/>
      </w:r>
      <w:r>
        <w:rPr>
          <w:rStyle w:val="Text13"/>
        </w:rPr>
        <w:t xml:space="preserve">=</w:t>
        <w:br w:clear="none"/>
      </w:r>
      <w:r>
        <w:rPr>
          <w:rStyle w:val="Text6"/>
        </w:rPr>
        <w:t xml:space="preserve"> </w:t>
        <w:br w:clear="none"/>
        <w:t xml:space="preserve">r</w:t>
        <w:br w:clear="none"/>
      </w:r>
      <w:r>
        <w:t xml:space="preserve">'''</w:t>
        <w:br w:clear="none"/>
        <w:t xml:space="preserve">(?x)   </w:t>
        <w:br w:clear="none"/>
      </w:r>
      <w:r>
        <w:rPr>
          <w:rStyle w:val="Text4"/>
        </w:rPr>
        <w:t xml:space="preserve"># (re.VERBOSE) pattern matching int literals</w:t>
        <w:br w:clear="none"/>
      </w:r>
      <w:r>
        <w:t xml:space="preserve"/>
        <w:br w:clear="none"/>
        <w:t xml:space="preserve">              (  0o [0-7]*       </w:t>
        <w:br w:clear="none"/>
      </w:r>
      <w:r>
        <w:rPr>
          <w:rStyle w:val="Text4"/>
        </w:rPr>
        <w:t xml:space="preserve"># octal: leading 0o, 0+ octal digits</w:t>
        <w:br w:clear="none"/>
      </w:r>
      <w:r>
        <w:t xml:space="preserve"/>
        <w:br w:clear="none"/>
        <w:t xml:space="preserve">               | 0x [</w:t>
        <w:br w:clear="none"/>
        <w:t xml:space="preserve">\</w:t>
        <w:br w:clear="none"/>
        <w:t xml:space="preserve">da-fA-F]+  </w:t>
        <w:br w:clear="none"/>
      </w:r>
      <w:r>
        <w:rPr>
          <w:rStyle w:val="Text4"/>
        </w:rPr>
        <w:t xml:space="preserve"># hex: 0x, then 1+ hex digits</w:t>
        <w:br w:clear="none"/>
      </w:r>
      <w:r>
        <w:t xml:space="preserve"/>
        <w:br w:clear="none"/>
        <w:t xml:space="preserve">               | [1-9] </w:t>
        <w:br w:clear="none"/>
        <w:t xml:space="preserve">\</w:t>
        <w:br w:clear="none"/>
        <w:t xml:space="preserve">d*       </w:t>
        <w:br w:clear="none"/>
      </w:r>
      <w:r>
        <w:rPr>
          <w:rStyle w:val="Text4"/>
        </w:rPr>
        <w:t xml:space="preserve"># decimal: leading non-0, 0+ digits</w:t>
        <w:br w:clear="none"/>
      </w:r>
      <w:r>
        <w:t xml:space="preserve"/>
        <w:br w:clear="none"/>
        <w:t xml:space="preserve">              )</w:t>
        <w:br w:clear="none"/>
        <w:t xml:space="preserve">\</w:t>
        <w:br w:clear="none"/>
        <w:t xml:space="preserve">Z                </w:t>
        <w:br w:clear="none"/>
      </w:r>
      <w:r>
        <w:rPr>
          <w:rStyle w:val="Text4"/>
        </w:rPr>
        <w:t xml:space="preserve"># end of string</w:t>
        <w:br w:clear="none"/>
      </w:r>
      <w:r>
        <w:t xml:space="preserve"/>
        <w:br w:clear="none"/>
        <w:t xml:space="preserve">              </w:t>
        <w:br w:clear="none"/>
        <w:t xml:space="preserve">'''</w:t>
        <w:br w:clear="none"/>
      </w:r>
    </w:p>
    <w:p>
      <w:pPr>
        <w:pStyle w:val="Normal"/>
      </w:pPr>
      <w:r>
        <w:t>The two patterns defined in this example are equivalent, but the second one is made more readable and understandable by the comments and the free use of whitespace to visually group portions of the pattern in logical ways.</w:t>
      </w:r>
      <w:r>
        <w:rPr>
          <w:rStyle w:val="Text111"/>
        </w:rPr>
        <w:bookmarkStart w:id="2439" w:name="idm45965208276752"/>
        <w:t/>
        <w:bookmarkEnd w:id="2439"/>
      </w:r>
    </w:p>
    <w:p>
      <w:bookmarkStart w:id="2440" w:name="Match_Versus_Search__So_far__we"/>
      <w:pPr>
        <w:keepNext/>
        <w:pStyle w:val="Heading 1"/>
      </w:pPr>
      <w:r>
        <w:t>Match Versus Search</w:t>
      </w:r>
      <w:bookmarkEnd w:id="2440"/>
    </w:p>
    <w:p>
      <w:pPr>
        <w:pStyle w:val="Normal"/>
      </w:pPr>
      <w:r>
        <w:t>So</w:t>
      </w:r>
      <w:r>
        <w:rPr>
          <w:rStyle w:val="Text111"/>
        </w:rPr>
        <w:bookmarkStart w:id="2441" w:name="idm45965208285424"/>
        <w:t/>
        <w:bookmarkEnd w:id="2441"/>
      </w:r>
      <w:r>
        <w:t xml:space="preserve"> far, we’ve been using regular expressions to </w:t>
      </w:r>
      <w:r>
        <w:rPr>
          <w:rStyle w:val="Text4"/>
        </w:rPr>
        <w:t>match</w:t>
      </w:r>
      <w:r>
        <w:t xml:space="preserve"> strings. For example, the RE with pattern </w:t>
      </w:r>
      <w:r>
        <w:rPr>
          <w:rStyle w:val="Text0"/>
        </w:rPr>
        <w:t>r'box'</w:t>
      </w:r>
      <w:r>
        <w:t xml:space="preserve"> matches strings such as </w:t>
      </w:r>
      <w:r>
        <w:rPr>
          <w:rStyle w:val="Text0"/>
        </w:rPr>
        <w:t>'box'</w:t>
      </w:r>
      <w:r>
        <w:t xml:space="preserve"> and </w:t>
      </w:r>
      <w:r>
        <w:rPr>
          <w:rStyle w:val="Text0"/>
        </w:rPr>
        <w:t>'boxes'</w:t>
      </w:r>
      <w:r>
        <w:t xml:space="preserve">, but not </w:t>
      </w:r>
      <w:r>
        <w:rPr>
          <w:rStyle w:val="Text0"/>
        </w:rPr>
        <w:t>'inbox'</w:t>
      </w:r>
      <w:r>
        <w:t xml:space="preserve">. In other words, an RE </w:t>
      </w:r>
      <w:r>
        <w:rPr>
          <w:rStyle w:val="Text4"/>
        </w:rPr>
        <w:t>match</w:t>
      </w:r>
      <w:r>
        <w:t xml:space="preserve"> is implicitly anchored at the start of the target string, as if the RE’s pattern started with </w:t>
      </w:r>
      <w:r>
        <w:rPr>
          <w:rStyle w:val="Text0"/>
        </w:rPr>
        <w:t>\A</w:t>
      </w:r>
      <w:r>
        <w:t>.</w:t>
      </w:r>
    </w:p>
    <w:p>
      <w:pPr>
        <w:pStyle w:val="Normal"/>
      </w:pPr>
      <w:r>
        <w:t xml:space="preserve">Often you’ll be interested in locating possible matches for an RE anywhere in the string, without anchoring (e.g., find the </w:t>
      </w:r>
      <w:r>
        <w:rPr>
          <w:rStyle w:val="Text0"/>
        </w:rPr>
        <w:t>r'box'</w:t>
      </w:r>
      <w:r>
        <w:t xml:space="preserve"> match within such strings as </w:t>
      </w:r>
      <w:r>
        <w:rPr>
          <w:rStyle w:val="Text0"/>
        </w:rPr>
        <w:t>'inbox'</w:t>
      </w:r>
      <w:r>
        <w:t xml:space="preserve">, as well as in </w:t>
      </w:r>
      <w:r>
        <w:rPr>
          <w:rStyle w:val="Text0"/>
        </w:rPr>
        <w:t>'box'</w:t>
      </w:r>
      <w:r>
        <w:t xml:space="preserve"> and </w:t>
      </w:r>
      <w:r>
        <w:rPr>
          <w:rStyle w:val="Text0"/>
        </w:rPr>
        <w:t>'boxes'</w:t>
      </w:r>
      <w:r>
        <w:t xml:space="preserve">). In this case, the Python term for the operation is a </w:t>
      </w:r>
      <w:r>
        <w:rPr>
          <w:rStyle w:val="Text4"/>
        </w:rPr>
        <w:t>search</w:t>
      </w:r>
      <w:r>
        <w:t xml:space="preserve">, as opposed to a match. For such searches, use the </w:t>
      </w:r>
      <w:r>
        <w:rPr>
          <w:rStyle w:val="Text0"/>
        </w:rPr>
        <w:t>search</w:t>
      </w:r>
      <w:r>
        <w:t xml:space="preserve"> method of an RE object instead of the </w:t>
      </w:r>
      <w:r>
        <w:rPr>
          <w:rStyle w:val="Text0"/>
        </w:rPr>
        <w:t>match</w:t>
      </w:r>
      <w:r>
        <w:t xml:space="preserve"> method, which matches only from the beginning of the string. For example:</w:t>
      </w:r>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rPr>
          <w:rStyle w:val="Text9"/>
        </w:rPr>
        <w:t xml:space="preserve">r1</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compile</w:t>
        <w:br w:clear="none"/>
      </w:r>
      <w:r>
        <w:rPr>
          <w:rStyle w:val="Text7"/>
        </w:rPr>
        <w:t xml:space="preserve">(</w:t>
        <w:br w:clear="none"/>
      </w:r>
      <w:r>
        <w:rPr>
          <w:rStyle w:val="Text6"/>
        </w:rPr>
        <w:t xml:space="preserve">r</w:t>
        <w:br w:clear="none"/>
      </w:r>
      <w:r>
        <w:t xml:space="preserve">'</w:t>
        <w:br w:clear="none"/>
        <w:t xml:space="preserve">box</w:t>
        <w:br w:clear="none"/>
        <w:t xml:space="preserve">'</w:t>
        <w:br w:clear="none"/>
      </w:r>
      <w:r>
        <w:rPr>
          <w:rStyle w:val="Text7"/>
        </w:rPr>
        <w:t xml:space="preserve">)</w:t>
        <w:br w:clear="none"/>
      </w:r>
      <w:r>
        <w:rPr>
          <w:rStyle w:val="Text6"/>
        </w:rPr>
        <w:t xml:space="preserve"/>
        <w:br w:clear="none"/>
      </w:r>
      <w:r>
        <w:rPr>
          <w:rStyle w:val="Text10"/>
        </w:rPr>
        <w:t xml:space="preserve">if</w:t>
        <w:br w:clear="none"/>
      </w:r>
      <w:r>
        <w:rPr>
          <w:rStyle w:val="Text6"/>
        </w:rPr>
        <w:t xml:space="preserve"> </w:t>
        <w:br w:clear="none"/>
      </w:r>
      <w:r>
        <w:rPr>
          <w:rStyle w:val="Text9"/>
        </w:rPr>
        <w:t xml:space="preserve">r1</w:t>
        <w:br w:clear="none"/>
      </w:r>
      <w:r>
        <w:rPr>
          <w:rStyle w:val="Text13"/>
        </w:rPr>
        <w:t xml:space="preserve">.</w:t>
        <w:br w:clear="none"/>
      </w:r>
      <w:r>
        <w:rPr>
          <w:rStyle w:val="Text9"/>
        </w:rPr>
        <w:t xml:space="preserve">match</w:t>
        <w:br w:clear="none"/>
      </w:r>
      <w:r>
        <w:rPr>
          <w:rStyle w:val="Text7"/>
        </w:rPr>
        <w:t xml:space="preserve">(</w:t>
        <w:br w:clear="none"/>
      </w:r>
      <w:r>
        <w:t xml:space="preserve">'</w:t>
        <w:br w:clear="none"/>
        <w:t xml:space="preserve">inbox</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match succeeds</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match fails</w:t>
        <w:br w:clear="none"/>
        <w:t xml:space="preserve">'</w:t>
        <w:br w:clear="none"/>
      </w:r>
      <w:r>
        <w:rPr>
          <w:rStyle w:val="Text7"/>
        </w:rPr>
        <w:t xml:space="preserve">)</w:t>
        <w:br w:clear="none"/>
      </w:r>
      <w:r>
        <w:rPr>
          <w:rStyle w:val="Text6"/>
        </w:rPr>
        <w:t xml:space="preserve">          </w:t>
        <w:br w:clear="none"/>
      </w:r>
      <w:r>
        <w:rPr>
          <w:rStyle w:val="Text15"/>
        </w:rPr>
        <w:t xml:space="preserve"># prints: match fails</w:t>
        <w:br w:clear="none"/>
      </w:r>
      <w:r>
        <w:rPr>
          <w:rStyle w:val="Text6"/>
        </w:rPr>
        <w:t xml:space="preserve"/>
        <w:br w:clear="none"/>
        <w:t xml:space="preserve"/>
        <w:br w:clear="none"/>
      </w:r>
      <w:r>
        <w:rPr>
          <w:rStyle w:val="Text10"/>
        </w:rPr>
        <w:t xml:space="preserve">if</w:t>
        <w:br w:clear="none"/>
      </w:r>
      <w:r>
        <w:rPr>
          <w:rStyle w:val="Text6"/>
        </w:rPr>
        <w:t xml:space="preserve"> </w:t>
        <w:br w:clear="none"/>
      </w:r>
      <w:r>
        <w:rPr>
          <w:rStyle w:val="Text9"/>
        </w:rPr>
        <w:t xml:space="preserve">r1</w:t>
        <w:br w:clear="none"/>
      </w:r>
      <w:r>
        <w:rPr>
          <w:rStyle w:val="Text13"/>
        </w:rPr>
        <w:t xml:space="preserve">.</w:t>
        <w:br w:clear="none"/>
      </w:r>
      <w:r>
        <w:rPr>
          <w:rStyle w:val="Text9"/>
        </w:rPr>
        <w:t xml:space="preserve">search</w:t>
        <w:br w:clear="none"/>
      </w:r>
      <w:r>
        <w:rPr>
          <w:rStyle w:val="Text7"/>
        </w:rPr>
        <w:t xml:space="preserve">(</w:t>
        <w:br w:clear="none"/>
      </w:r>
      <w:r>
        <w:t xml:space="preserve">'</w:t>
        <w:br w:clear="none"/>
        <w:t xml:space="preserve">inbox</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search succeeds</w:t>
        <w:br w:clear="none"/>
        <w:t xml:space="preserve">'</w:t>
        <w:br w:clear="none"/>
      </w:r>
      <w:r>
        <w:rPr>
          <w:rStyle w:val="Text7"/>
        </w:rPr>
        <w:t xml:space="preserve">)</w:t>
        <w:br w:clear="none"/>
      </w:r>
      <w:r>
        <w:rPr>
          <w:rStyle w:val="Text6"/>
        </w:rPr>
        <w:t xml:space="preserve">      </w:t>
        <w:br w:clear="none"/>
      </w:r>
      <w:r>
        <w:rPr>
          <w:rStyle w:val="Text15"/>
        </w:rPr>
        <w:t xml:space="preserve"># prints: search succeeds</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search fails</w:t>
        <w:br w:clear="none"/>
        <w:t xml:space="preserve">'</w:t>
        <w:br w:clear="none"/>
      </w:r>
      <w:r>
        <w:rPr>
          <w:rStyle w:val="Text7"/>
        </w:rPr>
        <w:t xml:space="preserve">)</w:t>
        <w:br w:clear="none"/>
      </w:r>
    </w:p>
    <w:p>
      <w:pPr>
        <w:pStyle w:val="Normal"/>
      </w:pPr>
      <w:r>
        <w:t xml:space="preserve">If you want to check that the </w:t>
      </w:r>
      <w:r>
        <w:rPr>
          <w:rStyle w:val="Text4"/>
        </w:rPr>
        <w:t>whole</w:t>
      </w:r>
      <w:r>
        <w:t xml:space="preserve"> string matches, not just its beginning, you can instead use the method </w:t>
      </w:r>
      <w:r>
        <w:rPr>
          <w:rStyle w:val="Text0"/>
        </w:rPr>
        <w:t>fullmatch</w:t>
      </w:r>
      <w:r>
        <w:t xml:space="preserve">. All of these methods are covered in </w:t>
      </w:r>
      <w:hyperlink w:anchor="Table_10_3__Methods_of_RE_object">
        <w:r>
          <w:rPr>
            <w:rStyle w:val="Text1"/>
          </w:rPr>
          <w:t>Table 10-3</w:t>
        </w:r>
      </w:hyperlink>
      <w:r>
        <w:t>.</w:t>
      </w:r>
    </w:p>
    <w:p>
      <w:bookmarkStart w:id="2442" w:name="Anchoring_at_String_Start_and_En"/>
      <w:pPr>
        <w:keepNext/>
        <w:pStyle w:val="Heading 1"/>
      </w:pPr>
      <w:r>
        <w:t>Anchoring at String Start and End</w:t>
      </w:r>
      <w:bookmarkEnd w:id="2442"/>
    </w:p>
    <w:p>
      <w:pPr>
        <w:pStyle w:val="Normal"/>
      </w:pPr>
      <w:r>
        <w:rPr>
          <w:rStyle w:val="Text0"/>
        </w:rPr>
        <w:t>\A</w:t>
      </w:r>
      <w:r>
        <w:t xml:space="preserve"> and </w:t>
      </w:r>
      <w:r>
        <w:rPr>
          <w:rStyle w:val="Text0"/>
        </w:rPr>
        <w:t>\Z</w:t>
      </w:r>
      <w:r>
        <w:t xml:space="preserve"> are the</w:t>
      </w:r>
      <w:r>
        <w:rPr>
          <w:rStyle w:val="Text111"/>
        </w:rPr>
        <w:bookmarkStart w:id="2443" w:name="idm45965208173040"/>
        <w:t/>
        <w:bookmarkEnd w:id="2443"/>
        <w:bookmarkStart w:id="2444" w:name="idm45965208171696"/>
        <w:t/>
        <w:bookmarkEnd w:id="2444"/>
      </w:r>
      <w:r>
        <w:t xml:space="preserve"> pattern elements ensuring that a regular expression match is </w:t>
      </w:r>
      <w:r>
        <w:rPr>
          <w:rStyle w:val="Text4"/>
        </w:rPr>
        <w:t>anchored</w:t>
      </w:r>
      <w:r>
        <w:t xml:space="preserve"> at the string’s start or end. The elements </w:t>
      </w:r>
      <w:r>
        <w:rPr>
          <w:rStyle w:val="Text0"/>
        </w:rPr>
        <w:t>^</w:t>
      </w:r>
      <w:r>
        <w:t xml:space="preserve"> for start and </w:t>
      </w:r>
      <w:r>
        <w:rPr>
          <w:rStyle w:val="Text0"/>
        </w:rPr>
        <w:t>$</w:t>
      </w:r>
      <w:r>
        <w:t xml:space="preserve"> for end are also used in similar roles. For RE objects that are not flagged as </w:t>
      </w:r>
      <w:r>
        <w:rPr>
          <w:rStyle w:val="Text0"/>
        </w:rPr>
        <w:t>MULTILINE</w:t>
      </w:r>
      <w:r>
        <w:t xml:space="preserve">, </w:t>
      </w:r>
      <w:r>
        <w:rPr>
          <w:rStyle w:val="Text0"/>
        </w:rPr>
        <w:t>^</w:t>
      </w:r>
      <w:r>
        <w:t xml:space="preserve"> is the same as </w:t>
      </w:r>
      <w:r>
        <w:rPr>
          <w:rStyle w:val="Text0"/>
        </w:rPr>
        <w:t>\A</w:t>
      </w:r>
      <w:r>
        <w:t xml:space="preserve">, and </w:t>
      </w:r>
      <w:r>
        <w:rPr>
          <w:rStyle w:val="Text0"/>
        </w:rPr>
        <w:t>$</w:t>
      </w:r>
      <w:r>
        <w:t xml:space="preserve"> is the same as </w:t>
      </w:r>
      <w:r>
        <w:rPr>
          <w:rStyle w:val="Text0"/>
        </w:rPr>
        <w:t>\Z</w:t>
      </w:r>
      <w:r>
        <w:t xml:space="preserve">. For a multiline RE, however, </w:t>
      </w:r>
      <w:r>
        <w:rPr>
          <w:rStyle w:val="Text0"/>
        </w:rPr>
        <w:t>^</w:t>
      </w:r>
      <w:r>
        <w:t xml:space="preserve"> can anchor at the start of the string </w:t>
      </w:r>
      <w:r>
        <w:rPr>
          <w:rStyle w:val="Text4"/>
        </w:rPr>
        <w:t>or</w:t>
      </w:r>
      <w:r>
        <w:t xml:space="preserve"> the start of any line (where “lines” are determined based on </w:t>
      </w:r>
      <w:r>
        <w:rPr>
          <w:rStyle w:val="Text0"/>
        </w:rPr>
        <w:t>\n</w:t>
      </w:r>
      <w:r>
        <w:t xml:space="preserve"> separator characters). Similarly, with a multiline RE, </w:t>
      </w:r>
      <w:r>
        <w:rPr>
          <w:rStyle w:val="Text0"/>
        </w:rPr>
        <w:t>$</w:t>
      </w:r>
      <w:r>
        <w:t xml:space="preserve"> can anchor at the end of the string </w:t>
      </w:r>
      <w:r>
        <w:rPr>
          <w:rStyle w:val="Text4"/>
        </w:rPr>
        <w:t>or</w:t>
      </w:r>
      <w:r>
        <w:t xml:space="preserve"> the end of any line. </w:t>
      </w:r>
      <w:r>
        <w:rPr>
          <w:rStyle w:val="Text0"/>
        </w:rPr>
        <w:t>\A</w:t>
      </w:r>
      <w:r>
        <w:t xml:space="preserve"> and </w:t>
      </w:r>
      <w:r>
        <w:rPr>
          <w:rStyle w:val="Text0"/>
        </w:rPr>
        <w:t>\Z</w:t>
      </w:r>
      <w:r>
        <w:t xml:space="preserve"> always anchor exclusively at the start and end of the string, whether the RE object is multiline or not.</w:t>
      </w:r>
    </w:p>
    <w:p>
      <w:pPr>
        <w:pStyle w:val="Normal"/>
      </w:pPr>
      <w:r>
        <w:t>For example, here’s a way to check whether a file has any lines that end with digits:</w:t>
      </w:r>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rPr>
          <w:rStyle w:val="Text9"/>
        </w:rPr>
        <w:t xml:space="preserve">digatend</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compile</w:t>
        <w:br w:clear="none"/>
      </w:r>
      <w:r>
        <w:rPr>
          <w:rStyle w:val="Text7"/>
        </w:rPr>
        <w:t xml:space="preserve">(</w:t>
        <w:br w:clear="none"/>
      </w:r>
      <w:r>
        <w:rPr>
          <w:rStyle w:val="Text6"/>
        </w:rPr>
        <w:t xml:space="preserve">r</w:t>
        <w:br w:clear="none"/>
      </w:r>
      <w:r>
        <w:t xml:space="preserve">'</w:t>
        <w:br w:clear="none"/>
        <w:t xml:space="preserve">\</w:t>
        <w:br w:clear="none"/>
        <w:t xml:space="preserve">d$</w:t>
        <w:br w:clear="none"/>
        <w:t xml:space="preserve">'</w:t>
        <w:br w:clear="none"/>
      </w:r>
      <w:r>
        <w:rPr>
          <w:rStyle w:val="Text7"/>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MULTILINE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t xml:space="preserve">'</w:t>
        <w:br w:clear="none"/>
        <w:t xml:space="preserve">afile.txt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rPr>
          <w:rStyle w:val="Text9"/>
        </w:rPr>
        <w:t xml:space="preserve">f</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digatend</w:t>
        <w:br w:clear="none"/>
      </w:r>
      <w:r>
        <w:rPr>
          <w:rStyle w:val="Text13"/>
        </w:rPr>
        <w:t xml:space="preserve">.</w:t>
        <w:br w:clear="none"/>
      </w:r>
      <w:r>
        <w:rPr>
          <w:rStyle w:val="Text9"/>
        </w:rPr>
        <w:t xml:space="preserve">search</w:t>
        <w:br w:clear="none"/>
      </w:r>
      <w:r>
        <w:rPr>
          <w:rStyle w:val="Text7"/>
        </w:rPr>
        <w:t xml:space="preserve">(</w:t>
        <w:br w:clear="none"/>
      </w:r>
      <w:r>
        <w:rPr>
          <w:rStyle w:val="Text9"/>
        </w:rPr>
        <w:t xml:space="preserve">f</w:t>
        <w:br w:clear="none"/>
      </w:r>
      <w:r>
        <w:rPr>
          <w:rStyle w:val="Text13"/>
        </w:rPr>
        <w:t xml:space="preserve">.</w:t>
        <w:br w:clear="none"/>
      </w:r>
      <w:r>
        <w:rPr>
          <w:rStyle w:val="Text9"/>
        </w:rPr>
        <w:t xml:space="preserve">read</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some lines end with digits</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w:t>
        <w:br w:clear="none"/>
        <w:t xml:space="preserve">no line ends with digits</w:t>
        <w:br w:clear="none"/>
        <w:t xml:space="preserve">'</w:t>
        <w:br w:clear="none"/>
      </w:r>
      <w:r>
        <w:rPr>
          <w:rStyle w:val="Text7"/>
        </w:rPr>
        <w:t xml:space="preserve">)</w:t>
        <w:br w:clear="none"/>
      </w:r>
    </w:p>
    <w:p>
      <w:pPr>
        <w:pStyle w:val="Normal"/>
      </w:pPr>
      <w:r>
        <w:t xml:space="preserve">A pattern of </w:t>
      </w:r>
      <w:r>
        <w:rPr>
          <w:rStyle w:val="Text0"/>
        </w:rPr>
        <w:t>r'\d\n'</w:t>
      </w:r>
      <w:r>
        <w:t xml:space="preserve"> is almost equivalent, but in that case, the search fails if the very last character of the file is a digit not followed by an end-of-line character. With the preceding example, the search succeeds if a digit is at the very end of the file’s contents, as well as in the more usual case where a digit is followed by an end-of-line character.</w:t>
      </w:r>
    </w:p>
    <w:p>
      <w:bookmarkStart w:id="2445" w:name="Regular_Expression_Objects__Tabl"/>
      <w:pPr>
        <w:keepNext/>
        <w:pStyle w:val="Heading 1"/>
      </w:pPr>
      <w:r>
        <w:t>Regular Expression Objects</w:t>
      </w:r>
      <w:bookmarkEnd w:id="2445"/>
    </w:p>
    <w:p>
      <w:pPr>
        <w:pStyle w:val="Normal"/>
      </w:pPr>
      <w:hyperlink w:anchor="Table_10_2__Attributes_of_RE_obj">
        <w:r>
          <w:rPr>
            <w:rStyle w:val="Text1"/>
          </w:rPr>
          <w:t>Table 10-2</w:t>
        </w:r>
      </w:hyperlink>
      <w:r>
        <w:t xml:space="preserve"> covers</w:t>
      </w:r>
      <w:r>
        <w:rPr>
          <w:rStyle w:val="Text111"/>
        </w:rPr>
        <w:bookmarkStart w:id="2446" w:name="REobject10"/>
        <w:t/>
        <w:bookmarkEnd w:id="2446"/>
      </w:r>
      <w:r>
        <w:t xml:space="preserve"> the read-only attributes of a regular expression object </w:t>
      </w:r>
      <w:r>
        <w:rPr>
          <w:rStyle w:val="Text3"/>
        </w:rPr>
        <w:t>r</w:t>
      </w:r>
      <w:r>
        <w:t xml:space="preserve"> that detail how </w:t>
      </w:r>
      <w:r>
        <w:rPr>
          <w:rStyle w:val="Text3"/>
        </w:rPr>
        <w:t>r</w:t>
      </w:r>
      <w:r>
        <w:t xml:space="preserve"> was built (by the function </w:t>
      </w:r>
      <w:r>
        <w:rPr>
          <w:rStyle w:val="Text0"/>
        </w:rPr>
        <w:t>compile</w:t>
      </w:r>
      <w:r>
        <w:t xml:space="preserve"> of the module </w:t>
      </w:r>
      <w:r>
        <w:rPr>
          <w:rStyle w:val="Text0"/>
        </w:rPr>
        <w:t>re</w:t>
      </w:r>
      <w:r>
        <w:t xml:space="preserve">, covered in </w:t>
      </w:r>
      <w:hyperlink w:anchor="Table_10_6__Additional_re_functi">
        <w:r>
          <w:rPr>
            <w:rStyle w:val="Text1"/>
          </w:rPr>
          <w:t>Table 10-6</w:t>
        </w:r>
      </w:hyperlink>
      <w:r>
        <w:t>).</w:t>
      </w:r>
    </w:p>
    <w:tbl>
      <w:tblPr>
        <w:tblW w:type="auto" w:w="0"/>
      </w:tblPr>
      <w:tr>
        <w:tc>
          <w:tcPr>
            <w:tcW w:type="auto" w:w="0"/>
            <w:tcMar>
              <w:left w:type="dxa" w:w="200"/>
              <w:top w:type="dxa" w:w="200"/>
              <w:right w:type="dxa" w:w="200"/>
              <w:bottom w:type="dxa" w:w="200"/>
            </w:tcMar>
          </w:tcPr>
          <w:p>
            <w:bookmarkStart w:id="2447" w:name="Table_10_2__Attributes_of_RE_obj"/>
            <w:pPr>
              <w:pStyle w:val="Para 011"/>
            </w:pPr>
            <w:r>
              <w:rPr>
                <w:rStyle w:val="Text117"/>
              </w:rPr>
              <w:t/>
            </w:r>
            <w:r>
              <w:t xml:space="preserve">Table 10-2. </w:t>
              <w:t>Attributes of RE objects</w:t>
            </w:r>
            <w:bookmarkEnd w:id="2447"/>
          </w:p>
          <w:p>
            <w:pPr>
              <w:pStyle w:val="Para 001"/>
            </w:pPr>
            <w:r>
              <w:t>flags</w:t>
            </w:r>
          </w:p>
        </w:tc>
        <w:tc>
          <w:tcPr>
            <w:tcW w:type="auto" w:w="0"/>
            <w:tcMar>
              <w:left w:type="dxa" w:w="200"/>
              <w:top w:type="dxa" w:w="200"/>
              <w:right w:type="dxa" w:w="200"/>
              <w:bottom w:type="dxa" w:w="200"/>
            </w:tcMar>
          </w:tcPr>
          <w:p>
            <w:pPr>
              <w:pStyle w:val="Para 002"/>
            </w:pPr>
            <w:r>
              <w:t xml:space="preserve">The </w:t>
            </w:r>
            <w:r>
              <w:rPr>
                <w:rStyle w:val="Text0"/>
              </w:rPr>
              <w:t>flags</w:t>
            </w:r>
            <w:r>
              <w:t xml:space="preserve"> argument passed to </w:t>
            </w:r>
            <w:r>
              <w:rPr>
                <w:rStyle w:val="Text0"/>
              </w:rPr>
              <w:t>compile</w:t>
            </w:r>
            <w:r>
              <w:t xml:space="preserve">, or </w:t>
            </w:r>
            <w:r>
              <w:rPr>
                <w:rStyle w:val="Text0"/>
              </w:rPr>
              <w:t>re.UNICODE</w:t>
            </w:r>
            <w:r>
              <w:t xml:space="preserve"> when </w:t>
            </w:r>
            <w:r>
              <w:rPr>
                <w:rStyle w:val="Text0"/>
              </w:rPr>
              <w:t>flags</w:t>
            </w:r>
            <w:r>
              <w:t xml:space="preserve"> is omitted; also includes any flags specified in the pattern itself using a leading </w:t>
            </w:r>
            <w:r>
              <w:rPr>
                <w:rStyle w:val="Text0"/>
              </w:rPr>
              <w:t>(?...)</w:t>
            </w:r>
            <w:r>
              <w:t xml:space="preserve"> element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groupindex</w:t>
            </w:r>
          </w:p>
        </w:tc>
        <w:tc>
          <w:tcPr>
            <w:tcW w:type="auto" w:w="0"/>
            <w:shd w:val="clear" w:color="auto" w:fill="EEF2F6"/>
            <w:tcMar>
              <w:left w:type="dxa" w:w="200"/>
              <w:top w:type="dxa" w:w="200"/>
              <w:right w:type="dxa" w:w="200"/>
              <w:bottom w:type="dxa" w:w="200"/>
            </w:tcMar>
          </w:tcPr>
          <w:p>
            <w:pPr>
              <w:pStyle w:val="Para 002"/>
            </w:pPr>
            <w:r>
              <w:t xml:space="preserve">A dictionary whose keys are group names as defined by elements </w:t>
            </w:r>
            <w:r>
              <w:rPr>
                <w:rStyle w:val="Text0"/>
              </w:rPr>
              <w:t>(?P&lt;</w:t>
            </w:r>
            <w:r>
              <w:rPr>
                <w:rStyle w:val="Text3"/>
              </w:rPr>
              <w:t>id</w:t>
            </w:r>
            <w:r>
              <w:rPr>
                <w:rStyle w:val="Text0"/>
              </w:rPr>
              <w:t>&gt;...)</w:t>
            </w:r>
            <w:r>
              <w:t>; the corresponding values are the named groups’ numbers</w:t>
            </w:r>
          </w:p>
        </w:tc>
      </w:tr>
    </w:tbl>
    <w:tbl>
      <w:tblPr>
        <w:tblW w:type="auto" w:w="0"/>
      </w:tblPr>
      <w:tr>
        <w:tc>
          <w:tcPr>
            <w:tcW w:type="auto" w:w="0"/>
            <w:tcMar>
              <w:left w:type="dxa" w:w="200"/>
              <w:top w:type="dxa" w:w="200"/>
              <w:right w:type="dxa" w:w="200"/>
              <w:bottom w:type="dxa" w:w="200"/>
            </w:tcMar>
          </w:tcPr>
          <w:p>
            <w:pPr>
              <w:pStyle w:val="Para 001"/>
            </w:pPr>
            <w:r>
              <w:t>pattern</w:t>
            </w:r>
          </w:p>
        </w:tc>
        <w:tc>
          <w:tcPr>
            <w:tcW w:type="auto" w:w="0"/>
            <w:tcMar>
              <w:left w:type="dxa" w:w="200"/>
              <w:top w:type="dxa" w:w="200"/>
              <w:right w:type="dxa" w:w="200"/>
              <w:bottom w:type="dxa" w:w="200"/>
            </w:tcMar>
          </w:tcPr>
          <w:p>
            <w:pPr>
              <w:pStyle w:val="Para 002"/>
            </w:pPr>
            <w:r>
              <w:t xml:space="preserve">The pattern string from which </w:t>
            </w:r>
            <w:r>
              <w:rPr>
                <w:rStyle w:val="Text3"/>
              </w:rPr>
              <w:t>r</w:t>
            </w:r>
            <w:r>
              <w:t xml:space="preserve"> is compiled</w:t>
            </w:r>
          </w:p>
        </w:tc>
      </w:tr>
    </w:tbl>
    <w:p>
      <w:pPr>
        <w:pStyle w:val="Normal"/>
      </w:pPr>
      <w:r>
        <w:t>These attributes make it easy to retrieve from a compiled RE object its original pattern string and flags, so you never have to store those separately.</w:t>
      </w:r>
    </w:p>
    <w:p>
      <w:pPr>
        <w:pStyle w:val="Normal"/>
      </w:pPr>
      <w:r>
        <w:t xml:space="preserve">An RE object </w:t>
      </w:r>
      <w:r>
        <w:rPr>
          <w:rStyle w:val="Text3"/>
        </w:rPr>
        <w:t>r</w:t>
      </w:r>
      <w:r>
        <w:t xml:space="preserve"> also supplies methods to find matches for </w:t>
      </w:r>
      <w:r>
        <w:rPr>
          <w:rStyle w:val="Text3"/>
        </w:rPr>
        <w:t>r</w:t>
      </w:r>
      <w:r>
        <w:t xml:space="preserve"> in a string, as well as to perform substitutions on such matches (see </w:t>
      </w:r>
      <w:hyperlink w:anchor="Table_10_3__Methods_of_RE_object">
        <w:r>
          <w:rPr>
            <w:rStyle w:val="Text1"/>
          </w:rPr>
          <w:t>Table 10-3</w:t>
        </w:r>
      </w:hyperlink>
      <w:r>
        <w:t>). Matches are represented by special objects, covered in the following section.</w:t>
      </w:r>
    </w:p>
    <w:tbl>
      <w:tblPr>
        <w:tblW w:type="auto" w:w="0"/>
      </w:tblPr>
      <w:tr>
        <w:tc>
          <w:tcPr>
            <w:tcW w:type="auto" w:w="0"/>
            <w:tcMar>
              <w:left w:type="dxa" w:w="200"/>
              <w:top w:type="dxa" w:w="200"/>
              <w:right w:type="dxa" w:w="200"/>
              <w:bottom w:type="dxa" w:w="200"/>
            </w:tcMar>
          </w:tcPr>
          <w:p>
            <w:bookmarkStart w:id="2448" w:name="Table_10_3__Methods_of_RE_object"/>
            <w:pPr>
              <w:pStyle w:val="Para 011"/>
            </w:pPr>
            <w:r>
              <w:rPr>
                <w:rStyle w:val="Text117"/>
              </w:rPr>
              <w:t/>
            </w:r>
            <w:r>
              <w:t xml:space="preserve">Table 10-3. </w:t>
              <w:t>Methods of RE objects</w:t>
            </w:r>
            <w:bookmarkEnd w:id="2448"/>
          </w:p>
          <w:p>
            <w:pPr>
              <w:pStyle w:val="Para 001"/>
            </w:pPr>
            <w:r>
              <w:t>findall</w:t>
            </w:r>
          </w:p>
        </w:tc>
        <w:tc>
          <w:tcPr>
            <w:tcW w:type="auto" w:w="0"/>
            <w:tcMar>
              <w:left w:type="dxa" w:w="200"/>
              <w:top w:type="dxa" w:w="200"/>
              <w:right w:type="dxa" w:w="200"/>
              <w:bottom w:type="dxa" w:w="200"/>
            </w:tcMar>
          </w:tcPr>
          <w:p>
            <w:pPr>
              <w:pStyle w:val="Para 002"/>
            </w:pPr>
            <w:r>
              <w:rPr>
                <w:rStyle w:val="Text3"/>
              </w:rPr>
              <w:t>r</w:t>
            </w:r>
            <w:r>
              <w:rPr>
                <w:rStyle w:val="Text0"/>
              </w:rPr>
              <w:t>.findall(</w:t>
            </w:r>
            <w:r>
              <w:rPr>
                <w:rStyle w:val="Text3"/>
              </w:rPr>
              <w:t>s</w:t>
            </w:r>
            <w:r>
              <w:rPr>
                <w:rStyle w:val="Text0"/>
              </w:rPr>
              <w:t>)</w:t>
              <w:br w:clear="none"/>
            </w:r>
            <w:r>
              <w:t xml:space="preserve"> </w:t>
            </w:r>
            <w:r>
              <w:rPr>
                <w:rStyle w:val="Text0"/>
              </w:rPr>
              <w:t>When r has no groups,</w:t>
            </w:r>
            <w:r>
              <w:t xml:space="preserve"> </w:t>
            </w:r>
            <w:r>
              <w:rPr>
                <w:rStyle w:val="Text0"/>
              </w:rPr>
              <w:t>findall</w:t>
            </w:r>
            <w:r>
              <w:t xml:space="preserve"> returns a list of strings, each a substring of </w:t>
            </w:r>
            <w:r>
              <w:rPr>
                <w:rStyle w:val="Text3"/>
              </w:rPr>
              <w:t>s</w:t>
            </w:r>
            <w:r>
              <w:t xml:space="preserve"> that is a nonoverlapping match with </w:t>
            </w:r>
            <w:r>
              <w:rPr>
                <w:rStyle w:val="Text3"/>
              </w:rPr>
              <w:t>r</w:t>
            </w:r>
            <w:r>
              <w:t xml:space="preserve">. For example, to print out all words in a file, one per line: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reword</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w+</w:t>
              <w:br w:clear="none"/>
              <w:t xml:space="preserv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afile.txt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aword</w:t>
              <w:br w:clear="none"/>
            </w:r>
            <w:r>
              <w:rPr>
                <w:rStyle w:val="Text6"/>
              </w:rPr>
              <w:t xml:space="preserve"> </w:t>
              <w:br w:clear="none"/>
            </w:r>
            <w:r>
              <w:rPr>
                <w:rStyle w:val="Text31"/>
              </w:rPr>
              <w:t xml:space="preserve">in</w:t>
              <w:br w:clear="none"/>
            </w:r>
            <w:r>
              <w:rPr>
                <w:rStyle w:val="Text6"/>
              </w:rPr>
              <w:t xml:space="preserve"> </w:t>
              <w:br w:clear="none"/>
            </w:r>
            <w:r>
              <w:t xml:space="preserve">reword</w:t>
              <w:br w:clear="none"/>
            </w:r>
            <w:r>
              <w:rPr>
                <w:rStyle w:val="Text13"/>
              </w:rPr>
              <w:t xml:space="preserve">.</w:t>
              <w:br w:clear="none"/>
            </w:r>
            <w:r>
              <w:t xml:space="preserve">findall</w:t>
              <w:br w:clear="none"/>
            </w:r>
            <w:r>
              <w:rPr>
                <w:rStyle w:val="Text7"/>
              </w:rPr>
              <w:t xml:space="preserve">(</w:t>
              <w:br w:clear="none"/>
            </w:r>
            <w:r>
              <w:t xml:space="preserve">f</w:t>
              <w:br w:clear="none"/>
            </w:r>
            <w:r>
              <w:rPr>
                <w:rStyle w:val="Text13"/>
              </w:rPr>
              <w:t xml:space="preserve">.</w:t>
              <w:br w:clear="none"/>
            </w:r>
            <w:r>
              <w:t xml:space="preserve">read</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aword</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findall</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When </w:t>
            </w:r>
            <w:r>
              <w:rPr>
                <w:rStyle w:val="Text3"/>
              </w:rPr>
              <w:t>r</w:t>
            </w:r>
            <w:r>
              <w:t xml:space="preserve"> has exactly one group, </w:t>
            </w:r>
            <w:r>
              <w:rPr>
                <w:rStyle w:val="Text0"/>
              </w:rPr>
              <w:t>findall</w:t>
            </w:r>
            <w:r>
              <w:t xml:space="preserve"> also returns a list of strings, but each is the substring of </w:t>
            </w:r>
            <w:r>
              <w:rPr>
                <w:rStyle w:val="Text3"/>
              </w:rPr>
              <w:t>s</w:t>
            </w:r>
            <w:r>
              <w:t xml:space="preserve"> that matches </w:t>
            </w:r>
            <w:r>
              <w:rPr>
                <w:rStyle w:val="Text3"/>
              </w:rPr>
              <w:t>r</w:t>
            </w:r>
            <w:r>
              <w:t xml:space="preserve">’s group. For example, to print only words that are followed by whitespace (not words followed by punctuation or the word at end of the string), you need to change only one statement in the preceding example: </w:t>
            </w:r>
          </w:p>
          <w:p>
            <w:pPr>
              <w:pStyle w:val="Para 029"/>
            </w:pPr>
            <w:r>
              <w:rPr>
                <w:rStyle w:val="Text23"/>
              </w:rPr>
              <w:t xml:space="preserve"/>
              <w:br w:clear="none"/>
            </w:r>
            <w:r>
              <w:t xml:space="preserve">reword</w:t>
              <w:br w:clear="none"/>
            </w:r>
            <w:r>
              <w:rPr>
                <w:rStyle w:val="Text23"/>
              </w:rPr>
              <w:t xml:space="preserve"> </w:t>
              <w:br w:clear="none"/>
            </w:r>
            <w:r>
              <w:rPr>
                <w:rStyle w:val="Text13"/>
              </w:rPr>
              <w:t xml:space="preserve">=</w:t>
              <w:br w:clear="none"/>
            </w:r>
            <w:r>
              <w:rPr>
                <w:rStyle w:val="Text23"/>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8"/>
              </w:rPr>
              <w:t xml:space="preserve">'(\w+)\s'</w:t>
              <w:br w:clear="none"/>
            </w:r>
            <w:r>
              <w:rPr>
                <w:rStyle w:val="Text7"/>
              </w:rPr>
              <w:t xml:space="preserve">)</w:t>
              <w:br w:clear="none"/>
            </w:r>
          </w:p>
          <w:p>
            <w:pPr>
              <w:pStyle w:val="Para 022"/>
            </w:pPr>
            <w:r>
              <w:t xml:space="preserve"> When </w:t>
            </w:r>
            <w:r>
              <w:rPr>
                <w:rStyle w:val="Text3"/>
              </w:rPr>
              <w:t>r</w:t>
            </w:r>
            <w:r>
              <w:t xml:space="preserve"> has </w:t>
            </w:r>
            <w:r>
              <w:rPr>
                <w:rStyle w:val="Text3"/>
              </w:rPr>
              <w:t>n</w:t>
            </w:r>
            <w:r>
              <w:t xml:space="preserve"> </w:t>
            </w:r>
            <w:r>
              <w:rPr>
                <w:rStyle w:val="Text0"/>
              </w:rPr>
              <w:t>groups</w:t>
            </w:r>
            <w:r>
              <w:t xml:space="preserve"> (with </w:t>
            </w:r>
            <w:r>
              <w:rPr>
                <w:rStyle w:val="Text3"/>
              </w:rPr>
              <w:t>n</w:t>
            </w:r>
            <w:r>
              <w:t xml:space="preserve"> </w:t>
            </w:r>
            <w:r>
              <w:rPr>
                <w:rStyle w:val="Text0"/>
              </w:rPr>
              <w:t>&gt; 1</w:t>
            </w:r>
            <w:r>
              <w:t xml:space="preserve">), </w:t>
            </w:r>
            <w:r>
              <w:rPr>
                <w:rStyle w:val="Text0"/>
              </w:rPr>
              <w:t>findall</w:t>
            </w:r>
            <w:r>
              <w:t xml:space="preserve"> returns a list of tuples, one per nonoverlapping match with </w:t>
            </w:r>
            <w:r>
              <w:rPr>
                <w:rStyle w:val="Text3"/>
              </w:rPr>
              <w:t>r</w:t>
            </w:r>
            <w:r>
              <w:t xml:space="preserve">. Each tuple has </w:t>
            </w:r>
            <w:r>
              <w:rPr>
                <w:rStyle w:val="Text3"/>
              </w:rPr>
              <w:t>n</w:t>
            </w:r>
            <w:r>
              <w:t xml:space="preserve"> items, one per group of </w:t>
            </w:r>
            <w:r>
              <w:rPr>
                <w:rStyle w:val="Text3"/>
              </w:rPr>
              <w:t>r</w:t>
            </w:r>
            <w:r>
              <w:t xml:space="preserve">, the substring of </w:t>
            </w:r>
            <w:r>
              <w:rPr>
                <w:rStyle w:val="Text3"/>
              </w:rPr>
              <w:t>s</w:t>
            </w:r>
            <w:r>
              <w:t xml:space="preserve"> matching the group. For example, to print the first and last word of each line that has at least two words: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first_last</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w:t>
              <w:br w:clear="none"/>
              <w:t xml:space="preserve">W*(</w:t>
              <w:br w:clear="none"/>
              <w:t xml:space="preserve">\</w:t>
              <w:br w:clear="none"/>
              <w:t xml:space="preserve">w+)</w:t>
              <w:br w:clear="none"/>
              <w:t xml:space="preserve">\</w:t>
              <w:br w:clear="none"/>
              <w:t xml:space="preserve">b.*</w:t>
              <w:br w:clear="none"/>
              <w:t xml:space="preserve">\</w:t>
              <w:br w:clear="none"/>
              <w:t xml:space="preserve">b(</w:t>
              <w:br w:clear="none"/>
              <w:t xml:space="preserve">\</w:t>
              <w:br w:clear="none"/>
              <w:t xml:space="preserve">w+)</w:t>
              <w:br w:clear="none"/>
              <w:t xml:space="preserve">\</w:t>
              <w:br w:clear="none"/>
              <w:t xml:space="preserve">W*$</w:t>
              <w:br w:clear="none"/>
              <w:t xml:space="preserve">'</w:t>
              <w:br w:clear="none"/>
            </w:r>
            <w:r>
              <w:rPr>
                <w:rStyle w:val="Text7"/>
              </w:rPr>
              <w:t xml:space="preserve">,</w:t>
              <w:br w:clear="none"/>
            </w:r>
            <w:r>
              <w:rPr>
                <w:rStyle w:val="Text6"/>
              </w:rPr>
              <w:t xml:space="preserve"> </w:t>
              <w:br w:clear="none"/>
              <w:t xml:space="preserve"/>
              <w:br w:clear="none"/>
              <w:t xml:space="preserve">                        </w:t>
              <w:br w:clear="none"/>
            </w:r>
            <w:r>
              <w:t xml:space="preserve">re</w:t>
              <w:br w:clear="none"/>
            </w:r>
            <w:r>
              <w:rPr>
                <w:rStyle w:val="Text13"/>
              </w:rPr>
              <w:t xml:space="preserve">.</w:t>
              <w:br w:clear="none"/>
            </w:r>
            <w:r>
              <w:t xml:space="preserve">MULTILINE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afile.txt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first</w:t>
              <w:br w:clear="none"/>
            </w:r>
            <w:r>
              <w:rPr>
                <w:rStyle w:val="Text7"/>
              </w:rPr>
              <w:t xml:space="preserve">,</w:t>
              <w:br w:clear="none"/>
            </w:r>
            <w:r>
              <w:rPr>
                <w:rStyle w:val="Text6"/>
              </w:rPr>
              <w:t xml:space="preserve"> </w:t>
              <w:br w:clear="none"/>
            </w:r>
            <w:r>
              <w:t xml:space="preserve">last</w:t>
              <w:br w:clear="none"/>
            </w:r>
            <w:r>
              <w:rPr>
                <w:rStyle w:val="Text6"/>
              </w:rPr>
              <w:t xml:space="preserve"> </w:t>
              <w:br w:clear="none"/>
            </w:r>
            <w:r>
              <w:rPr>
                <w:rStyle w:val="Text31"/>
              </w:rPr>
              <w:t xml:space="preserve">in</w:t>
              <w:br w:clear="none"/>
            </w:r>
            <w:r>
              <w:rPr>
                <w:rStyle w:val="Text6"/>
              </w:rPr>
              <w:t xml:space="preserve"> </w:t>
              <w:br w:clear="none"/>
            </w:r>
            <w:r>
              <w:t xml:space="preserve">first_last</w:t>
              <w:br w:clear="none"/>
            </w:r>
            <w:r>
              <w:rPr>
                <w:rStyle w:val="Text13"/>
              </w:rPr>
              <w:t xml:space="preserve">.</w:t>
              <w:br w:clear="none"/>
            </w:r>
            <w:r>
              <w:t xml:space="preserve">findall</w:t>
              <w:br w:clear="none"/>
            </w:r>
            <w:r>
              <w:rPr>
                <w:rStyle w:val="Text7"/>
              </w:rPr>
              <w:t xml:space="preserve">(</w:t>
              <w:br w:clear="none"/>
            </w:r>
            <w:r>
              <w:t xml:space="preserve">f</w:t>
              <w:br w:clear="none"/>
            </w:r>
            <w:r>
              <w:rPr>
                <w:rStyle w:val="Text13"/>
              </w:rPr>
              <w:t xml:space="preserve">.</w:t>
              <w:br w:clear="none"/>
            </w:r>
            <w:r>
              <w:t xml:space="preserve">read</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first</w:t>
              <w:br w:clear="none"/>
            </w:r>
            <w:r>
              <w:rPr>
                <w:rStyle w:val="Text7"/>
              </w:rPr>
              <w:t xml:space="preserve">,</w:t>
              <w:br w:clear="none"/>
            </w:r>
            <w:r>
              <w:rPr>
                <w:rStyle w:val="Text6"/>
              </w:rPr>
              <w:t xml:space="preserve"> </w:t>
              <w:br w:clear="none"/>
            </w:r>
            <w:r>
              <w:t xml:space="preserve">last</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finditer</w:t>
            </w:r>
          </w:p>
        </w:tc>
        <w:tc>
          <w:tcPr>
            <w:tcW w:type="auto" w:w="0"/>
            <w:tcMar>
              <w:left w:type="dxa" w:w="200"/>
              <w:top w:type="dxa" w:w="200"/>
              <w:right w:type="dxa" w:w="200"/>
              <w:bottom w:type="dxa" w:w="200"/>
            </w:tcMar>
          </w:tcPr>
          <w:p>
            <w:pPr>
              <w:pStyle w:val="Para 002"/>
            </w:pPr>
            <w:r>
              <w:rPr>
                <w:rStyle w:val="Text3"/>
              </w:rPr>
              <w:t>r</w:t>
            </w:r>
            <w:r>
              <w:rPr>
                <w:rStyle w:val="Text0"/>
              </w:rPr>
              <w:t>.finditer(</w:t>
            </w:r>
            <w:r>
              <w:rPr>
                <w:rStyle w:val="Text3"/>
              </w:rPr>
              <w:t>s</w:t>
            </w:r>
            <w:r>
              <w:rPr>
                <w:rStyle w:val="Text0"/>
              </w:rPr>
              <w:t>)</w:t>
              <w:br w:clear="none"/>
            </w:r>
            <w:r>
              <w:t xml:space="preserve"> </w:t>
            </w:r>
            <w:r>
              <w:rPr>
                <w:rStyle w:val="Text0"/>
              </w:rPr>
              <w:t>finditer</w:t>
            </w:r>
            <w:r>
              <w:t xml:space="preserve"> is like </w:t>
            </w:r>
            <w:r>
              <w:rPr>
                <w:rStyle w:val="Text0"/>
              </w:rPr>
              <w:t>findall</w:t>
            </w:r>
            <w:r>
              <w:t xml:space="preserve">, except that, instead of a list of strings or tuples, it returns an iterator whose items are match objects (discussed in the following section). In most cases, therefore, </w:t>
            </w:r>
            <w:r>
              <w:rPr>
                <w:rStyle w:val="Text0"/>
              </w:rPr>
              <w:t>finditer</w:t>
            </w:r>
            <w:r>
              <w:t xml:space="preserve"> is more flexible, and usually performs better, than </w:t>
            </w:r>
            <w:r>
              <w:rPr>
                <w:rStyle w:val="Text0"/>
              </w:rPr>
              <w:t>findall</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fullmatch</w:t>
            </w:r>
          </w:p>
        </w:tc>
        <w:tc>
          <w:tcPr>
            <w:tcW w:type="auto" w:w="0"/>
            <w:shd w:val="clear" w:color="auto" w:fill="EEF2F6"/>
            <w:tcMar>
              <w:left w:type="dxa" w:w="200"/>
              <w:top w:type="dxa" w:w="200"/>
              <w:right w:type="dxa" w:w="200"/>
              <w:bottom w:type="dxa" w:w="200"/>
            </w:tcMar>
          </w:tcPr>
          <w:p>
            <w:pPr>
              <w:pStyle w:val="Para 002"/>
            </w:pPr>
            <w:r>
              <w:rPr>
                <w:rStyle w:val="Text3"/>
              </w:rPr>
              <w:t>r</w:t>
            </w:r>
            <w:r>
              <w:rPr>
                <w:rStyle w:val="Text0"/>
              </w:rPr>
              <w:t>.fullmatch(</w:t>
            </w:r>
            <w:r>
              <w:rPr>
                <w:rStyle w:val="Text3"/>
              </w:rPr>
              <w:t>s</w:t>
            </w:r>
            <w:r>
              <w:rPr>
                <w:rStyle w:val="Text0"/>
              </w:rPr>
              <w:t>, start=0, end=sys.maxsize)</w:t>
              <w:br w:clear="none"/>
            </w:r>
            <w:r>
              <w:t xml:space="preserve"> Returns a match object when the complete substring </w:t>
            </w:r>
            <w:r>
              <w:rPr>
                <w:rStyle w:val="Text3"/>
              </w:rPr>
              <w:t>s</w:t>
            </w:r>
            <w:r>
              <w:t xml:space="preserve">, starting at index </w:t>
            </w:r>
            <w:r>
              <w:rPr>
                <w:rStyle w:val="Text0"/>
              </w:rPr>
              <w:t>start</w:t>
            </w:r>
            <w:r>
              <w:t xml:space="preserve"> and ending just short of index </w:t>
            </w:r>
            <w:r>
              <w:rPr>
                <w:rStyle w:val="Text0"/>
              </w:rPr>
              <w:t>end</w:t>
            </w:r>
            <w:r>
              <w:t xml:space="preserve">, matches </w:t>
            </w:r>
            <w:r>
              <w:rPr>
                <w:rStyle w:val="Text3"/>
              </w:rPr>
              <w:t>r.</w:t>
            </w:r>
            <w:r>
              <w:t xml:space="preserve"> Otherwise, </w:t>
            </w:r>
            <w:r>
              <w:rPr>
                <w:rStyle w:val="Text0"/>
              </w:rPr>
              <w:t>fullmatch</w:t>
            </w:r>
            <w:r>
              <w:t xml:space="preserve"> returns </w:t>
            </w:r>
            <w:r>
              <w:rPr>
                <w:rStyle w:val="Text5"/>
              </w:rPr>
              <w:t>None</w:t>
            </w:r>
            <w:r>
              <w:t>.</w:t>
            </w:r>
          </w:p>
        </w:tc>
      </w:tr>
    </w:tbl>
    <w:tbl>
      <w:tblPr>
        <w:tblW w:type="auto" w:w="0"/>
      </w:tblPr>
      <w:tr>
        <w:tc>
          <w:tcPr>
            <w:tcW w:type="auto" w:w="0"/>
            <w:tcMar>
              <w:left w:type="dxa" w:w="200"/>
              <w:top w:type="dxa" w:w="200"/>
              <w:right w:type="dxa" w:w="200"/>
              <w:bottom w:type="dxa" w:w="200"/>
            </w:tcMar>
          </w:tcPr>
          <w:p>
            <w:pPr>
              <w:pStyle w:val="Para 001"/>
            </w:pPr>
            <w:r>
              <w:t>match</w:t>
            </w:r>
          </w:p>
        </w:tc>
        <w:tc>
          <w:tcPr>
            <w:tcW w:type="auto" w:w="0"/>
            <w:tcMar>
              <w:left w:type="dxa" w:w="200"/>
              <w:top w:type="dxa" w:w="200"/>
              <w:right w:type="dxa" w:w="200"/>
              <w:bottom w:type="dxa" w:w="200"/>
            </w:tcMar>
          </w:tcPr>
          <w:p>
            <w:pPr>
              <w:pStyle w:val="Para 002"/>
            </w:pPr>
            <w:r>
              <w:rPr>
                <w:rStyle w:val="Text3"/>
              </w:rPr>
              <w:t>r</w:t>
            </w:r>
            <w:r>
              <w:rPr>
                <w:rStyle w:val="Text0"/>
              </w:rPr>
              <w:t>.match(</w:t>
            </w:r>
            <w:r>
              <w:rPr>
                <w:rStyle w:val="Text3"/>
              </w:rPr>
              <w:t>s</w:t>
            </w:r>
            <w:r>
              <w:rPr>
                <w:rStyle w:val="Text0"/>
              </w:rPr>
              <w:t>, start=0, end=sys.maxsize)</w:t>
              <w:br w:clear="none"/>
            </w:r>
            <w:r>
              <w:t xml:space="preserve"> Returns</w:t>
            </w:r>
            <w:r>
              <w:rPr>
                <w:rStyle w:val="Text111"/>
              </w:rPr>
              <w:bookmarkStart w:id="2449" w:name="idm45965207769232"/>
              <w:t/>
              <w:bookmarkEnd w:id="2449"/>
            </w:r>
            <w:r>
              <w:t xml:space="preserve"> an appropriate match object when a substring of </w:t>
            </w:r>
            <w:r>
              <w:rPr>
                <w:rStyle w:val="Text3"/>
              </w:rPr>
              <w:t>s</w:t>
            </w:r>
            <w:r>
              <w:t xml:space="preserve">, starting at index </w:t>
            </w:r>
            <w:r>
              <w:rPr>
                <w:rStyle w:val="Text0"/>
              </w:rPr>
              <w:t>start</w:t>
            </w:r>
            <w:r>
              <w:t xml:space="preserve"> and not reaching as far as index </w:t>
            </w:r>
            <w:r>
              <w:rPr>
                <w:rStyle w:val="Text0"/>
              </w:rPr>
              <w:t>end</w:t>
            </w:r>
            <w:r>
              <w:t xml:space="preserve">, matches </w:t>
            </w:r>
            <w:r>
              <w:rPr>
                <w:rStyle w:val="Text3"/>
              </w:rPr>
              <w:t>r</w:t>
            </w:r>
            <w:r>
              <w:t xml:space="preserve">. Otherwise, </w:t>
            </w:r>
            <w:r>
              <w:rPr>
                <w:rStyle w:val="Text0"/>
              </w:rPr>
              <w:t>match</w:t>
            </w:r>
            <w:r>
              <w:t xml:space="preserve"> returns </w:t>
            </w:r>
            <w:r>
              <w:rPr>
                <w:rStyle w:val="Text5"/>
              </w:rPr>
              <w:t>None</w:t>
            </w:r>
            <w:r>
              <w:t xml:space="preserve">. </w:t>
            </w:r>
            <w:r>
              <w:rPr>
                <w:rStyle w:val="Text0"/>
              </w:rPr>
              <w:t>match</w:t>
            </w:r>
            <w:r>
              <w:t xml:space="preserve"> is implicitly anchored at the starting position </w:t>
            </w:r>
            <w:r>
              <w:rPr>
                <w:rStyle w:val="Text0"/>
              </w:rPr>
              <w:t>start</w:t>
            </w:r>
            <w:r>
              <w:t xml:space="preserve"> in </w:t>
            </w:r>
            <w:r>
              <w:rPr>
                <w:rStyle w:val="Text3"/>
              </w:rPr>
              <w:t>s</w:t>
            </w:r>
            <w:r>
              <w:t xml:space="preserve">. To search for a match with </w:t>
            </w:r>
            <w:r>
              <w:rPr>
                <w:rStyle w:val="Text3"/>
              </w:rPr>
              <w:t>r</w:t>
            </w:r>
            <w:r>
              <w:t xml:space="preserve"> at any point in </w:t>
            </w:r>
            <w:r>
              <w:rPr>
                <w:rStyle w:val="Text3"/>
              </w:rPr>
              <w:t>s</w:t>
            </w:r>
            <w:r>
              <w:t xml:space="preserve"> from </w:t>
            </w:r>
            <w:r>
              <w:rPr>
                <w:rStyle w:val="Text0"/>
              </w:rPr>
              <w:t>start</w:t>
            </w:r>
            <w:r>
              <w:t xml:space="preserve"> onward, call </w:t>
            </w:r>
            <w:r>
              <w:rPr>
                <w:rStyle w:val="Text3"/>
              </w:rPr>
              <w:t>r</w:t>
            </w:r>
            <w:r>
              <w:rPr>
                <w:rStyle w:val="Text0"/>
              </w:rPr>
              <w:t>.search</w:t>
            </w:r>
            <w:r>
              <w:t xml:space="preserve">, not </w:t>
            </w:r>
            <w:r>
              <w:rPr>
                <w:rStyle w:val="Text3"/>
              </w:rPr>
              <w:t>r</w:t>
            </w:r>
            <w:r>
              <w:rPr>
                <w:rStyle w:val="Text0"/>
              </w:rPr>
              <w:t>.match</w:t>
            </w:r>
            <w:r>
              <w:t xml:space="preserve">. For example, here is one way to print all lines in a file that start with digits: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digs</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d</w:t>
              <w:br w:clear="none"/>
              <w:t xml:space="preserv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afile.txt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digs</w:t>
              <w:br w:clear="none"/>
            </w:r>
            <w:r>
              <w:rPr>
                <w:rStyle w:val="Text13"/>
              </w:rPr>
              <w:t xml:space="preserve">.</w:t>
              <w:br w:clear="none"/>
            </w:r>
            <w:r>
              <w:t xml:space="preserve">match</w:t>
              <w:br w:clear="none"/>
            </w:r>
            <w:r>
              <w:rPr>
                <w:rStyle w:val="Text7"/>
              </w:rPr>
              <w:t xml:space="preserve">(</w:t>
              <w:br w:clear="none"/>
            </w:r>
            <w:r>
              <w:t xml:space="preserve">line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search</w:t>
            </w:r>
          </w:p>
        </w:tc>
        <w:tc>
          <w:tcPr>
            <w:tcW w:type="auto" w:w="0"/>
            <w:shd w:val="clear" w:color="auto" w:fill="EEF2F6"/>
            <w:tcMar>
              <w:left w:type="dxa" w:w="200"/>
              <w:top w:type="dxa" w:w="200"/>
              <w:right w:type="dxa" w:w="200"/>
              <w:bottom w:type="dxa" w:w="200"/>
            </w:tcMar>
          </w:tcPr>
          <w:p>
            <w:pPr>
              <w:pStyle w:val="Para 002"/>
            </w:pPr>
            <w:r>
              <w:rPr>
                <w:rStyle w:val="Text3"/>
              </w:rPr>
              <w:t>r</w:t>
            </w:r>
            <w:r>
              <w:rPr>
                <w:rStyle w:val="Text0"/>
              </w:rPr>
              <w:t>.search(</w:t>
            </w:r>
            <w:r>
              <w:rPr>
                <w:rStyle w:val="Text3"/>
              </w:rPr>
              <w:t>s</w:t>
            </w:r>
            <w:r>
              <w:rPr>
                <w:rStyle w:val="Text0"/>
              </w:rPr>
              <w:t>, start=0, end=sys.maxsize)</w:t>
              <w:br w:clear="none"/>
            </w:r>
            <w:r>
              <w:t xml:space="preserve"> Returns</w:t>
            </w:r>
            <w:r>
              <w:rPr>
                <w:rStyle w:val="Text111"/>
              </w:rPr>
              <w:bookmarkStart w:id="2450" w:name="idm45965207704688"/>
              <w:t/>
              <w:bookmarkEnd w:id="2450"/>
            </w:r>
            <w:r>
              <w:t xml:space="preserve"> an appropriate match object for the leftmost substring of </w:t>
            </w:r>
            <w:r>
              <w:rPr>
                <w:rStyle w:val="Text3"/>
              </w:rPr>
              <w:t>s</w:t>
            </w:r>
            <w:r>
              <w:t xml:space="preserve">, starting not before index </w:t>
            </w:r>
            <w:r>
              <w:rPr>
                <w:rStyle w:val="Text0"/>
              </w:rPr>
              <w:t>start</w:t>
            </w:r>
            <w:r>
              <w:t xml:space="preserve"> and not reaching as far as index </w:t>
            </w:r>
            <w:r>
              <w:rPr>
                <w:rStyle w:val="Text0"/>
              </w:rPr>
              <w:t>end</w:t>
            </w:r>
            <w:r>
              <w:t xml:space="preserve">, that matches </w:t>
            </w:r>
            <w:r>
              <w:rPr>
                <w:rStyle w:val="Text3"/>
              </w:rPr>
              <w:t>r</w:t>
            </w:r>
            <w:r>
              <w:t xml:space="preserve">. When no such substring exists, </w:t>
            </w:r>
            <w:r>
              <w:rPr>
                <w:rStyle w:val="Text0"/>
              </w:rPr>
              <w:t>search</w:t>
            </w:r>
            <w:r>
              <w:t xml:space="preserve"> returns </w:t>
            </w:r>
            <w:r>
              <w:rPr>
                <w:rStyle w:val="Text5"/>
              </w:rPr>
              <w:t>None</w:t>
            </w:r>
            <w:r>
              <w:t xml:space="preserve">. For example, to print all lines containing digits, one simple approach is as follows: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digs</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d</w:t>
              <w:br w:clear="none"/>
              <w:t xml:space="preserv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afile.txt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7"/>
              </w:rPr>
              <w:t xml:space="preserve">in</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digs</w:t>
              <w:br w:clear="none"/>
            </w:r>
            <w:r>
              <w:rPr>
                <w:rStyle w:val="Text13"/>
              </w:rPr>
              <w:t xml:space="preserve">.</w:t>
              <w:br w:clear="none"/>
            </w:r>
            <w:r>
              <w:t xml:space="preserve">search</w:t>
              <w:br w:clear="none"/>
            </w:r>
            <w:r>
              <w:rPr>
                <w:rStyle w:val="Text7"/>
              </w:rPr>
              <w:t xml:space="preserve">(</w:t>
              <w:br w:clear="none"/>
            </w:r>
            <w:r>
              <w:t xml:space="preserve">line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split</w:t>
            </w:r>
          </w:p>
        </w:tc>
        <w:tc>
          <w:tcPr>
            <w:tcW w:type="auto" w:w="0"/>
            <w:tcMar>
              <w:left w:type="dxa" w:w="200"/>
              <w:top w:type="dxa" w:w="200"/>
              <w:right w:type="dxa" w:w="200"/>
              <w:bottom w:type="dxa" w:w="200"/>
            </w:tcMar>
          </w:tcPr>
          <w:p>
            <w:pPr>
              <w:pStyle w:val="Para 002"/>
            </w:pPr>
            <w:r>
              <w:rPr>
                <w:rStyle w:val="Text3"/>
              </w:rPr>
              <w:t>r</w:t>
            </w:r>
            <w:r>
              <w:rPr>
                <w:rStyle w:val="Text0"/>
              </w:rPr>
              <w:t>.split(</w:t>
            </w:r>
            <w:r>
              <w:rPr>
                <w:rStyle w:val="Text3"/>
              </w:rPr>
              <w:t>s</w:t>
            </w:r>
            <w:r>
              <w:rPr>
                <w:rStyle w:val="Text0"/>
              </w:rPr>
              <w:t>, maxsplit=0)</w:t>
              <w:br w:clear="none"/>
            </w:r>
            <w:r>
              <w:t xml:space="preserve"> Returns a list </w:t>
            </w:r>
            <w:r>
              <w:rPr>
                <w:rStyle w:val="Text3"/>
              </w:rPr>
              <w:t>L</w:t>
            </w:r>
            <w:r>
              <w:t xml:space="preserve"> of the </w:t>
            </w:r>
            <w:r>
              <w:rPr>
                <w:rStyle w:val="Text4"/>
              </w:rPr>
              <w:t>splits</w:t>
            </w:r>
            <w:r>
              <w:t xml:space="preserve"> of </w:t>
            </w:r>
            <w:r>
              <w:rPr>
                <w:rStyle w:val="Text3"/>
              </w:rPr>
              <w:t>s</w:t>
            </w:r>
            <w:r>
              <w:t xml:space="preserve"> by </w:t>
            </w:r>
            <w:r>
              <w:rPr>
                <w:rStyle w:val="Text3"/>
              </w:rPr>
              <w:t>r</w:t>
            </w:r>
            <w:r>
              <w:t xml:space="preserve"> (i.e., the substrings of </w:t>
            </w:r>
            <w:r>
              <w:rPr>
                <w:rStyle w:val="Text3"/>
              </w:rPr>
              <w:t>s</w:t>
            </w:r>
            <w:r>
              <w:t xml:space="preserve"> separated by nonoverlapping, nonempty matches with </w:t>
            </w:r>
            <w:r>
              <w:rPr>
                <w:rStyle w:val="Text3"/>
              </w:rPr>
              <w:t>r</w:t>
            </w:r>
            <w:r>
              <w:t xml:space="preserve">). For example, here’s a way to eliminate all occurrences of </w:t>
            </w:r>
            <w:r>
              <w:rPr>
                <w:rStyle w:val="Text0"/>
              </w:rPr>
              <w:t>'hello'</w:t>
            </w:r>
            <w:r>
              <w:t xml:space="preserve"> (in any mix of lowercase and uppercase) from a string: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rehello</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IGNORECASE</w:t>
              <w:br w:clear="none"/>
            </w:r>
            <w:r>
              <w:rPr>
                <w:rStyle w:val="Text7"/>
              </w:rPr>
              <w:t xml:space="preserve">)</w:t>
              <w:br w:clear="none"/>
            </w:r>
            <w:r>
              <w:rPr>
                <w:rStyle w:val="Text6"/>
              </w:rPr>
              <w:t xml:space="preserve"/>
              <w:br w:clear="none"/>
            </w:r>
            <w:r>
              <w:t xml:space="preserve">astring</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w:t>
              <w:br w:clear="none"/>
            </w:r>
            <w:r>
              <w:rPr>
                <w:rStyle w:val="Text13"/>
              </w:rPr>
              <w:t xml:space="preserve">.</w:t>
              <w:br w:clear="none"/>
            </w:r>
            <w:r>
              <w:t xml:space="preserve">join</w:t>
              <w:br w:clear="none"/>
            </w:r>
            <w:r>
              <w:rPr>
                <w:rStyle w:val="Text7"/>
              </w:rPr>
              <w:t xml:space="preserve">(</w:t>
              <w:br w:clear="none"/>
            </w:r>
            <w:r>
              <w:t xml:space="preserve">rehello</w:t>
              <w:br w:clear="none"/>
            </w:r>
            <w:r>
              <w:rPr>
                <w:rStyle w:val="Text13"/>
              </w:rPr>
              <w:t xml:space="preserve">.</w:t>
              <w:br w:clear="none"/>
            </w:r>
            <w:r>
              <w:t xml:space="preserve">split</w:t>
              <w:br w:clear="none"/>
            </w:r>
            <w:r>
              <w:rPr>
                <w:rStyle w:val="Text7"/>
              </w:rPr>
              <w:t xml:space="preserve">(</w:t>
              <w:br w:clear="none"/>
            </w:r>
            <w:r>
              <w:t xml:space="preserve">astring</w:t>
              <w:br w:clear="none"/>
            </w:r>
            <w:r>
              <w:rPr>
                <w:rStyle w:val="Text7"/>
              </w:rPr>
              <w:t xml:space="preserve">)</w:t>
              <w:br w:clear="none"/>
              <w:t xml:space="preserve">)</w:t>
              <w:br w:clear="none"/>
            </w:r>
          </w:p>
          <w:p>
            <w:pPr>
              <w:pStyle w:val="Para 022"/>
            </w:pPr>
            <w:r>
              <w:t xml:space="preserve"> When </w:t>
            </w:r>
            <w:r>
              <w:rPr>
                <w:rStyle w:val="Text3"/>
              </w:rPr>
              <w:t>r</w:t>
            </w:r>
            <w:r>
              <w:t xml:space="preserve"> has </w:t>
            </w:r>
            <w:r>
              <w:rPr>
                <w:rStyle w:val="Text3"/>
              </w:rPr>
              <w:t>n</w:t>
            </w:r>
            <w:r>
              <w:t xml:space="preserve"> groups, </w:t>
            </w:r>
            <w:r>
              <w:rPr>
                <w:rStyle w:val="Text3"/>
              </w:rPr>
              <w:t>n</w:t>
            </w:r>
            <w:r>
              <w:t xml:space="preserve"> more items are interleaved in </w:t>
            </w:r>
            <w:r>
              <w:rPr>
                <w:rStyle w:val="Text3"/>
              </w:rPr>
              <w:t>L</w:t>
            </w:r>
            <w:r>
              <w:t xml:space="preserve"> between each pair of splits. Each of the </w:t>
            </w:r>
            <w:r>
              <w:rPr>
                <w:rStyle w:val="Text3"/>
              </w:rPr>
              <w:t>n</w:t>
            </w:r>
            <w:r>
              <w:t xml:space="preserve"> extra items is the substring of </w:t>
            </w:r>
            <w:r>
              <w:rPr>
                <w:rStyle w:val="Text3"/>
              </w:rPr>
              <w:t>s</w:t>
            </w:r>
            <w:r>
              <w:t xml:space="preserve"> that matches </w:t>
            </w:r>
            <w:r>
              <w:rPr>
                <w:rStyle w:val="Text3"/>
              </w:rPr>
              <w:t>r</w:t>
            </w:r>
            <w:r>
              <w:t xml:space="preserve">’s corresponding group in that match, or </w:t>
            </w:r>
            <w:r>
              <w:rPr>
                <w:rStyle w:val="Text5"/>
              </w:rPr>
              <w:t>None</w:t>
            </w:r>
            <w:r>
              <w:t xml:space="preserve"> if that group did not participate in the match. For example, here’s one way to remove whitespace only when it occurs between a colon and a digit: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re_col_ws_dig</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w:t>
              <w:br w:clear="none"/>
              <w:t xml:space="preserve">s+(</w:t>
              <w:br w:clear="none"/>
              <w:t xml:space="preserve">\</w:t>
              <w:br w:clear="none"/>
              <w:t xml:space="preserve">d)</w:t>
              <w:br w:clear="none"/>
              <w:t xml:space="preserve">'</w:t>
              <w:br w:clear="none"/>
            </w:r>
            <w:r>
              <w:rPr>
                <w:rStyle w:val="Text7"/>
              </w:rPr>
              <w:t xml:space="preserve">)</w:t>
              <w:br w:clear="none"/>
            </w:r>
            <w:r>
              <w:rPr>
                <w:rStyle w:val="Text6"/>
              </w:rPr>
              <w:t xml:space="preserve"/>
              <w:br w:clear="none"/>
            </w:r>
            <w:r>
              <w:t xml:space="preserve">astring</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w:t>
              <w:br w:clear="none"/>
            </w:r>
            <w:r>
              <w:rPr>
                <w:rStyle w:val="Text13"/>
              </w:rPr>
              <w:t xml:space="preserve">.</w:t>
              <w:br w:clear="none"/>
            </w:r>
            <w:r>
              <w:t xml:space="preserve">join</w:t>
              <w:br w:clear="none"/>
            </w:r>
            <w:r>
              <w:rPr>
                <w:rStyle w:val="Text7"/>
              </w:rPr>
              <w:t xml:space="preserve">(</w:t>
              <w:br w:clear="none"/>
            </w:r>
            <w:r>
              <w:t xml:space="preserve">re_col_ws_dig</w:t>
              <w:br w:clear="none"/>
            </w:r>
            <w:r>
              <w:rPr>
                <w:rStyle w:val="Text13"/>
              </w:rPr>
              <w:t xml:space="preserve">.</w:t>
              <w:br w:clear="none"/>
            </w:r>
            <w:r>
              <w:t xml:space="preserve">split</w:t>
              <w:br w:clear="none"/>
            </w:r>
            <w:r>
              <w:rPr>
                <w:rStyle w:val="Text7"/>
              </w:rPr>
              <w:t xml:space="preserve">(</w:t>
              <w:br w:clear="none"/>
            </w:r>
            <w:r>
              <w:t xml:space="preserve">astring</w:t>
              <w:br w:clear="none"/>
            </w:r>
            <w:r>
              <w:rPr>
                <w:rStyle w:val="Text7"/>
              </w:rPr>
              <w:t xml:space="preserve">)</w:t>
              <w:br w:clear="none"/>
              <w:t xml:space="preserve">)</w:t>
              <w:br w:clear="none"/>
            </w:r>
          </w:p>
          <w:p>
            <w:pPr>
              <w:pStyle w:val="Para 022"/>
            </w:pPr>
            <w:r>
              <w:t xml:space="preserve"> If </w:t>
            </w:r>
            <w:r>
              <w:rPr>
                <w:rStyle w:val="Text0"/>
              </w:rPr>
              <w:t>maxsplit</w:t>
            </w:r>
            <w:r>
              <w:t xml:space="preserve"> is greater than </w:t>
            </w:r>
            <w:r>
              <w:rPr>
                <w:rStyle w:val="Text0"/>
              </w:rPr>
              <w:t>0</w:t>
            </w:r>
            <w:r>
              <w:t xml:space="preserve">, at most </w:t>
            </w:r>
            <w:r>
              <w:rPr>
                <w:rStyle w:val="Text0"/>
              </w:rPr>
              <w:t>maxsplit</w:t>
            </w:r>
            <w:r>
              <w:t xml:space="preserve"> splits are in </w:t>
            </w:r>
            <w:r>
              <w:rPr>
                <w:rStyle w:val="Text3"/>
              </w:rPr>
              <w:t>L</w:t>
            </w:r>
            <w:r>
              <w:t xml:space="preserve">, each followed by </w:t>
            </w:r>
            <w:r>
              <w:rPr>
                <w:rStyle w:val="Text3"/>
              </w:rPr>
              <w:t>n</w:t>
            </w:r>
            <w:r>
              <w:t xml:space="preserve"> items, while the trailing substring of </w:t>
            </w:r>
            <w:r>
              <w:rPr>
                <w:rStyle w:val="Text3"/>
              </w:rPr>
              <w:t>s</w:t>
            </w:r>
            <w:r>
              <w:t xml:space="preserve"> after </w:t>
            </w:r>
            <w:r>
              <w:rPr>
                <w:rStyle w:val="Text0"/>
              </w:rPr>
              <w:t>maxsplit</w:t>
            </w:r>
            <w:r>
              <w:t xml:space="preserve"> matches of </w:t>
            </w:r>
            <w:r>
              <w:rPr>
                <w:rStyle w:val="Text3"/>
              </w:rPr>
              <w:t>r</w:t>
            </w:r>
            <w:r>
              <w:t xml:space="preserve">, if any, is </w:t>
            </w:r>
            <w:r>
              <w:rPr>
                <w:rStyle w:val="Text3"/>
              </w:rPr>
              <w:t>L</w:t>
            </w:r>
            <w:r>
              <w:t xml:space="preserve">’s last item. For example, to remove only the </w:t>
            </w:r>
            <w:r>
              <w:rPr>
                <w:rStyle w:val="Text4"/>
              </w:rPr>
              <w:t>first</w:t>
            </w:r>
            <w:r>
              <w:t xml:space="preserve"> occurrence of substring </w:t>
            </w:r>
            <w:r>
              <w:rPr>
                <w:rStyle w:val="Text0"/>
              </w:rPr>
              <w:t>'hello'</w:t>
            </w:r>
            <w:r>
              <w:t xml:space="preserve"> rather than </w:t>
            </w:r>
            <w:r>
              <w:rPr>
                <w:rStyle w:val="Text4"/>
              </w:rPr>
              <w:t>all</w:t>
            </w:r>
            <w:r>
              <w:t xml:space="preserve"> of them, change the last statement in the first example here to: </w:t>
            </w:r>
          </w:p>
          <w:p>
            <w:pPr>
              <w:pStyle w:val="Para 025"/>
            </w:pPr>
            <w:r>
              <w:rPr>
                <w:rStyle w:val="Text23"/>
              </w:rPr>
              <w:t xml:space="preserve"/>
              <w:br w:clear="none"/>
            </w:r>
            <w:r>
              <w:t xml:space="preserve">astring</w:t>
              <w:br w:clear="none"/>
            </w:r>
            <w:r>
              <w:rPr>
                <w:rStyle w:val="Text13"/>
              </w:rPr>
              <w:t xml:space="preserve">=</w:t>
              <w:br w:clear="none"/>
            </w:r>
            <w:r>
              <w:rPr>
                <w:rStyle w:val="Text8"/>
              </w:rPr>
              <w:t xml:space="preserve">''</w:t>
              <w:br w:clear="none"/>
            </w:r>
            <w:r>
              <w:rPr>
                <w:rStyle w:val="Text13"/>
              </w:rPr>
              <w:t xml:space="preserve">.</w:t>
              <w:br w:clear="none"/>
            </w:r>
            <w:r>
              <w:t xml:space="preserve">join</w:t>
              <w:br w:clear="none"/>
            </w:r>
            <w:r>
              <w:rPr>
                <w:rStyle w:val="Text7"/>
              </w:rPr>
              <w:t xml:space="preserve">(</w:t>
              <w:br w:clear="none"/>
            </w:r>
            <w:r>
              <w:t xml:space="preserve">rehello</w:t>
              <w:br w:clear="none"/>
            </w:r>
            <w:r>
              <w:rPr>
                <w:rStyle w:val="Text13"/>
              </w:rPr>
              <w:t xml:space="preserve">.</w:t>
              <w:br w:clear="none"/>
            </w:r>
            <w:r>
              <w:t xml:space="preserve">split</w:t>
              <w:br w:clear="none"/>
            </w:r>
            <w:r>
              <w:rPr>
                <w:rStyle w:val="Text7"/>
              </w:rPr>
              <w:t xml:space="preserve">(</w:t>
              <w:br w:clear="none"/>
            </w:r>
            <w:r>
              <w:t xml:space="preserve">astring</w:t>
              <w:br w:clear="none"/>
            </w:r>
            <w:r>
              <w:rPr>
                <w:rStyle w:val="Text7"/>
              </w:rPr>
              <w:t xml:space="preserve">,</w:t>
              <w:br w:clear="none"/>
            </w:r>
            <w:r>
              <w:rPr>
                <w:rStyle w:val="Text23"/>
              </w:rPr>
              <w:t xml:space="preserve"> </w:t>
              <w:br w:clear="none"/>
            </w:r>
            <w:r>
              <w:rPr>
                <w:rStyle w:val="Text27"/>
              </w:rPr>
              <w:t xml:space="preserve">1</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sub</w:t>
            </w:r>
          </w:p>
        </w:tc>
        <w:tc>
          <w:tcPr>
            <w:tcW w:type="auto" w:w="0"/>
            <w:shd w:val="clear" w:color="auto" w:fill="EEF2F6"/>
            <w:tcMar>
              <w:left w:type="dxa" w:w="200"/>
              <w:top w:type="dxa" w:w="200"/>
              <w:right w:type="dxa" w:w="200"/>
              <w:bottom w:type="dxa" w:w="200"/>
            </w:tcMar>
          </w:tcPr>
          <w:p>
            <w:pPr>
              <w:pStyle w:val="Para 002"/>
            </w:pPr>
            <w:r>
              <w:rPr>
                <w:rStyle w:val="Text3"/>
              </w:rPr>
              <w:t>r</w:t>
            </w:r>
            <w:r>
              <w:rPr>
                <w:rStyle w:val="Text0"/>
              </w:rPr>
              <w:t>.sub(</w:t>
            </w:r>
            <w:r>
              <w:rPr>
                <w:rStyle w:val="Text3"/>
              </w:rPr>
              <w:t>repl</w:t>
            </w:r>
            <w:r>
              <w:rPr>
                <w:rStyle w:val="Text0"/>
              </w:rPr>
              <w:t>,</w:t>
            </w:r>
            <w:r>
              <w:t xml:space="preserve"> </w:t>
            </w:r>
            <w:r>
              <w:rPr>
                <w:rStyle w:val="Text3"/>
              </w:rPr>
              <w:t>s</w:t>
            </w:r>
            <w:r>
              <w:rPr>
                <w:rStyle w:val="Text0"/>
              </w:rPr>
              <w:t>, count=0)</w:t>
              <w:br w:clear="none"/>
            </w:r>
            <w:r>
              <w:t xml:space="preserve"> Returns</w:t>
            </w:r>
            <w:r>
              <w:rPr>
                <w:rStyle w:val="Text111"/>
              </w:rPr>
              <w:bookmarkStart w:id="2451" w:name="idm45965207421504"/>
              <w:t/>
              <w:bookmarkEnd w:id="2451"/>
            </w:r>
            <w:r>
              <w:t xml:space="preserve"> a copy of </w:t>
            </w:r>
            <w:r>
              <w:rPr>
                <w:rStyle w:val="Text3"/>
              </w:rPr>
              <w:t>s</w:t>
            </w:r>
            <w:r>
              <w:t xml:space="preserve"> where nonoverlapping matches with </w:t>
            </w:r>
            <w:r>
              <w:rPr>
                <w:rStyle w:val="Text3"/>
              </w:rPr>
              <w:t>r</w:t>
            </w:r>
            <w:r>
              <w:t xml:space="preserve"> are replaced by </w:t>
            </w:r>
            <w:r>
              <w:rPr>
                <w:rStyle w:val="Text3"/>
              </w:rPr>
              <w:t>repl</w:t>
            </w:r>
            <w:r>
              <w:t xml:space="preserve">, which can be either a string or a callable object, such as a function. An empty match is replaced only when not adjacent to the previous match. When </w:t>
            </w:r>
            <w:r>
              <w:rPr>
                <w:rStyle w:val="Text0"/>
              </w:rPr>
              <w:t>count</w:t>
            </w:r>
            <w:r>
              <w:t xml:space="preserve"> is greater than </w:t>
            </w:r>
            <w:r>
              <w:rPr>
                <w:rStyle w:val="Text0"/>
              </w:rPr>
              <w:t>0</w:t>
            </w:r>
            <w:r>
              <w:t xml:space="preserve">, only the first </w:t>
            </w:r>
            <w:r>
              <w:rPr>
                <w:rStyle w:val="Text0"/>
              </w:rPr>
              <w:t>count</w:t>
            </w:r>
            <w:r>
              <w:t xml:space="preserve"> matches of </w:t>
            </w:r>
            <w:r>
              <w:rPr>
                <w:rStyle w:val="Text3"/>
              </w:rPr>
              <w:t>r</w:t>
            </w:r>
            <w:r>
              <w:t xml:space="preserve"> within </w:t>
            </w:r>
            <w:r>
              <w:rPr>
                <w:rStyle w:val="Text3"/>
              </w:rPr>
              <w:t>s</w:t>
            </w:r>
            <w:r>
              <w:t xml:space="preserve"> are replaced. When </w:t>
            </w:r>
            <w:r>
              <w:rPr>
                <w:rStyle w:val="Text0"/>
              </w:rPr>
              <w:t>count</w:t>
            </w:r>
            <w:r>
              <w:t xml:space="preserve"> equals </w:t>
            </w:r>
            <w:r>
              <w:rPr>
                <w:rStyle w:val="Text0"/>
              </w:rPr>
              <w:t>0</w:t>
            </w:r>
            <w:r>
              <w:t xml:space="preserve">, all matches of </w:t>
            </w:r>
            <w:r>
              <w:rPr>
                <w:rStyle w:val="Text3"/>
              </w:rPr>
              <w:t>r</w:t>
            </w:r>
            <w:r>
              <w:t xml:space="preserve"> within </w:t>
            </w:r>
            <w:r>
              <w:rPr>
                <w:rStyle w:val="Text3"/>
              </w:rPr>
              <w:t>s</w:t>
            </w:r>
            <w:r>
              <w:t xml:space="preserve"> are replaced. For example, here’s another, more natural way to remove only the first occurrence of substring </w:t>
            </w:r>
            <w:r>
              <w:rPr>
                <w:rStyle w:val="Text0"/>
              </w:rPr>
              <w:t>'hello'</w:t>
            </w:r>
            <w:r>
              <w:t xml:space="preserve"> in any mix of cases: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rehello</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IGNORECASE</w:t>
              <w:br w:clear="none"/>
            </w:r>
            <w:r>
              <w:rPr>
                <w:rStyle w:val="Text7"/>
              </w:rPr>
              <w:t xml:space="preserve">)</w:t>
              <w:br w:clear="none"/>
            </w:r>
            <w:r>
              <w:rPr>
                <w:rStyle w:val="Text6"/>
              </w:rPr>
              <w:t xml:space="preserve"/>
              <w:br w:clear="none"/>
            </w:r>
            <w:r>
              <w:t xml:space="preserve">astring</w:t>
              <w:br w:clear="none"/>
            </w:r>
            <w:r>
              <w:rPr>
                <w:rStyle w:val="Text6"/>
              </w:rPr>
              <w:t xml:space="preserve"> </w:t>
              <w:br w:clear="none"/>
            </w:r>
            <w:r>
              <w:rPr>
                <w:rStyle w:val="Text13"/>
              </w:rPr>
              <w:t xml:space="preserve">=</w:t>
              <w:br w:clear="none"/>
            </w:r>
            <w:r>
              <w:rPr>
                <w:rStyle w:val="Text6"/>
              </w:rPr>
              <w:t xml:space="preserve"> </w:t>
              <w:br w:clear="none"/>
            </w:r>
            <w:r>
              <w:t xml:space="preserve">rehello</w:t>
              <w:br w:clear="none"/>
            </w:r>
            <w:r>
              <w:rPr>
                <w:rStyle w:val="Text13"/>
              </w:rPr>
              <w:t xml:space="preserve">.</w:t>
              <w:br w:clear="none"/>
            </w:r>
            <w:r>
              <w:t xml:space="preserve">sub</w:t>
              <w:br w:clear="none"/>
            </w:r>
            <w:r>
              <w:rPr>
                <w:rStyle w:val="Text7"/>
              </w:rPr>
              <w:t xml:space="preserve">(</w:t>
              <w:br w:clear="none"/>
            </w:r>
            <w:r>
              <w:rPr>
                <w:rStyle w:val="Text8"/>
              </w:rPr>
              <w:t xml:space="preserve">'</w:t>
              <w:br w:clear="none"/>
              <w:t xml:space="preserve">'</w:t>
              <w:br w:clear="none"/>
            </w:r>
            <w:r>
              <w:rPr>
                <w:rStyle w:val="Text7"/>
              </w:rPr>
              <w:t xml:space="preserve">,</w:t>
              <w:br w:clear="none"/>
            </w:r>
            <w:r>
              <w:rPr>
                <w:rStyle w:val="Text6"/>
              </w:rPr>
              <w:t xml:space="preserve"> </w:t>
              <w:br w:clear="none"/>
            </w:r>
            <w:r>
              <w:t xml:space="preserve">astring</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r>
          </w:p>
          <w:p>
            <w:pPr>
              <w:pStyle w:val="Para 022"/>
            </w:pPr>
            <w:r>
              <w:t xml:space="preserve"> Without the final </w:t>
            </w:r>
            <w:r>
              <w:rPr>
                <w:rStyle w:val="Text0"/>
              </w:rPr>
              <w:t>1</w:t>
            </w:r>
            <w:r>
              <w:t xml:space="preserve"> (one) argument to </w:t>
            </w:r>
            <w:r>
              <w:rPr>
                <w:rStyle w:val="Text0"/>
              </w:rPr>
              <w:t>sub</w:t>
            </w:r>
            <w:r>
              <w:t xml:space="preserve">, the example removes all occurrences of </w:t>
            </w:r>
            <w:r>
              <w:rPr>
                <w:rStyle w:val="Text0"/>
              </w:rPr>
              <w:t>'hello'</w:t>
            </w:r>
            <w:r>
              <w:t>.</w:t>
              <w:br w:clear="none"/>
              <w:t xml:space="preserve"> When </w:t>
            </w:r>
            <w:r>
              <w:rPr>
                <w:rStyle w:val="Text3"/>
              </w:rPr>
              <w:t>repl</w:t>
            </w:r>
            <w:r>
              <w:t xml:space="preserve"> is a callable object, </w:t>
            </w:r>
            <w:r>
              <w:rPr>
                <w:rStyle w:val="Text3"/>
              </w:rPr>
              <w:t>repl</w:t>
            </w:r>
            <w:r>
              <w:t xml:space="preserve"> must accept one argument (a match object) and return a string (or </w:t>
            </w:r>
            <w:r>
              <w:rPr>
                <w:rStyle w:val="Text5"/>
              </w:rPr>
              <w:t>None</w:t>
            </w:r>
            <w:r>
              <w:t xml:space="preserve">, which is equivalent to returning the empty string </w:t>
            </w:r>
            <w:r>
              <w:rPr>
                <w:rStyle w:val="Text0"/>
              </w:rPr>
              <w:t>''</w:t>
            </w:r>
            <w:r>
              <w:t xml:space="preserve">) to use as the replacement for the match. In this case, </w:t>
            </w:r>
            <w:r>
              <w:rPr>
                <w:rStyle w:val="Text0"/>
              </w:rPr>
              <w:t>sub</w:t>
            </w:r>
            <w:r>
              <w:t xml:space="preserve"> calls </w:t>
            </w:r>
            <w:r>
              <w:rPr>
                <w:rStyle w:val="Text3"/>
              </w:rPr>
              <w:t>repl</w:t>
            </w:r>
            <w:r>
              <w:t xml:space="preserve">, with a suitable match object argument, for each match with </w:t>
            </w:r>
            <w:r>
              <w:rPr>
                <w:rStyle w:val="Text3"/>
              </w:rPr>
              <w:t>r</w:t>
            </w:r>
            <w:r>
              <w:t xml:space="preserve"> that </w:t>
            </w:r>
            <w:r>
              <w:rPr>
                <w:rStyle w:val="Text0"/>
              </w:rPr>
              <w:t>sub</w:t>
            </w:r>
            <w:r>
              <w:t xml:space="preserve"> is replacing. For example, here’s one way to uppercase all occurrences of words starting with </w:t>
            </w:r>
            <w:r>
              <w:rPr>
                <w:rStyle w:val="Text0"/>
              </w:rPr>
              <w:t>'h'</w:t>
            </w:r>
            <w:r>
              <w:t xml:space="preserve"> and ending with </w:t>
            </w:r>
            <w:r>
              <w:rPr>
                <w:rStyle w:val="Text0"/>
              </w:rPr>
              <w:t>'o'</w:t>
            </w:r>
            <w:r>
              <w:t xml:space="preserve"> in any mix of cases: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h_word</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bh</w:t>
              <w:br w:clear="none"/>
              <w:t xml:space="preserve">\</w:t>
              <w:br w:clear="none"/>
              <w:t xml:space="preserve">w*o</w:t>
              <w:br w:clear="none"/>
              <w:t xml:space="preserve">\</w:t>
              <w:br w:clear="none"/>
              <w:t xml:space="preserve">b</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IGNORECASE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up</w:t>
              <w:br w:clear="none"/>
            </w:r>
            <w:r>
              <w:rPr>
                <w:rStyle w:val="Text7"/>
              </w:rPr>
              <w:t xml:space="preserve">(</w:t>
              <w:br w:clear="none"/>
            </w:r>
            <w:r>
              <w:t xml:space="preserve">mo</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mo</w:t>
              <w:br w:clear="none"/>
            </w:r>
            <w:r>
              <w:rPr>
                <w:rStyle w:val="Text13"/>
              </w:rPr>
              <w:t xml:space="preserve">.</w:t>
              <w:br w:clear="none"/>
            </w:r>
            <w:r>
              <w:t xml:space="preserve">group</w:t>
              <w:br w:clear="none"/>
            </w:r>
            <w:r>
              <w:rPr>
                <w:rStyle w:val="Text7"/>
              </w:rPr>
              <w:t xml:space="preserve">(</w:t>
              <w:br w:clear="none"/>
            </w:r>
            <w:r>
              <w:rPr>
                <w:rStyle w:val="Text27"/>
              </w:rPr>
              <w:t xml:space="preserve">0</w:t>
              <w:br w:clear="none"/>
            </w:r>
            <w:r>
              <w:rPr>
                <w:rStyle w:val="Text7"/>
              </w:rPr>
              <w:t xml:space="preserve">)</w:t>
              <w:br w:clear="none"/>
            </w:r>
            <w:r>
              <w:rPr>
                <w:rStyle w:val="Text13"/>
              </w:rPr>
              <w:t xml:space="preserve">.</w:t>
              <w:br w:clear="none"/>
            </w:r>
            <w:r>
              <w:t xml:space="preserve">upper</w:t>
              <w:br w:clear="none"/>
            </w:r>
            <w:r>
              <w:rPr>
                <w:rStyle w:val="Text7"/>
              </w:rPr>
              <w:t xml:space="preserve">(</w:t>
              <w:br w:clear="none"/>
              <w:t xml:space="preserve">)</w:t>
              <w:br w:clear="none"/>
            </w:r>
            <w:r>
              <w:rPr>
                <w:rStyle w:val="Text6"/>
              </w:rPr>
              <w:t xml:space="preserve"/>
              <w:br w:clear="none"/>
            </w:r>
            <w:r>
              <w:t xml:space="preserve">astring</w:t>
              <w:br w:clear="none"/>
            </w:r>
            <w:r>
              <w:rPr>
                <w:rStyle w:val="Text6"/>
              </w:rPr>
              <w:t xml:space="preserve"> </w:t>
              <w:br w:clear="none"/>
            </w:r>
            <w:r>
              <w:rPr>
                <w:rStyle w:val="Text13"/>
              </w:rPr>
              <w:t xml:space="preserve">=</w:t>
              <w:br w:clear="none"/>
            </w:r>
            <w:r>
              <w:rPr>
                <w:rStyle w:val="Text6"/>
              </w:rPr>
              <w:t xml:space="preserve"> </w:t>
              <w:br w:clear="none"/>
            </w:r>
            <w:r>
              <w:t xml:space="preserve">h_word</w:t>
              <w:br w:clear="none"/>
            </w:r>
            <w:r>
              <w:rPr>
                <w:rStyle w:val="Text13"/>
              </w:rPr>
              <w:t xml:space="preserve">.</w:t>
              <w:br w:clear="none"/>
            </w:r>
            <w:r>
              <w:t xml:space="preserve">sub</w:t>
              <w:br w:clear="none"/>
            </w:r>
            <w:r>
              <w:rPr>
                <w:rStyle w:val="Text7"/>
              </w:rPr>
              <w:t xml:space="preserve">(</w:t>
              <w:br w:clear="none"/>
            </w:r>
            <w:r>
              <w:t xml:space="preserve">up</w:t>
              <w:br w:clear="none"/>
            </w:r>
            <w:r>
              <w:rPr>
                <w:rStyle w:val="Text7"/>
              </w:rPr>
              <w:t xml:space="preserve">,</w:t>
              <w:br w:clear="none"/>
            </w:r>
            <w:r>
              <w:rPr>
                <w:rStyle w:val="Text6"/>
              </w:rPr>
              <w:t xml:space="preserve"> </w:t>
              <w:br w:clear="none"/>
            </w:r>
            <w:r>
              <w:t xml:space="preserve">astring</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52"/>
            </w:pPr>
            <w:r>
              <w:rPr>
                <w:rStyle w:val="Text50"/>
              </w:rPr>
              <w:t>sub</w:t>
              <w:br w:clear="none"/>
            </w:r>
            <w:r>
              <w:rPr>
                <w:rStyle w:val="Text4"/>
              </w:rPr>
              <w:t xml:space="preserve"> </w:t>
            </w:r>
            <w:r>
              <w:t>(cont.)</w:t>
            </w:r>
          </w:p>
        </w:tc>
        <w:tc>
          <w:tcPr>
            <w:tcW w:type="auto" w:w="0"/>
            <w:tcMar>
              <w:left w:type="dxa" w:w="200"/>
              <w:top w:type="dxa" w:w="200"/>
              <w:right w:type="dxa" w:w="200"/>
              <w:bottom w:type="dxa" w:w="200"/>
            </w:tcMar>
          </w:tcPr>
          <w:p>
            <w:pPr>
              <w:pStyle w:val="Para 002"/>
            </w:pPr>
            <w:r>
              <w:t xml:space="preserve">When </w:t>
            </w:r>
            <w:r>
              <w:rPr>
                <w:rStyle w:val="Text3"/>
              </w:rPr>
              <w:t>repl</w:t>
            </w:r>
            <w:r>
              <w:t xml:space="preserve"> is a string, </w:t>
            </w:r>
            <w:r>
              <w:rPr>
                <w:rStyle w:val="Text0"/>
              </w:rPr>
              <w:t>sub</w:t>
            </w:r>
            <w:r>
              <w:t xml:space="preserve"> uses </w:t>
            </w:r>
            <w:r>
              <w:rPr>
                <w:rStyle w:val="Text3"/>
              </w:rPr>
              <w:t>repl</w:t>
            </w:r>
            <w:r>
              <w:t xml:space="preserve"> itself as the replacement, except that it expands backreferences. A </w:t>
            </w:r>
            <w:r>
              <w:rPr>
                <w:rStyle w:val="Text4"/>
              </w:rPr>
              <w:t>backreference</w:t>
            </w:r>
            <w:r>
              <w:t xml:space="preserve"> is a substring of </w:t>
            </w:r>
            <w:r>
              <w:rPr>
                <w:rStyle w:val="Text3"/>
              </w:rPr>
              <w:t>repl</w:t>
            </w:r>
            <w:r>
              <w:t xml:space="preserve"> of the form </w:t>
            </w:r>
            <w:r>
              <w:rPr>
                <w:rStyle w:val="Text0"/>
              </w:rPr>
              <w:t>\g&lt;</w:t>
            </w:r>
            <w:r>
              <w:rPr>
                <w:rStyle w:val="Text3"/>
              </w:rPr>
              <w:t>id</w:t>
            </w:r>
            <w:r>
              <w:rPr>
                <w:rStyle w:val="Text0"/>
              </w:rPr>
              <w:t>&gt;</w:t>
            </w:r>
            <w:r>
              <w:t xml:space="preserve">, where </w:t>
            </w:r>
            <w:r>
              <w:rPr>
                <w:rStyle w:val="Text3"/>
              </w:rPr>
              <w:t>id</w:t>
            </w:r>
            <w:r>
              <w:t xml:space="preserve"> is the name of a group in </w:t>
            </w:r>
            <w:r>
              <w:rPr>
                <w:rStyle w:val="Text3"/>
              </w:rPr>
              <w:t>r</w:t>
            </w:r>
            <w:r>
              <w:t xml:space="preserve"> (established by the syntax </w:t>
            </w:r>
            <w:r>
              <w:rPr>
                <w:rStyle w:val="Text0"/>
              </w:rPr>
              <w:t>(?P&lt;</w:t>
            </w:r>
            <w:r>
              <w:rPr>
                <w:rStyle w:val="Text3"/>
              </w:rPr>
              <w:t>id</w:t>
            </w:r>
            <w:r>
              <w:rPr>
                <w:rStyle w:val="Text0"/>
              </w:rPr>
              <w:t>&gt;...)</w:t>
            </w:r>
            <w:r>
              <w:t xml:space="preserve"> in </w:t>
            </w:r>
            <w:r>
              <w:rPr>
                <w:rStyle w:val="Text3"/>
              </w:rPr>
              <w:t>r</w:t>
            </w:r>
            <w:r>
              <w:t xml:space="preserve">’s pattern string) or </w:t>
            </w:r>
            <w:r>
              <w:rPr>
                <w:rStyle w:val="Text0"/>
              </w:rPr>
              <w:t>\dd</w:t>
            </w:r>
            <w:r>
              <w:t xml:space="preserve">, where </w:t>
            </w:r>
            <w:r>
              <w:rPr>
                <w:rStyle w:val="Text3"/>
              </w:rPr>
              <w:t>dd</w:t>
            </w:r>
            <w:r>
              <w:t xml:space="preserve"> is one or two digits taken as a group number. Each back reference, named or numbered, is replaced with the substring of </w:t>
            </w:r>
            <w:r>
              <w:rPr>
                <w:rStyle w:val="Text3"/>
              </w:rPr>
              <w:t>s</w:t>
            </w:r>
            <w:r>
              <w:t xml:space="preserve"> that matches the group of </w:t>
            </w:r>
            <w:r>
              <w:rPr>
                <w:rStyle w:val="Text3"/>
              </w:rPr>
              <w:t>r</w:t>
            </w:r>
            <w:r>
              <w:t xml:space="preserve"> that the back reference indicates. For example, here’s a way to enclose every word in braces: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grouped_word</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8"/>
              </w:rPr>
              <w:t xml:space="preserve">'</w:t>
              <w:br w:clear="none"/>
              <w:t xml:space="preserve">(</w:t>
              <w:br w:clear="none"/>
              <w:t xml:space="preserve">\</w:t>
              <w:br w:clear="none"/>
              <w:t xml:space="preserve">w+)</w:t>
              <w:br w:clear="none"/>
              <w:t xml:space="preserve">'</w:t>
              <w:br w:clear="none"/>
            </w:r>
            <w:r>
              <w:rPr>
                <w:rStyle w:val="Text7"/>
              </w:rPr>
              <w:t xml:space="preserve">)</w:t>
              <w:br w:clear="none"/>
            </w:r>
            <w:r>
              <w:rPr>
                <w:rStyle w:val="Text6"/>
              </w:rPr>
              <w:t xml:space="preserve"/>
              <w:br w:clear="none"/>
            </w:r>
            <w:r>
              <w:t xml:space="preserve">astring</w:t>
              <w:br w:clear="none"/>
            </w:r>
            <w:r>
              <w:rPr>
                <w:rStyle w:val="Text6"/>
              </w:rPr>
              <w:t xml:space="preserve"> </w:t>
              <w:br w:clear="none"/>
            </w:r>
            <w:r>
              <w:rPr>
                <w:rStyle w:val="Text13"/>
              </w:rPr>
              <w:t xml:space="preserve">=</w:t>
              <w:br w:clear="none"/>
            </w:r>
            <w:r>
              <w:rPr>
                <w:rStyle w:val="Text6"/>
              </w:rPr>
              <w:t xml:space="preserve"> </w:t>
              <w:br w:clear="none"/>
            </w:r>
            <w:r>
              <w:t xml:space="preserve">grouped_word</w:t>
              <w:br w:clear="none"/>
            </w:r>
            <w:r>
              <w:rPr>
                <w:rStyle w:val="Text13"/>
              </w:rPr>
              <w:t xml:space="preserve">.</w:t>
              <w:br w:clear="none"/>
            </w:r>
            <w:r>
              <w:t xml:space="preserve">sub</w:t>
              <w:br w:clear="none"/>
            </w:r>
            <w:r>
              <w:rPr>
                <w:rStyle w:val="Text7"/>
              </w:rPr>
              <w:t xml:space="preserve">(</w:t>
              <w:br w:clear="none"/>
            </w:r>
            <w:r>
              <w:rPr>
                <w:rStyle w:val="Text6"/>
              </w:rPr>
              <w:t xml:space="preserve">r</w:t>
              <w:br w:clear="none"/>
            </w:r>
            <w:r>
              <w:rPr>
                <w:rStyle w:val="Text8"/>
              </w:rPr>
              <w:t xml:space="preserve">'</w:t>
              <w:br w:clear="none"/>
              <w:t xml:space="preserve">{</w:t>
              <w:br w:clear="none"/>
              <w:t xml:space="preserve">\</w:t>
              <w:br w:clear="none"/>
              <w:t xml:space="preserve">1}</w:t>
              <w:br w:clear="none"/>
              <w:t xml:space="preserve">'</w:t>
              <w:br w:clear="none"/>
            </w:r>
            <w:r>
              <w:rPr>
                <w:rStyle w:val="Text7"/>
              </w:rPr>
              <w:t xml:space="preserve">,</w:t>
              <w:br w:clear="none"/>
            </w:r>
            <w:r>
              <w:rPr>
                <w:rStyle w:val="Text6"/>
              </w:rPr>
              <w:t xml:space="preserve"> </w:t>
              <w:br w:clear="none"/>
            </w:r>
            <w:r>
              <w:t xml:space="preserve">astring</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subn</w:t>
            </w:r>
          </w:p>
        </w:tc>
        <w:tc>
          <w:tcPr>
            <w:tcW w:type="auto" w:w="0"/>
            <w:shd w:val="clear" w:color="auto" w:fill="EEF2F6"/>
            <w:tcMar>
              <w:left w:type="dxa" w:w="200"/>
              <w:top w:type="dxa" w:w="200"/>
              <w:right w:type="dxa" w:w="200"/>
              <w:bottom w:type="dxa" w:w="200"/>
            </w:tcMar>
          </w:tcPr>
          <w:p>
            <w:pPr>
              <w:pStyle w:val="Para 002"/>
            </w:pPr>
            <w:r>
              <w:rPr>
                <w:rStyle w:val="Text3"/>
              </w:rPr>
              <w:t>r</w:t>
            </w:r>
            <w:r>
              <w:rPr>
                <w:rStyle w:val="Text0"/>
              </w:rPr>
              <w:t>.subn(</w:t>
            </w:r>
            <w:r>
              <w:rPr>
                <w:rStyle w:val="Text3"/>
              </w:rPr>
              <w:t>repl</w:t>
            </w:r>
            <w:r>
              <w:rPr>
                <w:rStyle w:val="Text0"/>
              </w:rPr>
              <w:t>,</w:t>
            </w:r>
            <w:r>
              <w:t xml:space="preserve"> </w:t>
            </w:r>
            <w:r>
              <w:rPr>
                <w:rStyle w:val="Text3"/>
              </w:rPr>
              <w:t>s</w:t>
            </w:r>
            <w:r>
              <w:rPr>
                <w:rStyle w:val="Text0"/>
              </w:rPr>
              <w:t>, count=0)</w:t>
              <w:br w:clear="none"/>
            </w:r>
            <w:r>
              <w:t xml:space="preserve"> </w:t>
            </w:r>
            <w:r>
              <w:rPr>
                <w:rStyle w:val="Text0"/>
              </w:rPr>
              <w:t>subn</w:t>
            </w:r>
            <w:r>
              <w:t xml:space="preserve"> is the same as </w:t>
            </w:r>
            <w:r>
              <w:rPr>
                <w:rStyle w:val="Text0"/>
              </w:rPr>
              <w:t>sub</w:t>
            </w:r>
            <w:r>
              <w:t xml:space="preserve">, except that </w:t>
            </w:r>
            <w:r>
              <w:rPr>
                <w:rStyle w:val="Text0"/>
              </w:rPr>
              <w:t>subn</w:t>
            </w:r>
            <w:r>
              <w:t xml:space="preserve"> returns a pair </w:t>
            </w:r>
            <w:r>
              <w:rPr>
                <w:rStyle w:val="Text0"/>
              </w:rPr>
              <w:t>(</w:t>
            </w:r>
            <w:r>
              <w:rPr>
                <w:rStyle w:val="Text3"/>
              </w:rPr>
              <w:t>new_string</w:t>
            </w:r>
            <w:r>
              <w:rPr>
                <w:rStyle w:val="Text0"/>
              </w:rPr>
              <w:t>,</w:t>
            </w:r>
            <w:r>
              <w:t xml:space="preserve"> </w:t>
            </w:r>
            <w:r>
              <w:rPr>
                <w:rStyle w:val="Text3"/>
              </w:rPr>
              <w:t>n</w:t>
            </w:r>
            <w:r>
              <w:rPr>
                <w:rStyle w:val="Text0"/>
              </w:rPr>
              <w:t>)</w:t>
            </w:r>
            <w:r>
              <w:t xml:space="preserve">, where </w:t>
            </w:r>
            <w:r>
              <w:rPr>
                <w:rStyle w:val="Text3"/>
              </w:rPr>
              <w:t>n</w:t>
            </w:r>
            <w:r>
              <w:t xml:space="preserve"> is the number of substitutions that </w:t>
            </w:r>
            <w:r>
              <w:rPr>
                <w:rStyle w:val="Text0"/>
              </w:rPr>
              <w:t>subn</w:t>
            </w:r>
            <w:r>
              <w:t xml:space="preserve"> has performed. For example, here’s one way to count the number of occurrences of substring </w:t>
            </w:r>
            <w:r>
              <w:rPr>
                <w:rStyle w:val="Text0"/>
              </w:rPr>
              <w:t>'hello'</w:t>
            </w:r>
            <w:r>
              <w:t xml:space="preserve"> in any mix of cases: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t xml:space="preserve">rehello</w:t>
              <w:br w:clear="none"/>
            </w:r>
            <w:r>
              <w:rPr>
                <w:rStyle w:val="Text6"/>
              </w:rPr>
              <w:t xml:space="preserve"> </w:t>
              <w:br w:clear="none"/>
            </w:r>
            <w:r>
              <w:rPr>
                <w:rStyle w:val="Text13"/>
              </w:rPr>
              <w:t xml:space="preserve">=</w:t>
              <w:br w:clear="none"/>
            </w:r>
            <w:r>
              <w:rPr>
                <w:rStyle w:val="Text6"/>
              </w:rPr>
              <w:t xml:space="preserve"> </w:t>
              <w:br w:clear="none"/>
            </w:r>
            <w:r>
              <w:t xml:space="preserve">re</w:t>
              <w:br w:clear="none"/>
            </w:r>
            <w:r>
              <w:rPr>
                <w:rStyle w:val="Text13"/>
              </w:rPr>
              <w:t xml:space="preserve">.</w:t>
              <w:br w:clear="none"/>
            </w:r>
            <w:r>
              <w:t xml:space="preserve">compile</w:t>
              <w:br w:clear="none"/>
            </w:r>
            <w:r>
              <w:rPr>
                <w:rStyle w:val="Text7"/>
              </w:rPr>
              <w:t xml:space="preserve">(</w:t>
              <w:br w:clear="none"/>
            </w:r>
            <w:r>
              <w:rPr>
                <w:rStyle w:val="Text6"/>
              </w:rPr>
              <w:t xml:space="preserve">r</w:t>
              <w:br w:clear="none"/>
            </w:r>
            <w:r>
              <w:rPr>
                <w:rStyle w:val="Text8"/>
              </w:rP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re</w:t>
              <w:br w:clear="none"/>
            </w:r>
            <w:r>
              <w:rPr>
                <w:rStyle w:val="Text13"/>
              </w:rPr>
              <w:t xml:space="preserve">.</w:t>
              <w:br w:clear="none"/>
            </w:r>
            <w:r>
              <w:t xml:space="preserve">IGNORECASE</w:t>
              <w:br w:clear="none"/>
            </w:r>
            <w:r>
              <w:rPr>
                <w:rStyle w:val="Text7"/>
              </w:rPr>
              <w:t xml:space="preserve">)</w:t>
              <w:br w:clear="none"/>
            </w:r>
            <w:r>
              <w:rPr>
                <w:rStyle w:val="Text6"/>
              </w:rPr>
              <w:t xml:space="preserve"/>
              <w:br w:clear="none"/>
            </w:r>
            <w:r>
              <w:t xml:space="preserve">_</w:t>
              <w:br w:clear="none"/>
            </w:r>
            <w:r>
              <w:rPr>
                <w:rStyle w:val="Text7"/>
              </w:rPr>
              <w:t xml:space="preserve">,</w:t>
              <w:br w:clear="none"/>
            </w:r>
            <w:r>
              <w:rPr>
                <w:rStyle w:val="Text6"/>
              </w:rPr>
              <w:t xml:space="preserve"> </w:t>
              <w:br w:clear="none"/>
            </w:r>
            <w:r>
              <w:t xml:space="preserve">count</w:t>
              <w:br w:clear="none"/>
            </w:r>
            <w:r>
              <w:rPr>
                <w:rStyle w:val="Text6"/>
              </w:rPr>
              <w:t xml:space="preserve"> </w:t>
              <w:br w:clear="none"/>
            </w:r>
            <w:r>
              <w:rPr>
                <w:rStyle w:val="Text13"/>
              </w:rPr>
              <w:t xml:space="preserve">=</w:t>
              <w:br w:clear="none"/>
            </w:r>
            <w:r>
              <w:rPr>
                <w:rStyle w:val="Text6"/>
              </w:rPr>
              <w:t xml:space="preserve"> </w:t>
              <w:br w:clear="none"/>
            </w:r>
            <w:r>
              <w:t xml:space="preserve">rehello</w:t>
              <w:br w:clear="none"/>
            </w:r>
            <w:r>
              <w:rPr>
                <w:rStyle w:val="Text13"/>
              </w:rPr>
              <w:t xml:space="preserve">.</w:t>
              <w:br w:clear="none"/>
            </w:r>
            <w:r>
              <w:t xml:space="preserve">subn</w:t>
              <w:br w:clear="none"/>
            </w:r>
            <w:r>
              <w:rPr>
                <w:rStyle w:val="Text7"/>
              </w:rPr>
              <w:t xml:space="preserve">(</w:t>
              <w:br w:clear="none"/>
            </w:r>
            <w:r>
              <w:rPr>
                <w:rStyle w:val="Text8"/>
              </w:rPr>
              <w:t xml:space="preserve">'</w:t>
              <w:br w:clear="none"/>
              <w:t xml:space="preserve">'</w:t>
              <w:br w:clear="none"/>
            </w:r>
            <w:r>
              <w:rPr>
                <w:rStyle w:val="Text7"/>
              </w:rPr>
              <w:t xml:space="preserve">,</w:t>
              <w:br w:clear="none"/>
            </w:r>
            <w:r>
              <w:rPr>
                <w:rStyle w:val="Text6"/>
              </w:rPr>
              <w:t xml:space="preserve"> </w:t>
              <w:br w:clear="none"/>
            </w:r>
            <w:r>
              <w:t xml:space="preserve">astring</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Found </w:t>
              <w:br w:clear="none"/>
            </w:r>
            <w:r>
              <w:rPr>
                <w:rStyle w:val="Text32"/>
              </w:rPr>
              <w:t xml:space="preserve">{</w:t>
              <w:br w:clear="none"/>
            </w:r>
            <w:r>
              <w:t xml:space="preserve">count</w:t>
              <w:br w:clear="none"/>
            </w:r>
            <w:r>
              <w:rPr>
                <w:rStyle w:val="Text32"/>
              </w:rPr>
              <w:t xml:space="preserve">}</w:t>
              <w:br w:clear="none"/>
            </w:r>
            <w:r>
              <w:rPr>
                <w:rStyle w:val="Text8"/>
              </w:rPr>
              <w:t xml:space="preserve"> occurrences of </w:t>
              <w:br w:clear="none"/>
              <w:t xml:space="preserve">"</w:t>
              <w:br w:clear="none"/>
              <w:t xml:space="preserve">hello</w:t>
              <w:br w:clear="none"/>
              <w:t xml:space="preserve">"</w:t>
              <w:br w:clear="none"/>
              <w:t xml:space="preserve">'</w:t>
              <w:br w:clear="none"/>
            </w:r>
            <w:r>
              <w:rPr>
                <w:rStyle w:val="Text7"/>
              </w:rPr>
              <w:t xml:space="preserve">)</w:t>
              <w:br w:clear="none"/>
            </w:r>
            <w:r>
              <w:rPr>
                <w:rStyle w:val="Text121"/>
              </w:rPr>
            </w:r>
            <w:r>
              <w:rPr>
                <w:rStyle w:val="Text111"/>
              </w:rPr>
              <w:t xml:space="preserve"> </w:t>
              <w:br w:clear="none"/>
            </w:r>
          </w:p>
        </w:tc>
      </w:tr>
    </w:tbl>
    <w:p>
      <w:bookmarkStart w:id="2452" w:name="Match_Objects__Match_objects_are"/>
      <w:pPr>
        <w:keepNext/>
        <w:pStyle w:val="Heading 1"/>
      </w:pPr>
      <w:r>
        <w:t>Match Objects</w:t>
      </w:r>
      <w:bookmarkEnd w:id="2452"/>
    </w:p>
    <w:p>
      <w:pPr>
        <w:pStyle w:val="Normal"/>
      </w:pPr>
      <w:r>
        <w:rPr>
          <w:rStyle w:val="Text4"/>
        </w:rPr>
        <w:t>Match objects</w:t>
      </w:r>
      <w:r>
        <w:t xml:space="preserve"> are</w:t>
      </w:r>
      <w:r>
        <w:rPr>
          <w:rStyle w:val="Text111"/>
        </w:rPr>
        <w:bookmarkStart w:id="2453" w:name="REmatcho10"/>
        <w:t/>
        <w:bookmarkEnd w:id="2453"/>
        <w:bookmarkStart w:id="2454" w:name="mobj10"/>
        <w:t/>
        <w:bookmarkEnd w:id="2454"/>
      </w:r>
      <w:r>
        <w:t xml:space="preserve"> created and returned by the methods </w:t>
      </w:r>
      <w:r>
        <w:rPr>
          <w:rStyle w:val="Text0"/>
        </w:rPr>
        <w:t>fullmatch</w:t>
      </w:r>
      <w:r>
        <w:t xml:space="preserve">, </w:t>
      </w:r>
      <w:r>
        <w:rPr>
          <w:rStyle w:val="Text0"/>
        </w:rPr>
        <w:t>match</w:t>
      </w:r>
      <w:r>
        <w:t xml:space="preserve">, and </w:t>
      </w:r>
      <w:r>
        <w:rPr>
          <w:rStyle w:val="Text0"/>
        </w:rPr>
        <w:t>search</w:t>
      </w:r>
      <w:r>
        <w:t xml:space="preserve"> of a regular expression object, and are the items of the iterator returned by the method </w:t>
      </w:r>
      <w:r>
        <w:rPr>
          <w:rStyle w:val="Text0"/>
        </w:rPr>
        <w:t>finditer</w:t>
      </w:r>
      <w:r>
        <w:t xml:space="preserve">. They are also implicitly created by the methods </w:t>
      </w:r>
      <w:r>
        <w:rPr>
          <w:rStyle w:val="Text0"/>
        </w:rPr>
        <w:t>sub</w:t>
      </w:r>
      <w:r>
        <w:t xml:space="preserve"> and </w:t>
      </w:r>
      <w:r>
        <w:rPr>
          <w:rStyle w:val="Text0"/>
        </w:rPr>
        <w:t>subn</w:t>
      </w:r>
      <w:r>
        <w:t xml:space="preserve"> when the argument </w:t>
      </w:r>
      <w:r>
        <w:rPr>
          <w:rStyle w:val="Text3"/>
        </w:rPr>
        <w:t>repl</w:t>
      </w:r>
      <w:r>
        <w:t xml:space="preserve"> is callable, since in that case the appropriate match object is passed as the only argument on each call to </w:t>
      </w:r>
      <w:r>
        <w:rPr>
          <w:rStyle w:val="Text3"/>
        </w:rPr>
        <w:t>repl</w:t>
      </w:r>
      <w:r>
        <w:t xml:space="preserve">. A match object </w:t>
      </w:r>
      <w:r>
        <w:rPr>
          <w:rStyle w:val="Text3"/>
        </w:rPr>
        <w:t>m</w:t>
      </w:r>
      <w:r>
        <w:t xml:space="preserve"> supplies the following read-only attributes that detail how </w:t>
      </w:r>
      <w:r>
        <w:rPr>
          <w:rStyle w:val="Text0"/>
        </w:rPr>
        <w:t>search</w:t>
      </w:r>
      <w:r>
        <w:t xml:space="preserve"> or </w:t>
      </w:r>
      <w:r>
        <w:rPr>
          <w:rStyle w:val="Text0"/>
        </w:rPr>
        <w:t>match</w:t>
      </w:r>
      <w:r>
        <w:t xml:space="preserve"> created </w:t>
      </w:r>
      <w:r>
        <w:rPr>
          <w:rStyle w:val="Text3"/>
        </w:rPr>
        <w:t>m</w:t>
      </w:r>
      <w:r>
        <w:t xml:space="preserve">, listed in </w:t>
      </w:r>
      <w:hyperlink w:anchor="Table_10_4__Attributes_of_match">
        <w:r>
          <w:rPr>
            <w:rStyle w:val="Text1"/>
          </w:rPr>
          <w:t>Table 10-4</w:t>
        </w:r>
      </w:hyperlink>
      <w:r>
        <w:t>.</w:t>
      </w:r>
    </w:p>
    <w:tbl>
      <w:tblPr>
        <w:tblW w:type="auto" w:w="0"/>
      </w:tblPr>
      <w:tr>
        <w:tc>
          <w:tcPr>
            <w:tcW w:type="auto" w:w="0"/>
            <w:tcMar>
              <w:left w:type="dxa" w:w="200"/>
              <w:top w:type="dxa" w:w="200"/>
              <w:right w:type="dxa" w:w="200"/>
              <w:bottom w:type="dxa" w:w="200"/>
            </w:tcMar>
          </w:tcPr>
          <w:p>
            <w:bookmarkStart w:id="2455" w:name="Table_10_4__Attributes_of_match"/>
            <w:pPr>
              <w:pStyle w:val="Para 011"/>
            </w:pPr>
            <w:r>
              <w:rPr>
                <w:rStyle w:val="Text117"/>
              </w:rPr>
              <w:t/>
            </w:r>
            <w:r>
              <w:t xml:space="preserve">Table 10-4. </w:t>
              <w:t>Attributes of match objects</w:t>
            </w:r>
            <w:bookmarkEnd w:id="2455"/>
          </w:p>
          <w:p>
            <w:pPr>
              <w:pStyle w:val="Para 001"/>
            </w:pPr>
            <w:r>
              <w:t>pos</w:t>
            </w:r>
          </w:p>
        </w:tc>
        <w:tc>
          <w:tcPr>
            <w:tcW w:type="auto" w:w="0"/>
            <w:tcMar>
              <w:left w:type="dxa" w:w="200"/>
              <w:top w:type="dxa" w:w="200"/>
              <w:right w:type="dxa" w:w="200"/>
              <w:bottom w:type="dxa" w:w="200"/>
            </w:tcMar>
          </w:tcPr>
          <w:p>
            <w:pPr>
              <w:pStyle w:val="Para 002"/>
            </w:pPr>
            <w:r>
              <w:t xml:space="preserve">The </w:t>
            </w:r>
            <w:r>
              <w:rPr>
                <w:rStyle w:val="Text3"/>
              </w:rPr>
              <w:t>start</w:t>
            </w:r>
            <w:r>
              <w:t xml:space="preserve"> argument that was passed to </w:t>
            </w:r>
            <w:r>
              <w:rPr>
                <w:rStyle w:val="Text0"/>
              </w:rPr>
              <w:t>search</w:t>
            </w:r>
            <w:r>
              <w:t xml:space="preserve"> or </w:t>
            </w:r>
            <w:r>
              <w:rPr>
                <w:rStyle w:val="Text0"/>
              </w:rPr>
              <w:t>match</w:t>
            </w:r>
            <w:r>
              <w:t xml:space="preserve"> (i.e., the index into </w:t>
            </w:r>
            <w:r>
              <w:rPr>
                <w:rStyle w:val="Text3"/>
              </w:rPr>
              <w:t>s</w:t>
            </w:r>
            <w:r>
              <w:t xml:space="preserve"> where the search for a match began)</w:t>
            </w:r>
          </w:p>
        </w:tc>
      </w:tr>
    </w:tbl>
    <w:tbl>
      <w:tblPr>
        <w:tblW w:type="auto" w:w="0"/>
      </w:tblPr>
      <w:tr>
        <w:tc>
          <w:tcPr>
            <w:tcW w:type="auto" w:w="0"/>
            <w:shd w:val="clear" w:color="auto" w:fill="EEF2F6"/>
            <w:tcMar>
              <w:left w:type="dxa" w:w="200"/>
              <w:top w:type="dxa" w:w="200"/>
              <w:right w:type="dxa" w:w="200"/>
              <w:bottom w:type="dxa" w:w="200"/>
            </w:tcMar>
          </w:tcPr>
          <w:p>
            <w:pPr>
              <w:pStyle w:val="Para 001"/>
            </w:pPr>
            <w:r>
              <w:t>endpos</w:t>
            </w:r>
          </w:p>
        </w:tc>
        <w:tc>
          <w:tcPr>
            <w:tcW w:type="auto" w:w="0"/>
            <w:shd w:val="clear" w:color="auto" w:fill="EEF2F6"/>
            <w:tcMar>
              <w:left w:type="dxa" w:w="200"/>
              <w:top w:type="dxa" w:w="200"/>
              <w:right w:type="dxa" w:w="200"/>
              <w:bottom w:type="dxa" w:w="200"/>
            </w:tcMar>
          </w:tcPr>
          <w:p>
            <w:pPr>
              <w:pStyle w:val="Para 002"/>
            </w:pPr>
            <w:r>
              <w:t xml:space="preserve">The </w:t>
            </w:r>
            <w:r>
              <w:rPr>
                <w:rStyle w:val="Text3"/>
              </w:rPr>
              <w:t>end</w:t>
            </w:r>
            <w:r>
              <w:t xml:space="preserve"> argument that was passed to </w:t>
            </w:r>
            <w:r>
              <w:rPr>
                <w:rStyle w:val="Text0"/>
              </w:rPr>
              <w:t>search</w:t>
            </w:r>
            <w:r>
              <w:t xml:space="preserve"> or </w:t>
            </w:r>
            <w:r>
              <w:rPr>
                <w:rStyle w:val="Text0"/>
              </w:rPr>
              <w:t>match</w:t>
            </w:r>
            <w:r>
              <w:t xml:space="preserve"> (i.e., the index into </w:t>
            </w:r>
            <w:r>
              <w:rPr>
                <w:rStyle w:val="Text3"/>
              </w:rPr>
              <w:t>s</w:t>
            </w:r>
            <w:r>
              <w:t xml:space="preserve"> before which the matching substring of </w:t>
            </w:r>
            <w:r>
              <w:rPr>
                <w:rStyle w:val="Text3"/>
              </w:rPr>
              <w:t>s</w:t>
            </w:r>
            <w:r>
              <w:t xml:space="preserve"> had to end)</w:t>
            </w:r>
          </w:p>
        </w:tc>
      </w:tr>
    </w:tbl>
    <w:tbl>
      <w:tblPr>
        <w:tblW w:type="auto" w:w="0"/>
      </w:tblPr>
      <w:tr>
        <w:tc>
          <w:tcPr>
            <w:tcW w:type="auto" w:w="0"/>
            <w:tcMar>
              <w:left w:type="dxa" w:w="200"/>
              <w:top w:type="dxa" w:w="200"/>
              <w:right w:type="dxa" w:w="200"/>
              <w:bottom w:type="dxa" w:w="200"/>
            </w:tcMar>
          </w:tcPr>
          <w:p>
            <w:pPr>
              <w:pStyle w:val="Para 001"/>
            </w:pPr>
            <w:r>
              <w:t>lastgroup</w:t>
            </w:r>
          </w:p>
        </w:tc>
        <w:tc>
          <w:tcPr>
            <w:tcW w:type="auto" w:w="0"/>
            <w:tcMar>
              <w:left w:type="dxa" w:w="200"/>
              <w:top w:type="dxa" w:w="200"/>
              <w:right w:type="dxa" w:w="200"/>
              <w:bottom w:type="dxa" w:w="200"/>
            </w:tcMar>
          </w:tcPr>
          <w:p>
            <w:pPr>
              <w:pStyle w:val="Para 002"/>
            </w:pPr>
            <w:r>
              <w:t>The name of the last-matched group (</w:t>
            </w:r>
            <w:r>
              <w:rPr>
                <w:rStyle w:val="Text5"/>
              </w:rPr>
              <w:t>None</w:t>
            </w:r>
            <w:r>
              <w:t xml:space="preserve"> if the last-matched group has no name, or if no group participated in the match)</w:t>
            </w:r>
          </w:p>
        </w:tc>
      </w:tr>
    </w:tbl>
    <w:tbl>
      <w:tblPr>
        <w:tblW w:type="auto" w:w="0"/>
      </w:tblPr>
      <w:tr>
        <w:tc>
          <w:tcPr>
            <w:tcW w:type="auto" w:w="0"/>
            <w:shd w:val="clear" w:color="auto" w:fill="EEF2F6"/>
            <w:tcMar>
              <w:left w:type="dxa" w:w="200"/>
              <w:top w:type="dxa" w:w="200"/>
              <w:right w:type="dxa" w:w="200"/>
              <w:bottom w:type="dxa" w:w="200"/>
            </w:tcMar>
          </w:tcPr>
          <w:p>
            <w:pPr>
              <w:pStyle w:val="Para 001"/>
            </w:pPr>
            <w:r>
              <w:t>lastindex</w:t>
            </w:r>
          </w:p>
        </w:tc>
        <w:tc>
          <w:tcPr>
            <w:tcW w:type="auto" w:w="0"/>
            <w:shd w:val="clear" w:color="auto" w:fill="EEF2F6"/>
            <w:tcMar>
              <w:left w:type="dxa" w:w="200"/>
              <w:top w:type="dxa" w:w="200"/>
              <w:right w:type="dxa" w:w="200"/>
              <w:bottom w:type="dxa" w:w="200"/>
            </w:tcMar>
          </w:tcPr>
          <w:p>
            <w:pPr>
              <w:pStyle w:val="Para 002"/>
            </w:pPr>
            <w:r>
              <w:t>The integer index (</w:t>
            </w:r>
            <w:r>
              <w:rPr>
                <w:rStyle w:val="Text0"/>
              </w:rPr>
              <w:t>1</w:t>
            </w:r>
            <w:r>
              <w:t xml:space="preserve"> and up) of the last-matched group (</w:t>
            </w:r>
            <w:r>
              <w:rPr>
                <w:rStyle w:val="Text5"/>
              </w:rPr>
              <w:t>None</w:t>
            </w:r>
            <w:r>
              <w:t xml:space="preserve"> if no group participated in the match)</w:t>
            </w:r>
          </w:p>
        </w:tc>
      </w:tr>
    </w:tbl>
    <w:tbl>
      <w:tblPr>
        <w:tblW w:type="auto" w:w="0"/>
      </w:tblPr>
      <w:tr>
        <w:tc>
          <w:tcPr>
            <w:tcW w:type="auto" w:w="0"/>
            <w:tcMar>
              <w:left w:type="dxa" w:w="200"/>
              <w:top w:type="dxa" w:w="200"/>
              <w:right w:type="dxa" w:w="200"/>
              <w:bottom w:type="dxa" w:w="200"/>
            </w:tcMar>
          </w:tcPr>
          <w:p>
            <w:pPr>
              <w:pStyle w:val="Para 001"/>
            </w:pPr>
            <w:r>
              <w:t>re</w:t>
            </w:r>
          </w:p>
        </w:tc>
        <w:tc>
          <w:tcPr>
            <w:tcW w:type="auto" w:w="0"/>
            <w:tcMar>
              <w:left w:type="dxa" w:w="200"/>
              <w:top w:type="dxa" w:w="200"/>
              <w:right w:type="dxa" w:w="200"/>
              <w:bottom w:type="dxa" w:w="200"/>
            </w:tcMar>
          </w:tcPr>
          <w:p>
            <w:pPr>
              <w:pStyle w:val="Para 002"/>
            </w:pPr>
            <w:r>
              <w:t xml:space="preserve">The RE object </w:t>
            </w:r>
            <w:r>
              <w:rPr>
                <w:rStyle w:val="Text3"/>
              </w:rPr>
              <w:t>r</w:t>
            </w:r>
            <w:r>
              <w:t xml:space="preserve"> whose method created </w:t>
            </w:r>
            <w:r>
              <w:rPr>
                <w:rStyle w:val="Text3"/>
              </w:rPr>
              <w:t>m</w:t>
            </w:r>
          </w:p>
        </w:tc>
      </w:tr>
    </w:tbl>
    <w:tbl>
      <w:tblPr>
        <w:tblW w:type="auto" w:w="0"/>
      </w:tblPr>
      <w:tr>
        <w:tc>
          <w:tcPr>
            <w:tcW w:type="auto" w:w="0"/>
            <w:shd w:val="clear" w:color="auto" w:fill="EEF2F6"/>
            <w:tcMar>
              <w:left w:type="dxa" w:w="200"/>
              <w:top w:type="dxa" w:w="200"/>
              <w:right w:type="dxa" w:w="200"/>
              <w:bottom w:type="dxa" w:w="200"/>
            </w:tcMar>
          </w:tcPr>
          <w:p>
            <w:pPr>
              <w:pStyle w:val="Para 001"/>
            </w:pPr>
            <w:r>
              <w:t>string</w:t>
            </w:r>
          </w:p>
        </w:tc>
        <w:tc>
          <w:tcPr>
            <w:tcW w:type="auto" w:w="0"/>
            <w:shd w:val="clear" w:color="auto" w:fill="EEF2F6"/>
            <w:tcMar>
              <w:left w:type="dxa" w:w="200"/>
              <w:top w:type="dxa" w:w="200"/>
              <w:right w:type="dxa" w:w="200"/>
              <w:bottom w:type="dxa" w:w="200"/>
            </w:tcMar>
          </w:tcPr>
          <w:p>
            <w:pPr>
              <w:pStyle w:val="Para 002"/>
            </w:pPr>
            <w:r>
              <w:t xml:space="preserve">The string </w:t>
            </w:r>
            <w:r>
              <w:rPr>
                <w:rStyle w:val="Text3"/>
              </w:rPr>
              <w:t>s</w:t>
            </w:r>
            <w:r>
              <w:t xml:space="preserve"> passed to </w:t>
            </w:r>
            <w:r>
              <w:rPr>
                <w:rStyle w:val="Text0"/>
              </w:rPr>
              <w:t>finditer</w:t>
            </w:r>
            <w:r>
              <w:t xml:space="preserve">, </w:t>
            </w:r>
            <w:r>
              <w:rPr>
                <w:rStyle w:val="Text0"/>
              </w:rPr>
              <w:t>fullmatch</w:t>
            </w:r>
            <w:r>
              <w:t xml:space="preserve">, </w:t>
            </w:r>
            <w:r>
              <w:rPr>
                <w:rStyle w:val="Text0"/>
              </w:rPr>
              <w:t>match</w:t>
            </w:r>
            <w:r>
              <w:t xml:space="preserve">, </w:t>
            </w:r>
            <w:r>
              <w:rPr>
                <w:rStyle w:val="Text0"/>
              </w:rPr>
              <w:t>search</w:t>
            </w:r>
            <w:r>
              <w:t xml:space="preserve">, </w:t>
            </w:r>
            <w:r>
              <w:rPr>
                <w:rStyle w:val="Text0"/>
              </w:rPr>
              <w:t>sub</w:t>
            </w:r>
            <w:r>
              <w:t xml:space="preserve">, or </w:t>
            </w:r>
            <w:r>
              <w:rPr>
                <w:rStyle w:val="Text0"/>
              </w:rPr>
              <w:t>subn</w:t>
            </w:r>
          </w:p>
        </w:tc>
      </w:tr>
    </w:tbl>
    <w:p>
      <w:pPr>
        <w:pStyle w:val="Normal"/>
      </w:pPr>
      <w:r>
        <w:t xml:space="preserve">In addition, match objects supply the methods detailed in </w:t>
      </w:r>
      <w:hyperlink w:anchor="Table_10_5__Methods_of_match_obj">
        <w:r>
          <w:rPr>
            <w:rStyle w:val="Text1"/>
          </w:rPr>
          <w:t>Table 10-5</w:t>
        </w:r>
      </w:hyperlink>
      <w:r>
        <w:t>.</w:t>
      </w:r>
    </w:p>
    <w:tbl>
      <w:tblPr>
        <w:tblW w:type="auto" w:w="0"/>
      </w:tblPr>
      <w:tr>
        <w:tc>
          <w:tcPr>
            <w:tcW w:type="auto" w:w="0"/>
            <w:tcMar>
              <w:left w:type="dxa" w:w="200"/>
              <w:top w:type="dxa" w:w="200"/>
              <w:right w:type="dxa" w:w="200"/>
              <w:bottom w:type="dxa" w:w="200"/>
            </w:tcMar>
          </w:tcPr>
          <w:p>
            <w:bookmarkStart w:id="2456" w:name="Table_10_5__Methods_of_match_obj"/>
            <w:pPr>
              <w:pStyle w:val="Para 011"/>
            </w:pPr>
            <w:r>
              <w:rPr>
                <w:rStyle w:val="Text117"/>
              </w:rPr>
              <w:t/>
            </w:r>
            <w:r>
              <w:t xml:space="preserve">Table 10-5. </w:t>
              <w:t>Methods of match objects</w:t>
            </w:r>
            <w:bookmarkEnd w:id="2456"/>
          </w:p>
          <w:p>
            <w:pPr>
              <w:pStyle w:val="Para 001"/>
            </w:pPr>
            <w:r>
              <w:t>end</w:t>
            </w:r>
            <w:r>
              <w:rPr>
                <w:rStyle w:val="Text12"/>
              </w:rPr>
              <w:t>,</w:t>
              <w:br w:clear="none"/>
              <w:t xml:space="preserve"> </w:t>
            </w:r>
            <w:r>
              <w:t>span</w:t>
            </w:r>
            <w:r>
              <w:rPr>
                <w:rStyle w:val="Text12"/>
              </w:rPr>
              <w:t>,</w:t>
              <w:br w:clear="none"/>
              <w:t xml:space="preserve"> </w:t>
            </w:r>
            <w:r>
              <w:t>start</w:t>
            </w:r>
          </w:p>
        </w:tc>
        <w:tc>
          <w:tcPr>
            <w:tcW w:type="auto" w:w="0"/>
            <w:tcMar>
              <w:left w:type="dxa" w:w="200"/>
              <w:top w:type="dxa" w:w="200"/>
              <w:right w:type="dxa" w:w="200"/>
              <w:bottom w:type="dxa" w:w="200"/>
            </w:tcMar>
          </w:tcPr>
          <w:p>
            <w:pPr>
              <w:pStyle w:val="Para 002"/>
            </w:pPr>
            <w:r>
              <w:rPr>
                <w:rStyle w:val="Text3"/>
              </w:rPr>
              <w:t>m</w:t>
            </w:r>
            <w:r>
              <w:rPr>
                <w:rStyle w:val="Text0"/>
              </w:rPr>
              <w:t>.end(groupid=0)</w:t>
            </w:r>
            <w:r>
              <w:t>,</w:t>
              <w:br w:clear="none"/>
              <w:t xml:space="preserve"> </w:t>
            </w:r>
            <w:r>
              <w:rPr>
                <w:rStyle w:val="Text3"/>
              </w:rPr>
              <w:t>m</w:t>
            </w:r>
            <w:r>
              <w:rPr>
                <w:rStyle w:val="Text0"/>
              </w:rPr>
              <w:t>.span(groupid=0)</w:t>
            </w:r>
            <w:r>
              <w:t>,</w:t>
              <w:br w:clear="none"/>
              <w:t xml:space="preserve"> </w:t>
            </w:r>
            <w:r>
              <w:rPr>
                <w:rStyle w:val="Text3"/>
              </w:rPr>
              <w:t>m</w:t>
            </w:r>
            <w:r>
              <w:rPr>
                <w:rStyle w:val="Text0"/>
              </w:rPr>
              <w:t>.start(groupid=0)</w:t>
              <w:br w:clear="none"/>
            </w:r>
            <w:r>
              <w:t xml:space="preserve"> These methods return indices within </w:t>
            </w:r>
            <w:r>
              <w:rPr>
                <w:rStyle w:val="Text3"/>
              </w:rPr>
              <w:t>m</w:t>
            </w:r>
            <w:r>
              <w:rPr>
                <w:rStyle w:val="Text0"/>
              </w:rPr>
              <w:t>.string</w:t>
            </w:r>
            <w:r>
              <w:t xml:space="preserve"> of the substring that matches the group identified by </w:t>
            </w:r>
            <w:r>
              <w:rPr>
                <w:rStyle w:val="Text3"/>
              </w:rPr>
              <w:t>groupid</w:t>
            </w:r>
            <w:r>
              <w:t xml:space="preserve"> (a group number or name; </w:t>
            </w:r>
            <w:r>
              <w:rPr>
                <w:rStyle w:val="Text0"/>
              </w:rPr>
              <w:t>0</w:t>
            </w:r>
            <w:r>
              <w:t xml:space="preserve">, the default value for </w:t>
            </w:r>
            <w:r>
              <w:rPr>
                <w:rStyle w:val="Text0"/>
              </w:rPr>
              <w:t>groupid</w:t>
            </w:r>
            <w:r>
              <w:t xml:space="preserve">, means “the whole RE”). When the matching substring is </w:t>
            </w:r>
            <w:r>
              <w:rPr>
                <w:rStyle w:val="Text3"/>
              </w:rPr>
              <w:t>m</w:t>
            </w:r>
            <w:r>
              <w:rPr>
                <w:rStyle w:val="Text0"/>
              </w:rPr>
              <w:t>.string[</w:t>
            </w:r>
            <w:r>
              <w:rPr>
                <w:rStyle w:val="Text3"/>
              </w:rPr>
              <w:t>i</w:t>
            </w:r>
            <w:r>
              <w:rPr>
                <w:rStyle w:val="Text0"/>
              </w:rPr>
              <w:t>:</w:t>
            </w:r>
            <w:r>
              <w:rPr>
                <w:rStyle w:val="Text3"/>
              </w:rPr>
              <w:t>j</w:t>
            </w:r>
            <w:r>
              <w:rPr>
                <w:rStyle w:val="Text0"/>
              </w:rPr>
              <w:t>]</w:t>
            </w:r>
            <w:r>
              <w:t xml:space="preserve">, </w:t>
            </w:r>
            <w:r>
              <w:rPr>
                <w:rStyle w:val="Text3"/>
              </w:rPr>
              <w:t>m</w:t>
            </w:r>
            <w:r>
              <w:rPr>
                <w:rStyle w:val="Text0"/>
              </w:rPr>
              <w:t>.start</w:t>
            </w:r>
            <w:r>
              <w:t xml:space="preserve"> returns </w:t>
            </w:r>
            <w:r>
              <w:rPr>
                <w:rStyle w:val="Text3"/>
              </w:rPr>
              <w:t>i</w:t>
            </w:r>
            <w:r>
              <w:t xml:space="preserve">, </w:t>
            </w:r>
            <w:r>
              <w:rPr>
                <w:rStyle w:val="Text3"/>
              </w:rPr>
              <w:t>m</w:t>
            </w:r>
            <w:r>
              <w:rPr>
                <w:rStyle w:val="Text0"/>
              </w:rPr>
              <w:t>.end</w:t>
            </w:r>
            <w:r>
              <w:t xml:space="preserve"> returns </w:t>
            </w:r>
            <w:r>
              <w:rPr>
                <w:rStyle w:val="Text3"/>
              </w:rPr>
              <w:t>j</w:t>
            </w:r>
            <w:r>
              <w:t xml:space="preserve">, and </w:t>
            </w:r>
            <w:r>
              <w:rPr>
                <w:rStyle w:val="Text3"/>
              </w:rPr>
              <w:t>m</w:t>
            </w:r>
            <w:r>
              <w:rPr>
                <w:rStyle w:val="Text0"/>
              </w:rPr>
              <w:t>.span</w:t>
            </w:r>
            <w:r>
              <w:t xml:space="preserve"> returns </w:t>
            </w:r>
            <w:r>
              <w:rPr>
                <w:rStyle w:val="Text0"/>
              </w:rPr>
              <w:t>(</w:t>
            </w:r>
            <w:r>
              <w:rPr>
                <w:rStyle w:val="Text3"/>
              </w:rPr>
              <w:t>i</w:t>
            </w:r>
            <w:r>
              <w:rPr>
                <w:rStyle w:val="Text0"/>
              </w:rPr>
              <w:t>,</w:t>
            </w:r>
            <w:r>
              <w:t xml:space="preserve"> </w:t>
            </w:r>
            <w:r>
              <w:rPr>
                <w:rStyle w:val="Text3"/>
              </w:rPr>
              <w:t>j</w:t>
            </w:r>
            <w:r>
              <w:rPr>
                <w:rStyle w:val="Text0"/>
              </w:rPr>
              <w:t>)</w:t>
            </w:r>
            <w:r>
              <w:t xml:space="preserve">. If the group did not participate in the match, </w:t>
            </w:r>
            <w:r>
              <w:rPr>
                <w:rStyle w:val="Text3"/>
              </w:rPr>
              <w:t>i</w:t>
            </w:r>
            <w:r>
              <w:t xml:space="preserve"> and </w:t>
            </w:r>
            <w:r>
              <w:rPr>
                <w:rStyle w:val="Text3"/>
              </w:rPr>
              <w:t>j</w:t>
            </w:r>
            <w:r>
              <w:t xml:space="preserve"> are </w:t>
            </w:r>
            <w:r>
              <w:rPr>
                <w:rStyle w:val="Text0"/>
              </w:rPr>
              <w:t>-1</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expand</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.expand(</w:t>
            </w:r>
            <w:r>
              <w:rPr>
                <w:rStyle w:val="Text3"/>
              </w:rPr>
              <w:t>s</w:t>
            </w:r>
            <w:r>
              <w:rPr>
                <w:rStyle w:val="Text0"/>
              </w:rPr>
              <w:t>)</w:t>
              <w:br w:clear="none"/>
            </w:r>
            <w:r>
              <w:t xml:space="preserve"> Returns a copy of </w:t>
            </w:r>
            <w:r>
              <w:rPr>
                <w:rStyle w:val="Text3"/>
              </w:rPr>
              <w:t>s</w:t>
            </w:r>
            <w:r>
              <w:t xml:space="preserve"> where escape sequences and backreferences are replaced in the same way as for the method </w:t>
            </w:r>
            <w:r>
              <w:rPr>
                <w:rStyle w:val="Text3"/>
              </w:rPr>
              <w:t>r</w:t>
            </w:r>
            <w:r>
              <w:rPr>
                <w:rStyle w:val="Text0"/>
              </w:rPr>
              <w:t>.sub</w:t>
            </w:r>
            <w:r>
              <w:t xml:space="preserve">, covered in </w:t>
            </w:r>
            <w:hyperlink w:anchor="Table_10_3__Methods_of_RE_object">
              <w:r>
                <w:rPr>
                  <w:rStyle w:val="Text1"/>
                </w:rPr>
                <w:t>Table 10-3</w:t>
              </w:r>
            </w:hyperlink>
            <w:r>
              <w:t>.</w:t>
            </w:r>
          </w:p>
        </w:tc>
      </w:tr>
    </w:tbl>
    <w:tbl>
      <w:tblPr>
        <w:tblW w:type="auto" w:w="0"/>
      </w:tblPr>
      <w:tr>
        <w:tc>
          <w:tcPr>
            <w:tcW w:type="auto" w:w="0"/>
            <w:tcMar>
              <w:left w:type="dxa" w:w="200"/>
              <w:top w:type="dxa" w:w="200"/>
              <w:right w:type="dxa" w:w="200"/>
              <w:bottom w:type="dxa" w:w="200"/>
            </w:tcMar>
          </w:tcPr>
          <w:p>
            <w:pPr>
              <w:pStyle w:val="Para 001"/>
            </w:pPr>
            <w:r>
              <w:t>group</w:t>
            </w:r>
          </w:p>
        </w:tc>
        <w:tc>
          <w:tcPr>
            <w:tcW w:type="auto" w:w="0"/>
            <w:tcMar>
              <w:left w:type="dxa" w:w="200"/>
              <w:top w:type="dxa" w:w="200"/>
              <w:right w:type="dxa" w:w="200"/>
              <w:bottom w:type="dxa" w:w="200"/>
            </w:tcMar>
          </w:tcPr>
          <w:p>
            <w:pPr>
              <w:pStyle w:val="Para 002"/>
            </w:pPr>
            <w:r>
              <w:rPr>
                <w:rStyle w:val="Text3"/>
              </w:rPr>
              <w:t>m</w:t>
            </w:r>
            <w:r>
              <w:rPr>
                <w:rStyle w:val="Text0"/>
              </w:rPr>
              <w:t>.group(groupid=0,</w:t>
            </w:r>
            <w:r>
              <w:t xml:space="preserve"> </w:t>
            </w:r>
            <w:r>
              <w:rPr>
                <w:rStyle w:val="Text3"/>
              </w:rPr>
              <w:t>*groupids</w:t>
            </w:r>
            <w:r>
              <w:rPr>
                <w:rStyle w:val="Text0"/>
              </w:rPr>
              <w:t>)</w:t>
              <w:br w:clear="none"/>
            </w:r>
            <w:r>
              <w:t xml:space="preserve"> Called with a single argument </w:t>
            </w:r>
            <w:r>
              <w:rPr>
                <w:rStyle w:val="Text0"/>
              </w:rPr>
              <w:t>groupid</w:t>
            </w:r>
            <w:r>
              <w:t xml:space="preserve"> (a group number or name), </w:t>
            </w:r>
            <w:r>
              <w:rPr>
                <w:rStyle w:val="Text3"/>
              </w:rPr>
              <w:t>m</w:t>
            </w:r>
            <w:r>
              <w:rPr>
                <w:rStyle w:val="Text0"/>
              </w:rPr>
              <w:t>.group</w:t>
            </w:r>
            <w:r>
              <w:t xml:space="preserve"> returns the substring matching the group identified by </w:t>
            </w:r>
            <w:r>
              <w:rPr>
                <w:rStyle w:val="Text0"/>
              </w:rPr>
              <w:t>groupid</w:t>
            </w:r>
            <w:r>
              <w:t xml:space="preserve">, or </w:t>
            </w:r>
            <w:r>
              <w:rPr>
                <w:rStyle w:val="Text5"/>
              </w:rPr>
              <w:t>None</w:t>
            </w:r>
            <w:r>
              <w:t xml:space="preserve"> when that group did not participate in the match. </w:t>
            </w:r>
            <w:r>
              <w:rPr>
                <w:rStyle w:val="Text3"/>
              </w:rPr>
              <w:t>m</w:t>
            </w:r>
            <w:r>
              <w:rPr>
                <w:rStyle w:val="Text0"/>
              </w:rPr>
              <w:t>.group()</w:t>
            </w:r>
            <w:r>
              <w:t xml:space="preserve">—or </w:t>
            </w:r>
            <w:r>
              <w:rPr>
                <w:rStyle w:val="Text3"/>
              </w:rPr>
              <w:t>m</w:t>
            </w:r>
            <w:r>
              <w:rPr>
                <w:rStyle w:val="Text0"/>
              </w:rPr>
              <w:t>.group(0</w:t>
            </w:r>
            <w:r>
              <w:t xml:space="preserve">)—returns the whole matched substring (group </w:t>
            </w:r>
            <w:r>
              <w:rPr>
                <w:rStyle w:val="Text0"/>
              </w:rPr>
              <w:t>0</w:t>
            </w:r>
            <w:r>
              <w:t xml:space="preserve"> means the whole RE). Groups can also be accessed using </w:t>
            </w:r>
            <w:r>
              <w:rPr>
                <w:rStyle w:val="Text3"/>
              </w:rPr>
              <w:t>m</w:t>
            </w:r>
            <w:r>
              <w:rPr>
                <w:rStyle w:val="Text0"/>
              </w:rPr>
              <w:t>[</w:t>
            </w:r>
            <w:r>
              <w:rPr>
                <w:rStyle w:val="Text3"/>
              </w:rPr>
              <w:t>index</w:t>
            </w:r>
            <w:r>
              <w:rPr>
                <w:rStyle w:val="Text0"/>
              </w:rPr>
              <w:t>]</w:t>
            </w:r>
            <w:r>
              <w:t xml:space="preserve"> notation, as if called using </w:t>
            </w:r>
            <w:r>
              <w:rPr>
                <w:rStyle w:val="Text3"/>
              </w:rPr>
              <w:t>m</w:t>
            </w:r>
            <w:r>
              <w:rPr>
                <w:rStyle w:val="Text0"/>
              </w:rPr>
              <w:t>.group(</w:t>
            </w:r>
            <w:r>
              <w:rPr>
                <w:rStyle w:val="Text3"/>
              </w:rPr>
              <w:t>index</w:t>
            </w:r>
            <w:r>
              <w:rPr>
                <w:rStyle w:val="Text0"/>
              </w:rPr>
              <w:t>)</w:t>
            </w:r>
            <w:r>
              <w:t xml:space="preserve"> (in either case, </w:t>
            </w:r>
            <w:r>
              <w:rPr>
                <w:rStyle w:val="Text3"/>
              </w:rPr>
              <w:t>index</w:t>
            </w:r>
            <w:r>
              <w:t xml:space="preserve"> may be an </w:t>
            </w:r>
            <w:r>
              <w:rPr>
                <w:rStyle w:val="Text0"/>
              </w:rPr>
              <w:t>int</w:t>
            </w:r>
            <w:r>
              <w:t xml:space="preserve"> or a </w:t>
            </w:r>
            <w:r>
              <w:rPr>
                <w:rStyle w:val="Text0"/>
              </w:rPr>
              <w:t>str</w:t>
            </w:r>
            <w:r>
              <w:t>).</w:t>
              <w:br w:clear="none"/>
              <w:t xml:space="preserve"> When </w:t>
            </w:r>
            <w:r>
              <w:rPr>
                <w:rStyle w:val="Text0"/>
              </w:rPr>
              <w:t>group</w:t>
            </w:r>
            <w:r>
              <w:t xml:space="preserve"> is called with multiple arguments, each argument must be a group number or name. </w:t>
            </w:r>
            <w:r>
              <w:rPr>
                <w:rStyle w:val="Text0"/>
              </w:rPr>
              <w:t>group</w:t>
            </w:r>
            <w:r>
              <w:t xml:space="preserve"> then returns a tuple with one item per argument, the substring matching the corresponding group, or </w:t>
            </w:r>
            <w:r>
              <w:rPr>
                <w:rStyle w:val="Text5"/>
              </w:rPr>
              <w:t>None</w:t>
            </w:r>
            <w:r>
              <w:t xml:space="preserve"> when that group did not participate in the match.</w:t>
            </w:r>
          </w:p>
        </w:tc>
      </w:tr>
    </w:tbl>
    <w:tbl>
      <w:tblPr>
        <w:tblW w:type="auto" w:w="0"/>
      </w:tblPr>
      <w:tr>
        <w:tc>
          <w:tcPr>
            <w:tcW w:type="auto" w:w="0"/>
            <w:shd w:val="clear" w:color="auto" w:fill="EEF2F6"/>
            <w:tcMar>
              <w:left w:type="dxa" w:w="200"/>
              <w:top w:type="dxa" w:w="200"/>
              <w:right w:type="dxa" w:w="200"/>
              <w:bottom w:type="dxa" w:w="200"/>
            </w:tcMar>
          </w:tcPr>
          <w:p>
            <w:pPr>
              <w:pStyle w:val="Para 001"/>
            </w:pPr>
            <w:r>
              <w:t>groupdict</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.groupdict(default=</w:t>
            </w:r>
            <w:r>
              <w:rPr>
                <w:rStyle w:val="Text5"/>
              </w:rPr>
              <w:t>None</w:t>
            </w:r>
            <w:r>
              <w:rPr>
                <w:rStyle w:val="Text0"/>
              </w:rPr>
              <w:t>)</w:t>
              <w:br w:clear="none"/>
            </w:r>
            <w:r>
              <w:t xml:space="preserve"> Returns a dictionary whose keys are the names of all named groups in </w:t>
            </w:r>
            <w:r>
              <w:rPr>
                <w:rStyle w:val="Text3"/>
              </w:rPr>
              <w:t>r</w:t>
            </w:r>
            <w:r>
              <w:t xml:space="preserve">. The value for each name is the substring that matches the corresponding group, or </w:t>
            </w:r>
            <w:r>
              <w:rPr>
                <w:rStyle w:val="Text0"/>
              </w:rPr>
              <w:t>default</w:t>
            </w:r>
            <w:r>
              <w:t xml:space="preserve"> if that group did not participate in the match.</w:t>
            </w:r>
            <w:r>
              <w:rPr>
                <w:rStyle w:val="Text111"/>
              </w:rPr>
              <w:bookmarkStart w:id="2457" w:name="idm45965206992304"/>
              <w:t/>
              <w:bookmarkEnd w:id="2457"/>
              <w:bookmarkStart w:id="2458" w:name="idm45965206990928"/>
              <w:t/>
              <w:bookmarkEnd w:id="2458"/>
            </w:r>
          </w:p>
        </w:tc>
      </w:tr>
    </w:tbl>
    <w:tbl>
      <w:tblPr>
        <w:tblW w:type="auto" w:w="0"/>
      </w:tblPr>
      <w:tr>
        <w:tc>
          <w:tcPr>
            <w:tcW w:type="auto" w:w="0"/>
            <w:tcMar>
              <w:left w:type="dxa" w:w="200"/>
              <w:top w:type="dxa" w:w="200"/>
              <w:right w:type="dxa" w:w="200"/>
              <w:bottom w:type="dxa" w:w="200"/>
            </w:tcMar>
          </w:tcPr>
          <w:p>
            <w:pPr>
              <w:pStyle w:val="Para 001"/>
            </w:pPr>
            <w:r>
              <w:t>groups</w:t>
            </w:r>
          </w:p>
        </w:tc>
        <w:tc>
          <w:tcPr>
            <w:tcW w:type="auto" w:w="0"/>
            <w:tcMar>
              <w:left w:type="dxa" w:w="200"/>
              <w:top w:type="dxa" w:w="200"/>
              <w:right w:type="dxa" w:w="200"/>
              <w:bottom w:type="dxa" w:w="200"/>
            </w:tcMar>
          </w:tcPr>
          <w:p>
            <w:pPr>
              <w:pStyle w:val="Para 002"/>
            </w:pPr>
            <w:r>
              <w:rPr>
                <w:rStyle w:val="Text3"/>
              </w:rPr>
              <w:t>m</w:t>
            </w:r>
            <w:r>
              <w:rPr>
                <w:rStyle w:val="Text0"/>
              </w:rPr>
              <w:t>.groups(default=</w:t>
            </w:r>
            <w:r>
              <w:rPr>
                <w:rStyle w:val="Text5"/>
              </w:rPr>
              <w:t>None</w:t>
            </w:r>
            <w:r>
              <w:rPr>
                <w:rStyle w:val="Text0"/>
              </w:rPr>
              <w:t>)</w:t>
              <w:br w:clear="none"/>
            </w:r>
            <w:r>
              <w:t xml:space="preserve"> Returns a tuple with one item per group in </w:t>
            </w:r>
            <w:r>
              <w:rPr>
                <w:rStyle w:val="Text3"/>
              </w:rPr>
              <w:t>r</w:t>
            </w:r>
            <w:r>
              <w:t xml:space="preserve">. Each item is the substring matching the corresponding group, or </w:t>
            </w:r>
            <w:r>
              <w:rPr>
                <w:rStyle w:val="Text0"/>
              </w:rPr>
              <w:t>default</w:t>
            </w:r>
            <w:r>
              <w:t xml:space="preserve"> if that group did not participate in the match. The tuple does not include the </w:t>
            </w:r>
            <w:r>
              <w:rPr>
                <w:rStyle w:val="Text0"/>
              </w:rPr>
              <w:t>0</w:t>
            </w:r>
            <w:r>
              <w:t xml:space="preserve"> group representing the full pattern match.</w:t>
            </w:r>
          </w:p>
        </w:tc>
      </w:tr>
    </w:tbl>
    <w:p>
      <w:bookmarkStart w:id="2459" w:name="Functions_of_the_re_Module__In_a"/>
      <w:pPr>
        <w:keepNext/>
        <w:pStyle w:val="Heading 1"/>
      </w:pPr>
      <w:r>
        <w:t>Functions of the re Module</w:t>
      </w:r>
      <w:bookmarkEnd w:id="2459"/>
    </w:p>
    <w:p>
      <w:pPr>
        <w:pStyle w:val="Normal"/>
      </w:pPr>
      <w:r>
        <w:t>In</w:t>
      </w:r>
      <w:r>
        <w:rPr>
          <w:rStyle w:val="Text111"/>
        </w:rPr>
        <w:bookmarkStart w:id="2460" w:name="idm45965206981424"/>
        <w:t/>
        <w:bookmarkEnd w:id="2460"/>
      </w:r>
      <w:r>
        <w:t xml:space="preserve"> addition to the attributes listed in </w:t>
      </w:r>
      <w:hyperlink w:anchor="Optional_Flags__The_optional_fla">
        <w:r>
          <w:rPr>
            <w:rStyle w:val="Text1"/>
          </w:rPr>
          <w:t>“Optional Flags”</w:t>
        </w:r>
      </w:hyperlink>
      <w:r>
        <w:t xml:space="preserve">, the </w:t>
      </w:r>
      <w:r>
        <w:rPr>
          <w:rStyle w:val="Text0"/>
        </w:rPr>
        <w:t>re</w:t>
      </w:r>
      <w:r>
        <w:t xml:space="preserve"> module provides one function for each method of a regular expression object (</w:t>
      </w:r>
      <w:r>
        <w:rPr>
          <w:rStyle w:val="Text0"/>
        </w:rPr>
        <w:t>findall</w:t>
      </w:r>
      <w:r>
        <w:t xml:space="preserve">, </w:t>
      </w:r>
      <w:r>
        <w:rPr>
          <w:rStyle w:val="Text0"/>
        </w:rPr>
        <w:t>finditer</w:t>
      </w:r>
      <w:r>
        <w:t xml:space="preserve">, </w:t>
      </w:r>
      <w:r>
        <w:rPr>
          <w:rStyle w:val="Text0"/>
        </w:rPr>
        <w:t>fullmatch</w:t>
      </w:r>
      <w:r>
        <w:t xml:space="preserve">, </w:t>
      </w:r>
      <w:r>
        <w:rPr>
          <w:rStyle w:val="Text0"/>
        </w:rPr>
        <w:t>match</w:t>
      </w:r>
      <w:r>
        <w:t xml:space="preserve">, </w:t>
      </w:r>
      <w:r>
        <w:rPr>
          <w:rStyle w:val="Text0"/>
        </w:rPr>
        <w:t>search</w:t>
      </w:r>
      <w:r>
        <w:t xml:space="preserve">, </w:t>
      </w:r>
      <w:r>
        <w:rPr>
          <w:rStyle w:val="Text0"/>
        </w:rPr>
        <w:t>split</w:t>
      </w:r>
      <w:r>
        <w:t xml:space="preserve">, </w:t>
      </w:r>
      <w:r>
        <w:rPr>
          <w:rStyle w:val="Text0"/>
        </w:rPr>
        <w:t>sub</w:t>
      </w:r>
      <w:r>
        <w:t xml:space="preserve">, and </w:t>
      </w:r>
      <w:r>
        <w:rPr>
          <w:rStyle w:val="Text0"/>
        </w:rPr>
        <w:t>subn</w:t>
      </w:r>
      <w:r>
        <w:t xml:space="preserve">, described in </w:t>
      </w:r>
      <w:hyperlink w:anchor="Table_10_3__Methods_of_RE_object">
        <w:r>
          <w:rPr>
            <w:rStyle w:val="Text1"/>
          </w:rPr>
          <w:t>Table 10-3</w:t>
        </w:r>
      </w:hyperlink>
      <w:r>
        <w:t xml:space="preserve">), each with an additional first argument, a pattern string that the function implicitly compiles into an RE object. It is usually better to compile pattern strings into RE objects explicitly and call the RE object’s methods, but sometimes, for a one-off use of an RE pattern, calling functions of the module </w:t>
      </w:r>
      <w:r>
        <w:rPr>
          <w:rStyle w:val="Text0"/>
        </w:rPr>
        <w:t>re</w:t>
      </w:r>
      <w:r>
        <w:t xml:space="preserve"> can be handier. For example, to count the number of occurrences of </w:t>
      </w:r>
      <w:r>
        <w:rPr>
          <w:rStyle w:val="Text0"/>
        </w:rPr>
        <w:t>'hello'</w:t>
      </w:r>
      <w:r>
        <w:t xml:space="preserve"> in any mix of cases, one concise, function-based way is:</w:t>
      </w:r>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re</w:t>
        <w:br w:clear="none"/>
      </w:r>
      <w:r>
        <w:rPr>
          <w:rStyle w:val="Text6"/>
        </w:rPr>
        <w:t xml:space="preserve"/>
        <w:br w:clear="none"/>
      </w:r>
      <w:r>
        <w:rPr>
          <w:rStyle w:val="Text9"/>
        </w:rPr>
        <w:t xml:space="preserve">_</w:t>
        <w:br w:clear="none"/>
      </w:r>
      <w:r>
        <w:rPr>
          <w:rStyle w:val="Text7"/>
        </w:rPr>
        <w:t xml:space="preserve">,</w:t>
        <w:br w:clear="none"/>
      </w:r>
      <w:r>
        <w:rPr>
          <w:rStyle w:val="Text6"/>
        </w:rPr>
        <w:t xml:space="preserve"> </w:t>
        <w:br w:clear="none"/>
      </w:r>
      <w:r>
        <w:rPr>
          <w:rStyle w:val="Text9"/>
        </w:rPr>
        <w:t xml:space="preserve">count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subn</w:t>
        <w:br w:clear="none"/>
      </w:r>
      <w:r>
        <w:rPr>
          <w:rStyle w:val="Text7"/>
        </w:rPr>
        <w:t xml:space="preserve">(</w:t>
        <w:br w:clear="none"/>
      </w:r>
      <w:r>
        <w:rPr>
          <w:rStyle w:val="Text6"/>
        </w:rPr>
        <w:t xml:space="preserve">r</w:t>
        <w:br w:clear="none"/>
      </w:r>
      <w:r>
        <w:t xml:space="preserve">'</w:t>
        <w:br w:clear="none"/>
        <w:t xml:space="preserve">hello</w:t>
        <w:br w:clear="none"/>
        <w:t xml:space="preserve">'</w:t>
        <w:br w:clear="none"/>
      </w:r>
      <w:r>
        <w:rPr>
          <w:rStyle w:val="Text7"/>
        </w:rPr>
        <w:t xml:space="preserve">,</w:t>
        <w:br w:clear="none"/>
      </w:r>
      <w:r>
        <w:rPr>
          <w:rStyle w:val="Text6"/>
        </w:rPr>
        <w:t xml:space="preserve"> </w:t>
        <w:br w:clear="none"/>
      </w:r>
      <w:r>
        <w:t xml:space="preserve">'</w:t>
        <w:br w:clear="none"/>
        <w:t xml:space="preserve">'</w:t>
        <w:br w:clear="none"/>
      </w:r>
      <w:r>
        <w:rPr>
          <w:rStyle w:val="Text7"/>
        </w:rPr>
        <w:t xml:space="preserve">,</w:t>
        <w:br w:clear="none"/>
      </w:r>
      <w:r>
        <w:rPr>
          <w:rStyle w:val="Text6"/>
        </w:rPr>
        <w:t xml:space="preserve"> </w:t>
        <w:br w:clear="none"/>
      </w:r>
      <w:r>
        <w:rPr>
          <w:rStyle w:val="Text9"/>
        </w:rPr>
        <w:t xml:space="preserve">astring</w:t>
        <w:br w:clear="none"/>
      </w:r>
      <w:r>
        <w:rPr>
          <w:rStyle w:val="Text7"/>
        </w:rPr>
        <w:t xml:space="preserve">,</w:t>
        <w:br w:clear="none"/>
      </w:r>
      <w:r>
        <w:rPr>
          <w:rStyle w:val="Text6"/>
        </w:rPr>
        <w:t xml:space="preserve"> </w:t>
        <w:br w:clear="none"/>
      </w:r>
      <w:r>
        <w:rPr>
          <w:rStyle w:val="Text9"/>
        </w:rPr>
        <w:t xml:space="preserve">flags</w:t>
        <w:br w:clear="none"/>
      </w:r>
      <w:r>
        <w:rPr>
          <w:rStyle w:val="Text13"/>
        </w:rPr>
        <w:t xml:space="preserve">=</w:t>
        <w:br w:clear="none"/>
      </w:r>
      <w:r>
        <w:rPr>
          <w:rStyle w:val="Text9"/>
        </w:rPr>
        <w:t xml:space="preserve">re</w:t>
        <w:br w:clear="none"/>
      </w:r>
      <w:r>
        <w:rPr>
          <w:rStyle w:val="Text13"/>
        </w:rPr>
        <w:t xml:space="preserve">.</w:t>
        <w:br w:clear="none"/>
      </w:r>
      <w:r>
        <w:rPr>
          <w:rStyle w:val="Text9"/>
        </w:rPr>
        <w:t xml:space="preserve">I</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Found </w:t>
        <w:br w:clear="none"/>
      </w:r>
      <w:r>
        <w:rPr>
          <w:rStyle w:val="Text32"/>
        </w:rPr>
        <w:t xml:space="preserve">{</w:t>
        <w:br w:clear="none"/>
      </w:r>
      <w:r>
        <w:rPr>
          <w:rStyle w:val="Text9"/>
        </w:rPr>
        <w:t xml:space="preserve">count</w:t>
        <w:br w:clear="none"/>
      </w:r>
      <w:r>
        <w:rPr>
          <w:rStyle w:val="Text32"/>
        </w:rPr>
        <w:t xml:space="preserve">}</w:t>
        <w:br w:clear="none"/>
      </w:r>
      <w:r>
        <w:t xml:space="preserve"> occurrences of </w:t>
        <w:br w:clear="none"/>
        <w:t xml:space="preserve">"</w:t>
        <w:br w:clear="none"/>
        <w:t xml:space="preserve">hello</w:t>
        <w:br w:clear="none"/>
        <w:t xml:space="preserve">"</w:t>
        <w:br w:clear="none"/>
        <w:t xml:space="preserve">'</w:t>
        <w:br w:clear="none"/>
      </w:r>
      <w:r>
        <w:rPr>
          <w:rStyle w:val="Text7"/>
        </w:rPr>
        <w:t xml:space="preserve">)</w:t>
        <w:br w:clear="none"/>
      </w:r>
    </w:p>
    <w:p>
      <w:pPr>
        <w:pStyle w:val="Normal"/>
      </w:pPr>
      <w:r>
        <w:t xml:space="preserve">The </w:t>
      </w:r>
      <w:r>
        <w:rPr>
          <w:rStyle w:val="Text0"/>
        </w:rPr>
        <w:t>re</w:t>
      </w:r>
      <w:r>
        <w:t xml:space="preserve"> module internally caches RE objects it creates from the patterns passed to functions; to purge the cache and reclaim some memory, call </w:t>
      </w:r>
      <w:r>
        <w:rPr>
          <w:rStyle w:val="Text0"/>
        </w:rPr>
        <w:t>re.purge</w:t>
      </w:r>
      <w:r>
        <w:t>.</w:t>
      </w:r>
    </w:p>
    <w:p>
      <w:pPr>
        <w:pStyle w:val="Normal"/>
      </w:pPr>
      <w:r>
        <w:t xml:space="preserve">The </w:t>
      </w:r>
      <w:r>
        <w:rPr>
          <w:rStyle w:val="Text0"/>
        </w:rPr>
        <w:t>re</w:t>
      </w:r>
      <w:r>
        <w:t xml:space="preserve"> module also supplies </w:t>
      </w:r>
      <w:r>
        <w:rPr>
          <w:rStyle w:val="Text0"/>
        </w:rPr>
        <w:t>error</w:t>
      </w:r>
      <w:r>
        <w:t xml:space="preserve">, the class of exceptions raised upon errors (generally, errors in the syntax of a pattern string), and two more functions, listed in </w:t>
      </w:r>
      <w:hyperlink w:anchor="Table_10_6__Additional_re_functi">
        <w:r>
          <w:rPr>
            <w:rStyle w:val="Text1"/>
          </w:rPr>
          <w:t>Table 10-6</w:t>
        </w:r>
      </w:hyperlink>
      <w:r>
        <w:t>.</w:t>
      </w:r>
    </w:p>
    <w:tbl>
      <w:tblPr>
        <w:tblW w:type="auto" w:w="0"/>
      </w:tblPr>
      <w:tr>
        <w:tc>
          <w:tcPr>
            <w:tcW w:type="auto" w:w="0"/>
            <w:tcMar>
              <w:left w:type="dxa" w:w="200"/>
              <w:top w:type="dxa" w:w="200"/>
              <w:right w:type="dxa" w:w="200"/>
              <w:bottom w:type="dxa" w:w="200"/>
            </w:tcMar>
          </w:tcPr>
          <w:p>
            <w:bookmarkStart w:id="2461" w:name="Table_10_6__Additional_re_functi"/>
            <w:pPr>
              <w:pStyle w:val="Para 011"/>
            </w:pPr>
            <w:r>
              <w:rPr>
                <w:rStyle w:val="Text117"/>
              </w:rPr>
              <w:t/>
            </w:r>
            <w:r>
              <w:t xml:space="preserve">Table 10-6. </w:t>
              <w:t xml:space="preserve">Additional </w:t>
            </w:r>
            <w:r>
              <w:rPr>
                <w:rStyle w:val="Text0"/>
              </w:rPr>
              <w:t>re</w:t>
            </w:r>
            <w:r>
              <w:t xml:space="preserve"> functions</w:t>
            </w:r>
            <w:bookmarkEnd w:id="2461"/>
          </w:p>
          <w:p>
            <w:pPr>
              <w:pStyle w:val="Para 001"/>
            </w:pPr>
            <w:r>
              <w:t>compile</w:t>
            </w:r>
          </w:p>
        </w:tc>
        <w:tc>
          <w:tcPr>
            <w:tcW w:type="auto" w:w="0"/>
            <w:tcMar>
              <w:left w:type="dxa" w:w="200"/>
              <w:top w:type="dxa" w:w="200"/>
              <w:right w:type="dxa" w:w="200"/>
              <w:bottom w:type="dxa" w:w="200"/>
            </w:tcMar>
          </w:tcPr>
          <w:p>
            <w:pPr>
              <w:pStyle w:val="Para 002"/>
            </w:pPr>
            <w:r>
              <w:rPr>
                <w:rStyle w:val="Text0"/>
              </w:rPr>
              <w:t>compile(</w:t>
            </w:r>
            <w:r>
              <w:rPr>
                <w:rStyle w:val="Text3"/>
              </w:rPr>
              <w:t>pattern</w:t>
            </w:r>
            <w:r>
              <w:rPr>
                <w:rStyle w:val="Text0"/>
              </w:rPr>
              <w:t>, flags=0)</w:t>
              <w:br w:clear="none"/>
            </w:r>
            <w:r>
              <w:t xml:space="preserve"> Creates</w:t>
            </w:r>
            <w:r>
              <w:rPr>
                <w:rStyle w:val="Text111"/>
              </w:rPr>
              <w:bookmarkStart w:id="2462" w:name="idm45965206891552"/>
              <w:t/>
              <w:bookmarkEnd w:id="2462"/>
            </w:r>
            <w:r>
              <w:t xml:space="preserve"> and returns an RE object, parsing the string </w:t>
            </w:r>
            <w:r>
              <w:rPr>
                <w:rStyle w:val="Text3"/>
              </w:rPr>
              <w:t>pattern</w:t>
            </w:r>
            <w:r>
              <w:t xml:space="preserve">, as per the syntax covered in </w:t>
            </w:r>
            <w:hyperlink w:anchor="Pattern_String_Syntax__The_patte">
              <w:r>
                <w:rPr>
                  <w:rStyle w:val="Text1"/>
                </w:rPr>
                <w:t>“Pattern String Syntax”</w:t>
              </w:r>
            </w:hyperlink>
            <w:r>
              <w:t xml:space="preserve">, and using integer </w:t>
            </w:r>
            <w:r>
              <w:rPr>
                <w:rStyle w:val="Text0"/>
              </w:rPr>
              <w:t>flags</w:t>
            </w:r>
            <w:r>
              <w:t xml:space="preserve">, as described in </w:t>
            </w:r>
            <w:hyperlink w:anchor="Optional_Flags__The_optional_fla">
              <w:r>
                <w:rPr>
                  <w:rStyle w:val="Text1"/>
                </w:rPr>
                <w:t>“Optional Flags”</w:t>
              </w:r>
            </w:hyperlink>
          </w:p>
        </w:tc>
      </w:tr>
    </w:tbl>
    <w:tbl>
      <w:tblPr>
        <w:tblW w:type="auto" w:w="0"/>
      </w:tblPr>
      <w:tr>
        <w:tc>
          <w:tcPr>
            <w:tcW w:type="auto" w:w="0"/>
            <w:shd w:val="clear" w:color="auto" w:fill="EEF2F6"/>
            <w:tcMar>
              <w:left w:type="dxa" w:w="200"/>
              <w:top w:type="dxa" w:w="200"/>
              <w:right w:type="dxa" w:w="200"/>
              <w:bottom w:type="dxa" w:w="200"/>
            </w:tcMar>
          </w:tcPr>
          <w:p>
            <w:pPr>
              <w:pStyle w:val="Para 001"/>
            </w:pPr>
            <w:r>
              <w:t>escape</w:t>
            </w:r>
          </w:p>
        </w:tc>
        <w:tc>
          <w:tcPr>
            <w:tcW w:type="auto" w:w="0"/>
            <w:shd w:val="clear" w:color="auto" w:fill="EEF2F6"/>
            <w:tcMar>
              <w:left w:type="dxa" w:w="200"/>
              <w:top w:type="dxa" w:w="200"/>
              <w:right w:type="dxa" w:w="200"/>
              <w:bottom w:type="dxa" w:w="200"/>
            </w:tcMar>
          </w:tcPr>
          <w:p>
            <w:pPr>
              <w:pStyle w:val="Para 002"/>
            </w:pPr>
            <w:r>
              <w:rPr>
                <w:rStyle w:val="Text0"/>
              </w:rPr>
              <w:t>escape(</w:t>
            </w:r>
            <w:r>
              <w:rPr>
                <w:rStyle w:val="Text3"/>
              </w:rPr>
              <w:t>s</w:t>
            </w:r>
            <w:r>
              <w:rPr>
                <w:rStyle w:val="Text0"/>
              </w:rPr>
              <w:t>)</w:t>
              <w:br w:clear="none"/>
            </w:r>
            <w:r>
              <w:t xml:space="preserve"> Returns a copy of string </w:t>
            </w:r>
            <w:r>
              <w:rPr>
                <w:rStyle w:val="Text3"/>
              </w:rPr>
              <w:t>s</w:t>
            </w:r>
            <w:r>
              <w:t xml:space="preserve"> with each nonalphanumeric character escaped (i.e., preceded by a backslash, </w:t>
            </w:r>
            <w:r>
              <w:rPr>
                <w:rStyle w:val="Text0"/>
              </w:rPr>
              <w:t>\</w:t>
            </w:r>
            <w:r>
              <w:t xml:space="preserve">); useful to match string </w:t>
            </w:r>
            <w:r>
              <w:rPr>
                <w:rStyle w:val="Text3"/>
              </w:rPr>
              <w:t>s</w:t>
            </w:r>
            <w:r>
              <w:t xml:space="preserve"> literally as part of an RE pattern string</w:t>
            </w:r>
          </w:p>
        </w:tc>
      </w:tr>
    </w:tbl>
    <w:p>
      <w:bookmarkStart w:id="2463" w:name="REs_and_the____Operator__The_int"/>
      <w:pPr>
        <w:keepNext/>
        <w:pStyle w:val="Heading 1"/>
      </w:pPr>
      <w:r>
        <w:t>REs and the := Operator</w:t>
      </w:r>
      <w:bookmarkEnd w:id="2463"/>
    </w:p>
    <w:p>
      <w:pPr>
        <w:pStyle w:val="Normal"/>
      </w:pPr>
      <w:r>
        <w:t>The</w:t>
      </w:r>
      <w:r>
        <w:rPr>
          <w:rStyle w:val="Text111"/>
        </w:rPr>
        <w:bookmarkStart w:id="2464" w:name="idm45965206879824"/>
        <w:t/>
        <w:bookmarkEnd w:id="2464"/>
        <w:bookmarkStart w:id="2465" w:name="idm45965206878480"/>
        <w:t/>
        <w:bookmarkEnd w:id="2465"/>
        <w:bookmarkStart w:id="2466" w:name="idm45965206877072"/>
        <w:t/>
        <w:bookmarkEnd w:id="2466"/>
        <w:bookmarkStart w:id="2467" w:name="idm45965206875728"/>
        <w:t/>
        <w:bookmarkEnd w:id="2467"/>
      </w:r>
      <w:r>
        <w:t xml:space="preserve"> introduction of the </w:t>
      </w:r>
      <w:r>
        <w:rPr>
          <w:rStyle w:val="Text0"/>
        </w:rPr>
        <w:t>:=</w:t>
      </w:r>
      <w:r>
        <w:t xml:space="preserve"> operator in Python 3.8 established support for a successive-match idiom in Python similar to the one that’s common in Perl. In this idiom, a series of </w:t>
      </w:r>
      <w:r>
        <w:rPr>
          <w:rStyle w:val="Text5"/>
        </w:rPr>
        <w:t>if</w:t>
      </w:r>
      <w:r>
        <w:rPr>
          <w:rStyle w:val="Text0"/>
        </w:rPr>
        <w:t>/</w:t>
      </w:r>
      <w:r>
        <w:rPr>
          <w:rStyle w:val="Text5"/>
        </w:rPr>
        <w:t>elsif</w:t>
      </w:r>
      <w:r>
        <w:t xml:space="preserve"> branches tests a string against different regular expressions. In Perl, the </w:t>
      </w:r>
      <w:r>
        <w:rPr>
          <w:rStyle w:val="Text5"/>
        </w:rPr>
        <w:t>if</w:t>
      </w:r>
      <w:r>
        <w:t xml:space="preserve"> </w:t>
      </w:r>
      <w:r>
        <w:rPr>
          <w:rStyle w:val="Text0"/>
        </w:rPr>
        <w:t>($var =~ /regExpr/)</w:t>
      </w:r>
      <w:r>
        <w:t xml:space="preserve"> statement both evaluates the regular expression and saves the successful match in the variable </w:t>
      </w:r>
      <w:r>
        <w:rPr>
          <w:rStyle w:val="Text0"/>
        </w:rPr>
        <w:t>var</w:t>
      </w:r>
      <w:r>
        <w:t>:</w:t>
      </w:r>
      <w:hyperlink w:anchor="1_This_example_is_taken_from_reg">
        <w:r>
          <w:rPr>
            <w:rStyle w:val="Text41"/>
          </w:rPr>
          <w:bookmarkStart w:id="2468" w:name="1_10"/>
          <w:t>1</w:t>
          <w:bookmarkEnd w:id="2468"/>
        </w:r>
      </w:hyperlink>
    </w:p>
    <w:p>
      <w:pPr>
        <w:pStyle w:val="Para 020"/>
      </w:pPr>
      <w:r>
        <w:rPr>
          <w:rStyle w:val="Text23"/>
        </w:rPr>
        <w:t xml:space="preserve"/>
        <w:br w:clear="none"/>
      </w:r>
      <w:r>
        <w:rPr>
          <w:rStyle w:val="Text39"/>
        </w:rPr>
        <w:t xml:space="preserve">if</w:t>
        <w:br w:clear="none"/>
      </w:r>
      <w:r>
        <w:rPr>
          <w:rStyle w:val="Text23"/>
        </w:rPr>
        <w:t xml:space="preserve">    </w:t>
        <w:br w:clear="none"/>
      </w:r>
      <w:r>
        <w:rPr>
          <w:rStyle w:val="Text7"/>
        </w:rPr>
        <w:t xml:space="preserve">(</w:t>
        <w:br w:clear="none"/>
      </w:r>
      <w:r>
        <w:rPr>
          <w:rStyle w:val="Text32"/>
        </w:rPr>
        <w:t xml:space="preserve">$</w:t>
        <w:br w:clear="none"/>
      </w:r>
      <w:r>
        <w:rPr>
          <w:rStyle w:val="Text9"/>
        </w:rPr>
        <w:t xml:space="preserve">statement</w:t>
        <w:br w:clear="none"/>
      </w:r>
      <w:r>
        <w:rPr>
          <w:rStyle w:val="Text23"/>
        </w:rPr>
        <w:t xml:space="preserve"> </w:t>
        <w:br w:clear="none"/>
      </w:r>
      <w:r>
        <w:rPr>
          <w:rStyle w:val="Text13"/>
        </w:rPr>
        <w:t xml:space="preserve">=~</w:t>
        <w:br w:clear="none"/>
      </w:r>
      <w:r>
        <w:rPr>
          <w:rStyle w:val="Text23"/>
        </w:rPr>
        <w:t xml:space="preserve"> </w:t>
        <w:br w:clear="none"/>
      </w:r>
      <w:r>
        <w:rPr>
          <w:rStyle w:val="Text13"/>
        </w:rPr>
        <w:t xml:space="preserve">/</w:t>
        <w:br w:clear="none"/>
      </w:r>
      <w:r>
        <w:rPr>
          <w:rStyle w:val="Text9"/>
        </w:rPr>
        <w:t xml:space="preserve">I</w:t>
        <w:br w:clear="none"/>
      </w:r>
      <w:r>
        <w:rPr>
          <w:rStyle w:val="Text23"/>
        </w:rPr>
        <w:t xml:space="preserve"> </w:t>
        <w:br w:clear="none"/>
      </w:r>
      <w:r>
        <w:rPr>
          <w:rStyle w:val="Text9"/>
        </w:rPr>
        <w:t xml:space="preserve">love</w:t>
        <w:br w:clear="none"/>
      </w:r>
      <w:r>
        <w:rPr>
          <w:rStyle w:val="Text23"/>
        </w:rPr>
        <w:t xml:space="preserve"> </w:t>
        <w:br w:clear="none"/>
      </w:r>
      <w:r>
        <w:rPr>
          <w:rStyle w:val="Text7"/>
        </w:rPr>
        <w:t xml:space="preserve">(</w:t>
        <w:br w:clear="none"/>
      </w:r>
      <w:r>
        <w:rPr>
          <w:rStyle w:val="Text23"/>
        </w:rPr>
        <w:t xml:space="preserve">\</w:t>
        <w:br w:clear="none"/>
      </w:r>
      <w:r>
        <w:rPr>
          <w:rStyle w:val="Text9"/>
        </w:rPr>
        <w:t xml:space="preserve">w</w:t>
        <w:br w:clear="none"/>
      </w:r>
      <w:r>
        <w:rPr>
          <w:rStyle w:val="Text13"/>
        </w:rPr>
        <w:t xml:space="preserve">+</w:t>
        <w:br w:clear="none"/>
      </w:r>
      <w:r>
        <w:rPr>
          <w:rStyle w:val="Text7"/>
        </w:rPr>
        <w:t xml:space="preserve">)</w:t>
        <w:br w:clear="none"/>
      </w:r>
      <w:r>
        <w:rPr>
          <w:rStyle w:val="Text13"/>
        </w:rPr>
        <w:t xml:space="preserve">/</w:t>
        <w:br w:clear="none"/>
      </w:r>
      <w:r>
        <w:rPr>
          <w:rStyle w:val="Text7"/>
        </w:rPr>
        <w:t xml:space="preserve">)</w:t>
        <w:br w:clear="none"/>
      </w:r>
      <w:r>
        <w:rPr>
          <w:rStyle w:val="Text23"/>
        </w:rPr>
        <w:t xml:space="preserve"> </w:t>
        <w:br w:clear="none"/>
      </w:r>
      <w:r>
        <w:rPr>
          <w:rStyle w:val="Text7"/>
        </w:rPr>
        <w:t xml:space="preserve">{</w:t>
        <w:br w:clear="none"/>
      </w:r>
      <w:r>
        <w:rPr>
          <w:rStyle w:val="Text23"/>
        </w:rPr>
        <w:t xml:space="preserve"/>
        <w:br w:clear="none"/>
        <w:t xml:space="preserve">  </w:t>
        <w:br w:clear="none"/>
      </w:r>
      <w:r>
        <w:rPr>
          <w:rStyle w:val="Text16"/>
        </w:rPr>
        <w:t xml:space="preserve">print</w:t>
        <w:br w:clear="none"/>
      </w:r>
      <w:r>
        <w:rPr>
          <w:rStyle w:val="Text23"/>
        </w:rPr>
        <w:t xml:space="preserve"> </w:t>
        <w:br w:clear="none"/>
      </w:r>
      <w:r>
        <w:t xml:space="preserve">"He loves $1</w:t>
        <w:br w:clear="none"/>
        <w:t xml:space="preserve">\n</w:t>
        <w:br w:clear="none"/>
        <w:t xml:space="preserve">"</w:t>
        <w:br w:clear="none"/>
      </w:r>
      <w:r>
        <w:rPr>
          <w:rStyle w:val="Text7"/>
        </w:rPr>
        <w:t xml:space="preserve">;</w:t>
        <w:br w:clear="none"/>
      </w:r>
      <w:r>
        <w:rPr>
          <w:rStyle w:val="Text23"/>
        </w:rPr>
        <w:t xml:space="preserve"/>
        <w:br w:clear="none"/>
      </w:r>
      <w:r>
        <w:rPr>
          <w:rStyle w:val="Text7"/>
        </w:rPr>
        <w:t xml:space="preserve">}</w:t>
        <w:br w:clear="none"/>
      </w:r>
      <w:r>
        <w:rPr>
          <w:rStyle w:val="Text23"/>
        </w:rPr>
        <w:t xml:space="preserve"/>
        <w:br w:clear="none"/>
      </w:r>
      <w:r>
        <w:rPr>
          <w:rStyle w:val="Text9"/>
        </w:rPr>
        <w:t xml:space="preserve">elsif</w:t>
        <w:br w:clear="none"/>
      </w:r>
      <w:r>
        <w:rPr>
          <w:rStyle w:val="Text23"/>
        </w:rPr>
        <w:t xml:space="preserve"> </w:t>
        <w:br w:clear="none"/>
      </w:r>
      <w:r>
        <w:rPr>
          <w:rStyle w:val="Text7"/>
        </w:rPr>
        <w:t xml:space="preserve">(</w:t>
        <w:br w:clear="none"/>
      </w:r>
      <w:r>
        <w:rPr>
          <w:rStyle w:val="Text32"/>
        </w:rPr>
        <w:t xml:space="preserve">$</w:t>
        <w:br w:clear="none"/>
      </w:r>
      <w:r>
        <w:rPr>
          <w:rStyle w:val="Text9"/>
        </w:rPr>
        <w:t xml:space="preserve">statement</w:t>
        <w:br w:clear="none"/>
      </w:r>
      <w:r>
        <w:rPr>
          <w:rStyle w:val="Text23"/>
        </w:rPr>
        <w:t xml:space="preserve"> </w:t>
        <w:br w:clear="none"/>
      </w:r>
      <w:r>
        <w:rPr>
          <w:rStyle w:val="Text13"/>
        </w:rPr>
        <w:t xml:space="preserve">=~</w:t>
        <w:br w:clear="none"/>
      </w:r>
      <w:r>
        <w:rPr>
          <w:rStyle w:val="Text23"/>
        </w:rPr>
        <w:t xml:space="preserve"> </w:t>
        <w:br w:clear="none"/>
      </w:r>
      <w:r>
        <w:rPr>
          <w:rStyle w:val="Text13"/>
        </w:rPr>
        <w:t xml:space="preserve">/</w:t>
        <w:br w:clear="none"/>
      </w:r>
      <w:r>
        <w:rPr>
          <w:rStyle w:val="Text9"/>
        </w:rPr>
        <w:t xml:space="preserve">Ich</w:t>
        <w:br w:clear="none"/>
      </w:r>
      <w:r>
        <w:rPr>
          <w:rStyle w:val="Text23"/>
        </w:rPr>
        <w:t xml:space="preserve"> </w:t>
        <w:br w:clear="none"/>
      </w:r>
      <w:r>
        <w:rPr>
          <w:rStyle w:val="Text9"/>
        </w:rPr>
        <w:t xml:space="preserve">liebe</w:t>
        <w:br w:clear="none"/>
      </w:r>
      <w:r>
        <w:rPr>
          <w:rStyle w:val="Text23"/>
        </w:rPr>
        <w:t xml:space="preserve"> </w:t>
        <w:br w:clear="none"/>
      </w:r>
      <w:r>
        <w:rPr>
          <w:rStyle w:val="Text7"/>
        </w:rPr>
        <w:t xml:space="preserve">(</w:t>
        <w:br w:clear="none"/>
      </w:r>
      <w:r>
        <w:rPr>
          <w:rStyle w:val="Text23"/>
        </w:rPr>
        <w:t xml:space="preserve">\</w:t>
        <w:br w:clear="none"/>
      </w:r>
      <w:r>
        <w:rPr>
          <w:rStyle w:val="Text9"/>
        </w:rPr>
        <w:t xml:space="preserve">w</w:t>
        <w:br w:clear="none"/>
      </w:r>
      <w:r>
        <w:rPr>
          <w:rStyle w:val="Text13"/>
        </w:rPr>
        <w:t xml:space="preserve">+</w:t>
        <w:br w:clear="none"/>
      </w:r>
      <w:r>
        <w:rPr>
          <w:rStyle w:val="Text7"/>
        </w:rPr>
        <w:t xml:space="preserve">)</w:t>
        <w:br w:clear="none"/>
      </w:r>
      <w:r>
        <w:rPr>
          <w:rStyle w:val="Text13"/>
        </w:rPr>
        <w:t xml:space="preserve">/</w:t>
        <w:br w:clear="none"/>
      </w:r>
      <w:r>
        <w:rPr>
          <w:rStyle w:val="Text7"/>
        </w:rPr>
        <w:t xml:space="preserve">)</w:t>
        <w:br w:clear="none"/>
      </w:r>
      <w:r>
        <w:rPr>
          <w:rStyle w:val="Text23"/>
        </w:rPr>
        <w:t xml:space="preserve"> </w:t>
        <w:br w:clear="none"/>
      </w:r>
      <w:r>
        <w:rPr>
          <w:rStyle w:val="Text7"/>
        </w:rPr>
        <w:t xml:space="preserve">{</w:t>
        <w:br w:clear="none"/>
      </w:r>
      <w:r>
        <w:rPr>
          <w:rStyle w:val="Text23"/>
        </w:rPr>
        <w:t xml:space="preserve"/>
        <w:br w:clear="none"/>
        <w:t xml:space="preserve">  </w:t>
        <w:br w:clear="none"/>
      </w:r>
      <w:r>
        <w:rPr>
          <w:rStyle w:val="Text16"/>
        </w:rPr>
        <w:t xml:space="preserve">print</w:t>
        <w:br w:clear="none"/>
      </w:r>
      <w:r>
        <w:rPr>
          <w:rStyle w:val="Text23"/>
        </w:rPr>
        <w:t xml:space="preserve"> </w:t>
        <w:br w:clear="none"/>
      </w:r>
      <w:r>
        <w:t xml:space="preserve">"Er liebt $1</w:t>
        <w:br w:clear="none"/>
        <w:t xml:space="preserve">\n</w:t>
        <w:br w:clear="none"/>
        <w:t xml:space="preserve">"</w:t>
        <w:br w:clear="none"/>
      </w:r>
      <w:r>
        <w:rPr>
          <w:rStyle w:val="Text7"/>
        </w:rPr>
        <w:t xml:space="preserve">;</w:t>
        <w:br w:clear="none"/>
      </w:r>
      <w:r>
        <w:rPr>
          <w:rStyle w:val="Text23"/>
        </w:rPr>
        <w:t xml:space="preserve"/>
        <w:br w:clear="none"/>
      </w:r>
      <w:r>
        <w:rPr>
          <w:rStyle w:val="Text7"/>
        </w:rPr>
        <w:t xml:space="preserve">}</w:t>
        <w:br w:clear="none"/>
      </w:r>
      <w:r>
        <w:rPr>
          <w:rStyle w:val="Text23"/>
        </w:rPr>
        <w:t xml:space="preserve"/>
        <w:br w:clear="none"/>
      </w:r>
      <w:r>
        <w:rPr>
          <w:rStyle w:val="Text9"/>
        </w:rPr>
        <w:t xml:space="preserve">elsif</w:t>
        <w:br w:clear="none"/>
      </w:r>
      <w:r>
        <w:rPr>
          <w:rStyle w:val="Text23"/>
        </w:rPr>
        <w:t xml:space="preserve"> </w:t>
        <w:br w:clear="none"/>
      </w:r>
      <w:r>
        <w:rPr>
          <w:rStyle w:val="Text7"/>
        </w:rPr>
        <w:t xml:space="preserve">(</w:t>
        <w:br w:clear="none"/>
      </w:r>
      <w:r>
        <w:rPr>
          <w:rStyle w:val="Text32"/>
        </w:rPr>
        <w:t xml:space="preserve">$</w:t>
        <w:br w:clear="none"/>
      </w:r>
      <w:r>
        <w:rPr>
          <w:rStyle w:val="Text9"/>
        </w:rPr>
        <w:t xml:space="preserve">statement</w:t>
        <w:br w:clear="none"/>
      </w:r>
      <w:r>
        <w:rPr>
          <w:rStyle w:val="Text23"/>
        </w:rPr>
        <w:t xml:space="preserve"> </w:t>
        <w:br w:clear="none"/>
      </w:r>
      <w:r>
        <w:rPr>
          <w:rStyle w:val="Text13"/>
        </w:rPr>
        <w:t xml:space="preserve">=~</w:t>
        <w:br w:clear="none"/>
      </w:r>
      <w:r>
        <w:rPr>
          <w:rStyle w:val="Text23"/>
        </w:rPr>
        <w:t xml:space="preserve"> </w:t>
        <w:br w:clear="none"/>
      </w:r>
      <w:r>
        <w:rPr>
          <w:rStyle w:val="Text13"/>
        </w:rPr>
        <w:t xml:space="preserve">/</w:t>
        <w:br w:clear="none"/>
      </w:r>
      <w:r>
        <w:rPr>
          <w:rStyle w:val="Text9"/>
        </w:rPr>
        <w:t xml:space="preserve">Je</w:t>
        <w:br w:clear="none"/>
      </w:r>
      <w:r>
        <w:rPr>
          <w:rStyle w:val="Text23"/>
        </w:rPr>
        <w:t xml:space="preserve"> </w:t>
        <w:br w:clear="none"/>
      </w:r>
      <w:r>
        <w:rPr>
          <w:rStyle w:val="Text9"/>
        </w:rPr>
        <w:t xml:space="preserve">t</w:t>
        <w:br w:clear="none"/>
      </w:r>
      <w:r>
        <w:rPr>
          <w:rStyle w:val="Text23"/>
        </w:rPr>
        <w:t xml:space="preserve">\</w:t>
        <w:br w:clear="none"/>
      </w:r>
      <w:r>
        <w:t xml:space="preserve">'aime (\w+)/) {</w:t>
        <w:br w:clear="none"/>
      </w:r>
      <w:r>
        <w:rPr>
          <w:rStyle w:val="Text23"/>
        </w:rPr>
        <w:t xml:space="preserve"/>
        <w:br w:clear="none"/>
        <w:t xml:space="preserve">  </w:t>
        <w:br w:clear="none"/>
      </w:r>
      <w:r>
        <w:rPr>
          <w:rStyle w:val="Text16"/>
        </w:rPr>
        <w:t xml:space="preserve">print</w:t>
        <w:br w:clear="none"/>
      </w:r>
      <w:r>
        <w:rPr>
          <w:rStyle w:val="Text23"/>
        </w:rPr>
        <w:t xml:space="preserve"> </w:t>
        <w:br w:clear="none"/>
      </w:r>
      <w:r>
        <w:t xml:space="preserve">"Il aime $1</w:t>
        <w:br w:clear="none"/>
        <w:t xml:space="preserve">\n</w:t>
        <w:br w:clear="none"/>
        <w:t xml:space="preserve">"</w:t>
        <w:br w:clear="none"/>
      </w:r>
      <w:r>
        <w:rPr>
          <w:rStyle w:val="Text7"/>
        </w:rPr>
        <w:t xml:space="preserve">;</w:t>
        <w:br w:clear="none"/>
      </w:r>
      <w:r>
        <w:rPr>
          <w:rStyle w:val="Text23"/>
        </w:rPr>
        <w:t xml:space="preserve"/>
        <w:br w:clear="none"/>
      </w:r>
      <w:r>
        <w:rPr>
          <w:rStyle w:val="Text7"/>
        </w:rPr>
        <w:t xml:space="preserve">}</w:t>
        <w:br w:clear="none"/>
      </w:r>
    </w:p>
    <w:p>
      <w:pPr>
        <w:pStyle w:val="Normal"/>
      </w:pPr>
      <w:r>
        <w:t xml:space="preserve">Prior to Python 3.8, this evaluate-and-store behavior was not possible in a single </w:t>
      </w:r>
      <w:r>
        <w:rPr>
          <w:rStyle w:val="Text5"/>
        </w:rPr>
        <w:t>if</w:t>
      </w:r>
      <w:r>
        <w:rPr>
          <w:rStyle w:val="Text0"/>
        </w:rPr>
        <w:t>/</w:t>
      </w:r>
      <w:r>
        <w:rPr>
          <w:rStyle w:val="Text5"/>
        </w:rPr>
        <w:t>elif</w:t>
      </w:r>
      <w:r>
        <w:t xml:space="preserve"> statement; developers had to use a cumbersome cascade of nested </w:t>
      </w:r>
      <w:r>
        <w:rPr>
          <w:rStyle w:val="Text5"/>
        </w:rPr>
        <w:t>if</w:t>
      </w:r>
      <w:r>
        <w:rPr>
          <w:rStyle w:val="Text0"/>
        </w:rPr>
        <w:t>/</w:t>
      </w:r>
      <w:r>
        <w:rPr>
          <w:rStyle w:val="Text5"/>
        </w:rPr>
        <w:t>else</w:t>
      </w:r>
      <w:r>
        <w:t xml:space="preserve"> statements:</w:t>
      </w:r>
    </w:p>
    <w:p>
      <w:pPr>
        <w:pStyle w:val="Para 020"/>
      </w:pPr>
      <w:r>
        <w:rPr>
          <w:rStyle w:val="Text23"/>
        </w:rPr>
        <w:t xml:space="preserve"/>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t xml:space="preserve">'</w:t>
        <w:br w:clear="none"/>
        <w:t xml:space="preserve">I love (</w:t>
        <w:br w:clear="none"/>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9"/>
        </w:rPr>
        <w:t xml:space="preserve">statement</w:t>
        <w:br w:clear="none"/>
      </w:r>
      <w:r>
        <w:rPr>
          <w:rStyle w:val="Text7"/>
        </w:rPr>
        <w:t xml:space="preserve">)</w:t>
        <w:br w:clear="none"/>
      </w:r>
      <w:r>
        <w:rPr>
          <w:rStyle w:val="Text6"/>
        </w:rPr>
        <w:t xml:space="preserve"/>
        <w:br w:clear="none"/>
      </w:r>
      <w:r>
        <w:rPr>
          <w:rStyle w:val="Text10"/>
        </w:rPr>
        <w:t xml:space="preserve">if</w:t>
        <w:br w:clear="none"/>
      </w:r>
      <w:r>
        <w:rPr>
          <w:rStyle w:val="Text6"/>
        </w:rPr>
        <w:t xml:space="preserve"> </w:t>
        <w:br w:clear="none"/>
      </w:r>
      <w:r>
        <w:rPr>
          <w:rStyle w:val="Text9"/>
        </w:rPr>
        <w:t xml:space="preserve">m</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He loves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t xml:space="preserve">'</w:t>
        <w:br w:clear="none"/>
        <w:t xml:space="preserve">Ich liebe (</w:t>
        <w:br w:clear="none"/>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9"/>
        </w:rPr>
        <w:t xml:space="preserve">statement</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m</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Er liebt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t xml:space="preserve">'</w:t>
        <w:br w:clear="none"/>
        <w:t xml:space="preserve">J</w:t>
        <w:br w:clear="none"/>
        <w:t xml:space="preserve">'</w:t>
        <w:br w:clear="none"/>
      </w:r>
      <w:r>
        <w:rPr>
          <w:rStyle w:val="Text9"/>
        </w:rPr>
        <w:t xml:space="preserve">aime</w:t>
        <w:br w:clear="none"/>
      </w:r>
      <w:r>
        <w:rPr>
          <w:rStyle w:val="Text6"/>
        </w:rPr>
        <w:t xml:space="preserve"> </w:t>
        <w:br w:clear="none"/>
      </w:r>
      <w:r>
        <w:rPr>
          <w:rStyle w:val="Text7"/>
        </w:rPr>
        <w:t xml:space="preserve">(</w:t>
        <w:br w:clear="none"/>
      </w:r>
      <w:r>
        <w:rPr>
          <w:rStyle w:val="Text6"/>
        </w:rPr>
        <w:t xml:space="preserve">\</w:t>
        <w:br w:clear="none"/>
      </w:r>
      <w:r>
        <w:rPr>
          <w:rStyle w:val="Text9"/>
        </w:rPr>
        <w:t xml:space="preserve">w</w:t>
        <w:br w:clear="none"/>
      </w:r>
      <w:r>
        <w:rPr>
          <w:rStyle w:val="Text13"/>
        </w:rPr>
        <w:t xml:space="preserve">+</w:t>
        <w:br w:clear="none"/>
      </w:r>
      <w:r>
        <w:rPr>
          <w:rStyle w:val="Text7"/>
        </w:rPr>
        <w:t xml:space="preserve">)</w:t>
        <w:br w:clear="none"/>
      </w:r>
      <w:r>
        <w:t xml:space="preserve">'</w:t>
        <w:br w:clear="none"/>
        <w:t xml:space="preserve">, statement)</w:t>
        <w:br w:clear="none"/>
      </w:r>
      <w:r>
        <w:rPr>
          <w:rStyle w:val="Text83"/>
        </w:rPr>
        <w:t xml:space="preserve"/>
        <w:br w:clear="none"/>
      </w:r>
      <w:r>
        <w:rPr>
          <w:rStyle w:val="Text6"/>
        </w:rPr>
        <w:t xml:space="preserve">        </w:t>
        <w:br w:clear="none"/>
      </w:r>
      <w:r>
        <w:rPr>
          <w:rStyle w:val="Text10"/>
        </w:rPr>
        <w:t xml:space="preserve">if</w:t>
        <w:br w:clear="none"/>
      </w:r>
      <w:r>
        <w:rPr>
          <w:rStyle w:val="Text6"/>
        </w:rPr>
        <w:t xml:space="preserve"> </w:t>
        <w:br w:clear="none"/>
      </w:r>
      <w:r>
        <w:rPr>
          <w:rStyle w:val="Text9"/>
        </w:rPr>
        <w:t xml:space="preserve">m</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Il aime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p>
    <w:p>
      <w:pPr>
        <w:pStyle w:val="Normal"/>
      </w:pPr>
      <w:r>
        <w:t xml:space="preserve">Using the </w:t>
      </w:r>
      <w:r>
        <w:rPr>
          <w:rStyle w:val="Text0"/>
        </w:rPr>
        <w:t>:=</w:t>
      </w:r>
      <w:r>
        <w:t xml:space="preserve"> operator, this code simplifies to:</w:t>
      </w:r>
    </w:p>
    <w:p>
      <w:pPr>
        <w:pStyle w:val="Para 020"/>
      </w:pPr>
      <w:r>
        <w:rPr>
          <w:rStyle w:val="Text23"/>
        </w:rPr>
        <w:t xml:space="preserve"/>
        <w:br w:clear="none"/>
      </w:r>
      <w:r>
        <w:rPr>
          <w:rStyle w:val="Text10"/>
        </w:rPr>
        <w:t xml:space="preserve">if</w:t>
        <w:br w:clear="none"/>
      </w:r>
      <w:r>
        <w:rPr>
          <w:rStyle w:val="Text6"/>
        </w:rPr>
        <w:t xml:space="preserve"> </w:t>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rPr>
          <w:rStyle w:val="Text6"/>
        </w:rPr>
        <w:t xml:space="preserve">r</w:t>
        <w:br w:clear="none"/>
      </w:r>
      <w:r>
        <w:t xml:space="preserve">'</w:t>
        <w:br w:clear="none"/>
        <w:t xml:space="preserve">I love (</w:t>
        <w:br w:clear="none"/>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9"/>
        </w:rPr>
        <w:t xml:space="preserve">statement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He loves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r>
        <w:rPr>
          <w:rStyle w:val="Text6"/>
        </w:rPr>
        <w:t xml:space="preserve"/>
        <w:br w:clear="none"/>
        <w:t xml:space="preserve"/>
        <w:br w:clear="none"/>
      </w:r>
      <w:r>
        <w:rPr>
          <w:rStyle w:val="Text10"/>
        </w:rPr>
        <w:t xml:space="preserve">elif</w:t>
        <w:br w:clear="none"/>
      </w:r>
      <w:r>
        <w:rPr>
          <w:rStyle w:val="Text6"/>
        </w:rPr>
        <w:t xml:space="preserve"> </w:t>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rPr>
          <w:rStyle w:val="Text6"/>
        </w:rPr>
        <w:t xml:space="preserve">r</w:t>
        <w:br w:clear="none"/>
      </w:r>
      <w:r>
        <w:t xml:space="preserve">'</w:t>
        <w:br w:clear="none"/>
        <w:t xml:space="preserve">Ich liebe (</w:t>
        <w:br w:clear="none"/>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9"/>
        </w:rPr>
        <w:t xml:space="preserve">statement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Er liebt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r>
        <w:rPr>
          <w:rStyle w:val="Text6"/>
        </w:rPr>
        <w:t xml:space="preserve"> </w:t>
        <w:br w:clear="none"/>
        <w:t xml:space="preserve"/>
        <w:br w:clear="none"/>
        <w:t xml:space="preserve"/>
        <w:br w:clear="none"/>
      </w:r>
      <w:r>
        <w:rPr>
          <w:rStyle w:val="Text10"/>
        </w:rPr>
        <w:t xml:space="preserve">elif</w:t>
        <w:br w:clear="none"/>
      </w:r>
      <w:r>
        <w:rPr>
          <w:rStyle w:val="Text6"/>
        </w:rPr>
        <w:t xml:space="preserve"> </w:t>
        <w:br w:clear="none"/>
      </w:r>
      <w:r>
        <w:rPr>
          <w:rStyle w:val="Text9"/>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w:t>
        <w:br w:clear="none"/>
      </w:r>
      <w:r>
        <w:rPr>
          <w:rStyle w:val="Text13"/>
        </w:rPr>
        <w:t xml:space="preserve">.</w:t>
        <w:br w:clear="none"/>
      </w:r>
      <w:r>
        <w:rPr>
          <w:rStyle w:val="Text9"/>
        </w:rPr>
        <w:t xml:space="preserve">match</w:t>
        <w:br w:clear="none"/>
      </w:r>
      <w:r>
        <w:rPr>
          <w:rStyle w:val="Text7"/>
        </w:rPr>
        <w:t xml:space="preserve">(</w:t>
        <w:br w:clear="none"/>
      </w:r>
      <w:r>
        <w:rPr>
          <w:rStyle w:val="Text6"/>
        </w:rPr>
        <w:t xml:space="preserve">r</w:t>
        <w:br w:clear="none"/>
      </w:r>
      <w:r>
        <w:t xml:space="preserve">'</w:t>
        <w:br w:clear="none"/>
        <w:t xml:space="preserve">J</w:t>
        <w:br w:clear="none"/>
        <w:t xml:space="preserve">'</w:t>
        <w:br w:clear="none"/>
      </w:r>
      <w:r>
        <w:rPr>
          <w:rStyle w:val="Text9"/>
        </w:rPr>
        <w:t xml:space="preserve">aime</w:t>
        <w:br w:clear="none"/>
      </w:r>
      <w:r>
        <w:rPr>
          <w:rStyle w:val="Text6"/>
        </w:rPr>
        <w:t xml:space="preserve"> </w:t>
        <w:br w:clear="none"/>
      </w:r>
      <w:r>
        <w:rPr>
          <w:rStyle w:val="Text7"/>
        </w:rPr>
        <w:t xml:space="preserve">(</w:t>
        <w:br w:clear="none"/>
      </w:r>
      <w:r>
        <w:rPr>
          <w:rStyle w:val="Text6"/>
        </w:rPr>
        <w:t xml:space="preserve">\</w:t>
        <w:br w:clear="none"/>
      </w:r>
      <w:r>
        <w:rPr>
          <w:rStyle w:val="Text9"/>
        </w:rPr>
        <w:t xml:space="preserve">w</w:t>
        <w:br w:clear="none"/>
      </w:r>
      <w:r>
        <w:rPr>
          <w:rStyle w:val="Text13"/>
        </w:rPr>
        <w:t xml:space="preserve">+</w:t>
        <w:br w:clear="none"/>
      </w:r>
      <w:r>
        <w:rPr>
          <w:rStyle w:val="Text7"/>
        </w:rPr>
        <w:t xml:space="preserve">)</w:t>
        <w:br w:clear="none"/>
      </w:r>
      <w:r>
        <w:t xml:space="preserve">'</w:t>
        <w:br w:clear="none"/>
        <w:t xml:space="preserve">, statement):</w:t>
        <w:br w:clear="none"/>
      </w:r>
      <w:r>
        <w:rPr>
          <w:rStyle w:val="Text83"/>
        </w:rPr>
        <w:t xml:space="preserve"/>
        <w:br w:clear="none"/>
      </w:r>
      <w:r>
        <w:rPr>
          <w:rStyle w:val="Text6"/>
        </w:rPr>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t xml:space="preserve">Il aime </w:t>
        <w:br w:clear="none"/>
      </w:r>
      <w:r>
        <w:rPr>
          <w:rStyle w:val="Text32"/>
        </w:rPr>
        <w:t xml:space="preserve">{</w:t>
        <w:br w:clear="none"/>
      </w:r>
      <w:r>
        <w:rPr>
          <w:rStyle w:val="Text9"/>
        </w:rPr>
        <w:t xml:space="preserve">m</w:t>
        <w:br w:clear="none"/>
      </w:r>
      <w:r>
        <w:rPr>
          <w:rStyle w:val="Text13"/>
        </w:rPr>
        <w:t xml:space="preserve">.</w:t>
        <w:br w:clear="none"/>
      </w:r>
      <w:r>
        <w:rPr>
          <w:rStyle w:val="Text9"/>
        </w:rPr>
        <w:t xml:space="preserve">group</w:t>
        <w:br w:clear="none"/>
      </w:r>
      <w:r>
        <w:rPr>
          <w:rStyle w:val="Text7"/>
        </w:rPr>
        <w:t xml:space="preserve">(</w:t>
        <w:br w:clear="none"/>
      </w:r>
      <w:r>
        <w:rPr>
          <w:rStyle w:val="Text27"/>
        </w:rPr>
        <w:t xml:space="preserve">1</w:t>
        <w:br w:clear="none"/>
      </w:r>
      <w:r>
        <w:rPr>
          <w:rStyle w:val="Text7"/>
        </w:rPr>
        <w:t xml:space="preserve">)</w:t>
        <w:br w:clear="none"/>
      </w:r>
      <w:r>
        <w:rPr>
          <w:rStyle w:val="Text32"/>
        </w:rPr>
        <w:t xml:space="preserve">}</w:t>
        <w:br w:clear="none"/>
      </w:r>
      <w:r>
        <w:t xml:space="preserve">'</w:t>
        <w:br w:clear="none"/>
      </w:r>
      <w:r>
        <w:rPr>
          <w:rStyle w:val="Text7"/>
        </w:rPr>
        <w:t xml:space="preserve">)</w:t>
        <w:br w:clear="none"/>
      </w:r>
    </w:p>
    <w:p>
      <w:bookmarkStart w:id="2469" w:name="The_Third_Party_regex_Module__As"/>
      <w:pPr>
        <w:keepNext/>
        <w:pStyle w:val="Heading 1"/>
      </w:pPr>
      <w:r>
        <w:t>The Third-Party regex Module</w:t>
      </w:r>
      <w:bookmarkEnd w:id="2469"/>
    </w:p>
    <w:p>
      <w:pPr>
        <w:pStyle w:val="Normal"/>
      </w:pPr>
      <w:r>
        <w:t>As</w:t>
      </w:r>
      <w:r>
        <w:rPr>
          <w:rStyle w:val="Text111"/>
        </w:rPr>
        <w:bookmarkStart w:id="2470" w:name="idm45965206507840"/>
        <w:t/>
        <w:bookmarkEnd w:id="2470"/>
        <w:bookmarkStart w:id="2471" w:name="idm45965206525664"/>
        <w:t/>
        <w:bookmarkEnd w:id="2471"/>
      </w:r>
      <w:r>
        <w:t xml:space="preserve"> an alternative to the Python standard library’s </w:t>
      </w:r>
      <w:r>
        <w:rPr>
          <w:rStyle w:val="Text0"/>
        </w:rPr>
        <w:t>re</w:t>
      </w:r>
      <w:r>
        <w:t xml:space="preserve"> module, a popular package for regular expressions is the third-party </w:t>
      </w:r>
      <w:hyperlink r:id="rId328">
        <w:r>
          <w:rPr>
            <w:rStyle w:val="Text30"/>
          </w:rPr>
          <w:t>regex</w:t>
        </w:r>
      </w:hyperlink>
      <w:hyperlink r:id="rId328">
        <w:r>
          <w:rPr>
            <w:rStyle w:val="Text1"/>
          </w:rPr>
          <w:t xml:space="preserve"> module</w:t>
        </w:r>
      </w:hyperlink>
      <w:r>
        <w:t xml:space="preserve">, by Matthew Barnett. </w:t>
      </w:r>
      <w:r>
        <w:rPr>
          <w:rStyle w:val="Text0"/>
        </w:rPr>
        <w:t>regex</w:t>
      </w:r>
      <w:r>
        <w:t xml:space="preserve"> has an API that’s compatible with the </w:t>
      </w:r>
      <w:r>
        <w:rPr>
          <w:rStyle w:val="Text0"/>
        </w:rPr>
        <w:t>re</w:t>
      </w:r>
      <w:r>
        <w:t xml:space="preserve"> module and adds a number of extended features, including:</w:t>
      </w:r>
    </w:p>
    <w:p>
      <w:pPr>
        <w:pStyle w:val="Para 010"/>
      </w:pPr>
      <w:r>
        <w:t>Recursive expressions</w:t>
      </w:r>
    </w:p>
    <w:p>
      <w:pPr>
        <w:pStyle w:val="Para 010"/>
      </w:pPr>
      <w:r>
        <w:t>Defining character sets by Unicode property/value</w:t>
      </w:r>
    </w:p>
    <w:p>
      <w:pPr>
        <w:pStyle w:val="Para 010"/>
      </w:pPr>
      <w:r>
        <w:t>Overlapping matches</w:t>
      </w:r>
    </w:p>
    <w:p>
      <w:pPr>
        <w:pStyle w:val="Para 010"/>
      </w:pPr>
      <w:r>
        <w:t>Fuzzy matching</w:t>
      </w:r>
    </w:p>
    <w:p>
      <w:pPr>
        <w:pStyle w:val="Para 010"/>
      </w:pPr>
      <w:r>
        <w:t>Multithreading support (releases GIL during matching)</w:t>
      </w:r>
    </w:p>
    <w:p>
      <w:pPr>
        <w:pStyle w:val="Para 010"/>
      </w:pPr>
      <w:r>
        <w:t>Matching timeout</w:t>
      </w:r>
    </w:p>
    <w:p>
      <w:pPr>
        <w:pStyle w:val="Para 010"/>
      </w:pPr>
      <w:r>
        <w:t>Unicode case folding in case-insensitive matches</w:t>
      </w:r>
    </w:p>
    <w:p>
      <w:pPr>
        <w:pStyle w:val="Para 010"/>
      </w:pPr>
      <w:r>
        <w:t>Nested sets</w:t>
      </w:r>
    </w:p>
    <w:p>
      <w:bookmarkStart w:id="2472" w:name="1_This_example_is_taken_from_reg"/>
      <w:pPr>
        <w:pStyle w:val="Para 109"/>
      </w:pPr>
      <w:hyperlink w:anchor="1_10">
        <w:r>
          <w:t>1</w:t>
        </w:r>
      </w:hyperlink>
      <w:r>
        <w:rPr>
          <w:rStyle w:val="Text2"/>
        </w:rPr>
        <w:t xml:space="preserve"> This example is taken from regex; see </w:t>
      </w:r>
      <w:hyperlink r:id="rId329">
        <w:r>
          <w:t>“Match groups in Python” on Stack Overflow</w:t>
        </w:r>
      </w:hyperlink>
      <w:r>
        <w:rPr>
          <w:rStyle w:val="Text2"/>
        </w:rPr>
        <w:t>.</w:t>
      </w:r>
      <w:bookmarkEnd w:id="2472"/>
    </w:p>
    <w:p>
      <w:bookmarkStart w:id="2473" w:name="Chapter_11__File_and_Text_Operat"/>
      <w:bookmarkStart w:id="2474" w:name="Chapter_11__File_and_Text_Operat_1"/>
      <w:bookmarkStart w:id="2475" w:name="Chapter_11__File_and_Text_Operat_2"/>
      <w:bookmarkStart w:id="2476" w:name="Top_of_ch11_html"/>
      <w:pPr>
        <w:keepNext/>
        <w:pStyle w:val="Heading 1"/>
        <w:pageBreakBefore w:val="on"/>
      </w:pPr>
      <w:r>
        <w:t xml:space="preserve">Chapter 11. </w:t>
        <w:t>File and Text Operations</w:t>
      </w:r>
      <w:bookmarkEnd w:id="2473"/>
      <w:bookmarkEnd w:id="2474"/>
      <w:bookmarkEnd w:id="2475"/>
      <w:bookmarkEnd w:id="2476"/>
    </w:p>
    <w:p>
      <w:pPr>
        <w:pStyle w:val="Normal"/>
      </w:pPr>
      <w:r>
        <w:t>This chapter covers issues related to files and filesystems in Python. A</w:t>
      </w:r>
      <w:r>
        <w:rPr>
          <w:rStyle w:val="Text111"/>
        </w:rPr>
        <w:bookmarkStart w:id="2477" w:name="idm45965206465008"/>
        <w:t/>
        <w:bookmarkEnd w:id="2477"/>
      </w:r>
      <w:r>
        <w:t xml:space="preserve"> </w:t>
      </w:r>
      <w:r>
        <w:rPr>
          <w:rStyle w:val="Text4"/>
        </w:rPr>
        <w:t>file</w:t>
      </w:r>
      <w:r>
        <w:t xml:space="preserve"> is a stream of text or bytes that a program can read and/or write; a</w:t>
      </w:r>
      <w:r>
        <w:rPr>
          <w:rStyle w:val="Text111"/>
        </w:rPr>
        <w:bookmarkStart w:id="2478" w:name="idm45965206463280"/>
        <w:t/>
        <w:bookmarkEnd w:id="2478"/>
      </w:r>
      <w:r>
        <w:t xml:space="preserve"> </w:t>
      </w:r>
      <w:r>
        <w:rPr>
          <w:rStyle w:val="Text4"/>
        </w:rPr>
        <w:t>filesystem</w:t>
      </w:r>
      <w:r>
        <w:t xml:space="preserve"> is a hierarchical repository of files on a computer system.</w:t>
      </w:r>
    </w:p>
    <w:p>
      <w:pPr>
        <w:keepNext/>
        <w:pStyle w:val="Heading 5"/>
        <w:keepLines w:val="on"/>
      </w:pPr>
      <w:r>
        <w:t>Other Chapters That Also Deal with Files</w:t>
      </w:r>
    </w:p>
    <w:p>
      <w:pPr>
        <w:pStyle w:val="Para 012"/>
        <w:keepLines w:val="on"/>
      </w:pPr>
      <w:r>
        <w:t>Files</w:t>
      </w:r>
      <w:r>
        <w:rPr>
          <w:rStyle w:val="Text111"/>
        </w:rPr>
        <w:bookmarkStart w:id="2479" w:name="idm45965206460256"/>
        <w:t/>
        <w:bookmarkEnd w:id="2479"/>
      </w:r>
      <w:r>
        <w:t xml:space="preserve"> are a crucial concept in programming: so, although this chapter is one of the largest in the book, other chapters also have material relevant to handling specific kinds of files. In particular, </w:t>
      </w:r>
      <w:hyperlink w:anchor="Chapter_12__Persistence_and_Data_2">
        <w:r>
          <w:rPr>
            <w:rStyle w:val="Text1"/>
          </w:rPr>
          <w:t>Chapter 12</w:t>
        </w:r>
      </w:hyperlink>
      <w:r>
        <w:t xml:space="preserve"> deals with many kinds of files related to persistence and database functionality (CSV files in </w:t>
      </w:r>
      <w:hyperlink w:anchor="Chapter_12__Persistence_and_Data_2">
        <w:r>
          <w:rPr>
            <w:rStyle w:val="Text1"/>
          </w:rPr>
          <w:t>Chapter 12</w:t>
        </w:r>
      </w:hyperlink>
      <w:r>
        <w:t xml:space="preserve">, JSON files in </w:t>
      </w:r>
      <w:hyperlink w:anchor="The_json_Module__The_standard_li">
        <w:r>
          <w:rPr>
            <w:rStyle w:val="Text1"/>
          </w:rPr>
          <w:t>“The json Module”</w:t>
        </w:r>
      </w:hyperlink>
      <w:r>
        <w:t xml:space="preserve">, pickle files in </w:t>
      </w:r>
      <w:hyperlink w:anchor="The_pickle_Module__The_pickle_mo">
        <w:r>
          <w:rPr>
            <w:rStyle w:val="Text1"/>
          </w:rPr>
          <w:t>“The pickle Module”</w:t>
        </w:r>
      </w:hyperlink>
      <w:r>
        <w:t xml:space="preserve">, shelve files in </w:t>
      </w:r>
      <w:hyperlink w:anchor="The_shelve_Module__The_shelve_mo">
        <w:r>
          <w:rPr>
            <w:rStyle w:val="Text1"/>
          </w:rPr>
          <w:t>“The shelve Module”</w:t>
        </w:r>
      </w:hyperlink>
      <w:r>
        <w:t xml:space="preserve">, DBM and DBM-like files in </w:t>
      </w:r>
      <w:hyperlink w:anchor="The_dbm_Package__The_dbm_package">
        <w:r>
          <w:rPr>
            <w:rStyle w:val="Text1"/>
          </w:rPr>
          <w:t>“The dbm Package”</w:t>
        </w:r>
      </w:hyperlink>
      <w:r>
        <w:t xml:space="preserve">, and SQLite database files in </w:t>
      </w:r>
      <w:hyperlink w:anchor="SQLite__SQLite_is_a_C_coded_libr">
        <w:r>
          <w:rPr>
            <w:rStyle w:val="Text1"/>
          </w:rPr>
          <w:t>“SQLite”</w:t>
        </w:r>
      </w:hyperlink>
      <w:r>
        <w:t xml:space="preserve">), </w:t>
      </w:r>
      <w:hyperlink w:anchor="Chapter_22__Structured_Text__HTM_2">
        <w:r>
          <w:rPr>
            <w:rStyle w:val="Text1"/>
          </w:rPr>
          <w:t>Chapter 22</w:t>
        </w:r>
      </w:hyperlink>
      <w:r>
        <w:t xml:space="preserve"> deals with files in HTML format, and </w:t>
      </w:r>
      <w:hyperlink w:anchor="Chapter_23__Structured_Text__XML_2">
        <w:r>
          <w:rPr>
            <w:rStyle w:val="Text1"/>
          </w:rPr>
          <w:t>Chapter 23</w:t>
        </w:r>
      </w:hyperlink>
      <w:r>
        <w:t xml:space="preserve"> deals with files in XML format.</w:t>
      </w:r>
    </w:p>
    <w:p>
      <w:pPr>
        <w:pStyle w:val="Normal"/>
      </w:pPr>
      <w:r>
        <w:t>Files</w:t>
      </w:r>
      <w:r>
        <w:rPr>
          <w:rStyle w:val="Text111"/>
        </w:rPr>
        <w:bookmarkStart w:id="2480" w:name="idm45965206449520"/>
        <w:t/>
        <w:bookmarkEnd w:id="2480"/>
      </w:r>
      <w:r>
        <w:t xml:space="preserve"> and streams come in many flavors. Their contents can be arbitrary bytes, or text. They may be suitable for reading, writing, or both, and they may be</w:t>
      </w:r>
      <w:r>
        <w:rPr>
          <w:rStyle w:val="Text111"/>
        </w:rPr>
        <w:bookmarkStart w:id="2481" w:name="idm45965206448048"/>
        <w:t/>
        <w:bookmarkEnd w:id="2481"/>
      </w:r>
      <w:r>
        <w:t xml:space="preserve"> </w:t>
      </w:r>
      <w:r>
        <w:rPr>
          <w:rStyle w:val="Text4"/>
        </w:rPr>
        <w:t>buffered,</w:t>
      </w:r>
      <w:r>
        <w:t xml:space="preserve"> so that data is temporarily held in memory on the way to or from the file. Files may also allow</w:t>
      </w:r>
      <w:r>
        <w:rPr>
          <w:rStyle w:val="Text111"/>
        </w:rPr>
        <w:bookmarkStart w:id="2482" w:name="idm45965206446224"/>
        <w:t/>
        <w:bookmarkEnd w:id="2482"/>
      </w:r>
      <w:r>
        <w:t xml:space="preserve"> </w:t>
      </w:r>
      <w:r>
        <w:rPr>
          <w:rStyle w:val="Text4"/>
        </w:rPr>
        <w:t>random access</w:t>
      </w:r>
      <w:r>
        <w:t>, moving forward and back within the file, or jumping to read or write at a particular location in the file. This chapter covers each of these topics.</w:t>
      </w:r>
    </w:p>
    <w:p>
      <w:pPr>
        <w:pStyle w:val="Normal"/>
      </w:pPr>
      <w:r>
        <w:t>In addition, this chapter also covers the polymorphic concept of file-like objects (objects that are not actually files but behave to some extent like files), modules that deal with temporary files and file-like objects, and modules that help you access the contents of text and binary files and support compressed files and other data archives. Python’s standard library supports several kinds of</w:t>
      </w:r>
      <w:r>
        <w:rPr>
          <w:rStyle w:val="Text111"/>
        </w:rPr>
        <w:bookmarkStart w:id="2483" w:name="idm45965206444128"/>
        <w:t/>
        <w:bookmarkEnd w:id="2483"/>
      </w:r>
      <w:r>
        <w:t xml:space="preserve"> </w:t>
      </w:r>
      <w:hyperlink r:id="rId330">
        <w:r>
          <w:rPr>
            <w:rStyle w:val="Text1"/>
          </w:rPr>
          <w:t>lossless compression</w:t>
        </w:r>
      </w:hyperlink>
      <w:r>
        <w:t>, including (ordered by the typical ratio of compression on a text file, from highest to lowest):</w:t>
      </w:r>
    </w:p>
    <w:p>
      <w:pPr>
        <w:pStyle w:val="Para 010"/>
      </w:pPr>
      <w:hyperlink r:id="rId331">
        <w:r>
          <w:rPr>
            <w:rStyle w:val="Text1"/>
          </w:rPr>
          <w:t>LZMA</w:t>
        </w:r>
      </w:hyperlink>
      <w:r>
        <w:t xml:space="preserve"> (used, for</w:t>
      </w:r>
      <w:r>
        <w:rPr>
          <w:rStyle w:val="Text111"/>
        </w:rPr>
        <w:bookmarkStart w:id="2484" w:name="idm45965206440144"/>
        <w:t/>
        <w:bookmarkEnd w:id="2484"/>
      </w:r>
      <w:r>
        <w:t xml:space="preserve"> example, by the </w:t>
      </w:r>
      <w:hyperlink r:id="rId332">
        <w:r>
          <w:rPr>
            <w:rStyle w:val="Text30"/>
          </w:rPr>
          <w:t>xz</w:t>
        </w:r>
      </w:hyperlink>
      <w:r>
        <w:t xml:space="preserve"> program), see module </w:t>
      </w:r>
      <w:hyperlink r:id="rId333">
        <w:r>
          <w:rPr>
            <w:rStyle w:val="Text30"/>
          </w:rPr>
          <w:t>lzma</w:t>
        </w:r>
      </w:hyperlink>
    </w:p>
    <w:p>
      <w:pPr>
        <w:pStyle w:val="Para 010"/>
      </w:pPr>
      <w:hyperlink r:id="rId334">
        <w:r>
          <w:rPr>
            <w:rStyle w:val="Text1"/>
          </w:rPr>
          <w:t>bzip2</w:t>
        </w:r>
      </w:hyperlink>
      <w:r>
        <w:t xml:space="preserve"> (used, for</w:t>
      </w:r>
      <w:r>
        <w:rPr>
          <w:rStyle w:val="Text111"/>
        </w:rPr>
        <w:bookmarkStart w:id="2485" w:name="idm45965206435248"/>
        <w:t/>
        <w:bookmarkEnd w:id="2485"/>
      </w:r>
      <w:r>
        <w:t xml:space="preserve"> example, by the </w:t>
      </w:r>
      <w:hyperlink r:id="rId335">
        <w:r>
          <w:rPr>
            <w:rStyle w:val="Text30"/>
          </w:rPr>
          <w:t>bzip2</w:t>
        </w:r>
      </w:hyperlink>
      <w:r>
        <w:t xml:space="preserve"> program), see module </w:t>
      </w:r>
      <w:hyperlink r:id="rId336">
        <w:r>
          <w:rPr>
            <w:rStyle w:val="Text30"/>
          </w:rPr>
          <w:t>bz2</w:t>
        </w:r>
      </w:hyperlink>
    </w:p>
    <w:p>
      <w:pPr>
        <w:pStyle w:val="Para 010"/>
      </w:pPr>
      <w:hyperlink r:id="rId337">
        <w:r>
          <w:rPr>
            <w:rStyle w:val="Text1"/>
          </w:rPr>
          <w:t>deflate</w:t>
        </w:r>
      </w:hyperlink>
      <w:r>
        <w:t xml:space="preserve"> (used, for</w:t>
      </w:r>
      <w:r>
        <w:rPr>
          <w:rStyle w:val="Text111"/>
        </w:rPr>
        <w:bookmarkStart w:id="2486" w:name="idm45965206430224"/>
        <w:t/>
        <w:bookmarkEnd w:id="2486"/>
      </w:r>
      <w:r>
        <w:t xml:space="preserve"> example, by the </w:t>
      </w:r>
      <w:hyperlink r:id="rId338">
        <w:r>
          <w:rPr>
            <w:rStyle w:val="Text30"/>
          </w:rPr>
          <w:t>gzip</w:t>
        </w:r>
      </w:hyperlink>
      <w:r>
        <w:t xml:space="preserve"> and </w:t>
      </w:r>
      <w:hyperlink r:id="rId339">
        <w:r>
          <w:rPr>
            <w:rStyle w:val="Text30"/>
          </w:rPr>
          <w:t>zip</w:t>
        </w:r>
      </w:hyperlink>
      <w:r>
        <w:t xml:space="preserve"> programs), see modules </w:t>
      </w:r>
      <w:hyperlink r:id="rId340">
        <w:r>
          <w:rPr>
            <w:rStyle w:val="Text30"/>
          </w:rPr>
          <w:t>zlib</w:t>
        </w:r>
      </w:hyperlink>
      <w:r>
        <w:t xml:space="preserve">, </w:t>
      </w:r>
      <w:hyperlink r:id="rId341">
        <w:r>
          <w:rPr>
            <w:rStyle w:val="Text30"/>
          </w:rPr>
          <w:t>gzip</w:t>
        </w:r>
      </w:hyperlink>
      <w:r>
        <w:t xml:space="preserve">, and </w:t>
      </w:r>
      <w:hyperlink r:id="rId342">
        <w:r>
          <w:rPr>
            <w:rStyle w:val="Text30"/>
          </w:rPr>
          <w:t>zipfile</w:t>
        </w:r>
      </w:hyperlink>
    </w:p>
    <w:p>
      <w:pPr>
        <w:pStyle w:val="Normal"/>
      </w:pPr>
      <w:r>
        <w:t xml:space="preserve">The </w:t>
      </w:r>
      <w:hyperlink r:id="rId343">
        <w:r>
          <w:rPr>
            <w:rStyle w:val="Text30"/>
          </w:rPr>
          <w:t>tarfile</w:t>
        </w:r>
      </w:hyperlink>
      <w:hyperlink r:id="rId343">
        <w:r>
          <w:rPr>
            <w:rStyle w:val="Text1"/>
          </w:rPr>
          <w:t xml:space="preserve"> module</w:t>
        </w:r>
      </w:hyperlink>
      <w:r>
        <w:t xml:space="preserve"> </w:t>
      </w:r>
      <w:r>
        <w:rPr>
          <w:rStyle w:val="Text111"/>
        </w:rPr>
        <w:bookmarkStart w:id="2487" w:name="idm45965206421728"/>
        <w:t/>
        <w:bookmarkEnd w:id="2487"/>
        <w:bookmarkStart w:id="2488" w:name="idm45965206420592"/>
        <w:t/>
        <w:bookmarkEnd w:id="2488"/>
      </w:r>
      <w:r>
        <w:t xml:space="preserve">lets you read and write TAR files compressed with any one of these algorithms. The </w:t>
      </w:r>
      <w:r>
        <w:rPr>
          <w:rStyle w:val="Text0"/>
        </w:rPr>
        <w:t>zipfile</w:t>
      </w:r>
      <w:r>
        <w:t xml:space="preserve"> module lets you read and write ZIP files and also handles bzip2 and LZMA compressions. We cover both of these modules in this chapter. We don’t cover the details of compression in this book; for details, see the </w:t>
      </w:r>
      <w:hyperlink r:id="rId344">
        <w:r>
          <w:rPr>
            <w:rStyle w:val="Text1"/>
          </w:rPr>
          <w:t>online docs</w:t>
        </w:r>
      </w:hyperlink>
      <w:r>
        <w:t>.</w:t>
      </w:r>
    </w:p>
    <w:p>
      <w:pPr>
        <w:pStyle w:val="Normal"/>
      </w:pPr>
      <w:r>
        <w:t>In the rest of this chapter, we will refer to all files and file-like objects as files.</w:t>
      </w:r>
    </w:p>
    <w:p>
      <w:pPr>
        <w:pStyle w:val="Normal"/>
      </w:pPr>
      <w:r>
        <w:t>In</w:t>
      </w:r>
      <w:r>
        <w:rPr>
          <w:rStyle w:val="Text111"/>
        </w:rPr>
        <w:bookmarkStart w:id="2489" w:name="idm45965206416656"/>
        <w:t/>
        <w:bookmarkEnd w:id="2489"/>
        <w:bookmarkStart w:id="2490" w:name="idm45965206415552"/>
        <w:t/>
        <w:bookmarkEnd w:id="2490"/>
      </w:r>
      <w:r>
        <w:t xml:space="preserve"> modern Python, input/output (I/O) is handled by the standard library’s </w:t>
      </w:r>
      <w:r>
        <w:rPr>
          <w:rStyle w:val="Text0"/>
        </w:rPr>
        <w:t>io</w:t>
      </w:r>
      <w:r>
        <w:t xml:space="preserve"> module. The </w:t>
      </w:r>
      <w:r>
        <w:rPr>
          <w:rStyle w:val="Text0"/>
        </w:rPr>
        <w:t>os</w:t>
      </w:r>
      <w:r>
        <w:t xml:space="preserve"> module supplies many of the functions that operate on the filesystem, so this chapter also introduces that module. It then covers operations on the filesystem (comparing, copying, and deleting directories and files; working with filepaths; and accessing low-level file descriptors) provided by the </w:t>
      </w:r>
      <w:r>
        <w:rPr>
          <w:rStyle w:val="Text0"/>
        </w:rPr>
        <w:t>os</w:t>
      </w:r>
      <w:r>
        <w:t xml:space="preserve"> module, the </w:t>
      </w:r>
      <w:r>
        <w:rPr>
          <w:rStyle w:val="Text0"/>
        </w:rPr>
        <w:t>os.path</w:t>
      </w:r>
      <w:r>
        <w:t xml:space="preserve"> module, and the new and preferable </w:t>
      </w:r>
      <w:r>
        <w:rPr>
          <w:rStyle w:val="Text0"/>
        </w:rPr>
        <w:t>pathlib</w:t>
      </w:r>
      <w:r>
        <w:t xml:space="preserve"> module, which provides an object-oriented approach to filesystem paths. For a cross-platform interprocess communication (IPC) mechanism known as </w:t>
      </w:r>
      <w:r>
        <w:rPr>
          <w:rStyle w:val="Text4"/>
        </w:rPr>
        <w:t>memory-mapped files</w:t>
      </w:r>
      <w:r>
        <w:t xml:space="preserve">, see the module </w:t>
      </w:r>
      <w:r>
        <w:rPr>
          <w:rStyle w:val="Text0"/>
        </w:rPr>
        <w:t>mmap</w:t>
      </w:r>
      <w:r>
        <w:t xml:space="preserve">, covered in </w:t>
      </w:r>
      <w:hyperlink w:anchor="Chapter_15__Concurrency__Threads_2">
        <w:r>
          <w:rPr>
            <w:rStyle w:val="Text1"/>
          </w:rPr>
          <w:t>Chapter 15</w:t>
        </w:r>
      </w:hyperlink>
      <w:r>
        <w:t>.</w:t>
      </w:r>
    </w:p>
    <w:p>
      <w:pPr>
        <w:pStyle w:val="Normal"/>
      </w:pPr>
      <w:r>
        <w:t xml:space="preserve">While most modern programs rely on a graphical user interface (GUI), often via a browser or a smartphone app, text-based, nongraphical “command-line” user interfaces are still very popular for their ease, speed of use, and scriptability. This chapter concludes with a discussion of non-GUI text input and output in Python in </w:t>
      </w:r>
      <w:hyperlink w:anchor="Text_Input_and_Output__Python_pr">
        <w:r>
          <w:rPr>
            <w:rStyle w:val="Text1"/>
          </w:rPr>
          <w:t>“Text Input and Output”</w:t>
        </w:r>
      </w:hyperlink>
      <w:r>
        <w:t xml:space="preserve">, terminal text I/O in </w:t>
      </w:r>
      <w:hyperlink w:anchor="Richer_Text_I_O__The_text_I_O_mo">
        <w:r>
          <w:rPr>
            <w:rStyle w:val="Text1"/>
          </w:rPr>
          <w:t>“Richer-Text I/O”</w:t>
        </w:r>
      </w:hyperlink>
      <w:r>
        <w:t xml:space="preserve">, and, finally, how to build software showing text understandable to different users, across languages and cultures, in </w:t>
      </w:r>
      <w:hyperlink w:anchor="Internationalization__Many_progr">
        <w:r>
          <w:rPr>
            <w:rStyle w:val="Text1"/>
          </w:rPr>
          <w:t>“Internationalization”</w:t>
        </w:r>
      </w:hyperlink>
      <w:r>
        <w:t>.</w:t>
      </w:r>
    </w:p>
    <w:p>
      <w:bookmarkStart w:id="2491" w:name="The_io_Module__As_mentioned_in_t"/>
      <w:pPr>
        <w:keepNext/>
        <w:pStyle w:val="Heading 1"/>
      </w:pPr>
      <w:r>
        <w:t>The io Module</w:t>
      </w:r>
      <w:bookmarkEnd w:id="2491"/>
    </w:p>
    <w:p>
      <w:pPr>
        <w:pStyle w:val="Normal"/>
      </w:pPr>
      <w:r>
        <w:t>As</w:t>
      </w:r>
      <w:r>
        <w:rPr>
          <w:rStyle w:val="Text111"/>
        </w:rPr>
        <w:bookmarkStart w:id="2492" w:name="FTiomod11"/>
        <w:t/>
        <w:bookmarkEnd w:id="2492"/>
        <w:bookmarkStart w:id="2493" w:name="iomod11"/>
        <w:t/>
        <w:bookmarkEnd w:id="2493"/>
        <w:bookmarkStart w:id="2494" w:name="SLMio11"/>
        <w:t/>
        <w:bookmarkEnd w:id="2494"/>
      </w:r>
      <w:r>
        <w:t xml:space="preserve"> mentioned in this chapter’s introduction, </w:t>
      </w:r>
      <w:r>
        <w:rPr>
          <w:rStyle w:val="Text0"/>
        </w:rPr>
        <w:t>io</w:t>
      </w:r>
      <w:r>
        <w:t xml:space="preserve"> is the standard library module in Python that provides the most common ways for your Python programs to read or write files. In modern Python, the built-in function </w:t>
      </w:r>
      <w:r>
        <w:rPr>
          <w:rStyle w:val="Text0"/>
        </w:rPr>
        <w:t>open</w:t>
      </w:r>
      <w:r>
        <w:t xml:space="preserve"> is an alias for the function </w:t>
      </w:r>
      <w:r>
        <w:rPr>
          <w:rStyle w:val="Text0"/>
        </w:rPr>
        <w:t>io.open</w:t>
      </w:r>
      <w:r>
        <w:t xml:space="preserve">. Use </w:t>
      </w:r>
      <w:r>
        <w:rPr>
          <w:rStyle w:val="Text0"/>
        </w:rPr>
        <w:t>io.</w:t>
        <w:t>open</w:t>
      </w:r>
      <w:r>
        <w:t xml:space="preserve"> (or its built-in alias </w:t>
      </w:r>
      <w:r>
        <w:rPr>
          <w:rStyle w:val="Text0"/>
        </w:rPr>
        <w:t>open</w:t>
      </w:r>
      <w:r>
        <w:t xml:space="preserve">) to make a Python file object to read from, and/or write to, a file as seen by the underlying operating system. The parameters you pass to open determine what type of object is returned. This object can be an instance of </w:t>
      </w:r>
      <w:r>
        <w:rPr>
          <w:rStyle w:val="Text0"/>
        </w:rPr>
        <w:t>io.TextIOWrapper</w:t>
      </w:r>
      <w:r>
        <w:t xml:space="preserve"> if textual, or, if binary, one of </w:t>
      </w:r>
      <w:r>
        <w:rPr>
          <w:rStyle w:val="Text0"/>
        </w:rPr>
        <w:t>io.BufferedReader</w:t>
      </w:r>
      <w:r>
        <w:t xml:space="preserve">, </w:t>
      </w:r>
      <w:r>
        <w:rPr>
          <w:rStyle w:val="Text0"/>
        </w:rPr>
        <w:t>io.BufferedWriter</w:t>
      </w:r>
      <w:r>
        <w:t xml:space="preserve">, or </w:t>
      </w:r>
      <w:r>
        <w:rPr>
          <w:rStyle w:val="Text0"/>
        </w:rPr>
        <w:t>io.BufferedRandom</w:t>
      </w:r>
      <w:r>
        <w:t>, depending on whether it’s read-only, write-only, or read/write. This section covers the various types of file objects, as well as the important issue of making and using</w:t>
      </w:r>
      <w:r>
        <w:rPr>
          <w:rStyle w:val="Text111"/>
        </w:rPr>
        <w:bookmarkStart w:id="2495" w:name="idm45965206391328"/>
        <w:t/>
        <w:bookmarkEnd w:id="2495"/>
      </w:r>
      <w:r>
        <w:t xml:space="preserve"> </w:t>
      </w:r>
      <w:r>
        <w:rPr>
          <w:rStyle w:val="Text4"/>
        </w:rPr>
        <w:t>temporary</w:t>
      </w:r>
      <w:r>
        <w:t xml:space="preserve"> files (on disk, or even in memory).</w:t>
      </w:r>
    </w:p>
    <w:p>
      <w:pPr>
        <w:keepNext/>
        <w:pStyle w:val="Heading 5"/>
        <w:keepLines w:val="on"/>
      </w:pPr>
      <w:r>
        <w:t>I/O Errors Raise OSError</w:t>
      </w:r>
    </w:p>
    <w:p>
      <w:pPr>
        <w:pStyle w:val="Para 012"/>
        <w:keepLines w:val="on"/>
      </w:pPr>
      <w:r>
        <w:t>Python reacts to any I/O error related to a file object by raising an instance of built-in exception class</w:t>
      </w:r>
      <w:r>
        <w:rPr>
          <w:rStyle w:val="Text111"/>
        </w:rPr>
        <w:bookmarkStart w:id="2496" w:name="idm45965206388064"/>
        <w:t/>
        <w:bookmarkEnd w:id="2496"/>
      </w:r>
      <w:r>
        <w:t xml:space="preserve"> </w:t>
      </w:r>
      <w:r>
        <w:rPr>
          <w:rStyle w:val="Text0"/>
        </w:rPr>
        <w:t>OSError</w:t>
      </w:r>
      <w:r>
        <w:t xml:space="preserve"> (many useful subclasses exist, as covered in </w:t>
      </w:r>
      <w:hyperlink w:anchor="OSError_subclasses__OSError_repr">
        <w:r>
          <w:rPr>
            <w:rStyle w:val="Text1"/>
          </w:rPr>
          <w:t>“OSError subclasses”</w:t>
        </w:r>
      </w:hyperlink>
      <w:r>
        <w:t xml:space="preserve">). Errors causing this exception include a failing </w:t>
      </w:r>
      <w:r>
        <w:rPr>
          <w:rStyle w:val="Text0"/>
        </w:rPr>
        <w:t>open</w:t>
      </w:r>
      <w:r>
        <w:t xml:space="preserve"> call, calls to a method on a file to which the method doesn’t apply (e.g., </w:t>
      </w:r>
      <w:r>
        <w:rPr>
          <w:rStyle w:val="Text0"/>
        </w:rPr>
        <w:t>write</w:t>
      </w:r>
      <w:r>
        <w:t xml:space="preserve"> on a read-only file, or </w:t>
      </w:r>
      <w:r>
        <w:rPr>
          <w:rStyle w:val="Text0"/>
        </w:rPr>
        <w:t>seek</w:t>
      </w:r>
      <w:r>
        <w:t xml:space="preserve"> on a nonseekable file), and actual I/O errors diagnosed by a file object’s methods.</w:t>
      </w:r>
    </w:p>
    <w:p>
      <w:pPr>
        <w:pStyle w:val="Normal"/>
      </w:pPr>
      <w:r>
        <w:t xml:space="preserve">The </w:t>
      </w:r>
      <w:r>
        <w:rPr>
          <w:rStyle w:val="Text0"/>
        </w:rPr>
        <w:t>io</w:t>
      </w:r>
      <w:r>
        <w:t xml:space="preserve"> module also provides the underlying classes, both abstract and concrete, that, by inheritance and by composition (also known as</w:t>
      </w:r>
      <w:r>
        <w:rPr>
          <w:rStyle w:val="Text111"/>
        </w:rPr>
        <w:bookmarkStart w:id="2497" w:name="idm45965206381488"/>
        <w:t/>
        <w:bookmarkEnd w:id="2497"/>
      </w:r>
      <w:r>
        <w:t xml:space="preserve"> </w:t>
      </w:r>
      <w:r>
        <w:rPr>
          <w:rStyle w:val="Text4"/>
        </w:rPr>
        <w:t>wrapping</w:t>
      </w:r>
      <w:r>
        <w:t xml:space="preserve">), make up the file objects that your program generally uses. We do not cover these advanced topics in this book. If you have access to unusual channels for data, or nonfilesystem data storage, and want to provide a file interface to those channels or storage, you can ease your task (through appropriate subclassing and wrapping) using other classes in the </w:t>
      </w:r>
      <w:r>
        <w:rPr>
          <w:rStyle w:val="Text0"/>
        </w:rPr>
        <w:t>io</w:t>
      </w:r>
      <w:r>
        <w:t xml:space="preserve"> module. For assistance with such advanced tasks, consult the </w:t>
      </w:r>
      <w:hyperlink r:id="rId345">
        <w:r>
          <w:rPr>
            <w:rStyle w:val="Text1"/>
          </w:rPr>
          <w:t>online docs</w:t>
        </w:r>
      </w:hyperlink>
      <w:r>
        <w:t>.</w:t>
      </w:r>
    </w:p>
    <w:p>
      <w:bookmarkStart w:id="2498" w:name="Creating_a_File_Object_with_open"/>
      <w:pPr>
        <w:keepNext/>
        <w:pStyle w:val="Heading 2"/>
      </w:pPr>
      <w:r>
        <w:t>Creating a File Object with open</w:t>
      </w:r>
      <w:bookmarkEnd w:id="2498"/>
    </w:p>
    <w:p>
      <w:pPr>
        <w:pStyle w:val="Normal"/>
      </w:pPr>
      <w:r>
        <w:t>To</w:t>
      </w:r>
      <w:r>
        <w:rPr>
          <w:rStyle w:val="Text111"/>
        </w:rPr>
        <w:bookmarkStart w:id="2499" w:name="idm45965206376320"/>
        <w:t/>
        <w:bookmarkEnd w:id="2499"/>
      </w:r>
      <w:r>
        <w:t xml:space="preserve"> create a Python file object, call </w:t>
      </w:r>
      <w:r>
        <w:rPr>
          <w:rStyle w:val="Text0"/>
        </w:rPr>
        <w:t>open</w:t>
      </w:r>
      <w:r>
        <w:t xml:space="preserve"> with the following syntax:</w:t>
      </w:r>
    </w:p>
    <w:p>
      <w:pPr>
        <w:pStyle w:val="Para 007"/>
      </w:pPr>
      <w:r>
        <w:rPr>
          <w:rStyle w:val="Text23"/>
        </w:rPr>
        <w:t xml:space="preserve"/>
        <w:br w:clear="none"/>
      </w:r>
      <w:r>
        <w:rPr>
          <w:rStyle w:val="Text16"/>
        </w:rPr>
        <w:t xml:space="preserve">open</w:t>
        <w:br w:clear="none"/>
      </w:r>
      <w:r>
        <w:rPr>
          <w:rStyle w:val="Text7"/>
        </w:rPr>
        <w:t xml:space="preserve">(</w:t>
        <w:br w:clear="none"/>
      </w:r>
      <w:r>
        <w:t xml:space="preserve">file</w:t>
        <w:br w:clear="none"/>
      </w:r>
      <w:r>
        <w:rPr>
          <w:rStyle w:val="Text7"/>
        </w:rPr>
        <w:t xml:space="preserve">,</w:t>
        <w:br w:clear="none"/>
      </w:r>
      <w:r>
        <w:rPr>
          <w:rStyle w:val="Text6"/>
        </w:rPr>
        <w:t xml:space="preserve"> </w:t>
        <w:br w:clear="none"/>
      </w:r>
      <w:r>
        <w:t xml:space="preserve">mode</w:t>
        <w:br w:clear="none"/>
      </w:r>
      <w:r>
        <w:rPr>
          <w:rStyle w:val="Text13"/>
        </w:rPr>
        <w:t xml:space="preserve">=</w:t>
        <w:br w:clear="none"/>
      </w:r>
      <w:r>
        <w:rPr>
          <w:rStyle w:val="Text8"/>
        </w:rPr>
        <w:t xml:space="preserve">'</w:t>
        <w:br w:clear="none"/>
        <w:t xml:space="preserve">r</w:t>
        <w:br w:clear="none"/>
        <w:t xml:space="preserve">'</w:t>
        <w:br w:clear="none"/>
      </w:r>
      <w:r>
        <w:rPr>
          <w:rStyle w:val="Text7"/>
        </w:rPr>
        <w:t xml:space="preserve">,</w:t>
        <w:br w:clear="none"/>
      </w:r>
      <w:r>
        <w:rPr>
          <w:rStyle w:val="Text6"/>
        </w:rPr>
        <w:t xml:space="preserve"> </w:t>
        <w:br w:clear="none"/>
      </w:r>
      <w:r>
        <w:t xml:space="preserve">buffering</w:t>
        <w:br w:clear="none"/>
      </w:r>
      <w:r>
        <w:rPr>
          <w:rStyle w:val="Text13"/>
        </w:rPr>
        <w:t xml:space="preserve">=</w:t>
        <w:br w:clear="none"/>
        <w:t xml:space="preserve">-</w:t>
        <w:br w:clear="none"/>
      </w:r>
      <w:r>
        <w:rPr>
          <w:rStyle w:val="Text27"/>
        </w:rPr>
        <w:t xml:space="preserve">1</w:t>
        <w:br w:clear="none"/>
      </w:r>
      <w:r>
        <w:rPr>
          <w:rStyle w:val="Text7"/>
        </w:rPr>
        <w:t xml:space="preserve">,</w:t>
        <w:br w:clear="none"/>
      </w:r>
      <w:r>
        <w:rPr>
          <w:rStyle w:val="Text6"/>
        </w:rPr>
        <w:t xml:space="preserve"> </w:t>
        <w:br w:clear="none"/>
      </w:r>
      <w:r>
        <w:t xml:space="preserve">encoding</w:t>
        <w:br w:clear="none"/>
      </w:r>
      <w:r>
        <w:rPr>
          <w:rStyle w:val="Text13"/>
        </w:rPr>
        <w:t xml:space="preserve">=</w:t>
        <w:br w:clear="none"/>
      </w:r>
      <w:r>
        <w:rPr>
          <w:rStyle w:val="Text10"/>
        </w:rPr>
        <w:t xml:space="preserve">None</w:t>
        <w:br w:clear="none"/>
      </w:r>
      <w:r>
        <w:rPr>
          <w:rStyle w:val="Text7"/>
        </w:rPr>
        <w:t xml:space="preserve">,</w:t>
        <w:br w:clear="none"/>
      </w:r>
      <w:r>
        <w:rPr>
          <w:rStyle w:val="Text6"/>
        </w:rPr>
        <w:t xml:space="preserve"> </w:t>
        <w:br w:clear="none"/>
      </w:r>
      <w:r>
        <w:t xml:space="preserve">errors</w:t>
        <w:br w:clear="none"/>
      </w:r>
      <w:r>
        <w:rPr>
          <w:rStyle w:val="Text13"/>
        </w:rPr>
        <w:t xml:space="preserve">=</w:t>
        <w:br w:clear="none"/>
      </w:r>
      <w:r>
        <w:rPr>
          <w:rStyle w:val="Text8"/>
        </w:rPr>
        <w:t xml:space="preserve">'</w:t>
        <w:br w:clear="none"/>
        <w:t xml:space="preserve">strict</w:t>
        <w:br w:clear="none"/>
        <w:t xml:space="preserve">'</w:t>
        <w:br w:clear="none"/>
      </w:r>
      <w:r>
        <w:rPr>
          <w:rStyle w:val="Text7"/>
        </w:rPr>
        <w:t xml:space="preserve">,</w:t>
        <w:br w:clear="none"/>
      </w:r>
      <w:r>
        <w:rPr>
          <w:rStyle w:val="Text6"/>
        </w:rPr>
        <w:t xml:space="preserve"> </w:t>
        <w:br w:clear="none"/>
        <w:t xml:space="preserve"/>
        <w:br w:clear="none"/>
        <w:t xml:space="preserve">     </w:t>
        <w:br w:clear="none"/>
      </w:r>
      <w:r>
        <w:t xml:space="preserve">newline</w:t>
        <w:br w:clear="none"/>
      </w:r>
      <w:r>
        <w:rPr>
          <w:rStyle w:val="Text13"/>
        </w:rPr>
        <w:t xml:space="preserve">=</w:t>
        <w:br w:clear="none"/>
      </w:r>
      <w:r>
        <w:rPr>
          <w:rStyle w:val="Text10"/>
        </w:rPr>
        <w:t xml:space="preserve">None</w:t>
        <w:br w:clear="none"/>
      </w:r>
      <w:r>
        <w:rPr>
          <w:rStyle w:val="Text7"/>
        </w:rPr>
        <w:t xml:space="preserve">,</w:t>
        <w:br w:clear="none"/>
      </w:r>
      <w:r>
        <w:rPr>
          <w:rStyle w:val="Text6"/>
        </w:rPr>
        <w:t xml:space="preserve"> </w:t>
        <w:br w:clear="none"/>
      </w:r>
      <w:r>
        <w:t xml:space="preserve">closefd</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t>
        <w:br w:clear="none"/>
      </w:r>
      <w:r>
        <w:t xml:space="preserve">opener</w:t>
        <w:br w:clear="none"/>
      </w:r>
      <w:r>
        <w:rPr>
          <w:rStyle w:val="Text13"/>
        </w:rPr>
        <w:t xml:space="preserve">=</w:t>
        <w:br w:clear="none"/>
      </w:r>
      <w:r>
        <w:t xml:space="preserve">os</w:t>
        <w:br w:clear="none"/>
      </w:r>
      <w:r>
        <w:rPr>
          <w:rStyle w:val="Text13"/>
        </w:rPr>
        <w:t xml:space="preserve">.</w:t>
        <w:br w:clear="none"/>
      </w:r>
      <w:r>
        <w:t xml:space="preserve">open</w:t>
        <w:br w:clear="none"/>
      </w:r>
      <w:r>
        <w:rPr>
          <w:rStyle w:val="Text7"/>
        </w:rPr>
        <w:t xml:space="preserve">)</w:t>
        <w:br w:clear="none"/>
      </w:r>
    </w:p>
    <w:p>
      <w:pPr>
        <w:pStyle w:val="Normal"/>
      </w:pPr>
      <w:r>
        <w:rPr>
          <w:rStyle w:val="Text0"/>
        </w:rPr>
        <w:t>file</w:t>
      </w:r>
      <w:r>
        <w:t xml:space="preserve"> can be a string or an instance of </w:t>
      </w:r>
      <w:r>
        <w:rPr>
          <w:rStyle w:val="Text0"/>
        </w:rPr>
        <w:t>pathlib.Path</w:t>
      </w:r>
      <w:r>
        <w:t xml:space="preserve"> (any path to a file as seen by the underlying OS), or an </w:t>
      </w:r>
      <w:r>
        <w:rPr>
          <w:rStyle w:val="Text0"/>
        </w:rPr>
        <w:t>int</w:t>
      </w:r>
      <w:r>
        <w:t xml:space="preserve"> (an OS-level</w:t>
      </w:r>
      <w:r>
        <w:rPr>
          <w:rStyle w:val="Text111"/>
        </w:rPr>
        <w:bookmarkStart w:id="2500" w:name="idm45965206332032"/>
        <w:t/>
        <w:bookmarkEnd w:id="2500"/>
      </w:r>
      <w:r>
        <w:t xml:space="preserve"> </w:t>
      </w:r>
      <w:r>
        <w:rPr>
          <w:rStyle w:val="Text4"/>
        </w:rPr>
        <w:t>file descriptor</w:t>
      </w:r>
      <w:r>
        <w:t xml:space="preserve"> as returned by </w:t>
      </w:r>
      <w:r>
        <w:rPr>
          <w:rStyle w:val="Text0"/>
        </w:rPr>
        <w:t>os.open</w:t>
      </w:r>
      <w:r>
        <w:t xml:space="preserve">, or by whatever function you pass as the </w:t>
      </w:r>
      <w:r>
        <w:rPr>
          <w:rStyle w:val="Text0"/>
        </w:rPr>
        <w:t>opener</w:t>
      </w:r>
      <w:r>
        <w:t xml:space="preserve"> argument). When </w:t>
      </w:r>
      <w:r>
        <w:rPr>
          <w:rStyle w:val="Text0"/>
        </w:rPr>
        <w:t>file</w:t>
      </w:r>
      <w:r>
        <w:t xml:space="preserve"> is a path (a string or </w:t>
      </w:r>
      <w:r>
        <w:rPr>
          <w:rStyle w:val="Text0"/>
        </w:rPr>
        <w:t>pathlib.Path</w:t>
      </w:r>
      <w:r>
        <w:t xml:space="preserve"> instance), </w:t>
      </w:r>
      <w:r>
        <w:rPr>
          <w:rStyle w:val="Text0"/>
        </w:rPr>
        <w:t>open</w:t>
      </w:r>
      <w:r>
        <w:t xml:space="preserve"> opens the file thus named (possibly creating it, depending on the </w:t>
      </w:r>
      <w:r>
        <w:rPr>
          <w:rStyle w:val="Text0"/>
        </w:rPr>
        <w:t>mode</w:t>
      </w:r>
      <w:r>
        <w:t xml:space="preserve"> argument—despite its name, </w:t>
      </w:r>
      <w:r>
        <w:rPr>
          <w:rStyle w:val="Text0"/>
        </w:rPr>
        <w:t>open</w:t>
      </w:r>
      <w:r>
        <w:t xml:space="preserve"> is not just for opening existing files: it can also create new ones). When </w:t>
      </w:r>
      <w:r>
        <w:rPr>
          <w:rStyle w:val="Text0"/>
        </w:rPr>
        <w:t>file</w:t>
      </w:r>
      <w:r>
        <w:t xml:space="preserve"> is an integer, the underlying OS file must already be open (via </w:t>
      </w:r>
      <w:r>
        <w:rPr>
          <w:rStyle w:val="Text0"/>
        </w:rPr>
        <w:t>os.open</w:t>
      </w:r>
      <w:r>
        <w:t>).</w:t>
      </w:r>
    </w:p>
    <w:p>
      <w:pPr>
        <w:keepNext/>
        <w:pStyle w:val="Heading 5"/>
        <w:keepLines w:val="on"/>
      </w:pPr>
      <w:r>
        <w:t>Opening a File Pythonically</w:t>
      </w:r>
    </w:p>
    <w:p>
      <w:pPr>
        <w:pStyle w:val="Para 012"/>
        <w:keepLines w:val="on"/>
      </w:pPr>
      <w:r>
        <w:rPr>
          <w:rStyle w:val="Text0"/>
        </w:rPr>
        <w:t>open</w:t>
      </w:r>
      <w:r>
        <w:rPr>
          <w:rStyle w:val="Text111"/>
        </w:rPr>
        <w:bookmarkStart w:id="2501" w:name="idm45965206292432"/>
        <w:t/>
        <w:bookmarkEnd w:id="2501"/>
        <w:bookmarkStart w:id="2502" w:name="idm45965206291392"/>
        <w:t/>
        <w:bookmarkEnd w:id="2502"/>
      </w:r>
      <w:r>
        <w:t xml:space="preserve"> is a context manager: use</w:t>
      </w:r>
      <w:r>
        <w:rPr>
          <w:rStyle w:val="Text111"/>
        </w:rPr>
        <w:bookmarkStart w:id="2503" w:name="idm45965206290160"/>
        <w:t/>
        <w:bookmarkEnd w:id="2503"/>
        <w:bookmarkStart w:id="2504" w:name="idm45965206289056"/>
        <w:t/>
        <w:bookmarkEnd w:id="2504"/>
      </w:r>
      <w:r>
        <w:t xml:space="preserve"> </w:t>
      </w:r>
      <w:r>
        <w:rPr>
          <w:rStyle w:val="Text5"/>
        </w:rPr>
        <w:t>with</w:t>
      </w:r>
      <w:r>
        <w:t xml:space="preserve"> </w:t>
      </w:r>
      <w:r>
        <w:rPr>
          <w:rStyle w:val="Text0"/>
        </w:rPr>
        <w:t>open(...)</w:t>
      </w:r>
      <w:r>
        <w:t xml:space="preserve"> </w:t>
      </w:r>
      <w:r>
        <w:rPr>
          <w:rStyle w:val="Text5"/>
        </w:rPr>
        <w:t>as</w:t>
      </w:r>
      <w:r>
        <w:t xml:space="preserve"> </w:t>
      </w:r>
      <w:r>
        <w:rPr>
          <w:rStyle w:val="Text3"/>
        </w:rPr>
        <w:t>f</w:t>
      </w:r>
      <w:r>
        <w:rPr>
          <w:rStyle w:val="Text0"/>
        </w:rPr>
        <w:t>:</w:t>
      </w:r>
      <w:r>
        <w:t xml:space="preserve">, </w:t>
      </w:r>
      <w:r>
        <w:rPr>
          <w:rStyle w:val="Text4"/>
        </w:rPr>
        <w:t>not</w:t>
      </w:r>
      <w:r>
        <w:t xml:space="preserve"> </w:t>
      </w:r>
      <w:r>
        <w:rPr>
          <w:rStyle w:val="Text3"/>
        </w:rPr>
        <w:t>f</w:t>
      </w:r>
      <w:r>
        <w:t xml:space="preserve"> = </w:t>
      </w:r>
      <w:r>
        <w:rPr>
          <w:rStyle w:val="Text0"/>
        </w:rPr>
        <w:t>open(...)</w:t>
      </w:r>
      <w:r>
        <w:t xml:space="preserve">, to ensure the file </w:t>
      </w:r>
      <w:r>
        <w:rPr>
          <w:rStyle w:val="Text3"/>
        </w:rPr>
        <w:t>f</w:t>
      </w:r>
      <w:r>
        <w:t xml:space="preserve"> gets closed as soon as the </w:t>
      </w:r>
      <w:r>
        <w:rPr>
          <w:rStyle w:val="Text5"/>
        </w:rPr>
        <w:t>with</w:t>
      </w:r>
      <w:r>
        <w:t xml:space="preserve"> statement’s body is done.</w:t>
      </w:r>
    </w:p>
    <w:p>
      <w:pPr>
        <w:pStyle w:val="Normal"/>
      </w:pPr>
      <w:r>
        <w:rPr>
          <w:rStyle w:val="Text0"/>
        </w:rPr>
        <w:t>open</w:t>
      </w:r>
      <w:r>
        <w:t xml:space="preserve"> creates and returns an instance </w:t>
      </w:r>
      <w:r>
        <w:rPr>
          <w:rStyle w:val="Text3"/>
        </w:rPr>
        <w:t>f</w:t>
      </w:r>
      <w:r>
        <w:t xml:space="preserve"> of the appropriate </w:t>
      </w:r>
      <w:r>
        <w:rPr>
          <w:rStyle w:val="Text0"/>
        </w:rPr>
        <w:t>io</w:t>
      </w:r>
      <w:r>
        <w:t xml:space="preserve"> module class, depending on the mode and buffering settings. We refer to all such instances as file objects; they are polymorphic with respect to each other.</w:t>
      </w:r>
    </w:p>
    <w:p>
      <w:bookmarkStart w:id="2505" w:name="mode__mode_is_an_optional_string"/>
      <w:pPr>
        <w:keepNext/>
        <w:pStyle w:val="Heading 2"/>
      </w:pPr>
      <w:r>
        <w:t>mode</w:t>
      </w:r>
      <w:bookmarkEnd w:id="2505"/>
    </w:p>
    <w:p>
      <w:pPr>
        <w:pStyle w:val="Normal"/>
      </w:pPr>
      <w:r>
        <w:rPr>
          <w:rStyle w:val="Text0"/>
        </w:rPr>
        <w:t>mode</w:t>
      </w:r>
      <w:r>
        <w:t xml:space="preserve"> is an optional string indicating how the file is to be opened (or created). The possible values for </w:t>
      </w:r>
      <w:r>
        <w:rPr>
          <w:rStyle w:val="Text0"/>
        </w:rPr>
        <w:t>mode</w:t>
      </w:r>
      <w:r>
        <w:t xml:space="preserve"> are listed in </w:t>
      </w:r>
      <w:hyperlink w:anchor="Table_11_1__mode_settings">
        <w:r>
          <w:rPr>
            <w:rStyle w:val="Text1"/>
          </w:rPr>
          <w:t>Table 11-1</w:t>
        </w:r>
      </w:hyperlink>
      <w:r>
        <w:t>.</w:t>
      </w:r>
    </w:p>
    <w:tbl>
      <w:tblPr>
        <w:tblW w:type="auto" w:w="0"/>
      </w:tblPr>
      <w:tr>
        <w:tc>
          <w:tcPr>
            <w:tcW w:type="auto" w:w="0"/>
            <w:tcMar>
              <w:left w:type="dxa" w:w="200"/>
              <w:top w:type="dxa" w:w="200"/>
              <w:right w:type="dxa" w:w="200"/>
              <w:bottom w:type="dxa" w:w="200"/>
            </w:tcMar>
            <w:vAlign w:val="center"/>
          </w:tcPr>
          <w:p>
            <w:bookmarkStart w:id="2506" w:name="Table_11_1__mode_settings"/>
            <w:pPr>
              <w:pStyle w:val="Para 011"/>
            </w:pPr>
            <w:r>
              <w:rPr>
                <w:rStyle w:val="Text117"/>
              </w:rPr>
              <w:t/>
            </w:r>
            <w:r>
              <w:t xml:space="preserve">Table 11-1. </w:t>
            </w:r>
            <w:r>
              <w:rPr>
                <w:rStyle w:val="Text0"/>
              </w:rPr>
              <w:t>mode</w:t>
            </w:r>
            <w:r>
              <w:t xml:space="preserve"> settings</w:t>
            </w:r>
            <w:bookmarkEnd w:id="2506"/>
          </w:p>
          <w:p>
            <w:pPr>
              <w:pStyle w:val="Para 013"/>
            </w:pPr>
            <w:r>
              <w:t>Mode</w:t>
            </w:r>
          </w:p>
        </w:tc>
        <w:tc>
          <w:tcPr>
            <w:tcW w:type="auto" w:w="0"/>
            <w:tcMar>
              <w:left w:type="dxa" w:w="200"/>
              <w:top w:type="dxa" w:w="200"/>
              <w:right w:type="dxa" w:w="200"/>
              <w:bottom w:type="dxa" w:w="200"/>
            </w:tcMar>
            <w:vAlign w:val="center"/>
          </w:tcPr>
          <w:p>
            <w:pPr>
              <w:pStyle w:val="Para 013"/>
            </w:pPr>
            <w:r>
              <w:t>Meaning</w:t>
            </w:r>
          </w:p>
        </w:tc>
      </w:tr>
    </w:tbl>
    <w:tbl>
      <w:tblPr>
        <w:tblW w:type="auto" w:w="0"/>
      </w:tblPr>
      <w:tr>
        <w:tc>
          <w:tcPr>
            <w:tcW w:type="auto" w:w="0"/>
            <w:tcMar>
              <w:left w:type="dxa" w:w="200"/>
              <w:top w:type="dxa" w:w="200"/>
              <w:right w:type="dxa" w:w="200"/>
              <w:bottom w:type="dxa" w:w="200"/>
            </w:tcMar>
          </w:tcPr>
          <w:p>
            <w:pPr>
              <w:pStyle w:val="Para 001"/>
            </w:pPr>
            <w:r>
              <w:t>'a'</w:t>
            </w:r>
          </w:p>
        </w:tc>
        <w:tc>
          <w:tcPr>
            <w:tcW w:type="auto" w:w="0"/>
            <w:tcMar>
              <w:left w:type="dxa" w:w="200"/>
              <w:top w:type="dxa" w:w="200"/>
              <w:right w:type="dxa" w:w="200"/>
              <w:bottom w:type="dxa" w:w="200"/>
            </w:tcMar>
          </w:tcPr>
          <w:p>
            <w:pPr>
              <w:pStyle w:val="Para 002"/>
            </w:pPr>
            <w:r>
              <w:t xml:space="preserve">The file is opened in write-only mode. The file is kept intact if it already exists, and the data you write is appended to the existing contents. The file is created if it does not exist. Calling </w:t>
            </w:r>
            <w:r>
              <w:rPr>
                <w:rStyle w:val="Text3"/>
              </w:rPr>
              <w:t>f</w:t>
            </w:r>
            <w:r>
              <w:rPr>
                <w:rStyle w:val="Text0"/>
              </w:rPr>
              <w:t>.seek</w:t>
            </w:r>
            <w:r>
              <w:t xml:space="preserve"> on the file changes the result of the method </w:t>
            </w:r>
            <w:r>
              <w:rPr>
                <w:rStyle w:val="Text3"/>
              </w:rPr>
              <w:t>f</w:t>
            </w:r>
            <w:r>
              <w:rPr>
                <w:rStyle w:val="Text0"/>
              </w:rPr>
              <w:t>.tell</w:t>
            </w:r>
            <w:r>
              <w:t xml:space="preserve">, but does not change the write position in the file opened in this </w:t>
            </w:r>
            <w:r>
              <w:rPr>
                <w:rStyle w:val="Text0"/>
              </w:rPr>
              <w:t>mode</w:t>
            </w:r>
            <w:r>
              <w:t>: that write position always remains at the end of the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'a+'</w:t>
            </w:r>
          </w:p>
        </w:tc>
        <w:tc>
          <w:tcPr>
            <w:tcW w:type="auto" w:w="0"/>
            <w:shd w:val="clear" w:color="auto" w:fill="EEF2F6"/>
            <w:tcMar>
              <w:left w:type="dxa" w:w="200"/>
              <w:top w:type="dxa" w:w="200"/>
              <w:right w:type="dxa" w:w="200"/>
              <w:bottom w:type="dxa" w:w="200"/>
            </w:tcMar>
          </w:tcPr>
          <w:p>
            <w:pPr>
              <w:pStyle w:val="Para 002"/>
            </w:pPr>
            <w:r>
              <w:t xml:space="preserve">The file is opened for both reading and writing, so all methods of </w:t>
            </w:r>
            <w:r>
              <w:rPr>
                <w:rStyle w:val="Text3"/>
              </w:rPr>
              <w:t>f</w:t>
            </w:r>
            <w:r>
              <w:t xml:space="preserve"> can be called. The file is kept intact if it already exists, and the data you write is appended to the existing contents. The file is created if it does not exist. Calling </w:t>
            </w:r>
            <w:r>
              <w:rPr>
                <w:rStyle w:val="Text3"/>
              </w:rPr>
              <w:t>f</w:t>
            </w:r>
            <w:r>
              <w:rPr>
                <w:rStyle w:val="Text0"/>
              </w:rPr>
              <w:t>.seek</w:t>
            </w:r>
            <w:r>
              <w:t xml:space="preserve"> on the file, depending on the underlying operating system, may have no effect when the next I/O operation on </w:t>
            </w:r>
            <w:r>
              <w:rPr>
                <w:rStyle w:val="Text3"/>
              </w:rPr>
              <w:t>f</w:t>
            </w:r>
            <w:r>
              <w:t xml:space="preserve"> </w:t>
            </w:r>
            <w:r>
              <w:rPr>
                <w:rStyle w:val="Text4"/>
              </w:rPr>
              <w:t>writes</w:t>
            </w:r>
            <w:r>
              <w:t xml:space="preserve"> data, but does work normally when the next I/O operation on </w:t>
            </w:r>
            <w:r>
              <w:rPr>
                <w:rStyle w:val="Text3"/>
              </w:rPr>
              <w:t>f</w:t>
            </w:r>
            <w:r>
              <w:t xml:space="preserve"> </w:t>
            </w:r>
            <w:r>
              <w:rPr>
                <w:rStyle w:val="Text4"/>
              </w:rPr>
              <w:t>reads</w:t>
            </w:r>
            <w:r>
              <w:t xml:space="preserve"> data.</w:t>
            </w:r>
          </w:p>
        </w:tc>
      </w:tr>
    </w:tbl>
    <w:tbl>
      <w:tblPr>
        <w:tblW w:type="auto" w:w="0"/>
      </w:tblPr>
      <w:tr>
        <w:tc>
          <w:tcPr>
            <w:tcW w:type="auto" w:w="0"/>
            <w:tcMar>
              <w:left w:type="dxa" w:w="200"/>
              <w:top w:type="dxa" w:w="200"/>
              <w:right w:type="dxa" w:w="200"/>
              <w:bottom w:type="dxa" w:w="200"/>
            </w:tcMar>
          </w:tcPr>
          <w:p>
            <w:pPr>
              <w:pStyle w:val="Para 001"/>
            </w:pPr>
            <w:r>
              <w:t>'r'</w:t>
            </w:r>
          </w:p>
        </w:tc>
        <w:tc>
          <w:tcPr>
            <w:tcW w:type="auto" w:w="0"/>
            <w:tcMar>
              <w:left w:type="dxa" w:w="200"/>
              <w:top w:type="dxa" w:w="200"/>
              <w:right w:type="dxa" w:w="200"/>
              <w:bottom w:type="dxa" w:w="200"/>
            </w:tcMar>
          </w:tcPr>
          <w:p>
            <w:pPr>
              <w:pStyle w:val="Para 002"/>
            </w:pPr>
            <w:r>
              <w:t>The file must already exist, and it is opened in read-only mode (this is the default).</w:t>
            </w:r>
          </w:p>
        </w:tc>
      </w:tr>
    </w:tbl>
    <w:tbl>
      <w:tblPr>
        <w:tblW w:type="auto" w:w="0"/>
      </w:tblPr>
      <w:tr>
        <w:tc>
          <w:tcPr>
            <w:tcW w:type="auto" w:w="0"/>
            <w:shd w:val="clear" w:color="auto" w:fill="EEF2F6"/>
            <w:tcMar>
              <w:left w:type="dxa" w:w="200"/>
              <w:top w:type="dxa" w:w="200"/>
              <w:right w:type="dxa" w:w="200"/>
              <w:bottom w:type="dxa" w:w="200"/>
            </w:tcMar>
          </w:tcPr>
          <w:p>
            <w:pPr>
              <w:pStyle w:val="Para 001"/>
            </w:pPr>
            <w:r>
              <w:t>'r+'</w:t>
            </w:r>
          </w:p>
        </w:tc>
        <w:tc>
          <w:tcPr>
            <w:tcW w:type="auto" w:w="0"/>
            <w:shd w:val="clear" w:color="auto" w:fill="EEF2F6"/>
            <w:tcMar>
              <w:left w:type="dxa" w:w="200"/>
              <w:top w:type="dxa" w:w="200"/>
              <w:right w:type="dxa" w:w="200"/>
              <w:bottom w:type="dxa" w:w="200"/>
            </w:tcMar>
          </w:tcPr>
          <w:p>
            <w:pPr>
              <w:pStyle w:val="Para 002"/>
            </w:pPr>
            <w:r>
              <w:t xml:space="preserve">The file must exist and is opened for both reading and writing, so all methods of </w:t>
            </w:r>
            <w:r>
              <w:rPr>
                <w:rStyle w:val="Text3"/>
              </w:rPr>
              <w:t>f</w:t>
            </w:r>
            <w:r>
              <w:t xml:space="preserve"> can be called.</w:t>
            </w:r>
          </w:p>
        </w:tc>
      </w:tr>
    </w:tbl>
    <w:tbl>
      <w:tblPr>
        <w:tblW w:type="auto" w:w="0"/>
      </w:tblPr>
      <w:tr>
        <w:tc>
          <w:tcPr>
            <w:tcW w:type="auto" w:w="0"/>
            <w:tcMar>
              <w:left w:type="dxa" w:w="200"/>
              <w:top w:type="dxa" w:w="200"/>
              <w:right w:type="dxa" w:w="200"/>
              <w:bottom w:type="dxa" w:w="200"/>
            </w:tcMar>
          </w:tcPr>
          <w:p>
            <w:pPr>
              <w:pStyle w:val="Para 001"/>
            </w:pPr>
            <w:r>
              <w:t>'w'</w:t>
            </w:r>
          </w:p>
        </w:tc>
        <w:tc>
          <w:tcPr>
            <w:tcW w:type="auto" w:w="0"/>
            <w:tcMar>
              <w:left w:type="dxa" w:w="200"/>
              <w:top w:type="dxa" w:w="200"/>
              <w:right w:type="dxa" w:w="200"/>
              <w:bottom w:type="dxa" w:w="200"/>
            </w:tcMar>
          </w:tcPr>
          <w:p>
            <w:pPr>
              <w:pStyle w:val="Para 002"/>
            </w:pPr>
            <w:r>
              <w:t>The file is opened in write-only mode. The file is truncated to zero length and overwritten if it already exists, or created if it does not exist.</w:t>
            </w:r>
          </w:p>
        </w:tc>
      </w:tr>
    </w:tbl>
    <w:tbl>
      <w:tblPr>
        <w:tblW w:type="auto" w:w="0"/>
      </w:tblPr>
      <w:tr>
        <w:tc>
          <w:tcPr>
            <w:tcW w:type="auto" w:w="0"/>
            <w:shd w:val="clear" w:color="auto" w:fill="EEF2F6"/>
            <w:tcMar>
              <w:left w:type="dxa" w:w="200"/>
              <w:top w:type="dxa" w:w="200"/>
              <w:right w:type="dxa" w:w="200"/>
              <w:bottom w:type="dxa" w:w="200"/>
            </w:tcMar>
          </w:tcPr>
          <w:p>
            <w:pPr>
              <w:pStyle w:val="Para 001"/>
            </w:pPr>
            <w:r>
              <w:t>'w+'</w:t>
            </w:r>
          </w:p>
        </w:tc>
        <w:tc>
          <w:tcPr>
            <w:tcW w:type="auto" w:w="0"/>
            <w:shd w:val="clear" w:color="auto" w:fill="EEF2F6"/>
            <w:tcMar>
              <w:left w:type="dxa" w:w="200"/>
              <w:top w:type="dxa" w:w="200"/>
              <w:right w:type="dxa" w:w="200"/>
              <w:bottom w:type="dxa" w:w="200"/>
            </w:tcMar>
          </w:tcPr>
          <w:p>
            <w:pPr>
              <w:pStyle w:val="Para 002"/>
            </w:pPr>
            <w:r>
              <w:t xml:space="preserve">The file is opened for both reading and writing, so all methods of </w:t>
            </w:r>
            <w:r>
              <w:rPr>
                <w:rStyle w:val="Text3"/>
              </w:rPr>
              <w:t>f</w:t>
            </w:r>
            <w:r>
              <w:t xml:space="preserve"> can be called. The file is truncated to zero length and overwritten if it already exists, or created if it does not exist.</w:t>
            </w:r>
          </w:p>
        </w:tc>
      </w:tr>
    </w:tbl>
    <w:p>
      <w:bookmarkStart w:id="2507" w:name="Binary_and_text_modes__The_mode"/>
      <w:pPr>
        <w:keepNext/>
        <w:pStyle w:val="Heading 2"/>
      </w:pPr>
      <w:r>
        <w:t>Binary and text modes</w:t>
      </w:r>
      <w:bookmarkEnd w:id="2507"/>
    </w:p>
    <w:p>
      <w:pPr>
        <w:pStyle w:val="Normal"/>
      </w:pPr>
      <w:r>
        <w:t>The</w:t>
      </w:r>
      <w:r>
        <w:rPr>
          <w:rStyle w:val="Text111"/>
        </w:rPr>
        <w:bookmarkStart w:id="2508" w:name="idm45965206245856"/>
        <w:t/>
        <w:bookmarkEnd w:id="2508"/>
        <w:bookmarkStart w:id="2509" w:name="idm45965206244336"/>
        <w:t/>
        <w:bookmarkEnd w:id="2509"/>
      </w:r>
      <w:r>
        <w:t xml:space="preserve"> </w:t>
      </w:r>
      <w:r>
        <w:rPr>
          <w:rStyle w:val="Text0"/>
        </w:rPr>
        <w:t>mode</w:t>
      </w:r>
      <w:r>
        <w:t xml:space="preserve"> string may include any of the values in </w:t>
      </w:r>
      <w:hyperlink w:anchor="Table_11_1__mode_settings">
        <w:r>
          <w:rPr>
            <w:rStyle w:val="Text1"/>
          </w:rPr>
          <w:t>Table 11-1</w:t>
        </w:r>
      </w:hyperlink>
      <w:r>
        <w:t xml:space="preserve">, followed by a </w:t>
      </w:r>
      <w:r>
        <w:rPr>
          <w:rStyle w:val="Text0"/>
        </w:rPr>
        <w:t>b</w:t>
      </w:r>
      <w:r>
        <w:t xml:space="preserve"> or </w:t>
      </w:r>
      <w:r>
        <w:rPr>
          <w:rStyle w:val="Text0"/>
        </w:rPr>
        <w:t>t</w:t>
      </w:r>
      <w:r>
        <w:t xml:space="preserve">. </w:t>
      </w:r>
      <w:r>
        <w:rPr>
          <w:rStyle w:val="Text0"/>
        </w:rPr>
        <w:t>b</w:t>
      </w:r>
      <w:r>
        <w:t xml:space="preserve"> indicates that the file should be opened (or created) in binary mode, while </w:t>
      </w:r>
      <w:r>
        <w:rPr>
          <w:rStyle w:val="Text0"/>
        </w:rPr>
        <w:t>t</w:t>
      </w:r>
      <w:r>
        <w:t xml:space="preserve"> indicates text mode. When neither </w:t>
      </w:r>
      <w:r>
        <w:rPr>
          <w:rStyle w:val="Text0"/>
        </w:rPr>
        <w:t>b</w:t>
      </w:r>
      <w:r>
        <w:t xml:space="preserve"> nor </w:t>
      </w:r>
      <w:r>
        <w:rPr>
          <w:rStyle w:val="Text0"/>
        </w:rPr>
        <w:t>t</w:t>
      </w:r>
      <w:r>
        <w:t xml:space="preserve"> is included, the default is text (i.e., </w:t>
      </w:r>
      <w:r>
        <w:rPr>
          <w:rStyle w:val="Text0"/>
        </w:rPr>
        <w:t>'r'</w:t>
      </w:r>
      <w:r>
        <w:t xml:space="preserve"> is like </w:t>
      </w:r>
      <w:r>
        <w:rPr>
          <w:rStyle w:val="Text0"/>
        </w:rPr>
        <w:t>'rt'</w:t>
      </w:r>
      <w:r>
        <w:t xml:space="preserve">, </w:t>
      </w:r>
      <w:r>
        <w:rPr>
          <w:rStyle w:val="Text0"/>
        </w:rPr>
        <w:t>'w+'</w:t>
      </w:r>
      <w:r>
        <w:t xml:space="preserve"> is like </w:t>
      </w:r>
      <w:r>
        <w:rPr>
          <w:rStyle w:val="Text0"/>
        </w:rPr>
        <w:t>'w+t'</w:t>
      </w:r>
      <w:r>
        <w:t xml:space="preserve">, and so on), but per </w:t>
      </w:r>
      <w:hyperlink r:id="rId346">
        <w:r>
          <w:rPr>
            <w:rStyle w:val="Text1"/>
          </w:rPr>
          <w:t>The Zen of Python</w:t>
        </w:r>
      </w:hyperlink>
      <w:r>
        <w:t>, “explicit is better than implicit.”</w:t>
      </w:r>
    </w:p>
    <w:p>
      <w:pPr>
        <w:pStyle w:val="Normal"/>
      </w:pPr>
      <w:r>
        <w:t xml:space="preserve">Binary files let you read and/or write strings of type </w:t>
      </w:r>
      <w:r>
        <w:rPr>
          <w:rStyle w:val="Text0"/>
        </w:rPr>
        <w:t>bytes</w:t>
      </w:r>
      <w:r>
        <w:t xml:space="preserve">, and text files let you read and/or write Unicode text strings of type </w:t>
      </w:r>
      <w:r>
        <w:rPr>
          <w:rStyle w:val="Text0"/>
        </w:rPr>
        <w:t>str</w:t>
      </w:r>
      <w:r>
        <w:t xml:space="preserve">. For text files, when the underlying channel or storage system deals in bytes (as most do), </w:t>
      </w:r>
      <w:r>
        <w:rPr>
          <w:rStyle w:val="Text0"/>
        </w:rPr>
        <w:t>encoding</w:t>
      </w:r>
      <w:r>
        <w:t xml:space="preserve"> (the name of an encoding known to Python) and </w:t>
      </w:r>
      <w:r>
        <w:rPr>
          <w:rStyle w:val="Text0"/>
        </w:rPr>
        <w:t>errors</w:t>
      </w:r>
      <w:r>
        <w:t xml:space="preserve"> (an error-handler name such as </w:t>
      </w:r>
      <w:r>
        <w:rPr>
          <w:rStyle w:val="Text0"/>
        </w:rPr>
        <w:t>'strict'</w:t>
      </w:r>
      <w:r>
        <w:t xml:space="preserve">, </w:t>
      </w:r>
      <w:r>
        <w:rPr>
          <w:rStyle w:val="Text0"/>
        </w:rPr>
        <w:t>'replace'</w:t>
      </w:r>
      <w:r>
        <w:t xml:space="preserve">, and so on, as covered under </w:t>
      </w:r>
      <w:r>
        <w:rPr>
          <w:rStyle w:val="Text0"/>
        </w:rPr>
        <w:t>decode</w:t>
      </w:r>
      <w:r>
        <w:t xml:space="preserve"> in </w:t>
      </w:r>
      <w:hyperlink w:anchor="Table_9_1__Significant_str_and_b">
        <w:r>
          <w:rPr>
            <w:rStyle w:val="Text1"/>
          </w:rPr>
          <w:t>Table 9-1</w:t>
        </w:r>
      </w:hyperlink>
      <w:r>
        <w:t>) matter, as they specify how to translate between text and bytes, and what to do on encoding and decoding errors.</w:t>
      </w:r>
    </w:p>
    <w:p>
      <w:bookmarkStart w:id="2510" w:name="Buffering__buffering_is_an_integ"/>
      <w:pPr>
        <w:keepNext/>
        <w:pStyle w:val="Heading 2"/>
      </w:pPr>
      <w:r>
        <w:t>Buffering</w:t>
      </w:r>
      <w:bookmarkEnd w:id="2510"/>
    </w:p>
    <w:p>
      <w:pPr>
        <w:pStyle w:val="Normal"/>
      </w:pPr>
      <w:r>
        <w:rPr>
          <w:rStyle w:val="Text0"/>
        </w:rPr>
        <w:t>buffering</w:t>
      </w:r>
      <w:r>
        <w:rPr>
          <w:rStyle w:val="Text111"/>
        </w:rPr>
        <w:bookmarkStart w:id="2511" w:name="idm45965206224416"/>
        <w:t/>
        <w:bookmarkEnd w:id="2511"/>
      </w:r>
      <w:r>
        <w:t xml:space="preserve"> is an integer value that denotes the buffering policy you’re requesting for the file. When </w:t>
      </w:r>
      <w:r>
        <w:rPr>
          <w:rStyle w:val="Text0"/>
        </w:rPr>
        <w:t>buffering</w:t>
      </w:r>
      <w:r>
        <w:t xml:space="preserve"> is </w:t>
      </w:r>
      <w:r>
        <w:rPr>
          <w:rStyle w:val="Text0"/>
        </w:rPr>
        <w:t>0</w:t>
      </w:r>
      <w:r>
        <w:t xml:space="preserve">, the file (which must be binary mode) is unbuffered; the effect is as if the file’s buffer is flushed every time you write anything to the file. When </w:t>
      </w:r>
      <w:r>
        <w:rPr>
          <w:rStyle w:val="Text0"/>
        </w:rPr>
        <w:t>buffering</w:t>
      </w:r>
      <w:r>
        <w:t xml:space="preserve"> is </w:t>
      </w:r>
      <w:r>
        <w:rPr>
          <w:rStyle w:val="Text0"/>
        </w:rPr>
        <w:t>1</w:t>
      </w:r>
      <w:r>
        <w:t xml:space="preserve">, the file (which </w:t>
      </w:r>
      <w:r>
        <w:rPr>
          <w:rStyle w:val="Text4"/>
        </w:rPr>
        <w:t>must</w:t>
      </w:r>
      <w:r>
        <w:t xml:space="preserve"> be open in text mode) is line buffered, which means the file’s buffer is flushed every time you write </w:t>
      </w:r>
      <w:r>
        <w:rPr>
          <w:rStyle w:val="Text0"/>
        </w:rPr>
        <w:t>\n</w:t>
      </w:r>
      <w:r>
        <w:t xml:space="preserve"> to the file. When </w:t>
      </w:r>
      <w:r>
        <w:rPr>
          <w:rStyle w:val="Text0"/>
        </w:rPr>
        <w:t>buffering</w:t>
      </w:r>
      <w:r>
        <w:t xml:space="preserve"> is greater than </w:t>
      </w:r>
      <w:r>
        <w:rPr>
          <w:rStyle w:val="Text0"/>
        </w:rPr>
        <w:t>1</w:t>
      </w:r>
      <w:r>
        <w:t xml:space="preserve">, the file uses a buffer of about </w:t>
      </w:r>
      <w:r>
        <w:rPr>
          <w:rStyle w:val="Text0"/>
        </w:rPr>
        <w:t>buffering</w:t>
      </w:r>
      <w:r>
        <w:t xml:space="preserve"> bytes, often rounded up to some value convenient for the driver software. When </w:t>
      </w:r>
      <w:r>
        <w:rPr>
          <w:rStyle w:val="Text0"/>
        </w:rPr>
        <w:t>buffering</w:t>
      </w:r>
      <w:r>
        <w:t xml:space="preserve"> is </w:t>
      </w:r>
      <w:r>
        <w:rPr>
          <w:rStyle w:val="Text0"/>
        </w:rPr>
        <w:t>&lt;0</w:t>
      </w:r>
      <w:r>
        <w:t xml:space="preserve">, a default is used, depending on the type of file stream. Normally, this default is line buffering for files that correspond to interactive streams, and a buffer of </w:t>
      </w:r>
      <w:r>
        <w:rPr>
          <w:rStyle w:val="Text0"/>
        </w:rPr>
        <w:t>io.DEFAULT_BUFFER_SIZE</w:t>
      </w:r>
      <w:r>
        <w:t xml:space="preserve"> bytes for other files.</w:t>
      </w:r>
    </w:p>
    <w:p>
      <w:bookmarkStart w:id="2512" w:name="Sequential_and_nonsequential___r"/>
      <w:pPr>
        <w:keepNext/>
        <w:pStyle w:val="Heading 2"/>
      </w:pPr>
      <w:r>
        <w:t>Sequential and nonsequential (“random”) access</w:t>
      </w:r>
      <w:bookmarkEnd w:id="2512"/>
    </w:p>
    <w:p>
      <w:pPr>
        <w:pStyle w:val="Normal"/>
      </w:pPr>
      <w:r>
        <w:t>A</w:t>
      </w:r>
      <w:r>
        <w:rPr>
          <w:rStyle w:val="Text111"/>
        </w:rPr>
        <w:bookmarkStart w:id="2513" w:name="idm45965206212752"/>
        <w:t/>
        <w:bookmarkEnd w:id="2513"/>
        <w:bookmarkStart w:id="2514" w:name="idm45965206211616"/>
        <w:t/>
        <w:bookmarkEnd w:id="2514"/>
        <w:bookmarkStart w:id="2515" w:name="idm45965206210512"/>
        <w:t/>
        <w:bookmarkEnd w:id="2515"/>
      </w:r>
      <w:r>
        <w:t xml:space="preserve"> file object </w:t>
      </w:r>
      <w:r>
        <w:rPr>
          <w:rStyle w:val="Text3"/>
        </w:rPr>
        <w:t>f</w:t>
      </w:r>
      <w:r>
        <w:t xml:space="preserve"> is inherently sequential (a stream of bytes or text). When you read, you get bytes or text in the sequential order in which they are present. When you write, the bytes or text you write are added in the order in which you write them.</w:t>
      </w:r>
    </w:p>
    <w:p>
      <w:pPr>
        <w:pStyle w:val="Normal"/>
      </w:pPr>
      <w:r>
        <w:t xml:space="preserve">For a file object </w:t>
      </w:r>
      <w:r>
        <w:rPr>
          <w:rStyle w:val="Text3"/>
        </w:rPr>
        <w:t>f</w:t>
      </w:r>
      <w:r>
        <w:t xml:space="preserve"> to support nonsequential access (also known as random access), it must keep track of its current position (the position in the storage where the next read or write operation starts transferring data), and the underlying storage for the file must support setting the current position. </w:t>
      </w:r>
      <w:r>
        <w:rPr>
          <w:rStyle w:val="Text3"/>
        </w:rPr>
        <w:t>f</w:t>
      </w:r>
      <w:r>
        <w:rPr>
          <w:rStyle w:val="Text0"/>
        </w:rPr>
        <w:t>.seekable</w:t>
      </w:r>
      <w:r>
        <w:t xml:space="preserve"> returns </w:t>
      </w:r>
      <w:r>
        <w:rPr>
          <w:rStyle w:val="Text5"/>
        </w:rPr>
        <w:t>True</w:t>
      </w:r>
      <w:r>
        <w:t xml:space="preserve"> when </w:t>
      </w:r>
      <w:r>
        <w:rPr>
          <w:rStyle w:val="Text3"/>
        </w:rPr>
        <w:t>f</w:t>
      </w:r>
      <w:r>
        <w:t xml:space="preserve"> supports nonsequential access.</w:t>
      </w:r>
    </w:p>
    <w:p>
      <w:pPr>
        <w:pStyle w:val="Normal"/>
      </w:pPr>
      <w:r>
        <w:t xml:space="preserve">When you open a file, the default initial read/write position is at the start of the file. Opening </w:t>
      </w:r>
      <w:r>
        <w:rPr>
          <w:rStyle w:val="Text3"/>
        </w:rPr>
        <w:t>f</w:t>
      </w:r>
      <w:r>
        <w:t xml:space="preserve"> with a </w:t>
      </w:r>
      <w:r>
        <w:rPr>
          <w:rStyle w:val="Text0"/>
        </w:rPr>
        <w:t>mode</w:t>
      </w:r>
      <w:r>
        <w:t xml:space="preserve"> of </w:t>
      </w:r>
      <w:r>
        <w:rPr>
          <w:rStyle w:val="Text0"/>
        </w:rPr>
        <w:t>'a'</w:t>
      </w:r>
      <w:r>
        <w:t xml:space="preserve"> or </w:t>
      </w:r>
      <w:r>
        <w:rPr>
          <w:rStyle w:val="Text0"/>
        </w:rPr>
        <w:t>'a+'</w:t>
      </w:r>
      <w:r>
        <w:t xml:space="preserve"> sets </w:t>
      </w:r>
      <w:r>
        <w:rPr>
          <w:rStyle w:val="Text3"/>
        </w:rPr>
        <w:t>f</w:t>
      </w:r>
      <w:r>
        <w:t xml:space="preserve">’s read/write position to the end of the file before writing data to </w:t>
      </w:r>
      <w:r>
        <w:rPr>
          <w:rStyle w:val="Text3"/>
        </w:rPr>
        <w:t>f</w:t>
      </w:r>
      <w:r>
        <w:t xml:space="preserve">. When you write or read </w:t>
      </w:r>
      <w:r>
        <w:rPr>
          <w:rStyle w:val="Text3"/>
        </w:rPr>
        <w:t>n</w:t>
      </w:r>
      <w:r>
        <w:t xml:space="preserve"> bytes to/from file object </w:t>
      </w:r>
      <w:r>
        <w:rPr>
          <w:rStyle w:val="Text3"/>
        </w:rPr>
        <w:t>f</w:t>
      </w:r>
      <w:r>
        <w:t xml:space="preserve">, </w:t>
      </w:r>
      <w:r>
        <w:rPr>
          <w:rStyle w:val="Text3"/>
        </w:rPr>
        <w:t>f</w:t>
      </w:r>
      <w:r>
        <w:t xml:space="preserve">’s position advances by </w:t>
      </w:r>
      <w:r>
        <w:rPr>
          <w:rStyle w:val="Text3"/>
        </w:rPr>
        <w:t>n</w:t>
      </w:r>
      <w:r>
        <w:t xml:space="preserve">. You can query the current position by calling </w:t>
      </w:r>
      <w:r>
        <w:rPr>
          <w:rStyle w:val="Text3"/>
        </w:rPr>
        <w:t>f</w:t>
      </w:r>
      <w:r>
        <w:rPr>
          <w:rStyle w:val="Text0"/>
        </w:rPr>
        <w:t>.tell</w:t>
      </w:r>
      <w:r>
        <w:t xml:space="preserve">, and change the position by calling </w:t>
      </w:r>
      <w:r>
        <w:rPr>
          <w:rStyle w:val="Text3"/>
        </w:rPr>
        <w:t>f</w:t>
      </w:r>
      <w:r>
        <w:rPr>
          <w:rStyle w:val="Text0"/>
        </w:rPr>
        <w:t>.seek</w:t>
      </w:r>
      <w:r>
        <w:t>, both covered in the next section.</w:t>
      </w:r>
    </w:p>
    <w:p>
      <w:pPr>
        <w:pStyle w:val="Normal"/>
      </w:pPr>
      <w:r>
        <w:t xml:space="preserve">When calling </w:t>
      </w:r>
      <w:r>
        <w:rPr>
          <w:rStyle w:val="Text3"/>
        </w:rPr>
        <w:t>f</w:t>
      </w:r>
      <w:r>
        <w:rPr>
          <w:rStyle w:val="Text0"/>
        </w:rPr>
        <w:t>.seek</w:t>
      </w:r>
      <w:r>
        <w:t xml:space="preserve"> on a text-mode </w:t>
      </w:r>
      <w:r>
        <w:rPr>
          <w:rStyle w:val="Text3"/>
        </w:rPr>
        <w:t>f</w:t>
      </w:r>
      <w:r>
        <w:t xml:space="preserve">, the offset you pass must be </w:t>
      </w:r>
      <w:r>
        <w:rPr>
          <w:rStyle w:val="Text0"/>
        </w:rPr>
        <w:t>0</w:t>
      </w:r>
      <w:r>
        <w:t xml:space="preserve"> (to position </w:t>
      </w:r>
      <w:r>
        <w:rPr>
          <w:rStyle w:val="Text3"/>
        </w:rPr>
        <w:t>f</w:t>
      </w:r>
      <w:r>
        <w:t xml:space="preserve"> at the start or end, depending on </w:t>
      </w:r>
      <w:r>
        <w:rPr>
          <w:rStyle w:val="Text3"/>
        </w:rPr>
        <w:t>f</w:t>
      </w:r>
      <w:r>
        <w:rPr>
          <w:rStyle w:val="Text0"/>
        </w:rPr>
        <w:t>.seek</w:t>
      </w:r>
      <w:r>
        <w:t xml:space="preserve">’s second parameter), or the opaque result returned by an earlier call to </w:t>
      </w:r>
      <w:r>
        <w:rPr>
          <w:rStyle w:val="Text3"/>
        </w:rPr>
        <w:t>f</w:t>
      </w:r>
      <w:r>
        <w:rPr>
          <w:rStyle w:val="Text0"/>
        </w:rPr>
        <w:t>.tell</w:t>
      </w:r>
      <w:r>
        <w:t>,</w:t>
      </w:r>
      <w:hyperlink w:anchor="1_tell_s_value_is_opaque_for_tex">
        <w:r>
          <w:rPr>
            <w:rStyle w:val="Text41"/>
          </w:rPr>
          <w:bookmarkStart w:id="2516" w:name="1_11"/>
          <w:t>1</w:t>
          <w:bookmarkEnd w:id="2516"/>
        </w:r>
      </w:hyperlink>
      <w:r>
        <w:t xml:space="preserve"> to position </w:t>
      </w:r>
      <w:r>
        <w:rPr>
          <w:rStyle w:val="Text3"/>
        </w:rPr>
        <w:t>f</w:t>
      </w:r>
      <w:r>
        <w:t xml:space="preserve"> back to a spot you had thus “bookmarked” before.</w:t>
      </w:r>
    </w:p>
    <w:p>
      <w:bookmarkStart w:id="2517" w:name="Attributes_and_Methods_of_File_O"/>
      <w:pPr>
        <w:keepNext/>
        <w:pStyle w:val="Heading 2"/>
      </w:pPr>
      <w:r>
        <w:t>Attributes and Methods of File Objects</w:t>
      </w:r>
      <w:bookmarkEnd w:id="2517"/>
    </w:p>
    <w:p>
      <w:pPr>
        <w:pStyle w:val="Normal"/>
      </w:pPr>
      <w:r>
        <w:t>A</w:t>
      </w:r>
      <w:r>
        <w:rPr>
          <w:rStyle w:val="Text111"/>
        </w:rPr>
        <w:bookmarkStart w:id="2518" w:name="Afile11"/>
        <w:t/>
        <w:bookmarkEnd w:id="2518"/>
        <w:bookmarkStart w:id="2519" w:name="Mfileob1"/>
        <w:t/>
        <w:bookmarkEnd w:id="2519"/>
      </w:r>
      <w:r>
        <w:t xml:space="preserve"> file object </w:t>
      </w:r>
      <w:r>
        <w:rPr>
          <w:rStyle w:val="Text3"/>
        </w:rPr>
        <w:t>f</w:t>
      </w:r>
      <w:r>
        <w:t xml:space="preserve"> supplies the attributes and methods documented in </w:t>
      </w:r>
      <w:hyperlink w:anchor="Table_11_2__Attributes_and_metho">
        <w:r>
          <w:rPr>
            <w:rStyle w:val="Text1"/>
          </w:rPr>
          <w:t>Table 11-2</w:t>
        </w:r>
      </w:hyperlink>
      <w:r>
        <w:t>.</w:t>
      </w:r>
    </w:p>
    <w:tbl>
      <w:tblPr>
        <w:tblW w:type="auto" w:w="0"/>
      </w:tblPr>
      <w:tr>
        <w:tc>
          <w:tcPr>
            <w:tcW w:type="auto" w:w="0"/>
            <w:tcMar>
              <w:left w:type="dxa" w:w="200"/>
              <w:top w:type="dxa" w:w="200"/>
              <w:right w:type="dxa" w:w="200"/>
              <w:bottom w:type="dxa" w:w="200"/>
            </w:tcMar>
          </w:tcPr>
          <w:p>
            <w:bookmarkStart w:id="2520" w:name="Table_11_2__Attributes_and_metho"/>
            <w:pPr>
              <w:pStyle w:val="Para 011"/>
            </w:pPr>
            <w:r>
              <w:rPr>
                <w:rStyle w:val="Text117"/>
              </w:rPr>
              <w:t/>
            </w:r>
            <w:r>
              <w:t xml:space="preserve">Table 11-2. </w:t>
              <w:t>Attributes and methods of file objects</w:t>
            </w:r>
            <w:bookmarkEnd w:id="2520"/>
          </w:p>
          <w:p>
            <w:pPr>
              <w:pStyle w:val="Para 001"/>
            </w:pPr>
            <w:r>
              <w:t>close</w:t>
            </w:r>
          </w:p>
        </w:tc>
        <w:tc>
          <w:tcPr>
            <w:tcW w:type="auto" w:w="0"/>
            <w:tcMar>
              <w:left w:type="dxa" w:w="200"/>
              <w:top w:type="dxa" w:w="200"/>
              <w:right w:type="dxa" w:w="200"/>
              <w:bottom w:type="dxa" w:w="200"/>
            </w:tcMar>
          </w:tcPr>
          <w:p>
            <w:pPr>
              <w:pStyle w:val="Para 002"/>
            </w:pPr>
            <w:r>
              <w:rPr>
                <w:rStyle w:val="Text0"/>
              </w:rPr>
              <w:t>close()</w:t>
              <w:br w:clear="none"/>
            </w:r>
            <w:r>
              <w:t xml:space="preserve"> Closes</w:t>
            </w:r>
            <w:r>
              <w:rPr>
                <w:rStyle w:val="Text111"/>
              </w:rPr>
              <w:bookmarkStart w:id="2521" w:name="idm45965206170624"/>
              <w:t/>
              <w:bookmarkEnd w:id="2521"/>
            </w:r>
            <w:r>
              <w:t xml:space="preserve"> the file. You can call no other method on </w:t>
            </w:r>
            <w:r>
              <w:rPr>
                <w:rStyle w:val="Text3"/>
              </w:rPr>
              <w:t>f</w:t>
            </w:r>
            <w:r>
              <w:t xml:space="preserve"> after </w:t>
            </w:r>
            <w:r>
              <w:rPr>
                <w:rStyle w:val="Text3"/>
              </w:rPr>
              <w:t>f</w:t>
            </w:r>
            <w:r>
              <w:rPr>
                <w:rStyle w:val="Text0"/>
              </w:rPr>
              <w:t>.close</w:t>
            </w:r>
            <w:r>
              <w:t xml:space="preserve">. Multiple calls to </w:t>
            </w:r>
            <w:r>
              <w:rPr>
                <w:rStyle w:val="Text3"/>
              </w:rPr>
              <w:t>f</w:t>
            </w:r>
            <w:r>
              <w:rPr>
                <w:rStyle w:val="Text0"/>
              </w:rPr>
              <w:t>.close</w:t>
            </w:r>
            <w:r>
              <w:t xml:space="preserve"> are allowed and innocuous.</w:t>
            </w:r>
          </w:p>
        </w:tc>
      </w:tr>
    </w:tbl>
    <w:tbl>
      <w:tblPr>
        <w:tblW w:type="auto" w:w="0"/>
      </w:tblPr>
      <w:tr>
        <w:tc>
          <w:tcPr>
            <w:tcW w:type="auto" w:w="0"/>
            <w:shd w:val="clear" w:color="auto" w:fill="EEF2F6"/>
            <w:tcMar>
              <w:left w:type="dxa" w:w="200"/>
              <w:top w:type="dxa" w:w="200"/>
              <w:right w:type="dxa" w:w="200"/>
              <w:bottom w:type="dxa" w:w="200"/>
            </w:tcMar>
          </w:tcPr>
          <w:p>
            <w:pPr>
              <w:pStyle w:val="Para 001"/>
            </w:pPr>
            <w:r>
              <w:t>closed</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.closed</w:t>
            </w:r>
            <w:r>
              <w:t xml:space="preserve"> is a read-only attribute that is </w:t>
            </w:r>
            <w:r>
              <w:rPr>
                <w:rStyle w:val="Text5"/>
              </w:rPr>
              <w:t>True</w:t>
            </w:r>
            <w:r>
              <w:t xml:space="preserve"> when </w:t>
            </w:r>
            <w:r>
              <w:rPr>
                <w:rStyle w:val="Text3"/>
              </w:rPr>
              <w:t>f</w:t>
            </w:r>
            <w:r>
              <w:rPr>
                <w:rStyle w:val="Text0"/>
              </w:rPr>
              <w:t>.close()</w:t>
            </w:r>
            <w:r>
              <w:t xml:space="preserve"> has been called; otherwise, it is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encoding</w:t>
            </w:r>
          </w:p>
        </w:tc>
        <w:tc>
          <w:tcPr>
            <w:tcW w:type="auto" w:w="0"/>
            <w:tcMar>
              <w:left w:type="dxa" w:w="200"/>
              <w:top w:type="dxa" w:w="200"/>
              <w:right w:type="dxa" w:w="200"/>
              <w:bottom w:type="dxa" w:w="200"/>
            </w:tcMar>
          </w:tcPr>
          <w:p>
            <w:pPr>
              <w:pStyle w:val="Para 002"/>
            </w:pPr>
            <w:r>
              <w:rPr>
                <w:rStyle w:val="Text3"/>
              </w:rPr>
              <w:t>f</w:t>
            </w:r>
            <w:r>
              <w:rPr>
                <w:rStyle w:val="Text0"/>
              </w:rPr>
              <w:t>.encoding</w:t>
            </w:r>
            <w:r>
              <w:t xml:space="preserve"> is a read-only attribute, a string naming the encoding (as covered in </w:t>
            </w:r>
            <w:hyperlink w:anchor="Unicode__To_convert_bytestrings">
              <w:r>
                <w:rPr>
                  <w:rStyle w:val="Text1"/>
                </w:rPr>
                <w:t>“Unicode”</w:t>
              </w:r>
            </w:hyperlink>
            <w:r>
              <w:t>). The attribute does not exist on binary files.</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fileno</w:t>
            </w:r>
          </w:p>
        </w:tc>
        <w:tc>
          <w:tcPr>
            <w:tcW w:type="auto" w:w="0"/>
            <w:shd w:val="clear" w:color="auto" w:fill="EEF2F6"/>
            <w:tcMar>
              <w:left w:type="dxa" w:w="200"/>
              <w:top w:type="dxa" w:w="200"/>
              <w:right w:type="dxa" w:w="200"/>
              <w:bottom w:type="dxa" w:w="200"/>
            </w:tcMar>
          </w:tcPr>
          <w:p>
            <w:pPr>
              <w:pStyle w:val="Para 002"/>
            </w:pPr>
            <w:r>
              <w:rPr>
                <w:rStyle w:val="Text0"/>
              </w:rPr>
              <w:t>fileno()</w:t>
              <w:br w:clear="none"/>
            </w:r>
            <w:r>
              <w:t xml:space="preserve"> Returns</w:t>
            </w:r>
            <w:r>
              <w:rPr>
                <w:rStyle w:val="Text111"/>
              </w:rPr>
              <w:bookmarkStart w:id="2522" w:name="idm45965206153200"/>
              <w:t/>
              <w:bookmarkEnd w:id="2522"/>
            </w:r>
            <w:r>
              <w:t xml:space="preserve"> the file descriptor of </w:t>
            </w:r>
            <w:r>
              <w:rPr>
                <w:rStyle w:val="Text3"/>
              </w:rPr>
              <w:t>f</w:t>
            </w:r>
            <w:r>
              <w:t xml:space="preserve">’s file at operating system level (an integer). File descriptors are covered in </w:t>
            </w:r>
            <w:hyperlink w:anchor="File_and_directory_functions_of">
              <w:r>
                <w:rPr>
                  <w:rStyle w:val="Text1"/>
                </w:rPr>
                <w:t>“File and directory functions of the os module”</w:t>
              </w:r>
            </w:hyperlink>
            <w:r>
              <w:t>.</w:t>
            </w:r>
          </w:p>
        </w:tc>
      </w:tr>
    </w:tbl>
    <w:tbl>
      <w:tblPr>
        <w:tblW w:type="auto" w:w="0"/>
      </w:tblPr>
      <w:tr>
        <w:tc>
          <w:tcPr>
            <w:tcW w:type="auto" w:w="0"/>
            <w:tcMar>
              <w:left w:type="dxa" w:w="200"/>
              <w:top w:type="dxa" w:w="200"/>
              <w:right w:type="dxa" w:w="200"/>
              <w:bottom w:type="dxa" w:w="200"/>
            </w:tcMar>
          </w:tcPr>
          <w:p>
            <w:pPr>
              <w:pStyle w:val="Para 001"/>
            </w:pPr>
            <w:r>
              <w:t>flush</w:t>
            </w:r>
          </w:p>
        </w:tc>
        <w:tc>
          <w:tcPr>
            <w:tcW w:type="auto" w:w="0"/>
            <w:tcMar>
              <w:left w:type="dxa" w:w="200"/>
              <w:top w:type="dxa" w:w="200"/>
              <w:right w:type="dxa" w:w="200"/>
              <w:bottom w:type="dxa" w:w="200"/>
            </w:tcMar>
          </w:tcPr>
          <w:p>
            <w:pPr>
              <w:pStyle w:val="Para 002"/>
            </w:pPr>
            <w:r>
              <w:rPr>
                <w:rStyle w:val="Text0"/>
              </w:rPr>
              <w:t>flush()</w:t>
              <w:br w:clear="none"/>
            </w:r>
            <w:r>
              <w:t xml:space="preserve"> Requests that </w:t>
            </w:r>
            <w:r>
              <w:rPr>
                <w:rStyle w:val="Text3"/>
              </w:rPr>
              <w:t>f</w:t>
            </w:r>
            <w:r>
              <w:t xml:space="preserve">’s buffer be written out to the operating system, so that the file as seen by the system has the exact contents that Python’s code has written. Depending on the platform and the nature of </w:t>
            </w:r>
            <w:r>
              <w:rPr>
                <w:rStyle w:val="Text3"/>
              </w:rPr>
              <w:t>f</w:t>
            </w:r>
            <w:r>
              <w:t xml:space="preserve">’s underlying file, </w:t>
            </w:r>
            <w:r>
              <w:rPr>
                <w:rStyle w:val="Text3"/>
              </w:rPr>
              <w:t>f</w:t>
            </w:r>
            <w:r>
              <w:rPr>
                <w:rStyle w:val="Text0"/>
              </w:rPr>
              <w:t>.flush</w:t>
            </w:r>
            <w:r>
              <w:t xml:space="preserve"> may not be able to ensure the desired effect.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isatty</w:t>
            </w:r>
          </w:p>
        </w:tc>
        <w:tc>
          <w:tcPr>
            <w:tcW w:type="auto" w:w="0"/>
            <w:shd w:val="clear" w:color="auto" w:fill="EEF2F6"/>
            <w:tcMar>
              <w:left w:type="dxa" w:w="200"/>
              <w:top w:type="dxa" w:w="200"/>
              <w:right w:type="dxa" w:w="200"/>
              <w:bottom w:type="dxa" w:w="200"/>
            </w:tcMar>
          </w:tcPr>
          <w:p>
            <w:pPr>
              <w:pStyle w:val="Para 002"/>
            </w:pPr>
            <w:r>
              <w:rPr>
                <w:rStyle w:val="Text0"/>
              </w:rPr>
              <w:t>isatty()</w:t>
              <w:br w:clear="none"/>
            </w:r>
            <w:r>
              <w:t xml:space="preserve"> Returns </w:t>
            </w:r>
            <w:r>
              <w:rPr>
                <w:rStyle w:val="Text5"/>
              </w:rPr>
              <w:t>True</w:t>
            </w:r>
            <w:r>
              <w:t xml:space="preserve"> when </w:t>
            </w:r>
            <w:r>
              <w:rPr>
                <w:rStyle w:val="Text3"/>
              </w:rPr>
              <w:t>f</w:t>
            </w:r>
            <w:r>
              <w:t xml:space="preserve">’s underlying file is an interactive stream, such as to or from a terminal;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mode</w:t>
            </w:r>
          </w:p>
        </w:tc>
        <w:tc>
          <w:tcPr>
            <w:tcW w:type="auto" w:w="0"/>
            <w:tcMar>
              <w:left w:type="dxa" w:w="200"/>
              <w:top w:type="dxa" w:w="200"/>
              <w:right w:type="dxa" w:w="200"/>
              <w:bottom w:type="dxa" w:w="200"/>
            </w:tcMar>
          </w:tcPr>
          <w:p>
            <w:pPr>
              <w:pStyle w:val="Para 002"/>
            </w:pPr>
            <w:r>
              <w:rPr>
                <w:rStyle w:val="Text3"/>
              </w:rPr>
              <w:t>f</w:t>
            </w:r>
            <w:r>
              <w:rPr>
                <w:rStyle w:val="Text0"/>
              </w:rPr>
              <w:t>.mode</w:t>
            </w:r>
            <w:r>
              <w:t xml:space="preserve"> is a read-only attribute that is the value of the </w:t>
            </w:r>
            <w:r>
              <w:rPr>
                <w:rStyle w:val="Text0"/>
              </w:rPr>
              <w:t>mode</w:t>
            </w:r>
            <w:r>
              <w:t xml:space="preserve"> string used in the </w:t>
            </w:r>
            <w:r>
              <w:rPr>
                <w:rStyle w:val="Text0"/>
              </w:rPr>
              <w:t>io.open</w:t>
            </w:r>
            <w:r>
              <w:t xml:space="preserve"> call that created </w:t>
            </w:r>
            <w:r>
              <w:rPr>
                <w:rStyle w:val="Text3"/>
              </w:rPr>
              <w:t>f</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name</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.name</w:t>
            </w:r>
            <w:r>
              <w:t xml:space="preserve"> is a read-only attribute that is the value of the file (</w:t>
            </w:r>
            <w:r>
              <w:rPr>
                <w:rStyle w:val="Text0"/>
              </w:rPr>
              <w:t>str</w:t>
            </w:r>
            <w:r>
              <w:t xml:space="preserve"> or </w:t>
            </w:r>
            <w:r>
              <w:rPr>
                <w:rStyle w:val="Text0"/>
              </w:rPr>
              <w:t>bytes</w:t>
            </w:r>
            <w:r>
              <w:t xml:space="preserve">) or </w:t>
            </w:r>
            <w:r>
              <w:rPr>
                <w:rStyle w:val="Text0"/>
              </w:rPr>
              <w:t>int</w:t>
            </w:r>
            <w:r>
              <w:t xml:space="preserve"> used in the </w:t>
            </w:r>
            <w:r>
              <w:rPr>
                <w:rStyle w:val="Text0"/>
              </w:rPr>
              <w:t>io.open</w:t>
            </w:r>
            <w:r>
              <w:t xml:space="preserve"> call that created </w:t>
            </w:r>
            <w:r>
              <w:rPr>
                <w:rStyle w:val="Text3"/>
              </w:rPr>
              <w:t>f</w:t>
            </w:r>
            <w:r>
              <w:t xml:space="preserve">. When </w:t>
            </w:r>
            <w:r>
              <w:rPr>
                <w:rStyle w:val="Text0"/>
              </w:rPr>
              <w:t>io.open</w:t>
            </w:r>
            <w:r>
              <w:t xml:space="preserve"> was called with a </w:t>
            </w:r>
            <w:r>
              <w:rPr>
                <w:rStyle w:val="Text0"/>
              </w:rPr>
              <w:t>pathlib.Path</w:t>
            </w:r>
            <w:r>
              <w:t xml:space="preserve"> instance </w:t>
            </w:r>
            <w:r>
              <w:rPr>
                <w:rStyle w:val="Text3"/>
              </w:rPr>
              <w:t>p</w:t>
            </w:r>
            <w:r>
              <w:t xml:space="preserve">, </w:t>
            </w:r>
            <w:r>
              <w:rPr>
                <w:rStyle w:val="Text3"/>
              </w:rPr>
              <w:t>f</w:t>
            </w:r>
            <w:r>
              <w:rPr>
                <w:rStyle w:val="Text0"/>
              </w:rPr>
              <w:t>.name</w:t>
            </w:r>
            <w:r>
              <w:t xml:space="preserve"> is </w:t>
            </w:r>
            <w:r>
              <w:rPr>
                <w:rStyle w:val="Text0"/>
              </w:rPr>
              <w:t>str(</w:t>
            </w:r>
            <w:r>
              <w:rPr>
                <w:rStyle w:val="Text3"/>
              </w:rPr>
              <w:t>p</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read</w:t>
            </w:r>
          </w:p>
        </w:tc>
        <w:tc>
          <w:tcPr>
            <w:tcW w:type="auto" w:w="0"/>
            <w:tcMar>
              <w:left w:type="dxa" w:w="200"/>
              <w:top w:type="dxa" w:w="200"/>
              <w:right w:type="dxa" w:w="200"/>
              <w:bottom w:type="dxa" w:w="200"/>
            </w:tcMar>
          </w:tcPr>
          <w:p>
            <w:pPr>
              <w:pStyle w:val="Para 002"/>
            </w:pPr>
            <w:r>
              <w:rPr>
                <w:rStyle w:val="Text0"/>
              </w:rPr>
              <w:t>read(</w:t>
            </w:r>
            <w:r>
              <w:rPr>
                <w:rStyle w:val="Text3"/>
              </w:rPr>
              <w:t>size</w:t>
            </w:r>
            <w:r>
              <w:rPr>
                <w:rStyle w:val="Text0"/>
              </w:rPr>
              <w:t>=-1, /)</w:t>
              <w:br w:clear="none"/>
            </w:r>
            <w:r>
              <w:t xml:space="preserve"> When</w:t>
            </w:r>
            <w:r>
              <w:rPr>
                <w:rStyle w:val="Text111"/>
              </w:rPr>
              <w:bookmarkStart w:id="2523" w:name="idm45965206118912"/>
              <w:t/>
              <w:bookmarkEnd w:id="2523"/>
            </w:r>
            <w:r>
              <w:t xml:space="preserve"> </w:t>
            </w:r>
            <w:r>
              <w:rPr>
                <w:rStyle w:val="Text3"/>
              </w:rPr>
              <w:t>f</w:t>
            </w:r>
            <w:r>
              <w:t xml:space="preserve"> is open in binary mode, reads up to </w:t>
            </w:r>
            <w:r>
              <w:rPr>
                <w:rStyle w:val="Text3"/>
              </w:rPr>
              <w:t>size</w:t>
            </w:r>
            <w:r>
              <w:t xml:space="preserve"> bytes from </w:t>
            </w:r>
            <w:r>
              <w:rPr>
                <w:rStyle w:val="Text3"/>
              </w:rPr>
              <w:t>f</w:t>
            </w:r>
            <w:r>
              <w:t xml:space="preserve">’s file and returns them as a bytestring. </w:t>
            </w:r>
            <w:r>
              <w:rPr>
                <w:rStyle w:val="Text0"/>
              </w:rPr>
              <w:t>read</w:t>
            </w:r>
            <w:r>
              <w:t xml:space="preserve"> reads and returns less than </w:t>
            </w:r>
            <w:r>
              <w:rPr>
                <w:rStyle w:val="Text3"/>
              </w:rPr>
              <w:t>size</w:t>
            </w:r>
            <w:r>
              <w:t xml:space="preserve"> bytes if the file ends before </w:t>
            </w:r>
            <w:r>
              <w:rPr>
                <w:rStyle w:val="Text3"/>
              </w:rPr>
              <w:t>size</w:t>
            </w:r>
            <w:r>
              <w:t xml:space="preserve"> bytes are read. When </w:t>
            </w:r>
            <w:r>
              <w:rPr>
                <w:rStyle w:val="Text3"/>
              </w:rPr>
              <w:t>size</w:t>
            </w:r>
            <w:r>
              <w:t xml:space="preserve"> is less than </w:t>
            </w:r>
            <w:r>
              <w:rPr>
                <w:rStyle w:val="Text0"/>
              </w:rPr>
              <w:t>0</w:t>
            </w:r>
            <w:r>
              <w:t xml:space="preserve">, </w:t>
            </w:r>
            <w:r>
              <w:rPr>
                <w:rStyle w:val="Text0"/>
              </w:rPr>
              <w:t>read</w:t>
            </w:r>
            <w:r>
              <w:t xml:space="preserve"> reads and returns all bytes up to the end of the file. </w:t>
            </w:r>
            <w:r>
              <w:rPr>
                <w:rStyle w:val="Text0"/>
              </w:rPr>
              <w:t>read</w:t>
            </w:r>
            <w:r>
              <w:t xml:space="preserve"> returns an empty string when the file’s current position is at the end of the file or when </w:t>
            </w:r>
            <w:r>
              <w:rPr>
                <w:rStyle w:val="Text3"/>
              </w:rPr>
              <w:t>size</w:t>
            </w:r>
            <w:r>
              <w:t xml:space="preserve"> equals </w:t>
            </w:r>
            <w:r>
              <w:rPr>
                <w:rStyle w:val="Text0"/>
              </w:rPr>
              <w:t>0</w:t>
            </w:r>
            <w:r>
              <w:t xml:space="preserve">. When </w:t>
            </w:r>
            <w:r>
              <w:rPr>
                <w:rStyle w:val="Text3"/>
              </w:rPr>
              <w:t>f</w:t>
            </w:r>
            <w:r>
              <w:t xml:space="preserve"> is open in text mode, </w:t>
            </w:r>
            <w:r>
              <w:rPr>
                <w:rStyle w:val="Text3"/>
              </w:rPr>
              <w:t>size</w:t>
            </w:r>
            <w:r>
              <w:t xml:space="preserve"> is a number of characters, not bytes, and </w:t>
            </w:r>
            <w:r>
              <w:rPr>
                <w:rStyle w:val="Text0"/>
              </w:rPr>
              <w:t>read</w:t>
            </w:r>
            <w:r>
              <w:t xml:space="preserve"> returns a text string.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readline</w:t>
            </w:r>
          </w:p>
        </w:tc>
        <w:tc>
          <w:tcPr>
            <w:tcW w:type="auto" w:w="0"/>
            <w:shd w:val="clear" w:color="auto" w:fill="EEF2F6"/>
            <w:tcMar>
              <w:left w:type="dxa" w:w="200"/>
              <w:top w:type="dxa" w:w="200"/>
              <w:right w:type="dxa" w:w="200"/>
              <w:bottom w:type="dxa" w:w="200"/>
            </w:tcMar>
          </w:tcPr>
          <w:p>
            <w:pPr>
              <w:pStyle w:val="Para 002"/>
            </w:pPr>
            <w:r>
              <w:rPr>
                <w:rStyle w:val="Text0"/>
              </w:rPr>
              <w:t>readline(</w:t>
            </w:r>
            <w:r>
              <w:rPr>
                <w:rStyle w:val="Text3"/>
              </w:rPr>
              <w:t>size</w:t>
            </w:r>
            <w:r>
              <w:rPr>
                <w:rStyle w:val="Text0"/>
              </w:rPr>
              <w:t>=-1, /)</w:t>
              <w:br w:clear="none"/>
            </w:r>
            <w:r>
              <w:t xml:space="preserve"> Reads</w:t>
            </w:r>
            <w:r>
              <w:rPr>
                <w:rStyle w:val="Text111"/>
              </w:rPr>
              <w:bookmarkStart w:id="2524" w:name="idm45965206102576"/>
              <w:t/>
              <w:bookmarkEnd w:id="2524"/>
            </w:r>
            <w:r>
              <w:t xml:space="preserve"> and returns one line from </w:t>
            </w:r>
            <w:r>
              <w:rPr>
                <w:rStyle w:val="Text3"/>
              </w:rPr>
              <w:t>f</w:t>
            </w:r>
            <w:r>
              <w:t>’s file, up to the end of line (</w:t>
            </w:r>
            <w:r>
              <w:rPr>
                <w:rStyle w:val="Text0"/>
              </w:rPr>
              <w:t>\n</w:t>
            </w:r>
            <w:r>
              <w:t xml:space="preserve">), included. When </w:t>
            </w:r>
            <w:r>
              <w:rPr>
                <w:rStyle w:val="Text3"/>
              </w:rPr>
              <w:t>size</w:t>
            </w:r>
            <w:r>
              <w:t xml:space="preserve"> is greater than or equal to </w:t>
            </w:r>
            <w:r>
              <w:rPr>
                <w:rStyle w:val="Text0"/>
              </w:rPr>
              <w:t>0</w:t>
            </w:r>
            <w:r>
              <w:t xml:space="preserve">, reads no more than </w:t>
            </w:r>
            <w:r>
              <w:rPr>
                <w:rStyle w:val="Text3"/>
              </w:rPr>
              <w:t>size</w:t>
            </w:r>
            <w:r>
              <w:t xml:space="preserve"> bytes. In that case, the returned string might not end with </w:t>
            </w:r>
            <w:r>
              <w:rPr>
                <w:rStyle w:val="Text0"/>
              </w:rPr>
              <w:t>\n</w:t>
            </w:r>
            <w:r>
              <w:t xml:space="preserve">. </w:t>
            </w:r>
            <w:r>
              <w:rPr>
                <w:rStyle w:val="Text0"/>
              </w:rPr>
              <w:t>\n</w:t>
            </w:r>
            <w:r>
              <w:t xml:space="preserve"> might also be absent when </w:t>
            </w:r>
            <w:r>
              <w:rPr>
                <w:rStyle w:val="Text0"/>
              </w:rPr>
              <w:t>readline</w:t>
            </w:r>
            <w:r>
              <w:t xml:space="preserve"> reads up to the end of the file without finding </w:t>
            </w:r>
            <w:r>
              <w:rPr>
                <w:rStyle w:val="Text0"/>
              </w:rPr>
              <w:t>\n</w:t>
            </w:r>
            <w:r>
              <w:t xml:space="preserve">. </w:t>
            </w:r>
            <w:r>
              <w:rPr>
                <w:rStyle w:val="Text0"/>
              </w:rPr>
              <w:t>readline</w:t>
            </w:r>
            <w:r>
              <w:t xml:space="preserve"> returns an empty string when the file’s current position is at the end of the file or when </w:t>
            </w:r>
            <w:r>
              <w:rPr>
                <w:rStyle w:val="Text3"/>
              </w:rPr>
              <w:t>size</w:t>
            </w:r>
            <w:r>
              <w:t xml:space="preserve"> equals </w:t>
            </w:r>
            <w:r>
              <w:rPr>
                <w:rStyle w:val="Text0"/>
              </w:rPr>
              <w:t>0</w:t>
            </w:r>
            <w:r>
              <w:t>.</w:t>
            </w:r>
          </w:p>
        </w:tc>
      </w:tr>
    </w:tbl>
    <w:tbl>
      <w:tblPr>
        <w:tblW w:type="auto" w:w="0"/>
      </w:tblPr>
      <w:tr>
        <w:tc>
          <w:tcPr>
            <w:tcW w:type="auto" w:w="0"/>
            <w:tcMar>
              <w:left w:type="dxa" w:w="200"/>
              <w:top w:type="dxa" w:w="200"/>
              <w:right w:type="dxa" w:w="200"/>
              <w:bottom w:type="dxa" w:w="200"/>
            </w:tcMar>
          </w:tcPr>
          <w:p>
            <w:pPr>
              <w:pStyle w:val="Para 001"/>
            </w:pPr>
            <w:r>
              <w:t>readlines</w:t>
            </w:r>
          </w:p>
        </w:tc>
        <w:tc>
          <w:tcPr>
            <w:tcW w:type="auto" w:w="0"/>
            <w:tcMar>
              <w:left w:type="dxa" w:w="200"/>
              <w:top w:type="dxa" w:w="200"/>
              <w:right w:type="dxa" w:w="200"/>
              <w:bottom w:type="dxa" w:w="200"/>
            </w:tcMar>
          </w:tcPr>
          <w:p>
            <w:pPr>
              <w:pStyle w:val="Para 002"/>
            </w:pPr>
            <w:r>
              <w:rPr>
                <w:rStyle w:val="Text0"/>
              </w:rPr>
              <w:t>readlines(</w:t>
            </w:r>
            <w:r>
              <w:rPr>
                <w:rStyle w:val="Text3"/>
              </w:rPr>
              <w:t>size</w:t>
            </w:r>
            <w:r>
              <w:rPr>
                <w:rStyle w:val="Text0"/>
              </w:rPr>
              <w:t>=-1, /)</w:t>
              <w:br w:clear="none"/>
            </w:r>
            <w:r>
              <w:t xml:space="preserve"> Reads</w:t>
            </w:r>
            <w:r>
              <w:rPr>
                <w:rStyle w:val="Text111"/>
              </w:rPr>
              <w:bookmarkStart w:id="2525" w:name="idm45965206089168"/>
              <w:t/>
              <w:bookmarkEnd w:id="2525"/>
            </w:r>
            <w:r>
              <w:t xml:space="preserve"> and returns a list of all lines in </w:t>
            </w:r>
            <w:r>
              <w:rPr>
                <w:rStyle w:val="Text3"/>
              </w:rPr>
              <w:t>f</w:t>
            </w:r>
            <w:r>
              <w:t xml:space="preserve">’s file, each a string ending in </w:t>
            </w:r>
            <w:r>
              <w:rPr>
                <w:rStyle w:val="Text0"/>
              </w:rPr>
              <w:t>\n</w:t>
            </w:r>
            <w:r>
              <w:t xml:space="preserve">. If </w:t>
            </w:r>
            <w:r>
              <w:rPr>
                <w:rStyle w:val="Text3"/>
              </w:rPr>
              <w:t>size</w:t>
            </w:r>
            <w:r>
              <w:t xml:space="preserve"> </w:t>
            </w:r>
            <w:r>
              <w:rPr>
                <w:rStyle w:val="Text0"/>
              </w:rPr>
              <w:t>&gt; 0</w:t>
            </w:r>
            <w:r>
              <w:t xml:space="preserve">, </w:t>
            </w:r>
            <w:r>
              <w:rPr>
                <w:rStyle w:val="Text0"/>
              </w:rPr>
              <w:t>readlines</w:t>
            </w:r>
            <w:r>
              <w:t xml:space="preserve"> stops and returns the list after collecting data for a total of about </w:t>
            </w:r>
            <w:r>
              <w:rPr>
                <w:rStyle w:val="Text3"/>
              </w:rPr>
              <w:t>size</w:t>
            </w:r>
            <w:r>
              <w:t xml:space="preserve"> bytes rather than reading all the way to the end of the file; in that case, the last string in the list might not end in </w:t>
            </w:r>
            <w:r>
              <w:rPr>
                <w:rStyle w:val="Text0"/>
              </w:rPr>
              <w:t>\n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seek</w:t>
            </w:r>
          </w:p>
        </w:tc>
        <w:tc>
          <w:tcPr>
            <w:tcW w:type="auto" w:w="0"/>
            <w:shd w:val="clear" w:color="auto" w:fill="EEF2F6"/>
            <w:tcMar>
              <w:left w:type="dxa" w:w="200"/>
              <w:top w:type="dxa" w:w="200"/>
              <w:right w:type="dxa" w:w="200"/>
              <w:bottom w:type="dxa" w:w="200"/>
            </w:tcMar>
          </w:tcPr>
          <w:p>
            <w:pPr>
              <w:pStyle w:val="Para 002"/>
            </w:pPr>
            <w:r>
              <w:rPr>
                <w:rStyle w:val="Text0"/>
              </w:rPr>
              <w:t>seek(</w:t>
            </w:r>
            <w:r>
              <w:rPr>
                <w:rStyle w:val="Text3"/>
              </w:rPr>
              <w:t>pos</w:t>
            </w:r>
            <w:r>
              <w:rPr>
                <w:rStyle w:val="Text0"/>
              </w:rPr>
              <w:t>,</w:t>
            </w:r>
            <w:r>
              <w:t xml:space="preserve"> </w:t>
            </w:r>
            <w:r>
              <w:rPr>
                <w:rStyle w:val="Text3"/>
              </w:rPr>
              <w:t>how</w:t>
            </w:r>
            <w:r>
              <w:rPr>
                <w:rStyle w:val="Text0"/>
              </w:rPr>
              <w:t>=io.SEEK_SET, /)</w:t>
              <w:br w:clear="none"/>
            </w:r>
            <w:r>
              <w:t xml:space="preserve"> Sets </w:t>
            </w:r>
            <w:r>
              <w:rPr>
                <w:rStyle w:val="Text3"/>
              </w:rPr>
              <w:t>f</w:t>
            </w:r>
            <w:r>
              <w:t>’s current</w:t>
            </w:r>
            <w:r>
              <w:rPr>
                <w:rStyle w:val="Text111"/>
              </w:rPr>
              <w:bookmarkStart w:id="2526" w:name="idm45965206076896"/>
              <w:t/>
              <w:bookmarkEnd w:id="2526"/>
            </w:r>
            <w:r>
              <w:t xml:space="preserve"> position to the integer byte offset </w:t>
            </w:r>
            <w:r>
              <w:rPr>
                <w:rStyle w:val="Text3"/>
              </w:rPr>
              <w:t>pos</w:t>
            </w:r>
            <w:r>
              <w:t xml:space="preserve"> away from a reference point. </w:t>
            </w:r>
            <w:r>
              <w:rPr>
                <w:rStyle w:val="Text3"/>
              </w:rPr>
              <w:t>how</w:t>
            </w:r>
            <w:r>
              <w:t xml:space="preserve"> indicates the reference point. The </w:t>
            </w:r>
            <w:r>
              <w:rPr>
                <w:rStyle w:val="Text0"/>
              </w:rPr>
              <w:t>io</w:t>
            </w:r>
            <w:r>
              <w:t xml:space="preserve"> module has attributes named </w:t>
            </w:r>
            <w:r>
              <w:rPr>
                <w:rStyle w:val="Text0"/>
              </w:rPr>
              <w:t>SEEK_SET</w:t>
            </w:r>
            <w:r>
              <w:t xml:space="preserve">, </w:t>
            </w:r>
            <w:r>
              <w:rPr>
                <w:rStyle w:val="Text0"/>
              </w:rPr>
              <w:t>SEEK_CUR</w:t>
            </w:r>
            <w:r>
              <w:t xml:space="preserve">, and </w:t>
            </w:r>
            <w:r>
              <w:rPr>
                <w:rStyle w:val="Text0"/>
              </w:rPr>
              <w:t>SEEK_END</w:t>
            </w:r>
            <w:r>
              <w:t>, to specify that the reference point is, respectively, the file’s beginning, current position, or end.</w:t>
              <w:br w:clear="none"/>
              <w:t xml:space="preserve"> When </w:t>
            </w:r>
            <w:r>
              <w:rPr>
                <w:rStyle w:val="Text3"/>
              </w:rPr>
              <w:t>f</w:t>
            </w:r>
            <w:r>
              <w:t xml:space="preserve"> is opened in text mode, </w:t>
            </w:r>
            <w:r>
              <w:rPr>
                <w:rStyle w:val="Text3"/>
              </w:rPr>
              <w:t>f</w:t>
            </w:r>
            <w:r>
              <w:rPr>
                <w:rStyle w:val="Text0"/>
              </w:rPr>
              <w:t>.seek</w:t>
            </w:r>
            <w:r>
              <w:t xml:space="preserve"> must have a </w:t>
            </w:r>
            <w:r>
              <w:rPr>
                <w:rStyle w:val="Text3"/>
              </w:rPr>
              <w:t>pos</w:t>
            </w:r>
            <w:r>
              <w:t xml:space="preserve"> of </w:t>
            </w:r>
            <w:r>
              <w:rPr>
                <w:rStyle w:val="Text0"/>
              </w:rPr>
              <w:t>0</w:t>
            </w:r>
            <w:r>
              <w:t xml:space="preserve">, or, for </w:t>
            </w:r>
            <w:r>
              <w:rPr>
                <w:rStyle w:val="Text0"/>
              </w:rPr>
              <w:t>io.SEEK_SET</w:t>
            </w:r>
            <w:r>
              <w:t xml:space="preserve"> only, a </w:t>
            </w:r>
            <w:r>
              <w:rPr>
                <w:rStyle w:val="Text3"/>
              </w:rPr>
              <w:t>pos</w:t>
            </w:r>
            <w:r>
              <w:t xml:space="preserve"> that is the result of a previous call to </w:t>
            </w:r>
            <w:r>
              <w:rPr>
                <w:rStyle w:val="Text3"/>
              </w:rPr>
              <w:t>f</w:t>
            </w:r>
            <w:r>
              <w:rPr>
                <w:rStyle w:val="Text0"/>
              </w:rPr>
              <w:t>.tell</w:t>
            </w:r>
            <w:r>
              <w:t>.</w:t>
              <w:br w:clear="none"/>
              <w:t xml:space="preserve"> When </w:t>
            </w:r>
            <w:r>
              <w:rPr>
                <w:rStyle w:val="Text3"/>
              </w:rPr>
              <w:t>f</w:t>
            </w:r>
            <w:r>
              <w:t xml:space="preserve"> is opened in mode </w:t>
            </w:r>
            <w:r>
              <w:rPr>
                <w:rStyle w:val="Text0"/>
              </w:rPr>
              <w:t>'a'</w:t>
            </w:r>
            <w:r>
              <w:t xml:space="preserve"> or </w:t>
            </w:r>
            <w:r>
              <w:rPr>
                <w:rStyle w:val="Text0"/>
              </w:rPr>
              <w:t>'a+'</w:t>
            </w:r>
            <w:r>
              <w:t xml:space="preserve">, on some but not all platforms, data written to </w:t>
            </w:r>
            <w:r>
              <w:rPr>
                <w:rStyle w:val="Text3"/>
              </w:rPr>
              <w:t>f</w:t>
            </w:r>
            <w:r>
              <w:t xml:space="preserve"> is appended to the data that is already in </w:t>
            </w:r>
            <w:r>
              <w:rPr>
                <w:rStyle w:val="Text3"/>
              </w:rPr>
              <w:t>f</w:t>
            </w:r>
            <w:r>
              <w:t xml:space="preserve">, regardless of calls to </w:t>
            </w:r>
            <w:r>
              <w:rPr>
                <w:rStyle w:val="Text3"/>
              </w:rPr>
              <w:t>f</w:t>
            </w:r>
            <w:r>
              <w:rPr>
                <w:rStyle w:val="Text0"/>
              </w:rPr>
              <w:t>.seek</w:t>
            </w:r>
            <w:r>
              <w:t>.</w:t>
            </w:r>
          </w:p>
        </w:tc>
      </w:tr>
    </w:tbl>
    <w:tbl>
      <w:tblPr>
        <w:tblW w:type="auto" w:w="0"/>
      </w:tblPr>
      <w:tr>
        <w:tc>
          <w:tcPr>
            <w:tcW w:type="auto" w:w="0"/>
            <w:tcMar>
              <w:left w:type="dxa" w:w="200"/>
              <w:top w:type="dxa" w:w="200"/>
              <w:right w:type="dxa" w:w="200"/>
              <w:bottom w:type="dxa" w:w="200"/>
            </w:tcMar>
          </w:tcPr>
          <w:p>
            <w:pPr>
              <w:pStyle w:val="Para 001"/>
            </w:pPr>
            <w:r>
              <w:t>tell</w:t>
            </w:r>
          </w:p>
        </w:tc>
        <w:tc>
          <w:tcPr>
            <w:tcW w:type="auto" w:w="0"/>
            <w:tcMar>
              <w:left w:type="dxa" w:w="200"/>
              <w:top w:type="dxa" w:w="200"/>
              <w:right w:type="dxa" w:w="200"/>
              <w:bottom w:type="dxa" w:w="200"/>
            </w:tcMar>
          </w:tcPr>
          <w:p>
            <w:pPr>
              <w:pStyle w:val="Para 002"/>
            </w:pPr>
            <w:r>
              <w:rPr>
                <w:rStyle w:val="Text0"/>
              </w:rPr>
              <w:t>tell()</w:t>
              <w:br w:clear="none"/>
            </w:r>
            <w:r>
              <w:t xml:space="preserve"> Returns </w:t>
            </w:r>
            <w:r>
              <w:rPr>
                <w:rStyle w:val="Text3"/>
              </w:rPr>
              <w:t>f</w:t>
            </w:r>
            <w:r>
              <w:t>’s current</w:t>
            </w:r>
            <w:r>
              <w:rPr>
                <w:rStyle w:val="Text111"/>
              </w:rPr>
              <w:bookmarkStart w:id="2527" w:name="idm45965206055072"/>
              <w:t/>
              <w:bookmarkEnd w:id="2527"/>
            </w:r>
            <w:r>
              <w:t xml:space="preserve"> position: for a binary file this is an integer offset in bytes from the start of the file, and for a text file it’s an opaque value usable in future calls to </w:t>
            </w:r>
            <w:r>
              <w:rPr>
                <w:rStyle w:val="Text3"/>
              </w:rPr>
              <w:t>f</w:t>
            </w:r>
            <w:r>
              <w:rPr>
                <w:rStyle w:val="Text0"/>
              </w:rPr>
              <w:t>.seek</w:t>
            </w:r>
            <w:r>
              <w:t xml:space="preserve"> to position </w:t>
            </w:r>
            <w:r>
              <w:rPr>
                <w:rStyle w:val="Text3"/>
              </w:rPr>
              <w:t>f</w:t>
            </w:r>
            <w:r>
              <w:t xml:space="preserve"> back to the position that is now current.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truncate</w:t>
            </w:r>
          </w:p>
        </w:tc>
        <w:tc>
          <w:tcPr>
            <w:tcW w:type="auto" w:w="0"/>
            <w:shd w:val="clear" w:color="auto" w:fill="EEF2F6"/>
            <w:tcMar>
              <w:left w:type="dxa" w:w="200"/>
              <w:top w:type="dxa" w:w="200"/>
              <w:right w:type="dxa" w:w="200"/>
              <w:bottom w:type="dxa" w:w="200"/>
            </w:tcMar>
          </w:tcPr>
          <w:p>
            <w:pPr>
              <w:pStyle w:val="Para 002"/>
            </w:pPr>
            <w:r>
              <w:rPr>
                <w:rStyle w:val="Text0"/>
              </w:rPr>
              <w:t>truncate(</w:t>
            </w:r>
            <w:r>
              <w:rPr>
                <w:rStyle w:val="Text3"/>
              </w:rPr>
              <w:t>size</w:t>
            </w:r>
            <w:r>
              <w:rPr>
                <w:rStyle w:val="Text0"/>
              </w:rPr>
              <w:t>=None, /)</w:t>
              <w:br w:clear="none"/>
            </w:r>
            <w:r>
              <w:t xml:space="preserve"> Truncates </w:t>
            </w:r>
            <w:r>
              <w:rPr>
                <w:rStyle w:val="Text3"/>
              </w:rPr>
              <w:t>f</w:t>
            </w:r>
            <w:r>
              <w:t xml:space="preserve">’s file, which must be open for writing. When </w:t>
            </w:r>
            <w:r>
              <w:rPr>
                <w:rStyle w:val="Text3"/>
              </w:rPr>
              <w:t>size</w:t>
            </w:r>
            <w:r>
              <w:t xml:space="preserve"> is present, truncates the file to be at most </w:t>
            </w:r>
            <w:r>
              <w:rPr>
                <w:rStyle w:val="Text3"/>
              </w:rPr>
              <w:t>size</w:t>
            </w:r>
            <w:r>
              <w:t xml:space="preserve"> bytes. When </w:t>
            </w:r>
            <w:r>
              <w:rPr>
                <w:rStyle w:val="Text3"/>
              </w:rPr>
              <w:t>size</w:t>
            </w:r>
            <w:r>
              <w:t xml:space="preserve"> is absent, uses </w:t>
            </w:r>
            <w:r>
              <w:rPr>
                <w:rStyle w:val="Text3"/>
              </w:rPr>
              <w:t>f</w:t>
            </w:r>
            <w:r>
              <w:rPr>
                <w:rStyle w:val="Text0"/>
              </w:rPr>
              <w:t>.tell()</w:t>
            </w:r>
            <w:r>
              <w:t xml:space="preserve"> as the file’s new size. </w:t>
            </w:r>
            <w:r>
              <w:rPr>
                <w:rStyle w:val="Text3"/>
              </w:rPr>
              <w:t>size</w:t>
            </w:r>
            <w:r>
              <w:t xml:space="preserve"> may be larger than the current file size; in this case, the resulting behavior is platform dependent.</w:t>
            </w:r>
          </w:p>
        </w:tc>
      </w:tr>
    </w:tbl>
    <w:tbl>
      <w:tblPr>
        <w:tblW w:type="auto" w:w="0"/>
      </w:tblPr>
      <w:tr>
        <w:tc>
          <w:tcPr>
            <w:tcW w:type="auto" w:w="0"/>
            <w:tcMar>
              <w:left w:type="dxa" w:w="200"/>
              <w:top w:type="dxa" w:w="200"/>
              <w:right w:type="dxa" w:w="200"/>
              <w:bottom w:type="dxa" w:w="200"/>
            </w:tcMar>
          </w:tcPr>
          <w:p>
            <w:pPr>
              <w:pStyle w:val="Para 001"/>
            </w:pPr>
            <w:r>
              <w:t>write</w:t>
            </w:r>
          </w:p>
        </w:tc>
        <w:tc>
          <w:tcPr>
            <w:tcW w:type="auto" w:w="0"/>
            <w:tcMar>
              <w:left w:type="dxa" w:w="200"/>
              <w:top w:type="dxa" w:w="200"/>
              <w:right w:type="dxa" w:w="200"/>
              <w:bottom w:type="dxa" w:w="200"/>
            </w:tcMar>
          </w:tcPr>
          <w:p>
            <w:pPr>
              <w:pStyle w:val="Para 002"/>
            </w:pPr>
            <w:r>
              <w:rPr>
                <w:rStyle w:val="Text0"/>
              </w:rPr>
              <w:t>write(</w:t>
            </w:r>
            <w:r>
              <w:rPr>
                <w:rStyle w:val="Text3"/>
              </w:rPr>
              <w:t>s</w:t>
            </w:r>
            <w:r>
              <w:rPr>
                <w:rStyle w:val="Text0"/>
              </w:rPr>
              <w:t>, /)</w:t>
              <w:br w:clear="none"/>
            </w:r>
            <w:r>
              <w:t xml:space="preserve"> Writes</w:t>
            </w:r>
            <w:r>
              <w:rPr>
                <w:rStyle w:val="Text111"/>
              </w:rPr>
              <w:bookmarkStart w:id="2528" w:name="idm45965206039936"/>
              <w:t/>
              <w:bookmarkEnd w:id="2528"/>
            </w:r>
            <w:r>
              <w:t xml:space="preserve"> the bytes of string </w:t>
            </w:r>
            <w:r>
              <w:rPr>
                <w:rStyle w:val="Text3"/>
              </w:rPr>
              <w:t>s</w:t>
            </w:r>
            <w:r>
              <w:t xml:space="preserve"> (binary or text, depending on </w:t>
            </w:r>
            <w:r>
              <w:rPr>
                <w:rStyle w:val="Text3"/>
              </w:rPr>
              <w:t>f</w:t>
            </w:r>
            <w:r>
              <w:t>’s mode) to the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writelines</w:t>
            </w:r>
          </w:p>
        </w:tc>
        <w:tc>
          <w:tcPr>
            <w:tcW w:type="auto" w:w="0"/>
            <w:shd w:val="clear" w:color="auto" w:fill="EEF2F6"/>
            <w:tcMar>
              <w:left w:type="dxa" w:w="200"/>
              <w:top w:type="dxa" w:w="200"/>
              <w:right w:type="dxa" w:w="200"/>
              <w:bottom w:type="dxa" w:w="200"/>
            </w:tcMar>
          </w:tcPr>
          <w:p>
            <w:pPr>
              <w:pStyle w:val="Para 001"/>
            </w:pPr>
            <w:r>
              <w:t>writelines(</w:t>
            </w:r>
            <w:r>
              <w:rPr>
                <w:rStyle w:val="Text3"/>
              </w:rPr>
              <w:t>lst</w:t>
            </w:r>
            <w:r>
              <w:t>, /)</w:t>
              <w:br w:clear="none"/>
            </w:r>
            <w:r>
              <w:rPr>
                <w:rStyle w:val="Text12"/>
              </w:rPr>
              <w:t xml:space="preserve"> Like: </w:t>
            </w:r>
          </w:p>
          <w:p>
            <w:pPr>
              <w:pStyle w:val="Para 053"/>
            </w:pPr>
            <w:r>
              <w:rPr>
                <w:rStyle w:val="Text116"/>
              </w:rPr>
              <w:t xml:space="preserve"/>
              <w:br w:clear="none"/>
            </w:r>
            <w:r>
              <w:rPr>
                <w:rStyle w:val="Text22"/>
              </w:rPr>
              <w:t xml:space="preserve">for</w:t>
              <w:br w:clear="none"/>
            </w:r>
            <w:r>
              <w:rPr>
                <w:rStyle w:val="Text11"/>
              </w:rPr>
              <w:t xml:space="preserve"> </w:t>
              <w:br w:clear="none"/>
            </w:r>
            <w:r>
              <w:t xml:space="preserve">line</w:t>
              <w:br w:clear="none"/>
            </w:r>
            <w:r>
              <w:rPr>
                <w:rStyle w:val="Text11"/>
              </w:rPr>
              <w:t xml:space="preserve"> </w:t>
              <w:br w:clear="none"/>
            </w:r>
            <w:r>
              <w:rPr>
                <w:rStyle w:val="Text51"/>
              </w:rPr>
              <w:t xml:space="preserve">in</w:t>
              <w:br w:clear="none"/>
            </w:r>
            <w:r>
              <w:rPr>
                <w:rStyle w:val="Text11"/>
              </w:rPr>
              <w:t xml:space="preserve"> </w:t>
              <w:br w:clear="none"/>
            </w:r>
            <w:r>
              <w:t xml:space="preserve">lst</w:t>
              <w:br w:clear="none"/>
            </w:r>
            <w:r>
              <w:rPr>
                <w:rStyle w:val="Text19"/>
              </w:rPr>
              <w:t xml:space="preserve">:</w:t>
              <w:br w:clear="none"/>
            </w:r>
            <w:r>
              <w:rPr>
                <w:rStyle w:val="Text11"/>
              </w:rPr>
              <w:t xml:space="preserve"> </w:t>
              <w:br w:clear="none"/>
            </w:r>
            <w:r>
              <w:t xml:space="preserve">f</w:t>
              <w:br w:clear="none"/>
            </w:r>
            <w:r>
              <w:rPr>
                <w:rStyle w:val="Text28"/>
              </w:rPr>
              <w:t xml:space="preserve">.</w:t>
              <w:br w:clear="none"/>
            </w:r>
            <w:r>
              <w:rPr>
                <w:rStyle w:val="Text4"/>
              </w:rPr>
              <w:t xml:space="preserve">write</w:t>
              <w:br w:clear="none"/>
            </w:r>
            <w:r>
              <w:rPr>
                <w:rStyle w:val="Text19"/>
              </w:rPr>
              <w:t xml:space="preserve">(</w:t>
              <w:br w:clear="none"/>
            </w:r>
            <w:r>
              <w:t xml:space="preserve">line</w:t>
              <w:br w:clear="none"/>
            </w:r>
            <w:r>
              <w:rPr>
                <w:rStyle w:val="Text19"/>
              </w:rPr>
              <w:t xml:space="preserve">)</w:t>
              <w:br w:clear="none"/>
            </w:r>
          </w:p>
          <w:p>
            <w:pPr>
              <w:pStyle w:val="Para 022"/>
            </w:pPr>
            <w:r>
              <w:t xml:space="preserve"> It</w:t>
            </w:r>
            <w:r>
              <w:rPr>
                <w:rStyle w:val="Text111"/>
              </w:rPr>
              <w:bookmarkStart w:id="2529" w:name="idm45965206019728"/>
              <w:t/>
              <w:bookmarkEnd w:id="2529"/>
            </w:r>
            <w:r>
              <w:t xml:space="preserve"> does not matter whether the strings in iterable </w:t>
            </w:r>
            <w:r>
              <w:rPr>
                <w:rStyle w:val="Text4"/>
              </w:rPr>
              <w:t>lst</w:t>
            </w:r>
            <w:r>
              <w:t xml:space="preserve"> are lines: despite its name, the method </w:t>
            </w:r>
            <w:r>
              <w:rPr>
                <w:rStyle w:val="Text0"/>
              </w:rPr>
              <w:t>writelines</w:t>
            </w:r>
            <w:r>
              <w:t xml:space="preserve"> just writes each of the strings to the file, one after the other. In particular, </w:t>
            </w:r>
            <w:r>
              <w:rPr>
                <w:rStyle w:val="Text0"/>
              </w:rPr>
              <w:t>writelines</w:t>
            </w:r>
            <w:r>
              <w:t xml:space="preserve"> does not add line-ending markers: such markers, if required, must already be present in the items of </w:t>
            </w:r>
            <w:r>
              <w:rPr>
                <w:rStyle w:val="Text4"/>
              </w:rPr>
              <w:t>lst</w:t>
            </w:r>
            <w:r>
              <w:t>.</w:t>
            </w:r>
            <w:r>
              <w:rPr>
                <w:rStyle w:val="Text111"/>
              </w:rPr>
              <w:bookmarkStart w:id="2530" w:name="idm45965206016480"/>
              <w:t/>
              <w:bookmarkEnd w:id="2530"/>
              <w:bookmarkStart w:id="2531" w:name="idm45965206015072"/>
              <w:t/>
              <w:bookmarkEnd w:id="2531"/>
            </w:r>
          </w:p>
        </w:tc>
      </w:tr>
    </w:tbl>
    <w:p>
      <w:bookmarkStart w:id="2532" w:name="Iteration_on_File_Objects__A_fil"/>
      <w:pPr>
        <w:keepNext/>
        <w:pStyle w:val="Heading 2"/>
      </w:pPr>
      <w:r>
        <w:t>Iteration on File Objects</w:t>
      </w:r>
      <w:bookmarkEnd w:id="2532"/>
    </w:p>
    <w:p>
      <w:pPr>
        <w:pStyle w:val="Normal"/>
      </w:pPr>
      <w:r>
        <w:t xml:space="preserve">A file object </w:t>
      </w:r>
      <w:r>
        <w:rPr>
          <w:rStyle w:val="Text3"/>
        </w:rPr>
        <w:t>f</w:t>
      </w:r>
      <w:r>
        <w:t>, open for reading, is also an iterator whose items are the file’s lines. Thus, the loop:</w:t>
      </w:r>
    </w:p>
    <w:p>
      <w:pPr>
        <w:pStyle w:val="Para 032"/>
      </w:pPr>
      <w:r>
        <w:rPr>
          <w:rStyle w:val="Text116"/>
        </w:rPr>
        <w:t xml:space="preserve"/>
        <w:br w:clear="none"/>
      </w:r>
      <w:r>
        <w:rPr>
          <w:rStyle w:val="Text22"/>
        </w:rPr>
        <w:t xml:space="preserve">for</w:t>
        <w:br w:clear="none"/>
      </w:r>
      <w:r>
        <w:rPr>
          <w:rStyle w:val="Text11"/>
        </w:rPr>
        <w:t xml:space="preserve"> </w:t>
        <w:br w:clear="none"/>
      </w:r>
      <w:r>
        <w:t xml:space="preserve">line</w:t>
        <w:br w:clear="none"/>
      </w:r>
      <w:r>
        <w:rPr>
          <w:rStyle w:val="Text11"/>
        </w:rPr>
        <w:t xml:space="preserve"> </w:t>
        <w:br w:clear="none"/>
      </w:r>
      <w:r>
        <w:rPr>
          <w:rStyle w:val="Text51"/>
        </w:rPr>
        <w:t xml:space="preserve">in</w:t>
        <w:br w:clear="none"/>
      </w:r>
      <w:r>
        <w:rPr>
          <w:rStyle w:val="Text11"/>
        </w:rPr>
        <w:t xml:space="preserve"> </w:t>
        <w:br w:clear="none"/>
      </w:r>
      <w:r>
        <w:t xml:space="preserve">f</w:t>
        <w:br w:clear="none"/>
      </w:r>
      <w:r>
        <w:rPr>
          <w:rStyle w:val="Text19"/>
        </w:rPr>
        <w:t xml:space="preserve">:</w:t>
        <w:br w:clear="none"/>
      </w:r>
    </w:p>
    <w:p>
      <w:pPr>
        <w:pStyle w:val="Normal"/>
      </w:pPr>
      <w:r>
        <w:t xml:space="preserve">iterates on each line of the file. Due to buffering issues, interrupting such a loop prematurely (e.g., with </w:t>
      </w:r>
      <w:r>
        <w:rPr>
          <w:rStyle w:val="Text5"/>
        </w:rPr>
        <w:t>break</w:t>
      </w:r>
      <w:r>
        <w:t xml:space="preserve">), or calling </w:t>
      </w:r>
      <w:r>
        <w:rPr>
          <w:rStyle w:val="Text0"/>
        </w:rPr>
        <w:t>next(</w:t>
      </w:r>
      <w:r>
        <w:rPr>
          <w:rStyle w:val="Text3"/>
        </w:rPr>
        <w:t>f</w:t>
      </w:r>
      <w:r>
        <w:rPr>
          <w:rStyle w:val="Text0"/>
        </w:rPr>
        <w:t>)</w:t>
      </w:r>
      <w:r>
        <w:t xml:space="preserve"> instead of </w:t>
      </w:r>
      <w:r>
        <w:rPr>
          <w:rStyle w:val="Text3"/>
        </w:rPr>
        <w:t>f</w:t>
      </w:r>
      <w:r>
        <w:rPr>
          <w:rStyle w:val="Text0"/>
        </w:rPr>
        <w:t>.readline()</w:t>
      </w:r>
      <w:r>
        <w:t xml:space="preserve">, leaves the file’s position set to an arbitrary value. If you want to switch from using </w:t>
      </w:r>
      <w:r>
        <w:rPr>
          <w:rStyle w:val="Text3"/>
        </w:rPr>
        <w:t>f</w:t>
      </w:r>
      <w:r>
        <w:t xml:space="preserve"> as an iterator to calling other reading methods on </w:t>
      </w:r>
      <w:r>
        <w:rPr>
          <w:rStyle w:val="Text3"/>
        </w:rPr>
        <w:t>f</w:t>
      </w:r>
      <w:r>
        <w:t xml:space="preserve">, be sure to set the file’s position to a known value by appropriately calling </w:t>
      </w:r>
      <w:r>
        <w:rPr>
          <w:rStyle w:val="Text3"/>
        </w:rPr>
        <w:t>f</w:t>
      </w:r>
      <w:r>
        <w:rPr>
          <w:rStyle w:val="Text0"/>
        </w:rPr>
        <w:t>.seek</w:t>
      </w:r>
      <w:r>
        <w:t xml:space="preserve">. On the plus side, a loop directly on </w:t>
      </w:r>
      <w:r>
        <w:rPr>
          <w:rStyle w:val="Text3"/>
        </w:rPr>
        <w:t>f</w:t>
      </w:r>
      <w:r>
        <w:t xml:space="preserve"> has very good performance, since these specifications allow the loop to use internal buffering to minimize I/O without taking up excessive amounts of memory even for huge files.</w:t>
      </w:r>
    </w:p>
    <w:p>
      <w:bookmarkStart w:id="2533" w:name="File_Like_Objects_and_Polymorphi"/>
      <w:pPr>
        <w:keepNext/>
        <w:pStyle w:val="Heading 2"/>
      </w:pPr>
      <w:r>
        <w:t>File-Like Objects and Polymorphism</w:t>
      </w:r>
      <w:bookmarkEnd w:id="2533"/>
    </w:p>
    <w:p>
      <w:pPr>
        <w:pStyle w:val="Normal"/>
      </w:pPr>
      <w:r>
        <w:t>An</w:t>
      </w:r>
      <w:r>
        <w:rPr>
          <w:rStyle w:val="Text111"/>
        </w:rPr>
        <w:bookmarkStart w:id="2534" w:name="idm45965205952576"/>
        <w:t/>
        <w:bookmarkEnd w:id="2534"/>
        <w:bookmarkStart w:id="2535" w:name="idm45965205951184"/>
        <w:t/>
        <w:bookmarkEnd w:id="2535"/>
      </w:r>
      <w:r>
        <w:t xml:space="preserve"> object </w:t>
      </w:r>
      <w:r>
        <w:rPr>
          <w:rStyle w:val="Text3"/>
        </w:rPr>
        <w:t>x</w:t>
      </w:r>
      <w:r>
        <w:t xml:space="preserve"> is file-like when it behaves </w:t>
      </w:r>
      <w:r>
        <w:rPr>
          <w:rStyle w:val="Text4"/>
        </w:rPr>
        <w:t>polymorphically</w:t>
      </w:r>
      <w:r>
        <w:t xml:space="preserve"> to a file object as returned by </w:t>
      </w:r>
      <w:r>
        <w:rPr>
          <w:rStyle w:val="Text0"/>
        </w:rPr>
        <w:t>io.open</w:t>
      </w:r>
      <w:r>
        <w:t xml:space="preserve">, meaning that we can use </w:t>
      </w:r>
      <w:r>
        <w:rPr>
          <w:rStyle w:val="Text3"/>
        </w:rPr>
        <w:t>x</w:t>
      </w:r>
      <w:r>
        <w:t xml:space="preserve"> “as if” </w:t>
      </w:r>
      <w:r>
        <w:rPr>
          <w:rStyle w:val="Text3"/>
        </w:rPr>
        <w:t>x</w:t>
      </w:r>
      <w:r>
        <w:t xml:space="preserve"> were a file. Code using such an object (known as</w:t>
      </w:r>
      <w:r>
        <w:rPr>
          <w:rStyle w:val="Text111"/>
        </w:rPr>
        <w:bookmarkStart w:id="2536" w:name="idm45965205946464"/>
        <w:t/>
        <w:bookmarkEnd w:id="2536"/>
      </w:r>
      <w:r>
        <w:t xml:space="preserve"> </w:t>
      </w:r>
      <w:r>
        <w:rPr>
          <w:rStyle w:val="Text4"/>
        </w:rPr>
        <w:t>client code</w:t>
      </w:r>
      <w:r>
        <w:t xml:space="preserve"> of the object) usually gets the object as an argument, or by calling a factory function that returns the object as the result. For example, if the only method that client code calls on </w:t>
      </w:r>
      <w:r>
        <w:rPr>
          <w:rStyle w:val="Text3"/>
        </w:rPr>
        <w:t>x</w:t>
      </w:r>
      <w:r>
        <w:t xml:space="preserve"> is </w:t>
      </w:r>
      <w:r>
        <w:rPr>
          <w:rStyle w:val="Text3"/>
        </w:rPr>
        <w:t>x</w:t>
      </w:r>
      <w:r>
        <w:rPr>
          <w:rStyle w:val="Text0"/>
        </w:rPr>
        <w:t>.read</w:t>
      </w:r>
      <w:r>
        <w:t xml:space="preserve">, without arguments, then all </w:t>
      </w:r>
      <w:r>
        <w:rPr>
          <w:rStyle w:val="Text3"/>
        </w:rPr>
        <w:t>x</w:t>
      </w:r>
      <w:r>
        <w:t xml:space="preserve"> needs to supply in order to be file-like enough for that code is a method </w:t>
      </w:r>
      <w:r>
        <w:rPr>
          <w:rStyle w:val="Text0"/>
        </w:rPr>
        <w:t>read</w:t>
      </w:r>
      <w:r>
        <w:t xml:space="preserve"> that is callable without arguments and returns a string. Other client code may need </w:t>
      </w:r>
      <w:r>
        <w:rPr>
          <w:rStyle w:val="Text3"/>
        </w:rPr>
        <w:t>x</w:t>
      </w:r>
      <w:r>
        <w:t xml:space="preserve"> to implement a larger subset of file methods. File-like objects and polymorphism are not absolute concepts: they are relative to demands placed on an object by some specific client code.</w:t>
      </w:r>
    </w:p>
    <w:p>
      <w:pPr>
        <w:pStyle w:val="Normal"/>
      </w:pPr>
      <w:r>
        <w:t>Polymorphism</w:t>
      </w:r>
      <w:r>
        <w:rPr>
          <w:rStyle w:val="Text111"/>
        </w:rPr>
        <w:bookmarkStart w:id="2537" w:name="idm45965205940112"/>
        <w:t/>
        <w:bookmarkEnd w:id="2537"/>
      </w:r>
      <w:r>
        <w:t xml:space="preserve"> is a powerful aspect of object-oriented programming, and file-like objects are a good example of polymorphism. A client-code module that writes to or reads from files can automatically be reused for data residing elsewhere, as long as the module does not break polymorphism by type checking. When we discussed the built-ins </w:t>
      </w:r>
      <w:r>
        <w:rPr>
          <w:rStyle w:val="Text0"/>
        </w:rPr>
        <w:t>type</w:t>
      </w:r>
      <w:r>
        <w:t xml:space="preserve"> and </w:t>
      </w:r>
      <w:r>
        <w:rPr>
          <w:rStyle w:val="Text0"/>
        </w:rPr>
        <w:t>isinstance</w:t>
      </w:r>
      <w:r>
        <w:t xml:space="preserve"> in </w:t>
      </w:r>
      <w:hyperlink w:anchor="Table_8_1__Python_s_core_built_i">
        <w:r>
          <w:rPr>
            <w:rStyle w:val="Text1"/>
          </w:rPr>
          <w:t>Table 8-1</w:t>
        </w:r>
      </w:hyperlink>
      <w:r>
        <w:t>, we mentioned that type checking is often best avoided, as it blocks Python’s normal polymorphism. Often, to support polymorphism in your client code, you just need to avoid type checking.</w:t>
      </w:r>
    </w:p>
    <w:p>
      <w:pPr>
        <w:pStyle w:val="Normal"/>
      </w:pPr>
      <w:r>
        <w:t xml:space="preserve">You can implement a file-like object by coding your own class (as covered in </w:t>
      </w:r>
      <w:hyperlink w:anchor="Chapter_4__Object_Oriented_Pytho_2">
        <w:r>
          <w:rPr>
            <w:rStyle w:val="Text1"/>
          </w:rPr>
          <w:t>Chapter 4</w:t>
        </w:r>
      </w:hyperlink>
      <w:r>
        <w:t xml:space="preserve">) and defining the specific methods needed by client code, such as </w:t>
      </w:r>
      <w:r>
        <w:rPr>
          <w:rStyle w:val="Text0"/>
        </w:rPr>
        <w:t>read</w:t>
      </w:r>
      <w:r>
        <w:t xml:space="preserve">. A file-like object </w:t>
      </w:r>
      <w:r>
        <w:rPr>
          <w:rStyle w:val="Text3"/>
        </w:rPr>
        <w:t>fl</w:t>
      </w:r>
      <w:r>
        <w:t xml:space="preserve"> need not implement all the attributes and methods of a true file object </w:t>
      </w:r>
      <w:r>
        <w:rPr>
          <w:rStyle w:val="Text3"/>
        </w:rPr>
        <w:t>f</w:t>
      </w:r>
      <w:r>
        <w:t xml:space="preserve">. If you can determine which methods the client code calls on </w:t>
      </w:r>
      <w:r>
        <w:rPr>
          <w:rStyle w:val="Text3"/>
        </w:rPr>
        <w:t>fl</w:t>
      </w:r>
      <w:r>
        <w:t xml:space="preserve">, you can choose to implement only that subset. For example, when </w:t>
      </w:r>
      <w:r>
        <w:rPr>
          <w:rStyle w:val="Text3"/>
        </w:rPr>
        <w:t>fl</w:t>
      </w:r>
      <w:r>
        <w:t xml:space="preserve"> is only going to be written, </w:t>
      </w:r>
      <w:r>
        <w:rPr>
          <w:rStyle w:val="Text3"/>
        </w:rPr>
        <w:t>fl</w:t>
      </w:r>
      <w:r>
        <w:t xml:space="preserve"> doesn’t need “reading” methods, such as </w:t>
      </w:r>
      <w:r>
        <w:rPr>
          <w:rStyle w:val="Text0"/>
        </w:rPr>
        <w:t>read</w:t>
      </w:r>
      <w:r>
        <w:t xml:space="preserve">, </w:t>
      </w:r>
      <w:r>
        <w:rPr>
          <w:rStyle w:val="Text0"/>
        </w:rPr>
        <w:t>readline</w:t>
      </w:r>
      <w:r>
        <w:t xml:space="preserve">, and </w:t>
      </w:r>
      <w:r>
        <w:rPr>
          <w:rStyle w:val="Text0"/>
        </w:rPr>
        <w:t>readlines</w:t>
      </w:r>
      <w:r>
        <w:t>.</w:t>
      </w:r>
    </w:p>
    <w:p>
      <w:pPr>
        <w:pStyle w:val="Normal"/>
      </w:pPr>
      <w:r>
        <w:t xml:space="preserve">If the main reason you want a file-like object instead of a real file object is to keep the data in memory, rather than on disk, use the </w:t>
      </w:r>
      <w:r>
        <w:rPr>
          <w:rStyle w:val="Text0"/>
        </w:rPr>
        <w:t>io</w:t>
      </w:r>
      <w:r>
        <w:t xml:space="preserve"> module’s classes </w:t>
      </w:r>
      <w:r>
        <w:rPr>
          <w:rStyle w:val="Text0"/>
        </w:rPr>
        <w:t>StringIO</w:t>
      </w:r>
      <w:r>
        <w:t xml:space="preserve"> or </w:t>
      </w:r>
      <w:r>
        <w:rPr>
          <w:rStyle w:val="Text0"/>
        </w:rPr>
        <w:t>BytesIO</w:t>
      </w:r>
      <w:r>
        <w:t xml:space="preserve">, covered in </w:t>
      </w:r>
      <w:hyperlink w:anchor="In_Memory_Files__io_StringIO_and">
        <w:r>
          <w:rPr>
            <w:rStyle w:val="Text1"/>
          </w:rPr>
          <w:t>“In-Memory Files: io.StringIO and io.BytesIO”</w:t>
        </w:r>
      </w:hyperlink>
      <w:r>
        <w:t xml:space="preserve">. These classes supply file objects that hold data in memory and largely behave polymorphically to other file objects. If you’re running multiple processes that you want to communicate via file-like objects, consider </w:t>
      </w:r>
      <w:r>
        <w:rPr>
          <w:rStyle w:val="Text0"/>
        </w:rPr>
        <w:t>mmap</w:t>
      </w:r>
      <w:r>
        <w:t xml:space="preserve">, covered in </w:t>
      </w:r>
      <w:hyperlink w:anchor="Chapter_15__Concurrency__Threads_2">
        <w:r>
          <w:rPr>
            <w:rStyle w:val="Text1"/>
          </w:rPr>
          <w:t>Chapter 15</w:t>
        </w:r>
      </w:hyperlink>
      <w:r>
        <w:t>.</w:t>
      </w:r>
      <w:r>
        <w:rPr>
          <w:rStyle w:val="Text111"/>
        </w:rPr>
        <w:bookmarkStart w:id="2538" w:name="idm45965205921664"/>
        <w:t/>
        <w:bookmarkEnd w:id="2538"/>
        <w:bookmarkStart w:id="2539" w:name="idm45965205920288"/>
        <w:t/>
        <w:bookmarkEnd w:id="2539"/>
        <w:bookmarkStart w:id="2540" w:name="idm45965205918912"/>
        <w:t/>
        <w:bookmarkEnd w:id="2540"/>
      </w:r>
    </w:p>
    <w:p>
      <w:bookmarkStart w:id="2541" w:name="The_tempfile_Module__The_tempfil"/>
      <w:pPr>
        <w:keepNext/>
        <w:pStyle w:val="Heading 1"/>
      </w:pPr>
      <w:r>
        <w:t>The tempfile Module</w:t>
      </w:r>
      <w:bookmarkEnd w:id="2541"/>
    </w:p>
    <w:p>
      <w:pPr>
        <w:pStyle w:val="Normal"/>
      </w:pPr>
      <w:r>
        <w:t>The</w:t>
      </w:r>
      <w:r>
        <w:rPr>
          <w:rStyle w:val="Text111"/>
        </w:rPr>
        <w:bookmarkStart w:id="2542" w:name="tempfile11"/>
        <w:t/>
        <w:bookmarkEnd w:id="2542"/>
        <w:bookmarkStart w:id="2543" w:name="FTtemp11"/>
        <w:t/>
        <w:bookmarkEnd w:id="2543"/>
        <w:bookmarkStart w:id="2544" w:name="SLMtemp11"/>
        <w:t/>
        <w:bookmarkEnd w:id="2544"/>
      </w:r>
      <w:r>
        <w:t xml:space="preserve"> </w:t>
      </w:r>
      <w:r>
        <w:rPr>
          <w:rStyle w:val="Text0"/>
        </w:rPr>
        <w:t>tempfile</w:t>
      </w:r>
      <w:r>
        <w:t xml:space="preserve"> module lets you create temporary files and directories in the most secure manner afforded by your platform. Temporary files are often a good idea when you’re dealing with an amount of data that might not comfortably fit in memory, or when your program must write data that another process later uses.</w:t>
      </w:r>
    </w:p>
    <w:p>
      <w:pPr>
        <w:pStyle w:val="Normal"/>
      </w:pPr>
      <w:r>
        <w:t xml:space="preserve">The order of the parameters for the functions in this module is a bit confusing: to make your code more readable, always call these functions with named-argument syntax. The </w:t>
      </w:r>
      <w:r>
        <w:rPr>
          <w:rStyle w:val="Text0"/>
        </w:rPr>
        <w:t>tempfile</w:t>
      </w:r>
      <w:r>
        <w:t xml:space="preserve"> module exposes the functions and classes outlined in </w:t>
      </w:r>
      <w:hyperlink w:anchor="Table_11_3__Functions_and_classe">
        <w:r>
          <w:rPr>
            <w:rStyle w:val="Text1"/>
          </w:rPr>
          <w:t>Table 11-3</w:t>
        </w:r>
      </w:hyperlink>
      <w:r>
        <w:t>.</w:t>
      </w:r>
    </w:p>
    <w:tbl>
      <w:tblPr>
        <w:tblW w:type="auto" w:w="0"/>
      </w:tblPr>
      <w:tr>
        <w:tc>
          <w:tcPr>
            <w:tcW w:type="auto" w:w="0"/>
            <w:tcMar>
              <w:left w:type="dxa" w:w="200"/>
              <w:top w:type="dxa" w:w="200"/>
              <w:right w:type="dxa" w:w="200"/>
              <w:bottom w:type="dxa" w:w="200"/>
            </w:tcMar>
          </w:tcPr>
          <w:p>
            <w:bookmarkStart w:id="2545" w:name="Table_11_3__Functions_and_classe"/>
            <w:pPr>
              <w:pStyle w:val="Para 011"/>
            </w:pPr>
            <w:r>
              <w:rPr>
                <w:rStyle w:val="Text117"/>
              </w:rPr>
              <w:t/>
            </w:r>
            <w:r>
              <w:t xml:space="preserve">Table 11-3. </w:t>
              <w:t xml:space="preserve">Functions and classes of the </w:t>
            </w:r>
            <w:r>
              <w:rPr>
                <w:rStyle w:val="Text0"/>
              </w:rPr>
              <w:t>tempfile</w:t>
            </w:r>
            <w:r>
              <w:t xml:space="preserve"> module</w:t>
            </w:r>
            <w:bookmarkEnd w:id="2545"/>
          </w:p>
          <w:p>
            <w:pPr>
              <w:pStyle w:val="Para 001"/>
            </w:pPr>
            <w:r>
              <w:t>mkdtemp</w:t>
            </w:r>
          </w:p>
        </w:tc>
        <w:tc>
          <w:tcPr>
            <w:tcW w:type="auto" w:w="0"/>
            <w:tcMar>
              <w:left w:type="dxa" w:w="200"/>
              <w:top w:type="dxa" w:w="200"/>
              <w:right w:type="dxa" w:w="200"/>
              <w:bottom w:type="dxa" w:w="200"/>
            </w:tcMar>
          </w:tcPr>
          <w:p>
            <w:pPr>
              <w:pStyle w:val="Para 002"/>
            </w:pPr>
            <w:r>
              <w:rPr>
                <w:rStyle w:val="Text0"/>
              </w:rPr>
              <w:t>mkdtemp(suffix=</w:t>
            </w:r>
            <w:r>
              <w:rPr>
                <w:rStyle w:val="Text5"/>
              </w:rPr>
              <w:t>None</w:t>
            </w:r>
            <w:r>
              <w:rPr>
                <w:rStyle w:val="Text0"/>
              </w:rPr>
              <w:t>, prefix=</w:t>
            </w:r>
            <w:r>
              <w:rPr>
                <w:rStyle w:val="Text5"/>
              </w:rPr>
              <w:t>None</w:t>
            </w:r>
            <w:r>
              <w:rPr>
                <w:rStyle w:val="Text0"/>
              </w:rPr>
              <w:t>, dir=None)</w:t>
              <w:br w:clear="none"/>
            </w:r>
            <w:r>
              <w:t xml:space="preserve"> Securely</w:t>
            </w:r>
            <w:r>
              <w:rPr>
                <w:rStyle w:val="Text111"/>
              </w:rPr>
              <w:bookmarkStart w:id="2546" w:name="idm45965205901712"/>
              <w:t/>
              <w:bookmarkEnd w:id="2546"/>
            </w:r>
            <w:r>
              <w:t xml:space="preserve"> creates a new temporary directory that is readable, writable, and searchable only by the current user, and returns the absolute path to the temporary directory. You can optionally pass arguments to specify strings to use as the start (</w:t>
            </w:r>
            <w:r>
              <w:rPr>
                <w:rStyle w:val="Text0"/>
              </w:rPr>
              <w:t>prefix</w:t>
            </w:r>
            <w:r>
              <w:t>) and end (</w:t>
            </w:r>
            <w:r>
              <w:rPr>
                <w:rStyle w:val="Text0"/>
              </w:rPr>
              <w:t>suffix</w:t>
            </w:r>
            <w:r>
              <w:t>) of the temporary file’s filename, and the path to the directory in which the temporary file is created (</w:t>
            </w:r>
            <w:r>
              <w:rPr>
                <w:rStyle w:val="Text0"/>
              </w:rPr>
              <w:t>dir</w:t>
            </w:r>
            <w:r>
              <w:t>). Ensuring that the temporary directory is removed when you’re done with it is your program’s responsibility.</w:t>
            </w:r>
          </w:p>
        </w:tc>
      </w:tr>
    </w:tbl>
    <w:tbl>
      <w:tblPr>
        <w:tblW w:type="auto" w:w="0"/>
      </w:tblPr>
      <w:tr>
        <w:tc>
          <w:tcPr>
            <w:tcW w:type="auto" w:w="0"/>
            <w:shd w:val="clear" w:color="auto" w:fill="EEF2F6"/>
            <w:tcMar>
              <w:left w:type="dxa" w:w="200"/>
              <w:top w:type="dxa" w:w="200"/>
              <w:right w:type="dxa" w:w="200"/>
              <w:bottom w:type="dxa" w:w="200"/>
            </w:tcMar>
          </w:tcPr>
          <w:p>
            <w:pPr>
              <w:pStyle w:val="Para 001"/>
            </w:pPr>
            <w:r>
              <w:t>mkdtemp</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Here is a typical usage example that creates a temporary directory, passes its path to another function, and finally ensures the directory (and all contents) are removed: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tempfile</w:t>
              <w:br w:clear="none"/>
            </w:r>
            <w:r>
              <w:rPr>
                <w:rStyle w:val="Text13"/>
              </w:rPr>
              <w:t xml:space="preserve">,</w:t>
              <w:br w:clear="none"/>
            </w:r>
            <w:r>
              <w:rPr>
                <w:rStyle w:val="Text6"/>
              </w:rPr>
              <w:t xml:space="preserve"> </w:t>
              <w:br w:clear="none"/>
            </w:r>
            <w:r>
              <w:rPr>
                <w:rStyle w:val="Text20"/>
              </w:rPr>
              <w:t xml:space="preserve">shutil</w:t>
              <w:br w:clear="none"/>
            </w:r>
            <w:r>
              <w:rPr>
                <w:rStyle w:val="Text6"/>
              </w:rPr>
              <w:t xml:space="preserve"/>
              <w:br w:clear="none"/>
            </w:r>
            <w:r>
              <w:t xml:space="preserve">path</w:t>
              <w:br w:clear="none"/>
            </w:r>
            <w:r>
              <w:rPr>
                <w:rStyle w:val="Text6"/>
              </w:rPr>
              <w:t xml:space="preserve"> </w:t>
              <w:br w:clear="none"/>
            </w:r>
            <w:r>
              <w:rPr>
                <w:rStyle w:val="Text13"/>
              </w:rPr>
              <w:t xml:space="preserve">=</w:t>
              <w:br w:clear="none"/>
            </w:r>
            <w:r>
              <w:rPr>
                <w:rStyle w:val="Text6"/>
              </w:rPr>
              <w:t xml:space="preserve"> </w:t>
              <w:br w:clear="none"/>
            </w:r>
            <w:r>
              <w:t xml:space="preserve">tempfile</w:t>
              <w:br w:clear="none"/>
            </w:r>
            <w:r>
              <w:rPr>
                <w:rStyle w:val="Text13"/>
              </w:rPr>
              <w:t xml:space="preserve">.</w:t>
              <w:br w:clear="none"/>
            </w:r>
            <w:r>
              <w:t xml:space="preserve">mkdtemp</w:t>
              <w:br w:clear="none"/>
            </w:r>
            <w:r>
              <w:rPr>
                <w:rStyle w:val="Text7"/>
              </w:rPr>
              <w:t xml:space="preserve">(</w:t>
              <w:br w:clear="none"/>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use_dirpath</w:t>
              <w:br w:clear="none"/>
            </w:r>
            <w:r>
              <w:rPr>
                <w:rStyle w:val="Text7"/>
              </w:rPr>
              <w:t xml:space="preserve">(</w:t>
              <w:br w:clear="none"/>
            </w:r>
            <w:r>
              <w:t xml:space="preserve">path</w:t>
              <w:br w:clear="none"/>
            </w:r>
            <w:r>
              <w:rPr>
                <w:rStyle w:val="Text7"/>
              </w:rPr>
              <w:t xml:space="preserve">)</w:t>
              <w:br w:clear="none"/>
            </w:r>
            <w:r>
              <w:rPr>
                <w:rStyle w:val="Text6"/>
              </w:rPr>
              <w:t xml:space="preserve"/>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t xml:space="preserve">shutil</w:t>
              <w:br w:clear="none"/>
            </w:r>
            <w:r>
              <w:rPr>
                <w:rStyle w:val="Text13"/>
              </w:rPr>
              <w:t xml:space="preserve">.</w:t>
              <w:br w:clear="none"/>
            </w:r>
            <w:r>
              <w:t xml:space="preserve">rmtree</w:t>
              <w:br w:clear="none"/>
            </w:r>
            <w:r>
              <w:rPr>
                <w:rStyle w:val="Text7"/>
              </w:rPr>
              <w:t xml:space="preserve">(</w:t>
              <w:br w:clear="none"/>
            </w:r>
            <w:r>
              <w:t xml:space="preserve">path</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mkstemp</w:t>
            </w:r>
          </w:p>
        </w:tc>
        <w:tc>
          <w:tcPr>
            <w:tcW w:type="auto" w:w="0"/>
            <w:tcMar>
              <w:left w:type="dxa" w:w="200"/>
              <w:top w:type="dxa" w:w="200"/>
              <w:right w:type="dxa" w:w="200"/>
              <w:bottom w:type="dxa" w:w="200"/>
            </w:tcMar>
          </w:tcPr>
          <w:p>
            <w:pPr>
              <w:pStyle w:val="Para 002"/>
            </w:pPr>
            <w:r>
              <w:rPr>
                <w:rStyle w:val="Text0"/>
              </w:rPr>
              <w:t>mkstemp(suffix=</w:t>
            </w:r>
            <w:r>
              <w:rPr>
                <w:rStyle w:val="Text5"/>
              </w:rPr>
              <w:t>None</w:t>
            </w:r>
            <w:r>
              <w:rPr>
                <w:rStyle w:val="Text0"/>
              </w:rPr>
              <w:t>, prefix=</w:t>
            </w:r>
            <w:r>
              <w:rPr>
                <w:rStyle w:val="Text5"/>
              </w:rPr>
              <w:t>None</w:t>
            </w:r>
            <w:r>
              <w:rPr>
                <w:rStyle w:val="Text0"/>
              </w:rPr>
              <w:t>, dir=</w:t>
            </w:r>
            <w:r>
              <w:rPr>
                <w:rStyle w:val="Text5"/>
              </w:rPr>
              <w:t>None</w:t>
            </w:r>
            <w:r>
              <w:rPr>
                <w:rStyle w:val="Text0"/>
              </w:rPr>
              <w:t>, text=</w:t>
            </w:r>
            <w:r>
              <w:rPr>
                <w:rStyle w:val="Text5"/>
              </w:rPr>
              <w:t>False</w:t>
            </w:r>
            <w:r>
              <w:rPr>
                <w:rStyle w:val="Text0"/>
              </w:rPr>
              <w:t>)</w:t>
              <w:br w:clear="none"/>
            </w:r>
            <w:r>
              <w:t xml:space="preserve"> Securely</w:t>
            </w:r>
            <w:r>
              <w:rPr>
                <w:rStyle w:val="Text111"/>
              </w:rPr>
              <w:bookmarkStart w:id="2547" w:name="idm45965205861712"/>
              <w:t/>
              <w:bookmarkEnd w:id="2547"/>
            </w:r>
            <w:r>
              <w:t xml:space="preserve"> creates a new temporary file that is readable and writable only by the current user, is not executable, and is not inherited by subprocesses; returns a pair </w:t>
            </w:r>
            <w:r>
              <w:rPr>
                <w:rStyle w:val="Text0"/>
              </w:rPr>
              <w:t>(</w:t>
            </w:r>
            <w:r>
              <w:rPr>
                <w:rStyle w:val="Text3"/>
              </w:rPr>
              <w:t>fd</w:t>
            </w:r>
            <w:r>
              <w:rPr>
                <w:rStyle w:val="Text0"/>
              </w:rPr>
              <w:t>,</w:t>
            </w:r>
            <w:r>
              <w:t xml:space="preserve"> </w:t>
            </w:r>
            <w:r>
              <w:rPr>
                <w:rStyle w:val="Text3"/>
              </w:rPr>
              <w:t>path</w:t>
            </w:r>
            <w:r>
              <w:rPr>
                <w:rStyle w:val="Text0"/>
              </w:rPr>
              <w:t>)</w:t>
            </w:r>
            <w:r>
              <w:t xml:space="preserve">, where </w:t>
            </w:r>
            <w:r>
              <w:rPr>
                <w:rStyle w:val="Text3"/>
              </w:rPr>
              <w:t>fd</w:t>
            </w:r>
            <w:r>
              <w:t xml:space="preserve"> is the file descriptor of the temporary file (as returned by </w:t>
            </w:r>
            <w:r>
              <w:rPr>
                <w:rStyle w:val="Text0"/>
              </w:rPr>
              <w:t>os.open</w:t>
            </w:r>
            <w:r>
              <w:t xml:space="preserve">, covered in </w:t>
            </w:r>
            <w:hyperlink w:anchor="Table_11_18__Useful_os_module_fu">
              <w:r>
                <w:rPr>
                  <w:rStyle w:val="Text1"/>
                </w:rPr>
                <w:t>Table 11-18</w:t>
              </w:r>
            </w:hyperlink>
            <w:r>
              <w:t xml:space="preserve">) and the string </w:t>
            </w:r>
            <w:r>
              <w:rPr>
                <w:rStyle w:val="Text3"/>
              </w:rPr>
              <w:t>path</w:t>
            </w:r>
            <w:r>
              <w:t xml:space="preserve"> is the absolute path to the temporary file. The optional arguments </w:t>
            </w:r>
            <w:r>
              <w:rPr>
                <w:rStyle w:val="Text0"/>
              </w:rPr>
              <w:t>suffix</w:t>
            </w:r>
            <w:r>
              <w:t xml:space="preserve">, </w:t>
            </w:r>
            <w:r>
              <w:rPr>
                <w:rStyle w:val="Text0"/>
              </w:rPr>
              <w:t>prefix</w:t>
            </w:r>
            <w:r>
              <w:t xml:space="preserve">, and </w:t>
            </w:r>
            <w:r>
              <w:rPr>
                <w:rStyle w:val="Text0"/>
              </w:rPr>
              <w:t>dir</w:t>
            </w:r>
            <w:r>
              <w:t xml:space="preserve"> are like for the function </w:t>
            </w:r>
            <w:r>
              <w:rPr>
                <w:rStyle w:val="Text0"/>
              </w:rPr>
              <w:t>mkdtemp</w:t>
            </w:r>
            <w:r>
              <w:t xml:space="preserve">. If you want the temporary file to be a text file, explicitly pass the argument </w:t>
            </w:r>
            <w:r>
              <w:rPr>
                <w:rStyle w:val="Text0"/>
              </w:rPr>
              <w:t>text=</w:t>
            </w:r>
            <w:r>
              <w:rPr>
                <w:rStyle w:val="Text5"/>
              </w:rPr>
              <w:t>True</w:t>
            </w:r>
            <w:r>
              <w:t>.</w:t>
              <w:br w:clear="none"/>
              <w:t xml:space="preserve"> Ensuring that the temporary file is removed when you’re done using it is up to you. </w:t>
            </w:r>
            <w:r>
              <w:rPr>
                <w:rStyle w:val="Text0"/>
              </w:rPr>
              <w:t>mkstemp</w:t>
            </w:r>
            <w:r>
              <w:t xml:space="preserve"> is not a context manager, so you can’t use a </w:t>
            </w:r>
            <w:r>
              <w:rPr>
                <w:rStyle w:val="Text5"/>
              </w:rPr>
              <w:t>with</w:t>
            </w:r>
            <w:r>
              <w:t xml:space="preserve"> statement; it’s best to use </w:t>
            </w:r>
            <w:r>
              <w:rPr>
                <w:rStyle w:val="Text5"/>
              </w:rPr>
              <w:t>try</w:t>
            </w:r>
            <w:r>
              <w:rPr>
                <w:rStyle w:val="Text0"/>
              </w:rPr>
              <w:t>/</w:t>
            </w:r>
            <w:r>
              <w:rPr>
                <w:rStyle w:val="Text5"/>
              </w:rPr>
              <w:t>finally</w:t>
            </w:r>
            <w:r>
              <w:t xml:space="preserve"> instead. Here is a typical usage example that creates a temporary text file, closes it, passes its path to another function, and finally ensures the file is removed: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tempfile</w:t>
              <w:br w:clear="none"/>
            </w:r>
            <w:r>
              <w:rPr>
                <w:rStyle w:val="Text13"/>
              </w:rPr>
              <w:t xml:space="preserve">,</w:t>
              <w:br w:clear="none"/>
            </w:r>
            <w:r>
              <w:rPr>
                <w:rStyle w:val="Text6"/>
              </w:rPr>
              <w:t xml:space="preserve"> </w:t>
              <w:br w:clear="none"/>
            </w:r>
            <w:r>
              <w:rPr>
                <w:rStyle w:val="Text20"/>
              </w:rPr>
              <w:t xml:space="preserve">os</w:t>
              <w:br w:clear="none"/>
            </w:r>
            <w:r>
              <w:rPr>
                <w:rStyle w:val="Text6"/>
              </w:rPr>
              <w:t xml:space="preserve"/>
              <w:br w:clear="none"/>
            </w:r>
            <w:r>
              <w:t xml:space="preserve">fd</w:t>
              <w:br w:clear="none"/>
            </w:r>
            <w:r>
              <w:rPr>
                <w:rStyle w:val="Text7"/>
              </w:rPr>
              <w:t xml:space="preserve">,</w:t>
              <w:br w:clear="none"/>
            </w:r>
            <w:r>
              <w:rPr>
                <w:rStyle w:val="Text6"/>
              </w:rPr>
              <w:t xml:space="preserve"> </w:t>
              <w:br w:clear="none"/>
            </w:r>
            <w:r>
              <w:t xml:space="preserve">path</w:t>
              <w:br w:clear="none"/>
            </w:r>
            <w:r>
              <w:rPr>
                <w:rStyle w:val="Text6"/>
              </w:rPr>
              <w:t xml:space="preserve"> </w:t>
              <w:br w:clear="none"/>
            </w:r>
            <w:r>
              <w:rPr>
                <w:rStyle w:val="Text13"/>
              </w:rPr>
              <w:t xml:space="preserve">=</w:t>
              <w:br w:clear="none"/>
            </w:r>
            <w:r>
              <w:rPr>
                <w:rStyle w:val="Text6"/>
              </w:rPr>
              <w:t xml:space="preserve"> </w:t>
              <w:br w:clear="none"/>
            </w:r>
            <w:r>
              <w:t xml:space="preserve">tempfile</w:t>
              <w:br w:clear="none"/>
            </w:r>
            <w:r>
              <w:rPr>
                <w:rStyle w:val="Text13"/>
              </w:rPr>
              <w:t xml:space="preserve">.</w:t>
              <w:br w:clear="none"/>
            </w:r>
            <w:r>
              <w:t xml:space="preserve">mkstemp</w:t>
              <w:br w:clear="none"/>
            </w:r>
            <w:r>
              <w:rPr>
                <w:rStyle w:val="Text7"/>
              </w:rPr>
              <w:t xml:space="preserve">(</w:t>
              <w:br w:clear="none"/>
            </w:r>
            <w:r>
              <w:t xml:space="preserve">suffix</w:t>
              <w:br w:clear="none"/>
            </w:r>
            <w:r>
              <w:rPr>
                <w:rStyle w:val="Text13"/>
              </w:rPr>
              <w:t xml:space="preserve">=</w:t>
              <w:br w:clear="none"/>
            </w:r>
            <w:r>
              <w:rPr>
                <w:rStyle w:val="Text8"/>
              </w:rPr>
              <w:t xml:space="preserve">'</w:t>
              <w:br w:clear="none"/>
              <w:t xml:space="preserve">.txt</w:t>
              <w:br w:clear="none"/>
              <w:t xml:space="preserve">'</w:t>
              <w:br w:clear="none"/>
            </w:r>
            <w:r>
              <w:rPr>
                <w:rStyle w:val="Text7"/>
              </w:rPr>
              <w:t xml:space="preserve">,</w:t>
              <w:br w:clear="none"/>
            </w:r>
            <w:r>
              <w:rPr>
                <w:rStyle w:val="Text6"/>
              </w:rPr>
              <w:t xml:space="preserve"> </w:t>
              <w:br w:clear="none"/>
              <w:t xml:space="preserve"/>
              <w:br w:clear="none"/>
              <w:t xml:space="preserve">                            </w:t>
              <w:br w:clear="none"/>
            </w:r>
            <w:r>
              <w:t xml:space="preserve">text</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os</w:t>
              <w:br w:clear="none"/>
            </w:r>
            <w:r>
              <w:rPr>
                <w:rStyle w:val="Text13"/>
              </w:rPr>
              <w:t xml:space="preserve">.</w:t>
              <w:br w:clear="none"/>
            </w:r>
            <w:r>
              <w:t xml:space="preserve">close</w:t>
              <w:br w:clear="none"/>
            </w:r>
            <w:r>
              <w:rPr>
                <w:rStyle w:val="Text7"/>
              </w:rPr>
              <w:t xml:space="preserve">(</w:t>
              <w:br w:clear="none"/>
            </w:r>
            <w:r>
              <w:t xml:space="preserve">fd</w:t>
              <w:br w:clear="none"/>
            </w:r>
            <w:r>
              <w:rPr>
                <w:rStyle w:val="Text7"/>
              </w:rPr>
              <w:t xml:space="preserve">)</w:t>
              <w:br w:clear="none"/>
            </w:r>
            <w:r>
              <w:rPr>
                <w:rStyle w:val="Text6"/>
              </w:rPr>
              <w:t xml:space="preserve"/>
              <w:br w:clear="none"/>
              <w:t xml:space="preserve">    </w:t>
              <w:br w:clear="none"/>
            </w:r>
            <w:r>
              <w:t xml:space="preserve">use_filepath</w:t>
              <w:br w:clear="none"/>
            </w:r>
            <w:r>
              <w:rPr>
                <w:rStyle w:val="Text7"/>
              </w:rPr>
              <w:t xml:space="preserve">(</w:t>
              <w:br w:clear="none"/>
            </w:r>
            <w:r>
              <w:t xml:space="preserve">path</w:t>
              <w:br w:clear="none"/>
            </w:r>
            <w:r>
              <w:rPr>
                <w:rStyle w:val="Text7"/>
              </w:rPr>
              <w:t xml:space="preserve">)</w:t>
              <w:br w:clear="none"/>
            </w:r>
            <w:r>
              <w:rPr>
                <w:rStyle w:val="Text6"/>
              </w:rPr>
              <w:t xml:space="preserve"/>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t xml:space="preserve">os</w:t>
              <w:br w:clear="none"/>
            </w:r>
            <w:r>
              <w:rPr>
                <w:rStyle w:val="Text13"/>
              </w:rPr>
              <w:t xml:space="preserve">.</w:t>
              <w:br w:clear="none"/>
            </w:r>
            <w:r>
              <w:t xml:space="preserve">unlink</w:t>
              <w:br w:clear="none"/>
            </w:r>
            <w:r>
              <w:rPr>
                <w:rStyle w:val="Text7"/>
              </w:rPr>
              <w:t xml:space="preserve">(</w:t>
              <w:br w:clear="none"/>
            </w:r>
            <w:r>
              <w:t xml:space="preserve">path</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Nam⁠e⁠d​T⁠e⁠m⁠p⁠o⁠r⁠a⁠r⁠y​F⁠i⁠l⁠e</w:t>
            </w:r>
          </w:p>
        </w:tc>
        <w:tc>
          <w:tcPr>
            <w:tcW w:type="auto" w:w="0"/>
            <w:shd w:val="clear" w:color="auto" w:fill="EEF2F6"/>
            <w:tcMar>
              <w:left w:type="dxa" w:w="200"/>
              <w:top w:type="dxa" w:w="200"/>
              <w:right w:type="dxa" w:w="200"/>
              <w:bottom w:type="dxa" w:w="200"/>
            </w:tcMar>
          </w:tcPr>
          <w:p>
            <w:pPr>
              <w:pStyle w:val="Para 002"/>
            </w:pPr>
            <w:r>
              <w:rPr>
                <w:rStyle w:val="Text0"/>
              </w:rPr>
              <w:t>NamedTemporaryFile(mode='w+b', bufsize=-1</w:t>
            </w:r>
            <w:r>
              <w:t>,</w:t>
            </w:r>
            <w:r>
              <w:rPr>
                <w:rStyle w:val="Text0"/>
              </w:rPr>
              <w:t xml:space="preserve"> suffix=</w:t>
            </w:r>
            <w:r>
              <w:rPr>
                <w:rStyle w:val="Text5"/>
              </w:rPr>
              <w:t>None</w:t>
            </w:r>
            <w:r>
              <w:rPr>
                <w:rStyle w:val="Text0"/>
              </w:rPr>
              <w:t>,</w:t>
              <w:br w:clear="none"/>
            </w:r>
            <w:r>
              <w:t xml:space="preserve"> </w:t>
            </w:r>
            <w:r>
              <w:rPr>
                <w:rStyle w:val="Text0"/>
              </w:rPr>
              <w:t>prefix=</w:t>
            </w:r>
            <w:r>
              <w:rPr>
                <w:rStyle w:val="Text5"/>
              </w:rPr>
              <w:t>None</w:t>
            </w:r>
            <w:r>
              <w:rPr>
                <w:rStyle w:val="Text0"/>
              </w:rPr>
              <w:t>, dir=</w:t>
            </w:r>
            <w:r>
              <w:rPr>
                <w:rStyle w:val="Text5"/>
              </w:rPr>
              <w:t>None</w:t>
            </w:r>
            <w:r>
              <w:rPr>
                <w:rStyle w:val="Text0"/>
              </w:rPr>
              <w:t>)</w:t>
              <w:br w:clear="none"/>
            </w:r>
            <w:r>
              <w:t xml:space="preserve"> Like</w:t>
            </w:r>
            <w:r>
              <w:rPr>
                <w:rStyle w:val="Text111"/>
              </w:rPr>
              <w:bookmarkStart w:id="2548" w:name="idm45965205772960"/>
              <w:t/>
              <w:bookmarkEnd w:id="2548"/>
            </w:r>
            <w:r>
              <w:t xml:space="preserve"> </w:t>
            </w:r>
            <w:r>
              <w:rPr>
                <w:rStyle w:val="Text0"/>
              </w:rPr>
              <w:t>TemporaryFile</w:t>
            </w:r>
            <w:r>
              <w:t xml:space="preserve"> (covered later in this table), except that the temporary file does have a name on the filesystem. Use the </w:t>
            </w:r>
            <w:r>
              <w:rPr>
                <w:rStyle w:val="Text0"/>
              </w:rPr>
              <w:t>name</w:t>
            </w:r>
            <w:r>
              <w:t xml:space="preserve"> attribute of the file object to access that name. Some platforms (mainly Windows) do not allow the file to be opened again; therefore, the usefulness of the name is limited if you want to ensure that your program works cross-platform. If you need to pass the temporary file’s name to another program that opens the file, you can use the function </w:t>
            </w:r>
            <w:r>
              <w:rPr>
                <w:rStyle w:val="Text0"/>
              </w:rPr>
              <w:t>mkstemp</w:t>
            </w:r>
            <w:r>
              <w:t xml:space="preserve"> instead of </w:t>
            </w:r>
            <w:r>
              <w:rPr>
                <w:rStyle w:val="Text0"/>
              </w:rPr>
              <w:t>NamedTemporaryFile</w:t>
            </w:r>
            <w:r>
              <w:t xml:space="preserve"> to guarantee correct cross-platform behavior. Of course, when you choose to use </w:t>
            </w:r>
            <w:r>
              <w:rPr>
                <w:rStyle w:val="Text0"/>
              </w:rPr>
              <w:t>mkstemp</w:t>
            </w:r>
            <w:r>
              <w:t xml:space="preserve">, you do have to take care to ensure the file is removed when you’re done with it. The file object returned from </w:t>
            </w:r>
            <w:r>
              <w:rPr>
                <w:rStyle w:val="Text0"/>
              </w:rPr>
              <w:t>NamedTemporaryFile</w:t>
            </w:r>
            <w:r>
              <w:t xml:space="preserve"> is a context manager, so you can use a </w:t>
            </w:r>
            <w:r>
              <w:rPr>
                <w:rStyle w:val="Text0"/>
              </w:rPr>
              <w:t>with</w:t>
            </w:r>
            <w:r>
              <w:t xml:space="preserve"> statement.</w:t>
            </w:r>
          </w:p>
        </w:tc>
      </w:tr>
    </w:tbl>
    <w:tbl>
      <w:tblPr>
        <w:tblW w:type="auto" w:w="0"/>
      </w:tblPr>
      <w:tr>
        <w:tc>
          <w:tcPr>
            <w:tcW w:type="auto" w:w="0"/>
            <w:tcMar>
              <w:left w:type="dxa" w:w="200"/>
              <w:top w:type="dxa" w:w="200"/>
              <w:right w:type="dxa" w:w="200"/>
              <w:bottom w:type="dxa" w:w="200"/>
            </w:tcMar>
          </w:tcPr>
          <w:p>
            <w:pPr>
              <w:pStyle w:val="Para 001"/>
            </w:pPr>
            <w:r>
              <w:t>Spoo⁠l⁠e⁠d​T⁠e⁠m⁠p⁠o⁠r⁠a⁠r⁠y​F⁠i⁠l⁠e</w:t>
            </w:r>
          </w:p>
        </w:tc>
        <w:tc>
          <w:tcPr>
            <w:tcW w:type="auto" w:w="0"/>
            <w:tcMar>
              <w:left w:type="dxa" w:w="200"/>
              <w:top w:type="dxa" w:w="200"/>
              <w:right w:type="dxa" w:w="200"/>
              <w:bottom w:type="dxa" w:w="200"/>
            </w:tcMar>
          </w:tcPr>
          <w:p>
            <w:pPr>
              <w:pStyle w:val="Para 002"/>
            </w:pPr>
            <w:r>
              <w:rPr>
                <w:rStyle w:val="Text0"/>
              </w:rPr>
              <w:t>SpooledTemporaryFile(mode='w+b', bufsize=-1, suffix=</w:t>
            </w:r>
            <w:r>
              <w:rPr>
                <w:rStyle w:val="Text5"/>
              </w:rPr>
              <w:t>None</w:t>
            </w:r>
            <w:r>
              <w:rPr>
                <w:rStyle w:val="Text0"/>
              </w:rPr>
              <w:t>, prefix=</w:t>
            </w:r>
            <w:r>
              <w:rPr>
                <w:rStyle w:val="Text5"/>
              </w:rPr>
              <w:t>None</w:t>
            </w:r>
            <w:r>
              <w:rPr>
                <w:rStyle w:val="Text0"/>
              </w:rPr>
              <w:t>, dir=</w:t>
            </w:r>
            <w:r>
              <w:rPr>
                <w:rStyle w:val="Text5"/>
              </w:rPr>
              <w:t>None</w:t>
            </w:r>
            <w:r>
              <w:rPr>
                <w:rStyle w:val="Text0"/>
              </w:rPr>
              <w:t>)</w:t>
              <w:br w:clear="none"/>
            </w:r>
            <w:r>
              <w:t xml:space="preserve"> Like</w:t>
            </w:r>
            <w:r>
              <w:rPr>
                <w:rStyle w:val="Text111"/>
              </w:rPr>
              <w:bookmarkStart w:id="2549" w:name="idm45965205731696"/>
              <w:t/>
              <w:bookmarkEnd w:id="2549"/>
            </w:r>
            <w:r>
              <w:t xml:space="preserve"> </w:t>
            </w:r>
            <w:r>
              <w:rPr>
                <w:rStyle w:val="Text0"/>
              </w:rPr>
              <w:t>TemporaryFile</w:t>
            </w:r>
            <w:r>
              <w:t xml:space="preserve"> (see below), except that the file object that </w:t>
            </w:r>
            <w:r>
              <w:rPr>
                <w:rStyle w:val="Text0"/>
              </w:rPr>
              <w:t>SpooledTemporaryFile</w:t>
            </w:r>
            <w:r>
              <w:t xml:space="preserve"> returns can stay in memory, if space permits, until you call its </w:t>
            </w:r>
            <w:r>
              <w:rPr>
                <w:rStyle w:val="Text0"/>
              </w:rPr>
              <w:t>fileno</w:t>
            </w:r>
            <w:r>
              <w:t xml:space="preserve"> method (or its </w:t>
            </w:r>
            <w:r>
              <w:rPr>
                <w:rStyle w:val="Text0"/>
              </w:rPr>
              <w:t>rollover</w:t>
            </w:r>
            <w:r>
              <w:t xml:space="preserve"> method, which ensures the file gets written to disk, whatever its size). As a result, performance can be better with </w:t>
            </w:r>
            <w:r>
              <w:rPr>
                <w:rStyle w:val="Text0"/>
              </w:rPr>
              <w:t>SpooledTemporaryFile</w:t>
            </w:r>
            <w:r>
              <w:t>, as long as you have enough memory that’s not otherwise in use.</w:t>
            </w:r>
          </w:p>
        </w:tc>
      </w:tr>
    </w:tbl>
    <w:tbl>
      <w:tblPr>
        <w:tblW w:type="auto" w:w="0"/>
      </w:tblPr>
      <w:tr>
        <w:tc>
          <w:tcPr>
            <w:tcW w:type="auto" w:w="0"/>
            <w:shd w:val="clear" w:color="auto" w:fill="EEF2F6"/>
            <w:tcMar>
              <w:left w:type="dxa" w:w="200"/>
              <w:top w:type="dxa" w:w="200"/>
              <w:right w:type="dxa" w:w="200"/>
              <w:bottom w:type="dxa" w:w="200"/>
            </w:tcMar>
          </w:tcPr>
          <w:p>
            <w:pPr>
              <w:pStyle w:val="Para 001"/>
            </w:pPr>
            <w:r>
              <w:t>TemporaryDirectory</w:t>
            </w:r>
          </w:p>
        </w:tc>
        <w:tc>
          <w:tcPr>
            <w:tcW w:type="auto" w:w="0"/>
            <w:shd w:val="clear" w:color="auto" w:fill="EEF2F6"/>
            <w:tcMar>
              <w:left w:type="dxa" w:w="200"/>
              <w:top w:type="dxa" w:w="200"/>
              <w:right w:type="dxa" w:w="200"/>
              <w:bottom w:type="dxa" w:w="200"/>
            </w:tcMar>
          </w:tcPr>
          <w:p>
            <w:pPr>
              <w:pStyle w:val="Para 002"/>
            </w:pPr>
            <w:r>
              <w:rPr>
                <w:rStyle w:val="Text0"/>
              </w:rPr>
              <w:t>TemporaryDirectory(suffix=None, prefix=</w:t>
            </w:r>
            <w:r>
              <w:rPr>
                <w:rStyle w:val="Text5"/>
              </w:rPr>
              <w:t>None</w:t>
            </w:r>
            <w:r>
              <w:rPr>
                <w:rStyle w:val="Text0"/>
              </w:rPr>
              <w:t>, dir=</w:t>
            </w:r>
            <w:r>
              <w:rPr>
                <w:rStyle w:val="Text5"/>
              </w:rPr>
              <w:t>None</w:t>
            </w:r>
            <w:r>
              <w:rPr>
                <w:rStyle w:val="Text0"/>
              </w:rPr>
              <w:t>, ignore_cleanup_errors=</w:t>
            </w:r>
            <w:r>
              <w:rPr>
                <w:rStyle w:val="Text5"/>
              </w:rPr>
              <w:t>False</w:t>
            </w:r>
            <w:r>
              <w:rPr>
                <w:rStyle w:val="Text0"/>
              </w:rPr>
              <w:t>)</w:t>
              <w:br w:clear="none"/>
            </w:r>
            <w:r>
              <w:t xml:space="preserve"> Creates</w:t>
            </w:r>
            <w:r>
              <w:rPr>
                <w:rStyle w:val="Text111"/>
              </w:rPr>
              <w:bookmarkStart w:id="2550" w:name="idm45965205722944"/>
              <w:t/>
              <w:bookmarkEnd w:id="2550"/>
            </w:r>
            <w:r>
              <w:t xml:space="preserve"> a temporary directory, like </w:t>
            </w:r>
            <w:r>
              <w:rPr>
                <w:rStyle w:val="Text0"/>
              </w:rPr>
              <w:t>mkdtemp</w:t>
            </w:r>
            <w:r>
              <w:t xml:space="preserve"> (passing the optional arguments </w:t>
            </w:r>
            <w:r>
              <w:rPr>
                <w:rStyle w:val="Text0"/>
              </w:rPr>
              <w:t>suffix</w:t>
            </w:r>
            <w:r>
              <w:t xml:space="preserve">, </w:t>
            </w:r>
            <w:r>
              <w:rPr>
                <w:rStyle w:val="Text0"/>
              </w:rPr>
              <w:t>prefix</w:t>
            </w:r>
            <w:r>
              <w:t xml:space="preserve">, and </w:t>
            </w:r>
            <w:r>
              <w:rPr>
                <w:rStyle w:val="Text0"/>
              </w:rPr>
              <w:t>dir</w:t>
            </w:r>
            <w:r>
              <w:t xml:space="preserve">). The returned directory object is a context manager, so you can use a </w:t>
            </w:r>
            <w:r>
              <w:rPr>
                <w:rStyle w:val="Text5"/>
              </w:rPr>
              <w:t>with</w:t>
            </w:r>
            <w:r>
              <w:t xml:space="preserve"> statement to ensure it’s removed as soon as you’re done with it. Alternatively, when you’re not using it as a context manager, use its built-in class method </w:t>
            </w:r>
            <w:r>
              <w:rPr>
                <w:rStyle w:val="Text0"/>
              </w:rPr>
              <w:t>cleanup</w:t>
            </w:r>
            <w:r>
              <w:t xml:space="preserve"> (</w:t>
            </w:r>
            <w:r>
              <w:rPr>
                <w:rStyle w:val="Text4"/>
              </w:rPr>
              <w:t>not</w:t>
            </w:r>
            <w:r>
              <w:t xml:space="preserve"> </w:t>
            </w:r>
            <w:r>
              <w:rPr>
                <w:rStyle w:val="Text0"/>
              </w:rPr>
              <w:t>shutil.rmtree</w:t>
            </w:r>
            <w:r>
              <w:t xml:space="preserve">) to explicitly remove and clean up the directory. Set </w:t>
            </w:r>
            <w:r>
              <w:rPr>
                <w:rStyle w:val="Text0"/>
              </w:rPr>
              <w:t>ignore_cleanup_errors</w:t>
            </w:r>
            <w:r>
              <w:t xml:space="preserve"> to </w:t>
            </w:r>
            <w:r>
              <w:rPr>
                <w:rStyle w:val="Text5"/>
              </w:rPr>
              <w:t>True</w:t>
            </w:r>
            <w:r>
              <w:t xml:space="preserve"> to ignore unhandled exceptions during cleanup. The temporary directory and its contents are removed as soon as the directory object is closed (whether implicitly on garbage collection or explicitly by a </w:t>
            </w:r>
            <w:r>
              <w:rPr>
                <w:rStyle w:val="Text0"/>
              </w:rPr>
              <w:t>cleanup</w:t>
            </w:r>
            <w:r>
              <w:t xml:space="preserve"> call).</w:t>
            </w:r>
          </w:p>
        </w:tc>
      </w:tr>
    </w:tbl>
    <w:tbl>
      <w:tblPr>
        <w:tblW w:type="auto" w:w="0"/>
      </w:tblPr>
      <w:tr>
        <w:tc>
          <w:tcPr>
            <w:tcW w:type="auto" w:w="0"/>
            <w:tcMar>
              <w:left w:type="dxa" w:w="200"/>
              <w:top w:type="dxa" w:w="200"/>
              <w:right w:type="dxa" w:w="200"/>
              <w:bottom w:type="dxa" w:w="200"/>
            </w:tcMar>
          </w:tcPr>
          <w:p>
            <w:pPr>
              <w:pStyle w:val="Para 001"/>
            </w:pPr>
            <w:r>
              <w:t>TemporaryFile</w:t>
            </w:r>
          </w:p>
        </w:tc>
        <w:tc>
          <w:tcPr>
            <w:tcW w:type="auto" w:w="0"/>
            <w:tcMar>
              <w:left w:type="dxa" w:w="200"/>
              <w:top w:type="dxa" w:w="200"/>
              <w:right w:type="dxa" w:w="200"/>
              <w:bottom w:type="dxa" w:w="200"/>
            </w:tcMar>
          </w:tcPr>
          <w:p>
            <w:pPr>
              <w:pStyle w:val="Para 002"/>
            </w:pPr>
            <w:r>
              <w:rPr>
                <w:rStyle w:val="Text0"/>
              </w:rPr>
              <w:t>TemporaryFile(mode='w+b', bufsize=-1, suffix=</w:t>
            </w:r>
            <w:r>
              <w:rPr>
                <w:rStyle w:val="Text5"/>
              </w:rPr>
              <w:t>None</w:t>
            </w:r>
            <w:r>
              <w:rPr>
                <w:rStyle w:val="Text0"/>
              </w:rPr>
              <w:t>,</w:t>
              <w:br w:clear="none"/>
            </w:r>
            <w:r>
              <w:t xml:space="preserve"> </w:t>
            </w:r>
            <w:r>
              <w:rPr>
                <w:rStyle w:val="Text0"/>
              </w:rPr>
              <w:t>prefix=</w:t>
            </w:r>
            <w:r>
              <w:rPr>
                <w:rStyle w:val="Text5"/>
              </w:rPr>
              <w:t>None</w:t>
            </w:r>
            <w:r>
              <w:rPr>
                <w:rStyle w:val="Text0"/>
              </w:rPr>
              <w:t>, dir=</w:t>
            </w:r>
            <w:r>
              <w:rPr>
                <w:rStyle w:val="Text5"/>
              </w:rPr>
              <w:t>None</w:t>
            </w:r>
            <w:r>
              <w:rPr>
                <w:rStyle w:val="Text0"/>
              </w:rPr>
              <w:t>)</w:t>
              <w:br w:clear="none"/>
            </w:r>
            <w:r>
              <w:t xml:space="preserve"> Creates</w:t>
            </w:r>
            <w:r>
              <w:rPr>
                <w:rStyle w:val="Text111"/>
              </w:rPr>
              <w:bookmarkStart w:id="2551" w:name="idm45965205709456"/>
              <w:t/>
              <w:bookmarkEnd w:id="2551"/>
            </w:r>
            <w:r>
              <w:t xml:space="preserve"> a temporary file with </w:t>
            </w:r>
            <w:r>
              <w:rPr>
                <w:rStyle w:val="Text0"/>
              </w:rPr>
              <w:t>mkstemp</w:t>
            </w:r>
            <w:r>
              <w:t xml:space="preserve"> (passing to </w:t>
            </w:r>
            <w:r>
              <w:rPr>
                <w:rStyle w:val="Text0"/>
              </w:rPr>
              <w:t>mkstemp</w:t>
            </w:r>
            <w:r>
              <w:t xml:space="preserve"> the optional arguments </w:t>
            </w:r>
            <w:r>
              <w:rPr>
                <w:rStyle w:val="Text0"/>
              </w:rPr>
              <w:t>suffix</w:t>
            </w:r>
            <w:r>
              <w:t xml:space="preserve">, </w:t>
            </w:r>
            <w:r>
              <w:rPr>
                <w:rStyle w:val="Text0"/>
              </w:rPr>
              <w:t>prefix</w:t>
            </w:r>
            <w:r>
              <w:t xml:space="preserve">, and </w:t>
            </w:r>
            <w:r>
              <w:rPr>
                <w:rStyle w:val="Text0"/>
              </w:rPr>
              <w:t>dir</w:t>
            </w:r>
            <w:r>
              <w:t xml:space="preserve">), makes a file object from it with </w:t>
            </w:r>
            <w:r>
              <w:rPr>
                <w:rStyle w:val="Text0"/>
              </w:rPr>
              <w:t>os.fdopen</w:t>
            </w:r>
            <w:r>
              <w:t xml:space="preserve">, covered in </w:t>
            </w:r>
            <w:hyperlink w:anchor="Table_11_18__Useful_os_module_fu">
              <w:r>
                <w:rPr>
                  <w:rStyle w:val="Text1"/>
                </w:rPr>
                <w:t>Table 11-18</w:t>
              </w:r>
            </w:hyperlink>
            <w:r>
              <w:t xml:space="preserve"> (passing to </w:t>
            </w:r>
            <w:r>
              <w:rPr>
                <w:rStyle w:val="Text0"/>
              </w:rPr>
              <w:t>fdopen</w:t>
            </w:r>
            <w:r>
              <w:t xml:space="preserve"> the optional arguments </w:t>
            </w:r>
            <w:r>
              <w:rPr>
                <w:rStyle w:val="Text0"/>
              </w:rPr>
              <w:t>mode</w:t>
            </w:r>
            <w:r>
              <w:t xml:space="preserve"> and </w:t>
            </w:r>
            <w:r>
              <w:rPr>
                <w:rStyle w:val="Text0"/>
              </w:rPr>
              <w:t>bufsize</w:t>
            </w:r>
            <w:r>
              <w:t xml:space="preserve">), and returns the file object. The temporary file is removed as soon as the file object is closed (implicitly or explicitly). For greater security, the temporary file has no name on the filesystem, if your platform allows that (Unix-like platforms do; Windows doesn’t). The file object returned from </w:t>
            </w:r>
            <w:r>
              <w:rPr>
                <w:rStyle w:val="Text0"/>
              </w:rPr>
              <w:t>TemporaryFile</w:t>
            </w:r>
            <w:r>
              <w:t xml:space="preserve"> is a context manager, so you can use a </w:t>
            </w:r>
            <w:r>
              <w:rPr>
                <w:rStyle w:val="Text5"/>
              </w:rPr>
              <w:t>with</w:t>
            </w:r>
            <w:r>
              <w:t xml:space="preserve"> statement to ensure it’s removed as soon as you’re done with it.</w:t>
            </w:r>
            <w:r>
              <w:rPr>
                <w:rStyle w:val="Text111"/>
              </w:rPr>
              <w:bookmarkStart w:id="2552" w:name="idm45965205699184"/>
              <w:t/>
              <w:bookmarkEnd w:id="2552"/>
              <w:bookmarkStart w:id="2553" w:name="idm45965205697840"/>
              <w:t/>
              <w:bookmarkEnd w:id="2553"/>
              <w:bookmarkStart w:id="2554" w:name="idm45965205696464"/>
              <w:t/>
              <w:bookmarkEnd w:id="2554"/>
            </w:r>
          </w:p>
        </w:tc>
      </w:tr>
    </w:tbl>
    <w:p>
      <w:bookmarkStart w:id="2555" w:name="Auxiliary_Modules_for_File_I_O"/>
      <w:pPr>
        <w:keepNext/>
        <w:pStyle w:val="Heading 1"/>
      </w:pPr>
      <w:r>
        <w:t>Auxiliary Modules for File I/O</w:t>
      </w:r>
      <w:bookmarkEnd w:id="2555"/>
    </w:p>
    <w:p>
      <w:pPr>
        <w:pStyle w:val="Normal"/>
      </w:pPr>
      <w:r>
        <w:t>File objects supply the functionality needed for file I/O. Other Python library modules, however, offer convenient supplementary functionality, making I/O even easier and handier in several important cases. We’ll look at two of those modules here.</w:t>
      </w:r>
    </w:p>
    <w:p>
      <w:bookmarkStart w:id="2556" w:name="The_fileinput_Module__The_filein"/>
      <w:pPr>
        <w:keepNext/>
        <w:pStyle w:val="Heading 2"/>
      </w:pPr>
      <w:r>
        <w:t>The fileinput Module</w:t>
      </w:r>
      <w:bookmarkEnd w:id="2556"/>
    </w:p>
    <w:p>
      <w:pPr>
        <w:pStyle w:val="Normal"/>
      </w:pPr>
      <w:r>
        <w:t>The</w:t>
      </w:r>
      <w:r>
        <w:rPr>
          <w:rStyle w:val="Text111"/>
        </w:rPr>
        <w:bookmarkStart w:id="2557" w:name="FTfileinput11"/>
        <w:t/>
        <w:bookmarkEnd w:id="2557"/>
        <w:bookmarkStart w:id="2558" w:name="fileinput11"/>
        <w:t/>
        <w:bookmarkEnd w:id="2558"/>
        <w:bookmarkStart w:id="2559" w:name="SLMfileinput11"/>
        <w:t/>
        <w:bookmarkEnd w:id="2559"/>
      </w:r>
      <w:r>
        <w:t xml:space="preserve"> </w:t>
      </w:r>
      <w:r>
        <w:rPr>
          <w:rStyle w:val="Text0"/>
        </w:rPr>
        <w:t>fileinput</w:t>
      </w:r>
      <w:r>
        <w:t xml:space="preserve"> module lets you loop over all the lines in a list of text files. Performance is good—comparable to the performance of direct iteration on each file—since buffering is used to minimize I/O. You can therefore use this module for line-oriented file input whenever you find its rich functionality convenient, with no worry about performance. The key function of the module is </w:t>
      </w:r>
      <w:r>
        <w:rPr>
          <w:rStyle w:val="Text0"/>
        </w:rPr>
        <w:t>input</w:t>
      </w:r>
      <w:r>
        <w:t xml:space="preserve">; </w:t>
      </w:r>
      <w:r>
        <w:rPr>
          <w:rStyle w:val="Text0"/>
        </w:rPr>
        <w:t>fileinput</w:t>
      </w:r>
      <w:r>
        <w:t xml:space="preserve"> also supplies a </w:t>
      </w:r>
      <w:r>
        <w:rPr>
          <w:rStyle w:val="Text0"/>
        </w:rPr>
        <w:t>FileInput</w:t>
      </w:r>
      <w:r>
        <w:t xml:space="preserve"> class whose methods support the same functionality. Both are described in </w:t>
      </w:r>
      <w:hyperlink w:anchor="Table_11_4__Key_classes_and_func">
        <w:r>
          <w:rPr>
            <w:rStyle w:val="Text1"/>
          </w:rPr>
          <w:t>Table 11-4</w:t>
        </w:r>
      </w:hyperlink>
      <w:r>
        <w:t>.</w:t>
      </w:r>
    </w:p>
    <w:tbl>
      <w:tblPr>
        <w:tblW w:type="auto" w:w="0"/>
      </w:tblPr>
      <w:tr>
        <w:tc>
          <w:tcPr>
            <w:tcW w:type="auto" w:w="0"/>
            <w:tcMar>
              <w:left w:type="dxa" w:w="200"/>
              <w:top w:type="dxa" w:w="200"/>
              <w:right w:type="dxa" w:w="200"/>
              <w:bottom w:type="dxa" w:w="200"/>
            </w:tcMar>
          </w:tcPr>
          <w:p>
            <w:bookmarkStart w:id="2560" w:name="Table_11_4__Key_classes_and_func"/>
            <w:pPr>
              <w:pStyle w:val="Para 011"/>
            </w:pPr>
            <w:r>
              <w:rPr>
                <w:rStyle w:val="Text117"/>
              </w:rPr>
              <w:t/>
            </w:r>
            <w:r>
              <w:t xml:space="preserve">Table 11-4. </w:t>
              <w:t xml:space="preserve">Key classes and functions of the </w:t>
            </w:r>
            <w:r>
              <w:rPr>
                <w:rStyle w:val="Text0"/>
              </w:rPr>
              <w:t>fileinput</w:t>
            </w:r>
            <w:r>
              <w:t xml:space="preserve"> module</w:t>
            </w:r>
            <w:bookmarkEnd w:id="2560"/>
          </w:p>
          <w:p>
            <w:pPr>
              <w:pStyle w:val="Para 001"/>
            </w:pPr>
            <w:r>
              <w:t>FileInput</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FileInput(files=</w:t>
            </w:r>
            <w:r>
              <w:rPr>
                <w:rStyle w:val="Text5"/>
              </w:rPr>
              <w:t>None</w:t>
            </w:r>
            <w:r>
              <w:rPr>
                <w:rStyle w:val="Text0"/>
              </w:rPr>
              <w:t>, inplace=</w:t>
            </w:r>
            <w:r>
              <w:rPr>
                <w:rStyle w:val="Text5"/>
              </w:rPr>
              <w:t>False</w:t>
            </w:r>
            <w:r>
              <w:rPr>
                <w:rStyle w:val="Text0"/>
              </w:rPr>
              <w:t>, backup='', mode='r', openhook=</w:t>
            </w:r>
            <w:r>
              <w:rPr>
                <w:rStyle w:val="Text5"/>
              </w:rPr>
              <w:t>None</w:t>
            </w:r>
            <w:r>
              <w:rPr>
                <w:rStyle w:val="Text0"/>
              </w:rPr>
              <w:t>, encoding=</w:t>
            </w:r>
            <w:r>
              <w:rPr>
                <w:rStyle w:val="Text5"/>
              </w:rPr>
              <w:t>None</w:t>
            </w:r>
            <w:r>
              <w:rPr>
                <w:rStyle w:val="Text0"/>
              </w:rPr>
              <w:t>, errors=</w:t>
            </w:r>
            <w:r>
              <w:rPr>
                <w:rStyle w:val="Text5"/>
              </w:rPr>
              <w:t>None</w:t>
            </w:r>
            <w:r>
              <w:rPr>
                <w:rStyle w:val="Text0"/>
              </w:rPr>
              <w:t>)</w:t>
              <w:br w:clear="none"/>
            </w:r>
            <w:r>
              <w:t xml:space="preserve"> Creates</w:t>
            </w:r>
            <w:r>
              <w:rPr>
                <w:rStyle w:val="Text111"/>
              </w:rPr>
              <w:bookmarkStart w:id="2561" w:name="idm45965205673936"/>
              <w:t/>
              <w:bookmarkEnd w:id="2561"/>
            </w:r>
            <w:r>
              <w:t xml:space="preserve"> and returns an instance </w:t>
            </w:r>
            <w:r>
              <w:rPr>
                <w:rStyle w:val="Text3"/>
              </w:rPr>
              <w:t>f</w:t>
            </w:r>
            <w:r>
              <w:t xml:space="preserve"> of class </w:t>
            </w:r>
            <w:r>
              <w:rPr>
                <w:rStyle w:val="Text0"/>
              </w:rPr>
              <w:t>FileInput</w:t>
            </w:r>
            <w:r>
              <w:t xml:space="preserve">. The arguments are the same as for </w:t>
            </w:r>
            <w:r>
              <w:rPr>
                <w:rStyle w:val="Text0"/>
              </w:rPr>
              <w:t>fileinput.input</w:t>
            </w:r>
            <w:r>
              <w:t xml:space="preserve"> covered next, and methods of </w:t>
            </w:r>
            <w:r>
              <w:rPr>
                <w:rStyle w:val="Text3"/>
              </w:rPr>
              <w:t>f</w:t>
            </w:r>
            <w:r>
              <w:t xml:space="preserve"> have the same names, arguments, and semantics as the other functions of the </w:t>
            </w:r>
            <w:r>
              <w:rPr>
                <w:rStyle w:val="Text0"/>
              </w:rPr>
              <w:t>fileinput</w:t>
            </w:r>
            <w:r>
              <w:t xml:space="preserve"> module (see </w:t>
            </w:r>
            <w:hyperlink w:anchor="Table_11_5__Additional_functions">
              <w:r>
                <w:rPr>
                  <w:rStyle w:val="Text1"/>
                </w:rPr>
                <w:t>Table 11-5</w:t>
              </w:r>
            </w:hyperlink>
            <w:r>
              <w:t xml:space="preserve">). </w:t>
            </w:r>
            <w:r>
              <w:rPr>
                <w:rStyle w:val="Text3"/>
              </w:rPr>
              <w:t>f</w:t>
            </w:r>
            <w:r>
              <w:t xml:space="preserve"> also supplies a </w:t>
            </w:r>
            <w:r>
              <w:rPr>
                <w:rStyle w:val="Text0"/>
              </w:rPr>
              <w:t>readline</w:t>
            </w:r>
            <w:r>
              <w:t xml:space="preserve"> method, which reads and returns the next line. Use the </w:t>
            </w:r>
            <w:r>
              <w:rPr>
                <w:rStyle w:val="Text0"/>
              </w:rPr>
              <w:t>FileInput</w:t>
            </w:r>
            <w:r>
              <w:t xml:space="preserve"> class to nest or mix loops that read lines from multiple sequences of files.</w:t>
            </w:r>
          </w:p>
        </w:tc>
      </w:tr>
    </w:tbl>
    <w:tbl>
      <w:tblPr>
        <w:tblW w:type="auto" w:w="0"/>
      </w:tblPr>
      <w:tr>
        <w:tc>
          <w:tcPr>
            <w:tcW w:type="auto" w:w="0"/>
            <w:shd w:val="clear" w:color="auto" w:fill="EEF2F6"/>
            <w:tcMar>
              <w:left w:type="dxa" w:w="200"/>
              <w:top w:type="dxa" w:w="200"/>
              <w:right w:type="dxa" w:w="200"/>
              <w:bottom w:type="dxa" w:w="200"/>
            </w:tcMar>
          </w:tcPr>
          <w:p>
            <w:pPr>
              <w:pStyle w:val="Para 001"/>
            </w:pPr>
            <w:r>
              <w:t>input</w:t>
            </w:r>
          </w:p>
        </w:tc>
        <w:tc>
          <w:tcPr>
            <w:tcW w:type="auto" w:w="0"/>
            <w:shd w:val="clear" w:color="auto" w:fill="EEF2F6"/>
            <w:tcMar>
              <w:left w:type="dxa" w:w="200"/>
              <w:top w:type="dxa" w:w="200"/>
              <w:right w:type="dxa" w:w="200"/>
              <w:bottom w:type="dxa" w:w="200"/>
            </w:tcMar>
          </w:tcPr>
          <w:p>
            <w:pPr>
              <w:pStyle w:val="Para 002"/>
            </w:pPr>
            <w:r>
              <w:rPr>
                <w:rStyle w:val="Text0"/>
              </w:rPr>
              <w:t>input(files=None, inplace=</w:t>
            </w:r>
            <w:r>
              <w:rPr>
                <w:rStyle w:val="Text5"/>
              </w:rPr>
              <w:t>False</w:t>
            </w:r>
            <w:r>
              <w:rPr>
                <w:rStyle w:val="Text0"/>
              </w:rPr>
              <w:t>, backup='', mode='r',</w:t>
              <w:br w:clear="none"/>
              <w:t xml:space="preserve"> openhook=</w:t>
            </w:r>
            <w:r>
              <w:rPr>
                <w:rStyle w:val="Text5"/>
              </w:rPr>
              <w:t>None</w:t>
            </w:r>
            <w:r>
              <w:rPr>
                <w:rStyle w:val="Text0"/>
              </w:rPr>
              <w:t>, encoding=</w:t>
            </w:r>
            <w:r>
              <w:rPr>
                <w:rStyle w:val="Text5"/>
              </w:rPr>
              <w:t>None</w:t>
            </w:r>
            <w:r>
              <w:rPr>
                <w:rStyle w:val="Text0"/>
              </w:rPr>
              <w:t>, errors=</w:t>
            </w:r>
            <w:r>
              <w:rPr>
                <w:rStyle w:val="Text5"/>
              </w:rPr>
              <w:t>None</w:t>
            </w:r>
            <w:r>
              <w:rPr>
                <w:rStyle w:val="Text0"/>
              </w:rPr>
              <w:t>)</w:t>
              <w:br w:clear="none"/>
            </w:r>
            <w:r>
              <w:t xml:space="preserve"> Returns</w:t>
            </w:r>
            <w:r>
              <w:rPr>
                <w:rStyle w:val="Text111"/>
              </w:rPr>
              <w:bookmarkStart w:id="2562" w:name="idm45965205659696"/>
              <w:t/>
              <w:bookmarkEnd w:id="2562"/>
            </w:r>
            <w:r>
              <w:t xml:space="preserve"> an instance of </w:t>
            </w:r>
            <w:r>
              <w:rPr>
                <w:rStyle w:val="Text0"/>
              </w:rPr>
              <w:t>FileInput</w:t>
            </w:r>
            <w:r>
              <w:t xml:space="preserve">, an iterable yielding lines in </w:t>
            </w:r>
            <w:r>
              <w:rPr>
                <w:rStyle w:val="Text0"/>
              </w:rPr>
              <w:t>files</w:t>
            </w:r>
            <w:r>
              <w:t xml:space="preserve">; that instance is the global state, so all other functions of the </w:t>
            </w:r>
            <w:r>
              <w:rPr>
                <w:rStyle w:val="Text0"/>
              </w:rPr>
              <w:t>fileinput</w:t>
            </w:r>
            <w:r>
              <w:t xml:space="preserve"> module (see </w:t>
            </w:r>
            <w:hyperlink w:anchor="Table_11_5__Additional_functions">
              <w:r>
                <w:rPr>
                  <w:rStyle w:val="Text1"/>
                </w:rPr>
                <w:t>Table 11-5</w:t>
              </w:r>
            </w:hyperlink>
            <w:r>
              <w:t xml:space="preserve">) operate on the same shared state. Each function of the </w:t>
            </w:r>
            <w:r>
              <w:rPr>
                <w:rStyle w:val="Text0"/>
              </w:rPr>
              <w:t>fileinput</w:t>
            </w:r>
            <w:r>
              <w:t xml:space="preserve"> module corresponds directly to a method of the class </w:t>
            </w:r>
            <w:r>
              <w:rPr>
                <w:rStyle w:val="Text0"/>
              </w:rPr>
              <w:t>FileInput</w:t>
            </w:r>
            <w:r>
              <w:t>.</w:t>
              <w:br w:clear="none"/>
              <w:t xml:space="preserve"> </w:t>
            </w:r>
            <w:r>
              <w:rPr>
                <w:rStyle w:val="Text0"/>
              </w:rPr>
              <w:t>files</w:t>
            </w:r>
            <w:r>
              <w:t xml:space="preserve"> is a sequence of filenames to open and read one after the other, in order. When </w:t>
            </w:r>
            <w:r>
              <w:rPr>
                <w:rStyle w:val="Text0"/>
              </w:rPr>
              <w:t>files</w:t>
            </w:r>
            <w:r>
              <w:t xml:space="preserve"> is a string, it’s a single filename to open and read. When </w:t>
            </w:r>
            <w:r>
              <w:rPr>
                <w:rStyle w:val="Text0"/>
              </w:rPr>
              <w:t>files</w:t>
            </w:r>
            <w:r>
              <w:t xml:space="preserve"> is </w:t>
            </w:r>
            <w:r>
              <w:rPr>
                <w:rStyle w:val="Text5"/>
              </w:rPr>
              <w:t>None</w:t>
            </w:r>
            <w:r>
              <w:t xml:space="preserve">, </w:t>
            </w:r>
            <w:r>
              <w:rPr>
                <w:rStyle w:val="Text0"/>
              </w:rPr>
              <w:t>input</w:t>
            </w:r>
            <w:r>
              <w:t xml:space="preserve"> uses </w:t>
            </w:r>
            <w:r>
              <w:rPr>
                <w:rStyle w:val="Text0"/>
              </w:rPr>
              <w:t>sys.argv[1:]</w:t>
            </w:r>
            <w:r>
              <w:t xml:space="preserve"> as the list of filenames. The filename </w:t>
            </w:r>
            <w:r>
              <w:rPr>
                <w:rStyle w:val="Text0"/>
              </w:rPr>
              <w:t>'-'</w:t>
            </w:r>
            <w:r>
              <w:t xml:space="preserve"> means standard input (</w:t>
            </w:r>
            <w:r>
              <w:rPr>
                <w:rStyle w:val="Text0"/>
              </w:rPr>
              <w:t>sys.stdin</w:t>
            </w:r>
            <w:r>
              <w:t xml:space="preserve">). When the sequence of filenames is empty, </w:t>
            </w:r>
            <w:r>
              <w:rPr>
                <w:rStyle w:val="Text0"/>
              </w:rPr>
              <w:t>input</w:t>
            </w:r>
            <w:r>
              <w:t xml:space="preserve"> reads </w:t>
            </w:r>
            <w:r>
              <w:rPr>
                <w:rStyle w:val="Text0"/>
              </w:rPr>
              <w:t>sys.stdin</w:t>
            </w:r>
            <w:r>
              <w:t xml:space="preserve"> instead.</w:t>
              <w:br w:clear="none"/>
              <w:t xml:space="preserve"> When </w:t>
            </w:r>
            <w:r>
              <w:rPr>
                <w:rStyle w:val="Text0"/>
              </w:rPr>
              <w:t>inplace</w:t>
            </w:r>
            <w:r>
              <w:t xml:space="preserve"> is </w:t>
            </w:r>
            <w:r>
              <w:rPr>
                <w:rStyle w:val="Text5"/>
              </w:rPr>
              <w:t>False</w:t>
            </w:r>
            <w:r>
              <w:t xml:space="preserve"> (the default), </w:t>
            </w:r>
            <w:r>
              <w:rPr>
                <w:rStyle w:val="Text0"/>
              </w:rPr>
              <w:t>input</w:t>
            </w:r>
            <w:r>
              <w:t xml:space="preserve"> just reads the files. When </w:t>
            </w:r>
            <w:r>
              <w:rPr>
                <w:rStyle w:val="Text0"/>
              </w:rPr>
              <w:t>inplace</w:t>
            </w:r>
            <w:r>
              <w:t xml:space="preserve"> is </w:t>
            </w:r>
            <w:r>
              <w:rPr>
                <w:rStyle w:val="Text5"/>
              </w:rPr>
              <w:t>True</w:t>
            </w:r>
            <w:r>
              <w:t xml:space="preserve">, </w:t>
            </w:r>
            <w:r>
              <w:rPr>
                <w:rStyle w:val="Text0"/>
              </w:rPr>
              <w:t>input</w:t>
            </w:r>
            <w:r>
              <w:t xml:space="preserve"> moves each file being read (except standard input) to a backup file and redirects standard output (</w:t>
            </w:r>
            <w:r>
              <w:rPr>
                <w:rStyle w:val="Text0"/>
              </w:rPr>
              <w:t>sys.stdout</w:t>
            </w:r>
            <w:r>
              <w:t xml:space="preserve">) to write to a new file with the same path as the original one of the file being read. This way, you can simulate overwriting files in place. If </w:t>
            </w:r>
            <w:r>
              <w:rPr>
                <w:rStyle w:val="Text0"/>
              </w:rPr>
              <w:t>backup</w:t>
            </w:r>
            <w:r>
              <w:t xml:space="preserve"> is a string that starts with a dot, </w:t>
            </w:r>
            <w:r>
              <w:rPr>
                <w:rStyle w:val="Text0"/>
              </w:rPr>
              <w:t>input</w:t>
            </w:r>
            <w:r>
              <w:t xml:space="preserve"> uses </w:t>
            </w:r>
            <w:r>
              <w:rPr>
                <w:rStyle w:val="Text0"/>
              </w:rPr>
              <w:t>backup</w:t>
            </w:r>
            <w:r>
              <w:t xml:space="preserve"> as the extension of the backup files and does not remove the backup files. If </w:t>
            </w:r>
            <w:r>
              <w:rPr>
                <w:rStyle w:val="Text0"/>
              </w:rPr>
              <w:t>backup</w:t>
            </w:r>
            <w:r>
              <w:t xml:space="preserve"> is an empty string (the default), </w:t>
            </w:r>
            <w:r>
              <w:rPr>
                <w:rStyle w:val="Text0"/>
              </w:rPr>
              <w:t>input</w:t>
            </w:r>
            <w:r>
              <w:t xml:space="preserve"> uses </w:t>
            </w:r>
            <w:r>
              <w:rPr>
                <w:rStyle w:val="Text4"/>
              </w:rPr>
              <w:t>.bak</w:t>
            </w:r>
            <w:r>
              <w:t xml:space="preserve"> and deletes each backup file as the input files are closed. The keyword argument </w:t>
            </w:r>
            <w:r>
              <w:rPr>
                <w:rStyle w:val="Text0"/>
              </w:rPr>
              <w:t>mode</w:t>
            </w:r>
            <w:r>
              <w:t xml:space="preserve"> may be </w:t>
            </w:r>
            <w:r>
              <w:rPr>
                <w:rStyle w:val="Text0"/>
              </w:rPr>
              <w:t>'r'</w:t>
            </w:r>
            <w:r>
              <w:t xml:space="preserve">, the default, or </w:t>
            </w:r>
            <w:r>
              <w:rPr>
                <w:rStyle w:val="Text0"/>
              </w:rPr>
              <w:t>'rb'</w:t>
            </w:r>
            <w:r>
              <w:t>.</w:t>
              <w:br w:clear="none"/>
              <w:t xml:space="preserve"> You may optionally pass an </w:t>
            </w:r>
            <w:r>
              <w:rPr>
                <w:rStyle w:val="Text0"/>
              </w:rPr>
              <w:t>openhook</w:t>
            </w:r>
            <w:r>
              <w:t xml:space="preserve"> function to use as an alternative to </w:t>
            </w:r>
            <w:r>
              <w:rPr>
                <w:rStyle w:val="Text0"/>
              </w:rPr>
              <w:t>io.open</w:t>
            </w:r>
            <w:r>
              <w:t xml:space="preserve">. For example, </w:t>
            </w:r>
            <w:r>
              <w:rPr>
                <w:rStyle w:val="Text0"/>
              </w:rPr>
              <w:t>openhook=fileinput.hook_compressed</w:t>
            </w:r>
            <w:r>
              <w:t xml:space="preserve"> decompresses any input file with extension </w:t>
            </w:r>
            <w:r>
              <w:rPr>
                <w:rStyle w:val="Text4"/>
              </w:rPr>
              <w:t>.gz</w:t>
            </w:r>
            <w:r>
              <w:t xml:space="preserve"> or </w:t>
            </w:r>
            <w:r>
              <w:rPr>
                <w:rStyle w:val="Text4"/>
              </w:rPr>
              <w:t>.bz2</w:t>
            </w:r>
            <w:r>
              <w:t xml:space="preserve"> (not compatible with </w:t>
            </w:r>
            <w:r>
              <w:rPr>
                <w:rStyle w:val="Text0"/>
              </w:rPr>
              <w:t>inplace=</w:t>
            </w:r>
            <w:r>
              <w:rPr>
                <w:rStyle w:val="Text5"/>
              </w:rPr>
              <w:t>True</w:t>
            </w:r>
            <w:r>
              <w:t xml:space="preserve">). You can write your own </w:t>
            </w:r>
            <w:r>
              <w:rPr>
                <w:rStyle w:val="Text0"/>
              </w:rPr>
              <w:t>openhook</w:t>
            </w:r>
            <w:r>
              <w:t xml:space="preserve"> function to decompress other file types, for example using LZMA decompression</w:t>
            </w:r>
            <w:hyperlink w:anchor="a_LZMA_support_may_require_build">
              <w:r>
                <w:rPr>
                  <w:rStyle w:val="Text41"/>
                </w:rPr>
                <w:bookmarkStart w:id="2563" w:name="a_8"/>
                <w:t>a</w:t>
                <w:bookmarkEnd w:id="2563"/>
              </w:r>
            </w:hyperlink>
            <w:r>
              <w:t xml:space="preserve"> for </w:t>
            </w:r>
            <w:r>
              <w:rPr>
                <w:rStyle w:val="Text4"/>
              </w:rPr>
              <w:t>.xz</w:t>
            </w:r>
            <w:r>
              <w:t xml:space="preserve"> files; use the </w:t>
            </w:r>
            <w:hyperlink r:id="rId347">
              <w:r>
                <w:rPr>
                  <w:rStyle w:val="Text1"/>
                </w:rPr>
                <w:t xml:space="preserve">Python source for </w:t>
              </w:r>
            </w:hyperlink>
            <w:hyperlink r:id="rId347">
              <w:r>
                <w:rPr>
                  <w:rStyle w:val="Text30"/>
                </w:rPr>
                <w:t>fileinput.hook_compressed</w:t>
              </w:r>
            </w:hyperlink>
            <w:r>
              <w:t xml:space="preserve"> as a template. </w:t>
            </w:r>
            <w:r>
              <w:rPr>
                <w:rStyle w:val="Text34"/>
              </w:rPr>
              <w:t>3.10+</w:t>
            </w:r>
            <w:r>
              <w:t xml:space="preserve"> You can also pass </w:t>
            </w:r>
            <w:r>
              <w:rPr>
                <w:rStyle w:val="Text0"/>
              </w:rPr>
              <w:t>encoding</w:t>
            </w:r>
            <w:r>
              <w:t xml:space="preserve"> and </w:t>
            </w:r>
            <w:r>
              <w:rPr>
                <w:rStyle w:val="Text0"/>
              </w:rPr>
              <w:t>errors</w:t>
            </w:r>
            <w:r>
              <w:t>, which will be passed to the hook as keyword arguments .</w:t>
            </w:r>
          </w:p>
        </w:tc>
      </w:tr>
    </w:tbl>
    <w:tbl>
      <w:tblPr>
        <w:tblW w:type="auto" w:w="0"/>
      </w:tblPr>
      <w:tr>
        <w:tc>
          <w:tcPr>
            <w:tcW w:type="auto" w:w="0"/>
            <w:tcMar>
              <w:left w:type="dxa" w:w="200"/>
              <w:top w:type="dxa" w:w="200"/>
              <w:right w:type="dxa" w:w="200"/>
              <w:bottom w:type="dxa" w:w="200"/>
            </w:tcMar>
            <w:hMerge w:val="restart"/>
          </w:tcPr>
          <w:p>
            <w:bookmarkStart w:id="2564" w:name="a_LZMA_support_may_require_build"/>
            <w:pPr>
              <w:pStyle w:val="Para 036"/>
            </w:pPr>
            <w:hyperlink w:anchor="a_8">
              <w:r>
                <w:rPr>
                  <w:rStyle w:val="Text1"/>
                </w:rPr>
                <w:t>a</w:t>
              </w:r>
            </w:hyperlink>
            <w:r>
              <w:t xml:space="preserve"> LZMA support may require building Python with optional additional libraries.</w:t>
            </w:r>
            <w:bookmarkEnd w:id="2564"/>
          </w:p>
        </w:tc>
        <w:tc>
          <w:tcPr>
            <w:hMerge w:val="continue"/>
          </w:tcPr>
          <w:p/>
        </w:tc>
      </w:tr>
    </w:tbl>
    <w:p>
      <w:pPr>
        <w:pStyle w:val="Normal"/>
      </w:pPr>
      <w:r>
        <w:t xml:space="preserve">The functions of the </w:t>
      </w:r>
      <w:r>
        <w:rPr>
          <w:rStyle w:val="Text0"/>
        </w:rPr>
        <w:t>fileinput</w:t>
      </w:r>
      <w:r>
        <w:t xml:space="preserve"> module listed in </w:t>
      </w:r>
      <w:hyperlink w:anchor="Table_11_5__Additional_functions">
        <w:r>
          <w:rPr>
            <w:rStyle w:val="Text1"/>
          </w:rPr>
          <w:t>Table 11-5</w:t>
        </w:r>
      </w:hyperlink>
      <w:r>
        <w:t xml:space="preserve"> work on the global state created by </w:t>
      </w:r>
      <w:r>
        <w:rPr>
          <w:rStyle w:val="Text0"/>
        </w:rPr>
        <w:t>fileinput.input</w:t>
      </w:r>
      <w:r>
        <w:t xml:space="preserve">, if any; otherwise, they raise </w:t>
      </w:r>
      <w:r>
        <w:rPr>
          <w:rStyle w:val="Text0"/>
        </w:rPr>
        <w:t>RuntimeError</w:t>
      </w:r>
      <w:r>
        <w:t>.</w:t>
      </w:r>
    </w:p>
    <w:tbl>
      <w:tblPr>
        <w:tblW w:type="auto" w:w="0"/>
      </w:tblPr>
      <w:tr>
        <w:tc>
          <w:tcPr>
            <w:tcW w:type="pct" w:w="1000"/>
            <w:tcMar>
              <w:left w:type="dxa" w:w="200"/>
              <w:top w:type="dxa" w:w="200"/>
              <w:right w:type="dxa" w:w="200"/>
              <w:bottom w:type="dxa" w:w="200"/>
            </w:tcMar>
          </w:tcPr>
          <w:p>
            <w:bookmarkStart w:id="2565" w:name="Table_11_5__Additional_functions"/>
            <w:pPr>
              <w:pStyle w:val="Para 011"/>
            </w:pPr>
            <w:r>
              <w:rPr>
                <w:rStyle w:val="Text117"/>
              </w:rPr>
              <w:t/>
            </w:r>
            <w:r>
              <w:t xml:space="preserve">Table 11-5. </w:t>
              <w:t xml:space="preserve">Additional functions of the </w:t>
            </w:r>
            <w:r>
              <w:rPr>
                <w:rStyle w:val="Text0"/>
              </w:rPr>
              <w:t>fileinput</w:t>
            </w:r>
            <w:r>
              <w:t xml:space="preserve"> module</w:t>
            </w:r>
            <w:bookmarkEnd w:id="2565"/>
          </w:p>
          <w:p>
            <w:pPr>
              <w:pStyle w:val="Para 001"/>
            </w:pPr>
            <w:r>
              <w:t>close</w:t>
            </w:r>
          </w:p>
        </w:tc>
        <w:tc>
          <w:tcPr>
            <w:tcW w:type="auto" w:w="0"/>
            <w:tcMar>
              <w:left w:type="dxa" w:w="200"/>
              <w:top w:type="dxa" w:w="200"/>
              <w:right w:type="dxa" w:w="200"/>
              <w:bottom w:type="dxa" w:w="200"/>
            </w:tcMar>
          </w:tcPr>
          <w:p>
            <w:pPr>
              <w:pStyle w:val="Para 002"/>
            </w:pPr>
            <w:r>
              <w:rPr>
                <w:rStyle w:val="Text0"/>
              </w:rPr>
              <w:t>close()</w:t>
              <w:br w:clear="none"/>
            </w:r>
            <w:r>
              <w:t xml:space="preserve"> Closes</w:t>
            </w:r>
            <w:r>
              <w:rPr>
                <w:rStyle w:val="Text111"/>
              </w:rPr>
              <w:bookmarkStart w:id="2566" w:name="idm45965205615296"/>
              <w:t/>
              <w:bookmarkEnd w:id="2566"/>
            </w:r>
            <w:r>
              <w:t xml:space="preserve"> the whole sequence so that iteration stops and no file remains open.</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filelineno</w:t>
            </w:r>
          </w:p>
        </w:tc>
        <w:tc>
          <w:tcPr>
            <w:tcW w:type="auto" w:w="0"/>
            <w:shd w:val="clear" w:color="auto" w:fill="EEF2F6"/>
            <w:tcMar>
              <w:left w:type="dxa" w:w="200"/>
              <w:top w:type="dxa" w:w="200"/>
              <w:right w:type="dxa" w:w="200"/>
              <w:bottom w:type="dxa" w:w="200"/>
            </w:tcMar>
          </w:tcPr>
          <w:p>
            <w:pPr>
              <w:pStyle w:val="Para 002"/>
            </w:pPr>
            <w:r>
              <w:rPr>
                <w:rStyle w:val="Text0"/>
              </w:rPr>
              <w:t>filelineno()</w:t>
              <w:br w:clear="none"/>
            </w:r>
            <w:r>
              <w:t xml:space="preserve"> Returns</w:t>
            </w:r>
            <w:r>
              <w:rPr>
                <w:rStyle w:val="Text111"/>
              </w:rPr>
              <w:bookmarkStart w:id="2567" w:name="idm45965205611456"/>
              <w:t/>
              <w:bookmarkEnd w:id="2567"/>
            </w:r>
            <w:r>
              <w:t xml:space="preserve"> the number of lines read so far from the file now being read. For example, returns </w:t>
            </w:r>
            <w:r>
              <w:rPr>
                <w:rStyle w:val="Text0"/>
              </w:rPr>
              <w:t>1</w:t>
            </w:r>
            <w:r>
              <w:t xml:space="preserve"> if the first line has just been read from the current file.</w:t>
            </w:r>
          </w:p>
        </w:tc>
      </w:tr>
    </w:tbl>
    <w:tbl>
      <w:tblPr>
        <w:tblW w:type="auto" w:w="0"/>
      </w:tblPr>
      <w:tr>
        <w:tc>
          <w:tcPr>
            <w:tcW w:type="auto" w:w="0"/>
            <w:tcMar>
              <w:left w:type="dxa" w:w="200"/>
              <w:top w:type="dxa" w:w="200"/>
              <w:right w:type="dxa" w:w="200"/>
              <w:bottom w:type="dxa" w:w="200"/>
            </w:tcMar>
          </w:tcPr>
          <w:p>
            <w:pPr>
              <w:pStyle w:val="Para 001"/>
            </w:pPr>
            <w:r>
              <w:t>filename</w:t>
            </w:r>
          </w:p>
        </w:tc>
        <w:tc>
          <w:tcPr>
            <w:tcW w:type="auto" w:w="0"/>
            <w:tcMar>
              <w:left w:type="dxa" w:w="200"/>
              <w:top w:type="dxa" w:w="200"/>
              <w:right w:type="dxa" w:w="200"/>
              <w:bottom w:type="dxa" w:w="200"/>
            </w:tcMar>
          </w:tcPr>
          <w:p>
            <w:pPr>
              <w:pStyle w:val="Para 002"/>
            </w:pPr>
            <w:r>
              <w:rPr>
                <w:rStyle w:val="Text0"/>
              </w:rPr>
              <w:t>filename()</w:t>
              <w:br w:clear="none"/>
            </w:r>
            <w:r>
              <w:t xml:space="preserve"> Returns</w:t>
            </w:r>
            <w:r>
              <w:rPr>
                <w:rStyle w:val="Text111"/>
              </w:rPr>
              <w:bookmarkStart w:id="2568" w:name="idm45965205607056"/>
              <w:t/>
              <w:bookmarkEnd w:id="2568"/>
            </w:r>
            <w:r>
              <w:t xml:space="preserve"> the name of the file now being read, or </w:t>
            </w:r>
            <w:r>
              <w:rPr>
                <w:rStyle w:val="Text5"/>
              </w:rPr>
              <w:t>None</w:t>
            </w:r>
            <w:r>
              <w:t xml:space="preserve"> if no line has been read yet.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isfirstline</w:t>
            </w:r>
          </w:p>
        </w:tc>
        <w:tc>
          <w:tcPr>
            <w:tcW w:type="auto" w:w="0"/>
            <w:shd w:val="clear" w:color="auto" w:fill="EEF2F6"/>
            <w:tcMar>
              <w:left w:type="dxa" w:w="200"/>
              <w:top w:type="dxa" w:w="200"/>
              <w:right w:type="dxa" w:w="200"/>
              <w:bottom w:type="dxa" w:w="200"/>
            </w:tcMar>
          </w:tcPr>
          <w:p>
            <w:pPr>
              <w:pStyle w:val="Para 001"/>
            </w:pPr>
            <w:r>
              <w:t>isfirstline()</w:t>
              <w:br w:clear="none"/>
            </w:r>
            <w:r>
              <w:rPr>
                <w:rStyle w:val="Text12"/>
              </w:rPr>
              <w:t xml:space="preserve"> Returns</w:t>
            </w:r>
            <w:r>
              <w:rPr>
                <w:rStyle w:val="Text115"/>
              </w:rPr>
              <w:bookmarkStart w:id="2569" w:name="idm45965205602176"/>
              <w:t/>
              <w:bookmarkEnd w:id="2569"/>
            </w:r>
            <w:r>
              <w:rPr>
                <w:rStyle w:val="Text12"/>
              </w:rPr>
              <w:t xml:space="preserve"> </w:t>
            </w:r>
            <w:r>
              <w:rPr>
                <w:rStyle w:val="Text5"/>
              </w:rPr>
              <w:t>True</w:t>
            </w:r>
            <w:r>
              <w:rPr>
                <w:rStyle w:val="Text12"/>
              </w:rPr>
              <w:t xml:space="preserve"> or </w:t>
            </w:r>
            <w:r>
              <w:rPr>
                <w:rStyle w:val="Text5"/>
              </w:rPr>
              <w:t>False</w:t>
            </w:r>
            <w:r>
              <w:rPr>
                <w:rStyle w:val="Text12"/>
              </w:rPr>
              <w:t xml:space="preserve">, just like </w:t>
            </w:r>
            <w:r>
              <w:t>filelineno() == 1</w:t>
            </w:r>
            <w:r>
              <w:rPr>
                <w:rStyle w:val="Text12"/>
              </w:rPr>
              <w:t>.</w:t>
            </w:r>
          </w:p>
        </w:tc>
      </w:tr>
    </w:tbl>
    <w:tbl>
      <w:tblPr>
        <w:tblW w:type="auto" w:w="0"/>
      </w:tblPr>
      <w:tr>
        <w:tc>
          <w:tcPr>
            <w:tcW w:type="auto" w:w="0"/>
            <w:tcMar>
              <w:left w:type="dxa" w:w="200"/>
              <w:top w:type="dxa" w:w="200"/>
              <w:right w:type="dxa" w:w="200"/>
              <w:bottom w:type="dxa" w:w="200"/>
            </w:tcMar>
          </w:tcPr>
          <w:p>
            <w:pPr>
              <w:pStyle w:val="Para 001"/>
            </w:pPr>
            <w:r>
              <w:t>isstdin</w:t>
            </w:r>
          </w:p>
        </w:tc>
        <w:tc>
          <w:tcPr>
            <w:tcW w:type="auto" w:w="0"/>
            <w:tcMar>
              <w:left w:type="dxa" w:w="200"/>
              <w:top w:type="dxa" w:w="200"/>
              <w:right w:type="dxa" w:w="200"/>
              <w:bottom w:type="dxa" w:w="200"/>
            </w:tcMar>
          </w:tcPr>
          <w:p>
            <w:pPr>
              <w:pStyle w:val="Para 002"/>
            </w:pPr>
            <w:r>
              <w:rPr>
                <w:rStyle w:val="Text0"/>
              </w:rPr>
              <w:t>isstdin()</w:t>
              <w:br w:clear="none"/>
            </w:r>
            <w:r>
              <w:t xml:space="preserve"> Returns</w:t>
            </w:r>
            <w:r>
              <w:rPr>
                <w:rStyle w:val="Text111"/>
              </w:rPr>
              <w:bookmarkStart w:id="2570" w:name="idm45965205595984"/>
              <w:t/>
              <w:bookmarkEnd w:id="2570"/>
            </w:r>
            <w:r>
              <w:t xml:space="preserve"> </w:t>
            </w:r>
            <w:r>
              <w:rPr>
                <w:rStyle w:val="Text5"/>
              </w:rPr>
              <w:t>True</w:t>
            </w:r>
            <w:r>
              <w:t xml:space="preserve"> when the current file being read is </w:t>
            </w:r>
            <w:r>
              <w:rPr>
                <w:rStyle w:val="Text0"/>
              </w:rPr>
              <w:t>sys.stdin</w:t>
            </w:r>
            <w:r>
              <w:t xml:space="preserv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lineno</w:t>
            </w:r>
          </w:p>
        </w:tc>
        <w:tc>
          <w:tcPr>
            <w:tcW w:type="auto" w:w="0"/>
            <w:shd w:val="clear" w:color="auto" w:fill="EEF2F6"/>
            <w:tcMar>
              <w:left w:type="dxa" w:w="200"/>
              <w:top w:type="dxa" w:w="200"/>
              <w:right w:type="dxa" w:w="200"/>
              <w:bottom w:type="dxa" w:w="200"/>
            </w:tcMar>
          </w:tcPr>
          <w:p>
            <w:pPr>
              <w:pStyle w:val="Para 002"/>
            </w:pPr>
            <w:r>
              <w:rPr>
                <w:rStyle w:val="Text0"/>
              </w:rPr>
              <w:t>lineno()</w:t>
              <w:br w:clear="none"/>
            </w:r>
            <w:r>
              <w:t xml:space="preserve"> Returns</w:t>
            </w:r>
            <w:r>
              <w:rPr>
                <w:rStyle w:val="Text111"/>
              </w:rPr>
              <w:bookmarkStart w:id="2571" w:name="idm45965205590064"/>
              <w:t/>
              <w:bookmarkEnd w:id="2571"/>
            </w:r>
            <w:r>
              <w:t xml:space="preserve"> the total number of lines read since the call to </w:t>
            </w:r>
            <w:r>
              <w:rPr>
                <w:rStyle w:val="Text0"/>
              </w:rPr>
              <w:t>input</w:t>
            </w:r>
            <w:r>
              <w:t>.</w:t>
            </w:r>
          </w:p>
        </w:tc>
      </w:tr>
    </w:tbl>
    <w:tbl>
      <w:tblPr>
        <w:tblW w:type="auto" w:w="0"/>
      </w:tblPr>
      <w:tr>
        <w:tc>
          <w:tcPr>
            <w:tcW w:type="auto" w:w="0"/>
            <w:tcMar>
              <w:left w:type="dxa" w:w="200"/>
              <w:top w:type="dxa" w:w="200"/>
              <w:right w:type="dxa" w:w="200"/>
              <w:bottom w:type="dxa" w:w="200"/>
            </w:tcMar>
          </w:tcPr>
          <w:p>
            <w:pPr>
              <w:pStyle w:val="Para 001"/>
            </w:pPr>
            <w:r>
              <w:t>nextfile</w:t>
            </w:r>
          </w:p>
        </w:tc>
        <w:tc>
          <w:tcPr>
            <w:tcW w:type="auto" w:w="0"/>
            <w:tcMar>
              <w:left w:type="dxa" w:w="200"/>
              <w:top w:type="dxa" w:w="200"/>
              <w:right w:type="dxa" w:w="200"/>
              <w:bottom w:type="dxa" w:w="200"/>
            </w:tcMar>
          </w:tcPr>
          <w:p>
            <w:pPr>
              <w:pStyle w:val="Para 002"/>
            </w:pPr>
            <w:r>
              <w:rPr>
                <w:rStyle w:val="Text0"/>
              </w:rPr>
              <w:t>nextfile()</w:t>
              <w:br w:clear="none"/>
            </w:r>
            <w:r>
              <w:t xml:space="preserve"> Closes</w:t>
            </w:r>
            <w:r>
              <w:rPr>
                <w:rStyle w:val="Text111"/>
              </w:rPr>
              <w:bookmarkStart w:id="2572" w:name="idm45965205585568"/>
              <w:t/>
              <w:bookmarkEnd w:id="2572"/>
            </w:r>
            <w:r>
              <w:t xml:space="preserve"> the file being read: the next line to read is the first one of the next file.</w:t>
            </w:r>
          </w:p>
        </w:tc>
      </w:tr>
    </w:tbl>
    <w:p>
      <w:pPr>
        <w:pStyle w:val="Normal"/>
      </w:pPr>
      <w:r>
        <w:t xml:space="preserve">Here’s a typical example of using </w:t>
      </w:r>
      <w:r>
        <w:rPr>
          <w:rStyle w:val="Text0"/>
        </w:rPr>
        <w:t>fileinput</w:t>
      </w:r>
      <w:r>
        <w:t xml:space="preserve"> for a “multifile search and replace,” changing one string into another throughout the text files whose names were passed as command-line arguments to the script: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fileinput</w:t>
        <w:br w:clear="none"/>
      </w:r>
      <w:r>
        <w:rPr>
          <w:rStyle w:val="Text6"/>
        </w:rPr>
        <w:t xml:space="preserve"/>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r>
      <w:r>
        <w:t xml:space="preserve">inplace</w:t>
        <w:br w:clear="none"/>
      </w:r>
      <w:r>
        <w:rPr>
          <w:rStyle w:val="Text13"/>
        </w:rPr>
        <w:t xml:space="preserve">=</w:t>
        <w:br w:clear="none"/>
      </w:r>
      <w:r>
        <w:rPr>
          <w:rStyle w:val="Text10"/>
        </w:rPr>
        <w:t xml:space="preserve">True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w:t>
        <w:br w:clear="none"/>
      </w:r>
      <w:r>
        <w:rPr>
          <w:rStyle w:val="Text13"/>
        </w:rPr>
        <w:t xml:space="preserve">.</w:t>
        <w:br w:clear="none"/>
      </w:r>
      <w:r>
        <w:t xml:space="preserve">replace</w:t>
        <w:br w:clear="none"/>
      </w:r>
      <w:r>
        <w:rPr>
          <w:rStyle w:val="Text7"/>
        </w:rPr>
        <w:t xml:space="preserve">(</w:t>
        <w:br w:clear="none"/>
      </w:r>
      <w:r>
        <w:rPr>
          <w:rStyle w:val="Text8"/>
        </w:rPr>
        <w:t xml:space="preserve">'</w:t>
        <w:br w:clear="none"/>
        <w:t xml:space="preserve">foo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bar</w:t>
        <w:br w:clear="none"/>
        <w:t xml:space="preserve">'</w:t>
        <w:br w:clear="none"/>
      </w:r>
      <w:r>
        <w:rPr>
          <w:rStyle w:val="Text7"/>
        </w:rPr>
        <w:t xml:space="preserve">)</w:t>
        <w:br w:clear="none"/>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p>
      <w:pPr>
        <w:pStyle w:val="Normal"/>
      </w:pPr>
      <w:r>
        <w:t xml:space="preserve">In such cases it’s important to include the </w:t>
      </w:r>
      <w:r>
        <w:rPr>
          <w:rStyle w:val="Text0"/>
        </w:rPr>
        <w:t>end=''</w:t>
      </w:r>
      <w:r>
        <w:t xml:space="preserve"> argument to </w:t>
      </w:r>
      <w:r>
        <w:rPr>
          <w:rStyle w:val="Text0"/>
        </w:rPr>
        <w:t>print</w:t>
      </w:r>
      <w:r>
        <w:t xml:space="preserve">, since each </w:t>
      </w:r>
      <w:r>
        <w:rPr>
          <w:rStyle w:val="Text0"/>
        </w:rPr>
        <w:t>line</w:t>
      </w:r>
      <w:r>
        <w:t xml:space="preserve"> has its line-end character </w:t>
      </w:r>
      <w:r>
        <w:rPr>
          <w:rStyle w:val="Text0"/>
        </w:rPr>
        <w:t>\n</w:t>
      </w:r>
      <w:r>
        <w:t xml:space="preserve"> at the end, and you need to ensure that </w:t>
      </w:r>
      <w:r>
        <w:rPr>
          <w:rStyle w:val="Text0"/>
        </w:rPr>
        <w:t>print</w:t>
      </w:r>
      <w:r>
        <w:t xml:space="preserve"> doesn’t add another (or else each file would end up “double-spaced”).</w:t>
      </w:r>
    </w:p>
    <w:p>
      <w:pPr>
        <w:pStyle w:val="Normal"/>
      </w:pPr>
      <w:r>
        <w:t xml:space="preserve">You may also use the </w:t>
      </w:r>
      <w:r>
        <w:rPr>
          <w:rStyle w:val="Text0"/>
        </w:rPr>
        <w:t>FileInput</w:t>
      </w:r>
      <w:r>
        <w:t xml:space="preserve"> instance returned by </w:t>
      </w:r>
      <w:r>
        <w:rPr>
          <w:rStyle w:val="Text0"/>
        </w:rPr>
        <w:t>fileinput.input</w:t>
      </w:r>
      <w:r>
        <w:t xml:space="preserve"> as a context manager. Just as with </w:t>
      </w:r>
      <w:r>
        <w:rPr>
          <w:rStyle w:val="Text0"/>
        </w:rPr>
        <w:t>io.open</w:t>
      </w:r>
      <w:r>
        <w:t xml:space="preserve">, this will close all files opened by the </w:t>
      </w:r>
      <w:r>
        <w:rPr>
          <w:rStyle w:val="Text0"/>
        </w:rPr>
        <w:t>FileInput</w:t>
      </w:r>
      <w:r>
        <w:t xml:space="preserve"> upon exiting the </w:t>
      </w:r>
      <w:r>
        <w:rPr>
          <w:rStyle w:val="Text5"/>
        </w:rPr>
        <w:t>with</w:t>
      </w:r>
      <w:r>
        <w:t xml:space="preserve"> statement, even if an exception</w:t>
      </w:r>
      <w:r>
        <w:rPr>
          <w:rStyle w:val="Text111"/>
        </w:rPr>
        <w:bookmarkStart w:id="2573" w:name="idm45965205539904"/>
        <w:t/>
        <w:bookmarkEnd w:id="2573"/>
        <w:bookmarkStart w:id="2574" w:name="idm45965205509824"/>
        <w:t/>
        <w:bookmarkEnd w:id="2574"/>
        <w:bookmarkStart w:id="2575" w:name="idm45965205508448"/>
        <w:t/>
        <w:bookmarkEnd w:id="2575"/>
      </w:r>
      <w:r>
        <w:t xml:space="preserve"> occurs:</w:t>
      </w:r>
    </w:p>
    <w:p>
      <w:pPr>
        <w:pStyle w:val="Para 007"/>
      </w:pPr>
      <w:r>
        <w:rPr>
          <w:rStyle w:val="Text23"/>
        </w:rPr>
        <w:t xml:space="preserve"/>
        <w:br w:clear="none"/>
      </w:r>
      <w:r>
        <w:rPr>
          <w:rStyle w:val="Text10"/>
        </w:rPr>
        <w:t xml:space="preserve">with</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r>
      <w:r>
        <w:rPr>
          <w:rStyle w:val="Text8"/>
        </w:rPr>
        <w:t xml:space="preserve">'</w:t>
        <w:br w:clear="none"/>
        <w:t xml:space="preserve">file1.txt</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file2.txt</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infile</w:t>
        <w:br w:clear="none"/>
      </w:r>
      <w:r>
        <w:rPr>
          <w:rStyle w:val="Text7"/>
        </w:rPr>
        <w:t xml:space="preserve">:</w:t>
        <w:br w:clear="none"/>
      </w:r>
      <w:r>
        <w:rPr>
          <w:rStyle w:val="Text6"/>
        </w:rPr>
        <w:t xml:space="preserve"/>
        <w:br w:clear="none"/>
        <w:t xml:space="preserve">    </w:t>
        <w:br w:clear="none"/>
      </w:r>
      <w:r>
        <w:t xml:space="preserve">dostuff</w:t>
        <w:br w:clear="none"/>
      </w:r>
      <w:r>
        <w:rPr>
          <w:rStyle w:val="Text7"/>
        </w:rPr>
        <w:t xml:space="preserve">(</w:t>
        <w:br w:clear="none"/>
      </w:r>
      <w:r>
        <w:t xml:space="preserve">infile</w:t>
        <w:br w:clear="none"/>
      </w:r>
      <w:r>
        <w:rPr>
          <w:rStyle w:val="Text7"/>
        </w:rPr>
        <w:t xml:space="preserve">)</w:t>
        <w:br w:clear="none"/>
      </w:r>
    </w:p>
    <w:p>
      <w:bookmarkStart w:id="2576" w:name="The_struct_Module__The_struct_mo"/>
      <w:pPr>
        <w:keepNext/>
        <w:pStyle w:val="Heading 2"/>
      </w:pPr>
      <w:r>
        <w:t>The struct Module</w:t>
      </w:r>
      <w:bookmarkEnd w:id="2576"/>
    </w:p>
    <w:p>
      <w:pPr>
        <w:pStyle w:val="Normal"/>
      </w:pPr>
      <w:r>
        <w:t>The</w:t>
      </w:r>
      <w:r>
        <w:rPr>
          <w:rStyle w:val="Text111"/>
        </w:rPr>
        <w:bookmarkStart w:id="2577" w:name="FTstruct11"/>
        <w:t/>
        <w:bookmarkEnd w:id="2577"/>
        <w:bookmarkStart w:id="2578" w:name="strct11"/>
        <w:t/>
        <w:bookmarkEnd w:id="2578"/>
        <w:bookmarkStart w:id="2579" w:name="SLMstruct11"/>
        <w:t/>
        <w:bookmarkEnd w:id="2579"/>
      </w:r>
      <w:r>
        <w:t xml:space="preserve"> </w:t>
      </w:r>
      <w:r>
        <w:rPr>
          <w:rStyle w:val="Text0"/>
        </w:rPr>
        <w:t>struct</w:t>
      </w:r>
      <w:r>
        <w:t xml:space="preserve"> module lets you pack binary data into a bytestring, and unpack the bytes of such a bytestring back into the Python data they represent. This is useful for many kinds of low-level programming. Often, you use </w:t>
      </w:r>
      <w:r>
        <w:rPr>
          <w:rStyle w:val="Text0"/>
        </w:rPr>
        <w:t>struct</w:t>
      </w:r>
      <w:r>
        <w:t xml:space="preserve"> to interpret data records from binary files that have some specified format, or to prepare records to write to such binary files. The module’s name comes from C’s keyword </w:t>
      </w:r>
      <w:r>
        <w:rPr>
          <w:rStyle w:val="Text0"/>
        </w:rPr>
        <w:t>struct</w:t>
      </w:r>
      <w:r>
        <w:t xml:space="preserve">, which is usable for related purposes. On any error, functions of the module </w:t>
      </w:r>
      <w:r>
        <w:rPr>
          <w:rStyle w:val="Text0"/>
        </w:rPr>
        <w:t>struct</w:t>
      </w:r>
      <w:r>
        <w:t xml:space="preserve"> raise exceptions that are instances of the exception class </w:t>
      </w:r>
      <w:r>
        <w:rPr>
          <w:rStyle w:val="Text0"/>
        </w:rPr>
        <w:t>struct.error</w:t>
      </w:r>
      <w:r>
        <w:t>.</w:t>
      </w:r>
    </w:p>
    <w:p>
      <w:pPr>
        <w:pStyle w:val="Normal"/>
      </w:pPr>
      <w:r>
        <w:t xml:space="preserve">The </w:t>
      </w:r>
      <w:r>
        <w:rPr>
          <w:rStyle w:val="Text0"/>
        </w:rPr>
        <w:t>struct</w:t>
      </w:r>
      <w:r>
        <w:t xml:space="preserve"> module relies on</w:t>
      </w:r>
      <w:r>
        <w:rPr>
          <w:rStyle w:val="Text111"/>
        </w:rPr>
        <w:bookmarkStart w:id="2580" w:name="idm45965205451520"/>
        <w:t/>
        <w:bookmarkEnd w:id="2580"/>
      </w:r>
      <w:r>
        <w:t xml:space="preserve"> </w:t>
      </w:r>
      <w:r>
        <w:rPr>
          <w:rStyle w:val="Text4"/>
        </w:rPr>
        <w:t>struct format strings</w:t>
      </w:r>
      <w:r>
        <w:t xml:space="preserve"> following a specific syntax. The first character of a format string gives the </w:t>
      </w:r>
      <w:hyperlink r:id="rId348">
        <w:r>
          <w:rPr>
            <w:rStyle w:val="Text1"/>
          </w:rPr>
          <w:t>byte order</w:t>
        </w:r>
      </w:hyperlink>
      <w:r>
        <w:t xml:space="preserve">, size, and alignment of the packed data; the options are listed in </w:t>
      </w:r>
      <w:hyperlink w:anchor="Table_11_6__Possible_first_chara">
        <w:r>
          <w:rPr>
            <w:rStyle w:val="Text1"/>
          </w:rPr>
          <w:t>Table 11-6</w:t>
        </w:r>
      </w:hyperlink>
      <w:r>
        <w:t>.</w:t>
      </w:r>
    </w:p>
    <w:tbl>
      <w:tblPr>
        <w:tblW w:type="auto" w:w="0"/>
      </w:tblPr>
      <w:tr>
        <w:tc>
          <w:tcPr>
            <w:tcW w:type="auto" w:w="0"/>
            <w:tcMar>
              <w:left w:type="dxa" w:w="200"/>
              <w:top w:type="dxa" w:w="200"/>
              <w:right w:type="dxa" w:w="200"/>
              <w:bottom w:type="dxa" w:w="200"/>
            </w:tcMar>
            <w:vAlign w:val="center"/>
          </w:tcPr>
          <w:p>
            <w:bookmarkStart w:id="2581" w:name="Table_11_6__Possible_first_chara"/>
            <w:pPr>
              <w:pStyle w:val="Para 011"/>
            </w:pPr>
            <w:r>
              <w:rPr>
                <w:rStyle w:val="Text117"/>
              </w:rPr>
              <w:t/>
            </w:r>
            <w:r>
              <w:t xml:space="preserve">Table 11-6. </w:t>
              <w:t xml:space="preserve">Possible first characters in a </w:t>
            </w:r>
            <w:r>
              <w:rPr>
                <w:rStyle w:val="Text0"/>
              </w:rPr>
              <w:t>struct</w:t>
            </w:r>
            <w:r>
              <w:t xml:space="preserve"> format string</w:t>
            </w:r>
            <w:bookmarkEnd w:id="2581"/>
          </w:p>
          <w:p>
            <w:pPr>
              <w:pStyle w:val="Para 013"/>
            </w:pPr>
            <w:r>
              <w:t>Character</w:t>
            </w:r>
          </w:p>
        </w:tc>
        <w:tc>
          <w:tcPr>
            <w:tcW w:type="auto" w:w="0"/>
            <w:tcMar>
              <w:left w:type="dxa" w:w="200"/>
              <w:top w:type="dxa" w:w="200"/>
              <w:right w:type="dxa" w:w="200"/>
              <w:bottom w:type="dxa" w:w="200"/>
            </w:tcMar>
            <w:vAlign w:val="center"/>
          </w:tcPr>
          <w:p>
            <w:pPr>
              <w:pStyle w:val="Para 013"/>
            </w:pPr>
            <w:r>
              <w:t>Meaning</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Native</w:t>
            </w:r>
            <w:r>
              <w:rPr>
                <w:rStyle w:val="Text111"/>
              </w:rPr>
              <w:bookmarkStart w:id="2582" w:name="idm45965205442784"/>
              <w:t/>
              <w:bookmarkEnd w:id="2582"/>
              <w:bookmarkStart w:id="2583" w:name="idm45965205441408"/>
              <w:t/>
              <w:bookmarkEnd w:id="2583"/>
            </w:r>
            <w:r>
              <w:t xml:space="preserve"> byte order, native data sizes, and native alignment for the current platform; this is the default if the first character is none of the characters listed here (note that the format </w:t>
            </w:r>
            <w:r>
              <w:rPr>
                <w:rStyle w:val="Text0"/>
              </w:rPr>
              <w:t>P</w:t>
            </w:r>
            <w:r>
              <w:t xml:space="preserve"> in </w:t>
            </w:r>
            <w:hyperlink w:anchor="Table_11_7__Common_format_charac">
              <w:r>
                <w:rPr>
                  <w:rStyle w:val="Text1"/>
                </w:rPr>
                <w:t>Table 11-7</w:t>
              </w:r>
            </w:hyperlink>
            <w:r>
              <w:t xml:space="preserve"> is available only for this kind of </w:t>
            </w:r>
            <w:r>
              <w:rPr>
                <w:rStyle w:val="Text0"/>
              </w:rPr>
              <w:t>struct</w:t>
            </w:r>
            <w:r>
              <w:t xml:space="preserve"> format string). Look at the string </w:t>
            </w:r>
            <w:r>
              <w:rPr>
                <w:rStyle w:val="Text0"/>
              </w:rPr>
              <w:t>sys.byteorder</w:t>
            </w:r>
            <w:r>
              <w:t xml:space="preserve"> when you need to check your system’s byte order; most CPUs today use </w:t>
            </w:r>
            <w:r>
              <w:rPr>
                <w:rStyle w:val="Text0"/>
              </w:rPr>
              <w:t>'little'</w:t>
            </w:r>
            <w:r>
              <w:t xml:space="preserve">, but </w:t>
            </w:r>
            <w:r>
              <w:rPr>
                <w:rStyle w:val="Text0"/>
              </w:rPr>
              <w:t>'big'</w:t>
            </w:r>
            <w:r>
              <w:t xml:space="preserve"> is the “network standard” for TCP/IP, the core protocols of the internet.</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Native</w:t>
            </w:r>
            <w:r>
              <w:rPr>
                <w:rStyle w:val="Text111"/>
              </w:rPr>
              <w:bookmarkStart w:id="2584" w:name="idm45965205433696"/>
              <w:t/>
              <w:bookmarkEnd w:id="2584"/>
              <w:bookmarkStart w:id="2585" w:name="idm45965205432288"/>
              <w:t/>
              <w:bookmarkEnd w:id="2585"/>
            </w:r>
            <w:r>
              <w:t xml:space="preserve"> byte order for the current platform, but standard size and alignment.</w:t>
            </w:r>
          </w:p>
        </w:tc>
      </w:tr>
    </w:tbl>
    <w:tbl>
      <w:tblPr>
        <w:tblW w:type="auto" w:w="0"/>
      </w:tblPr>
      <w:tr>
        <w:tc>
          <w:tcPr>
            <w:tcW w:type="auto" w:w="0"/>
            <w:tcMar>
              <w:left w:type="dxa" w:w="200"/>
              <w:top w:type="dxa" w:w="200"/>
              <w:right w:type="dxa" w:w="200"/>
              <w:bottom w:type="dxa" w:w="200"/>
            </w:tcMar>
          </w:tcPr>
          <w:p>
            <w:pPr>
              <w:pStyle w:val="Para 001"/>
            </w:pPr>
            <w:r>
              <w:t>&lt;</w:t>
            </w:r>
          </w:p>
        </w:tc>
        <w:tc>
          <w:tcPr>
            <w:tcW w:type="auto" w:w="0"/>
            <w:tcMar>
              <w:left w:type="dxa" w:w="200"/>
              <w:top w:type="dxa" w:w="200"/>
              <w:right w:type="dxa" w:w="200"/>
              <w:bottom w:type="dxa" w:w="200"/>
            </w:tcMar>
          </w:tcPr>
          <w:p>
            <w:pPr>
              <w:pStyle w:val="Para 002"/>
            </w:pPr>
            <w:r>
              <w:t>Little-endian</w:t>
            </w:r>
            <w:r>
              <w:rPr>
                <w:rStyle w:val="Text111"/>
              </w:rPr>
              <w:bookmarkStart w:id="2586" w:name="idm45965205429072"/>
              <w:t/>
              <w:bookmarkEnd w:id="2586"/>
              <w:bookmarkStart w:id="2587" w:name="idm45965205427968"/>
              <w:t/>
              <w:bookmarkEnd w:id="2587"/>
            </w:r>
            <w:r>
              <w:t xml:space="preserve"> byte order; standard size and alignment.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&gt;</w:t>
            </w:r>
            <w:r>
              <w:rPr>
                <w:rStyle w:val="Text12"/>
              </w:rPr>
              <w:t xml:space="preserve">, </w:t>
            </w:r>
            <w:r>
              <w:t>!</w:t>
            </w:r>
          </w:p>
        </w:tc>
        <w:tc>
          <w:tcPr>
            <w:tcW w:type="auto" w:w="0"/>
            <w:shd w:val="clear" w:color="auto" w:fill="EEF2F6"/>
            <w:tcMar>
              <w:left w:type="dxa" w:w="200"/>
              <w:top w:type="dxa" w:w="200"/>
              <w:right w:type="dxa" w:w="200"/>
              <w:bottom w:type="dxa" w:w="200"/>
            </w:tcMar>
          </w:tcPr>
          <w:p>
            <w:pPr>
              <w:pStyle w:val="Para 002"/>
            </w:pPr>
            <w:r>
              <w:t>Big-endian/network</w:t>
            </w:r>
            <w:r>
              <w:rPr>
                <w:rStyle w:val="Text111"/>
              </w:rPr>
              <w:bookmarkStart w:id="2588" w:name="idm45965205424336"/>
              <w:t/>
              <w:bookmarkEnd w:id="2588"/>
              <w:bookmarkStart w:id="2589" w:name="idm45965205423232"/>
              <w:t/>
              <w:bookmarkEnd w:id="2589"/>
            </w:r>
            <w:r>
              <w:t xml:space="preserve"> standard byte order; standard size and alignment.</w:t>
            </w:r>
          </w:p>
        </w:tc>
      </w:tr>
    </w:tbl>
    <w:p>
      <w:pPr>
        <w:pStyle w:val="Normal"/>
      </w:pPr>
      <w:r>
        <w:t xml:space="preserve">Standard sizes are indicated in </w:t>
      </w:r>
      <w:hyperlink w:anchor="Table_11_7__Common_format_charac">
        <w:r>
          <w:rPr>
            <w:rStyle w:val="Text1"/>
          </w:rPr>
          <w:t>Table 11-7</w:t>
        </w:r>
      </w:hyperlink>
      <w:r>
        <w:t>. Standard alignment means no forced alignment, with explicit padding bytes used as needed. Native sizes and alignment are whatever the platform’s C compiler uses. Native byte order can put the most significant byte at either the lowest (big-endian) or highest (little-endian) address, depending on the platform.</w:t>
      </w:r>
    </w:p>
    <w:p>
      <w:pPr>
        <w:pStyle w:val="Normal"/>
      </w:pPr>
      <w:r>
        <w:t xml:space="preserve">After the optional first character, a format string is made up of one or more format characters, each optionally preceded by a count (an integer represented by decimal digits). Common format characters are listed in </w:t>
      </w:r>
      <w:hyperlink w:anchor="Table_11_7__Common_format_charac">
        <w:r>
          <w:rPr>
            <w:rStyle w:val="Text1"/>
          </w:rPr>
          <w:t>Table 11-7</w:t>
        </w:r>
      </w:hyperlink>
      <w:r>
        <w:t xml:space="preserve">; see the </w:t>
      </w:r>
      <w:hyperlink r:id="rId349">
        <w:r>
          <w:rPr>
            <w:rStyle w:val="Text1"/>
          </w:rPr>
          <w:t>online docs</w:t>
        </w:r>
      </w:hyperlink>
      <w:r>
        <w:t xml:space="preserve"> for a complete list. For most format characters, the count means repetition (e.g., </w:t>
      </w:r>
      <w:r>
        <w:rPr>
          <w:rStyle w:val="Text0"/>
        </w:rPr>
        <w:t>'3h'</w:t>
      </w:r>
      <w:r>
        <w:t xml:space="preserve"> is exactly the same as </w:t>
      </w:r>
      <w:r>
        <w:rPr>
          <w:rStyle w:val="Text0"/>
        </w:rPr>
        <w:t>'hhh'</w:t>
      </w:r>
      <w:r>
        <w:t xml:space="preserve">). When the format character is </w:t>
      </w:r>
      <w:r>
        <w:rPr>
          <w:rStyle w:val="Text0"/>
        </w:rPr>
        <w:t>s</w:t>
      </w:r>
      <w:r>
        <w:t xml:space="preserve"> or </w:t>
      </w:r>
      <w:r>
        <w:rPr>
          <w:rStyle w:val="Text0"/>
        </w:rPr>
        <w:t>p</w:t>
      </w:r>
      <w:r>
        <w:t xml:space="preserve">—that is, a bytestring—the count is not a repetition: it’s the total number of bytes in the string. You can freely use whitespace between formats, but not between a count and its format character. The format </w:t>
      </w:r>
      <w:r>
        <w:rPr>
          <w:rStyle w:val="Text0"/>
        </w:rPr>
        <w:t>s</w:t>
      </w:r>
      <w:r>
        <w:t xml:space="preserve"> means a fixed-length bytestring as long as its count (the Python string is truncated, or padded with copies of the null byte </w:t>
      </w:r>
      <w:r>
        <w:rPr>
          <w:rStyle w:val="Text0"/>
        </w:rPr>
        <w:t>b'\0'</w:t>
      </w:r>
      <w:r>
        <w:t xml:space="preserve">, if needed). The format </w:t>
      </w:r>
      <w:r>
        <w:rPr>
          <w:rStyle w:val="Text0"/>
        </w:rPr>
        <w:t>p</w:t>
      </w:r>
      <w:r>
        <w:t xml:space="preserve"> means a “Pascal-like” bytestring: the first byte is the number of significant bytes that follow, and the actual contents start from the second byte. The count is the total number of bytes, including the length byte.</w:t>
      </w:r>
    </w:p>
    <w:tbl>
      <w:tblPr>
        <w:tblW w:type="auto" w:w="0"/>
      </w:tblPr>
      <w:tr>
        <w:tc>
          <w:tcPr>
            <w:tcW w:type="auto" w:w="0"/>
            <w:tcMar>
              <w:left w:type="dxa" w:w="200"/>
              <w:top w:type="dxa" w:w="200"/>
              <w:right w:type="dxa" w:w="200"/>
              <w:bottom w:type="dxa" w:w="200"/>
            </w:tcMar>
            <w:vAlign w:val="center"/>
          </w:tcPr>
          <w:p>
            <w:bookmarkStart w:id="2590" w:name="Table_11_7__Common_format_charac"/>
            <w:pPr>
              <w:pStyle w:val="Para 011"/>
            </w:pPr>
            <w:r>
              <w:rPr>
                <w:rStyle w:val="Text117"/>
              </w:rPr>
              <w:t/>
            </w:r>
            <w:r>
              <w:t xml:space="preserve">Table 11-7. </w:t>
              <w:t xml:space="preserve">Common format characters for </w:t>
            </w:r>
            <w:r>
              <w:rPr>
                <w:rStyle w:val="Text0"/>
              </w:rPr>
              <w:t>struct</w:t>
            </w:r>
            <w:bookmarkEnd w:id="2590"/>
          </w:p>
          <w:p>
            <w:pPr>
              <w:pStyle w:val="Para 013"/>
            </w:pPr>
            <w:r>
              <w:t>Character</w:t>
            </w:r>
          </w:p>
        </w:tc>
        <w:tc>
          <w:tcPr>
            <w:tcW w:type="auto" w:w="0"/>
            <w:tcMar>
              <w:left w:type="dxa" w:w="200"/>
              <w:top w:type="dxa" w:w="200"/>
              <w:right w:type="dxa" w:w="200"/>
              <w:bottom w:type="dxa" w:w="200"/>
            </w:tcMar>
            <w:vAlign w:val="center"/>
          </w:tcPr>
          <w:p>
            <w:pPr>
              <w:pStyle w:val="Para 013"/>
            </w:pPr>
            <w:r>
              <w:t>C type</w:t>
            </w:r>
          </w:p>
        </w:tc>
        <w:tc>
          <w:tcPr>
            <w:tcW w:type="auto" w:w="0"/>
            <w:tcMar>
              <w:left w:type="dxa" w:w="200"/>
              <w:top w:type="dxa" w:w="200"/>
              <w:right w:type="dxa" w:w="200"/>
              <w:bottom w:type="dxa" w:w="200"/>
            </w:tcMar>
            <w:vAlign w:val="center"/>
          </w:tcPr>
          <w:p>
            <w:pPr>
              <w:pStyle w:val="Para 013"/>
            </w:pPr>
            <w:r>
              <w:t>Python type</w:t>
            </w:r>
          </w:p>
        </w:tc>
        <w:tc>
          <w:tcPr>
            <w:tcW w:type="auto" w:w="0"/>
            <w:tcMar>
              <w:left w:type="dxa" w:w="200"/>
              <w:top w:type="dxa" w:w="200"/>
              <w:right w:type="dxa" w:w="200"/>
              <w:bottom w:type="dxa" w:w="200"/>
            </w:tcMar>
            <w:vAlign w:val="center"/>
          </w:tcPr>
          <w:p>
            <w:pPr>
              <w:pStyle w:val="Para 013"/>
            </w:pPr>
            <w:r>
              <w:t>Standard size</w:t>
            </w:r>
          </w:p>
        </w:tc>
      </w:tr>
    </w:tbl>
    <w:tbl>
      <w:tblPr>
        <w:tblW w:type="auto" w:w="0"/>
      </w:tblPr>
      <w:tr>
        <w:tc>
          <w:tcPr>
            <w:tcW w:type="auto" w:w="0"/>
            <w:tcMar>
              <w:left w:type="dxa" w:w="200"/>
              <w:top w:type="dxa" w:w="200"/>
              <w:right w:type="dxa" w:w="200"/>
              <w:bottom w:type="dxa" w:w="200"/>
            </w:tcMar>
          </w:tcPr>
          <w:p>
            <w:pPr>
              <w:pStyle w:val="Para 001"/>
            </w:pPr>
            <w:r>
              <w:t>B</w:t>
            </w:r>
          </w:p>
        </w:tc>
        <w:tc>
          <w:tcPr>
            <w:tcW w:type="auto" w:w="0"/>
            <w:tcMar>
              <w:left w:type="dxa" w:w="200"/>
              <w:top w:type="dxa" w:w="200"/>
              <w:right w:type="dxa" w:w="200"/>
              <w:bottom w:type="dxa" w:w="200"/>
            </w:tcMar>
          </w:tcPr>
          <w:p>
            <w:pPr>
              <w:pStyle w:val="Para 001"/>
            </w:pPr>
            <w:r>
              <w:t>unsigned char</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1 byte</w:t>
            </w:r>
          </w:p>
        </w:tc>
      </w:tr>
    </w:tbl>
    <w:tbl>
      <w:tblPr>
        <w:tblW w:type="auto" w:w="0"/>
      </w:tblPr>
      <w:tr>
        <w:tc>
          <w:tcPr>
            <w:tcW w:type="auto" w:w="0"/>
            <w:shd w:val="clear" w:color="auto" w:fill="EEF2F6"/>
            <w:tcMar>
              <w:left w:type="dxa" w:w="200"/>
              <w:top w:type="dxa" w:w="200"/>
              <w:right w:type="dxa" w:w="200"/>
              <w:bottom w:type="dxa" w:w="200"/>
            </w:tcMar>
          </w:tcPr>
          <w:p>
            <w:pPr>
              <w:pStyle w:val="Para 001"/>
            </w:pPr>
            <w:r>
              <w:t>b</w:t>
            </w:r>
          </w:p>
        </w:tc>
        <w:tc>
          <w:tcPr>
            <w:tcW w:type="auto" w:w="0"/>
            <w:shd w:val="clear" w:color="auto" w:fill="EEF2F6"/>
            <w:tcMar>
              <w:left w:type="dxa" w:w="200"/>
              <w:top w:type="dxa" w:w="200"/>
              <w:right w:type="dxa" w:w="200"/>
              <w:bottom w:type="dxa" w:w="200"/>
            </w:tcMar>
          </w:tcPr>
          <w:p>
            <w:pPr>
              <w:pStyle w:val="Para 001"/>
            </w:pPr>
            <w:r>
              <w:t>signed char</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1 byte</w:t>
            </w:r>
          </w:p>
        </w:tc>
      </w:tr>
    </w:tbl>
    <w:tbl>
      <w:tblPr>
        <w:tblW w:type="auto" w:w="0"/>
      </w:tblPr>
      <w:tr>
        <w:tc>
          <w:tcPr>
            <w:tcW w:type="auto" w:w="0"/>
            <w:tcMar>
              <w:left w:type="dxa" w:w="200"/>
              <w:top w:type="dxa" w:w="200"/>
              <w:right w:type="dxa" w:w="200"/>
              <w:bottom w:type="dxa" w:w="200"/>
            </w:tcMar>
          </w:tcPr>
          <w:p>
            <w:pPr>
              <w:pStyle w:val="Para 001"/>
            </w:pPr>
            <w:r>
              <w:t>c</w:t>
            </w:r>
          </w:p>
        </w:tc>
        <w:tc>
          <w:tcPr>
            <w:tcW w:type="auto" w:w="0"/>
            <w:tcMar>
              <w:left w:type="dxa" w:w="200"/>
              <w:top w:type="dxa" w:w="200"/>
              <w:right w:type="dxa" w:w="200"/>
              <w:bottom w:type="dxa" w:w="200"/>
            </w:tcMar>
          </w:tcPr>
          <w:p>
            <w:pPr>
              <w:pStyle w:val="Para 001"/>
            </w:pPr>
            <w:r>
              <w:t>char</w:t>
            </w:r>
          </w:p>
        </w:tc>
        <w:tc>
          <w:tcPr>
            <w:tcW w:type="auto" w:w="0"/>
            <w:tcMar>
              <w:left w:type="dxa" w:w="200"/>
              <w:top w:type="dxa" w:w="200"/>
              <w:right w:type="dxa" w:w="200"/>
              <w:bottom w:type="dxa" w:w="200"/>
            </w:tcMar>
          </w:tcPr>
          <w:p>
            <w:pPr>
              <w:pStyle w:val="Para 002"/>
            </w:pPr>
            <w:r>
              <w:rPr>
                <w:rStyle w:val="Text0"/>
              </w:rPr>
              <w:t>bytes</w:t>
            </w:r>
            <w:r>
              <w:t xml:space="preserve"> (length 1)</w:t>
            </w:r>
          </w:p>
        </w:tc>
        <w:tc>
          <w:tcPr>
            <w:tcW w:type="auto" w:w="0"/>
            <w:tcMar>
              <w:left w:type="dxa" w:w="200"/>
              <w:top w:type="dxa" w:w="200"/>
              <w:right w:type="dxa" w:w="200"/>
              <w:bottom w:type="dxa" w:w="200"/>
            </w:tcMar>
          </w:tcPr>
          <w:p>
            <w:pPr>
              <w:pStyle w:val="Para 002"/>
            </w:pPr>
            <w:r>
              <w:t>1 byte</w:t>
            </w:r>
          </w:p>
        </w:tc>
      </w:tr>
    </w:tbl>
    <w:tbl>
      <w:tblPr>
        <w:tblW w:type="auto" w:w="0"/>
      </w:tblPr>
      <w:tr>
        <w:tc>
          <w:tcPr>
            <w:tcW w:type="auto" w:w="0"/>
            <w:shd w:val="clear" w:color="auto" w:fill="EEF2F6"/>
            <w:tcMar>
              <w:left w:type="dxa" w:w="200"/>
              <w:top w:type="dxa" w:w="200"/>
              <w:right w:type="dxa" w:w="200"/>
              <w:bottom w:type="dxa" w:w="200"/>
            </w:tcMar>
          </w:tcPr>
          <w:p>
            <w:pPr>
              <w:pStyle w:val="Para 001"/>
            </w:pPr>
            <w:r>
              <w:t>d</w:t>
            </w:r>
          </w:p>
        </w:tc>
        <w:tc>
          <w:tcPr>
            <w:tcW w:type="auto" w:w="0"/>
            <w:shd w:val="clear" w:color="auto" w:fill="EEF2F6"/>
            <w:tcMar>
              <w:left w:type="dxa" w:w="200"/>
              <w:top w:type="dxa" w:w="200"/>
              <w:right w:type="dxa" w:w="200"/>
              <w:bottom w:type="dxa" w:w="200"/>
            </w:tcMar>
          </w:tcPr>
          <w:p>
            <w:pPr>
              <w:pStyle w:val="Para 001"/>
            </w:pPr>
            <w:r>
              <w:t>double</w:t>
            </w:r>
          </w:p>
        </w:tc>
        <w:tc>
          <w:tcPr>
            <w:tcW w:type="auto" w:w="0"/>
            <w:shd w:val="clear" w:color="auto" w:fill="EEF2F6"/>
            <w:tcMar>
              <w:left w:type="dxa" w:w="200"/>
              <w:top w:type="dxa" w:w="200"/>
              <w:right w:type="dxa" w:w="200"/>
              <w:bottom w:type="dxa" w:w="200"/>
            </w:tcMar>
          </w:tcPr>
          <w:p>
            <w:pPr>
              <w:pStyle w:val="Para 001"/>
            </w:pPr>
            <w:r>
              <w:t>float</w:t>
            </w:r>
          </w:p>
        </w:tc>
        <w:tc>
          <w:tcPr>
            <w:tcW w:type="auto" w:w="0"/>
            <w:shd w:val="clear" w:color="auto" w:fill="EEF2F6"/>
            <w:tcMar>
              <w:left w:type="dxa" w:w="200"/>
              <w:top w:type="dxa" w:w="200"/>
              <w:right w:type="dxa" w:w="200"/>
              <w:bottom w:type="dxa" w:w="200"/>
            </w:tcMar>
          </w:tcPr>
          <w:p>
            <w:pPr>
              <w:pStyle w:val="Para 002"/>
            </w:pPr>
            <w:r>
              <w:t>8 bytes</w:t>
            </w:r>
          </w:p>
        </w:tc>
      </w:tr>
    </w:tbl>
    <w:tbl>
      <w:tblPr>
        <w:tblW w:type="auto" w:w="0"/>
      </w:tblPr>
      <w:tr>
        <w:tc>
          <w:tcPr>
            <w:tcW w:type="auto" w:w="0"/>
            <w:tcMar>
              <w:left w:type="dxa" w:w="200"/>
              <w:top w:type="dxa" w:w="200"/>
              <w:right w:type="dxa" w:w="200"/>
              <w:bottom w:type="dxa" w:w="200"/>
            </w:tcMar>
          </w:tcPr>
          <w:p>
            <w:pPr>
              <w:pStyle w:val="Para 001"/>
            </w:pPr>
            <w:r>
              <w:t>f</w:t>
            </w:r>
          </w:p>
        </w:tc>
        <w:tc>
          <w:tcPr>
            <w:tcW w:type="auto" w:w="0"/>
            <w:tcMar>
              <w:left w:type="dxa" w:w="200"/>
              <w:top w:type="dxa" w:w="200"/>
              <w:right w:type="dxa" w:w="200"/>
              <w:bottom w:type="dxa" w:w="200"/>
            </w:tcMar>
          </w:tcPr>
          <w:p>
            <w:pPr>
              <w:pStyle w:val="Para 001"/>
            </w:pPr>
            <w:r>
              <w:t>float</w:t>
            </w:r>
          </w:p>
        </w:tc>
        <w:tc>
          <w:tcPr>
            <w:tcW w:type="auto" w:w="0"/>
            <w:tcMar>
              <w:left w:type="dxa" w:w="200"/>
              <w:top w:type="dxa" w:w="200"/>
              <w:right w:type="dxa" w:w="200"/>
              <w:bottom w:type="dxa" w:w="200"/>
            </w:tcMar>
          </w:tcPr>
          <w:p>
            <w:pPr>
              <w:pStyle w:val="Para 001"/>
            </w:pPr>
            <w:r>
              <w:t>float</w:t>
            </w:r>
          </w:p>
        </w:tc>
        <w:tc>
          <w:tcPr>
            <w:tcW w:type="auto" w:w="0"/>
            <w:tcMar>
              <w:left w:type="dxa" w:w="200"/>
              <w:top w:type="dxa" w:w="200"/>
              <w:right w:type="dxa" w:w="200"/>
              <w:bottom w:type="dxa" w:w="200"/>
            </w:tcMar>
          </w:tcPr>
          <w:p>
            <w:pPr>
              <w:pStyle w:val="Para 002"/>
            </w:pPr>
            <w:r>
              <w:t>4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H</w:t>
            </w:r>
          </w:p>
        </w:tc>
        <w:tc>
          <w:tcPr>
            <w:tcW w:type="auto" w:w="0"/>
            <w:shd w:val="clear" w:color="auto" w:fill="EEF2F6"/>
            <w:tcMar>
              <w:left w:type="dxa" w:w="200"/>
              <w:top w:type="dxa" w:w="200"/>
              <w:right w:type="dxa" w:w="200"/>
              <w:bottom w:type="dxa" w:w="200"/>
            </w:tcMar>
          </w:tcPr>
          <w:p>
            <w:pPr>
              <w:pStyle w:val="Para 001"/>
            </w:pPr>
            <w:r>
              <w:t>unsigned short</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2 bytes</w:t>
            </w:r>
          </w:p>
        </w:tc>
      </w:tr>
    </w:tbl>
    <w:tbl>
      <w:tblPr>
        <w:tblW w:type="auto" w:w="0"/>
      </w:tblPr>
      <w:tr>
        <w:tc>
          <w:tcPr>
            <w:tcW w:type="auto" w:w="0"/>
            <w:tcMar>
              <w:left w:type="dxa" w:w="200"/>
              <w:top w:type="dxa" w:w="200"/>
              <w:right w:type="dxa" w:w="200"/>
              <w:bottom w:type="dxa" w:w="200"/>
            </w:tcMar>
          </w:tcPr>
          <w:p>
            <w:pPr>
              <w:pStyle w:val="Para 001"/>
            </w:pPr>
            <w:r>
              <w:t>h</w:t>
            </w:r>
          </w:p>
        </w:tc>
        <w:tc>
          <w:tcPr>
            <w:tcW w:type="auto" w:w="0"/>
            <w:tcMar>
              <w:left w:type="dxa" w:w="200"/>
              <w:top w:type="dxa" w:w="200"/>
              <w:right w:type="dxa" w:w="200"/>
              <w:bottom w:type="dxa" w:w="200"/>
            </w:tcMar>
          </w:tcPr>
          <w:p>
            <w:pPr>
              <w:pStyle w:val="Para 001"/>
            </w:pPr>
            <w:r>
              <w:t>signed short</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2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I</w:t>
            </w:r>
          </w:p>
        </w:tc>
        <w:tc>
          <w:tcPr>
            <w:tcW w:type="auto" w:w="0"/>
            <w:shd w:val="clear" w:color="auto" w:fill="EEF2F6"/>
            <w:tcMar>
              <w:left w:type="dxa" w:w="200"/>
              <w:top w:type="dxa" w:w="200"/>
              <w:right w:type="dxa" w:w="200"/>
              <w:bottom w:type="dxa" w:w="200"/>
            </w:tcMar>
          </w:tcPr>
          <w:p>
            <w:pPr>
              <w:pStyle w:val="Para 001"/>
            </w:pPr>
            <w:r>
              <w:t>unsigned int</w:t>
            </w:r>
          </w:p>
        </w:tc>
        <w:tc>
          <w:tcPr>
            <w:tcW w:type="auto" w:w="0"/>
            <w:shd w:val="clear" w:color="auto" w:fill="EEF2F6"/>
            <w:tcMar>
              <w:left w:type="dxa" w:w="200"/>
              <w:top w:type="dxa" w:w="200"/>
              <w:right w:type="dxa" w:w="200"/>
              <w:bottom w:type="dxa" w:w="200"/>
            </w:tcMar>
          </w:tcPr>
          <w:p>
            <w:pPr>
              <w:pStyle w:val="Para 001"/>
            </w:pPr>
            <w:r>
              <w:t>long</w:t>
            </w:r>
          </w:p>
        </w:tc>
        <w:tc>
          <w:tcPr>
            <w:tcW w:type="auto" w:w="0"/>
            <w:shd w:val="clear" w:color="auto" w:fill="EEF2F6"/>
            <w:tcMar>
              <w:left w:type="dxa" w:w="200"/>
              <w:top w:type="dxa" w:w="200"/>
              <w:right w:type="dxa" w:w="200"/>
              <w:bottom w:type="dxa" w:w="200"/>
            </w:tcMar>
          </w:tcPr>
          <w:p>
            <w:pPr>
              <w:pStyle w:val="Para 002"/>
            </w:pPr>
            <w:r>
              <w:t>4 bytes</w:t>
            </w:r>
          </w:p>
        </w:tc>
      </w:tr>
    </w:tbl>
    <w:tbl>
      <w:tblPr>
        <w:tblW w:type="auto" w:w="0"/>
      </w:tblPr>
      <w:tr>
        <w:tc>
          <w:tcPr>
            <w:tcW w:type="auto" w:w="0"/>
            <w:tcMar>
              <w:left w:type="dxa" w:w="200"/>
              <w:top w:type="dxa" w:w="200"/>
              <w:right w:type="dxa" w:w="200"/>
              <w:bottom w:type="dxa" w:w="200"/>
            </w:tcMar>
          </w:tcPr>
          <w:p>
            <w:pPr>
              <w:pStyle w:val="Para 001"/>
            </w:pPr>
            <w:r>
              <w:t>i</w:t>
            </w:r>
          </w:p>
        </w:tc>
        <w:tc>
          <w:tcPr>
            <w:tcW w:type="auto" w:w="0"/>
            <w:tcMar>
              <w:left w:type="dxa" w:w="200"/>
              <w:top w:type="dxa" w:w="200"/>
              <w:right w:type="dxa" w:w="200"/>
              <w:bottom w:type="dxa" w:w="200"/>
            </w:tcMar>
          </w:tcPr>
          <w:p>
            <w:pPr>
              <w:pStyle w:val="Para 001"/>
            </w:pPr>
            <w:r>
              <w:t>signed int</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4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L</w:t>
            </w:r>
          </w:p>
        </w:tc>
        <w:tc>
          <w:tcPr>
            <w:tcW w:type="auto" w:w="0"/>
            <w:shd w:val="clear" w:color="auto" w:fill="EEF2F6"/>
            <w:tcMar>
              <w:left w:type="dxa" w:w="200"/>
              <w:top w:type="dxa" w:w="200"/>
              <w:right w:type="dxa" w:w="200"/>
              <w:bottom w:type="dxa" w:w="200"/>
            </w:tcMar>
          </w:tcPr>
          <w:p>
            <w:pPr>
              <w:pStyle w:val="Para 001"/>
            </w:pPr>
            <w:r>
              <w:t>unsigned long</w:t>
            </w:r>
          </w:p>
        </w:tc>
        <w:tc>
          <w:tcPr>
            <w:tcW w:type="auto" w:w="0"/>
            <w:shd w:val="clear" w:color="auto" w:fill="EEF2F6"/>
            <w:tcMar>
              <w:left w:type="dxa" w:w="200"/>
              <w:top w:type="dxa" w:w="200"/>
              <w:right w:type="dxa" w:w="200"/>
              <w:bottom w:type="dxa" w:w="200"/>
            </w:tcMar>
          </w:tcPr>
          <w:p>
            <w:pPr>
              <w:pStyle w:val="Para 001"/>
            </w:pPr>
            <w:r>
              <w:t>long</w:t>
            </w:r>
          </w:p>
        </w:tc>
        <w:tc>
          <w:tcPr>
            <w:tcW w:type="auto" w:w="0"/>
            <w:shd w:val="clear" w:color="auto" w:fill="EEF2F6"/>
            <w:tcMar>
              <w:left w:type="dxa" w:w="200"/>
              <w:top w:type="dxa" w:w="200"/>
              <w:right w:type="dxa" w:w="200"/>
              <w:bottom w:type="dxa" w:w="200"/>
            </w:tcMar>
          </w:tcPr>
          <w:p>
            <w:pPr>
              <w:pStyle w:val="Para 002"/>
            </w:pPr>
            <w:r>
              <w:t>4 bytes</w:t>
            </w:r>
          </w:p>
        </w:tc>
      </w:tr>
    </w:tbl>
    <w:tbl>
      <w:tblPr>
        <w:tblW w:type="auto" w:w="0"/>
      </w:tblPr>
      <w:tr>
        <w:tc>
          <w:tcPr>
            <w:tcW w:type="auto" w:w="0"/>
            <w:tcMar>
              <w:left w:type="dxa" w:w="200"/>
              <w:top w:type="dxa" w:w="200"/>
              <w:right w:type="dxa" w:w="200"/>
              <w:bottom w:type="dxa" w:w="200"/>
            </w:tcMar>
          </w:tcPr>
          <w:p>
            <w:pPr>
              <w:pStyle w:val="Para 001"/>
            </w:pPr>
            <w:r>
              <w:t>l</w:t>
            </w:r>
          </w:p>
        </w:tc>
        <w:tc>
          <w:tcPr>
            <w:tcW w:type="auto" w:w="0"/>
            <w:tcMar>
              <w:left w:type="dxa" w:w="200"/>
              <w:top w:type="dxa" w:w="200"/>
              <w:right w:type="dxa" w:w="200"/>
              <w:bottom w:type="dxa" w:w="200"/>
            </w:tcMar>
          </w:tcPr>
          <w:p>
            <w:pPr>
              <w:pStyle w:val="Para 001"/>
            </w:pPr>
            <w:r>
              <w:t>signed long</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4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P</w:t>
            </w:r>
          </w:p>
        </w:tc>
        <w:tc>
          <w:tcPr>
            <w:tcW w:type="auto" w:w="0"/>
            <w:shd w:val="clear" w:color="auto" w:fill="EEF2F6"/>
            <w:tcMar>
              <w:left w:type="dxa" w:w="200"/>
              <w:top w:type="dxa" w:w="200"/>
              <w:right w:type="dxa" w:w="200"/>
              <w:bottom w:type="dxa" w:w="200"/>
            </w:tcMar>
          </w:tcPr>
          <w:p>
            <w:pPr>
              <w:pStyle w:val="Para 001"/>
            </w:pPr>
            <w:r>
              <w:t>void*</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N/A</w:t>
            </w:r>
          </w:p>
        </w:tc>
      </w:tr>
    </w:tbl>
    <w:tbl>
      <w:tblPr>
        <w:tblW w:type="auto" w:w="0"/>
      </w:tblPr>
      <w:tr>
        <w:tc>
          <w:tcPr>
            <w:tcW w:type="auto" w:w="0"/>
            <w:tcMar>
              <w:left w:type="dxa" w:w="200"/>
              <w:top w:type="dxa" w:w="200"/>
              <w:right w:type="dxa" w:w="200"/>
              <w:bottom w:type="dxa" w:w="200"/>
            </w:tcMar>
          </w:tcPr>
          <w:p>
            <w:pPr>
              <w:pStyle w:val="Para 001"/>
            </w:pPr>
            <w:r>
              <w:t>p</w:t>
            </w:r>
          </w:p>
        </w:tc>
        <w:tc>
          <w:tcPr>
            <w:tcW w:type="auto" w:w="0"/>
            <w:tcMar>
              <w:left w:type="dxa" w:w="200"/>
              <w:top w:type="dxa" w:w="200"/>
              <w:right w:type="dxa" w:w="200"/>
              <w:bottom w:type="dxa" w:w="200"/>
            </w:tcMar>
          </w:tcPr>
          <w:p>
            <w:pPr>
              <w:pStyle w:val="Para 001"/>
            </w:pPr>
            <w:r>
              <w:t>char[]</w:t>
            </w:r>
          </w:p>
        </w:tc>
        <w:tc>
          <w:tcPr>
            <w:tcW w:type="auto" w:w="0"/>
            <w:tcMar>
              <w:left w:type="dxa" w:w="200"/>
              <w:top w:type="dxa" w:w="200"/>
              <w:right w:type="dxa" w:w="200"/>
              <w:bottom w:type="dxa" w:w="200"/>
            </w:tcMar>
          </w:tcPr>
          <w:p>
            <w:pPr>
              <w:pStyle w:val="Para 001"/>
            </w:pPr>
            <w:r>
              <w:t>bytes</w:t>
            </w:r>
          </w:p>
        </w:tc>
        <w:tc>
          <w:tcPr>
            <w:tcW w:type="auto" w:w="0"/>
            <w:tcMar>
              <w:left w:type="dxa" w:w="200"/>
              <w:top w:type="dxa" w:w="200"/>
              <w:right w:type="dxa" w:w="200"/>
              <w:bottom w:type="dxa" w:w="200"/>
            </w:tcMar>
          </w:tcPr>
          <w:p>
            <w:pPr>
              <w:pStyle w:val="Para 002"/>
            </w:pPr>
            <w:r>
              <w:t>N/A</w:t>
            </w:r>
          </w:p>
        </w:tc>
      </w:tr>
    </w:tbl>
    <w:tbl>
      <w:tblPr>
        <w:tblW w:type="auto" w:w="0"/>
      </w:tblPr>
      <w:tr>
        <w:tc>
          <w:tcPr>
            <w:tcW w:type="auto" w:w="0"/>
            <w:shd w:val="clear" w:color="auto" w:fill="EEF2F6"/>
            <w:tcMar>
              <w:left w:type="dxa" w:w="200"/>
              <w:top w:type="dxa" w:w="200"/>
              <w:right w:type="dxa" w:w="200"/>
              <w:bottom w:type="dxa" w:w="200"/>
            </w:tcMar>
          </w:tcPr>
          <w:p>
            <w:pPr>
              <w:pStyle w:val="Para 001"/>
            </w:pPr>
            <w:r>
              <w:t>s</w:t>
            </w:r>
          </w:p>
        </w:tc>
        <w:tc>
          <w:tcPr>
            <w:tcW w:type="auto" w:w="0"/>
            <w:shd w:val="clear" w:color="auto" w:fill="EEF2F6"/>
            <w:tcMar>
              <w:left w:type="dxa" w:w="200"/>
              <w:top w:type="dxa" w:w="200"/>
              <w:right w:type="dxa" w:w="200"/>
              <w:bottom w:type="dxa" w:w="200"/>
            </w:tcMar>
          </w:tcPr>
          <w:p>
            <w:pPr>
              <w:pStyle w:val="Para 001"/>
            </w:pPr>
            <w:r>
              <w:t>char[]</w:t>
            </w:r>
          </w:p>
        </w:tc>
        <w:tc>
          <w:tcPr>
            <w:tcW w:type="auto" w:w="0"/>
            <w:shd w:val="clear" w:color="auto" w:fill="EEF2F6"/>
            <w:tcMar>
              <w:left w:type="dxa" w:w="200"/>
              <w:top w:type="dxa" w:w="200"/>
              <w:right w:type="dxa" w:w="200"/>
              <w:bottom w:type="dxa" w:w="200"/>
            </w:tcMar>
          </w:tcPr>
          <w:p>
            <w:pPr>
              <w:pStyle w:val="Para 001"/>
            </w:pPr>
            <w:r>
              <w:t>bytes</w:t>
            </w:r>
          </w:p>
        </w:tc>
        <w:tc>
          <w:tcPr>
            <w:tcW w:type="auto" w:w="0"/>
            <w:shd w:val="clear" w:color="auto" w:fill="EEF2F6"/>
            <w:tcMar>
              <w:left w:type="dxa" w:w="200"/>
              <w:top w:type="dxa" w:w="200"/>
              <w:right w:type="dxa" w:w="200"/>
              <w:bottom w:type="dxa" w:w="200"/>
            </w:tcMar>
          </w:tcPr>
          <w:p>
            <w:pPr>
              <w:pStyle w:val="Para 002"/>
            </w:pPr>
            <w:r>
              <w:t>N/A</w:t>
            </w:r>
          </w:p>
        </w:tc>
      </w:tr>
    </w:tbl>
    <w:tbl>
      <w:tblPr>
        <w:tblW w:type="auto" w:w="0"/>
      </w:tblPr>
      <w:tr>
        <w:tc>
          <w:tcPr>
            <w:tcW w:type="auto" w:w="0"/>
            <w:tcMar>
              <w:left w:type="dxa" w:w="200"/>
              <w:top w:type="dxa" w:w="200"/>
              <w:right w:type="dxa" w:w="200"/>
              <w:bottom w:type="dxa" w:w="200"/>
            </w:tcMar>
          </w:tcPr>
          <w:p>
            <w:pPr>
              <w:pStyle w:val="Para 001"/>
            </w:pPr>
            <w:r>
              <w:t>x</w:t>
            </w:r>
          </w:p>
        </w:tc>
        <w:tc>
          <w:tcPr>
            <w:tcW w:type="auto" w:w="0"/>
            <w:tcMar>
              <w:left w:type="dxa" w:w="200"/>
              <w:top w:type="dxa" w:w="200"/>
              <w:right w:type="dxa" w:w="200"/>
              <w:bottom w:type="dxa" w:w="200"/>
            </w:tcMar>
          </w:tcPr>
          <w:p>
            <w:pPr>
              <w:pStyle w:val="Para 001"/>
            </w:pPr>
            <w:r>
              <w:t>padding byte</w:t>
            </w:r>
          </w:p>
        </w:tc>
        <w:tc>
          <w:tcPr>
            <w:tcW w:type="auto" w:w="0"/>
            <w:tcMar>
              <w:left w:type="dxa" w:w="200"/>
              <w:top w:type="dxa" w:w="200"/>
              <w:right w:type="dxa" w:w="200"/>
              <w:bottom w:type="dxa" w:w="200"/>
            </w:tcMar>
          </w:tcPr>
          <w:p>
            <w:pPr>
              <w:pStyle w:val="Para 002"/>
            </w:pPr>
            <w:r>
              <w:t>No value</w:t>
            </w:r>
          </w:p>
        </w:tc>
        <w:tc>
          <w:tcPr>
            <w:tcW w:type="auto" w:w="0"/>
            <w:tcMar>
              <w:left w:type="dxa" w:w="200"/>
              <w:top w:type="dxa" w:w="200"/>
              <w:right w:type="dxa" w:w="200"/>
              <w:bottom w:type="dxa" w:w="200"/>
            </w:tcMar>
          </w:tcPr>
          <w:p>
            <w:pPr>
              <w:pStyle w:val="Para 002"/>
            </w:pPr>
            <w:r>
              <w:t>1 byte</w:t>
            </w:r>
          </w:p>
        </w:tc>
      </w:tr>
    </w:tbl>
    <w:p>
      <w:pPr>
        <w:pStyle w:val="Normal"/>
      </w:pPr>
      <w:r>
        <w:t xml:space="preserve">The </w:t>
      </w:r>
      <w:r>
        <w:rPr>
          <w:rStyle w:val="Text0"/>
        </w:rPr>
        <w:t>struct</w:t>
      </w:r>
      <w:r>
        <w:t xml:space="preserve"> module supplies the functions covered in </w:t>
      </w:r>
      <w:hyperlink w:anchor="Table_11_8__Functions_of_the_str">
        <w:r>
          <w:rPr>
            <w:rStyle w:val="Text1"/>
          </w:rPr>
          <w:t>Table 11-8</w:t>
        </w:r>
      </w:hyperlink>
      <w:r>
        <w:t>.</w:t>
      </w:r>
    </w:p>
    <w:tbl>
      <w:tblPr>
        <w:tblW w:type="auto" w:w="0"/>
      </w:tblPr>
      <w:tr>
        <w:tc>
          <w:tcPr>
            <w:tcW w:type="auto" w:w="0"/>
            <w:tcMar>
              <w:left w:type="dxa" w:w="200"/>
              <w:top w:type="dxa" w:w="200"/>
              <w:right w:type="dxa" w:w="200"/>
              <w:bottom w:type="dxa" w:w="200"/>
            </w:tcMar>
          </w:tcPr>
          <w:p>
            <w:bookmarkStart w:id="2591" w:name="Table_11_8__Functions_of_the_str"/>
            <w:pPr>
              <w:pStyle w:val="Para 011"/>
            </w:pPr>
            <w:r>
              <w:rPr>
                <w:rStyle w:val="Text117"/>
              </w:rPr>
              <w:t/>
            </w:r>
            <w:r>
              <w:t xml:space="preserve">Table 11-8. </w:t>
              <w:t xml:space="preserve">Functions of the </w:t>
            </w:r>
            <w:r>
              <w:rPr>
                <w:rStyle w:val="Text0"/>
              </w:rPr>
              <w:t>struct</w:t>
            </w:r>
            <w:r>
              <w:t xml:space="preserve"> module</w:t>
            </w:r>
            <w:bookmarkEnd w:id="2591"/>
          </w:p>
          <w:p>
            <w:pPr>
              <w:pStyle w:val="Para 001"/>
            </w:pPr>
            <w:r>
              <w:t>calcsize</w:t>
            </w:r>
          </w:p>
        </w:tc>
        <w:tc>
          <w:tcPr>
            <w:tcW w:type="auto" w:w="0"/>
            <w:tcMar>
              <w:left w:type="dxa" w:w="200"/>
              <w:top w:type="dxa" w:w="200"/>
              <w:right w:type="dxa" w:w="200"/>
              <w:bottom w:type="dxa" w:w="200"/>
            </w:tcMar>
          </w:tcPr>
          <w:p>
            <w:pPr>
              <w:pStyle w:val="Para 002"/>
            </w:pPr>
            <w:r>
              <w:rPr>
                <w:rStyle w:val="Text0"/>
              </w:rPr>
              <w:t>calcsize(</w:t>
            </w:r>
            <w:r>
              <w:rPr>
                <w:rStyle w:val="Text3"/>
              </w:rPr>
              <w:t>fmt</w:t>
            </w:r>
            <w:r>
              <w:rPr>
                <w:rStyle w:val="Text0"/>
              </w:rPr>
              <w:t>, /)</w:t>
              <w:br w:clear="none"/>
            </w:r>
            <w:r>
              <w:t xml:space="preserve"> Returns</w:t>
            </w:r>
            <w:r>
              <w:rPr>
                <w:rStyle w:val="Text111"/>
              </w:rPr>
              <w:bookmarkStart w:id="2592" w:name="idm45965205348864"/>
              <w:t/>
              <w:bookmarkEnd w:id="2592"/>
            </w:r>
            <w:r>
              <w:t xml:space="preserve"> the size, in bytes, corresponding to format string </w:t>
            </w:r>
            <w:r>
              <w:rPr>
                <w:rStyle w:val="Text3"/>
              </w:rPr>
              <w:t>fmt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iter_unpack</w:t>
            </w:r>
          </w:p>
        </w:tc>
        <w:tc>
          <w:tcPr>
            <w:tcW w:type="auto" w:w="0"/>
            <w:shd w:val="clear" w:color="auto" w:fill="EEF2F6"/>
            <w:tcMar>
              <w:left w:type="dxa" w:w="200"/>
              <w:top w:type="dxa" w:w="200"/>
              <w:right w:type="dxa" w:w="200"/>
              <w:bottom w:type="dxa" w:w="200"/>
            </w:tcMar>
          </w:tcPr>
          <w:p>
            <w:pPr>
              <w:pStyle w:val="Para 002"/>
            </w:pPr>
            <w:r>
              <w:rPr>
                <w:rStyle w:val="Text0"/>
              </w:rPr>
              <w:t>iter_unpack(</w:t>
            </w:r>
            <w:r>
              <w:rPr>
                <w:rStyle w:val="Text3"/>
              </w:rPr>
              <w:t>fmt</w:t>
            </w:r>
            <w:r>
              <w:rPr>
                <w:rStyle w:val="Text0"/>
              </w:rPr>
              <w:t>,</w:t>
            </w:r>
            <w:r>
              <w:t xml:space="preserve"> </w:t>
            </w:r>
            <w:r>
              <w:rPr>
                <w:rStyle w:val="Text3"/>
              </w:rPr>
              <w:t>buffer</w:t>
            </w:r>
            <w:r>
              <w:rPr>
                <w:rStyle w:val="Text0"/>
              </w:rPr>
              <w:t>, /)</w:t>
              <w:br w:clear="none"/>
            </w:r>
            <w:r>
              <w:t xml:space="preserve"> Unpacks iteratively from </w:t>
            </w:r>
            <w:r>
              <w:rPr>
                <w:rStyle w:val="Text3"/>
              </w:rPr>
              <w:t>buffer</w:t>
            </w:r>
            <w:r>
              <w:t xml:space="preserve"> per format string </w:t>
            </w:r>
            <w:r>
              <w:rPr>
                <w:rStyle w:val="Text3"/>
              </w:rPr>
              <w:t>fmt</w:t>
            </w:r>
            <w:r>
              <w:t xml:space="preserve">. Returns an iterator that will read equally sized chunks from </w:t>
            </w:r>
            <w:r>
              <w:rPr>
                <w:rStyle w:val="Text3"/>
              </w:rPr>
              <w:t>buffer</w:t>
            </w:r>
            <w:r>
              <w:t xml:space="preserve"> until all its contents are consumed; each iteration yields a tuple as specified by </w:t>
            </w:r>
            <w:r>
              <w:rPr>
                <w:rStyle w:val="Text3"/>
              </w:rPr>
              <w:t>fmt</w:t>
            </w:r>
            <w:r>
              <w:t xml:space="preserve">. </w:t>
            </w:r>
            <w:r>
              <w:rPr>
                <w:rStyle w:val="Text3"/>
              </w:rPr>
              <w:t>buffer</w:t>
            </w:r>
            <w:r>
              <w:t xml:space="preserve">’s size must be a multiple of the size required by the format, as reflected in </w:t>
            </w:r>
            <w:r>
              <w:rPr>
                <w:rStyle w:val="Text0"/>
              </w:rPr>
              <w:t>struct.calcsize(</w:t>
            </w:r>
            <w:r>
              <w:rPr>
                <w:rStyle w:val="Text3"/>
              </w:rPr>
              <w:t>fmt</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pack</w:t>
            </w:r>
          </w:p>
        </w:tc>
        <w:tc>
          <w:tcPr>
            <w:tcW w:type="auto" w:w="0"/>
            <w:tcMar>
              <w:left w:type="dxa" w:w="200"/>
              <w:top w:type="dxa" w:w="200"/>
              <w:right w:type="dxa" w:w="200"/>
              <w:bottom w:type="dxa" w:w="200"/>
            </w:tcMar>
          </w:tcPr>
          <w:p>
            <w:pPr>
              <w:pStyle w:val="Para 002"/>
            </w:pPr>
            <w:r>
              <w:rPr>
                <w:rStyle w:val="Text0"/>
              </w:rPr>
              <w:t>pack(</w:t>
            </w:r>
            <w:r>
              <w:rPr>
                <w:rStyle w:val="Text3"/>
              </w:rPr>
              <w:t>fmt</w:t>
            </w:r>
            <w:r>
              <w:rPr>
                <w:rStyle w:val="Text0"/>
              </w:rPr>
              <w:t>,</w:t>
            </w:r>
            <w:r>
              <w:t xml:space="preserve"> </w:t>
            </w:r>
            <w:r>
              <w:rPr>
                <w:rStyle w:val="Text3"/>
              </w:rPr>
              <w:t>*values</w:t>
            </w:r>
            <w:r>
              <w:rPr>
                <w:rStyle w:val="Text0"/>
              </w:rPr>
              <w:t>, /)</w:t>
              <w:br w:clear="none"/>
            </w:r>
            <w:r>
              <w:t xml:space="preserve"> Packs</w:t>
            </w:r>
            <w:r>
              <w:rPr>
                <w:rStyle w:val="Text111"/>
              </w:rPr>
              <w:bookmarkStart w:id="2593" w:name="idm45965205332432"/>
              <w:t/>
              <w:bookmarkEnd w:id="2593"/>
            </w:r>
            <w:r>
              <w:t xml:space="preserve"> the values per format string </w:t>
            </w:r>
            <w:r>
              <w:rPr>
                <w:rStyle w:val="Text3"/>
              </w:rPr>
              <w:t>fmt</w:t>
            </w:r>
            <w:r>
              <w:t xml:space="preserve">, and returns the resulting bytestring. </w:t>
            </w:r>
            <w:r>
              <w:rPr>
                <w:rStyle w:val="Text3"/>
              </w:rPr>
              <w:t>values</w:t>
            </w:r>
            <w:r>
              <w:t xml:space="preserve"> must match in number and type the values required by </w:t>
            </w:r>
            <w:r>
              <w:rPr>
                <w:rStyle w:val="Text3"/>
              </w:rPr>
              <w:t>fmt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pack_into</w:t>
            </w:r>
          </w:p>
        </w:tc>
        <w:tc>
          <w:tcPr>
            <w:tcW w:type="auto" w:w="0"/>
            <w:shd w:val="clear" w:color="auto" w:fill="EEF2F6"/>
            <w:tcMar>
              <w:left w:type="dxa" w:w="200"/>
              <w:top w:type="dxa" w:w="200"/>
              <w:right w:type="dxa" w:w="200"/>
              <w:bottom w:type="dxa" w:w="200"/>
            </w:tcMar>
          </w:tcPr>
          <w:p>
            <w:pPr>
              <w:pStyle w:val="Para 002"/>
            </w:pPr>
            <w:r>
              <w:rPr>
                <w:rStyle w:val="Text0"/>
              </w:rPr>
              <w:t>pack_into(</w:t>
            </w:r>
            <w:r>
              <w:rPr>
                <w:rStyle w:val="Text3"/>
              </w:rPr>
              <w:t>fmt</w:t>
            </w:r>
            <w:r>
              <w:rPr>
                <w:rStyle w:val="Text0"/>
              </w:rPr>
              <w:t>,</w:t>
            </w:r>
            <w:r>
              <w:t xml:space="preserve"> </w:t>
            </w:r>
            <w:r>
              <w:rPr>
                <w:rStyle w:val="Text3"/>
              </w:rPr>
              <w:t>buffer</w:t>
            </w:r>
            <w:r>
              <w:rPr>
                <w:rStyle w:val="Text0"/>
              </w:rPr>
              <w:t>,</w:t>
            </w:r>
            <w:r>
              <w:t xml:space="preserve"> </w:t>
            </w:r>
            <w:r>
              <w:rPr>
                <w:rStyle w:val="Text3"/>
              </w:rPr>
              <w:t>offset</w:t>
            </w:r>
            <w:r>
              <w:rPr>
                <w:rStyle w:val="Text0"/>
              </w:rPr>
              <w:t>,</w:t>
            </w:r>
            <w:r>
              <w:t xml:space="preserve"> </w:t>
            </w:r>
            <w:r>
              <w:rPr>
                <w:rStyle w:val="Text3"/>
              </w:rPr>
              <w:t>*values</w:t>
            </w:r>
            <w:r>
              <w:rPr>
                <w:rStyle w:val="Text0"/>
              </w:rPr>
              <w:t>, /)</w:t>
              <w:br w:clear="none"/>
            </w:r>
            <w:r>
              <w:t xml:space="preserve"> Packs</w:t>
            </w:r>
            <w:r>
              <w:rPr>
                <w:rStyle w:val="Text111"/>
              </w:rPr>
              <w:bookmarkStart w:id="2594" w:name="idm45965205321312"/>
              <w:t/>
              <w:bookmarkEnd w:id="2594"/>
            </w:r>
            <w:r>
              <w:t xml:space="preserve"> the values per format string </w:t>
            </w:r>
            <w:r>
              <w:rPr>
                <w:rStyle w:val="Text3"/>
              </w:rPr>
              <w:t>fmt</w:t>
            </w:r>
            <w:r>
              <w:t xml:space="preserve"> into writable buffer </w:t>
            </w:r>
            <w:r>
              <w:rPr>
                <w:rStyle w:val="Text3"/>
              </w:rPr>
              <w:t>buffer</w:t>
            </w:r>
            <w:r>
              <w:t xml:space="preserve"> (usually an instance of </w:t>
            </w:r>
            <w:r>
              <w:rPr>
                <w:rStyle w:val="Text0"/>
              </w:rPr>
              <w:t>bytearray</w:t>
            </w:r>
            <w:r>
              <w:t xml:space="preserve">) starting at index </w:t>
            </w:r>
            <w:r>
              <w:rPr>
                <w:rStyle w:val="Text3"/>
              </w:rPr>
              <w:t>offset</w:t>
            </w:r>
            <w:r>
              <w:t xml:space="preserve">. </w:t>
            </w:r>
            <w:r>
              <w:rPr>
                <w:rStyle w:val="Text3"/>
              </w:rPr>
              <w:t>values</w:t>
            </w:r>
            <w:r>
              <w:t xml:space="preserve"> must match in number and type the values required by </w:t>
            </w:r>
            <w:r>
              <w:rPr>
                <w:rStyle w:val="Text3"/>
              </w:rPr>
              <w:t>fmt</w:t>
            </w:r>
            <w:r>
              <w:t xml:space="preserve">. </w:t>
            </w:r>
            <w:r>
              <w:rPr>
                <w:rStyle w:val="Text0"/>
              </w:rPr>
              <w:t>len(buffer[offset:])</w:t>
            </w:r>
            <w:r>
              <w:t xml:space="preserve"> must be </w:t>
            </w:r>
            <w:r>
              <w:rPr>
                <w:rStyle w:val="Text0"/>
              </w:rPr>
              <w:t>&gt;=struct.calcsize(</w:t>
            </w:r>
            <w:r>
              <w:rPr>
                <w:rStyle w:val="Text3"/>
              </w:rPr>
              <w:t>fmt</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unpack</w:t>
            </w:r>
          </w:p>
        </w:tc>
        <w:tc>
          <w:tcPr>
            <w:tcW w:type="auto" w:w="0"/>
            <w:tcMar>
              <w:left w:type="dxa" w:w="200"/>
              <w:top w:type="dxa" w:w="200"/>
              <w:right w:type="dxa" w:w="200"/>
              <w:bottom w:type="dxa" w:w="200"/>
            </w:tcMar>
          </w:tcPr>
          <w:p>
            <w:pPr>
              <w:pStyle w:val="Para 002"/>
            </w:pPr>
            <w:r>
              <w:rPr>
                <w:rStyle w:val="Text0"/>
              </w:rPr>
              <w:t>unpack(</w:t>
            </w:r>
            <w:r>
              <w:rPr>
                <w:rStyle w:val="Text3"/>
              </w:rPr>
              <w:t>fmt</w:t>
            </w:r>
            <w:r>
              <w:rPr>
                <w:rStyle w:val="Text0"/>
              </w:rPr>
              <w:t>,</w:t>
            </w:r>
            <w:r>
              <w:t xml:space="preserve"> </w:t>
            </w:r>
            <w:r>
              <w:rPr>
                <w:rStyle w:val="Text3"/>
              </w:rPr>
              <w:t>s</w:t>
            </w:r>
            <w:r>
              <w:rPr>
                <w:rStyle w:val="Text0"/>
              </w:rPr>
              <w:t>, /)</w:t>
              <w:br w:clear="none"/>
            </w:r>
            <w:r>
              <w:t xml:space="preserve"> Unpacks</w:t>
            </w:r>
            <w:r>
              <w:rPr>
                <w:rStyle w:val="Text111"/>
              </w:rPr>
              <w:bookmarkStart w:id="2595" w:name="idm45965205308992"/>
              <w:t/>
              <w:bookmarkEnd w:id="2595"/>
            </w:r>
            <w:r>
              <w:t xml:space="preserve"> bytestring </w:t>
            </w:r>
            <w:r>
              <w:rPr>
                <w:rStyle w:val="Text3"/>
              </w:rPr>
              <w:t>s</w:t>
            </w:r>
            <w:r>
              <w:t xml:space="preserve"> per format string </w:t>
            </w:r>
            <w:r>
              <w:rPr>
                <w:rStyle w:val="Text3"/>
              </w:rPr>
              <w:t>fmt</w:t>
            </w:r>
            <w:r>
              <w:t xml:space="preserve">, and returns a tuple of values (if just one value, a one-item tuple). </w:t>
            </w:r>
            <w:r>
              <w:rPr>
                <w:rStyle w:val="Text0"/>
              </w:rPr>
              <w:t>len(</w:t>
            </w:r>
            <w:r>
              <w:rPr>
                <w:rStyle w:val="Text3"/>
              </w:rPr>
              <w:t>s</w:t>
            </w:r>
            <w:r>
              <w:rPr>
                <w:rStyle w:val="Text0"/>
              </w:rPr>
              <w:t>)</w:t>
            </w:r>
            <w:r>
              <w:t xml:space="preserve"> must equal </w:t>
            </w:r>
            <w:r>
              <w:rPr>
                <w:rStyle w:val="Text0"/>
              </w:rPr>
              <w:t>struct.calcsize(</w:t>
            </w:r>
            <w:r>
              <w:rPr>
                <w:rStyle w:val="Text3"/>
              </w:rPr>
              <w:t>fmt</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unpack_from</w:t>
            </w:r>
          </w:p>
        </w:tc>
        <w:tc>
          <w:tcPr>
            <w:tcW w:type="auto" w:w="0"/>
            <w:shd w:val="clear" w:color="auto" w:fill="EEF2F6"/>
            <w:tcMar>
              <w:left w:type="dxa" w:w="200"/>
              <w:top w:type="dxa" w:w="200"/>
              <w:right w:type="dxa" w:w="200"/>
              <w:bottom w:type="dxa" w:w="200"/>
            </w:tcMar>
          </w:tcPr>
          <w:p>
            <w:pPr>
              <w:pStyle w:val="Para 002"/>
            </w:pPr>
            <w:r>
              <w:rPr>
                <w:rStyle w:val="Text0"/>
              </w:rPr>
              <w:t>unpack_from(</w:t>
            </w:r>
            <w:r>
              <w:rPr>
                <w:rStyle w:val="Text3"/>
              </w:rPr>
              <w:t>fmt</w:t>
            </w:r>
            <w:r>
              <w:rPr>
                <w:rStyle w:val="Text0"/>
              </w:rPr>
              <w:t>, /, buffer, offset=0</w:t>
            </w:r>
            <w:r>
              <w:rPr>
                <w:rStyle w:val="Text3"/>
              </w:rPr>
              <w:t>)</w:t>
              <w:br w:clear="none"/>
            </w:r>
            <w:r>
              <w:t xml:space="preserve"> Unpacks</w:t>
            </w:r>
            <w:r>
              <w:rPr>
                <w:rStyle w:val="Text111"/>
              </w:rPr>
              <w:bookmarkStart w:id="2596" w:name="idm45965205300416"/>
              <w:t/>
              <w:bookmarkEnd w:id="2596"/>
            </w:r>
            <w:r>
              <w:t xml:space="preserve"> bytestring (or other readable buffer) </w:t>
            </w:r>
            <w:r>
              <w:rPr>
                <w:rStyle w:val="Text0"/>
              </w:rPr>
              <w:t>buffer</w:t>
            </w:r>
            <w:r>
              <w:t xml:space="preserve">, starting from offset </w:t>
            </w:r>
            <w:r>
              <w:rPr>
                <w:rStyle w:val="Text0"/>
              </w:rPr>
              <w:t>offset</w:t>
            </w:r>
            <w:r>
              <w:t xml:space="preserve">, per format string </w:t>
            </w:r>
            <w:r>
              <w:rPr>
                <w:rStyle w:val="Text3"/>
              </w:rPr>
              <w:t>fmt</w:t>
            </w:r>
            <w:r>
              <w:t xml:space="preserve">, returning a tuple of values (if just one value, a one-item tuple). </w:t>
            </w:r>
            <w:r>
              <w:rPr>
                <w:rStyle w:val="Text0"/>
              </w:rPr>
              <w:t>len(buffer[offset:])</w:t>
            </w:r>
            <w:r>
              <w:t xml:space="preserve"> must be </w:t>
            </w:r>
            <w:r>
              <w:rPr>
                <w:rStyle w:val="Text0"/>
              </w:rPr>
              <w:t>&gt;=struct.calcsize(</w:t>
            </w:r>
            <w:r>
              <w:rPr>
                <w:rStyle w:val="Text3"/>
              </w:rPr>
              <w:t>fmt</w:t>
            </w:r>
            <w:r>
              <w:rPr>
                <w:rStyle w:val="Text0"/>
              </w:rPr>
              <w:t>)</w:t>
            </w:r>
            <w:r>
              <w:t>.</w:t>
            </w:r>
          </w:p>
        </w:tc>
      </w:tr>
    </w:tbl>
    <w:p>
      <w:pPr>
        <w:pStyle w:val="Normal"/>
      </w:pPr>
      <w:r>
        <w:t xml:space="preserve">The </w:t>
      </w:r>
      <w:r>
        <w:rPr>
          <w:rStyle w:val="Text0"/>
        </w:rPr>
        <w:t>struct</w:t>
      </w:r>
      <w:r>
        <w:t xml:space="preserve"> module also offers a</w:t>
      </w:r>
      <w:r>
        <w:rPr>
          <w:rStyle w:val="Text111"/>
        </w:rPr>
        <w:bookmarkStart w:id="2597" w:name="idm45965205292976"/>
        <w:t/>
        <w:bookmarkEnd w:id="2597"/>
      </w:r>
      <w:r>
        <w:t xml:space="preserve"> </w:t>
      </w:r>
      <w:r>
        <w:rPr>
          <w:rStyle w:val="Text0"/>
        </w:rPr>
        <w:t>Struct</w:t>
      </w:r>
      <w:r>
        <w:t xml:space="preserve"> class, which is instantiated with a format string as an argument. Instances of this class implement </w:t>
      </w:r>
      <w:r>
        <w:rPr>
          <w:rStyle w:val="Text0"/>
        </w:rPr>
        <w:t>pack</w:t>
      </w:r>
      <w:r>
        <w:t xml:space="preserve">, </w:t>
      </w:r>
      <w:r>
        <w:rPr>
          <w:rStyle w:val="Text0"/>
        </w:rPr>
        <w:t>pack_into</w:t>
      </w:r>
      <w:r>
        <w:t xml:space="preserve">, </w:t>
      </w:r>
      <w:r>
        <w:rPr>
          <w:rStyle w:val="Text0"/>
        </w:rPr>
        <w:t>unpack</w:t>
      </w:r>
      <w:r>
        <w:t xml:space="preserve">, </w:t>
      </w:r>
      <w:r>
        <w:rPr>
          <w:rStyle w:val="Text0"/>
        </w:rPr>
        <w:t>unpack_from</w:t>
      </w:r>
      <w:r>
        <w:t xml:space="preserve">, and </w:t>
      </w:r>
      <w:r>
        <w:rPr>
          <w:rStyle w:val="Text0"/>
        </w:rPr>
        <w:t>iter_unpack</w:t>
      </w:r>
      <w:r>
        <w:t xml:space="preserve"> methods corresponding to the functions described in the preceding table; they take the same arguments as the corresponding module functions, but omitting the </w:t>
      </w:r>
      <w:r>
        <w:rPr>
          <w:rStyle w:val="Text3"/>
        </w:rPr>
        <w:t>fmt</w:t>
      </w:r>
      <w:r>
        <w:t xml:space="preserve"> argument, which was provided on instantiation. This allows the class to compile the format string once and reuse it. Struct objects also have a </w:t>
      </w:r>
      <w:r>
        <w:rPr>
          <w:rStyle w:val="Text0"/>
        </w:rPr>
        <w:t>format</w:t>
      </w:r>
      <w:r>
        <w:t xml:space="preserve"> attribute that holds the format string for the object, and a </w:t>
      </w:r>
      <w:r>
        <w:rPr>
          <w:rStyle w:val="Text0"/>
        </w:rPr>
        <w:t>size</w:t>
      </w:r>
      <w:r>
        <w:t xml:space="preserve"> attribute that holds the calculated size of the structure.</w:t>
      </w:r>
      <w:r>
        <w:rPr>
          <w:rStyle w:val="Text111"/>
        </w:rPr>
        <w:bookmarkStart w:id="2598" w:name="idm45965205284912"/>
        <w:t/>
        <w:bookmarkEnd w:id="2598"/>
        <w:bookmarkStart w:id="2599" w:name="idm45965205283456"/>
        <w:t/>
        <w:bookmarkEnd w:id="2599"/>
        <w:bookmarkStart w:id="2600" w:name="idm45965205282080"/>
        <w:t/>
        <w:bookmarkEnd w:id="2600"/>
      </w:r>
    </w:p>
    <w:p>
      <w:bookmarkStart w:id="2601" w:name="In_Memory_Files__io_StringIO_and"/>
      <w:pPr>
        <w:keepNext/>
        <w:pStyle w:val="Heading 1"/>
      </w:pPr>
      <w:r>
        <w:t>In-Memory Files: io.StringIO and io.BytesIO</w:t>
      </w:r>
      <w:bookmarkEnd w:id="2601"/>
    </w:p>
    <w:p>
      <w:pPr>
        <w:pStyle w:val="Normal"/>
      </w:pPr>
      <w:r>
        <w:t>You</w:t>
      </w:r>
      <w:r>
        <w:rPr>
          <w:rStyle w:val="Text111"/>
        </w:rPr>
        <w:bookmarkStart w:id="2602" w:name="idm45965205279120"/>
        <w:t/>
        <w:bookmarkEnd w:id="2602"/>
        <w:bookmarkStart w:id="2603" w:name="idm45965205277360"/>
        <w:t/>
        <w:bookmarkEnd w:id="2603"/>
        <w:bookmarkStart w:id="2604" w:name="idm45965205276256"/>
        <w:t/>
        <w:bookmarkEnd w:id="2604"/>
        <w:bookmarkStart w:id="2605" w:name="idm45965205275152"/>
        <w:t/>
        <w:bookmarkEnd w:id="2605"/>
        <w:bookmarkStart w:id="2606" w:name="idm45965205273776"/>
        <w:t/>
        <w:bookmarkEnd w:id="2606"/>
      </w:r>
      <w:r>
        <w:t xml:space="preserve"> can implement file-like objects by writing Python classes that supply the methods you need. If all you want is for data to reside in memory, rather than in a file as seen by the operating system, use the classes</w:t>
      </w:r>
      <w:r>
        <w:rPr>
          <w:rStyle w:val="Text111"/>
        </w:rPr>
        <w:bookmarkStart w:id="2607" w:name="idm45965205272272"/>
        <w:t/>
        <w:bookmarkEnd w:id="2607"/>
      </w:r>
      <w:r>
        <w:t xml:space="preserve"> </w:t>
      </w:r>
      <w:r>
        <w:rPr>
          <w:rStyle w:val="Text0"/>
        </w:rPr>
        <w:t>StringIO</w:t>
      </w:r>
      <w:r>
        <w:t xml:space="preserve"> or</w:t>
      </w:r>
      <w:r>
        <w:rPr>
          <w:rStyle w:val="Text111"/>
        </w:rPr>
        <w:bookmarkStart w:id="2608" w:name="idm45965205270352"/>
        <w:t/>
        <w:bookmarkEnd w:id="2608"/>
      </w:r>
      <w:r>
        <w:t xml:space="preserve"> </w:t>
      </w:r>
      <w:r>
        <w:rPr>
          <w:rStyle w:val="Text0"/>
        </w:rPr>
        <w:t>BytesIO</w:t>
      </w:r>
      <w:r>
        <w:t xml:space="preserve"> of the </w:t>
      </w:r>
      <w:r>
        <w:rPr>
          <w:rStyle w:val="Text0"/>
        </w:rPr>
        <w:t>io</w:t>
      </w:r>
      <w:r>
        <w:t xml:space="preserve"> module. The difference between them is that instances of </w:t>
      </w:r>
      <w:r>
        <w:rPr>
          <w:rStyle w:val="Text0"/>
        </w:rPr>
        <w:t>StringIO</w:t>
      </w:r>
      <w:r>
        <w:t xml:space="preserve"> are text-mode files, so reads and writes consume or produce text strings, while instances of </w:t>
      </w:r>
      <w:r>
        <w:rPr>
          <w:rStyle w:val="Text0"/>
        </w:rPr>
        <w:t>BytesIO</w:t>
      </w:r>
      <w:r>
        <w:t xml:space="preserve"> are binary files, so reads and writes consume or produce bytestrings. These classes are especially useful in tests and other applications where program output should be redirected for buffering or journaling; </w:t>
      </w:r>
      <w:hyperlink w:anchor="The_print_Function__Programs_tha">
        <w:r>
          <w:rPr>
            <w:rStyle w:val="Text1"/>
          </w:rPr>
          <w:t>“The print Function”</w:t>
        </w:r>
      </w:hyperlink>
      <w:r>
        <w:t xml:space="preserve"> includes a useful context manager example, </w:t>
      </w:r>
      <w:r>
        <w:rPr>
          <w:rStyle w:val="Text0"/>
        </w:rPr>
        <w:t>redirect</w:t>
      </w:r>
      <w:r>
        <w:t>, that demonstrates this.</w:t>
      </w:r>
    </w:p>
    <w:p>
      <w:pPr>
        <w:pStyle w:val="Normal"/>
      </w:pPr>
      <w:r>
        <w:t xml:space="preserve">When you instantiate either class you can optionally pass a string argument, respectively </w:t>
      </w:r>
      <w:r>
        <w:rPr>
          <w:rStyle w:val="Text0"/>
        </w:rPr>
        <w:t>str</w:t>
      </w:r>
      <w:r>
        <w:t xml:space="preserve"> or </w:t>
      </w:r>
      <w:r>
        <w:rPr>
          <w:rStyle w:val="Text0"/>
        </w:rPr>
        <w:t>bytes</w:t>
      </w:r>
      <w:r>
        <w:t xml:space="preserve">, to use as the initial content of the file. Additionally, you can pass the argument </w:t>
      </w:r>
      <w:r>
        <w:rPr>
          <w:rStyle w:val="Text0"/>
        </w:rPr>
        <w:t>newline='\n'</w:t>
      </w:r>
      <w:r>
        <w:t xml:space="preserve"> to </w:t>
      </w:r>
      <w:r>
        <w:rPr>
          <w:rStyle w:val="Text0"/>
        </w:rPr>
        <w:t>StringIO</w:t>
      </w:r>
      <w:r>
        <w:t xml:space="preserve"> (but not </w:t>
      </w:r>
      <w:r>
        <w:rPr>
          <w:rStyle w:val="Text0"/>
        </w:rPr>
        <w:t>BytesIO</w:t>
      </w:r>
      <w:r>
        <w:t xml:space="preserve">) to control how line endings are handled (like in </w:t>
      </w:r>
      <w:hyperlink r:id="rId350">
        <w:r>
          <w:rPr>
            <w:rStyle w:val="Text30"/>
          </w:rPr>
          <w:t>TextIoWrapper</w:t>
        </w:r>
      </w:hyperlink>
      <w:r>
        <w:t xml:space="preserve">); if </w:t>
      </w:r>
      <w:r>
        <w:rPr>
          <w:rStyle w:val="Text0"/>
        </w:rPr>
        <w:t>newline</w:t>
      </w:r>
      <w:r>
        <w:t xml:space="preserve"> is </w:t>
      </w:r>
      <w:r>
        <w:rPr>
          <w:rStyle w:val="Text0"/>
        </w:rPr>
        <w:t>None</w:t>
      </w:r>
      <w:r>
        <w:t xml:space="preserve">, newlines are written as </w:t>
      </w:r>
      <w:r>
        <w:rPr>
          <w:rStyle w:val="Text0"/>
        </w:rPr>
        <w:t>\n</w:t>
      </w:r>
      <w:r>
        <w:t xml:space="preserve"> on all platforms. In addition to the methods described in </w:t>
      </w:r>
      <w:hyperlink w:anchor="Table_11_2__Attributes_and_metho">
        <w:r>
          <w:rPr>
            <w:rStyle w:val="Text1"/>
          </w:rPr>
          <w:t>Table 11-2</w:t>
        </w:r>
      </w:hyperlink>
      <w:r>
        <w:t xml:space="preserve">, an instance </w:t>
      </w:r>
      <w:r>
        <w:rPr>
          <w:rStyle w:val="Text3"/>
        </w:rPr>
        <w:t>f</w:t>
      </w:r>
      <w:r>
        <w:t xml:space="preserve"> of either class supplies one extra method:</w:t>
      </w:r>
    </w:p>
    <w:tbl>
      <w:tblPr>
        <w:tblW w:type="auto" w:w="0"/>
      </w:tblPr>
      <w:tr>
        <w:tc>
          <w:tcPr>
            <w:tcW w:type="auto" w:w="0"/>
            <w:tcMar>
              <w:left w:type="dxa" w:w="200"/>
              <w:top w:type="dxa" w:w="200"/>
              <w:right w:type="dxa" w:w="200"/>
              <w:bottom w:type="dxa" w:w="200"/>
            </w:tcMar>
          </w:tcPr>
          <w:p>
            <w:pPr>
              <w:pStyle w:val="Para 119"/>
            </w:pPr>
            <w:r>
              <w:t/>
            </w:r>
          </w:p>
          <w:p>
            <w:pPr>
              <w:pStyle w:val="Para 001"/>
            </w:pPr>
            <w:r>
              <w:t>getvalue</w:t>
            </w:r>
          </w:p>
        </w:tc>
        <w:tc>
          <w:tcPr>
            <w:tcW w:type="auto" w:w="0"/>
            <w:tcMar>
              <w:left w:type="dxa" w:w="200"/>
              <w:top w:type="dxa" w:w="200"/>
              <w:right w:type="dxa" w:w="200"/>
              <w:bottom w:type="dxa" w:w="200"/>
            </w:tcMar>
          </w:tcPr>
          <w:p>
            <w:pPr>
              <w:pStyle w:val="Para 002"/>
            </w:pPr>
            <w:r>
              <w:rPr>
                <w:rStyle w:val="Text0"/>
              </w:rPr>
              <w:t>getvalue()</w:t>
              <w:br w:clear="none"/>
            </w:r>
            <w:r>
              <w:t xml:space="preserve"> Returns</w:t>
            </w:r>
            <w:r>
              <w:rPr>
                <w:rStyle w:val="Text111"/>
              </w:rPr>
              <w:bookmarkStart w:id="2609" w:name="idm45965205251440"/>
              <w:t/>
              <w:bookmarkEnd w:id="2609"/>
            </w:r>
            <w:r>
              <w:t xml:space="preserve"> the current data contents of </w:t>
            </w:r>
            <w:r>
              <w:rPr>
                <w:rStyle w:val="Text3"/>
              </w:rPr>
              <w:t>f</w:t>
            </w:r>
            <w:r>
              <w:t xml:space="preserve"> as a string (text or bytes). You cannot call </w:t>
            </w:r>
            <w:r>
              <w:rPr>
                <w:rStyle w:val="Text3"/>
              </w:rPr>
              <w:t>f</w:t>
            </w:r>
            <w:r>
              <w:rPr>
                <w:rStyle w:val="Text0"/>
              </w:rPr>
              <w:t>.getvalue</w:t>
            </w:r>
            <w:r>
              <w:t xml:space="preserve"> after you call </w:t>
            </w:r>
            <w:r>
              <w:rPr>
                <w:rStyle w:val="Text3"/>
              </w:rPr>
              <w:t>f</w:t>
            </w:r>
            <w:r>
              <w:rPr>
                <w:rStyle w:val="Text0"/>
              </w:rPr>
              <w:t>.close</w:t>
            </w:r>
            <w:r>
              <w:t xml:space="preserve">: </w:t>
            </w:r>
            <w:r>
              <w:rPr>
                <w:rStyle w:val="Text0"/>
              </w:rPr>
              <w:t>close</w:t>
            </w:r>
            <w:r>
              <w:t xml:space="preserve"> frees the buffer that </w:t>
            </w:r>
            <w:r>
              <w:rPr>
                <w:rStyle w:val="Text3"/>
              </w:rPr>
              <w:t>f</w:t>
            </w:r>
            <w:r>
              <w:t xml:space="preserve"> internally keeps, and </w:t>
            </w:r>
            <w:r>
              <w:rPr>
                <w:rStyle w:val="Text0"/>
              </w:rPr>
              <w:t>getvalue</w:t>
            </w:r>
            <w:r>
              <w:t xml:space="preserve"> needs to return the buffer as its result.</w:t>
            </w:r>
          </w:p>
        </w:tc>
      </w:tr>
    </w:tbl>
    <w:p>
      <w:bookmarkStart w:id="2610" w:name="Archived_and_Compressed_Files__S"/>
      <w:pPr>
        <w:keepNext/>
        <w:pStyle w:val="Heading 1"/>
      </w:pPr>
      <w:r>
        <w:t>Archived and Compressed Files</w:t>
      </w:r>
      <w:bookmarkEnd w:id="2610"/>
    </w:p>
    <w:p>
      <w:pPr>
        <w:pStyle w:val="Normal"/>
      </w:pPr>
      <w:r>
        <w:t>Storage</w:t>
      </w:r>
      <w:r>
        <w:rPr>
          <w:rStyle w:val="Text111"/>
        </w:rPr>
        <w:bookmarkStart w:id="2611" w:name="FTarchive11"/>
        <w:t/>
        <w:bookmarkEnd w:id="2611"/>
        <w:bookmarkStart w:id="2612" w:name="archfile11"/>
        <w:t/>
        <w:bookmarkEnd w:id="2612"/>
        <w:bookmarkStart w:id="2613" w:name="comfile11"/>
        <w:t/>
        <w:bookmarkEnd w:id="2613"/>
      </w:r>
      <w:r>
        <w:t xml:space="preserve"> space and transmission bandwidth are increasingly cheap and abundant, but in many cases you can save such resources, at the expense of some extra computational effort, by using compression. Computational power grows cheaper and more abundant even faster than some other resources, such as bandwidth, so compression’s popularity keeps growing. Python makes it easy for your programs to support compression. We don’t cover the details of compression in this book, but you can find details on the relevant standard library modules in the </w:t>
      </w:r>
      <w:hyperlink r:id="rId351">
        <w:r>
          <w:rPr>
            <w:rStyle w:val="Text1"/>
          </w:rPr>
          <w:t>online docs</w:t>
        </w:r>
      </w:hyperlink>
      <w:r>
        <w:t>.</w:t>
      </w:r>
    </w:p>
    <w:p>
      <w:pPr>
        <w:pStyle w:val="Normal"/>
      </w:pPr>
      <w:r>
        <w:t xml:space="preserve">The rest of this section covers “archive” files (which collect in a single file a collection of files and optionally directories), which may or may not be compressed. Python’s stdlib offers two modules to handle two very popular archive formats: </w:t>
      </w:r>
      <w:r>
        <w:rPr>
          <w:rStyle w:val="Text0"/>
        </w:rPr>
        <w:t>tarfile</w:t>
      </w:r>
      <w:r>
        <w:t xml:space="preserve"> (which, by default, does not compress the files it bundles), and </w:t>
      </w:r>
      <w:r>
        <w:rPr>
          <w:rStyle w:val="Text0"/>
        </w:rPr>
        <w:t>zipfile</w:t>
      </w:r>
      <w:r>
        <w:t xml:space="preserve"> (which, by default, does compress the files it bundles).</w:t>
      </w:r>
    </w:p>
    <w:p>
      <w:bookmarkStart w:id="2614" w:name="The_tarfile_Module__The_tarfile"/>
      <w:pPr>
        <w:keepNext/>
        <w:pStyle w:val="Heading 2"/>
      </w:pPr>
      <w:r>
        <w:t>The tarfile Module</w:t>
      </w:r>
      <w:bookmarkEnd w:id="2614"/>
    </w:p>
    <w:p>
      <w:pPr>
        <w:pStyle w:val="Normal"/>
      </w:pPr>
      <w:r>
        <w:t>The</w:t>
      </w:r>
      <w:r>
        <w:rPr>
          <w:rStyle w:val="Text111"/>
        </w:rPr>
        <w:bookmarkStart w:id="2615" w:name="tarfile11"/>
        <w:t/>
        <w:bookmarkEnd w:id="2615"/>
      </w:r>
      <w:r>
        <w:t xml:space="preserve"> </w:t>
      </w:r>
      <w:r>
        <w:rPr>
          <w:rStyle w:val="Text0"/>
        </w:rPr>
        <w:t>tarfile</w:t>
      </w:r>
      <w:r>
        <w:t xml:space="preserve"> module lets you read and write</w:t>
      </w:r>
      <w:hyperlink r:id="rId352">
        <w:r>
          <w:rPr>
            <w:rStyle w:val="Text1"/>
          </w:rPr>
          <w:t>TAR files</w:t>
        </w:r>
      </w:hyperlink>
      <w:r>
        <w:t xml:space="preserve"> (archive files compatible with those handled by popular archiving programs such as </w:t>
      </w:r>
      <w:r>
        <w:rPr>
          <w:rStyle w:val="Text0"/>
        </w:rPr>
        <w:t>tar</w:t>
      </w:r>
      <w:r>
        <w:t xml:space="preserve">), optionally with gzip, bzip2, or LZMA compression. TAR files are typically named with a </w:t>
      </w:r>
      <w:r>
        <w:rPr>
          <w:rStyle w:val="Text4"/>
        </w:rPr>
        <w:t>.tar</w:t>
      </w:r>
      <w:r>
        <w:t xml:space="preserve"> or </w:t>
      </w:r>
      <w:r>
        <w:rPr>
          <w:rStyle w:val="Text4"/>
        </w:rPr>
        <w:t>.tar.(compression type)</w:t>
      </w:r>
      <w:r>
        <w:t xml:space="preserve"> extension. </w:t>
      </w:r>
      <w:r>
        <w:rPr>
          <w:rStyle w:val="Text34"/>
        </w:rPr>
        <w:t>3.8+</w:t>
      </w:r>
      <w:r>
        <w:t xml:space="preserve"> The default format of new archives is POSIX.1-2001 (pax). </w:t>
      </w:r>
      <w:r>
        <w:rPr>
          <w:rStyle w:val="Text5"/>
        </w:rPr>
        <w:t>python -m tarfile</w:t>
      </w:r>
      <w:r>
        <w:t xml:space="preserve"> offers a useful command-line interface to the module’s functionality: run it without arguments to get a brief help message.</w:t>
      </w:r>
    </w:p>
    <w:p>
      <w:pPr>
        <w:pStyle w:val="Normal"/>
      </w:pPr>
      <w:r>
        <w:t xml:space="preserve">The </w:t>
      </w:r>
      <w:r>
        <w:rPr>
          <w:rStyle w:val="Text0"/>
        </w:rPr>
        <w:t>tarfile</w:t>
      </w:r>
      <w:r>
        <w:t xml:space="preserve"> module supplies the functions listed in </w:t>
      </w:r>
      <w:hyperlink w:anchor="Table_11_9__Classes_and_function">
        <w:r>
          <w:rPr>
            <w:rStyle w:val="Text1"/>
          </w:rPr>
          <w:t>Table 11-9</w:t>
        </w:r>
      </w:hyperlink>
      <w:r>
        <w:t xml:space="preserve">. When handling invalid TAR files, functions of </w:t>
      </w:r>
      <w:r>
        <w:rPr>
          <w:rStyle w:val="Text0"/>
        </w:rPr>
        <w:t>tarfile</w:t>
      </w:r>
      <w:r>
        <w:t xml:space="preserve"> raise instances of </w:t>
      </w:r>
      <w:r>
        <w:rPr>
          <w:rStyle w:val="Text0"/>
        </w:rPr>
        <w:t>tarfile.TarError</w:t>
      </w:r>
      <w:r>
        <w:t>.</w:t>
      </w:r>
    </w:p>
    <w:tbl>
      <w:tblPr>
        <w:tblW w:type="auto" w:w="0"/>
      </w:tblPr>
      <w:tr>
        <w:tc>
          <w:tcPr>
            <w:tcW w:type="auto" w:w="0"/>
            <w:tcMar>
              <w:left w:type="dxa" w:w="200"/>
              <w:top w:type="dxa" w:w="200"/>
              <w:right w:type="dxa" w:w="200"/>
              <w:bottom w:type="dxa" w:w="200"/>
            </w:tcMar>
          </w:tcPr>
          <w:p>
            <w:bookmarkStart w:id="2616" w:name="Table_11_9__Classes_and_function"/>
            <w:pPr>
              <w:pStyle w:val="Para 011"/>
            </w:pPr>
            <w:r>
              <w:rPr>
                <w:rStyle w:val="Text117"/>
              </w:rPr>
              <w:t/>
            </w:r>
            <w:r>
              <w:t xml:space="preserve">Table 11-9. </w:t>
              <w:t xml:space="preserve">Classes and functions of the </w:t>
            </w:r>
            <w:r>
              <w:rPr>
                <w:rStyle w:val="Text0"/>
              </w:rPr>
              <w:t>tarfile</w:t>
            </w:r>
            <w:r>
              <w:t xml:space="preserve"> module</w:t>
            </w:r>
            <w:bookmarkEnd w:id="2616"/>
          </w:p>
          <w:p>
            <w:pPr>
              <w:pStyle w:val="Para 001"/>
            </w:pPr>
            <w:r>
              <w:t>is_tarfile</w:t>
            </w:r>
          </w:p>
        </w:tc>
        <w:tc>
          <w:tcPr>
            <w:tcW w:type="auto" w:w="0"/>
            <w:tcMar>
              <w:left w:type="dxa" w:w="200"/>
              <w:top w:type="dxa" w:w="200"/>
              <w:right w:type="dxa" w:w="200"/>
              <w:bottom w:type="dxa" w:w="200"/>
            </w:tcMar>
          </w:tcPr>
          <w:p>
            <w:pPr>
              <w:pStyle w:val="Para 002"/>
            </w:pPr>
            <w:r>
              <w:rPr>
                <w:rStyle w:val="Text0"/>
              </w:rPr>
              <w:t>is_tarfile(</w:t>
            </w:r>
            <w:r>
              <w:rPr>
                <w:rStyle w:val="Text3"/>
              </w:rPr>
              <w:t>filename</w:t>
            </w:r>
            <w:r>
              <w:rPr>
                <w:rStyle w:val="Text0"/>
              </w:rPr>
              <w:t>)</w:t>
              <w:br w:clear="none"/>
            </w:r>
            <w:r>
              <w:t xml:space="preserve"> Returns </w:t>
            </w:r>
            <w:r>
              <w:rPr>
                <w:rStyle w:val="Text5"/>
              </w:rPr>
              <w:t>True</w:t>
            </w:r>
            <w:r>
              <w:t xml:space="preserve"> when the file named by </w:t>
            </w:r>
            <w:r>
              <w:rPr>
                <w:rStyle w:val="Text3"/>
              </w:rPr>
              <w:t>filename</w:t>
            </w:r>
            <w:r>
              <w:t xml:space="preserve"> (which may be a </w:t>
            </w:r>
            <w:r>
              <w:rPr>
                <w:rStyle w:val="Text0"/>
              </w:rPr>
              <w:t>str</w:t>
            </w:r>
            <w:r>
              <w:t xml:space="preserve">, </w:t>
            </w:r>
            <w:r>
              <w:rPr>
                <w:rStyle w:val="Text34"/>
              </w:rPr>
              <w:t>3.9+</w:t>
            </w:r>
            <w:r>
              <w:t xml:space="preserve"> or a file or file-like object) appears to be a valid TAR file (possibly with compression), judging by the first few bytes;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open</w:t>
            </w:r>
          </w:p>
        </w:tc>
        <w:tc>
          <w:tcPr>
            <w:tcW w:type="auto" w:w="0"/>
            <w:shd w:val="clear" w:color="auto" w:fill="EEF2F6"/>
            <w:tcMar>
              <w:left w:type="dxa" w:w="200"/>
              <w:top w:type="dxa" w:w="200"/>
              <w:right w:type="dxa" w:w="200"/>
              <w:bottom w:type="dxa" w:w="200"/>
            </w:tcMar>
          </w:tcPr>
          <w:p>
            <w:pPr>
              <w:pStyle w:val="Para 002"/>
            </w:pPr>
            <w:r>
              <w:rPr>
                <w:rStyle w:val="Text0"/>
              </w:rPr>
              <w:t>open(name=</w:t>
            </w:r>
            <w:r>
              <w:rPr>
                <w:rStyle w:val="Text5"/>
              </w:rPr>
              <w:t>None</w:t>
            </w:r>
            <w:r>
              <w:rPr>
                <w:rStyle w:val="Text0"/>
              </w:rPr>
              <w:t>, mode='r', fileobj=</w:t>
            </w:r>
            <w:r>
              <w:rPr>
                <w:rStyle w:val="Text5"/>
              </w:rPr>
              <w:t>None</w:t>
            </w:r>
            <w:r>
              <w:rPr>
                <w:rStyle w:val="Text0"/>
              </w:rPr>
              <w:t>, bufsize=10240,</w:t>
            </w:r>
            <w:r>
              <w:t xml:space="preserve"> </w:t>
            </w:r>
            <w:r>
              <w:rPr>
                <w:rStyle w:val="Text3"/>
              </w:rPr>
              <w:t>**kwargs</w:t>
            </w:r>
            <w:r>
              <w:rPr>
                <w:rStyle w:val="Text0"/>
              </w:rPr>
              <w:t>)</w:t>
              <w:br w:clear="none"/>
            </w:r>
            <w:r>
              <w:t xml:space="preserve"> Creates and returns a </w:t>
            </w:r>
            <w:r>
              <w:rPr>
                <w:rStyle w:val="Text0"/>
              </w:rPr>
              <w:t>TarFile</w:t>
            </w:r>
            <w:r>
              <w:t xml:space="preserve"> instance </w:t>
            </w:r>
            <w:r>
              <w:rPr>
                <w:rStyle w:val="Text3"/>
              </w:rPr>
              <w:t>f</w:t>
            </w:r>
            <w:r>
              <w:t xml:space="preserve"> to read or create a TAR file through file-like object </w:t>
            </w:r>
            <w:r>
              <w:rPr>
                <w:rStyle w:val="Text0"/>
              </w:rPr>
              <w:t>fileobj</w:t>
            </w:r>
            <w:r>
              <w:t xml:space="preserve">. When </w:t>
            </w:r>
            <w:r>
              <w:rPr>
                <w:rStyle w:val="Text0"/>
              </w:rPr>
              <w:t>fileobj</w:t>
            </w:r>
            <w:r>
              <w:t xml:space="preserve"> is </w:t>
            </w:r>
            <w:r>
              <w:rPr>
                <w:rStyle w:val="Text5"/>
              </w:rPr>
              <w:t>None</w:t>
            </w:r>
            <w:r>
              <w:t xml:space="preserve">, </w:t>
            </w:r>
            <w:r>
              <w:rPr>
                <w:rStyle w:val="Text0"/>
              </w:rPr>
              <w:t>name</w:t>
            </w:r>
            <w:r>
              <w:t xml:space="preserve"> may be a string naming a file or a path-like object; </w:t>
            </w:r>
            <w:r>
              <w:rPr>
                <w:rStyle w:val="Text0"/>
              </w:rPr>
              <w:t>open</w:t>
            </w:r>
            <w:r>
              <w:t xml:space="preserve"> opens the file with the given </w:t>
            </w:r>
            <w:r>
              <w:rPr>
                <w:rStyle w:val="Text0"/>
              </w:rPr>
              <w:t>mode</w:t>
            </w:r>
            <w:r>
              <w:t xml:space="preserve"> (by default, </w:t>
            </w:r>
            <w:r>
              <w:rPr>
                <w:rStyle w:val="Text0"/>
              </w:rPr>
              <w:t>'r'</w:t>
            </w:r>
            <w:r>
              <w:t xml:space="preserve">), and </w:t>
            </w:r>
            <w:r>
              <w:rPr>
                <w:rStyle w:val="Text3"/>
              </w:rPr>
              <w:t>f</w:t>
            </w:r>
            <w:r>
              <w:t xml:space="preserve"> wraps the resulting file object. </w:t>
            </w:r>
            <w:r>
              <w:rPr>
                <w:rStyle w:val="Text0"/>
              </w:rPr>
              <w:t>open</w:t>
            </w:r>
            <w:r>
              <w:t xml:space="preserve"> may be used as a context manager (e.g., </w:t>
            </w:r>
            <w:r>
              <w:rPr>
                <w:rStyle w:val="Text5"/>
              </w:rPr>
              <w:t>with</w:t>
            </w:r>
            <w:r>
              <w:t xml:space="preserve"> </w:t>
            </w:r>
            <w:r>
              <w:rPr>
                <w:rStyle w:val="Text0"/>
              </w:rPr>
              <w:t>tarfile.open(...)</w:t>
            </w:r>
            <w:r>
              <w:t xml:space="preserve"> </w:t>
            </w:r>
            <w:r>
              <w:rPr>
                <w:rStyle w:val="Text5"/>
              </w:rPr>
              <w:t>as</w:t>
            </w:r>
            <w:r>
              <w:t xml:space="preserve"> </w:t>
            </w:r>
            <w:r>
              <w:rPr>
                <w:rStyle w:val="Text3"/>
              </w:rPr>
              <w:t>f</w:t>
            </w:r>
            <w:r>
              <w:t xml:space="preserve">). </w:t>
            </w:r>
          </w:p>
          <w:p>
            <w:pPr>
              <w:keepNext/>
              <w:pStyle w:val="Para 050"/>
              <w:keepLines w:val="on"/>
            </w:pPr>
            <w:r>
              <w:t>f.close may not close fileobj</w:t>
            </w:r>
          </w:p>
          <w:p>
            <w:pPr>
              <w:pStyle w:val="Para 041"/>
              <w:keepLines w:val="on"/>
            </w:pPr>
            <w:r>
              <w:t xml:space="preserve">Calling </w:t>
            </w:r>
            <w:r>
              <w:rPr>
                <w:rStyle w:val="Text3"/>
              </w:rPr>
              <w:t>f</w:t>
            </w:r>
            <w:r>
              <w:rPr>
                <w:rStyle w:val="Text0"/>
              </w:rPr>
              <w:t>.close</w:t>
            </w:r>
            <w:r>
              <w:t xml:space="preserve"> does </w:t>
            </w:r>
            <w:r>
              <w:rPr>
                <w:rStyle w:val="Text4"/>
              </w:rPr>
              <w:t>not</w:t>
            </w:r>
            <w:r>
              <w:t xml:space="preserve"> close </w:t>
            </w:r>
            <w:r>
              <w:rPr>
                <w:rStyle w:val="Text0"/>
              </w:rPr>
              <w:t>fileobj</w:t>
            </w:r>
            <w:r>
              <w:t xml:space="preserve"> when </w:t>
            </w:r>
            <w:r>
              <w:rPr>
                <w:rStyle w:val="Text3"/>
              </w:rPr>
              <w:t>f</w:t>
            </w:r>
            <w:r>
              <w:t xml:space="preserve"> was opened with a </w:t>
            </w:r>
            <w:r>
              <w:rPr>
                <w:rStyle w:val="Text0"/>
              </w:rPr>
              <w:t>fileobj</w:t>
            </w:r>
            <w:r>
              <w:t xml:space="preserve"> that is not </w:t>
            </w:r>
            <w:r>
              <w:rPr>
                <w:rStyle w:val="Text5"/>
              </w:rPr>
              <w:t>None</w:t>
            </w:r>
            <w:r>
              <w:t xml:space="preserve">. This behavior of </w:t>
            </w:r>
            <w:r>
              <w:rPr>
                <w:rStyle w:val="Text3"/>
              </w:rPr>
              <w:t>f</w:t>
            </w:r>
            <w:r>
              <w:rPr>
                <w:rStyle w:val="Text0"/>
              </w:rPr>
              <w:t>.close</w:t>
            </w:r>
            <w:r>
              <w:t xml:space="preserve"> is important when </w:t>
            </w:r>
            <w:r>
              <w:rPr>
                <w:rStyle w:val="Text0"/>
              </w:rPr>
              <w:t>fileobj</w:t>
            </w:r>
            <w:r>
              <w:t xml:space="preserve"> is an instance of </w:t>
            </w:r>
            <w:r>
              <w:rPr>
                <w:rStyle w:val="Text0"/>
              </w:rPr>
              <w:t>io.BytesIO</w:t>
            </w:r>
            <w:r>
              <w:t xml:space="preserve">: you can call </w:t>
            </w:r>
            <w:r>
              <w:rPr>
                <w:rStyle w:val="Text0"/>
              </w:rPr>
              <w:t>fileobj.getvalue</w:t>
            </w:r>
            <w:r>
              <w:t xml:space="preserve"> after </w:t>
            </w:r>
            <w:r>
              <w:rPr>
                <w:rStyle w:val="Text3"/>
              </w:rPr>
              <w:t>f</w:t>
            </w:r>
            <w:r>
              <w:rPr>
                <w:rStyle w:val="Text0"/>
              </w:rPr>
              <w:t>.close</w:t>
            </w:r>
            <w:r>
              <w:t xml:space="preserve"> to get the archived and possibly compressed data as a string. This behavior also means that you have to call </w:t>
            </w:r>
            <w:r>
              <w:rPr>
                <w:rStyle w:val="Text0"/>
              </w:rPr>
              <w:t>fileobj.close</w:t>
            </w:r>
            <w:r>
              <w:t xml:space="preserve"> explicitly after calling </w:t>
            </w:r>
            <w:r>
              <w:rPr>
                <w:rStyle w:val="Text3"/>
              </w:rPr>
              <w:t>f</w:t>
            </w:r>
            <w:r>
              <w:rPr>
                <w:rStyle w:val="Text0"/>
              </w:rPr>
              <w:t>.close</w:t>
            </w:r>
            <w:r>
              <w:t>.</w:t>
            </w:r>
          </w:p>
          <w:p>
            <w:pPr>
              <w:pStyle w:val="Para 022"/>
            </w:pPr>
            <w:r>
              <w:rPr>
                <w:rStyle w:val="Text0"/>
              </w:rPr>
              <w:t>mode</w:t>
            </w:r>
            <w:r>
              <w:t xml:space="preserve"> can be </w:t>
            </w:r>
            <w:r>
              <w:rPr>
                <w:rStyle w:val="Text0"/>
              </w:rPr>
              <w:t>'r'</w:t>
            </w:r>
            <w:r>
              <w:t xml:space="preserve"> to read an existing TAR file with whatever compression it has (if any); </w:t>
            </w:r>
            <w:r>
              <w:rPr>
                <w:rStyle w:val="Text0"/>
              </w:rPr>
              <w:t>'w'</w:t>
            </w:r>
            <w:r>
              <w:t xml:space="preserve"> to write a new TAR file, or truncate and rewrite an existing one, without compression; or </w:t>
            </w:r>
            <w:r>
              <w:rPr>
                <w:rStyle w:val="Text0"/>
              </w:rPr>
              <w:t>'a'</w:t>
            </w:r>
            <w:r>
              <w:t xml:space="preserve"> to append to an existing TAR file, without compression. Appending to compressed TAR files is not supported. To write a new TAR file with compression, </w:t>
            </w:r>
            <w:r>
              <w:rPr>
                <w:rStyle w:val="Text0"/>
              </w:rPr>
              <w:t>mode</w:t>
            </w:r>
            <w:r>
              <w:t xml:space="preserve"> can be </w:t>
            </w:r>
            <w:r>
              <w:rPr>
                <w:rStyle w:val="Text0"/>
              </w:rPr>
              <w:t>'w:gz'</w:t>
            </w:r>
            <w:r>
              <w:t xml:space="preserve"> for gzip compression, </w:t>
            </w:r>
            <w:r>
              <w:rPr>
                <w:rStyle w:val="Text0"/>
              </w:rPr>
              <w:t>'w:bz2'</w:t>
            </w:r>
            <w:r>
              <w:t xml:space="preserve"> for bzip2 compression, or </w:t>
            </w:r>
            <w:r>
              <w:rPr>
                <w:rStyle w:val="Text0"/>
              </w:rPr>
              <w:t>'w:xz'</w:t>
            </w:r>
            <w:r>
              <w:t xml:space="preserve"> for LZMA compression. You can use mode strings </w:t>
            </w:r>
            <w:r>
              <w:rPr>
                <w:rStyle w:val="Text0"/>
              </w:rPr>
              <w:t>'r:'</w:t>
            </w:r>
            <w:r>
              <w:t xml:space="preserve"> or </w:t>
            </w:r>
            <w:r>
              <w:rPr>
                <w:rStyle w:val="Text0"/>
              </w:rPr>
              <w:t>'w:'</w:t>
            </w:r>
            <w:r>
              <w:t xml:space="preserve"> to read or write uncompressed, nonseekable TAR files using a buffer of </w:t>
            </w:r>
            <w:r>
              <w:rPr>
                <w:rStyle w:val="Text0"/>
              </w:rPr>
              <w:t>bufsize</w:t>
            </w:r>
            <w:r>
              <w:t xml:space="preserve"> bytes; for reading TAR files use plain </w:t>
            </w:r>
            <w:r>
              <w:rPr>
                <w:rStyle w:val="Text0"/>
              </w:rPr>
              <w:t>'r'</w:t>
            </w:r>
            <w:r>
              <w:t>, since this will automatically uncompress as necessary.</w:t>
              <w:br w:clear="none"/>
              <w:t xml:space="preserve"> In the mode strings specifying compression, you can use a vertical bar (</w:t>
            </w:r>
            <w:r>
              <w:rPr>
                <w:rStyle w:val="Text0"/>
              </w:rPr>
              <w:t>|</w:t>
            </w:r>
            <w:r>
              <w:t>) instead of a colon (</w:t>
            </w:r>
            <w:r>
              <w:rPr>
                <w:rStyle w:val="Text0"/>
              </w:rPr>
              <w:t>:</w:t>
            </w:r>
            <w:r>
              <w:t>) to force sequential processing and fixed-size blocks; this is useful in the (admittedly very unlikely) case that you ever find yourself handling a tape device!</w:t>
            </w:r>
          </w:p>
        </w:tc>
      </w:tr>
    </w:tbl>
    <w:p>
      <w:bookmarkStart w:id="2617" w:name="The_TarFile_class__TarFile_is_th"/>
      <w:pPr>
        <w:keepNext/>
        <w:pStyle w:val="Heading 2"/>
      </w:pPr>
      <w:r>
        <w:t>The TarFile class</w:t>
      </w:r>
      <w:bookmarkEnd w:id="2617"/>
    </w:p>
    <w:p>
      <w:pPr>
        <w:pStyle w:val="Normal"/>
      </w:pPr>
      <w:hyperlink r:id="rId353">
        <w:r>
          <w:rPr>
            <w:rStyle w:val="Text30"/>
          </w:rPr>
          <w:t>TarFile</w:t>
        </w:r>
      </w:hyperlink>
      <w:r>
        <w:t xml:space="preserve"> is</w:t>
      </w:r>
      <w:r>
        <w:rPr>
          <w:rStyle w:val="Text111"/>
        </w:rPr>
        <w:bookmarkStart w:id="2618" w:name="idm45965205167920"/>
        <w:t/>
        <w:bookmarkEnd w:id="2618"/>
      </w:r>
      <w:r>
        <w:t xml:space="preserve"> the underlying class for most </w:t>
      </w:r>
      <w:r>
        <w:rPr>
          <w:rStyle w:val="Text0"/>
        </w:rPr>
        <w:t>tarfile</w:t>
      </w:r>
      <w:r>
        <w:t xml:space="preserve"> methods, but is not used directly. A </w:t>
      </w:r>
      <w:r>
        <w:rPr>
          <w:rStyle w:val="Text0"/>
        </w:rPr>
        <w:t>TarFile</w:t>
      </w:r>
      <w:r>
        <w:t xml:space="preserve"> instance </w:t>
      </w:r>
      <w:r>
        <w:rPr>
          <w:rStyle w:val="Text4"/>
        </w:rPr>
        <w:t>f</w:t>
      </w:r>
      <w:r>
        <w:t xml:space="preserve">, created using </w:t>
      </w:r>
      <w:r>
        <w:rPr>
          <w:rStyle w:val="Text0"/>
        </w:rPr>
        <w:t>tarfile.open</w:t>
      </w:r>
      <w:r>
        <w:t xml:space="preserve">, supplies the methods detailed in </w:t>
      </w:r>
      <w:hyperlink w:anchor="Table_11_10__Methods_of_a_TarFil">
        <w:r>
          <w:rPr>
            <w:rStyle w:val="Text1"/>
          </w:rPr>
          <w:t>Table 11-10</w:t>
        </w:r>
      </w:hyperlink>
      <w:r>
        <w:t>.</w:t>
      </w:r>
    </w:p>
    <w:tbl>
      <w:tblPr>
        <w:tblW w:type="auto" w:w="0"/>
      </w:tblPr>
      <w:tr>
        <w:tc>
          <w:tcPr>
            <w:tcW w:type="auto" w:w="0"/>
            <w:tcMar>
              <w:left w:type="dxa" w:w="200"/>
              <w:top w:type="dxa" w:w="200"/>
              <w:right w:type="dxa" w:w="200"/>
              <w:bottom w:type="dxa" w:w="200"/>
            </w:tcMar>
          </w:tcPr>
          <w:p>
            <w:bookmarkStart w:id="2619" w:name="Table_11_10__Methods_of_a_TarFil"/>
            <w:pPr>
              <w:pStyle w:val="Para 011"/>
            </w:pPr>
            <w:r>
              <w:rPr>
                <w:rStyle w:val="Text117"/>
              </w:rPr>
              <w:t/>
            </w:r>
            <w:r>
              <w:t xml:space="preserve">Table 11-10. </w:t>
              <w:t xml:space="preserve">Methods of a </w:t>
            </w:r>
            <w:r>
              <w:rPr>
                <w:rStyle w:val="Text0"/>
              </w:rPr>
              <w:t>TarFile</w:t>
            </w:r>
            <w:r>
              <w:t xml:space="preserve"> instance </w:t>
            </w:r>
            <w:r>
              <w:rPr>
                <w:rStyle w:val="Text3"/>
              </w:rPr>
              <w:t>f</w:t>
            </w:r>
            <w:bookmarkEnd w:id="2619"/>
          </w:p>
          <w:p>
            <w:pPr>
              <w:pStyle w:val="Para 001"/>
            </w:pPr>
            <w:r>
              <w:t>add</w:t>
            </w:r>
          </w:p>
        </w:tc>
        <w:tc>
          <w:tcPr>
            <w:tcW w:type="auto" w:w="0"/>
            <w:tcMar>
              <w:left w:type="dxa" w:w="200"/>
              <w:top w:type="dxa" w:w="200"/>
              <w:right w:type="dxa" w:w="200"/>
              <w:bottom w:type="dxa" w:w="200"/>
            </w:tcMar>
          </w:tcPr>
          <w:p>
            <w:pPr>
              <w:pStyle w:val="Para 002"/>
            </w:pPr>
            <w:r>
              <w:rPr>
                <w:rStyle w:val="Text3"/>
              </w:rPr>
              <w:t>f</w:t>
            </w:r>
            <w:r>
              <w:rPr>
                <w:rStyle w:val="Text0"/>
              </w:rPr>
              <w:t>.add(</w:t>
            </w:r>
            <w:r>
              <w:rPr>
                <w:rStyle w:val="Text3"/>
              </w:rPr>
              <w:t>name</w:t>
            </w:r>
            <w:r>
              <w:rPr>
                <w:rStyle w:val="Text0"/>
              </w:rPr>
              <w:t>, arcname=</w:t>
            </w:r>
            <w:r>
              <w:rPr>
                <w:rStyle w:val="Text5"/>
              </w:rPr>
              <w:t>None</w:t>
            </w:r>
            <w:r>
              <w:rPr>
                <w:rStyle w:val="Text0"/>
              </w:rPr>
              <w:t>, recursive=</w:t>
            </w:r>
            <w:r>
              <w:rPr>
                <w:rStyle w:val="Text5"/>
              </w:rPr>
              <w:t>True</w:t>
            </w:r>
            <w:r>
              <w:rPr>
                <w:rStyle w:val="Text0"/>
              </w:rPr>
              <w:t>, *, filter=</w:t>
            </w:r>
            <w:r>
              <w:rPr>
                <w:rStyle w:val="Text5"/>
              </w:rPr>
              <w:t>None</w:t>
            </w:r>
            <w:r>
              <w:rPr>
                <w:rStyle w:val="Text0"/>
              </w:rPr>
              <w:t>)</w:t>
              <w:br w:clear="none"/>
            </w:r>
            <w:r>
              <w:t xml:space="preserve"> Adds to archive </w:t>
            </w:r>
            <w:r>
              <w:rPr>
                <w:rStyle w:val="Text3"/>
              </w:rPr>
              <w:t>f</w:t>
            </w:r>
            <w:r>
              <w:t xml:space="preserve"> the file named by </w:t>
            </w:r>
            <w:r>
              <w:rPr>
                <w:rStyle w:val="Text3"/>
              </w:rPr>
              <w:t>name</w:t>
            </w:r>
            <w:r>
              <w:t xml:space="preserve"> (can be any type of file, a directory, or a symbolic link). When </w:t>
            </w:r>
            <w:r>
              <w:rPr>
                <w:rStyle w:val="Text0"/>
              </w:rPr>
              <w:t>arcname</w:t>
            </w:r>
            <w:r>
              <w:t xml:space="preserve"> is not </w:t>
            </w:r>
            <w:r>
              <w:rPr>
                <w:rStyle w:val="Text5"/>
              </w:rPr>
              <w:t>None</w:t>
            </w:r>
            <w:r>
              <w:t xml:space="preserve">, it’s used as the archive member name in lieu of </w:t>
            </w:r>
            <w:r>
              <w:rPr>
                <w:rStyle w:val="Text3"/>
              </w:rPr>
              <w:t>name</w:t>
            </w:r>
            <w:r>
              <w:t xml:space="preserve">. When </w:t>
            </w:r>
            <w:r>
              <w:rPr>
                <w:rStyle w:val="Text3"/>
              </w:rPr>
              <w:t>name</w:t>
            </w:r>
            <w:r>
              <w:t xml:space="preserve"> is a directory, and </w:t>
            </w:r>
            <w:r>
              <w:rPr>
                <w:rStyle w:val="Text0"/>
              </w:rPr>
              <w:t>recursive</w:t>
            </w:r>
            <w:r>
              <w:t xml:space="preserve"> is </w:t>
            </w:r>
            <w:r>
              <w:rPr>
                <w:rStyle w:val="Text5"/>
              </w:rPr>
              <w:t>True</w:t>
            </w:r>
            <w:r>
              <w:t xml:space="preserve">, </w:t>
            </w:r>
            <w:r>
              <w:rPr>
                <w:rStyle w:val="Text0"/>
              </w:rPr>
              <w:t>add</w:t>
            </w:r>
            <w:r>
              <w:t xml:space="preserve"> recursively adds the whole filesystem subtree rooted in that directory in sorted order. The optional (named-only) argument </w:t>
            </w:r>
            <w:r>
              <w:rPr>
                <w:rStyle w:val="Text0"/>
              </w:rPr>
              <w:t>filter</w:t>
            </w:r>
            <w:r>
              <w:t xml:space="preserve"> is a function that is called on each object to be added. It takes a </w:t>
            </w:r>
            <w:r>
              <w:rPr>
                <w:rStyle w:val="Text0"/>
              </w:rPr>
              <w:t>TarInfo</w:t>
            </w:r>
            <w:r>
              <w:t xml:space="preserve"> object argument and returns either the (possibly modified) </w:t>
            </w:r>
            <w:r>
              <w:rPr>
                <w:rStyle w:val="Text0"/>
              </w:rPr>
              <w:t>TarInfo</w:t>
            </w:r>
            <w:r>
              <w:t xml:space="preserve"> object, or </w:t>
            </w:r>
            <w:r>
              <w:rPr>
                <w:rStyle w:val="Text5"/>
              </w:rPr>
              <w:t>None</w:t>
            </w:r>
            <w:r>
              <w:t xml:space="preserve">. In the latter case the </w:t>
            </w:r>
            <w:r>
              <w:rPr>
                <w:rStyle w:val="Text0"/>
              </w:rPr>
              <w:t>add</w:t>
            </w:r>
            <w:r>
              <w:t xml:space="preserve"> method excludes this </w:t>
            </w:r>
            <w:r>
              <w:rPr>
                <w:rStyle w:val="Text0"/>
              </w:rPr>
              <w:t>TarInfo</w:t>
            </w:r>
            <w:r>
              <w:t xml:space="preserve"> object from the archive.</w:t>
            </w:r>
          </w:p>
        </w:tc>
      </w:tr>
    </w:tbl>
    <w:tbl>
      <w:tblPr>
        <w:tblW w:type="auto" w:w="0"/>
      </w:tblPr>
      <w:tr>
        <w:tc>
          <w:tcPr>
            <w:tcW w:type="auto" w:w="0"/>
            <w:shd w:val="clear" w:color="auto" w:fill="EEF2F6"/>
            <w:tcMar>
              <w:left w:type="dxa" w:w="200"/>
              <w:top w:type="dxa" w:w="200"/>
              <w:right w:type="dxa" w:w="200"/>
              <w:bottom w:type="dxa" w:w="200"/>
            </w:tcMar>
          </w:tcPr>
          <w:p>
            <w:pPr>
              <w:pStyle w:val="Para 001"/>
            </w:pPr>
            <w:r>
              <w:t>addfile</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.addfile(</w:t>
            </w:r>
            <w:r>
              <w:rPr>
                <w:rStyle w:val="Text3"/>
              </w:rPr>
              <w:t>tarinfo</w:t>
            </w:r>
            <w:r>
              <w:rPr>
                <w:rStyle w:val="Text0"/>
              </w:rPr>
              <w:t>, fileobj=</w:t>
            </w:r>
            <w:r>
              <w:rPr>
                <w:rStyle w:val="Text5"/>
              </w:rPr>
              <w:t>None</w:t>
            </w:r>
            <w:r>
              <w:rPr>
                <w:rStyle w:val="Text0"/>
              </w:rPr>
              <w:t>)</w:t>
              <w:br w:clear="none"/>
            </w:r>
            <w:r>
              <w:t xml:space="preserve"> Adds to archive </w:t>
            </w:r>
            <w:r>
              <w:rPr>
                <w:rStyle w:val="Text3"/>
              </w:rPr>
              <w:t>f</w:t>
            </w:r>
            <w:r>
              <w:t xml:space="preserve"> a </w:t>
            </w:r>
            <w:r>
              <w:rPr>
                <w:rStyle w:val="Text0"/>
              </w:rPr>
              <w:t>TarInfo</w:t>
            </w:r>
            <w:r>
              <w:t xml:space="preserve"> object </w:t>
            </w:r>
            <w:r>
              <w:rPr>
                <w:rStyle w:val="Text3"/>
              </w:rPr>
              <w:t>tarinfo</w:t>
            </w:r>
            <w:r>
              <w:t xml:space="preserve">. If </w:t>
            </w:r>
            <w:r>
              <w:rPr>
                <w:rStyle w:val="Text0"/>
              </w:rPr>
              <w:t>fileobj</w:t>
            </w:r>
            <w:r>
              <w:t xml:space="preserve"> is not </w:t>
            </w:r>
            <w:r>
              <w:rPr>
                <w:rStyle w:val="Text5"/>
              </w:rPr>
              <w:t>None</w:t>
            </w:r>
            <w:r>
              <w:t xml:space="preserve">, the first </w:t>
            </w:r>
            <w:r>
              <w:rPr>
                <w:rStyle w:val="Text3"/>
              </w:rPr>
              <w:t>tarinfo</w:t>
            </w:r>
            <w:r>
              <w:rPr>
                <w:rStyle w:val="Text0"/>
              </w:rPr>
              <w:t>.size</w:t>
            </w:r>
            <w:r>
              <w:t xml:space="preserve"> bytes of binary file-like object </w:t>
            </w:r>
            <w:r>
              <w:rPr>
                <w:rStyle w:val="Text0"/>
              </w:rPr>
              <w:t>fileobj</w:t>
            </w:r>
            <w:r>
              <w:t xml:space="preserve"> are added.</w:t>
            </w:r>
          </w:p>
        </w:tc>
      </w:tr>
    </w:tbl>
    <w:tbl>
      <w:tblPr>
        <w:tblW w:type="auto" w:w="0"/>
      </w:tblPr>
      <w:tr>
        <w:tc>
          <w:tcPr>
            <w:tcW w:type="auto" w:w="0"/>
            <w:tcMar>
              <w:left w:type="dxa" w:w="200"/>
              <w:top w:type="dxa" w:w="200"/>
              <w:right w:type="dxa" w:w="200"/>
              <w:bottom w:type="dxa" w:w="200"/>
            </w:tcMar>
          </w:tcPr>
          <w:p>
            <w:pPr>
              <w:pStyle w:val="Para 001"/>
            </w:pPr>
            <w:r>
              <w:t>close</w:t>
            </w:r>
          </w:p>
        </w:tc>
        <w:tc>
          <w:tcPr>
            <w:tcW w:type="auto" w:w="0"/>
            <w:tcMar>
              <w:left w:type="dxa" w:w="200"/>
              <w:top w:type="dxa" w:w="200"/>
              <w:right w:type="dxa" w:w="200"/>
              <w:bottom w:type="dxa" w:w="200"/>
            </w:tcMar>
          </w:tcPr>
          <w:p>
            <w:pPr>
              <w:pStyle w:val="Para 002"/>
            </w:pPr>
            <w:r>
              <w:rPr>
                <w:rStyle w:val="Text3"/>
              </w:rPr>
              <w:t>f</w:t>
            </w:r>
            <w:r>
              <w:rPr>
                <w:rStyle w:val="Text0"/>
              </w:rPr>
              <w:t>.close()</w:t>
              <w:br w:clear="none"/>
            </w:r>
            <w:r>
              <w:t xml:space="preserve"> Closes archive </w:t>
            </w:r>
            <w:r>
              <w:rPr>
                <w:rStyle w:val="Text3"/>
              </w:rPr>
              <w:t>f</w:t>
            </w:r>
            <w:r>
              <w:t xml:space="preserve">. You must call </w:t>
            </w:r>
            <w:r>
              <w:rPr>
                <w:rStyle w:val="Text0"/>
              </w:rPr>
              <w:t>close</w:t>
            </w:r>
            <w:r>
              <w:t xml:space="preserve">, or else an incomplete, unusable TAR file might be left on disk. Such mandatory finalization is best performed with a </w:t>
            </w:r>
            <w:r>
              <w:rPr>
                <w:rStyle w:val="Text5"/>
              </w:rPr>
              <w:t>try</w:t>
            </w:r>
            <w:r>
              <w:rPr>
                <w:rStyle w:val="Text0"/>
              </w:rPr>
              <w:t>/</w:t>
            </w:r>
            <w:r>
              <w:rPr>
                <w:rStyle w:val="Text5"/>
              </w:rPr>
              <w:t>finally</w:t>
            </w:r>
            <w:r>
              <w:t xml:space="preserve">, as covered in </w:t>
            </w:r>
            <w:hyperlink w:anchor="try_finally__Here_s_the_syntax_f">
              <w:r>
                <w:rPr>
                  <w:rStyle w:val="Text1"/>
                </w:rPr>
                <w:t>“try/finally”</w:t>
              </w:r>
            </w:hyperlink>
            <w:r>
              <w:t xml:space="preserve">, or, even better, a </w:t>
            </w:r>
            <w:r>
              <w:rPr>
                <w:rStyle w:val="Text5"/>
              </w:rPr>
              <w:t>with</w:t>
            </w:r>
            <w:r>
              <w:t xml:space="preserve"> statement, covered in </w:t>
            </w:r>
            <w:hyperlink w:anchor="The_with_Statement_and_Context_M">
              <w:r>
                <w:rPr>
                  <w:rStyle w:val="Text1"/>
                </w:rPr>
                <w:t>“The with Statement and Context Managers”</w:t>
              </w:r>
            </w:hyperlink>
            <w:r>
              <w:t xml:space="preserve">. Calling </w:t>
            </w:r>
            <w:r>
              <w:rPr>
                <w:rStyle w:val="Text3"/>
              </w:rPr>
              <w:t>f</w:t>
            </w:r>
            <w:r>
              <w:rPr>
                <w:rStyle w:val="Text0"/>
              </w:rPr>
              <w:t>.close</w:t>
            </w:r>
            <w:r>
              <w:t xml:space="preserve"> does </w:t>
            </w:r>
            <w:r>
              <w:rPr>
                <w:rStyle w:val="Text4"/>
              </w:rPr>
              <w:t>not</w:t>
            </w:r>
            <w:r>
              <w:t xml:space="preserve"> close </w:t>
            </w:r>
            <w:r>
              <w:rPr>
                <w:rStyle w:val="Text0"/>
              </w:rPr>
              <w:t>fileobj</w:t>
            </w:r>
            <w:r>
              <w:t xml:space="preserve"> if </w:t>
            </w:r>
            <w:r>
              <w:rPr>
                <w:rStyle w:val="Text3"/>
              </w:rPr>
              <w:t>f</w:t>
            </w:r>
            <w:r>
              <w:t xml:space="preserve"> was created with a non-</w:t>
            </w:r>
            <w:r>
              <w:rPr>
                <w:rStyle w:val="Text5"/>
              </w:rPr>
              <w:t>None</w:t>
            </w:r>
            <w:r>
              <w:t xml:space="preserve"> </w:t>
            </w:r>
            <w:r>
              <w:rPr>
                <w:rStyle w:val="Text0"/>
              </w:rPr>
              <w:t>fileobj</w:t>
            </w:r>
            <w:r>
              <w:t xml:space="preserve">. This matters especially when </w:t>
            </w:r>
            <w:r>
              <w:rPr>
                <w:rStyle w:val="Text0"/>
              </w:rPr>
              <w:t>fileobj</w:t>
            </w:r>
            <w:r>
              <w:t xml:space="preserve"> is an instance of </w:t>
            </w:r>
            <w:r>
              <w:rPr>
                <w:rStyle w:val="Text0"/>
              </w:rPr>
              <w:t>io.BytesIO</w:t>
            </w:r>
            <w:r>
              <w:t xml:space="preserve">: you can call </w:t>
            </w:r>
            <w:r>
              <w:rPr>
                <w:rStyle w:val="Text0"/>
              </w:rPr>
              <w:t>fileobj.getvalue</w:t>
            </w:r>
            <w:r>
              <w:t xml:space="preserve"> after </w:t>
            </w:r>
            <w:r>
              <w:rPr>
                <w:rStyle w:val="Text3"/>
              </w:rPr>
              <w:t>f</w:t>
            </w:r>
            <w:r>
              <w:rPr>
                <w:rStyle w:val="Text0"/>
              </w:rPr>
              <w:t>.close</w:t>
            </w:r>
            <w:r>
              <w:t xml:space="preserve"> to get the compressed data string. So, you always have to call </w:t>
            </w:r>
            <w:r>
              <w:rPr>
                <w:rStyle w:val="Text0"/>
              </w:rPr>
              <w:t>fileobj.close</w:t>
            </w:r>
            <w:r>
              <w:t xml:space="preserve"> (explicitly, or implicitly by using a </w:t>
            </w:r>
            <w:r>
              <w:rPr>
                <w:rStyle w:val="Text5"/>
              </w:rPr>
              <w:t>with</w:t>
            </w:r>
            <w:r>
              <w:t xml:space="preserve"> statement) </w:t>
            </w:r>
            <w:r>
              <w:rPr>
                <w:rStyle w:val="Text4"/>
              </w:rPr>
              <w:t>after</w:t>
            </w:r>
            <w:r>
              <w:t xml:space="preserve"> </w:t>
            </w:r>
            <w:r>
              <w:rPr>
                <w:rStyle w:val="Text3"/>
              </w:rPr>
              <w:t>f</w:t>
            </w:r>
            <w:r>
              <w:rPr>
                <w:rStyle w:val="Text0"/>
              </w:rPr>
              <w:t>.close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extract</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extract(</w:t>
            </w:r>
            <w:r>
              <w:rPr>
                <w:rStyle w:val="Text3"/>
              </w:rPr>
              <w:t>member</w:t>
            </w:r>
            <w:r>
              <w:rPr>
                <w:rStyle w:val="Text0"/>
              </w:rPr>
              <w:t>, path='', set_attrs=</w:t>
            </w:r>
            <w:r>
              <w:rPr>
                <w:rStyle w:val="Text5"/>
              </w:rPr>
              <w:t>True</w:t>
            </w:r>
            <w:r>
              <w:rPr>
                <w:rStyle w:val="Text0"/>
              </w:rPr>
              <w:t>, numeric_owner=</w:t>
            </w:r>
            <w:r>
              <w:rPr>
                <w:rStyle w:val="Text5"/>
              </w:rPr>
              <w:t>False</w:t>
            </w:r>
            <w:r>
              <w:rPr>
                <w:rStyle w:val="Text0"/>
              </w:rPr>
              <w:t>)</w:t>
              <w:br w:clear="none"/>
            </w:r>
            <w:r>
              <w:t xml:space="preserve"> Extracts the archive member identified by </w:t>
            </w:r>
            <w:r>
              <w:rPr>
                <w:rStyle w:val="Text3"/>
              </w:rPr>
              <w:t>member</w:t>
            </w:r>
            <w:r>
              <w:t xml:space="preserve"> (a name or a </w:t>
            </w:r>
            <w:r>
              <w:rPr>
                <w:rStyle w:val="Text0"/>
              </w:rPr>
              <w:t>TarInfo</w:t>
            </w:r>
            <w:r>
              <w:t xml:space="preserve"> instance) into a corresponding file in the directory (or path-like object) named by </w:t>
            </w:r>
            <w:r>
              <w:rPr>
                <w:rStyle w:val="Text0"/>
              </w:rPr>
              <w:t>path</w:t>
            </w:r>
            <w:r>
              <w:t xml:space="preserve"> (the current directory by default). If </w:t>
            </w:r>
            <w:r>
              <w:rPr>
                <w:rStyle w:val="Text0"/>
              </w:rPr>
              <w:t>set_attrs</w:t>
            </w:r>
            <w:r>
              <w:t xml:space="preserve"> is </w:t>
            </w:r>
            <w:r>
              <w:rPr>
                <w:rStyle w:val="Text5"/>
              </w:rPr>
              <w:t>True</w:t>
            </w:r>
            <w:r>
              <w:t xml:space="preserve">, the owner and timestamps will be set as they were saved in the TAR file; otherwise, the owner and timestamps for the extracted file will be set using the current user and time values. If </w:t>
            </w:r>
            <w:r>
              <w:rPr>
                <w:rStyle w:val="Text0"/>
              </w:rPr>
              <w:t>numeric_owner</w:t>
            </w:r>
            <w:r>
              <w:t xml:space="preserve"> is </w:t>
            </w:r>
            <w:r>
              <w:rPr>
                <w:rStyle w:val="Text5"/>
              </w:rPr>
              <w:t>True</w:t>
            </w:r>
            <w:r>
              <w:t xml:space="preserve">, the UID and GID numbers from the TAR file are used to set the owner/group for the extracted files; otherwise, the named values from the TAR file are used. (The </w:t>
            </w:r>
            <w:hyperlink r:id="rId354">
              <w:r>
                <w:rPr>
                  <w:rStyle w:val="Text1"/>
                </w:rPr>
                <w:t>online docs</w:t>
              </w:r>
            </w:hyperlink>
            <w:r>
              <w:t xml:space="preserve"> recommend using </w:t>
            </w:r>
            <w:r>
              <w:rPr>
                <w:rStyle w:val="Text0"/>
              </w:rPr>
              <w:t>extractall</w:t>
            </w:r>
            <w:r>
              <w:t xml:space="preserve"> over calling </w:t>
            </w:r>
            <w:r>
              <w:rPr>
                <w:rStyle w:val="Text0"/>
              </w:rPr>
              <w:t>extract</w:t>
            </w:r>
            <w:r>
              <w:t xml:space="preserve"> directly, since </w:t>
            </w:r>
            <w:r>
              <w:rPr>
                <w:rStyle w:val="Text0"/>
              </w:rPr>
              <w:t>extractall</w:t>
            </w:r>
            <w:r>
              <w:t xml:space="preserve"> does additional error handling internally.)</w:t>
            </w:r>
          </w:p>
        </w:tc>
      </w:tr>
    </w:tbl>
    <w:tbl>
      <w:tblPr>
        <w:tblW w:type="auto" w:w="0"/>
      </w:tblPr>
      <w:tr>
        <w:tc>
          <w:tcPr>
            <w:tcW w:type="auto" w:w="0"/>
            <w:tcMar>
              <w:left w:type="dxa" w:w="200"/>
              <w:top w:type="dxa" w:w="200"/>
              <w:right w:type="dxa" w:w="200"/>
              <w:bottom w:type="dxa" w:w="200"/>
            </w:tcMar>
          </w:tcPr>
          <w:p>
            <w:pPr>
              <w:pStyle w:val="Para 001"/>
            </w:pPr>
            <w:r>
              <w:t>extractall</w:t>
            </w:r>
          </w:p>
        </w:tc>
        <w:tc>
          <w:tcPr>
            <w:tcW w:type="auto" w:w="0"/>
            <w:tcMar>
              <w:left w:type="dxa" w:w="200"/>
              <w:top w:type="dxa" w:w="200"/>
              <w:right w:type="dxa" w:w="200"/>
              <w:bottom w:type="dxa" w:w="200"/>
            </w:tcMar>
          </w:tcPr>
          <w:p>
            <w:pPr>
              <w:pStyle w:val="Para 002"/>
            </w:pPr>
            <w:r>
              <w:rPr>
                <w:rStyle w:val="Text3"/>
              </w:rPr>
              <w:t>f</w:t>
            </w:r>
            <w:r>
              <w:rPr>
                <w:rStyle w:val="Text0"/>
              </w:rPr>
              <w:t>.extractall(path='.', members=</w:t>
            </w:r>
            <w:r>
              <w:rPr>
                <w:rStyle w:val="Text5"/>
              </w:rPr>
              <w:t>None</w:t>
            </w:r>
            <w:r>
              <w:rPr>
                <w:rStyle w:val="Text0"/>
              </w:rPr>
              <w:t>, numeric_owner=</w:t>
            </w:r>
            <w:r>
              <w:rPr>
                <w:rStyle w:val="Text5"/>
              </w:rPr>
              <w:t>False</w:t>
            </w:r>
            <w:r>
              <w:rPr>
                <w:rStyle w:val="Text0"/>
              </w:rPr>
              <w:t>)</w:t>
              <w:br w:clear="none"/>
            </w:r>
            <w:r>
              <w:t xml:space="preserve"> Similar to calling </w:t>
            </w:r>
            <w:r>
              <w:rPr>
                <w:rStyle w:val="Text0"/>
              </w:rPr>
              <w:t>extract</w:t>
            </w:r>
            <w:r>
              <w:t xml:space="preserve"> on each member of TAR file </w:t>
            </w:r>
            <w:r>
              <w:rPr>
                <w:rStyle w:val="Text3"/>
              </w:rPr>
              <w:t>f</w:t>
            </w:r>
            <w:r>
              <w:t xml:space="preserve">, or just those listed in the </w:t>
            </w:r>
            <w:r>
              <w:rPr>
                <w:rStyle w:val="Text0"/>
              </w:rPr>
              <w:t>members</w:t>
            </w:r>
            <w:r>
              <w:t xml:space="preserve"> argument, with additional error checking for </w:t>
            </w:r>
            <w:r>
              <w:rPr>
                <w:rStyle w:val="Text0"/>
              </w:rPr>
              <w:t>chown</w:t>
            </w:r>
            <w:r>
              <w:t xml:space="preserve">, </w:t>
            </w:r>
            <w:r>
              <w:rPr>
                <w:rStyle w:val="Text0"/>
              </w:rPr>
              <w:t>chmod</w:t>
            </w:r>
            <w:r>
              <w:t xml:space="preserve">, and </w:t>
            </w:r>
            <w:r>
              <w:rPr>
                <w:rStyle w:val="Text0"/>
              </w:rPr>
              <w:t>utime</w:t>
            </w:r>
            <w:r>
              <w:t xml:space="preserve"> errors that occur while writing the extracted members. </w:t>
            </w:r>
          </w:p>
          <w:p>
            <w:pPr>
              <w:keepNext/>
              <w:pStyle w:val="Para 056"/>
              <w:keepLines w:val="on"/>
            </w:pPr>
            <w:r>
              <w:t>Don’t Use extractall on a Tarfile from an Untrusted Source</w:t>
            </w:r>
          </w:p>
          <w:p>
            <w:pPr>
              <w:pStyle w:val="Para 041"/>
              <w:keepLines w:val="on"/>
            </w:pPr>
            <w:r>
              <w:rPr>
                <w:rStyle w:val="Text0"/>
              </w:rPr>
              <w:t>extractall</w:t>
            </w:r>
            <w:r>
              <w:t xml:space="preserve"> does not check the paths of extracted files, so there is a risk that an extracted file will have an absolute path (or include one or more </w:t>
            </w:r>
            <w:r>
              <w:rPr>
                <w:rStyle w:val="Text0"/>
              </w:rPr>
              <w:t>..</w:t>
            </w:r>
            <w:r>
              <w:t xml:space="preserve"> components) and thus overwrite a potentially sensitive file.</w:t>
            </w:r>
            <w:hyperlink w:anchor="a_Described_further_in_CVE_2007">
              <w:r>
                <w:rPr>
                  <w:rStyle w:val="Text96"/>
                </w:rPr>
                <w:bookmarkStart w:id="2620" w:name="a_9"/>
                <w:t>a</w:t>
                <w:bookmarkEnd w:id="2620"/>
              </w:r>
            </w:hyperlink>
            <w:r>
              <w:t xml:space="preserve"> It is best to read each member individually and only extract it if it has a safe path (i.e., no absolute paths or relative paths with any</w:t>
            </w:r>
            <w:r>
              <w:rPr>
                <w:rStyle w:val="Text0"/>
              </w:rPr>
              <w:t>..</w:t>
            </w:r>
            <w:r>
              <w:t xml:space="preserve"> path component).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extractfile</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.extractfile(</w:t>
            </w:r>
            <w:r>
              <w:rPr>
                <w:rStyle w:val="Text3"/>
              </w:rPr>
              <w:t>member</w:t>
            </w:r>
            <w:r>
              <w:rPr>
                <w:rStyle w:val="Text0"/>
              </w:rPr>
              <w:t>)</w:t>
              <w:br w:clear="none"/>
            </w:r>
            <w:r>
              <w:t xml:space="preserve"> Extracts the archive member identified by </w:t>
            </w:r>
            <w:r>
              <w:rPr>
                <w:rStyle w:val="Text3"/>
              </w:rPr>
              <w:t>member</w:t>
            </w:r>
            <w:r>
              <w:t xml:space="preserve"> (a name or a </w:t>
            </w:r>
            <w:r>
              <w:rPr>
                <w:rStyle w:val="Text0"/>
              </w:rPr>
              <w:t>TarInfo</w:t>
            </w:r>
            <w:r>
              <w:t xml:space="preserve"> instance) and returns an </w:t>
            </w:r>
            <w:r>
              <w:rPr>
                <w:rStyle w:val="Text0"/>
              </w:rPr>
              <w:t>io.BufferedReader</w:t>
            </w:r>
            <w:r>
              <w:t xml:space="preserve"> object with the methods </w:t>
            </w:r>
            <w:r>
              <w:rPr>
                <w:rStyle w:val="Text0"/>
              </w:rPr>
              <w:t>read</w:t>
            </w:r>
            <w:r>
              <w:t xml:space="preserve">, </w:t>
            </w:r>
            <w:r>
              <w:rPr>
                <w:rStyle w:val="Text0"/>
              </w:rPr>
              <w:t>readline</w:t>
            </w:r>
            <w:r>
              <w:t xml:space="preserve">, </w:t>
            </w:r>
            <w:r>
              <w:rPr>
                <w:rStyle w:val="Text0"/>
              </w:rPr>
              <w:t>readlines</w:t>
            </w:r>
            <w:r>
              <w:t xml:space="preserve">, </w:t>
            </w:r>
            <w:r>
              <w:rPr>
                <w:rStyle w:val="Text0"/>
              </w:rPr>
              <w:t>seek</w:t>
            </w:r>
            <w:r>
              <w:t xml:space="preserve">, and </w:t>
            </w:r>
            <w:r>
              <w:rPr>
                <w:rStyle w:val="Text0"/>
              </w:rPr>
              <w:t>tell</w:t>
            </w:r>
            <w:r>
              <w:t>.</w:t>
            </w:r>
          </w:p>
        </w:tc>
      </w:tr>
    </w:tbl>
    <w:tbl>
      <w:tblPr>
        <w:tblW w:type="auto" w:w="0"/>
      </w:tblPr>
      <w:tr>
        <w:tc>
          <w:tcPr>
            <w:tcW w:type="auto" w:w="0"/>
            <w:tcMar>
              <w:left w:type="dxa" w:w="200"/>
              <w:top w:type="dxa" w:w="200"/>
              <w:right w:type="dxa" w:w="200"/>
              <w:bottom w:type="dxa" w:w="200"/>
            </w:tcMar>
          </w:tcPr>
          <w:p>
            <w:pPr>
              <w:pStyle w:val="Para 001"/>
            </w:pPr>
            <w:r>
              <w:t>getmember</w:t>
            </w:r>
          </w:p>
        </w:tc>
        <w:tc>
          <w:tcPr>
            <w:tcW w:type="auto" w:w="0"/>
            <w:tcMar>
              <w:left w:type="dxa" w:w="200"/>
              <w:top w:type="dxa" w:w="200"/>
              <w:right w:type="dxa" w:w="200"/>
              <w:bottom w:type="dxa" w:w="200"/>
            </w:tcMar>
          </w:tcPr>
          <w:p>
            <w:pPr>
              <w:pStyle w:val="Para 002"/>
            </w:pPr>
            <w:r>
              <w:rPr>
                <w:rStyle w:val="Text3"/>
              </w:rPr>
              <w:t>f</w:t>
            </w:r>
            <w:r>
              <w:rPr>
                <w:rStyle w:val="Text0"/>
              </w:rPr>
              <w:t>.getmember(</w:t>
            </w:r>
            <w:r>
              <w:rPr>
                <w:rStyle w:val="Text3"/>
              </w:rPr>
              <w:t>name</w:t>
            </w:r>
            <w:r>
              <w:rPr>
                <w:rStyle w:val="Text0"/>
              </w:rPr>
              <w:t>)</w:t>
              <w:br w:clear="none"/>
            </w:r>
            <w:r>
              <w:t xml:space="preserve"> Returns a </w:t>
            </w:r>
            <w:r>
              <w:rPr>
                <w:rStyle w:val="Text0"/>
              </w:rPr>
              <w:t>TarInfo</w:t>
            </w:r>
            <w:r>
              <w:t xml:space="preserve"> instance with information about the archive member named by the string </w:t>
            </w:r>
            <w:r>
              <w:rPr>
                <w:rStyle w:val="Text3"/>
              </w:rPr>
              <w:t>name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getmembers</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.getmembers()</w:t>
              <w:br w:clear="none"/>
            </w:r>
            <w:r>
              <w:t xml:space="preserve"> Returns a list of </w:t>
            </w:r>
            <w:r>
              <w:rPr>
                <w:rStyle w:val="Text0"/>
              </w:rPr>
              <w:t>TarInfo</w:t>
            </w:r>
            <w:r>
              <w:t xml:space="preserve"> instances, one for each member in archive </w:t>
            </w:r>
            <w:r>
              <w:rPr>
                <w:rStyle w:val="Text3"/>
              </w:rPr>
              <w:t>f</w:t>
            </w:r>
            <w:r>
              <w:t>, in the same order as the entries in the archive itself.</w:t>
            </w:r>
          </w:p>
        </w:tc>
      </w:tr>
    </w:tbl>
    <w:tbl>
      <w:tblPr>
        <w:tblW w:type="auto" w:w="0"/>
      </w:tblPr>
      <w:tr>
        <w:tc>
          <w:tcPr>
            <w:tcW w:type="auto" w:w="0"/>
            <w:tcMar>
              <w:left w:type="dxa" w:w="200"/>
              <w:top w:type="dxa" w:w="200"/>
              <w:right w:type="dxa" w:w="200"/>
              <w:bottom w:type="dxa" w:w="200"/>
            </w:tcMar>
          </w:tcPr>
          <w:p>
            <w:pPr>
              <w:pStyle w:val="Para 001"/>
            </w:pPr>
            <w:r>
              <w:t>getnames</w:t>
            </w:r>
          </w:p>
        </w:tc>
        <w:tc>
          <w:tcPr>
            <w:tcW w:type="auto" w:w="0"/>
            <w:tcMar>
              <w:left w:type="dxa" w:w="200"/>
              <w:top w:type="dxa" w:w="200"/>
              <w:right w:type="dxa" w:w="200"/>
              <w:bottom w:type="dxa" w:w="200"/>
            </w:tcMar>
          </w:tcPr>
          <w:p>
            <w:pPr>
              <w:pStyle w:val="Para 002"/>
            </w:pPr>
            <w:r>
              <w:rPr>
                <w:rStyle w:val="Text3"/>
              </w:rPr>
              <w:t>f</w:t>
            </w:r>
            <w:r>
              <w:rPr>
                <w:rStyle w:val="Text0"/>
              </w:rPr>
              <w:t>.getnames()</w:t>
              <w:br w:clear="none"/>
            </w:r>
            <w:r>
              <w:t xml:space="preserve"> Returns a list of strings, the names of each member in archive </w:t>
            </w:r>
            <w:r>
              <w:rPr>
                <w:rStyle w:val="Text3"/>
              </w:rPr>
              <w:t>f</w:t>
            </w:r>
            <w:r>
              <w:t>, in the same order as the entries in the archive itself.</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gettarinfo</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.gettarinfo(name=</w:t>
            </w:r>
            <w:r>
              <w:rPr>
                <w:rStyle w:val="Text5"/>
              </w:rPr>
              <w:t>None</w:t>
            </w:r>
            <w:r>
              <w:rPr>
                <w:rStyle w:val="Text0"/>
              </w:rPr>
              <w:t>, arcname=</w:t>
            </w:r>
            <w:r>
              <w:rPr>
                <w:rStyle w:val="Text5"/>
              </w:rPr>
              <w:t>None</w:t>
            </w:r>
            <w:r>
              <w:rPr>
                <w:rStyle w:val="Text0"/>
              </w:rPr>
              <w:t>, fileobj=</w:t>
            </w:r>
            <w:r>
              <w:rPr>
                <w:rStyle w:val="Text5"/>
              </w:rPr>
              <w:t>None</w:t>
            </w:r>
            <w:r>
              <w:rPr>
                <w:rStyle w:val="Text0"/>
              </w:rPr>
              <w:t>)</w:t>
              <w:br w:clear="none"/>
            </w:r>
            <w:r>
              <w:t xml:space="preserve"> Returns a </w:t>
            </w:r>
            <w:r>
              <w:rPr>
                <w:rStyle w:val="Text0"/>
              </w:rPr>
              <w:t>TarInfo</w:t>
            </w:r>
            <w:r>
              <w:t xml:space="preserve"> instance with information about the open file object </w:t>
            </w:r>
            <w:r>
              <w:rPr>
                <w:rStyle w:val="Text0"/>
              </w:rPr>
              <w:t>fileobj</w:t>
            </w:r>
            <w:r>
              <w:t xml:space="preserve">, when not </w:t>
            </w:r>
            <w:r>
              <w:rPr>
                <w:rStyle w:val="Text5"/>
              </w:rPr>
              <w:t>None</w:t>
            </w:r>
            <w:r>
              <w:t xml:space="preserve">, or else the existing file whose path is the string </w:t>
            </w:r>
            <w:r>
              <w:rPr>
                <w:rStyle w:val="Text0"/>
              </w:rPr>
              <w:t>name</w:t>
            </w:r>
            <w:r>
              <w:t xml:space="preserve">. </w:t>
            </w:r>
            <w:r>
              <w:rPr>
                <w:rStyle w:val="Text0"/>
              </w:rPr>
              <w:t>name</w:t>
            </w:r>
            <w:r>
              <w:t xml:space="preserve"> may be a path-like object. When </w:t>
            </w:r>
            <w:r>
              <w:rPr>
                <w:rStyle w:val="Text0"/>
              </w:rPr>
              <w:t>arcname</w:t>
            </w:r>
            <w:r>
              <w:t xml:space="preserve"> is not </w:t>
            </w:r>
            <w:r>
              <w:rPr>
                <w:rStyle w:val="Text5"/>
              </w:rPr>
              <w:t>None</w:t>
            </w:r>
            <w:r>
              <w:t xml:space="preserve">, it’s used as the </w:t>
            </w:r>
            <w:r>
              <w:rPr>
                <w:rStyle w:val="Text0"/>
              </w:rPr>
              <w:t>name</w:t>
            </w:r>
            <w:r>
              <w:t xml:space="preserve"> attribute of the resulting </w:t>
            </w:r>
            <w:r>
              <w:rPr>
                <w:rStyle w:val="Text0"/>
              </w:rPr>
              <w:t>TarInfo</w:t>
            </w:r>
            <w:r>
              <w:t xml:space="preserve"> instance.</w:t>
            </w:r>
          </w:p>
        </w:tc>
      </w:tr>
    </w:tbl>
    <w:tbl>
      <w:tblPr>
        <w:tblW w:type="auto" w:w="0"/>
      </w:tblPr>
      <w:tr>
        <w:tc>
          <w:tcPr>
            <w:tcW w:type="auto" w:w="0"/>
            <w:tcMar>
              <w:left w:type="dxa" w:w="200"/>
              <w:top w:type="dxa" w:w="200"/>
              <w:right w:type="dxa" w:w="200"/>
              <w:bottom w:type="dxa" w:w="200"/>
            </w:tcMar>
          </w:tcPr>
          <w:p>
            <w:pPr>
              <w:pStyle w:val="Para 001"/>
            </w:pPr>
            <w:r>
              <w:t>list</w:t>
            </w:r>
          </w:p>
        </w:tc>
        <w:tc>
          <w:tcPr>
            <w:tcW w:type="auto" w:w="0"/>
            <w:tcMar>
              <w:left w:type="dxa" w:w="200"/>
              <w:top w:type="dxa" w:w="200"/>
              <w:right w:type="dxa" w:w="200"/>
              <w:bottom w:type="dxa" w:w="200"/>
            </w:tcMar>
          </w:tcPr>
          <w:p>
            <w:pPr>
              <w:pStyle w:val="Para 002"/>
            </w:pPr>
            <w:r>
              <w:rPr>
                <w:rStyle w:val="Text3"/>
              </w:rPr>
              <w:t>f</w:t>
            </w:r>
            <w:r>
              <w:rPr>
                <w:rStyle w:val="Text0"/>
              </w:rPr>
              <w:t>.list(verbose=</w:t>
            </w:r>
            <w:r>
              <w:rPr>
                <w:rStyle w:val="Text5"/>
              </w:rPr>
              <w:t>True</w:t>
            </w:r>
            <w:r>
              <w:rPr>
                <w:rStyle w:val="Text0"/>
              </w:rPr>
              <w:t>, *, members=</w:t>
            </w:r>
            <w:r>
              <w:rPr>
                <w:rStyle w:val="Text5"/>
              </w:rPr>
              <w:t>None</w:t>
            </w:r>
            <w:r>
              <w:rPr>
                <w:rStyle w:val="Text0"/>
              </w:rPr>
              <w:t>)</w:t>
              <w:br w:clear="none"/>
            </w:r>
            <w:r>
              <w:t xml:space="preserve"> Outputs a directory of the archive </w:t>
            </w:r>
            <w:r>
              <w:rPr>
                <w:rStyle w:val="Text3"/>
              </w:rPr>
              <w:t>f</w:t>
            </w:r>
            <w:r>
              <w:t xml:space="preserve"> to </w:t>
            </w:r>
            <w:r>
              <w:rPr>
                <w:rStyle w:val="Text0"/>
              </w:rPr>
              <w:t>sys.stdout</w:t>
            </w:r>
            <w:r>
              <w:t xml:space="preserve">. If the optional argument </w:t>
            </w:r>
            <w:r>
              <w:rPr>
                <w:rStyle w:val="Text0"/>
              </w:rPr>
              <w:t>verbose</w:t>
            </w:r>
            <w:r>
              <w:t xml:space="preserve"> is </w:t>
            </w:r>
            <w:r>
              <w:rPr>
                <w:rStyle w:val="Text5"/>
              </w:rPr>
              <w:t>False</w:t>
            </w:r>
            <w:r>
              <w:t xml:space="preserve">, outputs only the names of the archive’s members. If the optional argument </w:t>
            </w:r>
            <w:r>
              <w:rPr>
                <w:rStyle w:val="Text0"/>
              </w:rPr>
              <w:t>members</w:t>
            </w:r>
            <w:r>
              <w:t xml:space="preserve"> is given, it must be a subset of the list returned by </w:t>
            </w:r>
            <w:r>
              <w:rPr>
                <w:rStyle w:val="Text0"/>
              </w:rPr>
              <w:t>getmembers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next</w:t>
            </w:r>
          </w:p>
        </w:tc>
        <w:tc>
          <w:tcPr>
            <w:tcW w:type="auto" w:w="0"/>
            <w:shd w:val="clear" w:color="auto" w:fill="EEF2F6"/>
            <w:tcMar>
              <w:left w:type="dxa" w:w="200"/>
              <w:top w:type="dxa" w:w="200"/>
              <w:right w:type="dxa" w:w="200"/>
              <w:bottom w:type="dxa" w:w="200"/>
            </w:tcMar>
          </w:tcPr>
          <w:p>
            <w:pPr>
              <w:pStyle w:val="Para 002"/>
            </w:pPr>
            <w:r>
              <w:rPr>
                <w:rStyle w:val="Text3"/>
              </w:rPr>
              <w:t>f</w:t>
            </w:r>
            <w:r>
              <w:rPr>
                <w:rStyle w:val="Text0"/>
              </w:rPr>
              <w:t>.next()</w:t>
              <w:br w:clear="none"/>
            </w:r>
            <w:r>
              <w:t xml:space="preserve"> Returns the next available archive member as a </w:t>
            </w:r>
            <w:r>
              <w:rPr>
                <w:rStyle w:val="Text0"/>
              </w:rPr>
              <w:t>TarInfo</w:t>
            </w:r>
            <w:r>
              <w:t xml:space="preserve"> instance; if none are available, returns </w:t>
            </w:r>
            <w:r>
              <w:rPr>
                <w:rStyle w:val="Text5"/>
              </w:rPr>
              <w:t>None</w:t>
            </w:r>
            <w:r>
              <w:t>.</w:t>
            </w:r>
          </w:p>
        </w:tc>
      </w:tr>
    </w:tbl>
    <w:tbl>
      <w:tblPr>
        <w:tblW w:type="auto" w:w="0"/>
      </w:tblPr>
      <w:tr>
        <w:tc>
          <w:tcPr>
            <w:tcW w:type="auto" w:w="0"/>
            <w:tcMar>
              <w:left w:type="dxa" w:w="200"/>
              <w:top w:type="dxa" w:w="200"/>
              <w:right w:type="dxa" w:w="200"/>
              <w:bottom w:type="dxa" w:w="200"/>
            </w:tcMar>
            <w:hMerge w:val="restart"/>
          </w:tcPr>
          <w:p>
            <w:bookmarkStart w:id="2621" w:name="a_Described_further_in_CVE_2007"/>
            <w:pPr>
              <w:pStyle w:val="Para 036"/>
            </w:pPr>
            <w:hyperlink w:anchor="a_9">
              <w:r>
                <w:rPr>
                  <w:rStyle w:val="Text1"/>
                </w:rPr>
                <w:t>a</w:t>
              </w:r>
            </w:hyperlink>
            <w:r>
              <w:t xml:space="preserve"> Described further in </w:t>
            </w:r>
            <w:hyperlink r:id="rId355">
              <w:r>
                <w:rPr>
                  <w:rStyle w:val="Text1"/>
                </w:rPr>
                <w:t>CVE-2007-4559</w:t>
              </w:r>
            </w:hyperlink>
            <w:r>
              <w:t>.</w:t>
            </w:r>
            <w:bookmarkEnd w:id="2621"/>
          </w:p>
        </w:tc>
        <w:tc>
          <w:tcPr>
            <w:hMerge w:val="continue"/>
          </w:tcPr>
          <w:p/>
        </w:tc>
      </w:tr>
    </w:tbl>
    <w:p>
      <w:bookmarkStart w:id="2622" w:name="The_TarInfo_class__The_methods_g"/>
      <w:pPr>
        <w:keepNext/>
        <w:pStyle w:val="Heading 2"/>
      </w:pPr>
      <w:r>
        <w:t>The TarInfo class</w:t>
      </w:r>
      <w:bookmarkEnd w:id="2622"/>
    </w:p>
    <w:p>
      <w:pPr>
        <w:pStyle w:val="Normal"/>
      </w:pPr>
      <w:r>
        <w:t>The</w:t>
      </w:r>
      <w:r>
        <w:rPr>
          <w:rStyle w:val="Text111"/>
        </w:rPr>
        <w:bookmarkStart w:id="2623" w:name="idm45965205032992"/>
        <w:t/>
        <w:bookmarkEnd w:id="2623"/>
      </w:r>
      <w:r>
        <w:t xml:space="preserve"> methods </w:t>
      </w:r>
      <w:r>
        <w:rPr>
          <w:rStyle w:val="Text0"/>
        </w:rPr>
        <w:t>getmember</w:t>
      </w:r>
      <w:r>
        <w:t xml:space="preserve"> and </w:t>
      </w:r>
      <w:r>
        <w:rPr>
          <w:rStyle w:val="Text0"/>
        </w:rPr>
        <w:t>getmembers</w:t>
      </w:r>
      <w:r>
        <w:t xml:space="preserve"> of </w:t>
      </w:r>
      <w:r>
        <w:rPr>
          <w:rStyle w:val="Text0"/>
        </w:rPr>
        <w:t>TarFile</w:t>
      </w:r>
      <w:r>
        <w:t xml:space="preserve"> instances return instances of </w:t>
      </w:r>
      <w:r>
        <w:rPr>
          <w:rStyle w:val="Text0"/>
        </w:rPr>
        <w:t>TarInfo</w:t>
      </w:r>
      <w:r>
        <w:t xml:space="preserve">, supplying information about members of the archive. You can also build a </w:t>
      </w:r>
      <w:r>
        <w:rPr>
          <w:rStyle w:val="Text0"/>
        </w:rPr>
        <w:t>TarInfo</w:t>
      </w:r>
      <w:r>
        <w:t xml:space="preserve"> instance with a </w:t>
      </w:r>
      <w:r>
        <w:rPr>
          <w:rStyle w:val="Text0"/>
        </w:rPr>
        <w:t>TarFile</w:t>
      </w:r>
      <w:r>
        <w:t xml:space="preserve"> instance’s method </w:t>
      </w:r>
      <w:r>
        <w:rPr>
          <w:rStyle w:val="Text0"/>
        </w:rPr>
        <w:t>gettarinfo</w:t>
      </w:r>
      <w:r>
        <w:t xml:space="preserve">. The </w:t>
      </w:r>
      <w:r>
        <w:rPr>
          <w:rStyle w:val="Text3"/>
        </w:rPr>
        <w:t>name</w:t>
      </w:r>
      <w:r>
        <w:t xml:space="preserve"> argument may be a path-like object. The most useful attributes and methods supplied by a </w:t>
      </w:r>
      <w:r>
        <w:rPr>
          <w:rStyle w:val="Text0"/>
        </w:rPr>
        <w:t>TarInfo</w:t>
      </w:r>
      <w:r>
        <w:t xml:space="preserve"> instance </w:t>
      </w:r>
      <w:r>
        <w:rPr>
          <w:rStyle w:val="Text3"/>
        </w:rPr>
        <w:t>t</w:t>
      </w:r>
      <w:r>
        <w:t xml:space="preserve"> are listed in </w:t>
      </w:r>
      <w:hyperlink w:anchor="Table_11_11__Useful_attributes_o">
        <w:r>
          <w:rPr>
            <w:rStyle w:val="Text1"/>
          </w:rPr>
          <w:t>Table 11-11</w:t>
        </w:r>
      </w:hyperlink>
      <w:r>
        <w:t>.</w:t>
      </w:r>
    </w:p>
    <w:tbl>
      <w:tblPr>
        <w:tblW w:type="auto" w:w="0"/>
      </w:tblPr>
      <w:tr>
        <w:tc>
          <w:tcPr>
            <w:tcW w:type="auto" w:w="0"/>
            <w:tcMar>
              <w:left w:type="dxa" w:w="200"/>
              <w:top w:type="dxa" w:w="200"/>
              <w:right w:type="dxa" w:w="200"/>
              <w:bottom w:type="dxa" w:w="200"/>
            </w:tcMar>
          </w:tcPr>
          <w:p>
            <w:bookmarkStart w:id="2624" w:name="Table_11_11__Useful_attributes_o"/>
            <w:pPr>
              <w:pStyle w:val="Para 011"/>
            </w:pPr>
            <w:r>
              <w:rPr>
                <w:rStyle w:val="Text117"/>
              </w:rPr>
              <w:t/>
            </w:r>
            <w:r>
              <w:t xml:space="preserve">Table 11-11. </w:t>
              <w:t xml:space="preserve">Useful attributes of a </w:t>
            </w:r>
            <w:r>
              <w:rPr>
                <w:rStyle w:val="Text0"/>
              </w:rPr>
              <w:t>TarInfo</w:t>
            </w:r>
            <w:r>
              <w:t xml:space="preserve"> instance </w:t>
            </w:r>
            <w:r>
              <w:rPr>
                <w:rStyle w:val="Text3"/>
              </w:rPr>
              <w:t>t</w:t>
            </w:r>
            <w:bookmarkEnd w:id="2624"/>
          </w:p>
          <w:p>
            <w:pPr>
              <w:pStyle w:val="Para 001"/>
            </w:pPr>
            <w:r>
              <w:t>isdir()</w:t>
            </w:r>
          </w:p>
        </w:tc>
        <w:tc>
          <w:tcPr>
            <w:tcW w:type="auto" w:w="0"/>
            <w:tcMar>
              <w:left w:type="dxa" w:w="200"/>
              <w:top w:type="dxa" w:w="200"/>
              <w:right w:type="dxa" w:w="200"/>
              <w:bottom w:type="dxa" w:w="200"/>
            </w:tcMar>
          </w:tcPr>
          <w:p>
            <w:pPr>
              <w:pStyle w:val="Para 002"/>
            </w:pPr>
            <w:r>
              <w:t xml:space="preserve">Returns </w:t>
            </w:r>
            <w:r>
              <w:rPr>
                <w:rStyle w:val="Text5"/>
              </w:rPr>
              <w:t>True</w:t>
            </w:r>
            <w:r>
              <w:t xml:space="preserve"> if the file is a directory</w:t>
            </w:r>
          </w:p>
        </w:tc>
      </w:tr>
    </w:tbl>
    <w:tbl>
      <w:tblPr>
        <w:tblW w:type="auto" w:w="0"/>
      </w:tblPr>
      <w:tr>
        <w:tc>
          <w:tcPr>
            <w:tcW w:type="auto" w:w="0"/>
            <w:shd w:val="clear" w:color="auto" w:fill="EEF2F6"/>
            <w:tcMar>
              <w:left w:type="dxa" w:w="200"/>
              <w:top w:type="dxa" w:w="200"/>
              <w:right w:type="dxa" w:w="200"/>
              <w:bottom w:type="dxa" w:w="200"/>
            </w:tcMar>
          </w:tcPr>
          <w:p>
            <w:pPr>
              <w:pStyle w:val="Para 001"/>
            </w:pPr>
            <w:r>
              <w:t>isfile()</w:t>
            </w:r>
          </w:p>
        </w:tc>
        <w:tc>
          <w:tcPr>
            <w:tcW w:type="auto" w:w="0"/>
            <w:shd w:val="clear" w:color="auto" w:fill="EEF2F6"/>
            <w:tcMar>
              <w:left w:type="dxa" w:w="200"/>
              <w:top w:type="dxa" w:w="200"/>
              <w:right w:type="dxa" w:w="200"/>
              <w:bottom w:type="dxa" w:w="200"/>
            </w:tcMar>
          </w:tcPr>
          <w:p>
            <w:pPr>
              <w:pStyle w:val="Para 002"/>
            </w:pPr>
            <w:r>
              <w:t xml:space="preserve">Returns </w:t>
            </w:r>
            <w:r>
              <w:rPr>
                <w:rStyle w:val="Text5"/>
              </w:rPr>
              <w:t>True</w:t>
            </w:r>
            <w:r>
              <w:t xml:space="preserve"> if the file is a regular file</w:t>
            </w:r>
          </w:p>
        </w:tc>
      </w:tr>
    </w:tbl>
    <w:tbl>
      <w:tblPr>
        <w:tblW w:type="auto" w:w="0"/>
      </w:tblPr>
      <w:tr>
        <w:tc>
          <w:tcPr>
            <w:tcW w:type="auto" w:w="0"/>
            <w:tcMar>
              <w:left w:type="dxa" w:w="200"/>
              <w:top w:type="dxa" w:w="200"/>
              <w:right w:type="dxa" w:w="200"/>
              <w:bottom w:type="dxa" w:w="200"/>
            </w:tcMar>
          </w:tcPr>
          <w:p>
            <w:pPr>
              <w:pStyle w:val="Para 001"/>
            </w:pPr>
            <w:r>
              <w:t>issym()</w:t>
            </w:r>
          </w:p>
        </w:tc>
        <w:tc>
          <w:tcPr>
            <w:tcW w:type="auto" w:w="0"/>
            <w:tcMar>
              <w:left w:type="dxa" w:w="200"/>
              <w:top w:type="dxa" w:w="200"/>
              <w:right w:type="dxa" w:w="200"/>
              <w:bottom w:type="dxa" w:w="200"/>
            </w:tcMar>
          </w:tcPr>
          <w:p>
            <w:pPr>
              <w:pStyle w:val="Para 002"/>
            </w:pPr>
            <w:r>
              <w:t xml:space="preserve">Returns </w:t>
            </w:r>
            <w:r>
              <w:rPr>
                <w:rStyle w:val="Text5"/>
              </w:rPr>
              <w:t>True</w:t>
            </w:r>
            <w:r>
              <w:t xml:space="preserve"> if the file is a symbolic link</w:t>
            </w:r>
          </w:p>
        </w:tc>
      </w:tr>
    </w:tbl>
    <w:tbl>
      <w:tblPr>
        <w:tblW w:type="auto" w:w="0"/>
      </w:tblPr>
      <w:tr>
        <w:tc>
          <w:tcPr>
            <w:tcW w:type="auto" w:w="0"/>
            <w:shd w:val="clear" w:color="auto" w:fill="EEF2F6"/>
            <w:tcMar>
              <w:left w:type="dxa" w:w="200"/>
              <w:top w:type="dxa" w:w="200"/>
              <w:right w:type="dxa" w:w="200"/>
              <w:bottom w:type="dxa" w:w="200"/>
            </w:tcMar>
          </w:tcPr>
          <w:p>
            <w:pPr>
              <w:pStyle w:val="Para 001"/>
            </w:pPr>
            <w:r>
              <w:t>linkname</w:t>
            </w:r>
          </w:p>
        </w:tc>
        <w:tc>
          <w:tcPr>
            <w:tcW w:type="auto" w:w="0"/>
            <w:shd w:val="clear" w:color="auto" w:fill="EEF2F6"/>
            <w:tcMar>
              <w:left w:type="dxa" w:w="200"/>
              <w:top w:type="dxa" w:w="200"/>
              <w:right w:type="dxa" w:w="200"/>
              <w:bottom w:type="dxa" w:w="200"/>
            </w:tcMar>
          </w:tcPr>
          <w:p>
            <w:pPr>
              <w:pStyle w:val="Para 002"/>
            </w:pPr>
            <w:r>
              <w:t xml:space="preserve">Target file’s name (a string), when </w:t>
            </w:r>
            <w:r>
              <w:rPr>
                <w:rStyle w:val="Text3"/>
              </w:rPr>
              <w:t>t</w:t>
            </w:r>
            <w:r>
              <w:rPr>
                <w:rStyle w:val="Text0"/>
              </w:rPr>
              <w:t>.type</w:t>
            </w:r>
            <w:r>
              <w:t xml:space="preserve"> is </w:t>
            </w:r>
            <w:r>
              <w:rPr>
                <w:rStyle w:val="Text0"/>
              </w:rPr>
              <w:t>LNKTYPE</w:t>
            </w:r>
            <w:r>
              <w:t xml:space="preserve"> or </w:t>
            </w:r>
            <w:r>
              <w:rPr>
                <w:rStyle w:val="Text0"/>
              </w:rPr>
              <w:t>SYMTYPE</w:t>
            </w:r>
          </w:p>
        </w:tc>
      </w:tr>
    </w:tbl>
    <w:tbl>
      <w:tblPr>
        <w:tblW w:type="auto" w:w="0"/>
      </w:tblPr>
      <w:tr>
        <w:tc>
          <w:tcPr>
            <w:tcW w:type="auto" w:w="0"/>
            <w:tcMar>
              <w:left w:type="dxa" w:w="200"/>
              <w:top w:type="dxa" w:w="200"/>
              <w:right w:type="dxa" w:w="200"/>
              <w:bottom w:type="dxa" w:w="200"/>
            </w:tcMar>
          </w:tcPr>
          <w:p>
            <w:pPr>
              <w:pStyle w:val="Para 001"/>
            </w:pPr>
            <w:r>
              <w:t>mode</w:t>
            </w:r>
          </w:p>
        </w:tc>
        <w:tc>
          <w:tcPr>
            <w:tcW w:type="auto" w:w="0"/>
            <w:tcMar>
              <w:left w:type="dxa" w:w="200"/>
              <w:top w:type="dxa" w:w="200"/>
              <w:right w:type="dxa" w:w="200"/>
              <w:bottom w:type="dxa" w:w="200"/>
            </w:tcMar>
          </w:tcPr>
          <w:p>
            <w:pPr>
              <w:pStyle w:val="Para 002"/>
            </w:pPr>
            <w:r>
              <w:t xml:space="preserve">Permission and other mode bits of the file identified by </w:t>
            </w:r>
            <w:r>
              <w:rPr>
                <w:rStyle w:val="Text3"/>
              </w:rPr>
              <w:t>t</w:t>
            </w:r>
          </w:p>
        </w:tc>
      </w:tr>
    </w:tbl>
    <w:tbl>
      <w:tblPr>
        <w:tblW w:type="auto" w:w="0"/>
      </w:tblPr>
      <w:tr>
        <w:tc>
          <w:tcPr>
            <w:tcW w:type="auto" w:w="0"/>
            <w:shd w:val="clear" w:color="auto" w:fill="EEF2F6"/>
            <w:tcMar>
              <w:left w:type="dxa" w:w="200"/>
              <w:top w:type="dxa" w:w="200"/>
              <w:right w:type="dxa" w:w="200"/>
              <w:bottom w:type="dxa" w:w="200"/>
            </w:tcMar>
          </w:tcPr>
          <w:p>
            <w:pPr>
              <w:pStyle w:val="Para 001"/>
            </w:pPr>
            <w:r>
              <w:t>mtime</w:t>
            </w:r>
          </w:p>
        </w:tc>
        <w:tc>
          <w:tcPr>
            <w:tcW w:type="auto" w:w="0"/>
            <w:shd w:val="clear" w:color="auto" w:fill="EEF2F6"/>
            <w:tcMar>
              <w:left w:type="dxa" w:w="200"/>
              <w:top w:type="dxa" w:w="200"/>
              <w:right w:type="dxa" w:w="200"/>
              <w:bottom w:type="dxa" w:w="200"/>
            </w:tcMar>
          </w:tcPr>
          <w:p>
            <w:pPr>
              <w:pStyle w:val="Para 002"/>
            </w:pPr>
            <w:r>
              <w:t xml:space="preserve">Time of last modification of the file identified by </w:t>
            </w:r>
            <w:r>
              <w:rPr>
                <w:rStyle w:val="Text3"/>
              </w:rPr>
              <w:t>t</w:t>
            </w:r>
          </w:p>
        </w:tc>
      </w:tr>
    </w:tbl>
    <w:tbl>
      <w:tblPr>
        <w:tblW w:type="auto" w:w="0"/>
      </w:tblPr>
      <w:tr>
        <w:tc>
          <w:tcPr>
            <w:tcW w:type="auto" w:w="0"/>
            <w:tcMar>
              <w:left w:type="dxa" w:w="200"/>
              <w:top w:type="dxa" w:w="200"/>
              <w:right w:type="dxa" w:w="200"/>
              <w:bottom w:type="dxa" w:w="200"/>
            </w:tcMar>
          </w:tcPr>
          <w:p>
            <w:pPr>
              <w:pStyle w:val="Para 001"/>
            </w:pPr>
            <w:r>
              <w:t>name</w:t>
            </w:r>
          </w:p>
        </w:tc>
        <w:tc>
          <w:tcPr>
            <w:tcW w:type="auto" w:w="0"/>
            <w:tcMar>
              <w:left w:type="dxa" w:w="200"/>
              <w:top w:type="dxa" w:w="200"/>
              <w:right w:type="dxa" w:w="200"/>
              <w:bottom w:type="dxa" w:w="200"/>
            </w:tcMar>
          </w:tcPr>
          <w:p>
            <w:pPr>
              <w:pStyle w:val="Para 002"/>
            </w:pPr>
            <w:r>
              <w:t xml:space="preserve">Name in the archive of the file identified by </w:t>
            </w:r>
            <w:r>
              <w:rPr>
                <w:rStyle w:val="Text3"/>
              </w:rPr>
              <w:t>t</w:t>
            </w:r>
          </w:p>
        </w:tc>
      </w:tr>
    </w:tbl>
    <w:tbl>
      <w:tblPr>
        <w:tblW w:type="auto" w:w="0"/>
      </w:tblPr>
      <w:tr>
        <w:tc>
          <w:tcPr>
            <w:tcW w:type="auto" w:w="0"/>
            <w:shd w:val="clear" w:color="auto" w:fill="EEF2F6"/>
            <w:tcMar>
              <w:left w:type="dxa" w:w="200"/>
              <w:top w:type="dxa" w:w="200"/>
              <w:right w:type="dxa" w:w="200"/>
              <w:bottom w:type="dxa" w:w="200"/>
            </w:tcMar>
          </w:tcPr>
          <w:p>
            <w:pPr>
              <w:pStyle w:val="Para 001"/>
            </w:pPr>
            <w:r>
              <w:t>size</w:t>
            </w:r>
          </w:p>
        </w:tc>
        <w:tc>
          <w:tcPr>
            <w:tcW w:type="auto" w:w="0"/>
            <w:shd w:val="clear" w:color="auto" w:fill="EEF2F6"/>
            <w:tcMar>
              <w:left w:type="dxa" w:w="200"/>
              <w:top w:type="dxa" w:w="200"/>
              <w:right w:type="dxa" w:w="200"/>
              <w:bottom w:type="dxa" w:w="200"/>
            </w:tcMar>
          </w:tcPr>
          <w:p>
            <w:pPr>
              <w:pStyle w:val="Para 002"/>
            </w:pPr>
            <w:r>
              <w:t xml:space="preserve">Size, in bytes (uncompressed), of the file identified by </w:t>
            </w:r>
            <w:r>
              <w:rPr>
                <w:rStyle w:val="Text3"/>
              </w:rPr>
              <w:t>t</w:t>
            </w:r>
          </w:p>
        </w:tc>
      </w:tr>
    </w:tbl>
    <w:tbl>
      <w:tblPr>
        <w:tblW w:type="auto" w:w="0"/>
      </w:tblPr>
      <w:tr>
        <w:tc>
          <w:tcPr>
            <w:tcW w:type="auto" w:w="0"/>
            <w:tcMar>
              <w:left w:type="dxa" w:w="200"/>
              <w:top w:type="dxa" w:w="200"/>
              <w:right w:type="dxa" w:w="200"/>
              <w:bottom w:type="dxa" w:w="200"/>
            </w:tcMar>
          </w:tcPr>
          <w:p>
            <w:pPr>
              <w:pStyle w:val="Para 001"/>
            </w:pPr>
            <w:r>
              <w:t>type</w:t>
            </w:r>
          </w:p>
        </w:tc>
        <w:tc>
          <w:tcPr>
            <w:tcW w:type="auto" w:w="0"/>
            <w:tcMar>
              <w:left w:type="dxa" w:w="200"/>
              <w:top w:type="dxa" w:w="200"/>
              <w:right w:type="dxa" w:w="200"/>
              <w:bottom w:type="dxa" w:w="200"/>
            </w:tcMar>
          </w:tcPr>
          <w:p>
            <w:pPr>
              <w:pStyle w:val="Para 002"/>
            </w:pPr>
            <w:r>
              <w:t xml:space="preserve">File type—one of many constants that are attributes of the </w:t>
            </w:r>
            <w:r>
              <w:rPr>
                <w:rStyle w:val="Text0"/>
              </w:rPr>
              <w:t>tarfile</w:t>
            </w:r>
            <w:r>
              <w:t xml:space="preserve"> module (</w:t>
            </w:r>
            <w:r>
              <w:rPr>
                <w:rStyle w:val="Text0"/>
              </w:rPr>
              <w:t>SYMTYPE</w:t>
            </w:r>
            <w:r>
              <w:t xml:space="preserve"> for symbolic links, </w:t>
            </w:r>
            <w:r>
              <w:rPr>
                <w:rStyle w:val="Text0"/>
              </w:rPr>
              <w:t>REGTYPE</w:t>
            </w:r>
            <w:r>
              <w:t xml:space="preserve"> for regular files, </w:t>
            </w:r>
            <w:r>
              <w:rPr>
                <w:rStyle w:val="Text0"/>
              </w:rPr>
              <w:t>DIRTYPE</w:t>
            </w:r>
            <w:r>
              <w:t xml:space="preserve"> for directories, and so on; see the </w:t>
            </w:r>
            <w:hyperlink r:id="rId353">
              <w:r>
                <w:rPr>
                  <w:rStyle w:val="Text1"/>
                </w:rPr>
                <w:t>online docs</w:t>
              </w:r>
            </w:hyperlink>
            <w:r>
              <w:t xml:space="preserve"> for a complete list)</w:t>
            </w:r>
            <w:r>
              <w:rPr>
                <w:rStyle w:val="Text111"/>
              </w:rPr>
              <w:bookmarkStart w:id="2625" w:name="idm45965204992288"/>
              <w:t/>
              <w:bookmarkEnd w:id="2625"/>
            </w:r>
          </w:p>
        </w:tc>
      </w:tr>
    </w:tbl>
    <w:p>
      <w:bookmarkStart w:id="2626" w:name="The_zipfile_Module__The_zipfile"/>
      <w:pPr>
        <w:keepNext/>
        <w:pStyle w:val="Heading 2"/>
      </w:pPr>
      <w:r>
        <w:t>The zipfile Module</w:t>
      </w:r>
      <w:bookmarkEnd w:id="2626"/>
    </w:p>
    <w:p>
      <w:pPr>
        <w:pStyle w:val="Normal"/>
      </w:pPr>
      <w:r>
        <w:t>The</w:t>
      </w:r>
      <w:r>
        <w:rPr>
          <w:rStyle w:val="Text111"/>
        </w:rPr>
        <w:bookmarkStart w:id="2627" w:name="zipmod11"/>
        <w:t/>
        <w:bookmarkEnd w:id="2627"/>
        <w:bookmarkStart w:id="2628" w:name="SLMzipfile11"/>
        <w:t/>
        <w:bookmarkEnd w:id="2628"/>
      </w:r>
      <w:r>
        <w:t xml:space="preserve"> </w:t>
      </w:r>
      <w:r>
        <w:rPr>
          <w:rStyle w:val="Text0"/>
        </w:rPr>
        <w:t>zipfile</w:t>
      </w:r>
      <w:r>
        <w:t xml:space="preserve"> module can read and write ZIP files (i.e., archive files compatible with those handled by popular compression programs such as </w:t>
      </w:r>
      <w:r>
        <w:rPr>
          <w:rStyle w:val="Text0"/>
        </w:rPr>
        <w:t>zip</w:t>
      </w:r>
      <w:r>
        <w:t xml:space="preserve"> and </w:t>
      </w:r>
      <w:r>
        <w:rPr>
          <w:rStyle w:val="Text0"/>
        </w:rPr>
        <w:t>unzip</w:t>
      </w:r>
      <w:r>
        <w:t xml:space="preserve">, </w:t>
      </w:r>
      <w:r>
        <w:rPr>
          <w:rStyle w:val="Text0"/>
        </w:rPr>
        <w:t>pkzip</w:t>
      </w:r>
      <w:r>
        <w:t xml:space="preserve"> and </w:t>
      </w:r>
      <w:r>
        <w:rPr>
          <w:rStyle w:val="Text0"/>
        </w:rPr>
        <w:t>pkunzip</w:t>
      </w:r>
      <w:r>
        <w:t xml:space="preserve">, </w:t>
      </w:r>
      <w:r>
        <w:rPr>
          <w:rStyle w:val="Text0"/>
        </w:rPr>
        <w:t>WinZip</w:t>
      </w:r>
      <w:r>
        <w:t xml:space="preserve">, and so on, typically named with a </w:t>
      </w:r>
      <w:r>
        <w:rPr>
          <w:rStyle w:val="Text4"/>
        </w:rPr>
        <w:t>.zip</w:t>
      </w:r>
      <w:r>
        <w:t xml:space="preserve"> extension). </w:t>
      </w:r>
      <w:r>
        <w:rPr>
          <w:rStyle w:val="Text5"/>
        </w:rPr>
        <w:t>python -m zipfile</w:t>
      </w:r>
      <w:r>
        <w:t xml:space="preserve"> offers a useful command-line interface to the module’s functionality: run it without further arguments to get a brief help message.</w:t>
      </w:r>
    </w:p>
    <w:p>
      <w:pPr>
        <w:pStyle w:val="Normal"/>
      </w:pPr>
      <w:r>
        <w:t xml:space="preserve">Detailed information about ZIP files is available on the </w:t>
      </w:r>
      <w:hyperlink r:id="rId356">
        <w:r>
          <w:rPr>
            <w:rStyle w:val="Text1"/>
          </w:rPr>
          <w:t>PKWARE</w:t>
        </w:r>
      </w:hyperlink>
      <w:r>
        <w:t xml:space="preserve"> and </w:t>
      </w:r>
      <w:hyperlink r:id="rId357">
        <w:r>
          <w:rPr>
            <w:rStyle w:val="Text1"/>
          </w:rPr>
          <w:t>Info-ZIP</w:t>
        </w:r>
      </w:hyperlink>
      <w:r>
        <w:t xml:space="preserve"> websites. You need to study that detailed information to perform advanced ZIP file handling with </w:t>
      </w:r>
      <w:r>
        <w:rPr>
          <w:rStyle w:val="Text0"/>
        </w:rPr>
        <w:t>zipfile</w:t>
      </w:r>
      <w:r>
        <w:t xml:space="preserve">. If you do not specifically need to interoperate with other programs using the ZIP file standard, the modules </w:t>
      </w:r>
      <w:r>
        <w:rPr>
          <w:rStyle w:val="Text0"/>
        </w:rPr>
        <w:t>lzma</w:t>
      </w:r>
      <w:r>
        <w:t xml:space="preserve">, </w:t>
      </w:r>
      <w:r>
        <w:rPr>
          <w:rStyle w:val="Text0"/>
        </w:rPr>
        <w:t>gzip</w:t>
      </w:r>
      <w:r>
        <w:t xml:space="preserve">, and </w:t>
      </w:r>
      <w:r>
        <w:rPr>
          <w:rStyle w:val="Text0"/>
        </w:rPr>
        <w:t>bz2</w:t>
      </w:r>
      <w:r>
        <w:t xml:space="preserve"> are usually better ways to deal with compression, as is </w:t>
      </w:r>
      <w:r>
        <w:rPr>
          <w:rStyle w:val="Text0"/>
        </w:rPr>
        <w:t>tarfile</w:t>
      </w:r>
      <w:r>
        <w:t xml:space="preserve"> to create (optionally compressed) archives.</w:t>
      </w:r>
    </w:p>
    <w:p>
      <w:pPr>
        <w:pStyle w:val="Normal"/>
      </w:pPr>
      <w:r>
        <w:t xml:space="preserve">The </w:t>
      </w:r>
      <w:r>
        <w:rPr>
          <w:rStyle w:val="Text0"/>
        </w:rPr>
        <w:t>zipfile</w:t>
      </w:r>
      <w:r>
        <w:t xml:space="preserve"> module can’t handle multidisk ZIP files, and cannot create encrypted archives (it can decrypt them, albeit rather slowly). The module also cannot handle archive members using compression types besides the usual ones, known as </w:t>
      </w:r>
      <w:r>
        <w:rPr>
          <w:rStyle w:val="Text4"/>
        </w:rPr>
        <w:t>stored</w:t>
      </w:r>
      <w:r>
        <w:t xml:space="preserve"> (a file copied to the archive without compression) and </w:t>
      </w:r>
      <w:r>
        <w:rPr>
          <w:rStyle w:val="Text4"/>
        </w:rPr>
        <w:t>deflated</w:t>
      </w:r>
      <w:r>
        <w:t xml:space="preserve"> (a file compressed using the ZIP format’s default algorithm). </w:t>
      </w:r>
      <w:r>
        <w:rPr>
          <w:rStyle w:val="Text0"/>
        </w:rPr>
        <w:t>zipfile</w:t>
      </w:r>
      <w:r>
        <w:t xml:space="preserve"> also handles the bzip2 and LZMA compression types, but beware: not all tools can handle those, so if you use them you’re sacrificing some portability to get better compression.</w:t>
      </w:r>
    </w:p>
    <w:p>
      <w:pPr>
        <w:pStyle w:val="Normal"/>
      </w:pPr>
      <w:r>
        <w:t xml:space="preserve">The </w:t>
      </w:r>
      <w:r>
        <w:rPr>
          <w:rStyle w:val="Text0"/>
        </w:rPr>
        <w:t>zipfile</w:t>
      </w:r>
      <w:r>
        <w:t xml:space="preserve"> module supplies function </w:t>
      </w:r>
      <w:r>
        <w:rPr>
          <w:rStyle w:val="Text0"/>
        </w:rPr>
        <w:t>is_zipfile</w:t>
      </w:r>
      <w:r>
        <w:t xml:space="preserve"> and class </w:t>
      </w:r>
      <w:r>
        <w:rPr>
          <w:rStyle w:val="Text0"/>
        </w:rPr>
        <w:t>Path</w:t>
      </w:r>
      <w:r>
        <w:t xml:space="preserve">, as listed in </w:t>
      </w:r>
      <w:hyperlink w:anchor="Table_11_12__Auxiliary_function">
        <w:r>
          <w:rPr>
            <w:rStyle w:val="Text1"/>
          </w:rPr>
          <w:t>Table 11-12</w:t>
        </w:r>
      </w:hyperlink>
      <w:r>
        <w:t xml:space="preserve">. In addition, it supplies classes </w:t>
      </w:r>
      <w:r>
        <w:rPr>
          <w:rStyle w:val="Text0"/>
        </w:rPr>
        <w:t>ZipFile</w:t>
      </w:r>
      <w:r>
        <w:t xml:space="preserve"> and </w:t>
      </w:r>
      <w:r>
        <w:rPr>
          <w:rStyle w:val="Text0"/>
        </w:rPr>
        <w:t>ZipInfo</w:t>
      </w:r>
      <w:r>
        <w:t xml:space="preserve">, described later. For errors related to invalid ZIP files, functions of </w:t>
      </w:r>
      <w:r>
        <w:rPr>
          <w:rStyle w:val="Text0"/>
        </w:rPr>
        <w:t>zipfile</w:t>
      </w:r>
      <w:r>
        <w:t xml:space="preserve"> raise exceptions that are instances of the exception class </w:t>
      </w:r>
      <w:r>
        <w:rPr>
          <w:rStyle w:val="Text0"/>
        </w:rPr>
        <w:t>zipfile.error</w:t>
      </w:r>
      <w:r>
        <w:t>.</w:t>
      </w:r>
    </w:p>
    <w:tbl>
      <w:tblPr>
        <w:tblW w:type="auto" w:w="0"/>
      </w:tblPr>
      <w:tr>
        <w:tc>
          <w:tcPr>
            <w:tcW w:type="auto" w:w="0"/>
            <w:tcMar>
              <w:left w:type="dxa" w:w="200"/>
              <w:top w:type="dxa" w:w="200"/>
              <w:right w:type="dxa" w:w="200"/>
              <w:bottom w:type="dxa" w:w="200"/>
            </w:tcMar>
          </w:tcPr>
          <w:p>
            <w:bookmarkStart w:id="2629" w:name="Table_11_12__Auxiliary_function"/>
            <w:pPr>
              <w:pStyle w:val="Para 011"/>
            </w:pPr>
            <w:r>
              <w:rPr>
                <w:rStyle w:val="Text117"/>
              </w:rPr>
              <w:t/>
            </w:r>
            <w:r>
              <w:t xml:space="preserve">Table 11-12. </w:t>
              <w:t xml:space="preserve">Auxiliary function and class of the </w:t>
            </w:r>
            <w:r>
              <w:rPr>
                <w:rStyle w:val="Text0"/>
              </w:rPr>
              <w:t>zipfile</w:t>
            </w:r>
            <w:r>
              <w:t xml:space="preserve"> module</w:t>
            </w:r>
            <w:bookmarkEnd w:id="2629"/>
          </w:p>
          <w:p>
            <w:pPr>
              <w:pStyle w:val="Para 001"/>
            </w:pPr>
            <w:r>
              <w:t>is_zipfile</w:t>
            </w:r>
          </w:p>
        </w:tc>
        <w:tc>
          <w:tcPr>
            <w:tcW w:type="auto" w:w="0"/>
            <w:tcMar>
              <w:left w:type="dxa" w:w="200"/>
              <w:top w:type="dxa" w:w="200"/>
              <w:right w:type="dxa" w:w="200"/>
              <w:bottom w:type="dxa" w:w="200"/>
            </w:tcMar>
          </w:tcPr>
          <w:p>
            <w:pPr>
              <w:pStyle w:val="Para 002"/>
            </w:pPr>
            <w:r>
              <w:rPr>
                <w:rStyle w:val="Text0"/>
              </w:rPr>
              <w:t>is_zipfile(</w:t>
            </w:r>
            <w:r>
              <w:rPr>
                <w:rStyle w:val="Text3"/>
              </w:rPr>
              <w:t>file</w:t>
            </w:r>
            <w:r>
              <w:rPr>
                <w:rStyle w:val="Text0"/>
              </w:rPr>
              <w:t>)</w:t>
              <w:br w:clear="none"/>
            </w:r>
            <w:r>
              <w:t xml:space="preserve"> Returns </w:t>
            </w:r>
            <w:r>
              <w:rPr>
                <w:rStyle w:val="Text5"/>
              </w:rPr>
              <w:t>True</w:t>
            </w:r>
            <w:r>
              <w:t xml:space="preserve"> when the file named by string, path-like object, or file-like object </w:t>
            </w:r>
            <w:r>
              <w:rPr>
                <w:rStyle w:val="Text3"/>
              </w:rPr>
              <w:t>file</w:t>
            </w:r>
            <w:r>
              <w:t xml:space="preserve"> seems to be a valid ZIP file, judging by the first few and last bytes of the file;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Path</w:t>
            </w:r>
          </w:p>
        </w:tc>
        <w:tc>
          <w:tcPr>
            <w:tcW w:type="auto" w:w="0"/>
            <w:shd w:val="clear" w:color="auto" w:fill="EEF2F6"/>
            <w:tcMar>
              <w:left w:type="dxa" w:w="200"/>
              <w:top w:type="dxa" w:w="200"/>
              <w:right w:type="dxa" w:w="200"/>
              <w:bottom w:type="dxa" w:w="200"/>
            </w:tcMar>
          </w:tcPr>
          <w:p>
            <w:pPr>
              <w:pStyle w:val="Para 002"/>
            </w:pPr>
            <w:r>
              <w:rPr>
                <w:rStyle w:val="Text5"/>
              </w:rPr>
              <w:t>class</w:t>
            </w:r>
            <w:r>
              <w:t xml:space="preserve"> </w:t>
            </w:r>
            <w:r>
              <w:rPr>
                <w:rStyle w:val="Text0"/>
              </w:rPr>
              <w:t>Path(</w:t>
            </w:r>
            <w:r>
              <w:rPr>
                <w:rStyle w:val="Text3"/>
              </w:rPr>
              <w:t>root</w:t>
            </w:r>
            <w:r>
              <w:rPr>
                <w:rStyle w:val="Text0"/>
              </w:rPr>
              <w:t>, at='')</w:t>
              <w:br w:clear="none"/>
            </w:r>
            <w:r>
              <w:t xml:space="preserve"> </w:t>
            </w:r>
            <w:r>
              <w:rPr>
                <w:rStyle w:val="Text34"/>
              </w:rPr>
              <w:t>3.8+</w:t>
            </w:r>
            <w:r>
              <w:t xml:space="preserve">A </w:t>
            </w:r>
            <w:r>
              <w:rPr>
                <w:rStyle w:val="Text0"/>
              </w:rPr>
              <w:t>pathlib</w:t>
            </w:r>
            <w:r>
              <w:t xml:space="preserve">-compatible wrapper for ZIP files. Returns a </w:t>
            </w:r>
            <w:r>
              <w:rPr>
                <w:rStyle w:val="Text0"/>
              </w:rPr>
              <w:t>pathlib.Path</w:t>
            </w:r>
            <w:r>
              <w:t xml:space="preserve"> object </w:t>
            </w:r>
            <w:r>
              <w:rPr>
                <w:rStyle w:val="Text3"/>
              </w:rPr>
              <w:t>p</w:t>
            </w:r>
            <w:r>
              <w:t xml:space="preserve"> from </w:t>
            </w:r>
            <w:r>
              <w:rPr>
                <w:rStyle w:val="Text3"/>
              </w:rPr>
              <w:t>root</w:t>
            </w:r>
            <w:r>
              <w:t xml:space="preserve">, a ZIP file (which may be a </w:t>
            </w:r>
            <w:r>
              <w:rPr>
                <w:rStyle w:val="Text0"/>
              </w:rPr>
              <w:t>ZipFile</w:t>
            </w:r>
            <w:r>
              <w:t xml:space="preserve"> instance or file suitable for passing to the </w:t>
            </w:r>
            <w:r>
              <w:rPr>
                <w:rStyle w:val="Text0"/>
              </w:rPr>
              <w:t>ZipFile</w:t>
            </w:r>
            <w:r>
              <w:t xml:space="preserve"> constructor). The string argument </w:t>
            </w:r>
            <w:r>
              <w:rPr>
                <w:rStyle w:val="Text0"/>
              </w:rPr>
              <w:t>at</w:t>
            </w:r>
            <w:r>
              <w:t xml:space="preserve"> is a path to specify the location of </w:t>
            </w:r>
            <w:r>
              <w:rPr>
                <w:rStyle w:val="Text3"/>
              </w:rPr>
              <w:t>p</w:t>
            </w:r>
            <w:r>
              <w:t xml:space="preserve"> in the ZIP file: the default is the root. </w:t>
            </w:r>
            <w:r>
              <w:rPr>
                <w:rStyle w:val="Text3"/>
              </w:rPr>
              <w:t>p</w:t>
            </w:r>
            <w:r>
              <w:t xml:space="preserve"> exposes several </w:t>
            </w:r>
            <w:r>
              <w:rPr>
                <w:rStyle w:val="Text0"/>
              </w:rPr>
              <w:t>pathlib.Path</w:t>
            </w:r>
            <w:r>
              <w:t xml:space="preserve"> methods: see the </w:t>
            </w:r>
            <w:hyperlink r:id="rId358">
              <w:r>
                <w:rPr>
                  <w:rStyle w:val="Text1"/>
                </w:rPr>
                <w:t>online docs</w:t>
              </w:r>
            </w:hyperlink>
            <w:r>
              <w:t xml:space="preserve"> for details.</w:t>
            </w:r>
          </w:p>
        </w:tc>
      </w:tr>
    </w:tbl>
    <w:p>
      <w:bookmarkStart w:id="2630" w:name="The_ZipFile_class__The_main_clas"/>
      <w:pPr>
        <w:keepNext/>
        <w:pStyle w:val="Heading 2"/>
      </w:pPr>
      <w:r>
        <w:t>The ZipFile class</w:t>
      </w:r>
      <w:bookmarkEnd w:id="2630"/>
    </w:p>
    <w:p>
      <w:pPr>
        <w:pStyle w:val="Normal"/>
      </w:pPr>
      <w:r>
        <w:t>The</w:t>
      </w:r>
      <w:r>
        <w:rPr>
          <w:rStyle w:val="Text111"/>
        </w:rPr>
        <w:bookmarkStart w:id="2631" w:name="idm45965204941296"/>
        <w:t/>
        <w:bookmarkEnd w:id="2631"/>
      </w:r>
      <w:r>
        <w:t xml:space="preserve"> main class supplied by </w:t>
      </w:r>
      <w:r>
        <w:rPr>
          <w:rStyle w:val="Text0"/>
        </w:rPr>
        <w:t>zipfile</w:t>
      </w:r>
      <w:r>
        <w:t xml:space="preserve"> is </w:t>
      </w:r>
      <w:r>
        <w:rPr>
          <w:rStyle w:val="Text0"/>
        </w:rPr>
        <w:t>ZipFile</w:t>
      </w:r>
      <w:r>
        <w:t>. Its constructor has the following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ZipFile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ZipFile(</w:t>
            </w:r>
            <w:r>
              <w:rPr>
                <w:rStyle w:val="Text3"/>
              </w:rPr>
              <w:t>file</w:t>
            </w:r>
            <w:r>
              <w:rPr>
                <w:rStyle w:val="Text0"/>
              </w:rPr>
              <w:t>, mode='r', compression=zipfile.ZIP_STORED, allowZip64=</w:t>
            </w:r>
            <w:r>
              <w:rPr>
                <w:rStyle w:val="Text5"/>
              </w:rPr>
              <w:t>True</w:t>
            </w:r>
            <w:r>
              <w:rPr>
                <w:rStyle w:val="Text0"/>
              </w:rPr>
              <w:t>, compresslevel=</w:t>
            </w:r>
            <w:r>
              <w:rPr>
                <w:rStyle w:val="Text5"/>
              </w:rPr>
              <w:t>None</w:t>
            </w:r>
            <w:r>
              <w:rPr>
                <w:rStyle w:val="Text0"/>
              </w:rPr>
              <w:t>, *, strict_timestamps=</w:t>
            </w:r>
            <w:r>
              <w:rPr>
                <w:rStyle w:val="Text5"/>
              </w:rPr>
              <w:t>True</w:t>
            </w:r>
            <w:r>
              <w:rPr>
                <w:rStyle w:val="Text0"/>
              </w:rPr>
              <w:t>)</w:t>
              <w:br w:clear="none"/>
            </w:r>
            <w:r>
              <w:t xml:space="preserve"> Opens a ZIP file named by </w:t>
            </w:r>
            <w:r>
              <w:rPr>
                <w:rStyle w:val="Text3"/>
              </w:rPr>
              <w:t>file</w:t>
            </w:r>
            <w:r>
              <w:t xml:space="preserve"> (a string, file-like object, or path-like object). </w:t>
            </w:r>
            <w:r>
              <w:rPr>
                <w:rStyle w:val="Text0"/>
              </w:rPr>
              <w:t>mode</w:t>
            </w:r>
            <w:r>
              <w:t xml:space="preserve"> can be </w:t>
            </w:r>
            <w:r>
              <w:rPr>
                <w:rStyle w:val="Text0"/>
              </w:rPr>
              <w:t>'r'</w:t>
            </w:r>
            <w:r>
              <w:t xml:space="preserve"> to read an existing ZIP file, </w:t>
            </w:r>
            <w:r>
              <w:rPr>
                <w:rStyle w:val="Text0"/>
              </w:rPr>
              <w:t>'w'</w:t>
            </w:r>
            <w:r>
              <w:t xml:space="preserve">, to write a new ZIP file or truncate and rewrite an existing one, or </w:t>
            </w:r>
            <w:r>
              <w:rPr>
                <w:rStyle w:val="Text0"/>
              </w:rPr>
              <w:t>'a'</w:t>
            </w:r>
            <w:r>
              <w:t xml:space="preserve"> to append to an existing file. It can also be </w:t>
            </w:r>
            <w:r>
              <w:rPr>
                <w:rStyle w:val="Text0"/>
              </w:rPr>
              <w:t>'x'</w:t>
            </w:r>
            <w:r>
              <w:t xml:space="preserve">, which is like </w:t>
            </w:r>
            <w:r>
              <w:rPr>
                <w:rStyle w:val="Text0"/>
              </w:rPr>
              <w:t>'w'</w:t>
            </w:r>
            <w:r>
              <w:t xml:space="preserve"> but raises an exception if the ZIP file already existed—here, </w:t>
            </w:r>
            <w:r>
              <w:rPr>
                <w:rStyle w:val="Text0"/>
              </w:rPr>
              <w:t>'x'</w:t>
            </w:r>
            <w:r>
              <w:t xml:space="preserve"> stands for “exclusive.”</w:t>
              <w:br w:clear="none"/>
              <w:t xml:space="preserve"> When </w:t>
            </w:r>
            <w:r>
              <w:rPr>
                <w:rStyle w:val="Text0"/>
              </w:rPr>
              <w:t>mode</w:t>
            </w:r>
            <w:r>
              <w:t xml:space="preserve"> is </w:t>
            </w:r>
            <w:r>
              <w:rPr>
                <w:rStyle w:val="Text0"/>
              </w:rPr>
              <w:t>'a'</w:t>
            </w:r>
            <w:r>
              <w:t xml:space="preserve">, </w:t>
            </w:r>
            <w:r>
              <w:rPr>
                <w:rStyle w:val="Text3"/>
              </w:rPr>
              <w:t>file</w:t>
            </w:r>
            <w:r>
              <w:t xml:space="preserve"> can name either an existing ZIP file (in which case new members are added to the existing archive) or an existing non-ZIP file. In the latter case, a new ZIP file-like archive is created and appended to the existing file. The main purpose of this latter case is to let you build an executable file that unpacks itself when run. The existing file must then be a pristine copy of a self-unpacking executable prefix, as supplied by </w:t>
            </w:r>
            <w:r>
              <w:rPr>
                <w:rStyle w:val="Text4"/>
              </w:rPr>
              <w:t>www.info-zip.org</w:t>
            </w:r>
            <w:r>
              <w:t xml:space="preserve"> and by other purveyors of ZIP file compression tools.</w:t>
              <w:br w:clear="none"/>
              <w:t xml:space="preserve"> </w:t>
            </w:r>
            <w:r>
              <w:rPr>
                <w:rStyle w:val="Text0"/>
              </w:rPr>
              <w:t>compression</w:t>
            </w:r>
            <w:r>
              <w:t xml:space="preserve"> is the ZIP compression method to use in writing the archive: </w:t>
            </w:r>
            <w:r>
              <w:rPr>
                <w:rStyle w:val="Text0"/>
              </w:rPr>
              <w:t>ZIP_STORED</w:t>
            </w:r>
            <w:r>
              <w:t xml:space="preserve"> (the default) requests that the archive use no compression, and </w:t>
            </w:r>
            <w:r>
              <w:rPr>
                <w:rStyle w:val="Text0"/>
              </w:rPr>
              <w:t>ZIP_DEFLATED</w:t>
            </w:r>
            <w:r>
              <w:t xml:space="preserve"> requests that the archive use the </w:t>
            </w:r>
            <w:r>
              <w:rPr>
                <w:rStyle w:val="Text4"/>
              </w:rPr>
              <w:t>deflation</w:t>
            </w:r>
            <w:r>
              <w:t xml:space="preserve"> mode of compression (the most usual and effective compression approach used in ZIP files). It can also be </w:t>
            </w:r>
            <w:r>
              <w:rPr>
                <w:rStyle w:val="Text0"/>
              </w:rPr>
              <w:t>ZIP_BZIP2</w:t>
            </w:r>
            <w:r>
              <w:t xml:space="preserve"> or </w:t>
            </w:r>
            <w:r>
              <w:rPr>
                <w:rStyle w:val="Text0"/>
              </w:rPr>
              <w:t>ZIP_LZMA</w:t>
            </w:r>
            <w:r>
              <w:t xml:space="preserve"> (sacrificing portability for more compression; these require the </w:t>
            </w:r>
            <w:r>
              <w:rPr>
                <w:rStyle w:val="Text0"/>
              </w:rPr>
              <w:t>bz2</w:t>
            </w:r>
            <w:r>
              <w:t xml:space="preserve"> or </w:t>
            </w:r>
            <w:r>
              <w:rPr>
                <w:rStyle w:val="Text0"/>
              </w:rPr>
              <w:t>lzma</w:t>
            </w:r>
            <w:r>
              <w:t xml:space="preserve"> module, respectively). Unrecognized values will raise </w:t>
            </w:r>
            <w:r>
              <w:rPr>
                <w:rStyle w:val="Text0"/>
              </w:rPr>
              <w:t>NotImplementedError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ZipFile</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When </w:t>
            </w:r>
            <w:r>
              <w:rPr>
                <w:rStyle w:val="Text0"/>
              </w:rPr>
              <w:t>allowZip64</w:t>
            </w:r>
            <w:r>
              <w:t xml:space="preserve"> is </w:t>
            </w:r>
            <w:r>
              <w:rPr>
                <w:rStyle w:val="Text5"/>
              </w:rPr>
              <w:t>True</w:t>
            </w:r>
            <w:r>
              <w:t xml:space="preserve"> (the default), the </w:t>
            </w:r>
            <w:r>
              <w:rPr>
                <w:rStyle w:val="Text0"/>
              </w:rPr>
              <w:t>ZipFile</w:t>
            </w:r>
            <w:r>
              <w:t xml:space="preserve"> instance is allowed to use the ZIP64 extensions to produce an archive larger than 4 GB; otherwise, any attempt to produce such a large archive raises a </w:t>
            </w:r>
            <w:r>
              <w:rPr>
                <w:rStyle w:val="Text0"/>
              </w:rPr>
              <w:t>LargeZipFile</w:t>
            </w:r>
            <w:r>
              <w:t xml:space="preserve"> exception.</w:t>
              <w:br w:clear="none"/>
              <w:t xml:space="preserve"> </w:t>
            </w:r>
            <w:r>
              <w:rPr>
                <w:rStyle w:val="Text0"/>
              </w:rPr>
              <w:t>compresslevel</w:t>
            </w:r>
            <w:r>
              <w:t xml:space="preserve"> is an integer (ignored when using </w:t>
            </w:r>
            <w:r>
              <w:rPr>
                <w:rStyle w:val="Text0"/>
              </w:rPr>
              <w:t>ZIP_STORED</w:t>
            </w:r>
            <w:r>
              <w:t xml:space="preserve"> or </w:t>
            </w:r>
            <w:r>
              <w:rPr>
                <w:rStyle w:val="Text0"/>
              </w:rPr>
              <w:t>ZIP_LZMA</w:t>
            </w:r>
            <w:r>
              <w:t xml:space="preserve">) from </w:t>
            </w:r>
            <w:r>
              <w:rPr>
                <w:rStyle w:val="Text0"/>
              </w:rPr>
              <w:t>0</w:t>
            </w:r>
            <w:r>
              <w:t xml:space="preserve"> for </w:t>
            </w:r>
            <w:r>
              <w:rPr>
                <w:rStyle w:val="Text0"/>
              </w:rPr>
              <w:t>ZIP_DEFLATED</w:t>
            </w:r>
            <w:r>
              <w:t xml:space="preserve"> (</w:t>
            </w:r>
            <w:r>
              <w:rPr>
                <w:rStyle w:val="Text0"/>
              </w:rPr>
              <w:t>1</w:t>
            </w:r>
            <w:r>
              <w:t xml:space="preserve"> for </w:t>
            </w:r>
            <w:r>
              <w:rPr>
                <w:rStyle w:val="Text0"/>
              </w:rPr>
              <w:t>ZIP_BZIP2</w:t>
            </w:r>
            <w:r>
              <w:t xml:space="preserve">), which requests modest compression but fast operation, to </w:t>
            </w:r>
            <w:r>
              <w:rPr>
                <w:rStyle w:val="Text0"/>
              </w:rPr>
              <w:t>9</w:t>
            </w:r>
            <w:r>
              <w:t xml:space="preserve"> to request the best compression at the cost of more computation.</w:t>
              <w:br w:clear="none"/>
              <w:t xml:space="preserve"> </w:t>
            </w:r>
            <w:r>
              <w:rPr>
                <w:rStyle w:val="Text34"/>
              </w:rPr>
              <w:t>3.8+</w:t>
            </w:r>
            <w:r>
              <w:t xml:space="preserve"> Set </w:t>
            </w:r>
            <w:r>
              <w:rPr>
                <w:rStyle w:val="Text0"/>
              </w:rPr>
              <w:t>strict_timestamps</w:t>
            </w:r>
            <w:r>
              <w:t xml:space="preserve"> to </w:t>
            </w:r>
            <w:r>
              <w:rPr>
                <w:rStyle w:val="Text5"/>
              </w:rPr>
              <w:t>False</w:t>
            </w:r>
            <w:r>
              <w:t xml:space="preserve"> to store files older than 1980-01-01 (sets the timestamp to 1980-01-01) or beyond 2107-12-31 (sets the timestamp to 2107-12-31).</w:t>
            </w:r>
          </w:p>
        </w:tc>
      </w:tr>
    </w:tbl>
    <w:p>
      <w:pPr>
        <w:pStyle w:val="Normal"/>
      </w:pPr>
      <w:r>
        <w:rPr>
          <w:rStyle w:val="Text0"/>
        </w:rPr>
        <w:t>ZipFile</w:t>
      </w:r>
      <w:r>
        <w:t xml:space="preserve"> is a context manager; thus, you can use it in a </w:t>
      </w:r>
      <w:r>
        <w:rPr>
          <w:rStyle w:val="Text5"/>
        </w:rPr>
        <w:t>with</w:t>
      </w:r>
      <w:r>
        <w:t xml:space="preserve"> statement to ensure the underlying file gets closed when you’re done with it. For example:</w:t>
      </w:r>
    </w:p>
    <w:p>
      <w:pPr>
        <w:pStyle w:val="Para 007"/>
      </w:pPr>
      <w:r>
        <w:rPr>
          <w:rStyle w:val="Text23"/>
        </w:rPr>
        <w:t xml:space="preserve"/>
        <w:br w:clear="none"/>
      </w:r>
      <w:r>
        <w:rPr>
          <w:rStyle w:val="Text10"/>
        </w:rPr>
        <w:t xml:space="preserve">with</w:t>
        <w:br w:clear="none"/>
      </w:r>
      <w:r>
        <w:rPr>
          <w:rStyle w:val="Text6"/>
        </w:rPr>
        <w:t xml:space="preserve"> </w:t>
        <w:br w:clear="none"/>
      </w:r>
      <w:r>
        <w:t xml:space="preserve">zipfile</w:t>
        <w:br w:clear="none"/>
      </w:r>
      <w:r>
        <w:rPr>
          <w:rStyle w:val="Text13"/>
        </w:rPr>
        <w:t xml:space="preserve">.</w:t>
        <w:br w:clear="none"/>
      </w:r>
      <w:r>
        <w:t xml:space="preserve">ZipFile</w:t>
        <w:br w:clear="none"/>
      </w:r>
      <w:r>
        <w:rPr>
          <w:rStyle w:val="Text7"/>
        </w:rPr>
        <w:t xml:space="preserve">(</w:t>
        <w:br w:clear="none"/>
      </w:r>
      <w:r>
        <w:rPr>
          <w:rStyle w:val="Text8"/>
        </w:rPr>
        <w:t xml:space="preserve">'</w:t>
        <w:br w:clear="none"/>
        <w:t xml:space="preserve">archive.zip</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z</w:t>
        <w:br w:clear="none"/>
      </w:r>
      <w:r>
        <w:rPr>
          <w:rStyle w:val="Text7"/>
        </w:rPr>
        <w:t xml:space="preserve">:</w:t>
        <w:br w:clear="none"/>
      </w:r>
      <w:r>
        <w:rPr>
          <w:rStyle w:val="Text6"/>
        </w:rPr>
        <w:t xml:space="preserve">    </w:t>
        <w:br w:clear="none"/>
        <w:t xml:space="preserve"/>
        <w:br w:clear="none"/>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z</w:t>
        <w:br w:clear="none"/>
      </w:r>
      <w:r>
        <w:rPr>
          <w:rStyle w:val="Text13"/>
        </w:rPr>
        <w:t xml:space="preserve">.</w:t>
        <w:br w:clear="none"/>
      </w:r>
      <w:r>
        <w:t xml:space="preserve">read</w:t>
        <w:br w:clear="none"/>
      </w:r>
      <w:r>
        <w:rPr>
          <w:rStyle w:val="Text7"/>
        </w:rPr>
        <w:t xml:space="preserve">(</w:t>
        <w:br w:clear="none"/>
      </w:r>
      <w:r>
        <w:rPr>
          <w:rStyle w:val="Text8"/>
        </w:rPr>
        <w:t xml:space="preserve">'</w:t>
        <w:br w:clear="none"/>
        <w:t xml:space="preserve">data.txt</w:t>
        <w:br w:clear="none"/>
        <w:t xml:space="preserve">'</w:t>
        <w:br w:clear="none"/>
      </w:r>
      <w:r>
        <w:rPr>
          <w:rStyle w:val="Text7"/>
        </w:rPr>
        <w:t xml:space="preserve">)</w:t>
        <w:br w:clear="none"/>
      </w:r>
    </w:p>
    <w:p>
      <w:pPr>
        <w:pStyle w:val="Normal"/>
      </w:pPr>
      <w:r>
        <w:t xml:space="preserve">In addition to the arguments with which it was instantiated, a </w:t>
      </w:r>
      <w:r>
        <w:rPr>
          <w:rStyle w:val="Text0"/>
        </w:rPr>
        <w:t>ZipFile</w:t>
      </w:r>
      <w:r>
        <w:t xml:space="preserve"> instance </w:t>
      </w:r>
      <w:r>
        <w:rPr>
          <w:rStyle w:val="Text3"/>
        </w:rPr>
        <w:t>z</w:t>
      </w:r>
      <w:r>
        <w:t xml:space="preserve"> has the attributes </w:t>
      </w:r>
      <w:r>
        <w:rPr>
          <w:rStyle w:val="Text0"/>
        </w:rPr>
        <w:t>fp</w:t>
      </w:r>
      <w:r>
        <w:t xml:space="preserve"> and </w:t>
      </w:r>
      <w:r>
        <w:rPr>
          <w:rStyle w:val="Text0"/>
        </w:rPr>
        <w:t>filename</w:t>
      </w:r>
      <w:r>
        <w:t xml:space="preserve">, which are the file-like object </w:t>
      </w:r>
      <w:r>
        <w:rPr>
          <w:rStyle w:val="Text3"/>
        </w:rPr>
        <w:t>z</w:t>
      </w:r>
      <w:r>
        <w:t xml:space="preserve"> works on and its filename (if known); </w:t>
      </w:r>
      <w:r>
        <w:rPr>
          <w:rStyle w:val="Text0"/>
        </w:rPr>
        <w:t>comment</w:t>
      </w:r>
      <w:r>
        <w:t xml:space="preserve">, the possibly empty string that is the archive’s comment; and </w:t>
      </w:r>
      <w:r>
        <w:rPr>
          <w:rStyle w:val="Text0"/>
        </w:rPr>
        <w:t>filelist</w:t>
      </w:r>
      <w:r>
        <w:t xml:space="preserve">, the list of </w:t>
      </w:r>
      <w:r>
        <w:rPr>
          <w:rStyle w:val="Text0"/>
        </w:rPr>
        <w:t>ZipInfo</w:t>
      </w:r>
      <w:r>
        <w:t xml:space="preserve"> instances in the archive. In addition, </w:t>
      </w:r>
      <w:r>
        <w:rPr>
          <w:rStyle w:val="Text3"/>
        </w:rPr>
        <w:t>z</w:t>
      </w:r>
      <w:r>
        <w:t xml:space="preserve"> has a writable attribute called </w:t>
      </w:r>
      <w:r>
        <w:rPr>
          <w:rStyle w:val="Text0"/>
        </w:rPr>
        <w:t>debug</w:t>
      </w:r>
      <w:r>
        <w:t xml:space="preserve">, an </w:t>
      </w:r>
      <w:r>
        <w:rPr>
          <w:rStyle w:val="Text0"/>
        </w:rPr>
        <w:t>int</w:t>
      </w:r>
      <w:r>
        <w:t xml:space="preserve"> from </w:t>
      </w:r>
      <w:r>
        <w:rPr>
          <w:rStyle w:val="Text0"/>
        </w:rPr>
        <w:t>0</w:t>
      </w:r>
      <w:r>
        <w:t xml:space="preserve"> to </w:t>
      </w:r>
      <w:r>
        <w:rPr>
          <w:rStyle w:val="Text0"/>
        </w:rPr>
        <w:t>3</w:t>
      </w:r>
      <w:r>
        <w:t xml:space="preserve"> that you can assign to control how much debugging output to emit to </w:t>
      </w:r>
      <w:r>
        <w:rPr>
          <w:rStyle w:val="Text0"/>
        </w:rPr>
        <w:t>sys.stdout</w:t>
      </w:r>
      <w:r>
        <w:t>:</w:t>
      </w:r>
      <w:hyperlink w:anchor="2_Alas__yes__not_sys_stderr__as">
        <w:r>
          <w:rPr>
            <w:rStyle w:val="Text41"/>
          </w:rPr>
          <w:bookmarkStart w:id="2632" w:name="2_9"/>
          <w:t>2</w:t>
          <w:bookmarkEnd w:id="2632"/>
        </w:r>
      </w:hyperlink>
      <w:r>
        <w:t xml:space="preserve"> from nothing when </w:t>
      </w:r>
      <w:r>
        <w:rPr>
          <w:rStyle w:val="Text3"/>
        </w:rPr>
        <w:t>z</w:t>
      </w:r>
      <w:r>
        <w:rPr>
          <w:rStyle w:val="Text0"/>
        </w:rPr>
        <w:t>.debug</w:t>
      </w:r>
      <w:r>
        <w:t xml:space="preserve"> is </w:t>
      </w:r>
      <w:r>
        <w:rPr>
          <w:rStyle w:val="Text0"/>
        </w:rPr>
        <w:t>0</w:t>
      </w:r>
      <w:r>
        <w:t xml:space="preserve">, to the maximum amount of information available when </w:t>
      </w:r>
      <w:r>
        <w:rPr>
          <w:rStyle w:val="Text3"/>
        </w:rPr>
        <w:t>z</w:t>
      </w:r>
      <w:r>
        <w:rPr>
          <w:rStyle w:val="Text0"/>
        </w:rPr>
        <w:t>.debug</w:t>
      </w:r>
      <w:r>
        <w:t xml:space="preserve"> is </w:t>
      </w:r>
      <w:r>
        <w:rPr>
          <w:rStyle w:val="Text0"/>
        </w:rPr>
        <w:t>3</w:t>
      </w:r>
      <w:r>
        <w:t>.</w:t>
      </w:r>
    </w:p>
    <w:p>
      <w:pPr>
        <w:pStyle w:val="Normal"/>
      </w:pPr>
      <w:r>
        <w:t xml:space="preserve">A </w:t>
      </w:r>
      <w:r>
        <w:rPr>
          <w:rStyle w:val="Text0"/>
        </w:rPr>
        <w:t>ZipFile</w:t>
      </w:r>
      <w:r>
        <w:t xml:space="preserve"> instance </w:t>
      </w:r>
      <w:r>
        <w:rPr>
          <w:rStyle w:val="Text3"/>
        </w:rPr>
        <w:t>z</w:t>
      </w:r>
      <w:r>
        <w:t xml:space="preserve"> supplies the methods listed in </w:t>
      </w:r>
      <w:hyperlink w:anchor="Table_11_13__Methods_supplied_by">
        <w:r>
          <w:rPr>
            <w:rStyle w:val="Text1"/>
          </w:rPr>
          <w:t>Table 11-13</w:t>
        </w:r>
      </w:hyperlink>
      <w:r>
        <w:t>.</w:t>
      </w:r>
    </w:p>
    <w:tbl>
      <w:tblPr>
        <w:tblW w:type="auto" w:w="0"/>
      </w:tblPr>
      <w:tr>
        <w:tc>
          <w:tcPr>
            <w:tcW w:type="auto" w:w="0"/>
            <w:tcMar>
              <w:left w:type="dxa" w:w="200"/>
              <w:top w:type="dxa" w:w="200"/>
              <w:right w:type="dxa" w:w="200"/>
              <w:bottom w:type="dxa" w:w="200"/>
            </w:tcMar>
          </w:tcPr>
          <w:p>
            <w:bookmarkStart w:id="2633" w:name="Table_11_13__Methods_supplied_by"/>
            <w:pPr>
              <w:pStyle w:val="Para 011"/>
            </w:pPr>
            <w:r>
              <w:rPr>
                <w:rStyle w:val="Text117"/>
              </w:rPr>
              <w:t/>
            </w:r>
            <w:r>
              <w:t xml:space="preserve">Table 11-13. </w:t>
              <w:t xml:space="preserve">Methods supplied by an instance </w:t>
            </w:r>
            <w:r>
              <w:rPr>
                <w:rStyle w:val="Text3"/>
              </w:rPr>
              <w:t>z</w:t>
            </w:r>
            <w:r>
              <w:t xml:space="preserve"> of </w:t>
            </w:r>
            <w:r>
              <w:rPr>
                <w:rStyle w:val="Text0"/>
              </w:rPr>
              <w:t>ZipFile</w:t>
            </w:r>
            <w:bookmarkEnd w:id="2633"/>
          </w:p>
          <w:p>
            <w:pPr>
              <w:pStyle w:val="Para 001"/>
            </w:pPr>
            <w:r>
              <w:t>close</w:t>
            </w:r>
          </w:p>
        </w:tc>
        <w:tc>
          <w:tcPr>
            <w:tcW w:type="auto" w:w="0"/>
            <w:tcMar>
              <w:left w:type="dxa" w:w="200"/>
              <w:top w:type="dxa" w:w="200"/>
              <w:right w:type="dxa" w:w="200"/>
              <w:bottom w:type="dxa" w:w="200"/>
            </w:tcMar>
          </w:tcPr>
          <w:p>
            <w:pPr>
              <w:pStyle w:val="Para 002"/>
            </w:pPr>
            <w:r>
              <w:rPr>
                <w:rStyle w:val="Text0"/>
              </w:rPr>
              <w:t>close()</w:t>
              <w:br w:clear="none"/>
            </w:r>
            <w:r>
              <w:t xml:space="preserve"> Closes archive file </w:t>
            </w:r>
            <w:r>
              <w:rPr>
                <w:rStyle w:val="Text3"/>
              </w:rPr>
              <w:t>z</w:t>
            </w:r>
            <w:r>
              <w:t xml:space="preserve">. Make sure to call </w:t>
            </w:r>
            <w:r>
              <w:rPr>
                <w:rStyle w:val="Text4"/>
              </w:rPr>
              <w:t>z</w:t>
            </w:r>
            <w:r>
              <w:rPr>
                <w:rStyle w:val="Text0"/>
              </w:rPr>
              <w:t>.close()</w:t>
            </w:r>
            <w:r>
              <w:t xml:space="preserve">, or an incomplete and unusable ZIP file might be left on disk. Such mandatory finalization is generally best performed with a </w:t>
            </w:r>
            <w:r>
              <w:rPr>
                <w:rStyle w:val="Text5"/>
              </w:rPr>
              <w:t>try</w:t>
            </w:r>
            <w:r>
              <w:rPr>
                <w:rStyle w:val="Text0"/>
              </w:rPr>
              <w:t>/</w:t>
            </w:r>
            <w:r>
              <w:rPr>
                <w:rStyle w:val="Text5"/>
              </w:rPr>
              <w:t>finally</w:t>
            </w:r>
            <w:r>
              <w:t xml:space="preserve"> statement, as covered in </w:t>
            </w:r>
            <w:hyperlink w:anchor="try_finally__Here_s_the_syntax_f">
              <w:r>
                <w:rPr>
                  <w:rStyle w:val="Text1"/>
                </w:rPr>
                <w:t>“try/finally”</w:t>
              </w:r>
            </w:hyperlink>
            <w:r>
              <w:t xml:space="preserve">, or—even better—a </w:t>
            </w:r>
            <w:r>
              <w:rPr>
                <w:rStyle w:val="Text5"/>
              </w:rPr>
              <w:t>with</w:t>
            </w:r>
            <w:r>
              <w:t xml:space="preserve"> statement, covered in </w:t>
            </w:r>
            <w:hyperlink w:anchor="The_with_Statement_and_Context_M">
              <w:r>
                <w:rPr>
                  <w:rStyle w:val="Text1"/>
                </w:rPr>
                <w:t>“The with Statement and Context Managers”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extract</w:t>
            </w:r>
          </w:p>
        </w:tc>
        <w:tc>
          <w:tcPr>
            <w:tcW w:type="auto" w:w="0"/>
            <w:shd w:val="clear" w:color="auto" w:fill="EEF2F6"/>
            <w:tcMar>
              <w:left w:type="dxa" w:w="200"/>
              <w:top w:type="dxa" w:w="200"/>
              <w:right w:type="dxa" w:w="200"/>
              <w:bottom w:type="dxa" w:w="200"/>
            </w:tcMar>
          </w:tcPr>
          <w:p>
            <w:pPr>
              <w:pStyle w:val="Para 002"/>
            </w:pPr>
            <w:r>
              <w:rPr>
                <w:rStyle w:val="Text0"/>
              </w:rPr>
              <w:t>extract(</w:t>
            </w:r>
            <w:r>
              <w:rPr>
                <w:rStyle w:val="Text3"/>
              </w:rPr>
              <w:t>member</w:t>
            </w:r>
            <w:r>
              <w:rPr>
                <w:rStyle w:val="Text0"/>
              </w:rPr>
              <w:t>, path=</w:t>
            </w:r>
            <w:r>
              <w:rPr>
                <w:rStyle w:val="Text5"/>
              </w:rPr>
              <w:t>None</w:t>
            </w:r>
            <w:r>
              <w:rPr>
                <w:rStyle w:val="Text0"/>
              </w:rPr>
              <w:t>, pwd=</w:t>
            </w:r>
            <w:r>
              <w:rPr>
                <w:rStyle w:val="Text5"/>
              </w:rPr>
              <w:t>None</w:t>
            </w:r>
            <w:r>
              <w:rPr>
                <w:rStyle w:val="Text0"/>
              </w:rPr>
              <w:t>)</w:t>
              <w:br w:clear="none"/>
            </w:r>
            <w:r>
              <w:t xml:space="preserve"> Extracts an archive member to disk, to the directory or path-like object </w:t>
            </w:r>
            <w:r>
              <w:rPr>
                <w:rStyle w:val="Text0"/>
              </w:rPr>
              <w:t>path</w:t>
            </w:r>
            <w:r>
              <w:t xml:space="preserve"> or, by default, to the current working directory; </w:t>
            </w:r>
            <w:r>
              <w:rPr>
                <w:rStyle w:val="Text3"/>
              </w:rPr>
              <w:t>member</w:t>
            </w:r>
            <w:r>
              <w:t xml:space="preserve"> is the member’s full name, or an instance of </w:t>
            </w:r>
            <w:r>
              <w:rPr>
                <w:rStyle w:val="Text0"/>
              </w:rPr>
              <w:t>ZipInfo</w:t>
            </w:r>
            <w:r>
              <w:t xml:space="preserve"> identifying the member. </w:t>
            </w:r>
            <w:r>
              <w:rPr>
                <w:rStyle w:val="Text0"/>
              </w:rPr>
              <w:t>extract</w:t>
            </w:r>
            <w:r>
              <w:t xml:space="preserve"> normalizes path info within </w:t>
            </w:r>
            <w:r>
              <w:rPr>
                <w:rStyle w:val="Text3"/>
              </w:rPr>
              <w:t>member</w:t>
            </w:r>
            <w:r>
              <w:t xml:space="preserve">, turning absolute paths into relative ones, removing any </w:t>
            </w:r>
            <w:r>
              <w:rPr>
                <w:rStyle w:val="Text0"/>
              </w:rPr>
              <w:t>..</w:t>
            </w:r>
            <w:r>
              <w:t xml:space="preserve"> component, and, on Windows, turning characters that are illegal in filenames into underscores (</w:t>
            </w:r>
            <w:r>
              <w:rPr>
                <w:rStyle w:val="Text0"/>
              </w:rPr>
              <w:t>_</w:t>
            </w:r>
            <w:r>
              <w:t xml:space="preserve">). </w:t>
            </w:r>
            <w:r>
              <w:rPr>
                <w:rStyle w:val="Text0"/>
              </w:rPr>
              <w:t>pwd</w:t>
            </w:r>
            <w:r>
              <w:t>, if present, is the password to use to decrypt an encrypted member.</w:t>
              <w:br w:clear="none"/>
              <w:t xml:space="preserve"> </w:t>
            </w:r>
            <w:r>
              <w:rPr>
                <w:rStyle w:val="Text0"/>
              </w:rPr>
              <w:t>extract</w:t>
            </w:r>
            <w:r>
              <w:t xml:space="preserve"> returns the path to the file it has created (or overwritten if it already existed), or to the directory it has created (or left alone if it already existed). Calling </w:t>
            </w:r>
            <w:r>
              <w:rPr>
                <w:rStyle w:val="Text0"/>
              </w:rPr>
              <w:t>extract</w:t>
            </w:r>
            <w:r>
              <w:t xml:space="preserve"> on a closed </w:t>
            </w:r>
            <w:r>
              <w:rPr>
                <w:rStyle w:val="Text0"/>
              </w:rPr>
              <w:t>ZipFile</w:t>
            </w:r>
            <w:r>
              <w:t xml:space="preserve"> raises </w:t>
            </w:r>
            <w:r>
              <w:rPr>
                <w:rStyle w:val="Text0"/>
              </w:rPr>
              <w:t>ValueError</w:t>
            </w:r>
            <w:r>
              <w:t>.</w:t>
            </w:r>
          </w:p>
        </w:tc>
      </w:tr>
    </w:tbl>
    <w:tbl>
      <w:tblPr>
        <w:tblW w:type="auto" w:w="0"/>
      </w:tblPr>
      <w:tr>
        <w:tc>
          <w:tcPr>
            <w:tcW w:type="auto" w:w="0"/>
            <w:tcMar>
              <w:left w:type="dxa" w:w="200"/>
              <w:top w:type="dxa" w:w="200"/>
              <w:right w:type="dxa" w:w="200"/>
              <w:bottom w:type="dxa" w:w="200"/>
            </w:tcMar>
          </w:tcPr>
          <w:p>
            <w:pPr>
              <w:pStyle w:val="Para 001"/>
            </w:pPr>
            <w:r>
              <w:t>extractall</w:t>
            </w:r>
          </w:p>
        </w:tc>
        <w:tc>
          <w:tcPr>
            <w:tcW w:type="auto" w:w="0"/>
            <w:tcMar>
              <w:left w:type="dxa" w:w="200"/>
              <w:top w:type="dxa" w:w="200"/>
              <w:right w:type="dxa" w:w="200"/>
              <w:bottom w:type="dxa" w:w="200"/>
            </w:tcMar>
          </w:tcPr>
          <w:p>
            <w:pPr>
              <w:pStyle w:val="Para 002"/>
            </w:pPr>
            <w:r>
              <w:rPr>
                <w:rStyle w:val="Text0"/>
              </w:rPr>
              <w:t>extractall(path=</w:t>
            </w:r>
            <w:r>
              <w:rPr>
                <w:rStyle w:val="Text5"/>
              </w:rPr>
              <w:t>None</w:t>
            </w:r>
            <w:r>
              <w:rPr>
                <w:rStyle w:val="Text0"/>
              </w:rPr>
              <w:t>, members=</w:t>
            </w:r>
            <w:r>
              <w:rPr>
                <w:rStyle w:val="Text5"/>
              </w:rPr>
              <w:t>None</w:t>
            </w:r>
            <w:r>
              <w:rPr>
                <w:rStyle w:val="Text0"/>
              </w:rPr>
              <w:t>, pwd=</w:t>
            </w:r>
            <w:r>
              <w:rPr>
                <w:rStyle w:val="Text5"/>
              </w:rPr>
              <w:t>None</w:t>
            </w:r>
            <w:r>
              <w:rPr>
                <w:rStyle w:val="Text0"/>
              </w:rPr>
              <w:t>)</w:t>
              <w:br w:clear="none"/>
            </w:r>
            <w:r>
              <w:t xml:space="preserve"> Extracts archive members to disk (by default, all of them), to directory or path- like object </w:t>
            </w:r>
            <w:r>
              <w:rPr>
                <w:rStyle w:val="Text0"/>
              </w:rPr>
              <w:t>path</w:t>
            </w:r>
            <w:r>
              <w:t xml:space="preserve"> or, by default, to the current working directory; </w:t>
            </w:r>
            <w:r>
              <w:rPr>
                <w:rStyle w:val="Text0"/>
              </w:rPr>
              <w:t>members</w:t>
            </w:r>
            <w:r>
              <w:t xml:space="preserve"> optionally limits which members to extract, and must be a subset of the list of strings returned by </w:t>
            </w:r>
            <w:r>
              <w:rPr>
                <w:rStyle w:val="Text3"/>
              </w:rPr>
              <w:t>z</w:t>
            </w:r>
            <w:r>
              <w:rPr>
                <w:rStyle w:val="Text0"/>
              </w:rPr>
              <w:t>.namelist</w:t>
            </w:r>
            <w:r>
              <w:t xml:space="preserve">. </w:t>
            </w:r>
            <w:r>
              <w:rPr>
                <w:rStyle w:val="Text0"/>
              </w:rPr>
              <w:t>extractall</w:t>
            </w:r>
            <w:r>
              <w:t xml:space="preserve"> normalizes path info within members it extracts, turning absolute paths into relative ones, removing any </w:t>
            </w:r>
            <w:r>
              <w:rPr>
                <w:rStyle w:val="Text0"/>
              </w:rPr>
              <w:t>..</w:t>
            </w:r>
            <w:r>
              <w:t xml:space="preserve"> component, and, on Windows, turning characters that are illegal in filenames into underscores (</w:t>
            </w:r>
            <w:r>
              <w:rPr>
                <w:rStyle w:val="Text0"/>
              </w:rPr>
              <w:t>_</w:t>
            </w:r>
            <w:r>
              <w:t xml:space="preserve">). </w:t>
            </w:r>
            <w:r>
              <w:rPr>
                <w:rStyle w:val="Text0"/>
              </w:rPr>
              <w:t>pwd</w:t>
            </w:r>
            <w:r>
              <w:t>, if present, is the password to use to decrypt encrypted members, if any.</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getinfo</w:t>
            </w:r>
          </w:p>
        </w:tc>
        <w:tc>
          <w:tcPr>
            <w:tcW w:type="auto" w:w="0"/>
            <w:shd w:val="clear" w:color="auto" w:fill="EEF2F6"/>
            <w:tcMar>
              <w:left w:type="dxa" w:w="200"/>
              <w:top w:type="dxa" w:w="200"/>
              <w:right w:type="dxa" w:w="200"/>
              <w:bottom w:type="dxa" w:w="200"/>
            </w:tcMar>
          </w:tcPr>
          <w:p>
            <w:pPr>
              <w:pStyle w:val="Para 002"/>
            </w:pPr>
            <w:r>
              <w:rPr>
                <w:rStyle w:val="Text0"/>
              </w:rPr>
              <w:t>getinfo(</w:t>
            </w:r>
            <w:r>
              <w:rPr>
                <w:rStyle w:val="Text3"/>
              </w:rPr>
              <w:t>name</w:t>
            </w:r>
            <w:r>
              <w:rPr>
                <w:rStyle w:val="Text0"/>
              </w:rPr>
              <w:t>)</w:t>
              <w:br w:clear="none"/>
            </w:r>
            <w:r>
              <w:t xml:space="preserve"> Returns a </w:t>
            </w:r>
            <w:r>
              <w:rPr>
                <w:rStyle w:val="Text0"/>
              </w:rPr>
              <w:t>ZipInfo</w:t>
            </w:r>
            <w:r>
              <w:t xml:space="preserve"> instance that supplies information about the archive member named by the string </w:t>
            </w:r>
            <w:r>
              <w:rPr>
                <w:rStyle w:val="Text3"/>
              </w:rPr>
              <w:t>name</w:t>
            </w:r>
            <w:r>
              <w:t>.</w:t>
            </w:r>
          </w:p>
        </w:tc>
      </w:tr>
    </w:tbl>
    <w:tbl>
      <w:tblPr>
        <w:tblW w:type="auto" w:w="0"/>
      </w:tblPr>
      <w:tr>
        <w:tc>
          <w:tcPr>
            <w:tcW w:type="auto" w:w="0"/>
            <w:tcMar>
              <w:left w:type="dxa" w:w="200"/>
              <w:top w:type="dxa" w:w="200"/>
              <w:right w:type="dxa" w:w="200"/>
              <w:bottom w:type="dxa" w:w="200"/>
            </w:tcMar>
          </w:tcPr>
          <w:p>
            <w:pPr>
              <w:pStyle w:val="Para 001"/>
            </w:pPr>
            <w:r>
              <w:t>infolist</w:t>
            </w:r>
          </w:p>
        </w:tc>
        <w:tc>
          <w:tcPr>
            <w:tcW w:type="auto" w:w="0"/>
            <w:tcMar>
              <w:left w:type="dxa" w:w="200"/>
              <w:top w:type="dxa" w:w="200"/>
              <w:right w:type="dxa" w:w="200"/>
              <w:bottom w:type="dxa" w:w="200"/>
            </w:tcMar>
          </w:tcPr>
          <w:p>
            <w:pPr>
              <w:pStyle w:val="Para 002"/>
            </w:pPr>
            <w:r>
              <w:rPr>
                <w:rStyle w:val="Text0"/>
              </w:rPr>
              <w:t>infolist()</w:t>
              <w:br w:clear="none"/>
            </w:r>
            <w:r>
              <w:t xml:space="preserve"> Returns a list of </w:t>
            </w:r>
            <w:r>
              <w:rPr>
                <w:rStyle w:val="Text0"/>
              </w:rPr>
              <w:t>ZipInfo</w:t>
            </w:r>
            <w:r>
              <w:t xml:space="preserve"> instances, one for each member in archive </w:t>
            </w:r>
            <w:r>
              <w:rPr>
                <w:rStyle w:val="Text3"/>
              </w:rPr>
              <w:t>z</w:t>
            </w:r>
            <w:r>
              <w:t>, in the same order as the entries in the archive.</w:t>
            </w:r>
          </w:p>
        </w:tc>
      </w:tr>
    </w:tbl>
    <w:tbl>
      <w:tblPr>
        <w:tblW w:type="auto" w:w="0"/>
      </w:tblPr>
      <w:tr>
        <w:tc>
          <w:tcPr>
            <w:tcW w:type="auto" w:w="0"/>
            <w:shd w:val="clear" w:color="auto" w:fill="EEF2F6"/>
            <w:tcMar>
              <w:left w:type="dxa" w:w="200"/>
              <w:top w:type="dxa" w:w="200"/>
              <w:right w:type="dxa" w:w="200"/>
              <w:bottom w:type="dxa" w:w="200"/>
            </w:tcMar>
          </w:tcPr>
          <w:p>
            <w:pPr>
              <w:pStyle w:val="Para 001"/>
            </w:pPr>
            <w:r>
              <w:t>namelist</w:t>
            </w:r>
          </w:p>
        </w:tc>
        <w:tc>
          <w:tcPr>
            <w:tcW w:type="auto" w:w="0"/>
            <w:shd w:val="clear" w:color="auto" w:fill="EEF2F6"/>
            <w:tcMar>
              <w:left w:type="dxa" w:w="200"/>
              <w:top w:type="dxa" w:w="200"/>
              <w:right w:type="dxa" w:w="200"/>
              <w:bottom w:type="dxa" w:w="200"/>
            </w:tcMar>
          </w:tcPr>
          <w:p>
            <w:pPr>
              <w:pStyle w:val="Para 002"/>
            </w:pPr>
            <w:r>
              <w:rPr>
                <w:rStyle w:val="Text0"/>
              </w:rPr>
              <w:t>namelist()</w:t>
              <w:br w:clear="none"/>
            </w:r>
            <w:r>
              <w:t xml:space="preserve"> Returns a list of strings, the name of each member in archive </w:t>
            </w:r>
            <w:r>
              <w:rPr>
                <w:rStyle w:val="Text3"/>
              </w:rPr>
              <w:t>z</w:t>
            </w:r>
            <w:r>
              <w:t>, in the same order as the entries in the archive.</w:t>
            </w:r>
          </w:p>
        </w:tc>
      </w:tr>
    </w:tbl>
    <w:tbl>
      <w:tblPr>
        <w:tblW w:type="auto" w:w="0"/>
      </w:tblPr>
      <w:tr>
        <w:tc>
          <w:tcPr>
            <w:tcW w:type="auto" w:w="0"/>
            <w:tcMar>
              <w:left w:type="dxa" w:w="200"/>
              <w:top w:type="dxa" w:w="200"/>
              <w:right w:type="dxa" w:w="200"/>
              <w:bottom w:type="dxa" w:w="200"/>
            </w:tcMar>
          </w:tcPr>
          <w:p>
            <w:pPr>
              <w:pStyle w:val="Para 001"/>
            </w:pPr>
            <w:r>
              <w:t>open</w:t>
            </w:r>
          </w:p>
        </w:tc>
        <w:tc>
          <w:tcPr>
            <w:tcW w:type="auto" w:w="0"/>
            <w:tcMar>
              <w:left w:type="dxa" w:w="200"/>
              <w:top w:type="dxa" w:w="200"/>
              <w:right w:type="dxa" w:w="200"/>
              <w:bottom w:type="dxa" w:w="200"/>
            </w:tcMar>
          </w:tcPr>
          <w:p>
            <w:pPr>
              <w:pStyle w:val="Para 002"/>
            </w:pPr>
            <w:r>
              <w:rPr>
                <w:rStyle w:val="Text0"/>
              </w:rPr>
              <w:t>open(</w:t>
            </w:r>
            <w:r>
              <w:rPr>
                <w:rStyle w:val="Text3"/>
              </w:rPr>
              <w:t>name</w:t>
            </w:r>
            <w:r>
              <w:rPr>
                <w:rStyle w:val="Text0"/>
              </w:rPr>
              <w:t>, mode='r', pwd=</w:t>
            </w:r>
            <w:r>
              <w:rPr>
                <w:rStyle w:val="Text5"/>
              </w:rPr>
              <w:t>None</w:t>
            </w:r>
            <w:r>
              <w:rPr>
                <w:rStyle w:val="Text0"/>
              </w:rPr>
              <w:t>, *, force_zip64=</w:t>
            </w:r>
            <w:r>
              <w:rPr>
                <w:rStyle w:val="Text5"/>
              </w:rPr>
              <w:t>False</w:t>
            </w:r>
            <w:r>
              <w:rPr>
                <w:rStyle w:val="Text0"/>
              </w:rPr>
              <w:t>)</w:t>
              <w:br w:clear="none"/>
            </w:r>
            <w:r>
              <w:t xml:space="preserve"> Extracts and returns the archive member identified by </w:t>
            </w:r>
            <w:r>
              <w:rPr>
                <w:rStyle w:val="Text3"/>
              </w:rPr>
              <w:t>name</w:t>
            </w:r>
            <w:r>
              <w:t xml:space="preserve"> (a member name string or </w:t>
            </w:r>
            <w:r>
              <w:rPr>
                <w:rStyle w:val="Text0"/>
              </w:rPr>
              <w:t>ZipInfo</w:t>
            </w:r>
            <w:r>
              <w:t xml:space="preserve"> instance) as a (maybe read-only) file-like object. </w:t>
            </w:r>
            <w:r>
              <w:rPr>
                <w:rStyle w:val="Text3"/>
              </w:rPr>
              <w:t>mode</w:t>
            </w:r>
            <w:r>
              <w:t xml:space="preserve"> may be </w:t>
            </w:r>
            <w:r>
              <w:rPr>
                <w:rStyle w:val="Text0"/>
              </w:rPr>
              <w:t>'r'</w:t>
            </w:r>
            <w:r>
              <w:t xml:space="preserve"> or </w:t>
            </w:r>
            <w:r>
              <w:rPr>
                <w:rStyle w:val="Text0"/>
              </w:rPr>
              <w:t>'w'</w:t>
            </w:r>
            <w:r>
              <w:t xml:space="preserve">. </w:t>
            </w:r>
            <w:r>
              <w:rPr>
                <w:rStyle w:val="Text0"/>
              </w:rPr>
              <w:t>pwd</w:t>
            </w:r>
            <w:r>
              <w:t xml:space="preserve">, if present, is the password to use to decrypt an encrypted member. Pass </w:t>
            </w:r>
            <w:r>
              <w:rPr>
                <w:rStyle w:val="Text0"/>
              </w:rPr>
              <w:t>force_zip64=</w:t>
            </w:r>
            <w:r>
              <w:rPr>
                <w:rStyle w:val="Text5"/>
              </w:rPr>
              <w:t>True</w:t>
            </w:r>
            <w:r>
              <w:t xml:space="preserve"> when an unknown file size may exceed 2 GiB, to ensure the header format is capable of supporting large files. When you know in advance the large file size, use a </w:t>
            </w:r>
            <w:r>
              <w:rPr>
                <w:rStyle w:val="Text0"/>
              </w:rPr>
              <w:t>ZipInfo</w:t>
            </w:r>
            <w:r>
              <w:t xml:space="preserve"> instance for </w:t>
            </w:r>
            <w:r>
              <w:rPr>
                <w:rStyle w:val="Text3"/>
              </w:rPr>
              <w:t>name</w:t>
            </w:r>
            <w:r>
              <w:t xml:space="preserve">, with </w:t>
            </w:r>
            <w:r>
              <w:rPr>
                <w:rStyle w:val="Text0"/>
              </w:rPr>
              <w:t>file_size</w:t>
            </w:r>
            <w:r>
              <w:t xml:space="preserve"> set appropriately.</w:t>
            </w:r>
          </w:p>
        </w:tc>
      </w:tr>
    </w:tbl>
    <w:tbl>
      <w:tblPr>
        <w:tblW w:type="auto" w:w="0"/>
      </w:tblPr>
      <w:tr>
        <w:tc>
          <w:tcPr>
            <w:tcW w:type="auto" w:w="0"/>
            <w:shd w:val="clear" w:color="auto" w:fill="EEF2F6"/>
            <w:tcMar>
              <w:left w:type="dxa" w:w="200"/>
              <w:top w:type="dxa" w:w="200"/>
              <w:right w:type="dxa" w:w="200"/>
              <w:bottom w:type="dxa" w:w="200"/>
            </w:tcMar>
          </w:tcPr>
          <w:p>
            <w:pPr>
              <w:pStyle w:val="Para 001"/>
            </w:pPr>
            <w:r>
              <w:t>printdir</w:t>
            </w:r>
          </w:p>
        </w:tc>
        <w:tc>
          <w:tcPr>
            <w:tcW w:type="auto" w:w="0"/>
            <w:shd w:val="clear" w:color="auto" w:fill="EEF2F6"/>
            <w:tcMar>
              <w:left w:type="dxa" w:w="200"/>
              <w:top w:type="dxa" w:w="200"/>
              <w:right w:type="dxa" w:w="200"/>
              <w:bottom w:type="dxa" w:w="200"/>
            </w:tcMar>
          </w:tcPr>
          <w:p>
            <w:pPr>
              <w:pStyle w:val="Para 002"/>
            </w:pPr>
            <w:r>
              <w:rPr>
                <w:rStyle w:val="Text0"/>
              </w:rPr>
              <w:t>printdir()</w:t>
              <w:br w:clear="none"/>
            </w:r>
            <w:r>
              <w:t xml:space="preserve"> Outputs a textual directory of the archive </w:t>
            </w:r>
            <w:r>
              <w:rPr>
                <w:rStyle w:val="Text3"/>
              </w:rPr>
              <w:t>z</w:t>
            </w:r>
            <w:r>
              <w:t xml:space="preserve"> to </w:t>
            </w:r>
            <w:r>
              <w:rPr>
                <w:rStyle w:val="Text0"/>
              </w:rPr>
              <w:t>sys.stdout</w:t>
            </w:r>
            <w:r>
              <w:t>.</w:t>
            </w:r>
          </w:p>
        </w:tc>
      </w:tr>
    </w:tbl>
    <w:tbl>
      <w:tblPr>
        <w:tblW w:type="auto" w:w="0"/>
      </w:tblPr>
      <w:tr>
        <w:tc>
          <w:tcPr>
            <w:tcW w:type="auto" w:w="0"/>
            <w:tcMar>
              <w:left w:type="dxa" w:w="200"/>
              <w:top w:type="dxa" w:w="200"/>
              <w:right w:type="dxa" w:w="200"/>
              <w:bottom w:type="dxa" w:w="200"/>
            </w:tcMar>
          </w:tcPr>
          <w:p>
            <w:pPr>
              <w:pStyle w:val="Para 001"/>
            </w:pPr>
            <w:r>
              <w:t>read</w:t>
            </w:r>
          </w:p>
        </w:tc>
        <w:tc>
          <w:tcPr>
            <w:tcW w:type="auto" w:w="0"/>
            <w:tcMar>
              <w:left w:type="dxa" w:w="200"/>
              <w:top w:type="dxa" w:w="200"/>
              <w:right w:type="dxa" w:w="200"/>
              <w:bottom w:type="dxa" w:w="200"/>
            </w:tcMar>
          </w:tcPr>
          <w:p>
            <w:pPr>
              <w:pStyle w:val="Para 002"/>
            </w:pPr>
            <w:r>
              <w:rPr>
                <w:rStyle w:val="Text0"/>
              </w:rPr>
              <w:t>read(</w:t>
            </w:r>
            <w:r>
              <w:rPr>
                <w:rStyle w:val="Text3"/>
              </w:rPr>
              <w:t>name</w:t>
            </w:r>
            <w:r>
              <w:rPr>
                <w:rStyle w:val="Text0"/>
              </w:rPr>
              <w:t>,</w:t>
            </w:r>
            <w:r>
              <w:t xml:space="preserve"> </w:t>
            </w:r>
            <w:r>
              <w:rPr>
                <w:rStyle w:val="Text3"/>
              </w:rPr>
              <w:t>pwd</w:t>
            </w:r>
            <w:r>
              <w:rPr>
                <w:rStyle w:val="Text0"/>
              </w:rPr>
              <w:t>)</w:t>
              <w:br w:clear="none"/>
            </w:r>
            <w:r>
              <w:t xml:space="preserve"> Extracts the archive member identified by </w:t>
            </w:r>
            <w:r>
              <w:rPr>
                <w:rStyle w:val="Text3"/>
              </w:rPr>
              <w:t>name</w:t>
            </w:r>
            <w:r>
              <w:t xml:space="preserve"> (a member name string or </w:t>
            </w:r>
            <w:r>
              <w:rPr>
                <w:rStyle w:val="Text0"/>
              </w:rPr>
              <w:t>ZipInfo</w:t>
            </w:r>
            <w:r>
              <w:t xml:space="preserve"> instance) and returns the bytestring of its contents (raises </w:t>
            </w:r>
            <w:r>
              <w:rPr>
                <w:rStyle w:val="Text0"/>
              </w:rPr>
              <w:t>ValueError</w:t>
            </w:r>
            <w:r>
              <w:t xml:space="preserve"> if called on a closed </w:t>
            </w:r>
            <w:r>
              <w:rPr>
                <w:rStyle w:val="Text0"/>
              </w:rPr>
              <w:t>ZipFile</w:t>
            </w:r>
            <w:r>
              <w:t xml:space="preserve">). </w:t>
            </w:r>
            <w:r>
              <w:rPr>
                <w:rStyle w:val="Text3"/>
              </w:rPr>
              <w:t>pwd</w:t>
            </w:r>
            <w:r>
              <w:t>, if present, is the password to use to decrypt an encrypted member.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setpassword</w:t>
            </w:r>
          </w:p>
        </w:tc>
        <w:tc>
          <w:tcPr>
            <w:tcW w:type="auto" w:w="0"/>
            <w:shd w:val="clear" w:color="auto" w:fill="EEF2F6"/>
            <w:tcMar>
              <w:left w:type="dxa" w:w="200"/>
              <w:top w:type="dxa" w:w="200"/>
              <w:right w:type="dxa" w:w="200"/>
              <w:bottom w:type="dxa" w:w="200"/>
            </w:tcMar>
          </w:tcPr>
          <w:p>
            <w:pPr>
              <w:pStyle w:val="Para 002"/>
            </w:pPr>
            <w:r>
              <w:rPr>
                <w:rStyle w:val="Text0"/>
              </w:rPr>
              <w:t>setpassword(</w:t>
            </w:r>
            <w:r>
              <w:rPr>
                <w:rStyle w:val="Text3"/>
              </w:rPr>
              <w:t>pwd</w:t>
            </w:r>
            <w:r>
              <w:rPr>
                <w:rStyle w:val="Text0"/>
              </w:rPr>
              <w:t>)</w:t>
              <w:br w:clear="none"/>
            </w:r>
            <w:r>
              <w:t xml:space="preserve"> Sets string </w:t>
            </w:r>
            <w:r>
              <w:rPr>
                <w:rStyle w:val="Text3"/>
              </w:rPr>
              <w:t>pwd</w:t>
            </w:r>
            <w:r>
              <w:t xml:space="preserve"> as the default password to use to decrypt encrypted files.</w:t>
            </w:r>
          </w:p>
        </w:tc>
      </w:tr>
    </w:tbl>
    <w:tbl>
      <w:tblPr>
        <w:tblW w:type="auto" w:w="0"/>
      </w:tblPr>
      <w:tr>
        <w:tc>
          <w:tcPr>
            <w:tcW w:type="auto" w:w="0"/>
            <w:tcMar>
              <w:left w:type="dxa" w:w="200"/>
              <w:top w:type="dxa" w:w="200"/>
              <w:right w:type="dxa" w:w="200"/>
              <w:bottom w:type="dxa" w:w="200"/>
            </w:tcMar>
          </w:tcPr>
          <w:p>
            <w:pPr>
              <w:pStyle w:val="Para 001"/>
            </w:pPr>
            <w:r>
              <w:t>testzip</w:t>
            </w:r>
          </w:p>
        </w:tc>
        <w:tc>
          <w:tcPr>
            <w:tcW w:type="auto" w:w="0"/>
            <w:tcMar>
              <w:left w:type="dxa" w:w="200"/>
              <w:top w:type="dxa" w:w="200"/>
              <w:right w:type="dxa" w:w="200"/>
              <w:bottom w:type="dxa" w:w="200"/>
            </w:tcMar>
          </w:tcPr>
          <w:p>
            <w:pPr>
              <w:pStyle w:val="Para 002"/>
            </w:pPr>
            <w:r>
              <w:rPr>
                <w:rStyle w:val="Text0"/>
              </w:rPr>
              <w:t>testzip()</w:t>
              <w:br w:clear="none"/>
            </w:r>
            <w:r>
              <w:t xml:space="preserve"> Reads and checks the files in archive </w:t>
            </w:r>
            <w:r>
              <w:rPr>
                <w:rStyle w:val="Text3"/>
              </w:rPr>
              <w:t>z</w:t>
            </w:r>
            <w:r>
              <w:t xml:space="preserve">. Returns a string with the name of the first archive member that is damaged, or </w:t>
            </w:r>
            <w:r>
              <w:rPr>
                <w:rStyle w:val="Text5"/>
              </w:rPr>
              <w:t>None</w:t>
            </w:r>
            <w:r>
              <w:t xml:space="preserve"> if the archive is intact.</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w:t>
            </w:r>
          </w:p>
        </w:tc>
        <w:tc>
          <w:tcPr>
            <w:tcW w:type="auto" w:w="0"/>
            <w:shd w:val="clear" w:color="auto" w:fill="EEF2F6"/>
            <w:tcMar>
              <w:left w:type="dxa" w:w="200"/>
              <w:top w:type="dxa" w:w="200"/>
              <w:right w:type="dxa" w:w="200"/>
              <w:bottom w:type="dxa" w:w="200"/>
            </w:tcMar>
          </w:tcPr>
          <w:p>
            <w:pPr>
              <w:pStyle w:val="Para 002"/>
            </w:pPr>
            <w:r>
              <w:rPr>
                <w:rStyle w:val="Text0"/>
              </w:rPr>
              <w:t>write(</w:t>
            </w:r>
            <w:r>
              <w:rPr>
                <w:rStyle w:val="Text3"/>
              </w:rPr>
              <w:t>filename</w:t>
            </w:r>
            <w:r>
              <w:rPr>
                <w:rStyle w:val="Text0"/>
              </w:rPr>
              <w:t>, arcname=</w:t>
            </w:r>
            <w:r>
              <w:rPr>
                <w:rStyle w:val="Text5"/>
              </w:rPr>
              <w:t>None</w:t>
            </w:r>
            <w:r>
              <w:rPr>
                <w:rStyle w:val="Text0"/>
              </w:rPr>
              <w:t>, compress_type=</w:t>
            </w:r>
            <w:r>
              <w:rPr>
                <w:rStyle w:val="Text5"/>
              </w:rPr>
              <w:t>None</w:t>
            </w:r>
            <w:r>
              <w:rPr>
                <w:rStyle w:val="Text0"/>
              </w:rPr>
              <w:t>, compresslevel=</w:t>
            </w:r>
            <w:r>
              <w:rPr>
                <w:rStyle w:val="Text5"/>
              </w:rPr>
              <w:t>None</w:t>
            </w:r>
            <w:r>
              <w:rPr>
                <w:rStyle w:val="Text0"/>
              </w:rPr>
              <w:t>)</w:t>
              <w:br w:clear="none"/>
            </w:r>
            <w:r>
              <w:t xml:space="preserve"> Writes the file named by string </w:t>
            </w:r>
            <w:r>
              <w:rPr>
                <w:rStyle w:val="Text3"/>
              </w:rPr>
              <w:t>filename</w:t>
            </w:r>
            <w:r>
              <w:t xml:space="preserve"> to archive </w:t>
            </w:r>
            <w:r>
              <w:rPr>
                <w:rStyle w:val="Text3"/>
              </w:rPr>
              <w:t>z</w:t>
            </w:r>
            <w:r>
              <w:t xml:space="preserve">, with archive member name </w:t>
            </w:r>
            <w:r>
              <w:rPr>
                <w:rStyle w:val="Text0"/>
              </w:rPr>
              <w:t>arcname</w:t>
            </w:r>
            <w:r>
              <w:t xml:space="preserve">. When </w:t>
            </w:r>
            <w:r>
              <w:rPr>
                <w:rStyle w:val="Text0"/>
              </w:rPr>
              <w:t>arcname</w:t>
            </w:r>
            <w:r>
              <w:t xml:space="preserve"> is </w:t>
            </w:r>
            <w:r>
              <w:rPr>
                <w:rStyle w:val="Text5"/>
              </w:rPr>
              <w:t>None</w:t>
            </w:r>
            <w:r>
              <w:t xml:space="preserve">, </w:t>
            </w:r>
            <w:r>
              <w:rPr>
                <w:rStyle w:val="Text0"/>
              </w:rPr>
              <w:t>write</w:t>
            </w:r>
            <w:r>
              <w:t xml:space="preserve"> uses </w:t>
            </w:r>
            <w:r>
              <w:rPr>
                <w:rStyle w:val="Text3"/>
              </w:rPr>
              <w:t>filename</w:t>
            </w:r>
            <w:r>
              <w:t xml:space="preserve"> as the archive member name. When </w:t>
            </w:r>
            <w:r>
              <w:rPr>
                <w:rStyle w:val="Text0"/>
              </w:rPr>
              <w:t>compress_type</w:t>
            </w:r>
            <w:r>
              <w:t xml:space="preserve"> or </w:t>
            </w:r>
            <w:r>
              <w:rPr>
                <w:rStyle w:val="Text0"/>
              </w:rPr>
              <w:t>compresslevel</w:t>
            </w:r>
            <w:r>
              <w:t xml:space="preserve"> is </w:t>
            </w:r>
            <w:r>
              <w:rPr>
                <w:rStyle w:val="Text5"/>
              </w:rPr>
              <w:t>None</w:t>
            </w:r>
            <w:r>
              <w:t xml:space="preserve"> (the default), </w:t>
            </w:r>
            <w:r>
              <w:rPr>
                <w:rStyle w:val="Text0"/>
              </w:rPr>
              <w:t>write</w:t>
            </w:r>
            <w:r>
              <w:t xml:space="preserve"> uses </w:t>
            </w:r>
            <w:r>
              <w:rPr>
                <w:rStyle w:val="Text3"/>
              </w:rPr>
              <w:t>z</w:t>
            </w:r>
            <w:r>
              <w:t xml:space="preserve">’s compression type and level; otherwise, </w:t>
            </w:r>
            <w:r>
              <w:rPr>
                <w:rStyle w:val="Text0"/>
              </w:rPr>
              <w:t>compress_type</w:t>
            </w:r>
            <w:r>
              <w:t xml:space="preserve"> and/or </w:t>
            </w:r>
            <w:r>
              <w:rPr>
                <w:rStyle w:val="Text0"/>
              </w:rPr>
              <w:t>compresslevel</w:t>
            </w:r>
            <w:r>
              <w:t xml:space="preserve"> specify how to compress the file. </w:t>
            </w:r>
            <w:r>
              <w:rPr>
                <w:rStyle w:val="Text3"/>
              </w:rPr>
              <w:t>z</w:t>
            </w:r>
            <w:r>
              <w:t xml:space="preserve"> must be opened for modes </w:t>
            </w:r>
            <w:r>
              <w:rPr>
                <w:rStyle w:val="Text0"/>
              </w:rPr>
              <w:t>'w'</w:t>
            </w:r>
            <w:r>
              <w:t xml:space="preserve">, </w:t>
            </w:r>
            <w:r>
              <w:rPr>
                <w:rStyle w:val="Text0"/>
              </w:rPr>
              <w:t>'x'</w:t>
            </w:r>
            <w:r>
              <w:t xml:space="preserve">, or </w:t>
            </w:r>
            <w:r>
              <w:rPr>
                <w:rStyle w:val="Text0"/>
              </w:rPr>
              <w:t>'a'</w:t>
            </w:r>
            <w:r>
              <w:t xml:space="preserve">; otherwise </w:t>
            </w:r>
            <w:r>
              <w:rPr>
                <w:rStyle w:val="Text0"/>
              </w:rPr>
              <w:t>ValueError</w:t>
            </w:r>
            <w:r>
              <w:t xml:space="preserve"> is raised.</w:t>
            </w:r>
          </w:p>
        </w:tc>
      </w:tr>
    </w:tbl>
    <w:tbl>
      <w:tblPr>
        <w:tblW w:type="auto" w:w="0"/>
      </w:tblPr>
      <w:tr>
        <w:tc>
          <w:tcPr>
            <w:tcW w:type="auto" w:w="0"/>
            <w:tcMar>
              <w:left w:type="dxa" w:w="200"/>
              <w:top w:type="dxa" w:w="200"/>
              <w:right w:type="dxa" w:w="200"/>
              <w:bottom w:type="dxa" w:w="200"/>
            </w:tcMar>
          </w:tcPr>
          <w:p>
            <w:pPr>
              <w:pStyle w:val="Para 001"/>
            </w:pPr>
            <w:r>
              <w:t>writestr</w:t>
            </w:r>
          </w:p>
        </w:tc>
        <w:tc>
          <w:tcPr>
            <w:tcW w:type="auto" w:w="0"/>
            <w:tcMar>
              <w:left w:type="dxa" w:w="200"/>
              <w:top w:type="dxa" w:w="200"/>
              <w:right w:type="dxa" w:w="200"/>
              <w:bottom w:type="dxa" w:w="200"/>
            </w:tcMar>
          </w:tcPr>
          <w:p>
            <w:pPr>
              <w:pStyle w:val="Para 002"/>
            </w:pPr>
            <w:r>
              <w:rPr>
                <w:rStyle w:val="Text0"/>
              </w:rPr>
              <w:t>writestr(</w:t>
            </w:r>
            <w:r>
              <w:rPr>
                <w:rStyle w:val="Text3"/>
              </w:rPr>
              <w:t>zinfo_arc</w:t>
            </w:r>
            <w:r>
              <w:rPr>
                <w:rStyle w:val="Text0"/>
              </w:rPr>
              <w:t>,</w:t>
            </w:r>
            <w:r>
              <w:t xml:space="preserve"> </w:t>
            </w:r>
            <w:r>
              <w:rPr>
                <w:rStyle w:val="Text3"/>
              </w:rPr>
              <w:t>data,</w:t>
            </w:r>
            <w:r>
              <w:t xml:space="preserve"> </w:t>
            </w:r>
            <w:r>
              <w:rPr>
                <w:rStyle w:val="Text0"/>
              </w:rPr>
              <w:t>compress_type=</w:t>
            </w:r>
            <w:r>
              <w:rPr>
                <w:rStyle w:val="Text5"/>
              </w:rPr>
              <w:t>None</w:t>
            </w:r>
            <w:r>
              <w:rPr>
                <w:rStyle w:val="Text3"/>
              </w:rPr>
              <w:t>,</w:t>
              <w:br w:clear="none"/>
            </w:r>
            <w:r>
              <w:t xml:space="preserve"> </w:t>
            </w:r>
            <w:r>
              <w:rPr>
                <w:rStyle w:val="Text0"/>
              </w:rPr>
              <w:t>compresslevel=</w:t>
            </w:r>
            <w:r>
              <w:rPr>
                <w:rStyle w:val="Text5"/>
              </w:rPr>
              <w:t>None</w:t>
            </w:r>
            <w:r>
              <w:rPr>
                <w:rStyle w:val="Text0"/>
              </w:rPr>
              <w:t>)</w:t>
              <w:br w:clear="none"/>
            </w:r>
            <w:r>
              <w:t xml:space="preserve"> Adds a member to archive </w:t>
            </w:r>
            <w:r>
              <w:rPr>
                <w:rStyle w:val="Text3"/>
              </w:rPr>
              <w:t>z</w:t>
            </w:r>
            <w:r>
              <w:t xml:space="preserve"> using the metadata specified by </w:t>
            </w:r>
            <w:r>
              <w:rPr>
                <w:rStyle w:val="Text3"/>
              </w:rPr>
              <w:t>zinfo_arc</w:t>
            </w:r>
            <w:r>
              <w:t xml:space="preserve"> and the data in </w:t>
            </w:r>
            <w:r>
              <w:rPr>
                <w:rStyle w:val="Text3"/>
              </w:rPr>
              <w:t>data</w:t>
            </w:r>
            <w:r>
              <w:t xml:space="preserve">. </w:t>
            </w:r>
            <w:r>
              <w:rPr>
                <w:rStyle w:val="Text3"/>
              </w:rPr>
              <w:t>zinfo_arc</w:t>
            </w:r>
            <w:r>
              <w:t xml:space="preserve"> must be either a </w:t>
            </w:r>
            <w:r>
              <w:rPr>
                <w:rStyle w:val="Text0"/>
              </w:rPr>
              <w:t>ZipInfo</w:t>
            </w:r>
            <w:r>
              <w:t xml:space="preserve"> instance specifying at least </w:t>
            </w:r>
            <w:r>
              <w:rPr>
                <w:rStyle w:val="Text3"/>
              </w:rPr>
              <w:t>filename</w:t>
            </w:r>
            <w:r>
              <w:t xml:space="preserve"> and </w:t>
            </w:r>
            <w:r>
              <w:rPr>
                <w:rStyle w:val="Text3"/>
              </w:rPr>
              <w:t>date_time</w:t>
            </w:r>
            <w:r>
              <w:t xml:space="preserve">, or a string to be used as the archive member name with the date and time are set to the current moment. </w:t>
            </w:r>
            <w:r>
              <w:rPr>
                <w:rStyle w:val="Text3"/>
              </w:rPr>
              <w:t>data</w:t>
            </w:r>
            <w:r>
              <w:t xml:space="preserve"> is an instance of </w:t>
            </w:r>
            <w:r>
              <w:rPr>
                <w:rStyle w:val="Text0"/>
              </w:rPr>
              <w:t>bytes</w:t>
            </w:r>
            <w:r>
              <w:t xml:space="preserve"> or </w:t>
            </w:r>
            <w:r>
              <w:rPr>
                <w:rStyle w:val="Text0"/>
              </w:rPr>
              <w:t>str</w:t>
            </w:r>
            <w:r>
              <w:t xml:space="preserve">. When </w:t>
            </w:r>
            <w:r>
              <w:rPr>
                <w:rStyle w:val="Text0"/>
              </w:rPr>
              <w:t>compress_type</w:t>
            </w:r>
            <w:r>
              <w:t xml:space="preserve"> or </w:t>
            </w:r>
            <w:r>
              <w:rPr>
                <w:rStyle w:val="Text0"/>
              </w:rPr>
              <w:t>compresslevel</w:t>
            </w:r>
            <w:r>
              <w:t xml:space="preserve"> is </w:t>
            </w:r>
            <w:r>
              <w:rPr>
                <w:rStyle w:val="Text5"/>
              </w:rPr>
              <w:t>None</w:t>
            </w:r>
            <w:r>
              <w:t xml:space="preserve"> (the default), </w:t>
            </w:r>
            <w:r>
              <w:rPr>
                <w:rStyle w:val="Text0"/>
              </w:rPr>
              <w:t>writestr</w:t>
            </w:r>
            <w:r>
              <w:t xml:space="preserve"> uses </w:t>
            </w:r>
            <w:r>
              <w:rPr>
                <w:rStyle w:val="Text3"/>
              </w:rPr>
              <w:t>z</w:t>
            </w:r>
            <w:r>
              <w:t xml:space="preserve">’s compression type and level; otherwise, </w:t>
            </w:r>
            <w:r>
              <w:rPr>
                <w:rStyle w:val="Text0"/>
              </w:rPr>
              <w:t>compress_type</w:t>
            </w:r>
            <w:r>
              <w:t xml:space="preserve"> and/or </w:t>
            </w:r>
            <w:r>
              <w:rPr>
                <w:rStyle w:val="Text0"/>
              </w:rPr>
              <w:t>compresslevel</w:t>
            </w:r>
            <w:r>
              <w:t xml:space="preserve"> specify how to compress the file. </w:t>
            </w:r>
            <w:r>
              <w:rPr>
                <w:rStyle w:val="Text3"/>
              </w:rPr>
              <w:t>z</w:t>
            </w:r>
            <w:r>
              <w:t xml:space="preserve"> must be opened for modes </w:t>
            </w:r>
            <w:r>
              <w:rPr>
                <w:rStyle w:val="Text0"/>
              </w:rPr>
              <w:t>'w'</w:t>
            </w:r>
            <w:r>
              <w:t xml:space="preserve">, </w:t>
            </w:r>
            <w:r>
              <w:rPr>
                <w:rStyle w:val="Text0"/>
              </w:rPr>
              <w:t>'x'</w:t>
            </w:r>
            <w:r>
              <w:t xml:space="preserve">, or </w:t>
            </w:r>
            <w:r>
              <w:rPr>
                <w:rStyle w:val="Text0"/>
              </w:rPr>
              <w:t>'a'</w:t>
            </w:r>
            <w:r>
              <w:t xml:space="preserve">; otherwise </w:t>
            </w:r>
            <w:r>
              <w:rPr>
                <w:rStyle w:val="Text0"/>
              </w:rPr>
              <w:t>ValueError</w:t>
            </w:r>
            <w:r>
              <w:t xml:space="preserve"> is raised.</w:t>
              <w:br w:clear="none"/>
              <w:t xml:space="preserve"> When you have data in memory and need to write the data to the ZIP file archive </w:t>
            </w:r>
            <w:r>
              <w:rPr>
                <w:rStyle w:val="Text3"/>
              </w:rPr>
              <w:t>z</w:t>
            </w:r>
            <w:r>
              <w:t xml:space="preserve">, it’s simpler and faster to use </w:t>
            </w:r>
            <w:r>
              <w:rPr>
                <w:rStyle w:val="Text3"/>
              </w:rPr>
              <w:t>z</w:t>
            </w:r>
            <w:r>
              <w:rPr>
                <w:rStyle w:val="Text0"/>
              </w:rPr>
              <w:t>.writestr</w:t>
            </w:r>
            <w:r>
              <w:t xml:space="preserve"> than </w:t>
            </w:r>
            <w:r>
              <w:rPr>
                <w:rStyle w:val="Text3"/>
              </w:rPr>
              <w:t>z</w:t>
            </w:r>
            <w:r>
              <w:rPr>
                <w:rStyle w:val="Text0"/>
              </w:rPr>
              <w:t>.write</w:t>
            </w:r>
            <w:r>
              <w:t xml:space="preserve">. The latter would require you to write the data to disk first and later remove the useless disk file; with the former you can just code: </w:t>
            </w:r>
          </w:p>
          <w:p>
            <w:pPr>
              <w:pStyle w:val="Para 044"/>
            </w:pPr>
            <w:r>
              <w:rPr>
                <w:rStyle w:val="Text23"/>
              </w:rPr>
              <w:t xml:space="preserve"/>
              <w:br w:clear="none"/>
            </w:r>
            <w:r>
              <w:rPr>
                <w:rStyle w:val="Text10"/>
              </w:rPr>
              <w:t xml:space="preserve">import</w:t>
              <w:br w:clear="none"/>
            </w:r>
            <w:r>
              <w:rPr>
                <w:rStyle w:val="Text6"/>
              </w:rPr>
              <w:t xml:space="preserve"> </w:t>
              <w:br w:clear="none"/>
            </w:r>
            <w:r>
              <w:rPr>
                <w:rStyle w:val="Text20"/>
              </w:rPr>
              <w:t xml:space="preserve">zipfile</w:t>
              <w:br w:clear="none"/>
            </w:r>
            <w:r>
              <w:rPr>
                <w:rStyle w:val="Text6"/>
              </w:rPr>
              <w:t xml:space="preserve"/>
              <w:br w:clear="none"/>
            </w:r>
            <w:r>
              <w:rPr>
                <w:rStyle w:val="Text10"/>
              </w:rPr>
              <w:t xml:space="preserve">with</w:t>
              <w:br w:clear="none"/>
            </w:r>
            <w:r>
              <w:rPr>
                <w:rStyle w:val="Text6"/>
              </w:rPr>
              <w:t xml:space="preserve"> </w:t>
              <w:br w:clear="none"/>
            </w:r>
            <w:r>
              <w:rPr>
                <w:rStyle w:val="Text9"/>
              </w:rPr>
              <w:t xml:space="preserve">zipfile</w:t>
              <w:br w:clear="none"/>
            </w:r>
            <w:r>
              <w:rPr>
                <w:rStyle w:val="Text13"/>
              </w:rPr>
              <w:t xml:space="preserve">.</w:t>
              <w:br w:clear="none"/>
            </w:r>
            <w:r>
              <w:rPr>
                <w:rStyle w:val="Text9"/>
              </w:rPr>
              <w:t xml:space="preserve">ZipFile</w:t>
              <w:br w:clear="none"/>
            </w:r>
            <w:r>
              <w:rPr>
                <w:rStyle w:val="Text7"/>
              </w:rPr>
              <w:t xml:space="preserve">(</w:t>
              <w:br w:clear="none"/>
            </w:r>
            <w:r>
              <w:t xml:space="preserve">'</w:t>
              <w:br w:clear="none"/>
              <w:t xml:space="preserve">z.zip</w:t>
              <w:br w:clear="none"/>
              <w:t xml:space="preserve">'</w:t>
              <w:br w:clear="none"/>
            </w:r>
            <w:r>
              <w:rPr>
                <w:rStyle w:val="Text7"/>
              </w:rPr>
              <w:t xml:space="preserve">,</w:t>
              <w:br w:clear="none"/>
            </w:r>
            <w:r>
              <w:rPr>
                <w:rStyle w:val="Text6"/>
              </w:rPr>
              <w:t xml:space="preserve"> </w:t>
              <w:br w:clear="none"/>
            </w:r>
            <w:r>
              <w:t xml:space="preserve">'</w:t>
              <w:br w:clear="none"/>
              <w:t xml:space="preserve">w</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rPr>
                <w:rStyle w:val="Text9"/>
              </w:rPr>
              <w:t xml:space="preserve">zz</w:t>
              <w:br w:clear="none"/>
            </w:r>
            <w:r>
              <w:rPr>
                <w:rStyle w:val="Text7"/>
              </w:rPr>
              <w:t xml:space="preserve">:</w:t>
              <w:br w:clear="none"/>
            </w:r>
            <w:r>
              <w:rPr>
                <w:rStyle w:val="Text6"/>
              </w:rPr>
              <w:t xml:space="preserve"/>
              <w:br w:clear="none"/>
              <w:t xml:space="preserve">    </w:t>
              <w:br w:clear="none"/>
            </w:r>
            <w:r>
              <w:rPr>
                <w:rStyle w:val="Text9"/>
              </w:rP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w:t>
              <w:br w:clear="none"/>
              <w:t xml:space="preserve">four score</w:t>
              <w:br w:clear="none"/>
              <w:t xml:space="preserve">\n</w:t>
              <w:br w:clear="none"/>
              <w:t xml:space="preserve">and seven</w:t>
              <w:br w:clear="none"/>
              <w:t xml:space="preserve">\n</w:t>
              <w:br w:clear="none"/>
              <w:t xml:space="preserve">years ago</w:t>
              <w:br w:clear="none"/>
              <w:t xml:space="preserve">\n</w:t>
              <w:br w:clear="none"/>
              <w:t xml:space="preserve">'</w:t>
              <w:br w:clear="none"/>
            </w:r>
            <w:r>
              <w:rPr>
                <w:rStyle w:val="Text6"/>
              </w:rPr>
              <w:t xml:space="preserve"/>
              <w:br w:clear="none"/>
              <w:t xml:space="preserve">    </w:t>
              <w:br w:clear="none"/>
            </w:r>
            <w:r>
              <w:rPr>
                <w:rStyle w:val="Text9"/>
              </w:rPr>
              <w:t xml:space="preserve">zz</w:t>
              <w:br w:clear="none"/>
            </w:r>
            <w:r>
              <w:rPr>
                <w:rStyle w:val="Text13"/>
              </w:rPr>
              <w:t xml:space="preserve">.</w:t>
              <w:br w:clear="none"/>
            </w:r>
            <w:r>
              <w:rPr>
                <w:rStyle w:val="Text9"/>
              </w:rPr>
              <w:t xml:space="preserve">writestr</w:t>
              <w:br w:clear="none"/>
            </w:r>
            <w:r>
              <w:rPr>
                <w:rStyle w:val="Text7"/>
              </w:rPr>
              <w:t xml:space="preserve">(</w:t>
              <w:br w:clear="none"/>
            </w:r>
            <w:r>
              <w:t xml:space="preserve">'</w:t>
              <w:br w:clear="none"/>
              <w:t xml:space="preserve">saying.txt</w:t>
              <w:br w:clear="none"/>
              <w:t xml:space="preserve">'</w:t>
              <w:br w:clear="none"/>
            </w:r>
            <w:r>
              <w:rPr>
                <w:rStyle w:val="Text7"/>
              </w:rPr>
              <w:t xml:space="preserve">,</w:t>
              <w:br w:clear="none"/>
            </w:r>
            <w:r>
              <w:rPr>
                <w:rStyle w:val="Text6"/>
              </w:rPr>
              <w:t xml:space="preserve"> </w:t>
              <w:br w:clear="none"/>
            </w:r>
            <w:r>
              <w:rPr>
                <w:rStyle w:val="Text9"/>
              </w:rPr>
              <w:t xml:space="preserve">data</w:t>
              <w:br w:clear="none"/>
            </w:r>
            <w:r>
              <w:rPr>
                <w:rStyle w:val="Text7"/>
              </w:rPr>
              <w:t xml:space="preserve">)</w:t>
              <w:br w:clear="none"/>
            </w:r>
          </w:p>
          <w:p>
            <w:pPr>
              <w:pStyle w:val="Para 022"/>
            </w:pPr>
            <w:r>
              <w:t xml:space="preserve"> Here’s how you can print a list of all files contained in the ZIP file archive created by the previous example, followed by each file’s name and contents: </w:t>
            </w:r>
          </w:p>
          <w:p>
            <w:pPr>
              <w:pStyle w:val="Para 025"/>
            </w:pPr>
            <w:r>
              <w:rPr>
                <w:rStyle w:val="Text23"/>
              </w:rPr>
              <w:t xml:space="preserve"/>
              <w:br w:clear="none"/>
            </w:r>
            <w:r>
              <w:rPr>
                <w:rStyle w:val="Text10"/>
              </w:rPr>
              <w:t xml:space="preserve">with</w:t>
              <w:br w:clear="none"/>
            </w:r>
            <w:r>
              <w:rPr>
                <w:rStyle w:val="Text6"/>
              </w:rPr>
              <w:t xml:space="preserve"> </w:t>
              <w:br w:clear="none"/>
            </w:r>
            <w:r>
              <w:t xml:space="preserve">zipfile</w:t>
              <w:br w:clear="none"/>
            </w:r>
            <w:r>
              <w:rPr>
                <w:rStyle w:val="Text13"/>
              </w:rPr>
              <w:t xml:space="preserve">.</w:t>
              <w:br w:clear="none"/>
            </w:r>
            <w:r>
              <w:t xml:space="preserve">ZipFile</w:t>
              <w:br w:clear="none"/>
            </w:r>
            <w:r>
              <w:rPr>
                <w:rStyle w:val="Text7"/>
              </w:rPr>
              <w:t xml:space="preserve">(</w:t>
              <w:br w:clear="none"/>
            </w:r>
            <w:r>
              <w:rPr>
                <w:rStyle w:val="Text8"/>
              </w:rPr>
              <w:t xml:space="preserve">'</w:t>
              <w:br w:clear="none"/>
              <w:t xml:space="preserve">z.zip</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zz</w:t>
              <w:br w:clear="none"/>
            </w:r>
            <w:r>
              <w:rPr>
                <w:rStyle w:val="Text7"/>
              </w:rPr>
              <w:t xml:space="preserve">:</w:t>
              <w:br w:clear="none"/>
            </w:r>
            <w:r>
              <w:rPr>
                <w:rStyle w:val="Text6"/>
              </w:rPr>
              <w:t xml:space="preserve"/>
              <w:br w:clear="none"/>
              <w:t xml:space="preserve">    </w:t>
              <w:br w:clear="none"/>
            </w:r>
            <w:r>
              <w:t xml:space="preserve">zz</w:t>
              <w:br w:clear="none"/>
            </w:r>
            <w:r>
              <w:rPr>
                <w:rStyle w:val="Text13"/>
              </w:rPr>
              <w:t xml:space="preserve">.</w:t>
              <w:br w:clear="none"/>
            </w:r>
            <w:r>
              <w:t xml:space="preserve">printdir</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name</w:t>
              <w:br w:clear="none"/>
            </w:r>
            <w:r>
              <w:rPr>
                <w:rStyle w:val="Text6"/>
              </w:rPr>
              <w:t xml:space="preserve"> </w:t>
              <w:br w:clear="none"/>
            </w:r>
            <w:r>
              <w:rPr>
                <w:rStyle w:val="Text31"/>
              </w:rPr>
              <w:t xml:space="preserve">in</w:t>
              <w:br w:clear="none"/>
            </w:r>
            <w:r>
              <w:rPr>
                <w:rStyle w:val="Text6"/>
              </w:rPr>
              <w:t xml:space="preserve"> </w:t>
              <w:br w:clear="none"/>
            </w:r>
            <w:r>
              <w:t xml:space="preserve">zz</w:t>
              <w:br w:clear="none"/>
            </w:r>
            <w:r>
              <w:rPr>
                <w:rStyle w:val="Text13"/>
              </w:rPr>
              <w:t xml:space="preserve">.</w:t>
              <w:br w:clear="none"/>
            </w:r>
            <w:r>
              <w:t xml:space="preserve">namelist</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name</w:t>
              <w:br w:clear="none"/>
            </w:r>
            <w:r>
              <w:rPr>
                <w:rStyle w:val="Text32"/>
              </w:rPr>
              <w:t xml:space="preserve">}</w:t>
              <w:br w:clear="none"/>
            </w:r>
            <w:r>
              <w:rPr>
                <w:rStyle w:val="Text8"/>
              </w:rPr>
              <w:t xml:space="preserve">: </w:t>
              <w:br w:clear="none"/>
            </w:r>
            <w:r>
              <w:rPr>
                <w:rStyle w:val="Text32"/>
              </w:rPr>
              <w:t xml:space="preserve">{</w:t>
              <w:br w:clear="none"/>
            </w:r>
            <w:r>
              <w:t xml:space="preserve">zz</w:t>
              <w:br w:clear="none"/>
            </w:r>
            <w:r>
              <w:rPr>
                <w:rStyle w:val="Text13"/>
              </w:rPr>
              <w:t xml:space="preserve">.</w:t>
              <w:br w:clear="none"/>
            </w:r>
            <w:r>
              <w:t xml:space="preserve">read</w:t>
              <w:br w:clear="none"/>
            </w:r>
            <w:r>
              <w:rPr>
                <w:rStyle w:val="Text7"/>
              </w:rPr>
              <w:t xml:space="preserve">(</w:t>
              <w:br w:clear="none"/>
            </w:r>
            <w:r>
              <w:t xml:space="preserve">name</w:t>
              <w:br w:clear="none"/>
            </w:r>
            <w:r>
              <w:rPr>
                <w:rStyle w:val="Text7"/>
              </w:rPr>
              <w:t xml:space="preserve">)</w:t>
              <w:br w:clear="none"/>
            </w:r>
            <w:r>
              <w:rPr>
                <w:rStyle w:val="Text32"/>
              </w:rPr>
              <w:t xml:space="preserve">!r}</w:t>
              <w:br w:clear="none"/>
            </w:r>
            <w:r>
              <w:rPr>
                <w:rStyle w:val="Text8"/>
              </w:rPr>
              <w:t xml:space="preserve">'</w:t>
              <w:br w:clear="none"/>
            </w:r>
            <w:r>
              <w:rPr>
                <w:rStyle w:val="Text7"/>
              </w:rPr>
              <w:t xml:space="preserve">)</w:t>
              <w:br w:clear="none"/>
            </w:r>
          </w:p>
        </w:tc>
      </w:tr>
    </w:tbl>
    <w:p>
      <w:bookmarkStart w:id="2634" w:name="The_ZipInfo_class__The_methods_g"/>
      <w:pPr>
        <w:keepNext/>
        <w:pStyle w:val="Heading 2"/>
      </w:pPr>
      <w:r>
        <w:t>The ZipInfo class</w:t>
      </w:r>
      <w:bookmarkEnd w:id="2634"/>
    </w:p>
    <w:p>
      <w:pPr>
        <w:pStyle w:val="Normal"/>
      </w:pPr>
      <w:r>
        <w:t>The</w:t>
      </w:r>
      <w:r>
        <w:rPr>
          <w:rStyle w:val="Text111"/>
        </w:rPr>
        <w:bookmarkStart w:id="2635" w:name="idm45965204578480"/>
        <w:t/>
        <w:bookmarkEnd w:id="2635"/>
      </w:r>
      <w:r>
        <w:t xml:space="preserve"> methods </w:t>
      </w:r>
      <w:r>
        <w:rPr>
          <w:rStyle w:val="Text0"/>
        </w:rPr>
        <w:t>getinfo</w:t>
      </w:r>
      <w:r>
        <w:t xml:space="preserve"> and </w:t>
      </w:r>
      <w:r>
        <w:rPr>
          <w:rStyle w:val="Text0"/>
        </w:rPr>
        <w:t>infolist</w:t>
      </w:r>
      <w:r>
        <w:t xml:space="preserve"> of </w:t>
      </w:r>
      <w:r>
        <w:rPr>
          <w:rStyle w:val="Text0"/>
        </w:rPr>
        <w:t>ZipFile</w:t>
      </w:r>
      <w:r>
        <w:t xml:space="preserve"> instances return instances of class </w:t>
      </w:r>
      <w:r>
        <w:rPr>
          <w:rStyle w:val="Text0"/>
        </w:rPr>
        <w:t>ZipInfo</w:t>
      </w:r>
      <w:r>
        <w:t xml:space="preserve"> to supply information about members of the archive. </w:t>
      </w:r>
      <w:hyperlink w:anchor="Table_11_14__Useful_attributes_o">
        <w:r>
          <w:rPr>
            <w:rStyle w:val="Text1"/>
          </w:rPr>
          <w:t>Table 11-14</w:t>
        </w:r>
      </w:hyperlink>
      <w:r>
        <w:t xml:space="preserve"> lists the most useful attributes supplied by a </w:t>
      </w:r>
      <w:r>
        <w:rPr>
          <w:rStyle w:val="Text0"/>
        </w:rPr>
        <w:t>ZipInfo</w:t>
      </w:r>
      <w:r>
        <w:t xml:space="preserve"> instance </w:t>
      </w:r>
      <w:r>
        <w:rPr>
          <w:rStyle w:val="Text3"/>
        </w:rPr>
        <w:t>z</w:t>
      </w:r>
      <w:r>
        <w:t>.</w:t>
      </w:r>
    </w:p>
    <w:tbl>
      <w:tblPr>
        <w:tblW w:type="auto" w:w="0"/>
      </w:tblPr>
      <w:tr>
        <w:tc>
          <w:tcPr>
            <w:tcW w:type="auto" w:w="0"/>
            <w:tcMar>
              <w:left w:type="dxa" w:w="200"/>
              <w:top w:type="dxa" w:w="200"/>
              <w:right w:type="dxa" w:w="200"/>
              <w:bottom w:type="dxa" w:w="200"/>
            </w:tcMar>
          </w:tcPr>
          <w:p>
            <w:bookmarkStart w:id="2636" w:name="Table_11_14__Useful_attributes_o"/>
            <w:pPr>
              <w:pStyle w:val="Para 011"/>
            </w:pPr>
            <w:r>
              <w:rPr>
                <w:rStyle w:val="Text117"/>
              </w:rPr>
              <w:t/>
            </w:r>
            <w:r>
              <w:t xml:space="preserve">Table 11-14. </w:t>
              <w:t xml:space="preserve">Useful attributes of a </w:t>
            </w:r>
            <w:r>
              <w:rPr>
                <w:rStyle w:val="Text0"/>
              </w:rPr>
              <w:t>ZipInfo</w:t>
            </w:r>
            <w:r>
              <w:t xml:space="preserve"> instance </w:t>
            </w:r>
            <w:r>
              <w:rPr>
                <w:rStyle w:val="Text0"/>
              </w:rPr>
              <w:t>z</w:t>
            </w:r>
            <w:bookmarkEnd w:id="2636"/>
          </w:p>
          <w:p>
            <w:pPr>
              <w:pStyle w:val="Para 001"/>
            </w:pPr>
            <w:r>
              <w:t>comment</w:t>
            </w:r>
          </w:p>
        </w:tc>
        <w:tc>
          <w:tcPr>
            <w:tcW w:type="auto" w:w="0"/>
            <w:tcMar>
              <w:left w:type="dxa" w:w="200"/>
              <w:top w:type="dxa" w:w="200"/>
              <w:right w:type="dxa" w:w="200"/>
              <w:bottom w:type="dxa" w:w="200"/>
            </w:tcMar>
          </w:tcPr>
          <w:p>
            <w:pPr>
              <w:pStyle w:val="Para 002"/>
            </w:pPr>
            <w:r>
              <w:t>A string that is a comment on the archive member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compress_size</w:t>
            </w:r>
          </w:p>
        </w:tc>
        <w:tc>
          <w:tcPr>
            <w:tcW w:type="auto" w:w="0"/>
            <w:shd w:val="clear" w:color="auto" w:fill="EEF2F6"/>
            <w:tcMar>
              <w:left w:type="dxa" w:w="200"/>
              <w:top w:type="dxa" w:w="200"/>
              <w:right w:type="dxa" w:w="200"/>
              <w:bottom w:type="dxa" w:w="200"/>
            </w:tcMar>
          </w:tcPr>
          <w:p>
            <w:pPr>
              <w:pStyle w:val="Para 002"/>
            </w:pPr>
            <w:r>
              <w:t>The size, in bytes, of the compressed data for the archive member</w:t>
            </w:r>
          </w:p>
        </w:tc>
      </w:tr>
    </w:tbl>
    <w:tbl>
      <w:tblPr>
        <w:tblW w:type="auto" w:w="0"/>
      </w:tblPr>
      <w:tr>
        <w:tc>
          <w:tcPr>
            <w:tcW w:type="auto" w:w="0"/>
            <w:tcMar>
              <w:left w:type="dxa" w:w="200"/>
              <w:top w:type="dxa" w:w="200"/>
              <w:right w:type="dxa" w:w="200"/>
              <w:bottom w:type="dxa" w:w="200"/>
            </w:tcMar>
          </w:tcPr>
          <w:p>
            <w:pPr>
              <w:pStyle w:val="Para 001"/>
            </w:pPr>
            <w:r>
              <w:t>compress_type</w:t>
            </w:r>
          </w:p>
        </w:tc>
        <w:tc>
          <w:tcPr>
            <w:tcW w:type="auto" w:w="0"/>
            <w:tcMar>
              <w:left w:type="dxa" w:w="200"/>
              <w:top w:type="dxa" w:w="200"/>
              <w:right w:type="dxa" w:w="200"/>
              <w:bottom w:type="dxa" w:w="200"/>
            </w:tcMar>
          </w:tcPr>
          <w:p>
            <w:pPr>
              <w:pStyle w:val="Para 002"/>
            </w:pPr>
            <w:r>
              <w:t>An integer code recording the type of compression of the archive member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date_time</w:t>
            </w:r>
          </w:p>
        </w:tc>
        <w:tc>
          <w:tcPr>
            <w:tcW w:type="auto" w:w="0"/>
            <w:shd w:val="clear" w:color="auto" w:fill="EEF2F6"/>
            <w:tcMar>
              <w:left w:type="dxa" w:w="200"/>
              <w:top w:type="dxa" w:w="200"/>
              <w:right w:type="dxa" w:w="200"/>
              <w:bottom w:type="dxa" w:w="200"/>
            </w:tcMar>
          </w:tcPr>
          <w:p>
            <w:pPr>
              <w:pStyle w:val="Para 002"/>
            </w:pPr>
            <w:r>
              <w:t>A tuple of six integers representing the time of the last modification to the file: the items are year (</w:t>
            </w:r>
            <w:r>
              <w:rPr>
                <w:rStyle w:val="Text0"/>
              </w:rPr>
              <w:t>&gt;=1980</w:t>
            </w:r>
            <w:r>
              <w:t>), month, day (</w:t>
            </w:r>
            <w:r>
              <w:rPr>
                <w:rStyle w:val="Text0"/>
              </w:rPr>
              <w:t>1+</w:t>
            </w:r>
            <w:r>
              <w:t>), hour, minute, second (</w:t>
            </w:r>
            <w:r>
              <w:rPr>
                <w:rStyle w:val="Text0"/>
              </w:rPr>
              <w:t>0+</w:t>
            </w:r>
            <w:r>
              <w:t>)</w:t>
            </w:r>
          </w:p>
        </w:tc>
      </w:tr>
    </w:tbl>
    <w:tbl>
      <w:tblPr>
        <w:tblW w:type="auto" w:w="0"/>
      </w:tblPr>
      <w:tr>
        <w:tc>
          <w:tcPr>
            <w:tcW w:type="auto" w:w="0"/>
            <w:tcMar>
              <w:left w:type="dxa" w:w="200"/>
              <w:top w:type="dxa" w:w="200"/>
              <w:right w:type="dxa" w:w="200"/>
              <w:bottom w:type="dxa" w:w="200"/>
            </w:tcMar>
          </w:tcPr>
          <w:p>
            <w:pPr>
              <w:pStyle w:val="Para 001"/>
            </w:pPr>
            <w:r>
              <w:t>file_size</w:t>
            </w:r>
          </w:p>
        </w:tc>
        <w:tc>
          <w:tcPr>
            <w:tcW w:type="auto" w:w="0"/>
            <w:tcMar>
              <w:left w:type="dxa" w:w="200"/>
              <w:top w:type="dxa" w:w="200"/>
              <w:right w:type="dxa" w:w="200"/>
              <w:bottom w:type="dxa" w:w="200"/>
            </w:tcMar>
          </w:tcPr>
          <w:p>
            <w:pPr>
              <w:pStyle w:val="Para 002"/>
            </w:pPr>
            <w:r>
              <w:t>The size, in bytes, of the uncompressed data for the archive member</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filename</w:t>
            </w:r>
          </w:p>
        </w:tc>
        <w:tc>
          <w:tcPr>
            <w:tcW w:type="auto" w:w="0"/>
            <w:shd w:val="clear" w:color="auto" w:fill="EEF2F6"/>
            <w:tcMar>
              <w:left w:type="dxa" w:w="200"/>
              <w:top w:type="dxa" w:w="200"/>
              <w:right w:type="dxa" w:w="200"/>
              <w:bottom w:type="dxa" w:w="200"/>
            </w:tcMar>
          </w:tcPr>
          <w:p>
            <w:pPr>
              <w:pStyle w:val="Para 002"/>
            </w:pPr>
            <w:r>
              <w:t>The name of the file in the archive</w:t>
            </w:r>
            <w:r>
              <w:rPr>
                <w:rStyle w:val="Text111"/>
              </w:rPr>
              <w:bookmarkStart w:id="2637" w:name="idm45965204537232"/>
              <w:t/>
              <w:bookmarkEnd w:id="2637"/>
              <w:bookmarkStart w:id="2638" w:name="idm45965204535856"/>
              <w:t/>
              <w:bookmarkEnd w:id="2638"/>
              <w:bookmarkStart w:id="2639" w:name="idm45965204534480"/>
              <w:t/>
              <w:bookmarkEnd w:id="2639"/>
              <w:bookmarkStart w:id="2640" w:name="idm45965204533104"/>
              <w:t/>
              <w:bookmarkEnd w:id="2640"/>
              <w:bookmarkStart w:id="2641" w:name="idm45965204531728"/>
              <w:t/>
              <w:bookmarkEnd w:id="2641"/>
            </w:r>
          </w:p>
        </w:tc>
      </w:tr>
    </w:tbl>
    <w:p>
      <w:bookmarkStart w:id="2642" w:name="The_os_Module__os_is_an_umbrella"/>
      <w:pPr>
        <w:keepNext/>
        <w:pStyle w:val="Heading 1"/>
      </w:pPr>
      <w:r>
        <w:t>The os Module</w:t>
      </w:r>
      <w:bookmarkEnd w:id="2642"/>
    </w:p>
    <w:p>
      <w:pPr>
        <w:pStyle w:val="Normal"/>
      </w:pPr>
      <w:r>
        <w:rPr>
          <w:rStyle w:val="Text0"/>
        </w:rPr>
        <w:t>os</w:t>
      </w:r>
      <w:r>
        <w:t xml:space="preserve"> is</w:t>
      </w:r>
      <w:r>
        <w:rPr>
          <w:rStyle w:val="Text111"/>
        </w:rPr>
        <w:bookmarkStart w:id="2643" w:name="FTOosmod11"/>
        <w:t/>
        <w:bookmarkEnd w:id="2643"/>
        <w:bookmarkStart w:id="2644" w:name="idm45965204525632"/>
        <w:t/>
        <w:bookmarkEnd w:id="2644"/>
        <w:bookmarkStart w:id="2645" w:name="SLMos11"/>
        <w:t/>
        <w:bookmarkEnd w:id="2645"/>
      </w:r>
      <w:r>
        <w:t xml:space="preserve"> an umbrella module presenting a nearly uniform cross-platform view of the capabilities of various operating systems. It supplies low-level ways to create and handle files and directories, and to create, manage, and destroy processes. This section covers filesystem-related functions of </w:t>
      </w:r>
      <w:r>
        <w:rPr>
          <w:rStyle w:val="Text0"/>
        </w:rPr>
        <w:t>os</w:t>
      </w:r>
      <w:r>
        <w:t xml:space="preserve">; </w:t>
      </w:r>
      <w:hyperlink w:anchor="Running_Other_Programs_with_the">
        <w:r>
          <w:rPr>
            <w:rStyle w:val="Text1"/>
          </w:rPr>
          <w:t>“Running Other Programs with the os Module”</w:t>
        </w:r>
      </w:hyperlink>
      <w:r>
        <w:t xml:space="preserve"> covers process-related functions. Most of the time you can use other modules at higher levels of abstraction and gain productivity, but understanding what is “underneath” in the low-level </w:t>
      </w:r>
      <w:r>
        <w:rPr>
          <w:rStyle w:val="Text0"/>
        </w:rPr>
        <w:t>os</w:t>
      </w:r>
      <w:r>
        <w:t xml:space="preserve"> module can still be quite useful (hence our coverage).</w:t>
      </w:r>
    </w:p>
    <w:p>
      <w:pPr>
        <w:pStyle w:val="Normal"/>
      </w:pPr>
      <w:r>
        <w:t xml:space="preserve">The </w:t>
      </w:r>
      <w:r>
        <w:rPr>
          <w:rStyle w:val="Text0"/>
        </w:rPr>
        <w:t>os</w:t>
      </w:r>
      <w:r>
        <w:t xml:space="preserve"> module supplies a </w:t>
      </w:r>
      <w:r>
        <w:rPr>
          <w:rStyle w:val="Text0"/>
        </w:rPr>
        <w:t>name</w:t>
      </w:r>
      <w:r>
        <w:t xml:space="preserve"> attribute, a string that identifies the kind of platform on which Python is being run. Common values for </w:t>
      </w:r>
      <w:r>
        <w:rPr>
          <w:rStyle w:val="Text0"/>
        </w:rPr>
        <w:t>name</w:t>
      </w:r>
      <w:r>
        <w:t xml:space="preserve"> are </w:t>
      </w:r>
      <w:r>
        <w:rPr>
          <w:rStyle w:val="Text0"/>
        </w:rPr>
        <w:t>'posix'</w:t>
      </w:r>
      <w:r>
        <w:t xml:space="preserve"> (all kinds of Unix-like platforms, including Linux and macOS) and </w:t>
      </w:r>
      <w:r>
        <w:rPr>
          <w:rStyle w:val="Text0"/>
        </w:rPr>
        <w:t>'nt'</w:t>
      </w:r>
      <w:r>
        <w:t xml:space="preserve"> (all kinds of Windows platforms); </w:t>
      </w:r>
      <w:r>
        <w:rPr>
          <w:rStyle w:val="Text0"/>
        </w:rPr>
        <w:t>'java'</w:t>
      </w:r>
      <w:r>
        <w:t xml:space="preserve"> is for the old but still-missed Jython. You can exploit some unique capabilities of a platform through functions supplied by </w:t>
      </w:r>
      <w:r>
        <w:rPr>
          <w:rStyle w:val="Text0"/>
        </w:rPr>
        <w:t>os</w:t>
      </w:r>
      <w:r>
        <w:t xml:space="preserve">. However, this book focuses on cross-platform programming, not platform-specific functionality, so we cover neither parts of </w:t>
      </w:r>
      <w:r>
        <w:rPr>
          <w:rStyle w:val="Text0"/>
        </w:rPr>
        <w:t>os</w:t>
      </w:r>
      <w:r>
        <w:t xml:space="preserve"> that exist only on one platform, nor platform-specific modules: functionality covered in this book is available at least on </w:t>
      </w:r>
      <w:r>
        <w:rPr>
          <w:rStyle w:val="Text0"/>
        </w:rPr>
        <w:t>'posix'</w:t>
      </w:r>
      <w:r>
        <w:t xml:space="preserve"> and </w:t>
      </w:r>
      <w:r>
        <w:rPr>
          <w:rStyle w:val="Text0"/>
        </w:rPr>
        <w:t>'nt'</w:t>
      </w:r>
      <w:r>
        <w:t xml:space="preserve"> platforms. We do, though, cover some of the differences among the ways in which a given functionality is provided on various platforms.</w:t>
      </w:r>
    </w:p>
    <w:p>
      <w:bookmarkStart w:id="2646" w:name="Filesystem_Operations__Using_the"/>
      <w:pPr>
        <w:keepNext/>
        <w:pStyle w:val="Heading 2"/>
      </w:pPr>
      <w:r>
        <w:t>Filesystem Operations</w:t>
      </w:r>
      <w:bookmarkEnd w:id="2646"/>
    </w:p>
    <w:p>
      <w:pPr>
        <w:pStyle w:val="Normal"/>
      </w:pPr>
      <w:r>
        <w:t>Using</w:t>
      </w:r>
      <w:r>
        <w:rPr>
          <w:rStyle w:val="Text111"/>
        </w:rPr>
        <w:bookmarkStart w:id="2647" w:name="OSMfilesys11"/>
        <w:t/>
        <w:bookmarkEnd w:id="2647"/>
      </w:r>
      <w:r>
        <w:t xml:space="preserve"> the </w:t>
      </w:r>
      <w:r>
        <w:rPr>
          <w:rStyle w:val="Text0"/>
        </w:rPr>
        <w:t>os</w:t>
      </w:r>
      <w:r>
        <w:t xml:space="preserve"> module, you can manipulate the filesystem in a variety of ways: creating, copying, and deleting files and directories; comparing files; and examining filesystem information about files and directories. This section documents the attributes and methods of the </w:t>
      </w:r>
      <w:r>
        <w:rPr>
          <w:rStyle w:val="Text0"/>
        </w:rPr>
        <w:t>os</w:t>
      </w:r>
      <w:r>
        <w:t xml:space="preserve"> module that you use for these purposes, and covers some related modules that operate on the filesystem.</w:t>
      </w:r>
    </w:p>
    <w:p>
      <w:bookmarkStart w:id="2648" w:name="Path_string_attributes_of_the_os"/>
      <w:pPr>
        <w:keepNext/>
        <w:pStyle w:val="Heading 2"/>
      </w:pPr>
      <w:r>
        <w:t>Path-string attributes of the os module</w:t>
      </w:r>
      <w:bookmarkEnd w:id="2648"/>
    </w:p>
    <w:p>
      <w:pPr>
        <w:pStyle w:val="Normal"/>
      </w:pPr>
      <w:r>
        <w:t>A</w:t>
      </w:r>
      <w:r>
        <w:rPr>
          <w:rStyle w:val="Text111"/>
        </w:rPr>
        <w:bookmarkStart w:id="2649" w:name="idm45965204504976"/>
        <w:t/>
        <w:bookmarkEnd w:id="2649"/>
        <w:bookmarkStart w:id="2650" w:name="paths11"/>
        <w:t/>
        <w:bookmarkEnd w:id="2650"/>
      </w:r>
      <w:r>
        <w:t xml:space="preserve"> file or directory is identified by a string, known as its </w:t>
      </w:r>
      <w:r>
        <w:rPr>
          <w:rStyle w:val="Text4"/>
        </w:rPr>
        <w:t>path</w:t>
      </w:r>
      <w:r>
        <w:t>, whose syntax depends on the platform. On both Unix-like and Windows platforms, Python accepts Unix syntax for paths, with a slash (</w:t>
      </w:r>
      <w:r>
        <w:rPr>
          <w:rStyle w:val="Text0"/>
        </w:rPr>
        <w:t>/</w:t>
      </w:r>
      <w:r>
        <w:t>) as the directory separator. On non-Unix-like platforms, Python also accepts platform-specific path syntax. On Windows, in particular, you may use a backslash (</w:t>
      </w:r>
      <w:r>
        <w:rPr>
          <w:rStyle w:val="Text0"/>
        </w:rPr>
        <w:t>\</w:t>
      </w:r>
      <w:r>
        <w:t xml:space="preserve">) as the separator. However, you then need to double up each backslash as </w:t>
      </w:r>
      <w:r>
        <w:rPr>
          <w:rStyle w:val="Text0"/>
        </w:rPr>
        <w:t>\\</w:t>
      </w:r>
      <w:r>
        <w:t xml:space="preserve"> in string literals, or use raw string literal syntax (as covered in </w:t>
      </w:r>
      <w:hyperlink w:anchor="Strings__Python_has_two_built_in">
        <w:r>
          <w:rPr>
            <w:rStyle w:val="Text1"/>
          </w:rPr>
          <w:t>“Strings”</w:t>
        </w:r>
      </w:hyperlink>
      <w:r>
        <w:t xml:space="preserve">); you also needlessly lose portability. Unix path syntax is handier and usable everywhere, so we strongly recommend that you </w:t>
      </w:r>
      <w:r>
        <w:rPr>
          <w:rStyle w:val="Text4"/>
        </w:rPr>
        <w:t>always</w:t>
      </w:r>
      <w:r>
        <w:t xml:space="preserve"> use it. In the rest of this chapter, we use Unix path syntax in both explanations and examples.</w:t>
      </w:r>
    </w:p>
    <w:p>
      <w:pPr>
        <w:pStyle w:val="Normal"/>
      </w:pPr>
      <w:r>
        <w:t xml:space="preserve">The </w:t>
      </w:r>
      <w:r>
        <w:rPr>
          <w:rStyle w:val="Text0"/>
        </w:rPr>
        <w:t>os</w:t>
      </w:r>
      <w:r>
        <w:t xml:space="preserve"> module supplies attributes that provide details about path strings on the current platform, detailed in </w:t>
      </w:r>
      <w:hyperlink w:anchor="Table_11_15__Attributes_supplied">
        <w:r>
          <w:rPr>
            <w:rStyle w:val="Text1"/>
          </w:rPr>
          <w:t>Table 11-15</w:t>
        </w:r>
      </w:hyperlink>
      <w:r>
        <w:t xml:space="preserve">. You should typically use the higher-level path manipulation operations covered in </w:t>
      </w:r>
      <w:hyperlink w:anchor="The_os_path_Module__The_os_path">
        <w:r>
          <w:rPr>
            <w:rStyle w:val="Text1"/>
          </w:rPr>
          <w:t>“The os.path Module”</w:t>
        </w:r>
      </w:hyperlink>
      <w:hyperlink w:anchor="3_Or__even_better__the_even_high">
        <w:r>
          <w:rPr>
            <w:rStyle w:val="Text41"/>
          </w:rPr>
          <w:bookmarkStart w:id="2651" w:name="3_9"/>
          <w:t>3</w:t>
          <w:bookmarkEnd w:id="2651"/>
        </w:r>
      </w:hyperlink>
      <w:r>
        <w:t xml:space="preserve"> rather than lower-level string operations based on these attributes. However, these attributes may be useful at times.</w:t>
      </w:r>
    </w:p>
    <w:tbl>
      <w:tblPr>
        <w:tblW w:type="auto" w:w="0"/>
      </w:tblPr>
      <w:tr>
        <w:tc>
          <w:tcPr>
            <w:tcW w:type="auto" w:w="0"/>
            <w:tcMar>
              <w:left w:type="dxa" w:w="200"/>
              <w:top w:type="dxa" w:w="200"/>
              <w:right w:type="dxa" w:w="200"/>
              <w:bottom w:type="dxa" w:w="200"/>
            </w:tcMar>
          </w:tcPr>
          <w:p>
            <w:bookmarkStart w:id="2652" w:name="Table_11_15__Attributes_supplied"/>
            <w:pPr>
              <w:pStyle w:val="Para 011"/>
            </w:pPr>
            <w:r>
              <w:rPr>
                <w:rStyle w:val="Text117"/>
              </w:rPr>
              <w:t/>
            </w:r>
            <w:r>
              <w:t xml:space="preserve">Table 11-15. </w:t>
              <w:t xml:space="preserve">Attributes supplied by the </w:t>
            </w:r>
            <w:r>
              <w:rPr>
                <w:rStyle w:val="Text0"/>
              </w:rPr>
              <w:t>os</w:t>
            </w:r>
            <w:r>
              <w:t xml:space="preserve"> module</w:t>
            </w:r>
            <w:bookmarkEnd w:id="2652"/>
          </w:p>
          <w:p>
            <w:pPr>
              <w:pStyle w:val="Para 001"/>
            </w:pPr>
            <w:r>
              <w:t>curdir</w:t>
            </w:r>
          </w:p>
        </w:tc>
        <w:tc>
          <w:tcPr>
            <w:tcW w:type="auto" w:w="0"/>
            <w:tcMar>
              <w:left w:type="dxa" w:w="200"/>
              <w:top w:type="dxa" w:w="200"/>
              <w:right w:type="dxa" w:w="200"/>
              <w:bottom w:type="dxa" w:w="200"/>
            </w:tcMar>
          </w:tcPr>
          <w:p>
            <w:pPr>
              <w:pStyle w:val="Para 002"/>
            </w:pPr>
            <w:r>
              <w:t>The</w:t>
            </w:r>
            <w:r>
              <w:rPr>
                <w:rStyle w:val="Text111"/>
              </w:rPr>
              <w:bookmarkStart w:id="2653" w:name="idm45965204489040"/>
              <w:t/>
              <w:bookmarkEnd w:id="2653"/>
            </w:r>
            <w:r>
              <w:t xml:space="preserve"> string that denotes the current directory (</w:t>
            </w:r>
            <w:r>
              <w:rPr>
                <w:rStyle w:val="Text0"/>
              </w:rPr>
              <w:t>'.'</w:t>
            </w:r>
            <w:r>
              <w:t xml:space="preserve"> on Unix and Windows)</w:t>
            </w:r>
          </w:p>
        </w:tc>
      </w:tr>
    </w:tbl>
    <w:tbl>
      <w:tblPr>
        <w:tblW w:type="auto" w:w="0"/>
      </w:tblPr>
      <w:tr>
        <w:tc>
          <w:tcPr>
            <w:tcW w:type="auto" w:w="0"/>
            <w:shd w:val="clear" w:color="auto" w:fill="EEF2F6"/>
            <w:tcMar>
              <w:left w:type="dxa" w:w="200"/>
              <w:top w:type="dxa" w:w="200"/>
              <w:right w:type="dxa" w:w="200"/>
              <w:bottom w:type="dxa" w:w="200"/>
            </w:tcMar>
          </w:tcPr>
          <w:p>
            <w:pPr>
              <w:pStyle w:val="Para 001"/>
            </w:pPr>
            <w:r>
              <w:t>defpath</w:t>
            </w:r>
          </w:p>
        </w:tc>
        <w:tc>
          <w:tcPr>
            <w:tcW w:type="auto" w:w="0"/>
            <w:shd w:val="clear" w:color="auto" w:fill="EEF2F6"/>
            <w:tcMar>
              <w:left w:type="dxa" w:w="200"/>
              <w:top w:type="dxa" w:w="200"/>
              <w:right w:type="dxa" w:w="200"/>
              <w:bottom w:type="dxa" w:w="200"/>
            </w:tcMar>
          </w:tcPr>
          <w:p>
            <w:pPr>
              <w:pStyle w:val="Para 002"/>
            </w:pPr>
            <w:r>
              <w:t xml:space="preserve">The default search path for programs, used if the environment lacks a </w:t>
            </w:r>
            <w:r>
              <w:rPr>
                <w:rStyle w:val="Text0"/>
              </w:rPr>
              <w:t>PATH</w:t>
            </w:r>
            <w:r>
              <w:t xml:space="preserve"> environment variable</w:t>
            </w:r>
          </w:p>
        </w:tc>
      </w:tr>
    </w:tbl>
    <w:tbl>
      <w:tblPr>
        <w:tblW w:type="auto" w:w="0"/>
      </w:tblPr>
      <w:tr>
        <w:tc>
          <w:tcPr>
            <w:tcW w:type="auto" w:w="0"/>
            <w:tcMar>
              <w:left w:type="dxa" w:w="200"/>
              <w:top w:type="dxa" w:w="200"/>
              <w:right w:type="dxa" w:w="200"/>
              <w:bottom w:type="dxa" w:w="200"/>
            </w:tcMar>
          </w:tcPr>
          <w:p>
            <w:pPr>
              <w:pStyle w:val="Para 001"/>
            </w:pPr>
            <w:r>
              <w:t>extsep</w:t>
            </w:r>
          </w:p>
        </w:tc>
        <w:tc>
          <w:tcPr>
            <w:tcW w:type="auto" w:w="0"/>
            <w:tcMar>
              <w:left w:type="dxa" w:w="200"/>
              <w:top w:type="dxa" w:w="200"/>
              <w:right w:type="dxa" w:w="200"/>
              <w:bottom w:type="dxa" w:w="200"/>
            </w:tcMar>
          </w:tcPr>
          <w:p>
            <w:pPr>
              <w:pStyle w:val="Para 002"/>
            </w:pPr>
            <w:r>
              <w:t>The string that separates the extension part of a file’s name from the rest of the name (</w:t>
            </w:r>
            <w:r>
              <w:rPr>
                <w:rStyle w:val="Text0"/>
              </w:rPr>
              <w:t>'.'</w:t>
            </w:r>
            <w:r>
              <w:t xml:space="preserve"> on Unix and Windows)</w:t>
            </w:r>
          </w:p>
        </w:tc>
      </w:tr>
    </w:tbl>
    <w:tbl>
      <w:tblPr>
        <w:tblW w:type="auto" w:w="0"/>
      </w:tblPr>
      <w:tr>
        <w:tc>
          <w:tcPr>
            <w:tcW w:type="auto" w:w="0"/>
            <w:shd w:val="clear" w:color="auto" w:fill="EEF2F6"/>
            <w:tcMar>
              <w:left w:type="dxa" w:w="200"/>
              <w:top w:type="dxa" w:w="200"/>
              <w:right w:type="dxa" w:w="200"/>
              <w:bottom w:type="dxa" w:w="200"/>
            </w:tcMar>
          </w:tcPr>
          <w:p>
            <w:pPr>
              <w:pStyle w:val="Para 001"/>
            </w:pPr>
            <w:r>
              <w:t>linesep</w:t>
            </w:r>
          </w:p>
        </w:tc>
        <w:tc>
          <w:tcPr>
            <w:tcW w:type="auto" w:w="0"/>
            <w:shd w:val="clear" w:color="auto" w:fill="EEF2F6"/>
            <w:tcMar>
              <w:left w:type="dxa" w:w="200"/>
              <w:top w:type="dxa" w:w="200"/>
              <w:right w:type="dxa" w:w="200"/>
              <w:bottom w:type="dxa" w:w="200"/>
            </w:tcMar>
          </w:tcPr>
          <w:p>
            <w:pPr>
              <w:pStyle w:val="Para 002"/>
            </w:pPr>
            <w:r>
              <w:t>The</w:t>
            </w:r>
            <w:r>
              <w:rPr>
                <w:rStyle w:val="Text111"/>
              </w:rPr>
              <w:bookmarkStart w:id="2654" w:name="idm45965204480192"/>
              <w:t/>
              <w:bookmarkEnd w:id="2654"/>
            </w:r>
            <w:r>
              <w:t xml:space="preserve"> string that terminates text lines (</w:t>
            </w:r>
            <w:r>
              <w:rPr>
                <w:rStyle w:val="Text0"/>
              </w:rPr>
              <w:t>'\n'</w:t>
            </w:r>
            <w:r>
              <w:t xml:space="preserve"> on Unix; </w:t>
            </w:r>
            <w:r>
              <w:rPr>
                <w:rStyle w:val="Text0"/>
              </w:rPr>
              <w:t>'\r\n'</w:t>
            </w:r>
            <w:r>
              <w:t xml:space="preserve"> on Windows)</w:t>
            </w:r>
          </w:p>
        </w:tc>
      </w:tr>
    </w:tbl>
    <w:tbl>
      <w:tblPr>
        <w:tblW w:type="auto" w:w="0"/>
      </w:tblPr>
      <w:tr>
        <w:tc>
          <w:tcPr>
            <w:tcW w:type="auto" w:w="0"/>
            <w:tcMar>
              <w:left w:type="dxa" w:w="200"/>
              <w:top w:type="dxa" w:w="200"/>
              <w:right w:type="dxa" w:w="200"/>
              <w:bottom w:type="dxa" w:w="200"/>
            </w:tcMar>
          </w:tcPr>
          <w:p>
            <w:pPr>
              <w:pStyle w:val="Para 001"/>
            </w:pPr>
            <w:r>
              <w:t>pardir</w:t>
            </w:r>
          </w:p>
        </w:tc>
        <w:tc>
          <w:tcPr>
            <w:tcW w:type="auto" w:w="0"/>
            <w:tcMar>
              <w:left w:type="dxa" w:w="200"/>
              <w:top w:type="dxa" w:w="200"/>
              <w:right w:type="dxa" w:w="200"/>
              <w:bottom w:type="dxa" w:w="200"/>
            </w:tcMar>
          </w:tcPr>
          <w:p>
            <w:pPr>
              <w:pStyle w:val="Para 002"/>
            </w:pPr>
            <w:r>
              <w:t>The string that denotes the parent directory (</w:t>
            </w:r>
            <w:r>
              <w:rPr>
                <w:rStyle w:val="Text0"/>
              </w:rPr>
              <w:t>'..'</w:t>
            </w:r>
            <w:r>
              <w:t xml:space="preserve"> on Unix and Windows)</w:t>
            </w:r>
          </w:p>
        </w:tc>
      </w:tr>
    </w:tbl>
    <w:tbl>
      <w:tblPr>
        <w:tblW w:type="auto" w:w="0"/>
      </w:tblPr>
      <w:tr>
        <w:tc>
          <w:tcPr>
            <w:tcW w:type="auto" w:w="0"/>
            <w:shd w:val="clear" w:color="auto" w:fill="EEF2F6"/>
            <w:tcMar>
              <w:left w:type="dxa" w:w="200"/>
              <w:top w:type="dxa" w:w="200"/>
              <w:right w:type="dxa" w:w="200"/>
              <w:bottom w:type="dxa" w:w="200"/>
            </w:tcMar>
          </w:tcPr>
          <w:p>
            <w:pPr>
              <w:pStyle w:val="Para 001"/>
            </w:pPr>
            <w:r>
              <w:t>pathsep</w:t>
            </w:r>
          </w:p>
        </w:tc>
        <w:tc>
          <w:tcPr>
            <w:tcW w:type="auto" w:w="0"/>
            <w:shd w:val="clear" w:color="auto" w:fill="EEF2F6"/>
            <w:tcMar>
              <w:left w:type="dxa" w:w="200"/>
              <w:top w:type="dxa" w:w="200"/>
              <w:right w:type="dxa" w:w="200"/>
              <w:bottom w:type="dxa" w:w="200"/>
            </w:tcMar>
          </w:tcPr>
          <w:p>
            <w:pPr>
              <w:pStyle w:val="Para 002"/>
            </w:pPr>
            <w:r>
              <w:t xml:space="preserve">The separator between paths in lists of paths expressed as strings, such as those used for the environment variable </w:t>
            </w:r>
            <w:r>
              <w:rPr>
                <w:rStyle w:val="Text0"/>
              </w:rPr>
              <w:t>PATH</w:t>
            </w:r>
            <w:r>
              <w:t xml:space="preserve"> (</w:t>
            </w:r>
            <w:r>
              <w:rPr>
                <w:rStyle w:val="Text0"/>
              </w:rPr>
              <w:t>':'</w:t>
            </w:r>
            <w:r>
              <w:t xml:space="preserve"> on Unix; </w:t>
            </w:r>
            <w:r>
              <w:rPr>
                <w:rStyle w:val="Text0"/>
              </w:rPr>
              <w:t>';'</w:t>
            </w:r>
            <w:r>
              <w:t xml:space="preserve"> on Windows)</w:t>
            </w:r>
          </w:p>
        </w:tc>
      </w:tr>
    </w:tbl>
    <w:tbl>
      <w:tblPr>
        <w:tblW w:type="auto" w:w="0"/>
      </w:tblPr>
      <w:tr>
        <w:tc>
          <w:tcPr>
            <w:tcW w:type="auto" w:w="0"/>
            <w:tcMar>
              <w:left w:type="dxa" w:w="200"/>
              <w:top w:type="dxa" w:w="200"/>
              <w:right w:type="dxa" w:w="200"/>
              <w:bottom w:type="dxa" w:w="200"/>
            </w:tcMar>
          </w:tcPr>
          <w:p>
            <w:pPr>
              <w:pStyle w:val="Para 001"/>
            </w:pPr>
            <w:r>
              <w:t>sep</w:t>
            </w:r>
          </w:p>
        </w:tc>
        <w:tc>
          <w:tcPr>
            <w:tcW w:type="auto" w:w="0"/>
            <w:tcMar>
              <w:left w:type="dxa" w:w="200"/>
              <w:top w:type="dxa" w:w="200"/>
              <w:right w:type="dxa" w:w="200"/>
              <w:bottom w:type="dxa" w:w="200"/>
            </w:tcMar>
          </w:tcPr>
          <w:p>
            <w:pPr>
              <w:pStyle w:val="Para 002"/>
            </w:pPr>
            <w:r>
              <w:t>The</w:t>
            </w:r>
            <w:r>
              <w:rPr>
                <w:rStyle w:val="Text111"/>
              </w:rPr>
              <w:bookmarkStart w:id="2655" w:name="idm45965204469280"/>
              <w:t/>
              <w:bookmarkEnd w:id="2655"/>
            </w:r>
            <w:r>
              <w:t xml:space="preserve"> separator of path components (</w:t>
            </w:r>
            <w:r>
              <w:rPr>
                <w:rStyle w:val="Text0"/>
              </w:rPr>
              <w:t>'/'</w:t>
            </w:r>
            <w:r>
              <w:t xml:space="preserve"> on Unix; </w:t>
            </w:r>
            <w:r>
              <w:rPr>
                <w:rStyle w:val="Text0"/>
              </w:rPr>
              <w:t>'\\'</w:t>
            </w:r>
            <w:r>
              <w:t xml:space="preserve"> on Windows)</w:t>
            </w:r>
          </w:p>
        </w:tc>
      </w:tr>
    </w:tbl>
    <w:p>
      <w:bookmarkStart w:id="2656" w:name="Permissions__Unix_like_platforms"/>
      <w:pPr>
        <w:keepNext/>
        <w:pStyle w:val="Heading 2"/>
      </w:pPr>
      <w:r>
        <w:t>Permissions</w:t>
      </w:r>
      <w:bookmarkEnd w:id="2656"/>
    </w:p>
    <w:p>
      <w:pPr>
        <w:pStyle w:val="Normal"/>
      </w:pPr>
      <w:r>
        <w:t>Unix-like</w:t>
      </w:r>
      <w:r>
        <w:rPr>
          <w:rStyle w:val="Text111"/>
        </w:rPr>
        <w:bookmarkStart w:id="2657" w:name="idm45965204464400"/>
        <w:t/>
        <w:bookmarkEnd w:id="2657"/>
        <w:bookmarkStart w:id="2658" w:name="idm45965204463056"/>
        <w:t/>
        <w:bookmarkEnd w:id="2658"/>
      </w:r>
      <w:r>
        <w:t xml:space="preserve"> platforms associate nine bits with each file or directory: three each for the file’s owner, its group, and everybody else (aka “others” or “the world”), indicating whether the file or directory can be read, written, and executed by the given subject. These nine bits are known as the file’s </w:t>
      </w:r>
      <w:r>
        <w:rPr>
          <w:rStyle w:val="Text4"/>
        </w:rPr>
        <w:t>permission bits</w:t>
      </w:r>
      <w:r>
        <w:t>, and are part of the file’s</w:t>
      </w:r>
      <w:r>
        <w:rPr>
          <w:rStyle w:val="Text111"/>
        </w:rPr>
        <w:bookmarkStart w:id="2659" w:name="idm45965204461376"/>
        <w:t/>
        <w:bookmarkEnd w:id="2659"/>
      </w:r>
      <w:r>
        <w:t xml:space="preserve"> </w:t>
      </w:r>
      <w:r>
        <w:rPr>
          <w:rStyle w:val="Text4"/>
        </w:rPr>
        <w:t>mode</w:t>
      </w:r>
      <w:r>
        <w:t xml:space="preserve"> (a bit string that includes other bits that describe the file). You often display these bits in octal notation, which groups three bits per digit. For example, mode </w:t>
      </w:r>
      <w:r>
        <w:rPr>
          <w:rStyle w:val="Text0"/>
        </w:rPr>
        <w:t>0o664</w:t>
      </w:r>
      <w:r>
        <w:t xml:space="preserve"> indicates a file that can be read and written by its owner and group, and that anybody else can read, but not write. When any process on a Unix-like system creates a file or directory, the operating system applies to the specified mode a bit mask known as the process’s</w:t>
      </w:r>
      <w:r>
        <w:rPr>
          <w:rStyle w:val="Text111"/>
        </w:rPr>
        <w:bookmarkStart w:id="2660" w:name="idm45965204459008"/>
        <w:t/>
        <w:bookmarkEnd w:id="2660"/>
      </w:r>
      <w:r>
        <w:t xml:space="preserve"> </w:t>
      </w:r>
      <w:r>
        <w:rPr>
          <w:rStyle w:val="Text4"/>
        </w:rPr>
        <w:t>umask</w:t>
      </w:r>
      <w:r>
        <w:t>, which can remove some of the permission bits.</w:t>
      </w:r>
    </w:p>
    <w:p>
      <w:pPr>
        <w:pStyle w:val="Normal"/>
      </w:pPr>
      <w:r>
        <w:t xml:space="preserve">Non-Unix-like platforms handle file and directory permissions in very different ways. However, the </w:t>
      </w:r>
      <w:r>
        <w:rPr>
          <w:rStyle w:val="Text0"/>
        </w:rPr>
        <w:t>os</w:t>
      </w:r>
      <w:r>
        <w:t xml:space="preserve"> functions that deal with file permissions accept a </w:t>
      </w:r>
      <w:r>
        <w:rPr>
          <w:rStyle w:val="Text3"/>
        </w:rPr>
        <w:t>mode</w:t>
      </w:r>
      <w:r>
        <w:t xml:space="preserve"> argument according to the Unix-like approach described in the previous paragraph. Each platform maps the nine permission bits in a way appropriate for it. For example, on Windows, which distinguishes only between read-only and read/write files and does not record file ownership, a file’s permission bits show up as either </w:t>
      </w:r>
      <w:r>
        <w:rPr>
          <w:rStyle w:val="Text0"/>
        </w:rPr>
        <w:t>0o666</w:t>
      </w:r>
      <w:r>
        <w:t xml:space="preserve"> (read/write) or </w:t>
      </w:r>
      <w:r>
        <w:rPr>
          <w:rStyle w:val="Text0"/>
        </w:rPr>
        <w:t>0o444</w:t>
      </w:r>
      <w:r>
        <w:t xml:space="preserve"> (read-only). On such a platform, when creating a file, the implementation looks only at bit </w:t>
      </w:r>
      <w:r>
        <w:rPr>
          <w:rStyle w:val="Text0"/>
        </w:rPr>
        <w:t>0o200</w:t>
      </w:r>
      <w:r>
        <w:t xml:space="preserve">, making the file read/write when that bit is </w:t>
      </w:r>
      <w:r>
        <w:rPr>
          <w:rStyle w:val="Text0"/>
        </w:rPr>
        <w:t>1</w:t>
      </w:r>
      <w:r>
        <w:t xml:space="preserve"> and read-only when it is </w:t>
      </w:r>
      <w:r>
        <w:rPr>
          <w:rStyle w:val="Text0"/>
        </w:rPr>
        <w:t>0</w:t>
      </w:r>
      <w:r>
        <w:t>.</w:t>
      </w:r>
    </w:p>
    <w:p>
      <w:bookmarkStart w:id="2661" w:name="File_and_directory_functions_of"/>
      <w:pPr>
        <w:keepNext/>
        <w:pStyle w:val="Heading 2"/>
      </w:pPr>
      <w:r>
        <w:t>File and directory functions of the os module</w:t>
      </w:r>
      <w:bookmarkEnd w:id="2661"/>
    </w:p>
    <w:p>
      <w:pPr>
        <w:pStyle w:val="Normal"/>
      </w:pPr>
      <w:r>
        <w:t>The</w:t>
      </w:r>
      <w:r>
        <w:rPr>
          <w:rStyle w:val="Text111"/>
        </w:rPr>
        <w:bookmarkStart w:id="2662" w:name="FOfiledir11"/>
        <w:t/>
        <w:bookmarkEnd w:id="2662"/>
      </w:r>
      <w:r>
        <w:t xml:space="preserve"> </w:t>
      </w:r>
      <w:r>
        <w:rPr>
          <w:rStyle w:val="Text0"/>
        </w:rPr>
        <w:t>os</w:t>
      </w:r>
      <w:r>
        <w:t xml:space="preserve"> module supplies several functions (listed in </w:t>
      </w:r>
      <w:hyperlink w:anchor="Table_11_16__os_module_functions">
        <w:r>
          <w:rPr>
            <w:rStyle w:val="Text1"/>
          </w:rPr>
          <w:t>Table 11-16</w:t>
        </w:r>
      </w:hyperlink>
      <w:r>
        <w:t xml:space="preserve">) to query and set file and directory status. In all versions and platforms, the argument </w:t>
      </w:r>
      <w:r>
        <w:rPr>
          <w:rStyle w:val="Text3"/>
        </w:rPr>
        <w:t>path</w:t>
      </w:r>
      <w:r>
        <w:t xml:space="preserve"> to any of these functions can be a string giving the path of the file or directory involved, or it can be a path-like object (in particular, an instance of </w:t>
      </w:r>
      <w:r>
        <w:rPr>
          <w:rStyle w:val="Text0"/>
        </w:rPr>
        <w:t>pathlib.Path</w:t>
      </w:r>
      <w:r>
        <w:t>, covered later in this chapter). There are also some particularities on some Unix platforms:</w:t>
      </w:r>
    </w:p>
    <w:p>
      <w:pPr>
        <w:pStyle w:val="Para 010"/>
      </w:pPr>
      <w:r>
        <w:t>Some</w:t>
      </w:r>
      <w:r>
        <w:rPr>
          <w:rStyle w:val="Text111"/>
        </w:rPr>
        <w:bookmarkStart w:id="2663" w:name="idm45965204442544"/>
        <w:t/>
        <w:bookmarkEnd w:id="2663"/>
      </w:r>
      <w:r>
        <w:t xml:space="preserve"> of the functions also support a </w:t>
      </w:r>
      <w:r>
        <w:rPr>
          <w:rStyle w:val="Text4"/>
        </w:rPr>
        <w:t>file descriptor</w:t>
      </w:r>
      <w:r>
        <w:t xml:space="preserve"> (</w:t>
      </w:r>
      <w:r>
        <w:rPr>
          <w:rStyle w:val="Text4"/>
        </w:rPr>
        <w:t>fd</w:t>
      </w:r>
      <w:r>
        <w:t xml:space="preserve">)—an </w:t>
      </w:r>
      <w:r>
        <w:rPr>
          <w:rStyle w:val="Text0"/>
        </w:rPr>
        <w:t>int</w:t>
      </w:r>
      <w:r>
        <w:t xml:space="preserve"> denoting a file as returned, for example, by </w:t>
      </w:r>
      <w:r>
        <w:rPr>
          <w:rStyle w:val="Text0"/>
        </w:rPr>
        <w:t>os.open</w:t>
      </w:r>
      <w:r>
        <w:t xml:space="preserve">—as the </w:t>
      </w:r>
      <w:r>
        <w:rPr>
          <w:rStyle w:val="Text4"/>
        </w:rPr>
        <w:t>path</w:t>
      </w:r>
      <w:r>
        <w:t xml:space="preserve"> argument. The module attribute </w:t>
      </w:r>
      <w:r>
        <w:rPr>
          <w:rStyle w:val="Text0"/>
        </w:rPr>
        <w:t>os.supports_fd</w:t>
      </w:r>
      <w:r>
        <w:t xml:space="preserve"> is the set of functions in the </w:t>
      </w:r>
      <w:r>
        <w:rPr>
          <w:rStyle w:val="Text0"/>
        </w:rPr>
        <w:t>os</w:t>
      </w:r>
      <w:r>
        <w:t xml:space="preserve"> module that support this behavior (the module attribute is missing on platforms lacking such support).</w:t>
      </w:r>
    </w:p>
    <w:p>
      <w:pPr>
        <w:pStyle w:val="Para 010"/>
      </w:pPr>
      <w:r>
        <w:t xml:space="preserve">Some functions support the optional keyword-only argument </w:t>
      </w:r>
      <w:r>
        <w:rPr>
          <w:rStyle w:val="Text0"/>
        </w:rPr>
        <w:t>follow_symlinks</w:t>
      </w:r>
      <w:r>
        <w:t xml:space="preserve">, defaulting to </w:t>
      </w:r>
      <w:r>
        <w:rPr>
          <w:rStyle w:val="Text5"/>
        </w:rPr>
        <w:t>True</w:t>
      </w:r>
      <w:r>
        <w:t xml:space="preserve">. When this argument is </w:t>
      </w:r>
      <w:r>
        <w:rPr>
          <w:rStyle w:val="Text5"/>
        </w:rPr>
        <w:t>True</w:t>
      </w:r>
      <w:r>
        <w:t xml:space="preserve">, if </w:t>
      </w:r>
      <w:r>
        <w:rPr>
          <w:rStyle w:val="Text3"/>
        </w:rPr>
        <w:t>path</w:t>
      </w:r>
      <w:r>
        <w:t xml:space="preserve"> indicates a symbolic link, the function follows it to reach an actual file or directory; when it’s </w:t>
      </w:r>
      <w:r>
        <w:rPr>
          <w:rStyle w:val="Text5"/>
        </w:rPr>
        <w:t>False</w:t>
      </w:r>
      <w:r>
        <w:t xml:space="preserve">, the function operates on the symbolic link itself. The module attribute </w:t>
      </w:r>
      <w:r>
        <w:rPr>
          <w:rStyle w:val="Text0"/>
        </w:rPr>
        <w:t>os.supports_follow_symlinks</w:t>
      </w:r>
      <w:r>
        <w:t xml:space="preserve">, if present, is the set of functions in the </w:t>
      </w:r>
      <w:r>
        <w:rPr>
          <w:rStyle w:val="Text0"/>
        </w:rPr>
        <w:t>os</w:t>
      </w:r>
      <w:r>
        <w:t xml:space="preserve"> module that support this argument.</w:t>
      </w:r>
    </w:p>
    <w:p>
      <w:pPr>
        <w:pStyle w:val="Para 010"/>
      </w:pPr>
      <w:r>
        <w:t xml:space="preserve">Some functions support the optional named-only argument </w:t>
      </w:r>
      <w:r>
        <w:rPr>
          <w:rStyle w:val="Text0"/>
        </w:rPr>
        <w:t>dir_fd</w:t>
      </w:r>
      <w:r>
        <w:t xml:space="preserve">, defaulting to </w:t>
      </w:r>
      <w:r>
        <w:rPr>
          <w:rStyle w:val="Text0"/>
        </w:rPr>
        <w:t>None</w:t>
      </w:r>
      <w:r>
        <w:t xml:space="preserve">. When </w:t>
      </w:r>
      <w:r>
        <w:rPr>
          <w:rStyle w:val="Text0"/>
        </w:rPr>
        <w:t>dir_fd</w:t>
      </w:r>
      <w:r>
        <w:t xml:space="preserve"> is present, </w:t>
      </w:r>
      <w:r>
        <w:rPr>
          <w:rStyle w:val="Text3"/>
        </w:rPr>
        <w:t>path</w:t>
      </w:r>
      <w:r>
        <w:t xml:space="preserve"> (if relative) is taken as being relative to the directory open at that file descriptor; when missing, </w:t>
      </w:r>
      <w:r>
        <w:rPr>
          <w:rStyle w:val="Text3"/>
        </w:rPr>
        <w:t>path</w:t>
      </w:r>
      <w:r>
        <w:t xml:space="preserve"> (if relative) is taken as relative to the current working directory. If </w:t>
      </w:r>
      <w:r>
        <w:rPr>
          <w:rStyle w:val="Text3"/>
        </w:rPr>
        <w:t>path</w:t>
      </w:r>
      <w:r>
        <w:t xml:space="preserve"> is absolute, </w:t>
      </w:r>
      <w:r>
        <w:rPr>
          <w:rStyle w:val="Text0"/>
        </w:rPr>
        <w:t>dir_fd</w:t>
      </w:r>
      <w:r>
        <w:t xml:space="preserve"> is ignored. The module attribute </w:t>
      </w:r>
      <w:r>
        <w:rPr>
          <w:rStyle w:val="Text0"/>
        </w:rPr>
        <w:t>os.supports_dir_fd</w:t>
      </w:r>
      <w:r>
        <w:t xml:space="preserve">, if present, is the set of functions of the </w:t>
      </w:r>
      <w:r>
        <w:rPr>
          <w:rStyle w:val="Text0"/>
        </w:rPr>
        <w:t>os</w:t>
      </w:r>
      <w:r>
        <w:t xml:space="preserve"> module that support this argument.</w:t>
      </w:r>
    </w:p>
    <w:p>
      <w:pPr>
        <w:pStyle w:val="Normal"/>
      </w:pPr>
      <w:r>
        <w:t xml:space="preserve">Additionally, on some platforms the named-only argument </w:t>
      </w:r>
      <w:r>
        <w:rPr>
          <w:rStyle w:val="Text0"/>
        </w:rPr>
        <w:t>effective_ids</w:t>
      </w:r>
      <w:r>
        <w:t xml:space="preserve">, defaulting to </w:t>
      </w:r>
      <w:r>
        <w:rPr>
          <w:rStyle w:val="Text5"/>
        </w:rPr>
        <w:t>False</w:t>
      </w:r>
      <w:r>
        <w:t xml:space="preserve">, lets you choose to use effective rather than real user and group identifiers. Check whether it is available on your platform with </w:t>
      </w:r>
      <w:r>
        <w:rPr>
          <w:rStyle w:val="Text0"/>
        </w:rPr>
        <w:t>os.supports_effective_ids</w:t>
      </w:r>
      <w:r>
        <w:t>.</w:t>
      </w:r>
    </w:p>
    <w:tbl>
      <w:tblPr>
        <w:tblW w:type="auto" w:w="0"/>
      </w:tblPr>
      <w:tr>
        <w:tc>
          <w:tcPr>
            <w:tcW w:type="auto" w:w="0"/>
            <w:tcMar>
              <w:left w:type="dxa" w:w="200"/>
              <w:top w:type="dxa" w:w="200"/>
              <w:right w:type="dxa" w:w="200"/>
              <w:bottom w:type="dxa" w:w="200"/>
            </w:tcMar>
          </w:tcPr>
          <w:p>
            <w:bookmarkStart w:id="2664" w:name="Table_11_16__os_module_functions"/>
            <w:pPr>
              <w:pStyle w:val="Para 011"/>
            </w:pPr>
            <w:r>
              <w:rPr>
                <w:rStyle w:val="Text117"/>
              </w:rPr>
              <w:t/>
            </w:r>
            <w:r>
              <w:t xml:space="preserve">Table 11-16. </w:t>
            </w:r>
            <w:r>
              <w:rPr>
                <w:rStyle w:val="Text0"/>
              </w:rPr>
              <w:t>os</w:t>
            </w:r>
            <w:r>
              <w:t xml:space="preserve"> module functions</w:t>
            </w:r>
            <w:bookmarkEnd w:id="2664"/>
          </w:p>
          <w:p>
            <w:pPr>
              <w:pStyle w:val="Para 001"/>
            </w:pPr>
            <w:r>
              <w:t>access</w:t>
            </w:r>
          </w:p>
        </w:tc>
        <w:tc>
          <w:tcPr>
            <w:tcW w:type="auto" w:w="0"/>
            <w:tcMar>
              <w:left w:type="dxa" w:w="200"/>
              <w:top w:type="dxa" w:w="200"/>
              <w:right w:type="dxa" w:w="200"/>
              <w:bottom w:type="dxa" w:w="200"/>
            </w:tcMar>
          </w:tcPr>
          <w:p>
            <w:pPr>
              <w:pStyle w:val="Para 002"/>
            </w:pPr>
            <w:r>
              <w:rPr>
                <w:rStyle w:val="Text0"/>
              </w:rPr>
              <w:t>access(</w:t>
            </w:r>
            <w:r>
              <w:rPr>
                <w:rStyle w:val="Text3"/>
              </w:rPr>
              <w:t>path</w:t>
            </w:r>
            <w:r>
              <w:rPr>
                <w:rStyle w:val="Text0"/>
              </w:rPr>
              <w:t>,</w:t>
            </w:r>
            <w:r>
              <w:t xml:space="preserve"> </w:t>
            </w:r>
            <w:r>
              <w:rPr>
                <w:rStyle w:val="Text3"/>
              </w:rPr>
              <w:t>mode</w:t>
            </w:r>
            <w:r>
              <w:rPr>
                <w:rStyle w:val="Text0"/>
              </w:rPr>
              <w:t>, *, dir_fd=</w:t>
            </w:r>
            <w:r>
              <w:rPr>
                <w:rStyle w:val="Text5"/>
              </w:rPr>
              <w:t>None</w:t>
            </w:r>
            <w:r>
              <w:rPr>
                <w:rStyle w:val="Text0"/>
              </w:rPr>
              <w:t>, effective_ids=</w:t>
            </w:r>
            <w:r>
              <w:rPr>
                <w:rStyle w:val="Text5"/>
              </w:rPr>
              <w:t>False</w:t>
            </w:r>
            <w:r>
              <w:rPr>
                <w:rStyle w:val="Text0"/>
              </w:rPr>
              <w:t>,</w:t>
              <w:br w:clear="none"/>
              <w:t xml:space="preserve"> follow_symlinks=</w:t>
            </w:r>
            <w:r>
              <w:rPr>
                <w:rStyle w:val="Text5"/>
              </w:rPr>
              <w:t>True</w:t>
            </w:r>
            <w:r>
              <w:rPr>
                <w:rStyle w:val="Text0"/>
              </w:rPr>
              <w:t>)</w:t>
              <w:br w:clear="none"/>
            </w:r>
            <w:r>
              <w:t xml:space="preserve"> Returns</w:t>
            </w:r>
            <w:r>
              <w:rPr>
                <w:rStyle w:val="Text111"/>
              </w:rPr>
              <w:bookmarkStart w:id="2665" w:name="idm45965204409696"/>
              <w:t/>
              <w:bookmarkEnd w:id="2665"/>
            </w:r>
            <w:r>
              <w:t xml:space="preserve"> </w:t>
            </w:r>
            <w:r>
              <w:rPr>
                <w:rStyle w:val="Text5"/>
              </w:rPr>
              <w:t>True</w:t>
            </w:r>
            <w:r>
              <w:t xml:space="preserve"> when the file or path-like object </w:t>
            </w:r>
            <w:r>
              <w:rPr>
                <w:rStyle w:val="Text3"/>
              </w:rPr>
              <w:t>path</w:t>
            </w:r>
            <w:r>
              <w:t xml:space="preserve"> has all of the permissions encoded in integer </w:t>
            </w:r>
            <w:r>
              <w:rPr>
                <w:rStyle w:val="Text3"/>
              </w:rPr>
              <w:t>mode</w:t>
            </w:r>
            <w:r>
              <w:t xml:space="preserve">; otherwise, returns </w:t>
            </w:r>
            <w:r>
              <w:rPr>
                <w:rStyle w:val="Text5"/>
              </w:rPr>
              <w:t>False</w:t>
            </w:r>
            <w:r>
              <w:t xml:space="preserve">. </w:t>
            </w:r>
            <w:r>
              <w:rPr>
                <w:rStyle w:val="Text3"/>
              </w:rPr>
              <w:t>mode</w:t>
            </w:r>
            <w:r>
              <w:t xml:space="preserve"> can be </w:t>
            </w:r>
            <w:r>
              <w:rPr>
                <w:rStyle w:val="Text0"/>
              </w:rPr>
              <w:t>os.F_OK</w:t>
            </w:r>
            <w:r>
              <w:t xml:space="preserve"> to test for file existence, or one or more of </w:t>
            </w:r>
            <w:r>
              <w:rPr>
                <w:rStyle w:val="Text0"/>
              </w:rPr>
              <w:t>os.R_OK</w:t>
            </w:r>
            <w:r>
              <w:t xml:space="preserve">, </w:t>
            </w:r>
            <w:r>
              <w:rPr>
                <w:rStyle w:val="Text0"/>
              </w:rPr>
              <w:t>os.W_OK</w:t>
            </w:r>
            <w:r>
              <w:t xml:space="preserve">, and </w:t>
            </w:r>
            <w:r>
              <w:rPr>
                <w:rStyle w:val="Text0"/>
              </w:rPr>
              <w:t>os.X_OK</w:t>
            </w:r>
            <w:r>
              <w:t xml:space="preserve"> (joined with the bitwise OR operator </w:t>
            </w:r>
            <w:r>
              <w:rPr>
                <w:rStyle w:val="Text0"/>
              </w:rPr>
              <w:t>|</w:t>
            </w:r>
            <w:r>
              <w:t xml:space="preserve">, if more than one) to test permissions to read, write, and execute the file. If </w:t>
            </w:r>
            <w:r>
              <w:rPr>
                <w:rStyle w:val="Text0"/>
              </w:rPr>
              <w:t>dir_fd</w:t>
            </w:r>
            <w:r>
              <w:t xml:space="preserve"> is not </w:t>
            </w:r>
            <w:r>
              <w:rPr>
                <w:rStyle w:val="Text5"/>
              </w:rPr>
              <w:t>None</w:t>
            </w:r>
            <w:r>
              <w:t xml:space="preserve">, </w:t>
            </w:r>
            <w:r>
              <w:rPr>
                <w:rStyle w:val="Text0"/>
              </w:rPr>
              <w:t>access</w:t>
            </w:r>
            <w:r>
              <w:t xml:space="preserve"> operates on </w:t>
            </w:r>
            <w:r>
              <w:rPr>
                <w:rStyle w:val="Text3"/>
              </w:rPr>
              <w:t>path</w:t>
            </w:r>
            <w:r>
              <w:t xml:space="preserve"> relative to the provided directory (if </w:t>
            </w:r>
            <w:r>
              <w:rPr>
                <w:rStyle w:val="Text3"/>
              </w:rPr>
              <w:t>path</w:t>
            </w:r>
            <w:r>
              <w:t xml:space="preserve"> is absolute, </w:t>
            </w:r>
            <w:r>
              <w:rPr>
                <w:rStyle w:val="Text0"/>
              </w:rPr>
              <w:t>dir_fd</w:t>
            </w:r>
            <w:r>
              <w:t xml:space="preserve"> is ignored). Pass the keyword-only argument </w:t>
            </w:r>
            <w:r>
              <w:rPr>
                <w:rStyle w:val="Text0"/>
              </w:rPr>
              <w:t>effective_ids=</w:t>
            </w:r>
            <w:r>
              <w:rPr>
                <w:rStyle w:val="Text5"/>
              </w:rPr>
              <w:t>True</w:t>
            </w:r>
            <w:r>
              <w:t xml:space="preserve"> (the default is </w:t>
            </w:r>
            <w:r>
              <w:rPr>
                <w:rStyle w:val="Text5"/>
              </w:rPr>
              <w:t>False</w:t>
            </w:r>
            <w:r>
              <w:t xml:space="preserve">) to use effective rather than real user and group identifiers (this may not work on all platforms). If you pass </w:t>
            </w:r>
            <w:r>
              <w:rPr>
                <w:rStyle w:val="Text0"/>
              </w:rPr>
              <w:t>follow_symlinks=</w:t>
            </w:r>
            <w:r>
              <w:rPr>
                <w:rStyle w:val="Text5"/>
              </w:rPr>
              <w:t>False</w:t>
            </w:r>
            <w:r>
              <w:t xml:space="preserve"> and the last element of </w:t>
            </w:r>
            <w:r>
              <w:rPr>
                <w:rStyle w:val="Text3"/>
              </w:rPr>
              <w:t>path</w:t>
            </w:r>
            <w:r>
              <w:t xml:space="preserve"> is a symbolic link, </w:t>
            </w:r>
            <w:r>
              <w:rPr>
                <w:rStyle w:val="Text0"/>
              </w:rPr>
              <w:t>access</w:t>
            </w:r>
            <w:r>
              <w:t xml:space="preserve"> operates on the symbolic link itself, not on the file pointed to by the link.</w:t>
              <w:br w:clear="none"/>
              <w:t xml:space="preserve"> </w:t>
            </w:r>
            <w:r>
              <w:rPr>
                <w:rStyle w:val="Text0"/>
              </w:rPr>
              <w:t>access</w:t>
            </w:r>
            <w:r>
              <w:t xml:space="preserve"> does not use the standard interpretation for its </w:t>
            </w:r>
            <w:r>
              <w:rPr>
                <w:rStyle w:val="Text3"/>
              </w:rPr>
              <w:t>mode</w:t>
            </w:r>
            <w:r>
              <w:t xml:space="preserve"> argument, covered in the previous section. Rather, </w:t>
            </w:r>
            <w:r>
              <w:rPr>
                <w:rStyle w:val="Text0"/>
              </w:rPr>
              <w:t>access</w:t>
            </w:r>
            <w:r>
              <w:t xml:space="preserve"> tests only if this specific process’s real user and group identifiers have the requested permissions on the file. If you need to study a file’s permission bits in more detail, see the function </w:t>
            </w:r>
            <w:r>
              <w:rPr>
                <w:rStyle w:val="Text0"/>
              </w:rPr>
              <w:t>stat</w:t>
            </w:r>
            <w:r>
              <w:t>, covered later in this table.</w:t>
              <w:br w:clear="none"/>
              <w:t xml:space="preserve"> Don’t use </w:t>
            </w:r>
            <w:r>
              <w:rPr>
                <w:rStyle w:val="Text0"/>
              </w:rPr>
              <w:t>access</w:t>
            </w:r>
            <w:r>
              <w:t xml:space="preserve"> to check if a user is authorized to open a file, before opening it; this might be a security hole.</w:t>
            </w:r>
          </w:p>
        </w:tc>
      </w:tr>
    </w:tbl>
    <w:tbl>
      <w:tblPr>
        <w:tblW w:type="auto" w:w="0"/>
      </w:tblPr>
      <w:tr>
        <w:tc>
          <w:tcPr>
            <w:tcW w:type="auto" w:w="0"/>
            <w:shd w:val="clear" w:color="auto" w:fill="EEF2F6"/>
            <w:tcMar>
              <w:left w:type="dxa" w:w="200"/>
              <w:top w:type="dxa" w:w="200"/>
              <w:right w:type="dxa" w:w="200"/>
              <w:bottom w:type="dxa" w:w="200"/>
            </w:tcMar>
          </w:tcPr>
          <w:p>
            <w:pPr>
              <w:pStyle w:val="Para 001"/>
            </w:pPr>
            <w:r>
              <w:t>chdir</w:t>
            </w:r>
          </w:p>
        </w:tc>
        <w:tc>
          <w:tcPr>
            <w:tcW w:type="auto" w:w="0"/>
            <w:shd w:val="clear" w:color="auto" w:fill="EEF2F6"/>
            <w:tcMar>
              <w:left w:type="dxa" w:w="200"/>
              <w:top w:type="dxa" w:w="200"/>
              <w:right w:type="dxa" w:w="200"/>
              <w:bottom w:type="dxa" w:w="200"/>
            </w:tcMar>
          </w:tcPr>
          <w:p>
            <w:pPr>
              <w:pStyle w:val="Para 002"/>
            </w:pPr>
            <w:r>
              <w:rPr>
                <w:rStyle w:val="Text0"/>
              </w:rPr>
              <w:t>chdir(</w:t>
            </w:r>
            <w:r>
              <w:rPr>
                <w:rStyle w:val="Text3"/>
              </w:rPr>
              <w:t>path</w:t>
            </w:r>
            <w:r>
              <w:rPr>
                <w:rStyle w:val="Text0"/>
              </w:rPr>
              <w:t>)</w:t>
              <w:br w:clear="none"/>
            </w:r>
            <w:r>
              <w:t xml:space="preserve"> Sets</w:t>
            </w:r>
            <w:r>
              <w:rPr>
                <w:rStyle w:val="Text111"/>
              </w:rPr>
              <w:bookmarkStart w:id="2666" w:name="idm45965204383456"/>
              <w:t/>
              <w:bookmarkEnd w:id="2666"/>
            </w:r>
            <w:r>
              <w:t xml:space="preserve"> the current working directory of the process to </w:t>
            </w:r>
            <w:r>
              <w:rPr>
                <w:rStyle w:val="Text3"/>
              </w:rPr>
              <w:t>path</w:t>
            </w:r>
            <w:r>
              <w:t>, which may be a file descriptor or path-like object.</w:t>
            </w:r>
          </w:p>
        </w:tc>
      </w:tr>
    </w:tbl>
    <w:tbl>
      <w:tblPr>
        <w:tblW w:type="auto" w:w="0"/>
      </w:tblPr>
      <w:tr>
        <w:tc>
          <w:tcPr>
            <w:tcW w:type="auto" w:w="0"/>
            <w:tcMar>
              <w:left w:type="dxa" w:w="200"/>
              <w:top w:type="dxa" w:w="200"/>
              <w:right w:type="dxa" w:w="200"/>
              <w:bottom w:type="dxa" w:w="200"/>
            </w:tcMar>
          </w:tcPr>
          <w:p>
            <w:pPr>
              <w:pStyle w:val="Para 001"/>
            </w:pPr>
            <w:r>
              <w:t>chmod</w:t>
            </w:r>
            <w:r>
              <w:rPr>
                <w:rStyle w:val="Text12"/>
              </w:rPr>
              <w:t>,</w:t>
              <w:br w:clear="none"/>
              <w:t xml:space="preserve"> </w:t>
            </w:r>
            <w:r>
              <w:t>lchmod</w:t>
            </w:r>
          </w:p>
        </w:tc>
        <w:tc>
          <w:tcPr>
            <w:tcW w:type="auto" w:w="0"/>
            <w:tcMar>
              <w:left w:type="dxa" w:w="200"/>
              <w:top w:type="dxa" w:w="200"/>
              <w:right w:type="dxa" w:w="200"/>
              <w:bottom w:type="dxa" w:w="200"/>
            </w:tcMar>
          </w:tcPr>
          <w:p>
            <w:pPr>
              <w:pStyle w:val="Para 002"/>
            </w:pPr>
            <w:r>
              <w:rPr>
                <w:rStyle w:val="Text0"/>
              </w:rPr>
              <w:t>chmod(</w:t>
            </w:r>
            <w:r>
              <w:rPr>
                <w:rStyle w:val="Text3"/>
              </w:rPr>
              <w:t>path</w:t>
            </w:r>
            <w:r>
              <w:rPr>
                <w:rStyle w:val="Text0"/>
              </w:rPr>
              <w:t>,</w:t>
            </w:r>
            <w:r>
              <w:t xml:space="preserve"> </w:t>
            </w:r>
            <w:r>
              <w:rPr>
                <w:rStyle w:val="Text3"/>
              </w:rPr>
              <w:t>mode, *,</w:t>
            </w:r>
            <w:r>
              <w:t xml:space="preserve"> </w:t>
            </w:r>
            <w:r>
              <w:rPr>
                <w:rStyle w:val="Text0"/>
              </w:rPr>
              <w:t>dir_fd=</w:t>
            </w:r>
            <w:r>
              <w:rPr>
                <w:rStyle w:val="Text5"/>
              </w:rPr>
              <w:t>None</w:t>
            </w:r>
            <w:r>
              <w:rPr>
                <w:rStyle w:val="Text0"/>
              </w:rPr>
              <w:t>, follow_symlinks=</w:t>
            </w:r>
            <w:r>
              <w:rPr>
                <w:rStyle w:val="Text5"/>
              </w:rPr>
              <w:t>True</w:t>
            </w:r>
            <w:r>
              <w:rPr>
                <w:rStyle w:val="Text0"/>
              </w:rPr>
              <w:t>)</w:t>
              <w:br w:clear="none"/>
            </w:r>
            <w:r>
              <w:t xml:space="preserve"> </w:t>
            </w:r>
            <w:r>
              <w:rPr>
                <w:rStyle w:val="Text0"/>
              </w:rPr>
              <w:t>lchmod(</w:t>
            </w:r>
            <w:r>
              <w:rPr>
                <w:rStyle w:val="Text3"/>
              </w:rPr>
              <w:t>path</w:t>
            </w:r>
            <w:r>
              <w:rPr>
                <w:rStyle w:val="Text0"/>
              </w:rPr>
              <w:t>,</w:t>
            </w:r>
            <w:r>
              <w:t xml:space="preserve"> </w:t>
            </w:r>
            <w:r>
              <w:rPr>
                <w:rStyle w:val="Text3"/>
              </w:rPr>
              <w:t>mode</w:t>
            </w:r>
            <w:r>
              <w:rPr>
                <w:rStyle w:val="Text0"/>
              </w:rPr>
              <w:t>)</w:t>
              <w:br w:clear="none"/>
            </w:r>
            <w:r>
              <w:t xml:space="preserve"> Changes</w:t>
            </w:r>
            <w:r>
              <w:rPr>
                <w:rStyle w:val="Text111"/>
              </w:rPr>
              <w:bookmarkStart w:id="2667" w:name="idm45965204371888"/>
              <w:t/>
              <w:bookmarkEnd w:id="2667"/>
            </w:r>
            <w:r>
              <w:t xml:space="preserve"> the permissions of the file (or file descriptor or path-like object) </w:t>
            </w:r>
            <w:r>
              <w:rPr>
                <w:rStyle w:val="Text3"/>
              </w:rPr>
              <w:t>path</w:t>
            </w:r>
            <w:r>
              <w:t xml:space="preserve">, as encoded in integer </w:t>
            </w:r>
            <w:r>
              <w:rPr>
                <w:rStyle w:val="Text3"/>
              </w:rPr>
              <w:t>mode</w:t>
            </w:r>
            <w:r>
              <w:t xml:space="preserve">. </w:t>
            </w:r>
            <w:r>
              <w:rPr>
                <w:rStyle w:val="Text3"/>
              </w:rPr>
              <w:t>mode</w:t>
            </w:r>
            <w:r>
              <w:t xml:space="preserve"> can be zero or more of </w:t>
            </w:r>
            <w:r>
              <w:rPr>
                <w:rStyle w:val="Text0"/>
              </w:rPr>
              <w:t>os.R_OK</w:t>
            </w:r>
            <w:r>
              <w:t xml:space="preserve">, </w:t>
            </w:r>
            <w:r>
              <w:rPr>
                <w:rStyle w:val="Text0"/>
              </w:rPr>
              <w:t>os.W_OK</w:t>
            </w:r>
            <w:r>
              <w:t xml:space="preserve">, and </w:t>
            </w:r>
            <w:r>
              <w:rPr>
                <w:rStyle w:val="Text0"/>
              </w:rPr>
              <w:t>os.X_OK</w:t>
            </w:r>
            <w:r>
              <w:t xml:space="preserve"> (joined with the bitwise OR operator </w:t>
            </w:r>
            <w:r>
              <w:rPr>
                <w:rStyle w:val="Text0"/>
              </w:rPr>
              <w:t>|</w:t>
            </w:r>
            <w:r>
              <w:t xml:space="preserve">, if more than one) for read, write, and execute permissions. On Unix-like platforms, </w:t>
            </w:r>
            <w:r>
              <w:rPr>
                <w:rStyle w:val="Text3"/>
              </w:rPr>
              <w:t>mode</w:t>
            </w:r>
            <w:r>
              <w:t xml:space="preserve"> can be a richer bit pattern (as covered in the previous section) to specify different permissions for user, group, and other, as well as having other special, rarely used bits defined in the module </w:t>
            </w:r>
            <w:r>
              <w:rPr>
                <w:rStyle w:val="Text0"/>
              </w:rPr>
              <w:t>stat</w:t>
            </w:r>
            <w:r>
              <w:t xml:space="preserve"> and listed in the </w:t>
            </w:r>
            <w:hyperlink r:id="rId359">
              <w:r>
                <w:rPr>
                  <w:rStyle w:val="Text1"/>
                </w:rPr>
                <w:t>online docs</w:t>
              </w:r>
            </w:hyperlink>
            <w:r>
              <w:t xml:space="preserve">. Pass </w:t>
            </w:r>
            <w:r>
              <w:rPr>
                <w:rStyle w:val="Text0"/>
              </w:rPr>
              <w:t>follow_symlinks=</w:t>
            </w:r>
            <w:r>
              <w:rPr>
                <w:rStyle w:val="Text5"/>
              </w:rPr>
              <w:t>False</w:t>
            </w:r>
            <w:r>
              <w:t xml:space="preserve"> (or use </w:t>
            </w:r>
            <w:r>
              <w:rPr>
                <w:rStyle w:val="Text0"/>
              </w:rPr>
              <w:t>lchmod</w:t>
            </w:r>
            <w:r>
              <w:t>) to change permissions of a symbolic link, not the target of that link.</w:t>
            </w:r>
          </w:p>
        </w:tc>
      </w:tr>
    </w:tbl>
    <w:tbl>
      <w:tblPr>
        <w:tblW w:type="auto" w:w="0"/>
      </w:tblPr>
      <w:tr>
        <w:tc>
          <w:tcPr>
            <w:tcW w:type="auto" w:w="0"/>
            <w:shd w:val="clear" w:color="auto" w:fill="EEF2F6"/>
            <w:tcMar>
              <w:left w:type="dxa" w:w="200"/>
              <w:top w:type="dxa" w:w="200"/>
              <w:right w:type="dxa" w:w="200"/>
              <w:bottom w:type="dxa" w:w="200"/>
            </w:tcMar>
          </w:tcPr>
          <w:p>
            <w:pPr>
              <w:pStyle w:val="Para 001"/>
            </w:pPr>
            <w:r>
              <w:t>DirEntry</w:t>
            </w:r>
          </w:p>
        </w:tc>
        <w:tc>
          <w:tcPr>
            <w:tcW w:type="auto" w:w="0"/>
            <w:shd w:val="clear" w:color="auto" w:fill="EEF2F6"/>
            <w:tcMar>
              <w:left w:type="dxa" w:w="200"/>
              <w:top w:type="dxa" w:w="200"/>
              <w:right w:type="dxa" w:w="200"/>
              <w:bottom w:type="dxa" w:w="200"/>
            </w:tcMar>
          </w:tcPr>
          <w:p>
            <w:pPr>
              <w:pStyle w:val="Para 002"/>
            </w:pPr>
            <w:r>
              <w:t xml:space="preserve">An instance </w:t>
            </w:r>
            <w:r>
              <w:rPr>
                <w:rStyle w:val="Text3"/>
              </w:rPr>
              <w:t>d</w:t>
            </w:r>
            <w:r>
              <w:t xml:space="preserve"> of class </w:t>
            </w:r>
            <w:r>
              <w:rPr>
                <w:rStyle w:val="Text0"/>
              </w:rPr>
              <w:t>DirEntry</w:t>
            </w:r>
            <w:r>
              <w:t xml:space="preserve"> supplies attributes </w:t>
            </w:r>
            <w:r>
              <w:rPr>
                <w:rStyle w:val="Text3"/>
              </w:rPr>
              <w:t>name</w:t>
            </w:r>
            <w:r>
              <w:t xml:space="preserve"> and </w:t>
            </w:r>
            <w:r>
              <w:rPr>
                <w:rStyle w:val="Text3"/>
              </w:rPr>
              <w:t>path</w:t>
            </w:r>
            <w:r>
              <w:t xml:space="preserve">, holding the item’s base name and full path, respectively, and several methods, of which the most frequently used are </w:t>
            </w:r>
            <w:r>
              <w:rPr>
                <w:rStyle w:val="Text0"/>
              </w:rPr>
              <w:t>is_dir</w:t>
            </w:r>
            <w:r>
              <w:t xml:space="preserve">, </w:t>
            </w:r>
            <w:r>
              <w:rPr>
                <w:rStyle w:val="Text0"/>
              </w:rPr>
              <w:t>is_file</w:t>
            </w:r>
            <w:r>
              <w:t xml:space="preserve">, and </w:t>
            </w:r>
            <w:r>
              <w:rPr>
                <w:rStyle w:val="Text0"/>
              </w:rPr>
              <w:t>is_symlink</w:t>
            </w:r>
            <w:r>
              <w:t xml:space="preserve">. </w:t>
            </w:r>
            <w:r>
              <w:rPr>
                <w:rStyle w:val="Text0"/>
              </w:rPr>
              <w:t>is_dir</w:t>
            </w:r>
            <w:r>
              <w:t xml:space="preserve"> and </w:t>
            </w:r>
            <w:r>
              <w:rPr>
                <w:rStyle w:val="Text0"/>
              </w:rPr>
              <w:t>is_file</w:t>
            </w:r>
            <w:r>
              <w:t xml:space="preserve"> by default follow symbolic links: pass </w:t>
            </w:r>
            <w:r>
              <w:rPr>
                <w:rStyle w:val="Text0"/>
              </w:rPr>
              <w:t>follow_symlinks=</w:t>
            </w:r>
            <w:r>
              <w:rPr>
                <w:rStyle w:val="Text5"/>
              </w:rPr>
              <w:t>False</w:t>
            </w:r>
            <w:r>
              <w:t xml:space="preserve"> to avoid this behavior. </w:t>
            </w:r>
            <w:r>
              <w:rPr>
                <w:rStyle w:val="Text3"/>
              </w:rPr>
              <w:t>d</w:t>
            </w:r>
            <w:r>
              <w:t xml:space="preserve"> avoids system calls as much as feasible, and when it needs one, it caches the results. If you need information that’s guaranteed to be up-to-date, you can call </w:t>
            </w:r>
            <w:r>
              <w:rPr>
                <w:rStyle w:val="Text0"/>
              </w:rPr>
              <w:t>os.stat(</w:t>
            </w:r>
            <w:r>
              <w:rPr>
                <w:rStyle w:val="Text3"/>
              </w:rPr>
              <w:t>d</w:t>
            </w:r>
            <w:r>
              <w:rPr>
                <w:rStyle w:val="Text0"/>
              </w:rPr>
              <w:t>.path)</w:t>
            </w:r>
            <w:r>
              <w:t xml:space="preserve"> and use the </w:t>
            </w:r>
            <w:r>
              <w:rPr>
                <w:rStyle w:val="Text0"/>
              </w:rPr>
              <w:t>stat_result</w:t>
            </w:r>
            <w:r>
              <w:t xml:space="preserve"> instance it returns; however, this sacrifices </w:t>
            </w:r>
            <w:r>
              <w:rPr>
                <w:rStyle w:val="Text0"/>
              </w:rPr>
              <w:t>scandir</w:t>
            </w:r>
            <w:r>
              <w:t xml:space="preserve">’s potential performance improvements. For more complete information, see the </w:t>
            </w:r>
            <w:hyperlink r:id="rId360">
              <w:r>
                <w:rPr>
                  <w:rStyle w:val="Text1"/>
                </w:rPr>
                <w:t>online docs</w:t>
              </w:r>
            </w:hyperlink>
            <w:r>
              <w:t>.</w:t>
            </w:r>
          </w:p>
        </w:tc>
      </w:tr>
    </w:tbl>
    <w:tbl>
      <w:tblPr>
        <w:tblW w:type="auto" w:w="0"/>
      </w:tblPr>
      <w:tr>
        <w:tc>
          <w:tcPr>
            <w:tcW w:type="auto" w:w="0"/>
            <w:tcMar>
              <w:left w:type="dxa" w:w="200"/>
              <w:top w:type="dxa" w:w="200"/>
              <w:right w:type="dxa" w:w="200"/>
              <w:bottom w:type="dxa" w:w="200"/>
            </w:tcMar>
          </w:tcPr>
          <w:p>
            <w:pPr>
              <w:pStyle w:val="Para 001"/>
            </w:pPr>
            <w:r>
              <w:t>getcwd</w:t>
            </w:r>
            <w:r>
              <w:rPr>
                <w:rStyle w:val="Text12"/>
              </w:rPr>
              <w:t>,</w:t>
              <w:br w:clear="none"/>
              <w:t xml:space="preserve"> </w:t>
            </w:r>
            <w:r>
              <w:t>getcwdb</w:t>
            </w:r>
          </w:p>
        </w:tc>
        <w:tc>
          <w:tcPr>
            <w:tcW w:type="auto" w:w="0"/>
            <w:tcMar>
              <w:left w:type="dxa" w:w="200"/>
              <w:top w:type="dxa" w:w="200"/>
              <w:right w:type="dxa" w:w="200"/>
              <w:bottom w:type="dxa" w:w="200"/>
            </w:tcMar>
          </w:tcPr>
          <w:p>
            <w:pPr>
              <w:pStyle w:val="Para 002"/>
            </w:pPr>
            <w:r>
              <w:rPr>
                <w:rStyle w:val="Text0"/>
              </w:rPr>
              <w:t>getcwd()</w:t>
            </w:r>
            <w:r>
              <w:t>,</w:t>
              <w:br w:clear="none"/>
              <w:t xml:space="preserve"> </w:t>
            </w:r>
            <w:r>
              <w:rPr>
                <w:rStyle w:val="Text0"/>
              </w:rPr>
              <w:t>getcwdb()</w:t>
              <w:br w:clear="none"/>
            </w:r>
            <w:r>
              <w:t xml:space="preserve"> </w:t>
            </w:r>
            <w:r>
              <w:rPr>
                <w:rStyle w:val="Text0"/>
              </w:rPr>
              <w:t>getcwd</w:t>
            </w:r>
            <w:r>
              <w:rPr>
                <w:rStyle w:val="Text111"/>
              </w:rPr>
              <w:bookmarkStart w:id="2668" w:name="idm45965204341200"/>
              <w:t/>
              <w:bookmarkEnd w:id="2668"/>
            </w:r>
            <w:r>
              <w:t xml:space="preserve"> returns a </w:t>
            </w:r>
            <w:r>
              <w:rPr>
                <w:rStyle w:val="Text0"/>
              </w:rPr>
              <w:t>str</w:t>
            </w:r>
            <w:r>
              <w:t xml:space="preserve">, the path of the current working directory. </w:t>
            </w:r>
            <w:r>
              <w:rPr>
                <w:rStyle w:val="Text0"/>
              </w:rPr>
              <w:t>getcwdb</w:t>
            </w:r>
            <w:r>
              <w:t xml:space="preserve"> returns a </w:t>
            </w:r>
            <w:r>
              <w:rPr>
                <w:rStyle w:val="Text0"/>
              </w:rPr>
              <w:t>bytes</w:t>
            </w:r>
            <w:r>
              <w:t xml:space="preserve"> string (</w:t>
            </w:r>
            <w:r>
              <w:rPr>
                <w:rStyle w:val="Text34"/>
              </w:rPr>
              <w:t>3.8+</w:t>
            </w:r>
            <w:r>
              <w:t xml:space="preserve"> with UTF-8 encoding on Windows).</w:t>
            </w:r>
          </w:p>
        </w:tc>
      </w:tr>
    </w:tbl>
    <w:tbl>
      <w:tblPr>
        <w:tblW w:type="auto" w:w="0"/>
      </w:tblPr>
      <w:tr>
        <w:tc>
          <w:tcPr>
            <w:tcW w:type="auto" w:w="0"/>
            <w:shd w:val="clear" w:color="auto" w:fill="EEF2F6"/>
            <w:tcMar>
              <w:left w:type="dxa" w:w="200"/>
              <w:top w:type="dxa" w:w="200"/>
              <w:right w:type="dxa" w:w="200"/>
              <w:bottom w:type="dxa" w:w="200"/>
            </w:tcMar>
          </w:tcPr>
          <w:p>
            <w:pPr>
              <w:pStyle w:val="Para 001"/>
            </w:pPr>
            <w:r>
              <w:t>link</w:t>
            </w:r>
          </w:p>
        </w:tc>
        <w:tc>
          <w:tcPr>
            <w:tcW w:type="auto" w:w="0"/>
            <w:shd w:val="clear" w:color="auto" w:fill="EEF2F6"/>
            <w:tcMar>
              <w:left w:type="dxa" w:w="200"/>
              <w:top w:type="dxa" w:w="200"/>
              <w:right w:type="dxa" w:w="200"/>
              <w:bottom w:type="dxa" w:w="200"/>
            </w:tcMar>
          </w:tcPr>
          <w:p>
            <w:pPr>
              <w:pStyle w:val="Para 002"/>
            </w:pPr>
            <w:r>
              <w:rPr>
                <w:rStyle w:val="Text0"/>
              </w:rPr>
              <w:t>link(</w:t>
            </w:r>
            <w:r>
              <w:rPr>
                <w:rStyle w:val="Text3"/>
              </w:rPr>
              <w:t>src</w:t>
            </w:r>
            <w:r>
              <w:rPr>
                <w:rStyle w:val="Text0"/>
              </w:rPr>
              <w:t>,</w:t>
            </w:r>
            <w:r>
              <w:t xml:space="preserve"> </w:t>
            </w:r>
            <w:r>
              <w:rPr>
                <w:rStyle w:val="Text3"/>
              </w:rPr>
              <w:t>dst</w:t>
            </w:r>
            <w:r>
              <w:rPr>
                <w:rStyle w:val="Text0"/>
              </w:rPr>
              <w:t>,</w:t>
            </w:r>
            <w:r>
              <w:t xml:space="preserve"> </w:t>
            </w:r>
            <w:r>
              <w:rPr>
                <w:rStyle w:val="Text3"/>
              </w:rPr>
              <w:t>*</w:t>
            </w:r>
            <w:r>
              <w:rPr>
                <w:rStyle w:val="Text0"/>
              </w:rPr>
              <w:t>, src_dir_fd=</w:t>
            </w:r>
            <w:r>
              <w:rPr>
                <w:rStyle w:val="Text5"/>
              </w:rPr>
              <w:t>None</w:t>
            </w:r>
            <w:r>
              <w:rPr>
                <w:rStyle w:val="Text0"/>
              </w:rPr>
              <w:t>, dst_dir_fd=</w:t>
            </w:r>
            <w:r>
              <w:rPr>
                <w:rStyle w:val="Text5"/>
              </w:rPr>
              <w:t>None</w:t>
            </w:r>
            <w:r>
              <w:rPr>
                <w:rStyle w:val="Text0"/>
              </w:rPr>
              <w:t>,</w:t>
              <w:br w:clear="none"/>
              <w:t xml:space="preserve"> follow_symlinks=</w:t>
            </w:r>
            <w:r>
              <w:rPr>
                <w:rStyle w:val="Text5"/>
              </w:rPr>
              <w:t>True</w:t>
            </w:r>
            <w:r>
              <w:rPr>
                <w:rStyle w:val="Text0"/>
              </w:rPr>
              <w:t>)</w:t>
              <w:br w:clear="none"/>
            </w:r>
            <w:r>
              <w:t xml:space="preserve"> Creates</w:t>
            </w:r>
            <w:r>
              <w:rPr>
                <w:rStyle w:val="Text111"/>
              </w:rPr>
              <w:bookmarkStart w:id="2669" w:name="idm45965204329520"/>
              <w:t/>
              <w:bookmarkEnd w:id="2669"/>
            </w:r>
            <w:r>
              <w:t xml:space="preserve"> a </w:t>
            </w:r>
            <w:r>
              <w:rPr>
                <w:rStyle w:val="Text4"/>
              </w:rPr>
              <w:t>hard</w:t>
            </w:r>
            <w:r>
              <w:t xml:space="preserve"> link named </w:t>
            </w:r>
            <w:r>
              <w:rPr>
                <w:rStyle w:val="Text3"/>
              </w:rPr>
              <w:t>dst</w:t>
            </w:r>
            <w:r>
              <w:t xml:space="preserve">, pointing to </w:t>
            </w:r>
            <w:r>
              <w:rPr>
                <w:rStyle w:val="Text3"/>
              </w:rPr>
              <w:t>src</w:t>
            </w:r>
            <w:r>
              <w:t xml:space="preserve">. Both may be path-like objects. Set </w:t>
            </w:r>
            <w:r>
              <w:rPr>
                <w:rStyle w:val="Text0"/>
              </w:rPr>
              <w:t>src_dir_fd</w:t>
            </w:r>
            <w:r>
              <w:t xml:space="preserve"> and/or </w:t>
            </w:r>
            <w:r>
              <w:rPr>
                <w:rStyle w:val="Text0"/>
              </w:rPr>
              <w:t>dst_dir_fd</w:t>
            </w:r>
            <w:r>
              <w:t xml:space="preserve"> for </w:t>
            </w:r>
            <w:r>
              <w:rPr>
                <w:rStyle w:val="Text0"/>
              </w:rPr>
              <w:t>link</w:t>
            </w:r>
            <w:r>
              <w:t xml:space="preserve"> to operate on relative paths, and pass </w:t>
            </w:r>
            <w:r>
              <w:rPr>
                <w:rStyle w:val="Text0"/>
              </w:rPr>
              <w:t>follow_symlinks=</w:t>
            </w:r>
            <w:r>
              <w:rPr>
                <w:rStyle w:val="Text5"/>
              </w:rPr>
              <w:t>False</w:t>
            </w:r>
            <w:r>
              <w:t xml:space="preserve"> to only operate on a symbolic link, not the target of that link. To create a symbolic (“soft”) link, use the </w:t>
            </w:r>
            <w:r>
              <w:rPr>
                <w:rStyle w:val="Text0"/>
              </w:rPr>
              <w:t>symlink</w:t>
            </w:r>
            <w:r>
              <w:t xml:space="preserve"> function, covered later in this table.</w:t>
            </w:r>
          </w:p>
        </w:tc>
      </w:tr>
    </w:tbl>
    <w:tbl>
      <w:tblPr>
        <w:tblW w:type="auto" w:w="0"/>
      </w:tblPr>
      <w:tr>
        <w:tc>
          <w:tcPr>
            <w:tcW w:type="auto" w:w="0"/>
            <w:tcMar>
              <w:left w:type="dxa" w:w="200"/>
              <w:top w:type="dxa" w:w="200"/>
              <w:right w:type="dxa" w:w="200"/>
              <w:bottom w:type="dxa" w:w="200"/>
            </w:tcMar>
          </w:tcPr>
          <w:p>
            <w:pPr>
              <w:pStyle w:val="Para 001"/>
            </w:pPr>
            <w:r>
              <w:t>listdir</w:t>
            </w:r>
          </w:p>
        </w:tc>
        <w:tc>
          <w:tcPr>
            <w:tcW w:type="auto" w:w="0"/>
            <w:tcMar>
              <w:left w:type="dxa" w:w="200"/>
              <w:top w:type="dxa" w:w="200"/>
              <w:right w:type="dxa" w:w="200"/>
              <w:bottom w:type="dxa" w:w="200"/>
            </w:tcMar>
          </w:tcPr>
          <w:p>
            <w:pPr>
              <w:pStyle w:val="Para 002"/>
            </w:pPr>
            <w:r>
              <w:rPr>
                <w:rStyle w:val="Text0"/>
              </w:rPr>
              <w:t>listdir(path='.')</w:t>
              <w:br w:clear="none"/>
            </w:r>
            <w:r>
              <w:t xml:space="preserve"> Returns</w:t>
            </w:r>
            <w:r>
              <w:rPr>
                <w:rStyle w:val="Text111"/>
              </w:rPr>
              <w:bookmarkStart w:id="2670" w:name="idm45965204319280"/>
              <w:t/>
              <w:bookmarkEnd w:id="2670"/>
            </w:r>
            <w:r>
              <w:t xml:space="preserve"> a list whose items are the names of all files and subdirectories in the directory, file descriptor (referring to a directory), or path-like object </w:t>
            </w:r>
            <w:r>
              <w:rPr>
                <w:rStyle w:val="Text0"/>
              </w:rPr>
              <w:t>path</w:t>
            </w:r>
            <w:r>
              <w:t xml:space="preserve">. The list is in arbitrary order and does </w:t>
            </w:r>
            <w:r>
              <w:rPr>
                <w:rStyle w:val="Text4"/>
              </w:rPr>
              <w:t>not</w:t>
            </w:r>
            <w:r>
              <w:t xml:space="preserve"> include the special directory names </w:t>
            </w:r>
            <w:r>
              <w:rPr>
                <w:rStyle w:val="Text0"/>
              </w:rPr>
              <w:t>'.'</w:t>
            </w:r>
            <w:r>
              <w:t xml:space="preserve"> (current directory) and </w:t>
            </w:r>
            <w:r>
              <w:rPr>
                <w:rStyle w:val="Text0"/>
              </w:rPr>
              <w:t>'..'</w:t>
            </w:r>
            <w:r>
              <w:t xml:space="preserve"> (parent directory). When </w:t>
            </w:r>
            <w:r>
              <w:rPr>
                <w:rStyle w:val="Text0"/>
              </w:rPr>
              <w:t>path</w:t>
            </w:r>
            <w:r>
              <w:t xml:space="preserve"> is of type </w:t>
            </w:r>
            <w:r>
              <w:rPr>
                <w:rStyle w:val="Text0"/>
              </w:rPr>
              <w:t>bytes</w:t>
            </w:r>
            <w:r>
              <w:t xml:space="preserve">, the filenames returned are also of type </w:t>
            </w:r>
            <w:r>
              <w:rPr>
                <w:rStyle w:val="Text0"/>
              </w:rPr>
              <w:t>bytes</w:t>
            </w:r>
            <w:r>
              <w:t xml:space="preserve">; otherwise, they are of type </w:t>
            </w:r>
            <w:r>
              <w:rPr>
                <w:rStyle w:val="Text0"/>
              </w:rPr>
              <w:t>str</w:t>
            </w:r>
            <w:r>
              <w:t xml:space="preserve">. See also the alternative function </w:t>
            </w:r>
            <w:r>
              <w:rPr>
                <w:rStyle w:val="Text0"/>
              </w:rPr>
              <w:t>scandir</w:t>
            </w:r>
            <w:r>
              <w:t>, covered later in this table, which can offer performance improvements in some cases. Don’t remove or add files to the directory during the call of this function: that may produce unexpected results.</w:t>
            </w:r>
          </w:p>
        </w:tc>
      </w:tr>
    </w:tbl>
    <w:tbl>
      <w:tblPr>
        <w:tblW w:type="auto" w:w="0"/>
      </w:tblPr>
      <w:tr>
        <w:tc>
          <w:tcPr>
            <w:tcW w:type="auto" w:w="0"/>
            <w:shd w:val="clear" w:color="auto" w:fill="EEF2F6"/>
            <w:tcMar>
              <w:left w:type="dxa" w:w="200"/>
              <w:top w:type="dxa" w:w="200"/>
              <w:right w:type="dxa" w:w="200"/>
              <w:bottom w:type="dxa" w:w="200"/>
            </w:tcMar>
          </w:tcPr>
          <w:p>
            <w:pPr>
              <w:pStyle w:val="Para 001"/>
            </w:pPr>
            <w:r>
              <w:t>mkdir</w:t>
            </w:r>
            <w:r>
              <w:rPr>
                <w:rStyle w:val="Text12"/>
              </w:rPr>
              <w:t>,</w:t>
              <w:br w:clear="none"/>
              <w:t xml:space="preserve"> </w:t>
            </w:r>
            <w:r>
              <w:t>makedirs</w:t>
            </w:r>
          </w:p>
        </w:tc>
        <w:tc>
          <w:tcPr>
            <w:tcW w:type="auto" w:w="0"/>
            <w:shd w:val="clear" w:color="auto" w:fill="EEF2F6"/>
            <w:tcMar>
              <w:left w:type="dxa" w:w="200"/>
              <w:top w:type="dxa" w:w="200"/>
              <w:right w:type="dxa" w:w="200"/>
              <w:bottom w:type="dxa" w:w="200"/>
            </w:tcMar>
          </w:tcPr>
          <w:p>
            <w:pPr>
              <w:pStyle w:val="Para 002"/>
            </w:pPr>
            <w:r>
              <w:rPr>
                <w:rStyle w:val="Text0"/>
              </w:rPr>
              <w:t>mkdir(</w:t>
            </w:r>
            <w:r>
              <w:rPr>
                <w:rStyle w:val="Text3"/>
              </w:rPr>
              <w:t>path</w:t>
            </w:r>
            <w:r>
              <w:rPr>
                <w:rStyle w:val="Text0"/>
              </w:rPr>
              <w:t>, mode=0777, dir_fd=</w:t>
            </w:r>
            <w:r>
              <w:rPr>
                <w:rStyle w:val="Text5"/>
              </w:rPr>
              <w:t>None</w:t>
            </w:r>
            <w:r>
              <w:rPr>
                <w:rStyle w:val="Text0"/>
              </w:rPr>
              <w:t>)</w:t>
            </w:r>
            <w:r>
              <w:t xml:space="preserve">, </w:t>
            </w:r>
            <w:r>
              <w:rPr>
                <w:rStyle w:val="Text0"/>
              </w:rPr>
              <w:t xml:space="preserve"> </w:t>
              <w:br w:clear="none"/>
            </w:r>
            <w:r>
              <w:t xml:space="preserve"> </w:t>
            </w:r>
            <w:r>
              <w:rPr>
                <w:rStyle w:val="Text0"/>
              </w:rPr>
              <w:t>makedirs(</w:t>
            </w:r>
            <w:r>
              <w:rPr>
                <w:rStyle w:val="Text3"/>
              </w:rPr>
              <w:t>path</w:t>
            </w:r>
            <w:r>
              <w:rPr>
                <w:rStyle w:val="Text0"/>
              </w:rPr>
              <w:t>, mode=0777, exist_ok=</w:t>
            </w:r>
            <w:r>
              <w:rPr>
                <w:rStyle w:val="Text5"/>
              </w:rPr>
              <w:t>False</w:t>
            </w:r>
            <w:r>
              <w:rPr>
                <w:rStyle w:val="Text0"/>
              </w:rPr>
              <w:t>)</w:t>
              <w:br w:clear="none"/>
            </w:r>
            <w:r>
              <w:t xml:space="preserve"> </w:t>
            </w:r>
            <w:r>
              <w:rPr>
                <w:rStyle w:val="Text0"/>
              </w:rPr>
              <w:t>mkdir</w:t>
            </w:r>
            <w:r>
              <w:rPr>
                <w:rStyle w:val="Text111"/>
              </w:rPr>
              <w:bookmarkStart w:id="2671" w:name="idm45965204304208"/>
              <w:t/>
              <w:bookmarkEnd w:id="2671"/>
            </w:r>
            <w:r>
              <w:t xml:space="preserve"> creates only the rightmost directory of </w:t>
            </w:r>
            <w:r>
              <w:rPr>
                <w:rStyle w:val="Text3"/>
              </w:rPr>
              <w:t>path</w:t>
            </w:r>
            <w:r>
              <w:t xml:space="preserve"> and raises </w:t>
            </w:r>
            <w:r>
              <w:rPr>
                <w:rStyle w:val="Text0"/>
              </w:rPr>
              <w:t>OSError</w:t>
            </w:r>
            <w:r>
              <w:t xml:space="preserve"> if any of the previous directories in </w:t>
            </w:r>
            <w:r>
              <w:rPr>
                <w:rStyle w:val="Text3"/>
              </w:rPr>
              <w:t>path</w:t>
            </w:r>
            <w:r>
              <w:t xml:space="preserve"> do not exist. </w:t>
            </w:r>
            <w:r>
              <w:rPr>
                <w:rStyle w:val="Text0"/>
              </w:rPr>
              <w:t>mkdir</w:t>
            </w:r>
            <w:r>
              <w:t xml:space="preserve"> accepts </w:t>
            </w:r>
            <w:r>
              <w:rPr>
                <w:rStyle w:val="Text0"/>
              </w:rPr>
              <w:t>dir_fd</w:t>
            </w:r>
            <w:r>
              <w:t xml:space="preserve"> for paths relative to a file descriptor. </w:t>
            </w:r>
            <w:r>
              <w:rPr>
                <w:rStyle w:val="Text0"/>
              </w:rPr>
              <w:t>makedirs</w:t>
            </w:r>
            <w:r>
              <w:t xml:space="preserve"> creates all directories that are part of </w:t>
            </w:r>
            <w:r>
              <w:rPr>
                <w:rStyle w:val="Text3"/>
              </w:rPr>
              <w:t>path</w:t>
            </w:r>
            <w:r>
              <w:t xml:space="preserve"> and do not yet exist (pass </w:t>
            </w:r>
            <w:r>
              <w:rPr>
                <w:rStyle w:val="Text0"/>
              </w:rPr>
              <w:t>exist_ok=</w:t>
            </w:r>
            <w:r>
              <w:rPr>
                <w:rStyle w:val="Text5"/>
              </w:rPr>
              <w:t>True</w:t>
            </w:r>
            <w:r>
              <w:t xml:space="preserve"> to avoid raising </w:t>
            </w:r>
            <w:r>
              <w:rPr>
                <w:rStyle w:val="Text0"/>
              </w:rPr>
              <w:t>FileExistsError</w:t>
            </w:r>
            <w:r>
              <w:t>).</w:t>
              <w:br w:clear="none"/>
              <w:t xml:space="preserve"> Both functions use </w:t>
            </w:r>
            <w:r>
              <w:rPr>
                <w:rStyle w:val="Text0"/>
              </w:rPr>
              <w:t>mode</w:t>
            </w:r>
            <w:r>
              <w:t xml:space="preserve"> as permission bits of directories they create, but some platforms, and some newly created intermediate-level directories, may ignore </w:t>
            </w:r>
            <w:r>
              <w:rPr>
                <w:rStyle w:val="Text0"/>
              </w:rPr>
              <w:t>mode</w:t>
            </w:r>
            <w:r>
              <w:t xml:space="preserve">; use </w:t>
            </w:r>
            <w:r>
              <w:rPr>
                <w:rStyle w:val="Text0"/>
              </w:rPr>
              <w:t>chmod</w:t>
            </w:r>
            <w:r>
              <w:t xml:space="preserve"> to explicitly set permissions.</w:t>
            </w:r>
          </w:p>
        </w:tc>
      </w:tr>
    </w:tbl>
    <w:tbl>
      <w:tblPr>
        <w:tblW w:type="auto" w:w="0"/>
      </w:tblPr>
      <w:tr>
        <w:tc>
          <w:tcPr>
            <w:tcW w:type="auto" w:w="0"/>
            <w:tcMar>
              <w:left w:type="dxa" w:w="200"/>
              <w:top w:type="dxa" w:w="200"/>
              <w:right w:type="dxa" w:w="200"/>
              <w:bottom w:type="dxa" w:w="200"/>
            </w:tcMar>
          </w:tcPr>
          <w:p>
            <w:pPr>
              <w:pStyle w:val="Para 001"/>
            </w:pPr>
            <w:r>
              <w:t>remove</w:t>
            </w:r>
            <w:r>
              <w:rPr>
                <w:rStyle w:val="Text12"/>
              </w:rPr>
              <w:t>,</w:t>
              <w:br w:clear="none"/>
              <w:t xml:space="preserve"> </w:t>
            </w:r>
            <w:r>
              <w:t>unlink</w:t>
            </w:r>
          </w:p>
        </w:tc>
        <w:tc>
          <w:tcPr>
            <w:tcW w:type="auto" w:w="0"/>
            <w:tcMar>
              <w:left w:type="dxa" w:w="200"/>
              <w:top w:type="dxa" w:w="200"/>
              <w:right w:type="dxa" w:w="200"/>
              <w:bottom w:type="dxa" w:w="200"/>
            </w:tcMar>
          </w:tcPr>
          <w:p>
            <w:pPr>
              <w:pStyle w:val="Para 002"/>
            </w:pPr>
            <w:r>
              <w:rPr>
                <w:rStyle w:val="Text0"/>
              </w:rPr>
              <w:t>remove(</w:t>
            </w:r>
            <w:r>
              <w:rPr>
                <w:rStyle w:val="Text3"/>
              </w:rPr>
              <w:t>path</w:t>
            </w:r>
            <w:r>
              <w:rPr>
                <w:rStyle w:val="Text0"/>
              </w:rPr>
              <w:t>,</w:t>
            </w:r>
            <w:r>
              <w:t xml:space="preserve"> </w:t>
            </w:r>
            <w:r>
              <w:rPr>
                <w:rStyle w:val="Text3"/>
              </w:rPr>
              <w:t>*</w:t>
            </w:r>
            <w:r>
              <w:rPr>
                <w:rStyle w:val="Text0"/>
              </w:rPr>
              <w:t>, dir_fd</w:t>
            </w:r>
            <w:r>
              <w:rPr>
                <w:rStyle w:val="Text3"/>
              </w:rPr>
              <w:t>=</w:t>
            </w:r>
            <w:r>
              <w:rPr>
                <w:rStyle w:val="Text5"/>
              </w:rPr>
              <w:t>None</w:t>
            </w:r>
            <w:r>
              <w:rPr>
                <w:rStyle w:val="Text0"/>
              </w:rPr>
              <w:t>)</w:t>
            </w:r>
            <w:r>
              <w:t>,</w:t>
              <w:br w:clear="none"/>
              <w:t xml:space="preserve"> </w:t>
            </w:r>
            <w:r>
              <w:rPr>
                <w:rStyle w:val="Text0"/>
              </w:rPr>
              <w:t>unlink(</w:t>
            </w:r>
            <w:r>
              <w:rPr>
                <w:rStyle w:val="Text3"/>
              </w:rPr>
              <w:t>path</w:t>
            </w:r>
            <w:r>
              <w:rPr>
                <w:rStyle w:val="Text0"/>
              </w:rPr>
              <w:t>,</w:t>
            </w:r>
            <w:r>
              <w:t xml:space="preserve"> </w:t>
            </w:r>
            <w:r>
              <w:rPr>
                <w:rStyle w:val="Text3"/>
              </w:rPr>
              <w:t>*</w:t>
            </w:r>
            <w:r>
              <w:rPr>
                <w:rStyle w:val="Text0"/>
              </w:rPr>
              <w:t>, dir_fd=</w:t>
            </w:r>
            <w:r>
              <w:rPr>
                <w:rStyle w:val="Text5"/>
              </w:rPr>
              <w:t>None</w:t>
            </w:r>
            <w:r>
              <w:rPr>
                <w:rStyle w:val="Text0"/>
              </w:rPr>
              <w:t>)</w:t>
              <w:br w:clear="none"/>
            </w:r>
            <w:r>
              <w:t xml:space="preserve"> Removes</w:t>
            </w:r>
            <w:r>
              <w:rPr>
                <w:rStyle w:val="Text111"/>
              </w:rPr>
              <w:bookmarkStart w:id="2672" w:name="idm45965204282944"/>
              <w:t/>
              <w:bookmarkEnd w:id="2672"/>
              <w:bookmarkStart w:id="2673" w:name="idm45965204281840"/>
              <w:t/>
              <w:bookmarkEnd w:id="2673"/>
            </w:r>
            <w:r>
              <w:t xml:space="preserve"> the file or path-like object </w:t>
            </w:r>
            <w:r>
              <w:rPr>
                <w:rStyle w:val="Text3"/>
              </w:rPr>
              <w:t>path</w:t>
            </w:r>
            <w:r>
              <w:t xml:space="preserve"> , which may be relative to </w:t>
            </w:r>
            <w:r>
              <w:rPr>
                <w:rStyle w:val="Text0"/>
              </w:rPr>
              <w:t>dir_fd</w:t>
            </w:r>
            <w:r>
              <w:t xml:space="preserve">. See </w:t>
            </w:r>
            <w:r>
              <w:rPr>
                <w:rStyle w:val="Text0"/>
              </w:rPr>
              <w:t>rmdir</w:t>
            </w:r>
            <w:r>
              <w:t xml:space="preserve"> later in this table to remove a directory, rather than a file. </w:t>
            </w:r>
            <w:r>
              <w:rPr>
                <w:rStyle w:val="Text0"/>
              </w:rPr>
              <w:t>unlink</w:t>
            </w:r>
            <w:r>
              <w:t xml:space="preserve"> is a synonym of </w:t>
            </w:r>
            <w:r>
              <w:rPr>
                <w:rStyle w:val="Text0"/>
              </w:rPr>
              <w:t>remove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removedirs</w:t>
            </w:r>
          </w:p>
        </w:tc>
        <w:tc>
          <w:tcPr>
            <w:tcW w:type="auto" w:w="0"/>
            <w:shd w:val="clear" w:color="auto" w:fill="EEF2F6"/>
            <w:tcMar>
              <w:left w:type="dxa" w:w="200"/>
              <w:top w:type="dxa" w:w="200"/>
              <w:right w:type="dxa" w:w="200"/>
              <w:bottom w:type="dxa" w:w="200"/>
            </w:tcMar>
          </w:tcPr>
          <w:p>
            <w:pPr>
              <w:pStyle w:val="Para 002"/>
            </w:pPr>
            <w:r>
              <w:rPr>
                <w:rStyle w:val="Text0"/>
              </w:rPr>
              <w:t>removedirs(</w:t>
            </w:r>
            <w:r>
              <w:rPr>
                <w:rStyle w:val="Text3"/>
              </w:rPr>
              <w:t>path</w:t>
            </w:r>
            <w:r>
              <w:rPr>
                <w:rStyle w:val="Text0"/>
              </w:rPr>
              <w:t>)</w:t>
              <w:br w:clear="none"/>
            </w:r>
            <w:r>
              <w:t xml:space="preserve"> Loops from right to left over the directories that are part of </w:t>
            </w:r>
            <w:r>
              <w:rPr>
                <w:rStyle w:val="Text3"/>
              </w:rPr>
              <w:t>path</w:t>
            </w:r>
            <w:r>
              <w:t xml:space="preserve">, which may be a path-like object, removing each one. The loop ends when a removal attempt raises an exception, generally because a directory is not empty. </w:t>
            </w:r>
            <w:r>
              <w:rPr>
                <w:rStyle w:val="Text0"/>
              </w:rPr>
              <w:t>removedirs</w:t>
            </w:r>
            <w:r>
              <w:t xml:space="preserve"> does not propagate the exception, as long as it has removed at least one directory.</w:t>
            </w:r>
          </w:p>
        </w:tc>
      </w:tr>
    </w:tbl>
    <w:tbl>
      <w:tblPr>
        <w:tblW w:type="auto" w:w="0"/>
      </w:tblPr>
      <w:tr>
        <w:tc>
          <w:tcPr>
            <w:tcW w:type="auto" w:w="0"/>
            <w:tcMar>
              <w:left w:type="dxa" w:w="200"/>
              <w:top w:type="dxa" w:w="200"/>
              <w:right w:type="dxa" w:w="200"/>
              <w:bottom w:type="dxa" w:w="200"/>
            </w:tcMar>
          </w:tcPr>
          <w:p>
            <w:pPr>
              <w:pStyle w:val="Para 001"/>
            </w:pPr>
            <w:r>
              <w:t>rename</w:t>
            </w:r>
            <w:r>
              <w:rPr>
                <w:rStyle w:val="Text12"/>
              </w:rPr>
              <w:t>,</w:t>
              <w:br w:clear="none"/>
              <w:t xml:space="preserve"> </w:t>
            </w:r>
            <w:r>
              <w:t>renames</w:t>
            </w:r>
          </w:p>
        </w:tc>
        <w:tc>
          <w:tcPr>
            <w:tcW w:type="auto" w:w="0"/>
            <w:tcMar>
              <w:left w:type="dxa" w:w="200"/>
              <w:top w:type="dxa" w:w="200"/>
              <w:right w:type="dxa" w:w="200"/>
              <w:bottom w:type="dxa" w:w="200"/>
            </w:tcMar>
          </w:tcPr>
          <w:p>
            <w:pPr>
              <w:pStyle w:val="Para 002"/>
            </w:pPr>
            <w:r>
              <w:rPr>
                <w:rStyle w:val="Text0"/>
              </w:rPr>
              <w:t>rename(src, dst,</w:t>
            </w:r>
            <w:r>
              <w:t xml:space="preserve"> </w:t>
            </w:r>
            <w:r>
              <w:rPr>
                <w:rStyle w:val="Text3"/>
              </w:rPr>
              <w:t>*</w:t>
            </w:r>
            <w:r>
              <w:rPr>
                <w:rStyle w:val="Text0"/>
              </w:rPr>
              <w:t>, src_dir_fd=</w:t>
            </w:r>
            <w:r>
              <w:rPr>
                <w:rStyle w:val="Text5"/>
              </w:rPr>
              <w:t>None</w:t>
            </w:r>
            <w:r>
              <w:rPr>
                <w:rStyle w:val="Text0"/>
              </w:rPr>
              <w:t>, dst_dir_fd=</w:t>
            </w:r>
            <w:r>
              <w:rPr>
                <w:rStyle w:val="Text5"/>
              </w:rPr>
              <w:t>None</w:t>
            </w:r>
            <w:r>
              <w:rPr>
                <w:rStyle w:val="Text0"/>
              </w:rPr>
              <w:t>)</w:t>
            </w:r>
            <w:r>
              <w:t>,</w:t>
              <w:br w:clear="none"/>
              <w:t xml:space="preserve"> </w:t>
            </w:r>
            <w:r>
              <w:rPr>
                <w:rStyle w:val="Text0"/>
              </w:rPr>
              <w:t>renames(</w:t>
            </w:r>
            <w:r>
              <w:rPr>
                <w:rStyle w:val="Text3"/>
              </w:rPr>
              <w:t>src</w:t>
            </w:r>
            <w:r>
              <w:rPr>
                <w:rStyle w:val="Text0"/>
              </w:rPr>
              <w:t>,</w:t>
            </w:r>
            <w:r>
              <w:t xml:space="preserve"> </w:t>
            </w:r>
            <w:r>
              <w:rPr>
                <w:rStyle w:val="Text3"/>
              </w:rPr>
              <w:t>dst, /</w:t>
            </w:r>
            <w:r>
              <w:rPr>
                <w:rStyle w:val="Text0"/>
              </w:rPr>
              <w:t>)</w:t>
              <w:br w:clear="none"/>
            </w:r>
            <w:r>
              <w:t xml:space="preserve"> Renames</w:t>
            </w:r>
            <w:r>
              <w:rPr>
                <w:rStyle w:val="Text111"/>
              </w:rPr>
              <w:bookmarkStart w:id="2674" w:name="idm45965204263312"/>
              <w:t/>
              <w:bookmarkEnd w:id="2674"/>
            </w:r>
            <w:r>
              <w:t xml:space="preserve"> (“moves”) the file, path-like object, or directory named </w:t>
            </w:r>
            <w:r>
              <w:rPr>
                <w:rStyle w:val="Text0"/>
              </w:rPr>
              <w:t>src</w:t>
            </w:r>
            <w:r>
              <w:t xml:space="preserve"> to </w:t>
            </w:r>
            <w:r>
              <w:rPr>
                <w:rStyle w:val="Text0"/>
              </w:rPr>
              <w:t>dst</w:t>
            </w:r>
            <w:r>
              <w:t xml:space="preserve">. If </w:t>
            </w:r>
            <w:r>
              <w:rPr>
                <w:rStyle w:val="Text0"/>
              </w:rPr>
              <w:t>dst</w:t>
            </w:r>
            <w:r>
              <w:t xml:space="preserve"> already exists, </w:t>
            </w:r>
            <w:r>
              <w:rPr>
                <w:rStyle w:val="Text0"/>
              </w:rPr>
              <w:t>rename</w:t>
            </w:r>
            <w:r>
              <w:t xml:space="preserve"> may either replace </w:t>
            </w:r>
            <w:r>
              <w:rPr>
                <w:rStyle w:val="Text0"/>
              </w:rPr>
              <w:t>dst</w:t>
            </w:r>
            <w:r>
              <w:t xml:space="preserve"> or raise an exception; to guarantee replacement, instead call the function </w:t>
            </w:r>
            <w:r>
              <w:rPr>
                <w:rStyle w:val="Text0"/>
              </w:rPr>
              <w:t>os.replace</w:t>
            </w:r>
            <w:r>
              <w:t xml:space="preserve">. To use relative paths, pass </w:t>
            </w:r>
            <w:r>
              <w:rPr>
                <w:rStyle w:val="Text0"/>
              </w:rPr>
              <w:t>src_dir_fd</w:t>
            </w:r>
            <w:r>
              <w:t xml:space="preserve"> and/or </w:t>
            </w:r>
            <w:r>
              <w:rPr>
                <w:rStyle w:val="Text0"/>
              </w:rPr>
              <w:t>dst_dir_fd</w:t>
            </w:r>
            <w:r>
              <w:t>.</w:t>
              <w:br w:clear="none"/>
              <w:t xml:space="preserve"> </w:t>
            </w:r>
            <w:r>
              <w:rPr>
                <w:rStyle w:val="Text0"/>
              </w:rPr>
              <w:t>renames</w:t>
            </w:r>
            <w:r>
              <w:t xml:space="preserve"> works like </w:t>
            </w:r>
            <w:r>
              <w:rPr>
                <w:rStyle w:val="Text0"/>
              </w:rPr>
              <w:t>rename</w:t>
            </w:r>
            <w:r>
              <w:t xml:space="preserve">, except it creates all intermediate directories needed for </w:t>
            </w:r>
            <w:r>
              <w:rPr>
                <w:rStyle w:val="Text3"/>
              </w:rPr>
              <w:t>dst</w:t>
            </w:r>
            <w:r>
              <w:t xml:space="preserve">. After renaming, </w:t>
            </w:r>
            <w:r>
              <w:rPr>
                <w:rStyle w:val="Text0"/>
              </w:rPr>
              <w:t>renames</w:t>
            </w:r>
            <w:r>
              <w:t xml:space="preserve"> removes empty directories from the path </w:t>
            </w:r>
            <w:r>
              <w:rPr>
                <w:rStyle w:val="Text3"/>
              </w:rPr>
              <w:t>src</w:t>
            </w:r>
            <w:r>
              <w:t xml:space="preserve"> using </w:t>
            </w:r>
            <w:r>
              <w:rPr>
                <w:rStyle w:val="Text0"/>
              </w:rPr>
              <w:t>removedirs</w:t>
            </w:r>
            <w:r>
              <w:t xml:space="preserve">. It does not propagate any resulting exception; it’s not an error if the renaming does not empty the starting directory of </w:t>
            </w:r>
            <w:r>
              <w:rPr>
                <w:rStyle w:val="Text3"/>
              </w:rPr>
              <w:t>src</w:t>
            </w:r>
            <w:r>
              <w:t xml:space="preserve">. </w:t>
            </w:r>
            <w:r>
              <w:rPr>
                <w:rStyle w:val="Text0"/>
              </w:rPr>
              <w:t>renames</w:t>
            </w:r>
            <w:r>
              <w:t xml:space="preserve"> cannot accept relative path arguments.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rmdir</w:t>
            </w:r>
          </w:p>
        </w:tc>
        <w:tc>
          <w:tcPr>
            <w:tcW w:type="auto" w:w="0"/>
            <w:shd w:val="clear" w:color="auto" w:fill="EEF2F6"/>
            <w:tcMar>
              <w:left w:type="dxa" w:w="200"/>
              <w:top w:type="dxa" w:w="200"/>
              <w:right w:type="dxa" w:w="200"/>
              <w:bottom w:type="dxa" w:w="200"/>
            </w:tcMar>
          </w:tcPr>
          <w:p>
            <w:pPr>
              <w:pStyle w:val="Para 002"/>
            </w:pPr>
            <w:r>
              <w:rPr>
                <w:rStyle w:val="Text0"/>
              </w:rPr>
              <w:t>rmdir(</w:t>
            </w:r>
            <w:r>
              <w:rPr>
                <w:rStyle w:val="Text3"/>
              </w:rPr>
              <w:t>path</w:t>
            </w:r>
            <w:r>
              <w:rPr>
                <w:rStyle w:val="Text0"/>
              </w:rPr>
              <w:t>,</w:t>
            </w:r>
            <w:r>
              <w:t xml:space="preserve"> </w:t>
            </w:r>
            <w:r>
              <w:rPr>
                <w:rStyle w:val="Text3"/>
              </w:rPr>
              <w:t>*</w:t>
            </w:r>
            <w:r>
              <w:rPr>
                <w:rStyle w:val="Text0"/>
              </w:rPr>
              <w:t>, dir_fd=</w:t>
            </w:r>
            <w:r>
              <w:rPr>
                <w:rStyle w:val="Text5"/>
              </w:rPr>
              <w:t>None</w:t>
            </w:r>
            <w:r>
              <w:rPr>
                <w:rStyle w:val="Text0"/>
              </w:rPr>
              <w:t>)</w:t>
              <w:br w:clear="none"/>
            </w:r>
            <w:r>
              <w:t xml:space="preserve"> Removes</w:t>
            </w:r>
            <w:r>
              <w:rPr>
                <w:rStyle w:val="Text111"/>
              </w:rPr>
              <w:bookmarkStart w:id="2675" w:name="idm45965204245088"/>
              <w:t/>
              <w:bookmarkEnd w:id="2675"/>
            </w:r>
            <w:r>
              <w:t xml:space="preserve"> the empty directory or path-like object named </w:t>
            </w:r>
            <w:r>
              <w:rPr>
                <w:rStyle w:val="Text3"/>
              </w:rPr>
              <w:t>path</w:t>
            </w:r>
            <w:r>
              <w:t xml:space="preserve"> (which may be relative to </w:t>
            </w:r>
            <w:r>
              <w:rPr>
                <w:rStyle w:val="Text0"/>
              </w:rPr>
              <w:t>dir_fd</w:t>
            </w:r>
            <w:r>
              <w:t xml:space="preserve">). Raises </w:t>
            </w:r>
            <w:r>
              <w:rPr>
                <w:rStyle w:val="Text0"/>
              </w:rPr>
              <w:t>OSError</w:t>
            </w:r>
            <w:r>
              <w:t xml:space="preserve"> if the removal fails, and, in particular, if the directory is not empty.</w:t>
            </w:r>
          </w:p>
        </w:tc>
      </w:tr>
    </w:tbl>
    <w:tbl>
      <w:tblPr>
        <w:tblW w:type="auto" w:w="0"/>
      </w:tblPr>
      <w:tr>
        <w:tc>
          <w:tcPr>
            <w:tcW w:type="auto" w:w="0"/>
            <w:tcMar>
              <w:left w:type="dxa" w:w="200"/>
              <w:top w:type="dxa" w:w="200"/>
              <w:right w:type="dxa" w:w="200"/>
              <w:bottom w:type="dxa" w:w="200"/>
            </w:tcMar>
          </w:tcPr>
          <w:p>
            <w:pPr>
              <w:pStyle w:val="Para 001"/>
            </w:pPr>
            <w:r>
              <w:t>scandir</w:t>
            </w:r>
          </w:p>
        </w:tc>
        <w:tc>
          <w:tcPr>
            <w:tcW w:type="auto" w:w="0"/>
            <w:tcMar>
              <w:left w:type="dxa" w:w="200"/>
              <w:top w:type="dxa" w:w="200"/>
              <w:right w:type="dxa" w:w="200"/>
              <w:bottom w:type="dxa" w:w="200"/>
            </w:tcMar>
          </w:tcPr>
          <w:p>
            <w:pPr>
              <w:pStyle w:val="Para 002"/>
            </w:pPr>
            <w:r>
              <w:rPr>
                <w:rStyle w:val="Text0"/>
              </w:rPr>
              <w:t xml:space="preserve">scandir(path='.') </w:t>
              <w:br w:clear="none"/>
            </w:r>
            <w:r>
              <w:t xml:space="preserve"> Returns</w:t>
            </w:r>
            <w:r>
              <w:rPr>
                <w:rStyle w:val="Text111"/>
              </w:rPr>
              <w:bookmarkStart w:id="2676" w:name="idm45965204238832"/>
              <w:t/>
              <w:bookmarkEnd w:id="2676"/>
            </w:r>
            <w:r>
              <w:t xml:space="preserve"> an iterator yielding </w:t>
            </w:r>
            <w:r>
              <w:rPr>
                <w:rStyle w:val="Text0"/>
              </w:rPr>
              <w:t>os.DirEntry</w:t>
            </w:r>
            <w:r>
              <w:t xml:space="preserve"> instances for each item in </w:t>
            </w:r>
            <w:r>
              <w:rPr>
                <w:rStyle w:val="Text0"/>
              </w:rPr>
              <w:t>path</w:t>
            </w:r>
            <w:r>
              <w:t xml:space="preserve">, which may be a string, a path-like object, or a file descriptor. Using </w:t>
            </w:r>
            <w:r>
              <w:rPr>
                <w:rStyle w:val="Text0"/>
              </w:rPr>
              <w:t>scandir</w:t>
            </w:r>
            <w:r>
              <w:t xml:space="preserve"> and calling each resulting item’s methods to determine its characteristics can provide performance improvements compared to using </w:t>
            </w:r>
            <w:r>
              <w:rPr>
                <w:rStyle w:val="Text0"/>
              </w:rPr>
              <w:t>listdir</w:t>
            </w:r>
            <w:r>
              <w:t xml:space="preserve"> and </w:t>
            </w:r>
            <w:r>
              <w:rPr>
                <w:rStyle w:val="Text0"/>
              </w:rPr>
              <w:t>stat</w:t>
            </w:r>
            <w:r>
              <w:t xml:space="preserve">, depending on the underlying platform. </w:t>
            </w:r>
            <w:r>
              <w:rPr>
                <w:rStyle w:val="Text0"/>
              </w:rPr>
              <w:t>scandir</w:t>
            </w:r>
            <w:r>
              <w:t xml:space="preserve"> may be used as a context manager: e.g., </w:t>
            </w:r>
            <w:r>
              <w:rPr>
                <w:rStyle w:val="Text5"/>
              </w:rPr>
              <w:t>with</w:t>
            </w:r>
            <w:r>
              <w:t xml:space="preserve"> </w:t>
            </w:r>
            <w:r>
              <w:rPr>
                <w:rStyle w:val="Text0"/>
              </w:rPr>
              <w:t>os.scandir(</w:t>
            </w:r>
            <w:r>
              <w:rPr>
                <w:rStyle w:val="Text3"/>
              </w:rPr>
              <w:t>path</w:t>
            </w:r>
            <w:r>
              <w:rPr>
                <w:rStyle w:val="Text0"/>
              </w:rPr>
              <w:t>)</w:t>
            </w:r>
            <w:r>
              <w:t xml:space="preserve"> </w:t>
            </w:r>
            <w:r>
              <w:rPr>
                <w:rStyle w:val="Text5"/>
              </w:rPr>
              <w:t>as</w:t>
            </w:r>
            <w:r>
              <w:t xml:space="preserve"> </w:t>
            </w:r>
            <w:r>
              <w:rPr>
                <w:rStyle w:val="Text3"/>
              </w:rPr>
              <w:t>itr</w:t>
            </w:r>
            <w:r>
              <w:rPr>
                <w:rStyle w:val="Text0"/>
              </w:rPr>
              <w:t>:</w:t>
            </w:r>
            <w:r>
              <w:t xml:space="preserve"> to ensure closure of the iterator (freeing up resources) when done.</w:t>
            </w:r>
          </w:p>
        </w:tc>
      </w:tr>
    </w:tbl>
    <w:p>
      <w:pPr>
        <w:pStyle w:val="Para 022"/>
      </w:pPr>
      <w:r>
        <w:t xml:space="preserve"> For example, to print the size, in bytes, of file </w:t>
      </w:r>
      <w:r>
        <w:rPr>
          <w:rStyle w:val="Text3"/>
        </w:rPr>
        <w:t>path</w:t>
      </w:r>
      <w:r>
        <w:t xml:space="preserve">, you can use any of: </w:t>
      </w:r>
    </w:p>
    <w:p>
      <w:pPr>
        <w:pStyle w:val="Para 058"/>
      </w:pPr>
      <w:r>
        <w:rPr>
          <w:rStyle w:val="Text116"/>
        </w:rPr>
        <w:t xml:space="preserve"/>
        <w:br w:clear="none"/>
      </w:r>
      <w:r>
        <w:rPr>
          <w:rStyle w:val="Text22"/>
        </w:rPr>
        <w:t xml:space="preserve">import</w:t>
        <w:br w:clear="none"/>
      </w:r>
      <w:r>
        <w:rPr>
          <w:rStyle w:val="Text11"/>
        </w:rPr>
        <w:t xml:space="preserve"> </w:t>
        <w:br w:clear="none"/>
      </w:r>
      <w:r>
        <w:rPr>
          <w:rStyle w:val="Text53"/>
        </w:rPr>
        <w:t xml:space="preserve">os</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os</w:t>
        <w:br w:clear="none"/>
      </w:r>
      <w:r>
        <w:rPr>
          <w:rStyle w:val="Text28"/>
        </w:rPr>
        <w:t xml:space="preserve">.</w:t>
        <w:br w:clear="none"/>
      </w:r>
      <w:r>
        <w:rPr>
          <w:rStyle w:val="Text14"/>
        </w:rPr>
        <w:t xml:space="preserve">stat</w:t>
        <w:br w:clear="none"/>
      </w:r>
      <w:r>
        <w:rPr>
          <w:rStyle w:val="Text19"/>
        </w:rPr>
        <w:t xml:space="preserve">(</w:t>
        <w:br w:clear="none"/>
      </w:r>
      <w:r>
        <w:rPr>
          <w:rStyle w:val="Text14"/>
        </w:rPr>
        <w:t xml:space="preserve">path</w:t>
        <w:br w:clear="none"/>
      </w:r>
      <w:r>
        <w:rPr>
          <w:rStyle w:val="Text19"/>
        </w:rPr>
        <w:t xml:space="preserve">)</w:t>
        <w:br w:clear="none"/>
        <w:t xml:space="preserve">[</w:t>
        <w:br w:clear="none"/>
      </w:r>
      <w:r>
        <w:rPr>
          <w:rStyle w:val="Text35"/>
        </w:rPr>
        <w:t xml:space="preserve">6</w:t>
        <w:br w:clear="none"/>
      </w:r>
      <w:r>
        <w:rPr>
          <w:rStyle w:val="Text19"/>
        </w:rPr>
        <w:t xml:space="preserve">]</w:t>
        <w:br w:clear="none"/>
        <w:t xml:space="preserve">)</w:t>
        <w:br w:clear="none"/>
      </w:r>
      <w:r>
        <w:rPr>
          <w:rStyle w:val="Text11"/>
        </w:rPr>
        <w:t xml:space="preserve">       </w:t>
        <w:br w:clear="none"/>
      </w:r>
      <w:r>
        <w:t xml:space="preserve"># works but unclear</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os</w:t>
        <w:br w:clear="none"/>
      </w:r>
      <w:r>
        <w:rPr>
          <w:rStyle w:val="Text28"/>
        </w:rPr>
        <w:t xml:space="preserve">.</w:t>
        <w:br w:clear="none"/>
      </w:r>
      <w:r>
        <w:rPr>
          <w:rStyle w:val="Text14"/>
        </w:rPr>
        <w:t xml:space="preserve">stat</w:t>
        <w:br w:clear="none"/>
      </w:r>
      <w:r>
        <w:rPr>
          <w:rStyle w:val="Text19"/>
        </w:rPr>
        <w:t xml:space="preserve">(</w:t>
        <w:br w:clear="none"/>
      </w:r>
      <w:r>
        <w:rPr>
          <w:rStyle w:val="Text14"/>
        </w:rPr>
        <w:t xml:space="preserve">path</w:t>
        <w:br w:clear="none"/>
      </w:r>
      <w:r>
        <w:rPr>
          <w:rStyle w:val="Text19"/>
        </w:rPr>
        <w:t xml:space="preserve">)</w:t>
        <w:br w:clear="none"/>
      </w:r>
      <w:r>
        <w:rPr>
          <w:rStyle w:val="Text28"/>
        </w:rPr>
        <w:t xml:space="preserve">.</w:t>
        <w:br w:clear="none"/>
      </w:r>
      <w:r>
        <w:rPr>
          <w:rStyle w:val="Text14"/>
        </w:rPr>
        <w:t xml:space="preserve">st_size</w:t>
        <w:br w:clear="none"/>
      </w:r>
      <w:r>
        <w:rPr>
          <w:rStyle w:val="Text19"/>
        </w:rPr>
        <w:t xml:space="preserve">)</w:t>
        <w:br w:clear="none"/>
      </w:r>
      <w:r>
        <w:rPr>
          <w:rStyle w:val="Text11"/>
        </w:rPr>
        <w:t xml:space="preserve">  </w:t>
        <w:br w:clear="none"/>
      </w:r>
      <w:r>
        <w:t xml:space="preserve"># easier to understand</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os</w:t>
        <w:br w:clear="none"/>
      </w:r>
      <w:r>
        <w:rPr>
          <w:rStyle w:val="Text28"/>
        </w:rPr>
        <w:t xml:space="preserve">.</w:t>
        <w:br w:clear="none"/>
      </w:r>
      <w:r>
        <w:rPr>
          <w:rStyle w:val="Text14"/>
        </w:rPr>
        <w:t xml:space="preserve">path</w:t>
        <w:br w:clear="none"/>
      </w:r>
      <w:r>
        <w:rPr>
          <w:rStyle w:val="Text28"/>
        </w:rPr>
        <w:t xml:space="preserve">.</w:t>
        <w:br w:clear="none"/>
      </w:r>
      <w:r>
        <w:rPr>
          <w:rStyle w:val="Text14"/>
        </w:rPr>
        <w:t xml:space="preserve">getsize</w:t>
        <w:br w:clear="none"/>
      </w:r>
      <w:r>
        <w:rPr>
          <w:rStyle w:val="Text19"/>
        </w:rPr>
        <w:t xml:space="preserve">(</w:t>
        <w:br w:clear="none"/>
      </w:r>
      <w:r>
        <w:rPr>
          <w:rStyle w:val="Text14"/>
        </w:rPr>
        <w:t xml:space="preserve">path</w:t>
        <w:br w:clear="none"/>
      </w:r>
      <w:r>
        <w:rPr>
          <w:rStyle w:val="Text19"/>
        </w:rPr>
        <w:t xml:space="preserve">)</w:t>
        <w:br w:clear="none"/>
        <w:t xml:space="preserve">)</w:t>
        <w:br w:clear="none"/>
      </w:r>
      <w:r>
        <w:rPr>
          <w:rStyle w:val="Text11"/>
        </w:rPr>
        <w:t xml:space="preserve">  </w:t>
        <w:br w:clear="none"/>
      </w:r>
      <w:r>
        <w:t xml:space="preserve"># convenience function</w:t>
        <w:br w:clear="none"/>
      </w:r>
      <w:r>
        <w:rPr>
          <w:rStyle w:val="Text11"/>
        </w:rPr>
        <w:t xml:space="preserve"/>
        <w:br w:clear="none"/>
        <w:t xml:space="preserve">                            </w:t>
        <w:br w:clear="none"/>
      </w:r>
      <w:r>
        <w:t xml:space="preserve"># that wraps stat</w:t>
        <w:br w:clear="none"/>
      </w:r>
      <w:r>
        <w:rPr>
          <w:rStyle w:val="Text11"/>
        </w:rPr>
        <w:t xml:space="preserve"/>
        <w:br w:clear="none"/>
        <w:t xml:space="preserve">						</w:t>
        <w:br w:clear="none"/>
      </w:r>
    </w:p>
    <w:p>
      <w:pPr>
        <w:pStyle w:val="Para 022"/>
      </w:pPr>
      <w:r>
        <w:t xml:space="preserve"> Time values are in seconds since the epoch, as covered in </w:t>
      </w:r>
      <w:hyperlink w:anchor="Chapter_13__Time_Operations__A_P_2">
        <w:r>
          <w:rPr>
            <w:rStyle w:val="Text1"/>
          </w:rPr>
          <w:t>Chapter 13</w:t>
        </w:r>
      </w:hyperlink>
      <w:r>
        <w:t xml:space="preserve"> (</w:t>
      </w:r>
      <w:r>
        <w:rPr>
          <w:rStyle w:val="Text0"/>
        </w:rPr>
        <w:t>int</w:t>
      </w:r>
      <w:r>
        <w:t xml:space="preserve">, on most platforms). Platforms unable to give a meaningful value for an item use a dummy value. For other, platform-dependent attributes of </w:t>
      </w:r>
      <w:r>
        <w:rPr>
          <w:rStyle w:val="Text0"/>
        </w:rPr>
        <w:t>stat_result</w:t>
      </w:r>
      <w:r>
        <w:t xml:space="preserve"> instances, see the </w:t>
      </w:r>
      <w:hyperlink r:id="rId361">
        <w:r>
          <w:rPr>
            <w:rStyle w:val="Text1"/>
          </w:rPr>
          <w:t>online docs</w:t>
        </w:r>
      </w:hyperlink>
      <w:r>
        <w:t>.</w:t>
      </w:r>
    </w:p>
    <w:tbl>
      <w:tblPr>
        <w:tblW w:type="auto" w:w="0"/>
      </w:tblPr>
      <w:tr>
        <w:tc>
          <w:tcPr>
            <w:tcW w:type="auto" w:w="0"/>
            <w:shd w:val="clear" w:color="auto" w:fill="EEF2F6"/>
            <w:tcMar>
              <w:left w:type="dxa" w:w="200"/>
              <w:top w:type="dxa" w:w="200"/>
              <w:right w:type="dxa" w:w="200"/>
              <w:bottom w:type="dxa" w:w="200"/>
            </w:tcMar>
          </w:tcPr>
          <w:p>
            <w:pPr>
              <w:pStyle w:val="Para 001"/>
            </w:pPr>
            <w:r>
              <w:t>stat</w:t>
            </w:r>
            <w:r>
              <w:rPr>
                <w:rStyle w:val="Text12"/>
              </w:rPr>
              <w:t>,</w:t>
              <w:br w:clear="none"/>
              <w:t xml:space="preserve"> </w:t>
            </w:r>
            <w:r>
              <w:t>lstat</w:t>
            </w:r>
            <w:r>
              <w:rPr>
                <w:rStyle w:val="Text12"/>
              </w:rPr>
              <w:t>,</w:t>
              <w:br w:clear="none"/>
              <w:t xml:space="preserve"> </w:t>
            </w:r>
            <w:r>
              <w:t>fstat</w:t>
            </w:r>
          </w:p>
        </w:tc>
      </w:tr>
      <w:tr>
        <w:tc>
          <w:tcPr>
            <w:tcW w:type="auto" w:w="0"/>
            <w:tcMar>
              <w:left w:type="dxa" w:w="200"/>
              <w:top w:type="dxa" w:w="200"/>
              <w:right w:type="dxa" w:w="200"/>
              <w:bottom w:type="dxa" w:w="200"/>
            </w:tcMar>
            <w:vAlign w:val="center"/>
          </w:tcPr>
          <w:p>
            <w:bookmarkStart w:id="2677" w:name="Table_11_17__Items__attributes"/>
            <w:pPr>
              <w:pStyle w:val="Para 089"/>
            </w:pPr>
            <w:r>
              <w:rPr>
                <w:rStyle w:val="Text122"/>
              </w:rPr>
              <w:t/>
            </w:r>
            <w:r>
              <w:t xml:space="preserve">Table 11-17. </w:t>
              <w:t xml:space="preserve">Items (attributes) of a </w:t>
            </w:r>
            <w:r>
              <w:rPr>
                <w:rStyle w:val="Text0"/>
              </w:rPr>
              <w:t>stat_result</w:t>
            </w:r>
            <w:r>
              <w:t xml:space="preserve"> instance</w:t>
            </w:r>
            <w:bookmarkEnd w:id="2677"/>
          </w:p>
          <w:p>
            <w:pPr>
              <w:pStyle w:val="Para 013"/>
            </w:pPr>
            <w:r>
              <w:t>Item index</w:t>
            </w:r>
          </w:p>
        </w:tc>
        <w:tc>
          <w:tcPr>
            <w:tcW w:type="auto" w:w="0"/>
            <w:tcMar>
              <w:left w:type="dxa" w:w="200"/>
              <w:top w:type="dxa" w:w="200"/>
              <w:right w:type="dxa" w:w="200"/>
              <w:bottom w:type="dxa" w:w="200"/>
            </w:tcMar>
            <w:vAlign w:val="center"/>
          </w:tcPr>
          <w:p>
            <w:pPr>
              <w:pStyle w:val="Para 013"/>
            </w:pPr>
            <w:r>
              <w:t>Attribute name</w:t>
            </w:r>
          </w:p>
        </w:tc>
        <w:tc>
          <w:tcPr>
            <w:tcW w:type="auto" w:w="0"/>
            <w:tcMar>
              <w:left w:type="dxa" w:w="200"/>
              <w:top w:type="dxa" w:w="200"/>
              <w:right w:type="dxa" w:w="200"/>
              <w:bottom w:type="dxa" w:w="200"/>
            </w:tcMar>
            <w:vAlign w:val="center"/>
          </w:tcPr>
          <w:p>
            <w:pPr>
              <w:pStyle w:val="Para 013"/>
            </w:pPr>
            <w:r>
              <w:t>Meaning</w:t>
            </w:r>
          </w:p>
        </w:tc>
      </w:tr>
      <w:tr>
        <w:tc>
          <w:tcPr>
            <w:tcW w:type="auto" w:w="0"/>
            <w:tcMar>
              <w:left w:type="dxa" w:w="200"/>
              <w:top w:type="dxa" w:w="200"/>
              <w:right w:type="dxa" w:w="200"/>
              <w:bottom w:type="dxa" w:w="200"/>
            </w:tcMar>
          </w:tcPr>
          <w:p>
            <w:pPr>
              <w:pStyle w:val="Para 001"/>
            </w:pPr>
            <w:r>
              <w:t>0</w:t>
            </w:r>
          </w:p>
        </w:tc>
        <w:tc>
          <w:tcPr>
            <w:tcW w:type="auto" w:w="0"/>
            <w:tcMar>
              <w:left w:type="dxa" w:w="200"/>
              <w:top w:type="dxa" w:w="200"/>
              <w:right w:type="dxa" w:w="200"/>
              <w:bottom w:type="dxa" w:w="200"/>
            </w:tcMar>
          </w:tcPr>
          <w:p>
            <w:pPr>
              <w:pStyle w:val="Para 001"/>
            </w:pPr>
            <w:r>
              <w:t>st_mode</w:t>
            </w:r>
          </w:p>
        </w:tc>
        <w:tc>
          <w:tcPr>
            <w:tcW w:type="auto" w:w="0"/>
            <w:tcMar>
              <w:left w:type="dxa" w:w="200"/>
              <w:top w:type="dxa" w:w="200"/>
              <w:right w:type="dxa" w:w="200"/>
              <w:bottom w:type="dxa" w:w="200"/>
            </w:tcMar>
          </w:tcPr>
          <w:p>
            <w:pPr>
              <w:pStyle w:val="Para 002"/>
            </w:pPr>
            <w:r>
              <w:t>Protection and other mode bits</w:t>
            </w:r>
          </w:p>
        </w:tc>
      </w:tr>
      <w:tr>
        <w:tc>
          <w:tcPr>
            <w:tcW w:type="auto" w:w="0"/>
            <w:shd w:val="clear" w:color="auto" w:fill="EEF2F6"/>
            <w:tcMar>
              <w:left w:type="dxa" w:w="200"/>
              <w:top w:type="dxa" w:w="200"/>
              <w:right w:type="dxa" w:w="200"/>
              <w:bottom w:type="dxa" w:w="200"/>
            </w:tcMar>
          </w:tcPr>
          <w:p>
            <w:pPr>
              <w:pStyle w:val="Para 001"/>
            </w:pPr>
            <w:r>
              <w:t>1</w:t>
            </w:r>
          </w:p>
        </w:tc>
        <w:tc>
          <w:tcPr>
            <w:tcW w:type="auto" w:w="0"/>
            <w:shd w:val="clear" w:color="auto" w:fill="EEF2F6"/>
            <w:tcMar>
              <w:left w:type="dxa" w:w="200"/>
              <w:top w:type="dxa" w:w="200"/>
              <w:right w:type="dxa" w:w="200"/>
              <w:bottom w:type="dxa" w:w="200"/>
            </w:tcMar>
          </w:tcPr>
          <w:p>
            <w:pPr>
              <w:pStyle w:val="Para 001"/>
            </w:pPr>
            <w:r>
              <w:t>st_ino</w:t>
            </w:r>
          </w:p>
        </w:tc>
        <w:tc>
          <w:tcPr>
            <w:tcW w:type="auto" w:w="0"/>
            <w:shd w:val="clear" w:color="auto" w:fill="EEF2F6"/>
            <w:tcMar>
              <w:left w:type="dxa" w:w="200"/>
              <w:top w:type="dxa" w:w="200"/>
              <w:right w:type="dxa" w:w="200"/>
              <w:bottom w:type="dxa" w:w="200"/>
            </w:tcMar>
          </w:tcPr>
          <w:p>
            <w:pPr>
              <w:pStyle w:val="Para 002"/>
            </w:pPr>
            <w:r>
              <w:t>Inode number</w:t>
            </w:r>
          </w:p>
        </w:tc>
      </w:tr>
      <w:tr>
        <w:tc>
          <w:tcPr>
            <w:tcW w:type="auto" w:w="0"/>
            <w:tcMar>
              <w:left w:type="dxa" w:w="200"/>
              <w:top w:type="dxa" w:w="200"/>
              <w:right w:type="dxa" w:w="200"/>
              <w:bottom w:type="dxa" w:w="200"/>
            </w:tcMar>
          </w:tcPr>
          <w:p>
            <w:pPr>
              <w:pStyle w:val="Para 001"/>
            </w:pPr>
            <w:r>
              <w:t>2</w:t>
            </w:r>
          </w:p>
        </w:tc>
        <w:tc>
          <w:tcPr>
            <w:tcW w:type="auto" w:w="0"/>
            <w:tcMar>
              <w:left w:type="dxa" w:w="200"/>
              <w:top w:type="dxa" w:w="200"/>
              <w:right w:type="dxa" w:w="200"/>
              <w:bottom w:type="dxa" w:w="200"/>
            </w:tcMar>
          </w:tcPr>
          <w:p>
            <w:pPr>
              <w:pStyle w:val="Para 001"/>
            </w:pPr>
            <w:r>
              <w:t>st_dev</w:t>
            </w:r>
          </w:p>
        </w:tc>
        <w:tc>
          <w:tcPr>
            <w:tcW w:type="auto" w:w="0"/>
            <w:tcMar>
              <w:left w:type="dxa" w:w="200"/>
              <w:top w:type="dxa" w:w="200"/>
              <w:right w:type="dxa" w:w="200"/>
              <w:bottom w:type="dxa" w:w="200"/>
            </w:tcMar>
          </w:tcPr>
          <w:p>
            <w:pPr>
              <w:pStyle w:val="Para 002"/>
            </w:pPr>
            <w:r>
              <w:t>Device ID</w:t>
            </w:r>
          </w:p>
        </w:tc>
      </w:tr>
      <w:tr>
        <w:tc>
          <w:tcPr>
            <w:tcW w:type="auto" w:w="0"/>
            <w:shd w:val="clear" w:color="auto" w:fill="EEF2F6"/>
            <w:tcMar>
              <w:left w:type="dxa" w:w="200"/>
              <w:top w:type="dxa" w:w="200"/>
              <w:right w:type="dxa" w:w="200"/>
              <w:bottom w:type="dxa" w:w="200"/>
            </w:tcMar>
          </w:tcPr>
          <w:p>
            <w:pPr>
              <w:pStyle w:val="Para 001"/>
            </w:pPr>
            <w:r>
              <w:t>3</w:t>
            </w:r>
          </w:p>
        </w:tc>
        <w:tc>
          <w:tcPr>
            <w:tcW w:type="auto" w:w="0"/>
            <w:shd w:val="clear" w:color="auto" w:fill="EEF2F6"/>
            <w:tcMar>
              <w:left w:type="dxa" w:w="200"/>
              <w:top w:type="dxa" w:w="200"/>
              <w:right w:type="dxa" w:w="200"/>
              <w:bottom w:type="dxa" w:w="200"/>
            </w:tcMar>
          </w:tcPr>
          <w:p>
            <w:pPr>
              <w:pStyle w:val="Para 001"/>
            </w:pPr>
            <w:r>
              <w:t>st_nlink</w:t>
            </w:r>
          </w:p>
        </w:tc>
        <w:tc>
          <w:tcPr>
            <w:tcW w:type="auto" w:w="0"/>
            <w:shd w:val="clear" w:color="auto" w:fill="EEF2F6"/>
            <w:tcMar>
              <w:left w:type="dxa" w:w="200"/>
              <w:top w:type="dxa" w:w="200"/>
              <w:right w:type="dxa" w:w="200"/>
              <w:bottom w:type="dxa" w:w="200"/>
            </w:tcMar>
          </w:tcPr>
          <w:p>
            <w:pPr>
              <w:pStyle w:val="Para 002"/>
            </w:pPr>
            <w:r>
              <w:t>Number of hard links</w:t>
            </w:r>
          </w:p>
        </w:tc>
      </w:tr>
      <w:tr>
        <w:tc>
          <w:tcPr>
            <w:tcW w:type="auto" w:w="0"/>
            <w:tcMar>
              <w:left w:type="dxa" w:w="200"/>
              <w:top w:type="dxa" w:w="200"/>
              <w:right w:type="dxa" w:w="200"/>
              <w:bottom w:type="dxa" w:w="200"/>
            </w:tcMar>
          </w:tcPr>
          <w:p>
            <w:pPr>
              <w:pStyle w:val="Para 001"/>
            </w:pPr>
            <w:r>
              <w:t>4</w:t>
            </w:r>
          </w:p>
        </w:tc>
        <w:tc>
          <w:tcPr>
            <w:tcW w:type="auto" w:w="0"/>
            <w:tcMar>
              <w:left w:type="dxa" w:w="200"/>
              <w:top w:type="dxa" w:w="200"/>
              <w:right w:type="dxa" w:w="200"/>
              <w:bottom w:type="dxa" w:w="200"/>
            </w:tcMar>
          </w:tcPr>
          <w:p>
            <w:pPr>
              <w:pStyle w:val="Para 001"/>
            </w:pPr>
            <w:r>
              <w:t>st_uid</w:t>
            </w:r>
          </w:p>
        </w:tc>
        <w:tc>
          <w:tcPr>
            <w:tcW w:type="auto" w:w="0"/>
            <w:tcMar>
              <w:left w:type="dxa" w:w="200"/>
              <w:top w:type="dxa" w:w="200"/>
              <w:right w:type="dxa" w:w="200"/>
              <w:bottom w:type="dxa" w:w="200"/>
            </w:tcMar>
          </w:tcPr>
          <w:p>
            <w:pPr>
              <w:pStyle w:val="Para 002"/>
            </w:pPr>
            <w:r>
              <w:t>User ID of owner</w:t>
            </w:r>
          </w:p>
        </w:tc>
      </w:tr>
      <w:tr>
        <w:tc>
          <w:tcPr>
            <w:tcW w:type="auto" w:w="0"/>
            <w:shd w:val="clear" w:color="auto" w:fill="EEF2F6"/>
            <w:tcMar>
              <w:left w:type="dxa" w:w="200"/>
              <w:top w:type="dxa" w:w="200"/>
              <w:right w:type="dxa" w:w="200"/>
              <w:bottom w:type="dxa" w:w="200"/>
            </w:tcMar>
          </w:tcPr>
          <w:p>
            <w:pPr>
              <w:pStyle w:val="Para 001"/>
            </w:pPr>
            <w:r>
              <w:t>5</w:t>
            </w:r>
          </w:p>
        </w:tc>
        <w:tc>
          <w:tcPr>
            <w:tcW w:type="auto" w:w="0"/>
            <w:shd w:val="clear" w:color="auto" w:fill="EEF2F6"/>
            <w:tcMar>
              <w:left w:type="dxa" w:w="200"/>
              <w:top w:type="dxa" w:w="200"/>
              <w:right w:type="dxa" w:w="200"/>
              <w:bottom w:type="dxa" w:w="200"/>
            </w:tcMar>
          </w:tcPr>
          <w:p>
            <w:pPr>
              <w:pStyle w:val="Para 001"/>
            </w:pPr>
            <w:r>
              <w:t>st_gid</w:t>
            </w:r>
          </w:p>
        </w:tc>
        <w:tc>
          <w:tcPr>
            <w:tcW w:type="auto" w:w="0"/>
            <w:shd w:val="clear" w:color="auto" w:fill="EEF2F6"/>
            <w:tcMar>
              <w:left w:type="dxa" w:w="200"/>
              <w:top w:type="dxa" w:w="200"/>
              <w:right w:type="dxa" w:w="200"/>
              <w:bottom w:type="dxa" w:w="200"/>
            </w:tcMar>
          </w:tcPr>
          <w:p>
            <w:pPr>
              <w:pStyle w:val="Para 002"/>
            </w:pPr>
            <w:r>
              <w:t>Group ID of owner</w:t>
            </w:r>
          </w:p>
        </w:tc>
      </w:tr>
      <w:tr>
        <w:tc>
          <w:tcPr>
            <w:tcW w:type="auto" w:w="0"/>
            <w:tcMar>
              <w:left w:type="dxa" w:w="200"/>
              <w:top w:type="dxa" w:w="200"/>
              <w:right w:type="dxa" w:w="200"/>
              <w:bottom w:type="dxa" w:w="200"/>
            </w:tcMar>
          </w:tcPr>
          <w:p>
            <w:pPr>
              <w:pStyle w:val="Para 001"/>
            </w:pPr>
            <w:r>
              <w:t>6</w:t>
            </w:r>
          </w:p>
        </w:tc>
        <w:tc>
          <w:tcPr>
            <w:tcW w:type="auto" w:w="0"/>
            <w:tcMar>
              <w:left w:type="dxa" w:w="200"/>
              <w:top w:type="dxa" w:w="200"/>
              <w:right w:type="dxa" w:w="200"/>
              <w:bottom w:type="dxa" w:w="200"/>
            </w:tcMar>
          </w:tcPr>
          <w:p>
            <w:pPr>
              <w:pStyle w:val="Para 001"/>
            </w:pPr>
            <w:r>
              <w:t>st_size</w:t>
            </w:r>
          </w:p>
        </w:tc>
        <w:tc>
          <w:tcPr>
            <w:tcW w:type="auto" w:w="0"/>
            <w:tcMar>
              <w:left w:type="dxa" w:w="200"/>
              <w:top w:type="dxa" w:w="200"/>
              <w:right w:type="dxa" w:w="200"/>
              <w:bottom w:type="dxa" w:w="200"/>
            </w:tcMar>
          </w:tcPr>
          <w:p>
            <w:pPr>
              <w:pStyle w:val="Para 002"/>
            </w:pPr>
            <w:r>
              <w:t>Size, in bytes</w:t>
            </w:r>
          </w:p>
        </w:tc>
      </w:tr>
      <w:tr>
        <w:tc>
          <w:tcPr>
            <w:tcW w:type="auto" w:w="0"/>
            <w:shd w:val="clear" w:color="auto" w:fill="EEF2F6"/>
            <w:tcMar>
              <w:left w:type="dxa" w:w="200"/>
              <w:top w:type="dxa" w:w="200"/>
              <w:right w:type="dxa" w:w="200"/>
              <w:bottom w:type="dxa" w:w="200"/>
            </w:tcMar>
          </w:tcPr>
          <w:p>
            <w:pPr>
              <w:pStyle w:val="Para 001"/>
            </w:pPr>
            <w:r>
              <w:t>7</w:t>
            </w:r>
          </w:p>
        </w:tc>
        <w:tc>
          <w:tcPr>
            <w:tcW w:type="auto" w:w="0"/>
            <w:shd w:val="clear" w:color="auto" w:fill="EEF2F6"/>
            <w:tcMar>
              <w:left w:type="dxa" w:w="200"/>
              <w:top w:type="dxa" w:w="200"/>
              <w:right w:type="dxa" w:w="200"/>
              <w:bottom w:type="dxa" w:w="200"/>
            </w:tcMar>
          </w:tcPr>
          <w:p>
            <w:pPr>
              <w:pStyle w:val="Para 001"/>
            </w:pPr>
            <w:r>
              <w:t>st_atime</w:t>
            </w:r>
          </w:p>
        </w:tc>
        <w:tc>
          <w:tcPr>
            <w:tcW w:type="auto" w:w="0"/>
            <w:shd w:val="clear" w:color="auto" w:fill="EEF2F6"/>
            <w:tcMar>
              <w:left w:type="dxa" w:w="200"/>
              <w:top w:type="dxa" w:w="200"/>
              <w:right w:type="dxa" w:w="200"/>
              <w:bottom w:type="dxa" w:w="200"/>
            </w:tcMar>
          </w:tcPr>
          <w:p>
            <w:pPr>
              <w:pStyle w:val="Para 002"/>
            </w:pPr>
            <w:r>
              <w:t>Time of last access</w:t>
            </w:r>
          </w:p>
        </w:tc>
      </w:tr>
      <w:tr>
        <w:tc>
          <w:tcPr>
            <w:tcW w:type="auto" w:w="0"/>
            <w:tcMar>
              <w:left w:type="dxa" w:w="200"/>
              <w:top w:type="dxa" w:w="200"/>
              <w:right w:type="dxa" w:w="200"/>
              <w:bottom w:type="dxa" w:w="200"/>
            </w:tcMar>
          </w:tcPr>
          <w:p>
            <w:pPr>
              <w:pStyle w:val="Para 001"/>
            </w:pPr>
            <w:r>
              <w:t>8</w:t>
            </w:r>
          </w:p>
        </w:tc>
        <w:tc>
          <w:tcPr>
            <w:tcW w:type="auto" w:w="0"/>
            <w:tcMar>
              <w:left w:type="dxa" w:w="200"/>
              <w:top w:type="dxa" w:w="200"/>
              <w:right w:type="dxa" w:w="200"/>
              <w:bottom w:type="dxa" w:w="200"/>
            </w:tcMar>
          </w:tcPr>
          <w:p>
            <w:pPr>
              <w:pStyle w:val="Para 001"/>
            </w:pPr>
            <w:r>
              <w:t>st_mtime</w:t>
            </w:r>
          </w:p>
        </w:tc>
        <w:tc>
          <w:tcPr>
            <w:tcW w:type="auto" w:w="0"/>
            <w:tcMar>
              <w:left w:type="dxa" w:w="200"/>
              <w:top w:type="dxa" w:w="200"/>
              <w:right w:type="dxa" w:w="200"/>
              <w:bottom w:type="dxa" w:w="200"/>
            </w:tcMar>
          </w:tcPr>
          <w:p>
            <w:pPr>
              <w:pStyle w:val="Para 002"/>
            </w:pPr>
            <w:r>
              <w:t>Time of last modification</w:t>
            </w:r>
          </w:p>
        </w:tc>
      </w:tr>
      <w:tr>
        <w:tc>
          <w:tcPr>
            <w:tcW w:type="auto" w:w="0"/>
            <w:shd w:val="clear" w:color="auto" w:fill="EEF2F6"/>
            <w:tcMar>
              <w:left w:type="dxa" w:w="200"/>
              <w:top w:type="dxa" w:w="200"/>
              <w:right w:type="dxa" w:w="200"/>
              <w:bottom w:type="dxa" w:w="200"/>
            </w:tcMar>
          </w:tcPr>
          <w:p>
            <w:pPr>
              <w:pStyle w:val="Para 001"/>
            </w:pPr>
            <w:r>
              <w:t>9</w:t>
            </w:r>
          </w:p>
        </w:tc>
        <w:tc>
          <w:tcPr>
            <w:tcW w:type="auto" w:w="0"/>
            <w:shd w:val="clear" w:color="auto" w:fill="EEF2F6"/>
            <w:tcMar>
              <w:left w:type="dxa" w:w="200"/>
              <w:top w:type="dxa" w:w="200"/>
              <w:right w:type="dxa" w:w="200"/>
              <w:bottom w:type="dxa" w:w="200"/>
            </w:tcMar>
          </w:tcPr>
          <w:p>
            <w:pPr>
              <w:pStyle w:val="Para 001"/>
            </w:pPr>
            <w:r>
              <w:t>st_ctime</w:t>
            </w:r>
          </w:p>
        </w:tc>
        <w:tc>
          <w:tcPr>
            <w:tcW w:type="auto" w:w="0"/>
            <w:shd w:val="clear" w:color="auto" w:fill="EEF2F6"/>
            <w:tcMar>
              <w:left w:type="dxa" w:w="200"/>
              <w:top w:type="dxa" w:w="200"/>
              <w:right w:type="dxa" w:w="200"/>
              <w:bottom w:type="dxa" w:w="200"/>
            </w:tcMar>
          </w:tcPr>
          <w:p>
            <w:pPr>
              <w:pStyle w:val="Para 002"/>
            </w:pPr>
            <w:r>
              <w:t>Time of last status change</w:t>
            </w:r>
          </w:p>
        </w:tc>
      </w:tr>
    </w:tbl>
    <w:tbl>
      <w:tblPr>
        <w:tblW w:type="auto" w:w="0"/>
      </w:tblPr>
      <w:tr>
        <w:tc>
          <w:tcPr>
            <w:tcW w:type="auto" w:w="0"/>
            <w:tcMar>
              <w:left w:type="dxa" w:w="200"/>
              <w:top w:type="dxa" w:w="200"/>
              <w:right w:type="dxa" w:w="200"/>
              <w:bottom w:type="dxa" w:w="200"/>
            </w:tcMar>
          </w:tcPr>
          <w:p>
            <w:pPr>
              <w:pStyle w:val="Para 001"/>
            </w:pPr>
            <w:r>
              <w:t>symlink</w:t>
            </w:r>
          </w:p>
        </w:tc>
        <w:tc>
          <w:tcPr>
            <w:tcW w:type="auto" w:w="0"/>
            <w:tcMar>
              <w:left w:type="dxa" w:w="200"/>
              <w:top w:type="dxa" w:w="200"/>
              <w:right w:type="dxa" w:w="200"/>
              <w:bottom w:type="dxa" w:w="200"/>
            </w:tcMar>
          </w:tcPr>
          <w:p>
            <w:pPr>
              <w:pStyle w:val="Para 002"/>
            </w:pPr>
            <w:r>
              <w:rPr>
                <w:rStyle w:val="Text0"/>
              </w:rPr>
              <w:t>symlink(</w:t>
            </w:r>
            <w:r>
              <w:rPr>
                <w:rStyle w:val="Text3"/>
              </w:rPr>
              <w:t>target</w:t>
            </w:r>
            <w:r>
              <w:rPr>
                <w:rStyle w:val="Text0"/>
              </w:rPr>
              <w:t>,</w:t>
            </w:r>
            <w:r>
              <w:t xml:space="preserve"> </w:t>
            </w:r>
            <w:r>
              <w:rPr>
                <w:rStyle w:val="Text3"/>
              </w:rPr>
              <w:t>symlink_path</w:t>
            </w:r>
            <w:r>
              <w:rPr>
                <w:rStyle w:val="Text0"/>
              </w:rPr>
              <w:t>, target_is_directory=</w:t>
            </w:r>
            <w:r>
              <w:rPr>
                <w:rStyle w:val="Text5"/>
              </w:rPr>
              <w:t>False</w:t>
            </w:r>
            <w:r>
              <w:rPr>
                <w:rStyle w:val="Text0"/>
              </w:rPr>
              <w:t>, *, dir_fd=</w:t>
            </w:r>
            <w:r>
              <w:rPr>
                <w:rStyle w:val="Text5"/>
              </w:rPr>
              <w:t>None</w:t>
            </w:r>
            <w:r>
              <w:rPr>
                <w:rStyle w:val="Text0"/>
              </w:rPr>
              <w:t>)</w:t>
              <w:br w:clear="none"/>
            </w:r>
            <w:r>
              <w:t xml:space="preserve"> Creates</w:t>
            </w:r>
            <w:r>
              <w:rPr>
                <w:rStyle w:val="Text111"/>
              </w:rPr>
              <w:bookmarkStart w:id="2678" w:name="idm45965204119840"/>
              <w:t/>
              <w:bookmarkEnd w:id="2678"/>
            </w:r>
            <w:r>
              <w:t xml:space="preserve"> a symbolic link named </w:t>
            </w:r>
            <w:r>
              <w:rPr>
                <w:rStyle w:val="Text3"/>
              </w:rPr>
              <w:t>symlink_path</w:t>
            </w:r>
            <w:r>
              <w:t xml:space="preserve"> to the file, directory, or path-like object </w:t>
            </w:r>
            <w:r>
              <w:rPr>
                <w:rStyle w:val="Text3"/>
              </w:rPr>
              <w:t>target</w:t>
            </w:r>
            <w:r>
              <w:t xml:space="preserve">, which may be relative to </w:t>
            </w:r>
            <w:r>
              <w:rPr>
                <w:rStyle w:val="Text0"/>
              </w:rPr>
              <w:t>dir_fd</w:t>
            </w:r>
            <w:r>
              <w:t xml:space="preserve">. </w:t>
            </w:r>
            <w:r>
              <w:rPr>
                <w:rStyle w:val="Text0"/>
              </w:rPr>
              <w:t>target_is_directory</w:t>
            </w:r>
            <w:r>
              <w:t xml:space="preserve"> is used only on Windows systems, to specify whether the created symlink should represent a file or a directory; this argument is ignored on non-Windows systems. (Calling </w:t>
            </w:r>
            <w:r>
              <w:rPr>
                <w:rStyle w:val="Text0"/>
              </w:rPr>
              <w:t>os.symlink</w:t>
            </w:r>
            <w:r>
              <w:t xml:space="preserve"> typically requires elevated privileges when run on Windows.)</w:t>
            </w:r>
          </w:p>
        </w:tc>
      </w:tr>
    </w:tbl>
    <w:tbl>
      <w:tblPr>
        <w:tblW w:type="auto" w:w="0"/>
      </w:tblPr>
      <w:tr>
        <w:tc>
          <w:tcPr>
            <w:tcW w:type="auto" w:w="0"/>
            <w:shd w:val="clear" w:color="auto" w:fill="EEF2F6"/>
            <w:tcMar>
              <w:left w:type="dxa" w:w="200"/>
              <w:top w:type="dxa" w:w="200"/>
              <w:right w:type="dxa" w:w="200"/>
              <w:bottom w:type="dxa" w:w="200"/>
            </w:tcMar>
          </w:tcPr>
          <w:p>
            <w:pPr>
              <w:pStyle w:val="Para 001"/>
            </w:pPr>
            <w:r>
              <w:t>utime</w:t>
            </w:r>
          </w:p>
        </w:tc>
        <w:tc>
          <w:tcPr>
            <w:tcW w:type="auto" w:w="0"/>
            <w:shd w:val="clear" w:color="auto" w:fill="EEF2F6"/>
            <w:tcMar>
              <w:left w:type="dxa" w:w="200"/>
              <w:top w:type="dxa" w:w="200"/>
              <w:right w:type="dxa" w:w="200"/>
              <w:bottom w:type="dxa" w:w="200"/>
            </w:tcMar>
          </w:tcPr>
          <w:p>
            <w:pPr>
              <w:pStyle w:val="Para 002"/>
            </w:pPr>
            <w:r>
              <w:rPr>
                <w:rStyle w:val="Text0"/>
              </w:rPr>
              <w:t>utime(</w:t>
            </w:r>
            <w:r>
              <w:rPr>
                <w:rStyle w:val="Text3"/>
              </w:rPr>
              <w:t>path</w:t>
            </w:r>
            <w:r>
              <w:rPr>
                <w:rStyle w:val="Text0"/>
              </w:rPr>
              <w:t>, times=</w:t>
            </w:r>
            <w:r>
              <w:rPr>
                <w:rStyle w:val="Text5"/>
              </w:rPr>
              <w:t>None</w:t>
            </w:r>
            <w:r>
              <w:rPr>
                <w:rStyle w:val="Text0"/>
              </w:rPr>
              <w:t>,</w:t>
            </w:r>
            <w:r>
              <w:t xml:space="preserve"> </w:t>
            </w:r>
            <w:r>
              <w:rPr>
                <w:rStyle w:val="Text3"/>
              </w:rPr>
              <w:t>*</w:t>
            </w:r>
            <w:r>
              <w:rPr>
                <w:rStyle w:val="Text0"/>
              </w:rPr>
              <w:t>,</w:t>
            </w:r>
            <w:r>
              <w:t xml:space="preserve"> </w:t>
            </w:r>
            <w:r>
              <w:rPr>
                <w:rStyle w:val="Text0"/>
              </w:rPr>
              <w:t>[</w:t>
            </w:r>
            <w:r>
              <w:rPr>
                <w:rStyle w:val="Text3"/>
              </w:rPr>
              <w:t>ns</w:t>
            </w:r>
            <w:r>
              <w:rPr>
                <w:rStyle w:val="Text0"/>
              </w:rPr>
              <w:t>,</w:t>
            </w:r>
            <w:r>
              <w:t xml:space="preserve"> </w:t>
            </w:r>
            <w:r>
              <w:rPr>
                <w:rStyle w:val="Text0"/>
              </w:rPr>
              <w:t>]dir_fd=</w:t>
            </w:r>
            <w:r>
              <w:rPr>
                <w:rStyle w:val="Text5"/>
              </w:rPr>
              <w:t>None</w:t>
            </w:r>
            <w:r>
              <w:rPr>
                <w:rStyle w:val="Text0"/>
              </w:rPr>
              <w:t>,</w:t>
            </w:r>
            <w:r>
              <w:t xml:space="preserve"> </w:t>
            </w:r>
            <w:r>
              <w:rPr>
                <w:rStyle w:val="Text0"/>
              </w:rPr>
              <w:t>follow_symlinks=</w:t>
            </w:r>
            <w:r>
              <w:rPr>
                <w:rStyle w:val="Text5"/>
              </w:rPr>
              <w:t>True</w:t>
            </w:r>
            <w:r>
              <w:rPr>
                <w:rStyle w:val="Text0"/>
              </w:rPr>
              <w:t>)</w:t>
              <w:br w:clear="none"/>
            </w:r>
            <w:r>
              <w:t xml:space="preserve"> Sets</w:t>
            </w:r>
            <w:r>
              <w:rPr>
                <w:rStyle w:val="Text111"/>
              </w:rPr>
              <w:bookmarkStart w:id="2679" w:name="idm45965204075456"/>
              <w:t/>
              <w:bookmarkEnd w:id="2679"/>
            </w:r>
            <w:r>
              <w:t xml:space="preserve"> the accessed and modified times of file, directory, or path-like object </w:t>
            </w:r>
            <w:r>
              <w:rPr>
                <w:rStyle w:val="Text3"/>
              </w:rPr>
              <w:t>path</w:t>
            </w:r>
            <w:r>
              <w:t xml:space="preserve">, which may be relative to </w:t>
            </w:r>
            <w:r>
              <w:rPr>
                <w:rStyle w:val="Text0"/>
              </w:rPr>
              <w:t>dir_fd</w:t>
            </w:r>
            <w:r>
              <w:t xml:space="preserve">, and may be a symlink if </w:t>
            </w:r>
            <w:r>
              <w:rPr>
                <w:rStyle w:val="Text0"/>
              </w:rPr>
              <w:t>follow_symlinks=</w:t>
            </w:r>
            <w:r>
              <w:rPr>
                <w:rStyle w:val="Text5"/>
              </w:rPr>
              <w:t>False</w:t>
            </w:r>
            <w:r>
              <w:t xml:space="preserve">. If </w:t>
            </w:r>
            <w:r>
              <w:rPr>
                <w:rStyle w:val="Text0"/>
              </w:rPr>
              <w:t>times</w:t>
            </w:r>
            <w:r>
              <w:t xml:space="preserve"> is </w:t>
            </w:r>
            <w:r>
              <w:rPr>
                <w:rStyle w:val="Text5"/>
              </w:rPr>
              <w:t>None</w:t>
            </w:r>
            <w:r>
              <w:t xml:space="preserve">, </w:t>
            </w:r>
            <w:r>
              <w:rPr>
                <w:rStyle w:val="Text0"/>
              </w:rPr>
              <w:t>utime</w:t>
            </w:r>
            <w:r>
              <w:t xml:space="preserve"> uses the current time. Otherwise, </w:t>
            </w:r>
            <w:r>
              <w:rPr>
                <w:rStyle w:val="Text0"/>
              </w:rPr>
              <w:t>times</w:t>
            </w:r>
            <w:r>
              <w:t xml:space="preserve"> must be a pair of numbers (in seconds since the epoch, as covered in </w:t>
            </w:r>
            <w:hyperlink w:anchor="Chapter_13__Time_Operations__A_P_2">
              <w:r>
                <w:rPr>
                  <w:rStyle w:val="Text1"/>
                </w:rPr>
                <w:t>Chapter 13</w:t>
              </w:r>
            </w:hyperlink>
            <w:r>
              <w:t xml:space="preserve">) in the order </w:t>
            </w:r>
            <w:r>
              <w:rPr>
                <w:rStyle w:val="Text0"/>
              </w:rPr>
              <w:t>(</w:t>
            </w:r>
            <w:r>
              <w:rPr>
                <w:rStyle w:val="Text3"/>
              </w:rPr>
              <w:t>accessed</w:t>
            </w:r>
            <w:r>
              <w:rPr>
                <w:rStyle w:val="Text0"/>
              </w:rPr>
              <w:t>,</w:t>
            </w:r>
            <w:r>
              <w:t xml:space="preserve"> </w:t>
            </w:r>
            <w:r>
              <w:rPr>
                <w:rStyle w:val="Text3"/>
              </w:rPr>
              <w:t>modified</w:t>
            </w:r>
            <w:r>
              <w:rPr>
                <w:rStyle w:val="Text0"/>
              </w:rPr>
              <w:t>)</w:t>
            </w:r>
            <w:r>
              <w:t xml:space="preserve">. To specify nanoseconds instead, pass </w:t>
            </w:r>
            <w:r>
              <w:rPr>
                <w:rStyle w:val="Text3"/>
              </w:rPr>
              <w:t>ns</w:t>
            </w:r>
            <w:r>
              <w:t xml:space="preserve"> as </w:t>
            </w:r>
            <w:r>
              <w:rPr>
                <w:rStyle w:val="Text0"/>
              </w:rPr>
              <w:t>(</w:t>
            </w:r>
            <w:r>
              <w:rPr>
                <w:rStyle w:val="Text3"/>
              </w:rPr>
              <w:t>acc_ns</w:t>
            </w:r>
            <w:r>
              <w:rPr>
                <w:rStyle w:val="Text0"/>
              </w:rPr>
              <w:t>,</w:t>
            </w:r>
            <w:r>
              <w:t xml:space="preserve"> </w:t>
            </w:r>
            <w:r>
              <w:rPr>
                <w:rStyle w:val="Text3"/>
              </w:rPr>
              <w:t>mod_ns</w:t>
            </w:r>
            <w:r>
              <w:rPr>
                <w:rStyle w:val="Text0"/>
              </w:rPr>
              <w:t>)</w:t>
            </w:r>
            <w:r>
              <w:t xml:space="preserve">, where each member is an </w:t>
            </w:r>
            <w:r>
              <w:rPr>
                <w:rStyle w:val="Text0"/>
              </w:rPr>
              <w:t>int</w:t>
            </w:r>
            <w:r>
              <w:t xml:space="preserve"> expressing nanoseconds since the epoch. Do </w:t>
            </w:r>
            <w:r>
              <w:rPr>
                <w:rStyle w:val="Text4"/>
              </w:rPr>
              <w:t>not</w:t>
            </w:r>
            <w:r>
              <w:t xml:space="preserve"> specify both </w:t>
            </w:r>
            <w:r>
              <w:rPr>
                <w:rStyle w:val="Text0"/>
              </w:rPr>
              <w:t>times</w:t>
            </w:r>
            <w:r>
              <w:t xml:space="preserve"> and </w:t>
            </w:r>
            <w:r>
              <w:rPr>
                <w:rStyle w:val="Text3"/>
              </w:rPr>
              <w:t>ns</w:t>
            </w:r>
            <w:r>
              <w:t>.</w:t>
            </w:r>
          </w:p>
        </w:tc>
      </w:tr>
    </w:tbl>
    <w:tbl>
      <w:tblPr>
        <w:tblW w:type="auto" w:w="0"/>
      </w:tblPr>
      <w:tr>
        <w:tc>
          <w:tcPr>
            <w:tcW w:type="auto" w:w="0"/>
            <w:tcMar>
              <w:left w:type="dxa" w:w="200"/>
              <w:top w:type="dxa" w:w="200"/>
              <w:right w:type="dxa" w:w="200"/>
              <w:bottom w:type="dxa" w:w="200"/>
            </w:tcMar>
          </w:tcPr>
          <w:p>
            <w:pPr>
              <w:pStyle w:val="Para 001"/>
            </w:pPr>
            <w:r>
              <w:t>walk</w:t>
            </w:r>
            <w:r>
              <w:rPr>
                <w:rStyle w:val="Text12"/>
              </w:rPr>
              <w:t>,</w:t>
              <w:br w:clear="none"/>
              <w:t xml:space="preserve"> </w:t>
            </w:r>
            <w:r>
              <w:t>fwalk</w:t>
            </w:r>
          </w:p>
        </w:tc>
        <w:tc>
          <w:tcPr>
            <w:tcW w:type="auto" w:w="0"/>
            <w:tcMar>
              <w:left w:type="dxa" w:w="200"/>
              <w:top w:type="dxa" w:w="200"/>
              <w:right w:type="dxa" w:w="200"/>
              <w:bottom w:type="dxa" w:w="200"/>
            </w:tcMar>
          </w:tcPr>
          <w:p>
            <w:pPr>
              <w:pStyle w:val="Para 002"/>
            </w:pPr>
            <w:r>
              <w:rPr>
                <w:rStyle w:val="Text0"/>
              </w:rPr>
              <w:t>walk(</w:t>
            </w:r>
            <w:r>
              <w:rPr>
                <w:rStyle w:val="Text3"/>
              </w:rPr>
              <w:t>top</w:t>
            </w:r>
            <w:r>
              <w:rPr>
                <w:rStyle w:val="Text0"/>
              </w:rPr>
              <w:t>,</w:t>
            </w:r>
            <w:r>
              <w:t xml:space="preserve"> </w:t>
            </w:r>
            <w:r>
              <w:rPr>
                <w:rStyle w:val="Text0"/>
              </w:rPr>
              <w:t>topdown=</w:t>
            </w:r>
            <w:r>
              <w:rPr>
                <w:rStyle w:val="Text5"/>
              </w:rPr>
              <w:t>True</w:t>
            </w:r>
            <w:r>
              <w:rPr>
                <w:rStyle w:val="Text0"/>
              </w:rPr>
              <w:t>, onerror=</w:t>
            </w:r>
            <w:r>
              <w:rPr>
                <w:rStyle w:val="Text5"/>
              </w:rPr>
              <w:t>None</w:t>
            </w:r>
            <w:r>
              <w:rPr>
                <w:rStyle w:val="Text0"/>
              </w:rPr>
              <w:t>, followlinks=</w:t>
            </w:r>
            <w:r>
              <w:rPr>
                <w:rStyle w:val="Text5"/>
              </w:rPr>
              <w:t>False</w:t>
            </w:r>
            <w:r>
              <w:rPr>
                <w:rStyle w:val="Text0"/>
              </w:rPr>
              <w:t>)</w:t>
            </w:r>
            <w:r>
              <w:t>,</w:t>
              <w:br w:clear="none"/>
              <w:t xml:space="preserve"> </w:t>
            </w:r>
            <w:r>
              <w:rPr>
                <w:rStyle w:val="Text0"/>
              </w:rPr>
              <w:t>fwalk(top=</w:t>
              <w:t>'.', topdown=</w:t>
            </w:r>
            <w:r>
              <w:rPr>
                <w:rStyle w:val="Text5"/>
              </w:rPr>
              <w:t>True</w:t>
            </w:r>
            <w:r>
              <w:rPr>
                <w:rStyle w:val="Text0"/>
              </w:rPr>
              <w:t>, onerror=</w:t>
            </w:r>
            <w:r>
              <w:rPr>
                <w:rStyle w:val="Text5"/>
              </w:rPr>
              <w:t>None</w:t>
            </w:r>
            <w:r>
              <w:rPr>
                <w:rStyle w:val="Text0"/>
              </w:rPr>
              <w:t>, *, follow_symlinks=</w:t>
            </w:r>
            <w:r>
              <w:rPr>
                <w:rStyle w:val="Text5"/>
              </w:rPr>
              <w:t>False</w:t>
            </w:r>
            <w:r>
              <w:rPr>
                <w:rStyle w:val="Text0"/>
              </w:rPr>
              <w:t>, dir_fd=</w:t>
            </w:r>
            <w:r>
              <w:rPr>
                <w:rStyle w:val="Text5"/>
              </w:rPr>
              <w:t>None</w:t>
            </w:r>
            <w:r>
              <w:rPr>
                <w:rStyle w:val="Text0"/>
              </w:rPr>
              <w:t>)</w:t>
              <w:br w:clear="none"/>
            </w:r>
            <w:r>
              <w:t xml:space="preserve"> </w:t>
            </w:r>
            <w:r>
              <w:rPr>
                <w:rStyle w:val="Text0"/>
              </w:rPr>
              <w:t>walk</w:t>
            </w:r>
            <w:r>
              <w:t xml:space="preserve"> is a generator yielding an item for each directory in the tree whose root is the directory or path-like object </w:t>
            </w:r>
            <w:r>
              <w:rPr>
                <w:rStyle w:val="Text3"/>
              </w:rPr>
              <w:t>top</w:t>
            </w:r>
            <w:r>
              <w:t xml:space="preserve">. When </w:t>
            </w:r>
            <w:r>
              <w:rPr>
                <w:rStyle w:val="Text0"/>
              </w:rPr>
              <w:t>topdown</w:t>
            </w:r>
            <w:r>
              <w:t xml:space="preserve"> is </w:t>
            </w:r>
            <w:r>
              <w:rPr>
                <w:rStyle w:val="Text5"/>
              </w:rPr>
              <w:t>True</w:t>
            </w:r>
            <w:r>
              <w:t xml:space="preserve">, the default, </w:t>
            </w:r>
            <w:r>
              <w:rPr>
                <w:rStyle w:val="Text0"/>
              </w:rPr>
              <w:t>walk</w:t>
            </w:r>
            <w:r>
              <w:t xml:space="preserve"> visits directories from the tree’s root downward; when </w:t>
            </w:r>
            <w:r>
              <w:rPr>
                <w:rStyle w:val="Text0"/>
              </w:rPr>
              <w:t>topdown</w:t>
            </w:r>
            <w:r>
              <w:t xml:space="preserve"> is </w:t>
            </w:r>
            <w:r>
              <w:rPr>
                <w:rStyle w:val="Text5"/>
              </w:rPr>
              <w:t>False</w:t>
            </w:r>
            <w:r>
              <w:t xml:space="preserve">, </w:t>
            </w:r>
            <w:r>
              <w:rPr>
                <w:rStyle w:val="Text0"/>
              </w:rPr>
              <w:t>walk</w:t>
            </w:r>
            <w:r>
              <w:t xml:space="preserve"> visits directories from the tree’s leaves upward. By default, </w:t>
            </w:r>
            <w:r>
              <w:rPr>
                <w:rStyle w:val="Text0"/>
              </w:rPr>
              <w:t>walk</w:t>
            </w:r>
            <w:r>
              <w:t xml:space="preserve"> catches and ignores any </w:t>
            </w:r>
            <w:r>
              <w:rPr>
                <w:rStyle w:val="Text0"/>
              </w:rPr>
              <w:t>OSError</w:t>
            </w:r>
            <w:r>
              <w:t xml:space="preserve"> exception raised during the tree-walk; set </w:t>
            </w:r>
            <w:r>
              <w:rPr>
                <w:rStyle w:val="Text0"/>
              </w:rPr>
              <w:t>onerror</w:t>
            </w:r>
            <w:r>
              <w:t xml:space="preserve"> to a callable in order to catch any </w:t>
            </w:r>
            <w:r>
              <w:rPr>
                <w:rStyle w:val="Text0"/>
              </w:rPr>
              <w:t>OSError</w:t>
            </w:r>
            <w:r>
              <w:t xml:space="preserve"> exception raised during the tree-walk and pass it as the only argument in a call to </w:t>
            </w:r>
            <w:r>
              <w:rPr>
                <w:rStyle w:val="Text0"/>
              </w:rPr>
              <w:t>onerror</w:t>
            </w:r>
            <w:r>
              <w:t xml:space="preserve">, which may process it, ignore it, or </w:t>
            </w:r>
            <w:r>
              <w:rPr>
                <w:rStyle w:val="Text5"/>
              </w:rPr>
              <w:t>raise</w:t>
            </w:r>
            <w:r>
              <w:t xml:space="preserve"> it to terminate the tree-walk and propagate the exception (the filename is available as the </w:t>
            </w:r>
            <w:r>
              <w:rPr>
                <w:rStyle w:val="Text0"/>
              </w:rPr>
              <w:t>filename</w:t>
            </w:r>
            <w:r>
              <w:t xml:space="preserve"> attribute of the exception object).</w:t>
              <w:br w:clear="none"/>
              <w:t xml:space="preserve"> Each item </w:t>
            </w:r>
            <w:r>
              <w:rPr>
                <w:rStyle w:val="Text0"/>
              </w:rPr>
              <w:t>walk</w:t>
            </w:r>
            <w:r>
              <w:t xml:space="preserve"> yields is a tuple of three subitems: </w:t>
            </w:r>
            <w:r>
              <w:rPr>
                <w:rStyle w:val="Text3"/>
              </w:rPr>
              <w:t>dirpath</w:t>
            </w:r>
            <w:r>
              <w:t xml:space="preserve">, a string that is the directory’s path; </w:t>
            </w:r>
            <w:r>
              <w:rPr>
                <w:rStyle w:val="Text3"/>
              </w:rPr>
              <w:t>dirnames</w:t>
            </w:r>
            <w:r>
              <w:t xml:space="preserve">, a list of names of subdirectories that are immediate children of the directory (special directories </w:t>
            </w:r>
            <w:r>
              <w:rPr>
                <w:rStyle w:val="Text0"/>
              </w:rPr>
              <w:t>'.'</w:t>
            </w:r>
            <w:r>
              <w:t xml:space="preserve"> and </w:t>
            </w:r>
            <w:r>
              <w:rPr>
                <w:rStyle w:val="Text0"/>
              </w:rPr>
              <w:t>'..'</w:t>
            </w:r>
            <w:r>
              <w:t xml:space="preserve"> are </w:t>
            </w:r>
            <w:r>
              <w:rPr>
                <w:rStyle w:val="Text4"/>
              </w:rPr>
              <w:t>not</w:t>
            </w:r>
            <w:r>
              <w:t xml:space="preserve"> included); and </w:t>
            </w:r>
            <w:r>
              <w:rPr>
                <w:rStyle w:val="Text3"/>
              </w:rPr>
              <w:t>filenames</w:t>
            </w:r>
            <w:r>
              <w:t xml:space="preserve">, a list of names of files that are directly in the directory. If </w:t>
            </w:r>
            <w:r>
              <w:rPr>
                <w:rStyle w:val="Text0"/>
              </w:rPr>
              <w:t>topdown</w:t>
            </w:r>
            <w:r>
              <w:t xml:space="preserve"> is </w:t>
            </w:r>
            <w:r>
              <w:rPr>
                <w:rStyle w:val="Text5"/>
              </w:rPr>
              <w:t>True</w:t>
            </w:r>
            <w:r>
              <w:t xml:space="preserve">, you can alter list </w:t>
            </w:r>
            <w:r>
              <w:rPr>
                <w:rStyle w:val="Text3"/>
              </w:rPr>
              <w:t>dirnames</w:t>
            </w:r>
            <w:r>
              <w:t xml:space="preserve"> in place, removing some items and/or reordering others, to affect the tree-walk of the subtree rooted at </w:t>
            </w:r>
            <w:r>
              <w:rPr>
                <w:rStyle w:val="Text3"/>
              </w:rPr>
              <w:t>dirpath</w:t>
            </w:r>
            <w:r>
              <w:t xml:space="preserve">; </w:t>
            </w:r>
            <w:r>
              <w:rPr>
                <w:rStyle w:val="Text0"/>
              </w:rPr>
              <w:t>walk</w:t>
            </w:r>
            <w:r>
              <w:t xml:space="preserve"> iterates only on subdirectories left in </w:t>
            </w:r>
            <w:r>
              <w:rPr>
                <w:rStyle w:val="Text3"/>
              </w:rPr>
              <w:t>dirnames</w:t>
            </w:r>
            <w:r>
              <w:t xml:space="preserve">, in the order in which they’re left. Such alterations have no effect if </w:t>
            </w:r>
            <w:r>
              <w:rPr>
                <w:rStyle w:val="Text0"/>
              </w:rPr>
              <w:t>topdown</w:t>
            </w:r>
            <w:r>
              <w:t xml:space="preserve"> is </w:t>
            </w:r>
            <w:r>
              <w:rPr>
                <w:rStyle w:val="Text5"/>
              </w:rPr>
              <w:t>False</w:t>
            </w:r>
            <w:r>
              <w:t xml:space="preserve"> (in this case, </w:t>
            </w:r>
            <w:r>
              <w:rPr>
                <w:rStyle w:val="Text0"/>
              </w:rPr>
              <w:t>walk</w:t>
            </w:r>
            <w:r>
              <w:t xml:space="preserve"> has already visited all subdirectories by the time it visits the current directory and yields its item).</w:t>
            </w:r>
          </w:p>
        </w:tc>
      </w:tr>
    </w:tbl>
    <w:tbl>
      <w:tblPr>
        <w:tblW w:type="auto" w:w="0"/>
      </w:tblPr>
      <w:tr>
        <w:tc>
          <w:tcPr>
            <w:tcW w:type="auto" w:w="0"/>
            <w:shd w:val="clear" w:color="auto" w:fill="EEF2F6"/>
            <w:tcMar>
              <w:left w:type="dxa" w:w="200"/>
              <w:top w:type="dxa" w:w="200"/>
              <w:right w:type="dxa" w:w="200"/>
              <w:bottom w:type="dxa" w:w="200"/>
            </w:tcMar>
          </w:tcPr>
          <w:p>
            <w:pPr>
              <w:pStyle w:val="Para 001"/>
            </w:pPr>
            <w:r>
              <w:t>walk</w:t>
            </w:r>
            <w:r>
              <w:rPr>
                <w:rStyle w:val="Text12"/>
              </w:rPr>
              <w:t>,</w:t>
              <w:br w:clear="none"/>
              <w:t xml:space="preserve"> </w:t>
            </w:r>
            <w:r>
              <w:t>fwalk</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By default, </w:t>
            </w:r>
            <w:r>
              <w:rPr>
                <w:rStyle w:val="Text0"/>
              </w:rPr>
              <w:t>walk</w:t>
            </w:r>
            <w:r>
              <w:t xml:space="preserve"> does not walk down symbolic links that resolve to directories. To get such extra walking, pass </w:t>
            </w:r>
            <w:r>
              <w:rPr>
                <w:rStyle w:val="Text0"/>
              </w:rPr>
              <w:t>followlinks=</w:t>
            </w:r>
            <w:r>
              <w:rPr>
                <w:rStyle w:val="Text5"/>
              </w:rPr>
              <w:t>True</w:t>
            </w:r>
            <w:r>
              <w:t xml:space="preserve">, but beware: this can cause infinite looping if a symbolic link resolves to a directory that is its ancestor. </w:t>
            </w:r>
            <w:r>
              <w:rPr>
                <w:rStyle w:val="Text0"/>
              </w:rPr>
              <w:t>walk</w:t>
            </w:r>
            <w:r>
              <w:t xml:space="preserve"> doesn’t take precautions against this anomaly. </w:t>
            </w:r>
          </w:p>
          <w:p>
            <w:pPr>
              <w:keepNext/>
              <w:pStyle w:val="Para 056"/>
              <w:keepLines w:val="on"/>
            </w:pPr>
            <w:r>
              <w:t>followlinks versus follow_symlinks</w:t>
            </w:r>
          </w:p>
          <w:p>
            <w:pPr>
              <w:pStyle w:val="Para 041"/>
              <w:keepLines w:val="on"/>
            </w:pPr>
            <w:r>
              <w:t xml:space="preserve">Note that, for </w:t>
            </w:r>
            <w:r>
              <w:rPr>
                <w:rStyle w:val="Text0"/>
              </w:rPr>
              <w:t>os.walk</w:t>
            </w:r>
            <w:r>
              <w:t xml:space="preserve"> </w:t>
            </w:r>
            <w:r>
              <w:rPr>
                <w:rStyle w:val="Text4"/>
              </w:rPr>
              <w:t>only</w:t>
            </w:r>
            <w:r>
              <w:t xml:space="preserve">, the argument that is named </w:t>
            </w:r>
            <w:r>
              <w:rPr>
                <w:rStyle w:val="Text0"/>
              </w:rPr>
              <w:t>follow_symlinks</w:t>
            </w:r>
            <w:r>
              <w:t xml:space="preserve"> everywhere else is instead named </w:t>
            </w:r>
            <w:r>
              <w:rPr>
                <w:rStyle w:val="Text0"/>
              </w:rPr>
              <w:t>followlinks</w:t>
            </w:r>
            <w:r>
              <w:t>.</w:t>
            </w:r>
          </w:p>
          <w:p>
            <w:pPr>
              <w:pStyle w:val="Para 022"/>
            </w:pPr>
            <w:r>
              <w:rPr>
                <w:rStyle w:val="Text0"/>
              </w:rPr>
              <w:t>fwalk</w:t>
            </w:r>
            <w:r>
              <w:t xml:space="preserve"> (Unix only) works like </w:t>
            </w:r>
            <w:r>
              <w:rPr>
                <w:rStyle w:val="Text0"/>
              </w:rPr>
              <w:t>walk</w:t>
            </w:r>
            <w:r>
              <w:t xml:space="preserve">, except that </w:t>
            </w:r>
            <w:r>
              <w:rPr>
                <w:rStyle w:val="Text3"/>
              </w:rPr>
              <w:t>top</w:t>
            </w:r>
            <w:r>
              <w:t xml:space="preserve"> may be a relative path of file descriptor </w:t>
            </w:r>
            <w:r>
              <w:rPr>
                <w:rStyle w:val="Text0"/>
              </w:rPr>
              <w:t>dir_fd</w:t>
            </w:r>
            <w:r>
              <w:t xml:space="preserve">, and </w:t>
            </w:r>
            <w:r>
              <w:rPr>
                <w:rStyle w:val="Text0"/>
              </w:rPr>
              <w:t>fwalk</w:t>
            </w:r>
            <w:r>
              <w:t xml:space="preserve"> yields </w:t>
            </w:r>
            <w:r>
              <w:rPr>
                <w:rStyle w:val="Text4"/>
              </w:rPr>
              <w:t>four</w:t>
            </w:r>
            <w:r>
              <w:t>-member tuples: the first three members (</w:t>
            </w:r>
            <w:r>
              <w:rPr>
                <w:rStyle w:val="Text3"/>
              </w:rPr>
              <w:t>dirpath</w:t>
            </w:r>
            <w:r>
              <w:t xml:space="preserve">, </w:t>
            </w:r>
            <w:r>
              <w:rPr>
                <w:rStyle w:val="Text3"/>
              </w:rPr>
              <w:t>dirnames</w:t>
            </w:r>
            <w:r>
              <w:t xml:space="preserve">, and </w:t>
            </w:r>
            <w:r>
              <w:rPr>
                <w:rStyle w:val="Text3"/>
              </w:rPr>
              <w:t>filenames</w:t>
            </w:r>
            <w:r>
              <w:t xml:space="preserve">) are identical to </w:t>
            </w:r>
            <w:r>
              <w:rPr>
                <w:rStyle w:val="Text0"/>
              </w:rPr>
              <w:t>walk</w:t>
            </w:r>
            <w:r>
              <w:t xml:space="preserve">’s yielded values, and the fourth member is </w:t>
            </w:r>
            <w:r>
              <w:rPr>
                <w:rStyle w:val="Text3"/>
              </w:rPr>
              <w:t>dirfd</w:t>
            </w:r>
            <w:r>
              <w:t xml:space="preserve">, a file descriptor of </w:t>
            </w:r>
            <w:r>
              <w:rPr>
                <w:rStyle w:val="Text3"/>
              </w:rPr>
              <w:t>dirpath</w:t>
            </w:r>
            <w:r>
              <w:t xml:space="preserve">. Note that both </w:t>
            </w:r>
            <w:r>
              <w:rPr>
                <w:rStyle w:val="Text0"/>
              </w:rPr>
              <w:t>walk</w:t>
            </w:r>
            <w:r>
              <w:t xml:space="preserve"> and </w:t>
            </w:r>
            <w:r>
              <w:rPr>
                <w:rStyle w:val="Text0"/>
              </w:rPr>
              <w:t>fwalk</w:t>
            </w:r>
            <w:r>
              <w:t xml:space="preserve"> default to </w:t>
            </w:r>
            <w:r>
              <w:rPr>
                <w:rStyle w:val="Text4"/>
              </w:rPr>
              <w:t>not</w:t>
            </w:r>
            <w:r>
              <w:t xml:space="preserve"> following symlinks.</w:t>
            </w:r>
            <w:r>
              <w:rPr>
                <w:rStyle w:val="Text111"/>
              </w:rPr>
              <w:bookmarkStart w:id="2680" w:name="idm45965204003776"/>
              <w:t/>
              <w:bookmarkEnd w:id="2680"/>
              <w:bookmarkStart w:id="2681" w:name="idm45965204002368"/>
              <w:t/>
              <w:bookmarkEnd w:id="2681"/>
            </w:r>
          </w:p>
        </w:tc>
      </w:tr>
    </w:tbl>
    <w:p>
      <w:bookmarkStart w:id="2682" w:name="File_descriptor_operations__In_a"/>
      <w:pPr>
        <w:keepNext/>
        <w:pStyle w:val="Heading 2"/>
      </w:pPr>
      <w:r>
        <w:t>File descriptor operations</w:t>
      </w:r>
      <w:bookmarkEnd w:id="2682"/>
    </w:p>
    <w:p>
      <w:pPr>
        <w:pStyle w:val="Normal"/>
      </w:pPr>
      <w:r>
        <w:t>In</w:t>
      </w:r>
      <w:r>
        <w:rPr>
          <w:rStyle w:val="Text111"/>
        </w:rPr>
        <w:bookmarkStart w:id="2683" w:name="FSOfdes11"/>
        <w:t/>
        <w:bookmarkEnd w:id="2683"/>
        <w:bookmarkStart w:id="2684" w:name="fdescript11"/>
        <w:t/>
        <w:bookmarkEnd w:id="2684"/>
      </w:r>
      <w:r>
        <w:t xml:space="preserve"> addition to the many functions covered earlier, the </w:t>
      </w:r>
      <w:r>
        <w:rPr>
          <w:rStyle w:val="Text0"/>
        </w:rPr>
        <w:t>os</w:t>
      </w:r>
      <w:r>
        <w:t xml:space="preserve"> module supplies several that work specifically with file descriptors. A </w:t>
      </w:r>
      <w:r>
        <w:rPr>
          <w:rStyle w:val="Text4"/>
        </w:rPr>
        <w:t>file descriptor</w:t>
      </w:r>
      <w:r>
        <w:t xml:space="preserve"> is an integer that the operating system uses as an opaque handle to refer to an open file. While it is usually best to use Python file objects (covered in </w:t>
      </w:r>
      <w:hyperlink w:anchor="The_io_Module__As_mentioned_in_t">
        <w:r>
          <w:rPr>
            <w:rStyle w:val="Text1"/>
          </w:rPr>
          <w:t>“The io Module”</w:t>
        </w:r>
      </w:hyperlink>
      <w:r>
        <w:t xml:space="preserve">) for I/O tasks, sometimes working with file descriptors lets you perform some operations faster, or (at the possible expense of portability) in ways not directly available with </w:t>
      </w:r>
      <w:r>
        <w:rPr>
          <w:rStyle w:val="Text0"/>
        </w:rPr>
        <w:t>io.open</w:t>
      </w:r>
      <w:r>
        <w:t>. File objects and file descriptors are not interchangeable.</w:t>
      </w:r>
    </w:p>
    <w:p>
      <w:pPr>
        <w:pStyle w:val="Normal"/>
      </w:pPr>
      <w:r>
        <w:t xml:space="preserve">To get the file descriptor </w:t>
      </w:r>
      <w:r>
        <w:rPr>
          <w:rStyle w:val="Text3"/>
        </w:rPr>
        <w:t>n</w:t>
      </w:r>
      <w:r>
        <w:t xml:space="preserve"> of a Python file object </w:t>
      </w:r>
      <w:r>
        <w:rPr>
          <w:rStyle w:val="Text3"/>
        </w:rPr>
        <w:t>f</w:t>
      </w:r>
      <w:r>
        <w:t xml:space="preserve">, call </w:t>
      </w:r>
      <w:r>
        <w:rPr>
          <w:rStyle w:val="Text3"/>
        </w:rPr>
        <w:t>n</w:t>
      </w:r>
      <w:r>
        <w:t xml:space="preserve"> </w:t>
      </w:r>
      <w:r>
        <w:rPr>
          <w:rStyle w:val="Text0"/>
        </w:rPr>
        <w:t>=</w:t>
      </w:r>
      <w:r>
        <w:t xml:space="preserve"> </w:t>
      </w:r>
      <w:r>
        <w:rPr>
          <w:rStyle w:val="Text3"/>
        </w:rPr>
        <w:t>f</w:t>
      </w:r>
      <w:r>
        <w:rPr>
          <w:rStyle w:val="Text0"/>
        </w:rPr>
        <w:t>.fileno()</w:t>
      </w:r>
      <w:r>
        <w:t xml:space="preserve">. To create a new Python file object </w:t>
      </w:r>
      <w:r>
        <w:rPr>
          <w:rStyle w:val="Text3"/>
        </w:rPr>
        <w:t>f</w:t>
      </w:r>
      <w:r>
        <w:t xml:space="preserve"> using an existing open file descriptor </w:t>
      </w:r>
      <w:r>
        <w:rPr>
          <w:rStyle w:val="Text3"/>
        </w:rPr>
        <w:t>fd</w:t>
      </w:r>
      <w:r>
        <w:t xml:space="preserve">, use </w:t>
      </w:r>
      <w:r>
        <w:rPr>
          <w:rStyle w:val="Text3"/>
        </w:rPr>
        <w:t>f</w:t>
      </w:r>
      <w:r>
        <w:t xml:space="preserve"> </w:t>
      </w:r>
      <w:r>
        <w:rPr>
          <w:rStyle w:val="Text0"/>
        </w:rPr>
        <w:t>= os.fdopen(</w:t>
      </w:r>
      <w:r>
        <w:rPr>
          <w:rStyle w:val="Text3"/>
        </w:rPr>
        <w:t>fd</w:t>
      </w:r>
      <w:r>
        <w:rPr>
          <w:rStyle w:val="Text0"/>
        </w:rPr>
        <w:t>)</w:t>
      </w:r>
      <w:r>
        <w:t xml:space="preserve">, or pass </w:t>
      </w:r>
      <w:r>
        <w:rPr>
          <w:rStyle w:val="Text3"/>
        </w:rPr>
        <w:t>fd</w:t>
      </w:r>
      <w:r>
        <w:t xml:space="preserve"> as the first argument of </w:t>
      </w:r>
      <w:r>
        <w:rPr>
          <w:rStyle w:val="Text0"/>
        </w:rPr>
        <w:t>io.open</w:t>
      </w:r>
      <w:r>
        <w:t xml:space="preserve">. On Unix-like and Windows platforms, some file descriptors are preallocated when a process starts: </w:t>
      </w:r>
      <w:r>
        <w:rPr>
          <w:rStyle w:val="Text0"/>
        </w:rPr>
        <w:t>0</w:t>
      </w:r>
      <w:r>
        <w:t xml:space="preserve"> is the file descriptor for the process’s standard input, </w:t>
      </w:r>
      <w:r>
        <w:rPr>
          <w:rStyle w:val="Text0"/>
        </w:rPr>
        <w:t>1</w:t>
      </w:r>
      <w:r>
        <w:t xml:space="preserve"> for the process’s standard output, and </w:t>
      </w:r>
      <w:r>
        <w:rPr>
          <w:rStyle w:val="Text0"/>
        </w:rPr>
        <w:t>2</w:t>
      </w:r>
      <w:r>
        <w:t xml:space="preserve"> for the process’s standard error. Calling </w:t>
      </w:r>
      <w:r>
        <w:rPr>
          <w:rStyle w:val="Text0"/>
        </w:rPr>
        <w:t>os</w:t>
      </w:r>
      <w:r>
        <w:t xml:space="preserve"> module methods such as </w:t>
      </w:r>
      <w:r>
        <w:rPr>
          <w:rStyle w:val="Text0"/>
        </w:rPr>
        <w:t>dup</w:t>
      </w:r>
      <w:r>
        <w:t xml:space="preserve"> or </w:t>
      </w:r>
      <w:r>
        <w:rPr>
          <w:rStyle w:val="Text0"/>
        </w:rPr>
        <w:t>close</w:t>
      </w:r>
      <w:r>
        <w:t xml:space="preserve"> on these preallocated file descriptors can be useful for redirecting or manipulating standard input and output streams.</w:t>
      </w:r>
    </w:p>
    <w:p>
      <w:pPr>
        <w:pStyle w:val="Normal"/>
      </w:pPr>
      <w:r>
        <w:t xml:space="preserve">The </w:t>
      </w:r>
      <w:r>
        <w:rPr>
          <w:rStyle w:val="Text0"/>
        </w:rPr>
        <w:t>os</w:t>
      </w:r>
      <w:r>
        <w:t xml:space="preserve"> module provides many functions for dealing with file descriptors; some of the most useful are listed in </w:t>
      </w:r>
      <w:hyperlink w:anchor="Table_11_18__Useful_os_module_fu">
        <w:r>
          <w:rPr>
            <w:rStyle w:val="Text1"/>
          </w:rPr>
          <w:t>Table 11-18</w:t>
        </w:r>
      </w:hyperlink>
      <w:r>
        <w:t>.</w:t>
      </w:r>
    </w:p>
    <w:tbl>
      <w:tblPr>
        <w:tblW w:type="auto" w:w="0"/>
      </w:tblPr>
      <w:tr>
        <w:tc>
          <w:tcPr>
            <w:tcW w:type="auto" w:w="0"/>
            <w:tcMar>
              <w:left w:type="dxa" w:w="200"/>
              <w:top w:type="dxa" w:w="200"/>
              <w:right w:type="dxa" w:w="200"/>
              <w:bottom w:type="dxa" w:w="200"/>
            </w:tcMar>
          </w:tcPr>
          <w:p>
            <w:bookmarkStart w:id="2685" w:name="Table_11_18__Useful_os_module_fu"/>
            <w:pPr>
              <w:pStyle w:val="Para 011"/>
            </w:pPr>
            <w:r>
              <w:rPr>
                <w:rStyle w:val="Text117"/>
              </w:rPr>
              <w:t/>
            </w:r>
            <w:r>
              <w:t xml:space="preserve">Table 11-18. </w:t>
              <w:t xml:space="preserve">Useful </w:t>
            </w:r>
            <w:r>
              <w:rPr>
                <w:rStyle w:val="Text0"/>
              </w:rPr>
              <w:t>os</w:t>
            </w:r>
            <w:r>
              <w:t xml:space="preserve"> module functions to deal with file descriptors</w:t>
            </w:r>
            <w:bookmarkEnd w:id="2685"/>
          </w:p>
          <w:p>
            <w:pPr>
              <w:pStyle w:val="Para 001"/>
            </w:pPr>
            <w:r>
              <w:t>close</w:t>
            </w:r>
          </w:p>
        </w:tc>
        <w:tc>
          <w:tcPr>
            <w:tcW w:type="auto" w:w="0"/>
            <w:tcMar>
              <w:left w:type="dxa" w:w="200"/>
              <w:top w:type="dxa" w:w="200"/>
              <w:right w:type="dxa" w:w="200"/>
              <w:bottom w:type="dxa" w:w="200"/>
            </w:tcMar>
          </w:tcPr>
          <w:p>
            <w:pPr>
              <w:pStyle w:val="Para 002"/>
            </w:pPr>
            <w:r>
              <w:rPr>
                <w:rStyle w:val="Text0"/>
              </w:rPr>
              <w:t>close(</w:t>
            </w:r>
            <w:r>
              <w:rPr>
                <w:rStyle w:val="Text3"/>
              </w:rPr>
              <w:t>fd</w:t>
            </w:r>
            <w:r>
              <w:rPr>
                <w:rStyle w:val="Text0"/>
              </w:rPr>
              <w:t>)</w:t>
              <w:br w:clear="none"/>
            </w:r>
            <w:r>
              <w:t xml:space="preserve"> Closes file descriptor </w:t>
            </w:r>
            <w:r>
              <w:rPr>
                <w:rStyle w:val="Text3"/>
              </w:rPr>
              <w:t>fd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closerange</w:t>
            </w:r>
          </w:p>
        </w:tc>
        <w:tc>
          <w:tcPr>
            <w:tcW w:type="auto" w:w="0"/>
            <w:shd w:val="clear" w:color="auto" w:fill="EEF2F6"/>
            <w:tcMar>
              <w:left w:type="dxa" w:w="200"/>
              <w:top w:type="dxa" w:w="200"/>
              <w:right w:type="dxa" w:w="200"/>
              <w:bottom w:type="dxa" w:w="200"/>
            </w:tcMar>
          </w:tcPr>
          <w:p>
            <w:pPr>
              <w:pStyle w:val="Para 002"/>
            </w:pPr>
            <w:r>
              <w:rPr>
                <w:rStyle w:val="Text0"/>
              </w:rPr>
              <w:t>closerange(</w:t>
            </w:r>
            <w:r>
              <w:rPr>
                <w:rStyle w:val="Text3"/>
              </w:rPr>
              <w:t>fd_low</w:t>
            </w:r>
            <w:r>
              <w:rPr>
                <w:rStyle w:val="Text0"/>
              </w:rPr>
              <w:t>,</w:t>
            </w:r>
            <w:r>
              <w:t xml:space="preserve"> </w:t>
            </w:r>
            <w:r>
              <w:rPr>
                <w:rStyle w:val="Text3"/>
              </w:rPr>
              <w:t>fd_high</w:t>
            </w:r>
            <w:r>
              <w:rPr>
                <w:rStyle w:val="Text0"/>
              </w:rPr>
              <w:t>)</w:t>
              <w:br w:clear="none"/>
            </w:r>
            <w:r>
              <w:t xml:space="preserve"> Closes all file descriptors from </w:t>
            </w:r>
            <w:r>
              <w:rPr>
                <w:rStyle w:val="Text3"/>
              </w:rPr>
              <w:t>fd_low</w:t>
            </w:r>
            <w:r>
              <w:t xml:space="preserve">, included, to </w:t>
            </w:r>
            <w:r>
              <w:rPr>
                <w:rStyle w:val="Text3"/>
              </w:rPr>
              <w:t>fd_high</w:t>
            </w:r>
            <w:r>
              <w:t>, excluded, ignoring any errors that may occur.</w:t>
            </w:r>
          </w:p>
        </w:tc>
      </w:tr>
    </w:tbl>
    <w:tbl>
      <w:tblPr>
        <w:tblW w:type="auto" w:w="0"/>
      </w:tblPr>
      <w:tr>
        <w:tc>
          <w:tcPr>
            <w:tcW w:type="auto" w:w="0"/>
            <w:tcMar>
              <w:left w:type="dxa" w:w="200"/>
              <w:top w:type="dxa" w:w="200"/>
              <w:right w:type="dxa" w:w="200"/>
              <w:bottom w:type="dxa" w:w="200"/>
            </w:tcMar>
          </w:tcPr>
          <w:p>
            <w:pPr>
              <w:pStyle w:val="Para 001"/>
            </w:pPr>
            <w:r>
              <w:t>dup</w:t>
            </w:r>
          </w:p>
        </w:tc>
        <w:tc>
          <w:tcPr>
            <w:tcW w:type="auto" w:w="0"/>
            <w:tcMar>
              <w:left w:type="dxa" w:w="200"/>
              <w:top w:type="dxa" w:w="200"/>
              <w:right w:type="dxa" w:w="200"/>
              <w:bottom w:type="dxa" w:w="200"/>
            </w:tcMar>
          </w:tcPr>
          <w:p>
            <w:pPr>
              <w:pStyle w:val="Para 002"/>
            </w:pPr>
            <w:r>
              <w:rPr>
                <w:rStyle w:val="Text0"/>
              </w:rPr>
              <w:t>dup(</w:t>
            </w:r>
            <w:r>
              <w:rPr>
                <w:rStyle w:val="Text3"/>
              </w:rPr>
              <w:t>fd</w:t>
            </w:r>
            <w:r>
              <w:rPr>
                <w:rStyle w:val="Text0"/>
              </w:rPr>
              <w:t>)</w:t>
              <w:br w:clear="none"/>
            </w:r>
            <w:r>
              <w:t xml:space="preserve"> Returns a file descriptor that duplicates file descriptor </w:t>
            </w:r>
            <w:r>
              <w:rPr>
                <w:rStyle w:val="Text3"/>
              </w:rPr>
              <w:t>fd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dup2</w:t>
            </w:r>
          </w:p>
        </w:tc>
        <w:tc>
          <w:tcPr>
            <w:tcW w:type="auto" w:w="0"/>
            <w:shd w:val="clear" w:color="auto" w:fill="EEF2F6"/>
            <w:tcMar>
              <w:left w:type="dxa" w:w="200"/>
              <w:top w:type="dxa" w:w="200"/>
              <w:right w:type="dxa" w:w="200"/>
              <w:bottom w:type="dxa" w:w="200"/>
            </w:tcMar>
          </w:tcPr>
          <w:p>
            <w:pPr>
              <w:pStyle w:val="Para 002"/>
            </w:pPr>
            <w:r>
              <w:rPr>
                <w:rStyle w:val="Text0"/>
              </w:rPr>
              <w:t>dup2(</w:t>
            </w:r>
            <w:r>
              <w:rPr>
                <w:rStyle w:val="Text3"/>
              </w:rPr>
              <w:t>fd</w:t>
            </w:r>
            <w:r>
              <w:rPr>
                <w:rStyle w:val="Text0"/>
              </w:rPr>
              <w:t>,</w:t>
            </w:r>
            <w:r>
              <w:t xml:space="preserve"> </w:t>
            </w:r>
            <w:r>
              <w:rPr>
                <w:rStyle w:val="Text3"/>
              </w:rPr>
              <w:t>fd2</w:t>
            </w:r>
            <w:r>
              <w:rPr>
                <w:rStyle w:val="Text0"/>
              </w:rPr>
              <w:t>)</w:t>
              <w:br w:clear="none"/>
            </w:r>
            <w:r>
              <w:t xml:space="preserve"> Duplicates file descriptor </w:t>
            </w:r>
            <w:r>
              <w:rPr>
                <w:rStyle w:val="Text3"/>
              </w:rPr>
              <w:t>fd</w:t>
            </w:r>
            <w:r>
              <w:t xml:space="preserve"> to file descriptor </w:t>
            </w:r>
            <w:r>
              <w:rPr>
                <w:rStyle w:val="Text3"/>
              </w:rPr>
              <w:t>fd2</w:t>
            </w:r>
            <w:r>
              <w:t xml:space="preserve">. When file descriptor </w:t>
            </w:r>
            <w:r>
              <w:rPr>
                <w:rStyle w:val="Text3"/>
              </w:rPr>
              <w:t>fd2</w:t>
            </w:r>
            <w:r>
              <w:t xml:space="preserve"> is already open, </w:t>
            </w:r>
            <w:r>
              <w:rPr>
                <w:rStyle w:val="Text0"/>
              </w:rPr>
              <w:t>dup2</w:t>
            </w:r>
            <w:r>
              <w:t xml:space="preserve"> first closes </w:t>
            </w:r>
            <w:r>
              <w:rPr>
                <w:rStyle w:val="Text3"/>
              </w:rPr>
              <w:t>fd2</w:t>
            </w:r>
            <w:r>
              <w:t>.</w:t>
            </w:r>
          </w:p>
        </w:tc>
      </w:tr>
    </w:tbl>
    <w:tbl>
      <w:tblPr>
        <w:tblW w:type="auto" w:w="0"/>
      </w:tblPr>
      <w:tr>
        <w:tc>
          <w:tcPr>
            <w:tcW w:type="auto" w:w="0"/>
            <w:tcMar>
              <w:left w:type="dxa" w:w="200"/>
              <w:top w:type="dxa" w:w="200"/>
              <w:right w:type="dxa" w:w="200"/>
              <w:bottom w:type="dxa" w:w="200"/>
            </w:tcMar>
          </w:tcPr>
          <w:p>
            <w:pPr>
              <w:pStyle w:val="Para 001"/>
            </w:pPr>
            <w:r>
              <w:t>fdopen</w:t>
            </w:r>
          </w:p>
        </w:tc>
        <w:tc>
          <w:tcPr>
            <w:tcW w:type="auto" w:w="0"/>
            <w:tcMar>
              <w:left w:type="dxa" w:w="200"/>
              <w:top w:type="dxa" w:w="200"/>
              <w:right w:type="dxa" w:w="200"/>
              <w:bottom w:type="dxa" w:w="200"/>
            </w:tcMar>
          </w:tcPr>
          <w:p>
            <w:pPr>
              <w:pStyle w:val="Para 002"/>
            </w:pPr>
            <w:r>
              <w:rPr>
                <w:rStyle w:val="Text0"/>
              </w:rPr>
              <w:t>fdopen(</w:t>
            </w:r>
            <w:r>
              <w:rPr>
                <w:rStyle w:val="Text3"/>
              </w:rPr>
              <w:t>fd</w:t>
            </w:r>
            <w:r>
              <w:rPr>
                <w:rStyle w:val="Text0"/>
              </w:rPr>
              <w:t>,</w:t>
            </w:r>
            <w:r>
              <w:t xml:space="preserve"> </w:t>
            </w:r>
            <w:r>
              <w:rPr>
                <w:rStyle w:val="Text3"/>
              </w:rPr>
              <w:t>*a</w:t>
            </w:r>
            <w:r>
              <w:rPr>
                <w:rStyle w:val="Text0"/>
              </w:rPr>
              <w:t>,</w:t>
            </w:r>
            <w:r>
              <w:t xml:space="preserve"> </w:t>
            </w:r>
            <w:r>
              <w:rPr>
                <w:rStyle w:val="Text3"/>
              </w:rPr>
              <w:t>**k</w:t>
            </w:r>
            <w:r>
              <w:rPr>
                <w:rStyle w:val="Text0"/>
              </w:rPr>
              <w:t>)</w:t>
              <w:br w:clear="none"/>
            </w:r>
            <w:r>
              <w:t xml:space="preserve"> Like</w:t>
            </w:r>
            <w:r>
              <w:rPr>
                <w:rStyle w:val="Text111"/>
              </w:rPr>
              <w:bookmarkStart w:id="2686" w:name="idm45965203944736"/>
              <w:t/>
              <w:bookmarkEnd w:id="2686"/>
            </w:r>
            <w:r>
              <w:t xml:space="preserve"> </w:t>
            </w:r>
            <w:r>
              <w:rPr>
                <w:rStyle w:val="Text0"/>
              </w:rPr>
              <w:t>io.open</w:t>
            </w:r>
            <w:r>
              <w:t xml:space="preserve">, except that </w:t>
            </w:r>
            <w:r>
              <w:rPr>
                <w:rStyle w:val="Text3"/>
              </w:rPr>
              <w:t>fd</w:t>
            </w:r>
            <w:r>
              <w:t xml:space="preserve"> </w:t>
            </w:r>
            <w:r>
              <w:rPr>
                <w:rStyle w:val="Text4"/>
              </w:rPr>
              <w:t>must</w:t>
            </w:r>
            <w:r>
              <w:t xml:space="preserve"> be an </w:t>
            </w:r>
            <w:r>
              <w:rPr>
                <w:rStyle w:val="Text0"/>
              </w:rPr>
              <w:t>int</w:t>
            </w:r>
            <w:r>
              <w:t xml:space="preserve"> that is an open file descriptor.</w:t>
            </w:r>
          </w:p>
        </w:tc>
      </w:tr>
    </w:tbl>
    <w:tbl>
      <w:tblPr>
        <w:tblW w:type="auto" w:w="0"/>
      </w:tblPr>
      <w:tr>
        <w:tc>
          <w:tcPr>
            <w:tcW w:type="auto" w:w="0"/>
            <w:shd w:val="clear" w:color="auto" w:fill="EEF2F6"/>
            <w:tcMar>
              <w:left w:type="dxa" w:w="200"/>
              <w:top w:type="dxa" w:w="200"/>
              <w:right w:type="dxa" w:w="200"/>
              <w:bottom w:type="dxa" w:w="200"/>
            </w:tcMar>
          </w:tcPr>
          <w:p>
            <w:pPr>
              <w:pStyle w:val="Para 001"/>
            </w:pPr>
            <w:r>
              <w:t>fstat</w:t>
            </w:r>
          </w:p>
        </w:tc>
        <w:tc>
          <w:tcPr>
            <w:tcW w:type="auto" w:w="0"/>
            <w:shd w:val="clear" w:color="auto" w:fill="EEF2F6"/>
            <w:tcMar>
              <w:left w:type="dxa" w:w="200"/>
              <w:top w:type="dxa" w:w="200"/>
              <w:right w:type="dxa" w:w="200"/>
              <w:bottom w:type="dxa" w:w="200"/>
            </w:tcMar>
          </w:tcPr>
          <w:p>
            <w:pPr>
              <w:pStyle w:val="Para 002"/>
            </w:pPr>
            <w:r>
              <w:rPr>
                <w:rStyle w:val="Text0"/>
              </w:rPr>
              <w:t>fstat(</w:t>
            </w:r>
            <w:r>
              <w:rPr>
                <w:rStyle w:val="Text3"/>
              </w:rPr>
              <w:t>fd</w:t>
            </w:r>
            <w:r>
              <w:rPr>
                <w:rStyle w:val="Text0"/>
              </w:rPr>
              <w:t>)</w:t>
              <w:br w:clear="none"/>
            </w:r>
            <w:r>
              <w:t xml:space="preserve"> Returns a </w:t>
            </w:r>
            <w:r>
              <w:rPr>
                <w:rStyle w:val="Text0"/>
              </w:rPr>
              <w:t>stat_result</w:t>
            </w:r>
            <w:r>
              <w:t xml:space="preserve"> instance </w:t>
            </w:r>
            <w:r>
              <w:rPr>
                <w:rStyle w:val="Text3"/>
              </w:rPr>
              <w:t>x</w:t>
            </w:r>
            <w:r>
              <w:t xml:space="preserve">, with information about the file open on file descriptor </w:t>
            </w:r>
            <w:r>
              <w:rPr>
                <w:rStyle w:val="Text3"/>
              </w:rPr>
              <w:t>fd</w:t>
            </w:r>
            <w:r>
              <w:t xml:space="preserve">. </w:t>
            </w:r>
            <w:hyperlink w:anchor="Table_11_17__Items__attributes">
              <w:r>
                <w:rPr>
                  <w:rStyle w:val="Text1"/>
                </w:rPr>
                <w:t>Table 11-17</w:t>
              </w:r>
            </w:hyperlink>
            <w:r>
              <w:t xml:space="preserve"> covers </w:t>
            </w:r>
            <w:r>
              <w:rPr>
                <w:rStyle w:val="Text3"/>
              </w:rPr>
              <w:t>x</w:t>
            </w:r>
            <w:r>
              <w:t>’s contents.</w:t>
            </w:r>
          </w:p>
        </w:tc>
      </w:tr>
    </w:tbl>
    <w:tbl>
      <w:tblPr>
        <w:tblW w:type="auto" w:w="0"/>
      </w:tblPr>
      <w:tr>
        <w:tc>
          <w:tcPr>
            <w:tcW w:type="auto" w:w="0"/>
            <w:tcMar>
              <w:left w:type="dxa" w:w="200"/>
              <w:top w:type="dxa" w:w="200"/>
              <w:right w:type="dxa" w:w="200"/>
              <w:bottom w:type="dxa" w:w="200"/>
            </w:tcMar>
          </w:tcPr>
          <w:p>
            <w:pPr>
              <w:pStyle w:val="Para 001"/>
            </w:pPr>
            <w:r>
              <w:t>lseek</w:t>
            </w:r>
          </w:p>
        </w:tc>
        <w:tc>
          <w:tcPr>
            <w:tcW w:type="auto" w:w="0"/>
            <w:tcMar>
              <w:left w:type="dxa" w:w="200"/>
              <w:top w:type="dxa" w:w="200"/>
              <w:right w:type="dxa" w:w="200"/>
              <w:bottom w:type="dxa" w:w="200"/>
            </w:tcMar>
          </w:tcPr>
          <w:p>
            <w:pPr>
              <w:pStyle w:val="Para 002"/>
            </w:pPr>
            <w:r>
              <w:rPr>
                <w:rStyle w:val="Text0"/>
              </w:rPr>
              <w:t>lseek(</w:t>
            </w:r>
            <w:r>
              <w:rPr>
                <w:rStyle w:val="Text3"/>
              </w:rPr>
              <w:t>fd</w:t>
            </w:r>
            <w:r>
              <w:rPr>
                <w:rStyle w:val="Text0"/>
              </w:rPr>
              <w:t>,</w:t>
            </w:r>
            <w:r>
              <w:t xml:space="preserve"> </w:t>
            </w:r>
            <w:r>
              <w:rPr>
                <w:rStyle w:val="Text3"/>
              </w:rPr>
              <w:t>pos</w:t>
            </w:r>
            <w:r>
              <w:rPr>
                <w:rStyle w:val="Text0"/>
              </w:rPr>
              <w:t>,</w:t>
            </w:r>
            <w:r>
              <w:t xml:space="preserve"> </w:t>
            </w:r>
            <w:r>
              <w:rPr>
                <w:rStyle w:val="Text3"/>
              </w:rPr>
              <w:t>how</w:t>
            </w:r>
            <w:r>
              <w:rPr>
                <w:rStyle w:val="Text0"/>
              </w:rPr>
              <w:t>)</w:t>
              <w:br w:clear="none"/>
            </w:r>
            <w:r>
              <w:t xml:space="preserve"> Sets the current position of file descriptor </w:t>
            </w:r>
            <w:r>
              <w:rPr>
                <w:rStyle w:val="Text3"/>
              </w:rPr>
              <w:t>fd</w:t>
            </w:r>
            <w:r>
              <w:t xml:space="preserve"> to the signed integer byte offset </w:t>
            </w:r>
            <w:r>
              <w:rPr>
                <w:rStyle w:val="Text3"/>
              </w:rPr>
              <w:t>pos</w:t>
            </w:r>
            <w:r>
              <w:t xml:space="preserve"> and returns the resulting byte offset from the start of the file. </w:t>
            </w:r>
            <w:r>
              <w:rPr>
                <w:rStyle w:val="Text3"/>
              </w:rPr>
              <w:t>how</w:t>
            </w:r>
            <w:r>
              <w:t xml:space="preserve"> indicates the reference (point </w:t>
            </w:r>
            <w:r>
              <w:rPr>
                <w:rStyle w:val="Text0"/>
              </w:rPr>
              <w:t>0</w:t>
            </w:r>
            <w:r>
              <w:t xml:space="preserve">). When </w:t>
            </w:r>
            <w:r>
              <w:rPr>
                <w:rStyle w:val="Text3"/>
              </w:rPr>
              <w:t>how</w:t>
            </w:r>
            <w:r>
              <w:t xml:space="preserve"> is </w:t>
            </w:r>
            <w:r>
              <w:rPr>
                <w:rStyle w:val="Text0"/>
              </w:rPr>
              <w:t>os.SEEK_SET</w:t>
            </w:r>
            <w:r>
              <w:t xml:space="preserve">, a </w:t>
            </w:r>
            <w:r>
              <w:rPr>
                <w:rStyle w:val="Text3"/>
              </w:rPr>
              <w:t>pos</w:t>
            </w:r>
            <w:r>
              <w:t xml:space="preserve"> of </w:t>
            </w:r>
            <w:r>
              <w:rPr>
                <w:rStyle w:val="Text0"/>
              </w:rPr>
              <w:t>0</w:t>
            </w:r>
            <w:r>
              <w:t xml:space="preserve"> means the start of the file; for </w:t>
            </w:r>
            <w:r>
              <w:rPr>
                <w:rStyle w:val="Text0"/>
              </w:rPr>
              <w:t>os.SEEK_CUR</w:t>
            </w:r>
            <w:r>
              <w:t xml:space="preserve"> it means the current position, and for </w:t>
            </w:r>
            <w:r>
              <w:rPr>
                <w:rStyle w:val="Text0"/>
              </w:rPr>
              <w:t>os.SEEK_END</w:t>
            </w:r>
            <w:r>
              <w:t xml:space="preserve"> it means the end of the file. For example, </w:t>
            </w:r>
            <w:r>
              <w:rPr>
                <w:rStyle w:val="Text0"/>
              </w:rPr>
              <w:t>lseek(</w:t>
            </w:r>
            <w:r>
              <w:rPr>
                <w:rStyle w:val="Text3"/>
              </w:rPr>
              <w:t>fd</w:t>
            </w:r>
            <w:r>
              <w:rPr>
                <w:rStyle w:val="Text0"/>
              </w:rPr>
              <w:t>, 0, os.SEEK_CUR</w:t>
            </w:r>
            <w:r>
              <w:t xml:space="preserve">) returns the current position’s byte offset from the start of the file without affecting the current position. Normal disk files support seeking; calling </w:t>
            </w:r>
            <w:r>
              <w:rPr>
                <w:rStyle w:val="Text0"/>
              </w:rPr>
              <w:t>lseek</w:t>
            </w:r>
            <w:r>
              <w:t xml:space="preserve"> on a file that does not support seeking (e.g., a file open for output to a terminal) raises an exception.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open</w:t>
            </w:r>
          </w:p>
        </w:tc>
        <w:tc>
          <w:tcPr>
            <w:tcW w:type="auto" w:w="0"/>
            <w:shd w:val="clear" w:color="auto" w:fill="EEF2F6"/>
            <w:tcMar>
              <w:left w:type="dxa" w:w="200"/>
              <w:top w:type="dxa" w:w="200"/>
              <w:right w:type="dxa" w:w="200"/>
              <w:bottom w:type="dxa" w:w="200"/>
            </w:tcMar>
          </w:tcPr>
          <w:p>
            <w:pPr>
              <w:pStyle w:val="Para 002"/>
            </w:pPr>
            <w:r>
              <w:rPr>
                <w:rStyle w:val="Text0"/>
              </w:rPr>
              <w:t>open(</w:t>
            </w:r>
            <w:r>
              <w:rPr>
                <w:rStyle w:val="Text3"/>
              </w:rPr>
              <w:t>file</w:t>
            </w:r>
            <w:r>
              <w:rPr>
                <w:rStyle w:val="Text0"/>
              </w:rPr>
              <w:t>,</w:t>
            </w:r>
            <w:r>
              <w:t xml:space="preserve"> </w:t>
            </w:r>
            <w:r>
              <w:rPr>
                <w:rStyle w:val="Text3"/>
              </w:rPr>
              <w:t>flags</w:t>
            </w:r>
            <w:r>
              <w:rPr>
                <w:rStyle w:val="Text0"/>
              </w:rPr>
              <w:t>, mode=0o777)</w:t>
              <w:br w:clear="none"/>
            </w:r>
            <w:r>
              <w:t xml:space="preserve"> Returns a file descriptor, opening or creating a file named by string </w:t>
            </w:r>
            <w:r>
              <w:rPr>
                <w:rStyle w:val="Text3"/>
              </w:rPr>
              <w:t>file</w:t>
            </w:r>
            <w:r>
              <w:t xml:space="preserve">. When </w:t>
            </w:r>
            <w:r>
              <w:rPr>
                <w:rStyle w:val="Text0"/>
              </w:rPr>
              <w:t>open</w:t>
            </w:r>
            <w:r>
              <w:t xml:space="preserve"> creates the file, it uses </w:t>
            </w:r>
            <w:r>
              <w:rPr>
                <w:rStyle w:val="Text0"/>
              </w:rPr>
              <w:t>mode</w:t>
            </w:r>
            <w:r>
              <w:t xml:space="preserve"> as the file’s permission bits. </w:t>
            </w:r>
            <w:r>
              <w:rPr>
                <w:rStyle w:val="Text3"/>
              </w:rPr>
              <w:t>flags</w:t>
            </w:r>
            <w:r>
              <w:t xml:space="preserve"> is an </w:t>
            </w:r>
            <w:r>
              <w:rPr>
                <w:rStyle w:val="Text0"/>
              </w:rPr>
              <w:t>int</w:t>
            </w:r>
            <w:r>
              <w:t xml:space="preserve">, normally the bitwise OR (with operator </w:t>
            </w:r>
            <w:r>
              <w:rPr>
                <w:rStyle w:val="Text0"/>
              </w:rPr>
              <w:t>|</w:t>
            </w:r>
            <w:r>
              <w:t xml:space="preserve">) of one or more of the following attributes of </w:t>
            </w:r>
            <w:r>
              <w:rPr>
                <w:rStyle w:val="Text0"/>
              </w:rPr>
              <w:t>os</w:t>
            </w:r>
            <w:r>
              <w:t xml:space="preserve">: </w:t>
            </w:r>
          </w:p>
          <w:p>
            <w:pPr>
              <w:pStyle w:val="Para 024"/>
            </w:pPr>
            <w:r>
              <w:t>O_APPEND</w:t>
            </w:r>
          </w:p>
          <w:p>
            <w:pPr>
              <w:pStyle w:val="Para 028"/>
            </w:pPr>
            <w:r>
              <w:t xml:space="preserve">Appends any new data to </w:t>
            </w:r>
            <w:r>
              <w:rPr>
                <w:rStyle w:val="Text3"/>
              </w:rPr>
              <w:t>file</w:t>
            </w:r>
            <w:r>
              <w:t>’s current contents</w:t>
            </w:r>
          </w:p>
          <w:p>
            <w:pPr>
              <w:pStyle w:val="Para 024"/>
            </w:pPr>
            <w:r>
              <w:t>O_BINARY</w:t>
            </w:r>
          </w:p>
          <w:p>
            <w:pPr>
              <w:pStyle w:val="Para 028"/>
            </w:pPr>
            <w:r>
              <w:t xml:space="preserve">Opens </w:t>
            </w:r>
            <w:r>
              <w:rPr>
                <w:rStyle w:val="Text3"/>
              </w:rPr>
              <w:t>file</w:t>
            </w:r>
            <w:r>
              <w:t xml:space="preserve"> in binary rather than text mode on Windows platforms (raises an exception on Unix-like platforms)</w:t>
            </w:r>
          </w:p>
          <w:p>
            <w:pPr>
              <w:pStyle w:val="Para 024"/>
            </w:pPr>
            <w:r>
              <w:t>O_CREAT</w:t>
            </w:r>
          </w:p>
          <w:p>
            <w:pPr>
              <w:pStyle w:val="Para 028"/>
            </w:pPr>
            <w:r>
              <w:t xml:space="preserve">Creates </w:t>
            </w:r>
            <w:r>
              <w:rPr>
                <w:rStyle w:val="Text3"/>
              </w:rPr>
              <w:t>file</w:t>
            </w:r>
            <w:r>
              <w:t xml:space="preserve"> if </w:t>
            </w:r>
            <w:r>
              <w:rPr>
                <w:rStyle w:val="Text3"/>
              </w:rPr>
              <w:t>file</w:t>
            </w:r>
            <w:r>
              <w:t xml:space="preserve"> does not already exist</w:t>
            </w:r>
          </w:p>
          <w:p>
            <w:pPr>
              <w:pStyle w:val="Para 024"/>
            </w:pPr>
            <w:r>
              <w:t>O_DSYNC</w:t>
            </w:r>
            <w:r>
              <w:rPr>
                <w:rStyle w:val="Text12"/>
              </w:rPr>
              <w:t xml:space="preserve">, </w:t>
            </w:r>
            <w:r>
              <w:t>O_RSYNC</w:t>
            </w:r>
            <w:r>
              <w:rPr>
                <w:rStyle w:val="Text12"/>
              </w:rPr>
              <w:t xml:space="preserve">, </w:t>
            </w:r>
            <w:r>
              <w:t>O_SYNC</w:t>
            </w:r>
            <w:r>
              <w:rPr>
                <w:rStyle w:val="Text12"/>
              </w:rPr>
              <w:t xml:space="preserve">, </w:t>
            </w:r>
            <w:r>
              <w:t>O_NOCTTY</w:t>
            </w:r>
          </w:p>
          <w:p>
            <w:pPr>
              <w:pStyle w:val="Para 028"/>
            </w:pPr>
            <w:r>
              <w:t>Set the synchronization mode accordingly, if the platform supports this</w:t>
            </w:r>
          </w:p>
          <w:p>
            <w:pPr>
              <w:pStyle w:val="Para 024"/>
            </w:pPr>
            <w:r>
              <w:t>O_EXCL</w:t>
            </w:r>
          </w:p>
          <w:p>
            <w:pPr>
              <w:pStyle w:val="Para 028"/>
            </w:pPr>
            <w:r>
              <w:t xml:space="preserve">Raises an exception if </w:t>
            </w:r>
            <w:r>
              <w:rPr>
                <w:rStyle w:val="Text3"/>
              </w:rPr>
              <w:t>file</w:t>
            </w:r>
            <w:r>
              <w:t xml:space="preserve"> already exists</w:t>
            </w:r>
          </w:p>
          <w:p>
            <w:pPr>
              <w:pStyle w:val="Para 024"/>
            </w:pPr>
            <w:r>
              <w:t>O_NDELAY</w:t>
            </w:r>
            <w:r>
              <w:rPr>
                <w:rStyle w:val="Text12"/>
              </w:rPr>
              <w:t xml:space="preserve">, </w:t>
            </w:r>
            <w:r>
              <w:t>O_NONBLOCK</w:t>
            </w:r>
          </w:p>
          <w:p>
            <w:pPr>
              <w:pStyle w:val="Para 028"/>
            </w:pPr>
            <w:r>
              <w:t xml:space="preserve">Opens </w:t>
            </w:r>
            <w:r>
              <w:rPr>
                <w:rStyle w:val="Text3"/>
              </w:rPr>
              <w:t>file</w:t>
            </w:r>
            <w:r>
              <w:t xml:space="preserve"> in nonblocking mode, if the platform supports this</w:t>
            </w:r>
          </w:p>
          <w:p>
            <w:pPr>
              <w:pStyle w:val="Para 024"/>
            </w:pPr>
            <w:r>
              <w:t>O_RDONLY</w:t>
            </w:r>
            <w:r>
              <w:rPr>
                <w:rStyle w:val="Text12"/>
              </w:rPr>
              <w:t xml:space="preserve">, </w:t>
            </w:r>
            <w:r>
              <w:t>O_WRONLY</w:t>
            </w:r>
            <w:r>
              <w:rPr>
                <w:rStyle w:val="Text12"/>
              </w:rPr>
              <w:t xml:space="preserve">, </w:t>
            </w:r>
            <w:r>
              <w:t>O_RDWR</w:t>
            </w:r>
          </w:p>
          <w:p>
            <w:pPr>
              <w:pStyle w:val="Para 028"/>
            </w:pPr>
            <w:r>
              <w:t xml:space="preserve">Opens </w:t>
            </w:r>
            <w:r>
              <w:rPr>
                <w:rStyle w:val="Text3"/>
              </w:rPr>
              <w:t>file</w:t>
            </w:r>
            <w:r>
              <w:t xml:space="preserve"> for read-only, write-only, or read/write access, respectively (mutually exclusive: exactly one of these attributes </w:t>
            </w:r>
            <w:r>
              <w:rPr>
                <w:rStyle w:val="Text4"/>
              </w:rPr>
              <w:t>must</w:t>
            </w:r>
            <w:r>
              <w:t xml:space="preserve"> be in </w:t>
            </w:r>
            <w:r>
              <w:rPr>
                <w:rStyle w:val="Text3"/>
              </w:rPr>
              <w:t>flags</w:t>
            </w:r>
            <w:r>
              <w:t>)</w:t>
            </w:r>
          </w:p>
          <w:p>
            <w:pPr>
              <w:pStyle w:val="Para 024"/>
            </w:pPr>
            <w:r>
              <w:t>O_TRUNC</w:t>
            </w:r>
          </w:p>
          <w:p>
            <w:pPr>
              <w:pStyle w:val="Para 028"/>
            </w:pPr>
            <w:r>
              <w:t xml:space="preserve">Throws away previous contents of </w:t>
            </w:r>
            <w:r>
              <w:rPr>
                <w:rStyle w:val="Text3"/>
              </w:rPr>
              <w:t>file</w:t>
            </w:r>
            <w:r>
              <w:t xml:space="preserve"> (incompatible with </w:t>
            </w:r>
            <w:r>
              <w:rPr>
                <w:rStyle w:val="Text0"/>
              </w:rPr>
              <w:t>O_RDONLY</w:t>
            </w:r>
            <w:r>
              <w:t>)</w:t>
            </w:r>
          </w:p>
        </w:tc>
      </w:tr>
    </w:tbl>
    <w:tbl>
      <w:tblPr>
        <w:tblW w:type="auto" w:w="0"/>
      </w:tblPr>
      <w:tr>
        <w:tc>
          <w:tcPr>
            <w:tcW w:type="auto" w:w="0"/>
            <w:tcMar>
              <w:left w:type="dxa" w:w="200"/>
              <w:top w:type="dxa" w:w="200"/>
              <w:right w:type="dxa" w:w="200"/>
              <w:bottom w:type="dxa" w:w="200"/>
            </w:tcMar>
          </w:tcPr>
          <w:p>
            <w:pPr>
              <w:pStyle w:val="Para 001"/>
            </w:pPr>
            <w:r>
              <w:t>pipe</w:t>
            </w:r>
          </w:p>
        </w:tc>
        <w:tc>
          <w:tcPr>
            <w:tcW w:type="auto" w:w="0"/>
            <w:tcMar>
              <w:left w:type="dxa" w:w="200"/>
              <w:top w:type="dxa" w:w="200"/>
              <w:right w:type="dxa" w:w="200"/>
              <w:bottom w:type="dxa" w:w="200"/>
            </w:tcMar>
          </w:tcPr>
          <w:p>
            <w:pPr>
              <w:pStyle w:val="Para 002"/>
            </w:pPr>
            <w:r>
              <w:rPr>
                <w:rStyle w:val="Text0"/>
              </w:rPr>
              <w:t>pipe()</w:t>
              <w:br w:clear="none"/>
            </w:r>
            <w:r>
              <w:t xml:space="preserve"> Creates a pipe and returns a pair of file descriptors </w:t>
            </w:r>
            <w:r>
              <w:rPr>
                <w:rStyle w:val="Text0"/>
              </w:rPr>
              <w:t>(</w:t>
            </w:r>
            <w:r>
              <w:rPr>
                <w:rStyle w:val="Text3"/>
              </w:rPr>
              <w:t>r_fd</w:t>
            </w:r>
            <w:r>
              <w:rPr>
                <w:rStyle w:val="Text0"/>
              </w:rPr>
              <w:t>,</w:t>
            </w:r>
            <w:r>
              <w:t xml:space="preserve"> </w:t>
            </w:r>
            <w:r>
              <w:rPr>
                <w:rStyle w:val="Text3"/>
              </w:rPr>
              <w:t>w_fd</w:t>
            </w:r>
            <w:r>
              <w:rPr>
                <w:rStyle w:val="Text0"/>
              </w:rPr>
              <w:t>)</w:t>
            </w:r>
            <w:r>
              <w:t>, respectively open for reading and writing.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w:t>
            </w:r>
          </w:p>
        </w:tc>
        <w:tc>
          <w:tcPr>
            <w:tcW w:type="auto" w:w="0"/>
            <w:shd w:val="clear" w:color="auto" w:fill="EEF2F6"/>
            <w:tcMar>
              <w:left w:type="dxa" w:w="200"/>
              <w:top w:type="dxa" w:w="200"/>
              <w:right w:type="dxa" w:w="200"/>
              <w:bottom w:type="dxa" w:w="200"/>
            </w:tcMar>
          </w:tcPr>
          <w:p>
            <w:pPr>
              <w:pStyle w:val="Para 002"/>
            </w:pPr>
            <w:r>
              <w:rPr>
                <w:rStyle w:val="Text0"/>
              </w:rPr>
              <w:t>read(</w:t>
            </w:r>
            <w:r>
              <w:rPr>
                <w:rStyle w:val="Text3"/>
              </w:rPr>
              <w:t>fd, n</w:t>
            </w:r>
            <w:r>
              <w:rPr>
                <w:rStyle w:val="Text0"/>
              </w:rPr>
              <w:t>)</w:t>
              <w:br w:clear="none"/>
            </w:r>
            <w:r>
              <w:t xml:space="preserve"> Reads up to </w:t>
            </w:r>
            <w:r>
              <w:rPr>
                <w:rStyle w:val="Text3"/>
              </w:rPr>
              <w:t>n</w:t>
            </w:r>
            <w:r>
              <w:t xml:space="preserve"> bytes from file descriptor </w:t>
            </w:r>
            <w:r>
              <w:rPr>
                <w:rStyle w:val="Text3"/>
              </w:rPr>
              <w:t>fd</w:t>
            </w:r>
            <w:r>
              <w:t xml:space="preserve"> and returns them as a bytestring. Reads and returns </w:t>
            </w:r>
            <w:r>
              <w:rPr>
                <w:rStyle w:val="Text3"/>
              </w:rPr>
              <w:t>m &lt; n</w:t>
            </w:r>
            <w:r>
              <w:t xml:space="preserve"> bytes when only </w:t>
            </w:r>
            <w:r>
              <w:rPr>
                <w:rStyle w:val="Text3"/>
              </w:rPr>
              <w:t>m</w:t>
            </w:r>
            <w:r>
              <w:t xml:space="preserve"> more bytes are currently available for reading from the file. In particular, returns the empty string when no more bytes are currently available from the file, typically because the file is finished.</w:t>
            </w:r>
          </w:p>
        </w:tc>
      </w:tr>
    </w:tbl>
    <w:tbl>
      <w:tblPr>
        <w:tblW w:type="auto" w:w="0"/>
      </w:tblPr>
      <w:tr>
        <w:tc>
          <w:tcPr>
            <w:tcW w:type="auto" w:w="0"/>
            <w:tcMar>
              <w:left w:type="dxa" w:w="200"/>
              <w:top w:type="dxa" w:w="200"/>
              <w:right w:type="dxa" w:w="200"/>
              <w:bottom w:type="dxa" w:w="200"/>
            </w:tcMar>
          </w:tcPr>
          <w:p>
            <w:pPr>
              <w:pStyle w:val="Para 001"/>
            </w:pPr>
            <w:r>
              <w:t>write</w:t>
            </w:r>
          </w:p>
        </w:tc>
        <w:tc>
          <w:tcPr>
            <w:tcW w:type="auto" w:w="0"/>
            <w:tcMar>
              <w:left w:type="dxa" w:w="200"/>
              <w:top w:type="dxa" w:w="200"/>
              <w:right w:type="dxa" w:w="200"/>
              <w:bottom w:type="dxa" w:w="200"/>
            </w:tcMar>
          </w:tcPr>
          <w:p>
            <w:pPr>
              <w:pStyle w:val="Para 002"/>
            </w:pPr>
            <w:r>
              <w:rPr>
                <w:rStyle w:val="Text0"/>
              </w:rPr>
              <w:t>write(</w:t>
            </w:r>
            <w:r>
              <w:rPr>
                <w:rStyle w:val="Text3"/>
              </w:rPr>
              <w:t>fd</w:t>
            </w:r>
            <w:r>
              <w:rPr>
                <w:rStyle w:val="Text0"/>
              </w:rPr>
              <w:t>,</w:t>
            </w:r>
            <w:r>
              <w:t xml:space="preserve"> </w:t>
            </w:r>
            <w:r>
              <w:rPr>
                <w:rStyle w:val="Text3"/>
              </w:rPr>
              <w:t>s</w:t>
            </w:r>
            <w:r>
              <w:rPr>
                <w:rStyle w:val="Text0"/>
              </w:rPr>
              <w:t>)</w:t>
              <w:br w:clear="none"/>
            </w:r>
            <w:r>
              <w:t xml:space="preserve"> Writes all bytes from bytestring </w:t>
            </w:r>
            <w:r>
              <w:rPr>
                <w:rStyle w:val="Text3"/>
              </w:rPr>
              <w:t>s</w:t>
            </w:r>
            <w:r>
              <w:t xml:space="preserve"> to file descriptor </w:t>
            </w:r>
            <w:r>
              <w:rPr>
                <w:rStyle w:val="Text3"/>
              </w:rPr>
              <w:t>fd</w:t>
            </w:r>
            <w:r>
              <w:t xml:space="preserve"> and returns the number of bytes written.</w:t>
            </w:r>
            <w:r>
              <w:rPr>
                <w:rStyle w:val="Text111"/>
              </w:rPr>
              <w:bookmarkStart w:id="2687" w:name="idm45965203864032"/>
              <w:t/>
              <w:bookmarkEnd w:id="2687"/>
              <w:bookmarkStart w:id="2688" w:name="idm45965203862688"/>
              <w:t/>
              <w:bookmarkEnd w:id="2688"/>
              <w:bookmarkStart w:id="2689" w:name="idm45965203861312"/>
              <w:t/>
              <w:bookmarkEnd w:id="2689"/>
              <w:bookmarkStart w:id="2690" w:name="idm45965203859936"/>
              <w:t/>
              <w:bookmarkEnd w:id="2690"/>
            </w:r>
          </w:p>
        </w:tc>
      </w:tr>
    </w:tbl>
    <w:p>
      <w:bookmarkStart w:id="2691" w:name="The_os_path_Module__The_os_path"/>
      <w:pPr>
        <w:keepNext/>
        <w:pStyle w:val="Heading 2"/>
      </w:pPr>
      <w:r>
        <w:t>The os.path Module</w:t>
      </w:r>
      <w:bookmarkEnd w:id="2691"/>
    </w:p>
    <w:p>
      <w:pPr>
        <w:pStyle w:val="Normal"/>
      </w:pPr>
      <w:r>
        <w:t>The</w:t>
      </w:r>
      <w:r>
        <w:rPr>
          <w:rStyle w:val="Text111"/>
        </w:rPr>
        <w:bookmarkStart w:id="2692" w:name="OSpath11"/>
        <w:t/>
        <w:bookmarkEnd w:id="2692"/>
        <w:bookmarkStart w:id="2693" w:name="SLBospath11"/>
        <w:t/>
        <w:bookmarkEnd w:id="2693"/>
      </w:r>
      <w:r>
        <w:t xml:space="preserve"> </w:t>
      </w:r>
      <w:r>
        <w:rPr>
          <w:rStyle w:val="Text0"/>
        </w:rPr>
        <w:t>os.path</w:t>
      </w:r>
      <w:r>
        <w:t xml:space="preserve"> module supplies functions to analyze and transform path strings and path-like objects. The most commonly useful functions from the module are listed in </w:t>
      </w:r>
      <w:hyperlink w:anchor="Table_11_19__Frequently_used_fun">
        <w:r>
          <w:rPr>
            <w:rStyle w:val="Text1"/>
          </w:rPr>
          <w:t>Table 11-19</w:t>
        </w:r>
      </w:hyperlink>
      <w:r>
        <w:t>.</w:t>
      </w:r>
    </w:p>
    <w:tbl>
      <w:tblPr>
        <w:tblW w:type="auto" w:w="0"/>
      </w:tblPr>
      <w:tr>
        <w:tc>
          <w:tcPr>
            <w:tcW w:type="auto" w:w="0"/>
            <w:tcMar>
              <w:left w:type="dxa" w:w="200"/>
              <w:top w:type="dxa" w:w="200"/>
              <w:right w:type="dxa" w:w="200"/>
              <w:bottom w:type="dxa" w:w="200"/>
            </w:tcMar>
          </w:tcPr>
          <w:p>
            <w:bookmarkStart w:id="2694" w:name="Table_11_19__Frequently_used_fun"/>
            <w:pPr>
              <w:pStyle w:val="Para 011"/>
            </w:pPr>
            <w:r>
              <w:rPr>
                <w:rStyle w:val="Text117"/>
              </w:rPr>
              <w:t/>
            </w:r>
            <w:r>
              <w:t xml:space="preserve">Table 11-19. </w:t>
              <w:t xml:space="preserve">Frequently used functions of the </w:t>
            </w:r>
            <w:r>
              <w:rPr>
                <w:rStyle w:val="Text0"/>
              </w:rPr>
              <w:t>os.path</w:t>
            </w:r>
            <w:r>
              <w:t xml:space="preserve"> module</w:t>
            </w:r>
            <w:bookmarkEnd w:id="2694"/>
          </w:p>
          <w:p>
            <w:pPr>
              <w:pStyle w:val="Para 001"/>
            </w:pPr>
            <w:r>
              <w:t>abspath</w:t>
            </w:r>
          </w:p>
        </w:tc>
        <w:tc>
          <w:tcPr>
            <w:tcW w:type="auto" w:w="0"/>
            <w:tcMar>
              <w:left w:type="dxa" w:w="200"/>
              <w:top w:type="dxa" w:w="200"/>
              <w:right w:type="dxa" w:w="200"/>
              <w:bottom w:type="dxa" w:w="200"/>
            </w:tcMar>
          </w:tcPr>
          <w:p>
            <w:pPr>
              <w:pStyle w:val="Para 002"/>
            </w:pPr>
            <w:r>
              <w:rPr>
                <w:rStyle w:val="Text0"/>
              </w:rPr>
              <w:t>abspath(</w:t>
            </w:r>
            <w:r>
              <w:rPr>
                <w:rStyle w:val="Text3"/>
              </w:rPr>
              <w:t>path</w:t>
            </w:r>
            <w:r>
              <w:rPr>
                <w:rStyle w:val="Text0"/>
              </w:rPr>
              <w:t>)</w:t>
              <w:br w:clear="none"/>
            </w:r>
            <w:r>
              <w:t xml:space="preserve"> Returns</w:t>
            </w:r>
            <w:r>
              <w:rPr>
                <w:rStyle w:val="Text111"/>
              </w:rPr>
              <w:bookmarkStart w:id="2695" w:name="idm45965203844560"/>
              <w:t/>
              <w:bookmarkEnd w:id="2695"/>
            </w:r>
            <w:r>
              <w:t xml:space="preserve"> a normalized absolute path string equivalent to </w:t>
            </w:r>
            <w:r>
              <w:rPr>
                <w:rStyle w:val="Text3"/>
              </w:rPr>
              <w:t>path</w:t>
            </w:r>
            <w:r>
              <w:t xml:space="preserve">, just like (in the case where </w:t>
            </w:r>
            <w:r>
              <w:rPr>
                <w:rStyle w:val="Text3"/>
              </w:rPr>
              <w:t>path</w:t>
            </w:r>
            <w:r>
              <w:t xml:space="preserve"> is the name of a file in the current directory):</w:t>
              <w:br w:clear="none"/>
              <w:t xml:space="preserve"> </w:t>
            </w:r>
            <w:r>
              <w:rPr>
                <w:rStyle w:val="Text0"/>
              </w:rPr>
              <w:t>os.path.normpath(os.path.join(os.getcwd(),</w:t>
            </w:r>
            <w:r>
              <w:t xml:space="preserve"> </w:t>
            </w:r>
            <w:r>
              <w:rPr>
                <w:rStyle w:val="Text3"/>
              </w:rPr>
              <w:t>path</w:t>
            </w:r>
            <w:r>
              <w:rPr>
                <w:rStyle w:val="Text0"/>
              </w:rPr>
              <w:t>))</w:t>
              <w:br w:clear="none"/>
            </w:r>
            <w:r>
              <w:t xml:space="preserve"> For example, </w:t>
            </w:r>
            <w:r>
              <w:rPr>
                <w:rStyle w:val="Text0"/>
              </w:rPr>
              <w:t>os.path.abspath(os.curdir)</w:t>
            </w:r>
            <w:r>
              <w:t xml:space="preserve"> is the same as </w:t>
            </w:r>
            <w:r>
              <w:rPr>
                <w:rStyle w:val="Text0"/>
              </w:rPr>
              <w:t>os.getcwd()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basename</w:t>
            </w:r>
          </w:p>
        </w:tc>
        <w:tc>
          <w:tcPr>
            <w:tcW w:type="auto" w:w="0"/>
            <w:shd w:val="clear" w:color="auto" w:fill="EEF2F6"/>
            <w:tcMar>
              <w:left w:type="dxa" w:w="200"/>
              <w:top w:type="dxa" w:w="200"/>
              <w:right w:type="dxa" w:w="200"/>
              <w:bottom w:type="dxa" w:w="200"/>
            </w:tcMar>
          </w:tcPr>
          <w:p>
            <w:pPr>
              <w:pStyle w:val="Para 002"/>
            </w:pPr>
            <w:r>
              <w:rPr>
                <w:rStyle w:val="Text0"/>
              </w:rPr>
              <w:t>basename(</w:t>
            </w:r>
            <w:r>
              <w:rPr>
                <w:rStyle w:val="Text3"/>
              </w:rPr>
              <w:t>path</w:t>
            </w:r>
            <w:r>
              <w:rPr>
                <w:rStyle w:val="Text0"/>
              </w:rPr>
              <w:t>)</w:t>
              <w:br w:clear="none"/>
            </w:r>
            <w:r>
              <w:t xml:space="preserve"> Returns</w:t>
            </w:r>
            <w:r>
              <w:rPr>
                <w:rStyle w:val="Text111"/>
              </w:rPr>
              <w:bookmarkStart w:id="2696" w:name="idm45965203834624"/>
              <w:t/>
              <w:bookmarkEnd w:id="2696"/>
            </w:r>
            <w:r>
              <w:t xml:space="preserve"> the base name part of </w:t>
            </w:r>
            <w:r>
              <w:rPr>
                <w:rStyle w:val="Text3"/>
              </w:rPr>
              <w:t>path</w:t>
            </w:r>
            <w:r>
              <w:t xml:space="preserve">, just like </w:t>
            </w:r>
            <w:r>
              <w:rPr>
                <w:rStyle w:val="Text0"/>
              </w:rPr>
              <w:t>os.path.split(</w:t>
            </w:r>
            <w:r>
              <w:rPr>
                <w:rStyle w:val="Text3"/>
              </w:rPr>
              <w:t>path</w:t>
            </w:r>
            <w:r>
              <w:rPr>
                <w:rStyle w:val="Text0"/>
              </w:rPr>
              <w:t>)[1]</w:t>
            </w:r>
            <w:r>
              <w:t xml:space="preserve">. For example, </w:t>
            </w:r>
            <w:r>
              <w:rPr>
                <w:rStyle w:val="Text0"/>
              </w:rPr>
              <w:t>os.path.basename('b/c/d.e')</w:t>
            </w:r>
            <w:r>
              <w:t xml:space="preserve"> returns </w:t>
            </w:r>
            <w:r>
              <w:rPr>
                <w:rStyle w:val="Text0"/>
              </w:rPr>
              <w:t>'d.e'</w:t>
            </w:r>
            <w:r>
              <w:t>.</w:t>
            </w:r>
          </w:p>
        </w:tc>
      </w:tr>
    </w:tbl>
    <w:tbl>
      <w:tblPr>
        <w:tblW w:type="auto" w:w="0"/>
      </w:tblPr>
      <w:tr>
        <w:tc>
          <w:tcPr>
            <w:tcW w:type="auto" w:w="0"/>
            <w:tcMar>
              <w:left w:type="dxa" w:w="200"/>
              <w:top w:type="dxa" w:w="200"/>
              <w:right w:type="dxa" w:w="200"/>
              <w:bottom w:type="dxa" w:w="200"/>
            </w:tcMar>
          </w:tcPr>
          <w:p>
            <w:pPr>
              <w:pStyle w:val="Para 001"/>
            </w:pPr>
            <w:r>
              <w:t>commonpath</w:t>
            </w:r>
          </w:p>
        </w:tc>
        <w:tc>
          <w:tcPr>
            <w:tcW w:type="auto" w:w="0"/>
            <w:tcMar>
              <w:left w:type="dxa" w:w="200"/>
              <w:top w:type="dxa" w:w="200"/>
              <w:right w:type="dxa" w:w="200"/>
              <w:bottom w:type="dxa" w:w="200"/>
            </w:tcMar>
          </w:tcPr>
          <w:p>
            <w:pPr>
              <w:pStyle w:val="Para 002"/>
            </w:pPr>
            <w:r>
              <w:rPr>
                <w:rStyle w:val="Text0"/>
              </w:rPr>
              <w:t>commonpath(</w:t>
            </w:r>
            <w:r>
              <w:rPr>
                <w:rStyle w:val="Text3"/>
              </w:rPr>
              <w:t>list</w:t>
            </w:r>
            <w:r>
              <w:rPr>
                <w:rStyle w:val="Text0"/>
              </w:rPr>
              <w:t>)</w:t>
              <w:br w:clear="none"/>
            </w:r>
            <w:r>
              <w:t xml:space="preserve"> Accepts</w:t>
            </w:r>
            <w:r>
              <w:rPr>
                <w:rStyle w:val="Text111"/>
              </w:rPr>
              <w:bookmarkStart w:id="2697" w:name="idm45965203826976"/>
              <w:t/>
              <w:bookmarkEnd w:id="2697"/>
            </w:r>
            <w:r>
              <w:t xml:space="preserve"> a sequence of strings or path-like objects, and returns the longest common subpath. Unlike </w:t>
            </w:r>
            <w:r>
              <w:rPr>
                <w:rStyle w:val="Text0"/>
              </w:rPr>
              <w:t>commonprefix</w:t>
            </w:r>
            <w:r>
              <w:t xml:space="preserve">, only returns a valid path; raises </w:t>
            </w:r>
            <w:r>
              <w:rPr>
                <w:rStyle w:val="Text0"/>
              </w:rPr>
              <w:t>ValueError</w:t>
            </w:r>
            <w:r>
              <w:t xml:space="preserve"> if </w:t>
            </w:r>
            <w:r>
              <w:rPr>
                <w:rStyle w:val="Text4"/>
              </w:rPr>
              <w:t>list</w:t>
            </w:r>
            <w:r>
              <w:t xml:space="preserve"> is empty, contains a mixture of absolute and relative paths, or contains paths on different drives.</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com⁠m⁠o⁠n​p⁠r⁠e⁠fix</w:t>
            </w:r>
          </w:p>
        </w:tc>
        <w:tc>
          <w:tcPr>
            <w:tcW w:type="auto" w:w="0"/>
            <w:shd w:val="clear" w:color="auto" w:fill="EEF2F6"/>
            <w:tcMar>
              <w:left w:type="dxa" w:w="200"/>
              <w:top w:type="dxa" w:w="200"/>
              <w:right w:type="dxa" w:w="200"/>
              <w:bottom w:type="dxa" w:w="200"/>
            </w:tcMar>
          </w:tcPr>
          <w:p>
            <w:pPr>
              <w:pStyle w:val="Para 002"/>
            </w:pPr>
            <w:r>
              <w:rPr>
                <w:rStyle w:val="Text0"/>
              </w:rPr>
              <w:t>commonprefix(</w:t>
            </w:r>
            <w:r>
              <w:rPr>
                <w:rStyle w:val="Text3"/>
              </w:rPr>
              <w:t>list</w:t>
            </w:r>
            <w:r>
              <w:rPr>
                <w:rStyle w:val="Text0"/>
              </w:rPr>
              <w:t>)</w:t>
              <w:br w:clear="none"/>
            </w:r>
            <w:r>
              <w:t xml:space="preserve"> Accepts</w:t>
            </w:r>
            <w:r>
              <w:rPr>
                <w:rStyle w:val="Text111"/>
              </w:rPr>
              <w:bookmarkStart w:id="2698" w:name="idm45965203820736"/>
              <w:t/>
              <w:bookmarkEnd w:id="2698"/>
            </w:r>
            <w:r>
              <w:t xml:space="preserve"> a list of strings or pathlike objects and returns the longest string that is a prefix of all items in the list, or </w:t>
            </w:r>
            <w:r>
              <w:rPr>
                <w:rStyle w:val="Text0"/>
              </w:rPr>
              <w:t>'.'</w:t>
            </w:r>
            <w:r>
              <w:t xml:space="preserve"> if </w:t>
            </w:r>
            <w:r>
              <w:rPr>
                <w:rStyle w:val="Text3"/>
              </w:rPr>
              <w:t>list</w:t>
            </w:r>
            <w:r>
              <w:t xml:space="preserve"> is empty. For example, </w:t>
            </w:r>
            <w:r>
              <w:rPr>
                <w:rStyle w:val="Text0"/>
              </w:rPr>
              <w:t>os.path.commonprefix(['foobar', 'foolish'])</w:t>
            </w:r>
            <w:r>
              <w:t xml:space="preserve"> returns </w:t>
            </w:r>
            <w:r>
              <w:rPr>
                <w:rStyle w:val="Text0"/>
              </w:rPr>
              <w:t>'foo'</w:t>
            </w:r>
            <w:r>
              <w:t xml:space="preserve">. May return an invalid path; see </w:t>
            </w:r>
            <w:r>
              <w:rPr>
                <w:rStyle w:val="Text0"/>
              </w:rPr>
              <w:t>commonpath</w:t>
            </w:r>
            <w:r>
              <w:t xml:space="preserve"> if you want to avoid this.</w:t>
            </w:r>
          </w:p>
        </w:tc>
      </w:tr>
    </w:tbl>
    <w:tbl>
      <w:tblPr>
        <w:tblW w:type="auto" w:w="0"/>
      </w:tblPr>
      <w:tr>
        <w:tc>
          <w:tcPr>
            <w:tcW w:type="auto" w:w="0"/>
            <w:tcMar>
              <w:left w:type="dxa" w:w="200"/>
              <w:top w:type="dxa" w:w="200"/>
              <w:right w:type="dxa" w:w="200"/>
              <w:bottom w:type="dxa" w:w="200"/>
            </w:tcMar>
          </w:tcPr>
          <w:p>
            <w:pPr>
              <w:pStyle w:val="Para 001"/>
            </w:pPr>
            <w:r>
              <w:t>dirname</w:t>
            </w:r>
          </w:p>
        </w:tc>
        <w:tc>
          <w:tcPr>
            <w:tcW w:type="auto" w:w="0"/>
            <w:tcMar>
              <w:left w:type="dxa" w:w="200"/>
              <w:top w:type="dxa" w:w="200"/>
              <w:right w:type="dxa" w:w="200"/>
              <w:bottom w:type="dxa" w:w="200"/>
            </w:tcMar>
          </w:tcPr>
          <w:p>
            <w:pPr>
              <w:pStyle w:val="Para 002"/>
            </w:pPr>
            <w:r>
              <w:rPr>
                <w:rStyle w:val="Text0"/>
              </w:rPr>
              <w:t>dirname(</w:t>
            </w:r>
            <w:r>
              <w:rPr>
                <w:rStyle w:val="Text3"/>
              </w:rPr>
              <w:t>path</w:t>
            </w:r>
            <w:r>
              <w:rPr>
                <w:rStyle w:val="Text0"/>
              </w:rPr>
              <w:t>)</w:t>
              <w:br w:clear="none"/>
            </w:r>
            <w:r>
              <w:t xml:space="preserve"> Returns</w:t>
            </w:r>
            <w:r>
              <w:rPr>
                <w:rStyle w:val="Text111"/>
              </w:rPr>
              <w:bookmarkStart w:id="2699" w:name="idm45965203812624"/>
              <w:t/>
              <w:bookmarkEnd w:id="2699"/>
            </w:r>
            <w:r>
              <w:t xml:space="preserve"> the directory part of </w:t>
            </w:r>
            <w:r>
              <w:rPr>
                <w:rStyle w:val="Text3"/>
              </w:rPr>
              <w:t>path</w:t>
            </w:r>
            <w:r>
              <w:t xml:space="preserve">, just like </w:t>
            </w:r>
            <w:r>
              <w:rPr>
                <w:rStyle w:val="Text0"/>
              </w:rPr>
              <w:t>os.path.split(</w:t>
            </w:r>
            <w:r>
              <w:rPr>
                <w:rStyle w:val="Text3"/>
              </w:rPr>
              <w:t>path</w:t>
            </w:r>
            <w:r>
              <w:rPr>
                <w:rStyle w:val="Text0"/>
              </w:rPr>
              <w:t>)[0]</w:t>
            </w:r>
            <w:r>
              <w:t xml:space="preserve">. For example, </w:t>
            </w:r>
            <w:r>
              <w:rPr>
                <w:rStyle w:val="Text0"/>
              </w:rPr>
              <w:t>os.path.dirname('b/c/d.e')</w:t>
            </w:r>
            <w:r>
              <w:t xml:space="preserve"> returns </w:t>
            </w:r>
            <w:r>
              <w:rPr>
                <w:rStyle w:val="Text0"/>
              </w:rPr>
              <w:t>'b/c'</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exists</w:t>
            </w:r>
            <w:r>
              <w:rPr>
                <w:rStyle w:val="Text12"/>
              </w:rPr>
              <w:t>,</w:t>
              <w:br w:clear="none"/>
              <w:t xml:space="preserve"> </w:t>
            </w:r>
            <w:r>
              <w:t>lexists</w:t>
            </w:r>
          </w:p>
        </w:tc>
        <w:tc>
          <w:tcPr>
            <w:tcW w:type="auto" w:w="0"/>
            <w:shd w:val="clear" w:color="auto" w:fill="EEF2F6"/>
            <w:tcMar>
              <w:left w:type="dxa" w:w="200"/>
              <w:top w:type="dxa" w:w="200"/>
              <w:right w:type="dxa" w:w="200"/>
              <w:bottom w:type="dxa" w:w="200"/>
            </w:tcMar>
          </w:tcPr>
          <w:p>
            <w:pPr>
              <w:pStyle w:val="Para 002"/>
            </w:pPr>
            <w:r>
              <w:rPr>
                <w:rStyle w:val="Text0"/>
              </w:rPr>
              <w:t>exists(</w:t>
            </w:r>
            <w:r>
              <w:rPr>
                <w:rStyle w:val="Text3"/>
              </w:rPr>
              <w:t>path</w:t>
            </w:r>
            <w:r>
              <w:rPr>
                <w:rStyle w:val="Text0"/>
              </w:rPr>
              <w:t>)</w:t>
            </w:r>
            <w:r>
              <w:t>,</w:t>
            </w:r>
            <w:r>
              <w:rPr>
                <w:rStyle w:val="Text0"/>
              </w:rPr>
              <w:t xml:space="preserve"> lexists(</w:t>
            </w:r>
            <w:r>
              <w:rPr>
                <w:rStyle w:val="Text3"/>
              </w:rPr>
              <w:t>path</w:t>
            </w:r>
            <w:r>
              <w:rPr>
                <w:rStyle w:val="Text0"/>
              </w:rPr>
              <w:t>)</w:t>
              <w:br w:clear="none"/>
            </w:r>
            <w:r>
              <w:t xml:space="preserve"> </w:t>
            </w:r>
            <w:r>
              <w:rPr>
                <w:rStyle w:val="Text0"/>
              </w:rPr>
              <w:t>exists</w:t>
            </w:r>
            <w:r>
              <w:rPr>
                <w:rStyle w:val="Text111"/>
              </w:rPr>
              <w:bookmarkStart w:id="2700" w:name="idm45965203802144"/>
              <w:t/>
              <w:bookmarkEnd w:id="2700"/>
            </w:r>
            <w:r>
              <w:t xml:space="preserve"> returns </w:t>
            </w:r>
            <w:r>
              <w:rPr>
                <w:rStyle w:val="Text5"/>
              </w:rPr>
              <w:t>True</w:t>
            </w:r>
            <w:r>
              <w:t xml:space="preserve"> when </w:t>
            </w:r>
            <w:r>
              <w:rPr>
                <w:rStyle w:val="Text3"/>
              </w:rPr>
              <w:t>path</w:t>
            </w:r>
            <w:r>
              <w:t xml:space="preserve"> names an existing file or directory (</w:t>
            </w:r>
            <w:r>
              <w:rPr>
                <w:rStyle w:val="Text3"/>
              </w:rPr>
              <w:t>path</w:t>
            </w:r>
            <w:r>
              <w:t xml:space="preserve"> may also be an open file descriptor or path-like object); otherwise, returns </w:t>
            </w:r>
            <w:r>
              <w:rPr>
                <w:rStyle w:val="Text5"/>
              </w:rPr>
              <w:t>False</w:t>
            </w:r>
            <w:r>
              <w:t xml:space="preserve">. In other words, </w:t>
            </w:r>
            <w:r>
              <w:rPr>
                <w:rStyle w:val="Text0"/>
              </w:rPr>
              <w:t>os.path.exists(</w:t>
            </w:r>
            <w:r>
              <w:rPr>
                <w:rStyle w:val="Text3"/>
              </w:rPr>
              <w:t>x</w:t>
            </w:r>
            <w:r>
              <w:rPr>
                <w:rStyle w:val="Text0"/>
              </w:rPr>
              <w:t>)</w:t>
            </w:r>
            <w:r>
              <w:t xml:space="preserve"> is the same as </w:t>
            </w:r>
            <w:r>
              <w:rPr>
                <w:rStyle w:val="Text0"/>
              </w:rPr>
              <w:t>os.access(</w:t>
            </w:r>
            <w:r>
              <w:rPr>
                <w:rStyle w:val="Text3"/>
              </w:rPr>
              <w:t>x</w:t>
            </w:r>
            <w:r>
              <w:t xml:space="preserve">, </w:t>
            </w:r>
            <w:r>
              <w:rPr>
                <w:rStyle w:val="Text0"/>
              </w:rPr>
              <w:t>os.F_OK)</w:t>
            </w:r>
            <w:r>
              <w:t xml:space="preserve">. </w:t>
            </w:r>
            <w:r>
              <w:rPr>
                <w:rStyle w:val="Text0"/>
              </w:rPr>
              <w:t>lexists</w:t>
            </w:r>
            <w:r>
              <w:t xml:space="preserve"> is the same, but also returns </w:t>
            </w:r>
            <w:r>
              <w:rPr>
                <w:rStyle w:val="Text5"/>
              </w:rPr>
              <w:t>True</w:t>
            </w:r>
            <w:r>
              <w:t xml:space="preserve"> when </w:t>
            </w:r>
            <w:r>
              <w:rPr>
                <w:rStyle w:val="Text3"/>
              </w:rPr>
              <w:t>path</w:t>
            </w:r>
            <w:r>
              <w:t xml:space="preserve"> names an existing symbolic link that indicates a nonexistent file or directory (sometimes known as a </w:t>
            </w:r>
            <w:r>
              <w:rPr>
                <w:rStyle w:val="Text4"/>
              </w:rPr>
              <w:t>broken symlink</w:t>
            </w:r>
            <w:r>
              <w:t xml:space="preserve">), while </w:t>
            </w:r>
            <w:r>
              <w:rPr>
                <w:rStyle w:val="Text0"/>
              </w:rPr>
              <w:t>exists</w:t>
            </w:r>
            <w:r>
              <w:t xml:space="preserve"> returns </w:t>
            </w:r>
            <w:r>
              <w:rPr>
                <w:rStyle w:val="Text5"/>
              </w:rPr>
              <w:t>False</w:t>
            </w:r>
            <w:r>
              <w:t xml:space="preserve"> in such cases. Both return </w:t>
            </w:r>
            <w:r>
              <w:rPr>
                <w:rStyle w:val="Text5"/>
              </w:rPr>
              <w:t>False</w:t>
            </w:r>
            <w:r>
              <w:t xml:space="preserve"> for paths containing characters or bytes that are not representable at the OS level.</w:t>
            </w:r>
          </w:p>
        </w:tc>
      </w:tr>
    </w:tbl>
    <w:tbl>
      <w:tblPr>
        <w:tblW w:type="auto" w:w="0"/>
      </w:tblPr>
      <w:tr>
        <w:tc>
          <w:tcPr>
            <w:tcW w:type="auto" w:w="0"/>
            <w:tcMar>
              <w:left w:type="dxa" w:w="200"/>
              <w:top w:type="dxa" w:w="200"/>
              <w:right w:type="dxa" w:w="200"/>
              <w:bottom w:type="dxa" w:w="200"/>
            </w:tcMar>
          </w:tcPr>
          <w:p>
            <w:pPr>
              <w:pStyle w:val="Para 001"/>
            </w:pPr>
            <w:r>
              <w:t>expandvars</w:t>
            </w:r>
            <w:r>
              <w:rPr>
                <w:rStyle w:val="Text12"/>
              </w:rPr>
              <w:t xml:space="preserve">, </w:t>
            </w:r>
            <w:r>
              <w:t>expanduser</w:t>
            </w:r>
          </w:p>
        </w:tc>
        <w:tc>
          <w:tcPr>
            <w:tcW w:type="auto" w:w="0"/>
            <w:tcMar>
              <w:left w:type="dxa" w:w="200"/>
              <w:top w:type="dxa" w:w="200"/>
              <w:right w:type="dxa" w:w="200"/>
              <w:bottom w:type="dxa" w:w="200"/>
            </w:tcMar>
          </w:tcPr>
          <w:p>
            <w:pPr>
              <w:pStyle w:val="Para 002"/>
            </w:pPr>
            <w:r>
              <w:rPr>
                <w:rStyle w:val="Text0"/>
              </w:rPr>
              <w:t>expandvars(</w:t>
            </w:r>
            <w:r>
              <w:rPr>
                <w:rStyle w:val="Text3"/>
              </w:rPr>
              <w:t>path</w:t>
            </w:r>
            <w:r>
              <w:rPr>
                <w:rStyle w:val="Text0"/>
              </w:rPr>
              <w:t>)</w:t>
            </w:r>
            <w:r>
              <w:t>,</w:t>
            </w:r>
            <w:r>
              <w:rPr>
                <w:rStyle w:val="Text0"/>
              </w:rPr>
              <w:t xml:space="preserve"> expanduser(</w:t>
            </w:r>
            <w:r>
              <w:rPr>
                <w:rStyle w:val="Text3"/>
              </w:rPr>
              <w:t>path</w:t>
            </w:r>
            <w:r>
              <w:rPr>
                <w:rStyle w:val="Text0"/>
              </w:rPr>
              <w:t>)</w:t>
              <w:br w:clear="none"/>
            </w:r>
            <w:r>
              <w:t xml:space="preserve"> Returns</w:t>
            </w:r>
            <w:r>
              <w:rPr>
                <w:rStyle w:val="Text111"/>
              </w:rPr>
              <w:bookmarkStart w:id="2701" w:name="idm45965203783888"/>
              <w:t/>
              <w:bookmarkEnd w:id="2701"/>
            </w:r>
            <w:r>
              <w:t xml:space="preserve"> a copy of string or path-like object </w:t>
            </w:r>
            <w:r>
              <w:rPr>
                <w:rStyle w:val="Text3"/>
              </w:rPr>
              <w:t>path</w:t>
            </w:r>
            <w:r>
              <w:t xml:space="preserve">, where each substring of the form </w:t>
            </w:r>
            <w:r>
              <w:rPr>
                <w:rStyle w:val="Text0"/>
              </w:rPr>
              <w:t>$</w:t>
            </w:r>
            <w:r>
              <w:rPr>
                <w:rStyle w:val="Text3"/>
              </w:rPr>
              <w:t>name</w:t>
            </w:r>
            <w:r>
              <w:t xml:space="preserve"> or </w:t>
            </w:r>
            <w:r>
              <w:rPr>
                <w:rStyle w:val="Text0"/>
              </w:rPr>
              <w:t>${</w:t>
            </w:r>
            <w:r>
              <w:rPr>
                <w:rStyle w:val="Text3"/>
              </w:rPr>
              <w:t>name</w:t>
            </w:r>
            <w:r>
              <w:rPr>
                <w:rStyle w:val="Text0"/>
              </w:rPr>
              <w:t>}</w:t>
            </w:r>
            <w:r>
              <w:t xml:space="preserve"> (and </w:t>
            </w:r>
            <w:r>
              <w:rPr>
                <w:rStyle w:val="Text3"/>
              </w:rPr>
              <w:t>%name%</w:t>
            </w:r>
            <w:r>
              <w:t xml:space="preserve"> on Windows only) is replaced with the value of environment variable </w:t>
            </w:r>
            <w:r>
              <w:rPr>
                <w:rStyle w:val="Text3"/>
              </w:rPr>
              <w:t>name</w:t>
            </w:r>
            <w:r>
              <w:t xml:space="preserve">. For example, if environment variable </w:t>
            </w:r>
            <w:r>
              <w:rPr>
                <w:rStyle w:val="Text0"/>
              </w:rPr>
              <w:t>HOME</w:t>
            </w:r>
            <w:r>
              <w:t xml:space="preserve"> is set to </w:t>
            </w:r>
            <w:r>
              <w:rPr>
                <w:rStyle w:val="Text0"/>
              </w:rPr>
              <w:t>/u/alex</w:t>
            </w:r>
            <w:r>
              <w:t xml:space="preserve">, the following code: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os</w:t>
              <w:br w:clear="none"/>
            </w:r>
            <w:r>
              <w:rPr>
                <w:rStyle w:val="Text6"/>
              </w:rPr>
              <w:t xml:space="preserve"/>
              <w:br w:clear="none"/>
            </w:r>
            <w:r>
              <w:rPr>
                <w:rStyle w:val="Text16"/>
              </w:rPr>
              <w:t xml:space="preserve">print</w:t>
              <w:br w:clear="none"/>
            </w:r>
            <w:r>
              <w:rPr>
                <w:rStyle w:val="Text7"/>
              </w:rPr>
              <w:t xml:space="preserve">(</w:t>
              <w:br w:clear="none"/>
            </w:r>
            <w:r>
              <w:t xml:space="preserve">os</w:t>
              <w:br w:clear="none"/>
            </w:r>
            <w:r>
              <w:rPr>
                <w:rStyle w:val="Text13"/>
              </w:rPr>
              <w:t xml:space="preserve">.</w:t>
              <w:br w:clear="none"/>
            </w:r>
            <w:r>
              <w:t xml:space="preserve">path</w:t>
              <w:br w:clear="none"/>
            </w:r>
            <w:r>
              <w:rPr>
                <w:rStyle w:val="Text13"/>
              </w:rPr>
              <w:t xml:space="preserve">.</w:t>
              <w:br w:clear="none"/>
            </w:r>
            <w:r>
              <w:t xml:space="preserve">expandvars</w:t>
              <w:br w:clear="none"/>
            </w:r>
            <w:r>
              <w:rPr>
                <w:rStyle w:val="Text7"/>
              </w:rPr>
              <w:t xml:space="preserve">(</w:t>
              <w:br w:clear="none"/>
            </w:r>
            <w:r>
              <w:rPr>
                <w:rStyle w:val="Text8"/>
              </w:rPr>
              <w:t xml:space="preserve">'</w:t>
              <w:br w:clear="none"/>
              <w:t xml:space="preserve">$HOME/foo/</w:t>
              <w:br w:clear="none"/>
              <w:t xml:space="preserve">'</w:t>
              <w:br w:clear="none"/>
            </w:r>
            <w:r>
              <w:rPr>
                <w:rStyle w:val="Text7"/>
              </w:rPr>
              <w:t xml:space="preserve">)</w:t>
              <w:br w:clear="none"/>
              <w:t xml:space="preserve">)</w:t>
              <w:br w:clear="none"/>
            </w:r>
          </w:p>
          <w:p>
            <w:pPr>
              <w:pStyle w:val="Para 022"/>
            </w:pPr>
            <w:r>
              <w:t xml:space="preserve"> emits </w:t>
            </w:r>
            <w:r>
              <w:rPr>
                <w:rStyle w:val="Text0"/>
              </w:rPr>
              <w:t>/u/alex/foo/</w:t>
            </w:r>
            <w:r>
              <w:t>.</w:t>
              <w:br w:clear="none"/>
              <w:t xml:space="preserve"> </w:t>
            </w:r>
            <w:r>
              <w:rPr>
                <w:rStyle w:val="Text0"/>
              </w:rPr>
              <w:t>os.path.expanduser</w:t>
            </w:r>
            <w:r>
              <w:t xml:space="preserve"> expands a leading </w:t>
            </w:r>
            <w:r>
              <w:rPr>
                <w:rStyle w:val="Text0"/>
              </w:rPr>
              <w:t>~</w:t>
            </w:r>
            <w:r>
              <w:t xml:space="preserve"> or </w:t>
            </w:r>
            <w:r>
              <w:rPr>
                <w:rStyle w:val="Text0"/>
              </w:rPr>
              <w:t>~user</w:t>
            </w:r>
            <w:r>
              <w:t>, if any, to the path of the home directory of the current user.</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getatime</w:t>
            </w:r>
            <w:r>
              <w:rPr>
                <w:rStyle w:val="Text12"/>
              </w:rPr>
              <w:t>,</w:t>
              <w:br w:clear="none"/>
              <w:t xml:space="preserve"> </w:t>
            </w:r>
            <w:r>
              <w:t>getctime</w:t>
            </w:r>
            <w:r>
              <w:rPr>
                <w:rStyle w:val="Text12"/>
              </w:rPr>
              <w:t>,</w:t>
              <w:br w:clear="none"/>
              <w:t xml:space="preserve"> </w:t>
            </w:r>
            <w:r>
              <w:t>getmtime</w:t>
            </w:r>
            <w:r>
              <w:rPr>
                <w:rStyle w:val="Text12"/>
              </w:rPr>
              <w:t>,</w:t>
              <w:br w:clear="none"/>
              <w:t xml:space="preserve"> </w:t>
            </w:r>
            <w:r>
              <w:t>getsize</w:t>
            </w:r>
          </w:p>
        </w:tc>
        <w:tc>
          <w:tcPr>
            <w:tcW w:type="auto" w:w="0"/>
            <w:shd w:val="clear" w:color="auto" w:fill="EEF2F6"/>
            <w:tcMar>
              <w:left w:type="dxa" w:w="200"/>
              <w:top w:type="dxa" w:w="200"/>
              <w:right w:type="dxa" w:w="200"/>
              <w:bottom w:type="dxa" w:w="200"/>
            </w:tcMar>
          </w:tcPr>
          <w:p>
            <w:pPr>
              <w:pStyle w:val="Para 002"/>
            </w:pPr>
            <w:r>
              <w:rPr>
                <w:rStyle w:val="Text0"/>
              </w:rPr>
              <w:t>getatime(</w:t>
            </w:r>
            <w:r>
              <w:rPr>
                <w:rStyle w:val="Text3"/>
              </w:rPr>
              <w:t>path</w:t>
            </w:r>
            <w:r>
              <w:rPr>
                <w:rStyle w:val="Text0"/>
              </w:rPr>
              <w:t>)</w:t>
            </w:r>
            <w:r>
              <w:t>,</w:t>
            </w:r>
            <w:r>
              <w:rPr>
                <w:rStyle w:val="Text0"/>
              </w:rPr>
              <w:t xml:space="preserve"> getctime(</w:t>
            </w:r>
            <w:r>
              <w:rPr>
                <w:rStyle w:val="Text3"/>
              </w:rPr>
              <w:t>path</w:t>
            </w:r>
            <w:r>
              <w:rPr>
                <w:rStyle w:val="Text0"/>
              </w:rPr>
              <w:t>)</w:t>
            </w:r>
            <w:r>
              <w:t>,</w:t>
            </w:r>
            <w:r>
              <w:rPr>
                <w:rStyle w:val="Text0"/>
              </w:rPr>
              <w:t xml:space="preserve"> getmtime(</w:t>
            </w:r>
            <w:r>
              <w:rPr>
                <w:rStyle w:val="Text3"/>
              </w:rPr>
              <w:t>path</w:t>
            </w:r>
            <w:r>
              <w:rPr>
                <w:rStyle w:val="Text0"/>
              </w:rPr>
              <w:t>)</w:t>
            </w:r>
            <w:r>
              <w:t>,</w:t>
            </w:r>
            <w:r>
              <w:rPr>
                <w:rStyle w:val="Text0"/>
              </w:rPr>
              <w:t xml:space="preserve"> getsize(</w:t>
            </w:r>
            <w:r>
              <w:rPr>
                <w:rStyle w:val="Text3"/>
              </w:rPr>
              <w:t>path</w:t>
            </w:r>
            <w:r>
              <w:rPr>
                <w:rStyle w:val="Text0"/>
              </w:rPr>
              <w:t>)</w:t>
              <w:br w:clear="none"/>
            </w:r>
            <w:r>
              <w:t xml:space="preserve"> Each of these functions calls </w:t>
            </w:r>
            <w:r>
              <w:rPr>
                <w:rStyle w:val="Text0"/>
              </w:rPr>
              <w:t>os.stat(</w:t>
            </w:r>
            <w:r>
              <w:rPr>
                <w:rStyle w:val="Text3"/>
              </w:rPr>
              <w:t>path</w:t>
            </w:r>
            <w:r>
              <w:rPr>
                <w:rStyle w:val="Text0"/>
              </w:rPr>
              <w:t>)</w:t>
            </w:r>
            <w:r>
              <w:t xml:space="preserve"> and returns an attribute from the result: respectively, </w:t>
            </w:r>
            <w:r>
              <w:rPr>
                <w:rStyle w:val="Text0"/>
              </w:rPr>
              <w:t>st_atime</w:t>
            </w:r>
            <w:r>
              <w:t xml:space="preserve">, </w:t>
            </w:r>
            <w:r>
              <w:rPr>
                <w:rStyle w:val="Text0"/>
              </w:rPr>
              <w:t>st_ctime</w:t>
            </w:r>
            <w:r>
              <w:t xml:space="preserve">, </w:t>
            </w:r>
            <w:r>
              <w:rPr>
                <w:rStyle w:val="Text0"/>
              </w:rPr>
              <w:t>st_mtime</w:t>
            </w:r>
            <w:r>
              <w:t xml:space="preserve">, and </w:t>
            </w:r>
            <w:r>
              <w:rPr>
                <w:rStyle w:val="Text0"/>
              </w:rPr>
              <w:t>st_size</w:t>
            </w:r>
            <w:r>
              <w:t xml:space="preserve">. See </w:t>
            </w:r>
            <w:hyperlink w:anchor="Table_11_17__Items__attributes">
              <w:r>
                <w:rPr>
                  <w:rStyle w:val="Text1"/>
                </w:rPr>
                <w:t>Table 11-17</w:t>
              </w:r>
            </w:hyperlink>
            <w:r>
              <w:t xml:space="preserve"> for more details about these attributes.</w:t>
            </w:r>
          </w:p>
        </w:tc>
      </w:tr>
    </w:tbl>
    <w:tbl>
      <w:tblPr>
        <w:tblW w:type="auto" w:w="0"/>
      </w:tblPr>
      <w:tr>
        <w:tc>
          <w:tcPr>
            <w:tcW w:type="auto" w:w="0"/>
            <w:tcMar>
              <w:left w:type="dxa" w:w="200"/>
              <w:top w:type="dxa" w:w="200"/>
              <w:right w:type="dxa" w:w="200"/>
              <w:bottom w:type="dxa" w:w="200"/>
            </w:tcMar>
          </w:tcPr>
          <w:p>
            <w:pPr>
              <w:pStyle w:val="Para 001"/>
            </w:pPr>
            <w:r>
              <w:t>isabs</w:t>
            </w:r>
          </w:p>
        </w:tc>
        <w:tc>
          <w:tcPr>
            <w:tcW w:type="auto" w:w="0"/>
            <w:tcMar>
              <w:left w:type="dxa" w:w="200"/>
              <w:top w:type="dxa" w:w="200"/>
              <w:right w:type="dxa" w:w="200"/>
              <w:bottom w:type="dxa" w:w="200"/>
            </w:tcMar>
          </w:tcPr>
          <w:p>
            <w:pPr>
              <w:pStyle w:val="Para 002"/>
            </w:pPr>
            <w:r>
              <w:rPr>
                <w:rStyle w:val="Text0"/>
              </w:rPr>
              <w:t>isabs(</w:t>
            </w:r>
            <w:r>
              <w:rPr>
                <w:rStyle w:val="Text3"/>
              </w:rPr>
              <w:t>path</w:t>
            </w:r>
            <w:r>
              <w:rPr>
                <w:rStyle w:val="Text0"/>
              </w:rPr>
              <w:t>)</w:t>
              <w:br w:clear="none"/>
            </w:r>
            <w:r>
              <w:t xml:space="preserve"> Returns</w:t>
            </w:r>
            <w:r>
              <w:rPr>
                <w:rStyle w:val="Text111"/>
              </w:rPr>
              <w:bookmarkStart w:id="2702" w:name="idm45965203718080"/>
              <w:t/>
              <w:bookmarkEnd w:id="2702"/>
            </w:r>
            <w:r>
              <w:t xml:space="preserve"> </w:t>
            </w:r>
            <w:r>
              <w:rPr>
                <w:rStyle w:val="Text5"/>
              </w:rPr>
              <w:t>True</w:t>
            </w:r>
            <w:r>
              <w:t xml:space="preserve"> when </w:t>
            </w:r>
            <w:r>
              <w:rPr>
                <w:rStyle w:val="Text3"/>
              </w:rPr>
              <w:t>path</w:t>
            </w:r>
            <w:r>
              <w:t xml:space="preserve"> is absolute. (A path is absolute when it starts with a (back)slash (</w:t>
            </w:r>
            <w:r>
              <w:rPr>
                <w:rStyle w:val="Text0"/>
              </w:rPr>
              <w:t>/</w:t>
            </w:r>
            <w:r>
              <w:t xml:space="preserve"> or </w:t>
            </w:r>
            <w:r>
              <w:rPr>
                <w:rStyle w:val="Text0"/>
              </w:rPr>
              <w:t>\</w:t>
            </w:r>
            <w:r>
              <w:t xml:space="preserve">), or, on some non-Unix-like platforms, such as Windows, with a drive designator followed by </w:t>
            </w:r>
            <w:r>
              <w:rPr>
                <w:rStyle w:val="Text0"/>
              </w:rPr>
              <w:t>os.sep</w:t>
            </w:r>
            <w:r>
              <w:t xml:space="preserve">.) Otherwise, </w:t>
            </w:r>
            <w:r>
              <w:rPr>
                <w:rStyle w:val="Text0"/>
              </w:rPr>
              <w:t>isabs</w:t>
            </w:r>
            <w:r>
              <w:t xml:space="preserv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isdir</w:t>
            </w:r>
          </w:p>
        </w:tc>
        <w:tc>
          <w:tcPr>
            <w:tcW w:type="auto" w:w="0"/>
            <w:shd w:val="clear" w:color="auto" w:fill="EEF2F6"/>
            <w:tcMar>
              <w:left w:type="dxa" w:w="200"/>
              <w:top w:type="dxa" w:w="200"/>
              <w:right w:type="dxa" w:w="200"/>
              <w:bottom w:type="dxa" w:w="200"/>
            </w:tcMar>
          </w:tcPr>
          <w:p>
            <w:pPr>
              <w:pStyle w:val="Para 002"/>
            </w:pPr>
            <w:r>
              <w:rPr>
                <w:rStyle w:val="Text0"/>
              </w:rPr>
              <w:t>isdir(</w:t>
            </w:r>
            <w:r>
              <w:rPr>
                <w:rStyle w:val="Text3"/>
              </w:rPr>
              <w:t>path</w:t>
            </w:r>
            <w:r>
              <w:rPr>
                <w:rStyle w:val="Text0"/>
              </w:rPr>
              <w:t>)</w:t>
              <w:br w:clear="none"/>
            </w:r>
            <w:r>
              <w:t xml:space="preserve"> Returns</w:t>
            </w:r>
            <w:r>
              <w:rPr>
                <w:rStyle w:val="Text111"/>
              </w:rPr>
              <w:bookmarkStart w:id="2703" w:name="idm45965203708368"/>
              <w:t/>
              <w:bookmarkEnd w:id="2703"/>
            </w:r>
            <w:r>
              <w:t xml:space="preserve"> </w:t>
            </w:r>
            <w:r>
              <w:rPr>
                <w:rStyle w:val="Text5"/>
              </w:rPr>
              <w:t>True</w:t>
            </w:r>
            <w:r>
              <w:t xml:space="preserve"> when </w:t>
            </w:r>
            <w:r>
              <w:rPr>
                <w:rStyle w:val="Text3"/>
              </w:rPr>
              <w:t>path</w:t>
            </w:r>
            <w:r>
              <w:t xml:space="preserve"> names an existing directory (</w:t>
            </w:r>
            <w:r>
              <w:rPr>
                <w:rStyle w:val="Text0"/>
              </w:rPr>
              <w:t>isdir</w:t>
            </w:r>
            <w:r>
              <w:t xml:space="preserve"> follows symlinks, so </w:t>
            </w:r>
            <w:r>
              <w:rPr>
                <w:rStyle w:val="Text0"/>
              </w:rPr>
              <w:t>isdir</w:t>
            </w:r>
            <w:r>
              <w:t xml:space="preserve"> and </w:t>
            </w:r>
            <w:r>
              <w:rPr>
                <w:rStyle w:val="Text0"/>
              </w:rPr>
              <w:t>islink</w:t>
            </w:r>
            <w:r>
              <w:t xml:space="preserve"> may both return </w:t>
            </w:r>
            <w:r>
              <w:rPr>
                <w:rStyle w:val="Text5"/>
              </w:rPr>
              <w:t>True</w:t>
            </w:r>
            <w:r>
              <w:t xml:space="preserve"> );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isfile</w:t>
            </w:r>
          </w:p>
        </w:tc>
        <w:tc>
          <w:tcPr>
            <w:tcW w:type="auto" w:w="0"/>
            <w:tcMar>
              <w:left w:type="dxa" w:w="200"/>
              <w:top w:type="dxa" w:w="200"/>
              <w:right w:type="dxa" w:w="200"/>
              <w:bottom w:type="dxa" w:w="200"/>
            </w:tcMar>
          </w:tcPr>
          <w:p>
            <w:pPr>
              <w:pStyle w:val="Para 002"/>
            </w:pPr>
            <w:r>
              <w:rPr>
                <w:rStyle w:val="Text0"/>
              </w:rPr>
              <w:t>isfile(</w:t>
            </w:r>
            <w:r>
              <w:rPr>
                <w:rStyle w:val="Text3"/>
              </w:rPr>
              <w:t>path</w:t>
            </w:r>
            <w:r>
              <w:rPr>
                <w:rStyle w:val="Text0"/>
              </w:rPr>
              <w:t>)</w:t>
              <w:br w:clear="none"/>
            </w:r>
            <w:r>
              <w:t xml:space="preserve"> Returns</w:t>
            </w:r>
            <w:r>
              <w:rPr>
                <w:rStyle w:val="Text111"/>
              </w:rPr>
              <w:bookmarkStart w:id="2704" w:name="idm45965203698608"/>
              <w:t/>
              <w:bookmarkEnd w:id="2704"/>
            </w:r>
            <w:r>
              <w:t xml:space="preserve"> </w:t>
            </w:r>
            <w:r>
              <w:rPr>
                <w:rStyle w:val="Text5"/>
              </w:rPr>
              <w:t>True</w:t>
            </w:r>
            <w:r>
              <w:t xml:space="preserve"> when </w:t>
            </w:r>
            <w:r>
              <w:rPr>
                <w:rStyle w:val="Text3"/>
              </w:rPr>
              <w:t>path</w:t>
            </w:r>
            <w:r>
              <w:t xml:space="preserve"> names an existing regular file (</w:t>
            </w:r>
            <w:r>
              <w:rPr>
                <w:rStyle w:val="Text0"/>
              </w:rPr>
              <w:t>isfile</w:t>
            </w:r>
            <w:r>
              <w:t xml:space="preserve"> follows symlinks, so </w:t>
            </w:r>
            <w:r>
              <w:rPr>
                <w:rStyle w:val="Text0"/>
              </w:rPr>
              <w:t>islink</w:t>
            </w:r>
            <w:r>
              <w:t xml:space="preserve"> may also be </w:t>
            </w:r>
            <w:r>
              <w:rPr>
                <w:rStyle w:val="Text5"/>
              </w:rPr>
              <w:t>True</w:t>
            </w:r>
            <w:r>
              <w:t xml:space="preserv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islink</w:t>
            </w:r>
          </w:p>
        </w:tc>
        <w:tc>
          <w:tcPr>
            <w:tcW w:type="auto" w:w="0"/>
            <w:shd w:val="clear" w:color="auto" w:fill="EEF2F6"/>
            <w:tcMar>
              <w:left w:type="dxa" w:w="200"/>
              <w:top w:type="dxa" w:w="200"/>
              <w:right w:type="dxa" w:w="200"/>
              <w:bottom w:type="dxa" w:w="200"/>
            </w:tcMar>
          </w:tcPr>
          <w:p>
            <w:pPr>
              <w:pStyle w:val="Para 002"/>
            </w:pPr>
            <w:r>
              <w:rPr>
                <w:rStyle w:val="Text0"/>
              </w:rPr>
              <w:t>islink(</w:t>
            </w:r>
            <w:r>
              <w:rPr>
                <w:rStyle w:val="Text3"/>
              </w:rPr>
              <w:t>path</w:t>
            </w:r>
            <w:r>
              <w:rPr>
                <w:rStyle w:val="Text0"/>
              </w:rPr>
              <w:t>)</w:t>
              <w:br w:clear="none"/>
            </w:r>
            <w:r>
              <w:t xml:space="preserve"> Returns </w:t>
            </w:r>
            <w:r>
              <w:rPr>
                <w:rStyle w:val="Text5"/>
              </w:rPr>
              <w:t>True</w:t>
            </w:r>
            <w:r>
              <w:t xml:space="preserve"> when </w:t>
            </w:r>
            <w:r>
              <w:rPr>
                <w:rStyle w:val="Text3"/>
              </w:rPr>
              <w:t>path</w:t>
            </w:r>
            <w:r>
              <w:t xml:space="preserve"> names a symbolic link;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ismount</w:t>
            </w:r>
          </w:p>
        </w:tc>
        <w:tc>
          <w:tcPr>
            <w:tcW w:type="auto" w:w="0"/>
            <w:tcMar>
              <w:left w:type="dxa" w:w="200"/>
              <w:top w:type="dxa" w:w="200"/>
              <w:right w:type="dxa" w:w="200"/>
              <w:bottom w:type="dxa" w:w="200"/>
            </w:tcMar>
          </w:tcPr>
          <w:p>
            <w:pPr>
              <w:pStyle w:val="Para 002"/>
            </w:pPr>
            <w:r>
              <w:rPr>
                <w:rStyle w:val="Text0"/>
              </w:rPr>
              <w:t>ismount(</w:t>
            </w:r>
            <w:r>
              <w:rPr>
                <w:rStyle w:val="Text3"/>
              </w:rPr>
              <w:t>path</w:t>
            </w:r>
            <w:r>
              <w:rPr>
                <w:rStyle w:val="Text0"/>
              </w:rPr>
              <w:t>)</w:t>
              <w:br w:clear="none"/>
            </w:r>
            <w:r>
              <w:t xml:space="preserve"> Returns </w:t>
            </w:r>
            <w:r>
              <w:rPr>
                <w:rStyle w:val="Text5"/>
              </w:rPr>
              <w:t>True</w:t>
            </w:r>
            <w:r>
              <w:t xml:space="preserve"> when </w:t>
            </w:r>
            <w:r>
              <w:rPr>
                <w:rStyle w:val="Text3"/>
              </w:rPr>
              <w:t>path</w:t>
            </w:r>
            <w:r>
              <w:t xml:space="preserve"> names a </w:t>
            </w:r>
            <w:hyperlink r:id="rId362">
              <w:r>
                <w:rPr>
                  <w:rStyle w:val="Text1"/>
                </w:rPr>
                <w:t>mount point</w:t>
              </w:r>
            </w:hyperlink>
            <w:r>
              <w:t xml:space="preserv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join</w:t>
            </w:r>
          </w:p>
        </w:tc>
        <w:tc>
          <w:tcPr>
            <w:tcW w:type="auto" w:w="0"/>
            <w:shd w:val="clear" w:color="auto" w:fill="EEF2F6"/>
            <w:tcMar>
              <w:left w:type="dxa" w:w="200"/>
              <w:top w:type="dxa" w:w="200"/>
              <w:right w:type="dxa" w:w="200"/>
              <w:bottom w:type="dxa" w:w="200"/>
            </w:tcMar>
          </w:tcPr>
          <w:p>
            <w:pPr>
              <w:pStyle w:val="Para 002"/>
            </w:pPr>
            <w:r>
              <w:rPr>
                <w:rStyle w:val="Text0"/>
              </w:rPr>
              <w:t>join(</w:t>
            </w:r>
            <w:r>
              <w:rPr>
                <w:rStyle w:val="Text3"/>
              </w:rPr>
              <w:t>path</w:t>
            </w:r>
            <w:r>
              <w:rPr>
                <w:rStyle w:val="Text0"/>
              </w:rPr>
              <w:t>,</w:t>
            </w:r>
            <w:r>
              <w:t xml:space="preserve"> </w:t>
            </w:r>
            <w:r>
              <w:rPr>
                <w:rStyle w:val="Text3"/>
              </w:rPr>
              <w:t>*paths</w:t>
            </w:r>
            <w:r>
              <w:rPr>
                <w:rStyle w:val="Text0"/>
              </w:rPr>
              <w:t>)</w:t>
              <w:br w:clear="none"/>
            </w:r>
            <w:r>
              <w:t xml:space="preserve"> Returns</w:t>
            </w:r>
            <w:r>
              <w:rPr>
                <w:rStyle w:val="Text111"/>
              </w:rPr>
              <w:bookmarkStart w:id="2705" w:name="idm45965203676464"/>
              <w:t/>
              <w:bookmarkEnd w:id="2705"/>
            </w:r>
            <w:r>
              <w:t xml:space="preserve"> a string that joins the arguments (strings or path-like objects) with the appropriate path separator for the current platform. For example, on Unix, exactly one slash character </w:t>
            </w:r>
            <w:r>
              <w:rPr>
                <w:rStyle w:val="Text0"/>
              </w:rPr>
              <w:t>/</w:t>
            </w:r>
            <w:r>
              <w:t xml:space="preserve"> separates adjacent path components. If any argument is an absolute path, </w:t>
            </w:r>
            <w:r>
              <w:rPr>
                <w:rStyle w:val="Text0"/>
              </w:rPr>
              <w:t>join</w:t>
            </w:r>
            <w:r>
              <w:t xml:space="preserve"> ignores previous arguments. For example: </w:t>
            </w:r>
          </w:p>
          <w:p>
            <w:pPr>
              <w:pStyle w:val="Para 058"/>
            </w:pPr>
            <w:r>
              <w:rPr>
                <w:rStyle w:val="Text116"/>
              </w:rPr>
              <w:t xml:space="preserve"/>
              <w:br w:clear="none"/>
            </w:r>
            <w:r>
              <w:rPr>
                <w:rStyle w:val="Text21"/>
              </w:rPr>
              <w:t xml:space="preserve">print</w:t>
              <w:br w:clear="none"/>
            </w:r>
            <w:r>
              <w:rPr>
                <w:rStyle w:val="Text19"/>
              </w:rPr>
              <w:t xml:space="preserve">(</w:t>
              <w:br w:clear="none"/>
            </w:r>
            <w:r>
              <w:rPr>
                <w:rStyle w:val="Text14"/>
              </w:rPr>
              <w:t xml:space="preserve">os</w:t>
              <w:br w:clear="none"/>
            </w:r>
            <w:r>
              <w:rPr>
                <w:rStyle w:val="Text28"/>
              </w:rPr>
              <w:t xml:space="preserve">.</w:t>
              <w:br w:clear="none"/>
            </w:r>
            <w:r>
              <w:rPr>
                <w:rStyle w:val="Text14"/>
              </w:rPr>
              <w:t xml:space="preserve">path</w:t>
              <w:br w:clear="none"/>
            </w:r>
            <w:r>
              <w:rPr>
                <w:rStyle w:val="Text28"/>
              </w:rPr>
              <w:t xml:space="preserve">.</w:t>
              <w:br w:clear="none"/>
            </w:r>
            <w:r>
              <w:rPr>
                <w:rStyle w:val="Text14"/>
              </w:rPr>
              <w:t xml:space="preserve">join</w:t>
              <w:br w:clear="none"/>
            </w:r>
            <w:r>
              <w:rPr>
                <w:rStyle w:val="Text19"/>
              </w:rPr>
              <w:t xml:space="preserve">(</w:t>
              <w:br w:clear="none"/>
            </w:r>
            <w:r>
              <w:rPr>
                <w:rStyle w:val="Text17"/>
              </w:rPr>
              <w:t xml:space="preserve">'</w:t>
              <w:br w:clear="none"/>
              <w:t xml:space="preserve">a/b</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c/d</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e/f</w:t>
              <w:br w:clear="none"/>
              <w:t xml:space="preserve">'</w:t>
              <w:br w:clear="none"/>
            </w:r>
            <w:r>
              <w:rPr>
                <w:rStyle w:val="Text19"/>
              </w:rPr>
              <w:t xml:space="preserve">)</w:t>
              <w:br w:clear="none"/>
              <w:t xml:space="preserve">)</w:t>
              <w:br w:clear="none"/>
            </w:r>
            <w:r>
              <w:rPr>
                <w:rStyle w:val="Text11"/>
              </w:rPr>
              <w:t xml:space="preserve"/>
              <w:br w:clear="none"/>
            </w:r>
            <w:r>
              <w:t xml:space="preserve"># on Unix prints: a/b/c/d/e/f</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os</w:t>
              <w:br w:clear="none"/>
            </w:r>
            <w:r>
              <w:rPr>
                <w:rStyle w:val="Text28"/>
              </w:rPr>
              <w:t xml:space="preserve">.</w:t>
              <w:br w:clear="none"/>
            </w:r>
            <w:r>
              <w:rPr>
                <w:rStyle w:val="Text14"/>
              </w:rPr>
              <w:t xml:space="preserve">path</w:t>
              <w:br w:clear="none"/>
            </w:r>
            <w:r>
              <w:rPr>
                <w:rStyle w:val="Text28"/>
              </w:rPr>
              <w:t xml:space="preserve">.</w:t>
              <w:br w:clear="none"/>
            </w:r>
            <w:r>
              <w:rPr>
                <w:rStyle w:val="Text14"/>
              </w:rPr>
              <w:t xml:space="preserve">join</w:t>
              <w:br w:clear="none"/>
            </w:r>
            <w:r>
              <w:rPr>
                <w:rStyle w:val="Text19"/>
              </w:rPr>
              <w:t xml:space="preserve">(</w:t>
              <w:br w:clear="none"/>
            </w:r>
            <w:r>
              <w:rPr>
                <w:rStyle w:val="Text17"/>
              </w:rPr>
              <w:t xml:space="preserve">'</w:t>
              <w:br w:clear="none"/>
              <w:t xml:space="preserve">a/b</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/c/d</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e/f</w:t>
              <w:br w:clear="none"/>
              <w:t xml:space="preserve">'</w:t>
              <w:br w:clear="none"/>
            </w:r>
            <w:r>
              <w:rPr>
                <w:rStyle w:val="Text19"/>
              </w:rPr>
              <w:t xml:space="preserve">)</w:t>
              <w:br w:clear="none"/>
              <w:t xml:space="preserve">)</w:t>
              <w:br w:clear="none"/>
            </w:r>
            <w:r>
              <w:rPr>
                <w:rStyle w:val="Text11"/>
              </w:rPr>
              <w:t xml:space="preserve"/>
              <w:br w:clear="none"/>
            </w:r>
            <w:r>
              <w:t xml:space="preserve"># on Unix prints:</w:t>
              <w:br w:clear="none"/>
            </w:r>
            <w:r>
              <w:rPr>
                <w:rStyle w:val="Text4"/>
              </w:rPr>
              <w:t xml:space="preserve"> </w:t>
              <w:br w:clear="none"/>
            </w:r>
            <w:r>
              <w:t xml:space="preserve">/c/d/e/f</w:t>
              <w:br w:clear="none"/>
            </w:r>
          </w:p>
          <w:p>
            <w:pPr>
              <w:pStyle w:val="Para 022"/>
            </w:pPr>
            <w:r>
              <w:t xml:space="preserve"> The second call to </w:t>
            </w:r>
            <w:r>
              <w:rPr>
                <w:rStyle w:val="Text0"/>
              </w:rPr>
              <w:t>os.path.join</w:t>
            </w:r>
            <w:r>
              <w:t xml:space="preserve"> ignores its first argument </w:t>
            </w:r>
            <w:r>
              <w:rPr>
                <w:rStyle w:val="Text0"/>
              </w:rPr>
              <w:t>'a/b'</w:t>
            </w:r>
            <w:r>
              <w:t xml:space="preserve">, since its second argument </w:t>
            </w:r>
            <w:r>
              <w:rPr>
                <w:rStyle w:val="Text0"/>
              </w:rPr>
              <w:t>'/c/d'</w:t>
            </w:r>
            <w:r>
              <w:t xml:space="preserve"> is an absolute path.</w:t>
            </w:r>
          </w:p>
        </w:tc>
      </w:tr>
    </w:tbl>
    <w:tbl>
      <w:tblPr>
        <w:tblW w:type="auto" w:w="0"/>
      </w:tblPr>
      <w:tr>
        <w:tc>
          <w:tcPr>
            <w:tcW w:type="auto" w:w="0"/>
            <w:tcMar>
              <w:left w:type="dxa" w:w="200"/>
              <w:top w:type="dxa" w:w="200"/>
              <w:right w:type="dxa" w:w="200"/>
              <w:bottom w:type="dxa" w:w="200"/>
            </w:tcMar>
          </w:tcPr>
          <w:p>
            <w:pPr>
              <w:pStyle w:val="Para 001"/>
            </w:pPr>
            <w:r>
              <w:t>normcase</w:t>
            </w:r>
          </w:p>
        </w:tc>
        <w:tc>
          <w:tcPr>
            <w:tcW w:type="auto" w:w="0"/>
            <w:tcMar>
              <w:left w:type="dxa" w:w="200"/>
              <w:top w:type="dxa" w:w="200"/>
              <w:right w:type="dxa" w:w="200"/>
              <w:bottom w:type="dxa" w:w="200"/>
            </w:tcMar>
          </w:tcPr>
          <w:p>
            <w:pPr>
              <w:pStyle w:val="Para 002"/>
            </w:pPr>
            <w:r>
              <w:rPr>
                <w:rStyle w:val="Text0"/>
              </w:rPr>
              <w:t>normcase(</w:t>
            </w:r>
            <w:r>
              <w:rPr>
                <w:rStyle w:val="Text3"/>
              </w:rPr>
              <w:t>path</w:t>
            </w:r>
            <w:r>
              <w:rPr>
                <w:rStyle w:val="Text0"/>
              </w:rPr>
              <w:t>)</w:t>
              <w:br w:clear="none"/>
            </w:r>
            <w:r>
              <w:t xml:space="preserve"> Returns a copy of </w:t>
            </w:r>
            <w:r>
              <w:rPr>
                <w:rStyle w:val="Text3"/>
              </w:rPr>
              <w:t>path</w:t>
            </w:r>
            <w:r>
              <w:t xml:space="preserve"> with case normalized for the current platform. On case-sensitive filesystems (typical in Unix-like systems), </w:t>
            </w:r>
            <w:r>
              <w:rPr>
                <w:rStyle w:val="Text3"/>
              </w:rPr>
              <w:t>path</w:t>
            </w:r>
            <w:r>
              <w:t xml:space="preserve"> is returned unchanged. On case-insensitive filesystems (typical in Windows), it lowercases the string. On Windows, </w:t>
            </w:r>
            <w:r>
              <w:rPr>
                <w:rStyle w:val="Text0"/>
              </w:rPr>
              <w:t>normcase</w:t>
            </w:r>
            <w:r>
              <w:t xml:space="preserve"> also converts each </w:t>
            </w:r>
            <w:r>
              <w:rPr>
                <w:rStyle w:val="Text0"/>
              </w:rPr>
              <w:t>/</w:t>
            </w:r>
            <w:r>
              <w:t xml:space="preserve"> to a </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normpath</w:t>
            </w:r>
          </w:p>
        </w:tc>
        <w:tc>
          <w:tcPr>
            <w:tcW w:type="auto" w:w="0"/>
            <w:shd w:val="clear" w:color="auto" w:fill="EEF2F6"/>
            <w:tcMar>
              <w:left w:type="dxa" w:w="200"/>
              <w:top w:type="dxa" w:w="200"/>
              <w:right w:type="dxa" w:w="200"/>
              <w:bottom w:type="dxa" w:w="200"/>
            </w:tcMar>
          </w:tcPr>
          <w:p>
            <w:pPr>
              <w:pStyle w:val="Para 002"/>
            </w:pPr>
            <w:r>
              <w:rPr>
                <w:rStyle w:val="Text0"/>
              </w:rPr>
              <w:t>normpath(</w:t>
            </w:r>
            <w:r>
              <w:rPr>
                <w:rStyle w:val="Text3"/>
              </w:rPr>
              <w:t>path</w:t>
            </w:r>
            <w:r>
              <w:rPr>
                <w:rStyle w:val="Text0"/>
              </w:rPr>
              <w:t>)</w:t>
              <w:br w:clear="none"/>
            </w:r>
            <w:r>
              <w:t xml:space="preserve"> Returns</w:t>
            </w:r>
            <w:r>
              <w:rPr>
                <w:rStyle w:val="Text111"/>
              </w:rPr>
              <w:bookmarkStart w:id="2706" w:name="idm45965203588320"/>
              <w:t/>
              <w:bookmarkEnd w:id="2706"/>
            </w:r>
            <w:r>
              <w:t xml:space="preserve"> a normalized pathname equivalent to </w:t>
            </w:r>
            <w:r>
              <w:rPr>
                <w:rStyle w:val="Text3"/>
              </w:rPr>
              <w:t>path</w:t>
            </w:r>
            <w:r>
              <w:t xml:space="preserve">, removing redundant separators and path-navigation aspects. For example, on Unix, </w:t>
            </w:r>
            <w:r>
              <w:rPr>
                <w:rStyle w:val="Text0"/>
              </w:rPr>
              <w:t>normpath</w:t>
            </w:r>
            <w:r>
              <w:t xml:space="preserve"> returns </w:t>
            </w:r>
            <w:r>
              <w:rPr>
                <w:rStyle w:val="Text0"/>
              </w:rPr>
              <w:t>'a/b'</w:t>
            </w:r>
            <w:r>
              <w:t xml:space="preserve"> when </w:t>
            </w:r>
            <w:r>
              <w:rPr>
                <w:rStyle w:val="Text3"/>
              </w:rPr>
              <w:t>path</w:t>
            </w:r>
            <w:r>
              <w:t xml:space="preserve"> is any of </w:t>
            </w:r>
            <w:r>
              <w:rPr>
                <w:rStyle w:val="Text0"/>
              </w:rPr>
              <w:t>'a//b'</w:t>
            </w:r>
            <w:r>
              <w:t xml:space="preserve">, </w:t>
            </w:r>
            <w:r>
              <w:rPr>
                <w:rStyle w:val="Text0"/>
              </w:rPr>
              <w:t>'a/./b'</w:t>
            </w:r>
            <w:r>
              <w:t xml:space="preserve">, or </w:t>
            </w:r>
            <w:r>
              <w:rPr>
                <w:rStyle w:val="Text0"/>
              </w:rPr>
              <w:t>'a/c/../b'</w:t>
            </w:r>
            <w:r>
              <w:t xml:space="preserve">. </w:t>
            </w:r>
            <w:r>
              <w:rPr>
                <w:rStyle w:val="Text0"/>
              </w:rPr>
              <w:t>normpath</w:t>
            </w:r>
            <w:r>
              <w:t xml:space="preserve"> makes path separators appropriate for the current platform. For example, on Windows, separators become </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realpath</w:t>
            </w:r>
          </w:p>
        </w:tc>
        <w:tc>
          <w:tcPr>
            <w:tcW w:type="auto" w:w="0"/>
            <w:tcMar>
              <w:left w:type="dxa" w:w="200"/>
              <w:top w:type="dxa" w:w="200"/>
              <w:right w:type="dxa" w:w="200"/>
              <w:bottom w:type="dxa" w:w="200"/>
            </w:tcMar>
          </w:tcPr>
          <w:p>
            <w:pPr>
              <w:pStyle w:val="Para 002"/>
            </w:pPr>
            <w:r>
              <w:rPr>
                <w:rStyle w:val="Text0"/>
              </w:rPr>
              <w:t>realpath(</w:t>
            </w:r>
            <w:r>
              <w:rPr>
                <w:rStyle w:val="Text3"/>
              </w:rPr>
              <w:t>path</w:t>
            </w:r>
            <w:r>
              <w:rPr>
                <w:rStyle w:val="Text0"/>
              </w:rPr>
              <w:t>,</w:t>
            </w:r>
            <w:r>
              <w:t xml:space="preserve"> </w:t>
            </w:r>
            <w:r>
              <w:rPr>
                <w:rStyle w:val="Text3"/>
              </w:rPr>
              <w:t>*</w:t>
            </w:r>
            <w:r>
              <w:rPr>
                <w:rStyle w:val="Text0"/>
              </w:rPr>
              <w:t>, strict=</w:t>
            </w:r>
            <w:r>
              <w:rPr>
                <w:rStyle w:val="Text5"/>
              </w:rPr>
              <w:t>False</w:t>
            </w:r>
            <w:r>
              <w:rPr>
                <w:rStyle w:val="Text0"/>
              </w:rPr>
              <w:t>)</w:t>
              <w:br w:clear="none"/>
            </w:r>
            <w:r>
              <w:t xml:space="preserve"> Returns</w:t>
            </w:r>
            <w:r>
              <w:rPr>
                <w:rStyle w:val="Text111"/>
              </w:rPr>
              <w:bookmarkStart w:id="2707" w:name="idm45965203575648"/>
              <w:t/>
              <w:bookmarkEnd w:id="2707"/>
            </w:r>
            <w:r>
              <w:t xml:space="preserve"> the actual path of the specified file or directory or path-like object, resolving symlinks along the way. </w:t>
            </w:r>
            <w:r>
              <w:rPr>
                <w:rStyle w:val="Text34"/>
              </w:rPr>
              <w:t>3.10+</w:t>
            </w:r>
            <w:r>
              <w:t xml:space="preserve"> Set </w:t>
            </w:r>
            <w:r>
              <w:rPr>
                <w:rStyle w:val="Text0"/>
              </w:rPr>
              <w:t>strict=</w:t>
            </w:r>
            <w:r>
              <w:rPr>
                <w:rStyle w:val="Text5"/>
              </w:rPr>
              <w:t>True</w:t>
            </w:r>
            <w:r>
              <w:t xml:space="preserve"> to raise </w:t>
            </w:r>
            <w:r>
              <w:rPr>
                <w:rStyle w:val="Text0"/>
              </w:rPr>
              <w:t>OSError</w:t>
            </w:r>
            <w:r>
              <w:t xml:space="preserve"> when </w:t>
            </w:r>
            <w:r>
              <w:rPr>
                <w:rStyle w:val="Text3"/>
              </w:rPr>
              <w:t>path</w:t>
            </w:r>
            <w:r>
              <w:t xml:space="preserve"> doesn’t exist, or when there is a loop of symlinks.</w:t>
            </w:r>
          </w:p>
        </w:tc>
      </w:tr>
    </w:tbl>
    <w:tbl>
      <w:tblPr>
        <w:tblW w:type="auto" w:w="0"/>
      </w:tblPr>
      <w:tr>
        <w:tc>
          <w:tcPr>
            <w:tcW w:type="auto" w:w="0"/>
            <w:shd w:val="clear" w:color="auto" w:fill="EEF2F6"/>
            <w:tcMar>
              <w:left w:type="dxa" w:w="200"/>
              <w:top w:type="dxa" w:w="200"/>
              <w:right w:type="dxa" w:w="200"/>
              <w:bottom w:type="dxa" w:w="200"/>
            </w:tcMar>
          </w:tcPr>
          <w:p>
            <w:pPr>
              <w:pStyle w:val="Para 001"/>
            </w:pPr>
            <w:r>
              <w:t>relpath</w:t>
            </w:r>
          </w:p>
        </w:tc>
        <w:tc>
          <w:tcPr>
            <w:tcW w:type="auto" w:w="0"/>
            <w:shd w:val="clear" w:color="auto" w:fill="EEF2F6"/>
            <w:tcMar>
              <w:left w:type="dxa" w:w="200"/>
              <w:top w:type="dxa" w:w="200"/>
              <w:right w:type="dxa" w:w="200"/>
              <w:bottom w:type="dxa" w:w="200"/>
            </w:tcMar>
          </w:tcPr>
          <w:p>
            <w:pPr>
              <w:pStyle w:val="Para 002"/>
            </w:pPr>
            <w:r>
              <w:rPr>
                <w:rStyle w:val="Text0"/>
              </w:rPr>
              <w:t>relpath(</w:t>
            </w:r>
            <w:r>
              <w:rPr>
                <w:rStyle w:val="Text3"/>
              </w:rPr>
              <w:t>path</w:t>
            </w:r>
            <w:r>
              <w:rPr>
                <w:rStyle w:val="Text0"/>
              </w:rPr>
              <w:t>, start=os.curdir)</w:t>
              <w:br w:clear="none"/>
            </w:r>
            <w:r>
              <w:t xml:space="preserve"> Returns</w:t>
            </w:r>
            <w:r>
              <w:rPr>
                <w:rStyle w:val="Text111"/>
              </w:rPr>
              <w:bookmarkStart w:id="2708" w:name="idm45965203567648"/>
              <w:t/>
              <w:bookmarkEnd w:id="2708"/>
            </w:r>
            <w:r>
              <w:t xml:space="preserve"> a path to the file or directory </w:t>
            </w:r>
            <w:r>
              <w:rPr>
                <w:rStyle w:val="Text3"/>
              </w:rPr>
              <w:t>path</w:t>
            </w:r>
            <w:r>
              <w:t xml:space="preserve"> (a </w:t>
            </w:r>
            <w:r>
              <w:rPr>
                <w:rStyle w:val="Text0"/>
              </w:rPr>
              <w:t>str</w:t>
            </w:r>
            <w:r>
              <w:t xml:space="preserve"> or path-like object) relative to directory </w:t>
            </w:r>
            <w:r>
              <w:rPr>
                <w:rStyle w:val="Text0"/>
              </w:rPr>
              <w:t>start</w:t>
            </w:r>
            <w:r>
              <w:t>.</w:t>
            </w:r>
          </w:p>
        </w:tc>
      </w:tr>
    </w:tbl>
    <w:tbl>
      <w:tblPr>
        <w:tblW w:type="auto" w:w="0"/>
      </w:tblPr>
      <w:tr>
        <w:tc>
          <w:tcPr>
            <w:tcW w:type="auto" w:w="0"/>
            <w:tcMar>
              <w:left w:type="dxa" w:w="200"/>
              <w:top w:type="dxa" w:w="200"/>
              <w:right w:type="dxa" w:w="200"/>
              <w:bottom w:type="dxa" w:w="200"/>
            </w:tcMar>
          </w:tcPr>
          <w:p>
            <w:pPr>
              <w:pStyle w:val="Para 001"/>
            </w:pPr>
            <w:r>
              <w:t>samefile</w:t>
            </w:r>
          </w:p>
        </w:tc>
        <w:tc>
          <w:tcPr>
            <w:tcW w:type="auto" w:w="0"/>
            <w:tcMar>
              <w:left w:type="dxa" w:w="200"/>
              <w:top w:type="dxa" w:w="200"/>
              <w:right w:type="dxa" w:w="200"/>
              <w:bottom w:type="dxa" w:w="200"/>
            </w:tcMar>
          </w:tcPr>
          <w:p>
            <w:pPr>
              <w:pStyle w:val="Para 002"/>
            </w:pPr>
            <w:r>
              <w:rPr>
                <w:rStyle w:val="Text0"/>
              </w:rPr>
              <w:t>samefile(</w:t>
            </w:r>
            <w:r>
              <w:rPr>
                <w:rStyle w:val="Text3"/>
              </w:rPr>
              <w:t>path1</w:t>
            </w:r>
            <w:r>
              <w:rPr>
                <w:rStyle w:val="Text0"/>
              </w:rPr>
              <w:t>,</w:t>
            </w:r>
            <w:r>
              <w:t xml:space="preserve"> </w:t>
            </w:r>
            <w:r>
              <w:rPr>
                <w:rStyle w:val="Text3"/>
              </w:rPr>
              <w:t>path2</w:t>
            </w:r>
            <w:r>
              <w:rPr>
                <w:rStyle w:val="Text0"/>
              </w:rPr>
              <w:t>)</w:t>
              <w:br w:clear="none"/>
            </w:r>
            <w:r>
              <w:t xml:space="preserve"> Returns </w:t>
            </w:r>
            <w:r>
              <w:rPr>
                <w:rStyle w:val="Text5"/>
              </w:rPr>
              <w:t>True</w:t>
            </w:r>
            <w:r>
              <w:t xml:space="preserve"> if both arguments (strings or path-like objects) refer to the same file or directory.</w:t>
            </w:r>
          </w:p>
        </w:tc>
      </w:tr>
    </w:tbl>
    <w:tbl>
      <w:tblPr>
        <w:tblW w:type="auto" w:w="0"/>
      </w:tblPr>
      <w:tr>
        <w:tc>
          <w:tcPr>
            <w:tcW w:type="auto" w:w="0"/>
            <w:shd w:val="clear" w:color="auto" w:fill="EEF2F6"/>
            <w:tcMar>
              <w:left w:type="dxa" w:w="200"/>
              <w:top w:type="dxa" w:w="200"/>
              <w:right w:type="dxa" w:w="200"/>
              <w:bottom w:type="dxa" w:w="200"/>
            </w:tcMar>
          </w:tcPr>
          <w:p>
            <w:pPr>
              <w:pStyle w:val="Para 001"/>
            </w:pPr>
            <w:r>
              <w:t>sameopenfile</w:t>
            </w:r>
          </w:p>
        </w:tc>
        <w:tc>
          <w:tcPr>
            <w:tcW w:type="auto" w:w="0"/>
            <w:shd w:val="clear" w:color="auto" w:fill="EEF2F6"/>
            <w:tcMar>
              <w:left w:type="dxa" w:w="200"/>
              <w:top w:type="dxa" w:w="200"/>
              <w:right w:type="dxa" w:w="200"/>
              <w:bottom w:type="dxa" w:w="200"/>
            </w:tcMar>
          </w:tcPr>
          <w:p>
            <w:pPr>
              <w:pStyle w:val="Para 002"/>
            </w:pPr>
            <w:r>
              <w:rPr>
                <w:rStyle w:val="Text0"/>
              </w:rPr>
              <w:t>sameopenfile(</w:t>
            </w:r>
            <w:r>
              <w:rPr>
                <w:rStyle w:val="Text3"/>
              </w:rPr>
              <w:t>fd1</w:t>
            </w:r>
            <w:r>
              <w:rPr>
                <w:rStyle w:val="Text0"/>
              </w:rPr>
              <w:t>,</w:t>
            </w:r>
            <w:r>
              <w:t xml:space="preserve"> </w:t>
            </w:r>
            <w:r>
              <w:rPr>
                <w:rStyle w:val="Text3"/>
              </w:rPr>
              <w:t>fd2</w:t>
            </w:r>
            <w:r>
              <w:rPr>
                <w:rStyle w:val="Text0"/>
              </w:rPr>
              <w:t>)</w:t>
              <w:br w:clear="none"/>
            </w:r>
            <w:r>
              <w:t xml:space="preserve"> Returns </w:t>
            </w:r>
            <w:r>
              <w:rPr>
                <w:rStyle w:val="Text5"/>
              </w:rPr>
              <w:t>True</w:t>
            </w:r>
            <w:r>
              <w:t xml:space="preserve"> if both arguments (file descriptors) refer to the same file or directory.</w:t>
            </w:r>
          </w:p>
        </w:tc>
      </w:tr>
    </w:tbl>
    <w:tbl>
      <w:tblPr>
        <w:tblW w:type="auto" w:w="0"/>
      </w:tblPr>
      <w:tr>
        <w:tc>
          <w:tcPr>
            <w:tcW w:type="auto" w:w="0"/>
            <w:tcMar>
              <w:left w:type="dxa" w:w="200"/>
              <w:top w:type="dxa" w:w="200"/>
              <w:right w:type="dxa" w:w="200"/>
              <w:bottom w:type="dxa" w:w="200"/>
            </w:tcMar>
          </w:tcPr>
          <w:p>
            <w:pPr>
              <w:pStyle w:val="Para 001"/>
            </w:pPr>
            <w:r>
              <w:t>samestat</w:t>
            </w:r>
          </w:p>
        </w:tc>
        <w:tc>
          <w:tcPr>
            <w:tcW w:type="auto" w:w="0"/>
            <w:tcMar>
              <w:left w:type="dxa" w:w="200"/>
              <w:top w:type="dxa" w:w="200"/>
              <w:right w:type="dxa" w:w="200"/>
              <w:bottom w:type="dxa" w:w="200"/>
            </w:tcMar>
          </w:tcPr>
          <w:p>
            <w:pPr>
              <w:pStyle w:val="Para 002"/>
            </w:pPr>
            <w:r>
              <w:rPr>
                <w:rStyle w:val="Text0"/>
              </w:rPr>
              <w:t>samestat(</w:t>
            </w:r>
            <w:r>
              <w:rPr>
                <w:rStyle w:val="Text3"/>
              </w:rPr>
              <w:t>stat1</w:t>
            </w:r>
            <w:r>
              <w:rPr>
                <w:rStyle w:val="Text0"/>
              </w:rPr>
              <w:t>,</w:t>
            </w:r>
            <w:r>
              <w:t xml:space="preserve"> </w:t>
            </w:r>
            <w:r>
              <w:rPr>
                <w:rStyle w:val="Text3"/>
              </w:rPr>
              <w:t>stat2</w:t>
            </w:r>
            <w:r>
              <w:rPr>
                <w:rStyle w:val="Text0"/>
              </w:rPr>
              <w:t>)</w:t>
              <w:br w:clear="none"/>
            </w:r>
            <w:r>
              <w:t xml:space="preserve"> Returns </w:t>
            </w:r>
            <w:r>
              <w:rPr>
                <w:rStyle w:val="Text5"/>
              </w:rPr>
              <w:t>True</w:t>
            </w:r>
            <w:r>
              <w:t xml:space="preserve"> if both arguments (instances of </w:t>
            </w:r>
            <w:r>
              <w:rPr>
                <w:rStyle w:val="Text0"/>
              </w:rPr>
              <w:t>os.stat_result</w:t>
            </w:r>
            <w:r>
              <w:t xml:space="preserve">, typically results of </w:t>
            </w:r>
            <w:r>
              <w:rPr>
                <w:rStyle w:val="Text0"/>
              </w:rPr>
              <w:t>os.stat</w:t>
            </w:r>
            <w:r>
              <w:t xml:space="preserve"> calls) refer to the same file or directory.</w:t>
            </w:r>
          </w:p>
        </w:tc>
      </w:tr>
    </w:tbl>
    <w:tbl>
      <w:tblPr>
        <w:tblW w:type="auto" w:w="0"/>
      </w:tblPr>
      <w:tr>
        <w:tc>
          <w:tcPr>
            <w:tcW w:type="auto" w:w="0"/>
            <w:shd w:val="clear" w:color="auto" w:fill="EEF2F6"/>
            <w:tcMar>
              <w:left w:type="dxa" w:w="200"/>
              <w:top w:type="dxa" w:w="200"/>
              <w:right w:type="dxa" w:w="200"/>
              <w:bottom w:type="dxa" w:w="200"/>
            </w:tcMar>
          </w:tcPr>
          <w:p>
            <w:pPr>
              <w:pStyle w:val="Para 001"/>
            </w:pPr>
            <w:r>
              <w:t>split</w:t>
            </w:r>
          </w:p>
        </w:tc>
        <w:tc>
          <w:tcPr>
            <w:tcW w:type="auto" w:w="0"/>
            <w:shd w:val="clear" w:color="auto" w:fill="EEF2F6"/>
            <w:tcMar>
              <w:left w:type="dxa" w:w="200"/>
              <w:top w:type="dxa" w:w="200"/>
              <w:right w:type="dxa" w:w="200"/>
              <w:bottom w:type="dxa" w:w="200"/>
            </w:tcMar>
          </w:tcPr>
          <w:p>
            <w:pPr>
              <w:pStyle w:val="Para 002"/>
            </w:pPr>
            <w:r>
              <w:rPr>
                <w:rStyle w:val="Text0"/>
              </w:rPr>
              <w:t>split(</w:t>
            </w:r>
            <w:r>
              <w:rPr>
                <w:rStyle w:val="Text3"/>
              </w:rPr>
              <w:t>path</w:t>
            </w:r>
            <w:r>
              <w:rPr>
                <w:rStyle w:val="Text0"/>
              </w:rPr>
              <w:t>)</w:t>
              <w:br w:clear="none"/>
            </w:r>
            <w:r>
              <w:t xml:space="preserve"> Returns</w:t>
            </w:r>
            <w:r>
              <w:rPr>
                <w:rStyle w:val="Text111"/>
              </w:rPr>
              <w:bookmarkStart w:id="2709" w:name="idm45965203544128"/>
              <w:t/>
              <w:bookmarkEnd w:id="2709"/>
            </w:r>
            <w:r>
              <w:t xml:space="preserve"> a pair of strings </w:t>
            </w:r>
            <w:r>
              <w:rPr>
                <w:rStyle w:val="Text0"/>
              </w:rPr>
              <w:t>(</w:t>
            </w:r>
            <w:r>
              <w:rPr>
                <w:rStyle w:val="Text3"/>
              </w:rPr>
              <w:t>dir</w:t>
            </w:r>
            <w:r>
              <w:rPr>
                <w:rStyle w:val="Text0"/>
              </w:rPr>
              <w:t>,</w:t>
            </w:r>
            <w:r>
              <w:t xml:space="preserve"> </w:t>
            </w:r>
            <w:r>
              <w:rPr>
                <w:rStyle w:val="Text3"/>
              </w:rPr>
              <w:t>base</w:t>
            </w:r>
            <w:r>
              <w:rPr>
                <w:rStyle w:val="Text0"/>
              </w:rPr>
              <w:t>)</w:t>
            </w:r>
            <w:r>
              <w:t xml:space="preserve"> such that </w:t>
            </w:r>
            <w:r>
              <w:rPr>
                <w:rStyle w:val="Text0"/>
              </w:rPr>
              <w:t>join(</w:t>
            </w:r>
            <w:r>
              <w:rPr>
                <w:rStyle w:val="Text3"/>
              </w:rPr>
              <w:t>dir</w:t>
            </w:r>
            <w:r>
              <w:rPr>
                <w:rStyle w:val="Text0"/>
              </w:rPr>
              <w:t>,</w:t>
            </w:r>
            <w:r>
              <w:t xml:space="preserve"> </w:t>
            </w:r>
            <w:r>
              <w:rPr>
                <w:rStyle w:val="Text3"/>
              </w:rPr>
              <w:t>base</w:t>
            </w:r>
            <w:r>
              <w:rPr>
                <w:rStyle w:val="Text0"/>
              </w:rPr>
              <w:t>)</w:t>
            </w:r>
            <w:r>
              <w:t xml:space="preserve"> equals </w:t>
            </w:r>
            <w:r>
              <w:rPr>
                <w:rStyle w:val="Text3"/>
              </w:rPr>
              <w:t>path</w:t>
            </w:r>
            <w:r>
              <w:t xml:space="preserve">. </w:t>
            </w:r>
            <w:r>
              <w:rPr>
                <w:rStyle w:val="Text3"/>
              </w:rPr>
              <w:t>base</w:t>
            </w:r>
            <w:r>
              <w:t xml:space="preserve"> is the last component and never contains a path separator. When </w:t>
            </w:r>
            <w:r>
              <w:rPr>
                <w:rStyle w:val="Text3"/>
              </w:rPr>
              <w:t>path</w:t>
            </w:r>
            <w:r>
              <w:t xml:space="preserve"> ends in a separator, </w:t>
            </w:r>
            <w:r>
              <w:rPr>
                <w:rStyle w:val="Text3"/>
              </w:rPr>
              <w:t>base</w:t>
            </w:r>
            <w:r>
              <w:t xml:space="preserve"> is </w:t>
            </w:r>
            <w:r>
              <w:rPr>
                <w:rStyle w:val="Text0"/>
              </w:rPr>
              <w:t>''</w:t>
            </w:r>
            <w:r>
              <w:t xml:space="preserve">. </w:t>
            </w:r>
            <w:r>
              <w:rPr>
                <w:rStyle w:val="Text3"/>
              </w:rPr>
              <w:t>dir</w:t>
            </w:r>
            <w:r>
              <w:t xml:space="preserve"> is the leading part of </w:t>
            </w:r>
            <w:r>
              <w:rPr>
                <w:rStyle w:val="Text3"/>
              </w:rPr>
              <w:t>path</w:t>
            </w:r>
            <w:r>
              <w:t xml:space="preserve">, up to the last separator excluded. For example, </w:t>
            </w:r>
            <w:r>
              <w:rPr>
                <w:rStyle w:val="Text0"/>
              </w:rPr>
              <w:t>os.path.split('a/b/c/d')</w:t>
            </w:r>
            <w:r>
              <w:t xml:space="preserve"> returns </w:t>
            </w:r>
            <w:r>
              <w:rPr>
                <w:rStyle w:val="Text0"/>
              </w:rPr>
              <w:t>('a/b/c', 'd')</w:t>
            </w:r>
            <w:r>
              <w:t>.</w:t>
            </w:r>
          </w:p>
        </w:tc>
      </w:tr>
    </w:tbl>
    <w:tbl>
      <w:tblPr>
        <w:tblW w:type="auto" w:w="0"/>
      </w:tblPr>
      <w:tr>
        <w:tc>
          <w:tcPr>
            <w:tcW w:type="auto" w:w="0"/>
            <w:tcMar>
              <w:left w:type="dxa" w:w="200"/>
              <w:top w:type="dxa" w:w="200"/>
              <w:right w:type="dxa" w:w="200"/>
              <w:bottom w:type="dxa" w:w="200"/>
            </w:tcMar>
          </w:tcPr>
          <w:p>
            <w:pPr>
              <w:pStyle w:val="Para 001"/>
            </w:pPr>
            <w:r>
              <w:t>splitdrive</w:t>
            </w:r>
          </w:p>
        </w:tc>
        <w:tc>
          <w:tcPr>
            <w:tcW w:type="auto" w:w="0"/>
            <w:tcMar>
              <w:left w:type="dxa" w:w="200"/>
              <w:top w:type="dxa" w:w="200"/>
              <w:right w:type="dxa" w:w="200"/>
              <w:bottom w:type="dxa" w:w="200"/>
            </w:tcMar>
          </w:tcPr>
          <w:p>
            <w:pPr>
              <w:pStyle w:val="Para 002"/>
            </w:pPr>
            <w:r>
              <w:rPr>
                <w:rStyle w:val="Text0"/>
              </w:rPr>
              <w:t>splitdrive(</w:t>
            </w:r>
            <w:r>
              <w:rPr>
                <w:rStyle w:val="Text3"/>
              </w:rPr>
              <w:t>path</w:t>
            </w:r>
            <w:r>
              <w:rPr>
                <w:rStyle w:val="Text0"/>
              </w:rPr>
              <w:t>)</w:t>
              <w:br w:clear="none"/>
            </w:r>
            <w:r>
              <w:t xml:space="preserve"> Returns a pair of strings </w:t>
            </w:r>
            <w:r>
              <w:rPr>
                <w:rStyle w:val="Text0"/>
              </w:rPr>
              <w:t>(</w:t>
            </w:r>
            <w:r>
              <w:rPr>
                <w:rStyle w:val="Text3"/>
              </w:rPr>
              <w:t>drv</w:t>
            </w:r>
            <w:r>
              <w:rPr>
                <w:rStyle w:val="Text0"/>
              </w:rPr>
              <w:t>,</w:t>
            </w:r>
            <w:r>
              <w:t xml:space="preserve"> </w:t>
            </w:r>
            <w:r>
              <w:rPr>
                <w:rStyle w:val="Text3"/>
              </w:rPr>
              <w:t>pth</w:t>
            </w:r>
            <w:r>
              <w:rPr>
                <w:rStyle w:val="Text0"/>
              </w:rPr>
              <w:t>)</w:t>
            </w:r>
            <w:r>
              <w:t xml:space="preserve"> such that </w:t>
            </w:r>
            <w:r>
              <w:rPr>
                <w:rStyle w:val="Text3"/>
              </w:rPr>
              <w:t>drv</w:t>
            </w:r>
            <w:r>
              <w:rPr>
                <w:rStyle w:val="Text0"/>
              </w:rPr>
              <w:t>+</w:t>
            </w:r>
            <w:r>
              <w:rPr>
                <w:rStyle w:val="Text3"/>
              </w:rPr>
              <w:t>pth</w:t>
            </w:r>
            <w:r>
              <w:t xml:space="preserve"> equals </w:t>
            </w:r>
            <w:r>
              <w:rPr>
                <w:rStyle w:val="Text3"/>
              </w:rPr>
              <w:t>path</w:t>
            </w:r>
            <w:r>
              <w:t xml:space="preserve">. </w:t>
            </w:r>
            <w:r>
              <w:rPr>
                <w:rStyle w:val="Text3"/>
              </w:rPr>
              <w:t>drv</w:t>
            </w:r>
            <w:r>
              <w:t xml:space="preserve"> is a drive specification, or </w:t>
            </w:r>
            <w:r>
              <w:rPr>
                <w:rStyle w:val="Text0"/>
              </w:rPr>
              <w:t>''</w:t>
            </w:r>
            <w:r>
              <w:t xml:space="preserve">; it is always </w:t>
            </w:r>
            <w:r>
              <w:rPr>
                <w:rStyle w:val="Text0"/>
              </w:rPr>
              <w:t>''</w:t>
            </w:r>
            <w:r>
              <w:t xml:space="preserve"> on platforms without drive specifications, e.g. Unix-like systems. On Windows, </w:t>
            </w:r>
            <w:r>
              <w:rPr>
                <w:rStyle w:val="Text0"/>
              </w:rPr>
              <w:t>os.path.splitdrive('c:d/e')</w:t>
            </w:r>
            <w:r>
              <w:t xml:space="preserve"> returns </w:t>
            </w:r>
            <w:r>
              <w:rPr>
                <w:rStyle w:val="Text0"/>
              </w:rPr>
              <w:t>('c:'</w:t>
            </w:r>
            <w:r>
              <w:t xml:space="preserve">, </w:t>
            </w:r>
            <w:r>
              <w:rPr>
                <w:rStyle w:val="Text0"/>
              </w:rPr>
              <w:t>'d/e')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splitext</w:t>
            </w:r>
          </w:p>
        </w:tc>
        <w:tc>
          <w:tcPr>
            <w:tcW w:type="auto" w:w="0"/>
            <w:shd w:val="clear" w:color="auto" w:fill="EEF2F6"/>
            <w:tcMar>
              <w:left w:type="dxa" w:w="200"/>
              <w:top w:type="dxa" w:w="200"/>
              <w:right w:type="dxa" w:w="200"/>
              <w:bottom w:type="dxa" w:w="200"/>
            </w:tcMar>
          </w:tcPr>
          <w:p>
            <w:pPr>
              <w:pStyle w:val="Para 002"/>
            </w:pPr>
            <w:r>
              <w:rPr>
                <w:rStyle w:val="Text0"/>
              </w:rPr>
              <w:t>splitext(</w:t>
            </w:r>
            <w:r>
              <w:rPr>
                <w:rStyle w:val="Text3"/>
              </w:rPr>
              <w:t>path</w:t>
            </w:r>
            <w:r>
              <w:rPr>
                <w:rStyle w:val="Text0"/>
              </w:rPr>
              <w:t>)</w:t>
              <w:br w:clear="none"/>
            </w:r>
            <w:r>
              <w:t xml:space="preserve"> Returns a pair </w:t>
            </w:r>
            <w:r>
              <w:rPr>
                <w:rStyle w:val="Text0"/>
              </w:rPr>
              <w:t>(</w:t>
            </w:r>
            <w:r>
              <w:rPr>
                <w:rStyle w:val="Text3"/>
              </w:rPr>
              <w:t>root</w:t>
            </w:r>
            <w:r>
              <w:rPr>
                <w:rStyle w:val="Text0"/>
              </w:rPr>
              <w:t>,</w:t>
            </w:r>
            <w:r>
              <w:t xml:space="preserve"> </w:t>
            </w:r>
            <w:r>
              <w:rPr>
                <w:rStyle w:val="Text3"/>
              </w:rPr>
              <w:t>ext</w:t>
            </w:r>
            <w:r>
              <w:rPr>
                <w:rStyle w:val="Text0"/>
              </w:rPr>
              <w:t>)</w:t>
            </w:r>
            <w:r>
              <w:t xml:space="preserve"> such that </w:t>
            </w:r>
            <w:r>
              <w:rPr>
                <w:rStyle w:val="Text3"/>
              </w:rPr>
              <w:t>root</w:t>
            </w:r>
            <w:r>
              <w:rPr>
                <w:rStyle w:val="Text0"/>
              </w:rPr>
              <w:t>+</w:t>
            </w:r>
            <w:r>
              <w:rPr>
                <w:rStyle w:val="Text3"/>
              </w:rPr>
              <w:t>ext</w:t>
            </w:r>
            <w:r>
              <w:t xml:space="preserve"> equals </w:t>
            </w:r>
            <w:r>
              <w:rPr>
                <w:rStyle w:val="Text3"/>
              </w:rPr>
              <w:t>path</w:t>
            </w:r>
            <w:r>
              <w:t xml:space="preserve">. </w:t>
            </w:r>
            <w:r>
              <w:rPr>
                <w:rStyle w:val="Text3"/>
              </w:rPr>
              <w:t>ext</w:t>
            </w:r>
            <w:r>
              <w:t xml:space="preserve"> is either </w:t>
            </w:r>
            <w:r>
              <w:rPr>
                <w:rStyle w:val="Text0"/>
              </w:rPr>
              <w:t>''</w:t>
            </w:r>
            <w:r>
              <w:t xml:space="preserve"> or starts with a </w:t>
            </w:r>
            <w:r>
              <w:rPr>
                <w:rStyle w:val="Text0"/>
              </w:rPr>
              <w:t>'.'</w:t>
            </w:r>
            <w:r>
              <w:t xml:space="preserve"> and has no other </w:t>
            </w:r>
            <w:r>
              <w:rPr>
                <w:rStyle w:val="Text0"/>
              </w:rPr>
              <w:t>'.'</w:t>
            </w:r>
            <w:r>
              <w:t xml:space="preserve"> or path separator. For example, </w:t>
            </w:r>
            <w:r>
              <w:rPr>
                <w:rStyle w:val="Text0"/>
              </w:rPr>
              <w:t>o⁠s⁠.⁠p⁠a⁠t⁠h⁠.⁠s⁠p⁠l⁠i⁠t​e⁠x⁠t⁠(⁠'⁠a⁠.⁠a⁠/⁠b⁠.⁠c⁠.⁠d⁠'⁠)</w:t>
            </w:r>
            <w:r>
              <w:t xml:space="preserve"> returns the pair </w:t>
            </w:r>
            <w:r>
              <w:rPr>
                <w:rStyle w:val="Text0"/>
              </w:rPr>
              <w:t>('a.a/b.c'</w:t>
            </w:r>
            <w:r>
              <w:t xml:space="preserve">, </w:t>
            </w:r>
            <w:r>
              <w:rPr>
                <w:rStyle w:val="Text0"/>
              </w:rPr>
              <w:t>'.d')</w:t>
            </w:r>
            <w:r>
              <w:t>.</w:t>
            </w:r>
            <w:r>
              <w:rPr>
                <w:rStyle w:val="Text111"/>
              </w:rPr>
              <w:bookmarkStart w:id="2710" w:name="idm45965203504080"/>
              <w:t/>
              <w:bookmarkEnd w:id="2710"/>
              <w:bookmarkStart w:id="2711" w:name="idm45965203502672"/>
              <w:t/>
              <w:bookmarkEnd w:id="2711"/>
            </w:r>
          </w:p>
        </w:tc>
      </w:tr>
    </w:tbl>
    <w:p>
      <w:bookmarkStart w:id="2712" w:name="OSError_Exceptions__When_a_reque"/>
      <w:pPr>
        <w:keepNext/>
        <w:pStyle w:val="Heading 2"/>
      </w:pPr>
      <w:r>
        <w:t>OSError Exceptions</w:t>
      </w:r>
      <w:bookmarkEnd w:id="2712"/>
    </w:p>
    <w:p>
      <w:pPr>
        <w:pStyle w:val="Normal"/>
      </w:pPr>
      <w:r>
        <w:t>When</w:t>
      </w:r>
      <w:r>
        <w:rPr>
          <w:rStyle w:val="Text111"/>
        </w:rPr>
        <w:bookmarkStart w:id="2713" w:name="idm45965203499584"/>
        <w:t/>
        <w:bookmarkEnd w:id="2713"/>
        <w:bookmarkStart w:id="2714" w:name="idm45965203498208"/>
        <w:t/>
        <w:bookmarkEnd w:id="2714"/>
      </w:r>
      <w:r>
        <w:t xml:space="preserve"> a request to the operating system fails, </w:t>
      </w:r>
      <w:r>
        <w:rPr>
          <w:rStyle w:val="Text0"/>
        </w:rPr>
        <w:t>os</w:t>
      </w:r>
      <w:r>
        <w:t xml:space="preserve"> raises an exception, an instance of </w:t>
      </w:r>
      <w:r>
        <w:rPr>
          <w:rStyle w:val="Text0"/>
        </w:rPr>
        <w:t>OSError</w:t>
      </w:r>
      <w:r>
        <w:t xml:space="preserve">. </w:t>
      </w:r>
      <w:r>
        <w:rPr>
          <w:rStyle w:val="Text0"/>
        </w:rPr>
        <w:t>os</w:t>
      </w:r>
      <w:r>
        <w:t xml:space="preserve"> also exposes the built-in exception class </w:t>
      </w:r>
      <w:r>
        <w:rPr>
          <w:rStyle w:val="Text0"/>
        </w:rPr>
        <w:t>OSError</w:t>
      </w:r>
      <w:r>
        <w:t xml:space="preserve"> with the synonym </w:t>
      </w:r>
      <w:r>
        <w:rPr>
          <w:rStyle w:val="Text0"/>
        </w:rPr>
        <w:t>os.error</w:t>
      </w:r>
      <w:r>
        <w:t xml:space="preserve">. Instances of </w:t>
      </w:r>
      <w:r>
        <w:rPr>
          <w:rStyle w:val="Text0"/>
        </w:rPr>
        <w:t>OSError</w:t>
      </w:r>
      <w:r>
        <w:t xml:space="preserve"> expose three useful attributes, detailed in </w:t>
      </w:r>
      <w:hyperlink w:anchor="Table_11_20__Attributes_of_OSErr">
        <w:r>
          <w:rPr>
            <w:rStyle w:val="Text1"/>
          </w:rPr>
          <w:t>Table 11-20</w:t>
        </w:r>
      </w:hyperlink>
      <w:r>
        <w:t>.</w:t>
      </w:r>
    </w:p>
    <w:tbl>
      <w:tblPr>
        <w:tblW w:type="auto" w:w="0"/>
      </w:tblPr>
      <w:tr>
        <w:tc>
          <w:tcPr>
            <w:tcW w:type="auto" w:w="0"/>
            <w:tcMar>
              <w:left w:type="dxa" w:w="200"/>
              <w:top w:type="dxa" w:w="200"/>
              <w:right w:type="dxa" w:w="200"/>
              <w:bottom w:type="dxa" w:w="200"/>
            </w:tcMar>
          </w:tcPr>
          <w:p>
            <w:bookmarkStart w:id="2715" w:name="Table_11_20__Attributes_of_OSErr"/>
            <w:pPr>
              <w:pStyle w:val="Para 011"/>
            </w:pPr>
            <w:r>
              <w:rPr>
                <w:rStyle w:val="Text117"/>
              </w:rPr>
              <w:t/>
            </w:r>
            <w:r>
              <w:t xml:space="preserve">Table 11-20. </w:t>
              <w:t xml:space="preserve">Attributes of </w:t>
            </w:r>
            <w:r>
              <w:rPr>
                <w:rStyle w:val="Text0"/>
              </w:rPr>
              <w:t>OSError</w:t>
            </w:r>
            <w:r>
              <w:t xml:space="preserve"> instances</w:t>
            </w:r>
            <w:bookmarkEnd w:id="2715"/>
          </w:p>
          <w:p>
            <w:pPr>
              <w:pStyle w:val="Para 001"/>
            </w:pPr>
            <w:r>
              <w:t>errno</w:t>
            </w:r>
          </w:p>
        </w:tc>
        <w:tc>
          <w:tcPr>
            <w:tcW w:type="auto" w:w="0"/>
            <w:tcMar>
              <w:left w:type="dxa" w:w="200"/>
              <w:top w:type="dxa" w:w="200"/>
              <w:right w:type="dxa" w:w="200"/>
              <w:bottom w:type="dxa" w:w="200"/>
            </w:tcMar>
          </w:tcPr>
          <w:p>
            <w:pPr>
              <w:pStyle w:val="Para 002"/>
            </w:pPr>
            <w:r>
              <w:t>The numeric error code of the operating system error</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filename</w:t>
            </w:r>
          </w:p>
        </w:tc>
        <w:tc>
          <w:tcPr>
            <w:tcW w:type="auto" w:w="0"/>
            <w:shd w:val="clear" w:color="auto" w:fill="EEF2F6"/>
            <w:tcMar>
              <w:left w:type="dxa" w:w="200"/>
              <w:top w:type="dxa" w:w="200"/>
              <w:right w:type="dxa" w:w="200"/>
              <w:bottom w:type="dxa" w:w="200"/>
            </w:tcMar>
          </w:tcPr>
          <w:p>
            <w:pPr>
              <w:pStyle w:val="Para 002"/>
            </w:pPr>
            <w:r>
              <w:t>The name of the file on which the operation failed (file-related functions only)</w:t>
            </w:r>
          </w:p>
        </w:tc>
      </w:tr>
    </w:tbl>
    <w:tbl>
      <w:tblPr>
        <w:tblW w:type="auto" w:w="0"/>
      </w:tblPr>
      <w:tr>
        <w:tc>
          <w:tcPr>
            <w:tcW w:type="auto" w:w="0"/>
            <w:tcMar>
              <w:left w:type="dxa" w:w="200"/>
              <w:top w:type="dxa" w:w="200"/>
              <w:right w:type="dxa" w:w="200"/>
              <w:bottom w:type="dxa" w:w="200"/>
            </w:tcMar>
          </w:tcPr>
          <w:p>
            <w:pPr>
              <w:pStyle w:val="Para 001"/>
            </w:pPr>
            <w:r>
              <w:t>strerror</w:t>
            </w:r>
          </w:p>
        </w:tc>
        <w:tc>
          <w:tcPr>
            <w:tcW w:type="auto" w:w="0"/>
            <w:tcMar>
              <w:left w:type="dxa" w:w="200"/>
              <w:top w:type="dxa" w:w="200"/>
              <w:right w:type="dxa" w:w="200"/>
              <w:bottom w:type="dxa" w:w="200"/>
            </w:tcMar>
          </w:tcPr>
          <w:p>
            <w:pPr>
              <w:pStyle w:val="Para 002"/>
            </w:pPr>
            <w:r>
              <w:t>A string that briefly describes the error</w:t>
            </w:r>
          </w:p>
        </w:tc>
      </w:tr>
    </w:tbl>
    <w:p>
      <w:pPr>
        <w:pStyle w:val="Normal"/>
      </w:pPr>
      <w:r>
        <w:rPr>
          <w:rStyle w:val="Text0"/>
        </w:rPr>
        <w:t>OSError</w:t>
      </w:r>
      <w:r>
        <w:t xml:space="preserve"> has subclasses to specify what the problem was, as discussed in </w:t>
      </w:r>
      <w:hyperlink w:anchor="OSError_subclasses__OSError_repr">
        <w:r>
          <w:rPr>
            <w:rStyle w:val="Text1"/>
          </w:rPr>
          <w:t>“OSError subclasses”</w:t>
        </w:r>
      </w:hyperlink>
      <w:r>
        <w:t>.</w:t>
      </w:r>
    </w:p>
    <w:p>
      <w:pPr>
        <w:pStyle w:val="Normal"/>
      </w:pPr>
      <w:r>
        <w:rPr>
          <w:rStyle w:val="Text0"/>
        </w:rPr>
        <w:t>os</w:t>
      </w:r>
      <w:r>
        <w:t xml:space="preserve"> functions can also raise other standard exceptions, such as </w:t>
      </w:r>
      <w:r>
        <w:rPr>
          <w:rStyle w:val="Text0"/>
        </w:rPr>
        <w:t>TypeError</w:t>
      </w:r>
      <w:r>
        <w:t xml:space="preserve"> or </w:t>
      </w:r>
      <w:r>
        <w:rPr>
          <w:rStyle w:val="Text0"/>
        </w:rPr>
        <w:t>ValueError</w:t>
      </w:r>
      <w:r>
        <w:t>, when called with invalid argument types or values, so that they didn’t even attempt the underlying operating system functionality.</w:t>
      </w:r>
    </w:p>
    <w:p>
      <w:bookmarkStart w:id="2716" w:name="The_errno_Module__The_errno_modu"/>
      <w:pPr>
        <w:keepNext/>
        <w:pStyle w:val="Heading 1"/>
      </w:pPr>
      <w:r>
        <w:t>The errno Module</w:t>
      </w:r>
      <w:bookmarkEnd w:id="2716"/>
    </w:p>
    <w:p>
      <w:pPr>
        <w:pStyle w:val="Normal"/>
      </w:pPr>
      <w:r>
        <w:t>The</w:t>
      </w:r>
      <w:r>
        <w:rPr>
          <w:rStyle w:val="Text111"/>
        </w:rPr>
        <w:bookmarkStart w:id="2717" w:name="idm45965203477168"/>
        <w:t/>
        <w:bookmarkEnd w:id="2717"/>
        <w:bookmarkStart w:id="2718" w:name="idm45965203475824"/>
        <w:t/>
        <w:bookmarkEnd w:id="2718"/>
        <w:bookmarkStart w:id="2719" w:name="idm45965203474688"/>
        <w:t/>
        <w:bookmarkEnd w:id="2719"/>
      </w:r>
      <w:r>
        <w:t xml:space="preserve"> </w:t>
      </w:r>
      <w:r>
        <w:rPr>
          <w:rStyle w:val="Text0"/>
        </w:rPr>
        <w:t>errno</w:t>
      </w:r>
      <w:r>
        <w:t xml:space="preserve"> module supplies dozens of symbolic names for error code numbers. Use </w:t>
      </w:r>
      <w:r>
        <w:rPr>
          <w:rStyle w:val="Text0"/>
        </w:rPr>
        <w:t>errno</w:t>
      </w:r>
      <w:r>
        <w:t xml:space="preserve"> to handle possible system errors selectively, based on error codes; this will enhance your program’s portability and readability. However, a selective </w:t>
      </w:r>
      <w:r>
        <w:rPr>
          <w:rStyle w:val="Text5"/>
        </w:rPr>
        <w:t>except</w:t>
      </w:r>
      <w:r>
        <w:t xml:space="preserve"> with the appropriate </w:t>
      </w:r>
      <w:r>
        <w:rPr>
          <w:rStyle w:val="Text0"/>
        </w:rPr>
        <w:t>OSError</w:t>
      </w:r>
      <w:r>
        <w:t xml:space="preserve"> subclass often works better than </w:t>
      </w:r>
      <w:r>
        <w:rPr>
          <w:rStyle w:val="Text0"/>
        </w:rPr>
        <w:t>errno</w:t>
      </w:r>
      <w:r>
        <w:t>. For example, to handle “file not found” errors, while propagating all other kinds of errors, you could use: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errno</w:t>
        <w:br w:clear="none"/>
      </w:r>
      <w:r>
        <w:rPr>
          <w:rStyle w:val="Text6"/>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os</w:t>
        <w:br w:clear="none"/>
      </w:r>
      <w:r>
        <w:rPr>
          <w:rStyle w:val="Text13"/>
        </w:rPr>
        <w:t xml:space="preserve">.</w:t>
        <w:br w:clear="none"/>
      </w:r>
      <w:r>
        <w:t xml:space="preserve">some_os_function_or_other</w:t>
        <w:br w:clear="none"/>
      </w:r>
      <w:r>
        <w:rPr>
          <w:rStyle w:val="Text7"/>
        </w:rPr>
        <w:t xml:space="preserve">(</w:t>
        <w:br w:clear="none"/>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FileNotFoundError</w:t>
        <w:br w:clear="none"/>
      </w:r>
      <w:r>
        <w:rPr>
          <w:rStyle w:val="Text6"/>
        </w:rPr>
        <w:t xml:space="preserve"> </w:t>
        <w:br w:clear="none"/>
      </w:r>
      <w:r>
        <w:rPr>
          <w:rStyle w:val="Text10"/>
        </w:rPr>
        <w:t xml:space="preserve">as</w:t>
        <w:br w:clear="none"/>
      </w:r>
      <w:r>
        <w:rPr>
          <w:rStyle w:val="Text6"/>
        </w:rPr>
        <w:t xml:space="preserve"> </w:t>
        <w:br w:clear="none"/>
      </w:r>
      <w:r>
        <w:t xml:space="preserve">err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Warning: file </w:t>
        <w:br w:clear="none"/>
      </w:r>
      <w:r>
        <w:rPr>
          <w:rStyle w:val="Text32"/>
        </w:rPr>
        <w:t xml:space="preserve">{</w:t>
        <w:br w:clear="none"/>
      </w:r>
      <w:r>
        <w:t xml:space="preserve">err</w:t>
        <w:br w:clear="none"/>
      </w:r>
      <w:r>
        <w:rPr>
          <w:rStyle w:val="Text13"/>
        </w:rPr>
        <w:t xml:space="preserve">.</w:t>
        <w:br w:clear="none"/>
      </w:r>
      <w:r>
        <w:t xml:space="preserve">filename</w:t>
        <w:br w:clear="none"/>
      </w:r>
      <w:r>
        <w:rPr>
          <w:rStyle w:val="Text32"/>
        </w:rPr>
        <w:t xml:space="preserve">!r}</w:t>
        <w:br w:clear="none"/>
      </w:r>
      <w:r>
        <w:rPr>
          <w:rStyle w:val="Text8"/>
        </w:rPr>
        <w:t xml:space="preserve"> not found; continuing</w:t>
        <w:br w:clear="none"/>
        <w:t xml:space="preserve">'</w:t>
        <w:br w:clear="none"/>
      </w:r>
      <w:r>
        <w:rPr>
          <w:rStyle w:val="Text7"/>
        </w:rPr>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OSError</w:t>
        <w:br w:clear="none"/>
      </w:r>
      <w:r>
        <w:rPr>
          <w:rStyle w:val="Text6"/>
        </w:rPr>
        <w:t xml:space="preserve"> </w:t>
        <w:br w:clear="none"/>
      </w:r>
      <w:r>
        <w:rPr>
          <w:rStyle w:val="Text10"/>
        </w:rPr>
        <w:t xml:space="preserve">as</w:t>
        <w:br w:clear="none"/>
      </w:r>
      <w:r>
        <w:rPr>
          <w:rStyle w:val="Text6"/>
        </w:rPr>
        <w:t xml:space="preserve"> </w:t>
        <w:br w:clear="none"/>
      </w:r>
      <w:r>
        <w:t xml:space="preserve">oserr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Error </w:t>
        <w:br w:clear="none"/>
      </w:r>
      <w:r>
        <w:rPr>
          <w:rStyle w:val="Text32"/>
        </w:rPr>
        <w:t xml:space="preserve">{</w:t>
        <w:br w:clear="none"/>
      </w:r>
      <w:r>
        <w:t xml:space="preserve">errno</w:t>
        <w:br w:clear="none"/>
      </w:r>
      <w:r>
        <w:rPr>
          <w:rStyle w:val="Text13"/>
        </w:rPr>
        <w:t xml:space="preserve">.</w:t>
        <w:br w:clear="none"/>
      </w:r>
      <w:r>
        <w:t xml:space="preserve">errorcode</w:t>
        <w:br w:clear="none"/>
      </w:r>
      <w:r>
        <w:rPr>
          <w:rStyle w:val="Text7"/>
        </w:rPr>
        <w:t xml:space="preserve">[</w:t>
        <w:br w:clear="none"/>
      </w:r>
      <w:r>
        <w:t xml:space="preserve">oserr</w:t>
        <w:br w:clear="none"/>
      </w:r>
      <w:r>
        <w:rPr>
          <w:rStyle w:val="Text13"/>
        </w:rPr>
        <w:t xml:space="preserve">.</w:t>
        <w:br w:clear="none"/>
      </w:r>
      <w:r>
        <w:t xml:space="preserve">errno</w:t>
        <w:br w:clear="none"/>
      </w:r>
      <w:r>
        <w:rPr>
          <w:rStyle w:val="Text7"/>
        </w:rPr>
        <w:t xml:space="preserve">]</w:t>
        <w:br w:clear="none"/>
      </w:r>
      <w:r>
        <w:rPr>
          <w:rStyle w:val="Text32"/>
        </w:rPr>
        <w:t xml:space="preserve">}</w:t>
        <w:br w:clear="none"/>
      </w:r>
      <w:r>
        <w:rPr>
          <w:rStyle w:val="Text8"/>
        </w:rPr>
        <w:t xml:space="preserve">; continuing</w:t>
        <w:br w:clear="none"/>
        <w:t xml:space="preserve">'</w:t>
        <w:br w:clear="none"/>
      </w:r>
      <w:r>
        <w:rPr>
          <w:rStyle w:val="Text7"/>
        </w:rPr>
        <w:t xml:space="preserve">)</w:t>
        <w:br w:clear="none"/>
      </w:r>
    </w:p>
    <w:p>
      <w:pPr>
        <w:pStyle w:val="Normal"/>
      </w:pPr>
      <w:r>
        <w:rPr>
          <w:rStyle w:val="Text0"/>
        </w:rPr>
        <w:t>errno</w:t>
      </w:r>
      <w:r>
        <w:t xml:space="preserve"> supplies a dictionary named </w:t>
      </w:r>
      <w:r>
        <w:rPr>
          <w:rStyle w:val="Text0"/>
        </w:rPr>
        <w:t>errorcode</w:t>
      </w:r>
      <w:r>
        <w:t xml:space="preserve">: the keys are error code numbers, and the corresponding values are the error names, strings such as </w:t>
      </w:r>
      <w:r>
        <w:rPr>
          <w:rStyle w:val="Text0"/>
        </w:rPr>
        <w:t>'ENOENT'</w:t>
      </w:r>
      <w:r>
        <w:t xml:space="preserve">. Displaying </w:t>
      </w:r>
      <w:r>
        <w:rPr>
          <w:rStyle w:val="Text0"/>
        </w:rPr>
        <w:t>errno.errorcode[err.errno]</w:t>
      </w:r>
      <w:r>
        <w:t xml:space="preserve"> as part of the explanation behind some </w:t>
      </w:r>
      <w:r>
        <w:rPr>
          <w:rStyle w:val="Text0"/>
        </w:rPr>
        <w:t>OSError</w:t>
      </w:r>
      <w:r>
        <w:t xml:space="preserve"> instance’s </w:t>
      </w:r>
      <w:r>
        <w:rPr>
          <w:rStyle w:val="Text0"/>
        </w:rPr>
        <w:t>err</w:t>
      </w:r>
      <w:r>
        <w:t xml:space="preserve"> can often make the diagnosis clearer and more understandable to readers who specialize in the specific platform.</w:t>
      </w:r>
    </w:p>
    <w:p>
      <w:bookmarkStart w:id="2720" w:name="The_pathlib_Module__The_pathlib"/>
      <w:pPr>
        <w:keepNext/>
        <w:pStyle w:val="Heading 1"/>
      </w:pPr>
      <w:r>
        <w:t>The pathlib Module</w:t>
      </w:r>
      <w:bookmarkEnd w:id="2720"/>
    </w:p>
    <w:p>
      <w:pPr>
        <w:pStyle w:val="Normal"/>
      </w:pPr>
      <w:r>
        <w:t>The</w:t>
      </w:r>
      <w:r>
        <w:rPr>
          <w:rStyle w:val="Text111"/>
        </w:rPr>
        <w:bookmarkStart w:id="2721" w:name="FTOpathlib11"/>
        <w:t/>
        <w:bookmarkEnd w:id="2721"/>
        <w:bookmarkStart w:id="2722" w:name="pathlib11"/>
        <w:t/>
        <w:bookmarkEnd w:id="2722"/>
        <w:bookmarkStart w:id="2723" w:name="SLMpathlib11"/>
        <w:t/>
        <w:bookmarkEnd w:id="2723"/>
      </w:r>
      <w:r>
        <w:t xml:space="preserve"> </w:t>
      </w:r>
      <w:r>
        <w:rPr>
          <w:rStyle w:val="Text0"/>
        </w:rPr>
        <w:t>pathlib</w:t>
      </w:r>
      <w:r>
        <w:t xml:space="preserve"> module provides an object-oriented approach to filesystem paths, pulling together a variety of methods for handling paths and files as objects, not as strings (unlike </w:t>
      </w:r>
      <w:r>
        <w:rPr>
          <w:rStyle w:val="Text0"/>
        </w:rPr>
        <w:t>os.path</w:t>
      </w:r>
      <w:r>
        <w:t xml:space="preserve">). For most use cases, </w:t>
      </w:r>
      <w:r>
        <w:rPr>
          <w:rStyle w:val="Text0"/>
        </w:rPr>
        <w:t>pathlib.Path</w:t>
      </w:r>
      <w:r>
        <w:t xml:space="preserve"> will provide everything you’ll need. On rare occasions, you’ll want to instantiate a platform-specific path, or a “pure” path that doesn’t interact with the operating system; see the </w:t>
      </w:r>
      <w:hyperlink r:id="rId363">
        <w:r>
          <w:rPr>
            <w:rStyle w:val="Text1"/>
          </w:rPr>
          <w:t>online docs</w:t>
        </w:r>
      </w:hyperlink>
      <w:r>
        <w:t xml:space="preserve"> if you need such advanced functionality. The most commonly useful functions of </w:t>
      </w:r>
      <w:r>
        <w:rPr>
          <w:rStyle w:val="Text0"/>
        </w:rPr>
        <w:t>pathlib.Path</w:t>
      </w:r>
      <w:r>
        <w:t xml:space="preserve"> are listed in </w:t>
      </w:r>
      <w:hyperlink w:anchor="Table_11_21__Commonly_used_metho">
        <w:r>
          <w:rPr>
            <w:rStyle w:val="Text1"/>
          </w:rPr>
          <w:t>Table 11-21</w:t>
        </w:r>
      </w:hyperlink>
      <w:r>
        <w:t xml:space="preserve">, with examples for a </w:t>
      </w:r>
      <w:r>
        <w:rPr>
          <w:rStyle w:val="Text0"/>
        </w:rPr>
        <w:t>pathlib</w:t>
      </w:r>
      <w:r>
        <w:t>.</w:t>
      </w:r>
      <w:r>
        <w:rPr>
          <w:rStyle w:val="Text0"/>
        </w:rPr>
        <w:t>Path</w:t>
      </w:r>
      <w:r>
        <w:t xml:space="preserve"> object </w:t>
      </w:r>
      <w:r>
        <w:rPr>
          <w:rStyle w:val="Text3"/>
        </w:rPr>
        <w:t>p</w:t>
      </w:r>
      <w:r>
        <w:t xml:space="preserve">. On Windows, </w:t>
      </w:r>
      <w:r>
        <w:rPr>
          <w:rStyle w:val="Text0"/>
        </w:rPr>
        <w:t>pathlib.Path</w:t>
      </w:r>
      <w:r>
        <w:t xml:space="preserve"> objects are returned as </w:t>
      </w:r>
      <w:r>
        <w:rPr>
          <w:rStyle w:val="Text0"/>
        </w:rPr>
        <w:t>WindowsPath</w:t>
      </w:r>
      <w:r>
        <w:t xml:space="preserve">; on Unix, as </w:t>
      </w:r>
      <w:r>
        <w:rPr>
          <w:rStyle w:val="Text0"/>
        </w:rPr>
        <w:t>PosixPath</w:t>
      </w:r>
      <w:r>
        <w:t xml:space="preserve">, as shown in the examples in </w:t>
      </w:r>
      <w:hyperlink w:anchor="Table_11_21__Commonly_used_metho">
        <w:r>
          <w:rPr>
            <w:rStyle w:val="Text1"/>
          </w:rPr>
          <w:t>Table 11-21</w:t>
        </w:r>
      </w:hyperlink>
      <w:r>
        <w:t xml:space="preserve">. (For clarity, we are simply importing </w:t>
      </w:r>
      <w:r>
        <w:rPr>
          <w:rStyle w:val="Text0"/>
        </w:rPr>
        <w:t>pathlib</w:t>
      </w:r>
      <w:r>
        <w:t xml:space="preserve"> rather than using the more common and idiomatic </w:t>
      </w:r>
      <w:r>
        <w:rPr>
          <w:rStyle w:val="Text5"/>
        </w:rPr>
        <w:t>from</w:t>
      </w:r>
      <w:r>
        <w:t xml:space="preserve"> </w:t>
      </w:r>
      <w:r>
        <w:rPr>
          <w:rStyle w:val="Text0"/>
        </w:rPr>
        <w:t>pathlib</w:t>
      </w:r>
      <w:r>
        <w:t xml:space="preserve"> </w:t>
      </w:r>
      <w:r>
        <w:rPr>
          <w:rStyle w:val="Text5"/>
        </w:rPr>
        <w:t>import</w:t>
      </w:r>
      <w:r>
        <w:t xml:space="preserve"> </w:t>
      </w:r>
      <w:r>
        <w:rPr>
          <w:rStyle w:val="Text0"/>
        </w:rPr>
        <w:t>Path</w:t>
      </w:r>
      <w:r>
        <w:t>.)</w:t>
      </w:r>
    </w:p>
    <w:p>
      <w:pPr>
        <w:keepNext/>
        <w:pStyle w:val="Heading 6"/>
        <w:keepLines w:val="on"/>
      </w:pPr>
      <w:r>
        <w:t>pathlib Methods Return Path Objects, Not Strings</w:t>
      </w:r>
    </w:p>
    <w:p>
      <w:pPr>
        <w:pStyle w:val="Para 012"/>
        <w:keepLines w:val="on"/>
      </w:pPr>
      <w:r>
        <w:t xml:space="preserve">Keep in mind that </w:t>
      </w:r>
      <w:r>
        <w:rPr>
          <w:rStyle w:val="Text0"/>
        </w:rPr>
        <w:t>pathlib</w:t>
      </w:r>
      <w:r>
        <w:t xml:space="preserve"> methods typically return a path object, not a string, so results of similar methods in </w:t>
      </w:r>
      <w:r>
        <w:rPr>
          <w:rStyle w:val="Text0"/>
        </w:rPr>
        <w:t>os</w:t>
      </w:r>
      <w:r>
        <w:t xml:space="preserve"> and </w:t>
      </w:r>
      <w:r>
        <w:rPr>
          <w:rStyle w:val="Text0"/>
        </w:rPr>
        <w:t>os.path</w:t>
      </w:r>
      <w:r>
        <w:t xml:space="preserve"> do </w:t>
      </w:r>
      <w:r>
        <w:rPr>
          <w:rStyle w:val="Text4"/>
        </w:rPr>
        <w:t>not</w:t>
      </w:r>
      <w:r>
        <w:t xml:space="preserve"> test as being identical.</w:t>
      </w:r>
    </w:p>
    <w:tbl>
      <w:tblPr>
        <w:tblW w:type="auto" w:w="0"/>
      </w:tblPr>
      <w:tr>
        <w:tc>
          <w:tcPr>
            <w:tcW w:type="auto" w:w="0"/>
            <w:tcMar>
              <w:left w:type="dxa" w:w="200"/>
              <w:top w:type="dxa" w:w="200"/>
              <w:right w:type="dxa" w:w="200"/>
              <w:bottom w:type="dxa" w:w="200"/>
            </w:tcMar>
          </w:tcPr>
          <w:p>
            <w:bookmarkStart w:id="2724" w:name="Table_11_21__Commonly_used_metho"/>
            <w:pPr>
              <w:pStyle w:val="Para 011"/>
            </w:pPr>
            <w:r>
              <w:rPr>
                <w:rStyle w:val="Text117"/>
              </w:rPr>
              <w:t/>
            </w:r>
            <w:r>
              <w:t xml:space="preserve">Table 11-21. </w:t>
              <w:t xml:space="preserve">Commonly used methods of </w:t>
            </w:r>
            <w:r>
              <w:rPr>
                <w:rStyle w:val="Text0"/>
              </w:rPr>
              <w:t>pathlib.Path</w:t>
            </w:r>
            <w:bookmarkEnd w:id="2724"/>
          </w:p>
          <w:p>
            <w:pPr>
              <w:pStyle w:val="Para 001"/>
            </w:pPr>
            <w:r>
              <w:t>chmod</w:t>
            </w:r>
            <w:r>
              <w:rPr>
                <w:rStyle w:val="Text12"/>
              </w:rPr>
              <w:t xml:space="preserve">, </w:t>
            </w:r>
            <w:r>
              <w:t>lchmod</w:t>
            </w:r>
          </w:p>
        </w:tc>
        <w:tc>
          <w:tcPr>
            <w:tcW w:type="auto" w:w="0"/>
            <w:tcMar>
              <w:left w:type="dxa" w:w="200"/>
              <w:top w:type="dxa" w:w="200"/>
              <w:right w:type="dxa" w:w="200"/>
              <w:bottom w:type="dxa" w:w="200"/>
            </w:tcMar>
          </w:tcPr>
          <w:p>
            <w:pPr>
              <w:pStyle w:val="Para 002"/>
            </w:pPr>
            <w:r>
              <w:rPr>
                <w:rStyle w:val="Text3"/>
              </w:rPr>
              <w:t>p</w:t>
            </w:r>
            <w:r>
              <w:rPr>
                <w:rStyle w:val="Text0"/>
              </w:rPr>
              <w:t>.chmod(</w:t>
            </w:r>
            <w:r>
              <w:rPr>
                <w:rStyle w:val="Text3"/>
              </w:rPr>
              <w:t>mode</w:t>
            </w:r>
            <w:r>
              <w:rPr>
                <w:rStyle w:val="Text0"/>
              </w:rPr>
              <w:t>, follow_symlinks=</w:t>
            </w:r>
            <w:r>
              <w:rPr>
                <w:rStyle w:val="Text5"/>
              </w:rPr>
              <w:t>True</w:t>
            </w:r>
            <w:r>
              <w:rPr>
                <w:rStyle w:val="Text0"/>
              </w:rPr>
              <w:t>)</w:t>
            </w:r>
            <w:r>
              <w:t>,</w:t>
              <w:br w:clear="none"/>
              <w:t xml:space="preserve"> </w:t>
            </w:r>
            <w:r>
              <w:rPr>
                <w:rStyle w:val="Text3"/>
              </w:rPr>
              <w:t>p</w:t>
            </w:r>
            <w:r>
              <w:rPr>
                <w:rStyle w:val="Text0"/>
              </w:rPr>
              <w:t>.lchmod(</w:t>
            </w:r>
            <w:r>
              <w:rPr>
                <w:rStyle w:val="Text3"/>
              </w:rPr>
              <w:t>mode</w:t>
            </w:r>
            <w:r>
              <w:rPr>
                <w:rStyle w:val="Text0"/>
              </w:rPr>
              <w:t>)</w:t>
              <w:br w:clear="none"/>
            </w:r>
            <w:r>
              <w:t xml:space="preserve"> </w:t>
            </w:r>
            <w:r>
              <w:rPr>
                <w:rStyle w:val="Text0"/>
              </w:rPr>
              <w:t>chmod</w:t>
            </w:r>
            <w:r>
              <w:rPr>
                <w:rStyle w:val="Text111"/>
              </w:rPr>
              <w:bookmarkStart w:id="2725" w:name="idm45965203346400"/>
              <w:t/>
              <w:bookmarkEnd w:id="2725"/>
            </w:r>
            <w:r>
              <w:t xml:space="preserve"> changes the file mode and permissions, like </w:t>
            </w:r>
            <w:r>
              <w:rPr>
                <w:rStyle w:val="Text0"/>
              </w:rPr>
              <w:t>os.chmod</w:t>
            </w:r>
            <w:r>
              <w:t xml:space="preserve"> (see </w:t>
            </w:r>
            <w:hyperlink w:anchor="Table_11_16__os_module_functions">
              <w:r>
                <w:rPr>
                  <w:rStyle w:val="Text1"/>
                </w:rPr>
                <w:t>Table 11-16</w:t>
              </w:r>
            </w:hyperlink>
            <w:r>
              <w:t xml:space="preserve">). On Unix platforms, </w:t>
            </w:r>
            <w:r>
              <w:rPr>
                <w:rStyle w:val="Text34"/>
              </w:rPr>
              <w:t>3.10+</w:t>
            </w:r>
            <w:r>
              <w:t xml:space="preserve"> set </w:t>
            </w:r>
            <w:r>
              <w:rPr>
                <w:rStyle w:val="Text0"/>
              </w:rPr>
              <w:t>follow_symlinks=</w:t>
            </w:r>
            <w:r>
              <w:rPr>
                <w:rStyle w:val="Text5"/>
              </w:rPr>
              <w:t>False</w:t>
            </w:r>
            <w:r>
              <w:t xml:space="preserve"> to change permissions on the symbolic link rather than its target, or use </w:t>
            </w:r>
            <w:r>
              <w:rPr>
                <w:rStyle w:val="Text0"/>
              </w:rPr>
              <w:t>lchmod</w:t>
            </w:r>
            <w:r>
              <w:t xml:space="preserve">. See the </w:t>
            </w:r>
            <w:hyperlink r:id="rId364">
              <w:r>
                <w:rPr>
                  <w:rStyle w:val="Text1"/>
                </w:rPr>
                <w:t>online docs</w:t>
              </w:r>
            </w:hyperlink>
            <w:r>
              <w:t xml:space="preserve"> for more information on </w:t>
            </w:r>
            <w:r>
              <w:rPr>
                <w:rStyle w:val="Text0"/>
              </w:rPr>
              <w:t>chmod</w:t>
            </w:r>
            <w:r>
              <w:t xml:space="preserve"> settings.</w:t>
            </w:r>
            <w:r>
              <w:rPr>
                <w:rStyle w:val="Text0"/>
              </w:rPr>
              <w:t>lchmod</w:t>
            </w:r>
            <w:r>
              <w:t xml:space="preserve"> is like </w:t>
            </w:r>
            <w:r>
              <w:rPr>
                <w:rStyle w:val="Text0"/>
              </w:rPr>
              <w:t>chmod</w:t>
            </w:r>
            <w:r>
              <w:t xml:space="preserve"> but, when </w:t>
            </w:r>
            <w:r>
              <w:rPr>
                <w:rStyle w:val="Text3"/>
              </w:rPr>
              <w:t>p</w:t>
            </w:r>
            <w:r>
              <w:t xml:space="preserve"> points to a symbolic link, changes the symbolic link rather than its target. Equivalent to </w:t>
            </w:r>
            <w:r>
              <w:rPr>
                <w:rStyle w:val="Text0"/>
              </w:rPr>
              <w:t>pathlib.Path.chmod(follow_symlinks=</w:t>
            </w:r>
            <w:r>
              <w:rPr>
                <w:rStyle w:val="Text5"/>
              </w:rPr>
              <w:t>False</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cwd</w:t>
            </w:r>
          </w:p>
        </w:tc>
        <w:tc>
          <w:tcPr>
            <w:tcW w:type="auto" w:w="0"/>
            <w:shd w:val="clear" w:color="auto" w:fill="EEF2F6"/>
            <w:tcMar>
              <w:left w:type="dxa" w:w="200"/>
              <w:top w:type="dxa" w:w="200"/>
              <w:right w:type="dxa" w:w="200"/>
              <w:bottom w:type="dxa" w:w="200"/>
            </w:tcMar>
          </w:tcPr>
          <w:p>
            <w:pPr>
              <w:pStyle w:val="Para 002"/>
            </w:pPr>
            <w:r>
              <w:rPr>
                <w:rStyle w:val="Text0"/>
              </w:rPr>
              <w:t>pathlib.Path.cwd()</w:t>
              <w:br w:clear="none"/>
            </w:r>
            <w:r>
              <w:t xml:space="preserve"> Returns</w:t>
            </w:r>
            <w:r>
              <w:rPr>
                <w:rStyle w:val="Text111"/>
              </w:rPr>
              <w:bookmarkStart w:id="2726" w:name="idm45965203333456"/>
              <w:t/>
              <w:bookmarkEnd w:id="2726"/>
            </w:r>
            <w:r>
              <w:t xml:space="preserve"> the current working directory as a path object.</w:t>
            </w:r>
          </w:p>
        </w:tc>
      </w:tr>
    </w:tbl>
    <w:tbl>
      <w:tblPr>
        <w:tblW w:type="auto" w:w="0"/>
      </w:tblPr>
      <w:tr>
        <w:tc>
          <w:tcPr>
            <w:tcW w:type="auto" w:w="0"/>
            <w:tcMar>
              <w:left w:type="dxa" w:w="200"/>
              <w:top w:type="dxa" w:w="200"/>
              <w:right w:type="dxa" w:w="200"/>
              <w:bottom w:type="dxa" w:w="200"/>
            </w:tcMar>
          </w:tcPr>
          <w:p>
            <w:pPr>
              <w:pStyle w:val="Para 001"/>
            </w:pPr>
            <w:r>
              <w:t>exists</w:t>
            </w:r>
          </w:p>
        </w:tc>
        <w:tc>
          <w:tcPr>
            <w:tcW w:type="auto" w:w="0"/>
            <w:tcMar>
              <w:left w:type="dxa" w:w="200"/>
              <w:top w:type="dxa" w:w="200"/>
              <w:right w:type="dxa" w:w="200"/>
              <w:bottom w:type="dxa" w:w="200"/>
            </w:tcMar>
          </w:tcPr>
          <w:p>
            <w:pPr>
              <w:pStyle w:val="Para 002"/>
            </w:pPr>
            <w:r>
              <w:rPr>
                <w:rStyle w:val="Text3"/>
              </w:rPr>
              <w:t>p</w:t>
            </w:r>
            <w:r>
              <w:rPr>
                <w:rStyle w:val="Text0"/>
              </w:rPr>
              <w:t>.exists()</w:t>
              <w:br w:clear="none"/>
            </w:r>
            <w:r>
              <w:t xml:space="preserve"> Returns</w:t>
            </w:r>
            <w:r>
              <w:rPr>
                <w:rStyle w:val="Text111"/>
              </w:rPr>
              <w:bookmarkStart w:id="2727" w:name="idm45965203328800"/>
              <w:t/>
              <w:bookmarkEnd w:id="2727"/>
            </w:r>
            <w:r>
              <w:t xml:space="preserve"> </w:t>
            </w:r>
            <w:r>
              <w:rPr>
                <w:rStyle w:val="Text5"/>
              </w:rPr>
              <w:t>True</w:t>
            </w:r>
            <w:r>
              <w:t xml:space="preserve"> when </w:t>
            </w:r>
            <w:r>
              <w:rPr>
                <w:rStyle w:val="Text3"/>
              </w:rPr>
              <w:t>p</w:t>
            </w:r>
            <w:r>
              <w:t xml:space="preserve"> names an existing file or directory (or a symbolic link pointing to an existing file or directory);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expanduser</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.expanduser()</w:t>
              <w:br w:clear="none"/>
            </w:r>
            <w:r>
              <w:t xml:space="preserve"> Returns</w:t>
            </w:r>
            <w:r>
              <w:rPr>
                <w:rStyle w:val="Text111"/>
              </w:rPr>
              <w:bookmarkStart w:id="2728" w:name="idm45965203321696"/>
              <w:t/>
              <w:bookmarkEnd w:id="2728"/>
            </w:r>
            <w:r>
              <w:t xml:space="preserve"> a new path object with a leading </w:t>
            </w:r>
            <w:r>
              <w:rPr>
                <w:rStyle w:val="Text0"/>
              </w:rPr>
              <w:t>~</w:t>
            </w:r>
            <w:r>
              <w:t xml:space="preserve"> expanded to the path of the home directory of the current user, or </w:t>
            </w:r>
            <w:r>
              <w:rPr>
                <w:rStyle w:val="Text0"/>
              </w:rPr>
              <w:t>~user</w:t>
            </w:r>
            <w:r>
              <w:t xml:space="preserve"> expanded to the path of the home directory of the given user. See also </w:t>
            </w:r>
            <w:r>
              <w:rPr>
                <w:rStyle w:val="Text0"/>
              </w:rPr>
              <w:t>home</w:t>
            </w:r>
            <w:r>
              <w:t xml:space="preserve"> later in this table.</w:t>
            </w:r>
          </w:p>
        </w:tc>
      </w:tr>
    </w:tbl>
    <w:tbl>
      <w:tblPr>
        <w:tblW w:type="auto" w:w="0"/>
      </w:tblPr>
      <w:tr>
        <w:tc>
          <w:tcPr>
            <w:tcW w:type="auto" w:w="0"/>
            <w:tcMar>
              <w:left w:type="dxa" w:w="200"/>
              <w:top w:type="dxa" w:w="200"/>
              <w:right w:type="dxa" w:w="200"/>
              <w:bottom w:type="dxa" w:w="200"/>
            </w:tcMar>
          </w:tcPr>
          <w:p>
            <w:pPr>
              <w:pStyle w:val="Para 001"/>
            </w:pPr>
            <w:r>
              <w:t>glob</w:t>
            </w:r>
            <w:r>
              <w:rPr>
                <w:rStyle w:val="Text12"/>
              </w:rPr>
              <w:t>,</w:t>
              <w:br w:clear="none"/>
              <w:t xml:space="preserve"> </w:t>
            </w:r>
            <w:r>
              <w:t>rglob</w:t>
            </w:r>
          </w:p>
        </w:tc>
        <w:tc>
          <w:tcPr>
            <w:tcW w:type="auto" w:w="0"/>
            <w:tcMar>
              <w:left w:type="dxa" w:w="200"/>
              <w:top w:type="dxa" w:w="200"/>
              <w:right w:type="dxa" w:w="200"/>
              <w:bottom w:type="dxa" w:w="200"/>
            </w:tcMar>
          </w:tcPr>
          <w:p>
            <w:pPr>
              <w:pStyle w:val="Para 002"/>
            </w:pPr>
            <w:r>
              <w:rPr>
                <w:rStyle w:val="Text3"/>
              </w:rPr>
              <w:t>p</w:t>
            </w:r>
            <w:r>
              <w:rPr>
                <w:rStyle w:val="Text0"/>
              </w:rPr>
              <w:t>.glob(</w:t>
            </w:r>
            <w:r>
              <w:rPr>
                <w:rStyle w:val="Text3"/>
              </w:rPr>
              <w:t>pattern</w:t>
            </w:r>
            <w:r>
              <w:rPr>
                <w:rStyle w:val="Text0"/>
              </w:rPr>
              <w:t>)</w:t>
            </w:r>
            <w:r>
              <w:t>,</w:t>
              <w:br w:clear="none"/>
              <w:t xml:space="preserve"> </w:t>
            </w:r>
            <w:r>
              <w:rPr>
                <w:rStyle w:val="Text3"/>
              </w:rPr>
              <w:t>p</w:t>
            </w:r>
            <w:r>
              <w:rPr>
                <w:rStyle w:val="Text0"/>
              </w:rPr>
              <w:t>.rglob(</w:t>
            </w:r>
            <w:r>
              <w:rPr>
                <w:rStyle w:val="Text3"/>
              </w:rPr>
              <w:t>pattern</w:t>
            </w:r>
            <w:r>
              <w:rPr>
                <w:rStyle w:val="Text0"/>
              </w:rPr>
              <w:t>)</w:t>
              <w:br w:clear="none"/>
            </w:r>
            <w:r>
              <w:t xml:space="preserve"> Yield</w:t>
            </w:r>
            <w:r>
              <w:rPr>
                <w:rStyle w:val="Text111"/>
              </w:rPr>
              <w:bookmarkStart w:id="2729" w:name="idm45965203311088"/>
              <w:t/>
              <w:bookmarkEnd w:id="2729"/>
              <w:bookmarkStart w:id="2730" w:name="idm45965203309968"/>
              <w:t/>
              <w:bookmarkEnd w:id="2730"/>
            </w:r>
            <w:r>
              <w:t xml:space="preserve"> all matching files in directory </w:t>
            </w:r>
            <w:r>
              <w:rPr>
                <w:rStyle w:val="Text3"/>
              </w:rPr>
              <w:t>p</w:t>
            </w:r>
            <w:r>
              <w:t xml:space="preserve"> in arbitrary order. </w:t>
            </w:r>
            <w:r>
              <w:rPr>
                <w:rStyle w:val="Text3"/>
              </w:rPr>
              <w:t>pattern</w:t>
            </w:r>
            <w:r>
              <w:t xml:space="preserve"> may</w:t>
            </w:r>
            <w:r>
              <w:rPr>
                <w:rStyle w:val="Text111"/>
              </w:rPr>
              <w:bookmarkStart w:id="2731" w:name="idm45965203307024"/>
              <w:t/>
              <w:bookmarkEnd w:id="2731"/>
              <w:bookmarkStart w:id="2732" w:name="idm45965203305584"/>
              <w:t/>
              <w:bookmarkEnd w:id="2732"/>
            </w:r>
            <w:r>
              <w:t xml:space="preserve"> include </w:t>
            </w:r>
            <w:r>
              <w:rPr>
                <w:rStyle w:val="Text0"/>
              </w:rPr>
              <w:t>**</w:t>
            </w:r>
            <w:r>
              <w:t xml:space="preserve"> to allow recursive globbing in </w:t>
            </w:r>
            <w:r>
              <w:rPr>
                <w:rStyle w:val="Text3"/>
              </w:rPr>
              <w:t>p</w:t>
            </w:r>
            <w:r>
              <w:t xml:space="preserve"> or any subdirectory; </w:t>
            </w:r>
            <w:r>
              <w:rPr>
                <w:rStyle w:val="Text0"/>
              </w:rPr>
              <w:t>rglob</w:t>
            </w:r>
            <w:r>
              <w:t xml:space="preserve"> always performs recursive globbing in </w:t>
            </w:r>
            <w:r>
              <w:rPr>
                <w:rStyle w:val="Text3"/>
              </w:rPr>
              <w:t>p</w:t>
            </w:r>
            <w:r>
              <w:t xml:space="preserve"> and all subdirectories, as if </w:t>
            </w:r>
            <w:r>
              <w:rPr>
                <w:rStyle w:val="Text3"/>
              </w:rPr>
              <w:t>pattern</w:t>
            </w:r>
            <w:r>
              <w:t xml:space="preserve"> started with </w:t>
            </w:r>
            <w:r>
              <w:rPr>
                <w:rStyle w:val="Text0"/>
              </w:rPr>
              <w:t>'**/'</w:t>
            </w:r>
            <w:r>
              <w:t xml:space="preserve">. For example: </w:t>
            </w:r>
          </w:p>
          <w:p>
            <w:pPr>
              <w:pStyle w:val="Para 090"/>
            </w:pPr>
            <w:r>
              <w:rPr>
                <w:rStyle w:val="Text23"/>
              </w:rPr>
              <w:t xml:space="preserve"/>
              <w:br w:clear="none"/>
            </w:r>
            <w:r>
              <w:rPr>
                <w:rStyle w:val="Text13"/>
              </w:rPr>
              <w:t xml:space="preserve">&gt;&gt;&gt;</w:t>
              <w:br w:clear="none"/>
            </w:r>
            <w:r>
              <w:rPr>
                <w:rStyle w:val="Text23"/>
              </w:rPr>
              <w:t xml:space="preserve"> </w:t>
              <w:br w:clear="none"/>
            </w:r>
            <w:r>
              <w:t xml:space="preserve">sorted</w:t>
              <w:br w:clear="none"/>
            </w:r>
            <w:r>
              <w:rPr>
                <w:rStyle w:val="Text7"/>
              </w:rPr>
              <w:t xml:space="preserve">(</w:t>
              <w:br w:clear="none"/>
            </w:r>
            <w:r>
              <w:rPr>
                <w:rStyle w:val="Text9"/>
              </w:rPr>
              <w:t xml:space="preserve">td</w:t>
              <w:br w:clear="none"/>
            </w:r>
            <w:r>
              <w:rPr>
                <w:rStyle w:val="Text13"/>
              </w:rPr>
              <w:t xml:space="preserve">.</w:t>
              <w:br w:clear="none"/>
            </w:r>
            <w:r>
              <w:rPr>
                <w:rStyle w:val="Text9"/>
              </w:rPr>
              <w:t xml:space="preserve">glob</w:t>
              <w:br w:clear="none"/>
            </w:r>
            <w:r>
              <w:rPr>
                <w:rStyle w:val="Text7"/>
              </w:rPr>
              <w:t xml:space="preserve">(</w:t>
              <w:br w:clear="none"/>
            </w:r>
            <w:r>
              <w:rPr>
                <w:rStyle w:val="Text8"/>
              </w:rPr>
              <w:t xml:space="preserve">'*'</w:t>
              <w:br w:clear="none"/>
            </w:r>
            <w:r>
              <w:rPr>
                <w:rStyle w:val="Text7"/>
              </w:rPr>
              <w:t xml:space="preserve">))</w:t>
              <w:br w:clear="none"/>
            </w:r>
          </w:p>
          <w:p>
            <w:pPr>
              <w:pStyle w:val="Para 033"/>
            </w:pPr>
            <w:r>
              <w:rPr>
                <w:rStyle w:val="Text48"/>
              </w:rPr>
              <w:t xml:space="preserve"/>
              <w:br w:clear="none"/>
            </w:r>
            <w:r>
              <w:t xml:space="preserve">[WindowsPath('tempdir/bar'), </w:t>
              <w:br w:clear="none"/>
              <w:t xml:space="preserve">WindowsPath('tempdir/foo')]</w:t>
              <w:br w:clear="none"/>
            </w:r>
          </w:p>
          <w:p>
            <w:pPr>
              <w:pStyle w:val="Para 090"/>
            </w:pPr>
            <w:r>
              <w:rPr>
                <w:rStyle w:val="Text23"/>
              </w:rPr>
              <w:t xml:space="preserve"/>
              <w:br w:clear="none"/>
            </w:r>
            <w:r>
              <w:rPr>
                <w:rStyle w:val="Text13"/>
              </w:rPr>
              <w:t xml:space="preserve">&gt;&gt;&gt;</w:t>
              <w:br w:clear="none"/>
            </w:r>
            <w:r>
              <w:rPr>
                <w:rStyle w:val="Text23"/>
              </w:rPr>
              <w:t xml:space="preserve"> </w:t>
              <w:br w:clear="none"/>
            </w:r>
            <w:r>
              <w:t xml:space="preserve">sorted</w:t>
              <w:br w:clear="none"/>
            </w:r>
            <w:r>
              <w:rPr>
                <w:rStyle w:val="Text7"/>
              </w:rPr>
              <w:t xml:space="preserve">(</w:t>
              <w:br w:clear="none"/>
            </w:r>
            <w:r>
              <w:rPr>
                <w:rStyle w:val="Text9"/>
              </w:rPr>
              <w:t xml:space="preserve">td</w:t>
              <w:br w:clear="none"/>
            </w:r>
            <w:r>
              <w:rPr>
                <w:rStyle w:val="Text13"/>
              </w:rPr>
              <w:t xml:space="preserve">.</w:t>
              <w:br w:clear="none"/>
            </w:r>
            <w:r>
              <w:rPr>
                <w:rStyle w:val="Text9"/>
              </w:rPr>
              <w:t xml:space="preserve">glob</w:t>
              <w:br w:clear="none"/>
            </w:r>
            <w:r>
              <w:rPr>
                <w:rStyle w:val="Text7"/>
              </w:rPr>
              <w:t xml:space="preserve">(</w:t>
              <w:br w:clear="none"/>
            </w:r>
            <w:r>
              <w:rPr>
                <w:rStyle w:val="Text8"/>
              </w:rPr>
              <w:t xml:space="preserve">'**/*'</w:t>
              <w:br w:clear="none"/>
            </w:r>
            <w:r>
              <w:rPr>
                <w:rStyle w:val="Text7"/>
              </w:rPr>
              <w:t xml:space="preserve">))</w:t>
              <w:br w:clear="none"/>
            </w:r>
          </w:p>
          <w:p>
            <w:pPr>
              <w:pStyle w:val="Para 033"/>
            </w:pPr>
            <w:r>
              <w:rPr>
                <w:rStyle w:val="Text48"/>
              </w:rPr>
              <w:t xml:space="preserve"/>
              <w:br w:clear="none"/>
            </w:r>
            <w:r>
              <w:t xml:space="preserve">[WindowsPath('tempdir/bar'),</w:t>
              <w:br w:clear="none"/>
              <w:t xml:space="preserve">WindowsPath('tempdir/bar/baz'), </w:t>
              <w:br w:clear="none"/>
              <w:t xml:space="preserve">WindowsPath('tempdir/bar/boo'), </w:t>
              <w:br w:clear="none"/>
              <w:t xml:space="preserve">WindowsPath('tempdir/foo')]</w:t>
              <w:br w:clear="none"/>
            </w:r>
          </w:p>
          <w:p>
            <w:pPr>
              <w:pStyle w:val="Para 05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21"/>
              </w:rPr>
              <w:t xml:space="preserve">sorted</w:t>
              <w:br w:clear="none"/>
            </w:r>
            <w:r>
              <w:rPr>
                <w:rStyle w:val="Text19"/>
              </w:rPr>
              <w:t xml:space="preserve">(</w:t>
              <w:br w:clear="none"/>
            </w:r>
            <w:r>
              <w:rPr>
                <w:rStyle w:val="Text14"/>
              </w:rPr>
              <w:t xml:space="preserve">td</w:t>
              <w:br w:clear="none"/>
            </w:r>
            <w:r>
              <w:rPr>
                <w:rStyle w:val="Text28"/>
              </w:rPr>
              <w:t xml:space="preserve">.</w:t>
              <w:br w:clear="none"/>
            </w:r>
            <w:r>
              <w:rPr>
                <w:rStyle w:val="Text14"/>
              </w:rPr>
              <w:t xml:space="preserve">glob</w:t>
              <w:br w:clear="none"/>
            </w:r>
            <w:r>
              <w:rPr>
                <w:rStyle w:val="Text19"/>
              </w:rPr>
              <w:t xml:space="preserve">(</w:t>
              <w:br w:clear="none"/>
            </w:r>
            <w:r>
              <w:rPr>
                <w:rStyle w:val="Text17"/>
              </w:rPr>
              <w:t xml:space="preserve">'</w:t>
              <w:br w:clear="none"/>
              <w:t xml:space="preserve">*/**/*</w:t>
              <w:br w:clear="none"/>
              <w:t xml:space="preserve">'</w:t>
              <w:br w:clear="none"/>
            </w:r>
            <w:r>
              <w:rPr>
                <w:rStyle w:val="Text19"/>
              </w:rPr>
              <w:t xml:space="preserve">)</w:t>
              <w:br w:clear="none"/>
              <w:t xml:space="preserve">)</w:t>
              <w:br w:clear="none"/>
            </w:r>
            <w:r>
              <w:rPr>
                <w:rStyle w:val="Text11"/>
              </w:rPr>
              <w:t xml:space="preserve"> </w:t>
              <w:br w:clear="none"/>
            </w:r>
            <w:r>
              <w:t xml:space="preserve"># expanding at 2nd+ level</w:t>
              <w:br w:clear="none"/>
            </w:r>
          </w:p>
          <w:p>
            <w:pPr>
              <w:pStyle w:val="Para 033"/>
            </w:pPr>
            <w:r>
              <w:rPr>
                <w:rStyle w:val="Text48"/>
              </w:rPr>
              <w:t xml:space="preserve"/>
              <w:br w:clear="none"/>
            </w:r>
            <w:r>
              <w:t xml:space="preserve">[WindowsPath('tempdir/bar/baz'), </w:t>
              <w:br w:clear="none"/>
              <w:t xml:space="preserve">WindowsPath('tempdir/bar/boo')]</w:t>
              <w:br w:clear="none"/>
            </w:r>
          </w:p>
          <w:p>
            <w:pPr>
              <w:pStyle w:val="Para 05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21"/>
              </w:rPr>
              <w:t xml:space="preserve">sorted</w:t>
              <w:br w:clear="none"/>
            </w:r>
            <w:r>
              <w:rPr>
                <w:rStyle w:val="Text19"/>
              </w:rPr>
              <w:t xml:space="preserve">(</w:t>
              <w:br w:clear="none"/>
            </w:r>
            <w:r>
              <w:rPr>
                <w:rStyle w:val="Text14"/>
              </w:rPr>
              <w:t xml:space="preserve">td</w:t>
              <w:br w:clear="none"/>
            </w:r>
            <w:r>
              <w:rPr>
                <w:rStyle w:val="Text28"/>
              </w:rPr>
              <w:t xml:space="preserve">.</w:t>
              <w:br w:clear="none"/>
            </w:r>
            <w:r>
              <w:rPr>
                <w:rStyle w:val="Text14"/>
              </w:rPr>
              <w:t xml:space="preserve">rglob</w:t>
              <w:br w:clear="none"/>
            </w:r>
            <w:r>
              <w:rPr>
                <w:rStyle w:val="Text19"/>
              </w:rPr>
              <w:t xml:space="preserve">(</w:t>
              <w:br w:clear="none"/>
            </w:r>
            <w:r>
              <w:rPr>
                <w:rStyle w:val="Text17"/>
              </w:rPr>
              <w:t xml:space="preserve">'</w:t>
              <w:br w:clear="none"/>
              <w:t xml:space="preserve">*</w:t>
              <w:br w:clear="none"/>
              <w:t xml:space="preserve">'</w:t>
              <w:br w:clear="none"/>
            </w:r>
            <w:r>
              <w:rPr>
                <w:rStyle w:val="Text19"/>
              </w:rPr>
              <w:t xml:space="preserve">)</w:t>
              <w:br w:clear="none"/>
              <w:t xml:space="preserve">)</w:t>
              <w:br w:clear="none"/>
            </w:r>
            <w:r>
              <w:rPr>
                <w:rStyle w:val="Text11"/>
              </w:rPr>
              <w:t xml:space="preserve">  </w:t>
              <w:br w:clear="none"/>
            </w:r>
            <w:r>
              <w:t xml:space="preserve"># just like glob('**/*')</w:t>
              <w:br w:clear="none"/>
            </w:r>
          </w:p>
          <w:p>
            <w:pPr>
              <w:pStyle w:val="Para 033"/>
            </w:pPr>
            <w:r>
              <w:rPr>
                <w:rStyle w:val="Text48"/>
              </w:rPr>
              <w:t xml:space="preserve"/>
              <w:br w:clear="none"/>
            </w:r>
            <w:r>
              <w:t xml:space="preserve">[WindowsPath('tempdir/bar'), </w:t>
              <w:br w:clear="none"/>
              <w:t xml:space="preserve">WindowsPath('tempdir/bar/baz'), </w:t>
              <w:br w:clear="none"/>
              <w:t xml:space="preserve">WindowsPath('tempdir/bar/boo'), </w:t>
              <w:br w:clear="none"/>
              <w:t xml:space="preserve">WindowsPath('tempdir/foo')]</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hardlink_to</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.hardlink_to(</w:t>
            </w:r>
            <w:r>
              <w:rPr>
                <w:rStyle w:val="Text3"/>
              </w:rPr>
              <w:t>target</w:t>
            </w:r>
            <w:r>
              <w:rPr>
                <w:rStyle w:val="Text0"/>
              </w:rPr>
              <w:t>)</w:t>
              <w:br w:clear="none"/>
            </w:r>
            <w:r>
              <w:t xml:space="preserve"> </w:t>
            </w:r>
            <w:r>
              <w:rPr>
                <w:rStyle w:val="Text34"/>
              </w:rPr>
              <w:t>3.10+</w:t>
            </w:r>
            <w:r>
              <w:t xml:space="preserve"> Makes</w:t>
            </w:r>
            <w:r>
              <w:rPr>
                <w:rStyle w:val="Text111"/>
              </w:rPr>
              <w:bookmarkStart w:id="2733" w:name="idm45965203181856"/>
              <w:t/>
              <w:bookmarkEnd w:id="2733"/>
            </w:r>
            <w:r>
              <w:t xml:space="preserve"> </w:t>
            </w:r>
            <w:r>
              <w:rPr>
                <w:rStyle w:val="Text3"/>
              </w:rPr>
              <w:t>p</w:t>
            </w:r>
            <w:r>
              <w:t xml:space="preserve"> a hard link to the same file as </w:t>
            </w:r>
            <w:r>
              <w:rPr>
                <w:rStyle w:val="Text3"/>
              </w:rPr>
              <w:t>target</w:t>
            </w:r>
            <w:r>
              <w:t xml:space="preserve">. Replaces the deprecated </w:t>
            </w:r>
            <w:r>
              <w:rPr>
                <w:rStyle w:val="Text0"/>
              </w:rPr>
              <w:t>link_to</w:t>
            </w:r>
            <w:r>
              <w:t xml:space="preserve"> </w:t>
            </w:r>
            <w:r>
              <w:rPr>
                <w:rStyle w:val="Text34"/>
              </w:rPr>
              <w:t>3.8+</w:t>
            </w:r>
            <w:r>
              <w:t xml:space="preserve">, </w:t>
            </w:r>
            <w:r>
              <w:rPr>
                <w:rStyle w:val="Text0"/>
              </w:rPr>
              <w:t>-3.10</w:t>
            </w:r>
            <w:r>
              <w:t xml:space="preserve"> Note: the order of arguments for </w:t>
            </w:r>
            <w:r>
              <w:rPr>
                <w:rStyle w:val="Text0"/>
              </w:rPr>
              <w:t>link_to</w:t>
            </w:r>
            <w:r>
              <w:t xml:space="preserve"> was like </w:t>
            </w:r>
            <w:r>
              <w:rPr>
                <w:rStyle w:val="Text0"/>
              </w:rPr>
              <w:t>os.link</w:t>
            </w:r>
            <w:r>
              <w:t xml:space="preserve">, described in </w:t>
            </w:r>
            <w:hyperlink w:anchor="Table_11_16__os_module_functions">
              <w:r>
                <w:rPr>
                  <w:rStyle w:val="Text1"/>
                </w:rPr>
                <w:t>Table 11-16</w:t>
              </w:r>
            </w:hyperlink>
            <w:r>
              <w:t xml:space="preserve">; for </w:t>
            </w:r>
            <w:r>
              <w:rPr>
                <w:rStyle w:val="Text0"/>
              </w:rPr>
              <w:t>hardlink_to</w:t>
            </w:r>
            <w:r>
              <w:t xml:space="preserve">, like for </w:t>
            </w:r>
            <w:r>
              <w:rPr>
                <w:rStyle w:val="Text0"/>
              </w:rPr>
              <w:t>symlink_to</w:t>
            </w:r>
            <w:r>
              <w:t xml:space="preserve"> later in this table, it’s the reverse.</w:t>
            </w:r>
          </w:p>
        </w:tc>
      </w:tr>
    </w:tbl>
    <w:tbl>
      <w:tblPr>
        <w:tblW w:type="auto" w:w="0"/>
      </w:tblPr>
      <w:tr>
        <w:tc>
          <w:tcPr>
            <w:tcW w:type="auto" w:w="0"/>
            <w:tcMar>
              <w:left w:type="dxa" w:w="200"/>
              <w:top w:type="dxa" w:w="200"/>
              <w:right w:type="dxa" w:w="200"/>
              <w:bottom w:type="dxa" w:w="200"/>
            </w:tcMar>
          </w:tcPr>
          <w:p>
            <w:pPr>
              <w:pStyle w:val="Para 001"/>
            </w:pPr>
            <w:r>
              <w:t>home</w:t>
            </w:r>
          </w:p>
        </w:tc>
        <w:tc>
          <w:tcPr>
            <w:tcW w:type="auto" w:w="0"/>
            <w:tcMar>
              <w:left w:type="dxa" w:w="200"/>
              <w:top w:type="dxa" w:w="200"/>
              <w:right w:type="dxa" w:w="200"/>
              <w:bottom w:type="dxa" w:w="200"/>
            </w:tcMar>
          </w:tcPr>
          <w:p>
            <w:pPr>
              <w:pStyle w:val="Para 002"/>
            </w:pPr>
            <w:r>
              <w:rPr>
                <w:rStyle w:val="Text0"/>
              </w:rPr>
              <w:t>pathlib.Path.home()</w:t>
              <w:br w:clear="none"/>
            </w:r>
            <w:r>
              <w:t xml:space="preserve"> Returns</w:t>
            </w:r>
            <w:r>
              <w:rPr>
                <w:rStyle w:val="Text111"/>
              </w:rPr>
              <w:bookmarkStart w:id="2734" w:name="idm45965203147968"/>
              <w:t/>
              <w:bookmarkEnd w:id="2734"/>
            </w:r>
            <w:r>
              <w:t xml:space="preserve"> the user’s home directory as a path object.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is_dir</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.is_dir()</w:t>
              <w:br w:clear="none"/>
            </w:r>
            <w:r>
              <w:t xml:space="preserve"> Returns</w:t>
            </w:r>
            <w:r>
              <w:rPr>
                <w:rStyle w:val="Text111"/>
              </w:rPr>
              <w:bookmarkStart w:id="2735" w:name="idm45965203143360"/>
              <w:t/>
              <w:bookmarkEnd w:id="2735"/>
            </w:r>
            <w:r>
              <w:t xml:space="preserve"> </w:t>
            </w:r>
            <w:r>
              <w:rPr>
                <w:rStyle w:val="Text5"/>
              </w:rPr>
              <w:t>True</w:t>
            </w:r>
            <w:r>
              <w:t xml:space="preserve"> when </w:t>
            </w:r>
            <w:r>
              <w:rPr>
                <w:rStyle w:val="Text3"/>
              </w:rPr>
              <w:t>p</w:t>
            </w:r>
            <w:r>
              <w:t xml:space="preserve"> names an existing directory (or a symbolic link to a directory);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is_file</w:t>
            </w:r>
          </w:p>
        </w:tc>
        <w:tc>
          <w:tcPr>
            <w:tcW w:type="auto" w:w="0"/>
            <w:tcMar>
              <w:left w:type="dxa" w:w="200"/>
              <w:top w:type="dxa" w:w="200"/>
              <w:right w:type="dxa" w:w="200"/>
              <w:bottom w:type="dxa" w:w="200"/>
            </w:tcMar>
          </w:tcPr>
          <w:p>
            <w:pPr>
              <w:pStyle w:val="Para 002"/>
            </w:pPr>
            <w:r>
              <w:rPr>
                <w:rStyle w:val="Text3"/>
              </w:rPr>
              <w:t>p</w:t>
            </w:r>
            <w:r>
              <w:rPr>
                <w:rStyle w:val="Text0"/>
              </w:rPr>
              <w:t>.is_file()</w:t>
              <w:br w:clear="none"/>
            </w:r>
            <w:r>
              <w:t xml:space="preserve"> Returns</w:t>
            </w:r>
            <w:r>
              <w:rPr>
                <w:rStyle w:val="Text111"/>
              </w:rPr>
              <w:bookmarkStart w:id="2736" w:name="idm45965203136400"/>
              <w:t/>
              <w:bookmarkEnd w:id="2736"/>
            </w:r>
            <w:r>
              <w:t xml:space="preserve"> </w:t>
            </w:r>
            <w:r>
              <w:rPr>
                <w:rStyle w:val="Text5"/>
              </w:rPr>
              <w:t>True</w:t>
            </w:r>
            <w:r>
              <w:t xml:space="preserve"> when </w:t>
            </w:r>
            <w:r>
              <w:rPr>
                <w:rStyle w:val="Text3"/>
              </w:rPr>
              <w:t>p</w:t>
            </w:r>
            <w:r>
              <w:t xml:space="preserve"> names an existing file (or a symbolic link to a file);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is_mount</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is_mount()</w:t>
              <w:br w:clear="none"/>
            </w:r>
            <w:r>
              <w:t xml:space="preserve"> Returns </w:t>
            </w:r>
            <w:r>
              <w:rPr>
                <w:rStyle w:val="Text5"/>
              </w:rPr>
              <w:t>True</w:t>
            </w:r>
            <w:r>
              <w:t xml:space="preserve"> when </w:t>
            </w:r>
            <w:r>
              <w:rPr>
                <w:rStyle w:val="Text3"/>
              </w:rPr>
              <w:t>p</w:t>
            </w:r>
            <w:r>
              <w:t xml:space="preserve"> is a </w:t>
            </w:r>
            <w:r>
              <w:rPr>
                <w:rStyle w:val="Text4"/>
              </w:rPr>
              <w:t>mount point</w:t>
            </w:r>
            <w:r>
              <w:t xml:space="preserve"> (a point in a filesystem where a different filesystem has been mounted); otherwise, returns </w:t>
            </w:r>
            <w:r>
              <w:rPr>
                <w:rStyle w:val="Text5"/>
              </w:rPr>
              <w:t>False</w:t>
            </w:r>
            <w:r>
              <w:t xml:space="preserve">. See the </w:t>
            </w:r>
            <w:hyperlink r:id="rId365">
              <w:r>
                <w:rPr>
                  <w:rStyle w:val="Text1"/>
                </w:rPr>
                <w:t>online docs</w:t>
              </w:r>
            </w:hyperlink>
            <w:r>
              <w:t xml:space="preserve"> for details. Not implemented on Windows.</w:t>
            </w:r>
          </w:p>
        </w:tc>
      </w:tr>
    </w:tbl>
    <w:tbl>
      <w:tblPr>
        <w:tblW w:type="auto" w:w="0"/>
      </w:tblPr>
      <w:tr>
        <w:tc>
          <w:tcPr>
            <w:tcW w:type="auto" w:w="0"/>
            <w:tcMar>
              <w:left w:type="dxa" w:w="200"/>
              <w:top w:type="dxa" w:w="200"/>
              <w:right w:type="dxa" w:w="200"/>
              <w:bottom w:type="dxa" w:w="200"/>
            </w:tcMar>
          </w:tcPr>
          <w:p>
            <w:pPr>
              <w:pStyle w:val="Para 001"/>
            </w:pPr>
            <w:r>
              <w:t>is_symlink</w:t>
            </w:r>
          </w:p>
        </w:tc>
        <w:tc>
          <w:tcPr>
            <w:tcW w:type="auto" w:w="0"/>
            <w:tcMar>
              <w:left w:type="dxa" w:w="200"/>
              <w:top w:type="dxa" w:w="200"/>
              <w:right w:type="dxa" w:w="200"/>
              <w:bottom w:type="dxa" w:w="200"/>
            </w:tcMar>
          </w:tcPr>
          <w:p>
            <w:pPr>
              <w:pStyle w:val="Para 002"/>
            </w:pPr>
            <w:r>
              <w:rPr>
                <w:rStyle w:val="Text3"/>
              </w:rPr>
              <w:t>p</w:t>
            </w:r>
            <w:r>
              <w:rPr>
                <w:rStyle w:val="Text0"/>
              </w:rPr>
              <w:t>.is_symlink()</w:t>
              <w:br w:clear="none"/>
            </w:r>
            <w:r>
              <w:t xml:space="preserve"> Returns </w:t>
            </w:r>
            <w:r>
              <w:rPr>
                <w:rStyle w:val="Text5"/>
              </w:rPr>
              <w:t>True</w:t>
            </w:r>
            <w:r>
              <w:t xml:space="preserve"> when </w:t>
            </w:r>
            <w:r>
              <w:rPr>
                <w:rStyle w:val="Text3"/>
              </w:rPr>
              <w:t>p</w:t>
            </w:r>
            <w:r>
              <w:t xml:space="preserve"> names an existing symbolic link;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iterdir</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.iterdir()</w:t>
              <w:br w:clear="none"/>
            </w:r>
            <w:r>
              <w:t xml:space="preserve"> Yields path objects for the contents of directory </w:t>
            </w:r>
            <w:r>
              <w:rPr>
                <w:rStyle w:val="Text3"/>
              </w:rPr>
              <w:t>p</w:t>
            </w:r>
            <w:r>
              <w:t xml:space="preserve"> (</w:t>
            </w:r>
            <w:r>
              <w:rPr>
                <w:rStyle w:val="Text0"/>
              </w:rPr>
              <w:t>'.'</w:t>
            </w:r>
            <w:r>
              <w:t xml:space="preserve"> and </w:t>
            </w:r>
            <w:r>
              <w:rPr>
                <w:rStyle w:val="Text0"/>
              </w:rPr>
              <w:t>'..'</w:t>
            </w:r>
            <w:r>
              <w:t xml:space="preserve"> not included) in arbitrary order. Raises </w:t>
            </w:r>
            <w:r>
              <w:rPr>
                <w:rStyle w:val="Text0"/>
              </w:rPr>
              <w:t>NotADirectoryError</w:t>
            </w:r>
            <w:r>
              <w:t xml:space="preserve"> when </w:t>
            </w:r>
            <w:r>
              <w:rPr>
                <w:rStyle w:val="Text3"/>
              </w:rPr>
              <w:t>p</w:t>
            </w:r>
            <w:r>
              <w:t xml:space="preserve"> is not a directory. May produce unexpected results if you remove a file from </w:t>
            </w:r>
            <w:r>
              <w:rPr>
                <w:rStyle w:val="Text3"/>
              </w:rPr>
              <w:t>p</w:t>
            </w:r>
            <w:r>
              <w:t xml:space="preserve">, or add a file to </w:t>
            </w:r>
            <w:r>
              <w:rPr>
                <w:rStyle w:val="Text3"/>
              </w:rPr>
              <w:t>p</w:t>
            </w:r>
            <w:r>
              <w:t>, after you create the iterator and before you’re done using it.</w:t>
            </w:r>
          </w:p>
        </w:tc>
      </w:tr>
    </w:tbl>
    <w:tbl>
      <w:tblPr>
        <w:tblW w:type="auto" w:w="0"/>
      </w:tblPr>
      <w:tr>
        <w:tc>
          <w:tcPr>
            <w:tcW w:type="auto" w:w="0"/>
            <w:tcMar>
              <w:left w:type="dxa" w:w="200"/>
              <w:top w:type="dxa" w:w="200"/>
              <w:right w:type="dxa" w:w="200"/>
              <w:bottom w:type="dxa" w:w="200"/>
            </w:tcMar>
          </w:tcPr>
          <w:p>
            <w:pPr>
              <w:pStyle w:val="Para 001"/>
            </w:pPr>
            <w:r>
              <w:t>mkdir</w:t>
            </w:r>
          </w:p>
        </w:tc>
        <w:tc>
          <w:tcPr>
            <w:tcW w:type="auto" w:w="0"/>
            <w:tcMar>
              <w:left w:type="dxa" w:w="200"/>
              <w:top w:type="dxa" w:w="200"/>
              <w:right w:type="dxa" w:w="200"/>
              <w:bottom w:type="dxa" w:w="200"/>
            </w:tcMar>
          </w:tcPr>
          <w:p>
            <w:pPr>
              <w:pStyle w:val="Para 002"/>
            </w:pPr>
            <w:r>
              <w:rPr>
                <w:rStyle w:val="Text3"/>
              </w:rPr>
              <w:t>p</w:t>
            </w:r>
            <w:r>
              <w:rPr>
                <w:rStyle w:val="Text0"/>
              </w:rPr>
              <w:t>.mkdir(mode=0o777, parents=</w:t>
            </w:r>
            <w:r>
              <w:rPr>
                <w:rStyle w:val="Text5"/>
              </w:rPr>
              <w:t>False</w:t>
            </w:r>
            <w:r>
              <w:rPr>
                <w:rStyle w:val="Text0"/>
              </w:rPr>
              <w:t>, exist_ok=</w:t>
            </w:r>
            <w:r>
              <w:rPr>
                <w:rStyle w:val="Text5"/>
              </w:rPr>
              <w:t>False</w:t>
            </w:r>
            <w:r>
              <w:rPr>
                <w:rStyle w:val="Text0"/>
              </w:rPr>
              <w:t>)</w:t>
              <w:br w:clear="none"/>
            </w:r>
            <w:r>
              <w:t xml:space="preserve"> Creates</w:t>
            </w:r>
            <w:r>
              <w:rPr>
                <w:rStyle w:val="Text111"/>
              </w:rPr>
              <w:bookmarkStart w:id="2737" w:name="idm45965203106960"/>
              <w:t/>
              <w:bookmarkEnd w:id="2737"/>
            </w:r>
            <w:r>
              <w:t xml:space="preserve"> a new directory at the path. Use </w:t>
            </w:r>
            <w:r>
              <w:rPr>
                <w:rStyle w:val="Text0"/>
              </w:rPr>
              <w:t>mode</w:t>
            </w:r>
            <w:r>
              <w:t xml:space="preserve"> to set file mode and access flags. Pass </w:t>
            </w:r>
            <w:r>
              <w:rPr>
                <w:rStyle w:val="Text0"/>
              </w:rPr>
              <w:t>parents=</w:t>
            </w:r>
            <w:r>
              <w:rPr>
                <w:rStyle w:val="Text5"/>
              </w:rPr>
              <w:t>True</w:t>
            </w:r>
            <w:r>
              <w:t xml:space="preserve"> to create any missing parents as needed. Pass </w:t>
            </w:r>
            <w:r>
              <w:rPr>
                <w:rStyle w:val="Text0"/>
              </w:rPr>
              <w:t>exist_ok=</w:t>
            </w:r>
            <w:r>
              <w:rPr>
                <w:rStyle w:val="Text5"/>
              </w:rPr>
              <w:t>True</w:t>
            </w:r>
            <w:r>
              <w:t xml:space="preserve"> to ignore </w:t>
            </w:r>
            <w:r>
              <w:rPr>
                <w:rStyle w:val="Text0"/>
              </w:rPr>
              <w:t>FileExistsError</w:t>
            </w:r>
            <w:r>
              <w:t xml:space="preserve"> exceptions. For example: </w:t>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td</w:t>
              <w:br w:clear="none"/>
            </w:r>
            <w:r>
              <w:rPr>
                <w:rStyle w:val="Text13"/>
              </w:rPr>
              <w:t xml:space="preserve">=</w:t>
              <w:br w:clear="none"/>
            </w:r>
            <w:r>
              <w:t xml:space="preserve">pathlib</w:t>
              <w:br w:clear="none"/>
            </w:r>
            <w:r>
              <w:rPr>
                <w:rStyle w:val="Text13"/>
              </w:rPr>
              <w:t xml:space="preserve">.</w:t>
              <w:br w:clear="none"/>
            </w:r>
            <w:r>
              <w:t xml:space="preserve">Path</w:t>
              <w:br w:clear="none"/>
            </w:r>
            <w:r>
              <w:rPr>
                <w:rStyle w:val="Text7"/>
              </w:rPr>
              <w:t xml:space="preserve">(</w:t>
              <w:br w:clear="none"/>
            </w:r>
            <w:r>
              <w:rPr>
                <w:rStyle w:val="Text8"/>
              </w:rPr>
              <w:t xml:space="preserve">'tempdir/'</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td</w:t>
              <w:br w:clear="none"/>
            </w:r>
            <w:r>
              <w:rPr>
                <w:rStyle w:val="Text13"/>
              </w:rPr>
              <w:t xml:space="preserve">.</w:t>
              <w:br w:clear="none"/>
            </w:r>
            <w:r>
              <w:t xml:space="preserve">mkdir</w:t>
              <w:br w:clear="none"/>
            </w:r>
            <w:r>
              <w:rPr>
                <w:rStyle w:val="Text7"/>
              </w:rPr>
              <w:t xml:space="preserve">(</w:t>
              <w:br w:clear="none"/>
            </w:r>
            <w:r>
              <w:t xml:space="preserve">exist_ok</w:t>
              <w:br w:clear="none"/>
            </w:r>
            <w:r>
              <w:rPr>
                <w:rStyle w:val="Text13"/>
              </w:rPr>
              <w:t xml:space="preserve">=</w:t>
              <w:br w:clear="none"/>
            </w:r>
            <w:r>
              <w:rPr>
                <w:rStyle w:val="Text39"/>
              </w:rPr>
              <w:t xml:space="preserve">True</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td</w:t>
              <w:br w:clear="none"/>
            </w:r>
            <w:r>
              <w:rPr>
                <w:rStyle w:val="Text13"/>
              </w:rPr>
              <w:t xml:space="preserve">.</w:t>
              <w:br w:clear="none"/>
            </w:r>
            <w:r>
              <w:t xml:space="preserve">is_dir</w:t>
              <w:br w:clear="none"/>
            </w:r>
            <w:r>
              <w:rPr>
                <w:rStyle w:val="Text7"/>
              </w:rPr>
              <w:t xml:space="preserve">()</w:t>
              <w:br w:clear="none"/>
            </w:r>
          </w:p>
          <w:p>
            <w:pPr>
              <w:pStyle w:val="Para 033"/>
            </w:pPr>
            <w:r>
              <w:rPr>
                <w:rStyle w:val="Text48"/>
              </w:rPr>
              <w:t xml:space="preserve"/>
              <w:br w:clear="none"/>
            </w:r>
            <w:r>
              <w:t xml:space="preserve">True</w:t>
              <w:br w:clear="none"/>
            </w:r>
          </w:p>
          <w:p>
            <w:pPr>
              <w:pStyle w:val="Para 022"/>
            </w:pPr>
            <w:r>
              <w:t xml:space="preserve"> See the </w:t>
            </w:r>
            <w:hyperlink r:id="rId366">
              <w:r>
                <w:rPr>
                  <w:rStyle w:val="Text1"/>
                </w:rPr>
                <w:t>online docs</w:t>
              </w:r>
            </w:hyperlink>
            <w:r>
              <w:t xml:space="preserve"> for thorough coverage.</w:t>
            </w:r>
          </w:p>
        </w:tc>
      </w:tr>
    </w:tbl>
    <w:tbl>
      <w:tblPr>
        <w:tblW w:type="auto" w:w="0"/>
      </w:tblPr>
      <w:tr>
        <w:tc>
          <w:tcPr>
            <w:tcW w:type="auto" w:w="0"/>
            <w:shd w:val="clear" w:color="auto" w:fill="EEF2F6"/>
            <w:tcMar>
              <w:left w:type="dxa" w:w="200"/>
              <w:top w:type="dxa" w:w="200"/>
              <w:right w:type="dxa" w:w="200"/>
              <w:bottom w:type="dxa" w:w="200"/>
            </w:tcMar>
          </w:tcPr>
          <w:p>
            <w:pPr>
              <w:pStyle w:val="Para 001"/>
            </w:pPr>
            <w:r>
              <w:t>open</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.open(mode='r', buffering=-1, encoding=</w:t>
            </w:r>
            <w:r>
              <w:rPr>
                <w:rStyle w:val="Text5"/>
              </w:rPr>
              <w:t>None</w:t>
            </w:r>
            <w:r>
              <w:rPr>
                <w:rStyle w:val="Text0"/>
              </w:rPr>
              <w:t>, errors=</w:t>
            </w:r>
            <w:r>
              <w:rPr>
                <w:rStyle w:val="Text5"/>
              </w:rPr>
              <w:t>None</w:t>
            </w:r>
            <w:r>
              <w:rPr>
                <w:rStyle w:val="Text0"/>
              </w:rPr>
              <w:t>, newline=</w:t>
            </w:r>
            <w:r>
              <w:rPr>
                <w:rStyle w:val="Text5"/>
              </w:rPr>
              <w:t>None</w:t>
            </w:r>
            <w:r>
              <w:rPr>
                <w:rStyle w:val="Text0"/>
              </w:rPr>
              <w:t>)</w:t>
              <w:br w:clear="none"/>
            </w:r>
            <w:r>
              <w:t xml:space="preserve"> Opens</w:t>
            </w:r>
            <w:r>
              <w:rPr>
                <w:rStyle w:val="Text111"/>
              </w:rPr>
              <w:bookmarkStart w:id="2738" w:name="idm45965203047152"/>
              <w:t/>
              <w:bookmarkEnd w:id="2738"/>
            </w:r>
            <w:r>
              <w:t xml:space="preserve"> the file pointed to by the path, like the built-in </w:t>
            </w:r>
            <w:r>
              <w:rPr>
                <w:rStyle w:val="Text0"/>
              </w:rPr>
              <w:t>open(</w:t>
            </w:r>
            <w:r>
              <w:rPr>
                <w:rStyle w:val="Text3"/>
              </w:rPr>
              <w:t>p</w:t>
            </w:r>
            <w:r>
              <w:rPr>
                <w:rStyle w:val="Text0"/>
              </w:rPr>
              <w:t>)</w:t>
            </w:r>
            <w:r>
              <w:t xml:space="preserve"> (with other args the same).</w:t>
            </w:r>
          </w:p>
        </w:tc>
      </w:tr>
    </w:tbl>
    <w:tbl>
      <w:tblPr>
        <w:tblW w:type="auto" w:w="0"/>
      </w:tblPr>
      <w:tr>
        <w:tc>
          <w:tcPr>
            <w:tcW w:type="auto" w:w="0"/>
            <w:tcMar>
              <w:left w:type="dxa" w:w="200"/>
              <w:top w:type="dxa" w:w="200"/>
              <w:right w:type="dxa" w:w="200"/>
              <w:bottom w:type="dxa" w:w="200"/>
            </w:tcMar>
          </w:tcPr>
          <w:p>
            <w:pPr>
              <w:pStyle w:val="Para 001"/>
            </w:pPr>
            <w:r>
              <w:t>read_bytes</w:t>
            </w:r>
          </w:p>
        </w:tc>
        <w:tc>
          <w:tcPr>
            <w:tcW w:type="auto" w:w="0"/>
            <w:tcMar>
              <w:left w:type="dxa" w:w="200"/>
              <w:top w:type="dxa" w:w="200"/>
              <w:right w:type="dxa" w:w="200"/>
              <w:bottom w:type="dxa" w:w="200"/>
            </w:tcMar>
          </w:tcPr>
          <w:p>
            <w:pPr>
              <w:pStyle w:val="Para 002"/>
            </w:pPr>
            <w:r>
              <w:rPr>
                <w:rStyle w:val="Text3"/>
              </w:rPr>
              <w:t>p</w:t>
            </w:r>
            <w:r>
              <w:rPr>
                <w:rStyle w:val="Text0"/>
              </w:rPr>
              <w:t>.read_bytes()</w:t>
              <w:br w:clear="none"/>
            </w:r>
            <w:r>
              <w:t xml:space="preserve"> Returns</w:t>
            </w:r>
            <w:r>
              <w:rPr>
                <w:rStyle w:val="Text111"/>
              </w:rPr>
              <w:bookmarkStart w:id="2739" w:name="idm45965203042080"/>
              <w:t/>
              <w:bookmarkEnd w:id="2739"/>
            </w:r>
            <w:r>
              <w:t xml:space="preserve"> the binary contents of </w:t>
            </w:r>
            <w:r>
              <w:rPr>
                <w:rStyle w:val="Text3"/>
              </w:rPr>
              <w:t>p</w:t>
            </w:r>
            <w:r>
              <w:t xml:space="preserve"> as a </w:t>
            </w:r>
            <w:r>
              <w:rPr>
                <w:rStyle w:val="Text0"/>
              </w:rPr>
              <w:t>bytes</w:t>
            </w:r>
            <w:r>
              <w:t xml:space="preserve"> object.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read_text</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.read_text(encoding=</w:t>
            </w:r>
            <w:r>
              <w:rPr>
                <w:rStyle w:val="Text5"/>
              </w:rPr>
              <w:t>None</w:t>
            </w:r>
            <w:r>
              <w:rPr>
                <w:rStyle w:val="Text0"/>
              </w:rPr>
              <w:t>, errors=</w:t>
            </w:r>
            <w:r>
              <w:rPr>
                <w:rStyle w:val="Text5"/>
              </w:rPr>
              <w:t>None</w:t>
            </w:r>
            <w:r>
              <w:rPr>
                <w:rStyle w:val="Text0"/>
              </w:rPr>
              <w:t>)</w:t>
              <w:br w:clear="none"/>
            </w:r>
            <w:r>
              <w:t xml:space="preserve"> Returns</w:t>
            </w:r>
            <w:r>
              <w:rPr>
                <w:rStyle w:val="Text111"/>
              </w:rPr>
              <w:bookmarkStart w:id="2740" w:name="idm45965203035296"/>
              <w:t/>
              <w:bookmarkEnd w:id="2740"/>
            </w:r>
            <w:r>
              <w:t xml:space="preserve"> the decoded contents of </w:t>
            </w:r>
            <w:r>
              <w:rPr>
                <w:rStyle w:val="Text3"/>
              </w:rPr>
              <w:t>p</w:t>
            </w:r>
            <w:r>
              <w:t xml:space="preserve"> as a string.</w:t>
            </w:r>
          </w:p>
        </w:tc>
      </w:tr>
    </w:tbl>
    <w:tbl>
      <w:tblPr>
        <w:tblW w:type="auto" w:w="0"/>
      </w:tblPr>
      <w:tr>
        <w:tc>
          <w:tcPr>
            <w:tcW w:type="auto" w:w="0"/>
            <w:tcMar>
              <w:left w:type="dxa" w:w="200"/>
              <w:top w:type="dxa" w:w="200"/>
              <w:right w:type="dxa" w:w="200"/>
              <w:bottom w:type="dxa" w:w="200"/>
            </w:tcMar>
          </w:tcPr>
          <w:p>
            <w:pPr>
              <w:pStyle w:val="Para 001"/>
            </w:pPr>
            <w:r>
              <w:t>readlink</w:t>
            </w:r>
          </w:p>
        </w:tc>
        <w:tc>
          <w:tcPr>
            <w:tcW w:type="auto" w:w="0"/>
            <w:tcMar>
              <w:left w:type="dxa" w:w="200"/>
              <w:top w:type="dxa" w:w="200"/>
              <w:right w:type="dxa" w:w="200"/>
              <w:bottom w:type="dxa" w:w="200"/>
            </w:tcMar>
          </w:tcPr>
          <w:p>
            <w:pPr>
              <w:pStyle w:val="Para 002"/>
            </w:pPr>
            <w:r>
              <w:rPr>
                <w:rStyle w:val="Text3"/>
              </w:rPr>
              <w:t>p</w:t>
            </w:r>
            <w:r>
              <w:rPr>
                <w:rStyle w:val="Text0"/>
              </w:rPr>
              <w:t>.readlink()</w:t>
              <w:br w:clear="none"/>
            </w:r>
            <w:r>
              <w:t xml:space="preserve"> </w:t>
            </w:r>
            <w:r>
              <w:rPr>
                <w:rStyle w:val="Text34"/>
              </w:rPr>
              <w:t>3.9+</w:t>
            </w:r>
            <w:r>
              <w:t xml:space="preserve"> Returns</w:t>
            </w:r>
            <w:r>
              <w:rPr>
                <w:rStyle w:val="Text111"/>
              </w:rPr>
              <w:bookmarkStart w:id="2741" w:name="idm45965203029440"/>
              <w:t/>
              <w:bookmarkEnd w:id="2741"/>
            </w:r>
            <w:r>
              <w:t xml:space="preserve"> the path to which a symbolic link points.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rename</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.rename(</w:t>
            </w:r>
            <w:r>
              <w:rPr>
                <w:rStyle w:val="Text3"/>
              </w:rPr>
              <w:t>target</w:t>
            </w:r>
            <w:r>
              <w:rPr>
                <w:rStyle w:val="Text0"/>
              </w:rPr>
              <w:t>)</w:t>
              <w:br w:clear="none"/>
            </w:r>
            <w:r>
              <w:t xml:space="preserve"> Renames </w:t>
            </w:r>
            <w:r>
              <w:rPr>
                <w:rStyle w:val="Text3"/>
              </w:rPr>
              <w:t>p</w:t>
            </w:r>
            <w:r>
              <w:t xml:space="preserve"> to </w:t>
            </w:r>
            <w:r>
              <w:rPr>
                <w:rStyle w:val="Text3"/>
              </w:rPr>
              <w:t>target</w:t>
            </w:r>
            <w:r>
              <w:t xml:space="preserve"> and </w:t>
            </w:r>
            <w:r>
              <w:rPr>
                <w:rStyle w:val="Text34"/>
              </w:rPr>
              <w:t>3.8+</w:t>
            </w:r>
            <w:r>
              <w:t xml:space="preserve"> returns a new </w:t>
            </w:r>
            <w:r>
              <w:rPr>
                <w:rStyle w:val="Text0"/>
              </w:rPr>
              <w:t>Path</w:t>
            </w:r>
            <w:r>
              <w:t xml:space="preserve"> instance pointing to </w:t>
            </w:r>
            <w:r>
              <w:rPr>
                <w:rStyle w:val="Text3"/>
              </w:rPr>
              <w:t>target</w:t>
            </w:r>
            <w:r>
              <w:t xml:space="preserve">. </w:t>
            </w:r>
            <w:r>
              <w:rPr>
                <w:rStyle w:val="Text3"/>
              </w:rPr>
              <w:t>target</w:t>
            </w:r>
            <w:r>
              <w:t xml:space="preserve"> may be a string, or an absolute or relative path; however, relative paths are interpreted relative to the </w:t>
            </w:r>
            <w:r>
              <w:rPr>
                <w:rStyle w:val="Text4"/>
              </w:rPr>
              <w:t>current</w:t>
            </w:r>
            <w:r>
              <w:t xml:space="preserve"> working directory, </w:t>
            </w:r>
            <w:r>
              <w:rPr>
                <w:rStyle w:val="Text4"/>
              </w:rPr>
              <w:t>not</w:t>
            </w:r>
            <w:r>
              <w:t xml:space="preserve"> the directory of </w:t>
            </w:r>
            <w:r>
              <w:rPr>
                <w:rStyle w:val="Text3"/>
              </w:rPr>
              <w:t>p</w:t>
            </w:r>
            <w:r>
              <w:t xml:space="preserve">. On Unix, when </w:t>
            </w:r>
            <w:r>
              <w:rPr>
                <w:rStyle w:val="Text3"/>
              </w:rPr>
              <w:t>target</w:t>
            </w:r>
            <w:r>
              <w:t xml:space="preserve"> is an existing file or empty directory, </w:t>
            </w:r>
            <w:r>
              <w:rPr>
                <w:rStyle w:val="Text0"/>
              </w:rPr>
              <w:t>rename</w:t>
            </w:r>
            <w:r>
              <w:t xml:space="preserve"> replaces it silently when the user has permission; on Windows, </w:t>
            </w:r>
            <w:r>
              <w:rPr>
                <w:rStyle w:val="Text0"/>
              </w:rPr>
              <w:t>rename</w:t>
            </w:r>
            <w:r>
              <w:t xml:space="preserve"> raises </w:t>
            </w:r>
            <w:r>
              <w:rPr>
                <w:rStyle w:val="Text0"/>
              </w:rPr>
              <w:t>FileExistsError</w:t>
            </w:r>
            <w:r>
              <w:t>.</w:t>
            </w:r>
          </w:p>
        </w:tc>
      </w:tr>
    </w:tbl>
    <w:tbl>
      <w:tblPr>
        <w:tblW w:type="auto" w:w="0"/>
      </w:tblPr>
      <w:tr>
        <w:tc>
          <w:tcPr>
            <w:tcW w:type="auto" w:w="0"/>
            <w:tcMar>
              <w:left w:type="dxa" w:w="200"/>
              <w:top w:type="dxa" w:w="200"/>
              <w:right w:type="dxa" w:w="200"/>
              <w:bottom w:type="dxa" w:w="200"/>
            </w:tcMar>
          </w:tcPr>
          <w:p>
            <w:pPr>
              <w:pStyle w:val="Para 001"/>
            </w:pPr>
            <w:r>
              <w:t>replace</w:t>
            </w:r>
          </w:p>
        </w:tc>
        <w:tc>
          <w:tcPr>
            <w:tcW w:type="auto" w:w="0"/>
            <w:tcMar>
              <w:left w:type="dxa" w:w="200"/>
              <w:top w:type="dxa" w:w="200"/>
              <w:right w:type="dxa" w:w="200"/>
              <w:bottom w:type="dxa" w:w="200"/>
            </w:tcMar>
          </w:tcPr>
          <w:p>
            <w:pPr>
              <w:pStyle w:val="Para 002"/>
            </w:pPr>
            <w:r>
              <w:rPr>
                <w:rStyle w:val="Text3"/>
              </w:rPr>
              <w:t>p</w:t>
            </w:r>
            <w:r>
              <w:rPr>
                <w:rStyle w:val="Text0"/>
              </w:rPr>
              <w:t>.replace(</w:t>
            </w:r>
            <w:r>
              <w:rPr>
                <w:rStyle w:val="Text3"/>
              </w:rPr>
              <w:t>target</w:t>
            </w:r>
            <w:r>
              <w:rPr>
                <w:rStyle w:val="Text0"/>
              </w:rPr>
              <w:t>)</w:t>
              <w:br w:clear="none"/>
            </w:r>
            <w:r>
              <w:t xml:space="preserve"> Like </w:t>
            </w:r>
            <w:r>
              <w:rPr>
                <w:rStyle w:val="Text3"/>
              </w:rPr>
              <w:t>p</w:t>
            </w:r>
            <w:r>
              <w:rPr>
                <w:rStyle w:val="Text0"/>
              </w:rPr>
              <w:t>.rename(</w:t>
            </w:r>
            <w:r>
              <w:rPr>
                <w:rStyle w:val="Text3"/>
              </w:rPr>
              <w:t>target</w:t>
            </w:r>
            <w:r>
              <w:rPr>
                <w:rStyle w:val="Text0"/>
              </w:rPr>
              <w:t>)</w:t>
            </w:r>
            <w:r>
              <w:t xml:space="preserve">, but, on any platform, when </w:t>
            </w:r>
            <w:r>
              <w:rPr>
                <w:rStyle w:val="Text3"/>
              </w:rPr>
              <w:t>target</w:t>
            </w:r>
            <w:r>
              <w:t xml:space="preserve"> is an existing file (or, except on Windows, an empty directory), </w:t>
            </w:r>
            <w:r>
              <w:rPr>
                <w:rStyle w:val="Text0"/>
              </w:rPr>
              <w:t>replace</w:t>
            </w:r>
            <w:r>
              <w:t xml:space="preserve"> replaces it silently when the user has permission. For example: </w:t>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p</w:t>
              <w:br w:clear="none"/>
            </w:r>
            <w:r>
              <w:rPr>
                <w:rStyle w:val="Text13"/>
              </w:rPr>
              <w:t xml:space="preserve">.</w:t>
              <w:br w:clear="none"/>
            </w:r>
            <w:r>
              <w:t xml:space="preserve">read_text</w:t>
              <w:br w:clear="none"/>
            </w:r>
            <w:r>
              <w:rPr>
                <w:rStyle w:val="Text7"/>
              </w:rPr>
              <w:t xml:space="preserve">()</w:t>
              <w:br w:clear="none"/>
            </w:r>
          </w:p>
          <w:p>
            <w:pPr>
              <w:pStyle w:val="Para 033"/>
            </w:pPr>
            <w:r>
              <w:rPr>
                <w:rStyle w:val="Text48"/>
              </w:rPr>
              <w:t xml:space="preserve"/>
              <w:br w:clear="none"/>
            </w:r>
            <w:r>
              <w:t xml:space="preserve">'spam'</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t</w:t>
              <w:br w:clear="none"/>
            </w:r>
            <w:r>
              <w:rPr>
                <w:rStyle w:val="Text13"/>
              </w:rPr>
              <w:t xml:space="preserve">.</w:t>
              <w:br w:clear="none"/>
            </w:r>
            <w:r>
              <w:t xml:space="preserve">read_text</w:t>
              <w:br w:clear="none"/>
            </w:r>
            <w:r>
              <w:rPr>
                <w:rStyle w:val="Text7"/>
              </w:rPr>
              <w:t xml:space="preserve">()</w:t>
              <w:br w:clear="none"/>
            </w:r>
          </w:p>
          <w:p>
            <w:pPr>
              <w:pStyle w:val="Para 033"/>
            </w:pPr>
            <w:r>
              <w:rPr>
                <w:rStyle w:val="Text48"/>
              </w:rPr>
              <w:t xml:space="preserve"/>
              <w:br w:clear="none"/>
            </w:r>
            <w:r>
              <w:t xml:space="preserve">'and eggs'</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p</w:t>
              <w:br w:clear="none"/>
            </w:r>
            <w:r>
              <w:rPr>
                <w:rStyle w:val="Text13"/>
              </w:rPr>
              <w:t xml:space="preserve">.</w:t>
              <w:br w:clear="none"/>
            </w:r>
            <w:r>
              <w:t xml:space="preserve">replace</w:t>
              <w:br w:clear="none"/>
            </w:r>
            <w:r>
              <w:rPr>
                <w:rStyle w:val="Text7"/>
              </w:rPr>
              <w:t xml:space="preserve">(</w:t>
              <w:br w:clear="none"/>
            </w:r>
            <w:r>
              <w:t xml:space="preserve">t</w:t>
              <w:br w:clear="none"/>
            </w:r>
            <w:r>
              <w:rPr>
                <w:rStyle w:val="Text7"/>
              </w:rPr>
              <w:t xml:space="preserve">)</w:t>
              <w:br w:clear="none"/>
            </w:r>
          </w:p>
          <w:p>
            <w:pPr>
              <w:pStyle w:val="Para 033"/>
            </w:pPr>
            <w:r>
              <w:rPr>
                <w:rStyle w:val="Text48"/>
              </w:rPr>
              <w:t xml:space="preserve"/>
              <w:br w:clear="none"/>
            </w:r>
            <w:r>
              <w:t xml:space="preserve">WindowsPath('C:/Users/annar/testfile.txt')</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t</w:t>
              <w:br w:clear="none"/>
            </w:r>
            <w:r>
              <w:rPr>
                <w:rStyle w:val="Text13"/>
              </w:rPr>
              <w:t xml:space="preserve">.</w:t>
              <w:br w:clear="none"/>
            </w:r>
            <w:r>
              <w:t xml:space="preserve">read_text</w:t>
              <w:br w:clear="none"/>
            </w:r>
            <w:r>
              <w:rPr>
                <w:rStyle w:val="Text7"/>
              </w:rPr>
              <w:t xml:space="preserve">()</w:t>
              <w:br w:clear="none"/>
            </w:r>
          </w:p>
          <w:p>
            <w:pPr>
              <w:pStyle w:val="Para 033"/>
            </w:pPr>
            <w:r>
              <w:rPr>
                <w:rStyle w:val="Text48"/>
              </w:rPr>
              <w:t xml:space="preserve"/>
              <w:br w:clear="none"/>
            </w:r>
            <w:r>
              <w:t xml:space="preserve">'spam'</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p</w:t>
              <w:br w:clear="none"/>
            </w:r>
            <w:r>
              <w:rPr>
                <w:rStyle w:val="Text13"/>
              </w:rPr>
              <w:t xml:space="preserve">.</w:t>
              <w:br w:clear="none"/>
            </w:r>
            <w:r>
              <w:t xml:space="preserve">read_text</w:t>
              <w:br w:clear="none"/>
            </w:r>
            <w:r>
              <w:rPr>
                <w:rStyle w:val="Text7"/>
              </w:rPr>
              <w:t xml:space="preserve">()</w:t>
              <w:br w:clear="none"/>
            </w:r>
          </w:p>
          <w:p>
            <w:pPr>
              <w:pStyle w:val="Para 033"/>
            </w:pPr>
            <w:r>
              <w:rPr>
                <w:rStyle w:val="Text48"/>
              </w:rPr>
              <w:t xml:space="preserve"/>
              <w:br w:clear="none"/>
            </w:r>
            <w:r>
              <w:t xml:space="preserve">Traceback (most recent call last):</w:t>
              <w:br w:clear="none"/>
            </w:r>
          </w:p>
          <w:p>
            <w:pPr>
              <w:pStyle w:val="Para 073"/>
            </w:pPr>
            <w:r>
              <w:rPr>
                <w:rStyle w:val="Text23"/>
              </w:rPr>
              <w:t xml:space="preserve"/>
              <w:br w:clear="none"/>
            </w:r>
            <w:r>
              <w:t xml:space="preserve">...</w:t>
              <w:br w:clear="none"/>
            </w:r>
          </w:p>
          <w:p>
            <w:pPr>
              <w:pStyle w:val="Para 033"/>
            </w:pPr>
            <w:r>
              <w:rPr>
                <w:rStyle w:val="Text48"/>
              </w:rPr>
              <w:t xml:space="preserve"/>
              <w:br w:clear="none"/>
            </w:r>
            <w:r>
              <w:t xml:space="preserve">FileNotFoundError: [Errno 2] No such file...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resolve</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.resolve(strict=</w:t>
            </w:r>
            <w:r>
              <w:rPr>
                <w:rStyle w:val="Text5"/>
              </w:rPr>
              <w:t>False</w:t>
            </w:r>
            <w:r>
              <w:rPr>
                <w:rStyle w:val="Text0"/>
              </w:rPr>
              <w:t>)</w:t>
              <w:br w:clear="none"/>
            </w:r>
            <w:r>
              <w:t xml:space="preserve"> Returns</w:t>
            </w:r>
            <w:r>
              <w:rPr>
                <w:rStyle w:val="Text111"/>
              </w:rPr>
              <w:bookmarkStart w:id="2742" w:name="idm45965202877840"/>
              <w:t/>
              <w:bookmarkEnd w:id="2742"/>
            </w:r>
            <w:r>
              <w:t xml:space="preserve"> a new absolute path object with symbolic links resolved; eliminates any </w:t>
            </w:r>
            <w:r>
              <w:rPr>
                <w:rStyle w:val="Text0"/>
              </w:rPr>
              <w:t>'..'</w:t>
            </w:r>
            <w:r>
              <w:t xml:space="preserve"> components. Set </w:t>
            </w:r>
            <w:r>
              <w:rPr>
                <w:rStyle w:val="Text0"/>
              </w:rPr>
              <w:t>strict=</w:t>
            </w:r>
            <w:r>
              <w:rPr>
                <w:rStyle w:val="Text5"/>
              </w:rPr>
              <w:t>True</w:t>
            </w:r>
            <w:r>
              <w:t xml:space="preserve"> to raise exceptions: </w:t>
            </w:r>
            <w:r>
              <w:rPr>
                <w:rStyle w:val="Text0"/>
              </w:rPr>
              <w:t>FileNotFoundError</w:t>
            </w:r>
            <w:r>
              <w:t xml:space="preserve"> when the path does not exist, or </w:t>
            </w:r>
            <w:r>
              <w:rPr>
                <w:rStyle w:val="Text0"/>
              </w:rPr>
              <w:t>RuntimeError</w:t>
            </w:r>
            <w:r>
              <w:t xml:space="preserve"> when it encounters an infinite loop. For example, on the temporary directory created in the </w:t>
            </w:r>
            <w:r>
              <w:rPr>
                <w:rStyle w:val="Text0"/>
              </w:rPr>
              <w:t>mkdir</w:t>
            </w:r>
            <w:r>
              <w:t xml:space="preserve"> example earlier in this table: </w:t>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td</w:t>
              <w:br w:clear="none"/>
            </w:r>
            <w:r>
              <w:rPr>
                <w:rStyle w:val="Text13"/>
              </w:rPr>
              <w:t xml:space="preserve">.</w:t>
              <w:br w:clear="none"/>
            </w:r>
            <w:r>
              <w:t xml:space="preserve">resolve</w:t>
              <w:br w:clear="none"/>
            </w:r>
            <w:r>
              <w:rPr>
                <w:rStyle w:val="Text7"/>
              </w:rPr>
              <w:t xml:space="preserve">()</w:t>
              <w:br w:clear="none"/>
            </w:r>
          </w:p>
          <w:p>
            <w:pPr>
              <w:pStyle w:val="Para 033"/>
            </w:pPr>
            <w:r>
              <w:rPr>
                <w:rStyle w:val="Text48"/>
              </w:rPr>
              <w:t xml:space="preserve"/>
              <w:br w:clear="none"/>
            </w:r>
            <w:r>
              <w:t xml:space="preserve">PosixPath('/Users/annar/tempdir')</w:t>
              <w:br w:clear="none"/>
            </w:r>
          </w:p>
        </w:tc>
      </w:tr>
    </w:tbl>
    <w:tbl>
      <w:tblPr>
        <w:tblW w:type="auto" w:w="0"/>
      </w:tblPr>
      <w:tr>
        <w:tc>
          <w:tcPr>
            <w:tcW w:type="auto" w:w="0"/>
            <w:tcMar>
              <w:left w:type="dxa" w:w="200"/>
              <w:top w:type="dxa" w:w="200"/>
              <w:right w:type="dxa" w:w="200"/>
              <w:bottom w:type="dxa" w:w="200"/>
            </w:tcMar>
          </w:tcPr>
          <w:p>
            <w:pPr>
              <w:pStyle w:val="Para 001"/>
            </w:pPr>
            <w:r>
              <w:t>rmdir</w:t>
            </w:r>
          </w:p>
        </w:tc>
        <w:tc>
          <w:tcPr>
            <w:tcW w:type="auto" w:w="0"/>
            <w:tcMar>
              <w:left w:type="dxa" w:w="200"/>
              <w:top w:type="dxa" w:w="200"/>
              <w:right w:type="dxa" w:w="200"/>
              <w:bottom w:type="dxa" w:w="200"/>
            </w:tcMar>
          </w:tcPr>
          <w:p>
            <w:pPr>
              <w:pStyle w:val="Para 002"/>
            </w:pPr>
            <w:r>
              <w:rPr>
                <w:rStyle w:val="Text3"/>
              </w:rPr>
              <w:t>p</w:t>
            </w:r>
            <w:r>
              <w:rPr>
                <w:rStyle w:val="Text0"/>
              </w:rPr>
              <w:t>.rmdir()</w:t>
              <w:br w:clear="none"/>
            </w:r>
            <w:r>
              <w:t xml:space="preserve"> Removes</w:t>
            </w:r>
            <w:r>
              <w:rPr>
                <w:rStyle w:val="Text111"/>
              </w:rPr>
              <w:bookmarkStart w:id="2743" w:name="idm45965202836128"/>
              <w:t/>
              <w:bookmarkEnd w:id="2743"/>
            </w:r>
            <w:r>
              <w:t xml:space="preserve"> directory </w:t>
            </w:r>
            <w:r>
              <w:rPr>
                <w:rStyle w:val="Text3"/>
              </w:rPr>
              <w:t>p</w:t>
            </w:r>
            <w:r>
              <w:t xml:space="preserve">. Raises </w:t>
            </w:r>
            <w:r>
              <w:rPr>
                <w:rStyle w:val="Text0"/>
              </w:rPr>
              <w:t>OSError</w:t>
            </w:r>
            <w:r>
              <w:t xml:space="preserve"> if </w:t>
            </w:r>
            <w:r>
              <w:rPr>
                <w:rStyle w:val="Text3"/>
              </w:rPr>
              <w:t>p</w:t>
            </w:r>
            <w:r>
              <w:t xml:space="preserve"> is not empty.</w:t>
            </w:r>
          </w:p>
        </w:tc>
      </w:tr>
    </w:tbl>
    <w:tbl>
      <w:tblPr>
        <w:tblW w:type="auto" w:w="0"/>
      </w:tblPr>
      <w:tr>
        <w:tc>
          <w:tcPr>
            <w:tcW w:type="auto" w:w="0"/>
            <w:shd w:val="clear" w:color="auto" w:fill="EEF2F6"/>
            <w:tcMar>
              <w:left w:type="dxa" w:w="200"/>
              <w:top w:type="dxa" w:w="200"/>
              <w:right w:type="dxa" w:w="200"/>
              <w:bottom w:type="dxa" w:w="200"/>
            </w:tcMar>
          </w:tcPr>
          <w:p>
            <w:pPr>
              <w:pStyle w:val="Para 001"/>
            </w:pPr>
            <w:r>
              <w:t>samefile</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.samefile(</w:t>
            </w:r>
            <w:r>
              <w:rPr>
                <w:rStyle w:val="Text3"/>
              </w:rPr>
              <w:t>target</w:t>
            </w:r>
            <w:r>
              <w:rPr>
                <w:rStyle w:val="Text0"/>
              </w:rPr>
              <w:t>)</w:t>
              <w:br w:clear="none"/>
            </w:r>
            <w:r>
              <w:t xml:space="preserve"> Returns </w:t>
            </w:r>
            <w:r>
              <w:rPr>
                <w:rStyle w:val="Text5"/>
              </w:rPr>
              <w:t>True</w:t>
            </w:r>
            <w:r>
              <w:t xml:space="preserve"> when </w:t>
            </w:r>
            <w:r>
              <w:rPr>
                <w:rStyle w:val="Text3"/>
              </w:rPr>
              <w:t>p</w:t>
            </w:r>
            <w:r>
              <w:t xml:space="preserve"> and </w:t>
            </w:r>
            <w:r>
              <w:rPr>
                <w:rStyle w:val="Text3"/>
              </w:rPr>
              <w:t>target</w:t>
            </w:r>
            <w:r>
              <w:t xml:space="preserve"> indicate the same file; otherwise, returns </w:t>
            </w:r>
            <w:r>
              <w:rPr>
                <w:rStyle w:val="Text5"/>
              </w:rPr>
              <w:t>False</w:t>
            </w:r>
            <w:r>
              <w:t xml:space="preserve">. </w:t>
            </w:r>
            <w:r>
              <w:rPr>
                <w:rStyle w:val="Text3"/>
              </w:rPr>
              <w:t>target</w:t>
            </w:r>
            <w:r>
              <w:t xml:space="preserve"> may be a string or a path object.</w:t>
            </w:r>
          </w:p>
        </w:tc>
      </w:tr>
    </w:tbl>
    <w:tbl>
      <w:tblPr>
        <w:tblW w:type="auto" w:w="0"/>
      </w:tblPr>
      <w:tr>
        <w:tc>
          <w:tcPr>
            <w:tcW w:type="auto" w:w="0"/>
            <w:tcMar>
              <w:left w:type="dxa" w:w="200"/>
              <w:top w:type="dxa" w:w="200"/>
              <w:right w:type="dxa" w:w="200"/>
              <w:bottom w:type="dxa" w:w="200"/>
            </w:tcMar>
          </w:tcPr>
          <w:p>
            <w:pPr>
              <w:pStyle w:val="Para 001"/>
            </w:pPr>
            <w:r>
              <w:t>stat</w:t>
            </w:r>
          </w:p>
        </w:tc>
        <w:tc>
          <w:tcPr>
            <w:tcW w:type="auto" w:w="0"/>
            <w:tcMar>
              <w:left w:type="dxa" w:w="200"/>
              <w:top w:type="dxa" w:w="200"/>
              <w:right w:type="dxa" w:w="200"/>
              <w:bottom w:type="dxa" w:w="200"/>
            </w:tcMar>
          </w:tcPr>
          <w:p>
            <w:pPr>
              <w:pStyle w:val="Para 002"/>
            </w:pPr>
            <w:r>
              <w:rPr>
                <w:rStyle w:val="Text0"/>
              </w:rPr>
              <w:t>p.stat(*, follow_symlinks=</w:t>
            </w:r>
            <w:r>
              <w:rPr>
                <w:rStyle w:val="Text5"/>
              </w:rPr>
              <w:t>True</w:t>
            </w:r>
            <w:r>
              <w:rPr>
                <w:rStyle w:val="Text0"/>
              </w:rPr>
              <w:t>)</w:t>
              <w:br w:clear="none"/>
            </w:r>
            <w:r>
              <w:t xml:space="preserve"> Returns</w:t>
            </w:r>
            <w:r>
              <w:rPr>
                <w:rStyle w:val="Text111"/>
              </w:rPr>
              <w:bookmarkStart w:id="2744" w:name="idm45965202801024"/>
              <w:t/>
              <w:bookmarkEnd w:id="2744"/>
            </w:r>
            <w:r>
              <w:t xml:space="preserve"> information about the path object, including permissions and size; see </w:t>
            </w:r>
            <w:r>
              <w:rPr>
                <w:rStyle w:val="Text0"/>
              </w:rPr>
              <w:t>os.stat</w:t>
            </w:r>
            <w:r>
              <w:t xml:space="preserve"> in </w:t>
            </w:r>
            <w:hyperlink w:anchor="Table_11_16__os_module_functions">
              <w:r>
                <w:rPr>
                  <w:rStyle w:val="Text1"/>
                </w:rPr>
                <w:t>Table 11-16</w:t>
              </w:r>
            </w:hyperlink>
            <w:r>
              <w:t xml:space="preserve"> for return values. </w:t>
            </w:r>
            <w:r>
              <w:rPr>
                <w:rStyle w:val="Text34"/>
              </w:rPr>
              <w:t>3.10+</w:t>
            </w:r>
            <w:r>
              <w:t xml:space="preserve"> To </w:t>
            </w:r>
            <w:r>
              <w:rPr>
                <w:rStyle w:val="Text0"/>
              </w:rPr>
              <w:t>stat</w:t>
            </w:r>
            <w:r>
              <w:t xml:space="preserve"> a symbolic link itself, rather than its target, pass </w:t>
            </w:r>
            <w:r>
              <w:rPr>
                <w:rStyle w:val="Text0"/>
              </w:rPr>
              <w:t>follow_symlinks=</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symlink_to</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.symlink_to(</w:t>
            </w:r>
            <w:r>
              <w:rPr>
                <w:rStyle w:val="Text3"/>
              </w:rPr>
              <w:t>target</w:t>
            </w:r>
            <w:r>
              <w:rPr>
                <w:rStyle w:val="Text0"/>
              </w:rPr>
              <w:t>, target_is_directory=</w:t>
            </w:r>
            <w:r>
              <w:rPr>
                <w:rStyle w:val="Text5"/>
              </w:rPr>
              <w:t>False</w:t>
            </w:r>
            <w:r>
              <w:rPr>
                <w:rStyle w:val="Text0"/>
              </w:rPr>
              <w:t>)</w:t>
              <w:br w:clear="none"/>
            </w:r>
            <w:r>
              <w:t xml:space="preserve"> Makes</w:t>
            </w:r>
            <w:r>
              <w:rPr>
                <w:rStyle w:val="Text111"/>
              </w:rPr>
              <w:bookmarkStart w:id="2745" w:name="idm45965202791264"/>
              <w:t/>
              <w:bookmarkEnd w:id="2745"/>
            </w:r>
            <w:r>
              <w:t xml:space="preserve"> </w:t>
            </w:r>
            <w:r>
              <w:rPr>
                <w:rStyle w:val="Text3"/>
              </w:rPr>
              <w:t>p</w:t>
            </w:r>
            <w:r>
              <w:t xml:space="preserve"> a symbolic link to </w:t>
            </w:r>
            <w:r>
              <w:rPr>
                <w:rStyle w:val="Text3"/>
              </w:rPr>
              <w:t>target</w:t>
            </w:r>
            <w:r>
              <w:t xml:space="preserve">. On Windows, you must set </w:t>
            </w:r>
            <w:r>
              <w:rPr>
                <w:rStyle w:val="Text0"/>
              </w:rPr>
              <w:t>target_is_directory=</w:t>
            </w:r>
            <w:r>
              <w:rPr>
                <w:rStyle w:val="Text5"/>
              </w:rPr>
              <w:t>True</w:t>
            </w:r>
            <w:r>
              <w:t xml:space="preserve"> if </w:t>
            </w:r>
            <w:r>
              <w:rPr>
                <w:rStyle w:val="Text3"/>
              </w:rPr>
              <w:t>target</w:t>
            </w:r>
            <w:r>
              <w:t xml:space="preserve"> is a directory. (POSIX ignores this argument.) (On Windows 10+, like </w:t>
            </w:r>
            <w:r>
              <w:rPr>
                <w:rStyle w:val="Text0"/>
              </w:rPr>
              <w:t>os.symlink</w:t>
            </w:r>
            <w:r>
              <w:t xml:space="preserve">, requires Developer Mode permissions; see the </w:t>
            </w:r>
            <w:hyperlink r:id="rId367">
              <w:r>
                <w:rPr>
                  <w:rStyle w:val="Text1"/>
                </w:rPr>
                <w:t>online docs</w:t>
              </w:r>
            </w:hyperlink>
            <w:r>
              <w:t xml:space="preserve"> for details.) Note: the order of arguments is the reverse of the order for </w:t>
            </w:r>
            <w:r>
              <w:rPr>
                <w:rStyle w:val="Text0"/>
              </w:rPr>
              <w:t>os.link</w:t>
            </w:r>
            <w:r>
              <w:t xml:space="preserve"> and </w:t>
            </w:r>
            <w:r>
              <w:rPr>
                <w:rStyle w:val="Text0"/>
              </w:rPr>
              <w:t>os.symlink</w:t>
            </w:r>
            <w:r>
              <w:t xml:space="preserve">, described in </w:t>
            </w:r>
            <w:hyperlink w:anchor="Table_11_16__os_module_functions">
              <w:r>
                <w:rPr>
                  <w:rStyle w:val="Text1"/>
                </w:rPr>
                <w:t>Table 11-16</w:t>
              </w:r>
            </w:hyperlink>
            <w:r>
              <w:t>.</w:t>
            </w:r>
          </w:p>
        </w:tc>
      </w:tr>
    </w:tbl>
    <w:tbl>
      <w:tblPr>
        <w:tblW w:type="auto" w:w="0"/>
      </w:tblPr>
      <w:tr>
        <w:tc>
          <w:tcPr>
            <w:tcW w:type="auto" w:w="0"/>
            <w:tcMar>
              <w:left w:type="dxa" w:w="200"/>
              <w:top w:type="dxa" w:w="200"/>
              <w:right w:type="dxa" w:w="200"/>
              <w:bottom w:type="dxa" w:w="200"/>
            </w:tcMar>
          </w:tcPr>
          <w:p>
            <w:pPr>
              <w:pStyle w:val="Para 001"/>
            </w:pPr>
            <w:r>
              <w:t>touch</w:t>
            </w:r>
          </w:p>
        </w:tc>
        <w:tc>
          <w:tcPr>
            <w:tcW w:type="auto" w:w="0"/>
            <w:tcMar>
              <w:left w:type="dxa" w:w="200"/>
              <w:top w:type="dxa" w:w="200"/>
              <w:right w:type="dxa" w:w="200"/>
              <w:bottom w:type="dxa" w:w="200"/>
            </w:tcMar>
          </w:tcPr>
          <w:p>
            <w:pPr>
              <w:pStyle w:val="Para 002"/>
            </w:pPr>
            <w:r>
              <w:rPr>
                <w:rStyle w:val="Text3"/>
              </w:rPr>
              <w:t>p</w:t>
            </w:r>
            <w:r>
              <w:rPr>
                <w:rStyle w:val="Text0"/>
              </w:rPr>
              <w:t>.touch(mode=0o666, exist_ok=</w:t>
            </w:r>
            <w:r>
              <w:rPr>
                <w:rStyle w:val="Text5"/>
              </w:rPr>
              <w:t>True</w:t>
            </w:r>
            <w:r>
              <w:rPr>
                <w:rStyle w:val="Text0"/>
              </w:rPr>
              <w:t>)</w:t>
              <w:br w:clear="none"/>
            </w:r>
            <w:r>
              <w:t xml:space="preserve"> Like</w:t>
            </w:r>
            <w:r>
              <w:rPr>
                <w:rStyle w:val="Text111"/>
              </w:rPr>
              <w:bookmarkStart w:id="2746" w:name="idm45965202778688"/>
              <w:t/>
              <w:bookmarkEnd w:id="2746"/>
            </w:r>
            <w:r>
              <w:t xml:space="preserve"> </w:t>
            </w:r>
            <w:r>
              <w:rPr>
                <w:rStyle w:val="Text0"/>
              </w:rPr>
              <w:t>touch</w:t>
            </w:r>
            <w:r>
              <w:t xml:space="preserve"> on Unix, creates an empty file at the given path. When the file already exists, updates the modification time to the current time if </w:t>
            </w:r>
            <w:r>
              <w:rPr>
                <w:rStyle w:val="Text0"/>
              </w:rPr>
              <w:t>exist_ok=</w:t>
            </w:r>
            <w:r>
              <w:rPr>
                <w:rStyle w:val="Text5"/>
              </w:rPr>
              <w:t>True</w:t>
            </w:r>
            <w:r>
              <w:t xml:space="preserve">; if </w:t>
            </w:r>
            <w:r>
              <w:rPr>
                <w:rStyle w:val="Text0"/>
              </w:rPr>
              <w:t>exist_ok=</w:t>
            </w:r>
            <w:r>
              <w:rPr>
                <w:rStyle w:val="Text5"/>
              </w:rPr>
              <w:t>False</w:t>
            </w:r>
            <w:r>
              <w:t xml:space="preserve">, raises </w:t>
            </w:r>
            <w:r>
              <w:rPr>
                <w:rStyle w:val="Text0"/>
              </w:rPr>
              <w:t>FileExistsError</w:t>
            </w:r>
            <w:r>
              <w:t xml:space="preserve">. For example: </w:t>
            </w:r>
          </w:p>
          <w:p>
            <w:pPr>
              <w:pStyle w:val="Para 073"/>
            </w:pPr>
            <w:r>
              <w:rPr>
                <w:rStyle w:val="Text23"/>
              </w:rPr>
              <w:t xml:space="preserve"/>
              <w:br w:clear="none"/>
            </w:r>
            <w:r>
              <w:t xml:space="preserve">&gt;&gt;&gt;</w:t>
              <w:br w:clear="none"/>
            </w:r>
            <w:r>
              <w:rPr>
                <w:rStyle w:val="Text23"/>
              </w:rPr>
              <w:t xml:space="preserve"> </w:t>
              <w:br w:clear="none"/>
            </w:r>
            <w:r>
              <w:rPr>
                <w:rStyle w:val="Text9"/>
              </w:rPr>
              <w:t xml:space="preserve">d</w:t>
              <w:br w:clear="none"/>
            </w:r>
          </w:p>
          <w:p>
            <w:pPr>
              <w:pStyle w:val="Para 033"/>
            </w:pPr>
            <w:r>
              <w:rPr>
                <w:rStyle w:val="Text48"/>
              </w:rPr>
              <w:t xml:space="preserve"/>
              <w:br w:clear="none"/>
            </w:r>
            <w:r>
              <w:t xml:space="preserve">WindowsPath('C:/Users/annar/Documents')</w:t>
              <w:br w:clear="none"/>
            </w:r>
          </w:p>
          <w:p>
            <w:pPr>
              <w:pStyle w:val="Para 044"/>
            </w:pPr>
            <w:r>
              <w:rPr>
                <w:rStyle w:val="Text23"/>
              </w:rPr>
              <w:t xml:space="preserve"/>
              <w:br w:clear="none"/>
            </w:r>
            <w:r>
              <w:rPr>
                <w:rStyle w:val="Text13"/>
              </w:rPr>
              <w:t xml:space="preserve">&gt;&gt;&gt;</w:t>
              <w:br w:clear="none"/>
            </w:r>
            <w:r>
              <w:rPr>
                <w:rStyle w:val="Text23"/>
              </w:rPr>
              <w:t xml:space="preserve"> </w:t>
              <w:br w:clear="none"/>
            </w:r>
            <w:r>
              <w:rPr>
                <w:rStyle w:val="Text9"/>
              </w:rPr>
              <w:t xml:space="preserve">f</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d</w:t>
              <w:br w:clear="none"/>
            </w:r>
            <w:r>
              <w:rPr>
                <w:rStyle w:val="Text23"/>
              </w:rPr>
              <w:t xml:space="preserve"> </w:t>
              <w:br w:clear="none"/>
            </w:r>
            <w:r>
              <w:rPr>
                <w:rStyle w:val="Text13"/>
              </w:rPr>
              <w:t xml:space="preserve">/</w:t>
              <w:br w:clear="none"/>
            </w:r>
            <w:r>
              <w:rPr>
                <w:rStyle w:val="Text23"/>
              </w:rPr>
              <w:t xml:space="preserve"> </w:t>
              <w:br w:clear="none"/>
            </w:r>
            <w:r>
              <w:t xml:space="preserve">'testfile.txt'</w:t>
              <w:br w:clear="none"/>
            </w:r>
            <w:r>
              <w:rPr>
                <w:rStyle w:val="Text23"/>
              </w:rPr>
              <w:t xml:space="preserve"/>
              <w:br w:clear="none"/>
            </w:r>
            <w:r>
              <w:rPr>
                <w:rStyle w:val="Text13"/>
              </w:rPr>
              <w:t xml:space="preserve">&gt;&gt;&gt;</w:t>
              <w:br w:clear="none"/>
            </w:r>
            <w:r>
              <w:rPr>
                <w:rStyle w:val="Text23"/>
              </w:rPr>
              <w:t xml:space="preserve"> </w:t>
              <w:br w:clear="none"/>
            </w:r>
            <w:r>
              <w:rPr>
                <w:rStyle w:val="Text9"/>
              </w:rPr>
              <w:t xml:space="preserve">f</w:t>
              <w:br w:clear="none"/>
            </w:r>
            <w:r>
              <w:rPr>
                <w:rStyle w:val="Text13"/>
              </w:rPr>
              <w:t xml:space="preserve">.</w:t>
              <w:br w:clear="none"/>
            </w:r>
            <w:r>
              <w:rPr>
                <w:rStyle w:val="Text9"/>
              </w:rPr>
              <w:t xml:space="preserve">is_file</w:t>
              <w:br w:clear="none"/>
            </w:r>
            <w:r>
              <w:rPr>
                <w:rStyle w:val="Text7"/>
              </w:rPr>
              <w:t xml:space="preserve">()</w:t>
              <w:br w:clear="none"/>
            </w:r>
          </w:p>
          <w:p>
            <w:pPr>
              <w:pStyle w:val="Para 033"/>
            </w:pPr>
            <w:r>
              <w:rPr>
                <w:rStyle w:val="Text48"/>
              </w:rPr>
              <w:t xml:space="preserve"/>
              <w:br w:clear="none"/>
            </w:r>
            <w:r>
              <w:t xml:space="preserve">False</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f</w:t>
              <w:br w:clear="none"/>
            </w:r>
            <w:r>
              <w:rPr>
                <w:rStyle w:val="Text13"/>
              </w:rPr>
              <w:t xml:space="preserve">.</w:t>
              <w:br w:clear="none"/>
            </w:r>
            <w:r>
              <w:t xml:space="preserve">touch</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f</w:t>
              <w:br w:clear="none"/>
            </w:r>
            <w:r>
              <w:rPr>
                <w:rStyle w:val="Text13"/>
              </w:rPr>
              <w:t xml:space="preserve">.</w:t>
              <w:br w:clear="none"/>
            </w:r>
            <w:r>
              <w:t xml:space="preserve">is_file</w:t>
              <w:br w:clear="none"/>
            </w:r>
            <w:r>
              <w:rPr>
                <w:rStyle w:val="Text7"/>
              </w:rPr>
              <w:t xml:space="preserve">()</w:t>
              <w:br w:clear="none"/>
            </w:r>
          </w:p>
          <w:p>
            <w:pPr>
              <w:pStyle w:val="Para 033"/>
            </w:pPr>
            <w:r>
              <w:rPr>
                <w:rStyle w:val="Text48"/>
              </w:rPr>
              <w:t xml:space="preserve"/>
              <w:br w:clear="none"/>
            </w:r>
            <w:r>
              <w:t xml:space="preserve">True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unlink</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.unlink(missing_ok=</w:t>
            </w:r>
            <w:r>
              <w:rPr>
                <w:rStyle w:val="Text5"/>
              </w:rPr>
              <w:t>False</w:t>
            </w:r>
            <w:r>
              <w:rPr>
                <w:rStyle w:val="Text0"/>
              </w:rPr>
              <w:t>)</w:t>
              <w:br w:clear="none"/>
            </w:r>
            <w:r>
              <w:t xml:space="preserve"> Removes</w:t>
            </w:r>
            <w:r>
              <w:rPr>
                <w:rStyle w:val="Text111"/>
              </w:rPr>
              <w:bookmarkStart w:id="2747" w:name="idm45965202702416"/>
              <w:t/>
              <w:bookmarkEnd w:id="2747"/>
            </w:r>
            <w:r>
              <w:t xml:space="preserve"> file or symbolic link </w:t>
            </w:r>
            <w:r>
              <w:rPr>
                <w:rStyle w:val="Text3"/>
              </w:rPr>
              <w:t>p</w:t>
            </w:r>
            <w:r>
              <w:t xml:space="preserve">. (Use </w:t>
            </w:r>
            <w:r>
              <w:rPr>
                <w:rStyle w:val="Text0"/>
              </w:rPr>
              <w:t>rmdir</w:t>
            </w:r>
            <w:r>
              <w:t xml:space="preserve"> for directories, as described earlier in this table.) </w:t>
            </w:r>
            <w:r>
              <w:rPr>
                <w:rStyle w:val="Text34"/>
              </w:rPr>
              <w:t>3.8+</w:t>
            </w:r>
            <w:r>
              <w:t xml:space="preserve"> Pass </w:t>
            </w:r>
            <w:r>
              <w:rPr>
                <w:rStyle w:val="Text0"/>
              </w:rPr>
              <w:t>missing_ok=</w:t>
            </w:r>
            <w:r>
              <w:rPr>
                <w:rStyle w:val="Text5"/>
              </w:rPr>
              <w:t>True</w:t>
            </w:r>
            <w:r>
              <w:t xml:space="preserve"> to ignore </w:t>
            </w:r>
            <w:hyperlink r:id="rId368">
              <w:r>
                <w:rPr>
                  <w:rStyle w:val="Text30"/>
                </w:rPr>
                <w:t>FileExistsError</w:t>
              </w:r>
            </w:hyperlink>
            <w:r>
              <w:t>.</w:t>
            </w:r>
          </w:p>
        </w:tc>
      </w:tr>
    </w:tbl>
    <w:tbl>
      <w:tblPr>
        <w:tblW w:type="auto" w:w="0"/>
      </w:tblPr>
      <w:tr>
        <w:tc>
          <w:tcPr>
            <w:tcW w:type="auto" w:w="0"/>
            <w:tcMar>
              <w:left w:type="dxa" w:w="200"/>
              <w:top w:type="dxa" w:w="200"/>
              <w:right w:type="dxa" w:w="200"/>
              <w:bottom w:type="dxa" w:w="200"/>
            </w:tcMar>
          </w:tcPr>
          <w:p>
            <w:pPr>
              <w:pStyle w:val="Para 001"/>
            </w:pPr>
            <w:r>
              <w:t>write_bytes</w:t>
            </w:r>
          </w:p>
        </w:tc>
        <w:tc>
          <w:tcPr>
            <w:tcW w:type="auto" w:w="0"/>
            <w:tcMar>
              <w:left w:type="dxa" w:w="200"/>
              <w:top w:type="dxa" w:w="200"/>
              <w:right w:type="dxa" w:w="200"/>
              <w:bottom w:type="dxa" w:w="200"/>
            </w:tcMar>
          </w:tcPr>
          <w:p>
            <w:pPr>
              <w:pStyle w:val="Para 002"/>
            </w:pPr>
            <w:r>
              <w:rPr>
                <w:rStyle w:val="Text3"/>
              </w:rPr>
              <w:t>p</w:t>
            </w:r>
            <w:r>
              <w:rPr>
                <w:rStyle w:val="Text0"/>
              </w:rPr>
              <w:t>.write_bytes(</w:t>
            </w:r>
            <w:r>
              <w:rPr>
                <w:rStyle w:val="Text3"/>
              </w:rPr>
              <w:t>data</w:t>
            </w:r>
            <w:r>
              <w:rPr>
                <w:rStyle w:val="Text0"/>
              </w:rPr>
              <w:t>)</w:t>
              <w:br w:clear="none"/>
            </w:r>
            <w:r>
              <w:t xml:space="preserve"> Opens</w:t>
            </w:r>
            <w:r>
              <w:rPr>
                <w:rStyle w:val="Text111"/>
              </w:rPr>
              <w:bookmarkStart w:id="2748" w:name="idm45965202671552"/>
              <w:t/>
              <w:bookmarkEnd w:id="2748"/>
            </w:r>
            <w:r>
              <w:t xml:space="preserve"> (or, if need be, creates) the file pointed to in bytes mode, writes </w:t>
            </w:r>
            <w:r>
              <w:rPr>
                <w:rStyle w:val="Text3"/>
              </w:rPr>
              <w:t>data</w:t>
            </w:r>
            <w:r>
              <w:t xml:space="preserve"> to it, then closes the file. Overwrites the file if it already exists.</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write_text</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.write_text(data, encoding=</w:t>
            </w:r>
            <w:r>
              <w:rPr>
                <w:rStyle w:val="Text5"/>
              </w:rPr>
              <w:t>None</w:t>
            </w:r>
            <w:r>
              <w:rPr>
                <w:rStyle w:val="Text0"/>
              </w:rPr>
              <w:t>, errors=</w:t>
            </w:r>
            <w:r>
              <w:rPr>
                <w:rStyle w:val="Text5"/>
              </w:rPr>
              <w:t>None</w:t>
            </w:r>
            <w:r>
              <w:rPr>
                <w:rStyle w:val="Text0"/>
              </w:rPr>
              <w:t>, newline=</w:t>
            </w:r>
            <w:r>
              <w:rPr>
                <w:rStyle w:val="Text5"/>
              </w:rPr>
              <w:t>None</w:t>
            </w:r>
            <w:r>
              <w:rPr>
                <w:rStyle w:val="Text0"/>
              </w:rPr>
              <w:t>)</w:t>
              <w:br w:clear="none"/>
            </w:r>
            <w:r>
              <w:t xml:space="preserve"> Opens</w:t>
            </w:r>
            <w:r>
              <w:rPr>
                <w:rStyle w:val="Text111"/>
              </w:rPr>
              <w:bookmarkStart w:id="2749" w:name="idm45965202664768"/>
              <w:t/>
              <w:bookmarkEnd w:id="2749"/>
            </w:r>
            <w:r>
              <w:t xml:space="preserve"> (or, if need be, creates) the file pointed to in text mode, writes </w:t>
            </w:r>
            <w:r>
              <w:rPr>
                <w:rStyle w:val="Text3"/>
              </w:rPr>
              <w:t>data</w:t>
            </w:r>
            <w:r>
              <w:t xml:space="preserve"> to it, then closes the file. Overwrites the file if it already exists. </w:t>
            </w:r>
            <w:r>
              <w:rPr>
                <w:rStyle w:val="Text34"/>
              </w:rPr>
              <w:t>3.10+</w:t>
            </w:r>
            <w:r>
              <w:t xml:space="preserve"> When </w:t>
            </w:r>
            <w:r>
              <w:rPr>
                <w:rStyle w:val="Text0"/>
              </w:rPr>
              <w:t>newline</w:t>
            </w:r>
            <w:r>
              <w:t xml:space="preserve"> is </w:t>
            </w:r>
            <w:r>
              <w:rPr>
                <w:rStyle w:val="Text5"/>
              </w:rPr>
              <w:t>None</w:t>
            </w:r>
            <w:r>
              <w:t xml:space="preserve"> (the default), translates any </w:t>
            </w:r>
            <w:r>
              <w:rPr>
                <w:rStyle w:val="Text0"/>
              </w:rPr>
              <w:t>'\n'</w:t>
            </w:r>
            <w:r>
              <w:t xml:space="preserve"> to the system default line separator; when </w:t>
            </w:r>
            <w:r>
              <w:rPr>
                <w:rStyle w:val="Text0"/>
              </w:rPr>
              <w:t>'\r'</w:t>
            </w:r>
            <w:r>
              <w:t xml:space="preserve"> or </w:t>
            </w:r>
            <w:r>
              <w:rPr>
                <w:rStyle w:val="Text0"/>
              </w:rPr>
              <w:t>'\r\n'</w:t>
            </w:r>
            <w:r>
              <w:t xml:space="preserve">, translates </w:t>
            </w:r>
            <w:r>
              <w:rPr>
                <w:rStyle w:val="Text0"/>
              </w:rPr>
              <w:t>'\n'</w:t>
            </w:r>
            <w:r>
              <w:t xml:space="preserve"> to the given string; when </w:t>
            </w:r>
            <w:r>
              <w:rPr>
                <w:rStyle w:val="Text0"/>
              </w:rPr>
              <w:t>''</w:t>
            </w:r>
            <w:r>
              <w:t xml:space="preserve"> or </w:t>
            </w:r>
            <w:r>
              <w:rPr>
                <w:rStyle w:val="Text0"/>
              </w:rPr>
              <w:t>'\n'</w:t>
            </w:r>
            <w:r>
              <w:t>, no translation takes place.</w:t>
            </w:r>
          </w:p>
        </w:tc>
      </w:tr>
    </w:tbl>
    <w:p>
      <w:pPr>
        <w:pStyle w:val="Normal"/>
      </w:pPr>
      <w:r>
        <w:rPr>
          <w:rStyle w:val="Text0"/>
        </w:rPr>
        <w:t>pathlib.Path</w:t>
      </w:r>
      <w:r>
        <w:t xml:space="preserve"> objects</w:t>
      </w:r>
      <w:r>
        <w:rPr>
          <w:rStyle w:val="Text111"/>
        </w:rPr>
        <w:bookmarkStart w:id="2750" w:name="idm45965202655600"/>
        <w:t/>
        <w:bookmarkEnd w:id="2750"/>
      </w:r>
      <w:r>
        <w:t xml:space="preserve"> also support the attributes listed in </w:t>
      </w:r>
      <w:hyperlink w:anchor="Table_11_22__Attributes_of_an_in">
        <w:r>
          <w:rPr>
            <w:rStyle w:val="Text1"/>
          </w:rPr>
          <w:t>Table 11-22</w:t>
        </w:r>
      </w:hyperlink>
      <w:r>
        <w:t xml:space="preserve"> to access the various component parts of the path string. Note that some attributes are strings, while others are </w:t>
      </w:r>
      <w:r>
        <w:rPr>
          <w:rStyle w:val="Text0"/>
        </w:rPr>
        <w:t>Path</w:t>
      </w:r>
      <w:r>
        <w:t xml:space="preserve"> objects. (For brevity, OS-specific types such as </w:t>
      </w:r>
      <w:r>
        <w:rPr>
          <w:rStyle w:val="Text0"/>
        </w:rPr>
        <w:t>PosixPath</w:t>
      </w:r>
      <w:r>
        <w:t xml:space="preserve"> or </w:t>
      </w:r>
      <w:r>
        <w:rPr>
          <w:rStyle w:val="Text0"/>
        </w:rPr>
        <w:t>WindowsPath</w:t>
      </w:r>
      <w:r>
        <w:t xml:space="preserve"> are shown simply using the abstract </w:t>
      </w:r>
      <w:r>
        <w:rPr>
          <w:rStyle w:val="Text0"/>
        </w:rPr>
        <w:t>Path</w:t>
      </w:r>
      <w:r>
        <w:t xml:space="preserve"> class.)</w:t>
      </w:r>
    </w:p>
    <w:tbl>
      <w:tblPr>
        <w:tblW w:type="auto" w:w="0"/>
      </w:tblPr>
      <w:tr>
        <w:tc>
          <w:tcPr>
            <w:tcW w:type="auto" w:w="0"/>
            <w:tcMar>
              <w:left w:type="dxa" w:w="200"/>
              <w:top w:type="dxa" w:w="200"/>
              <w:right w:type="dxa" w:w="200"/>
              <w:bottom w:type="dxa" w:w="200"/>
            </w:tcMar>
            <w:vAlign w:val="center"/>
          </w:tcPr>
          <w:p>
            <w:bookmarkStart w:id="2751" w:name="Table_11_22__Attributes_of_an_in"/>
            <w:pPr>
              <w:pStyle w:val="Para 011"/>
            </w:pPr>
            <w:r>
              <w:rPr>
                <w:rStyle w:val="Text117"/>
              </w:rPr>
              <w:t/>
            </w:r>
            <w:r>
              <w:t xml:space="preserve">Table 11-22. </w:t>
              <w:t xml:space="preserve">Attributes of an instance </w:t>
            </w:r>
            <w:r>
              <w:rPr>
                <w:rStyle w:val="Text0"/>
              </w:rPr>
              <w:t>p</w:t>
            </w:r>
            <w:r>
              <w:t xml:space="preserve"> of </w:t>
            </w:r>
            <w:r>
              <w:rPr>
                <w:rStyle w:val="Text0"/>
              </w:rPr>
              <w:t>pathlib.Path</w:t>
            </w:r>
            <w:bookmarkEnd w:id="2751"/>
          </w:p>
          <w:p>
            <w:pPr>
              <w:pStyle w:val="Para 013"/>
            </w:pPr>
            <w:r>
              <w:t>Attribute</w:t>
            </w:r>
          </w:p>
        </w:tc>
        <w:tc>
          <w:tcPr>
            <w:tcW w:type="auto" w:w="0"/>
            <w:tcMar>
              <w:left w:type="dxa" w:w="200"/>
              <w:top w:type="dxa" w:w="200"/>
              <w:right w:type="dxa" w:w="200"/>
              <w:bottom w:type="dxa" w:w="200"/>
            </w:tcMar>
            <w:vAlign w:val="center"/>
          </w:tcPr>
          <w:p>
            <w:pPr>
              <w:pStyle w:val="Para 013"/>
            </w:pPr>
            <w:r>
              <w:t>Description</w:t>
            </w:r>
          </w:p>
        </w:tc>
        <w:tc>
          <w:tcPr>
            <w:tcW w:type="auto" w:w="0"/>
            <w:tcMar>
              <w:left w:type="dxa" w:w="200"/>
              <w:top w:type="dxa" w:w="200"/>
              <w:right w:type="dxa" w:w="200"/>
              <w:bottom w:type="dxa" w:w="200"/>
            </w:tcMar>
            <w:vAlign w:val="center"/>
          </w:tcPr>
          <w:p>
            <w:pPr>
              <w:pStyle w:val="Para 013"/>
            </w:pPr>
            <w:r>
              <w:t>Value for Unix path Path('/usr/bin/ python')</w:t>
            </w:r>
          </w:p>
        </w:tc>
        <w:tc>
          <w:tcPr>
            <w:tcW w:type="auto" w:w="0"/>
            <w:tcMar>
              <w:left w:type="dxa" w:w="200"/>
              <w:top w:type="dxa" w:w="200"/>
              <w:right w:type="dxa" w:w="200"/>
              <w:bottom w:type="dxa" w:w="200"/>
            </w:tcMar>
            <w:vAlign w:val="center"/>
          </w:tcPr>
          <w:p>
            <w:pPr>
              <w:pStyle w:val="Para 013"/>
            </w:pPr>
            <w:r>
              <w:t>Value for Windows path Path(r’c:\Python3\ python.exe')</w:t>
            </w:r>
          </w:p>
        </w:tc>
      </w:tr>
    </w:tbl>
    <w:tbl>
      <w:tblPr>
        <w:tblW w:type="auto" w:w="0"/>
      </w:tblPr>
      <w:tr>
        <w:tc>
          <w:tcPr>
            <w:tcW w:type="auto" w:w="0"/>
            <w:tcMar>
              <w:left w:type="dxa" w:w="200"/>
              <w:top w:type="dxa" w:w="200"/>
              <w:right w:type="dxa" w:w="200"/>
              <w:bottom w:type="dxa" w:w="200"/>
            </w:tcMar>
          </w:tcPr>
          <w:p>
            <w:pPr>
              <w:pStyle w:val="Para 001"/>
            </w:pPr>
            <w:r>
              <w:t>anchor</w:t>
            </w:r>
          </w:p>
        </w:tc>
        <w:tc>
          <w:tcPr>
            <w:tcW w:type="auto" w:w="0"/>
            <w:tcMar>
              <w:left w:type="dxa" w:w="200"/>
              <w:top w:type="dxa" w:w="200"/>
              <w:right w:type="dxa" w:w="200"/>
              <w:bottom w:type="dxa" w:w="200"/>
            </w:tcMar>
          </w:tcPr>
          <w:p>
            <w:pPr>
              <w:pStyle w:val="Para 002"/>
            </w:pPr>
            <w:r>
              <w:t xml:space="preserve">Combination of </w:t>
            </w:r>
            <w:r>
              <w:rPr>
                <w:rStyle w:val="Text0"/>
              </w:rPr>
              <w:t>drive</w:t>
            </w:r>
            <w:r>
              <w:t xml:space="preserve"> and </w:t>
            </w:r>
            <w:r>
              <w:rPr>
                <w:rStyle w:val="Text0"/>
              </w:rPr>
              <w:t>root</w:t>
            </w:r>
          </w:p>
        </w:tc>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1"/>
            </w:pPr>
            <w:r>
              <w:t>'c:\\'</w:t>
            </w:r>
          </w:p>
        </w:tc>
      </w:tr>
    </w:tbl>
    <w:tbl>
      <w:tblPr>
        <w:tblW w:type="auto" w:w="0"/>
      </w:tblPr>
      <w:tr>
        <w:tc>
          <w:tcPr>
            <w:tcW w:type="auto" w:w="0"/>
            <w:shd w:val="clear" w:color="auto" w:fill="EEF2F6"/>
            <w:tcMar>
              <w:left w:type="dxa" w:w="200"/>
              <w:top w:type="dxa" w:w="200"/>
              <w:right w:type="dxa" w:w="200"/>
              <w:bottom w:type="dxa" w:w="200"/>
            </w:tcMar>
          </w:tcPr>
          <w:p>
            <w:pPr>
              <w:pStyle w:val="Para 001"/>
            </w:pPr>
            <w:r>
              <w:t>drive</w:t>
            </w:r>
          </w:p>
        </w:tc>
        <w:tc>
          <w:tcPr>
            <w:tcW w:type="auto" w:w="0"/>
            <w:shd w:val="clear" w:color="auto" w:fill="EEF2F6"/>
            <w:tcMar>
              <w:left w:type="dxa" w:w="200"/>
              <w:top w:type="dxa" w:w="200"/>
              <w:right w:type="dxa" w:w="200"/>
              <w:bottom w:type="dxa" w:w="200"/>
            </w:tcMar>
          </w:tcPr>
          <w:p>
            <w:pPr>
              <w:pStyle w:val="Para 002"/>
            </w:pPr>
            <w:r>
              <w:t xml:space="preserve">Drive letter of </w:t>
            </w:r>
            <w:r>
              <w:rPr>
                <w:rStyle w:val="Text3"/>
              </w:rPr>
              <w:t>p</w:t>
            </w:r>
          </w:p>
        </w:tc>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1"/>
            </w:pPr>
            <w:r>
              <w:t>'c:'</w:t>
            </w:r>
          </w:p>
        </w:tc>
      </w:tr>
    </w:tbl>
    <w:tbl>
      <w:tblPr>
        <w:tblW w:type="auto" w:w="0"/>
      </w:tblPr>
      <w:tr>
        <w:tc>
          <w:tcPr>
            <w:tcW w:type="auto" w:w="0"/>
            <w:tcMar>
              <w:left w:type="dxa" w:w="200"/>
              <w:top w:type="dxa" w:w="200"/>
              <w:right w:type="dxa" w:w="200"/>
              <w:bottom w:type="dxa" w:w="200"/>
            </w:tcMar>
          </w:tcPr>
          <w:p>
            <w:pPr>
              <w:pStyle w:val="Para 001"/>
            </w:pPr>
            <w:r>
              <w:t>name</w:t>
            </w:r>
          </w:p>
        </w:tc>
        <w:tc>
          <w:tcPr>
            <w:tcW w:type="auto" w:w="0"/>
            <w:tcMar>
              <w:left w:type="dxa" w:w="200"/>
              <w:top w:type="dxa" w:w="200"/>
              <w:right w:type="dxa" w:w="200"/>
              <w:bottom w:type="dxa" w:w="200"/>
            </w:tcMar>
          </w:tcPr>
          <w:p>
            <w:pPr>
              <w:pStyle w:val="Para 002"/>
            </w:pPr>
            <w:r>
              <w:t xml:space="preserve">End component of </w:t>
            </w:r>
            <w:r>
              <w:rPr>
                <w:rStyle w:val="Text3"/>
              </w:rPr>
              <w:t>p</w:t>
            </w:r>
          </w:p>
        </w:tc>
        <w:tc>
          <w:tcPr>
            <w:tcW w:type="auto" w:w="0"/>
            <w:tcMar>
              <w:left w:type="dxa" w:w="200"/>
              <w:top w:type="dxa" w:w="200"/>
              <w:right w:type="dxa" w:w="200"/>
              <w:bottom w:type="dxa" w:w="200"/>
            </w:tcMar>
          </w:tcPr>
          <w:p>
            <w:pPr>
              <w:pStyle w:val="Para 001"/>
            </w:pPr>
            <w:r>
              <w:t>'python'</w:t>
            </w:r>
          </w:p>
        </w:tc>
        <w:tc>
          <w:tcPr>
            <w:tcW w:type="auto" w:w="0"/>
            <w:tcMar>
              <w:left w:type="dxa" w:w="200"/>
              <w:top w:type="dxa" w:w="200"/>
              <w:right w:type="dxa" w:w="200"/>
              <w:bottom w:type="dxa" w:w="200"/>
            </w:tcMar>
          </w:tcPr>
          <w:p>
            <w:pPr>
              <w:pStyle w:val="Para 001"/>
            </w:pPr>
            <w:r>
              <w:t>'python.exe'</w:t>
            </w:r>
          </w:p>
        </w:tc>
      </w:tr>
    </w:tbl>
    <w:tbl>
      <w:tblPr>
        <w:tblW w:type="auto" w:w="0"/>
      </w:tblPr>
      <w:tr>
        <w:tc>
          <w:tcPr>
            <w:tcW w:type="auto" w:w="0"/>
            <w:shd w:val="clear" w:color="auto" w:fill="EEF2F6"/>
            <w:tcMar>
              <w:left w:type="dxa" w:w="200"/>
              <w:top w:type="dxa" w:w="200"/>
              <w:right w:type="dxa" w:w="200"/>
              <w:bottom w:type="dxa" w:w="200"/>
            </w:tcMar>
          </w:tcPr>
          <w:p>
            <w:pPr>
              <w:pStyle w:val="Para 001"/>
            </w:pPr>
            <w:r>
              <w:t>parent</w:t>
            </w:r>
          </w:p>
        </w:tc>
        <w:tc>
          <w:tcPr>
            <w:tcW w:type="auto" w:w="0"/>
            <w:shd w:val="clear" w:color="auto" w:fill="EEF2F6"/>
            <w:tcMar>
              <w:left w:type="dxa" w:w="200"/>
              <w:top w:type="dxa" w:w="200"/>
              <w:right w:type="dxa" w:w="200"/>
              <w:bottom w:type="dxa" w:w="200"/>
            </w:tcMar>
          </w:tcPr>
          <w:p>
            <w:pPr>
              <w:pStyle w:val="Para 002"/>
            </w:pPr>
            <w:r>
              <w:t xml:space="preserve">Parent directory of </w:t>
            </w:r>
            <w:r>
              <w:rPr>
                <w:rStyle w:val="Text3"/>
              </w:rPr>
              <w:t>p</w:t>
            </w:r>
          </w:p>
        </w:tc>
        <w:tc>
          <w:tcPr>
            <w:tcW w:type="auto" w:w="0"/>
            <w:shd w:val="clear" w:color="auto" w:fill="EEF2F6"/>
            <w:tcMar>
              <w:left w:type="dxa" w:w="200"/>
              <w:top w:type="dxa" w:w="200"/>
              <w:right w:type="dxa" w:w="200"/>
              <w:bottom w:type="dxa" w:w="200"/>
            </w:tcMar>
          </w:tcPr>
          <w:p>
            <w:pPr>
              <w:pStyle w:val="Para 001"/>
            </w:pPr>
            <w:r>
              <w:t>Path('/usr/bin')</w:t>
            </w:r>
          </w:p>
        </w:tc>
        <w:tc>
          <w:tcPr>
            <w:tcW w:type="auto" w:w="0"/>
            <w:shd w:val="clear" w:color="auto" w:fill="EEF2F6"/>
            <w:tcMar>
              <w:left w:type="dxa" w:w="200"/>
              <w:top w:type="dxa" w:w="200"/>
              <w:right w:type="dxa" w:w="200"/>
              <w:bottom w:type="dxa" w:w="200"/>
            </w:tcMar>
          </w:tcPr>
          <w:p>
            <w:pPr>
              <w:pStyle w:val="Para 001"/>
            </w:pPr>
            <w:r>
              <w:t>Path('c:\\Python3')</w:t>
            </w:r>
          </w:p>
        </w:tc>
      </w:tr>
    </w:tbl>
    <w:tbl>
      <w:tblPr>
        <w:tblW w:type="auto" w:w="0"/>
      </w:tblPr>
      <w:tr>
        <w:tc>
          <w:tcPr>
            <w:tcW w:type="auto" w:w="0"/>
            <w:tcMar>
              <w:left w:type="dxa" w:w="200"/>
              <w:top w:type="dxa" w:w="200"/>
              <w:right w:type="dxa" w:w="200"/>
              <w:bottom w:type="dxa" w:w="200"/>
            </w:tcMar>
          </w:tcPr>
          <w:p>
            <w:pPr>
              <w:pStyle w:val="Para 001"/>
            </w:pPr>
            <w:r>
              <w:t>parents</w:t>
            </w:r>
          </w:p>
        </w:tc>
        <w:tc>
          <w:tcPr>
            <w:tcW w:type="auto" w:w="0"/>
            <w:tcMar>
              <w:left w:type="dxa" w:w="200"/>
              <w:top w:type="dxa" w:w="200"/>
              <w:right w:type="dxa" w:w="200"/>
              <w:bottom w:type="dxa" w:w="200"/>
            </w:tcMar>
          </w:tcPr>
          <w:p>
            <w:pPr>
              <w:pStyle w:val="Para 002"/>
            </w:pPr>
            <w:r>
              <w:t xml:space="preserve">Ancestor directories of </w:t>
            </w:r>
            <w:r>
              <w:rPr>
                <w:rStyle w:val="Text3"/>
              </w:rPr>
              <w:t>p</w:t>
            </w:r>
          </w:p>
        </w:tc>
        <w:tc>
          <w:tcPr>
            <w:tcW w:type="auto" w:w="0"/>
            <w:tcMar>
              <w:left w:type="dxa" w:w="200"/>
              <w:top w:type="dxa" w:w="200"/>
              <w:right w:type="dxa" w:w="200"/>
              <w:bottom w:type="dxa" w:w="200"/>
            </w:tcMar>
          </w:tcPr>
          <w:p>
            <w:pPr>
              <w:pStyle w:val="Para 001"/>
            </w:pPr>
            <w:r>
              <w:t>(Path('/usr/ bin'), Path('/usr'), Path('/'))</w:t>
            </w:r>
          </w:p>
        </w:tc>
        <w:tc>
          <w:tcPr>
            <w:tcW w:type="auto" w:w="0"/>
            <w:tcMar>
              <w:left w:type="dxa" w:w="200"/>
              <w:top w:type="dxa" w:w="200"/>
              <w:right w:type="dxa" w:w="200"/>
              <w:bottom w:type="dxa" w:w="200"/>
            </w:tcMar>
          </w:tcPr>
          <w:p>
            <w:pPr>
              <w:pStyle w:val="Para 001"/>
            </w:pPr>
            <w:r>
              <w:t>(Path('c:\\Python3'), Path('c:\\'))</w:t>
            </w:r>
          </w:p>
        </w:tc>
      </w:tr>
    </w:tbl>
    <w:tbl>
      <w:tblPr>
        <w:tblW w:type="auto" w:w="0"/>
      </w:tblPr>
      <w:tr>
        <w:tc>
          <w:tcPr>
            <w:tcW w:type="auto" w:w="0"/>
            <w:shd w:val="clear" w:color="auto" w:fill="EEF2F6"/>
            <w:tcMar>
              <w:left w:type="dxa" w:w="200"/>
              <w:top w:type="dxa" w:w="200"/>
              <w:right w:type="dxa" w:w="200"/>
              <w:bottom w:type="dxa" w:w="200"/>
            </w:tcMar>
          </w:tcPr>
          <w:p>
            <w:pPr>
              <w:pStyle w:val="Para 001"/>
            </w:pPr>
            <w:r>
              <w:t>parts</w:t>
            </w:r>
          </w:p>
        </w:tc>
        <w:tc>
          <w:tcPr>
            <w:tcW w:type="auto" w:w="0"/>
            <w:shd w:val="clear" w:color="auto" w:fill="EEF2F6"/>
            <w:tcMar>
              <w:left w:type="dxa" w:w="200"/>
              <w:top w:type="dxa" w:w="200"/>
              <w:right w:type="dxa" w:w="200"/>
              <w:bottom w:type="dxa" w:w="200"/>
            </w:tcMar>
          </w:tcPr>
          <w:p>
            <w:pPr>
              <w:pStyle w:val="Para 002"/>
            </w:pPr>
            <w:r>
              <w:t xml:space="preserve">Tuple of all components of </w:t>
            </w:r>
            <w:r>
              <w:rPr>
                <w:rStyle w:val="Text3"/>
              </w:rPr>
              <w:t>p</w:t>
            </w:r>
          </w:p>
        </w:tc>
        <w:tc>
          <w:tcPr>
            <w:tcW w:type="auto" w:w="0"/>
            <w:shd w:val="clear" w:color="auto" w:fill="EEF2F6"/>
            <w:tcMar>
              <w:left w:type="dxa" w:w="200"/>
              <w:top w:type="dxa" w:w="200"/>
              <w:right w:type="dxa" w:w="200"/>
              <w:bottom w:type="dxa" w:w="200"/>
            </w:tcMar>
          </w:tcPr>
          <w:p>
            <w:pPr>
              <w:pStyle w:val="Para 001"/>
            </w:pPr>
            <w:r>
              <w:t>('/', 'usr', 'bin', 'python')</w:t>
            </w:r>
          </w:p>
        </w:tc>
        <w:tc>
          <w:tcPr>
            <w:tcW w:type="auto" w:w="0"/>
            <w:shd w:val="clear" w:color="auto" w:fill="EEF2F6"/>
            <w:tcMar>
              <w:left w:type="dxa" w:w="200"/>
              <w:top w:type="dxa" w:w="200"/>
              <w:right w:type="dxa" w:w="200"/>
              <w:bottom w:type="dxa" w:w="200"/>
            </w:tcMar>
          </w:tcPr>
          <w:p>
            <w:pPr>
              <w:pStyle w:val="Para 001"/>
            </w:pPr>
            <w:r>
              <w:t>('c:\\', 'Python3', 'python.exe')</w:t>
            </w:r>
          </w:p>
        </w:tc>
      </w:tr>
    </w:tbl>
    <w:tbl>
      <w:tblPr>
        <w:tblW w:type="auto" w:w="0"/>
      </w:tblPr>
      <w:tr>
        <w:tc>
          <w:tcPr>
            <w:tcW w:type="auto" w:w="0"/>
            <w:tcMar>
              <w:left w:type="dxa" w:w="200"/>
              <w:top w:type="dxa" w:w="200"/>
              <w:right w:type="dxa" w:w="200"/>
              <w:bottom w:type="dxa" w:w="200"/>
            </w:tcMar>
          </w:tcPr>
          <w:p>
            <w:pPr>
              <w:pStyle w:val="Para 001"/>
            </w:pPr>
            <w:r>
              <w:t>root</w:t>
            </w:r>
          </w:p>
        </w:tc>
        <w:tc>
          <w:tcPr>
            <w:tcW w:type="auto" w:w="0"/>
            <w:tcMar>
              <w:left w:type="dxa" w:w="200"/>
              <w:top w:type="dxa" w:w="200"/>
              <w:right w:type="dxa" w:w="200"/>
              <w:bottom w:type="dxa" w:w="200"/>
            </w:tcMar>
          </w:tcPr>
          <w:p>
            <w:pPr>
              <w:pStyle w:val="Para 002"/>
            </w:pPr>
            <w:r>
              <w:t xml:space="preserve">Root directory of </w:t>
            </w:r>
            <w:r>
              <w:rPr>
                <w:rStyle w:val="Text3"/>
              </w:rPr>
              <w:t>p</w:t>
            </w:r>
          </w:p>
        </w:tc>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1"/>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stem</w:t>
            </w:r>
          </w:p>
        </w:tc>
        <w:tc>
          <w:tcPr>
            <w:tcW w:type="auto" w:w="0"/>
            <w:shd w:val="clear" w:color="auto" w:fill="EEF2F6"/>
            <w:tcMar>
              <w:left w:type="dxa" w:w="200"/>
              <w:top w:type="dxa" w:w="200"/>
              <w:right w:type="dxa" w:w="200"/>
              <w:bottom w:type="dxa" w:w="200"/>
            </w:tcMar>
          </w:tcPr>
          <w:p>
            <w:pPr>
              <w:pStyle w:val="Para 002"/>
            </w:pPr>
            <w:r>
              <w:t xml:space="preserve">Name of </w:t>
            </w:r>
            <w:r>
              <w:rPr>
                <w:rStyle w:val="Text3"/>
              </w:rPr>
              <w:t>p</w:t>
            </w:r>
            <w:r>
              <w:t>, minus suffix</w:t>
            </w:r>
          </w:p>
        </w:tc>
        <w:tc>
          <w:tcPr>
            <w:tcW w:type="auto" w:w="0"/>
            <w:shd w:val="clear" w:color="auto" w:fill="EEF2F6"/>
            <w:tcMar>
              <w:left w:type="dxa" w:w="200"/>
              <w:top w:type="dxa" w:w="200"/>
              <w:right w:type="dxa" w:w="200"/>
              <w:bottom w:type="dxa" w:w="200"/>
            </w:tcMar>
          </w:tcPr>
          <w:p>
            <w:pPr>
              <w:pStyle w:val="Para 001"/>
            </w:pPr>
            <w:r>
              <w:t>'python'</w:t>
            </w:r>
          </w:p>
        </w:tc>
        <w:tc>
          <w:tcPr>
            <w:tcW w:type="auto" w:w="0"/>
            <w:shd w:val="clear" w:color="auto" w:fill="EEF2F6"/>
            <w:tcMar>
              <w:left w:type="dxa" w:w="200"/>
              <w:top w:type="dxa" w:w="200"/>
              <w:right w:type="dxa" w:w="200"/>
              <w:bottom w:type="dxa" w:w="200"/>
            </w:tcMar>
          </w:tcPr>
          <w:p>
            <w:pPr>
              <w:pStyle w:val="Para 001"/>
            </w:pPr>
            <w:r>
              <w:t>'python'</w:t>
            </w:r>
          </w:p>
        </w:tc>
      </w:tr>
    </w:tbl>
    <w:tbl>
      <w:tblPr>
        <w:tblW w:type="auto" w:w="0"/>
      </w:tblPr>
      <w:tr>
        <w:tc>
          <w:tcPr>
            <w:tcW w:type="auto" w:w="0"/>
            <w:tcMar>
              <w:left w:type="dxa" w:w="200"/>
              <w:top w:type="dxa" w:w="200"/>
              <w:right w:type="dxa" w:w="200"/>
              <w:bottom w:type="dxa" w:w="200"/>
            </w:tcMar>
          </w:tcPr>
          <w:p>
            <w:pPr>
              <w:pStyle w:val="Para 001"/>
            </w:pPr>
            <w:r>
              <w:t>suffix</w:t>
            </w:r>
          </w:p>
        </w:tc>
        <w:tc>
          <w:tcPr>
            <w:tcW w:type="auto" w:w="0"/>
            <w:tcMar>
              <w:left w:type="dxa" w:w="200"/>
              <w:top w:type="dxa" w:w="200"/>
              <w:right w:type="dxa" w:w="200"/>
              <w:bottom w:type="dxa" w:w="200"/>
            </w:tcMar>
          </w:tcPr>
          <w:p>
            <w:pPr>
              <w:pStyle w:val="Para 002"/>
            </w:pPr>
            <w:r>
              <w:t xml:space="preserve">Ending suffix of </w:t>
            </w:r>
            <w:r>
              <w:rPr>
                <w:rStyle w:val="Text3"/>
              </w:rPr>
              <w:t>p</w:t>
            </w:r>
          </w:p>
        </w:tc>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1"/>
            </w:pPr>
            <w:r>
              <w:t>'.exe'</w:t>
            </w:r>
          </w:p>
        </w:tc>
      </w:tr>
    </w:tbl>
    <w:tbl>
      <w:tblPr>
        <w:tblW w:type="auto" w:w="0"/>
      </w:tblPr>
      <w:tr>
        <w:tc>
          <w:tcPr>
            <w:tcW w:type="auto" w:w="0"/>
            <w:shd w:val="clear" w:color="auto" w:fill="EEF2F6"/>
            <w:tcMar>
              <w:left w:type="dxa" w:w="200"/>
              <w:top w:type="dxa" w:w="200"/>
              <w:right w:type="dxa" w:w="200"/>
              <w:bottom w:type="dxa" w:w="200"/>
            </w:tcMar>
          </w:tcPr>
          <w:p>
            <w:pPr>
              <w:pStyle w:val="Para 001"/>
            </w:pPr>
            <w:r>
              <w:t>suffixes</w:t>
            </w:r>
          </w:p>
        </w:tc>
        <w:tc>
          <w:tcPr>
            <w:tcW w:type="auto" w:w="0"/>
            <w:shd w:val="clear" w:color="auto" w:fill="EEF2F6"/>
            <w:tcMar>
              <w:left w:type="dxa" w:w="200"/>
              <w:top w:type="dxa" w:w="200"/>
              <w:right w:type="dxa" w:w="200"/>
              <w:bottom w:type="dxa" w:w="200"/>
            </w:tcMar>
          </w:tcPr>
          <w:p>
            <w:pPr>
              <w:pStyle w:val="Para 002"/>
            </w:pPr>
            <w:r>
              <w:t xml:space="preserve">List of all suffixes of </w:t>
            </w:r>
            <w:r>
              <w:rPr>
                <w:rStyle w:val="Text3"/>
              </w:rPr>
              <w:t>p</w:t>
            </w:r>
            <w:r>
              <w:t xml:space="preserve">, as delimited by </w:t>
            </w:r>
            <w:r>
              <w:rPr>
                <w:rStyle w:val="Text0"/>
              </w:rPr>
              <w:t>'.'</w:t>
            </w:r>
            <w:r>
              <w:t xml:space="preserve"> characters</w:t>
            </w:r>
          </w:p>
        </w:tc>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1"/>
            </w:pPr>
            <w:r>
              <w:t>['.exe']</w:t>
            </w:r>
          </w:p>
        </w:tc>
      </w:tr>
    </w:tbl>
    <w:p>
      <w:pPr>
        <w:pStyle w:val="Normal"/>
      </w:pPr>
      <w:r>
        <w:t xml:space="preserve">The </w:t>
      </w:r>
      <w:hyperlink r:id="rId369">
        <w:r>
          <w:rPr>
            <w:rStyle w:val="Text1"/>
          </w:rPr>
          <w:t>online documentation</w:t>
        </w:r>
      </w:hyperlink>
      <w:r>
        <w:t xml:space="preserve"> includes more examples for paths with additional components, such as filesystem and UNC shares.</w:t>
      </w:r>
    </w:p>
    <w:p>
      <w:pPr>
        <w:pStyle w:val="Normal"/>
      </w:pPr>
      <w:r>
        <w:rPr>
          <w:rStyle w:val="Text0"/>
        </w:rPr>
        <w:t>pathlib.Path</w:t>
      </w:r>
      <w:r>
        <w:t xml:space="preserve"> objects also support</w:t>
      </w:r>
      <w:r>
        <w:rPr>
          <w:rStyle w:val="Text111"/>
        </w:rPr>
        <w:bookmarkStart w:id="2752" w:name="idm45965202599616"/>
        <w:t/>
        <w:bookmarkEnd w:id="2752"/>
        <w:bookmarkStart w:id="2753" w:name="idm45965202598240"/>
        <w:t/>
        <w:bookmarkEnd w:id="2753"/>
      </w:r>
      <w:r>
        <w:t xml:space="preserve"> the </w:t>
      </w:r>
      <w:r>
        <w:rPr>
          <w:rStyle w:val="Text0"/>
        </w:rPr>
        <w:t>'/'</w:t>
      </w:r>
      <w:r>
        <w:t xml:space="preserve"> operator, an excellent alternative to </w:t>
      </w:r>
      <w:r>
        <w:rPr>
          <w:rStyle w:val="Text0"/>
        </w:rPr>
        <w:t>os.path.join</w:t>
      </w:r>
      <w:r>
        <w:t xml:space="preserve"> or </w:t>
      </w:r>
      <w:r>
        <w:rPr>
          <w:rStyle w:val="Text0"/>
        </w:rPr>
        <w:t>Path.joinpath</w:t>
      </w:r>
      <w:r>
        <w:t xml:space="preserve"> from the </w:t>
      </w:r>
      <w:r>
        <w:rPr>
          <w:rStyle w:val="Text0"/>
        </w:rPr>
        <w:t>Path</w:t>
      </w:r>
      <w:r>
        <w:t xml:space="preserve"> module. See the example code in the description of </w:t>
      </w:r>
      <w:r>
        <w:rPr>
          <w:rStyle w:val="Text0"/>
        </w:rPr>
        <w:t>Path.touch</w:t>
      </w:r>
      <w:r>
        <w:t xml:space="preserve"> in </w:t>
      </w:r>
      <w:hyperlink w:anchor="Table_11_21__Commonly_used_metho">
        <w:r>
          <w:rPr>
            <w:rStyle w:val="Text1"/>
          </w:rPr>
          <w:t>Table 11-21</w:t>
        </w:r>
      </w:hyperlink>
      <w:r>
        <w:t>.</w:t>
      </w:r>
      <w:r>
        <w:rPr>
          <w:rStyle w:val="Text111"/>
        </w:rPr>
        <w:bookmarkStart w:id="2754" w:name="idm45965202592080"/>
        <w:t/>
        <w:bookmarkEnd w:id="2754"/>
        <w:bookmarkStart w:id="2755" w:name="idm45965202590704"/>
        <w:t/>
        <w:bookmarkEnd w:id="2755"/>
        <w:bookmarkStart w:id="2756" w:name="idm45965202589328"/>
        <w:t/>
        <w:bookmarkEnd w:id="2756"/>
      </w:r>
    </w:p>
    <w:p>
      <w:bookmarkStart w:id="2757" w:name="The_stat_Module__The_function_os"/>
      <w:pPr>
        <w:keepNext/>
        <w:pStyle w:val="Heading 1"/>
      </w:pPr>
      <w:r>
        <w:t>The stat Module</w:t>
      </w:r>
      <w:bookmarkEnd w:id="2757"/>
    </w:p>
    <w:p>
      <w:pPr>
        <w:pStyle w:val="Normal"/>
      </w:pPr>
      <w:r>
        <w:t>The</w:t>
      </w:r>
      <w:r>
        <w:rPr>
          <w:rStyle w:val="Text111"/>
        </w:rPr>
        <w:bookmarkStart w:id="2758" w:name="idm45965202585952"/>
        <w:t/>
        <w:bookmarkEnd w:id="2758"/>
        <w:bookmarkStart w:id="2759" w:name="idm45965202584608"/>
        <w:t/>
        <w:bookmarkEnd w:id="2759"/>
        <w:bookmarkStart w:id="2760" w:name="idm45965202583472"/>
        <w:t/>
        <w:bookmarkEnd w:id="2760"/>
      </w:r>
      <w:r>
        <w:t xml:space="preserve"> function </w:t>
      </w:r>
      <w:r>
        <w:rPr>
          <w:rStyle w:val="Text0"/>
        </w:rPr>
        <w:t>os.stat</w:t>
      </w:r>
      <w:r>
        <w:t xml:space="preserve"> (covered in </w:t>
      </w:r>
      <w:hyperlink w:anchor="Table_11_16__os_module_functions">
        <w:r>
          <w:rPr>
            <w:rStyle w:val="Text1"/>
          </w:rPr>
          <w:t>Table 11-16</w:t>
        </w:r>
      </w:hyperlink>
      <w:r>
        <w:t xml:space="preserve">) returns instances of </w:t>
      </w:r>
      <w:r>
        <w:rPr>
          <w:rStyle w:val="Text0"/>
        </w:rPr>
        <w:t>stat_result</w:t>
      </w:r>
      <w:r>
        <w:t xml:space="preserve">, whose item indices, attribute names, and meaning are also covered there. The </w:t>
      </w:r>
      <w:r>
        <w:rPr>
          <w:rStyle w:val="Text0"/>
        </w:rPr>
        <w:t>stat</w:t>
      </w:r>
      <w:r>
        <w:t xml:space="preserve"> module supplies attributes with names like those of </w:t>
      </w:r>
      <w:r>
        <w:rPr>
          <w:rStyle w:val="Text0"/>
        </w:rPr>
        <w:t>stat_result</w:t>
      </w:r>
      <w:r>
        <w:t>’s attributes in uppercase, and corresponding values that are the corresponding item indices.</w:t>
      </w:r>
    </w:p>
    <w:p>
      <w:pPr>
        <w:pStyle w:val="Normal"/>
      </w:pPr>
      <w:r>
        <w:t xml:space="preserve">The more interesting contents of the </w:t>
      </w:r>
      <w:r>
        <w:rPr>
          <w:rStyle w:val="Text0"/>
        </w:rPr>
        <w:t>stat</w:t>
      </w:r>
      <w:r>
        <w:t xml:space="preserve"> module are functions to examine the </w:t>
      </w:r>
      <w:r>
        <w:rPr>
          <w:rStyle w:val="Text0"/>
        </w:rPr>
        <w:t>st_mode</w:t>
      </w:r>
      <w:r>
        <w:t xml:space="preserve"> attribute of a </w:t>
      </w:r>
      <w:r>
        <w:rPr>
          <w:rStyle w:val="Text0"/>
        </w:rPr>
        <w:t>stat_result</w:t>
      </w:r>
      <w:r>
        <w:t xml:space="preserve"> instance and determine the kind of file. </w:t>
      </w:r>
      <w:r>
        <w:rPr>
          <w:rStyle w:val="Text0"/>
        </w:rPr>
        <w:t>os.path</w:t>
      </w:r>
      <w:r>
        <w:t xml:space="preserve"> also supplies functions for such tasks, which operate directly on the file’s </w:t>
      </w:r>
      <w:r>
        <w:rPr>
          <w:rStyle w:val="Text3"/>
        </w:rPr>
        <w:t>path</w:t>
      </w:r>
      <w:r>
        <w:t xml:space="preserve">. The functions supplied by </w:t>
      </w:r>
      <w:r>
        <w:rPr>
          <w:rStyle w:val="Text0"/>
        </w:rPr>
        <w:t>stat</w:t>
      </w:r>
      <w:r>
        <w:t xml:space="preserve">, shown in </w:t>
      </w:r>
      <w:hyperlink w:anchor="Table_11_23__stat_module_functio">
        <w:r>
          <w:rPr>
            <w:rStyle w:val="Text1"/>
          </w:rPr>
          <w:t>Table 11-23</w:t>
        </w:r>
      </w:hyperlink>
      <w:r>
        <w:t xml:space="preserve">, are faster than </w:t>
      </w:r>
      <w:r>
        <w:rPr>
          <w:rStyle w:val="Text0"/>
        </w:rPr>
        <w:t>os</w:t>
      </w:r>
      <w:r>
        <w:t xml:space="preserve">’s when you perform several tests on the same file: they require only one </w:t>
      </w:r>
      <w:r>
        <w:rPr>
          <w:rStyle w:val="Text0"/>
        </w:rPr>
        <w:t>os.stat</w:t>
      </w:r>
      <w:r>
        <w:t xml:space="preserve"> system call at the start of a series of tests to obtain the file’s </w:t>
      </w:r>
      <w:r>
        <w:rPr>
          <w:rStyle w:val="Text0"/>
        </w:rPr>
        <w:t>st_mode</w:t>
      </w:r>
      <w:r>
        <w:t xml:space="preserve">, while the functions in </w:t>
      </w:r>
      <w:r>
        <w:rPr>
          <w:rStyle w:val="Text0"/>
        </w:rPr>
        <w:t>os.path</w:t>
      </w:r>
      <w:r>
        <w:t xml:space="preserve"> implicitly ask the operating system for the same information at each test. Each function returns </w:t>
      </w:r>
      <w:r>
        <w:rPr>
          <w:rStyle w:val="Text5"/>
        </w:rPr>
        <w:t>True</w:t>
      </w:r>
      <w:r>
        <w:t xml:space="preserve"> when </w:t>
      </w:r>
      <w:r>
        <w:rPr>
          <w:rStyle w:val="Text3"/>
        </w:rPr>
        <w:t>mode</w:t>
      </w:r>
      <w:r>
        <w:t xml:space="preserve"> denotes a file of the given kind; otherwise, it returns </w:t>
      </w:r>
      <w:r>
        <w:rPr>
          <w:rStyle w:val="Text5"/>
        </w:rPr>
        <w:t>False</w:t>
      </w:r>
      <w:r>
        <w:t>.</w:t>
      </w:r>
    </w:p>
    <w:tbl>
      <w:tblPr>
        <w:tblW w:type="auto" w:w="0"/>
      </w:tblPr>
      <w:tr>
        <w:tc>
          <w:tcPr>
            <w:tcW w:type="auto" w:w="0"/>
            <w:tcMar>
              <w:left w:type="dxa" w:w="200"/>
              <w:top w:type="dxa" w:w="200"/>
              <w:right w:type="dxa" w:w="200"/>
              <w:bottom w:type="dxa" w:w="200"/>
            </w:tcMar>
          </w:tcPr>
          <w:p>
            <w:bookmarkStart w:id="2761" w:name="Table_11_23__stat_module_functio"/>
            <w:pPr>
              <w:pStyle w:val="Para 011"/>
            </w:pPr>
            <w:r>
              <w:rPr>
                <w:rStyle w:val="Text117"/>
              </w:rPr>
              <w:t/>
            </w:r>
            <w:r>
              <w:t xml:space="preserve">Table 11-23. </w:t>
            </w:r>
            <w:r>
              <w:rPr>
                <w:rStyle w:val="Text0"/>
              </w:rPr>
              <w:t>stat</w:t>
            </w:r>
            <w:r>
              <w:t xml:space="preserve"> module functions for examining </w:t>
            </w:r>
            <w:r>
              <w:rPr>
                <w:rStyle w:val="Text0"/>
              </w:rPr>
              <w:t>st_mode</w:t>
            </w:r>
            <w:bookmarkEnd w:id="2761"/>
          </w:p>
          <w:p>
            <w:pPr>
              <w:pStyle w:val="Para 001"/>
            </w:pPr>
            <w:r>
              <w:t>S_ISBLK</w:t>
            </w:r>
          </w:p>
        </w:tc>
        <w:tc>
          <w:tcPr>
            <w:tcW w:type="auto" w:w="0"/>
            <w:tcMar>
              <w:left w:type="dxa" w:w="200"/>
              <w:top w:type="dxa" w:w="200"/>
              <w:right w:type="dxa" w:w="200"/>
              <w:bottom w:type="dxa" w:w="200"/>
            </w:tcMar>
          </w:tcPr>
          <w:p>
            <w:pPr>
              <w:pStyle w:val="Para 002"/>
            </w:pPr>
            <w:r>
              <w:rPr>
                <w:rStyle w:val="Text0"/>
              </w:rPr>
              <w:t>S_ISBLK(</w:t>
            </w:r>
            <w:r>
              <w:rPr>
                <w:rStyle w:val="Text3"/>
              </w:rPr>
              <w:t>mode</w:t>
            </w:r>
            <w:r>
              <w:rPr>
                <w:rStyle w:val="Text0"/>
              </w:rPr>
              <w:t>)</w:t>
              <w:br w:clear="none"/>
            </w:r>
            <w:r>
              <w:t xml:space="preserve"> Indicates whether </w:t>
            </w:r>
            <w:r>
              <w:rPr>
                <w:rStyle w:val="Text3"/>
              </w:rPr>
              <w:t>mode</w:t>
            </w:r>
            <w:r>
              <w:t xml:space="preserve"> denotes a special-device file of the block kind</w:t>
            </w:r>
          </w:p>
        </w:tc>
      </w:tr>
    </w:tbl>
    <w:tbl>
      <w:tblPr>
        <w:tblW w:type="auto" w:w="0"/>
      </w:tblPr>
      <w:tr>
        <w:tc>
          <w:tcPr>
            <w:tcW w:type="auto" w:w="0"/>
            <w:shd w:val="clear" w:color="auto" w:fill="EEF2F6"/>
            <w:tcMar>
              <w:left w:type="dxa" w:w="200"/>
              <w:top w:type="dxa" w:w="200"/>
              <w:right w:type="dxa" w:w="200"/>
              <w:bottom w:type="dxa" w:w="200"/>
            </w:tcMar>
          </w:tcPr>
          <w:p>
            <w:pPr>
              <w:pStyle w:val="Para 001"/>
            </w:pPr>
            <w:r>
              <w:t>S_ISCHR</w:t>
            </w:r>
          </w:p>
        </w:tc>
        <w:tc>
          <w:tcPr>
            <w:tcW w:type="auto" w:w="0"/>
            <w:shd w:val="clear" w:color="auto" w:fill="EEF2F6"/>
            <w:tcMar>
              <w:left w:type="dxa" w:w="200"/>
              <w:top w:type="dxa" w:w="200"/>
              <w:right w:type="dxa" w:w="200"/>
              <w:bottom w:type="dxa" w:w="200"/>
            </w:tcMar>
          </w:tcPr>
          <w:p>
            <w:pPr>
              <w:pStyle w:val="Para 002"/>
            </w:pPr>
            <w:r>
              <w:rPr>
                <w:rStyle w:val="Text0"/>
              </w:rPr>
              <w:t>S_ISCHR(</w:t>
            </w:r>
            <w:r>
              <w:rPr>
                <w:rStyle w:val="Text3"/>
              </w:rPr>
              <w:t>mode</w:t>
            </w:r>
            <w:r>
              <w:rPr>
                <w:rStyle w:val="Text0"/>
              </w:rPr>
              <w:t>)</w:t>
              <w:br w:clear="none"/>
            </w:r>
            <w:r>
              <w:t xml:space="preserve"> Indicates whether </w:t>
            </w:r>
            <w:r>
              <w:rPr>
                <w:rStyle w:val="Text3"/>
              </w:rPr>
              <w:t>mode</w:t>
            </w:r>
            <w:r>
              <w:t xml:space="preserve"> denotes a special-device file of the character kind</w:t>
            </w:r>
          </w:p>
        </w:tc>
      </w:tr>
    </w:tbl>
    <w:tbl>
      <w:tblPr>
        <w:tblW w:type="auto" w:w="0"/>
      </w:tblPr>
      <w:tr>
        <w:tc>
          <w:tcPr>
            <w:tcW w:type="auto" w:w="0"/>
            <w:tcMar>
              <w:left w:type="dxa" w:w="200"/>
              <w:top w:type="dxa" w:w="200"/>
              <w:right w:type="dxa" w:w="200"/>
              <w:bottom w:type="dxa" w:w="200"/>
            </w:tcMar>
          </w:tcPr>
          <w:p>
            <w:pPr>
              <w:pStyle w:val="Para 001"/>
            </w:pPr>
            <w:r>
              <w:t>S_ISDIR</w:t>
            </w:r>
          </w:p>
        </w:tc>
        <w:tc>
          <w:tcPr>
            <w:tcW w:type="auto" w:w="0"/>
            <w:tcMar>
              <w:left w:type="dxa" w:w="200"/>
              <w:top w:type="dxa" w:w="200"/>
              <w:right w:type="dxa" w:w="200"/>
              <w:bottom w:type="dxa" w:w="200"/>
            </w:tcMar>
          </w:tcPr>
          <w:p>
            <w:pPr>
              <w:pStyle w:val="Para 002"/>
            </w:pPr>
            <w:r>
              <w:rPr>
                <w:rStyle w:val="Text0"/>
              </w:rPr>
              <w:t>S_ISDIR(</w:t>
            </w:r>
            <w:r>
              <w:rPr>
                <w:rStyle w:val="Text3"/>
              </w:rPr>
              <w:t>mode</w:t>
            </w:r>
            <w:r>
              <w:rPr>
                <w:rStyle w:val="Text0"/>
              </w:rPr>
              <w:t>)</w:t>
              <w:br w:clear="none"/>
            </w:r>
            <w:r>
              <w:t xml:space="preserve"> Indicates whether </w:t>
            </w:r>
            <w:r>
              <w:rPr>
                <w:rStyle w:val="Text3"/>
              </w:rPr>
              <w:t>mode</w:t>
            </w:r>
            <w:r>
              <w:t xml:space="preserve"> denotes a directory</w:t>
            </w:r>
          </w:p>
        </w:tc>
      </w:tr>
    </w:tbl>
    <w:tbl>
      <w:tblPr>
        <w:tblW w:type="auto" w:w="0"/>
      </w:tblPr>
      <w:tr>
        <w:tc>
          <w:tcPr>
            <w:tcW w:type="auto" w:w="0"/>
            <w:shd w:val="clear" w:color="auto" w:fill="EEF2F6"/>
            <w:tcMar>
              <w:left w:type="dxa" w:w="200"/>
              <w:top w:type="dxa" w:w="200"/>
              <w:right w:type="dxa" w:w="200"/>
              <w:bottom w:type="dxa" w:w="200"/>
            </w:tcMar>
          </w:tcPr>
          <w:p>
            <w:pPr>
              <w:pStyle w:val="Para 001"/>
            </w:pPr>
            <w:r>
              <w:t>S_ISFIFO</w:t>
            </w:r>
          </w:p>
        </w:tc>
        <w:tc>
          <w:tcPr>
            <w:tcW w:type="auto" w:w="0"/>
            <w:shd w:val="clear" w:color="auto" w:fill="EEF2F6"/>
            <w:tcMar>
              <w:left w:type="dxa" w:w="200"/>
              <w:top w:type="dxa" w:w="200"/>
              <w:right w:type="dxa" w:w="200"/>
              <w:bottom w:type="dxa" w:w="200"/>
            </w:tcMar>
          </w:tcPr>
          <w:p>
            <w:pPr>
              <w:pStyle w:val="Para 002"/>
            </w:pPr>
            <w:r>
              <w:rPr>
                <w:rStyle w:val="Text0"/>
              </w:rPr>
              <w:t>S_ISFIFO(</w:t>
            </w:r>
            <w:r>
              <w:rPr>
                <w:rStyle w:val="Text3"/>
              </w:rPr>
              <w:t>mode</w:t>
            </w:r>
            <w:r>
              <w:rPr>
                <w:rStyle w:val="Text0"/>
              </w:rPr>
              <w:t>)</w:t>
              <w:br w:clear="none"/>
            </w:r>
            <w:r>
              <w:t xml:space="preserve"> Indicates whether </w:t>
            </w:r>
            <w:r>
              <w:rPr>
                <w:rStyle w:val="Text3"/>
              </w:rPr>
              <w:t>mode</w:t>
            </w:r>
            <w:r>
              <w:t xml:space="preserve"> denotes a FIFO (also known as a “named pipe”)</w:t>
            </w:r>
          </w:p>
        </w:tc>
      </w:tr>
    </w:tbl>
    <w:tbl>
      <w:tblPr>
        <w:tblW w:type="auto" w:w="0"/>
      </w:tblPr>
      <w:tr>
        <w:tc>
          <w:tcPr>
            <w:tcW w:type="auto" w:w="0"/>
            <w:tcMar>
              <w:left w:type="dxa" w:w="200"/>
              <w:top w:type="dxa" w:w="200"/>
              <w:right w:type="dxa" w:w="200"/>
              <w:bottom w:type="dxa" w:w="200"/>
            </w:tcMar>
          </w:tcPr>
          <w:p>
            <w:pPr>
              <w:pStyle w:val="Para 001"/>
            </w:pPr>
            <w:r>
              <w:t>S_ISLNK</w:t>
            </w:r>
          </w:p>
        </w:tc>
        <w:tc>
          <w:tcPr>
            <w:tcW w:type="auto" w:w="0"/>
            <w:tcMar>
              <w:left w:type="dxa" w:w="200"/>
              <w:top w:type="dxa" w:w="200"/>
              <w:right w:type="dxa" w:w="200"/>
              <w:bottom w:type="dxa" w:w="200"/>
            </w:tcMar>
          </w:tcPr>
          <w:p>
            <w:pPr>
              <w:pStyle w:val="Para 002"/>
            </w:pPr>
            <w:r>
              <w:rPr>
                <w:rStyle w:val="Text0"/>
              </w:rPr>
              <w:t>S_ISLNK(</w:t>
            </w:r>
            <w:r>
              <w:rPr>
                <w:rStyle w:val="Text3"/>
              </w:rPr>
              <w:t>mode</w:t>
            </w:r>
            <w:r>
              <w:rPr>
                <w:rStyle w:val="Text0"/>
              </w:rPr>
              <w:t>)</w:t>
              <w:br w:clear="none"/>
            </w:r>
            <w:r>
              <w:t xml:space="preserve"> Indicates whether </w:t>
            </w:r>
            <w:r>
              <w:rPr>
                <w:rStyle w:val="Text3"/>
              </w:rPr>
              <w:t>mode</w:t>
            </w:r>
            <w:r>
              <w:t xml:space="preserve"> denotes a symbolic link</w:t>
            </w:r>
          </w:p>
        </w:tc>
      </w:tr>
    </w:tbl>
    <w:tbl>
      <w:tblPr>
        <w:tblW w:type="auto" w:w="0"/>
      </w:tblPr>
      <w:tr>
        <w:tc>
          <w:tcPr>
            <w:tcW w:type="auto" w:w="0"/>
            <w:shd w:val="clear" w:color="auto" w:fill="EEF2F6"/>
            <w:tcMar>
              <w:left w:type="dxa" w:w="200"/>
              <w:top w:type="dxa" w:w="200"/>
              <w:right w:type="dxa" w:w="200"/>
              <w:bottom w:type="dxa" w:w="200"/>
            </w:tcMar>
          </w:tcPr>
          <w:p>
            <w:pPr>
              <w:pStyle w:val="Para 001"/>
            </w:pPr>
            <w:r>
              <w:t>S_ISREG</w:t>
            </w:r>
          </w:p>
        </w:tc>
        <w:tc>
          <w:tcPr>
            <w:tcW w:type="auto" w:w="0"/>
            <w:shd w:val="clear" w:color="auto" w:fill="EEF2F6"/>
            <w:tcMar>
              <w:left w:type="dxa" w:w="200"/>
              <w:top w:type="dxa" w:w="200"/>
              <w:right w:type="dxa" w:w="200"/>
              <w:bottom w:type="dxa" w:w="200"/>
            </w:tcMar>
          </w:tcPr>
          <w:p>
            <w:pPr>
              <w:pStyle w:val="Para 002"/>
            </w:pPr>
            <w:r>
              <w:rPr>
                <w:rStyle w:val="Text0"/>
              </w:rPr>
              <w:t>S_ISREG(</w:t>
            </w:r>
            <w:r>
              <w:rPr>
                <w:rStyle w:val="Text3"/>
              </w:rPr>
              <w:t>mode</w:t>
            </w:r>
            <w:r>
              <w:rPr>
                <w:rStyle w:val="Text0"/>
              </w:rPr>
              <w:t>)</w:t>
              <w:br w:clear="none"/>
            </w:r>
            <w:r>
              <w:t xml:space="preserve"> Indicates whether </w:t>
            </w:r>
            <w:r>
              <w:rPr>
                <w:rStyle w:val="Text3"/>
              </w:rPr>
              <w:t>mode</w:t>
            </w:r>
            <w:r>
              <w:t xml:space="preserve"> denotes a normal file (not a directory, special device-file, etc.)</w:t>
            </w:r>
          </w:p>
        </w:tc>
      </w:tr>
    </w:tbl>
    <w:tbl>
      <w:tblPr>
        <w:tblW w:type="auto" w:w="0"/>
      </w:tblPr>
      <w:tr>
        <w:tc>
          <w:tcPr>
            <w:tcW w:type="auto" w:w="0"/>
            <w:tcMar>
              <w:left w:type="dxa" w:w="200"/>
              <w:top w:type="dxa" w:w="200"/>
              <w:right w:type="dxa" w:w="200"/>
              <w:bottom w:type="dxa" w:w="200"/>
            </w:tcMar>
          </w:tcPr>
          <w:p>
            <w:pPr>
              <w:pStyle w:val="Para 001"/>
            </w:pPr>
            <w:r>
              <w:t>S_ISSOCK</w:t>
            </w:r>
          </w:p>
        </w:tc>
        <w:tc>
          <w:tcPr>
            <w:tcW w:type="auto" w:w="0"/>
            <w:tcMar>
              <w:left w:type="dxa" w:w="200"/>
              <w:top w:type="dxa" w:w="200"/>
              <w:right w:type="dxa" w:w="200"/>
              <w:bottom w:type="dxa" w:w="200"/>
            </w:tcMar>
          </w:tcPr>
          <w:p>
            <w:pPr>
              <w:pStyle w:val="Para 002"/>
            </w:pPr>
            <w:r>
              <w:rPr>
                <w:rStyle w:val="Text0"/>
              </w:rPr>
              <w:t>S_ISSOCK(</w:t>
            </w:r>
            <w:r>
              <w:rPr>
                <w:rStyle w:val="Text3"/>
              </w:rPr>
              <w:t>mode</w:t>
            </w:r>
            <w:r>
              <w:rPr>
                <w:rStyle w:val="Text0"/>
              </w:rPr>
              <w:t>)</w:t>
              <w:br w:clear="none"/>
            </w:r>
            <w:r>
              <w:t xml:space="preserve"> Indicates whether </w:t>
            </w:r>
            <w:r>
              <w:rPr>
                <w:rStyle w:val="Text3"/>
              </w:rPr>
              <w:t>mode</w:t>
            </w:r>
            <w:r>
              <w:t xml:space="preserve"> denotes a Unix-domain socket</w:t>
            </w:r>
          </w:p>
        </w:tc>
      </w:tr>
    </w:tbl>
    <w:p>
      <w:pPr>
        <w:pStyle w:val="Normal"/>
      </w:pPr>
      <w:r>
        <w:t>Several of these functions are meaningful only on Unix-like systems, since other platforms do not keep special files such as devices and sockets in the same namespace as regular files; Unix-like systems do.</w:t>
      </w:r>
    </w:p>
    <w:p>
      <w:pPr>
        <w:pStyle w:val="Normal"/>
      </w:pPr>
      <w:r>
        <w:t xml:space="preserve">The </w:t>
      </w:r>
      <w:r>
        <w:rPr>
          <w:rStyle w:val="Text0"/>
        </w:rPr>
        <w:t>stat</w:t>
      </w:r>
      <w:r>
        <w:t xml:space="preserve"> module also supplies two functions that extract relevant parts of a file’s </w:t>
      </w:r>
      <w:r>
        <w:rPr>
          <w:rStyle w:val="Text3"/>
        </w:rPr>
        <w:t>mode</w:t>
      </w:r>
      <w:r>
        <w:t xml:space="preserve"> (</w:t>
      </w:r>
      <w:r>
        <w:rPr>
          <w:rStyle w:val="Text3"/>
        </w:rPr>
        <w:t>x</w:t>
      </w:r>
      <w:r>
        <w:rPr>
          <w:rStyle w:val="Text0"/>
        </w:rPr>
        <w:t>.st_mode</w:t>
      </w:r>
      <w:r>
        <w:t xml:space="preserve">, for some result </w:t>
      </w:r>
      <w:r>
        <w:rPr>
          <w:rStyle w:val="Text3"/>
        </w:rPr>
        <w:t>x</w:t>
      </w:r>
      <w:r>
        <w:t xml:space="preserve"> of function </w:t>
      </w:r>
      <w:r>
        <w:rPr>
          <w:rStyle w:val="Text0"/>
        </w:rPr>
        <w:t>os.stat</w:t>
      </w:r>
      <w:r>
        <w:t xml:space="preserve">), listed in </w:t>
      </w:r>
      <w:hyperlink w:anchor="Table_11_24__stat_module_functio">
        <w:r>
          <w:rPr>
            <w:rStyle w:val="Text1"/>
          </w:rPr>
          <w:t>Table 11-24</w:t>
        </w:r>
      </w:hyperlink>
      <w:r>
        <w:t>.</w:t>
      </w:r>
    </w:p>
    <w:tbl>
      <w:tblPr>
        <w:tblW w:type="auto" w:w="0"/>
      </w:tblPr>
      <w:tr>
        <w:tc>
          <w:tcPr>
            <w:tcW w:type="auto" w:w="0"/>
            <w:tcMar>
              <w:left w:type="dxa" w:w="200"/>
              <w:top w:type="dxa" w:w="200"/>
              <w:right w:type="dxa" w:w="200"/>
              <w:bottom w:type="dxa" w:w="200"/>
            </w:tcMar>
          </w:tcPr>
          <w:p>
            <w:bookmarkStart w:id="2762" w:name="Table_11_24__stat_module_functio"/>
            <w:pPr>
              <w:pStyle w:val="Para 011"/>
            </w:pPr>
            <w:r>
              <w:rPr>
                <w:rStyle w:val="Text117"/>
              </w:rPr>
              <w:t/>
            </w:r>
            <w:r>
              <w:t xml:space="preserve">Table 11-24. </w:t>
            </w:r>
            <w:r>
              <w:rPr>
                <w:rStyle w:val="Text0"/>
              </w:rPr>
              <w:t>stat</w:t>
            </w:r>
            <w:r>
              <w:t xml:space="preserve"> module functions for extracting bits from mode</w:t>
            </w:r>
            <w:bookmarkEnd w:id="2762"/>
          </w:p>
          <w:p>
            <w:pPr>
              <w:pStyle w:val="Para 001"/>
            </w:pPr>
            <w:r>
              <w:t>S_IFMT</w:t>
            </w:r>
          </w:p>
        </w:tc>
        <w:tc>
          <w:tcPr>
            <w:tcW w:type="auto" w:w="0"/>
            <w:tcMar>
              <w:left w:type="dxa" w:w="200"/>
              <w:top w:type="dxa" w:w="200"/>
              <w:right w:type="dxa" w:w="200"/>
              <w:bottom w:type="dxa" w:w="200"/>
            </w:tcMar>
          </w:tcPr>
          <w:p>
            <w:pPr>
              <w:pStyle w:val="Para 002"/>
            </w:pPr>
            <w:r>
              <w:rPr>
                <w:rStyle w:val="Text0"/>
              </w:rPr>
              <w:t>S_IFMT(</w:t>
            </w:r>
            <w:r>
              <w:rPr>
                <w:rStyle w:val="Text3"/>
              </w:rPr>
              <w:t>mode</w:t>
            </w:r>
            <w:r>
              <w:rPr>
                <w:rStyle w:val="Text0"/>
              </w:rPr>
              <w:t>)</w:t>
              <w:br w:clear="none"/>
            </w:r>
            <w:r>
              <w:t xml:space="preserve"> Returns those bits of </w:t>
            </w:r>
            <w:r>
              <w:rPr>
                <w:rStyle w:val="Text3"/>
              </w:rPr>
              <w:t>mode</w:t>
            </w:r>
            <w:r>
              <w:t xml:space="preserve"> that describe the kind of file (i.e., the bits that are examined by the functions </w:t>
            </w:r>
            <w:r>
              <w:rPr>
                <w:rStyle w:val="Text0"/>
              </w:rPr>
              <w:t>S_ISDIR</w:t>
            </w:r>
            <w:r>
              <w:t xml:space="preserve">, </w:t>
            </w:r>
            <w:r>
              <w:rPr>
                <w:rStyle w:val="Text0"/>
              </w:rPr>
              <w:t>S_ISREG</w:t>
            </w:r>
            <w:r>
              <w:t>, etc.)</w:t>
            </w:r>
          </w:p>
        </w:tc>
      </w:tr>
    </w:tbl>
    <w:tbl>
      <w:tblPr>
        <w:tblW w:type="auto" w:w="0"/>
      </w:tblPr>
      <w:tr>
        <w:tc>
          <w:tcPr>
            <w:tcW w:type="auto" w:w="0"/>
            <w:shd w:val="clear" w:color="auto" w:fill="EEF2F6"/>
            <w:tcMar>
              <w:left w:type="dxa" w:w="200"/>
              <w:top w:type="dxa" w:w="200"/>
              <w:right w:type="dxa" w:w="200"/>
              <w:bottom w:type="dxa" w:w="200"/>
            </w:tcMar>
          </w:tcPr>
          <w:p>
            <w:pPr>
              <w:pStyle w:val="Para 001"/>
            </w:pPr>
            <w:r>
              <w:t>S_IMODE</w:t>
            </w:r>
          </w:p>
        </w:tc>
        <w:tc>
          <w:tcPr>
            <w:tcW w:type="auto" w:w="0"/>
            <w:shd w:val="clear" w:color="auto" w:fill="EEF2F6"/>
            <w:tcMar>
              <w:left w:type="dxa" w:w="200"/>
              <w:top w:type="dxa" w:w="200"/>
              <w:right w:type="dxa" w:w="200"/>
              <w:bottom w:type="dxa" w:w="200"/>
            </w:tcMar>
          </w:tcPr>
          <w:p>
            <w:pPr>
              <w:pStyle w:val="Para 002"/>
            </w:pPr>
            <w:r>
              <w:rPr>
                <w:rStyle w:val="Text0"/>
              </w:rPr>
              <w:t>S_IMODE(</w:t>
            </w:r>
            <w:r>
              <w:rPr>
                <w:rStyle w:val="Text3"/>
              </w:rPr>
              <w:t>mode</w:t>
            </w:r>
            <w:r>
              <w:rPr>
                <w:rStyle w:val="Text0"/>
              </w:rPr>
              <w:t>)</w:t>
              <w:br w:clear="none"/>
            </w:r>
            <w:r>
              <w:t xml:space="preserve"> Returns those bits of </w:t>
            </w:r>
            <w:r>
              <w:rPr>
                <w:rStyle w:val="Text3"/>
              </w:rPr>
              <w:t>mode</w:t>
            </w:r>
            <w:r>
              <w:t xml:space="preserve"> that can be set by the function </w:t>
            </w:r>
            <w:r>
              <w:rPr>
                <w:rStyle w:val="Text0"/>
              </w:rPr>
              <w:t>os.chmod</w:t>
            </w:r>
            <w:r>
              <w:t xml:space="preserve"> (i.e., the permission bits and, on Unix-like platforms, a few other special bits such as the </w:t>
            </w:r>
            <w:r>
              <w:rPr>
                <w:rStyle w:val="Text0"/>
              </w:rPr>
              <w:t>set-user-id</w:t>
            </w:r>
            <w:r>
              <w:t xml:space="preserve"> flag)</w:t>
            </w:r>
          </w:p>
        </w:tc>
      </w:tr>
    </w:tbl>
    <w:p>
      <w:pPr>
        <w:pStyle w:val="Normal"/>
      </w:pPr>
      <w:r>
        <w:t xml:space="preserve">The </w:t>
      </w:r>
      <w:r>
        <w:rPr>
          <w:rStyle w:val="Text0"/>
        </w:rPr>
        <w:t>stat</w:t>
      </w:r>
      <w:r>
        <w:t xml:space="preserve"> module supplies a utility function, </w:t>
      </w:r>
      <w:r>
        <w:rPr>
          <w:rStyle w:val="Text0"/>
        </w:rPr>
        <w:t>stat.filemode(</w:t>
      </w:r>
      <w:r>
        <w:rPr>
          <w:rStyle w:val="Text3"/>
        </w:rPr>
        <w:t>mode</w:t>
      </w:r>
      <w:r>
        <w:rPr>
          <w:rStyle w:val="Text0"/>
        </w:rPr>
        <w:t>)</w:t>
      </w:r>
      <w:r>
        <w:t xml:space="preserve">, that converts a file’s mode to a human readable string of the form </w:t>
      </w:r>
      <w:r>
        <w:rPr>
          <w:rStyle w:val="Text0"/>
        </w:rPr>
        <w:t>'-rwxrwxrwx'</w:t>
      </w:r>
      <w:r>
        <w:t>.</w:t>
      </w:r>
    </w:p>
    <w:p>
      <w:bookmarkStart w:id="2763" w:name="The_filecmp_Module__The_filecmp"/>
      <w:pPr>
        <w:keepNext/>
        <w:pStyle w:val="Heading 1"/>
      </w:pPr>
      <w:r>
        <w:t>The filecmp Module</w:t>
      </w:r>
      <w:bookmarkEnd w:id="2763"/>
    </w:p>
    <w:p>
      <w:pPr>
        <w:pStyle w:val="Normal"/>
      </w:pPr>
      <w:r>
        <w:t>The</w:t>
      </w:r>
      <w:r>
        <w:rPr>
          <w:rStyle w:val="Text111"/>
        </w:rPr>
        <w:bookmarkStart w:id="2764" w:name="FTOfilecmp11"/>
        <w:t/>
        <w:bookmarkEnd w:id="2764"/>
        <w:bookmarkStart w:id="2765" w:name="filecmpmod11"/>
        <w:t/>
        <w:bookmarkEnd w:id="2765"/>
        <w:bookmarkStart w:id="2766" w:name="SLMfilecmp11"/>
        <w:t/>
        <w:bookmarkEnd w:id="2766"/>
      </w:r>
      <w:r>
        <w:t xml:space="preserve"> </w:t>
      </w:r>
      <w:r>
        <w:rPr>
          <w:rStyle w:val="Text0"/>
        </w:rPr>
        <w:t>filecmp</w:t>
      </w:r>
      <w:r>
        <w:t xml:space="preserve"> module supplies a few functions that are useful for comparing files and directories, listed in </w:t>
      </w:r>
      <w:hyperlink w:anchor="Table_11_25__Useful_functions_of">
        <w:r>
          <w:rPr>
            <w:rStyle w:val="Text1"/>
          </w:rPr>
          <w:t>Table 11-25</w:t>
        </w:r>
      </w:hyperlink>
      <w:r>
        <w:t>.</w:t>
      </w:r>
    </w:p>
    <w:tbl>
      <w:tblPr>
        <w:tblW w:type="auto" w:w="0"/>
      </w:tblPr>
      <w:tr>
        <w:tc>
          <w:tcPr>
            <w:tcW w:type="auto" w:w="0"/>
            <w:tcMar>
              <w:left w:type="dxa" w:w="200"/>
              <w:top w:type="dxa" w:w="200"/>
              <w:right w:type="dxa" w:w="200"/>
              <w:bottom w:type="dxa" w:w="200"/>
            </w:tcMar>
          </w:tcPr>
          <w:p>
            <w:bookmarkStart w:id="2767" w:name="Table_11_25__Useful_functions_of"/>
            <w:pPr>
              <w:pStyle w:val="Para 011"/>
            </w:pPr>
            <w:r>
              <w:rPr>
                <w:rStyle w:val="Text117"/>
              </w:rPr>
              <w:t/>
            </w:r>
            <w:r>
              <w:t xml:space="preserve">Table 11-25. </w:t>
              <w:t xml:space="preserve">Useful functions of the </w:t>
            </w:r>
            <w:r>
              <w:rPr>
                <w:rStyle w:val="Text0"/>
              </w:rPr>
              <w:t>filecmp</w:t>
            </w:r>
            <w:r>
              <w:t xml:space="preserve"> module</w:t>
            </w:r>
            <w:bookmarkEnd w:id="2767"/>
          </w:p>
          <w:p>
            <w:pPr>
              <w:pStyle w:val="Para 001"/>
            </w:pPr>
            <w:r>
              <w:t>clear_cache</w:t>
            </w:r>
          </w:p>
        </w:tc>
        <w:tc>
          <w:tcPr>
            <w:tcW w:type="auto" w:w="0"/>
            <w:tcMar>
              <w:left w:type="dxa" w:w="200"/>
              <w:top w:type="dxa" w:w="200"/>
              <w:right w:type="dxa" w:w="200"/>
              <w:bottom w:type="dxa" w:w="200"/>
            </w:tcMar>
          </w:tcPr>
          <w:p>
            <w:pPr>
              <w:pStyle w:val="Para 002"/>
            </w:pPr>
            <w:r>
              <w:rPr>
                <w:rStyle w:val="Text0"/>
              </w:rPr>
              <w:t>clear_cache()</w:t>
              <w:br w:clear="none"/>
            </w:r>
            <w:r>
              <w:t xml:space="preserve"> Clears the </w:t>
            </w:r>
            <w:r>
              <w:rPr>
                <w:rStyle w:val="Text0"/>
              </w:rPr>
              <w:t>filecmp</w:t>
            </w:r>
            <w:r>
              <w:t xml:space="preserve"> cache, which may be useful in quick file comparisons.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cmp</w:t>
            </w:r>
          </w:p>
        </w:tc>
        <w:tc>
          <w:tcPr>
            <w:tcW w:type="auto" w:w="0"/>
            <w:shd w:val="clear" w:color="auto" w:fill="EEF2F6"/>
            <w:tcMar>
              <w:left w:type="dxa" w:w="200"/>
              <w:top w:type="dxa" w:w="200"/>
              <w:right w:type="dxa" w:w="200"/>
              <w:bottom w:type="dxa" w:w="200"/>
            </w:tcMar>
          </w:tcPr>
          <w:p>
            <w:pPr>
              <w:pStyle w:val="Para 002"/>
            </w:pPr>
            <w:r>
              <w:rPr>
                <w:rStyle w:val="Text0"/>
              </w:rPr>
              <w:t>cmp(</w:t>
            </w:r>
            <w:r>
              <w:rPr>
                <w:rStyle w:val="Text3"/>
              </w:rPr>
              <w:t>f1</w:t>
            </w:r>
            <w:r>
              <w:rPr>
                <w:rStyle w:val="Text0"/>
              </w:rPr>
              <w:t>,</w:t>
            </w:r>
            <w:r>
              <w:t xml:space="preserve"> </w:t>
            </w:r>
            <w:r>
              <w:rPr>
                <w:rStyle w:val="Text3"/>
              </w:rPr>
              <w:t>f2</w:t>
            </w:r>
            <w:r>
              <w:rPr>
                <w:rStyle w:val="Text0"/>
              </w:rPr>
              <w:t>, shallow=</w:t>
            </w:r>
            <w:r>
              <w:rPr>
                <w:rStyle w:val="Text5"/>
              </w:rPr>
              <w:t>True</w:t>
            </w:r>
            <w:r>
              <w:rPr>
                <w:rStyle w:val="Text0"/>
              </w:rPr>
              <w:t>)</w:t>
              <w:br w:clear="none"/>
            </w:r>
            <w:r>
              <w:t xml:space="preserve"> Compares the files (or </w:t>
            </w:r>
            <w:r>
              <w:rPr>
                <w:rStyle w:val="Text0"/>
              </w:rPr>
              <w:t>pathlib.Path</w:t>
            </w:r>
            <w:r>
              <w:t xml:space="preserve">s) identified by path strings </w:t>
            </w:r>
            <w:r>
              <w:rPr>
                <w:rStyle w:val="Text3"/>
              </w:rPr>
              <w:t>f1</w:t>
            </w:r>
            <w:r>
              <w:t xml:space="preserve"> and </w:t>
            </w:r>
            <w:r>
              <w:rPr>
                <w:rStyle w:val="Text3"/>
              </w:rPr>
              <w:t>f2</w:t>
            </w:r>
            <w:r>
              <w:t xml:space="preserve">. If the files are deemed to be equal, </w:t>
            </w:r>
            <w:r>
              <w:rPr>
                <w:rStyle w:val="Text0"/>
              </w:rPr>
              <w:t>cmp</w:t>
            </w:r>
            <w:r>
              <w:t xml:space="preserve"> returns </w:t>
            </w:r>
            <w:r>
              <w:rPr>
                <w:rStyle w:val="Text5"/>
              </w:rPr>
              <w:t>True</w:t>
            </w:r>
            <w:r>
              <w:t xml:space="preserve">; otherwise, it returns </w:t>
            </w:r>
            <w:r>
              <w:rPr>
                <w:rStyle w:val="Text5"/>
              </w:rPr>
              <w:t>False</w:t>
            </w:r>
            <w:r>
              <w:t xml:space="preserve">. If </w:t>
            </w:r>
            <w:r>
              <w:rPr>
                <w:rStyle w:val="Text0"/>
              </w:rPr>
              <w:t>shallow</w:t>
            </w:r>
            <w:r>
              <w:t xml:space="preserve"> is </w:t>
            </w:r>
            <w:r>
              <w:rPr>
                <w:rStyle w:val="Text5"/>
              </w:rPr>
              <w:t>True</w:t>
            </w:r>
            <w:r>
              <w:t xml:space="preserve">, files are deemed to be equal if their </w:t>
            </w:r>
            <w:r>
              <w:rPr>
                <w:rStyle w:val="Text0"/>
              </w:rPr>
              <w:t>stat</w:t>
            </w:r>
            <w:r>
              <w:t xml:space="preserve"> tuples are equal. When </w:t>
            </w:r>
            <w:r>
              <w:rPr>
                <w:rStyle w:val="Text0"/>
              </w:rPr>
              <w:t>shallow</w:t>
            </w:r>
            <w:r>
              <w:t xml:space="preserve"> is </w:t>
            </w:r>
            <w:r>
              <w:rPr>
                <w:rStyle w:val="Text5"/>
              </w:rPr>
              <w:t>False</w:t>
            </w:r>
            <w:r>
              <w:t xml:space="preserve">, </w:t>
            </w:r>
            <w:r>
              <w:rPr>
                <w:rStyle w:val="Text0"/>
              </w:rPr>
              <w:t>cmp</w:t>
            </w:r>
            <w:r>
              <w:t xml:space="preserve"> reads and compares the contents of files whose </w:t>
            </w:r>
            <w:r>
              <w:rPr>
                <w:rStyle w:val="Text0"/>
              </w:rPr>
              <w:t>stat</w:t>
            </w:r>
            <w:r>
              <w:t xml:space="preserve"> tuples are equal.</w:t>
            </w:r>
          </w:p>
        </w:tc>
      </w:tr>
    </w:tbl>
    <w:tbl>
      <w:tblPr>
        <w:tblW w:type="auto" w:w="0"/>
      </w:tblPr>
      <w:tr>
        <w:tc>
          <w:tcPr>
            <w:tcW w:type="auto" w:w="0"/>
            <w:tcMar>
              <w:left w:type="dxa" w:w="200"/>
              <w:top w:type="dxa" w:w="200"/>
              <w:right w:type="dxa" w:w="200"/>
              <w:bottom w:type="dxa" w:w="200"/>
            </w:tcMar>
          </w:tcPr>
          <w:p>
            <w:pPr>
              <w:pStyle w:val="Para 001"/>
            </w:pPr>
            <w:r>
              <w:t>cmpfiles</w:t>
            </w:r>
          </w:p>
        </w:tc>
        <w:tc>
          <w:tcPr>
            <w:tcW w:type="auto" w:w="0"/>
            <w:tcMar>
              <w:left w:type="dxa" w:w="200"/>
              <w:top w:type="dxa" w:w="200"/>
              <w:right w:type="dxa" w:w="200"/>
              <w:bottom w:type="dxa" w:w="200"/>
            </w:tcMar>
          </w:tcPr>
          <w:p>
            <w:pPr>
              <w:pStyle w:val="Para 002"/>
            </w:pPr>
            <w:r>
              <w:rPr>
                <w:rStyle w:val="Text0"/>
              </w:rPr>
              <w:t>cmpfiles(</w:t>
            </w:r>
            <w:r>
              <w:rPr>
                <w:rStyle w:val="Text3"/>
              </w:rPr>
              <w:t>dir1</w:t>
            </w:r>
            <w:r>
              <w:rPr>
                <w:rStyle w:val="Text0"/>
              </w:rPr>
              <w:t>,</w:t>
            </w:r>
            <w:r>
              <w:t xml:space="preserve"> </w:t>
            </w:r>
            <w:r>
              <w:rPr>
                <w:rStyle w:val="Text3"/>
              </w:rPr>
              <w:t>dir2</w:t>
            </w:r>
            <w:r>
              <w:rPr>
                <w:rStyle w:val="Text0"/>
              </w:rPr>
              <w:t>,</w:t>
            </w:r>
            <w:r>
              <w:t xml:space="preserve"> </w:t>
            </w:r>
            <w:r>
              <w:rPr>
                <w:rStyle w:val="Text3"/>
              </w:rPr>
              <w:t>common</w:t>
            </w:r>
            <w:r>
              <w:rPr>
                <w:rStyle w:val="Text0"/>
              </w:rPr>
              <w:t>, shallow=</w:t>
            </w:r>
            <w:r>
              <w:rPr>
                <w:rStyle w:val="Text5"/>
              </w:rPr>
              <w:t>True</w:t>
            </w:r>
            <w:r>
              <w:rPr>
                <w:rStyle w:val="Text0"/>
              </w:rPr>
              <w:t>)</w:t>
              <w:br w:clear="none"/>
            </w:r>
            <w:r>
              <w:t xml:space="preserve"> Loops on the sequence </w:t>
            </w:r>
            <w:r>
              <w:rPr>
                <w:rStyle w:val="Text3"/>
              </w:rPr>
              <w:t>common</w:t>
            </w:r>
            <w:r>
              <w:t xml:space="preserve">. Each item of </w:t>
            </w:r>
            <w:r>
              <w:rPr>
                <w:rStyle w:val="Text3"/>
              </w:rPr>
              <w:t>common</w:t>
            </w:r>
            <w:r>
              <w:t xml:space="preserve"> is a string that names a file present in both directories </w:t>
            </w:r>
            <w:r>
              <w:rPr>
                <w:rStyle w:val="Text3"/>
              </w:rPr>
              <w:t>dir1</w:t>
            </w:r>
            <w:r>
              <w:t xml:space="preserve"> and </w:t>
            </w:r>
            <w:r>
              <w:rPr>
                <w:rStyle w:val="Text3"/>
              </w:rPr>
              <w:t>dir2</w:t>
            </w:r>
            <w:r>
              <w:t xml:space="preserve">. </w:t>
            </w:r>
            <w:r>
              <w:rPr>
                <w:rStyle w:val="Text0"/>
              </w:rPr>
              <w:t>cmpfiles</w:t>
            </w:r>
            <w:r>
              <w:t xml:space="preserve"> returns a tuple whose items are three lists of strings: </w:t>
            </w:r>
            <w:r>
              <w:rPr>
                <w:rStyle w:val="Text0"/>
              </w:rPr>
              <w:t>(</w:t>
            </w:r>
            <w:r>
              <w:rPr>
                <w:rStyle w:val="Text3"/>
              </w:rPr>
              <w:t>equal</w:t>
            </w:r>
            <w:r>
              <w:rPr>
                <w:rStyle w:val="Text0"/>
              </w:rPr>
              <w:t>,</w:t>
            </w:r>
            <w:r>
              <w:t xml:space="preserve"> </w:t>
            </w:r>
            <w:r>
              <w:rPr>
                <w:rStyle w:val="Text3"/>
              </w:rPr>
              <w:t>diff</w:t>
            </w:r>
            <w:r>
              <w:rPr>
                <w:rStyle w:val="Text0"/>
              </w:rPr>
              <w:t>,</w:t>
            </w:r>
            <w:r>
              <w:t xml:space="preserve"> and </w:t>
            </w:r>
            <w:r>
              <w:rPr>
                <w:rStyle w:val="Text3"/>
              </w:rPr>
              <w:t>errs</w:t>
            </w:r>
            <w:r>
              <w:rPr>
                <w:rStyle w:val="Text0"/>
              </w:rPr>
              <w:t>)</w:t>
            </w:r>
            <w:r>
              <w:t xml:space="preserve">. </w:t>
            </w:r>
            <w:r>
              <w:rPr>
                <w:rStyle w:val="Text3"/>
              </w:rPr>
              <w:t>equal</w:t>
            </w:r>
            <w:r>
              <w:t xml:space="preserve"> is the list of names of files that are equal in both directories, </w:t>
            </w:r>
            <w:r>
              <w:rPr>
                <w:rStyle w:val="Text3"/>
              </w:rPr>
              <w:t>diff</w:t>
            </w:r>
            <w:r>
              <w:t xml:space="preserve"> is the list of names of files that differ between directories, and </w:t>
            </w:r>
            <w:r>
              <w:rPr>
                <w:rStyle w:val="Text3"/>
              </w:rPr>
              <w:t>errs</w:t>
            </w:r>
            <w:r>
              <w:t xml:space="preserve"> is the list of names of files that it could not compare (because they do not exist in both directories, or there is no permission to read one or both of them). The argument </w:t>
            </w:r>
            <w:r>
              <w:rPr>
                <w:rStyle w:val="Text0"/>
              </w:rPr>
              <w:t>shallow</w:t>
            </w:r>
            <w:r>
              <w:t xml:space="preserve"> is the same as for </w:t>
            </w:r>
            <w:r>
              <w:rPr>
                <w:rStyle w:val="Text0"/>
              </w:rPr>
              <w:t>cmp</w:t>
            </w:r>
            <w:r>
              <w:t>.</w:t>
            </w:r>
          </w:p>
        </w:tc>
      </w:tr>
    </w:tbl>
    <w:p>
      <w:pPr>
        <w:pStyle w:val="Normal"/>
      </w:pPr>
      <w:r>
        <w:t xml:space="preserve">The </w:t>
      </w:r>
      <w:r>
        <w:rPr>
          <w:rStyle w:val="Text0"/>
        </w:rPr>
        <w:t>filecmp</w:t>
      </w:r>
      <w:r>
        <w:t xml:space="preserve"> module also supplies the class </w:t>
      </w:r>
      <w:r>
        <w:rPr>
          <w:rStyle w:val="Text0"/>
        </w:rPr>
        <w:t>dircmp</w:t>
      </w:r>
      <w:r>
        <w:t>. The constructor for this class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dircmp</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dircmp(</w:t>
            </w:r>
            <w:r>
              <w:rPr>
                <w:rStyle w:val="Text3"/>
              </w:rPr>
              <w:t>dir1</w:t>
            </w:r>
            <w:r>
              <w:rPr>
                <w:rStyle w:val="Text0"/>
              </w:rPr>
              <w:t>,</w:t>
            </w:r>
            <w:r>
              <w:t xml:space="preserve"> </w:t>
            </w:r>
            <w:r>
              <w:rPr>
                <w:rStyle w:val="Text3"/>
              </w:rPr>
              <w:t>dir2</w:t>
            </w:r>
            <w:r>
              <w:rPr>
                <w:rStyle w:val="Text0"/>
              </w:rPr>
              <w:t>, ignore=</w:t>
            </w:r>
            <w:r>
              <w:rPr>
                <w:rStyle w:val="Text5"/>
              </w:rPr>
              <w:t>None</w:t>
            </w:r>
            <w:r>
              <w:rPr>
                <w:rStyle w:val="Text0"/>
              </w:rPr>
              <w:t>, hide=</w:t>
            </w:r>
            <w:r>
              <w:rPr>
                <w:rStyle w:val="Text5"/>
              </w:rPr>
              <w:t>None</w:t>
            </w:r>
            <w:r>
              <w:rPr>
                <w:rStyle w:val="Text0"/>
              </w:rPr>
              <w:t>)</w:t>
              <w:br w:clear="none"/>
            </w:r>
            <w:r>
              <w:t xml:space="preserve"> Creates a new directory-comparison instance object comparing directories </w:t>
            </w:r>
            <w:r>
              <w:rPr>
                <w:rStyle w:val="Text3"/>
              </w:rPr>
              <w:t>dir1</w:t>
            </w:r>
            <w:r>
              <w:t xml:space="preserve"> and </w:t>
            </w:r>
            <w:r>
              <w:rPr>
                <w:rStyle w:val="Text3"/>
              </w:rPr>
              <w:t>dir2</w:t>
            </w:r>
            <w:r>
              <w:t xml:space="preserve">, ignoring names listed in </w:t>
            </w:r>
            <w:r>
              <w:rPr>
                <w:rStyle w:val="Text0"/>
              </w:rPr>
              <w:t>ignore</w:t>
            </w:r>
            <w:r>
              <w:t xml:space="preserve"> and hiding names listed in </w:t>
            </w:r>
            <w:r>
              <w:rPr>
                <w:rStyle w:val="Text0"/>
              </w:rPr>
              <w:t>hide</w:t>
            </w:r>
            <w:r>
              <w:t xml:space="preserve"> (defaulting to </w:t>
            </w:r>
            <w:r>
              <w:rPr>
                <w:rStyle w:val="Text0"/>
              </w:rPr>
              <w:t>'.'</w:t>
            </w:r>
            <w:r>
              <w:t xml:space="preserve"> and </w:t>
            </w:r>
            <w:r>
              <w:rPr>
                <w:rStyle w:val="Text0"/>
              </w:rPr>
              <w:t>'..'</w:t>
            </w:r>
            <w:r>
              <w:t xml:space="preserve"> when </w:t>
            </w:r>
            <w:r>
              <w:rPr>
                <w:rStyle w:val="Text0"/>
              </w:rPr>
              <w:t>hide=</w:t>
            </w:r>
            <w:r>
              <w:rPr>
                <w:rStyle w:val="Text5"/>
              </w:rPr>
              <w:t>None</w:t>
            </w:r>
            <w:r>
              <w:t xml:space="preserve">). The default value for </w:t>
            </w:r>
            <w:r>
              <w:rPr>
                <w:rStyle w:val="Text0"/>
              </w:rPr>
              <w:t>ignore</w:t>
            </w:r>
            <w:r>
              <w:t xml:space="preserve"> is supplied by the </w:t>
            </w:r>
            <w:r>
              <w:rPr>
                <w:rStyle w:val="Text0"/>
              </w:rPr>
              <w:t>DEFAULT_IGNORE</w:t>
            </w:r>
            <w:r>
              <w:t xml:space="preserve"> attribute of the </w:t>
            </w:r>
            <w:r>
              <w:rPr>
                <w:rStyle w:val="Text0"/>
              </w:rPr>
              <w:t>filecmp</w:t>
            </w:r>
            <w:r>
              <w:t xml:space="preserve"> module; at the time of this writing it is </w:t>
            </w:r>
            <w:r>
              <w:rPr>
                <w:rStyle w:val="Text0"/>
              </w:rPr>
              <w:t>['RCS', 'CVS',</w:t>
            </w:r>
            <w:r>
              <w:t xml:space="preserve"> </w:t>
            </w:r>
            <w:r>
              <w:rPr>
                <w:rStyle w:val="Text0"/>
              </w:rPr>
              <w:t>'tags',</w:t>
            </w:r>
            <w:r>
              <w:t xml:space="preserve"> </w:t>
            </w:r>
            <w:r>
              <w:rPr>
                <w:rStyle w:val="Text0"/>
              </w:rPr>
              <w:t>'.git',</w:t>
            </w:r>
            <w:r>
              <w:t xml:space="preserve"> </w:t>
            </w:r>
            <w:r>
              <w:rPr>
                <w:rStyle w:val="Text0"/>
              </w:rPr>
              <w:t>'.hg',</w:t>
            </w:r>
            <w:r>
              <w:t xml:space="preserve"> </w:t>
            </w:r>
            <w:r>
              <w:rPr>
                <w:rStyle w:val="Text0"/>
              </w:rPr>
              <w:t>'.bzr',</w:t>
            </w:r>
            <w:r>
              <w:t xml:space="preserve"> </w:t>
            </w:r>
            <w:r>
              <w:rPr>
                <w:rStyle w:val="Text0"/>
              </w:rPr>
              <w:t>'_darcs',</w:t>
            </w:r>
            <w:r>
              <w:t xml:space="preserve"> </w:t>
            </w:r>
            <w:r>
              <w:rPr>
                <w:rStyle w:val="Text0"/>
              </w:rPr>
              <w:t>'__pycache__']</w:t>
            </w:r>
            <w:r>
              <w:t xml:space="preserve">. Files in the directories are compared like with </w:t>
            </w:r>
            <w:r>
              <w:rPr>
                <w:rStyle w:val="Text0"/>
              </w:rPr>
              <w:t>filecmp.cmp</w:t>
            </w:r>
            <w:r>
              <w:t xml:space="preserve"> with </w:t>
            </w:r>
            <w:r>
              <w:rPr>
                <w:rStyle w:val="Text0"/>
              </w:rPr>
              <w:t>shallow=</w:t>
            </w:r>
            <w:r>
              <w:rPr>
                <w:rStyle w:val="Text5"/>
              </w:rPr>
              <w:t>True</w:t>
            </w:r>
            <w:r>
              <w:t>.</w:t>
            </w:r>
          </w:p>
        </w:tc>
      </w:tr>
    </w:tbl>
    <w:p>
      <w:pPr>
        <w:pStyle w:val="Normal"/>
      </w:pPr>
      <w:r>
        <w:t xml:space="preserve">A </w:t>
      </w:r>
      <w:r>
        <w:rPr>
          <w:rStyle w:val="Text0"/>
        </w:rPr>
        <w:t>dircmp</w:t>
      </w:r>
      <w:r>
        <w:t xml:space="preserve"> instance </w:t>
      </w:r>
      <w:r>
        <w:rPr>
          <w:rStyle w:val="Text3"/>
        </w:rPr>
        <w:t>d</w:t>
      </w:r>
      <w:r>
        <w:t xml:space="preserve"> supplies three methods, detailed in </w:t>
      </w:r>
      <w:hyperlink w:anchor="Table_11_26__Methods_supplied_by">
        <w:r>
          <w:rPr>
            <w:rStyle w:val="Text1"/>
          </w:rPr>
          <w:t>Table 11-26</w:t>
        </w:r>
      </w:hyperlink>
      <w:r>
        <w:t>.</w:t>
      </w:r>
    </w:p>
    <w:tbl>
      <w:tblPr>
        <w:tblW w:type="auto" w:w="0"/>
      </w:tblPr>
      <w:tr>
        <w:tc>
          <w:tcPr>
            <w:tcW w:type="auto" w:w="0"/>
            <w:tcMar>
              <w:left w:type="dxa" w:w="200"/>
              <w:top w:type="dxa" w:w="200"/>
              <w:right w:type="dxa" w:w="200"/>
              <w:bottom w:type="dxa" w:w="200"/>
            </w:tcMar>
          </w:tcPr>
          <w:p>
            <w:bookmarkStart w:id="2768" w:name="Table_11_26__Methods_supplied_by"/>
            <w:pPr>
              <w:pStyle w:val="Para 011"/>
            </w:pPr>
            <w:r>
              <w:rPr>
                <w:rStyle w:val="Text117"/>
              </w:rPr>
              <w:t/>
            </w:r>
            <w:r>
              <w:t xml:space="preserve">Table 11-26. </w:t>
              <w:t xml:space="preserve">Methods supplied by a </w:t>
            </w:r>
            <w:r>
              <w:rPr>
                <w:rStyle w:val="Text0"/>
              </w:rPr>
              <w:t>dircmp</w:t>
            </w:r>
            <w:r>
              <w:t xml:space="preserve"> instance </w:t>
            </w:r>
            <w:r>
              <w:rPr>
                <w:rStyle w:val="Text0"/>
              </w:rPr>
              <w:t>d</w:t>
            </w:r>
            <w:bookmarkEnd w:id="2768"/>
          </w:p>
          <w:p>
            <w:pPr>
              <w:pStyle w:val="Para 001"/>
            </w:pPr>
            <w:r>
              <w:t>report</w:t>
            </w:r>
          </w:p>
        </w:tc>
        <w:tc>
          <w:tcPr>
            <w:tcW w:type="auto" w:w="0"/>
            <w:tcMar>
              <w:left w:type="dxa" w:w="200"/>
              <w:top w:type="dxa" w:w="200"/>
              <w:right w:type="dxa" w:w="200"/>
              <w:bottom w:type="dxa" w:w="200"/>
            </w:tcMar>
          </w:tcPr>
          <w:p>
            <w:pPr>
              <w:pStyle w:val="Para 002"/>
            </w:pPr>
            <w:r>
              <w:rPr>
                <w:rStyle w:val="Text0"/>
              </w:rPr>
              <w:t>report_full_closure()</w:t>
              <w:br w:clear="none"/>
            </w:r>
            <w:r>
              <w:t xml:space="preserve"> Outputs to </w:t>
            </w:r>
            <w:r>
              <w:rPr>
                <w:rStyle w:val="Text0"/>
              </w:rPr>
              <w:t>sys.stdout</w:t>
            </w:r>
            <w:r>
              <w:t xml:space="preserve"> a comparison between </w:t>
            </w:r>
            <w:r>
              <w:rPr>
                <w:rStyle w:val="Text3"/>
              </w:rPr>
              <w:t>dir1</w:t>
            </w:r>
            <w:r>
              <w:t xml:space="preserve"> and </w:t>
            </w:r>
            <w:r>
              <w:rPr>
                <w:rStyle w:val="Text3"/>
              </w:rPr>
              <w:t>dir2</w:t>
            </w:r>
            <w:r>
              <w:t xml:space="preserve"> and all their common subdirectories, recursively</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report_fu⁠l⁠l⁠_​c⁠l⁠o⁠sure</w:t>
            </w:r>
          </w:p>
        </w:tc>
        <w:tc>
          <w:tcPr>
            <w:tcW w:type="auto" w:w="0"/>
            <w:shd w:val="clear" w:color="auto" w:fill="EEF2F6"/>
            <w:tcMar>
              <w:left w:type="dxa" w:w="200"/>
              <w:top w:type="dxa" w:w="200"/>
              <w:right w:type="dxa" w:w="200"/>
              <w:bottom w:type="dxa" w:w="200"/>
            </w:tcMar>
          </w:tcPr>
          <w:p>
            <w:pPr>
              <w:pStyle w:val="Para 002"/>
            </w:pPr>
            <w:r>
              <w:rPr>
                <w:rStyle w:val="Text0"/>
              </w:rPr>
              <w:t>report_full_closure()</w:t>
              <w:br w:clear="none"/>
            </w:r>
            <w:r>
              <w:t xml:space="preserve"> Outputs to </w:t>
            </w:r>
            <w:r>
              <w:rPr>
                <w:rStyle w:val="Text0"/>
              </w:rPr>
              <w:t>sys.stdout</w:t>
            </w:r>
            <w:r>
              <w:t xml:space="preserve"> a comparison between </w:t>
            </w:r>
            <w:r>
              <w:rPr>
                <w:rStyle w:val="Text3"/>
              </w:rPr>
              <w:t>dir1</w:t>
            </w:r>
            <w:r>
              <w:t xml:space="preserve"> and </w:t>
            </w:r>
            <w:r>
              <w:rPr>
                <w:rStyle w:val="Text3"/>
              </w:rPr>
              <w:t>dir2</w:t>
            </w:r>
            <w:r>
              <w:t xml:space="preserve"> and all their common subdirectories, recursively</w:t>
            </w:r>
          </w:p>
        </w:tc>
      </w:tr>
    </w:tbl>
    <w:tbl>
      <w:tblPr>
        <w:tblW w:type="auto" w:w="0"/>
      </w:tblPr>
      <w:tr>
        <w:tc>
          <w:tcPr>
            <w:tcW w:type="auto" w:w="0"/>
            <w:tcMar>
              <w:left w:type="dxa" w:w="200"/>
              <w:top w:type="dxa" w:w="200"/>
              <w:right w:type="dxa" w:w="200"/>
              <w:bottom w:type="dxa" w:w="200"/>
            </w:tcMar>
          </w:tcPr>
          <w:p>
            <w:pPr>
              <w:pStyle w:val="Para 001"/>
            </w:pPr>
            <w:r>
              <w:t>report_parti⁠a⁠l⁠_​c⁠l⁠o⁠sure</w:t>
            </w:r>
          </w:p>
        </w:tc>
        <w:tc>
          <w:tcPr>
            <w:tcW w:type="auto" w:w="0"/>
            <w:tcMar>
              <w:left w:type="dxa" w:w="200"/>
              <w:top w:type="dxa" w:w="200"/>
              <w:right w:type="dxa" w:w="200"/>
              <w:bottom w:type="dxa" w:w="200"/>
            </w:tcMar>
          </w:tcPr>
          <w:p>
            <w:pPr>
              <w:pStyle w:val="Para 002"/>
            </w:pPr>
            <w:r>
              <w:rPr>
                <w:rStyle w:val="Text0"/>
              </w:rPr>
              <w:t>report_partial_closure()</w:t>
              <w:br w:clear="none"/>
            </w:r>
            <w:r>
              <w:t xml:space="preserve"> Outputs to </w:t>
            </w:r>
            <w:r>
              <w:rPr>
                <w:rStyle w:val="Text0"/>
              </w:rPr>
              <w:t>sys.stdout</w:t>
            </w:r>
            <w:r>
              <w:t xml:space="preserve"> a comparison between </w:t>
            </w:r>
            <w:r>
              <w:rPr>
                <w:rStyle w:val="Text3"/>
              </w:rPr>
              <w:t>dir1</w:t>
            </w:r>
            <w:r>
              <w:t xml:space="preserve"> and </w:t>
            </w:r>
            <w:r>
              <w:rPr>
                <w:rStyle w:val="Text3"/>
              </w:rPr>
              <w:t>dir2</w:t>
            </w:r>
            <w:r>
              <w:t xml:space="preserve"> and their common immediate subdirectories</w:t>
            </w:r>
          </w:p>
        </w:tc>
      </w:tr>
    </w:tbl>
    <w:p>
      <w:pPr>
        <w:pStyle w:val="Normal"/>
      </w:pPr>
      <w:r>
        <w:t xml:space="preserve">In addition, </w:t>
      </w:r>
      <w:r>
        <w:rPr>
          <w:rStyle w:val="Text3"/>
        </w:rPr>
        <w:t>d</w:t>
      </w:r>
      <w:r>
        <w:t xml:space="preserve"> supplies several attributes, covered in </w:t>
      </w:r>
      <w:hyperlink w:anchor="Table_11_27__Attributes_supplied">
        <w:r>
          <w:rPr>
            <w:rStyle w:val="Text1"/>
          </w:rPr>
          <w:t>Table 11-27</w:t>
        </w:r>
      </w:hyperlink>
      <w:r>
        <w:t xml:space="preserve">. These attributes are computed “just in time” (i.e., only if and when needed, thanks to a </w:t>
      </w:r>
      <w:r>
        <w:rPr>
          <w:rStyle w:val="Text0"/>
        </w:rPr>
        <w:t>__getattr__</w:t>
      </w:r>
      <w:r>
        <w:t xml:space="preserve"> special method) so that using a </w:t>
      </w:r>
      <w:r>
        <w:rPr>
          <w:rStyle w:val="Text0"/>
        </w:rPr>
        <w:t>dircmp</w:t>
      </w:r>
      <w:r>
        <w:t xml:space="preserve"> instance incurs no unnecessary overhead.</w:t>
      </w:r>
    </w:p>
    <w:tbl>
      <w:tblPr>
        <w:tblW w:type="auto" w:w="0"/>
      </w:tblPr>
      <w:tr>
        <w:tc>
          <w:tcPr>
            <w:tcW w:type="auto" w:w="0"/>
            <w:tcMar>
              <w:left w:type="dxa" w:w="200"/>
              <w:top w:type="dxa" w:w="200"/>
              <w:right w:type="dxa" w:w="200"/>
              <w:bottom w:type="dxa" w:w="200"/>
            </w:tcMar>
          </w:tcPr>
          <w:p>
            <w:bookmarkStart w:id="2769" w:name="Table_11_27__Attributes_supplied"/>
            <w:pPr>
              <w:pStyle w:val="Para 011"/>
            </w:pPr>
            <w:r>
              <w:rPr>
                <w:rStyle w:val="Text117"/>
              </w:rPr>
              <w:t/>
            </w:r>
            <w:r>
              <w:t xml:space="preserve">Table 11-27. </w:t>
              <w:t xml:space="preserve">Attributes supplied by a </w:t>
            </w:r>
            <w:r>
              <w:rPr>
                <w:rStyle w:val="Text0"/>
              </w:rPr>
              <w:t>dircmp</w:t>
            </w:r>
            <w:r>
              <w:t xml:space="preserve"> instance </w:t>
            </w:r>
            <w:r>
              <w:rPr>
                <w:rStyle w:val="Text0"/>
              </w:rPr>
              <w:t>d</w:t>
            </w:r>
            <w:bookmarkEnd w:id="2769"/>
          </w:p>
          <w:p>
            <w:pPr>
              <w:pStyle w:val="Para 001"/>
            </w:pPr>
            <w:r>
              <w:t>common</w:t>
            </w:r>
          </w:p>
        </w:tc>
        <w:tc>
          <w:tcPr>
            <w:tcW w:type="auto" w:w="0"/>
            <w:tcMar>
              <w:left w:type="dxa" w:w="200"/>
              <w:top w:type="dxa" w:w="200"/>
              <w:right w:type="dxa" w:w="200"/>
              <w:bottom w:type="dxa" w:w="200"/>
            </w:tcMar>
          </w:tcPr>
          <w:p>
            <w:pPr>
              <w:pStyle w:val="Para 002"/>
            </w:pPr>
            <w:r>
              <w:t xml:space="preserve">Files and subdirectories that are in both </w:t>
            </w:r>
            <w:r>
              <w:rPr>
                <w:rStyle w:val="Text3"/>
              </w:rPr>
              <w:t>dir1</w:t>
            </w:r>
            <w:r>
              <w:t xml:space="preserve"> and </w:t>
            </w:r>
            <w:r>
              <w:rPr>
                <w:rStyle w:val="Text3"/>
              </w:rPr>
              <w:t>dir2</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common_dirs</w:t>
            </w:r>
          </w:p>
        </w:tc>
        <w:tc>
          <w:tcPr>
            <w:tcW w:type="auto" w:w="0"/>
            <w:shd w:val="clear" w:color="auto" w:fill="EEF2F6"/>
            <w:tcMar>
              <w:left w:type="dxa" w:w="200"/>
              <w:top w:type="dxa" w:w="200"/>
              <w:right w:type="dxa" w:w="200"/>
              <w:bottom w:type="dxa" w:w="200"/>
            </w:tcMar>
          </w:tcPr>
          <w:p>
            <w:pPr>
              <w:pStyle w:val="Para 002"/>
            </w:pPr>
            <w:r>
              <w:t xml:space="preserve">Subdirectories that are in both </w:t>
            </w:r>
            <w:r>
              <w:rPr>
                <w:rStyle w:val="Text3"/>
              </w:rPr>
              <w:t>dir1</w:t>
            </w:r>
            <w:r>
              <w:t xml:space="preserve"> and </w:t>
            </w:r>
            <w:r>
              <w:rPr>
                <w:rStyle w:val="Text3"/>
              </w:rPr>
              <w:t>dir2</w:t>
            </w:r>
          </w:p>
        </w:tc>
      </w:tr>
    </w:tbl>
    <w:tbl>
      <w:tblPr>
        <w:tblW w:type="auto" w:w="0"/>
      </w:tblPr>
      <w:tr>
        <w:tc>
          <w:tcPr>
            <w:tcW w:type="auto" w:w="0"/>
            <w:tcMar>
              <w:left w:type="dxa" w:w="200"/>
              <w:top w:type="dxa" w:w="200"/>
              <w:right w:type="dxa" w:w="200"/>
              <w:bottom w:type="dxa" w:w="200"/>
            </w:tcMar>
          </w:tcPr>
          <w:p>
            <w:pPr>
              <w:pStyle w:val="Para 001"/>
            </w:pPr>
            <w:r>
              <w:t>common_files</w:t>
            </w:r>
          </w:p>
        </w:tc>
        <w:tc>
          <w:tcPr>
            <w:tcW w:type="auto" w:w="0"/>
            <w:tcMar>
              <w:left w:type="dxa" w:w="200"/>
              <w:top w:type="dxa" w:w="200"/>
              <w:right w:type="dxa" w:w="200"/>
              <w:bottom w:type="dxa" w:w="200"/>
            </w:tcMar>
          </w:tcPr>
          <w:p>
            <w:pPr>
              <w:pStyle w:val="Para 002"/>
            </w:pPr>
            <w:r>
              <w:t xml:space="preserve">Files that are in both </w:t>
            </w:r>
            <w:r>
              <w:rPr>
                <w:rStyle w:val="Text3"/>
              </w:rPr>
              <w:t>dir1</w:t>
            </w:r>
            <w:r>
              <w:t xml:space="preserve"> and </w:t>
            </w:r>
            <w:r>
              <w:rPr>
                <w:rStyle w:val="Text3"/>
              </w:rPr>
              <w:t>dir2</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common_funny</w:t>
            </w:r>
          </w:p>
        </w:tc>
        <w:tc>
          <w:tcPr>
            <w:tcW w:type="auto" w:w="0"/>
            <w:shd w:val="clear" w:color="auto" w:fill="EEF2F6"/>
            <w:tcMar>
              <w:left w:type="dxa" w:w="200"/>
              <w:top w:type="dxa" w:w="200"/>
              <w:right w:type="dxa" w:w="200"/>
              <w:bottom w:type="dxa" w:w="200"/>
            </w:tcMar>
          </w:tcPr>
          <w:p>
            <w:pPr>
              <w:pStyle w:val="Para 002"/>
            </w:pPr>
            <w:r>
              <w:t xml:space="preserve">Names that are in both </w:t>
            </w:r>
            <w:r>
              <w:rPr>
                <w:rStyle w:val="Text3"/>
              </w:rPr>
              <w:t>dir1</w:t>
            </w:r>
            <w:r>
              <w:t xml:space="preserve"> and </w:t>
            </w:r>
            <w:r>
              <w:rPr>
                <w:rStyle w:val="Text3"/>
              </w:rPr>
              <w:t>dir2</w:t>
            </w:r>
            <w:r>
              <w:t xml:space="preserve"> for which </w:t>
            </w:r>
            <w:r>
              <w:rPr>
                <w:rStyle w:val="Text0"/>
              </w:rPr>
              <w:t>os.stat</w:t>
            </w:r>
            <w:r>
              <w:t xml:space="preserve"> reports an error or returns different kinds for the versions in the two directories</w:t>
            </w:r>
          </w:p>
        </w:tc>
      </w:tr>
    </w:tbl>
    <w:tbl>
      <w:tblPr>
        <w:tblW w:type="auto" w:w="0"/>
      </w:tblPr>
      <w:tr>
        <w:tc>
          <w:tcPr>
            <w:tcW w:type="auto" w:w="0"/>
            <w:tcMar>
              <w:left w:type="dxa" w:w="200"/>
              <w:top w:type="dxa" w:w="200"/>
              <w:right w:type="dxa" w:w="200"/>
              <w:bottom w:type="dxa" w:w="200"/>
            </w:tcMar>
          </w:tcPr>
          <w:p>
            <w:pPr>
              <w:pStyle w:val="Para 001"/>
            </w:pPr>
            <w:r>
              <w:t>diff_files</w:t>
            </w:r>
          </w:p>
        </w:tc>
        <w:tc>
          <w:tcPr>
            <w:tcW w:type="auto" w:w="0"/>
            <w:tcMar>
              <w:left w:type="dxa" w:w="200"/>
              <w:top w:type="dxa" w:w="200"/>
              <w:right w:type="dxa" w:w="200"/>
              <w:bottom w:type="dxa" w:w="200"/>
            </w:tcMar>
          </w:tcPr>
          <w:p>
            <w:pPr>
              <w:pStyle w:val="Para 002"/>
            </w:pPr>
            <w:r>
              <w:t xml:space="preserve">Files that are in both </w:t>
            </w:r>
            <w:r>
              <w:rPr>
                <w:rStyle w:val="Text3"/>
              </w:rPr>
              <w:t>dir1</w:t>
            </w:r>
            <w:r>
              <w:t xml:space="preserve"> and </w:t>
            </w:r>
            <w:r>
              <w:rPr>
                <w:rStyle w:val="Text3"/>
              </w:rPr>
              <w:t>dir2</w:t>
            </w:r>
            <w:r>
              <w:t xml:space="preserve"> but with different contents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funny_files</w:t>
            </w:r>
          </w:p>
        </w:tc>
        <w:tc>
          <w:tcPr>
            <w:tcW w:type="auto" w:w="0"/>
            <w:shd w:val="clear" w:color="auto" w:fill="EEF2F6"/>
            <w:tcMar>
              <w:left w:type="dxa" w:w="200"/>
              <w:top w:type="dxa" w:w="200"/>
              <w:right w:type="dxa" w:w="200"/>
              <w:bottom w:type="dxa" w:w="200"/>
            </w:tcMar>
          </w:tcPr>
          <w:p>
            <w:pPr>
              <w:pStyle w:val="Para 002"/>
            </w:pPr>
            <w:r>
              <w:t xml:space="preserve">Files that are in both </w:t>
            </w:r>
            <w:r>
              <w:rPr>
                <w:rStyle w:val="Text3"/>
              </w:rPr>
              <w:t>dir1</w:t>
            </w:r>
            <w:r>
              <w:t xml:space="preserve"> and </w:t>
            </w:r>
            <w:r>
              <w:rPr>
                <w:rStyle w:val="Text3"/>
              </w:rPr>
              <w:t>dir2</w:t>
            </w:r>
            <w:r>
              <w:t xml:space="preserve"> but could not be compared</w:t>
            </w:r>
          </w:p>
        </w:tc>
      </w:tr>
    </w:tbl>
    <w:tbl>
      <w:tblPr>
        <w:tblW w:type="auto" w:w="0"/>
      </w:tblPr>
      <w:tr>
        <w:tc>
          <w:tcPr>
            <w:tcW w:type="auto" w:w="0"/>
            <w:tcMar>
              <w:left w:type="dxa" w:w="200"/>
              <w:top w:type="dxa" w:w="200"/>
              <w:right w:type="dxa" w:w="200"/>
              <w:bottom w:type="dxa" w:w="200"/>
            </w:tcMar>
          </w:tcPr>
          <w:p>
            <w:pPr>
              <w:pStyle w:val="Para 001"/>
            </w:pPr>
            <w:r>
              <w:t>left_list</w:t>
            </w:r>
          </w:p>
        </w:tc>
        <w:tc>
          <w:tcPr>
            <w:tcW w:type="auto" w:w="0"/>
            <w:tcMar>
              <w:left w:type="dxa" w:w="200"/>
              <w:top w:type="dxa" w:w="200"/>
              <w:right w:type="dxa" w:w="200"/>
              <w:bottom w:type="dxa" w:w="200"/>
            </w:tcMar>
          </w:tcPr>
          <w:p>
            <w:pPr>
              <w:pStyle w:val="Para 002"/>
            </w:pPr>
            <w:r>
              <w:t xml:space="preserve">Files and subdirectories that are in </w:t>
            </w:r>
            <w:r>
              <w:rPr>
                <w:rStyle w:val="Text3"/>
              </w:rPr>
              <w:t>dir1</w:t>
            </w:r>
          </w:p>
        </w:tc>
      </w:tr>
    </w:tbl>
    <w:tbl>
      <w:tblPr>
        <w:tblW w:type="auto" w:w="0"/>
      </w:tblPr>
      <w:tr>
        <w:tc>
          <w:tcPr>
            <w:tcW w:type="auto" w:w="0"/>
            <w:shd w:val="clear" w:color="auto" w:fill="EEF2F6"/>
            <w:tcMar>
              <w:left w:type="dxa" w:w="200"/>
              <w:top w:type="dxa" w:w="200"/>
              <w:right w:type="dxa" w:w="200"/>
              <w:bottom w:type="dxa" w:w="200"/>
            </w:tcMar>
          </w:tcPr>
          <w:p>
            <w:pPr>
              <w:pStyle w:val="Para 001"/>
            </w:pPr>
            <w:r>
              <w:t>left_only</w:t>
            </w:r>
          </w:p>
        </w:tc>
        <w:tc>
          <w:tcPr>
            <w:tcW w:type="auto" w:w="0"/>
            <w:shd w:val="clear" w:color="auto" w:fill="EEF2F6"/>
            <w:tcMar>
              <w:left w:type="dxa" w:w="200"/>
              <w:top w:type="dxa" w:w="200"/>
              <w:right w:type="dxa" w:w="200"/>
              <w:bottom w:type="dxa" w:w="200"/>
            </w:tcMar>
          </w:tcPr>
          <w:p>
            <w:pPr>
              <w:pStyle w:val="Para 002"/>
            </w:pPr>
            <w:r>
              <w:t xml:space="preserve">Files and subdirectories that are in </w:t>
            </w:r>
            <w:r>
              <w:rPr>
                <w:rStyle w:val="Text3"/>
              </w:rPr>
              <w:t>dir1</w:t>
            </w:r>
            <w:r>
              <w:t xml:space="preserve"> and not in </w:t>
            </w:r>
            <w:r>
              <w:rPr>
                <w:rStyle w:val="Text3"/>
              </w:rPr>
              <w:t>dir2</w:t>
            </w:r>
          </w:p>
        </w:tc>
      </w:tr>
    </w:tbl>
    <w:tbl>
      <w:tblPr>
        <w:tblW w:type="auto" w:w="0"/>
      </w:tblPr>
      <w:tr>
        <w:tc>
          <w:tcPr>
            <w:tcW w:type="auto" w:w="0"/>
            <w:tcMar>
              <w:left w:type="dxa" w:w="200"/>
              <w:top w:type="dxa" w:w="200"/>
              <w:right w:type="dxa" w:w="200"/>
              <w:bottom w:type="dxa" w:w="200"/>
            </w:tcMar>
          </w:tcPr>
          <w:p>
            <w:pPr>
              <w:pStyle w:val="Para 001"/>
            </w:pPr>
            <w:r>
              <w:t>right_list</w:t>
            </w:r>
          </w:p>
        </w:tc>
        <w:tc>
          <w:tcPr>
            <w:tcW w:type="auto" w:w="0"/>
            <w:tcMar>
              <w:left w:type="dxa" w:w="200"/>
              <w:top w:type="dxa" w:w="200"/>
              <w:right w:type="dxa" w:w="200"/>
              <w:bottom w:type="dxa" w:w="200"/>
            </w:tcMar>
          </w:tcPr>
          <w:p>
            <w:pPr>
              <w:pStyle w:val="Para 002"/>
            </w:pPr>
            <w:r>
              <w:t xml:space="preserve">Files and subdirectories that are in </w:t>
            </w:r>
            <w:r>
              <w:rPr>
                <w:rStyle w:val="Text3"/>
              </w:rPr>
              <w:t>dir2</w:t>
            </w:r>
          </w:p>
        </w:tc>
      </w:tr>
    </w:tbl>
    <w:tbl>
      <w:tblPr>
        <w:tblW w:type="auto" w:w="0"/>
      </w:tblPr>
      <w:tr>
        <w:tc>
          <w:tcPr>
            <w:tcW w:type="auto" w:w="0"/>
            <w:shd w:val="clear" w:color="auto" w:fill="EEF2F6"/>
            <w:tcMar>
              <w:left w:type="dxa" w:w="200"/>
              <w:top w:type="dxa" w:w="200"/>
              <w:right w:type="dxa" w:w="200"/>
              <w:bottom w:type="dxa" w:w="200"/>
            </w:tcMar>
          </w:tcPr>
          <w:p>
            <w:pPr>
              <w:pStyle w:val="Para 001"/>
            </w:pPr>
            <w:r>
              <w:t>right_only</w:t>
            </w:r>
          </w:p>
        </w:tc>
        <w:tc>
          <w:tcPr>
            <w:tcW w:type="auto" w:w="0"/>
            <w:shd w:val="clear" w:color="auto" w:fill="EEF2F6"/>
            <w:tcMar>
              <w:left w:type="dxa" w:w="200"/>
              <w:top w:type="dxa" w:w="200"/>
              <w:right w:type="dxa" w:w="200"/>
              <w:bottom w:type="dxa" w:w="200"/>
            </w:tcMar>
          </w:tcPr>
          <w:p>
            <w:pPr>
              <w:pStyle w:val="Para 002"/>
            </w:pPr>
            <w:r>
              <w:t xml:space="preserve">Files and subdirectories that are in </w:t>
            </w:r>
            <w:r>
              <w:rPr>
                <w:rStyle w:val="Text3"/>
              </w:rPr>
              <w:t>dir2</w:t>
            </w:r>
            <w:r>
              <w:t xml:space="preserve"> and not in </w:t>
            </w:r>
            <w:r>
              <w:rPr>
                <w:rStyle w:val="Text3"/>
              </w:rPr>
              <w:t>dir1</w:t>
            </w:r>
          </w:p>
        </w:tc>
      </w:tr>
    </w:tbl>
    <w:tbl>
      <w:tblPr>
        <w:tblW w:type="auto" w:w="0"/>
      </w:tblPr>
      <w:tr>
        <w:tc>
          <w:tcPr>
            <w:tcW w:type="auto" w:w="0"/>
            <w:tcMar>
              <w:left w:type="dxa" w:w="200"/>
              <w:top w:type="dxa" w:w="200"/>
              <w:right w:type="dxa" w:w="200"/>
              <w:bottom w:type="dxa" w:w="200"/>
            </w:tcMar>
          </w:tcPr>
          <w:p>
            <w:pPr>
              <w:pStyle w:val="Para 001"/>
            </w:pPr>
            <w:r>
              <w:t>same_files</w:t>
            </w:r>
          </w:p>
        </w:tc>
        <w:tc>
          <w:tcPr>
            <w:tcW w:type="auto" w:w="0"/>
            <w:tcMar>
              <w:left w:type="dxa" w:w="200"/>
              <w:top w:type="dxa" w:w="200"/>
              <w:right w:type="dxa" w:w="200"/>
              <w:bottom w:type="dxa" w:w="200"/>
            </w:tcMar>
          </w:tcPr>
          <w:p>
            <w:pPr>
              <w:pStyle w:val="Para 002"/>
            </w:pPr>
            <w:r>
              <w:t xml:space="preserve">Files that are in both </w:t>
            </w:r>
            <w:r>
              <w:rPr>
                <w:rStyle w:val="Text3"/>
              </w:rPr>
              <w:t>dir1</w:t>
            </w:r>
            <w:r>
              <w:t xml:space="preserve"> and </w:t>
            </w:r>
            <w:r>
              <w:rPr>
                <w:rStyle w:val="Text3"/>
              </w:rPr>
              <w:t>dir2</w:t>
            </w:r>
            <w:r>
              <w:t xml:space="preserve"> with the same contents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subdirs</w:t>
            </w:r>
          </w:p>
        </w:tc>
        <w:tc>
          <w:tcPr>
            <w:tcW w:type="auto" w:w="0"/>
            <w:shd w:val="clear" w:color="auto" w:fill="EEF2F6"/>
            <w:tcMar>
              <w:left w:type="dxa" w:w="200"/>
              <w:top w:type="dxa" w:w="200"/>
              <w:right w:type="dxa" w:w="200"/>
              <w:bottom w:type="dxa" w:w="200"/>
            </w:tcMar>
          </w:tcPr>
          <w:p>
            <w:pPr>
              <w:pStyle w:val="Para 002"/>
            </w:pPr>
            <w:r>
              <w:t xml:space="preserve">A dictionary whose keys are the strings in </w:t>
            </w:r>
            <w:r>
              <w:rPr>
                <w:rStyle w:val="Text0"/>
              </w:rPr>
              <w:t>common_dirs</w:t>
            </w:r>
            <w:r>
              <w:t xml:space="preserve">; the corresponding values are instances of </w:t>
            </w:r>
            <w:r>
              <w:rPr>
                <w:rStyle w:val="Text0"/>
              </w:rPr>
              <w:t>dircmp</w:t>
            </w:r>
            <w:r>
              <w:t xml:space="preserve"> (or </w:t>
            </w:r>
            <w:r>
              <w:rPr>
                <w:rStyle w:val="Text34"/>
              </w:rPr>
              <w:t>3.10+</w:t>
            </w:r>
            <w:r>
              <w:t xml:space="preserve"> of the same </w:t>
            </w:r>
            <w:r>
              <w:rPr>
                <w:rStyle w:val="Text0"/>
              </w:rPr>
              <w:t>dircmp</w:t>
            </w:r>
            <w:r>
              <w:t xml:space="preserve"> subclass as </w:t>
            </w:r>
            <w:r>
              <w:rPr>
                <w:rStyle w:val="Text3"/>
              </w:rPr>
              <w:t>d</w:t>
            </w:r>
            <w:r>
              <w:t>) for each subdirectory</w:t>
            </w:r>
            <w:r>
              <w:rPr>
                <w:rStyle w:val="Text111"/>
              </w:rPr>
              <w:bookmarkStart w:id="2770" w:name="idm45965202372112"/>
              <w:t/>
              <w:bookmarkEnd w:id="2770"/>
              <w:bookmarkStart w:id="2771" w:name="idm45965202370736"/>
              <w:t/>
              <w:bookmarkEnd w:id="2771"/>
              <w:bookmarkStart w:id="2772" w:name="idm45965202369360"/>
              <w:t/>
              <w:bookmarkEnd w:id="2772"/>
            </w:r>
          </w:p>
        </w:tc>
      </w:tr>
    </w:tbl>
    <w:p>
      <w:bookmarkStart w:id="2773" w:name="The_fnmatch_Module__The_fnmatch"/>
      <w:pPr>
        <w:keepNext/>
        <w:pStyle w:val="Heading 1"/>
      </w:pPr>
      <w:r>
        <w:t>The fnmatch Module</w:t>
      </w:r>
      <w:bookmarkEnd w:id="2773"/>
    </w:p>
    <w:p>
      <w:pPr>
        <w:pStyle w:val="Normal"/>
      </w:pPr>
      <w:r>
        <w:t>The</w:t>
      </w:r>
      <w:r>
        <w:rPr>
          <w:rStyle w:val="Text111"/>
        </w:rPr>
        <w:bookmarkStart w:id="2774" w:name="idm45965202366016"/>
        <w:t/>
        <w:bookmarkEnd w:id="2774"/>
        <w:bookmarkStart w:id="2775" w:name="idm45965202364672"/>
        <w:t/>
        <w:bookmarkEnd w:id="2775"/>
        <w:bookmarkStart w:id="2776" w:name="idm45965202363536"/>
        <w:t/>
        <w:bookmarkEnd w:id="2776"/>
        <w:bookmarkStart w:id="2777" w:name="idm45965202362432"/>
        <w:t/>
        <w:bookmarkEnd w:id="2777"/>
      </w:r>
      <w:r>
        <w:t xml:space="preserve"> </w:t>
      </w:r>
      <w:r>
        <w:rPr>
          <w:rStyle w:val="Text0"/>
        </w:rPr>
        <w:t>fnmatch</w:t>
      </w:r>
      <w:r>
        <w:t xml:space="preserve"> module (an abbreviation for </w:t>
      </w:r>
      <w:r>
        <w:rPr>
          <w:rStyle w:val="Text4"/>
        </w:rPr>
        <w:t>filename match</w:t>
      </w:r>
      <w:r>
        <w:t>) matches filename strings or paths with patterns that resemble the ones used by Unix shells, as</w:t>
      </w:r>
      <w:r>
        <w:rPr>
          <w:rStyle w:val="Text111"/>
        </w:rPr>
        <w:bookmarkStart w:id="2778" w:name="idm45965202359712"/>
        <w:t/>
        <w:bookmarkEnd w:id="2778"/>
        <w:bookmarkStart w:id="2779" w:name="idm45965202358608"/>
        <w:t/>
        <w:bookmarkEnd w:id="2779"/>
        <w:bookmarkStart w:id="2780" w:name="idm45965202357504"/>
        <w:t/>
        <w:bookmarkEnd w:id="2780"/>
        <w:bookmarkStart w:id="2781" w:name="idm45965202355856"/>
        <w:t/>
        <w:bookmarkEnd w:id="2781"/>
      </w:r>
      <w:r>
        <w:t xml:space="preserve"> listed in </w:t>
      </w:r>
      <w:hyperlink w:anchor="Table_11_28__fnmatch_pattern_mat">
        <w:r>
          <w:rPr>
            <w:rStyle w:val="Text1"/>
          </w:rPr>
          <w:t>Table 11-28</w:t>
        </w:r>
      </w:hyperlink>
      <w:r>
        <w:t>.</w:t>
      </w:r>
    </w:p>
    <w:tbl>
      <w:tblPr>
        <w:tblW w:type="auto" w:w="0"/>
      </w:tblPr>
      <w:tr>
        <w:tc>
          <w:tcPr>
            <w:tcW w:type="auto" w:w="0"/>
            <w:tcMar>
              <w:left w:type="dxa" w:w="200"/>
              <w:top w:type="dxa" w:w="200"/>
              <w:right w:type="dxa" w:w="200"/>
              <w:bottom w:type="dxa" w:w="200"/>
            </w:tcMar>
            <w:vAlign w:val="center"/>
          </w:tcPr>
          <w:p>
            <w:bookmarkStart w:id="2782" w:name="Table_11_28__fnmatch_pattern_mat"/>
            <w:pPr>
              <w:pStyle w:val="Para 011"/>
            </w:pPr>
            <w:r>
              <w:rPr>
                <w:rStyle w:val="Text117"/>
              </w:rPr>
              <w:t/>
            </w:r>
            <w:r>
              <w:t xml:space="preserve">Table 11-28. </w:t>
            </w:r>
            <w:r>
              <w:rPr>
                <w:rStyle w:val="Text0"/>
              </w:rPr>
              <w:t>fnmatch</w:t>
            </w:r>
            <w:r>
              <w:t xml:space="preserve"> pattern matching conventions</w:t>
            </w:r>
            <w:bookmarkEnd w:id="2782"/>
          </w:p>
          <w:p>
            <w:pPr>
              <w:pStyle w:val="Para 013"/>
            </w:pPr>
            <w:r>
              <w:t>Pattern</w:t>
            </w:r>
          </w:p>
        </w:tc>
        <w:tc>
          <w:tcPr>
            <w:tcW w:type="auto" w:w="0"/>
            <w:tcMar>
              <w:left w:type="dxa" w:w="200"/>
              <w:top w:type="dxa" w:w="200"/>
              <w:right w:type="dxa" w:w="200"/>
              <w:bottom w:type="dxa" w:w="200"/>
            </w:tcMar>
            <w:vAlign w:val="center"/>
          </w:tcPr>
          <w:p>
            <w:pPr>
              <w:pStyle w:val="Para 013"/>
            </w:pPr>
            <w:r>
              <w:t>Matches</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Any sequence of characters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w:t>
            </w:r>
          </w:p>
        </w:tc>
        <w:tc>
          <w:tcPr>
            <w:tcW w:type="auto" w:w="0"/>
            <w:shd w:val="clear" w:color="auto" w:fill="EEF2F6"/>
            <w:tcMar>
              <w:left w:type="dxa" w:w="200"/>
              <w:top w:type="dxa" w:w="200"/>
              <w:right w:type="dxa" w:w="200"/>
              <w:bottom w:type="dxa" w:w="200"/>
            </w:tcMar>
          </w:tcPr>
          <w:p>
            <w:pPr>
              <w:pStyle w:val="Para 002"/>
            </w:pPr>
            <w:r>
              <w:t>Any single character</w:t>
            </w:r>
          </w:p>
        </w:tc>
      </w:tr>
    </w:tbl>
    <w:tbl>
      <w:tblPr>
        <w:tblW w:type="auto" w:w="0"/>
      </w:tblPr>
      <w:tr>
        <w:tc>
          <w:tcPr>
            <w:tcW w:type="auto" w:w="0"/>
            <w:tcMar>
              <w:left w:type="dxa" w:w="200"/>
              <w:top w:type="dxa" w:w="200"/>
              <w:right w:type="dxa" w:w="200"/>
              <w:bottom w:type="dxa" w:w="200"/>
            </w:tcMar>
          </w:tcPr>
          <w:p>
            <w:pPr>
              <w:pStyle w:val="Para 026"/>
            </w:pPr>
            <w:r>
              <w:rPr>
                <w:rStyle w:val="Text50"/>
              </w:rPr>
              <w:t>[</w:t>
            </w:r>
            <w:r>
              <w:t>chars</w:t>
            </w:r>
            <w:r>
              <w:rPr>
                <w:rStyle w:val="Text50"/>
              </w:rPr>
              <w:t>]</w:t>
            </w:r>
          </w:p>
        </w:tc>
        <w:tc>
          <w:tcPr>
            <w:tcW w:type="auto" w:w="0"/>
            <w:tcMar>
              <w:left w:type="dxa" w:w="200"/>
              <w:top w:type="dxa" w:w="200"/>
              <w:right w:type="dxa" w:w="200"/>
              <w:bottom w:type="dxa" w:w="200"/>
            </w:tcMar>
          </w:tcPr>
          <w:p>
            <w:pPr>
              <w:pStyle w:val="Para 002"/>
            </w:pPr>
            <w:r>
              <w:t xml:space="preserve">Any one of the characters in </w:t>
            </w:r>
            <w:r>
              <w:rPr>
                <w:rStyle w:val="Text3"/>
              </w:rPr>
              <w:t>chars</w:t>
            </w:r>
          </w:p>
        </w:tc>
      </w:tr>
    </w:tbl>
    <w:tbl>
      <w:tblPr>
        <w:tblW w:type="auto" w:w="0"/>
      </w:tblPr>
      <w:tr>
        <w:tc>
          <w:tcPr>
            <w:tcW w:type="auto" w:w="0"/>
            <w:shd w:val="clear" w:color="auto" w:fill="EEF2F6"/>
            <w:tcMar>
              <w:left w:type="dxa" w:w="200"/>
              <w:top w:type="dxa" w:w="200"/>
              <w:right w:type="dxa" w:w="200"/>
              <w:bottom w:type="dxa" w:w="200"/>
            </w:tcMar>
          </w:tcPr>
          <w:p>
            <w:pPr>
              <w:pStyle w:val="Para 026"/>
            </w:pPr>
            <w:r>
              <w:rPr>
                <w:rStyle w:val="Text50"/>
              </w:rPr>
              <w:t>[!</w:t>
            </w:r>
            <w:r>
              <w:t>chars</w:t>
            </w:r>
            <w:r>
              <w:rPr>
                <w:rStyle w:val="Text50"/>
              </w:rPr>
              <w:t>]</w:t>
            </w:r>
          </w:p>
        </w:tc>
        <w:tc>
          <w:tcPr>
            <w:tcW w:type="auto" w:w="0"/>
            <w:shd w:val="clear" w:color="auto" w:fill="EEF2F6"/>
            <w:tcMar>
              <w:left w:type="dxa" w:w="200"/>
              <w:top w:type="dxa" w:w="200"/>
              <w:right w:type="dxa" w:w="200"/>
              <w:bottom w:type="dxa" w:w="200"/>
            </w:tcMar>
          </w:tcPr>
          <w:p>
            <w:pPr>
              <w:pStyle w:val="Para 002"/>
            </w:pPr>
            <w:r>
              <w:t xml:space="preserve">Any one character not among those in </w:t>
            </w:r>
            <w:r>
              <w:rPr>
                <w:rStyle w:val="Text3"/>
              </w:rPr>
              <w:t>chars</w:t>
            </w:r>
          </w:p>
        </w:tc>
      </w:tr>
    </w:tbl>
    <w:p>
      <w:pPr>
        <w:pStyle w:val="Normal"/>
      </w:pPr>
      <w:r>
        <w:rPr>
          <w:rStyle w:val="Text0"/>
        </w:rPr>
        <w:t>fnmatch</w:t>
      </w:r>
      <w:r>
        <w:t xml:space="preserve"> does </w:t>
      </w:r>
      <w:r>
        <w:rPr>
          <w:rStyle w:val="Text4"/>
        </w:rPr>
        <w:t>not</w:t>
      </w:r>
      <w:r>
        <w:t xml:space="preserve"> follow other conventions of Unix shell pattern matching, such as treating a slash (</w:t>
      </w:r>
      <w:r>
        <w:rPr>
          <w:rStyle w:val="Text0"/>
        </w:rPr>
        <w:t>/</w:t>
      </w:r>
      <w:r>
        <w:t>) or a leading dot (</w:t>
      </w:r>
      <w:r>
        <w:rPr>
          <w:rStyle w:val="Text0"/>
        </w:rPr>
        <w:t>.</w:t>
      </w:r>
      <w:r>
        <w:t xml:space="preserve">) specially. It also does not allow escaping special characters: rather, to match a special character, enclose it in brackets. For example, to match a filename that’s a single close bracket, use </w:t>
      </w:r>
      <w:r>
        <w:rPr>
          <w:rStyle w:val="Text0"/>
        </w:rPr>
        <w:t>'[]]'</w:t>
      </w:r>
      <w:r>
        <w:t>.</w:t>
      </w:r>
    </w:p>
    <w:p>
      <w:pPr>
        <w:pStyle w:val="Normal"/>
      </w:pPr>
      <w:r>
        <w:t xml:space="preserve">The </w:t>
      </w:r>
      <w:r>
        <w:rPr>
          <w:rStyle w:val="Text0"/>
        </w:rPr>
        <w:t>fnmatch</w:t>
      </w:r>
      <w:r>
        <w:t xml:space="preserve"> module supplies the functions listed in </w:t>
      </w:r>
      <w:hyperlink w:anchor="Table_11_29__Functions_of_the_fn">
        <w:r>
          <w:rPr>
            <w:rStyle w:val="Text1"/>
          </w:rPr>
          <w:t>Table 11-29</w:t>
        </w:r>
      </w:hyperlink>
      <w:r>
        <w:t>.</w:t>
      </w:r>
    </w:p>
    <w:tbl>
      <w:tblPr>
        <w:tblW w:type="auto" w:w="0"/>
      </w:tblPr>
      <w:tr>
        <w:tc>
          <w:tcPr>
            <w:tcW w:type="auto" w:w="0"/>
            <w:tcMar>
              <w:left w:type="dxa" w:w="200"/>
              <w:top w:type="dxa" w:w="200"/>
              <w:right w:type="dxa" w:w="200"/>
              <w:bottom w:type="dxa" w:w="200"/>
            </w:tcMar>
          </w:tcPr>
          <w:p>
            <w:bookmarkStart w:id="2783" w:name="Table_11_29__Functions_of_the_fn"/>
            <w:pPr>
              <w:pStyle w:val="Para 011"/>
            </w:pPr>
            <w:r>
              <w:rPr>
                <w:rStyle w:val="Text117"/>
              </w:rPr>
              <w:t/>
            </w:r>
            <w:r>
              <w:t xml:space="preserve">Table 11-29. </w:t>
              <w:t xml:space="preserve">Functions of the </w:t>
            </w:r>
            <w:r>
              <w:rPr>
                <w:rStyle w:val="Text0"/>
              </w:rPr>
              <w:t>fnmatch</w:t>
            </w:r>
            <w:r>
              <w:t xml:space="preserve"> module</w:t>
            </w:r>
            <w:bookmarkEnd w:id="2783"/>
          </w:p>
          <w:p>
            <w:pPr>
              <w:pStyle w:val="Para 001"/>
            </w:pPr>
            <w:r>
              <w:t>filter</w:t>
            </w:r>
          </w:p>
        </w:tc>
        <w:tc>
          <w:tcPr>
            <w:tcW w:type="auto" w:w="0"/>
            <w:tcMar>
              <w:left w:type="dxa" w:w="200"/>
              <w:top w:type="dxa" w:w="200"/>
              <w:right w:type="dxa" w:w="200"/>
              <w:bottom w:type="dxa" w:w="200"/>
            </w:tcMar>
          </w:tcPr>
          <w:p>
            <w:pPr>
              <w:pStyle w:val="Para 002"/>
            </w:pPr>
            <w:r>
              <w:rPr>
                <w:rStyle w:val="Text0"/>
              </w:rPr>
              <w:t>filter(</w:t>
            </w:r>
            <w:r>
              <w:rPr>
                <w:rStyle w:val="Text3"/>
              </w:rPr>
              <w:t>names</w:t>
            </w:r>
            <w:r>
              <w:rPr>
                <w:rStyle w:val="Text0"/>
              </w:rPr>
              <w:t>,</w:t>
            </w:r>
            <w:r>
              <w:t xml:space="preserve"> </w:t>
            </w:r>
            <w:r>
              <w:rPr>
                <w:rStyle w:val="Text3"/>
              </w:rPr>
              <w:t>pattern</w:t>
            </w:r>
            <w:r>
              <w:rPr>
                <w:rStyle w:val="Text0"/>
              </w:rPr>
              <w:t>)</w:t>
              <w:br w:clear="none"/>
            </w:r>
            <w:r>
              <w:t xml:space="preserve"> Returns</w:t>
            </w:r>
            <w:r>
              <w:rPr>
                <w:rStyle w:val="Text111"/>
              </w:rPr>
              <w:bookmarkStart w:id="2784" w:name="idm45965202326560"/>
              <w:t/>
              <w:bookmarkEnd w:id="2784"/>
            </w:r>
            <w:r>
              <w:t xml:space="preserve"> the list of items of </w:t>
            </w:r>
            <w:r>
              <w:rPr>
                <w:rStyle w:val="Text3"/>
              </w:rPr>
              <w:t>names</w:t>
            </w:r>
            <w:r>
              <w:t xml:space="preserve"> (a sequence of strings) that match </w:t>
            </w:r>
            <w:r>
              <w:rPr>
                <w:rStyle w:val="Text3"/>
              </w:rPr>
              <w:t>pattern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fnmatch</w:t>
            </w:r>
          </w:p>
        </w:tc>
        <w:tc>
          <w:tcPr>
            <w:tcW w:type="auto" w:w="0"/>
            <w:shd w:val="clear" w:color="auto" w:fill="EEF2F6"/>
            <w:tcMar>
              <w:left w:type="dxa" w:w="200"/>
              <w:top w:type="dxa" w:w="200"/>
              <w:right w:type="dxa" w:w="200"/>
              <w:bottom w:type="dxa" w:w="200"/>
            </w:tcMar>
          </w:tcPr>
          <w:p>
            <w:pPr>
              <w:pStyle w:val="Para 002"/>
            </w:pPr>
            <w:r>
              <w:rPr>
                <w:rStyle w:val="Text0"/>
              </w:rPr>
              <w:t>fnmatch(</w:t>
            </w:r>
            <w:r>
              <w:rPr>
                <w:rStyle w:val="Text3"/>
              </w:rPr>
              <w:t>filename</w:t>
            </w:r>
            <w:r>
              <w:rPr>
                <w:rStyle w:val="Text0"/>
              </w:rPr>
              <w:t>,</w:t>
            </w:r>
            <w:r>
              <w:t xml:space="preserve"> </w:t>
            </w:r>
            <w:r>
              <w:rPr>
                <w:rStyle w:val="Text3"/>
              </w:rPr>
              <w:t>pattern</w:t>
            </w:r>
            <w:r>
              <w:rPr>
                <w:rStyle w:val="Text0"/>
              </w:rPr>
              <w:t>)</w:t>
              <w:br w:clear="none"/>
            </w:r>
            <w:r>
              <w:t xml:space="preserve"> Returns </w:t>
            </w:r>
            <w:r>
              <w:rPr>
                <w:rStyle w:val="Text5"/>
              </w:rPr>
              <w:t>True</w:t>
            </w:r>
            <w:r>
              <w:t xml:space="preserve"> when string </w:t>
            </w:r>
            <w:r>
              <w:rPr>
                <w:rStyle w:val="Text3"/>
              </w:rPr>
              <w:t>filename</w:t>
            </w:r>
            <w:r>
              <w:t xml:space="preserve"> matches </w:t>
            </w:r>
            <w:r>
              <w:rPr>
                <w:rStyle w:val="Text3"/>
              </w:rPr>
              <w:t>pattern</w:t>
            </w:r>
            <w:r>
              <w:t xml:space="preserve">; otherwise, returns </w:t>
            </w:r>
            <w:r>
              <w:rPr>
                <w:rStyle w:val="Text5"/>
              </w:rPr>
              <w:t>False</w:t>
            </w:r>
            <w:r>
              <w:t>. The match is case sensitive when the platform is (for example, typical Unix-like systems), and otherwise (for example, on Windows) case insensitive; beware of that, if you’re dealing with a filesystem whose case-sensitivity doesn’t match your platform (for example, macOS is Unix-like; however, its typical filesystems are case insensitive).</w:t>
            </w:r>
          </w:p>
        </w:tc>
      </w:tr>
    </w:tbl>
    <w:tbl>
      <w:tblPr>
        <w:tblW w:type="auto" w:w="0"/>
      </w:tblPr>
      <w:tr>
        <w:tc>
          <w:tcPr>
            <w:tcW w:type="auto" w:w="0"/>
            <w:tcMar>
              <w:left w:type="dxa" w:w="200"/>
              <w:top w:type="dxa" w:w="200"/>
              <w:right w:type="dxa" w:w="200"/>
              <w:bottom w:type="dxa" w:w="200"/>
            </w:tcMar>
          </w:tcPr>
          <w:p>
            <w:pPr>
              <w:pStyle w:val="Para 001"/>
            </w:pPr>
            <w:r>
              <w:t>fnmatchcase</w:t>
            </w:r>
          </w:p>
        </w:tc>
        <w:tc>
          <w:tcPr>
            <w:tcW w:type="auto" w:w="0"/>
            <w:tcMar>
              <w:left w:type="dxa" w:w="200"/>
              <w:top w:type="dxa" w:w="200"/>
              <w:right w:type="dxa" w:w="200"/>
              <w:bottom w:type="dxa" w:w="200"/>
            </w:tcMar>
          </w:tcPr>
          <w:p>
            <w:pPr>
              <w:pStyle w:val="Para 002"/>
            </w:pPr>
            <w:r>
              <w:rPr>
                <w:rStyle w:val="Text0"/>
              </w:rPr>
              <w:t>fnmatchcase(</w:t>
            </w:r>
            <w:r>
              <w:rPr>
                <w:rStyle w:val="Text3"/>
              </w:rPr>
              <w:t>filename</w:t>
            </w:r>
            <w:r>
              <w:rPr>
                <w:rStyle w:val="Text0"/>
              </w:rPr>
              <w:t>,</w:t>
            </w:r>
            <w:r>
              <w:t xml:space="preserve"> </w:t>
            </w:r>
            <w:r>
              <w:rPr>
                <w:rStyle w:val="Text3"/>
              </w:rPr>
              <w:t>pattern</w:t>
            </w:r>
            <w:r>
              <w:rPr>
                <w:rStyle w:val="Text0"/>
              </w:rPr>
              <w:t>)</w:t>
              <w:br w:clear="none"/>
            </w:r>
            <w:r>
              <w:t xml:space="preserve"> Returns </w:t>
            </w:r>
            <w:r>
              <w:rPr>
                <w:rStyle w:val="Text5"/>
              </w:rPr>
              <w:t>True</w:t>
            </w:r>
            <w:r>
              <w:t xml:space="preserve"> when string </w:t>
            </w:r>
            <w:r>
              <w:rPr>
                <w:rStyle w:val="Text3"/>
              </w:rPr>
              <w:t>filename</w:t>
            </w:r>
            <w:r>
              <w:t xml:space="preserve"> matches </w:t>
            </w:r>
            <w:r>
              <w:rPr>
                <w:rStyle w:val="Text3"/>
              </w:rPr>
              <w:t>pattern</w:t>
            </w:r>
            <w:r>
              <w:t xml:space="preserve">; otherwise, returns </w:t>
            </w:r>
            <w:r>
              <w:rPr>
                <w:rStyle w:val="Text5"/>
              </w:rPr>
              <w:t>False</w:t>
            </w:r>
            <w:r>
              <w:t>. The match is always case-sensitive on any platform.</w:t>
            </w:r>
          </w:p>
        </w:tc>
      </w:tr>
    </w:tbl>
    <w:tbl>
      <w:tblPr>
        <w:tblW w:type="auto" w:w="0"/>
      </w:tblPr>
      <w:tr>
        <w:tc>
          <w:tcPr>
            <w:tcW w:type="auto" w:w="0"/>
            <w:shd w:val="clear" w:color="auto" w:fill="EEF2F6"/>
            <w:tcMar>
              <w:left w:type="dxa" w:w="200"/>
              <w:top w:type="dxa" w:w="200"/>
              <w:right w:type="dxa" w:w="200"/>
              <w:bottom w:type="dxa" w:w="200"/>
            </w:tcMar>
          </w:tcPr>
          <w:p>
            <w:pPr>
              <w:pStyle w:val="Para 001"/>
            </w:pPr>
            <w:r>
              <w:t>translate</w:t>
            </w:r>
          </w:p>
        </w:tc>
        <w:tc>
          <w:tcPr>
            <w:tcW w:type="auto" w:w="0"/>
            <w:shd w:val="clear" w:color="auto" w:fill="EEF2F6"/>
            <w:tcMar>
              <w:left w:type="dxa" w:w="200"/>
              <w:top w:type="dxa" w:w="200"/>
              <w:right w:type="dxa" w:w="200"/>
              <w:bottom w:type="dxa" w:w="200"/>
            </w:tcMar>
          </w:tcPr>
          <w:p>
            <w:pPr>
              <w:pStyle w:val="Para 002"/>
            </w:pPr>
            <w:r>
              <w:rPr>
                <w:rStyle w:val="Text0"/>
              </w:rPr>
              <w:t>translate(</w:t>
            </w:r>
            <w:r>
              <w:rPr>
                <w:rStyle w:val="Text3"/>
              </w:rPr>
              <w:t>pattern</w:t>
            </w:r>
            <w:r>
              <w:rPr>
                <w:rStyle w:val="Text0"/>
              </w:rPr>
              <w:t>)</w:t>
              <w:br w:clear="none"/>
            </w:r>
            <w:r>
              <w:t xml:space="preserve"> Returns</w:t>
            </w:r>
            <w:r>
              <w:rPr>
                <w:rStyle w:val="Text111"/>
              </w:rPr>
              <w:bookmarkStart w:id="2785" w:name="idm45965202305104"/>
              <w:t/>
              <w:bookmarkEnd w:id="2785"/>
            </w:r>
            <w:r>
              <w:t xml:space="preserve"> the regular expression pattern (as covered in </w:t>
            </w:r>
            <w:hyperlink w:anchor="Pattern_String_Syntax__The_patte">
              <w:r>
                <w:rPr>
                  <w:rStyle w:val="Text1"/>
                </w:rPr>
                <w:t>“Pattern String Syntax”</w:t>
              </w:r>
            </w:hyperlink>
            <w:r>
              <w:t xml:space="preserve">) equivalent to the </w:t>
            </w:r>
            <w:r>
              <w:rPr>
                <w:rStyle w:val="Text0"/>
              </w:rPr>
              <w:t>fnmatch</w:t>
            </w:r>
            <w:r>
              <w:t xml:space="preserve"> pattern </w:t>
            </w:r>
            <w:r>
              <w:rPr>
                <w:rStyle w:val="Text3"/>
              </w:rPr>
              <w:t>pattern</w:t>
            </w:r>
            <w:r>
              <w:t>.</w:t>
            </w:r>
          </w:p>
        </w:tc>
      </w:tr>
    </w:tbl>
    <w:p>
      <w:bookmarkStart w:id="2786" w:name="The_glob_Module__The_glob_module"/>
      <w:pPr>
        <w:keepNext/>
        <w:pStyle w:val="Heading 1"/>
      </w:pPr>
      <w:r>
        <w:t>The glob Module</w:t>
      </w:r>
      <w:bookmarkEnd w:id="2786"/>
    </w:p>
    <w:p>
      <w:pPr>
        <w:pStyle w:val="Normal"/>
      </w:pPr>
      <w:r>
        <w:t>The</w:t>
      </w:r>
      <w:r>
        <w:rPr>
          <w:rStyle w:val="Text111"/>
        </w:rPr>
        <w:bookmarkStart w:id="2787" w:name="idm45965202299296"/>
        <w:t/>
        <w:bookmarkEnd w:id="2787"/>
        <w:bookmarkStart w:id="2788" w:name="idm45965202297536"/>
        <w:t/>
        <w:bookmarkEnd w:id="2788"/>
        <w:bookmarkStart w:id="2789" w:name="idm45965202296432"/>
        <w:t/>
        <w:bookmarkEnd w:id="2789"/>
      </w:r>
      <w:r>
        <w:t xml:space="preserve"> </w:t>
      </w:r>
      <w:r>
        <w:rPr>
          <w:rStyle w:val="Text0"/>
        </w:rPr>
        <w:t>glob</w:t>
      </w:r>
      <w:r>
        <w:t xml:space="preserve"> module</w:t>
      </w:r>
      <w:r>
        <w:rPr>
          <w:rStyle w:val="Text111"/>
        </w:rPr>
        <w:bookmarkStart w:id="2790" w:name="idm45965202294480"/>
        <w:t/>
        <w:bookmarkEnd w:id="2790"/>
        <w:bookmarkStart w:id="2791" w:name="idm45965202293104"/>
        <w:t/>
        <w:bookmarkEnd w:id="2791"/>
      </w:r>
      <w:r>
        <w:t xml:space="preserve"> lists (in arbitrary order) the pathnames of files that match a </w:t>
      </w:r>
      <w:r>
        <w:rPr>
          <w:rStyle w:val="Text4"/>
        </w:rPr>
        <w:t>path pattern</w:t>
      </w:r>
      <w:r>
        <w:t xml:space="preserve">, using the same rules as </w:t>
      </w:r>
      <w:r>
        <w:rPr>
          <w:rStyle w:val="Text0"/>
        </w:rPr>
        <w:t>fnmatch</w:t>
      </w:r>
      <w:r>
        <w:t>; in addition, it treats a</w:t>
      </w:r>
      <w:r>
        <w:rPr>
          <w:rStyle w:val="Text111"/>
        </w:rPr>
        <w:bookmarkStart w:id="2792" w:name="idm45965202290688"/>
        <w:t/>
        <w:bookmarkEnd w:id="2792"/>
        <w:bookmarkStart w:id="2793" w:name="idm45965202289344"/>
        <w:t/>
        <w:bookmarkEnd w:id="2793"/>
        <w:bookmarkStart w:id="2794" w:name="idm45965202288000"/>
        <w:t/>
        <w:bookmarkEnd w:id="2794"/>
        <w:bookmarkStart w:id="2795" w:name="idm45965202286656"/>
        <w:t/>
        <w:bookmarkEnd w:id="2795"/>
        <w:bookmarkStart w:id="2796" w:name="idm45965202285008"/>
        <w:t/>
        <w:bookmarkEnd w:id="2796"/>
        <w:bookmarkStart w:id="2797" w:name="idm45965202283360"/>
        <w:t/>
        <w:bookmarkEnd w:id="2797"/>
      </w:r>
      <w:r>
        <w:t xml:space="preserve"> leading dot (</w:t>
      </w:r>
      <w:r>
        <w:rPr>
          <w:rStyle w:val="Text0"/>
        </w:rPr>
        <w:t>.</w:t>
      </w:r>
      <w:r>
        <w:t>), separator (</w:t>
      </w:r>
      <w:r>
        <w:rPr>
          <w:rStyle w:val="Text0"/>
        </w:rPr>
        <w:t>/</w:t>
      </w:r>
      <w:r>
        <w:t xml:space="preserve">), and </w:t>
      </w:r>
      <w:r>
        <w:rPr>
          <w:rStyle w:val="Text0"/>
        </w:rPr>
        <w:t>**</w:t>
      </w:r>
      <w:r>
        <w:t xml:space="preserve"> specially, like Unix shells do. </w:t>
      </w:r>
      <w:hyperlink w:anchor="Table_11_30__Functions_of_the_gl">
        <w:r>
          <w:rPr>
            <w:rStyle w:val="Text1"/>
          </w:rPr>
          <w:t>Table 11-30</w:t>
        </w:r>
      </w:hyperlink>
      <w:r>
        <w:t xml:space="preserve"> lists some useful functions provided by the </w:t>
      </w:r>
      <w:r>
        <w:rPr>
          <w:rStyle w:val="Text0"/>
        </w:rPr>
        <w:t>glob</w:t>
      </w:r>
      <w:r>
        <w:t xml:space="preserve"> module.</w:t>
      </w:r>
    </w:p>
    <w:tbl>
      <w:tblPr>
        <w:tblW w:type="auto" w:w="0"/>
      </w:tblPr>
      <w:tr>
        <w:tc>
          <w:tcPr>
            <w:tcW w:type="auto" w:w="0"/>
            <w:tcMar>
              <w:left w:type="dxa" w:w="200"/>
              <w:top w:type="dxa" w:w="200"/>
              <w:right w:type="dxa" w:w="200"/>
              <w:bottom w:type="dxa" w:w="200"/>
            </w:tcMar>
          </w:tcPr>
          <w:p>
            <w:bookmarkStart w:id="2798" w:name="Table_11_30__Functions_of_the_gl"/>
            <w:pPr>
              <w:pStyle w:val="Para 011"/>
            </w:pPr>
            <w:r>
              <w:rPr>
                <w:rStyle w:val="Text117"/>
              </w:rPr>
              <w:t/>
            </w:r>
            <w:r>
              <w:t xml:space="preserve">Table 11-30. </w:t>
              <w:t xml:space="preserve">Functions of the </w:t>
            </w:r>
            <w:r>
              <w:rPr>
                <w:rStyle w:val="Text0"/>
              </w:rPr>
              <w:t>glob</w:t>
            </w:r>
            <w:r>
              <w:t xml:space="preserve"> module</w:t>
            </w:r>
            <w:bookmarkEnd w:id="2798"/>
          </w:p>
          <w:p>
            <w:pPr>
              <w:pStyle w:val="Para 001"/>
            </w:pPr>
            <w:r>
              <w:t>escape</w:t>
            </w:r>
          </w:p>
        </w:tc>
        <w:tc>
          <w:tcPr>
            <w:tcW w:type="auto" w:w="0"/>
            <w:tcMar>
              <w:left w:type="dxa" w:w="200"/>
              <w:top w:type="dxa" w:w="200"/>
              <w:right w:type="dxa" w:w="200"/>
              <w:bottom w:type="dxa" w:w="200"/>
            </w:tcMar>
          </w:tcPr>
          <w:p>
            <w:pPr>
              <w:pStyle w:val="Para 002"/>
            </w:pPr>
            <w:r>
              <w:rPr>
                <w:rStyle w:val="Text0"/>
              </w:rPr>
              <w:t>escape(</w:t>
            </w:r>
            <w:r>
              <w:rPr>
                <w:rStyle w:val="Text3"/>
              </w:rPr>
              <w:t>pathname</w:t>
            </w:r>
            <w:r>
              <w:rPr>
                <w:rStyle w:val="Text0"/>
              </w:rPr>
              <w:t>)</w:t>
              <w:br w:clear="none"/>
            </w:r>
            <w:r>
              <w:t xml:space="preserve"> Escapes all special characters (</w:t>
            </w:r>
            <w:r>
              <w:rPr>
                <w:rStyle w:val="Text0"/>
              </w:rPr>
              <w:t>'?'</w:t>
            </w:r>
            <w:r>
              <w:t xml:space="preserve">, </w:t>
            </w:r>
            <w:r>
              <w:rPr>
                <w:rStyle w:val="Text0"/>
              </w:rPr>
              <w:t>'*'</w:t>
            </w:r>
            <w:r>
              <w:t xml:space="preserve">, and </w:t>
            </w:r>
            <w:r>
              <w:rPr>
                <w:rStyle w:val="Text0"/>
              </w:rPr>
              <w:t>'['</w:t>
            </w:r>
            <w:r>
              <w:t>), so you can match an arbitrary literal string that may contain special characters.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glob</w:t>
            </w:r>
          </w:p>
        </w:tc>
        <w:tc>
          <w:tcPr>
            <w:tcW w:type="auto" w:w="0"/>
            <w:shd w:val="clear" w:color="auto" w:fill="EEF2F6"/>
            <w:tcMar>
              <w:left w:type="dxa" w:w="200"/>
              <w:top w:type="dxa" w:w="200"/>
              <w:right w:type="dxa" w:w="200"/>
              <w:bottom w:type="dxa" w:w="200"/>
            </w:tcMar>
          </w:tcPr>
          <w:p>
            <w:pPr>
              <w:pStyle w:val="Para 002"/>
            </w:pPr>
            <w:r>
              <w:rPr>
                <w:rStyle w:val="Text0"/>
              </w:rPr>
              <w:t>glob(</w:t>
            </w:r>
            <w:r>
              <w:rPr>
                <w:rStyle w:val="Text3"/>
              </w:rPr>
              <w:t>pathname</w:t>
            </w:r>
            <w:r>
              <w:rPr>
                <w:rStyle w:val="Text0"/>
              </w:rPr>
              <w:t>, *, root_dir=</w:t>
            </w:r>
            <w:r>
              <w:rPr>
                <w:rStyle w:val="Text5"/>
              </w:rPr>
              <w:t>None</w:t>
            </w:r>
            <w:r>
              <w:rPr>
                <w:rStyle w:val="Text0"/>
              </w:rPr>
              <w:t>, dir_fd=</w:t>
            </w:r>
            <w:r>
              <w:rPr>
                <w:rStyle w:val="Text5"/>
              </w:rPr>
              <w:t>None</w:t>
            </w:r>
            <w:r>
              <w:rPr>
                <w:rStyle w:val="Text0"/>
              </w:rPr>
              <w:t>, recursive=</w:t>
            </w:r>
            <w:r>
              <w:rPr>
                <w:rStyle w:val="Text5"/>
              </w:rPr>
              <w:t>False</w:t>
            </w:r>
            <w:r>
              <w:rPr>
                <w:rStyle w:val="Text0"/>
              </w:rPr>
              <w:t>)</w:t>
              <w:br w:clear="none"/>
            </w:r>
            <w:r>
              <w:t xml:space="preserve"> Returns the list of pathnames of files that match the pattern </w:t>
            </w:r>
            <w:r>
              <w:rPr>
                <w:rStyle w:val="Text3"/>
              </w:rPr>
              <w:t>pathname</w:t>
            </w:r>
            <w:r>
              <w:t xml:space="preserve">. </w:t>
            </w:r>
            <w:r>
              <w:rPr>
                <w:rStyle w:val="Text0"/>
              </w:rPr>
              <w:t>root_dir</w:t>
            </w:r>
            <w:r>
              <w:t xml:space="preserve"> (if not </w:t>
            </w:r>
            <w:r>
              <w:rPr>
                <w:rStyle w:val="Text5"/>
              </w:rPr>
              <w:t>None</w:t>
            </w:r>
            <w:r>
              <w:t xml:space="preserve">) is a string or path-like object specifying the root directory for searching (this works like changing the current directory before calling </w:t>
            </w:r>
            <w:r>
              <w:rPr>
                <w:rStyle w:val="Text0"/>
              </w:rPr>
              <w:t>glob</w:t>
            </w:r>
            <w:r>
              <w:t xml:space="preserve">). If </w:t>
            </w:r>
            <w:r>
              <w:rPr>
                <w:rStyle w:val="Text3"/>
              </w:rPr>
              <w:t>pathname</w:t>
            </w:r>
            <w:r>
              <w:t xml:space="preserve"> is relative, the paths returned are relative to </w:t>
            </w:r>
            <w:r>
              <w:rPr>
                <w:rStyle w:val="Text0"/>
              </w:rPr>
              <w:t>root_dir</w:t>
            </w:r>
            <w:r>
              <w:t xml:space="preserve">. To search paths relative to directory descriptors, pass </w:t>
            </w:r>
            <w:r>
              <w:rPr>
                <w:rStyle w:val="Text0"/>
              </w:rPr>
              <w:t>dir_fd</w:t>
            </w:r>
            <w:r>
              <w:t xml:space="preserve"> instead. Optionally pass named argument </w:t>
            </w:r>
            <w:r>
              <w:rPr>
                <w:rStyle w:val="Text0"/>
              </w:rPr>
              <w:t>recursive=</w:t>
            </w:r>
            <w:r>
              <w:rPr>
                <w:rStyle w:val="Text5"/>
              </w:rPr>
              <w:t>True</w:t>
            </w:r>
            <w:r>
              <w:t xml:space="preserve"> to have path component </w:t>
            </w:r>
            <w:r>
              <w:rPr>
                <w:rStyle w:val="Text0"/>
              </w:rPr>
              <w:t>**</w:t>
            </w:r>
            <w:r>
              <w:t xml:space="preserve"> recursively match zero or more levels of subdirectories.</w:t>
            </w:r>
          </w:p>
        </w:tc>
      </w:tr>
    </w:tbl>
    <w:tbl>
      <w:tblPr>
        <w:tblW w:type="auto" w:w="0"/>
      </w:tblPr>
      <w:tr>
        <w:tc>
          <w:tcPr>
            <w:tcW w:type="auto" w:w="0"/>
            <w:tcMar>
              <w:left w:type="dxa" w:w="200"/>
              <w:top w:type="dxa" w:w="200"/>
              <w:right w:type="dxa" w:w="200"/>
              <w:bottom w:type="dxa" w:w="200"/>
            </w:tcMar>
          </w:tcPr>
          <w:p>
            <w:pPr>
              <w:pStyle w:val="Para 001"/>
            </w:pPr>
            <w:r>
              <w:t>iglob</w:t>
            </w:r>
          </w:p>
        </w:tc>
        <w:tc>
          <w:tcPr>
            <w:tcW w:type="auto" w:w="0"/>
            <w:tcMar>
              <w:left w:type="dxa" w:w="200"/>
              <w:top w:type="dxa" w:w="200"/>
              <w:right w:type="dxa" w:w="200"/>
              <w:bottom w:type="dxa" w:w="200"/>
            </w:tcMar>
          </w:tcPr>
          <w:p>
            <w:pPr>
              <w:pStyle w:val="Para 002"/>
            </w:pPr>
            <w:r>
              <w:rPr>
                <w:rStyle w:val="Text0"/>
              </w:rPr>
              <w:t>iglob(</w:t>
            </w:r>
            <w:r>
              <w:rPr>
                <w:rStyle w:val="Text3"/>
              </w:rPr>
              <w:t>pathname, *,</w:t>
            </w:r>
            <w:r>
              <w:t xml:space="preserve"> </w:t>
            </w:r>
            <w:r>
              <w:rPr>
                <w:rStyle w:val="Text0"/>
              </w:rPr>
              <w:t>root_dir=</w:t>
            </w:r>
            <w:r>
              <w:rPr>
                <w:rStyle w:val="Text5"/>
              </w:rPr>
              <w:t>None</w:t>
            </w:r>
            <w:r>
              <w:rPr>
                <w:rStyle w:val="Text0"/>
              </w:rPr>
              <w:t>, dir_fd=</w:t>
            </w:r>
            <w:r>
              <w:rPr>
                <w:rStyle w:val="Text5"/>
              </w:rPr>
              <w:t>None</w:t>
            </w:r>
            <w:r>
              <w:rPr>
                <w:rStyle w:val="Text0"/>
              </w:rPr>
              <w:t>, recursive=</w:t>
            </w:r>
            <w:r>
              <w:rPr>
                <w:rStyle w:val="Text5"/>
              </w:rPr>
              <w:t>False</w:t>
            </w:r>
            <w:r>
              <w:rPr>
                <w:rStyle w:val="Text0"/>
              </w:rPr>
              <w:t>)</w:t>
              <w:br w:clear="none"/>
            </w:r>
            <w:r>
              <w:t xml:space="preserve"> Like </w:t>
            </w:r>
            <w:r>
              <w:rPr>
                <w:rStyle w:val="Text0"/>
              </w:rPr>
              <w:t>glob</w:t>
            </w:r>
            <w:r>
              <w:t>, but returns an iterator yielding one relevant pathname at a time.</w:t>
            </w:r>
          </w:p>
        </w:tc>
      </w:tr>
    </w:tbl>
    <w:p>
      <w:bookmarkStart w:id="2799" w:name="The_shutil_Module__The_shutil_mo"/>
      <w:pPr>
        <w:keepNext/>
        <w:pStyle w:val="Heading 1"/>
      </w:pPr>
      <w:r>
        <w:t>The shutil Module</w:t>
      </w:r>
      <w:bookmarkEnd w:id="2799"/>
    </w:p>
    <w:p>
      <w:pPr>
        <w:pStyle w:val="Normal"/>
      </w:pPr>
      <w:r>
        <w:t>The</w:t>
      </w:r>
      <w:r>
        <w:rPr>
          <w:rStyle w:val="Text111"/>
        </w:rPr>
        <w:bookmarkStart w:id="2800" w:name="FTOshutil11"/>
        <w:t/>
        <w:bookmarkEnd w:id="2800"/>
        <w:bookmarkStart w:id="2801" w:name="shutilmod11"/>
        <w:t/>
        <w:bookmarkEnd w:id="2801"/>
        <w:bookmarkStart w:id="2802" w:name="shelutil11"/>
        <w:t/>
        <w:bookmarkEnd w:id="2802"/>
        <w:bookmarkStart w:id="2803" w:name="SLMshutil11"/>
        <w:t/>
        <w:bookmarkEnd w:id="2803"/>
      </w:r>
      <w:r>
        <w:t xml:space="preserve"> </w:t>
      </w:r>
      <w:r>
        <w:rPr>
          <w:rStyle w:val="Text0"/>
        </w:rPr>
        <w:t>shutil</w:t>
      </w:r>
      <w:r>
        <w:t xml:space="preserve"> module (an abbreviation for </w:t>
      </w:r>
      <w:r>
        <w:rPr>
          <w:rStyle w:val="Text4"/>
        </w:rPr>
        <w:t>shell utilities</w:t>
      </w:r>
      <w:r>
        <w:t xml:space="preserve">) supplies functions to copy and move files, and to remove an entire directory tree. On some Unix platforms, most of the functions support the optional keyword-only argument </w:t>
      </w:r>
      <w:r>
        <w:rPr>
          <w:rStyle w:val="Text0"/>
        </w:rPr>
        <w:t>follow_symlinks</w:t>
      </w:r>
      <w:r>
        <w:t xml:space="preserve">, defaulting to </w:t>
      </w:r>
      <w:r>
        <w:rPr>
          <w:rStyle w:val="Text5"/>
        </w:rPr>
        <w:t>True</w:t>
      </w:r>
      <w:r>
        <w:t xml:space="preserve">. When </w:t>
      </w:r>
      <w:r>
        <w:rPr>
          <w:rStyle w:val="Text0"/>
        </w:rPr>
        <w:t>follow_symlinks=</w:t>
      </w:r>
      <w:r>
        <w:rPr>
          <w:rStyle w:val="Text5"/>
        </w:rPr>
        <w:t>True</w:t>
      </w:r>
      <w:r>
        <w:t xml:space="preserve">, if a path indicates a symbolic link, the function follows it to reach an actual file or directory; when </w:t>
      </w:r>
      <w:r>
        <w:rPr>
          <w:rStyle w:val="Text5"/>
        </w:rPr>
        <w:t>False</w:t>
      </w:r>
      <w:r>
        <w:t xml:space="preserve">, the function operates on the symbolic link itself. </w:t>
      </w:r>
      <w:hyperlink w:anchor="Table_11_31__Functions_of_the_sh">
        <w:r>
          <w:rPr>
            <w:rStyle w:val="Text1"/>
          </w:rPr>
          <w:t>Table 11-31</w:t>
        </w:r>
      </w:hyperlink>
      <w:r>
        <w:t xml:space="preserve"> lists the functions provided by the </w:t>
      </w:r>
      <w:r>
        <w:rPr>
          <w:rStyle w:val="Text0"/>
        </w:rPr>
        <w:t>shutil</w:t>
      </w:r>
      <w:r>
        <w:t xml:space="preserve"> module.</w:t>
      </w:r>
    </w:p>
    <w:tbl>
      <w:tblPr>
        <w:tblW w:type="auto" w:w="0"/>
      </w:tblPr>
      <w:tr>
        <w:tc>
          <w:tcPr>
            <w:tcW w:type="pct" w:w="1000"/>
            <w:tcMar>
              <w:left w:type="dxa" w:w="200"/>
              <w:top w:type="dxa" w:w="200"/>
              <w:right w:type="dxa" w:w="200"/>
              <w:bottom w:type="dxa" w:w="200"/>
            </w:tcMar>
          </w:tcPr>
          <w:p>
            <w:bookmarkStart w:id="2804" w:name="Table_11_31__Functions_of_the_sh"/>
            <w:pPr>
              <w:pStyle w:val="Para 011"/>
            </w:pPr>
            <w:r>
              <w:rPr>
                <w:rStyle w:val="Text117"/>
              </w:rPr>
              <w:t/>
            </w:r>
            <w:r>
              <w:t xml:space="preserve">Table 11-31. </w:t>
              <w:t xml:space="preserve">Functions of the </w:t>
            </w:r>
            <w:r>
              <w:rPr>
                <w:rStyle w:val="Text0"/>
              </w:rPr>
              <w:t>shutil</w:t>
            </w:r>
            <w:r>
              <w:t xml:space="preserve"> module</w:t>
            </w:r>
            <w:bookmarkEnd w:id="2804"/>
          </w:p>
          <w:p>
            <w:pPr>
              <w:pStyle w:val="Para 001"/>
            </w:pPr>
            <w:r>
              <w:t>copy</w:t>
            </w:r>
          </w:p>
        </w:tc>
        <w:tc>
          <w:tcPr>
            <w:tcW w:type="auto" w:w="0"/>
            <w:tcMar>
              <w:left w:type="dxa" w:w="200"/>
              <w:top w:type="dxa" w:w="200"/>
              <w:right w:type="dxa" w:w="200"/>
              <w:bottom w:type="dxa" w:w="200"/>
            </w:tcMar>
          </w:tcPr>
          <w:p>
            <w:pPr>
              <w:pStyle w:val="Para 002"/>
            </w:pPr>
            <w:r>
              <w:rPr>
                <w:rStyle w:val="Text0"/>
              </w:rPr>
              <w:t>copy(</w:t>
            </w:r>
            <w:r>
              <w:rPr>
                <w:rStyle w:val="Text3"/>
              </w:rPr>
              <w:t>src</w:t>
            </w:r>
            <w:r>
              <w:rPr>
                <w:rStyle w:val="Text0"/>
              </w:rPr>
              <w:t>,</w:t>
            </w:r>
            <w:r>
              <w:t xml:space="preserve"> </w:t>
            </w:r>
            <w:r>
              <w:rPr>
                <w:rStyle w:val="Text3"/>
              </w:rPr>
              <w:t>dst</w:t>
            </w:r>
            <w:r>
              <w:rPr>
                <w:rStyle w:val="Text0"/>
              </w:rPr>
              <w:t>)</w:t>
              <w:br w:clear="none"/>
            </w:r>
            <w:r>
              <w:t xml:space="preserve"> Copies</w:t>
            </w:r>
            <w:r>
              <w:rPr>
                <w:rStyle w:val="Text111"/>
              </w:rPr>
              <w:bookmarkStart w:id="2805" w:name="idm45965202229776"/>
              <w:t/>
              <w:bookmarkEnd w:id="2805"/>
            </w:r>
            <w:r>
              <w:t xml:space="preserve"> the contents of the file named by </w:t>
            </w:r>
            <w:r>
              <w:rPr>
                <w:rStyle w:val="Text3"/>
              </w:rPr>
              <w:t>src</w:t>
            </w:r>
            <w:r>
              <w:t xml:space="preserve">, which must exist, and creates or overwrites the file </w:t>
            </w:r>
            <w:r>
              <w:rPr>
                <w:rStyle w:val="Text3"/>
              </w:rPr>
              <w:t>dst</w:t>
            </w:r>
            <w:r>
              <w:t xml:space="preserve"> (</w:t>
            </w:r>
            <w:r>
              <w:rPr>
                <w:rStyle w:val="Text3"/>
              </w:rPr>
              <w:t>src</w:t>
            </w:r>
            <w:r>
              <w:t xml:space="preserve"> and </w:t>
            </w:r>
            <w:r>
              <w:rPr>
                <w:rStyle w:val="Text3"/>
              </w:rPr>
              <w:t>dst</w:t>
            </w:r>
            <w:r>
              <w:t xml:space="preserve"> are strings or instances of </w:t>
            </w:r>
            <w:r>
              <w:rPr>
                <w:rStyle w:val="Text0"/>
              </w:rPr>
              <w:t>pathlib.Path</w:t>
            </w:r>
            <w:r>
              <w:t xml:space="preserve">). If </w:t>
            </w:r>
            <w:r>
              <w:rPr>
                <w:rStyle w:val="Text3"/>
              </w:rPr>
              <w:t>dst</w:t>
            </w:r>
            <w:r>
              <w:t xml:space="preserve"> is a directory, the target is a file with the same base name as </w:t>
            </w:r>
            <w:r>
              <w:rPr>
                <w:rStyle w:val="Text3"/>
              </w:rPr>
              <w:t>src</w:t>
            </w:r>
            <w:r>
              <w:t xml:space="preserve">, but located in </w:t>
            </w:r>
            <w:r>
              <w:rPr>
                <w:rStyle w:val="Text3"/>
              </w:rPr>
              <w:t>dst</w:t>
            </w:r>
            <w:r>
              <w:t xml:space="preserve">. </w:t>
            </w:r>
            <w:r>
              <w:rPr>
                <w:rStyle w:val="Text0"/>
              </w:rPr>
              <w:t>copy</w:t>
            </w:r>
            <w:r>
              <w:t xml:space="preserve"> also copies permission bits, but not last access and modification times. Returns the path to the destination file it has copied to.</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copy2</w:t>
            </w:r>
          </w:p>
        </w:tc>
        <w:tc>
          <w:tcPr>
            <w:tcW w:type="auto" w:w="0"/>
            <w:shd w:val="clear" w:color="auto" w:fill="EEF2F6"/>
            <w:tcMar>
              <w:left w:type="dxa" w:w="200"/>
              <w:top w:type="dxa" w:w="200"/>
              <w:right w:type="dxa" w:w="200"/>
              <w:bottom w:type="dxa" w:w="200"/>
            </w:tcMar>
          </w:tcPr>
          <w:p>
            <w:pPr>
              <w:pStyle w:val="Para 002"/>
            </w:pPr>
            <w:r>
              <w:rPr>
                <w:rStyle w:val="Text0"/>
              </w:rPr>
              <w:t>copy2(</w:t>
            </w:r>
            <w:r>
              <w:rPr>
                <w:rStyle w:val="Text3"/>
              </w:rPr>
              <w:t>src</w:t>
            </w:r>
            <w:r>
              <w:rPr>
                <w:rStyle w:val="Text0"/>
              </w:rPr>
              <w:t>,</w:t>
            </w:r>
            <w:r>
              <w:t xml:space="preserve"> </w:t>
            </w:r>
            <w:r>
              <w:rPr>
                <w:rStyle w:val="Text3"/>
              </w:rPr>
              <w:t>dst</w:t>
            </w:r>
            <w:r>
              <w:rPr>
                <w:rStyle w:val="Text0"/>
              </w:rPr>
              <w:t>)</w:t>
              <w:br w:clear="none"/>
            </w:r>
            <w:r>
              <w:t xml:space="preserve"> Like </w:t>
            </w:r>
            <w:r>
              <w:rPr>
                <w:rStyle w:val="Text0"/>
              </w:rPr>
              <w:t>copy</w:t>
            </w:r>
            <w:r>
              <w:t>, but also copies last access time and modification time.</w:t>
            </w:r>
          </w:p>
        </w:tc>
      </w:tr>
    </w:tbl>
    <w:tbl>
      <w:tblPr>
        <w:tblW w:type="auto" w:w="0"/>
      </w:tblPr>
      <w:tr>
        <w:tc>
          <w:tcPr>
            <w:tcW w:type="auto" w:w="0"/>
            <w:tcMar>
              <w:left w:type="dxa" w:w="200"/>
              <w:top w:type="dxa" w:w="200"/>
              <w:right w:type="dxa" w:w="200"/>
              <w:bottom w:type="dxa" w:w="200"/>
            </w:tcMar>
          </w:tcPr>
          <w:p>
            <w:pPr>
              <w:pStyle w:val="Para 001"/>
            </w:pPr>
            <w:r>
              <w:t>copyfile</w:t>
            </w:r>
          </w:p>
        </w:tc>
        <w:tc>
          <w:tcPr>
            <w:tcW w:type="auto" w:w="0"/>
            <w:tcMar>
              <w:left w:type="dxa" w:w="200"/>
              <w:top w:type="dxa" w:w="200"/>
              <w:right w:type="dxa" w:w="200"/>
              <w:bottom w:type="dxa" w:w="200"/>
            </w:tcMar>
          </w:tcPr>
          <w:p>
            <w:pPr>
              <w:pStyle w:val="Para 002"/>
            </w:pPr>
            <w:r>
              <w:rPr>
                <w:rStyle w:val="Text0"/>
              </w:rPr>
              <w:t>copyfile(</w:t>
            </w:r>
            <w:r>
              <w:rPr>
                <w:rStyle w:val="Text3"/>
              </w:rPr>
              <w:t>src</w:t>
            </w:r>
            <w:r>
              <w:rPr>
                <w:rStyle w:val="Text0"/>
              </w:rPr>
              <w:t>,</w:t>
            </w:r>
            <w:r>
              <w:t xml:space="preserve"> </w:t>
            </w:r>
            <w:r>
              <w:rPr>
                <w:rStyle w:val="Text3"/>
              </w:rPr>
              <w:t>dst</w:t>
            </w:r>
            <w:r>
              <w:rPr>
                <w:rStyle w:val="Text0"/>
              </w:rPr>
              <w:t>)</w:t>
              <w:br w:clear="none"/>
            </w:r>
            <w:r>
              <w:t xml:space="preserve"> Copies</w:t>
            </w:r>
            <w:r>
              <w:rPr>
                <w:rStyle w:val="Text111"/>
              </w:rPr>
              <w:bookmarkStart w:id="2806" w:name="idm45965202211504"/>
              <w:t/>
              <w:bookmarkEnd w:id="2806"/>
            </w:r>
            <w:r>
              <w:t xml:space="preserve"> just the contents (not permission bits, nor last access and modification times) of the file named by </w:t>
            </w:r>
            <w:r>
              <w:rPr>
                <w:rStyle w:val="Text3"/>
              </w:rPr>
              <w:t>src</w:t>
            </w:r>
            <w:r>
              <w:t xml:space="preserve">, creating or overwriting the file named by </w:t>
            </w:r>
            <w:r>
              <w:rPr>
                <w:rStyle w:val="Text3"/>
              </w:rPr>
              <w:t>dst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copyf⁠i⁠l⁠e​o⁠b⁠j</w:t>
            </w:r>
          </w:p>
        </w:tc>
        <w:tc>
          <w:tcPr>
            <w:tcW w:type="auto" w:w="0"/>
            <w:shd w:val="clear" w:color="auto" w:fill="EEF2F6"/>
            <w:tcMar>
              <w:left w:type="dxa" w:w="200"/>
              <w:top w:type="dxa" w:w="200"/>
              <w:right w:type="dxa" w:w="200"/>
              <w:bottom w:type="dxa" w:w="200"/>
            </w:tcMar>
          </w:tcPr>
          <w:p>
            <w:pPr>
              <w:pStyle w:val="Para 002"/>
            </w:pPr>
            <w:r>
              <w:rPr>
                <w:rStyle w:val="Text0"/>
              </w:rPr>
              <w:t>copyfileobj(</w:t>
            </w:r>
            <w:r>
              <w:rPr>
                <w:rStyle w:val="Text3"/>
              </w:rPr>
              <w:t>fsrc</w:t>
            </w:r>
            <w:r>
              <w:rPr>
                <w:rStyle w:val="Text0"/>
              </w:rPr>
              <w:t>,</w:t>
            </w:r>
            <w:r>
              <w:t xml:space="preserve"> </w:t>
            </w:r>
            <w:r>
              <w:rPr>
                <w:rStyle w:val="Text3"/>
              </w:rPr>
              <w:t>fdst</w:t>
            </w:r>
            <w:r>
              <w:rPr>
                <w:rStyle w:val="Text0"/>
              </w:rPr>
              <w:t>, bufsize=16384)</w:t>
              <w:br w:clear="none"/>
            </w:r>
            <w:r>
              <w:t xml:space="preserve"> Copies</w:t>
            </w:r>
            <w:r>
              <w:rPr>
                <w:rStyle w:val="Text111"/>
              </w:rPr>
              <w:bookmarkStart w:id="2807" w:name="idm45965202204112"/>
              <w:t/>
              <w:bookmarkEnd w:id="2807"/>
            </w:r>
            <w:r>
              <w:t xml:space="preserve"> all bytes from file object </w:t>
            </w:r>
            <w:r>
              <w:rPr>
                <w:rStyle w:val="Text3"/>
              </w:rPr>
              <w:t>fsrc</w:t>
            </w:r>
            <w:r>
              <w:t xml:space="preserve">, which must be open for reading, to file object </w:t>
            </w:r>
            <w:r>
              <w:rPr>
                <w:rStyle w:val="Text3"/>
              </w:rPr>
              <w:t>fdst</w:t>
            </w:r>
            <w:r>
              <w:t xml:space="preserve">, which must be open for writing. Copies up to </w:t>
            </w:r>
            <w:r>
              <w:rPr>
                <w:rStyle w:val="Text0"/>
              </w:rPr>
              <w:t>bufsize</w:t>
            </w:r>
            <w:r>
              <w:t xml:space="preserve"> bytes at a time if </w:t>
            </w:r>
            <w:r>
              <w:rPr>
                <w:rStyle w:val="Text3"/>
              </w:rPr>
              <w:t>bufsize</w:t>
            </w:r>
            <w:r>
              <w:t xml:space="preserve"> is greater than </w:t>
            </w:r>
            <w:r>
              <w:rPr>
                <w:rStyle w:val="Text0"/>
              </w:rPr>
              <w:t>0</w:t>
            </w:r>
            <w:r>
              <w:t xml:space="preserve">. File objects are covered in </w:t>
            </w:r>
            <w:hyperlink w:anchor="The_io_Module__As_mentioned_in_t">
              <w:r>
                <w:rPr>
                  <w:rStyle w:val="Text1"/>
                </w:rPr>
                <w:t>“The io Module”</w:t>
              </w:r>
            </w:hyperlink>
            <w:r>
              <w:t>.</w:t>
            </w:r>
          </w:p>
        </w:tc>
      </w:tr>
    </w:tbl>
    <w:tbl>
      <w:tblPr>
        <w:tblW w:type="auto" w:w="0"/>
      </w:tblPr>
      <w:tr>
        <w:tc>
          <w:tcPr>
            <w:tcW w:type="auto" w:w="0"/>
            <w:tcMar>
              <w:left w:type="dxa" w:w="200"/>
              <w:top w:type="dxa" w:w="200"/>
              <w:right w:type="dxa" w:w="200"/>
              <w:bottom w:type="dxa" w:w="200"/>
            </w:tcMar>
          </w:tcPr>
          <w:p>
            <w:pPr>
              <w:pStyle w:val="Para 001"/>
            </w:pPr>
            <w:r>
              <w:t>copymode</w:t>
            </w:r>
          </w:p>
        </w:tc>
        <w:tc>
          <w:tcPr>
            <w:tcW w:type="auto" w:w="0"/>
            <w:tcMar>
              <w:left w:type="dxa" w:w="200"/>
              <w:top w:type="dxa" w:w="200"/>
              <w:right w:type="dxa" w:w="200"/>
              <w:bottom w:type="dxa" w:w="200"/>
            </w:tcMar>
          </w:tcPr>
          <w:p>
            <w:pPr>
              <w:pStyle w:val="Para 002"/>
            </w:pPr>
            <w:r>
              <w:rPr>
                <w:rStyle w:val="Text0"/>
              </w:rPr>
              <w:t>copymode(</w:t>
            </w:r>
            <w:r>
              <w:rPr>
                <w:rStyle w:val="Text3"/>
              </w:rPr>
              <w:t>src</w:t>
            </w:r>
            <w:r>
              <w:rPr>
                <w:rStyle w:val="Text0"/>
              </w:rPr>
              <w:t>,</w:t>
            </w:r>
            <w:r>
              <w:t xml:space="preserve"> </w:t>
            </w:r>
            <w:r>
              <w:rPr>
                <w:rStyle w:val="Text3"/>
              </w:rPr>
              <w:t>dst</w:t>
            </w:r>
            <w:r>
              <w:rPr>
                <w:rStyle w:val="Text0"/>
              </w:rPr>
              <w:t>)</w:t>
              <w:br w:clear="none"/>
            </w:r>
            <w:r>
              <w:t xml:space="preserve"> Copies</w:t>
            </w:r>
            <w:r>
              <w:rPr>
                <w:rStyle w:val="Text111"/>
              </w:rPr>
              <w:bookmarkStart w:id="2808" w:name="idm45965202193552"/>
              <w:t/>
              <w:bookmarkEnd w:id="2808"/>
            </w:r>
            <w:r>
              <w:t xml:space="preserve"> permission bits of the file or directory named by </w:t>
            </w:r>
            <w:r>
              <w:rPr>
                <w:rStyle w:val="Text3"/>
              </w:rPr>
              <w:t>src</w:t>
            </w:r>
            <w:r>
              <w:t xml:space="preserve"> to the file or directory named by </w:t>
            </w:r>
            <w:r>
              <w:rPr>
                <w:rStyle w:val="Text3"/>
              </w:rPr>
              <w:t>dst</w:t>
            </w:r>
            <w:r>
              <w:t xml:space="preserve">. Both </w:t>
            </w:r>
            <w:r>
              <w:rPr>
                <w:rStyle w:val="Text3"/>
              </w:rPr>
              <w:t>src</w:t>
            </w:r>
            <w:r>
              <w:t xml:space="preserve"> and </w:t>
            </w:r>
            <w:r>
              <w:rPr>
                <w:rStyle w:val="Text3"/>
              </w:rPr>
              <w:t>dst</w:t>
            </w:r>
            <w:r>
              <w:t xml:space="preserve"> must exist. Does not change </w:t>
            </w:r>
            <w:r>
              <w:rPr>
                <w:rStyle w:val="Text3"/>
              </w:rPr>
              <w:t>dst</w:t>
            </w:r>
            <w:r>
              <w:t>’s contents, nor its status as being a file or a directory.</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copystat</w:t>
            </w:r>
          </w:p>
        </w:tc>
        <w:tc>
          <w:tcPr>
            <w:tcW w:type="auto" w:w="0"/>
            <w:shd w:val="clear" w:color="auto" w:fill="EEF2F6"/>
            <w:tcMar>
              <w:left w:type="dxa" w:w="200"/>
              <w:top w:type="dxa" w:w="200"/>
              <w:right w:type="dxa" w:w="200"/>
              <w:bottom w:type="dxa" w:w="200"/>
            </w:tcMar>
          </w:tcPr>
          <w:p>
            <w:pPr>
              <w:pStyle w:val="Para 002"/>
            </w:pPr>
            <w:r>
              <w:rPr>
                <w:rStyle w:val="Text0"/>
              </w:rPr>
              <w:t>copystat(</w:t>
            </w:r>
            <w:r>
              <w:rPr>
                <w:rStyle w:val="Text3"/>
              </w:rPr>
              <w:t>src</w:t>
            </w:r>
            <w:r>
              <w:rPr>
                <w:rStyle w:val="Text0"/>
              </w:rPr>
              <w:t>,</w:t>
            </w:r>
            <w:r>
              <w:t xml:space="preserve"> </w:t>
            </w:r>
            <w:r>
              <w:rPr>
                <w:rStyle w:val="Text3"/>
              </w:rPr>
              <w:t>dst</w:t>
            </w:r>
            <w:r>
              <w:rPr>
                <w:rStyle w:val="Text0"/>
              </w:rPr>
              <w:t>)</w:t>
              <w:br w:clear="none"/>
            </w:r>
            <w:r>
              <w:t xml:space="preserve"> Copies</w:t>
            </w:r>
            <w:r>
              <w:rPr>
                <w:rStyle w:val="Text111"/>
              </w:rPr>
              <w:bookmarkStart w:id="2809" w:name="idm45965202183552"/>
              <w:t/>
              <w:bookmarkEnd w:id="2809"/>
            </w:r>
            <w:r>
              <w:t xml:space="preserve"> permission bits and times of last access and modification of the file or directory named by </w:t>
            </w:r>
            <w:r>
              <w:rPr>
                <w:rStyle w:val="Text3"/>
              </w:rPr>
              <w:t>src</w:t>
            </w:r>
            <w:r>
              <w:t xml:space="preserve"> to the file or directory named by </w:t>
            </w:r>
            <w:r>
              <w:rPr>
                <w:rStyle w:val="Text3"/>
              </w:rPr>
              <w:t>dst</w:t>
            </w:r>
            <w:r>
              <w:t xml:space="preserve">. Both </w:t>
            </w:r>
            <w:r>
              <w:rPr>
                <w:rStyle w:val="Text3"/>
              </w:rPr>
              <w:t>src</w:t>
            </w:r>
            <w:r>
              <w:t xml:space="preserve"> and </w:t>
            </w:r>
            <w:r>
              <w:rPr>
                <w:rStyle w:val="Text3"/>
              </w:rPr>
              <w:t>dst</w:t>
            </w:r>
            <w:r>
              <w:t xml:space="preserve"> must exist. Does not change </w:t>
            </w:r>
            <w:r>
              <w:rPr>
                <w:rStyle w:val="Text3"/>
              </w:rPr>
              <w:t>dst</w:t>
            </w:r>
            <w:r>
              <w:t>’s contents, nor its status as being a file or a directory.</w:t>
            </w:r>
          </w:p>
        </w:tc>
      </w:tr>
    </w:tbl>
    <w:tbl>
      <w:tblPr>
        <w:tblW w:type="auto" w:w="0"/>
      </w:tblPr>
      <w:tr>
        <w:tc>
          <w:tcPr>
            <w:tcW w:type="auto" w:w="0"/>
            <w:tcMar>
              <w:left w:type="dxa" w:w="200"/>
              <w:top w:type="dxa" w:w="200"/>
              <w:right w:type="dxa" w:w="200"/>
              <w:bottom w:type="dxa" w:w="200"/>
            </w:tcMar>
          </w:tcPr>
          <w:p>
            <w:pPr>
              <w:pStyle w:val="Para 001"/>
            </w:pPr>
            <w:r>
              <w:t>copytree</w:t>
            </w:r>
          </w:p>
        </w:tc>
        <w:tc>
          <w:tcPr>
            <w:tcW w:type="auto" w:w="0"/>
            <w:tcMar>
              <w:left w:type="dxa" w:w="200"/>
              <w:top w:type="dxa" w:w="200"/>
              <w:right w:type="dxa" w:w="200"/>
              <w:bottom w:type="dxa" w:w="200"/>
            </w:tcMar>
          </w:tcPr>
          <w:p>
            <w:pPr>
              <w:pStyle w:val="Para 002"/>
            </w:pPr>
            <w:r>
              <w:rPr>
                <w:rStyle w:val="Text0"/>
              </w:rPr>
              <w:t>copytree(</w:t>
            </w:r>
            <w:r>
              <w:rPr>
                <w:rStyle w:val="Text3"/>
              </w:rPr>
              <w:t>src</w:t>
            </w:r>
            <w:r>
              <w:rPr>
                <w:rStyle w:val="Text0"/>
              </w:rPr>
              <w:t>,</w:t>
            </w:r>
            <w:r>
              <w:t xml:space="preserve"> </w:t>
            </w:r>
            <w:r>
              <w:rPr>
                <w:rStyle w:val="Text3"/>
              </w:rPr>
              <w:t>dst</w:t>
            </w:r>
            <w:r>
              <w:rPr>
                <w:rStyle w:val="Text0"/>
              </w:rPr>
              <w:t>, symlinks=</w:t>
            </w:r>
            <w:r>
              <w:rPr>
                <w:rStyle w:val="Text5"/>
              </w:rPr>
              <w:t>False</w:t>
            </w:r>
            <w:r>
              <w:rPr>
                <w:rStyle w:val="Text0"/>
              </w:rPr>
              <w:t>,</w:t>
            </w:r>
            <w:r>
              <w:t xml:space="preserve"> </w:t>
            </w:r>
            <w:r>
              <w:rPr>
                <w:rStyle w:val="Text0"/>
              </w:rPr>
              <w:t>ignore=</w:t>
            </w:r>
            <w:r>
              <w:rPr>
                <w:rStyle w:val="Text5"/>
              </w:rPr>
              <w:t>None</w:t>
            </w:r>
            <w:r>
              <w:rPr>
                <w:rStyle w:val="Text0"/>
              </w:rPr>
              <w:t>, copy_function=copy2, ignore_dangling_symlinks=</w:t>
            </w:r>
            <w:r>
              <w:rPr>
                <w:rStyle w:val="Text5"/>
              </w:rPr>
              <w:t>False</w:t>
            </w:r>
            <w:r>
              <w:rPr>
                <w:rStyle w:val="Text0"/>
              </w:rPr>
              <w:t>, dirs_exist_ok=</w:t>
            </w:r>
            <w:r>
              <w:rPr>
                <w:rStyle w:val="Text5"/>
              </w:rPr>
              <w:t>False</w:t>
            </w:r>
            <w:r>
              <w:rPr>
                <w:rStyle w:val="Text0"/>
              </w:rPr>
              <w:t>)</w:t>
              <w:br w:clear="none"/>
            </w:r>
            <w:r>
              <w:t xml:space="preserve"> Copies</w:t>
            </w:r>
            <w:r>
              <w:rPr>
                <w:rStyle w:val="Text111"/>
              </w:rPr>
              <w:bookmarkStart w:id="2810" w:name="idm45965202170656"/>
              <w:t/>
              <w:bookmarkEnd w:id="2810"/>
            </w:r>
            <w:r>
              <w:t xml:space="preserve"> the directory tree rooted at the directory named by </w:t>
            </w:r>
            <w:r>
              <w:rPr>
                <w:rStyle w:val="Text3"/>
              </w:rPr>
              <w:t>src</w:t>
            </w:r>
            <w:r>
              <w:t xml:space="preserve"> into the destination directory named by </w:t>
            </w:r>
            <w:r>
              <w:rPr>
                <w:rStyle w:val="Text3"/>
              </w:rPr>
              <w:t>dst</w:t>
            </w:r>
            <w:r>
              <w:rPr>
                <w:rStyle w:val="Text4"/>
              </w:rPr>
              <w:t>.</w:t>
            </w:r>
            <w:r>
              <w:t xml:space="preserve"> </w:t>
            </w:r>
            <w:r>
              <w:rPr>
                <w:rStyle w:val="Text3"/>
              </w:rPr>
              <w:t>dst</w:t>
            </w:r>
            <w:r>
              <w:t xml:space="preserve"> must not already exist: </w:t>
            </w:r>
            <w:r>
              <w:rPr>
                <w:rStyle w:val="Text0"/>
              </w:rPr>
              <w:t>copytree</w:t>
            </w:r>
            <w:r>
              <w:t xml:space="preserve"> creates it (as well as creating any missing parent directories). </w:t>
            </w:r>
            <w:r>
              <w:rPr>
                <w:rStyle w:val="Text0"/>
              </w:rPr>
              <w:t>copytree</w:t>
            </w:r>
            <w:r>
              <w:t xml:space="preserve"> copies each file using the function </w:t>
            </w:r>
            <w:r>
              <w:rPr>
                <w:rStyle w:val="Text0"/>
              </w:rPr>
              <w:t>copy2</w:t>
            </w:r>
            <w:r>
              <w:t xml:space="preserve">, by default; you can optionally pass a different file-copy function as named argument </w:t>
            </w:r>
            <w:r>
              <w:rPr>
                <w:rStyle w:val="Text0"/>
              </w:rPr>
              <w:t>copy_function</w:t>
            </w:r>
            <w:r>
              <w:t xml:space="preserve">. If any exceptions occur during the copy process, </w:t>
            </w:r>
            <w:r>
              <w:rPr>
                <w:rStyle w:val="Text0"/>
              </w:rPr>
              <w:t>copytree</w:t>
            </w:r>
            <w:r>
              <w:t xml:space="preserve"> will record them internally and continue, raising </w:t>
            </w:r>
            <w:r>
              <w:rPr>
                <w:rStyle w:val="Text0"/>
              </w:rPr>
              <w:t>Error</w:t>
            </w:r>
            <w:r>
              <w:t xml:space="preserve"> at the end containing the list of all the recorded exceptions.</w:t>
              <w:br w:clear="none"/>
              <w:t xml:space="preserve"> When </w:t>
            </w:r>
            <w:r>
              <w:rPr>
                <w:rStyle w:val="Text0"/>
              </w:rPr>
              <w:t>symlinks</w:t>
            </w:r>
            <w:r>
              <w:t xml:space="preserve"> is </w:t>
            </w:r>
            <w:r>
              <w:rPr>
                <w:rStyle w:val="Text5"/>
              </w:rPr>
              <w:t>True</w:t>
            </w:r>
            <w:r>
              <w:t xml:space="preserve">, </w:t>
            </w:r>
            <w:r>
              <w:rPr>
                <w:rStyle w:val="Text0"/>
              </w:rPr>
              <w:t>copytree</w:t>
            </w:r>
            <w:r>
              <w:t xml:space="preserve"> creates symbolic links in the new tree when it finds symbolic links in the source tree. When </w:t>
            </w:r>
            <w:r>
              <w:rPr>
                <w:rStyle w:val="Text0"/>
              </w:rPr>
              <w:t>symlinks</w:t>
            </w:r>
            <w:r>
              <w:t xml:space="preserve"> is </w:t>
            </w:r>
            <w:r>
              <w:rPr>
                <w:rStyle w:val="Text5"/>
              </w:rPr>
              <w:t>False</w:t>
            </w:r>
            <w:r>
              <w:t xml:space="preserve">, </w:t>
            </w:r>
            <w:r>
              <w:rPr>
                <w:rStyle w:val="Text0"/>
              </w:rPr>
              <w:t>copytree</w:t>
            </w:r>
            <w:r>
              <w:t xml:space="preserve"> follows each symbolic link it finds and copies the linked-to file with the link’s name, recording an exception if the linked file does not exist (if </w:t>
            </w:r>
            <w:r>
              <w:rPr>
                <w:rStyle w:val="Text0"/>
              </w:rPr>
              <w:t>ignore_dangling_symlinks=</w:t>
            </w:r>
            <w:r>
              <w:rPr>
                <w:rStyle w:val="Text5"/>
              </w:rPr>
              <w:t>True</w:t>
            </w:r>
            <w:r>
              <w:t xml:space="preserve">, this exception is ignored). On platforms that do not have the concept of a symbolic link, </w:t>
            </w:r>
            <w:r>
              <w:rPr>
                <w:rStyle w:val="Text0"/>
              </w:rPr>
              <w:t>copytree</w:t>
            </w:r>
            <w:r>
              <w:t xml:space="preserve"> ignores the argument </w:t>
            </w:r>
            <w:r>
              <w:rPr>
                <w:rStyle w:val="Text0"/>
              </w:rPr>
              <w:t>symlinks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copytree</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When </w:t>
            </w:r>
            <w:r>
              <w:rPr>
                <w:rStyle w:val="Text0"/>
              </w:rPr>
              <w:t>ignore</w:t>
            </w:r>
            <w:r>
              <w:t xml:space="preserve"> is not </w:t>
            </w:r>
            <w:r>
              <w:rPr>
                <w:rStyle w:val="Text5"/>
              </w:rPr>
              <w:t>None</w:t>
            </w:r>
            <w:r>
              <w:t xml:space="preserve">, it must be a callable accepting two arguments (a directory path and a list of the immediate children of the directory) and returning a list of the children to be ignored in the copy process. If present, </w:t>
            </w:r>
            <w:r>
              <w:rPr>
                <w:rStyle w:val="Text0"/>
              </w:rPr>
              <w:t>ignore</w:t>
            </w:r>
            <w:r>
              <w:t xml:space="preserve"> is often the result of a call to </w:t>
            </w:r>
            <w:r>
              <w:rPr>
                <w:rStyle w:val="Text0"/>
              </w:rPr>
              <w:t>shutil.ignore_patterns</w:t>
            </w:r>
            <w:r>
              <w:t xml:space="preserve">. For example, this code: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shutil</w:t>
              <w:br w:clear="none"/>
            </w:r>
            <w:r>
              <w:rPr>
                <w:rStyle w:val="Text6"/>
              </w:rPr>
              <w:t xml:space="preserve"/>
              <w:br w:clear="none"/>
            </w:r>
            <w:r>
              <w:t xml:space="preserve">ignore</w:t>
              <w:br w:clear="none"/>
            </w:r>
            <w:r>
              <w:rPr>
                <w:rStyle w:val="Text6"/>
              </w:rPr>
              <w:t xml:space="preserve"> </w:t>
              <w:br w:clear="none"/>
            </w:r>
            <w:r>
              <w:rPr>
                <w:rStyle w:val="Text13"/>
              </w:rPr>
              <w:t xml:space="preserve">=</w:t>
              <w:br w:clear="none"/>
            </w:r>
            <w:r>
              <w:rPr>
                <w:rStyle w:val="Text6"/>
              </w:rPr>
              <w:t xml:space="preserve"> </w:t>
              <w:br w:clear="none"/>
            </w:r>
            <w:r>
              <w:t xml:space="preserve">shutil</w:t>
              <w:br w:clear="none"/>
            </w:r>
            <w:r>
              <w:rPr>
                <w:rStyle w:val="Text13"/>
              </w:rPr>
              <w:t xml:space="preserve">.</w:t>
              <w:br w:clear="none"/>
            </w:r>
            <w:r>
              <w:t xml:space="preserve">ignore_patterns</w:t>
              <w:br w:clear="none"/>
            </w:r>
            <w:r>
              <w:rPr>
                <w:rStyle w:val="Text7"/>
              </w:rPr>
              <w:t xml:space="preserve">(</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*.bak</w:t>
              <w:br w:clear="none"/>
              <w:t xml:space="preserve">'</w:t>
              <w:br w:clear="none"/>
            </w:r>
            <w:r>
              <w:rPr>
                <w:rStyle w:val="Text7"/>
              </w:rPr>
              <w:t xml:space="preserve">)</w:t>
              <w:br w:clear="none"/>
            </w:r>
            <w:r>
              <w:rPr>
                <w:rStyle w:val="Text6"/>
              </w:rPr>
              <w:t xml:space="preserve"/>
              <w:br w:clear="none"/>
            </w:r>
            <w:r>
              <w:t xml:space="preserve">shutil</w:t>
              <w:br w:clear="none"/>
            </w:r>
            <w:r>
              <w:rPr>
                <w:rStyle w:val="Text13"/>
              </w:rPr>
              <w:t xml:space="preserve">.</w:t>
              <w:br w:clear="none"/>
            </w:r>
            <w:r>
              <w:t xml:space="preserve">copytree</w:t>
              <w:br w:clear="none"/>
            </w:r>
            <w:r>
              <w:rPr>
                <w:rStyle w:val="Text7"/>
              </w:rPr>
              <w:t xml:space="preserve">(</w:t>
              <w:br w:clear="none"/>
            </w:r>
            <w:r>
              <w:rPr>
                <w:rStyle w:val="Text8"/>
              </w:rPr>
              <w:t xml:space="preserve">'</w:t>
              <w:br w:clear="none"/>
              <w:t xml:space="preserve">src</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dst</w:t>
              <w:br w:clear="none"/>
              <w:t xml:space="preserve">'</w:t>
              <w:br w:clear="none"/>
            </w:r>
            <w:r>
              <w:rPr>
                <w:rStyle w:val="Text7"/>
              </w:rPr>
              <w:t xml:space="preserve">,</w:t>
              <w:br w:clear="none"/>
            </w:r>
            <w:r>
              <w:rPr>
                <w:rStyle w:val="Text6"/>
              </w:rPr>
              <w:t xml:space="preserve"> </w:t>
              <w:br w:clear="none"/>
            </w:r>
            <w:r>
              <w:t xml:space="preserve">ignore</w:t>
              <w:br w:clear="none"/>
            </w:r>
            <w:r>
              <w:rPr>
                <w:rStyle w:val="Text13"/>
              </w:rPr>
              <w:t xml:space="preserve">=</w:t>
              <w:br w:clear="none"/>
            </w:r>
            <w:r>
              <w:t xml:space="preserve">ignore</w:t>
              <w:br w:clear="none"/>
            </w:r>
            <w:r>
              <w:rPr>
                <w:rStyle w:val="Text7"/>
              </w:rPr>
              <w:t xml:space="preserve">)</w:t>
              <w:br w:clear="none"/>
            </w:r>
          </w:p>
          <w:p>
            <w:pPr>
              <w:pStyle w:val="Para 022"/>
            </w:pPr>
            <w:r>
              <w:t xml:space="preserve"> copies the tree rooted at directory </w:t>
            </w:r>
            <w:r>
              <w:rPr>
                <w:rStyle w:val="Text0"/>
              </w:rPr>
              <w:t>src</w:t>
            </w:r>
            <w:r>
              <w:t xml:space="preserve"> into a new tree rooted at directory </w:t>
            </w:r>
            <w:r>
              <w:rPr>
                <w:rStyle w:val="Text0"/>
              </w:rPr>
              <w:t>dst</w:t>
            </w:r>
            <w:r>
              <w:t xml:space="preserve">, ignoring any file or subdirectory whose name starts with a dot and any file or subdirectory whose name ends with </w:t>
            </w:r>
            <w:r>
              <w:rPr>
                <w:rStyle w:val="Text4"/>
              </w:rPr>
              <w:t>.bak</w:t>
            </w:r>
            <w:r>
              <w:t>.</w:t>
              <w:br w:clear="none"/>
              <w:t xml:space="preserve"> By default, </w:t>
            </w:r>
            <w:r>
              <w:rPr>
                <w:rStyle w:val="Text0"/>
              </w:rPr>
              <w:t>copytree</w:t>
            </w:r>
            <w:r>
              <w:t xml:space="preserve"> will record a </w:t>
            </w:r>
            <w:r>
              <w:rPr>
                <w:rStyle w:val="Text0"/>
              </w:rPr>
              <w:t>FileExistsError</w:t>
            </w:r>
            <w:r>
              <w:t xml:space="preserve"> exception if a target directory already exists. </w:t>
            </w:r>
            <w:r>
              <w:rPr>
                <w:rStyle w:val="Text34"/>
              </w:rPr>
              <w:t>3.8+</w:t>
            </w:r>
            <w:r>
              <w:t xml:space="preserve"> You can set </w:t>
            </w:r>
            <w:r>
              <w:rPr>
                <w:rStyle w:val="Text0"/>
              </w:rPr>
              <w:t>dirs_exist_ok</w:t>
            </w:r>
            <w:r>
              <w:t xml:space="preserve"> to </w:t>
            </w:r>
            <w:r>
              <w:rPr>
                <w:rStyle w:val="Text5"/>
              </w:rPr>
              <w:t>True</w:t>
            </w:r>
            <w:r>
              <w:t xml:space="preserve"> to allow </w:t>
            </w:r>
            <w:r>
              <w:rPr>
                <w:rStyle w:val="Text0"/>
              </w:rPr>
              <w:t>copytree</w:t>
            </w:r>
            <w:r>
              <w:t xml:space="preserve"> to write into existing directories found in the copying process (and potentially overwrite their contents).</w:t>
            </w:r>
          </w:p>
        </w:tc>
      </w:tr>
    </w:tbl>
    <w:tbl>
      <w:tblPr>
        <w:tblW w:type="auto" w:w="0"/>
      </w:tblPr>
      <w:tr>
        <w:tc>
          <w:tcPr>
            <w:tcW w:type="auto" w:w="0"/>
            <w:tcMar>
              <w:left w:type="dxa" w:w="200"/>
              <w:top w:type="dxa" w:w="200"/>
              <w:right w:type="dxa" w:w="200"/>
              <w:bottom w:type="dxa" w:w="200"/>
            </w:tcMar>
          </w:tcPr>
          <w:p>
            <w:pPr>
              <w:pStyle w:val="Para 001"/>
            </w:pPr>
            <w:r>
              <w:t>igno⁠r⁠e⁠_​p⁠a⁠t⁠terns</w:t>
            </w:r>
          </w:p>
        </w:tc>
        <w:tc>
          <w:tcPr>
            <w:tcW w:type="auto" w:w="0"/>
            <w:tcMar>
              <w:left w:type="dxa" w:w="200"/>
              <w:top w:type="dxa" w:w="200"/>
              <w:right w:type="dxa" w:w="200"/>
              <w:bottom w:type="dxa" w:w="200"/>
            </w:tcMar>
          </w:tcPr>
          <w:p>
            <w:pPr>
              <w:pStyle w:val="Para 002"/>
            </w:pPr>
            <w:r>
              <w:rPr>
                <w:rStyle w:val="Text0"/>
              </w:rPr>
              <w:t>ignore_patterns(</w:t>
            </w:r>
            <w:r>
              <w:rPr>
                <w:rStyle w:val="Text3"/>
              </w:rPr>
              <w:t>*patterns</w:t>
            </w:r>
            <w:r>
              <w:rPr>
                <w:rStyle w:val="Text0"/>
              </w:rPr>
              <w:t>)</w:t>
              <w:br w:clear="none"/>
            </w:r>
            <w:r>
              <w:t xml:space="preserve"> Returns a callable picking out files and subdirectories matching </w:t>
            </w:r>
            <w:r>
              <w:rPr>
                <w:rStyle w:val="Text3"/>
              </w:rPr>
              <w:t>patterns</w:t>
            </w:r>
            <w:r>
              <w:t xml:space="preserve">, like those used in the </w:t>
            </w:r>
            <w:r>
              <w:rPr>
                <w:rStyle w:val="Text0"/>
              </w:rPr>
              <w:t>fnmatch</w:t>
            </w:r>
            <w:r>
              <w:t xml:space="preserve"> module (see </w:t>
            </w:r>
            <w:hyperlink w:anchor="The_fnmatch_Module__The_fnmatch">
              <w:r>
                <w:rPr>
                  <w:rStyle w:val="Text1"/>
                </w:rPr>
                <w:t>“The fnmatch Module”</w:t>
              </w:r>
            </w:hyperlink>
            <w:r>
              <w:t xml:space="preserve">). The result is suitable for passing as the </w:t>
            </w:r>
            <w:r>
              <w:rPr>
                <w:rStyle w:val="Text0"/>
              </w:rPr>
              <w:t>ignore</w:t>
            </w:r>
            <w:r>
              <w:t xml:space="preserve"> argument to the </w:t>
            </w:r>
            <w:r>
              <w:rPr>
                <w:rStyle w:val="Text0"/>
              </w:rPr>
              <w:t>copytree</w:t>
            </w:r>
            <w:r>
              <w:t xml:space="preserve">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move</w:t>
            </w:r>
          </w:p>
        </w:tc>
        <w:tc>
          <w:tcPr>
            <w:tcW w:type="auto" w:w="0"/>
            <w:shd w:val="clear" w:color="auto" w:fill="EEF2F6"/>
            <w:tcMar>
              <w:left w:type="dxa" w:w="200"/>
              <w:top w:type="dxa" w:w="200"/>
              <w:right w:type="dxa" w:w="200"/>
              <w:bottom w:type="dxa" w:w="200"/>
            </w:tcMar>
          </w:tcPr>
          <w:p>
            <w:pPr>
              <w:pStyle w:val="Para 002"/>
            </w:pPr>
            <w:r>
              <w:rPr>
                <w:rStyle w:val="Text0"/>
              </w:rPr>
              <w:t>move(</w:t>
            </w:r>
            <w:r>
              <w:rPr>
                <w:rStyle w:val="Text3"/>
              </w:rPr>
              <w:t>src</w:t>
            </w:r>
            <w:r>
              <w:rPr>
                <w:rStyle w:val="Text0"/>
              </w:rPr>
              <w:t>,</w:t>
            </w:r>
            <w:r>
              <w:t xml:space="preserve"> </w:t>
            </w:r>
            <w:r>
              <w:rPr>
                <w:rStyle w:val="Text3"/>
              </w:rPr>
              <w:t>dst</w:t>
            </w:r>
            <w:r>
              <w:rPr>
                <w:rStyle w:val="Text0"/>
              </w:rPr>
              <w:t>, copy_function=copy2)</w:t>
              <w:br w:clear="none"/>
            </w:r>
            <w:r>
              <w:t xml:space="preserve"> Moves</w:t>
            </w:r>
            <w:r>
              <w:rPr>
                <w:rStyle w:val="Text111"/>
              </w:rPr>
              <w:bookmarkStart w:id="2811" w:name="idm45965202070784"/>
              <w:t/>
              <w:bookmarkEnd w:id="2811"/>
            </w:r>
            <w:r>
              <w:t xml:space="preserve"> the file or directory named by </w:t>
            </w:r>
            <w:r>
              <w:rPr>
                <w:rStyle w:val="Text3"/>
              </w:rPr>
              <w:t>src</w:t>
            </w:r>
            <w:r>
              <w:t xml:space="preserve"> to that named by </w:t>
            </w:r>
            <w:r>
              <w:rPr>
                <w:rStyle w:val="Text3"/>
              </w:rPr>
              <w:t>dst</w:t>
            </w:r>
            <w:r>
              <w:t xml:space="preserve">. </w:t>
            </w:r>
            <w:r>
              <w:rPr>
                <w:rStyle w:val="Text0"/>
              </w:rPr>
              <w:t>move</w:t>
            </w:r>
            <w:r>
              <w:t xml:space="preserve"> first tries using </w:t>
            </w:r>
            <w:r>
              <w:rPr>
                <w:rStyle w:val="Text0"/>
              </w:rPr>
              <w:t>os.rename</w:t>
            </w:r>
            <w:r>
              <w:t xml:space="preserve">. Then, if that fails (because </w:t>
            </w:r>
            <w:r>
              <w:rPr>
                <w:rStyle w:val="Text3"/>
              </w:rPr>
              <w:t>src</w:t>
            </w:r>
            <w:r>
              <w:t xml:space="preserve"> and </w:t>
            </w:r>
            <w:r>
              <w:rPr>
                <w:rStyle w:val="Text3"/>
              </w:rPr>
              <w:t>dst</w:t>
            </w:r>
            <w:r>
              <w:t xml:space="preserve"> are on separate filesystems, or because </w:t>
            </w:r>
            <w:r>
              <w:rPr>
                <w:rStyle w:val="Text3"/>
              </w:rPr>
              <w:t>dst</w:t>
            </w:r>
            <w:r>
              <w:t xml:space="preserve"> already exists), </w:t>
            </w:r>
            <w:r>
              <w:rPr>
                <w:rStyle w:val="Text0"/>
              </w:rPr>
              <w:t>move</w:t>
            </w:r>
            <w:r>
              <w:t xml:space="preserve"> copies </w:t>
            </w:r>
            <w:r>
              <w:rPr>
                <w:rStyle w:val="Text3"/>
              </w:rPr>
              <w:t>src</w:t>
            </w:r>
            <w:r>
              <w:t xml:space="preserve"> to </w:t>
            </w:r>
            <w:r>
              <w:rPr>
                <w:rStyle w:val="Text3"/>
              </w:rPr>
              <w:t>dst</w:t>
            </w:r>
            <w:r>
              <w:t xml:space="preserve"> (using </w:t>
            </w:r>
            <w:r>
              <w:rPr>
                <w:rStyle w:val="Text0"/>
              </w:rPr>
              <w:t>copy2</w:t>
            </w:r>
            <w:r>
              <w:t xml:space="preserve"> for a file or </w:t>
            </w:r>
            <w:r>
              <w:rPr>
                <w:rStyle w:val="Text0"/>
              </w:rPr>
              <w:t>copytree</w:t>
            </w:r>
            <w:r>
              <w:t xml:space="preserve"> for a directory by default; you can optionally pass a file-copy function other than </w:t>
            </w:r>
            <w:r>
              <w:rPr>
                <w:rStyle w:val="Text0"/>
              </w:rPr>
              <w:t>copy2</w:t>
            </w:r>
            <w:r>
              <w:t xml:space="preserve"> as the named argument </w:t>
            </w:r>
            <w:r>
              <w:rPr>
                <w:rStyle w:val="Text0"/>
              </w:rPr>
              <w:t>copy_function</w:t>
            </w:r>
            <w:r>
              <w:t xml:space="preserve">), then removes </w:t>
            </w:r>
            <w:r>
              <w:rPr>
                <w:rStyle w:val="Text3"/>
              </w:rPr>
              <w:t>src</w:t>
            </w:r>
            <w:r>
              <w:t xml:space="preserve"> (using </w:t>
            </w:r>
            <w:r>
              <w:rPr>
                <w:rStyle w:val="Text0"/>
              </w:rPr>
              <w:t>os.unlink</w:t>
            </w:r>
            <w:r>
              <w:t xml:space="preserve"> for a file, </w:t>
            </w:r>
            <w:r>
              <w:rPr>
                <w:rStyle w:val="Text0"/>
              </w:rPr>
              <w:t>rmtree</w:t>
            </w:r>
            <w:r>
              <w:t xml:space="preserve"> for a directory).</w:t>
            </w:r>
          </w:p>
        </w:tc>
      </w:tr>
    </w:tbl>
    <w:tbl>
      <w:tblPr>
        <w:tblW w:type="auto" w:w="0"/>
      </w:tblPr>
      <w:tr>
        <w:tc>
          <w:tcPr>
            <w:tcW w:type="auto" w:w="0"/>
            <w:tcMar>
              <w:left w:type="dxa" w:w="200"/>
              <w:top w:type="dxa" w:w="200"/>
              <w:right w:type="dxa" w:w="200"/>
              <w:bottom w:type="dxa" w:w="200"/>
            </w:tcMar>
          </w:tcPr>
          <w:p>
            <w:pPr>
              <w:pStyle w:val="Para 001"/>
            </w:pPr>
            <w:r>
              <w:t>rmtree</w:t>
            </w:r>
          </w:p>
        </w:tc>
        <w:tc>
          <w:tcPr>
            <w:tcW w:type="auto" w:w="0"/>
            <w:tcMar>
              <w:left w:type="dxa" w:w="200"/>
              <w:top w:type="dxa" w:w="200"/>
              <w:right w:type="dxa" w:w="200"/>
              <w:bottom w:type="dxa" w:w="200"/>
            </w:tcMar>
          </w:tcPr>
          <w:p>
            <w:pPr>
              <w:pStyle w:val="Para 002"/>
            </w:pPr>
            <w:r>
              <w:rPr>
                <w:rStyle w:val="Text0"/>
              </w:rPr>
              <w:t>rmtree(</w:t>
            </w:r>
            <w:r>
              <w:rPr>
                <w:rStyle w:val="Text3"/>
              </w:rPr>
              <w:t>path</w:t>
            </w:r>
            <w:r>
              <w:rPr>
                <w:rStyle w:val="Text0"/>
              </w:rPr>
              <w:t>,</w:t>
            </w:r>
            <w:r>
              <w:t xml:space="preserve"> </w:t>
            </w:r>
            <w:r>
              <w:rPr>
                <w:rStyle w:val="Text0"/>
              </w:rPr>
              <w:t>ignore_errors=</w:t>
            </w:r>
            <w:r>
              <w:rPr>
                <w:rStyle w:val="Text5"/>
              </w:rPr>
              <w:t>False</w:t>
            </w:r>
            <w:r>
              <w:rPr>
                <w:rStyle w:val="Text0"/>
              </w:rPr>
              <w:t>,</w:t>
            </w:r>
            <w:r>
              <w:t xml:space="preserve"> </w:t>
            </w:r>
            <w:r>
              <w:rPr>
                <w:rStyle w:val="Text0"/>
              </w:rPr>
              <w:t>onerror=</w:t>
            </w:r>
            <w:r>
              <w:rPr>
                <w:rStyle w:val="Text5"/>
              </w:rPr>
              <w:t>None</w:t>
            </w:r>
            <w:r>
              <w:rPr>
                <w:rStyle w:val="Text0"/>
              </w:rPr>
              <w:t>)</w:t>
              <w:br w:clear="none"/>
            </w:r>
            <w:r>
              <w:t xml:space="preserve"> Removes</w:t>
            </w:r>
            <w:r>
              <w:rPr>
                <w:rStyle w:val="Text111"/>
              </w:rPr>
              <w:bookmarkStart w:id="2812" w:name="idm45965202051120"/>
              <w:t/>
              <w:bookmarkEnd w:id="2812"/>
            </w:r>
            <w:r>
              <w:t xml:space="preserve"> the directory tree rooted at </w:t>
            </w:r>
            <w:r>
              <w:rPr>
                <w:rStyle w:val="Text3"/>
              </w:rPr>
              <w:t>path</w:t>
            </w:r>
            <w:r>
              <w:t xml:space="preserve">. When </w:t>
            </w:r>
            <w:r>
              <w:rPr>
                <w:rStyle w:val="Text0"/>
              </w:rPr>
              <w:t>ignore_errors</w:t>
            </w:r>
            <w:r>
              <w:t xml:space="preserve"> is </w:t>
            </w:r>
            <w:r>
              <w:rPr>
                <w:rStyle w:val="Text5"/>
              </w:rPr>
              <w:t>True</w:t>
            </w:r>
            <w:r>
              <w:t xml:space="preserve">, </w:t>
            </w:r>
            <w:r>
              <w:rPr>
                <w:rStyle w:val="Text0"/>
              </w:rPr>
              <w:t>rmtree</w:t>
            </w:r>
            <w:r>
              <w:t xml:space="preserve"> ignores errors. When </w:t>
            </w:r>
            <w:r>
              <w:rPr>
                <w:rStyle w:val="Text0"/>
              </w:rPr>
              <w:t>ignore_errors</w:t>
            </w:r>
            <w:r>
              <w:t xml:space="preserve"> is </w:t>
            </w:r>
            <w:r>
              <w:rPr>
                <w:rStyle w:val="Text5"/>
              </w:rPr>
              <w:t>False</w:t>
            </w:r>
            <w:r>
              <w:t xml:space="preserve"> and </w:t>
            </w:r>
            <w:r>
              <w:rPr>
                <w:rStyle w:val="Text0"/>
              </w:rPr>
              <w:t>onerror</w:t>
            </w:r>
            <w:r>
              <w:t xml:space="preserve"> is </w:t>
            </w:r>
            <w:r>
              <w:rPr>
                <w:rStyle w:val="Text5"/>
              </w:rPr>
              <w:t>None</w:t>
            </w:r>
            <w:r>
              <w:t xml:space="preserve">, errors raise exceptions. When </w:t>
            </w:r>
            <w:r>
              <w:rPr>
                <w:rStyle w:val="Text0"/>
              </w:rPr>
              <w:t>onerror</w:t>
            </w:r>
            <w:r>
              <w:t xml:space="preserve"> is not </w:t>
            </w:r>
            <w:r>
              <w:rPr>
                <w:rStyle w:val="Text5"/>
              </w:rPr>
              <w:t>None</w:t>
            </w:r>
            <w:r>
              <w:t xml:space="preserve">, it must be callable with three parameters: </w:t>
            </w:r>
            <w:r>
              <w:rPr>
                <w:rStyle w:val="Text3"/>
              </w:rPr>
              <w:t>func</w:t>
            </w:r>
            <w:r>
              <w:t xml:space="preserve">, </w:t>
            </w:r>
            <w:r>
              <w:rPr>
                <w:rStyle w:val="Text3"/>
              </w:rPr>
              <w:t>path</w:t>
            </w:r>
            <w:r>
              <w:t xml:space="preserve">, and </w:t>
            </w:r>
            <w:r>
              <w:rPr>
                <w:rStyle w:val="Text3"/>
              </w:rPr>
              <w:t>ex</w:t>
            </w:r>
            <w:r>
              <w:t xml:space="preserve">. </w:t>
            </w:r>
            <w:r>
              <w:rPr>
                <w:rStyle w:val="Text3"/>
              </w:rPr>
              <w:t>func</w:t>
            </w:r>
            <w:r>
              <w:t xml:space="preserve"> is the function raising the exception (</w:t>
            </w:r>
            <w:r>
              <w:rPr>
                <w:rStyle w:val="Text0"/>
              </w:rPr>
              <w:t>os.remove</w:t>
            </w:r>
            <w:r>
              <w:t xml:space="preserve"> or </w:t>
            </w:r>
            <w:r>
              <w:rPr>
                <w:rStyle w:val="Text0"/>
              </w:rPr>
              <w:t>os.rmdir</w:t>
            </w:r>
            <w:r>
              <w:t xml:space="preserve">), </w:t>
            </w:r>
            <w:r>
              <w:rPr>
                <w:rStyle w:val="Text3"/>
              </w:rPr>
              <w:t>path</w:t>
            </w:r>
            <w:r>
              <w:t xml:space="preserve"> is the path passed to </w:t>
            </w:r>
            <w:r>
              <w:rPr>
                <w:rStyle w:val="Text3"/>
              </w:rPr>
              <w:t>func</w:t>
            </w:r>
            <w:r>
              <w:t xml:space="preserve">, and </w:t>
            </w:r>
            <w:r>
              <w:rPr>
                <w:rStyle w:val="Text3"/>
              </w:rPr>
              <w:t>ex</w:t>
            </w:r>
            <w:r>
              <w:t xml:space="preserve"> is the tuple of information </w:t>
            </w:r>
            <w:r>
              <w:rPr>
                <w:rStyle w:val="Text0"/>
              </w:rPr>
              <w:t>sys.exc_info</w:t>
            </w:r>
            <w:r>
              <w:t xml:space="preserve"> returns. When </w:t>
            </w:r>
            <w:r>
              <w:rPr>
                <w:rStyle w:val="Text0"/>
              </w:rPr>
              <w:t>onerror</w:t>
            </w:r>
            <w:r>
              <w:t xml:space="preserve"> raises an exception, </w:t>
            </w:r>
            <w:r>
              <w:rPr>
                <w:rStyle w:val="Text0"/>
              </w:rPr>
              <w:t>rmtree</w:t>
            </w:r>
            <w:r>
              <w:t xml:space="preserve"> terminates, and the exception propagates.</w:t>
            </w:r>
          </w:p>
        </w:tc>
      </w:tr>
    </w:tbl>
    <w:p>
      <w:pPr>
        <w:pStyle w:val="Normal"/>
      </w:pPr>
      <w:r>
        <w:t xml:space="preserve">Beyond offering functions that are directly useful, the source file </w:t>
      </w:r>
      <w:r>
        <w:rPr>
          <w:rStyle w:val="Text4"/>
        </w:rPr>
        <w:t>shutil.py</w:t>
      </w:r>
      <w:r>
        <w:t xml:space="preserve"> in the Python stdlib is an excellent example of how to use many of the </w:t>
      </w:r>
      <w:r>
        <w:rPr>
          <w:rStyle w:val="Text0"/>
        </w:rPr>
        <w:t>os</w:t>
      </w:r>
      <w:r>
        <w:t xml:space="preserve"> functions.</w:t>
      </w:r>
      <w:r>
        <w:rPr>
          <w:rStyle w:val="Text111"/>
        </w:rPr>
        <w:bookmarkStart w:id="2813" w:name="idm45965202031696"/>
        <w:t/>
        <w:bookmarkEnd w:id="2813"/>
        <w:bookmarkStart w:id="2814" w:name="idm45965202030320"/>
        <w:t/>
        <w:bookmarkEnd w:id="2814"/>
        <w:bookmarkStart w:id="2815" w:name="idm45965202028912"/>
        <w:t/>
        <w:bookmarkEnd w:id="2815"/>
        <w:bookmarkStart w:id="2816" w:name="idm45965202027536"/>
        <w:t/>
        <w:bookmarkEnd w:id="2816"/>
        <w:bookmarkStart w:id="2817" w:name="idm45965202026160"/>
        <w:t/>
        <w:bookmarkEnd w:id="2817"/>
      </w:r>
    </w:p>
    <w:p>
      <w:bookmarkStart w:id="2818" w:name="Text_Input_and_Output__Python_pr"/>
      <w:pPr>
        <w:keepNext/>
        <w:pStyle w:val="Heading 1"/>
      </w:pPr>
      <w:r>
        <w:t>Text Input and Output</w:t>
      </w:r>
      <w:bookmarkEnd w:id="2818"/>
    </w:p>
    <w:p>
      <w:pPr>
        <w:pStyle w:val="Normal"/>
      </w:pPr>
      <w:r>
        <w:t>Python</w:t>
      </w:r>
      <w:r>
        <w:rPr>
          <w:rStyle w:val="Text111"/>
        </w:rPr>
        <w:bookmarkStart w:id="2819" w:name="FTOtinout11"/>
        <w:t/>
        <w:bookmarkEnd w:id="2819"/>
        <w:bookmarkStart w:id="2820" w:name="testinout11"/>
        <w:t/>
        <w:bookmarkEnd w:id="2820"/>
      </w:r>
      <w:r>
        <w:t xml:space="preserve"> presents non-GUI text input and output streams to Python programs as file objects, so you can use the methods of file objects (covered in </w:t>
      </w:r>
      <w:hyperlink w:anchor="Attributes_and_Methods_of_File_O">
        <w:r>
          <w:rPr>
            <w:rStyle w:val="Text1"/>
          </w:rPr>
          <w:t>“Attributes and Methods of File Objects”</w:t>
        </w:r>
      </w:hyperlink>
      <w:r>
        <w:t>) to operate on these streams.</w:t>
      </w:r>
    </w:p>
    <w:p>
      <w:bookmarkStart w:id="2821" w:name="Standard_Output_and_Standard_Err"/>
      <w:pPr>
        <w:keepNext/>
        <w:pStyle w:val="Heading 2"/>
      </w:pPr>
      <w:r>
        <w:t>Standard Output and Standard Error</w:t>
      </w:r>
      <w:bookmarkEnd w:id="2821"/>
    </w:p>
    <w:p>
      <w:pPr>
        <w:pStyle w:val="Normal"/>
      </w:pPr>
      <w:r>
        <w:t>The</w:t>
      </w:r>
      <w:r>
        <w:rPr>
          <w:rStyle w:val="Text111"/>
        </w:rPr>
        <w:bookmarkStart w:id="2822" w:name="idm45965202016640"/>
        <w:t/>
        <w:bookmarkEnd w:id="2822"/>
        <w:bookmarkStart w:id="2823" w:name="idm45965202015536"/>
        <w:t/>
        <w:bookmarkEnd w:id="2823"/>
      </w:r>
      <w:r>
        <w:t xml:space="preserve"> </w:t>
      </w:r>
      <w:r>
        <w:rPr>
          <w:rStyle w:val="Text0"/>
        </w:rPr>
        <w:t>sys</w:t>
      </w:r>
      <w:r>
        <w:t xml:space="preserve"> module (covered in </w:t>
      </w:r>
      <w:hyperlink w:anchor="The_sys_Module__The_attributes_o">
        <w:r>
          <w:rPr>
            <w:rStyle w:val="Text1"/>
          </w:rPr>
          <w:t>“The sys Module”</w:t>
        </w:r>
      </w:hyperlink>
      <w:r>
        <w:t>) has the attributes</w:t>
      </w:r>
      <w:r>
        <w:rPr>
          <w:rStyle w:val="Text111"/>
        </w:rPr>
        <w:bookmarkStart w:id="2824" w:name="idm45965202012272"/>
        <w:t/>
        <w:bookmarkEnd w:id="2824"/>
        <w:bookmarkStart w:id="2825" w:name="idm45965202011136"/>
        <w:t/>
        <w:bookmarkEnd w:id="2825"/>
      </w:r>
      <w:r>
        <w:t xml:space="preserve"> </w:t>
      </w:r>
      <w:r>
        <w:rPr>
          <w:rStyle w:val="Text0"/>
        </w:rPr>
        <w:t>stdout</w:t>
      </w:r>
      <w:r>
        <w:t xml:space="preserve"> and </w:t>
      </w:r>
      <w:r>
        <w:rPr>
          <w:rStyle w:val="Text0"/>
        </w:rPr>
        <w:t>stderr</w:t>
      </w:r>
      <w:r>
        <w:t>, which are writable file objects. Unless you are using shell redirection or pipes, these streams connect to the “terminal” running your script. Nowadays, actual terminals are very rare: a so-called terminal is generally a screen window that supports text I/O.</w:t>
      </w:r>
    </w:p>
    <w:p>
      <w:pPr>
        <w:pStyle w:val="Normal"/>
      </w:pPr>
      <w:r>
        <w:t>The</w:t>
      </w:r>
      <w:r>
        <w:rPr>
          <w:rStyle w:val="Text111"/>
        </w:rPr>
        <w:bookmarkStart w:id="2826" w:name="idm45965202008176"/>
        <w:t/>
        <w:bookmarkEnd w:id="2826"/>
        <w:bookmarkStart w:id="2827" w:name="idm45965202006688"/>
        <w:t/>
        <w:bookmarkEnd w:id="2827"/>
      </w:r>
      <w:r>
        <w:t xml:space="preserve"> distinction between </w:t>
      </w:r>
      <w:r>
        <w:rPr>
          <w:rStyle w:val="Text0"/>
        </w:rPr>
        <w:t>sys.stdout</w:t>
      </w:r>
      <w:r>
        <w:t xml:space="preserve"> and </w:t>
      </w:r>
      <w:r>
        <w:rPr>
          <w:rStyle w:val="Text0"/>
        </w:rPr>
        <w:t>sys.stderr</w:t>
      </w:r>
      <w:r>
        <w:t xml:space="preserve"> is a matter of convention. </w:t>
      </w:r>
      <w:r>
        <w:rPr>
          <w:rStyle w:val="Text0"/>
        </w:rPr>
        <w:t>sys.stdout</w:t>
      </w:r>
      <w:r>
        <w:t>, known as</w:t>
      </w:r>
      <w:r>
        <w:rPr>
          <w:rStyle w:val="Text111"/>
        </w:rPr>
        <w:bookmarkStart w:id="2828" w:name="idm45965202003296"/>
        <w:t/>
        <w:bookmarkEnd w:id="2828"/>
      </w:r>
      <w:r>
        <w:t xml:space="preserve"> </w:t>
      </w:r>
      <w:r>
        <w:rPr>
          <w:rStyle w:val="Text4"/>
        </w:rPr>
        <w:t>standard output</w:t>
      </w:r>
      <w:r>
        <w:t xml:space="preserve">, is where your program emits results. </w:t>
      </w:r>
      <w:r>
        <w:rPr>
          <w:rStyle w:val="Text0"/>
        </w:rPr>
        <w:t>sys.stderr</w:t>
      </w:r>
      <w:r>
        <w:t>, known as</w:t>
      </w:r>
      <w:r>
        <w:rPr>
          <w:rStyle w:val="Text111"/>
        </w:rPr>
        <w:bookmarkStart w:id="2829" w:name="idm45965202000896"/>
        <w:t/>
        <w:bookmarkEnd w:id="2829"/>
      </w:r>
      <w:r>
        <w:t xml:space="preserve"> </w:t>
      </w:r>
      <w:r>
        <w:rPr>
          <w:rStyle w:val="Text4"/>
        </w:rPr>
        <w:t>standard error</w:t>
      </w:r>
      <w:r>
        <w:t xml:space="preserve">, is where output such as error, status, or progress messages should go. Separating program output from status and error messages helps you use shell redirection effectively. Python respects this convention, using </w:t>
      </w:r>
      <w:r>
        <w:rPr>
          <w:rStyle w:val="Text0"/>
        </w:rPr>
        <w:t>sys.stderr</w:t>
      </w:r>
      <w:r>
        <w:t xml:space="preserve"> for its own errors and warnings.</w:t>
      </w:r>
    </w:p>
    <w:p>
      <w:bookmarkStart w:id="2830" w:name="The_print_Function__Programs_tha"/>
      <w:pPr>
        <w:keepNext/>
        <w:pStyle w:val="Heading 2"/>
      </w:pPr>
      <w:r>
        <w:t>The print Function</w:t>
      </w:r>
      <w:bookmarkEnd w:id="2830"/>
    </w:p>
    <w:p>
      <w:pPr>
        <w:pStyle w:val="Normal"/>
      </w:pPr>
      <w:r>
        <w:t>Programs</w:t>
      </w:r>
      <w:r>
        <w:rPr>
          <w:rStyle w:val="Text111"/>
        </w:rPr>
        <w:bookmarkStart w:id="2831" w:name="idm45965201996784"/>
        <w:t/>
        <w:bookmarkEnd w:id="2831"/>
      </w:r>
      <w:r>
        <w:t xml:space="preserve"> that output results to standard output often need to write to </w:t>
      </w:r>
      <w:r>
        <w:rPr>
          <w:rStyle w:val="Text0"/>
        </w:rPr>
        <w:t>sys.stdout</w:t>
      </w:r>
      <w:r>
        <w:t xml:space="preserve">. Python’s </w:t>
      </w:r>
      <w:r>
        <w:rPr>
          <w:rStyle w:val="Text0"/>
        </w:rPr>
        <w:t>print</w:t>
      </w:r>
      <w:r>
        <w:t xml:space="preserve"> function (covered in </w:t>
      </w:r>
      <w:hyperlink w:anchor="Table_8_2__Python_s_core_built_i">
        <w:r>
          <w:rPr>
            <w:rStyle w:val="Text1"/>
          </w:rPr>
          <w:t>Table 8-2</w:t>
        </w:r>
      </w:hyperlink>
      <w:r>
        <w:t xml:space="preserve">) can be a rich, convenient alternative to </w:t>
      </w:r>
      <w:r>
        <w:rPr>
          <w:rStyle w:val="Text0"/>
        </w:rPr>
        <w:t>sys.stdout.write</w:t>
      </w:r>
      <w:r>
        <w:t xml:space="preserve">. </w:t>
      </w:r>
      <w:r>
        <w:rPr>
          <w:rStyle w:val="Text0"/>
        </w:rPr>
        <w:t>print</w:t>
      </w:r>
      <w:r>
        <w:t xml:space="preserve"> is fine for the informal output used during development to help you debug your code, but for production output, you may need more control of formatting than </w:t>
      </w:r>
      <w:r>
        <w:rPr>
          <w:rStyle w:val="Text0"/>
        </w:rPr>
        <w:t>print</w:t>
      </w:r>
      <w:r>
        <w:t xml:space="preserve"> affords. For example, you may need to control spacing, field widths, the number of decimal places for floating-point values, and so on. If so, you can prepare the output as an f-string (covered in </w:t>
      </w:r>
      <w:hyperlink w:anchor="String_Formatting__Python_provid">
        <w:r>
          <w:rPr>
            <w:rStyle w:val="Text1"/>
          </w:rPr>
          <w:t>“String Formatting”</w:t>
        </w:r>
      </w:hyperlink>
      <w:r>
        <w:t xml:space="preserve">), then output the string, usually with the </w:t>
      </w:r>
      <w:r>
        <w:rPr>
          <w:rStyle w:val="Text0"/>
        </w:rPr>
        <w:t>write</w:t>
      </w:r>
      <w:r>
        <w:t xml:space="preserve"> method of the appropriate file object. (You can pass formatted strings to </w:t>
      </w:r>
      <w:r>
        <w:rPr>
          <w:rStyle w:val="Text0"/>
        </w:rPr>
        <w:t>print</w:t>
      </w:r>
      <w:r>
        <w:t xml:space="preserve">, but </w:t>
      </w:r>
      <w:r>
        <w:rPr>
          <w:rStyle w:val="Text0"/>
        </w:rPr>
        <w:t>print</w:t>
      </w:r>
      <w:r>
        <w:t xml:space="preserve"> may add spaces and newlines; the </w:t>
      </w:r>
      <w:r>
        <w:rPr>
          <w:rStyle w:val="Text0"/>
        </w:rPr>
        <w:t>write</w:t>
      </w:r>
      <w:r>
        <w:t xml:space="preserve"> method adds nothing at all, so it’s easier for you to control what exactly gets output.)</w:t>
      </w:r>
    </w:p>
    <w:p>
      <w:pPr>
        <w:pStyle w:val="Normal"/>
      </w:pPr>
      <w:r>
        <w:t xml:space="preserve">If you need to direct output to a file </w:t>
      </w:r>
      <w:r>
        <w:rPr>
          <w:rStyle w:val="Text3"/>
        </w:rPr>
        <w:t>f</w:t>
      </w:r>
      <w:r>
        <w:t xml:space="preserve"> that is open for writing, just calling </w:t>
      </w:r>
      <w:r>
        <w:rPr>
          <w:rStyle w:val="Text3"/>
        </w:rPr>
        <w:t>f</w:t>
      </w:r>
      <w:r>
        <w:rPr>
          <w:rStyle w:val="Text0"/>
        </w:rPr>
        <w:t>.write</w:t>
      </w:r>
      <w:r>
        <w:t xml:space="preserve"> is often best, while </w:t>
      </w:r>
      <w:r>
        <w:rPr>
          <w:rStyle w:val="Text0"/>
        </w:rPr>
        <w:t>print(..., file=</w:t>
      </w:r>
      <w:r>
        <w:rPr>
          <w:rStyle w:val="Text3"/>
        </w:rPr>
        <w:t>f</w:t>
      </w:r>
      <w:r>
        <w:rPr>
          <w:rStyle w:val="Text0"/>
        </w:rPr>
        <w:t>)</w:t>
      </w:r>
      <w:r>
        <w:t xml:space="preserve"> is sometimes a handy alternative. To repeatedly direct the output from </w:t>
      </w:r>
      <w:r>
        <w:rPr>
          <w:rStyle w:val="Text0"/>
        </w:rPr>
        <w:t>print</w:t>
      </w:r>
      <w:r>
        <w:t xml:space="preserve"> calls to a certain file, you can temporarily change the value of </w:t>
      </w:r>
      <w:r>
        <w:rPr>
          <w:rStyle w:val="Text0"/>
        </w:rPr>
        <w:t>sys.stdout</w:t>
      </w:r>
      <w:r>
        <w:t xml:space="preserve">. The following example is a general-purpose redirection function usable for such a temporary change; in the presence of multitasking, make sure to also add a lock in order to avoid any contention (see also the </w:t>
      </w:r>
      <w:r>
        <w:rPr>
          <w:rStyle w:val="Text0"/>
        </w:rPr>
        <w:t>contextlib.redirect_stdout</w:t>
      </w:r>
      <w:r>
        <w:t xml:space="preserve"> decorator described in </w:t>
      </w:r>
      <w:hyperlink w:anchor="Table_6_1__Commonly_used_classes">
        <w:r>
          <w:rPr>
            <w:rStyle w:val="Text1"/>
          </w:rPr>
          <w:t>Table 6-1</w:t>
        </w:r>
      </w:hyperlink>
      <w:r>
        <w:t>):</w:t>
      </w:r>
    </w:p>
    <w:p>
      <w:pPr>
        <w:pStyle w:val="Para 043"/>
      </w:pPr>
      <w:r>
        <w:rPr>
          <w:rStyle w:val="Text116"/>
        </w:rPr>
        <w:t xml:space="preserve"/>
        <w:br w:clear="none"/>
      </w:r>
      <w:r>
        <w:rPr>
          <w:rStyle w:val="Text22"/>
        </w:rPr>
        <w:t xml:space="preserve">def</w:t>
        <w:br w:clear="none"/>
      </w:r>
      <w:r>
        <w:rPr>
          <w:rStyle w:val="Text11"/>
        </w:rPr>
        <w:t xml:space="preserve"> </w:t>
        <w:br w:clear="none"/>
      </w:r>
      <w:r>
        <w:rPr>
          <w:rStyle w:val="Text42"/>
        </w:rPr>
        <w:t xml:space="preserve">redirect</w:t>
        <w:br w:clear="none"/>
      </w:r>
      <w:r>
        <w:rPr>
          <w:rStyle w:val="Text19"/>
        </w:rPr>
        <w:t xml:space="preserve">(</w:t>
        <w:br w:clear="none"/>
      </w:r>
      <w:r>
        <w:rPr>
          <w:rStyle w:val="Text14"/>
        </w:rPr>
        <w:t xml:space="preserve">func</w:t>
        <w:br w:clear="none"/>
      </w:r>
      <w:r>
        <w:rPr>
          <w:rStyle w:val="Text19"/>
        </w:rPr>
        <w:t xml:space="preserve">:</w:t>
        <w:br w:clear="none"/>
      </w:r>
      <w:r>
        <w:rPr>
          <w:rStyle w:val="Text11"/>
        </w:rPr>
        <w:t xml:space="preserve"> </w:t>
        <w:br w:clear="none"/>
      </w:r>
      <w:r>
        <w:rPr>
          <w:rStyle w:val="Text14"/>
        </w:rPr>
        <w:t xml:space="preserve">Callable</w:t>
        <w:br w:clear="none"/>
      </w:r>
      <w:r>
        <w:rPr>
          <w:rStyle w:val="Text19"/>
        </w:rPr>
        <w:t xml:space="preserve">,</w:t>
        <w:br w:clear="none"/>
      </w:r>
      <w:r>
        <w:rPr>
          <w:rStyle w:val="Text11"/>
        </w:rPr>
        <w:t xml:space="preserve"> </w:t>
        <w:br w:clear="none"/>
      </w:r>
      <w:r>
        <w:rPr>
          <w:rStyle w:val="Text28"/>
        </w:rPr>
        <w:t xml:space="preserve">*</w:t>
        <w:br w:clear="none"/>
      </w:r>
      <w:r>
        <w:rPr>
          <w:rStyle w:val="Text14"/>
        </w:rPr>
        <w:t xml:space="preserve">a</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k</w:t>
        <w:br w:clear="none"/>
      </w:r>
      <w:r>
        <w:rPr>
          <w:rStyle w:val="Text19"/>
        </w:rPr>
        <w:t xml:space="preserve">)</w:t>
        <w:br w:clear="none"/>
      </w:r>
      <w:r>
        <w:rPr>
          <w:rStyle w:val="Text11"/>
        </w:rPr>
        <w:t xml:space="preserve"> </w:t>
        <w:br w:clear="none"/>
      </w:r>
      <w:r>
        <w:rPr>
          <w:rStyle w:val="Text28"/>
        </w:rPr>
        <w:t xml:space="preserve">-</w:t>
        <w:br w:clear="none"/>
        <w:t xml:space="preserve">&gt;</w:t>
        <w:br w:clear="none"/>
      </w:r>
      <w:r>
        <w:rPr>
          <w:rStyle w:val="Text11"/>
        </w:rPr>
        <w:t xml:space="preserve"> </w:t>
        <w:br w:clear="none"/>
      </w:r>
      <w:r>
        <w:rPr>
          <w:rStyle w:val="Text19"/>
        </w:rPr>
        <w:t xml:space="preserve">(</w:t>
        <w:br w:clear="none"/>
      </w:r>
      <w:r>
        <w:rPr>
          <w:rStyle w:val="Text21"/>
        </w:rPr>
        <w:t xml:space="preserve">str</w:t>
        <w:br w:clear="none"/>
      </w:r>
      <w:r>
        <w:rPr>
          <w:rStyle w:val="Text19"/>
        </w:rPr>
        <w:t xml:space="preserve">,</w:t>
        <w:br w:clear="none"/>
      </w:r>
      <w:r>
        <w:rPr>
          <w:rStyle w:val="Text11"/>
        </w:rPr>
        <w:t xml:space="preserve"> </w:t>
        <w:br w:clear="none"/>
      </w:r>
      <w:r>
        <w:rPr>
          <w:rStyle w:val="Text14"/>
        </w:rPr>
        <w:t xml:space="preserve">Any</w:t>
        <w:br w:clear="none"/>
      </w:r>
      <w:r>
        <w:rPr>
          <w:rStyle w:val="Text19"/>
        </w:rPr>
        <w:t xml:space="preserve">)</w:t>
        <w:br w:clear="none"/>
        <w:t xml:space="preserve">:</w:t>
        <w:br w:clear="none"/>
      </w:r>
      <w:r>
        <w:rPr>
          <w:rStyle w:val="Text11"/>
        </w:rPr>
        <w:t xml:space="preserve"/>
        <w:br w:clear="none"/>
        <w:t xml:space="preserve">    </w:t>
        <w:br w:clear="none"/>
      </w:r>
      <w:r>
        <w:t xml:space="preserve">"""redirect(func, *a, **k) -&gt; (func's results, return value)</w:t>
        <w:br w:clear="none"/>
      </w:r>
      <w:r>
        <w:rPr>
          <w:rStyle w:val="Text4"/>
        </w:rPr>
        <w:t xml:space="preserve"/>
        <w:br w:clear="none"/>
      </w:r>
      <w:r>
        <w:t xml:space="preserve">    func is a callable emitting results to standard output.</w:t>
        <w:br w:clear="none"/>
      </w:r>
      <w:r>
        <w:rPr>
          <w:rStyle w:val="Text4"/>
        </w:rPr>
        <w:t xml:space="preserve"/>
        <w:br w:clear="none"/>
      </w:r>
      <w:r>
        <w:t xml:space="preserve">    redirect captures the results as a str and returns a pair</w:t>
        <w:br w:clear="none"/>
      </w:r>
      <w:r>
        <w:rPr>
          <w:rStyle w:val="Text4"/>
        </w:rPr>
        <w:t xml:space="preserve"/>
        <w:br w:clear="none"/>
      </w:r>
      <w:r>
        <w:t xml:space="preserve">    (output string, return value).</w:t>
        <w:br w:clear="none"/>
      </w:r>
      <w:r>
        <w:rPr>
          <w:rStyle w:val="Text4"/>
        </w:rPr>
        <w:t xml:space="preserve"/>
        <w:br w:clear="none"/>
      </w:r>
      <w:r>
        <w:t xml:space="preserve">    """</w:t>
        <w:br w:clear="none"/>
      </w:r>
      <w:r>
        <w:rPr>
          <w:rStyle w:val="Text11"/>
        </w:rPr>
        <w:t xml:space="preserve"/>
        <w:br w:clear="none"/>
        <w:t xml:space="preserve">    </w:t>
        <w:br w:clear="none"/>
      </w:r>
      <w:r>
        <w:rPr>
          <w:rStyle w:val="Text22"/>
        </w:rPr>
        <w:t xml:space="preserve">import</w:t>
        <w:br w:clear="none"/>
      </w:r>
      <w:r>
        <w:rPr>
          <w:rStyle w:val="Text11"/>
        </w:rPr>
        <w:t xml:space="preserve"> </w:t>
        <w:br w:clear="none"/>
      </w:r>
      <w:r>
        <w:rPr>
          <w:rStyle w:val="Text53"/>
        </w:rPr>
        <w:t xml:space="preserve">sys</w:t>
        <w:br w:clear="none"/>
      </w:r>
      <w:r>
        <w:rPr>
          <w:rStyle w:val="Text28"/>
        </w:rPr>
        <w:t xml:space="preserve">,</w:t>
        <w:br w:clear="none"/>
      </w:r>
      <w:r>
        <w:rPr>
          <w:rStyle w:val="Text11"/>
        </w:rPr>
        <w:t xml:space="preserve"> </w:t>
        <w:br w:clear="none"/>
      </w:r>
      <w:r>
        <w:rPr>
          <w:rStyle w:val="Text53"/>
        </w:rPr>
        <w:t xml:space="preserve">io</w:t>
        <w:br w:clear="none"/>
      </w:r>
      <w:r>
        <w:rPr>
          <w:rStyle w:val="Text11"/>
        </w:rPr>
        <w:t xml:space="preserve"/>
        <w:br w:clear="none"/>
        <w:t xml:space="preserve">    </w:t>
        <w:br w:clear="none"/>
      </w:r>
      <w:r>
        <w:rPr>
          <w:rStyle w:val="Text14"/>
        </w:rPr>
        <w:t xml:space="preserve">save_out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sys</w:t>
        <w:br w:clear="none"/>
      </w:r>
      <w:r>
        <w:rPr>
          <w:rStyle w:val="Text28"/>
        </w:rPr>
        <w:t xml:space="preserve">.</w:t>
        <w:br w:clear="none"/>
      </w:r>
      <w:r>
        <w:rPr>
          <w:rStyle w:val="Text14"/>
        </w:rPr>
        <w:t xml:space="preserve">stdout</w:t>
        <w:br w:clear="none"/>
      </w:r>
      <w:r>
        <w:rPr>
          <w:rStyle w:val="Text11"/>
        </w:rPr>
        <w:t xml:space="preserve"/>
        <w:br w:clear="none"/>
        <w:t xml:space="preserve">    </w:t>
        <w:br w:clear="none"/>
      </w:r>
      <w:r>
        <w:rPr>
          <w:rStyle w:val="Text14"/>
        </w:rPr>
        <w:t xml:space="preserve">sys</w:t>
        <w:br w:clear="none"/>
      </w:r>
      <w:r>
        <w:rPr>
          <w:rStyle w:val="Text28"/>
        </w:rPr>
        <w:t xml:space="preserve">.</w:t>
        <w:br w:clear="none"/>
      </w:r>
      <w:r>
        <w:rPr>
          <w:rStyle w:val="Text14"/>
        </w:rPr>
        <w:t xml:space="preserve">stdout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io</w:t>
        <w:br w:clear="none"/>
      </w:r>
      <w:r>
        <w:rPr>
          <w:rStyle w:val="Text28"/>
        </w:rPr>
        <w:t xml:space="preserve">.</w:t>
        <w:br w:clear="none"/>
      </w:r>
      <w:r>
        <w:rPr>
          <w:rStyle w:val="Text14"/>
        </w:rPr>
        <w:t xml:space="preserve">StringIO</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try</w:t>
        <w:br w:clear="none"/>
      </w:r>
      <w:r>
        <w:rPr>
          <w:rStyle w:val="Text19"/>
        </w:rPr>
        <w:t xml:space="preserve">:</w:t>
        <w:br w:clear="none"/>
      </w:r>
      <w:r>
        <w:rPr>
          <w:rStyle w:val="Text11"/>
        </w:rPr>
        <w:t xml:space="preserve"/>
        <w:br w:clear="none"/>
        <w:t xml:space="preserve">        </w:t>
        <w:br w:clear="none"/>
      </w:r>
      <w:r>
        <w:rPr>
          <w:rStyle w:val="Text14"/>
        </w:rPr>
        <w:t xml:space="preserve">retval</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func</w:t>
        <w:br w:clear="none"/>
      </w:r>
      <w:r>
        <w:rPr>
          <w:rStyle w:val="Text19"/>
        </w:rPr>
        <w:t xml:space="preserve">(</w:t>
        <w:br w:clear="none"/>
      </w:r>
      <w:r>
        <w:rPr>
          <w:rStyle w:val="Text28"/>
        </w:rPr>
        <w:t xml:space="preserve">*</w:t>
        <w:br w:clear="none"/>
      </w:r>
      <w:r>
        <w:rPr>
          <w:rStyle w:val="Text14"/>
        </w:rPr>
        <w:t xml:space="preserve">args</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kwds</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sys</w:t>
        <w:br w:clear="none"/>
      </w:r>
      <w:r>
        <w:rPr>
          <w:rStyle w:val="Text28"/>
        </w:rPr>
        <w:t xml:space="preserve">.</w:t>
        <w:br w:clear="none"/>
      </w:r>
      <w:r>
        <w:rPr>
          <w:rStyle w:val="Text14"/>
        </w:rPr>
        <w:t xml:space="preserve">stdout</w:t>
        <w:br w:clear="none"/>
      </w:r>
      <w:r>
        <w:rPr>
          <w:rStyle w:val="Text28"/>
        </w:rPr>
        <w:t xml:space="preserve">.</w:t>
        <w:br w:clear="none"/>
      </w:r>
      <w:r>
        <w:rPr>
          <w:rStyle w:val="Text14"/>
        </w:rPr>
        <w:t xml:space="preserve">getvalue</w:t>
        <w:br w:clear="none"/>
      </w:r>
      <w:r>
        <w:rPr>
          <w:rStyle w:val="Text19"/>
        </w:rPr>
        <w:t xml:space="preserve">(</w:t>
        <w:br w:clear="none"/>
        <w:t xml:space="preserve">)</w:t>
        <w:br w:clear="none"/>
        <w:t xml:space="preserve">,</w:t>
        <w:br w:clear="none"/>
      </w:r>
      <w:r>
        <w:rPr>
          <w:rStyle w:val="Text11"/>
        </w:rPr>
        <w:t xml:space="preserve"> </w:t>
        <w:br w:clear="none"/>
      </w:r>
      <w:r>
        <w:rPr>
          <w:rStyle w:val="Text14"/>
        </w:rPr>
        <w:t xml:space="preserve">retval</w:t>
        <w:br w:clear="none"/>
      </w:r>
      <w:r>
        <w:rPr>
          <w:rStyle w:val="Text11"/>
        </w:rPr>
        <w:t xml:space="preserve"/>
        <w:br w:clear="none"/>
        <w:t xml:space="preserve">    </w:t>
        <w:br w:clear="none"/>
      </w:r>
      <w:r>
        <w:rPr>
          <w:rStyle w:val="Text22"/>
        </w:rPr>
        <w:t xml:space="preserve">finally</w:t>
        <w:br w:clear="none"/>
      </w:r>
      <w:r>
        <w:rPr>
          <w:rStyle w:val="Text19"/>
        </w:rPr>
        <w:t xml:space="preserve">:</w:t>
        <w:br w:clear="none"/>
      </w:r>
      <w:r>
        <w:rPr>
          <w:rStyle w:val="Text11"/>
        </w:rPr>
        <w:t xml:space="preserve"/>
        <w:br w:clear="none"/>
        <w:t xml:space="preserve">        </w:t>
        <w:br w:clear="none"/>
      </w:r>
      <w:r>
        <w:rPr>
          <w:rStyle w:val="Text14"/>
        </w:rPr>
        <w:t xml:space="preserve">sys</w:t>
        <w:br w:clear="none"/>
      </w:r>
      <w:r>
        <w:rPr>
          <w:rStyle w:val="Text28"/>
        </w:rPr>
        <w:t xml:space="preserve">.</w:t>
        <w:br w:clear="none"/>
      </w:r>
      <w:r>
        <w:rPr>
          <w:rStyle w:val="Text14"/>
        </w:rPr>
        <w:t xml:space="preserve">stdout</w:t>
        <w:br w:clear="none"/>
      </w:r>
      <w:r>
        <w:rPr>
          <w:rStyle w:val="Text28"/>
        </w:rPr>
        <w:t xml:space="preserve">.</w:t>
        <w:br w:clear="none"/>
      </w:r>
      <w:r>
        <w:rPr>
          <w:rStyle w:val="Text14"/>
        </w:rPr>
        <w:t xml:space="preserve">close</w:t>
        <w:br w:clear="none"/>
      </w:r>
      <w:r>
        <w:rPr>
          <w:rStyle w:val="Text19"/>
        </w:rPr>
        <w:t xml:space="preserve">(</w:t>
        <w:br w:clear="none"/>
        <w:t xml:space="preserve">)</w:t>
        <w:br w:clear="none"/>
      </w:r>
      <w:r>
        <w:rPr>
          <w:rStyle w:val="Text11"/>
        </w:rPr>
        <w:t xml:space="preserve"/>
        <w:br w:clear="none"/>
        <w:t xml:space="preserve">        </w:t>
        <w:br w:clear="none"/>
      </w:r>
      <w:r>
        <w:rPr>
          <w:rStyle w:val="Text14"/>
        </w:rPr>
        <w:t xml:space="preserve">sys</w:t>
        <w:br w:clear="none"/>
      </w:r>
      <w:r>
        <w:rPr>
          <w:rStyle w:val="Text28"/>
        </w:rPr>
        <w:t xml:space="preserve">.</w:t>
        <w:br w:clear="none"/>
      </w:r>
      <w:r>
        <w:rPr>
          <w:rStyle w:val="Text14"/>
        </w:rPr>
        <w:t xml:space="preserve">stdout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save_out</w:t>
        <w:br w:clear="none"/>
      </w:r>
    </w:p>
    <w:p>
      <w:bookmarkStart w:id="2832" w:name="Standard_Input__In_addition_to_s"/>
      <w:pPr>
        <w:keepNext/>
        <w:pStyle w:val="Heading 2"/>
      </w:pPr>
      <w:r>
        <w:t>Standard Input</w:t>
      </w:r>
      <w:bookmarkEnd w:id="2832"/>
    </w:p>
    <w:p>
      <w:pPr>
        <w:pStyle w:val="Normal"/>
      </w:pPr>
      <w:r>
        <w:t>In</w:t>
      </w:r>
      <w:r>
        <w:rPr>
          <w:rStyle w:val="Text111"/>
        </w:rPr>
        <w:bookmarkStart w:id="2833" w:name="idm45965201859824"/>
        <w:t/>
        <w:bookmarkEnd w:id="2833"/>
      </w:r>
      <w:r>
        <w:t xml:space="preserve"> addition to </w:t>
      </w:r>
      <w:r>
        <w:rPr>
          <w:rStyle w:val="Text0"/>
        </w:rPr>
        <w:t>stdout</w:t>
      </w:r>
      <w:r>
        <w:t xml:space="preserve"> and </w:t>
      </w:r>
      <w:r>
        <w:rPr>
          <w:rStyle w:val="Text0"/>
        </w:rPr>
        <w:t>stderr,</w:t>
      </w:r>
      <w:r>
        <w:t xml:space="preserve"> the </w:t>
      </w:r>
      <w:r>
        <w:rPr>
          <w:rStyle w:val="Text0"/>
        </w:rPr>
        <w:t>sys</w:t>
      </w:r>
      <w:r>
        <w:t xml:space="preserve"> module provides the</w:t>
      </w:r>
      <w:r>
        <w:rPr>
          <w:rStyle w:val="Text111"/>
        </w:rPr>
        <w:bookmarkStart w:id="2834" w:name="idm45965201877056"/>
        <w:t/>
        <w:bookmarkEnd w:id="2834"/>
      </w:r>
      <w:r>
        <w:t xml:space="preserve"> </w:t>
      </w:r>
      <w:r>
        <w:rPr>
          <w:rStyle w:val="Text0"/>
        </w:rPr>
        <w:t>stdin</w:t>
      </w:r>
      <w:r>
        <w:t xml:space="preserve"> attribute, which is a readable file object. When you need a line of text from the user, you can call the built-in function </w:t>
      </w:r>
      <w:r>
        <w:rPr>
          <w:rStyle w:val="Text0"/>
        </w:rPr>
        <w:t>input</w:t>
      </w:r>
      <w:r>
        <w:t xml:space="preserve"> (covered in </w:t>
      </w:r>
      <w:hyperlink w:anchor="Table_8_2__Python_s_core_built_i">
        <w:r>
          <w:rPr>
            <w:rStyle w:val="Text1"/>
          </w:rPr>
          <w:t>Table 8-2</w:t>
        </w:r>
      </w:hyperlink>
      <w:r>
        <w:t>), optionally with a string argument to use as a prompt.</w:t>
      </w:r>
    </w:p>
    <w:p>
      <w:pPr>
        <w:pStyle w:val="Normal"/>
      </w:pPr>
      <w:r>
        <w:t>When</w:t>
      </w:r>
      <w:r>
        <w:rPr>
          <w:rStyle w:val="Text111"/>
        </w:rPr>
        <w:bookmarkStart w:id="2835" w:name="idm45965201873168"/>
        <w:t/>
        <w:bookmarkEnd w:id="2835"/>
      </w:r>
      <w:r>
        <w:t xml:space="preserve"> the input you need is not a string (for example, when you need a number), use </w:t>
      </w:r>
      <w:r>
        <w:rPr>
          <w:rStyle w:val="Text0"/>
        </w:rPr>
        <w:t>input</w:t>
      </w:r>
      <w:r>
        <w:t xml:space="preserve"> to obtain a string from the user, then other built-ins, such as </w:t>
      </w:r>
      <w:r>
        <w:rPr>
          <w:rStyle w:val="Text0"/>
        </w:rPr>
        <w:t>int</w:t>
      </w:r>
      <w:r>
        <w:t xml:space="preserve">, </w:t>
      </w:r>
      <w:r>
        <w:rPr>
          <w:rStyle w:val="Text0"/>
        </w:rPr>
        <w:t>float</w:t>
      </w:r>
      <w:r>
        <w:t xml:space="preserve">, or </w:t>
      </w:r>
      <w:r>
        <w:rPr>
          <w:rStyle w:val="Text0"/>
        </w:rPr>
        <w:t>ast.literal_eval</w:t>
      </w:r>
      <w:r>
        <w:t>, to turn the string into the number you need. To evaluate an expression or string from an untrusted source, we recommend using the</w:t>
      </w:r>
      <w:r>
        <w:rPr>
          <w:rStyle w:val="Text111"/>
        </w:rPr>
        <w:bookmarkStart w:id="2836" w:name="idm45965201825904"/>
        <w:t/>
        <w:bookmarkEnd w:id="2836"/>
      </w:r>
      <w:r>
        <w:t xml:space="preserve"> function </w:t>
      </w:r>
      <w:r>
        <w:rPr>
          <w:rStyle w:val="Text0"/>
        </w:rPr>
        <w:t>literal_eval</w:t>
      </w:r>
      <w:r>
        <w:t xml:space="preserve"> from the</w:t>
      </w:r>
      <w:r>
        <w:rPr>
          <w:rStyle w:val="Text111"/>
        </w:rPr>
        <w:bookmarkStart w:id="2837" w:name="idm45965201824176"/>
        <w:t/>
        <w:bookmarkEnd w:id="2837"/>
        <w:bookmarkStart w:id="2838" w:name="idm45965201823200"/>
        <w:t/>
        <w:bookmarkEnd w:id="2838"/>
      </w:r>
      <w:r>
        <w:t xml:space="preserve"> standard library module </w:t>
      </w:r>
      <w:r>
        <w:rPr>
          <w:rStyle w:val="Text0"/>
        </w:rPr>
        <w:t>ast</w:t>
      </w:r>
      <w:r>
        <w:t xml:space="preserve"> (as covered in the </w:t>
      </w:r>
      <w:hyperlink r:id="rId370">
        <w:r>
          <w:rPr>
            <w:rStyle w:val="Text1"/>
          </w:rPr>
          <w:t>online docs</w:t>
        </w:r>
      </w:hyperlink>
      <w:r>
        <w:t xml:space="preserve">). </w:t>
      </w:r>
      <w:r>
        <w:rPr>
          <w:rStyle w:val="Text0"/>
        </w:rPr>
        <w:t>ast.literal_eval(</w:t>
      </w:r>
      <w:r>
        <w:rPr>
          <w:rStyle w:val="Text3"/>
        </w:rPr>
        <w:t>astring</w:t>
      </w:r>
      <w:r>
        <w:rPr>
          <w:rStyle w:val="Text0"/>
        </w:rPr>
        <w:t>)</w:t>
      </w:r>
      <w:r>
        <w:t xml:space="preserve"> returns a valid Python value (such as an </w:t>
      </w:r>
      <w:r>
        <w:rPr>
          <w:rStyle w:val="Text0"/>
        </w:rPr>
        <w:t>int</w:t>
      </w:r>
      <w:r>
        <w:t xml:space="preserve">, a </w:t>
      </w:r>
      <w:r>
        <w:rPr>
          <w:rStyle w:val="Text0"/>
        </w:rPr>
        <w:t>float</w:t>
      </w:r>
      <w:r>
        <w:t xml:space="preserve">, or a </w:t>
      </w:r>
      <w:r>
        <w:rPr>
          <w:rStyle w:val="Text0"/>
        </w:rPr>
        <w:t>list</w:t>
      </w:r>
      <w:r>
        <w:t xml:space="preserve">) for the given literal </w:t>
      </w:r>
      <w:r>
        <w:rPr>
          <w:rStyle w:val="Text3"/>
        </w:rPr>
        <w:t>astring</w:t>
      </w:r>
      <w:r>
        <w:t xml:space="preserve"> when it can (</w:t>
      </w:r>
      <w:r>
        <w:rPr>
          <w:rStyle w:val="Text34"/>
        </w:rPr>
        <w:t>3.10+</w:t>
      </w:r>
      <w:r>
        <w:t xml:space="preserve"> stripping any leading spaces and tabs from string inputs), or else raises a </w:t>
      </w:r>
      <w:r>
        <w:rPr>
          <w:rStyle w:val="Text0"/>
        </w:rPr>
        <w:t>SyntaxError</w:t>
      </w:r>
      <w:r>
        <w:t xml:space="preserve"> or </w:t>
      </w:r>
      <w:r>
        <w:rPr>
          <w:rStyle w:val="Text0"/>
        </w:rPr>
        <w:t>ValueError</w:t>
      </w:r>
      <w:r>
        <w:t xml:space="preserve"> exception; it never has any side effects. To ensure complete safety, </w:t>
      </w:r>
      <w:r>
        <w:rPr>
          <w:rStyle w:val="Text3"/>
        </w:rPr>
        <w:t>astring</w:t>
      </w:r>
      <w:r>
        <w:t xml:space="preserve"> cannot contain any operator or any nonkeyword identifier; however, </w:t>
      </w:r>
      <w:r>
        <w:rPr>
          <w:rStyle w:val="Text0"/>
        </w:rPr>
        <w:t>+</w:t>
      </w:r>
      <w:r>
        <w:t xml:space="preserve"> and </w:t>
      </w:r>
      <w:r>
        <w:rPr>
          <w:rStyle w:val="Text0"/>
        </w:rPr>
        <w:t>-</w:t>
      </w:r>
      <w:r>
        <w:t xml:space="preserve"> may be accepted as positive or negative signs on numbers, rather than as operators. For example:</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ast</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ast</w:t>
        <w:br w:clear="none"/>
      </w:r>
      <w:r>
        <w:rPr>
          <w:rStyle w:val="Text28"/>
        </w:rPr>
        <w:t xml:space="preserve">.</w:t>
        <w:br w:clear="none"/>
      </w:r>
      <w:r>
        <w:rPr>
          <w:rStyle w:val="Text14"/>
        </w:rPr>
        <w:t xml:space="preserve">literal_eval</w:t>
        <w:br w:clear="none"/>
      </w:r>
      <w:r>
        <w:rPr>
          <w:rStyle w:val="Text19"/>
        </w:rPr>
        <w:t xml:space="preserve">(</w:t>
        <w:br w:clear="none"/>
      </w:r>
      <w:r>
        <w:rPr>
          <w:rStyle w:val="Text17"/>
        </w:rPr>
        <w:t xml:space="preserve">'</w:t>
        <w:br w:clear="none"/>
        <w:t xml:space="preserve">23</w:t>
        <w:br w:clear="none"/>
        <w:t xml:space="preserve">'</w:t>
        <w:br w:clear="none"/>
      </w:r>
      <w:r>
        <w:rPr>
          <w:rStyle w:val="Text19"/>
        </w:rPr>
        <w:t xml:space="preserve">)</w:t>
        <w:br w:clear="none"/>
        <w:t xml:space="preserve">)</w:t>
        <w:br w:clear="none"/>
      </w:r>
      <w:r>
        <w:rPr>
          <w:rStyle w:val="Text11"/>
        </w:rPr>
        <w:t xml:space="preserve">     </w:t>
        <w:br w:clear="none"/>
      </w:r>
      <w:r>
        <w:t xml:space="preserve"># prints 23</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ast</w:t>
        <w:br w:clear="none"/>
      </w:r>
      <w:r>
        <w:rPr>
          <w:rStyle w:val="Text28"/>
        </w:rPr>
        <w:t xml:space="preserve">.</w:t>
        <w:br w:clear="none"/>
      </w:r>
      <w:r>
        <w:rPr>
          <w:rStyle w:val="Text14"/>
        </w:rPr>
        <w:t xml:space="preserve">literal_eval</w:t>
        <w:br w:clear="none"/>
      </w:r>
      <w:r>
        <w:rPr>
          <w:rStyle w:val="Text19"/>
        </w:rPr>
        <w:t xml:space="preserve">(</w:t>
        <w:br w:clear="none"/>
      </w:r>
      <w:r>
        <w:rPr>
          <w:rStyle w:val="Text17"/>
        </w:rPr>
        <w:t xml:space="preserve">'</w:t>
        <w:br w:clear="none"/>
        <w:t xml:space="preserve">  23</w:t>
        <w:br w:clear="none"/>
        <w:t xml:space="preserve">'</w:t>
        <w:br w:clear="none"/>
      </w:r>
      <w:r>
        <w:rPr>
          <w:rStyle w:val="Text19"/>
        </w:rPr>
        <w:t xml:space="preserve">)</w:t>
        <w:br w:clear="none"/>
        <w:t xml:space="preserve">)</w:t>
        <w:br w:clear="none"/>
      </w:r>
      <w:r>
        <w:rPr>
          <w:rStyle w:val="Text11"/>
        </w:rPr>
        <w:t xml:space="preserve">   </w:t>
        <w:br w:clear="none"/>
      </w:r>
      <w:r>
        <w:t xml:space="preserve"># prints 23 (3.10++)</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ast</w:t>
        <w:br w:clear="none"/>
      </w:r>
      <w:r>
        <w:rPr>
          <w:rStyle w:val="Text28"/>
        </w:rPr>
        <w:t xml:space="preserve">.</w:t>
        <w:br w:clear="none"/>
      </w:r>
      <w:r>
        <w:rPr>
          <w:rStyle w:val="Text14"/>
        </w:rPr>
        <w:t xml:space="preserve">literal_eval</w:t>
        <w:br w:clear="none"/>
      </w:r>
      <w:r>
        <w:rPr>
          <w:rStyle w:val="Text19"/>
        </w:rPr>
        <w:t xml:space="preserve">(</w:t>
        <w:br w:clear="none"/>
      </w:r>
      <w:r>
        <w:rPr>
          <w:rStyle w:val="Text17"/>
        </w:rPr>
        <w:t xml:space="preserve">'</w:t>
        <w:br w:clear="none"/>
        <w:t xml:space="preserve">[2,-3]</w:t>
        <w:br w:clear="none"/>
        <w:t xml:space="preserve">'</w:t>
        <w:br w:clear="none"/>
      </w:r>
      <w:r>
        <w:rPr>
          <w:rStyle w:val="Text19"/>
        </w:rPr>
        <w:t xml:space="preserve">)</w:t>
        <w:br w:clear="none"/>
        <w:t xml:space="preserve">)</w:t>
        <w:br w:clear="none"/>
      </w:r>
      <w:r>
        <w:rPr>
          <w:rStyle w:val="Text11"/>
        </w:rPr>
        <w:t xml:space="preserve"> </w:t>
        <w:br w:clear="none"/>
      </w:r>
      <w:r>
        <w:t xml:space="preserve"># prints [2, -3]</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ast</w:t>
        <w:br w:clear="none"/>
      </w:r>
      <w:r>
        <w:rPr>
          <w:rStyle w:val="Text28"/>
        </w:rPr>
        <w:t xml:space="preserve">.</w:t>
        <w:br w:clear="none"/>
      </w:r>
      <w:r>
        <w:rPr>
          <w:rStyle w:val="Text14"/>
        </w:rPr>
        <w:t xml:space="preserve">literal_eval</w:t>
        <w:br w:clear="none"/>
      </w:r>
      <w:r>
        <w:rPr>
          <w:rStyle w:val="Text19"/>
        </w:rPr>
        <w:t xml:space="preserve">(</w:t>
        <w:br w:clear="none"/>
      </w:r>
      <w:r>
        <w:rPr>
          <w:rStyle w:val="Text17"/>
        </w:rPr>
        <w:t xml:space="preserve">'</w:t>
        <w:br w:clear="none"/>
        <w:t xml:space="preserve">2+3</w:t>
        <w:br w:clear="none"/>
        <w:t xml:space="preserve">'</w:t>
        <w:br w:clear="none"/>
      </w:r>
      <w:r>
        <w:rPr>
          <w:rStyle w:val="Text19"/>
        </w:rPr>
        <w:t xml:space="preserve">)</w:t>
        <w:br w:clear="none"/>
        <w:t xml:space="preserve">)</w:t>
        <w:br w:clear="none"/>
      </w:r>
      <w:r>
        <w:rPr>
          <w:rStyle w:val="Text11"/>
        </w:rPr>
        <w:t xml:space="preserve">    </w:t>
        <w:br w:clear="none"/>
      </w:r>
      <w:r>
        <w:t xml:space="preserve"># raises ValueError</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ast</w:t>
        <w:br w:clear="none"/>
      </w:r>
      <w:r>
        <w:rPr>
          <w:rStyle w:val="Text28"/>
        </w:rPr>
        <w:t xml:space="preserve">.</w:t>
        <w:br w:clear="none"/>
      </w:r>
      <w:r>
        <w:rPr>
          <w:rStyle w:val="Text14"/>
        </w:rPr>
        <w:t xml:space="preserve">literal_eval</w:t>
        <w:br w:clear="none"/>
      </w:r>
      <w:r>
        <w:rPr>
          <w:rStyle w:val="Text19"/>
        </w:rPr>
        <w:t xml:space="preserve">(</w:t>
        <w:br w:clear="none"/>
      </w:r>
      <w:r>
        <w:rPr>
          <w:rStyle w:val="Text17"/>
        </w:rPr>
        <w:t xml:space="preserve">'</w:t>
        <w:br w:clear="none"/>
        <w:t xml:space="preserve">2+</w:t>
        <w:br w:clear="none"/>
        <w:t xml:space="preserve">'</w:t>
        <w:br w:clear="none"/>
      </w:r>
      <w:r>
        <w:rPr>
          <w:rStyle w:val="Text19"/>
        </w:rPr>
        <w:t xml:space="preserve">)</w:t>
        <w:br w:clear="none"/>
        <w:t xml:space="preserve">)</w:t>
        <w:br w:clear="none"/>
      </w:r>
      <w:r>
        <w:rPr>
          <w:rStyle w:val="Text11"/>
        </w:rPr>
        <w:t xml:space="preserve">     </w:t>
        <w:br w:clear="none"/>
      </w:r>
      <w:r>
        <w:t xml:space="preserve"># raises SyntaxError</w:t>
        <w:br w:clear="none"/>
      </w:r>
    </w:p>
    <w:p>
      <w:pPr>
        <w:keepNext/>
        <w:pStyle w:val="Heading 6"/>
        <w:keepLines w:val="on"/>
      </w:pPr>
      <w:r>
        <w:t>eval Can Be Dangerous</w:t>
      </w:r>
    </w:p>
    <w:p>
      <w:pPr>
        <w:pStyle w:val="Para 012"/>
        <w:keepLines w:val="on"/>
      </w:pPr>
      <w:r>
        <w:t xml:space="preserve">Don’t use </w:t>
      </w:r>
      <w:r>
        <w:rPr>
          <w:rStyle w:val="Text0"/>
        </w:rPr>
        <w:t>eval</w:t>
      </w:r>
      <w:r>
        <w:t xml:space="preserve"> on arbitrary, unsanitized user inputs: a nasty (or well-meaning but careless) user can breach security or otherwise cause damage this way. There is no effective defense—just avoid using </w:t>
      </w:r>
      <w:r>
        <w:rPr>
          <w:rStyle w:val="Text0"/>
        </w:rPr>
        <w:t>eval</w:t>
      </w:r>
      <w:r>
        <w:t xml:space="preserve"> (and </w:t>
      </w:r>
      <w:r>
        <w:rPr>
          <w:rStyle w:val="Text0"/>
        </w:rPr>
        <w:t>exec</w:t>
      </w:r>
      <w:r>
        <w:t>) on input from sources you do not fully trust.</w:t>
      </w:r>
    </w:p>
    <w:p>
      <w:bookmarkStart w:id="2839" w:name="The_getpass_Module__Very_occasio"/>
      <w:pPr>
        <w:keepNext/>
        <w:pStyle w:val="Heading 2"/>
      </w:pPr>
      <w:r>
        <w:t>The getpass Module</w:t>
      </w:r>
      <w:bookmarkEnd w:id="2839"/>
    </w:p>
    <w:p>
      <w:pPr>
        <w:pStyle w:val="Normal"/>
      </w:pPr>
      <w:r>
        <w:t>Very</w:t>
      </w:r>
      <w:r>
        <w:rPr>
          <w:rStyle w:val="Text111"/>
        </w:rPr>
        <w:bookmarkStart w:id="2840" w:name="idm45965201750976"/>
        <w:t/>
        <w:bookmarkEnd w:id="2840"/>
        <w:bookmarkStart w:id="2841" w:name="idm45965201749840"/>
        <w:t/>
        <w:bookmarkEnd w:id="2841"/>
      </w:r>
      <w:r>
        <w:t xml:space="preserve"> occasionally, you may want the user to input a line of text in such a way that somebody looking at the screen cannot see what the user is typing. This may occur when you’re asking the user for a password, for example. The </w:t>
      </w:r>
      <w:r>
        <w:rPr>
          <w:rStyle w:val="Text0"/>
        </w:rPr>
        <w:t>getpass</w:t>
      </w:r>
      <w:r>
        <w:t xml:space="preserve"> module provides a function for this, as well as one to get the current user’s username (see </w:t>
      </w:r>
      <w:hyperlink w:anchor="Table_11_32__Functions_of_the_ge">
        <w:r>
          <w:rPr>
            <w:rStyle w:val="Text1"/>
          </w:rPr>
          <w:t>Table 11-32</w:t>
        </w:r>
      </w:hyperlink>
      <w:r>
        <w:t>).</w:t>
      </w:r>
    </w:p>
    <w:tbl>
      <w:tblPr>
        <w:tblW w:type="auto" w:w="0"/>
      </w:tblPr>
      <w:tr>
        <w:tc>
          <w:tcPr>
            <w:tcW w:type="auto" w:w="0"/>
            <w:tcMar>
              <w:left w:type="dxa" w:w="200"/>
              <w:top w:type="dxa" w:w="200"/>
              <w:right w:type="dxa" w:w="200"/>
              <w:bottom w:type="dxa" w:w="200"/>
            </w:tcMar>
          </w:tcPr>
          <w:p>
            <w:bookmarkStart w:id="2842" w:name="Table_11_32__Functions_of_the_ge"/>
            <w:pPr>
              <w:pStyle w:val="Para 011"/>
            </w:pPr>
            <w:r>
              <w:rPr>
                <w:rStyle w:val="Text117"/>
              </w:rPr>
              <w:t/>
            </w:r>
            <w:r>
              <w:t xml:space="preserve">Table 11-32. </w:t>
              <w:t xml:space="preserve">Functions of the </w:t>
            </w:r>
            <w:r>
              <w:rPr>
                <w:rStyle w:val="Text0"/>
              </w:rPr>
              <w:t>getpass</w:t>
            </w:r>
            <w:r>
              <w:t xml:space="preserve"> module</w:t>
            </w:r>
            <w:bookmarkEnd w:id="2842"/>
          </w:p>
          <w:p>
            <w:pPr>
              <w:pStyle w:val="Para 001"/>
            </w:pPr>
            <w:r>
              <w:t>getpass</w:t>
            </w:r>
          </w:p>
        </w:tc>
        <w:tc>
          <w:tcPr>
            <w:tcW w:type="auto" w:w="0"/>
            <w:tcMar>
              <w:left w:type="dxa" w:w="200"/>
              <w:top w:type="dxa" w:w="200"/>
              <w:right w:type="dxa" w:w="200"/>
              <w:bottom w:type="dxa" w:w="200"/>
            </w:tcMar>
          </w:tcPr>
          <w:p>
            <w:pPr>
              <w:pStyle w:val="Para 002"/>
            </w:pPr>
            <w:r>
              <w:rPr>
                <w:rStyle w:val="Text0"/>
              </w:rPr>
              <w:t>getpass(prompt='Password: ')</w:t>
              <w:br w:clear="none"/>
            </w:r>
            <w:r>
              <w:t xml:space="preserve"> Like</w:t>
            </w:r>
            <w:r>
              <w:rPr>
                <w:rStyle w:val="Text111"/>
              </w:rPr>
              <w:bookmarkStart w:id="2843" w:name="idm45965201705040"/>
              <w:t/>
              <w:bookmarkEnd w:id="2843"/>
            </w:r>
            <w:r>
              <w:t xml:space="preserve"> </w:t>
            </w:r>
            <w:r>
              <w:rPr>
                <w:rStyle w:val="Text0"/>
              </w:rPr>
              <w:t>input</w:t>
            </w:r>
            <w:r>
              <w:t xml:space="preserve"> (covered in </w:t>
            </w:r>
            <w:hyperlink w:anchor="Table_8_2__Python_s_core_built_i">
              <w:r>
                <w:rPr>
                  <w:rStyle w:val="Text1"/>
                </w:rPr>
                <w:t>Table 8-2</w:t>
              </w:r>
            </w:hyperlink>
            <w:r>
              <w:t xml:space="preserve">), except that the text the user inputs is not echoed to the screen as the user is typing, and the default </w:t>
            </w:r>
            <w:r>
              <w:rPr>
                <w:rStyle w:val="Text0"/>
              </w:rPr>
              <w:t>prompt</w:t>
            </w:r>
            <w:r>
              <w:t xml:space="preserve"> is different from </w:t>
            </w:r>
            <w:r>
              <w:rPr>
                <w:rStyle w:val="Text0"/>
              </w:rPr>
              <w:t>input</w:t>
            </w:r>
            <w:r>
              <w:t>’s.</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getuser</w:t>
            </w:r>
          </w:p>
        </w:tc>
        <w:tc>
          <w:tcPr>
            <w:tcW w:type="auto" w:w="0"/>
            <w:shd w:val="clear" w:color="auto" w:fill="EEF2F6"/>
            <w:tcMar>
              <w:left w:type="dxa" w:w="200"/>
              <w:top w:type="dxa" w:w="200"/>
              <w:right w:type="dxa" w:w="200"/>
              <w:bottom w:type="dxa" w:w="200"/>
            </w:tcMar>
          </w:tcPr>
          <w:p>
            <w:pPr>
              <w:pStyle w:val="Para 002"/>
            </w:pPr>
            <w:r>
              <w:rPr>
                <w:rStyle w:val="Text0"/>
              </w:rPr>
              <w:t>getuser()</w:t>
              <w:br w:clear="none"/>
            </w:r>
            <w:r>
              <w:t xml:space="preserve"> Returns</w:t>
            </w:r>
            <w:r>
              <w:rPr>
                <w:rStyle w:val="Text111"/>
              </w:rPr>
              <w:bookmarkStart w:id="2844" w:name="idm45965201698464"/>
              <w:t/>
              <w:bookmarkEnd w:id="2844"/>
            </w:r>
            <w:r>
              <w:t xml:space="preserve"> the current user’s username. </w:t>
            </w:r>
            <w:r>
              <w:rPr>
                <w:rStyle w:val="Text0"/>
              </w:rPr>
              <w:t>getuser</w:t>
            </w:r>
            <w:r>
              <w:t xml:space="preserve"> tries to get the username as the value of one of the environment variables </w:t>
            </w:r>
            <w:r>
              <w:rPr>
                <w:rStyle w:val="Text0"/>
              </w:rPr>
              <w:t>LOGNAME</w:t>
            </w:r>
            <w:r>
              <w:t xml:space="preserve">, </w:t>
            </w:r>
            <w:r>
              <w:rPr>
                <w:rStyle w:val="Text0"/>
              </w:rPr>
              <w:t>USER</w:t>
            </w:r>
            <w:r>
              <w:t xml:space="preserve">, </w:t>
            </w:r>
            <w:r>
              <w:rPr>
                <w:rStyle w:val="Text0"/>
              </w:rPr>
              <w:t>LNAME</w:t>
            </w:r>
            <w:r>
              <w:t xml:space="preserve">, or </w:t>
            </w:r>
            <w:r>
              <w:rPr>
                <w:rStyle w:val="Text0"/>
              </w:rPr>
              <w:t>USERNAME</w:t>
            </w:r>
            <w:r>
              <w:t xml:space="preserve">, in that order. If none of these variables are in </w:t>
            </w:r>
            <w:r>
              <w:rPr>
                <w:rStyle w:val="Text0"/>
              </w:rPr>
              <w:t>os.environ</w:t>
            </w:r>
            <w:r>
              <w:t xml:space="preserve">, </w:t>
            </w:r>
            <w:r>
              <w:rPr>
                <w:rStyle w:val="Text0"/>
              </w:rPr>
              <w:t>getuser</w:t>
            </w:r>
            <w:r>
              <w:t xml:space="preserve"> asks the operating system.</w:t>
            </w:r>
            <w:r>
              <w:rPr>
                <w:rStyle w:val="Text111"/>
              </w:rPr>
              <w:bookmarkStart w:id="2845" w:name="idm45965201692256"/>
              <w:t/>
              <w:bookmarkEnd w:id="2845"/>
              <w:bookmarkStart w:id="2846" w:name="idm45965201690880"/>
              <w:t/>
              <w:bookmarkEnd w:id="2846"/>
            </w:r>
          </w:p>
        </w:tc>
      </w:tr>
    </w:tbl>
    <w:p>
      <w:bookmarkStart w:id="2847" w:name="Richer_Text_I_O__The_text_I_O_mo"/>
      <w:pPr>
        <w:keepNext/>
        <w:pStyle w:val="Heading 1"/>
      </w:pPr>
      <w:r>
        <w:t>Richer-Text I/O</w:t>
      </w:r>
      <w:bookmarkEnd w:id="2847"/>
    </w:p>
    <w:p>
      <w:pPr>
        <w:pStyle w:val="Normal"/>
      </w:pPr>
      <w:r>
        <w:t>The</w:t>
      </w:r>
      <w:r>
        <w:rPr>
          <w:rStyle w:val="Text111"/>
        </w:rPr>
        <w:bookmarkStart w:id="2848" w:name="FTOricher11"/>
        <w:t/>
        <w:bookmarkEnd w:id="2848"/>
        <w:bookmarkStart w:id="2849" w:name="richertextio11"/>
        <w:t/>
        <w:bookmarkEnd w:id="2849"/>
      </w:r>
      <w:r>
        <w:t xml:space="preserve"> text I/O modules covered so far supply basic text I/O functionality on all platform terminals. Most platforms also offer enhanced text I/O features, such as responding to single keypresses (not just entire lines), printing text in any terminal row and column position, and enhancing the text with background and foreground colors and font effects like bold, italic, and underline. For this kind of functionality you’ll need to consider a third-party library. We focus here on the </w:t>
      </w:r>
      <w:r>
        <w:rPr>
          <w:rStyle w:val="Text0"/>
        </w:rPr>
        <w:t>readline</w:t>
      </w:r>
      <w:r>
        <w:t xml:space="preserve"> module, then take a quick look at a few console I/O options, including </w:t>
      </w:r>
      <w:r>
        <w:rPr>
          <w:rStyle w:val="Text0"/>
        </w:rPr>
        <w:t>mscvrt</w:t>
      </w:r>
      <w:r>
        <w:t xml:space="preserve">, with a brief mention of </w:t>
      </w:r>
      <w:r>
        <w:rPr>
          <w:rStyle w:val="Text0"/>
        </w:rPr>
        <w:t>curses</w:t>
      </w:r>
      <w:r>
        <w:t xml:space="preserve">, </w:t>
      </w:r>
      <w:r>
        <w:rPr>
          <w:rStyle w:val="Text0"/>
        </w:rPr>
        <w:t>rich</w:t>
      </w:r>
      <w:r>
        <w:t xml:space="preserve">, and </w:t>
      </w:r>
      <w:r>
        <w:rPr>
          <w:rStyle w:val="Text0"/>
        </w:rPr>
        <w:t>colorama</w:t>
      </w:r>
      <w:r>
        <w:t>, which we do not cover further.</w:t>
      </w:r>
    </w:p>
    <w:p>
      <w:bookmarkStart w:id="2850" w:name="The_readline_Module__The_readlin"/>
      <w:pPr>
        <w:keepNext/>
        <w:pStyle w:val="Heading 2"/>
      </w:pPr>
      <w:r>
        <w:t>The readline Module</w:t>
      </w:r>
      <w:bookmarkEnd w:id="2850"/>
    </w:p>
    <w:p>
      <w:pPr>
        <w:pStyle w:val="Normal"/>
      </w:pPr>
      <w:r>
        <w:t>The</w:t>
      </w:r>
      <w:r>
        <w:rPr>
          <w:rStyle w:val="Text111"/>
        </w:rPr>
        <w:bookmarkStart w:id="2851" w:name="idm45965201678528"/>
        <w:t/>
        <w:bookmarkEnd w:id="2851"/>
        <w:bookmarkStart w:id="2852" w:name="idm45965201677424"/>
        <w:t/>
        <w:bookmarkEnd w:id="2852"/>
      </w:r>
      <w:r>
        <w:t xml:space="preserve"> </w:t>
      </w:r>
      <w:r>
        <w:rPr>
          <w:rStyle w:val="Text0"/>
        </w:rPr>
        <w:t>readline</w:t>
      </w:r>
      <w:r>
        <w:t xml:space="preserve"> module wraps the</w:t>
      </w:r>
      <w:r>
        <w:rPr>
          <w:rStyle w:val="Text111"/>
        </w:rPr>
        <w:bookmarkStart w:id="2853" w:name="idm45965201675200"/>
        <w:t/>
        <w:bookmarkEnd w:id="2853"/>
      </w:r>
      <w:r>
        <w:t xml:space="preserve"> </w:t>
      </w:r>
      <w:hyperlink r:id="rId371">
        <w:r>
          <w:rPr>
            <w:rStyle w:val="Text1"/>
          </w:rPr>
          <w:t>GNU Readline Library</w:t>
        </w:r>
      </w:hyperlink>
      <w:r>
        <w:t xml:space="preserve">, which lets the user edit text lines during interactive input and recall previous lines for editing and re-entry. Readline comes preinstalled on many Unix-like platforms, and it’s available online. On Windows, you can install and use the third-party module </w:t>
      </w:r>
      <w:hyperlink r:id="rId372">
        <w:r>
          <w:rPr>
            <w:rStyle w:val="Text30"/>
          </w:rPr>
          <w:t>pyreadline</w:t>
        </w:r>
      </w:hyperlink>
      <w:r>
        <w:t>.</w:t>
      </w:r>
    </w:p>
    <w:p>
      <w:pPr>
        <w:pStyle w:val="Normal"/>
      </w:pPr>
      <w:r>
        <w:t xml:space="preserve">When </w:t>
      </w:r>
      <w:r>
        <w:rPr>
          <w:rStyle w:val="Text0"/>
        </w:rPr>
        <w:t>readline</w:t>
      </w:r>
      <w:r>
        <w:t xml:space="preserve"> is available, Python uses it for all line-oriented input, such as </w:t>
      </w:r>
      <w:r>
        <w:rPr>
          <w:rStyle w:val="Text0"/>
        </w:rPr>
        <w:t>input</w:t>
      </w:r>
      <w:r>
        <w:t xml:space="preserve">. The interactive Python interpreter always tries to load </w:t>
      </w:r>
      <w:r>
        <w:rPr>
          <w:rStyle w:val="Text0"/>
        </w:rPr>
        <w:t>readline</w:t>
      </w:r>
      <w:r>
        <w:t xml:space="preserve"> to enable line editing and recall for interactive sessions. Some </w:t>
      </w:r>
      <w:r>
        <w:rPr>
          <w:rStyle w:val="Text0"/>
        </w:rPr>
        <w:t>readline</w:t>
      </w:r>
      <w:r>
        <w:t xml:space="preserve"> functions control advanced functionality: particularly </w:t>
      </w:r>
      <w:r>
        <w:rPr>
          <w:rStyle w:val="Text4"/>
        </w:rPr>
        <w:t>history</w:t>
      </w:r>
      <w:r>
        <w:t xml:space="preserve">, for recalling lines entered in previous sessions; and </w:t>
      </w:r>
      <w:r>
        <w:rPr>
          <w:rStyle w:val="Text4"/>
        </w:rPr>
        <w:t>completion</w:t>
      </w:r>
      <w:r>
        <w:t xml:space="preserve">, for context-sensitive completion of the word being entered. (See the </w:t>
      </w:r>
      <w:hyperlink r:id="rId373">
        <w:r>
          <w:rPr>
            <w:rStyle w:val="Text1"/>
          </w:rPr>
          <w:t xml:space="preserve">Python </w:t>
        </w:r>
      </w:hyperlink>
      <w:hyperlink r:id="rId373">
        <w:r>
          <w:rPr>
            <w:rStyle w:val="Text30"/>
          </w:rPr>
          <w:t>readline</w:t>
        </w:r>
      </w:hyperlink>
      <w:hyperlink r:id="rId373">
        <w:r>
          <w:rPr>
            <w:rStyle w:val="Text1"/>
          </w:rPr>
          <w:t xml:space="preserve"> docs</w:t>
        </w:r>
      </w:hyperlink>
      <w:r>
        <w:t xml:space="preserve"> for complete details on configuration commands.) You can access the module’s functionality using the functions in </w:t>
      </w:r>
      <w:hyperlink w:anchor="Table_11_33__Functions_of_the_re">
        <w:r>
          <w:rPr>
            <w:rStyle w:val="Text1"/>
          </w:rPr>
          <w:t>Table 11-33</w:t>
        </w:r>
      </w:hyperlink>
      <w:r>
        <w:t>.</w:t>
      </w:r>
    </w:p>
    <w:tbl>
      <w:tblPr>
        <w:tblW w:type="auto" w:w="0"/>
      </w:tblPr>
      <w:tr>
        <w:tc>
          <w:tcPr>
            <w:tcW w:type="auto" w:w="0"/>
            <w:tcMar>
              <w:left w:type="dxa" w:w="200"/>
              <w:top w:type="dxa" w:w="200"/>
              <w:right w:type="dxa" w:w="200"/>
              <w:bottom w:type="dxa" w:w="200"/>
            </w:tcMar>
          </w:tcPr>
          <w:p>
            <w:bookmarkStart w:id="2854" w:name="Table_11_33__Functions_of_the_re"/>
            <w:pPr>
              <w:pStyle w:val="Para 011"/>
            </w:pPr>
            <w:r>
              <w:rPr>
                <w:rStyle w:val="Text117"/>
              </w:rPr>
              <w:t/>
            </w:r>
            <w:r>
              <w:t xml:space="preserve">Table 11-33. </w:t>
              <w:t xml:space="preserve">Functions of the </w:t>
            </w:r>
            <w:r>
              <w:rPr>
                <w:rStyle w:val="Text0"/>
              </w:rPr>
              <w:t>readline</w:t>
            </w:r>
            <w:r>
              <w:t xml:space="preserve"> module</w:t>
            </w:r>
            <w:bookmarkEnd w:id="2854"/>
          </w:p>
          <w:p>
            <w:pPr>
              <w:pStyle w:val="Para 001"/>
            </w:pPr>
            <w:r>
              <w:t>add_history</w:t>
            </w:r>
          </w:p>
        </w:tc>
        <w:tc>
          <w:tcPr>
            <w:tcW w:type="auto" w:w="0"/>
            <w:tcMar>
              <w:left w:type="dxa" w:w="200"/>
              <w:top w:type="dxa" w:w="200"/>
              <w:right w:type="dxa" w:w="200"/>
              <w:bottom w:type="dxa" w:w="200"/>
            </w:tcMar>
          </w:tcPr>
          <w:p>
            <w:pPr>
              <w:pStyle w:val="Para 002"/>
            </w:pPr>
            <w:r>
              <w:rPr>
                <w:rStyle w:val="Text0"/>
              </w:rPr>
              <w:t>add_history(</w:t>
            </w:r>
            <w:r>
              <w:rPr>
                <w:rStyle w:val="Text3"/>
              </w:rPr>
              <w:t>s</w:t>
            </w:r>
            <w:r>
              <w:rPr>
                <w:rStyle w:val="Text0"/>
              </w:rPr>
              <w:t>,</w:t>
            </w:r>
            <w:r>
              <w:t xml:space="preserve"> </w:t>
            </w:r>
            <w:r>
              <w:rPr>
                <w:rStyle w:val="Text3"/>
              </w:rPr>
              <w:t>/</w:t>
            </w:r>
            <w:r>
              <w:rPr>
                <w:rStyle w:val="Text0"/>
              </w:rPr>
              <w:t>)</w:t>
              <w:br w:clear="none"/>
            </w:r>
            <w:r>
              <w:t xml:space="preserve"> Adds</w:t>
            </w:r>
            <w:r>
              <w:rPr>
                <w:rStyle w:val="Text111"/>
              </w:rPr>
              <w:bookmarkStart w:id="2855" w:name="idm45965201658576"/>
              <w:t/>
              <w:bookmarkEnd w:id="2855"/>
            </w:r>
            <w:r>
              <w:t xml:space="preserve"> string </w:t>
            </w:r>
            <w:r>
              <w:rPr>
                <w:rStyle w:val="Text3"/>
              </w:rPr>
              <w:t>s</w:t>
            </w:r>
            <w:r>
              <w:t xml:space="preserve"> as a line at the end of the history buffer. To temporarily disable </w:t>
            </w:r>
            <w:r>
              <w:rPr>
                <w:rStyle w:val="Text0"/>
              </w:rPr>
              <w:t>add_history</w:t>
            </w:r>
            <w:r>
              <w:t xml:space="preserve">, call </w:t>
            </w:r>
            <w:r>
              <w:rPr>
                <w:rStyle w:val="Text0"/>
              </w:rPr>
              <w:t>set_auto_history(</w:t>
            </w:r>
            <w:r>
              <w:rPr>
                <w:rStyle w:val="Text5"/>
              </w:rPr>
              <w:t>False</w:t>
            </w:r>
            <w:r>
              <w:rPr>
                <w:rStyle w:val="Text0"/>
              </w:rPr>
              <w:t>)</w:t>
            </w:r>
            <w:r>
              <w:t xml:space="preserve">, which will disable </w:t>
            </w:r>
            <w:r>
              <w:rPr>
                <w:rStyle w:val="Text0"/>
              </w:rPr>
              <w:t>add_history</w:t>
            </w:r>
            <w:r>
              <w:t xml:space="preserve"> for this session only (it won’t persist across sessions); </w:t>
            </w:r>
            <w:r>
              <w:rPr>
                <w:rStyle w:val="Text0"/>
              </w:rPr>
              <w:t>set_auto_history</w:t>
            </w:r>
            <w:r>
              <w:t xml:space="preserve"> is </w:t>
            </w:r>
            <w:r>
              <w:rPr>
                <w:rStyle w:val="Text5"/>
              </w:rPr>
              <w:t>True</w:t>
            </w:r>
            <w:r>
              <w:t xml:space="preserve"> by default.</w:t>
            </w:r>
          </w:p>
        </w:tc>
      </w:tr>
    </w:tbl>
    <w:tbl>
      <w:tblPr>
        <w:tblW w:type="auto" w:w="0"/>
      </w:tblPr>
      <w:tr>
        <w:tc>
          <w:tcPr>
            <w:tcW w:type="auto" w:w="0"/>
            <w:shd w:val="clear" w:color="auto" w:fill="EEF2F6"/>
            <w:tcMar>
              <w:left w:type="dxa" w:w="200"/>
              <w:top w:type="dxa" w:w="200"/>
              <w:right w:type="dxa" w:w="200"/>
              <w:bottom w:type="dxa" w:w="200"/>
            </w:tcMar>
          </w:tcPr>
          <w:p>
            <w:pPr>
              <w:pStyle w:val="Para 001"/>
            </w:pPr>
            <w:r>
              <w:t>app⁠e⁠n⁠d⁠_​h⁠i⁠s⁠tory_file</w:t>
            </w:r>
          </w:p>
        </w:tc>
        <w:tc>
          <w:tcPr>
            <w:tcW w:type="auto" w:w="0"/>
            <w:shd w:val="clear" w:color="auto" w:fill="EEF2F6"/>
            <w:tcMar>
              <w:left w:type="dxa" w:w="200"/>
              <w:top w:type="dxa" w:w="200"/>
              <w:right w:type="dxa" w:w="200"/>
              <w:bottom w:type="dxa" w:w="200"/>
            </w:tcMar>
          </w:tcPr>
          <w:p>
            <w:pPr>
              <w:pStyle w:val="Para 002"/>
            </w:pPr>
            <w:r>
              <w:rPr>
                <w:rStyle w:val="Text0"/>
              </w:rPr>
              <w:t>append_history_file(</w:t>
            </w:r>
            <w:r>
              <w:rPr>
                <w:rStyle w:val="Text3"/>
              </w:rPr>
              <w:t>n</w:t>
            </w:r>
            <w:r>
              <w:rPr>
                <w:rStyle w:val="Text0"/>
              </w:rPr>
              <w:t>,</w:t>
            </w:r>
            <w:r>
              <w:t xml:space="preserve"> </w:t>
            </w:r>
            <w:r>
              <w:rPr>
                <w:rStyle w:val="Text3"/>
              </w:rPr>
              <w:t>filename</w:t>
            </w:r>
            <w:r>
              <w:rPr>
                <w:rStyle w:val="Text0"/>
              </w:rPr>
              <w:t>='~/.history', /)</w:t>
              <w:br w:clear="none"/>
            </w:r>
            <w:r>
              <w:t xml:space="preserve"> Appends the last </w:t>
            </w:r>
            <w:r>
              <w:rPr>
                <w:rStyle w:val="Text3"/>
              </w:rPr>
              <w:t>n</w:t>
            </w:r>
            <w:r>
              <w:t xml:space="preserve"> items to existing file </w:t>
            </w:r>
            <w:r>
              <w:rPr>
                <w:rStyle w:val="Text3"/>
              </w:rPr>
              <w:t>filename</w:t>
            </w:r>
            <w:r>
              <w:t>.</w:t>
            </w:r>
          </w:p>
        </w:tc>
      </w:tr>
    </w:tbl>
    <w:tbl>
      <w:tblPr>
        <w:tblW w:type="auto" w:w="0"/>
      </w:tblPr>
      <w:tr>
        <w:tc>
          <w:tcPr>
            <w:tcW w:type="auto" w:w="0"/>
            <w:tcMar>
              <w:left w:type="dxa" w:w="200"/>
              <w:top w:type="dxa" w:w="200"/>
              <w:right w:type="dxa" w:w="200"/>
              <w:bottom w:type="dxa" w:w="200"/>
            </w:tcMar>
          </w:tcPr>
          <w:p>
            <w:pPr>
              <w:pStyle w:val="Para 001"/>
            </w:pPr>
            <w:r>
              <w:t>clear_history</w:t>
            </w:r>
          </w:p>
        </w:tc>
        <w:tc>
          <w:tcPr>
            <w:tcW w:type="auto" w:w="0"/>
            <w:tcMar>
              <w:left w:type="dxa" w:w="200"/>
              <w:top w:type="dxa" w:w="200"/>
              <w:right w:type="dxa" w:w="200"/>
              <w:bottom w:type="dxa" w:w="200"/>
            </w:tcMar>
          </w:tcPr>
          <w:p>
            <w:pPr>
              <w:pStyle w:val="Para 002"/>
            </w:pPr>
            <w:r>
              <w:rPr>
                <w:rStyle w:val="Text0"/>
              </w:rPr>
              <w:t>clear_history()</w:t>
              <w:br w:clear="none"/>
            </w:r>
            <w:r>
              <w:t xml:space="preserve"> Clears the history buffer.</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get_completer</w:t>
            </w:r>
          </w:p>
        </w:tc>
        <w:tc>
          <w:tcPr>
            <w:tcW w:type="auto" w:w="0"/>
            <w:shd w:val="clear" w:color="auto" w:fill="EEF2F6"/>
            <w:tcMar>
              <w:left w:type="dxa" w:w="200"/>
              <w:top w:type="dxa" w:w="200"/>
              <w:right w:type="dxa" w:w="200"/>
              <w:bottom w:type="dxa" w:w="200"/>
            </w:tcMar>
          </w:tcPr>
          <w:p>
            <w:pPr>
              <w:pStyle w:val="Para 002"/>
            </w:pPr>
            <w:r>
              <w:rPr>
                <w:rStyle w:val="Text0"/>
              </w:rPr>
              <w:t>get_completer()</w:t>
              <w:br w:clear="none"/>
            </w:r>
            <w:r>
              <w:t xml:space="preserve"> Returns the current completer function (as last set by </w:t>
            </w:r>
            <w:r>
              <w:rPr>
                <w:rStyle w:val="Text0"/>
              </w:rPr>
              <w:t>set_completer</w:t>
            </w:r>
            <w:r>
              <w:t xml:space="preserve">), or </w:t>
            </w:r>
            <w:r>
              <w:rPr>
                <w:rStyle w:val="Text5"/>
              </w:rPr>
              <w:t>None</w:t>
            </w:r>
            <w:r>
              <w:t xml:space="preserve"> if no completer function is set.</w:t>
            </w:r>
          </w:p>
        </w:tc>
      </w:tr>
    </w:tbl>
    <w:tbl>
      <w:tblPr>
        <w:tblW w:type="auto" w:w="0"/>
      </w:tblPr>
      <w:tr>
        <w:tc>
          <w:tcPr>
            <w:tcW w:type="auto" w:w="0"/>
            <w:tcMar>
              <w:left w:type="dxa" w:w="200"/>
              <w:top w:type="dxa" w:w="200"/>
              <w:right w:type="dxa" w:w="200"/>
              <w:bottom w:type="dxa" w:w="200"/>
            </w:tcMar>
          </w:tcPr>
          <w:p>
            <w:pPr>
              <w:pStyle w:val="Para 001"/>
            </w:pPr>
            <w:r>
              <w:t>g⁠e⁠t⁠_​h⁠i⁠s⁠tory_length</w:t>
            </w:r>
          </w:p>
        </w:tc>
        <w:tc>
          <w:tcPr>
            <w:tcW w:type="auto" w:w="0"/>
            <w:tcMar>
              <w:left w:type="dxa" w:w="200"/>
              <w:top w:type="dxa" w:w="200"/>
              <w:right w:type="dxa" w:w="200"/>
              <w:bottom w:type="dxa" w:w="200"/>
            </w:tcMar>
          </w:tcPr>
          <w:p>
            <w:pPr>
              <w:pStyle w:val="Para 002"/>
            </w:pPr>
            <w:r>
              <w:rPr>
                <w:rStyle w:val="Text0"/>
              </w:rPr>
              <w:t>get_history_length()</w:t>
              <w:br w:clear="none"/>
            </w:r>
            <w:r>
              <w:t xml:space="preserve"> Returns the number of lines of history to be saved to the history file. When the result is less than </w:t>
            </w:r>
            <w:r>
              <w:rPr>
                <w:rStyle w:val="Text0"/>
              </w:rPr>
              <w:t>0</w:t>
            </w:r>
            <w:r>
              <w:t>, all lines in the history are to be saved.</w:t>
            </w:r>
          </w:p>
        </w:tc>
      </w:tr>
    </w:tbl>
    <w:tbl>
      <w:tblPr>
        <w:tblW w:type="auto" w:w="0"/>
      </w:tblPr>
      <w:tr>
        <w:tc>
          <w:tcPr>
            <w:tcW w:type="auto" w:w="0"/>
            <w:shd w:val="clear" w:color="auto" w:fill="EEF2F6"/>
            <w:tcMar>
              <w:left w:type="dxa" w:w="200"/>
              <w:top w:type="dxa" w:w="200"/>
              <w:right w:type="dxa" w:w="200"/>
              <w:bottom w:type="dxa" w:w="200"/>
            </w:tcMar>
          </w:tcPr>
          <w:p>
            <w:pPr>
              <w:pStyle w:val="Para 001"/>
            </w:pPr>
            <w:r>
              <w:t>parse_and_bind</w:t>
            </w:r>
          </w:p>
        </w:tc>
        <w:tc>
          <w:tcPr>
            <w:tcW w:type="auto" w:w="0"/>
            <w:shd w:val="clear" w:color="auto" w:fill="EEF2F6"/>
            <w:tcMar>
              <w:left w:type="dxa" w:w="200"/>
              <w:top w:type="dxa" w:w="200"/>
              <w:right w:type="dxa" w:w="200"/>
              <w:bottom w:type="dxa" w:w="200"/>
            </w:tcMar>
          </w:tcPr>
          <w:p>
            <w:pPr>
              <w:pStyle w:val="Para 002"/>
            </w:pPr>
            <w:r>
              <w:rPr>
                <w:rStyle w:val="Text0"/>
              </w:rPr>
              <w:t>parse_and_bind(</w:t>
            </w:r>
            <w:r>
              <w:rPr>
                <w:rStyle w:val="Text3"/>
              </w:rPr>
              <w:t>readline_cmd</w:t>
            </w:r>
            <w:r>
              <w:rPr>
                <w:rStyle w:val="Text0"/>
              </w:rPr>
              <w:t>,</w:t>
            </w:r>
            <w:r>
              <w:t xml:space="preserve"> </w:t>
            </w:r>
            <w:r>
              <w:rPr>
                <w:rStyle w:val="Text3"/>
              </w:rPr>
              <w:t>/</w:t>
            </w:r>
            <w:r>
              <w:rPr>
                <w:rStyle w:val="Text0"/>
              </w:rPr>
              <w:t>)</w:t>
              <w:br w:clear="none"/>
            </w:r>
            <w:r>
              <w:t xml:space="preserve"> Gives</w:t>
            </w:r>
            <w:r>
              <w:rPr>
                <w:rStyle w:val="Text111"/>
              </w:rPr>
              <w:bookmarkStart w:id="2856" w:name="idm45965201632064"/>
              <w:t/>
              <w:bookmarkEnd w:id="2856"/>
            </w:r>
            <w:r>
              <w:t xml:space="preserve"> </w:t>
            </w:r>
            <w:r>
              <w:rPr>
                <w:rStyle w:val="Text0"/>
              </w:rPr>
              <w:t>readline</w:t>
            </w:r>
            <w:r>
              <w:t xml:space="preserve"> a configuration command. To let the user hit Tab to request completion, call </w:t>
            </w:r>
            <w:r>
              <w:rPr>
                <w:rStyle w:val="Text0"/>
              </w:rPr>
              <w:t>parse_and_bind('tab: complete')</w:t>
            </w:r>
            <w:r>
              <w:t xml:space="preserve">. See the </w:t>
            </w:r>
            <w:hyperlink r:id="rId374">
              <w:r>
                <w:rPr>
                  <w:rStyle w:val="Text30"/>
                </w:rPr>
                <w:t>readline</w:t>
              </w:r>
            </w:hyperlink>
            <w:hyperlink r:id="rId374">
              <w:r>
                <w:rPr>
                  <w:rStyle w:val="Text1"/>
                </w:rPr>
                <w:t xml:space="preserve"> documentation</w:t>
              </w:r>
            </w:hyperlink>
            <w:r>
              <w:t xml:space="preserve"> for other useful values of the string </w:t>
            </w:r>
            <w:r>
              <w:rPr>
                <w:rStyle w:val="Text3"/>
              </w:rPr>
              <w:t>readline_cmd</w:t>
            </w:r>
            <w:r>
              <w:t>.</w:t>
              <w:br w:clear="none"/>
              <w:t xml:space="preserve"> A good completion function is in the standard library module </w:t>
            </w:r>
            <w:r>
              <w:rPr>
                <w:rStyle w:val="Text0"/>
              </w:rPr>
              <w:t>rlcompleter</w:t>
            </w:r>
            <w:r>
              <w:t xml:space="preserve">. In the interactive interpreter (or in the startup file executed at the start of interactive sessions, covered in </w:t>
            </w:r>
            <w:hyperlink w:anchor="Environment_Variables__Besides_P">
              <w:r>
                <w:rPr>
                  <w:rStyle w:val="Text1"/>
                </w:rPr>
                <w:t>“Environment Variables”</w:t>
              </w:r>
            </w:hyperlink>
            <w:r>
              <w:t xml:space="preserve">), enter: </w:t>
            </w:r>
          </w:p>
          <w:p>
            <w:pPr>
              <w:pStyle w:val="Para 029"/>
            </w:pPr>
            <w:r>
              <w:rPr>
                <w:rStyle w:val="Text23"/>
              </w:rPr>
              <w:t xml:space="preserve"/>
              <w:br w:clear="none"/>
            </w:r>
            <w:r>
              <w:rPr>
                <w:rStyle w:val="Text10"/>
              </w:rPr>
              <w:t xml:space="preserve">import</w:t>
              <w:br w:clear="none"/>
            </w:r>
            <w:r>
              <w:rPr>
                <w:rStyle w:val="Text6"/>
              </w:rPr>
              <w:t xml:space="preserve"> </w:t>
              <w:br w:clear="none"/>
            </w:r>
            <w:r>
              <w:rPr>
                <w:rStyle w:val="Text20"/>
              </w:rPr>
              <w:t xml:space="preserve">readline</w:t>
              <w:br w:clear="none"/>
            </w:r>
            <w:r>
              <w:rPr>
                <w:rStyle w:val="Text13"/>
              </w:rPr>
              <w:t xml:space="preserve">,</w:t>
              <w:br w:clear="none"/>
            </w:r>
            <w:r>
              <w:rPr>
                <w:rStyle w:val="Text6"/>
              </w:rPr>
              <w:t xml:space="preserve"> </w:t>
              <w:br w:clear="none"/>
            </w:r>
            <w:r>
              <w:rPr>
                <w:rStyle w:val="Text20"/>
              </w:rPr>
              <w:t xml:space="preserve">rlcompleter</w:t>
              <w:br w:clear="none"/>
            </w:r>
            <w:r>
              <w:rPr>
                <w:rStyle w:val="Text6"/>
              </w:rPr>
              <w:t xml:space="preserve"/>
              <w:br w:clear="none"/>
            </w:r>
            <w:r>
              <w:t xml:space="preserve">readline</w:t>
              <w:br w:clear="none"/>
            </w:r>
            <w:r>
              <w:rPr>
                <w:rStyle w:val="Text13"/>
              </w:rPr>
              <w:t xml:space="preserve">.</w:t>
              <w:br w:clear="none"/>
            </w:r>
            <w:r>
              <w:t xml:space="preserve">parse_and_bind</w:t>
              <w:br w:clear="none"/>
            </w:r>
            <w:r>
              <w:rPr>
                <w:rStyle w:val="Text7"/>
              </w:rPr>
              <w:t xml:space="preserve">(</w:t>
              <w:br w:clear="none"/>
            </w:r>
            <w:r>
              <w:rPr>
                <w:rStyle w:val="Text8"/>
              </w:rPr>
              <w:t xml:space="preserve">'</w:t>
              <w:br w:clear="none"/>
              <w:t xml:space="preserve">tab: complete</w:t>
              <w:br w:clear="none"/>
              <w:t xml:space="preserve">'</w:t>
              <w:br w:clear="none"/>
            </w:r>
            <w:r>
              <w:rPr>
                <w:rStyle w:val="Text7"/>
              </w:rPr>
              <w:t xml:space="preserve">)</w:t>
              <w:br w:clear="none"/>
            </w:r>
          </w:p>
          <w:p>
            <w:pPr>
              <w:pStyle w:val="Para 022"/>
            </w:pPr>
            <w:r>
              <w:t xml:space="preserve"> For the rest of this interactive session, you can hit the Tab key during line editing and get completion for global names and object attributes.</w:t>
            </w:r>
          </w:p>
        </w:tc>
      </w:tr>
    </w:tbl>
    <w:tbl>
      <w:tblPr>
        <w:tblW w:type="auto" w:w="0"/>
      </w:tblPr>
      <w:tr>
        <w:tc>
          <w:tcPr>
            <w:tcW w:type="auto" w:w="0"/>
            <w:tcMar>
              <w:left w:type="dxa" w:w="200"/>
              <w:top w:type="dxa" w:w="200"/>
              <w:right w:type="dxa" w:w="200"/>
              <w:bottom w:type="dxa" w:w="200"/>
            </w:tcMar>
          </w:tcPr>
          <w:p>
            <w:pPr>
              <w:pStyle w:val="Para 001"/>
            </w:pPr>
            <w:r>
              <w:t>re⁠a⁠d⁠_​h⁠i⁠s⁠tory_file</w:t>
            </w:r>
          </w:p>
        </w:tc>
        <w:tc>
          <w:tcPr>
            <w:tcW w:type="auto" w:w="0"/>
            <w:tcMar>
              <w:left w:type="dxa" w:w="200"/>
              <w:top w:type="dxa" w:w="200"/>
              <w:right w:type="dxa" w:w="200"/>
              <w:bottom w:type="dxa" w:w="200"/>
            </w:tcMar>
          </w:tcPr>
          <w:p>
            <w:pPr>
              <w:pStyle w:val="Para 002"/>
            </w:pPr>
            <w:r>
              <w:rPr>
                <w:rStyle w:val="Text0"/>
              </w:rPr>
              <w:t>read_history_file(</w:t>
            </w:r>
            <w:r>
              <w:rPr>
                <w:rStyle w:val="Text3"/>
              </w:rPr>
              <w:t>filename</w:t>
            </w:r>
            <w:r>
              <w:rPr>
                <w:rStyle w:val="Text0"/>
              </w:rPr>
              <w:t>='~/.history', /)</w:t>
              <w:br w:clear="none"/>
            </w:r>
            <w:r>
              <w:t xml:space="preserve"> Loads</w:t>
            </w:r>
            <w:r>
              <w:rPr>
                <w:rStyle w:val="Text111"/>
              </w:rPr>
              <w:bookmarkStart w:id="2857" w:name="idm45965201613616"/>
              <w:t/>
              <w:bookmarkEnd w:id="2857"/>
            </w:r>
            <w:r>
              <w:t xml:space="preserve"> history lines from the text file at path </w:t>
            </w:r>
            <w:r>
              <w:rPr>
                <w:rStyle w:val="Text3"/>
              </w:rPr>
              <w:t>filename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read_init_file</w:t>
            </w:r>
          </w:p>
        </w:tc>
        <w:tc>
          <w:tcPr>
            <w:tcW w:type="auto" w:w="0"/>
            <w:shd w:val="clear" w:color="auto" w:fill="EEF2F6"/>
            <w:tcMar>
              <w:left w:type="dxa" w:w="200"/>
              <w:top w:type="dxa" w:w="200"/>
              <w:right w:type="dxa" w:w="200"/>
              <w:bottom w:type="dxa" w:w="200"/>
            </w:tcMar>
          </w:tcPr>
          <w:p>
            <w:pPr>
              <w:pStyle w:val="Para 002"/>
            </w:pPr>
            <w:r>
              <w:rPr>
                <w:rStyle w:val="Text0"/>
              </w:rPr>
              <w:t>read_init_file(</w:t>
            </w:r>
            <w:r>
              <w:rPr>
                <w:rStyle w:val="Text3"/>
              </w:rPr>
              <w:t>filename</w:t>
            </w:r>
            <w:r>
              <w:rPr>
                <w:rStyle w:val="Text0"/>
              </w:rPr>
              <w:t>=</w:t>
            </w:r>
            <w:r>
              <w:rPr>
                <w:rStyle w:val="Text5"/>
              </w:rPr>
              <w:t>None, /</w:t>
            </w:r>
            <w:r>
              <w:rPr>
                <w:rStyle w:val="Text0"/>
              </w:rPr>
              <w:t>)</w:t>
              <w:br w:clear="none"/>
            </w:r>
            <w:r>
              <w:t xml:space="preserve"> Makes </w:t>
            </w:r>
            <w:r>
              <w:rPr>
                <w:rStyle w:val="Text0"/>
              </w:rPr>
              <w:t>readline</w:t>
            </w:r>
            <w:r>
              <w:t xml:space="preserve"> load a text file: each line is a configuration command. When </w:t>
            </w:r>
            <w:r>
              <w:rPr>
                <w:rStyle w:val="Text3"/>
              </w:rPr>
              <w:t>filename</w:t>
            </w:r>
            <w:r>
              <w:t xml:space="preserve"> is </w:t>
            </w:r>
            <w:r>
              <w:rPr>
                <w:rStyle w:val="Text5"/>
              </w:rPr>
              <w:t>None</w:t>
            </w:r>
            <w:r>
              <w:t>, loads the same file as the last time.</w:t>
            </w:r>
          </w:p>
        </w:tc>
      </w:tr>
    </w:tbl>
    <w:tbl>
      <w:tblPr>
        <w:tblW w:type="auto" w:w="0"/>
      </w:tblPr>
      <w:tr>
        <w:tc>
          <w:tcPr>
            <w:tcW w:type="auto" w:w="0"/>
            <w:tcMar>
              <w:left w:type="dxa" w:w="200"/>
              <w:top w:type="dxa" w:w="200"/>
              <w:right w:type="dxa" w:w="200"/>
              <w:bottom w:type="dxa" w:w="200"/>
            </w:tcMar>
          </w:tcPr>
          <w:p>
            <w:pPr>
              <w:pStyle w:val="Para 001"/>
            </w:pPr>
            <w:r>
              <w:t>set_completer</w:t>
            </w:r>
          </w:p>
        </w:tc>
        <w:tc>
          <w:tcPr>
            <w:tcW w:type="auto" w:w="0"/>
            <w:tcMar>
              <w:left w:type="dxa" w:w="200"/>
              <w:top w:type="dxa" w:w="200"/>
              <w:right w:type="dxa" w:w="200"/>
              <w:bottom w:type="dxa" w:w="200"/>
            </w:tcMar>
          </w:tcPr>
          <w:p>
            <w:pPr>
              <w:pStyle w:val="Para 002"/>
            </w:pPr>
            <w:r>
              <w:rPr>
                <w:rStyle w:val="Text0"/>
              </w:rPr>
              <w:t>set_completer(</w:t>
            </w:r>
            <w:r>
              <w:rPr>
                <w:rStyle w:val="Text3"/>
              </w:rPr>
              <w:t>func, /</w:t>
            </w:r>
            <w:r>
              <w:rPr>
                <w:rStyle w:val="Text0"/>
              </w:rPr>
              <w:t>)</w:t>
              <w:br w:clear="none"/>
            </w:r>
            <w:r>
              <w:t xml:space="preserve"> Sets</w:t>
            </w:r>
            <w:r>
              <w:rPr>
                <w:rStyle w:val="Text111"/>
              </w:rPr>
              <w:bookmarkStart w:id="2858" w:name="idm45965201579936"/>
              <w:t/>
              <w:bookmarkEnd w:id="2858"/>
            </w:r>
            <w:r>
              <w:t xml:space="preserve"> the completion function. When </w:t>
            </w:r>
            <w:r>
              <w:rPr>
                <w:rStyle w:val="Text3"/>
              </w:rPr>
              <w:t>func</w:t>
            </w:r>
            <w:r>
              <w:t xml:space="preserve"> is </w:t>
            </w:r>
            <w:r>
              <w:rPr>
                <w:rStyle w:val="Text5"/>
              </w:rPr>
              <w:t>None</w:t>
            </w:r>
            <w:r>
              <w:t xml:space="preserve"> or omitted, </w:t>
            </w:r>
            <w:r>
              <w:rPr>
                <w:rStyle w:val="Text0"/>
              </w:rPr>
              <w:t>readline</w:t>
            </w:r>
            <w:r>
              <w:t xml:space="preserve"> disables completion. Otherwise, when the user types a partial word </w:t>
            </w:r>
            <w:r>
              <w:rPr>
                <w:rStyle w:val="Text3"/>
              </w:rPr>
              <w:t>start</w:t>
            </w:r>
            <w:r>
              <w:t xml:space="preserve">, then presses the Tab key, </w:t>
            </w:r>
            <w:r>
              <w:rPr>
                <w:rStyle w:val="Text0"/>
              </w:rPr>
              <w:t>readline</w:t>
            </w:r>
            <w:r>
              <w:t xml:space="preserve"> calls </w:t>
            </w:r>
            <w:r>
              <w:rPr>
                <w:rStyle w:val="Text3"/>
              </w:rPr>
              <w:t>func</w:t>
            </w:r>
            <w:r>
              <w:rPr>
                <w:rStyle w:val="Text0"/>
              </w:rPr>
              <w:t>(</w:t>
            </w:r>
            <w:r>
              <w:rPr>
                <w:rStyle w:val="Text3"/>
              </w:rPr>
              <w:t>start</w:t>
            </w:r>
            <w:r>
              <w:rPr>
                <w:rStyle w:val="Text0"/>
              </w:rPr>
              <w:t>,</w:t>
            </w:r>
            <w:r>
              <w:t xml:space="preserve"> </w:t>
            </w:r>
            <w:r>
              <w:rPr>
                <w:rStyle w:val="Text3"/>
              </w:rPr>
              <w:t>i</w:t>
            </w:r>
            <w:r>
              <w:rPr>
                <w:rStyle w:val="Text0"/>
              </w:rPr>
              <w:t>)</w:t>
            </w:r>
            <w:r>
              <w:t xml:space="preserve">, with </w:t>
            </w:r>
            <w:r>
              <w:rPr>
                <w:rStyle w:val="Text3"/>
              </w:rPr>
              <w:t>i</w:t>
            </w:r>
            <w:r>
              <w:t xml:space="preserve"> initially </w:t>
            </w:r>
            <w:r>
              <w:rPr>
                <w:rStyle w:val="Text0"/>
              </w:rPr>
              <w:t>0</w:t>
            </w:r>
            <w:r>
              <w:t xml:space="preserve">. </w:t>
            </w:r>
            <w:r>
              <w:rPr>
                <w:rStyle w:val="Text3"/>
              </w:rPr>
              <w:t>func</w:t>
            </w:r>
            <w:r>
              <w:t xml:space="preserve"> returns the </w:t>
            </w:r>
            <w:r>
              <w:rPr>
                <w:rStyle w:val="Text3"/>
              </w:rPr>
              <w:t>i</w:t>
            </w:r>
            <w:r>
              <w:t xml:space="preserve">th possible word starting with </w:t>
            </w:r>
            <w:r>
              <w:rPr>
                <w:rStyle w:val="Text3"/>
              </w:rPr>
              <w:t>start</w:t>
            </w:r>
            <w:r>
              <w:t xml:space="preserve">, or </w:t>
            </w:r>
            <w:r>
              <w:rPr>
                <w:rStyle w:val="Text5"/>
              </w:rPr>
              <w:t>None</w:t>
            </w:r>
            <w:r>
              <w:t xml:space="preserve"> when there are no more. </w:t>
            </w:r>
            <w:r>
              <w:rPr>
                <w:rStyle w:val="Text0"/>
              </w:rPr>
              <w:t>readline</w:t>
            </w:r>
            <w:r>
              <w:t xml:space="preserve"> loops, calling </w:t>
            </w:r>
            <w:r>
              <w:rPr>
                <w:rStyle w:val="Text3"/>
              </w:rPr>
              <w:t>func</w:t>
            </w:r>
            <w:r>
              <w:t xml:space="preserve"> with </w:t>
            </w:r>
            <w:r>
              <w:rPr>
                <w:rStyle w:val="Text3"/>
              </w:rPr>
              <w:t>i</w:t>
            </w:r>
            <w:r>
              <w:t xml:space="preserve"> set to </w:t>
            </w:r>
            <w:r>
              <w:rPr>
                <w:rStyle w:val="Text0"/>
              </w:rPr>
              <w:t>0</w:t>
            </w:r>
            <w:r>
              <w:t xml:space="preserve">, </w:t>
            </w:r>
            <w:r>
              <w:rPr>
                <w:rStyle w:val="Text0"/>
              </w:rPr>
              <w:t>1</w:t>
            </w:r>
            <w:r>
              <w:t xml:space="preserve">, </w:t>
            </w:r>
            <w:r>
              <w:rPr>
                <w:rStyle w:val="Text0"/>
              </w:rPr>
              <w:t>2</w:t>
            </w:r>
            <w:r>
              <w:t xml:space="preserve">, etc., until </w:t>
            </w:r>
            <w:r>
              <w:rPr>
                <w:rStyle w:val="Text3"/>
              </w:rPr>
              <w:t>func</w:t>
            </w:r>
            <w:r>
              <w:t xml:space="preserve"> returns </w:t>
            </w:r>
            <w:r>
              <w:rPr>
                <w:rStyle w:val="Text5"/>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s⁠e⁠t⁠_​h⁠i⁠s⁠tory_length</w:t>
            </w:r>
          </w:p>
        </w:tc>
        <w:tc>
          <w:tcPr>
            <w:tcW w:type="auto" w:w="0"/>
            <w:shd w:val="clear" w:color="auto" w:fill="EEF2F6"/>
            <w:tcMar>
              <w:left w:type="dxa" w:w="200"/>
              <w:top w:type="dxa" w:w="200"/>
              <w:right w:type="dxa" w:w="200"/>
              <w:bottom w:type="dxa" w:w="200"/>
            </w:tcMar>
          </w:tcPr>
          <w:p>
            <w:pPr>
              <w:pStyle w:val="Para 002"/>
            </w:pPr>
            <w:r>
              <w:rPr>
                <w:rStyle w:val="Text0"/>
              </w:rPr>
              <w:t>set_history_length(</w:t>
            </w:r>
            <w:r>
              <w:rPr>
                <w:rStyle w:val="Text3"/>
              </w:rPr>
              <w:t>x, /</w:t>
            </w:r>
            <w:r>
              <w:rPr>
                <w:rStyle w:val="Text0"/>
              </w:rPr>
              <w:t>)</w:t>
              <w:br w:clear="none"/>
            </w:r>
            <w:r>
              <w:t xml:space="preserve"> Sets the number of lines of history that are to be saved to the history file. When </w:t>
            </w:r>
            <w:r>
              <w:rPr>
                <w:rStyle w:val="Text3"/>
              </w:rPr>
              <w:t>x</w:t>
            </w:r>
            <w:r>
              <w:t xml:space="preserve"> is less than </w:t>
            </w:r>
            <w:r>
              <w:rPr>
                <w:rStyle w:val="Text0"/>
              </w:rPr>
              <w:t>0</w:t>
            </w:r>
            <w:r>
              <w:t>, all lines in the history are to be saved.</w:t>
            </w:r>
          </w:p>
        </w:tc>
      </w:tr>
    </w:tbl>
    <w:tbl>
      <w:tblPr>
        <w:tblW w:type="auto" w:w="0"/>
      </w:tblPr>
      <w:tr>
        <w:tc>
          <w:tcPr>
            <w:tcW w:type="auto" w:w="0"/>
            <w:tcMar>
              <w:left w:type="dxa" w:w="200"/>
              <w:top w:type="dxa" w:w="200"/>
              <w:right w:type="dxa" w:w="200"/>
              <w:bottom w:type="dxa" w:w="200"/>
            </w:tcMar>
          </w:tcPr>
          <w:p>
            <w:pPr>
              <w:pStyle w:val="Para 001"/>
            </w:pPr>
            <w:r>
              <w:t>wri⁠t⁠e⁠_​h⁠i⁠s⁠tory_file</w:t>
            </w:r>
          </w:p>
        </w:tc>
        <w:tc>
          <w:tcPr>
            <w:tcW w:type="auto" w:w="0"/>
            <w:tcMar>
              <w:left w:type="dxa" w:w="200"/>
              <w:top w:type="dxa" w:w="200"/>
              <w:right w:type="dxa" w:w="200"/>
              <w:bottom w:type="dxa" w:w="200"/>
            </w:tcMar>
          </w:tcPr>
          <w:p>
            <w:pPr>
              <w:pStyle w:val="Para 002"/>
            </w:pPr>
            <w:r>
              <w:rPr>
                <w:rStyle w:val="Text0"/>
              </w:rPr>
              <w:t>write_history_file(</w:t>
            </w:r>
            <w:r>
              <w:rPr>
                <w:rStyle w:val="Text3"/>
              </w:rPr>
              <w:t>filename</w:t>
            </w:r>
            <w:r>
              <w:rPr>
                <w:rStyle w:val="Text0"/>
              </w:rPr>
              <w:t>='~/.history')</w:t>
              <w:br w:clear="none"/>
            </w:r>
            <w:r>
              <w:t xml:space="preserve"> Saves</w:t>
            </w:r>
            <w:r>
              <w:rPr>
                <w:rStyle w:val="Text111"/>
              </w:rPr>
              <w:bookmarkStart w:id="2859" w:name="idm45965201553792"/>
              <w:t/>
              <w:bookmarkEnd w:id="2859"/>
            </w:r>
            <w:r>
              <w:t xml:space="preserve"> history lines to the text file whose name or path is </w:t>
            </w:r>
            <w:r>
              <w:rPr>
                <w:rStyle w:val="Text3"/>
              </w:rPr>
              <w:t>filename</w:t>
            </w:r>
            <w:r>
              <w:t>, overwriting any existing file.</w:t>
            </w:r>
          </w:p>
        </w:tc>
      </w:tr>
    </w:tbl>
    <w:p>
      <w:bookmarkStart w:id="2860" w:name="Console_I_O__As_mentioned_previo"/>
      <w:pPr>
        <w:keepNext/>
        <w:pStyle w:val="Heading 2"/>
      </w:pPr>
      <w:r>
        <w:t>Console I/O</w:t>
      </w:r>
      <w:bookmarkEnd w:id="2860"/>
    </w:p>
    <w:p>
      <w:pPr>
        <w:pStyle w:val="Normal"/>
      </w:pPr>
      <w:r>
        <w:t>As</w:t>
      </w:r>
      <w:r>
        <w:rPr>
          <w:rStyle w:val="Text111"/>
        </w:rPr>
        <w:bookmarkStart w:id="2861" w:name="idm45965201549296"/>
        <w:t/>
        <w:bookmarkEnd w:id="2861"/>
      </w:r>
      <w:r>
        <w:t xml:space="preserve"> mentioned previously, “terminals” today are usually text windows on a graphical screen. You may also, in theory, use a true terminal, or (perhaps a tad less theoretically, but these days not by much) the console (main screen) of a personal computer in text mode. All such “terminals” in use today offer advanced text I/O functionality, accessed in platform-dependent ways. The low-level </w:t>
      </w:r>
      <w:r>
        <w:rPr>
          <w:rStyle w:val="Text0"/>
        </w:rPr>
        <w:t>curses</w:t>
      </w:r>
      <w:r>
        <w:t xml:space="preserve"> package works on Unix-like platforms. For a cross-platform (Windows, Unix, macOS) solution, you may use the third-party package </w:t>
      </w:r>
      <w:hyperlink r:id="rId375">
        <w:r>
          <w:rPr>
            <w:rStyle w:val="Text30"/>
          </w:rPr>
          <w:t>rich</w:t>
        </w:r>
      </w:hyperlink>
      <w:r>
        <w:t xml:space="preserve">; in addition to its excellent </w:t>
      </w:r>
      <w:hyperlink r:id="rId376">
        <w:r>
          <w:rPr>
            <w:rStyle w:val="Text1"/>
          </w:rPr>
          <w:t>online docs</w:t>
        </w:r>
      </w:hyperlink>
      <w:r>
        <w:t xml:space="preserve">, there are online </w:t>
      </w:r>
      <w:hyperlink r:id="rId377">
        <w:r>
          <w:rPr>
            <w:rStyle w:val="Text1"/>
          </w:rPr>
          <w:t>tutorials</w:t>
        </w:r>
      </w:hyperlink>
      <w:r>
        <w:t xml:space="preserve"> to help you get started. To output</w:t>
      </w:r>
      <w:r>
        <w:rPr>
          <w:rStyle w:val="Text111"/>
        </w:rPr>
        <w:bookmarkStart w:id="2862" w:name="idm45965201544416"/>
        <w:t/>
        <w:bookmarkEnd w:id="2862"/>
      </w:r>
      <w:r>
        <w:t xml:space="preserve"> colored text on the terminal, see</w:t>
      </w:r>
      <w:r>
        <w:rPr>
          <w:rStyle w:val="Text111"/>
        </w:rPr>
        <w:bookmarkStart w:id="2863" w:name="idm45965201543136"/>
        <w:t/>
        <w:bookmarkEnd w:id="2863"/>
      </w:r>
      <w:r>
        <w:t xml:space="preserve"> </w:t>
      </w:r>
      <w:r>
        <w:rPr>
          <w:rStyle w:val="Text0"/>
        </w:rPr>
        <w:t>colorama</w:t>
      </w:r>
      <w:r>
        <w:t xml:space="preserve">, available on </w:t>
      </w:r>
      <w:hyperlink r:id="rId378">
        <w:r>
          <w:rPr>
            <w:rStyle w:val="Text1"/>
          </w:rPr>
          <w:t>PyPI</w:t>
        </w:r>
      </w:hyperlink>
      <w:r>
        <w:t xml:space="preserve">. </w:t>
      </w:r>
      <w:r>
        <w:rPr>
          <w:rStyle w:val="Text0"/>
        </w:rPr>
        <w:t>msvcrt</w:t>
      </w:r>
      <w:r>
        <w:t>, introduced next, provides some low-level (Windows only) functions.</w:t>
      </w:r>
    </w:p>
    <w:p>
      <w:bookmarkStart w:id="2864" w:name="curses__The_classic_Unix_approac"/>
      <w:pPr>
        <w:keepNext/>
        <w:pStyle w:val="Heading 2"/>
      </w:pPr>
      <w:r>
        <w:t>curses</w:t>
      </w:r>
      <w:bookmarkEnd w:id="2864"/>
    </w:p>
    <w:p>
      <w:pPr>
        <w:pStyle w:val="Normal"/>
      </w:pPr>
      <w:r>
        <w:t>The</w:t>
      </w:r>
      <w:r>
        <w:rPr>
          <w:rStyle w:val="Text111"/>
        </w:rPr>
        <w:bookmarkStart w:id="2865" w:name="idm45965201538112"/>
        <w:t/>
        <w:bookmarkEnd w:id="2865"/>
        <w:bookmarkStart w:id="2866" w:name="idm45965201537008"/>
        <w:t/>
        <w:bookmarkEnd w:id="2866"/>
      </w:r>
      <w:r>
        <w:t xml:space="preserve"> classic Unix approach to enhanced terminal I/O is named </w:t>
      </w:r>
      <w:r>
        <w:rPr>
          <w:rStyle w:val="Text0"/>
        </w:rPr>
        <w:t>curses</w:t>
      </w:r>
      <w:r>
        <w:t>, for obscure historical reasons.</w:t>
      </w:r>
      <w:hyperlink w:anchor="4__Curses__does_describe_well_th">
        <w:r>
          <w:rPr>
            <w:rStyle w:val="Text41"/>
          </w:rPr>
          <w:bookmarkStart w:id="2867" w:name="4_6"/>
          <w:t>4</w:t>
          <w:bookmarkEnd w:id="2867"/>
        </w:r>
      </w:hyperlink>
      <w:r>
        <w:t xml:space="preserve"> The Python package </w:t>
      </w:r>
      <w:r>
        <w:rPr>
          <w:rStyle w:val="Text0"/>
        </w:rPr>
        <w:t>curses</w:t>
      </w:r>
      <w:r>
        <w:t xml:space="preserve"> lets you exert detailed control if required. We don’t cover </w:t>
      </w:r>
      <w:r>
        <w:rPr>
          <w:rStyle w:val="Text0"/>
        </w:rPr>
        <w:t>curses</w:t>
      </w:r>
      <w:r>
        <w:t xml:space="preserve"> in this book; for more information, see A.M. Kuchling’s and Eric Raymond’s online tutorial </w:t>
      </w:r>
      <w:hyperlink r:id="rId379">
        <w:r>
          <w:rPr>
            <w:rStyle w:val="Text1"/>
          </w:rPr>
          <w:t>“Curses Programming with Python”</w:t>
        </w:r>
      </w:hyperlink>
      <w:r>
        <w:t>.</w:t>
      </w:r>
    </w:p>
    <w:p>
      <w:bookmarkStart w:id="2868" w:name="The_msvcrt_module__The_Windows_o"/>
      <w:pPr>
        <w:keepNext/>
        <w:pStyle w:val="Heading 2"/>
      </w:pPr>
      <w:r>
        <w:t>The msvcrt module</w:t>
      </w:r>
      <w:bookmarkEnd w:id="2868"/>
    </w:p>
    <w:p>
      <w:pPr>
        <w:pStyle w:val="Normal"/>
      </w:pPr>
      <w:r>
        <w:t>The</w:t>
      </w:r>
      <w:r>
        <w:rPr>
          <w:rStyle w:val="Text111"/>
        </w:rPr>
        <w:bookmarkStart w:id="2869" w:name="idm45965201529424"/>
        <w:t/>
        <w:bookmarkEnd w:id="2869"/>
      </w:r>
      <w:r>
        <w:t xml:space="preserve"> Windows-only </w:t>
      </w:r>
      <w:r>
        <w:rPr>
          <w:rStyle w:val="Text0"/>
        </w:rPr>
        <w:t>msvcrt</w:t>
      </w:r>
      <w:r>
        <w:t xml:space="preserve"> module (which you may need to install with </w:t>
      </w:r>
      <w:r>
        <w:rPr>
          <w:rStyle w:val="Text0"/>
        </w:rPr>
        <w:t>pip</w:t>
      </w:r>
      <w:r>
        <w:t xml:space="preserve">) supplies a few low-level functions that let Python programs access proprietary extras supplied by the Microsoft Visual C++ runtime library </w:t>
      </w:r>
      <w:r>
        <w:rPr>
          <w:rStyle w:val="Text4"/>
        </w:rPr>
        <w:t>msvcrt.dll</w:t>
      </w:r>
      <w:r>
        <w:t xml:space="preserve">. For example, the functions listed in </w:t>
      </w:r>
      <w:hyperlink w:anchor="Table_11_34__Some_useful_functio">
        <w:r>
          <w:rPr>
            <w:rStyle w:val="Text1"/>
          </w:rPr>
          <w:t>Table 11-34</w:t>
        </w:r>
      </w:hyperlink>
      <w:r>
        <w:t xml:space="preserve"> let you read user input character by character rather than reading a full line at a time.</w:t>
      </w:r>
    </w:p>
    <w:tbl>
      <w:tblPr>
        <w:tblW w:type="auto" w:w="0"/>
      </w:tblPr>
      <w:tr>
        <w:tc>
          <w:tcPr>
            <w:tcW w:type="auto" w:w="0"/>
            <w:tcMar>
              <w:left w:type="dxa" w:w="200"/>
              <w:top w:type="dxa" w:w="200"/>
              <w:right w:type="dxa" w:w="200"/>
              <w:bottom w:type="dxa" w:w="200"/>
            </w:tcMar>
          </w:tcPr>
          <w:p>
            <w:bookmarkStart w:id="2870" w:name="Table_11_34__Some_useful_functio"/>
            <w:pPr>
              <w:pStyle w:val="Para 011"/>
            </w:pPr>
            <w:r>
              <w:rPr>
                <w:rStyle w:val="Text117"/>
              </w:rPr>
              <w:t/>
            </w:r>
            <w:r>
              <w:t xml:space="preserve">Table 11-34. </w:t>
              <w:t xml:space="preserve">Some useful functions of the </w:t>
            </w:r>
            <w:r>
              <w:rPr>
                <w:rStyle w:val="Text0"/>
              </w:rPr>
              <w:t>msvcrt</w:t>
            </w:r>
            <w:r>
              <w:t xml:space="preserve"> module</w:t>
            </w:r>
            <w:bookmarkEnd w:id="2870"/>
          </w:p>
          <w:p>
            <w:pPr>
              <w:pStyle w:val="Para 001"/>
            </w:pPr>
            <w:r>
              <w:t>getch</w:t>
            </w:r>
            <w:r>
              <w:rPr>
                <w:rStyle w:val="Text12"/>
              </w:rPr>
              <w:t>,</w:t>
              <w:br w:clear="none"/>
              <w:t xml:space="preserve"> </w:t>
            </w:r>
            <w:r>
              <w:t>getche</w:t>
            </w:r>
          </w:p>
        </w:tc>
        <w:tc>
          <w:tcPr>
            <w:tcW w:type="auto" w:w="0"/>
            <w:tcMar>
              <w:left w:type="dxa" w:w="200"/>
              <w:top w:type="dxa" w:w="200"/>
              <w:right w:type="dxa" w:w="200"/>
              <w:bottom w:type="dxa" w:w="200"/>
            </w:tcMar>
          </w:tcPr>
          <w:p>
            <w:pPr>
              <w:pStyle w:val="Para 002"/>
            </w:pPr>
            <w:r>
              <w:rPr>
                <w:rStyle w:val="Text0"/>
              </w:rPr>
              <w:t>getch()</w:t>
            </w:r>
            <w:r>
              <w:t>,</w:t>
            </w:r>
            <w:r>
              <w:rPr>
                <w:rStyle w:val="Text0"/>
              </w:rPr>
              <w:t xml:space="preserve"> getche()</w:t>
              <w:br w:clear="none"/>
            </w:r>
            <w:r>
              <w:t xml:space="preserve"> Reads</w:t>
            </w:r>
            <w:r>
              <w:rPr>
                <w:rStyle w:val="Text111"/>
              </w:rPr>
              <w:bookmarkStart w:id="2871" w:name="idm45965201518528"/>
              <w:t/>
              <w:bookmarkEnd w:id="2871"/>
            </w:r>
            <w:r>
              <w:t xml:space="preserve"> and returns a single-character bytes from keyboard input, and if necessary blocks until one is available (i.e., a key is pressed). </w:t>
            </w:r>
            <w:r>
              <w:rPr>
                <w:rStyle w:val="Text0"/>
              </w:rPr>
              <w:t>getche</w:t>
            </w:r>
            <w:r>
              <w:t xml:space="preserve"> echoes the character to screen (if printable), while </w:t>
            </w:r>
            <w:r>
              <w:rPr>
                <w:rStyle w:val="Text0"/>
              </w:rPr>
              <w:t>getch</w:t>
            </w:r>
            <w:r>
              <w:t xml:space="preserve"> does not. When the user presses a special key (arrows, function keys, etc.), it’s seen as two characters: first a </w:t>
            </w:r>
            <w:r>
              <w:rPr>
                <w:rStyle w:val="Text0"/>
              </w:rPr>
              <w:t>chr(0)</w:t>
            </w:r>
            <w:r>
              <w:t xml:space="preserve"> or </w:t>
            </w:r>
            <w:r>
              <w:rPr>
                <w:rStyle w:val="Text0"/>
              </w:rPr>
              <w:t>chr(224)</w:t>
            </w:r>
            <w:r>
              <w:t xml:space="preserve">, then a second character that, together with the first one, defines the special key the user pressed. This means that the program must call </w:t>
            </w:r>
            <w:r>
              <w:rPr>
                <w:rStyle w:val="Text0"/>
              </w:rPr>
              <w:t>getch</w:t>
            </w:r>
            <w:r>
              <w:t xml:space="preserve"> or </w:t>
            </w:r>
            <w:r>
              <w:rPr>
                <w:rStyle w:val="Text0"/>
              </w:rPr>
              <w:t>getche</w:t>
            </w:r>
            <w:r>
              <w:t xml:space="preserve"> twice to read these key presses. To find out what </w:t>
            </w:r>
            <w:r>
              <w:rPr>
                <w:rStyle w:val="Text0"/>
              </w:rPr>
              <w:t>getch</w:t>
            </w:r>
            <w:r>
              <w:t xml:space="preserve"> returns for any key, run the following small script on a Windows machine: </w:t>
            </w:r>
          </w:p>
          <w:p>
            <w:pPr>
              <w:pStyle w:val="Para 044"/>
            </w:pPr>
            <w:r>
              <w:rPr>
                <w:rStyle w:val="Text23"/>
              </w:rPr>
              <w:t xml:space="preserve"/>
              <w:br w:clear="none"/>
            </w:r>
            <w:r>
              <w:rPr>
                <w:rStyle w:val="Text10"/>
              </w:rPr>
              <w:t xml:space="preserve">import</w:t>
              <w:br w:clear="none"/>
            </w:r>
            <w:r>
              <w:rPr>
                <w:rStyle w:val="Text6"/>
              </w:rPr>
              <w:t xml:space="preserve"> </w:t>
              <w:br w:clear="none"/>
            </w:r>
            <w:r>
              <w:rPr>
                <w:rStyle w:val="Text20"/>
              </w:rPr>
              <w:t xml:space="preserve">msvcrt</w:t>
              <w:br w:clear="none"/>
            </w:r>
            <w:r>
              <w:rPr>
                <w:rStyle w:val="Text6"/>
              </w:rPr>
              <w:t xml:space="preserve"/>
              <w:br w:clear="none"/>
            </w:r>
            <w:r>
              <w:rPr>
                <w:rStyle w:val="Text16"/>
              </w:rPr>
              <w:t xml:space="preserve">print</w:t>
              <w:br w:clear="none"/>
            </w:r>
            <w:r>
              <w:rPr>
                <w:rStyle w:val="Text7"/>
              </w:rPr>
              <w:t xml:space="preserve">(</w:t>
              <w:br w:clear="none"/>
            </w:r>
            <w:r>
              <w:t xml:space="preserve">"</w:t>
              <w:br w:clear="none"/>
              <w:t xml:space="preserve">press z to exit, or any other key </w:t>
              <w:br w:clear="none"/>
              <w:t xml:space="preserve">"</w:t>
              <w:br w:clear="none"/>
            </w:r>
            <w:r>
              <w:rPr>
                <w:rStyle w:val="Text6"/>
              </w:rPr>
              <w:t xml:space="preserve"/>
              <w:br w:clear="none"/>
              <w:t xml:space="preserve">      </w:t>
              <w:br w:clear="none"/>
            </w:r>
            <w:r>
              <w:t xml:space="preserve">"</w:t>
              <w:br w:clear="none"/>
              <w:t xml:space="preserve">to see the key</w:t>
              <w:br w:clear="none"/>
              <w:t xml:space="preserve">'</w:t>
              <w:br w:clear="none"/>
              <w:t xml:space="preserve">s code:</w:t>
              <w:br w:clear="none"/>
              <w:t xml:space="preserve">"</w:t>
              <w:br w:clear="none"/>
            </w:r>
            <w:r>
              <w:rPr>
                <w:rStyle w:val="Text7"/>
              </w:rPr>
              <w:t xml:space="preserve">)</w:t>
              <w:br w:clear="none"/>
            </w:r>
            <w:r>
              <w:rPr>
                <w:rStyle w:val="Text6"/>
              </w:rPr>
              <w:t xml:space="preserve"/>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rPr>
                <w:rStyle w:val="Text9"/>
              </w:rPr>
              <w:t xml:space="preserve">c</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msvcrt</w:t>
              <w:br w:clear="none"/>
            </w:r>
            <w:r>
              <w:rPr>
                <w:rStyle w:val="Text13"/>
              </w:rPr>
              <w:t xml:space="preserve">.</w:t>
              <w:br w:clear="none"/>
            </w:r>
            <w:r>
              <w:rPr>
                <w:rStyle w:val="Text9"/>
              </w:rPr>
              <w:t xml:space="preserve">getch</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c</w:t>
              <w:br w:clear="none"/>
            </w:r>
            <w:r>
              <w:rPr>
                <w:rStyle w:val="Text6"/>
              </w:rPr>
              <w:t xml:space="preserve"> </w:t>
              <w:br w:clear="none"/>
            </w:r>
            <w:r>
              <w:rPr>
                <w:rStyle w:val="Text13"/>
              </w:rPr>
              <w:t xml:space="preserve">==</w:t>
              <w:br w:clear="none"/>
            </w:r>
            <w:r>
              <w:rPr>
                <w:rStyle w:val="Text6"/>
              </w:rPr>
              <w:t xml:space="preserve"> </w:t>
              <w:br w:clear="none"/>
              <w:t xml:space="preserve">b</w:t>
              <w:br w:clear="none"/>
            </w:r>
            <w:r>
              <w:t xml:space="preserve">'</w:t>
              <w:br w:clear="none"/>
              <w:t xml:space="preserve">z</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break</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t xml:space="preserve">'</w:t>
              <w:br w:clear="none"/>
            </w:r>
            <w:r>
              <w:rPr>
                <w:rStyle w:val="Text32"/>
              </w:rPr>
              <w:t xml:space="preserve">{</w:t>
              <w:br w:clear="none"/>
            </w:r>
            <w:r>
              <w:rPr>
                <w:rStyle w:val="Text16"/>
              </w:rPr>
              <w:t xml:space="preserve">ord</w:t>
              <w:br w:clear="none"/>
            </w:r>
            <w:r>
              <w:rPr>
                <w:rStyle w:val="Text7"/>
              </w:rPr>
              <w:t xml:space="preserve">(</w:t>
              <w:br w:clear="none"/>
            </w:r>
            <w:r>
              <w:rPr>
                <w:rStyle w:val="Text9"/>
              </w:rPr>
              <w:t xml:space="preserve">c</w:t>
              <w:br w:clear="none"/>
            </w:r>
            <w:r>
              <w:rPr>
                <w:rStyle w:val="Text7"/>
              </w:rPr>
              <w:t xml:space="preserve">)</w:t>
              <w:br w:clear="none"/>
            </w:r>
            <w:r>
              <w:rPr>
                <w:rStyle w:val="Text32"/>
              </w:rPr>
              <w:t xml:space="preserve">}</w:t>
              <w:br w:clear="none"/>
            </w:r>
            <w:r>
              <w:t xml:space="preserve"> (</w:t>
              <w:br w:clear="none"/>
            </w:r>
            <w:r>
              <w:rPr>
                <w:rStyle w:val="Text32"/>
              </w:rPr>
              <w:t xml:space="preserve">{</w:t>
              <w:br w:clear="none"/>
            </w:r>
            <w:r>
              <w:rPr>
                <w:rStyle w:val="Text9"/>
              </w:rPr>
              <w:t xml:space="preserve">c</w:t>
              <w:br w:clear="none"/>
            </w:r>
            <w:r>
              <w:rPr>
                <w:rStyle w:val="Text32"/>
              </w:rPr>
              <w:t xml:space="preserve">!r}</w:t>
              <w:br w:clear="none"/>
            </w:r>
            <w:r>
              <w:t xml:space="preserve">)</w:t>
              <w:br w:clear="none"/>
              <w:t xml:space="preserve">'</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kbhit</w:t>
            </w:r>
          </w:p>
        </w:tc>
        <w:tc>
          <w:tcPr>
            <w:tcW w:type="auto" w:w="0"/>
            <w:shd w:val="clear" w:color="auto" w:fill="EEF2F6"/>
            <w:tcMar>
              <w:left w:type="dxa" w:w="200"/>
              <w:top w:type="dxa" w:w="200"/>
              <w:right w:type="dxa" w:w="200"/>
              <w:bottom w:type="dxa" w:w="200"/>
            </w:tcMar>
          </w:tcPr>
          <w:p>
            <w:pPr>
              <w:pStyle w:val="Para 002"/>
            </w:pPr>
            <w:r>
              <w:rPr>
                <w:rStyle w:val="Text0"/>
              </w:rPr>
              <w:t>kbhit()</w:t>
              <w:br w:clear="none"/>
            </w:r>
            <w:r>
              <w:t xml:space="preserve"> Returns </w:t>
            </w:r>
            <w:r>
              <w:rPr>
                <w:rStyle w:val="Text5"/>
              </w:rPr>
              <w:t>True</w:t>
            </w:r>
            <w:r>
              <w:t xml:space="preserve"> when a character is available for reading (</w:t>
            </w:r>
            <w:r>
              <w:rPr>
                <w:rStyle w:val="Text0"/>
              </w:rPr>
              <w:t>getch</w:t>
            </w:r>
            <w:r>
              <w:t xml:space="preserve">, when called, returns immediately); otherwise, returns </w:t>
            </w:r>
            <w:r>
              <w:rPr>
                <w:rStyle w:val="Text5"/>
              </w:rPr>
              <w:t>False</w:t>
            </w:r>
            <w:r>
              <w:t xml:space="preserve"> (</w:t>
            </w:r>
            <w:r>
              <w:rPr>
                <w:rStyle w:val="Text0"/>
              </w:rPr>
              <w:t>getch</w:t>
            </w:r>
            <w:r>
              <w:t>, when called, waits).</w:t>
            </w:r>
          </w:p>
        </w:tc>
      </w:tr>
    </w:tbl>
    <w:tbl>
      <w:tblPr>
        <w:tblW w:type="auto" w:w="0"/>
      </w:tblPr>
      <w:tr>
        <w:tc>
          <w:tcPr>
            <w:tcW w:type="auto" w:w="0"/>
            <w:tcMar>
              <w:left w:type="dxa" w:w="200"/>
              <w:top w:type="dxa" w:w="200"/>
              <w:right w:type="dxa" w:w="200"/>
              <w:bottom w:type="dxa" w:w="200"/>
            </w:tcMar>
          </w:tcPr>
          <w:p>
            <w:pPr>
              <w:pStyle w:val="Para 001"/>
            </w:pPr>
            <w:r>
              <w:t>ungetch</w:t>
            </w:r>
          </w:p>
        </w:tc>
        <w:tc>
          <w:tcPr>
            <w:tcW w:type="auto" w:w="0"/>
            <w:tcMar>
              <w:left w:type="dxa" w:w="200"/>
              <w:top w:type="dxa" w:w="200"/>
              <w:right w:type="dxa" w:w="200"/>
              <w:bottom w:type="dxa" w:w="200"/>
            </w:tcMar>
          </w:tcPr>
          <w:p>
            <w:pPr>
              <w:pStyle w:val="Para 002"/>
            </w:pPr>
            <w:r>
              <w:rPr>
                <w:rStyle w:val="Text0"/>
              </w:rPr>
              <w:t>ungetch(</w:t>
            </w:r>
            <w:r>
              <w:rPr>
                <w:rStyle w:val="Text3"/>
              </w:rPr>
              <w:t>c</w:t>
            </w:r>
            <w:r>
              <w:rPr>
                <w:rStyle w:val="Text0"/>
              </w:rPr>
              <w:t>)</w:t>
              <w:br w:clear="none"/>
            </w:r>
            <w:r>
              <w:t xml:space="preserve"> “Ungets” character</w:t>
            </w:r>
            <w:r>
              <w:rPr>
                <w:rStyle w:val="Text111"/>
              </w:rPr>
              <w:bookmarkStart w:id="2872" w:name="idm45965201452304"/>
              <w:t/>
              <w:bookmarkEnd w:id="2872"/>
            </w:r>
            <w:r>
              <w:t xml:space="preserve"> </w:t>
            </w:r>
            <w:r>
              <w:rPr>
                <w:rStyle w:val="Text3"/>
              </w:rPr>
              <w:t>c</w:t>
            </w:r>
            <w:r>
              <w:t xml:space="preserve">; the next call to </w:t>
            </w:r>
            <w:r>
              <w:rPr>
                <w:rStyle w:val="Text0"/>
              </w:rPr>
              <w:t>getch</w:t>
            </w:r>
            <w:r>
              <w:t xml:space="preserve"> or </w:t>
            </w:r>
            <w:r>
              <w:rPr>
                <w:rStyle w:val="Text0"/>
              </w:rPr>
              <w:t>getche</w:t>
            </w:r>
            <w:r>
              <w:t xml:space="preserve"> returns </w:t>
            </w:r>
            <w:r>
              <w:rPr>
                <w:rStyle w:val="Text3"/>
              </w:rPr>
              <w:t>c</w:t>
            </w:r>
            <w:r>
              <w:t xml:space="preserve">. It’s an error to call </w:t>
            </w:r>
            <w:r>
              <w:rPr>
                <w:rStyle w:val="Text0"/>
              </w:rPr>
              <w:t>ungetch</w:t>
            </w:r>
            <w:r>
              <w:t xml:space="preserve"> twice without intervening calls to </w:t>
            </w:r>
            <w:r>
              <w:rPr>
                <w:rStyle w:val="Text0"/>
              </w:rPr>
              <w:t>getch</w:t>
            </w:r>
            <w:r>
              <w:t xml:space="preserve"> or </w:t>
            </w:r>
            <w:r>
              <w:rPr>
                <w:rStyle w:val="Text0"/>
              </w:rPr>
              <w:t>getche</w:t>
            </w:r>
            <w:r>
              <w:t>.</w:t>
            </w:r>
            <w:r>
              <w:rPr>
                <w:rStyle w:val="Text111"/>
              </w:rPr>
              <w:bookmarkStart w:id="2873" w:name="idm45965201412864"/>
              <w:t/>
              <w:bookmarkEnd w:id="2873"/>
              <w:bookmarkStart w:id="2874" w:name="idm45965201411456"/>
              <w:t/>
              <w:bookmarkEnd w:id="2874"/>
            </w:r>
          </w:p>
        </w:tc>
      </w:tr>
    </w:tbl>
    <w:p>
      <w:bookmarkStart w:id="2875" w:name="Internationalization__Many_progr"/>
      <w:pPr>
        <w:keepNext/>
        <w:pStyle w:val="Heading 1"/>
      </w:pPr>
      <w:r>
        <w:t>Internationalization</w:t>
      </w:r>
      <w:bookmarkEnd w:id="2875"/>
    </w:p>
    <w:p>
      <w:pPr>
        <w:pStyle w:val="Normal"/>
      </w:pPr>
      <w:r>
        <w:t>Many</w:t>
      </w:r>
      <w:r>
        <w:rPr>
          <w:rStyle w:val="Text111"/>
        </w:rPr>
        <w:bookmarkStart w:id="2876" w:name="FTOinter11"/>
        <w:t/>
        <w:bookmarkEnd w:id="2876"/>
        <w:bookmarkStart w:id="2877" w:name="inter11"/>
        <w:t/>
        <w:bookmarkEnd w:id="2877"/>
        <w:bookmarkStart w:id="2878" w:name="i18n11"/>
        <w:t/>
        <w:bookmarkEnd w:id="2878"/>
      </w:r>
      <w:r>
        <w:t xml:space="preserve"> programs present some information to users as text. Such text should be understandable and acceptable to users in different locales. For example, in some countries and cultures, the date “March 7” can be concisely expressed as “3/7.” Elsewhere, “3/7” indicates “July 3,” and the string that means “March 7” is “7/3.” In Python, such</w:t>
      </w:r>
      <w:r>
        <w:rPr>
          <w:rStyle w:val="Text111"/>
        </w:rPr>
        <w:bookmarkStart w:id="2879" w:name="idm45965201403488"/>
        <w:t/>
        <w:bookmarkEnd w:id="2879"/>
      </w:r>
      <w:r>
        <w:t xml:space="preserve"> cultural conventions are handled with the help of the standard library module </w:t>
      </w:r>
      <w:r>
        <w:rPr>
          <w:rStyle w:val="Text0"/>
        </w:rPr>
        <w:t>locale</w:t>
      </w:r>
      <w:r>
        <w:t>.</w:t>
      </w:r>
    </w:p>
    <w:p>
      <w:pPr>
        <w:pStyle w:val="Normal"/>
      </w:pPr>
      <w:r>
        <w:t xml:space="preserve">Similarly, a greeting might be expressed in one natural language by the string “Benvenuti,” while in another language the string to use is “Welcome.” In Python, such translations are handled with the help of the stdlib module </w:t>
      </w:r>
      <w:r>
        <w:rPr>
          <w:rStyle w:val="Text0"/>
        </w:rPr>
        <w:t>gettext</w:t>
      </w:r>
      <w:r>
        <w:t>.</w:t>
      </w:r>
    </w:p>
    <w:p>
      <w:pPr>
        <w:pStyle w:val="Normal"/>
      </w:pPr>
      <w:r>
        <w:t xml:space="preserve">Both kinds of issues are commonly addressed under the umbrella term </w:t>
      </w:r>
      <w:r>
        <w:rPr>
          <w:rStyle w:val="Text4"/>
        </w:rPr>
        <w:t>internationalization</w:t>
      </w:r>
      <w:r>
        <w:t xml:space="preserve"> (often abbreviated </w:t>
      </w:r>
      <w:r>
        <w:rPr>
          <w:rStyle w:val="Text4"/>
        </w:rPr>
        <w:t>i18n</w:t>
      </w:r>
      <w:r>
        <w:t xml:space="preserve">, as there are 18 letters between </w:t>
      </w:r>
      <w:r>
        <w:rPr>
          <w:rStyle w:val="Text4"/>
        </w:rPr>
        <w:t>i</w:t>
      </w:r>
      <w:r>
        <w:t xml:space="preserve"> and </w:t>
      </w:r>
      <w:r>
        <w:rPr>
          <w:rStyle w:val="Text4"/>
        </w:rPr>
        <w:t>n</w:t>
      </w:r>
      <w:r>
        <w:t xml:space="preserve"> in the full spelling in English)—a misnomer, since the same issues apply not just between nations, but also to different languages or cultures within a single nation.</w:t>
      </w:r>
      <w:hyperlink w:anchor="5_I18n_includes_the_process_of">
        <w:r>
          <w:rPr>
            <w:rStyle w:val="Text41"/>
          </w:rPr>
          <w:bookmarkStart w:id="2880" w:name="5_6"/>
          <w:t>5</w:t>
          <w:bookmarkEnd w:id="2880"/>
        </w:r>
      </w:hyperlink>
    </w:p>
    <w:p>
      <w:bookmarkStart w:id="2881" w:name="The_locale_Module__Python_s_supp"/>
      <w:pPr>
        <w:keepNext/>
        <w:pStyle w:val="Heading 2"/>
      </w:pPr>
      <w:r>
        <w:t>The locale Module</w:t>
      </w:r>
      <w:bookmarkEnd w:id="2881"/>
    </w:p>
    <w:p>
      <w:pPr>
        <w:pStyle w:val="Normal"/>
      </w:pPr>
      <w:r>
        <w:t>Python’s support</w:t>
      </w:r>
      <w:r>
        <w:rPr>
          <w:rStyle w:val="Text111"/>
        </w:rPr>
        <w:bookmarkStart w:id="2882" w:name="localmod11"/>
        <w:t/>
        <w:bookmarkEnd w:id="2882"/>
        <w:bookmarkStart w:id="2883" w:name="SLMlocale11"/>
        <w:t/>
        <w:bookmarkEnd w:id="2883"/>
      </w:r>
      <w:r>
        <w:t xml:space="preserve"> for cultural conventions imitates that of C, slightly simplified. A program operates in an environment of cultural conventions known as a </w:t>
      </w:r>
      <w:r>
        <w:rPr>
          <w:rStyle w:val="Text4"/>
        </w:rPr>
        <w:t>locale</w:t>
      </w:r>
      <w:r>
        <w:t xml:space="preserve">. The locale setting permeates the program and is typically set at program startup. The locale is not thread-specific, and the </w:t>
      </w:r>
      <w:r>
        <w:rPr>
          <w:rStyle w:val="Text0"/>
        </w:rPr>
        <w:t>locale</w:t>
      </w:r>
      <w:r>
        <w:t xml:space="preserve"> module is not thread-safe. In a multithreaded program, set the program’s locale in the main thread; i.e., set it before starting secondary threads.</w:t>
      </w:r>
    </w:p>
    <w:p>
      <w:pPr>
        <w:keepNext/>
        <w:pStyle w:val="Heading 6"/>
        <w:keepLines w:val="on"/>
      </w:pPr>
      <w:r>
        <w:t>Limitations of locale</w:t>
      </w:r>
    </w:p>
    <w:p>
      <w:pPr>
        <w:pStyle w:val="Para 012"/>
        <w:keepLines w:val="on"/>
      </w:pPr>
      <w:r>
        <w:rPr>
          <w:rStyle w:val="Text0"/>
        </w:rPr>
        <w:t>locale</w:t>
      </w:r>
      <w:r>
        <w:t xml:space="preserve"> is only useful for process-wide settings. If your application needs to handle multiple locales at the same time in a single process—whether in threads or asynchronously—</w:t>
      </w:r>
      <w:r>
        <w:rPr>
          <w:rStyle w:val="Text0"/>
        </w:rPr>
        <w:t>locale</w:t>
      </w:r>
      <w:r>
        <w:t xml:space="preserve"> is not the answer due to its process-wide nature. Consider, instead, alternatives such as </w:t>
      </w:r>
      <w:hyperlink r:id="rId380">
        <w:r>
          <w:rPr>
            <w:rStyle w:val="Text1"/>
          </w:rPr>
          <w:t>PyICU</w:t>
        </w:r>
      </w:hyperlink>
      <w:r>
        <w:t xml:space="preserve">, mentioned in </w:t>
      </w:r>
      <w:hyperlink w:anchor="More_Internationalization_Resour">
        <w:r>
          <w:rPr>
            <w:rStyle w:val="Text1"/>
          </w:rPr>
          <w:t>“More Internationalization Resources”</w:t>
        </w:r>
      </w:hyperlink>
      <w:r>
        <w:t>.</w:t>
      </w:r>
    </w:p>
    <w:p>
      <w:pPr>
        <w:pStyle w:val="Normal"/>
      </w:pPr>
      <w:r>
        <w:t xml:space="preserve">If a program does not call </w:t>
      </w:r>
      <w:r>
        <w:rPr>
          <w:rStyle w:val="Text0"/>
        </w:rPr>
        <w:t>locale.setlocale</w:t>
      </w:r>
      <w:r>
        <w:t xml:space="preserve">, the </w:t>
      </w:r>
      <w:r>
        <w:rPr>
          <w:rStyle w:val="Text4"/>
        </w:rPr>
        <w:t>C locale</w:t>
      </w:r>
      <w:r>
        <w:t xml:space="preserve"> (so called due to Python’s C language roots) is used; it’s similar, but not identical, to the US English locale. Alternatively, a program can find out and accept the user’s default locale. In this case, the </w:t>
      </w:r>
      <w:r>
        <w:rPr>
          <w:rStyle w:val="Text0"/>
        </w:rPr>
        <w:t>locale</w:t>
      </w:r>
      <w:r>
        <w:t xml:space="preserve"> module interacts with the operating system (via the environment or in other system-dependent ways) to try to find the user’s preferred locale. Finally, a program can set a specific locale, presumably determining which locale to set on the basis of user interaction or via persistent configuration settings.</w:t>
      </w:r>
    </w:p>
    <w:p>
      <w:pPr>
        <w:pStyle w:val="Normal"/>
      </w:pPr>
      <w:r>
        <w:t xml:space="preserve">Locale setting is normally performed across the board for all relevant categories of cultural conventions. This common wide-spectrum setting is denoted by the constant attribute </w:t>
      </w:r>
      <w:r>
        <w:rPr>
          <w:rStyle w:val="Text0"/>
        </w:rPr>
        <w:t>LC_ALL</w:t>
      </w:r>
      <w:r>
        <w:t xml:space="preserve"> of the </w:t>
      </w:r>
      <w:r>
        <w:rPr>
          <w:rStyle w:val="Text0"/>
        </w:rPr>
        <w:t>locale</w:t>
      </w:r>
      <w:r>
        <w:t xml:space="preserve"> module. However, the cultural conventions handled by </w:t>
      </w:r>
      <w:r>
        <w:rPr>
          <w:rStyle w:val="Text0"/>
        </w:rPr>
        <w:t>locale</w:t>
      </w:r>
      <w:r>
        <w:t xml:space="preserve"> are grouped into categories, and, in some rare cases, a program can choose to mix and match categories to build up a synthetic composite locale. The categories are identified by the attributes listed in </w:t>
      </w:r>
      <w:hyperlink w:anchor="Table_11_35__Constant_attributes">
        <w:r>
          <w:rPr>
            <w:rStyle w:val="Text1"/>
          </w:rPr>
          <w:t>Table 11-35</w:t>
        </w:r>
      </w:hyperlink>
      <w:r>
        <w:t>.</w:t>
      </w:r>
    </w:p>
    <w:tbl>
      <w:tblPr>
        <w:tblW w:type="auto" w:w="0"/>
      </w:tblPr>
      <w:tr>
        <w:tc>
          <w:tcPr>
            <w:tcW w:type="auto" w:w="0"/>
            <w:tcMar>
              <w:left w:type="dxa" w:w="200"/>
              <w:top w:type="dxa" w:w="200"/>
              <w:right w:type="dxa" w:w="200"/>
              <w:bottom w:type="dxa" w:w="200"/>
            </w:tcMar>
          </w:tcPr>
          <w:p>
            <w:bookmarkStart w:id="2884" w:name="Table_11_35__Constant_attributes"/>
            <w:pPr>
              <w:pStyle w:val="Para 011"/>
            </w:pPr>
            <w:r>
              <w:rPr>
                <w:rStyle w:val="Text117"/>
              </w:rPr>
              <w:t/>
            </w:r>
            <w:r>
              <w:t xml:space="preserve">Table 11-35. </w:t>
              <w:t xml:space="preserve">Constant attributes of the </w:t>
            </w:r>
            <w:r>
              <w:rPr>
                <w:rStyle w:val="Text0"/>
              </w:rPr>
              <w:t>locale</w:t>
            </w:r>
            <w:r>
              <w:t xml:space="preserve"> module</w:t>
            </w:r>
            <w:bookmarkEnd w:id="2884"/>
          </w:p>
          <w:p>
            <w:pPr>
              <w:pStyle w:val="Para 001"/>
            </w:pPr>
            <w:r>
              <w:t>LC_COLLATE</w:t>
            </w:r>
          </w:p>
        </w:tc>
        <w:tc>
          <w:tcPr>
            <w:tcW w:type="auto" w:w="0"/>
            <w:tcMar>
              <w:left w:type="dxa" w:w="200"/>
              <w:top w:type="dxa" w:w="200"/>
              <w:right w:type="dxa" w:w="200"/>
              <w:bottom w:type="dxa" w:w="200"/>
            </w:tcMar>
          </w:tcPr>
          <w:p>
            <w:pPr>
              <w:pStyle w:val="Para 002"/>
            </w:pPr>
            <w:r>
              <w:t xml:space="preserve">String sorting; affects functions </w:t>
            </w:r>
            <w:r>
              <w:rPr>
                <w:rStyle w:val="Text0"/>
              </w:rPr>
              <w:t>strcoll</w:t>
            </w:r>
            <w:r>
              <w:t xml:space="preserve"> and </w:t>
            </w:r>
            <w:r>
              <w:rPr>
                <w:rStyle w:val="Text0"/>
              </w:rPr>
              <w:t>strxfrm</w:t>
            </w:r>
            <w:r>
              <w:t xml:space="preserve"> in </w:t>
            </w:r>
            <w:r>
              <w:rPr>
                <w:rStyle w:val="Text0"/>
              </w:rPr>
              <w:t>locale</w:t>
            </w:r>
          </w:p>
        </w:tc>
      </w:tr>
    </w:tbl>
    <w:tbl>
      <w:tblPr>
        <w:tblW w:type="auto" w:w="0"/>
      </w:tblPr>
      <w:tr>
        <w:tc>
          <w:tcPr>
            <w:tcW w:type="auto" w:w="0"/>
            <w:shd w:val="clear" w:color="auto" w:fill="EEF2F6"/>
            <w:tcMar>
              <w:left w:type="dxa" w:w="200"/>
              <w:top w:type="dxa" w:w="200"/>
              <w:right w:type="dxa" w:w="200"/>
              <w:bottom w:type="dxa" w:w="200"/>
            </w:tcMar>
          </w:tcPr>
          <w:p>
            <w:pPr>
              <w:pStyle w:val="Para 001"/>
            </w:pPr>
            <w:r>
              <w:t>LC_CTYPE</w:t>
            </w:r>
          </w:p>
        </w:tc>
        <w:tc>
          <w:tcPr>
            <w:tcW w:type="auto" w:w="0"/>
            <w:shd w:val="clear" w:color="auto" w:fill="EEF2F6"/>
            <w:tcMar>
              <w:left w:type="dxa" w:w="200"/>
              <w:top w:type="dxa" w:w="200"/>
              <w:right w:type="dxa" w:w="200"/>
              <w:bottom w:type="dxa" w:w="200"/>
            </w:tcMar>
          </w:tcPr>
          <w:p>
            <w:pPr>
              <w:pStyle w:val="Para 002"/>
            </w:pPr>
            <w:r>
              <w:t xml:space="preserve">Character types; affects aspects of module </w:t>
            </w:r>
            <w:r>
              <w:rPr>
                <w:rStyle w:val="Text0"/>
              </w:rPr>
              <w:t>string</w:t>
            </w:r>
            <w:r>
              <w:t xml:space="preserve"> (and string methods) that have to do with lowercase and uppercase letters</w:t>
            </w:r>
          </w:p>
        </w:tc>
      </w:tr>
    </w:tbl>
    <w:tbl>
      <w:tblPr>
        <w:tblW w:type="auto" w:w="0"/>
      </w:tblPr>
      <w:tr>
        <w:tc>
          <w:tcPr>
            <w:tcW w:type="auto" w:w="0"/>
            <w:tcMar>
              <w:left w:type="dxa" w:w="200"/>
              <w:top w:type="dxa" w:w="200"/>
              <w:right w:type="dxa" w:w="200"/>
              <w:bottom w:type="dxa" w:w="200"/>
            </w:tcMar>
          </w:tcPr>
          <w:p>
            <w:pPr>
              <w:pStyle w:val="Para 001"/>
            </w:pPr>
            <w:r>
              <w:t>LC_MESSAGES</w:t>
            </w:r>
          </w:p>
        </w:tc>
        <w:tc>
          <w:tcPr>
            <w:tcW w:type="auto" w:w="0"/>
            <w:tcMar>
              <w:left w:type="dxa" w:w="200"/>
              <w:top w:type="dxa" w:w="200"/>
              <w:right w:type="dxa" w:w="200"/>
              <w:bottom w:type="dxa" w:w="200"/>
            </w:tcMar>
          </w:tcPr>
          <w:p>
            <w:pPr>
              <w:pStyle w:val="Para 002"/>
            </w:pPr>
            <w:r>
              <w:t xml:space="preserve">Messages; may affect messages displayed by the operating system (for example, messages displayed by function </w:t>
            </w:r>
            <w:r>
              <w:rPr>
                <w:rStyle w:val="Text0"/>
              </w:rPr>
              <w:t>os.strerror</w:t>
            </w:r>
            <w:r>
              <w:t xml:space="preserve"> and module </w:t>
            </w:r>
            <w:r>
              <w:rPr>
                <w:rStyle w:val="Text0"/>
              </w:rPr>
              <w:t>gettext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LC_MONETARY</w:t>
            </w:r>
          </w:p>
        </w:tc>
        <w:tc>
          <w:tcPr>
            <w:tcW w:type="auto" w:w="0"/>
            <w:shd w:val="clear" w:color="auto" w:fill="EEF2F6"/>
            <w:tcMar>
              <w:left w:type="dxa" w:w="200"/>
              <w:top w:type="dxa" w:w="200"/>
              <w:right w:type="dxa" w:w="200"/>
              <w:bottom w:type="dxa" w:w="200"/>
            </w:tcMar>
          </w:tcPr>
          <w:p>
            <w:pPr>
              <w:pStyle w:val="Para 002"/>
            </w:pPr>
            <w:r>
              <w:t>Formatting of</w:t>
            </w:r>
            <w:r>
              <w:rPr>
                <w:rStyle w:val="Text111"/>
              </w:rPr>
              <w:bookmarkStart w:id="2885" w:name="curval11"/>
              <w:t/>
              <w:bookmarkEnd w:id="2885"/>
            </w:r>
            <w:r>
              <w:t xml:space="preserve"> currency values; affects functions </w:t>
            </w:r>
            <w:r>
              <w:rPr>
                <w:rStyle w:val="Text0"/>
              </w:rPr>
              <w:t>localeconv</w:t>
            </w:r>
            <w:r>
              <w:t xml:space="preserve"> and </w:t>
            </w:r>
            <w:r>
              <w:rPr>
                <w:rStyle w:val="Text0"/>
              </w:rPr>
              <w:t>currency</w:t>
            </w:r>
            <w:r>
              <w:t xml:space="preserve"> in </w:t>
            </w:r>
            <w:r>
              <w:rPr>
                <w:rStyle w:val="Text0"/>
              </w:rPr>
              <w:t>locale</w:t>
            </w:r>
          </w:p>
        </w:tc>
      </w:tr>
    </w:tbl>
    <w:tbl>
      <w:tblPr>
        <w:tblW w:type="auto" w:w="0"/>
      </w:tblPr>
      <w:tr>
        <w:tc>
          <w:tcPr>
            <w:tcW w:type="auto" w:w="0"/>
            <w:tcMar>
              <w:left w:type="dxa" w:w="200"/>
              <w:top w:type="dxa" w:w="200"/>
              <w:right w:type="dxa" w:w="200"/>
              <w:bottom w:type="dxa" w:w="200"/>
            </w:tcMar>
          </w:tcPr>
          <w:p>
            <w:pPr>
              <w:pStyle w:val="Para 001"/>
            </w:pPr>
            <w:r>
              <w:t>LC_NUMERIC</w:t>
            </w:r>
          </w:p>
        </w:tc>
        <w:tc>
          <w:tcPr>
            <w:tcW w:type="auto" w:w="0"/>
            <w:tcMar>
              <w:left w:type="dxa" w:w="200"/>
              <w:top w:type="dxa" w:w="200"/>
              <w:right w:type="dxa" w:w="200"/>
              <w:bottom w:type="dxa" w:w="200"/>
            </w:tcMar>
          </w:tcPr>
          <w:p>
            <w:pPr>
              <w:pStyle w:val="Para 002"/>
            </w:pPr>
            <w:r>
              <w:t xml:space="preserve">Formatting of numbers; affects functions </w:t>
            </w:r>
            <w:r>
              <w:rPr>
                <w:rStyle w:val="Text0"/>
              </w:rPr>
              <w:t>atoi</w:t>
            </w:r>
            <w:r>
              <w:t xml:space="preserve">, </w:t>
            </w:r>
            <w:r>
              <w:rPr>
                <w:rStyle w:val="Text0"/>
              </w:rPr>
              <w:t>atof</w:t>
            </w:r>
            <w:r>
              <w:t xml:space="preserve">, </w:t>
            </w:r>
            <w:r>
              <w:rPr>
                <w:rStyle w:val="Text0"/>
              </w:rPr>
              <w:t>format_string</w:t>
            </w:r>
            <w:r>
              <w:t xml:space="preserve">, </w:t>
            </w:r>
            <w:r>
              <w:rPr>
                <w:rStyle w:val="Text0"/>
              </w:rPr>
              <w:t>localeconv</w:t>
            </w:r>
            <w:r>
              <w:t xml:space="preserve">, and </w:t>
            </w:r>
            <w:r>
              <w:rPr>
                <w:rStyle w:val="Text0"/>
              </w:rPr>
              <w:t>str</w:t>
            </w:r>
            <w:r>
              <w:t xml:space="preserve"> in </w:t>
            </w:r>
            <w:r>
              <w:rPr>
                <w:rStyle w:val="Text0"/>
              </w:rPr>
              <w:t>locale</w:t>
            </w:r>
            <w:r>
              <w:t xml:space="preserve">, as well as the number separators used in format strings (e.g., f-strings and str.format) when format character </w:t>
            </w:r>
            <w:r>
              <w:rPr>
                <w:rStyle w:val="Text0"/>
              </w:rPr>
              <w:t>'n'</w:t>
            </w:r>
            <w:r>
              <w:t xml:space="preserve"> is used</w:t>
            </w:r>
          </w:p>
        </w:tc>
      </w:tr>
    </w:tbl>
    <w:tbl>
      <w:tblPr>
        <w:tblW w:type="auto" w:w="0"/>
      </w:tblPr>
      <w:tr>
        <w:tc>
          <w:tcPr>
            <w:tcW w:type="auto" w:w="0"/>
            <w:shd w:val="clear" w:color="auto" w:fill="EEF2F6"/>
            <w:tcMar>
              <w:left w:type="dxa" w:w="200"/>
              <w:top w:type="dxa" w:w="200"/>
              <w:right w:type="dxa" w:w="200"/>
              <w:bottom w:type="dxa" w:w="200"/>
            </w:tcMar>
          </w:tcPr>
          <w:p>
            <w:pPr>
              <w:pStyle w:val="Para 001"/>
            </w:pPr>
            <w:r>
              <w:t>LC_TIME</w:t>
            </w:r>
          </w:p>
        </w:tc>
        <w:tc>
          <w:tcPr>
            <w:tcW w:type="auto" w:w="0"/>
            <w:shd w:val="clear" w:color="auto" w:fill="EEF2F6"/>
            <w:tcMar>
              <w:left w:type="dxa" w:w="200"/>
              <w:top w:type="dxa" w:w="200"/>
              <w:right w:type="dxa" w:w="200"/>
              <w:bottom w:type="dxa" w:w="200"/>
            </w:tcMar>
          </w:tcPr>
          <w:p>
            <w:pPr>
              <w:pStyle w:val="Para 002"/>
            </w:pPr>
            <w:r>
              <w:t xml:space="preserve">Formatting of times and dates; affects the function </w:t>
            </w:r>
            <w:r>
              <w:rPr>
                <w:rStyle w:val="Text0"/>
              </w:rPr>
              <w:t>time.strftime</w:t>
            </w:r>
          </w:p>
        </w:tc>
      </w:tr>
    </w:tbl>
    <w:p>
      <w:pPr>
        <w:pStyle w:val="Normal"/>
      </w:pPr>
      <w:r>
        <w:t xml:space="preserve">The settings of some categories (denoted by </w:t>
      </w:r>
      <w:r>
        <w:rPr>
          <w:rStyle w:val="Text0"/>
        </w:rPr>
        <w:t>LC_CTYPE</w:t>
      </w:r>
      <w:r>
        <w:t xml:space="preserve">, </w:t>
      </w:r>
      <w:r>
        <w:rPr>
          <w:rStyle w:val="Text0"/>
        </w:rPr>
        <w:t>LC_MESSAGES</w:t>
      </w:r>
      <w:r>
        <w:t xml:space="preserve">, and </w:t>
      </w:r>
      <w:r>
        <w:rPr>
          <w:rStyle w:val="Text0"/>
        </w:rPr>
        <w:t>LC_TIME</w:t>
      </w:r>
      <w:r>
        <w:t>) affect behavior in other modules (</w:t>
      </w:r>
      <w:r>
        <w:rPr>
          <w:rStyle w:val="Text0"/>
        </w:rPr>
        <w:t>string</w:t>
      </w:r>
      <w:r>
        <w:t xml:space="preserve">, </w:t>
      </w:r>
      <w:r>
        <w:rPr>
          <w:rStyle w:val="Text0"/>
        </w:rPr>
        <w:t>os</w:t>
      </w:r>
      <w:r>
        <w:t xml:space="preserve">, </w:t>
      </w:r>
      <w:r>
        <w:rPr>
          <w:rStyle w:val="Text0"/>
        </w:rPr>
        <w:t>gettext</w:t>
      </w:r>
      <w:r>
        <w:t xml:space="preserve">, and </w:t>
      </w:r>
      <w:r>
        <w:rPr>
          <w:rStyle w:val="Text0"/>
        </w:rPr>
        <w:t>time</w:t>
      </w:r>
      <w:r>
        <w:t xml:space="preserve">, as indicated). Other categories (denoted by </w:t>
      </w:r>
      <w:r>
        <w:rPr>
          <w:rStyle w:val="Text0"/>
        </w:rPr>
        <w:t>LC_COLLATE</w:t>
      </w:r>
      <w:r>
        <w:t xml:space="preserve">, </w:t>
      </w:r>
      <w:r>
        <w:rPr>
          <w:rStyle w:val="Text0"/>
        </w:rPr>
        <w:t>LC_MONETARY</w:t>
      </w:r>
      <w:r>
        <w:t xml:space="preserve">, and </w:t>
      </w:r>
      <w:r>
        <w:rPr>
          <w:rStyle w:val="Text0"/>
        </w:rPr>
        <w:t>LC_NUMERIC</w:t>
      </w:r>
      <w:r>
        <w:t xml:space="preserve">) affect only some functions of </w:t>
      </w:r>
      <w:r>
        <w:rPr>
          <w:rStyle w:val="Text0"/>
        </w:rPr>
        <w:t>locale</w:t>
      </w:r>
      <w:r>
        <w:t xml:space="preserve"> itself (plus string formatting in the case of </w:t>
      </w:r>
      <w:r>
        <w:rPr>
          <w:rStyle w:val="Text0"/>
        </w:rPr>
        <w:t>LC_NUMERIC</w:t>
      </w:r>
      <w:r>
        <w:t>).</w:t>
      </w:r>
    </w:p>
    <w:p>
      <w:pPr>
        <w:pStyle w:val="Normal"/>
      </w:pPr>
      <w:r>
        <w:t xml:space="preserve">The </w:t>
      </w:r>
      <w:r>
        <w:rPr>
          <w:rStyle w:val="Text0"/>
        </w:rPr>
        <w:t>locale</w:t>
      </w:r>
      <w:r>
        <w:t xml:space="preserve"> module supplies the functions listed in </w:t>
      </w:r>
      <w:hyperlink w:anchor="Table_11_36__Useful_functions_of">
        <w:r>
          <w:rPr>
            <w:rStyle w:val="Text1"/>
          </w:rPr>
          <w:t>Table 11-36</w:t>
        </w:r>
      </w:hyperlink>
      <w:r>
        <w:t xml:space="preserve"> to query, change, and manipulate locales, as well as functions that implement the cultural conventions of locale categories </w:t>
      </w:r>
      <w:r>
        <w:rPr>
          <w:rStyle w:val="Text0"/>
        </w:rPr>
        <w:t>LC_COLLATE</w:t>
      </w:r>
      <w:r>
        <w:t xml:space="preserve">, </w:t>
      </w:r>
      <w:r>
        <w:rPr>
          <w:rStyle w:val="Text0"/>
        </w:rPr>
        <w:t>LC_MONETARY</w:t>
      </w:r>
      <w:r>
        <w:t xml:space="preserve">, and </w:t>
      </w:r>
      <w:r>
        <w:rPr>
          <w:rStyle w:val="Text0"/>
        </w:rPr>
        <w:t>LC_NUMERIC</w:t>
      </w:r>
      <w:r>
        <w:t>.</w:t>
      </w:r>
    </w:p>
    <w:tbl>
      <w:tblPr>
        <w:tblW w:type="auto" w:w="0"/>
      </w:tblPr>
      <w:tr>
        <w:tc>
          <w:tcPr>
            <w:tcW w:type="auto" w:w="0"/>
            <w:tcMar>
              <w:left w:type="dxa" w:w="200"/>
              <w:top w:type="dxa" w:w="200"/>
              <w:right w:type="dxa" w:w="200"/>
              <w:bottom w:type="dxa" w:w="200"/>
            </w:tcMar>
          </w:tcPr>
          <w:p>
            <w:bookmarkStart w:id="2886" w:name="Table_11_36__Useful_functions_of"/>
            <w:pPr>
              <w:pStyle w:val="Para 011"/>
            </w:pPr>
            <w:r>
              <w:rPr>
                <w:rStyle w:val="Text117"/>
              </w:rPr>
              <w:t/>
            </w:r>
            <w:r>
              <w:t xml:space="preserve">Table 11-36. </w:t>
              <w:t xml:space="preserve">Useful functions of the </w:t>
            </w:r>
            <w:r>
              <w:rPr>
                <w:rStyle w:val="Text0"/>
              </w:rPr>
              <w:t>locale</w:t>
            </w:r>
            <w:r>
              <w:t xml:space="preserve"> module</w:t>
            </w:r>
            <w:bookmarkEnd w:id="2886"/>
          </w:p>
          <w:p>
            <w:pPr>
              <w:pStyle w:val="Para 001"/>
            </w:pPr>
            <w:r>
              <w:t>atof</w:t>
            </w:r>
          </w:p>
        </w:tc>
        <w:tc>
          <w:tcPr>
            <w:tcW w:type="auto" w:w="0"/>
            <w:tcMar>
              <w:left w:type="dxa" w:w="200"/>
              <w:top w:type="dxa" w:w="200"/>
              <w:right w:type="dxa" w:w="200"/>
              <w:bottom w:type="dxa" w:w="200"/>
            </w:tcMar>
          </w:tcPr>
          <w:p>
            <w:pPr>
              <w:pStyle w:val="Para 002"/>
            </w:pPr>
            <w:r>
              <w:rPr>
                <w:rStyle w:val="Text0"/>
              </w:rPr>
              <w:t>atof(</w:t>
            </w:r>
            <w:r>
              <w:rPr>
                <w:rStyle w:val="Text3"/>
              </w:rPr>
              <w:t>s</w:t>
            </w:r>
            <w:r>
              <w:rPr>
                <w:rStyle w:val="Text0"/>
              </w:rPr>
              <w:t>)</w:t>
              <w:br w:clear="none"/>
            </w:r>
            <w:r>
              <w:t xml:space="preserve"> Parses the string </w:t>
            </w:r>
            <w:r>
              <w:rPr>
                <w:rStyle w:val="Text3"/>
              </w:rPr>
              <w:t>s</w:t>
            </w:r>
            <w:r>
              <w:t xml:space="preserve"> into a floating-point number using the current </w:t>
            </w:r>
            <w:r>
              <w:rPr>
                <w:rStyle w:val="Text0"/>
              </w:rPr>
              <w:t>LC_NUMERIC</w:t>
            </w:r>
            <w:r>
              <w:t xml:space="preserve"> setting.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atoi</w:t>
            </w:r>
          </w:p>
        </w:tc>
        <w:tc>
          <w:tcPr>
            <w:tcW w:type="auto" w:w="0"/>
            <w:shd w:val="clear" w:color="auto" w:fill="EEF2F6"/>
            <w:tcMar>
              <w:left w:type="dxa" w:w="200"/>
              <w:top w:type="dxa" w:w="200"/>
              <w:right w:type="dxa" w:w="200"/>
              <w:bottom w:type="dxa" w:w="200"/>
            </w:tcMar>
          </w:tcPr>
          <w:p>
            <w:pPr>
              <w:pStyle w:val="Para 002"/>
            </w:pPr>
            <w:r>
              <w:rPr>
                <w:rStyle w:val="Text0"/>
              </w:rPr>
              <w:t>atoi(</w:t>
            </w:r>
            <w:r>
              <w:rPr>
                <w:rStyle w:val="Text3"/>
              </w:rPr>
              <w:t>s</w:t>
            </w:r>
            <w:r>
              <w:rPr>
                <w:rStyle w:val="Text0"/>
              </w:rPr>
              <w:t>)</w:t>
              <w:br w:clear="none"/>
            </w:r>
            <w:r>
              <w:t xml:space="preserve"> Parses the string </w:t>
            </w:r>
            <w:r>
              <w:rPr>
                <w:rStyle w:val="Text3"/>
              </w:rPr>
              <w:t>s</w:t>
            </w:r>
            <w:r>
              <w:t xml:space="preserve"> into an integer number using the current </w:t>
            </w:r>
            <w:r>
              <w:rPr>
                <w:rStyle w:val="Text0"/>
              </w:rPr>
              <w:t>LC_NUMERIC</w:t>
            </w:r>
            <w:r>
              <w:t xml:space="preserve"> setting.</w:t>
            </w:r>
          </w:p>
        </w:tc>
      </w:tr>
    </w:tbl>
    <w:tbl>
      <w:tblPr>
        <w:tblW w:type="auto" w:w="0"/>
      </w:tblPr>
      <w:tr>
        <w:tc>
          <w:tcPr>
            <w:tcW w:type="auto" w:w="0"/>
            <w:tcMar>
              <w:left w:type="dxa" w:w="200"/>
              <w:top w:type="dxa" w:w="200"/>
              <w:right w:type="dxa" w:w="200"/>
              <w:bottom w:type="dxa" w:w="200"/>
            </w:tcMar>
          </w:tcPr>
          <w:p>
            <w:pPr>
              <w:pStyle w:val="Para 001"/>
            </w:pPr>
            <w:r>
              <w:t>currency</w:t>
            </w:r>
          </w:p>
        </w:tc>
        <w:tc>
          <w:tcPr>
            <w:tcW w:type="auto" w:w="0"/>
            <w:tcMar>
              <w:left w:type="dxa" w:w="200"/>
              <w:top w:type="dxa" w:w="200"/>
              <w:right w:type="dxa" w:w="200"/>
              <w:bottom w:type="dxa" w:w="200"/>
            </w:tcMar>
          </w:tcPr>
          <w:p>
            <w:pPr>
              <w:pStyle w:val="Para 002"/>
            </w:pPr>
            <w:r>
              <w:rPr>
                <w:rStyle w:val="Text0"/>
              </w:rPr>
              <w:t>currency(</w:t>
            </w:r>
            <w:r>
              <w:rPr>
                <w:rStyle w:val="Text3"/>
              </w:rPr>
              <w:t>data,</w:t>
            </w:r>
            <w:r>
              <w:t xml:space="preserve"> </w:t>
            </w:r>
            <w:r>
              <w:rPr>
                <w:rStyle w:val="Text0"/>
              </w:rPr>
              <w:t>grouping=</w:t>
            </w:r>
            <w:r>
              <w:rPr>
                <w:rStyle w:val="Text5"/>
              </w:rPr>
              <w:t>False</w:t>
            </w:r>
            <w:r>
              <w:rPr>
                <w:rStyle w:val="Text0"/>
              </w:rPr>
              <w:t>, international=</w:t>
            </w:r>
            <w:r>
              <w:rPr>
                <w:rStyle w:val="Text5"/>
              </w:rPr>
              <w:t>False</w:t>
            </w:r>
            <w:r>
              <w:rPr>
                <w:rStyle w:val="Text0"/>
              </w:rPr>
              <w:t>)</w:t>
              <w:br w:clear="none"/>
            </w:r>
            <w:r>
              <w:t xml:space="preserve"> Returns</w:t>
            </w:r>
            <w:r>
              <w:rPr>
                <w:rStyle w:val="Text111"/>
              </w:rPr>
              <w:bookmarkStart w:id="2887" w:name="idm45965201323664"/>
              <w:t/>
              <w:bookmarkEnd w:id="2887"/>
            </w:r>
            <w:r>
              <w:t xml:space="preserve"> the string or number </w:t>
            </w:r>
            <w:r>
              <w:rPr>
                <w:rStyle w:val="Text3"/>
              </w:rPr>
              <w:t>data</w:t>
            </w:r>
            <w:r>
              <w:t xml:space="preserve"> with a currency symbol, and, if </w:t>
            </w:r>
            <w:r>
              <w:rPr>
                <w:rStyle w:val="Text0"/>
              </w:rPr>
              <w:t>grouping</w:t>
            </w:r>
            <w:r>
              <w:t xml:space="preserve"> is </w:t>
            </w:r>
            <w:r>
              <w:rPr>
                <w:rStyle w:val="Text5"/>
              </w:rPr>
              <w:t>True</w:t>
            </w:r>
            <w:r>
              <w:t xml:space="preserve">, uses the monetary thousands separator and grouping. When </w:t>
            </w:r>
            <w:r>
              <w:rPr>
                <w:rStyle w:val="Text0"/>
              </w:rPr>
              <w:t>international</w:t>
            </w:r>
            <w:r>
              <w:t xml:space="preserve"> is </w:t>
            </w:r>
            <w:r>
              <w:rPr>
                <w:rStyle w:val="Text5"/>
              </w:rPr>
              <w:t>True</w:t>
            </w:r>
            <w:r>
              <w:t xml:space="preserve">, uses </w:t>
            </w:r>
            <w:r>
              <w:rPr>
                <w:rStyle w:val="Text0"/>
              </w:rPr>
              <w:t>int_curr_symbol</w:t>
            </w:r>
            <w:r>
              <w:t xml:space="preserve"> and </w:t>
            </w:r>
            <w:r>
              <w:rPr>
                <w:rStyle w:val="Text0"/>
              </w:rPr>
              <w:t>int_frac_digits</w:t>
            </w:r>
            <w:r>
              <w:t>, described later in this table.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f⁠o⁠r⁠m⁠a⁠t⁠_​s⁠t⁠r⁠i⁠n⁠g</w:t>
            </w:r>
          </w:p>
        </w:tc>
        <w:tc>
          <w:tcPr>
            <w:tcW w:type="auto" w:w="0"/>
            <w:shd w:val="clear" w:color="auto" w:fill="EEF2F6"/>
            <w:tcMar>
              <w:left w:type="dxa" w:w="200"/>
              <w:top w:type="dxa" w:w="200"/>
              <w:right w:type="dxa" w:w="200"/>
              <w:bottom w:type="dxa" w:w="200"/>
            </w:tcMar>
          </w:tcPr>
          <w:p>
            <w:pPr>
              <w:pStyle w:val="Para 002"/>
            </w:pPr>
            <w:r>
              <w:rPr>
                <w:rStyle w:val="Text0"/>
              </w:rPr>
              <w:t>format_string(</w:t>
            </w:r>
            <w:r>
              <w:rPr>
                <w:rStyle w:val="Text3"/>
              </w:rPr>
              <w:t>fmt</w:t>
            </w:r>
            <w:r>
              <w:rPr>
                <w:rStyle w:val="Text0"/>
              </w:rPr>
              <w:t>,</w:t>
            </w:r>
            <w:r>
              <w:t xml:space="preserve"> </w:t>
            </w:r>
            <w:r>
              <w:rPr>
                <w:rStyle w:val="Text3"/>
              </w:rPr>
              <w:t>num</w:t>
            </w:r>
            <w:r>
              <w:rPr>
                <w:rStyle w:val="Text0"/>
              </w:rPr>
              <w:t>, grouping=</w:t>
            </w:r>
            <w:r>
              <w:rPr>
                <w:rStyle w:val="Text5"/>
              </w:rPr>
              <w:t>False</w:t>
            </w:r>
            <w:r>
              <w:rPr>
                <w:rStyle w:val="Text0"/>
              </w:rPr>
              <w:t>, monetary=</w:t>
            </w:r>
            <w:r>
              <w:rPr>
                <w:rStyle w:val="Text5"/>
              </w:rPr>
              <w:t>False</w:t>
            </w:r>
            <w:r>
              <w:rPr>
                <w:rStyle w:val="Text0"/>
              </w:rPr>
              <w:t>)</w:t>
              <w:br w:clear="none"/>
            </w:r>
            <w:r>
              <w:t xml:space="preserve"> Returns the string obtained by formatting </w:t>
            </w:r>
            <w:r>
              <w:rPr>
                <w:rStyle w:val="Text3"/>
              </w:rPr>
              <w:t>num</w:t>
            </w:r>
            <w:r>
              <w:t xml:space="preserve"> according to the format string </w:t>
            </w:r>
            <w:r>
              <w:rPr>
                <w:rStyle w:val="Text3"/>
              </w:rPr>
              <w:t>fmt</w:t>
            </w:r>
            <w:r>
              <w:t xml:space="preserve"> and the </w:t>
            </w:r>
            <w:r>
              <w:rPr>
                <w:rStyle w:val="Text0"/>
              </w:rPr>
              <w:t>LC_NUMERIC</w:t>
            </w:r>
            <w:r>
              <w:t xml:space="preserve"> or </w:t>
            </w:r>
            <w:r>
              <w:rPr>
                <w:rStyle w:val="Text0"/>
              </w:rPr>
              <w:t>LC_MONETARY</w:t>
            </w:r>
            <w:r>
              <w:t xml:space="preserve"> settings. Except for cultural convention issues, the result is like old-style </w:t>
            </w:r>
            <w:r>
              <w:rPr>
                <w:rStyle w:val="Text3"/>
              </w:rPr>
              <w:t>fmt</w:t>
            </w:r>
            <w:r>
              <w:t xml:space="preserve"> </w:t>
            </w:r>
            <w:r>
              <w:rPr>
                <w:rStyle w:val="Text0"/>
              </w:rPr>
              <w:t>%</w:t>
            </w:r>
            <w:r>
              <w:t xml:space="preserve"> </w:t>
            </w:r>
            <w:r>
              <w:rPr>
                <w:rStyle w:val="Text3"/>
              </w:rPr>
              <w:t>num</w:t>
            </w:r>
            <w:r>
              <w:t xml:space="preserve"> string formatting, covered in </w:t>
            </w:r>
            <w:hyperlink w:anchor="Legacy_String_Formatting_with">
              <w:r>
                <w:rPr>
                  <w:rStyle w:val="Text1"/>
                </w:rPr>
                <w:t>“Legacy String Formatting with %”</w:t>
              </w:r>
            </w:hyperlink>
            <w:r>
              <w:t xml:space="preserve">. If </w:t>
            </w:r>
            <w:r>
              <w:rPr>
                <w:rStyle w:val="Text3"/>
              </w:rPr>
              <w:t>num</w:t>
            </w:r>
            <w:r>
              <w:t xml:space="preserve"> is an instance of a number type and </w:t>
            </w:r>
            <w:r>
              <w:rPr>
                <w:rStyle w:val="Text3"/>
              </w:rPr>
              <w:t>fmt</w:t>
            </w:r>
            <w:r>
              <w:t xml:space="preserve"> is </w:t>
            </w:r>
            <w:r>
              <w:rPr>
                <w:rStyle w:val="Text3"/>
              </w:rPr>
              <w:t>%d</w:t>
            </w:r>
            <w:r>
              <w:t xml:space="preserve"> or </w:t>
            </w:r>
            <w:r>
              <w:rPr>
                <w:rStyle w:val="Text3"/>
              </w:rPr>
              <w:t>%f</w:t>
            </w:r>
            <w:r>
              <w:t xml:space="preserve">, set </w:t>
            </w:r>
            <w:r>
              <w:rPr>
                <w:rStyle w:val="Text0"/>
              </w:rPr>
              <w:t>grouping</w:t>
            </w:r>
            <w:r>
              <w:t xml:space="preserve"> to </w:t>
            </w:r>
            <w:r>
              <w:rPr>
                <w:rStyle w:val="Text5"/>
              </w:rPr>
              <w:t>True</w:t>
            </w:r>
            <w:r>
              <w:t xml:space="preserve"> to group digits in the result string according to the </w:t>
            </w:r>
            <w:r>
              <w:rPr>
                <w:rStyle w:val="Text0"/>
              </w:rPr>
              <w:t>LC_NUMERIC</w:t>
            </w:r>
            <w:r>
              <w:t xml:space="preserve"> setting. If </w:t>
            </w:r>
            <w:r>
              <w:rPr>
                <w:rStyle w:val="Text0"/>
              </w:rPr>
              <w:t>monetary</w:t>
            </w:r>
            <w:r>
              <w:t xml:space="preserve"> is </w:t>
            </w:r>
            <w:r>
              <w:rPr>
                <w:rStyle w:val="Text5"/>
              </w:rPr>
              <w:t>True</w:t>
            </w:r>
            <w:r>
              <w:t xml:space="preserve">, the string is formatted with </w:t>
            </w:r>
            <w:r>
              <w:rPr>
                <w:rStyle w:val="Text0"/>
              </w:rPr>
              <w:t>mon_decimal_point</w:t>
            </w:r>
            <w:r>
              <w:t xml:space="preserve">, and </w:t>
            </w:r>
            <w:r>
              <w:rPr>
                <w:rStyle w:val="Text3"/>
              </w:rPr>
              <w:t>grouping</w:t>
            </w:r>
            <w:r>
              <w:t xml:space="preserve"> uses </w:t>
            </w:r>
            <w:r>
              <w:rPr>
                <w:rStyle w:val="Text0"/>
              </w:rPr>
              <w:t>mon_thousands_sep</w:t>
            </w:r>
            <w:r>
              <w:t xml:space="preserve"> and </w:t>
            </w:r>
            <w:r>
              <w:rPr>
                <w:rStyle w:val="Text0"/>
              </w:rPr>
              <w:t>mon_grouping</w:t>
            </w:r>
            <w:r>
              <w:t xml:space="preserve"> instead of the ones supplied by </w:t>
            </w:r>
            <w:r>
              <w:rPr>
                <w:rStyle w:val="Text0"/>
              </w:rPr>
              <w:t>LC_NUMERIC</w:t>
            </w:r>
            <w:r>
              <w:t xml:space="preserve"> (see </w:t>
            </w:r>
            <w:r>
              <w:rPr>
                <w:rStyle w:val="Text0"/>
              </w:rPr>
              <w:t>localeconv</w:t>
            </w:r>
            <w:r>
              <w:t xml:space="preserve"> later in this table for more information on these). For example: </w:t>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setlocale</w:t>
              <w:br w:clear="none"/>
            </w:r>
            <w:r>
              <w:rPr>
                <w:rStyle w:val="Text7"/>
              </w:rPr>
              <w:t xml:space="preserve">(</w:t>
              <w:br w:clear="none"/>
            </w:r>
            <w:r>
              <w:t xml:space="preserve">locale</w:t>
              <w:br w:clear="none"/>
            </w:r>
            <w:r>
              <w:rPr>
                <w:rStyle w:val="Text13"/>
              </w:rPr>
              <w:t xml:space="preserve">.</w:t>
              <w:br w:clear="none"/>
            </w:r>
            <w:r>
              <w:t xml:space="preserve">LC_NUMERIC</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8"/>
              </w:rPr>
              <w:t xml:space="preserve">'en_us'</w:t>
              <w:br w:clear="none"/>
            </w:r>
            <w:r>
              <w:rPr>
                <w:rStyle w:val="Text7"/>
              </w:rPr>
              <w:t xml:space="preserve">)</w:t>
              <w:br w:clear="none"/>
            </w:r>
          </w:p>
          <w:p>
            <w:pPr>
              <w:pStyle w:val="Para 033"/>
            </w:pPr>
            <w:r>
              <w:rPr>
                <w:rStyle w:val="Text48"/>
              </w:rPr>
              <w:t xml:space="preserve"/>
              <w:br w:clear="none"/>
            </w:r>
            <w:r>
              <w:t xml:space="preserve">'en_us'</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n</w:t>
              <w:br w:clear="none"/>
            </w:r>
            <w:r>
              <w:rPr>
                <w:rStyle w:val="Text13"/>
              </w:rPr>
              <w:t xml:space="preserve">=</w:t>
              <w:br w:clear="none"/>
            </w:r>
            <w:r>
              <w:rPr>
                <w:rStyle w:val="Text27"/>
              </w:rPr>
              <w:t xml:space="preserve">1000</w:t>
              <w:br w:clear="none"/>
            </w:r>
            <w:r>
              <w:rPr>
                <w:rStyle w:val="Text13"/>
              </w:rPr>
              <w:t xml:space="preserve">*</w:t>
              <w:br w:clear="none"/>
            </w:r>
            <w:r>
              <w:rPr>
                <w:rStyle w:val="Text27"/>
              </w:rPr>
              <w:t xml:space="preserve">1000</w:t>
              <w:br w:clear="none"/>
            </w: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format_string</w:t>
              <w:br w:clear="none"/>
            </w:r>
            <w:r>
              <w:rPr>
                <w:rStyle w:val="Text7"/>
              </w:rPr>
              <w:t xml:space="preserve">(</w:t>
              <w:br w:clear="none"/>
            </w:r>
            <w:r>
              <w:rPr>
                <w:rStyle w:val="Text8"/>
              </w:rPr>
              <w:t xml:space="preserve">'</w:t>
              <w:br w:clear="none"/>
            </w:r>
            <w:r>
              <w:rPr>
                <w:rStyle w:val="Text32"/>
              </w:rPr>
              <w:t xml:space="preserve">%d</w:t>
              <w:br w:clear="none"/>
            </w:r>
            <w:r>
              <w:rPr>
                <w:rStyle w:val="Text8"/>
              </w:rPr>
              <w:t xml:space="preserve">'</w:t>
              <w:br w:clear="none"/>
            </w:r>
            <w:r>
              <w:rPr>
                <w:rStyle w:val="Text7"/>
              </w:rPr>
              <w:t xml:space="preserve">,</w:t>
              <w:br w:clear="none"/>
            </w:r>
            <w:r>
              <w:rPr>
                <w:rStyle w:val="Text23"/>
              </w:rPr>
              <w:t xml:space="preserve"> </w:t>
              <w:br w:clear="none"/>
            </w:r>
            <w:r>
              <w:t xml:space="preserve">n</w:t>
              <w:br w:clear="none"/>
            </w:r>
            <w:r>
              <w:rPr>
                <w:rStyle w:val="Text7"/>
              </w:rPr>
              <w:t xml:space="preserve">)</w:t>
              <w:br w:clear="none"/>
            </w:r>
          </w:p>
          <w:p>
            <w:pPr>
              <w:pStyle w:val="Para 033"/>
            </w:pPr>
            <w:r>
              <w:rPr>
                <w:rStyle w:val="Text48"/>
              </w:rPr>
              <w:t xml:space="preserve"/>
              <w:br w:clear="none"/>
            </w:r>
            <w:r>
              <w:t xml:space="preserve">'1000000'</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setlocale</w:t>
              <w:br w:clear="none"/>
            </w:r>
            <w:r>
              <w:rPr>
                <w:rStyle w:val="Text7"/>
              </w:rPr>
              <w:t xml:space="preserve">(</w:t>
              <w:br w:clear="none"/>
            </w:r>
            <w:r>
              <w:t xml:space="preserve">locale</w:t>
              <w:br w:clear="none"/>
            </w:r>
            <w:r>
              <w:rPr>
                <w:rStyle w:val="Text13"/>
              </w:rPr>
              <w:t xml:space="preserve">.</w:t>
              <w:br w:clear="none"/>
            </w:r>
            <w:r>
              <w:t xml:space="preserve">LC_MONETARY</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8"/>
              </w:rPr>
              <w:t xml:space="preserve">'it_it'</w:t>
              <w:br w:clear="none"/>
            </w:r>
            <w:r>
              <w:rPr>
                <w:rStyle w:val="Text7"/>
              </w:rPr>
              <w:t xml:space="preserve">)</w:t>
              <w:br w:clear="none"/>
            </w:r>
          </w:p>
          <w:p>
            <w:pPr>
              <w:pStyle w:val="Para 033"/>
            </w:pPr>
            <w:r>
              <w:rPr>
                <w:rStyle w:val="Text48"/>
              </w:rPr>
              <w:t xml:space="preserve"/>
              <w:br w:clear="none"/>
            </w:r>
            <w:r>
              <w:t xml:space="preserve">'it_it'</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format_string</w:t>
              <w:br w:clear="none"/>
            </w:r>
            <w:r>
              <w:rPr>
                <w:rStyle w:val="Text7"/>
              </w:rPr>
              <w:t xml:space="preserve">(</w:t>
              <w:br w:clear="none"/>
            </w:r>
            <w:r>
              <w:rPr>
                <w:rStyle w:val="Text8"/>
              </w:rPr>
              <w:t xml:space="preserve">'</w:t>
              <w:br w:clear="none"/>
            </w:r>
            <w:r>
              <w:rPr>
                <w:rStyle w:val="Text32"/>
              </w:rPr>
              <w:t xml:space="preserve">%f</w:t>
              <w:br w:clear="none"/>
            </w:r>
            <w:r>
              <w:rPr>
                <w:rStyle w:val="Text8"/>
              </w:rPr>
              <w:t xml:space="preserve">'</w:t>
              <w:br w:clear="none"/>
            </w:r>
            <w:r>
              <w:rPr>
                <w:rStyle w:val="Text7"/>
              </w:rPr>
              <w:t xml:space="preserve">,</w:t>
              <w:br w:clear="none"/>
            </w:r>
            <w:r>
              <w:rPr>
                <w:rStyle w:val="Text23"/>
              </w:rPr>
              <w:t xml:space="preserve"> </w:t>
              <w:br w:clear="none"/>
            </w:r>
            <w:r>
              <w:t xml:space="preserve">n</w:t>
              <w:br w:clear="none"/>
            </w:r>
            <w:r>
              <w:rPr>
                <w:rStyle w:val="Text7"/>
              </w:rPr>
              <w:t xml:space="preserve">)</w:t>
              <w:br w:clear="none"/>
            </w:r>
          </w:p>
          <w:p>
            <w:pPr>
              <w:pStyle w:val="Para 064"/>
            </w:pPr>
            <w:r>
              <w:rPr>
                <w:rStyle w:val="Text55"/>
              </w:rPr>
              <w:t xml:space="preserve"/>
              <w:br w:clear="none"/>
            </w:r>
            <w:r>
              <w:rPr>
                <w:rStyle w:val="Text40"/>
              </w:rPr>
              <w:t xml:space="preserve">'1000000.000000' </w:t>
              <w:br w:clear="none"/>
            </w:r>
            <w:r>
              <w:rPr>
                <w:rStyle w:val="Text55"/>
              </w:rPr>
              <w:t xml:space="preserve"> </w:t>
              <w:br w:clear="none"/>
            </w:r>
            <w:r>
              <w:t xml:space="preserve"># uses decimal_point</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format_string</w:t>
              <w:br w:clear="none"/>
            </w:r>
            <w:r>
              <w:rPr>
                <w:rStyle w:val="Text7"/>
              </w:rPr>
              <w:t xml:space="preserve">(</w:t>
              <w:br w:clear="none"/>
            </w:r>
            <w:r>
              <w:rPr>
                <w:rStyle w:val="Text8"/>
              </w:rPr>
              <w:t xml:space="preserve">'</w:t>
              <w:br w:clear="none"/>
            </w:r>
            <w:r>
              <w:rPr>
                <w:rStyle w:val="Text32"/>
              </w:rPr>
              <w:t xml:space="preserve">%f</w:t>
              <w:br w:clear="none"/>
            </w:r>
            <w:r>
              <w:rPr>
                <w:rStyle w:val="Text8"/>
              </w:rPr>
              <w:t xml:space="preserve">'</w:t>
              <w:br w:clear="none"/>
            </w:r>
            <w:r>
              <w:rPr>
                <w:rStyle w:val="Text7"/>
              </w:rPr>
              <w:t xml:space="preserve">,</w:t>
              <w:br w:clear="none"/>
            </w:r>
            <w:r>
              <w:rPr>
                <w:rStyle w:val="Text23"/>
              </w:rPr>
              <w:t xml:space="preserve"> </w:t>
              <w:br w:clear="none"/>
            </w:r>
            <w:r>
              <w:t xml:space="preserve">n</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monetary</w:t>
              <w:br w:clear="none"/>
            </w:r>
            <w:r>
              <w:rPr>
                <w:rStyle w:val="Text13"/>
              </w:rPr>
              <w:t xml:space="preserve">=</w:t>
              <w:br w:clear="none"/>
            </w:r>
            <w:r>
              <w:rPr>
                <w:rStyle w:val="Text39"/>
              </w:rPr>
              <w:t xml:space="preserve">True</w:t>
              <w:br w:clear="none"/>
            </w:r>
            <w:r>
              <w:rPr>
                <w:rStyle w:val="Text7"/>
              </w:rPr>
              <w:t xml:space="preserve">)</w:t>
              <w:br w:clear="none"/>
            </w:r>
          </w:p>
          <w:p>
            <w:pPr>
              <w:pStyle w:val="Para 064"/>
            </w:pPr>
            <w:r>
              <w:rPr>
                <w:rStyle w:val="Text55"/>
              </w:rPr>
              <w:t xml:space="preserve"/>
              <w:br w:clear="none"/>
            </w:r>
            <w:r>
              <w:rPr>
                <w:rStyle w:val="Text40"/>
              </w:rPr>
              <w:t xml:space="preserve">'1000000,000000' </w:t>
              <w:br w:clear="none"/>
            </w:r>
            <w:r>
              <w:rPr>
                <w:rStyle w:val="Text55"/>
              </w:rPr>
              <w:t xml:space="preserve"> </w:t>
              <w:br w:clear="none"/>
            </w:r>
            <w:r>
              <w:t xml:space="preserve"># uses mon_decimal_point</w:t>
              <w:br w:clear="none"/>
            </w:r>
          </w:p>
          <w:p>
            <w:pPr>
              <w:pStyle w:val="Para 029"/>
            </w:pPr>
            <w:r>
              <w:rPr>
                <w:rStyle w:val="Text23"/>
              </w:rPr>
              <w:t xml:space="preserve"/>
              <w:br w:clear="none"/>
            </w:r>
            <w:r>
              <w:rPr>
                <w:rStyle w:val="Text13"/>
              </w:rPr>
              <w:t xml:space="preserve">&gt;&gt;&gt;</w:t>
              <w:br w:clear="none"/>
            </w:r>
            <w:r>
              <w:rPr>
                <w:rStyle w:val="Text23"/>
              </w:rPr>
              <w:t xml:space="preserve"> </w:t>
              <w:br w:clear="none"/>
            </w:r>
            <w:r>
              <w:t xml:space="preserve">locale</w:t>
              <w:br w:clear="none"/>
            </w:r>
            <w:r>
              <w:rPr>
                <w:rStyle w:val="Text13"/>
              </w:rPr>
              <w:t xml:space="preserve">.</w:t>
              <w:br w:clear="none"/>
            </w:r>
            <w:r>
              <w:t xml:space="preserve">format_string</w:t>
              <w:br w:clear="none"/>
            </w:r>
            <w:r>
              <w:rPr>
                <w:rStyle w:val="Text7"/>
              </w:rPr>
              <w:t xml:space="preserve">(</w:t>
              <w:br w:clear="none"/>
            </w:r>
            <w:r>
              <w:rPr>
                <w:rStyle w:val="Text8"/>
              </w:rPr>
              <w:t xml:space="preserve">'</w:t>
              <w:br w:clear="none"/>
            </w:r>
            <w:r>
              <w:rPr>
                <w:rStyle w:val="Text32"/>
              </w:rPr>
              <w:t xml:space="preserve">%0.2f</w:t>
              <w:br w:clear="none"/>
            </w:r>
            <w:r>
              <w:rPr>
                <w:rStyle w:val="Text8"/>
              </w:rPr>
              <w:t xml:space="preserve">'</w:t>
              <w:br w:clear="none"/>
            </w:r>
            <w:r>
              <w:rPr>
                <w:rStyle w:val="Text7"/>
              </w:rPr>
              <w:t xml:space="preserve">,</w:t>
              <w:br w:clear="none"/>
            </w:r>
            <w:r>
              <w:rPr>
                <w:rStyle w:val="Text23"/>
              </w:rPr>
              <w:t xml:space="preserve"> </w:t>
              <w:br w:clear="none"/>
            </w:r>
            <w:r>
              <w:t xml:space="preserve">n</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grouping</w:t>
              <w:br w:clear="none"/>
            </w:r>
            <w:r>
              <w:rPr>
                <w:rStyle w:val="Text13"/>
              </w:rPr>
              <w:t xml:space="preserve">=</w:t>
              <w:br w:clear="none"/>
            </w:r>
            <w:r>
              <w:rPr>
                <w:rStyle w:val="Text39"/>
              </w:rPr>
              <w:t xml:space="preserve">True</w:t>
              <w:br w:clear="none"/>
            </w:r>
            <w:r>
              <w:rPr>
                <w:rStyle w:val="Text7"/>
              </w:rPr>
              <w:t xml:space="preserve">)</w:t>
              <w:br w:clear="none"/>
            </w:r>
          </w:p>
          <w:p>
            <w:pPr>
              <w:pStyle w:val="Para 064"/>
            </w:pPr>
            <w:r>
              <w:rPr>
                <w:rStyle w:val="Text55"/>
              </w:rPr>
              <w:t xml:space="preserve"/>
              <w:br w:clear="none"/>
            </w:r>
            <w:r>
              <w:rPr>
                <w:rStyle w:val="Text40"/>
              </w:rPr>
              <w:t xml:space="preserve">'1,000,000.00'    </w:t>
              <w:br w:clear="none"/>
            </w:r>
            <w:r>
              <w:t xml:space="preserve"># separators &amp; decimal from</w:t>
              <w:br w:clear="none"/>
            </w:r>
            <w:r>
              <w:rPr>
                <w:rStyle w:val="Text55"/>
              </w:rPr>
              <w:t xml:space="preserve"/>
              <w:br w:clear="none"/>
            </w:r>
            <w:r>
              <w:t xml:space="preserve">                  # LC_NUMERIC</w:t>
              <w:br w:clear="none"/>
            </w:r>
          </w:p>
          <w:p>
            <w:pPr>
              <w:pStyle w:val="Para 091"/>
            </w:pPr>
            <w:r>
              <w:t xml:space="preserve"/>
              <w:br w:clear="none"/>
            </w:r>
            <w:r>
              <w:rPr>
                <w:rStyle w:val="Text88"/>
              </w:rPr>
              <w:t xml:space="preserve">&gt;&gt;&gt;</w:t>
              <w:br w:clear="none"/>
            </w:r>
            <w:r>
              <w:t xml:space="preserve"> </w:t>
              <w:br w:clear="none"/>
            </w:r>
            <w:r>
              <w:rPr>
                <w:rStyle w:val="Text73"/>
              </w:rPr>
              <w:t xml:space="preserve">locale</w:t>
              <w:br w:clear="none"/>
            </w:r>
            <w:r>
              <w:rPr>
                <w:rStyle w:val="Text88"/>
              </w:rPr>
              <w:t xml:space="preserve">.</w:t>
              <w:br w:clear="none"/>
            </w:r>
            <w:r>
              <w:rPr>
                <w:rStyle w:val="Text73"/>
              </w:rPr>
              <w:t xml:space="preserve">format_string</w:t>
              <w:br w:clear="none"/>
            </w:r>
            <w:r>
              <w:rPr>
                <w:rStyle w:val="Text101"/>
              </w:rPr>
              <w:t xml:space="preserve">(</w:t>
              <w:br w:clear="none"/>
            </w:r>
            <w:r>
              <w:rPr>
                <w:rStyle w:val="Text109"/>
              </w:rPr>
              <w:t xml:space="preserve">'</w:t>
              <w:br w:clear="none"/>
            </w:r>
            <w:r>
              <w:rPr>
                <w:rStyle w:val="Text102"/>
              </w:rPr>
              <w:t xml:space="preserve">%0.2f</w:t>
              <w:br w:clear="none"/>
            </w:r>
            <w:r>
              <w:rPr>
                <w:rStyle w:val="Text109"/>
              </w:rPr>
              <w:t xml:space="preserve">'</w:t>
              <w:br w:clear="none"/>
            </w:r>
            <w:r>
              <w:rPr>
                <w:rStyle w:val="Text101"/>
              </w:rPr>
              <w:t xml:space="preserve">,</w:t>
              <w:br w:clear="none"/>
            </w:r>
            <w:r>
              <w:t xml:space="preserve"> </w:t>
              <w:br w:clear="none"/>
            </w:r>
            <w:r>
              <w:rPr>
                <w:rStyle w:val="Text73"/>
              </w:rPr>
              <w:t xml:space="preserve">n</w:t>
              <w:br w:clear="none"/>
            </w:r>
            <w:r>
              <w:rPr>
                <w:rStyle w:val="Text101"/>
              </w:rPr>
              <w:t xml:space="preserve">,</w:t>
              <w:br w:clear="none"/>
            </w:r>
            <w:r>
              <w:t xml:space="preserve"> </w:t>
              <w:br w:clear="none"/>
            </w:r>
            <w:r>
              <w:rPr>
                <w:rStyle w:val="Text88"/>
              </w:rPr>
              <w:t xml:space="preserve">...</w:t>
              <w:br w:clear="none"/>
            </w:r>
            <w:r>
              <w:t xml:space="preserve">                      </w:t>
              <w:br w:clear="none"/>
            </w:r>
            <w:r>
              <w:rPr>
                <w:rStyle w:val="Text73"/>
              </w:rPr>
              <w:t xml:space="preserve">grouping</w:t>
              <w:br w:clear="none"/>
            </w:r>
            <w:r>
              <w:rPr>
                <w:rStyle w:val="Text88"/>
              </w:rPr>
              <w:t xml:space="preserve">=</w:t>
              <w:br w:clear="none"/>
            </w:r>
            <w:r>
              <w:rPr>
                <w:rStyle w:val="Text94"/>
              </w:rPr>
              <w:t xml:space="preserve">True</w:t>
              <w:br w:clear="none"/>
            </w:r>
            <w:r>
              <w:rPr>
                <w:rStyle w:val="Text101"/>
              </w:rPr>
              <w:t xml:space="preserve">,</w:t>
              <w:br w:clear="none"/>
            </w:r>
            <w:r>
              <w:t xml:space="preserve"/>
              <w:br w:clear="none"/>
            </w:r>
            <w:r>
              <w:rPr>
                <w:rStyle w:val="Text88"/>
              </w:rPr>
              <w:t xml:space="preserve">...</w:t>
              <w:br w:clear="none"/>
            </w:r>
            <w:r>
              <w:t xml:space="preserve">                      </w:t>
              <w:br w:clear="none"/>
            </w:r>
            <w:r>
              <w:rPr>
                <w:rStyle w:val="Text73"/>
              </w:rPr>
              <w:t xml:space="preserve">monetary</w:t>
              <w:br w:clear="none"/>
            </w:r>
            <w:r>
              <w:rPr>
                <w:rStyle w:val="Text88"/>
              </w:rPr>
              <w:t xml:space="preserve">=</w:t>
              <w:br w:clear="none"/>
            </w:r>
            <w:r>
              <w:rPr>
                <w:rStyle w:val="Text94"/>
              </w:rPr>
              <w:t xml:space="preserve">True</w:t>
              <w:br w:clear="none"/>
            </w:r>
            <w:r>
              <w:rPr>
                <w:rStyle w:val="Text101"/>
              </w:rPr>
              <w:t xml:space="preserve">)</w:t>
              <w:br w:clear="none"/>
            </w:r>
          </w:p>
          <w:p>
            <w:pPr>
              <w:pStyle w:val="Para 064"/>
            </w:pPr>
            <w:r>
              <w:rPr>
                <w:rStyle w:val="Text55"/>
              </w:rPr>
              <w:t xml:space="preserve"/>
              <w:br w:clear="none"/>
            </w:r>
            <w:r>
              <w:rPr>
                <w:rStyle w:val="Text40"/>
              </w:rPr>
              <w:t xml:space="preserve">'1.000.000,00'   </w:t>
              <w:br w:clear="none"/>
            </w:r>
            <w:r>
              <w:rPr>
                <w:rStyle w:val="Text55"/>
              </w:rPr>
              <w:t xml:space="preserve"> </w:t>
              <w:br w:clear="none"/>
            </w:r>
            <w:r>
              <w:t xml:space="preserve"># separators &amp; decimal from</w:t>
              <w:br w:clear="none"/>
            </w:r>
            <w:r>
              <w:rPr>
                <w:rStyle w:val="Text55"/>
              </w:rPr>
              <w:t xml:space="preserve"> </w:t>
              <w:br w:clear="none"/>
            </w:r>
            <w:r>
              <w:t xml:space="preserve">                  # LC_MONETARY</w:t>
              <w:br w:clear="none"/>
            </w:r>
          </w:p>
          <w:p>
            <w:pPr>
              <w:pStyle w:val="Para 022"/>
            </w:pPr>
            <w:r>
              <w:t xml:space="preserve"> In this example, since the numeric locale is set to US English, when the argument </w:t>
            </w:r>
            <w:r>
              <w:rPr>
                <w:rStyle w:val="Text0"/>
              </w:rPr>
              <w:t>grouping</w:t>
            </w:r>
            <w:r>
              <w:t xml:space="preserve"> is </w:t>
            </w:r>
            <w:r>
              <w:rPr>
                <w:rStyle w:val="Text5"/>
              </w:rPr>
              <w:t>True</w:t>
            </w:r>
            <w:r>
              <w:t xml:space="preserve">, </w:t>
            </w:r>
            <w:r>
              <w:rPr>
                <w:rStyle w:val="Text0"/>
              </w:rPr>
              <w:t>format_string</w:t>
            </w:r>
            <w:r>
              <w:t xml:space="preserve"> groups digits by threes with commas and uses a dot (</w:t>
            </w:r>
            <w:r>
              <w:rPr>
                <w:rStyle w:val="Text0"/>
              </w:rPr>
              <w:t>.</w:t>
            </w:r>
            <w:r>
              <w:t xml:space="preserve">) for the decimal point. However, the monetary locale is set to Italian, so when the argument </w:t>
            </w:r>
            <w:r>
              <w:rPr>
                <w:rStyle w:val="Text0"/>
              </w:rPr>
              <w:t>monetary</w:t>
            </w:r>
            <w:r>
              <w:t xml:space="preserve"> is </w:t>
            </w:r>
            <w:r>
              <w:rPr>
                <w:rStyle w:val="Text5"/>
              </w:rPr>
              <w:t>True</w:t>
            </w:r>
            <w:r>
              <w:t xml:space="preserve">, </w:t>
            </w:r>
            <w:r>
              <w:rPr>
                <w:rStyle w:val="Text0"/>
              </w:rPr>
              <w:t>format_string</w:t>
            </w:r>
            <w:r>
              <w:t xml:space="preserve"> uses a comma (</w:t>
            </w:r>
            <w:r>
              <w:rPr>
                <w:rStyle w:val="Text0"/>
              </w:rPr>
              <w:t>,</w:t>
            </w:r>
            <w:r>
              <w:t xml:space="preserve">) for the decimal point and </w:t>
            </w:r>
            <w:r>
              <w:rPr>
                <w:rStyle w:val="Text0"/>
              </w:rPr>
              <w:t>grouping</w:t>
            </w:r>
            <w:r>
              <w:t xml:space="preserve"> uses a dot (</w:t>
            </w:r>
            <w:r>
              <w:rPr>
                <w:rStyle w:val="Text0"/>
              </w:rPr>
              <w:t>.</w:t>
            </w:r>
            <w:r>
              <w:t>) for the thousands separator. Usually, the syntaxes for monetary and nonmonetary numbers are equal within any given locale.</w:t>
            </w:r>
          </w:p>
        </w:tc>
      </w:tr>
    </w:tbl>
    <w:tbl>
      <w:tblPr>
        <w:tblW w:type="auto" w:w="0"/>
      </w:tblPr>
      <w:tr>
        <w:tc>
          <w:tcPr>
            <w:tcW w:type="auto" w:w="0"/>
            <w:tcMar>
              <w:left w:type="dxa" w:w="200"/>
              <w:top w:type="dxa" w:w="200"/>
              <w:right w:type="dxa" w:w="200"/>
              <w:bottom w:type="dxa" w:w="200"/>
            </w:tcMar>
          </w:tcPr>
          <w:p>
            <w:pPr>
              <w:pStyle w:val="Para 001"/>
            </w:pPr>
            <w:r>
              <w:t>g⁠e⁠t​d⁠e⁠f⁠a⁠u⁠l⁠t​l⁠o⁠c⁠a⁠l⁠e</w:t>
            </w:r>
          </w:p>
        </w:tc>
        <w:tc>
          <w:tcPr>
            <w:tcW w:type="auto" w:w="0"/>
            <w:tcMar>
              <w:left w:type="dxa" w:w="200"/>
              <w:top w:type="dxa" w:w="200"/>
              <w:right w:type="dxa" w:w="200"/>
              <w:bottom w:type="dxa" w:w="200"/>
            </w:tcMar>
          </w:tcPr>
          <w:p>
            <w:pPr>
              <w:pStyle w:val="Para 002"/>
            </w:pPr>
            <w:r>
              <w:rPr>
                <w:rStyle w:val="Text0"/>
              </w:rPr>
              <w:t>getdefaultlocale(envvars=('LANGUAGE', 'LC_ALL', 'LC_TYPE', 'LANG'))</w:t>
              <w:br w:clear="none"/>
            </w:r>
            <w:r>
              <w:t xml:space="preserve"> Checks</w:t>
            </w:r>
            <w:r>
              <w:rPr>
                <w:rStyle w:val="Text111"/>
              </w:rPr>
              <w:bookmarkStart w:id="2888" w:name="idm45965201027616"/>
              <w:t/>
              <w:bookmarkEnd w:id="2888"/>
            </w:r>
            <w:r>
              <w:t xml:space="preserve"> the environment variables whose names are specified by </w:t>
            </w:r>
            <w:r>
              <w:rPr>
                <w:rStyle w:val="Text0"/>
              </w:rPr>
              <w:t>envvars</w:t>
            </w:r>
            <w:r>
              <w:t xml:space="preserve">, in order. The first one found in the environment determines the default locale. </w:t>
            </w:r>
            <w:r>
              <w:rPr>
                <w:rStyle w:val="Text0"/>
              </w:rPr>
              <w:t>getdefaultlocale</w:t>
            </w:r>
            <w:r>
              <w:t xml:space="preserve"> returns a pair of strings </w:t>
            </w:r>
            <w:r>
              <w:rPr>
                <w:rStyle w:val="Text0"/>
              </w:rPr>
              <w:t>(</w:t>
            </w:r>
            <w:r>
              <w:rPr>
                <w:rStyle w:val="Text3"/>
              </w:rPr>
              <w:t>lang</w:t>
            </w:r>
            <w:r>
              <w:rPr>
                <w:rStyle w:val="Text0"/>
              </w:rPr>
              <w:t>,</w:t>
            </w:r>
            <w:r>
              <w:t xml:space="preserve"> </w:t>
            </w:r>
            <w:r>
              <w:rPr>
                <w:rStyle w:val="Text3"/>
              </w:rPr>
              <w:t>encoding</w:t>
            </w:r>
            <w:r>
              <w:rPr>
                <w:rStyle w:val="Text0"/>
              </w:rPr>
              <w:t>)</w:t>
            </w:r>
            <w:r>
              <w:t xml:space="preserve"> compliant with </w:t>
            </w:r>
            <w:hyperlink r:id="rId381">
              <w:r>
                <w:rPr>
                  <w:rStyle w:val="Text1"/>
                </w:rPr>
                <w:t>RFC 1766</w:t>
              </w:r>
            </w:hyperlink>
            <w:r>
              <w:t xml:space="preserve"> (except for the </w:t>
            </w:r>
            <w:r>
              <w:rPr>
                <w:rStyle w:val="Text0"/>
              </w:rPr>
              <w:t>'C'</w:t>
            </w:r>
            <w:r>
              <w:t xml:space="preserve"> locale), such as </w:t>
            </w:r>
            <w:r>
              <w:rPr>
                <w:rStyle w:val="Text0"/>
              </w:rPr>
              <w:t>('en_US'</w:t>
            </w:r>
            <w:r>
              <w:t xml:space="preserve">, </w:t>
            </w:r>
            <w:r>
              <w:rPr>
                <w:rStyle w:val="Text0"/>
              </w:rPr>
              <w:t>'UTF-8')</w:t>
            </w:r>
            <w:r>
              <w:t xml:space="preserve">. Each item of the pair may be </w:t>
            </w:r>
            <w:r>
              <w:rPr>
                <w:rStyle w:val="Text5"/>
              </w:rPr>
              <w:t>None</w:t>
            </w:r>
            <w:r>
              <w:t xml:space="preserve"> if </w:t>
            </w:r>
            <w:r>
              <w:rPr>
                <w:rStyle w:val="Text0"/>
              </w:rPr>
              <w:t>gedefaultlocale</w:t>
            </w:r>
            <w:r>
              <w:t xml:space="preserve"> is unable to discover what value the item should have.</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g⁠e⁠t​l⁠o⁠c⁠a⁠l⁠e</w:t>
            </w:r>
          </w:p>
        </w:tc>
        <w:tc>
          <w:tcPr>
            <w:tcW w:type="auto" w:w="0"/>
            <w:shd w:val="clear" w:color="auto" w:fill="EEF2F6"/>
            <w:tcMar>
              <w:left w:type="dxa" w:w="200"/>
              <w:top w:type="dxa" w:w="200"/>
              <w:right w:type="dxa" w:w="200"/>
              <w:bottom w:type="dxa" w:w="200"/>
            </w:tcMar>
          </w:tcPr>
          <w:p>
            <w:pPr>
              <w:pStyle w:val="Para 002"/>
            </w:pPr>
            <w:r>
              <w:rPr>
                <w:rStyle w:val="Text0"/>
              </w:rPr>
              <w:t>getlocale(category=LC_CTYPE)</w:t>
              <w:br w:clear="none"/>
            </w:r>
            <w:r>
              <w:t xml:space="preserve"> Returns</w:t>
            </w:r>
            <w:r>
              <w:rPr>
                <w:rStyle w:val="Text111"/>
              </w:rPr>
              <w:bookmarkStart w:id="2889" w:name="idm45965200996272"/>
              <w:t/>
              <w:bookmarkEnd w:id="2889"/>
            </w:r>
            <w:r>
              <w:t xml:space="preserve"> a pair of strings </w:t>
            </w:r>
            <w:r>
              <w:rPr>
                <w:rStyle w:val="Text0"/>
              </w:rPr>
              <w:t>(</w:t>
            </w:r>
            <w:r>
              <w:rPr>
                <w:rStyle w:val="Text3"/>
              </w:rPr>
              <w:t>lang, encoding</w:t>
            </w:r>
            <w:r>
              <w:rPr>
                <w:rStyle w:val="Text0"/>
              </w:rPr>
              <w:t>)</w:t>
            </w:r>
            <w:r>
              <w:t xml:space="preserve"> with the current setting for the given </w:t>
            </w:r>
            <w:r>
              <w:rPr>
                <w:rStyle w:val="Text0"/>
              </w:rPr>
              <w:t>category</w:t>
            </w:r>
            <w:r>
              <w:t xml:space="preserve">. The category cannot be </w:t>
            </w:r>
            <w:r>
              <w:rPr>
                <w:rStyle w:val="Text0"/>
              </w:rPr>
              <w:t>LC_ALL</w:t>
            </w:r>
            <w:r>
              <w:t>.</w:t>
            </w:r>
          </w:p>
        </w:tc>
      </w:tr>
    </w:tbl>
    <w:tbl>
      <w:tblPr>
        <w:tblW w:type="auto" w:w="0"/>
      </w:tblPr>
      <w:tr>
        <w:tc>
          <w:tcPr>
            <w:tcW w:type="auto" w:w="0"/>
            <w:tcMar>
              <w:left w:type="dxa" w:w="200"/>
              <w:top w:type="dxa" w:w="200"/>
              <w:right w:type="dxa" w:w="200"/>
              <w:bottom w:type="dxa" w:w="200"/>
            </w:tcMar>
          </w:tcPr>
          <w:p>
            <w:pPr>
              <w:pStyle w:val="Para 001"/>
            </w:pPr>
            <w:r>
              <w:t>localeconv</w:t>
            </w:r>
          </w:p>
        </w:tc>
        <w:tc>
          <w:tcPr>
            <w:tcW w:type="auto" w:w="0"/>
            <w:tcMar>
              <w:left w:type="dxa" w:w="200"/>
              <w:top w:type="dxa" w:w="200"/>
              <w:right w:type="dxa" w:w="200"/>
              <w:bottom w:type="dxa" w:w="200"/>
            </w:tcMar>
          </w:tcPr>
          <w:p>
            <w:pPr>
              <w:pStyle w:val="Para 002"/>
            </w:pPr>
            <w:r>
              <w:rPr>
                <w:rStyle w:val="Text0"/>
              </w:rPr>
              <w:t>localeconv()</w:t>
              <w:br w:clear="none"/>
            </w:r>
            <w:r>
              <w:t xml:space="preserve"> Returns a </w:t>
            </w:r>
            <w:r>
              <w:rPr>
                <w:rStyle w:val="Text0"/>
              </w:rPr>
              <w:t>dict</w:t>
            </w:r>
            <w:r>
              <w:t xml:space="preserve"> </w:t>
            </w:r>
            <w:r>
              <w:rPr>
                <w:rStyle w:val="Text3"/>
              </w:rPr>
              <w:t>d</w:t>
            </w:r>
            <w:r>
              <w:t xml:space="preserve"> with the cultural conventions specified by categories </w:t>
            </w:r>
            <w:r>
              <w:rPr>
                <w:rStyle w:val="Text0"/>
              </w:rPr>
              <w:t>LC_NUMERIC</w:t>
            </w:r>
            <w:r>
              <w:t xml:space="preserve"> and </w:t>
            </w:r>
            <w:r>
              <w:rPr>
                <w:rStyle w:val="Text0"/>
              </w:rPr>
              <w:t>LC_MONETARY</w:t>
            </w:r>
            <w:r>
              <w:t xml:space="preserve"> of the current locale. While </w:t>
            </w:r>
            <w:r>
              <w:rPr>
                <w:rStyle w:val="Text0"/>
              </w:rPr>
              <w:t>LC_NUMERIC</w:t>
            </w:r>
            <w:r>
              <w:t xml:space="preserve"> is best used indirectly, via other functions of </w:t>
            </w:r>
            <w:r>
              <w:rPr>
                <w:rStyle w:val="Text0"/>
              </w:rPr>
              <w:t>locale</w:t>
            </w:r>
            <w:r>
              <w:t xml:space="preserve">, the details of </w:t>
            </w:r>
            <w:r>
              <w:rPr>
                <w:rStyle w:val="Text0"/>
              </w:rPr>
              <w:t>LC_MONETARY</w:t>
            </w:r>
            <w:r>
              <w:t xml:space="preserve"> are accessible only through </w:t>
            </w:r>
            <w:r>
              <w:rPr>
                <w:rStyle w:val="Text3"/>
              </w:rPr>
              <w:t>d</w:t>
            </w:r>
            <w:r>
              <w:t xml:space="preserve">. Currency formatting is different for local and international use. For example, the </w:t>
            </w:r>
            <w:r>
              <w:rPr>
                <w:rStyle w:val="Text0"/>
              </w:rPr>
              <w:t>'$'</w:t>
            </w:r>
            <w:r>
              <w:t xml:space="preserve"> symbol is for </w:t>
            </w:r>
            <w:r>
              <w:rPr>
                <w:rStyle w:val="Text4"/>
              </w:rPr>
              <w:t>local</w:t>
            </w:r>
            <w:r>
              <w:t xml:space="preserve"> use only; it is ambiguous in </w:t>
            </w:r>
            <w:r>
              <w:rPr>
                <w:rStyle w:val="Text4"/>
              </w:rPr>
              <w:t>international</w:t>
            </w:r>
            <w:r>
              <w:t xml:space="preserve"> use, since the same symbol is used for many currencies called “dollars” (US, Canadian, Australian, Hong Kong, etc.). In international use, therefore, the symbol for US currency is the unambiguous string </w:t>
            </w:r>
            <w:r>
              <w:rPr>
                <w:rStyle w:val="Text0"/>
              </w:rPr>
              <w:t>'USD'</w:t>
            </w:r>
            <w:r>
              <w:t xml:space="preserve">. The function temporarily sets the </w:t>
            </w:r>
            <w:r>
              <w:rPr>
                <w:rStyle w:val="Text0"/>
              </w:rPr>
              <w:t>LC_CTYPE</w:t>
            </w:r>
            <w:r>
              <w:t xml:space="preserve"> locale to the </w:t>
            </w:r>
            <w:r>
              <w:rPr>
                <w:rStyle w:val="Text0"/>
              </w:rPr>
              <w:t>LC_NUMERIC</w:t>
            </w:r>
            <w:r>
              <w:t xml:space="preserve"> locale, or the </w:t>
            </w:r>
            <w:r>
              <w:rPr>
                <w:rStyle w:val="Text0"/>
              </w:rPr>
              <w:t>LC_MONETARY</w:t>
            </w:r>
            <w:r>
              <w:t xml:space="preserve"> locale if the locales are different and the numeric or monetary strings are non-ASCII. This temporary change affects all threads. The keys into </w:t>
            </w:r>
            <w:r>
              <w:rPr>
                <w:rStyle w:val="Text3"/>
              </w:rPr>
              <w:t>d</w:t>
            </w:r>
            <w:r>
              <w:t xml:space="preserve"> to use for currency formatting are the following strings: </w:t>
            </w:r>
          </w:p>
          <w:p>
            <w:pPr>
              <w:pStyle w:val="Para 024"/>
            </w:pPr>
            <w:r>
              <w:t>'currency_symbol'</w:t>
            </w:r>
          </w:p>
          <w:p>
            <w:pPr>
              <w:pStyle w:val="Para 028"/>
            </w:pPr>
            <w:r>
              <w:t>Currency symbol to use locally</w:t>
            </w:r>
          </w:p>
          <w:p>
            <w:pPr>
              <w:pStyle w:val="Para 024"/>
            </w:pPr>
            <w:r>
              <w:t>'frac_digits'</w:t>
            </w:r>
          </w:p>
          <w:p>
            <w:pPr>
              <w:pStyle w:val="Para 028"/>
            </w:pPr>
            <w:r>
              <w:t>Number of fractional digits to use locally</w:t>
            </w:r>
          </w:p>
          <w:p>
            <w:pPr>
              <w:pStyle w:val="Para 024"/>
            </w:pPr>
            <w:r>
              <w:t>'int_curr_symbol'</w:t>
            </w:r>
          </w:p>
          <w:p>
            <w:pPr>
              <w:pStyle w:val="Para 028"/>
            </w:pPr>
            <w:r>
              <w:t>Currency symbol to use internationally</w:t>
            </w:r>
          </w:p>
          <w:p>
            <w:pPr>
              <w:pStyle w:val="Para 024"/>
            </w:pPr>
            <w:r>
              <w:t>'int_frac_digits'</w:t>
            </w:r>
          </w:p>
          <w:p>
            <w:pPr>
              <w:pStyle w:val="Para 028"/>
            </w:pPr>
            <w:r>
              <w:t>Number of fractional digits to use internationally</w:t>
            </w:r>
          </w:p>
          <w:p>
            <w:pPr>
              <w:pStyle w:val="Para 024"/>
            </w:pPr>
            <w:r>
              <w:t>'mon_decimal_point'</w:t>
            </w:r>
          </w:p>
          <w:p>
            <w:pPr>
              <w:pStyle w:val="Para 028"/>
            </w:pPr>
            <w:r>
              <w:t xml:space="preserve">String to use as the “decimal point” (aka </w:t>
            </w:r>
            <w:r>
              <w:rPr>
                <w:rStyle w:val="Text4"/>
              </w:rPr>
              <w:t>radix point</w:t>
            </w:r>
            <w:r>
              <w:t>) for monetary values</w:t>
            </w:r>
          </w:p>
          <w:p>
            <w:pPr>
              <w:pStyle w:val="Para 024"/>
            </w:pPr>
            <w:r>
              <w:t>'mon_grouping'</w:t>
            </w:r>
          </w:p>
          <w:p>
            <w:pPr>
              <w:pStyle w:val="Para 028"/>
            </w:pPr>
            <w:r>
              <w:t>List of digit-grouping numbers for monetary values</w:t>
            </w:r>
          </w:p>
          <w:p>
            <w:pPr>
              <w:pStyle w:val="Para 024"/>
            </w:pPr>
            <w:r>
              <w:t>'mon_thousands_sep'</w:t>
            </w:r>
          </w:p>
          <w:p>
            <w:pPr>
              <w:pStyle w:val="Para 028"/>
            </w:pPr>
            <w:r>
              <w:t>String to use as digit-groups separator for monetary values</w:t>
            </w:r>
          </w:p>
          <w:p>
            <w:pPr>
              <w:pStyle w:val="Para 024"/>
            </w:pPr>
            <w:r>
              <w:t>'negative_sign'</w:t>
            </w:r>
            <w:r>
              <w:rPr>
                <w:rStyle w:val="Text12"/>
              </w:rPr>
              <w:t xml:space="preserve">, </w:t>
            </w:r>
            <w:r>
              <w:t>'positive_sign'</w:t>
            </w:r>
          </w:p>
          <w:p>
            <w:pPr>
              <w:pStyle w:val="Para 028"/>
            </w:pPr>
            <w:r>
              <w:t>Strings to use as the sign symbol for negative (positive) monetary values</w:t>
            </w:r>
          </w:p>
          <w:p>
            <w:pPr>
              <w:pStyle w:val="Para 024"/>
            </w:pPr>
            <w:r>
              <w:t>'n_cs_precedes'</w:t>
            </w:r>
            <w:r>
              <w:rPr>
                <w:rStyle w:val="Text12"/>
              </w:rPr>
              <w:t xml:space="preserve">, </w:t>
            </w:r>
            <w:r>
              <w:t>'p_cs_precedes'</w:t>
            </w:r>
          </w:p>
          <w:p>
            <w:pPr>
              <w:pStyle w:val="Para 028"/>
            </w:pPr>
            <w:r>
              <w:rPr>
                <w:rStyle w:val="Text5"/>
              </w:rPr>
              <w:t>True</w:t>
            </w:r>
            <w:r>
              <w:t xml:space="preserve"> when the currency symbol comes before negative (positive) monetary values</w:t>
            </w:r>
          </w:p>
          <w:p>
            <w:pPr>
              <w:pStyle w:val="Para 024"/>
            </w:pPr>
            <w:r>
              <w:t>'n_sep_by_space'</w:t>
            </w:r>
            <w:r>
              <w:rPr>
                <w:rStyle w:val="Text12"/>
              </w:rPr>
              <w:t xml:space="preserve">, </w:t>
            </w:r>
            <w:r>
              <w:t>'p_sep_by_space'</w:t>
            </w:r>
          </w:p>
          <w:p>
            <w:pPr>
              <w:pStyle w:val="Para 028"/>
            </w:pPr>
            <w:r>
              <w:rPr>
                <w:rStyle w:val="Text5"/>
              </w:rPr>
              <w:t>True</w:t>
            </w:r>
            <w:r>
              <w:t xml:space="preserve"> when a space goes between the sign and negative (positive) monetary values</w:t>
            </w:r>
          </w:p>
          <w:p>
            <w:pPr>
              <w:pStyle w:val="Para 024"/>
            </w:pPr>
            <w:r>
              <w:t>'n_sign_posn'</w:t>
            </w:r>
            <w:r>
              <w:rPr>
                <w:rStyle w:val="Text12"/>
              </w:rPr>
              <w:t xml:space="preserve">, </w:t>
            </w:r>
            <w:r>
              <w:t>'p_sign_posn'</w:t>
            </w:r>
          </w:p>
          <w:p>
            <w:pPr>
              <w:pStyle w:val="Para 028"/>
            </w:pPr>
            <w:r>
              <w:t xml:space="preserve">See </w:t>
            </w:r>
            <w:hyperlink w:anchor="Table_11_37__Numeric_codes_to_fo">
              <w:r>
                <w:rPr>
                  <w:rStyle w:val="Text1"/>
                </w:rPr>
                <w:t>Table 11-37</w:t>
              </w:r>
            </w:hyperlink>
            <w:r>
              <w:t xml:space="preserve"> for a list of numberic codes for formating negative (positive) monetary values.</w:t>
            </w:r>
          </w:p>
          <w:p>
            <w:pPr>
              <w:pStyle w:val="Para 024"/>
            </w:pPr>
            <w:r>
              <w:t>CHAR_MAX</w:t>
            </w:r>
          </w:p>
          <w:p>
            <w:pPr>
              <w:pStyle w:val="Para 028"/>
            </w:pPr>
            <w:r>
              <w:t>Indicates that the current locale does not specify any convention for this formatting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localeconv</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['mon_grouping']</w:t>
            </w:r>
            <w:r>
              <w:t xml:space="preserve"> is a list of numbers of digits to group when formatting a monetary value (but take care: in some locales, </w:t>
            </w:r>
            <w:r>
              <w:rPr>
                <w:rStyle w:val="Text3"/>
              </w:rPr>
              <w:t>d</w:t>
            </w:r>
            <w:r>
              <w:rPr>
                <w:rStyle w:val="Text0"/>
              </w:rPr>
              <w:t>['mon_grouping']</w:t>
            </w:r>
            <w:r>
              <w:t xml:space="preserve"> may be an empty list). When </w:t>
            </w:r>
            <w:r>
              <w:rPr>
                <w:rStyle w:val="Text3"/>
              </w:rPr>
              <w:t>d</w:t>
            </w:r>
            <w:r>
              <w:rPr>
                <w:rStyle w:val="Text0"/>
              </w:rPr>
              <w:t>['mon_grouping'][-1]</w:t>
            </w:r>
            <w:r>
              <w:t xml:space="preserve"> is </w:t>
            </w:r>
            <w:r>
              <w:rPr>
                <w:rStyle w:val="Text0"/>
              </w:rPr>
              <w:t>0</w:t>
            </w:r>
            <w:r>
              <w:t xml:space="preserve">, there is no further grouping beyond the indicated numbers of digits. When </w:t>
            </w:r>
            <w:r>
              <w:rPr>
                <w:rStyle w:val="Text3"/>
              </w:rPr>
              <w:t>d</w:t>
            </w:r>
            <w:r>
              <w:rPr>
                <w:rStyle w:val="Text0"/>
              </w:rPr>
              <w:t>['mon_grouping'][-1]</w:t>
            </w:r>
            <w:r>
              <w:t xml:space="preserve"> is </w:t>
            </w:r>
            <w:r>
              <w:rPr>
                <w:rStyle w:val="Text0"/>
              </w:rPr>
              <w:t>locale.CHAR_MAX</w:t>
            </w:r>
            <w:r>
              <w:t xml:space="preserve">, grouping continues indefinitely, as if </w:t>
            </w:r>
            <w:r>
              <w:rPr>
                <w:rStyle w:val="Text3"/>
              </w:rPr>
              <w:t>d</w:t>
            </w:r>
            <w:r>
              <w:rPr>
                <w:rStyle w:val="Text0"/>
              </w:rPr>
              <w:t>['mon_grouping'][-2]</w:t>
            </w:r>
            <w:r>
              <w:t xml:space="preserve"> were endlessly repeated. </w:t>
            </w:r>
            <w:r>
              <w:rPr>
                <w:rStyle w:val="Text0"/>
              </w:rPr>
              <w:t>locale.CHAR_MAX</w:t>
            </w:r>
            <w:r>
              <w:t xml:space="preserve"> is a constant used as the value for all entries in </w:t>
            </w:r>
            <w:r>
              <w:rPr>
                <w:rStyle w:val="Text3"/>
              </w:rPr>
              <w:t>d</w:t>
            </w:r>
            <w:r>
              <w:t xml:space="preserve"> for which the current locale does not specify any convention.</w:t>
            </w:r>
            <w:r>
              <w:rPr>
                <w:rStyle w:val="Text111"/>
              </w:rPr>
              <w:bookmarkStart w:id="2890" w:name="idm45965200940976"/>
              <w:t/>
              <w:bookmarkEnd w:id="2890"/>
            </w:r>
          </w:p>
        </w:tc>
      </w:tr>
    </w:tbl>
    <w:tbl>
      <w:tblPr>
        <w:tblW w:type="auto" w:w="0"/>
      </w:tblPr>
      <w:tr>
        <w:tc>
          <w:tcPr>
            <w:tcW w:type="auto" w:w="0"/>
            <w:tcMar>
              <w:left w:type="dxa" w:w="200"/>
              <w:top w:type="dxa" w:w="200"/>
              <w:right w:type="dxa" w:w="200"/>
              <w:bottom w:type="dxa" w:w="200"/>
            </w:tcMar>
          </w:tcPr>
          <w:p>
            <w:pPr>
              <w:pStyle w:val="Para 001"/>
            </w:pPr>
            <w:r>
              <w:t>localize</w:t>
            </w:r>
          </w:p>
        </w:tc>
        <w:tc>
          <w:tcPr>
            <w:tcW w:type="auto" w:w="0"/>
            <w:tcMar>
              <w:left w:type="dxa" w:w="200"/>
              <w:top w:type="dxa" w:w="200"/>
              <w:right w:type="dxa" w:w="200"/>
              <w:bottom w:type="dxa" w:w="200"/>
            </w:tcMar>
          </w:tcPr>
          <w:p>
            <w:pPr>
              <w:pStyle w:val="Para 002"/>
            </w:pPr>
            <w:r>
              <w:rPr>
                <w:rStyle w:val="Text0"/>
              </w:rPr>
              <w:t>localize(</w:t>
            </w:r>
            <w:r>
              <w:rPr>
                <w:rStyle w:val="Text3"/>
              </w:rPr>
              <w:t>normstr</w:t>
            </w:r>
            <w:r>
              <w:rPr>
                <w:rStyle w:val="Text0"/>
              </w:rPr>
              <w:t>, grouping=</w:t>
            </w:r>
            <w:r>
              <w:rPr>
                <w:rStyle w:val="Text5"/>
              </w:rPr>
              <w:t>False</w:t>
            </w:r>
            <w:r>
              <w:rPr>
                <w:rStyle w:val="Text0"/>
              </w:rPr>
              <w:t>, monetary=</w:t>
            </w:r>
            <w:r>
              <w:rPr>
                <w:rStyle w:val="Text5"/>
              </w:rPr>
              <w:t>False</w:t>
            </w:r>
            <w:r>
              <w:rPr>
                <w:rStyle w:val="Text0"/>
              </w:rPr>
              <w:t>)</w:t>
              <w:br w:clear="none"/>
            </w:r>
            <w:r>
              <w:t xml:space="preserve"> Returns</w:t>
            </w:r>
            <w:r>
              <w:rPr>
                <w:rStyle w:val="Text111"/>
              </w:rPr>
              <w:bookmarkStart w:id="2891" w:name="idm45965200935920"/>
              <w:t/>
              <w:bookmarkEnd w:id="2891"/>
            </w:r>
            <w:r>
              <w:t xml:space="preserve"> a formatted string following </w:t>
            </w:r>
            <w:r>
              <w:rPr>
                <w:rStyle w:val="Text0"/>
              </w:rPr>
              <w:t>LC_NUMERIC</w:t>
            </w:r>
            <w:r>
              <w:t xml:space="preserve"> (or </w:t>
            </w:r>
            <w:r>
              <w:rPr>
                <w:rStyle w:val="Text0"/>
              </w:rPr>
              <w:t>LC_MONETARY</w:t>
            </w:r>
            <w:r>
              <w:t xml:space="preserve">, when </w:t>
            </w:r>
            <w:r>
              <w:rPr>
                <w:rStyle w:val="Text0"/>
              </w:rPr>
              <w:t>monetary</w:t>
            </w:r>
            <w:r>
              <w:t xml:space="preserve"> is </w:t>
            </w:r>
            <w:r>
              <w:rPr>
                <w:rStyle w:val="Text5"/>
              </w:rPr>
              <w:t>True</w:t>
            </w:r>
            <w:r>
              <w:t xml:space="preserve">) settings from normalized numeric string </w:t>
            </w:r>
            <w:r>
              <w:rPr>
                <w:rStyle w:val="Text3"/>
              </w:rPr>
              <w:t>normstr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normalize</w:t>
            </w:r>
          </w:p>
        </w:tc>
        <w:tc>
          <w:tcPr>
            <w:tcW w:type="auto" w:w="0"/>
            <w:shd w:val="clear" w:color="auto" w:fill="EEF2F6"/>
            <w:tcMar>
              <w:left w:type="dxa" w:w="200"/>
              <w:top w:type="dxa" w:w="200"/>
              <w:right w:type="dxa" w:w="200"/>
              <w:bottom w:type="dxa" w:w="200"/>
            </w:tcMar>
          </w:tcPr>
          <w:p>
            <w:pPr>
              <w:pStyle w:val="Para 002"/>
            </w:pPr>
            <w:r>
              <w:rPr>
                <w:rStyle w:val="Text0"/>
              </w:rPr>
              <w:t>normalize(</w:t>
            </w:r>
            <w:r>
              <w:rPr>
                <w:rStyle w:val="Text3"/>
              </w:rPr>
              <w:t>localename</w:t>
            </w:r>
            <w:r>
              <w:rPr>
                <w:rStyle w:val="Text0"/>
              </w:rPr>
              <w:t>)</w:t>
              <w:br w:clear="none"/>
            </w:r>
            <w:r>
              <w:t xml:space="preserve"> Returns a string, suitable as an argument to </w:t>
            </w:r>
            <w:r>
              <w:rPr>
                <w:rStyle w:val="Text0"/>
              </w:rPr>
              <w:t>setlocale</w:t>
            </w:r>
            <w:r>
              <w:t xml:space="preserve">, that is the normalized form for </w:t>
            </w:r>
            <w:r>
              <w:rPr>
                <w:rStyle w:val="Text3"/>
              </w:rPr>
              <w:t>localename</w:t>
            </w:r>
            <w:r>
              <w:t xml:space="preserve">. When </w:t>
            </w:r>
            <w:r>
              <w:rPr>
                <w:rStyle w:val="Text0"/>
              </w:rPr>
              <w:t>normalize</w:t>
            </w:r>
            <w:r>
              <w:t xml:space="preserve"> cannot normalize the string </w:t>
            </w:r>
            <w:r>
              <w:rPr>
                <w:rStyle w:val="Text3"/>
              </w:rPr>
              <w:t>localename</w:t>
            </w:r>
            <w:r>
              <w:t xml:space="preserve">, it returns </w:t>
            </w:r>
            <w:r>
              <w:rPr>
                <w:rStyle w:val="Text3"/>
              </w:rPr>
              <w:t>localename</w:t>
            </w:r>
            <w:r>
              <w:t xml:space="preserve"> unchanged.</w:t>
            </w:r>
          </w:p>
        </w:tc>
      </w:tr>
    </w:tbl>
    <w:tbl>
      <w:tblPr>
        <w:tblW w:type="auto" w:w="0"/>
      </w:tblPr>
      <w:tr>
        <w:tc>
          <w:tcPr>
            <w:tcW w:type="auto" w:w="0"/>
            <w:tcMar>
              <w:left w:type="dxa" w:w="200"/>
              <w:top w:type="dxa" w:w="200"/>
              <w:right w:type="dxa" w:w="200"/>
              <w:bottom w:type="dxa" w:w="200"/>
            </w:tcMar>
          </w:tcPr>
          <w:p>
            <w:pPr>
              <w:pStyle w:val="Para 001"/>
            </w:pPr>
            <w:r>
              <w:t>re⁠s⁠e⁠t​l⁠o⁠c⁠ale</w:t>
            </w:r>
          </w:p>
        </w:tc>
        <w:tc>
          <w:tcPr>
            <w:tcW w:type="auto" w:w="0"/>
            <w:tcMar>
              <w:left w:type="dxa" w:w="200"/>
              <w:top w:type="dxa" w:w="200"/>
              <w:right w:type="dxa" w:w="200"/>
              <w:bottom w:type="dxa" w:w="200"/>
            </w:tcMar>
          </w:tcPr>
          <w:p>
            <w:pPr>
              <w:pStyle w:val="Para 001"/>
            </w:pPr>
            <w:r>
              <w:t>resetlocale(category=LC_ALL)</w:t>
              <w:br w:clear="none"/>
            </w:r>
            <w:r>
              <w:rPr>
                <w:rStyle w:val="Text12"/>
              </w:rPr>
              <w:t xml:space="preserve"> Sets the locale for </w:t>
            </w:r>
            <w:r>
              <w:t>category</w:t>
            </w:r>
            <w:r>
              <w:rPr>
                <w:rStyle w:val="Text12"/>
              </w:rPr>
              <w:t xml:space="preserve"> to the default given by </w:t>
            </w:r>
            <w:r>
              <w:t>getdefaultlocale</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s⁠e⁠t​l⁠o⁠c⁠a⁠l⁠e</w:t>
            </w:r>
          </w:p>
        </w:tc>
        <w:tc>
          <w:tcPr>
            <w:tcW w:type="auto" w:w="0"/>
            <w:shd w:val="clear" w:color="auto" w:fill="EEF2F6"/>
            <w:tcMar>
              <w:left w:type="dxa" w:w="200"/>
              <w:top w:type="dxa" w:w="200"/>
              <w:right w:type="dxa" w:w="200"/>
              <w:bottom w:type="dxa" w:w="200"/>
            </w:tcMar>
          </w:tcPr>
          <w:p>
            <w:pPr>
              <w:pStyle w:val="Para 002"/>
            </w:pPr>
            <w:r>
              <w:rPr>
                <w:rStyle w:val="Text0"/>
              </w:rPr>
              <w:t>setlocale(</w:t>
            </w:r>
            <w:r>
              <w:rPr>
                <w:rStyle w:val="Text3"/>
              </w:rPr>
              <w:t>category</w:t>
            </w:r>
            <w:r>
              <w:rPr>
                <w:rStyle w:val="Text0"/>
              </w:rPr>
              <w:t>, locale=</w:t>
            </w:r>
            <w:r>
              <w:rPr>
                <w:rStyle w:val="Text5"/>
              </w:rPr>
              <w:t>None</w:t>
            </w:r>
            <w:r>
              <w:rPr>
                <w:rStyle w:val="Text0"/>
              </w:rPr>
              <w:t>)</w:t>
              <w:br w:clear="none"/>
            </w:r>
            <w:r>
              <w:t xml:space="preserve"> Sets the locale for </w:t>
            </w:r>
            <w:r>
              <w:rPr>
                <w:rStyle w:val="Text3"/>
              </w:rPr>
              <w:t>category</w:t>
            </w:r>
            <w:r>
              <w:t xml:space="preserve"> to </w:t>
            </w:r>
            <w:r>
              <w:rPr>
                <w:rStyle w:val="Text0"/>
              </w:rPr>
              <w:t>locale</w:t>
            </w:r>
            <w:r>
              <w:t xml:space="preserve">, if not </w:t>
            </w:r>
            <w:r>
              <w:rPr>
                <w:rStyle w:val="Text5"/>
              </w:rPr>
              <w:t>None</w:t>
            </w:r>
            <w:r>
              <w:t xml:space="preserve">, and returns the setting (the existing one when </w:t>
            </w:r>
            <w:r>
              <w:rPr>
                <w:rStyle w:val="Text0"/>
              </w:rPr>
              <w:t>locale</w:t>
            </w:r>
            <w:r>
              <w:t xml:space="preserve"> is </w:t>
            </w:r>
            <w:r>
              <w:rPr>
                <w:rStyle w:val="Text5"/>
              </w:rPr>
              <w:t>None</w:t>
            </w:r>
            <w:r>
              <w:t xml:space="preserve">; otherwise, the new one). </w:t>
            </w:r>
            <w:r>
              <w:rPr>
                <w:rStyle w:val="Text0"/>
              </w:rPr>
              <w:t>locale</w:t>
            </w:r>
            <w:r>
              <w:t xml:space="preserve"> can be a string, or a pair </w:t>
            </w:r>
            <w:r>
              <w:rPr>
                <w:rStyle w:val="Text0"/>
              </w:rPr>
              <w:t>(</w:t>
            </w:r>
            <w:r>
              <w:rPr>
                <w:rStyle w:val="Text3"/>
              </w:rPr>
              <w:t>lang</w:t>
            </w:r>
            <w:r>
              <w:rPr>
                <w:rStyle w:val="Text0"/>
              </w:rPr>
              <w:t>,</w:t>
            </w:r>
            <w:r>
              <w:t xml:space="preserve"> </w:t>
            </w:r>
            <w:r>
              <w:rPr>
                <w:rStyle w:val="Text3"/>
              </w:rPr>
              <w:t>encoding</w:t>
            </w:r>
            <w:r>
              <w:rPr>
                <w:rStyle w:val="Text0"/>
              </w:rPr>
              <w:t>)</w:t>
            </w:r>
            <w:r>
              <w:t xml:space="preserve">. </w:t>
            </w:r>
            <w:r>
              <w:rPr>
                <w:rStyle w:val="Text3"/>
              </w:rPr>
              <w:t>lang</w:t>
            </w:r>
            <w:r>
              <w:t xml:space="preserve"> is normally a language code based on </w:t>
            </w:r>
            <w:hyperlink r:id="rId382">
              <w:r>
                <w:rPr>
                  <w:rStyle w:val="Text1"/>
                </w:rPr>
                <w:t>ISO 639</w:t>
              </w:r>
            </w:hyperlink>
            <w:r>
              <w:t xml:space="preserve"> two-letter codes (</w:t>
            </w:r>
            <w:r>
              <w:rPr>
                <w:rStyle w:val="Text0"/>
              </w:rPr>
              <w:t>'en'</w:t>
            </w:r>
            <w:r>
              <w:t xml:space="preserve"> is English, </w:t>
            </w:r>
            <w:r>
              <w:rPr>
                <w:rStyle w:val="Text0"/>
              </w:rPr>
              <w:t>'nl'</w:t>
            </w:r>
            <w:r>
              <w:t xml:space="preserve"> is Dutch, and so on). When </w:t>
            </w:r>
            <w:r>
              <w:rPr>
                <w:rStyle w:val="Text0"/>
              </w:rPr>
              <w:t>locale</w:t>
            </w:r>
            <w:r>
              <w:t xml:space="preserve"> is the empty string </w:t>
            </w:r>
            <w:r>
              <w:rPr>
                <w:rStyle w:val="Text0"/>
              </w:rPr>
              <w:t>''</w:t>
            </w:r>
            <w:r>
              <w:t xml:space="preserve">, </w:t>
            </w:r>
            <w:r>
              <w:rPr>
                <w:rStyle w:val="Text0"/>
              </w:rPr>
              <w:t>setlocale</w:t>
            </w:r>
            <w:r>
              <w:t xml:space="preserve"> sets the user’s default locale. To see valid locales, view the </w:t>
            </w:r>
            <w:r>
              <w:rPr>
                <w:rStyle w:val="Text0"/>
              </w:rPr>
              <w:t>locale.locale_alias</w:t>
            </w:r>
            <w:r>
              <w:t xml:space="preserve"> dictionary.</w:t>
            </w:r>
          </w:p>
        </w:tc>
      </w:tr>
    </w:tbl>
    <w:tbl>
      <w:tblPr>
        <w:tblW w:type="auto" w:w="0"/>
      </w:tblPr>
      <w:tr>
        <w:tc>
          <w:tcPr>
            <w:tcW w:type="auto" w:w="0"/>
            <w:tcMar>
              <w:left w:type="dxa" w:w="200"/>
              <w:top w:type="dxa" w:w="200"/>
              <w:right w:type="dxa" w:w="200"/>
              <w:bottom w:type="dxa" w:w="200"/>
            </w:tcMar>
          </w:tcPr>
          <w:p>
            <w:pPr>
              <w:pStyle w:val="Para 001"/>
            </w:pPr>
            <w:r>
              <w:t>str</w:t>
            </w:r>
          </w:p>
        </w:tc>
        <w:tc>
          <w:tcPr>
            <w:tcW w:type="auto" w:w="0"/>
            <w:tcMar>
              <w:left w:type="dxa" w:w="200"/>
              <w:top w:type="dxa" w:w="200"/>
              <w:right w:type="dxa" w:w="200"/>
              <w:bottom w:type="dxa" w:w="200"/>
            </w:tcMar>
          </w:tcPr>
          <w:p>
            <w:pPr>
              <w:pStyle w:val="Para 001"/>
            </w:pPr>
            <w:r>
              <w:t>str(</w:t>
            </w:r>
            <w:r>
              <w:rPr>
                <w:rStyle w:val="Text3"/>
              </w:rPr>
              <w:t>num</w:t>
            </w:r>
            <w:r>
              <w:t>)</w:t>
              <w:br w:clear="none"/>
            </w:r>
            <w:r>
              <w:rPr>
                <w:rStyle w:val="Text12"/>
              </w:rPr>
              <w:t xml:space="preserve"> Like </w:t>
            </w:r>
            <w:r>
              <w:t>locale.format_string('%f',</w:t>
            </w:r>
            <w:r>
              <w:rPr>
                <w:rStyle w:val="Text12"/>
              </w:rPr>
              <w:t xml:space="preserve"> </w:t>
            </w:r>
            <w:r>
              <w:rPr>
                <w:rStyle w:val="Text3"/>
              </w:rPr>
              <w:t>num</w:t>
            </w:r>
            <w:r>
              <w:t>)</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strcoll</w:t>
            </w:r>
          </w:p>
        </w:tc>
        <w:tc>
          <w:tcPr>
            <w:tcW w:type="auto" w:w="0"/>
            <w:shd w:val="clear" w:color="auto" w:fill="EEF2F6"/>
            <w:tcMar>
              <w:left w:type="dxa" w:w="200"/>
              <w:top w:type="dxa" w:w="200"/>
              <w:right w:type="dxa" w:w="200"/>
              <w:bottom w:type="dxa" w:w="200"/>
            </w:tcMar>
          </w:tcPr>
          <w:p>
            <w:pPr>
              <w:pStyle w:val="Para 002"/>
            </w:pPr>
            <w:r>
              <w:rPr>
                <w:rStyle w:val="Text0"/>
              </w:rPr>
              <w:t>strcoll(</w:t>
            </w:r>
            <w:r>
              <w:rPr>
                <w:rStyle w:val="Text3"/>
              </w:rPr>
              <w:t>str1</w:t>
            </w:r>
            <w:r>
              <w:rPr>
                <w:rStyle w:val="Text0"/>
              </w:rPr>
              <w:t>,</w:t>
            </w:r>
            <w:r>
              <w:t xml:space="preserve"> </w:t>
            </w:r>
            <w:r>
              <w:rPr>
                <w:rStyle w:val="Text3"/>
              </w:rPr>
              <w:t>str2</w:t>
            </w:r>
            <w:r>
              <w:rPr>
                <w:rStyle w:val="Text0"/>
              </w:rPr>
              <w:t>)</w:t>
              <w:br w:clear="none"/>
            </w:r>
            <w:r>
              <w:t xml:space="preserve"> Respecting the </w:t>
            </w:r>
            <w:r>
              <w:rPr>
                <w:rStyle w:val="Text0"/>
              </w:rPr>
              <w:t>LC_COLLATE</w:t>
            </w:r>
            <w:r>
              <w:t xml:space="preserve"> setting, returns </w:t>
            </w:r>
            <w:r>
              <w:rPr>
                <w:rStyle w:val="Text0"/>
              </w:rPr>
              <w:t>-1</w:t>
            </w:r>
            <w:r>
              <w:t xml:space="preserve"> when </w:t>
            </w:r>
            <w:r>
              <w:rPr>
                <w:rStyle w:val="Text3"/>
              </w:rPr>
              <w:t>str1</w:t>
            </w:r>
            <w:r>
              <w:t xml:space="preserve"> comes before </w:t>
            </w:r>
            <w:r>
              <w:rPr>
                <w:rStyle w:val="Text3"/>
              </w:rPr>
              <w:t>str2</w:t>
            </w:r>
            <w:r>
              <w:t xml:space="preserve"> in collation, </w:t>
            </w:r>
            <w:r>
              <w:rPr>
                <w:rStyle w:val="Text0"/>
              </w:rPr>
              <w:t>1</w:t>
            </w:r>
            <w:r>
              <w:t xml:space="preserve"> when </w:t>
            </w:r>
            <w:r>
              <w:rPr>
                <w:rStyle w:val="Text3"/>
              </w:rPr>
              <w:t>str2</w:t>
            </w:r>
            <w:r>
              <w:t xml:space="preserve"> comes before </w:t>
            </w:r>
            <w:r>
              <w:rPr>
                <w:rStyle w:val="Text3"/>
              </w:rPr>
              <w:t>str1</w:t>
            </w:r>
            <w:r>
              <w:t xml:space="preserve">, and </w:t>
            </w:r>
            <w:r>
              <w:rPr>
                <w:rStyle w:val="Text0"/>
              </w:rPr>
              <w:t>0</w:t>
            </w:r>
            <w:r>
              <w:t xml:space="preserve"> when the two strings are equivalent for collation purposes.</w:t>
            </w:r>
          </w:p>
        </w:tc>
      </w:tr>
    </w:tbl>
    <w:tbl>
      <w:tblPr>
        <w:tblW w:type="auto" w:w="0"/>
      </w:tblPr>
      <w:tr>
        <w:tc>
          <w:tcPr>
            <w:tcW w:type="auto" w:w="0"/>
            <w:tcMar>
              <w:left w:type="dxa" w:w="200"/>
              <w:top w:type="dxa" w:w="200"/>
              <w:right w:type="dxa" w:w="200"/>
              <w:bottom w:type="dxa" w:w="200"/>
            </w:tcMar>
          </w:tcPr>
          <w:p>
            <w:pPr>
              <w:pStyle w:val="Para 001"/>
            </w:pPr>
            <w:r>
              <w:t>strxfrm</w:t>
            </w:r>
          </w:p>
        </w:tc>
        <w:tc>
          <w:tcPr>
            <w:tcW w:type="auto" w:w="0"/>
            <w:tcMar>
              <w:left w:type="dxa" w:w="200"/>
              <w:top w:type="dxa" w:w="200"/>
              <w:right w:type="dxa" w:w="200"/>
              <w:bottom w:type="dxa" w:w="200"/>
            </w:tcMar>
          </w:tcPr>
          <w:p>
            <w:pPr>
              <w:pStyle w:val="Para 002"/>
            </w:pPr>
            <w:r>
              <w:rPr>
                <w:rStyle w:val="Text0"/>
              </w:rPr>
              <w:t>strxfrm(</w:t>
            </w:r>
            <w:r>
              <w:rPr>
                <w:rStyle w:val="Text3"/>
              </w:rPr>
              <w:t>s</w:t>
            </w:r>
            <w:r>
              <w:rPr>
                <w:rStyle w:val="Text0"/>
              </w:rPr>
              <w:t>)</w:t>
              <w:br w:clear="none"/>
            </w:r>
            <w:r>
              <w:t xml:space="preserve"> Returns a string </w:t>
            </w:r>
            <w:r>
              <w:rPr>
                <w:rStyle w:val="Text3"/>
              </w:rPr>
              <w:t>sx</w:t>
            </w:r>
            <w:r>
              <w:t xml:space="preserve"> such that Python’s built-in comparisons of two or more strings so transformed is like calling </w:t>
            </w:r>
            <w:r>
              <w:rPr>
                <w:rStyle w:val="Text0"/>
              </w:rPr>
              <w:t>locale.strcoll</w:t>
            </w:r>
            <w:r>
              <w:t xml:space="preserve"> on the originals. </w:t>
            </w:r>
            <w:r>
              <w:rPr>
                <w:rStyle w:val="Text0"/>
              </w:rPr>
              <w:t>strxfrm</w:t>
            </w:r>
            <w:r>
              <w:t xml:space="preserve"> lets you easily use the </w:t>
            </w:r>
            <w:r>
              <w:rPr>
                <w:rStyle w:val="Text0"/>
              </w:rPr>
              <w:t>key</w:t>
            </w:r>
            <w:r>
              <w:t xml:space="preserve"> argument for sorts and comparisons needing locale-conformant string</w:t>
            </w:r>
            <w:r>
              <w:rPr>
                <w:rStyle w:val="Text111"/>
              </w:rPr>
              <w:bookmarkStart w:id="2892" w:name="idm45965200881744"/>
              <w:t/>
              <w:bookmarkEnd w:id="2892"/>
              <w:bookmarkStart w:id="2893" w:name="idm45965200880288"/>
              <w:t/>
              <w:bookmarkEnd w:id="2893"/>
            </w:r>
            <w:r>
              <w:t xml:space="preserve"> comparisons. For example,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locale_sort_inplace</w:t>
              <w:br w:clear="none"/>
            </w:r>
            <w:r>
              <w:rPr>
                <w:rStyle w:val="Text7"/>
              </w:rPr>
              <w:t xml:space="preserve">(</w:t>
              <w:br w:clear="none"/>
            </w:r>
            <w:r>
              <w:t xml:space="preserve">list_of_strings</w:t>
              <w:br w:clear="none"/>
            </w:r>
            <w:r>
              <w:rPr>
                <w:rStyle w:val="Text7"/>
              </w:rPr>
              <w:t xml:space="preserve">)</w:t>
              <w:br w:clear="none"/>
              <w:t xml:space="preserve">:</w:t>
              <w:br w:clear="none"/>
            </w:r>
            <w:r>
              <w:rPr>
                <w:rStyle w:val="Text6"/>
              </w:rPr>
              <w:t xml:space="preserve"/>
              <w:br w:clear="none"/>
              <w:t xml:space="preserve">    </w:t>
              <w:br w:clear="none"/>
            </w:r>
            <w:r>
              <w:t xml:space="preserve">list_of_strings</w:t>
              <w:br w:clear="none"/>
            </w:r>
            <w:r>
              <w:rPr>
                <w:rStyle w:val="Text13"/>
              </w:rPr>
              <w:t xml:space="preserve">.</w:t>
              <w:br w:clear="none"/>
            </w:r>
            <w:r>
              <w:t xml:space="preserve">sort</w:t>
              <w:br w:clear="none"/>
            </w:r>
            <w:r>
              <w:rPr>
                <w:rStyle w:val="Text7"/>
              </w:rPr>
              <w:t xml:space="preserve">(</w:t>
              <w:br w:clear="none"/>
            </w:r>
            <w:r>
              <w:t xml:space="preserve">key</w:t>
              <w:br w:clear="none"/>
            </w:r>
            <w:r>
              <w:rPr>
                <w:rStyle w:val="Text13"/>
              </w:rPr>
              <w:t xml:space="preserve">=</w:t>
              <w:br w:clear="none"/>
            </w:r>
            <w:r>
              <w:t xml:space="preserve">locale</w:t>
              <w:br w:clear="none"/>
            </w:r>
            <w:r>
              <w:rPr>
                <w:rStyle w:val="Text13"/>
              </w:rPr>
              <w:t xml:space="preserve">.</w:t>
              <w:br w:clear="none"/>
            </w:r>
            <w:r>
              <w:t xml:space="preserve">strxfrm</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bookmarkStart w:id="2894" w:name="Table_11_37__Numeric_codes_to_fo"/>
            <w:pPr>
              <w:pStyle w:val="Para 011"/>
            </w:pPr>
            <w:r>
              <w:rPr>
                <w:rStyle w:val="Text117"/>
              </w:rPr>
              <w:t/>
            </w:r>
            <w:r>
              <w:t xml:space="preserve">Table 11-37. </w:t>
              <w:t>Numeric codes to format monetary values</w:t>
            </w:r>
            <w:bookmarkEnd w:id="2894"/>
          </w:p>
          <w:p>
            <w:pPr>
              <w:pStyle w:val="Para 001"/>
            </w:pPr>
            <w:r>
              <w:t>0</w:t>
            </w:r>
          </w:p>
        </w:tc>
        <w:tc>
          <w:tcPr>
            <w:tcW w:type="auto" w:w="0"/>
            <w:tcMar>
              <w:left w:type="dxa" w:w="200"/>
              <w:top w:type="dxa" w:w="200"/>
              <w:right w:type="dxa" w:w="200"/>
              <w:bottom w:type="dxa" w:w="200"/>
            </w:tcMar>
          </w:tcPr>
          <w:p>
            <w:pPr>
              <w:pStyle w:val="Para 002"/>
            </w:pPr>
            <w:r>
              <w:t>The value and the currency symbol are placed inside parentheses</w:t>
            </w:r>
          </w:p>
        </w:tc>
      </w:tr>
    </w:tbl>
    <w:tbl>
      <w:tblPr>
        <w:tblW w:type="auto" w:w="0"/>
      </w:tblPr>
      <w:tr>
        <w:tc>
          <w:tcPr>
            <w:tcW w:type="auto" w:w="0"/>
            <w:shd w:val="clear" w:color="auto" w:fill="EEF2F6"/>
            <w:tcMar>
              <w:left w:type="dxa" w:w="200"/>
              <w:top w:type="dxa" w:w="200"/>
              <w:right w:type="dxa" w:w="200"/>
              <w:bottom w:type="dxa" w:w="200"/>
            </w:tcMar>
          </w:tcPr>
          <w:p>
            <w:pPr>
              <w:pStyle w:val="Para 001"/>
            </w:pPr>
            <w:r>
              <w:t>1</w:t>
            </w:r>
          </w:p>
        </w:tc>
        <w:tc>
          <w:tcPr>
            <w:tcW w:type="auto" w:w="0"/>
            <w:shd w:val="clear" w:color="auto" w:fill="EEF2F6"/>
            <w:tcMar>
              <w:left w:type="dxa" w:w="200"/>
              <w:top w:type="dxa" w:w="200"/>
              <w:right w:type="dxa" w:w="200"/>
              <w:bottom w:type="dxa" w:w="200"/>
            </w:tcMar>
          </w:tcPr>
          <w:p>
            <w:pPr>
              <w:pStyle w:val="Para 002"/>
            </w:pPr>
            <w:r>
              <w:t>The sign is placed before the value and the currency symbol</w:t>
            </w:r>
          </w:p>
        </w:tc>
      </w:tr>
    </w:tbl>
    <w:tbl>
      <w:tblPr>
        <w:tblW w:type="auto" w:w="0"/>
      </w:tblPr>
      <w:tr>
        <w:tc>
          <w:tcPr>
            <w:tcW w:type="auto" w:w="0"/>
            <w:tcMar>
              <w:left w:type="dxa" w:w="200"/>
              <w:top w:type="dxa" w:w="200"/>
              <w:right w:type="dxa" w:w="200"/>
              <w:bottom w:type="dxa" w:w="200"/>
            </w:tcMar>
          </w:tcPr>
          <w:p>
            <w:pPr>
              <w:pStyle w:val="Para 001"/>
            </w:pPr>
            <w:r>
              <w:t>2</w:t>
            </w:r>
          </w:p>
        </w:tc>
        <w:tc>
          <w:tcPr>
            <w:tcW w:type="auto" w:w="0"/>
            <w:tcMar>
              <w:left w:type="dxa" w:w="200"/>
              <w:top w:type="dxa" w:w="200"/>
              <w:right w:type="dxa" w:w="200"/>
              <w:bottom w:type="dxa" w:w="200"/>
            </w:tcMar>
          </w:tcPr>
          <w:p>
            <w:pPr>
              <w:pStyle w:val="Para 002"/>
            </w:pPr>
            <w:r>
              <w:t>The sign is placed after the value and the currency symbol</w:t>
            </w:r>
          </w:p>
        </w:tc>
      </w:tr>
    </w:tbl>
    <w:tbl>
      <w:tblPr>
        <w:tblW w:type="auto" w:w="0"/>
      </w:tblPr>
      <w:tr>
        <w:tc>
          <w:tcPr>
            <w:tcW w:type="auto" w:w="0"/>
            <w:shd w:val="clear" w:color="auto" w:fill="EEF2F6"/>
            <w:tcMar>
              <w:left w:type="dxa" w:w="200"/>
              <w:top w:type="dxa" w:w="200"/>
              <w:right w:type="dxa" w:w="200"/>
              <w:bottom w:type="dxa" w:w="200"/>
            </w:tcMar>
          </w:tcPr>
          <w:p>
            <w:pPr>
              <w:pStyle w:val="Para 001"/>
            </w:pPr>
            <w:r>
              <w:t>3</w:t>
            </w:r>
          </w:p>
        </w:tc>
        <w:tc>
          <w:tcPr>
            <w:tcW w:type="auto" w:w="0"/>
            <w:shd w:val="clear" w:color="auto" w:fill="EEF2F6"/>
            <w:tcMar>
              <w:left w:type="dxa" w:w="200"/>
              <w:top w:type="dxa" w:w="200"/>
              <w:right w:type="dxa" w:w="200"/>
              <w:bottom w:type="dxa" w:w="200"/>
            </w:tcMar>
          </w:tcPr>
          <w:p>
            <w:pPr>
              <w:pStyle w:val="Para 002"/>
            </w:pPr>
            <w:r>
              <w:t>The sign is placed immediately before the value</w:t>
            </w:r>
          </w:p>
        </w:tc>
      </w:tr>
    </w:tbl>
    <w:tbl>
      <w:tblPr>
        <w:tblW w:type="auto" w:w="0"/>
      </w:tblPr>
      <w:tr>
        <w:tc>
          <w:tcPr>
            <w:tcW w:type="auto" w:w="0"/>
            <w:tcMar>
              <w:left w:type="dxa" w:w="200"/>
              <w:top w:type="dxa" w:w="200"/>
              <w:right w:type="dxa" w:w="200"/>
              <w:bottom w:type="dxa" w:w="200"/>
            </w:tcMar>
          </w:tcPr>
          <w:p>
            <w:pPr>
              <w:pStyle w:val="Para 001"/>
            </w:pPr>
            <w:r>
              <w:t>4</w:t>
            </w:r>
          </w:p>
        </w:tc>
        <w:tc>
          <w:tcPr>
            <w:tcW w:type="auto" w:w="0"/>
            <w:tcMar>
              <w:left w:type="dxa" w:w="200"/>
              <w:top w:type="dxa" w:w="200"/>
              <w:right w:type="dxa" w:w="200"/>
              <w:bottom w:type="dxa" w:w="200"/>
            </w:tcMar>
          </w:tcPr>
          <w:p>
            <w:pPr>
              <w:pStyle w:val="Para 002"/>
            </w:pPr>
            <w:r>
              <w:t>The sign is placed immediately after the value</w:t>
            </w:r>
          </w:p>
        </w:tc>
      </w:tr>
    </w:tbl>
    <w:p>
      <w:bookmarkStart w:id="2895" w:name="The_gettext_Module__A_key_issue"/>
      <w:pPr>
        <w:keepNext/>
        <w:pStyle w:val="Heading 2"/>
      </w:pPr>
      <w:r>
        <w:t>The gettext Module</w:t>
      </w:r>
      <w:bookmarkEnd w:id="2895"/>
    </w:p>
    <w:p>
      <w:pPr>
        <w:pStyle w:val="Normal"/>
      </w:pPr>
      <w:r>
        <w:t>A</w:t>
      </w:r>
      <w:r>
        <w:rPr>
          <w:rStyle w:val="Text111"/>
        </w:rPr>
        <w:bookmarkStart w:id="2896" w:name="gettextmod11"/>
        <w:t/>
        <w:bookmarkEnd w:id="2896"/>
        <w:bookmarkStart w:id="2897" w:name="loal11"/>
        <w:t/>
        <w:bookmarkEnd w:id="2897"/>
        <w:bookmarkStart w:id="2898" w:name="l10n11"/>
        <w:t/>
        <w:bookmarkEnd w:id="2898"/>
        <w:bookmarkStart w:id="2899" w:name="SLMgettext11"/>
        <w:t/>
        <w:bookmarkEnd w:id="2899"/>
      </w:r>
      <w:r>
        <w:t xml:space="preserve"> key issue in internationalization is the ability to use text in different natural languages, a task known as </w:t>
      </w:r>
      <w:r>
        <w:rPr>
          <w:rStyle w:val="Text4"/>
        </w:rPr>
        <w:t>localization</w:t>
      </w:r>
      <w:r>
        <w:t xml:space="preserve"> (sometimes </w:t>
      </w:r>
      <w:r>
        <w:rPr>
          <w:rStyle w:val="Text4"/>
        </w:rPr>
        <w:t>l10n</w:t>
      </w:r>
      <w:r>
        <w:t xml:space="preserve">). Python supports localization via the standard library module </w:t>
      </w:r>
      <w:r>
        <w:rPr>
          <w:rStyle w:val="Text0"/>
        </w:rPr>
        <w:t>gettext</w:t>
      </w:r>
      <w:r>
        <w:t xml:space="preserve">, inspired by GNU </w:t>
      </w:r>
      <w:r>
        <w:rPr>
          <w:rStyle w:val="Text0"/>
        </w:rPr>
        <w:t>gettext</w:t>
      </w:r>
      <w:r>
        <w:t xml:space="preserve">. The </w:t>
      </w:r>
      <w:r>
        <w:rPr>
          <w:rStyle w:val="Text0"/>
        </w:rPr>
        <w:t>gettext</w:t>
      </w:r>
      <w:r>
        <w:t xml:space="preserve"> module is optionally able to use the latter’s infrastructure and APIs, but also offers a simpler, higher-level approach, so you don’t need to install or study GNU </w:t>
      </w:r>
      <w:r>
        <w:rPr>
          <w:rStyle w:val="Text0"/>
        </w:rPr>
        <w:t>gettext</w:t>
      </w:r>
      <w:r>
        <w:t xml:space="preserve"> to use Python’s </w:t>
      </w:r>
      <w:r>
        <w:rPr>
          <w:rStyle w:val="Text0"/>
        </w:rPr>
        <w:t>gettext</w:t>
      </w:r>
      <w:r>
        <w:t xml:space="preserve"> effectively.</w:t>
      </w:r>
    </w:p>
    <w:p>
      <w:pPr>
        <w:pStyle w:val="Normal"/>
      </w:pPr>
      <w:r>
        <w:t xml:space="preserve">For full coverage of </w:t>
      </w:r>
      <w:r>
        <w:rPr>
          <w:rStyle w:val="Text0"/>
        </w:rPr>
        <w:t>gettext</w:t>
      </w:r>
      <w:r>
        <w:t xml:space="preserve"> from a different perspective, see the </w:t>
      </w:r>
      <w:hyperlink r:id="rId383">
        <w:r>
          <w:rPr>
            <w:rStyle w:val="Text1"/>
          </w:rPr>
          <w:t>online docs</w:t>
        </w:r>
      </w:hyperlink>
      <w:r>
        <w:t>.</w:t>
      </w:r>
    </w:p>
    <w:p>
      <w:bookmarkStart w:id="2900" w:name="Using_gettext_for_localization"/>
      <w:pPr>
        <w:keepNext/>
        <w:pStyle w:val="Heading 2"/>
      </w:pPr>
      <w:r>
        <w:t>Using gettext for localization</w:t>
      </w:r>
      <w:bookmarkEnd w:id="2900"/>
    </w:p>
    <w:p>
      <w:pPr>
        <w:pStyle w:val="Normal"/>
      </w:pPr>
      <w:r>
        <w:rPr>
          <w:rStyle w:val="Text0"/>
        </w:rPr>
        <w:t>gettext</w:t>
      </w:r>
      <w:r>
        <w:t xml:space="preserve"> does not deal with automatic translation between natural languages. Rather, it helps you extract, organize, and access the text messages that your program uses. Pass</w:t>
      </w:r>
      <w:r>
        <w:rPr>
          <w:rStyle w:val="Text111"/>
        </w:rPr>
        <w:bookmarkStart w:id="2901" w:name="idm45965200811408"/>
        <w:t/>
        <w:bookmarkEnd w:id="2901"/>
        <w:bookmarkStart w:id="2902" w:name="idm45965200809792"/>
        <w:t/>
        <w:bookmarkEnd w:id="2902"/>
      </w:r>
      <w:r>
        <w:t xml:space="preserve"> each string literal subject to translation, also known as a </w:t>
      </w:r>
      <w:r>
        <w:rPr>
          <w:rStyle w:val="Text4"/>
        </w:rPr>
        <w:t>message</w:t>
      </w:r>
      <w:r>
        <w:t xml:space="preserve">, to a function named </w:t>
      </w:r>
      <w:r>
        <w:rPr>
          <w:rStyle w:val="Text0"/>
        </w:rPr>
        <w:t>_</w:t>
      </w:r>
      <w:r>
        <w:t xml:space="preserve"> (underscore) rather than using it directly. </w:t>
      </w:r>
      <w:r>
        <w:rPr>
          <w:rStyle w:val="Text0"/>
        </w:rPr>
        <w:t>gettext</w:t>
      </w:r>
      <w:r>
        <w:t xml:space="preserve"> normally installs a function named </w:t>
      </w:r>
      <w:r>
        <w:rPr>
          <w:rStyle w:val="Text0"/>
        </w:rPr>
        <w:t>_</w:t>
      </w:r>
      <w:r>
        <w:t xml:space="preserve"> in the </w:t>
      </w:r>
      <w:r>
        <w:rPr>
          <w:rStyle w:val="Text0"/>
        </w:rPr>
        <w:t>builtins</w:t>
      </w:r>
      <w:r>
        <w:t xml:space="preserve"> module. To ensure that your program runs with or without </w:t>
      </w:r>
      <w:r>
        <w:rPr>
          <w:rStyle w:val="Text0"/>
        </w:rPr>
        <w:t>gettext</w:t>
      </w:r>
      <w:r>
        <w:t xml:space="preserve">, conditionally define a do-nothing function, named </w:t>
      </w:r>
      <w:r>
        <w:rPr>
          <w:rStyle w:val="Text0"/>
        </w:rPr>
        <w:t>_</w:t>
      </w:r>
      <w:r>
        <w:t xml:space="preserve">, that just returns its argument unchanged. Then you can safely use </w:t>
      </w:r>
      <w:r>
        <w:rPr>
          <w:rStyle w:val="Text0"/>
        </w:rPr>
        <w:t>_('</w:t>
      </w:r>
      <w:r>
        <w:rPr>
          <w:rStyle w:val="Text3"/>
        </w:rPr>
        <w:t>message</w:t>
      </w:r>
      <w:r>
        <w:rPr>
          <w:rStyle w:val="Text0"/>
        </w:rPr>
        <w:t>')</w:t>
      </w:r>
      <w:r>
        <w:t xml:space="preserve"> wherever you would normally use a literal </w:t>
      </w:r>
      <w:r>
        <w:rPr>
          <w:rStyle w:val="Text0"/>
        </w:rPr>
        <w:t>'</w:t>
      </w:r>
      <w:r>
        <w:rPr>
          <w:rStyle w:val="Text3"/>
        </w:rPr>
        <w:t>message</w:t>
      </w:r>
      <w:r>
        <w:rPr>
          <w:rStyle w:val="Text0"/>
        </w:rPr>
        <w:t>'</w:t>
      </w:r>
      <w:r>
        <w:t xml:space="preserve"> that should be translated, if feasible. The following example shows how to start a module for conditional use of </w:t>
      </w:r>
      <w:r>
        <w:rPr>
          <w:rStyle w:val="Text0"/>
        </w:rPr>
        <w:t>gettext</w:t>
      </w:r>
      <w:r>
        <w:t>:</w:t>
      </w:r>
    </w:p>
    <w:p>
      <w:pPr>
        <w:pStyle w:val="Para 037"/>
      </w:pPr>
      <w:r>
        <w:rPr>
          <w:rStyle w:val="Text118"/>
        </w:rPr>
        <w:t xml:space="preserve"/>
        <w:br w:clear="none"/>
      </w:r>
      <w:r>
        <w:t xml:space="preserve">try</w:t>
        <w:br w:clear="none"/>
      </w:r>
      <w:r>
        <w:rPr>
          <w:rStyle w:val="Text31"/>
        </w:rPr>
        <w:t xml:space="preserve">:</w:t>
        <w:br w:clear="none"/>
      </w:r>
      <w:r>
        <w:rPr>
          <w:rStyle w:val="Text29"/>
        </w:rPr>
        <w:t xml:space="preserve"/>
        <w:br w:clear="none"/>
        <w:t xml:space="preserve">    </w:t>
        <w:br w:clear="none"/>
      </w:r>
      <w:r>
        <w:rPr>
          <w:rStyle w:val="Text38"/>
        </w:rPr>
        <w:t xml:space="preserve">_</w:t>
        <w:br w:clear="none"/>
      </w:r>
      <w:r>
        <w:rPr>
          <w:rStyle w:val="Text29"/>
        </w:rPr>
        <w:t xml:space="preserve"/>
        <w:br w:clear="none"/>
      </w:r>
      <w:r>
        <w:t xml:space="preserve">except</w:t>
        <w:br w:clear="none"/>
      </w:r>
      <w:r>
        <w:rPr>
          <w:rStyle w:val="Text29"/>
        </w:rPr>
        <w:t xml:space="preserve"> </w:t>
        <w:br w:clear="none"/>
      </w:r>
      <w:r>
        <w:rPr>
          <w:rStyle w:val="Text57"/>
        </w:rPr>
        <w:t xml:space="preserve">NameError</w:t>
        <w:br w:clear="none"/>
      </w:r>
      <w:r>
        <w:rPr>
          <w:rStyle w:val="Text31"/>
        </w:rPr>
        <w:t xml:space="preserve">:</w:t>
        <w:br w:clear="none"/>
      </w:r>
      <w:r>
        <w:rPr>
          <w:rStyle w:val="Text29"/>
        </w:rPr>
        <w:t xml:space="preserve"/>
        <w:br w:clear="none"/>
        <w:t xml:space="preserve">    </w:t>
        <w:br w:clear="none"/>
      </w:r>
      <w:r>
        <w:t xml:space="preserve">def</w:t>
        <w:br w:clear="none"/>
      </w:r>
      <w:r>
        <w:rPr>
          <w:rStyle w:val="Text29"/>
        </w:rPr>
        <w:t xml:space="preserve"> </w:t>
        <w:br w:clear="none"/>
      </w:r>
      <w:r>
        <w:rPr>
          <w:rStyle w:val="Text61"/>
        </w:rPr>
        <w:t xml:space="preserve">_</w:t>
        <w:br w:clear="none"/>
      </w:r>
      <w:r>
        <w:rPr>
          <w:rStyle w:val="Text31"/>
        </w:rPr>
        <w:t xml:space="preserve">(</w:t>
        <w:br w:clear="none"/>
      </w:r>
      <w:r>
        <w:rPr>
          <w:rStyle w:val="Text38"/>
        </w:rPr>
        <w:t xml:space="preserve">s</w:t>
        <w:br w:clear="none"/>
      </w:r>
      <w:r>
        <w:rPr>
          <w:rStyle w:val="Text31"/>
        </w:rPr>
        <w:t xml:space="preserve">)</w:t>
        <w:br w:clear="none"/>
        <w:t xml:space="preserve">:</w:t>
        <w:br w:clear="none"/>
      </w:r>
      <w:r>
        <w:rPr>
          <w:rStyle w:val="Text29"/>
        </w:rPr>
        <w:t xml:space="preserve"> </w:t>
        <w:br w:clear="none"/>
      </w:r>
      <w:r>
        <w:t xml:space="preserve">return</w:t>
        <w:br w:clear="none"/>
      </w:r>
      <w:r>
        <w:rPr>
          <w:rStyle w:val="Text29"/>
        </w:rPr>
        <w:t xml:space="preserve"> </w:t>
        <w:br w:clear="none"/>
      </w:r>
      <w:r>
        <w:rPr>
          <w:rStyle w:val="Text38"/>
        </w:rPr>
        <w:t xml:space="preserve">s</w:t>
        <w:br w:clear="none"/>
      </w:r>
      <w:r>
        <w:rPr>
          <w:rStyle w:val="Text29"/>
        </w:rPr>
        <w:t xml:space="preserve"/>
        <w:br w:clear="none"/>
      </w:r>
      <w:r>
        <w:t xml:space="preserve">def</w:t>
        <w:br w:clear="none"/>
      </w:r>
      <w:r>
        <w:rPr>
          <w:rStyle w:val="Text29"/>
        </w:rPr>
        <w:t xml:space="preserve"> </w:t>
        <w:br w:clear="none"/>
      </w:r>
      <w:r>
        <w:rPr>
          <w:rStyle w:val="Text61"/>
        </w:rPr>
        <w:t xml:space="preserve">greet</w:t>
        <w:br w:clear="none"/>
      </w:r>
      <w:r>
        <w:rPr>
          <w:rStyle w:val="Text31"/>
        </w:rPr>
        <w:t xml:space="preserve">(</w:t>
        <w:br w:clear="none"/>
        <w:t xml:space="preserve">)</w:t>
        <w:br w:clear="none"/>
        <w:t xml:space="preserve">:</w:t>
        <w:br w:clear="none"/>
      </w:r>
      <w:r>
        <w:rPr>
          <w:rStyle w:val="Text29"/>
        </w:rPr>
        <w:t xml:space="preserve"/>
        <w:br w:clear="none"/>
        <w:t xml:space="preserve">    </w:t>
        <w:br w:clear="none"/>
      </w:r>
      <w:r>
        <w:rPr>
          <w:rStyle w:val="Text67"/>
        </w:rPr>
        <w:t xml:space="preserve">print</w:t>
        <w:br w:clear="none"/>
      </w:r>
      <w:r>
        <w:rPr>
          <w:rStyle w:val="Text31"/>
        </w:rPr>
        <w:t xml:space="preserve">(</w:t>
        <w:br w:clear="none"/>
      </w:r>
      <w:r>
        <w:rPr>
          <w:rStyle w:val="Text38"/>
        </w:rPr>
        <w:t xml:space="preserve">_</w:t>
        <w:br w:clear="none"/>
      </w:r>
      <w:r>
        <w:rPr>
          <w:rStyle w:val="Text31"/>
        </w:rPr>
        <w:t xml:space="preserve">(</w:t>
        <w:br w:clear="none"/>
      </w:r>
      <w:r>
        <w:rPr>
          <w:rStyle w:val="Text77"/>
        </w:rPr>
        <w:t xml:space="preserve">'</w:t>
        <w:br w:clear="none"/>
        <w:t xml:space="preserve">Hello world</w:t>
        <w:br w:clear="none"/>
        <w:t xml:space="preserve">'</w:t>
        <w:br w:clear="none"/>
      </w:r>
      <w:r>
        <w:rPr>
          <w:rStyle w:val="Text31"/>
        </w:rPr>
        <w:t xml:space="preserve">)</w:t>
        <w:br w:clear="none"/>
        <w:t xml:space="preserve">)</w:t>
        <w:br w:clear="none"/>
      </w:r>
    </w:p>
    <w:p>
      <w:pPr>
        <w:pStyle w:val="Normal"/>
      </w:pPr>
      <w:r>
        <w:t xml:space="preserve">If some other module has installed </w:t>
      </w:r>
      <w:r>
        <w:rPr>
          <w:rStyle w:val="Text0"/>
        </w:rPr>
        <w:t>gettext</w:t>
      </w:r>
      <w:r>
        <w:t xml:space="preserve"> before you run this example code, the function </w:t>
      </w:r>
      <w:r>
        <w:rPr>
          <w:rStyle w:val="Text0"/>
        </w:rPr>
        <w:t>greet</w:t>
      </w:r>
      <w:r>
        <w:t xml:space="preserve"> outputs a properly localized greeting. Otherwise, </w:t>
      </w:r>
      <w:r>
        <w:rPr>
          <w:rStyle w:val="Text0"/>
        </w:rPr>
        <w:t>greet</w:t>
      </w:r>
      <w:r>
        <w:t xml:space="preserve"> outputs the string </w:t>
      </w:r>
      <w:r>
        <w:rPr>
          <w:rStyle w:val="Text0"/>
        </w:rPr>
        <w:t>'Hello world'</w:t>
      </w:r>
      <w:r>
        <w:t xml:space="preserve"> unchanged.</w:t>
      </w:r>
    </w:p>
    <w:p>
      <w:pPr>
        <w:pStyle w:val="Normal"/>
      </w:pPr>
      <w:r>
        <w:t xml:space="preserve">Edit your source, decorating message literals with the function </w:t>
      </w:r>
      <w:r>
        <w:rPr>
          <w:rStyle w:val="Text0"/>
        </w:rPr>
        <w:t>_</w:t>
      </w:r>
      <w:r>
        <w:t xml:space="preserve">. Then use any of various tools to extract messages into a text file (normally named </w:t>
      </w:r>
      <w:r>
        <w:rPr>
          <w:rStyle w:val="Text4"/>
        </w:rPr>
        <w:t>messages.pot</w:t>
      </w:r>
      <w:r>
        <w:t xml:space="preserve">) and distribute the file to the people who translate messages into the various natural languages your application must support. Python supplies a script </w:t>
      </w:r>
      <w:r>
        <w:rPr>
          <w:rStyle w:val="Text4"/>
        </w:rPr>
        <w:t>pygettext.py</w:t>
      </w:r>
      <w:r>
        <w:t xml:space="preserve"> (in the directory </w:t>
      </w:r>
      <w:r>
        <w:rPr>
          <w:rStyle w:val="Text4"/>
        </w:rPr>
        <w:t>Tools/i18n</w:t>
      </w:r>
      <w:r>
        <w:t xml:space="preserve"> in the Python source distribution) to perform message extraction on your Python sources.</w:t>
      </w:r>
    </w:p>
    <w:p>
      <w:pPr>
        <w:pStyle w:val="Normal"/>
      </w:pPr>
      <w:r>
        <w:t xml:space="preserve">Each translator edits </w:t>
      </w:r>
      <w:r>
        <w:rPr>
          <w:rStyle w:val="Text4"/>
        </w:rPr>
        <w:t>messages.pot</w:t>
      </w:r>
      <w:r>
        <w:t xml:space="preserve"> to produce a text file of translated messages, with extension </w:t>
      </w:r>
      <w:r>
        <w:rPr>
          <w:rStyle w:val="Text4"/>
        </w:rPr>
        <w:t>.po.</w:t>
      </w:r>
      <w:r>
        <w:t xml:space="preserve"> Compile the </w:t>
      </w:r>
      <w:r>
        <w:rPr>
          <w:rStyle w:val="Text4"/>
        </w:rPr>
        <w:t>.po</w:t>
      </w:r>
      <w:r>
        <w:t xml:space="preserve"> files into binary files with extension </w:t>
      </w:r>
      <w:r>
        <w:rPr>
          <w:rStyle w:val="Text4"/>
        </w:rPr>
        <w:t>.mo</w:t>
      </w:r>
      <w:r>
        <w:t xml:space="preserve">, suitable for fast searching, using any of various tools. Python supplies a script </w:t>
      </w:r>
      <w:r>
        <w:rPr>
          <w:rStyle w:val="Text4"/>
        </w:rPr>
        <w:t>msgfmt.py</w:t>
      </w:r>
      <w:r>
        <w:t xml:space="preserve"> (also in </w:t>
      </w:r>
      <w:r>
        <w:rPr>
          <w:rStyle w:val="Text4"/>
        </w:rPr>
        <w:t>Tools/i18n</w:t>
      </w:r>
      <w:r>
        <w:t xml:space="preserve">) for this purpose. Finally, install each </w:t>
      </w:r>
      <w:r>
        <w:rPr>
          <w:rStyle w:val="Text4"/>
        </w:rPr>
        <w:t>.mo</w:t>
      </w:r>
      <w:r>
        <w:t xml:space="preserve"> file with a suitable name in a suitable directory.</w:t>
      </w:r>
    </w:p>
    <w:p>
      <w:pPr>
        <w:pStyle w:val="Normal"/>
      </w:pPr>
      <w:r>
        <w:t xml:space="preserve">Conventions about which directories and names are suitable differ among platforms and applications. </w:t>
      </w:r>
      <w:r>
        <w:rPr>
          <w:rStyle w:val="Text0"/>
        </w:rPr>
        <w:t>gettext</w:t>
      </w:r>
      <w:r>
        <w:t xml:space="preserve">’s default is subdirectory </w:t>
      </w:r>
      <w:r>
        <w:rPr>
          <w:rStyle w:val="Text4"/>
        </w:rPr>
        <w:t>share/locale/&lt;lang&gt;/LC_MESSAGES/</w:t>
      </w:r>
      <w:r>
        <w:t xml:space="preserve"> of directory </w:t>
      </w:r>
      <w:r>
        <w:rPr>
          <w:rStyle w:val="Text4"/>
        </w:rPr>
        <w:t>sys.prefix</w:t>
      </w:r>
      <w:r>
        <w:t xml:space="preserve">, where </w:t>
      </w:r>
      <w:r>
        <w:rPr>
          <w:rStyle w:val="Text4"/>
        </w:rPr>
        <w:t>&lt;lang&gt;</w:t>
      </w:r>
      <w:r>
        <w:t xml:space="preserve"> is the language’s code (two letters). Each file is named </w:t>
      </w:r>
      <w:r>
        <w:rPr>
          <w:rStyle w:val="Text4"/>
        </w:rPr>
        <w:t>&lt;name&gt;.mo</w:t>
      </w:r>
      <w:r>
        <w:t xml:space="preserve">, where </w:t>
      </w:r>
      <w:r>
        <w:rPr>
          <w:rStyle w:val="Text4"/>
        </w:rPr>
        <w:t>&lt;name&gt;</w:t>
      </w:r>
      <w:r>
        <w:t xml:space="preserve"> is the name of your application or package.</w:t>
      </w:r>
    </w:p>
    <w:p>
      <w:pPr>
        <w:pStyle w:val="Normal"/>
      </w:pPr>
      <w:r>
        <w:t xml:space="preserve">Once you have prepared and installed your </w:t>
      </w:r>
      <w:r>
        <w:rPr>
          <w:rStyle w:val="Text4"/>
        </w:rPr>
        <w:t>.mo</w:t>
      </w:r>
      <w:r>
        <w:t xml:space="preserve"> files, you normally execute, at the time your application starts up, some code such as the following:</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os</w:t>
        <w:br w:clear="none"/>
      </w:r>
      <w:r>
        <w:rPr>
          <w:rStyle w:val="Text13"/>
        </w:rPr>
        <w:t xml:space="preserve">,</w:t>
        <w:br w:clear="none"/>
      </w:r>
      <w:r>
        <w:rPr>
          <w:rStyle w:val="Text6"/>
        </w:rPr>
        <w:t xml:space="preserve"> </w:t>
        <w:br w:clear="none"/>
      </w:r>
      <w:r>
        <w:rPr>
          <w:rStyle w:val="Text20"/>
        </w:rPr>
        <w:t xml:space="preserve">gettext</w:t>
        <w:br w:clear="none"/>
      </w:r>
      <w:r>
        <w:rPr>
          <w:rStyle w:val="Text6"/>
        </w:rPr>
        <w:t xml:space="preserve"/>
        <w:br w:clear="none"/>
      </w:r>
      <w:r>
        <w:t xml:space="preserve">os</w:t>
        <w:br w:clear="none"/>
      </w:r>
      <w:r>
        <w:rPr>
          <w:rStyle w:val="Text13"/>
        </w:rPr>
        <w:t xml:space="preserve">.</w:t>
        <w:br w:clear="none"/>
      </w:r>
      <w:r>
        <w:t xml:space="preserve">environ</w:t>
        <w:br w:clear="none"/>
      </w:r>
      <w:r>
        <w:rPr>
          <w:rStyle w:val="Text13"/>
        </w:rPr>
        <w:t xml:space="preserve">.</w:t>
        <w:br w:clear="none"/>
      </w:r>
      <w:r>
        <w:t xml:space="preserve">setdefault</w:t>
        <w:br w:clear="none"/>
      </w:r>
      <w:r>
        <w:rPr>
          <w:rStyle w:val="Text7"/>
        </w:rPr>
        <w:t xml:space="preserve">(</w:t>
        <w:br w:clear="none"/>
      </w:r>
      <w:r>
        <w:rPr>
          <w:rStyle w:val="Text8"/>
        </w:rPr>
        <w:t xml:space="preserve">'</w:t>
        <w:br w:clear="none"/>
        <w:t xml:space="preserve">LANG</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en</w:t>
        <w:br w:clear="none"/>
        <w:t xml:space="preserve">'</w:t>
        <w:br w:clear="none"/>
      </w:r>
      <w:r>
        <w:rPr>
          <w:rStyle w:val="Text7"/>
        </w:rPr>
        <w:t xml:space="preserve">)</w:t>
        <w:br w:clear="none"/>
      </w:r>
      <w:r>
        <w:rPr>
          <w:rStyle w:val="Text6"/>
        </w:rPr>
        <w:t xml:space="preserve">  </w:t>
        <w:br w:clear="none"/>
      </w:r>
      <w:r>
        <w:rPr>
          <w:rStyle w:val="Text15"/>
        </w:rPr>
        <w:t xml:space="preserve"># application-default</w:t>
        <w:br w:clear="none"/>
      </w:r>
      <w:r>
        <w:rPr>
          <w:rStyle w:val="Text26"/>
        </w:rPr>
        <w:t xml:space="preserve"> </w:t>
        <w:br w:clear="none"/>
      </w:r>
      <w:r>
        <w:rPr>
          <w:rStyle w:val="Text15"/>
        </w:rPr>
        <w:t xml:space="preserve">language</w:t>
        <w:br w:clear="none"/>
      </w:r>
      <w:r>
        <w:rPr>
          <w:rStyle w:val="Text6"/>
        </w:rPr>
        <w:t xml:space="preserve"/>
        <w:br w:clear="none"/>
      </w:r>
      <w:r>
        <w:t xml:space="preserve">gettext</w:t>
        <w:br w:clear="none"/>
      </w:r>
      <w:r>
        <w:rPr>
          <w:rStyle w:val="Text13"/>
        </w:rPr>
        <w:t xml:space="preserve">.</w:t>
        <w:br w:clear="none"/>
      </w:r>
      <w:r>
        <w:t xml:space="preserve">install</w:t>
        <w:br w:clear="none"/>
      </w:r>
      <w:r>
        <w:rPr>
          <w:rStyle w:val="Text7"/>
        </w:rPr>
        <w:t xml:space="preserve">(</w:t>
        <w:br w:clear="none"/>
      </w:r>
      <w:r>
        <w:rPr>
          <w:rStyle w:val="Text8"/>
        </w:rPr>
        <w:t xml:space="preserve">'</w:t>
        <w:br w:clear="none"/>
        <w:t xml:space="preserve">your_application_name</w:t>
        <w:br w:clear="none"/>
        <w:t xml:space="preserve">'</w:t>
        <w:br w:clear="none"/>
      </w:r>
      <w:r>
        <w:rPr>
          <w:rStyle w:val="Text7"/>
        </w:rPr>
        <w:t xml:space="preserve">)</w:t>
        <w:br w:clear="none"/>
      </w:r>
    </w:p>
    <w:p>
      <w:pPr>
        <w:pStyle w:val="Normal"/>
      </w:pPr>
      <w:r>
        <w:t xml:space="preserve">This ensures that calls such as </w:t>
      </w:r>
      <w:r>
        <w:rPr>
          <w:rStyle w:val="Text0"/>
        </w:rPr>
        <w:t>_('message')</w:t>
      </w:r>
      <w:r>
        <w:t xml:space="preserve"> return the appropriate translated strings. You can choose different ways to access </w:t>
      </w:r>
      <w:r>
        <w:rPr>
          <w:rStyle w:val="Text0"/>
        </w:rPr>
        <w:t>gettext</w:t>
      </w:r>
      <w:r>
        <w:t xml:space="preserve"> functionality in your program; for example, if you also need to localize C-coded extensions, or to switch between languages during a run. Another important consideration is whether you’re localizing a whole application, or just a package that is distributed separately.</w:t>
      </w:r>
    </w:p>
    <w:p>
      <w:bookmarkStart w:id="2903" w:name="Essential_gettext_functions__get"/>
      <w:pPr>
        <w:keepNext/>
        <w:pStyle w:val="Heading 2"/>
      </w:pPr>
      <w:r>
        <w:t>Essential gettext functions</w:t>
      </w:r>
      <w:bookmarkEnd w:id="2903"/>
    </w:p>
    <w:p>
      <w:pPr>
        <w:pStyle w:val="Normal"/>
      </w:pPr>
      <w:r>
        <w:rPr>
          <w:rStyle w:val="Text0"/>
        </w:rPr>
        <w:t>gettext</w:t>
      </w:r>
      <w:r>
        <w:t xml:space="preserve"> supplies many functions. The most often used functions are listed in </w:t>
      </w:r>
      <w:hyperlink w:anchor="Table_11_38__Useful_functions_of">
        <w:r>
          <w:rPr>
            <w:rStyle w:val="Text1"/>
          </w:rPr>
          <w:t>Table 11-38</w:t>
        </w:r>
      </w:hyperlink>
      <w:r>
        <w:t xml:space="preserve">; see the </w:t>
      </w:r>
      <w:hyperlink r:id="rId384">
        <w:r>
          <w:rPr>
            <w:rStyle w:val="Text1"/>
          </w:rPr>
          <w:t>online docs</w:t>
        </w:r>
      </w:hyperlink>
      <w:r>
        <w:t xml:space="preserve"> for a complete list.</w:t>
      </w:r>
    </w:p>
    <w:tbl>
      <w:tblPr>
        <w:tblW w:type="auto" w:w="0"/>
      </w:tblPr>
      <w:tr>
        <w:tc>
          <w:tcPr>
            <w:tcW w:type="auto" w:w="0"/>
            <w:tcMar>
              <w:left w:type="dxa" w:w="200"/>
              <w:top w:type="dxa" w:w="200"/>
              <w:right w:type="dxa" w:w="200"/>
              <w:bottom w:type="dxa" w:w="200"/>
            </w:tcMar>
          </w:tcPr>
          <w:p>
            <w:bookmarkStart w:id="2904" w:name="Table_11_38__Useful_functions_of"/>
            <w:pPr>
              <w:pStyle w:val="Para 011"/>
            </w:pPr>
            <w:r>
              <w:rPr>
                <w:rStyle w:val="Text117"/>
              </w:rPr>
              <w:t/>
            </w:r>
            <w:r>
              <w:t xml:space="preserve">Table 11-38. </w:t>
              <w:t xml:space="preserve">Useful functions of the </w:t>
            </w:r>
            <w:r>
              <w:rPr>
                <w:rStyle w:val="Text0"/>
              </w:rPr>
              <w:t>gettext</w:t>
            </w:r>
            <w:r>
              <w:t xml:space="preserve"> module</w:t>
            </w:r>
            <w:bookmarkEnd w:id="2904"/>
          </w:p>
          <w:p>
            <w:pPr>
              <w:pStyle w:val="Para 001"/>
            </w:pPr>
            <w:r>
              <w:t>install</w:t>
            </w:r>
          </w:p>
        </w:tc>
        <w:tc>
          <w:tcPr>
            <w:tcW w:type="auto" w:w="0"/>
            <w:tcMar>
              <w:left w:type="dxa" w:w="200"/>
              <w:top w:type="dxa" w:w="200"/>
              <w:right w:type="dxa" w:w="200"/>
              <w:bottom w:type="dxa" w:w="200"/>
            </w:tcMar>
          </w:tcPr>
          <w:p>
            <w:pPr>
              <w:pStyle w:val="Para 002"/>
            </w:pPr>
            <w:r>
              <w:rPr>
                <w:rStyle w:val="Text0"/>
              </w:rPr>
              <w:t>install(</w:t>
            </w:r>
            <w:r>
              <w:rPr>
                <w:rStyle w:val="Text3"/>
              </w:rPr>
              <w:t>domain</w:t>
            </w:r>
            <w:r>
              <w:rPr>
                <w:rStyle w:val="Text0"/>
              </w:rPr>
              <w:t>, localedir=</w:t>
            </w:r>
            <w:r>
              <w:rPr>
                <w:rStyle w:val="Text5"/>
              </w:rPr>
              <w:t>None</w:t>
            </w:r>
            <w:r>
              <w:rPr>
                <w:rStyle w:val="Text0"/>
              </w:rPr>
              <w:t>, names=</w:t>
            </w:r>
            <w:r>
              <w:rPr>
                <w:rStyle w:val="Text5"/>
              </w:rPr>
              <w:t>None</w:t>
            </w:r>
            <w:r>
              <w:rPr>
                <w:rStyle w:val="Text0"/>
              </w:rPr>
              <w:t>)</w:t>
              <w:br w:clear="none"/>
            </w:r>
            <w:r>
              <w:t xml:space="preserve"> Installs in Python’s built-in namespace a function named </w:t>
            </w:r>
            <w:r>
              <w:rPr>
                <w:rStyle w:val="Text0"/>
              </w:rPr>
              <w:t>_</w:t>
            </w:r>
            <w:r>
              <w:t xml:space="preserve"> to perform translations given in the file </w:t>
            </w:r>
            <w:r>
              <w:rPr>
                <w:rStyle w:val="Text4"/>
              </w:rPr>
              <w:t>&lt;lang&gt;/LC_MESSAGES/&lt;domain&gt;.mo</w:t>
            </w:r>
            <w:r>
              <w:t xml:space="preserve"> in the directory </w:t>
            </w:r>
            <w:r>
              <w:rPr>
                <w:rStyle w:val="Text0"/>
              </w:rPr>
              <w:t>localedir</w:t>
            </w:r>
            <w:r>
              <w:t xml:space="preserve">, with language code </w:t>
            </w:r>
            <w:r>
              <w:rPr>
                <w:rStyle w:val="Text4"/>
              </w:rPr>
              <w:t>&lt;lang&gt;</w:t>
            </w:r>
            <w:r>
              <w:t xml:space="preserve"> as per </w:t>
            </w:r>
            <w:r>
              <w:rPr>
                <w:rStyle w:val="Text0"/>
              </w:rPr>
              <w:t>getdefaultlocale</w:t>
            </w:r>
            <w:r>
              <w:t xml:space="preserve">. When </w:t>
            </w:r>
            <w:r>
              <w:rPr>
                <w:rStyle w:val="Text0"/>
              </w:rPr>
              <w:t>localedir</w:t>
            </w:r>
            <w:r>
              <w:t xml:space="preserve"> is </w:t>
            </w:r>
            <w:r>
              <w:rPr>
                <w:rStyle w:val="Text5"/>
              </w:rPr>
              <w:t>None</w:t>
            </w:r>
            <w:r>
              <w:t xml:space="preserve">, </w:t>
            </w:r>
            <w:r>
              <w:rPr>
                <w:rStyle w:val="Text0"/>
              </w:rPr>
              <w:t>install</w:t>
            </w:r>
            <w:r>
              <w:t xml:space="preserve"> uses the directory </w:t>
            </w:r>
            <w:r>
              <w:rPr>
                <w:rStyle w:val="Text0"/>
              </w:rPr>
              <w:t>os.path.join(sys.prefix, 'share', 'locale')</w:t>
            </w:r>
            <w:r>
              <w:t xml:space="preserve">. When </w:t>
            </w:r>
            <w:r>
              <w:rPr>
                <w:rStyle w:val="Text0"/>
              </w:rPr>
              <w:t>names</w:t>
            </w:r>
            <w:r>
              <w:t xml:space="preserve"> is provided, it must be a sequence containing the names of functions you want to install in the </w:t>
            </w:r>
            <w:r>
              <w:rPr>
                <w:rStyle w:val="Text0"/>
              </w:rPr>
              <w:t>builtins</w:t>
            </w:r>
            <w:r>
              <w:t xml:space="preserve"> namespace in addition to </w:t>
            </w:r>
            <w:r>
              <w:rPr>
                <w:rStyle w:val="Text0"/>
              </w:rPr>
              <w:t>_</w:t>
            </w:r>
            <w:r>
              <w:t xml:space="preserve">. Supported names are </w:t>
            </w:r>
            <w:r>
              <w:rPr>
                <w:rStyle w:val="Text0"/>
              </w:rPr>
              <w:t>'gettext'</w:t>
            </w:r>
            <w:r>
              <w:t xml:space="preserve">, </w:t>
            </w:r>
            <w:r>
              <w:rPr>
                <w:rStyle w:val="Text0"/>
              </w:rPr>
              <w:t>'lgettext'</w:t>
            </w:r>
            <w:r>
              <w:t xml:space="preserve">, </w:t>
            </w:r>
            <w:r>
              <w:rPr>
                <w:rStyle w:val="Text0"/>
              </w:rPr>
              <w:t>'lngettext'</w:t>
            </w:r>
            <w:r>
              <w:t xml:space="preserve">, </w:t>
            </w:r>
            <w:r>
              <w:rPr>
                <w:rStyle w:val="Text0"/>
              </w:rPr>
              <w:t>'ngettext'</w:t>
            </w:r>
            <w:r>
              <w:t xml:space="preserve">, </w:t>
            </w:r>
            <w:r>
              <w:rPr>
                <w:rStyle w:val="Text34"/>
              </w:rPr>
              <w:t>3.8+</w:t>
            </w:r>
            <w:r>
              <w:t xml:space="preserve"> </w:t>
            </w:r>
            <w:r>
              <w:rPr>
                <w:rStyle w:val="Text0"/>
              </w:rPr>
              <w:t>'npgettext'</w:t>
            </w:r>
            <w:r>
              <w:t xml:space="preserve">, and </w:t>
            </w:r>
            <w:r>
              <w:rPr>
                <w:rStyle w:val="Text34"/>
              </w:rPr>
              <w:t>3.8+</w:t>
            </w:r>
            <w:r>
              <w:t xml:space="preserve"> </w:t>
            </w:r>
            <w:r>
              <w:rPr>
                <w:rStyle w:val="Text0"/>
              </w:rPr>
              <w:t>'pgettext'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translation</w:t>
            </w:r>
          </w:p>
        </w:tc>
        <w:tc>
          <w:tcPr>
            <w:tcW w:type="auto" w:w="0"/>
            <w:shd w:val="clear" w:color="auto" w:fill="EEF2F6"/>
            <w:tcMar>
              <w:left w:type="dxa" w:w="200"/>
              <w:top w:type="dxa" w:w="200"/>
              <w:right w:type="dxa" w:w="200"/>
              <w:bottom w:type="dxa" w:w="200"/>
            </w:tcMar>
          </w:tcPr>
          <w:p>
            <w:pPr>
              <w:pStyle w:val="Para 002"/>
            </w:pPr>
            <w:r>
              <w:rPr>
                <w:rStyle w:val="Text0"/>
              </w:rPr>
              <w:t>translation(</w:t>
            </w:r>
            <w:r>
              <w:rPr>
                <w:rStyle w:val="Text3"/>
              </w:rPr>
              <w:t>domain</w:t>
            </w:r>
            <w:r>
              <w:rPr>
                <w:rStyle w:val="Text0"/>
              </w:rPr>
              <w:t>, localedir=</w:t>
            </w:r>
            <w:r>
              <w:rPr>
                <w:rStyle w:val="Text5"/>
              </w:rPr>
              <w:t>None</w:t>
            </w:r>
            <w:r>
              <w:rPr>
                <w:rStyle w:val="Text0"/>
              </w:rPr>
              <w:t>, languages=</w:t>
            </w:r>
            <w:r>
              <w:rPr>
                <w:rStyle w:val="Text5"/>
              </w:rPr>
              <w:t>None</w:t>
            </w:r>
            <w:r>
              <w:rPr>
                <w:rStyle w:val="Text0"/>
              </w:rPr>
              <w:t>, class_=</w:t>
            </w:r>
            <w:r>
              <w:rPr>
                <w:rStyle w:val="Text5"/>
              </w:rPr>
              <w:t>None</w:t>
            </w:r>
            <w:r>
              <w:rPr>
                <w:rStyle w:val="Text0"/>
              </w:rPr>
              <w:t>, fallback=</w:t>
            </w:r>
            <w:r>
              <w:rPr>
                <w:rStyle w:val="Text5"/>
              </w:rPr>
              <w:t>False</w:t>
            </w:r>
            <w:r>
              <w:rPr>
                <w:rStyle w:val="Text0"/>
              </w:rPr>
              <w:t>)</w:t>
              <w:br w:clear="none"/>
            </w:r>
            <w:r>
              <w:t xml:space="preserve"> Searches for a </w:t>
            </w:r>
            <w:r>
              <w:rPr>
                <w:rStyle w:val="Text4"/>
              </w:rPr>
              <w:t>.mo</w:t>
            </w:r>
            <w:r>
              <w:t xml:space="preserve"> file, like the </w:t>
            </w:r>
            <w:r>
              <w:rPr>
                <w:rStyle w:val="Text0"/>
              </w:rPr>
              <w:t>install</w:t>
            </w:r>
            <w:r>
              <w:t xml:space="preserve"> function; if it finds multiple files, </w:t>
            </w:r>
            <w:r>
              <w:rPr>
                <w:rStyle w:val="Text0"/>
              </w:rPr>
              <w:t>translation</w:t>
            </w:r>
            <w:r>
              <w:t xml:space="preserve"> uses later files as fallbacks for earlier ones. Set </w:t>
            </w:r>
            <w:r>
              <w:rPr>
                <w:rStyle w:val="Text0"/>
              </w:rPr>
              <w:t>fallback</w:t>
            </w:r>
            <w:r>
              <w:t xml:space="preserve"> to </w:t>
            </w:r>
            <w:r>
              <w:rPr>
                <w:rStyle w:val="Text5"/>
              </w:rPr>
              <w:t>True</w:t>
            </w:r>
            <w:r>
              <w:t xml:space="preserve"> to return a </w:t>
            </w:r>
            <w:r>
              <w:rPr>
                <w:rStyle w:val="Text0"/>
              </w:rPr>
              <w:t>NullTranslations</w:t>
            </w:r>
            <w:r>
              <w:t xml:space="preserve"> instance; otherwise, the function raises </w:t>
            </w:r>
            <w:r>
              <w:rPr>
                <w:rStyle w:val="Text0"/>
              </w:rPr>
              <w:t>OSError</w:t>
            </w:r>
            <w:r>
              <w:t xml:space="preserve"> when it doesn’t find any </w:t>
            </w:r>
            <w:r>
              <w:rPr>
                <w:rStyle w:val="Text4"/>
              </w:rPr>
              <w:t>.mo</w:t>
            </w:r>
            <w:r>
              <w:t xml:space="preserve"> file.</w:t>
              <w:br w:clear="none"/>
              <w:t xml:space="preserve"> When </w:t>
            </w:r>
            <w:r>
              <w:rPr>
                <w:rStyle w:val="Text0"/>
              </w:rPr>
              <w:t>languages</w:t>
            </w:r>
            <w:r>
              <w:t xml:space="preserve"> is </w:t>
            </w:r>
            <w:r>
              <w:rPr>
                <w:rStyle w:val="Text5"/>
              </w:rPr>
              <w:t>None</w:t>
            </w:r>
            <w:r>
              <w:t xml:space="preserve">, </w:t>
            </w:r>
            <w:r>
              <w:rPr>
                <w:rStyle w:val="Text0"/>
              </w:rPr>
              <w:t>translation</w:t>
            </w:r>
            <w:r>
              <w:t xml:space="preserve"> looks in the environment for the </w:t>
            </w:r>
            <w:r>
              <w:rPr>
                <w:rStyle w:val="Text4"/>
              </w:rPr>
              <w:t>&lt;lang&gt;</w:t>
            </w:r>
            <w:r>
              <w:t xml:space="preserve"> to use, like </w:t>
            </w:r>
            <w:r>
              <w:rPr>
                <w:rStyle w:val="Text0"/>
              </w:rPr>
              <w:t>install</w:t>
            </w:r>
            <w:r>
              <w:t xml:space="preserve">. It examines, in order, the environment variables </w:t>
            </w:r>
            <w:r>
              <w:rPr>
                <w:rStyle w:val="Text0"/>
              </w:rPr>
              <w:t>LANGUAGE</w:t>
            </w:r>
            <w:r>
              <w:t xml:space="preserve">, </w:t>
            </w:r>
            <w:r>
              <w:rPr>
                <w:rStyle w:val="Text0"/>
              </w:rPr>
              <w:t>LC_ALL</w:t>
            </w:r>
            <w:r>
              <w:t xml:space="preserve">, </w:t>
            </w:r>
            <w:r>
              <w:rPr>
                <w:rStyle w:val="Text0"/>
              </w:rPr>
              <w:t>LC_MESSAGES</w:t>
            </w:r>
            <w:r>
              <w:t xml:space="preserve">, and </w:t>
            </w:r>
            <w:r>
              <w:rPr>
                <w:rStyle w:val="Text0"/>
              </w:rPr>
              <w:t>LANG</w:t>
            </w:r>
            <w:r>
              <w:t xml:space="preserve">, and splits the first nonempty one on </w:t>
            </w:r>
            <w:r>
              <w:rPr>
                <w:rStyle w:val="Text0"/>
              </w:rPr>
              <w:t>':'</w:t>
            </w:r>
            <w:r>
              <w:t xml:space="preserve"> to give a list of language names (for example, it splits </w:t>
            </w:r>
            <w:r>
              <w:rPr>
                <w:rStyle w:val="Text0"/>
              </w:rPr>
              <w:t>'de:en'</w:t>
            </w:r>
            <w:r>
              <w:t xml:space="preserve"> into </w:t>
            </w:r>
            <w:r>
              <w:rPr>
                <w:rStyle w:val="Text0"/>
              </w:rPr>
              <w:t>['de', 'en']</w:t>
            </w:r>
            <w:r>
              <w:t xml:space="preserve">). When not </w:t>
            </w:r>
            <w:r>
              <w:rPr>
                <w:rStyle w:val="Text5"/>
              </w:rPr>
              <w:t>None</w:t>
            </w:r>
            <w:r>
              <w:t xml:space="preserve">, </w:t>
            </w:r>
            <w:r>
              <w:rPr>
                <w:rStyle w:val="Text0"/>
              </w:rPr>
              <w:t>languages</w:t>
            </w:r>
            <w:r>
              <w:t xml:space="preserve"> must be a list of one or more language names (for example, </w:t>
            </w:r>
            <w:r>
              <w:rPr>
                <w:rStyle w:val="Text0"/>
              </w:rPr>
              <w:t>['de', 'en']</w:t>
            </w:r>
            <w:r>
              <w:t xml:space="preserve">). </w:t>
            </w:r>
            <w:r>
              <w:rPr>
                <w:rStyle w:val="Text0"/>
              </w:rPr>
              <w:t>translation</w:t>
            </w:r>
            <w:r>
              <w:t xml:space="preserve"> uses the first language name in the list for which it finds a </w:t>
            </w:r>
            <w:r>
              <w:rPr>
                <w:rStyle w:val="Text4"/>
              </w:rPr>
              <w:t>.mo</w:t>
            </w:r>
            <w:r>
              <w:t xml:space="preserve"> file.</w:t>
            </w:r>
          </w:p>
        </w:tc>
      </w:tr>
    </w:tbl>
    <w:tbl>
      <w:tblPr>
        <w:tblW w:type="auto" w:w="0"/>
      </w:tblPr>
      <w:tr>
        <w:tc>
          <w:tcPr>
            <w:tcW w:type="auto" w:w="0"/>
            <w:tcMar>
              <w:left w:type="dxa" w:w="200"/>
              <w:top w:type="dxa" w:w="200"/>
              <w:right w:type="dxa" w:w="200"/>
              <w:bottom w:type="dxa" w:w="200"/>
            </w:tcMar>
          </w:tcPr>
          <w:p>
            <w:pPr>
              <w:pStyle w:val="Para 001"/>
            </w:pPr>
            <w:r>
              <w:t>translation</w:t>
              <w:br w:clear="none"/>
            </w:r>
            <w:r>
              <w:rPr>
                <w:rStyle w:val="Text12"/>
              </w:rPr>
              <w:t xml:space="preserve"> </w:t>
            </w:r>
            <w:r>
              <w:rPr>
                <w:rStyle w:val="Text47"/>
              </w:rPr>
              <w:t>(cont.)</w:t>
            </w:r>
          </w:p>
        </w:tc>
        <w:tc>
          <w:tcPr>
            <w:tcW w:type="auto" w:w="0"/>
            <w:tcMar>
              <w:left w:type="dxa" w:w="200"/>
              <w:top w:type="dxa" w:w="200"/>
              <w:right w:type="dxa" w:w="200"/>
              <w:bottom w:type="dxa" w:w="200"/>
            </w:tcMar>
          </w:tcPr>
          <w:p>
            <w:pPr>
              <w:pStyle w:val="Para 002"/>
            </w:pPr>
            <w:r>
              <w:rPr>
                <w:rStyle w:val="Text0"/>
              </w:rPr>
              <w:t>translation</w:t>
            </w:r>
            <w:r>
              <w:t xml:space="preserve"> returns an instance object of a translation class (by default, </w:t>
            </w:r>
            <w:r>
              <w:rPr>
                <w:rStyle w:val="Text0"/>
              </w:rPr>
              <w:t>GNUTranslations</w:t>
            </w:r>
            <w:r>
              <w:t xml:space="preserve">; if present, the class’s constructor must take a single file object argument) that supplies the methods </w:t>
            </w:r>
            <w:r>
              <w:rPr>
                <w:rStyle w:val="Text0"/>
              </w:rPr>
              <w:t>gettext</w:t>
            </w:r>
            <w:r>
              <w:t xml:space="preserve"> (to translate a </w:t>
            </w:r>
            <w:r>
              <w:rPr>
                <w:rStyle w:val="Text0"/>
              </w:rPr>
              <w:t>str</w:t>
            </w:r>
            <w:r>
              <w:t xml:space="preserve">) and </w:t>
            </w:r>
            <w:r>
              <w:rPr>
                <w:rStyle w:val="Text0"/>
              </w:rPr>
              <w:t>install</w:t>
            </w:r>
            <w:r>
              <w:t xml:space="preserve"> (to install </w:t>
            </w:r>
            <w:r>
              <w:rPr>
                <w:rStyle w:val="Text0"/>
              </w:rPr>
              <w:t>gettext</w:t>
            </w:r>
            <w:r>
              <w:t xml:space="preserve"> under the name </w:t>
            </w:r>
            <w:r>
              <w:rPr>
                <w:rStyle w:val="Text0"/>
              </w:rPr>
              <w:t>_</w:t>
            </w:r>
            <w:r>
              <w:t xml:space="preserve"> in Python’s </w:t>
            </w:r>
            <w:r>
              <w:rPr>
                <w:rStyle w:val="Text0"/>
              </w:rPr>
              <w:t>builtins</w:t>
            </w:r>
            <w:r>
              <w:t xml:space="preserve"> namespace).</w:t>
              <w:br w:clear="none"/>
              <w:t xml:space="preserve"> </w:t>
            </w:r>
            <w:r>
              <w:rPr>
                <w:rStyle w:val="Text0"/>
              </w:rPr>
              <w:t>translation</w:t>
            </w:r>
            <w:r>
              <w:t xml:space="preserve"> offers more detailed control than </w:t>
            </w:r>
            <w:r>
              <w:rPr>
                <w:rStyle w:val="Text0"/>
              </w:rPr>
              <w:t>install</w:t>
            </w:r>
            <w:r>
              <w:t xml:space="preserve">, which is like </w:t>
            </w:r>
            <w:r>
              <w:rPr>
                <w:rStyle w:val="Text0"/>
              </w:rPr>
              <w:t>translation(</w:t>
            </w:r>
            <w:r>
              <w:rPr>
                <w:rStyle w:val="Text3"/>
              </w:rPr>
              <w:t>domain</w:t>
            </w:r>
            <w:r>
              <w:rPr>
                <w:rStyle w:val="Text0"/>
              </w:rPr>
              <w:t>,</w:t>
            </w:r>
            <w:r>
              <w:t xml:space="preserve"> </w:t>
            </w:r>
            <w:r>
              <w:rPr>
                <w:rStyle w:val="Text3"/>
              </w:rPr>
              <w:t>localedir</w:t>
            </w:r>
            <w:r>
              <w:rPr>
                <w:rStyle w:val="Text0"/>
              </w:rPr>
              <w:t>).install(</w:t>
            </w:r>
            <w:r>
              <w:rPr>
                <w:rStyle w:val="Text3"/>
              </w:rPr>
              <w:t>unicode</w:t>
            </w:r>
            <w:r>
              <w:rPr>
                <w:rStyle w:val="Text0"/>
              </w:rPr>
              <w:t>)</w:t>
            </w:r>
            <w:r>
              <w:t xml:space="preserve">. With </w:t>
            </w:r>
            <w:r>
              <w:rPr>
                <w:rStyle w:val="Text0"/>
              </w:rPr>
              <w:t>translation</w:t>
            </w:r>
            <w:r>
              <w:t xml:space="preserve">, you can localize a single package without affecting the built-in namespace, by binding the name </w:t>
            </w:r>
            <w:r>
              <w:rPr>
                <w:rStyle w:val="Text0"/>
              </w:rPr>
              <w:t>_</w:t>
            </w:r>
            <w:r>
              <w:t xml:space="preserve"> on a per-module basis—for</w:t>
            </w:r>
            <w:r>
              <w:rPr>
                <w:rStyle w:val="Text111"/>
              </w:rPr>
              <w:bookmarkStart w:id="2905" w:name="idm45965200611600"/>
              <w:t/>
              <w:bookmarkEnd w:id="2905"/>
              <w:bookmarkStart w:id="2906" w:name="idm45965200610224"/>
              <w:t/>
              <w:bookmarkEnd w:id="2906"/>
              <w:bookmarkStart w:id="2907" w:name="idm45965200608848"/>
              <w:t/>
              <w:bookmarkEnd w:id="2907"/>
              <w:bookmarkStart w:id="2908" w:name="idm45965200607472"/>
              <w:t/>
              <w:bookmarkEnd w:id="2908"/>
            </w:r>
            <w:r>
              <w:t xml:space="preserve"> example, with: </w:t>
            </w:r>
          </w:p>
          <w:p>
            <w:pPr>
              <w:pStyle w:val="Para 025"/>
            </w:pPr>
            <w:r>
              <w:rPr>
                <w:rStyle w:val="Text23"/>
              </w:rPr>
              <w:t xml:space="preserve"/>
              <w:br w:clear="none"/>
            </w:r>
            <w:r>
              <w:t xml:space="preserve">_</w:t>
              <w:br w:clear="none"/>
            </w:r>
            <w:r>
              <w:rPr>
                <w:rStyle w:val="Text6"/>
              </w:rPr>
              <w:t xml:space="preserve"> </w:t>
              <w:br w:clear="none"/>
            </w:r>
            <w:r>
              <w:rPr>
                <w:rStyle w:val="Text13"/>
              </w:rPr>
              <w:t xml:space="preserve">=</w:t>
              <w:br w:clear="none"/>
            </w:r>
            <w:r>
              <w:rPr>
                <w:rStyle w:val="Text6"/>
              </w:rPr>
              <w:t xml:space="preserve"> </w:t>
              <w:br w:clear="none"/>
            </w:r>
            <w:r>
              <w:t xml:space="preserve">translation</w:t>
              <w:br w:clear="none"/>
            </w:r>
            <w:r>
              <w:rPr>
                <w:rStyle w:val="Text7"/>
              </w:rPr>
              <w:t xml:space="preserve">(</w:t>
              <w:br w:clear="none"/>
            </w:r>
            <w:r>
              <w:rPr>
                <w:rStyle w:val="Text4"/>
              </w:rPr>
              <w:t xml:space="preserve">domain</w:t>
              <w:br w:clear="none"/>
            </w:r>
            <w:r>
              <w:rPr>
                <w:rStyle w:val="Text7"/>
              </w:rPr>
              <w:t xml:space="preserve">)</w:t>
              <w:br w:clear="none"/>
            </w:r>
            <w:r>
              <w:rPr>
                <w:rStyle w:val="Text13"/>
              </w:rPr>
              <w:t xml:space="preserve">.</w:t>
              <w:br w:clear="none"/>
            </w:r>
            <w:r>
              <w:t xml:space="preserve">ugettext</w:t>
              <w:br w:clear="none"/>
            </w:r>
          </w:p>
        </w:tc>
      </w:tr>
    </w:tbl>
    <w:p>
      <w:bookmarkStart w:id="2909" w:name="More_Internationalization_Resour"/>
      <w:pPr>
        <w:keepNext/>
        <w:pStyle w:val="Heading 2"/>
      </w:pPr>
      <w:r>
        <w:t>More Internationalization Resources</w:t>
      </w:r>
      <w:bookmarkEnd w:id="2909"/>
    </w:p>
    <w:p>
      <w:pPr>
        <w:pStyle w:val="Normal"/>
      </w:pPr>
      <w:r>
        <w:t xml:space="preserve">Internationalization is a very large topic. For a general introduction, see </w:t>
      </w:r>
      <w:hyperlink r:id="rId385">
        <w:r>
          <w:rPr>
            <w:rStyle w:val="Text1"/>
          </w:rPr>
          <w:t>Wikipedia</w:t>
        </w:r>
      </w:hyperlink>
      <w:r>
        <w:t xml:space="preserve">. One of the best packages of code and information for internationalization, which the authors happily recommend, is </w:t>
      </w:r>
      <w:hyperlink r:id="rId386">
        <w:r>
          <w:rPr>
            <w:rStyle w:val="Text1"/>
          </w:rPr>
          <w:t>ICU</w:t>
        </w:r>
      </w:hyperlink>
      <w:r>
        <w:t>, embedding also the</w:t>
      </w:r>
      <w:r>
        <w:rPr>
          <w:rStyle w:val="Text111"/>
        </w:rPr>
        <w:bookmarkStart w:id="2910" w:name="idm45965200593312"/>
        <w:t/>
        <w:bookmarkEnd w:id="2910"/>
        <w:bookmarkStart w:id="2911" w:name="idm45965200592208"/>
        <w:t/>
        <w:bookmarkEnd w:id="2911"/>
      </w:r>
      <w:r>
        <w:t xml:space="preserve"> Unicode Consortium’s Common Locale Data Repository (CLDR) database of locale conventions and code to access the CLDR. To use ICU in Python, install the</w:t>
      </w:r>
      <w:r>
        <w:rPr>
          <w:rStyle w:val="Text111"/>
        </w:rPr>
        <w:bookmarkStart w:id="2912" w:name="idm45965200591008"/>
        <w:t/>
        <w:bookmarkEnd w:id="2912"/>
      </w:r>
      <w:r>
        <w:t xml:space="preserve"> third-party package </w:t>
      </w:r>
      <w:hyperlink r:id="rId387">
        <w:r>
          <w:rPr>
            <w:rStyle w:val="Text1"/>
          </w:rPr>
          <w:t>PyICU</w:t>
        </w:r>
      </w:hyperlink>
      <w:r>
        <w:t>.</w:t>
      </w:r>
      <w:r>
        <w:rPr>
          <w:rStyle w:val="Text111"/>
        </w:rPr>
        <w:bookmarkStart w:id="2913" w:name="idm45965200568128"/>
        <w:t/>
        <w:bookmarkEnd w:id="2913"/>
        <w:bookmarkStart w:id="2914" w:name="idm45965200566912"/>
        <w:t/>
        <w:bookmarkEnd w:id="2914"/>
        <w:bookmarkStart w:id="2915" w:name="idm45965200565536"/>
        <w:t/>
        <w:bookmarkEnd w:id="2915"/>
      </w:r>
    </w:p>
    <w:p>
      <w:bookmarkStart w:id="2916" w:name="1_tell_s_value_is_opaque_for_tex"/>
      <w:pPr>
        <w:pStyle w:val="Para 035"/>
      </w:pPr>
      <w:hyperlink w:anchor="1_11">
        <w:r>
          <w:rPr>
            <w:rStyle w:val="Text1"/>
          </w:rPr>
          <w:t>1</w:t>
        </w:r>
      </w:hyperlink>
      <w:r>
        <w:t xml:space="preserve"> </w:t>
      </w:r>
      <w:r>
        <w:rPr>
          <w:rStyle w:val="Text25"/>
        </w:rPr>
        <w:t>tell</w:t>
      </w:r>
      <w:r>
        <w:t>’s value is opaque for text files, since they contain variable-length characters. For binary files, it’s simply a straight byte count.</w:t>
      </w:r>
      <w:bookmarkEnd w:id="2916"/>
    </w:p>
    <w:p>
      <w:bookmarkStart w:id="2917" w:name="2_Alas__yes__not_sys_stderr__as"/>
      <w:pPr>
        <w:pStyle w:val="Para 015"/>
      </w:pPr>
      <w:hyperlink w:anchor="2_9">
        <w:r>
          <w:rPr>
            <w:rStyle w:val="Text1"/>
          </w:rPr>
          <w:t>2</w:t>
        </w:r>
      </w:hyperlink>
      <w:r>
        <w:t xml:space="preserve"> Alas, yes—not </w:t>
      </w:r>
      <w:r>
        <w:rPr>
          <w:rStyle w:val="Text25"/>
        </w:rPr>
        <w:t>sys.stderr</w:t>
      </w:r>
      <w:r>
        <w:t>, as common practice and logic would dictate!</w:t>
      </w:r>
      <w:bookmarkEnd w:id="2917"/>
    </w:p>
    <w:p>
      <w:bookmarkStart w:id="2918" w:name="3_Or__even_better__the_even_high"/>
      <w:pPr>
        <w:pStyle w:val="Para 015"/>
      </w:pPr>
      <w:hyperlink w:anchor="3_9">
        <w:r>
          <w:rPr>
            <w:rStyle w:val="Text1"/>
          </w:rPr>
          <w:t>3</w:t>
        </w:r>
      </w:hyperlink>
      <w:r>
        <w:t xml:space="preserve"> Or, even better, the even-higher-level </w:t>
      </w:r>
      <w:r>
        <w:rPr>
          <w:rStyle w:val="Text25"/>
        </w:rPr>
        <w:t>pathlib</w:t>
      </w:r>
      <w:r>
        <w:t xml:space="preserve"> module, covered later in this chapter.</w:t>
      </w:r>
      <w:bookmarkEnd w:id="2918"/>
    </w:p>
    <w:p>
      <w:bookmarkStart w:id="2919" w:name="4__Curses__does_describe_well_th"/>
      <w:pPr>
        <w:pStyle w:val="Para 015"/>
      </w:pPr>
      <w:hyperlink w:anchor="4_6">
        <w:r>
          <w:rPr>
            <w:rStyle w:val="Text1"/>
          </w:rPr>
          <w:t>4</w:t>
        </w:r>
      </w:hyperlink>
      <w:r>
        <w:t xml:space="preserve"> “Curses” does describe well the typical utterances of programmers faced with this complicated, low-level approach.</w:t>
      </w:r>
      <w:bookmarkEnd w:id="2919"/>
    </w:p>
    <w:p>
      <w:bookmarkStart w:id="2920" w:name="5_I18n_includes_the_process_of"/>
      <w:pPr>
        <w:pStyle w:val="Para 015"/>
      </w:pPr>
      <w:hyperlink w:anchor="5_6">
        <w:r>
          <w:rPr>
            <w:rStyle w:val="Text1"/>
          </w:rPr>
          <w:t>5</w:t>
        </w:r>
      </w:hyperlink>
      <w:r>
        <w:t xml:space="preserve"> I18n includes the process of “localization,” or adapting international software to local language and cultural conventions.</w:t>
      </w:r>
      <w:bookmarkEnd w:id="2920"/>
    </w:p>
    <w:p>
      <w:bookmarkStart w:id="2921" w:name="Top_of_ch12_html"/>
      <w:bookmarkStart w:id="2922" w:name="Chapter_12__Persistence_and_Data_1"/>
      <w:bookmarkStart w:id="2923" w:name="Chapter_12__Persistence_and_Data"/>
      <w:bookmarkStart w:id="2924" w:name="Chapter_12__Persistence_and_Data_2"/>
      <w:pPr>
        <w:keepNext/>
        <w:pStyle w:val="Heading 1"/>
        <w:pageBreakBefore w:val="on"/>
      </w:pPr>
      <w:r>
        <w:t xml:space="preserve">Chapter 12. </w:t>
        <w:t>Persistence and Databases</w:t>
      </w:r>
      <w:bookmarkEnd w:id="2921"/>
      <w:bookmarkEnd w:id="2922"/>
      <w:bookmarkEnd w:id="2923"/>
      <w:bookmarkEnd w:id="2924"/>
    </w:p>
    <w:p>
      <w:pPr>
        <w:pStyle w:val="Normal"/>
      </w:pPr>
      <w:r>
        <w:t>Python</w:t>
      </w:r>
      <w:r>
        <w:rPr>
          <w:rStyle w:val="Text111"/>
        </w:rPr>
        <w:bookmarkStart w:id="2925" w:name="idm45965200562096"/>
        <w:t/>
        <w:bookmarkEnd w:id="2925"/>
      </w:r>
      <w:r>
        <w:t xml:space="preserve"> supports several ways of persisting data. One way, </w:t>
      </w:r>
      <w:r>
        <w:rPr>
          <w:rStyle w:val="Text4"/>
        </w:rPr>
        <w:t>serialization</w:t>
      </w:r>
      <w:r>
        <w:t xml:space="preserve">, views data as a collection of Python objects. These objects can be </w:t>
      </w:r>
      <w:r>
        <w:rPr>
          <w:rStyle w:val="Text4"/>
        </w:rPr>
        <w:t>serialized</w:t>
      </w:r>
      <w:r>
        <w:t xml:space="preserve"> (saved) to a byte stream, and later </w:t>
      </w:r>
      <w:r>
        <w:rPr>
          <w:rStyle w:val="Text4"/>
        </w:rPr>
        <w:t>deserialized</w:t>
      </w:r>
      <w:r>
        <w:t xml:space="preserve"> back (loaded and re-created) from the byte stream. </w:t>
      </w:r>
      <w:r>
        <w:rPr>
          <w:rStyle w:val="Text4"/>
        </w:rPr>
        <w:t>Object persistence</w:t>
      </w:r>
      <w:r>
        <w:t xml:space="preserve"> relies on serialization, adding features such as object naming. This chapter covers the Python modules that support serialization and object persistence.</w:t>
      </w:r>
    </w:p>
    <w:p>
      <w:pPr>
        <w:pStyle w:val="Normal"/>
      </w:pPr>
      <w:r>
        <w:t xml:space="preserve">Another way to make data persistent is to store it in a database (DB). One simple category of DBs are files that use </w:t>
      </w:r>
      <w:r>
        <w:rPr>
          <w:rStyle w:val="Text4"/>
        </w:rPr>
        <w:t>keyed access</w:t>
      </w:r>
      <w:r>
        <w:t xml:space="preserve"> to enable selective reading and updating of parts of the data. This chapter covers Python standard library modules that support several variations of such a file format, known as </w:t>
      </w:r>
      <w:r>
        <w:rPr>
          <w:rStyle w:val="Text4"/>
        </w:rPr>
        <w:t>DBM</w:t>
      </w:r>
      <w:r>
        <w:t>.</w:t>
      </w:r>
    </w:p>
    <w:p>
      <w:pPr>
        <w:pStyle w:val="Normal"/>
      </w:pPr>
      <w:r>
        <w:t>A</w:t>
      </w:r>
      <w:r>
        <w:rPr>
          <w:rStyle w:val="Text111"/>
        </w:rPr>
        <w:bookmarkStart w:id="2926" w:name="idm45965200557056"/>
        <w:t/>
        <w:bookmarkEnd w:id="2926"/>
        <w:bookmarkStart w:id="2927" w:name="idm45965200555904"/>
        <w:t/>
        <w:bookmarkEnd w:id="2927"/>
      </w:r>
      <w:r>
        <w:t xml:space="preserve"> </w:t>
      </w:r>
      <w:r>
        <w:rPr>
          <w:rStyle w:val="Text4"/>
        </w:rPr>
        <w:t>relational DB management system</w:t>
      </w:r>
      <w:r>
        <w:t xml:space="preserve"> (RDBMS), such as PostgreSQL or Oracle, offers a more powerful approach to storing, searching, and retrieving persistent data. Relational DBs rely on dialects of Structured Query Language (SQL) to create and alter a DB’s schema, insert and update data in the DB, and query the DB with search criteria. (This book does not provide reference material on SQL; for this purpose we recommend O’Reilly’s </w:t>
      </w:r>
      <w:hyperlink r:id="rId388">
        <w:r>
          <w:rPr>
            <w:rStyle w:val="Text24"/>
          </w:rPr>
          <w:t>SQL in a Nutshell</w:t>
        </w:r>
      </w:hyperlink>
      <w:r>
        <w:t>, by Kevin Kline, Regina Obe, and Leo Hsu.) Unfortunately, despite the existence of SQL standards, no two RDBMSs implement exactly the same SQL dialect.</w:t>
      </w:r>
    </w:p>
    <w:p>
      <w:pPr>
        <w:pStyle w:val="Normal"/>
      </w:pPr>
      <w:r>
        <w:t xml:space="preserve">The Python standard library does not come with an RDBMS interface. However, many third-party modules let your Python programs access a specific RDBMS. Such modules mostly follow the </w:t>
      </w:r>
      <w:hyperlink r:id="rId389">
        <w:r>
          <w:rPr>
            <w:rStyle w:val="Text1"/>
          </w:rPr>
          <w:t>Python Database API 2.0</w:t>
        </w:r>
      </w:hyperlink>
      <w:r>
        <w:t xml:space="preserve"> standard, also known as the </w:t>
      </w:r>
      <w:r>
        <w:rPr>
          <w:rStyle w:val="Text4"/>
        </w:rPr>
        <w:t>DBAPI</w:t>
      </w:r>
      <w:r>
        <w:t>. This chapter covers the DBAPI standard and mentions a few of the most popular third-party modules that implement it.</w:t>
      </w:r>
    </w:p>
    <w:p>
      <w:pPr>
        <w:pStyle w:val="Normal"/>
      </w:pPr>
      <w:r>
        <w:t xml:space="preserve">A DBAPI module that is particularly handy (because it comes with every standard installation of Python) is </w:t>
      </w:r>
      <w:hyperlink r:id="rId390">
        <w:r>
          <w:rPr>
            <w:rStyle w:val="Text30"/>
          </w:rPr>
          <w:t>sqlite3</w:t>
        </w:r>
      </w:hyperlink>
      <w:r>
        <w:t xml:space="preserve">, which wraps </w:t>
      </w:r>
      <w:hyperlink r:id="rId391">
        <w:r>
          <w:rPr>
            <w:rStyle w:val="Text1"/>
          </w:rPr>
          <w:t>SQLite</w:t>
        </w:r>
      </w:hyperlink>
      <w:r>
        <w:t xml:space="preserve">. SQLite, “a self-contained, server-less, zero-configuration, transactional SQL DB engine,” is the most widely deployed relational DB engine in the world. We cover </w:t>
      </w:r>
      <w:r>
        <w:rPr>
          <w:rStyle w:val="Text0"/>
        </w:rPr>
        <w:t>sqlite3</w:t>
      </w:r>
      <w:r>
        <w:t xml:space="preserve"> in </w:t>
      </w:r>
      <w:hyperlink w:anchor="SQLite__SQLite_is_a_C_coded_libr">
        <w:r>
          <w:rPr>
            <w:rStyle w:val="Text1"/>
          </w:rPr>
          <w:t>“SQLite”</w:t>
        </w:r>
      </w:hyperlink>
      <w:r>
        <w:t>.</w:t>
      </w:r>
    </w:p>
    <w:p>
      <w:pPr>
        <w:pStyle w:val="Normal"/>
      </w:pPr>
      <w:r>
        <w:t xml:space="preserve">Besides relational DBs, and the simpler approaches covered in this chapter, there exist several </w:t>
      </w:r>
      <w:hyperlink r:id="rId392">
        <w:r>
          <w:rPr>
            <w:rStyle w:val="Text1"/>
          </w:rPr>
          <w:t>NoSQL</w:t>
        </w:r>
      </w:hyperlink>
      <w:r>
        <w:t xml:space="preserve"> DBs, such as </w:t>
      </w:r>
      <w:hyperlink r:id="rId393">
        <w:r>
          <w:rPr>
            <w:rStyle w:val="Text1"/>
          </w:rPr>
          <w:t>Redis</w:t>
        </w:r>
      </w:hyperlink>
      <w:r>
        <w:t xml:space="preserve"> and </w:t>
      </w:r>
      <w:hyperlink r:id="rId394">
        <w:r>
          <w:rPr>
            <w:rStyle w:val="Text1"/>
          </w:rPr>
          <w:t>MongoDB</w:t>
        </w:r>
      </w:hyperlink>
      <w:r>
        <w:t>, each with Python interfaces. We do not cover advanced nonrelational DBs in this book.</w:t>
      </w:r>
    </w:p>
    <w:p>
      <w:bookmarkStart w:id="2928" w:name="Serialization__Python_supplies_s"/>
      <w:pPr>
        <w:keepNext/>
        <w:pStyle w:val="Heading 1"/>
      </w:pPr>
      <w:r>
        <w:t>Serialization</w:t>
      </w:r>
      <w:bookmarkEnd w:id="2928"/>
    </w:p>
    <w:p>
      <w:pPr>
        <w:pStyle w:val="Normal"/>
      </w:pPr>
      <w:r>
        <w:t>Python</w:t>
      </w:r>
      <w:r>
        <w:rPr>
          <w:rStyle w:val="Text111"/>
        </w:rPr>
        <w:bookmarkStart w:id="2929" w:name="PADserial12"/>
        <w:t/>
        <w:bookmarkEnd w:id="2929"/>
        <w:bookmarkStart w:id="2930" w:name="serail12"/>
        <w:t/>
        <w:bookmarkEnd w:id="2930"/>
      </w:r>
      <w:r>
        <w:t xml:space="preserve"> supplies several modules to </w:t>
      </w:r>
      <w:r>
        <w:rPr>
          <w:rStyle w:val="Text4"/>
        </w:rPr>
        <w:t>serialize</w:t>
      </w:r>
      <w:r>
        <w:t xml:space="preserve"> (save) Python objects to various kinds of byte streams and</w:t>
      </w:r>
      <w:r>
        <w:rPr>
          <w:rStyle w:val="Text111"/>
        </w:rPr>
        <w:bookmarkStart w:id="2931" w:name="idm45965200539168"/>
        <w:t/>
        <w:bookmarkEnd w:id="2931"/>
      </w:r>
      <w:r>
        <w:t xml:space="preserve"> </w:t>
      </w:r>
      <w:r>
        <w:rPr>
          <w:rStyle w:val="Text4"/>
        </w:rPr>
        <w:t>deserialize</w:t>
      </w:r>
      <w:r>
        <w:t xml:space="preserve"> (load and re-create) Python objects back from streams. Serialization is also known as</w:t>
      </w:r>
      <w:r>
        <w:rPr>
          <w:rStyle w:val="Text111"/>
        </w:rPr>
        <w:bookmarkStart w:id="2932" w:name="idm45965200537488"/>
        <w:t/>
        <w:bookmarkEnd w:id="2932"/>
      </w:r>
      <w:r>
        <w:t xml:space="preserve"> </w:t>
      </w:r>
      <w:r>
        <w:rPr>
          <w:rStyle w:val="Text4"/>
        </w:rPr>
        <w:t>marshaling</w:t>
      </w:r>
      <w:r>
        <w:t>, which means formatting for</w:t>
      </w:r>
      <w:r>
        <w:rPr>
          <w:rStyle w:val="Text111"/>
        </w:rPr>
        <w:bookmarkStart w:id="2933" w:name="idm45965200535808"/>
        <w:t/>
        <w:bookmarkEnd w:id="2933"/>
      </w:r>
      <w:r>
        <w:t xml:space="preserve"> </w:t>
      </w:r>
      <w:r>
        <w:rPr>
          <w:rStyle w:val="Text4"/>
        </w:rPr>
        <w:t>data interchange</w:t>
      </w:r>
      <w:r>
        <w:t>.</w:t>
      </w:r>
    </w:p>
    <w:p>
      <w:pPr>
        <w:pStyle w:val="Normal"/>
      </w:pPr>
      <w:r>
        <w:t xml:space="preserve">Serialization approaches span a vast range, from the low-level, Python-version-specific </w:t>
      </w:r>
      <w:r>
        <w:rPr>
          <w:rStyle w:val="Text0"/>
        </w:rPr>
        <w:t>marshal</w:t>
      </w:r>
      <w:r>
        <w:t xml:space="preserve"> and language-independent JSON (both limited to elementary data types) to the richer but Python-specific </w:t>
      </w:r>
      <w:r>
        <w:rPr>
          <w:rStyle w:val="Text0"/>
        </w:rPr>
        <w:t>pickle</w:t>
      </w:r>
      <w:r>
        <w:t xml:space="preserve"> and cross-language formats such as XML, </w:t>
      </w:r>
      <w:hyperlink r:id="rId395">
        <w:r>
          <w:rPr>
            <w:rStyle w:val="Text1"/>
          </w:rPr>
          <w:t>YAML</w:t>
        </w:r>
      </w:hyperlink>
      <w:r>
        <w:t xml:space="preserve">, </w:t>
      </w:r>
      <w:hyperlink r:id="rId396">
        <w:r>
          <w:rPr>
            <w:rStyle w:val="Text1"/>
          </w:rPr>
          <w:t>protocol buffers</w:t>
        </w:r>
      </w:hyperlink>
      <w:r>
        <w:t xml:space="preserve">, and </w:t>
      </w:r>
      <w:hyperlink r:id="rId397">
        <w:r>
          <w:rPr>
            <w:rStyle w:val="Text1"/>
          </w:rPr>
          <w:t>MessagePack</w:t>
        </w:r>
      </w:hyperlink>
      <w:r>
        <w:t>.</w:t>
      </w:r>
    </w:p>
    <w:p>
      <w:pPr>
        <w:pStyle w:val="Normal"/>
      </w:pPr>
      <w:r>
        <w:t xml:space="preserve">In this section, we cover Python’s </w:t>
      </w:r>
      <w:r>
        <w:rPr>
          <w:rStyle w:val="Text0"/>
        </w:rPr>
        <w:t>csv</w:t>
      </w:r>
      <w:r>
        <w:t xml:space="preserve">, </w:t>
      </w:r>
      <w:r>
        <w:rPr>
          <w:rStyle w:val="Text0"/>
        </w:rPr>
        <w:t>json</w:t>
      </w:r>
      <w:r>
        <w:t xml:space="preserve">, </w:t>
      </w:r>
      <w:r>
        <w:rPr>
          <w:rStyle w:val="Text0"/>
        </w:rPr>
        <w:t>pickle</w:t>
      </w:r>
      <w:r>
        <w:t xml:space="preserve">, and </w:t>
      </w:r>
      <w:r>
        <w:rPr>
          <w:rStyle w:val="Text0"/>
        </w:rPr>
        <w:t>shelve</w:t>
      </w:r>
      <w:r>
        <w:t xml:space="preserve"> modules. We cover XML in </w:t>
      </w:r>
      <w:hyperlink w:anchor="Chapter_23__Structured_Text__XML_2">
        <w:r>
          <w:rPr>
            <w:rStyle w:val="Text1"/>
          </w:rPr>
          <w:t>Chapter 23</w:t>
        </w:r>
      </w:hyperlink>
      <w:r>
        <w:t xml:space="preserve">. </w:t>
      </w:r>
      <w:r>
        <w:rPr>
          <w:rStyle w:val="Text0"/>
        </w:rPr>
        <w:t>marshal</w:t>
      </w:r>
      <w:r>
        <w:t xml:space="preserve"> is too low-level to use in applications; should you need to maintain old code using it, refer to the </w:t>
      </w:r>
      <w:hyperlink r:id="rId398">
        <w:r>
          <w:rPr>
            <w:rStyle w:val="Text1"/>
          </w:rPr>
          <w:t>online docs</w:t>
        </w:r>
      </w:hyperlink>
      <w:r>
        <w:t>. As for protocol buffers, MessagePack, YAML, and other data-interchange/serialization approaches (each with specific advantages and weaknesses), we cannot cover everything in this book; we recommend studying them via the resources available on the web.</w:t>
      </w:r>
    </w:p>
    <w:p>
      <w:bookmarkStart w:id="2934" w:name="The_csv_Module__While_the_CSV__s"/>
      <w:pPr>
        <w:keepNext/>
        <w:pStyle w:val="Heading 2"/>
      </w:pPr>
      <w:r>
        <w:t>The csv Module</w:t>
      </w:r>
      <w:bookmarkEnd w:id="2934"/>
    </w:p>
    <w:p>
      <w:pPr>
        <w:pStyle w:val="Normal"/>
      </w:pPr>
      <w:r>
        <w:t>While</w:t>
      </w:r>
      <w:r>
        <w:rPr>
          <w:rStyle w:val="Text111"/>
        </w:rPr>
        <w:bookmarkStart w:id="2935" w:name="idm45965200522032"/>
        <w:t/>
        <w:bookmarkEnd w:id="2935"/>
        <w:bookmarkStart w:id="2936" w:name="csvmod12"/>
        <w:t/>
        <w:bookmarkEnd w:id="2936"/>
        <w:bookmarkStart w:id="2937" w:name="SLMcsv11"/>
        <w:t/>
        <w:bookmarkEnd w:id="2937"/>
      </w:r>
      <w:r>
        <w:t xml:space="preserve"> the CSV (standing for </w:t>
      </w:r>
      <w:r>
        <w:rPr>
          <w:rStyle w:val="Text4"/>
        </w:rPr>
        <w:t>comma-separated values</w:t>
      </w:r>
      <w:hyperlink w:anchor="1_In_fact___CSV__is_something_of">
        <w:r>
          <w:rPr>
            <w:rStyle w:val="Text41"/>
          </w:rPr>
          <w:bookmarkStart w:id="2938" w:name="1_12"/>
          <w:t>1</w:t>
          <w:bookmarkEnd w:id="2938"/>
        </w:r>
      </w:hyperlink>
      <w:r>
        <w:t xml:space="preserve">) format isn’t usually considered a form of serialization, it is a widely used and convenient interchange format for tabular data. Since much data is tabular, CSV data is used a lot, despite some lack of agreement on exactly how it should be represented in files. To overcome this issue, the </w:t>
      </w:r>
      <w:r>
        <w:rPr>
          <w:rStyle w:val="Text0"/>
        </w:rPr>
        <w:t>csv</w:t>
      </w:r>
      <w:r>
        <w:t xml:space="preserve"> module provides a number of </w:t>
      </w:r>
      <w:r>
        <w:rPr>
          <w:rStyle w:val="Text4"/>
        </w:rPr>
        <w:t>dialects</w:t>
      </w:r>
      <w:r>
        <w:t xml:space="preserve"> (specifications of the way particular sources encode CSV data) and lets you define your own dialects. You can register additional dialects and list the available dialects by calling the </w:t>
      </w:r>
      <w:r>
        <w:rPr>
          <w:rStyle w:val="Text0"/>
        </w:rPr>
        <w:t>csv.list_dialects</w:t>
      </w:r>
      <w:r>
        <w:t xml:space="preserve"> function. For further information on dialects, consult </w:t>
      </w:r>
      <w:hyperlink r:id="rId399">
        <w:r>
          <w:rPr>
            <w:rStyle w:val="Text1"/>
          </w:rPr>
          <w:t>the module’s documentation</w:t>
        </w:r>
      </w:hyperlink>
      <w:r>
        <w:t>.</w:t>
      </w:r>
    </w:p>
    <w:p>
      <w:bookmarkStart w:id="2939" w:name="csv_functions_and_classes__The_c"/>
      <w:pPr>
        <w:keepNext/>
        <w:pStyle w:val="Heading 2"/>
      </w:pPr>
      <w:r>
        <w:t>csv functions and classes</w:t>
      </w:r>
      <w:bookmarkEnd w:id="2939"/>
    </w:p>
    <w:p>
      <w:pPr>
        <w:pStyle w:val="Normal"/>
      </w:pPr>
      <w:r>
        <w:t xml:space="preserve">The </w:t>
      </w:r>
      <w:r>
        <w:rPr>
          <w:rStyle w:val="Text0"/>
        </w:rPr>
        <w:t>csv</w:t>
      </w:r>
      <w:r>
        <w:t xml:space="preserve"> module exposes the functions and classes detailed in </w:t>
      </w:r>
      <w:hyperlink w:anchor="Table_12_1__Functions_and_classe">
        <w:r>
          <w:rPr>
            <w:rStyle w:val="Text1"/>
          </w:rPr>
          <w:t>Table 12-1</w:t>
        </w:r>
      </w:hyperlink>
      <w:r>
        <w:t>. It provides two kinds of readers and writers to let you handle CSV data rows in Python as either lists or dictionaries.</w:t>
      </w:r>
    </w:p>
    <w:tbl>
      <w:tblPr>
        <w:tblW w:type="auto" w:w="0"/>
      </w:tblPr>
      <w:tr>
        <w:tc>
          <w:tcPr>
            <w:tcW w:type="auto" w:w="0"/>
            <w:tcMar>
              <w:left w:type="dxa" w:w="200"/>
              <w:top w:type="dxa" w:w="200"/>
              <w:right w:type="dxa" w:w="200"/>
              <w:bottom w:type="dxa" w:w="200"/>
            </w:tcMar>
          </w:tcPr>
          <w:p>
            <w:bookmarkStart w:id="2940" w:name="Table_12_1__Functions_and_classe"/>
            <w:pPr>
              <w:pStyle w:val="Para 011"/>
            </w:pPr>
            <w:r>
              <w:rPr>
                <w:rStyle w:val="Text117"/>
              </w:rPr>
              <w:t/>
            </w:r>
            <w:r>
              <w:t xml:space="preserve">Table 12-1. </w:t>
              <w:t xml:space="preserve">Functions and classes of the </w:t>
            </w:r>
            <w:r>
              <w:rPr>
                <w:rStyle w:val="Text0"/>
              </w:rPr>
              <w:t>csv</w:t>
            </w:r>
            <w:r>
              <w:t xml:space="preserve"> module</w:t>
            </w:r>
            <w:bookmarkEnd w:id="2940"/>
          </w:p>
          <w:p>
            <w:pPr>
              <w:pStyle w:val="Para 001"/>
            </w:pPr>
            <w:r>
              <w:t>reader</w:t>
            </w:r>
          </w:p>
        </w:tc>
        <w:tc>
          <w:tcPr>
            <w:tcW w:type="auto" w:w="0"/>
            <w:tcMar>
              <w:left w:type="dxa" w:w="200"/>
              <w:top w:type="dxa" w:w="200"/>
              <w:right w:type="dxa" w:w="200"/>
              <w:bottom w:type="dxa" w:w="200"/>
            </w:tcMar>
          </w:tcPr>
          <w:p>
            <w:pPr>
              <w:pStyle w:val="Para 002"/>
            </w:pPr>
            <w:r>
              <w:rPr>
                <w:rStyle w:val="Text0"/>
              </w:rPr>
              <w:t>reader(</w:t>
            </w:r>
            <w:r>
              <w:rPr>
                <w:rStyle w:val="Text3"/>
              </w:rPr>
              <w:t>csvfile</w:t>
            </w:r>
            <w:r>
              <w:rPr>
                <w:rStyle w:val="Text0"/>
              </w:rPr>
              <w:t>, dialect='excel',</w:t>
            </w:r>
            <w:r>
              <w:t xml:space="preserve"> </w:t>
            </w:r>
            <w:r>
              <w:rPr>
                <w:rStyle w:val="Text3"/>
              </w:rPr>
              <w:t>**kw</w:t>
            </w:r>
            <w:r>
              <w:rPr>
                <w:rStyle w:val="Text0"/>
              </w:rPr>
              <w:t>)</w:t>
              <w:br w:clear="none"/>
            </w:r>
            <w:r>
              <w:t xml:space="preserve"> Creates and returns a reader object </w:t>
            </w:r>
            <w:r>
              <w:rPr>
                <w:rStyle w:val="Text3"/>
              </w:rPr>
              <w:t>r</w:t>
            </w:r>
            <w:r>
              <w:t xml:space="preserve">. </w:t>
            </w:r>
            <w:r>
              <w:rPr>
                <w:rStyle w:val="Text3"/>
              </w:rPr>
              <w:t>csvfile</w:t>
            </w:r>
            <w:r>
              <w:t xml:space="preserve"> can be any iterable object yielding text rows as </w:t>
            </w:r>
            <w:r>
              <w:rPr>
                <w:rStyle w:val="Text0"/>
              </w:rPr>
              <w:t>str</w:t>
            </w:r>
            <w:r>
              <w:t xml:space="preserve">s (usually a list of lines or a file opened with </w:t>
            </w:r>
            <w:r>
              <w:rPr>
                <w:rStyle w:val="Text0"/>
              </w:rPr>
              <w:t>newline=''</w:t>
            </w:r>
            <w:hyperlink w:anchor="a_Opening_a_file_with_newline">
              <w:r>
                <w:rPr>
                  <w:rStyle w:val="Text41"/>
                </w:rPr>
                <w:bookmarkStart w:id="2941" w:name="a_10"/>
                <w:t>a</w:t>
                <w:bookmarkEnd w:id="2941"/>
              </w:r>
            </w:hyperlink>
            <w:r>
              <w:t xml:space="preserve">); </w:t>
            </w:r>
            <w:r>
              <w:rPr>
                <w:rStyle w:val="Text0"/>
              </w:rPr>
              <w:t>dialect</w:t>
            </w:r>
            <w:r>
              <w:t xml:space="preserve"> is the name of a registered dialect. To modify the dialect, add named arguments: their values override dialect fields of the same name. Iterating over </w:t>
            </w:r>
            <w:r>
              <w:rPr>
                <w:rStyle w:val="Text3"/>
              </w:rPr>
              <w:t>r</w:t>
            </w:r>
            <w:r>
              <w:t xml:space="preserve"> yields a sequence of lists, each containing the elements from one row of </w:t>
            </w:r>
            <w:r>
              <w:rPr>
                <w:rStyle w:val="Text3"/>
              </w:rPr>
              <w:t>csvfile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writer</w:t>
            </w:r>
          </w:p>
        </w:tc>
        <w:tc>
          <w:tcPr>
            <w:tcW w:type="auto" w:w="0"/>
            <w:shd w:val="clear" w:color="auto" w:fill="EEF2F6"/>
            <w:tcMar>
              <w:left w:type="dxa" w:w="200"/>
              <w:top w:type="dxa" w:w="200"/>
              <w:right w:type="dxa" w:w="200"/>
              <w:bottom w:type="dxa" w:w="200"/>
            </w:tcMar>
          </w:tcPr>
          <w:p>
            <w:pPr>
              <w:pStyle w:val="Para 002"/>
            </w:pPr>
            <w:r>
              <w:rPr>
                <w:rStyle w:val="Text0"/>
              </w:rPr>
              <w:t>writer(</w:t>
            </w:r>
            <w:r>
              <w:rPr>
                <w:rStyle w:val="Text3"/>
              </w:rPr>
              <w:t>csvfile</w:t>
            </w:r>
            <w:r>
              <w:rPr>
                <w:rStyle w:val="Text0"/>
              </w:rPr>
              <w:t>, dialect='excel',</w:t>
            </w:r>
            <w:r>
              <w:t xml:space="preserve"> </w:t>
            </w:r>
            <w:r>
              <w:rPr>
                <w:rStyle w:val="Text3"/>
              </w:rPr>
              <w:t>**kw</w:t>
            </w:r>
            <w:r>
              <w:rPr>
                <w:rStyle w:val="Text0"/>
              </w:rPr>
              <w:t>)</w:t>
              <w:br w:clear="none"/>
            </w:r>
            <w:r>
              <w:t xml:space="preserve"> Creates and returns a writer object </w:t>
            </w:r>
            <w:r>
              <w:rPr>
                <w:rStyle w:val="Text3"/>
              </w:rPr>
              <w:t>w</w:t>
            </w:r>
            <w:r>
              <w:t xml:space="preserve">. </w:t>
            </w:r>
            <w:r>
              <w:rPr>
                <w:rStyle w:val="Text3"/>
              </w:rPr>
              <w:t>csvfile</w:t>
            </w:r>
            <w:r>
              <w:t xml:space="preserve"> is an object with a </w:t>
            </w:r>
            <w:r>
              <w:rPr>
                <w:rStyle w:val="Text0"/>
              </w:rPr>
              <w:t>write</w:t>
            </w:r>
            <w:r>
              <w:t xml:space="preserve"> method (if a file, open it with </w:t>
            </w:r>
            <w:r>
              <w:rPr>
                <w:rStyle w:val="Text0"/>
              </w:rPr>
              <w:t>newline=''</w:t>
            </w:r>
            <w:r>
              <w:t xml:space="preserve">); </w:t>
            </w:r>
            <w:r>
              <w:rPr>
                <w:rStyle w:val="Text3"/>
              </w:rPr>
              <w:t>dialect</w:t>
            </w:r>
            <w:r>
              <w:t xml:space="preserve"> is the name of a registered dialect. To modify the dialect, add named arguments: their values override dialect fields of the same name. </w:t>
            </w:r>
            <w:r>
              <w:rPr>
                <w:rStyle w:val="Text3"/>
              </w:rPr>
              <w:t>w.</w:t>
            </w:r>
            <w:r>
              <w:rPr>
                <w:rStyle w:val="Text0"/>
              </w:rPr>
              <w:t>writerow</w:t>
            </w:r>
            <w:r>
              <w:t xml:space="preserve"> accepts a sequence of values and writes their CSV representation as a row to </w:t>
            </w:r>
            <w:r>
              <w:rPr>
                <w:rStyle w:val="Text3"/>
              </w:rPr>
              <w:t>csvfile</w:t>
            </w:r>
            <w:r>
              <w:t xml:space="preserve">. </w:t>
            </w:r>
            <w:r>
              <w:rPr>
                <w:rStyle w:val="Text3"/>
              </w:rPr>
              <w:t>w.</w:t>
            </w:r>
            <w:r>
              <w:rPr>
                <w:rStyle w:val="Text0"/>
              </w:rPr>
              <w:t>writerows</w:t>
            </w:r>
            <w:r>
              <w:t xml:space="preserve"> accepts an iterable of such sequences and calls </w:t>
            </w:r>
            <w:r>
              <w:rPr>
                <w:rStyle w:val="Text3"/>
              </w:rPr>
              <w:t>w.</w:t>
            </w:r>
            <w:r>
              <w:rPr>
                <w:rStyle w:val="Text0"/>
              </w:rPr>
              <w:t>writerow</w:t>
            </w:r>
            <w:r>
              <w:t xml:space="preserve"> on each. You are responsible for closing </w:t>
            </w:r>
            <w:r>
              <w:rPr>
                <w:rStyle w:val="Text3"/>
              </w:rPr>
              <w:t>csvfile</w:t>
            </w:r>
            <w:r>
              <w:t>.</w:t>
            </w:r>
          </w:p>
        </w:tc>
      </w:tr>
    </w:tbl>
    <w:tbl>
      <w:tblPr>
        <w:tblW w:type="auto" w:w="0"/>
      </w:tblPr>
      <w:tr>
        <w:tc>
          <w:tcPr>
            <w:tcW w:type="auto" w:w="0"/>
            <w:tcMar>
              <w:left w:type="dxa" w:w="200"/>
              <w:top w:type="dxa" w:w="200"/>
              <w:right w:type="dxa" w:w="200"/>
              <w:bottom w:type="dxa" w:w="200"/>
            </w:tcMar>
          </w:tcPr>
          <w:p>
            <w:pPr>
              <w:pStyle w:val="Para 001"/>
            </w:pPr>
            <w:r>
              <w:t>D⁠i⁠c⁠t​R⁠e⁠a⁠d⁠e⁠r</w:t>
            </w:r>
          </w:p>
        </w:tc>
        <w:tc>
          <w:tcPr>
            <w:tcW w:type="auto" w:w="0"/>
            <w:tcMar>
              <w:left w:type="dxa" w:w="200"/>
              <w:top w:type="dxa" w:w="200"/>
              <w:right w:type="dxa" w:w="200"/>
              <w:bottom w:type="dxa" w:w="200"/>
            </w:tcMar>
          </w:tcPr>
          <w:p>
            <w:pPr>
              <w:pStyle w:val="Para 002"/>
            </w:pPr>
            <w:r>
              <w:rPr>
                <w:rStyle w:val="Text0"/>
              </w:rPr>
              <w:t>DictReader(</w:t>
            </w:r>
            <w:r>
              <w:rPr>
                <w:rStyle w:val="Text3"/>
              </w:rPr>
              <w:t>csvfile,</w:t>
            </w:r>
            <w:r>
              <w:t xml:space="preserve"> </w:t>
            </w:r>
            <w:r>
              <w:rPr>
                <w:rStyle w:val="Text0"/>
              </w:rPr>
              <w:t>fieldnames=</w:t>
            </w:r>
            <w:r>
              <w:rPr>
                <w:rStyle w:val="Text5"/>
              </w:rPr>
              <w:t>None</w:t>
            </w:r>
            <w:r>
              <w:rPr>
                <w:rStyle w:val="Text0"/>
              </w:rPr>
              <w:t>, restkey=</w:t>
            </w:r>
            <w:r>
              <w:rPr>
                <w:rStyle w:val="Text5"/>
              </w:rPr>
              <w:t>None</w:t>
            </w:r>
            <w:r>
              <w:rPr>
                <w:rStyle w:val="Text0"/>
              </w:rPr>
              <w:t>,</w:t>
              <w:br w:clear="none"/>
              <w:t xml:space="preserve"> restval=</w:t>
            </w:r>
            <w:r>
              <w:rPr>
                <w:rStyle w:val="Text5"/>
              </w:rPr>
              <w:t>None</w:t>
            </w:r>
            <w:r>
              <w:rPr>
                <w:rStyle w:val="Text0"/>
              </w:rPr>
              <w:t>, dialect='excel',</w:t>
            </w:r>
            <w:r>
              <w:t xml:space="preserve"> </w:t>
            </w:r>
            <w:r>
              <w:rPr>
                <w:rStyle w:val="Text3"/>
              </w:rPr>
              <w:t>*args,**kw</w:t>
            </w:r>
            <w:r>
              <w:rPr>
                <w:rStyle w:val="Text0"/>
              </w:rPr>
              <w:t>)</w:t>
              <w:br w:clear="none"/>
            </w:r>
            <w:r>
              <w:t xml:space="preserve"> Creates and returns an object </w:t>
            </w:r>
            <w:r>
              <w:rPr>
                <w:rStyle w:val="Text3"/>
              </w:rPr>
              <w:t>r</w:t>
            </w:r>
            <w:r>
              <w:t xml:space="preserve"> that iterates over </w:t>
            </w:r>
            <w:r>
              <w:rPr>
                <w:rStyle w:val="Text3"/>
              </w:rPr>
              <w:t>csvfile</w:t>
            </w:r>
            <w:r>
              <w:t xml:space="preserve"> to generate an iterable of dictionaries (</w:t>
            </w:r>
            <w:r>
              <w:rPr>
                <w:rStyle w:val="Text34"/>
              </w:rPr>
              <w:t>-3.8</w:t>
            </w:r>
            <w:r>
              <w:t xml:space="preserve"> </w:t>
            </w:r>
            <w:r>
              <w:rPr>
                <w:rStyle w:val="Text0"/>
              </w:rPr>
              <w:t>OrderedDict</w:t>
            </w:r>
            <w:r>
              <w:t xml:space="preserve">s), one for each row. When the </w:t>
            </w:r>
            <w:r>
              <w:rPr>
                <w:rStyle w:val="Text0"/>
              </w:rPr>
              <w:t>fieldnames</w:t>
            </w:r>
            <w:r>
              <w:t xml:space="preserve"> argument is given, it is used to name the fields in </w:t>
            </w:r>
            <w:r>
              <w:rPr>
                <w:rStyle w:val="Text3"/>
              </w:rPr>
              <w:t>csvfile</w:t>
            </w:r>
            <w:r>
              <w:t xml:space="preserve">; otherwise, the field names are taken from the first row of </w:t>
            </w:r>
            <w:r>
              <w:rPr>
                <w:rStyle w:val="Text3"/>
              </w:rPr>
              <w:t>csvfile</w:t>
            </w:r>
            <w:r>
              <w:t xml:space="preserve">. If a row contains more columns than field names, the extra values are saved as a list with the key </w:t>
            </w:r>
            <w:r>
              <w:rPr>
                <w:rStyle w:val="Text0"/>
              </w:rPr>
              <w:t>restkey</w:t>
            </w:r>
            <w:r>
              <w:t xml:space="preserve">. If there are insufficient values in any row, then those column values will be set to </w:t>
            </w:r>
            <w:r>
              <w:rPr>
                <w:rStyle w:val="Text0"/>
              </w:rPr>
              <w:t>restval</w:t>
            </w:r>
            <w:r>
              <w:t xml:space="preserve">. </w:t>
            </w:r>
            <w:r>
              <w:rPr>
                <w:rStyle w:val="Text0"/>
              </w:rPr>
              <w:t>dialect</w:t>
            </w:r>
            <w:r>
              <w:t xml:space="preserve">, </w:t>
            </w:r>
            <w:r>
              <w:rPr>
                <w:rStyle w:val="Text3"/>
              </w:rPr>
              <w:t>kw</w:t>
            </w:r>
            <w:r>
              <w:t xml:space="preserve">, and </w:t>
            </w:r>
            <w:r>
              <w:rPr>
                <w:rStyle w:val="Text3"/>
              </w:rPr>
              <w:t>args</w:t>
            </w:r>
            <w:r>
              <w:t xml:space="preserve"> are passed to the underlying reader object.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DictWriter</w:t>
            </w:r>
          </w:p>
        </w:tc>
        <w:tc>
          <w:tcPr>
            <w:tcW w:type="auto" w:w="0"/>
            <w:shd w:val="clear" w:color="auto" w:fill="EEF2F6"/>
            <w:tcMar>
              <w:left w:type="dxa" w:w="200"/>
              <w:top w:type="dxa" w:w="200"/>
              <w:right w:type="dxa" w:w="200"/>
              <w:bottom w:type="dxa" w:w="200"/>
            </w:tcMar>
          </w:tcPr>
          <w:p>
            <w:pPr>
              <w:pStyle w:val="Para 002"/>
            </w:pPr>
            <w:r>
              <w:rPr>
                <w:rStyle w:val="Text0"/>
              </w:rPr>
              <w:t>DictWriter(</w:t>
            </w:r>
            <w:r>
              <w:rPr>
                <w:rStyle w:val="Text3"/>
              </w:rPr>
              <w:t>csvfile</w:t>
            </w:r>
            <w:r>
              <w:rPr>
                <w:rStyle w:val="Text0"/>
              </w:rPr>
              <w:t>,</w:t>
            </w:r>
            <w:r>
              <w:t xml:space="preserve"> </w:t>
            </w:r>
            <w:r>
              <w:rPr>
                <w:rStyle w:val="Text3"/>
              </w:rPr>
              <w:t>fieldnames</w:t>
            </w:r>
            <w:r>
              <w:rPr>
                <w:rStyle w:val="Text0"/>
              </w:rPr>
              <w:t>, restval='',</w:t>
              <w:br w:clear="none"/>
              <w:t xml:space="preserve"> extrasaction='raise', dialect='excel'</w:t>
            </w:r>
            <w:r>
              <w:rPr>
                <w:rStyle w:val="Text3"/>
              </w:rPr>
              <w:t>, *args, **kwds</w:t>
            </w:r>
            <w:r>
              <w:rPr>
                <w:rStyle w:val="Text0"/>
              </w:rPr>
              <w:t>)</w:t>
              <w:br w:clear="none"/>
            </w:r>
            <w:r>
              <w:t xml:space="preserve"> Creates and returns an object </w:t>
            </w:r>
            <w:r>
              <w:rPr>
                <w:rStyle w:val="Text3"/>
              </w:rPr>
              <w:t>w</w:t>
            </w:r>
            <w:r>
              <w:t xml:space="preserve"> whose </w:t>
            </w:r>
            <w:r>
              <w:rPr>
                <w:rStyle w:val="Text0"/>
              </w:rPr>
              <w:t>writerow</w:t>
            </w:r>
            <w:r>
              <w:t xml:space="preserve"> and </w:t>
            </w:r>
            <w:r>
              <w:rPr>
                <w:rStyle w:val="Text0"/>
              </w:rPr>
              <w:t>writerows</w:t>
            </w:r>
            <w:r>
              <w:t xml:space="preserve"> methods take a dictionary or iterable of dictionaries and write them using the </w:t>
            </w:r>
            <w:r>
              <w:rPr>
                <w:rStyle w:val="Text3"/>
              </w:rPr>
              <w:t>csvfile</w:t>
            </w:r>
            <w:r>
              <w:t xml:space="preserve">’s </w:t>
            </w:r>
            <w:r>
              <w:rPr>
                <w:rStyle w:val="Text0"/>
              </w:rPr>
              <w:t>write</w:t>
            </w:r>
            <w:r>
              <w:t xml:space="preserve"> method. </w:t>
            </w:r>
            <w:r>
              <w:rPr>
                <w:rStyle w:val="Text3"/>
              </w:rPr>
              <w:t>fieldnames</w:t>
            </w:r>
            <w:r>
              <w:t xml:space="preserve"> is a sequence of </w:t>
            </w:r>
            <w:r>
              <w:rPr>
                <w:rStyle w:val="Text0"/>
              </w:rPr>
              <w:t>str</w:t>
            </w:r>
            <w:r>
              <w:t xml:space="preserve">s, the keys to the dictionaries. </w:t>
            </w:r>
            <w:r>
              <w:rPr>
                <w:rStyle w:val="Text3"/>
              </w:rPr>
              <w:t>restval</w:t>
            </w:r>
            <w:r>
              <w:t xml:space="preserve"> is the value used to fill up a dictionary that’s missing some keys. </w:t>
            </w:r>
            <w:r>
              <w:rPr>
                <w:rStyle w:val="Text0"/>
              </w:rPr>
              <w:t>extrasaction</w:t>
            </w:r>
            <w:r>
              <w:t xml:space="preserve"> specifies what to do when a dictionary has extra keys not listed in </w:t>
            </w:r>
            <w:r>
              <w:rPr>
                <w:rStyle w:val="Text3"/>
              </w:rPr>
              <w:t>fieldnames</w:t>
            </w:r>
            <w:r>
              <w:t xml:space="preserve">: when </w:t>
            </w:r>
            <w:r>
              <w:rPr>
                <w:rStyle w:val="Text0"/>
              </w:rPr>
              <w:t>'raise'</w:t>
            </w:r>
            <w:r>
              <w:t xml:space="preserve">, the default, the function raises </w:t>
            </w:r>
            <w:r>
              <w:rPr>
                <w:rStyle w:val="Text0"/>
              </w:rPr>
              <w:t>ValueError</w:t>
            </w:r>
            <w:r>
              <w:t xml:space="preserve"> in such cases; when </w:t>
            </w:r>
            <w:r>
              <w:rPr>
                <w:rStyle w:val="Text0"/>
              </w:rPr>
              <w:t>'ignore'</w:t>
            </w:r>
            <w:r>
              <w:t xml:space="preserve">, the function ignores such errors. </w:t>
            </w:r>
            <w:r>
              <w:rPr>
                <w:rStyle w:val="Text0"/>
              </w:rPr>
              <w:t>dialect</w:t>
            </w:r>
            <w:r>
              <w:t xml:space="preserve">, </w:t>
            </w:r>
            <w:r>
              <w:rPr>
                <w:rStyle w:val="Text3"/>
              </w:rPr>
              <w:t>kw</w:t>
            </w:r>
            <w:r>
              <w:t xml:space="preserve">, and </w:t>
            </w:r>
            <w:r>
              <w:rPr>
                <w:rStyle w:val="Text3"/>
              </w:rPr>
              <w:t>args</w:t>
            </w:r>
            <w:r>
              <w:t xml:space="preserve"> are passed to the underlying reader object. You are responsible for closing </w:t>
            </w:r>
            <w:r>
              <w:rPr>
                <w:rStyle w:val="Text3"/>
              </w:rPr>
              <w:t>csvfile</w:t>
            </w:r>
            <w:r>
              <w:t xml:space="preserve"> (usually a file opened with </w:t>
            </w:r>
            <w:r>
              <w:rPr>
                <w:rStyle w:val="Text0"/>
              </w:rPr>
              <w:t>newline=''</w:t>
            </w:r>
            <w:r>
              <w:t>).</w:t>
            </w:r>
          </w:p>
        </w:tc>
      </w:tr>
    </w:tbl>
    <w:tbl>
      <w:tblPr>
        <w:tblW w:type="auto" w:w="0"/>
      </w:tblPr>
      <w:tr>
        <w:tc>
          <w:tcPr>
            <w:tcW w:type="auto" w:w="0"/>
            <w:tcMar>
              <w:left w:type="dxa" w:w="200"/>
              <w:top w:type="dxa" w:w="200"/>
              <w:right w:type="dxa" w:w="200"/>
              <w:bottom w:type="dxa" w:w="200"/>
            </w:tcMar>
            <w:hMerge w:val="restart"/>
          </w:tcPr>
          <w:p>
            <w:bookmarkStart w:id="2942" w:name="a_Opening_a_file_with_newline"/>
            <w:pPr>
              <w:pStyle w:val="Para 036"/>
            </w:pPr>
            <w:hyperlink w:anchor="a_10">
              <w:r>
                <w:rPr>
                  <w:rStyle w:val="Text1"/>
                </w:rPr>
                <w:t>a</w:t>
              </w:r>
            </w:hyperlink>
            <w:r>
              <w:t xml:space="preserve"> Opening a file with </w:t>
            </w:r>
            <w:r>
              <w:rPr>
                <w:rStyle w:val="Text25"/>
              </w:rPr>
              <w:t>newline=''</w:t>
            </w:r>
            <w:r>
              <w:t xml:space="preserve"> allows the </w:t>
            </w:r>
            <w:r>
              <w:rPr>
                <w:rStyle w:val="Text25"/>
              </w:rPr>
              <w:t>csv</w:t>
            </w:r>
            <w:r>
              <w:t xml:space="preserve"> module to use its own newline processing and correctly handle dialects in which text fields may contain newlines.</w:t>
            </w:r>
            <w:bookmarkEnd w:id="2942"/>
          </w:p>
        </w:tc>
        <w:tc>
          <w:tcPr>
            <w:hMerge w:val="continue"/>
          </w:tcPr>
          <w:p/>
        </w:tc>
      </w:tr>
    </w:tbl>
    <w:p>
      <w:bookmarkStart w:id="2943" w:name="A_csv_example__Here_is_a_simple"/>
      <w:pPr>
        <w:keepNext/>
        <w:pStyle w:val="Heading 2"/>
      </w:pPr>
      <w:r>
        <w:t>A csv example</w:t>
      </w:r>
      <w:bookmarkEnd w:id="2943"/>
    </w:p>
    <w:p>
      <w:pPr>
        <w:pStyle w:val="Normal"/>
      </w:pPr>
      <w:r>
        <w:t xml:space="preserve">Here is a simple example using </w:t>
      </w:r>
      <w:r>
        <w:rPr>
          <w:rStyle w:val="Text0"/>
        </w:rPr>
        <w:t>csv</w:t>
      </w:r>
      <w:r>
        <w:t xml:space="preserve"> to read color data from a list of strings:</w:t>
      </w:r>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csv</w:t>
        <w:br w:clear="none"/>
      </w:r>
      <w:r>
        <w:rPr>
          <w:rStyle w:val="Text6"/>
        </w:rPr>
        <w:t xml:space="preserve"/>
        <w:br w:clear="none"/>
        <w:t xml:space="preserve"/>
        <w:br w:clear="none"/>
      </w:r>
      <w:r>
        <w:rPr>
          <w:rStyle w:val="Text9"/>
        </w:rPr>
        <w:t xml:space="preserve">color_data</w:t>
        <w:br w:clear="none"/>
      </w:r>
      <w:r>
        <w:rPr>
          <w:rStyle w:val="Text6"/>
        </w:rPr>
        <w:t xml:space="preserve"> </w:t>
        <w:br w:clear="none"/>
      </w:r>
      <w:r>
        <w:rPr>
          <w:rStyle w:val="Text13"/>
        </w:rPr>
        <w:t xml:space="preserve">=</w:t>
        <w:br w:clear="none"/>
      </w:r>
      <w:r>
        <w:rPr>
          <w:rStyle w:val="Text6"/>
        </w:rPr>
        <w:t xml:space="preserve"> </w:t>
        <w:br w:clear="none"/>
      </w:r>
      <w:r>
        <w:t xml:space="preserve">'''</w:t>
        <w:br w:clear="none"/>
        <w:t xml:space="preserve">\</w:t>
        <w:br w:clear="none"/>
        <w:t xml:space="preserve">color,r,g,b</w:t>
        <w:br w:clear="none"/>
        <w:t xml:space="preserve"/>
        <w:br w:clear="none"/>
        <w:t xml:space="preserve">red,255,0,0</w:t>
        <w:br w:clear="none"/>
        <w:t xml:space="preserve"/>
        <w:br w:clear="none"/>
        <w:t xml:space="preserve">green,0,255,0</w:t>
        <w:br w:clear="none"/>
        <w:t xml:space="preserve"/>
        <w:br w:clear="none"/>
        <w:t xml:space="preserve">blue,0,0,255</w:t>
        <w:br w:clear="none"/>
        <w:t xml:space="preserve"/>
        <w:br w:clear="none"/>
        <w:t xml:space="preserve">cyan,0,255,255</w:t>
        <w:br w:clear="none"/>
        <w:t xml:space="preserve"/>
        <w:br w:clear="none"/>
        <w:t xml:space="preserve">magenta,255,0,255</w:t>
        <w:br w:clear="none"/>
        <w:t xml:space="preserve"/>
        <w:br w:clear="none"/>
        <w:t xml:space="preserve">yellow,255,255,0</w:t>
        <w:br w:clear="none"/>
        <w:t xml:space="preserve"/>
        <w:br w:clear="none"/>
        <w:t xml:space="preserve">'''</w:t>
        <w:br w:clear="none"/>
      </w:r>
      <w:r>
        <w:rPr>
          <w:rStyle w:val="Text13"/>
        </w:rPr>
        <w:t xml:space="preserve">.</w:t>
        <w:br w:clear="none"/>
      </w:r>
      <w:r>
        <w:rPr>
          <w:rStyle w:val="Text9"/>
        </w:rPr>
        <w:t xml:space="preserve">splitlines</w:t>
        <w:br w:clear="none"/>
      </w:r>
      <w:r>
        <w:rPr>
          <w:rStyle w:val="Text7"/>
        </w:rPr>
        <w:t xml:space="preserve">(</w:t>
        <w:br w:clear="none"/>
        <w:t xml:space="preserve">)</w:t>
        <w:br w:clear="none"/>
      </w:r>
      <w:r>
        <w:rPr>
          <w:rStyle w:val="Text6"/>
        </w:rPr>
        <w:t xml:space="preserve"/>
        <w:br w:clear="none"/>
        <w:t xml:space="preserve"/>
        <w:br w:clear="none"/>
      </w:r>
      <w:r>
        <w:rPr>
          <w:rStyle w:val="Text9"/>
        </w:rPr>
        <w:t xml:space="preserve">colors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9"/>
        </w:rPr>
        <w:t xml:space="preserve">row</w:t>
        <w:br w:clear="none"/>
      </w:r>
      <w:r>
        <w:rPr>
          <w:rStyle w:val="Text7"/>
        </w:rPr>
        <w:t xml:space="preserve">[</w:t>
        <w:br w:clear="none"/>
      </w:r>
      <w:r>
        <w:t xml:space="preserve">'</w:t>
        <w:br w:clear="none"/>
        <w:t xml:space="preserve">color</w:t>
        <w:br w:clear="none"/>
        <w:t xml:space="preserve">'</w:t>
        <w:br w:clear="none"/>
      </w:r>
      <w:r>
        <w:rPr>
          <w:rStyle w:val="Text7"/>
        </w:rPr>
        <w:t xml:space="preserve">]</w:t>
        <w:br w:clear="none"/>
        <w:t xml:space="preserve">:</w:t>
        <w:br w:clear="none"/>
      </w:r>
      <w:r>
        <w:rPr>
          <w:rStyle w:val="Text6"/>
        </w:rPr>
        <w:t xml:space="preserve"> </w:t>
        <w:br w:clear="none"/>
        <w:t xml:space="preserve"/>
        <w:br w:clear="none"/>
        <w:t xml:space="preserve">          </w:t>
        <w:br w:clear="none"/>
      </w:r>
      <w:r>
        <w:rPr>
          <w:rStyle w:val="Text9"/>
        </w:rPr>
        <w:t xml:space="preserve">row</w:t>
        <w:br w:clear="none"/>
      </w:r>
      <w:r>
        <w:rPr>
          <w:rStyle w:val="Text6"/>
        </w:rPr>
        <w:t xml:space="preserve"> </w:t>
        <w:br w:clear="none"/>
      </w:r>
      <w:r>
        <w:rPr>
          <w:rStyle w:val="Text10"/>
        </w:rPr>
        <w:t xml:space="preserve">for</w:t>
        <w:br w:clear="none"/>
      </w:r>
      <w:r>
        <w:rPr>
          <w:rStyle w:val="Text6"/>
        </w:rPr>
        <w:t xml:space="preserve"> </w:t>
        <w:br w:clear="none"/>
      </w:r>
      <w:r>
        <w:rPr>
          <w:rStyle w:val="Text9"/>
        </w:rPr>
        <w:t xml:space="preserve">row</w:t>
        <w:br w:clear="none"/>
      </w:r>
      <w:r>
        <w:rPr>
          <w:rStyle w:val="Text6"/>
        </w:rPr>
        <w:t xml:space="preserve"> </w:t>
        <w:br w:clear="none"/>
      </w:r>
      <w:r>
        <w:rPr>
          <w:rStyle w:val="Text31"/>
        </w:rPr>
        <w:t xml:space="preserve">in</w:t>
        <w:br w:clear="none"/>
      </w:r>
      <w:r>
        <w:rPr>
          <w:rStyle w:val="Text6"/>
        </w:rPr>
        <w:t xml:space="preserve"> </w:t>
        <w:br w:clear="none"/>
      </w:r>
      <w:r>
        <w:rPr>
          <w:rStyle w:val="Text9"/>
        </w:rPr>
        <w:t xml:space="preserve">csv</w:t>
        <w:br w:clear="none"/>
      </w:r>
      <w:r>
        <w:rPr>
          <w:rStyle w:val="Text13"/>
        </w:rPr>
        <w:t xml:space="preserve">.</w:t>
        <w:br w:clear="none"/>
      </w:r>
      <w:r>
        <w:rPr>
          <w:rStyle w:val="Text9"/>
        </w:rPr>
        <w:t xml:space="preserve">DictReader</w:t>
        <w:br w:clear="none"/>
      </w:r>
      <w:r>
        <w:rPr>
          <w:rStyle w:val="Text7"/>
        </w:rPr>
        <w:t xml:space="preserve">(</w:t>
        <w:br w:clear="none"/>
      </w:r>
      <w:r>
        <w:rPr>
          <w:rStyle w:val="Text9"/>
        </w:rPr>
        <w:t xml:space="preserve">color_data</w:t>
        <w:br w:clear="none"/>
      </w:r>
      <w:r>
        <w:rPr>
          <w:rStyle w:val="Text7"/>
        </w:rPr>
        <w:t xml:space="preserve">)</w:t>
        <w:br w:clear="none"/>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rPr>
          <w:rStyle w:val="Text9"/>
        </w:rPr>
        <w:t xml:space="preserve">colors</w:t>
        <w:br w:clear="none"/>
      </w:r>
      <w:r>
        <w:rPr>
          <w:rStyle w:val="Text7"/>
        </w:rPr>
        <w:t xml:space="preserve">[</w:t>
        <w:br w:clear="none"/>
      </w:r>
      <w:r>
        <w:t xml:space="preserve">'</w:t>
        <w:br w:clear="none"/>
        <w:t xml:space="preserve">red</w:t>
        <w:br w:clear="none"/>
        <w:t xml:space="preserve">'</w:t>
        <w:br w:clear="none"/>
      </w:r>
      <w:r>
        <w:rPr>
          <w:rStyle w:val="Text7"/>
        </w:rPr>
        <w:t xml:space="preserve">]</w:t>
        <w:br w:clear="none"/>
        <w:t xml:space="preserve">)</w:t>
        <w:br w:clear="none"/>
      </w:r>
      <w:r>
        <w:rPr>
          <w:rStyle w:val="Text6"/>
        </w:rPr>
        <w:t xml:space="preserve"> </w:t>
        <w:br w:clear="none"/>
        <w:t xml:space="preserve"/>
        <w:br w:clear="none"/>
      </w:r>
      <w:r>
        <w:rPr>
          <w:rStyle w:val="Text15"/>
        </w:rPr>
        <w:t xml:space="preserve"># prints: {'color': 'red', 'r': '255', 'g': '0', 'b': '0'}</w:t>
        <w:br w:clear="none"/>
      </w:r>
    </w:p>
    <w:p>
      <w:pPr>
        <w:pStyle w:val="Normal"/>
      </w:pPr>
      <w:r>
        <w:t xml:space="preserve">Note that the integer values are read as strings. </w:t>
      </w:r>
      <w:r>
        <w:rPr>
          <w:rStyle w:val="Text0"/>
        </w:rPr>
        <w:t>csv</w:t>
      </w:r>
      <w:r>
        <w:t xml:space="preserve"> does not do any data conversion; that needs to be done by your program code with the </w:t>
      </w:r>
      <w:r>
        <w:rPr>
          <w:rStyle w:val="Text0"/>
        </w:rPr>
        <w:t>dict</w:t>
      </w:r>
      <w:r>
        <w:t xml:space="preserve">s returned from </w:t>
      </w:r>
      <w:r>
        <w:rPr>
          <w:rStyle w:val="Text0"/>
        </w:rPr>
        <w:t>DictReader</w:t>
      </w:r>
      <w:r>
        <w:t>.</w:t>
      </w:r>
      <w:r>
        <w:rPr>
          <w:rStyle w:val="Text111"/>
        </w:rPr>
        <w:bookmarkStart w:id="2944" w:name="idm45965200380592"/>
        <w:t/>
        <w:bookmarkEnd w:id="2944"/>
        <w:bookmarkStart w:id="2945" w:name="idm45965200379184"/>
        <w:t/>
        <w:bookmarkEnd w:id="2945"/>
      </w:r>
    </w:p>
    <w:p>
      <w:bookmarkStart w:id="2946" w:name="The_json_Module__The_standard_li"/>
      <w:pPr>
        <w:keepNext/>
        <w:pStyle w:val="Heading 2"/>
      </w:pPr>
      <w:r>
        <w:t>The json Module</w:t>
      </w:r>
      <w:bookmarkEnd w:id="2946"/>
    </w:p>
    <w:p>
      <w:pPr>
        <w:pStyle w:val="Normal"/>
      </w:pPr>
      <w:r>
        <w:t>The</w:t>
      </w:r>
      <w:r>
        <w:rPr>
          <w:rStyle w:val="Text111"/>
        </w:rPr>
        <w:bookmarkStart w:id="2947" w:name="idm45965200375904"/>
        <w:t/>
        <w:bookmarkEnd w:id="2947"/>
        <w:bookmarkStart w:id="2948" w:name="jsonmod12"/>
        <w:t/>
        <w:bookmarkEnd w:id="2948"/>
        <w:bookmarkStart w:id="2949" w:name="SLMjson12"/>
        <w:t/>
        <w:bookmarkEnd w:id="2949"/>
      </w:r>
      <w:r>
        <w:t xml:space="preserve"> standard library’s </w:t>
      </w:r>
      <w:r>
        <w:rPr>
          <w:rStyle w:val="Text0"/>
        </w:rPr>
        <w:t>json</w:t>
      </w:r>
      <w:r>
        <w:t xml:space="preserve"> module supports serialization for Python’s native data types (</w:t>
      </w:r>
      <w:r>
        <w:rPr>
          <w:rStyle w:val="Text0"/>
        </w:rPr>
        <w:t>tuple</w:t>
      </w:r>
      <w:r>
        <w:t xml:space="preserve">, </w:t>
      </w:r>
      <w:r>
        <w:rPr>
          <w:rStyle w:val="Text0"/>
        </w:rPr>
        <w:t>list</w:t>
      </w:r>
      <w:r>
        <w:t xml:space="preserve">, </w:t>
      </w:r>
      <w:r>
        <w:rPr>
          <w:rStyle w:val="Text0"/>
        </w:rPr>
        <w:t>dict</w:t>
      </w:r>
      <w:r>
        <w:t xml:space="preserve">, </w:t>
      </w:r>
      <w:r>
        <w:rPr>
          <w:rStyle w:val="Text0"/>
        </w:rPr>
        <w:t>int</w:t>
      </w:r>
      <w:r>
        <w:t xml:space="preserve">, </w:t>
      </w:r>
      <w:r>
        <w:rPr>
          <w:rStyle w:val="Text0"/>
        </w:rPr>
        <w:t>str</w:t>
      </w:r>
      <w:r>
        <w:t xml:space="preserve">, etc.). To serialize instances of your own custom classes, you should implement corresponding classes inheriting from </w:t>
      </w:r>
      <w:r>
        <w:rPr>
          <w:rStyle w:val="Text0"/>
        </w:rPr>
        <w:t>JSONEncoder</w:t>
      </w:r>
      <w:r>
        <w:t xml:space="preserve"> and </w:t>
      </w:r>
      <w:r>
        <w:rPr>
          <w:rStyle w:val="Text0"/>
        </w:rPr>
        <w:t>JSONDecoder</w:t>
      </w:r>
      <w:r>
        <w:t>.</w:t>
      </w:r>
    </w:p>
    <w:p>
      <w:bookmarkStart w:id="2950" w:name="json_functions__The_json_module"/>
      <w:pPr>
        <w:keepNext/>
        <w:pStyle w:val="Heading 2"/>
      </w:pPr>
      <w:r>
        <w:t>json functions</w:t>
      </w:r>
      <w:bookmarkEnd w:id="2950"/>
    </w:p>
    <w:p>
      <w:pPr>
        <w:pStyle w:val="Normal"/>
      </w:pPr>
      <w:r>
        <w:t xml:space="preserve">The </w:t>
      </w:r>
      <w:r>
        <w:rPr>
          <w:rStyle w:val="Text0"/>
        </w:rPr>
        <w:t>json</w:t>
      </w:r>
      <w:r>
        <w:t xml:space="preserve"> module supplies four key functions, detailed in </w:t>
      </w:r>
      <w:hyperlink w:anchor="Table_12_2__Functions_of_the_jso">
        <w:r>
          <w:rPr>
            <w:rStyle w:val="Text1"/>
          </w:rPr>
          <w:t>Table 12-2</w:t>
        </w:r>
      </w:hyperlink>
      <w:r>
        <w:t>.</w:t>
      </w:r>
    </w:p>
    <w:tbl>
      <w:tblPr>
        <w:tblW w:type="auto" w:w="0"/>
      </w:tblPr>
      <w:tr>
        <w:tc>
          <w:tcPr>
            <w:tcW w:type="auto" w:w="0"/>
            <w:tcMar>
              <w:left w:type="dxa" w:w="200"/>
              <w:top w:type="dxa" w:w="200"/>
              <w:right w:type="dxa" w:w="200"/>
              <w:bottom w:type="dxa" w:w="200"/>
            </w:tcMar>
          </w:tcPr>
          <w:p>
            <w:bookmarkStart w:id="2951" w:name="Table_12_2__Functions_of_the_jso"/>
            <w:pPr>
              <w:pStyle w:val="Para 011"/>
            </w:pPr>
            <w:r>
              <w:rPr>
                <w:rStyle w:val="Text117"/>
              </w:rPr>
              <w:t/>
            </w:r>
            <w:r>
              <w:t xml:space="preserve">Table 12-2. </w:t>
              <w:t xml:space="preserve">Functions of the </w:t>
            </w:r>
            <w:r>
              <w:rPr>
                <w:rStyle w:val="Text0"/>
              </w:rPr>
              <w:t>json</w:t>
            </w:r>
            <w:r>
              <w:t xml:space="preserve"> module</w:t>
            </w:r>
            <w:bookmarkEnd w:id="2951"/>
          </w:p>
          <w:p>
            <w:pPr>
              <w:pStyle w:val="Para 001"/>
            </w:pPr>
            <w:r>
              <w:t>dump</w:t>
            </w:r>
          </w:p>
        </w:tc>
        <w:tc>
          <w:tcPr>
            <w:tcW w:type="auto" w:w="0"/>
            <w:tcMar>
              <w:left w:type="dxa" w:w="200"/>
              <w:top w:type="dxa" w:w="200"/>
              <w:right w:type="dxa" w:w="200"/>
              <w:bottom w:type="dxa" w:w="200"/>
            </w:tcMar>
          </w:tcPr>
          <w:p>
            <w:pPr>
              <w:pStyle w:val="Para 002"/>
            </w:pPr>
            <w:r>
              <w:rPr>
                <w:rStyle w:val="Text0"/>
              </w:rPr>
              <w:t>dump(</w:t>
            </w:r>
            <w:r>
              <w:rPr>
                <w:rStyle w:val="Text3"/>
              </w:rPr>
              <w:t>value</w:t>
            </w:r>
            <w:r>
              <w:rPr>
                <w:rStyle w:val="Text0"/>
              </w:rPr>
              <w:t>,</w:t>
            </w:r>
            <w:r>
              <w:t xml:space="preserve"> </w:t>
            </w:r>
            <w:r>
              <w:rPr>
                <w:rStyle w:val="Text3"/>
              </w:rPr>
              <w:t>fileobj</w:t>
            </w:r>
            <w:r>
              <w:rPr>
                <w:rStyle w:val="Text0"/>
              </w:rPr>
              <w:t>, skipkeys=</w:t>
            </w:r>
            <w:r>
              <w:rPr>
                <w:rStyle w:val="Text5"/>
              </w:rPr>
              <w:t>False</w:t>
            </w:r>
            <w:r>
              <w:rPr>
                <w:rStyle w:val="Text0"/>
              </w:rPr>
              <w:t>, ensure_ascii=</w:t>
            </w:r>
            <w:r>
              <w:rPr>
                <w:rStyle w:val="Text5"/>
              </w:rPr>
              <w:t>True</w:t>
            </w:r>
            <w:r>
              <w:rPr>
                <w:rStyle w:val="Text0"/>
              </w:rPr>
              <w:t>, check_circular=</w:t>
            </w:r>
            <w:r>
              <w:rPr>
                <w:rStyle w:val="Text5"/>
              </w:rPr>
              <w:t>True</w:t>
            </w:r>
            <w:r>
              <w:rPr>
                <w:rStyle w:val="Text0"/>
              </w:rPr>
              <w:t>, allow_nan=</w:t>
            </w:r>
            <w:r>
              <w:rPr>
                <w:rStyle w:val="Text5"/>
              </w:rPr>
              <w:t>True</w:t>
            </w:r>
            <w:r>
              <w:rPr>
                <w:rStyle w:val="Text0"/>
              </w:rPr>
              <w:t>, cls=JSONEncoder, indent=</w:t>
            </w:r>
            <w:r>
              <w:rPr>
                <w:rStyle w:val="Text5"/>
              </w:rPr>
              <w:t>None</w:t>
            </w:r>
            <w:r>
              <w:rPr>
                <w:rStyle w:val="Text0"/>
              </w:rPr>
              <w:t>, separators=(', ', ': '), default=</w:t>
            </w:r>
            <w:r>
              <w:rPr>
                <w:rStyle w:val="Text5"/>
              </w:rPr>
              <w:t>None</w:t>
            </w:r>
            <w:r>
              <w:rPr>
                <w:rStyle w:val="Text0"/>
              </w:rPr>
              <w:t>, sort_keys=</w:t>
            </w:r>
            <w:r>
              <w:rPr>
                <w:rStyle w:val="Text5"/>
              </w:rPr>
              <w:t>False</w:t>
            </w:r>
            <w:r>
              <w:rPr>
                <w:rStyle w:val="Text0"/>
              </w:rPr>
              <w:t>,</w:t>
            </w:r>
            <w:r>
              <w:t xml:space="preserve"> </w:t>
            </w:r>
            <w:r>
              <w:rPr>
                <w:rStyle w:val="Text3"/>
              </w:rPr>
              <w:t>**kw</w:t>
            </w:r>
            <w:r>
              <w:rPr>
                <w:rStyle w:val="Text0"/>
              </w:rPr>
              <w:t>)</w:t>
              <w:br w:clear="none"/>
            </w:r>
            <w:r>
              <w:t xml:space="preserve"> Writes the JSON serialization of object </w:t>
            </w:r>
            <w:r>
              <w:rPr>
                <w:rStyle w:val="Text3"/>
              </w:rPr>
              <w:t>value</w:t>
            </w:r>
            <w:r>
              <w:t xml:space="preserve"> to file-like object </w:t>
            </w:r>
            <w:r>
              <w:rPr>
                <w:rStyle w:val="Text3"/>
              </w:rPr>
              <w:t>fileobj</w:t>
            </w:r>
            <w:r>
              <w:t xml:space="preserve">, which must be opened for writing in text mode, via calls to </w:t>
            </w:r>
            <w:r>
              <w:rPr>
                <w:rStyle w:val="Text3"/>
              </w:rPr>
              <w:t>fileobj</w:t>
            </w:r>
            <w:r>
              <w:t>.</w:t>
            </w:r>
            <w:r>
              <w:rPr>
                <w:rStyle w:val="Text0"/>
              </w:rPr>
              <w:t>write</w:t>
            </w:r>
            <w:r>
              <w:t xml:space="preserve">. Each call to </w:t>
            </w:r>
            <w:r>
              <w:rPr>
                <w:rStyle w:val="Text3"/>
              </w:rPr>
              <w:t>fileobj</w:t>
            </w:r>
            <w:r>
              <w:rPr>
                <w:rStyle w:val="Text0"/>
              </w:rPr>
              <w:t>.write</w:t>
            </w:r>
            <w:r>
              <w:t xml:space="preserve"> passes a text string as an argument.</w:t>
              <w:br w:clear="none"/>
              <w:t xml:space="preserve"> When </w:t>
            </w:r>
            <w:r>
              <w:rPr>
                <w:rStyle w:val="Text0"/>
              </w:rPr>
              <w:t>skipkeys</w:t>
            </w:r>
            <w:r>
              <w:t xml:space="preserve"> is </w:t>
            </w:r>
            <w:r>
              <w:rPr>
                <w:rStyle w:val="Text5"/>
              </w:rPr>
              <w:t>True</w:t>
            </w:r>
            <w:r>
              <w:t xml:space="preserve"> (by default, it’s </w:t>
            </w:r>
            <w:r>
              <w:rPr>
                <w:rStyle w:val="Text5"/>
              </w:rPr>
              <w:t>False</w:t>
            </w:r>
            <w:r>
              <w:t xml:space="preserve">), </w:t>
            </w:r>
            <w:r>
              <w:rPr>
                <w:rStyle w:val="Text0"/>
              </w:rPr>
              <w:t>dict</w:t>
            </w:r>
            <w:r>
              <w:t xml:space="preserve"> keys that are not scalars (i.e., are not of types </w:t>
            </w:r>
            <w:r>
              <w:rPr>
                <w:rStyle w:val="Text0"/>
              </w:rPr>
              <w:t>bool</w:t>
            </w:r>
            <w:r>
              <w:t xml:space="preserve">, </w:t>
            </w:r>
            <w:r>
              <w:rPr>
                <w:rStyle w:val="Text0"/>
              </w:rPr>
              <w:t>float</w:t>
            </w:r>
            <w:r>
              <w:t xml:space="preserve">, </w:t>
            </w:r>
            <w:r>
              <w:rPr>
                <w:rStyle w:val="Text0"/>
              </w:rPr>
              <w:t>int</w:t>
            </w:r>
            <w:r>
              <w:t xml:space="preserve">, </w:t>
            </w:r>
            <w:r>
              <w:rPr>
                <w:rStyle w:val="Text0"/>
              </w:rPr>
              <w:t>str</w:t>
            </w:r>
            <w:r>
              <w:t xml:space="preserve">, or </w:t>
            </w:r>
            <w:r>
              <w:rPr>
                <w:rStyle w:val="Text5"/>
              </w:rPr>
              <w:t>None</w:t>
            </w:r>
            <w:r>
              <w:rPr>
                <w:rStyle w:val="Text37"/>
              </w:rPr>
              <w:t>)</w:t>
            </w:r>
            <w:r>
              <w:t xml:space="preserve"> raise an exception. In any case, keys that </w:t>
            </w:r>
            <w:r>
              <w:rPr>
                <w:rStyle w:val="Text4"/>
              </w:rPr>
              <w:t>are</w:t>
            </w:r>
            <w:r>
              <w:t xml:space="preserve"> scalars are turned into strings (e.g., </w:t>
            </w:r>
            <w:r>
              <w:rPr>
                <w:rStyle w:val="Text5"/>
              </w:rPr>
              <w:t>None</w:t>
            </w:r>
            <w:r>
              <w:t xml:space="preserve"> becomes </w:t>
            </w:r>
            <w:r>
              <w:rPr>
                <w:rStyle w:val="Text0"/>
              </w:rPr>
              <w:t>'null'</w:t>
            </w:r>
            <w:r>
              <w:t>): JSON only allows strings as keys in its mappings.</w:t>
            </w:r>
          </w:p>
        </w:tc>
      </w:tr>
    </w:tbl>
    <w:tbl>
      <w:tblPr>
        <w:tblW w:type="auto" w:w="0"/>
      </w:tblPr>
      <w:tr>
        <w:tc>
          <w:tcPr>
            <w:tcW w:type="auto" w:w="0"/>
            <w:shd w:val="clear" w:color="auto" w:fill="EEF2F6"/>
            <w:tcMar>
              <w:left w:type="dxa" w:w="200"/>
              <w:top w:type="dxa" w:w="200"/>
              <w:right w:type="dxa" w:w="200"/>
              <w:bottom w:type="dxa" w:w="200"/>
            </w:tcMar>
          </w:tcPr>
          <w:p>
            <w:pPr>
              <w:pStyle w:val="Para 052"/>
            </w:pPr>
            <w:r>
              <w:rPr>
                <w:rStyle w:val="Text50"/>
              </w:rPr>
              <w:t>dump</w:t>
              <w:br w:clear="none"/>
            </w:r>
            <w:r>
              <w:rPr>
                <w:rStyle w:val="Text4"/>
              </w:rPr>
              <w:t xml:space="preserve"> </w:t>
            </w:r>
            <w:r>
              <w:t>(cont.)</w:t>
            </w:r>
          </w:p>
        </w:tc>
        <w:tc>
          <w:tcPr>
            <w:tcW w:type="auto" w:w="0"/>
            <w:shd w:val="clear" w:color="auto" w:fill="EEF2F6"/>
            <w:tcMar>
              <w:left w:type="dxa" w:w="200"/>
              <w:top w:type="dxa" w:w="200"/>
              <w:right w:type="dxa" w:w="200"/>
              <w:bottom w:type="dxa" w:w="200"/>
            </w:tcMar>
          </w:tcPr>
          <w:p>
            <w:pPr>
              <w:pStyle w:val="Para 002"/>
            </w:pPr>
            <w:r>
              <w:t xml:space="preserve">When </w:t>
            </w:r>
            <w:r>
              <w:rPr>
                <w:rStyle w:val="Text0"/>
              </w:rPr>
              <w:t>ensure_ascii</w:t>
            </w:r>
            <w:r>
              <w:t xml:space="preserve"> is </w:t>
            </w:r>
            <w:r>
              <w:rPr>
                <w:rStyle w:val="Text5"/>
              </w:rPr>
              <w:t>True</w:t>
            </w:r>
            <w:r>
              <w:t xml:space="preserve"> (the default), all non-ASCII characters in the output are escaped; when it’s </w:t>
            </w:r>
            <w:r>
              <w:rPr>
                <w:rStyle w:val="Text5"/>
              </w:rPr>
              <w:t>False</w:t>
            </w:r>
            <w:r>
              <w:t>, they’re output as is.</w:t>
              <w:br w:clear="none"/>
              <w:t xml:space="preserve"> When </w:t>
            </w:r>
            <w:r>
              <w:rPr>
                <w:rStyle w:val="Text0"/>
              </w:rPr>
              <w:t>check_circular</w:t>
            </w:r>
            <w:r>
              <w:t xml:space="preserve"> is </w:t>
            </w:r>
            <w:r>
              <w:rPr>
                <w:rStyle w:val="Text5"/>
              </w:rPr>
              <w:t>True</w:t>
            </w:r>
            <w:r>
              <w:t xml:space="preserve"> (the default), containers in </w:t>
            </w:r>
            <w:r>
              <w:rPr>
                <w:rStyle w:val="Text3"/>
              </w:rPr>
              <w:t>value</w:t>
            </w:r>
            <w:r>
              <w:t xml:space="preserve"> are checked for circular references and a </w:t>
            </w:r>
            <w:r>
              <w:rPr>
                <w:rStyle w:val="Text0"/>
              </w:rPr>
              <w:t>ValueError</w:t>
            </w:r>
            <w:r>
              <w:t xml:space="preserve"> exception is raised if any are found; when it’s </w:t>
            </w:r>
            <w:r>
              <w:rPr>
                <w:rStyle w:val="Text5"/>
              </w:rPr>
              <w:t>False</w:t>
            </w:r>
            <w:r>
              <w:t>, the check is skipped, and many different exceptions can get raised as a result (even a crash is possible).</w:t>
              <w:br w:clear="none"/>
              <w:t xml:space="preserve"> When </w:t>
            </w:r>
            <w:r>
              <w:rPr>
                <w:rStyle w:val="Text0"/>
              </w:rPr>
              <w:t>allow_nan</w:t>
            </w:r>
            <w:r>
              <w:t xml:space="preserve"> is </w:t>
            </w:r>
            <w:r>
              <w:rPr>
                <w:rStyle w:val="Text5"/>
              </w:rPr>
              <w:t>True</w:t>
            </w:r>
            <w:r>
              <w:t xml:space="preserve"> (the default), float scalars </w:t>
            </w:r>
            <w:r>
              <w:rPr>
                <w:rStyle w:val="Text0"/>
              </w:rPr>
              <w:t>nan</w:t>
            </w:r>
            <w:r>
              <w:t xml:space="preserve">, </w:t>
            </w:r>
            <w:r>
              <w:rPr>
                <w:rStyle w:val="Text0"/>
              </w:rPr>
              <w:t>inf</w:t>
            </w:r>
            <w:r>
              <w:t xml:space="preserve">, and </w:t>
            </w:r>
            <w:r>
              <w:rPr>
                <w:rStyle w:val="Text0"/>
              </w:rPr>
              <w:t>-inf</w:t>
            </w:r>
            <w:r>
              <w:t xml:space="preserve"> are output as their respective JavaScript equivalents, </w:t>
            </w:r>
            <w:r>
              <w:rPr>
                <w:rStyle w:val="Text0"/>
              </w:rPr>
              <w:t>NaN</w:t>
            </w:r>
            <w:r>
              <w:t xml:space="preserve">, </w:t>
            </w:r>
            <w:r>
              <w:rPr>
                <w:rStyle w:val="Text0"/>
              </w:rPr>
              <w:t>Infinity</w:t>
            </w:r>
            <w:r>
              <w:t xml:space="preserve">, and </w:t>
            </w:r>
            <w:r>
              <w:rPr>
                <w:rStyle w:val="Text0"/>
              </w:rPr>
              <w:t>-Infinity</w:t>
            </w:r>
            <w:r>
              <w:t xml:space="preserve">; when it’s </w:t>
            </w:r>
            <w:r>
              <w:rPr>
                <w:rStyle w:val="Text5"/>
              </w:rPr>
              <w:t>False</w:t>
            </w:r>
            <w:r>
              <w:t xml:space="preserve">, the presence of such scalars raises a </w:t>
            </w:r>
            <w:r>
              <w:rPr>
                <w:rStyle w:val="Text0"/>
              </w:rPr>
              <w:t>ValueError</w:t>
            </w:r>
            <w:r>
              <w:t xml:space="preserve"> exception.</w:t>
              <w:br w:clear="none"/>
              <w:t xml:space="preserve"> You can optionally pass </w:t>
            </w:r>
            <w:r>
              <w:rPr>
                <w:rStyle w:val="Text0"/>
              </w:rPr>
              <w:t>cls</w:t>
            </w:r>
            <w:r>
              <w:t xml:space="preserve"> in order to use a customized subclass of </w:t>
            </w:r>
            <w:r>
              <w:rPr>
                <w:rStyle w:val="Text0"/>
              </w:rPr>
              <w:t>JSONEncoder</w:t>
            </w:r>
            <w:r>
              <w:t xml:space="preserve"> (such advanced customization is rarely needed, and we don’t cover it in this book); in this case, </w:t>
            </w:r>
            <w:r>
              <w:rPr>
                <w:rStyle w:val="Text0"/>
              </w:rPr>
              <w:t>**</w:t>
            </w:r>
            <w:r>
              <w:rPr>
                <w:rStyle w:val="Text3"/>
              </w:rPr>
              <w:t>kw</w:t>
            </w:r>
            <w:r>
              <w:t xml:space="preserve"> gets passed in the call to </w:t>
            </w:r>
            <w:r>
              <w:rPr>
                <w:rStyle w:val="Text0"/>
              </w:rPr>
              <w:t>cls</w:t>
            </w:r>
            <w:r>
              <w:t xml:space="preserve"> that instantiates it. By default, encoding uses the </w:t>
            </w:r>
            <w:r>
              <w:rPr>
                <w:rStyle w:val="Text0"/>
              </w:rPr>
              <w:t>JSONEncoder</w:t>
            </w:r>
            <w:r>
              <w:t xml:space="preserve"> class directly.</w:t>
              <w:br w:clear="none"/>
              <w:t xml:space="preserve"> When </w:t>
            </w:r>
            <w:r>
              <w:rPr>
                <w:rStyle w:val="Text0"/>
              </w:rPr>
              <w:t>indent</w:t>
            </w:r>
            <w:r>
              <w:t xml:space="preserve"> is an </w:t>
            </w:r>
            <w:r>
              <w:rPr>
                <w:rStyle w:val="Text0"/>
              </w:rPr>
              <w:t>int &gt; 0</w:t>
            </w:r>
            <w:r>
              <w:t xml:space="preserve">, </w:t>
            </w:r>
            <w:r>
              <w:rPr>
                <w:rStyle w:val="Text0"/>
              </w:rPr>
              <w:t>dump</w:t>
            </w:r>
            <w:r>
              <w:t xml:space="preserve"> “pretty-prints” the output by prepending that many spaces to each array element and object member; when it’s an </w:t>
            </w:r>
            <w:r>
              <w:rPr>
                <w:rStyle w:val="Text0"/>
              </w:rPr>
              <w:t>int &lt;= 0</w:t>
            </w:r>
            <w:r>
              <w:t xml:space="preserve">, </w:t>
            </w:r>
            <w:r>
              <w:rPr>
                <w:rStyle w:val="Text0"/>
              </w:rPr>
              <w:t>dump</w:t>
            </w:r>
            <w:r>
              <w:t xml:space="preserve"> just inserts </w:t>
            </w:r>
            <w:r>
              <w:rPr>
                <w:rStyle w:val="Text0"/>
              </w:rPr>
              <w:t>\n</w:t>
            </w:r>
            <w:r>
              <w:t xml:space="preserve"> characters. When </w:t>
            </w:r>
            <w:r>
              <w:rPr>
                <w:rStyle w:val="Text0"/>
              </w:rPr>
              <w:t>indent</w:t>
            </w:r>
            <w:r>
              <w:t xml:space="preserve"> is </w:t>
            </w:r>
            <w:r>
              <w:rPr>
                <w:rStyle w:val="Text5"/>
              </w:rPr>
              <w:t>None</w:t>
            </w:r>
            <w:r>
              <w:t xml:space="preserve"> (the default), </w:t>
            </w:r>
            <w:r>
              <w:rPr>
                <w:rStyle w:val="Text0"/>
              </w:rPr>
              <w:t>dump</w:t>
            </w:r>
            <w:r>
              <w:t xml:space="preserve"> uses the most compact representation. </w:t>
            </w:r>
            <w:r>
              <w:rPr>
                <w:rStyle w:val="Text0"/>
              </w:rPr>
              <w:t>indent</w:t>
            </w:r>
            <w:r>
              <w:t xml:space="preserve"> can also be a </w:t>
            </w:r>
            <w:r>
              <w:rPr>
                <w:rStyle w:val="Text0"/>
              </w:rPr>
              <w:t>str</w:t>
            </w:r>
            <w:r>
              <w:t xml:space="preserve">—for example, </w:t>
            </w:r>
            <w:r>
              <w:rPr>
                <w:rStyle w:val="Text0"/>
              </w:rPr>
              <w:t>'\t'</w:t>
            </w:r>
            <w:r>
              <w:t xml:space="preserve">—and in that case </w:t>
            </w:r>
            <w:r>
              <w:rPr>
                <w:rStyle w:val="Text0"/>
              </w:rPr>
              <w:t>dump</w:t>
            </w:r>
            <w:r>
              <w:t xml:space="preserve"> uses that string for indenting.</w:t>
              <w:br w:clear="none"/>
              <w:t xml:space="preserve"> </w:t>
            </w:r>
            <w:r>
              <w:rPr>
                <w:rStyle w:val="Text0"/>
              </w:rPr>
              <w:t>separators</w:t>
            </w:r>
            <w:r>
              <w:t xml:space="preserve"> must be a tuple with two items, respectively the strings used to separate items and to separate keys from values. You can explicitly pass </w:t>
            </w:r>
            <w:r>
              <w:rPr>
                <w:rStyle w:val="Text0"/>
              </w:rPr>
              <w:t>separators=(',', ':')</w:t>
            </w:r>
            <w:r>
              <w:t xml:space="preserve"> to ensure </w:t>
            </w:r>
            <w:r>
              <w:rPr>
                <w:rStyle w:val="Text0"/>
              </w:rPr>
              <w:t>dump</w:t>
            </w:r>
            <w:r>
              <w:t xml:space="preserve"> inserts no whitespace.</w:t>
              <w:br w:clear="none"/>
              <w:t xml:space="preserve"> You can optionally pass </w:t>
            </w:r>
            <w:r>
              <w:rPr>
                <w:rStyle w:val="Text0"/>
              </w:rPr>
              <w:t>default</w:t>
            </w:r>
            <w:r>
              <w:t xml:space="preserve"> in order to transform some otherwise nonserializable objects into serializable ones. </w:t>
            </w:r>
            <w:r>
              <w:rPr>
                <w:rStyle w:val="Text0"/>
              </w:rPr>
              <w:t>default</w:t>
            </w:r>
            <w:r>
              <w:t xml:space="preserve"> is a function called with a single argument that’s a nonserializable object, and it must return a serializable object or raise </w:t>
            </w:r>
            <w:r>
              <w:rPr>
                <w:rStyle w:val="Text0"/>
              </w:rPr>
              <w:t>ValueError</w:t>
            </w:r>
            <w:r>
              <w:t xml:space="preserve"> (by default, the presence of nonserializable objects raises </w:t>
            </w:r>
            <w:r>
              <w:rPr>
                <w:rStyle w:val="Text0"/>
              </w:rPr>
              <w:t>ValueError</w:t>
            </w:r>
            <w:r>
              <w:t>).</w:t>
              <w:br w:clear="none"/>
              <w:t xml:space="preserve"> When </w:t>
            </w:r>
            <w:r>
              <w:rPr>
                <w:rStyle w:val="Text0"/>
              </w:rPr>
              <w:t>sort_keys</w:t>
            </w:r>
            <w:r>
              <w:t xml:space="preserve"> is </w:t>
            </w:r>
            <w:r>
              <w:rPr>
                <w:rStyle w:val="Text5"/>
              </w:rPr>
              <w:t>True</w:t>
            </w:r>
            <w:r>
              <w:t xml:space="preserve"> (by default, it’s </w:t>
            </w:r>
            <w:r>
              <w:rPr>
                <w:rStyle w:val="Text5"/>
              </w:rPr>
              <w:t>False</w:t>
            </w:r>
            <w:r>
              <w:t xml:space="preserve">), mappings are output in sorted order of their keys; when </w:t>
            </w:r>
            <w:r>
              <w:rPr>
                <w:rStyle w:val="Text5"/>
              </w:rPr>
              <w:t>False</w:t>
            </w:r>
            <w:r>
              <w:t>, they’re output in whatever is their natural order of iteration (nowadays, for most mappings, insertion order).</w:t>
            </w:r>
          </w:p>
        </w:tc>
      </w:tr>
    </w:tbl>
    <w:tbl>
      <w:tblPr>
        <w:tblW w:type="auto" w:w="0"/>
      </w:tblPr>
      <w:tr>
        <w:tc>
          <w:tcPr>
            <w:tcW w:type="auto" w:w="0"/>
            <w:tcMar>
              <w:left w:type="dxa" w:w="200"/>
              <w:top w:type="dxa" w:w="200"/>
              <w:right w:type="dxa" w:w="200"/>
              <w:bottom w:type="dxa" w:w="200"/>
            </w:tcMar>
          </w:tcPr>
          <w:p>
            <w:pPr>
              <w:pStyle w:val="Para 001"/>
            </w:pPr>
            <w:r>
              <w:t>dumps</w:t>
            </w:r>
          </w:p>
        </w:tc>
        <w:tc>
          <w:tcPr>
            <w:tcW w:type="auto" w:w="0"/>
            <w:tcMar>
              <w:left w:type="dxa" w:w="200"/>
              <w:top w:type="dxa" w:w="200"/>
              <w:right w:type="dxa" w:w="200"/>
              <w:bottom w:type="dxa" w:w="200"/>
            </w:tcMar>
          </w:tcPr>
          <w:p>
            <w:pPr>
              <w:pStyle w:val="Para 002"/>
            </w:pPr>
            <w:r>
              <w:rPr>
                <w:rStyle w:val="Text0"/>
              </w:rPr>
              <w:t>dumps(</w:t>
            </w:r>
            <w:r>
              <w:rPr>
                <w:rStyle w:val="Text3"/>
              </w:rPr>
              <w:t>value</w:t>
            </w:r>
            <w:r>
              <w:rPr>
                <w:rStyle w:val="Text0"/>
              </w:rPr>
              <w:t>, skipkeys=</w:t>
            </w:r>
            <w:r>
              <w:rPr>
                <w:rStyle w:val="Text5"/>
              </w:rPr>
              <w:t>False</w:t>
            </w:r>
            <w:r>
              <w:rPr>
                <w:rStyle w:val="Text0"/>
              </w:rPr>
              <w:t>, ensure_ascii=</w:t>
            </w:r>
            <w:r>
              <w:rPr>
                <w:rStyle w:val="Text5"/>
              </w:rPr>
              <w:t>True</w:t>
            </w:r>
            <w:r>
              <w:rPr>
                <w:rStyle w:val="Text0"/>
              </w:rPr>
              <w:t>, check_circular=</w:t>
            </w:r>
            <w:r>
              <w:rPr>
                <w:rStyle w:val="Text5"/>
              </w:rPr>
              <w:t>True</w:t>
            </w:r>
            <w:r>
              <w:rPr>
                <w:rStyle w:val="Text0"/>
              </w:rPr>
              <w:t>, allow_nan=</w:t>
            </w:r>
            <w:r>
              <w:rPr>
                <w:rStyle w:val="Text5"/>
              </w:rPr>
              <w:t>True</w:t>
            </w:r>
            <w:r>
              <w:rPr>
                <w:rStyle w:val="Text0"/>
              </w:rPr>
              <w:t>, cls=JSONEncoder, indent=</w:t>
            </w:r>
            <w:r>
              <w:rPr>
                <w:rStyle w:val="Text5"/>
              </w:rPr>
              <w:t>None</w:t>
            </w:r>
            <w:r>
              <w:rPr>
                <w:rStyle w:val="Text0"/>
              </w:rPr>
              <w:t>,</w:t>
              <w:br w:clear="none"/>
            </w:r>
            <w:r>
              <w:t xml:space="preserve"> </w:t>
            </w:r>
            <w:r>
              <w:rPr>
                <w:rStyle w:val="Text0"/>
              </w:rPr>
              <w:t>separators=(', ', ': '), default=</w:t>
            </w:r>
            <w:r>
              <w:rPr>
                <w:rStyle w:val="Text5"/>
              </w:rPr>
              <w:t>None</w:t>
            </w:r>
            <w:r>
              <w:rPr>
                <w:rStyle w:val="Text0"/>
              </w:rPr>
              <w:t>, sort_keys=</w:t>
            </w:r>
            <w:r>
              <w:rPr>
                <w:rStyle w:val="Text5"/>
              </w:rPr>
              <w:t>False</w:t>
            </w:r>
            <w:r>
              <w:rPr>
                <w:rStyle w:val="Text0"/>
              </w:rPr>
              <w:t>,</w:t>
            </w:r>
            <w:r>
              <w:t xml:space="preserve"> </w:t>
            </w:r>
            <w:r>
              <w:rPr>
                <w:rStyle w:val="Text3"/>
              </w:rPr>
              <w:t>**kw</w:t>
            </w:r>
            <w:r>
              <w:rPr>
                <w:rStyle w:val="Text0"/>
              </w:rPr>
              <w:t>)</w:t>
              <w:br w:clear="none"/>
            </w:r>
            <w:r>
              <w:t xml:space="preserve"> Returns the string that’s the JSON serialization of object </w:t>
            </w:r>
            <w:r>
              <w:rPr>
                <w:rStyle w:val="Text3"/>
              </w:rPr>
              <w:t>value</w:t>
            </w:r>
            <w:r>
              <w:t xml:space="preserve">—that is, the string that </w:t>
            </w:r>
            <w:r>
              <w:rPr>
                <w:rStyle w:val="Text0"/>
              </w:rPr>
              <w:t>dump</w:t>
            </w:r>
            <w:r>
              <w:t xml:space="preserve"> would write to its file object argument. All arguments to </w:t>
            </w:r>
            <w:r>
              <w:rPr>
                <w:rStyle w:val="Text0"/>
              </w:rPr>
              <w:t>dumps</w:t>
            </w:r>
            <w:r>
              <w:t xml:space="preserve"> have exactly the same meaning as the arguments to </w:t>
            </w:r>
            <w:r>
              <w:rPr>
                <w:rStyle w:val="Text0"/>
              </w:rPr>
              <w:t>dump</w:t>
            </w:r>
            <w:r>
              <w:t xml:space="preserve">. </w:t>
            </w:r>
          </w:p>
          <w:p>
            <w:pPr>
              <w:keepNext/>
              <w:pStyle w:val="Para 050"/>
              <w:keepLines w:val="on"/>
            </w:pPr>
            <w:r>
              <w:t>JSON Serializes Just One Object per File</w:t>
            </w:r>
          </w:p>
          <w:p>
            <w:pPr>
              <w:pStyle w:val="Para 041"/>
              <w:keepLines w:val="on"/>
            </w:pPr>
            <w:r>
              <w:t xml:space="preserve">JSON is not what is known as a </w:t>
            </w:r>
            <w:r>
              <w:rPr>
                <w:rStyle w:val="Text4"/>
              </w:rPr>
              <w:t>framed format</w:t>
            </w:r>
            <w:r>
              <w:t xml:space="preserve">: this means it is </w:t>
            </w:r>
            <w:r>
              <w:rPr>
                <w:rStyle w:val="Text4"/>
              </w:rPr>
              <w:t>not</w:t>
            </w:r>
            <w:r>
              <w:t xml:space="preserve"> possible to call </w:t>
            </w:r>
            <w:r>
              <w:rPr>
                <w:rStyle w:val="Text0"/>
              </w:rPr>
              <w:t>dump</w:t>
            </w:r>
            <w:r>
              <w:t xml:space="preserve"> more than once in order to serialize multiple objects into the same file, nor to later call </w:t>
            </w:r>
            <w:r>
              <w:rPr>
                <w:rStyle w:val="Text0"/>
              </w:rPr>
              <w:t>load</w:t>
            </w:r>
            <w:r>
              <w:t xml:space="preserve"> more than once to deserialize the objects, as would be possible, for example, with </w:t>
            </w:r>
            <w:r>
              <w:rPr>
                <w:rStyle w:val="Text0"/>
              </w:rPr>
              <w:t>pickle</w:t>
            </w:r>
            <w:r>
              <w:t xml:space="preserve"> (discussed in the following section). So, technically, JSON serializes just one object per file. However, that one object can be a </w:t>
            </w:r>
            <w:r>
              <w:rPr>
                <w:rStyle w:val="Text0"/>
              </w:rPr>
              <w:t>list</w:t>
            </w:r>
            <w:r>
              <w:t xml:space="preserve"> or </w:t>
            </w:r>
            <w:r>
              <w:rPr>
                <w:rStyle w:val="Text0"/>
              </w:rPr>
              <w:t>dict</w:t>
            </w:r>
            <w:r>
              <w:t xml:space="preserve"> that can contain as many items as you wish.</w:t>
            </w:r>
          </w:p>
        </w:tc>
      </w:tr>
    </w:tbl>
    <w:tbl>
      <w:tblPr>
        <w:tblW w:type="auto" w:w="0"/>
      </w:tblPr>
      <w:tr>
        <w:tc>
          <w:tcPr>
            <w:tcW w:type="auto" w:w="0"/>
            <w:shd w:val="clear" w:color="auto" w:fill="EEF2F6"/>
            <w:tcMar>
              <w:left w:type="dxa" w:w="200"/>
              <w:top w:type="dxa" w:w="200"/>
              <w:right w:type="dxa" w:w="200"/>
              <w:bottom w:type="dxa" w:w="200"/>
            </w:tcMar>
          </w:tcPr>
          <w:p>
            <w:pPr>
              <w:pStyle w:val="Para 001"/>
            </w:pPr>
            <w:r>
              <w:t>load</w:t>
            </w:r>
          </w:p>
        </w:tc>
        <w:tc>
          <w:tcPr>
            <w:tcW w:type="auto" w:w="0"/>
            <w:shd w:val="clear" w:color="auto" w:fill="EEF2F6"/>
            <w:tcMar>
              <w:left w:type="dxa" w:w="200"/>
              <w:top w:type="dxa" w:w="200"/>
              <w:right w:type="dxa" w:w="200"/>
              <w:bottom w:type="dxa" w:w="200"/>
            </w:tcMar>
          </w:tcPr>
          <w:p>
            <w:pPr>
              <w:pStyle w:val="Para 002"/>
            </w:pPr>
            <w:r>
              <w:rPr>
                <w:rStyle w:val="Text0"/>
              </w:rPr>
              <w:t>load(</w:t>
            </w:r>
            <w:r>
              <w:rPr>
                <w:rStyle w:val="Text3"/>
              </w:rPr>
              <w:t>fileobj</w:t>
            </w:r>
            <w:r>
              <w:rPr>
                <w:rStyle w:val="Text0"/>
              </w:rPr>
              <w:t>, encoding='utf-8', cls=JSONDecoder, object_hook=</w:t>
            </w:r>
            <w:r>
              <w:rPr>
                <w:rStyle w:val="Text5"/>
              </w:rPr>
              <w:t>None</w:t>
            </w:r>
            <w:r>
              <w:rPr>
                <w:rStyle w:val="Text0"/>
              </w:rPr>
              <w:t>, parse_float=float, parse_int=int, parse_constant=</w:t>
            </w:r>
            <w:r>
              <w:rPr>
                <w:rStyle w:val="Text5"/>
              </w:rPr>
              <w:t>None</w:t>
            </w:r>
            <w:r>
              <w:rPr>
                <w:rStyle w:val="Text0"/>
              </w:rPr>
              <w:t>, object_pairs_hook=</w:t>
            </w:r>
            <w:r>
              <w:rPr>
                <w:rStyle w:val="Text5"/>
              </w:rPr>
              <w:t>None</w:t>
            </w:r>
            <w:r>
              <w:rPr>
                <w:rStyle w:val="Text0"/>
              </w:rPr>
              <w:t>,</w:t>
            </w:r>
            <w:r>
              <w:t xml:space="preserve"> </w:t>
            </w:r>
            <w:r>
              <w:rPr>
                <w:rStyle w:val="Text3"/>
              </w:rPr>
              <w:t>**kw</w:t>
            </w:r>
            <w:r>
              <w:rPr>
                <w:rStyle w:val="Text0"/>
              </w:rPr>
              <w:t>)</w:t>
              <w:br w:clear="none"/>
            </w:r>
            <w:r>
              <w:t xml:space="preserve"> Creates and returns the object </w:t>
            </w:r>
            <w:r>
              <w:rPr>
                <w:rStyle w:val="Text3"/>
              </w:rPr>
              <w:t>v</w:t>
            </w:r>
            <w:r>
              <w:t xml:space="preserve"> previously serialized into file-like object </w:t>
            </w:r>
            <w:r>
              <w:rPr>
                <w:rStyle w:val="Text3"/>
              </w:rPr>
              <w:t>fileobj</w:t>
            </w:r>
            <w:r>
              <w:t xml:space="preserve">, which must be opened for reading in text mode, getting </w:t>
            </w:r>
            <w:r>
              <w:rPr>
                <w:rStyle w:val="Text3"/>
              </w:rPr>
              <w:t>fileobj</w:t>
            </w:r>
            <w:r>
              <w:t xml:space="preserve">’s contents via a call to </w:t>
            </w:r>
            <w:r>
              <w:rPr>
                <w:rStyle w:val="Text3"/>
              </w:rPr>
              <w:t>fileobj</w:t>
            </w:r>
            <w:r>
              <w:rPr>
                <w:rStyle w:val="Text0"/>
              </w:rPr>
              <w:t>.read</w:t>
            </w:r>
            <w:r>
              <w:t xml:space="preserve">. The call to </w:t>
            </w:r>
            <w:r>
              <w:rPr>
                <w:rStyle w:val="Text3"/>
              </w:rPr>
              <w:t>fileobj</w:t>
            </w:r>
            <w:r>
              <w:rPr>
                <w:rStyle w:val="Text0"/>
              </w:rPr>
              <w:t>.read</w:t>
            </w:r>
            <w:r>
              <w:t xml:space="preserve"> must return a text (Unicode) string.</w:t>
              <w:br w:clear="none"/>
              <w:t xml:space="preserve"> The functions </w:t>
            </w:r>
            <w:r>
              <w:rPr>
                <w:rStyle w:val="Text0"/>
              </w:rPr>
              <w:t>load</w:t>
            </w:r>
            <w:r>
              <w:t xml:space="preserve"> and </w:t>
            </w:r>
            <w:r>
              <w:rPr>
                <w:rStyle w:val="Text0"/>
              </w:rPr>
              <w:t>dump</w:t>
            </w:r>
            <w:r>
              <w:t xml:space="preserve"> are complementary. In other words, a single call to </w:t>
            </w:r>
            <w:r>
              <w:rPr>
                <w:rStyle w:val="Text0"/>
              </w:rPr>
              <w:t>load(</w:t>
            </w:r>
            <w:r>
              <w:rPr>
                <w:rStyle w:val="Text3"/>
              </w:rPr>
              <w:t>f</w:t>
            </w:r>
            <w:r>
              <w:rPr>
                <w:rStyle w:val="Text0"/>
              </w:rPr>
              <w:t>)</w:t>
            </w:r>
            <w:r>
              <w:t xml:space="preserve"> deserializes the same value previously serialized when </w:t>
            </w:r>
            <w:r>
              <w:rPr>
                <w:rStyle w:val="Text3"/>
              </w:rPr>
              <w:t>f</w:t>
            </w:r>
            <w:r>
              <w:t xml:space="preserve">’s contents were created by a single call to </w:t>
            </w:r>
            <w:r>
              <w:rPr>
                <w:rStyle w:val="Text0"/>
              </w:rPr>
              <w:t>dump(</w:t>
            </w:r>
            <w:r>
              <w:rPr>
                <w:rStyle w:val="Text3"/>
              </w:rPr>
              <w:t>v</w:t>
            </w:r>
            <w:r>
              <w:rPr>
                <w:rStyle w:val="Text0"/>
              </w:rPr>
              <w:t>,</w:t>
            </w:r>
            <w:r>
              <w:t xml:space="preserve"> </w:t>
            </w:r>
            <w:r>
              <w:rPr>
                <w:rStyle w:val="Text3"/>
              </w:rPr>
              <w:t>f</w:t>
            </w:r>
            <w:r>
              <w:rPr>
                <w:rStyle w:val="Text0"/>
              </w:rPr>
              <w:t>)</w:t>
            </w:r>
            <w:r>
              <w:t xml:space="preserve"> (possibly with some alterations: e.g., all dictionary keys are turned into strings).</w:t>
              <w:br w:clear="none"/>
              <w:t xml:space="preserve"> You can optionally pass </w:t>
            </w:r>
            <w:r>
              <w:rPr>
                <w:rStyle w:val="Text0"/>
              </w:rPr>
              <w:t>cls</w:t>
            </w:r>
            <w:r>
              <w:t xml:space="preserve"> in order to use a customized subclass of </w:t>
            </w:r>
            <w:r>
              <w:rPr>
                <w:rStyle w:val="Text0"/>
              </w:rPr>
              <w:t>JSONDecoder</w:t>
            </w:r>
            <w:r>
              <w:t xml:space="preserve"> (such advanced customization is rarely needed, and we don’t cover it in this book); in this case, </w:t>
            </w:r>
            <w:r>
              <w:rPr>
                <w:rStyle w:val="Text0"/>
              </w:rPr>
              <w:t>**</w:t>
            </w:r>
            <w:r>
              <w:rPr>
                <w:rStyle w:val="Text3"/>
              </w:rPr>
              <w:t>kw</w:t>
            </w:r>
            <w:r>
              <w:t xml:space="preserve"> gets passed in the call to </w:t>
            </w:r>
            <w:r>
              <w:rPr>
                <w:rStyle w:val="Text0"/>
              </w:rPr>
              <w:t>cls</w:t>
            </w:r>
            <w:r>
              <w:t xml:space="preserve">, which instantiates it. By default, decoding uses the </w:t>
            </w:r>
            <w:r>
              <w:rPr>
                <w:rStyle w:val="Text0"/>
              </w:rPr>
              <w:t>JSONDecoder</w:t>
            </w:r>
            <w:r>
              <w:t xml:space="preserve"> class directly.</w:t>
              <w:br w:clear="none"/>
              <w:t xml:space="preserve"> You can optionally pass </w:t>
            </w:r>
            <w:r>
              <w:rPr>
                <w:rStyle w:val="Text0"/>
              </w:rPr>
              <w:t>object_hook</w:t>
            </w:r>
            <w:r>
              <w:t xml:space="preserve"> or </w:t>
            </w:r>
            <w:r>
              <w:rPr>
                <w:rStyle w:val="Text0"/>
              </w:rPr>
              <w:t>object_pairs_hook</w:t>
            </w:r>
            <w:r>
              <w:t xml:space="preserve"> (if you pass both, </w:t>
            </w:r>
            <w:r>
              <w:rPr>
                <w:rStyle w:val="Text0"/>
              </w:rPr>
              <w:t>object_hook</w:t>
            </w:r>
            <w:r>
              <w:t xml:space="preserve"> is ignored and only </w:t>
            </w:r>
            <w:r>
              <w:rPr>
                <w:rStyle w:val="Text0"/>
              </w:rPr>
              <w:t>object_pairs_hook</w:t>
            </w:r>
            <w:r>
              <w:t xml:space="preserve"> is used), a function that lets you implement custom decoders. When you pass </w:t>
            </w:r>
            <w:r>
              <w:rPr>
                <w:rStyle w:val="Text0"/>
              </w:rPr>
              <w:t>object_hook</w:t>
            </w:r>
            <w:r>
              <w:t xml:space="preserve"> but not </w:t>
            </w:r>
            <w:r>
              <w:rPr>
                <w:rStyle w:val="Text0"/>
              </w:rPr>
              <w:t>object_pairs_hook</w:t>
            </w:r>
            <w:r>
              <w:t xml:space="preserve">, each time an object is decoded into a </w:t>
            </w:r>
            <w:r>
              <w:rPr>
                <w:rStyle w:val="Text0"/>
              </w:rPr>
              <w:t>dict</w:t>
            </w:r>
            <w:r>
              <w:t xml:space="preserve">, </w:t>
            </w:r>
            <w:r>
              <w:rPr>
                <w:rStyle w:val="Text0"/>
              </w:rPr>
              <w:t>load</w:t>
            </w:r>
            <w:r>
              <w:t xml:space="preserve"> calls </w:t>
            </w:r>
            <w:r>
              <w:rPr>
                <w:rStyle w:val="Text0"/>
              </w:rPr>
              <w:t>object_hook</w:t>
            </w:r>
            <w:r>
              <w:t xml:space="preserve"> with the </w:t>
            </w:r>
            <w:r>
              <w:rPr>
                <w:rStyle w:val="Text0"/>
              </w:rPr>
              <w:t>dict</w:t>
            </w:r>
            <w:r>
              <w:t xml:space="preserve"> as the only argument, and uses </w:t>
            </w:r>
            <w:r>
              <w:rPr>
                <w:rStyle w:val="Text0"/>
              </w:rPr>
              <w:t>object_hook</w:t>
            </w:r>
            <w:r>
              <w:t xml:space="preserve">’s return value instead of that </w:t>
            </w:r>
            <w:r>
              <w:rPr>
                <w:rStyle w:val="Text0"/>
              </w:rPr>
              <w:t>dict</w:t>
            </w:r>
            <w:r>
              <w:t xml:space="preserve">. When you pass </w:t>
            </w:r>
            <w:r>
              <w:rPr>
                <w:rStyle w:val="Text0"/>
              </w:rPr>
              <w:t>object_pairs_hook</w:t>
            </w:r>
            <w:r>
              <w:t xml:space="preserve">, each time an object is decoded, </w:t>
            </w:r>
            <w:r>
              <w:rPr>
                <w:rStyle w:val="Text0"/>
              </w:rPr>
              <w:t>load</w:t>
            </w:r>
            <w:r>
              <w:t xml:space="preserve"> calls </w:t>
            </w:r>
            <w:r>
              <w:rPr>
                <w:rStyle w:val="Text0"/>
              </w:rPr>
              <w:t>object_pairs_hook</w:t>
            </w:r>
            <w:r>
              <w:t xml:space="preserve"> with, as the only argument, a list of the pairs of </w:t>
            </w:r>
            <w:r>
              <w:rPr>
                <w:rStyle w:val="Text0"/>
              </w:rPr>
              <w:t>(</w:t>
            </w:r>
            <w:r>
              <w:rPr>
                <w:rStyle w:val="Text3"/>
              </w:rPr>
              <w:t>key</w:t>
            </w:r>
            <w:r>
              <w:rPr>
                <w:rStyle w:val="Text0"/>
              </w:rPr>
              <w:t>,</w:t>
            </w:r>
            <w:r>
              <w:t xml:space="preserve"> </w:t>
            </w:r>
            <w:r>
              <w:rPr>
                <w:rStyle w:val="Text3"/>
              </w:rPr>
              <w:t>value</w:t>
            </w:r>
            <w:r>
              <w:rPr>
                <w:rStyle w:val="Text0"/>
              </w:rPr>
              <w:t>)</w:t>
            </w:r>
            <w:r>
              <w:t xml:space="preserve"> items of the object, in the order in which they are present in the input, and uses </w:t>
            </w:r>
            <w:r>
              <w:rPr>
                <w:rStyle w:val="Text0"/>
              </w:rPr>
              <w:t>object_pairs_hooks</w:t>
            </w:r>
            <w:r>
              <w:t xml:space="preserve">’s return value. This lets you perform specialized decoding that potentially depends on the order of </w:t>
            </w:r>
            <w:r>
              <w:rPr>
                <w:rStyle w:val="Text0"/>
              </w:rPr>
              <w:t>(</w:t>
            </w:r>
            <w:r>
              <w:rPr>
                <w:rStyle w:val="Text3"/>
              </w:rPr>
              <w:t>key</w:t>
            </w:r>
            <w:r>
              <w:rPr>
                <w:rStyle w:val="Text0"/>
              </w:rPr>
              <w:t>,</w:t>
            </w:r>
            <w:r>
              <w:t xml:space="preserve"> </w:t>
            </w:r>
            <w:r>
              <w:rPr>
                <w:rStyle w:val="Text3"/>
              </w:rPr>
              <w:t>value</w:t>
            </w:r>
            <w:r>
              <w:rPr>
                <w:rStyle w:val="Text0"/>
              </w:rPr>
              <w:t>)</w:t>
            </w:r>
            <w:r>
              <w:t xml:space="preserve"> pairs in the input.</w:t>
              <w:br w:clear="none"/>
              <w:t xml:space="preserve"> </w:t>
            </w:r>
            <w:r>
              <w:rPr>
                <w:rStyle w:val="Text0"/>
              </w:rPr>
              <w:t>parse_float</w:t>
            </w:r>
            <w:r>
              <w:t xml:space="preserve">, </w:t>
            </w:r>
            <w:r>
              <w:rPr>
                <w:rStyle w:val="Text0"/>
              </w:rPr>
              <w:t>parse_int</w:t>
            </w:r>
            <w:r>
              <w:t xml:space="preserve">, and </w:t>
            </w:r>
            <w:r>
              <w:rPr>
                <w:rStyle w:val="Text0"/>
              </w:rPr>
              <w:t>parse_constant</w:t>
            </w:r>
            <w:r>
              <w:t xml:space="preserve"> are functions called with a single argument: a </w:t>
            </w:r>
            <w:r>
              <w:rPr>
                <w:rStyle w:val="Text0"/>
              </w:rPr>
              <w:t>str</w:t>
            </w:r>
            <w:r>
              <w:t xml:space="preserve"> representing a </w:t>
            </w:r>
            <w:r>
              <w:rPr>
                <w:rStyle w:val="Text0"/>
              </w:rPr>
              <w:t>float</w:t>
            </w:r>
            <w:r>
              <w:t xml:space="preserve">, an </w:t>
            </w:r>
            <w:r>
              <w:rPr>
                <w:rStyle w:val="Text0"/>
              </w:rPr>
              <w:t>int</w:t>
            </w:r>
            <w:r>
              <w:t xml:space="preserve">, or one of the three special constants </w:t>
            </w:r>
            <w:r>
              <w:rPr>
                <w:rStyle w:val="Text0"/>
              </w:rPr>
              <w:t>'NaN'</w:t>
            </w:r>
            <w:r>
              <w:t xml:space="preserve">, </w:t>
            </w:r>
            <w:r>
              <w:rPr>
                <w:rStyle w:val="Text0"/>
              </w:rPr>
              <w:t>'Infinity'</w:t>
            </w:r>
            <w:r>
              <w:t xml:space="preserve">, or </w:t>
            </w:r>
            <w:r>
              <w:rPr>
                <w:rStyle w:val="Text0"/>
              </w:rPr>
              <w:t>'-Infinity'</w:t>
            </w:r>
            <w:r>
              <w:t xml:space="preserve">. </w:t>
            </w:r>
            <w:r>
              <w:rPr>
                <w:rStyle w:val="Text0"/>
              </w:rPr>
              <w:t>load</w:t>
            </w:r>
            <w:r>
              <w:t xml:space="preserve"> calls the appropriate function each time it identifies in the input a </w:t>
            </w:r>
            <w:r>
              <w:rPr>
                <w:rStyle w:val="Text0"/>
              </w:rPr>
              <w:t>str</w:t>
            </w:r>
            <w:r>
              <w:t xml:space="preserve"> representing a number, and uses the function’s return value. By default, </w:t>
            </w:r>
            <w:r>
              <w:rPr>
                <w:rStyle w:val="Text0"/>
              </w:rPr>
              <w:t>parse_float</w:t>
            </w:r>
            <w:r>
              <w:t xml:space="preserve"> is the built-in function </w:t>
            </w:r>
            <w:r>
              <w:rPr>
                <w:rStyle w:val="Text0"/>
              </w:rPr>
              <w:t>float</w:t>
            </w:r>
            <w:r>
              <w:t xml:space="preserve">, </w:t>
            </w:r>
            <w:r>
              <w:rPr>
                <w:rStyle w:val="Text0"/>
              </w:rPr>
              <w:t>parse_int</w:t>
            </w:r>
            <w:r>
              <w:t xml:space="preserve"> is </w:t>
            </w:r>
            <w:r>
              <w:rPr>
                <w:rStyle w:val="Text0"/>
              </w:rPr>
              <w:t>int</w:t>
            </w:r>
            <w:r>
              <w:t xml:space="preserve">, and </w:t>
            </w:r>
            <w:r>
              <w:rPr>
                <w:rStyle w:val="Text0"/>
              </w:rPr>
              <w:t>parse_constant</w:t>
            </w:r>
            <w:r>
              <w:t xml:space="preserve"> is a function that returns one of the three special float scalars </w:t>
            </w:r>
            <w:r>
              <w:rPr>
                <w:rStyle w:val="Text0"/>
              </w:rPr>
              <w:t>nan</w:t>
            </w:r>
            <w:r>
              <w:t xml:space="preserve">, </w:t>
            </w:r>
            <w:r>
              <w:rPr>
                <w:rStyle w:val="Text0"/>
              </w:rPr>
              <w:t>inf</w:t>
            </w:r>
            <w:r>
              <w:t xml:space="preserve">, or </w:t>
            </w:r>
            <w:r>
              <w:rPr>
                <w:rStyle w:val="Text0"/>
              </w:rPr>
              <w:t>-inf</w:t>
            </w:r>
            <w:r>
              <w:t xml:space="preserve">, as appropriate. For example, you could pass </w:t>
            </w:r>
            <w:r>
              <w:rPr>
                <w:rStyle w:val="Text0"/>
              </w:rPr>
              <w:t>parse_float=decimal.Decimal</w:t>
            </w:r>
            <w:r>
              <w:t xml:space="preserve"> to ensure that all numbers in the result that would normally be </w:t>
            </w:r>
            <w:r>
              <w:rPr>
                <w:rStyle w:val="Text0"/>
              </w:rPr>
              <w:t>float</w:t>
            </w:r>
            <w:r>
              <w:t xml:space="preserve">s are instead decimals (covered in </w:t>
            </w:r>
            <w:hyperlink w:anchor="The_decimal_Module__A_Python_flo">
              <w:r>
                <w:rPr>
                  <w:rStyle w:val="Text1"/>
                </w:rPr>
                <w:t>“The decimal Module”</w:t>
              </w:r>
            </w:hyperlink>
            <w:r>
              <w:t>).</w:t>
            </w:r>
          </w:p>
        </w:tc>
      </w:tr>
    </w:tbl>
    <w:tbl>
      <w:tblPr>
        <w:tblW w:type="auto" w:w="0"/>
      </w:tblPr>
      <w:tr>
        <w:tc>
          <w:tcPr>
            <w:tcW w:type="auto" w:w="0"/>
            <w:tcMar>
              <w:left w:type="dxa" w:w="200"/>
              <w:top w:type="dxa" w:w="200"/>
              <w:right w:type="dxa" w:w="200"/>
              <w:bottom w:type="dxa" w:w="200"/>
            </w:tcMar>
          </w:tcPr>
          <w:p>
            <w:pPr>
              <w:pStyle w:val="Para 001"/>
            </w:pPr>
            <w:r>
              <w:t>loads</w:t>
            </w:r>
          </w:p>
        </w:tc>
        <w:tc>
          <w:tcPr>
            <w:tcW w:type="auto" w:w="0"/>
            <w:tcMar>
              <w:left w:type="dxa" w:w="200"/>
              <w:top w:type="dxa" w:w="200"/>
              <w:right w:type="dxa" w:w="200"/>
              <w:bottom w:type="dxa" w:w="200"/>
            </w:tcMar>
          </w:tcPr>
          <w:p>
            <w:pPr>
              <w:pStyle w:val="Para 002"/>
            </w:pPr>
            <w:r>
              <w:rPr>
                <w:rStyle w:val="Text0"/>
              </w:rPr>
              <w:t>loads(</w:t>
            </w:r>
            <w:r>
              <w:rPr>
                <w:rStyle w:val="Text3"/>
              </w:rPr>
              <w:t>s</w:t>
            </w:r>
            <w:r>
              <w:rPr>
                <w:rStyle w:val="Text0"/>
              </w:rPr>
              <w:t>, cls=JSONDecoder, object_hook=</w:t>
            </w:r>
            <w:r>
              <w:rPr>
                <w:rStyle w:val="Text5"/>
              </w:rPr>
              <w:t>None</w:t>
            </w:r>
            <w:r>
              <w:rPr>
                <w:rStyle w:val="Text0"/>
              </w:rPr>
              <w:t>, parse_float=float, parse_int=int, parse_constant=</w:t>
            </w:r>
            <w:r>
              <w:rPr>
                <w:rStyle w:val="Text5"/>
              </w:rPr>
              <w:t>None</w:t>
            </w:r>
            <w:r>
              <w:rPr>
                <w:rStyle w:val="Text0"/>
              </w:rPr>
              <w:t>, object_pairs_hook=</w:t>
            </w:r>
            <w:r>
              <w:rPr>
                <w:rStyle w:val="Text5"/>
              </w:rPr>
              <w:t>None</w:t>
            </w:r>
            <w:r>
              <w:rPr>
                <w:rStyle w:val="Text0"/>
              </w:rPr>
              <w:t>,</w:t>
            </w:r>
            <w:r>
              <w:t xml:space="preserve"> </w:t>
            </w:r>
            <w:r>
              <w:rPr>
                <w:rStyle w:val="Text3"/>
              </w:rPr>
              <w:t>**kw</w:t>
            </w:r>
            <w:r>
              <w:rPr>
                <w:rStyle w:val="Text0"/>
              </w:rPr>
              <w:t>)</w:t>
              <w:br w:clear="none"/>
            </w:r>
            <w:r>
              <w:t xml:space="preserve"> Creates and returns the object </w:t>
            </w:r>
            <w:r>
              <w:rPr>
                <w:rStyle w:val="Text3"/>
              </w:rPr>
              <w:t>v</w:t>
            </w:r>
            <w:r>
              <w:t xml:space="preserve"> previously serialized into the string </w:t>
            </w:r>
            <w:r>
              <w:rPr>
                <w:rStyle w:val="Text3"/>
              </w:rPr>
              <w:t>s</w:t>
            </w:r>
            <w:r>
              <w:t xml:space="preserve">. All arguments to </w:t>
            </w:r>
            <w:r>
              <w:rPr>
                <w:rStyle w:val="Text0"/>
              </w:rPr>
              <w:t>loads</w:t>
            </w:r>
            <w:r>
              <w:t xml:space="preserve"> have exactly the same meaning as the arguments to </w:t>
            </w:r>
            <w:r>
              <w:rPr>
                <w:rStyle w:val="Text0"/>
              </w:rPr>
              <w:t>load</w:t>
            </w:r>
            <w:r>
              <w:t>.</w:t>
            </w:r>
          </w:p>
        </w:tc>
      </w:tr>
    </w:tbl>
    <w:p>
      <w:bookmarkStart w:id="2952" w:name="A_json_example__Say_you_need_to"/>
      <w:pPr>
        <w:keepNext/>
        <w:pStyle w:val="Heading 2"/>
      </w:pPr>
      <w:r>
        <w:t>A json example</w:t>
      </w:r>
      <w:bookmarkEnd w:id="2952"/>
    </w:p>
    <w:p>
      <w:pPr>
        <w:pStyle w:val="Normal"/>
      </w:pPr>
      <w:r>
        <w:t xml:space="preserve">Say you need to read several text files, whose names are given as your program’s arguments, recording where each distinct word appears in the files. What you need to record for each word is a list of </w:t>
      </w:r>
      <w:r>
        <w:rPr>
          <w:rStyle w:val="Text0"/>
        </w:rPr>
        <w:t>(</w:t>
      </w:r>
      <w:r>
        <w:rPr>
          <w:rStyle w:val="Text3"/>
        </w:rPr>
        <w:t>filename</w:t>
      </w:r>
      <w:r>
        <w:rPr>
          <w:rStyle w:val="Text0"/>
        </w:rPr>
        <w:t>,</w:t>
      </w:r>
      <w:r>
        <w:t xml:space="preserve"> </w:t>
      </w:r>
      <w:r>
        <w:rPr>
          <w:rStyle w:val="Text3"/>
        </w:rPr>
        <w:t>linenumber</w:t>
      </w:r>
      <w:r>
        <w:rPr>
          <w:rStyle w:val="Text0"/>
        </w:rPr>
        <w:t>)</w:t>
      </w:r>
      <w:r>
        <w:t xml:space="preserve"> pairs. The following example uses the </w:t>
      </w:r>
      <w:r>
        <w:rPr>
          <w:rStyle w:val="Text0"/>
        </w:rPr>
        <w:t>fileinput</w:t>
      </w:r>
      <w:r>
        <w:t xml:space="preserve"> module to iterate through all the files given as program arguments, and </w:t>
      </w:r>
      <w:r>
        <w:rPr>
          <w:rStyle w:val="Text0"/>
        </w:rPr>
        <w:t>json</w:t>
      </w:r>
      <w:r>
        <w:t xml:space="preserve"> to encode the lists of </w:t>
      </w:r>
      <w:r>
        <w:rPr>
          <w:rStyle w:val="Text0"/>
        </w:rPr>
        <w:t>(</w:t>
      </w:r>
      <w:r>
        <w:rPr>
          <w:rStyle w:val="Text3"/>
        </w:rPr>
        <w:t>filename</w:t>
      </w:r>
      <w:r>
        <w:rPr>
          <w:rStyle w:val="Text0"/>
        </w:rPr>
        <w:t>,</w:t>
      </w:r>
      <w:r>
        <w:t xml:space="preserve"> </w:t>
      </w:r>
      <w:r>
        <w:rPr>
          <w:rStyle w:val="Text3"/>
        </w:rPr>
        <w:t>linenumber</w:t>
      </w:r>
      <w:r>
        <w:rPr>
          <w:rStyle w:val="Text0"/>
        </w:rPr>
        <w:t>)</w:t>
      </w:r>
      <w:r>
        <w:t xml:space="preserve"> pairs as strings and store them in a DBM-like file (as covered in </w:t>
      </w:r>
      <w:hyperlink w:anchor="DBM_Modules__DBM__a_longtime_Uni">
        <w:r>
          <w:rPr>
            <w:rStyle w:val="Text1"/>
          </w:rPr>
          <w:t>“DBM Modules”</w:t>
        </w:r>
      </w:hyperlink>
      <w:r>
        <w:t xml:space="preserve">). Since these lists contain tuples, each containing a string and a number, they are within </w:t>
      </w:r>
      <w:r>
        <w:rPr>
          <w:rStyle w:val="Text0"/>
        </w:rPr>
        <w:t>json</w:t>
      </w:r>
      <w:r>
        <w:t>’s abilities to serialize: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collections</w:t>
        <w:br w:clear="none"/>
      </w:r>
      <w:r>
        <w:rPr>
          <w:rStyle w:val="Text13"/>
        </w:rPr>
        <w:t xml:space="preserve">,</w:t>
        <w:br w:clear="none"/>
      </w:r>
      <w:r>
        <w:rPr>
          <w:rStyle w:val="Text6"/>
        </w:rPr>
        <w:t xml:space="preserve"> </w:t>
        <w:br w:clear="none"/>
      </w:r>
      <w:r>
        <w:rPr>
          <w:rStyle w:val="Text20"/>
        </w:rPr>
        <w:t xml:space="preserve">fileinput</w:t>
        <w:br w:clear="none"/>
      </w:r>
      <w:r>
        <w:rPr>
          <w:rStyle w:val="Text13"/>
        </w:rPr>
        <w:t xml:space="preserve">,</w:t>
        <w:br w:clear="none"/>
      </w:r>
      <w:r>
        <w:rPr>
          <w:rStyle w:val="Text6"/>
        </w:rPr>
        <w:t xml:space="preserve"> </w:t>
        <w:br w:clear="none"/>
      </w:r>
      <w:r>
        <w:rPr>
          <w:rStyle w:val="Text20"/>
        </w:rPr>
        <w:t xml:space="preserve">json</w:t>
        <w:br w:clear="none"/>
      </w:r>
      <w:r>
        <w:rPr>
          <w:rStyle w:val="Text13"/>
        </w:rPr>
        <w:t xml:space="preserve">,</w:t>
        <w:br w:clear="none"/>
      </w:r>
      <w:r>
        <w:rPr>
          <w:rStyle w:val="Text6"/>
        </w:rPr>
        <w:t xml:space="preserve"> </w:t>
        <w:br w:clear="none"/>
      </w:r>
      <w:r>
        <w:rPr>
          <w:rStyle w:val="Text20"/>
        </w:rPr>
        <w:t xml:space="preserve">dbm</w:t>
        <w:br w:clear="none"/>
      </w:r>
      <w:r>
        <w:rPr>
          <w:rStyle w:val="Text6"/>
        </w:rPr>
        <w:t xml:space="preserve"/>
        <w:br w:clear="none"/>
      </w:r>
      <w:r>
        <w:t xml:space="preserve">word_pos</w:t>
        <w:br w:clear="none"/>
      </w:r>
      <w:r>
        <w:rPr>
          <w:rStyle w:val="Text6"/>
        </w:rPr>
        <w:t xml:space="preserve"> </w:t>
        <w:br w:clear="none"/>
      </w:r>
      <w:r>
        <w:rPr>
          <w:rStyle w:val="Text13"/>
        </w:rPr>
        <w:t xml:space="preserve">=</w:t>
        <w:br w:clear="none"/>
      </w:r>
      <w:r>
        <w:rPr>
          <w:rStyle w:val="Text6"/>
        </w:rPr>
        <w:t xml:space="preserve"> </w:t>
        <w:br w:clear="none"/>
      </w:r>
      <w:r>
        <w:t xml:space="preserve">collections</w:t>
        <w:br w:clear="none"/>
      </w:r>
      <w:r>
        <w:rPr>
          <w:rStyle w:val="Text13"/>
        </w:rPr>
        <w:t xml:space="preserve">.</w:t>
        <w:br w:clear="none"/>
      </w:r>
      <w:r>
        <w:t xml:space="preserve">defaultdict</w:t>
        <w:br w:clear="none"/>
      </w:r>
      <w:r>
        <w:rPr>
          <w:rStyle w:val="Text7"/>
        </w:rPr>
        <w:t xml:space="preserve">(</w:t>
        <w:br w:clear="none"/>
      </w:r>
      <w:r>
        <w:rPr>
          <w:rStyle w:val="Text16"/>
        </w:rPr>
        <w:t xml:space="preserve">list</w:t>
        <w:br w:clear="none"/>
      </w:r>
      <w:r>
        <w:rPr>
          <w:rStyle w:val="Text7"/>
        </w:rPr>
        <w:t xml:space="preserve">)</w:t>
        <w:br w:clear="none"/>
      </w:r>
      <w:r>
        <w:rPr>
          <w:rStyle w:val="Text6"/>
        </w:rPr>
        <w:t xml:space="preserve"/>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pos</w:t>
        <w:br w:clear="none"/>
      </w:r>
      <w:r>
        <w:rPr>
          <w:rStyle w:val="Text6"/>
        </w:rPr>
        <w:t xml:space="preserve"> </w:t>
        <w:br w:clear="none"/>
      </w:r>
      <w:r>
        <w:rPr>
          <w:rStyle w:val="Text13"/>
        </w:rPr>
        <w:t xml:space="preserve">=</w:t>
        <w:br w:clear="none"/>
      </w:r>
      <w:r>
        <w:rPr>
          <w:rStyle w:val="Text6"/>
        </w:rPr>
        <w:t xml:space="preserve"> </w:t>
        <w:br w:clear="none"/>
      </w:r>
      <w:r>
        <w:t xml:space="preserve">fileinput</w:t>
        <w:br w:clear="none"/>
      </w:r>
      <w:r>
        <w:rPr>
          <w:rStyle w:val="Text13"/>
        </w:rPr>
        <w:t xml:space="preserve">.</w:t>
        <w:br w:clear="none"/>
      </w:r>
      <w:r>
        <w:t xml:space="preserve">filename</w:t>
        <w:br w:clear="none"/>
      </w:r>
      <w:r>
        <w:rPr>
          <w:rStyle w:val="Text7"/>
        </w:rPr>
        <w:t xml:space="preserve">(</w:t>
        <w:br w:clear="none"/>
        <w:t xml:space="preserve">)</w:t>
        <w:br w:clear="none"/>
        <w:t xml:space="preserve">,</w:t>
        <w:br w:clear="none"/>
      </w:r>
      <w:r>
        <w:rPr>
          <w:rStyle w:val="Text6"/>
        </w:rPr>
        <w:t xml:space="preserve"> </w:t>
        <w:br w:clear="none"/>
      </w:r>
      <w:r>
        <w:t xml:space="preserve">fileinput</w:t>
        <w:br w:clear="none"/>
      </w:r>
      <w:r>
        <w:rPr>
          <w:rStyle w:val="Text13"/>
        </w:rPr>
        <w:t xml:space="preserve">.</w:t>
        <w:br w:clear="none"/>
      </w:r>
      <w:r>
        <w:t xml:space="preserve">filelineno</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line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word_pos</w:t>
        <w:br w:clear="none"/>
      </w:r>
      <w:r>
        <w:rPr>
          <w:rStyle w:val="Text7"/>
        </w:rPr>
        <w:t xml:space="preserve">[</w:t>
        <w:br w:clear="none"/>
      </w:r>
      <w:r>
        <w:t xml:space="preserve">word</w:t>
        <w:br w:clear="none"/>
      </w:r>
      <w:r>
        <w:rPr>
          <w:rStyle w:val="Text7"/>
        </w:rPr>
        <w:t xml:space="preserve">]</w:t>
        <w:br w:clear="none"/>
      </w:r>
      <w:r>
        <w:rPr>
          <w:rStyle w:val="Text13"/>
        </w:rPr>
        <w:t xml:space="preserve">.</w:t>
        <w:br w:clear="none"/>
      </w:r>
      <w:r>
        <w:t xml:space="preserve">append</w:t>
        <w:br w:clear="none"/>
      </w:r>
      <w:r>
        <w:rPr>
          <w:rStyle w:val="Text7"/>
        </w:rPr>
        <w:t xml:space="preserve">(</w:t>
        <w:br w:clear="none"/>
      </w:r>
      <w:r>
        <w:t xml:space="preserve">pos</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dbm</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indexfilem</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n</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dbm_out</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7"/>
        </w:rPr>
        <w:t xml:space="preserve">,</w:t>
        <w:br w:clear="none"/>
      </w:r>
      <w:r>
        <w:rPr>
          <w:rStyle w:val="Text6"/>
        </w:rPr>
        <w:t xml:space="preserve"> </w:t>
        <w:br w:clear="none"/>
      </w:r>
      <w:r>
        <w:t xml:space="preserve">word_positions</w:t>
        <w:br w:clear="none"/>
      </w:r>
      <w:r>
        <w:rPr>
          <w:rStyle w:val="Text6"/>
        </w:rPr>
        <w:t xml:space="preserve"> </w:t>
        <w:br w:clear="none"/>
      </w:r>
      <w:r>
        <w:rPr>
          <w:rStyle w:val="Text31"/>
        </w:rPr>
        <w:t xml:space="preserve">in</w:t>
        <w:br w:clear="none"/>
      </w:r>
      <w:r>
        <w:rPr>
          <w:rStyle w:val="Text6"/>
        </w:rPr>
        <w:t xml:space="preserve"> </w:t>
        <w:br w:clear="none"/>
      </w:r>
      <w:r>
        <w:t xml:space="preserve">word_pos</w:t>
        <w:br w:clear="none"/>
      </w:r>
      <w:r>
        <w:rPr>
          <w:rStyle w:val="Text13"/>
        </w:rPr>
        <w:t xml:space="preserve">.</w:t>
        <w:br w:clear="none"/>
      </w:r>
      <w:r>
        <w:t xml:space="preserve">items</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dbm_out</w:t>
        <w:br w:clear="none"/>
      </w:r>
      <w:r>
        <w:rPr>
          <w:rStyle w:val="Text7"/>
        </w:rPr>
        <w:t xml:space="preserve">[</w:t>
        <w:br w:clear="none"/>
      </w:r>
      <w:r>
        <w:t xml:space="preserve">word</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json</w:t>
        <w:br w:clear="none"/>
      </w:r>
      <w:r>
        <w:rPr>
          <w:rStyle w:val="Text13"/>
        </w:rPr>
        <w:t xml:space="preserve">.</w:t>
        <w:br w:clear="none"/>
      </w:r>
      <w:r>
        <w:t xml:space="preserve">dumps</w:t>
        <w:br w:clear="none"/>
      </w:r>
      <w:r>
        <w:rPr>
          <w:rStyle w:val="Text7"/>
        </w:rPr>
        <w:t xml:space="preserve">(</w:t>
        <w:br w:clear="none"/>
      </w:r>
      <w:r>
        <w:t xml:space="preserve">word_positions</w:t>
        <w:br w:clear="none"/>
      </w:r>
      <w:r>
        <w:rPr>
          <w:rStyle w:val="Text7"/>
        </w:rPr>
        <w:t xml:space="preserve">)</w:t>
        <w:br w:clear="none"/>
      </w:r>
    </w:p>
    <w:p>
      <w:pPr>
        <w:pStyle w:val="Normal"/>
      </w:pPr>
      <w:r>
        <w:t xml:space="preserve">We can then use </w:t>
      </w:r>
      <w:r>
        <w:rPr>
          <w:rStyle w:val="Text0"/>
        </w:rPr>
        <w:t>json</w:t>
      </w:r>
      <w:r>
        <w:t xml:space="preserve"> to deserialize the data stored in the DBM-like file </w:t>
      </w:r>
      <w:r>
        <w:rPr>
          <w:rStyle w:val="Text4"/>
        </w:rPr>
        <w:t>indexfilem</w:t>
      </w:r>
      <w:r>
        <w:t>, as in the following</w:t>
      </w:r>
      <w:r>
        <w:rPr>
          <w:rStyle w:val="Text111"/>
        </w:rPr>
        <w:bookmarkStart w:id="2953" w:name="idm45965200044688"/>
        <w:t/>
        <w:bookmarkEnd w:id="2953"/>
        <w:bookmarkStart w:id="2954" w:name="idm45965200043312"/>
        <w:t/>
        <w:bookmarkEnd w:id="2954"/>
      </w:r>
      <w:r>
        <w:t xml:space="preserve"> example:</w:t>
      </w:r>
    </w:p>
    <w:p>
      <w:pPr>
        <w:pStyle w:val="Para 018"/>
      </w:pPr>
      <w:r>
        <w:rPr>
          <w:rStyle w:val="Text104"/>
        </w:rPr>
        <w:t xml:space="preserve"/>
        <w:br w:clear="none"/>
      </w:r>
      <w:r>
        <w:rPr>
          <w:rStyle w:val="Text10"/>
        </w:rPr>
        <w:t xml:space="preserve">import</w:t>
        <w:br w:clear="none"/>
      </w:r>
      <w:r>
        <w:t xml:space="preserve"> </w:t>
        <w:br w:clear="none"/>
      </w:r>
      <w:r>
        <w:rPr>
          <w:rStyle w:val="Text20"/>
        </w:rPr>
        <w:t xml:space="preserve">sys</w:t>
        <w:br w:clear="none"/>
      </w:r>
      <w:r>
        <w:rPr>
          <w:rStyle w:val="Text13"/>
        </w:rPr>
        <w:t xml:space="preserve">,</w:t>
        <w:br w:clear="none"/>
      </w:r>
      <w:r>
        <w:t xml:space="preserve"> </w:t>
        <w:br w:clear="none"/>
      </w:r>
      <w:r>
        <w:rPr>
          <w:rStyle w:val="Text20"/>
        </w:rPr>
        <w:t xml:space="preserve">json</w:t>
        <w:br w:clear="none"/>
      </w:r>
      <w:r>
        <w:rPr>
          <w:rStyle w:val="Text13"/>
        </w:rPr>
        <w:t xml:space="preserve">,</w:t>
        <w:br w:clear="none"/>
      </w:r>
      <w:r>
        <w:t xml:space="preserve"> </w:t>
        <w:br w:clear="none"/>
      </w:r>
      <w:r>
        <w:rPr>
          <w:rStyle w:val="Text20"/>
        </w:rPr>
        <w:t xml:space="preserve">dbm</w:t>
        <w:br w:clear="none"/>
      </w:r>
      <w:r>
        <w:rPr>
          <w:rStyle w:val="Text13"/>
        </w:rPr>
        <w:t xml:space="preserve">,</w:t>
        <w:br w:clear="none"/>
      </w:r>
      <w:r>
        <w:t xml:space="preserve"> </w:t>
        <w:br w:clear="none"/>
      </w:r>
      <w:r>
        <w:rPr>
          <w:rStyle w:val="Text20"/>
        </w:rPr>
        <w:t xml:space="preserve">linecache</w:t>
        <w:br w:clear="none"/>
      </w:r>
      <w:r>
        <w:t xml:space="preserve"/>
        <w:br w:clear="none"/>
      </w:r>
      <w:r>
        <w:rPr>
          <w:rStyle w:val="Text10"/>
        </w:rPr>
        <w:t xml:space="preserve">with</w:t>
        <w:br w:clear="none"/>
      </w:r>
      <w:r>
        <w:t xml:space="preserve"> </w:t>
        <w:br w:clear="none"/>
      </w:r>
      <w:r>
        <w:rPr>
          <w:rStyle w:val="Text9"/>
        </w:rPr>
        <w:t xml:space="preserve">dbm</w:t>
        <w:br w:clear="none"/>
      </w:r>
      <w:r>
        <w:rPr>
          <w:rStyle w:val="Text13"/>
        </w:rPr>
        <w:t xml:space="preserve">.</w:t>
        <w:br w:clear="none"/>
      </w:r>
      <w:r>
        <w:rPr>
          <w:rStyle w:val="Text9"/>
        </w:rPr>
        <w:t xml:space="preserve">open</w:t>
        <w:br w:clear="none"/>
      </w:r>
      <w:r>
        <w:rPr>
          <w:rStyle w:val="Text7"/>
        </w:rPr>
        <w:t xml:space="preserve">(</w:t>
        <w:br w:clear="none"/>
      </w:r>
      <w:r>
        <w:rPr>
          <w:rStyle w:val="Text8"/>
        </w:rPr>
        <w:t xml:space="preserve">'</w:t>
        <w:br w:clear="none"/>
        <w:t xml:space="preserve">indexfilem</w:t>
        <w:br w:clear="none"/>
        <w:t xml:space="preserve">'</w:t>
        <w:br w:clear="none"/>
      </w:r>
      <w:r>
        <w:rPr>
          <w:rStyle w:val="Text7"/>
        </w:rPr>
        <w:t xml:space="preserve">)</w:t>
        <w:br w:clear="none"/>
      </w:r>
      <w:r>
        <w:t xml:space="preserve"> </w:t>
        <w:br w:clear="none"/>
      </w:r>
      <w:r>
        <w:rPr>
          <w:rStyle w:val="Text10"/>
        </w:rPr>
        <w:t xml:space="preserve">as</w:t>
        <w:br w:clear="none"/>
      </w:r>
      <w:r>
        <w:t xml:space="preserve"> </w:t>
        <w:br w:clear="none"/>
      </w:r>
      <w:r>
        <w:rPr>
          <w:rStyle w:val="Text9"/>
        </w:rPr>
        <w:t xml:space="preserve">dbm_in</w:t>
        <w:br w:clear="none"/>
      </w:r>
      <w:r>
        <w:rPr>
          <w:rStyle w:val="Text7"/>
        </w:rPr>
        <w:t xml:space="preserve">:</w:t>
        <w:br w:clear="none"/>
      </w:r>
      <w:r>
        <w:t xml:space="preserve"/>
        <w:br w:clear="none"/>
      </w:r>
      <w:r>
        <w:rPr>
          <w:rStyle w:val="Text37"/>
        </w:rPr>
        <w:t xml:space="preserve">    </w:t>
        <w:br w:clear="none"/>
      </w:r>
      <w:r>
        <w:rPr>
          <w:rStyle w:val="Text10"/>
        </w:rPr>
        <w:t xml:space="preserve">for</w:t>
        <w:br w:clear="none"/>
      </w:r>
      <w:r>
        <w:t xml:space="preserve"> </w:t>
        <w:br w:clear="none"/>
      </w:r>
      <w:r>
        <w:rPr>
          <w:rStyle w:val="Text9"/>
        </w:rPr>
        <w:t xml:space="preserve">word</w:t>
        <w:br w:clear="none"/>
      </w:r>
      <w:r>
        <w:t xml:space="preserve"> </w:t>
        <w:br w:clear="none"/>
      </w:r>
      <w:r>
        <w:rPr>
          <w:rStyle w:val="Text31"/>
        </w:rPr>
        <w:t xml:space="preserve">in</w:t>
        <w:br w:clear="none"/>
      </w:r>
      <w:r>
        <w:t xml:space="preserve"> </w:t>
        <w:br w:clear="none"/>
      </w:r>
      <w:r>
        <w:rPr>
          <w:rStyle w:val="Text9"/>
        </w:rPr>
        <w:t xml:space="preserve">sys</w:t>
        <w:br w:clear="none"/>
      </w:r>
      <w:r>
        <w:rPr>
          <w:rStyle w:val="Text13"/>
        </w:rPr>
        <w:t xml:space="preserve">.</w:t>
        <w:br w:clear="none"/>
      </w:r>
      <w:r>
        <w:rPr>
          <w:rStyle w:val="Text9"/>
        </w:rPr>
        <w:t xml:space="preserve">argv</w:t>
        <w:br w:clear="none"/>
      </w:r>
      <w:r>
        <w:rPr>
          <w:rStyle w:val="Text7"/>
        </w:rPr>
        <w:t xml:space="preserve">[</w:t>
        <w:br w:clear="none"/>
      </w:r>
      <w:r>
        <w:rPr>
          <w:rStyle w:val="Text27"/>
        </w:rPr>
        <w:t xml:space="preserve">1</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word</w:t>
        <w:br w:clear="none"/>
      </w:r>
      <w:r>
        <w:t xml:space="preserve"> </w:t>
        <w:br w:clear="none"/>
      </w:r>
      <w:r>
        <w:rPr>
          <w:rStyle w:val="Text31"/>
        </w:rPr>
        <w:t xml:space="preserve">not</w:t>
        <w:br w:clear="none"/>
      </w:r>
      <w:r>
        <w:rPr>
          <w:rStyle w:val="Text37"/>
        </w:rPr>
        <w:t xml:space="preserve"> </w:t>
        <w:br w:clear="none"/>
      </w:r>
      <w:r>
        <w:rPr>
          <w:rStyle w:val="Text31"/>
        </w:rPr>
        <w:t xml:space="preserve">in</w:t>
        <w:br w:clear="none"/>
      </w:r>
      <w:r>
        <w:t xml:space="preserve"> </w:t>
        <w:br w:clear="none"/>
      </w:r>
      <w:r>
        <w:rPr>
          <w:rStyle w:val="Text9"/>
        </w:rPr>
        <w:t xml:space="preserve">dbm_in</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t xml:space="preserve">Word </w:t>
        <w:br w:clear="none"/>
      </w:r>
      <w:r>
        <w:rPr>
          <w:rStyle w:val="Text32"/>
        </w:rPr>
        <w:t xml:space="preserve">{</w:t>
        <w:br w:clear="none"/>
      </w:r>
      <w:r>
        <w:rPr>
          <w:rStyle w:val="Text9"/>
        </w:rPr>
        <w:t xml:space="preserve">word</w:t>
        <w:br w:clear="none"/>
      </w:r>
      <w:r>
        <w:rPr>
          <w:rStyle w:val="Text32"/>
        </w:rPr>
        <w:t xml:space="preserve">!r}</w:t>
        <w:br w:clear="none"/>
      </w:r>
      <w:r>
        <w:rPr>
          <w:rStyle w:val="Text8"/>
        </w:rPr>
        <w:t xml:space="preserve"> not found in index file</w:t>
        <w:br w:clear="none"/>
        <w:t xml:space="preserve">'</w:t>
        <w:br w:clear="none"/>
      </w:r>
      <w:r>
        <w:rPr>
          <w:rStyle w:val="Text7"/>
        </w:rPr>
        <w:t xml:space="preserve">,</w:t>
        <w:br w:clear="none"/>
      </w:r>
      <w:r>
        <w:t xml:space="preserve">                                             </w:t>
        <w:br w:clear="none"/>
      </w:r>
      <w:r>
        <w:rPr>
          <w:rStyle w:val="Text9"/>
        </w:rPr>
        <w:t xml:space="preserve">file</w:t>
        <w:br w:clear="none"/>
      </w:r>
      <w:r>
        <w:rPr>
          <w:rStyle w:val="Text13"/>
        </w:rPr>
        <w:t xml:space="preserve">=</w:t>
        <w:br w:clear="none"/>
      </w:r>
      <w:r>
        <w:rPr>
          <w:rStyle w:val="Text9"/>
        </w:rPr>
        <w:t xml:space="preserve">sys</w:t>
        <w:br w:clear="none"/>
      </w:r>
      <w:r>
        <w:rPr>
          <w:rStyle w:val="Text13"/>
        </w:rPr>
        <w:t xml:space="preserve">.</w:t>
        <w:br w:clear="none"/>
      </w:r>
      <w:r>
        <w:rPr>
          <w:rStyle w:val="Text9"/>
        </w:rPr>
        <w:t xml:space="preserve">stderr</w:t>
        <w:br w:clear="none"/>
      </w:r>
      <w:r>
        <w:rPr>
          <w:rStyle w:val="Text7"/>
        </w:rPr>
        <w:t xml:space="preserve">)</w:t>
        <w:br w:clear="none"/>
      </w:r>
      <w:r>
        <w:t xml:space="preserve"/>
        <w:br w:clear="none"/>
      </w:r>
      <w:r>
        <w:rPr>
          <w:rStyle w:val="Text37"/>
        </w:rPr>
        <w:t xml:space="preserve">             </w:t>
        <w:br w:clear="none"/>
      </w:r>
      <w:r>
        <w:rPr>
          <w:rStyle w:val="Text10"/>
        </w:rPr>
        <w:t xml:space="preserve">continue</w:t>
        <w:br w:clear="none"/>
      </w:r>
      <w:r>
        <w:t xml:space="preserve"/>
        <w:br w:clear="none"/>
        <w:t xml:space="preserve">        </w:t>
        <w:br w:clear="none"/>
      </w:r>
      <w:r>
        <w:rPr>
          <w:rStyle w:val="Text9"/>
        </w:rPr>
        <w:t xml:space="preserve">places</w:t>
        <w:br w:clear="none"/>
      </w:r>
      <w:r>
        <w:t xml:space="preserve"> </w:t>
        <w:br w:clear="none"/>
      </w:r>
      <w:r>
        <w:rPr>
          <w:rStyle w:val="Text13"/>
        </w:rPr>
        <w:t xml:space="preserve">=</w:t>
        <w:br w:clear="none"/>
      </w:r>
      <w:r>
        <w:t xml:space="preserve"> </w:t>
        <w:br w:clear="none"/>
      </w:r>
      <w:r>
        <w:rPr>
          <w:rStyle w:val="Text9"/>
        </w:rPr>
        <w:t xml:space="preserve">json</w:t>
        <w:br w:clear="none"/>
      </w:r>
      <w:r>
        <w:rPr>
          <w:rStyle w:val="Text13"/>
        </w:rPr>
        <w:t xml:space="preserve">.</w:t>
        <w:br w:clear="none"/>
      </w:r>
      <w:r>
        <w:rPr>
          <w:rStyle w:val="Text9"/>
        </w:rPr>
        <w:t xml:space="preserve">loads</w:t>
        <w:br w:clear="none"/>
      </w:r>
      <w:r>
        <w:rPr>
          <w:rStyle w:val="Text7"/>
        </w:rPr>
        <w:t xml:space="preserve">(</w:t>
        <w:br w:clear="none"/>
      </w:r>
      <w:r>
        <w:rPr>
          <w:rStyle w:val="Text9"/>
        </w:rPr>
        <w:t xml:space="preserve">dbm_in</w:t>
        <w:br w:clear="none"/>
      </w:r>
      <w:r>
        <w:rPr>
          <w:rStyle w:val="Text7"/>
        </w:rPr>
        <w:t xml:space="preserve">[</w:t>
        <w:br w:clear="none"/>
      </w:r>
      <w:r>
        <w:rPr>
          <w:rStyle w:val="Text9"/>
        </w:rPr>
        <w:t xml:space="preserve">word</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fname</w:t>
        <w:br w:clear="none"/>
      </w:r>
      <w:r>
        <w:rPr>
          <w:rStyle w:val="Text7"/>
        </w:rPr>
        <w:t xml:space="preserve">,</w:t>
        <w:br w:clear="none"/>
      </w:r>
      <w:r>
        <w:t xml:space="preserve"> </w:t>
        <w:br w:clear="none"/>
      </w:r>
      <w:r>
        <w:rPr>
          <w:rStyle w:val="Text9"/>
        </w:rPr>
        <w:t xml:space="preserve">lineno</w:t>
        <w:br w:clear="none"/>
      </w:r>
      <w:r>
        <w:t xml:space="preserve"> </w:t>
        <w:br w:clear="none"/>
      </w:r>
      <w:r>
        <w:rPr>
          <w:rStyle w:val="Text31"/>
        </w:rPr>
        <w:t xml:space="preserve">in</w:t>
        <w:br w:clear="none"/>
      </w:r>
      <w:r>
        <w:t xml:space="preserve"> </w:t>
        <w:br w:clear="none"/>
      </w:r>
      <w:r>
        <w:rPr>
          <w:rStyle w:val="Text9"/>
        </w:rPr>
        <w:t xml:space="preserve">places</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t xml:space="preserve">Word </w:t>
        <w:br w:clear="none"/>
      </w:r>
      <w:r>
        <w:rPr>
          <w:rStyle w:val="Text32"/>
        </w:rPr>
        <w:t xml:space="preserve">{</w:t>
        <w:br w:clear="none"/>
      </w:r>
      <w:r>
        <w:rPr>
          <w:rStyle w:val="Text9"/>
        </w:rPr>
        <w:t xml:space="preserve">word</w:t>
        <w:br w:clear="none"/>
      </w:r>
      <w:r>
        <w:rPr>
          <w:rStyle w:val="Text32"/>
        </w:rPr>
        <w:t xml:space="preserve">!r}</w:t>
        <w:br w:clear="none"/>
      </w:r>
      <w:r>
        <w:rPr>
          <w:rStyle w:val="Text8"/>
        </w:rPr>
        <w:t xml:space="preserve"> occurs in line </w:t>
        <w:br w:clear="none"/>
      </w:r>
      <w:r>
        <w:rPr>
          <w:rStyle w:val="Text32"/>
        </w:rPr>
        <w:t xml:space="preserve">{</w:t>
        <w:br w:clear="none"/>
      </w:r>
      <w:r>
        <w:rPr>
          <w:rStyle w:val="Text9"/>
        </w:rPr>
        <w:t xml:space="preserve">lineno</w:t>
        <w:br w:clear="none"/>
      </w:r>
      <w:r>
        <w:rPr>
          <w:rStyle w:val="Text32"/>
        </w:rPr>
        <w:t xml:space="preserve">}</w:t>
        <w:br w:clear="none"/>
      </w:r>
      <w:r>
        <w:rPr>
          <w:rStyle w:val="Text8"/>
        </w:rPr>
        <w:t xml:space="preserve">'</w:t>
        <w:br w:clear="none"/>
      </w:r>
      <w:r>
        <w:t xml:space="preserve"/>
        <w:br w:clear="none"/>
        <w:t xml:space="preserve">                  </w:t>
        <w:br w:clear="none"/>
        <w:t xml:space="preserve">f</w:t>
        <w:br w:clear="none"/>
      </w:r>
      <w:r>
        <w:rPr>
          <w:rStyle w:val="Text8"/>
        </w:rPr>
        <w:t xml:space="preserve">'</w:t>
        <w:br w:clear="none"/>
        <w:t xml:space="preserve"> of file </w:t>
        <w:br w:clear="none"/>
      </w:r>
      <w:r>
        <w:rPr>
          <w:rStyle w:val="Text32"/>
        </w:rPr>
        <w:t xml:space="preserve">{</w:t>
        <w:br w:clear="none"/>
      </w:r>
      <w:r>
        <w:rPr>
          <w:rStyle w:val="Text9"/>
        </w:rPr>
        <w:t xml:space="preserve">fname</w:t>
        <w:br w:clear="none"/>
      </w:r>
      <w:r>
        <w:rPr>
          <w:rStyle w:val="Text32"/>
        </w:rPr>
        <w:t xml:space="preserve">!r}</w:t>
        <w:br w:clear="none"/>
      </w:r>
      <w:r>
        <w:rPr>
          <w:rStyle w:val="Text8"/>
        </w:rPr>
        <w:t xml:space="preserve">:</w:t>
        <w:br w:clear="none"/>
        <w:t xml:space="preserve">'</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rPr>
          <w:rStyle w:val="Text9"/>
        </w:rPr>
        <w:t xml:space="preserve">linecache</w:t>
        <w:br w:clear="none"/>
      </w:r>
      <w:r>
        <w:rPr>
          <w:rStyle w:val="Text13"/>
        </w:rPr>
        <w:t xml:space="preserve">.</w:t>
        <w:br w:clear="none"/>
      </w:r>
      <w:r>
        <w:rPr>
          <w:rStyle w:val="Text9"/>
        </w:rPr>
        <w:t xml:space="preserve">getline</w:t>
        <w:br w:clear="none"/>
      </w:r>
      <w:r>
        <w:rPr>
          <w:rStyle w:val="Text7"/>
        </w:rPr>
        <w:t xml:space="preserve">(</w:t>
        <w:br w:clear="none"/>
      </w:r>
      <w:r>
        <w:rPr>
          <w:rStyle w:val="Text9"/>
        </w:rPr>
        <w:t xml:space="preserve">fname</w:t>
        <w:br w:clear="none"/>
      </w:r>
      <w:r>
        <w:rPr>
          <w:rStyle w:val="Text7"/>
        </w:rPr>
        <w:t xml:space="preserve">,</w:t>
        <w:br w:clear="none"/>
      </w:r>
      <w:r>
        <w:t xml:space="preserve"> </w:t>
        <w:br w:clear="none"/>
      </w:r>
      <w:r>
        <w:rPr>
          <w:rStyle w:val="Text9"/>
        </w:rPr>
        <w:t xml:space="preserve">lineno</w:t>
        <w:br w:clear="none"/>
      </w:r>
      <w:r>
        <w:rPr>
          <w:rStyle w:val="Text7"/>
        </w:rPr>
        <w:t xml:space="preserve">)</w:t>
        <w:br w:clear="none"/>
        <w:t xml:space="preserve">,</w:t>
        <w:br w:clear="none"/>
      </w:r>
      <w:r>
        <w:t xml:space="preserve"> </w:t>
        <w:br w:clear="none"/>
      </w:r>
      <w:r>
        <w:rPr>
          <w:rStyle w:val="Text9"/>
        </w:rP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p>
      <w:bookmarkStart w:id="2955" w:name="The_pickle_Module__The_pickle_mo"/>
      <w:pPr>
        <w:keepNext/>
        <w:pStyle w:val="Heading 2"/>
      </w:pPr>
      <w:r>
        <w:t>The pickle Module</w:t>
      </w:r>
      <w:bookmarkEnd w:id="2955"/>
    </w:p>
    <w:p>
      <w:pPr>
        <w:pStyle w:val="Normal"/>
      </w:pPr>
      <w:r>
        <w:t>The</w:t>
      </w:r>
      <w:r>
        <w:rPr>
          <w:rStyle w:val="Text111"/>
        </w:rPr>
        <w:bookmarkStart w:id="2956" w:name="idm45965199875712"/>
        <w:t/>
        <w:bookmarkEnd w:id="2956"/>
        <w:bookmarkStart w:id="2957" w:name="picmod12"/>
        <w:t/>
        <w:bookmarkEnd w:id="2957"/>
        <w:bookmarkStart w:id="2958" w:name="SLBpickle12"/>
        <w:t/>
        <w:bookmarkEnd w:id="2958"/>
      </w:r>
      <w:r>
        <w:t xml:space="preserve"> </w:t>
      </w:r>
      <w:r>
        <w:rPr>
          <w:rStyle w:val="Text0"/>
        </w:rPr>
        <w:t>pickle</w:t>
      </w:r>
      <w:r>
        <w:t xml:space="preserve"> module supplies factory functions, named </w:t>
      </w:r>
      <w:r>
        <w:rPr>
          <w:rStyle w:val="Text0"/>
        </w:rPr>
        <w:t>Pickler</w:t>
      </w:r>
      <w:r>
        <w:t xml:space="preserve"> and</w:t>
      </w:r>
      <w:r>
        <w:rPr>
          <w:rStyle w:val="Text111"/>
        </w:rPr>
        <w:bookmarkStart w:id="2959" w:name="idm45965199893616"/>
        <w:t/>
        <w:bookmarkEnd w:id="2959"/>
      </w:r>
      <w:r>
        <w:t xml:space="preserve"> </w:t>
      </w:r>
      <w:r>
        <w:rPr>
          <w:rStyle w:val="Text0"/>
        </w:rPr>
        <w:t>Unpickler</w:t>
      </w:r>
      <w:r>
        <w:t xml:space="preserve">, to generate objects (instances of nonsubclassable types, not classes) that wrap files and supply Python-specific serialization mechanisms. Serializing and deserializing via these modules is also known as </w:t>
      </w:r>
      <w:r>
        <w:rPr>
          <w:rStyle w:val="Text4"/>
        </w:rPr>
        <w:t>pickling</w:t>
      </w:r>
      <w:r>
        <w:t xml:space="preserve"> and </w:t>
      </w:r>
      <w:r>
        <w:rPr>
          <w:rStyle w:val="Text4"/>
        </w:rPr>
        <w:t>unpickling</w:t>
      </w:r>
      <w:r>
        <w:t>.</w:t>
      </w:r>
    </w:p>
    <w:p>
      <w:pPr>
        <w:pStyle w:val="Normal"/>
      </w:pPr>
      <w:r>
        <w:t xml:space="preserve">Serialization shares some of the issues of deep copying, covered in </w:t>
      </w:r>
      <w:hyperlink w:anchor="The_copy_Module__As_discussed_in">
        <w:r>
          <w:rPr>
            <w:rStyle w:val="Text1"/>
          </w:rPr>
          <w:t>“The copy Module”</w:t>
        </w:r>
      </w:hyperlink>
      <w:r>
        <w:t xml:space="preserve">. The </w:t>
      </w:r>
      <w:r>
        <w:rPr>
          <w:rStyle w:val="Text0"/>
        </w:rPr>
        <w:t>pickle</w:t>
      </w:r>
      <w:r>
        <w:t xml:space="preserve"> module deals with these issues in much the same way as the </w:t>
      </w:r>
      <w:r>
        <w:rPr>
          <w:rStyle w:val="Text0"/>
        </w:rPr>
        <w:t>copy</w:t>
      </w:r>
      <w:r>
        <w:t xml:space="preserve"> module does. Serialization, like deep copying, implies a recursive walk over a directed graph of references. </w:t>
      </w:r>
      <w:r>
        <w:rPr>
          <w:rStyle w:val="Text0"/>
        </w:rPr>
        <w:t>pickle</w:t>
      </w:r>
      <w:r>
        <w:t xml:space="preserve"> preserves the graph’s shape: when the same object is encountered more than once, the object is serialized only the first time, and other occurrences of the same object serialize references to that single value. </w:t>
      </w:r>
      <w:r>
        <w:rPr>
          <w:rStyle w:val="Text0"/>
        </w:rPr>
        <w:t>pickle</w:t>
      </w:r>
      <w:r>
        <w:t xml:space="preserve"> also correctly serializes graphs with reference cycles. However, this means that if a mutable object </w:t>
      </w:r>
      <w:r>
        <w:rPr>
          <w:rStyle w:val="Text3"/>
        </w:rPr>
        <w:t>o</w:t>
      </w:r>
      <w:r>
        <w:t xml:space="preserve"> is serialized more than once to the same </w:t>
      </w:r>
      <w:r>
        <w:rPr>
          <w:rStyle w:val="Text0"/>
        </w:rPr>
        <w:t>Pickler</w:t>
      </w:r>
      <w:r>
        <w:t xml:space="preserve"> instance </w:t>
      </w:r>
      <w:r>
        <w:rPr>
          <w:rStyle w:val="Text3"/>
        </w:rPr>
        <w:t>p</w:t>
      </w:r>
      <w:r>
        <w:t xml:space="preserve">, any changes to </w:t>
      </w:r>
      <w:r>
        <w:rPr>
          <w:rStyle w:val="Text3"/>
        </w:rPr>
        <w:t>o</w:t>
      </w:r>
      <w:r>
        <w:t xml:space="preserve"> after the first serialization of </w:t>
      </w:r>
      <w:r>
        <w:rPr>
          <w:rStyle w:val="Text3"/>
        </w:rPr>
        <w:t>o</w:t>
      </w:r>
      <w:r>
        <w:t xml:space="preserve"> to </w:t>
      </w:r>
      <w:r>
        <w:rPr>
          <w:rStyle w:val="Text3"/>
        </w:rPr>
        <w:t>p</w:t>
      </w:r>
      <w:r>
        <w:t xml:space="preserve"> are not saved.</w:t>
      </w:r>
    </w:p>
    <w:p>
      <w:pPr>
        <w:keepNext/>
        <w:pStyle w:val="Heading 5"/>
        <w:keepLines w:val="on"/>
      </w:pPr>
      <w:r>
        <w:t>Don’t Alter Objects While Their Serialization Is Underway</w:t>
      </w:r>
    </w:p>
    <w:p>
      <w:pPr>
        <w:pStyle w:val="Para 012"/>
        <w:keepLines w:val="on"/>
      </w:pPr>
      <w:r>
        <w:t xml:space="preserve">For clarity, correctness, and simplicity, don’t alter objects that are being serialized while serialization to a </w:t>
      </w:r>
      <w:r>
        <w:rPr>
          <w:rStyle w:val="Text0"/>
        </w:rPr>
        <w:t>Pickler</w:t>
      </w:r>
      <w:r>
        <w:t xml:space="preserve"> instance is in progress.</w:t>
      </w:r>
    </w:p>
    <w:p>
      <w:pPr>
        <w:pStyle w:val="Normal"/>
      </w:pPr>
      <w:r>
        <w:rPr>
          <w:rStyle w:val="Text0"/>
        </w:rPr>
        <w:t>pickle</w:t>
      </w:r>
      <w:r>
        <w:t xml:space="preserve"> can serialize with a legacy ASCII protocol or with one of several compact binary protocols. </w:t>
      </w:r>
      <w:hyperlink w:anchor="Table_12_3__pickle_protocols">
        <w:r>
          <w:rPr>
            <w:rStyle w:val="Text1"/>
          </w:rPr>
          <w:t>Table 12-3</w:t>
        </w:r>
      </w:hyperlink>
      <w:r>
        <w:t xml:space="preserve"> lists the available protocols.</w:t>
      </w:r>
    </w:p>
    <w:tbl>
      <w:tblPr>
        <w:tblW w:type="auto" w:w="0"/>
      </w:tblPr>
      <w:tr>
        <w:tc>
          <w:tcPr>
            <w:tcW w:type="auto" w:w="0"/>
            <w:tcMar>
              <w:left w:type="dxa" w:w="200"/>
              <w:top w:type="dxa" w:w="200"/>
              <w:right w:type="dxa" w:w="200"/>
              <w:bottom w:type="dxa" w:w="200"/>
            </w:tcMar>
            <w:vAlign w:val="center"/>
          </w:tcPr>
          <w:p>
            <w:bookmarkStart w:id="2960" w:name="Table_12_3__pickle_protocols"/>
            <w:pPr>
              <w:pStyle w:val="Para 011"/>
            </w:pPr>
            <w:r>
              <w:rPr>
                <w:rStyle w:val="Text117"/>
              </w:rPr>
              <w:t/>
            </w:r>
            <w:r>
              <w:t xml:space="preserve">Table 12-3. </w:t>
            </w:r>
            <w:r>
              <w:rPr>
                <w:rStyle w:val="Text0"/>
              </w:rPr>
              <w:t>pickle</w:t>
            </w:r>
            <w:r>
              <w:t xml:space="preserve"> protocols</w:t>
            </w:r>
            <w:bookmarkEnd w:id="2960"/>
          </w:p>
          <w:p>
            <w:pPr>
              <w:pStyle w:val="Para 013"/>
            </w:pPr>
            <w:r>
              <w:t>Protocol</w:t>
            </w:r>
          </w:p>
        </w:tc>
        <w:tc>
          <w:tcPr>
            <w:tcW w:type="auto" w:w="0"/>
            <w:tcMar>
              <w:left w:type="dxa" w:w="200"/>
              <w:top w:type="dxa" w:w="200"/>
              <w:right w:type="dxa" w:w="200"/>
              <w:bottom w:type="dxa" w:w="200"/>
            </w:tcMar>
            <w:vAlign w:val="center"/>
          </w:tcPr>
          <w:p>
            <w:pPr>
              <w:pStyle w:val="Para 013"/>
            </w:pPr>
            <w:r>
              <w:t>Format</w:t>
            </w:r>
          </w:p>
        </w:tc>
        <w:tc>
          <w:tcPr>
            <w:tcW w:type="auto" w:w="0"/>
            <w:tcMar>
              <w:left w:type="dxa" w:w="200"/>
              <w:top w:type="dxa" w:w="200"/>
              <w:right w:type="dxa" w:w="200"/>
              <w:bottom w:type="dxa" w:w="200"/>
            </w:tcMar>
            <w:vAlign w:val="center"/>
          </w:tcPr>
          <w:p>
            <w:pPr>
              <w:pStyle w:val="Para 013"/>
            </w:pPr>
            <w:r>
              <w:t>Added in Python version</w:t>
            </w:r>
          </w:p>
        </w:tc>
        <w:tc>
          <w:tcPr>
            <w:tcW w:type="auto" w:w="0"/>
            <w:tcMar>
              <w:left w:type="dxa" w:w="200"/>
              <w:top w:type="dxa" w:w="200"/>
              <w:right w:type="dxa" w:w="200"/>
              <w:bottom w:type="dxa" w:w="200"/>
            </w:tcMar>
            <w:vAlign w:val="center"/>
          </w:tcPr>
          <w:p>
            <w:pPr>
              <w:pStyle w:val="Para 013"/>
            </w:pPr>
            <w:r>
              <w:t>Description</w:t>
            </w:r>
          </w:p>
        </w:tc>
      </w:tr>
    </w:tbl>
    <w:tbl>
      <w:tblPr>
        <w:tblW w:type="auto" w:w="0"/>
      </w:tblPr>
      <w:tr>
        <w:tc>
          <w:tcPr>
            <w:tcW w:type="auto" w:w="0"/>
            <w:tcMar>
              <w:left w:type="dxa" w:w="200"/>
              <w:top w:type="dxa" w:w="200"/>
              <w:right w:type="dxa" w:w="200"/>
              <w:bottom w:type="dxa" w:w="200"/>
            </w:tcMar>
          </w:tcPr>
          <w:p>
            <w:pPr>
              <w:pStyle w:val="Para 001"/>
            </w:pPr>
            <w:r>
              <w:t>0</w:t>
            </w:r>
          </w:p>
        </w:tc>
        <w:tc>
          <w:tcPr>
            <w:tcW w:type="auto" w:w="0"/>
            <w:tcMar>
              <w:left w:type="dxa" w:w="200"/>
              <w:top w:type="dxa" w:w="200"/>
              <w:right w:type="dxa" w:w="200"/>
              <w:bottom w:type="dxa" w:w="200"/>
            </w:tcMar>
          </w:tcPr>
          <w:p>
            <w:pPr>
              <w:pStyle w:val="Para 002"/>
            </w:pPr>
            <w:r>
              <w:t>ASCII</w:t>
            </w:r>
          </w:p>
        </w:tc>
        <w:tc>
          <w:tcPr>
            <w:tcW w:type="auto" w:w="0"/>
            <w:tcMar>
              <w:left w:type="dxa" w:w="200"/>
              <w:top w:type="dxa" w:w="200"/>
              <w:right w:type="dxa" w:w="200"/>
              <w:bottom w:type="dxa" w:w="200"/>
            </w:tcMar>
          </w:tcPr>
          <w:p>
            <w:pPr>
              <w:pStyle w:val="Para 002"/>
            </w:pPr>
            <w:r>
              <w:t>1.4</w:t>
            </w:r>
            <w:hyperlink w:anchor="a_Or_possibly_earlier__This_is_t">
              <w:r>
                <w:rPr>
                  <w:rStyle w:val="Text41"/>
                </w:rPr>
                <w:bookmarkStart w:id="2961" w:name="a_11"/>
                <w:t>a</w:t>
                <w:bookmarkEnd w:id="2961"/>
              </w:r>
            </w:hyperlink>
          </w:p>
        </w:tc>
        <w:tc>
          <w:tcPr>
            <w:tcW w:type="auto" w:w="0"/>
            <w:tcMar>
              <w:left w:type="dxa" w:w="200"/>
              <w:top w:type="dxa" w:w="200"/>
              <w:right w:type="dxa" w:w="200"/>
              <w:bottom w:type="dxa" w:w="200"/>
            </w:tcMar>
          </w:tcPr>
          <w:p>
            <w:pPr>
              <w:pStyle w:val="Para 002"/>
            </w:pPr>
            <w:r>
              <w:t>Human-readable format, slow to serialize/deserialize</w:t>
            </w:r>
          </w:p>
        </w:tc>
      </w:tr>
    </w:tbl>
    <w:tbl>
      <w:tblPr>
        <w:tblW w:type="auto" w:w="0"/>
      </w:tblPr>
      <w:tr>
        <w:tc>
          <w:tcPr>
            <w:tcW w:type="auto" w:w="0"/>
            <w:shd w:val="clear" w:color="auto" w:fill="EEF2F6"/>
            <w:tcMar>
              <w:left w:type="dxa" w:w="200"/>
              <w:top w:type="dxa" w:w="200"/>
              <w:right w:type="dxa" w:w="200"/>
              <w:bottom w:type="dxa" w:w="200"/>
            </w:tcMar>
          </w:tcPr>
          <w:p>
            <w:pPr>
              <w:pStyle w:val="Para 001"/>
            </w:pPr>
            <w:r>
              <w:t>1</w:t>
            </w:r>
          </w:p>
        </w:tc>
        <w:tc>
          <w:tcPr>
            <w:tcW w:type="auto" w:w="0"/>
            <w:shd w:val="clear" w:color="auto" w:fill="EEF2F6"/>
            <w:tcMar>
              <w:left w:type="dxa" w:w="200"/>
              <w:top w:type="dxa" w:w="200"/>
              <w:right w:type="dxa" w:w="200"/>
              <w:bottom w:type="dxa" w:w="200"/>
            </w:tcMar>
          </w:tcPr>
          <w:p>
            <w:pPr>
              <w:pStyle w:val="Para 002"/>
            </w:pPr>
            <w:r>
              <w:t>Binary</w:t>
            </w:r>
          </w:p>
        </w:tc>
        <w:tc>
          <w:tcPr>
            <w:tcW w:type="auto" w:w="0"/>
            <w:shd w:val="clear" w:color="auto" w:fill="EEF2F6"/>
            <w:tcMar>
              <w:left w:type="dxa" w:w="200"/>
              <w:top w:type="dxa" w:w="200"/>
              <w:right w:type="dxa" w:w="200"/>
              <w:bottom w:type="dxa" w:w="200"/>
            </w:tcMar>
          </w:tcPr>
          <w:p>
            <w:pPr>
              <w:pStyle w:val="Para 002"/>
            </w:pPr>
            <w:r>
              <w:t>1.5</w:t>
            </w:r>
          </w:p>
        </w:tc>
        <w:tc>
          <w:tcPr>
            <w:tcW w:type="auto" w:w="0"/>
            <w:shd w:val="clear" w:color="auto" w:fill="EEF2F6"/>
            <w:tcMar>
              <w:left w:type="dxa" w:w="200"/>
              <w:top w:type="dxa" w:w="200"/>
              <w:right w:type="dxa" w:w="200"/>
              <w:bottom w:type="dxa" w:w="200"/>
            </w:tcMar>
          </w:tcPr>
          <w:p>
            <w:pPr>
              <w:pStyle w:val="Para 002"/>
            </w:pPr>
            <w:r>
              <w:t xml:space="preserve">Early binary format, superseded by protocol </w:t>
            </w:r>
            <w:r>
              <w:rPr>
                <w:rStyle w:val="Text0"/>
              </w:rPr>
              <w:t>2</w:t>
            </w:r>
          </w:p>
        </w:tc>
      </w:tr>
    </w:tbl>
    <w:tbl>
      <w:tblPr>
        <w:tblW w:type="auto" w:w="0"/>
      </w:tblPr>
      <w:tr>
        <w:tc>
          <w:tcPr>
            <w:tcW w:type="auto" w:w="0"/>
            <w:tcMar>
              <w:left w:type="dxa" w:w="200"/>
              <w:top w:type="dxa" w:w="200"/>
              <w:right w:type="dxa" w:w="200"/>
              <w:bottom w:type="dxa" w:w="200"/>
            </w:tcMar>
          </w:tcPr>
          <w:p>
            <w:pPr>
              <w:pStyle w:val="Para 001"/>
            </w:pPr>
            <w:r>
              <w:t>2</w:t>
            </w:r>
          </w:p>
        </w:tc>
        <w:tc>
          <w:tcPr>
            <w:tcW w:type="auto" w:w="0"/>
            <w:tcMar>
              <w:left w:type="dxa" w:w="200"/>
              <w:top w:type="dxa" w:w="200"/>
              <w:right w:type="dxa" w:w="200"/>
              <w:bottom w:type="dxa" w:w="200"/>
            </w:tcMar>
          </w:tcPr>
          <w:p>
            <w:pPr>
              <w:pStyle w:val="Para 002"/>
            </w:pPr>
            <w:r>
              <w:t>Binary</w:t>
            </w:r>
          </w:p>
        </w:tc>
        <w:tc>
          <w:tcPr>
            <w:tcW w:type="auto" w:w="0"/>
            <w:tcMar>
              <w:left w:type="dxa" w:w="200"/>
              <w:top w:type="dxa" w:w="200"/>
              <w:right w:type="dxa" w:w="200"/>
              <w:bottom w:type="dxa" w:w="200"/>
            </w:tcMar>
          </w:tcPr>
          <w:p>
            <w:pPr>
              <w:pStyle w:val="Para 002"/>
            </w:pPr>
            <w:r>
              <w:t>2.3</w:t>
            </w:r>
          </w:p>
        </w:tc>
        <w:tc>
          <w:tcPr>
            <w:tcW w:type="auto" w:w="0"/>
            <w:tcMar>
              <w:left w:type="dxa" w:w="200"/>
              <w:top w:type="dxa" w:w="200"/>
              <w:right w:type="dxa" w:w="200"/>
              <w:bottom w:type="dxa" w:w="200"/>
            </w:tcMar>
          </w:tcPr>
          <w:p>
            <w:pPr>
              <w:pStyle w:val="Para 002"/>
            </w:pPr>
            <w:r>
              <w:t>Improved support for later Python 2 features</w:t>
            </w:r>
          </w:p>
        </w:tc>
      </w:tr>
    </w:tbl>
    <w:tbl>
      <w:tblPr>
        <w:tblW w:type="auto" w:w="0"/>
      </w:tblPr>
      <w:tr>
        <w:tc>
          <w:tcPr>
            <w:tcW w:type="auto" w:w="0"/>
            <w:shd w:val="clear" w:color="auto" w:fill="EEF2F6"/>
            <w:tcMar>
              <w:left w:type="dxa" w:w="200"/>
              <w:top w:type="dxa" w:w="200"/>
              <w:right w:type="dxa" w:w="200"/>
              <w:bottom w:type="dxa" w:w="200"/>
            </w:tcMar>
          </w:tcPr>
          <w:p>
            <w:pPr>
              <w:pStyle w:val="Para 001"/>
            </w:pPr>
            <w:r>
              <w:t>3</w:t>
            </w:r>
          </w:p>
        </w:tc>
        <w:tc>
          <w:tcPr>
            <w:tcW w:type="auto" w:w="0"/>
            <w:shd w:val="clear" w:color="auto" w:fill="EEF2F6"/>
            <w:tcMar>
              <w:left w:type="dxa" w:w="200"/>
              <w:top w:type="dxa" w:w="200"/>
              <w:right w:type="dxa" w:w="200"/>
              <w:bottom w:type="dxa" w:w="200"/>
            </w:tcMar>
          </w:tcPr>
          <w:p>
            <w:pPr>
              <w:pStyle w:val="Para 002"/>
            </w:pPr>
            <w:r>
              <w:t>Binary</w:t>
            </w:r>
          </w:p>
        </w:tc>
        <w:tc>
          <w:tcPr>
            <w:tcW w:type="auto" w:w="0"/>
            <w:shd w:val="clear" w:color="auto" w:fill="EEF2F6"/>
            <w:tcMar>
              <w:left w:type="dxa" w:w="200"/>
              <w:top w:type="dxa" w:w="200"/>
              <w:right w:type="dxa" w:w="200"/>
              <w:bottom w:type="dxa" w:w="200"/>
            </w:tcMar>
          </w:tcPr>
          <w:p>
            <w:pPr>
              <w:pStyle w:val="Para 002"/>
            </w:pPr>
            <w:r>
              <w:t>3.0</w:t>
            </w:r>
          </w:p>
        </w:tc>
        <w:tc>
          <w:tcPr>
            <w:tcW w:type="auto" w:w="0"/>
            <w:shd w:val="clear" w:color="auto" w:fill="EEF2F6"/>
            <w:tcMar>
              <w:left w:type="dxa" w:w="200"/>
              <w:top w:type="dxa" w:w="200"/>
              <w:right w:type="dxa" w:w="200"/>
              <w:bottom w:type="dxa" w:w="200"/>
            </w:tcMar>
          </w:tcPr>
          <w:p>
            <w:pPr>
              <w:pStyle w:val="Para 002"/>
            </w:pPr>
            <w:r>
              <w:t>(</w:t>
            </w:r>
            <w:r>
              <w:rPr>
                <w:rStyle w:val="Text34"/>
              </w:rPr>
              <w:t>-3.8</w:t>
            </w:r>
            <w:r>
              <w:t xml:space="preserve"> default) Added specific support for </w:t>
            </w:r>
            <w:r>
              <w:rPr>
                <w:rStyle w:val="Text0"/>
              </w:rPr>
              <w:t>bytes</w:t>
            </w:r>
            <w:r>
              <w:t xml:space="preserve"> objects</w:t>
            </w:r>
          </w:p>
        </w:tc>
      </w:tr>
    </w:tbl>
    <w:tbl>
      <w:tblPr>
        <w:tblW w:type="auto" w:w="0"/>
      </w:tblPr>
      <w:tr>
        <w:tc>
          <w:tcPr>
            <w:tcW w:type="auto" w:w="0"/>
            <w:tcMar>
              <w:left w:type="dxa" w:w="200"/>
              <w:top w:type="dxa" w:w="200"/>
              <w:right w:type="dxa" w:w="200"/>
              <w:bottom w:type="dxa" w:w="200"/>
            </w:tcMar>
          </w:tcPr>
          <w:p>
            <w:pPr>
              <w:pStyle w:val="Para 001"/>
            </w:pPr>
            <w:r>
              <w:t>4</w:t>
            </w:r>
          </w:p>
        </w:tc>
        <w:tc>
          <w:tcPr>
            <w:tcW w:type="auto" w:w="0"/>
            <w:tcMar>
              <w:left w:type="dxa" w:w="200"/>
              <w:top w:type="dxa" w:w="200"/>
              <w:right w:type="dxa" w:w="200"/>
              <w:bottom w:type="dxa" w:w="200"/>
            </w:tcMar>
          </w:tcPr>
          <w:p>
            <w:pPr>
              <w:pStyle w:val="Para 002"/>
            </w:pPr>
            <w:r>
              <w:t>Binary</w:t>
            </w:r>
          </w:p>
        </w:tc>
        <w:tc>
          <w:tcPr>
            <w:tcW w:type="auto" w:w="0"/>
            <w:tcMar>
              <w:left w:type="dxa" w:w="200"/>
              <w:top w:type="dxa" w:w="200"/>
              <w:right w:type="dxa" w:w="200"/>
              <w:bottom w:type="dxa" w:w="200"/>
            </w:tcMar>
          </w:tcPr>
          <w:p>
            <w:pPr>
              <w:pStyle w:val="Para 002"/>
            </w:pPr>
            <w:r>
              <w:t>3.4</w:t>
            </w:r>
          </w:p>
        </w:tc>
        <w:tc>
          <w:tcPr>
            <w:tcW w:type="auto" w:w="0"/>
            <w:tcMar>
              <w:left w:type="dxa" w:w="200"/>
              <w:top w:type="dxa" w:w="200"/>
              <w:right w:type="dxa" w:w="200"/>
              <w:bottom w:type="dxa" w:w="200"/>
            </w:tcMar>
          </w:tcPr>
          <w:p>
            <w:pPr>
              <w:pStyle w:val="Para 002"/>
            </w:pPr>
            <w:r>
              <w:t>(</w:t>
            </w:r>
            <w:r>
              <w:rPr>
                <w:rStyle w:val="Text34"/>
              </w:rPr>
              <w:t>3.8+</w:t>
            </w:r>
            <w:r>
              <w:t xml:space="preserve"> default) Included support for very large objects</w:t>
            </w:r>
          </w:p>
        </w:tc>
      </w:tr>
    </w:tbl>
    <w:tbl>
      <w:tblPr>
        <w:tblW w:type="auto" w:w="0"/>
      </w:tblPr>
      <w:tr>
        <w:tc>
          <w:tcPr>
            <w:tcW w:type="auto" w:w="0"/>
            <w:shd w:val="clear" w:color="auto" w:fill="EEF2F6"/>
            <w:tcMar>
              <w:left w:type="dxa" w:w="200"/>
              <w:top w:type="dxa" w:w="200"/>
              <w:right w:type="dxa" w:w="200"/>
              <w:bottom w:type="dxa" w:w="200"/>
            </w:tcMar>
          </w:tcPr>
          <w:p>
            <w:pPr>
              <w:pStyle w:val="Para 001"/>
            </w:pPr>
            <w:r>
              <w:t>5</w:t>
            </w:r>
          </w:p>
        </w:tc>
        <w:tc>
          <w:tcPr>
            <w:tcW w:type="auto" w:w="0"/>
            <w:shd w:val="clear" w:color="auto" w:fill="EEF2F6"/>
            <w:tcMar>
              <w:left w:type="dxa" w:w="200"/>
              <w:top w:type="dxa" w:w="200"/>
              <w:right w:type="dxa" w:w="200"/>
              <w:bottom w:type="dxa" w:w="200"/>
            </w:tcMar>
          </w:tcPr>
          <w:p>
            <w:pPr>
              <w:pStyle w:val="Para 002"/>
            </w:pPr>
            <w:r>
              <w:t>Binary</w:t>
            </w:r>
          </w:p>
        </w:tc>
        <w:tc>
          <w:tcPr>
            <w:tcW w:type="auto" w:w="0"/>
            <w:shd w:val="clear" w:color="auto" w:fill="EEF2F6"/>
            <w:tcMar>
              <w:left w:type="dxa" w:w="200"/>
              <w:top w:type="dxa" w:w="200"/>
              <w:right w:type="dxa" w:w="200"/>
              <w:bottom w:type="dxa" w:w="200"/>
            </w:tcMar>
          </w:tcPr>
          <w:p>
            <w:pPr>
              <w:pStyle w:val="Para 002"/>
            </w:pPr>
            <w:r>
              <w:t>3.8</w:t>
            </w:r>
          </w:p>
        </w:tc>
        <w:tc>
          <w:tcPr>
            <w:tcW w:type="auto" w:w="0"/>
            <w:shd w:val="clear" w:color="auto" w:fill="EEF2F6"/>
            <w:tcMar>
              <w:left w:type="dxa" w:w="200"/>
              <w:top w:type="dxa" w:w="200"/>
              <w:right w:type="dxa" w:w="200"/>
              <w:bottom w:type="dxa" w:w="200"/>
            </w:tcMar>
          </w:tcPr>
          <w:p>
            <w:pPr>
              <w:pStyle w:val="Para 002"/>
            </w:pPr>
            <w:r>
              <w:rPr>
                <w:rStyle w:val="Text34"/>
              </w:rPr>
              <w:t>3.8+</w:t>
            </w:r>
            <w:r>
              <w:t xml:space="preserve"> Added features to support pickling as serialization for transport between processes, per </w:t>
            </w:r>
            <w:hyperlink r:id="rId400">
              <w:r>
                <w:rPr>
                  <w:rStyle w:val="Text1"/>
                </w:rPr>
                <w:t>PEP 574</w:t>
              </w:r>
            </w:hyperlink>
          </w:p>
        </w:tc>
      </w:tr>
    </w:tbl>
    <w:tbl>
      <w:tblPr>
        <w:tblW w:type="auto" w:w="0"/>
      </w:tblPr>
      <w:tr>
        <w:tc>
          <w:tcPr>
            <w:tcW w:type="auto" w:w="0"/>
            <w:tcMar>
              <w:left w:type="dxa" w:w="200"/>
              <w:top w:type="dxa" w:w="200"/>
              <w:right w:type="dxa" w:w="200"/>
              <w:bottom w:type="dxa" w:w="200"/>
            </w:tcMar>
            <w:hMerge w:val="restart"/>
          </w:tcPr>
          <w:p>
            <w:bookmarkStart w:id="2962" w:name="a_Or_possibly_earlier__This_is_t"/>
            <w:pPr>
              <w:pStyle w:val="Para 036"/>
            </w:pPr>
            <w:hyperlink w:anchor="a_11">
              <w:r>
                <w:rPr>
                  <w:rStyle w:val="Text1"/>
                </w:rPr>
                <w:t>a</w:t>
              </w:r>
            </w:hyperlink>
            <w:r>
              <w:t xml:space="preserve"> Or possibly earlier. This is the oldest version of documentation available at </w:t>
            </w:r>
            <w:hyperlink r:id="rId401">
              <w:r>
                <w:rPr>
                  <w:rStyle w:val="Text1"/>
                </w:rPr>
                <w:t>Python.org</w:t>
              </w:r>
            </w:hyperlink>
            <w:r>
              <w:t>.</w:t>
            </w:r>
            <w:bookmarkEnd w:id="2962"/>
          </w:p>
        </w:tc>
        <w:tc>
          <w:tcPr>
            <w:hMerge w:val="continue"/>
          </w:tcPr>
          <w:p/>
        </w:tc>
        <w:tc>
          <w:tcPr>
            <w:hMerge w:val="continue"/>
          </w:tcPr>
          <w:p/>
        </w:tc>
        <w:tc>
          <w:tcPr>
            <w:hMerge w:val="continue"/>
          </w:tcPr>
          <w:p/>
        </w:tc>
      </w:tr>
    </w:tbl>
    <w:p>
      <w:pPr>
        <w:keepNext/>
        <w:pStyle w:val="Heading 5"/>
        <w:keepLines w:val="on"/>
      </w:pPr>
      <w:r>
        <w:t>Always Pickle with Protocol 2 or Higher</w:t>
      </w:r>
    </w:p>
    <w:p>
      <w:pPr>
        <w:pStyle w:val="Para 012"/>
        <w:keepLines w:val="on"/>
      </w:pPr>
      <w:r>
        <w:t xml:space="preserve">Always use </w:t>
      </w:r>
      <w:r>
        <w:rPr>
          <w:rStyle w:val="Text4"/>
        </w:rPr>
        <w:t>at least</w:t>
      </w:r>
      <w:r>
        <w:t xml:space="preserve"> protocol </w:t>
      </w:r>
      <w:r>
        <w:rPr>
          <w:rStyle w:val="Text0"/>
        </w:rPr>
        <w:t>2</w:t>
      </w:r>
      <w:r>
        <w:t>. The size and speed savings can be substantial, and binary format has basically no downside except loss of compatibility of resulting pickles with truly ancient versions of Python.</w:t>
      </w:r>
    </w:p>
    <w:p>
      <w:pPr>
        <w:pStyle w:val="Normal"/>
      </w:pPr>
      <w:r>
        <w:t xml:space="preserve">When you reload objects, </w:t>
      </w:r>
      <w:r>
        <w:rPr>
          <w:rStyle w:val="Text0"/>
        </w:rPr>
        <w:t>pickle</w:t>
      </w:r>
      <w:r>
        <w:t xml:space="preserve"> transparently recognizes and uses any protocol that the Python version you’re currently using supports.</w:t>
      </w:r>
    </w:p>
    <w:p>
      <w:pPr>
        <w:pStyle w:val="Normal"/>
      </w:pPr>
      <w:r>
        <w:rPr>
          <w:rStyle w:val="Text0"/>
        </w:rPr>
        <w:t>pickle</w:t>
      </w:r>
      <w:r>
        <w:t xml:space="preserve"> serializes classes and functions by name, not by value.</w:t>
      </w:r>
      <w:hyperlink w:anchor="2_Consider_the_third_party_packa">
        <w:r>
          <w:rPr>
            <w:rStyle w:val="Text41"/>
          </w:rPr>
          <w:bookmarkStart w:id="2963" w:name="2_10"/>
          <w:t>2</w:t>
          <w:bookmarkEnd w:id="2963"/>
        </w:r>
      </w:hyperlink>
      <w:r>
        <w:t xml:space="preserve"> </w:t>
      </w:r>
      <w:r>
        <w:rPr>
          <w:rStyle w:val="Text0"/>
        </w:rPr>
        <w:t>pickle</w:t>
      </w:r>
      <w:r>
        <w:t xml:space="preserve"> can therefore deserialize a class or function only by importing it from the same module where the class or function was found when </w:t>
      </w:r>
      <w:r>
        <w:rPr>
          <w:rStyle w:val="Text0"/>
        </w:rPr>
        <w:t>pickle</w:t>
      </w:r>
      <w:r>
        <w:t xml:space="preserve"> serialized it. In particular, </w:t>
      </w:r>
      <w:r>
        <w:rPr>
          <w:rStyle w:val="Text0"/>
        </w:rPr>
        <w:t>pickle</w:t>
      </w:r>
      <w:r>
        <w:t xml:space="preserve"> can normally serialize and deserialize classes and functions only if they are top-level names (i.e., attributes) of their respective modules. Consider the following example: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adder</w:t>
        <w:br w:clear="none"/>
      </w:r>
      <w:r>
        <w:rPr>
          <w:rStyle w:val="Text7"/>
        </w:rPr>
        <w:t xml:space="preserve">(</w:t>
        <w:br w:clear="none"/>
      </w:r>
      <w:r>
        <w:t xml:space="preserve">augend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inner</w:t>
        <w:br w:clear="none"/>
      </w:r>
      <w:r>
        <w:rPr>
          <w:rStyle w:val="Text7"/>
        </w:rPr>
        <w:t xml:space="preserve">(</w:t>
        <w:br w:clear="none"/>
      </w:r>
      <w:r>
        <w:t xml:space="preserve">addend</w:t>
        <w:br w:clear="none"/>
      </w:r>
      <w:r>
        <w:rPr>
          <w:rStyle w:val="Text7"/>
        </w:rPr>
        <w:t xml:space="preserve">,</w:t>
        <w:br w:clear="none"/>
      </w:r>
      <w:r>
        <w:rPr>
          <w:rStyle w:val="Text6"/>
        </w:rPr>
        <w:t xml:space="preserve"> </w:t>
        <w:br w:clear="none"/>
      </w:r>
      <w:r>
        <w:t xml:space="preserve">augend</w:t>
        <w:br w:clear="none"/>
      </w:r>
      <w:r>
        <w:rPr>
          <w:rStyle w:val="Text13"/>
        </w:rPr>
        <w:t xml:space="preserve">=</w:t>
        <w:br w:clear="none"/>
      </w:r>
      <w:r>
        <w:t xml:space="preserve">augend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addend</w:t>
        <w:br w:clear="none"/>
      </w:r>
      <w:r>
        <w:rPr>
          <w:rStyle w:val="Text13"/>
        </w:rPr>
        <w:t xml:space="preserve">+</w:t>
        <w:br w:clear="none"/>
      </w:r>
      <w:r>
        <w:t xml:space="preserve">augend</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inner</w:t>
        <w:br w:clear="none"/>
      </w:r>
      <w:r>
        <w:rPr>
          <w:rStyle w:val="Text6"/>
        </w:rPr>
        <w:t xml:space="preserve"/>
        <w:br w:clear="none"/>
      </w:r>
      <w:r>
        <w:t xml:space="preserve">plus5</w:t>
        <w:br w:clear="none"/>
      </w:r>
      <w:r>
        <w:rPr>
          <w:rStyle w:val="Text6"/>
        </w:rPr>
        <w:t xml:space="preserve"> </w:t>
        <w:br w:clear="none"/>
      </w:r>
      <w:r>
        <w:rPr>
          <w:rStyle w:val="Text13"/>
        </w:rPr>
        <w:t xml:space="preserve">=</w:t>
        <w:br w:clear="none"/>
      </w:r>
      <w:r>
        <w:rPr>
          <w:rStyle w:val="Text6"/>
        </w:rPr>
        <w:t xml:space="preserve"> </w:t>
        <w:br w:clear="none"/>
      </w:r>
      <w:r>
        <w:t xml:space="preserve">adder</w:t>
        <w:br w:clear="none"/>
      </w:r>
      <w:r>
        <w:rPr>
          <w:rStyle w:val="Text7"/>
        </w:rPr>
        <w:t xml:space="preserve">(</w:t>
        <w:br w:clear="none"/>
      </w:r>
      <w:r>
        <w:rPr>
          <w:rStyle w:val="Text27"/>
        </w:rPr>
        <w:t xml:space="preserve">5</w:t>
        <w:br w:clear="none"/>
      </w:r>
      <w:r>
        <w:rPr>
          <w:rStyle w:val="Text7"/>
        </w:rPr>
        <w:t xml:space="preserve">)</w:t>
        <w:br w:clear="none"/>
      </w:r>
    </w:p>
    <w:p>
      <w:pPr>
        <w:pStyle w:val="Normal"/>
      </w:pPr>
      <w:r>
        <w:t xml:space="preserve">This code binds a closure to name </w:t>
      </w:r>
      <w:r>
        <w:rPr>
          <w:rStyle w:val="Text0"/>
        </w:rPr>
        <w:t>plus5</w:t>
      </w:r>
      <w:r>
        <w:t xml:space="preserve"> (as covered in </w:t>
      </w:r>
      <w:hyperlink w:anchor="Nested_functions_and_nested_scop">
        <w:r>
          <w:rPr>
            <w:rStyle w:val="Text1"/>
          </w:rPr>
          <w:t>“Nested functions and nested scopes”</w:t>
        </w:r>
      </w:hyperlink>
      <w:r>
        <w:t xml:space="preserve">)—a nested function </w:t>
      </w:r>
      <w:r>
        <w:rPr>
          <w:rStyle w:val="Text0"/>
        </w:rPr>
        <w:t>inner</w:t>
      </w:r>
      <w:r>
        <w:t xml:space="preserve"> plus an appropriate outer scope. Therefore, trying to pickle </w:t>
      </w:r>
      <w:r>
        <w:rPr>
          <w:rStyle w:val="Text0"/>
        </w:rPr>
        <w:t>plus5</w:t>
      </w:r>
      <w:r>
        <w:t xml:space="preserve"> raises an </w:t>
      </w:r>
      <w:r>
        <w:rPr>
          <w:rStyle w:val="Text0"/>
        </w:rPr>
        <w:t>AttributeError</w:t>
      </w:r>
      <w:r>
        <w:t xml:space="preserve">: a function can be pickled only when it is top-level, and the function </w:t>
      </w:r>
      <w:r>
        <w:rPr>
          <w:rStyle w:val="Text0"/>
        </w:rPr>
        <w:t>inner</w:t>
      </w:r>
      <w:r>
        <w:t xml:space="preserve">, whose closure is bound to the name </w:t>
      </w:r>
      <w:r>
        <w:rPr>
          <w:rStyle w:val="Text0"/>
        </w:rPr>
        <w:t>plus5</w:t>
      </w:r>
      <w:r>
        <w:t xml:space="preserve"> in this code, is not top-level but rather is nested inside the function </w:t>
      </w:r>
      <w:r>
        <w:rPr>
          <w:rStyle w:val="Text0"/>
        </w:rPr>
        <w:t>adder</w:t>
      </w:r>
      <w:r>
        <w:t>. Similar issues apply to pickling nested functions and nested classes (i.e., classes not at the top level).</w:t>
      </w:r>
    </w:p>
    <w:p>
      <w:bookmarkStart w:id="2964" w:name="pickle_functions_and_classes__Th"/>
      <w:pPr>
        <w:keepNext/>
        <w:pStyle w:val="Heading 2"/>
      </w:pPr>
      <w:r>
        <w:t>pickle functions and classes</w:t>
      </w:r>
      <w:bookmarkEnd w:id="2964"/>
    </w:p>
    <w:p>
      <w:pPr>
        <w:pStyle w:val="Normal"/>
      </w:pPr>
      <w:r>
        <w:t xml:space="preserve">The </w:t>
      </w:r>
      <w:r>
        <w:rPr>
          <w:rStyle w:val="Text0"/>
        </w:rPr>
        <w:t>pickle</w:t>
      </w:r>
      <w:r>
        <w:t xml:space="preserve"> module exposes the functions and classes listed in </w:t>
      </w:r>
      <w:hyperlink w:anchor="Table_12_4__Functions_and_classe">
        <w:r>
          <w:rPr>
            <w:rStyle w:val="Text1"/>
          </w:rPr>
          <w:t>Table 12-4</w:t>
        </w:r>
      </w:hyperlink>
      <w:r>
        <w:t>.</w:t>
      </w:r>
    </w:p>
    <w:tbl>
      <w:tblPr>
        <w:tblW w:type="auto" w:w="0"/>
      </w:tblPr>
      <w:tr>
        <w:tc>
          <w:tcPr>
            <w:tcW w:type="auto" w:w="0"/>
            <w:tcMar>
              <w:left w:type="dxa" w:w="200"/>
              <w:top w:type="dxa" w:w="200"/>
              <w:right w:type="dxa" w:w="200"/>
              <w:bottom w:type="dxa" w:w="200"/>
            </w:tcMar>
          </w:tcPr>
          <w:p>
            <w:bookmarkStart w:id="2965" w:name="Table_12_4__Functions_and_classe"/>
            <w:pPr>
              <w:pStyle w:val="Para 011"/>
            </w:pPr>
            <w:r>
              <w:rPr>
                <w:rStyle w:val="Text117"/>
              </w:rPr>
              <w:t/>
            </w:r>
            <w:r>
              <w:t xml:space="preserve">Table 12-4. </w:t>
              <w:t xml:space="preserve">Functions and classes of the </w:t>
            </w:r>
            <w:r>
              <w:rPr>
                <w:rStyle w:val="Text0"/>
              </w:rPr>
              <w:t>pickle</w:t>
            </w:r>
            <w:r>
              <w:t xml:space="preserve"> module</w:t>
            </w:r>
            <w:bookmarkEnd w:id="2965"/>
          </w:p>
          <w:p>
            <w:pPr>
              <w:pStyle w:val="Para 001"/>
            </w:pPr>
            <w:r>
              <w:t>dump</w:t>
            </w:r>
            <w:r>
              <w:rPr>
                <w:rStyle w:val="Text12"/>
              </w:rPr>
              <w:t>,</w:t>
              <w:br w:clear="none"/>
              <w:t xml:space="preserve"> </w:t>
            </w:r>
            <w:r>
              <w:t>dumps</w:t>
            </w:r>
          </w:p>
        </w:tc>
        <w:tc>
          <w:tcPr>
            <w:tcW w:type="auto" w:w="0"/>
            <w:tcMar>
              <w:left w:type="dxa" w:w="200"/>
              <w:top w:type="dxa" w:w="200"/>
              <w:right w:type="dxa" w:w="200"/>
              <w:bottom w:type="dxa" w:w="200"/>
            </w:tcMar>
          </w:tcPr>
          <w:p>
            <w:pPr>
              <w:pStyle w:val="Para 002"/>
            </w:pPr>
            <w:r>
              <w:rPr>
                <w:rStyle w:val="Text0"/>
              </w:rPr>
              <w:t>dump(</w:t>
            </w:r>
            <w:r>
              <w:rPr>
                <w:rStyle w:val="Text3"/>
              </w:rPr>
              <w:t>value</w:t>
            </w:r>
            <w:r>
              <w:rPr>
                <w:rStyle w:val="Text0"/>
              </w:rPr>
              <w:t>,</w:t>
            </w:r>
            <w:r>
              <w:t xml:space="preserve"> </w:t>
            </w:r>
            <w:r>
              <w:rPr>
                <w:rStyle w:val="Text3"/>
              </w:rPr>
              <w:t>fileobj,</w:t>
            </w:r>
            <w:r>
              <w:t xml:space="preserve"> </w:t>
            </w:r>
            <w:r>
              <w:rPr>
                <w:rStyle w:val="Text0"/>
              </w:rPr>
              <w:t>protocol=</w:t>
            </w:r>
            <w:r>
              <w:rPr>
                <w:rStyle w:val="Text5"/>
              </w:rPr>
              <w:t>None</w:t>
            </w:r>
            <w:r>
              <w:rPr>
                <w:rStyle w:val="Text0"/>
              </w:rPr>
              <w:t>, bin=</w:t>
            </w:r>
            <w:r>
              <w:rPr>
                <w:rStyle w:val="Text5"/>
              </w:rPr>
              <w:t>None</w:t>
            </w:r>
            <w:r>
              <w:rPr>
                <w:rStyle w:val="Text0"/>
              </w:rPr>
              <w:t>)</w:t>
            </w:r>
            <w:r>
              <w:t>,</w:t>
              <w:br w:clear="none"/>
              <w:t xml:space="preserve"> </w:t>
            </w:r>
            <w:r>
              <w:rPr>
                <w:rStyle w:val="Text0"/>
              </w:rPr>
              <w:t>dumps(</w:t>
            </w:r>
            <w:r>
              <w:rPr>
                <w:rStyle w:val="Text3"/>
              </w:rPr>
              <w:t>value</w:t>
            </w:r>
            <w:r>
              <w:rPr>
                <w:rStyle w:val="Text0"/>
              </w:rPr>
              <w:t>, protocol=</w:t>
            </w:r>
            <w:r>
              <w:rPr>
                <w:rStyle w:val="Text5"/>
              </w:rPr>
              <w:t>None</w:t>
            </w:r>
            <w:r>
              <w:rPr>
                <w:rStyle w:val="Text0"/>
              </w:rPr>
              <w:t>,</w:t>
            </w:r>
            <w:r>
              <w:t xml:space="preserve"> </w:t>
            </w:r>
            <w:r>
              <w:rPr>
                <w:rStyle w:val="Text0"/>
              </w:rPr>
              <w:t>bin=</w:t>
            </w:r>
            <w:r>
              <w:rPr>
                <w:rStyle w:val="Text5"/>
              </w:rPr>
              <w:t>None</w:t>
            </w:r>
            <w:r>
              <w:rPr>
                <w:rStyle w:val="Text0"/>
              </w:rPr>
              <w:t>)</w:t>
              <w:br w:clear="none"/>
            </w:r>
            <w:r>
              <w:t xml:space="preserve"> </w:t>
            </w:r>
            <w:r>
              <w:rPr>
                <w:rStyle w:val="Text0"/>
              </w:rPr>
              <w:t>dumps</w:t>
            </w:r>
            <w:r>
              <w:t xml:space="preserve"> returns a bytestring representing the object </w:t>
            </w:r>
            <w:r>
              <w:rPr>
                <w:rStyle w:val="Text3"/>
              </w:rPr>
              <w:t>value</w:t>
            </w:r>
            <w:r>
              <w:t xml:space="preserve">. </w:t>
            </w:r>
            <w:r>
              <w:rPr>
                <w:rStyle w:val="Text0"/>
              </w:rPr>
              <w:t>dump</w:t>
            </w:r>
            <w:r>
              <w:t xml:space="preserve"> writes the same string to the file-like object </w:t>
            </w:r>
            <w:r>
              <w:rPr>
                <w:rStyle w:val="Text3"/>
              </w:rPr>
              <w:t>fileobj</w:t>
            </w:r>
            <w:r>
              <w:t xml:space="preserve">, which must be opened for writing. </w:t>
            </w:r>
            <w:r>
              <w:rPr>
                <w:rStyle w:val="Text0"/>
              </w:rPr>
              <w:t>dump(</w:t>
            </w:r>
            <w:r>
              <w:rPr>
                <w:rStyle w:val="Text3"/>
              </w:rPr>
              <w:t>v</w:t>
            </w:r>
            <w:r>
              <w:rPr>
                <w:rStyle w:val="Text0"/>
              </w:rPr>
              <w:t>,</w:t>
            </w:r>
            <w:r>
              <w:t xml:space="preserve"> </w:t>
            </w:r>
            <w:r>
              <w:rPr>
                <w:rStyle w:val="Text3"/>
              </w:rPr>
              <w:t>f</w:t>
            </w:r>
            <w:r>
              <w:rPr>
                <w:rStyle w:val="Text0"/>
              </w:rPr>
              <w:t>)</w:t>
            </w:r>
            <w:r>
              <w:t xml:space="preserve"> is like </w:t>
            </w:r>
            <w:r>
              <w:rPr>
                <w:rStyle w:val="Text3"/>
              </w:rPr>
              <w:t>f</w:t>
            </w:r>
            <w:r>
              <w:rPr>
                <w:rStyle w:val="Text0"/>
              </w:rPr>
              <w:t>.write(dumps(</w:t>
            </w:r>
            <w:r>
              <w:rPr>
                <w:rStyle w:val="Text3"/>
              </w:rPr>
              <w:t>v</w:t>
            </w:r>
            <w:r>
              <w:rPr>
                <w:rStyle w:val="Text0"/>
              </w:rPr>
              <w:t>))</w:t>
            </w:r>
            <w:r>
              <w:t xml:space="preserve">. The </w:t>
            </w:r>
            <w:r>
              <w:rPr>
                <w:rStyle w:val="Text0"/>
              </w:rPr>
              <w:t>protocol</w:t>
            </w:r>
            <w:r>
              <w:t xml:space="preserve"> parameter can be </w:t>
            </w:r>
            <w:r>
              <w:rPr>
                <w:rStyle w:val="Text0"/>
              </w:rPr>
              <w:t>0</w:t>
            </w:r>
            <w:r>
              <w:t xml:space="preserve"> (ASCII output, the slowest and bulkiest option), or a larger </w:t>
            </w:r>
            <w:r>
              <w:rPr>
                <w:rStyle w:val="Text0"/>
              </w:rPr>
              <w:t>int</w:t>
            </w:r>
            <w:r>
              <w:t xml:space="preserve"> for various kinds of binary output (see </w:t>
            </w:r>
            <w:hyperlink w:anchor="Table_12_3__pickle_protocols">
              <w:r>
                <w:rPr>
                  <w:rStyle w:val="Text1"/>
                </w:rPr>
                <w:t>Table 12-3</w:t>
              </w:r>
            </w:hyperlink>
            <w:r>
              <w:t xml:space="preserve">). Unless </w:t>
            </w:r>
            <w:r>
              <w:rPr>
                <w:rStyle w:val="Text0"/>
              </w:rPr>
              <w:t>protocol</w:t>
            </w:r>
            <w:r>
              <w:t xml:space="preserve"> is </w:t>
            </w:r>
            <w:r>
              <w:rPr>
                <w:rStyle w:val="Text0"/>
              </w:rPr>
              <w:t>0</w:t>
            </w:r>
            <w:r>
              <w:t xml:space="preserve">, the </w:t>
            </w:r>
            <w:r>
              <w:rPr>
                <w:rStyle w:val="Text3"/>
              </w:rPr>
              <w:t>fileobj</w:t>
            </w:r>
            <w:r>
              <w:t xml:space="preserve"> parameter to dump must be open for binary writing. Do not pass the </w:t>
            </w:r>
            <w:r>
              <w:rPr>
                <w:rStyle w:val="Text0"/>
              </w:rPr>
              <w:t>bin</w:t>
            </w:r>
            <w:r>
              <w:t xml:space="preserve"> parameter, which exists only for compatibility with old versions of Python.</w:t>
            </w:r>
          </w:p>
        </w:tc>
      </w:tr>
    </w:tbl>
    <w:tbl>
      <w:tblPr>
        <w:tblW w:type="auto" w:w="0"/>
      </w:tblPr>
      <w:tr>
        <w:tc>
          <w:tcPr>
            <w:tcW w:type="auto" w:w="0"/>
            <w:shd w:val="clear" w:color="auto" w:fill="EEF2F6"/>
            <w:tcMar>
              <w:left w:type="dxa" w:w="200"/>
              <w:top w:type="dxa" w:w="200"/>
              <w:right w:type="dxa" w:w="200"/>
              <w:bottom w:type="dxa" w:w="200"/>
            </w:tcMar>
          </w:tcPr>
          <w:p>
            <w:pPr>
              <w:pStyle w:val="Para 001"/>
            </w:pPr>
            <w:r>
              <w:t>load</w:t>
            </w:r>
            <w:r>
              <w:rPr>
                <w:rStyle w:val="Text12"/>
              </w:rPr>
              <w:t>,</w:t>
              <w:br w:clear="none"/>
              <w:t xml:space="preserve"> </w:t>
            </w:r>
            <w:r>
              <w:t>loads</w:t>
            </w:r>
          </w:p>
        </w:tc>
        <w:tc>
          <w:tcPr>
            <w:tcW w:type="auto" w:w="0"/>
            <w:shd w:val="clear" w:color="auto" w:fill="EEF2F6"/>
            <w:tcMar>
              <w:left w:type="dxa" w:w="200"/>
              <w:top w:type="dxa" w:w="200"/>
              <w:right w:type="dxa" w:w="200"/>
              <w:bottom w:type="dxa" w:w="200"/>
            </w:tcMar>
          </w:tcPr>
          <w:p>
            <w:pPr>
              <w:pStyle w:val="Para 002"/>
            </w:pPr>
            <w:r>
              <w:rPr>
                <w:rStyle w:val="Text0"/>
              </w:rPr>
              <w:t>load(</w:t>
            </w:r>
            <w:r>
              <w:rPr>
                <w:rStyle w:val="Text3"/>
              </w:rPr>
              <w:t>fileobj</w:t>
            </w:r>
            <w:r>
              <w:rPr>
                <w:rStyle w:val="Text0"/>
              </w:rPr>
              <w:t>)</w:t>
            </w:r>
            <w:r>
              <w:t>,</w:t>
              <w:br w:clear="none"/>
              <w:t xml:space="preserve"> </w:t>
            </w:r>
            <w:r>
              <w:rPr>
                <w:rStyle w:val="Text0"/>
              </w:rPr>
              <w:t>loads(</w:t>
            </w:r>
            <w:r>
              <w:rPr>
                <w:rStyle w:val="Text3"/>
              </w:rPr>
              <w:t>s</w:t>
            </w:r>
            <w:r>
              <w:rPr>
                <w:rStyle w:val="Text0"/>
              </w:rPr>
              <w:t>, *, fix_imports=True, encoding="ASCII", errors="strict")</w:t>
              <w:br w:clear="none"/>
            </w:r>
            <w:r>
              <w:t xml:space="preserve"> The functions </w:t>
            </w:r>
            <w:r>
              <w:rPr>
                <w:rStyle w:val="Text0"/>
              </w:rPr>
              <w:t>load</w:t>
            </w:r>
            <w:r>
              <w:t xml:space="preserve"> and </w:t>
            </w:r>
            <w:r>
              <w:rPr>
                <w:rStyle w:val="Text0"/>
              </w:rPr>
              <w:t>dump</w:t>
            </w:r>
            <w:r>
              <w:t xml:space="preserve"> are complementary. In other words, a sequence of calls to </w:t>
            </w:r>
            <w:r>
              <w:rPr>
                <w:rStyle w:val="Text0"/>
              </w:rPr>
              <w:t>load(</w:t>
            </w:r>
            <w:r>
              <w:rPr>
                <w:rStyle w:val="Text3"/>
              </w:rPr>
              <w:t>f</w:t>
            </w:r>
            <w:r>
              <w:rPr>
                <w:rStyle w:val="Text0"/>
              </w:rPr>
              <w:t>)</w:t>
            </w:r>
            <w:r>
              <w:t xml:space="preserve"> deserializes the same values previously serialized when </w:t>
            </w:r>
            <w:r>
              <w:rPr>
                <w:rStyle w:val="Text3"/>
              </w:rPr>
              <w:t>f</w:t>
            </w:r>
            <w:r>
              <w:t xml:space="preserve">’s contents were created by a sequence of calls to </w:t>
            </w:r>
            <w:r>
              <w:rPr>
                <w:rStyle w:val="Text0"/>
              </w:rPr>
              <w:t>dump(</w:t>
            </w:r>
            <w:r>
              <w:rPr>
                <w:rStyle w:val="Text3"/>
              </w:rPr>
              <w:t>v, f</w:t>
            </w:r>
            <w:r>
              <w:rPr>
                <w:rStyle w:val="Text0"/>
              </w:rPr>
              <w:t>)</w:t>
            </w:r>
            <w:r>
              <w:t xml:space="preserve">. </w:t>
            </w:r>
            <w:r>
              <w:rPr>
                <w:rStyle w:val="Text0"/>
              </w:rPr>
              <w:t>load</w:t>
            </w:r>
            <w:r>
              <w:t xml:space="preserve"> reads the right number of bytes from file-like object </w:t>
            </w:r>
            <w:r>
              <w:rPr>
                <w:rStyle w:val="Text3"/>
              </w:rPr>
              <w:t>fileobj</w:t>
            </w:r>
            <w:r>
              <w:t xml:space="preserve"> and creates and returns the object </w:t>
            </w:r>
            <w:r>
              <w:rPr>
                <w:rStyle w:val="Text3"/>
              </w:rPr>
              <w:t>v</w:t>
            </w:r>
            <w:r>
              <w:t xml:space="preserve"> represented by those bytes. </w:t>
            </w:r>
            <w:r>
              <w:rPr>
                <w:rStyle w:val="Text0"/>
              </w:rPr>
              <w:t>load</w:t>
            </w:r>
            <w:r>
              <w:t xml:space="preserve"> and </w:t>
            </w:r>
            <w:r>
              <w:rPr>
                <w:rStyle w:val="Text0"/>
              </w:rPr>
              <w:t>loads</w:t>
            </w:r>
            <w:r>
              <w:t xml:space="preserve"> transparently support pickles performed in any binary or ASCII protocol. If data is pickled in any binary format, the file must be open as binary for both </w:t>
            </w:r>
            <w:r>
              <w:rPr>
                <w:rStyle w:val="Text0"/>
              </w:rPr>
              <w:t>dump</w:t>
            </w:r>
            <w:r>
              <w:t xml:space="preserve"> and </w:t>
            </w:r>
            <w:r>
              <w:rPr>
                <w:rStyle w:val="Text0"/>
              </w:rPr>
              <w:t>load</w:t>
            </w:r>
            <w:r>
              <w:t xml:space="preserve">. </w:t>
            </w:r>
            <w:r>
              <w:rPr>
                <w:rStyle w:val="Text0"/>
              </w:rPr>
              <w:t>load(</w:t>
            </w:r>
            <w:r>
              <w:rPr>
                <w:rStyle w:val="Text3"/>
              </w:rPr>
              <w:t>f</w:t>
            </w:r>
            <w:r>
              <w:rPr>
                <w:rStyle w:val="Text0"/>
              </w:rPr>
              <w:t>)</w:t>
            </w:r>
            <w:r>
              <w:t xml:space="preserve"> is like </w:t>
            </w:r>
            <w:r>
              <w:rPr>
                <w:rStyle w:val="Text0"/>
              </w:rPr>
              <w:t>Unpickler(</w:t>
            </w:r>
            <w:r>
              <w:rPr>
                <w:rStyle w:val="Text3"/>
              </w:rPr>
              <w:t>f</w:t>
            </w:r>
            <w:r>
              <w:rPr>
                <w:rStyle w:val="Text0"/>
              </w:rPr>
              <w:t>).load()</w:t>
            </w:r>
            <w:r>
              <w:t>.</w:t>
            </w:r>
          </w:p>
        </w:tc>
      </w:tr>
    </w:tbl>
    <w:tbl>
      <w:tblPr>
        <w:tblW w:type="auto" w:w="0"/>
      </w:tblPr>
      <w:tr>
        <w:tc>
          <w:tcPr>
            <w:tcW w:type="auto" w:w="0"/>
            <w:tcMar>
              <w:left w:type="dxa" w:w="200"/>
              <w:top w:type="dxa" w:w="200"/>
              <w:right w:type="dxa" w:w="200"/>
              <w:bottom w:type="dxa" w:w="200"/>
            </w:tcMar>
          </w:tcPr>
          <w:p>
            <w:pPr>
              <w:pStyle w:val="Para 001"/>
            </w:pPr>
            <w:r>
              <w:t>load</w:t>
            </w:r>
            <w:r>
              <w:rPr>
                <w:rStyle w:val="Text12"/>
              </w:rPr>
              <w:t>,</w:t>
              <w:br w:clear="none"/>
              <w:t xml:space="preserve"> </w:t>
            </w:r>
            <w:r>
              <w:t>loads</w:t>
              <w:br w:clear="none"/>
            </w:r>
            <w:r>
              <w:rPr>
                <w:rStyle w:val="Text12"/>
              </w:rPr>
              <w:t xml:space="preserve"> </w:t>
            </w:r>
            <w:r>
              <w:rPr>
                <w:rStyle w:val="Text47"/>
              </w:rPr>
              <w:t>(cont.)</w:t>
            </w:r>
          </w:p>
        </w:tc>
        <w:tc>
          <w:tcPr>
            <w:tcW w:type="auto" w:w="0"/>
            <w:tcMar>
              <w:left w:type="dxa" w:w="200"/>
              <w:top w:type="dxa" w:w="200"/>
              <w:right w:type="dxa" w:w="200"/>
              <w:bottom w:type="dxa" w:w="200"/>
            </w:tcMar>
          </w:tcPr>
          <w:p>
            <w:pPr>
              <w:pStyle w:val="Para 002"/>
            </w:pPr>
            <w:r>
              <w:rPr>
                <w:rStyle w:val="Text0"/>
              </w:rPr>
              <w:t>loads</w:t>
            </w:r>
            <w:r>
              <w:t xml:space="preserve"> creates and returns the object </w:t>
            </w:r>
            <w:r>
              <w:rPr>
                <w:rStyle w:val="Text3"/>
              </w:rPr>
              <w:t>v</w:t>
            </w:r>
            <w:r>
              <w:t xml:space="preserve"> represented by bytestring </w:t>
            </w:r>
            <w:r>
              <w:rPr>
                <w:rStyle w:val="Text3"/>
              </w:rPr>
              <w:t>s</w:t>
            </w:r>
            <w:r>
              <w:t xml:space="preserve">, so that for any object </w:t>
            </w:r>
            <w:r>
              <w:rPr>
                <w:rStyle w:val="Text3"/>
              </w:rPr>
              <w:t>v</w:t>
            </w:r>
            <w:r>
              <w:t xml:space="preserve"> of a supported type, </w:t>
            </w:r>
            <w:r>
              <w:rPr>
                <w:rStyle w:val="Text3"/>
              </w:rPr>
              <w:t>v</w:t>
            </w:r>
            <w:r>
              <w:rPr>
                <w:rStyle w:val="Text0"/>
              </w:rPr>
              <w:t>==loads(dumps(</w:t>
            </w:r>
            <w:r>
              <w:rPr>
                <w:rStyle w:val="Text3"/>
              </w:rPr>
              <w:t>v</w:t>
            </w:r>
            <w:r>
              <w:rPr>
                <w:rStyle w:val="Text0"/>
              </w:rPr>
              <w:t>))</w:t>
            </w:r>
            <w:r>
              <w:t xml:space="preserve">. If </w:t>
            </w:r>
            <w:r>
              <w:rPr>
                <w:rStyle w:val="Text3"/>
              </w:rPr>
              <w:t>s</w:t>
            </w:r>
            <w:r>
              <w:t xml:space="preserve"> is longer than </w:t>
            </w:r>
            <w:r>
              <w:rPr>
                <w:rStyle w:val="Text0"/>
              </w:rPr>
              <w:t>dumps(</w:t>
            </w:r>
            <w:r>
              <w:rPr>
                <w:rStyle w:val="Text3"/>
              </w:rPr>
              <w:t>v</w:t>
            </w:r>
            <w:r>
              <w:rPr>
                <w:rStyle w:val="Text0"/>
              </w:rPr>
              <w:t>)</w:t>
            </w:r>
            <w:r>
              <w:t xml:space="preserve">, </w:t>
            </w:r>
            <w:r>
              <w:rPr>
                <w:rStyle w:val="Text0"/>
              </w:rPr>
              <w:t>loads</w:t>
            </w:r>
            <w:r>
              <w:t xml:space="preserve"> ignores the extra bytes. Optional arguments </w:t>
            </w:r>
            <w:r>
              <w:rPr>
                <w:rStyle w:val="Text0"/>
              </w:rPr>
              <w:t>fix_imports</w:t>
            </w:r>
            <w:r>
              <w:t xml:space="preserve">, </w:t>
            </w:r>
            <w:r>
              <w:rPr>
                <w:rStyle w:val="Text0"/>
              </w:rPr>
              <w:t>encoding</w:t>
            </w:r>
            <w:r>
              <w:t xml:space="preserve">, and </w:t>
            </w:r>
            <w:r>
              <w:rPr>
                <w:rStyle w:val="Text0"/>
              </w:rPr>
              <w:t>errors</w:t>
            </w:r>
            <w:r>
              <w:t xml:space="preserve"> are provided for handling streams generated by Python 2 code; see the </w:t>
            </w:r>
            <w:r>
              <w:rPr>
                <w:rStyle w:val="Text0"/>
              </w:rPr>
              <w:t>pickle.loads</w:t>
            </w:r>
            <w:r>
              <w:t xml:space="preserve"> </w:t>
            </w:r>
            <w:hyperlink r:id="rId402">
              <w:r>
                <w:rPr>
                  <w:rStyle w:val="Text1"/>
                </w:rPr>
                <w:t>documentation</w:t>
              </w:r>
            </w:hyperlink>
            <w:r>
              <w:t xml:space="preserve"> for further information. </w:t>
            </w:r>
          </w:p>
          <w:p>
            <w:pPr>
              <w:keepNext/>
              <w:pStyle w:val="Para 056"/>
              <w:keepLines w:val="on"/>
            </w:pPr>
            <w:r>
              <w:t>Never Unpickle Untrusted Data</w:t>
            </w:r>
          </w:p>
          <w:p>
            <w:pPr>
              <w:pStyle w:val="Para 041"/>
              <w:keepLines w:val="on"/>
            </w:pPr>
            <w:r>
              <w:t>Unpickling from an untrusted data source is a security risk; an attacker could exploit this vulnerability to execute arbitrary code.</w:t>
            </w:r>
          </w:p>
        </w:tc>
      </w:tr>
    </w:tbl>
    <w:tbl>
      <w:tblPr>
        <w:tblW w:type="auto" w:w="0"/>
      </w:tblPr>
      <w:tr>
        <w:tc>
          <w:tcPr>
            <w:tcW w:type="auto" w:w="0"/>
            <w:shd w:val="clear" w:color="auto" w:fill="EEF2F6"/>
            <w:tcMar>
              <w:left w:type="dxa" w:w="200"/>
              <w:top w:type="dxa" w:w="200"/>
              <w:right w:type="dxa" w:w="200"/>
              <w:bottom w:type="dxa" w:w="200"/>
            </w:tcMar>
          </w:tcPr>
          <w:p>
            <w:pPr>
              <w:pStyle w:val="Para 001"/>
            </w:pPr>
            <w:r>
              <w:t>Pickler</w:t>
            </w:r>
          </w:p>
        </w:tc>
        <w:tc>
          <w:tcPr>
            <w:tcW w:type="auto" w:w="0"/>
            <w:shd w:val="clear" w:color="auto" w:fill="EEF2F6"/>
            <w:tcMar>
              <w:left w:type="dxa" w:w="200"/>
              <w:top w:type="dxa" w:w="200"/>
              <w:right w:type="dxa" w:w="200"/>
              <w:bottom w:type="dxa" w:w="200"/>
            </w:tcMar>
          </w:tcPr>
          <w:p>
            <w:pPr>
              <w:pStyle w:val="Para 002"/>
            </w:pPr>
            <w:r>
              <w:rPr>
                <w:rStyle w:val="Text0"/>
              </w:rPr>
              <w:t>Pickler(</w:t>
            </w:r>
            <w:r>
              <w:rPr>
                <w:rStyle w:val="Text3"/>
              </w:rPr>
              <w:t>fileobj</w:t>
            </w:r>
            <w:r>
              <w:rPr>
                <w:rStyle w:val="Text0"/>
              </w:rPr>
              <w:t>, protocol=</w:t>
            </w:r>
            <w:r>
              <w:rPr>
                <w:rStyle w:val="Text5"/>
              </w:rPr>
              <w:t>None</w:t>
            </w:r>
            <w:r>
              <w:rPr>
                <w:rStyle w:val="Text0"/>
              </w:rPr>
              <w:t>, bin=</w:t>
            </w:r>
            <w:r>
              <w:rPr>
                <w:rStyle w:val="Text5"/>
              </w:rPr>
              <w:t>None</w:t>
            </w:r>
            <w:r>
              <w:rPr>
                <w:rStyle w:val="Text0"/>
              </w:rPr>
              <w:t>)</w:t>
              <w:br w:clear="none"/>
            </w:r>
            <w:r>
              <w:t xml:space="preserve"> Creates and returns an object </w:t>
            </w:r>
            <w:r>
              <w:rPr>
                <w:rStyle w:val="Text3"/>
              </w:rPr>
              <w:t>p</w:t>
            </w:r>
            <w:r>
              <w:t xml:space="preserve"> such that calling </w:t>
            </w:r>
            <w:r>
              <w:rPr>
                <w:rStyle w:val="Text3"/>
              </w:rPr>
              <w:t>p</w:t>
            </w:r>
            <w:r>
              <w:rPr>
                <w:rStyle w:val="Text0"/>
              </w:rPr>
              <w:t>.dump</w:t>
            </w:r>
            <w:r>
              <w:t xml:space="preserve"> is equivalent to calling the function </w:t>
            </w:r>
            <w:r>
              <w:rPr>
                <w:rStyle w:val="Text0"/>
              </w:rPr>
              <w:t>dump</w:t>
            </w:r>
            <w:r>
              <w:t xml:space="preserve"> with the </w:t>
            </w:r>
            <w:r>
              <w:rPr>
                <w:rStyle w:val="Text3"/>
              </w:rPr>
              <w:t>fileobj</w:t>
            </w:r>
            <w:r>
              <w:t xml:space="preserve">, </w:t>
            </w:r>
            <w:r>
              <w:rPr>
                <w:rStyle w:val="Text0"/>
              </w:rPr>
              <w:t>protocol</w:t>
            </w:r>
            <w:r>
              <w:t xml:space="preserve">, and </w:t>
            </w:r>
            <w:r>
              <w:rPr>
                <w:rStyle w:val="Text0"/>
              </w:rPr>
              <w:t>bin</w:t>
            </w:r>
            <w:r>
              <w:t xml:space="preserve"> arguments passed to </w:t>
            </w:r>
            <w:r>
              <w:rPr>
                <w:rStyle w:val="Text0"/>
              </w:rPr>
              <w:t>Pickler</w:t>
            </w:r>
            <w:r>
              <w:t xml:space="preserve">. To serialize many objects to a file, </w:t>
            </w:r>
            <w:r>
              <w:rPr>
                <w:rStyle w:val="Text0"/>
              </w:rPr>
              <w:t>Pickler</w:t>
            </w:r>
            <w:r>
              <w:t xml:space="preserve"> is more convenient and faster than repeated calls to </w:t>
            </w:r>
            <w:r>
              <w:rPr>
                <w:rStyle w:val="Text0"/>
              </w:rPr>
              <w:t>dump</w:t>
            </w:r>
            <w:r>
              <w:t xml:space="preserve">. You can subclass </w:t>
            </w:r>
            <w:r>
              <w:rPr>
                <w:rStyle w:val="Text0"/>
              </w:rPr>
              <w:t>pickle.Pickler</w:t>
            </w:r>
            <w:r>
              <w:t xml:space="preserve"> to override </w:t>
            </w:r>
            <w:r>
              <w:rPr>
                <w:rStyle w:val="Text0"/>
              </w:rPr>
              <w:t>Pickler</w:t>
            </w:r>
            <w:r>
              <w:t xml:space="preserve"> methods (particularly the method </w:t>
            </w:r>
            <w:r>
              <w:rPr>
                <w:rStyle w:val="Text0"/>
              </w:rPr>
              <w:t>persistent_id</w:t>
            </w:r>
            <w:r>
              <w:t>) and create your own persistence framework. However, this is an advanced topic and is not covered further in this book.</w:t>
            </w:r>
          </w:p>
        </w:tc>
      </w:tr>
    </w:tbl>
    <w:tbl>
      <w:tblPr>
        <w:tblW w:type="auto" w:w="0"/>
      </w:tblPr>
      <w:tr>
        <w:tc>
          <w:tcPr>
            <w:tcW w:type="auto" w:w="0"/>
            <w:tcMar>
              <w:left w:type="dxa" w:w="200"/>
              <w:top w:type="dxa" w:w="200"/>
              <w:right w:type="dxa" w:w="200"/>
              <w:bottom w:type="dxa" w:w="200"/>
            </w:tcMar>
          </w:tcPr>
          <w:p>
            <w:pPr>
              <w:pStyle w:val="Para 001"/>
            </w:pPr>
            <w:r>
              <w:t>Unpickler</w:t>
            </w:r>
          </w:p>
        </w:tc>
        <w:tc>
          <w:tcPr>
            <w:tcW w:type="auto" w:w="0"/>
            <w:tcMar>
              <w:left w:type="dxa" w:w="200"/>
              <w:top w:type="dxa" w:w="200"/>
              <w:right w:type="dxa" w:w="200"/>
              <w:bottom w:type="dxa" w:w="200"/>
            </w:tcMar>
          </w:tcPr>
          <w:p>
            <w:pPr>
              <w:pStyle w:val="Para 002"/>
            </w:pPr>
            <w:r>
              <w:rPr>
                <w:rStyle w:val="Text0"/>
              </w:rPr>
              <w:t>Unpickler(</w:t>
            </w:r>
            <w:r>
              <w:rPr>
                <w:rStyle w:val="Text3"/>
              </w:rPr>
              <w:t>fileobj</w:t>
            </w:r>
            <w:r>
              <w:rPr>
                <w:rStyle w:val="Text0"/>
              </w:rPr>
              <w:t>)</w:t>
              <w:br w:clear="none"/>
            </w:r>
            <w:r>
              <w:t xml:space="preserve"> Creates and returns an object </w:t>
            </w:r>
            <w:r>
              <w:rPr>
                <w:rStyle w:val="Text3"/>
              </w:rPr>
              <w:t>u</w:t>
            </w:r>
            <w:r>
              <w:t xml:space="preserve"> such that calling the </w:t>
            </w:r>
            <w:r>
              <w:rPr>
                <w:rStyle w:val="Text3"/>
              </w:rPr>
              <w:t>u</w:t>
            </w:r>
            <w:r>
              <w:rPr>
                <w:rStyle w:val="Text0"/>
              </w:rPr>
              <w:t>.load</w:t>
            </w:r>
            <w:r>
              <w:t xml:space="preserve"> is equivalent to calling </w:t>
            </w:r>
            <w:r>
              <w:rPr>
                <w:rStyle w:val="Text0"/>
              </w:rPr>
              <w:t>load</w:t>
            </w:r>
            <w:r>
              <w:t xml:space="preserve"> with the </w:t>
            </w:r>
            <w:r>
              <w:rPr>
                <w:rStyle w:val="Text3"/>
              </w:rPr>
              <w:t>fileobj</w:t>
            </w:r>
            <w:r>
              <w:t xml:space="preserve"> argument passed to </w:t>
            </w:r>
            <w:r>
              <w:rPr>
                <w:rStyle w:val="Text0"/>
              </w:rPr>
              <w:t>Unpickler</w:t>
            </w:r>
            <w:r>
              <w:t xml:space="preserve">. To deserialize many objects from a file, </w:t>
            </w:r>
            <w:r>
              <w:rPr>
                <w:rStyle w:val="Text0"/>
              </w:rPr>
              <w:t>Unpickler</w:t>
            </w:r>
            <w:r>
              <w:t xml:space="preserve"> is more convenient and faster than repeated calls to the function </w:t>
            </w:r>
            <w:r>
              <w:rPr>
                <w:rStyle w:val="Text0"/>
              </w:rPr>
              <w:t>load</w:t>
            </w:r>
            <w:r>
              <w:t xml:space="preserve">. You can subclass </w:t>
            </w:r>
            <w:r>
              <w:rPr>
                <w:rStyle w:val="Text0"/>
              </w:rPr>
              <w:t>pickle.Unpickler</w:t>
            </w:r>
            <w:r>
              <w:t xml:space="preserve"> to override </w:t>
            </w:r>
            <w:r>
              <w:rPr>
                <w:rStyle w:val="Text0"/>
              </w:rPr>
              <w:t>Unpickler</w:t>
            </w:r>
            <w:r>
              <w:t xml:space="preserve"> methods (particularly the method </w:t>
            </w:r>
            <w:r>
              <w:rPr>
                <w:rStyle w:val="Text0"/>
              </w:rPr>
              <w:t>persistent_load</w:t>
            </w:r>
            <w:r>
              <w:t>) and create your own persistence framework. However, this is an advanced topic and is not covered further in this book.</w:t>
            </w:r>
          </w:p>
        </w:tc>
      </w:tr>
    </w:tbl>
    <w:p>
      <w:bookmarkStart w:id="2966" w:name="A_pickling_example__The_followin"/>
      <w:pPr>
        <w:keepNext/>
        <w:pStyle w:val="Heading 2"/>
      </w:pPr>
      <w:r>
        <w:t>A pickling example</w:t>
      </w:r>
      <w:bookmarkEnd w:id="2966"/>
    </w:p>
    <w:p>
      <w:pPr>
        <w:pStyle w:val="Normal"/>
      </w:pPr>
      <w:r>
        <w:t xml:space="preserve">The following example handles the same task as the </w:t>
      </w:r>
      <w:r>
        <w:rPr>
          <w:rStyle w:val="Text0"/>
        </w:rPr>
        <w:t>json</w:t>
      </w:r>
      <w:r>
        <w:t xml:space="preserve"> example shown earlier, but uses </w:t>
      </w:r>
      <w:r>
        <w:rPr>
          <w:rStyle w:val="Text0"/>
        </w:rPr>
        <w:t>pickle</w:t>
      </w:r>
      <w:r>
        <w:t xml:space="preserve"> instead of </w:t>
      </w:r>
      <w:r>
        <w:rPr>
          <w:rStyle w:val="Text0"/>
        </w:rPr>
        <w:t>json</w:t>
      </w:r>
      <w:r>
        <w:t xml:space="preserve"> to serialize lists of </w:t>
      </w:r>
      <w:r>
        <w:rPr>
          <w:rStyle w:val="Text0"/>
        </w:rPr>
        <w:t>(</w:t>
      </w:r>
      <w:r>
        <w:rPr>
          <w:rStyle w:val="Text3"/>
        </w:rPr>
        <w:t>filename</w:t>
      </w:r>
      <w:r>
        <w:rPr>
          <w:rStyle w:val="Text0"/>
        </w:rPr>
        <w:t>,</w:t>
      </w:r>
      <w:r>
        <w:t xml:space="preserve"> </w:t>
      </w:r>
      <w:r>
        <w:rPr>
          <w:rStyle w:val="Text3"/>
        </w:rPr>
        <w:t>linenumber</w:t>
      </w:r>
      <w:r>
        <w:rPr>
          <w:rStyle w:val="Text0"/>
        </w:rPr>
        <w:t>)</w:t>
      </w:r>
      <w:r>
        <w:t xml:space="preserve"> pairs as strings: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collections</w:t>
        <w:br w:clear="none"/>
      </w:r>
      <w:r>
        <w:rPr>
          <w:rStyle w:val="Text13"/>
        </w:rPr>
        <w:t xml:space="preserve">,</w:t>
        <w:br w:clear="none"/>
      </w:r>
      <w:r>
        <w:rPr>
          <w:rStyle w:val="Text6"/>
        </w:rPr>
        <w:t xml:space="preserve"> </w:t>
        <w:br w:clear="none"/>
      </w:r>
      <w:r>
        <w:rPr>
          <w:rStyle w:val="Text20"/>
        </w:rPr>
        <w:t xml:space="preserve">fileinput</w:t>
        <w:br w:clear="none"/>
      </w:r>
      <w:r>
        <w:rPr>
          <w:rStyle w:val="Text13"/>
        </w:rPr>
        <w:t xml:space="preserve">,</w:t>
        <w:br w:clear="none"/>
      </w:r>
      <w:r>
        <w:rPr>
          <w:rStyle w:val="Text6"/>
        </w:rPr>
        <w:t xml:space="preserve"> </w:t>
        <w:br w:clear="none"/>
      </w:r>
      <w:r>
        <w:rPr>
          <w:rStyle w:val="Text20"/>
        </w:rPr>
        <w:t xml:space="preserve">pickle</w:t>
        <w:br w:clear="none"/>
      </w:r>
      <w:r>
        <w:rPr>
          <w:rStyle w:val="Text13"/>
        </w:rPr>
        <w:t xml:space="preserve">,</w:t>
        <w:br w:clear="none"/>
      </w:r>
      <w:r>
        <w:rPr>
          <w:rStyle w:val="Text6"/>
        </w:rPr>
        <w:t xml:space="preserve"> </w:t>
        <w:br w:clear="none"/>
      </w:r>
      <w:r>
        <w:rPr>
          <w:rStyle w:val="Text20"/>
        </w:rPr>
        <w:t xml:space="preserve">dbm</w:t>
        <w:br w:clear="none"/>
      </w:r>
      <w:r>
        <w:rPr>
          <w:rStyle w:val="Text6"/>
        </w:rPr>
        <w:t xml:space="preserve"/>
        <w:br w:clear="none"/>
      </w:r>
      <w:r>
        <w:t xml:space="preserve">word_pos</w:t>
        <w:br w:clear="none"/>
      </w:r>
      <w:r>
        <w:rPr>
          <w:rStyle w:val="Text6"/>
        </w:rPr>
        <w:t xml:space="preserve"> </w:t>
        <w:br w:clear="none"/>
      </w:r>
      <w:r>
        <w:rPr>
          <w:rStyle w:val="Text13"/>
        </w:rPr>
        <w:t xml:space="preserve">=</w:t>
        <w:br w:clear="none"/>
      </w:r>
      <w:r>
        <w:rPr>
          <w:rStyle w:val="Text6"/>
        </w:rPr>
        <w:t xml:space="preserve"> </w:t>
        <w:br w:clear="none"/>
      </w:r>
      <w:r>
        <w:t xml:space="preserve">collections</w:t>
        <w:br w:clear="none"/>
      </w:r>
      <w:r>
        <w:rPr>
          <w:rStyle w:val="Text13"/>
        </w:rPr>
        <w:t xml:space="preserve">.</w:t>
        <w:br w:clear="none"/>
      </w:r>
      <w:r>
        <w:t xml:space="preserve">defaultdict</w:t>
        <w:br w:clear="none"/>
      </w:r>
      <w:r>
        <w:rPr>
          <w:rStyle w:val="Text7"/>
        </w:rPr>
        <w:t xml:space="preserve">(</w:t>
        <w:br w:clear="none"/>
      </w:r>
      <w:r>
        <w:rPr>
          <w:rStyle w:val="Text16"/>
        </w:rPr>
        <w:t xml:space="preserve">list</w:t>
        <w:br w:clear="none"/>
      </w:r>
      <w:r>
        <w:rPr>
          <w:rStyle w:val="Text7"/>
        </w:rPr>
        <w:t xml:space="preserve">)</w:t>
        <w:br w:clear="none"/>
      </w:r>
      <w:r>
        <w:rPr>
          <w:rStyle w:val="Text6"/>
        </w:rPr>
        <w:t xml:space="preserve"/>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pos</w:t>
        <w:br w:clear="none"/>
      </w:r>
      <w:r>
        <w:rPr>
          <w:rStyle w:val="Text6"/>
        </w:rPr>
        <w:t xml:space="preserve"> </w:t>
        <w:br w:clear="none"/>
      </w:r>
      <w:r>
        <w:rPr>
          <w:rStyle w:val="Text13"/>
        </w:rPr>
        <w:t xml:space="preserve">=</w:t>
        <w:br w:clear="none"/>
      </w:r>
      <w:r>
        <w:rPr>
          <w:rStyle w:val="Text6"/>
        </w:rPr>
        <w:t xml:space="preserve"> </w:t>
        <w:br w:clear="none"/>
      </w:r>
      <w:r>
        <w:t xml:space="preserve">fileinput</w:t>
        <w:br w:clear="none"/>
      </w:r>
      <w:r>
        <w:rPr>
          <w:rStyle w:val="Text13"/>
        </w:rPr>
        <w:t xml:space="preserve">.</w:t>
        <w:br w:clear="none"/>
      </w:r>
      <w:r>
        <w:t xml:space="preserve">filename</w:t>
        <w:br w:clear="none"/>
      </w:r>
      <w:r>
        <w:rPr>
          <w:rStyle w:val="Text7"/>
        </w:rPr>
        <w:t xml:space="preserve">(</w:t>
        <w:br w:clear="none"/>
        <w:t xml:space="preserve">)</w:t>
        <w:br w:clear="none"/>
        <w:t xml:space="preserve">,</w:t>
        <w:br w:clear="none"/>
      </w:r>
      <w:r>
        <w:rPr>
          <w:rStyle w:val="Text6"/>
        </w:rPr>
        <w:t xml:space="preserve"> </w:t>
        <w:br w:clear="none"/>
      </w:r>
      <w:r>
        <w:t xml:space="preserve">fileinput</w:t>
        <w:br w:clear="none"/>
      </w:r>
      <w:r>
        <w:rPr>
          <w:rStyle w:val="Text13"/>
        </w:rPr>
        <w:t xml:space="preserve">.</w:t>
        <w:br w:clear="none"/>
      </w:r>
      <w:r>
        <w:t xml:space="preserve">filelineno</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line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word_pos</w:t>
        <w:br w:clear="none"/>
      </w:r>
      <w:r>
        <w:rPr>
          <w:rStyle w:val="Text7"/>
        </w:rPr>
        <w:t xml:space="preserve">[</w:t>
        <w:br w:clear="none"/>
      </w:r>
      <w:r>
        <w:t xml:space="preserve">word</w:t>
        <w:br w:clear="none"/>
      </w:r>
      <w:r>
        <w:rPr>
          <w:rStyle w:val="Text7"/>
        </w:rPr>
        <w:t xml:space="preserve">]</w:t>
        <w:br w:clear="none"/>
      </w:r>
      <w:r>
        <w:rPr>
          <w:rStyle w:val="Text13"/>
        </w:rPr>
        <w:t xml:space="preserve">.</w:t>
        <w:br w:clear="none"/>
      </w:r>
      <w:r>
        <w:t xml:space="preserve">append</w:t>
        <w:br w:clear="none"/>
      </w:r>
      <w:r>
        <w:rPr>
          <w:rStyle w:val="Text7"/>
        </w:rPr>
        <w:t xml:space="preserve">(</w:t>
        <w:br w:clear="none"/>
      </w:r>
      <w:r>
        <w:t xml:space="preserve">pos</w:t>
        <w:br w:clear="none"/>
      </w:r>
      <w:r>
        <w:rPr>
          <w:rStyle w:val="Text7"/>
        </w:rPr>
        <w:t xml:space="preserve">)</w:t>
        <w:br w:clear="none"/>
      </w:r>
      <w:r>
        <w:rPr>
          <w:rStyle w:val="Text6"/>
        </w:rPr>
        <w:t xml:space="preserve"/>
        <w:br w:clear="none"/>
        <w:t xml:space="preserve"/>
        <w:br w:clear="none"/>
      </w:r>
      <w:r>
        <w:rPr>
          <w:rStyle w:val="Text10"/>
        </w:rPr>
        <w:t xml:space="preserve">with</w:t>
        <w:br w:clear="none"/>
      </w:r>
      <w:r>
        <w:rPr>
          <w:rStyle w:val="Text6"/>
        </w:rPr>
        <w:t xml:space="preserve"> </w:t>
        <w:br w:clear="none"/>
      </w:r>
      <w:r>
        <w:t xml:space="preserve">dbm</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indexfilep</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n</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dbm_out</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7"/>
        </w:rPr>
        <w:t xml:space="preserve">,</w:t>
        <w:br w:clear="none"/>
      </w:r>
      <w:r>
        <w:rPr>
          <w:rStyle w:val="Text6"/>
        </w:rPr>
        <w:t xml:space="preserve"> </w:t>
        <w:br w:clear="none"/>
      </w:r>
      <w:r>
        <w:t xml:space="preserve">word_positions</w:t>
        <w:br w:clear="none"/>
      </w:r>
      <w:r>
        <w:rPr>
          <w:rStyle w:val="Text6"/>
        </w:rPr>
        <w:t xml:space="preserve"> </w:t>
        <w:br w:clear="none"/>
      </w:r>
      <w:r>
        <w:rPr>
          <w:rStyle w:val="Text31"/>
        </w:rPr>
        <w:t xml:space="preserve">in</w:t>
        <w:br w:clear="none"/>
      </w:r>
      <w:r>
        <w:rPr>
          <w:rStyle w:val="Text6"/>
        </w:rPr>
        <w:t xml:space="preserve"> </w:t>
        <w:br w:clear="none"/>
      </w:r>
      <w:r>
        <w:t xml:space="preserve">word_pos</w:t>
        <w:br w:clear="none"/>
      </w:r>
      <w:r>
        <w:rPr>
          <w:rStyle w:val="Text13"/>
        </w:rPr>
        <w:t xml:space="preserve">.</w:t>
        <w:br w:clear="none"/>
      </w:r>
      <w:r>
        <w:t xml:space="preserve">items</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dbm_out</w:t>
        <w:br w:clear="none"/>
      </w:r>
      <w:r>
        <w:rPr>
          <w:rStyle w:val="Text7"/>
        </w:rPr>
        <w:t xml:space="preserve">[</w:t>
        <w:br w:clear="none"/>
      </w:r>
      <w:r>
        <w:t xml:space="preserve">word</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pickle</w:t>
        <w:br w:clear="none"/>
      </w:r>
      <w:r>
        <w:rPr>
          <w:rStyle w:val="Text13"/>
        </w:rPr>
        <w:t xml:space="preserve">.</w:t>
        <w:br w:clear="none"/>
      </w:r>
      <w:r>
        <w:t xml:space="preserve">dumps</w:t>
        <w:br w:clear="none"/>
      </w:r>
      <w:r>
        <w:rPr>
          <w:rStyle w:val="Text7"/>
        </w:rPr>
        <w:t xml:space="preserve">(</w:t>
        <w:br w:clear="none"/>
      </w:r>
      <w:r>
        <w:t xml:space="preserve">word_positions</w:t>
        <w:br w:clear="none"/>
      </w:r>
      <w:r>
        <w:rPr>
          <w:rStyle w:val="Text7"/>
        </w:rPr>
        <w:t xml:space="preserve">,</w:t>
        <w:br w:clear="none"/>
      </w:r>
      <w:r>
        <w:rPr>
          <w:rStyle w:val="Text6"/>
        </w:rPr>
        <w:t xml:space="preserve"> </w:t>
        <w:br w:clear="none"/>
      </w:r>
      <w:r>
        <w:t xml:space="preserve">protocol</w:t>
        <w:br w:clear="none"/>
      </w:r>
      <w:r>
        <w:rPr>
          <w:rStyle w:val="Text13"/>
        </w:rPr>
        <w:t xml:space="preserve">=</w:t>
        <w:br w:clear="none"/>
      </w:r>
      <w:r>
        <w:rPr>
          <w:rStyle w:val="Text27"/>
        </w:rPr>
        <w:t xml:space="preserve">2</w:t>
        <w:br w:clear="none"/>
      </w:r>
      <w:r>
        <w:rPr>
          <w:rStyle w:val="Text7"/>
        </w:rPr>
        <w:t xml:space="preserve">)</w:t>
        <w:br w:clear="none"/>
      </w:r>
    </w:p>
    <w:p>
      <w:pPr>
        <w:pStyle w:val="Normal"/>
      </w:pPr>
      <w:r>
        <w:t xml:space="preserve">We can then use </w:t>
      </w:r>
      <w:r>
        <w:rPr>
          <w:rStyle w:val="Text0"/>
        </w:rPr>
        <w:t>pickle</w:t>
      </w:r>
      <w:r>
        <w:t xml:space="preserve"> to read back the data stored to the DBM-like file </w:t>
      </w:r>
      <w:r>
        <w:rPr>
          <w:rStyle w:val="Text4"/>
        </w:rPr>
        <w:t>indexfilep</w:t>
      </w:r>
      <w:r>
        <w:t>, as shown in the following example: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sys</w:t>
        <w:br w:clear="none"/>
      </w:r>
      <w:r>
        <w:rPr>
          <w:rStyle w:val="Text13"/>
        </w:rPr>
        <w:t xml:space="preserve">,</w:t>
        <w:br w:clear="none"/>
      </w:r>
      <w:r>
        <w:rPr>
          <w:rStyle w:val="Text6"/>
        </w:rPr>
        <w:t xml:space="preserve"> </w:t>
        <w:br w:clear="none"/>
      </w:r>
      <w:r>
        <w:rPr>
          <w:rStyle w:val="Text20"/>
        </w:rPr>
        <w:t xml:space="preserve">pickle</w:t>
        <w:br w:clear="none"/>
      </w:r>
      <w:r>
        <w:rPr>
          <w:rStyle w:val="Text13"/>
        </w:rPr>
        <w:t xml:space="preserve">,</w:t>
        <w:br w:clear="none"/>
      </w:r>
      <w:r>
        <w:rPr>
          <w:rStyle w:val="Text6"/>
        </w:rPr>
        <w:t xml:space="preserve"> </w:t>
        <w:br w:clear="none"/>
      </w:r>
      <w:r>
        <w:rPr>
          <w:rStyle w:val="Text20"/>
        </w:rPr>
        <w:t xml:space="preserve">dbm</w:t>
        <w:br w:clear="none"/>
      </w:r>
      <w:r>
        <w:rPr>
          <w:rStyle w:val="Text13"/>
        </w:rPr>
        <w:t xml:space="preserve">,</w:t>
        <w:br w:clear="none"/>
      </w:r>
      <w:r>
        <w:rPr>
          <w:rStyle w:val="Text6"/>
        </w:rPr>
        <w:t xml:space="preserve"> </w:t>
        <w:br w:clear="none"/>
      </w:r>
      <w:r>
        <w:rPr>
          <w:rStyle w:val="Text20"/>
        </w:rPr>
        <w:t xml:space="preserve">linecache</w:t>
        <w:br w:clear="none"/>
      </w:r>
      <w:r>
        <w:rPr>
          <w:rStyle w:val="Text6"/>
        </w:rPr>
        <w:t xml:space="preserve"/>
        <w:br w:clear="none"/>
      </w:r>
      <w:r>
        <w:rPr>
          <w:rStyle w:val="Text10"/>
        </w:rPr>
        <w:t xml:space="preserve">with</w:t>
        <w:br w:clear="none"/>
      </w:r>
      <w:r>
        <w:rPr>
          <w:rStyle w:val="Text6"/>
        </w:rPr>
        <w:t xml:space="preserve"> </w:t>
        <w:br w:clear="none"/>
      </w:r>
      <w:r>
        <w:t xml:space="preserve">dbm</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indexfilep</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dbm_in</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sys</w:t>
        <w:br w:clear="none"/>
      </w:r>
      <w:r>
        <w:rPr>
          <w:rStyle w:val="Text13"/>
        </w:rPr>
        <w:t xml:space="preserve">.</w:t>
        <w:br w:clear="none"/>
      </w:r>
      <w:r>
        <w:t xml:space="preserve">argv</w:t>
        <w:br w:clear="none"/>
      </w:r>
      <w:r>
        <w:rPr>
          <w:rStyle w:val="Text7"/>
        </w:rPr>
        <w:t xml:space="preserve">[</w:t>
        <w:br w:clear="none"/>
      </w:r>
      <w:r>
        <w:rPr>
          <w:rStyle w:val="Text27"/>
        </w:rPr>
        <w:t xml:space="preserve">1</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word</w:t>
        <w:br w:clear="none"/>
      </w:r>
      <w:r>
        <w:rPr>
          <w:rStyle w:val="Text6"/>
        </w:rPr>
        <w:t xml:space="preserve"> </w:t>
        <w:br w:clear="none"/>
      </w:r>
      <w:r>
        <w:rPr>
          <w:rStyle w:val="Text31"/>
        </w:rPr>
        <w:t xml:space="preserve">not</w:t>
        <w:br w:clear="none"/>
      </w:r>
      <w:r>
        <w:rPr>
          <w:rStyle w:val="Text29"/>
        </w:rPr>
        <w:t xml:space="preserve"> </w:t>
        <w:br w:clear="none"/>
      </w:r>
      <w:r>
        <w:rPr>
          <w:rStyle w:val="Text31"/>
        </w:rPr>
        <w:t xml:space="preserve">in</w:t>
        <w:br w:clear="none"/>
      </w:r>
      <w:r>
        <w:rPr>
          <w:rStyle w:val="Text6"/>
        </w:rPr>
        <w:t xml:space="preserve"> </w:t>
        <w:br w:clear="none"/>
      </w:r>
      <w:r>
        <w:t xml:space="preserve">dbm_in</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not found in index file</w:t>
        <w:br w:clear="none"/>
        <w:t xml:space="preserve">'</w:t>
        <w:br w:clear="none"/>
      </w:r>
      <w:r>
        <w:rPr>
          <w:rStyle w:val="Text7"/>
        </w:rPr>
        <w:t xml:space="preserve">,</w:t>
        <w:br w:clear="none"/>
      </w:r>
      <w:r>
        <w:rPr>
          <w:rStyle w:val="Text6"/>
        </w:rPr>
        <w:t xml:space="preserve"/>
        <w:br w:clear="none"/>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continue</w:t>
        <w:br w:clear="none"/>
      </w:r>
      <w:r>
        <w:rPr>
          <w:rStyle w:val="Text6"/>
        </w:rPr>
        <w:t xml:space="preserve"/>
        <w:br w:clear="none"/>
        <w:t xml:space="preserve">        </w:t>
        <w:br w:clear="none"/>
      </w:r>
      <w:r>
        <w:t xml:space="preserve">places</w:t>
        <w:br w:clear="none"/>
      </w:r>
      <w:r>
        <w:rPr>
          <w:rStyle w:val="Text6"/>
        </w:rPr>
        <w:t xml:space="preserve"> </w:t>
        <w:br w:clear="none"/>
      </w:r>
      <w:r>
        <w:rPr>
          <w:rStyle w:val="Text13"/>
        </w:rPr>
        <w:t xml:space="preserve">=</w:t>
        <w:br w:clear="none"/>
      </w:r>
      <w:r>
        <w:rPr>
          <w:rStyle w:val="Text6"/>
        </w:rPr>
        <w:t xml:space="preserve"> </w:t>
        <w:br w:clear="none"/>
      </w:r>
      <w:r>
        <w:t xml:space="preserve">pickle</w:t>
        <w:br w:clear="none"/>
      </w:r>
      <w:r>
        <w:rPr>
          <w:rStyle w:val="Text13"/>
        </w:rPr>
        <w:t xml:space="preserve">.</w:t>
        <w:br w:clear="none"/>
      </w:r>
      <w:r>
        <w:t xml:space="preserve">loads</w:t>
        <w:br w:clear="none"/>
      </w:r>
      <w:r>
        <w:rPr>
          <w:rStyle w:val="Text7"/>
        </w:rPr>
        <w:t xml:space="preserve">(</w:t>
        <w:br w:clear="none"/>
      </w:r>
      <w:r>
        <w:t xml:space="preserve">dbm_in</w:t>
        <w:br w:clear="none"/>
      </w:r>
      <w:r>
        <w:rPr>
          <w:rStyle w:val="Text7"/>
        </w:rPr>
        <w:t xml:space="preserve">[</w:t>
        <w:br w:clear="none"/>
      </w:r>
      <w:r>
        <w:t xml:space="preserve">word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6"/>
        </w:rPr>
        <w:t xml:space="preserve"> </w:t>
        <w:br w:clear="none"/>
      </w:r>
      <w:r>
        <w:rPr>
          <w:rStyle w:val="Text31"/>
        </w:rPr>
        <w:t xml:space="preserve">in</w:t>
        <w:br w:clear="none"/>
      </w:r>
      <w:r>
        <w:rPr>
          <w:rStyle w:val="Text6"/>
        </w:rPr>
        <w:t xml:space="preserve"> </w:t>
        <w:br w:clear="none"/>
      </w:r>
      <w:r>
        <w:t xml:space="preserve">places</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occurs in line </w:t>
        <w:br w:clear="none"/>
      </w:r>
      <w:r>
        <w:rPr>
          <w:rStyle w:val="Text32"/>
        </w:rPr>
        <w:t xml:space="preserve">{</w:t>
        <w:br w:clear="none"/>
      </w:r>
      <w:r>
        <w:t xml:space="preserve">lineno</w:t>
        <w:br w:clear="none"/>
      </w:r>
      <w:r>
        <w:rPr>
          <w:rStyle w:val="Text32"/>
        </w:rPr>
        <w:t xml:space="preserve">}</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of file </w:t>
        <w:br w:clear="none"/>
      </w:r>
      <w:r>
        <w:rPr>
          <w:rStyle w:val="Text32"/>
        </w:rPr>
        <w:t xml:space="preserve">{</w:t>
        <w:br w:clear="none"/>
      </w:r>
      <w:r>
        <w:t xml:space="preserve">fname</w:t>
        <w:br w:clear="none"/>
      </w:r>
      <w:r>
        <w:rPr>
          <w:rStyle w:val="Text32"/>
        </w:rPr>
        <w:t xml:space="preserve">!r}</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linecache</w:t>
        <w:br w:clear="none"/>
      </w:r>
      <w:r>
        <w:rPr>
          <w:rStyle w:val="Text13"/>
        </w:rPr>
        <w:t xml:space="preserve">.</w:t>
        <w:br w:clear="none"/>
      </w:r>
      <w:r>
        <w:t xml:space="preserve">getline</w:t>
        <w:br w:clear="none"/>
      </w:r>
      <w:r>
        <w:rPr>
          <w:rStyle w:val="Text7"/>
        </w:rPr>
        <w:t xml:space="preserve">(</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7"/>
        </w:rPr>
        <w:t xml:space="preserve">)</w:t>
        <w:br w:clear="none"/>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p>
      <w:bookmarkStart w:id="2967" w:name="Pickling_instances__In_order_for"/>
      <w:pPr>
        <w:keepNext/>
        <w:pStyle w:val="Heading 2"/>
      </w:pPr>
      <w:r>
        <w:t>Pickling instances</w:t>
      </w:r>
      <w:bookmarkEnd w:id="2967"/>
    </w:p>
    <w:p>
      <w:pPr>
        <w:pStyle w:val="Normal"/>
      </w:pPr>
      <w:r>
        <w:t xml:space="preserve">In order for </w:t>
      </w:r>
      <w:r>
        <w:rPr>
          <w:rStyle w:val="Text0"/>
        </w:rPr>
        <w:t>pickle</w:t>
      </w:r>
      <w:r>
        <w:t xml:space="preserve"> to reload an instance </w:t>
      </w:r>
      <w:r>
        <w:rPr>
          <w:rStyle w:val="Text3"/>
        </w:rPr>
        <w:t>x</w:t>
      </w:r>
      <w:r>
        <w:t xml:space="preserve">, </w:t>
      </w:r>
      <w:r>
        <w:rPr>
          <w:rStyle w:val="Text0"/>
        </w:rPr>
        <w:t>pickle</w:t>
      </w:r>
      <w:r>
        <w:t xml:space="preserve"> must be able to import </w:t>
      </w:r>
      <w:r>
        <w:rPr>
          <w:rStyle w:val="Text3"/>
        </w:rPr>
        <w:t>x</w:t>
      </w:r>
      <w:r>
        <w:t xml:space="preserve">’s class from the same module in which the class was defined when </w:t>
      </w:r>
      <w:r>
        <w:rPr>
          <w:rStyle w:val="Text0"/>
        </w:rPr>
        <w:t>pickle</w:t>
      </w:r>
      <w:r>
        <w:t xml:space="preserve"> saved the instance. Here is how </w:t>
      </w:r>
      <w:r>
        <w:rPr>
          <w:rStyle w:val="Text0"/>
        </w:rPr>
        <w:t>pickle</w:t>
      </w:r>
      <w:r>
        <w:t xml:space="preserve"> saves the state of instance object </w:t>
      </w:r>
      <w:r>
        <w:rPr>
          <w:rStyle w:val="Text3"/>
        </w:rPr>
        <w:t>x</w:t>
      </w:r>
      <w:r>
        <w:t xml:space="preserve"> of class </w:t>
      </w:r>
      <w:r>
        <w:rPr>
          <w:rStyle w:val="Text3"/>
        </w:rPr>
        <w:t>T</w:t>
      </w:r>
      <w:r>
        <w:t xml:space="preserve"> and later reloads the saved state into a new instance </w:t>
      </w:r>
      <w:r>
        <w:rPr>
          <w:rStyle w:val="Text3"/>
        </w:rPr>
        <w:t>y</w:t>
      </w:r>
      <w:r>
        <w:t xml:space="preserve"> of </w:t>
      </w:r>
      <w:r>
        <w:rPr>
          <w:rStyle w:val="Text3"/>
        </w:rPr>
        <w:t>T</w:t>
      </w:r>
      <w:r>
        <w:t xml:space="preserve"> (the first step of the reloading is always to make a new empty instance </w:t>
      </w:r>
      <w:r>
        <w:rPr>
          <w:rStyle w:val="Text3"/>
        </w:rPr>
        <w:t>y</w:t>
      </w:r>
      <w:r>
        <w:t xml:space="preserve"> of </w:t>
      </w:r>
      <w:r>
        <w:rPr>
          <w:rStyle w:val="Text3"/>
        </w:rPr>
        <w:t>T</w:t>
      </w:r>
      <w:r>
        <w:t>, except where we explicitly say otherwise):</w:t>
      </w:r>
    </w:p>
    <w:p>
      <w:pPr>
        <w:pStyle w:val="Para 010"/>
      </w:pPr>
      <w:r>
        <w:t xml:space="preserve">When </w:t>
      </w:r>
      <w:r>
        <w:rPr>
          <w:rStyle w:val="Text3"/>
        </w:rPr>
        <w:t>T</w:t>
      </w:r>
      <w:r>
        <w:t xml:space="preserve"> supplies the method </w:t>
      </w:r>
      <w:r>
        <w:rPr>
          <w:rStyle w:val="Text0"/>
        </w:rPr>
        <w:t>__getstate__</w:t>
      </w:r>
      <w:r>
        <w:t xml:space="preserve">, </w:t>
      </w:r>
      <w:r>
        <w:rPr>
          <w:rStyle w:val="Text0"/>
        </w:rPr>
        <w:t>pickle</w:t>
      </w:r>
      <w:r>
        <w:t xml:space="preserve"> saves the result </w:t>
      </w:r>
      <w:r>
        <w:rPr>
          <w:rStyle w:val="Text3"/>
        </w:rPr>
        <w:t>d</w:t>
      </w:r>
      <w:r>
        <w:t xml:space="preserve"> of calling </w:t>
      </w:r>
      <w:r>
        <w:rPr>
          <w:rStyle w:val="Text3"/>
        </w:rPr>
        <w:t>T</w:t>
      </w:r>
      <w:r>
        <w:rPr>
          <w:rStyle w:val="Text0"/>
        </w:rPr>
        <w:t>.__getstate__(</w:t>
      </w:r>
      <w:r>
        <w:rPr>
          <w:rStyle w:val="Text3"/>
        </w:rPr>
        <w:t>x</w:t>
      </w:r>
      <w:r>
        <w:rPr>
          <w:rStyle w:val="Text0"/>
        </w:rPr>
        <w:t>)</w:t>
      </w:r>
      <w:r>
        <w:t>.</w:t>
      </w:r>
    </w:p>
    <w:p>
      <w:pPr>
        <w:pStyle w:val="Para 010"/>
      </w:pPr>
      <w:r>
        <w:t xml:space="preserve">When </w:t>
      </w:r>
      <w:r>
        <w:rPr>
          <w:rStyle w:val="Text3"/>
        </w:rPr>
        <w:t>T</w:t>
      </w:r>
      <w:r>
        <w:t xml:space="preserve"> supplies the method </w:t>
      </w:r>
      <w:r>
        <w:rPr>
          <w:rStyle w:val="Text0"/>
        </w:rPr>
        <w:t>__setstate__</w:t>
      </w:r>
      <w:r>
        <w:t xml:space="preserve">, </w:t>
      </w:r>
      <w:r>
        <w:rPr>
          <w:rStyle w:val="Text3"/>
        </w:rPr>
        <w:t>d</w:t>
      </w:r>
      <w:r>
        <w:t xml:space="preserve"> can be of any type, and </w:t>
      </w:r>
      <w:r>
        <w:rPr>
          <w:rStyle w:val="Text0"/>
        </w:rPr>
        <w:t>pickle</w:t>
      </w:r>
      <w:r>
        <w:t xml:space="preserve"> reloads the saved state by calling </w:t>
      </w:r>
      <w:r>
        <w:rPr>
          <w:rStyle w:val="Text3"/>
        </w:rPr>
        <w:t>T</w:t>
      </w:r>
      <w:r>
        <w:rPr>
          <w:rStyle w:val="Text0"/>
        </w:rPr>
        <w:t>.__setstate__(</w:t>
      </w:r>
      <w:r>
        <w:rPr>
          <w:rStyle w:val="Text3"/>
        </w:rPr>
        <w:t>y, d</w:t>
      </w:r>
      <w:r>
        <w:rPr>
          <w:rStyle w:val="Text0"/>
        </w:rPr>
        <w:t>)</w:t>
      </w:r>
      <w:r>
        <w:t>.</w:t>
      </w:r>
    </w:p>
    <w:p>
      <w:pPr>
        <w:pStyle w:val="Para 010"/>
      </w:pPr>
      <w:r>
        <w:t xml:space="preserve">Otherwise, </w:t>
      </w:r>
      <w:r>
        <w:rPr>
          <w:rStyle w:val="Text3"/>
        </w:rPr>
        <w:t>d</w:t>
      </w:r>
      <w:r>
        <w:t xml:space="preserve"> must be a dictionary, and </w:t>
      </w:r>
      <w:r>
        <w:rPr>
          <w:rStyle w:val="Text0"/>
        </w:rPr>
        <w:t>pickle</w:t>
      </w:r>
      <w:r>
        <w:t xml:space="preserve"> just sets </w:t>
      </w:r>
      <w:r>
        <w:rPr>
          <w:rStyle w:val="Text3"/>
        </w:rPr>
        <w:t>y</w:t>
      </w:r>
      <w:r>
        <w:rPr>
          <w:rStyle w:val="Text0"/>
        </w:rPr>
        <w:t>.__dict__ =</w:t>
      </w:r>
      <w:r>
        <w:t xml:space="preserve"> </w:t>
      </w:r>
      <w:r>
        <w:rPr>
          <w:rStyle w:val="Text3"/>
        </w:rPr>
        <w:t>d</w:t>
      </w:r>
      <w:r>
        <w:t>.</w:t>
      </w:r>
    </w:p>
    <w:p>
      <w:pPr>
        <w:pStyle w:val="Para 010"/>
      </w:pPr>
      <w:r>
        <w:t xml:space="preserve">Otherwise, when </w:t>
      </w:r>
      <w:r>
        <w:rPr>
          <w:rStyle w:val="Text3"/>
        </w:rPr>
        <w:t>T</w:t>
      </w:r>
      <w:r>
        <w:t xml:space="preserve"> supplies the method </w:t>
      </w:r>
      <w:r>
        <w:rPr>
          <w:rStyle w:val="Text0"/>
        </w:rPr>
        <w:t>__getnewargs__</w:t>
      </w:r>
      <w:r>
        <w:t xml:space="preserve">, and </w:t>
      </w:r>
      <w:r>
        <w:rPr>
          <w:rStyle w:val="Text0"/>
        </w:rPr>
        <w:t>pickle</w:t>
      </w:r>
      <w:r>
        <w:t xml:space="preserve"> is pickling with protocol 2 or higher, </w:t>
      </w:r>
      <w:r>
        <w:rPr>
          <w:rStyle w:val="Text0"/>
        </w:rPr>
        <w:t>pickle</w:t>
      </w:r>
      <w:r>
        <w:t xml:space="preserve"> saves the result </w:t>
      </w:r>
      <w:r>
        <w:rPr>
          <w:rStyle w:val="Text3"/>
        </w:rPr>
        <w:t>t</w:t>
      </w:r>
      <w:r>
        <w:t xml:space="preserve"> of calling </w:t>
      </w:r>
      <w:r>
        <w:rPr>
          <w:rStyle w:val="Text3"/>
        </w:rPr>
        <w:t>T</w:t>
      </w:r>
      <w:r>
        <w:rPr>
          <w:rStyle w:val="Text0"/>
        </w:rPr>
        <w:t>.__getnewargs__(</w:t>
      </w:r>
      <w:r>
        <w:rPr>
          <w:rStyle w:val="Text3"/>
        </w:rPr>
        <w:t>x</w:t>
      </w:r>
      <w:r>
        <w:rPr>
          <w:rStyle w:val="Text0"/>
        </w:rPr>
        <w:t>)</w:t>
      </w:r>
      <w:r>
        <w:t xml:space="preserve">; </w:t>
      </w:r>
      <w:r>
        <w:rPr>
          <w:rStyle w:val="Text3"/>
        </w:rPr>
        <w:t>t</w:t>
      </w:r>
      <w:r>
        <w:t xml:space="preserve"> must be a tuple.</w:t>
      </w:r>
    </w:p>
    <w:p>
      <w:pPr>
        <w:pStyle w:val="Para 010"/>
      </w:pPr>
      <w:r>
        <w:rPr>
          <w:rStyle w:val="Text0"/>
        </w:rPr>
        <w:t>pickle</w:t>
      </w:r>
      <w:r>
        <w:t xml:space="preserve">, in this one case, does not start with an empty </w:t>
      </w:r>
      <w:r>
        <w:rPr>
          <w:rStyle w:val="Text3"/>
        </w:rPr>
        <w:t>y</w:t>
      </w:r>
      <w:r>
        <w:t xml:space="preserve">, but rather creates </w:t>
      </w:r>
      <w:r>
        <w:rPr>
          <w:rStyle w:val="Text3"/>
        </w:rPr>
        <w:t>y</w:t>
      </w:r>
      <w:r>
        <w:t xml:space="preserve"> by executing </w:t>
      </w:r>
      <w:r>
        <w:rPr>
          <w:rStyle w:val="Text3"/>
        </w:rPr>
        <w:t>y</w:t>
      </w:r>
      <w:r>
        <w:t xml:space="preserve"> </w:t>
      </w:r>
      <w:r>
        <w:rPr>
          <w:rStyle w:val="Text0"/>
        </w:rPr>
        <w:t>=</w:t>
      </w:r>
      <w:r>
        <w:t xml:space="preserve"> </w:t>
      </w:r>
      <w:r>
        <w:rPr>
          <w:rStyle w:val="Text3"/>
        </w:rPr>
        <w:t>T</w:t>
      </w:r>
      <w:r>
        <w:rPr>
          <w:rStyle w:val="Text0"/>
        </w:rPr>
        <w:t>.__new__(</w:t>
      </w:r>
      <w:r>
        <w:rPr>
          <w:rStyle w:val="Text3"/>
        </w:rPr>
        <w:t>T</w:t>
      </w:r>
      <w:r>
        <w:t xml:space="preserve">, </w:t>
      </w:r>
      <w:r>
        <w:rPr>
          <w:rStyle w:val="Text3"/>
        </w:rPr>
        <w:t>*t</w:t>
      </w:r>
      <w:r>
        <w:rPr>
          <w:rStyle w:val="Text0"/>
        </w:rPr>
        <w:t>)</w:t>
      </w:r>
      <w:r>
        <w:t>, which concludes the reloading.</w:t>
      </w:r>
    </w:p>
    <w:p>
      <w:pPr>
        <w:pStyle w:val="Para 010"/>
      </w:pPr>
      <w:r>
        <w:t xml:space="preserve">Otherwise, by default, </w:t>
      </w:r>
      <w:r>
        <w:rPr>
          <w:rStyle w:val="Text0"/>
        </w:rPr>
        <w:t>pickle</w:t>
      </w:r>
      <w:r>
        <w:t xml:space="preserve"> saves as </w:t>
      </w:r>
      <w:r>
        <w:rPr>
          <w:rStyle w:val="Text3"/>
        </w:rPr>
        <w:t>d</w:t>
      </w:r>
      <w:r>
        <w:t xml:space="preserve"> the dictionary </w:t>
      </w:r>
      <w:r>
        <w:rPr>
          <w:rStyle w:val="Text3"/>
        </w:rPr>
        <w:t>x</w:t>
      </w:r>
      <w:r>
        <w:rPr>
          <w:rStyle w:val="Text0"/>
        </w:rPr>
        <w:t>.__dict__</w:t>
      </w:r>
      <w:r>
        <w:t>.</w:t>
      </w:r>
    </w:p>
    <w:p>
      <w:pPr>
        <w:pStyle w:val="Para 010"/>
      </w:pPr>
      <w:r>
        <w:t xml:space="preserve">When </w:t>
      </w:r>
      <w:r>
        <w:rPr>
          <w:rStyle w:val="Text3"/>
        </w:rPr>
        <w:t>T</w:t>
      </w:r>
      <w:r>
        <w:t xml:space="preserve"> supplies the method </w:t>
      </w:r>
      <w:r>
        <w:rPr>
          <w:rStyle w:val="Text0"/>
        </w:rPr>
        <w:t>__setstate__</w:t>
      </w:r>
      <w:r>
        <w:t xml:space="preserve">, </w:t>
      </w:r>
      <w:r>
        <w:rPr>
          <w:rStyle w:val="Text0"/>
        </w:rPr>
        <w:t>pickle</w:t>
      </w:r>
      <w:r>
        <w:t xml:space="preserve"> reloads the saved state by calling </w:t>
      </w:r>
      <w:r>
        <w:rPr>
          <w:rStyle w:val="Text3"/>
        </w:rPr>
        <w:t>T</w:t>
      </w:r>
      <w:r>
        <w:rPr>
          <w:rStyle w:val="Text0"/>
        </w:rPr>
        <w:t>.__setstate__(</w:t>
      </w:r>
      <w:r>
        <w:rPr>
          <w:rStyle w:val="Text3"/>
        </w:rPr>
        <w:t>y, d</w:t>
      </w:r>
      <w:r>
        <w:rPr>
          <w:rStyle w:val="Text0"/>
        </w:rPr>
        <w:t>)</w:t>
      </w:r>
      <w:r>
        <w:t>.</w:t>
      </w:r>
    </w:p>
    <w:p>
      <w:pPr>
        <w:pStyle w:val="Para 010"/>
      </w:pPr>
      <w:r>
        <w:t xml:space="preserve">Otherwise, </w:t>
      </w:r>
      <w:r>
        <w:rPr>
          <w:rStyle w:val="Text0"/>
        </w:rPr>
        <w:t>pickle</w:t>
      </w:r>
      <w:r>
        <w:t xml:space="preserve"> just sets </w:t>
      </w:r>
      <w:r>
        <w:rPr>
          <w:rStyle w:val="Text3"/>
        </w:rPr>
        <w:t>y</w:t>
      </w:r>
      <w:r>
        <w:rPr>
          <w:rStyle w:val="Text0"/>
        </w:rPr>
        <w:t>.__dict__ =</w:t>
      </w:r>
      <w:r>
        <w:t xml:space="preserve"> </w:t>
      </w:r>
      <w:r>
        <w:rPr>
          <w:rStyle w:val="Text3"/>
        </w:rPr>
        <w:t>d</w:t>
      </w:r>
      <w:r>
        <w:t>.</w:t>
      </w:r>
    </w:p>
    <w:p>
      <w:pPr>
        <w:pStyle w:val="Normal"/>
      </w:pPr>
      <w:r>
        <w:t xml:space="preserve">All the items in the </w:t>
      </w:r>
      <w:r>
        <w:rPr>
          <w:rStyle w:val="Text3"/>
        </w:rPr>
        <w:t>d</w:t>
      </w:r>
      <w:r>
        <w:t xml:space="preserve"> or </w:t>
      </w:r>
      <w:r>
        <w:rPr>
          <w:rStyle w:val="Text3"/>
        </w:rPr>
        <w:t>t</w:t>
      </w:r>
      <w:r>
        <w:t xml:space="preserve"> object that </w:t>
      </w:r>
      <w:r>
        <w:rPr>
          <w:rStyle w:val="Text0"/>
        </w:rPr>
        <w:t>pickle</w:t>
      </w:r>
      <w:r>
        <w:t xml:space="preserve"> saves and reloads (normally a dictionary or tuple) must, in turn, be instances of types suitable for pickling and unpickling (aka </w:t>
      </w:r>
      <w:r>
        <w:rPr>
          <w:rStyle w:val="Text4"/>
        </w:rPr>
        <w:t>pickleable</w:t>
      </w:r>
      <w:r>
        <w:t xml:space="preserve"> objects), and the procedure just outlined may be repeated recursively, if necessary, until </w:t>
      </w:r>
      <w:r>
        <w:rPr>
          <w:rStyle w:val="Text0"/>
        </w:rPr>
        <w:t>pickle</w:t>
      </w:r>
      <w:r>
        <w:t xml:space="preserve"> reaches primitive pickleable built-in types (dictionaries, tuples, lists, sets, numbers, strings, etc.).</w:t>
      </w:r>
    </w:p>
    <w:p>
      <w:pPr>
        <w:pStyle w:val="Normal"/>
      </w:pPr>
      <w:r>
        <w:t xml:space="preserve">As mentioned in </w:t>
      </w:r>
      <w:hyperlink w:anchor="The_copy_Module__As_discussed_in">
        <w:r>
          <w:rPr>
            <w:rStyle w:val="Text1"/>
          </w:rPr>
          <w:t>“The copy Module”</w:t>
        </w:r>
      </w:hyperlink>
      <w:r>
        <w:t xml:space="preserve">, the </w:t>
      </w:r>
      <w:r>
        <w:rPr>
          <w:rStyle w:val="Text0"/>
        </w:rPr>
        <w:t>__getnewargs__</w:t>
      </w:r>
      <w:r>
        <w:t xml:space="preserve">, </w:t>
      </w:r>
      <w:r>
        <w:rPr>
          <w:rStyle w:val="Text0"/>
        </w:rPr>
        <w:t>__getstate__</w:t>
      </w:r>
      <w:r>
        <w:t xml:space="preserve">, and </w:t>
      </w:r>
      <w:r>
        <w:rPr>
          <w:rStyle w:val="Text0"/>
        </w:rPr>
        <w:t>__setstate__</w:t>
      </w:r>
      <w:r>
        <w:t xml:space="preserve"> special methods also control the way instance objects are copied and deep copied. If a class defines </w:t>
      </w:r>
      <w:r>
        <w:rPr>
          <w:rStyle w:val="Text0"/>
        </w:rPr>
        <w:t>__slots__</w:t>
      </w:r>
      <w:r>
        <w:t xml:space="preserve">, and therefore its instances do not have a </w:t>
      </w:r>
      <w:r>
        <w:rPr>
          <w:rStyle w:val="Text0"/>
        </w:rPr>
        <w:t>__dict__</w:t>
      </w:r>
      <w:r>
        <w:t xml:space="preserve"> attribute, </w:t>
      </w:r>
      <w:r>
        <w:rPr>
          <w:rStyle w:val="Text0"/>
        </w:rPr>
        <w:t>pickle</w:t>
      </w:r>
      <w:r>
        <w:t xml:space="preserve"> does its best to save and restore a dictionary equivalent to the names and values of the slots. However, such a class should define </w:t>
      </w:r>
      <w:r>
        <w:rPr>
          <w:rStyle w:val="Text0"/>
        </w:rPr>
        <w:t>__getstate__</w:t>
      </w:r>
      <w:r>
        <w:t xml:space="preserve"> and </w:t>
      </w:r>
      <w:r>
        <w:rPr>
          <w:rStyle w:val="Text0"/>
        </w:rPr>
        <w:t>__setstate__</w:t>
      </w:r>
      <w:r>
        <w:t>; otherwise, its instances may not be correctly pickleable and copied through such best-effort endeavors.</w:t>
      </w:r>
    </w:p>
    <w:p>
      <w:bookmarkStart w:id="2968" w:name="Pickling_customization_with_the"/>
      <w:pPr>
        <w:keepNext/>
        <w:pStyle w:val="Heading 2"/>
      </w:pPr>
      <w:r>
        <w:t>Pickling customization with the copyreg module</w:t>
      </w:r>
      <w:bookmarkEnd w:id="2968"/>
    </w:p>
    <w:p>
      <w:pPr>
        <w:pStyle w:val="Normal"/>
      </w:pPr>
      <w:r>
        <w:t>You</w:t>
      </w:r>
      <w:r>
        <w:rPr>
          <w:rStyle w:val="Text111"/>
        </w:rPr>
        <w:bookmarkStart w:id="2969" w:name="idm45965199248816"/>
        <w:t/>
        <w:bookmarkEnd w:id="2969"/>
        <w:bookmarkStart w:id="2970" w:name="idm45965199247712"/>
        <w:t/>
        <w:bookmarkEnd w:id="2970"/>
      </w:r>
      <w:r>
        <w:t xml:space="preserve"> can control how </w:t>
      </w:r>
      <w:r>
        <w:rPr>
          <w:rStyle w:val="Text0"/>
        </w:rPr>
        <w:t>pickle</w:t>
      </w:r>
      <w:r>
        <w:t xml:space="preserve"> serializes and deserializes objects of an arbitrary type by registering factory and reduction functions with the module </w:t>
      </w:r>
      <w:r>
        <w:rPr>
          <w:rStyle w:val="Text0"/>
        </w:rPr>
        <w:t>copyreg</w:t>
      </w:r>
      <w:r>
        <w:t xml:space="preserve">. This is particularly, though not exclusively, useful when you define a type in a C-coded Python extension. The </w:t>
      </w:r>
      <w:r>
        <w:rPr>
          <w:rStyle w:val="Text0"/>
        </w:rPr>
        <w:t>copyreg</w:t>
      </w:r>
      <w:r>
        <w:t xml:space="preserve"> module supplies the functions listed in </w:t>
      </w:r>
      <w:hyperlink w:anchor="Table_12_5__Functions_of_the_cop">
        <w:r>
          <w:rPr>
            <w:rStyle w:val="Text1"/>
          </w:rPr>
          <w:t>Table 12-5</w:t>
        </w:r>
      </w:hyperlink>
      <w:r>
        <w:t>.</w:t>
      </w:r>
    </w:p>
    <w:tbl>
      <w:tblPr>
        <w:tblW w:type="auto" w:w="0"/>
      </w:tblPr>
      <w:tr>
        <w:tc>
          <w:tcPr>
            <w:tcW w:type="auto" w:w="0"/>
            <w:tcMar>
              <w:left w:type="dxa" w:w="200"/>
              <w:top w:type="dxa" w:w="200"/>
              <w:right w:type="dxa" w:w="200"/>
              <w:bottom w:type="dxa" w:w="200"/>
            </w:tcMar>
          </w:tcPr>
          <w:p>
            <w:bookmarkStart w:id="2971" w:name="Table_12_5__Functions_of_the_cop"/>
            <w:pPr>
              <w:pStyle w:val="Para 011"/>
            </w:pPr>
            <w:r>
              <w:rPr>
                <w:rStyle w:val="Text117"/>
              </w:rPr>
              <w:t/>
            </w:r>
            <w:r>
              <w:t xml:space="preserve">Table 12-5. </w:t>
              <w:t xml:space="preserve">Functions of the </w:t>
            </w:r>
            <w:r>
              <w:rPr>
                <w:rStyle w:val="Text0"/>
              </w:rPr>
              <w:t>copyreg</w:t>
            </w:r>
            <w:r>
              <w:t xml:space="preserve"> module</w:t>
            </w:r>
            <w:bookmarkEnd w:id="2971"/>
          </w:p>
          <w:p>
            <w:pPr>
              <w:pStyle w:val="Para 001"/>
            </w:pPr>
            <w:r>
              <w:t>constructor</w:t>
            </w:r>
          </w:p>
        </w:tc>
        <w:tc>
          <w:tcPr>
            <w:tcW w:type="auto" w:w="0"/>
            <w:tcMar>
              <w:left w:type="dxa" w:w="200"/>
              <w:top w:type="dxa" w:w="200"/>
              <w:right w:type="dxa" w:w="200"/>
              <w:bottom w:type="dxa" w:w="200"/>
            </w:tcMar>
          </w:tcPr>
          <w:p>
            <w:pPr>
              <w:pStyle w:val="Para 002"/>
            </w:pPr>
            <w:r>
              <w:rPr>
                <w:rStyle w:val="Text0"/>
              </w:rPr>
              <w:t>constructor(</w:t>
            </w:r>
            <w:r>
              <w:rPr>
                <w:rStyle w:val="Text3"/>
              </w:rPr>
              <w:t>fcon</w:t>
            </w:r>
            <w:r>
              <w:rPr>
                <w:rStyle w:val="Text0"/>
              </w:rPr>
              <w:t>)</w:t>
              <w:br w:clear="none"/>
            </w:r>
            <w:r>
              <w:t xml:space="preserve"> Adds </w:t>
            </w:r>
            <w:r>
              <w:rPr>
                <w:rStyle w:val="Text3"/>
              </w:rPr>
              <w:t>fcon</w:t>
            </w:r>
            <w:r>
              <w:t xml:space="preserve"> to the table of constructors, which lists all factory functions that </w:t>
            </w:r>
            <w:r>
              <w:rPr>
                <w:rStyle w:val="Text0"/>
              </w:rPr>
              <w:t>pickle</w:t>
            </w:r>
            <w:r>
              <w:t xml:space="preserve"> may call. </w:t>
            </w:r>
            <w:r>
              <w:rPr>
                <w:rStyle w:val="Text3"/>
              </w:rPr>
              <w:t>fcon</w:t>
            </w:r>
            <w:r>
              <w:t xml:space="preserve"> must be callable and is normally a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pickle</w:t>
            </w:r>
          </w:p>
        </w:tc>
        <w:tc>
          <w:tcPr>
            <w:tcW w:type="auto" w:w="0"/>
            <w:shd w:val="clear" w:color="auto" w:fill="EEF2F6"/>
            <w:tcMar>
              <w:left w:type="dxa" w:w="200"/>
              <w:top w:type="dxa" w:w="200"/>
              <w:right w:type="dxa" w:w="200"/>
              <w:bottom w:type="dxa" w:w="200"/>
            </w:tcMar>
          </w:tcPr>
          <w:p>
            <w:pPr>
              <w:pStyle w:val="Para 002"/>
            </w:pPr>
            <w:r>
              <w:rPr>
                <w:rStyle w:val="Text0"/>
              </w:rPr>
              <w:t>pickle(</w:t>
            </w:r>
            <w:r>
              <w:rPr>
                <w:rStyle w:val="Text3"/>
              </w:rPr>
              <w:t>type</w:t>
            </w:r>
            <w:r>
              <w:rPr>
                <w:rStyle w:val="Text0"/>
              </w:rPr>
              <w:t>,</w:t>
            </w:r>
            <w:r>
              <w:t xml:space="preserve"> </w:t>
            </w:r>
            <w:r>
              <w:rPr>
                <w:rStyle w:val="Text3"/>
              </w:rPr>
              <w:t>fred</w:t>
            </w:r>
            <w:r>
              <w:rPr>
                <w:rStyle w:val="Text0"/>
              </w:rPr>
              <w:t>, fcon=</w:t>
            </w:r>
            <w:r>
              <w:rPr>
                <w:rStyle w:val="Text5"/>
              </w:rPr>
              <w:t>None</w:t>
            </w:r>
            <w:r>
              <w:rPr>
                <w:rStyle w:val="Text0"/>
              </w:rPr>
              <w:t>)</w:t>
              <w:br w:clear="none"/>
            </w:r>
            <w:r>
              <w:t xml:space="preserve"> Registers function </w:t>
            </w:r>
            <w:r>
              <w:rPr>
                <w:rStyle w:val="Text3"/>
              </w:rPr>
              <w:t>fred</w:t>
            </w:r>
            <w:r>
              <w:t xml:space="preserve"> as the </w:t>
            </w:r>
            <w:r>
              <w:rPr>
                <w:rStyle w:val="Text4"/>
              </w:rPr>
              <w:t>reduction function</w:t>
            </w:r>
            <w:r>
              <w:t xml:space="preserve"> for type </w:t>
            </w:r>
            <w:r>
              <w:rPr>
                <w:rStyle w:val="Text3"/>
              </w:rPr>
              <w:t>type</w:t>
            </w:r>
            <w:r>
              <w:t xml:space="preserve">, where </w:t>
            </w:r>
            <w:r>
              <w:rPr>
                <w:rStyle w:val="Text3"/>
              </w:rPr>
              <w:t>type</w:t>
            </w:r>
            <w:r>
              <w:t xml:space="preserve"> must be a type object. To save an object </w:t>
            </w:r>
            <w:r>
              <w:rPr>
                <w:rStyle w:val="Text3"/>
              </w:rPr>
              <w:t>o</w:t>
            </w:r>
            <w:r>
              <w:t xml:space="preserve"> of type </w:t>
            </w:r>
            <w:r>
              <w:rPr>
                <w:rStyle w:val="Text3"/>
              </w:rPr>
              <w:t>type</w:t>
            </w:r>
            <w:r>
              <w:t xml:space="preserve">, the module </w:t>
            </w:r>
            <w:r>
              <w:rPr>
                <w:rStyle w:val="Text0"/>
              </w:rPr>
              <w:t>pickle</w:t>
            </w:r>
            <w:r>
              <w:t xml:space="preserve"> calls </w:t>
            </w:r>
            <w:r>
              <w:rPr>
                <w:rStyle w:val="Text3"/>
              </w:rPr>
              <w:t>fred</w:t>
            </w:r>
            <w:r>
              <w:rPr>
                <w:rStyle w:val="Text0"/>
              </w:rPr>
              <w:t>(</w:t>
            </w:r>
            <w:r>
              <w:rPr>
                <w:rStyle w:val="Text3"/>
              </w:rPr>
              <w:t>o</w:t>
            </w:r>
            <w:r>
              <w:rPr>
                <w:rStyle w:val="Text0"/>
              </w:rPr>
              <w:t>)</w:t>
            </w:r>
            <w:r>
              <w:t xml:space="preserve"> and saves the result. </w:t>
            </w:r>
            <w:r>
              <w:rPr>
                <w:rStyle w:val="Text3"/>
              </w:rPr>
              <w:t>fred</w:t>
            </w:r>
            <w:r>
              <w:rPr>
                <w:rStyle w:val="Text0"/>
              </w:rPr>
              <w:t>(</w:t>
            </w:r>
            <w:r>
              <w:rPr>
                <w:rStyle w:val="Text3"/>
              </w:rPr>
              <w:t>o</w:t>
            </w:r>
            <w:r>
              <w:rPr>
                <w:rStyle w:val="Text0"/>
              </w:rPr>
              <w:t>)</w:t>
            </w:r>
            <w:r>
              <w:t xml:space="preserve"> must return a tuple </w:t>
            </w:r>
            <w:r>
              <w:rPr>
                <w:rStyle w:val="Text0"/>
              </w:rPr>
              <w:t>(fcon,</w:t>
            </w:r>
            <w:r>
              <w:t xml:space="preserve"> </w:t>
            </w:r>
            <w:r>
              <w:rPr>
                <w:rStyle w:val="Text3"/>
              </w:rPr>
              <w:t>t</w:t>
            </w:r>
            <w:r>
              <w:rPr>
                <w:rStyle w:val="Text0"/>
              </w:rPr>
              <w:t>)</w:t>
            </w:r>
            <w:r>
              <w:t xml:space="preserve"> or </w:t>
            </w:r>
            <w:r>
              <w:rPr>
                <w:rStyle w:val="Text0"/>
              </w:rPr>
              <w:t>(fcon,</w:t>
            </w:r>
            <w:r>
              <w:t xml:space="preserve"> </w:t>
            </w:r>
            <w:r>
              <w:rPr>
                <w:rStyle w:val="Text3"/>
              </w:rPr>
              <w:t>t</w:t>
            </w:r>
            <w:r>
              <w:rPr>
                <w:rStyle w:val="Text0"/>
              </w:rPr>
              <w:t>,</w:t>
            </w:r>
            <w:r>
              <w:t xml:space="preserve"> </w:t>
            </w:r>
            <w:r>
              <w:rPr>
                <w:rStyle w:val="Text3"/>
              </w:rPr>
              <w:t>d</w:t>
            </w:r>
            <w:r>
              <w:rPr>
                <w:rStyle w:val="Text0"/>
              </w:rPr>
              <w:t>)</w:t>
            </w:r>
            <w:r>
              <w:t xml:space="preserve">, where </w:t>
            </w:r>
            <w:r>
              <w:rPr>
                <w:rStyle w:val="Text3"/>
              </w:rPr>
              <w:t>fcon</w:t>
            </w:r>
            <w:r>
              <w:t xml:space="preserve"> is a constructor and </w:t>
            </w:r>
            <w:r>
              <w:rPr>
                <w:rStyle w:val="Text3"/>
              </w:rPr>
              <w:t>t</w:t>
            </w:r>
            <w:r>
              <w:t xml:space="preserve"> is a tuple. To reload </w:t>
            </w:r>
            <w:r>
              <w:rPr>
                <w:rStyle w:val="Text3"/>
              </w:rPr>
              <w:t>o</w:t>
            </w:r>
            <w:r>
              <w:t xml:space="preserve">, </w:t>
            </w:r>
            <w:r>
              <w:rPr>
                <w:rStyle w:val="Text0"/>
              </w:rPr>
              <w:t>pickle</w:t>
            </w:r>
            <w:r>
              <w:t xml:space="preserve"> uses </w:t>
            </w:r>
            <w:r>
              <w:rPr>
                <w:rStyle w:val="Text3"/>
              </w:rPr>
              <w:t>o</w:t>
            </w:r>
            <w:r>
              <w:rPr>
                <w:rStyle w:val="Text0"/>
              </w:rPr>
              <w:t>=fcon(*</w:t>
            </w:r>
            <w:r>
              <w:rPr>
                <w:rStyle w:val="Text3"/>
              </w:rPr>
              <w:t>t</w:t>
            </w:r>
            <w:r>
              <w:rPr>
                <w:rStyle w:val="Text0"/>
              </w:rPr>
              <w:t>)</w:t>
            </w:r>
            <w:r>
              <w:t xml:space="preserve">. Then, when </w:t>
            </w:r>
            <w:r>
              <w:rPr>
                <w:rStyle w:val="Text3"/>
              </w:rPr>
              <w:t>fred</w:t>
            </w:r>
            <w:r>
              <w:t xml:space="preserve"> also returns a </w:t>
            </w:r>
            <w:r>
              <w:rPr>
                <w:rStyle w:val="Text3"/>
              </w:rPr>
              <w:t>d</w:t>
            </w:r>
            <w:r>
              <w:t xml:space="preserve">, </w:t>
            </w:r>
            <w:r>
              <w:rPr>
                <w:rStyle w:val="Text0"/>
              </w:rPr>
              <w:t>pickle</w:t>
            </w:r>
            <w:r>
              <w:t xml:space="preserve"> uses </w:t>
            </w:r>
            <w:r>
              <w:rPr>
                <w:rStyle w:val="Text3"/>
              </w:rPr>
              <w:t>d</w:t>
            </w:r>
            <w:r>
              <w:t xml:space="preserve"> to restore </w:t>
            </w:r>
            <w:r>
              <w:rPr>
                <w:rStyle w:val="Text3"/>
              </w:rPr>
              <w:t>o</w:t>
            </w:r>
            <w:r>
              <w:t xml:space="preserve">’s state (when </w:t>
            </w:r>
            <w:r>
              <w:rPr>
                <w:rStyle w:val="Text3"/>
              </w:rPr>
              <w:t>o</w:t>
            </w:r>
            <w:r>
              <w:t xml:space="preserve"> supplies </w:t>
            </w:r>
            <w:r>
              <w:rPr>
                <w:rStyle w:val="Text0"/>
              </w:rPr>
              <w:t>__setstate__</w:t>
            </w:r>
            <w:r>
              <w:t xml:space="preserve">, </w:t>
            </w:r>
            <w:r>
              <w:rPr>
                <w:rStyle w:val="Text3"/>
              </w:rPr>
              <w:t>o</w:t>
            </w:r>
            <w:r>
              <w:rPr>
                <w:rStyle w:val="Text0"/>
              </w:rPr>
              <w:t>.__setstate__(</w:t>
            </w:r>
            <w:r>
              <w:rPr>
                <w:rStyle w:val="Text3"/>
              </w:rPr>
              <w:t>d</w:t>
            </w:r>
            <w:r>
              <w:rPr>
                <w:rStyle w:val="Text0"/>
              </w:rPr>
              <w:t>)</w:t>
            </w:r>
            <w:r>
              <w:t xml:space="preserve">; otherwise, </w:t>
            </w:r>
            <w:r>
              <w:rPr>
                <w:rStyle w:val="Text3"/>
              </w:rPr>
              <w:t>o</w:t>
            </w:r>
            <w:r>
              <w:rPr>
                <w:rStyle w:val="Text0"/>
              </w:rPr>
              <w:t>.__dict__.update(</w:t>
            </w:r>
            <w:r>
              <w:rPr>
                <w:rStyle w:val="Text3"/>
              </w:rPr>
              <w:t>d</w:t>
            </w:r>
            <w:r>
              <w:rPr>
                <w:rStyle w:val="Text0"/>
              </w:rPr>
              <w:t>))</w:t>
            </w:r>
            <w:r>
              <w:t xml:space="preserve">, as described in the previous section. If </w:t>
            </w:r>
            <w:r>
              <w:rPr>
                <w:rStyle w:val="Text3"/>
              </w:rPr>
              <w:t>fcon</w:t>
            </w:r>
            <w:r>
              <w:t xml:space="preserve"> is not </w:t>
            </w:r>
            <w:r>
              <w:rPr>
                <w:rStyle w:val="Text5"/>
              </w:rPr>
              <w:t>None</w:t>
            </w:r>
            <w:r>
              <w:t xml:space="preserve">, </w:t>
            </w:r>
            <w:r>
              <w:rPr>
                <w:rStyle w:val="Text0"/>
              </w:rPr>
              <w:t>pickle</w:t>
            </w:r>
            <w:r>
              <w:t xml:space="preserve"> also calls </w:t>
            </w:r>
            <w:r>
              <w:rPr>
                <w:rStyle w:val="Text0"/>
              </w:rPr>
              <w:t>constructor(</w:t>
            </w:r>
            <w:r>
              <w:rPr>
                <w:rStyle w:val="Text3"/>
              </w:rPr>
              <w:t>fcon</w:t>
            </w:r>
            <w:r>
              <w:rPr>
                <w:rStyle w:val="Text0"/>
              </w:rPr>
              <w:t>)</w:t>
            </w:r>
            <w:r>
              <w:t xml:space="preserve"> to register </w:t>
            </w:r>
            <w:r>
              <w:rPr>
                <w:rStyle w:val="Text3"/>
              </w:rPr>
              <w:t>fcon</w:t>
            </w:r>
            <w:r>
              <w:t xml:space="preserve"> as a constructor.</w:t>
              <w:br w:clear="none"/>
              <w:t xml:space="preserve"> </w:t>
            </w:r>
            <w:r>
              <w:rPr>
                <w:rStyle w:val="Text0"/>
              </w:rPr>
              <w:t>pickle</w:t>
            </w:r>
            <w:r>
              <w:t xml:space="preserve"> does not support pickling of code objects, but </w:t>
            </w:r>
            <w:r>
              <w:rPr>
                <w:rStyle w:val="Text0"/>
              </w:rPr>
              <w:t>marshal</w:t>
            </w:r>
            <w:r>
              <w:t xml:space="preserve"> does. Here’s how you could customize pickling to support code objects by delegating the work to </w:t>
            </w:r>
            <w:r>
              <w:rPr>
                <w:rStyle w:val="Text0"/>
              </w:rPr>
              <w:t>marshal</w:t>
            </w:r>
            <w:r>
              <w:t xml:space="preserve"> thanks to </w:t>
            </w:r>
            <w:r>
              <w:rPr>
                <w:rStyle w:val="Text0"/>
              </w:rPr>
              <w:t>copyreg</w:t>
            </w:r>
            <w:r>
              <w:t xml:space="preserve">: </w:t>
            </w:r>
          </w:p>
          <w:p>
            <w:pPr>
              <w:pStyle w:val="Para 029"/>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pickle</w:t>
              <w:br w:clear="none"/>
            </w:r>
            <w:r>
              <w:rPr>
                <w:rStyle w:val="Text13"/>
              </w:rPr>
              <w:t xml:space="preserve">,</w:t>
              <w:br w:clear="none"/>
            </w:r>
            <w:r>
              <w:rPr>
                <w:rStyle w:val="Text6"/>
              </w:rPr>
              <w:t xml:space="preserve"> </w:t>
              <w:br w:clear="none"/>
            </w:r>
            <w:r>
              <w:rPr>
                <w:rStyle w:val="Text20"/>
              </w:rPr>
              <w:t xml:space="preserve">copyreg</w:t>
              <w:br w:clear="none"/>
            </w:r>
            <w:r>
              <w:rPr>
                <w:rStyle w:val="Text13"/>
              </w:rPr>
              <w:t xml:space="preserve">,</w:t>
              <w:br w:clear="none"/>
            </w:r>
            <w:r>
              <w:rPr>
                <w:rStyle w:val="Text6"/>
              </w:rPr>
              <w:t xml:space="preserve"> </w:t>
              <w:br w:clear="none"/>
            </w:r>
            <w:r>
              <w:rPr>
                <w:rStyle w:val="Text20"/>
              </w:rPr>
              <w:t xml:space="preserve">marshal</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def</w:t>
              <w:br w:clear="none"/>
            </w:r>
            <w:r>
              <w:rPr>
                <w:rStyle w:val="Text6"/>
              </w:rPr>
              <w:t xml:space="preserve"> </w:t>
              <w:br w:clear="none"/>
            </w:r>
            <w:r>
              <w:rPr>
                <w:rStyle w:val="Text18"/>
              </w:rPr>
              <w:t xml:space="preserve">marsh</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10"/>
              </w:rPr>
              <w:t xml:space="preserve">return</w:t>
              <w:br w:clear="none"/>
            </w:r>
            <w:r>
              <w:rPr>
                <w:rStyle w:val="Text6"/>
              </w:rPr>
              <w:t xml:space="preserve"> </w:t>
              <w:br w:clear="none"/>
            </w:r>
            <w:r>
              <w:t xml:space="preserve">marshal</w:t>
              <w:br w:clear="none"/>
            </w:r>
            <w:r>
              <w:rPr>
                <w:rStyle w:val="Text13"/>
              </w:rPr>
              <w:t xml:space="preserve">.</w:t>
              <w:br w:clear="none"/>
            </w:r>
            <w:r>
              <w:t xml:space="preserve">loads</w:t>
              <w:br w:clear="none"/>
            </w:r>
            <w:r>
              <w:rPr>
                <w:rStyle w:val="Text7"/>
              </w:rPr>
              <w:t xml:space="preserve">,</w:t>
              <w:br w:clear="none"/>
            </w:r>
            <w:r>
              <w:rPr>
                <w:rStyle w:val="Text6"/>
              </w:rPr>
              <w:t xml:space="preserve"> </w:t>
              <w:br w:clear="none"/>
            </w:r>
            <w:r>
              <w:rPr>
                <w:rStyle w:val="Text7"/>
              </w:rPr>
              <w:t xml:space="preserve">(</w:t>
              <w:br w:clear="none"/>
            </w:r>
            <w:r>
              <w:t xml:space="preserve">marshal</w:t>
              <w:br w:clear="none"/>
            </w:r>
            <w:r>
              <w:rPr>
                <w:rStyle w:val="Text13"/>
              </w:rPr>
              <w:t xml:space="preserve">.</w:t>
              <w:br w:clear="none"/>
            </w:r>
            <w:r>
              <w:t xml:space="preserve">dumps</w:t>
              <w:br w:clear="none"/>
            </w:r>
            <w:r>
              <w:rPr>
                <w:rStyle w:val="Text7"/>
              </w:rPr>
              <w:t xml:space="preserve">(</w:t>
              <w:br w:clear="none"/>
            </w:r>
            <w:r>
              <w:t xml:space="preserve">x</w:t>
              <w:br w:clear="none"/>
            </w:r>
            <w:r>
              <w:rPr>
                <w:rStyle w:val="Text7"/>
              </w:rPr>
              <w:t xml:space="preserve">)</w:t>
              <w:br w:clear="none"/>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c</w:t>
              <w:br w:clear="none"/>
            </w:r>
            <w:r>
              <w:rPr>
                <w:rStyle w:val="Text13"/>
              </w:rPr>
              <w:t xml:space="preserve">=</w:t>
              <w:br w:clear="none"/>
            </w:r>
            <w:r>
              <w:rPr>
                <w:rStyle w:val="Text16"/>
              </w:rPr>
              <w:t xml:space="preserve">compile</w:t>
              <w:br w:clear="none"/>
            </w:r>
            <w:r>
              <w:rPr>
                <w:rStyle w:val="Text7"/>
              </w:rPr>
              <w:t xml:space="preserve">(</w:t>
              <w:br w:clear="none"/>
            </w:r>
            <w:r>
              <w:rPr>
                <w:rStyle w:val="Text8"/>
              </w:rPr>
              <w:t xml:space="preserve">'</w:t>
              <w:br w:clear="none"/>
              <w:t xml:space="preserve">2+2</w:t>
              <w:br w:clear="none"/>
              <w:t xml:space="preserve">'</w:t>
              <w:br w:clear="none"/>
            </w:r>
            <w:r>
              <w:rPr>
                <w:rStyle w:val="Text7"/>
              </w:rPr>
              <w:t xml:space="preserve">,</w:t>
              <w:br w:clear="none"/>
            </w:r>
            <w:r>
              <w:rPr>
                <w:rStyle w:val="Text8"/>
              </w:rPr>
              <w:t xml:space="preserve">'</w:t>
              <w:br w:clear="none"/>
              <w:t xml:space="preserve">'</w:t>
              <w:br w:clear="none"/>
            </w:r>
            <w:r>
              <w:rPr>
                <w:rStyle w:val="Text7"/>
              </w:rPr>
              <w:t xml:space="preserve">,</w:t>
              <w:br w:clear="none"/>
            </w:r>
            <w:r>
              <w:rPr>
                <w:rStyle w:val="Text8"/>
              </w:rPr>
              <w:t xml:space="preserve">'</w:t>
              <w:br w:clear="none"/>
              <w:t xml:space="preserve">eval</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copyreg</w:t>
              <w:br w:clear="none"/>
            </w:r>
            <w:r>
              <w:rPr>
                <w:rStyle w:val="Text13"/>
              </w:rPr>
              <w:t xml:space="preserve">.</w:t>
              <w:br w:clear="none"/>
            </w:r>
            <w:r>
              <w:t xml:space="preserve">pickle</w:t>
              <w:br w:clear="none"/>
            </w:r>
            <w:r>
              <w:rPr>
                <w:rStyle w:val="Text7"/>
              </w:rPr>
              <w:t xml:space="preserve">(</w:t>
              <w:br w:clear="none"/>
            </w:r>
            <w:r>
              <w:rPr>
                <w:rStyle w:val="Text16"/>
              </w:rPr>
              <w:t xml:space="preserve">type</w:t>
              <w:br w:clear="none"/>
            </w:r>
            <w:r>
              <w:rPr>
                <w:rStyle w:val="Text7"/>
              </w:rPr>
              <w:t xml:space="preserve">(</w:t>
              <w:br w:clear="none"/>
            </w:r>
            <w:r>
              <w:t xml:space="preserve">c</w:t>
              <w:br w:clear="none"/>
            </w:r>
            <w:r>
              <w:rPr>
                <w:rStyle w:val="Text7"/>
              </w:rPr>
              <w:t xml:space="preserve">)</w:t>
              <w:br w:clear="none"/>
              <w:t xml:space="preserve">,</w:t>
              <w:br w:clear="none"/>
            </w:r>
            <w:r>
              <w:rPr>
                <w:rStyle w:val="Text6"/>
              </w:rPr>
              <w:t xml:space="preserve"> </w:t>
              <w:br w:clear="none"/>
            </w:r>
            <w:r>
              <w:t xml:space="preserve">marsh</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s</w:t>
              <w:br w:clear="none"/>
            </w:r>
            <w:r>
              <w:rPr>
                <w:rStyle w:val="Text13"/>
              </w:rPr>
              <w:t xml:space="preserve">=</w:t>
              <w:br w:clear="none"/>
            </w:r>
            <w:r>
              <w:t xml:space="preserve">pickle</w:t>
              <w:br w:clear="none"/>
            </w:r>
            <w:r>
              <w:rPr>
                <w:rStyle w:val="Text13"/>
              </w:rPr>
              <w:t xml:space="preserve">.</w:t>
              <w:br w:clear="none"/>
            </w:r>
            <w:r>
              <w:t xml:space="preserve">dumps</w:t>
              <w:br w:clear="none"/>
            </w:r>
            <w:r>
              <w:rPr>
                <w:rStyle w:val="Text7"/>
              </w:rPr>
              <w:t xml:space="preserve">(</w:t>
              <w:br w:clear="none"/>
            </w:r>
            <w:r>
              <w:t xml:space="preserve">c</w:t>
              <w:br w:clear="none"/>
            </w:r>
            <w:r>
              <w:rPr>
                <w:rStyle w:val="Text7"/>
              </w:rPr>
              <w:t xml:space="preserve">,</w:t>
              <w:br w:clear="none"/>
            </w:r>
            <w:r>
              <w:rPr>
                <w:rStyle w:val="Text6"/>
              </w:rPr>
              <w:t xml:space="preserve"> </w:t>
              <w:br w:clear="none"/>
            </w:r>
            <w:r>
              <w:rPr>
                <w:rStyle w:val="Text27"/>
              </w:rPr>
              <w:t xml:space="preserve">2</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cc</w:t>
              <w:br w:clear="none"/>
            </w:r>
            <w:r>
              <w:rPr>
                <w:rStyle w:val="Text13"/>
              </w:rPr>
              <w:t xml:space="preserve">=</w:t>
              <w:br w:clear="none"/>
            </w:r>
            <w:r>
              <w:t xml:space="preserve">pickle</w:t>
              <w:br w:clear="none"/>
            </w:r>
            <w:r>
              <w:rPr>
                <w:rStyle w:val="Text13"/>
              </w:rPr>
              <w:t xml:space="preserve">.</w:t>
              <w:br w:clear="none"/>
            </w:r>
            <w:r>
              <w:t xml:space="preserve">loads</w:t>
              <w:br w:clear="none"/>
            </w:r>
            <w:r>
              <w:rPr>
                <w:rStyle w:val="Text7"/>
              </w:rPr>
              <w:t xml:space="preserve">(</w:t>
              <w:br w:clear="none"/>
            </w:r>
            <w:r>
              <w:t xml:space="preserve">s</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print</w:t>
              <w:br w:clear="none"/>
            </w:r>
            <w:r>
              <w:rPr>
                <w:rStyle w:val="Text7"/>
              </w:rPr>
              <w:t xml:space="preserve">(</w:t>
              <w:br w:clear="none"/>
            </w:r>
            <w:r>
              <w:rPr>
                <w:rStyle w:val="Text16"/>
              </w:rPr>
              <w:t xml:space="preserve">eval</w:t>
              <w:br w:clear="none"/>
            </w:r>
            <w:r>
              <w:rPr>
                <w:rStyle w:val="Text7"/>
              </w:rPr>
              <w:t xml:space="preserve">(</w:t>
              <w:br w:clear="none"/>
            </w:r>
            <w:r>
              <w:t xml:space="preserve">cc</w:t>
              <w:br w:clear="none"/>
            </w:r>
            <w:r>
              <w:rPr>
                <w:rStyle w:val="Text7"/>
              </w:rPr>
              <w:t xml:space="preserve">)</w:t>
              <w:br w:clear="none"/>
              <w:t xml:space="preserve">)</w:t>
              <w:br w:clear="none"/>
            </w:r>
          </w:p>
          <w:p>
            <w:pPr>
              <w:pStyle w:val="Para 033"/>
            </w:pPr>
            <w:r>
              <w:rPr>
                <w:rStyle w:val="Text48"/>
              </w:rPr>
              <w:t xml:space="preserve"/>
              <w:br w:clear="none"/>
            </w:r>
            <w:r>
              <w:t xml:space="preserve">4</w:t>
              <w:br w:clear="none"/>
            </w:r>
          </w:p>
          <w:p>
            <w:pPr>
              <w:keepNext/>
              <w:pStyle w:val="Para 056"/>
              <w:keepLines w:val="on"/>
            </w:pPr>
            <w:r>
              <w:t>Using marshal Makes Your Code Python Version Dependent</w:t>
            </w:r>
          </w:p>
          <w:p>
            <w:pPr>
              <w:pStyle w:val="Para 041"/>
              <w:keepLines w:val="on"/>
            </w:pPr>
            <w:r>
              <w:t>Be careful when using</w:t>
            </w:r>
            <w:r>
              <w:rPr>
                <w:rStyle w:val="Text111"/>
              </w:rPr>
              <w:bookmarkStart w:id="2972" w:name="idm45965199078528"/>
              <w:t/>
              <w:bookmarkEnd w:id="2972"/>
            </w:r>
            <w:r>
              <w:t xml:space="preserve"> </w:t>
            </w:r>
            <w:r>
              <w:rPr>
                <w:rStyle w:val="Text0"/>
              </w:rPr>
              <w:t>marshal</w:t>
            </w:r>
            <w:r>
              <w:t xml:space="preserve"> in your code, as the preceding example does. </w:t>
            </w:r>
            <w:r>
              <w:rPr>
                <w:rStyle w:val="Text0"/>
              </w:rPr>
              <w:t>marshal</w:t>
            </w:r>
            <w:r>
              <w:t xml:space="preserve">’s serialization isn’t guaranteed to be stable across versions, so using </w:t>
            </w:r>
            <w:r>
              <w:rPr>
                <w:rStyle w:val="Text0"/>
              </w:rPr>
              <w:t>marshal</w:t>
            </w:r>
            <w:r>
              <w:t xml:space="preserve"> means that programs written in other versions of Python may be unable to load the objects your program has serialized.</w:t>
            </w:r>
            <w:r>
              <w:rPr>
                <w:rStyle w:val="Text111"/>
              </w:rPr>
              <w:bookmarkStart w:id="2973" w:name="idm45965199094400"/>
              <w:t/>
              <w:bookmarkEnd w:id="2973"/>
              <w:bookmarkStart w:id="2974" w:name="idm45965199093024"/>
              <w:t/>
              <w:bookmarkEnd w:id="2974"/>
            </w:r>
          </w:p>
        </w:tc>
      </w:tr>
    </w:tbl>
    <w:p>
      <w:bookmarkStart w:id="2975" w:name="The_shelve_Module__The_shelve_mo"/>
      <w:pPr>
        <w:keepNext/>
        <w:pStyle w:val="Heading 2"/>
      </w:pPr>
      <w:r>
        <w:t>The shelve Module</w:t>
      </w:r>
      <w:bookmarkEnd w:id="2975"/>
    </w:p>
    <w:p>
      <w:pPr>
        <w:pStyle w:val="Normal"/>
      </w:pPr>
      <w:r>
        <w:t>The</w:t>
      </w:r>
      <w:r>
        <w:rPr>
          <w:rStyle w:val="Text111"/>
        </w:rPr>
        <w:bookmarkStart w:id="2976" w:name="idm45965199090272"/>
        <w:t/>
        <w:bookmarkEnd w:id="2976"/>
        <w:bookmarkStart w:id="2977" w:name="idm45965199044112"/>
        <w:t/>
        <w:bookmarkEnd w:id="2977"/>
        <w:bookmarkStart w:id="2978" w:name="idm45965199043136"/>
        <w:t/>
        <w:bookmarkEnd w:id="2978"/>
      </w:r>
      <w:r>
        <w:t xml:space="preserve"> </w:t>
      </w:r>
      <w:r>
        <w:rPr>
          <w:rStyle w:val="Text0"/>
        </w:rPr>
        <w:t>shelve</w:t>
      </w:r>
      <w:r>
        <w:t xml:space="preserve"> module orchestrates the modules </w:t>
      </w:r>
      <w:r>
        <w:rPr>
          <w:rStyle w:val="Text0"/>
        </w:rPr>
        <w:t>pickle</w:t>
      </w:r>
      <w:r>
        <w:t xml:space="preserve">, </w:t>
      </w:r>
      <w:r>
        <w:rPr>
          <w:rStyle w:val="Text0"/>
        </w:rPr>
        <w:t>io</w:t>
      </w:r>
      <w:r>
        <w:t xml:space="preserve">, and </w:t>
      </w:r>
      <w:r>
        <w:rPr>
          <w:rStyle w:val="Text0"/>
        </w:rPr>
        <w:t>dbm</w:t>
      </w:r>
      <w:r>
        <w:t xml:space="preserve"> (and its underlying modules for access to DBM-like archive files, as discussed in the following section) in order to provide a simple, lightweight persistence mechanism.</w:t>
      </w:r>
    </w:p>
    <w:p>
      <w:pPr>
        <w:pStyle w:val="Normal"/>
      </w:pPr>
      <w:r>
        <w:rPr>
          <w:rStyle w:val="Text0"/>
        </w:rPr>
        <w:t>shelve</w:t>
      </w:r>
      <w:r>
        <w:t xml:space="preserve"> supplies a function, </w:t>
      </w:r>
      <w:r>
        <w:rPr>
          <w:rStyle w:val="Text0"/>
        </w:rPr>
        <w:t>open</w:t>
      </w:r>
      <w:r>
        <w:t xml:space="preserve">, that is polymorphic to </w:t>
      </w:r>
      <w:r>
        <w:rPr>
          <w:rStyle w:val="Text0"/>
        </w:rPr>
        <w:t>dbm.open</w:t>
      </w:r>
      <w:r>
        <w:t xml:space="preserve">. The mapping </w:t>
      </w:r>
      <w:r>
        <w:rPr>
          <w:rStyle w:val="Text3"/>
        </w:rPr>
        <w:t>s</w:t>
      </w:r>
      <w:r>
        <w:t xml:space="preserve"> returned by </w:t>
      </w:r>
      <w:r>
        <w:rPr>
          <w:rStyle w:val="Text0"/>
        </w:rPr>
        <w:t>shelve.open</w:t>
      </w:r>
      <w:r>
        <w:t xml:space="preserve"> is less limited, however, than the mapping </w:t>
      </w:r>
      <w:r>
        <w:rPr>
          <w:rStyle w:val="Text3"/>
        </w:rPr>
        <w:t>a</w:t>
      </w:r>
      <w:r>
        <w:t xml:space="preserve"> returned by </w:t>
      </w:r>
      <w:r>
        <w:rPr>
          <w:rStyle w:val="Text0"/>
        </w:rPr>
        <w:t>dbm.open</w:t>
      </w:r>
      <w:r>
        <w:t xml:space="preserve">. </w:t>
      </w:r>
      <w:r>
        <w:rPr>
          <w:rStyle w:val="Text3"/>
        </w:rPr>
        <w:t>a</w:t>
      </w:r>
      <w:r>
        <w:t>’s keys and values must be strings.</w:t>
      </w:r>
      <w:hyperlink w:anchor="3_dbm_keys_and_values_must_be_by">
        <w:r>
          <w:rPr>
            <w:rStyle w:val="Text41"/>
          </w:rPr>
          <w:bookmarkStart w:id="2979" w:name="3_10"/>
          <w:t>3</w:t>
          <w:bookmarkEnd w:id="2979"/>
        </w:r>
      </w:hyperlink>
      <w:r>
        <w:t xml:space="preserve"> </w:t>
      </w:r>
      <w:r>
        <w:rPr>
          <w:rStyle w:val="Text3"/>
        </w:rPr>
        <w:t>s</w:t>
      </w:r>
      <w:r>
        <w:t xml:space="preserve">’s keys must also be strings, but </w:t>
      </w:r>
      <w:r>
        <w:rPr>
          <w:rStyle w:val="Text3"/>
        </w:rPr>
        <w:t>s</w:t>
      </w:r>
      <w:r>
        <w:t xml:space="preserve">’s values may be of any pickleable types. </w:t>
      </w:r>
      <w:r>
        <w:rPr>
          <w:rStyle w:val="Text0"/>
        </w:rPr>
        <w:t>pickle</w:t>
      </w:r>
      <w:r>
        <w:t xml:space="preserve"> customizations (</w:t>
      </w:r>
      <w:r>
        <w:rPr>
          <w:rStyle w:val="Text0"/>
        </w:rPr>
        <w:t>copyreg</w:t>
      </w:r>
      <w:r>
        <w:t xml:space="preserve">, </w:t>
      </w:r>
      <w:r>
        <w:rPr>
          <w:rStyle w:val="Text0"/>
        </w:rPr>
        <w:t>__getnewargs__</w:t>
      </w:r>
      <w:r>
        <w:t xml:space="preserve">, </w:t>
      </w:r>
      <w:r>
        <w:rPr>
          <w:rStyle w:val="Text0"/>
        </w:rPr>
        <w:t>__getstate__</w:t>
      </w:r>
      <w:r>
        <w:t xml:space="preserve">, and </w:t>
      </w:r>
      <w:r>
        <w:rPr>
          <w:rStyle w:val="Text0"/>
        </w:rPr>
        <w:t>__setstate__</w:t>
      </w:r>
      <w:r>
        <w:t xml:space="preserve">) also apply to </w:t>
      </w:r>
      <w:r>
        <w:rPr>
          <w:rStyle w:val="Text0"/>
        </w:rPr>
        <w:t>shelve</w:t>
      </w:r>
      <w:r>
        <w:t xml:space="preserve">, as </w:t>
      </w:r>
      <w:r>
        <w:rPr>
          <w:rStyle w:val="Text0"/>
        </w:rPr>
        <w:t>shelve</w:t>
      </w:r>
      <w:r>
        <w:t xml:space="preserve"> delegates serialization to </w:t>
      </w:r>
      <w:r>
        <w:rPr>
          <w:rStyle w:val="Text0"/>
        </w:rPr>
        <w:t>pickle</w:t>
      </w:r>
      <w:r>
        <w:t>. Keys and values are stored as bytes. When strings are used, they are implicitly converted to the default encoding before being stored.</w:t>
      </w:r>
    </w:p>
    <w:p>
      <w:pPr>
        <w:pStyle w:val="Normal"/>
      </w:pPr>
      <w:r>
        <w:t xml:space="preserve">Beware of a subtle trap when you use </w:t>
      </w:r>
      <w:r>
        <w:rPr>
          <w:rStyle w:val="Text0"/>
        </w:rPr>
        <w:t>shelve</w:t>
      </w:r>
      <w:r>
        <w:t xml:space="preserve"> with mutable objects: when you operate on a mutable object held in a shelf, the changes aren’t stored back unless you assign the changed object back to the same index. For example:</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shelve</w:t>
        <w:br w:clear="none"/>
      </w:r>
      <w:r>
        <w:rPr>
          <w:rStyle w:val="Text11"/>
        </w:rPr>
        <w:t xml:space="preserve"/>
        <w:br w:clear="none"/>
      </w:r>
      <w:r>
        <w:rPr>
          <w:rStyle w:val="Text14"/>
        </w:rPr>
        <w:t xml:space="preserve">s</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shelve</w:t>
        <w:br w:clear="none"/>
      </w:r>
      <w:r>
        <w:rPr>
          <w:rStyle w:val="Text28"/>
        </w:rPr>
        <w:t xml:space="preserve">.</w:t>
        <w:br w:clear="none"/>
      </w:r>
      <w:r>
        <w:rPr>
          <w:rStyle w:val="Text14"/>
        </w:rPr>
        <w:t xml:space="preserve">open</w:t>
        <w:br w:clear="none"/>
      </w:r>
      <w:r>
        <w:rPr>
          <w:rStyle w:val="Text19"/>
        </w:rPr>
        <w:t xml:space="preserve">(</w:t>
        <w:br w:clear="none"/>
      </w:r>
      <w:r>
        <w:rPr>
          <w:rStyle w:val="Text17"/>
        </w:rPr>
        <w:t xml:space="preserve">'</w:t>
        <w:br w:clear="none"/>
        <w:t xml:space="preserve">data</w:t>
        <w:br w:clear="none"/>
        <w:t xml:space="preserve">'</w:t>
        <w:br w:clear="none"/>
      </w:r>
      <w:r>
        <w:rPr>
          <w:rStyle w:val="Text19"/>
        </w:rPr>
        <w:t xml:space="preserve">)</w:t>
        <w:br w:clear="none"/>
      </w:r>
      <w:r>
        <w:rPr>
          <w:rStyle w:val="Text11"/>
        </w:rPr>
        <w:t xml:space="preserve"/>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list</w:t>
        <w:br w:clear="none"/>
      </w:r>
      <w:r>
        <w:rPr>
          <w:rStyle w:val="Text19"/>
        </w:rPr>
        <w:t xml:space="preserve">(</w:t>
        <w:br w:clear="none"/>
      </w:r>
      <w:r>
        <w:rPr>
          <w:rStyle w:val="Text21"/>
        </w:rPr>
        <w:t xml:space="preserve">range</w:t>
        <w:br w:clear="none"/>
      </w:r>
      <w:r>
        <w:rPr>
          <w:rStyle w:val="Text19"/>
        </w:rPr>
        <w:t xml:space="preserve">(</w:t>
        <w:br w:clear="none"/>
      </w:r>
      <w:r>
        <w:rPr>
          <w:rStyle w:val="Text35"/>
        </w:rPr>
        <w:t xml:space="preserve">4</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t xml:space="preserve">)</w:t>
        <w:br w:clear="none"/>
      </w:r>
      <w:r>
        <w:rPr>
          <w:rStyle w:val="Text11"/>
        </w:rPr>
        <w:t xml:space="preserve">           </w:t>
        <w:br w:clear="none"/>
      </w:r>
      <w:r>
        <w:t xml:space="preserve"># prints: [0, 1, 2, 3]</w:t>
        <w:br w:clear="none"/>
      </w:r>
      <w:r>
        <w:rPr>
          <w:rStyle w:val="Text11"/>
        </w:rPr>
        <w:t xml:space="preserve"/>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r>
      <w:r>
        <w:rPr>
          <w:rStyle w:val="Text28"/>
        </w:rPr>
        <w:t xml:space="preserve">.</w:t>
        <w:br w:clear="none"/>
      </w:r>
      <w:r>
        <w:rPr>
          <w:rStyle w:val="Text14"/>
        </w:rPr>
        <w:t xml:space="preserve">append</w:t>
        <w:br w:clear="none"/>
      </w:r>
      <w:r>
        <w:rPr>
          <w:rStyle w:val="Text19"/>
        </w:rPr>
        <w:t xml:space="preserve">(</w:t>
        <w:br w:clear="none"/>
      </w:r>
      <w:r>
        <w:rPr>
          <w:rStyle w:val="Text35"/>
        </w:rPr>
        <w:t xml:space="preserve">9</w:t>
        <w:br w:clear="none"/>
      </w:r>
      <w:r>
        <w:rPr>
          <w:rStyle w:val="Text19"/>
        </w:rPr>
        <w:t xml:space="preserve">)</w:t>
        <w:br w:clear="none"/>
      </w:r>
      <w:r>
        <w:rPr>
          <w:rStyle w:val="Text11"/>
        </w:rPr>
        <w:t xml:space="preserve">        </w:t>
        <w:br w:clear="none"/>
      </w:r>
      <w:r>
        <w:t xml:space="preserve"># trying direct mutation</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t xml:space="preserve">)</w:t>
        <w:br w:clear="none"/>
      </w:r>
      <w:r>
        <w:rPr>
          <w:rStyle w:val="Text11"/>
        </w:rPr>
        <w:t xml:space="preserve">           </w:t>
        <w:br w:clear="none"/>
      </w:r>
      <w:r>
        <w:t xml:space="preserve"># doesn't "take"; prints: [0, 1, 2, 3]</w:t>
        <w:br w:clear="none"/>
      </w:r>
      <w:r>
        <w:rPr>
          <w:rStyle w:val="Text11"/>
        </w:rPr>
        <w:t xml:space="preserve"/>
        <w:br w:clear="none"/>
      </w:r>
      <w:r>
        <w:rPr>
          <w:rStyle w:val="Text14"/>
        </w:rPr>
        <w:t xml:space="preserve">x</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r>
      <w:r>
        <w:rPr>
          <w:rStyle w:val="Text11"/>
        </w:rPr>
        <w:t xml:space="preserve">              </w:t>
        <w:br w:clear="none"/>
      </w:r>
      <w:r>
        <w:t xml:space="preserve"># fetch the object</w:t>
        <w:br w:clear="none"/>
      </w:r>
      <w:r>
        <w:rPr>
          <w:rStyle w:val="Text11"/>
        </w:rPr>
        <w:t xml:space="preserve"/>
        <w:br w:clear="none"/>
      </w:r>
      <w:r>
        <w:rPr>
          <w:rStyle w:val="Text14"/>
        </w:rPr>
        <w:t xml:space="preserve">x</w:t>
        <w:br w:clear="none"/>
      </w:r>
      <w:r>
        <w:rPr>
          <w:rStyle w:val="Text28"/>
        </w:rPr>
        <w:t xml:space="preserve">.</w:t>
        <w:br w:clear="none"/>
      </w:r>
      <w:r>
        <w:rPr>
          <w:rStyle w:val="Text14"/>
        </w:rPr>
        <w:t xml:space="preserve">append</w:t>
        <w:br w:clear="none"/>
      </w:r>
      <w:r>
        <w:rPr>
          <w:rStyle w:val="Text19"/>
        </w:rPr>
        <w:t xml:space="preserve">(</w:t>
        <w:br w:clear="none"/>
      </w:r>
      <w:r>
        <w:rPr>
          <w:rStyle w:val="Text35"/>
        </w:rPr>
        <w:t xml:space="preserve">9</w:t>
        <w:br w:clear="none"/>
      </w:r>
      <w:r>
        <w:rPr>
          <w:rStyle w:val="Text19"/>
        </w:rPr>
        <w:t xml:space="preserve">)</w:t>
        <w:br w:clear="none"/>
      </w:r>
      <w:r>
        <w:rPr>
          <w:rStyle w:val="Text11"/>
        </w:rPr>
        <w:t xml:space="preserve">                </w:t>
        <w:br w:clear="none"/>
      </w:r>
      <w:r>
        <w:t xml:space="preserve"># perform mutation</w:t>
        <w:br w:clear="none"/>
      </w:r>
      <w:r>
        <w:rPr>
          <w:rStyle w:val="Text11"/>
        </w:rPr>
        <w:t xml:space="preserve"/>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x</w:t>
        <w:br w:clear="none"/>
      </w:r>
      <w:r>
        <w:rPr>
          <w:rStyle w:val="Text11"/>
        </w:rPr>
        <w:t xml:space="preserve">              </w:t>
        <w:br w:clear="none"/>
      </w:r>
      <w:r>
        <w:t xml:space="preserve"># key step: store the object back!</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s</w:t>
        <w:br w:clear="none"/>
      </w:r>
      <w:r>
        <w:rPr>
          <w:rStyle w:val="Text19"/>
        </w:rPr>
        <w:t xml:space="preserve">[</w:t>
        <w:br w:clear="none"/>
      </w:r>
      <w:r>
        <w:rPr>
          <w:rStyle w:val="Text17"/>
        </w:rPr>
        <w:t xml:space="preserve">'</w:t>
        <w:br w:clear="none"/>
        <w:t xml:space="preserve">akey</w:t>
        <w:br w:clear="none"/>
        <w:t xml:space="preserve">'</w:t>
        <w:br w:clear="none"/>
      </w:r>
      <w:r>
        <w:rPr>
          <w:rStyle w:val="Text19"/>
        </w:rPr>
        <w:t xml:space="preserve">]</w:t>
        <w:br w:clear="none"/>
        <w:t xml:space="preserve">)</w:t>
        <w:br w:clear="none"/>
      </w:r>
      <w:r>
        <w:rPr>
          <w:rStyle w:val="Text11"/>
        </w:rPr>
        <w:t xml:space="preserve">           </w:t>
        <w:br w:clear="none"/>
      </w:r>
      <w:r>
        <w:t xml:space="preserve"># now it "takes", prints: [0, 1, 2, 3, 9]</w:t>
        <w:br w:clear="none"/>
      </w:r>
    </w:p>
    <w:p>
      <w:pPr>
        <w:pStyle w:val="Normal"/>
      </w:pPr>
      <w:r>
        <w:t xml:space="preserve">You can finesse this issue by passing the named argument </w:t>
      </w:r>
      <w:r>
        <w:rPr>
          <w:rStyle w:val="Text0"/>
        </w:rPr>
        <w:t>writeback=</w:t>
      </w:r>
      <w:r>
        <w:rPr>
          <w:rStyle w:val="Text5"/>
        </w:rPr>
        <w:t>True</w:t>
      </w:r>
      <w:r>
        <w:t xml:space="preserve"> when you call </w:t>
      </w:r>
      <w:r>
        <w:rPr>
          <w:rStyle w:val="Text0"/>
        </w:rPr>
        <w:t>shelve.open</w:t>
      </w:r>
      <w:r>
        <w:t xml:space="preserve">, but this can seriously impair the performance of your </w:t>
        <w:t>program</w:t>
        <w:t>.</w:t>
      </w:r>
    </w:p>
    <w:p>
      <w:bookmarkStart w:id="2980" w:name="A_shelving_example__The_followin"/>
      <w:pPr>
        <w:keepNext/>
        <w:pStyle w:val="Heading 2"/>
      </w:pPr>
      <w:r>
        <w:t>A shelving example</w:t>
      </w:r>
      <w:bookmarkEnd w:id="2980"/>
    </w:p>
    <w:p>
      <w:pPr>
        <w:pStyle w:val="Normal"/>
      </w:pPr>
      <w:r>
        <w:t xml:space="preserve">The following example handles the same task as the earlier </w:t>
      </w:r>
      <w:r>
        <w:rPr>
          <w:rStyle w:val="Text0"/>
        </w:rPr>
        <w:t>json</w:t>
      </w:r>
      <w:r>
        <w:t xml:space="preserve"> and </w:t>
      </w:r>
      <w:r>
        <w:rPr>
          <w:rStyle w:val="Text0"/>
        </w:rPr>
        <w:t>pickle</w:t>
      </w:r>
      <w:r>
        <w:t xml:space="preserve"> examples, but uses </w:t>
      </w:r>
      <w:r>
        <w:rPr>
          <w:rStyle w:val="Text0"/>
        </w:rPr>
        <w:t>shelve</w:t>
      </w:r>
      <w:r>
        <w:t xml:space="preserve"> to persist lists of </w:t>
      </w:r>
      <w:r>
        <w:rPr>
          <w:rStyle w:val="Text0"/>
        </w:rPr>
        <w:t>(</w:t>
      </w:r>
      <w:r>
        <w:rPr>
          <w:rStyle w:val="Text3"/>
        </w:rPr>
        <w:t>filename</w:t>
      </w:r>
      <w:r>
        <w:rPr>
          <w:rStyle w:val="Text0"/>
        </w:rPr>
        <w:t>,</w:t>
      </w:r>
      <w:r>
        <w:t xml:space="preserve"> </w:t>
      </w:r>
      <w:r>
        <w:rPr>
          <w:rStyle w:val="Text3"/>
        </w:rPr>
        <w:t>linenumber</w:t>
      </w:r>
      <w:r>
        <w:rPr>
          <w:rStyle w:val="Text0"/>
        </w:rPr>
        <w:t>)</w:t>
      </w:r>
      <w:r>
        <w:t xml:space="preserve"> pairs: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collections</w:t>
        <w:br w:clear="none"/>
      </w:r>
      <w:r>
        <w:rPr>
          <w:rStyle w:val="Text13"/>
        </w:rPr>
        <w:t xml:space="preserve">,</w:t>
        <w:br w:clear="none"/>
      </w:r>
      <w:r>
        <w:rPr>
          <w:rStyle w:val="Text6"/>
        </w:rPr>
        <w:t xml:space="preserve"> </w:t>
        <w:br w:clear="none"/>
      </w:r>
      <w:r>
        <w:rPr>
          <w:rStyle w:val="Text20"/>
        </w:rPr>
        <w:t xml:space="preserve">fileinput</w:t>
        <w:br w:clear="none"/>
      </w:r>
      <w:r>
        <w:rPr>
          <w:rStyle w:val="Text13"/>
        </w:rPr>
        <w:t xml:space="preserve">,</w:t>
        <w:br w:clear="none"/>
      </w:r>
      <w:r>
        <w:rPr>
          <w:rStyle w:val="Text6"/>
        </w:rPr>
        <w:t xml:space="preserve"> </w:t>
        <w:br w:clear="none"/>
      </w:r>
      <w:r>
        <w:rPr>
          <w:rStyle w:val="Text20"/>
        </w:rPr>
        <w:t xml:space="preserve">shelve</w:t>
        <w:br w:clear="none"/>
      </w:r>
      <w:r>
        <w:rPr>
          <w:rStyle w:val="Text6"/>
        </w:rPr>
        <w:t xml:space="preserve"/>
        <w:br w:clear="none"/>
      </w:r>
      <w:r>
        <w:t xml:space="preserve">word_pos</w:t>
        <w:br w:clear="none"/>
      </w:r>
      <w:r>
        <w:rPr>
          <w:rStyle w:val="Text6"/>
        </w:rPr>
        <w:t xml:space="preserve"> </w:t>
        <w:br w:clear="none"/>
      </w:r>
      <w:r>
        <w:rPr>
          <w:rStyle w:val="Text13"/>
        </w:rPr>
        <w:t xml:space="preserve">=</w:t>
        <w:br w:clear="none"/>
      </w:r>
      <w:r>
        <w:rPr>
          <w:rStyle w:val="Text6"/>
        </w:rPr>
        <w:t xml:space="preserve"> </w:t>
        <w:br w:clear="none"/>
      </w:r>
      <w:r>
        <w:t xml:space="preserve">collections</w:t>
        <w:br w:clear="none"/>
      </w:r>
      <w:r>
        <w:rPr>
          <w:rStyle w:val="Text13"/>
        </w:rPr>
        <w:t xml:space="preserve">.</w:t>
        <w:br w:clear="none"/>
      </w:r>
      <w:r>
        <w:t xml:space="preserve">defaultdict</w:t>
        <w:br w:clear="none"/>
      </w:r>
      <w:r>
        <w:rPr>
          <w:rStyle w:val="Text7"/>
        </w:rPr>
        <w:t xml:space="preserve">(</w:t>
        <w:br w:clear="none"/>
      </w:r>
      <w:r>
        <w:rPr>
          <w:rStyle w:val="Text16"/>
        </w:rPr>
        <w:t xml:space="preserve">list</w:t>
        <w:br w:clear="none"/>
      </w:r>
      <w:r>
        <w:rPr>
          <w:rStyle w:val="Text7"/>
        </w:rPr>
        <w:t xml:space="preserve">)</w:t>
        <w:br w:clear="none"/>
      </w:r>
      <w:r>
        <w:rPr>
          <w:rStyle w:val="Text6"/>
        </w:rPr>
        <w:t xml:space="preserve"/>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pos</w:t>
        <w:br w:clear="none"/>
      </w:r>
      <w:r>
        <w:rPr>
          <w:rStyle w:val="Text6"/>
        </w:rPr>
        <w:t xml:space="preserve"> </w:t>
        <w:br w:clear="none"/>
      </w:r>
      <w:r>
        <w:rPr>
          <w:rStyle w:val="Text13"/>
        </w:rPr>
        <w:t xml:space="preserve">=</w:t>
        <w:br w:clear="none"/>
      </w:r>
      <w:r>
        <w:rPr>
          <w:rStyle w:val="Text6"/>
        </w:rPr>
        <w:t xml:space="preserve"> </w:t>
        <w:br w:clear="none"/>
      </w:r>
      <w:r>
        <w:t xml:space="preserve">fileinput</w:t>
        <w:br w:clear="none"/>
      </w:r>
      <w:r>
        <w:rPr>
          <w:rStyle w:val="Text13"/>
        </w:rPr>
        <w:t xml:space="preserve">.</w:t>
        <w:br w:clear="none"/>
      </w:r>
      <w:r>
        <w:t xml:space="preserve">filename</w:t>
        <w:br w:clear="none"/>
      </w:r>
      <w:r>
        <w:rPr>
          <w:rStyle w:val="Text7"/>
        </w:rPr>
        <w:t xml:space="preserve">(</w:t>
        <w:br w:clear="none"/>
        <w:t xml:space="preserve">)</w:t>
        <w:br w:clear="none"/>
        <w:t xml:space="preserve">,</w:t>
        <w:br w:clear="none"/>
      </w:r>
      <w:r>
        <w:rPr>
          <w:rStyle w:val="Text6"/>
        </w:rPr>
        <w:t xml:space="preserve"> </w:t>
        <w:br w:clear="none"/>
      </w:r>
      <w:r>
        <w:t xml:space="preserve">fileinput</w:t>
        <w:br w:clear="none"/>
      </w:r>
      <w:r>
        <w:rPr>
          <w:rStyle w:val="Text13"/>
        </w:rPr>
        <w:t xml:space="preserve">.</w:t>
        <w:br w:clear="none"/>
      </w:r>
      <w:r>
        <w:t xml:space="preserve">filelineno</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line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word_pos</w:t>
        <w:br w:clear="none"/>
      </w:r>
      <w:r>
        <w:rPr>
          <w:rStyle w:val="Text7"/>
        </w:rPr>
        <w:t xml:space="preserve">[</w:t>
        <w:br w:clear="none"/>
      </w:r>
      <w:r>
        <w:t xml:space="preserve">word</w:t>
        <w:br w:clear="none"/>
      </w:r>
      <w:r>
        <w:rPr>
          <w:rStyle w:val="Text7"/>
        </w:rPr>
        <w:t xml:space="preserve">]</w:t>
        <w:br w:clear="none"/>
      </w:r>
      <w:r>
        <w:rPr>
          <w:rStyle w:val="Text13"/>
        </w:rPr>
        <w:t xml:space="preserve">.</w:t>
        <w:br w:clear="none"/>
      </w:r>
      <w:r>
        <w:t xml:space="preserve">append</w:t>
        <w:br w:clear="none"/>
      </w:r>
      <w:r>
        <w:rPr>
          <w:rStyle w:val="Text7"/>
        </w:rPr>
        <w:t xml:space="preserve">(</w:t>
        <w:br w:clear="none"/>
      </w:r>
      <w:r>
        <w:t xml:space="preserve">pos</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shelve</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indexfiles</w:t>
        <w:br w:clear="none"/>
        <w:t xml:space="preserve">'</w:t>
        <w:br w:clear="none"/>
      </w:r>
      <w:r>
        <w:rPr>
          <w:rStyle w:val="Text7"/>
        </w:rPr>
        <w:t xml:space="preserve">,</w:t>
        <w:br w:clear="none"/>
      </w:r>
      <w:r>
        <w:rPr>
          <w:rStyle w:val="Text8"/>
        </w:rPr>
        <w:t xml:space="preserve">'</w:t>
        <w:br w:clear="none"/>
        <w:t xml:space="preserve">n</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sh_out</w:t>
        <w:br w:clear="none"/>
      </w:r>
      <w:r>
        <w:rPr>
          <w:rStyle w:val="Text7"/>
        </w:rPr>
        <w:t xml:space="preserve">:</w:t>
        <w:br w:clear="none"/>
      </w:r>
      <w:r>
        <w:rPr>
          <w:rStyle w:val="Text6"/>
        </w:rPr>
        <w:t xml:space="preserve"/>
        <w:br w:clear="none"/>
        <w:t xml:space="preserve">    </w:t>
        <w:br w:clear="none"/>
      </w:r>
      <w:r>
        <w:t xml:space="preserve">sh_out</w:t>
        <w:br w:clear="none"/>
      </w:r>
      <w:r>
        <w:rPr>
          <w:rStyle w:val="Text13"/>
        </w:rPr>
        <w:t xml:space="preserve">.</w:t>
        <w:br w:clear="none"/>
      </w:r>
      <w:r>
        <w:t xml:space="preserve">update</w:t>
        <w:br w:clear="none"/>
      </w:r>
      <w:r>
        <w:rPr>
          <w:rStyle w:val="Text7"/>
        </w:rPr>
        <w:t xml:space="preserve">(</w:t>
        <w:br w:clear="none"/>
      </w:r>
      <w:r>
        <w:t xml:space="preserve">word_pos</w:t>
        <w:br w:clear="none"/>
      </w:r>
      <w:r>
        <w:rPr>
          <w:rStyle w:val="Text7"/>
        </w:rPr>
        <w:t xml:space="preserve">)</w:t>
        <w:br w:clear="none"/>
      </w:r>
    </w:p>
    <w:p>
      <w:pPr>
        <w:pStyle w:val="Normal"/>
      </w:pPr>
      <w:r>
        <w:t xml:space="preserve">We must then use </w:t>
      </w:r>
      <w:r>
        <w:rPr>
          <w:rStyle w:val="Text0"/>
        </w:rPr>
        <w:t>shelve</w:t>
      </w:r>
      <w:r>
        <w:t xml:space="preserve"> to read back the data stored to the DBM-like file </w:t>
      </w:r>
      <w:r>
        <w:rPr>
          <w:rStyle w:val="Text4"/>
        </w:rPr>
        <w:t>indexfiles</w:t>
      </w:r>
      <w:r>
        <w:t>, as shown in the following example: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sys</w:t>
        <w:br w:clear="none"/>
      </w:r>
      <w:r>
        <w:rPr>
          <w:rStyle w:val="Text13"/>
        </w:rPr>
        <w:t xml:space="preserve">,</w:t>
        <w:br w:clear="none"/>
      </w:r>
      <w:r>
        <w:rPr>
          <w:rStyle w:val="Text6"/>
        </w:rPr>
        <w:t xml:space="preserve"> </w:t>
        <w:br w:clear="none"/>
      </w:r>
      <w:r>
        <w:rPr>
          <w:rStyle w:val="Text20"/>
        </w:rPr>
        <w:t xml:space="preserve">shelve</w:t>
        <w:br w:clear="none"/>
      </w:r>
      <w:r>
        <w:rPr>
          <w:rStyle w:val="Text13"/>
        </w:rPr>
        <w:t xml:space="preserve">,</w:t>
        <w:br w:clear="none"/>
      </w:r>
      <w:r>
        <w:rPr>
          <w:rStyle w:val="Text6"/>
        </w:rPr>
        <w:t xml:space="preserve"> </w:t>
        <w:br w:clear="none"/>
      </w:r>
      <w:r>
        <w:rPr>
          <w:rStyle w:val="Text20"/>
        </w:rPr>
        <w:t xml:space="preserve">linecache</w:t>
        <w:br w:clear="none"/>
      </w:r>
      <w:r>
        <w:rPr>
          <w:rStyle w:val="Text6"/>
        </w:rPr>
        <w:t xml:space="preserve"/>
        <w:br w:clear="none"/>
      </w:r>
      <w:r>
        <w:rPr>
          <w:rStyle w:val="Text10"/>
        </w:rPr>
        <w:t xml:space="preserve">with</w:t>
        <w:br w:clear="none"/>
      </w:r>
      <w:r>
        <w:rPr>
          <w:rStyle w:val="Text6"/>
        </w:rPr>
        <w:t xml:space="preserve"> </w:t>
        <w:br w:clear="none"/>
      </w:r>
      <w:r>
        <w:t xml:space="preserve">shelve</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indexfiles</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sh_in</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sys</w:t>
        <w:br w:clear="none"/>
      </w:r>
      <w:r>
        <w:rPr>
          <w:rStyle w:val="Text13"/>
        </w:rPr>
        <w:t xml:space="preserve">.</w:t>
        <w:br w:clear="none"/>
      </w:r>
      <w:r>
        <w:t xml:space="preserve">argv</w:t>
        <w:br w:clear="none"/>
      </w:r>
      <w:r>
        <w:rPr>
          <w:rStyle w:val="Text7"/>
        </w:rPr>
        <w:t xml:space="preserve">[</w:t>
        <w:br w:clear="none"/>
      </w:r>
      <w:r>
        <w:rPr>
          <w:rStyle w:val="Text27"/>
        </w:rPr>
        <w:t xml:space="preserve">1</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39"/>
        </w:rPr>
        <w:t xml:space="preserve">if</w:t>
        <w:br w:clear="none"/>
      </w:r>
      <w:r>
        <w:rPr>
          <w:rStyle w:val="Text6"/>
        </w:rPr>
        <w:t xml:space="preserve"> </w:t>
        <w:br w:clear="none"/>
      </w:r>
      <w:r>
        <w:t xml:space="preserve">word</w:t>
        <w:br w:clear="none"/>
      </w:r>
      <w:r>
        <w:rPr>
          <w:rStyle w:val="Text6"/>
        </w:rPr>
        <w:t xml:space="preserve"> </w:t>
        <w:br w:clear="none"/>
      </w:r>
      <w:r>
        <w:rPr>
          <w:rStyle w:val="Text31"/>
        </w:rPr>
        <w:t xml:space="preserve">not</w:t>
        <w:br w:clear="none"/>
      </w:r>
      <w:r>
        <w:rPr>
          <w:rStyle w:val="Text29"/>
        </w:rPr>
        <w:t xml:space="preserve"> </w:t>
        <w:br w:clear="none"/>
      </w:r>
      <w:r>
        <w:rPr>
          <w:rStyle w:val="Text31"/>
        </w:rPr>
        <w:t xml:space="preserve">in</w:t>
        <w:br w:clear="none"/>
      </w:r>
      <w:r>
        <w:rPr>
          <w:rStyle w:val="Text6"/>
        </w:rPr>
        <w:t xml:space="preserve"> </w:t>
        <w:br w:clear="none"/>
      </w:r>
      <w:r>
        <w:t xml:space="preserve">sh_in</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not found in index file</w:t>
        <w:br w:clear="none"/>
        <w:t xml:space="preserve">'</w:t>
        <w:br w:clear="none"/>
      </w:r>
      <w:r>
        <w:rPr>
          <w:rStyle w:val="Text7"/>
        </w:rPr>
        <w:t xml:space="preserve">,</w:t>
        <w:br w:clear="none"/>
      </w:r>
      <w:r>
        <w:rPr>
          <w:rStyle w:val="Text6"/>
        </w:rPr>
        <w:t xml:space="preserve"/>
        <w:br w:clear="none"/>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continue</w:t>
        <w:br w:clear="none"/>
      </w:r>
      <w:r>
        <w:rPr>
          <w:rStyle w:val="Text6"/>
        </w:rPr>
        <w:t xml:space="preserve"/>
        <w:br w:clear="none"/>
        <w:t xml:space="preserve">        </w:t>
        <w:br w:clear="none"/>
      </w:r>
      <w:r>
        <w:t xml:space="preserve">places</w:t>
        <w:br w:clear="none"/>
      </w:r>
      <w:r>
        <w:rPr>
          <w:rStyle w:val="Text6"/>
        </w:rPr>
        <w:t xml:space="preserve"> </w:t>
        <w:br w:clear="none"/>
      </w:r>
      <w:r>
        <w:rPr>
          <w:rStyle w:val="Text13"/>
        </w:rPr>
        <w:t xml:space="preserve">=</w:t>
        <w:br w:clear="none"/>
      </w:r>
      <w:r>
        <w:rPr>
          <w:rStyle w:val="Text6"/>
        </w:rPr>
        <w:t xml:space="preserve"> </w:t>
        <w:br w:clear="none"/>
      </w:r>
      <w:r>
        <w:t xml:space="preserve">sh_in</w:t>
        <w:br w:clear="none"/>
      </w:r>
      <w:r>
        <w:rPr>
          <w:rStyle w:val="Text7"/>
        </w:rPr>
        <w:t xml:space="preserve">[</w:t>
        <w:br w:clear="none"/>
      </w:r>
      <w:r>
        <w:t xml:space="preserve">word</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6"/>
        </w:rPr>
        <w:t xml:space="preserve"> </w:t>
        <w:br w:clear="none"/>
      </w:r>
      <w:r>
        <w:rPr>
          <w:rStyle w:val="Text31"/>
        </w:rPr>
        <w:t xml:space="preserve">in</w:t>
        <w:br w:clear="none"/>
      </w:r>
      <w:r>
        <w:rPr>
          <w:rStyle w:val="Text6"/>
        </w:rPr>
        <w:t xml:space="preserve"> </w:t>
        <w:br w:clear="none"/>
      </w:r>
      <w:r>
        <w:t xml:space="preserve">places</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occurs in line </w:t>
        <w:br w:clear="none"/>
      </w:r>
      <w:r>
        <w:rPr>
          <w:rStyle w:val="Text32"/>
        </w:rPr>
        <w:t xml:space="preserve">{</w:t>
        <w:br w:clear="none"/>
      </w:r>
      <w:r>
        <w:t xml:space="preserve">lineno</w:t>
        <w:br w:clear="none"/>
      </w:r>
      <w:r>
        <w:rPr>
          <w:rStyle w:val="Text32"/>
        </w:rPr>
        <w:t xml:space="preserve">}</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of file </w:t>
        <w:br w:clear="none"/>
      </w:r>
      <w:r>
        <w:rPr>
          <w:rStyle w:val="Text32"/>
        </w:rPr>
        <w:t xml:space="preserve">{</w:t>
        <w:br w:clear="none"/>
      </w:r>
      <w:r>
        <w:t xml:space="preserve">fname</w:t>
        <w:br w:clear="none"/>
      </w:r>
      <w:r>
        <w:rPr>
          <w:rStyle w:val="Text32"/>
        </w:rPr>
        <w:t xml:space="preserve">!r}</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linecache</w:t>
        <w:br w:clear="none"/>
      </w:r>
      <w:r>
        <w:rPr>
          <w:rStyle w:val="Text13"/>
        </w:rPr>
        <w:t xml:space="preserve">.</w:t>
        <w:br w:clear="none"/>
      </w:r>
      <w:r>
        <w:t xml:space="preserve">getline</w:t>
        <w:br w:clear="none"/>
      </w:r>
      <w:r>
        <w:rPr>
          <w:rStyle w:val="Text7"/>
        </w:rPr>
        <w:t xml:space="preserve">(</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7"/>
        </w:rPr>
        <w:t xml:space="preserve">)</w:t>
        <w:br w:clear="none"/>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p>
      <w:pPr>
        <w:pStyle w:val="Normal"/>
      </w:pPr>
      <w:r>
        <w:t xml:space="preserve">These two examples are the simplest and most direct of the various equivalent pairs of examples shown throughout this section. This reflects the fact that </w:t>
      </w:r>
      <w:r>
        <w:rPr>
          <w:rStyle w:val="Text0"/>
        </w:rPr>
        <w:t>shelve</w:t>
      </w:r>
      <w:r>
        <w:t xml:space="preserve"> is higher level than the modules used in previous examples.</w:t>
      </w:r>
      <w:r>
        <w:rPr>
          <w:rStyle w:val="Text111"/>
        </w:rPr>
        <w:bookmarkStart w:id="2981" w:name="idm45965198626016"/>
        <w:t/>
        <w:bookmarkEnd w:id="2981"/>
        <w:bookmarkStart w:id="2982" w:name="idm45965198624512"/>
        <w:t/>
        <w:bookmarkEnd w:id="2982"/>
      </w:r>
    </w:p>
    <w:p>
      <w:bookmarkStart w:id="2983" w:name="DBM_Modules__DBM__a_longtime_Uni"/>
      <w:pPr>
        <w:keepNext/>
        <w:pStyle w:val="Heading 1"/>
      </w:pPr>
      <w:r>
        <w:t>DBM Modules</w:t>
      </w:r>
      <w:bookmarkEnd w:id="2983"/>
    </w:p>
    <w:p>
      <w:pPr>
        <w:pStyle w:val="Normal"/>
      </w:pPr>
      <w:hyperlink r:id="rId403">
        <w:r>
          <w:rPr>
            <w:rStyle w:val="Text1"/>
          </w:rPr>
          <w:t>DBM</w:t>
        </w:r>
      </w:hyperlink>
      <w:r>
        <w:t>, a</w:t>
      </w:r>
      <w:r>
        <w:rPr>
          <w:rStyle w:val="Text111"/>
        </w:rPr>
        <w:bookmarkStart w:id="2984" w:name="DBMmod12"/>
        <w:t/>
        <w:bookmarkEnd w:id="2984"/>
        <w:bookmarkStart w:id="2985" w:name="dataman12"/>
        <w:t/>
        <w:bookmarkEnd w:id="2985"/>
        <w:bookmarkStart w:id="2986" w:name="PADdbm12"/>
        <w:t/>
        <w:bookmarkEnd w:id="2986"/>
        <w:bookmarkStart w:id="2987" w:name="idm45965198638800"/>
        <w:t/>
        <w:bookmarkEnd w:id="2987"/>
      </w:r>
      <w:r>
        <w:t xml:space="preserve"> longtime Unix mainstay, is a family of libraries supporting data files containing pairs of bytestrings </w:t>
      </w:r>
      <w:r>
        <w:rPr>
          <w:rStyle w:val="Text0"/>
        </w:rPr>
        <w:t>(</w:t>
      </w:r>
      <w:r>
        <w:rPr>
          <w:rStyle w:val="Text3"/>
        </w:rPr>
        <w:t>key</w:t>
      </w:r>
      <w:r>
        <w:rPr>
          <w:rStyle w:val="Text0"/>
        </w:rPr>
        <w:t>,</w:t>
      </w:r>
      <w:r>
        <w:t xml:space="preserve"> </w:t>
      </w:r>
      <w:r>
        <w:rPr>
          <w:rStyle w:val="Text3"/>
        </w:rPr>
        <w:t>data</w:t>
      </w:r>
      <w:r>
        <w:rPr>
          <w:rStyle w:val="Text0"/>
        </w:rPr>
        <w:t>)</w:t>
      </w:r>
      <w:r>
        <w:t>. DBM offers fast fetching and storing of the data given a key, a usage pattern known as</w:t>
      </w:r>
      <w:r>
        <w:rPr>
          <w:rStyle w:val="Text111"/>
        </w:rPr>
        <w:bookmarkStart w:id="2988" w:name="idm45965198587008"/>
        <w:t/>
        <w:bookmarkEnd w:id="2988"/>
      </w:r>
      <w:r>
        <w:t xml:space="preserve"> </w:t>
      </w:r>
      <w:r>
        <w:rPr>
          <w:rStyle w:val="Text4"/>
        </w:rPr>
        <w:t>keyed access</w:t>
      </w:r>
      <w:r>
        <w:t>. Keyed access, while nowhere near as powerful as the data access functionality of relational DBs, imposes less overhead, and it may suffice for some programs’ needs. If DBM-like files are sufficient for your purposes, with this approach you can end up with a program that is smaller and faster than one using a relational DB.</w:t>
      </w:r>
    </w:p>
    <w:p>
      <w:pPr>
        <w:keepNext/>
        <w:pStyle w:val="Heading 5"/>
        <w:keepLines w:val="on"/>
      </w:pPr>
      <w:r>
        <w:t>DBM Databases Are Bytes-Oriented</w:t>
      </w:r>
    </w:p>
    <w:p>
      <w:pPr>
        <w:pStyle w:val="Para 012"/>
        <w:keepLines w:val="on"/>
      </w:pPr>
      <w:r>
        <w:t>DBM databases require both keys and values to be bytes values. You will see in the example included later that the text input is explicitly encoded in UTF-8 before storage. Similarly, the inverse decoding must be performed when reading back the values.</w:t>
      </w:r>
    </w:p>
    <w:p>
      <w:pPr>
        <w:pStyle w:val="Normal"/>
      </w:pPr>
      <w:r>
        <w:t xml:space="preserve">DBM support in Python’s standard library is organized in a clean and elegant way: the </w:t>
      </w:r>
      <w:r>
        <w:rPr>
          <w:rStyle w:val="Text0"/>
        </w:rPr>
        <w:t>dbm</w:t>
      </w:r>
      <w:r>
        <w:t xml:space="preserve"> package exposes two general functions, and within the same package live other modules supplying specific implementations.</w:t>
      </w:r>
    </w:p>
    <w:p>
      <w:pPr>
        <w:keepNext/>
        <w:pStyle w:val="Heading 5"/>
        <w:keepLines w:val="on"/>
      </w:pPr>
      <w:r>
        <w:t>Berkeley DB Interfacing</w:t>
      </w:r>
    </w:p>
    <w:p>
      <w:pPr>
        <w:pStyle w:val="Para 012"/>
        <w:keepLines w:val="on"/>
      </w:pPr>
      <w:r>
        <w:t>The</w:t>
      </w:r>
      <w:r>
        <w:rPr>
          <w:rStyle w:val="Text111"/>
        </w:rPr>
        <w:bookmarkStart w:id="2989" w:name="idm45965198581872"/>
        <w:t/>
        <w:bookmarkEnd w:id="2989"/>
      </w:r>
      <w:r>
        <w:t xml:space="preserve"> </w:t>
      </w:r>
      <w:r>
        <w:rPr>
          <w:rStyle w:val="Text0"/>
        </w:rPr>
        <w:t>bsddb</w:t>
      </w:r>
      <w:r>
        <w:t xml:space="preserve"> module has been removed from the Python standard library. If you need to interface to a BSD DB archive, we recommend the excellent third-party package</w:t>
      </w:r>
      <w:r>
        <w:rPr>
          <w:rStyle w:val="Text111"/>
        </w:rPr>
        <w:bookmarkStart w:id="2990" w:name="idm45965198580144"/>
        <w:t/>
        <w:bookmarkEnd w:id="2990"/>
      </w:r>
      <w:r>
        <w:t xml:space="preserve"> </w:t>
      </w:r>
      <w:hyperlink r:id="rId404">
        <w:r>
          <w:rPr>
            <w:rStyle w:val="Text1"/>
          </w:rPr>
          <w:t>bsddb3</w:t>
        </w:r>
      </w:hyperlink>
      <w:r>
        <w:t>.</w:t>
      </w:r>
    </w:p>
    <w:p>
      <w:bookmarkStart w:id="2991" w:name="The_dbm_Package__The_dbm_package"/>
      <w:pPr>
        <w:keepNext/>
        <w:pStyle w:val="Heading 2"/>
      </w:pPr>
      <w:r>
        <w:t>The dbm Package</w:t>
      </w:r>
      <w:bookmarkEnd w:id="2991"/>
    </w:p>
    <w:p>
      <w:pPr>
        <w:pStyle w:val="Normal"/>
      </w:pPr>
      <w:r>
        <w:t xml:space="preserve">The </w:t>
      </w:r>
      <w:r>
        <w:rPr>
          <w:rStyle w:val="Text0"/>
        </w:rPr>
        <w:t>dbm</w:t>
      </w:r>
      <w:r>
        <w:t xml:space="preserve"> package provides the top-level functions described in </w:t>
      </w:r>
      <w:hyperlink w:anchor="Table_12_6__Functions_of_the_dbm">
        <w:r>
          <w:rPr>
            <w:rStyle w:val="Text1"/>
          </w:rPr>
          <w:t>Table 12-6</w:t>
        </w:r>
      </w:hyperlink>
      <w:r>
        <w:t>.</w:t>
      </w:r>
    </w:p>
    <w:p>
      <w:pPr>
        <w:pStyle w:val="Para 022"/>
      </w:pPr>
      <w:r>
        <w:rPr>
          <w:rStyle w:val="Text0"/>
        </w:rPr>
        <w:t>dbm.open</w:t>
      </w:r>
      <w:r>
        <w:t xml:space="preserve"> returns a mapping object </w:t>
      </w:r>
      <w:r>
        <w:rPr>
          <w:rStyle w:val="Text3"/>
        </w:rPr>
        <w:t>m</w:t>
      </w:r>
      <w:r>
        <w:t xml:space="preserve"> with a subset of the functionality of dictionaries (covered in </w:t>
      </w:r>
      <w:hyperlink w:anchor="Dictionary_Operations__Python_pr">
        <w:r>
          <w:rPr>
            <w:rStyle w:val="Text1"/>
          </w:rPr>
          <w:t>“Dictionary Operations”</w:t>
        </w:r>
      </w:hyperlink>
      <w:r>
        <w:t xml:space="preserve">). </w:t>
      </w:r>
      <w:r>
        <w:rPr>
          <w:rStyle w:val="Text3"/>
        </w:rPr>
        <w:t>m</w:t>
      </w:r>
      <w:r>
        <w:t xml:space="preserve"> only accepts </w:t>
      </w:r>
      <w:r>
        <w:rPr>
          <w:rStyle w:val="Text0"/>
        </w:rPr>
        <w:t>bytes</w:t>
      </w:r>
      <w:r>
        <w:t xml:space="preserve"> as keys and values, and the only nonspecial mapping methods </w:t>
      </w:r>
      <w:r>
        <w:rPr>
          <w:rStyle w:val="Text3"/>
        </w:rPr>
        <w:t>m</w:t>
      </w:r>
      <w:r>
        <w:t xml:space="preserve"> supplies are </w:t>
      </w:r>
      <w:r>
        <w:rPr>
          <w:rStyle w:val="Text3"/>
        </w:rPr>
        <w:t>m</w:t>
      </w:r>
      <w:r>
        <w:rPr>
          <w:rStyle w:val="Text0"/>
        </w:rPr>
        <w:t>.get</w:t>
      </w:r>
      <w:r>
        <w:t xml:space="preserve">, </w:t>
      </w:r>
      <w:r>
        <w:rPr>
          <w:rStyle w:val="Text3"/>
        </w:rPr>
        <w:t>m</w:t>
      </w:r>
      <w:r>
        <w:rPr>
          <w:rStyle w:val="Text0"/>
        </w:rPr>
        <w:t>.keys</w:t>
      </w:r>
      <w:r>
        <w:t xml:space="preserve">, and </w:t>
      </w:r>
      <w:r>
        <w:rPr>
          <w:rStyle w:val="Text3"/>
        </w:rPr>
        <w:t>m</w:t>
      </w:r>
      <w:r>
        <w:rPr>
          <w:rStyle w:val="Text0"/>
        </w:rPr>
        <w:t>.setdefault</w:t>
      </w:r>
      <w:r>
        <w:t xml:space="preserve">. You can bind, rebind, access, and unbind items in </w:t>
      </w:r>
      <w:r>
        <w:rPr>
          <w:rStyle w:val="Text3"/>
        </w:rPr>
        <w:t>m</w:t>
      </w:r>
      <w:r>
        <w:t xml:space="preserve"> with the same indexing syntax </w:t>
      </w:r>
      <w:r>
        <w:rPr>
          <w:rStyle w:val="Text3"/>
        </w:rPr>
        <w:t>m</w:t>
      </w:r>
      <w:r>
        <w:rPr>
          <w:rStyle w:val="Text0"/>
        </w:rPr>
        <w:t>[</w:t>
      </w:r>
      <w:r>
        <w:rPr>
          <w:rStyle w:val="Text3"/>
        </w:rPr>
        <w:t>key</w:t>
      </w:r>
      <w:r>
        <w:rPr>
          <w:rStyle w:val="Text0"/>
        </w:rPr>
        <w:t>]</w:t>
      </w:r>
      <w:r>
        <w:t xml:space="preserve"> that you would use if </w:t>
      </w:r>
      <w:r>
        <w:rPr>
          <w:rStyle w:val="Text3"/>
        </w:rPr>
        <w:t>m</w:t>
      </w:r>
      <w:r>
        <w:t xml:space="preserve"> were a dictionary. If </w:t>
      </w:r>
      <w:r>
        <w:rPr>
          <w:rStyle w:val="Text0"/>
        </w:rPr>
        <w:t>flag</w:t>
      </w:r>
      <w:r>
        <w:t xml:space="preserve"> is </w:t>
      </w:r>
      <w:r>
        <w:rPr>
          <w:rStyle w:val="Text0"/>
        </w:rPr>
        <w:t>'r'</w:t>
      </w:r>
      <w:r>
        <w:t xml:space="preserve">, </w:t>
      </w:r>
      <w:r>
        <w:rPr>
          <w:rStyle w:val="Text3"/>
        </w:rPr>
        <w:t>m</w:t>
      </w:r>
      <w:r>
        <w:t xml:space="preserve"> is read-only, so that you can only access </w:t>
      </w:r>
      <w:r>
        <w:rPr>
          <w:rStyle w:val="Text3"/>
        </w:rPr>
        <w:t>m</w:t>
      </w:r>
      <w:r>
        <w:t xml:space="preserve">’s items, not bind, rebind, or unbind them. You can check if a string </w:t>
      </w:r>
      <w:r>
        <w:rPr>
          <w:rStyle w:val="Text3"/>
        </w:rPr>
        <w:t>s</w:t>
      </w:r>
      <w:r>
        <w:t xml:space="preserve"> is a key in </w:t>
      </w:r>
      <w:r>
        <w:rPr>
          <w:rStyle w:val="Text3"/>
        </w:rPr>
        <w:t>m</w:t>
      </w:r>
      <w:r>
        <w:t xml:space="preserve"> with the usual expression </w:t>
      </w:r>
      <w:r>
        <w:rPr>
          <w:rStyle w:val="Text3"/>
        </w:rPr>
        <w:t>s</w:t>
      </w:r>
      <w:r>
        <w:t xml:space="preserve"> </w:t>
      </w:r>
      <w:r>
        <w:rPr>
          <w:rStyle w:val="Text5"/>
        </w:rPr>
        <w:t>in</w:t>
      </w:r>
      <w:r>
        <w:t xml:space="preserve"> </w:t>
      </w:r>
      <w:r>
        <w:rPr>
          <w:rStyle w:val="Text3"/>
        </w:rPr>
        <w:t>m</w:t>
      </w:r>
      <w:r>
        <w:t xml:space="preserve">; you cannot iterate directly on </w:t>
      </w:r>
      <w:r>
        <w:rPr>
          <w:rStyle w:val="Text3"/>
        </w:rPr>
        <w:t>m</w:t>
      </w:r>
      <w:r>
        <w:t xml:space="preserve">, but you can, equivalently, iterate on </w:t>
      </w:r>
      <w:r>
        <w:rPr>
          <w:rStyle w:val="Text3"/>
        </w:rPr>
        <w:t>m</w:t>
      </w:r>
      <w:r>
        <w:rPr>
          <w:rStyle w:val="Text0"/>
        </w:rPr>
        <w:t>.keys()</w:t>
      </w:r>
      <w:r>
        <w:t>.</w:t>
        <w:br w:clear="none"/>
        <w:t xml:space="preserve"> One extra method that </w:t>
      </w:r>
      <w:r>
        <w:rPr>
          <w:rStyle w:val="Text3"/>
        </w:rPr>
        <w:t>m</w:t>
      </w:r>
      <w:r>
        <w:t xml:space="preserve"> supplies is </w:t>
      </w:r>
      <w:r>
        <w:rPr>
          <w:rStyle w:val="Text3"/>
        </w:rPr>
        <w:t>m</w:t>
      </w:r>
      <w:r>
        <w:rPr>
          <w:rStyle w:val="Text0"/>
        </w:rPr>
        <w:t>.close</w:t>
      </w:r>
      <w:r>
        <w:t xml:space="preserve">, with the same semantics as the </w:t>
      </w:r>
      <w:r>
        <w:rPr>
          <w:rStyle w:val="Text0"/>
        </w:rPr>
        <w:t>close</w:t>
      </w:r>
      <w:r>
        <w:t xml:space="preserve"> method of a file object. Just like for file objects, you should ensure </w:t>
      </w:r>
      <w:r>
        <w:rPr>
          <w:rStyle w:val="Text3"/>
        </w:rPr>
        <w:t>m</w:t>
      </w:r>
      <w:r>
        <w:rPr>
          <w:rStyle w:val="Text0"/>
        </w:rPr>
        <w:t>.close</w:t>
      </w:r>
      <w:r>
        <w:t xml:space="preserve"> is called when you’re done using </w:t>
      </w:r>
      <w:r>
        <w:rPr>
          <w:rStyle w:val="Text3"/>
        </w:rPr>
        <w:t>m</w:t>
      </w:r>
      <w:r>
        <w:t xml:space="preserve">. The </w:t>
      </w:r>
      <w:r>
        <w:rPr>
          <w:rStyle w:val="Text5"/>
        </w:rPr>
        <w:t>try</w:t>
      </w:r>
      <w:r>
        <w:rPr>
          <w:rStyle w:val="Text0"/>
        </w:rPr>
        <w:t>/</w:t>
      </w:r>
      <w:r>
        <w:rPr>
          <w:rStyle w:val="Text5"/>
        </w:rPr>
        <w:t>finally</w:t>
      </w:r>
      <w:r>
        <w:t xml:space="preserve"> statement (covered in </w:t>
      </w:r>
      <w:hyperlink w:anchor="try_finally__Here_s_the_syntax_f">
        <w:r>
          <w:rPr>
            <w:rStyle w:val="Text1"/>
          </w:rPr>
          <w:t>“try/finally”</w:t>
        </w:r>
      </w:hyperlink>
      <w:r>
        <w:t xml:space="preserve">) is one way to ensure finalization, but the </w:t>
      </w:r>
      <w:r>
        <w:rPr>
          <w:rStyle w:val="Text5"/>
        </w:rPr>
        <w:t>with</w:t>
      </w:r>
      <w:r>
        <w:t xml:space="preserve"> statement, covered in </w:t>
      </w:r>
      <w:hyperlink w:anchor="The_with_Statement_and_Context_M">
        <w:r>
          <w:rPr>
            <w:rStyle w:val="Text1"/>
          </w:rPr>
          <w:t>“The with Statement and Context Managers”</w:t>
        </w:r>
      </w:hyperlink>
      <w:r>
        <w:t xml:space="preserve">, is even better (you can use </w:t>
      </w:r>
      <w:r>
        <w:rPr>
          <w:rStyle w:val="Text5"/>
        </w:rPr>
        <w:t>with</w:t>
      </w:r>
      <w:r>
        <w:t xml:space="preserve">, since </w:t>
      </w:r>
      <w:r>
        <w:rPr>
          <w:rStyle w:val="Text3"/>
        </w:rPr>
        <w:t>m</w:t>
      </w:r>
      <w:r>
        <w:t xml:space="preserve"> is a context manager).</w:t>
      </w:r>
    </w:p>
    <w:tbl>
      <w:tblPr>
        <w:tblW w:type="auto" w:w="0"/>
      </w:tblPr>
      <w:tr>
        <w:tc>
          <w:tcPr>
            <w:tcW w:type="auto" w:w="0"/>
            <w:tcMar>
              <w:left w:type="dxa" w:w="200"/>
              <w:top w:type="dxa" w:w="200"/>
              <w:right w:type="dxa" w:w="200"/>
              <w:bottom w:type="dxa" w:w="200"/>
            </w:tcMar>
          </w:tcPr>
          <w:p>
            <w:bookmarkStart w:id="2992" w:name="Table_12_6__Functions_of_the_dbm"/>
            <w:pPr>
              <w:pStyle w:val="Para 011"/>
            </w:pPr>
            <w:r>
              <w:rPr>
                <w:rStyle w:val="Text117"/>
              </w:rPr>
              <w:t/>
            </w:r>
            <w:r>
              <w:t xml:space="preserve">Table 12-6. </w:t>
              <w:t xml:space="preserve">Functions of the </w:t>
            </w:r>
            <w:r>
              <w:rPr>
                <w:rStyle w:val="Text0"/>
              </w:rPr>
              <w:t>dbm</w:t>
            </w:r>
            <w:r>
              <w:t xml:space="preserve"> package</w:t>
            </w:r>
            <w:bookmarkEnd w:id="2992"/>
          </w:p>
          <w:p>
            <w:pPr>
              <w:pStyle w:val="Para 001"/>
            </w:pPr>
            <w:r>
              <w:t>open</w:t>
            </w:r>
          </w:p>
        </w:tc>
      </w:tr>
      <w:tr>
        <w:tc>
          <w:tcPr>
            <w:tcW w:type="auto" w:w="0"/>
            <w:tcMar>
              <w:left w:type="dxa" w:w="200"/>
              <w:top w:type="dxa" w:w="200"/>
              <w:right w:type="dxa" w:w="200"/>
              <w:bottom w:type="dxa" w:w="200"/>
            </w:tcMar>
            <w:vAlign w:val="center"/>
          </w:tcPr>
          <w:p>
            <w:bookmarkStart w:id="2993" w:name="Table_12_7__Flag_values_for_dbm"/>
            <w:pPr>
              <w:pStyle w:val="Para 089"/>
            </w:pPr>
            <w:r>
              <w:rPr>
                <w:rStyle w:val="Text122"/>
              </w:rPr>
              <w:t/>
            </w:r>
            <w:r>
              <w:t xml:space="preserve">Table 12-7. </w:t>
              <w:t xml:space="preserve">Flag values for </w:t>
            </w:r>
            <w:r>
              <w:rPr>
                <w:rStyle w:val="Text0"/>
              </w:rPr>
              <w:t>dbm.open</w:t>
            </w:r>
            <w:bookmarkEnd w:id="2993"/>
          </w:p>
          <w:p>
            <w:pPr>
              <w:pStyle w:val="Para 013"/>
            </w:pPr>
            <w:r>
              <w:t>Flag</w:t>
            </w:r>
          </w:p>
        </w:tc>
        <w:tc>
          <w:tcPr>
            <w:tcW w:type="auto" w:w="0"/>
            <w:tcMar>
              <w:left w:type="dxa" w:w="200"/>
              <w:top w:type="dxa" w:w="200"/>
              <w:right w:type="dxa" w:w="200"/>
              <w:bottom w:type="dxa" w:w="200"/>
            </w:tcMar>
            <w:vAlign w:val="center"/>
          </w:tcPr>
          <w:p>
            <w:pPr>
              <w:pStyle w:val="Para 013"/>
            </w:pPr>
            <w:r>
              <w:t>Read-only?</w:t>
            </w:r>
          </w:p>
        </w:tc>
        <w:tc>
          <w:tcPr>
            <w:tcW w:type="auto" w:w="0"/>
            <w:tcMar>
              <w:left w:type="dxa" w:w="200"/>
              <w:top w:type="dxa" w:w="200"/>
              <w:right w:type="dxa" w:w="200"/>
              <w:bottom w:type="dxa" w:w="200"/>
            </w:tcMar>
            <w:vAlign w:val="center"/>
          </w:tcPr>
          <w:p>
            <w:pPr>
              <w:pStyle w:val="Para 013"/>
            </w:pPr>
            <w:r>
              <w:t>If file exists:</w:t>
            </w:r>
          </w:p>
        </w:tc>
        <w:tc>
          <w:tcPr>
            <w:tcW w:type="auto" w:w="0"/>
            <w:tcMar>
              <w:left w:type="dxa" w:w="200"/>
              <w:top w:type="dxa" w:w="200"/>
              <w:right w:type="dxa" w:w="200"/>
              <w:bottom w:type="dxa" w:w="200"/>
            </w:tcMar>
            <w:vAlign w:val="center"/>
          </w:tcPr>
          <w:p>
            <w:pPr>
              <w:pStyle w:val="Para 013"/>
            </w:pPr>
            <w:r>
              <w:t>If file does not exist:</w:t>
            </w:r>
          </w:p>
        </w:tc>
      </w:tr>
      <w:tr>
        <w:tc>
          <w:tcPr>
            <w:tcW w:type="auto" w:w="0"/>
            <w:tcMar>
              <w:left w:type="dxa" w:w="200"/>
              <w:top w:type="dxa" w:w="200"/>
              <w:right w:type="dxa" w:w="200"/>
              <w:bottom w:type="dxa" w:w="200"/>
            </w:tcMar>
          </w:tcPr>
          <w:p>
            <w:pPr>
              <w:pStyle w:val="Para 001"/>
            </w:pPr>
            <w:r>
              <w:t>'r'</w:t>
            </w:r>
          </w:p>
        </w:tc>
        <w:tc>
          <w:tcPr>
            <w:tcW w:type="auto" w:w="0"/>
            <w:tcMar>
              <w:left w:type="dxa" w:w="200"/>
              <w:top w:type="dxa" w:w="200"/>
              <w:right w:type="dxa" w:w="200"/>
              <w:bottom w:type="dxa" w:w="200"/>
            </w:tcMar>
          </w:tcPr>
          <w:p>
            <w:pPr>
              <w:pStyle w:val="Para 002"/>
            </w:pPr>
            <w:r>
              <w:t>Yes</w:t>
            </w:r>
          </w:p>
        </w:tc>
        <w:tc>
          <w:tcPr>
            <w:tcW w:type="auto" w:w="0"/>
            <w:tcMar>
              <w:left w:type="dxa" w:w="200"/>
              <w:top w:type="dxa" w:w="200"/>
              <w:right w:type="dxa" w:w="200"/>
              <w:bottom w:type="dxa" w:w="200"/>
            </w:tcMar>
          </w:tcPr>
          <w:p>
            <w:pPr>
              <w:pStyle w:val="Para 002"/>
            </w:pPr>
            <w:r>
              <w:t>Opens the file</w:t>
            </w:r>
          </w:p>
        </w:tc>
        <w:tc>
          <w:tcPr>
            <w:tcW w:type="auto" w:w="0"/>
            <w:tcMar>
              <w:left w:type="dxa" w:w="200"/>
              <w:top w:type="dxa" w:w="200"/>
              <w:right w:type="dxa" w:w="200"/>
              <w:bottom w:type="dxa" w:w="200"/>
            </w:tcMar>
          </w:tcPr>
          <w:p>
            <w:pPr>
              <w:pStyle w:val="Para 002"/>
            </w:pPr>
            <w:r>
              <w:t>Raises error</w:t>
            </w:r>
          </w:p>
        </w:tc>
      </w:tr>
      <w:tr>
        <w:tc>
          <w:tcPr>
            <w:tcW w:type="auto" w:w="0"/>
            <w:shd w:val="clear" w:color="auto" w:fill="EEF2F6"/>
            <w:tcMar>
              <w:left w:type="dxa" w:w="200"/>
              <w:top w:type="dxa" w:w="200"/>
              <w:right w:type="dxa" w:w="200"/>
              <w:bottom w:type="dxa" w:w="200"/>
            </w:tcMar>
          </w:tcPr>
          <w:p>
            <w:pPr>
              <w:pStyle w:val="Para 001"/>
            </w:pPr>
            <w:r>
              <w:t>'w'</w:t>
            </w:r>
          </w:p>
        </w:tc>
        <w:tc>
          <w:tcPr>
            <w:tcW w:type="auto" w:w="0"/>
            <w:shd w:val="clear" w:color="auto" w:fill="EEF2F6"/>
            <w:tcMar>
              <w:left w:type="dxa" w:w="200"/>
              <w:top w:type="dxa" w:w="200"/>
              <w:right w:type="dxa" w:w="200"/>
              <w:bottom w:type="dxa" w:w="200"/>
            </w:tcMar>
          </w:tcPr>
          <w:p>
            <w:pPr>
              <w:pStyle w:val="Para 002"/>
            </w:pPr>
            <w:r>
              <w:t>No</w:t>
            </w:r>
          </w:p>
        </w:tc>
        <w:tc>
          <w:tcPr>
            <w:tcW w:type="auto" w:w="0"/>
            <w:shd w:val="clear" w:color="auto" w:fill="EEF2F6"/>
            <w:tcMar>
              <w:left w:type="dxa" w:w="200"/>
              <w:top w:type="dxa" w:w="200"/>
              <w:right w:type="dxa" w:w="200"/>
              <w:bottom w:type="dxa" w:w="200"/>
            </w:tcMar>
          </w:tcPr>
          <w:p>
            <w:pPr>
              <w:pStyle w:val="Para 002"/>
            </w:pPr>
            <w:r>
              <w:t>Opens the file</w:t>
            </w:r>
          </w:p>
        </w:tc>
        <w:tc>
          <w:tcPr>
            <w:tcW w:type="auto" w:w="0"/>
            <w:shd w:val="clear" w:color="auto" w:fill="EEF2F6"/>
            <w:tcMar>
              <w:left w:type="dxa" w:w="200"/>
              <w:top w:type="dxa" w:w="200"/>
              <w:right w:type="dxa" w:w="200"/>
              <w:bottom w:type="dxa" w:w="200"/>
            </w:tcMar>
          </w:tcPr>
          <w:p>
            <w:pPr>
              <w:pStyle w:val="Para 002"/>
            </w:pPr>
            <w:r>
              <w:t>Raises error</w:t>
            </w:r>
          </w:p>
        </w:tc>
      </w:tr>
      <w:tr>
        <w:tc>
          <w:tcPr>
            <w:tcW w:type="auto" w:w="0"/>
            <w:tcMar>
              <w:left w:type="dxa" w:w="200"/>
              <w:top w:type="dxa" w:w="200"/>
              <w:right w:type="dxa" w:w="200"/>
              <w:bottom w:type="dxa" w:w="200"/>
            </w:tcMar>
          </w:tcPr>
          <w:p>
            <w:pPr>
              <w:pStyle w:val="Para 001"/>
            </w:pPr>
            <w:r>
              <w:t>'c'</w:t>
            </w:r>
          </w:p>
        </w:tc>
        <w:tc>
          <w:tcPr>
            <w:tcW w:type="auto" w:w="0"/>
            <w:tcMar>
              <w:left w:type="dxa" w:w="200"/>
              <w:top w:type="dxa" w:w="200"/>
              <w:right w:type="dxa" w:w="200"/>
              <w:bottom w:type="dxa" w:w="200"/>
            </w:tcMar>
          </w:tcPr>
          <w:p>
            <w:pPr>
              <w:pStyle w:val="Para 002"/>
            </w:pPr>
            <w:r>
              <w:t>No</w:t>
            </w:r>
          </w:p>
        </w:tc>
        <w:tc>
          <w:tcPr>
            <w:tcW w:type="auto" w:w="0"/>
            <w:tcMar>
              <w:left w:type="dxa" w:w="200"/>
              <w:top w:type="dxa" w:w="200"/>
              <w:right w:type="dxa" w:w="200"/>
              <w:bottom w:type="dxa" w:w="200"/>
            </w:tcMar>
          </w:tcPr>
          <w:p>
            <w:pPr>
              <w:pStyle w:val="Para 002"/>
            </w:pPr>
            <w:r>
              <w:t>Opens the file</w:t>
            </w:r>
          </w:p>
        </w:tc>
        <w:tc>
          <w:tcPr>
            <w:tcW w:type="auto" w:w="0"/>
            <w:tcMar>
              <w:left w:type="dxa" w:w="200"/>
              <w:top w:type="dxa" w:w="200"/>
              <w:right w:type="dxa" w:w="200"/>
              <w:bottom w:type="dxa" w:w="200"/>
            </w:tcMar>
          </w:tcPr>
          <w:p>
            <w:pPr>
              <w:pStyle w:val="Para 002"/>
            </w:pPr>
            <w:r>
              <w:t>Creates the file</w:t>
            </w:r>
          </w:p>
        </w:tc>
      </w:tr>
      <w:tr>
        <w:tc>
          <w:tcPr>
            <w:tcW w:type="auto" w:w="0"/>
            <w:shd w:val="clear" w:color="auto" w:fill="EEF2F6"/>
            <w:tcMar>
              <w:left w:type="dxa" w:w="200"/>
              <w:top w:type="dxa" w:w="200"/>
              <w:right w:type="dxa" w:w="200"/>
              <w:bottom w:type="dxa" w:w="200"/>
            </w:tcMar>
          </w:tcPr>
          <w:p>
            <w:pPr>
              <w:pStyle w:val="Para 001"/>
            </w:pPr>
            <w:r>
              <w:t>'n'</w:t>
            </w:r>
          </w:p>
        </w:tc>
        <w:tc>
          <w:tcPr>
            <w:tcW w:type="auto" w:w="0"/>
            <w:shd w:val="clear" w:color="auto" w:fill="EEF2F6"/>
            <w:tcMar>
              <w:left w:type="dxa" w:w="200"/>
              <w:top w:type="dxa" w:w="200"/>
              <w:right w:type="dxa" w:w="200"/>
              <w:bottom w:type="dxa" w:w="200"/>
            </w:tcMar>
          </w:tcPr>
          <w:p>
            <w:pPr>
              <w:pStyle w:val="Para 002"/>
            </w:pPr>
            <w:r>
              <w:t>No</w:t>
            </w:r>
          </w:p>
        </w:tc>
        <w:tc>
          <w:tcPr>
            <w:tcW w:type="auto" w:w="0"/>
            <w:shd w:val="clear" w:color="auto" w:fill="EEF2F6"/>
            <w:tcMar>
              <w:left w:type="dxa" w:w="200"/>
              <w:top w:type="dxa" w:w="200"/>
              <w:right w:type="dxa" w:w="200"/>
              <w:bottom w:type="dxa" w:w="200"/>
            </w:tcMar>
          </w:tcPr>
          <w:p>
            <w:pPr>
              <w:pStyle w:val="Para 002"/>
            </w:pPr>
            <w:r>
              <w:t>Truncates the file</w:t>
            </w:r>
          </w:p>
        </w:tc>
        <w:tc>
          <w:tcPr>
            <w:tcW w:type="auto" w:w="0"/>
            <w:shd w:val="clear" w:color="auto" w:fill="EEF2F6"/>
            <w:tcMar>
              <w:left w:type="dxa" w:w="200"/>
              <w:top w:type="dxa" w:w="200"/>
              <w:right w:type="dxa" w:w="200"/>
              <w:bottom w:type="dxa" w:w="200"/>
            </w:tcMar>
          </w:tcPr>
          <w:p>
            <w:pPr>
              <w:pStyle w:val="Para 002"/>
            </w:pPr>
            <w:r>
              <w:t>Creates the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whichdb</w:t>
            </w:r>
          </w:p>
        </w:tc>
        <w:tc>
          <w:tcPr>
            <w:tcW w:type="auto" w:w="0"/>
            <w:shd w:val="clear" w:color="auto" w:fill="EEF2F6"/>
            <w:tcMar>
              <w:left w:type="dxa" w:w="200"/>
              <w:top w:type="dxa" w:w="200"/>
              <w:right w:type="dxa" w:w="200"/>
              <w:bottom w:type="dxa" w:w="200"/>
            </w:tcMar>
            <w:hMerge w:val="restart"/>
          </w:tcPr>
          <w:p>
            <w:pPr>
              <w:pStyle w:val="Para 002"/>
            </w:pPr>
            <w:r>
              <w:rPr>
                <w:rStyle w:val="Text0"/>
              </w:rPr>
              <w:t>whichdb(</w:t>
            </w:r>
            <w:r>
              <w:rPr>
                <w:rStyle w:val="Text3"/>
              </w:rPr>
              <w:t>filepath</w:t>
            </w:r>
            <w:r>
              <w:rPr>
                <w:rStyle w:val="Text0"/>
              </w:rPr>
              <w:t>)</w:t>
              <w:br w:clear="none"/>
            </w:r>
            <w:r>
              <w:t xml:space="preserve"> Opens and reads the file specified by </w:t>
            </w:r>
            <w:r>
              <w:rPr>
                <w:rStyle w:val="Text3"/>
              </w:rPr>
              <w:t>filepath</w:t>
            </w:r>
            <w:r>
              <w:t xml:space="preserve"> to discover which </w:t>
            </w:r>
            <w:r>
              <w:rPr>
                <w:rStyle w:val="Text0"/>
              </w:rPr>
              <w:t>dbm</w:t>
            </w:r>
            <w:r>
              <w:t xml:space="preserve"> submodule created the file. </w:t>
            </w:r>
            <w:r>
              <w:rPr>
                <w:rStyle w:val="Text0"/>
              </w:rPr>
              <w:t>whichdb</w:t>
            </w:r>
            <w:r>
              <w:t xml:space="preserve"> returns </w:t>
            </w:r>
            <w:r>
              <w:rPr>
                <w:rStyle w:val="Text5"/>
              </w:rPr>
              <w:t>None</w:t>
            </w:r>
            <w:r>
              <w:t xml:space="preserve"> when the file does not exist or cannot be opened and read. It returns </w:t>
            </w:r>
            <w:r>
              <w:rPr>
                <w:rStyle w:val="Text0"/>
              </w:rPr>
              <w:t>''</w:t>
            </w:r>
            <w:r>
              <w:t xml:space="preserve"> when the file exists and can be opened and read, but it is not possible to determine which </w:t>
            </w:r>
            <w:r>
              <w:rPr>
                <w:rStyle w:val="Text0"/>
              </w:rPr>
              <w:t>dbm</w:t>
            </w:r>
            <w:r>
              <w:t xml:space="preserve"> submodule created the file (typically, this means that the file is not a DBM file). If it can find out which module can read the DBM-like file, </w:t>
            </w:r>
            <w:r>
              <w:rPr>
                <w:rStyle w:val="Text0"/>
              </w:rPr>
              <w:t>whichdb</w:t>
            </w:r>
            <w:r>
              <w:t xml:space="preserve"> returns a string that names a </w:t>
            </w:r>
            <w:r>
              <w:rPr>
                <w:rStyle w:val="Text0"/>
              </w:rPr>
              <w:t>dbm</w:t>
            </w:r>
            <w:r>
              <w:t xml:space="preserve"> submodule, such as </w:t>
            </w:r>
            <w:r>
              <w:rPr>
                <w:rStyle w:val="Text0"/>
              </w:rPr>
              <w:t>'dbm.ndbm'</w:t>
            </w:r>
            <w:r>
              <w:t xml:space="preserve">, </w:t>
            </w:r>
            <w:r>
              <w:rPr>
                <w:rStyle w:val="Text0"/>
              </w:rPr>
              <w:t>'dbm.dumb'</w:t>
            </w:r>
            <w:r>
              <w:t xml:space="preserve">, or </w:t>
            </w:r>
            <w:r>
              <w:rPr>
                <w:rStyle w:val="Text0"/>
              </w:rPr>
              <w:t>'dbm.gdbm'</w:t>
            </w:r>
            <w:r>
              <w:t>.</w:t>
            </w:r>
          </w:p>
        </w:tc>
        <w:tc>
          <w:tcPr>
            <w:hMerge w:val="continue"/>
          </w:tcPr>
          <w:p/>
        </w:tc>
        <w:tc>
          <w:tcPr>
            <w:hMerge w:val="continue"/>
          </w:tcPr>
          <w:p/>
        </w:tc>
      </w:tr>
    </w:tbl>
    <w:p>
      <w:pPr>
        <w:pStyle w:val="Normal"/>
      </w:pPr>
      <w:r>
        <w:t xml:space="preserve">In addition to these two top-level functions, the </w:t>
      </w:r>
      <w:r>
        <w:rPr>
          <w:rStyle w:val="Text0"/>
        </w:rPr>
        <w:t>dbm</w:t>
      </w:r>
      <w:r>
        <w:t xml:space="preserve"> package contains specific modules, such as </w:t>
      </w:r>
      <w:r>
        <w:rPr>
          <w:rStyle w:val="Text0"/>
        </w:rPr>
        <w:t>ndbm</w:t>
      </w:r>
      <w:r>
        <w:t xml:space="preserve">, </w:t>
      </w:r>
      <w:r>
        <w:rPr>
          <w:rStyle w:val="Text0"/>
        </w:rPr>
        <w:t>gnu</w:t>
      </w:r>
      <w:r>
        <w:t xml:space="preserve">, and </w:t>
      </w:r>
      <w:r>
        <w:rPr>
          <w:rStyle w:val="Text0"/>
        </w:rPr>
        <w:t>dumb</w:t>
      </w:r>
      <w:r>
        <w:t xml:space="preserve">, that provide various implementations of DBM functionality, which you normally access only via the these top-level functions. Third-party packages can install further implementation modules in </w:t>
      </w:r>
      <w:r>
        <w:rPr>
          <w:rStyle w:val="Text0"/>
        </w:rPr>
        <w:t>dbm</w:t>
      </w:r>
      <w:r>
        <w:t>.</w:t>
      </w:r>
    </w:p>
    <w:p>
      <w:pPr>
        <w:pStyle w:val="Normal"/>
      </w:pPr>
      <w:r>
        <w:t xml:space="preserve">The only implementation module of the </w:t>
      </w:r>
      <w:r>
        <w:rPr>
          <w:rStyle w:val="Text0"/>
        </w:rPr>
        <w:t>dbm</w:t>
      </w:r>
      <w:r>
        <w:t xml:space="preserve"> package that’s guaranteed to exist on all platforms is </w:t>
      </w:r>
      <w:r>
        <w:rPr>
          <w:rStyle w:val="Text0"/>
        </w:rPr>
        <w:t>dumb</w:t>
      </w:r>
      <w:r>
        <w:t xml:space="preserve">. </w:t>
      </w:r>
      <w:r>
        <w:rPr>
          <w:rStyle w:val="Text0"/>
        </w:rPr>
        <w:t>dumb</w:t>
      </w:r>
      <w:r>
        <w:t xml:space="preserve"> has minimal DBM functionality and mediocre performance; its only advantage is that you can use it anywhere, since </w:t>
      </w:r>
      <w:r>
        <w:rPr>
          <w:rStyle w:val="Text0"/>
        </w:rPr>
        <w:t>dumb</w:t>
      </w:r>
      <w:r>
        <w:t xml:space="preserve"> does not rely on any library. You don’t normally </w:t>
      </w:r>
      <w:r>
        <w:rPr>
          <w:rStyle w:val="Text5"/>
        </w:rPr>
        <w:t>import</w:t>
      </w:r>
      <w:r>
        <w:t xml:space="preserve"> </w:t>
      </w:r>
      <w:r>
        <w:rPr>
          <w:rStyle w:val="Text0"/>
        </w:rPr>
        <w:t>dbm.dumb</w:t>
      </w:r>
      <w:r>
        <w:t xml:space="preserve">: rather, </w:t>
      </w:r>
      <w:r>
        <w:rPr>
          <w:rStyle w:val="Text5"/>
        </w:rPr>
        <w:t>import</w:t>
      </w:r>
      <w:r>
        <w:t xml:space="preserve"> </w:t>
      </w:r>
      <w:r>
        <w:rPr>
          <w:rStyle w:val="Text0"/>
        </w:rPr>
        <w:t>dbm</w:t>
      </w:r>
      <w:r>
        <w:t xml:space="preserve">, and let </w:t>
      </w:r>
      <w:r>
        <w:rPr>
          <w:rStyle w:val="Text0"/>
        </w:rPr>
        <w:t>dbm.open</w:t>
      </w:r>
      <w:r>
        <w:t xml:space="preserve"> supply the best DBM module available, defaulting to </w:t>
      </w:r>
      <w:r>
        <w:rPr>
          <w:rStyle w:val="Text0"/>
        </w:rPr>
        <w:t>dumb</w:t>
      </w:r>
      <w:r>
        <w:t xml:space="preserve"> if no better submodule is available in the current Python installation. The only case in which you import </w:t>
      </w:r>
      <w:r>
        <w:rPr>
          <w:rStyle w:val="Text0"/>
        </w:rPr>
        <w:t>dumb</w:t>
      </w:r>
      <w:r>
        <w:t xml:space="preserve"> directly is the rare one in which you need to create a DBM-like file that must be readable in any Python installation. The </w:t>
      </w:r>
      <w:r>
        <w:rPr>
          <w:rStyle w:val="Text0"/>
        </w:rPr>
        <w:t>dumb</w:t>
      </w:r>
      <w:r>
        <w:t xml:space="preserve"> module supplies an </w:t>
      </w:r>
      <w:r>
        <w:rPr>
          <w:rStyle w:val="Text0"/>
        </w:rPr>
        <w:t>open</w:t>
      </w:r>
      <w:r>
        <w:t xml:space="preserve"> function polymorphic to </w:t>
      </w:r>
      <w:r>
        <w:rPr>
          <w:rStyle w:val="Text0"/>
        </w:rPr>
        <w:t>dbm</w:t>
      </w:r>
      <w:r>
        <w:t>’s.</w:t>
      </w:r>
    </w:p>
    <w:p>
      <w:bookmarkStart w:id="2994" w:name="Examples_of_DBM_Like_File_Use__D"/>
      <w:pPr>
        <w:keepNext/>
        <w:pStyle w:val="Heading 2"/>
      </w:pPr>
      <w:r>
        <w:t>Examples of DBM-Like File Use</w:t>
      </w:r>
      <w:bookmarkEnd w:id="2994"/>
    </w:p>
    <w:p>
      <w:pPr>
        <w:pStyle w:val="Normal"/>
      </w:pPr>
      <w:r>
        <w:t xml:space="preserve">DBM’s keyed access is suitable when your program needs to record persistently the equivalent of a Python dictionary, with strings as both keys and values. For example, suppose you need to analyze several text files, whose names are given as your program’s arguments, and record where each word appears in those files. In this case, the keys are words and, therefore, intrinsically strings. The data you need to record for each word is a list of </w:t>
      </w:r>
      <w:r>
        <w:rPr>
          <w:rStyle w:val="Text0"/>
        </w:rPr>
        <w:t>(</w:t>
      </w:r>
      <w:r>
        <w:rPr>
          <w:rStyle w:val="Text3"/>
        </w:rPr>
        <w:t>filename</w:t>
      </w:r>
      <w:r>
        <w:rPr>
          <w:rStyle w:val="Text0"/>
        </w:rPr>
        <w:t>,</w:t>
      </w:r>
      <w:r>
        <w:t xml:space="preserve"> </w:t>
      </w:r>
      <w:r>
        <w:rPr>
          <w:rStyle w:val="Text3"/>
        </w:rPr>
        <w:t>linenumber</w:t>
      </w:r>
      <w:r>
        <w:rPr>
          <w:rStyle w:val="Text0"/>
        </w:rPr>
        <w:t>)</w:t>
      </w:r>
      <w:r>
        <w:t xml:space="preserve"> pairs. However, you can encode the data as a string in several ways—for example, by exploiting the fact that the path separator string, </w:t>
      </w:r>
      <w:r>
        <w:rPr>
          <w:rStyle w:val="Text0"/>
        </w:rPr>
        <w:t>os.pathsep</w:t>
      </w:r>
      <w:r>
        <w:t xml:space="preserve"> (covered in </w:t>
      </w:r>
      <w:hyperlink w:anchor="Path_string_attributes_of_the_os">
        <w:r>
          <w:rPr>
            <w:rStyle w:val="Text1"/>
          </w:rPr>
          <w:t>“Path-string attributes of the os module”</w:t>
        </w:r>
      </w:hyperlink>
      <w:r>
        <w:t>), does not normally appear in filenames. (More general approaches to the issue of encoding data as strings were covered in the opening section of this chapter, with the same example.) With this simplification, a program to record word positions in files might be as follows: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collections</w:t>
        <w:br w:clear="none"/>
      </w:r>
      <w:r>
        <w:rPr>
          <w:rStyle w:val="Text13"/>
        </w:rPr>
        <w:t xml:space="preserve">,</w:t>
        <w:br w:clear="none"/>
      </w:r>
      <w:r>
        <w:rPr>
          <w:rStyle w:val="Text6"/>
        </w:rPr>
        <w:t xml:space="preserve"> </w:t>
        <w:br w:clear="none"/>
      </w:r>
      <w:r>
        <w:rPr>
          <w:rStyle w:val="Text20"/>
        </w:rPr>
        <w:t xml:space="preserve">fileinput</w:t>
        <w:br w:clear="none"/>
      </w:r>
      <w:r>
        <w:rPr>
          <w:rStyle w:val="Text13"/>
        </w:rPr>
        <w:t xml:space="preserve">,</w:t>
        <w:br w:clear="none"/>
      </w:r>
      <w:r>
        <w:rPr>
          <w:rStyle w:val="Text6"/>
        </w:rPr>
        <w:t xml:space="preserve"> </w:t>
        <w:br w:clear="none"/>
      </w:r>
      <w:r>
        <w:rPr>
          <w:rStyle w:val="Text20"/>
        </w:rPr>
        <w:t xml:space="preserve">os</w:t>
        <w:br w:clear="none"/>
      </w:r>
      <w:r>
        <w:rPr>
          <w:rStyle w:val="Text13"/>
        </w:rPr>
        <w:t xml:space="preserve">,</w:t>
        <w:br w:clear="none"/>
      </w:r>
      <w:r>
        <w:rPr>
          <w:rStyle w:val="Text6"/>
        </w:rPr>
        <w:t xml:space="preserve"> </w:t>
        <w:br w:clear="none"/>
      </w:r>
      <w:r>
        <w:rPr>
          <w:rStyle w:val="Text20"/>
        </w:rPr>
        <w:t xml:space="preserve">dbm</w:t>
        <w:br w:clear="none"/>
      </w:r>
      <w:r>
        <w:rPr>
          <w:rStyle w:val="Text6"/>
        </w:rPr>
        <w:t xml:space="preserve"/>
        <w:br w:clear="none"/>
      </w:r>
      <w:r>
        <w:t xml:space="preserve">word_pos</w:t>
        <w:br w:clear="none"/>
      </w:r>
      <w:r>
        <w:rPr>
          <w:rStyle w:val="Text6"/>
        </w:rPr>
        <w:t xml:space="preserve"> </w:t>
        <w:br w:clear="none"/>
      </w:r>
      <w:r>
        <w:rPr>
          <w:rStyle w:val="Text13"/>
        </w:rPr>
        <w:t xml:space="preserve">=</w:t>
        <w:br w:clear="none"/>
      </w:r>
      <w:r>
        <w:rPr>
          <w:rStyle w:val="Text6"/>
        </w:rPr>
        <w:t xml:space="preserve"> </w:t>
        <w:br w:clear="none"/>
      </w:r>
      <w:r>
        <w:t xml:space="preserve">collections</w:t>
        <w:br w:clear="none"/>
      </w:r>
      <w:r>
        <w:rPr>
          <w:rStyle w:val="Text13"/>
        </w:rPr>
        <w:t xml:space="preserve">.</w:t>
        <w:br w:clear="none"/>
      </w:r>
      <w:r>
        <w:t xml:space="preserve">defaultdict</w:t>
        <w:br w:clear="none"/>
      </w:r>
      <w:r>
        <w:rPr>
          <w:rStyle w:val="Text7"/>
        </w:rPr>
        <w:t xml:space="preserve">(</w:t>
        <w:br w:clear="none"/>
      </w:r>
      <w:r>
        <w:rPr>
          <w:rStyle w:val="Text16"/>
        </w:rPr>
        <w:t xml:space="preserve">list</w:t>
        <w:br w:clear="none"/>
      </w:r>
      <w:r>
        <w:rPr>
          <w:rStyle w:val="Text7"/>
        </w:rPr>
        <w:t xml:space="preserve">)</w:t>
        <w:br w:clear="none"/>
      </w:r>
      <w:r>
        <w:rPr>
          <w:rStyle w:val="Text6"/>
        </w:rPr>
        <w:t xml:space="preserve"/>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pos</w:t>
        <w:br w:clear="none"/>
      </w:r>
      <w:r>
        <w:rPr>
          <w:rStyle w:val="Text6"/>
        </w:rPr>
        <w:t xml:space="preserve"> </w:t>
        <w:br w:clear="none"/>
      </w:r>
      <w:r>
        <w:rPr>
          <w:rStyle w:val="Text13"/>
        </w:rPr>
        <w:t xml:space="preserve">=</w:t>
        <w:br w:clear="none"/>
      </w:r>
      <w:r>
        <w:rPr>
          <w:rStyle w:val="Text6"/>
        </w:rPr>
        <w:t xml:space="preserve"> </w:t>
        <w:br w:clear="none"/>
        <w:t xml:space="preserve">f</w:t>
        <w:br w:clear="none"/>
      </w:r>
      <w:r>
        <w:rPr>
          <w:rStyle w:val="Text8"/>
        </w:rPr>
        <w:t xml:space="preserve">'</w:t>
        <w:br w:clear="none"/>
      </w:r>
      <w:r>
        <w:rPr>
          <w:rStyle w:val="Text32"/>
        </w:rPr>
        <w:t xml:space="preserve">{</w:t>
        <w:br w:clear="none"/>
      </w:r>
      <w:r>
        <w:t xml:space="preserve">fileinput</w:t>
        <w:br w:clear="none"/>
      </w:r>
      <w:r>
        <w:rPr>
          <w:rStyle w:val="Text13"/>
        </w:rPr>
        <w:t xml:space="preserve">.</w:t>
        <w:br w:clear="none"/>
      </w:r>
      <w:r>
        <w:t xml:space="preserve">filename</w:t>
        <w:br w:clear="none"/>
      </w:r>
      <w:r>
        <w:rPr>
          <w:rStyle w:val="Text7"/>
        </w:rPr>
        <w:t xml:space="preserve">(</w:t>
        <w:br w:clear="none"/>
        <w:t xml:space="preserve">)</w:t>
        <w:br w:clear="none"/>
      </w:r>
      <w:r>
        <w:rPr>
          <w:rStyle w:val="Text32"/>
        </w:rPr>
        <w:t xml:space="preserve">}</w:t>
        <w:br w:clear="none"/>
        <w:t xml:space="preserve">{</w:t>
        <w:br w:clear="none"/>
      </w:r>
      <w:r>
        <w:t xml:space="preserve">os</w:t>
        <w:br w:clear="none"/>
      </w:r>
      <w:r>
        <w:rPr>
          <w:rStyle w:val="Text13"/>
        </w:rPr>
        <w:t xml:space="preserve">.</w:t>
        <w:br w:clear="none"/>
      </w:r>
      <w:r>
        <w:t xml:space="preserve">pathsep</w:t>
        <w:br w:clear="none"/>
      </w:r>
      <w:r>
        <w:rPr>
          <w:rStyle w:val="Text32"/>
        </w:rPr>
        <w:t xml:space="preserve">}</w:t>
        <w:br w:clear="none"/>
        <w:t xml:space="preserve">{</w:t>
        <w:br w:clear="none"/>
      </w:r>
      <w:r>
        <w:t xml:space="preserve">fileinput</w:t>
        <w:br w:clear="none"/>
      </w:r>
      <w:r>
        <w:rPr>
          <w:rStyle w:val="Text13"/>
        </w:rPr>
        <w:t xml:space="preserve">.</w:t>
        <w:br w:clear="none"/>
      </w:r>
      <w:r>
        <w:t xml:space="preserve">filelineno</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line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word_pos</w:t>
        <w:br w:clear="none"/>
      </w:r>
      <w:r>
        <w:rPr>
          <w:rStyle w:val="Text7"/>
        </w:rPr>
        <w:t xml:space="preserve">[</w:t>
        <w:br w:clear="none"/>
      </w:r>
      <w:r>
        <w:t xml:space="preserve">word</w:t>
        <w:br w:clear="none"/>
      </w:r>
      <w:r>
        <w:rPr>
          <w:rStyle w:val="Text7"/>
        </w:rPr>
        <w:t xml:space="preserve">]</w:t>
        <w:br w:clear="none"/>
      </w:r>
      <w:r>
        <w:rPr>
          <w:rStyle w:val="Text13"/>
        </w:rPr>
        <w:t xml:space="preserve">.</w:t>
        <w:br w:clear="none"/>
      </w:r>
      <w:r>
        <w:t xml:space="preserve">append</w:t>
        <w:br w:clear="none"/>
      </w:r>
      <w:r>
        <w:rPr>
          <w:rStyle w:val="Text7"/>
        </w:rPr>
        <w:t xml:space="preserve">(</w:t>
        <w:br w:clear="none"/>
      </w:r>
      <w:r>
        <w:t xml:space="preserve">pos</w:t>
        <w:br w:clear="none"/>
      </w:r>
      <w:r>
        <w:rPr>
          <w:rStyle w:val="Text7"/>
        </w:rPr>
        <w:t xml:space="preserve">)</w:t>
        <w:br w:clear="none"/>
      </w:r>
      <w:r>
        <w:rPr>
          <w:rStyle w:val="Text6"/>
        </w:rPr>
        <w:t xml:space="preserve"/>
        <w:br w:clear="none"/>
      </w:r>
      <w:r>
        <w:t xml:space="preserve">sep2</w:t>
        <w:br w:clear="none"/>
      </w:r>
      <w:r>
        <w:rPr>
          <w:rStyle w:val="Text6"/>
        </w:rPr>
        <w:t xml:space="preserve"> </w:t>
        <w:br w:clear="none"/>
      </w:r>
      <w:r>
        <w:rPr>
          <w:rStyle w:val="Text13"/>
        </w:rPr>
        <w:t xml:space="preserve">=</w:t>
        <w:br w:clear="none"/>
      </w:r>
      <w:r>
        <w:rPr>
          <w:rStyle w:val="Text6"/>
        </w:rPr>
        <w:t xml:space="preserve"> </w:t>
        <w:br w:clear="none"/>
      </w:r>
      <w:r>
        <w:t xml:space="preserve">os</w:t>
        <w:br w:clear="none"/>
      </w:r>
      <w:r>
        <w:rPr>
          <w:rStyle w:val="Text13"/>
        </w:rPr>
        <w:t xml:space="preserve">.</w:t>
        <w:br w:clear="none"/>
      </w:r>
      <w:r>
        <w:t xml:space="preserve">pathsep</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2</w:t>
        <w:br w:clear="none"/>
      </w:r>
      <w:r>
        <w:rPr>
          <w:rStyle w:val="Text6"/>
        </w:rPr>
        <w:t xml:space="preserve"/>
        <w:br w:clear="none"/>
      </w:r>
      <w:r>
        <w:rPr>
          <w:rStyle w:val="Text10"/>
        </w:rPr>
        <w:t xml:space="preserve">with</w:t>
        <w:br w:clear="none"/>
      </w:r>
      <w:r>
        <w:rPr>
          <w:rStyle w:val="Text6"/>
        </w:rPr>
        <w:t xml:space="preserve"> </w:t>
        <w:br w:clear="none"/>
      </w:r>
      <w:r>
        <w:t xml:space="preserve">dbm</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w:t>
        <w:br w:clear="none"/>
        <w:t xml:space="preserve">'</w:t>
        <w:br w:clear="none"/>
      </w:r>
      <w:r>
        <w:rPr>
          <w:rStyle w:val="Text7"/>
        </w:rPr>
        <w:t xml:space="preserve">,</w:t>
        <w:br w:clear="none"/>
      </w:r>
      <w:r>
        <w:rPr>
          <w:rStyle w:val="Text8"/>
        </w:rPr>
        <w:t xml:space="preserve">'</w:t>
        <w:br w:clear="none"/>
        <w:t xml:space="preserve">n</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dbm_out</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word_pos</w:t>
        <w:br w:clear="none"/>
      </w:r>
      <w:r>
        <w:rPr>
          <w:rStyle w:val="Text7"/>
        </w:rPr>
        <w:t xml:space="preserve">:</w:t>
        <w:br w:clear="none"/>
      </w:r>
      <w:r>
        <w:rPr>
          <w:rStyle w:val="Text6"/>
        </w:rPr>
        <w:t xml:space="preserve"/>
        <w:br w:clear="none"/>
        <w:t xml:space="preserve">        </w:t>
        <w:br w:clear="none"/>
      </w:r>
      <w:r>
        <w:t xml:space="preserve">dbm_out</w:t>
        <w:br w:clear="none"/>
      </w:r>
      <w:r>
        <w:rPr>
          <w:rStyle w:val="Text7"/>
        </w:rPr>
        <w:t xml:space="preserve">[</w:t>
        <w:br w:clear="none"/>
      </w:r>
      <w:r>
        <w:t xml:space="preserve">word</w:t>
        <w:br w:clear="none"/>
      </w:r>
      <w:r>
        <w:rPr>
          <w:rStyle w:val="Text13"/>
        </w:rPr>
        <w:t xml:space="preserve">.</w:t>
        <w:br w:clear="none"/>
      </w:r>
      <w:r>
        <w:t xml:space="preserve">encode</w:t>
        <w:br w:clear="none"/>
      </w:r>
      <w:r>
        <w:rPr>
          <w:rStyle w:val="Text7"/>
        </w:rPr>
        <w:t xml:space="preserve">(</w:t>
        <w:br w:clear="none"/>
      </w:r>
      <w:r>
        <w:rPr>
          <w:rStyle w:val="Text8"/>
        </w:rPr>
        <w:t xml:space="preserve">'</w:t>
        <w:br w:clear="none"/>
        <w:t xml:space="preserve">utf-8</w:t>
        <w:br w:clear="none"/>
        <w:t xml:space="preserve">'</w:t>
        <w:br w:clear="none"/>
      </w:r>
      <w:r>
        <w:rPr>
          <w:rStyle w:val="Text7"/>
        </w:rPr>
        <w:t xml:space="preserve">)</w:t>
        <w:br w:clear="none"/>
        <w:t xml:space="preserve">]</w:t>
        <w:br w:clear="none"/>
      </w:r>
      <w:r>
        <w:rPr>
          <w:rStyle w:val="Text6"/>
        </w:rPr>
        <w:t xml:space="preserve"> </w:t>
        <w:br w:clear="none"/>
      </w:r>
      <w:r>
        <w:rPr>
          <w:rStyle w:val="Text13"/>
        </w:rPr>
        <w:t xml:space="preserve">=</w:t>
        <w:br w:clear="none"/>
      </w:r>
      <w:r>
        <w:rPr>
          <w:rStyle w:val="Text6"/>
        </w:rPr>
        <w:t xml:space="preserve"> </w:t>
        <w:br w:clear="none"/>
      </w:r>
      <w:r>
        <w:t xml:space="preserve">sep2</w:t>
        <w:br w:clear="none"/>
      </w:r>
      <w:r>
        <w:rPr>
          <w:rStyle w:val="Text13"/>
        </w:rPr>
        <w:t xml:space="preserve">.</w:t>
        <w:br w:clear="none"/>
      </w:r>
      <w:r>
        <w:t xml:space="preserve">join</w:t>
        <w:br w:clear="none"/>
      </w:r>
      <w:r>
        <w:rPr>
          <w:rStyle w:val="Text7"/>
        </w:rPr>
        <w:t xml:space="preserve">(</w:t>
        <w:br w:clear="none"/>
      </w:r>
      <w:r>
        <w:rPr>
          <w:rStyle w:val="Text6"/>
        </w:rPr>
        <w:t xml:space="preserve"/>
        <w:br w:clear="none"/>
        <w:t xml:space="preserve">			</w:t>
        <w:br w:clear="none"/>
      </w:r>
      <w:r>
        <w:t xml:space="preserve">word_pos</w:t>
        <w:br w:clear="none"/>
      </w:r>
      <w:r>
        <w:rPr>
          <w:rStyle w:val="Text7"/>
        </w:rPr>
        <w:t xml:space="preserve">[</w:t>
        <w:br w:clear="none"/>
      </w:r>
      <w:r>
        <w:t xml:space="preserve">word</w:t>
        <w:br w:clear="none"/>
      </w:r>
      <w:r>
        <w:rPr>
          <w:rStyle w:val="Text7"/>
        </w:rPr>
        <w:t xml:space="preserve">]</w:t>
        <w:br w:clear="none"/>
      </w:r>
      <w:r>
        <w:rPr>
          <w:rStyle w:val="Text6"/>
        </w:rPr>
        <w:t xml:space="preserve"/>
        <w:br w:clear="none"/>
        <w:t xml:space="preserve">		</w:t>
        <w:br w:clear="none"/>
      </w:r>
      <w:r>
        <w:rPr>
          <w:rStyle w:val="Text7"/>
        </w:rPr>
        <w:t xml:space="preserve">)</w:t>
        <w:br w:clear="none"/>
      </w:r>
      <w:r>
        <w:rPr>
          <w:rStyle w:val="Text13"/>
        </w:rPr>
        <w:t xml:space="preserve">.</w:t>
        <w:br w:clear="none"/>
      </w:r>
      <w:r>
        <w:t xml:space="preserve">encode</w:t>
        <w:br w:clear="none"/>
      </w:r>
      <w:r>
        <w:rPr>
          <w:rStyle w:val="Text7"/>
        </w:rPr>
        <w:t xml:space="preserve">(</w:t>
        <w:br w:clear="none"/>
      </w:r>
      <w:r>
        <w:rPr>
          <w:rStyle w:val="Text8"/>
        </w:rPr>
        <w:t xml:space="preserve">'</w:t>
        <w:br w:clear="none"/>
        <w:t xml:space="preserve">utf-8</w:t>
        <w:br w:clear="none"/>
        <w:t xml:space="preserve">'</w:t>
        <w:br w:clear="none"/>
      </w:r>
      <w:r>
        <w:rPr>
          <w:rStyle w:val="Text7"/>
        </w:rPr>
        <w:t xml:space="preserve">)</w:t>
        <w:br w:clear="none"/>
      </w:r>
    </w:p>
    <w:p>
      <w:pPr>
        <w:pStyle w:val="Normal"/>
      </w:pPr>
      <w:r>
        <w:t>You can read back the data stored to the DBM-like file</w:t>
      </w:r>
      <w:r>
        <w:rPr>
          <w:rStyle w:val="Text111"/>
        </w:rPr>
        <w:bookmarkStart w:id="2995" w:name="idm45965198318176"/>
        <w:t/>
        <w:bookmarkEnd w:id="2995"/>
      </w:r>
      <w:r>
        <w:t xml:space="preserve"> </w:t>
      </w:r>
      <w:r>
        <w:rPr>
          <w:rStyle w:val="Text4"/>
        </w:rPr>
        <w:t>indexfile</w:t>
      </w:r>
      <w:r>
        <w:t xml:space="preserve"> in several ways. The following example accepts words as command-line arguments and prints the lines where the requested words</w:t>
      </w:r>
      <w:r>
        <w:rPr>
          <w:rStyle w:val="Text111"/>
        </w:rPr>
        <w:bookmarkStart w:id="2996" w:name="idm45965198321008"/>
        <w:t/>
        <w:bookmarkEnd w:id="2996"/>
        <w:bookmarkStart w:id="2997" w:name="idm45965198319792"/>
        <w:t/>
        <w:bookmarkEnd w:id="2997"/>
        <w:bookmarkStart w:id="2998" w:name="idm45965198341168"/>
        <w:t/>
        <w:bookmarkEnd w:id="2998"/>
      </w:r>
      <w:r>
        <w:t xml:space="preserve"> appear:</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sys</w:t>
        <w:br w:clear="none"/>
      </w:r>
      <w:r>
        <w:rPr>
          <w:rStyle w:val="Text13"/>
        </w:rPr>
        <w:t xml:space="preserve">,</w:t>
        <w:br w:clear="none"/>
      </w:r>
      <w:r>
        <w:rPr>
          <w:rStyle w:val="Text6"/>
        </w:rPr>
        <w:t xml:space="preserve"> </w:t>
        <w:br w:clear="none"/>
      </w:r>
      <w:r>
        <w:rPr>
          <w:rStyle w:val="Text20"/>
        </w:rPr>
        <w:t xml:space="preserve">os</w:t>
        <w:br w:clear="none"/>
      </w:r>
      <w:r>
        <w:rPr>
          <w:rStyle w:val="Text13"/>
        </w:rPr>
        <w:t xml:space="preserve">,</w:t>
        <w:br w:clear="none"/>
      </w:r>
      <w:r>
        <w:rPr>
          <w:rStyle w:val="Text6"/>
        </w:rPr>
        <w:t xml:space="preserve"> </w:t>
        <w:br w:clear="none"/>
      </w:r>
      <w:r>
        <w:rPr>
          <w:rStyle w:val="Text20"/>
        </w:rPr>
        <w:t xml:space="preserve">dbm</w:t>
        <w:br w:clear="none"/>
      </w:r>
      <w:r>
        <w:rPr>
          <w:rStyle w:val="Text13"/>
        </w:rPr>
        <w:t xml:space="preserve">,</w:t>
        <w:br w:clear="none"/>
      </w:r>
      <w:r>
        <w:rPr>
          <w:rStyle w:val="Text6"/>
        </w:rPr>
        <w:t xml:space="preserve"> </w:t>
        <w:br w:clear="none"/>
      </w:r>
      <w:r>
        <w:rPr>
          <w:rStyle w:val="Text20"/>
        </w:rPr>
        <w:t xml:space="preserve">linecache</w:t>
        <w:br w:clear="none"/>
      </w:r>
      <w:r>
        <w:rPr>
          <w:rStyle w:val="Text6"/>
        </w:rPr>
        <w:t xml:space="preserve"/>
        <w:br w:clear="none"/>
        <w:t xml:space="preserve"/>
        <w:br w:clear="none"/>
      </w:r>
      <w:r>
        <w:t xml:space="preserve">sep</w:t>
        <w:br w:clear="none"/>
      </w:r>
      <w:r>
        <w:rPr>
          <w:rStyle w:val="Text6"/>
        </w:rPr>
        <w:t xml:space="preserve"> </w:t>
        <w:br w:clear="none"/>
      </w:r>
      <w:r>
        <w:rPr>
          <w:rStyle w:val="Text13"/>
        </w:rPr>
        <w:t xml:space="preserve">=</w:t>
        <w:br w:clear="none"/>
      </w:r>
      <w:r>
        <w:rPr>
          <w:rStyle w:val="Text6"/>
        </w:rPr>
        <w:t xml:space="preserve"> </w:t>
        <w:br w:clear="none"/>
      </w:r>
      <w:r>
        <w:t xml:space="preserve">os</w:t>
        <w:br w:clear="none"/>
      </w:r>
      <w:r>
        <w:rPr>
          <w:rStyle w:val="Text13"/>
        </w:rPr>
        <w:t xml:space="preserve">.</w:t>
        <w:br w:clear="none"/>
      </w:r>
      <w:r>
        <w:t xml:space="preserve">pathsep</w:t>
        <w:br w:clear="none"/>
      </w:r>
      <w:r>
        <w:rPr>
          <w:rStyle w:val="Text6"/>
        </w:rPr>
        <w:t xml:space="preserve"/>
        <w:br w:clear="none"/>
      </w:r>
      <w:r>
        <w:t xml:space="preserve">sep2</w:t>
        <w:br w:clear="none"/>
      </w:r>
      <w:r>
        <w:rPr>
          <w:rStyle w:val="Text6"/>
        </w:rPr>
        <w:t xml:space="preserve"> </w:t>
        <w:br w:clear="none"/>
      </w:r>
      <w:r>
        <w:rPr>
          <w:rStyle w:val="Text13"/>
        </w:rPr>
        <w:t xml:space="preserve">=</w:t>
        <w:br w:clear="none"/>
      </w:r>
      <w:r>
        <w:rPr>
          <w:rStyle w:val="Text6"/>
        </w:rPr>
        <w:t xml:space="preserve"> </w:t>
        <w:br w:clear="none"/>
      </w:r>
      <w:r>
        <w:t xml:space="preserve">sep</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2</w:t>
        <w:br w:clear="none"/>
      </w:r>
      <w:r>
        <w:rPr>
          <w:rStyle w:val="Text6"/>
        </w:rPr>
        <w:t xml:space="preserve"/>
        <w:br w:clear="none"/>
      </w:r>
      <w:r>
        <w:rPr>
          <w:rStyle w:val="Text10"/>
        </w:rPr>
        <w:t xml:space="preserve">with</w:t>
        <w:br w:clear="none"/>
      </w:r>
      <w:r>
        <w:rPr>
          <w:rStyle w:val="Text6"/>
        </w:rPr>
        <w:t xml:space="preserve"> </w:t>
        <w:br w:clear="none"/>
      </w:r>
      <w:r>
        <w:t xml:space="preserve">dbm</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indexfile</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dbm_in</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sys</w:t>
        <w:br w:clear="none"/>
      </w:r>
      <w:r>
        <w:rPr>
          <w:rStyle w:val="Text13"/>
        </w:rPr>
        <w:t xml:space="preserve">.</w:t>
        <w:br w:clear="none"/>
      </w:r>
      <w:r>
        <w:t xml:space="preserve">argv</w:t>
        <w:br w:clear="none"/>
      </w:r>
      <w:r>
        <w:rPr>
          <w:rStyle w:val="Text7"/>
        </w:rPr>
        <w:t xml:space="preserve">[</w:t>
        <w:br w:clear="none"/>
      </w:r>
      <w:r>
        <w:rPr>
          <w:rStyle w:val="Text27"/>
        </w:rPr>
        <w:t xml:space="preserve">1</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e_word</w:t>
        <w:br w:clear="none"/>
      </w:r>
      <w:r>
        <w:rPr>
          <w:rStyle w:val="Text6"/>
        </w:rPr>
        <w:t xml:space="preserve"> </w:t>
        <w:br w:clear="none"/>
      </w:r>
      <w:r>
        <w:rPr>
          <w:rStyle w:val="Text13"/>
        </w:rPr>
        <w:t xml:space="preserve">=</w:t>
        <w:br w:clear="none"/>
      </w:r>
      <w:r>
        <w:rPr>
          <w:rStyle w:val="Text6"/>
        </w:rPr>
        <w:t xml:space="preserve"> </w:t>
        <w:br w:clear="none"/>
      </w:r>
      <w:r>
        <w:t xml:space="preserve">word</w:t>
        <w:br w:clear="none"/>
      </w:r>
      <w:r>
        <w:rPr>
          <w:rStyle w:val="Text13"/>
        </w:rPr>
        <w:t xml:space="preserve">.</w:t>
        <w:br w:clear="none"/>
      </w:r>
      <w:r>
        <w:t xml:space="preserve">encode</w:t>
        <w:br w:clear="none"/>
      </w:r>
      <w:r>
        <w:rPr>
          <w:rStyle w:val="Text7"/>
        </w:rPr>
        <w:t xml:space="preserve">(</w:t>
        <w:br w:clear="none"/>
      </w:r>
      <w:r>
        <w:rPr>
          <w:rStyle w:val="Text8"/>
        </w:rPr>
        <w:t xml:space="preserve">'</w:t>
        <w:br w:clear="none"/>
        <w:t xml:space="preserve">utf-8</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e_word</w:t>
        <w:br w:clear="none"/>
      </w:r>
      <w:r>
        <w:rPr>
          <w:rStyle w:val="Text6"/>
        </w:rPr>
        <w:t xml:space="preserve"> </w:t>
        <w:br w:clear="none"/>
      </w:r>
      <w:r>
        <w:rPr>
          <w:rStyle w:val="Text31"/>
        </w:rPr>
        <w:t xml:space="preserve">not</w:t>
        <w:br w:clear="none"/>
      </w:r>
      <w:r>
        <w:rPr>
          <w:rStyle w:val="Text6"/>
        </w:rPr>
        <w:t xml:space="preserve"> </w:t>
        <w:br w:clear="none"/>
      </w:r>
      <w:r>
        <w:rPr>
          <w:rStyle w:val="Text31"/>
        </w:rPr>
        <w:t xml:space="preserve">in</w:t>
        <w:br w:clear="none"/>
      </w:r>
      <w:r>
        <w:rPr>
          <w:rStyle w:val="Text6"/>
        </w:rPr>
        <w:t xml:space="preserve"> </w:t>
        <w:br w:clear="none"/>
      </w:r>
      <w:r>
        <w:t xml:space="preserve">dbm_in</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not found in index file</w:t>
        <w:br w:clear="none"/>
        <w:t xml:space="preserve">'</w:t>
        <w:br w:clear="none"/>
      </w:r>
      <w:r>
        <w:rPr>
          <w:rStyle w:val="Text7"/>
        </w:rPr>
        <w:t xml:space="preserve">,</w:t>
        <w:br w:clear="none"/>
      </w:r>
      <w:r>
        <w:rPr>
          <w:rStyle w:val="Text6"/>
        </w:rPr>
        <w:t xml:space="preserve"/>
        <w:br w:clear="none"/>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t xml:space="preserve">            </w:t>
        <w:br w:clear="none"/>
      </w:r>
      <w:r>
        <w:rPr>
          <w:rStyle w:val="Text10"/>
        </w:rPr>
        <w:t xml:space="preserve">continue</w:t>
        <w:br w:clear="none"/>
      </w:r>
      <w:r>
        <w:rPr>
          <w:rStyle w:val="Text6"/>
        </w:rPr>
        <w:t xml:space="preserve"/>
        <w:br w:clear="none"/>
        <w:t xml:space="preserve">        </w:t>
        <w:br w:clear="none"/>
      </w:r>
      <w:r>
        <w:t xml:space="preserve">places</w:t>
        <w:br w:clear="none"/>
      </w:r>
      <w:r>
        <w:rPr>
          <w:rStyle w:val="Text6"/>
        </w:rPr>
        <w:t xml:space="preserve"> </w:t>
        <w:br w:clear="none"/>
      </w:r>
      <w:r>
        <w:rPr>
          <w:rStyle w:val="Text13"/>
        </w:rPr>
        <w:t xml:space="preserve">=</w:t>
        <w:br w:clear="none"/>
      </w:r>
      <w:r>
        <w:rPr>
          <w:rStyle w:val="Text6"/>
        </w:rPr>
        <w:t xml:space="preserve"> </w:t>
        <w:br w:clear="none"/>
      </w:r>
      <w:r>
        <w:t xml:space="preserve">dbm_in</w:t>
        <w:br w:clear="none"/>
      </w:r>
      <w:r>
        <w:rPr>
          <w:rStyle w:val="Text7"/>
        </w:rPr>
        <w:t xml:space="preserve">[</w:t>
        <w:br w:clear="none"/>
      </w:r>
      <w:r>
        <w:t xml:space="preserve">e_word</w:t>
        <w:br w:clear="none"/>
      </w:r>
      <w:r>
        <w:rPr>
          <w:rStyle w:val="Text7"/>
        </w:rPr>
        <w:t xml:space="preserve">]</w:t>
        <w:br w:clear="none"/>
      </w:r>
      <w:r>
        <w:rPr>
          <w:rStyle w:val="Text13"/>
        </w:rPr>
        <w:t xml:space="preserve">.</w:t>
        <w:br w:clear="none"/>
      </w:r>
      <w:r>
        <w:t xml:space="preserve">decode</w:t>
        <w:br w:clear="none"/>
      </w:r>
      <w:r>
        <w:rPr>
          <w:rStyle w:val="Text7"/>
        </w:rPr>
        <w:t xml:space="preserve">(</w:t>
        <w:br w:clear="none"/>
      </w:r>
      <w:r>
        <w:rPr>
          <w:rStyle w:val="Text8"/>
        </w:rPr>
        <w:t xml:space="preserve">'</w:t>
        <w:br w:clear="none"/>
        <w:t xml:space="preserve">utf-8</w:t>
        <w:br w:clear="none"/>
        <w:t xml:space="preserve">'</w:t>
        <w:br w:clear="none"/>
      </w:r>
      <w:r>
        <w:rPr>
          <w:rStyle w:val="Text7"/>
        </w:rPr>
        <w:t xml:space="preserve">)</w:t>
        <w:br w:clear="none"/>
      </w:r>
      <w:r>
        <w:rPr>
          <w:rStyle w:val="Text13"/>
        </w:rPr>
        <w:t xml:space="preserve">.</w:t>
        <w:br w:clear="none"/>
      </w:r>
      <w:r>
        <w:t xml:space="preserve">split</w:t>
        <w:br w:clear="none"/>
      </w:r>
      <w:r>
        <w:rPr>
          <w:rStyle w:val="Text7"/>
        </w:rPr>
        <w:t xml:space="preserve">(</w:t>
        <w:br w:clear="none"/>
      </w:r>
      <w:r>
        <w:t xml:space="preserve">sep2</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place</w:t>
        <w:br w:clear="none"/>
      </w:r>
      <w:r>
        <w:rPr>
          <w:rStyle w:val="Text6"/>
        </w:rPr>
        <w:t xml:space="preserve"> </w:t>
        <w:br w:clear="none"/>
      </w:r>
      <w:r>
        <w:rPr>
          <w:rStyle w:val="Text31"/>
        </w:rPr>
        <w:t xml:space="preserve">in</w:t>
        <w:br w:clear="none"/>
      </w:r>
      <w:r>
        <w:rPr>
          <w:rStyle w:val="Text6"/>
        </w:rPr>
        <w:t xml:space="preserve"> </w:t>
        <w:br w:clear="none"/>
      </w:r>
      <w:r>
        <w:t xml:space="preserve">places</w:t>
        <w:br w:clear="none"/>
      </w:r>
      <w:r>
        <w:rPr>
          <w:rStyle w:val="Text7"/>
        </w:rPr>
        <w:t xml:space="preserve">:</w:t>
        <w:br w:clear="none"/>
      </w:r>
      <w:r>
        <w:rPr>
          <w:rStyle w:val="Text6"/>
        </w:rPr>
        <w:t xml:space="preserve"/>
        <w:br w:clear="none"/>
        <w:t xml:space="preserve">            </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6"/>
        </w:rPr>
        <w:t xml:space="preserve"> </w:t>
        <w:br w:clear="none"/>
      </w:r>
      <w:r>
        <w:rPr>
          <w:rStyle w:val="Text13"/>
        </w:rPr>
        <w:t xml:space="preserve">=</w:t>
        <w:br w:clear="none"/>
      </w:r>
      <w:r>
        <w:rPr>
          <w:rStyle w:val="Text6"/>
        </w:rPr>
        <w:t xml:space="preserve"> </w:t>
        <w:br w:clear="none"/>
      </w:r>
      <w:r>
        <w:t xml:space="preserve">place</w:t>
        <w:br w:clear="none"/>
      </w:r>
      <w:r>
        <w:rPr>
          <w:rStyle w:val="Text13"/>
        </w:rPr>
        <w:t xml:space="preserve">.</w:t>
        <w:br w:clear="none"/>
      </w:r>
      <w:r>
        <w:t xml:space="preserve">split</w:t>
        <w:br w:clear="none"/>
      </w:r>
      <w:r>
        <w:rPr>
          <w:rStyle w:val="Text7"/>
        </w:rPr>
        <w:t xml:space="preserve">(</w:t>
        <w:br w:clear="none"/>
      </w:r>
      <w:r>
        <w:t xml:space="preserve">sep</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occurs in line </w:t>
        <w:br w:clear="none"/>
      </w:r>
      <w:r>
        <w:rPr>
          <w:rStyle w:val="Text32"/>
        </w:rPr>
        <w:t xml:space="preserve">{</w:t>
        <w:br w:clear="none"/>
      </w:r>
      <w:r>
        <w:t xml:space="preserve">lineno</w:t>
        <w:br w:clear="none"/>
      </w:r>
      <w:r>
        <w:rPr>
          <w:rStyle w:val="Text32"/>
        </w:rPr>
        <w:t xml:space="preserve">}</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of file </w:t>
        <w:br w:clear="none"/>
      </w:r>
      <w:r>
        <w:rPr>
          <w:rStyle w:val="Text32"/>
        </w:rPr>
        <w:t xml:space="preserve">{</w:t>
        <w:br w:clear="none"/>
      </w:r>
      <w:r>
        <w:t xml:space="preserve">fname</w:t>
        <w:br w:clear="none"/>
      </w:r>
      <w:r>
        <w:rPr>
          <w:rStyle w:val="Text32"/>
        </w:rPr>
        <w:t xml:space="preserve">!r}</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linecache</w:t>
        <w:br w:clear="none"/>
      </w:r>
      <w:r>
        <w:rPr>
          <w:rStyle w:val="Text13"/>
        </w:rPr>
        <w:t xml:space="preserve">.</w:t>
        <w:br w:clear="none"/>
      </w:r>
      <w:r>
        <w:t xml:space="preserve">getline</w:t>
        <w:br w:clear="none"/>
      </w:r>
      <w:r>
        <w:rPr>
          <w:rStyle w:val="Text7"/>
        </w:rPr>
        <w:t xml:space="preserve">(</w:t>
        <w:br w:clear="none"/>
      </w:r>
      <w:r>
        <w:t xml:space="preserve">fname</w:t>
        <w:br w:clear="none"/>
      </w:r>
      <w:r>
        <w:rPr>
          <w:rStyle w:val="Text7"/>
        </w:rPr>
        <w:t xml:space="preserve">,</w:t>
        <w:br w:clear="none"/>
      </w:r>
      <w:r>
        <w:rPr>
          <w:rStyle w:val="Text6"/>
        </w:rPr>
        <w:t xml:space="preserve"> </w:t>
        <w:br w:clear="none"/>
      </w:r>
      <w:r>
        <w:rPr>
          <w:rStyle w:val="Text16"/>
        </w:rPr>
        <w:t xml:space="preserve">int</w:t>
        <w:br w:clear="none"/>
      </w:r>
      <w:r>
        <w:rPr>
          <w:rStyle w:val="Text7"/>
        </w:rPr>
        <w:t xml:space="preserve">(</w:t>
        <w:br w:clear="none"/>
      </w:r>
      <w:r>
        <w:t xml:space="preserve">lineno</w:t>
        <w:br w:clear="none"/>
      </w:r>
      <w:r>
        <w:rPr>
          <w:rStyle w:val="Text7"/>
        </w:rPr>
        <w:t xml:space="preserve">)</w:t>
        <w:br w:clear="none"/>
        <w:t xml:space="preserve">)</w:t>
        <w:br w:clear="none"/>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p>
    <w:p>
      <w:bookmarkStart w:id="2999" w:name="The_Python_Database_API__DBAPI"/>
      <w:pPr>
        <w:keepNext/>
        <w:pStyle w:val="Heading 1"/>
      </w:pPr>
      <w:r>
        <w:t>The Python Database API (DBAPI)</w:t>
      </w:r>
      <w:bookmarkEnd w:id="2999"/>
    </w:p>
    <w:p>
      <w:pPr>
        <w:pStyle w:val="Normal"/>
      </w:pPr>
      <w:r>
        <w:t>As</w:t>
      </w:r>
      <w:r>
        <w:rPr>
          <w:rStyle w:val="Text111"/>
        </w:rPr>
        <w:bookmarkStart w:id="3000" w:name="idm45965198104192"/>
        <w:t/>
        <w:bookmarkEnd w:id="3000"/>
        <w:bookmarkStart w:id="3001" w:name="idm45965198102976"/>
        <w:t/>
        <w:bookmarkEnd w:id="3001"/>
        <w:bookmarkStart w:id="3002" w:name="PADdstand12"/>
        <w:t/>
        <w:bookmarkEnd w:id="3002"/>
      </w:r>
      <w:r>
        <w:t xml:space="preserve"> we mentioned earlier, the Python standard library does not come with an RDBMS interface (except for </w:t>
      </w:r>
      <w:r>
        <w:rPr>
          <w:rStyle w:val="Text0"/>
        </w:rPr>
        <w:t>sqlite3</w:t>
      </w:r>
      <w:r>
        <w:t xml:space="preserve">, covered in </w:t>
      </w:r>
      <w:hyperlink w:anchor="SQLite__SQLite_is_a_C_coded_libr">
        <w:r>
          <w:rPr>
            <w:rStyle w:val="Text1"/>
          </w:rPr>
          <w:t>“SQLite”</w:t>
        </w:r>
      </w:hyperlink>
      <w:r>
        <w:t xml:space="preserve">, which is a rich implementation, not just an interface). Many third-party modules let your Python programs access specific DBs. Such modules mostly follow the Python Database API 2.0 standard, aka the DBAPI, as specified in </w:t>
      </w:r>
      <w:hyperlink r:id="rId405">
        <w:r>
          <w:rPr>
            <w:rStyle w:val="Text1"/>
          </w:rPr>
          <w:t>PEP 249</w:t>
        </w:r>
      </w:hyperlink>
      <w:r>
        <w:t>.</w:t>
      </w:r>
    </w:p>
    <w:p>
      <w:pPr>
        <w:pStyle w:val="Normal"/>
      </w:pPr>
      <w:r>
        <w:t>After</w:t>
      </w:r>
      <w:r>
        <w:rPr>
          <w:rStyle w:val="Text111"/>
        </w:rPr>
        <w:bookmarkStart w:id="3003" w:name="idm45965198122640"/>
        <w:t/>
        <w:bookmarkEnd w:id="3003"/>
      </w:r>
      <w:r>
        <w:t xml:space="preserve"> importing any DBAPI-compliant module, you can call the module’s </w:t>
      </w:r>
      <w:r>
        <w:rPr>
          <w:rStyle w:val="Text0"/>
        </w:rPr>
        <w:t>connect</w:t>
      </w:r>
      <w:r>
        <w:t xml:space="preserve"> function with DB-specific parameters. </w:t>
      </w:r>
      <w:r>
        <w:rPr>
          <w:rStyle w:val="Text0"/>
        </w:rPr>
        <w:t>connect</w:t>
      </w:r>
      <w:r>
        <w:t xml:space="preserve"> returns </w:t>
      </w:r>
      <w:r>
        <w:rPr>
          <w:rStyle w:val="Text3"/>
        </w:rPr>
        <w:t>x</w:t>
      </w:r>
      <w:r>
        <w:t xml:space="preserve">, an instance of </w:t>
      </w:r>
      <w:r>
        <w:rPr>
          <w:rStyle w:val="Text0"/>
        </w:rPr>
        <w:t>Connection</w:t>
      </w:r>
      <w:r>
        <w:t xml:space="preserve">, which represents a connection to the DB. </w:t>
      </w:r>
      <w:r>
        <w:rPr>
          <w:rStyle w:val="Text3"/>
        </w:rPr>
        <w:t>x</w:t>
      </w:r>
      <w:r>
        <w:t xml:space="preserve"> supplies </w:t>
      </w:r>
      <w:r>
        <w:rPr>
          <w:rStyle w:val="Text0"/>
        </w:rPr>
        <w:t>commit</w:t>
      </w:r>
      <w:r>
        <w:t xml:space="preserve"> and </w:t>
      </w:r>
      <w:r>
        <w:rPr>
          <w:rStyle w:val="Text0"/>
        </w:rPr>
        <w:t>rollback</w:t>
      </w:r>
      <w:r>
        <w:t xml:space="preserve"> methods to deal with transactions, a </w:t>
      </w:r>
      <w:r>
        <w:rPr>
          <w:rStyle w:val="Text0"/>
        </w:rPr>
        <w:t>close</w:t>
      </w:r>
      <w:r>
        <w:t xml:space="preserve"> method to call as soon as you’re done with the DB, and a </w:t>
      </w:r>
      <w:r>
        <w:rPr>
          <w:rStyle w:val="Text0"/>
        </w:rPr>
        <w:t>cursor</w:t>
      </w:r>
      <w:r>
        <w:t xml:space="preserve"> method to return </w:t>
      </w:r>
      <w:r>
        <w:rPr>
          <w:rStyle w:val="Text3"/>
        </w:rPr>
        <w:t>c</w:t>
      </w:r>
      <w:r>
        <w:t xml:space="preserve">, an instance of </w:t>
      </w:r>
      <w:r>
        <w:rPr>
          <w:rStyle w:val="Text0"/>
        </w:rPr>
        <w:t>Cursor</w:t>
      </w:r>
      <w:r>
        <w:t xml:space="preserve">. </w:t>
      </w:r>
      <w:r>
        <w:rPr>
          <w:rStyle w:val="Text3"/>
        </w:rPr>
        <w:t>c</w:t>
      </w:r>
      <w:r>
        <w:t xml:space="preserve"> supplies the methods and attributes used for DB operations. A DBAPI-compliant module also supplies exception classes, descriptive attributes, factory functions, and type-description attributes.</w:t>
      </w:r>
    </w:p>
    <w:p>
      <w:bookmarkStart w:id="3004" w:name="Exception_Classes__A_DBAPI_compl"/>
      <w:pPr>
        <w:keepNext/>
        <w:pStyle w:val="Heading 2"/>
      </w:pPr>
      <w:r>
        <w:t>Exception Classes</w:t>
      </w:r>
      <w:bookmarkEnd w:id="3004"/>
    </w:p>
    <w:p>
      <w:pPr>
        <w:pStyle w:val="Normal"/>
      </w:pPr>
      <w:r>
        <w:t>A DBAPI-compliant module</w:t>
      </w:r>
      <w:r>
        <w:rPr>
          <w:rStyle w:val="Text111"/>
        </w:rPr>
        <w:bookmarkStart w:id="3005" w:name="idm45965198048960"/>
        <w:t/>
        <w:bookmarkEnd w:id="3005"/>
        <w:bookmarkStart w:id="3006" w:name="idm45965198047744"/>
        <w:t/>
        <w:bookmarkEnd w:id="3006"/>
      </w:r>
      <w:r>
        <w:t xml:space="preserve"> supplies the exception classes </w:t>
      </w:r>
      <w:r>
        <w:rPr>
          <w:rStyle w:val="Text0"/>
        </w:rPr>
        <w:t>Warning</w:t>
      </w:r>
      <w:r>
        <w:t xml:space="preserve">, </w:t>
      </w:r>
      <w:r>
        <w:rPr>
          <w:rStyle w:val="Text0"/>
        </w:rPr>
        <w:t>Error</w:t>
      </w:r>
      <w:r>
        <w:t xml:space="preserve">, and several subclasses of </w:t>
      </w:r>
      <w:r>
        <w:rPr>
          <w:rStyle w:val="Text0"/>
        </w:rPr>
        <w:t>Error</w:t>
      </w:r>
      <w:r>
        <w:t xml:space="preserve">. </w:t>
      </w:r>
      <w:r>
        <w:rPr>
          <w:rStyle w:val="Text0"/>
        </w:rPr>
        <w:t>Warning</w:t>
      </w:r>
      <w:r>
        <w:t xml:space="preserve"> indicates anomalies such as data truncation on insertion. </w:t>
      </w:r>
      <w:r>
        <w:rPr>
          <w:rStyle w:val="Text0"/>
        </w:rPr>
        <w:t>Error</w:t>
      </w:r>
      <w:r>
        <w:t>’s subclasses indicate various kinds of errors that your program can encounter when dealing with the DB and the DBAPI-compliant module that interfaces to it. Generally, your code uses a statement of the form:</w:t>
      </w:r>
    </w:p>
    <w:p>
      <w:pPr>
        <w:pStyle w:val="Para 007"/>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r>
        <w:rPr>
          <w:rStyle w:val="Text6"/>
        </w:rPr>
        <w:t xml:space="preserve"/>
        <w:br w:clear="none"/>
      </w:r>
      <w:r>
        <w:rPr>
          <w:rStyle w:val="Text10"/>
        </w:rPr>
        <w:t xml:space="preserve">except</w:t>
        <w:br w:clear="none"/>
      </w:r>
      <w:r>
        <w:rPr>
          <w:rStyle w:val="Text6"/>
        </w:rPr>
        <w:t xml:space="preserve"> </w:t>
        <w:br w:clear="none"/>
      </w:r>
      <w:r>
        <w:t xml:space="preserve">module</w:t>
        <w:br w:clear="none"/>
      </w:r>
      <w:r>
        <w:rPr>
          <w:rStyle w:val="Text13"/>
        </w:rPr>
        <w:t xml:space="preserve">.</w:t>
        <w:br w:clear="none"/>
      </w:r>
      <w:r>
        <w:t xml:space="preserve">Error</w:t>
        <w:br w:clear="none"/>
      </w:r>
      <w:r>
        <w:rPr>
          <w:rStyle w:val="Text6"/>
        </w:rPr>
        <w:t xml:space="preserve"> </w:t>
        <w:br w:clear="none"/>
      </w:r>
      <w:r>
        <w:rPr>
          <w:rStyle w:val="Text10"/>
        </w:rPr>
        <w:t xml:space="preserve">as</w:t>
        <w:br w:clear="none"/>
      </w:r>
      <w:r>
        <w:rPr>
          <w:rStyle w:val="Text6"/>
        </w:rPr>
        <w:t xml:space="preserve"> </w:t>
        <w:br w:clear="none"/>
      </w:r>
      <w:r>
        <w:t xml:space="preserve">err</w:t>
        <w:br w:clear="none"/>
      </w:r>
      <w:r>
        <w:rPr>
          <w:rStyle w:val="Text7"/>
        </w:rPr>
        <w:t xml:space="preserve">:</w:t>
        <w:br w:clear="none"/>
      </w:r>
      <w:r>
        <w:rPr>
          <w:rStyle w:val="Text6"/>
        </w:rPr>
        <w:t xml:space="preserve"/>
        <w:br w:clear="none"/>
        <w:t xml:space="preserve">    </w:t>
        <w:br w:clear="none"/>
      </w:r>
      <w:r>
        <w:rPr>
          <w:rStyle w:val="Text13"/>
        </w:rPr>
        <w:t xml:space="preserve">.</w:t>
        <w:br w:clear="none"/>
        <w:t xml:space="preserve">.</w:t>
        <w:br w:clear="none"/>
        <w:t xml:space="preserve">.</w:t>
        <w:br w:clear="none"/>
      </w:r>
    </w:p>
    <w:p>
      <w:pPr>
        <w:pStyle w:val="Normal"/>
      </w:pPr>
      <w:r>
        <w:t>to trap all DB-related errors that you need to handle without terminating.</w:t>
      </w:r>
    </w:p>
    <w:p>
      <w:bookmarkStart w:id="3007" w:name="Thread_Safety__When_a_DBAPI_comp"/>
      <w:pPr>
        <w:keepNext/>
        <w:pStyle w:val="Heading 2"/>
      </w:pPr>
      <w:r>
        <w:t>Thread Safety</w:t>
      </w:r>
      <w:bookmarkEnd w:id="3007"/>
    </w:p>
    <w:p>
      <w:pPr>
        <w:pStyle w:val="Normal"/>
      </w:pPr>
      <w:r>
        <w:t>When</w:t>
      </w:r>
      <w:r>
        <w:rPr>
          <w:rStyle w:val="Text111"/>
        </w:rPr>
        <w:bookmarkStart w:id="3008" w:name="idm45965198026128"/>
        <w:t/>
        <w:bookmarkEnd w:id="3008"/>
        <w:bookmarkStart w:id="3009" w:name="idm45965198024752"/>
        <w:t/>
        <w:bookmarkEnd w:id="3009"/>
      </w:r>
      <w:r>
        <w:t xml:space="preserve"> a DBAPI-compliant module has a </w:t>
      </w:r>
      <w:r>
        <w:rPr>
          <w:rStyle w:val="Text0"/>
        </w:rPr>
        <w:t>threadsafety</w:t>
      </w:r>
      <w:r>
        <w:t xml:space="preserve"> attribute greater than </w:t>
      </w:r>
      <w:r>
        <w:rPr>
          <w:rStyle w:val="Text0"/>
        </w:rPr>
        <w:t>0</w:t>
      </w:r>
      <w:r>
        <w:t xml:space="preserve">, the module is asserting some level of thread safety for DB interfacing. Rather than relying on this, it’s usually safer, and always more portable, to ensure that a single thread has exclusive access to any given external resource, such as a DB, as outlined in </w:t>
      </w:r>
      <w:hyperlink w:anchor="Threaded_Program_Architecture__A">
        <w:r>
          <w:rPr>
            <w:rStyle w:val="Text1"/>
          </w:rPr>
          <w:t>“Threaded Program Architecture”</w:t>
        </w:r>
      </w:hyperlink>
      <w:r>
        <w:t>.</w:t>
      </w:r>
    </w:p>
    <w:p>
      <w:bookmarkStart w:id="3010" w:name="Parameter_Style__A_DBAPI_complia"/>
      <w:pPr>
        <w:keepNext/>
        <w:pStyle w:val="Heading 2"/>
      </w:pPr>
      <w:r>
        <w:t>Parameter Style</w:t>
      </w:r>
      <w:bookmarkEnd w:id="3010"/>
    </w:p>
    <w:p>
      <w:pPr>
        <w:pStyle w:val="Normal"/>
      </w:pPr>
      <w:r>
        <w:t>A</w:t>
      </w:r>
      <w:r>
        <w:rPr>
          <w:rStyle w:val="Text111"/>
        </w:rPr>
        <w:bookmarkStart w:id="3011" w:name="idm45965197994544"/>
        <w:t/>
        <w:bookmarkEnd w:id="3011"/>
        <w:bookmarkStart w:id="3012" w:name="idm45965197993328"/>
        <w:t/>
        <w:bookmarkEnd w:id="3012"/>
      </w:r>
      <w:r>
        <w:t xml:space="preserve"> DBAPI-compliant module has an attribute called </w:t>
      </w:r>
      <w:r>
        <w:rPr>
          <w:rStyle w:val="Text0"/>
        </w:rPr>
        <w:t>paramstyle</w:t>
      </w:r>
      <w:r>
        <w:t xml:space="preserve"> to identify the style of markers used as placeholders for parameters. Insert such markers in SQL statement strings that you pass to methods of </w:t>
      </w:r>
      <w:r>
        <w:rPr>
          <w:rStyle w:val="Text0"/>
        </w:rPr>
        <w:t>Cursor</w:t>
      </w:r>
      <w:r>
        <w:t xml:space="preserve"> instances, such as the method </w:t>
      </w:r>
      <w:r>
        <w:rPr>
          <w:rStyle w:val="Text0"/>
        </w:rPr>
        <w:t>execute</w:t>
      </w:r>
      <w:r>
        <w:t xml:space="preserve">, to use runtime-determined parameter values. Say, for example, that you need to fetch the rows of DB table </w:t>
      </w:r>
      <w:r>
        <w:rPr>
          <w:rStyle w:val="Text3"/>
        </w:rPr>
        <w:t>ATABLE</w:t>
      </w:r>
      <w:r>
        <w:t xml:space="preserve"> where field </w:t>
      </w:r>
      <w:r>
        <w:rPr>
          <w:rStyle w:val="Text3"/>
        </w:rPr>
        <w:t>AFIELD</w:t>
      </w:r>
      <w:r>
        <w:t xml:space="preserve"> equals the current value of Python variable </w:t>
      </w:r>
      <w:r>
        <w:rPr>
          <w:rStyle w:val="Text3"/>
        </w:rPr>
        <w:t>x</w:t>
      </w:r>
      <w:r>
        <w:t xml:space="preserve">. Assuming the cursor instance is named </w:t>
      </w:r>
      <w:r>
        <w:rPr>
          <w:rStyle w:val="Text3"/>
        </w:rPr>
        <w:t>c</w:t>
      </w:r>
      <w:r>
        <w:t xml:space="preserve">, you </w:t>
      </w:r>
      <w:r>
        <w:rPr>
          <w:rStyle w:val="Text4"/>
        </w:rPr>
        <w:t>could</w:t>
      </w:r>
      <w:r>
        <w:t xml:space="preserve"> theoretically (but very ill-advisedly!) perform this task with Python’s string formatting:</w:t>
      </w:r>
    </w:p>
    <w:p>
      <w:pPr>
        <w:pStyle w:val="Para 020"/>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rPr>
          <w:rStyle w:val="Text6"/>
        </w:rPr>
        <w:t xml:space="preserve">f</w:t>
        <w:br w:clear="none"/>
      </w:r>
      <w:r>
        <w:t xml:space="preserve">'SELECT * FROM ATABLE WHERE AFIELD=</w:t>
        <w:br w:clear="none"/>
      </w:r>
      <w:r>
        <w:rPr>
          <w:rStyle w:val="Text32"/>
        </w:rPr>
        <w:t xml:space="preserve">{</w:t>
        <w:br w:clear="none"/>
      </w:r>
      <w:r>
        <w:rPr>
          <w:rStyle w:val="Text9"/>
        </w:rPr>
        <w:t xml:space="preserve">x</w:t>
        <w:br w:clear="none"/>
      </w:r>
      <w:r>
        <w:rPr>
          <w:rStyle w:val="Text32"/>
        </w:rPr>
        <w:t xml:space="preserve">!r}</w:t>
        <w:br w:clear="none"/>
      </w:r>
      <w:r>
        <w:t xml:space="preserve">'</w:t>
        <w:br w:clear="none"/>
      </w:r>
      <w:r>
        <w:rPr>
          <w:rStyle w:val="Text7"/>
        </w:rPr>
        <w:t xml:space="preserve">)</w:t>
        <w:br w:clear="none"/>
      </w:r>
    </w:p>
    <w:p>
      <w:pPr>
        <w:keepNext/>
        <w:pStyle w:val="Heading 6"/>
        <w:keepLines w:val="on"/>
      </w:pPr>
      <w:r>
        <w:t>Avoid SQL Query String Formatting: Use Parameter Substitution</w:t>
      </w:r>
    </w:p>
    <w:p>
      <w:pPr>
        <w:pStyle w:val="Para 012"/>
        <w:keepLines w:val="on"/>
      </w:pPr>
      <w:r>
        <w:t>String formatting</w:t>
      </w:r>
      <w:r>
        <w:rPr>
          <w:rStyle w:val="Text111"/>
        </w:rPr>
        <w:bookmarkStart w:id="3013" w:name="idm45965197983072"/>
        <w:t/>
        <w:bookmarkEnd w:id="3013"/>
      </w:r>
      <w:r>
        <w:t xml:space="preserve"> is </w:t>
      </w:r>
      <w:r>
        <w:rPr>
          <w:rStyle w:val="Text4"/>
        </w:rPr>
        <w:t>not</w:t>
      </w:r>
      <w:r>
        <w:t xml:space="preserve"> the recommended approach. It generates a different string for each value of </w:t>
      </w:r>
      <w:r>
        <w:rPr>
          <w:rStyle w:val="Text3"/>
        </w:rPr>
        <w:t>x</w:t>
      </w:r>
      <w:r>
        <w:t>, requiring statements to be parsed and prepared anew each time; it also opens up the possibility of security weaknesses, such as</w:t>
      </w:r>
      <w:r>
        <w:rPr>
          <w:rStyle w:val="Text111"/>
        </w:rPr>
        <w:bookmarkStart w:id="3014" w:name="idm45965197980272"/>
        <w:t/>
        <w:bookmarkEnd w:id="3014"/>
      </w:r>
      <w:r>
        <w:t xml:space="preserve"> </w:t>
      </w:r>
      <w:hyperlink r:id="rId406">
        <w:r>
          <w:rPr>
            <w:rStyle w:val="Text1"/>
          </w:rPr>
          <w:t>SQL injection</w:t>
        </w:r>
      </w:hyperlink>
      <w:r>
        <w:t xml:space="preserve"> vulnerabilities. With</w:t>
      </w:r>
      <w:r>
        <w:rPr>
          <w:rStyle w:val="Text111"/>
        </w:rPr>
        <w:bookmarkStart w:id="3015" w:name="idm45965197962128"/>
        <w:t/>
        <w:bookmarkEnd w:id="3015"/>
      </w:r>
      <w:r>
        <w:t xml:space="preserve"> parameter substitution, you pass to </w:t>
      </w:r>
      <w:r>
        <w:rPr>
          <w:rStyle w:val="Text0"/>
        </w:rPr>
        <w:t>execute</w:t>
      </w:r>
      <w:r>
        <w:t xml:space="preserve"> a single statement string, with a placeholder instead of the parameter value. This lets </w:t>
      </w:r>
      <w:r>
        <w:rPr>
          <w:rStyle w:val="Text0"/>
        </w:rPr>
        <w:t>execute</w:t>
      </w:r>
      <w:r>
        <w:t xml:space="preserve"> parse and prepare the statement just once, for better performance; more importantly, parameter substitution improves solidity and security, hampering SQL injection attacks.</w:t>
      </w:r>
    </w:p>
    <w:p>
      <w:pPr>
        <w:pStyle w:val="Normal"/>
      </w:pPr>
      <w:r>
        <w:t xml:space="preserve">For example, when a module’s </w:t>
      </w:r>
      <w:r>
        <w:rPr>
          <w:rStyle w:val="Text0"/>
        </w:rPr>
        <w:t>paramstyle</w:t>
      </w:r>
      <w:r>
        <w:t xml:space="preserve"> attribute (described next) is </w:t>
      </w:r>
      <w:r>
        <w:rPr>
          <w:rStyle w:val="Text0"/>
        </w:rPr>
        <w:t>'qmark'</w:t>
      </w:r>
      <w:r>
        <w:t>, you could express the preceding query as:</w:t>
      </w:r>
    </w:p>
    <w:p>
      <w:pPr>
        <w:pStyle w:val="Para 020"/>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w:t>
        <w:br w:clear="none"/>
      </w:r>
      <w:r>
        <w:rPr>
          <w:rStyle w:val="Text7"/>
        </w:rPr>
        <w:t xml:space="preserve">,</w:t>
        <w:br w:clear="none"/>
      </w:r>
      <w:r>
        <w:rPr>
          <w:rStyle w:val="Text23"/>
        </w:rPr>
        <w:t xml:space="preserve"> </w:t>
        <w:br w:clear="none"/>
      </w:r>
      <w:r>
        <w:rPr>
          <w:rStyle w:val="Text7"/>
        </w:rPr>
        <w:t xml:space="preserve">(</w:t>
        <w:br w:clear="none"/>
      </w:r>
      <w:r>
        <w:rPr>
          <w:rStyle w:val="Text9"/>
        </w:rPr>
        <w:t xml:space="preserve">some_value</w:t>
        <w:br w:clear="none"/>
      </w:r>
      <w:r>
        <w:rPr>
          <w:rStyle w:val="Text7"/>
        </w:rPr>
        <w:t xml:space="preserve">,))</w:t>
        <w:br w:clear="none"/>
      </w:r>
    </w:p>
    <w:p>
      <w:pPr>
        <w:pStyle w:val="Normal"/>
      </w:pPr>
      <w:r>
        <w:t xml:space="preserve">The read-only string attribute </w:t>
      </w:r>
      <w:r>
        <w:rPr>
          <w:rStyle w:val="Text0"/>
        </w:rPr>
        <w:t>paramstyle</w:t>
      </w:r>
      <w:r>
        <w:t xml:space="preserve"> tells your program how it should use parameter substitution with that module. The possible values of </w:t>
      </w:r>
      <w:r>
        <w:rPr>
          <w:rStyle w:val="Text0"/>
        </w:rPr>
        <w:t>paramstyle</w:t>
      </w:r>
      <w:r>
        <w:t xml:space="preserve"> are shown in </w:t>
      </w:r>
      <w:hyperlink w:anchor="Table_12_8__Possible_values_of_t">
        <w:r>
          <w:rPr>
            <w:rStyle w:val="Text1"/>
          </w:rPr>
          <w:t>Table 12-8</w:t>
        </w:r>
      </w:hyperlink>
      <w:r>
        <w:t>.</w:t>
      </w:r>
    </w:p>
    <w:tbl>
      <w:tblPr>
        <w:tblW w:type="auto" w:w="0"/>
      </w:tblPr>
      <w:tr>
        <w:tc>
          <w:tcPr>
            <w:tcW w:type="auto" w:w="0"/>
            <w:tcMar>
              <w:left w:type="dxa" w:w="200"/>
              <w:top w:type="dxa" w:w="200"/>
              <w:right w:type="dxa" w:w="200"/>
              <w:bottom w:type="dxa" w:w="200"/>
            </w:tcMar>
          </w:tcPr>
          <w:p>
            <w:bookmarkStart w:id="3016" w:name="Table_12_8__Possible_values_of_t"/>
            <w:pPr>
              <w:pStyle w:val="Para 011"/>
            </w:pPr>
            <w:r>
              <w:rPr>
                <w:rStyle w:val="Text117"/>
              </w:rPr>
              <w:t/>
            </w:r>
            <w:r>
              <w:t xml:space="preserve">Table 12-8. </w:t>
              <w:t xml:space="preserve">Possible values of the </w:t>
            </w:r>
            <w:r>
              <w:rPr>
                <w:rStyle w:val="Text0"/>
              </w:rPr>
              <w:t>paramstyle</w:t>
            </w:r>
            <w:r>
              <w:t xml:space="preserve"> attribute</w:t>
            </w:r>
            <w:bookmarkEnd w:id="3016"/>
          </w:p>
          <w:p>
            <w:pPr>
              <w:pStyle w:val="Para 001"/>
            </w:pPr>
            <w:r>
              <w:t>format</w:t>
            </w:r>
          </w:p>
        </w:tc>
        <w:tc>
          <w:tcPr>
            <w:tcW w:type="auto" w:w="0"/>
            <w:tcMar>
              <w:left w:type="dxa" w:w="200"/>
              <w:top w:type="dxa" w:w="200"/>
              <w:right w:type="dxa" w:w="200"/>
              <w:bottom w:type="dxa" w:w="200"/>
            </w:tcMar>
          </w:tcPr>
          <w:p>
            <w:pPr>
              <w:pStyle w:val="Para 002"/>
            </w:pPr>
            <w:r>
              <w:t>The</w:t>
            </w:r>
            <w:r>
              <w:rPr>
                <w:rStyle w:val="Text111"/>
              </w:rPr>
              <w:bookmarkStart w:id="3017" w:name="idm45965197920432"/>
              <w:t/>
              <w:bookmarkEnd w:id="3017"/>
              <w:bookmarkStart w:id="3018" w:name="idm45965197919056"/>
              <w:t/>
              <w:bookmarkEnd w:id="3018"/>
            </w:r>
            <w:r>
              <w:t xml:space="preserve"> marker is </w:t>
            </w:r>
            <w:r>
              <w:rPr>
                <w:rStyle w:val="Text0"/>
              </w:rPr>
              <w:t>%s</w:t>
            </w:r>
            <w:r>
              <w:t xml:space="preserve">, as in old-style string formatting (always with </w:t>
            </w:r>
            <w:r>
              <w:rPr>
                <w:rStyle w:val="Text0"/>
              </w:rPr>
              <w:t>s</w:t>
            </w:r>
            <w:r>
              <w:t xml:space="preserve">: never use other type indicator letters, whatever the data’s type). A query looks like: </w:t>
            </w:r>
          </w:p>
          <w:p>
            <w:pPr>
              <w:pStyle w:val="Para 044"/>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w:t>
              <w:br w:clear="none"/>
            </w:r>
            <w:r>
              <w:rPr>
                <w:rStyle w:val="Text32"/>
              </w:rPr>
              <w:t xml:space="preserve">%s</w:t>
              <w:br w:clear="none"/>
            </w:r>
            <w:r>
              <w:t xml:space="preserve">'</w:t>
              <w:br w:clear="none"/>
            </w:r>
            <w:r>
              <w:rPr>
                <w:rStyle w:val="Text7"/>
              </w:rPr>
              <w:t xml:space="preserve">,</w:t>
              <w:br w:clear="none"/>
            </w:r>
            <w:r>
              <w:rPr>
                <w:rStyle w:val="Text23"/>
              </w:rPr>
              <w:t xml:space="preserve"> </w:t>
              <w:br w:clear="none"/>
              <w:t xml:space="preserve">          </w:t>
              <w:br w:clear="none"/>
            </w:r>
            <w:r>
              <w:rPr>
                <w:rStyle w:val="Text7"/>
              </w:rPr>
              <w:t xml:space="preserve">(</w:t>
              <w:br w:clear="none"/>
            </w:r>
            <w:r>
              <w:rPr>
                <w:rStyle w:val="Text9"/>
              </w:rPr>
              <w:t xml:space="preserve">some_value</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named</w:t>
            </w:r>
          </w:p>
        </w:tc>
        <w:tc>
          <w:tcPr>
            <w:tcW w:type="auto" w:w="0"/>
            <w:shd w:val="clear" w:color="auto" w:fill="EEF2F6"/>
            <w:tcMar>
              <w:left w:type="dxa" w:w="200"/>
              <w:top w:type="dxa" w:w="200"/>
              <w:right w:type="dxa" w:w="200"/>
              <w:bottom w:type="dxa" w:w="200"/>
            </w:tcMar>
          </w:tcPr>
          <w:p>
            <w:pPr>
              <w:pStyle w:val="Para 002"/>
            </w:pPr>
            <w:r>
              <w:t xml:space="preserve">The marker is </w:t>
            </w:r>
            <w:r>
              <w:rPr>
                <w:rStyle w:val="Text0"/>
              </w:rPr>
              <w:t>:</w:t>
            </w:r>
            <w:r>
              <w:rPr>
                <w:rStyle w:val="Text3"/>
              </w:rPr>
              <w:t>name</w:t>
            </w:r>
            <w:r>
              <w:t xml:space="preserve">, and parameters are named. A query looks like: </w:t>
            </w:r>
          </w:p>
          <w:p>
            <w:pPr>
              <w:pStyle w:val="Para 045"/>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AFIELD=:x'</w:t>
              <w:br w:clear="none"/>
            </w:r>
            <w:r>
              <w:rPr>
                <w:rStyle w:val="Text7"/>
              </w:rPr>
              <w:t xml:space="preserve">,</w:t>
              <w:br w:clear="none"/>
            </w:r>
            <w:r>
              <w:rPr>
                <w:rStyle w:val="Text23"/>
              </w:rPr>
              <w:t xml:space="preserve"> </w:t>
              <w:br w:clear="none"/>
              <w:t xml:space="preserve">          </w:t>
              <w:br w:clear="none"/>
            </w:r>
            <w:r>
              <w:rPr>
                <w:rStyle w:val="Text7"/>
              </w:rPr>
              <w:t xml:space="preserve">{</w:t>
              <w:br w:clear="none"/>
            </w:r>
            <w:r>
              <w:t xml:space="preserve">'x'</w:t>
              <w:br w:clear="none"/>
            </w:r>
            <w:r>
              <w:rPr>
                <w:rStyle w:val="Text7"/>
              </w:rPr>
              <w:t xml:space="preserve">:</w:t>
              <w:br w:clear="none"/>
            </w:r>
            <w:r>
              <w:rPr>
                <w:rStyle w:val="Text9"/>
              </w:rPr>
              <w:t xml:space="preserve">some_value</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numeric</w:t>
            </w:r>
          </w:p>
        </w:tc>
        <w:tc>
          <w:tcPr>
            <w:tcW w:type="auto" w:w="0"/>
            <w:tcMar>
              <w:left w:type="dxa" w:w="200"/>
              <w:top w:type="dxa" w:w="200"/>
              <w:right w:type="dxa" w:w="200"/>
              <w:bottom w:type="dxa" w:w="200"/>
            </w:tcMar>
          </w:tcPr>
          <w:p>
            <w:pPr>
              <w:pStyle w:val="Para 002"/>
            </w:pPr>
            <w:r>
              <w:t xml:space="preserve">The marker is </w:t>
            </w:r>
            <w:r>
              <w:rPr>
                <w:rStyle w:val="Text0"/>
              </w:rPr>
              <w:t>:n</w:t>
            </w:r>
            <w:r>
              <w:t xml:space="preserve">, giving the parameter’s number, 1 and up. A query looks like: </w:t>
            </w:r>
          </w:p>
          <w:p>
            <w:pPr>
              <w:pStyle w:val="Para 044"/>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AFIELD=:1'</w:t>
              <w:br w:clear="none"/>
            </w:r>
            <w:r>
              <w:rPr>
                <w:rStyle w:val="Text7"/>
              </w:rPr>
              <w:t xml:space="preserve">,</w:t>
              <w:br w:clear="none"/>
            </w:r>
            <w:r>
              <w:rPr>
                <w:rStyle w:val="Text23"/>
              </w:rPr>
              <w:t xml:space="preserve"> </w:t>
              <w:br w:clear="none"/>
              <w:t xml:space="preserve">          </w:t>
              <w:br w:clear="none"/>
            </w:r>
            <w:r>
              <w:rPr>
                <w:rStyle w:val="Text7"/>
              </w:rPr>
              <w:t xml:space="preserve">(</w:t>
              <w:br w:clear="none"/>
            </w:r>
            <w:r>
              <w:rPr>
                <w:rStyle w:val="Text9"/>
              </w:rPr>
              <w:t xml:space="preserve">some_value</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pyformat</w:t>
            </w:r>
          </w:p>
        </w:tc>
        <w:tc>
          <w:tcPr>
            <w:tcW w:type="auto" w:w="0"/>
            <w:shd w:val="clear" w:color="auto" w:fill="EEF2F6"/>
            <w:tcMar>
              <w:left w:type="dxa" w:w="200"/>
              <w:top w:type="dxa" w:w="200"/>
              <w:right w:type="dxa" w:w="200"/>
              <w:bottom w:type="dxa" w:w="200"/>
            </w:tcMar>
          </w:tcPr>
          <w:p>
            <w:pPr>
              <w:pStyle w:val="Para 002"/>
            </w:pPr>
            <w:r>
              <w:t xml:space="preserve">The marker is </w:t>
            </w:r>
            <w:r>
              <w:rPr>
                <w:rStyle w:val="Text0"/>
              </w:rPr>
              <w:t>%(</w:t>
            </w:r>
            <w:r>
              <w:rPr>
                <w:rStyle w:val="Text3"/>
              </w:rPr>
              <w:t>name</w:t>
            </w:r>
            <w:r>
              <w:rPr>
                <w:rStyle w:val="Text0"/>
              </w:rPr>
              <w:t>)s</w:t>
            </w:r>
            <w:r>
              <w:t xml:space="preserve">, and parameters are named. Always use </w:t>
            </w:r>
            <w:r>
              <w:rPr>
                <w:rStyle w:val="Text0"/>
              </w:rPr>
              <w:t>s</w:t>
            </w:r>
            <w:r>
              <w:t xml:space="preserve">: never use other type indicator letters, whatever the data’s type. A query looks like: </w:t>
            </w:r>
          </w:p>
          <w:p>
            <w:pPr>
              <w:pStyle w:val="Para 045"/>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w:t>
              <w:br w:clear="none"/>
            </w:r>
            <w:r>
              <w:rPr>
                <w:rStyle w:val="Text32"/>
              </w:rPr>
              <w:t xml:space="preserve">%(x)s</w:t>
              <w:br w:clear="none"/>
            </w:r>
            <w:r>
              <w:t xml:space="preserve">'</w:t>
              <w:br w:clear="none"/>
            </w:r>
            <w:r>
              <w:rPr>
                <w:rStyle w:val="Text7"/>
              </w:rPr>
              <w:t xml:space="preserve">,</w:t>
              <w:br w:clear="none"/>
            </w:r>
            <w:r>
              <w:rPr>
                <w:rStyle w:val="Text23"/>
              </w:rPr>
              <w:t xml:space="preserve"/>
              <w:br w:clear="none"/>
              <w:t xml:space="preserve">          </w:t>
              <w:br w:clear="none"/>
            </w:r>
            <w:r>
              <w:rPr>
                <w:rStyle w:val="Text7"/>
              </w:rPr>
              <w:t xml:space="preserve">{</w:t>
              <w:br w:clear="none"/>
            </w:r>
            <w:r>
              <w:t xml:space="preserve">'x'</w:t>
              <w:br w:clear="none"/>
            </w:r>
            <w:r>
              <w:rPr>
                <w:rStyle w:val="Text7"/>
              </w:rPr>
              <w:t xml:space="preserve">:</w:t>
              <w:br w:clear="none"/>
            </w:r>
            <w:r>
              <w:rPr>
                <w:rStyle w:val="Text9"/>
              </w:rPr>
              <w:t xml:space="preserve">some_value</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qmark</w:t>
            </w:r>
          </w:p>
        </w:tc>
        <w:tc>
          <w:tcPr>
            <w:tcW w:type="auto" w:w="0"/>
            <w:tcMar>
              <w:left w:type="dxa" w:w="200"/>
              <w:top w:type="dxa" w:w="200"/>
              <w:right w:type="dxa" w:w="200"/>
              <w:bottom w:type="dxa" w:w="200"/>
            </w:tcMar>
          </w:tcPr>
          <w:p>
            <w:pPr>
              <w:pStyle w:val="Para 002"/>
            </w:pPr>
            <w:r>
              <w:t xml:space="preserve">The marker is </w:t>
            </w:r>
            <w:r>
              <w:rPr>
                <w:rStyle w:val="Text0"/>
              </w:rPr>
              <w:t>?</w:t>
            </w:r>
            <w:r>
              <w:t xml:space="preserve">. A query looks like: </w:t>
            </w:r>
          </w:p>
          <w:p>
            <w:pPr>
              <w:pStyle w:val="Para 044"/>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'SELECT * FROM ATABLE WHERE AFIELD=?'</w:t>
              <w:br w:clear="none"/>
            </w:r>
            <w:r>
              <w:rPr>
                <w:rStyle w:val="Text7"/>
              </w:rPr>
              <w:t xml:space="preserve">,</w:t>
              <w:br w:clear="none"/>
            </w:r>
            <w:r>
              <w:rPr>
                <w:rStyle w:val="Text23"/>
              </w:rPr>
              <w:t xml:space="preserve"> </w:t>
              <w:br w:clear="none"/>
            </w:r>
            <w:r>
              <w:rPr>
                <w:rStyle w:val="Text7"/>
              </w:rPr>
              <w:t xml:space="preserve">(</w:t>
              <w:br w:clear="none"/>
            </w:r>
            <w:r>
              <w:rPr>
                <w:rStyle w:val="Text9"/>
              </w:rPr>
              <w:t xml:space="preserve">x</w:t>
              <w:br w:clear="none"/>
            </w:r>
            <w:r>
              <w:rPr>
                <w:rStyle w:val="Text7"/>
              </w:rPr>
              <w:t xml:space="preserve">,))</w:t>
              <w:br w:clear="none"/>
            </w:r>
          </w:p>
        </w:tc>
      </w:tr>
    </w:tbl>
    <w:p>
      <w:pPr>
        <w:pStyle w:val="Normal"/>
      </w:pPr>
      <w:r>
        <w:t xml:space="preserve">When parameters are named (i.e., when </w:t>
      </w:r>
      <w:r>
        <w:rPr>
          <w:rStyle w:val="Text0"/>
        </w:rPr>
        <w:t>paramstyle</w:t>
      </w:r>
      <w:r>
        <w:t xml:space="preserve"> is </w:t>
      </w:r>
      <w:r>
        <w:rPr>
          <w:rStyle w:val="Text0"/>
        </w:rPr>
        <w:t>'pyformat'</w:t>
      </w:r>
      <w:r>
        <w:t xml:space="preserve"> or </w:t>
      </w:r>
      <w:r>
        <w:rPr>
          <w:rStyle w:val="Text0"/>
        </w:rPr>
        <w:t>'named'</w:t>
      </w:r>
      <w:r>
        <w:t xml:space="preserve">), the second argument of the </w:t>
      </w:r>
      <w:r>
        <w:rPr>
          <w:rStyle w:val="Text0"/>
        </w:rPr>
        <w:t>execute</w:t>
      </w:r>
      <w:r>
        <w:t xml:space="preserve"> method is a mapping. Otherwise, the second argument is a sequence.</w:t>
      </w:r>
    </w:p>
    <w:p>
      <w:pPr>
        <w:keepNext/>
        <w:pStyle w:val="Heading 5"/>
        <w:keepLines w:val="on"/>
      </w:pPr>
      <w:r>
        <w:t>format and pyformat Only Accept Type Indicator s</w:t>
      </w:r>
    </w:p>
    <w:p>
      <w:pPr>
        <w:pStyle w:val="Para 012"/>
        <w:keepLines w:val="on"/>
      </w:pPr>
      <w:r>
        <w:t xml:space="preserve">The </w:t>
      </w:r>
      <w:r>
        <w:rPr>
          <w:rStyle w:val="Text4"/>
        </w:rPr>
        <w:t>only</w:t>
      </w:r>
      <w:r>
        <w:t xml:space="preserve"> valid type indicator letter for </w:t>
      </w:r>
      <w:r>
        <w:rPr>
          <w:rStyle w:val="Text0"/>
        </w:rPr>
        <w:t>format</w:t>
      </w:r>
      <w:r>
        <w:t xml:space="preserve"> or </w:t>
      </w:r>
      <w:r>
        <w:rPr>
          <w:rStyle w:val="Text0"/>
        </w:rPr>
        <w:t>pyformat</w:t>
      </w:r>
      <w:r>
        <w:t xml:space="preserve"> is </w:t>
      </w:r>
      <w:r>
        <w:rPr>
          <w:rStyle w:val="Text0"/>
        </w:rPr>
        <w:t>s</w:t>
      </w:r>
      <w:r>
        <w:t xml:space="preserve">; neither accepts any other type indicator—for example, never use </w:t>
      </w:r>
      <w:r>
        <w:rPr>
          <w:rStyle w:val="Text0"/>
        </w:rPr>
        <w:t>%d</w:t>
      </w:r>
      <w:r>
        <w:t xml:space="preserve"> or </w:t>
      </w:r>
      <w:r>
        <w:rPr>
          <w:rStyle w:val="Text0"/>
        </w:rPr>
        <w:t>%(</w:t>
      </w:r>
      <w:r>
        <w:rPr>
          <w:rStyle w:val="Text3"/>
        </w:rPr>
        <w:t>name</w:t>
      </w:r>
      <w:r>
        <w:rPr>
          <w:rStyle w:val="Text0"/>
        </w:rPr>
        <w:t>)d</w:t>
      </w:r>
      <w:r>
        <w:t>. Use</w:t>
      </w:r>
      <w:r>
        <w:rPr>
          <w:rStyle w:val="Text111"/>
        </w:rPr>
        <w:bookmarkStart w:id="3019" w:name="idm45965197737728"/>
        <w:t/>
        <w:bookmarkEnd w:id="3019"/>
      </w:r>
      <w:r>
        <w:t xml:space="preserve"> </w:t>
      </w:r>
      <w:r>
        <w:rPr>
          <w:rStyle w:val="Text0"/>
        </w:rPr>
        <w:t>%s</w:t>
      </w:r>
      <w:r>
        <w:t xml:space="preserve"> or </w:t>
      </w:r>
      <w:r>
        <w:rPr>
          <w:rStyle w:val="Text0"/>
        </w:rPr>
        <w:t>%(</w:t>
      </w:r>
      <w:r>
        <w:rPr>
          <w:rStyle w:val="Text3"/>
        </w:rPr>
        <w:t>name</w:t>
      </w:r>
      <w:r>
        <w:rPr>
          <w:rStyle w:val="Text0"/>
        </w:rPr>
        <w:t>)s</w:t>
      </w:r>
      <w:r>
        <w:t xml:space="preserve"> for all parameter substitutions, regardless of the type of the data.</w:t>
      </w:r>
    </w:p>
    <w:p>
      <w:bookmarkStart w:id="3020" w:name="Factory_Functions__Parameters_pa"/>
      <w:pPr>
        <w:keepNext/>
        <w:pStyle w:val="Heading 2"/>
      </w:pPr>
      <w:r>
        <w:t>Factory Functions</w:t>
      </w:r>
      <w:bookmarkEnd w:id="3020"/>
    </w:p>
    <w:p>
      <w:pPr>
        <w:pStyle w:val="Normal"/>
      </w:pPr>
      <w:r>
        <w:t>Parameters</w:t>
      </w:r>
      <w:r>
        <w:rPr>
          <w:rStyle w:val="Text111"/>
        </w:rPr>
        <w:bookmarkStart w:id="3021" w:name="idm45965197733008"/>
        <w:t/>
        <w:bookmarkEnd w:id="3021"/>
        <w:bookmarkStart w:id="3022" w:name="idm45965197719024"/>
        <w:t/>
        <w:bookmarkEnd w:id="3022"/>
      </w:r>
      <w:r>
        <w:t xml:space="preserve"> passed to the DB via placeholders must typically be of the right type: this means Python numbers (integers or floating-point values), strings (bytes or Unicode), and </w:t>
      </w:r>
      <w:r>
        <w:rPr>
          <w:rStyle w:val="Text5"/>
        </w:rPr>
        <w:t>None</w:t>
      </w:r>
      <w:r>
        <w:t xml:space="preserve"> to represent SQL </w:t>
      </w:r>
      <w:r>
        <w:rPr>
          <w:rStyle w:val="Text0"/>
        </w:rPr>
        <w:t>NULL</w:t>
      </w:r>
      <w:r>
        <w:t xml:space="preserve">. There is no type universally used to represent dates, times, and binary large objects (BLOBs). A DBAPI-compliant module supplies factory functions to build such objects. The types used for this purpose by most DBAPI-compliant modules are those supplied by the </w:t>
      </w:r>
      <w:r>
        <w:rPr>
          <w:rStyle w:val="Text0"/>
        </w:rPr>
        <w:t>datetime</w:t>
      </w:r>
      <w:r>
        <w:t xml:space="preserve"> module (covered in </w:t>
      </w:r>
      <w:hyperlink w:anchor="Chapter_13__Time_Operations__A_P_2">
        <w:r>
          <w:rPr>
            <w:rStyle w:val="Text1"/>
          </w:rPr>
          <w:t>Chapter 13</w:t>
        </w:r>
      </w:hyperlink>
      <w:r>
        <w:t xml:space="preserve">), and strings or buffer types for BLOBs. The factory functions specified by the DBAPI are listed in </w:t>
      </w:r>
      <w:hyperlink w:anchor="Table_12_9__DBAPI_factory_functi">
        <w:r>
          <w:rPr>
            <w:rStyle w:val="Text1"/>
          </w:rPr>
          <w:t>Table 12-9</w:t>
        </w:r>
      </w:hyperlink>
      <w:r>
        <w:t xml:space="preserve">. (The </w:t>
      </w:r>
      <w:r>
        <w:rPr>
          <w:rStyle w:val="Text0"/>
        </w:rPr>
        <w:t>*FromTicks</w:t>
      </w:r>
      <w:r>
        <w:t xml:space="preserve"> methods take an integer timestamp </w:t>
      </w:r>
      <w:r>
        <w:rPr>
          <w:rStyle w:val="Text3"/>
        </w:rPr>
        <w:t>s</w:t>
      </w:r>
      <w:r>
        <w:t xml:space="preserve"> representing the number of seconds since the epoch of module </w:t>
      </w:r>
      <w:r>
        <w:rPr>
          <w:rStyle w:val="Text0"/>
        </w:rPr>
        <w:t>time</w:t>
      </w:r>
      <w:r>
        <w:t xml:space="preserve">, covered in </w:t>
      </w:r>
      <w:hyperlink w:anchor="Chapter_13__Time_Operations__A_P_2">
        <w:r>
          <w:rPr>
            <w:rStyle w:val="Text1"/>
          </w:rPr>
          <w:t>Chapter 13</w:t>
        </w:r>
      </w:hyperlink>
      <w:r>
        <w:t>.)</w:t>
      </w:r>
    </w:p>
    <w:tbl>
      <w:tblPr>
        <w:tblW w:type="auto" w:w="0"/>
      </w:tblPr>
      <w:tr>
        <w:tc>
          <w:tcPr>
            <w:tcW w:type="auto" w:w="0"/>
            <w:tcMar>
              <w:left w:type="dxa" w:w="200"/>
              <w:top w:type="dxa" w:w="200"/>
              <w:right w:type="dxa" w:w="200"/>
              <w:bottom w:type="dxa" w:w="200"/>
            </w:tcMar>
          </w:tcPr>
          <w:p>
            <w:bookmarkStart w:id="3023" w:name="Table_12_9__DBAPI_factory_functi"/>
            <w:pPr>
              <w:pStyle w:val="Para 011"/>
            </w:pPr>
            <w:r>
              <w:rPr>
                <w:rStyle w:val="Text117"/>
              </w:rPr>
              <w:t/>
            </w:r>
            <w:r>
              <w:t xml:space="preserve">Table 12-9. </w:t>
              <w:t>DBAPI factory functions</w:t>
            </w:r>
            <w:bookmarkEnd w:id="3023"/>
          </w:p>
          <w:p>
            <w:pPr>
              <w:pStyle w:val="Para 001"/>
            </w:pPr>
            <w:r>
              <w:t>Binary</w:t>
            </w:r>
          </w:p>
        </w:tc>
        <w:tc>
          <w:tcPr>
            <w:tcW w:type="auto" w:w="0"/>
            <w:tcMar>
              <w:left w:type="dxa" w:w="200"/>
              <w:top w:type="dxa" w:w="200"/>
              <w:right w:type="dxa" w:w="200"/>
              <w:bottom w:type="dxa" w:w="200"/>
            </w:tcMar>
          </w:tcPr>
          <w:p>
            <w:pPr>
              <w:pStyle w:val="Para 002"/>
            </w:pPr>
            <w:r>
              <w:rPr>
                <w:rStyle w:val="Text0"/>
              </w:rPr>
              <w:t>Binary(</w:t>
            </w:r>
            <w:r>
              <w:rPr>
                <w:rStyle w:val="Text3"/>
              </w:rPr>
              <w:t>string</w:t>
            </w:r>
            <w:r>
              <w:rPr>
                <w:rStyle w:val="Text0"/>
              </w:rPr>
              <w:t>)</w:t>
              <w:br w:clear="none"/>
            </w:r>
            <w:r>
              <w:t xml:space="preserve"> Returns an object representing the given </w:t>
            </w:r>
            <w:r>
              <w:rPr>
                <w:rStyle w:val="Text3"/>
              </w:rPr>
              <w:t>string</w:t>
            </w:r>
            <w:r>
              <w:t xml:space="preserve"> of bytes as a BLOB.</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w:t>
            </w:r>
          </w:p>
        </w:tc>
        <w:tc>
          <w:tcPr>
            <w:tcW w:type="auto" w:w="0"/>
            <w:shd w:val="clear" w:color="auto" w:fill="EEF2F6"/>
            <w:tcMar>
              <w:left w:type="dxa" w:w="200"/>
              <w:top w:type="dxa" w:w="200"/>
              <w:right w:type="dxa" w:w="200"/>
              <w:bottom w:type="dxa" w:w="200"/>
            </w:tcMar>
          </w:tcPr>
          <w:p>
            <w:pPr>
              <w:pStyle w:val="Para 002"/>
            </w:pPr>
            <w:r>
              <w:rPr>
                <w:rStyle w:val="Text0"/>
              </w:rPr>
              <w:t>Date(</w:t>
            </w:r>
            <w:r>
              <w:rPr>
                <w:rStyle w:val="Text3"/>
              </w:rPr>
              <w:t>year</w:t>
            </w:r>
            <w:r>
              <w:rPr>
                <w:rStyle w:val="Text0"/>
              </w:rPr>
              <w:t>,</w:t>
            </w:r>
            <w:r>
              <w:t xml:space="preserve"> </w:t>
            </w:r>
            <w:r>
              <w:rPr>
                <w:rStyle w:val="Text3"/>
              </w:rPr>
              <w:t>month</w:t>
            </w:r>
            <w:r>
              <w:rPr>
                <w:rStyle w:val="Text0"/>
              </w:rPr>
              <w:t>,</w:t>
            </w:r>
            <w:r>
              <w:t xml:space="preserve"> </w:t>
            </w:r>
            <w:r>
              <w:rPr>
                <w:rStyle w:val="Text3"/>
              </w:rPr>
              <w:t>day</w:t>
            </w:r>
            <w:r>
              <w:rPr>
                <w:rStyle w:val="Text0"/>
              </w:rPr>
              <w:t>)</w:t>
              <w:br w:clear="none"/>
            </w:r>
            <w:r>
              <w:t xml:space="preserve"> Returns an object representing the specified date.</w:t>
            </w:r>
          </w:p>
        </w:tc>
      </w:tr>
    </w:tbl>
    <w:tbl>
      <w:tblPr>
        <w:tblW w:type="auto" w:w="0"/>
      </w:tblPr>
      <w:tr>
        <w:tc>
          <w:tcPr>
            <w:tcW w:type="auto" w:w="0"/>
            <w:tcMar>
              <w:left w:type="dxa" w:w="200"/>
              <w:top w:type="dxa" w:w="200"/>
              <w:right w:type="dxa" w:w="200"/>
              <w:bottom w:type="dxa" w:w="200"/>
            </w:tcMar>
          </w:tcPr>
          <w:p>
            <w:pPr>
              <w:pStyle w:val="Para 001"/>
            </w:pPr>
            <w:r>
              <w:t>DateFromTicks</w:t>
            </w:r>
          </w:p>
        </w:tc>
        <w:tc>
          <w:tcPr>
            <w:tcW w:type="auto" w:w="0"/>
            <w:tcMar>
              <w:left w:type="dxa" w:w="200"/>
              <w:top w:type="dxa" w:w="200"/>
              <w:right w:type="dxa" w:w="200"/>
              <w:bottom w:type="dxa" w:w="200"/>
            </w:tcMar>
          </w:tcPr>
          <w:p>
            <w:pPr>
              <w:pStyle w:val="Para 002"/>
            </w:pPr>
            <w:r>
              <w:rPr>
                <w:rStyle w:val="Text0"/>
              </w:rPr>
              <w:t>DateFromTicks(</w:t>
            </w:r>
            <w:r>
              <w:rPr>
                <w:rStyle w:val="Text3"/>
              </w:rPr>
              <w:t>s</w:t>
            </w:r>
            <w:r>
              <w:rPr>
                <w:rStyle w:val="Text0"/>
              </w:rPr>
              <w:t>)</w:t>
              <w:br w:clear="none"/>
            </w:r>
            <w:r>
              <w:t xml:space="preserve"> Returns an object representing the date for integer timestamp </w:t>
            </w:r>
            <w:r>
              <w:rPr>
                <w:rStyle w:val="Text3"/>
              </w:rPr>
              <w:t>s</w:t>
            </w:r>
            <w:r>
              <w:t xml:space="preserve">. For example, </w:t>
            </w:r>
            <w:r>
              <w:rPr>
                <w:rStyle w:val="Text0"/>
              </w:rPr>
              <w:t>DateFromTicks(time.time())</w:t>
            </w:r>
            <w:r>
              <w:t xml:space="preserve"> means “today.”</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w:t>
            </w:r>
          </w:p>
        </w:tc>
        <w:tc>
          <w:tcPr>
            <w:tcW w:type="auto" w:w="0"/>
            <w:shd w:val="clear" w:color="auto" w:fill="EEF2F6"/>
            <w:tcMar>
              <w:left w:type="dxa" w:w="200"/>
              <w:top w:type="dxa" w:w="200"/>
              <w:right w:type="dxa" w:w="200"/>
              <w:bottom w:type="dxa" w:w="200"/>
            </w:tcMar>
          </w:tcPr>
          <w:p>
            <w:pPr>
              <w:pStyle w:val="Para 002"/>
            </w:pPr>
            <w:r>
              <w:rPr>
                <w:rStyle w:val="Text0"/>
              </w:rPr>
              <w:t>Time(</w:t>
            </w:r>
            <w:r>
              <w:rPr>
                <w:rStyle w:val="Text3"/>
              </w:rPr>
              <w:t>hour</w:t>
            </w:r>
            <w:r>
              <w:rPr>
                <w:rStyle w:val="Text0"/>
              </w:rPr>
              <w:t>,</w:t>
            </w:r>
            <w:r>
              <w:t xml:space="preserve"> </w:t>
            </w:r>
            <w:r>
              <w:rPr>
                <w:rStyle w:val="Text3"/>
              </w:rPr>
              <w:t>minute</w:t>
            </w:r>
            <w:r>
              <w:rPr>
                <w:rStyle w:val="Text0"/>
              </w:rPr>
              <w:t>,</w:t>
            </w:r>
            <w:r>
              <w:t xml:space="preserve"> </w:t>
            </w:r>
            <w:r>
              <w:rPr>
                <w:rStyle w:val="Text3"/>
              </w:rPr>
              <w:t>second</w:t>
            </w:r>
            <w:r>
              <w:rPr>
                <w:rStyle w:val="Text0"/>
              </w:rPr>
              <w:t>)</w:t>
              <w:br w:clear="none"/>
            </w:r>
            <w:r>
              <w:t xml:space="preserve"> Returns an object representing the specified time.</w:t>
            </w:r>
          </w:p>
        </w:tc>
      </w:tr>
    </w:tbl>
    <w:tbl>
      <w:tblPr>
        <w:tblW w:type="auto" w:w="0"/>
      </w:tblPr>
      <w:tr>
        <w:tc>
          <w:tcPr>
            <w:tcW w:type="auto" w:w="0"/>
            <w:tcMar>
              <w:left w:type="dxa" w:w="200"/>
              <w:top w:type="dxa" w:w="200"/>
              <w:right w:type="dxa" w:w="200"/>
              <w:bottom w:type="dxa" w:w="200"/>
            </w:tcMar>
          </w:tcPr>
          <w:p>
            <w:pPr>
              <w:pStyle w:val="Para 001"/>
            </w:pPr>
            <w:r>
              <w:t>TimeFromTicks</w:t>
            </w:r>
          </w:p>
        </w:tc>
        <w:tc>
          <w:tcPr>
            <w:tcW w:type="auto" w:w="0"/>
            <w:tcMar>
              <w:left w:type="dxa" w:w="200"/>
              <w:top w:type="dxa" w:w="200"/>
              <w:right w:type="dxa" w:w="200"/>
              <w:bottom w:type="dxa" w:w="200"/>
            </w:tcMar>
          </w:tcPr>
          <w:p>
            <w:pPr>
              <w:pStyle w:val="Para 002"/>
            </w:pPr>
            <w:r>
              <w:rPr>
                <w:rStyle w:val="Text0"/>
              </w:rPr>
              <w:t>TimeFromTicks(</w:t>
            </w:r>
            <w:r>
              <w:rPr>
                <w:rStyle w:val="Text3"/>
              </w:rPr>
              <w:t>s</w:t>
            </w:r>
            <w:r>
              <w:rPr>
                <w:rStyle w:val="Text0"/>
              </w:rPr>
              <w:t>)</w:t>
              <w:br w:clear="none"/>
            </w:r>
            <w:r>
              <w:t xml:space="preserve"> Returns an object representing the time for integer timestamp </w:t>
            </w:r>
            <w:r>
              <w:rPr>
                <w:rStyle w:val="Text3"/>
              </w:rPr>
              <w:t>s</w:t>
            </w:r>
            <w:r>
              <w:t xml:space="preserve">. For example, </w:t>
            </w:r>
            <w:r>
              <w:rPr>
                <w:rStyle w:val="Text0"/>
              </w:rPr>
              <w:t>TimeFromTicks(time.time())</w:t>
            </w:r>
            <w:r>
              <w:t xml:space="preserve"> means “the current time of day.”</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Timestamp</w:t>
            </w:r>
          </w:p>
        </w:tc>
        <w:tc>
          <w:tcPr>
            <w:tcW w:type="auto" w:w="0"/>
            <w:shd w:val="clear" w:color="auto" w:fill="EEF2F6"/>
            <w:tcMar>
              <w:left w:type="dxa" w:w="200"/>
              <w:top w:type="dxa" w:w="200"/>
              <w:right w:type="dxa" w:w="200"/>
              <w:bottom w:type="dxa" w:w="200"/>
            </w:tcMar>
          </w:tcPr>
          <w:p>
            <w:pPr>
              <w:pStyle w:val="Para 002"/>
            </w:pPr>
            <w:r>
              <w:rPr>
                <w:rStyle w:val="Text0"/>
              </w:rPr>
              <w:t>Timestamp(</w:t>
            </w:r>
            <w:r>
              <w:rPr>
                <w:rStyle w:val="Text3"/>
              </w:rPr>
              <w:t>year</w:t>
            </w:r>
            <w:r>
              <w:rPr>
                <w:rStyle w:val="Text0"/>
              </w:rPr>
              <w:t>,</w:t>
            </w:r>
            <w:r>
              <w:t xml:space="preserve"> </w:t>
            </w:r>
            <w:r>
              <w:rPr>
                <w:rStyle w:val="Text3"/>
              </w:rPr>
              <w:t>month</w:t>
            </w:r>
            <w:r>
              <w:rPr>
                <w:rStyle w:val="Text0"/>
              </w:rPr>
              <w:t>,</w:t>
            </w:r>
            <w:r>
              <w:t xml:space="preserve"> </w:t>
            </w:r>
            <w:r>
              <w:rPr>
                <w:rStyle w:val="Text3"/>
              </w:rPr>
              <w:t>day</w:t>
            </w:r>
            <w:r>
              <w:rPr>
                <w:rStyle w:val="Text0"/>
              </w:rPr>
              <w:t>,</w:t>
            </w:r>
            <w:r>
              <w:t xml:space="preserve"> </w:t>
            </w:r>
            <w:r>
              <w:rPr>
                <w:rStyle w:val="Text3"/>
              </w:rPr>
              <w:t>hour</w:t>
            </w:r>
            <w:r>
              <w:rPr>
                <w:rStyle w:val="Text0"/>
              </w:rPr>
              <w:t>,</w:t>
            </w:r>
            <w:r>
              <w:t xml:space="preserve"> </w:t>
            </w:r>
            <w:r>
              <w:rPr>
                <w:rStyle w:val="Text3"/>
              </w:rPr>
              <w:t>minute</w:t>
            </w:r>
            <w:r>
              <w:rPr>
                <w:rStyle w:val="Text0"/>
              </w:rPr>
              <w:t>,</w:t>
            </w:r>
            <w:r>
              <w:t xml:space="preserve"> </w:t>
            </w:r>
            <w:r>
              <w:rPr>
                <w:rStyle w:val="Text3"/>
              </w:rPr>
              <w:t>second</w:t>
            </w:r>
            <w:r>
              <w:rPr>
                <w:rStyle w:val="Text0"/>
              </w:rPr>
              <w:t>)</w:t>
              <w:br w:clear="none"/>
            </w:r>
            <w:r>
              <w:t xml:space="preserve"> Returns an object representing the specified date and time.</w:t>
            </w:r>
          </w:p>
        </w:tc>
      </w:tr>
    </w:tbl>
    <w:tbl>
      <w:tblPr>
        <w:tblW w:type="auto" w:w="0"/>
      </w:tblPr>
      <w:tr>
        <w:tc>
          <w:tcPr>
            <w:tcW w:type="auto" w:w="0"/>
            <w:tcMar>
              <w:left w:type="dxa" w:w="200"/>
              <w:top w:type="dxa" w:w="200"/>
              <w:right w:type="dxa" w:w="200"/>
              <w:bottom w:type="dxa" w:w="200"/>
            </w:tcMar>
          </w:tcPr>
          <w:p>
            <w:pPr>
              <w:pStyle w:val="Para 001"/>
            </w:pPr>
            <w:r>
              <w:t>TimestampFromTicks</w:t>
            </w:r>
          </w:p>
        </w:tc>
        <w:tc>
          <w:tcPr>
            <w:tcW w:type="auto" w:w="0"/>
            <w:tcMar>
              <w:left w:type="dxa" w:w="200"/>
              <w:top w:type="dxa" w:w="200"/>
              <w:right w:type="dxa" w:w="200"/>
              <w:bottom w:type="dxa" w:w="200"/>
            </w:tcMar>
          </w:tcPr>
          <w:p>
            <w:pPr>
              <w:pStyle w:val="Para 002"/>
            </w:pPr>
            <w:r>
              <w:rPr>
                <w:rStyle w:val="Text0"/>
              </w:rPr>
              <w:t>TimestampFromTicks(</w:t>
            </w:r>
            <w:r>
              <w:rPr>
                <w:rStyle w:val="Text3"/>
              </w:rPr>
              <w:t>s</w:t>
            </w:r>
            <w:r>
              <w:rPr>
                <w:rStyle w:val="Text0"/>
              </w:rPr>
              <w:t>)</w:t>
              <w:br w:clear="none"/>
            </w:r>
            <w:r>
              <w:t xml:space="preserve"> Returns an object representing the date and time for integer timestamp </w:t>
            </w:r>
            <w:r>
              <w:rPr>
                <w:rStyle w:val="Text3"/>
              </w:rPr>
              <w:t>s</w:t>
            </w:r>
            <w:r>
              <w:t xml:space="preserve">. For example, </w:t>
            </w:r>
            <w:r>
              <w:rPr>
                <w:rStyle w:val="Text0"/>
              </w:rPr>
              <w:t>TimestampFromTicks(time.time())</w:t>
            </w:r>
            <w:r>
              <w:t xml:space="preserve"> is the current date and time.</w:t>
            </w:r>
          </w:p>
        </w:tc>
      </w:tr>
    </w:tbl>
    <w:p>
      <w:bookmarkStart w:id="3024" w:name="Type_Description_Attributes__A_C"/>
      <w:pPr>
        <w:keepNext/>
        <w:pStyle w:val="Heading 2"/>
      </w:pPr>
      <w:r>
        <w:t>Type Description Attributes</w:t>
      </w:r>
      <w:bookmarkEnd w:id="3024"/>
    </w:p>
    <w:p>
      <w:pPr>
        <w:pStyle w:val="Normal"/>
      </w:pPr>
      <w:r>
        <w:t>A</w:t>
      </w:r>
      <w:r>
        <w:rPr>
          <w:rStyle w:val="Text111"/>
        </w:rPr>
        <w:bookmarkStart w:id="3025" w:name="idm45965197668400"/>
        <w:t/>
        <w:bookmarkEnd w:id="3025"/>
      </w:r>
      <w:r>
        <w:t xml:space="preserve"> </w:t>
      </w:r>
      <w:r>
        <w:rPr>
          <w:rStyle w:val="Text0"/>
        </w:rPr>
        <w:t>Cursor</w:t>
      </w:r>
      <w:r>
        <w:t xml:space="preserve"> instance’s </w:t>
      </w:r>
      <w:r>
        <w:rPr>
          <w:rStyle w:val="Text0"/>
        </w:rPr>
        <w:t>description</w:t>
      </w:r>
      <w:r>
        <w:t xml:space="preserve"> attribute describes the types and other characteristics of each column of the </w:t>
      </w:r>
      <w:r>
        <w:rPr>
          <w:rStyle w:val="Text0"/>
        </w:rPr>
        <w:t>SELECT</w:t>
      </w:r>
      <w:r>
        <w:t xml:space="preserve"> query you last executed on that cursor. Each column’s </w:t>
      </w:r>
      <w:r>
        <w:rPr>
          <w:rStyle w:val="Text4"/>
        </w:rPr>
        <w:t>type</w:t>
      </w:r>
      <w:r>
        <w:t xml:space="preserve"> (the second item of the tuple describing the column) equals one of the following attributes of the DBAPI-compliant module:</w:t>
      </w:r>
    </w:p>
    <w:tbl>
      <w:tblPr>
        <w:tblW w:type="auto" w:w="0"/>
      </w:tblPr>
      <w:tr>
        <w:tc>
          <w:tcPr>
            <w:tcW w:type="auto" w:w="0"/>
            <w:tcMar>
              <w:left w:type="dxa" w:w="200"/>
              <w:top w:type="dxa" w:w="200"/>
              <w:right w:type="dxa" w:w="200"/>
              <w:bottom w:type="dxa" w:w="200"/>
            </w:tcMar>
          </w:tcPr>
          <w:p>
            <w:pPr>
              <w:pStyle w:val="Para 119"/>
            </w:pPr>
            <w:r>
              <w:t/>
            </w:r>
          </w:p>
          <w:p>
            <w:pPr>
              <w:pStyle w:val="Para 001"/>
            </w:pPr>
            <w:r>
              <w:t>BINARY</w:t>
            </w:r>
          </w:p>
        </w:tc>
        <w:tc>
          <w:tcPr>
            <w:tcW w:type="auto" w:w="0"/>
            <w:tcMar>
              <w:left w:type="dxa" w:w="200"/>
              <w:top w:type="dxa" w:w="200"/>
              <w:right w:type="dxa" w:w="200"/>
              <w:bottom w:type="dxa" w:w="200"/>
            </w:tcMar>
          </w:tcPr>
          <w:p>
            <w:pPr>
              <w:pStyle w:val="Para 002"/>
            </w:pPr>
            <w:r>
              <w:t>Describes columns containing BLOBs</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DATETIME</w:t>
            </w:r>
          </w:p>
        </w:tc>
        <w:tc>
          <w:tcPr>
            <w:tcW w:type="auto" w:w="0"/>
            <w:shd w:val="clear" w:color="auto" w:fill="EEF2F6"/>
            <w:tcMar>
              <w:left w:type="dxa" w:w="200"/>
              <w:top w:type="dxa" w:w="200"/>
              <w:right w:type="dxa" w:w="200"/>
              <w:bottom w:type="dxa" w:w="200"/>
            </w:tcMar>
          </w:tcPr>
          <w:p>
            <w:pPr>
              <w:pStyle w:val="Para 002"/>
            </w:pPr>
            <w:r>
              <w:t>Describes columns containing dates, times, or both</w:t>
            </w:r>
          </w:p>
        </w:tc>
      </w:tr>
    </w:tbl>
    <w:tbl>
      <w:tblPr>
        <w:tblW w:type="auto" w:w="0"/>
      </w:tblPr>
      <w:tr>
        <w:tc>
          <w:tcPr>
            <w:tcW w:type="auto" w:w="0"/>
            <w:tcMar>
              <w:left w:type="dxa" w:w="200"/>
              <w:top w:type="dxa" w:w="200"/>
              <w:right w:type="dxa" w:w="200"/>
              <w:bottom w:type="dxa" w:w="200"/>
            </w:tcMar>
          </w:tcPr>
          <w:p>
            <w:pPr>
              <w:pStyle w:val="Para 001"/>
            </w:pPr>
            <w:r>
              <w:t>NUMBER</w:t>
            </w:r>
          </w:p>
        </w:tc>
        <w:tc>
          <w:tcPr>
            <w:tcW w:type="auto" w:w="0"/>
            <w:tcMar>
              <w:left w:type="dxa" w:w="200"/>
              <w:top w:type="dxa" w:w="200"/>
              <w:right w:type="dxa" w:w="200"/>
              <w:bottom w:type="dxa" w:w="200"/>
            </w:tcMar>
          </w:tcPr>
          <w:p>
            <w:pPr>
              <w:pStyle w:val="Para 002"/>
            </w:pPr>
            <w:r>
              <w:t>Describes columns containing numbers of any kind</w:t>
            </w:r>
          </w:p>
        </w:tc>
      </w:tr>
    </w:tbl>
    <w:tbl>
      <w:tblPr>
        <w:tblW w:type="auto" w:w="0"/>
      </w:tblPr>
      <w:tr>
        <w:tc>
          <w:tcPr>
            <w:tcW w:type="auto" w:w="0"/>
            <w:shd w:val="clear" w:color="auto" w:fill="EEF2F6"/>
            <w:tcMar>
              <w:left w:type="dxa" w:w="200"/>
              <w:top w:type="dxa" w:w="200"/>
              <w:right w:type="dxa" w:w="200"/>
              <w:bottom w:type="dxa" w:w="200"/>
            </w:tcMar>
          </w:tcPr>
          <w:p>
            <w:pPr>
              <w:pStyle w:val="Para 001"/>
            </w:pPr>
            <w:r>
              <w:t>ROWID</w:t>
            </w:r>
          </w:p>
        </w:tc>
        <w:tc>
          <w:tcPr>
            <w:tcW w:type="auto" w:w="0"/>
            <w:shd w:val="clear" w:color="auto" w:fill="EEF2F6"/>
            <w:tcMar>
              <w:left w:type="dxa" w:w="200"/>
              <w:top w:type="dxa" w:w="200"/>
              <w:right w:type="dxa" w:w="200"/>
              <w:bottom w:type="dxa" w:w="200"/>
            </w:tcMar>
          </w:tcPr>
          <w:p>
            <w:pPr>
              <w:pStyle w:val="Para 002"/>
            </w:pPr>
            <w:r>
              <w:t>Describes columns containing a row-identification number</w:t>
            </w:r>
          </w:p>
        </w:tc>
      </w:tr>
    </w:tbl>
    <w:tbl>
      <w:tblPr>
        <w:tblW w:type="auto" w:w="0"/>
      </w:tblPr>
      <w:tr>
        <w:tc>
          <w:tcPr>
            <w:tcW w:type="auto" w:w="0"/>
            <w:tcMar>
              <w:left w:type="dxa" w:w="200"/>
              <w:top w:type="dxa" w:w="200"/>
              <w:right w:type="dxa" w:w="200"/>
              <w:bottom w:type="dxa" w:w="200"/>
            </w:tcMar>
          </w:tcPr>
          <w:p>
            <w:pPr>
              <w:pStyle w:val="Para 001"/>
            </w:pPr>
            <w:r>
              <w:t>STRING</w:t>
            </w:r>
          </w:p>
        </w:tc>
        <w:tc>
          <w:tcPr>
            <w:tcW w:type="auto" w:w="0"/>
            <w:tcMar>
              <w:left w:type="dxa" w:w="200"/>
              <w:top w:type="dxa" w:w="200"/>
              <w:right w:type="dxa" w:w="200"/>
              <w:bottom w:type="dxa" w:w="200"/>
            </w:tcMar>
          </w:tcPr>
          <w:p>
            <w:pPr>
              <w:pStyle w:val="Para 002"/>
            </w:pPr>
            <w:r>
              <w:t>Describes columns containing text of any kind</w:t>
            </w:r>
          </w:p>
        </w:tc>
      </w:tr>
    </w:tbl>
    <w:p>
      <w:pPr>
        <w:pStyle w:val="Normal"/>
      </w:pPr>
      <w:r>
        <w:t>A cursor’s description, and in particular each column’s type, is mostly useful for introspection about the DB your program is working with. Such introspection can help you write general modules and work with tables using different schemas, including schemas that may not be known at the time you are writing your code.</w:t>
      </w:r>
    </w:p>
    <w:p>
      <w:bookmarkStart w:id="3026" w:name="The_connect_Function__A_DBAPI_co"/>
      <w:pPr>
        <w:keepNext/>
        <w:pStyle w:val="Heading 2"/>
      </w:pPr>
      <w:r>
        <w:t>The connect Function</w:t>
      </w:r>
      <w:bookmarkEnd w:id="3026"/>
    </w:p>
    <w:p>
      <w:pPr>
        <w:pStyle w:val="Normal"/>
      </w:pPr>
      <w:r>
        <w:t>A</w:t>
      </w:r>
      <w:r>
        <w:rPr>
          <w:rStyle w:val="Text111"/>
        </w:rPr>
        <w:bookmarkStart w:id="3027" w:name="idm45965197652080"/>
        <w:t/>
        <w:bookmarkEnd w:id="3027"/>
        <w:bookmarkStart w:id="3028" w:name="idm45965197650704"/>
        <w:t/>
        <w:bookmarkEnd w:id="3028"/>
      </w:r>
      <w:r>
        <w:t xml:space="preserve"> DBAPI-compliant module’s </w:t>
      </w:r>
      <w:r>
        <w:rPr>
          <w:rStyle w:val="Text0"/>
        </w:rPr>
        <w:t>connect</w:t>
      </w:r>
      <w:r>
        <w:t xml:space="preserve"> function accepts arguments that depend on the kind of DB and the specific module involved. The DBAPI standard recommends that </w:t>
      </w:r>
      <w:r>
        <w:rPr>
          <w:rStyle w:val="Text0"/>
        </w:rPr>
        <w:t>connect</w:t>
      </w:r>
      <w:r>
        <w:t xml:space="preserve"> accept named arguments. In particular, </w:t>
      </w:r>
      <w:r>
        <w:rPr>
          <w:rStyle w:val="Text0"/>
        </w:rPr>
        <w:t>connect</w:t>
      </w:r>
      <w:r>
        <w:t xml:space="preserve"> should at least accept optional arguments with the following names:</w:t>
      </w:r>
    </w:p>
    <w:tbl>
      <w:tblPr>
        <w:tblW w:type="auto" w:w="0"/>
      </w:tblPr>
      <w:tr>
        <w:tc>
          <w:tcPr>
            <w:tcW w:type="auto" w:w="0"/>
            <w:tcMar>
              <w:left w:type="dxa" w:w="200"/>
              <w:top w:type="dxa" w:w="200"/>
              <w:right w:type="dxa" w:w="200"/>
              <w:bottom w:type="dxa" w:w="200"/>
            </w:tcMar>
          </w:tcPr>
          <w:p>
            <w:pPr>
              <w:pStyle w:val="Para 119"/>
            </w:pPr>
            <w:r>
              <w:t/>
            </w:r>
          </w:p>
          <w:p>
            <w:pPr>
              <w:pStyle w:val="Para 001"/>
            </w:pPr>
            <w:r>
              <w:t>database</w:t>
            </w:r>
          </w:p>
        </w:tc>
        <w:tc>
          <w:tcPr>
            <w:tcW w:type="auto" w:w="0"/>
            <w:tcMar>
              <w:left w:type="dxa" w:w="200"/>
              <w:top w:type="dxa" w:w="200"/>
              <w:right w:type="dxa" w:w="200"/>
              <w:bottom w:type="dxa" w:w="200"/>
            </w:tcMar>
          </w:tcPr>
          <w:p>
            <w:pPr>
              <w:pStyle w:val="Para 002"/>
            </w:pPr>
            <w:r>
              <w:t>Name of the specific database to connect to</w:t>
            </w:r>
          </w:p>
        </w:tc>
      </w:tr>
    </w:tbl>
    <w:tbl>
      <w:tblPr>
        <w:tblW w:type="auto" w:w="0"/>
      </w:tblPr>
      <w:tr>
        <w:tc>
          <w:tcPr>
            <w:tcW w:type="auto" w:w="0"/>
            <w:shd w:val="clear" w:color="auto" w:fill="EEF2F6"/>
            <w:tcMar>
              <w:left w:type="dxa" w:w="200"/>
              <w:top w:type="dxa" w:w="200"/>
              <w:right w:type="dxa" w:w="200"/>
              <w:bottom w:type="dxa" w:w="200"/>
            </w:tcMar>
          </w:tcPr>
          <w:p>
            <w:pPr>
              <w:pStyle w:val="Para 001"/>
            </w:pPr>
            <w:r>
              <w:t>dsn</w:t>
            </w:r>
          </w:p>
        </w:tc>
        <w:tc>
          <w:tcPr>
            <w:tcW w:type="auto" w:w="0"/>
            <w:shd w:val="clear" w:color="auto" w:fill="EEF2F6"/>
            <w:tcMar>
              <w:left w:type="dxa" w:w="200"/>
              <w:top w:type="dxa" w:w="200"/>
              <w:right w:type="dxa" w:w="200"/>
              <w:bottom w:type="dxa" w:w="200"/>
            </w:tcMar>
          </w:tcPr>
          <w:p>
            <w:pPr>
              <w:pStyle w:val="Para 002"/>
            </w:pPr>
            <w:r>
              <w:t>Name of the data source to use for the connection</w:t>
            </w:r>
          </w:p>
        </w:tc>
      </w:tr>
    </w:tbl>
    <w:tbl>
      <w:tblPr>
        <w:tblW w:type="auto" w:w="0"/>
      </w:tblPr>
      <w:tr>
        <w:tc>
          <w:tcPr>
            <w:tcW w:type="auto" w:w="0"/>
            <w:tcMar>
              <w:left w:type="dxa" w:w="200"/>
              <w:top w:type="dxa" w:w="200"/>
              <w:right w:type="dxa" w:w="200"/>
              <w:bottom w:type="dxa" w:w="200"/>
            </w:tcMar>
          </w:tcPr>
          <w:p>
            <w:pPr>
              <w:pStyle w:val="Para 001"/>
            </w:pPr>
            <w:r>
              <w:t>host</w:t>
            </w:r>
          </w:p>
        </w:tc>
        <w:tc>
          <w:tcPr>
            <w:tcW w:type="auto" w:w="0"/>
            <w:tcMar>
              <w:left w:type="dxa" w:w="200"/>
              <w:top w:type="dxa" w:w="200"/>
              <w:right w:type="dxa" w:w="200"/>
              <w:bottom w:type="dxa" w:w="200"/>
            </w:tcMar>
          </w:tcPr>
          <w:p>
            <w:pPr>
              <w:pStyle w:val="Para 002"/>
            </w:pPr>
            <w:r>
              <w:t>Hostname on which the database is running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password</w:t>
            </w:r>
          </w:p>
        </w:tc>
        <w:tc>
          <w:tcPr>
            <w:tcW w:type="auto" w:w="0"/>
            <w:shd w:val="clear" w:color="auto" w:fill="EEF2F6"/>
            <w:tcMar>
              <w:left w:type="dxa" w:w="200"/>
              <w:top w:type="dxa" w:w="200"/>
              <w:right w:type="dxa" w:w="200"/>
              <w:bottom w:type="dxa" w:w="200"/>
            </w:tcMar>
          </w:tcPr>
          <w:p>
            <w:pPr>
              <w:pStyle w:val="Para 002"/>
            </w:pPr>
            <w:r>
              <w:t>Password to use for the connection</w:t>
            </w:r>
          </w:p>
        </w:tc>
      </w:tr>
    </w:tbl>
    <w:tbl>
      <w:tblPr>
        <w:tblW w:type="auto" w:w="0"/>
      </w:tblPr>
      <w:tr>
        <w:tc>
          <w:tcPr>
            <w:tcW w:type="auto" w:w="0"/>
            <w:tcMar>
              <w:left w:type="dxa" w:w="200"/>
              <w:top w:type="dxa" w:w="200"/>
              <w:right w:type="dxa" w:w="200"/>
              <w:bottom w:type="dxa" w:w="200"/>
            </w:tcMar>
          </w:tcPr>
          <w:p>
            <w:pPr>
              <w:pStyle w:val="Para 001"/>
            </w:pPr>
            <w:r>
              <w:t>user</w:t>
            </w:r>
          </w:p>
        </w:tc>
        <w:tc>
          <w:tcPr>
            <w:tcW w:type="auto" w:w="0"/>
            <w:tcMar>
              <w:left w:type="dxa" w:w="200"/>
              <w:top w:type="dxa" w:w="200"/>
              <w:right w:type="dxa" w:w="200"/>
              <w:bottom w:type="dxa" w:w="200"/>
            </w:tcMar>
          </w:tcPr>
          <w:p>
            <w:pPr>
              <w:pStyle w:val="Para 002"/>
            </w:pPr>
            <w:r>
              <w:t>Username to use for the connection</w:t>
            </w:r>
          </w:p>
        </w:tc>
      </w:tr>
    </w:tbl>
    <w:p>
      <w:bookmarkStart w:id="3029" w:name="Connection_Objects__A_DBAPI_comp"/>
      <w:pPr>
        <w:keepNext/>
        <w:pStyle w:val="Heading 2"/>
      </w:pPr>
      <w:r>
        <w:t>Connection Objects</w:t>
      </w:r>
      <w:bookmarkEnd w:id="3029"/>
    </w:p>
    <w:p>
      <w:pPr>
        <w:pStyle w:val="Normal"/>
      </w:pPr>
      <w:r>
        <w:t>A</w:t>
      </w:r>
      <w:r>
        <w:rPr>
          <w:rStyle w:val="Text111"/>
        </w:rPr>
        <w:bookmarkStart w:id="3030" w:name="idm45965197635136"/>
        <w:t/>
        <w:bookmarkEnd w:id="3030"/>
        <w:bookmarkStart w:id="3031" w:name="idm45965197633936"/>
        <w:t/>
        <w:bookmarkEnd w:id="3031"/>
      </w:r>
      <w:r>
        <w:t xml:space="preserve"> DBAPI-compliant module’s </w:t>
      </w:r>
      <w:r>
        <w:rPr>
          <w:rStyle w:val="Text0"/>
        </w:rPr>
        <w:t>connect</w:t>
      </w:r>
      <w:r>
        <w:t xml:space="preserve"> function returns an object </w:t>
      </w:r>
      <w:r>
        <w:rPr>
          <w:rStyle w:val="Text3"/>
        </w:rPr>
        <w:t>x</w:t>
      </w:r>
      <w:r>
        <w:t xml:space="preserve"> that is an instance of the class </w:t>
      </w:r>
      <w:r>
        <w:rPr>
          <w:rStyle w:val="Text0"/>
        </w:rPr>
        <w:t>Connection</w:t>
      </w:r>
      <w:r>
        <w:t xml:space="preserve">. </w:t>
      </w:r>
      <w:r>
        <w:rPr>
          <w:rStyle w:val="Text3"/>
        </w:rPr>
        <w:t>x</w:t>
      </w:r>
      <w:r>
        <w:t xml:space="preserve"> supplies the methods listed in </w:t>
      </w:r>
      <w:hyperlink w:anchor="Table_12_10__Methods_of_an_insta">
        <w:r>
          <w:rPr>
            <w:rStyle w:val="Text1"/>
          </w:rPr>
          <w:t>Table 12-10</w:t>
        </w:r>
      </w:hyperlink>
      <w:r>
        <w:t>.</w:t>
      </w:r>
    </w:p>
    <w:tbl>
      <w:tblPr>
        <w:tblW w:type="auto" w:w="0"/>
      </w:tblPr>
      <w:tr>
        <w:tc>
          <w:tcPr>
            <w:tcW w:type="pct" w:w="1000"/>
            <w:tcMar>
              <w:left w:type="dxa" w:w="200"/>
              <w:top w:type="dxa" w:w="200"/>
              <w:right w:type="dxa" w:w="200"/>
              <w:bottom w:type="dxa" w:w="200"/>
            </w:tcMar>
          </w:tcPr>
          <w:p>
            <w:bookmarkStart w:id="3032" w:name="Table_12_10__Methods_of_an_insta"/>
            <w:pPr>
              <w:pStyle w:val="Para 011"/>
            </w:pPr>
            <w:r>
              <w:rPr>
                <w:rStyle w:val="Text117"/>
              </w:rPr>
              <w:t/>
            </w:r>
            <w:r>
              <w:t xml:space="preserve">Table 12-10. </w:t>
              <w:t xml:space="preserve">Methods of an instance </w:t>
            </w:r>
            <w:r>
              <w:rPr>
                <w:rStyle w:val="Text0"/>
              </w:rPr>
              <w:t>x</w:t>
            </w:r>
            <w:r>
              <w:t xml:space="preserve"> of class </w:t>
            </w:r>
            <w:r>
              <w:rPr>
                <w:rStyle w:val="Text0"/>
              </w:rPr>
              <w:t>Connection</w:t>
            </w:r>
            <w:bookmarkEnd w:id="3032"/>
          </w:p>
          <w:p>
            <w:pPr>
              <w:pStyle w:val="Para 001"/>
            </w:pPr>
            <w:r>
              <w:t>close</w:t>
            </w:r>
          </w:p>
        </w:tc>
        <w:tc>
          <w:tcPr>
            <w:tcW w:type="auto" w:w="0"/>
            <w:tcMar>
              <w:left w:type="dxa" w:w="200"/>
              <w:top w:type="dxa" w:w="200"/>
              <w:right w:type="dxa" w:w="200"/>
              <w:bottom w:type="dxa" w:w="200"/>
            </w:tcMar>
          </w:tcPr>
          <w:p>
            <w:pPr>
              <w:pStyle w:val="Para 002"/>
            </w:pPr>
            <w:r>
              <w:rPr>
                <w:rStyle w:val="Text3"/>
              </w:rPr>
              <w:t>x</w:t>
            </w:r>
            <w:r>
              <w:rPr>
                <w:rStyle w:val="Text0"/>
              </w:rPr>
              <w:t>.close()</w:t>
              <w:br w:clear="none"/>
            </w:r>
            <w:r>
              <w:t xml:space="preserve"> Terminates the DB connection and releases all related resources. Call </w:t>
            </w:r>
            <w:r>
              <w:rPr>
                <w:rStyle w:val="Text0"/>
              </w:rPr>
              <w:t>close</w:t>
            </w:r>
            <w:r>
              <w:t xml:space="preserve"> as soon as you’re done with the DB. Keeping DB connections open needlessly can be a serious resource drain on the system.</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commit</w:t>
            </w:r>
          </w:p>
        </w:tc>
        <w:tc>
          <w:tcPr>
            <w:tcW w:type="auto" w:w="0"/>
            <w:shd w:val="clear" w:color="auto" w:fill="EEF2F6"/>
            <w:tcMar>
              <w:left w:type="dxa" w:w="200"/>
              <w:top w:type="dxa" w:w="200"/>
              <w:right w:type="dxa" w:w="200"/>
              <w:bottom w:type="dxa" w:w="200"/>
            </w:tcMar>
          </w:tcPr>
          <w:p>
            <w:pPr>
              <w:pStyle w:val="Para 002"/>
            </w:pPr>
            <w:r>
              <w:rPr>
                <w:rStyle w:val="Text3"/>
              </w:rPr>
              <w:t>x</w:t>
            </w:r>
            <w:r>
              <w:rPr>
                <w:rStyle w:val="Text0"/>
              </w:rPr>
              <w:t>.commit()</w:t>
              <w:br w:clear="none"/>
            </w:r>
            <w:r>
              <w:t xml:space="preserve"> Commits the current transaction in the DB. If the DB does not support transactions, </w:t>
            </w:r>
            <w:r>
              <w:rPr>
                <w:rStyle w:val="Text3"/>
              </w:rPr>
              <w:t>x</w:t>
            </w:r>
            <w:r>
              <w:rPr>
                <w:rStyle w:val="Text0"/>
              </w:rPr>
              <w:t>.commit()</w:t>
            </w:r>
            <w:r>
              <w:t xml:space="preserve"> is an innocuous no-op.</w:t>
            </w:r>
          </w:p>
        </w:tc>
      </w:tr>
    </w:tbl>
    <w:tbl>
      <w:tblPr>
        <w:tblW w:type="auto" w:w="0"/>
      </w:tblPr>
      <w:tr>
        <w:tc>
          <w:tcPr>
            <w:tcW w:type="auto" w:w="0"/>
            <w:tcMar>
              <w:left w:type="dxa" w:w="200"/>
              <w:top w:type="dxa" w:w="200"/>
              <w:right w:type="dxa" w:w="200"/>
              <w:bottom w:type="dxa" w:w="200"/>
            </w:tcMar>
          </w:tcPr>
          <w:p>
            <w:pPr>
              <w:pStyle w:val="Para 001"/>
            </w:pPr>
            <w:r>
              <w:t>cursor</w:t>
            </w:r>
          </w:p>
        </w:tc>
        <w:tc>
          <w:tcPr>
            <w:tcW w:type="auto" w:w="0"/>
            <w:tcMar>
              <w:left w:type="dxa" w:w="200"/>
              <w:top w:type="dxa" w:w="200"/>
              <w:right w:type="dxa" w:w="200"/>
              <w:bottom w:type="dxa" w:w="200"/>
            </w:tcMar>
          </w:tcPr>
          <w:p>
            <w:pPr>
              <w:pStyle w:val="Para 002"/>
            </w:pPr>
            <w:r>
              <w:rPr>
                <w:rStyle w:val="Text3"/>
              </w:rPr>
              <w:t>x</w:t>
            </w:r>
            <w:r>
              <w:rPr>
                <w:rStyle w:val="Text0"/>
              </w:rPr>
              <w:t>.cursor()</w:t>
              <w:br w:clear="none"/>
            </w:r>
            <w:r>
              <w:t xml:space="preserve"> Returns a new instance of the class </w:t>
            </w:r>
            <w:r>
              <w:rPr>
                <w:rStyle w:val="Text0"/>
              </w:rPr>
              <w:t>Cursor</w:t>
            </w:r>
            <w:r>
              <w:t xml:space="preserve"> (covered in the following section).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rollback</w:t>
            </w:r>
          </w:p>
        </w:tc>
        <w:tc>
          <w:tcPr>
            <w:tcW w:type="auto" w:w="0"/>
            <w:shd w:val="clear" w:color="auto" w:fill="EEF2F6"/>
            <w:tcMar>
              <w:left w:type="dxa" w:w="200"/>
              <w:top w:type="dxa" w:w="200"/>
              <w:right w:type="dxa" w:w="200"/>
              <w:bottom w:type="dxa" w:w="200"/>
            </w:tcMar>
          </w:tcPr>
          <w:p>
            <w:pPr>
              <w:pStyle w:val="Para 002"/>
            </w:pPr>
            <w:r>
              <w:rPr>
                <w:rStyle w:val="Text3"/>
              </w:rPr>
              <w:t>x</w:t>
            </w:r>
            <w:r>
              <w:rPr>
                <w:rStyle w:val="Text0"/>
              </w:rPr>
              <w:t>.rollback()</w:t>
              <w:br w:clear="none"/>
            </w:r>
            <w:r>
              <w:t xml:space="preserve"> Rolls back the current transaction in the DB. If the DB does not support transactions, </w:t>
            </w:r>
            <w:r>
              <w:rPr>
                <w:rStyle w:val="Text3"/>
              </w:rPr>
              <w:t>x</w:t>
            </w:r>
            <w:r>
              <w:rPr>
                <w:rStyle w:val="Text0"/>
              </w:rPr>
              <w:t>.rollback()</w:t>
            </w:r>
            <w:r>
              <w:t xml:space="preserve"> raises an exception. The DBAPI recommends that, for DBs that do not support transactions, the class </w:t>
            </w:r>
            <w:r>
              <w:rPr>
                <w:rStyle w:val="Text0"/>
              </w:rPr>
              <w:t>Connection</w:t>
            </w:r>
            <w:r>
              <w:t xml:space="preserve"> supplies no </w:t>
            </w:r>
            <w:r>
              <w:rPr>
                <w:rStyle w:val="Text0"/>
              </w:rPr>
              <w:t>rollback</w:t>
            </w:r>
            <w:r>
              <w:t xml:space="preserve"> method, so that </w:t>
            </w:r>
            <w:r>
              <w:rPr>
                <w:rStyle w:val="Text3"/>
              </w:rPr>
              <w:t>x</w:t>
            </w:r>
            <w:r>
              <w:rPr>
                <w:rStyle w:val="Text0"/>
              </w:rPr>
              <w:t>.rollback()</w:t>
            </w:r>
            <w:r>
              <w:t xml:space="preserve"> raises </w:t>
            </w:r>
            <w:r>
              <w:rPr>
                <w:rStyle w:val="Text0"/>
              </w:rPr>
              <w:t>AttributeError</w:t>
            </w:r>
            <w:r>
              <w:t xml:space="preserve">: you can test whether transactions are supported with </w:t>
            </w:r>
            <w:r>
              <w:rPr>
                <w:rStyle w:val="Text0"/>
              </w:rPr>
              <w:t>hasattr(</w:t>
            </w:r>
            <w:r>
              <w:rPr>
                <w:rStyle w:val="Text3"/>
              </w:rPr>
              <w:t>x</w:t>
            </w:r>
            <w:r>
              <w:rPr>
                <w:rStyle w:val="Text0"/>
              </w:rPr>
              <w:t>,</w:t>
            </w:r>
            <w:r>
              <w:t xml:space="preserve"> </w:t>
            </w:r>
            <w:r>
              <w:rPr>
                <w:rStyle w:val="Text0"/>
              </w:rPr>
              <w:t>'rollback')</w:t>
            </w:r>
            <w:r>
              <w:t>.</w:t>
            </w:r>
          </w:p>
        </w:tc>
      </w:tr>
    </w:tbl>
    <w:p>
      <w:bookmarkStart w:id="3033" w:name="Cursor_Objects__A_Connection_ins"/>
      <w:pPr>
        <w:keepNext/>
        <w:pStyle w:val="Heading 2"/>
      </w:pPr>
      <w:r>
        <w:t>Cursor Objects</w:t>
      </w:r>
      <w:bookmarkEnd w:id="3033"/>
    </w:p>
    <w:p>
      <w:pPr>
        <w:pStyle w:val="Normal"/>
      </w:pPr>
      <w:r>
        <w:t>A</w:t>
      </w:r>
      <w:r>
        <w:rPr>
          <w:rStyle w:val="Text111"/>
        </w:rPr>
        <w:bookmarkStart w:id="3034" w:name="idm45965197599952"/>
        <w:t/>
        <w:bookmarkEnd w:id="3034"/>
        <w:bookmarkStart w:id="3035" w:name="idm45965197598576"/>
        <w:t/>
        <w:bookmarkEnd w:id="3035"/>
      </w:r>
      <w:r>
        <w:t xml:space="preserve"> Connection instance provides a </w:t>
      </w:r>
      <w:r>
        <w:rPr>
          <w:rStyle w:val="Text0"/>
        </w:rPr>
        <w:t>cursor</w:t>
      </w:r>
      <w:r>
        <w:t xml:space="preserve"> method that returns an object </w:t>
      </w:r>
      <w:r>
        <w:rPr>
          <w:rStyle w:val="Text3"/>
        </w:rPr>
        <w:t>c</w:t>
      </w:r>
      <w:r>
        <w:t xml:space="preserve"> that is an instance of the class </w:t>
      </w:r>
      <w:r>
        <w:rPr>
          <w:rStyle w:val="Text0"/>
        </w:rPr>
        <w:t>Cursor</w:t>
      </w:r>
      <w:r>
        <w:t xml:space="preserve">. A SQL cursor represents the set of results of a query and lets you work with the records in that set, in sequence, one at a time. A cursor as modeled by the DBAPI is a richer concept, since it’s the only way your program executes SQL queries in the first place. On the other hand, a DBAPI cursor allows you only to advance in the sequence of results (some relational DBs, but not all, also provide higher-functionality cursors that are able to go backward as well as forward), and does not support the SQL clause </w:t>
      </w:r>
      <w:r>
        <w:rPr>
          <w:rStyle w:val="Text0"/>
        </w:rPr>
        <w:t>WHERE CURRENT OF CURSOR</w:t>
      </w:r>
      <w:r>
        <w:t>. These limitations of DBAPI cursors enable DBAPI-compliant modules to provide DBAPI cursors even on</w:t>
      </w:r>
      <w:r>
        <w:rPr>
          <w:rStyle w:val="Text111"/>
        </w:rPr>
        <w:bookmarkStart w:id="3036" w:name="idm45965197594240"/>
        <w:t/>
        <w:bookmarkEnd w:id="3036"/>
        <w:bookmarkStart w:id="3037" w:name="idm45965197593072"/>
        <w:t/>
        <w:bookmarkEnd w:id="3037"/>
      </w:r>
      <w:r>
        <w:t xml:space="preserve"> RDBMSs that supply no real SQL cursors at all. An instance </w:t>
      </w:r>
      <w:r>
        <w:rPr>
          <w:rStyle w:val="Text3"/>
        </w:rPr>
        <w:t>c</w:t>
      </w:r>
      <w:r>
        <w:t xml:space="preserve"> of the class </w:t>
      </w:r>
      <w:r>
        <w:rPr>
          <w:rStyle w:val="Text0"/>
        </w:rPr>
        <w:t>Cursor</w:t>
      </w:r>
      <w:r>
        <w:t xml:space="preserve"> supplies many attributes and methods; the most frequently used ones are shown in </w:t>
      </w:r>
      <w:hyperlink w:anchor="Table_12_11__Commonly_used_attri">
        <w:r>
          <w:rPr>
            <w:rStyle w:val="Text1"/>
          </w:rPr>
          <w:t>Table 12-11</w:t>
        </w:r>
      </w:hyperlink>
      <w:r>
        <w:t>.</w:t>
      </w:r>
    </w:p>
    <w:tbl>
      <w:tblPr>
        <w:tblW w:type="auto" w:w="0"/>
      </w:tblPr>
      <w:tr>
        <w:tc>
          <w:tcPr>
            <w:tcW w:type="auto" w:w="0"/>
            <w:tcMar>
              <w:left w:type="dxa" w:w="200"/>
              <w:top w:type="dxa" w:w="200"/>
              <w:right w:type="dxa" w:w="200"/>
              <w:bottom w:type="dxa" w:w="200"/>
            </w:tcMar>
          </w:tcPr>
          <w:p>
            <w:bookmarkStart w:id="3038" w:name="Table_12_11__Commonly_used_attri"/>
            <w:pPr>
              <w:pStyle w:val="Para 011"/>
            </w:pPr>
            <w:r>
              <w:rPr>
                <w:rStyle w:val="Text117"/>
              </w:rPr>
              <w:t/>
            </w:r>
            <w:r>
              <w:t xml:space="preserve">Table 12-11. </w:t>
              <w:t xml:space="preserve">Commonly used attributes and methods of an instance </w:t>
            </w:r>
            <w:r>
              <w:rPr>
                <w:rStyle w:val="Text0"/>
              </w:rPr>
              <w:t>c</w:t>
            </w:r>
            <w:r>
              <w:t xml:space="preserve"> of class </w:t>
            </w:r>
            <w:r>
              <w:rPr>
                <w:rStyle w:val="Text0"/>
              </w:rPr>
              <w:t>Cursor</w:t>
            </w:r>
            <w:bookmarkEnd w:id="3038"/>
          </w:p>
          <w:p>
            <w:pPr>
              <w:pStyle w:val="Para 001"/>
            </w:pPr>
            <w:r>
              <w:t>close</w:t>
            </w:r>
          </w:p>
        </w:tc>
        <w:tc>
          <w:tcPr>
            <w:tcW w:type="auto" w:w="0"/>
            <w:tcMar>
              <w:left w:type="dxa" w:w="200"/>
              <w:top w:type="dxa" w:w="200"/>
              <w:right w:type="dxa" w:w="200"/>
              <w:bottom w:type="dxa" w:w="200"/>
            </w:tcMar>
          </w:tcPr>
          <w:p>
            <w:pPr>
              <w:pStyle w:val="Para 002"/>
            </w:pPr>
            <w:r>
              <w:rPr>
                <w:rStyle w:val="Text3"/>
              </w:rPr>
              <w:t>c</w:t>
            </w:r>
            <w:r>
              <w:rPr>
                <w:rStyle w:val="Text0"/>
              </w:rPr>
              <w:t>.close()</w:t>
              <w:br w:clear="none"/>
            </w:r>
            <w:r>
              <w:t xml:space="preserve"> Closes the cursor and releases all related resources.</w:t>
            </w:r>
          </w:p>
        </w:tc>
      </w:tr>
    </w:tbl>
    <w:tbl>
      <w:tblPr>
        <w:tblW w:type="auto" w:w="0"/>
      </w:tblPr>
      <w:tr>
        <w:tc>
          <w:tcPr>
            <w:tcW w:type="auto" w:w="0"/>
            <w:shd w:val="clear" w:color="auto" w:fill="EEF2F6"/>
            <w:tcMar>
              <w:left w:type="dxa" w:w="200"/>
              <w:top w:type="dxa" w:w="200"/>
              <w:right w:type="dxa" w:w="200"/>
              <w:bottom w:type="dxa" w:w="200"/>
            </w:tcMar>
          </w:tcPr>
          <w:p>
            <w:pPr>
              <w:pStyle w:val="Para 001"/>
            </w:pPr>
            <w:r>
              <w:t>description</w:t>
            </w:r>
          </w:p>
        </w:tc>
        <w:tc>
          <w:tcPr>
            <w:tcW w:type="auto" w:w="0"/>
            <w:shd w:val="clear" w:color="auto" w:fill="EEF2F6"/>
            <w:tcMar>
              <w:left w:type="dxa" w:w="200"/>
              <w:top w:type="dxa" w:w="200"/>
              <w:right w:type="dxa" w:w="200"/>
              <w:bottom w:type="dxa" w:w="200"/>
            </w:tcMar>
          </w:tcPr>
          <w:p>
            <w:pPr>
              <w:pStyle w:val="Para 002"/>
            </w:pPr>
            <w:r>
              <w:t>A read-only attribute that is a sequence of seven-item tuples, one per column in the last query executed:</w:t>
              <w:br w:clear="none"/>
              <w:t xml:space="preserve"> </w:t>
            </w:r>
            <w:r>
              <w:rPr>
                <w:rStyle w:val="Text0"/>
              </w:rPr>
              <w:t>name</w:t>
            </w:r>
            <w:r>
              <w:t xml:space="preserve">, </w:t>
            </w:r>
            <w:r>
              <w:rPr>
                <w:rStyle w:val="Text0"/>
              </w:rPr>
              <w:t>typecode</w:t>
            </w:r>
            <w:r>
              <w:t xml:space="preserve">, </w:t>
            </w:r>
            <w:r>
              <w:rPr>
                <w:rStyle w:val="Text0"/>
              </w:rPr>
              <w:t>displaysize</w:t>
            </w:r>
            <w:r>
              <w:t xml:space="preserve">, </w:t>
            </w:r>
            <w:r>
              <w:rPr>
                <w:rStyle w:val="Text0"/>
              </w:rPr>
              <w:t>internalsize</w:t>
            </w:r>
            <w:r>
              <w:t xml:space="preserve">, </w:t>
            </w:r>
            <w:r>
              <w:rPr>
                <w:rStyle w:val="Text0"/>
              </w:rPr>
              <w:t>precision</w:t>
            </w:r>
            <w:r>
              <w:t xml:space="preserve">, </w:t>
            </w:r>
            <w:r>
              <w:rPr>
                <w:rStyle w:val="Text0"/>
              </w:rPr>
              <w:t>scale</w:t>
            </w:r>
            <w:r>
              <w:t>,</w:t>
              <w:br w:clear="none"/>
              <w:t xml:space="preserve"> </w:t>
            </w:r>
            <w:r>
              <w:rPr>
                <w:rStyle w:val="Text0"/>
              </w:rPr>
              <w:t>nullable</w:t>
              <w:br w:clear="none"/>
            </w:r>
            <w:r>
              <w:t xml:space="preserve"> </w:t>
            </w:r>
            <w:r>
              <w:rPr>
                <w:rStyle w:val="Text3"/>
              </w:rPr>
              <w:t>c</w:t>
            </w:r>
            <w:r>
              <w:rPr>
                <w:rStyle w:val="Text0"/>
              </w:rPr>
              <w:t>.description</w:t>
            </w:r>
            <w:r>
              <w:t xml:space="preserve"> is </w:t>
            </w:r>
            <w:r>
              <w:rPr>
                <w:rStyle w:val="Text5"/>
              </w:rPr>
              <w:t>None</w:t>
            </w:r>
            <w:r>
              <w:t xml:space="preserve"> if the last operation on </w:t>
            </w:r>
            <w:r>
              <w:rPr>
                <w:rStyle w:val="Text3"/>
              </w:rPr>
              <w:t>c</w:t>
            </w:r>
            <w:r>
              <w:t xml:space="preserve"> was not a </w:t>
            </w:r>
            <w:r>
              <w:rPr>
                <w:rStyle w:val="Text0"/>
              </w:rPr>
              <w:t>SELECT</w:t>
            </w:r>
            <w:r>
              <w:t xml:space="preserve"> query or returned no usable description of the columns involved. A cursor’s description is mostly useful for introspection about the DB your program is working with. Such introspection can help you write general modules that are able to work with tables using different schemas, including schemas that may not be fully known at the time you are writing your code.</w:t>
            </w:r>
          </w:p>
        </w:tc>
      </w:tr>
    </w:tbl>
    <w:tbl>
      <w:tblPr>
        <w:tblW w:type="auto" w:w="0"/>
      </w:tblPr>
      <w:tr>
        <w:tc>
          <w:tcPr>
            <w:tcW w:type="auto" w:w="0"/>
            <w:tcMar>
              <w:left w:type="dxa" w:w="200"/>
              <w:top w:type="dxa" w:w="200"/>
              <w:right w:type="dxa" w:w="200"/>
              <w:bottom w:type="dxa" w:w="200"/>
            </w:tcMar>
          </w:tcPr>
          <w:p>
            <w:pPr>
              <w:pStyle w:val="Para 001"/>
            </w:pPr>
            <w:r>
              <w:t>execute</w:t>
            </w:r>
          </w:p>
        </w:tc>
        <w:tc>
          <w:tcPr>
            <w:tcW w:type="auto" w:w="0"/>
            <w:tcMar>
              <w:left w:type="dxa" w:w="200"/>
              <w:top w:type="dxa" w:w="200"/>
              <w:right w:type="dxa" w:w="200"/>
              <w:bottom w:type="dxa" w:w="200"/>
            </w:tcMar>
          </w:tcPr>
          <w:p>
            <w:pPr>
              <w:pStyle w:val="Para 002"/>
            </w:pPr>
            <w:r>
              <w:rPr>
                <w:rStyle w:val="Text3"/>
              </w:rPr>
              <w:t>c</w:t>
            </w:r>
            <w:r>
              <w:rPr>
                <w:rStyle w:val="Text0"/>
              </w:rPr>
              <w:t>.execute(</w:t>
            </w:r>
            <w:r>
              <w:rPr>
                <w:rStyle w:val="Text3"/>
              </w:rPr>
              <w:t>statement</w:t>
            </w:r>
            <w:r>
              <w:rPr>
                <w:rStyle w:val="Text0"/>
              </w:rPr>
              <w:t>, parameters=</w:t>
            </w:r>
            <w:r>
              <w:rPr>
                <w:rStyle w:val="Text5"/>
              </w:rPr>
              <w:t>None</w:t>
            </w:r>
            <w:r>
              <w:rPr>
                <w:rStyle w:val="Text0"/>
              </w:rPr>
              <w:t>)</w:t>
              <w:br w:clear="none"/>
            </w:r>
            <w:r>
              <w:t xml:space="preserve"> Executes a SQL </w:t>
            </w:r>
            <w:r>
              <w:rPr>
                <w:rStyle w:val="Text3"/>
              </w:rPr>
              <w:t>statement</w:t>
            </w:r>
            <w:r>
              <w:t xml:space="preserve"> string on the DB with the given </w:t>
            </w:r>
            <w:r>
              <w:rPr>
                <w:rStyle w:val="Text0"/>
              </w:rPr>
              <w:t>parameters</w:t>
            </w:r>
            <w:r>
              <w:rPr>
                <w:rStyle w:val="Text4"/>
              </w:rPr>
              <w:t>.</w:t>
            </w:r>
            <w:r>
              <w:t xml:space="preserve"> </w:t>
            </w:r>
            <w:r>
              <w:rPr>
                <w:rStyle w:val="Text0"/>
              </w:rPr>
              <w:t>parameters</w:t>
            </w:r>
            <w:r>
              <w:t xml:space="preserve"> is a sequence when the module’s </w:t>
            </w:r>
            <w:r>
              <w:rPr>
                <w:rStyle w:val="Text0"/>
              </w:rPr>
              <w:t>paramstyle</w:t>
            </w:r>
            <w:r>
              <w:t xml:space="preserve"> is </w:t>
            </w:r>
            <w:r>
              <w:rPr>
                <w:rStyle w:val="Text0"/>
              </w:rPr>
              <w:t>'format'</w:t>
            </w:r>
            <w:r>
              <w:t xml:space="preserve">, </w:t>
            </w:r>
            <w:r>
              <w:rPr>
                <w:rStyle w:val="Text0"/>
              </w:rPr>
              <w:t>'numeric'</w:t>
            </w:r>
            <w:r>
              <w:t xml:space="preserve">, or </w:t>
            </w:r>
            <w:r>
              <w:rPr>
                <w:rStyle w:val="Text0"/>
              </w:rPr>
              <w:t>'qmark'</w:t>
            </w:r>
            <w:r>
              <w:t xml:space="preserve">, and a mapping when </w:t>
            </w:r>
            <w:r>
              <w:rPr>
                <w:rStyle w:val="Text0"/>
              </w:rPr>
              <w:t>paramstyle</w:t>
            </w:r>
            <w:r>
              <w:t xml:space="preserve"> is </w:t>
            </w:r>
            <w:r>
              <w:rPr>
                <w:rStyle w:val="Text0"/>
              </w:rPr>
              <w:t>'named'</w:t>
            </w:r>
            <w:r>
              <w:t xml:space="preserve"> or </w:t>
            </w:r>
            <w:r>
              <w:rPr>
                <w:rStyle w:val="Text0"/>
              </w:rPr>
              <w:t>'pyformat'</w:t>
            </w:r>
            <w:r>
              <w:t>. Some DBAPI modules require the sequences to be specifically tuples.</w:t>
            </w:r>
          </w:p>
        </w:tc>
      </w:tr>
    </w:tbl>
    <w:tbl>
      <w:tblPr>
        <w:tblW w:type="auto" w:w="0"/>
      </w:tblPr>
      <w:tr>
        <w:tc>
          <w:tcPr>
            <w:tcW w:type="auto" w:w="0"/>
            <w:shd w:val="clear" w:color="auto" w:fill="EEF2F6"/>
            <w:tcMar>
              <w:left w:type="dxa" w:w="200"/>
              <w:top w:type="dxa" w:w="200"/>
              <w:right w:type="dxa" w:w="200"/>
              <w:bottom w:type="dxa" w:w="200"/>
            </w:tcMar>
          </w:tcPr>
          <w:p>
            <w:pPr>
              <w:pStyle w:val="Para 001"/>
            </w:pPr>
            <w:r>
              <w:t>executemany</w:t>
            </w:r>
          </w:p>
        </w:tc>
        <w:tc>
          <w:tcPr>
            <w:tcW w:type="auto" w:w="0"/>
            <w:shd w:val="clear" w:color="auto" w:fill="EEF2F6"/>
            <w:tcMar>
              <w:left w:type="dxa" w:w="200"/>
              <w:top w:type="dxa" w:w="200"/>
              <w:right w:type="dxa" w:w="200"/>
              <w:bottom w:type="dxa" w:w="200"/>
            </w:tcMar>
          </w:tcPr>
          <w:p>
            <w:pPr>
              <w:pStyle w:val="Para 002"/>
            </w:pPr>
            <w:r>
              <w:rPr>
                <w:rStyle w:val="Text3"/>
              </w:rPr>
              <w:t>c</w:t>
            </w:r>
            <w:r>
              <w:rPr>
                <w:rStyle w:val="Text0"/>
              </w:rPr>
              <w:t>.executemany(</w:t>
            </w:r>
            <w:r>
              <w:rPr>
                <w:rStyle w:val="Text3"/>
              </w:rPr>
              <w:t>statement</w:t>
            </w:r>
            <w:r>
              <w:rPr>
                <w:rStyle w:val="Text0"/>
              </w:rPr>
              <w:t>,</w:t>
            </w:r>
            <w:r>
              <w:t xml:space="preserve"> </w:t>
            </w:r>
            <w:r>
              <w:rPr>
                <w:rStyle w:val="Text3"/>
              </w:rPr>
              <w:t>*parameters</w:t>
            </w:r>
            <w:r>
              <w:rPr>
                <w:rStyle w:val="Text0"/>
              </w:rPr>
              <w:t>)</w:t>
              <w:br w:clear="none"/>
            </w:r>
            <w:r>
              <w:t xml:space="preserve"> Executes a SQL </w:t>
            </w:r>
            <w:r>
              <w:rPr>
                <w:rStyle w:val="Text3"/>
              </w:rPr>
              <w:t>statement</w:t>
            </w:r>
            <w:r>
              <w:t xml:space="preserve"> on the DB, once for each item of the given </w:t>
            </w:r>
            <w:r>
              <w:rPr>
                <w:rStyle w:val="Text3"/>
              </w:rPr>
              <w:t>parameters</w:t>
            </w:r>
            <w:r>
              <w:t xml:space="preserve">. </w:t>
            </w:r>
            <w:r>
              <w:rPr>
                <w:rStyle w:val="Text3"/>
              </w:rPr>
              <w:t>parameters</w:t>
            </w:r>
            <w:r>
              <w:t xml:space="preserve"> is a sequence of sequences when the module’s </w:t>
            </w:r>
            <w:r>
              <w:rPr>
                <w:rStyle w:val="Text0"/>
              </w:rPr>
              <w:t>paramstyle</w:t>
            </w:r>
            <w:r>
              <w:t xml:space="preserve"> is </w:t>
            </w:r>
            <w:r>
              <w:rPr>
                <w:rStyle w:val="Text0"/>
              </w:rPr>
              <w:t>'format'</w:t>
            </w:r>
            <w:r>
              <w:t xml:space="preserve">, </w:t>
            </w:r>
            <w:r>
              <w:rPr>
                <w:rStyle w:val="Text0"/>
              </w:rPr>
              <w:t>'numeric'</w:t>
            </w:r>
            <w:r>
              <w:t xml:space="preserve">, or </w:t>
            </w:r>
            <w:r>
              <w:rPr>
                <w:rStyle w:val="Text0"/>
              </w:rPr>
              <w:t>'qmark'</w:t>
            </w:r>
            <w:r>
              <w:t xml:space="preserve">, and a sequence of mappings when </w:t>
            </w:r>
            <w:r>
              <w:rPr>
                <w:rStyle w:val="Text0"/>
              </w:rPr>
              <w:t>paramstyle</w:t>
            </w:r>
            <w:r>
              <w:t xml:space="preserve"> is </w:t>
            </w:r>
            <w:r>
              <w:rPr>
                <w:rStyle w:val="Text0"/>
              </w:rPr>
              <w:t>'named'</w:t>
            </w:r>
            <w:r>
              <w:t xml:space="preserve"> or </w:t>
            </w:r>
            <w:r>
              <w:rPr>
                <w:rStyle w:val="Text0"/>
              </w:rPr>
              <w:t>'pyformat'</w:t>
            </w:r>
            <w:r>
              <w:t xml:space="preserve">. For example, when </w:t>
            </w:r>
            <w:r>
              <w:rPr>
                <w:rStyle w:val="Text0"/>
              </w:rPr>
              <w:t>paramstyle</w:t>
            </w:r>
            <w:r>
              <w:t xml:space="preserve"> is </w:t>
            </w:r>
            <w:r>
              <w:rPr>
                <w:rStyle w:val="Text0"/>
              </w:rPr>
              <w:t>'qmark'</w:t>
            </w:r>
            <w:r>
              <w:t xml:space="preserve">, the statement: </w:t>
            </w:r>
          </w:p>
          <w:p>
            <w:pPr>
              <w:pStyle w:val="Para 045"/>
            </w:pPr>
            <w:r>
              <w:rPr>
                <w:rStyle w:val="Text23"/>
              </w:rPr>
              <w:t xml:space="preserve"/>
              <w:br w:clear="none"/>
            </w:r>
            <w:r>
              <w:rPr>
                <w:rStyle w:val="Text9"/>
              </w:rPr>
              <w:t xml:space="preserve">c</w:t>
              <w:br w:clear="none"/>
            </w:r>
            <w:r>
              <w:rPr>
                <w:rStyle w:val="Text13"/>
              </w:rPr>
              <w:t xml:space="preserve">.</w:t>
              <w:br w:clear="none"/>
            </w:r>
            <w:r>
              <w:rPr>
                <w:rStyle w:val="Text9"/>
              </w:rPr>
              <w:t xml:space="preserve">executemany</w:t>
              <w:br w:clear="none"/>
            </w:r>
            <w:r>
              <w:rPr>
                <w:rStyle w:val="Text7"/>
              </w:rPr>
              <w:t xml:space="preserve">(</w:t>
              <w:br w:clear="none"/>
            </w:r>
            <w:r>
              <w:t xml:space="preserve">'UPDATE atable SET x=? '</w:t>
              <w:br w:clear="none"/>
            </w:r>
            <w:r>
              <w:rPr>
                <w:rStyle w:val="Text23"/>
              </w:rPr>
              <w:t xml:space="preserve"/>
              <w:br w:clear="none"/>
              <w:t xml:space="preserve">              </w:t>
              <w:br w:clear="none"/>
            </w:r>
            <w:r>
              <w:t xml:space="preserve">'WHERE y=?'</w:t>
              <w:br w:clear="none"/>
            </w:r>
            <w:r>
              <w:rPr>
                <w:rStyle w:val="Text7"/>
              </w:rPr>
              <w:t xml:space="preserve">,(</w:t>
              <w:br w:clear="none"/>
            </w:r>
            <w:r>
              <w:rPr>
                <w:rStyle w:val="Text27"/>
              </w:rPr>
              <w:t xml:space="preserve">12</w:t>
              <w:br w:clear="none"/>
            </w:r>
            <w:r>
              <w:rPr>
                <w:rStyle w:val="Text7"/>
              </w:rPr>
              <w:t xml:space="preserve">,</w:t>
              <w:br w:clear="none"/>
            </w:r>
            <w:r>
              <w:rPr>
                <w:rStyle w:val="Text27"/>
              </w:rPr>
              <w:t xml:space="preserve">23</w:t>
              <w:br w:clear="none"/>
            </w:r>
            <w:r>
              <w:rPr>
                <w:rStyle w:val="Text7"/>
              </w:rPr>
              <w:t xml:space="preserve">),(</w:t>
              <w:br w:clear="none"/>
            </w:r>
            <w:r>
              <w:rPr>
                <w:rStyle w:val="Text27"/>
              </w:rPr>
              <w:t xml:space="preserve">23</w:t>
              <w:br w:clear="none"/>
            </w:r>
            <w:r>
              <w:rPr>
                <w:rStyle w:val="Text7"/>
              </w:rPr>
              <w:t xml:space="preserve">,</w:t>
              <w:br w:clear="none"/>
            </w:r>
            <w:r>
              <w:rPr>
                <w:rStyle w:val="Text27"/>
              </w:rPr>
              <w:t xml:space="preserve">34</w:t>
              <w:br w:clear="none"/>
            </w:r>
            <w:r>
              <w:rPr>
                <w:rStyle w:val="Text7"/>
              </w:rPr>
              <w:t xml:space="preserve">))</w:t>
              <w:br w:clear="none"/>
            </w:r>
          </w:p>
          <w:p>
            <w:pPr>
              <w:pStyle w:val="Para 022"/>
            </w:pPr>
            <w:r>
              <w:t xml:space="preserve"> is equivalent to—but faster than—the two statements: </w:t>
            </w:r>
          </w:p>
          <w:p>
            <w:pPr>
              <w:pStyle w:val="Para 045"/>
            </w:pP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'UPDATE atable SET x=12 WHERE y=23'</w:t>
              <w:br w:clear="none"/>
            </w:r>
            <w:r>
              <w:rPr>
                <w:rStyle w:val="Text7"/>
              </w:rPr>
              <w:t xml:space="preserve">)</w:t>
              <w:br w:clear="none"/>
            </w:r>
            <w:r>
              <w:rPr>
                <w:rStyle w:val="Text23"/>
              </w:rPr>
              <w:t xml:space="preserve"/>
              <w:br w:clear="none"/>
            </w:r>
            <w:r>
              <w:rPr>
                <w:rStyle w:val="Text9"/>
              </w:rPr>
              <w:t xml:space="preserve">c</w:t>
              <w:br w:clear="none"/>
            </w:r>
            <w:r>
              <w:rPr>
                <w:rStyle w:val="Text13"/>
              </w:rPr>
              <w:t xml:space="preserve">.</w:t>
              <w:br w:clear="none"/>
            </w:r>
            <w:r>
              <w:rPr>
                <w:rStyle w:val="Text9"/>
              </w:rPr>
              <w:t xml:space="preserve">execute</w:t>
              <w:br w:clear="none"/>
            </w:r>
            <w:r>
              <w:rPr>
                <w:rStyle w:val="Text7"/>
              </w:rPr>
              <w:t xml:space="preserve">(</w:t>
              <w:br w:clear="none"/>
            </w:r>
            <w:r>
              <w:t xml:space="preserve">'UPDATE atable SET x=23 WHERE y=34'</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fetchall</w:t>
            </w:r>
          </w:p>
        </w:tc>
        <w:tc>
          <w:tcPr>
            <w:tcW w:type="auto" w:w="0"/>
            <w:tcMar>
              <w:left w:type="dxa" w:w="200"/>
              <w:top w:type="dxa" w:w="200"/>
              <w:right w:type="dxa" w:w="200"/>
              <w:bottom w:type="dxa" w:w="200"/>
            </w:tcMar>
          </w:tcPr>
          <w:p>
            <w:pPr>
              <w:pStyle w:val="Para 002"/>
            </w:pPr>
            <w:r>
              <w:rPr>
                <w:rStyle w:val="Text0"/>
              </w:rPr>
              <w:t>c.fetchall()</w:t>
              <w:br w:clear="none"/>
            </w:r>
            <w:r>
              <w:t xml:space="preserve"> Returns all remaining rows from the last query as a sequence of tuples. Raises an exception if the last operation was not a </w:t>
            </w:r>
            <w:r>
              <w:rPr>
                <w:rStyle w:val="Text0"/>
              </w:rPr>
              <w:t>SELECT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fetchmany</w:t>
            </w:r>
          </w:p>
        </w:tc>
        <w:tc>
          <w:tcPr>
            <w:tcW w:type="auto" w:w="0"/>
            <w:shd w:val="clear" w:color="auto" w:fill="EEF2F6"/>
            <w:tcMar>
              <w:left w:type="dxa" w:w="200"/>
              <w:top w:type="dxa" w:w="200"/>
              <w:right w:type="dxa" w:w="200"/>
              <w:bottom w:type="dxa" w:w="200"/>
            </w:tcMar>
          </w:tcPr>
          <w:p>
            <w:pPr>
              <w:pStyle w:val="Para 002"/>
            </w:pPr>
            <w:r>
              <w:rPr>
                <w:rStyle w:val="Text0"/>
              </w:rPr>
              <w:t>c.fetchmany(</w:t>
            </w:r>
            <w:r>
              <w:rPr>
                <w:rStyle w:val="Text3"/>
              </w:rPr>
              <w:t>n</w:t>
            </w:r>
            <w:r>
              <w:rPr>
                <w:rStyle w:val="Text0"/>
              </w:rPr>
              <w:t>)</w:t>
              <w:br w:clear="none"/>
            </w:r>
            <w:r>
              <w:t xml:space="preserve"> Returns up to </w:t>
            </w:r>
            <w:r>
              <w:rPr>
                <w:rStyle w:val="Text3"/>
              </w:rPr>
              <w:t>n</w:t>
            </w:r>
            <w:r>
              <w:t xml:space="preserve"> remaining rows from the last query as a sequence of tuples. Raises an exception if the last operation was not a </w:t>
            </w:r>
            <w:r>
              <w:rPr>
                <w:rStyle w:val="Text0"/>
              </w:rPr>
              <w:t>SELECT</w:t>
            </w:r>
            <w:r>
              <w:t>.</w:t>
            </w:r>
          </w:p>
        </w:tc>
      </w:tr>
    </w:tbl>
    <w:tbl>
      <w:tblPr>
        <w:tblW w:type="auto" w:w="0"/>
      </w:tblPr>
      <w:tr>
        <w:tc>
          <w:tcPr>
            <w:tcW w:type="auto" w:w="0"/>
            <w:tcMar>
              <w:left w:type="dxa" w:w="200"/>
              <w:top w:type="dxa" w:w="200"/>
              <w:right w:type="dxa" w:w="200"/>
              <w:bottom w:type="dxa" w:w="200"/>
            </w:tcMar>
          </w:tcPr>
          <w:p>
            <w:pPr>
              <w:pStyle w:val="Para 001"/>
            </w:pPr>
            <w:r>
              <w:t>fetchone</w:t>
            </w:r>
          </w:p>
        </w:tc>
        <w:tc>
          <w:tcPr>
            <w:tcW w:type="auto" w:w="0"/>
            <w:tcMar>
              <w:left w:type="dxa" w:w="200"/>
              <w:top w:type="dxa" w:w="200"/>
              <w:right w:type="dxa" w:w="200"/>
              <w:bottom w:type="dxa" w:w="200"/>
            </w:tcMar>
          </w:tcPr>
          <w:p>
            <w:pPr>
              <w:pStyle w:val="Para 002"/>
            </w:pPr>
            <w:r>
              <w:rPr>
                <w:rStyle w:val="Text0"/>
              </w:rPr>
              <w:t>c.fetchone()</w:t>
              <w:br w:clear="none"/>
            </w:r>
            <w:r>
              <w:t xml:space="preserve"> Returns the next row from the last query as a tuple. Raises an exception if the last operation was not a </w:t>
            </w:r>
            <w:r>
              <w:rPr>
                <w:rStyle w:val="Text0"/>
              </w:rPr>
              <w:t>SELECT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rowcount</w:t>
            </w:r>
          </w:p>
        </w:tc>
        <w:tc>
          <w:tcPr>
            <w:tcW w:type="auto" w:w="0"/>
            <w:shd w:val="clear" w:color="auto" w:fill="EEF2F6"/>
            <w:tcMar>
              <w:left w:type="dxa" w:w="200"/>
              <w:top w:type="dxa" w:w="200"/>
              <w:right w:type="dxa" w:w="200"/>
              <w:bottom w:type="dxa" w:w="200"/>
            </w:tcMar>
          </w:tcPr>
          <w:p>
            <w:pPr>
              <w:pStyle w:val="Para 002"/>
            </w:pPr>
            <w:r>
              <w:t xml:space="preserve">A read-only attribute that specifies the number of rows fetched or affected by the last operation, or </w:t>
            </w:r>
            <w:r>
              <w:rPr>
                <w:rStyle w:val="Text0"/>
              </w:rPr>
              <w:t>-1</w:t>
            </w:r>
            <w:r>
              <w:t xml:space="preserve"> if the module is unable to determine this value.</w:t>
            </w:r>
          </w:p>
        </w:tc>
      </w:tr>
    </w:tbl>
    <w:p>
      <w:bookmarkStart w:id="3039" w:name="DBAPI_Compliant_Modules__Whateve"/>
      <w:pPr>
        <w:keepNext/>
        <w:pStyle w:val="Heading 2"/>
      </w:pPr>
      <w:r>
        <w:t>DBAPI-Compliant Modules</w:t>
      </w:r>
      <w:bookmarkEnd w:id="3039"/>
    </w:p>
    <w:p>
      <w:pPr>
        <w:pStyle w:val="Normal"/>
      </w:pPr>
      <w:r>
        <w:t>Whatever</w:t>
      </w:r>
      <w:r>
        <w:rPr>
          <w:rStyle w:val="Text111"/>
        </w:rPr>
        <w:bookmarkStart w:id="3040" w:name="DBAPIcommod12"/>
        <w:t/>
        <w:bookmarkEnd w:id="3040"/>
        <w:bookmarkStart w:id="3041" w:name="idm45965197469120"/>
        <w:t/>
        <w:bookmarkEnd w:id="3041"/>
      </w:r>
      <w:r>
        <w:t xml:space="preserve"> relational DB you want to use, there’s at least one (often more than one) Python DBAPI-compliant module downloadable from the internet. There are so many DBs and modules, and the set of possibilities changes so constantly, that we couldn’t possibly list them all, nor (importantly) could we maintain the list over time. Rather, we recommend you start from the community-maintained </w:t>
      </w:r>
      <w:hyperlink r:id="rId407">
        <w:r>
          <w:rPr>
            <w:rStyle w:val="Text1"/>
          </w:rPr>
          <w:t>wiki page</w:t>
        </w:r>
      </w:hyperlink>
      <w:r>
        <w:t>, which has at least a fighting chance to be complete and up-to-date at any time.</w:t>
      </w:r>
    </w:p>
    <w:p>
      <w:pPr>
        <w:pStyle w:val="Normal"/>
      </w:pPr>
      <w:r>
        <w:t>What follows is therefore only a very short, time-specific list of a very few DBAPI-compliant modules that, at the time of writing, are very popular and interface to very popular open source DBs:</w:t>
      </w:r>
    </w:p>
    <w:p>
      <w:pPr>
        <w:pStyle w:val="Para 023"/>
      </w:pPr>
      <w:r>
        <w:t>ODBC modules</w:t>
      </w:r>
    </w:p>
    <w:p>
      <w:pPr>
        <w:pStyle w:val="Para 016"/>
      </w:pPr>
      <w:r>
        <w:t>Open Database Connectivity (ODBC)</w:t>
      </w:r>
      <w:r>
        <w:rPr>
          <w:rStyle w:val="Text115"/>
        </w:rPr>
        <w:bookmarkStart w:id="3042" w:name="idm45965197465104"/>
        <w:t/>
        <w:bookmarkEnd w:id="3042"/>
      </w:r>
      <w:r>
        <w:t xml:space="preserve"> is a standard way to connect to many different DBs, including a few not supported by other DBAPI-compliant modules. For an ODBC-compliant DBAPI-compliant module with a liberal open source license, use </w:t>
      </w:r>
      <w:hyperlink r:id="rId408">
        <w:r>
          <w:rPr>
            <w:rStyle w:val="Text30"/>
          </w:rPr>
          <w:t>pyodbc</w:t>
        </w:r>
      </w:hyperlink>
      <w:r>
        <w:t xml:space="preserve">; for a commercially supported one, use </w:t>
      </w:r>
      <w:hyperlink r:id="rId409">
        <w:r>
          <w:rPr>
            <w:rStyle w:val="Text43"/>
          </w:rPr>
          <w:t>mxODBC</w:t>
        </w:r>
      </w:hyperlink>
      <w:r>
        <w:t>.</w:t>
      </w:r>
    </w:p>
    <w:p>
      <w:pPr>
        <w:pStyle w:val="Para 023"/>
      </w:pPr>
      <w:r>
        <w:t>MySQL modules</w:t>
      </w:r>
    </w:p>
    <w:p>
      <w:pPr>
        <w:pStyle w:val="Para 016"/>
      </w:pPr>
      <w:r>
        <w:t>MySQL</w:t>
      </w:r>
      <w:r>
        <w:rPr>
          <w:rStyle w:val="Text115"/>
        </w:rPr>
        <w:bookmarkStart w:id="3043" w:name="idm45965197448192"/>
        <w:t/>
        <w:bookmarkEnd w:id="3043"/>
      </w:r>
      <w:r>
        <w:t xml:space="preserve"> is a popular open source</w:t>
      </w:r>
      <w:r>
        <w:rPr>
          <w:rStyle w:val="Text115"/>
        </w:rPr>
        <w:bookmarkStart w:id="3044" w:name="idm45965197446928"/>
        <w:t/>
        <w:bookmarkEnd w:id="3044"/>
        <w:bookmarkStart w:id="3045" w:name="idm45965197445856"/>
        <w:t/>
        <w:bookmarkEnd w:id="3045"/>
      </w:r>
      <w:r>
        <w:t xml:space="preserve"> RDBMS, purchased by Oracle in 2010. Oracle’s “official” DBAPI-compliant interface to it is </w:t>
      </w:r>
      <w:hyperlink r:id="rId410">
        <w:r>
          <w:rPr>
            <w:rStyle w:val="Text30"/>
          </w:rPr>
          <w:t>mysql-connector-python</w:t>
        </w:r>
      </w:hyperlink>
      <w:r>
        <w:t xml:space="preserve">. The MariaDB project also provides a DBAPI-compliant interface, </w:t>
      </w:r>
      <w:hyperlink r:id="rId411">
        <w:r>
          <w:rPr>
            <w:rStyle w:val="Text30"/>
          </w:rPr>
          <w:t>mariadb</w:t>
        </w:r>
      </w:hyperlink>
      <w:r>
        <w:t>, connecting to both MySQL and MariaDB (a GPL-licensed fork).</w:t>
      </w:r>
    </w:p>
    <w:p>
      <w:pPr>
        <w:pStyle w:val="Para 023"/>
      </w:pPr>
      <w:r>
        <w:t>PostgreSQL modules</w:t>
      </w:r>
    </w:p>
    <w:p>
      <w:pPr>
        <w:pStyle w:val="Para 016"/>
      </w:pPr>
      <w:r>
        <w:t xml:space="preserve">PostgreSQL </w:t>
      </w:r>
      <w:r>
        <w:rPr>
          <w:rStyle w:val="Text115"/>
        </w:rPr>
        <w:bookmarkStart w:id="3046" w:name="idm45965197441456"/>
        <w:t/>
        <w:bookmarkEnd w:id="3046"/>
      </w:r>
      <w:r>
        <w:t xml:space="preserve">is another popular open source RDBMS. A widely used DBAPI-compliant interface to it is </w:t>
      </w:r>
      <w:hyperlink r:id="rId412">
        <w:r>
          <w:rPr>
            <w:rStyle w:val="Text30"/>
          </w:rPr>
          <w:t>psycopg3</w:t>
        </w:r>
      </w:hyperlink>
      <w:r>
        <w:t xml:space="preserve">, a rationalized rewrite and extension of the hallowed </w:t>
      </w:r>
      <w:hyperlink r:id="rId413">
        <w:r>
          <w:rPr>
            <w:rStyle w:val="Text30"/>
          </w:rPr>
          <w:t>psycopg2</w:t>
        </w:r>
      </w:hyperlink>
      <w:r>
        <w:t xml:space="preserve"> </w:t>
        <w:t>package</w:t>
        <w:t>.</w:t>
      </w:r>
    </w:p>
    <w:p>
      <w:bookmarkStart w:id="3047" w:name="SQLite__SQLite_is_a_C_coded_libr"/>
      <w:pPr>
        <w:keepNext/>
        <w:pStyle w:val="Heading 2"/>
      </w:pPr>
      <w:r>
        <w:t>SQLite</w:t>
      </w:r>
      <w:bookmarkEnd w:id="3047"/>
    </w:p>
    <w:p>
      <w:pPr>
        <w:pStyle w:val="Normal"/>
      </w:pPr>
      <w:hyperlink r:id="rId414">
        <w:r>
          <w:rPr>
            <w:rStyle w:val="Text1"/>
          </w:rPr>
          <w:t>SQLite</w:t>
        </w:r>
      </w:hyperlink>
      <w:r>
        <w:t xml:space="preserve"> is</w:t>
      </w:r>
      <w:r>
        <w:rPr>
          <w:rStyle w:val="Text111"/>
        </w:rPr>
        <w:bookmarkStart w:id="3048" w:name="sqlite12"/>
        <w:t/>
        <w:bookmarkEnd w:id="3048"/>
        <w:bookmarkStart w:id="3049" w:name="SLMsqlite12"/>
        <w:t/>
        <w:bookmarkEnd w:id="3049"/>
        <w:bookmarkStart w:id="3050" w:name="idm45965197431632"/>
        <w:t/>
        <w:bookmarkEnd w:id="3050"/>
      </w:r>
      <w:r>
        <w:t xml:space="preserve"> a C-coded library that implements a relational DB within a single file, or even in memory for sufficiently small and transient cases. Python’s standard library supplies the package </w:t>
      </w:r>
      <w:r>
        <w:rPr>
          <w:rStyle w:val="Text0"/>
        </w:rPr>
        <w:t>sqlite3</w:t>
      </w:r>
      <w:r>
        <w:t>, which is a DBAPI-compliant interface to SQLite.</w:t>
      </w:r>
    </w:p>
    <w:p>
      <w:pPr>
        <w:pStyle w:val="Normal"/>
      </w:pPr>
      <w:r>
        <w:t xml:space="preserve">SQLite has rich advanced functionality, with many options you can choose; </w:t>
      </w:r>
      <w:r>
        <w:rPr>
          <w:rStyle w:val="Text0"/>
        </w:rPr>
        <w:t>sqlite3</w:t>
      </w:r>
      <w:r>
        <w:t xml:space="preserve"> offers access to much of that functionality, plus further possibilities to make interoperation between your Python code and the underlying DB smoother and more natural. We don’t have the space in this book to cover every nook and cranny of these two powerful software systems; instead, we focus on the subset of functions that are most commonly used and most useful. For a greater level of detail, including examples and tips on best practices, see the documentation for </w:t>
      </w:r>
      <w:hyperlink r:id="rId415">
        <w:r>
          <w:rPr>
            <w:rStyle w:val="Text1"/>
          </w:rPr>
          <w:t>SQLite</w:t>
        </w:r>
      </w:hyperlink>
      <w:r>
        <w:t xml:space="preserve"> and </w:t>
      </w:r>
      <w:hyperlink r:id="rId416">
        <w:r>
          <w:rPr>
            <w:rStyle w:val="Text30"/>
          </w:rPr>
          <w:t>sqlite3</w:t>
        </w:r>
      </w:hyperlink>
      <w:r>
        <w:t xml:space="preserve">, and Jay Kreibich’s </w:t>
      </w:r>
      <w:hyperlink r:id="rId417">
        <w:r>
          <w:rPr>
            <w:rStyle w:val="Text24"/>
          </w:rPr>
          <w:t>Using SQLite</w:t>
        </w:r>
      </w:hyperlink>
      <w:r>
        <w:t xml:space="preserve"> (O’Reilly).</w:t>
      </w:r>
    </w:p>
    <w:p>
      <w:pPr>
        <w:pStyle w:val="Normal"/>
      </w:pPr>
      <w:r>
        <w:t xml:space="preserve">Among others, the </w:t>
      </w:r>
      <w:r>
        <w:rPr>
          <w:rStyle w:val="Text0"/>
        </w:rPr>
        <w:t>sqlite3</w:t>
      </w:r>
      <w:r>
        <w:t xml:space="preserve"> package supplies the functions in </w:t>
      </w:r>
      <w:hyperlink w:anchor="Table_12_12__Some_useful_functio">
        <w:r>
          <w:rPr>
            <w:rStyle w:val="Text1"/>
          </w:rPr>
          <w:t>Table 12-12</w:t>
        </w:r>
      </w:hyperlink>
      <w:r>
        <w:t>.</w:t>
      </w:r>
    </w:p>
    <w:tbl>
      <w:tblPr>
        <w:tblW w:type="auto" w:w="0"/>
      </w:tblPr>
      <w:tr>
        <w:tc>
          <w:tcPr>
            <w:tcW w:type="auto" w:w="0"/>
            <w:tcMar>
              <w:left w:type="dxa" w:w="200"/>
              <w:top w:type="dxa" w:w="200"/>
              <w:right w:type="dxa" w:w="200"/>
              <w:bottom w:type="dxa" w:w="200"/>
            </w:tcMar>
          </w:tcPr>
          <w:p>
            <w:bookmarkStart w:id="3051" w:name="Table_12_12__Some_useful_functio"/>
            <w:pPr>
              <w:pStyle w:val="Para 011"/>
            </w:pPr>
            <w:r>
              <w:rPr>
                <w:rStyle w:val="Text117"/>
              </w:rPr>
              <w:t/>
            </w:r>
            <w:r>
              <w:t xml:space="preserve">Table 12-12. </w:t>
              <w:t xml:space="preserve">Some useful functions of the </w:t>
            </w:r>
            <w:r>
              <w:rPr>
                <w:rStyle w:val="Text0"/>
              </w:rPr>
              <w:t>sqlite3</w:t>
            </w:r>
            <w:r>
              <w:t xml:space="preserve"> module</w:t>
            </w:r>
            <w:bookmarkEnd w:id="3051"/>
          </w:p>
          <w:p>
            <w:pPr>
              <w:pStyle w:val="Para 001"/>
            </w:pPr>
            <w:r>
              <w:t>connect</w:t>
            </w:r>
          </w:p>
        </w:tc>
        <w:tc>
          <w:tcPr>
            <w:tcW w:type="auto" w:w="0"/>
            <w:tcMar>
              <w:left w:type="dxa" w:w="200"/>
              <w:top w:type="dxa" w:w="200"/>
              <w:right w:type="dxa" w:w="200"/>
              <w:bottom w:type="dxa" w:w="200"/>
            </w:tcMar>
          </w:tcPr>
          <w:p>
            <w:pPr>
              <w:pStyle w:val="Para 002"/>
            </w:pPr>
            <w:r>
              <w:rPr>
                <w:rStyle w:val="Text0"/>
              </w:rPr>
              <w:t>connect(</w:t>
            </w:r>
            <w:r>
              <w:rPr>
                <w:rStyle w:val="Text3"/>
              </w:rPr>
              <w:t>filepath</w:t>
            </w:r>
            <w:r>
              <w:rPr>
                <w:rStyle w:val="Text0"/>
              </w:rPr>
              <w:t>, timeout=5.0, detect_types=0, isolation_level='', check_same_thread=</w:t>
            </w:r>
            <w:r>
              <w:rPr>
                <w:rStyle w:val="Text5"/>
              </w:rPr>
              <w:t>True</w:t>
            </w:r>
            <w:r>
              <w:rPr>
                <w:rStyle w:val="Text0"/>
              </w:rPr>
              <w:t>, factory=Connection, cached_statements=100, uri=</w:t>
            </w:r>
            <w:r>
              <w:rPr>
                <w:rStyle w:val="Text5"/>
              </w:rPr>
              <w:t>False</w:t>
            </w:r>
            <w:r>
              <w:rPr>
                <w:rStyle w:val="Text0"/>
              </w:rPr>
              <w:t>)</w:t>
              <w:br w:clear="none"/>
            </w:r>
            <w:r>
              <w:t xml:space="preserve"> Connects to the SQLite DB in the file named by </w:t>
            </w:r>
            <w:r>
              <w:rPr>
                <w:rStyle w:val="Text3"/>
              </w:rPr>
              <w:t>filepath</w:t>
            </w:r>
            <w:r>
              <w:t xml:space="preserve"> (creating it if necessary) and returns an instance of the </w:t>
            </w:r>
            <w:r>
              <w:rPr>
                <w:rStyle w:val="Text0"/>
              </w:rPr>
              <w:t>Connection</w:t>
            </w:r>
            <w:r>
              <w:t xml:space="preserve"> class (or subclass thereof passed as </w:t>
            </w:r>
            <w:r>
              <w:rPr>
                <w:rStyle w:val="Text0"/>
              </w:rPr>
              <w:t>factory</w:t>
            </w:r>
            <w:r>
              <w:t xml:space="preserve">). To create an in-memory DB, pass </w:t>
            </w:r>
            <w:r>
              <w:rPr>
                <w:rStyle w:val="Text0"/>
              </w:rPr>
              <w:t>':memory:'</w:t>
            </w:r>
            <w:r>
              <w:t xml:space="preserve"> as the first argument, </w:t>
            </w:r>
            <w:r>
              <w:rPr>
                <w:rStyle w:val="Text3"/>
              </w:rPr>
              <w:t>filepath</w:t>
            </w:r>
            <w:r>
              <w:t>.</w:t>
              <w:br w:clear="none"/>
              <w:t xml:space="preserve"> If </w:t>
            </w:r>
            <w:r>
              <w:rPr>
                <w:rStyle w:val="Text5"/>
              </w:rPr>
              <w:t>True</w:t>
            </w:r>
            <w:r>
              <w:t xml:space="preserve">, the </w:t>
            </w:r>
            <w:r>
              <w:rPr>
                <w:rStyle w:val="Text0"/>
              </w:rPr>
              <w:t>uri</w:t>
            </w:r>
            <w:r>
              <w:t xml:space="preserve"> argument activates SQLite’s </w:t>
            </w:r>
            <w:hyperlink r:id="rId418">
              <w:r>
                <w:rPr>
                  <w:rStyle w:val="Text1"/>
                </w:rPr>
                <w:t>URI functionality</w:t>
              </w:r>
            </w:hyperlink>
            <w:r>
              <w:t xml:space="preserve">, allowing a few extra options to be passed along with the filepath via the </w:t>
            </w:r>
            <w:r>
              <w:rPr>
                <w:rStyle w:val="Text3"/>
              </w:rPr>
              <w:t>filepath</w:t>
            </w:r>
            <w:r>
              <w:t xml:space="preserve"> argument.</w:t>
              <w:br w:clear="none"/>
              <w:t xml:space="preserve"> </w:t>
            </w:r>
            <w:r>
              <w:rPr>
                <w:rStyle w:val="Text0"/>
              </w:rPr>
              <w:t>timeout</w:t>
            </w:r>
            <w:r>
              <w:t xml:space="preserve"> is the number of seconds to wait before raising an exception if another connection is keeping the DB locked in a transaction.</w:t>
              <w:br w:clear="none"/>
              <w:t xml:space="preserve"> </w:t>
            </w:r>
            <w:r>
              <w:rPr>
                <w:rStyle w:val="Text0"/>
              </w:rPr>
              <w:t>sqlite3</w:t>
            </w:r>
            <w:r>
              <w:t xml:space="preserve"> directly supports only the following SQLite native types, converting them to the indicated Python types: </w:t>
            </w:r>
          </w:p>
          <w:p>
            <w:pPr>
              <w:pStyle w:val="Para 003"/>
            </w:pPr>
            <w:r>
              <w:rPr>
                <w:rStyle w:val="Text0"/>
              </w:rPr>
              <w:t>BLOB</w:t>
            </w:r>
            <w:r>
              <w:t xml:space="preserve">: Converted to </w:t>
            </w:r>
            <w:r>
              <w:rPr>
                <w:rStyle w:val="Text0"/>
              </w:rPr>
              <w:t>bytes</w:t>
            </w:r>
          </w:p>
          <w:p>
            <w:pPr>
              <w:pStyle w:val="Para 003"/>
            </w:pPr>
            <w:r>
              <w:rPr>
                <w:rStyle w:val="Text0"/>
              </w:rPr>
              <w:t>INTEGER</w:t>
            </w:r>
            <w:r>
              <w:t xml:space="preserve">: Converted to </w:t>
            </w:r>
            <w:r>
              <w:rPr>
                <w:rStyle w:val="Text0"/>
              </w:rPr>
              <w:t>int</w:t>
            </w:r>
          </w:p>
          <w:p>
            <w:pPr>
              <w:pStyle w:val="Para 003"/>
            </w:pPr>
            <w:r>
              <w:rPr>
                <w:rStyle w:val="Text0"/>
              </w:rPr>
              <w:t>NULL</w:t>
            </w:r>
            <w:r>
              <w:t xml:space="preserve">: Converted to </w:t>
            </w:r>
            <w:r>
              <w:rPr>
                <w:rStyle w:val="Text5"/>
              </w:rPr>
              <w:t>None</w:t>
            </w:r>
          </w:p>
          <w:p>
            <w:pPr>
              <w:pStyle w:val="Para 003"/>
            </w:pPr>
            <w:r>
              <w:rPr>
                <w:rStyle w:val="Text0"/>
              </w:rPr>
              <w:t>REAL</w:t>
            </w:r>
            <w:r>
              <w:t xml:space="preserve">: Converted to </w:t>
            </w:r>
            <w:r>
              <w:rPr>
                <w:rStyle w:val="Text0"/>
              </w:rPr>
              <w:t>float</w:t>
            </w:r>
          </w:p>
          <w:p>
            <w:pPr>
              <w:pStyle w:val="Para 003"/>
            </w:pPr>
            <w:r>
              <w:rPr>
                <w:rStyle w:val="Text0"/>
              </w:rPr>
              <w:t>TEXT</w:t>
            </w:r>
            <w:r>
              <w:t xml:space="preserve">: Depends on the </w:t>
            </w:r>
            <w:r>
              <w:rPr>
                <w:rStyle w:val="Text0"/>
              </w:rPr>
              <w:t>text_factory</w:t>
            </w:r>
            <w:r>
              <w:t xml:space="preserve"> attribute of the </w:t>
            </w:r>
            <w:r>
              <w:rPr>
                <w:rStyle w:val="Text0"/>
              </w:rPr>
              <w:t>Connection</w:t>
            </w:r>
            <w:r>
              <w:t xml:space="preserve"> instance, covered in </w:t>
            </w:r>
            <w:hyperlink w:anchor="Table_12_13__Additional_methods">
              <w:r>
                <w:rPr>
                  <w:rStyle w:val="Text1"/>
                </w:rPr>
                <w:t>Table 12-13</w:t>
              </w:r>
            </w:hyperlink>
            <w:r>
              <w:t xml:space="preserve">; by default, </w:t>
            </w:r>
            <w:r>
              <w:rPr>
                <w:rStyle w:val="Text0"/>
              </w:rPr>
              <w:t>str</w:t>
            </w:r>
          </w:p>
          <w:p>
            <w:pPr>
              <w:pStyle w:val="Para 022"/>
            </w:pPr>
            <w:r>
              <w:t xml:space="preserve"> Any other type name is treated as </w:t>
            </w:r>
            <w:r>
              <w:rPr>
                <w:rStyle w:val="Text0"/>
              </w:rPr>
              <w:t>TEXT</w:t>
            </w:r>
            <w:r>
              <w:t xml:space="preserve"> unless properly detected and passed through a converter registered with the function </w:t>
            </w:r>
            <w:r>
              <w:rPr>
                <w:rStyle w:val="Text0"/>
              </w:rPr>
              <w:t>register_converter</w:t>
            </w:r>
            <w:r>
              <w:t xml:space="preserve">, covered later in this table. To allow type name detection, pass as </w:t>
            </w:r>
            <w:r>
              <w:rPr>
                <w:rStyle w:val="Text0"/>
              </w:rPr>
              <w:t>detect_types</w:t>
            </w:r>
            <w:r>
              <w:t xml:space="preserve"> either of the constants </w:t>
            </w:r>
            <w:r>
              <w:rPr>
                <w:rStyle w:val="Text0"/>
              </w:rPr>
              <w:t>PARSE_COLNAMES</w:t>
            </w:r>
            <w:r>
              <w:t xml:space="preserve"> or </w:t>
            </w:r>
            <w:r>
              <w:rPr>
                <w:rStyle w:val="Text0"/>
              </w:rPr>
              <w:t>PARSE_DECLTYPES</w:t>
            </w:r>
            <w:r>
              <w:t xml:space="preserve">, supplied by the </w:t>
            </w:r>
            <w:r>
              <w:rPr>
                <w:rStyle w:val="Text0"/>
              </w:rPr>
              <w:t>sqlite3</w:t>
            </w:r>
            <w:r>
              <w:t xml:space="preserve"> package (or both, joining them with the </w:t>
            </w:r>
            <w:r>
              <w:rPr>
                <w:rStyle w:val="Text0"/>
              </w:rPr>
              <w:t>|</w:t>
            </w:r>
            <w:r>
              <w:t xml:space="preserve"> bitwise OR operator).</w:t>
              <w:br w:clear="none"/>
              <w:t xml:space="preserve"> When you pass </w:t>
            </w:r>
            <w:r>
              <w:rPr>
                <w:rStyle w:val="Text0"/>
              </w:rPr>
              <w:t>detect_types=sqlite3.PARSE_COLNAMES</w:t>
            </w:r>
            <w:r>
              <w:t xml:space="preserve">, the type name is taken from the name of the column in the SQL </w:t>
            </w:r>
            <w:r>
              <w:rPr>
                <w:rStyle w:val="Text0"/>
              </w:rPr>
              <w:t>SELECT</w:t>
            </w:r>
            <w:r>
              <w:t xml:space="preserve"> statement that retrieves the column; for example, a column retrieved as </w:t>
            </w:r>
            <w:r>
              <w:rPr>
                <w:rStyle w:val="Text3"/>
              </w:rPr>
              <w:t>foo</w:t>
            </w:r>
            <w:r>
              <w:t xml:space="preserve"> </w:t>
            </w:r>
            <w:r>
              <w:rPr>
                <w:rStyle w:val="Text0"/>
              </w:rPr>
              <w:t>AS [</w:t>
            </w:r>
            <w:r>
              <w:rPr>
                <w:rStyle w:val="Text3"/>
              </w:rPr>
              <w:t>foo</w:t>
            </w:r>
            <w:r>
              <w:t xml:space="preserve"> </w:t>
            </w:r>
            <w:r>
              <w:rPr>
                <w:rStyle w:val="Text0"/>
              </w:rPr>
              <w:t>CHAR(10)]</w:t>
            </w:r>
            <w:r>
              <w:t xml:space="preserve"> has a type name of </w:t>
            </w:r>
            <w:r>
              <w:rPr>
                <w:rStyle w:val="Text0"/>
              </w:rPr>
              <w:t>CHAR</w:t>
            </w:r>
            <w:r>
              <w:t>.</w:t>
              <w:br w:clear="none"/>
              <w:t xml:space="preserve"> When you pass </w:t>
            </w:r>
            <w:r>
              <w:rPr>
                <w:rStyle w:val="Text0"/>
              </w:rPr>
              <w:t>detect_types=sqlite3.PARSE_DECLTYPES</w:t>
            </w:r>
            <w:r>
              <w:t xml:space="preserve">, the type name is taken from the declaration of the column in the original </w:t>
            </w:r>
            <w:r>
              <w:rPr>
                <w:rStyle w:val="Text0"/>
              </w:rPr>
              <w:t>CREATE TABLE</w:t>
            </w:r>
            <w:r>
              <w:t xml:space="preserve"> or </w:t>
            </w:r>
            <w:r>
              <w:rPr>
                <w:rStyle w:val="Text0"/>
              </w:rPr>
              <w:t>ALTER TABLE</w:t>
            </w:r>
            <w:r>
              <w:t xml:space="preserve"> SQL statement that added the column; for example, a column declared as </w:t>
            </w:r>
            <w:r>
              <w:rPr>
                <w:rStyle w:val="Text3"/>
              </w:rPr>
              <w:t>foo</w:t>
            </w:r>
            <w:r>
              <w:t xml:space="preserve"> </w:t>
            </w:r>
            <w:r>
              <w:rPr>
                <w:rStyle w:val="Text0"/>
              </w:rPr>
              <w:t>CHAR(10)</w:t>
            </w:r>
            <w:r>
              <w:t xml:space="preserve"> has a type name of </w:t>
            </w:r>
            <w:r>
              <w:rPr>
                <w:rStyle w:val="Text0"/>
              </w:rPr>
              <w:t>CHAR</w:t>
            </w:r>
            <w:r>
              <w:t>.</w:t>
              <w:br w:clear="none"/>
              <w:t xml:space="preserve"> When you pass </w:t>
            </w:r>
            <w:r>
              <w:rPr>
                <w:rStyle w:val="Text0"/>
              </w:rPr>
              <w:t>detect_types=sqlite3.PARSE_COLNAMES | sqlite3.PARSE_DECLTYPES</w:t>
            </w:r>
            <w:r>
              <w:t>, both mechanisms are used, with precedence given to the column name when it has at least two words (the second word gives the type name in this case), falling back to the type that was given for that column at declaration (the first word of the declaration type gives the type name in this case).</w:t>
              <w:br w:clear="none"/>
              <w:t xml:space="preserve"> </w:t>
            </w:r>
            <w:r>
              <w:rPr>
                <w:rStyle w:val="Text0"/>
              </w:rPr>
              <w:t>isolation_level</w:t>
            </w:r>
            <w:r>
              <w:t xml:space="preserve"> lets you exercise some control over how SQLite processes transactions; it can be </w:t>
            </w:r>
            <w:r>
              <w:rPr>
                <w:rStyle w:val="Text0"/>
              </w:rPr>
              <w:t>''</w:t>
            </w:r>
            <w:r>
              <w:t xml:space="preserve"> (the default), </w:t>
            </w:r>
            <w:r>
              <w:rPr>
                <w:rStyle w:val="Text5"/>
              </w:rPr>
              <w:t>None</w:t>
            </w:r>
            <w:r>
              <w:t xml:space="preserve"> (to use </w:t>
            </w:r>
            <w:r>
              <w:rPr>
                <w:rStyle w:val="Text4"/>
              </w:rPr>
              <w:t>autocommit</w:t>
            </w:r>
            <w:r>
              <w:t xml:space="preserve"> mode), or one of the three strings </w:t>
            </w:r>
            <w:r>
              <w:rPr>
                <w:rStyle w:val="Text0"/>
              </w:rPr>
              <w:t>‘DEFERRED’</w:t>
            </w:r>
            <w:r>
              <w:t xml:space="preserve">, </w:t>
            </w:r>
            <w:r>
              <w:rPr>
                <w:rStyle w:val="Text0"/>
              </w:rPr>
              <w:t>'EXCLUSIVE'</w:t>
            </w:r>
            <w:r>
              <w:t xml:space="preserve">, or </w:t>
            </w:r>
            <w:r>
              <w:rPr>
                <w:rStyle w:val="Text0"/>
              </w:rPr>
              <w:t>'IMMEDIATE'</w:t>
            </w:r>
            <w:r>
              <w:t xml:space="preserve">. The </w:t>
            </w:r>
            <w:hyperlink r:id="rId419">
              <w:r>
                <w:rPr>
                  <w:rStyle w:val="Text1"/>
                </w:rPr>
                <w:t>SQLite online docs</w:t>
              </w:r>
            </w:hyperlink>
            <w:r>
              <w:t xml:space="preserve"> cover the details of </w:t>
            </w:r>
            <w:hyperlink r:id="rId420">
              <w:r>
                <w:rPr>
                  <w:rStyle w:val="Text1"/>
                </w:rPr>
                <w:t>types of transactions</w:t>
              </w:r>
            </w:hyperlink>
            <w:r>
              <w:t xml:space="preserve"> and their relation to the various levels of </w:t>
            </w:r>
            <w:hyperlink r:id="rId421">
              <w:r>
                <w:rPr>
                  <w:rStyle w:val="Text1"/>
                </w:rPr>
                <w:t>file locking</w:t>
              </w:r>
            </w:hyperlink>
            <w:r>
              <w:t xml:space="preserve"> that SQLite intrinsically performs.</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connect</w:t>
              <w:br w:clear="none"/>
            </w:r>
            <w:r>
              <w:rPr>
                <w:rStyle w:val="Text12"/>
              </w:rPr>
              <w:t xml:space="preserve"> </w:t>
            </w:r>
            <w:r>
              <w:rPr>
                <w:rStyle w:val="Text47"/>
              </w:rPr>
              <w:t>(cont.)</w:t>
            </w:r>
          </w:p>
        </w:tc>
        <w:tc>
          <w:tcPr>
            <w:tcW w:type="auto" w:w="0"/>
            <w:shd w:val="clear" w:color="auto" w:fill="EEF2F6"/>
            <w:tcMar>
              <w:left w:type="dxa" w:w="200"/>
              <w:top w:type="dxa" w:w="200"/>
              <w:right w:type="dxa" w:w="200"/>
              <w:bottom w:type="dxa" w:w="200"/>
            </w:tcMar>
          </w:tcPr>
          <w:p>
            <w:pPr>
              <w:pStyle w:val="Para 002"/>
            </w:pPr>
            <w:r>
              <w:t xml:space="preserve">By default, a connection object can be used only in the Python thread that created it, to avoid accidents that could easily corrupt the DB due to minor bugs in your program (minor bugs are, alas, common in multithreaded programming). If you’re entirely confident about your threads’ use of locks and other synchronization mechanisms, and you need to reuse a connection object among multiple threads, you can pass </w:t>
            </w:r>
            <w:r>
              <w:rPr>
                <w:rStyle w:val="Text0"/>
              </w:rPr>
              <w:t>check_same_thread=</w:t>
            </w:r>
            <w:r>
              <w:rPr>
                <w:rStyle w:val="Text5"/>
              </w:rPr>
              <w:t>False</w:t>
            </w:r>
            <w:r>
              <w:t xml:space="preserve">. </w:t>
            </w:r>
            <w:r>
              <w:rPr>
                <w:rStyle w:val="Text0"/>
              </w:rPr>
              <w:t>sqlite3</w:t>
            </w:r>
            <w:r>
              <w:t xml:space="preserve"> will then perform no checks, trusting your assertion that you know what you’re doing and that your multithreading architecture is 100% bug-free—good luck!</w:t>
              <w:br w:clear="none"/>
              <w:t xml:space="preserve"> </w:t>
            </w:r>
            <w:r>
              <w:rPr>
                <w:rStyle w:val="Text0"/>
              </w:rPr>
              <w:t>cached_statements</w:t>
            </w:r>
            <w:r>
              <w:t xml:space="preserve"> is the number of SQL statements that </w:t>
            </w:r>
            <w:r>
              <w:rPr>
                <w:rStyle w:val="Text0"/>
              </w:rPr>
              <w:t>sqlite3</w:t>
            </w:r>
            <w:r>
              <w:t xml:space="preserve"> caches in a parsed and prepared state, to avoid the overhead of parsing them repeatedly. You can pass in a value lower than the default </w:t>
            </w:r>
            <w:r>
              <w:rPr>
                <w:rStyle w:val="Text0"/>
              </w:rPr>
              <w:t>100</w:t>
            </w:r>
            <w:r>
              <w:t xml:space="preserve"> to save a little memory, or a larger one if your application uses a dazzling variety of SQL statements.</w:t>
            </w:r>
          </w:p>
        </w:tc>
      </w:tr>
    </w:tbl>
    <w:tbl>
      <w:tblPr>
        <w:tblW w:type="auto" w:w="0"/>
      </w:tblPr>
      <w:tr>
        <w:tc>
          <w:tcPr>
            <w:tcW w:type="auto" w:w="0"/>
            <w:tcMar>
              <w:left w:type="dxa" w:w="200"/>
              <w:top w:type="dxa" w:w="200"/>
              <w:right w:type="dxa" w:w="200"/>
              <w:bottom w:type="dxa" w:w="200"/>
            </w:tcMar>
          </w:tcPr>
          <w:p>
            <w:pPr>
              <w:pStyle w:val="Para 001"/>
            </w:pPr>
            <w:r>
              <w:t>r⁠e⁠g⁠i⁠s⁠t⁠e⁠r⁠_​a⁠d⁠a⁠p⁠t⁠e⁠r</w:t>
            </w:r>
          </w:p>
        </w:tc>
        <w:tc>
          <w:tcPr>
            <w:tcW w:type="auto" w:w="0"/>
            <w:tcMar>
              <w:left w:type="dxa" w:w="200"/>
              <w:top w:type="dxa" w:w="200"/>
              <w:right w:type="dxa" w:w="200"/>
              <w:bottom w:type="dxa" w:w="200"/>
            </w:tcMar>
          </w:tcPr>
          <w:p>
            <w:pPr>
              <w:pStyle w:val="Para 002"/>
            </w:pPr>
            <w:r>
              <w:rPr>
                <w:rStyle w:val="Text0"/>
              </w:rPr>
              <w:t>register_adapter(</w:t>
            </w:r>
            <w:r>
              <w:rPr>
                <w:rStyle w:val="Text3"/>
              </w:rPr>
              <w:t>type</w:t>
            </w:r>
            <w:r>
              <w:rPr>
                <w:rStyle w:val="Text0"/>
              </w:rPr>
              <w:t>,</w:t>
            </w:r>
            <w:r>
              <w:t xml:space="preserve"> </w:t>
            </w:r>
            <w:r>
              <w:rPr>
                <w:rStyle w:val="Text3"/>
              </w:rPr>
              <w:t>callable</w:t>
            </w:r>
            <w:r>
              <w:rPr>
                <w:rStyle w:val="Text0"/>
              </w:rPr>
              <w:t>)</w:t>
              <w:br w:clear="none"/>
            </w:r>
            <w:r>
              <w:t xml:space="preserve"> Registers </w:t>
            </w:r>
            <w:r>
              <w:rPr>
                <w:rStyle w:val="Text3"/>
              </w:rPr>
              <w:t>callable</w:t>
            </w:r>
            <w:r>
              <w:t xml:space="preserve"> as the </w:t>
            </w:r>
            <w:r>
              <w:rPr>
                <w:rStyle w:val="Text4"/>
              </w:rPr>
              <w:t>adapter</w:t>
            </w:r>
            <w:r>
              <w:t xml:space="preserve"> from any object of Python type </w:t>
            </w:r>
            <w:r>
              <w:rPr>
                <w:rStyle w:val="Text3"/>
              </w:rPr>
              <w:t>type</w:t>
            </w:r>
            <w:r>
              <w:t xml:space="preserve"> to a corresponding value of one of the few Python types that </w:t>
            </w:r>
            <w:r>
              <w:rPr>
                <w:rStyle w:val="Text0"/>
              </w:rPr>
              <w:t>sqlite3</w:t>
            </w:r>
            <w:r>
              <w:t xml:space="preserve"> handles directly: </w:t>
            </w:r>
            <w:r>
              <w:rPr>
                <w:rStyle w:val="Text0"/>
              </w:rPr>
              <w:t>int</w:t>
            </w:r>
            <w:r>
              <w:t xml:space="preserve">, </w:t>
            </w:r>
            <w:r>
              <w:rPr>
                <w:rStyle w:val="Text0"/>
              </w:rPr>
              <w:t>float</w:t>
            </w:r>
            <w:r>
              <w:t xml:space="preserve">, </w:t>
            </w:r>
            <w:r>
              <w:rPr>
                <w:rStyle w:val="Text0"/>
              </w:rPr>
              <w:t>str</w:t>
            </w:r>
            <w:r>
              <w:t xml:space="preserve">, and </w:t>
            </w:r>
            <w:r>
              <w:rPr>
                <w:rStyle w:val="Text0"/>
              </w:rPr>
              <w:t>bytes</w:t>
            </w:r>
            <w:r>
              <w:t xml:space="preserve">. </w:t>
            </w:r>
            <w:r>
              <w:rPr>
                <w:rStyle w:val="Text3"/>
              </w:rPr>
              <w:t>callable</w:t>
            </w:r>
            <w:r>
              <w:t xml:space="preserve"> must accept a single argument, the value to adapt, and return a value of a type that </w:t>
            </w:r>
            <w:r>
              <w:rPr>
                <w:rStyle w:val="Text0"/>
              </w:rPr>
              <w:t>sqlite3</w:t>
            </w:r>
            <w:r>
              <w:t xml:space="preserve"> handles directly.</w:t>
            </w:r>
          </w:p>
        </w:tc>
      </w:tr>
    </w:tbl>
    <w:tbl>
      <w:tblPr>
        <w:tblW w:type="auto" w:w="0"/>
      </w:tblPr>
      <w:tr>
        <w:tc>
          <w:tcPr>
            <w:tcW w:type="auto" w:w="0"/>
            <w:shd w:val="clear" w:color="auto" w:fill="EEF2F6"/>
            <w:tcMar>
              <w:left w:type="dxa" w:w="200"/>
              <w:top w:type="dxa" w:w="200"/>
              <w:right w:type="dxa" w:w="200"/>
              <w:bottom w:type="dxa" w:w="200"/>
            </w:tcMar>
          </w:tcPr>
          <w:p>
            <w:pPr>
              <w:pStyle w:val="Para 001"/>
            </w:pPr>
            <w:r>
              <w:t>r⁠e⁠g⁠i⁠s⁠t⁠e⁠r⁠_​c⁠o⁠n⁠v⁠e⁠r⁠t⁠e⁠r</w:t>
            </w:r>
          </w:p>
        </w:tc>
        <w:tc>
          <w:tcPr>
            <w:tcW w:type="auto" w:w="0"/>
            <w:shd w:val="clear" w:color="auto" w:fill="EEF2F6"/>
            <w:tcMar>
              <w:left w:type="dxa" w:w="200"/>
              <w:top w:type="dxa" w:w="200"/>
              <w:right w:type="dxa" w:w="200"/>
              <w:bottom w:type="dxa" w:w="200"/>
            </w:tcMar>
          </w:tcPr>
          <w:p>
            <w:pPr>
              <w:pStyle w:val="Para 002"/>
            </w:pPr>
            <w:r>
              <w:rPr>
                <w:rStyle w:val="Text0"/>
              </w:rPr>
              <w:t>register_converter(</w:t>
            </w:r>
            <w:r>
              <w:rPr>
                <w:rStyle w:val="Text3"/>
              </w:rPr>
              <w:t>typename</w:t>
            </w:r>
            <w:r>
              <w:rPr>
                <w:rStyle w:val="Text0"/>
              </w:rPr>
              <w:t>,</w:t>
            </w:r>
            <w:r>
              <w:t xml:space="preserve"> </w:t>
            </w:r>
            <w:r>
              <w:rPr>
                <w:rStyle w:val="Text3"/>
              </w:rPr>
              <w:t>callable</w:t>
            </w:r>
            <w:r>
              <w:rPr>
                <w:rStyle w:val="Text0"/>
              </w:rPr>
              <w:t>)</w:t>
              <w:br w:clear="none"/>
            </w:r>
            <w:r>
              <w:t xml:space="preserve"> Registers </w:t>
            </w:r>
            <w:r>
              <w:rPr>
                <w:rStyle w:val="Text3"/>
              </w:rPr>
              <w:t>callable</w:t>
            </w:r>
            <w:r>
              <w:t xml:space="preserve"> as the </w:t>
            </w:r>
            <w:r>
              <w:rPr>
                <w:rStyle w:val="Text4"/>
              </w:rPr>
              <w:t>converter</w:t>
            </w:r>
            <w:r>
              <w:t xml:space="preserve"> from any value identified in SQL as being of type </w:t>
            </w:r>
            <w:r>
              <w:rPr>
                <w:rStyle w:val="Text3"/>
              </w:rPr>
              <w:t>typename</w:t>
            </w:r>
            <w:r>
              <w:t xml:space="preserve"> (see the description of the connect function’s </w:t>
            </w:r>
            <w:r>
              <w:rPr>
                <w:rStyle w:val="Text0"/>
              </w:rPr>
              <w:t>detect_types</w:t>
            </w:r>
            <w:r>
              <w:t xml:space="preserve"> parameter for an explanation of how the type name is identified) to a corresponding Python object. </w:t>
            </w:r>
            <w:r>
              <w:rPr>
                <w:rStyle w:val="Text3"/>
              </w:rPr>
              <w:t>callable</w:t>
            </w:r>
            <w:r>
              <w:t xml:space="preserve"> must accept a single argument, the string form of the value obtained from SQL, and return the corresponding Python object. The </w:t>
            </w:r>
            <w:r>
              <w:rPr>
                <w:rStyle w:val="Text3"/>
              </w:rPr>
              <w:t>typename</w:t>
            </w:r>
            <w:r>
              <w:t xml:space="preserve"> matching is case-sensitive.</w:t>
            </w:r>
          </w:p>
        </w:tc>
      </w:tr>
    </w:tbl>
    <w:p>
      <w:pPr>
        <w:pStyle w:val="Normal"/>
      </w:pPr>
      <w:r>
        <w:t xml:space="preserve">In addition, </w:t>
      </w:r>
      <w:r>
        <w:rPr>
          <w:rStyle w:val="Text0"/>
        </w:rPr>
        <w:t>sqlite3</w:t>
      </w:r>
      <w:r>
        <w:t xml:space="preserve"> supplies the classes </w:t>
      </w:r>
      <w:r>
        <w:rPr>
          <w:rStyle w:val="Text0"/>
        </w:rPr>
        <w:t>Connection</w:t>
      </w:r>
      <w:r>
        <w:t xml:space="preserve">, </w:t>
      </w:r>
      <w:r>
        <w:rPr>
          <w:rStyle w:val="Text0"/>
        </w:rPr>
        <w:t>Cursor</w:t>
      </w:r>
      <w:r>
        <w:t xml:space="preserve">, and </w:t>
      </w:r>
      <w:r>
        <w:rPr>
          <w:rStyle w:val="Text0"/>
        </w:rPr>
        <w:t>Row</w:t>
      </w:r>
      <w:r>
        <w:t xml:space="preserve">. Each can be subclassed for further customization; however, this is an advanced topic that we do not cover further in this book. The </w:t>
      </w:r>
      <w:r>
        <w:rPr>
          <w:rStyle w:val="Text0"/>
        </w:rPr>
        <w:t>Cursor</w:t>
      </w:r>
      <w:r>
        <w:t xml:space="preserve"> class is a standard DBAPI cursor class, except for an extra convenience method, </w:t>
      </w:r>
      <w:r>
        <w:rPr>
          <w:rStyle w:val="Text0"/>
        </w:rPr>
        <w:t>executescript</w:t>
      </w:r>
      <w:r>
        <w:t xml:space="preserve">, accepting a single argument, a string of multiple statements separated by </w:t>
      </w:r>
      <w:r>
        <w:rPr>
          <w:rStyle w:val="Text0"/>
        </w:rPr>
        <w:t>;</w:t>
      </w:r>
      <w:r>
        <w:t xml:space="preserve"> (no parameters). The other two classes are covered in the following sections.</w:t>
      </w:r>
    </w:p>
    <w:p>
      <w:bookmarkStart w:id="3052" w:name="The_sqlite3_Connection_class__In"/>
      <w:pPr>
        <w:keepNext/>
        <w:pStyle w:val="Heading 2"/>
      </w:pPr>
      <w:r>
        <w:t>The sqlite3.Connection class</w:t>
      </w:r>
      <w:bookmarkEnd w:id="3052"/>
    </w:p>
    <w:p>
      <w:pPr>
        <w:pStyle w:val="Normal"/>
      </w:pPr>
      <w:r>
        <w:t>In</w:t>
      </w:r>
      <w:r>
        <w:rPr>
          <w:rStyle w:val="Text111"/>
        </w:rPr>
        <w:bookmarkStart w:id="3053" w:name="idm45965197337184"/>
        <w:t/>
        <w:bookmarkEnd w:id="3053"/>
      </w:r>
      <w:r>
        <w:t xml:space="preserve"> addition to the methods common to all </w:t>
      </w:r>
      <w:r>
        <w:rPr>
          <w:rStyle w:val="Text0"/>
        </w:rPr>
        <w:t>Connection</w:t>
      </w:r>
      <w:r>
        <w:t xml:space="preserve"> classes of DBAPI-compliant modules, covered in </w:t>
      </w:r>
      <w:hyperlink w:anchor="Connection_Objects__A_DBAPI_comp">
        <w:r>
          <w:rPr>
            <w:rStyle w:val="Text1"/>
          </w:rPr>
          <w:t>“Connection Objects”</w:t>
        </w:r>
      </w:hyperlink>
      <w:r>
        <w:t xml:space="preserve">, </w:t>
      </w:r>
      <w:r>
        <w:rPr>
          <w:rStyle w:val="Text0"/>
        </w:rPr>
        <w:t>sqlite3.Connection</w:t>
      </w:r>
      <w:r>
        <w:t xml:space="preserve"> supplies the methods and attributes in </w:t>
      </w:r>
      <w:hyperlink w:anchor="Table_12_13__Additional_methods">
        <w:r>
          <w:rPr>
            <w:rStyle w:val="Text1"/>
          </w:rPr>
          <w:t>Table 12-13</w:t>
        </w:r>
      </w:hyperlink>
      <w:r>
        <w:t>.</w:t>
      </w:r>
    </w:p>
    <w:tbl>
      <w:tblPr>
        <w:tblW w:type="auto" w:w="0"/>
      </w:tblPr>
      <w:tr>
        <w:tc>
          <w:tcPr>
            <w:tcW w:type="auto" w:w="0"/>
            <w:tcMar>
              <w:left w:type="dxa" w:w="200"/>
              <w:top w:type="dxa" w:w="200"/>
              <w:right w:type="dxa" w:w="200"/>
              <w:bottom w:type="dxa" w:w="200"/>
            </w:tcMar>
          </w:tcPr>
          <w:p>
            <w:bookmarkStart w:id="3054" w:name="Table_12_13__Additional_methods"/>
            <w:pPr>
              <w:pStyle w:val="Para 011"/>
            </w:pPr>
            <w:r>
              <w:rPr>
                <w:rStyle w:val="Text117"/>
              </w:rPr>
              <w:t/>
            </w:r>
            <w:r>
              <w:t xml:space="preserve">Table 12-13. </w:t>
              <w:t xml:space="preserve">Additional methods and attributes of the </w:t>
            </w:r>
            <w:r>
              <w:rPr>
                <w:rStyle w:val="Text0"/>
              </w:rPr>
              <w:t>sqlite3.Connection</w:t>
            </w:r>
            <w:r>
              <w:t xml:space="preserve"> class</w:t>
            </w:r>
            <w:bookmarkEnd w:id="3054"/>
          </w:p>
          <w:p>
            <w:pPr>
              <w:pStyle w:val="Para 001"/>
            </w:pPr>
            <w:r>
              <w:t>crea⁠t⁠e⁠_​a⁠g⁠g⁠regate</w:t>
            </w:r>
          </w:p>
        </w:tc>
        <w:tc>
          <w:tcPr>
            <w:tcW w:type="auto" w:w="0"/>
            <w:tcMar>
              <w:left w:type="dxa" w:w="200"/>
              <w:top w:type="dxa" w:w="200"/>
              <w:right w:type="dxa" w:w="200"/>
              <w:bottom w:type="dxa" w:w="200"/>
            </w:tcMar>
          </w:tcPr>
          <w:p>
            <w:pPr>
              <w:pStyle w:val="Para 002"/>
            </w:pPr>
            <w:r>
              <w:rPr>
                <w:rStyle w:val="Text0"/>
              </w:rPr>
              <w:t>create_aggregate(</w:t>
            </w:r>
            <w:r>
              <w:rPr>
                <w:rStyle w:val="Text3"/>
              </w:rPr>
              <w:t>name</w:t>
            </w:r>
            <w:r>
              <w:rPr>
                <w:rStyle w:val="Text0"/>
              </w:rPr>
              <w:t>,</w:t>
            </w:r>
            <w:r>
              <w:t xml:space="preserve"> </w:t>
            </w:r>
            <w:r>
              <w:rPr>
                <w:rStyle w:val="Text3"/>
              </w:rPr>
              <w:t>num_params</w:t>
            </w:r>
            <w:r>
              <w:rPr>
                <w:rStyle w:val="Text0"/>
              </w:rPr>
              <w:t>,</w:t>
            </w:r>
            <w:r>
              <w:t xml:space="preserve"> </w:t>
            </w:r>
            <w:r>
              <w:rPr>
                <w:rStyle w:val="Text3"/>
              </w:rPr>
              <w:t>aggregate_class</w:t>
            </w:r>
            <w:r>
              <w:rPr>
                <w:rStyle w:val="Text0"/>
              </w:rPr>
              <w:t>)</w:t>
              <w:br w:clear="none"/>
            </w:r>
            <w:r>
              <w:t xml:space="preserve"> </w:t>
            </w:r>
            <w:r>
              <w:rPr>
                <w:rStyle w:val="Text3"/>
              </w:rPr>
              <w:t>aggregate_class</w:t>
            </w:r>
            <w:r>
              <w:t xml:space="preserve"> must be a class supplying two instance methods: </w:t>
            </w:r>
            <w:r>
              <w:rPr>
                <w:rStyle w:val="Text0"/>
              </w:rPr>
              <w:t>step</w:t>
            </w:r>
            <w:r>
              <w:t xml:space="preserve">, accepting exactly </w:t>
            </w:r>
            <w:r>
              <w:rPr>
                <w:rStyle w:val="Text3"/>
              </w:rPr>
              <w:t>num_param</w:t>
            </w:r>
            <w:r>
              <w:t xml:space="preserve"> arguments, and </w:t>
            </w:r>
            <w:r>
              <w:rPr>
                <w:rStyle w:val="Text3"/>
              </w:rPr>
              <w:t>finalize</w:t>
            </w:r>
            <w:r>
              <w:t xml:space="preserve">, accepting no arguments and returning the final result of the aggregate, a value of a type natively supported by </w:t>
            </w:r>
            <w:r>
              <w:rPr>
                <w:rStyle w:val="Text0"/>
              </w:rPr>
              <w:t>sqlite3</w:t>
            </w:r>
            <w:r>
              <w:t xml:space="preserve">. The aggregate function can be used in SQL statements by the given </w:t>
            </w:r>
            <w:r>
              <w:rPr>
                <w:rStyle w:val="Text3"/>
              </w:rPr>
              <w:t>name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c⁠r⁠e⁠a⁠t⁠e⁠_​c⁠o⁠l⁠l⁠a⁠t⁠i⁠o⁠n</w:t>
            </w:r>
          </w:p>
        </w:tc>
        <w:tc>
          <w:tcPr>
            <w:tcW w:type="auto" w:w="0"/>
            <w:shd w:val="clear" w:color="auto" w:fill="EEF2F6"/>
            <w:tcMar>
              <w:left w:type="dxa" w:w="200"/>
              <w:top w:type="dxa" w:w="200"/>
              <w:right w:type="dxa" w:w="200"/>
              <w:bottom w:type="dxa" w:w="200"/>
            </w:tcMar>
          </w:tcPr>
          <w:p>
            <w:pPr>
              <w:pStyle w:val="Para 002"/>
            </w:pPr>
            <w:r>
              <w:rPr>
                <w:rStyle w:val="Text0"/>
              </w:rPr>
              <w:t>crea⁠t⁠e⁠_​c⁠o⁠l⁠lation(</w:t>
            </w:r>
            <w:r>
              <w:rPr>
                <w:rStyle w:val="Text3"/>
              </w:rPr>
              <w:t>name</w:t>
            </w:r>
            <w:r>
              <w:rPr>
                <w:rStyle w:val="Text0"/>
              </w:rPr>
              <w:t>,</w:t>
            </w:r>
            <w:r>
              <w:t xml:space="preserve"> </w:t>
            </w:r>
            <w:r>
              <w:rPr>
                <w:rStyle w:val="Text3"/>
              </w:rPr>
              <w:t>callable</w:t>
            </w:r>
            <w:r>
              <w:rPr>
                <w:rStyle w:val="Text0"/>
              </w:rPr>
              <w:t>)</w:t>
              <w:br w:clear="none"/>
            </w:r>
            <w:r>
              <w:t xml:space="preserve"> </w:t>
            </w:r>
            <w:r>
              <w:rPr>
                <w:rStyle w:val="Text3"/>
              </w:rPr>
              <w:t>callable</w:t>
            </w:r>
            <w:r>
              <w:t xml:space="preserve"> must accept two bytestring arguments (encoded in </w:t>
            </w:r>
            <w:r>
              <w:rPr>
                <w:rStyle w:val="Text0"/>
              </w:rPr>
              <w:t>'utf-8'</w:t>
            </w:r>
            <w:r>
              <w:t xml:space="preserve">) and return </w:t>
            </w:r>
            <w:r>
              <w:rPr>
                <w:rStyle w:val="Text0"/>
              </w:rPr>
              <w:t>-1</w:t>
            </w:r>
            <w:r>
              <w:t xml:space="preserve"> if the first must be considered “less than” the second, </w:t>
            </w:r>
            <w:r>
              <w:rPr>
                <w:rStyle w:val="Text0"/>
              </w:rPr>
              <w:t>1</w:t>
            </w:r>
            <w:r>
              <w:t xml:space="preserve"> if it must be considered “greater than,” and </w:t>
            </w:r>
            <w:r>
              <w:rPr>
                <w:rStyle w:val="Text0"/>
              </w:rPr>
              <w:t>0</w:t>
            </w:r>
            <w:r>
              <w:t xml:space="preserve"> if it must be considered “equal,” for the purposes of this comparison. Such a collation can be named by the given </w:t>
            </w:r>
            <w:r>
              <w:rPr>
                <w:rStyle w:val="Text3"/>
              </w:rPr>
              <w:t>name</w:t>
            </w:r>
            <w:r>
              <w:t xml:space="preserve"> in a SQL </w:t>
            </w:r>
            <w:r>
              <w:rPr>
                <w:rStyle w:val="Text0"/>
              </w:rPr>
              <w:t>ORDER BY</w:t>
            </w:r>
            <w:r>
              <w:t xml:space="preserve"> clause in a </w:t>
            </w:r>
            <w:r>
              <w:rPr>
                <w:rStyle w:val="Text0"/>
              </w:rPr>
              <w:t>SELECT</w:t>
            </w:r>
            <w:r>
              <w:t xml:space="preserve"> statement.</w:t>
            </w:r>
          </w:p>
        </w:tc>
      </w:tr>
    </w:tbl>
    <w:tbl>
      <w:tblPr>
        <w:tblW w:type="auto" w:w="0"/>
      </w:tblPr>
      <w:tr>
        <w:tc>
          <w:tcPr>
            <w:tcW w:type="auto" w:w="0"/>
            <w:tcMar>
              <w:left w:type="dxa" w:w="200"/>
              <w:top w:type="dxa" w:w="200"/>
              <w:right w:type="dxa" w:w="200"/>
              <w:bottom w:type="dxa" w:w="200"/>
            </w:tcMar>
          </w:tcPr>
          <w:p>
            <w:pPr>
              <w:pStyle w:val="Para 001"/>
            </w:pPr>
            <w:r>
              <w:t>crea⁠t⁠e⁠_​f⁠u⁠n⁠ction</w:t>
            </w:r>
          </w:p>
        </w:tc>
        <w:tc>
          <w:tcPr>
            <w:tcW w:type="auto" w:w="0"/>
            <w:tcMar>
              <w:left w:type="dxa" w:w="200"/>
              <w:top w:type="dxa" w:w="200"/>
              <w:right w:type="dxa" w:w="200"/>
              <w:bottom w:type="dxa" w:w="200"/>
            </w:tcMar>
          </w:tcPr>
          <w:p>
            <w:pPr>
              <w:pStyle w:val="Para 002"/>
            </w:pPr>
            <w:r>
              <w:rPr>
                <w:rStyle w:val="Text0"/>
              </w:rPr>
              <w:t>create_function(</w:t>
            </w:r>
            <w:r>
              <w:rPr>
                <w:rStyle w:val="Text3"/>
              </w:rPr>
              <w:t>name</w:t>
            </w:r>
            <w:r>
              <w:rPr>
                <w:rStyle w:val="Text0"/>
              </w:rPr>
              <w:t>,</w:t>
            </w:r>
            <w:r>
              <w:t xml:space="preserve"> </w:t>
            </w:r>
            <w:r>
              <w:rPr>
                <w:rStyle w:val="Text3"/>
              </w:rPr>
              <w:t>num_params</w:t>
            </w:r>
            <w:r>
              <w:rPr>
                <w:rStyle w:val="Text0"/>
              </w:rPr>
              <w:t>,</w:t>
            </w:r>
            <w:r>
              <w:t xml:space="preserve"> </w:t>
            </w:r>
            <w:r>
              <w:rPr>
                <w:rStyle w:val="Text3"/>
              </w:rPr>
              <w:t>func</w:t>
            </w:r>
            <w:r>
              <w:rPr>
                <w:rStyle w:val="Text0"/>
              </w:rPr>
              <w:t>)</w:t>
              <w:br w:clear="none"/>
            </w:r>
            <w:r>
              <w:t xml:space="preserve"> </w:t>
            </w:r>
            <w:r>
              <w:rPr>
                <w:rStyle w:val="Text3"/>
              </w:rPr>
              <w:t>func</w:t>
            </w:r>
            <w:r>
              <w:t xml:space="preserve"> must accept exactly </w:t>
            </w:r>
            <w:r>
              <w:rPr>
                <w:rStyle w:val="Text3"/>
              </w:rPr>
              <w:t>num_params</w:t>
            </w:r>
            <w:r>
              <w:t xml:space="preserve"> arguments and return a value of a type natively supported by </w:t>
            </w:r>
            <w:r>
              <w:rPr>
                <w:rStyle w:val="Text0"/>
              </w:rPr>
              <w:t>sqlite3</w:t>
            </w:r>
            <w:r>
              <w:t xml:space="preserve">; such a user-defined function can be used in SQL statements by the given </w:t>
            </w:r>
            <w:r>
              <w:rPr>
                <w:rStyle w:val="Text3"/>
              </w:rPr>
              <w:t>name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interrupt</w:t>
            </w:r>
          </w:p>
        </w:tc>
        <w:tc>
          <w:tcPr>
            <w:tcW w:type="auto" w:w="0"/>
            <w:shd w:val="clear" w:color="auto" w:fill="EEF2F6"/>
            <w:tcMar>
              <w:left w:type="dxa" w:w="200"/>
              <w:top w:type="dxa" w:w="200"/>
              <w:right w:type="dxa" w:w="200"/>
              <w:bottom w:type="dxa" w:w="200"/>
            </w:tcMar>
          </w:tcPr>
          <w:p>
            <w:pPr>
              <w:pStyle w:val="Para 002"/>
            </w:pPr>
            <w:r>
              <w:rPr>
                <w:rStyle w:val="Text0"/>
              </w:rPr>
              <w:t>interrupt()</w:t>
              <w:br w:clear="none"/>
            </w:r>
            <w:r>
              <w:t xml:space="preserve"> Call from any other thread to abort all queries executing on this connection (raising an exception in the thread using the connection).</w:t>
            </w:r>
          </w:p>
        </w:tc>
      </w:tr>
    </w:tbl>
    <w:tbl>
      <w:tblPr>
        <w:tblW w:type="auto" w:w="0"/>
      </w:tblPr>
      <w:tr>
        <w:tc>
          <w:tcPr>
            <w:tcW w:type="auto" w:w="0"/>
            <w:tcMar>
              <w:left w:type="dxa" w:w="200"/>
              <w:top w:type="dxa" w:w="200"/>
              <w:right w:type="dxa" w:w="200"/>
              <w:bottom w:type="dxa" w:w="200"/>
            </w:tcMar>
          </w:tcPr>
          <w:p>
            <w:pPr>
              <w:pStyle w:val="Para 001"/>
            </w:pPr>
            <w:r>
              <w:t>isolati⁠o⁠n⁠_​l⁠e⁠v⁠el</w:t>
            </w:r>
          </w:p>
        </w:tc>
        <w:tc>
          <w:tcPr>
            <w:tcW w:type="auto" w:w="0"/>
            <w:tcMar>
              <w:left w:type="dxa" w:w="200"/>
              <w:top w:type="dxa" w:w="200"/>
              <w:right w:type="dxa" w:w="200"/>
              <w:bottom w:type="dxa" w:w="200"/>
            </w:tcMar>
          </w:tcPr>
          <w:p>
            <w:pPr>
              <w:pStyle w:val="Para 002"/>
            </w:pPr>
            <w:r>
              <w:t xml:space="preserve">A read-only attribute that’s the value given as the </w:t>
            </w:r>
            <w:r>
              <w:rPr>
                <w:rStyle w:val="Text0"/>
              </w:rPr>
              <w:t>isolation_level</w:t>
            </w:r>
            <w:r>
              <w:t xml:space="preserve"> parameter to the </w:t>
            </w:r>
            <w:r>
              <w:rPr>
                <w:rStyle w:val="Text0"/>
              </w:rPr>
              <w:t>connect</w:t>
            </w:r>
            <w:r>
              <w:t xml:space="preserve">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iterdump</w:t>
            </w:r>
          </w:p>
        </w:tc>
        <w:tc>
          <w:tcPr>
            <w:tcW w:type="auto" w:w="0"/>
            <w:shd w:val="clear" w:color="auto" w:fill="EEF2F6"/>
            <w:tcMar>
              <w:left w:type="dxa" w:w="200"/>
              <w:top w:type="dxa" w:w="200"/>
              <w:right w:type="dxa" w:w="200"/>
              <w:bottom w:type="dxa" w:w="200"/>
            </w:tcMar>
          </w:tcPr>
          <w:p>
            <w:pPr>
              <w:pStyle w:val="Para 002"/>
            </w:pPr>
            <w:r>
              <w:rPr>
                <w:rStyle w:val="Text0"/>
              </w:rPr>
              <w:t>iterdump()</w:t>
              <w:br w:clear="none"/>
            </w:r>
            <w:r>
              <w:t xml:space="preserve"> Returns an iterator that yields strings: the SQL statements that build the current DB from scratch, including both the schema and contents. Useful, for example, to persist an in-memory DB to disk for future reuse.</w:t>
            </w:r>
          </w:p>
        </w:tc>
      </w:tr>
    </w:tbl>
    <w:tbl>
      <w:tblPr>
        <w:tblW w:type="auto" w:w="0"/>
      </w:tblPr>
      <w:tr>
        <w:tc>
          <w:tcPr>
            <w:tcW w:type="auto" w:w="0"/>
            <w:tcMar>
              <w:left w:type="dxa" w:w="200"/>
              <w:top w:type="dxa" w:w="200"/>
              <w:right w:type="dxa" w:w="200"/>
              <w:bottom w:type="dxa" w:w="200"/>
            </w:tcMar>
          </w:tcPr>
          <w:p>
            <w:pPr>
              <w:pStyle w:val="Para 001"/>
            </w:pPr>
            <w:r>
              <w:t>row_factory</w:t>
            </w:r>
          </w:p>
        </w:tc>
        <w:tc>
          <w:tcPr>
            <w:tcW w:type="auto" w:w="0"/>
            <w:tcMar>
              <w:left w:type="dxa" w:w="200"/>
              <w:top w:type="dxa" w:w="200"/>
              <w:right w:type="dxa" w:w="200"/>
              <w:bottom w:type="dxa" w:w="200"/>
            </w:tcMar>
          </w:tcPr>
          <w:p>
            <w:pPr>
              <w:pStyle w:val="Para 002"/>
            </w:pPr>
            <w:r>
              <w:t xml:space="preserve">A callable that accepts the cursor and the original row as a tuple, and returns an object to use as the real result row. A common idiom is </w:t>
            </w:r>
            <w:r>
              <w:rPr>
                <w:rStyle w:val="Text3"/>
              </w:rPr>
              <w:t>x</w:t>
            </w:r>
            <w:r>
              <w:rPr>
                <w:rStyle w:val="Text0"/>
              </w:rPr>
              <w:t>.row_factory=sqlite3.Row</w:t>
            </w:r>
            <w:r>
              <w:t>, to use the highly optimized Row class covered in the following section, supplying both index-based and case-insensitive name-based access to columns with negligible overhead.</w:t>
            </w:r>
          </w:p>
        </w:tc>
      </w:tr>
    </w:tbl>
    <w:tbl>
      <w:tblPr>
        <w:tblW w:type="auto" w:w="0"/>
      </w:tblPr>
      <w:tr>
        <w:tc>
          <w:tcPr>
            <w:tcW w:type="auto" w:w="0"/>
            <w:shd w:val="clear" w:color="auto" w:fill="EEF2F6"/>
            <w:tcMar>
              <w:left w:type="dxa" w:w="200"/>
              <w:top w:type="dxa" w:w="200"/>
              <w:right w:type="dxa" w:w="200"/>
              <w:bottom w:type="dxa" w:w="200"/>
            </w:tcMar>
          </w:tcPr>
          <w:p>
            <w:pPr>
              <w:pStyle w:val="Para 001"/>
            </w:pPr>
            <w:r>
              <w:t>text_factory</w:t>
            </w:r>
          </w:p>
        </w:tc>
        <w:tc>
          <w:tcPr>
            <w:tcW w:type="auto" w:w="0"/>
            <w:shd w:val="clear" w:color="auto" w:fill="EEF2F6"/>
            <w:tcMar>
              <w:left w:type="dxa" w:w="200"/>
              <w:top w:type="dxa" w:w="200"/>
              <w:right w:type="dxa" w:w="200"/>
              <w:bottom w:type="dxa" w:w="200"/>
            </w:tcMar>
          </w:tcPr>
          <w:p>
            <w:pPr>
              <w:pStyle w:val="Para 002"/>
            </w:pPr>
            <w:r>
              <w:t xml:space="preserve">A callable that accepts a single bytestring parameter and returns the object to use for that </w:t>
            </w:r>
            <w:r>
              <w:rPr>
                <w:rStyle w:val="Text0"/>
              </w:rPr>
              <w:t>TEXT</w:t>
            </w:r>
            <w:r>
              <w:t xml:space="preserve"> column value—by default, </w:t>
            </w:r>
            <w:r>
              <w:rPr>
                <w:rStyle w:val="Text0"/>
              </w:rPr>
              <w:t>str</w:t>
            </w:r>
            <w:r>
              <w:t>, but you can set it to any similar callable.</w:t>
            </w:r>
          </w:p>
        </w:tc>
      </w:tr>
    </w:tbl>
    <w:tbl>
      <w:tblPr>
        <w:tblW w:type="auto" w:w="0"/>
      </w:tblPr>
      <w:tr>
        <w:tc>
          <w:tcPr>
            <w:tcW w:type="auto" w:w="0"/>
            <w:tcMar>
              <w:left w:type="dxa" w:w="200"/>
              <w:top w:type="dxa" w:w="200"/>
              <w:right w:type="dxa" w:w="200"/>
              <w:bottom w:type="dxa" w:w="200"/>
            </w:tcMar>
          </w:tcPr>
          <w:p>
            <w:pPr>
              <w:pStyle w:val="Para 001"/>
            </w:pPr>
            <w:r>
              <w:t>total_changes</w:t>
            </w:r>
          </w:p>
        </w:tc>
        <w:tc>
          <w:tcPr>
            <w:tcW w:type="auto" w:w="0"/>
            <w:tcMar>
              <w:left w:type="dxa" w:w="200"/>
              <w:top w:type="dxa" w:w="200"/>
              <w:right w:type="dxa" w:w="200"/>
              <w:bottom w:type="dxa" w:w="200"/>
            </w:tcMar>
          </w:tcPr>
          <w:p>
            <w:pPr>
              <w:pStyle w:val="Para 002"/>
            </w:pPr>
            <w:r>
              <w:t>The total number of rows that have been modified, inserted, or deleted since the connection was created.</w:t>
            </w:r>
          </w:p>
        </w:tc>
      </w:tr>
    </w:tbl>
    <w:p>
      <w:pPr>
        <w:pStyle w:val="Normal"/>
      </w:pPr>
      <w:r>
        <w:t xml:space="preserve">A </w:t>
      </w:r>
      <w:r>
        <w:rPr>
          <w:rStyle w:val="Text0"/>
        </w:rPr>
        <w:t>Connection</w:t>
      </w:r>
      <w:r>
        <w:t xml:space="preserve"> object can also be used as a context manager, to automatically commit database updates or roll back if an exception occurs; however, you will need to call </w:t>
      </w:r>
      <w:r>
        <w:rPr>
          <w:rStyle w:val="Text0"/>
        </w:rPr>
        <w:t>Connection.close()</w:t>
      </w:r>
      <w:r>
        <w:t xml:space="preserve"> explicitly to close the connection in this case.</w:t>
      </w:r>
    </w:p>
    <w:p>
      <w:bookmarkStart w:id="3055" w:name="The_sqlite3_Row_class__sqlite3_a"/>
      <w:pPr>
        <w:keepNext/>
        <w:pStyle w:val="Heading 2"/>
      </w:pPr>
      <w:r>
        <w:t>The sqlite3.Row class</w:t>
      </w:r>
      <w:bookmarkEnd w:id="3055"/>
    </w:p>
    <w:p>
      <w:pPr>
        <w:pStyle w:val="Normal"/>
      </w:pPr>
      <w:r>
        <w:rPr>
          <w:rStyle w:val="Text0"/>
        </w:rPr>
        <w:t>sqlite3</w:t>
      </w:r>
      <w:r>
        <w:t xml:space="preserve"> also supplies the class </w:t>
      </w:r>
      <w:r>
        <w:rPr>
          <w:rStyle w:val="Text0"/>
        </w:rPr>
        <w:t>Row</w:t>
      </w:r>
      <w:r>
        <w:t xml:space="preserve">. A </w:t>
      </w:r>
      <w:r>
        <w:rPr>
          <w:rStyle w:val="Text0"/>
        </w:rPr>
        <w:t>Row</w:t>
      </w:r>
      <w:r>
        <w:t xml:space="preserve"> object is mostly like a </w:t>
      </w:r>
      <w:r>
        <w:rPr>
          <w:rStyle w:val="Text0"/>
        </w:rPr>
        <w:t>tuple</w:t>
      </w:r>
      <w:r>
        <w:t xml:space="preserve"> but also supplies the method </w:t>
      </w:r>
      <w:r>
        <w:rPr>
          <w:rStyle w:val="Text0"/>
        </w:rPr>
        <w:t>keys</w:t>
      </w:r>
      <w:r>
        <w:t>, returning a list of column names, and supports indexing by a column name as an alternative to indexing by column number.</w:t>
      </w:r>
    </w:p>
    <w:p>
      <w:bookmarkStart w:id="3056" w:name="A_sqlite3_example__The_following"/>
      <w:pPr>
        <w:keepNext/>
        <w:pStyle w:val="Heading 2"/>
      </w:pPr>
      <w:r>
        <w:t>A sqlite3 example</w:t>
      </w:r>
      <w:bookmarkEnd w:id="3056"/>
    </w:p>
    <w:p>
      <w:pPr>
        <w:pStyle w:val="Normal"/>
      </w:pPr>
      <w:r>
        <w:t xml:space="preserve">The following example handles the same task as the examples shown earlier in the chapter, but uses </w:t>
      </w:r>
      <w:r>
        <w:rPr>
          <w:rStyle w:val="Text0"/>
        </w:rPr>
        <w:t>sqlite3</w:t>
      </w:r>
      <w:r>
        <w:t xml:space="preserve"> for persistence, without creating the index in memory:</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fileinput</w:t>
        <w:br w:clear="none"/>
      </w:r>
      <w:r>
        <w:rPr>
          <w:rStyle w:val="Text13"/>
        </w:rPr>
        <w:t xml:space="preserve">,</w:t>
        <w:br w:clear="none"/>
      </w:r>
      <w:r>
        <w:rPr>
          <w:rStyle w:val="Text6"/>
        </w:rPr>
        <w:t xml:space="preserve"> </w:t>
        <w:br w:clear="none"/>
      </w:r>
      <w:r>
        <w:rPr>
          <w:rStyle w:val="Text20"/>
        </w:rPr>
        <w:t xml:space="preserve">sqlite3</w:t>
        <w:br w:clear="none"/>
      </w:r>
      <w:r>
        <w:rPr>
          <w:rStyle w:val="Text6"/>
        </w:rPr>
        <w:t xml:space="preserve"/>
        <w:br w:clear="none"/>
      </w:r>
      <w:r>
        <w:t xml:space="preserve">connect</w:t>
        <w:br w:clear="none"/>
      </w:r>
      <w:r>
        <w:rPr>
          <w:rStyle w:val="Text6"/>
        </w:rPr>
        <w:t xml:space="preserve"> </w:t>
        <w:br w:clear="none"/>
      </w:r>
      <w:r>
        <w:rPr>
          <w:rStyle w:val="Text13"/>
        </w:rPr>
        <w:t xml:space="preserve">=</w:t>
        <w:br w:clear="none"/>
      </w:r>
      <w:r>
        <w:rPr>
          <w:rStyle w:val="Text6"/>
        </w:rPr>
        <w:t xml:space="preserve"> </w:t>
        <w:br w:clear="none"/>
      </w:r>
      <w:r>
        <w:t xml:space="preserve">sqlite3</w:t>
        <w:br w:clear="none"/>
      </w:r>
      <w:r>
        <w:rPr>
          <w:rStyle w:val="Text13"/>
        </w:rPr>
        <w:t xml:space="preserve">.</w:t>
        <w:br w:clear="none"/>
      </w:r>
      <w:r>
        <w:t xml:space="preserve">connect</w:t>
        <w:br w:clear="none"/>
      </w:r>
      <w:r>
        <w:rPr>
          <w:rStyle w:val="Text7"/>
        </w:rPr>
        <w:t xml:space="preserve">(</w:t>
        <w:br w:clear="none"/>
      </w:r>
      <w:r>
        <w:rPr>
          <w:rStyle w:val="Text8"/>
        </w:rPr>
        <w:t xml:space="preserve">'</w:t>
        <w:br w:clear="none"/>
        <w:t xml:space="preserve">database.db</w:t>
        <w:br w:clear="none"/>
        <w:t xml:space="preserve">'</w:t>
        <w:br w:clear="none"/>
      </w:r>
      <w:r>
        <w:rPr>
          <w:rStyle w:val="Text7"/>
        </w:rPr>
        <w:t xml:space="preserve">)</w:t>
        <w:br w:clear="none"/>
      </w:r>
      <w:r>
        <w:rPr>
          <w:rStyle w:val="Text6"/>
        </w:rPr>
        <w:t xml:space="preserve"/>
        <w:br w:clear="none"/>
      </w:r>
      <w:r>
        <w:t xml:space="preserve">cursor</w:t>
        <w:br w:clear="none"/>
      </w:r>
      <w:r>
        <w:rPr>
          <w:rStyle w:val="Text6"/>
        </w:rPr>
        <w:t xml:space="preserve"> </w:t>
        <w:br w:clear="none"/>
      </w:r>
      <w:r>
        <w:rPr>
          <w:rStyle w:val="Text13"/>
        </w:rPr>
        <w:t xml:space="preserve">=</w:t>
        <w:br w:clear="none"/>
      </w:r>
      <w:r>
        <w:rPr>
          <w:rStyle w:val="Text6"/>
        </w:rPr>
        <w:t xml:space="preserve"> </w:t>
        <w:br w:clear="none"/>
      </w:r>
      <w:r>
        <w:t xml:space="preserve">connect</w:t>
        <w:br w:clear="none"/>
      </w:r>
      <w:r>
        <w:rPr>
          <w:rStyle w:val="Text13"/>
        </w:rPr>
        <w:t xml:space="preserve">.</w:t>
        <w:br w:clear="none"/>
      </w:r>
      <w:r>
        <w:t xml:space="preserve">cursor</w:t>
        <w:br w:clear="none"/>
      </w:r>
      <w:r>
        <w:rPr>
          <w:rStyle w:val="Text7"/>
        </w:rPr>
        <w:t xml:space="preserve">(</w:t>
        <w:br w:clear="none"/>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connect</w:t>
        <w:br w:clear="none"/>
      </w:r>
      <w:r>
        <w:rPr>
          <w:rStyle w:val="Text7"/>
        </w:rPr>
        <w:t xml:space="preserve">:</w:t>
        <w:br w:clear="none"/>
      </w:r>
      <w:r>
        <w:rPr>
          <w:rStyle w:val="Text6"/>
        </w:rPr>
        <w:t xml:space="preserve"/>
        <w:br w:clear="none"/>
        <w:t xml:space="preserve">    </w:t>
        <w:br w:clear="none"/>
      </w:r>
      <w:r>
        <w:t xml:space="preserve">cursor</w:t>
        <w:br w:clear="none"/>
      </w:r>
      <w:r>
        <w:rPr>
          <w:rStyle w:val="Text13"/>
        </w:rPr>
        <w:t xml:space="preserve">.</w:t>
        <w:br w:clear="none"/>
      </w:r>
      <w:r>
        <w:t xml:space="preserve">execute</w:t>
        <w:br w:clear="none"/>
      </w:r>
      <w:r>
        <w:rPr>
          <w:rStyle w:val="Text7"/>
        </w:rPr>
        <w:t xml:space="preserve">(</w:t>
        <w:br w:clear="none"/>
      </w:r>
      <w:r>
        <w:rPr>
          <w:rStyle w:val="Text8"/>
        </w:rPr>
        <w:t xml:space="preserve">'</w:t>
        <w:br w:clear="none"/>
        <w:t xml:space="preserve">CREATE TABLE IF NOT EXISTS Words </w:t>
        <w:br w:clear="none"/>
        <w:t xml:space="preserve">'</w:t>
        <w:br w:clear="none"/>
      </w:r>
      <w:r>
        <w:rPr>
          <w:rStyle w:val="Text6"/>
        </w:rPr>
        <w:t xml:space="preserve"/>
        <w:br w:clear="none"/>
        <w:t xml:space="preserve">                   </w:t>
        <w:br w:clear="none"/>
      </w:r>
      <w:r>
        <w:rPr>
          <w:rStyle w:val="Text8"/>
        </w:rPr>
        <w:t xml:space="preserve">'</w:t>
        <w:br w:clear="none"/>
        <w:t xml:space="preserve">(Word TEXT, File TEXT, Line INT)</w:t>
        <w:br w:clear="none"/>
        <w:t xml:space="preserve">'</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fileinput</w:t>
        <w:br w:clear="none"/>
      </w:r>
      <w:r>
        <w:rPr>
          <w:rStyle w:val="Text13"/>
        </w:rPr>
        <w:t xml:space="preserve">.</w:t>
        <w:br w:clear="none"/>
      </w:r>
      <w:r>
        <w:t xml:space="preserve">input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f</w:t>
        <w:br w:clear="none"/>
      </w:r>
      <w:r>
        <w:rPr>
          <w:rStyle w:val="Text7"/>
        </w:rPr>
        <w:t xml:space="preserve">,</w:t>
        <w:br w:clear="none"/>
      </w:r>
      <w:r>
        <w:rPr>
          <w:rStyle w:val="Text6"/>
        </w:rPr>
        <w:t xml:space="preserve"> </w:t>
        <w:br w:clear="none"/>
      </w:r>
      <w:r>
        <w:t xml:space="preserve">l</w:t>
        <w:br w:clear="none"/>
      </w:r>
      <w:r>
        <w:rPr>
          <w:rStyle w:val="Text6"/>
        </w:rPr>
        <w:t xml:space="preserve"> </w:t>
        <w:br w:clear="none"/>
      </w:r>
      <w:r>
        <w:rPr>
          <w:rStyle w:val="Text13"/>
        </w:rPr>
        <w:t xml:space="preserve">=</w:t>
        <w:br w:clear="none"/>
      </w:r>
      <w:r>
        <w:rPr>
          <w:rStyle w:val="Text6"/>
        </w:rPr>
        <w:t xml:space="preserve"> </w:t>
        <w:br w:clear="none"/>
      </w:r>
      <w:r>
        <w:t xml:space="preserve">fileinput</w:t>
        <w:br w:clear="none"/>
      </w:r>
      <w:r>
        <w:rPr>
          <w:rStyle w:val="Text13"/>
        </w:rPr>
        <w:t xml:space="preserve">.</w:t>
        <w:br w:clear="none"/>
      </w:r>
      <w:r>
        <w:t xml:space="preserve">filename</w:t>
        <w:br w:clear="none"/>
      </w:r>
      <w:r>
        <w:rPr>
          <w:rStyle w:val="Text7"/>
        </w:rPr>
        <w:t xml:space="preserve">(</w:t>
        <w:br w:clear="none"/>
        <w:t xml:space="preserve">)</w:t>
        <w:br w:clear="none"/>
        <w:t xml:space="preserve">,</w:t>
        <w:br w:clear="none"/>
      </w:r>
      <w:r>
        <w:rPr>
          <w:rStyle w:val="Text6"/>
        </w:rPr>
        <w:t xml:space="preserve"> </w:t>
        <w:br w:clear="none"/>
      </w:r>
      <w:r>
        <w:t xml:space="preserve">fileinput</w:t>
        <w:br w:clear="none"/>
      </w:r>
      <w:r>
        <w:rPr>
          <w:rStyle w:val="Text13"/>
        </w:rPr>
        <w:t xml:space="preserve">.</w:t>
        <w:br w:clear="none"/>
      </w:r>
      <w:r>
        <w:t xml:space="preserve">filelineno</w:t>
        <w:br w:clear="none"/>
      </w:r>
      <w:r>
        <w:rPr>
          <w:rStyle w:val="Text7"/>
        </w:rPr>
        <w:t xml:space="preserve">(</w:t>
        <w:br w:clear="none"/>
        <w:t xml:space="preserve">)</w:t>
        <w:br w:clear="none"/>
      </w:r>
      <w:r>
        <w:rPr>
          <w:rStyle w:val="Text6"/>
        </w:rPr>
        <w:t xml:space="preserve"/>
        <w:br w:clear="none"/>
        <w:t xml:space="preserve">        </w:t>
        <w:br w:clear="none"/>
      </w:r>
      <w:r>
        <w:t xml:space="preserve">cursor</w:t>
        <w:br w:clear="none"/>
      </w:r>
      <w:r>
        <w:rPr>
          <w:rStyle w:val="Text13"/>
        </w:rPr>
        <w:t xml:space="preserve">.</w:t>
        <w:br w:clear="none"/>
      </w:r>
      <w:r>
        <w:t xml:space="preserve">executemany</w:t>
        <w:br w:clear="none"/>
      </w:r>
      <w:r>
        <w:rPr>
          <w:rStyle w:val="Text7"/>
        </w:rPr>
        <w:t xml:space="preserve">(</w:t>
        <w:br w:clear="none"/>
      </w:r>
      <w:r>
        <w:rPr>
          <w:rStyle w:val="Text8"/>
        </w:rPr>
        <w:t xml:space="preserve">'</w:t>
        <w:br w:clear="none"/>
        <w:t xml:space="preserve">INSERT INTO Words VALUES (:w, :f, :l)</w:t>
        <w:br w:clear="none"/>
        <w:t xml:space="preserve">'</w:t>
        <w:br w:clear="none"/>
      </w:r>
      <w:r>
        <w:rPr>
          <w:rStyle w:val="Text7"/>
        </w:rPr>
        <w:t xml:space="preserve">,</w:t>
        <w:br w:clear="none"/>
      </w:r>
      <w:r>
        <w:rPr>
          <w:rStyle w:val="Text6"/>
        </w:rPr>
        <w:t xml:space="preserve"/>
        <w:br w:clear="none"/>
        <w:t xml:space="preserve">            </w:t>
        <w:br w:clear="none"/>
      </w:r>
      <w:r>
        <w:rPr>
          <w:rStyle w:val="Text7"/>
        </w:rPr>
        <w:t xml:space="preserve">[</w:t>
        <w:br w:clear="none"/>
        <w:t xml:space="preserve">{</w:t>
        <w:br w:clear="none"/>
      </w:r>
      <w:r>
        <w:rPr>
          <w:rStyle w:val="Text8"/>
        </w:rPr>
        <w:t xml:space="preserve">'</w:t>
        <w:br w:clear="none"/>
        <w:t xml:space="preserve">w</w:t>
        <w:br w:clear="none"/>
        <w:t xml:space="preserve">'</w:t>
        <w:br w:clear="none"/>
      </w:r>
      <w:r>
        <w:rPr>
          <w:rStyle w:val="Text7"/>
        </w:rPr>
        <w:t xml:space="preserve">:</w:t>
        <w:br w:clear="none"/>
      </w:r>
      <w:r>
        <w:t xml:space="preserve">w</w:t>
        <w:br w:clear="none"/>
      </w:r>
      <w:r>
        <w:rPr>
          <w:rStyle w:val="Text7"/>
        </w:rPr>
        <w:t xml:space="preserve">,</w:t>
        <w:br w:clear="none"/>
      </w:r>
      <w:r>
        <w:rPr>
          <w:rStyle w:val="Text6"/>
        </w:rPr>
        <w:t xml:space="preserve"> </w:t>
        <w:br w:clear="none"/>
      </w:r>
      <w:r>
        <w:rPr>
          <w:rStyle w:val="Text8"/>
        </w:rPr>
        <w:t xml:space="preserve">'</w:t>
        <w:br w:clear="none"/>
        <w:t xml:space="preserve">f</w:t>
        <w:br w:clear="none"/>
        <w:t xml:space="preserve">'</w:t>
        <w:br w:clear="none"/>
      </w:r>
      <w:r>
        <w:rPr>
          <w:rStyle w:val="Text7"/>
        </w:rPr>
        <w:t xml:space="preserve">:</w:t>
        <w:br w:clear="none"/>
      </w:r>
      <w:r>
        <w:t xml:space="preserve">f</w:t>
        <w:br w:clear="none"/>
      </w:r>
      <w:r>
        <w:rPr>
          <w:rStyle w:val="Text7"/>
        </w:rPr>
        <w:t xml:space="preserve">,</w:t>
        <w:br w:clear="none"/>
      </w:r>
      <w:r>
        <w:rPr>
          <w:rStyle w:val="Text6"/>
        </w:rPr>
        <w:t xml:space="preserve"> </w:t>
        <w:br w:clear="none"/>
      </w:r>
      <w:r>
        <w:rPr>
          <w:rStyle w:val="Text8"/>
        </w:rPr>
        <w:t xml:space="preserve">'</w:t>
        <w:br w:clear="none"/>
        <w:t xml:space="preserve">l</w:t>
        <w:br w:clear="none"/>
        <w:t xml:space="preserve">'</w:t>
        <w:br w:clear="none"/>
      </w:r>
      <w:r>
        <w:rPr>
          <w:rStyle w:val="Text7"/>
        </w:rPr>
        <w:t xml:space="preserve">:</w:t>
        <w:br w:clear="none"/>
      </w:r>
      <w:r>
        <w:t xml:space="preserve">l</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w</w:t>
        <w:br w:clear="none"/>
      </w:r>
      <w:r>
        <w:rPr>
          <w:rStyle w:val="Text6"/>
        </w:rPr>
        <w:t xml:space="preserve"> </w:t>
        <w:br w:clear="none"/>
      </w:r>
      <w:r>
        <w:rPr>
          <w:rStyle w:val="Text31"/>
        </w:rPr>
        <w:t xml:space="preserve">in</w:t>
        <w:br w:clear="none"/>
      </w:r>
      <w:r>
        <w:rPr>
          <w:rStyle w:val="Text6"/>
        </w:rPr>
        <w:t xml:space="preserve"> </w:t>
        <w:br w:clear="none"/>
      </w:r>
      <w:r>
        <w:t xml:space="preserve">line</w:t>
        <w:br w:clear="none"/>
      </w:r>
      <w:r>
        <w:rPr>
          <w:rStyle w:val="Text13"/>
        </w:rPr>
        <w:t xml:space="preserve">.</w:t>
        <w:br w:clear="none"/>
      </w:r>
      <w:r>
        <w:t xml:space="preserve">split</w:t>
        <w:br w:clear="none"/>
      </w:r>
      <w:r>
        <w:rPr>
          <w:rStyle w:val="Text7"/>
        </w:rPr>
        <w:t xml:space="preserve">(</w:t>
        <w:br w:clear="none"/>
        <w:t xml:space="preserve">)</w:t>
        <w:br w:clear="none"/>
        <w:t xml:space="preserve">]</w:t>
        <w:br w:clear="none"/>
        <w:t xml:space="preserve">)</w:t>
        <w:br w:clear="none"/>
      </w:r>
      <w:r>
        <w:rPr>
          <w:rStyle w:val="Text6"/>
        </w:rPr>
        <w:t xml:space="preserve"/>
        <w:br w:clear="none"/>
      </w:r>
      <w:r>
        <w:t xml:space="preserve">connect</w:t>
        <w:br w:clear="none"/>
      </w:r>
      <w:r>
        <w:rPr>
          <w:rStyle w:val="Text13"/>
        </w:rPr>
        <w:t xml:space="preserve">.</w:t>
        <w:br w:clear="none"/>
      </w:r>
      <w:r>
        <w:t xml:space="preserve">close</w:t>
        <w:br w:clear="none"/>
      </w:r>
      <w:r>
        <w:rPr>
          <w:rStyle w:val="Text7"/>
        </w:rPr>
        <w:t xml:space="preserve">(</w:t>
        <w:br w:clear="none"/>
        <w:t xml:space="preserve">)</w:t>
        <w:br w:clear="none"/>
      </w:r>
    </w:p>
    <w:p>
      <w:pPr>
        <w:pStyle w:val="Normal"/>
      </w:pPr>
      <w:r>
        <w:t xml:space="preserve">We can then use </w:t>
      </w:r>
      <w:r>
        <w:rPr>
          <w:rStyle w:val="Text0"/>
        </w:rPr>
        <w:t>sqlite3</w:t>
      </w:r>
      <w:r>
        <w:t xml:space="preserve"> to read back the data stored in the DB file </w:t>
      </w:r>
      <w:r>
        <w:rPr>
          <w:rStyle w:val="Text4"/>
        </w:rPr>
        <w:t>database.db</w:t>
      </w:r>
      <w:r>
        <w:t>, as shown in the following</w:t>
      </w:r>
      <w:r>
        <w:rPr>
          <w:rStyle w:val="Text111"/>
        </w:rPr>
        <w:bookmarkStart w:id="3057" w:name="idm45965197143568"/>
        <w:t/>
        <w:bookmarkEnd w:id="3057"/>
        <w:bookmarkStart w:id="3058" w:name="idm45965197142256"/>
        <w:t/>
        <w:bookmarkEnd w:id="3058"/>
        <w:bookmarkStart w:id="3059" w:name="idm45965197162608"/>
        <w:t/>
        <w:bookmarkEnd w:id="3059"/>
        <w:bookmarkStart w:id="3060" w:name="idm45965197161232"/>
        <w:t/>
        <w:bookmarkEnd w:id="3060"/>
      </w:r>
      <w:r>
        <w:t xml:space="preserve"> example: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sys</w:t>
        <w:br w:clear="none"/>
      </w:r>
      <w:r>
        <w:rPr>
          <w:rStyle w:val="Text13"/>
        </w:rPr>
        <w:t xml:space="preserve">,</w:t>
        <w:br w:clear="none"/>
      </w:r>
      <w:r>
        <w:rPr>
          <w:rStyle w:val="Text6"/>
        </w:rPr>
        <w:t xml:space="preserve"> </w:t>
        <w:br w:clear="none"/>
      </w:r>
      <w:r>
        <w:rPr>
          <w:rStyle w:val="Text20"/>
        </w:rPr>
        <w:t xml:space="preserve">sqlite3</w:t>
        <w:br w:clear="none"/>
      </w:r>
      <w:r>
        <w:rPr>
          <w:rStyle w:val="Text13"/>
        </w:rPr>
        <w:t xml:space="preserve">,</w:t>
        <w:br w:clear="none"/>
      </w:r>
      <w:r>
        <w:rPr>
          <w:rStyle w:val="Text6"/>
        </w:rPr>
        <w:t xml:space="preserve"> </w:t>
        <w:br w:clear="none"/>
      </w:r>
      <w:r>
        <w:rPr>
          <w:rStyle w:val="Text20"/>
        </w:rPr>
        <w:t xml:space="preserve">linecache</w:t>
        <w:br w:clear="none"/>
      </w:r>
      <w:r>
        <w:rPr>
          <w:rStyle w:val="Text6"/>
        </w:rPr>
        <w:t xml:space="preserve"/>
        <w:br w:clear="none"/>
      </w:r>
      <w:r>
        <w:t xml:space="preserve">connect</w:t>
        <w:br w:clear="none"/>
      </w:r>
      <w:r>
        <w:rPr>
          <w:rStyle w:val="Text6"/>
        </w:rPr>
        <w:t xml:space="preserve"> </w:t>
        <w:br w:clear="none"/>
      </w:r>
      <w:r>
        <w:rPr>
          <w:rStyle w:val="Text13"/>
        </w:rPr>
        <w:t xml:space="preserve">=</w:t>
        <w:br w:clear="none"/>
      </w:r>
      <w:r>
        <w:rPr>
          <w:rStyle w:val="Text6"/>
        </w:rPr>
        <w:t xml:space="preserve"> </w:t>
        <w:br w:clear="none"/>
      </w:r>
      <w:r>
        <w:t xml:space="preserve">sqlite3</w:t>
        <w:br w:clear="none"/>
      </w:r>
      <w:r>
        <w:rPr>
          <w:rStyle w:val="Text13"/>
        </w:rPr>
        <w:t xml:space="preserve">.</w:t>
        <w:br w:clear="none"/>
      </w:r>
      <w:r>
        <w:t xml:space="preserve">connect</w:t>
        <w:br w:clear="none"/>
      </w:r>
      <w:r>
        <w:rPr>
          <w:rStyle w:val="Text7"/>
        </w:rPr>
        <w:t xml:space="preserve">(</w:t>
        <w:br w:clear="none"/>
      </w:r>
      <w:r>
        <w:rPr>
          <w:rStyle w:val="Text8"/>
        </w:rPr>
        <w:t xml:space="preserve">'</w:t>
        <w:br w:clear="none"/>
        <w:t xml:space="preserve">database.db</w:t>
        <w:br w:clear="none"/>
        <w:t xml:space="preserve">'</w:t>
        <w:br w:clear="none"/>
      </w:r>
      <w:r>
        <w:rPr>
          <w:rStyle w:val="Text7"/>
        </w:rPr>
        <w:t xml:space="preserve">)</w:t>
        <w:br w:clear="none"/>
      </w:r>
      <w:r>
        <w:rPr>
          <w:rStyle w:val="Text6"/>
        </w:rPr>
        <w:t xml:space="preserve"/>
        <w:br w:clear="none"/>
      </w:r>
      <w:r>
        <w:t xml:space="preserve">cursor</w:t>
        <w:br w:clear="none"/>
      </w:r>
      <w:r>
        <w:rPr>
          <w:rStyle w:val="Text6"/>
        </w:rPr>
        <w:t xml:space="preserve"> </w:t>
        <w:br w:clear="none"/>
      </w:r>
      <w:r>
        <w:rPr>
          <w:rStyle w:val="Text13"/>
        </w:rPr>
        <w:t xml:space="preserve">=</w:t>
        <w:br w:clear="none"/>
      </w:r>
      <w:r>
        <w:rPr>
          <w:rStyle w:val="Text6"/>
        </w:rPr>
        <w:t xml:space="preserve"> </w:t>
        <w:br w:clear="none"/>
      </w:r>
      <w:r>
        <w:t xml:space="preserve">connect</w:t>
        <w:br w:clear="none"/>
      </w:r>
      <w:r>
        <w:rPr>
          <w:rStyle w:val="Text13"/>
        </w:rPr>
        <w:t xml:space="preserve">.</w:t>
        <w:br w:clear="none"/>
      </w:r>
      <w:r>
        <w:t xml:space="preserve">cursor</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word</w:t>
        <w:br w:clear="none"/>
      </w:r>
      <w:r>
        <w:rPr>
          <w:rStyle w:val="Text6"/>
        </w:rPr>
        <w:t xml:space="preserve"> </w:t>
        <w:br w:clear="none"/>
      </w:r>
      <w:r>
        <w:rPr>
          <w:rStyle w:val="Text31"/>
        </w:rPr>
        <w:t xml:space="preserve">in</w:t>
        <w:br w:clear="none"/>
      </w:r>
      <w:r>
        <w:rPr>
          <w:rStyle w:val="Text6"/>
        </w:rPr>
        <w:t xml:space="preserve"> </w:t>
        <w:br w:clear="none"/>
      </w:r>
      <w:r>
        <w:t xml:space="preserve">sys</w:t>
        <w:br w:clear="none"/>
      </w:r>
      <w:r>
        <w:rPr>
          <w:rStyle w:val="Text13"/>
        </w:rPr>
        <w:t xml:space="preserve">.</w:t>
        <w:br w:clear="none"/>
      </w:r>
      <w:r>
        <w:t xml:space="preserve">argv</w:t>
        <w:br w:clear="none"/>
      </w:r>
      <w:r>
        <w:rPr>
          <w:rStyle w:val="Text7"/>
        </w:rPr>
        <w:t xml:space="preserve">[</w:t>
        <w:br w:clear="none"/>
      </w:r>
      <w:r>
        <w:rPr>
          <w:rStyle w:val="Text27"/>
        </w:rPr>
        <w:t xml:space="preserve">1</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cursor</w:t>
        <w:br w:clear="none"/>
      </w:r>
      <w:r>
        <w:rPr>
          <w:rStyle w:val="Text13"/>
        </w:rPr>
        <w:t xml:space="preserve">.</w:t>
        <w:br w:clear="none"/>
      </w:r>
      <w:r>
        <w:t xml:space="preserve">execute</w:t>
        <w:br w:clear="none"/>
      </w:r>
      <w:r>
        <w:rPr>
          <w:rStyle w:val="Text7"/>
        </w:rPr>
        <w:t xml:space="preserve">(</w:t>
        <w:br w:clear="none"/>
      </w:r>
      <w:r>
        <w:rPr>
          <w:rStyle w:val="Text8"/>
        </w:rPr>
        <w:t xml:space="preserve">'</w:t>
        <w:br w:clear="none"/>
        <w:t xml:space="preserve">SELECT File, Line FROM Words </w:t>
        <w:br w:clear="none"/>
        <w:t xml:space="preserve">'</w:t>
        <w:br w:clear="none"/>
      </w:r>
      <w:r>
        <w:rPr>
          <w:rStyle w:val="Text6"/>
        </w:rPr>
        <w:t xml:space="preserve"/>
        <w:br w:clear="none"/>
        <w:t xml:space="preserve">                   </w:t>
        <w:br w:clear="none"/>
      </w:r>
      <w:r>
        <w:rPr>
          <w:rStyle w:val="Text8"/>
        </w:rPr>
        <w:t xml:space="preserve">'</w:t>
        <w:br w:clear="none"/>
        <w:t xml:space="preserve">WHERE Word=?</w:t>
        <w:br w:clear="none"/>
        <w:t xml:space="preserve">'</w:t>
        <w:br w:clear="none"/>
      </w:r>
      <w:r>
        <w:rPr>
          <w:rStyle w:val="Text7"/>
        </w:rPr>
        <w:t xml:space="preserve">,</w:t>
        <w:br w:clear="none"/>
      </w:r>
      <w:r>
        <w:rPr>
          <w:rStyle w:val="Text6"/>
        </w:rPr>
        <w:t xml:space="preserve"> </w:t>
        <w:br w:clear="none"/>
      </w:r>
      <w:r>
        <w:rPr>
          <w:rStyle w:val="Text7"/>
        </w:rPr>
        <w:t xml:space="preserve">[</w:t>
        <w:br w:clear="none"/>
      </w:r>
      <w:r>
        <w:t xml:space="preserve">word</w:t>
        <w:br w:clear="none"/>
      </w:r>
      <w:r>
        <w:rPr>
          <w:rStyle w:val="Text7"/>
        </w:rPr>
        <w:t xml:space="preserve">]</w:t>
        <w:br w:clear="none"/>
        <w:t xml:space="preserve">)</w:t>
        <w:br w:clear="none"/>
      </w:r>
      <w:r>
        <w:rPr>
          <w:rStyle w:val="Text6"/>
        </w:rPr>
        <w:t xml:space="preserve"/>
        <w:br w:clear="none"/>
        <w:t xml:space="preserve">    </w:t>
        <w:br w:clear="none"/>
      </w:r>
      <w:r>
        <w:t xml:space="preserve">places</w:t>
        <w:br w:clear="none"/>
      </w:r>
      <w:r>
        <w:rPr>
          <w:rStyle w:val="Text6"/>
        </w:rPr>
        <w:t xml:space="preserve"> </w:t>
        <w:br w:clear="none"/>
      </w:r>
      <w:r>
        <w:rPr>
          <w:rStyle w:val="Text13"/>
        </w:rPr>
        <w:t xml:space="preserve">=</w:t>
        <w:br w:clear="none"/>
      </w:r>
      <w:r>
        <w:rPr>
          <w:rStyle w:val="Text6"/>
        </w:rPr>
        <w:t xml:space="preserve"> </w:t>
        <w:br w:clear="none"/>
      </w:r>
      <w:r>
        <w:t xml:space="preserve">cursor</w:t>
        <w:br w:clear="none"/>
      </w:r>
      <w:r>
        <w:rPr>
          <w:rStyle w:val="Text13"/>
        </w:rPr>
        <w:t xml:space="preserve">.</w:t>
        <w:br w:clear="none"/>
      </w:r>
      <w:r>
        <w:t xml:space="preserve">fetchall</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places</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not found in index file</w:t>
        <w:br w:clear="none"/>
        <w:t xml:space="preserve">'</w:t>
        <w:br w:clear="none"/>
      </w:r>
      <w:r>
        <w:rPr>
          <w:rStyle w:val="Text7"/>
        </w:rPr>
        <w:t xml:space="preserve">,</w:t>
        <w:br w:clear="none"/>
      </w:r>
      <w:r>
        <w:rPr>
          <w:rStyle w:val="Text6"/>
        </w:rPr>
        <w:t xml:space="preserve"/>
        <w:br w:clear="none"/>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continue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6"/>
        </w:rPr>
        <w:t xml:space="preserve"> </w:t>
        <w:br w:clear="none"/>
      </w:r>
      <w:r>
        <w:rPr>
          <w:rStyle w:val="Text31"/>
        </w:rPr>
        <w:t xml:space="preserve">in</w:t>
        <w:br w:clear="none"/>
      </w:r>
      <w:r>
        <w:rPr>
          <w:rStyle w:val="Text6"/>
        </w:rPr>
        <w:t xml:space="preserve"> </w:t>
        <w:br w:clear="none"/>
      </w:r>
      <w:r>
        <w:t xml:space="preserve">places</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Word </w:t>
        <w:br w:clear="none"/>
      </w:r>
      <w:r>
        <w:rPr>
          <w:rStyle w:val="Text32"/>
        </w:rPr>
        <w:t xml:space="preserve">{</w:t>
        <w:br w:clear="none"/>
      </w:r>
      <w:r>
        <w:t xml:space="preserve">word</w:t>
        <w:br w:clear="none"/>
      </w:r>
      <w:r>
        <w:rPr>
          <w:rStyle w:val="Text32"/>
        </w:rPr>
        <w:t xml:space="preserve">!r}</w:t>
        <w:br w:clear="none"/>
      </w:r>
      <w:r>
        <w:rPr>
          <w:rStyle w:val="Text8"/>
        </w:rPr>
        <w:t xml:space="preserve"> occurs in line </w:t>
        <w:br w:clear="none"/>
      </w:r>
      <w:r>
        <w:rPr>
          <w:rStyle w:val="Text32"/>
        </w:rPr>
        <w:t xml:space="preserve">{</w:t>
        <w:br w:clear="none"/>
      </w:r>
      <w:r>
        <w:t xml:space="preserve">lineno</w:t>
        <w:br w:clear="none"/>
      </w:r>
      <w:r>
        <w:rPr>
          <w:rStyle w:val="Text32"/>
        </w:rPr>
        <w:t xml:space="preserve">}</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of file </w:t>
        <w:br w:clear="none"/>
      </w:r>
      <w:r>
        <w:rPr>
          <w:rStyle w:val="Text32"/>
        </w:rPr>
        <w:t xml:space="preserve">{</w:t>
        <w:br w:clear="none"/>
      </w:r>
      <w:r>
        <w:t xml:space="preserve">fname</w:t>
        <w:br w:clear="none"/>
      </w:r>
      <w:r>
        <w:rPr>
          <w:rStyle w:val="Text32"/>
        </w:rPr>
        <w:t xml:space="preserve">!r}</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linecache</w:t>
        <w:br w:clear="none"/>
      </w:r>
      <w:r>
        <w:rPr>
          <w:rStyle w:val="Text13"/>
        </w:rPr>
        <w:t xml:space="preserve">.</w:t>
        <w:br w:clear="none"/>
      </w:r>
      <w:r>
        <w:t xml:space="preserve">getline</w:t>
        <w:br w:clear="none"/>
      </w:r>
      <w:r>
        <w:rPr>
          <w:rStyle w:val="Text7"/>
        </w:rPr>
        <w:t xml:space="preserve">(</w:t>
        <w:br w:clear="none"/>
      </w:r>
      <w:r>
        <w:t xml:space="preserve">fname</w:t>
        <w:br w:clear="none"/>
      </w:r>
      <w:r>
        <w:rPr>
          <w:rStyle w:val="Text7"/>
        </w:rPr>
        <w:t xml:space="preserve">,</w:t>
        <w:br w:clear="none"/>
      </w:r>
      <w:r>
        <w:rPr>
          <w:rStyle w:val="Text6"/>
        </w:rPr>
        <w:t xml:space="preserve"> </w:t>
        <w:br w:clear="none"/>
      </w:r>
      <w:r>
        <w:t xml:space="preserve">lineno</w:t>
        <w:br w:clear="none"/>
      </w:r>
      <w:r>
        <w:rPr>
          <w:rStyle w:val="Text7"/>
        </w:rPr>
        <w:t xml:space="preserve">)</w:t>
        <w:br w:clear="none"/>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r>
        <w:rPr>
          <w:rStyle w:val="Text6"/>
        </w:rPr>
        <w:t xml:space="preserve"/>
        <w:br w:clear="none"/>
      </w:r>
      <w:r>
        <w:t xml:space="preserve">connect</w:t>
        <w:br w:clear="none"/>
      </w:r>
      <w:r>
        <w:rPr>
          <w:rStyle w:val="Text13"/>
        </w:rPr>
        <w:t xml:space="preserve">.</w:t>
        <w:br w:clear="none"/>
      </w:r>
      <w:r>
        <w:t xml:space="preserve">close</w:t>
        <w:br w:clear="none"/>
      </w:r>
      <w:r>
        <w:rPr>
          <w:rStyle w:val="Text7"/>
        </w:rPr>
        <w:t xml:space="preserve">(</w:t>
        <w:br w:clear="none"/>
        <w:t xml:space="preserve">)</w:t>
        <w:br w:clear="none"/>
      </w:r>
    </w:p>
    <w:p>
      <w:bookmarkStart w:id="3061" w:name="1_In_fact___CSV__is_something_of"/>
      <w:pPr>
        <w:pStyle w:val="Para 035"/>
      </w:pPr>
      <w:hyperlink w:anchor="1_12">
        <w:r>
          <w:rPr>
            <w:rStyle w:val="Text1"/>
          </w:rPr>
          <w:t>1</w:t>
        </w:r>
      </w:hyperlink>
      <w:r>
        <w:t xml:space="preserve"> In fact, “CSV” is something of a misnomer, since some dialects use tabs or other characters rather than commas as the field separator. It might be easier to think of them as “delimiter-separated values.”</w:t>
      </w:r>
      <w:bookmarkEnd w:id="3061"/>
    </w:p>
    <w:p>
      <w:bookmarkStart w:id="3062" w:name="2_Consider_the_third_party_packa"/>
      <w:pPr>
        <w:pStyle w:val="Para 015"/>
      </w:pPr>
      <w:hyperlink w:anchor="2_10">
        <w:r>
          <w:rPr>
            <w:rStyle w:val="Text1"/>
          </w:rPr>
          <w:t>2</w:t>
        </w:r>
      </w:hyperlink>
      <w:r>
        <w:t xml:space="preserve"> Consider the third-party package </w:t>
      </w:r>
      <w:hyperlink r:id="rId422">
        <w:r>
          <w:rPr>
            <w:rStyle w:val="Text74"/>
          </w:rPr>
          <w:t>dill</w:t>
        </w:r>
      </w:hyperlink>
      <w:r>
        <w:t xml:space="preserve"> if you need to extend </w:t>
      </w:r>
      <w:r>
        <w:rPr>
          <w:rStyle w:val="Text25"/>
        </w:rPr>
        <w:t>pickle</w:t>
      </w:r>
      <w:r>
        <w:t xml:space="preserve"> in this and other aspects.</w:t>
      </w:r>
      <w:bookmarkEnd w:id="3062"/>
    </w:p>
    <w:p>
      <w:bookmarkStart w:id="3063" w:name="3_dbm_keys_and_values_must_be_by"/>
      <w:pPr>
        <w:pStyle w:val="Para 015"/>
      </w:pPr>
      <w:hyperlink w:anchor="3_10">
        <w:r>
          <w:rPr>
            <w:rStyle w:val="Text1"/>
          </w:rPr>
          <w:t>3</w:t>
        </w:r>
      </w:hyperlink>
      <w:r>
        <w:t xml:space="preserve"> </w:t>
      </w:r>
      <w:r>
        <w:rPr>
          <w:rStyle w:val="Text25"/>
        </w:rPr>
        <w:t>dbm</w:t>
      </w:r>
      <w:r>
        <w:t xml:space="preserve"> keys and values must be bytes; </w:t>
      </w:r>
      <w:r>
        <w:rPr>
          <w:rStyle w:val="Text25"/>
        </w:rPr>
        <w:t>shelve</w:t>
      </w:r>
      <w:r>
        <w:t xml:space="preserve"> will accept bytes or </w:t>
      </w:r>
      <w:r>
        <w:rPr>
          <w:rStyle w:val="Text25"/>
        </w:rPr>
        <w:t>str</w:t>
      </w:r>
      <w:r>
        <w:t xml:space="preserve"> and encode the strings transparently.</w:t>
      </w:r>
      <w:bookmarkEnd w:id="3063"/>
    </w:p>
    <w:p>
      <w:bookmarkStart w:id="3064" w:name="Chapter_13__Time_Operations__A_P_1"/>
      <w:bookmarkStart w:id="3065" w:name="Chapter_13__Time_Operations__A_P_2"/>
      <w:bookmarkStart w:id="3066" w:name="Chapter_13__Time_Operations__A_P"/>
      <w:bookmarkStart w:id="3067" w:name="Top_of_ch13_html"/>
      <w:pPr>
        <w:keepNext/>
        <w:pStyle w:val="Heading 1"/>
        <w:pageBreakBefore w:val="on"/>
      </w:pPr>
      <w:r>
        <w:t xml:space="preserve">Chapter 13. </w:t>
        <w:t>Time Operations</w:t>
      </w:r>
      <w:bookmarkEnd w:id="3064"/>
      <w:bookmarkEnd w:id="3065"/>
      <w:bookmarkEnd w:id="3066"/>
      <w:bookmarkEnd w:id="3067"/>
    </w:p>
    <w:p>
      <w:pPr>
        <w:pStyle w:val="Normal"/>
      </w:pPr>
      <w:r>
        <w:t>A Python program can handle time in several ways. Time</w:t>
      </w:r>
      <w:r>
        <w:rPr>
          <w:rStyle w:val="Text111"/>
        </w:rPr>
        <w:bookmarkStart w:id="3068" w:name="idm45965196957552"/>
        <w:t/>
        <w:bookmarkEnd w:id="3068"/>
      </w:r>
      <w:r>
        <w:t xml:space="preserve"> </w:t>
      </w:r>
      <w:r>
        <w:rPr>
          <w:rStyle w:val="Text4"/>
        </w:rPr>
        <w:t>intervals</w:t>
      </w:r>
      <w:r>
        <w:t xml:space="preserve"> are floating-point numbers in units of seconds (a fraction of a second is the fractional part of the interval): all standard library functions accepting an argument that expresses a time interval in seconds accept a float as the value of that argument. </w:t>
      </w:r>
      <w:r>
        <w:rPr>
          <w:rStyle w:val="Text4"/>
        </w:rPr>
        <w:t>Instants</w:t>
      </w:r>
      <w:r>
        <w:rPr>
          <w:rStyle w:val="Text105"/>
        </w:rPr>
        <w:bookmarkStart w:id="3069" w:name="idm45965196955584"/>
        <w:t/>
        <w:bookmarkEnd w:id="3069"/>
      </w:r>
      <w:r>
        <w:t xml:space="preserve"> in time are expressed in seconds since a reference instant, known as the</w:t>
      </w:r>
      <w:r>
        <w:rPr>
          <w:rStyle w:val="Text111"/>
        </w:rPr>
        <w:bookmarkStart w:id="3070" w:name="idm45965196977040"/>
        <w:t/>
        <w:bookmarkEnd w:id="3070"/>
      </w:r>
      <w:r>
        <w:t xml:space="preserve"> </w:t>
      </w:r>
      <w:r>
        <w:rPr>
          <w:rStyle w:val="Text4"/>
        </w:rPr>
        <w:t>epoch</w:t>
      </w:r>
      <w:r>
        <w:t>. (Although epochs vary per language and per platform, on all platforms, Python’s epoch is midnight, UTC, January 1, 1970.) Time instants often also need to be expressed as a mixture of units of measurement (e.g., years, months, days, hours, minutes, and seconds), particularly for I/O purposes. I/O, of course, also requires the ability to format times and dates into human-readable strings, and parse them back from string formats.</w:t>
      </w:r>
    </w:p>
    <w:p>
      <w:bookmarkStart w:id="3071" w:name="The_time_Module__The_time_module"/>
      <w:pPr>
        <w:keepNext/>
        <w:pStyle w:val="Heading 1"/>
      </w:pPr>
      <w:r>
        <w:t>The time Module</w:t>
      </w:r>
      <w:bookmarkEnd w:id="3071"/>
    </w:p>
    <w:p>
      <w:pPr>
        <w:pStyle w:val="Normal"/>
      </w:pPr>
      <w:r>
        <w:t>The</w:t>
      </w:r>
      <w:r>
        <w:rPr>
          <w:rStyle w:val="Text111"/>
        </w:rPr>
        <w:bookmarkStart w:id="3072" w:name="TOtmod13"/>
        <w:t/>
        <w:bookmarkEnd w:id="3072"/>
        <w:bookmarkStart w:id="3073" w:name="timemod13"/>
        <w:t/>
        <w:bookmarkEnd w:id="3073"/>
        <w:bookmarkStart w:id="3074" w:name="SLMtime11"/>
        <w:t/>
        <w:bookmarkEnd w:id="3074"/>
      </w:r>
      <w:r>
        <w:t xml:space="preserve"> </w:t>
      </w:r>
      <w:r>
        <w:rPr>
          <w:rStyle w:val="Text0"/>
        </w:rPr>
        <w:t>time</w:t>
      </w:r>
      <w:r>
        <w:t xml:space="preserve"> module is somewhat dependent on the underlying system’s C library, which sets the range of dates that the </w:t>
      </w:r>
      <w:r>
        <w:rPr>
          <w:rStyle w:val="Text0"/>
        </w:rPr>
        <w:t>time</w:t>
      </w:r>
      <w:r>
        <w:t xml:space="preserve"> module can handle. On older Unix systems, the years 1970 and 2038 were typical cutoff points</w:t>
      </w:r>
      <w:hyperlink w:anchor="1_On_older_Unix_systems__1970_01">
        <w:r>
          <w:rPr>
            <w:rStyle w:val="Text41"/>
          </w:rPr>
          <w:bookmarkStart w:id="3075" w:name="1_13"/>
          <w:t>1</w:t>
          <w:bookmarkEnd w:id="3075"/>
        </w:r>
      </w:hyperlink>
      <w:r>
        <w:t xml:space="preserve"> (a limitation avoided by using </w:t>
      </w:r>
      <w:r>
        <w:rPr>
          <w:rStyle w:val="Text0"/>
        </w:rPr>
        <w:t>datetime</w:t>
      </w:r>
      <w:r>
        <w:t>, discussed in the following section). Time instants are normally specified in</w:t>
      </w:r>
      <w:r>
        <w:rPr>
          <w:rStyle w:val="Text111"/>
        </w:rPr>
        <w:bookmarkStart w:id="3076" w:name="idm45965196910304"/>
        <w:t/>
        <w:bookmarkEnd w:id="3076"/>
        <w:bookmarkStart w:id="3077" w:name="idm45965196909328"/>
        <w:t/>
        <w:bookmarkEnd w:id="3077"/>
      </w:r>
      <w:r>
        <w:t xml:space="preserve"> UTC (Coordinated Universal Time, once known as GMT, or Greenwich Mean Time). The </w:t>
      </w:r>
      <w:r>
        <w:rPr>
          <w:rStyle w:val="Text0"/>
        </w:rPr>
        <w:t>time</w:t>
      </w:r>
      <w:r>
        <w:t xml:space="preserve"> module also supports local time zones and daylight savings time (DST), but only to the extent the underlying C system library does.</w:t>
      </w:r>
      <w:hyperlink w:anchor="2_time_and_datetime_don_t_accoun">
        <w:r>
          <w:rPr>
            <w:rStyle w:val="Text41"/>
          </w:rPr>
          <w:bookmarkStart w:id="3078" w:name="2_11"/>
          <w:t>2</w:t>
          <w:bookmarkEnd w:id="3078"/>
        </w:r>
      </w:hyperlink>
    </w:p>
    <w:p>
      <w:pPr>
        <w:pStyle w:val="Normal"/>
      </w:pPr>
      <w:r>
        <w:t>As an alternative to seconds since the epoch, a time instant can be represented by a tuple of nine integers, called a</w:t>
      </w:r>
      <w:r>
        <w:rPr>
          <w:rStyle w:val="Text111"/>
        </w:rPr>
        <w:bookmarkStart w:id="3079" w:name="idm45965196904944"/>
        <w:t/>
        <w:bookmarkEnd w:id="3079"/>
        <w:bookmarkStart w:id="3080" w:name="idm45965196903728"/>
        <w:t/>
        <w:bookmarkEnd w:id="3080"/>
        <w:bookmarkStart w:id="3081" w:name="idm45965196902752"/>
        <w:t/>
        <w:bookmarkEnd w:id="3081"/>
      </w:r>
      <w:r>
        <w:t xml:space="preserve"> </w:t>
      </w:r>
      <w:r>
        <w:rPr>
          <w:rStyle w:val="Text4"/>
        </w:rPr>
        <w:t>timetuple</w:t>
      </w:r>
      <w:r>
        <w:t xml:space="preserve"> (covered in </w:t>
      </w:r>
      <w:hyperlink w:anchor="Table_13_1__Tuple_form_of_time_r">
        <w:r>
          <w:rPr>
            <w:rStyle w:val="Text1"/>
          </w:rPr>
          <w:t>Table 13-1</w:t>
        </w:r>
      </w:hyperlink>
      <w:r>
        <w:t xml:space="preserve">.) All the items are integers: timetuples don’t keep track of fractions of a second. A timetuple is an instance of </w:t>
      </w:r>
      <w:r>
        <w:rPr>
          <w:rStyle w:val="Text0"/>
        </w:rPr>
        <w:t>struct_time</w:t>
      </w:r>
      <w:r>
        <w:t xml:space="preserve">. You can use it as a tuple; you can also, more usefully, access the items as the read-only attributes </w:t>
      </w:r>
      <w:r>
        <w:rPr>
          <w:rStyle w:val="Text3"/>
        </w:rPr>
        <w:t>x</w:t>
      </w:r>
      <w:r>
        <w:rPr>
          <w:rStyle w:val="Text0"/>
        </w:rPr>
        <w:t>.tm_year</w:t>
      </w:r>
      <w:r>
        <w:t xml:space="preserve">, </w:t>
      </w:r>
      <w:r>
        <w:rPr>
          <w:rStyle w:val="Text3"/>
        </w:rPr>
        <w:t>x</w:t>
      </w:r>
      <w:r>
        <w:rPr>
          <w:rStyle w:val="Text0"/>
        </w:rPr>
        <w:t>.tm_mon</w:t>
      </w:r>
      <w:r>
        <w:t xml:space="preserve">, and so on, with the attribute names listed in </w:t>
      </w:r>
      <w:hyperlink w:anchor="Table_13_1__Tuple_form_of_time_r">
        <w:r>
          <w:rPr>
            <w:rStyle w:val="Text1"/>
          </w:rPr>
          <w:t>Table 13-1</w:t>
        </w:r>
      </w:hyperlink>
      <w:r>
        <w:t xml:space="preserve">. Wherever a function requires a timetuple argument, you can pass an instance of </w:t>
      </w:r>
      <w:r>
        <w:rPr>
          <w:rStyle w:val="Text0"/>
        </w:rPr>
        <w:t>struct_time</w:t>
      </w:r>
      <w:r>
        <w:t xml:space="preserve"> or any other sequence whose items are nine integers in the right ranges (all ranges in the table include both lower and upper bounds, both inclusive).</w:t>
      </w:r>
    </w:p>
    <w:tbl>
      <w:tblPr>
        <w:tblW w:type="auto" w:w="0"/>
      </w:tblPr>
      <w:tr>
        <w:tc>
          <w:tcPr>
            <w:tcW w:type="auto" w:w="0"/>
            <w:tcMar>
              <w:left w:type="dxa" w:w="200"/>
              <w:top w:type="dxa" w:w="200"/>
              <w:right w:type="dxa" w:w="200"/>
              <w:bottom w:type="dxa" w:w="200"/>
            </w:tcMar>
            <w:vAlign w:val="center"/>
          </w:tcPr>
          <w:p>
            <w:bookmarkStart w:id="3082" w:name="Table_13_1__Tuple_form_of_time_r"/>
            <w:pPr>
              <w:pStyle w:val="Para 011"/>
            </w:pPr>
            <w:r>
              <w:rPr>
                <w:rStyle w:val="Text117"/>
              </w:rPr>
              <w:t/>
            </w:r>
            <w:r>
              <w:t xml:space="preserve">Table 13-1. </w:t>
              <w:t>Tuple form of time representation</w:t>
            </w:r>
            <w:bookmarkEnd w:id="3082"/>
          </w:p>
          <w:p>
            <w:pPr>
              <w:pStyle w:val="Para 013"/>
            </w:pPr>
            <w:r>
              <w:t>Item</w:t>
            </w:r>
          </w:p>
        </w:tc>
        <w:tc>
          <w:tcPr>
            <w:tcW w:type="auto" w:w="0"/>
            <w:tcMar>
              <w:left w:type="dxa" w:w="200"/>
              <w:top w:type="dxa" w:w="200"/>
              <w:right w:type="dxa" w:w="200"/>
              <w:bottom w:type="dxa" w:w="200"/>
            </w:tcMar>
            <w:vAlign w:val="center"/>
          </w:tcPr>
          <w:p>
            <w:pPr>
              <w:pStyle w:val="Para 013"/>
            </w:pPr>
            <w:r>
              <w:t>Meaning</w:t>
            </w:r>
          </w:p>
        </w:tc>
        <w:tc>
          <w:tcPr>
            <w:tcW w:type="auto" w:w="0"/>
            <w:tcMar>
              <w:left w:type="dxa" w:w="200"/>
              <w:top w:type="dxa" w:w="200"/>
              <w:right w:type="dxa" w:w="200"/>
              <w:bottom w:type="dxa" w:w="200"/>
            </w:tcMar>
            <w:vAlign w:val="center"/>
          </w:tcPr>
          <w:p>
            <w:pPr>
              <w:pStyle w:val="Para 013"/>
            </w:pPr>
            <w:r>
              <w:t>Field name</w:t>
            </w:r>
          </w:p>
        </w:tc>
        <w:tc>
          <w:tcPr>
            <w:tcW w:type="auto" w:w="0"/>
            <w:tcMar>
              <w:left w:type="dxa" w:w="200"/>
              <w:top w:type="dxa" w:w="200"/>
              <w:right w:type="dxa" w:w="200"/>
              <w:bottom w:type="dxa" w:w="200"/>
            </w:tcMar>
            <w:vAlign w:val="center"/>
          </w:tcPr>
          <w:p>
            <w:pPr>
              <w:pStyle w:val="Para 013"/>
            </w:pPr>
            <w:r>
              <w:t>Range</w:t>
            </w:r>
          </w:p>
        </w:tc>
        <w:tc>
          <w:tcPr>
            <w:tcW w:type="auto" w:w="0"/>
            <w:tcMar>
              <w:left w:type="dxa" w:w="200"/>
              <w:top w:type="dxa" w:w="200"/>
              <w:right w:type="dxa" w:w="200"/>
              <w:bottom w:type="dxa" w:w="200"/>
            </w:tcMar>
            <w:vAlign w:val="center"/>
          </w:tcPr>
          <w:p>
            <w:pPr>
              <w:pStyle w:val="Para 013"/>
            </w:pPr>
            <w:r>
              <w:t>Notes</w:t>
            </w:r>
          </w:p>
        </w:tc>
      </w:tr>
    </w:tbl>
    <w:tbl>
      <w:tblPr>
        <w:tblW w:type="auto" w:w="0"/>
      </w:tblPr>
      <w:tr>
        <w:tc>
          <w:tcPr>
            <w:tcW w:type="auto" w:w="0"/>
            <w:tcMar>
              <w:left w:type="dxa" w:w="200"/>
              <w:top w:type="dxa" w:w="200"/>
              <w:right w:type="dxa" w:w="200"/>
              <w:bottom w:type="dxa" w:w="200"/>
            </w:tcMar>
          </w:tcPr>
          <w:p>
            <w:pPr>
              <w:pStyle w:val="Para 001"/>
            </w:pPr>
            <w:r>
              <w:t>0</w:t>
            </w:r>
          </w:p>
        </w:tc>
        <w:tc>
          <w:tcPr>
            <w:tcW w:type="auto" w:w="0"/>
            <w:tcMar>
              <w:left w:type="dxa" w:w="200"/>
              <w:top w:type="dxa" w:w="200"/>
              <w:right w:type="dxa" w:w="200"/>
              <w:bottom w:type="dxa" w:w="200"/>
            </w:tcMar>
          </w:tcPr>
          <w:p>
            <w:pPr>
              <w:pStyle w:val="Para 002"/>
            </w:pPr>
            <w:r>
              <w:t>Year</w:t>
            </w:r>
          </w:p>
        </w:tc>
        <w:tc>
          <w:tcPr>
            <w:tcW w:type="auto" w:w="0"/>
            <w:tcMar>
              <w:left w:type="dxa" w:w="200"/>
              <w:top w:type="dxa" w:w="200"/>
              <w:right w:type="dxa" w:w="200"/>
              <w:bottom w:type="dxa" w:w="200"/>
            </w:tcMar>
          </w:tcPr>
          <w:p>
            <w:pPr>
              <w:pStyle w:val="Para 001"/>
            </w:pPr>
            <w:r>
              <w:t>tm_year</w:t>
            </w:r>
          </w:p>
        </w:tc>
        <w:tc>
          <w:tcPr>
            <w:tcW w:type="auto" w:w="0"/>
            <w:tcMar>
              <w:left w:type="dxa" w:w="200"/>
              <w:top w:type="dxa" w:w="200"/>
              <w:right w:type="dxa" w:w="200"/>
              <w:bottom w:type="dxa" w:w="200"/>
            </w:tcMar>
          </w:tcPr>
          <w:p>
            <w:pPr>
              <w:pStyle w:val="Para 001"/>
            </w:pPr>
            <w:r>
              <w:t>1970</w:t>
            </w:r>
            <w:r>
              <w:rPr>
                <w:rStyle w:val="Text12"/>
              </w:rPr>
              <w:t>–</w:t>
            </w:r>
            <w:r>
              <w:t>2038</w:t>
            </w:r>
          </w:p>
        </w:tc>
        <w:tc>
          <w:tcPr>
            <w:tcW w:type="auto" w:w="0"/>
            <w:tcMar>
              <w:left w:type="dxa" w:w="200"/>
              <w:top w:type="dxa" w:w="200"/>
              <w:right w:type="dxa" w:w="200"/>
              <w:bottom w:type="dxa" w:w="200"/>
            </w:tcMar>
          </w:tcPr>
          <w:p>
            <w:pPr>
              <w:pStyle w:val="Para 002"/>
            </w:pPr>
            <w:r>
              <w:t>0001–9999 on some platforms</w:t>
            </w:r>
          </w:p>
        </w:tc>
      </w:tr>
    </w:tbl>
    <w:tbl>
      <w:tblPr>
        <w:tblW w:type="auto" w:w="0"/>
      </w:tblPr>
      <w:tr>
        <w:tc>
          <w:tcPr>
            <w:tcW w:type="auto" w:w="0"/>
            <w:shd w:val="clear" w:color="auto" w:fill="EEF2F6"/>
            <w:tcMar>
              <w:left w:type="dxa" w:w="200"/>
              <w:top w:type="dxa" w:w="200"/>
              <w:right w:type="dxa" w:w="200"/>
              <w:bottom w:type="dxa" w:w="200"/>
            </w:tcMar>
          </w:tcPr>
          <w:p>
            <w:pPr>
              <w:pStyle w:val="Para 001"/>
            </w:pPr>
            <w:r>
              <w:t>1</w:t>
            </w:r>
          </w:p>
        </w:tc>
        <w:tc>
          <w:tcPr>
            <w:tcW w:type="auto" w:w="0"/>
            <w:shd w:val="clear" w:color="auto" w:fill="EEF2F6"/>
            <w:tcMar>
              <w:left w:type="dxa" w:w="200"/>
              <w:top w:type="dxa" w:w="200"/>
              <w:right w:type="dxa" w:w="200"/>
              <w:bottom w:type="dxa" w:w="200"/>
            </w:tcMar>
          </w:tcPr>
          <w:p>
            <w:pPr>
              <w:pStyle w:val="Para 002"/>
            </w:pPr>
            <w:r>
              <w:t>Month</w:t>
            </w:r>
          </w:p>
        </w:tc>
        <w:tc>
          <w:tcPr>
            <w:tcW w:type="auto" w:w="0"/>
            <w:shd w:val="clear" w:color="auto" w:fill="EEF2F6"/>
            <w:tcMar>
              <w:left w:type="dxa" w:w="200"/>
              <w:top w:type="dxa" w:w="200"/>
              <w:right w:type="dxa" w:w="200"/>
              <w:bottom w:type="dxa" w:w="200"/>
            </w:tcMar>
          </w:tcPr>
          <w:p>
            <w:pPr>
              <w:pStyle w:val="Para 001"/>
            </w:pPr>
            <w:r>
              <w:t>tm_mon</w:t>
            </w:r>
          </w:p>
        </w:tc>
        <w:tc>
          <w:tcPr>
            <w:tcW w:type="auto" w:w="0"/>
            <w:shd w:val="clear" w:color="auto" w:fill="EEF2F6"/>
            <w:tcMar>
              <w:left w:type="dxa" w:w="200"/>
              <w:top w:type="dxa" w:w="200"/>
              <w:right w:type="dxa" w:w="200"/>
              <w:bottom w:type="dxa" w:w="200"/>
            </w:tcMar>
          </w:tcPr>
          <w:p>
            <w:pPr>
              <w:pStyle w:val="Para 001"/>
            </w:pPr>
            <w:r>
              <w:t>1</w:t>
            </w:r>
            <w:r>
              <w:rPr>
                <w:rStyle w:val="Text12"/>
              </w:rPr>
              <w:t>–</w:t>
            </w:r>
            <w:r>
              <w:t>12</w:t>
            </w:r>
          </w:p>
        </w:tc>
        <w:tc>
          <w:tcPr>
            <w:tcW w:type="auto" w:w="0"/>
            <w:shd w:val="clear" w:color="auto" w:fill="EEF2F6"/>
            <w:tcMar>
              <w:left w:type="dxa" w:w="200"/>
              <w:top w:type="dxa" w:w="200"/>
              <w:right w:type="dxa" w:w="200"/>
              <w:bottom w:type="dxa" w:w="200"/>
            </w:tcMar>
          </w:tcPr>
          <w:p>
            <w:pPr>
              <w:pStyle w:val="Para 002"/>
            </w:pPr>
            <w:r>
              <w:rPr>
                <w:rStyle w:val="Text0"/>
              </w:rPr>
              <w:t>1</w:t>
            </w:r>
            <w:r>
              <w:t xml:space="preserve"> is January; </w:t>
            </w:r>
            <w:r>
              <w:rPr>
                <w:rStyle w:val="Text0"/>
              </w:rPr>
              <w:t>12</w:t>
            </w:r>
            <w:r>
              <w:t xml:space="preserve"> is December</w:t>
            </w:r>
          </w:p>
        </w:tc>
      </w:tr>
    </w:tbl>
    <w:tbl>
      <w:tblPr>
        <w:tblW w:type="auto" w:w="0"/>
      </w:tblPr>
      <w:tr>
        <w:tc>
          <w:tcPr>
            <w:tcW w:type="auto" w:w="0"/>
            <w:tcMar>
              <w:left w:type="dxa" w:w="200"/>
              <w:top w:type="dxa" w:w="200"/>
              <w:right w:type="dxa" w:w="200"/>
              <w:bottom w:type="dxa" w:w="200"/>
            </w:tcMar>
          </w:tcPr>
          <w:p>
            <w:pPr>
              <w:pStyle w:val="Para 001"/>
            </w:pPr>
            <w:r>
              <w:t>2</w:t>
            </w:r>
          </w:p>
        </w:tc>
        <w:tc>
          <w:tcPr>
            <w:tcW w:type="auto" w:w="0"/>
            <w:tcMar>
              <w:left w:type="dxa" w:w="200"/>
              <w:top w:type="dxa" w:w="200"/>
              <w:right w:type="dxa" w:w="200"/>
              <w:bottom w:type="dxa" w:w="200"/>
            </w:tcMar>
          </w:tcPr>
          <w:p>
            <w:pPr>
              <w:pStyle w:val="Para 002"/>
            </w:pPr>
            <w:r>
              <w:t>Day</w:t>
            </w:r>
          </w:p>
        </w:tc>
        <w:tc>
          <w:tcPr>
            <w:tcW w:type="auto" w:w="0"/>
            <w:tcMar>
              <w:left w:type="dxa" w:w="200"/>
              <w:top w:type="dxa" w:w="200"/>
              <w:right w:type="dxa" w:w="200"/>
              <w:bottom w:type="dxa" w:w="200"/>
            </w:tcMar>
          </w:tcPr>
          <w:p>
            <w:pPr>
              <w:pStyle w:val="Para 001"/>
            </w:pPr>
            <w:r>
              <w:t>tm_mday</w:t>
            </w:r>
          </w:p>
        </w:tc>
        <w:tc>
          <w:tcPr>
            <w:tcW w:type="auto" w:w="0"/>
            <w:tcMar>
              <w:left w:type="dxa" w:w="200"/>
              <w:top w:type="dxa" w:w="200"/>
              <w:right w:type="dxa" w:w="200"/>
              <w:bottom w:type="dxa" w:w="200"/>
            </w:tcMar>
          </w:tcPr>
          <w:p>
            <w:pPr>
              <w:pStyle w:val="Para 001"/>
            </w:pPr>
            <w:r>
              <w:t>1</w:t>
            </w:r>
            <w:r>
              <w:rPr>
                <w:rStyle w:val="Text12"/>
              </w:rPr>
              <w:t>–</w:t>
            </w:r>
            <w:r>
              <w:t>31</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3</w:t>
            </w:r>
          </w:p>
        </w:tc>
        <w:tc>
          <w:tcPr>
            <w:tcW w:type="auto" w:w="0"/>
            <w:shd w:val="clear" w:color="auto" w:fill="EEF2F6"/>
            <w:tcMar>
              <w:left w:type="dxa" w:w="200"/>
              <w:top w:type="dxa" w:w="200"/>
              <w:right w:type="dxa" w:w="200"/>
              <w:bottom w:type="dxa" w:w="200"/>
            </w:tcMar>
          </w:tcPr>
          <w:p>
            <w:pPr>
              <w:pStyle w:val="Para 002"/>
            </w:pPr>
            <w:r>
              <w:t>Hour</w:t>
            </w:r>
          </w:p>
        </w:tc>
        <w:tc>
          <w:tcPr>
            <w:tcW w:type="auto" w:w="0"/>
            <w:shd w:val="clear" w:color="auto" w:fill="EEF2F6"/>
            <w:tcMar>
              <w:left w:type="dxa" w:w="200"/>
              <w:top w:type="dxa" w:w="200"/>
              <w:right w:type="dxa" w:w="200"/>
              <w:bottom w:type="dxa" w:w="200"/>
            </w:tcMar>
          </w:tcPr>
          <w:p>
            <w:pPr>
              <w:pStyle w:val="Para 001"/>
            </w:pPr>
            <w:r>
              <w:t>tm_hour</w:t>
            </w:r>
          </w:p>
        </w:tc>
        <w:tc>
          <w:tcPr>
            <w:tcW w:type="auto" w:w="0"/>
            <w:shd w:val="clear" w:color="auto" w:fill="EEF2F6"/>
            <w:tcMar>
              <w:left w:type="dxa" w:w="200"/>
              <w:top w:type="dxa" w:w="200"/>
              <w:right w:type="dxa" w:w="200"/>
              <w:bottom w:type="dxa" w:w="200"/>
            </w:tcMar>
          </w:tcPr>
          <w:p>
            <w:pPr>
              <w:pStyle w:val="Para 001"/>
            </w:pPr>
            <w:r>
              <w:t>0</w:t>
            </w:r>
            <w:r>
              <w:rPr>
                <w:rStyle w:val="Text12"/>
              </w:rPr>
              <w:t>–</w:t>
            </w:r>
            <w:r>
              <w:t>23</w:t>
            </w:r>
          </w:p>
        </w:tc>
        <w:tc>
          <w:tcPr>
            <w:tcW w:type="auto" w:w="0"/>
            <w:shd w:val="clear" w:color="auto" w:fill="EEF2F6"/>
            <w:tcMar>
              <w:left w:type="dxa" w:w="200"/>
              <w:top w:type="dxa" w:w="200"/>
              <w:right w:type="dxa" w:w="200"/>
              <w:bottom w:type="dxa" w:w="200"/>
            </w:tcMar>
          </w:tcPr>
          <w:p>
            <w:pPr>
              <w:pStyle w:val="Para 002"/>
            </w:pPr>
            <w:r>
              <w:rPr>
                <w:rStyle w:val="Text0"/>
              </w:rPr>
              <w:t>0</w:t>
            </w:r>
            <w:r>
              <w:t xml:space="preserve"> is midnight; </w:t>
            </w:r>
            <w:r>
              <w:rPr>
                <w:rStyle w:val="Text0"/>
              </w:rPr>
              <w:t>12</w:t>
            </w:r>
            <w:r>
              <w:t xml:space="preserve"> is noon</w:t>
            </w:r>
          </w:p>
        </w:tc>
      </w:tr>
    </w:tbl>
    <w:tbl>
      <w:tblPr>
        <w:tblW w:type="auto" w:w="0"/>
      </w:tblPr>
      <w:tr>
        <w:tc>
          <w:tcPr>
            <w:tcW w:type="auto" w:w="0"/>
            <w:tcMar>
              <w:left w:type="dxa" w:w="200"/>
              <w:top w:type="dxa" w:w="200"/>
              <w:right w:type="dxa" w:w="200"/>
              <w:bottom w:type="dxa" w:w="200"/>
            </w:tcMar>
          </w:tcPr>
          <w:p>
            <w:pPr>
              <w:pStyle w:val="Para 001"/>
            </w:pPr>
            <w:r>
              <w:t>4</w:t>
            </w:r>
          </w:p>
        </w:tc>
        <w:tc>
          <w:tcPr>
            <w:tcW w:type="auto" w:w="0"/>
            <w:tcMar>
              <w:left w:type="dxa" w:w="200"/>
              <w:top w:type="dxa" w:w="200"/>
              <w:right w:type="dxa" w:w="200"/>
              <w:bottom w:type="dxa" w:w="200"/>
            </w:tcMar>
          </w:tcPr>
          <w:p>
            <w:pPr>
              <w:pStyle w:val="Para 002"/>
            </w:pPr>
            <w:r>
              <w:t>Minute</w:t>
            </w:r>
          </w:p>
        </w:tc>
        <w:tc>
          <w:tcPr>
            <w:tcW w:type="auto" w:w="0"/>
            <w:tcMar>
              <w:left w:type="dxa" w:w="200"/>
              <w:top w:type="dxa" w:w="200"/>
              <w:right w:type="dxa" w:w="200"/>
              <w:bottom w:type="dxa" w:w="200"/>
            </w:tcMar>
          </w:tcPr>
          <w:p>
            <w:pPr>
              <w:pStyle w:val="Para 001"/>
            </w:pPr>
            <w:r>
              <w:t>tm_min</w:t>
            </w:r>
          </w:p>
        </w:tc>
        <w:tc>
          <w:tcPr>
            <w:tcW w:type="auto" w:w="0"/>
            <w:tcMar>
              <w:left w:type="dxa" w:w="200"/>
              <w:top w:type="dxa" w:w="200"/>
              <w:right w:type="dxa" w:w="200"/>
              <w:bottom w:type="dxa" w:w="200"/>
            </w:tcMar>
          </w:tcPr>
          <w:p>
            <w:pPr>
              <w:pStyle w:val="Para 001"/>
            </w:pPr>
            <w:r>
              <w:t>0</w:t>
            </w:r>
            <w:r>
              <w:rPr>
                <w:rStyle w:val="Text12"/>
              </w:rPr>
              <w:t>–</w:t>
            </w:r>
            <w:r>
              <w:t>59</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5</w:t>
            </w:r>
          </w:p>
        </w:tc>
        <w:tc>
          <w:tcPr>
            <w:tcW w:type="auto" w:w="0"/>
            <w:shd w:val="clear" w:color="auto" w:fill="EEF2F6"/>
            <w:tcMar>
              <w:left w:type="dxa" w:w="200"/>
              <w:top w:type="dxa" w:w="200"/>
              <w:right w:type="dxa" w:w="200"/>
              <w:bottom w:type="dxa" w:w="200"/>
            </w:tcMar>
          </w:tcPr>
          <w:p>
            <w:pPr>
              <w:pStyle w:val="Para 002"/>
            </w:pPr>
            <w:r>
              <w:t>Second</w:t>
            </w:r>
          </w:p>
        </w:tc>
        <w:tc>
          <w:tcPr>
            <w:tcW w:type="auto" w:w="0"/>
            <w:shd w:val="clear" w:color="auto" w:fill="EEF2F6"/>
            <w:tcMar>
              <w:left w:type="dxa" w:w="200"/>
              <w:top w:type="dxa" w:w="200"/>
              <w:right w:type="dxa" w:w="200"/>
              <w:bottom w:type="dxa" w:w="200"/>
            </w:tcMar>
          </w:tcPr>
          <w:p>
            <w:pPr>
              <w:pStyle w:val="Para 001"/>
            </w:pPr>
            <w:r>
              <w:t>tm_sec</w:t>
            </w:r>
          </w:p>
        </w:tc>
        <w:tc>
          <w:tcPr>
            <w:tcW w:type="auto" w:w="0"/>
            <w:shd w:val="clear" w:color="auto" w:fill="EEF2F6"/>
            <w:tcMar>
              <w:left w:type="dxa" w:w="200"/>
              <w:top w:type="dxa" w:w="200"/>
              <w:right w:type="dxa" w:w="200"/>
              <w:bottom w:type="dxa" w:w="200"/>
            </w:tcMar>
          </w:tcPr>
          <w:p>
            <w:pPr>
              <w:pStyle w:val="Para 001"/>
            </w:pPr>
            <w:r>
              <w:t>0</w:t>
            </w:r>
            <w:r>
              <w:rPr>
                <w:rStyle w:val="Text12"/>
              </w:rPr>
              <w:t>–</w:t>
            </w:r>
            <w:r>
              <w:t>61</w:t>
            </w:r>
          </w:p>
        </w:tc>
        <w:tc>
          <w:tcPr>
            <w:tcW w:type="auto" w:w="0"/>
            <w:shd w:val="clear" w:color="auto" w:fill="EEF2F6"/>
            <w:tcMar>
              <w:left w:type="dxa" w:w="200"/>
              <w:top w:type="dxa" w:w="200"/>
              <w:right w:type="dxa" w:w="200"/>
              <w:bottom w:type="dxa" w:w="200"/>
            </w:tcMar>
          </w:tcPr>
          <w:p>
            <w:pPr>
              <w:pStyle w:val="Para 002"/>
            </w:pPr>
            <w:r>
              <w:rPr>
                <w:rStyle w:val="Text0"/>
              </w:rPr>
              <w:t>60</w:t>
            </w:r>
            <w:r>
              <w:t xml:space="preserve"> and </w:t>
            </w:r>
            <w:r>
              <w:rPr>
                <w:rStyle w:val="Text0"/>
              </w:rPr>
              <w:t>61</w:t>
            </w:r>
            <w:r>
              <w:t xml:space="preserve"> for leap seconds</w:t>
            </w:r>
          </w:p>
        </w:tc>
      </w:tr>
    </w:tbl>
    <w:tbl>
      <w:tblPr>
        <w:tblW w:type="auto" w:w="0"/>
      </w:tblPr>
      <w:tr>
        <w:tc>
          <w:tcPr>
            <w:tcW w:type="auto" w:w="0"/>
            <w:tcMar>
              <w:left w:type="dxa" w:w="200"/>
              <w:top w:type="dxa" w:w="200"/>
              <w:right w:type="dxa" w:w="200"/>
              <w:bottom w:type="dxa" w:w="200"/>
            </w:tcMar>
          </w:tcPr>
          <w:p>
            <w:pPr>
              <w:pStyle w:val="Para 001"/>
            </w:pPr>
            <w:r>
              <w:t>6</w:t>
            </w:r>
          </w:p>
        </w:tc>
        <w:tc>
          <w:tcPr>
            <w:tcW w:type="auto" w:w="0"/>
            <w:tcMar>
              <w:left w:type="dxa" w:w="200"/>
              <w:top w:type="dxa" w:w="200"/>
              <w:right w:type="dxa" w:w="200"/>
              <w:bottom w:type="dxa" w:w="200"/>
            </w:tcMar>
          </w:tcPr>
          <w:p>
            <w:pPr>
              <w:pStyle w:val="Para 002"/>
            </w:pPr>
            <w:r>
              <w:t>Weekday</w:t>
            </w:r>
          </w:p>
        </w:tc>
        <w:tc>
          <w:tcPr>
            <w:tcW w:type="auto" w:w="0"/>
            <w:tcMar>
              <w:left w:type="dxa" w:w="200"/>
              <w:top w:type="dxa" w:w="200"/>
              <w:right w:type="dxa" w:w="200"/>
              <w:bottom w:type="dxa" w:w="200"/>
            </w:tcMar>
          </w:tcPr>
          <w:p>
            <w:pPr>
              <w:pStyle w:val="Para 001"/>
            </w:pPr>
            <w:r>
              <w:t>tm_wday</w:t>
            </w:r>
          </w:p>
        </w:tc>
        <w:tc>
          <w:tcPr>
            <w:tcW w:type="auto" w:w="0"/>
            <w:tcMar>
              <w:left w:type="dxa" w:w="200"/>
              <w:top w:type="dxa" w:w="200"/>
              <w:right w:type="dxa" w:w="200"/>
              <w:bottom w:type="dxa" w:w="200"/>
            </w:tcMar>
          </w:tcPr>
          <w:p>
            <w:pPr>
              <w:pStyle w:val="Para 001"/>
            </w:pPr>
            <w:r>
              <w:t>0</w:t>
            </w:r>
            <w:r>
              <w:rPr>
                <w:rStyle w:val="Text12"/>
              </w:rPr>
              <w:t>–</w:t>
            </w:r>
            <w:r>
              <w:t>6</w:t>
            </w:r>
          </w:p>
        </w:tc>
        <w:tc>
          <w:tcPr>
            <w:tcW w:type="auto" w:w="0"/>
            <w:tcMar>
              <w:left w:type="dxa" w:w="200"/>
              <w:top w:type="dxa" w:w="200"/>
              <w:right w:type="dxa" w:w="200"/>
              <w:bottom w:type="dxa" w:w="200"/>
            </w:tcMar>
          </w:tcPr>
          <w:p>
            <w:pPr>
              <w:pStyle w:val="Para 002"/>
            </w:pPr>
            <w:r>
              <w:rPr>
                <w:rStyle w:val="Text0"/>
              </w:rPr>
              <w:t>0</w:t>
            </w:r>
            <w:r>
              <w:t xml:space="preserve"> is Monday; </w:t>
            </w:r>
            <w:r>
              <w:rPr>
                <w:rStyle w:val="Text0"/>
              </w:rPr>
              <w:t>6</w:t>
            </w:r>
            <w:r>
              <w:t xml:space="preserve"> is Sunday</w:t>
            </w:r>
          </w:p>
        </w:tc>
      </w:tr>
    </w:tbl>
    <w:tbl>
      <w:tblPr>
        <w:tblW w:type="auto" w:w="0"/>
      </w:tblPr>
      <w:tr>
        <w:tc>
          <w:tcPr>
            <w:tcW w:type="auto" w:w="0"/>
            <w:shd w:val="clear" w:color="auto" w:fill="EEF2F6"/>
            <w:tcMar>
              <w:left w:type="dxa" w:w="200"/>
              <w:top w:type="dxa" w:w="200"/>
              <w:right w:type="dxa" w:w="200"/>
              <w:bottom w:type="dxa" w:w="200"/>
            </w:tcMar>
          </w:tcPr>
          <w:p>
            <w:pPr>
              <w:pStyle w:val="Para 001"/>
            </w:pPr>
            <w:r>
              <w:t>7</w:t>
            </w:r>
          </w:p>
        </w:tc>
        <w:tc>
          <w:tcPr>
            <w:tcW w:type="auto" w:w="0"/>
            <w:shd w:val="clear" w:color="auto" w:fill="EEF2F6"/>
            <w:tcMar>
              <w:left w:type="dxa" w:w="200"/>
              <w:top w:type="dxa" w:w="200"/>
              <w:right w:type="dxa" w:w="200"/>
              <w:bottom w:type="dxa" w:w="200"/>
            </w:tcMar>
          </w:tcPr>
          <w:p>
            <w:pPr>
              <w:pStyle w:val="Para 002"/>
            </w:pPr>
            <w:r>
              <w:t>Year day</w:t>
            </w:r>
          </w:p>
        </w:tc>
        <w:tc>
          <w:tcPr>
            <w:tcW w:type="auto" w:w="0"/>
            <w:shd w:val="clear" w:color="auto" w:fill="EEF2F6"/>
            <w:tcMar>
              <w:left w:type="dxa" w:w="200"/>
              <w:top w:type="dxa" w:w="200"/>
              <w:right w:type="dxa" w:w="200"/>
              <w:bottom w:type="dxa" w:w="200"/>
            </w:tcMar>
          </w:tcPr>
          <w:p>
            <w:pPr>
              <w:pStyle w:val="Para 001"/>
            </w:pPr>
            <w:r>
              <w:t>tm_yday</w:t>
            </w:r>
          </w:p>
        </w:tc>
        <w:tc>
          <w:tcPr>
            <w:tcW w:type="auto" w:w="0"/>
            <w:shd w:val="clear" w:color="auto" w:fill="EEF2F6"/>
            <w:tcMar>
              <w:left w:type="dxa" w:w="200"/>
              <w:top w:type="dxa" w:w="200"/>
              <w:right w:type="dxa" w:w="200"/>
              <w:bottom w:type="dxa" w:w="200"/>
            </w:tcMar>
          </w:tcPr>
          <w:p>
            <w:pPr>
              <w:pStyle w:val="Para 001"/>
            </w:pPr>
            <w:r>
              <w:t>1</w:t>
            </w:r>
            <w:r>
              <w:rPr>
                <w:rStyle w:val="Text12"/>
              </w:rPr>
              <w:t>–</w:t>
            </w:r>
            <w:r>
              <w:t>366</w:t>
            </w:r>
          </w:p>
        </w:tc>
        <w:tc>
          <w:tcPr>
            <w:tcW w:type="auto" w:w="0"/>
            <w:shd w:val="clear" w:color="auto" w:fill="EEF2F6"/>
            <w:tcMar>
              <w:left w:type="dxa" w:w="200"/>
              <w:top w:type="dxa" w:w="200"/>
              <w:right w:type="dxa" w:w="200"/>
              <w:bottom w:type="dxa" w:w="200"/>
            </w:tcMar>
          </w:tcPr>
          <w:p>
            <w:pPr>
              <w:pStyle w:val="Para 002"/>
            </w:pPr>
            <w:r>
              <w:t>Day number within the year</w:t>
            </w:r>
          </w:p>
        </w:tc>
      </w:tr>
    </w:tbl>
    <w:tbl>
      <w:tblPr>
        <w:tblW w:type="auto" w:w="0"/>
      </w:tblPr>
      <w:tr>
        <w:tc>
          <w:tcPr>
            <w:tcW w:type="auto" w:w="0"/>
            <w:tcMar>
              <w:left w:type="dxa" w:w="200"/>
              <w:top w:type="dxa" w:w="200"/>
              <w:right w:type="dxa" w:w="200"/>
              <w:bottom w:type="dxa" w:w="200"/>
            </w:tcMar>
          </w:tcPr>
          <w:p>
            <w:pPr>
              <w:pStyle w:val="Para 001"/>
            </w:pPr>
            <w:r>
              <w:t>8</w:t>
            </w:r>
          </w:p>
        </w:tc>
        <w:tc>
          <w:tcPr>
            <w:tcW w:type="auto" w:w="0"/>
            <w:tcMar>
              <w:left w:type="dxa" w:w="200"/>
              <w:top w:type="dxa" w:w="200"/>
              <w:right w:type="dxa" w:w="200"/>
              <w:bottom w:type="dxa" w:w="200"/>
            </w:tcMar>
          </w:tcPr>
          <w:p>
            <w:pPr>
              <w:pStyle w:val="Para 002"/>
            </w:pPr>
            <w:r>
              <w:t>DST flag</w:t>
            </w:r>
          </w:p>
        </w:tc>
        <w:tc>
          <w:tcPr>
            <w:tcW w:type="auto" w:w="0"/>
            <w:tcMar>
              <w:left w:type="dxa" w:w="200"/>
              <w:top w:type="dxa" w:w="200"/>
              <w:right w:type="dxa" w:w="200"/>
              <w:bottom w:type="dxa" w:w="200"/>
            </w:tcMar>
          </w:tcPr>
          <w:p>
            <w:pPr>
              <w:pStyle w:val="Para 001"/>
            </w:pPr>
            <w:r>
              <w:t>tm_isdst</w:t>
            </w:r>
          </w:p>
        </w:tc>
        <w:tc>
          <w:tcPr>
            <w:tcW w:type="auto" w:w="0"/>
            <w:tcMar>
              <w:left w:type="dxa" w:w="200"/>
              <w:top w:type="dxa" w:w="200"/>
              <w:right w:type="dxa" w:w="200"/>
              <w:bottom w:type="dxa" w:w="200"/>
            </w:tcMar>
          </w:tcPr>
          <w:p>
            <w:pPr>
              <w:pStyle w:val="Para 001"/>
            </w:pPr>
            <w:r>
              <w:t>−1</w:t>
            </w:r>
            <w:r>
              <w:rPr>
                <w:rStyle w:val="Text12"/>
              </w:rPr>
              <w:t>–</w:t>
            </w:r>
            <w:r>
              <w:t>1</w:t>
            </w:r>
          </w:p>
        </w:tc>
        <w:tc>
          <w:tcPr>
            <w:tcW w:type="auto" w:w="0"/>
            <w:tcMar>
              <w:left w:type="dxa" w:w="200"/>
              <w:top w:type="dxa" w:w="200"/>
              <w:right w:type="dxa" w:w="200"/>
              <w:bottom w:type="dxa" w:w="200"/>
            </w:tcMar>
          </w:tcPr>
          <w:p>
            <w:pPr>
              <w:pStyle w:val="Para 002"/>
            </w:pPr>
            <w:r>
              <w:rPr>
                <w:rStyle w:val="Text0"/>
              </w:rPr>
              <w:t>−1</w:t>
            </w:r>
            <w:r>
              <w:t xml:space="preserve"> means the library determines DST</w:t>
            </w:r>
          </w:p>
        </w:tc>
      </w:tr>
    </w:tbl>
    <w:p>
      <w:pPr>
        <w:pStyle w:val="Normal"/>
      </w:pPr>
      <w:r>
        <w:t xml:space="preserve">To translate a time instant from a “seconds since the epoch” floating-point value into a timetuple, pass the floating-point value to a function (e.g., </w:t>
      </w:r>
      <w:r>
        <w:rPr>
          <w:rStyle w:val="Text0"/>
        </w:rPr>
        <w:t>localtime</w:t>
      </w:r>
      <w:r>
        <w:t xml:space="preserve">) that returns a timetuple with all nine items valid. When you convert in the other direction, </w:t>
      </w:r>
      <w:r>
        <w:rPr>
          <w:rStyle w:val="Text0"/>
        </w:rPr>
        <w:t>mktime</w:t>
      </w:r>
      <w:r>
        <w:t xml:space="preserve"> ignores redundant items </w:t>
      </w:r>
      <w:r>
        <w:rPr>
          <w:rStyle w:val="Text0"/>
        </w:rPr>
        <w:t>6</w:t>
      </w:r>
      <w:r>
        <w:t xml:space="preserve"> (</w:t>
      </w:r>
      <w:r>
        <w:rPr>
          <w:rStyle w:val="Text0"/>
        </w:rPr>
        <w:t>tm_wday</w:t>
      </w:r>
      <w:r>
        <w:t xml:space="preserve">) and </w:t>
      </w:r>
      <w:r>
        <w:rPr>
          <w:rStyle w:val="Text0"/>
        </w:rPr>
        <w:t>7</w:t>
      </w:r>
      <w:r>
        <w:t xml:space="preserve"> (</w:t>
      </w:r>
      <w:r>
        <w:rPr>
          <w:rStyle w:val="Text0"/>
        </w:rPr>
        <w:t>tm_yday</w:t>
      </w:r>
      <w:r>
        <w:t xml:space="preserve">) of the tuple. In this case, you normally set item </w:t>
      </w:r>
      <w:r>
        <w:rPr>
          <w:rStyle w:val="Text0"/>
        </w:rPr>
        <w:t>8</w:t>
      </w:r>
      <w:r>
        <w:t xml:space="preserve"> (</w:t>
      </w:r>
      <w:r>
        <w:rPr>
          <w:rStyle w:val="Text0"/>
        </w:rPr>
        <w:t>tm_isdst</w:t>
      </w:r>
      <w:r>
        <w:t xml:space="preserve">) to −1 so that </w:t>
      </w:r>
      <w:r>
        <w:rPr>
          <w:rStyle w:val="Text0"/>
        </w:rPr>
        <w:t>mktime</w:t>
      </w:r>
      <w:r>
        <w:t xml:space="preserve"> itself determines whether to apply DST.</w:t>
      </w:r>
    </w:p>
    <w:p>
      <w:pPr>
        <w:pStyle w:val="Normal"/>
      </w:pPr>
      <w:r>
        <w:rPr>
          <w:rStyle w:val="Text0"/>
        </w:rPr>
        <w:t>time</w:t>
      </w:r>
      <w:r>
        <w:t xml:space="preserve"> supplies</w:t>
      </w:r>
      <w:r>
        <w:rPr>
          <w:rStyle w:val="Text111"/>
        </w:rPr>
        <w:bookmarkStart w:id="3083" w:name="idm45965196834896"/>
        <w:t/>
        <w:bookmarkEnd w:id="3083"/>
      </w:r>
      <w:r>
        <w:t xml:space="preserve"> the functions and attributes listed in </w:t>
      </w:r>
      <w:hyperlink w:anchor="Table_13_2__Functions_and_attrib">
        <w:r>
          <w:rPr>
            <w:rStyle w:val="Text1"/>
          </w:rPr>
          <w:t>Table 13-2</w:t>
        </w:r>
      </w:hyperlink>
      <w:r>
        <w:t>.</w:t>
      </w:r>
    </w:p>
    <w:tbl>
      <w:tblPr>
        <w:tblW w:type="auto" w:w="0"/>
      </w:tblPr>
      <w:tr>
        <w:tc>
          <w:tcPr>
            <w:tcW w:type="auto" w:w="0"/>
            <w:tcMar>
              <w:left w:type="dxa" w:w="200"/>
              <w:top w:type="dxa" w:w="200"/>
              <w:right w:type="dxa" w:w="200"/>
              <w:bottom w:type="dxa" w:w="200"/>
            </w:tcMar>
          </w:tcPr>
          <w:p>
            <w:bookmarkStart w:id="3084" w:name="Table_13_2__Functions_and_attrib"/>
            <w:pPr>
              <w:pStyle w:val="Para 011"/>
            </w:pPr>
            <w:r>
              <w:rPr>
                <w:rStyle w:val="Text117"/>
              </w:rPr>
              <w:t/>
            </w:r>
            <w:r>
              <w:t xml:space="preserve">Table 13-2. </w:t>
              <w:t xml:space="preserve">Functions and attributes of the </w:t>
            </w:r>
            <w:r>
              <w:rPr>
                <w:rStyle w:val="Text3"/>
              </w:rPr>
              <w:t>time</w:t>
            </w:r>
            <w:r>
              <w:t xml:space="preserve"> module</w:t>
            </w:r>
            <w:bookmarkEnd w:id="3084"/>
          </w:p>
          <w:p>
            <w:pPr>
              <w:pStyle w:val="Para 001"/>
            </w:pPr>
            <w:r>
              <w:t>asctime</w:t>
            </w:r>
          </w:p>
        </w:tc>
        <w:tc>
          <w:tcPr>
            <w:tcW w:type="auto" w:w="0"/>
            <w:tcMar>
              <w:left w:type="dxa" w:w="200"/>
              <w:top w:type="dxa" w:w="200"/>
              <w:right w:type="dxa" w:w="200"/>
              <w:bottom w:type="dxa" w:w="200"/>
            </w:tcMar>
          </w:tcPr>
          <w:p>
            <w:pPr>
              <w:pStyle w:val="Para 002"/>
            </w:pPr>
            <w:r>
              <w:rPr>
                <w:rStyle w:val="Text0"/>
              </w:rPr>
              <w:t>asctime([</w:t>
            </w:r>
            <w:r>
              <w:rPr>
                <w:rStyle w:val="Text3"/>
              </w:rPr>
              <w:t>tupletime</w:t>
            </w:r>
            <w:r>
              <w:rPr>
                <w:rStyle w:val="Text0"/>
              </w:rPr>
              <w:t>])</w:t>
              <w:br w:clear="none"/>
            </w:r>
            <w:r>
              <w:t xml:space="preserve"> Accepts a timetuple and returns a readable 24-character string, e.g., </w:t>
            </w:r>
            <w:r>
              <w:rPr>
                <w:rStyle w:val="Text0"/>
              </w:rPr>
              <w:t>'Sun Jan 8 14:41:06</w:t>
            </w:r>
            <w:r>
              <w:t xml:space="preserve"> </w:t>
            </w:r>
            <w:r>
              <w:rPr>
                <w:rStyle w:val="Text0"/>
              </w:rPr>
              <w:t>2017'</w:t>
            </w:r>
            <w:r>
              <w:t xml:space="preserve">. Calling </w:t>
            </w:r>
            <w:r>
              <w:rPr>
                <w:rStyle w:val="Text0"/>
              </w:rPr>
              <w:t>asctime()</w:t>
            </w:r>
            <w:r>
              <w:t xml:space="preserve"> without arguments is like calling </w:t>
            </w:r>
            <w:r>
              <w:rPr>
                <w:rStyle w:val="Text0"/>
              </w:rPr>
              <w:t>asctime(time.localtime())</w:t>
            </w:r>
            <w:r>
              <w:t xml:space="preserve"> (formats current time in local time).</w:t>
            </w:r>
          </w:p>
        </w:tc>
      </w:tr>
    </w:tbl>
    <w:tbl>
      <w:tblPr>
        <w:tblW w:type="auto" w:w="0"/>
      </w:tblPr>
      <w:tr>
        <w:tc>
          <w:tcPr>
            <w:tcW w:type="auto" w:w="0"/>
            <w:shd w:val="clear" w:color="auto" w:fill="EEF2F6"/>
            <w:tcMar>
              <w:left w:type="dxa" w:w="200"/>
              <w:top w:type="dxa" w:w="200"/>
              <w:right w:type="dxa" w:w="200"/>
              <w:bottom w:type="dxa" w:w="200"/>
            </w:tcMar>
          </w:tcPr>
          <w:p>
            <w:pPr>
              <w:pStyle w:val="Para 001"/>
            </w:pPr>
            <w:r>
              <w:t>ctime</w:t>
            </w:r>
          </w:p>
        </w:tc>
        <w:tc>
          <w:tcPr>
            <w:tcW w:type="auto" w:w="0"/>
            <w:shd w:val="clear" w:color="auto" w:fill="EEF2F6"/>
            <w:tcMar>
              <w:left w:type="dxa" w:w="200"/>
              <w:top w:type="dxa" w:w="200"/>
              <w:right w:type="dxa" w:w="200"/>
              <w:bottom w:type="dxa" w:w="200"/>
            </w:tcMar>
          </w:tcPr>
          <w:p>
            <w:pPr>
              <w:pStyle w:val="Para 002"/>
            </w:pPr>
            <w:r>
              <w:rPr>
                <w:rStyle w:val="Text0"/>
              </w:rPr>
              <w:t>ctime([</w:t>
            </w:r>
            <w:r>
              <w:rPr>
                <w:rStyle w:val="Text3"/>
              </w:rPr>
              <w:t>secs</w:t>
            </w:r>
            <w:r>
              <w:rPr>
                <w:rStyle w:val="Text0"/>
              </w:rPr>
              <w:t>])</w:t>
              <w:br w:clear="none"/>
            </w:r>
            <w:r>
              <w:t xml:space="preserve"> Like </w:t>
            </w:r>
            <w:r>
              <w:rPr>
                <w:rStyle w:val="Text0"/>
              </w:rPr>
              <w:t>asctime(localtime(</w:t>
            </w:r>
            <w:r>
              <w:rPr>
                <w:rStyle w:val="Text3"/>
              </w:rPr>
              <w:t>secs</w:t>
            </w:r>
            <w:r>
              <w:rPr>
                <w:rStyle w:val="Text0"/>
              </w:rPr>
              <w:t>))</w:t>
            </w:r>
            <w:r>
              <w:t xml:space="preserve">, accepts an instant expressed in seconds since the epoch and returns a readable 24-character string form of that instant, in local time. Calling </w:t>
            </w:r>
            <w:r>
              <w:rPr>
                <w:rStyle w:val="Text0"/>
              </w:rPr>
              <w:t>ctime()</w:t>
            </w:r>
            <w:r>
              <w:t xml:space="preserve"> without arguments is like calling </w:t>
            </w:r>
            <w:r>
              <w:rPr>
                <w:rStyle w:val="Text0"/>
              </w:rPr>
              <w:t>asctime()</w:t>
            </w:r>
            <w:r>
              <w:t xml:space="preserve"> (formats current time in local time).</w:t>
            </w:r>
          </w:p>
        </w:tc>
      </w:tr>
    </w:tbl>
    <w:tbl>
      <w:tblPr>
        <w:tblW w:type="auto" w:w="0"/>
      </w:tblPr>
      <w:tr>
        <w:tc>
          <w:tcPr>
            <w:tcW w:type="auto" w:w="0"/>
            <w:tcMar>
              <w:left w:type="dxa" w:w="200"/>
              <w:top w:type="dxa" w:w="200"/>
              <w:right w:type="dxa" w:w="200"/>
              <w:bottom w:type="dxa" w:w="200"/>
            </w:tcMar>
          </w:tcPr>
          <w:p>
            <w:pPr>
              <w:pStyle w:val="Para 001"/>
            </w:pPr>
            <w:r>
              <w:t>gmtime</w:t>
            </w:r>
          </w:p>
        </w:tc>
        <w:tc>
          <w:tcPr>
            <w:tcW w:type="auto" w:w="0"/>
            <w:tcMar>
              <w:left w:type="dxa" w:w="200"/>
              <w:top w:type="dxa" w:w="200"/>
              <w:right w:type="dxa" w:w="200"/>
              <w:bottom w:type="dxa" w:w="200"/>
            </w:tcMar>
          </w:tcPr>
          <w:p>
            <w:pPr>
              <w:pStyle w:val="Para 002"/>
            </w:pPr>
            <w:r>
              <w:rPr>
                <w:rStyle w:val="Text0"/>
              </w:rPr>
              <w:t>gmtime([</w:t>
            </w:r>
            <w:r>
              <w:rPr>
                <w:rStyle w:val="Text3"/>
              </w:rPr>
              <w:t>secs</w:t>
            </w:r>
            <w:r>
              <w:rPr>
                <w:rStyle w:val="Text0"/>
              </w:rPr>
              <w:t>])</w:t>
              <w:br w:clear="none"/>
            </w:r>
            <w:r>
              <w:t xml:space="preserve"> Accepts an instant expressed in seconds since the epoch and returns a timetuple </w:t>
            </w:r>
            <w:r>
              <w:rPr>
                <w:rStyle w:val="Text3"/>
              </w:rPr>
              <w:t>t</w:t>
            </w:r>
            <w:r>
              <w:t xml:space="preserve"> with the UTC time (</w:t>
            </w:r>
            <w:r>
              <w:rPr>
                <w:rStyle w:val="Text3"/>
              </w:rPr>
              <w:t>t</w:t>
            </w:r>
            <w:r>
              <w:rPr>
                <w:rStyle w:val="Text0"/>
              </w:rPr>
              <w:t>.tm_isdst</w:t>
            </w:r>
            <w:r>
              <w:t xml:space="preserve"> is always </w:t>
            </w:r>
            <w:r>
              <w:rPr>
                <w:rStyle w:val="Text0"/>
              </w:rPr>
              <w:t>0</w:t>
            </w:r>
            <w:r>
              <w:t xml:space="preserve">). Calling </w:t>
            </w:r>
            <w:r>
              <w:rPr>
                <w:rStyle w:val="Text0"/>
              </w:rPr>
              <w:t>gmtime()</w:t>
            </w:r>
            <w:r>
              <w:t xml:space="preserve"> without arguments is like calling </w:t>
            </w:r>
            <w:r>
              <w:rPr>
                <w:rStyle w:val="Text0"/>
              </w:rPr>
              <w:t>gmtime(time())</w:t>
            </w:r>
            <w:r>
              <w:t xml:space="preserve"> (returns the timetuple for the current time instant).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localtime</w:t>
            </w:r>
          </w:p>
        </w:tc>
        <w:tc>
          <w:tcPr>
            <w:tcW w:type="auto" w:w="0"/>
            <w:shd w:val="clear" w:color="auto" w:fill="EEF2F6"/>
            <w:tcMar>
              <w:left w:type="dxa" w:w="200"/>
              <w:top w:type="dxa" w:w="200"/>
              <w:right w:type="dxa" w:w="200"/>
              <w:bottom w:type="dxa" w:w="200"/>
            </w:tcMar>
          </w:tcPr>
          <w:p>
            <w:pPr>
              <w:pStyle w:val="Para 002"/>
            </w:pPr>
            <w:r>
              <w:rPr>
                <w:rStyle w:val="Text0"/>
              </w:rPr>
              <w:t>localtime([</w:t>
            </w:r>
            <w:r>
              <w:rPr>
                <w:rStyle w:val="Text3"/>
              </w:rPr>
              <w:t>secs</w:t>
            </w:r>
            <w:r>
              <w:rPr>
                <w:rStyle w:val="Text0"/>
              </w:rPr>
              <w:t>])</w:t>
              <w:br w:clear="none"/>
            </w:r>
            <w:r>
              <w:t xml:space="preserve"> Accepts an instant expressed in seconds since the epoch and returns a timetuple </w:t>
            </w:r>
            <w:r>
              <w:rPr>
                <w:rStyle w:val="Text3"/>
              </w:rPr>
              <w:t>t</w:t>
            </w:r>
            <w:r>
              <w:t xml:space="preserve"> with the local time (</w:t>
            </w:r>
            <w:r>
              <w:rPr>
                <w:rStyle w:val="Text3"/>
              </w:rPr>
              <w:t>t</w:t>
            </w:r>
            <w:r>
              <w:rPr>
                <w:rStyle w:val="Text0"/>
              </w:rPr>
              <w:t>.tm_isdst</w:t>
            </w:r>
            <w:r>
              <w:t xml:space="preserve"> is </w:t>
            </w:r>
            <w:r>
              <w:rPr>
                <w:rStyle w:val="Text0"/>
              </w:rPr>
              <w:t>0</w:t>
            </w:r>
            <w:r>
              <w:t xml:space="preserve"> or </w:t>
            </w:r>
            <w:r>
              <w:rPr>
                <w:rStyle w:val="Text0"/>
              </w:rPr>
              <w:t>1</w:t>
            </w:r>
            <w:r>
              <w:t xml:space="preserve">, depending on whether DST applies to instant </w:t>
            </w:r>
            <w:r>
              <w:rPr>
                <w:rStyle w:val="Text3"/>
              </w:rPr>
              <w:t>secs</w:t>
            </w:r>
            <w:r>
              <w:t xml:space="preserve"> by local rules). Calling </w:t>
            </w:r>
            <w:r>
              <w:rPr>
                <w:rStyle w:val="Text0"/>
              </w:rPr>
              <w:t>localtime()</w:t>
            </w:r>
            <w:r>
              <w:t xml:space="preserve"> without arguments is like calling </w:t>
            </w:r>
            <w:r>
              <w:rPr>
                <w:rStyle w:val="Text0"/>
              </w:rPr>
              <w:t>localtime(time())</w:t>
            </w:r>
            <w:r>
              <w:t xml:space="preserve"> (returns the timetuple for the current time instant).</w:t>
            </w:r>
          </w:p>
        </w:tc>
      </w:tr>
    </w:tbl>
    <w:tbl>
      <w:tblPr>
        <w:tblW w:type="auto" w:w="0"/>
      </w:tblPr>
      <w:tr>
        <w:tc>
          <w:tcPr>
            <w:tcW w:type="auto" w:w="0"/>
            <w:tcMar>
              <w:left w:type="dxa" w:w="200"/>
              <w:top w:type="dxa" w:w="200"/>
              <w:right w:type="dxa" w:w="200"/>
              <w:bottom w:type="dxa" w:w="200"/>
            </w:tcMar>
          </w:tcPr>
          <w:p>
            <w:pPr>
              <w:pStyle w:val="Para 001"/>
            </w:pPr>
            <w:r>
              <w:t>mktime</w:t>
            </w:r>
          </w:p>
        </w:tc>
        <w:tc>
          <w:tcPr>
            <w:tcW w:type="auto" w:w="0"/>
            <w:tcMar>
              <w:left w:type="dxa" w:w="200"/>
              <w:top w:type="dxa" w:w="200"/>
              <w:right w:type="dxa" w:w="200"/>
              <w:bottom w:type="dxa" w:w="200"/>
            </w:tcMar>
          </w:tcPr>
          <w:p>
            <w:pPr>
              <w:pStyle w:val="Para 002"/>
            </w:pPr>
            <w:r>
              <w:rPr>
                <w:rStyle w:val="Text0"/>
              </w:rPr>
              <w:t>mktime(</w:t>
            </w:r>
            <w:r>
              <w:rPr>
                <w:rStyle w:val="Text3"/>
              </w:rPr>
              <w:t>tupletime</w:t>
            </w:r>
            <w:r>
              <w:rPr>
                <w:rStyle w:val="Text0"/>
              </w:rPr>
              <w:t>)</w:t>
              <w:br w:clear="none"/>
            </w:r>
            <w:r>
              <w:t xml:space="preserve"> Accepts an instant expressed as a timetuple in local time and returns a floating-point value with the instant expressed in seconds since the epoch (only accepts the limited epoch dates between 1970–2038, not the extended range, even on 64-bit machines).</w:t>
            </w:r>
            <w:hyperlink w:anchor="a_mktime_s_result_s_fractional_p">
              <w:r>
                <w:rPr>
                  <w:rStyle w:val="Text41"/>
                </w:rPr>
                <w:bookmarkStart w:id="3085" w:name="a_12"/>
                <w:t>a</w:t>
                <w:bookmarkEnd w:id="3085"/>
              </w:r>
            </w:hyperlink>
            <w:r>
              <w:t xml:space="preserve"> The DST flag, the last item in </w:t>
            </w:r>
            <w:r>
              <w:rPr>
                <w:rStyle w:val="Text3"/>
              </w:rPr>
              <w:t>tupletime</w:t>
            </w:r>
            <w:r>
              <w:t xml:space="preserve">, is meaningful: set it to </w:t>
            </w:r>
            <w:r>
              <w:rPr>
                <w:rStyle w:val="Text0"/>
              </w:rPr>
              <w:t>0</w:t>
            </w:r>
            <w:r>
              <w:t xml:space="preserve"> to get standard time, to </w:t>
            </w:r>
            <w:r>
              <w:rPr>
                <w:rStyle w:val="Text0"/>
              </w:rPr>
              <w:t>1</w:t>
            </w:r>
            <w:r>
              <w:t xml:space="preserve"> to get DST, or to </w:t>
            </w:r>
            <w:r>
              <w:rPr>
                <w:rStyle w:val="Text0"/>
              </w:rPr>
              <w:t>−1</w:t>
            </w:r>
            <w:r>
              <w:t xml:space="preserve"> to let </w:t>
            </w:r>
            <w:r>
              <w:rPr>
                <w:rStyle w:val="Text0"/>
              </w:rPr>
              <w:t>mktime</w:t>
            </w:r>
            <w:r>
              <w:t xml:space="preserve"> compute whether DST is in effect at the given instant.</w:t>
            </w:r>
          </w:p>
        </w:tc>
      </w:tr>
    </w:tbl>
    <w:tbl>
      <w:tblPr>
        <w:tblW w:type="auto" w:w="0"/>
      </w:tblPr>
      <w:tr>
        <w:tc>
          <w:tcPr>
            <w:tcW w:type="auto" w:w="0"/>
            <w:shd w:val="clear" w:color="auto" w:fill="EEF2F6"/>
            <w:tcMar>
              <w:left w:type="dxa" w:w="200"/>
              <w:top w:type="dxa" w:w="200"/>
              <w:right w:type="dxa" w:w="200"/>
              <w:bottom w:type="dxa" w:w="200"/>
            </w:tcMar>
          </w:tcPr>
          <w:p>
            <w:pPr>
              <w:pStyle w:val="Para 001"/>
            </w:pPr>
            <w:r>
              <w:t>monotonic</w:t>
            </w:r>
          </w:p>
        </w:tc>
        <w:tc>
          <w:tcPr>
            <w:tcW w:type="auto" w:w="0"/>
            <w:shd w:val="clear" w:color="auto" w:fill="EEF2F6"/>
            <w:tcMar>
              <w:left w:type="dxa" w:w="200"/>
              <w:top w:type="dxa" w:w="200"/>
              <w:right w:type="dxa" w:w="200"/>
              <w:bottom w:type="dxa" w:w="200"/>
            </w:tcMar>
          </w:tcPr>
          <w:p>
            <w:pPr>
              <w:pStyle w:val="Para 002"/>
            </w:pPr>
            <w:r>
              <w:rPr>
                <w:rStyle w:val="Text0"/>
              </w:rPr>
              <w:t>monotonic()</w:t>
              <w:br w:clear="none"/>
            </w:r>
            <w:r>
              <w:t xml:space="preserve"> Like</w:t>
            </w:r>
            <w:r>
              <w:rPr>
                <w:rStyle w:val="Text111"/>
              </w:rPr>
              <w:bookmarkStart w:id="3086" w:name="idm45965196790800"/>
              <w:t/>
              <w:bookmarkEnd w:id="3086"/>
            </w:r>
            <w:r>
              <w:t xml:space="preserve"> </w:t>
            </w:r>
            <w:r>
              <w:rPr>
                <w:rStyle w:val="Text0"/>
              </w:rPr>
              <w:t>time()</w:t>
            </w:r>
            <w:r>
              <w:t xml:space="preserve">, returns the current time instant, a </w:t>
            </w:r>
            <w:r>
              <w:rPr>
                <w:rStyle w:val="Text0"/>
              </w:rPr>
              <w:t>float</w:t>
            </w:r>
            <w:r>
              <w:t xml:space="preserve"> with seconds since the epoch; however, the time value is guaranteed to never go backward between calls, even when the system clock is adjusted (e.g., due to leap seconds or at the moment of switching to or from DST).</w:t>
            </w:r>
          </w:p>
        </w:tc>
      </w:tr>
    </w:tbl>
    <w:tbl>
      <w:tblPr>
        <w:tblW w:type="auto" w:w="0"/>
      </w:tblPr>
      <w:tr>
        <w:tc>
          <w:tcPr>
            <w:tcW w:type="auto" w:w="0"/>
            <w:tcMar>
              <w:left w:type="dxa" w:w="200"/>
              <w:top w:type="dxa" w:w="200"/>
              <w:right w:type="dxa" w:w="200"/>
              <w:bottom w:type="dxa" w:w="200"/>
            </w:tcMar>
          </w:tcPr>
          <w:p>
            <w:pPr>
              <w:pStyle w:val="Para 001"/>
            </w:pPr>
            <w:r>
              <w:t>perf_counter</w:t>
            </w:r>
          </w:p>
        </w:tc>
        <w:tc>
          <w:tcPr>
            <w:tcW w:type="auto" w:w="0"/>
            <w:tcMar>
              <w:left w:type="dxa" w:w="200"/>
              <w:top w:type="dxa" w:w="200"/>
              <w:right w:type="dxa" w:w="200"/>
              <w:bottom w:type="dxa" w:w="200"/>
            </w:tcMar>
          </w:tcPr>
          <w:p>
            <w:pPr>
              <w:pStyle w:val="Para 002"/>
            </w:pPr>
            <w:r>
              <w:rPr>
                <w:rStyle w:val="Text0"/>
              </w:rPr>
              <w:t>perf_counter()</w:t>
              <w:br w:clear="none"/>
            </w:r>
            <w:r>
              <w:t xml:space="preserve"> For</w:t>
            </w:r>
            <w:r>
              <w:rPr>
                <w:rStyle w:val="Text111"/>
              </w:rPr>
              <w:bookmarkStart w:id="3087" w:name="idm45965196785472"/>
              <w:t/>
              <w:bookmarkEnd w:id="3087"/>
            </w:r>
            <w:r>
              <w:t xml:space="preserve"> determining elapsed time between successive calls (like a stopwatch), </w:t>
            </w:r>
            <w:r>
              <w:rPr>
                <w:rStyle w:val="Text0"/>
              </w:rPr>
              <w:t xml:space="preserve"> perf_counter</w:t>
            </w:r>
            <w:r>
              <w:t xml:space="preserve"> returns a time value in fractional seconds using the highest-resolution clock available to get accuracy for short durations. It is system-wide and </w:t>
            </w:r>
            <w:r>
              <w:rPr>
                <w:rStyle w:val="Text4"/>
              </w:rPr>
              <w:t>includes</w:t>
            </w:r>
            <w:r>
              <w:t xml:space="preserve"> time elapsed during </w:t>
            </w:r>
            <w:r>
              <w:rPr>
                <w:rStyle w:val="Text0"/>
              </w:rPr>
              <w:t>sleep</w:t>
            </w:r>
            <w:r>
              <w:t>. Use only the difference between successive calls, as there is no defined reference point.</w:t>
            </w:r>
          </w:p>
        </w:tc>
      </w:tr>
    </w:tbl>
    <w:tbl>
      <w:tblPr>
        <w:tblW w:type="auto" w:w="0"/>
      </w:tblPr>
      <w:tr>
        <w:tc>
          <w:tcPr>
            <w:tcW w:type="auto" w:w="0"/>
            <w:shd w:val="clear" w:color="auto" w:fill="EEF2F6"/>
            <w:tcMar>
              <w:left w:type="dxa" w:w="200"/>
              <w:top w:type="dxa" w:w="200"/>
              <w:right w:type="dxa" w:w="200"/>
              <w:bottom w:type="dxa" w:w="200"/>
            </w:tcMar>
          </w:tcPr>
          <w:p>
            <w:pPr>
              <w:pStyle w:val="Para 001"/>
            </w:pPr>
            <w:r>
              <w:t>process_time</w:t>
            </w:r>
          </w:p>
        </w:tc>
        <w:tc>
          <w:tcPr>
            <w:tcW w:type="auto" w:w="0"/>
            <w:shd w:val="clear" w:color="auto" w:fill="EEF2F6"/>
            <w:tcMar>
              <w:left w:type="dxa" w:w="200"/>
              <w:top w:type="dxa" w:w="200"/>
              <w:right w:type="dxa" w:w="200"/>
              <w:bottom w:type="dxa" w:w="200"/>
            </w:tcMar>
          </w:tcPr>
          <w:p>
            <w:pPr>
              <w:pStyle w:val="Para 002"/>
            </w:pPr>
            <w:r>
              <w:rPr>
                <w:rStyle w:val="Text0"/>
              </w:rPr>
              <w:t>process_time()</w:t>
              <w:br w:clear="none"/>
            </w:r>
            <w:r>
              <w:t xml:space="preserve"> Like</w:t>
            </w:r>
            <w:r>
              <w:rPr>
                <w:rStyle w:val="Text111"/>
              </w:rPr>
              <w:bookmarkStart w:id="3088" w:name="idm45965196779648"/>
              <w:t/>
              <w:bookmarkEnd w:id="3088"/>
            </w:r>
            <w:r>
              <w:t xml:space="preserve"> </w:t>
            </w:r>
            <w:r>
              <w:rPr>
                <w:rStyle w:val="Text0"/>
              </w:rPr>
              <w:t>perf_counter</w:t>
            </w:r>
            <w:r>
              <w:t xml:space="preserve">; however, the returned time value is process-wide and </w:t>
            </w:r>
            <w:r>
              <w:rPr>
                <w:rStyle w:val="Text4"/>
              </w:rPr>
              <w:t>doesn’t</w:t>
            </w:r>
            <w:r>
              <w:t xml:space="preserve"> include time elapsed during </w:t>
            </w:r>
            <w:r>
              <w:rPr>
                <w:rStyle w:val="Text0"/>
              </w:rPr>
              <w:t>sleep</w:t>
            </w:r>
            <w:r>
              <w:t>. Use only the difference between successive calls, as there is no defined reference point.</w:t>
            </w:r>
          </w:p>
        </w:tc>
      </w:tr>
    </w:tbl>
    <w:tbl>
      <w:tblPr>
        <w:tblW w:type="auto" w:w="0"/>
      </w:tblPr>
      <w:tr>
        <w:tc>
          <w:tcPr>
            <w:tcW w:type="auto" w:w="0"/>
            <w:tcMar>
              <w:left w:type="dxa" w:w="200"/>
              <w:top w:type="dxa" w:w="200"/>
              <w:right w:type="dxa" w:w="200"/>
              <w:bottom w:type="dxa" w:w="200"/>
            </w:tcMar>
          </w:tcPr>
          <w:p>
            <w:pPr>
              <w:pStyle w:val="Para 001"/>
            </w:pPr>
            <w:r>
              <w:t>sleep</w:t>
            </w:r>
          </w:p>
        </w:tc>
        <w:tc>
          <w:tcPr>
            <w:tcW w:type="auto" w:w="0"/>
            <w:tcMar>
              <w:left w:type="dxa" w:w="200"/>
              <w:top w:type="dxa" w:w="200"/>
              <w:right w:type="dxa" w:w="200"/>
              <w:bottom w:type="dxa" w:w="200"/>
            </w:tcMar>
          </w:tcPr>
          <w:p>
            <w:pPr>
              <w:pStyle w:val="Para 002"/>
            </w:pPr>
            <w:r>
              <w:rPr>
                <w:rStyle w:val="Text0"/>
              </w:rPr>
              <w:t>sleep(</w:t>
            </w:r>
            <w:r>
              <w:rPr>
                <w:rStyle w:val="Text3"/>
              </w:rPr>
              <w:t>secs</w:t>
            </w:r>
            <w:r>
              <w:rPr>
                <w:rStyle w:val="Text0"/>
              </w:rPr>
              <w:t>)</w:t>
              <w:br w:clear="none"/>
            </w:r>
            <w:r>
              <w:t xml:space="preserve"> Suspends</w:t>
            </w:r>
            <w:r>
              <w:rPr>
                <w:rStyle w:val="Text111"/>
              </w:rPr>
              <w:bookmarkStart w:id="3089" w:name="idm45965196773472"/>
              <w:t/>
              <w:bookmarkEnd w:id="3089"/>
            </w:r>
            <w:r>
              <w:t xml:space="preserve"> the calling thread for </w:t>
            </w:r>
            <w:r>
              <w:rPr>
                <w:rStyle w:val="Text3"/>
              </w:rPr>
              <w:t>secs</w:t>
            </w:r>
            <w:r>
              <w:t xml:space="preserve"> seconds. The calling thread may start executing again before </w:t>
            </w:r>
            <w:r>
              <w:rPr>
                <w:rStyle w:val="Text3"/>
              </w:rPr>
              <w:t>secs</w:t>
            </w:r>
            <w:r>
              <w:t xml:space="preserve"> seconds (when it’s the main thread and some signal wakes it up) or after a longer suspension (depending on system scheduling of processes and threads). You can call sleep with </w:t>
            </w:r>
            <w:r>
              <w:rPr>
                <w:rStyle w:val="Text3"/>
              </w:rPr>
              <w:t>secs</w:t>
            </w:r>
            <w:r>
              <w:t xml:space="preserve"> set to </w:t>
            </w:r>
            <w:r>
              <w:rPr>
                <w:rStyle w:val="Text0"/>
              </w:rPr>
              <w:t>0</w:t>
            </w:r>
            <w:r>
              <w:t xml:space="preserve"> to offer other threads a chance to run, incurring no significant delay if the current thread is the only one ready to run.</w:t>
            </w:r>
          </w:p>
        </w:tc>
      </w:tr>
    </w:tbl>
    <w:tbl>
      <w:tblPr>
        <w:tblW w:type="auto" w:w="0"/>
      </w:tblPr>
      <w:tr>
        <w:tc>
          <w:tcPr>
            <w:tcW w:type="auto" w:w="0"/>
            <w:shd w:val="clear" w:color="auto" w:fill="EEF2F6"/>
            <w:tcMar>
              <w:left w:type="dxa" w:w="200"/>
              <w:top w:type="dxa" w:w="200"/>
              <w:right w:type="dxa" w:w="200"/>
              <w:bottom w:type="dxa" w:w="200"/>
            </w:tcMar>
          </w:tcPr>
          <w:p>
            <w:pPr>
              <w:pStyle w:val="Para 001"/>
            </w:pPr>
            <w:r>
              <w:t>strftime</w:t>
            </w:r>
          </w:p>
        </w:tc>
        <w:tc>
          <w:tcPr>
            <w:tcW w:type="auto" w:w="0"/>
            <w:shd w:val="clear" w:color="auto" w:fill="EEF2F6"/>
            <w:tcMar>
              <w:left w:type="dxa" w:w="200"/>
              <w:top w:type="dxa" w:w="200"/>
              <w:right w:type="dxa" w:w="200"/>
              <w:bottom w:type="dxa" w:w="200"/>
            </w:tcMar>
          </w:tcPr>
          <w:p>
            <w:pPr>
              <w:pStyle w:val="Para 002"/>
            </w:pPr>
            <w:r>
              <w:rPr>
                <w:rStyle w:val="Text0"/>
              </w:rPr>
              <w:t>strftime(</w:t>
            </w:r>
            <w:r>
              <w:rPr>
                <w:rStyle w:val="Text3"/>
              </w:rPr>
              <w:t>fmt</w:t>
            </w:r>
            <w:r>
              <w:rPr>
                <w:rStyle w:val="Text0"/>
              </w:rPr>
              <w:t>[,</w:t>
            </w:r>
            <w:r>
              <w:t xml:space="preserve"> </w:t>
            </w:r>
            <w:r>
              <w:rPr>
                <w:rStyle w:val="Text3"/>
              </w:rPr>
              <w:t>tupletime</w:t>
            </w:r>
            <w:r>
              <w:rPr>
                <w:rStyle w:val="Text0"/>
              </w:rPr>
              <w:t>])</w:t>
              <w:br w:clear="none"/>
            </w:r>
            <w:r>
              <w:t xml:space="preserve"> Accepts</w:t>
            </w:r>
            <w:r>
              <w:rPr>
                <w:rStyle w:val="Text111"/>
              </w:rPr>
              <w:bookmarkStart w:id="3090" w:name="idm45965196764256"/>
              <w:t/>
              <w:bookmarkEnd w:id="3090"/>
            </w:r>
            <w:r>
              <w:t xml:space="preserve"> an instant expressed as a timetuple in local time and returns a string representing the instant as specified by string </w:t>
            </w:r>
            <w:r>
              <w:rPr>
                <w:rStyle w:val="Text3"/>
              </w:rPr>
              <w:t>fmt</w:t>
            </w:r>
            <w:r>
              <w:t xml:space="preserve">. If you omit </w:t>
            </w:r>
            <w:r>
              <w:rPr>
                <w:rStyle w:val="Text3"/>
              </w:rPr>
              <w:t>tupletime</w:t>
            </w:r>
            <w:r>
              <w:t xml:space="preserve">, </w:t>
            </w:r>
            <w:r>
              <w:rPr>
                <w:rStyle w:val="Text0"/>
              </w:rPr>
              <w:t>strftime</w:t>
            </w:r>
            <w:r>
              <w:t xml:space="preserve"> uses </w:t>
            </w:r>
            <w:r>
              <w:rPr>
                <w:rStyle w:val="Text0"/>
              </w:rPr>
              <w:t>localtime(time())</w:t>
            </w:r>
            <w:r>
              <w:t xml:space="preserve"> (formats the current time instant). The syntax of </w:t>
            </w:r>
            <w:r>
              <w:rPr>
                <w:rStyle w:val="Text3"/>
              </w:rPr>
              <w:t>fmt</w:t>
            </w:r>
            <w:r>
              <w:t xml:space="preserve"> is similar to that covered in </w:t>
            </w:r>
            <w:hyperlink w:anchor="Legacy_String_Formatting_with">
              <w:r>
                <w:rPr>
                  <w:rStyle w:val="Text1"/>
                </w:rPr>
                <w:t>“Legacy String Formatting with %”</w:t>
              </w:r>
            </w:hyperlink>
            <w:r>
              <w:t xml:space="preserve">, though the conversion characters are different, as shown in </w:t>
            </w:r>
            <w:hyperlink w:anchor="Table_13_3__Conversion_character">
              <w:r>
                <w:rPr>
                  <w:rStyle w:val="Text1"/>
                </w:rPr>
                <w:t>Table 13-3</w:t>
              </w:r>
            </w:hyperlink>
            <w:r>
              <w:t xml:space="preserve">. Refer to the time instant specified by </w:t>
            </w:r>
            <w:r>
              <w:rPr>
                <w:rStyle w:val="Text3"/>
              </w:rPr>
              <w:t>tupletime</w:t>
            </w:r>
            <w:r>
              <w:t>; the format can’t specify width and precision.</w:t>
              <w:br w:clear="none"/>
              <w:t xml:space="preserve"> For example, you can obtain dates just as formatted by </w:t>
            </w:r>
            <w:r>
              <w:rPr>
                <w:rStyle w:val="Text0"/>
              </w:rPr>
              <w:t>asctime</w:t>
            </w:r>
            <w:r>
              <w:t xml:space="preserve"> (e.g., </w:t>
            </w:r>
            <w:r>
              <w:rPr>
                <w:rStyle w:val="Text0"/>
              </w:rPr>
              <w:t>'Tue Dec 10 18:07:14 2002'</w:t>
            </w:r>
            <w:r>
              <w:t xml:space="preserve">) with the format string </w:t>
            </w:r>
            <w:r>
              <w:rPr>
                <w:rStyle w:val="Text0"/>
              </w:rPr>
              <w:t>'%a %b %d %H:%M:%S %Y'</w:t>
            </w:r>
            <w:r>
              <w:t>.</w:t>
              <w:br w:clear="none"/>
              <w:t xml:space="preserve"> You can obtain dates compliant with RFC 822 (e.g., </w:t>
            </w:r>
            <w:r>
              <w:rPr>
                <w:rStyle w:val="Text0"/>
              </w:rPr>
              <w:t>'Tue, 10 Dec 2002 18:07:14 EST'</w:t>
            </w:r>
            <w:r>
              <w:t xml:space="preserve">) with the format string </w:t>
            </w:r>
            <w:r>
              <w:rPr>
                <w:rStyle w:val="Text0"/>
              </w:rPr>
              <w:t>'%a, %d %b %Y %H:%M:%S %Z'</w:t>
            </w:r>
            <w:r>
              <w:t>.</w:t>
              <w:br w:clear="none"/>
              <w:t xml:space="preserve"> These strings can also be used for </w:t>
            </w:r>
            <w:r>
              <w:rPr>
                <w:rStyle w:val="Text0"/>
              </w:rPr>
              <w:t>datetime</w:t>
            </w:r>
            <w:r>
              <w:t xml:space="preserve"> formatting using the mechanisms discussed in </w:t>
            </w:r>
            <w:hyperlink w:anchor="Formatting_of_User_Coded_Classes">
              <w:r>
                <w:rPr>
                  <w:rStyle w:val="Text1"/>
                </w:rPr>
                <w:t>“Formatting of User-Coded Classes”</w:t>
              </w:r>
            </w:hyperlink>
            <w:r>
              <w:t xml:space="preserve">, allowing you to equivalently write, for a </w:t>
            </w:r>
            <w:r>
              <w:rPr>
                <w:rStyle w:val="Text0"/>
              </w:rPr>
              <w:t>datetime.datetime</w:t>
            </w:r>
            <w:r>
              <w:t xml:space="preserve"> object </w:t>
            </w:r>
            <w:r>
              <w:rPr>
                <w:rStyle w:val="Text0"/>
              </w:rPr>
              <w:t>d</w:t>
            </w:r>
            <w:r>
              <w:t xml:space="preserve">, either </w:t>
            </w:r>
            <w:r>
              <w:rPr>
                <w:rStyle w:val="Text0"/>
              </w:rPr>
              <w:t>f'{d:%Y/%m/%d}</w:t>
            </w:r>
            <w:r>
              <w:t xml:space="preserve">' or </w:t>
            </w:r>
            <w:r>
              <w:rPr>
                <w:rStyle w:val="Text0"/>
              </w:rPr>
              <w:t>'{:%Y/%m/%d}'.format(d)</w:t>
            </w:r>
            <w:r>
              <w:t xml:space="preserve">, both of which give a result such as ’2022/04/17’. For ISO 8601–format </w:t>
            </w:r>
            <w:r>
              <w:rPr>
                <w:rStyle w:val="Text0"/>
              </w:rPr>
              <w:t>datetime</w:t>
            </w:r>
            <w:r>
              <w:t xml:space="preserve">s, see the </w:t>
            </w:r>
            <w:r>
              <w:rPr>
                <w:rStyle w:val="Text0"/>
              </w:rPr>
              <w:t>isoformat()</w:t>
            </w:r>
            <w:r>
              <w:t xml:space="preserve"> and </w:t>
            </w:r>
            <w:r>
              <w:rPr>
                <w:rStyle w:val="Text0"/>
              </w:rPr>
              <w:t>fromisoformat()</w:t>
            </w:r>
            <w:r>
              <w:t xml:space="preserve"> methods covered in </w:t>
            </w:r>
            <w:hyperlink w:anchor="The_date_Class__Instances_of_the">
              <w:r>
                <w:rPr>
                  <w:rStyle w:val="Text1"/>
                </w:rPr>
                <w:t>“The date Class”</w:t>
              </w:r>
            </w:hyperlink>
            <w:r>
              <w:t>.</w:t>
            </w:r>
          </w:p>
        </w:tc>
      </w:tr>
    </w:tbl>
    <w:tbl>
      <w:tblPr>
        <w:tblW w:type="auto" w:w="0"/>
      </w:tblPr>
      <w:tr>
        <w:tc>
          <w:tcPr>
            <w:tcW w:type="auto" w:w="0"/>
            <w:tcMar>
              <w:left w:type="dxa" w:w="200"/>
              <w:top w:type="dxa" w:w="200"/>
              <w:right w:type="dxa" w:w="200"/>
              <w:bottom w:type="dxa" w:w="200"/>
            </w:tcMar>
          </w:tcPr>
          <w:p>
            <w:pPr>
              <w:pStyle w:val="Para 001"/>
            </w:pPr>
            <w:r>
              <w:t>strptime</w:t>
            </w:r>
          </w:p>
        </w:tc>
        <w:tc>
          <w:tcPr>
            <w:tcW w:type="auto" w:w="0"/>
            <w:tcMar>
              <w:left w:type="dxa" w:w="200"/>
              <w:top w:type="dxa" w:w="200"/>
              <w:right w:type="dxa" w:w="200"/>
              <w:bottom w:type="dxa" w:w="200"/>
            </w:tcMar>
          </w:tcPr>
          <w:p>
            <w:pPr>
              <w:pStyle w:val="Para 002"/>
            </w:pPr>
            <w:r>
              <w:rPr>
                <w:rStyle w:val="Text0"/>
              </w:rPr>
              <w:t>strptime(</w:t>
            </w:r>
            <w:r>
              <w:rPr>
                <w:rStyle w:val="Text3"/>
              </w:rPr>
              <w:t>str</w:t>
            </w:r>
            <w:r>
              <w:rPr>
                <w:rStyle w:val="Text0"/>
              </w:rPr>
              <w:t>,</w:t>
            </w:r>
            <w:r>
              <w:t xml:space="preserve"> </w:t>
            </w:r>
            <w:r>
              <w:rPr>
                <w:rStyle w:val="Text3"/>
              </w:rPr>
              <w:t>fmt</w:t>
            </w:r>
            <w:r>
              <w:rPr>
                <w:rStyle w:val="Text0"/>
              </w:rPr>
              <w:t>)</w:t>
              <w:br w:clear="none"/>
            </w:r>
            <w:r>
              <w:t xml:space="preserve"> Parses</w:t>
            </w:r>
            <w:r>
              <w:rPr>
                <w:rStyle w:val="Text111"/>
              </w:rPr>
              <w:bookmarkStart w:id="3091" w:name="idm45965196740352"/>
              <w:t/>
              <w:bookmarkEnd w:id="3091"/>
            </w:r>
            <w:r>
              <w:t xml:space="preserve"> </w:t>
            </w:r>
            <w:r>
              <w:rPr>
                <w:rStyle w:val="Text3"/>
              </w:rPr>
              <w:t>str</w:t>
            </w:r>
            <w:r>
              <w:t xml:space="preserve"> according to format string </w:t>
            </w:r>
            <w:r>
              <w:rPr>
                <w:rStyle w:val="Text3"/>
              </w:rPr>
              <w:t>fmt</w:t>
            </w:r>
            <w:r>
              <w:t xml:space="preserve"> (a string such as </w:t>
            </w:r>
            <w:r>
              <w:rPr>
                <w:rStyle w:val="Text0"/>
              </w:rPr>
              <w:t>'%a %b %d %H:%M:%S %Y'</w:t>
            </w:r>
            <w:r>
              <w:t xml:space="preserve">, as covered in the discussion of </w:t>
            </w:r>
            <w:r>
              <w:rPr>
                <w:rStyle w:val="Text0"/>
              </w:rPr>
              <w:t>strftime</w:t>
            </w:r>
            <w:r>
              <w:t xml:space="preserve">) and returns the instant as a timetuple. If no time values are provided, defaults to midnight. If no date values are provided, defaults to January 1, 1900. For example: </w:t>
            </w:r>
          </w:p>
          <w:p>
            <w:pPr>
              <w:pStyle w:val="Para 044"/>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9"/>
              </w:rPr>
              <w:t xml:space="preserve">time</w:t>
              <w:br w:clear="none"/>
            </w:r>
            <w:r>
              <w:rPr>
                <w:rStyle w:val="Text13"/>
              </w:rPr>
              <w:t xml:space="preserve">.</w:t>
              <w:br w:clear="none"/>
            </w:r>
            <w:r>
              <w:rPr>
                <w:rStyle w:val="Text9"/>
              </w:rPr>
              <w:t xml:space="preserve">strptime</w:t>
              <w:br w:clear="none"/>
            </w:r>
            <w:r>
              <w:rPr>
                <w:rStyle w:val="Text7"/>
              </w:rPr>
              <w:t xml:space="preserve">(</w:t>
              <w:br w:clear="none"/>
            </w:r>
            <w:r>
              <w:t xml:space="preserve">"Sep 20, 2022"</w:t>
              <w:br w:clear="none"/>
            </w:r>
            <w:r>
              <w:rPr>
                <w:rStyle w:val="Text7"/>
              </w:rPr>
              <w:t xml:space="preserve">,</w:t>
              <w:br w:clear="none"/>
            </w:r>
            <w:r>
              <w:rPr>
                <w:rStyle w:val="Text23"/>
              </w:rPr>
              <w:t xml:space="preserve"> </w:t>
              <w:br w:clear="none"/>
            </w:r>
            <w:r>
              <w:t xml:space="preserve">'%b </w:t>
              <w:br w:clear="none"/>
            </w:r>
            <w:r>
              <w:rPr>
                <w:rStyle w:val="Text32"/>
              </w:rPr>
              <w:t xml:space="preserve">%d</w:t>
              <w:br w:clear="none"/>
            </w:r>
            <w:r>
              <w:t xml:space="preserve">, </w:t>
              <w:br w:clear="none"/>
            </w:r>
            <w:r>
              <w:rPr>
                <w:rStyle w:val="Text32"/>
              </w:rPr>
              <w:t xml:space="preserve">%Y</w:t>
              <w:br w:clear="none"/>
            </w:r>
            <w:r>
              <w:t xml:space="preserve">'</w:t>
              <w:br w:clear="none"/>
            </w:r>
            <w:r>
              <w:rPr>
                <w:rStyle w:val="Text7"/>
              </w:rPr>
              <w:t xml:space="preserve">))</w:t>
              <w:br w:clear="none"/>
            </w:r>
          </w:p>
          <w:p>
            <w:pPr>
              <w:pStyle w:val="Para 033"/>
            </w:pPr>
            <w:r>
              <w:rPr>
                <w:rStyle w:val="Text48"/>
              </w:rPr>
              <w:t xml:space="preserve"/>
              <w:br w:clear="none"/>
            </w:r>
            <w:r>
              <w:t xml:space="preserve">time.struct_time(tm_year=2022, tm_mon=9, tm_mday=20, </w:t>
              <w:br w:clear="none"/>
              <w:t xml:space="preserve">tm_hour=0, tm_min=0, tm_sec=0, tm_wday=1, </w:t>
              <w:br w:clear="none"/>
              <w:t xml:space="preserve">tm_yday=263, tm_isdst=-1)</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time</w:t>
            </w:r>
          </w:p>
        </w:tc>
        <w:tc>
          <w:tcPr>
            <w:tcW w:type="auto" w:w="0"/>
            <w:shd w:val="clear" w:color="auto" w:fill="EEF2F6"/>
            <w:tcMar>
              <w:left w:type="dxa" w:w="200"/>
              <w:top w:type="dxa" w:w="200"/>
              <w:right w:type="dxa" w:w="200"/>
              <w:bottom w:type="dxa" w:w="200"/>
            </w:tcMar>
          </w:tcPr>
          <w:p>
            <w:pPr>
              <w:pStyle w:val="Para 002"/>
            </w:pPr>
            <w:r>
              <w:rPr>
                <w:rStyle w:val="Text0"/>
              </w:rPr>
              <w:t>time()</w:t>
              <w:br w:clear="none"/>
            </w:r>
            <w:r>
              <w:t xml:space="preserve"> Returns the current time instant, a </w:t>
            </w:r>
            <w:r>
              <w:rPr>
                <w:rStyle w:val="Text0"/>
              </w:rPr>
              <w:t>float</w:t>
            </w:r>
            <w:r>
              <w:t xml:space="preserve"> with seconds since the epoch. On some (mostly older) platforms, the precision of this time is as low as one second. May return a lower value in a subsequent call if the system clock is adjusted backward between calls (e.g., due to leap seconds).</w:t>
            </w:r>
          </w:p>
        </w:tc>
      </w:tr>
    </w:tbl>
    <w:tbl>
      <w:tblPr>
        <w:tblW w:type="auto" w:w="0"/>
      </w:tblPr>
      <w:tr>
        <w:tc>
          <w:tcPr>
            <w:tcW w:type="auto" w:w="0"/>
            <w:tcMar>
              <w:left w:type="dxa" w:w="200"/>
              <w:top w:type="dxa" w:w="200"/>
              <w:right w:type="dxa" w:w="200"/>
              <w:bottom w:type="dxa" w:w="200"/>
            </w:tcMar>
          </w:tcPr>
          <w:p>
            <w:pPr>
              <w:pStyle w:val="Para 001"/>
            </w:pPr>
            <w:r>
              <w:t>timezone</w:t>
            </w:r>
          </w:p>
        </w:tc>
        <w:tc>
          <w:tcPr>
            <w:tcW w:type="auto" w:w="0"/>
            <w:tcMar>
              <w:left w:type="dxa" w:w="200"/>
              <w:top w:type="dxa" w:w="200"/>
              <w:right w:type="dxa" w:w="200"/>
              <w:bottom w:type="dxa" w:w="200"/>
            </w:tcMar>
          </w:tcPr>
          <w:p>
            <w:pPr>
              <w:pStyle w:val="Para 002"/>
            </w:pPr>
            <w:r>
              <w:t>The</w:t>
            </w:r>
            <w:r>
              <w:rPr>
                <w:rStyle w:val="Text111"/>
              </w:rPr>
              <w:bookmarkStart w:id="3092" w:name="idm45965196708624"/>
              <w:t/>
              <w:bookmarkEnd w:id="3092"/>
            </w:r>
            <w:r>
              <w:t xml:space="preserve"> offset in seconds of the local time zone (without DST) from UTC (</w:t>
            </w:r>
            <w:r>
              <w:rPr>
                <w:rStyle w:val="Text0"/>
              </w:rPr>
              <w:t>&lt;0</w:t>
            </w:r>
            <w:r>
              <w:t xml:space="preserve"> in the Americas; </w:t>
            </w:r>
            <w:r>
              <w:rPr>
                <w:rStyle w:val="Text0"/>
              </w:rPr>
              <w:t>&gt;=0</w:t>
            </w:r>
            <w:r>
              <w:t xml:space="preserve"> in most of Europe, Asia, and Africa).</w:t>
            </w:r>
          </w:p>
        </w:tc>
      </w:tr>
    </w:tbl>
    <w:tbl>
      <w:tblPr>
        <w:tblW w:type="auto" w:w="0"/>
      </w:tblPr>
      <w:tr>
        <w:tc>
          <w:tcPr>
            <w:tcW w:type="auto" w:w="0"/>
            <w:shd w:val="clear" w:color="auto" w:fill="EEF2F6"/>
            <w:tcMar>
              <w:left w:type="dxa" w:w="200"/>
              <w:top w:type="dxa" w:w="200"/>
              <w:right w:type="dxa" w:w="200"/>
              <w:bottom w:type="dxa" w:w="200"/>
            </w:tcMar>
          </w:tcPr>
          <w:p>
            <w:pPr>
              <w:pStyle w:val="Para 001"/>
            </w:pPr>
            <w:r>
              <w:t>tzname</w:t>
            </w:r>
          </w:p>
        </w:tc>
        <w:tc>
          <w:tcPr>
            <w:tcW w:type="auto" w:w="0"/>
            <w:shd w:val="clear" w:color="auto" w:fill="EEF2F6"/>
            <w:tcMar>
              <w:left w:type="dxa" w:w="200"/>
              <w:top w:type="dxa" w:w="200"/>
              <w:right w:type="dxa" w:w="200"/>
              <w:bottom w:type="dxa" w:w="200"/>
            </w:tcMar>
          </w:tcPr>
          <w:p>
            <w:pPr>
              <w:pStyle w:val="Para 002"/>
            </w:pPr>
            <w:r>
              <w:t>A</w:t>
            </w:r>
            <w:r>
              <w:rPr>
                <w:rStyle w:val="Text111"/>
              </w:rPr>
              <w:bookmarkStart w:id="3093" w:name="idm45965196704240"/>
              <w:t/>
              <w:bookmarkEnd w:id="3093"/>
            </w:r>
            <w:r>
              <w:t xml:space="preserve"> pair of locale-dependent strings, which are the names of the local time zone without and with DST, respectively.</w:t>
            </w:r>
            <w:r>
              <w:rPr>
                <w:rStyle w:val="Text111"/>
              </w:rPr>
              <w:bookmarkStart w:id="3094" w:name="idm45965196702848"/>
              <w:t/>
              <w:bookmarkEnd w:id="3094"/>
              <w:bookmarkStart w:id="3095" w:name="idm45965196701472"/>
              <w:t/>
              <w:bookmarkEnd w:id="3095"/>
              <w:bookmarkStart w:id="3096" w:name="idm45965196700096"/>
              <w:t/>
              <w:bookmarkEnd w:id="3096"/>
            </w:r>
          </w:p>
        </w:tc>
      </w:tr>
    </w:tbl>
    <w:tbl>
      <w:tblPr>
        <w:tblW w:type="auto" w:w="0"/>
      </w:tblPr>
      <w:tr>
        <w:tc>
          <w:tcPr>
            <w:tcW w:type="auto" w:w="0"/>
            <w:tcMar>
              <w:left w:type="dxa" w:w="200"/>
              <w:top w:type="dxa" w:w="200"/>
              <w:right w:type="dxa" w:w="200"/>
              <w:bottom w:type="dxa" w:w="200"/>
            </w:tcMar>
            <w:hMerge w:val="restart"/>
          </w:tcPr>
          <w:p>
            <w:bookmarkStart w:id="3097" w:name="a_mktime_s_result_s_fractional_p"/>
            <w:pPr>
              <w:pStyle w:val="Para 036"/>
            </w:pPr>
            <w:hyperlink w:anchor="a_12">
              <w:r>
                <w:rPr>
                  <w:rStyle w:val="Text1"/>
                </w:rPr>
                <w:t>a</w:t>
              </w:r>
            </w:hyperlink>
            <w:r>
              <w:t xml:space="preserve"> </w:t>
            </w:r>
            <w:r>
              <w:rPr>
                <w:rStyle w:val="Text25"/>
              </w:rPr>
              <w:t>mktime</w:t>
            </w:r>
            <w:r>
              <w:t xml:space="preserve">’s result’s fractional part is always </w:t>
            </w:r>
            <w:r>
              <w:rPr>
                <w:rStyle w:val="Text25"/>
              </w:rPr>
              <w:t>0</w:t>
            </w:r>
            <w:r>
              <w:t>, since its timetuple argument does not account for fractions of a second.</w:t>
            </w:r>
            <w:bookmarkEnd w:id="3097"/>
          </w:p>
        </w:tc>
        <w:tc>
          <w:tcPr>
            <w:hMerge w:val="continue"/>
          </w:tcPr>
          <w:p/>
        </w:tc>
      </w:tr>
    </w:tbl>
    <w:tbl>
      <w:tblPr>
        <w:tblW w:type="auto" w:w="0"/>
      </w:tblPr>
      <w:tr>
        <w:tc>
          <w:tcPr>
            <w:tcW w:type="auto" w:w="0"/>
            <w:tcMar>
              <w:left w:type="dxa" w:w="200"/>
              <w:top w:type="dxa" w:w="200"/>
              <w:right w:type="dxa" w:w="200"/>
              <w:bottom w:type="dxa" w:w="200"/>
            </w:tcMar>
            <w:vAlign w:val="center"/>
          </w:tcPr>
          <w:p>
            <w:bookmarkStart w:id="3098" w:name="Table_13_3__Conversion_character"/>
            <w:pPr>
              <w:pStyle w:val="Para 011"/>
            </w:pPr>
            <w:r>
              <w:rPr>
                <w:rStyle w:val="Text117"/>
              </w:rPr>
              <w:t/>
            </w:r>
            <w:r>
              <w:t xml:space="preserve">Table 13-3. </w:t>
              <w:t xml:space="preserve">Conversion characters for </w:t>
            </w:r>
            <w:r>
              <w:rPr>
                <w:rStyle w:val="Text0"/>
              </w:rPr>
              <w:t>strftime</w:t>
            </w:r>
            <w:bookmarkEnd w:id="3098"/>
          </w:p>
          <w:p>
            <w:pPr>
              <w:pStyle w:val="Para 013"/>
            </w:pPr>
            <w:r>
              <w:t>Type char</w:t>
            </w:r>
          </w:p>
        </w:tc>
        <w:tc>
          <w:tcPr>
            <w:tcW w:type="auto" w:w="0"/>
            <w:tcMar>
              <w:left w:type="dxa" w:w="200"/>
              <w:top w:type="dxa" w:w="200"/>
              <w:right w:type="dxa" w:w="200"/>
              <w:bottom w:type="dxa" w:w="200"/>
            </w:tcMar>
            <w:vAlign w:val="center"/>
          </w:tcPr>
          <w:p>
            <w:pPr>
              <w:pStyle w:val="Para 013"/>
            </w:pPr>
            <w:r>
              <w:t>Meaning</w:t>
            </w:r>
          </w:p>
        </w:tc>
        <w:tc>
          <w:tcPr>
            <w:tcW w:type="auto" w:w="0"/>
            <w:tcMar>
              <w:left w:type="dxa" w:w="200"/>
              <w:top w:type="dxa" w:w="200"/>
              <w:right w:type="dxa" w:w="200"/>
              <w:bottom w:type="dxa" w:w="200"/>
            </w:tcMar>
            <w:vAlign w:val="center"/>
          </w:tcPr>
          <w:p>
            <w:pPr>
              <w:pStyle w:val="Para 013"/>
            </w:pPr>
            <w:r>
              <w:t>Special notes</w:t>
            </w:r>
          </w:p>
        </w:tc>
      </w:tr>
    </w:tbl>
    <w:tbl>
      <w:tblPr>
        <w:tblW w:type="auto" w:w="0"/>
      </w:tblPr>
      <w:tr>
        <w:tc>
          <w:tcPr>
            <w:tcW w:type="auto" w:w="0"/>
            <w:tcMar>
              <w:left w:type="dxa" w:w="200"/>
              <w:top w:type="dxa" w:w="200"/>
              <w:right w:type="dxa" w:w="200"/>
              <w:bottom w:type="dxa" w:w="200"/>
            </w:tcMar>
          </w:tcPr>
          <w:p>
            <w:pPr>
              <w:pStyle w:val="Para 001"/>
            </w:pPr>
            <w:r>
              <w:t>a</w:t>
            </w:r>
          </w:p>
        </w:tc>
        <w:tc>
          <w:tcPr>
            <w:tcW w:type="auto" w:w="0"/>
            <w:tcMar>
              <w:left w:type="dxa" w:w="200"/>
              <w:top w:type="dxa" w:w="200"/>
              <w:right w:type="dxa" w:w="200"/>
              <w:bottom w:type="dxa" w:w="200"/>
            </w:tcMar>
          </w:tcPr>
          <w:p>
            <w:pPr>
              <w:pStyle w:val="Para 002"/>
            </w:pPr>
            <w:r>
              <w:t>Weekday name, abbreviated</w:t>
            </w:r>
          </w:p>
        </w:tc>
        <w:tc>
          <w:tcPr>
            <w:tcW w:type="auto" w:w="0"/>
            <w:tcMar>
              <w:left w:type="dxa" w:w="200"/>
              <w:top w:type="dxa" w:w="200"/>
              <w:right w:type="dxa" w:w="200"/>
              <w:bottom w:type="dxa" w:w="200"/>
            </w:tcMar>
          </w:tcPr>
          <w:p>
            <w:pPr>
              <w:pStyle w:val="Para 002"/>
            </w:pPr>
            <w:r>
              <w:t>Depends on locale</w:t>
            </w:r>
          </w:p>
        </w:tc>
      </w:tr>
    </w:tbl>
    <w:tbl>
      <w:tblPr>
        <w:tblW w:type="auto" w:w="0"/>
      </w:tblPr>
      <w:tr>
        <w:tc>
          <w:tcPr>
            <w:tcW w:type="auto" w:w="0"/>
            <w:shd w:val="clear" w:color="auto" w:fill="EEF2F6"/>
            <w:tcMar>
              <w:left w:type="dxa" w:w="200"/>
              <w:top w:type="dxa" w:w="200"/>
              <w:right w:type="dxa" w:w="200"/>
              <w:bottom w:type="dxa" w:w="200"/>
            </w:tcMar>
          </w:tcPr>
          <w:p>
            <w:pPr>
              <w:pStyle w:val="Para 001"/>
            </w:pPr>
            <w:r>
              <w:t>A</w:t>
            </w:r>
          </w:p>
        </w:tc>
        <w:tc>
          <w:tcPr>
            <w:tcW w:type="auto" w:w="0"/>
            <w:shd w:val="clear" w:color="auto" w:fill="EEF2F6"/>
            <w:tcMar>
              <w:left w:type="dxa" w:w="200"/>
              <w:top w:type="dxa" w:w="200"/>
              <w:right w:type="dxa" w:w="200"/>
              <w:bottom w:type="dxa" w:w="200"/>
            </w:tcMar>
          </w:tcPr>
          <w:p>
            <w:pPr>
              <w:pStyle w:val="Para 002"/>
            </w:pPr>
            <w:r>
              <w:t>Weekday name, full</w:t>
            </w:r>
          </w:p>
        </w:tc>
        <w:tc>
          <w:tcPr>
            <w:tcW w:type="auto" w:w="0"/>
            <w:shd w:val="clear" w:color="auto" w:fill="EEF2F6"/>
            <w:tcMar>
              <w:left w:type="dxa" w:w="200"/>
              <w:top w:type="dxa" w:w="200"/>
              <w:right w:type="dxa" w:w="200"/>
              <w:bottom w:type="dxa" w:w="200"/>
            </w:tcMar>
          </w:tcPr>
          <w:p>
            <w:pPr>
              <w:pStyle w:val="Para 002"/>
            </w:pPr>
            <w:r>
              <w:t>Depends on locale</w:t>
            </w:r>
          </w:p>
        </w:tc>
      </w:tr>
    </w:tbl>
    <w:tbl>
      <w:tblPr>
        <w:tblW w:type="auto" w:w="0"/>
      </w:tblPr>
      <w:tr>
        <w:tc>
          <w:tcPr>
            <w:tcW w:type="auto" w:w="0"/>
            <w:tcMar>
              <w:left w:type="dxa" w:w="200"/>
              <w:top w:type="dxa" w:w="200"/>
              <w:right w:type="dxa" w:w="200"/>
              <w:bottom w:type="dxa" w:w="200"/>
            </w:tcMar>
          </w:tcPr>
          <w:p>
            <w:pPr>
              <w:pStyle w:val="Para 001"/>
            </w:pPr>
            <w:r>
              <w:t>b</w:t>
            </w:r>
          </w:p>
        </w:tc>
        <w:tc>
          <w:tcPr>
            <w:tcW w:type="auto" w:w="0"/>
            <w:tcMar>
              <w:left w:type="dxa" w:w="200"/>
              <w:top w:type="dxa" w:w="200"/>
              <w:right w:type="dxa" w:w="200"/>
              <w:bottom w:type="dxa" w:w="200"/>
            </w:tcMar>
          </w:tcPr>
          <w:p>
            <w:pPr>
              <w:pStyle w:val="Para 002"/>
            </w:pPr>
            <w:r>
              <w:t>Month name, abbreviated</w:t>
            </w:r>
          </w:p>
        </w:tc>
        <w:tc>
          <w:tcPr>
            <w:tcW w:type="auto" w:w="0"/>
            <w:tcMar>
              <w:left w:type="dxa" w:w="200"/>
              <w:top w:type="dxa" w:w="200"/>
              <w:right w:type="dxa" w:w="200"/>
              <w:bottom w:type="dxa" w:w="200"/>
            </w:tcMar>
          </w:tcPr>
          <w:p>
            <w:pPr>
              <w:pStyle w:val="Para 002"/>
            </w:pPr>
            <w:r>
              <w:t>Depends on locale</w:t>
            </w:r>
          </w:p>
        </w:tc>
      </w:tr>
    </w:tbl>
    <w:tbl>
      <w:tblPr>
        <w:tblW w:type="auto" w:w="0"/>
      </w:tblPr>
      <w:tr>
        <w:tc>
          <w:tcPr>
            <w:tcW w:type="auto" w:w="0"/>
            <w:shd w:val="clear" w:color="auto" w:fill="EEF2F6"/>
            <w:tcMar>
              <w:left w:type="dxa" w:w="200"/>
              <w:top w:type="dxa" w:w="200"/>
              <w:right w:type="dxa" w:w="200"/>
              <w:bottom w:type="dxa" w:w="200"/>
            </w:tcMar>
          </w:tcPr>
          <w:p>
            <w:pPr>
              <w:pStyle w:val="Para 001"/>
            </w:pPr>
            <w:r>
              <w:t>B</w:t>
            </w:r>
          </w:p>
        </w:tc>
        <w:tc>
          <w:tcPr>
            <w:tcW w:type="auto" w:w="0"/>
            <w:shd w:val="clear" w:color="auto" w:fill="EEF2F6"/>
            <w:tcMar>
              <w:left w:type="dxa" w:w="200"/>
              <w:top w:type="dxa" w:w="200"/>
              <w:right w:type="dxa" w:w="200"/>
              <w:bottom w:type="dxa" w:w="200"/>
            </w:tcMar>
          </w:tcPr>
          <w:p>
            <w:pPr>
              <w:pStyle w:val="Para 002"/>
            </w:pPr>
            <w:r>
              <w:t>Month name, full</w:t>
            </w:r>
          </w:p>
        </w:tc>
        <w:tc>
          <w:tcPr>
            <w:tcW w:type="auto" w:w="0"/>
            <w:shd w:val="clear" w:color="auto" w:fill="EEF2F6"/>
            <w:tcMar>
              <w:left w:type="dxa" w:w="200"/>
              <w:top w:type="dxa" w:w="200"/>
              <w:right w:type="dxa" w:w="200"/>
              <w:bottom w:type="dxa" w:w="200"/>
            </w:tcMar>
          </w:tcPr>
          <w:p>
            <w:pPr>
              <w:pStyle w:val="Para 002"/>
            </w:pPr>
            <w:r>
              <w:t>Depends on locale</w:t>
            </w:r>
          </w:p>
        </w:tc>
      </w:tr>
    </w:tbl>
    <w:tbl>
      <w:tblPr>
        <w:tblW w:type="auto" w:w="0"/>
      </w:tblPr>
      <w:tr>
        <w:tc>
          <w:tcPr>
            <w:tcW w:type="auto" w:w="0"/>
            <w:tcMar>
              <w:left w:type="dxa" w:w="200"/>
              <w:top w:type="dxa" w:w="200"/>
              <w:right w:type="dxa" w:w="200"/>
              <w:bottom w:type="dxa" w:w="200"/>
            </w:tcMar>
          </w:tcPr>
          <w:p>
            <w:pPr>
              <w:pStyle w:val="Para 001"/>
            </w:pPr>
            <w:r>
              <w:t>c</w:t>
            </w:r>
          </w:p>
        </w:tc>
        <w:tc>
          <w:tcPr>
            <w:tcW w:type="auto" w:w="0"/>
            <w:tcMar>
              <w:left w:type="dxa" w:w="200"/>
              <w:top w:type="dxa" w:w="200"/>
              <w:right w:type="dxa" w:w="200"/>
              <w:bottom w:type="dxa" w:w="200"/>
            </w:tcMar>
          </w:tcPr>
          <w:p>
            <w:pPr>
              <w:pStyle w:val="Para 002"/>
            </w:pPr>
            <w:r>
              <w:t>Complete date and time representation</w:t>
            </w:r>
          </w:p>
        </w:tc>
        <w:tc>
          <w:tcPr>
            <w:tcW w:type="auto" w:w="0"/>
            <w:tcMar>
              <w:left w:type="dxa" w:w="200"/>
              <w:top w:type="dxa" w:w="200"/>
              <w:right w:type="dxa" w:w="200"/>
              <w:bottom w:type="dxa" w:w="200"/>
            </w:tcMar>
          </w:tcPr>
          <w:p>
            <w:pPr>
              <w:pStyle w:val="Para 002"/>
            </w:pPr>
            <w:r>
              <w:t>Depends on locale</w:t>
            </w:r>
          </w:p>
        </w:tc>
      </w:tr>
    </w:tbl>
    <w:tbl>
      <w:tblPr>
        <w:tblW w:type="auto" w:w="0"/>
      </w:tblPr>
      <w:tr>
        <w:tc>
          <w:tcPr>
            <w:tcW w:type="auto" w:w="0"/>
            <w:shd w:val="clear" w:color="auto" w:fill="EEF2F6"/>
            <w:tcMar>
              <w:left w:type="dxa" w:w="200"/>
              <w:top w:type="dxa" w:w="200"/>
              <w:right w:type="dxa" w:w="200"/>
              <w:bottom w:type="dxa" w:w="200"/>
            </w:tcMar>
          </w:tcPr>
          <w:p>
            <w:pPr>
              <w:pStyle w:val="Para 001"/>
            </w:pPr>
            <w:r>
              <w:t>d</w:t>
            </w:r>
          </w:p>
        </w:tc>
        <w:tc>
          <w:tcPr>
            <w:tcW w:type="auto" w:w="0"/>
            <w:shd w:val="clear" w:color="auto" w:fill="EEF2F6"/>
            <w:tcMar>
              <w:left w:type="dxa" w:w="200"/>
              <w:top w:type="dxa" w:w="200"/>
              <w:right w:type="dxa" w:w="200"/>
              <w:bottom w:type="dxa" w:w="200"/>
            </w:tcMar>
          </w:tcPr>
          <w:p>
            <w:pPr>
              <w:pStyle w:val="Para 002"/>
            </w:pPr>
            <w:r>
              <w:t>Day of the month</w:t>
            </w:r>
          </w:p>
        </w:tc>
        <w:tc>
          <w:tcPr>
            <w:tcW w:type="auto" w:w="0"/>
            <w:shd w:val="clear" w:color="auto" w:fill="EEF2F6"/>
            <w:tcMar>
              <w:left w:type="dxa" w:w="200"/>
              <w:top w:type="dxa" w:w="200"/>
              <w:right w:type="dxa" w:w="200"/>
              <w:bottom w:type="dxa" w:w="200"/>
            </w:tcMar>
          </w:tcPr>
          <w:p>
            <w:pPr>
              <w:pStyle w:val="Para 002"/>
            </w:pPr>
            <w:r>
              <w:t>Between 1 and 31</w:t>
            </w:r>
          </w:p>
        </w:tc>
      </w:tr>
    </w:tbl>
    <w:tbl>
      <w:tblPr>
        <w:tblW w:type="auto" w:w="0"/>
      </w:tblPr>
      <w:tr>
        <w:tc>
          <w:tcPr>
            <w:tcW w:type="auto" w:w="0"/>
            <w:tcMar>
              <w:left w:type="dxa" w:w="200"/>
              <w:top w:type="dxa" w:w="200"/>
              <w:right w:type="dxa" w:w="200"/>
              <w:bottom w:type="dxa" w:w="200"/>
            </w:tcMar>
          </w:tcPr>
          <w:p>
            <w:pPr>
              <w:pStyle w:val="Para 001"/>
            </w:pPr>
            <w:r>
              <w:t>f</w:t>
            </w:r>
          </w:p>
        </w:tc>
        <w:tc>
          <w:tcPr>
            <w:tcW w:type="auto" w:w="0"/>
            <w:tcMar>
              <w:left w:type="dxa" w:w="200"/>
              <w:top w:type="dxa" w:w="200"/>
              <w:right w:type="dxa" w:w="200"/>
              <w:bottom w:type="dxa" w:w="200"/>
            </w:tcMar>
          </w:tcPr>
          <w:p>
            <w:pPr>
              <w:pStyle w:val="Para 002"/>
            </w:pPr>
            <w:r>
              <w:t>Microsecond as decimal, zero-padded to six digits</w:t>
            </w:r>
          </w:p>
        </w:tc>
        <w:tc>
          <w:tcPr>
            <w:tcW w:type="auto" w:w="0"/>
            <w:tcMar>
              <w:left w:type="dxa" w:w="200"/>
              <w:top w:type="dxa" w:w="200"/>
              <w:right w:type="dxa" w:w="200"/>
              <w:bottom w:type="dxa" w:w="200"/>
            </w:tcMar>
          </w:tcPr>
          <w:p>
            <w:pPr>
              <w:pStyle w:val="Para 002"/>
            </w:pPr>
            <w:r>
              <w:t>One to six digits</w:t>
            </w:r>
          </w:p>
        </w:tc>
      </w:tr>
    </w:tbl>
    <w:tbl>
      <w:tblPr>
        <w:tblW w:type="auto" w:w="0"/>
      </w:tblPr>
      <w:tr>
        <w:tc>
          <w:tcPr>
            <w:tcW w:type="auto" w:w="0"/>
            <w:shd w:val="clear" w:color="auto" w:fill="EEF2F6"/>
            <w:tcMar>
              <w:left w:type="dxa" w:w="200"/>
              <w:top w:type="dxa" w:w="200"/>
              <w:right w:type="dxa" w:w="200"/>
              <w:bottom w:type="dxa" w:w="200"/>
            </w:tcMar>
          </w:tcPr>
          <w:p>
            <w:pPr>
              <w:pStyle w:val="Para 001"/>
            </w:pPr>
            <w:r>
              <w:t>G</w:t>
            </w:r>
          </w:p>
        </w:tc>
        <w:tc>
          <w:tcPr>
            <w:tcW w:type="auto" w:w="0"/>
            <w:shd w:val="clear" w:color="auto" w:fill="EEF2F6"/>
            <w:tcMar>
              <w:left w:type="dxa" w:w="200"/>
              <w:top w:type="dxa" w:w="200"/>
              <w:right w:type="dxa" w:w="200"/>
              <w:bottom w:type="dxa" w:w="200"/>
            </w:tcMar>
          </w:tcPr>
          <w:p>
            <w:pPr>
              <w:pStyle w:val="Para 002"/>
            </w:pPr>
            <w:r>
              <w:t>ISO 8601:2000 standard week-based year number</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H</w:t>
            </w:r>
          </w:p>
        </w:tc>
        <w:tc>
          <w:tcPr>
            <w:tcW w:type="auto" w:w="0"/>
            <w:tcMar>
              <w:left w:type="dxa" w:w="200"/>
              <w:top w:type="dxa" w:w="200"/>
              <w:right w:type="dxa" w:w="200"/>
              <w:bottom w:type="dxa" w:w="200"/>
            </w:tcMar>
          </w:tcPr>
          <w:p>
            <w:pPr>
              <w:pStyle w:val="Para 002"/>
            </w:pPr>
            <w:r>
              <w:t>Hour (24-hour clock)</w:t>
            </w:r>
          </w:p>
        </w:tc>
        <w:tc>
          <w:tcPr>
            <w:tcW w:type="auto" w:w="0"/>
            <w:tcMar>
              <w:left w:type="dxa" w:w="200"/>
              <w:top w:type="dxa" w:w="200"/>
              <w:right w:type="dxa" w:w="200"/>
              <w:bottom w:type="dxa" w:w="200"/>
            </w:tcMar>
          </w:tcPr>
          <w:p>
            <w:pPr>
              <w:pStyle w:val="Para 002"/>
            </w:pPr>
            <w:r>
              <w:t>Between 0 and 23</w:t>
            </w:r>
          </w:p>
        </w:tc>
      </w:tr>
    </w:tbl>
    <w:tbl>
      <w:tblPr>
        <w:tblW w:type="auto" w:w="0"/>
      </w:tblPr>
      <w:tr>
        <w:tc>
          <w:tcPr>
            <w:tcW w:type="auto" w:w="0"/>
            <w:shd w:val="clear" w:color="auto" w:fill="EEF2F6"/>
            <w:tcMar>
              <w:left w:type="dxa" w:w="200"/>
              <w:top w:type="dxa" w:w="200"/>
              <w:right w:type="dxa" w:w="200"/>
              <w:bottom w:type="dxa" w:w="200"/>
            </w:tcMar>
          </w:tcPr>
          <w:p>
            <w:pPr>
              <w:pStyle w:val="Para 001"/>
            </w:pPr>
            <w:r>
              <w:t>I</w:t>
            </w:r>
          </w:p>
        </w:tc>
        <w:tc>
          <w:tcPr>
            <w:tcW w:type="auto" w:w="0"/>
            <w:shd w:val="clear" w:color="auto" w:fill="EEF2F6"/>
            <w:tcMar>
              <w:left w:type="dxa" w:w="200"/>
              <w:top w:type="dxa" w:w="200"/>
              <w:right w:type="dxa" w:w="200"/>
              <w:bottom w:type="dxa" w:w="200"/>
            </w:tcMar>
          </w:tcPr>
          <w:p>
            <w:pPr>
              <w:pStyle w:val="Para 002"/>
            </w:pPr>
            <w:r>
              <w:t>Hour (12-hour clock)</w:t>
            </w:r>
          </w:p>
        </w:tc>
        <w:tc>
          <w:tcPr>
            <w:tcW w:type="auto" w:w="0"/>
            <w:shd w:val="clear" w:color="auto" w:fill="EEF2F6"/>
            <w:tcMar>
              <w:left w:type="dxa" w:w="200"/>
              <w:top w:type="dxa" w:w="200"/>
              <w:right w:type="dxa" w:w="200"/>
              <w:bottom w:type="dxa" w:w="200"/>
            </w:tcMar>
          </w:tcPr>
          <w:p>
            <w:pPr>
              <w:pStyle w:val="Para 002"/>
            </w:pPr>
            <w:r>
              <w:t>Between 1 and 12</w:t>
            </w:r>
          </w:p>
        </w:tc>
      </w:tr>
    </w:tbl>
    <w:tbl>
      <w:tblPr>
        <w:tblW w:type="auto" w:w="0"/>
      </w:tblPr>
      <w:tr>
        <w:tc>
          <w:tcPr>
            <w:tcW w:type="auto" w:w="0"/>
            <w:tcMar>
              <w:left w:type="dxa" w:w="200"/>
              <w:top w:type="dxa" w:w="200"/>
              <w:right w:type="dxa" w:w="200"/>
              <w:bottom w:type="dxa" w:w="200"/>
            </w:tcMar>
          </w:tcPr>
          <w:p>
            <w:pPr>
              <w:pStyle w:val="Para 001"/>
            </w:pPr>
            <w:r>
              <w:t>j</w:t>
            </w:r>
          </w:p>
        </w:tc>
        <w:tc>
          <w:tcPr>
            <w:tcW w:type="auto" w:w="0"/>
            <w:tcMar>
              <w:left w:type="dxa" w:w="200"/>
              <w:top w:type="dxa" w:w="200"/>
              <w:right w:type="dxa" w:w="200"/>
              <w:bottom w:type="dxa" w:w="200"/>
            </w:tcMar>
          </w:tcPr>
          <w:p>
            <w:pPr>
              <w:pStyle w:val="Para 002"/>
            </w:pPr>
            <w:r>
              <w:t>Day of the year</w:t>
            </w:r>
          </w:p>
        </w:tc>
        <w:tc>
          <w:tcPr>
            <w:tcW w:type="auto" w:w="0"/>
            <w:tcMar>
              <w:left w:type="dxa" w:w="200"/>
              <w:top w:type="dxa" w:w="200"/>
              <w:right w:type="dxa" w:w="200"/>
              <w:bottom w:type="dxa" w:w="200"/>
            </w:tcMar>
          </w:tcPr>
          <w:p>
            <w:pPr>
              <w:pStyle w:val="Para 002"/>
            </w:pPr>
            <w:r>
              <w:t>Between 1 and 366</w:t>
            </w:r>
          </w:p>
        </w:tc>
      </w:tr>
    </w:tbl>
    <w:tbl>
      <w:tblPr>
        <w:tblW w:type="auto" w:w="0"/>
      </w:tblPr>
      <w:tr>
        <w:tc>
          <w:tcPr>
            <w:tcW w:type="auto" w:w="0"/>
            <w:shd w:val="clear" w:color="auto" w:fill="EEF2F6"/>
            <w:tcMar>
              <w:left w:type="dxa" w:w="200"/>
              <w:top w:type="dxa" w:w="200"/>
              <w:right w:type="dxa" w:w="200"/>
              <w:bottom w:type="dxa" w:w="200"/>
            </w:tcMar>
          </w:tcPr>
          <w:p>
            <w:pPr>
              <w:pStyle w:val="Para 001"/>
            </w:pPr>
            <w:r>
              <w:t>m</w:t>
            </w:r>
          </w:p>
        </w:tc>
        <w:tc>
          <w:tcPr>
            <w:tcW w:type="auto" w:w="0"/>
            <w:shd w:val="clear" w:color="auto" w:fill="EEF2F6"/>
            <w:tcMar>
              <w:left w:type="dxa" w:w="200"/>
              <w:top w:type="dxa" w:w="200"/>
              <w:right w:type="dxa" w:w="200"/>
              <w:bottom w:type="dxa" w:w="200"/>
            </w:tcMar>
          </w:tcPr>
          <w:p>
            <w:pPr>
              <w:pStyle w:val="Para 002"/>
            </w:pPr>
            <w:r>
              <w:t>Month number</w:t>
            </w:r>
          </w:p>
        </w:tc>
        <w:tc>
          <w:tcPr>
            <w:tcW w:type="auto" w:w="0"/>
            <w:shd w:val="clear" w:color="auto" w:fill="EEF2F6"/>
            <w:tcMar>
              <w:left w:type="dxa" w:w="200"/>
              <w:top w:type="dxa" w:w="200"/>
              <w:right w:type="dxa" w:w="200"/>
              <w:bottom w:type="dxa" w:w="200"/>
            </w:tcMar>
          </w:tcPr>
          <w:p>
            <w:pPr>
              <w:pStyle w:val="Para 002"/>
            </w:pPr>
            <w:r>
              <w:t>Between 1 and 12</w:t>
            </w:r>
          </w:p>
        </w:tc>
      </w:tr>
    </w:tbl>
    <w:tbl>
      <w:tblPr>
        <w:tblW w:type="auto" w:w="0"/>
      </w:tblPr>
      <w:tr>
        <w:tc>
          <w:tcPr>
            <w:tcW w:type="auto" w:w="0"/>
            <w:tcMar>
              <w:left w:type="dxa" w:w="200"/>
              <w:top w:type="dxa" w:w="200"/>
              <w:right w:type="dxa" w:w="200"/>
              <w:bottom w:type="dxa" w:w="200"/>
            </w:tcMar>
          </w:tcPr>
          <w:p>
            <w:pPr>
              <w:pStyle w:val="Para 001"/>
            </w:pPr>
            <w:r>
              <w:t>M</w:t>
            </w:r>
          </w:p>
        </w:tc>
        <w:tc>
          <w:tcPr>
            <w:tcW w:type="auto" w:w="0"/>
            <w:tcMar>
              <w:left w:type="dxa" w:w="200"/>
              <w:top w:type="dxa" w:w="200"/>
              <w:right w:type="dxa" w:w="200"/>
              <w:bottom w:type="dxa" w:w="200"/>
            </w:tcMar>
          </w:tcPr>
          <w:p>
            <w:pPr>
              <w:pStyle w:val="Para 002"/>
            </w:pPr>
            <w:r>
              <w:t>Minute number</w:t>
            </w:r>
          </w:p>
        </w:tc>
        <w:tc>
          <w:tcPr>
            <w:tcW w:type="auto" w:w="0"/>
            <w:tcMar>
              <w:left w:type="dxa" w:w="200"/>
              <w:top w:type="dxa" w:w="200"/>
              <w:right w:type="dxa" w:w="200"/>
              <w:bottom w:type="dxa" w:w="200"/>
            </w:tcMar>
          </w:tcPr>
          <w:p>
            <w:pPr>
              <w:pStyle w:val="Para 002"/>
            </w:pPr>
            <w:r>
              <w:t>Between 0 and 59</w:t>
            </w:r>
          </w:p>
        </w:tc>
      </w:tr>
    </w:tbl>
    <w:tbl>
      <w:tblPr>
        <w:tblW w:type="auto" w:w="0"/>
      </w:tblPr>
      <w:tr>
        <w:tc>
          <w:tcPr>
            <w:tcW w:type="auto" w:w="0"/>
            <w:shd w:val="clear" w:color="auto" w:fill="EEF2F6"/>
            <w:tcMar>
              <w:left w:type="dxa" w:w="200"/>
              <w:top w:type="dxa" w:w="200"/>
              <w:right w:type="dxa" w:w="200"/>
              <w:bottom w:type="dxa" w:w="200"/>
            </w:tcMar>
          </w:tcPr>
          <w:p>
            <w:pPr>
              <w:pStyle w:val="Para 001"/>
            </w:pPr>
            <w:r>
              <w:t>p</w:t>
            </w:r>
          </w:p>
        </w:tc>
        <w:tc>
          <w:tcPr>
            <w:tcW w:type="auto" w:w="0"/>
            <w:shd w:val="clear" w:color="auto" w:fill="EEF2F6"/>
            <w:tcMar>
              <w:left w:type="dxa" w:w="200"/>
              <w:top w:type="dxa" w:w="200"/>
              <w:right w:type="dxa" w:w="200"/>
              <w:bottom w:type="dxa" w:w="200"/>
            </w:tcMar>
          </w:tcPr>
          <w:p>
            <w:pPr>
              <w:pStyle w:val="Para 002"/>
            </w:pPr>
            <w:r>
              <w:t>A.M. or P.M. equivalent</w:t>
            </w:r>
          </w:p>
        </w:tc>
        <w:tc>
          <w:tcPr>
            <w:tcW w:type="auto" w:w="0"/>
            <w:shd w:val="clear" w:color="auto" w:fill="EEF2F6"/>
            <w:tcMar>
              <w:left w:type="dxa" w:w="200"/>
              <w:top w:type="dxa" w:w="200"/>
              <w:right w:type="dxa" w:w="200"/>
              <w:bottom w:type="dxa" w:w="200"/>
            </w:tcMar>
          </w:tcPr>
          <w:p>
            <w:pPr>
              <w:pStyle w:val="Para 002"/>
            </w:pPr>
            <w:r>
              <w:t>Depends on locale</w:t>
            </w:r>
          </w:p>
        </w:tc>
      </w:tr>
    </w:tbl>
    <w:tbl>
      <w:tblPr>
        <w:tblW w:type="auto" w:w="0"/>
      </w:tblPr>
      <w:tr>
        <w:tc>
          <w:tcPr>
            <w:tcW w:type="auto" w:w="0"/>
            <w:tcMar>
              <w:left w:type="dxa" w:w="200"/>
              <w:top w:type="dxa" w:w="200"/>
              <w:right w:type="dxa" w:w="200"/>
              <w:bottom w:type="dxa" w:w="200"/>
            </w:tcMar>
          </w:tcPr>
          <w:p>
            <w:pPr>
              <w:pStyle w:val="Para 001"/>
            </w:pPr>
            <w:r>
              <w:t>S</w:t>
            </w:r>
          </w:p>
        </w:tc>
        <w:tc>
          <w:tcPr>
            <w:tcW w:type="auto" w:w="0"/>
            <w:tcMar>
              <w:left w:type="dxa" w:w="200"/>
              <w:top w:type="dxa" w:w="200"/>
              <w:right w:type="dxa" w:w="200"/>
              <w:bottom w:type="dxa" w:w="200"/>
            </w:tcMar>
          </w:tcPr>
          <w:p>
            <w:pPr>
              <w:pStyle w:val="Para 002"/>
            </w:pPr>
            <w:r>
              <w:t>Second number</w:t>
            </w:r>
          </w:p>
        </w:tc>
        <w:tc>
          <w:tcPr>
            <w:tcW w:type="auto" w:w="0"/>
            <w:tcMar>
              <w:left w:type="dxa" w:w="200"/>
              <w:top w:type="dxa" w:w="200"/>
              <w:right w:type="dxa" w:w="200"/>
              <w:bottom w:type="dxa" w:w="200"/>
            </w:tcMar>
          </w:tcPr>
          <w:p>
            <w:pPr>
              <w:pStyle w:val="Para 002"/>
            </w:pPr>
            <w:r>
              <w:t>Between 0 and 61</w:t>
            </w:r>
          </w:p>
        </w:tc>
      </w:tr>
    </w:tbl>
    <w:tbl>
      <w:tblPr>
        <w:tblW w:type="auto" w:w="0"/>
      </w:tblPr>
      <w:tr>
        <w:tc>
          <w:tcPr>
            <w:tcW w:type="auto" w:w="0"/>
            <w:shd w:val="clear" w:color="auto" w:fill="EEF2F6"/>
            <w:tcMar>
              <w:left w:type="dxa" w:w="200"/>
              <w:top w:type="dxa" w:w="200"/>
              <w:right w:type="dxa" w:w="200"/>
              <w:bottom w:type="dxa" w:w="200"/>
            </w:tcMar>
          </w:tcPr>
          <w:p>
            <w:pPr>
              <w:pStyle w:val="Para 001"/>
            </w:pPr>
            <w:r>
              <w:t>u</w:t>
            </w:r>
          </w:p>
        </w:tc>
        <w:tc>
          <w:tcPr>
            <w:tcW w:type="auto" w:w="0"/>
            <w:shd w:val="clear" w:color="auto" w:fill="EEF2F6"/>
            <w:tcMar>
              <w:left w:type="dxa" w:w="200"/>
              <w:top w:type="dxa" w:w="200"/>
              <w:right w:type="dxa" w:w="200"/>
              <w:bottom w:type="dxa" w:w="200"/>
            </w:tcMar>
          </w:tcPr>
          <w:p>
            <w:pPr>
              <w:pStyle w:val="Para 002"/>
            </w:pPr>
            <w:r>
              <w:t>Day of week</w:t>
            </w:r>
          </w:p>
        </w:tc>
        <w:tc>
          <w:tcPr>
            <w:tcW w:type="auto" w:w="0"/>
            <w:shd w:val="clear" w:color="auto" w:fill="EEF2F6"/>
            <w:tcMar>
              <w:left w:type="dxa" w:w="200"/>
              <w:top w:type="dxa" w:w="200"/>
              <w:right w:type="dxa" w:w="200"/>
              <w:bottom w:type="dxa" w:w="200"/>
            </w:tcMar>
          </w:tcPr>
          <w:p>
            <w:pPr>
              <w:pStyle w:val="Para 002"/>
            </w:pPr>
            <w:r>
              <w:t>Monday is 1, up to 7</w:t>
            </w:r>
          </w:p>
        </w:tc>
      </w:tr>
    </w:tbl>
    <w:tbl>
      <w:tblPr>
        <w:tblW w:type="auto" w:w="0"/>
      </w:tblPr>
      <w:tr>
        <w:tc>
          <w:tcPr>
            <w:tcW w:type="auto" w:w="0"/>
            <w:tcMar>
              <w:left w:type="dxa" w:w="200"/>
              <w:top w:type="dxa" w:w="200"/>
              <w:right w:type="dxa" w:w="200"/>
              <w:bottom w:type="dxa" w:w="200"/>
            </w:tcMar>
          </w:tcPr>
          <w:p>
            <w:pPr>
              <w:pStyle w:val="Para 001"/>
            </w:pPr>
            <w:r>
              <w:t>U</w:t>
            </w:r>
          </w:p>
        </w:tc>
        <w:tc>
          <w:tcPr>
            <w:tcW w:type="auto" w:w="0"/>
            <w:tcMar>
              <w:left w:type="dxa" w:w="200"/>
              <w:top w:type="dxa" w:w="200"/>
              <w:right w:type="dxa" w:w="200"/>
              <w:bottom w:type="dxa" w:w="200"/>
            </w:tcMar>
          </w:tcPr>
          <w:p>
            <w:pPr>
              <w:pStyle w:val="Para 002"/>
            </w:pPr>
            <w:r>
              <w:t>Week number (Sunday first weekday)</w:t>
            </w:r>
          </w:p>
        </w:tc>
        <w:tc>
          <w:tcPr>
            <w:tcW w:type="auto" w:w="0"/>
            <w:tcMar>
              <w:left w:type="dxa" w:w="200"/>
              <w:top w:type="dxa" w:w="200"/>
              <w:right w:type="dxa" w:w="200"/>
              <w:bottom w:type="dxa" w:w="200"/>
            </w:tcMar>
          </w:tcPr>
          <w:p>
            <w:pPr>
              <w:pStyle w:val="Para 002"/>
            </w:pPr>
            <w:r>
              <w:t>Between 0 and 53</w:t>
            </w:r>
          </w:p>
        </w:tc>
      </w:tr>
    </w:tbl>
    <w:tbl>
      <w:tblPr>
        <w:tblW w:type="auto" w:w="0"/>
      </w:tblPr>
      <w:tr>
        <w:tc>
          <w:tcPr>
            <w:tcW w:type="auto" w:w="0"/>
            <w:shd w:val="clear" w:color="auto" w:fill="EEF2F6"/>
            <w:tcMar>
              <w:left w:type="dxa" w:w="200"/>
              <w:top w:type="dxa" w:w="200"/>
              <w:right w:type="dxa" w:w="200"/>
              <w:bottom w:type="dxa" w:w="200"/>
            </w:tcMar>
          </w:tcPr>
          <w:p>
            <w:pPr>
              <w:pStyle w:val="Para 001"/>
            </w:pPr>
            <w:r>
              <w:t>V</w:t>
            </w:r>
          </w:p>
        </w:tc>
        <w:tc>
          <w:tcPr>
            <w:tcW w:type="auto" w:w="0"/>
            <w:shd w:val="clear" w:color="auto" w:fill="EEF2F6"/>
            <w:tcMar>
              <w:left w:type="dxa" w:w="200"/>
              <w:top w:type="dxa" w:w="200"/>
              <w:right w:type="dxa" w:w="200"/>
              <w:bottom w:type="dxa" w:w="200"/>
            </w:tcMar>
          </w:tcPr>
          <w:p>
            <w:pPr>
              <w:pStyle w:val="Para 002"/>
            </w:pPr>
            <w:r>
              <w:t>ISO 8601:2000 standard week-based week number</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w</w:t>
            </w:r>
          </w:p>
        </w:tc>
        <w:tc>
          <w:tcPr>
            <w:tcW w:type="auto" w:w="0"/>
            <w:tcMar>
              <w:left w:type="dxa" w:w="200"/>
              <w:top w:type="dxa" w:w="200"/>
              <w:right w:type="dxa" w:w="200"/>
              <w:bottom w:type="dxa" w:w="200"/>
            </w:tcMar>
          </w:tcPr>
          <w:p>
            <w:pPr>
              <w:pStyle w:val="Para 002"/>
            </w:pPr>
            <w:r>
              <w:t>Weekday number</w:t>
            </w:r>
          </w:p>
        </w:tc>
        <w:tc>
          <w:tcPr>
            <w:tcW w:type="auto" w:w="0"/>
            <w:tcMar>
              <w:left w:type="dxa" w:w="200"/>
              <w:top w:type="dxa" w:w="200"/>
              <w:right w:type="dxa" w:w="200"/>
              <w:bottom w:type="dxa" w:w="200"/>
            </w:tcMar>
          </w:tcPr>
          <w:p>
            <w:pPr>
              <w:pStyle w:val="Para 002"/>
            </w:pPr>
            <w:r>
              <w:t>0 is Sunday, up to 6</w:t>
            </w:r>
          </w:p>
        </w:tc>
      </w:tr>
    </w:tbl>
    <w:tbl>
      <w:tblPr>
        <w:tblW w:type="auto" w:w="0"/>
      </w:tblPr>
      <w:tr>
        <w:tc>
          <w:tcPr>
            <w:tcW w:type="auto" w:w="0"/>
            <w:shd w:val="clear" w:color="auto" w:fill="EEF2F6"/>
            <w:tcMar>
              <w:left w:type="dxa" w:w="200"/>
              <w:top w:type="dxa" w:w="200"/>
              <w:right w:type="dxa" w:w="200"/>
              <w:bottom w:type="dxa" w:w="200"/>
            </w:tcMar>
          </w:tcPr>
          <w:p>
            <w:pPr>
              <w:pStyle w:val="Para 001"/>
            </w:pPr>
            <w:r>
              <w:t>W</w:t>
            </w:r>
          </w:p>
        </w:tc>
        <w:tc>
          <w:tcPr>
            <w:tcW w:type="auto" w:w="0"/>
            <w:shd w:val="clear" w:color="auto" w:fill="EEF2F6"/>
            <w:tcMar>
              <w:left w:type="dxa" w:w="200"/>
              <w:top w:type="dxa" w:w="200"/>
              <w:right w:type="dxa" w:w="200"/>
              <w:bottom w:type="dxa" w:w="200"/>
            </w:tcMar>
          </w:tcPr>
          <w:p>
            <w:pPr>
              <w:pStyle w:val="Para 002"/>
            </w:pPr>
            <w:r>
              <w:t>Week number (Monday first weekday)</w:t>
            </w:r>
          </w:p>
        </w:tc>
        <w:tc>
          <w:tcPr>
            <w:tcW w:type="auto" w:w="0"/>
            <w:shd w:val="clear" w:color="auto" w:fill="EEF2F6"/>
            <w:tcMar>
              <w:left w:type="dxa" w:w="200"/>
              <w:top w:type="dxa" w:w="200"/>
              <w:right w:type="dxa" w:w="200"/>
              <w:bottom w:type="dxa" w:w="200"/>
            </w:tcMar>
          </w:tcPr>
          <w:p>
            <w:pPr>
              <w:pStyle w:val="Para 002"/>
            </w:pPr>
            <w:r>
              <w:t>Between 0 and 53</w:t>
            </w:r>
          </w:p>
        </w:tc>
      </w:tr>
    </w:tbl>
    <w:tbl>
      <w:tblPr>
        <w:tblW w:type="auto" w:w="0"/>
      </w:tblPr>
      <w:tr>
        <w:tc>
          <w:tcPr>
            <w:tcW w:type="auto" w:w="0"/>
            <w:tcMar>
              <w:left w:type="dxa" w:w="200"/>
              <w:top w:type="dxa" w:w="200"/>
              <w:right w:type="dxa" w:w="200"/>
              <w:bottom w:type="dxa" w:w="200"/>
            </w:tcMar>
          </w:tcPr>
          <w:p>
            <w:pPr>
              <w:pStyle w:val="Para 001"/>
            </w:pPr>
            <w:r>
              <w:t>x</w:t>
            </w:r>
          </w:p>
        </w:tc>
        <w:tc>
          <w:tcPr>
            <w:tcW w:type="auto" w:w="0"/>
            <w:tcMar>
              <w:left w:type="dxa" w:w="200"/>
              <w:top w:type="dxa" w:w="200"/>
              <w:right w:type="dxa" w:w="200"/>
              <w:bottom w:type="dxa" w:w="200"/>
            </w:tcMar>
          </w:tcPr>
          <w:p>
            <w:pPr>
              <w:pStyle w:val="Para 002"/>
            </w:pPr>
            <w:r>
              <w:t>Complete date representation</w:t>
            </w:r>
          </w:p>
        </w:tc>
        <w:tc>
          <w:tcPr>
            <w:tcW w:type="auto" w:w="0"/>
            <w:tcMar>
              <w:left w:type="dxa" w:w="200"/>
              <w:top w:type="dxa" w:w="200"/>
              <w:right w:type="dxa" w:w="200"/>
              <w:bottom w:type="dxa" w:w="200"/>
            </w:tcMar>
          </w:tcPr>
          <w:p>
            <w:pPr>
              <w:pStyle w:val="Para 002"/>
            </w:pPr>
            <w:r>
              <w:t>Depends on locale</w:t>
            </w:r>
          </w:p>
        </w:tc>
      </w:tr>
    </w:tbl>
    <w:tbl>
      <w:tblPr>
        <w:tblW w:type="auto" w:w="0"/>
      </w:tblPr>
      <w:tr>
        <w:tc>
          <w:tcPr>
            <w:tcW w:type="auto" w:w="0"/>
            <w:shd w:val="clear" w:color="auto" w:fill="EEF2F6"/>
            <w:tcMar>
              <w:left w:type="dxa" w:w="200"/>
              <w:top w:type="dxa" w:w="200"/>
              <w:right w:type="dxa" w:w="200"/>
              <w:bottom w:type="dxa" w:w="200"/>
            </w:tcMar>
          </w:tcPr>
          <w:p>
            <w:pPr>
              <w:pStyle w:val="Para 001"/>
            </w:pPr>
            <w:r>
              <w:t>X</w:t>
            </w:r>
          </w:p>
        </w:tc>
        <w:tc>
          <w:tcPr>
            <w:tcW w:type="auto" w:w="0"/>
            <w:shd w:val="clear" w:color="auto" w:fill="EEF2F6"/>
            <w:tcMar>
              <w:left w:type="dxa" w:w="200"/>
              <w:top w:type="dxa" w:w="200"/>
              <w:right w:type="dxa" w:w="200"/>
              <w:bottom w:type="dxa" w:w="200"/>
            </w:tcMar>
          </w:tcPr>
          <w:p>
            <w:pPr>
              <w:pStyle w:val="Para 002"/>
            </w:pPr>
            <w:r>
              <w:t>Complete time representation</w:t>
            </w:r>
          </w:p>
        </w:tc>
        <w:tc>
          <w:tcPr>
            <w:tcW w:type="auto" w:w="0"/>
            <w:shd w:val="clear" w:color="auto" w:fill="EEF2F6"/>
            <w:tcMar>
              <w:left w:type="dxa" w:w="200"/>
              <w:top w:type="dxa" w:w="200"/>
              <w:right w:type="dxa" w:w="200"/>
              <w:bottom w:type="dxa" w:w="200"/>
            </w:tcMar>
          </w:tcPr>
          <w:p>
            <w:pPr>
              <w:pStyle w:val="Para 002"/>
            </w:pPr>
            <w:r>
              <w:t>Depends on locale</w:t>
            </w:r>
          </w:p>
        </w:tc>
      </w:tr>
    </w:tbl>
    <w:tbl>
      <w:tblPr>
        <w:tblW w:type="auto" w:w="0"/>
      </w:tblPr>
      <w:tr>
        <w:tc>
          <w:tcPr>
            <w:tcW w:type="auto" w:w="0"/>
            <w:tcMar>
              <w:left w:type="dxa" w:w="200"/>
              <w:top w:type="dxa" w:w="200"/>
              <w:right w:type="dxa" w:w="200"/>
              <w:bottom w:type="dxa" w:w="200"/>
            </w:tcMar>
          </w:tcPr>
          <w:p>
            <w:pPr>
              <w:pStyle w:val="Para 001"/>
            </w:pPr>
            <w:r>
              <w:t>y</w:t>
            </w:r>
          </w:p>
        </w:tc>
        <w:tc>
          <w:tcPr>
            <w:tcW w:type="auto" w:w="0"/>
            <w:tcMar>
              <w:left w:type="dxa" w:w="200"/>
              <w:top w:type="dxa" w:w="200"/>
              <w:right w:type="dxa" w:w="200"/>
              <w:bottom w:type="dxa" w:w="200"/>
            </w:tcMar>
          </w:tcPr>
          <w:p>
            <w:pPr>
              <w:pStyle w:val="Para 002"/>
            </w:pPr>
            <w:r>
              <w:t>Year number within century</w:t>
            </w:r>
          </w:p>
        </w:tc>
        <w:tc>
          <w:tcPr>
            <w:tcW w:type="auto" w:w="0"/>
            <w:tcMar>
              <w:left w:type="dxa" w:w="200"/>
              <w:top w:type="dxa" w:w="200"/>
              <w:right w:type="dxa" w:w="200"/>
              <w:bottom w:type="dxa" w:w="200"/>
            </w:tcMar>
          </w:tcPr>
          <w:p>
            <w:pPr>
              <w:pStyle w:val="Para 002"/>
            </w:pPr>
            <w:r>
              <w:t>Between 0 and 99</w:t>
            </w:r>
          </w:p>
        </w:tc>
      </w:tr>
    </w:tbl>
    <w:tbl>
      <w:tblPr>
        <w:tblW w:type="auto" w:w="0"/>
      </w:tblPr>
      <w:tr>
        <w:tc>
          <w:tcPr>
            <w:tcW w:type="auto" w:w="0"/>
            <w:shd w:val="clear" w:color="auto" w:fill="EEF2F6"/>
            <w:tcMar>
              <w:left w:type="dxa" w:w="200"/>
              <w:top w:type="dxa" w:w="200"/>
              <w:right w:type="dxa" w:w="200"/>
              <w:bottom w:type="dxa" w:w="200"/>
            </w:tcMar>
          </w:tcPr>
          <w:p>
            <w:pPr>
              <w:pStyle w:val="Para 001"/>
            </w:pPr>
            <w:r>
              <w:t>Y</w:t>
            </w:r>
          </w:p>
        </w:tc>
        <w:tc>
          <w:tcPr>
            <w:tcW w:type="auto" w:w="0"/>
            <w:shd w:val="clear" w:color="auto" w:fill="EEF2F6"/>
            <w:tcMar>
              <w:left w:type="dxa" w:w="200"/>
              <w:top w:type="dxa" w:w="200"/>
              <w:right w:type="dxa" w:w="200"/>
              <w:bottom w:type="dxa" w:w="200"/>
            </w:tcMar>
          </w:tcPr>
          <w:p>
            <w:pPr>
              <w:pStyle w:val="Para 002"/>
            </w:pPr>
            <w:r>
              <w:t>Year number</w:t>
            </w:r>
          </w:p>
        </w:tc>
        <w:tc>
          <w:tcPr>
            <w:tcW w:type="auto" w:w="0"/>
            <w:shd w:val="clear" w:color="auto" w:fill="EEF2F6"/>
            <w:tcMar>
              <w:left w:type="dxa" w:w="200"/>
              <w:top w:type="dxa" w:w="200"/>
              <w:right w:type="dxa" w:w="200"/>
              <w:bottom w:type="dxa" w:w="200"/>
            </w:tcMar>
          </w:tcPr>
          <w:p>
            <w:pPr>
              <w:pStyle w:val="Para 002"/>
            </w:pPr>
            <w:r>
              <w:t>1970 to 2038, or wider</w:t>
            </w:r>
          </w:p>
        </w:tc>
      </w:tr>
    </w:tbl>
    <w:tbl>
      <w:tblPr>
        <w:tblW w:type="auto" w:w="0"/>
      </w:tblPr>
      <w:tr>
        <w:tc>
          <w:tcPr>
            <w:tcW w:type="auto" w:w="0"/>
            <w:tcMar>
              <w:left w:type="dxa" w:w="200"/>
              <w:top w:type="dxa" w:w="200"/>
              <w:right w:type="dxa" w:w="200"/>
              <w:bottom w:type="dxa" w:w="200"/>
            </w:tcMar>
          </w:tcPr>
          <w:p>
            <w:pPr>
              <w:pStyle w:val="Para 001"/>
            </w:pPr>
            <w:r>
              <w:t>z</w:t>
            </w:r>
          </w:p>
        </w:tc>
        <w:tc>
          <w:tcPr>
            <w:tcW w:type="auto" w:w="0"/>
            <w:tcMar>
              <w:left w:type="dxa" w:w="200"/>
              <w:top w:type="dxa" w:w="200"/>
              <w:right w:type="dxa" w:w="200"/>
              <w:bottom w:type="dxa" w:w="200"/>
            </w:tcMar>
          </w:tcPr>
          <w:p>
            <w:pPr>
              <w:pStyle w:val="Para 002"/>
            </w:pPr>
            <w:r>
              <w:t>UTC offset as a string: ±HHMM[SS[.ffffff]]</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Z</w:t>
            </w:r>
          </w:p>
        </w:tc>
        <w:tc>
          <w:tcPr>
            <w:tcW w:type="auto" w:w="0"/>
            <w:shd w:val="clear" w:color="auto" w:fill="EEF2F6"/>
            <w:tcMar>
              <w:left w:type="dxa" w:w="200"/>
              <w:top w:type="dxa" w:w="200"/>
              <w:right w:type="dxa" w:w="200"/>
              <w:bottom w:type="dxa" w:w="200"/>
            </w:tcMar>
          </w:tcPr>
          <w:p>
            <w:pPr>
              <w:pStyle w:val="Para 002"/>
            </w:pPr>
            <w:r>
              <w:t>Name of time zone</w:t>
            </w:r>
          </w:p>
        </w:tc>
        <w:tc>
          <w:tcPr>
            <w:tcW w:type="auto" w:w="0"/>
            <w:shd w:val="clear" w:color="auto" w:fill="EEF2F6"/>
            <w:tcMar>
              <w:left w:type="dxa" w:w="200"/>
              <w:top w:type="dxa" w:w="200"/>
              <w:right w:type="dxa" w:w="200"/>
              <w:bottom w:type="dxa" w:w="200"/>
            </w:tcMar>
          </w:tcPr>
          <w:p>
            <w:pPr>
              <w:pStyle w:val="Para 002"/>
            </w:pPr>
            <w:r>
              <w:t>Empty if no time zone exists</w:t>
            </w:r>
          </w:p>
        </w:tc>
      </w:tr>
    </w:tbl>
    <w:tbl>
      <w:tblPr>
        <w:tblW w:type="auto" w:w="0"/>
      </w:tblPr>
      <w:tr>
        <w:tc>
          <w:tcPr>
            <w:tcW w:type="auto" w:w="0"/>
            <w:tcMar>
              <w:left w:type="dxa" w:w="200"/>
              <w:top w:type="dxa" w:w="200"/>
              <w:right w:type="dxa" w:w="200"/>
              <w:bottom w:type="dxa" w:w="200"/>
            </w:tcMar>
          </w:tcPr>
          <w:p>
            <w:pPr>
              <w:pStyle w:val="Para 001"/>
            </w:pPr>
            <w:r>
              <w:t>%</w:t>
            </w:r>
          </w:p>
        </w:tc>
        <w:tc>
          <w:tcPr>
            <w:tcW w:type="auto" w:w="0"/>
            <w:tcMar>
              <w:left w:type="dxa" w:w="200"/>
              <w:top w:type="dxa" w:w="200"/>
              <w:right w:type="dxa" w:w="200"/>
              <w:bottom w:type="dxa" w:w="200"/>
            </w:tcMar>
          </w:tcPr>
          <w:p>
            <w:pPr>
              <w:pStyle w:val="Para 002"/>
            </w:pPr>
            <w:r>
              <w:t>A literal % character</w:t>
            </w:r>
          </w:p>
        </w:tc>
        <w:tc>
          <w:tcPr>
            <w:tcW w:type="auto" w:w="0"/>
            <w:tcMar>
              <w:left w:type="dxa" w:w="200"/>
              <w:top w:type="dxa" w:w="200"/>
              <w:right w:type="dxa" w:w="200"/>
              <w:bottom w:type="dxa" w:w="200"/>
            </w:tcMar>
          </w:tcPr>
          <w:p>
            <w:pPr>
              <w:pStyle w:val="Para 002"/>
            </w:pPr>
            <w:r>
              <w:t xml:space="preserve">Encoded as </w:t>
            </w:r>
            <w:r>
              <w:rPr>
                <w:rStyle w:val="Text0"/>
              </w:rPr>
              <w:t>%%</w:t>
            </w:r>
          </w:p>
        </w:tc>
      </w:tr>
    </w:tbl>
    <w:p>
      <w:bookmarkStart w:id="3099" w:name="The_datetime_Module__datetime_pr"/>
      <w:pPr>
        <w:keepNext/>
        <w:pStyle w:val="Heading 1"/>
      </w:pPr>
      <w:r>
        <w:t>The datetime Module</w:t>
      </w:r>
      <w:bookmarkEnd w:id="3099"/>
    </w:p>
    <w:p>
      <w:pPr>
        <w:pStyle w:val="Normal"/>
      </w:pPr>
      <w:r>
        <w:rPr>
          <w:rStyle w:val="Text0"/>
        </w:rPr>
        <w:t>datetime</w:t>
      </w:r>
      <w:r>
        <w:t xml:space="preserve"> provides</w:t>
      </w:r>
      <w:r>
        <w:rPr>
          <w:rStyle w:val="Text111"/>
        </w:rPr>
        <w:bookmarkStart w:id="3100" w:name="TOdatetime13"/>
        <w:t/>
        <w:bookmarkEnd w:id="3100"/>
        <w:bookmarkStart w:id="3101" w:name="datetimemod13"/>
        <w:t/>
        <w:bookmarkEnd w:id="3101"/>
        <w:bookmarkStart w:id="3102" w:name="SLBdatetime13"/>
        <w:t/>
        <w:bookmarkEnd w:id="3102"/>
      </w:r>
      <w:r>
        <w:t xml:space="preserve"> classes for modeling date and time objects, which can be either</w:t>
      </w:r>
      <w:r>
        <w:rPr>
          <w:rStyle w:val="Text111"/>
        </w:rPr>
        <w:bookmarkStart w:id="3103" w:name="idm45965196609984"/>
        <w:t/>
        <w:bookmarkEnd w:id="3103"/>
      </w:r>
      <w:r>
        <w:t xml:space="preserve"> </w:t>
      </w:r>
      <w:r>
        <w:rPr>
          <w:rStyle w:val="Text4"/>
        </w:rPr>
        <w:t>aware</w:t>
      </w:r>
      <w:r>
        <w:t xml:space="preserve"> of</w:t>
      </w:r>
      <w:r>
        <w:rPr>
          <w:rStyle w:val="Text111"/>
        </w:rPr>
        <w:bookmarkStart w:id="3104" w:name="idm45965196608304"/>
        <w:t/>
        <w:bookmarkEnd w:id="3104"/>
      </w:r>
      <w:r>
        <w:t xml:space="preserve"> time zones or </w:t>
      </w:r>
      <w:r>
        <w:rPr>
          <w:rStyle w:val="Text4"/>
        </w:rPr>
        <w:t>naive</w:t>
      </w:r>
      <w:r>
        <w:t xml:space="preserve"> (the default). The class </w:t>
      </w:r>
      <w:r>
        <w:rPr>
          <w:rStyle w:val="Text0"/>
        </w:rPr>
        <w:t>tzinfo</w:t>
      </w:r>
      <w:r>
        <w:t xml:space="preserve">, whose instances model a time zone, is abstract: the </w:t>
      </w:r>
      <w:r>
        <w:rPr>
          <w:rStyle w:val="Text0"/>
        </w:rPr>
        <w:t>datetime</w:t>
      </w:r>
      <w:r>
        <w:t xml:space="preserve"> module supplies only one simple implementation, </w:t>
      </w:r>
      <w:r>
        <w:rPr>
          <w:rStyle w:val="Text0"/>
        </w:rPr>
        <w:t>datetime.timezone</w:t>
      </w:r>
      <w:r>
        <w:t xml:space="preserve"> (for all the gory details, see the </w:t>
      </w:r>
      <w:hyperlink r:id="rId423">
        <w:r>
          <w:rPr>
            <w:rStyle w:val="Text1"/>
          </w:rPr>
          <w:t>online docs</w:t>
        </w:r>
      </w:hyperlink>
      <w:r>
        <w:t xml:space="preserve">). The </w:t>
      </w:r>
      <w:r>
        <w:rPr>
          <w:rStyle w:val="Text0"/>
        </w:rPr>
        <w:t>zoneinfo</w:t>
      </w:r>
      <w:r>
        <w:t xml:space="preserve"> module, covered in the following section, offers a richer concrete implementation of </w:t>
      </w:r>
      <w:r>
        <w:rPr>
          <w:rStyle w:val="Text0"/>
        </w:rPr>
        <w:t>tzinfo</w:t>
      </w:r>
      <w:r>
        <w:t xml:space="preserve">, which lets you easily create time zone-aware </w:t>
      </w:r>
      <w:r>
        <w:rPr>
          <w:rStyle w:val="Text0"/>
        </w:rPr>
        <w:t>datetime</w:t>
      </w:r>
      <w:r>
        <w:t xml:space="preserve"> objects. All types in </w:t>
      </w:r>
      <w:r>
        <w:rPr>
          <w:rStyle w:val="Text0"/>
        </w:rPr>
        <w:t>datetime</w:t>
      </w:r>
      <w:r>
        <w:t xml:space="preserve"> have immutable instances: attributes are read-only, instances can be keys in a </w:t>
      </w:r>
      <w:r>
        <w:rPr>
          <w:rStyle w:val="Text0"/>
        </w:rPr>
        <w:t>dict</w:t>
      </w:r>
      <w:r>
        <w:t xml:space="preserve"> or items in a </w:t>
      </w:r>
      <w:r>
        <w:rPr>
          <w:rStyle w:val="Text0"/>
        </w:rPr>
        <w:t>set</w:t>
      </w:r>
      <w:r>
        <w:t>, and all functions and methods return new objects, never altering objects passed as arguments.</w:t>
      </w:r>
    </w:p>
    <w:p>
      <w:bookmarkStart w:id="3105" w:name="The_date_Class__Instances_of_the"/>
      <w:pPr>
        <w:keepNext/>
        <w:pStyle w:val="Heading 2"/>
      </w:pPr>
      <w:r>
        <w:t>The date Class</w:t>
      </w:r>
      <w:bookmarkEnd w:id="3105"/>
    </w:p>
    <w:p>
      <w:pPr>
        <w:pStyle w:val="Normal"/>
      </w:pPr>
      <w:r>
        <w:t>Instances</w:t>
      </w:r>
      <w:r>
        <w:rPr>
          <w:rStyle w:val="Text111"/>
        </w:rPr>
        <w:bookmarkStart w:id="3106" w:name="idm45965196597456"/>
        <w:t/>
        <w:bookmarkEnd w:id="3106"/>
        <w:bookmarkStart w:id="3107" w:name="dateclass13"/>
        <w:t/>
        <w:bookmarkEnd w:id="3107"/>
      </w:r>
      <w:r>
        <w:t xml:space="preserve"> of the </w:t>
      </w:r>
      <w:r>
        <w:rPr>
          <w:rStyle w:val="Text0"/>
        </w:rPr>
        <w:t>date</w:t>
      </w:r>
      <w:r>
        <w:t xml:space="preserve"> class represent a date (no time of day in particular within that date) between </w:t>
      </w:r>
      <w:r>
        <w:rPr>
          <w:rStyle w:val="Text0"/>
        </w:rPr>
        <w:t>date.min &lt;= d &lt;= date.max</w:t>
      </w:r>
      <w:r>
        <w:t xml:space="preserve">, are always naive, and assume the Gregorian calendar was always in effect. </w:t>
      </w:r>
      <w:r>
        <w:rPr>
          <w:rStyle w:val="Text0"/>
        </w:rPr>
        <w:t>date</w:t>
      </w:r>
      <w:r>
        <w:t xml:space="preserve"> instances have three read-only integer attributes: </w:t>
      </w:r>
      <w:r>
        <w:rPr>
          <w:rStyle w:val="Text3"/>
        </w:rPr>
        <w:t>year</w:t>
      </w:r>
      <w:r>
        <w:t xml:space="preserve">, </w:t>
      </w:r>
      <w:r>
        <w:rPr>
          <w:rStyle w:val="Text3"/>
        </w:rPr>
        <w:t>month</w:t>
      </w:r>
      <w:r>
        <w:t xml:space="preserve">, and </w:t>
      </w:r>
      <w:r>
        <w:rPr>
          <w:rStyle w:val="Text3"/>
        </w:rPr>
        <w:t>day</w:t>
      </w:r>
      <w:r>
        <w:t>. The constructor for this class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date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date(</w:t>
            </w:r>
            <w:r>
              <w:rPr>
                <w:rStyle w:val="Text3"/>
              </w:rPr>
              <w:t>year, month, day</w:t>
            </w:r>
            <w:r>
              <w:rPr>
                <w:rStyle w:val="Text0"/>
              </w:rPr>
              <w:t>)</w:t>
              <w:br w:clear="none"/>
            </w:r>
            <w:r>
              <w:t xml:space="preserve"> Returns a date object for the given </w:t>
            </w:r>
            <w:r>
              <w:rPr>
                <w:rStyle w:val="Text3"/>
              </w:rPr>
              <w:t>year</w:t>
            </w:r>
            <w:r>
              <w:t xml:space="preserve">, </w:t>
            </w:r>
            <w:r>
              <w:rPr>
                <w:rStyle w:val="Text3"/>
              </w:rPr>
              <w:t>month</w:t>
            </w:r>
            <w:r>
              <w:t xml:space="preserve">, and </w:t>
            </w:r>
            <w:r>
              <w:rPr>
                <w:rStyle w:val="Text3"/>
              </w:rPr>
              <w:t>day</w:t>
            </w:r>
            <w:r>
              <w:t xml:space="preserve"> arguments, in the valid ranges </w:t>
            </w:r>
            <w:r>
              <w:rPr>
                <w:rStyle w:val="Text0"/>
              </w:rPr>
              <w:t>1 &lt;=</w:t>
            </w:r>
            <w:r>
              <w:t xml:space="preserve"> </w:t>
            </w:r>
            <w:r>
              <w:rPr>
                <w:rStyle w:val="Text3"/>
              </w:rPr>
              <w:t>year</w:t>
            </w:r>
            <w:r>
              <w:t xml:space="preserve"> </w:t>
            </w:r>
            <w:r>
              <w:rPr>
                <w:rStyle w:val="Text0"/>
              </w:rPr>
              <w:t>&lt;= 9999</w:t>
            </w:r>
            <w:r>
              <w:t xml:space="preserve">, </w:t>
            </w:r>
            <w:r>
              <w:rPr>
                <w:rStyle w:val="Text0"/>
              </w:rPr>
              <w:t>1 &lt;=</w:t>
            </w:r>
            <w:r>
              <w:t xml:space="preserve"> </w:t>
            </w:r>
            <w:r>
              <w:rPr>
                <w:rStyle w:val="Text3"/>
              </w:rPr>
              <w:t>month</w:t>
            </w:r>
            <w:r>
              <w:t xml:space="preserve"> </w:t>
            </w:r>
            <w:r>
              <w:rPr>
                <w:rStyle w:val="Text0"/>
              </w:rPr>
              <w:t>&lt;= 12</w:t>
            </w:r>
            <w:r>
              <w:t xml:space="preserve">, and </w:t>
            </w:r>
            <w:r>
              <w:rPr>
                <w:rStyle w:val="Text0"/>
              </w:rPr>
              <w:t>1 &lt;=</w:t>
            </w:r>
            <w:r>
              <w:t xml:space="preserve"> </w:t>
            </w:r>
            <w:r>
              <w:rPr>
                <w:rStyle w:val="Text3"/>
              </w:rPr>
              <w:t>day</w:t>
            </w:r>
            <w:r>
              <w:t xml:space="preserve"> </w:t>
            </w:r>
            <w:r>
              <w:rPr>
                <w:rStyle w:val="Text0"/>
              </w:rPr>
              <w:t>&lt;=</w:t>
            </w:r>
            <w:r>
              <w:t xml:space="preserve"> </w:t>
            </w:r>
            <w:r>
              <w:rPr>
                <w:rStyle w:val="Text3"/>
              </w:rPr>
              <w:t>n</w:t>
            </w:r>
            <w:r>
              <w:t xml:space="preserve">, where </w:t>
            </w:r>
            <w:r>
              <w:rPr>
                <w:rStyle w:val="Text3"/>
              </w:rPr>
              <w:t>n</w:t>
            </w:r>
            <w:r>
              <w:t xml:space="preserve"> is the number of days for the given month and year. Raises </w:t>
            </w:r>
            <w:r>
              <w:rPr>
                <w:rStyle w:val="Text0"/>
              </w:rPr>
              <w:t>ValueError</w:t>
            </w:r>
            <w:r>
              <w:t xml:space="preserve"> if invalid values are given.</w:t>
            </w:r>
          </w:p>
        </w:tc>
      </w:tr>
    </w:tbl>
    <w:p>
      <w:pPr>
        <w:pStyle w:val="Normal"/>
      </w:pPr>
      <w:r>
        <w:t xml:space="preserve">The </w:t>
      </w:r>
      <w:r>
        <w:rPr>
          <w:rStyle w:val="Text0"/>
        </w:rPr>
        <w:t>date</w:t>
      </w:r>
      <w:r>
        <w:t xml:space="preserve"> class also supplies three class methods usable as alternative constructors, listed in </w:t>
      </w:r>
      <w:hyperlink w:anchor="Table_13_4__Alternative_date_con">
        <w:r>
          <w:rPr>
            <w:rStyle w:val="Text1"/>
          </w:rPr>
          <w:t>Table 13-4</w:t>
        </w:r>
      </w:hyperlink>
      <w:r>
        <w:t>.</w:t>
      </w:r>
    </w:p>
    <w:tbl>
      <w:tblPr>
        <w:tblW w:type="auto" w:w="0"/>
      </w:tblPr>
      <w:tr>
        <w:tc>
          <w:tcPr>
            <w:tcW w:type="auto" w:w="0"/>
            <w:tcMar>
              <w:left w:type="dxa" w:w="200"/>
              <w:top w:type="dxa" w:w="200"/>
              <w:right w:type="dxa" w:w="200"/>
              <w:bottom w:type="dxa" w:w="200"/>
            </w:tcMar>
          </w:tcPr>
          <w:p>
            <w:bookmarkStart w:id="3108" w:name="Table_13_4__Alternative_date_con"/>
            <w:pPr>
              <w:pStyle w:val="Para 011"/>
            </w:pPr>
            <w:r>
              <w:rPr>
                <w:rStyle w:val="Text117"/>
              </w:rPr>
              <w:t/>
            </w:r>
            <w:r>
              <w:t xml:space="preserve">Table 13-4. </w:t>
              <w:t xml:space="preserve">Alternative </w:t>
            </w:r>
            <w:r>
              <w:rPr>
                <w:rStyle w:val="Text0"/>
              </w:rPr>
              <w:t>date</w:t>
            </w:r>
            <w:r>
              <w:t xml:space="preserve"> constructors</w:t>
            </w:r>
            <w:bookmarkEnd w:id="3108"/>
          </w:p>
          <w:p>
            <w:pPr>
              <w:pStyle w:val="Para 001"/>
            </w:pPr>
            <w:r>
              <w:t>fromordinal</w:t>
            </w:r>
          </w:p>
        </w:tc>
        <w:tc>
          <w:tcPr>
            <w:tcW w:type="auto" w:w="0"/>
            <w:tcMar>
              <w:left w:type="dxa" w:w="200"/>
              <w:top w:type="dxa" w:w="200"/>
              <w:right w:type="dxa" w:w="200"/>
              <w:bottom w:type="dxa" w:w="200"/>
            </w:tcMar>
          </w:tcPr>
          <w:p>
            <w:pPr>
              <w:pStyle w:val="Para 002"/>
            </w:pPr>
            <w:r>
              <w:rPr>
                <w:rStyle w:val="Text0"/>
              </w:rPr>
              <w:t>date.fromordinal(</w:t>
            </w:r>
            <w:r>
              <w:rPr>
                <w:rStyle w:val="Text3"/>
              </w:rPr>
              <w:t>ordinal</w:t>
            </w:r>
            <w:r>
              <w:rPr>
                <w:rStyle w:val="Text0"/>
              </w:rPr>
              <w:t>)</w:t>
              <w:br w:clear="none"/>
            </w:r>
            <w:r>
              <w:t xml:space="preserve"> Returns a </w:t>
            </w:r>
            <w:r>
              <w:rPr>
                <w:rStyle w:val="Text0"/>
              </w:rPr>
              <w:t>date</w:t>
            </w:r>
            <w:r>
              <w:t xml:space="preserve"> object corresponding to the </w:t>
            </w:r>
            <w:hyperlink r:id="rId424">
              <w:r>
                <w:rPr>
                  <w:rStyle w:val="Text1"/>
                </w:rPr>
                <w:t>proleptic Gregorian ordinal</w:t>
              </w:r>
            </w:hyperlink>
            <w:r>
              <w:t xml:space="preserve"> </w:t>
            </w:r>
            <w:r>
              <w:rPr>
                <w:rStyle w:val="Text3"/>
              </w:rPr>
              <w:t>ordinal</w:t>
            </w:r>
            <w:r>
              <w:t xml:space="preserve">, where a value of </w:t>
            </w:r>
            <w:r>
              <w:rPr>
                <w:rStyle w:val="Text0"/>
              </w:rPr>
              <w:t>1</w:t>
            </w:r>
            <w:r>
              <w:t xml:space="preserve"> corresponds to the first day of </w:t>
              <w:t>year 1 CE</w:t>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fromtimestamp</w:t>
            </w:r>
          </w:p>
        </w:tc>
        <w:tc>
          <w:tcPr>
            <w:tcW w:type="auto" w:w="0"/>
            <w:shd w:val="clear" w:color="auto" w:fill="EEF2F6"/>
            <w:tcMar>
              <w:left w:type="dxa" w:w="200"/>
              <w:top w:type="dxa" w:w="200"/>
              <w:right w:type="dxa" w:w="200"/>
              <w:bottom w:type="dxa" w:w="200"/>
            </w:tcMar>
          </w:tcPr>
          <w:p>
            <w:pPr>
              <w:pStyle w:val="Para 002"/>
            </w:pPr>
            <w:r>
              <w:rPr>
                <w:rStyle w:val="Text0"/>
              </w:rPr>
              <w:t>date.fromtimestamp(</w:t>
            </w:r>
            <w:r>
              <w:rPr>
                <w:rStyle w:val="Text3"/>
              </w:rPr>
              <w:t>timestamp</w:t>
            </w:r>
            <w:r>
              <w:rPr>
                <w:rStyle w:val="Text0"/>
              </w:rPr>
              <w:t>)</w:t>
              <w:br w:clear="none"/>
            </w:r>
            <w:r>
              <w:t xml:space="preserve"> Returns a </w:t>
            </w:r>
            <w:r>
              <w:rPr>
                <w:rStyle w:val="Text0"/>
              </w:rPr>
              <w:t>date</w:t>
            </w:r>
            <w:r>
              <w:t xml:space="preserve"> object corresponding to the instant </w:t>
            </w:r>
            <w:r>
              <w:rPr>
                <w:rStyle w:val="Text3"/>
              </w:rPr>
              <w:t>timestamp</w:t>
            </w:r>
            <w:r>
              <w:t xml:space="preserve"> expressed in seconds since the epoch.</w:t>
            </w:r>
          </w:p>
        </w:tc>
      </w:tr>
    </w:tbl>
    <w:tbl>
      <w:tblPr>
        <w:tblW w:type="auto" w:w="0"/>
      </w:tblPr>
      <w:tr>
        <w:tc>
          <w:tcPr>
            <w:tcW w:type="auto" w:w="0"/>
            <w:tcMar>
              <w:left w:type="dxa" w:w="200"/>
              <w:top w:type="dxa" w:w="200"/>
              <w:right w:type="dxa" w:w="200"/>
              <w:bottom w:type="dxa" w:w="200"/>
            </w:tcMar>
          </w:tcPr>
          <w:p>
            <w:pPr>
              <w:pStyle w:val="Para 001"/>
            </w:pPr>
            <w:r>
              <w:t>today</w:t>
            </w:r>
          </w:p>
        </w:tc>
        <w:tc>
          <w:tcPr>
            <w:tcW w:type="auto" w:w="0"/>
            <w:tcMar>
              <w:left w:type="dxa" w:w="200"/>
              <w:top w:type="dxa" w:w="200"/>
              <w:right w:type="dxa" w:w="200"/>
              <w:bottom w:type="dxa" w:w="200"/>
            </w:tcMar>
          </w:tcPr>
          <w:p>
            <w:pPr>
              <w:pStyle w:val="Para 002"/>
            </w:pPr>
            <w:r>
              <w:rPr>
                <w:rStyle w:val="Text0"/>
              </w:rPr>
              <w:t>date.today()</w:t>
              <w:br w:clear="none"/>
            </w:r>
            <w:r>
              <w:t xml:space="preserve"> Returns</w:t>
            </w:r>
            <w:r>
              <w:rPr>
                <w:rStyle w:val="Text111"/>
              </w:rPr>
              <w:bookmarkStart w:id="3109" w:name="idm45965196554272"/>
              <w:t/>
              <w:bookmarkEnd w:id="3109"/>
            </w:r>
            <w:r>
              <w:t xml:space="preserve"> a </w:t>
            </w:r>
            <w:r>
              <w:rPr>
                <w:rStyle w:val="Text0"/>
              </w:rPr>
              <w:t>date</w:t>
            </w:r>
            <w:r>
              <w:t xml:space="preserve"> representing today’s date.</w:t>
            </w:r>
          </w:p>
        </w:tc>
      </w:tr>
    </w:tbl>
    <w:p>
      <w:pPr>
        <w:pStyle w:val="Normal"/>
      </w:pPr>
      <w:r>
        <w:t xml:space="preserve">Instances of the </w:t>
      </w:r>
      <w:r>
        <w:rPr>
          <w:rStyle w:val="Text0"/>
        </w:rPr>
        <w:t>date</w:t>
      </w:r>
      <w:r>
        <w:t xml:space="preserve"> class support some arithmetic. The difference between </w:t>
      </w:r>
      <w:r>
        <w:rPr>
          <w:rStyle w:val="Text0"/>
        </w:rPr>
        <w:t>date</w:t>
      </w:r>
      <w:r>
        <w:t xml:space="preserve"> instances is a</w:t>
      </w:r>
      <w:r>
        <w:rPr>
          <w:rStyle w:val="Text111"/>
        </w:rPr>
        <w:bookmarkStart w:id="3110" w:name="idm45965196549808"/>
        <w:t/>
        <w:bookmarkEnd w:id="3110"/>
      </w:r>
      <w:r>
        <w:t xml:space="preserve"> </w:t>
      </w:r>
      <w:r>
        <w:rPr>
          <w:rStyle w:val="Text0"/>
        </w:rPr>
        <w:t>timedelta</w:t>
      </w:r>
      <w:r>
        <w:t xml:space="preserve"> instance; you can add or subtract a </w:t>
      </w:r>
      <w:r>
        <w:rPr>
          <w:rStyle w:val="Text0"/>
        </w:rPr>
        <w:t>timedelta</w:t>
      </w:r>
      <w:r>
        <w:t xml:space="preserve"> to or from a </w:t>
      </w:r>
      <w:r>
        <w:rPr>
          <w:rStyle w:val="Text0"/>
        </w:rPr>
        <w:t>date</w:t>
      </w:r>
      <w:r>
        <w:t xml:space="preserve"> instance to make another </w:t>
      </w:r>
      <w:r>
        <w:rPr>
          <w:rStyle w:val="Text0"/>
        </w:rPr>
        <w:t>date</w:t>
      </w:r>
      <w:r>
        <w:t xml:space="preserve"> instance. You can also compare any two instances of the </w:t>
      </w:r>
      <w:r>
        <w:rPr>
          <w:rStyle w:val="Text0"/>
        </w:rPr>
        <w:t>date</w:t>
      </w:r>
      <w:r>
        <w:t xml:space="preserve"> class (the later one is greater).</w:t>
      </w:r>
    </w:p>
    <w:p>
      <w:pPr>
        <w:pStyle w:val="Normal"/>
      </w:pPr>
      <w:r>
        <w:t xml:space="preserve">An instance </w:t>
      </w:r>
      <w:r>
        <w:rPr>
          <w:rStyle w:val="Text3"/>
        </w:rPr>
        <w:t>d</w:t>
      </w:r>
      <w:r>
        <w:t xml:space="preserve"> of the class </w:t>
      </w:r>
      <w:r>
        <w:rPr>
          <w:rStyle w:val="Text0"/>
        </w:rPr>
        <w:t>date</w:t>
      </w:r>
      <w:r>
        <w:t xml:space="preserve"> supplies the methods listed in </w:t>
      </w:r>
      <w:hyperlink w:anchor="Table_13_5__Methods_of_an_instan">
        <w:r>
          <w:rPr>
            <w:rStyle w:val="Text1"/>
          </w:rPr>
          <w:t>Table 13-5</w:t>
        </w:r>
      </w:hyperlink>
      <w:r>
        <w:t>.</w:t>
      </w:r>
    </w:p>
    <w:tbl>
      <w:tblPr>
        <w:tblW w:type="auto" w:w="0"/>
      </w:tblPr>
      <w:tr>
        <w:tc>
          <w:tcPr>
            <w:tcW w:type="auto" w:w="0"/>
            <w:tcMar>
              <w:left w:type="dxa" w:w="200"/>
              <w:top w:type="dxa" w:w="200"/>
              <w:right w:type="dxa" w:w="200"/>
              <w:bottom w:type="dxa" w:w="200"/>
            </w:tcMar>
          </w:tcPr>
          <w:p>
            <w:bookmarkStart w:id="3111" w:name="Table_13_5__Methods_of_an_instan"/>
            <w:pPr>
              <w:pStyle w:val="Para 011"/>
            </w:pPr>
            <w:r>
              <w:rPr>
                <w:rStyle w:val="Text117"/>
              </w:rPr>
              <w:t/>
            </w:r>
            <w:r>
              <w:t xml:space="preserve">Table 13-5. </w:t>
              <w:t xml:space="preserve">Methods of an instance </w:t>
            </w:r>
            <w:r>
              <w:rPr>
                <w:rStyle w:val="Text0"/>
              </w:rPr>
              <w:t>d</w:t>
            </w:r>
            <w:r>
              <w:t xml:space="preserve"> of class </w:t>
            </w:r>
            <w:r>
              <w:rPr>
                <w:rStyle w:val="Text0"/>
              </w:rPr>
              <w:t>date</w:t>
            </w:r>
            <w:bookmarkEnd w:id="3111"/>
          </w:p>
          <w:p>
            <w:pPr>
              <w:pStyle w:val="Para 001"/>
            </w:pPr>
            <w:r>
              <w:t>ctime</w:t>
            </w:r>
          </w:p>
        </w:tc>
        <w:tc>
          <w:tcPr>
            <w:tcW w:type="auto" w:w="0"/>
            <w:tcMar>
              <w:left w:type="dxa" w:w="200"/>
              <w:top w:type="dxa" w:w="200"/>
              <w:right w:type="dxa" w:w="200"/>
              <w:bottom w:type="dxa" w:w="200"/>
            </w:tcMar>
          </w:tcPr>
          <w:p>
            <w:pPr>
              <w:pStyle w:val="Para 002"/>
            </w:pPr>
            <w:r>
              <w:rPr>
                <w:rStyle w:val="Text3"/>
              </w:rPr>
              <w:t>d</w:t>
            </w:r>
            <w:r>
              <w:rPr>
                <w:rStyle w:val="Text0"/>
              </w:rPr>
              <w:t>.ctime()</w:t>
              <w:br w:clear="none"/>
            </w:r>
            <w:r>
              <w:t xml:space="preserve"> Returns a string representing the date </w:t>
            </w:r>
            <w:r>
              <w:rPr>
                <w:rStyle w:val="Text3"/>
              </w:rPr>
              <w:t>d</w:t>
            </w:r>
            <w:r>
              <w:t xml:space="preserve"> in the same 24-character format as </w:t>
            </w:r>
            <w:r>
              <w:rPr>
                <w:rStyle w:val="Text0"/>
              </w:rPr>
              <w:t>time.ctime</w:t>
            </w:r>
            <w:r>
              <w:t xml:space="preserve"> (with the time of day set to 00:00:00, midnight).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isocalendar</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.isocalendar()</w:t>
              <w:br w:clear="none"/>
            </w:r>
            <w:r>
              <w:t xml:space="preserve"> Returns</w:t>
            </w:r>
            <w:r>
              <w:rPr>
                <w:rStyle w:val="Text111"/>
              </w:rPr>
              <w:bookmarkStart w:id="3112" w:name="idm45965196530592"/>
              <w:t/>
              <w:bookmarkEnd w:id="3112"/>
            </w:r>
            <w:r>
              <w:t xml:space="preserve"> a tuple with three integers (ISO year, ISO week number, and ISO weekday). See the </w:t>
            </w:r>
            <w:hyperlink r:id="rId425">
              <w:r>
                <w:rPr>
                  <w:rStyle w:val="Text1"/>
                </w:rPr>
                <w:t>ISO 8601 standard</w:t>
              </w:r>
            </w:hyperlink>
            <w:r>
              <w:t xml:space="preserve"> for more details about the ISO (International Standards Organization) calendar.</w:t>
            </w:r>
          </w:p>
        </w:tc>
      </w:tr>
    </w:tbl>
    <w:tbl>
      <w:tblPr>
        <w:tblW w:type="auto" w:w="0"/>
      </w:tblPr>
      <w:tr>
        <w:tc>
          <w:tcPr>
            <w:tcW w:type="auto" w:w="0"/>
            <w:tcMar>
              <w:left w:type="dxa" w:w="200"/>
              <w:top w:type="dxa" w:w="200"/>
              <w:right w:type="dxa" w:w="200"/>
              <w:bottom w:type="dxa" w:w="200"/>
            </w:tcMar>
          </w:tcPr>
          <w:p>
            <w:pPr>
              <w:pStyle w:val="Para 001"/>
            </w:pPr>
            <w:r>
              <w:t>isoformat</w:t>
            </w:r>
          </w:p>
        </w:tc>
        <w:tc>
          <w:tcPr>
            <w:tcW w:type="auto" w:w="0"/>
            <w:tcMar>
              <w:left w:type="dxa" w:w="200"/>
              <w:top w:type="dxa" w:w="200"/>
              <w:right w:type="dxa" w:w="200"/>
              <w:bottom w:type="dxa" w:w="200"/>
            </w:tcMar>
          </w:tcPr>
          <w:p>
            <w:pPr>
              <w:pStyle w:val="Para 002"/>
            </w:pPr>
            <w:r>
              <w:rPr>
                <w:rStyle w:val="Text3"/>
              </w:rPr>
              <w:t>d</w:t>
            </w:r>
            <w:r>
              <w:rPr>
                <w:rStyle w:val="Text0"/>
              </w:rPr>
              <w:t>.isoformat()</w:t>
              <w:br w:clear="none"/>
            </w:r>
            <w:r>
              <w:t xml:space="preserve"> Returns</w:t>
            </w:r>
            <w:r>
              <w:rPr>
                <w:rStyle w:val="Text111"/>
              </w:rPr>
              <w:bookmarkStart w:id="3113" w:name="idm45965196525312"/>
              <w:t/>
              <w:bookmarkEnd w:id="3113"/>
            </w:r>
            <w:r>
              <w:t xml:space="preserve"> a string representing date </w:t>
            </w:r>
            <w:r>
              <w:rPr>
                <w:rStyle w:val="Text3"/>
              </w:rPr>
              <w:t>d</w:t>
            </w:r>
            <w:r>
              <w:t xml:space="preserve"> in the format </w:t>
            </w:r>
            <w:r>
              <w:rPr>
                <w:rStyle w:val="Text0"/>
              </w:rPr>
              <w:t>'YYYY-MM-DD'</w:t>
            </w:r>
            <w:r>
              <w:t xml:space="preserve">; same as </w:t>
            </w:r>
            <w:r>
              <w:rPr>
                <w:rStyle w:val="Text0"/>
              </w:rPr>
              <w:t>str(</w:t>
            </w:r>
            <w:r>
              <w:rPr>
                <w:rStyle w:val="Text3"/>
              </w:rPr>
              <w:t>d</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isoweekday</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.isoweekday()</w:t>
              <w:br w:clear="none"/>
            </w:r>
            <w:r>
              <w:t xml:space="preserve"> Returns</w:t>
            </w:r>
            <w:r>
              <w:rPr>
                <w:rStyle w:val="Text111"/>
              </w:rPr>
              <w:bookmarkStart w:id="3114" w:name="idm45965196518192"/>
              <w:t/>
              <w:bookmarkEnd w:id="3114"/>
            </w:r>
            <w:r>
              <w:t xml:space="preserve"> the day of the week of date </w:t>
            </w:r>
            <w:r>
              <w:rPr>
                <w:rStyle w:val="Text3"/>
              </w:rPr>
              <w:t>d</w:t>
            </w:r>
            <w:r>
              <w:t xml:space="preserve"> as an integer, </w:t>
            </w:r>
            <w:r>
              <w:rPr>
                <w:rStyle w:val="Text0"/>
              </w:rPr>
              <w:t>1</w:t>
            </w:r>
            <w:r>
              <w:t xml:space="preserve"> for Monday through </w:t>
            </w:r>
            <w:r>
              <w:rPr>
                <w:rStyle w:val="Text0"/>
              </w:rPr>
              <w:t>7</w:t>
            </w:r>
            <w:r>
              <w:t xml:space="preserve"> for Sunday; like </w:t>
            </w:r>
            <w:r>
              <w:rPr>
                <w:rStyle w:val="Text0"/>
              </w:rPr>
              <w:t>d.weekday() + 1</w:t>
            </w:r>
            <w:r>
              <w:t>.</w:t>
            </w:r>
          </w:p>
        </w:tc>
      </w:tr>
    </w:tbl>
    <w:tbl>
      <w:tblPr>
        <w:tblW w:type="auto" w:w="0"/>
      </w:tblPr>
      <w:tr>
        <w:tc>
          <w:tcPr>
            <w:tcW w:type="auto" w:w="0"/>
            <w:tcMar>
              <w:left w:type="dxa" w:w="200"/>
              <w:top w:type="dxa" w:w="200"/>
              <w:right w:type="dxa" w:w="200"/>
              <w:bottom w:type="dxa" w:w="200"/>
            </w:tcMar>
          </w:tcPr>
          <w:p>
            <w:pPr>
              <w:pStyle w:val="Para 001"/>
            </w:pPr>
            <w:r>
              <w:t>replace</w:t>
            </w:r>
          </w:p>
        </w:tc>
        <w:tc>
          <w:tcPr>
            <w:tcW w:type="auto" w:w="0"/>
            <w:tcMar>
              <w:left w:type="dxa" w:w="200"/>
              <w:top w:type="dxa" w:w="200"/>
              <w:right w:type="dxa" w:w="200"/>
              <w:bottom w:type="dxa" w:w="200"/>
            </w:tcMar>
          </w:tcPr>
          <w:p>
            <w:pPr>
              <w:pStyle w:val="Para 002"/>
            </w:pPr>
            <w:r>
              <w:rPr>
                <w:rStyle w:val="Text3"/>
              </w:rPr>
              <w:t>d</w:t>
            </w:r>
            <w:r>
              <w:rPr>
                <w:rStyle w:val="Text0"/>
              </w:rPr>
              <w:t>.replace(year=</w:t>
            </w:r>
            <w:r>
              <w:rPr>
                <w:rStyle w:val="Text5"/>
              </w:rPr>
              <w:t>None</w:t>
            </w:r>
            <w:r>
              <w:rPr>
                <w:rStyle w:val="Text0"/>
              </w:rPr>
              <w:t>, month=</w:t>
            </w:r>
            <w:r>
              <w:rPr>
                <w:rStyle w:val="Text5"/>
              </w:rPr>
              <w:t>None</w:t>
            </w:r>
            <w:r>
              <w:rPr>
                <w:rStyle w:val="Text0"/>
              </w:rPr>
              <w:t>, day=</w:t>
            </w:r>
            <w:r>
              <w:rPr>
                <w:rStyle w:val="Text5"/>
              </w:rPr>
              <w:t>None</w:t>
            </w:r>
            <w:r>
              <w:rPr>
                <w:rStyle w:val="Text0"/>
              </w:rPr>
              <w:t>)</w:t>
              <w:br w:clear="none"/>
            </w:r>
            <w:r>
              <w:t xml:space="preserve"> Returns</w:t>
            </w:r>
            <w:r>
              <w:rPr>
                <w:rStyle w:val="Text111"/>
              </w:rPr>
              <w:bookmarkStart w:id="3115" w:name="idm45965196509376"/>
              <w:t/>
              <w:bookmarkEnd w:id="3115"/>
            </w:r>
            <w:r>
              <w:t xml:space="preserve"> a new </w:t>
            </w:r>
            <w:r>
              <w:rPr>
                <w:rStyle w:val="Text0"/>
              </w:rPr>
              <w:t>date</w:t>
            </w:r>
            <w:r>
              <w:t xml:space="preserve"> object, like </w:t>
            </w:r>
            <w:r>
              <w:rPr>
                <w:rStyle w:val="Text3"/>
              </w:rPr>
              <w:t>d</w:t>
            </w:r>
            <w:r>
              <w:t xml:space="preserve"> except for those attributes explicitly specified as arguments, which get replaced. For example: </w:t>
            </w:r>
          </w:p>
          <w:p>
            <w:pPr>
              <w:pStyle w:val="Para 025"/>
            </w:pPr>
            <w:r>
              <w:rPr>
                <w:rStyle w:val="Text23"/>
              </w:rPr>
              <w:t xml:space="preserve"/>
              <w:br w:clear="none"/>
            </w:r>
            <w:r>
              <w:t xml:space="preserve">date</w:t>
              <w:br w:clear="none"/>
            </w:r>
            <w:r>
              <w:rPr>
                <w:rStyle w:val="Text7"/>
              </w:rPr>
              <w:t xml:space="preserve">(</w:t>
              <w:br w:clear="none"/>
            </w:r>
            <w:r>
              <w:t xml:space="preserve">x</w:t>
              <w:br w:clear="none"/>
            </w:r>
            <w:r>
              <w:rPr>
                <w:rStyle w:val="Text7"/>
              </w:rPr>
              <w:t xml:space="preserve">,</w:t>
              <w:br w:clear="none"/>
            </w:r>
            <w:r>
              <w:t xml:space="preserve">y</w:t>
              <w:br w:clear="none"/>
            </w:r>
            <w:r>
              <w:rPr>
                <w:rStyle w:val="Text7"/>
              </w:rPr>
              <w:t xml:space="preserve">,</w:t>
              <w:br w:clear="none"/>
            </w:r>
            <w:r>
              <w:t xml:space="preserve">z</w:t>
              <w:br w:clear="none"/>
            </w:r>
            <w:r>
              <w:rPr>
                <w:rStyle w:val="Text7"/>
              </w:rPr>
              <w:t xml:space="preserve">)</w:t>
              <w:br w:clear="none"/>
            </w:r>
            <w:r>
              <w:rPr>
                <w:rStyle w:val="Text13"/>
              </w:rPr>
              <w:t xml:space="preserve">.</w:t>
              <w:br w:clear="none"/>
            </w:r>
            <w:r>
              <w:t xml:space="preserve">replace</w:t>
              <w:br w:clear="none"/>
            </w:r>
            <w:r>
              <w:rPr>
                <w:rStyle w:val="Text7"/>
              </w:rPr>
              <w:t xml:space="preserve">(</w:t>
              <w:br w:clear="none"/>
            </w:r>
            <w:r>
              <w:t xml:space="preserve">month</w:t>
              <w:br w:clear="none"/>
            </w:r>
            <w:r>
              <w:rPr>
                <w:rStyle w:val="Text13"/>
              </w:rPr>
              <w:t xml:space="preserve">=</w:t>
              <w:br w:clear="none"/>
            </w:r>
            <w:r>
              <w:t xml:space="preserve">m</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date</w:t>
              <w:br w:clear="none"/>
            </w:r>
            <w:r>
              <w:rPr>
                <w:rStyle w:val="Text7"/>
              </w:rPr>
              <w:t xml:space="preserve">(</w:t>
              <w:br w:clear="none"/>
            </w:r>
            <w:r>
              <w:t xml:space="preserve">x</w:t>
              <w:br w:clear="none"/>
            </w:r>
            <w:r>
              <w:rPr>
                <w:rStyle w:val="Text7"/>
              </w:rPr>
              <w:t xml:space="preserve">,</w:t>
              <w:br w:clear="none"/>
            </w:r>
            <w:r>
              <w:t xml:space="preserve">m</w:t>
              <w:br w:clear="none"/>
            </w:r>
            <w:r>
              <w:rPr>
                <w:rStyle w:val="Text7"/>
              </w:rPr>
              <w:t xml:space="preserve">,</w:t>
              <w:br w:clear="none"/>
            </w:r>
            <w:r>
              <w:t xml:space="preserve">z</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strftime</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.strftime(</w:t>
            </w:r>
            <w:r>
              <w:rPr>
                <w:rStyle w:val="Text3"/>
              </w:rPr>
              <w:t>fmt</w:t>
            </w:r>
            <w:r>
              <w:rPr>
                <w:rStyle w:val="Text0"/>
              </w:rPr>
              <w:t>)</w:t>
              <w:br w:clear="none"/>
            </w:r>
            <w:r>
              <w:t xml:space="preserve"> Returns a string representing date </w:t>
            </w:r>
            <w:r>
              <w:rPr>
                <w:rStyle w:val="Text3"/>
              </w:rPr>
              <w:t>d</w:t>
            </w:r>
            <w:r>
              <w:t xml:space="preserve"> as specified by string </w:t>
            </w:r>
            <w:r>
              <w:rPr>
                <w:rStyle w:val="Text3"/>
              </w:rPr>
              <w:t>fmt</w:t>
            </w:r>
            <w:r>
              <w:t xml:space="preserve">, like: </w:t>
            </w:r>
          </w:p>
          <w:p>
            <w:pPr>
              <w:pStyle w:val="Para 029"/>
            </w:pPr>
            <w:r>
              <w:rPr>
                <w:rStyle w:val="Text23"/>
              </w:rPr>
              <w:t xml:space="preserve"/>
              <w:br w:clear="none"/>
            </w:r>
            <w:r>
              <w:t xml:space="preserve">time</w:t>
              <w:br w:clear="none"/>
            </w:r>
            <w:r>
              <w:rPr>
                <w:rStyle w:val="Text13"/>
              </w:rPr>
              <w:t xml:space="preserve">.</w:t>
              <w:br w:clear="none"/>
            </w:r>
            <w:r>
              <w:t xml:space="preserve">strftime</w:t>
              <w:br w:clear="none"/>
            </w:r>
            <w:r>
              <w:rPr>
                <w:rStyle w:val="Text7"/>
              </w:rPr>
              <w:t xml:space="preserve">(</w:t>
              <w:br w:clear="none"/>
            </w:r>
            <w:r>
              <w:rPr>
                <w:rStyle w:val="Text4"/>
              </w:rPr>
              <w:t xml:space="preserve">fmt</w:t>
              <w:br w:clear="none"/>
            </w:r>
            <w:r>
              <w:rPr>
                <w:rStyle w:val="Text7"/>
              </w:rPr>
              <w:t xml:space="preserve">,</w:t>
              <w:br w:clear="none"/>
            </w:r>
            <w:r>
              <w:rPr>
                <w:rStyle w:val="Text6"/>
              </w:rPr>
              <w:t xml:space="preserve"> </w:t>
              <w:br w:clear="none"/>
            </w:r>
            <w:r>
              <w:rPr>
                <w:rStyle w:val="Text4"/>
              </w:rPr>
              <w:t xml:space="preserve">d</w:t>
              <w:br w:clear="none"/>
            </w:r>
            <w:r>
              <w:rPr>
                <w:rStyle w:val="Text13"/>
              </w:rPr>
              <w:t xml:space="preserve">.</w:t>
              <w:br w:clear="none"/>
            </w:r>
            <w:r>
              <w:t xml:space="preserve">timetuple</w:t>
              <w:br w:clear="none"/>
            </w:r>
            <w:r>
              <w:rPr>
                <w:rStyle w:val="Text7"/>
              </w:rPr>
              <w:t xml:space="preserve">(</w:t>
              <w:br w:clear="none"/>
              <w:t xml:space="preserve">)</w:t>
              <w:br w:clear="none"/>
              <w:t xml:space="preserve">)</w:t>
              <w:br w:clear="none"/>
            </w:r>
          </w:p>
        </w:tc>
      </w:tr>
    </w:tbl>
    <w:tbl>
      <w:tblPr>
        <w:tblW w:type="auto" w:w="0"/>
      </w:tblPr>
      <w:tr>
        <w:tc>
          <w:tcPr>
            <w:tcW w:type="auto" w:w="0"/>
            <w:tcMar>
              <w:left w:type="dxa" w:w="200"/>
              <w:top w:type="dxa" w:w="200"/>
              <w:right w:type="dxa" w:w="200"/>
              <w:bottom w:type="dxa" w:w="200"/>
            </w:tcMar>
          </w:tcPr>
          <w:p>
            <w:pPr>
              <w:pStyle w:val="Para 001"/>
            </w:pPr>
            <w:r>
              <w:t>timetuple</w:t>
            </w:r>
          </w:p>
        </w:tc>
        <w:tc>
          <w:tcPr>
            <w:tcW w:type="auto" w:w="0"/>
            <w:tcMar>
              <w:left w:type="dxa" w:w="200"/>
              <w:top w:type="dxa" w:w="200"/>
              <w:right w:type="dxa" w:w="200"/>
              <w:bottom w:type="dxa" w:w="200"/>
            </w:tcMar>
          </w:tcPr>
          <w:p>
            <w:pPr>
              <w:pStyle w:val="Para 002"/>
            </w:pPr>
            <w:r>
              <w:rPr>
                <w:rStyle w:val="Text3"/>
              </w:rPr>
              <w:t>d</w:t>
            </w:r>
            <w:r>
              <w:rPr>
                <w:rStyle w:val="Text0"/>
              </w:rPr>
              <w:t>.timetuple()</w:t>
              <w:br w:clear="none"/>
            </w:r>
            <w:r>
              <w:t xml:space="preserve"> Returns a timetuple corresponding to date </w:t>
            </w:r>
            <w:r>
              <w:rPr>
                <w:rStyle w:val="Text3"/>
              </w:rPr>
              <w:t>d</w:t>
            </w:r>
            <w:r>
              <w:t xml:space="preserve"> at time </w:t>
            </w:r>
            <w:r>
              <w:rPr>
                <w:rStyle w:val="Text0"/>
              </w:rPr>
              <w:t>00:00:00</w:t>
            </w:r>
            <w:r>
              <w:t xml:space="preserve"> (midnight).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toordinal</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.toordinal()</w:t>
              <w:br w:clear="none"/>
            </w:r>
            <w:r>
              <w:t xml:space="preserve"> Returns</w:t>
            </w:r>
            <w:r>
              <w:rPr>
                <w:rStyle w:val="Text111"/>
              </w:rPr>
              <w:bookmarkStart w:id="3116" w:name="idm45965196426592"/>
              <w:t/>
              <w:bookmarkEnd w:id="3116"/>
            </w:r>
            <w:r>
              <w:t xml:space="preserve"> the proleptic Gregorian ordinal for date </w:t>
            </w:r>
            <w:r>
              <w:rPr>
                <w:rStyle w:val="Text3"/>
              </w:rPr>
              <w:t>d</w:t>
            </w:r>
            <w:r>
              <w:t xml:space="preserve">. For example: </w:t>
            </w:r>
          </w:p>
          <w:p>
            <w:pPr>
              <w:pStyle w:val="Para 029"/>
            </w:pPr>
            <w:r>
              <w:rPr>
                <w:rStyle w:val="Text23"/>
              </w:rPr>
              <w:t xml:space="preserve"/>
              <w:br w:clear="none"/>
            </w:r>
            <w:r>
              <w:t xml:space="preserve">date</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1</w:t>
              <w:br w:clear="none"/>
            </w:r>
            <w:r>
              <w:rPr>
                <w:rStyle w:val="Text7"/>
              </w:rPr>
              <w:t xml:space="preserve">)</w:t>
              <w:br w:clear="none"/>
            </w:r>
            <w:r>
              <w:rPr>
                <w:rStyle w:val="Text13"/>
              </w:rPr>
              <w:t xml:space="preserve">.</w:t>
              <w:br w:clear="none"/>
            </w:r>
            <w:r>
              <w:t xml:space="preserve">toordinal</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1</w:t>
              <w:br w:clear="none"/>
            </w:r>
          </w:p>
        </w:tc>
      </w:tr>
    </w:tbl>
    <w:tbl>
      <w:tblPr>
        <w:tblW w:type="auto" w:w="0"/>
      </w:tblPr>
      <w:tr>
        <w:tc>
          <w:tcPr>
            <w:tcW w:type="auto" w:w="0"/>
            <w:tcMar>
              <w:left w:type="dxa" w:w="200"/>
              <w:top w:type="dxa" w:w="200"/>
              <w:right w:type="dxa" w:w="200"/>
              <w:bottom w:type="dxa" w:w="200"/>
            </w:tcMar>
          </w:tcPr>
          <w:p>
            <w:pPr>
              <w:pStyle w:val="Para 001"/>
            </w:pPr>
            <w:r>
              <w:t>weekday</w:t>
            </w:r>
          </w:p>
        </w:tc>
        <w:tc>
          <w:tcPr>
            <w:tcW w:type="auto" w:w="0"/>
            <w:tcMar>
              <w:left w:type="dxa" w:w="200"/>
              <w:top w:type="dxa" w:w="200"/>
              <w:right w:type="dxa" w:w="200"/>
              <w:bottom w:type="dxa" w:w="200"/>
            </w:tcMar>
          </w:tcPr>
          <w:p>
            <w:pPr>
              <w:pStyle w:val="Para 002"/>
            </w:pPr>
            <w:r>
              <w:rPr>
                <w:rStyle w:val="Text3"/>
              </w:rPr>
              <w:t>d</w:t>
            </w:r>
            <w:r>
              <w:rPr>
                <w:rStyle w:val="Text0"/>
              </w:rPr>
              <w:t>.weekday()</w:t>
              <w:br w:clear="none"/>
            </w:r>
            <w:r>
              <w:t xml:space="preserve"> Returns</w:t>
            </w:r>
            <w:r>
              <w:rPr>
                <w:rStyle w:val="Text111"/>
              </w:rPr>
              <w:bookmarkStart w:id="3117" w:name="idm45965196391136"/>
              <w:t/>
              <w:bookmarkEnd w:id="3117"/>
            </w:r>
            <w:r>
              <w:t xml:space="preserve"> the day of the week of date </w:t>
            </w:r>
            <w:r>
              <w:rPr>
                <w:rStyle w:val="Text3"/>
              </w:rPr>
              <w:t>d</w:t>
            </w:r>
            <w:r>
              <w:t xml:space="preserve"> as an integer, </w:t>
            </w:r>
            <w:r>
              <w:rPr>
                <w:rStyle w:val="Text0"/>
              </w:rPr>
              <w:t>0</w:t>
            </w:r>
            <w:r>
              <w:t xml:space="preserve"> for Monday through </w:t>
            </w:r>
            <w:r>
              <w:rPr>
                <w:rStyle w:val="Text0"/>
              </w:rPr>
              <w:t>6</w:t>
            </w:r>
            <w:r>
              <w:t xml:space="preserve"> for Sunday; like </w:t>
            </w:r>
            <w:r>
              <w:rPr>
                <w:rStyle w:val="Text0"/>
              </w:rPr>
              <w:t>d.isoweekday() - 1</w:t>
            </w:r>
            <w:r>
              <w:t>.</w:t>
            </w:r>
            <w:r>
              <w:rPr>
                <w:rStyle w:val="Text111"/>
              </w:rPr>
              <w:bookmarkStart w:id="3118" w:name="idm45965196366048"/>
              <w:t/>
              <w:bookmarkEnd w:id="3118"/>
            </w:r>
          </w:p>
        </w:tc>
      </w:tr>
    </w:tbl>
    <w:p>
      <w:bookmarkStart w:id="3119" w:name="The_time_Class__Instances_of_the"/>
      <w:pPr>
        <w:keepNext/>
        <w:pStyle w:val="Heading 2"/>
      </w:pPr>
      <w:r>
        <w:t>The time Class</w:t>
      </w:r>
      <w:bookmarkEnd w:id="3119"/>
    </w:p>
    <w:p>
      <w:pPr>
        <w:pStyle w:val="Normal"/>
      </w:pPr>
      <w:r>
        <w:t>Instances</w:t>
      </w:r>
      <w:r>
        <w:rPr>
          <w:rStyle w:val="Text111"/>
        </w:rPr>
        <w:bookmarkStart w:id="3120" w:name="idm45965196362640"/>
        <w:t/>
        <w:bookmarkEnd w:id="3120"/>
        <w:bookmarkStart w:id="3121" w:name="idm45965196360848"/>
        <w:t/>
        <w:bookmarkEnd w:id="3121"/>
      </w:r>
      <w:r>
        <w:t xml:space="preserve"> of the </w:t>
      </w:r>
      <w:r>
        <w:rPr>
          <w:rStyle w:val="Text0"/>
        </w:rPr>
        <w:t>time</w:t>
      </w:r>
      <w:r>
        <w:t xml:space="preserve"> class represent a time of day (of no particular date), may be naive or aware regarding</w:t>
      </w:r>
      <w:r>
        <w:rPr>
          <w:rStyle w:val="Text111"/>
        </w:rPr>
        <w:bookmarkStart w:id="3122" w:name="timezone13"/>
        <w:t/>
        <w:bookmarkEnd w:id="3122"/>
      </w:r>
      <w:r>
        <w:t xml:space="preserve"> time zones, and always ignore leap seconds. They have five attributes: four read-only integers (</w:t>
      </w:r>
      <w:r>
        <w:rPr>
          <w:rStyle w:val="Text0"/>
        </w:rPr>
        <w:t>hour</w:t>
      </w:r>
      <w:r>
        <w:t xml:space="preserve">, </w:t>
      </w:r>
      <w:r>
        <w:rPr>
          <w:rStyle w:val="Text0"/>
        </w:rPr>
        <w:t>minute</w:t>
      </w:r>
      <w:r>
        <w:t xml:space="preserve">, </w:t>
      </w:r>
      <w:r>
        <w:rPr>
          <w:rStyle w:val="Text0"/>
        </w:rPr>
        <w:t>second</w:t>
      </w:r>
      <w:r>
        <w:t xml:space="preserve">, and </w:t>
      </w:r>
      <w:r>
        <w:rPr>
          <w:rStyle w:val="Text0"/>
        </w:rPr>
        <w:t>microsecond</w:t>
      </w:r>
      <w:r>
        <w:t xml:space="preserve">) and an optional read-only </w:t>
      </w:r>
      <w:r>
        <w:rPr>
          <w:rStyle w:val="Text0"/>
        </w:rPr>
        <w:t>tzinfo</w:t>
      </w:r>
      <w:r>
        <w:t xml:space="preserve"> (</w:t>
      </w:r>
      <w:r>
        <w:rPr>
          <w:rStyle w:val="Text5"/>
        </w:rPr>
        <w:t>None</w:t>
      </w:r>
      <w:r>
        <w:t xml:space="preserve"> for naive instances). The constructor for the </w:t>
      </w:r>
      <w:r>
        <w:rPr>
          <w:rStyle w:val="Text0"/>
        </w:rPr>
        <w:t>time</w:t>
      </w:r>
      <w:r>
        <w:t xml:space="preserve"> class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time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time(hour=0, minute=0, second=0, microsecond=0, tzinfo=</w:t>
            </w:r>
            <w:r>
              <w:rPr>
                <w:rStyle w:val="Text5"/>
              </w:rPr>
              <w:t>None</w:t>
            </w:r>
            <w:r>
              <w:rPr>
                <w:rStyle w:val="Text0"/>
              </w:rPr>
              <w:t>)</w:t>
              <w:br w:clear="none"/>
            </w:r>
            <w:r>
              <w:t xml:space="preserve"> Instances of the class </w:t>
            </w:r>
            <w:r>
              <w:rPr>
                <w:rStyle w:val="Text0"/>
              </w:rPr>
              <w:t>time</w:t>
            </w:r>
            <w:r>
              <w:t xml:space="preserve"> do not support arithmetic. You can compare two instances of </w:t>
            </w:r>
            <w:r>
              <w:rPr>
                <w:rStyle w:val="Text0"/>
              </w:rPr>
              <w:t>time</w:t>
            </w:r>
            <w:r>
              <w:t xml:space="preserve"> (the one that’s later in the day is greater), but only if they are either both aware or both naive.</w:t>
            </w:r>
          </w:p>
        </w:tc>
      </w:tr>
    </w:tbl>
    <w:p>
      <w:pPr>
        <w:pStyle w:val="Normal"/>
      </w:pPr>
      <w:r>
        <w:t xml:space="preserve">An instance </w:t>
      </w:r>
      <w:r>
        <w:rPr>
          <w:rStyle w:val="Text3"/>
        </w:rPr>
        <w:t>t</w:t>
      </w:r>
      <w:r>
        <w:t xml:space="preserve"> of the class </w:t>
      </w:r>
      <w:r>
        <w:rPr>
          <w:rStyle w:val="Text0"/>
        </w:rPr>
        <w:t>time</w:t>
      </w:r>
      <w:r>
        <w:t xml:space="preserve"> supplies the methods listed in </w:t>
      </w:r>
      <w:hyperlink w:anchor="Table_13_6__Methods_of_an_instan">
        <w:r>
          <w:rPr>
            <w:rStyle w:val="Text1"/>
          </w:rPr>
          <w:t>Table 13-6</w:t>
        </w:r>
      </w:hyperlink>
      <w:r>
        <w:t>.</w:t>
      </w:r>
    </w:p>
    <w:tbl>
      <w:tblPr>
        <w:tblW w:type="auto" w:w="0"/>
      </w:tblPr>
      <w:tr>
        <w:tc>
          <w:tcPr>
            <w:tcW w:type="auto" w:w="0"/>
            <w:tcMar>
              <w:left w:type="dxa" w:w="200"/>
              <w:top w:type="dxa" w:w="200"/>
              <w:right w:type="dxa" w:w="200"/>
              <w:bottom w:type="dxa" w:w="200"/>
            </w:tcMar>
          </w:tcPr>
          <w:p>
            <w:bookmarkStart w:id="3123" w:name="Table_13_6__Methods_of_an_instan"/>
            <w:pPr>
              <w:pStyle w:val="Para 011"/>
            </w:pPr>
            <w:r>
              <w:rPr>
                <w:rStyle w:val="Text117"/>
              </w:rPr>
              <w:t/>
            </w:r>
            <w:r>
              <w:t xml:space="preserve">Table 13-6. </w:t>
              <w:t xml:space="preserve">Methods of an instance </w:t>
            </w:r>
            <w:r>
              <w:rPr>
                <w:rStyle w:val="Text0"/>
              </w:rPr>
              <w:t>t</w:t>
            </w:r>
            <w:r>
              <w:t xml:space="preserve"> of class </w:t>
            </w:r>
            <w:r>
              <w:rPr>
                <w:rStyle w:val="Text0"/>
              </w:rPr>
              <w:t>time</w:t>
            </w:r>
            <w:bookmarkEnd w:id="3123"/>
          </w:p>
          <w:p>
            <w:pPr>
              <w:pStyle w:val="Para 001"/>
            </w:pPr>
            <w:r>
              <w:t>isoformat</w:t>
            </w:r>
          </w:p>
        </w:tc>
        <w:tc>
          <w:tcPr>
            <w:tcW w:type="auto" w:w="0"/>
            <w:tcMar>
              <w:left w:type="dxa" w:w="200"/>
              <w:top w:type="dxa" w:w="200"/>
              <w:right w:type="dxa" w:w="200"/>
              <w:bottom w:type="dxa" w:w="200"/>
            </w:tcMar>
          </w:tcPr>
          <w:p>
            <w:pPr>
              <w:pStyle w:val="Para 002"/>
            </w:pPr>
            <w:r>
              <w:rPr>
                <w:rStyle w:val="Text3"/>
              </w:rPr>
              <w:t>t</w:t>
            </w:r>
            <w:r>
              <w:rPr>
                <w:rStyle w:val="Text0"/>
              </w:rPr>
              <w:t>.isoformat()</w:t>
              <w:br w:clear="none"/>
            </w:r>
            <w:r>
              <w:t xml:space="preserve"> Returns</w:t>
            </w:r>
            <w:r>
              <w:rPr>
                <w:rStyle w:val="Text111"/>
              </w:rPr>
              <w:bookmarkStart w:id="3124" w:name="idm45965196336848"/>
              <w:t/>
              <w:bookmarkEnd w:id="3124"/>
            </w:r>
            <w:r>
              <w:t xml:space="preserve"> a string representing time </w:t>
            </w:r>
            <w:r>
              <w:rPr>
                <w:rStyle w:val="Text3"/>
              </w:rPr>
              <w:t>t</w:t>
            </w:r>
            <w:r>
              <w:t xml:space="preserve"> in the format </w:t>
            </w:r>
            <w:r>
              <w:rPr>
                <w:rStyle w:val="Text0"/>
              </w:rPr>
              <w:t>'HH:MM:SS'</w:t>
            </w:r>
            <w:r>
              <w:t xml:space="preserve">; same as </w:t>
            </w:r>
            <w:r>
              <w:rPr>
                <w:rStyle w:val="Text0"/>
              </w:rPr>
              <w:t>str(</w:t>
            </w:r>
            <w:r>
              <w:rPr>
                <w:rStyle w:val="Text3"/>
              </w:rPr>
              <w:t>t</w:t>
            </w:r>
            <w:r>
              <w:rPr>
                <w:rStyle w:val="Text0"/>
              </w:rPr>
              <w:t>)</w:t>
            </w:r>
            <w:r>
              <w:t xml:space="preserve">. If </w:t>
            </w:r>
            <w:r>
              <w:rPr>
                <w:rStyle w:val="Text3"/>
              </w:rPr>
              <w:t>t</w:t>
            </w:r>
            <w:r>
              <w:rPr>
                <w:rStyle w:val="Text0"/>
              </w:rPr>
              <w:t>.microsecond != 0</w:t>
            </w:r>
            <w:r>
              <w:t xml:space="preserve">, the resulting string is longer: </w:t>
            </w:r>
            <w:r>
              <w:rPr>
                <w:rStyle w:val="Text0"/>
              </w:rPr>
              <w:t>'HH:MM:SS.mmmmmm'</w:t>
            </w:r>
            <w:r>
              <w:t xml:space="preserve">. If </w:t>
            </w:r>
            <w:r>
              <w:rPr>
                <w:rStyle w:val="Text3"/>
              </w:rPr>
              <w:t>t</w:t>
            </w:r>
            <w:r>
              <w:t xml:space="preserve"> is aware, six more characters, </w:t>
            </w:r>
            <w:r>
              <w:rPr>
                <w:rStyle w:val="Text0"/>
              </w:rPr>
              <w:t>'+HH:MM'</w:t>
            </w:r>
            <w:r>
              <w:t xml:space="preserve">, are added at the end to represent the time zone’s offset from UTC. In other words, this formatting operation follows the </w:t>
            </w:r>
            <w:hyperlink r:id="rId425">
              <w:r>
                <w:rPr>
                  <w:rStyle w:val="Text1"/>
                </w:rPr>
                <w:t>ISO 8601 standard</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replace</w:t>
            </w:r>
          </w:p>
        </w:tc>
        <w:tc>
          <w:tcPr>
            <w:tcW w:type="auto" w:w="0"/>
            <w:shd w:val="clear" w:color="auto" w:fill="EEF2F6"/>
            <w:tcMar>
              <w:left w:type="dxa" w:w="200"/>
              <w:top w:type="dxa" w:w="200"/>
              <w:right w:type="dxa" w:w="200"/>
              <w:bottom w:type="dxa" w:w="200"/>
            </w:tcMar>
          </w:tcPr>
          <w:p>
            <w:pPr>
              <w:pStyle w:val="Para 002"/>
            </w:pPr>
            <w:r>
              <w:rPr>
                <w:rStyle w:val="Text3"/>
              </w:rPr>
              <w:t>t</w:t>
            </w:r>
            <w:r>
              <w:rPr>
                <w:rStyle w:val="Text0"/>
              </w:rPr>
              <w:t>.replace(hour=</w:t>
            </w:r>
            <w:r>
              <w:rPr>
                <w:rStyle w:val="Text5"/>
              </w:rPr>
              <w:t>None</w:t>
            </w:r>
            <w:r>
              <w:rPr>
                <w:rStyle w:val="Text0"/>
              </w:rPr>
              <w:t>, minute=</w:t>
            </w:r>
            <w:r>
              <w:rPr>
                <w:rStyle w:val="Text5"/>
              </w:rPr>
              <w:t>None</w:t>
            </w:r>
            <w:r>
              <w:rPr>
                <w:rStyle w:val="Text0"/>
              </w:rPr>
              <w:t>, second=</w:t>
            </w:r>
            <w:r>
              <w:rPr>
                <w:rStyle w:val="Text5"/>
              </w:rPr>
              <w:t>None</w:t>
            </w:r>
            <w:r>
              <w:rPr>
                <w:rStyle w:val="Text0"/>
              </w:rPr>
              <w:t>, microsecond=</w:t>
            </w:r>
            <w:r>
              <w:rPr>
                <w:rStyle w:val="Text5"/>
              </w:rPr>
              <w:t>None</w:t>
            </w:r>
            <w:r>
              <w:rPr>
                <w:rStyle w:val="Text0"/>
              </w:rPr>
              <w:t>[,</w:t>
            </w:r>
            <w:r>
              <w:t xml:space="preserve"> </w:t>
            </w:r>
            <w:r>
              <w:rPr>
                <w:rStyle w:val="Text3"/>
              </w:rPr>
              <w:t>tzinfo</w:t>
            </w:r>
            <w:r>
              <w:rPr>
                <w:rStyle w:val="Text0"/>
              </w:rPr>
              <w:t>])</w:t>
              <w:br w:clear="none"/>
            </w:r>
            <w:r>
              <w:t xml:space="preserve"> Returns</w:t>
            </w:r>
            <w:r>
              <w:rPr>
                <w:rStyle w:val="Text111"/>
              </w:rPr>
              <w:bookmarkStart w:id="3125" w:name="idm45965196322288"/>
              <w:t/>
              <w:bookmarkEnd w:id="3125"/>
            </w:r>
            <w:r>
              <w:t xml:space="preserve"> a new </w:t>
            </w:r>
            <w:r>
              <w:rPr>
                <w:rStyle w:val="Text0"/>
              </w:rPr>
              <w:t>time</w:t>
            </w:r>
            <w:r>
              <w:t xml:space="preserve"> object, like </w:t>
            </w:r>
            <w:r>
              <w:rPr>
                <w:rStyle w:val="Text3"/>
              </w:rPr>
              <w:t>t</w:t>
            </w:r>
            <w:r>
              <w:t xml:space="preserve"> except for those attributes explicitly specified as arguments, which get replaced. For example: </w:t>
            </w:r>
          </w:p>
          <w:p>
            <w:pPr>
              <w:pStyle w:val="Para 029"/>
            </w:pPr>
            <w:r>
              <w:rPr>
                <w:rStyle w:val="Text23"/>
              </w:rPr>
              <w:t xml:space="preserve"/>
              <w:br w:clear="none"/>
            </w:r>
            <w:r>
              <w:t xml:space="preserve">time</w:t>
              <w:br w:clear="none"/>
            </w:r>
            <w:r>
              <w:rPr>
                <w:rStyle w:val="Text7"/>
              </w:rPr>
              <w:t xml:space="preserve">(</w:t>
              <w:br w:clear="none"/>
            </w:r>
            <w:r>
              <w:t xml:space="preserve">x</w:t>
              <w:br w:clear="none"/>
            </w:r>
            <w:r>
              <w:rPr>
                <w:rStyle w:val="Text7"/>
              </w:rPr>
              <w:t xml:space="preserve">,</w:t>
              <w:br w:clear="none"/>
            </w:r>
            <w:r>
              <w:t xml:space="preserve">y</w:t>
              <w:br w:clear="none"/>
            </w:r>
            <w:r>
              <w:rPr>
                <w:rStyle w:val="Text7"/>
              </w:rPr>
              <w:t xml:space="preserve">,</w:t>
              <w:br w:clear="none"/>
            </w:r>
            <w:r>
              <w:t xml:space="preserve">z</w:t>
              <w:br w:clear="none"/>
            </w:r>
            <w:r>
              <w:rPr>
                <w:rStyle w:val="Text7"/>
              </w:rPr>
              <w:t xml:space="preserve">)</w:t>
              <w:br w:clear="none"/>
            </w:r>
            <w:r>
              <w:rPr>
                <w:rStyle w:val="Text13"/>
              </w:rPr>
              <w:t xml:space="preserve">.</w:t>
              <w:br w:clear="none"/>
            </w:r>
            <w:r>
              <w:t xml:space="preserve">replace</w:t>
              <w:br w:clear="none"/>
            </w:r>
            <w:r>
              <w:rPr>
                <w:rStyle w:val="Text7"/>
              </w:rPr>
              <w:t xml:space="preserve">(</w:t>
              <w:br w:clear="none"/>
            </w:r>
            <w:r>
              <w:t xml:space="preserve">minute</w:t>
              <w:br w:clear="none"/>
            </w:r>
            <w:r>
              <w:rPr>
                <w:rStyle w:val="Text13"/>
              </w:rPr>
              <w:t xml:space="preserve">=</w:t>
              <w:br w:clear="none"/>
            </w:r>
            <w:r>
              <w:t xml:space="preserve">m</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time</w:t>
              <w:br w:clear="none"/>
            </w:r>
            <w:r>
              <w:rPr>
                <w:rStyle w:val="Text7"/>
              </w:rPr>
              <w:t xml:space="preserve">(</w:t>
              <w:br w:clear="none"/>
            </w:r>
            <w:r>
              <w:t xml:space="preserve">x</w:t>
              <w:br w:clear="none"/>
            </w:r>
            <w:r>
              <w:rPr>
                <w:rStyle w:val="Text7"/>
              </w:rPr>
              <w:t xml:space="preserve">,</w:t>
              <w:br w:clear="none"/>
            </w:r>
            <w:r>
              <w:t xml:space="preserve">m</w:t>
              <w:br w:clear="none"/>
            </w:r>
            <w:r>
              <w:rPr>
                <w:rStyle w:val="Text7"/>
              </w:rPr>
              <w:t xml:space="preserve">,</w:t>
              <w:br w:clear="none"/>
            </w:r>
            <w:r>
              <w:t xml:space="preserve">z</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strftime</w:t>
            </w:r>
          </w:p>
        </w:tc>
        <w:tc>
          <w:tcPr>
            <w:tcW w:type="auto" w:w="0"/>
            <w:tcMar>
              <w:left w:type="dxa" w:w="200"/>
              <w:top w:type="dxa" w:w="200"/>
              <w:right w:type="dxa" w:w="200"/>
              <w:bottom w:type="dxa" w:w="200"/>
            </w:tcMar>
          </w:tcPr>
          <w:p>
            <w:pPr>
              <w:pStyle w:val="Para 002"/>
            </w:pPr>
            <w:r>
              <w:rPr>
                <w:rStyle w:val="Text3"/>
              </w:rPr>
              <w:t>t</w:t>
            </w:r>
            <w:r>
              <w:rPr>
                <w:rStyle w:val="Text0"/>
              </w:rPr>
              <w:t>.strftime(</w:t>
            </w:r>
            <w:r>
              <w:rPr>
                <w:rStyle w:val="Text3"/>
              </w:rPr>
              <w:t>fmt</w:t>
            </w:r>
            <w:r>
              <w:rPr>
                <w:rStyle w:val="Text0"/>
              </w:rPr>
              <w:t>)</w:t>
              <w:br w:clear="none"/>
            </w:r>
            <w:r>
              <w:t xml:space="preserve"> Returns a string representing time </w:t>
            </w:r>
            <w:r>
              <w:rPr>
                <w:rStyle w:val="Text3"/>
              </w:rPr>
              <w:t>t</w:t>
            </w:r>
            <w:r>
              <w:t xml:space="preserve"> as specified by the string </w:t>
            </w:r>
            <w:r>
              <w:rPr>
                <w:rStyle w:val="Text3"/>
              </w:rPr>
              <w:t>fmt</w:t>
            </w:r>
            <w:r>
              <w:t>.</w:t>
            </w:r>
          </w:p>
        </w:tc>
      </w:tr>
    </w:tbl>
    <w:p>
      <w:pPr>
        <w:pStyle w:val="Normal"/>
      </w:pPr>
      <w:r>
        <w:t xml:space="preserve">An instance </w:t>
      </w:r>
      <w:r>
        <w:rPr>
          <w:rStyle w:val="Text3"/>
        </w:rPr>
        <w:t>t</w:t>
      </w:r>
      <w:r>
        <w:t xml:space="preserve"> of the class </w:t>
      </w:r>
      <w:r>
        <w:rPr>
          <w:rStyle w:val="Text0"/>
        </w:rPr>
        <w:t>time</w:t>
      </w:r>
      <w:r>
        <w:t xml:space="preserve"> also supplies methods</w:t>
      </w:r>
      <w:r>
        <w:rPr>
          <w:rStyle w:val="Text111"/>
        </w:rPr>
        <w:bookmarkStart w:id="3126" w:name="idm45965196265120"/>
        <w:t/>
        <w:bookmarkEnd w:id="3126"/>
        <w:bookmarkStart w:id="3127" w:name="idm45965196264016"/>
        <w:t/>
        <w:bookmarkEnd w:id="3127"/>
        <w:bookmarkStart w:id="3128" w:name="idm45965196261504"/>
        <w:t/>
        <w:bookmarkEnd w:id="3128"/>
      </w:r>
      <w:r>
        <w:t xml:space="preserve"> </w:t>
      </w:r>
      <w:r>
        <w:rPr>
          <w:rStyle w:val="Text0"/>
        </w:rPr>
        <w:t>dst</w:t>
      </w:r>
      <w:r>
        <w:t xml:space="preserve">, </w:t>
      </w:r>
      <w:r>
        <w:rPr>
          <w:rStyle w:val="Text0"/>
        </w:rPr>
        <w:t>tzname</w:t>
      </w:r>
      <w:r>
        <w:t xml:space="preserve">, and </w:t>
      </w:r>
      <w:r>
        <w:rPr>
          <w:rStyle w:val="Text0"/>
        </w:rPr>
        <w:t>utcoffset</w:t>
      </w:r>
      <w:r>
        <w:t xml:space="preserve">, which accept no arguments and delegate to </w:t>
      </w:r>
      <w:r>
        <w:rPr>
          <w:rStyle w:val="Text3"/>
        </w:rPr>
        <w:t>t</w:t>
      </w:r>
      <w:r>
        <w:rPr>
          <w:rStyle w:val="Text0"/>
        </w:rPr>
        <w:t>.tzinfo</w:t>
      </w:r>
      <w:r>
        <w:t xml:space="preserve">, returning </w:t>
      </w:r>
      <w:r>
        <w:rPr>
          <w:rStyle w:val="Text5"/>
        </w:rPr>
        <w:t>None</w:t>
      </w:r>
      <w:r>
        <w:t xml:space="preserve"> when </w:t>
      </w:r>
      <w:r>
        <w:rPr>
          <w:rStyle w:val="Text3"/>
        </w:rPr>
        <w:t>t</w:t>
      </w:r>
      <w:r>
        <w:rPr>
          <w:rStyle w:val="Text0"/>
        </w:rPr>
        <w:t>.tzinfo</w:t>
      </w:r>
      <w:r>
        <w:t xml:space="preserve"> is </w:t>
      </w:r>
      <w:r>
        <w:rPr>
          <w:rStyle w:val="Text5"/>
        </w:rPr>
        <w:t>None</w:t>
      </w:r>
      <w:r>
        <w:t>.</w:t>
      </w:r>
    </w:p>
    <w:p>
      <w:bookmarkStart w:id="3129" w:name="The_datetime_Class__Instances_of"/>
      <w:pPr>
        <w:keepNext/>
        <w:pStyle w:val="Heading 2"/>
      </w:pPr>
      <w:r>
        <w:t>The datetime Class</w:t>
      </w:r>
      <w:bookmarkEnd w:id="3129"/>
    </w:p>
    <w:p>
      <w:pPr>
        <w:pStyle w:val="Normal"/>
      </w:pPr>
      <w:r>
        <w:t>Instances</w:t>
      </w:r>
      <w:r>
        <w:rPr>
          <w:rStyle w:val="Text111"/>
        </w:rPr>
        <w:bookmarkStart w:id="3130" w:name="idm45965196252400"/>
        <w:t/>
        <w:bookmarkEnd w:id="3130"/>
        <w:bookmarkStart w:id="3131" w:name="datetimecl13"/>
        <w:t/>
        <w:bookmarkEnd w:id="3131"/>
      </w:r>
      <w:r>
        <w:t xml:space="preserve"> of the </w:t>
      </w:r>
      <w:r>
        <w:rPr>
          <w:rStyle w:val="Text0"/>
        </w:rPr>
        <w:t>datetime</w:t>
      </w:r>
      <w:r>
        <w:t xml:space="preserve"> class represent an instant (a date, with a specific time of day within that date), may be naive or aware of time zones, and always ignore leap seconds. </w:t>
      </w:r>
      <w:r>
        <w:rPr>
          <w:rStyle w:val="Text0"/>
        </w:rPr>
        <w:t>datetime</w:t>
      </w:r>
      <w:r>
        <w:t xml:space="preserve"> extends </w:t>
      </w:r>
      <w:r>
        <w:rPr>
          <w:rStyle w:val="Text0"/>
        </w:rPr>
        <w:t>date</w:t>
      </w:r>
      <w:r>
        <w:t xml:space="preserve"> and adds </w:t>
      </w:r>
      <w:r>
        <w:rPr>
          <w:rStyle w:val="Text0"/>
        </w:rPr>
        <w:t>time</w:t>
      </w:r>
      <w:r>
        <w:t xml:space="preserve">’s attributes; its instances have read-only integer attributes </w:t>
      </w:r>
      <w:r>
        <w:rPr>
          <w:rStyle w:val="Text0"/>
        </w:rPr>
        <w:t>year</w:t>
      </w:r>
      <w:r>
        <w:t xml:space="preserve">, </w:t>
      </w:r>
      <w:r>
        <w:rPr>
          <w:rStyle w:val="Text0"/>
        </w:rPr>
        <w:t>month</w:t>
      </w:r>
      <w:r>
        <w:t xml:space="preserve">, </w:t>
      </w:r>
      <w:r>
        <w:rPr>
          <w:rStyle w:val="Text0"/>
        </w:rPr>
        <w:t>day</w:t>
      </w:r>
      <w:r>
        <w:t xml:space="preserve">, </w:t>
      </w:r>
      <w:r>
        <w:rPr>
          <w:rStyle w:val="Text0"/>
        </w:rPr>
        <w:t>hour</w:t>
      </w:r>
      <w:r>
        <w:t xml:space="preserve">, </w:t>
      </w:r>
      <w:r>
        <w:rPr>
          <w:rStyle w:val="Text0"/>
        </w:rPr>
        <w:t>minute</w:t>
      </w:r>
      <w:r>
        <w:t xml:space="preserve">, </w:t>
      </w:r>
      <w:r>
        <w:rPr>
          <w:rStyle w:val="Text0"/>
        </w:rPr>
        <w:t>second</w:t>
      </w:r>
      <w:r>
        <w:t xml:space="preserve">, and </w:t>
      </w:r>
      <w:r>
        <w:rPr>
          <w:rStyle w:val="Text0"/>
        </w:rPr>
        <w:t>microsecond</w:t>
      </w:r>
      <w:r>
        <w:t xml:space="preserve">, and an optional </w:t>
      </w:r>
      <w:r>
        <w:rPr>
          <w:rStyle w:val="Text0"/>
        </w:rPr>
        <w:t>tzinfo</w:t>
      </w:r>
      <w:r>
        <w:t xml:space="preserve"> attribute (</w:t>
      </w:r>
      <w:r>
        <w:rPr>
          <w:rStyle w:val="Text5"/>
        </w:rPr>
        <w:t>None</w:t>
      </w:r>
      <w:r>
        <w:t xml:space="preserve"> for naive instances). In addition, </w:t>
      </w:r>
      <w:r>
        <w:rPr>
          <w:rStyle w:val="Text0"/>
        </w:rPr>
        <w:t>datetime</w:t>
      </w:r>
      <w:r>
        <w:t xml:space="preserve"> instances have a readonly </w:t>
      </w:r>
      <w:r>
        <w:rPr>
          <w:rStyle w:val="Text0"/>
        </w:rPr>
        <w:t>fold</w:t>
      </w:r>
      <w:r>
        <w:t xml:space="preserve"> attribute to distinguish between ambiguous timestamps during a rollback of the clock (such as the “fall back” at the end of daylight savings time, which creates duplicate naive times between 1 A.M. and 2 A.M.). </w:t>
      </w:r>
      <w:r>
        <w:rPr>
          <w:rStyle w:val="Text0"/>
        </w:rPr>
        <w:t>fold</w:t>
      </w:r>
      <w:r>
        <w:t xml:space="preserve"> has the value </w:t>
      </w:r>
      <w:r>
        <w:rPr>
          <w:rStyle w:val="Text0"/>
        </w:rPr>
        <w:t>0</w:t>
      </w:r>
      <w:r>
        <w:t xml:space="preserve"> or </w:t>
      </w:r>
      <w:r>
        <w:rPr>
          <w:rStyle w:val="Text0"/>
        </w:rPr>
        <w:t>1</w:t>
      </w:r>
      <w:r>
        <w:t xml:space="preserve"> </w:t>
      </w:r>
      <w:r>
        <w:rPr>
          <w:rStyle w:val="Text0"/>
        </w:rPr>
        <w:t>0</w:t>
      </w:r>
      <w:r>
        <w:t xml:space="preserve"> corresponds to the time </w:t>
      </w:r>
      <w:r>
        <w:rPr>
          <w:rStyle w:val="Text4"/>
        </w:rPr>
        <w:t>before</w:t>
      </w:r>
      <w:r>
        <w:t xml:space="preserve"> the rollback; </w:t>
      </w:r>
      <w:r>
        <w:rPr>
          <w:rStyle w:val="Text0"/>
        </w:rPr>
        <w:t>1</w:t>
      </w:r>
      <w:r>
        <w:t xml:space="preserve"> to the time </w:t>
      </w:r>
      <w:r>
        <w:rPr>
          <w:rStyle w:val="Text4"/>
        </w:rPr>
        <w:t>after</w:t>
      </w:r>
      <w:r>
        <w:t xml:space="preserve"> the rollback.</w:t>
      </w:r>
    </w:p>
    <w:p>
      <w:pPr>
        <w:pStyle w:val="Normal"/>
      </w:pPr>
      <w:r>
        <w:t xml:space="preserve">Instances of </w:t>
      </w:r>
      <w:r>
        <w:rPr>
          <w:rStyle w:val="Text0"/>
        </w:rPr>
        <w:t>datetime</w:t>
      </w:r>
      <w:r>
        <w:t xml:space="preserve"> support some arithmetic: the difference between </w:t>
      </w:r>
      <w:r>
        <w:rPr>
          <w:rStyle w:val="Text0"/>
        </w:rPr>
        <w:t>datetime</w:t>
      </w:r>
      <w:r>
        <w:t xml:space="preserve"> instances (both aware, or both naive) is a </w:t>
      </w:r>
      <w:r>
        <w:rPr>
          <w:rStyle w:val="Text0"/>
        </w:rPr>
        <w:t>timedelta</w:t>
      </w:r>
      <w:r>
        <w:t xml:space="preserve"> instance, and you can add or subtract a </w:t>
      </w:r>
      <w:r>
        <w:rPr>
          <w:rStyle w:val="Text0"/>
        </w:rPr>
        <w:t>timedelta</w:t>
      </w:r>
      <w:r>
        <w:t xml:space="preserve"> instance to or from a </w:t>
      </w:r>
      <w:r>
        <w:rPr>
          <w:rStyle w:val="Text0"/>
        </w:rPr>
        <w:t>datetime</w:t>
      </w:r>
      <w:r>
        <w:t xml:space="preserve"> instance to construct another </w:t>
      </w:r>
      <w:r>
        <w:rPr>
          <w:rStyle w:val="Text0"/>
        </w:rPr>
        <w:t>datetime</w:t>
      </w:r>
      <w:r>
        <w:t xml:space="preserve"> instance. You can compare two instances of the </w:t>
      </w:r>
      <w:r>
        <w:rPr>
          <w:rStyle w:val="Text0"/>
        </w:rPr>
        <w:t>datetime</w:t>
      </w:r>
      <w:r>
        <w:t xml:space="preserve"> class (the later one is greater) as long as they’re both aware or both naive. The constructor for this class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datetime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datetime(</w:t>
            </w:r>
            <w:r>
              <w:rPr>
                <w:rStyle w:val="Text3"/>
              </w:rPr>
              <w:t>year</w:t>
            </w:r>
            <w:r>
              <w:rPr>
                <w:rStyle w:val="Text0"/>
              </w:rPr>
              <w:t>,</w:t>
            </w:r>
            <w:r>
              <w:t xml:space="preserve"> </w:t>
            </w:r>
            <w:r>
              <w:rPr>
                <w:rStyle w:val="Text3"/>
              </w:rPr>
              <w:t>month</w:t>
            </w:r>
            <w:r>
              <w:rPr>
                <w:rStyle w:val="Text0"/>
              </w:rPr>
              <w:t>,</w:t>
            </w:r>
            <w:r>
              <w:t xml:space="preserve"> </w:t>
            </w:r>
            <w:r>
              <w:rPr>
                <w:rStyle w:val="Text3"/>
              </w:rPr>
              <w:t>day</w:t>
            </w:r>
            <w:r>
              <w:rPr>
                <w:rStyle w:val="Text0"/>
              </w:rPr>
              <w:t>, hour=0, minute=0, second=0, microsecond=0, tzinfo=</w:t>
            </w:r>
            <w:r>
              <w:rPr>
                <w:rStyle w:val="Text5"/>
              </w:rPr>
              <w:t>None</w:t>
            </w:r>
            <w:r>
              <w:rPr>
                <w:rStyle w:val="Text0"/>
              </w:rPr>
              <w:t>, *, fold=0)</w:t>
              <w:br w:clear="none"/>
            </w:r>
            <w:r>
              <w:t xml:space="preserve"> Returns a </w:t>
            </w:r>
            <w:r>
              <w:rPr>
                <w:rStyle w:val="Text0"/>
              </w:rPr>
              <w:t>datetime</w:t>
            </w:r>
            <w:r>
              <w:t xml:space="preserve"> object following similar constraints as the </w:t>
            </w:r>
            <w:r>
              <w:rPr>
                <w:rStyle w:val="Text0"/>
              </w:rPr>
              <w:t>date</w:t>
            </w:r>
            <w:r>
              <w:t xml:space="preserve"> class constructor. </w:t>
            </w:r>
            <w:r>
              <w:rPr>
                <w:rStyle w:val="Text0"/>
              </w:rPr>
              <w:t>fold</w:t>
            </w:r>
            <w:r>
              <w:t xml:space="preserve"> is an </w:t>
            </w:r>
            <w:r>
              <w:rPr>
                <w:rStyle w:val="Text0"/>
              </w:rPr>
              <w:t>int</w:t>
            </w:r>
            <w:r>
              <w:t xml:space="preserve"> with the value </w:t>
            </w:r>
            <w:r>
              <w:rPr>
                <w:rStyle w:val="Text0"/>
              </w:rPr>
              <w:t>0</w:t>
            </w:r>
            <w:r>
              <w:t xml:space="preserve"> or </w:t>
            </w:r>
            <w:r>
              <w:rPr>
                <w:rStyle w:val="Text0"/>
              </w:rPr>
              <w:t>1</w:t>
            </w:r>
            <w:r>
              <w:t>, as described previously.</w:t>
            </w:r>
          </w:p>
        </w:tc>
      </w:tr>
    </w:tbl>
    <w:p>
      <w:pPr>
        <w:pStyle w:val="Normal"/>
      </w:pPr>
      <w:r>
        <w:rPr>
          <w:rStyle w:val="Text0"/>
        </w:rPr>
        <w:t>datetime</w:t>
      </w:r>
      <w:r>
        <w:t xml:space="preserve"> also supplies some class methods usable as alternative constructors, covered in </w:t>
      </w:r>
      <w:hyperlink w:anchor="Table_13_7__Alternative_datetime">
        <w:r>
          <w:rPr>
            <w:rStyle w:val="Text1"/>
          </w:rPr>
          <w:t>Table 13-7</w:t>
        </w:r>
      </w:hyperlink>
      <w:r>
        <w:t>.</w:t>
      </w:r>
    </w:p>
    <w:tbl>
      <w:tblPr>
        <w:tblW w:type="auto" w:w="0"/>
      </w:tblPr>
      <w:tr>
        <w:tc>
          <w:tcPr>
            <w:tcW w:type="auto" w:w="0"/>
            <w:tcMar>
              <w:left w:type="dxa" w:w="200"/>
              <w:top w:type="dxa" w:w="200"/>
              <w:right w:type="dxa" w:w="200"/>
              <w:bottom w:type="dxa" w:w="200"/>
            </w:tcMar>
          </w:tcPr>
          <w:p>
            <w:bookmarkStart w:id="3132" w:name="Table_13_7__Alternative_datetime"/>
            <w:pPr>
              <w:pStyle w:val="Para 011"/>
            </w:pPr>
            <w:r>
              <w:rPr>
                <w:rStyle w:val="Text117"/>
              </w:rPr>
              <w:t/>
            </w:r>
            <w:r>
              <w:t xml:space="preserve">Table 13-7. </w:t>
              <w:t xml:space="preserve">Alternative </w:t>
            </w:r>
            <w:r>
              <w:rPr>
                <w:rStyle w:val="Text0"/>
              </w:rPr>
              <w:t>datetime</w:t>
            </w:r>
            <w:r>
              <w:t xml:space="preserve"> constructors</w:t>
            </w:r>
            <w:bookmarkEnd w:id="3132"/>
          </w:p>
          <w:p>
            <w:pPr>
              <w:pStyle w:val="Para 001"/>
            </w:pPr>
            <w:r>
              <w:t>combine</w:t>
            </w:r>
          </w:p>
        </w:tc>
        <w:tc>
          <w:tcPr>
            <w:tcW w:type="auto" w:w="0"/>
            <w:tcMar>
              <w:left w:type="dxa" w:w="200"/>
              <w:top w:type="dxa" w:w="200"/>
              <w:right w:type="dxa" w:w="200"/>
              <w:bottom w:type="dxa" w:w="200"/>
            </w:tcMar>
          </w:tcPr>
          <w:p>
            <w:pPr>
              <w:pStyle w:val="Para 002"/>
            </w:pPr>
            <w:r>
              <w:rPr>
                <w:rStyle w:val="Text0"/>
              </w:rPr>
              <w:t>datetime.combine(</w:t>
            </w:r>
            <w:r>
              <w:rPr>
                <w:rStyle w:val="Text3"/>
              </w:rPr>
              <w:t>date</w:t>
            </w:r>
            <w:r>
              <w:rPr>
                <w:rStyle w:val="Text0"/>
              </w:rPr>
              <w:t>,</w:t>
            </w:r>
            <w:r>
              <w:t xml:space="preserve"> </w:t>
            </w:r>
            <w:r>
              <w:rPr>
                <w:rStyle w:val="Text3"/>
              </w:rPr>
              <w:t>time</w:t>
            </w:r>
            <w:r>
              <w:rPr>
                <w:rStyle w:val="Text0"/>
              </w:rPr>
              <w:t>)</w:t>
              <w:br w:clear="none"/>
            </w:r>
            <w:r>
              <w:t xml:space="preserve"> Returns</w:t>
            </w:r>
            <w:r>
              <w:rPr>
                <w:rStyle w:val="Text111"/>
              </w:rPr>
              <w:bookmarkStart w:id="3133" w:name="idm45965196206928"/>
              <w:t/>
              <w:bookmarkEnd w:id="3133"/>
            </w:r>
            <w:r>
              <w:t xml:space="preserve"> a </w:t>
            </w:r>
            <w:r>
              <w:rPr>
                <w:rStyle w:val="Text0"/>
              </w:rPr>
              <w:t>datetime</w:t>
            </w:r>
            <w:r>
              <w:t xml:space="preserve"> object with the date attributes taken from </w:t>
            </w:r>
            <w:r>
              <w:rPr>
                <w:rStyle w:val="Text3"/>
              </w:rPr>
              <w:t>date</w:t>
            </w:r>
            <w:r>
              <w:t xml:space="preserve"> and the time attributes (including </w:t>
            </w:r>
            <w:r>
              <w:rPr>
                <w:rStyle w:val="Text0"/>
              </w:rPr>
              <w:t>tzinfo</w:t>
            </w:r>
            <w:r>
              <w:t xml:space="preserve">) taken from </w:t>
            </w:r>
            <w:r>
              <w:rPr>
                <w:rStyle w:val="Text3"/>
              </w:rPr>
              <w:t>time</w:t>
            </w:r>
            <w:r>
              <w:t xml:space="preserve">. </w:t>
            </w:r>
            <w:r>
              <w:rPr>
                <w:rStyle w:val="Text0"/>
              </w:rPr>
              <w:t>datetime.combine(</w:t>
            </w:r>
            <w:r>
              <w:rPr>
                <w:rStyle w:val="Text3"/>
              </w:rPr>
              <w:t>d, t</w:t>
            </w:r>
            <w:r>
              <w:rPr>
                <w:rStyle w:val="Text0"/>
              </w:rPr>
              <w:t>)</w:t>
            </w:r>
            <w:r>
              <w:t xml:space="preserve"> is like: </w:t>
            </w:r>
          </w:p>
          <w:p>
            <w:pPr>
              <w:pStyle w:val="Para 025"/>
            </w:pPr>
            <w:r>
              <w:rPr>
                <w:rStyle w:val="Text23"/>
              </w:rPr>
              <w:t xml:space="preserve"/>
              <w:br w:clear="none"/>
            </w:r>
            <w:r>
              <w:t xml:space="preserve">datetime</w:t>
              <w:br w:clear="none"/>
            </w:r>
            <w:r>
              <w:rPr>
                <w:rStyle w:val="Text7"/>
              </w:rPr>
              <w:t xml:space="preserve">(</w:t>
              <w:br w:clear="none"/>
            </w:r>
            <w:r>
              <w:t xml:space="preserve">d</w:t>
              <w:br w:clear="none"/>
            </w:r>
            <w:r>
              <w:rPr>
                <w:rStyle w:val="Text13"/>
              </w:rPr>
              <w:t xml:space="preserve">.</w:t>
              <w:br w:clear="none"/>
            </w:r>
            <w:r>
              <w:t xml:space="preserve">year</w:t>
              <w:br w:clear="none"/>
            </w:r>
            <w:r>
              <w:rPr>
                <w:rStyle w:val="Text7"/>
              </w:rPr>
              <w:t xml:space="preserve">,</w:t>
              <w:br w:clear="none"/>
            </w:r>
            <w:r>
              <w:rPr>
                <w:rStyle w:val="Text23"/>
              </w:rPr>
              <w:t xml:space="preserve"> </w:t>
              <w:br w:clear="none"/>
            </w:r>
            <w:r>
              <w:t xml:space="preserve">d</w:t>
              <w:br w:clear="none"/>
            </w:r>
            <w:r>
              <w:rPr>
                <w:rStyle w:val="Text13"/>
              </w:rPr>
              <w:t xml:space="preserve">.</w:t>
              <w:br w:clear="none"/>
            </w:r>
            <w:r>
              <w:t xml:space="preserve">month</w:t>
              <w:br w:clear="none"/>
            </w:r>
            <w:r>
              <w:rPr>
                <w:rStyle w:val="Text7"/>
              </w:rPr>
              <w:t xml:space="preserve">,</w:t>
              <w:br w:clear="none"/>
            </w:r>
            <w:r>
              <w:rPr>
                <w:rStyle w:val="Text23"/>
              </w:rPr>
              <w:t xml:space="preserve"> </w:t>
              <w:br w:clear="none"/>
            </w:r>
            <w:r>
              <w:t xml:space="preserve">d</w:t>
              <w:br w:clear="none"/>
            </w:r>
            <w:r>
              <w:rPr>
                <w:rStyle w:val="Text13"/>
              </w:rPr>
              <w:t xml:space="preserve">.</w:t>
              <w:br w:clear="none"/>
            </w:r>
            <w:r>
              <w:t xml:space="preserve">day</w:t>
              <w:br w:clear="none"/>
            </w:r>
            <w:r>
              <w:rPr>
                <w:rStyle w:val="Text7"/>
              </w:rPr>
              <w:t xml:space="preserve">,</w:t>
              <w:br w:clear="none"/>
            </w:r>
            <w:r>
              <w:rPr>
                <w:rStyle w:val="Text23"/>
              </w:rPr>
              <w:t xml:space="preserve"/>
              <w:br w:clear="none"/>
              <w:t xml:space="preserve">         </w:t>
              <w:br w:clear="none"/>
            </w:r>
            <w:r>
              <w:t xml:space="preserve">t</w:t>
              <w:br w:clear="none"/>
            </w:r>
            <w:r>
              <w:rPr>
                <w:rStyle w:val="Text13"/>
              </w:rPr>
              <w:t xml:space="preserve">.</w:t>
              <w:br w:clear="none"/>
            </w:r>
            <w:r>
              <w:t xml:space="preserve">hour</w:t>
              <w:br w:clear="none"/>
            </w:r>
            <w:r>
              <w:rPr>
                <w:rStyle w:val="Text7"/>
              </w:rPr>
              <w:t xml:space="preserve">,</w:t>
              <w:br w:clear="none"/>
            </w:r>
            <w:r>
              <w:rPr>
                <w:rStyle w:val="Text23"/>
              </w:rPr>
              <w:t xml:space="preserve"> </w:t>
              <w:br w:clear="none"/>
            </w:r>
            <w:r>
              <w:t xml:space="preserve">t</w:t>
              <w:br w:clear="none"/>
            </w:r>
            <w:r>
              <w:rPr>
                <w:rStyle w:val="Text13"/>
              </w:rPr>
              <w:t xml:space="preserve">.</w:t>
              <w:br w:clear="none"/>
            </w:r>
            <w:r>
              <w:t xml:space="preserve">minute</w:t>
              <w:br w:clear="none"/>
            </w:r>
            <w:r>
              <w:rPr>
                <w:rStyle w:val="Text7"/>
              </w:rPr>
              <w:t xml:space="preserve">,</w:t>
              <w:br w:clear="none"/>
            </w:r>
            <w:r>
              <w:rPr>
                <w:rStyle w:val="Text23"/>
              </w:rPr>
              <w:t xml:space="preserve"> </w:t>
              <w:br w:clear="none"/>
            </w:r>
            <w:r>
              <w:t xml:space="preserve">t</w:t>
              <w:br w:clear="none"/>
            </w:r>
            <w:r>
              <w:rPr>
                <w:rStyle w:val="Text13"/>
              </w:rPr>
              <w:t xml:space="preserve">.</w:t>
              <w:br w:clear="none"/>
            </w:r>
            <w:r>
              <w:t xml:space="preserve">second</w:t>
              <w:br w:clear="none"/>
            </w:r>
            <w:r>
              <w:rPr>
                <w:rStyle w:val="Text7"/>
              </w:rPr>
              <w:t xml:space="preserve">,</w:t>
              <w:br w:clear="none"/>
            </w:r>
            <w:r>
              <w:rPr>
                <w:rStyle w:val="Text23"/>
              </w:rPr>
              <w:t xml:space="preserve"/>
              <w:br w:clear="none"/>
              <w:t xml:space="preserve">         </w:t>
              <w:br w:clear="none"/>
            </w:r>
            <w:r>
              <w:t xml:space="preserve">t</w:t>
              <w:br w:clear="none"/>
            </w:r>
            <w:r>
              <w:rPr>
                <w:rStyle w:val="Text13"/>
              </w:rPr>
              <w:t xml:space="preserve">.</w:t>
              <w:br w:clear="none"/>
            </w:r>
            <w:r>
              <w:t xml:space="preserve">microsecond</w:t>
              <w:br w:clear="none"/>
            </w:r>
            <w:r>
              <w:rPr>
                <w:rStyle w:val="Text7"/>
              </w:rPr>
              <w:t xml:space="preserve">,</w:t>
              <w:br w:clear="none"/>
            </w:r>
            <w:r>
              <w:rPr>
                <w:rStyle w:val="Text23"/>
              </w:rPr>
              <w:t xml:space="preserve"> </w:t>
              <w:br w:clear="none"/>
            </w:r>
            <w:r>
              <w:t xml:space="preserve">t</w:t>
              <w:br w:clear="none"/>
            </w:r>
            <w:r>
              <w:rPr>
                <w:rStyle w:val="Text13"/>
              </w:rPr>
              <w:t xml:space="preserve">.</w:t>
              <w:br w:clear="none"/>
            </w:r>
            <w:r>
              <w:t xml:space="preserve">tzinfo</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fromordinal</w:t>
            </w:r>
          </w:p>
        </w:tc>
        <w:tc>
          <w:tcPr>
            <w:tcW w:type="auto" w:w="0"/>
            <w:shd w:val="clear" w:color="auto" w:fill="EEF2F6"/>
            <w:tcMar>
              <w:left w:type="dxa" w:w="200"/>
              <w:top w:type="dxa" w:w="200"/>
              <w:right w:type="dxa" w:w="200"/>
              <w:bottom w:type="dxa" w:w="200"/>
            </w:tcMar>
          </w:tcPr>
          <w:p>
            <w:pPr>
              <w:pStyle w:val="Para 002"/>
            </w:pPr>
            <w:r>
              <w:rPr>
                <w:rStyle w:val="Text0"/>
              </w:rPr>
              <w:t>datetime.fromordinal(</w:t>
            </w:r>
            <w:r>
              <w:rPr>
                <w:rStyle w:val="Text3"/>
              </w:rPr>
              <w:t>ordinal</w:t>
            </w:r>
            <w:r>
              <w:rPr>
                <w:rStyle w:val="Text0"/>
              </w:rPr>
              <w:t>)</w:t>
              <w:br w:clear="none"/>
            </w:r>
            <w:r>
              <w:t xml:space="preserve"> Returns</w:t>
            </w:r>
            <w:r>
              <w:rPr>
                <w:rStyle w:val="Text111"/>
              </w:rPr>
              <w:bookmarkStart w:id="3134" w:name="idm45965196143696"/>
              <w:t/>
              <w:bookmarkEnd w:id="3134"/>
            </w:r>
            <w:r>
              <w:t xml:space="preserve"> a </w:t>
            </w:r>
            <w:r>
              <w:rPr>
                <w:rStyle w:val="Text0"/>
              </w:rPr>
              <w:t>datetime</w:t>
            </w:r>
            <w:r>
              <w:t xml:space="preserve"> object for the date given proleptic Gregorian ordinal </w:t>
            </w:r>
            <w:r>
              <w:rPr>
                <w:rStyle w:val="Text3"/>
              </w:rPr>
              <w:t>ordinal</w:t>
            </w:r>
            <w:r>
              <w:t xml:space="preserve">, where a value of </w:t>
            </w:r>
            <w:r>
              <w:rPr>
                <w:rStyle w:val="Text0"/>
              </w:rPr>
              <w:t>1</w:t>
            </w:r>
            <w:r>
              <w:t xml:space="preserve"> means the first day of year 1 CE, at midnight.</w:t>
            </w:r>
          </w:p>
        </w:tc>
      </w:tr>
    </w:tbl>
    <w:tbl>
      <w:tblPr>
        <w:tblW w:type="auto" w:w="0"/>
      </w:tblPr>
      <w:tr>
        <w:tc>
          <w:tcPr>
            <w:tcW w:type="auto" w:w="0"/>
            <w:tcMar>
              <w:left w:type="dxa" w:w="200"/>
              <w:top w:type="dxa" w:w="200"/>
              <w:right w:type="dxa" w:w="200"/>
              <w:bottom w:type="dxa" w:w="200"/>
            </w:tcMar>
          </w:tcPr>
          <w:p>
            <w:pPr>
              <w:pStyle w:val="Para 001"/>
            </w:pPr>
            <w:r>
              <w:t>fromt⁠i⁠m⁠e​s⁠t⁠a⁠mp</w:t>
            </w:r>
          </w:p>
        </w:tc>
        <w:tc>
          <w:tcPr>
            <w:tcW w:type="auto" w:w="0"/>
            <w:tcMar>
              <w:left w:type="dxa" w:w="200"/>
              <w:top w:type="dxa" w:w="200"/>
              <w:right w:type="dxa" w:w="200"/>
              <w:bottom w:type="dxa" w:w="200"/>
            </w:tcMar>
          </w:tcPr>
          <w:p>
            <w:pPr>
              <w:pStyle w:val="Para 002"/>
            </w:pPr>
            <w:r>
              <w:rPr>
                <w:rStyle w:val="Text0"/>
              </w:rPr>
              <w:t>datetime.fromtimestamp(</w:t>
            </w:r>
            <w:r>
              <w:rPr>
                <w:rStyle w:val="Text3"/>
              </w:rPr>
              <w:t>timestamp</w:t>
            </w:r>
            <w:r>
              <w:rPr>
                <w:rStyle w:val="Text0"/>
              </w:rPr>
              <w:t>, tz=</w:t>
            </w:r>
            <w:r>
              <w:rPr>
                <w:rStyle w:val="Text5"/>
              </w:rPr>
              <w:t>None</w:t>
            </w:r>
            <w:r>
              <w:rPr>
                <w:rStyle w:val="Text0"/>
              </w:rPr>
              <w:t>)</w:t>
              <w:br w:clear="none"/>
            </w:r>
            <w:r>
              <w:t xml:space="preserve"> Returns</w:t>
            </w:r>
            <w:r>
              <w:rPr>
                <w:rStyle w:val="Text111"/>
              </w:rPr>
              <w:bookmarkStart w:id="3135" w:name="idm45965196129184"/>
              <w:t/>
              <w:bookmarkEnd w:id="3135"/>
            </w:r>
            <w:r>
              <w:t xml:space="preserve"> a </w:t>
            </w:r>
            <w:r>
              <w:rPr>
                <w:rStyle w:val="Text0"/>
              </w:rPr>
              <w:t>datetime</w:t>
            </w:r>
            <w:r>
              <w:t xml:space="preserve"> object corresponding to the instant </w:t>
            </w:r>
            <w:r>
              <w:rPr>
                <w:rStyle w:val="Text3"/>
              </w:rPr>
              <w:t>timestamp</w:t>
            </w:r>
            <w:r>
              <w:t xml:space="preserve"> expressed in seconds since the epoch, in local time. When </w:t>
            </w:r>
            <w:r>
              <w:rPr>
                <w:rStyle w:val="Text0"/>
              </w:rPr>
              <w:t>tz</w:t>
            </w:r>
            <w:r>
              <w:t xml:space="preserve"> is not </w:t>
            </w:r>
            <w:r>
              <w:rPr>
                <w:rStyle w:val="Text5"/>
              </w:rPr>
              <w:t>None</w:t>
            </w:r>
            <w:r>
              <w:t xml:space="preserve">, returns an aware </w:t>
            </w:r>
            <w:r>
              <w:rPr>
                <w:rStyle w:val="Text0"/>
              </w:rPr>
              <w:t>datetime</w:t>
            </w:r>
            <w:r>
              <w:t xml:space="preserve"> object with the given </w:t>
            </w:r>
            <w:r>
              <w:rPr>
                <w:rStyle w:val="Text0"/>
              </w:rPr>
              <w:t>tzinfo</w:t>
            </w:r>
            <w:r>
              <w:t xml:space="preserve"> instance </w:t>
            </w:r>
            <w:r>
              <w:rPr>
                <w:rStyle w:val="Text0"/>
              </w:rPr>
              <w:t>tz</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now</w:t>
            </w:r>
          </w:p>
        </w:tc>
        <w:tc>
          <w:tcPr>
            <w:tcW w:type="auto" w:w="0"/>
            <w:shd w:val="clear" w:color="auto" w:fill="EEF2F6"/>
            <w:tcMar>
              <w:left w:type="dxa" w:w="200"/>
              <w:top w:type="dxa" w:w="200"/>
              <w:right w:type="dxa" w:w="200"/>
              <w:bottom w:type="dxa" w:w="200"/>
            </w:tcMar>
          </w:tcPr>
          <w:p>
            <w:pPr>
              <w:pStyle w:val="Para 002"/>
            </w:pPr>
            <w:r>
              <w:rPr>
                <w:rStyle w:val="Text0"/>
              </w:rPr>
              <w:t>datetime.now(tz=</w:t>
            </w:r>
            <w:r>
              <w:rPr>
                <w:rStyle w:val="Text5"/>
              </w:rPr>
              <w:t>None</w:t>
            </w:r>
            <w:r>
              <w:rPr>
                <w:rStyle w:val="Text0"/>
              </w:rPr>
              <w:t>)</w:t>
              <w:br w:clear="none"/>
            </w:r>
            <w:r>
              <w:t xml:space="preserve"> Returns</w:t>
            </w:r>
            <w:r>
              <w:rPr>
                <w:rStyle w:val="Text111"/>
              </w:rPr>
              <w:bookmarkStart w:id="3136" w:name="idm45965196119776"/>
              <w:t/>
              <w:bookmarkEnd w:id="3136"/>
            </w:r>
            <w:r>
              <w:t xml:space="preserve"> a naive </w:t>
            </w:r>
            <w:r>
              <w:rPr>
                <w:rStyle w:val="Text0"/>
              </w:rPr>
              <w:t>datetime</w:t>
            </w:r>
            <w:r>
              <w:t xml:space="preserve"> object for the current local date and time. When </w:t>
            </w:r>
            <w:r>
              <w:rPr>
                <w:rStyle w:val="Text0"/>
              </w:rPr>
              <w:t>tz</w:t>
            </w:r>
            <w:r>
              <w:t xml:space="preserve"> is not </w:t>
            </w:r>
            <w:r>
              <w:rPr>
                <w:rStyle w:val="Text5"/>
              </w:rPr>
              <w:t>None</w:t>
            </w:r>
            <w:r>
              <w:t xml:space="preserve">, returns an aware </w:t>
            </w:r>
            <w:r>
              <w:rPr>
                <w:rStyle w:val="Text0"/>
              </w:rPr>
              <w:t>datetime</w:t>
            </w:r>
            <w:r>
              <w:t xml:space="preserve"> object with the given </w:t>
            </w:r>
            <w:r>
              <w:rPr>
                <w:rStyle w:val="Text0"/>
              </w:rPr>
              <w:t>tzinfo</w:t>
            </w:r>
            <w:r>
              <w:t xml:space="preserve"> instance </w:t>
            </w:r>
            <w:r>
              <w:rPr>
                <w:rStyle w:val="Text0"/>
              </w:rPr>
              <w:t>tz</w:t>
            </w:r>
            <w:r>
              <w:t>.</w:t>
            </w:r>
          </w:p>
        </w:tc>
      </w:tr>
    </w:tbl>
    <w:tbl>
      <w:tblPr>
        <w:tblW w:type="auto" w:w="0"/>
      </w:tblPr>
      <w:tr>
        <w:tc>
          <w:tcPr>
            <w:tcW w:type="auto" w:w="0"/>
            <w:tcMar>
              <w:left w:type="dxa" w:w="200"/>
              <w:top w:type="dxa" w:w="200"/>
              <w:right w:type="dxa" w:w="200"/>
              <w:bottom w:type="dxa" w:w="200"/>
            </w:tcMar>
          </w:tcPr>
          <w:p>
            <w:pPr>
              <w:pStyle w:val="Para 001"/>
            </w:pPr>
            <w:r>
              <w:t>strptime</w:t>
            </w:r>
          </w:p>
        </w:tc>
        <w:tc>
          <w:tcPr>
            <w:tcW w:type="auto" w:w="0"/>
            <w:tcMar>
              <w:left w:type="dxa" w:w="200"/>
              <w:top w:type="dxa" w:w="200"/>
              <w:right w:type="dxa" w:w="200"/>
              <w:bottom w:type="dxa" w:w="200"/>
            </w:tcMar>
          </w:tcPr>
          <w:p>
            <w:pPr>
              <w:pStyle w:val="Para 002"/>
            </w:pPr>
            <w:r>
              <w:rPr>
                <w:rStyle w:val="Text0"/>
              </w:rPr>
              <w:t>datetime.strptime(</w:t>
            </w:r>
            <w:r>
              <w:rPr>
                <w:rStyle w:val="Text3"/>
              </w:rPr>
              <w:t>str</w:t>
            </w:r>
            <w:r>
              <w:rPr>
                <w:rStyle w:val="Text0"/>
              </w:rPr>
              <w:t>,</w:t>
            </w:r>
            <w:r>
              <w:t xml:space="preserve"> </w:t>
            </w:r>
            <w:r>
              <w:rPr>
                <w:rStyle w:val="Text3"/>
              </w:rPr>
              <w:t>fmt</w:t>
            </w:r>
            <w:r>
              <w:rPr>
                <w:rStyle w:val="Text0"/>
              </w:rPr>
              <w:t>)</w:t>
              <w:br w:clear="none"/>
            </w:r>
            <w:r>
              <w:t xml:space="preserve"> Returns</w:t>
            </w:r>
            <w:r>
              <w:rPr>
                <w:rStyle w:val="Text111"/>
              </w:rPr>
              <w:bookmarkStart w:id="3137" w:name="idm45965196109680"/>
              <w:t/>
              <w:bookmarkEnd w:id="3137"/>
            </w:r>
            <w:r>
              <w:t xml:space="preserve"> a </w:t>
            </w:r>
            <w:r>
              <w:rPr>
                <w:rStyle w:val="Text0"/>
              </w:rPr>
              <w:t>datetime</w:t>
            </w:r>
            <w:r>
              <w:t xml:space="preserve"> representing </w:t>
            </w:r>
            <w:r>
              <w:rPr>
                <w:rStyle w:val="Text3"/>
              </w:rPr>
              <w:t>str</w:t>
            </w:r>
            <w:r>
              <w:t xml:space="preserve"> as specified by string </w:t>
            </w:r>
            <w:r>
              <w:rPr>
                <w:rStyle w:val="Text3"/>
              </w:rPr>
              <w:t>fmt</w:t>
            </w:r>
            <w:r>
              <w:t xml:space="preserve">. When </w:t>
            </w:r>
            <w:r>
              <w:rPr>
                <w:rStyle w:val="Text0"/>
              </w:rPr>
              <w:t>%z</w:t>
            </w:r>
            <w:r>
              <w:t xml:space="preserve"> is present in </w:t>
            </w:r>
            <w:r>
              <w:rPr>
                <w:rStyle w:val="Text3"/>
              </w:rPr>
              <w:t>fmt</w:t>
            </w:r>
            <w:r>
              <w:t xml:space="preserve">, the resulting </w:t>
            </w:r>
            <w:r>
              <w:rPr>
                <w:rStyle w:val="Text0"/>
              </w:rPr>
              <w:t>datetime</w:t>
            </w:r>
            <w:r>
              <w:t xml:space="preserve"> object is time zone–aware.</w:t>
            </w:r>
          </w:p>
        </w:tc>
      </w:tr>
    </w:tbl>
    <w:tbl>
      <w:tblPr>
        <w:tblW w:type="auto" w:w="0"/>
      </w:tblPr>
      <w:tr>
        <w:tc>
          <w:tcPr>
            <w:tcW w:type="auto" w:w="0"/>
            <w:shd w:val="clear" w:color="auto" w:fill="EEF2F6"/>
            <w:tcMar>
              <w:left w:type="dxa" w:w="200"/>
              <w:top w:type="dxa" w:w="200"/>
              <w:right w:type="dxa" w:w="200"/>
              <w:bottom w:type="dxa" w:w="200"/>
            </w:tcMar>
          </w:tcPr>
          <w:p>
            <w:pPr>
              <w:pStyle w:val="Para 001"/>
            </w:pPr>
            <w:r>
              <w:t>today</w:t>
            </w:r>
          </w:p>
        </w:tc>
        <w:tc>
          <w:tcPr>
            <w:tcW w:type="auto" w:w="0"/>
            <w:shd w:val="clear" w:color="auto" w:fill="EEF2F6"/>
            <w:tcMar>
              <w:left w:type="dxa" w:w="200"/>
              <w:top w:type="dxa" w:w="200"/>
              <w:right w:type="dxa" w:w="200"/>
              <w:bottom w:type="dxa" w:w="200"/>
            </w:tcMar>
          </w:tcPr>
          <w:p>
            <w:pPr>
              <w:pStyle w:val="Para 002"/>
            </w:pPr>
            <w:r>
              <w:rPr>
                <w:rStyle w:val="Text0"/>
              </w:rPr>
              <w:t>datetime.today()</w:t>
              <w:br w:clear="none"/>
            </w:r>
            <w:r>
              <w:t xml:space="preserve"> Returns</w:t>
            </w:r>
            <w:r>
              <w:rPr>
                <w:rStyle w:val="Text111"/>
              </w:rPr>
              <w:bookmarkStart w:id="3138" w:name="idm45965196101280"/>
              <w:t/>
              <w:bookmarkEnd w:id="3138"/>
            </w:r>
            <w:r>
              <w:t xml:space="preserve"> a naive </w:t>
            </w:r>
            <w:r>
              <w:rPr>
                <w:rStyle w:val="Text0"/>
              </w:rPr>
              <w:t>datetime</w:t>
            </w:r>
            <w:r>
              <w:t xml:space="preserve"> object representing the current local date and time; same as the </w:t>
            </w:r>
            <w:r>
              <w:rPr>
                <w:rStyle w:val="Text0"/>
              </w:rPr>
              <w:t>now</w:t>
            </w:r>
            <w:r>
              <w:t xml:space="preserve"> class method but does not accept optional argument </w:t>
            </w:r>
            <w:r>
              <w:rPr>
                <w:rStyle w:val="Text3"/>
              </w:rPr>
              <w:t>tz</w:t>
            </w:r>
            <w:r>
              <w:t>.</w:t>
            </w:r>
          </w:p>
        </w:tc>
      </w:tr>
    </w:tbl>
    <w:tbl>
      <w:tblPr>
        <w:tblW w:type="auto" w:w="0"/>
      </w:tblPr>
      <w:tr>
        <w:tc>
          <w:tcPr>
            <w:tcW w:type="auto" w:w="0"/>
            <w:tcMar>
              <w:left w:type="dxa" w:w="200"/>
              <w:top w:type="dxa" w:w="200"/>
              <w:right w:type="dxa" w:w="200"/>
              <w:bottom w:type="dxa" w:w="200"/>
            </w:tcMar>
          </w:tcPr>
          <w:p>
            <w:pPr>
              <w:pStyle w:val="Para 001"/>
            </w:pPr>
            <w:r>
              <w:t>utcf⁠r⁠o⁠m​t⁠i⁠m⁠estamp</w:t>
            </w:r>
          </w:p>
        </w:tc>
        <w:tc>
          <w:tcPr>
            <w:tcW w:type="auto" w:w="0"/>
            <w:tcMar>
              <w:left w:type="dxa" w:w="200"/>
              <w:top w:type="dxa" w:w="200"/>
              <w:right w:type="dxa" w:w="200"/>
              <w:bottom w:type="dxa" w:w="200"/>
            </w:tcMar>
          </w:tcPr>
          <w:p>
            <w:pPr>
              <w:pStyle w:val="Para 002"/>
            </w:pPr>
            <w:r>
              <w:rPr>
                <w:rStyle w:val="Text0"/>
              </w:rPr>
              <w:t>datetime.utcfromtimestamp(</w:t>
            </w:r>
            <w:r>
              <w:rPr>
                <w:rStyle w:val="Text3"/>
              </w:rPr>
              <w:t>timestamp</w:t>
            </w:r>
            <w:r>
              <w:rPr>
                <w:rStyle w:val="Text0"/>
              </w:rPr>
              <w:t>)</w:t>
              <w:br w:clear="none"/>
            </w:r>
            <w:r>
              <w:t xml:space="preserve"> Returns</w:t>
            </w:r>
            <w:r>
              <w:rPr>
                <w:rStyle w:val="Text111"/>
              </w:rPr>
              <w:bookmarkStart w:id="3139" w:name="idm45965196095584"/>
              <w:t/>
              <w:bookmarkEnd w:id="3139"/>
            </w:r>
            <w:r>
              <w:t xml:space="preserve"> a naive </w:t>
            </w:r>
            <w:r>
              <w:rPr>
                <w:rStyle w:val="Text0"/>
              </w:rPr>
              <w:t>datetime</w:t>
            </w:r>
            <w:r>
              <w:t xml:space="preserve"> object corresponding to the instant </w:t>
            </w:r>
            <w:r>
              <w:rPr>
                <w:rStyle w:val="Text3"/>
              </w:rPr>
              <w:t>timestamp</w:t>
            </w:r>
            <w:r>
              <w:t xml:space="preserve"> expressed in seconds since the epoch, in UTC.</w:t>
            </w:r>
          </w:p>
        </w:tc>
      </w:tr>
    </w:tbl>
    <w:tbl>
      <w:tblPr>
        <w:tblW w:type="auto" w:w="0"/>
      </w:tblPr>
      <w:tr>
        <w:tc>
          <w:tcPr>
            <w:tcW w:type="auto" w:w="0"/>
            <w:shd w:val="clear" w:color="auto" w:fill="EEF2F6"/>
            <w:tcMar>
              <w:left w:type="dxa" w:w="200"/>
              <w:top w:type="dxa" w:w="200"/>
              <w:right w:type="dxa" w:w="200"/>
              <w:bottom w:type="dxa" w:w="200"/>
            </w:tcMar>
          </w:tcPr>
          <w:p>
            <w:pPr>
              <w:pStyle w:val="Para 001"/>
            </w:pPr>
            <w:r>
              <w:t>utcnow</w:t>
            </w:r>
          </w:p>
        </w:tc>
        <w:tc>
          <w:tcPr>
            <w:tcW w:type="auto" w:w="0"/>
            <w:shd w:val="clear" w:color="auto" w:fill="EEF2F6"/>
            <w:tcMar>
              <w:left w:type="dxa" w:w="200"/>
              <w:top w:type="dxa" w:w="200"/>
              <w:right w:type="dxa" w:w="200"/>
              <w:bottom w:type="dxa" w:w="200"/>
            </w:tcMar>
          </w:tcPr>
          <w:p>
            <w:pPr>
              <w:pStyle w:val="Para 002"/>
            </w:pPr>
            <w:r>
              <w:rPr>
                <w:rStyle w:val="Text0"/>
              </w:rPr>
              <w:t>datetime.utcnow()</w:t>
              <w:br w:clear="none"/>
            </w:r>
            <w:r>
              <w:t xml:space="preserve"> Returns</w:t>
            </w:r>
            <w:r>
              <w:rPr>
                <w:rStyle w:val="Text111"/>
              </w:rPr>
              <w:bookmarkStart w:id="3140" w:name="idm45965196090288"/>
              <w:t/>
              <w:bookmarkEnd w:id="3140"/>
            </w:r>
            <w:r>
              <w:t xml:space="preserve"> a naive </w:t>
            </w:r>
            <w:r>
              <w:rPr>
                <w:rStyle w:val="Text0"/>
              </w:rPr>
              <w:t>datetime</w:t>
            </w:r>
            <w:r>
              <w:t xml:space="preserve"> object representing the current date and time, in UTC.</w:t>
            </w:r>
          </w:p>
        </w:tc>
      </w:tr>
    </w:tbl>
    <w:p>
      <w:pPr>
        <w:pStyle w:val="Normal"/>
      </w:pPr>
      <w:r>
        <w:t xml:space="preserve">An instance </w:t>
      </w:r>
      <w:r>
        <w:rPr>
          <w:rStyle w:val="Text3"/>
        </w:rPr>
        <w:t>d</w:t>
      </w:r>
      <w:r>
        <w:t xml:space="preserve"> of </w:t>
      </w:r>
      <w:r>
        <w:rPr>
          <w:rStyle w:val="Text0"/>
        </w:rPr>
        <w:t>datetime</w:t>
      </w:r>
      <w:r>
        <w:t xml:space="preserve"> also supplies the methods listed in </w:t>
      </w:r>
      <w:hyperlink w:anchor="Table_13_8__Methods_of_an_instan">
        <w:r>
          <w:rPr>
            <w:rStyle w:val="Text1"/>
          </w:rPr>
          <w:t>Table 13-8</w:t>
        </w:r>
      </w:hyperlink>
      <w:r>
        <w:t>.</w:t>
      </w:r>
    </w:p>
    <w:tbl>
      <w:tblPr>
        <w:tblW w:type="auto" w:w="0"/>
      </w:tblPr>
      <w:tr>
        <w:tc>
          <w:tcPr>
            <w:tcW w:type="auto" w:w="0"/>
            <w:tcMar>
              <w:left w:type="dxa" w:w="200"/>
              <w:top w:type="dxa" w:w="200"/>
              <w:right w:type="dxa" w:w="200"/>
              <w:bottom w:type="dxa" w:w="200"/>
            </w:tcMar>
          </w:tcPr>
          <w:p>
            <w:bookmarkStart w:id="3141" w:name="Table_13_8__Methods_of_an_instan"/>
            <w:pPr>
              <w:pStyle w:val="Para 011"/>
            </w:pPr>
            <w:r>
              <w:rPr>
                <w:rStyle w:val="Text117"/>
              </w:rPr>
              <w:t/>
            </w:r>
            <w:r>
              <w:t xml:space="preserve">Table 13-8. </w:t>
              <w:t xml:space="preserve">Methods of an instance </w:t>
            </w:r>
            <w:r>
              <w:rPr>
                <w:rStyle w:val="Text0"/>
              </w:rPr>
              <w:t>d</w:t>
            </w:r>
            <w:r>
              <w:t xml:space="preserve"> of </w:t>
            </w:r>
            <w:r>
              <w:rPr>
                <w:rStyle w:val="Text0"/>
              </w:rPr>
              <w:t>datetime</w:t>
            </w:r>
            <w:bookmarkEnd w:id="3141"/>
          </w:p>
          <w:p>
            <w:pPr>
              <w:pStyle w:val="Para 001"/>
            </w:pPr>
            <w:r>
              <w:t>astimezone</w:t>
            </w:r>
          </w:p>
        </w:tc>
        <w:tc>
          <w:tcPr>
            <w:tcW w:type="auto" w:w="0"/>
            <w:tcMar>
              <w:left w:type="dxa" w:w="200"/>
              <w:top w:type="dxa" w:w="200"/>
              <w:right w:type="dxa" w:w="200"/>
              <w:bottom w:type="dxa" w:w="200"/>
            </w:tcMar>
          </w:tcPr>
          <w:p>
            <w:pPr>
              <w:pStyle w:val="Para 002"/>
            </w:pPr>
            <w:r>
              <w:rPr>
                <w:rStyle w:val="Text3"/>
              </w:rPr>
              <w:t>d</w:t>
            </w:r>
            <w:r>
              <w:rPr>
                <w:rStyle w:val="Text0"/>
              </w:rPr>
              <w:t>.astimezone(</w:t>
            </w:r>
            <w:r>
              <w:rPr>
                <w:rStyle w:val="Text3"/>
              </w:rPr>
              <w:t>tz</w:t>
            </w:r>
            <w:r>
              <w:rPr>
                <w:rStyle w:val="Text0"/>
              </w:rPr>
              <w:t>)</w:t>
              <w:br w:clear="none"/>
            </w:r>
            <w:r>
              <w:t xml:space="preserve"> Returns</w:t>
            </w:r>
            <w:r>
              <w:rPr>
                <w:rStyle w:val="Text111"/>
              </w:rPr>
              <w:bookmarkStart w:id="3142" w:name="idm45965196077936"/>
              <w:t/>
              <w:bookmarkEnd w:id="3142"/>
            </w:r>
            <w:r>
              <w:t xml:space="preserve"> a new aware </w:t>
            </w:r>
            <w:r>
              <w:rPr>
                <w:rStyle w:val="Text0"/>
              </w:rPr>
              <w:t>datetime</w:t>
            </w:r>
            <w:r>
              <w:t xml:space="preserve"> object, like </w:t>
            </w:r>
            <w:r>
              <w:rPr>
                <w:rStyle w:val="Text3"/>
              </w:rPr>
              <w:t>d</w:t>
            </w:r>
            <w:r>
              <w:t xml:space="preserve">, except that the date and time are converted along with the time zone to the one in </w:t>
            </w:r>
            <w:r>
              <w:rPr>
                <w:rStyle w:val="Text0"/>
              </w:rPr>
              <w:t>tzinfo</w:t>
            </w:r>
            <w:r>
              <w:t xml:space="preserve"> object </w:t>
            </w:r>
            <w:r>
              <w:rPr>
                <w:rStyle w:val="Text3"/>
              </w:rPr>
              <w:t>tz</w:t>
            </w:r>
            <w:r>
              <w:t>.</w:t>
            </w:r>
            <w:hyperlink w:anchor="a_Note_that_d_astimezone_tz__is">
              <w:r>
                <w:rPr>
                  <w:rStyle w:val="Text41"/>
                </w:rPr>
                <w:bookmarkStart w:id="3143" w:name="a_13"/>
                <w:t>a</w:t>
                <w:bookmarkEnd w:id="3143"/>
              </w:r>
            </w:hyperlink>
            <w:r>
              <w:t xml:space="preserve"> </w:t>
            </w:r>
            <w:r>
              <w:rPr>
                <w:rStyle w:val="Text3"/>
              </w:rPr>
              <w:t>d</w:t>
            </w:r>
            <w:r>
              <w:t xml:space="preserve"> must be aware, to avoid potential bugs. Passing a naive </w:t>
            </w:r>
            <w:r>
              <w:rPr>
                <w:rStyle w:val="Text3"/>
              </w:rPr>
              <w:t>d</w:t>
            </w:r>
            <w:r>
              <w:t xml:space="preserve"> may lead to unexpected results.</w:t>
            </w:r>
          </w:p>
        </w:tc>
      </w:tr>
    </w:tbl>
    <w:tbl>
      <w:tblPr>
        <w:tblW w:type="auto" w:w="0"/>
      </w:tblPr>
      <w:tr>
        <w:tc>
          <w:tcPr>
            <w:tcW w:type="auto" w:w="0"/>
            <w:shd w:val="clear" w:color="auto" w:fill="EEF2F6"/>
            <w:tcMar>
              <w:left w:type="dxa" w:w="200"/>
              <w:top w:type="dxa" w:w="200"/>
              <w:right w:type="dxa" w:w="200"/>
              <w:bottom w:type="dxa" w:w="200"/>
            </w:tcMar>
          </w:tcPr>
          <w:p>
            <w:pPr>
              <w:pStyle w:val="Para 001"/>
            </w:pPr>
            <w:r>
              <w:t>ctime</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.ctime()</w:t>
              <w:br w:clear="none"/>
            </w:r>
            <w:r>
              <w:t xml:space="preserve"> Returns</w:t>
            </w:r>
            <w:r>
              <w:rPr>
                <w:rStyle w:val="Text111"/>
              </w:rPr>
              <w:bookmarkStart w:id="3144" w:name="idm45965196061248"/>
              <w:t/>
              <w:bookmarkEnd w:id="3144"/>
            </w:r>
            <w:r>
              <w:t xml:space="preserve"> a string representing date and time </w:t>
            </w:r>
            <w:r>
              <w:rPr>
                <w:rStyle w:val="Text3"/>
              </w:rPr>
              <w:t>d</w:t>
            </w:r>
            <w:r>
              <w:t xml:space="preserve"> in the same 24-character format as </w:t>
            </w:r>
            <w:r>
              <w:rPr>
                <w:rStyle w:val="Text0"/>
              </w:rPr>
              <w:t>time.ctime</w:t>
            </w:r>
            <w:r>
              <w:t>.</w:t>
            </w:r>
          </w:p>
        </w:tc>
      </w:tr>
    </w:tbl>
    <w:tbl>
      <w:tblPr>
        <w:tblW w:type="auto" w:w="0"/>
      </w:tblPr>
      <w:tr>
        <w:tc>
          <w:tcPr>
            <w:tcW w:type="auto" w:w="0"/>
            <w:tcMar>
              <w:left w:type="dxa" w:w="200"/>
              <w:top w:type="dxa" w:w="200"/>
              <w:right w:type="dxa" w:w="200"/>
              <w:bottom w:type="dxa" w:w="200"/>
            </w:tcMar>
          </w:tcPr>
          <w:p>
            <w:pPr>
              <w:pStyle w:val="Para 001"/>
            </w:pPr>
            <w:r>
              <w:t>date</w:t>
            </w:r>
          </w:p>
        </w:tc>
        <w:tc>
          <w:tcPr>
            <w:tcW w:type="auto" w:w="0"/>
            <w:tcMar>
              <w:left w:type="dxa" w:w="200"/>
              <w:top w:type="dxa" w:w="200"/>
              <w:right w:type="dxa" w:w="200"/>
              <w:bottom w:type="dxa" w:w="200"/>
            </w:tcMar>
          </w:tcPr>
          <w:p>
            <w:pPr>
              <w:pStyle w:val="Para 002"/>
            </w:pPr>
            <w:r>
              <w:rPr>
                <w:rStyle w:val="Text3"/>
              </w:rPr>
              <w:t>d</w:t>
            </w:r>
            <w:r>
              <w:rPr>
                <w:rStyle w:val="Text0"/>
              </w:rPr>
              <w:t>.date()</w:t>
              <w:br w:clear="none"/>
            </w:r>
            <w:r>
              <w:t xml:space="preserve"> Returns</w:t>
            </w:r>
            <w:r>
              <w:rPr>
                <w:rStyle w:val="Text111"/>
              </w:rPr>
              <w:bookmarkStart w:id="3145" w:name="idm45965196055344"/>
              <w:t/>
              <w:bookmarkEnd w:id="3145"/>
            </w:r>
            <w:r>
              <w:t xml:space="preserve"> a date object representing the same date as </w:t>
            </w:r>
            <w:r>
              <w:rPr>
                <w:rStyle w:val="Text3"/>
              </w:rPr>
              <w:t>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isocalendar</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.isocalendar()</w:t>
              <w:br w:clear="none"/>
            </w:r>
            <w:r>
              <w:t xml:space="preserve"> Returns</w:t>
            </w:r>
            <w:r>
              <w:rPr>
                <w:rStyle w:val="Text111"/>
              </w:rPr>
              <w:bookmarkStart w:id="3146" w:name="idm45965196050016"/>
              <w:t/>
              <w:bookmarkEnd w:id="3146"/>
            </w:r>
            <w:r>
              <w:t xml:space="preserve"> a tuple with three integers (ISO year, ISO week number, and ISO weekday) for </w:t>
            </w:r>
            <w:r>
              <w:rPr>
                <w:rStyle w:val="Text3"/>
              </w:rPr>
              <w:t>d</w:t>
            </w:r>
            <w:r>
              <w:t>’s date.</w:t>
            </w:r>
          </w:p>
        </w:tc>
      </w:tr>
    </w:tbl>
    <w:tbl>
      <w:tblPr>
        <w:tblW w:type="auto" w:w="0"/>
      </w:tblPr>
      <w:tr>
        <w:tc>
          <w:tcPr>
            <w:tcW w:type="auto" w:w="0"/>
            <w:tcMar>
              <w:left w:type="dxa" w:w="200"/>
              <w:top w:type="dxa" w:w="200"/>
              <w:right w:type="dxa" w:w="200"/>
              <w:bottom w:type="dxa" w:w="200"/>
            </w:tcMar>
          </w:tcPr>
          <w:p>
            <w:pPr>
              <w:pStyle w:val="Para 001"/>
            </w:pPr>
            <w:r>
              <w:t>isoformat</w:t>
            </w:r>
          </w:p>
        </w:tc>
        <w:tc>
          <w:tcPr>
            <w:tcW w:type="auto" w:w="0"/>
            <w:tcMar>
              <w:left w:type="dxa" w:w="200"/>
              <w:top w:type="dxa" w:w="200"/>
              <w:right w:type="dxa" w:w="200"/>
              <w:bottom w:type="dxa" w:w="200"/>
            </w:tcMar>
          </w:tcPr>
          <w:p>
            <w:pPr>
              <w:pStyle w:val="Para 002"/>
            </w:pPr>
            <w:r>
              <w:rPr>
                <w:rStyle w:val="Text3"/>
              </w:rPr>
              <w:t>d</w:t>
            </w:r>
            <w:r>
              <w:rPr>
                <w:rStyle w:val="Text0"/>
              </w:rPr>
              <w:t>.isoformat(sep='T')</w:t>
              <w:br w:clear="none"/>
            </w:r>
            <w:r>
              <w:t xml:space="preserve"> Returns</w:t>
            </w:r>
            <w:r>
              <w:rPr>
                <w:rStyle w:val="Text111"/>
              </w:rPr>
              <w:bookmarkStart w:id="3147" w:name="idm45965196044368"/>
              <w:t/>
              <w:bookmarkEnd w:id="3147"/>
            </w:r>
            <w:r>
              <w:t xml:space="preserve"> a string representing </w:t>
            </w:r>
            <w:r>
              <w:rPr>
                <w:rStyle w:val="Text3"/>
              </w:rPr>
              <w:t>d</w:t>
            </w:r>
            <w:r>
              <w:t xml:space="preserve"> in the format </w:t>
            </w:r>
            <w:r>
              <w:rPr>
                <w:rStyle w:val="Text0"/>
              </w:rPr>
              <w:t>'YYYY-MM-DDxHH:MM:SS'</w:t>
            </w:r>
            <w:r>
              <w:t xml:space="preserve">, where </w:t>
            </w:r>
            <w:r>
              <w:rPr>
                <w:rStyle w:val="Text3"/>
              </w:rPr>
              <w:t>x</w:t>
            </w:r>
            <w:r>
              <w:t xml:space="preserve"> is the value of argument </w:t>
            </w:r>
            <w:r>
              <w:rPr>
                <w:rStyle w:val="Text0"/>
              </w:rPr>
              <w:t>sep</w:t>
            </w:r>
            <w:r>
              <w:t xml:space="preserve"> (must be a string of length 1). If </w:t>
            </w:r>
            <w:r>
              <w:rPr>
                <w:rStyle w:val="Text3"/>
              </w:rPr>
              <w:t>d</w:t>
            </w:r>
            <w:r>
              <w:rPr>
                <w:rStyle w:val="Text0"/>
              </w:rPr>
              <w:t>.microsecond != 0</w:t>
            </w:r>
            <w:r>
              <w:t xml:space="preserve">, seven characters, </w:t>
            </w:r>
            <w:r>
              <w:rPr>
                <w:rStyle w:val="Text0"/>
              </w:rPr>
              <w:t>'.mmmmmm'</w:t>
            </w:r>
            <w:r>
              <w:t xml:space="preserve">, are added after the </w:t>
            </w:r>
            <w:r>
              <w:rPr>
                <w:rStyle w:val="Text0"/>
              </w:rPr>
              <w:t>'SS'</w:t>
            </w:r>
            <w:r>
              <w:t xml:space="preserve"> part of the string. If </w:t>
            </w:r>
            <w:r>
              <w:rPr>
                <w:rStyle w:val="Text3"/>
              </w:rPr>
              <w:t>t</w:t>
            </w:r>
            <w:r>
              <w:t xml:space="preserve"> is aware, six more characters, </w:t>
            </w:r>
            <w:r>
              <w:rPr>
                <w:rStyle w:val="Text0"/>
              </w:rPr>
              <w:t>'+HH:MM'</w:t>
            </w:r>
            <w:r>
              <w:t xml:space="preserve">, are added at the end to represent the time zone’s offset from UTC. In other words, this formatting operation follows the ISO 8601 standard. </w:t>
            </w:r>
            <w:r>
              <w:rPr>
                <w:rStyle w:val="Text0"/>
              </w:rPr>
              <w:t>str(</w:t>
            </w:r>
            <w:r>
              <w:rPr>
                <w:rStyle w:val="Text3"/>
              </w:rPr>
              <w:t>d</w:t>
            </w:r>
            <w:r>
              <w:rPr>
                <w:rStyle w:val="Text0"/>
              </w:rPr>
              <w:t>)</w:t>
            </w:r>
            <w:r>
              <w:t xml:space="preserve"> is the same as </w:t>
            </w:r>
            <w:r>
              <w:rPr>
                <w:rStyle w:val="Text3"/>
              </w:rPr>
              <w:t>d</w:t>
            </w:r>
            <w:r>
              <w:rPr>
                <w:rStyle w:val="Text0"/>
              </w:rPr>
              <w:t>.isoformat(sep=' ')</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isoweekday</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.isoweekday()</w:t>
              <w:br w:clear="none"/>
            </w:r>
            <w:r>
              <w:t xml:space="preserve"> Returns</w:t>
            </w:r>
            <w:r>
              <w:rPr>
                <w:rStyle w:val="Text111"/>
              </w:rPr>
              <w:bookmarkStart w:id="3148" w:name="idm45965196029744"/>
              <w:t/>
              <w:bookmarkEnd w:id="3148"/>
            </w:r>
            <w:r>
              <w:t xml:space="preserve"> the day of the week of </w:t>
            </w:r>
            <w:r>
              <w:rPr>
                <w:rStyle w:val="Text3"/>
              </w:rPr>
              <w:t>d</w:t>
            </w:r>
            <w:r>
              <w:t xml:space="preserve">’s date as an integer, </w:t>
            </w:r>
            <w:r>
              <w:rPr>
                <w:rStyle w:val="Text0"/>
              </w:rPr>
              <w:t>1</w:t>
            </w:r>
            <w:r>
              <w:t xml:space="preserve"> for Monday through </w:t>
            </w:r>
            <w:r>
              <w:rPr>
                <w:rStyle w:val="Text0"/>
              </w:rPr>
              <w:t>7</w:t>
            </w:r>
            <w:r>
              <w:t xml:space="preserve"> for Sunday.</w:t>
            </w:r>
          </w:p>
        </w:tc>
      </w:tr>
    </w:tbl>
    <w:tbl>
      <w:tblPr>
        <w:tblW w:type="auto" w:w="0"/>
      </w:tblPr>
      <w:tr>
        <w:tc>
          <w:tcPr>
            <w:tcW w:type="auto" w:w="0"/>
            <w:tcMar>
              <w:left w:type="dxa" w:w="200"/>
              <w:top w:type="dxa" w:w="200"/>
              <w:right w:type="dxa" w:w="200"/>
              <w:bottom w:type="dxa" w:w="200"/>
            </w:tcMar>
          </w:tcPr>
          <w:p>
            <w:pPr>
              <w:pStyle w:val="Para 001"/>
            </w:pPr>
            <w:r>
              <w:t>replace</w:t>
            </w:r>
          </w:p>
        </w:tc>
        <w:tc>
          <w:tcPr>
            <w:tcW w:type="auto" w:w="0"/>
            <w:tcMar>
              <w:left w:type="dxa" w:w="200"/>
              <w:top w:type="dxa" w:w="200"/>
              <w:right w:type="dxa" w:w="200"/>
              <w:bottom w:type="dxa" w:w="200"/>
            </w:tcMar>
          </w:tcPr>
          <w:p>
            <w:pPr>
              <w:pStyle w:val="Para 002"/>
            </w:pPr>
            <w:r>
              <w:rPr>
                <w:rStyle w:val="Text3"/>
              </w:rPr>
              <w:t>d</w:t>
            </w:r>
            <w:r>
              <w:rPr>
                <w:rStyle w:val="Text0"/>
              </w:rPr>
              <w:t>.replace(year=</w:t>
            </w:r>
            <w:r>
              <w:rPr>
                <w:rStyle w:val="Text5"/>
              </w:rPr>
              <w:t>None</w:t>
            </w:r>
            <w:r>
              <w:rPr>
                <w:rStyle w:val="Text0"/>
              </w:rPr>
              <w:t>,</w:t>
            </w:r>
            <w:r>
              <w:t xml:space="preserve"> </w:t>
            </w:r>
            <w:r>
              <w:rPr>
                <w:rStyle w:val="Text0"/>
              </w:rPr>
              <w:t>month=</w:t>
            </w:r>
            <w:r>
              <w:rPr>
                <w:rStyle w:val="Text5"/>
              </w:rPr>
              <w:t>None</w:t>
            </w:r>
            <w:r>
              <w:rPr>
                <w:rStyle w:val="Text0"/>
              </w:rPr>
              <w:t>,</w:t>
            </w:r>
            <w:r>
              <w:t xml:space="preserve"> </w:t>
            </w:r>
            <w:r>
              <w:rPr>
                <w:rStyle w:val="Text0"/>
              </w:rPr>
              <w:t>day=</w:t>
            </w:r>
            <w:r>
              <w:rPr>
                <w:rStyle w:val="Text5"/>
              </w:rPr>
              <w:t>None</w:t>
            </w:r>
            <w:r>
              <w:rPr>
                <w:rStyle w:val="Text0"/>
              </w:rPr>
              <w:t>,</w:t>
            </w:r>
            <w:r>
              <w:t xml:space="preserve"> </w:t>
            </w:r>
            <w:r>
              <w:rPr>
                <w:rStyle w:val="Text0"/>
              </w:rPr>
              <w:t>hour=</w:t>
            </w:r>
            <w:r>
              <w:rPr>
                <w:rStyle w:val="Text5"/>
              </w:rPr>
              <w:t>None</w:t>
            </w:r>
            <w:r>
              <w:rPr>
                <w:rStyle w:val="Text0"/>
              </w:rPr>
              <w:t>,</w:t>
            </w:r>
            <w:r>
              <w:t xml:space="preserve"> </w:t>
            </w:r>
            <w:r>
              <w:rPr>
                <w:rStyle w:val="Text0"/>
              </w:rPr>
              <w:t>minute=</w:t>
            </w:r>
            <w:r>
              <w:rPr>
                <w:rStyle w:val="Text5"/>
              </w:rPr>
              <w:t>None</w:t>
            </w:r>
            <w:r>
              <w:rPr>
                <w:rStyle w:val="Text0"/>
              </w:rPr>
              <w:t>,</w:t>
            </w:r>
            <w:r>
              <w:t xml:space="preserve"> </w:t>
            </w:r>
            <w:r>
              <w:rPr>
                <w:rStyle w:val="Text0"/>
              </w:rPr>
              <w:t>second=</w:t>
            </w:r>
            <w:r>
              <w:rPr>
                <w:rStyle w:val="Text5"/>
              </w:rPr>
              <w:t>None</w:t>
            </w:r>
            <w:r>
              <w:rPr>
                <w:rStyle w:val="Text0"/>
              </w:rPr>
              <w:t>,</w:t>
            </w:r>
            <w:r>
              <w:t xml:space="preserve"> </w:t>
            </w:r>
            <w:r>
              <w:rPr>
                <w:rStyle w:val="Text0"/>
              </w:rPr>
              <w:t>microsecond=</w:t>
            </w:r>
            <w:r>
              <w:rPr>
                <w:rStyle w:val="Text5"/>
              </w:rPr>
              <w:t>None</w:t>
            </w:r>
            <w:r>
              <w:rPr>
                <w:rStyle w:val="Text0"/>
              </w:rPr>
              <w:t>,</w:t>
            </w:r>
            <w:r>
              <w:t xml:space="preserve"> </w:t>
            </w:r>
            <w:r>
              <w:rPr>
                <w:rStyle w:val="Text0"/>
              </w:rPr>
              <w:t>tzinfo=</w:t>
            </w:r>
            <w:r>
              <w:rPr>
                <w:rStyle w:val="Text5"/>
              </w:rPr>
              <w:t>None</w:t>
            </w:r>
            <w:r>
              <w:rPr>
                <w:rStyle w:val="Text0"/>
              </w:rPr>
              <w:t>,*, fold=0)</w:t>
              <w:br w:clear="none"/>
            </w:r>
            <w:r>
              <w:t xml:space="preserve"> Returns</w:t>
            </w:r>
            <w:r>
              <w:rPr>
                <w:rStyle w:val="Text111"/>
              </w:rPr>
              <w:bookmarkStart w:id="3149" w:name="idm45965196014320"/>
              <w:t/>
              <w:bookmarkEnd w:id="3149"/>
            </w:r>
            <w:r>
              <w:t xml:space="preserve"> a new </w:t>
            </w:r>
            <w:r>
              <w:rPr>
                <w:rStyle w:val="Text0"/>
              </w:rPr>
              <w:t>datetime</w:t>
            </w:r>
            <w:r>
              <w:t xml:space="preserve"> object, like </w:t>
            </w:r>
            <w:r>
              <w:rPr>
                <w:rStyle w:val="Text3"/>
              </w:rPr>
              <w:t>d</w:t>
            </w:r>
            <w:r>
              <w:t xml:space="preserve"> except for those attributes specified as arguments, which get replaced (but does </w:t>
            </w:r>
            <w:r>
              <w:rPr>
                <w:rStyle w:val="Text4"/>
              </w:rPr>
              <w:t>no</w:t>
            </w:r>
            <w:r>
              <w:t xml:space="preserve"> time zone conversion—use </w:t>
            </w:r>
            <w:r>
              <w:rPr>
                <w:rStyle w:val="Text0"/>
              </w:rPr>
              <w:t>astimezone</w:t>
            </w:r>
            <w:r>
              <w:t xml:space="preserve"> if you want the time converted). You can also use </w:t>
            </w:r>
            <w:r>
              <w:rPr>
                <w:rStyle w:val="Text0"/>
              </w:rPr>
              <w:t>replace</w:t>
            </w:r>
            <w:r>
              <w:t xml:space="preserve"> to create an aware </w:t>
            </w:r>
            <w:r>
              <w:rPr>
                <w:rStyle w:val="Text0"/>
              </w:rPr>
              <w:t>datetime</w:t>
            </w:r>
            <w:r>
              <w:t xml:space="preserve"> object from a naive one. For example: </w:t>
            </w:r>
          </w:p>
          <w:p>
            <w:pPr>
              <w:pStyle w:val="Para 054"/>
            </w:pPr>
            <w:r>
              <w:rPr>
                <w:rStyle w:val="Text116"/>
              </w:rPr>
              <w:t xml:space="preserve"/>
              <w:br w:clear="none"/>
            </w:r>
            <w:r>
              <w:t xml:space="preserve"># create datetime replacing just month with no</w:t>
              <w:br w:clear="none"/>
            </w:r>
            <w:r>
              <w:rPr>
                <w:rStyle w:val="Text4"/>
              </w:rPr>
              <w:t xml:space="preserve"> </w:t>
              <w:br w:clear="none"/>
            </w:r>
            <w:r>
              <w:rPr>
                <w:rStyle w:val="Text11"/>
              </w:rPr>
              <w:t xml:space="preserve"/>
              <w:br w:clear="none"/>
            </w:r>
            <w:r>
              <w:t xml:space="preserve"># other changes (== datetime(x,m,z))</w:t>
              <w:br w:clear="none"/>
            </w:r>
            <w:r>
              <w:rPr>
                <w:rStyle w:val="Text11"/>
              </w:rPr>
              <w:t xml:space="preserve"/>
              <w:br w:clear="none"/>
            </w:r>
            <w:r>
              <w:rPr>
                <w:rStyle w:val="Text14"/>
              </w:rPr>
              <w:t xml:space="preserve">datetime</w:t>
              <w:br w:clear="none"/>
            </w:r>
            <w:r>
              <w:rPr>
                <w:rStyle w:val="Text19"/>
              </w:rPr>
              <w:t xml:space="preserve">(</w:t>
              <w:br w:clear="none"/>
            </w:r>
            <w:r>
              <w:rPr>
                <w:rStyle w:val="Text14"/>
              </w:rPr>
              <w:t xml:space="preserve">x</w:t>
              <w:br w:clear="none"/>
            </w:r>
            <w:r>
              <w:rPr>
                <w:rStyle w:val="Text19"/>
              </w:rPr>
              <w:t xml:space="preserve">,</w:t>
              <w:br w:clear="none"/>
            </w:r>
            <w:r>
              <w:rPr>
                <w:rStyle w:val="Text14"/>
              </w:rPr>
              <w:t xml:space="preserve">y</w:t>
              <w:br w:clear="none"/>
            </w:r>
            <w:r>
              <w:rPr>
                <w:rStyle w:val="Text19"/>
              </w:rPr>
              <w:t xml:space="preserve">,</w:t>
              <w:br w:clear="none"/>
            </w:r>
            <w:r>
              <w:rPr>
                <w:rStyle w:val="Text14"/>
              </w:rPr>
              <w:t xml:space="preserve">z</w:t>
              <w:br w:clear="none"/>
            </w:r>
            <w:r>
              <w:rPr>
                <w:rStyle w:val="Text19"/>
              </w:rPr>
              <w:t xml:space="preserve">)</w:t>
              <w:br w:clear="none"/>
            </w:r>
            <w:r>
              <w:rPr>
                <w:rStyle w:val="Text28"/>
              </w:rPr>
              <w:t xml:space="preserve">.</w:t>
              <w:br w:clear="none"/>
            </w:r>
            <w:r>
              <w:rPr>
                <w:rStyle w:val="Text14"/>
              </w:rPr>
              <w:t xml:space="preserve">replace</w:t>
              <w:br w:clear="none"/>
            </w:r>
            <w:r>
              <w:rPr>
                <w:rStyle w:val="Text19"/>
              </w:rPr>
              <w:t xml:space="preserve">(</w:t>
              <w:br w:clear="none"/>
            </w:r>
            <w:r>
              <w:rPr>
                <w:rStyle w:val="Text14"/>
              </w:rPr>
              <w:t xml:space="preserve">month</w:t>
              <w:br w:clear="none"/>
            </w:r>
            <w:r>
              <w:rPr>
                <w:rStyle w:val="Text28"/>
              </w:rPr>
              <w:t xml:space="preserve">=</w:t>
              <w:br w:clear="none"/>
            </w:r>
            <w:r>
              <w:rPr>
                <w:rStyle w:val="Text14"/>
              </w:rPr>
              <w:t xml:space="preserve">m</w:t>
              <w:br w:clear="none"/>
            </w:r>
            <w:r>
              <w:rPr>
                <w:rStyle w:val="Text19"/>
              </w:rPr>
              <w:t xml:space="preserve">)</w:t>
              <w:br w:clear="none"/>
            </w:r>
            <w:r>
              <w:rPr>
                <w:rStyle w:val="Text11"/>
              </w:rPr>
              <w:t xml:space="preserve"> </w:t>
              <w:br w:clear="none"/>
              <w:t xml:space="preserve"/>
              <w:br w:clear="none"/>
            </w:r>
            <w:r>
              <w:t xml:space="preserve"># create aware datetime from naive datetime.now()</w:t>
              <w:br w:clear="none"/>
            </w:r>
            <w:r>
              <w:rPr>
                <w:rStyle w:val="Text11"/>
              </w:rPr>
              <w:t xml:space="preserve"/>
              <w:br w:clear="none"/>
            </w:r>
            <w:r>
              <w:rPr>
                <w:rStyle w:val="Text9"/>
              </w:rPr>
              <w:t xml:space="preserve">d</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datetime</w:t>
              <w:br w:clear="none"/>
            </w:r>
            <w:r>
              <w:rPr>
                <w:rStyle w:val="Text28"/>
              </w:rPr>
              <w:t xml:space="preserve">.</w:t>
              <w:br w:clear="none"/>
            </w:r>
            <w:r>
              <w:rPr>
                <w:rStyle w:val="Text14"/>
              </w:rPr>
              <w:t xml:space="preserve">now</w:t>
              <w:br w:clear="none"/>
            </w:r>
            <w:r>
              <w:rPr>
                <w:rStyle w:val="Text19"/>
              </w:rPr>
              <w:t xml:space="preserve">(</w:t>
              <w:br w:clear="none"/>
              <w:t xml:space="preserve">)</w:t>
              <w:br w:clear="none"/>
            </w:r>
            <w:r>
              <w:rPr>
                <w:rStyle w:val="Text28"/>
              </w:rPr>
              <w:t xml:space="preserve">.</w:t>
              <w:br w:clear="none"/>
            </w:r>
            <w:r>
              <w:rPr>
                <w:rStyle w:val="Text14"/>
              </w:rPr>
              <w:t xml:space="preserve">replace</w:t>
              <w:br w:clear="none"/>
            </w:r>
            <w:r>
              <w:rPr>
                <w:rStyle w:val="Text19"/>
              </w:rPr>
              <w:t xml:space="preserve">(</w:t>
              <w:br w:clear="none"/>
            </w:r>
            <w:r>
              <w:rPr>
                <w:rStyle w:val="Text14"/>
              </w:rPr>
              <w:t xml:space="preserve">tzinfo</w:t>
              <w:br w:clear="none"/>
            </w:r>
            <w:r>
              <w:rPr>
                <w:rStyle w:val="Text28"/>
              </w:rPr>
              <w:t xml:space="preserve">=</w:t>
              <w:br w:clear="none"/>
            </w:r>
            <w:r>
              <w:rPr>
                <w:rStyle w:val="Text14"/>
              </w:rPr>
              <w:t xml:space="preserve">ZoneInfo</w:t>
              <w:br w:clear="none"/>
            </w:r>
            <w:r>
              <w:rPr>
                <w:rStyle w:val="Text19"/>
              </w:rPr>
              <w:t xml:space="preserve">(</w:t>
              <w:br w:clear="none"/>
            </w:r>
            <w:r>
              <w:rPr>
                <w:rStyle w:val="Text11"/>
              </w:rPr>
              <w:t xml:space="preserve"/>
              <w:br w:clear="none"/>
              <w:t xml:space="preserve">                    </w:t>
              <w:br w:clear="none"/>
            </w:r>
            <w:r>
              <w:rPr>
                <w:rStyle w:val="Text17"/>
              </w:rPr>
              <w:t xml:space="preserve">"</w:t>
              <w:br w:clear="none"/>
              <w:t xml:space="preserve">US/Pacific</w:t>
              <w:br w:clear="none"/>
              <w:t xml:space="preserve">"</w:t>
              <w:br w:clear="none"/>
            </w:r>
            <w:r>
              <w:rPr>
                <w:rStyle w:val="Text19"/>
              </w:rPr>
              <w:t xml:space="preserve">)</w:t>
              <w:br w:clear="none"/>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strftime</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.strftime(</w:t>
            </w:r>
            <w:r>
              <w:rPr>
                <w:rStyle w:val="Text3"/>
              </w:rPr>
              <w:t>fmt</w:t>
            </w:r>
            <w:r>
              <w:rPr>
                <w:rStyle w:val="Text0"/>
              </w:rPr>
              <w:t>)</w:t>
              <w:br w:clear="none"/>
            </w:r>
            <w:r>
              <w:t xml:space="preserve"> Returns</w:t>
            </w:r>
            <w:r>
              <w:rPr>
                <w:rStyle w:val="Text111"/>
              </w:rPr>
              <w:bookmarkStart w:id="3150" w:name="idm45965195967936"/>
              <w:t/>
              <w:bookmarkEnd w:id="3150"/>
            </w:r>
            <w:r>
              <w:t xml:space="preserve"> a string representing </w:t>
            </w:r>
            <w:r>
              <w:rPr>
                <w:rStyle w:val="Text3"/>
              </w:rPr>
              <w:t>d</w:t>
            </w:r>
            <w:r>
              <w:t xml:space="preserve"> as specified by the format string </w:t>
            </w:r>
            <w:r>
              <w:rPr>
                <w:rStyle w:val="Text3"/>
              </w:rPr>
              <w:t>fmt</w:t>
            </w:r>
            <w:r>
              <w:t>.</w:t>
            </w:r>
          </w:p>
        </w:tc>
      </w:tr>
    </w:tbl>
    <w:tbl>
      <w:tblPr>
        <w:tblW w:type="auto" w:w="0"/>
      </w:tblPr>
      <w:tr>
        <w:tc>
          <w:tcPr>
            <w:tcW w:type="auto" w:w="0"/>
            <w:tcMar>
              <w:left w:type="dxa" w:w="200"/>
              <w:top w:type="dxa" w:w="200"/>
              <w:right w:type="dxa" w:w="200"/>
              <w:bottom w:type="dxa" w:w="200"/>
            </w:tcMar>
          </w:tcPr>
          <w:p>
            <w:pPr>
              <w:pStyle w:val="Para 001"/>
            </w:pPr>
            <w:r>
              <w:t>time</w:t>
            </w:r>
          </w:p>
        </w:tc>
        <w:tc>
          <w:tcPr>
            <w:tcW w:type="auto" w:w="0"/>
            <w:tcMar>
              <w:left w:type="dxa" w:w="200"/>
              <w:top w:type="dxa" w:w="200"/>
              <w:right w:type="dxa" w:w="200"/>
              <w:bottom w:type="dxa" w:w="200"/>
            </w:tcMar>
          </w:tcPr>
          <w:p>
            <w:pPr>
              <w:pStyle w:val="Para 002"/>
            </w:pPr>
            <w:r>
              <w:rPr>
                <w:rStyle w:val="Text3"/>
              </w:rPr>
              <w:t>d</w:t>
            </w:r>
            <w:r>
              <w:rPr>
                <w:rStyle w:val="Text0"/>
              </w:rPr>
              <w:t>.time()</w:t>
              <w:br w:clear="none"/>
            </w:r>
            <w:r>
              <w:t xml:space="preserve"> Returns</w:t>
            </w:r>
            <w:r>
              <w:rPr>
                <w:rStyle w:val="Text111"/>
              </w:rPr>
              <w:bookmarkStart w:id="3151" w:name="idm45965195931760"/>
              <w:t/>
              <w:bookmarkEnd w:id="3151"/>
            </w:r>
            <w:r>
              <w:t xml:space="preserve"> a naive </w:t>
            </w:r>
            <w:r>
              <w:rPr>
                <w:rStyle w:val="Text0"/>
              </w:rPr>
              <w:t>time</w:t>
            </w:r>
            <w:r>
              <w:t xml:space="preserve"> object representing the same time of day as </w:t>
            </w:r>
            <w:r>
              <w:rPr>
                <w:rStyle w:val="Text3"/>
              </w:rPr>
              <w:t>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timestamp</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.timestamp()</w:t>
              <w:br w:clear="none"/>
            </w:r>
            <w:r>
              <w:t xml:space="preserve"> Returns</w:t>
            </w:r>
            <w:r>
              <w:rPr>
                <w:rStyle w:val="Text111"/>
              </w:rPr>
              <w:bookmarkStart w:id="3152" w:name="idm45965195926000"/>
              <w:t/>
              <w:bookmarkEnd w:id="3152"/>
            </w:r>
            <w:r>
              <w:t xml:space="preserve"> a float with the seconds since the epoch. Naive instances are assumed to be in the local time zone.</w:t>
            </w:r>
          </w:p>
        </w:tc>
      </w:tr>
    </w:tbl>
    <w:tbl>
      <w:tblPr>
        <w:tblW w:type="auto" w:w="0"/>
      </w:tblPr>
      <w:tr>
        <w:tc>
          <w:tcPr>
            <w:tcW w:type="auto" w:w="0"/>
            <w:tcMar>
              <w:left w:type="dxa" w:w="200"/>
              <w:top w:type="dxa" w:w="200"/>
              <w:right w:type="dxa" w:w="200"/>
              <w:bottom w:type="dxa" w:w="200"/>
            </w:tcMar>
          </w:tcPr>
          <w:p>
            <w:pPr>
              <w:pStyle w:val="Para 001"/>
            </w:pPr>
            <w:r>
              <w:t>timetuple</w:t>
            </w:r>
          </w:p>
        </w:tc>
        <w:tc>
          <w:tcPr>
            <w:tcW w:type="auto" w:w="0"/>
            <w:tcMar>
              <w:left w:type="dxa" w:w="200"/>
              <w:top w:type="dxa" w:w="200"/>
              <w:right w:type="dxa" w:w="200"/>
              <w:bottom w:type="dxa" w:w="200"/>
            </w:tcMar>
          </w:tcPr>
          <w:p>
            <w:pPr>
              <w:pStyle w:val="Para 002"/>
            </w:pPr>
            <w:r>
              <w:rPr>
                <w:rStyle w:val="Text3"/>
              </w:rPr>
              <w:t>d</w:t>
            </w:r>
            <w:r>
              <w:rPr>
                <w:rStyle w:val="Text0"/>
              </w:rPr>
              <w:t>.timetuple()</w:t>
              <w:br w:clear="none"/>
            </w:r>
            <w:r>
              <w:t xml:space="preserve"> Returns</w:t>
            </w:r>
            <w:r>
              <w:rPr>
                <w:rStyle w:val="Text111"/>
              </w:rPr>
              <w:bookmarkStart w:id="3153" w:name="idm45965195921568"/>
              <w:t/>
              <w:bookmarkEnd w:id="3153"/>
            </w:r>
            <w:r>
              <w:t xml:space="preserve"> a timetuple corresponding to instant </w:t>
            </w:r>
            <w:r>
              <w:rPr>
                <w:rStyle w:val="Text3"/>
              </w:rPr>
              <w:t>d</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timetz</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.timetz()</w:t>
              <w:br w:clear="none"/>
            </w:r>
            <w:r>
              <w:t xml:space="preserve"> Returns</w:t>
            </w:r>
            <w:r>
              <w:rPr>
                <w:rStyle w:val="Text111"/>
              </w:rPr>
              <w:bookmarkStart w:id="3154" w:name="idm45965195916176"/>
              <w:t/>
              <w:bookmarkEnd w:id="3154"/>
            </w:r>
            <w:r>
              <w:t xml:space="preserve"> a </w:t>
            </w:r>
            <w:r>
              <w:rPr>
                <w:rStyle w:val="Text0"/>
              </w:rPr>
              <w:t>time</w:t>
            </w:r>
            <w:r>
              <w:t xml:space="preserve"> object representing the same time of day as </w:t>
            </w:r>
            <w:r>
              <w:rPr>
                <w:rStyle w:val="Text3"/>
              </w:rPr>
              <w:t>d</w:t>
            </w:r>
            <w:r>
              <w:t xml:space="preserve">, with the same </w:t>
            </w:r>
            <w:r>
              <w:rPr>
                <w:rStyle w:val="Text0"/>
              </w:rPr>
              <w:t>tzinfo</w:t>
            </w:r>
            <w:r>
              <w:t>.</w:t>
            </w:r>
          </w:p>
        </w:tc>
      </w:tr>
    </w:tbl>
    <w:tbl>
      <w:tblPr>
        <w:tblW w:type="auto" w:w="0"/>
      </w:tblPr>
      <w:tr>
        <w:tc>
          <w:tcPr>
            <w:tcW w:type="auto" w:w="0"/>
            <w:tcMar>
              <w:left w:type="dxa" w:w="200"/>
              <w:top w:type="dxa" w:w="200"/>
              <w:right w:type="dxa" w:w="200"/>
              <w:bottom w:type="dxa" w:w="200"/>
            </w:tcMar>
          </w:tcPr>
          <w:p>
            <w:pPr>
              <w:pStyle w:val="Para 001"/>
            </w:pPr>
            <w:r>
              <w:t>toordinal</w:t>
            </w:r>
          </w:p>
        </w:tc>
        <w:tc>
          <w:tcPr>
            <w:tcW w:type="auto" w:w="0"/>
            <w:tcMar>
              <w:left w:type="dxa" w:w="200"/>
              <w:top w:type="dxa" w:w="200"/>
              <w:right w:type="dxa" w:w="200"/>
              <w:bottom w:type="dxa" w:w="200"/>
            </w:tcMar>
          </w:tcPr>
          <w:p>
            <w:pPr>
              <w:pStyle w:val="Para 002"/>
            </w:pPr>
            <w:r>
              <w:rPr>
                <w:rStyle w:val="Text3"/>
              </w:rPr>
              <w:t>d</w:t>
            </w:r>
            <w:r>
              <w:rPr>
                <w:rStyle w:val="Text0"/>
              </w:rPr>
              <w:t>.toordinal()</w:t>
              <w:br w:clear="none"/>
            </w:r>
            <w:r>
              <w:t xml:space="preserve"> Returns</w:t>
            </w:r>
            <w:r>
              <w:rPr>
                <w:rStyle w:val="Text111"/>
              </w:rPr>
              <w:bookmarkStart w:id="3155" w:name="idm45965195909504"/>
              <w:t/>
              <w:bookmarkEnd w:id="3155"/>
            </w:r>
            <w:r>
              <w:t xml:space="preserve"> the proleptic Gregorian ordinal for </w:t>
            </w:r>
            <w:r>
              <w:rPr>
                <w:rStyle w:val="Text3"/>
              </w:rPr>
              <w:t>d</w:t>
            </w:r>
            <w:r>
              <w:t>’s date. For example:</w:t>
              <w:br w:clear="none"/>
              <w:t xml:space="preserve"> </w:t>
            </w:r>
            <w:r>
              <w:rPr>
                <w:rStyle w:val="Text0"/>
              </w:rPr>
              <w:t>datetime(1, 1, 1).toordinal() == 1</w:t>
            </w:r>
          </w:p>
        </w:tc>
      </w:tr>
    </w:tbl>
    <w:tbl>
      <w:tblPr>
        <w:tblW w:type="auto" w:w="0"/>
      </w:tblPr>
      <w:tr>
        <w:tc>
          <w:tcPr>
            <w:tcW w:type="auto" w:w="0"/>
            <w:shd w:val="clear" w:color="auto" w:fill="EEF2F6"/>
            <w:tcMar>
              <w:left w:type="dxa" w:w="200"/>
              <w:top w:type="dxa" w:w="200"/>
              <w:right w:type="dxa" w:w="200"/>
              <w:bottom w:type="dxa" w:w="200"/>
            </w:tcMar>
          </w:tcPr>
          <w:p>
            <w:pPr>
              <w:pStyle w:val="Para 001"/>
            </w:pPr>
            <w:r>
              <w:t>utct⁠i⁠m⁠e​t⁠u⁠p⁠le</w:t>
            </w:r>
          </w:p>
        </w:tc>
        <w:tc>
          <w:tcPr>
            <w:tcW w:type="auto" w:w="0"/>
            <w:shd w:val="clear" w:color="auto" w:fill="EEF2F6"/>
            <w:tcMar>
              <w:left w:type="dxa" w:w="200"/>
              <w:top w:type="dxa" w:w="200"/>
              <w:right w:type="dxa" w:w="200"/>
              <w:bottom w:type="dxa" w:w="200"/>
            </w:tcMar>
          </w:tcPr>
          <w:p>
            <w:pPr>
              <w:pStyle w:val="Para 002"/>
            </w:pPr>
            <w:r>
              <w:rPr>
                <w:rStyle w:val="Text3"/>
              </w:rPr>
              <w:t>d</w:t>
            </w:r>
            <w:r>
              <w:rPr>
                <w:rStyle w:val="Text0"/>
              </w:rPr>
              <w:t>.utctimetuple()</w:t>
              <w:br w:clear="none"/>
            </w:r>
            <w:r>
              <w:t xml:space="preserve"> Returns</w:t>
            </w:r>
            <w:r>
              <w:rPr>
                <w:rStyle w:val="Text111"/>
              </w:rPr>
              <w:bookmarkStart w:id="3156" w:name="idm45965195903648"/>
              <w:t/>
              <w:bookmarkEnd w:id="3156"/>
            </w:r>
            <w:r>
              <w:t xml:space="preserve"> a timetuple corresponding to instant </w:t>
            </w:r>
            <w:r>
              <w:rPr>
                <w:rStyle w:val="Text3"/>
              </w:rPr>
              <w:t>d</w:t>
            </w:r>
            <w:r>
              <w:t xml:space="preserve">, normalized to UTC if </w:t>
            </w:r>
            <w:r>
              <w:rPr>
                <w:rStyle w:val="Text3"/>
              </w:rPr>
              <w:t>d</w:t>
            </w:r>
            <w:r>
              <w:t xml:space="preserve"> is aware.</w:t>
            </w:r>
          </w:p>
        </w:tc>
      </w:tr>
    </w:tbl>
    <w:tbl>
      <w:tblPr>
        <w:tblW w:type="auto" w:w="0"/>
      </w:tblPr>
      <w:tr>
        <w:tc>
          <w:tcPr>
            <w:tcW w:type="auto" w:w="0"/>
            <w:tcMar>
              <w:left w:type="dxa" w:w="200"/>
              <w:top w:type="dxa" w:w="200"/>
              <w:right w:type="dxa" w:w="200"/>
              <w:bottom w:type="dxa" w:w="200"/>
            </w:tcMar>
          </w:tcPr>
          <w:p>
            <w:pPr>
              <w:pStyle w:val="Para 001"/>
            </w:pPr>
            <w:r>
              <w:t>weekday</w:t>
            </w:r>
          </w:p>
        </w:tc>
        <w:tc>
          <w:tcPr>
            <w:tcW w:type="auto" w:w="0"/>
            <w:tcMar>
              <w:left w:type="dxa" w:w="200"/>
              <w:top w:type="dxa" w:w="200"/>
              <w:right w:type="dxa" w:w="200"/>
              <w:bottom w:type="dxa" w:w="200"/>
            </w:tcMar>
          </w:tcPr>
          <w:p>
            <w:pPr>
              <w:pStyle w:val="Para 002"/>
            </w:pPr>
            <w:r>
              <w:rPr>
                <w:rStyle w:val="Text3"/>
              </w:rPr>
              <w:t>d</w:t>
            </w:r>
            <w:r>
              <w:rPr>
                <w:rStyle w:val="Text0"/>
              </w:rPr>
              <w:t>.weekday()</w:t>
              <w:br w:clear="none"/>
            </w:r>
            <w:r>
              <w:t xml:space="preserve"> Returns</w:t>
            </w:r>
            <w:r>
              <w:rPr>
                <w:rStyle w:val="Text111"/>
              </w:rPr>
              <w:bookmarkStart w:id="3157" w:name="idm45965195897408"/>
              <w:t/>
              <w:bookmarkEnd w:id="3157"/>
            </w:r>
            <w:r>
              <w:t xml:space="preserve"> the day of the week of </w:t>
            </w:r>
            <w:r>
              <w:rPr>
                <w:rStyle w:val="Text3"/>
              </w:rPr>
              <w:t>d</w:t>
            </w:r>
            <w:r>
              <w:t xml:space="preserve">’s date as an integer, </w:t>
            </w:r>
            <w:r>
              <w:rPr>
                <w:rStyle w:val="Text0"/>
              </w:rPr>
              <w:t>0</w:t>
            </w:r>
            <w:r>
              <w:t xml:space="preserve"> for Monday through </w:t>
            </w:r>
            <w:r>
              <w:rPr>
                <w:rStyle w:val="Text0"/>
              </w:rPr>
              <w:t>6</w:t>
            </w:r>
            <w:r>
              <w:t xml:space="preserve"> for Sunday.</w:t>
            </w:r>
          </w:p>
        </w:tc>
      </w:tr>
    </w:tbl>
    <w:tbl>
      <w:tblPr>
        <w:tblW w:type="auto" w:w="0"/>
      </w:tblPr>
      <w:tr>
        <w:tc>
          <w:tcPr>
            <w:tcW w:type="auto" w:w="0"/>
            <w:tcMar>
              <w:left w:type="dxa" w:w="200"/>
              <w:top w:type="dxa" w:w="200"/>
              <w:right w:type="dxa" w:w="200"/>
              <w:bottom w:type="dxa" w:w="200"/>
            </w:tcMar>
            <w:hMerge w:val="restart"/>
          </w:tcPr>
          <w:p>
            <w:bookmarkStart w:id="3158" w:name="a_Note_that_d_astimezone_tz__is"/>
            <w:pPr>
              <w:pStyle w:val="Para 036"/>
            </w:pPr>
            <w:hyperlink w:anchor="a_13">
              <w:r>
                <w:rPr>
                  <w:rStyle w:val="Text1"/>
                </w:rPr>
                <w:t>a</w:t>
              </w:r>
            </w:hyperlink>
            <w:r>
              <w:t xml:space="preserve"> Note that </w:t>
            </w:r>
            <w:r>
              <w:rPr>
                <w:rStyle w:val="Text3"/>
              </w:rPr>
              <w:t>d</w:t>
            </w:r>
            <w:r>
              <w:rPr>
                <w:rStyle w:val="Text25"/>
              </w:rPr>
              <w:t>.astimezone(</w:t>
            </w:r>
            <w:r>
              <w:rPr>
                <w:rStyle w:val="Text3"/>
              </w:rPr>
              <w:t>tz</w:t>
            </w:r>
            <w:r>
              <w:rPr>
                <w:rStyle w:val="Text25"/>
              </w:rPr>
              <w:t>)</w:t>
            </w:r>
            <w:r>
              <w:t xml:space="preserve"> is quite different from </w:t>
            </w:r>
            <w:r>
              <w:rPr>
                <w:rStyle w:val="Text3"/>
              </w:rPr>
              <w:t>d</w:t>
            </w:r>
            <w:r>
              <w:rPr>
                <w:rStyle w:val="Text25"/>
              </w:rPr>
              <w:t>.replace(tzinfo=</w:t>
            </w:r>
            <w:r>
              <w:rPr>
                <w:rStyle w:val="Text3"/>
              </w:rPr>
              <w:t>tz</w:t>
            </w:r>
            <w:r>
              <w:rPr>
                <w:rStyle w:val="Text25"/>
              </w:rPr>
              <w:t>)</w:t>
            </w:r>
            <w:r>
              <w:t xml:space="preserve">: </w:t>
            </w:r>
            <w:r>
              <w:rPr>
                <w:rStyle w:val="Text25"/>
              </w:rPr>
              <w:t>replace</w:t>
            </w:r>
            <w:r>
              <w:t xml:space="preserve"> does no time zone conversion, but rather just copies all of </w:t>
            </w:r>
            <w:r>
              <w:rPr>
                <w:rStyle w:val="Text3"/>
              </w:rPr>
              <w:t>d</w:t>
            </w:r>
            <w:r>
              <w:t xml:space="preserve">’s attributes except for </w:t>
            </w:r>
            <w:r>
              <w:rPr>
                <w:rStyle w:val="Text3"/>
              </w:rPr>
              <w:t>d</w:t>
            </w:r>
            <w:r>
              <w:rPr>
                <w:rStyle w:val="Text25"/>
              </w:rPr>
              <w:t>.tzinfo</w:t>
            </w:r>
            <w:r>
              <w:t>.</w:t>
            </w:r>
            <w:bookmarkEnd w:id="3158"/>
          </w:p>
        </w:tc>
        <w:tc>
          <w:tcPr>
            <w:hMerge w:val="continue"/>
          </w:tcPr>
          <w:p/>
        </w:tc>
      </w:tr>
    </w:tbl>
    <w:p>
      <w:pPr>
        <w:pStyle w:val="Normal"/>
      </w:pPr>
      <w:r>
        <w:t xml:space="preserve">An instance </w:t>
      </w:r>
      <w:r>
        <w:rPr>
          <w:rStyle w:val="Text3"/>
        </w:rPr>
        <w:t>d</w:t>
      </w:r>
      <w:r>
        <w:t xml:space="preserve"> of the class </w:t>
      </w:r>
      <w:r>
        <w:rPr>
          <w:rStyle w:val="Text0"/>
        </w:rPr>
        <w:t>datetime</w:t>
      </w:r>
      <w:r>
        <w:t xml:space="preserve"> also supplies the methods </w:t>
      </w:r>
      <w:r>
        <w:rPr>
          <w:rStyle w:val="Text0"/>
        </w:rPr>
        <w:t>dst</w:t>
      </w:r>
      <w:r>
        <w:t xml:space="preserve">, </w:t>
      </w:r>
      <w:r>
        <w:rPr>
          <w:rStyle w:val="Text0"/>
        </w:rPr>
        <w:t>tzname</w:t>
      </w:r>
      <w:r>
        <w:t xml:space="preserve">, and </w:t>
      </w:r>
      <w:r>
        <w:rPr>
          <w:rStyle w:val="Text0"/>
        </w:rPr>
        <w:t>utcoffset</w:t>
      </w:r>
      <w:r>
        <w:t xml:space="preserve">, which accept no arguments and delegate to </w:t>
      </w:r>
      <w:r>
        <w:rPr>
          <w:rStyle w:val="Text3"/>
        </w:rPr>
        <w:t>d</w:t>
      </w:r>
      <w:r>
        <w:rPr>
          <w:rStyle w:val="Text0"/>
        </w:rPr>
        <w:t>.tzinfo</w:t>
      </w:r>
      <w:r>
        <w:t xml:space="preserve">, returning </w:t>
      </w:r>
      <w:r>
        <w:rPr>
          <w:rStyle w:val="Text5"/>
        </w:rPr>
        <w:t>None</w:t>
      </w:r>
      <w:r>
        <w:t xml:space="preserve"> when </w:t>
      </w:r>
      <w:r>
        <w:rPr>
          <w:rStyle w:val="Text3"/>
        </w:rPr>
        <w:t>d</w:t>
      </w:r>
      <w:r>
        <w:rPr>
          <w:rStyle w:val="Text0"/>
        </w:rPr>
        <w:t>.tzinfo</w:t>
      </w:r>
      <w:r>
        <w:t xml:space="preserve"> is </w:t>
      </w:r>
      <w:r>
        <w:rPr>
          <w:rStyle w:val="Text5"/>
        </w:rPr>
        <w:t>None</w:t>
      </w:r>
      <w:r>
        <w:t xml:space="preserve"> (i.e., when </w:t>
      </w:r>
      <w:r>
        <w:rPr>
          <w:rStyle w:val="Text3"/>
        </w:rPr>
        <w:t>d</w:t>
      </w:r>
      <w:r>
        <w:t xml:space="preserve"> is naive).</w:t>
      </w:r>
      <w:r>
        <w:rPr>
          <w:rStyle w:val="Text111"/>
        </w:rPr>
        <w:bookmarkStart w:id="3159" w:name="idm45965195884112"/>
        <w:t/>
        <w:bookmarkEnd w:id="3159"/>
      </w:r>
    </w:p>
    <w:p>
      <w:bookmarkStart w:id="3160" w:name="The_timedelta_Class__Instances_o"/>
      <w:pPr>
        <w:keepNext/>
        <w:pStyle w:val="Heading 2"/>
      </w:pPr>
      <w:r>
        <w:t>The timedelta Class</w:t>
      </w:r>
      <w:bookmarkEnd w:id="3160"/>
    </w:p>
    <w:p>
      <w:pPr>
        <w:pStyle w:val="Normal"/>
      </w:pPr>
      <w:r>
        <w:t>Instances</w:t>
      </w:r>
      <w:r>
        <w:rPr>
          <w:rStyle w:val="Text111"/>
        </w:rPr>
        <w:bookmarkStart w:id="3161" w:name="idm45965195881072"/>
        <w:t/>
        <w:bookmarkEnd w:id="3161"/>
        <w:bookmarkStart w:id="3162" w:name="idm45965195880000"/>
        <w:t/>
        <w:bookmarkEnd w:id="3162"/>
      </w:r>
      <w:r>
        <w:t xml:space="preserve"> of the </w:t>
      </w:r>
      <w:r>
        <w:rPr>
          <w:rStyle w:val="Text0"/>
        </w:rPr>
        <w:t>timedelta</w:t>
      </w:r>
      <w:r>
        <w:t xml:space="preserve"> class represent time intervals with three read-only integer attributes: </w:t>
      </w:r>
      <w:r>
        <w:rPr>
          <w:rStyle w:val="Text0"/>
        </w:rPr>
        <w:t>days</w:t>
      </w:r>
      <w:r>
        <w:t xml:space="preserve">, </w:t>
      </w:r>
      <w:r>
        <w:rPr>
          <w:rStyle w:val="Text0"/>
        </w:rPr>
        <w:t>seconds</w:t>
      </w:r>
      <w:r>
        <w:t xml:space="preserve">, and </w:t>
      </w:r>
      <w:r>
        <w:rPr>
          <w:rStyle w:val="Text0"/>
        </w:rPr>
        <w:t>microseconds</w:t>
      </w:r>
      <w:r>
        <w:t>. The constructor for this class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timedelta</w:t>
            </w:r>
          </w:p>
        </w:tc>
        <w:tc>
          <w:tcPr>
            <w:tcW w:type="auto" w:w="0"/>
            <w:tcMar>
              <w:left w:type="dxa" w:w="200"/>
              <w:top w:type="dxa" w:w="200"/>
              <w:right w:type="dxa" w:w="200"/>
              <w:bottom w:type="dxa" w:w="200"/>
            </w:tcMar>
          </w:tcPr>
          <w:p>
            <w:pPr>
              <w:pStyle w:val="Para 002"/>
            </w:pPr>
            <w:r>
              <w:rPr>
                <w:rStyle w:val="Text0"/>
              </w:rPr>
              <w:t>timedelta(days=0, seconds=0, microseconds=0, milliseconds=0, minutes=0, hours=0, weeks=0)</w:t>
              <w:br w:clear="none"/>
            </w:r>
            <w:r>
              <w:t xml:space="preserve"> Converts all units with the obvious factors (a week is 7 days, an hour is 3,600 seconds, and so on) and normalizes everything to the three integer attributes, ensuring that </w:t>
            </w:r>
            <w:r>
              <w:rPr>
                <w:rStyle w:val="Text0"/>
              </w:rPr>
              <w:t>0 &lt;= seconds &lt; 24 * 60 * 60</w:t>
            </w:r>
            <w:r>
              <w:t xml:space="preserve"> and </w:t>
            </w:r>
            <w:r>
              <w:rPr>
                <w:rStyle w:val="Text0"/>
              </w:rPr>
              <w:t>0 &lt;= microseconds &lt; 1000000</w:t>
            </w:r>
            <w:r>
              <w:t xml:space="preserve">. For example: </w:t>
            </w:r>
          </w:p>
          <w:p>
            <w:pPr>
              <w:pStyle w:val="Para 025"/>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16"/>
              </w:rPr>
              <w:t xml:space="preserve">repr</w:t>
              <w:br w:clear="none"/>
            </w:r>
            <w:r>
              <w:rPr>
                <w:rStyle w:val="Text7"/>
              </w:rPr>
              <w:t xml:space="preserve">(</w:t>
              <w:br w:clear="none"/>
            </w:r>
            <w:r>
              <w:t xml:space="preserve">timedelta</w:t>
              <w:br w:clear="none"/>
            </w:r>
            <w:r>
              <w:rPr>
                <w:rStyle w:val="Text7"/>
              </w:rPr>
              <w:t xml:space="preserve">(</w:t>
              <w:br w:clear="none"/>
            </w:r>
            <w:r>
              <w:t xml:space="preserve">minutes</w:t>
              <w:br w:clear="none"/>
            </w:r>
            <w:r>
              <w:rPr>
                <w:rStyle w:val="Text13"/>
              </w:rPr>
              <w:t xml:space="preserve">=</w:t>
              <w:br w:clear="none"/>
            </w:r>
            <w:r>
              <w:rPr>
                <w:rStyle w:val="Text27"/>
              </w:rPr>
              <w:t xml:space="preserve">0.5</w:t>
              <w:br w:clear="none"/>
            </w:r>
            <w:r>
              <w:rPr>
                <w:rStyle w:val="Text7"/>
              </w:rPr>
              <w:t xml:space="preserve">)))</w:t>
              <w:br w:clear="none"/>
            </w:r>
          </w:p>
          <w:p>
            <w:pPr>
              <w:pStyle w:val="Para 033"/>
            </w:pPr>
            <w:r>
              <w:rPr>
                <w:rStyle w:val="Text48"/>
              </w:rPr>
              <w:t xml:space="preserve"/>
              <w:br w:clear="none"/>
            </w:r>
            <w:r>
              <w:t xml:space="preserve">datetime.timedelta(days=0, seconds=30)</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16"/>
              </w:rPr>
              <w:t xml:space="preserve">repr</w:t>
              <w:br w:clear="none"/>
            </w:r>
            <w:r>
              <w:rPr>
                <w:rStyle w:val="Text7"/>
              </w:rPr>
              <w:t xml:space="preserve">(</w:t>
              <w:br w:clear="none"/>
            </w:r>
            <w:r>
              <w:t xml:space="preserve">timedelta</w:t>
              <w:br w:clear="none"/>
            </w:r>
            <w:r>
              <w:rPr>
                <w:rStyle w:val="Text7"/>
              </w:rPr>
              <w:t xml:space="preserve">(</w:t>
              <w:br w:clear="none"/>
            </w:r>
            <w:r>
              <w:t xml:space="preserve">minutes</w:t>
              <w:br w:clear="none"/>
            </w:r>
            <w:r>
              <w:rPr>
                <w:rStyle w:val="Text13"/>
              </w:rPr>
              <w:t xml:space="preserve">=-</w:t>
              <w:br w:clear="none"/>
            </w:r>
            <w:r>
              <w:rPr>
                <w:rStyle w:val="Text27"/>
              </w:rPr>
              <w:t xml:space="preserve">0.5</w:t>
              <w:br w:clear="none"/>
            </w:r>
            <w:r>
              <w:rPr>
                <w:rStyle w:val="Text7"/>
              </w:rPr>
              <w:t xml:space="preserve">)))</w:t>
              <w:br w:clear="none"/>
            </w:r>
          </w:p>
          <w:p>
            <w:pPr>
              <w:pStyle w:val="Para 033"/>
            </w:pPr>
            <w:r>
              <w:rPr>
                <w:rStyle w:val="Text48"/>
              </w:rPr>
              <w:t xml:space="preserve"/>
              <w:br w:clear="none"/>
            </w:r>
            <w:r>
              <w:t xml:space="preserve">datetime.timedelta(days=-1, seconds=86370)</w:t>
              <w:br w:clear="none"/>
            </w:r>
          </w:p>
          <w:p>
            <w:pPr>
              <w:pStyle w:val="Para 022"/>
            </w:pPr>
            <w:r>
              <w:t xml:space="preserve"> Instances of </w:t>
            </w:r>
            <w:r>
              <w:rPr>
                <w:rStyle w:val="Text0"/>
              </w:rPr>
              <w:t>timedelta</w:t>
            </w:r>
            <w:r>
              <w:t xml:space="preserve"> support arithmetic: </w:t>
            </w:r>
            <w:r>
              <w:rPr>
                <w:rStyle w:val="Text0"/>
              </w:rPr>
              <w:t>+</w:t>
            </w:r>
            <w:r>
              <w:t xml:space="preserve"> and </w:t>
            </w:r>
            <w:r>
              <w:rPr>
                <w:rStyle w:val="Text0"/>
              </w:rPr>
              <w:t>-</w:t>
            </w:r>
            <w:r>
              <w:t xml:space="preserve"> between themselves and with instances of the classes </w:t>
            </w:r>
            <w:r>
              <w:rPr>
                <w:rStyle w:val="Text0"/>
              </w:rPr>
              <w:t>date</w:t>
            </w:r>
            <w:r>
              <w:t xml:space="preserve"> and </w:t>
            </w:r>
            <w:r>
              <w:rPr>
                <w:rStyle w:val="Text0"/>
              </w:rPr>
              <w:t>datetime</w:t>
            </w:r>
            <w:r>
              <w:t xml:space="preserve">; </w:t>
            </w:r>
            <w:r>
              <w:rPr>
                <w:rStyle w:val="Text0"/>
              </w:rPr>
              <w:t>*</w:t>
            </w:r>
            <w:r>
              <w:t xml:space="preserve"> with integers; </w:t>
            </w:r>
            <w:r>
              <w:rPr>
                <w:rStyle w:val="Text0"/>
              </w:rPr>
              <w:t>/</w:t>
            </w:r>
            <w:r>
              <w:t xml:space="preserve"> with integers and </w:t>
            </w:r>
            <w:r>
              <w:rPr>
                <w:rStyle w:val="Text0"/>
              </w:rPr>
              <w:t>timedelta</w:t>
            </w:r>
            <w:r>
              <w:t xml:space="preserve"> instances (floor division, true division, </w:t>
            </w:r>
            <w:r>
              <w:rPr>
                <w:rStyle w:val="Text0"/>
              </w:rPr>
              <w:t>divmod</w:t>
            </w:r>
            <w:r>
              <w:t xml:space="preserve">, </w:t>
            </w:r>
            <w:r>
              <w:rPr>
                <w:rStyle w:val="Text0"/>
              </w:rPr>
              <w:t>%</w:t>
            </w:r>
            <w:r>
              <w:t>). They also support comparisons between themselves.</w:t>
            </w:r>
          </w:p>
        </w:tc>
      </w:tr>
    </w:tbl>
    <w:p>
      <w:pPr>
        <w:pStyle w:val="Normal"/>
      </w:pPr>
      <w:r>
        <w:t xml:space="preserve">While </w:t>
      </w:r>
      <w:r>
        <w:rPr>
          <w:rStyle w:val="Text0"/>
        </w:rPr>
        <w:t>timedelta</w:t>
      </w:r>
      <w:r>
        <w:t xml:space="preserve"> instances can be created using this constructor, they are more often created by subtracting two </w:t>
      </w:r>
      <w:r>
        <w:rPr>
          <w:rStyle w:val="Text0"/>
        </w:rPr>
        <w:t>date</w:t>
      </w:r>
      <w:r>
        <w:t xml:space="preserve">, </w:t>
      </w:r>
      <w:r>
        <w:rPr>
          <w:rStyle w:val="Text0"/>
        </w:rPr>
        <w:t>time</w:t>
      </w:r>
      <w:r>
        <w:t xml:space="preserve">, or </w:t>
      </w:r>
      <w:r>
        <w:rPr>
          <w:rStyle w:val="Text0"/>
        </w:rPr>
        <w:t>datetime</w:t>
      </w:r>
      <w:r>
        <w:t xml:space="preserve"> instances, such that the resulting </w:t>
      </w:r>
      <w:r>
        <w:rPr>
          <w:rStyle w:val="Text0"/>
        </w:rPr>
        <w:t>timedelta</w:t>
      </w:r>
      <w:r>
        <w:t xml:space="preserve"> represents an elapsed time period. An instance </w:t>
      </w:r>
      <w:r>
        <w:rPr>
          <w:rStyle w:val="Text3"/>
        </w:rPr>
        <w:t>td</w:t>
      </w:r>
      <w:r>
        <w:t xml:space="preserve"> of </w:t>
      </w:r>
      <w:r>
        <w:rPr>
          <w:rStyle w:val="Text0"/>
        </w:rPr>
        <w:t>timedelta</w:t>
      </w:r>
      <w:r>
        <w:t xml:space="preserve"> supplies a method </w:t>
      </w:r>
      <w:r>
        <w:rPr>
          <w:rStyle w:val="Text3"/>
        </w:rPr>
        <w:t>td</w:t>
      </w:r>
      <w:r>
        <w:rPr>
          <w:rStyle w:val="Text0"/>
        </w:rPr>
        <w:t>.total_seconds()</w:t>
      </w:r>
      <w:r>
        <w:t xml:space="preserve"> that returns a float representing the total seconds of a </w:t>
      </w:r>
      <w:r>
        <w:rPr>
          <w:rStyle w:val="Text0"/>
        </w:rPr>
        <w:t>timedelta</w:t>
      </w:r>
      <w:r>
        <w:t xml:space="preserve"> instance.</w:t>
      </w:r>
    </w:p>
    <w:p>
      <w:bookmarkStart w:id="3163" w:name="The_tzinfo_Abstract_Class__The_t"/>
      <w:pPr>
        <w:keepNext/>
        <w:pStyle w:val="Heading 2"/>
      </w:pPr>
      <w:r>
        <w:t>The tzinfo Abstract Class</w:t>
      </w:r>
      <w:bookmarkEnd w:id="3163"/>
    </w:p>
    <w:p>
      <w:pPr>
        <w:pStyle w:val="Normal"/>
      </w:pPr>
      <w:r>
        <w:t>The</w:t>
      </w:r>
      <w:r>
        <w:rPr>
          <w:rStyle w:val="Text111"/>
        </w:rPr>
        <w:bookmarkStart w:id="3164" w:name="idm45965195788080"/>
        <w:t/>
        <w:bookmarkEnd w:id="3164"/>
        <w:bookmarkStart w:id="3165" w:name="idm45965195786704"/>
        <w:t/>
        <w:bookmarkEnd w:id="3165"/>
      </w:r>
      <w:r>
        <w:t xml:space="preserve"> </w:t>
      </w:r>
      <w:r>
        <w:rPr>
          <w:rStyle w:val="Text0"/>
        </w:rPr>
        <w:t>tzinfo</w:t>
      </w:r>
      <w:r>
        <w:t xml:space="preserve"> class defines the abstract class methods listed in </w:t>
      </w:r>
      <w:hyperlink w:anchor="Table_13_9__Methods_of_the_tzinf">
        <w:r>
          <w:rPr>
            <w:rStyle w:val="Text1"/>
          </w:rPr>
          <w:t>Table 13-9</w:t>
        </w:r>
      </w:hyperlink>
      <w:r>
        <w:t xml:space="preserve">, to support creation and usage of aware </w:t>
      </w:r>
      <w:r>
        <w:rPr>
          <w:rStyle w:val="Text0"/>
        </w:rPr>
        <w:t>datetime</w:t>
      </w:r>
      <w:r>
        <w:t xml:space="preserve"> and </w:t>
      </w:r>
      <w:r>
        <w:rPr>
          <w:rStyle w:val="Text0"/>
        </w:rPr>
        <w:t>time</w:t>
      </w:r>
      <w:r>
        <w:t xml:space="preserve"> objects.</w:t>
      </w:r>
    </w:p>
    <w:tbl>
      <w:tblPr>
        <w:tblW w:type="auto" w:w="0"/>
      </w:tblPr>
      <w:tr>
        <w:tc>
          <w:tcPr>
            <w:tcW w:type="auto" w:w="0"/>
            <w:tcMar>
              <w:left w:type="dxa" w:w="200"/>
              <w:top w:type="dxa" w:w="200"/>
              <w:right w:type="dxa" w:w="200"/>
              <w:bottom w:type="dxa" w:w="200"/>
            </w:tcMar>
          </w:tcPr>
          <w:p>
            <w:bookmarkStart w:id="3166" w:name="Table_13_9__Methods_of_the_tzinf"/>
            <w:pPr>
              <w:pStyle w:val="Para 011"/>
            </w:pPr>
            <w:r>
              <w:rPr>
                <w:rStyle w:val="Text117"/>
              </w:rPr>
              <w:t/>
            </w:r>
            <w:r>
              <w:t xml:space="preserve">Table 13-9. </w:t>
              <w:t xml:space="preserve">Methods of the </w:t>
            </w:r>
            <w:r>
              <w:rPr>
                <w:rStyle w:val="Text0"/>
              </w:rPr>
              <w:t>tzinfo</w:t>
            </w:r>
            <w:r>
              <w:t xml:space="preserve"> class</w:t>
            </w:r>
            <w:bookmarkEnd w:id="3166"/>
          </w:p>
          <w:p>
            <w:pPr>
              <w:pStyle w:val="Para 001"/>
            </w:pPr>
            <w:r>
              <w:t>dst</w:t>
            </w:r>
          </w:p>
        </w:tc>
        <w:tc>
          <w:tcPr>
            <w:tcW w:type="auto" w:w="0"/>
            <w:tcMar>
              <w:left w:type="dxa" w:w="200"/>
              <w:top w:type="dxa" w:w="200"/>
              <w:right w:type="dxa" w:w="200"/>
              <w:bottom w:type="dxa" w:w="200"/>
            </w:tcMar>
          </w:tcPr>
          <w:p>
            <w:pPr>
              <w:pStyle w:val="Para 002"/>
            </w:pPr>
            <w:r>
              <w:rPr>
                <w:rStyle w:val="Text0"/>
              </w:rPr>
              <w:t>dst(</w:t>
            </w:r>
            <w:r>
              <w:rPr>
                <w:rStyle w:val="Text3"/>
              </w:rPr>
              <w:t>dt</w:t>
            </w:r>
            <w:r>
              <w:rPr>
                <w:rStyle w:val="Text0"/>
              </w:rPr>
              <w:t>)</w:t>
              <w:br w:clear="none"/>
            </w:r>
            <w:r>
              <w:t xml:space="preserve"> Returns</w:t>
            </w:r>
            <w:r>
              <w:rPr>
                <w:rStyle w:val="Text111"/>
              </w:rPr>
              <w:bookmarkStart w:id="3167" w:name="idm45965195777344"/>
              <w:t/>
              <w:bookmarkEnd w:id="3167"/>
            </w:r>
            <w:r>
              <w:t xml:space="preserve"> the daylight savings offset of a given </w:t>
            </w:r>
            <w:r>
              <w:rPr>
                <w:rStyle w:val="Text0"/>
              </w:rPr>
              <w:t>datetime</w:t>
            </w:r>
            <w:r>
              <w:t xml:space="preserve">, as a </w:t>
            </w:r>
            <w:r>
              <w:rPr>
                <w:rStyle w:val="Text0"/>
              </w:rPr>
              <w:t>timedelta</w:t>
            </w:r>
            <w:r>
              <w:t xml:space="preserve"> object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tzname</w:t>
            </w:r>
          </w:p>
        </w:tc>
        <w:tc>
          <w:tcPr>
            <w:tcW w:type="auto" w:w="0"/>
            <w:shd w:val="clear" w:color="auto" w:fill="EEF2F6"/>
            <w:tcMar>
              <w:left w:type="dxa" w:w="200"/>
              <w:top w:type="dxa" w:w="200"/>
              <w:right w:type="dxa" w:w="200"/>
              <w:bottom w:type="dxa" w:w="200"/>
            </w:tcMar>
          </w:tcPr>
          <w:p>
            <w:pPr>
              <w:pStyle w:val="Para 002"/>
            </w:pPr>
            <w:r>
              <w:rPr>
                <w:rStyle w:val="Text0"/>
              </w:rPr>
              <w:t>tzname(</w:t>
            </w:r>
            <w:r>
              <w:rPr>
                <w:rStyle w:val="Text3"/>
              </w:rPr>
              <w:t>dt</w:t>
            </w:r>
            <w:r>
              <w:rPr>
                <w:rStyle w:val="Text0"/>
              </w:rPr>
              <w:t>)</w:t>
              <w:br w:clear="none"/>
            </w:r>
            <w:r>
              <w:t xml:space="preserve"> Returns</w:t>
            </w:r>
            <w:r>
              <w:rPr>
                <w:rStyle w:val="Text111"/>
              </w:rPr>
              <w:bookmarkStart w:id="3168" w:name="idm45965195771728"/>
              <w:t/>
              <w:bookmarkEnd w:id="3168"/>
            </w:r>
            <w:r>
              <w:t xml:space="preserve"> the abbreviation for the time zone of a given </w:t>
            </w:r>
            <w:r>
              <w:rPr>
                <w:rStyle w:val="Text0"/>
              </w:rPr>
              <w:t>datetime</w:t>
            </w:r>
          </w:p>
        </w:tc>
      </w:tr>
    </w:tbl>
    <w:tbl>
      <w:tblPr>
        <w:tblW w:type="auto" w:w="0"/>
      </w:tblPr>
      <w:tr>
        <w:tc>
          <w:tcPr>
            <w:tcW w:type="auto" w:w="0"/>
            <w:tcMar>
              <w:left w:type="dxa" w:w="200"/>
              <w:top w:type="dxa" w:w="200"/>
              <w:right w:type="dxa" w:w="200"/>
              <w:bottom w:type="dxa" w:w="200"/>
            </w:tcMar>
          </w:tcPr>
          <w:p>
            <w:pPr>
              <w:pStyle w:val="Para 001"/>
            </w:pPr>
            <w:r>
              <w:t>utcoffset</w:t>
            </w:r>
          </w:p>
        </w:tc>
        <w:tc>
          <w:tcPr>
            <w:tcW w:type="auto" w:w="0"/>
            <w:tcMar>
              <w:left w:type="dxa" w:w="200"/>
              <w:top w:type="dxa" w:w="200"/>
              <w:right w:type="dxa" w:w="200"/>
              <w:bottom w:type="dxa" w:w="200"/>
            </w:tcMar>
          </w:tcPr>
          <w:p>
            <w:pPr>
              <w:pStyle w:val="Para 002"/>
            </w:pPr>
            <w:r>
              <w:rPr>
                <w:rStyle w:val="Text0"/>
              </w:rPr>
              <w:t>utcoffset(</w:t>
            </w:r>
            <w:r>
              <w:rPr>
                <w:rStyle w:val="Text3"/>
              </w:rPr>
              <w:t>dt</w:t>
            </w:r>
            <w:r>
              <w:rPr>
                <w:rStyle w:val="Text0"/>
              </w:rPr>
              <w:t>)</w:t>
              <w:br w:clear="none"/>
            </w:r>
            <w:r>
              <w:t xml:space="preserve"> Returns</w:t>
            </w:r>
            <w:r>
              <w:rPr>
                <w:rStyle w:val="Text111"/>
              </w:rPr>
              <w:bookmarkStart w:id="3169" w:name="idm45965195766992"/>
              <w:t/>
              <w:bookmarkEnd w:id="3169"/>
            </w:r>
            <w:r>
              <w:t xml:space="preserve"> the offset from UTC of a given </w:t>
            </w:r>
            <w:r>
              <w:rPr>
                <w:rStyle w:val="Text0"/>
              </w:rPr>
              <w:t>datetime</w:t>
            </w:r>
            <w:r>
              <w:t xml:space="preserve">, as a </w:t>
            </w:r>
            <w:r>
              <w:rPr>
                <w:rStyle w:val="Text0"/>
              </w:rPr>
              <w:t>timedelta</w:t>
            </w:r>
            <w:r>
              <w:t xml:space="preserve"> object</w:t>
            </w:r>
          </w:p>
        </w:tc>
      </w:tr>
    </w:tbl>
    <w:p>
      <w:pPr>
        <w:pStyle w:val="Normal"/>
      </w:pPr>
      <w:r>
        <w:rPr>
          <w:rStyle w:val="Text0"/>
        </w:rPr>
        <w:t>tzinfo</w:t>
      </w:r>
      <w:r>
        <w:t xml:space="preserve"> also defines a </w:t>
      </w:r>
      <w:r>
        <w:rPr>
          <w:rStyle w:val="Text0"/>
        </w:rPr>
        <w:t>fromutc</w:t>
      </w:r>
      <w:r>
        <w:t xml:space="preserve"> abstract instance method, primarily for internal use by the </w:t>
      </w:r>
      <w:r>
        <w:rPr>
          <w:rStyle w:val="Text0"/>
        </w:rPr>
        <w:t>datetime.astimezone</w:t>
      </w:r>
      <w:r>
        <w:t xml:space="preserve"> method.</w:t>
      </w:r>
    </w:p>
    <w:p>
      <w:bookmarkStart w:id="3170" w:name="The_timezone_Class__The_timezone"/>
      <w:pPr>
        <w:keepNext/>
        <w:pStyle w:val="Heading 2"/>
      </w:pPr>
      <w:r>
        <w:t>The timezone Class</w:t>
      </w:r>
      <w:bookmarkEnd w:id="3170"/>
    </w:p>
    <w:p>
      <w:pPr>
        <w:pStyle w:val="Normal"/>
      </w:pPr>
      <w:r>
        <w:t>The</w:t>
      </w:r>
      <w:r>
        <w:rPr>
          <w:rStyle w:val="Text111"/>
        </w:rPr>
        <w:bookmarkStart w:id="3171" w:name="idm45965195759792"/>
        <w:t/>
        <w:bookmarkEnd w:id="3171"/>
        <w:bookmarkStart w:id="3172" w:name="idm45965195758000"/>
        <w:t/>
        <w:bookmarkEnd w:id="3172"/>
      </w:r>
      <w:r>
        <w:t xml:space="preserve"> </w:t>
      </w:r>
      <w:r>
        <w:rPr>
          <w:rStyle w:val="Text0"/>
        </w:rPr>
        <w:t>timezone</w:t>
      </w:r>
      <w:r>
        <w:t xml:space="preserve"> class is a concrete implementation of the </w:t>
      </w:r>
      <w:r>
        <w:rPr>
          <w:rStyle w:val="Text0"/>
        </w:rPr>
        <w:t>tzinfo</w:t>
      </w:r>
      <w:r>
        <w:t xml:space="preserve"> class. You construct a </w:t>
      </w:r>
      <w:r>
        <w:rPr>
          <w:rStyle w:val="Text0"/>
        </w:rPr>
        <w:t>timezone</w:t>
      </w:r>
      <w:r>
        <w:t xml:space="preserve"> instance using a </w:t>
      </w:r>
      <w:r>
        <w:rPr>
          <w:rStyle w:val="Text0"/>
        </w:rPr>
        <w:t>timedelta</w:t>
      </w:r>
      <w:r>
        <w:t xml:space="preserve"> representing the time offset from UTC. </w:t>
      </w:r>
      <w:r>
        <w:rPr>
          <w:rStyle w:val="Text0"/>
        </w:rPr>
        <w:t>timezone</w:t>
      </w:r>
      <w:r>
        <w:t xml:space="preserve"> supplies one class property, </w:t>
      </w:r>
      <w:r>
        <w:rPr>
          <w:rStyle w:val="Text0"/>
        </w:rPr>
        <w:t>utc</w:t>
      </w:r>
      <w:r>
        <w:t xml:space="preserve">, a </w:t>
      </w:r>
      <w:r>
        <w:rPr>
          <w:rStyle w:val="Text0"/>
        </w:rPr>
        <w:t>timezone</w:t>
      </w:r>
      <w:r>
        <w:t xml:space="preserve"> representing the UTC time zone (equivalent to </w:t>
      </w:r>
      <w:r>
        <w:rPr>
          <w:rStyle w:val="Text0"/>
        </w:rPr>
        <w:t>timezone(timedelta(0))</w:t>
      </w:r>
      <w:r>
        <w:t>).</w:t>
      </w:r>
      <w:r>
        <w:rPr>
          <w:rStyle w:val="Text111"/>
        </w:rPr>
        <w:bookmarkStart w:id="3173" w:name="idm45965195750976"/>
        <w:t/>
        <w:bookmarkEnd w:id="3173"/>
        <w:bookmarkStart w:id="3174" w:name="idm45965195749568"/>
        <w:t/>
        <w:bookmarkEnd w:id="3174"/>
        <w:bookmarkStart w:id="3175" w:name="idm45965195748192"/>
        <w:t/>
        <w:bookmarkEnd w:id="3175"/>
      </w:r>
    </w:p>
    <w:p>
      <w:bookmarkStart w:id="3176" w:name="The_zoneinfo_Module__3_9__The_zo"/>
      <w:pPr>
        <w:keepNext/>
        <w:pStyle w:val="Heading 1"/>
      </w:pPr>
      <w:r>
        <w:t>The zoneinfo Module</w:t>
      </w:r>
      <w:bookmarkEnd w:id="3176"/>
    </w:p>
    <w:p>
      <w:pPr>
        <w:pStyle w:val="Normal"/>
      </w:pPr>
      <w:r>
        <w:rPr>
          <w:rStyle w:val="Text34"/>
        </w:rPr>
        <w:t>3.9+</w:t>
      </w:r>
      <w:r>
        <w:t xml:space="preserve"> The </w:t>
      </w:r>
      <w:r>
        <w:rPr>
          <w:rStyle w:val="Text0"/>
        </w:rPr>
        <w:t>zoneinfo</w:t>
      </w:r>
      <w:r>
        <w:rPr>
          <w:rStyle w:val="Text111"/>
        </w:rPr>
        <w:bookmarkStart w:id="3177" w:name="idm45965195743088"/>
        <w:t/>
        <w:bookmarkEnd w:id="3177"/>
        <w:bookmarkStart w:id="3178" w:name="idm45965195741712"/>
        <w:t/>
        <w:bookmarkEnd w:id="3178"/>
        <w:bookmarkStart w:id="3179" w:name="idm45965195740608"/>
        <w:t/>
        <w:bookmarkEnd w:id="3179"/>
      </w:r>
      <w:r>
        <w:t xml:space="preserve"> module is a concrete implementation of timezones for use with datetime’s </w:t>
      </w:r>
      <w:r>
        <w:rPr>
          <w:rStyle w:val="Text0"/>
        </w:rPr>
        <w:t>tzinfo</w:t>
      </w:r>
      <w:r>
        <w:t>.</w:t>
      </w:r>
      <w:hyperlink w:anchor="3_Pre_3_9__use_instead_the_third">
        <w:r>
          <w:rPr>
            <w:rStyle w:val="Text41"/>
          </w:rPr>
          <w:bookmarkStart w:id="3180" w:name="3_11"/>
          <w:t>3</w:t>
          <w:bookmarkEnd w:id="3180"/>
        </w:r>
      </w:hyperlink>
      <w:r>
        <w:t xml:space="preserve"> </w:t>
      </w:r>
      <w:r>
        <w:rPr>
          <w:rStyle w:val="Text0"/>
        </w:rPr>
        <w:t>zoneinfo</w:t>
      </w:r>
      <w:r>
        <w:t xml:space="preserve"> uses the system’s time zone data by default, with </w:t>
      </w:r>
      <w:hyperlink r:id="rId426">
        <w:r>
          <w:rPr>
            <w:rStyle w:val="Text30"/>
          </w:rPr>
          <w:t>tzdata</w:t>
        </w:r>
      </w:hyperlink>
      <w:r>
        <w:t xml:space="preserve"> as</w:t>
      </w:r>
      <w:r>
        <w:rPr>
          <w:rStyle w:val="Text111"/>
        </w:rPr>
        <w:bookmarkStart w:id="3181" w:name="idm45965195734400"/>
        <w:t/>
        <w:bookmarkEnd w:id="3181"/>
      </w:r>
      <w:r>
        <w:t xml:space="preserve"> a fallback. (On Windows, you may need to </w:t>
      </w:r>
      <w:r>
        <w:rPr>
          <w:rStyle w:val="Text5"/>
        </w:rPr>
        <w:t>pip install tzdata</w:t>
      </w:r>
      <w:r>
        <w:t xml:space="preserve">; once installed, you don’t import </w:t>
      </w:r>
      <w:r>
        <w:rPr>
          <w:rStyle w:val="Text0"/>
        </w:rPr>
        <w:t>tzdata</w:t>
      </w:r>
      <w:r>
        <w:t xml:space="preserve"> in your program—rather, </w:t>
      </w:r>
      <w:r>
        <w:rPr>
          <w:rStyle w:val="Text0"/>
        </w:rPr>
        <w:t>zoneinfo</w:t>
      </w:r>
      <w:r>
        <w:t xml:space="preserve"> uses it automatically.)</w:t>
      </w:r>
    </w:p>
    <w:p>
      <w:pPr>
        <w:pStyle w:val="Normal"/>
      </w:pPr>
      <w:r>
        <w:rPr>
          <w:rStyle w:val="Text0"/>
        </w:rPr>
        <w:t>zoneinfo</w:t>
      </w:r>
      <w:r>
        <w:t xml:space="preserve"> provides one class: </w:t>
      </w:r>
      <w:r>
        <w:rPr>
          <w:rStyle w:val="Text0"/>
        </w:rPr>
        <w:t>ZoneInfo</w:t>
      </w:r>
      <w:r>
        <w:t xml:space="preserve">, a concrete implementation of the </w:t>
      </w:r>
      <w:r>
        <w:rPr>
          <w:rStyle w:val="Text0"/>
        </w:rPr>
        <w:t>datetime.tzinfo</w:t>
      </w:r>
      <w:r>
        <w:t xml:space="preserve"> abstract class. You can assign it to </w:t>
      </w:r>
      <w:r>
        <w:rPr>
          <w:rStyle w:val="Text0"/>
        </w:rPr>
        <w:t>tzinfo</w:t>
      </w:r>
      <w:r>
        <w:t xml:space="preserve"> during construction of an aware </w:t>
      </w:r>
      <w:r>
        <w:rPr>
          <w:rStyle w:val="Text0"/>
        </w:rPr>
        <w:t>datetime</w:t>
      </w:r>
      <w:r>
        <w:t xml:space="preserve"> instance, or use it with the </w:t>
      </w:r>
      <w:r>
        <w:rPr>
          <w:rStyle w:val="Text0"/>
        </w:rPr>
        <w:t>datetime.replace</w:t>
      </w:r>
      <w:r>
        <w:t xml:space="preserve"> or </w:t>
      </w:r>
      <w:r>
        <w:rPr>
          <w:rStyle w:val="Text0"/>
        </w:rPr>
        <w:t>datetime.astimezone</w:t>
      </w:r>
      <w:r>
        <w:t xml:space="preserve"> methods. To construct a </w:t>
      </w:r>
      <w:r>
        <w:rPr>
          <w:rStyle w:val="Text0"/>
        </w:rPr>
        <w:t>ZoneInfo</w:t>
      </w:r>
      <w:r>
        <w:t xml:space="preserve">, use one of the defined IANA time zone names, such as </w:t>
      </w:r>
      <w:r>
        <w:rPr>
          <w:rStyle w:val="Text0"/>
        </w:rPr>
        <w:t>"America/Los_Angeles"</w:t>
      </w:r>
      <w:r>
        <w:t xml:space="preserve"> or </w:t>
      </w:r>
      <w:r>
        <w:rPr>
          <w:rStyle w:val="Text0"/>
        </w:rPr>
        <w:t>"Asia/Tokyo"</w:t>
      </w:r>
      <w:r>
        <w:t xml:space="preserve">. You can get a list of these time zone names by calling </w:t>
      </w:r>
      <w:r>
        <w:rPr>
          <w:rStyle w:val="Text0"/>
        </w:rPr>
        <w:t>zoneinfo.available_timezones()</w:t>
      </w:r>
      <w:r>
        <w:t xml:space="preserve">. More details on each time zone (such as offset from UTC and daylight savings information) can be found </w:t>
      </w:r>
      <w:hyperlink r:id="rId427">
        <w:r>
          <w:rPr>
            <w:rStyle w:val="Text1"/>
          </w:rPr>
          <w:t>on Wikipedia</w:t>
        </w:r>
      </w:hyperlink>
      <w:r>
        <w:t>.</w:t>
      </w:r>
    </w:p>
    <w:p>
      <w:pPr>
        <w:pStyle w:val="Normal"/>
      </w:pPr>
      <w:r>
        <w:t xml:space="preserve">Here are some examples using </w:t>
      </w:r>
      <w:r>
        <w:rPr>
          <w:rStyle w:val="Text0"/>
        </w:rPr>
        <w:t>ZoneInfo</w:t>
      </w:r>
      <w:r>
        <w:t>. We’ll start by getting the current local date and time in California:</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datetime</w:t>
        <w:br w:clear="none"/>
      </w:r>
      <w:r>
        <w:rPr>
          <w:rStyle w:val="Text6"/>
        </w:rPr>
        <w:t xml:space="preserve"> </w:t>
        <w:br w:clear="none"/>
      </w:r>
      <w:r>
        <w:rPr>
          <w:rStyle w:val="Text10"/>
        </w:rPr>
        <w:t xml:space="preserve">import</w:t>
        <w:br w:clear="none"/>
      </w:r>
      <w:r>
        <w:rPr>
          <w:rStyle w:val="Text6"/>
        </w:rPr>
        <w:t xml:space="preserve"> </w:t>
        <w:br w:clear="none"/>
      </w:r>
      <w:r>
        <w:t xml:space="preserve">datetime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zoneinfo</w:t>
        <w:br w:clear="none"/>
      </w:r>
      <w:r>
        <w:rPr>
          <w:rStyle w:val="Text6"/>
        </w:rPr>
        <w:t xml:space="preserve"> </w:t>
        <w:br w:clear="none"/>
      </w:r>
      <w:r>
        <w:rPr>
          <w:rStyle w:val="Text10"/>
        </w:rPr>
        <w:t xml:space="preserve">import</w:t>
        <w:br w:clear="none"/>
      </w:r>
      <w:r>
        <w:rPr>
          <w:rStyle w:val="Text6"/>
        </w:rPr>
        <w:t xml:space="preserve"> </w:t>
        <w:br w:clear="none"/>
      </w:r>
      <w:r>
        <w:t xml:space="preserve">ZoneInfo</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r>
      <w:r>
        <w:t xml:space="preserve">tz</w:t>
        <w:br w:clear="none"/>
      </w:r>
      <w:r>
        <w:rPr>
          <w:rStyle w:val="Text13"/>
        </w:rPr>
        <w:t xml:space="preserve">=</w:t>
        <w:br w:clear="none"/>
      </w:r>
      <w:r>
        <w:t xml:space="preserve">ZoneInfo</w:t>
        <w:br w:clear="none"/>
      </w:r>
      <w:r>
        <w:rPr>
          <w:rStyle w:val="Text7"/>
        </w:rPr>
        <w:t xml:space="preserve">(</w:t>
        <w:br w:clear="none"/>
      </w:r>
      <w:r>
        <w:rPr>
          <w:rStyle w:val="Text8"/>
        </w:rPr>
        <w:t xml:space="preserve">"</w:t>
        <w:br w:clear="none"/>
        <w:t xml:space="preserve">America/Los_Angeles</w:t>
        <w:br w:clear="none"/>
        <w:t xml:space="preserve">"</w:t>
        <w:br w:clear="none"/>
      </w:r>
      <w:r>
        <w:rPr>
          <w:rStyle w:val="Text7"/>
        </w:rPr>
        <w:t xml:space="preserve">)</w:t>
        <w:br w:clear="none"/>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w:t>
        <w:br w:clear="none"/>
      </w:r>
    </w:p>
    <w:p>
      <w:pPr>
        <w:pStyle w:val="Para 008"/>
      </w:pPr>
      <w:r>
        <w:rPr>
          <w:rStyle w:val="Text48"/>
        </w:rPr>
        <w:t xml:space="preserve"/>
        <w:br w:clear="none"/>
      </w:r>
      <w:r>
        <w:t xml:space="preserve">datetime.datetime(2021,10,21,16,32,23,96782,tzinfo=zoneinfo.ZoneInfo(key</w:t>
        <w:br w:clear="none"/>
        <w:t xml:space="preserve">='America/Los_Angeles'))</w:t>
        <w:br w:clear="none"/>
      </w:r>
    </w:p>
    <w:p>
      <w:pPr>
        <w:pStyle w:val="Normal"/>
      </w:pPr>
      <w:r>
        <w:t xml:space="preserve">We can now update the time zone to a different one </w:t>
      </w:r>
      <w:r>
        <w:rPr>
          <w:rStyle w:val="Text4"/>
        </w:rPr>
        <w:t>without</w:t>
      </w:r>
      <w:r>
        <w:t xml:space="preserve"> changing other attributes (i.e., without converting the time to the new time zone):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dny</w:t>
        <w:br w:clear="none"/>
      </w:r>
      <w:r>
        <w:rPr>
          <w:rStyle w:val="Text13"/>
        </w:rPr>
        <w:t xml:space="preserve">=</w:t>
        <w:br w:clear="none"/>
      </w:r>
      <w:r>
        <w:t xml:space="preserve">d</w:t>
        <w:br w:clear="none"/>
      </w:r>
      <w:r>
        <w:rPr>
          <w:rStyle w:val="Text13"/>
        </w:rPr>
        <w:t xml:space="preserve">.</w:t>
        <w:br w:clear="none"/>
      </w:r>
      <w:r>
        <w:t xml:space="preserve">replace</w:t>
        <w:br w:clear="none"/>
      </w:r>
      <w:r>
        <w:rPr>
          <w:rStyle w:val="Text7"/>
        </w:rPr>
        <w:t xml:space="preserve">(</w:t>
        <w:br w:clear="none"/>
      </w:r>
      <w:r>
        <w:t xml:space="preserve">tzinfo</w:t>
        <w:br w:clear="none"/>
      </w:r>
      <w:r>
        <w:rPr>
          <w:rStyle w:val="Text13"/>
        </w:rPr>
        <w:t xml:space="preserve">=</w:t>
        <w:br w:clear="none"/>
      </w:r>
      <w:r>
        <w:t xml:space="preserve">ZoneInfo</w:t>
        <w:br w:clear="none"/>
      </w:r>
      <w:r>
        <w:rPr>
          <w:rStyle w:val="Text7"/>
        </w:rPr>
        <w:t xml:space="preserve">(</w:t>
        <w:br w:clear="none"/>
      </w:r>
      <w:r>
        <w:rPr>
          <w:rStyle w:val="Text8"/>
        </w:rPr>
        <w:t xml:space="preserve">"America/New_York"</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dny</w:t>
        <w:br w:clear="none"/>
      </w:r>
    </w:p>
    <w:p>
      <w:pPr>
        <w:pStyle w:val="Para 008"/>
      </w:pPr>
      <w:r>
        <w:rPr>
          <w:rStyle w:val="Text48"/>
        </w:rPr>
        <w:t xml:space="preserve"/>
        <w:br w:clear="none"/>
      </w:r>
      <w:r>
        <w:t xml:space="preserve">datetime.datetime(2021,10,21,16,32,23,96782,tzinfo=zoneinfo.ZoneInfo(key</w:t>
        <w:br w:clear="none"/>
        <w:t xml:space="preserve">='America/New_York')) </w:t>
        <w:br w:clear="none"/>
      </w:r>
    </w:p>
    <w:p>
      <w:pPr>
        <w:pStyle w:val="Normal"/>
      </w:pPr>
      <w:r>
        <w:t xml:space="preserve">Convert a </w:t>
      </w:r>
      <w:r>
        <w:rPr>
          <w:rStyle w:val="Text0"/>
        </w:rPr>
        <w:t>datetime</w:t>
      </w:r>
      <w:r>
        <w:t xml:space="preserve"> instance to UTC:</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dutc</w:t>
        <w:br w:clear="none"/>
      </w:r>
      <w:r>
        <w:rPr>
          <w:rStyle w:val="Text13"/>
        </w:rPr>
        <w:t xml:space="preserve">=</w:t>
        <w:br w:clear="none"/>
      </w:r>
      <w:r>
        <w:t xml:space="preserve">d</w:t>
        <w:br w:clear="none"/>
      </w:r>
      <w:r>
        <w:rPr>
          <w:rStyle w:val="Text13"/>
        </w:rPr>
        <w:t xml:space="preserve">.</w:t>
        <w:br w:clear="none"/>
      </w:r>
      <w:r>
        <w:t xml:space="preserve">astimezone</w:t>
        <w:br w:clear="none"/>
      </w:r>
      <w:r>
        <w:rPr>
          <w:rStyle w:val="Text7"/>
        </w:rPr>
        <w:t xml:space="preserve">(</w:t>
        <w:br w:clear="none"/>
      </w:r>
      <w:r>
        <w:t xml:space="preserve">tz</w:t>
        <w:br w:clear="none"/>
      </w:r>
      <w:r>
        <w:rPr>
          <w:rStyle w:val="Text13"/>
        </w:rPr>
        <w:t xml:space="preserve">=</w:t>
        <w:br w:clear="none"/>
      </w:r>
      <w:r>
        <w:t xml:space="preserve">ZoneInfo</w:t>
        <w:br w:clear="none"/>
      </w:r>
      <w:r>
        <w:rPr>
          <w:rStyle w:val="Text7"/>
        </w:rPr>
        <w:t xml:space="preserve">(</w:t>
        <w:br w:clear="none"/>
      </w:r>
      <w:r>
        <w:rPr>
          <w:rStyle w:val="Text8"/>
        </w:rPr>
        <w:t xml:space="preserve">"UTC"</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dutc</w:t>
        <w:br w:clear="none"/>
      </w:r>
    </w:p>
    <w:p>
      <w:pPr>
        <w:pStyle w:val="Para 008"/>
      </w:pPr>
      <w:r>
        <w:rPr>
          <w:rStyle w:val="Text48"/>
        </w:rPr>
        <w:t xml:space="preserve"/>
        <w:br w:clear="none"/>
      </w:r>
      <w:r>
        <w:t xml:space="preserve">datetime.datetime(2021,10,21,23,32,23,96782,tzinfo=zoneinfo.ZoneInfo(key</w:t>
        <w:br w:clear="none"/>
        <w:t xml:space="preserve">='UTC')) </w:t>
        <w:br w:clear="none"/>
      </w:r>
    </w:p>
    <w:p>
      <w:pPr>
        <w:pStyle w:val="Normal"/>
      </w:pPr>
      <w:r>
        <w:t xml:space="preserve">Get an </w:t>
      </w:r>
      <w:r>
        <w:rPr>
          <w:rStyle w:val="Text4"/>
        </w:rPr>
        <w:t>aware</w:t>
      </w:r>
      <w:r>
        <w:t xml:space="preserve"> timestamp of the current time in UTC:</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daware</w:t>
        <w:br w:clear="none"/>
      </w:r>
      <w:r>
        <w:rPr>
          <w:rStyle w:val="Text13"/>
        </w:rPr>
        <w:t xml:space="preserve">=</w:t>
        <w:br w:clear="none"/>
      </w:r>
      <w:r>
        <w:t xml:space="preserve">datetime</w:t>
        <w:br w:clear="none"/>
      </w:r>
      <w:r>
        <w:rPr>
          <w:rStyle w:val="Text13"/>
        </w:rPr>
        <w:t xml:space="preserve">.</w:t>
        <w:br w:clear="none"/>
      </w:r>
      <w:r>
        <w:t xml:space="preserve">utcnow</w:t>
        <w:br w:clear="none"/>
      </w:r>
      <w:r>
        <w:rPr>
          <w:rStyle w:val="Text7"/>
        </w:rPr>
        <w:t xml:space="preserve">()</w:t>
        <w:br w:clear="none"/>
      </w:r>
      <w:r>
        <w:rPr>
          <w:rStyle w:val="Text13"/>
        </w:rPr>
        <w:t xml:space="preserve">.</w:t>
        <w:br w:clear="none"/>
      </w:r>
      <w:r>
        <w:t xml:space="preserve">replace</w:t>
        <w:br w:clear="none"/>
      </w:r>
      <w:r>
        <w:rPr>
          <w:rStyle w:val="Text7"/>
        </w:rPr>
        <w:t xml:space="preserve">(</w:t>
        <w:br w:clear="none"/>
      </w:r>
      <w:r>
        <w:t xml:space="preserve">tzinfo</w:t>
        <w:br w:clear="none"/>
      </w:r>
      <w:r>
        <w:rPr>
          <w:rStyle w:val="Text13"/>
        </w:rPr>
        <w:t xml:space="preserve">=</w:t>
        <w:br w:clear="none"/>
      </w:r>
      <w:r>
        <w:t xml:space="preserve">ZoneInfo</w:t>
        <w:br w:clear="none"/>
      </w:r>
      <w:r>
        <w:rPr>
          <w:rStyle w:val="Text7"/>
        </w:rPr>
        <w:t xml:space="preserve">(</w:t>
        <w:br w:clear="none"/>
      </w:r>
      <w:r>
        <w:rPr>
          <w:rStyle w:val="Text8"/>
        </w:rPr>
        <w:t xml:space="preserve">"UTC"</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daware</w:t>
        <w:br w:clear="none"/>
      </w:r>
    </w:p>
    <w:p>
      <w:pPr>
        <w:pStyle w:val="Para 008"/>
      </w:pPr>
      <w:r>
        <w:rPr>
          <w:rStyle w:val="Text48"/>
        </w:rPr>
        <w:t xml:space="preserve"/>
        <w:br w:clear="none"/>
      </w:r>
      <w:r>
        <w:t xml:space="preserve">datetime.datetime(2021,10,</w:t>
        <w:br w:clear="none"/>
      </w:r>
      <w:r>
        <w:rPr>
          <w:rStyle w:val="Text79"/>
        </w:rPr>
        <w:t xml:space="preserve">21,23</w:t>
        <w:br w:clear="none"/>
      </w:r>
      <w:r>
        <w:t xml:space="preserve">,32,23,96782,tzinfo=zoneinfo.ZoneInfo(key</w:t>
        <w:br w:clear="none"/>
      </w:r>
      <w:r>
        <w:rPr>
          <w:rStyle w:val="Text48"/>
        </w:rPr>
        <w:t xml:space="preserve"/>
        <w:br w:clear="none"/>
      </w:r>
      <w:r>
        <w:t xml:space="preserve">='UTC'))</w:t>
        <w:br w:clear="none"/>
      </w:r>
    </w:p>
    <w:p>
      <w:pPr>
        <w:pStyle w:val="Normal"/>
      </w:pPr>
      <w:r>
        <w:t xml:space="preserve">Display the </w:t>
      </w:r>
      <w:r>
        <w:rPr>
          <w:rStyle w:val="Text0"/>
        </w:rPr>
        <w:t>datetime</w:t>
      </w:r>
      <w:r>
        <w:t xml:space="preserve"> instance in a different time zone:</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dutc</w:t>
        <w:br w:clear="none"/>
      </w:r>
      <w:r>
        <w:rPr>
          <w:rStyle w:val="Text13"/>
        </w:rPr>
        <w:t xml:space="preserve">.</w:t>
        <w:br w:clear="none"/>
      </w:r>
      <w:r>
        <w:t xml:space="preserve">astimezone</w:t>
        <w:br w:clear="none"/>
      </w:r>
      <w:r>
        <w:rPr>
          <w:rStyle w:val="Text7"/>
        </w:rPr>
        <w:t xml:space="preserve">(</w:t>
        <w:br w:clear="none"/>
      </w:r>
      <w:r>
        <w:t xml:space="preserve">ZoneInfo</w:t>
        <w:br w:clear="none"/>
      </w:r>
      <w:r>
        <w:rPr>
          <w:rStyle w:val="Text7"/>
        </w:rPr>
        <w:t xml:space="preserve">(</w:t>
        <w:br w:clear="none"/>
      </w:r>
      <w:r>
        <w:rPr>
          <w:rStyle w:val="Text8"/>
        </w:rPr>
        <w:t xml:space="preserve">"</w:t>
        <w:br w:clear="none"/>
        <w:t xml:space="preserve">Asia/Katmandu</w:t>
        <w:br w:clear="none"/>
        <w:t xml:space="preserve">"</w:t>
        <w:br w:clear="none"/>
      </w:r>
      <w:r>
        <w:rPr>
          <w:rStyle w:val="Text7"/>
        </w:rPr>
        <w:t xml:space="preserve">)</w:t>
        <w:br w:clear="none"/>
        <w:t xml:space="preserve">)</w:t>
        <w:br w:clear="none"/>
      </w:r>
      <w:r>
        <w:rPr>
          <w:rStyle w:val="Text6"/>
        </w:rPr>
        <w:t xml:space="preserve"> </w:t>
        <w:br w:clear="none"/>
      </w:r>
      <w:r>
        <w:rPr>
          <w:rStyle w:val="Text15"/>
        </w:rPr>
        <w:t xml:space="preserve"># offset +5h 45m</w:t>
        <w:br w:clear="none"/>
      </w:r>
    </w:p>
    <w:p>
      <w:pPr>
        <w:pStyle w:val="Para 008"/>
      </w:pPr>
      <w:r>
        <w:rPr>
          <w:rStyle w:val="Text48"/>
        </w:rPr>
        <w:t xml:space="preserve"/>
        <w:br w:clear="none"/>
      </w:r>
      <w:r>
        <w:t xml:space="preserve">datetime.datetime(2021,10,</w:t>
        <w:br w:clear="none"/>
      </w:r>
      <w:r>
        <w:rPr>
          <w:rStyle w:val="Text79"/>
        </w:rPr>
        <w:t xml:space="preserve">22,5</w:t>
        <w:br w:clear="none"/>
      </w:r>
      <w:r>
        <w:t xml:space="preserve">,17,23,96782,tzinfo=zoneinfo.ZoneInfo(key</w:t>
        <w:br w:clear="none"/>
      </w:r>
      <w:r>
        <w:rPr>
          <w:rStyle w:val="Text48"/>
        </w:rPr>
        <w:t xml:space="preserve"/>
        <w:br w:clear="none"/>
      </w:r>
      <w:r>
        <w:t xml:space="preserve">='Asia/Katmandu'))</w:t>
        <w:br w:clear="none"/>
      </w:r>
      <w:r>
        <w:rPr>
          <w:rStyle w:val="Text48"/>
        </w:rPr>
        <w:t xml:space="preserve"> </w:t>
        <w:br w:clear="none"/>
      </w:r>
    </w:p>
    <w:p>
      <w:pPr>
        <w:pStyle w:val="Normal"/>
      </w:pPr>
      <w:r>
        <w:t>Get the local time zone: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tz_local</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r>
      <w:r>
        <w:rPr>
          <w:rStyle w:val="Text13"/>
        </w:rPr>
        <w:t xml:space="preserve">.</w:t>
        <w:br w:clear="none"/>
      </w:r>
      <w:r>
        <w:t xml:space="preserve">astimezone</w:t>
        <w:br w:clear="none"/>
      </w:r>
      <w:r>
        <w:rPr>
          <w:rStyle w:val="Text7"/>
        </w:rPr>
        <w:t xml:space="preserve">()</w:t>
        <w:br w:clear="none"/>
      </w:r>
      <w:r>
        <w:rPr>
          <w:rStyle w:val="Text13"/>
        </w:rPr>
        <w:t xml:space="preserve">.</w:t>
        <w:br w:clear="none"/>
      </w:r>
      <w:r>
        <w:t xml:space="preserve">tzinfo</w:t>
        <w:br w:clear="none"/>
      </w:r>
      <w:r>
        <w:rPr>
          <w:rStyle w:val="Text23"/>
        </w:rPr>
        <w:t xml:space="preserve"/>
        <w:br w:clear="none"/>
      </w:r>
      <w:r>
        <w:rPr>
          <w:rStyle w:val="Text13"/>
        </w:rPr>
        <w:t xml:space="preserve">&gt;&gt;&gt;</w:t>
        <w:br w:clear="none"/>
      </w:r>
      <w:r>
        <w:rPr>
          <w:rStyle w:val="Text23"/>
        </w:rPr>
        <w:t xml:space="preserve"> </w:t>
        <w:br w:clear="none"/>
      </w:r>
      <w:r>
        <w:t xml:space="preserve">tz_local</w:t>
        <w:br w:clear="none"/>
      </w:r>
    </w:p>
    <w:p>
      <w:pPr>
        <w:pStyle w:val="Para 008"/>
      </w:pPr>
      <w:r>
        <w:rPr>
          <w:rStyle w:val="Text48"/>
        </w:rPr>
        <w:t xml:space="preserve"/>
        <w:br w:clear="none"/>
      </w:r>
      <w:r>
        <w:t xml:space="preserve">datetime.timezone(datetime.timedelta(days=-1, seconds=61200), 'Pacific</w:t>
        <w:br w:clear="none"/>
      </w:r>
      <w:r>
        <w:rPr>
          <w:rStyle w:val="Text48"/>
        </w:rPr>
        <w:t xml:space="preserve"/>
        <w:br w:clear="none"/>
      </w:r>
      <w:r>
        <w:t xml:space="preserve">Daylight Time')</w:t>
        <w:br w:clear="none"/>
      </w:r>
    </w:p>
    <w:p>
      <w:pPr>
        <w:pStyle w:val="Normal"/>
      </w:pPr>
      <w:r>
        <w:t xml:space="preserve">Convert the UTC </w:t>
      </w:r>
      <w:r>
        <w:rPr>
          <w:rStyle w:val="Text0"/>
        </w:rPr>
        <w:t>datetime</w:t>
      </w:r>
      <w:r>
        <w:t xml:space="preserve"> instance back into the local time zone: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dt_loc</w:t>
        <w:br w:clear="none"/>
      </w:r>
      <w:r>
        <w:rPr>
          <w:rStyle w:val="Text13"/>
        </w:rPr>
        <w:t xml:space="preserve">=</w:t>
        <w:br w:clear="none"/>
      </w:r>
      <w:r>
        <w:t xml:space="preserve">dutc</w:t>
        <w:br w:clear="none"/>
      </w:r>
      <w:r>
        <w:rPr>
          <w:rStyle w:val="Text13"/>
        </w:rPr>
        <w:t xml:space="preserve">.</w:t>
        <w:br w:clear="none"/>
      </w:r>
      <w:r>
        <w:t xml:space="preserve">astimezone</w:t>
        <w:br w:clear="none"/>
      </w:r>
      <w:r>
        <w:rPr>
          <w:rStyle w:val="Text7"/>
        </w:rPr>
        <w:t xml:space="preserve">(</w:t>
        <w:br w:clear="none"/>
      </w:r>
      <w:r>
        <w:t xml:space="preserve">tz_local</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dt_loc</w:t>
        <w:br w:clear="none"/>
      </w:r>
    </w:p>
    <w:p>
      <w:pPr>
        <w:pStyle w:val="Para 008"/>
      </w:pPr>
      <w:r>
        <w:rPr>
          <w:rStyle w:val="Text48"/>
        </w:rPr>
        <w:t xml:space="preserve"/>
        <w:br w:clear="none"/>
      </w:r>
      <w:r>
        <w:t xml:space="preserve">datetime.datetime(2021, 10, 21, 16, 32, 23, 96782, tzinfo=datetime.time</w:t>
        <w:br w:clear="none"/>
      </w:r>
      <w:r>
        <w:rPr>
          <w:rStyle w:val="Text48"/>
        </w:rPr>
        <w:t xml:space="preserve"/>
        <w:br w:clear="none"/>
      </w:r>
      <w:r>
        <w:t xml:space="preserve">(datetime.timedelta(days=-1, seconds=61200), 'Pacific Daylight Time'))</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w:t>
        <w:br w:clear="none"/>
      </w:r>
      <w:r>
        <w:rPr>
          <w:rStyle w:val="Text13"/>
        </w:rPr>
        <w:t xml:space="preserve">==</w:t>
        <w:br w:clear="none"/>
      </w:r>
      <w:r>
        <w:t xml:space="preserve">dt_local</w:t>
        <w:br w:clear="none"/>
      </w:r>
    </w:p>
    <w:p>
      <w:pPr>
        <w:pStyle w:val="Para 008"/>
      </w:pPr>
      <w:r>
        <w:rPr>
          <w:rStyle w:val="Text48"/>
        </w:rPr>
        <w:t xml:space="preserve"/>
        <w:br w:clear="none"/>
      </w:r>
      <w:r>
        <w:t xml:space="preserve">True</w:t>
        <w:br w:clear="none"/>
      </w:r>
    </w:p>
    <w:p>
      <w:pPr>
        <w:pStyle w:val="Normal"/>
      </w:pPr>
      <w:r>
        <w:t>And</w:t>
      </w:r>
      <w:r>
        <w:rPr>
          <w:rStyle w:val="Text111"/>
        </w:rPr>
        <w:bookmarkStart w:id="3182" w:name="idm45965195432672"/>
        <w:t/>
        <w:bookmarkEnd w:id="3182"/>
      </w:r>
      <w:r>
        <w:t xml:space="preserve"> get a sorted list of all available time zones:</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tz_list</w:t>
        <w:br w:clear="none"/>
      </w:r>
      <w:r>
        <w:rPr>
          <w:rStyle w:val="Text13"/>
        </w:rPr>
        <w:t xml:space="preserve">=</w:t>
        <w:br w:clear="none"/>
      </w:r>
      <w:r>
        <w:t xml:space="preserve">zoneinfo</w:t>
        <w:br w:clear="none"/>
      </w:r>
      <w:r>
        <w:rPr>
          <w:rStyle w:val="Text13"/>
        </w:rPr>
        <w:t xml:space="preserve">.</w:t>
        <w:br w:clear="none"/>
      </w:r>
      <w:r>
        <w:t xml:space="preserve">available_timezones</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sorted</w:t>
        <w:br w:clear="none"/>
      </w:r>
      <w:r>
        <w:rPr>
          <w:rStyle w:val="Text7"/>
        </w:rPr>
        <w:t xml:space="preserve">(</w:t>
        <w:br w:clear="none"/>
      </w:r>
      <w:r>
        <w:t xml:space="preserve">tz_list</w:t>
        <w:br w:clear="none"/>
      </w:r>
      <w:r>
        <w:rPr>
          <w:rStyle w:val="Text7"/>
        </w:rPr>
        <w:t xml:space="preserve">)[</w:t>
        <w:br w:clear="none"/>
      </w:r>
      <w:r>
        <w:rPr>
          <w:rStyle w:val="Text27"/>
        </w:rPr>
        <w:t xml:space="preserve">0</w:t>
        <w:br w:clear="none"/>
      </w:r>
      <w:r>
        <w:rPr>
          <w:rStyle w:val="Text7"/>
        </w:rPr>
        <w:t xml:space="preserve">],</w:t>
        <w:br w:clear="none"/>
      </w:r>
      <w:r>
        <w:rPr>
          <w:rStyle w:val="Text16"/>
        </w:rPr>
        <w:t xml:space="preserve">sorted</w:t>
        <w:br w:clear="none"/>
      </w:r>
      <w:r>
        <w:rPr>
          <w:rStyle w:val="Text7"/>
        </w:rPr>
        <w:t xml:space="preserve">(</w:t>
        <w:br w:clear="none"/>
      </w:r>
      <w:r>
        <w:t xml:space="preserve">tz_list</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p>
    <w:p>
      <w:pPr>
        <w:pStyle w:val="Para 008"/>
      </w:pPr>
      <w:r>
        <w:rPr>
          <w:rStyle w:val="Text48"/>
        </w:rPr>
        <w:t xml:space="preserve"/>
        <w:br w:clear="none"/>
      </w:r>
      <w:r>
        <w:t xml:space="preserve">('Africa/Abidjan', 'Zulu')</w:t>
        <w:br w:clear="none"/>
      </w:r>
    </w:p>
    <w:p>
      <w:pPr>
        <w:keepNext/>
        <w:pStyle w:val="Heading 5"/>
        <w:keepLines w:val="on"/>
      </w:pPr>
      <w:r>
        <w:t>Always Use the UTC Time Zone Internally</w:t>
      </w:r>
    </w:p>
    <w:p>
      <w:pPr>
        <w:pStyle w:val="Para 012"/>
        <w:keepLines w:val="on"/>
      </w:pPr>
      <w:r>
        <w:t xml:space="preserve">The best way to program around the traps and pitfalls of time zones is to always use the UTC time zone internally, converting from other time zones on input, and use </w:t>
      </w:r>
      <w:r>
        <w:rPr>
          <w:rStyle w:val="Text0"/>
        </w:rPr>
        <w:t>datetime.astimezone</w:t>
      </w:r>
      <w:r>
        <w:t xml:space="preserve"> only for display purposes.</w:t>
      </w:r>
    </w:p>
    <w:p>
      <w:pPr>
        <w:pStyle w:val="Para 012"/>
        <w:keepLines w:val="on"/>
      </w:pPr>
      <w:r>
        <w:t xml:space="preserve">This tip applies even if your application runs only in your own location, with no intention of ever using time data from other time zones. If your application runs continuously for days or weeks at a time, and the time zone configured for your system observes daylight savings time, you </w:t>
      </w:r>
      <w:r>
        <w:rPr>
          <w:rStyle w:val="Text4"/>
        </w:rPr>
        <w:t>will</w:t>
      </w:r>
      <w:r>
        <w:t xml:space="preserve"> run into time zone-related issues if you don’t work in UTC internally.</w:t>
      </w:r>
      <w:r>
        <w:rPr>
          <w:rStyle w:val="Text111"/>
        </w:rPr>
        <w:bookmarkStart w:id="3183" w:name="idm45965195372048"/>
        <w:t/>
        <w:bookmarkEnd w:id="3183"/>
      </w:r>
    </w:p>
    <w:p>
      <w:bookmarkStart w:id="3184" w:name="The_dateutil_Module__The_third_p"/>
      <w:pPr>
        <w:keepNext/>
        <w:pStyle w:val="Heading 1"/>
      </w:pPr>
      <w:r>
        <w:t>The dateutil Module</w:t>
      </w:r>
      <w:bookmarkEnd w:id="3184"/>
    </w:p>
    <w:p>
      <w:pPr>
        <w:pStyle w:val="Normal"/>
      </w:pPr>
      <w:r>
        <w:t>The</w:t>
      </w:r>
      <w:r>
        <w:rPr>
          <w:rStyle w:val="Text111"/>
        </w:rPr>
        <w:bookmarkStart w:id="3185" w:name="idm45965195368736"/>
        <w:t/>
        <w:bookmarkEnd w:id="3185"/>
        <w:bookmarkStart w:id="3186" w:name="idm45965195367328"/>
        <w:t/>
        <w:bookmarkEnd w:id="3186"/>
      </w:r>
      <w:r>
        <w:t xml:space="preserve"> third-party package </w:t>
      </w:r>
      <w:hyperlink r:id="rId428">
        <w:r>
          <w:rPr>
            <w:rStyle w:val="Text30"/>
          </w:rPr>
          <w:t>dateutil</w:t>
        </w:r>
      </w:hyperlink>
      <w:r>
        <w:t xml:space="preserve"> (which you can install with </w:t>
      </w:r>
      <w:r>
        <w:rPr>
          <w:rStyle w:val="Text5"/>
        </w:rPr>
        <w:t>pip install python-dateutil</w:t>
      </w:r>
      <w:r>
        <w:t xml:space="preserve">) offers modules to manipulate dates in many ways. </w:t>
      </w:r>
      <w:hyperlink w:anchor="Table_13_10__dateutil_modules">
        <w:r>
          <w:rPr>
            <w:rStyle w:val="Text1"/>
          </w:rPr>
          <w:t>Table 13-10</w:t>
        </w:r>
      </w:hyperlink>
      <w:r>
        <w:t xml:space="preserve"> lists the main modules it provides, in addition to those for time zone–related operations (now best performed with </w:t>
      </w:r>
      <w:r>
        <w:rPr>
          <w:rStyle w:val="Text0"/>
        </w:rPr>
        <w:t>zoneinfo</w:t>
      </w:r>
      <w:r>
        <w:t>, discussed in the previous section).</w:t>
      </w:r>
    </w:p>
    <w:tbl>
      <w:tblPr>
        <w:tblW w:type="auto" w:w="0"/>
      </w:tblPr>
      <w:tr>
        <w:tc>
          <w:tcPr>
            <w:tcW w:type="auto" w:w="0"/>
            <w:tcMar>
              <w:left w:type="dxa" w:w="200"/>
              <w:top w:type="dxa" w:w="200"/>
              <w:right w:type="dxa" w:w="200"/>
              <w:bottom w:type="dxa" w:w="200"/>
            </w:tcMar>
          </w:tcPr>
          <w:p>
            <w:bookmarkStart w:id="3187" w:name="Table_13_10__dateutil_modules"/>
            <w:pPr>
              <w:pStyle w:val="Para 011"/>
            </w:pPr>
            <w:r>
              <w:rPr>
                <w:rStyle w:val="Text117"/>
              </w:rPr>
              <w:t/>
            </w:r>
            <w:r>
              <w:t xml:space="preserve">Table 13-10. </w:t>
            </w:r>
            <w:r>
              <w:rPr>
                <w:rStyle w:val="Text0"/>
              </w:rPr>
              <w:t>dateutil</w:t>
            </w:r>
            <w:r>
              <w:t xml:space="preserve"> modules</w:t>
            </w:r>
            <w:bookmarkEnd w:id="3187"/>
          </w:p>
          <w:p>
            <w:pPr>
              <w:pStyle w:val="Para 001"/>
            </w:pPr>
            <w:r>
              <w:t>easter</w:t>
            </w:r>
          </w:p>
        </w:tc>
        <w:tc>
          <w:tcPr>
            <w:tcW w:type="auto" w:w="0"/>
            <w:tcMar>
              <w:left w:type="dxa" w:w="200"/>
              <w:top w:type="dxa" w:w="200"/>
              <w:right w:type="dxa" w:w="200"/>
              <w:bottom w:type="dxa" w:w="200"/>
            </w:tcMar>
          </w:tcPr>
          <w:p>
            <w:pPr>
              <w:pStyle w:val="Para 002"/>
            </w:pPr>
            <w:r>
              <w:rPr>
                <w:rStyle w:val="Text0"/>
              </w:rPr>
              <w:t>easter.easter(</w:t>
            </w:r>
            <w:r>
              <w:rPr>
                <w:rStyle w:val="Text3"/>
              </w:rPr>
              <w:t>year</w:t>
            </w:r>
            <w:r>
              <w:rPr>
                <w:rStyle w:val="Text0"/>
              </w:rPr>
              <w:t>)</w:t>
              <w:br w:clear="none"/>
            </w:r>
            <w:r>
              <w:t xml:space="preserve"> Returns the </w:t>
            </w:r>
            <w:r>
              <w:rPr>
                <w:rStyle w:val="Text0"/>
              </w:rPr>
              <w:t>datetime.date</w:t>
            </w:r>
            <w:r>
              <w:t xml:space="preserve"> object for Easter of the given </w:t>
            </w:r>
            <w:r>
              <w:rPr>
                <w:rStyle w:val="Text3"/>
              </w:rPr>
              <w:t>year</w:t>
            </w:r>
            <w:r>
              <w:t xml:space="preserve">. For example: </w:t>
            </w:r>
          </w:p>
          <w:p>
            <w:pPr>
              <w:pStyle w:val="Para 025"/>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dateutil</w:t>
              <w:br w:clear="none"/>
            </w:r>
            <w:r>
              <w:rPr>
                <w:rStyle w:val="Text6"/>
              </w:rPr>
              <w:t xml:space="preserve"> </w:t>
              <w:br w:clear="none"/>
            </w:r>
            <w:r>
              <w:rPr>
                <w:rStyle w:val="Text10"/>
              </w:rPr>
              <w:t xml:space="preserve">import</w:t>
              <w:br w:clear="none"/>
            </w:r>
            <w:r>
              <w:rPr>
                <w:rStyle w:val="Text6"/>
              </w:rPr>
              <w:t xml:space="preserve"> </w:t>
              <w:br w:clear="none"/>
            </w:r>
            <w:r>
              <w:t xml:space="preserve">easter</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print</w:t>
              <w:br w:clear="none"/>
            </w:r>
            <w:r>
              <w:rPr>
                <w:rStyle w:val="Text7"/>
              </w:rPr>
              <w:t xml:space="preserve">(</w:t>
              <w:br w:clear="none"/>
            </w:r>
            <w:r>
              <w:t xml:space="preserve">easter</w:t>
              <w:br w:clear="none"/>
            </w:r>
            <w:r>
              <w:rPr>
                <w:rStyle w:val="Text13"/>
              </w:rPr>
              <w:t xml:space="preserve">.</w:t>
              <w:br w:clear="none"/>
            </w:r>
            <w:r>
              <w:t xml:space="preserve">easter</w:t>
              <w:br w:clear="none"/>
            </w:r>
            <w:r>
              <w:rPr>
                <w:rStyle w:val="Text7"/>
              </w:rPr>
              <w:t xml:space="preserve">(</w:t>
              <w:br w:clear="none"/>
            </w:r>
            <w:r>
              <w:rPr>
                <w:rStyle w:val="Text27"/>
              </w:rPr>
              <w:t xml:space="preserve">2023</w:t>
              <w:br w:clear="none"/>
            </w:r>
            <w:r>
              <w:rPr>
                <w:rStyle w:val="Text7"/>
              </w:rPr>
              <w:t xml:space="preserve">)</w:t>
              <w:br w:clear="none"/>
              <w:t xml:space="preserve">)</w:t>
              <w:br w:clear="none"/>
            </w:r>
          </w:p>
          <w:p>
            <w:pPr>
              <w:pStyle w:val="Para 033"/>
            </w:pPr>
            <w:r>
              <w:rPr>
                <w:rStyle w:val="Text48"/>
              </w:rPr>
              <w:t xml:space="preserve"/>
              <w:br w:clear="none"/>
            </w:r>
            <w:r>
              <w:t xml:space="preserve">2023-04-09</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parser</w:t>
            </w:r>
          </w:p>
        </w:tc>
        <w:tc>
          <w:tcPr>
            <w:tcW w:type="auto" w:w="0"/>
            <w:shd w:val="clear" w:color="auto" w:fill="EEF2F6"/>
            <w:tcMar>
              <w:left w:type="dxa" w:w="200"/>
              <w:top w:type="dxa" w:w="200"/>
              <w:right w:type="dxa" w:w="200"/>
              <w:bottom w:type="dxa" w:w="200"/>
            </w:tcMar>
          </w:tcPr>
          <w:p>
            <w:pPr>
              <w:pStyle w:val="Para 002"/>
            </w:pPr>
            <w:r>
              <w:rPr>
                <w:rStyle w:val="Text0"/>
              </w:rPr>
              <w:t>parser.parse(</w:t>
            </w:r>
            <w:r>
              <w:rPr>
                <w:rStyle w:val="Text3"/>
              </w:rPr>
              <w:t>s</w:t>
            </w:r>
            <w:r>
              <w:rPr>
                <w:rStyle w:val="Text0"/>
              </w:rPr>
              <w:t>)</w:t>
              <w:br w:clear="none"/>
            </w:r>
            <w:r>
              <w:t xml:space="preserve"> Returns the </w:t>
            </w:r>
            <w:r>
              <w:rPr>
                <w:rStyle w:val="Text0"/>
              </w:rPr>
              <w:t>datetime.datetime</w:t>
            </w:r>
            <w:r>
              <w:t xml:space="preserve"> object denoted by string </w:t>
            </w:r>
            <w:r>
              <w:rPr>
                <w:rStyle w:val="Text3"/>
              </w:rPr>
              <w:t>s</w:t>
            </w:r>
            <w:r>
              <w:t xml:space="preserve">, with very permissive (or “fuzzy”) parsing rules. For example: </w:t>
            </w:r>
          </w:p>
          <w:p>
            <w:pPr>
              <w:pStyle w:val="Para 045"/>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dateutil</w:t>
              <w:br w:clear="none"/>
            </w:r>
            <w:r>
              <w:rPr>
                <w:rStyle w:val="Text6"/>
              </w:rPr>
              <w:t xml:space="preserve"> </w:t>
              <w:br w:clear="none"/>
            </w:r>
            <w:r>
              <w:rPr>
                <w:rStyle w:val="Text10"/>
              </w:rPr>
              <w:t xml:space="preserve">import</w:t>
              <w:br w:clear="none"/>
            </w:r>
            <w:r>
              <w:rPr>
                <w:rStyle w:val="Text6"/>
              </w:rPr>
              <w:t xml:space="preserve"> </w:t>
              <w:br w:clear="none"/>
            </w:r>
            <w:r>
              <w:rPr>
                <w:rStyle w:val="Text9"/>
              </w:rPr>
              <w:t xml:space="preserve">parser</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print</w:t>
              <w:br w:clear="none"/>
            </w:r>
            <w:r>
              <w:rPr>
                <w:rStyle w:val="Text7"/>
              </w:rPr>
              <w:t xml:space="preserve">(</w:t>
              <w:br w:clear="none"/>
            </w:r>
            <w:r>
              <w:rPr>
                <w:rStyle w:val="Text9"/>
              </w:rPr>
              <w:t xml:space="preserve">parser</w:t>
              <w:br w:clear="none"/>
            </w:r>
            <w:r>
              <w:rPr>
                <w:rStyle w:val="Text13"/>
              </w:rPr>
              <w:t xml:space="preserve">.</w:t>
              <w:br w:clear="none"/>
            </w:r>
            <w:r>
              <w:rPr>
                <w:rStyle w:val="Text9"/>
              </w:rPr>
              <w:t xml:space="preserve">parse</w:t>
              <w:br w:clear="none"/>
            </w:r>
            <w:r>
              <w:rPr>
                <w:rStyle w:val="Text7"/>
              </w:rPr>
              <w:t xml:space="preserve">(</w:t>
              <w:br w:clear="none"/>
            </w:r>
            <w:r>
              <w:t xml:space="preserve">'</w:t>
              <w:br w:clear="none"/>
              <w:t xml:space="preserve">Saturday, January 28,</w:t>
              <w:br w:clear="none"/>
              <w:t xml:space="preserve">'</w:t>
              <w:br w:clear="none"/>
            </w:r>
            <w:r>
              <w:rPr>
                <w:rStyle w:val="Text6"/>
              </w:rPr>
              <w:t xml:space="preserve"/>
              <w:br w:clear="none"/>
              <w:t xml:space="preserve">                       </w:t>
              <w:br w:clear="none"/>
            </w:r>
            <w:r>
              <w:t xml:space="preserve">'</w:t>
              <w:br w:clear="none"/>
              <w:t xml:space="preserve"> 2006, at 11:15pm</w:t>
              <w:br w:clear="none"/>
              <w:t xml:space="preserve">'</w:t>
              <w:br w:clear="none"/>
            </w:r>
            <w:r>
              <w:rPr>
                <w:rStyle w:val="Text7"/>
              </w:rPr>
              <w:t xml:space="preserve">)</w:t>
              <w:br w:clear="none"/>
              <w:t xml:space="preserve">)</w:t>
              <w:br w:clear="none"/>
            </w:r>
          </w:p>
          <w:p>
            <w:pPr>
              <w:pStyle w:val="Para 033"/>
            </w:pPr>
            <w:r>
              <w:rPr>
                <w:rStyle w:val="Text48"/>
              </w:rPr>
              <w:t xml:space="preserve"/>
              <w:br w:clear="none"/>
            </w:r>
            <w:r>
              <w:t xml:space="preserve">2006-01-28 23:15:00</w:t>
              <w:br w:clear="none"/>
            </w:r>
          </w:p>
        </w:tc>
      </w:tr>
    </w:tbl>
    <w:tbl>
      <w:tblPr>
        <w:tblW w:type="auto" w:w="0"/>
      </w:tblPr>
      <w:tr>
        <w:tc>
          <w:tcPr>
            <w:tcW w:type="auto" w:w="0"/>
            <w:tcMar>
              <w:left w:type="dxa" w:w="200"/>
              <w:top w:type="dxa" w:w="200"/>
              <w:right w:type="dxa" w:w="200"/>
              <w:bottom w:type="dxa" w:w="200"/>
            </w:tcMar>
          </w:tcPr>
          <w:p>
            <w:pPr>
              <w:pStyle w:val="Para 001"/>
            </w:pPr>
            <w:r>
              <w:t>relativedelta</w:t>
            </w:r>
          </w:p>
        </w:tc>
        <w:tc>
          <w:tcPr>
            <w:tcW w:type="auto" w:w="0"/>
            <w:tcMar>
              <w:left w:type="dxa" w:w="200"/>
              <w:top w:type="dxa" w:w="200"/>
              <w:right w:type="dxa" w:w="200"/>
              <w:bottom w:type="dxa" w:w="200"/>
            </w:tcMar>
          </w:tcPr>
          <w:p>
            <w:pPr>
              <w:pStyle w:val="Para 002"/>
            </w:pPr>
            <w:r>
              <w:rPr>
                <w:rStyle w:val="Text0"/>
              </w:rPr>
              <w:t>relativedelta.relativedelta(...)</w:t>
              <w:br w:clear="none"/>
            </w:r>
            <w:r>
              <w:t xml:space="preserve"> Provides, among other things, an easy way to find “next Monday,” “last year,” etc. </w:t>
            </w:r>
            <w:r>
              <w:rPr>
                <w:rStyle w:val="Text0"/>
              </w:rPr>
              <w:t>dateutil</w:t>
            </w:r>
            <w:r>
              <w:t xml:space="preserve">’s </w:t>
            </w:r>
            <w:hyperlink r:id="rId429">
              <w:r>
                <w:rPr>
                  <w:rStyle w:val="Text1"/>
                </w:rPr>
                <w:t>docs</w:t>
              </w:r>
            </w:hyperlink>
            <w:r>
              <w:t xml:space="preserve"> offer detailed explanations of the rules defining the inevitably complicated behavior of </w:t>
            </w:r>
            <w:r>
              <w:rPr>
                <w:rStyle w:val="Text0"/>
              </w:rPr>
              <w:t>relativedelta</w:t>
            </w:r>
            <w:r>
              <w:t xml:space="preserve"> instances.</w:t>
            </w:r>
          </w:p>
        </w:tc>
      </w:tr>
    </w:tbl>
    <w:tbl>
      <w:tblPr>
        <w:tblW w:type="auto" w:w="0"/>
      </w:tblPr>
      <w:tr>
        <w:tc>
          <w:tcPr>
            <w:tcW w:type="auto" w:w="0"/>
            <w:shd w:val="clear" w:color="auto" w:fill="EEF2F6"/>
            <w:tcMar>
              <w:left w:type="dxa" w:w="200"/>
              <w:top w:type="dxa" w:w="200"/>
              <w:right w:type="dxa" w:w="200"/>
              <w:bottom w:type="dxa" w:w="200"/>
            </w:tcMar>
          </w:tcPr>
          <w:p>
            <w:pPr>
              <w:pStyle w:val="Para 001"/>
            </w:pPr>
            <w:r>
              <w:t>rrule</w:t>
            </w:r>
          </w:p>
        </w:tc>
        <w:tc>
          <w:tcPr>
            <w:tcW w:type="auto" w:w="0"/>
            <w:shd w:val="clear" w:color="auto" w:fill="EEF2F6"/>
            <w:tcMar>
              <w:left w:type="dxa" w:w="200"/>
              <w:top w:type="dxa" w:w="200"/>
              <w:right w:type="dxa" w:w="200"/>
              <w:bottom w:type="dxa" w:w="200"/>
            </w:tcMar>
          </w:tcPr>
          <w:p>
            <w:pPr>
              <w:pStyle w:val="Para 002"/>
            </w:pPr>
            <w:r>
              <w:rPr>
                <w:rStyle w:val="Text0"/>
              </w:rPr>
              <w:t>rrule.rrule(</w:t>
            </w:r>
            <w:r>
              <w:rPr>
                <w:rStyle w:val="Text3"/>
              </w:rPr>
              <w:t>freq</w:t>
            </w:r>
            <w:r>
              <w:rPr>
                <w:rStyle w:val="Text0"/>
              </w:rPr>
              <w:t>, ...)</w:t>
              <w:br w:clear="none"/>
            </w:r>
            <w:r>
              <w:t xml:space="preserve"> Implements </w:t>
            </w:r>
            <w:hyperlink r:id="rId430">
              <w:r>
                <w:rPr>
                  <w:rStyle w:val="Text1"/>
                </w:rPr>
                <w:t>RFC 2445</w:t>
              </w:r>
            </w:hyperlink>
            <w:r>
              <w:t xml:space="preserve"> (also known as the </w:t>
            </w:r>
            <w:r>
              <w:rPr>
                <w:rStyle w:val="Text0"/>
              </w:rPr>
              <w:t>iCalendar</w:t>
            </w:r>
            <w:r>
              <w:t xml:space="preserve"> RFC), in all the glory of its 140+ pages. </w:t>
            </w:r>
            <w:r>
              <w:rPr>
                <w:rStyle w:val="Text0"/>
              </w:rPr>
              <w:t>rrule</w:t>
            </w:r>
            <w:r>
              <w:t xml:space="preserve"> allows you to deal with recurring events, providing such methods as </w:t>
            </w:r>
            <w:r>
              <w:rPr>
                <w:rStyle w:val="Text0"/>
              </w:rPr>
              <w:t>after</w:t>
            </w:r>
            <w:r>
              <w:t xml:space="preserve">, </w:t>
            </w:r>
            <w:r>
              <w:rPr>
                <w:rStyle w:val="Text0"/>
              </w:rPr>
              <w:t>before</w:t>
            </w:r>
            <w:r>
              <w:t xml:space="preserve">, </w:t>
            </w:r>
            <w:r>
              <w:rPr>
                <w:rStyle w:val="Text0"/>
              </w:rPr>
              <w:t>between</w:t>
            </w:r>
            <w:r>
              <w:t xml:space="preserve">, and </w:t>
            </w:r>
            <w:r>
              <w:rPr>
                <w:rStyle w:val="Text0"/>
              </w:rPr>
              <w:t>count</w:t>
            </w:r>
            <w:r>
              <w:t>.</w:t>
            </w:r>
          </w:p>
        </w:tc>
      </w:tr>
    </w:tbl>
    <w:p>
      <w:pPr>
        <w:pStyle w:val="Normal"/>
      </w:pPr>
      <w:r>
        <w:t xml:space="preserve">See the </w:t>
      </w:r>
      <w:hyperlink r:id="rId431">
        <w:r>
          <w:rPr>
            <w:rStyle w:val="Text1"/>
          </w:rPr>
          <w:t>documentation</w:t>
        </w:r>
      </w:hyperlink>
      <w:r>
        <w:t xml:space="preserve"> for complete details on the </w:t>
      </w:r>
      <w:r>
        <w:rPr>
          <w:rStyle w:val="Text0"/>
        </w:rPr>
        <w:t>dateutil</w:t>
      </w:r>
      <w:r>
        <w:t xml:space="preserve"> module’s rich </w:t>
        <w:t>functionality</w:t>
        <w:t>.</w:t>
      </w:r>
    </w:p>
    <w:p>
      <w:bookmarkStart w:id="3188" w:name="The_sched_Module__The_sched_modu"/>
      <w:pPr>
        <w:keepNext/>
        <w:pStyle w:val="Heading 1"/>
      </w:pPr>
      <w:r>
        <w:t>The sched Module</w:t>
      </w:r>
      <w:bookmarkEnd w:id="3188"/>
    </w:p>
    <w:p>
      <w:pPr>
        <w:pStyle w:val="Normal"/>
      </w:pPr>
      <w:r>
        <w:t>The</w:t>
      </w:r>
      <w:r>
        <w:rPr>
          <w:rStyle w:val="Text111"/>
        </w:rPr>
        <w:bookmarkStart w:id="3189" w:name="idm45965195222064"/>
        <w:t/>
        <w:bookmarkEnd w:id="3189"/>
        <w:bookmarkStart w:id="3190" w:name="idm45965195220688"/>
        <w:t/>
        <w:bookmarkEnd w:id="3190"/>
        <w:bookmarkStart w:id="3191" w:name="idm45965195219552"/>
        <w:t/>
        <w:bookmarkEnd w:id="3191"/>
      </w:r>
      <w:r>
        <w:t xml:space="preserve"> </w:t>
      </w:r>
      <w:r>
        <w:rPr>
          <w:rStyle w:val="Text0"/>
        </w:rPr>
        <w:t>sched</w:t>
      </w:r>
      <w:r>
        <w:t xml:space="preserve"> module implements an event scheduler, letting you easily deal with events that may be scheduled in either a “real” or a “simulated” time scale. This event scheduler is safe to use in single and multithreaded environments. </w:t>
      </w:r>
      <w:r>
        <w:rPr>
          <w:rStyle w:val="Text0"/>
        </w:rPr>
        <w:t>sched</w:t>
      </w:r>
      <w:r>
        <w:t xml:space="preserve"> supplies a </w:t>
      </w:r>
      <w:r>
        <w:rPr>
          <w:rStyle w:val="Text0"/>
        </w:rPr>
        <w:t>scheduler</w:t>
      </w:r>
      <w:r>
        <w:t xml:space="preserve"> class that takes two optional arguments, </w:t>
      </w:r>
      <w:r>
        <w:rPr>
          <w:rStyle w:val="Text0"/>
        </w:rPr>
        <w:t>timefunc</w:t>
      </w:r>
      <w:r>
        <w:t xml:space="preserve"> and </w:t>
      </w:r>
      <w:r>
        <w:rPr>
          <w:rStyle w:val="Text0"/>
        </w:rPr>
        <w:t>delayfunc</w:t>
      </w:r>
      <w:r>
        <w:t>.</w:t>
      </w:r>
    </w:p>
    <w:tbl>
      <w:tblPr>
        <w:tblW w:type="auto" w:w="0"/>
      </w:tblPr>
      <w:tr>
        <w:tc>
          <w:tcPr>
            <w:tcW w:type="auto" w:w="0"/>
            <w:tcMar>
              <w:left w:type="dxa" w:w="200"/>
              <w:top w:type="dxa" w:w="200"/>
              <w:right w:type="dxa" w:w="200"/>
              <w:bottom w:type="dxa" w:w="200"/>
            </w:tcMar>
          </w:tcPr>
          <w:p>
            <w:pPr>
              <w:pStyle w:val="Para 119"/>
            </w:pPr>
            <w:r>
              <w:t/>
            </w:r>
          </w:p>
          <w:p>
            <w:pPr>
              <w:pStyle w:val="Para 001"/>
            </w:pPr>
            <w:r>
              <w:t>scheduler</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scheduler(timefunc=time.monotonic, delayfunc=time.sleep)</w:t>
              <w:br w:clear="none"/>
            </w:r>
            <w:r>
              <w:t xml:space="preserve"> The optional argument </w:t>
            </w:r>
            <w:r>
              <w:rPr>
                <w:rStyle w:val="Text0"/>
              </w:rPr>
              <w:t>timefunc</w:t>
            </w:r>
            <w:r>
              <w:t xml:space="preserve"> must be callable without arguments to get the current time instant (in any unit of measure); for example, you can pass </w:t>
            </w:r>
            <w:r>
              <w:rPr>
                <w:rStyle w:val="Text0"/>
              </w:rPr>
              <w:t>time.time</w:t>
            </w:r>
            <w:r>
              <w:t xml:space="preserve">. The optional </w:t>
            </w:r>
            <w:r>
              <w:rPr>
                <w:rStyle w:val="Text0"/>
              </w:rPr>
              <w:t>delayfunc</w:t>
            </w:r>
            <w:r>
              <w:t xml:space="preserve"> is callable with one argument (a time duration, in the same units as </w:t>
            </w:r>
            <w:r>
              <w:rPr>
                <w:rStyle w:val="Text0"/>
              </w:rPr>
              <w:t>timefunc</w:t>
            </w:r>
            <w:r>
              <w:t xml:space="preserve">) to delay the current thread for that time. </w:t>
            </w:r>
            <w:r>
              <w:rPr>
                <w:rStyle w:val="Text0"/>
              </w:rPr>
              <w:t>scheduler</w:t>
            </w:r>
            <w:r>
              <w:t xml:space="preserve"> calls </w:t>
            </w:r>
            <w:r>
              <w:rPr>
                <w:rStyle w:val="Text0"/>
              </w:rPr>
              <w:t>delayfunc(0)</w:t>
            </w:r>
            <w:r>
              <w:t xml:space="preserve"> after each event to give other threads a chance; this is compatible with </w:t>
            </w:r>
            <w:r>
              <w:rPr>
                <w:rStyle w:val="Text0"/>
              </w:rPr>
              <w:t>time.sleep</w:t>
            </w:r>
            <w:r>
              <w:t xml:space="preserve">. By taking functions as arguments, </w:t>
            </w:r>
            <w:r>
              <w:rPr>
                <w:rStyle w:val="Text0"/>
              </w:rPr>
              <w:t>scheduler</w:t>
            </w:r>
            <w:r>
              <w:t xml:space="preserve"> lets you use whatever “simulated time” or “pseudotime” fits your application’s needs</w:t>
            </w:r>
            <w:hyperlink w:anchor="a_A_great_example_of_the_depende">
              <w:r>
                <w:rPr>
                  <w:rStyle w:val="Text41"/>
                </w:rPr>
                <w:bookmarkStart w:id="3192" w:name="a_14"/>
                <w:t>a</w:t>
                <w:bookmarkEnd w:id="3192"/>
              </w:r>
            </w:hyperlink>
            <w:r>
              <w:t>.</w:t>
              <w:br w:clear="none"/>
              <w:t xml:space="preserve"> If monotonic time (time that cannot go backward even if the system clock is adjusted backward between calls, e.g., due to leap seconds) is critical to your application, use the default </w:t>
            </w:r>
            <w:r>
              <w:rPr>
                <w:rStyle w:val="Text0"/>
              </w:rPr>
              <w:t>time.monotonic</w:t>
            </w:r>
            <w:r>
              <w:t xml:space="preserve"> for your scheduler.</w:t>
            </w:r>
          </w:p>
        </w:tc>
      </w:tr>
    </w:tbl>
    <w:tbl>
      <w:tblPr>
        <w:tblW w:type="auto" w:w="0"/>
      </w:tblPr>
      <w:tr>
        <w:tc>
          <w:tcPr>
            <w:tcW w:type="auto" w:w="0"/>
            <w:tcMar>
              <w:left w:type="dxa" w:w="200"/>
              <w:top w:type="dxa" w:w="200"/>
              <w:right w:type="dxa" w:w="200"/>
              <w:bottom w:type="dxa" w:w="200"/>
            </w:tcMar>
            <w:hMerge w:val="restart"/>
          </w:tcPr>
          <w:p>
            <w:bookmarkStart w:id="3193" w:name="a_A_great_example_of_the_depende"/>
            <w:pPr>
              <w:pStyle w:val="Para 036"/>
            </w:pPr>
            <w:hyperlink w:anchor="a_14">
              <w:r>
                <w:rPr>
                  <w:rStyle w:val="Text1"/>
                </w:rPr>
                <w:t>a</w:t>
              </w:r>
            </w:hyperlink>
            <w:r>
              <w:t xml:space="preserve"> A great example of the </w:t>
            </w:r>
            <w:hyperlink r:id="rId432">
              <w:r>
                <w:rPr>
                  <w:rStyle w:val="Text1"/>
                </w:rPr>
                <w:t>dependency injection design pattern</w:t>
              </w:r>
            </w:hyperlink>
            <w:r>
              <w:t xml:space="preserve"> for purposes not necessarily related to testing.</w:t>
            </w:r>
            <w:bookmarkEnd w:id="3193"/>
          </w:p>
        </w:tc>
        <w:tc>
          <w:tcPr>
            <w:hMerge w:val="continue"/>
          </w:tcPr>
          <w:p/>
        </w:tc>
      </w:tr>
    </w:tbl>
    <w:p>
      <w:pPr>
        <w:pStyle w:val="Normal"/>
      </w:pPr>
      <w:r>
        <w:t xml:space="preserve">A </w:t>
      </w:r>
      <w:r>
        <w:rPr>
          <w:rStyle w:val="Text0"/>
        </w:rPr>
        <w:t>scheduler</w:t>
      </w:r>
      <w:r>
        <w:t xml:space="preserve"> instance </w:t>
      </w:r>
      <w:r>
        <w:rPr>
          <w:rStyle w:val="Text3"/>
        </w:rPr>
        <w:t>s</w:t>
      </w:r>
      <w:r>
        <w:t xml:space="preserve"> supplies the methods detailed in </w:t>
      </w:r>
      <w:hyperlink w:anchor="Table_13_11__Methods_of_an_insta">
        <w:r>
          <w:rPr>
            <w:rStyle w:val="Text1"/>
          </w:rPr>
          <w:t>Table 13-11</w:t>
        </w:r>
      </w:hyperlink>
      <w:r>
        <w:t>.</w:t>
      </w:r>
    </w:p>
    <w:tbl>
      <w:tblPr>
        <w:tblW w:type="auto" w:w="0"/>
      </w:tblPr>
      <w:tr>
        <w:tc>
          <w:tcPr>
            <w:tcW w:type="auto" w:w="0"/>
            <w:tcMar>
              <w:left w:type="dxa" w:w="200"/>
              <w:top w:type="dxa" w:w="200"/>
              <w:right w:type="dxa" w:w="200"/>
              <w:bottom w:type="dxa" w:w="200"/>
            </w:tcMar>
          </w:tcPr>
          <w:p>
            <w:bookmarkStart w:id="3194" w:name="Table_13_11__Methods_of_an_insta"/>
            <w:pPr>
              <w:pStyle w:val="Para 011"/>
            </w:pPr>
            <w:r>
              <w:rPr>
                <w:rStyle w:val="Text117"/>
              </w:rPr>
              <w:t/>
            </w:r>
            <w:r>
              <w:t xml:space="preserve">Table 13-11. </w:t>
              <w:t xml:space="preserve">Methods of an instance </w:t>
            </w:r>
            <w:r>
              <w:rPr>
                <w:rStyle w:val="Text0"/>
              </w:rPr>
              <w:t>s</w:t>
            </w:r>
            <w:r>
              <w:t xml:space="preserve"> of </w:t>
            </w:r>
            <w:r>
              <w:rPr>
                <w:rStyle w:val="Text0"/>
              </w:rPr>
              <w:t>scheduler</w:t>
            </w:r>
            <w:bookmarkEnd w:id="3194"/>
          </w:p>
          <w:p>
            <w:pPr>
              <w:pStyle w:val="Para 001"/>
            </w:pPr>
            <w:r>
              <w:t>cancel</w:t>
            </w:r>
          </w:p>
        </w:tc>
        <w:tc>
          <w:tcPr>
            <w:tcW w:type="auto" w:w="0"/>
            <w:tcMar>
              <w:left w:type="dxa" w:w="200"/>
              <w:top w:type="dxa" w:w="200"/>
              <w:right w:type="dxa" w:w="200"/>
              <w:bottom w:type="dxa" w:w="200"/>
            </w:tcMar>
          </w:tcPr>
          <w:p>
            <w:pPr>
              <w:pStyle w:val="Para 002"/>
            </w:pPr>
            <w:r>
              <w:rPr>
                <w:rStyle w:val="Text3"/>
              </w:rPr>
              <w:t>s</w:t>
            </w:r>
            <w:r>
              <w:rPr>
                <w:rStyle w:val="Text0"/>
              </w:rPr>
              <w:t>.cancel(</w:t>
            </w:r>
            <w:r>
              <w:rPr>
                <w:rStyle w:val="Text3"/>
              </w:rPr>
              <w:t>event_token</w:t>
            </w:r>
            <w:r>
              <w:rPr>
                <w:rStyle w:val="Text0"/>
              </w:rPr>
              <w:t>)</w:t>
              <w:br w:clear="none"/>
            </w:r>
            <w:r>
              <w:t xml:space="preserve"> Removes an event from </w:t>
            </w:r>
            <w:r>
              <w:rPr>
                <w:rStyle w:val="Text3"/>
              </w:rPr>
              <w:t>s</w:t>
            </w:r>
            <w:r>
              <w:t xml:space="preserve">’s queue. </w:t>
            </w:r>
            <w:r>
              <w:rPr>
                <w:rStyle w:val="Text3"/>
              </w:rPr>
              <w:t>event_token</w:t>
            </w:r>
            <w:r>
              <w:t xml:space="preserve"> must be the result of a previous call to </w:t>
            </w:r>
            <w:r>
              <w:rPr>
                <w:rStyle w:val="Text3"/>
              </w:rPr>
              <w:t>s</w:t>
            </w:r>
            <w:r>
              <w:rPr>
                <w:rStyle w:val="Text0"/>
              </w:rPr>
              <w:t>.enter</w:t>
            </w:r>
            <w:r>
              <w:t xml:space="preserve"> or </w:t>
            </w:r>
            <w:r>
              <w:rPr>
                <w:rStyle w:val="Text3"/>
              </w:rPr>
              <w:t>s</w:t>
            </w:r>
            <w:r>
              <w:rPr>
                <w:rStyle w:val="Text0"/>
              </w:rPr>
              <w:t>.enterabs</w:t>
            </w:r>
            <w:r>
              <w:t xml:space="preserve">, and the event must not yet have happened; otherwise, </w:t>
            </w:r>
            <w:r>
              <w:rPr>
                <w:rStyle w:val="Text0"/>
              </w:rPr>
              <w:t>cancel</w:t>
            </w:r>
            <w:r>
              <w:t xml:space="preserve"> raises </w:t>
            </w:r>
            <w:r>
              <w:rPr>
                <w:rStyle w:val="Text0"/>
              </w:rPr>
              <w:t>RuntimeError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empty</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.empty()</w:t>
              <w:br w:clear="none"/>
            </w:r>
            <w:r>
              <w:t xml:space="preserve"> Returns </w:t>
            </w:r>
            <w:r>
              <w:rPr>
                <w:rStyle w:val="Text5"/>
              </w:rPr>
              <w:t>True</w:t>
            </w:r>
            <w:r>
              <w:t xml:space="preserve"> when </w:t>
            </w:r>
            <w:r>
              <w:rPr>
                <w:rStyle w:val="Text3"/>
              </w:rPr>
              <w:t>s</w:t>
            </w:r>
            <w:r>
              <w:t xml:space="preserve">’s queue is currently empty;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enter</w:t>
            </w:r>
          </w:p>
        </w:tc>
        <w:tc>
          <w:tcPr>
            <w:tcW w:type="auto" w:w="0"/>
            <w:tcMar>
              <w:left w:type="dxa" w:w="200"/>
              <w:top w:type="dxa" w:w="200"/>
              <w:right w:type="dxa" w:w="200"/>
              <w:bottom w:type="dxa" w:w="200"/>
            </w:tcMar>
          </w:tcPr>
          <w:p>
            <w:pPr>
              <w:pStyle w:val="Para 002"/>
            </w:pPr>
            <w:r>
              <w:rPr>
                <w:rStyle w:val="Text3"/>
              </w:rPr>
              <w:t>s</w:t>
            </w:r>
            <w:r>
              <w:rPr>
                <w:rStyle w:val="Text0"/>
              </w:rPr>
              <w:t>.enter(</w:t>
            </w:r>
            <w:r>
              <w:rPr>
                <w:rStyle w:val="Text3"/>
              </w:rPr>
              <w:t>delay</w:t>
            </w:r>
            <w:r>
              <w:rPr>
                <w:rStyle w:val="Text0"/>
              </w:rPr>
              <w:t>,</w:t>
            </w:r>
            <w:r>
              <w:t xml:space="preserve"> </w:t>
            </w:r>
            <w:r>
              <w:rPr>
                <w:rStyle w:val="Text3"/>
              </w:rPr>
              <w:t>priority</w:t>
            </w:r>
            <w:r>
              <w:rPr>
                <w:rStyle w:val="Text0"/>
              </w:rPr>
              <w:t>,</w:t>
            </w:r>
            <w:r>
              <w:t xml:space="preserve"> </w:t>
            </w:r>
            <w:r>
              <w:rPr>
                <w:rStyle w:val="Text3"/>
              </w:rPr>
              <w:t>func</w:t>
            </w:r>
            <w:r>
              <w:rPr>
                <w:rStyle w:val="Text0"/>
              </w:rPr>
              <w:t>, argument=()</w:t>
            </w:r>
            <w:r>
              <w:t xml:space="preserve">, </w:t>
            </w:r>
            <w:r>
              <w:rPr>
                <w:rStyle w:val="Text0"/>
              </w:rPr>
              <w:t>kwargs={})</w:t>
              <w:br w:clear="none"/>
            </w:r>
            <w:r>
              <w:t xml:space="preserve"> Like </w:t>
            </w:r>
            <w:r>
              <w:rPr>
                <w:rStyle w:val="Text0"/>
              </w:rPr>
              <w:t>enterabs</w:t>
            </w:r>
            <w:r>
              <w:t xml:space="preserve">, except that </w:t>
            </w:r>
            <w:r>
              <w:rPr>
                <w:rStyle w:val="Text3"/>
              </w:rPr>
              <w:t>delay</w:t>
            </w:r>
            <w:r>
              <w:t xml:space="preserve"> is a relative time (a positive difference forward from the current instant), while </w:t>
            </w:r>
            <w:r>
              <w:rPr>
                <w:rStyle w:val="Text0"/>
              </w:rPr>
              <w:t>enterabs</w:t>
            </w:r>
            <w:r>
              <w:t xml:space="preserve">’s argument </w:t>
            </w:r>
            <w:r>
              <w:rPr>
                <w:rStyle w:val="Text3"/>
              </w:rPr>
              <w:t>when</w:t>
            </w:r>
            <w:r>
              <w:t xml:space="preserve"> is an absolute time (a future instant). To schedule an event for </w:t>
            </w:r>
            <w:r>
              <w:rPr>
                <w:rStyle w:val="Text4"/>
              </w:rPr>
              <w:t>repeated</w:t>
            </w:r>
            <w:r>
              <w:t xml:space="preserve"> execution, use a little wrapper function; for example: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enter_repeat</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t xml:space="preserve">first_delay</w:t>
              <w:br w:clear="none"/>
            </w:r>
            <w:r>
              <w:rPr>
                <w:rStyle w:val="Text7"/>
              </w:rPr>
              <w:t xml:space="preserve">,</w:t>
              <w:br w:clear="none"/>
            </w:r>
            <w:r>
              <w:rPr>
                <w:rStyle w:val="Text6"/>
              </w:rPr>
              <w:t xml:space="preserve"> </w:t>
              <w:br w:clear="none"/>
            </w:r>
            <w:r>
              <w:t xml:space="preserve">period</w:t>
              <w:br w:clear="none"/>
            </w:r>
            <w:r>
              <w:rPr>
                <w:rStyle w:val="Text7"/>
              </w:rPr>
              <w:t xml:space="preserve">,</w:t>
              <w:br w:clear="none"/>
            </w:r>
            <w:r>
              <w:rPr>
                <w:rStyle w:val="Text6"/>
              </w:rPr>
              <w:t xml:space="preserve"> </w:t>
              <w:br w:clear="none"/>
            </w:r>
            <w:r>
              <w:t xml:space="preserve">priority</w:t>
              <w:br w:clear="none"/>
            </w:r>
            <w:r>
              <w:rPr>
                <w:rStyle w:val="Text7"/>
              </w:rPr>
              <w:t xml:space="preserve">,</w:t>
              <w:br w:clear="none"/>
            </w:r>
            <w:r>
              <w:rPr>
                <w:rStyle w:val="Text6"/>
              </w:rPr>
              <w:t xml:space="preserve"/>
              <w:br w:clear="none"/>
              <w:t xml:space="preserve">        </w:t>
              <w:br w:clear="none"/>
            </w:r>
            <w:r>
              <w:t xml:space="preserve">func</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repeating_wrapper</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s</w:t>
              <w:br w:clear="none"/>
            </w:r>
            <w:r>
              <w:rPr>
                <w:rStyle w:val="Text13"/>
              </w:rPr>
              <w:t xml:space="preserve">.</w:t>
              <w:br w:clear="none"/>
            </w:r>
            <w:r>
              <w:t xml:space="preserve">enter</w:t>
              <w:br w:clear="none"/>
            </w:r>
            <w:r>
              <w:rPr>
                <w:rStyle w:val="Text7"/>
              </w:rPr>
              <w:t xml:space="preserve">(</w:t>
              <w:br w:clear="none"/>
            </w:r>
            <w:r>
              <w:t xml:space="preserve">period</w:t>
              <w:br w:clear="none"/>
            </w:r>
            <w:r>
              <w:rPr>
                <w:rStyle w:val="Text7"/>
              </w:rPr>
              <w:t xml:space="preserve">,</w:t>
              <w:br w:clear="none"/>
            </w:r>
            <w:r>
              <w:rPr>
                <w:rStyle w:val="Text6"/>
              </w:rPr>
              <w:t xml:space="preserve"> </w:t>
              <w:br w:clear="none"/>
            </w:r>
            <w:r>
              <w:t xml:space="preserve">priority</w:t>
              <w:br w:clear="none"/>
            </w:r>
            <w:r>
              <w:rPr>
                <w:rStyle w:val="Text7"/>
              </w:rPr>
              <w:t xml:space="preserve">,</w:t>
              <w:br w:clear="none"/>
            </w:r>
            <w:r>
              <w:rPr>
                <w:rStyle w:val="Text6"/>
              </w:rPr>
              <w:t xml:space="preserve"/>
              <w:br w:clear="none"/>
              <w:t xml:space="preserve">                </w:t>
              <w:br w:clear="none"/>
            </w:r>
            <w:r>
              <w:t xml:space="preserve">repeating_wrapper</w:t>
              <w:br w:clear="none"/>
            </w:r>
            <w:r>
              <w:rPr>
                <w:rStyle w:val="Text7"/>
              </w:rPr>
              <w:t xml:space="preserve">,</w:t>
              <w:br w:clear="none"/>
            </w:r>
            <w:r>
              <w:rPr>
                <w:rStyle w:val="Text6"/>
              </w:rPr>
              <w:t xml:space="preserve"> </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func</w:t>
              <w:br w:clear="none"/>
            </w:r>
            <w:r>
              <w:rPr>
                <w:rStyle w:val="Text7"/>
              </w:rPr>
              <w:t xml:space="preserve">(</w:t>
              <w:br w:clear="none"/>
            </w:r>
            <w:r>
              <w:rPr>
                <w:rStyle w:val="Text13"/>
              </w:rPr>
              <w:t xml:space="preserve">*</w:t>
              <w:br w:clear="none"/>
            </w:r>
            <w:r>
              <w:t xml:space="preserve">args</w:t>
              <w:br w:clear="none"/>
            </w:r>
            <w:r>
              <w:rPr>
                <w:rStyle w:val="Text7"/>
              </w:rPr>
              <w:t xml:space="preserve">)</w:t>
              <w:br w:clear="none"/>
            </w:r>
            <w:r>
              <w:rPr>
                <w:rStyle w:val="Text6"/>
              </w:rPr>
              <w:t xml:space="preserve"/>
              <w:br w:clear="none"/>
              <w:t xml:space="preserve">    </w:t>
              <w:br w:clear="none"/>
            </w:r>
            <w:r>
              <w:t xml:space="preserve">s</w:t>
              <w:br w:clear="none"/>
            </w:r>
            <w:r>
              <w:rPr>
                <w:rStyle w:val="Text13"/>
              </w:rPr>
              <w:t xml:space="preserve">.</w:t>
              <w:br w:clear="none"/>
            </w:r>
            <w:r>
              <w:t xml:space="preserve">enter</w:t>
              <w:br w:clear="none"/>
            </w:r>
            <w:r>
              <w:rPr>
                <w:rStyle w:val="Text7"/>
              </w:rPr>
              <w:t xml:space="preserve">(</w:t>
              <w:br w:clear="none"/>
            </w:r>
            <w:r>
              <w:t xml:space="preserve">first_delay</w:t>
              <w:br w:clear="none"/>
            </w:r>
            <w:r>
              <w:rPr>
                <w:rStyle w:val="Text7"/>
              </w:rPr>
              <w:t xml:space="preserve">,</w:t>
              <w:br w:clear="none"/>
            </w:r>
            <w:r>
              <w:rPr>
                <w:rStyle w:val="Text6"/>
              </w:rPr>
              <w:t xml:space="preserve"> </w:t>
              <w:br w:clear="none"/>
            </w:r>
            <w:r>
              <w:t xml:space="preserve">priority</w:t>
              <w:br w:clear="none"/>
            </w:r>
            <w:r>
              <w:rPr>
                <w:rStyle w:val="Text7"/>
              </w:rPr>
              <w:t xml:space="preserve">,</w:t>
              <w:br w:clear="none"/>
            </w:r>
            <w:r>
              <w:rPr>
                <w:rStyle w:val="Text6"/>
              </w:rPr>
              <w:t xml:space="preserve"/>
              <w:br w:clear="none"/>
              <w:t xml:space="preserve">        </w:t>
              <w:br w:clear="none"/>
            </w:r>
            <w:r>
              <w:t xml:space="preserve">repeating_wrapper</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enterabs</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.enterabs(</w:t>
            </w:r>
            <w:r>
              <w:rPr>
                <w:rStyle w:val="Text3"/>
              </w:rPr>
              <w:t>when</w:t>
            </w:r>
            <w:r>
              <w:rPr>
                <w:rStyle w:val="Text0"/>
              </w:rPr>
              <w:t>,</w:t>
            </w:r>
            <w:r>
              <w:t xml:space="preserve"> </w:t>
            </w:r>
            <w:r>
              <w:rPr>
                <w:rStyle w:val="Text3"/>
              </w:rPr>
              <w:t>priority</w:t>
            </w:r>
            <w:r>
              <w:rPr>
                <w:rStyle w:val="Text0"/>
              </w:rPr>
              <w:t>,</w:t>
            </w:r>
            <w:r>
              <w:t xml:space="preserve"> </w:t>
            </w:r>
            <w:r>
              <w:rPr>
                <w:rStyle w:val="Text3"/>
              </w:rPr>
              <w:t>func</w:t>
            </w:r>
            <w:r>
              <w:rPr>
                <w:rStyle w:val="Text0"/>
              </w:rPr>
              <w:t>, argument=(), kwargs={})</w:t>
              <w:br w:clear="none"/>
            </w:r>
            <w:r>
              <w:t xml:space="preserve"> Schedules a future event (a callback to </w:t>
            </w:r>
            <w:r>
              <w:rPr>
                <w:rStyle w:val="Text3"/>
              </w:rPr>
              <w:t>func</w:t>
            </w:r>
            <w:r>
              <w:rPr>
                <w:rStyle w:val="Text0"/>
              </w:rPr>
              <w:t>(</w:t>
            </w:r>
            <w:r>
              <w:rPr>
                <w:rStyle w:val="Text3"/>
              </w:rPr>
              <w:t>args</w:t>
            </w:r>
            <w:r>
              <w:rPr>
                <w:rStyle w:val="Text0"/>
              </w:rPr>
              <w:t>,</w:t>
            </w:r>
            <w:r>
              <w:t xml:space="preserve"> </w:t>
            </w:r>
            <w:r>
              <w:rPr>
                <w:rStyle w:val="Text3"/>
              </w:rPr>
              <w:t>kwargs</w:t>
            </w:r>
            <w:r>
              <w:rPr>
                <w:rStyle w:val="Text0"/>
              </w:rPr>
              <w:t>))</w:t>
            </w:r>
            <w:r>
              <w:t xml:space="preserve"> at time </w:t>
            </w:r>
            <w:r>
              <w:rPr>
                <w:rStyle w:val="Text3"/>
              </w:rPr>
              <w:t>when</w:t>
            </w:r>
            <w:r>
              <w:t xml:space="preserve">. </w:t>
            </w:r>
            <w:r>
              <w:rPr>
                <w:rStyle w:val="Text3"/>
              </w:rPr>
              <w:t>when</w:t>
            </w:r>
            <w:r>
              <w:t xml:space="preserve"> is in the units used by the time functions of </w:t>
            </w:r>
            <w:r>
              <w:rPr>
                <w:rStyle w:val="Text3"/>
              </w:rPr>
              <w:t>s</w:t>
            </w:r>
            <w:r>
              <w:t xml:space="preserve">. Should several events be scheduled for the same time, </w:t>
            </w:r>
            <w:r>
              <w:rPr>
                <w:rStyle w:val="Text3"/>
              </w:rPr>
              <w:t>s</w:t>
            </w:r>
            <w:r>
              <w:t xml:space="preserve"> executes them in increasing order of </w:t>
            </w:r>
            <w:r>
              <w:rPr>
                <w:rStyle w:val="Text3"/>
              </w:rPr>
              <w:t>priority</w:t>
            </w:r>
            <w:r>
              <w:t xml:space="preserve">. </w:t>
            </w:r>
            <w:r>
              <w:rPr>
                <w:rStyle w:val="Text0"/>
              </w:rPr>
              <w:t>enterabs</w:t>
            </w:r>
            <w:r>
              <w:t xml:space="preserve"> returns an event token </w:t>
            </w:r>
            <w:r>
              <w:rPr>
                <w:rStyle w:val="Text3"/>
              </w:rPr>
              <w:t>t</w:t>
            </w:r>
            <w:r>
              <w:t xml:space="preserve">, which you may later pass to </w:t>
            </w:r>
            <w:r>
              <w:rPr>
                <w:rStyle w:val="Text3"/>
              </w:rPr>
              <w:t>s</w:t>
            </w:r>
            <w:r>
              <w:rPr>
                <w:rStyle w:val="Text0"/>
              </w:rPr>
              <w:t>.cancel</w:t>
            </w:r>
            <w:r>
              <w:t xml:space="preserve"> to cancel this event.</w:t>
            </w:r>
          </w:p>
        </w:tc>
      </w:tr>
    </w:tbl>
    <w:tbl>
      <w:tblPr>
        <w:tblW w:type="auto" w:w="0"/>
      </w:tblPr>
      <w:tr>
        <w:tc>
          <w:tcPr>
            <w:tcW w:type="auto" w:w="0"/>
            <w:tcMar>
              <w:left w:type="dxa" w:w="200"/>
              <w:top w:type="dxa" w:w="200"/>
              <w:right w:type="dxa" w:w="200"/>
              <w:bottom w:type="dxa" w:w="200"/>
            </w:tcMar>
          </w:tcPr>
          <w:p>
            <w:pPr>
              <w:pStyle w:val="Para 001"/>
            </w:pPr>
            <w:r>
              <w:t>run</w:t>
            </w:r>
          </w:p>
        </w:tc>
        <w:tc>
          <w:tcPr>
            <w:tcW w:type="auto" w:w="0"/>
            <w:tcMar>
              <w:left w:type="dxa" w:w="200"/>
              <w:top w:type="dxa" w:w="200"/>
              <w:right w:type="dxa" w:w="200"/>
              <w:bottom w:type="dxa" w:w="200"/>
            </w:tcMar>
          </w:tcPr>
          <w:p>
            <w:pPr>
              <w:pStyle w:val="Para 002"/>
            </w:pPr>
            <w:r>
              <w:rPr>
                <w:rStyle w:val="Text3"/>
              </w:rPr>
              <w:t>s</w:t>
            </w:r>
            <w:r>
              <w:rPr>
                <w:rStyle w:val="Text0"/>
              </w:rPr>
              <w:t>.run(blocking=</w:t>
            </w:r>
            <w:r>
              <w:rPr>
                <w:rStyle w:val="Text5"/>
              </w:rPr>
              <w:t>True</w:t>
            </w:r>
            <w:r>
              <w:rPr>
                <w:rStyle w:val="Text0"/>
              </w:rPr>
              <w:t>)</w:t>
              <w:br w:clear="none"/>
            </w:r>
            <w:r>
              <w:t xml:space="preserve"> Runs scheduled events. If </w:t>
            </w:r>
            <w:r>
              <w:rPr>
                <w:rStyle w:val="Text0"/>
              </w:rPr>
              <w:t>blocking</w:t>
            </w:r>
            <w:r>
              <w:t xml:space="preserve"> is </w:t>
            </w:r>
            <w:r>
              <w:rPr>
                <w:rStyle w:val="Text5"/>
              </w:rPr>
              <w:t>True</w:t>
            </w:r>
            <w:r>
              <w:t xml:space="preserve">, </w:t>
            </w:r>
            <w:r>
              <w:rPr>
                <w:rStyle w:val="Text3"/>
              </w:rPr>
              <w:t>s</w:t>
            </w:r>
            <w:r>
              <w:rPr>
                <w:rStyle w:val="Text0"/>
              </w:rPr>
              <w:t>.run</w:t>
            </w:r>
            <w:r>
              <w:t xml:space="preserve"> loops until </w:t>
            </w:r>
            <w:r>
              <w:rPr>
                <w:rStyle w:val="Text3"/>
              </w:rPr>
              <w:t>s</w:t>
            </w:r>
            <w:r>
              <w:rPr>
                <w:rStyle w:val="Text0"/>
              </w:rPr>
              <w:t>.empty</w:t>
            </w:r>
            <w:r>
              <w:t xml:space="preserve"> returns </w:t>
            </w:r>
            <w:r>
              <w:rPr>
                <w:rStyle w:val="Text5"/>
              </w:rPr>
              <w:t>True</w:t>
            </w:r>
            <w:r>
              <w:t xml:space="preserve">, using the </w:t>
            </w:r>
            <w:r>
              <w:rPr>
                <w:rStyle w:val="Text0"/>
              </w:rPr>
              <w:t>delayfunc</w:t>
            </w:r>
            <w:r>
              <w:t xml:space="preserve"> passed on </w:t>
            </w:r>
            <w:r>
              <w:rPr>
                <w:rStyle w:val="Text3"/>
              </w:rPr>
              <w:t>s</w:t>
            </w:r>
            <w:r>
              <w:t xml:space="preserve">’s initialization to wait for each scheduled event. If </w:t>
            </w:r>
            <w:r>
              <w:rPr>
                <w:rStyle w:val="Text0"/>
              </w:rPr>
              <w:t>blocking</w:t>
            </w:r>
            <w:r>
              <w:t xml:space="preserve"> is </w:t>
            </w:r>
            <w:r>
              <w:rPr>
                <w:rStyle w:val="Text5"/>
              </w:rPr>
              <w:t>False</w:t>
            </w:r>
            <w:r>
              <w:t xml:space="preserve">, executes any soon-to-expire events, then returns the next event’s deadline (if any). When a callback </w:t>
            </w:r>
            <w:r>
              <w:rPr>
                <w:rStyle w:val="Text3"/>
              </w:rPr>
              <w:t>func</w:t>
            </w:r>
            <w:r>
              <w:t xml:space="preserve"> raises an exception, </w:t>
            </w:r>
            <w:r>
              <w:rPr>
                <w:rStyle w:val="Text3"/>
              </w:rPr>
              <w:t>s</w:t>
            </w:r>
            <w:r>
              <w:t xml:space="preserve"> propagates it, but </w:t>
            </w:r>
            <w:r>
              <w:rPr>
                <w:rStyle w:val="Text3"/>
              </w:rPr>
              <w:t>s</w:t>
            </w:r>
            <w:r>
              <w:t xml:space="preserve"> keeps its own state, removing the event from the schedule. If a callback </w:t>
            </w:r>
            <w:r>
              <w:rPr>
                <w:rStyle w:val="Text3"/>
              </w:rPr>
              <w:t>func</w:t>
            </w:r>
            <w:r>
              <w:t xml:space="preserve"> runs longer than the time available before the next scheduled event, </w:t>
            </w:r>
            <w:r>
              <w:rPr>
                <w:rStyle w:val="Text3"/>
              </w:rPr>
              <w:t>s</w:t>
            </w:r>
            <w:r>
              <w:t xml:space="preserve"> falls behind but keeps executing scheduled events in order, never dropping any. Call </w:t>
            </w:r>
            <w:r>
              <w:rPr>
                <w:rStyle w:val="Text3"/>
              </w:rPr>
              <w:t>s</w:t>
            </w:r>
            <w:r>
              <w:rPr>
                <w:rStyle w:val="Text0"/>
              </w:rPr>
              <w:t>.cancel</w:t>
            </w:r>
            <w:r>
              <w:t xml:space="preserve"> to drop an event explicitly if that event is no longer of interest.</w:t>
            </w:r>
          </w:p>
        </w:tc>
      </w:tr>
    </w:tbl>
    <w:p>
      <w:bookmarkStart w:id="3195" w:name="The_calendar_Module__The_calenda"/>
      <w:pPr>
        <w:keepNext/>
        <w:pStyle w:val="Heading 1"/>
      </w:pPr>
      <w:r>
        <w:t>The calendar Module</w:t>
      </w:r>
      <w:bookmarkEnd w:id="3195"/>
    </w:p>
    <w:p>
      <w:pPr>
        <w:pStyle w:val="Normal"/>
      </w:pPr>
      <w:r>
        <w:t>The</w:t>
      </w:r>
      <w:r>
        <w:rPr>
          <w:rStyle w:val="Text111"/>
        </w:rPr>
        <w:bookmarkStart w:id="3196" w:name="idm45965195044848"/>
        <w:t/>
        <w:bookmarkEnd w:id="3196"/>
        <w:bookmarkStart w:id="3197" w:name="idm45965195043472"/>
        <w:t/>
        <w:bookmarkEnd w:id="3197"/>
        <w:bookmarkStart w:id="3198" w:name="idm45965195042336"/>
        <w:t/>
        <w:bookmarkEnd w:id="3198"/>
      </w:r>
      <w:r>
        <w:t xml:space="preserve"> </w:t>
      </w:r>
      <w:r>
        <w:rPr>
          <w:rStyle w:val="Text0"/>
        </w:rPr>
        <w:t>calendar</w:t>
      </w:r>
      <w:r>
        <w:t xml:space="preserve"> module supplies calendar-related functions, including functions to print a text calendar for a given month or year. By default, </w:t>
      </w:r>
      <w:r>
        <w:rPr>
          <w:rStyle w:val="Text0"/>
        </w:rPr>
        <w:t>calendar</w:t>
      </w:r>
      <w:r>
        <w:t xml:space="preserve"> takes Monday as the first day of the week and Sunday as the last one. To change this, call </w:t>
      </w:r>
      <w:r>
        <w:rPr>
          <w:rStyle w:val="Text0"/>
        </w:rPr>
        <w:t>calendar.setfirstweekday</w:t>
      </w:r>
      <w:r>
        <w:t xml:space="preserve">. </w:t>
      </w:r>
      <w:r>
        <w:rPr>
          <w:rStyle w:val="Text0"/>
        </w:rPr>
        <w:t>calendar</w:t>
      </w:r>
      <w:r>
        <w:t xml:space="preserve"> handles years in module </w:t>
      </w:r>
      <w:r>
        <w:rPr>
          <w:rStyle w:val="Text0"/>
        </w:rPr>
        <w:t>time</w:t>
      </w:r>
      <w:r>
        <w:t>’s range, typically (at least) 1970 to 2038.</w:t>
      </w:r>
    </w:p>
    <w:p>
      <w:pPr>
        <w:pStyle w:val="Normal"/>
      </w:pPr>
      <w:r>
        <w:t xml:space="preserve">The </w:t>
      </w:r>
      <w:r>
        <w:rPr>
          <w:rStyle w:val="Text0"/>
        </w:rPr>
        <w:t>calendar</w:t>
      </w:r>
      <w:r>
        <w:t xml:space="preserve"> module supplies the functions listed in </w:t>
      </w:r>
      <w:hyperlink w:anchor="Table_13_12__Functions_of_the_ca">
        <w:r>
          <w:rPr>
            <w:rStyle w:val="Text1"/>
          </w:rPr>
          <w:t>Table 13-12</w:t>
        </w:r>
      </w:hyperlink>
      <w:r>
        <w:t>.</w:t>
      </w:r>
    </w:p>
    <w:tbl>
      <w:tblPr>
        <w:tblW w:type="auto" w:w="0"/>
      </w:tblPr>
      <w:tr>
        <w:tc>
          <w:tcPr>
            <w:tcW w:type="pct" w:w="1000"/>
            <w:tcMar>
              <w:left w:type="dxa" w:w="200"/>
              <w:top w:type="dxa" w:w="200"/>
              <w:right w:type="dxa" w:w="200"/>
              <w:bottom w:type="dxa" w:w="200"/>
            </w:tcMar>
          </w:tcPr>
          <w:p>
            <w:bookmarkStart w:id="3199" w:name="Table_13_12__Functions_of_the_ca"/>
            <w:pPr>
              <w:pStyle w:val="Para 011"/>
            </w:pPr>
            <w:r>
              <w:rPr>
                <w:rStyle w:val="Text117"/>
              </w:rPr>
              <w:t/>
            </w:r>
            <w:r>
              <w:t xml:space="preserve">Table 13-12. </w:t>
              <w:t xml:space="preserve">Functions of the </w:t>
            </w:r>
            <w:r>
              <w:rPr>
                <w:rStyle w:val="Text0"/>
              </w:rPr>
              <w:t>calendar</w:t>
            </w:r>
            <w:r>
              <w:t xml:space="preserve"> module</w:t>
            </w:r>
            <w:bookmarkEnd w:id="3199"/>
          </w:p>
          <w:p>
            <w:pPr>
              <w:pStyle w:val="Para 001"/>
            </w:pPr>
            <w:r>
              <w:t>calendar</w:t>
            </w:r>
          </w:p>
        </w:tc>
        <w:tc>
          <w:tcPr>
            <w:tcW w:type="auto" w:w="0"/>
            <w:tcMar>
              <w:left w:type="dxa" w:w="200"/>
              <w:top w:type="dxa" w:w="200"/>
              <w:right w:type="dxa" w:w="200"/>
              <w:bottom w:type="dxa" w:w="200"/>
            </w:tcMar>
          </w:tcPr>
          <w:p>
            <w:pPr>
              <w:pStyle w:val="Para 002"/>
            </w:pPr>
            <w:r>
              <w:rPr>
                <w:rStyle w:val="Text0"/>
              </w:rPr>
              <w:t>calendar(</w:t>
            </w:r>
            <w:r>
              <w:rPr>
                <w:rStyle w:val="Text3"/>
              </w:rPr>
              <w:t>year,</w:t>
            </w:r>
            <w:r>
              <w:t xml:space="preserve"> </w:t>
            </w:r>
            <w:r>
              <w:rPr>
                <w:rStyle w:val="Text0"/>
              </w:rPr>
              <w:t>w=2, li=1, c=6)</w:t>
              <w:br w:clear="none"/>
            </w:r>
            <w:r>
              <w:t xml:space="preserve"> Returns a multiline string with a calendar for year </w:t>
            </w:r>
            <w:r>
              <w:rPr>
                <w:rStyle w:val="Text3"/>
              </w:rPr>
              <w:t>year</w:t>
            </w:r>
            <w:r>
              <w:t xml:space="preserve"> formatted into three columns separated by </w:t>
            </w:r>
            <w:r>
              <w:rPr>
                <w:rStyle w:val="Text0"/>
              </w:rPr>
              <w:t>c</w:t>
            </w:r>
            <w:r>
              <w:t xml:space="preserve"> spaces. </w:t>
            </w:r>
            <w:r>
              <w:rPr>
                <w:rStyle w:val="Text0"/>
              </w:rPr>
              <w:t>w</w:t>
            </w:r>
            <w:r>
              <w:t xml:space="preserve"> is the width in characters of each date; each line has length </w:t>
            </w:r>
            <w:r>
              <w:rPr>
                <w:rStyle w:val="Text0"/>
              </w:rPr>
              <w:t>21*w+18+2*c</w:t>
            </w:r>
            <w:r>
              <w:t xml:space="preserve">. </w:t>
            </w:r>
            <w:r>
              <w:rPr>
                <w:rStyle w:val="Text0"/>
              </w:rPr>
              <w:t>li</w:t>
            </w:r>
            <w:r>
              <w:t xml:space="preserve"> is the number of lines for each week.</w:t>
            </w:r>
          </w:p>
        </w:tc>
      </w:tr>
    </w:tbl>
    <w:tbl>
      <w:tblPr>
        <w:tblW w:type="auto" w:w="0"/>
      </w:tblPr>
      <w:tr>
        <w:tc>
          <w:tcPr>
            <w:tcW w:type="auto" w:w="0"/>
            <w:shd w:val="clear" w:color="auto" w:fill="EEF2F6"/>
            <w:tcMar>
              <w:left w:type="dxa" w:w="200"/>
              <w:top w:type="dxa" w:w="200"/>
              <w:right w:type="dxa" w:w="200"/>
              <w:bottom w:type="dxa" w:w="200"/>
            </w:tcMar>
          </w:tcPr>
          <w:p>
            <w:pPr>
              <w:pStyle w:val="Para 001"/>
            </w:pPr>
            <w:r>
              <w:t>firstweekday</w:t>
            </w:r>
          </w:p>
        </w:tc>
        <w:tc>
          <w:tcPr>
            <w:tcW w:type="auto" w:w="0"/>
            <w:shd w:val="clear" w:color="auto" w:fill="EEF2F6"/>
            <w:tcMar>
              <w:left w:type="dxa" w:w="200"/>
              <w:top w:type="dxa" w:w="200"/>
              <w:right w:type="dxa" w:w="200"/>
              <w:bottom w:type="dxa" w:w="200"/>
            </w:tcMar>
          </w:tcPr>
          <w:p>
            <w:pPr>
              <w:pStyle w:val="Para 002"/>
            </w:pPr>
            <w:r>
              <w:rPr>
                <w:rStyle w:val="Text0"/>
              </w:rPr>
              <w:t>firstweekday()</w:t>
              <w:br w:clear="none"/>
            </w:r>
            <w:r>
              <w:t xml:space="preserve"> Returns the current setting for the weekday that starts each week. By default, when </w:t>
            </w:r>
            <w:r>
              <w:rPr>
                <w:rStyle w:val="Text0"/>
              </w:rPr>
              <w:t>calendar</w:t>
            </w:r>
            <w:r>
              <w:t xml:space="preserve"> is first imported, this is </w:t>
            </w:r>
            <w:r>
              <w:rPr>
                <w:rStyle w:val="Text0"/>
              </w:rPr>
              <w:t>0</w:t>
            </w:r>
            <w:r>
              <w:t xml:space="preserve"> (meaning Monday).</w:t>
            </w:r>
          </w:p>
        </w:tc>
      </w:tr>
    </w:tbl>
    <w:tbl>
      <w:tblPr>
        <w:tblW w:type="auto" w:w="0"/>
      </w:tblPr>
      <w:tr>
        <w:tc>
          <w:tcPr>
            <w:tcW w:type="auto" w:w="0"/>
            <w:tcMar>
              <w:left w:type="dxa" w:w="200"/>
              <w:top w:type="dxa" w:w="200"/>
              <w:right w:type="dxa" w:w="200"/>
              <w:bottom w:type="dxa" w:w="200"/>
            </w:tcMar>
          </w:tcPr>
          <w:p>
            <w:pPr>
              <w:pStyle w:val="Para 001"/>
            </w:pPr>
            <w:r>
              <w:t>isleap</w:t>
            </w:r>
          </w:p>
        </w:tc>
        <w:tc>
          <w:tcPr>
            <w:tcW w:type="auto" w:w="0"/>
            <w:tcMar>
              <w:left w:type="dxa" w:w="200"/>
              <w:top w:type="dxa" w:w="200"/>
              <w:right w:type="dxa" w:w="200"/>
              <w:bottom w:type="dxa" w:w="200"/>
            </w:tcMar>
          </w:tcPr>
          <w:p>
            <w:pPr>
              <w:pStyle w:val="Para 002"/>
            </w:pPr>
            <w:r>
              <w:rPr>
                <w:rStyle w:val="Text0"/>
              </w:rPr>
              <w:t>isleap(</w:t>
            </w:r>
            <w:r>
              <w:rPr>
                <w:rStyle w:val="Text3"/>
              </w:rPr>
              <w:t>year</w:t>
            </w:r>
            <w:r>
              <w:rPr>
                <w:rStyle w:val="Text0"/>
              </w:rPr>
              <w:t>)</w:t>
              <w:br w:clear="none"/>
            </w:r>
            <w:r>
              <w:t xml:space="preserve"> Returns </w:t>
            </w:r>
            <w:r>
              <w:rPr>
                <w:rStyle w:val="Text5"/>
              </w:rPr>
              <w:t>True</w:t>
            </w:r>
            <w:r>
              <w:t xml:space="preserve"> if </w:t>
            </w:r>
            <w:r>
              <w:rPr>
                <w:rStyle w:val="Text3"/>
              </w:rPr>
              <w:t>year</w:t>
            </w:r>
            <w:r>
              <w:t xml:space="preserve"> is a leap year;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leapdays</w:t>
            </w:r>
          </w:p>
        </w:tc>
        <w:tc>
          <w:tcPr>
            <w:tcW w:type="auto" w:w="0"/>
            <w:shd w:val="clear" w:color="auto" w:fill="EEF2F6"/>
            <w:tcMar>
              <w:left w:type="dxa" w:w="200"/>
              <w:top w:type="dxa" w:w="200"/>
              <w:right w:type="dxa" w:w="200"/>
              <w:bottom w:type="dxa" w:w="200"/>
            </w:tcMar>
          </w:tcPr>
          <w:p>
            <w:pPr>
              <w:pStyle w:val="Para 002"/>
            </w:pPr>
            <w:r>
              <w:rPr>
                <w:rStyle w:val="Text0"/>
              </w:rPr>
              <w:t>leapdays(</w:t>
            </w:r>
            <w:r>
              <w:rPr>
                <w:rStyle w:val="Text3"/>
              </w:rPr>
              <w:t>y1</w:t>
            </w:r>
            <w:r>
              <w:rPr>
                <w:rStyle w:val="Text0"/>
              </w:rPr>
              <w:t>,</w:t>
            </w:r>
            <w:r>
              <w:t xml:space="preserve"> </w:t>
            </w:r>
            <w:r>
              <w:rPr>
                <w:rStyle w:val="Text3"/>
              </w:rPr>
              <w:t>y2</w:t>
            </w:r>
            <w:r>
              <w:rPr>
                <w:rStyle w:val="Text0"/>
              </w:rPr>
              <w:t>)</w:t>
              <w:br w:clear="none"/>
            </w:r>
            <w:r>
              <w:t xml:space="preserve"> Returns the total number of leap days in the years within </w:t>
            </w:r>
            <w:r>
              <w:rPr>
                <w:rStyle w:val="Text0"/>
              </w:rPr>
              <w:t>range(</w:t>
            </w:r>
            <w:r>
              <w:rPr>
                <w:rStyle w:val="Text3"/>
              </w:rPr>
              <w:t>y1</w:t>
            </w:r>
            <w:r>
              <w:rPr>
                <w:rStyle w:val="Text0"/>
              </w:rPr>
              <w:t>,</w:t>
            </w:r>
            <w:r>
              <w:t xml:space="preserve"> </w:t>
            </w:r>
            <w:r>
              <w:rPr>
                <w:rStyle w:val="Text3"/>
              </w:rPr>
              <w:t>y2</w:t>
            </w:r>
            <w:r>
              <w:rPr>
                <w:rStyle w:val="Text0"/>
              </w:rPr>
              <w:t>)</w:t>
            </w:r>
            <w:r>
              <w:t xml:space="preserve"> (remember, this means that </w:t>
            </w:r>
            <w:r>
              <w:rPr>
                <w:rStyle w:val="Text3"/>
              </w:rPr>
              <w:t>y2</w:t>
            </w:r>
            <w:r>
              <w:t xml:space="preserve"> is excluded).</w:t>
            </w:r>
          </w:p>
        </w:tc>
      </w:tr>
    </w:tbl>
    <w:tbl>
      <w:tblPr>
        <w:tblW w:type="auto" w:w="0"/>
      </w:tblPr>
      <w:tr>
        <w:tc>
          <w:tcPr>
            <w:tcW w:type="auto" w:w="0"/>
            <w:tcMar>
              <w:left w:type="dxa" w:w="200"/>
              <w:top w:type="dxa" w:w="200"/>
              <w:right w:type="dxa" w:w="200"/>
              <w:bottom w:type="dxa" w:w="200"/>
            </w:tcMar>
          </w:tcPr>
          <w:p>
            <w:pPr>
              <w:pStyle w:val="Para 001"/>
            </w:pPr>
            <w:r>
              <w:t>month</w:t>
            </w:r>
          </w:p>
        </w:tc>
        <w:tc>
          <w:tcPr>
            <w:tcW w:type="auto" w:w="0"/>
            <w:tcMar>
              <w:left w:type="dxa" w:w="200"/>
              <w:top w:type="dxa" w:w="200"/>
              <w:right w:type="dxa" w:w="200"/>
              <w:bottom w:type="dxa" w:w="200"/>
            </w:tcMar>
          </w:tcPr>
          <w:p>
            <w:pPr>
              <w:pStyle w:val="Para 002"/>
            </w:pPr>
            <w:r>
              <w:rPr>
                <w:rStyle w:val="Text0"/>
              </w:rPr>
              <w:t>month(</w:t>
            </w:r>
            <w:r>
              <w:rPr>
                <w:rStyle w:val="Text3"/>
              </w:rPr>
              <w:t>year</w:t>
            </w:r>
            <w:r>
              <w:rPr>
                <w:rStyle w:val="Text0"/>
              </w:rPr>
              <w:t>,</w:t>
            </w:r>
            <w:r>
              <w:t xml:space="preserve"> </w:t>
            </w:r>
            <w:r>
              <w:rPr>
                <w:rStyle w:val="Text3"/>
              </w:rPr>
              <w:t>month</w:t>
            </w:r>
            <w:r>
              <w:rPr>
                <w:rStyle w:val="Text0"/>
              </w:rPr>
              <w:t>, w=2, li=1)</w:t>
              <w:br w:clear="none"/>
            </w:r>
            <w:r>
              <w:t xml:space="preserve"> Returns a multiline string with a calendar for month </w:t>
            </w:r>
            <w:r>
              <w:rPr>
                <w:rStyle w:val="Text3"/>
              </w:rPr>
              <w:t>month</w:t>
            </w:r>
            <w:r>
              <w:t xml:space="preserve"> of year </w:t>
            </w:r>
            <w:r>
              <w:rPr>
                <w:rStyle w:val="Text3"/>
              </w:rPr>
              <w:t>year</w:t>
            </w:r>
            <w:r>
              <w:t xml:space="preserve">, one line per week plus two header lines. </w:t>
            </w:r>
            <w:r>
              <w:rPr>
                <w:rStyle w:val="Text0"/>
              </w:rPr>
              <w:t>w</w:t>
            </w:r>
            <w:r>
              <w:t xml:space="preserve"> is the width in characters of each date; each line has length </w:t>
            </w:r>
            <w:r>
              <w:rPr>
                <w:rStyle w:val="Text0"/>
              </w:rPr>
              <w:t>7*w+6</w:t>
            </w:r>
            <w:r>
              <w:t xml:space="preserve">. </w:t>
            </w:r>
            <w:r>
              <w:rPr>
                <w:rStyle w:val="Text0"/>
              </w:rPr>
              <w:t>li</w:t>
            </w:r>
            <w:r>
              <w:t xml:space="preserve"> is the number of lines for each week.</w:t>
            </w:r>
          </w:p>
        </w:tc>
      </w:tr>
    </w:tbl>
    <w:tbl>
      <w:tblPr>
        <w:tblW w:type="auto" w:w="0"/>
      </w:tblPr>
      <w:tr>
        <w:tc>
          <w:tcPr>
            <w:tcW w:type="auto" w:w="0"/>
            <w:shd w:val="clear" w:color="auto" w:fill="EEF2F6"/>
            <w:tcMar>
              <w:left w:type="dxa" w:w="200"/>
              <w:top w:type="dxa" w:w="200"/>
              <w:right w:type="dxa" w:w="200"/>
              <w:bottom w:type="dxa" w:w="200"/>
            </w:tcMar>
          </w:tcPr>
          <w:p>
            <w:pPr>
              <w:pStyle w:val="Para 001"/>
            </w:pPr>
            <w:r>
              <w:t>mo⁠n⁠t⁠h​c⁠a⁠l⁠endar</w:t>
            </w:r>
          </w:p>
        </w:tc>
        <w:tc>
          <w:tcPr>
            <w:tcW w:type="auto" w:w="0"/>
            <w:shd w:val="clear" w:color="auto" w:fill="EEF2F6"/>
            <w:tcMar>
              <w:left w:type="dxa" w:w="200"/>
              <w:top w:type="dxa" w:w="200"/>
              <w:right w:type="dxa" w:w="200"/>
              <w:bottom w:type="dxa" w:w="200"/>
            </w:tcMar>
          </w:tcPr>
          <w:p>
            <w:pPr>
              <w:pStyle w:val="Para 002"/>
            </w:pPr>
            <w:r>
              <w:rPr>
                <w:rStyle w:val="Text0"/>
              </w:rPr>
              <w:t>monthcalendar(</w:t>
            </w:r>
            <w:r>
              <w:rPr>
                <w:rStyle w:val="Text3"/>
              </w:rPr>
              <w:t>year</w:t>
            </w:r>
            <w:r>
              <w:rPr>
                <w:rStyle w:val="Text0"/>
              </w:rPr>
              <w:t>,</w:t>
            </w:r>
            <w:r>
              <w:t xml:space="preserve"> </w:t>
            </w:r>
            <w:r>
              <w:rPr>
                <w:rStyle w:val="Text3"/>
              </w:rPr>
              <w:t>month</w:t>
            </w:r>
            <w:r>
              <w:rPr>
                <w:rStyle w:val="Text0"/>
              </w:rPr>
              <w:t>)</w:t>
              <w:br w:clear="none"/>
            </w:r>
            <w:r>
              <w:t xml:space="preserve"> Returns a list of lists of </w:t>
            </w:r>
            <w:r>
              <w:rPr>
                <w:rStyle w:val="Text0"/>
              </w:rPr>
              <w:t>int</w:t>
            </w:r>
            <w:r>
              <w:t xml:space="preserve">s. Each sublist denotes a week. Days outside month </w:t>
            </w:r>
            <w:r>
              <w:rPr>
                <w:rStyle w:val="Text3"/>
              </w:rPr>
              <w:t>month</w:t>
            </w:r>
            <w:r>
              <w:t xml:space="preserve"> of year </w:t>
            </w:r>
            <w:r>
              <w:rPr>
                <w:rStyle w:val="Text3"/>
              </w:rPr>
              <w:t>year</w:t>
            </w:r>
            <w:r>
              <w:t xml:space="preserve"> are set to </w:t>
            </w:r>
            <w:r>
              <w:rPr>
                <w:rStyle w:val="Text0"/>
              </w:rPr>
              <w:t>0</w:t>
            </w:r>
            <w:r>
              <w:t xml:space="preserve">; days within the month are set to their day of month, </w:t>
            </w:r>
            <w:r>
              <w:rPr>
                <w:rStyle w:val="Text0"/>
              </w:rPr>
              <w:t>1</w:t>
            </w:r>
            <w:r>
              <w:t xml:space="preserve"> and up.</w:t>
            </w:r>
          </w:p>
        </w:tc>
      </w:tr>
    </w:tbl>
    <w:tbl>
      <w:tblPr>
        <w:tblW w:type="auto" w:w="0"/>
      </w:tblPr>
      <w:tr>
        <w:tc>
          <w:tcPr>
            <w:tcW w:type="auto" w:w="0"/>
            <w:tcMar>
              <w:left w:type="dxa" w:w="200"/>
              <w:top w:type="dxa" w:w="200"/>
              <w:right w:type="dxa" w:w="200"/>
              <w:bottom w:type="dxa" w:w="200"/>
            </w:tcMar>
          </w:tcPr>
          <w:p>
            <w:pPr>
              <w:pStyle w:val="Para 001"/>
            </w:pPr>
            <w:r>
              <w:t>monthrange</w:t>
            </w:r>
          </w:p>
        </w:tc>
        <w:tc>
          <w:tcPr>
            <w:tcW w:type="auto" w:w="0"/>
            <w:tcMar>
              <w:left w:type="dxa" w:w="200"/>
              <w:top w:type="dxa" w:w="200"/>
              <w:right w:type="dxa" w:w="200"/>
              <w:bottom w:type="dxa" w:w="200"/>
            </w:tcMar>
          </w:tcPr>
          <w:p>
            <w:pPr>
              <w:pStyle w:val="Para 002"/>
            </w:pPr>
            <w:r>
              <w:rPr>
                <w:rStyle w:val="Text0"/>
              </w:rPr>
              <w:t>monthrange(</w:t>
            </w:r>
            <w:r>
              <w:rPr>
                <w:rStyle w:val="Text3"/>
              </w:rPr>
              <w:t>year</w:t>
            </w:r>
            <w:r>
              <w:rPr>
                <w:rStyle w:val="Text0"/>
              </w:rPr>
              <w:t>,</w:t>
            </w:r>
            <w:r>
              <w:t xml:space="preserve"> </w:t>
            </w:r>
            <w:r>
              <w:rPr>
                <w:rStyle w:val="Text3"/>
              </w:rPr>
              <w:t>month</w:t>
            </w:r>
            <w:r>
              <w:rPr>
                <w:rStyle w:val="Text0"/>
              </w:rPr>
              <w:t>)</w:t>
              <w:br w:clear="none"/>
            </w:r>
            <w:r>
              <w:t xml:space="preserve"> Returns two integers. The first one is the code of the weekday for the first day of the month </w:t>
            </w:r>
            <w:r>
              <w:rPr>
                <w:rStyle w:val="Text3"/>
              </w:rPr>
              <w:t>month</w:t>
            </w:r>
            <w:r>
              <w:t xml:space="preserve"> in year </w:t>
            </w:r>
            <w:r>
              <w:rPr>
                <w:rStyle w:val="Text3"/>
              </w:rPr>
              <w:t>year</w:t>
            </w:r>
            <w:r>
              <w:t xml:space="preserve">; the second one is the number of days in the month. Weekday codes are </w:t>
            </w:r>
            <w:r>
              <w:rPr>
                <w:rStyle w:val="Text0"/>
              </w:rPr>
              <w:t>0</w:t>
            </w:r>
            <w:r>
              <w:t xml:space="preserve"> (Monday) to </w:t>
            </w:r>
            <w:r>
              <w:rPr>
                <w:rStyle w:val="Text0"/>
              </w:rPr>
              <w:t>6</w:t>
            </w:r>
            <w:r>
              <w:t xml:space="preserve"> (Sunday); month numbers are </w:t>
            </w:r>
            <w:r>
              <w:rPr>
                <w:rStyle w:val="Text0"/>
              </w:rPr>
              <w:t>1</w:t>
            </w:r>
            <w:r>
              <w:t xml:space="preserve"> to </w:t>
            </w:r>
            <w:r>
              <w:rPr>
                <w:rStyle w:val="Text0"/>
              </w:rPr>
              <w:t>12</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prcal</w:t>
            </w:r>
          </w:p>
        </w:tc>
        <w:tc>
          <w:tcPr>
            <w:tcW w:type="auto" w:w="0"/>
            <w:shd w:val="clear" w:color="auto" w:fill="EEF2F6"/>
            <w:tcMar>
              <w:left w:type="dxa" w:w="200"/>
              <w:top w:type="dxa" w:w="200"/>
              <w:right w:type="dxa" w:w="200"/>
              <w:bottom w:type="dxa" w:w="200"/>
            </w:tcMar>
          </w:tcPr>
          <w:p>
            <w:pPr>
              <w:pStyle w:val="Para 001"/>
            </w:pPr>
            <w:r>
              <w:t>prcal(</w:t>
            </w:r>
            <w:r>
              <w:rPr>
                <w:rStyle w:val="Text3"/>
              </w:rPr>
              <w:t>year</w:t>
            </w:r>
            <w:r>
              <w:t>, w=2, li=1, c=6)</w:t>
              <w:br w:clear="none"/>
            </w:r>
            <w:r>
              <w:rPr>
                <w:rStyle w:val="Text12"/>
              </w:rPr>
              <w:t xml:space="preserve"> Like </w:t>
            </w:r>
            <w:r>
              <w:t>print(calendar.calendar(</w:t>
            </w:r>
            <w:r>
              <w:rPr>
                <w:rStyle w:val="Text3"/>
              </w:rPr>
              <w:t>year</w:t>
            </w:r>
            <w:r>
              <w:t>,</w:t>
            </w:r>
            <w:r>
              <w:rPr>
                <w:rStyle w:val="Text12"/>
              </w:rPr>
              <w:t xml:space="preserve"> </w:t>
            </w:r>
            <w:r>
              <w:rPr>
                <w:rStyle w:val="Text3"/>
              </w:rPr>
              <w:t>w</w:t>
            </w:r>
            <w:r>
              <w:t>,</w:t>
            </w:r>
            <w:r>
              <w:rPr>
                <w:rStyle w:val="Text12"/>
              </w:rPr>
              <w:t xml:space="preserve"> </w:t>
            </w:r>
            <w:r>
              <w:rPr>
                <w:rStyle w:val="Text3"/>
              </w:rPr>
              <w:t>li</w:t>
            </w:r>
            <w:r>
              <w:t>,</w:t>
            </w:r>
            <w:r>
              <w:rPr>
                <w:rStyle w:val="Text12"/>
              </w:rPr>
              <w:t xml:space="preserve"> </w:t>
            </w:r>
            <w:r>
              <w:rPr>
                <w:rStyle w:val="Text3"/>
              </w:rPr>
              <w:t>c</w:t>
            </w:r>
            <w:r>
              <w:t>))</w:t>
            </w:r>
            <w:r>
              <w:rPr>
                <w:rStyle w:val="Text12"/>
              </w:rPr>
              <w:t>.</w:t>
            </w:r>
          </w:p>
        </w:tc>
      </w:tr>
    </w:tbl>
    <w:tbl>
      <w:tblPr>
        <w:tblW w:type="auto" w:w="0"/>
      </w:tblPr>
      <w:tr>
        <w:tc>
          <w:tcPr>
            <w:tcW w:type="auto" w:w="0"/>
            <w:tcMar>
              <w:left w:type="dxa" w:w="200"/>
              <w:top w:type="dxa" w:w="200"/>
              <w:right w:type="dxa" w:w="200"/>
              <w:bottom w:type="dxa" w:w="200"/>
            </w:tcMar>
          </w:tcPr>
          <w:p>
            <w:pPr>
              <w:pStyle w:val="Para 001"/>
            </w:pPr>
            <w:r>
              <w:t>prmonth</w:t>
            </w:r>
          </w:p>
        </w:tc>
        <w:tc>
          <w:tcPr>
            <w:tcW w:type="auto" w:w="0"/>
            <w:tcMar>
              <w:left w:type="dxa" w:w="200"/>
              <w:top w:type="dxa" w:w="200"/>
              <w:right w:type="dxa" w:w="200"/>
              <w:bottom w:type="dxa" w:w="200"/>
            </w:tcMar>
          </w:tcPr>
          <w:p>
            <w:pPr>
              <w:pStyle w:val="Para 001"/>
            </w:pPr>
            <w:r>
              <w:t>prmonth(</w:t>
            </w:r>
            <w:r>
              <w:rPr>
                <w:rStyle w:val="Text3"/>
              </w:rPr>
              <w:t>year</w:t>
            </w:r>
            <w:r>
              <w:t>,</w:t>
            </w:r>
            <w:r>
              <w:rPr>
                <w:rStyle w:val="Text12"/>
              </w:rPr>
              <w:t xml:space="preserve"> </w:t>
            </w:r>
            <w:r>
              <w:rPr>
                <w:rStyle w:val="Text3"/>
              </w:rPr>
              <w:t>month</w:t>
            </w:r>
            <w:r>
              <w:t>, w=2, li=1)</w:t>
              <w:br w:clear="none"/>
            </w:r>
            <w:r>
              <w:rPr>
                <w:rStyle w:val="Text12"/>
              </w:rPr>
              <w:t xml:space="preserve"> Like </w:t>
            </w:r>
            <w:r>
              <w:t>print(calendar.month(</w:t>
            </w:r>
            <w:r>
              <w:rPr>
                <w:rStyle w:val="Text3"/>
              </w:rPr>
              <w:t>year</w:t>
            </w:r>
            <w:r>
              <w:t>,</w:t>
            </w:r>
            <w:r>
              <w:rPr>
                <w:rStyle w:val="Text12"/>
              </w:rPr>
              <w:t xml:space="preserve"> </w:t>
            </w:r>
            <w:r>
              <w:rPr>
                <w:rStyle w:val="Text3"/>
              </w:rPr>
              <w:t>month</w:t>
            </w:r>
            <w:r>
              <w:t>,</w:t>
            </w:r>
            <w:r>
              <w:rPr>
                <w:rStyle w:val="Text12"/>
              </w:rPr>
              <w:t xml:space="preserve"> </w:t>
            </w:r>
            <w:r>
              <w:rPr>
                <w:rStyle w:val="Text3"/>
              </w:rPr>
              <w:t>w</w:t>
            </w:r>
            <w:r>
              <w:t>,</w:t>
            </w:r>
            <w:r>
              <w:rPr>
                <w:rStyle w:val="Text12"/>
              </w:rPr>
              <w:t xml:space="preserve"> </w:t>
            </w:r>
            <w:r>
              <w:rPr>
                <w:rStyle w:val="Text3"/>
              </w:rPr>
              <w:t>li</w:t>
            </w:r>
            <w:r>
              <w:t>))</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setfirstweekday</w:t>
            </w:r>
          </w:p>
        </w:tc>
        <w:tc>
          <w:tcPr>
            <w:tcW w:type="auto" w:w="0"/>
            <w:shd w:val="clear" w:color="auto" w:fill="EEF2F6"/>
            <w:tcMar>
              <w:left w:type="dxa" w:w="200"/>
              <w:top w:type="dxa" w:w="200"/>
              <w:right w:type="dxa" w:w="200"/>
              <w:bottom w:type="dxa" w:w="200"/>
            </w:tcMar>
          </w:tcPr>
          <w:p>
            <w:pPr>
              <w:pStyle w:val="Para 002"/>
            </w:pPr>
            <w:r>
              <w:rPr>
                <w:rStyle w:val="Text0"/>
              </w:rPr>
              <w:t>setfirstweekday(</w:t>
            </w:r>
            <w:r>
              <w:rPr>
                <w:rStyle w:val="Text3"/>
              </w:rPr>
              <w:t>weekday</w:t>
            </w:r>
            <w:r>
              <w:rPr>
                <w:rStyle w:val="Text0"/>
              </w:rPr>
              <w:t>)</w:t>
              <w:br w:clear="none"/>
            </w:r>
            <w:r>
              <w:t xml:space="preserve"> Sets the first day of each week to weekday code </w:t>
            </w:r>
            <w:r>
              <w:rPr>
                <w:rStyle w:val="Text3"/>
              </w:rPr>
              <w:t>weekday</w:t>
            </w:r>
            <w:r>
              <w:t xml:space="preserve">. Weekday codes are </w:t>
            </w:r>
            <w:r>
              <w:rPr>
                <w:rStyle w:val="Text0"/>
              </w:rPr>
              <w:t>0</w:t>
            </w:r>
            <w:r>
              <w:t xml:space="preserve"> (Monday) to </w:t>
            </w:r>
            <w:r>
              <w:rPr>
                <w:rStyle w:val="Text0"/>
              </w:rPr>
              <w:t>6</w:t>
            </w:r>
            <w:r>
              <w:t xml:space="preserve"> (Sunday). </w:t>
            </w:r>
            <w:r>
              <w:rPr>
                <w:rStyle w:val="Text0"/>
              </w:rPr>
              <w:t>calendar</w:t>
            </w:r>
            <w:r>
              <w:t xml:space="preserve"> supplies the attributes </w:t>
            </w:r>
            <w:r>
              <w:rPr>
                <w:rStyle w:val="Text0"/>
              </w:rPr>
              <w:t>MONDAY</w:t>
            </w:r>
            <w:r>
              <w:t xml:space="preserve">, </w:t>
            </w:r>
            <w:r>
              <w:rPr>
                <w:rStyle w:val="Text0"/>
              </w:rPr>
              <w:t>TUESDAY</w:t>
            </w:r>
            <w:r>
              <w:t xml:space="preserve">, </w:t>
            </w:r>
            <w:r>
              <w:rPr>
                <w:rStyle w:val="Text0"/>
              </w:rPr>
              <w:t>WEDNESDAY</w:t>
            </w:r>
            <w:r>
              <w:t xml:space="preserve">, </w:t>
            </w:r>
            <w:r>
              <w:rPr>
                <w:rStyle w:val="Text0"/>
              </w:rPr>
              <w:t>THURSDAY</w:t>
            </w:r>
            <w:r>
              <w:t xml:space="preserve">, </w:t>
            </w:r>
            <w:r>
              <w:rPr>
                <w:rStyle w:val="Text0"/>
              </w:rPr>
              <w:t>FRIDAY</w:t>
            </w:r>
            <w:r>
              <w:t xml:space="preserve">, </w:t>
            </w:r>
            <w:r>
              <w:rPr>
                <w:rStyle w:val="Text0"/>
              </w:rPr>
              <w:t>SATURDAY</w:t>
            </w:r>
            <w:r>
              <w:t xml:space="preserve">, and </w:t>
            </w:r>
            <w:r>
              <w:rPr>
                <w:rStyle w:val="Text0"/>
              </w:rPr>
              <w:t>SUNDAY</w:t>
            </w:r>
            <w:r>
              <w:t xml:space="preserve">, whose values are the integers </w:t>
            </w:r>
            <w:r>
              <w:rPr>
                <w:rStyle w:val="Text0"/>
              </w:rPr>
              <w:t>0</w:t>
            </w:r>
            <w:r>
              <w:t xml:space="preserve"> to </w:t>
            </w:r>
            <w:r>
              <w:rPr>
                <w:rStyle w:val="Text0"/>
              </w:rPr>
              <w:t>6</w:t>
            </w:r>
            <w:r>
              <w:t xml:space="preserve">. Use these attributes when you mean weekdays (e.g., </w:t>
            </w:r>
            <w:r>
              <w:rPr>
                <w:rStyle w:val="Text0"/>
              </w:rPr>
              <w:t>calendar.FRIDAY</w:t>
            </w:r>
            <w:r>
              <w:t xml:space="preserve"> instead of </w:t>
            </w:r>
            <w:r>
              <w:rPr>
                <w:rStyle w:val="Text0"/>
              </w:rPr>
              <w:t>4</w:t>
            </w:r>
            <w:r>
              <w:t>) to make your code clearer and more readable.</w:t>
            </w:r>
          </w:p>
        </w:tc>
      </w:tr>
    </w:tbl>
    <w:tbl>
      <w:tblPr>
        <w:tblW w:type="auto" w:w="0"/>
      </w:tblPr>
      <w:tr>
        <w:tc>
          <w:tcPr>
            <w:tcW w:type="auto" w:w="0"/>
            <w:tcMar>
              <w:left w:type="dxa" w:w="200"/>
              <w:top w:type="dxa" w:w="200"/>
              <w:right w:type="dxa" w:w="200"/>
              <w:bottom w:type="dxa" w:w="200"/>
            </w:tcMar>
          </w:tcPr>
          <w:p>
            <w:pPr>
              <w:pStyle w:val="Para 001"/>
            </w:pPr>
            <w:r>
              <w:t>timegm</w:t>
            </w:r>
          </w:p>
        </w:tc>
        <w:tc>
          <w:tcPr>
            <w:tcW w:type="auto" w:w="0"/>
            <w:tcMar>
              <w:left w:type="dxa" w:w="200"/>
              <w:top w:type="dxa" w:w="200"/>
              <w:right w:type="dxa" w:w="200"/>
              <w:bottom w:type="dxa" w:w="200"/>
            </w:tcMar>
          </w:tcPr>
          <w:p>
            <w:pPr>
              <w:pStyle w:val="Para 002"/>
            </w:pPr>
            <w:r>
              <w:rPr>
                <w:rStyle w:val="Text0"/>
              </w:rPr>
              <w:t>timegm(</w:t>
            </w:r>
            <w:r>
              <w:rPr>
                <w:rStyle w:val="Text3"/>
              </w:rPr>
              <w:t>tupletime</w:t>
            </w:r>
            <w:r>
              <w:rPr>
                <w:rStyle w:val="Text0"/>
              </w:rPr>
              <w:t>)</w:t>
              <w:br w:clear="none"/>
            </w:r>
            <w:r>
              <w:t xml:space="preserve"> Just like </w:t>
            </w:r>
            <w:r>
              <w:rPr>
                <w:rStyle w:val="Text0"/>
              </w:rPr>
              <w:t>time.mktime</w:t>
            </w:r>
            <w:r>
              <w:t xml:space="preserve">: accepts a time instant in timetuple form and returns that instant as a </w:t>
            </w:r>
            <w:r>
              <w:rPr>
                <w:rStyle w:val="Text0"/>
              </w:rPr>
              <w:t>float</w:t>
            </w:r>
            <w:r>
              <w:t xml:space="preserve"> number of seconds since the epoch.</w:t>
            </w:r>
          </w:p>
        </w:tc>
      </w:tr>
    </w:tbl>
    <w:tbl>
      <w:tblPr>
        <w:tblW w:type="auto" w:w="0"/>
      </w:tblPr>
      <w:tr>
        <w:tc>
          <w:tcPr>
            <w:tcW w:type="auto" w:w="0"/>
            <w:shd w:val="clear" w:color="auto" w:fill="EEF2F6"/>
            <w:tcMar>
              <w:left w:type="dxa" w:w="200"/>
              <w:top w:type="dxa" w:w="200"/>
              <w:right w:type="dxa" w:w="200"/>
              <w:bottom w:type="dxa" w:w="200"/>
            </w:tcMar>
          </w:tcPr>
          <w:p>
            <w:pPr>
              <w:pStyle w:val="Para 001"/>
            </w:pPr>
            <w:r>
              <w:t>weekday</w:t>
            </w:r>
          </w:p>
        </w:tc>
        <w:tc>
          <w:tcPr>
            <w:tcW w:type="auto" w:w="0"/>
            <w:shd w:val="clear" w:color="auto" w:fill="EEF2F6"/>
            <w:tcMar>
              <w:left w:type="dxa" w:w="200"/>
              <w:top w:type="dxa" w:w="200"/>
              <w:right w:type="dxa" w:w="200"/>
              <w:bottom w:type="dxa" w:w="200"/>
            </w:tcMar>
          </w:tcPr>
          <w:p>
            <w:pPr>
              <w:pStyle w:val="Para 002"/>
            </w:pPr>
            <w:r>
              <w:rPr>
                <w:rStyle w:val="Text0"/>
              </w:rPr>
              <w:t>weekday(</w:t>
            </w:r>
            <w:r>
              <w:rPr>
                <w:rStyle w:val="Text3"/>
              </w:rPr>
              <w:t>year</w:t>
            </w:r>
            <w:r>
              <w:rPr>
                <w:rStyle w:val="Text0"/>
              </w:rPr>
              <w:t>,</w:t>
            </w:r>
            <w:r>
              <w:t xml:space="preserve"> </w:t>
            </w:r>
            <w:r>
              <w:rPr>
                <w:rStyle w:val="Text3"/>
              </w:rPr>
              <w:t>month</w:t>
            </w:r>
            <w:r>
              <w:rPr>
                <w:rStyle w:val="Text0"/>
              </w:rPr>
              <w:t>,</w:t>
            </w:r>
            <w:r>
              <w:t xml:space="preserve"> </w:t>
            </w:r>
            <w:r>
              <w:rPr>
                <w:rStyle w:val="Text3"/>
              </w:rPr>
              <w:t>day</w:t>
            </w:r>
            <w:r>
              <w:rPr>
                <w:rStyle w:val="Text0"/>
              </w:rPr>
              <w:t>)</w:t>
              <w:br w:clear="none"/>
            </w:r>
            <w:r>
              <w:t xml:space="preserve"> Returns the weekday code for the given date. Weekday codes are </w:t>
            </w:r>
            <w:r>
              <w:rPr>
                <w:rStyle w:val="Text0"/>
              </w:rPr>
              <w:t>0</w:t>
            </w:r>
            <w:r>
              <w:t xml:space="preserve"> (Monday) to </w:t>
            </w:r>
            <w:r>
              <w:rPr>
                <w:rStyle w:val="Text0"/>
              </w:rPr>
              <w:t>6</w:t>
            </w:r>
            <w:r>
              <w:t xml:space="preserve"> (Sunday); month numbers are </w:t>
            </w:r>
            <w:r>
              <w:rPr>
                <w:rStyle w:val="Text0"/>
              </w:rPr>
              <w:t>1</w:t>
            </w:r>
            <w:r>
              <w:t xml:space="preserve"> (January) to </w:t>
            </w:r>
            <w:r>
              <w:rPr>
                <w:rStyle w:val="Text0"/>
              </w:rPr>
              <w:t>12</w:t>
            </w:r>
            <w:r>
              <w:t xml:space="preserve"> (December).</w:t>
            </w:r>
          </w:p>
        </w:tc>
      </w:tr>
    </w:tbl>
    <w:p>
      <w:pPr>
        <w:pStyle w:val="Normal"/>
      </w:pPr>
      <w:r>
        <w:rPr>
          <w:rStyle w:val="Text5"/>
        </w:rPr>
        <w:t>python -m calendar</w:t>
      </w:r>
      <w:r>
        <w:t xml:space="preserve"> offers a useful command-line interface to the module’s functionality: run </w:t>
      </w:r>
      <w:r>
        <w:rPr>
          <w:rStyle w:val="Text5"/>
        </w:rPr>
        <w:t>python -m calendar -h</w:t>
      </w:r>
      <w:r>
        <w:t xml:space="preserve"> to get a brief help message.</w:t>
      </w:r>
    </w:p>
    <w:p>
      <w:bookmarkStart w:id="3200" w:name="1_On_older_Unix_systems__1970_01"/>
      <w:pPr>
        <w:pStyle w:val="Para 035"/>
      </w:pPr>
      <w:hyperlink w:anchor="1_13">
        <w:r>
          <w:rPr>
            <w:rStyle w:val="Text1"/>
          </w:rPr>
          <w:t>1</w:t>
        </w:r>
      </w:hyperlink>
      <w:r>
        <w:t xml:space="preserve"> On older Unix systems, 1970-01-01 is the start of the epoch, and 2038-01-19 is when 32-bit time wraps back to the epoch. Most modern systems now use 64-bit time, and many </w:t>
      </w:r>
      <w:r>
        <w:rPr>
          <w:rStyle w:val="Text25"/>
        </w:rPr>
        <w:t>time</w:t>
      </w:r>
      <w:r>
        <w:t xml:space="preserve"> methods can accept a year from 0001 to 9999, but some methods, or old systems (especially embedded ones), may still be limited.</w:t>
      </w:r>
      <w:bookmarkEnd w:id="3200"/>
    </w:p>
    <w:p>
      <w:bookmarkStart w:id="3201" w:name="2_time_and_datetime_don_t_accoun"/>
      <w:pPr>
        <w:pStyle w:val="Para 015"/>
      </w:pPr>
      <w:hyperlink w:anchor="2_11">
        <w:r>
          <w:rPr>
            <w:rStyle w:val="Text1"/>
          </w:rPr>
          <w:t>2</w:t>
        </w:r>
      </w:hyperlink>
      <w:r>
        <w:t xml:space="preserve"> </w:t>
      </w:r>
      <w:r>
        <w:rPr>
          <w:rStyle w:val="Text25"/>
        </w:rPr>
        <w:t>time</w:t>
      </w:r>
      <w:r>
        <w:t xml:space="preserve"> and </w:t>
      </w:r>
      <w:r>
        <w:rPr>
          <w:rStyle w:val="Text25"/>
        </w:rPr>
        <w:t>datetime</w:t>
      </w:r>
      <w:r>
        <w:t xml:space="preserve"> don’t account for leap seconds, since their schedule is not known for the future.</w:t>
      </w:r>
      <w:bookmarkEnd w:id="3201"/>
    </w:p>
    <w:p>
      <w:bookmarkStart w:id="3202" w:name="3_Pre_3_9__use_instead_the_third"/>
      <w:pPr>
        <w:pStyle w:val="Para 015"/>
      </w:pPr>
      <w:hyperlink w:anchor="3_11">
        <w:r>
          <w:rPr>
            <w:rStyle w:val="Text1"/>
          </w:rPr>
          <w:t>3</w:t>
        </w:r>
      </w:hyperlink>
      <w:r>
        <w:t xml:space="preserve"> Pre-3.9, use instead the third-party module </w:t>
      </w:r>
      <w:hyperlink r:id="rId433">
        <w:r>
          <w:rPr>
            <w:rStyle w:val="Text74"/>
          </w:rPr>
          <w:t>pytz</w:t>
        </w:r>
      </w:hyperlink>
      <w:r>
        <w:t>.</w:t>
      </w:r>
      <w:bookmarkEnd w:id="3202"/>
    </w:p>
    <w:p>
      <w:bookmarkStart w:id="3203" w:name="Chapter_14__Customizing_Executio_2"/>
      <w:bookmarkStart w:id="3204" w:name="Top_of_ch14_html"/>
      <w:bookmarkStart w:id="3205" w:name="Chapter_14__Customizing_Executio_1"/>
      <w:bookmarkStart w:id="3206" w:name="Chapter_14__Customizing_Executio"/>
      <w:pPr>
        <w:keepNext/>
        <w:pStyle w:val="Heading 1"/>
        <w:pageBreakBefore w:val="on"/>
      </w:pPr>
      <w:r>
        <w:t xml:space="preserve">Chapter 14. </w:t>
        <w:t>Customizing Execution</w:t>
      </w:r>
      <w:bookmarkEnd w:id="3203"/>
      <w:bookmarkEnd w:id="3204"/>
      <w:bookmarkEnd w:id="3205"/>
      <w:bookmarkEnd w:id="3206"/>
    </w:p>
    <w:p>
      <w:pPr>
        <w:pStyle w:val="Normal"/>
      </w:pPr>
      <w:r>
        <w:t xml:space="preserve">Python exposes, supports, and documents many of its internal mechanisms. This may help you understand Python at an advanced level, and lets you hook your own code into such Python mechanisms, controlling them to some extent. For example, </w:t>
      </w:r>
      <w:hyperlink w:anchor="Python_built_ins__Python_supplie">
        <w:r>
          <w:rPr>
            <w:rStyle w:val="Text1"/>
          </w:rPr>
          <w:t>“Python built-ins”</w:t>
        </w:r>
      </w:hyperlink>
      <w:r>
        <w:t xml:space="preserve"> covers the way Python arranges for built-ins to be visible. This chapter covers some other advanced Python techniques, including site customization, termination functions, dynamic execution, handling internal types, and garbage collection. We’ll look at other issues related to controlling execution using multiple threads and processes in </w:t>
      </w:r>
      <w:hyperlink w:anchor="Chapter_15__Concurrency__Threads_2">
        <w:r>
          <w:rPr>
            <w:rStyle w:val="Text1"/>
          </w:rPr>
          <w:t>Chapter 15</w:t>
        </w:r>
      </w:hyperlink>
      <w:r>
        <w:t xml:space="preserve">; </w:t>
      </w:r>
      <w:hyperlink w:anchor="Chapter_17__Testing__Debugging_2">
        <w:r>
          <w:rPr>
            <w:rStyle w:val="Text1"/>
          </w:rPr>
          <w:t>Chapter 17</w:t>
        </w:r>
      </w:hyperlink>
      <w:r>
        <w:t xml:space="preserve"> covers issues specific to testing, debugging, and profiling.</w:t>
      </w:r>
    </w:p>
    <w:p>
      <w:bookmarkStart w:id="3207" w:name="Per_Site_Customization__Python_p"/>
      <w:pPr>
        <w:keepNext/>
        <w:pStyle w:val="Heading 1"/>
      </w:pPr>
      <w:r>
        <w:t>Per-Site Customization</w:t>
      </w:r>
      <w:bookmarkEnd w:id="3207"/>
    </w:p>
    <w:p>
      <w:pPr>
        <w:pStyle w:val="Normal"/>
      </w:pPr>
      <w:r>
        <w:t>Python</w:t>
      </w:r>
      <w:r>
        <w:rPr>
          <w:rStyle w:val="Text111"/>
        </w:rPr>
        <w:bookmarkStart w:id="3208" w:name="idm45965194928048"/>
        <w:t/>
        <w:bookmarkEnd w:id="3208"/>
        <w:bookmarkStart w:id="3209" w:name="idm45965194926256"/>
        <w:t/>
        <w:bookmarkEnd w:id="3209"/>
        <w:bookmarkStart w:id="3210" w:name="idm45965194925152"/>
        <w:t/>
        <w:bookmarkEnd w:id="3210"/>
      </w:r>
      <w:r>
        <w:t xml:space="preserve"> provides a specific “hook” to let each site customize some aspects of Python’s behavior at the start of each run. Python loads the</w:t>
      </w:r>
      <w:r>
        <w:rPr>
          <w:rStyle w:val="Text111"/>
        </w:rPr>
        <w:bookmarkStart w:id="3211" w:name="idm45965194923920"/>
        <w:t/>
        <w:bookmarkEnd w:id="3211"/>
        <w:bookmarkStart w:id="3212" w:name="idm45965194922816"/>
        <w:t/>
        <w:bookmarkEnd w:id="3212"/>
      </w:r>
      <w:r>
        <w:t xml:space="preserve"> standard module </w:t>
      </w:r>
      <w:r>
        <w:rPr>
          <w:rStyle w:val="Text0"/>
        </w:rPr>
        <w:t>site</w:t>
      </w:r>
      <w:r>
        <w:t xml:space="preserve"> just before the main script. If Python is run with the option </w:t>
      </w:r>
      <w:r>
        <w:rPr>
          <w:rStyle w:val="Text5"/>
        </w:rPr>
        <w:t>-S</w:t>
      </w:r>
      <w:r>
        <w:t xml:space="preserve">, it does not load </w:t>
      </w:r>
      <w:r>
        <w:rPr>
          <w:rStyle w:val="Text0"/>
        </w:rPr>
        <w:t>site</w:t>
      </w:r>
      <w:r>
        <w:t xml:space="preserve">. </w:t>
      </w:r>
      <w:r>
        <w:rPr>
          <w:rStyle w:val="Text5"/>
        </w:rPr>
        <w:t>-S</w:t>
      </w:r>
      <w:r>
        <w:t xml:space="preserve"> allows faster startup but saddles the main script with initialization chores. </w:t>
      </w:r>
      <w:r>
        <w:rPr>
          <w:rStyle w:val="Text0"/>
        </w:rPr>
        <w:t>site</w:t>
      </w:r>
      <w:r>
        <w:t xml:space="preserve">’s tasks are, chiefly, to put </w:t>
      </w:r>
      <w:r>
        <w:rPr>
          <w:rStyle w:val="Text0"/>
        </w:rPr>
        <w:t>sys.path</w:t>
      </w:r>
      <w:r>
        <w:t xml:space="preserve"> in standard form (absolute paths, no duplicates), including as directed by environment variables, by virtual environments, and by each </w:t>
      </w:r>
      <w:r>
        <w:rPr>
          <w:rStyle w:val="Text4"/>
        </w:rPr>
        <w:t>.pth</w:t>
      </w:r>
      <w:r>
        <w:t xml:space="preserve"> file found in a directory in </w:t>
      </w:r>
      <w:r>
        <w:rPr>
          <w:rStyle w:val="Text0"/>
        </w:rPr>
        <w:t>sys.path</w:t>
      </w:r>
      <w:r>
        <w:t>.</w:t>
      </w:r>
    </w:p>
    <w:p>
      <w:pPr>
        <w:pStyle w:val="Normal"/>
      </w:pPr>
      <w:r>
        <w:t>Secondarily, if the session starting is an</w:t>
      </w:r>
      <w:r>
        <w:rPr>
          <w:rStyle w:val="Text111"/>
        </w:rPr>
        <w:bookmarkStart w:id="3213" w:name="idm45965194915264"/>
        <w:t/>
        <w:bookmarkEnd w:id="3213"/>
      </w:r>
      <w:r>
        <w:t xml:space="preserve"> interactive one, </w:t>
      </w:r>
      <w:r>
        <w:rPr>
          <w:rStyle w:val="Text0"/>
        </w:rPr>
        <w:t>site</w:t>
      </w:r>
      <w:r>
        <w:t xml:space="preserve"> adds several handy built-ins (such as </w:t>
      </w:r>
      <w:r>
        <w:rPr>
          <w:rStyle w:val="Text0"/>
        </w:rPr>
        <w:t>exit</w:t>
      </w:r>
      <w:r>
        <w:t xml:space="preserve">, </w:t>
      </w:r>
      <w:r>
        <w:rPr>
          <w:rStyle w:val="Text0"/>
        </w:rPr>
        <w:t>copyright</w:t>
      </w:r>
      <w:r>
        <w:t xml:space="preserve">, etc.) and, if </w:t>
      </w:r>
      <w:r>
        <w:rPr>
          <w:rStyle w:val="Text0"/>
        </w:rPr>
        <w:t>readline</w:t>
      </w:r>
      <w:r>
        <w:t xml:space="preserve"> is enabled, configure autocompletion as the function of the Tab key.</w:t>
      </w:r>
    </w:p>
    <w:p>
      <w:pPr>
        <w:pStyle w:val="Normal"/>
      </w:pPr>
      <w:r>
        <w:t xml:space="preserve">In any normal Python installation, the installation process sets everything up to ensure that </w:t>
      </w:r>
      <w:r>
        <w:rPr>
          <w:rStyle w:val="Text0"/>
        </w:rPr>
        <w:t>site</w:t>
      </w:r>
      <w:r>
        <w:t>’s work is sufficient to let Python programs and interactive sessions run “normally,” i.e., as they would on any other system with that version of Python installed. In exceptional cases, if as a system administrator (or in an equivalent role, such as a user who has installed Python in their home directory for their sole use) you think you absolutely need to do some customization, perform it in a new file called</w:t>
      </w:r>
      <w:r>
        <w:rPr>
          <w:rStyle w:val="Text111"/>
        </w:rPr>
        <w:bookmarkStart w:id="3214" w:name="idm45965194909984"/>
        <w:t/>
        <w:bookmarkEnd w:id="3214"/>
      </w:r>
      <w:r>
        <w:t xml:space="preserve"> </w:t>
      </w:r>
      <w:r>
        <w:rPr>
          <w:rStyle w:val="Text4"/>
        </w:rPr>
        <w:t>sitecustomize.py</w:t>
      </w:r>
      <w:r>
        <w:t xml:space="preserve"> (create it in the same directory where </w:t>
      </w:r>
      <w:r>
        <w:rPr>
          <w:rStyle w:val="Text4"/>
        </w:rPr>
        <w:t>site.py</w:t>
      </w:r>
      <w:r>
        <w:t xml:space="preserve"> lives).</w:t>
      </w:r>
    </w:p>
    <w:p>
      <w:pPr>
        <w:keepNext/>
        <w:pStyle w:val="Heading 6"/>
        <w:keepLines w:val="on"/>
      </w:pPr>
      <w:r>
        <w:t>Avoid Modifying site.py</w:t>
      </w:r>
    </w:p>
    <w:p>
      <w:pPr>
        <w:pStyle w:val="Para 012"/>
        <w:keepLines w:val="on"/>
      </w:pPr>
      <w:r>
        <w:t>We</w:t>
      </w:r>
      <w:r>
        <w:rPr>
          <w:rStyle w:val="Text111"/>
        </w:rPr>
        <w:bookmarkStart w:id="3215" w:name="idm45965194906336"/>
        <w:t/>
        <w:bookmarkEnd w:id="3215"/>
      </w:r>
      <w:r>
        <w:t xml:space="preserve"> strongly recommend that you do </w:t>
      </w:r>
      <w:r>
        <w:rPr>
          <w:rStyle w:val="Text4"/>
        </w:rPr>
        <w:t>not</w:t>
      </w:r>
      <w:r>
        <w:t xml:space="preserve"> alter the </w:t>
      </w:r>
      <w:r>
        <w:rPr>
          <w:rStyle w:val="Text4"/>
        </w:rPr>
        <w:t>site.py</w:t>
      </w:r>
      <w:r>
        <w:t xml:space="preserve"> file that performs the base customization. Doing so might cause Python to behave differently on your system than elsewhere. In any case, the </w:t>
      </w:r>
      <w:r>
        <w:rPr>
          <w:rStyle w:val="Text4"/>
        </w:rPr>
        <w:t>site.py</w:t>
      </w:r>
      <w:r>
        <w:t xml:space="preserve"> file will be overwritten each and every time you update your Python installation, and your modifications will be lost.</w:t>
      </w:r>
    </w:p>
    <w:p>
      <w:pPr>
        <w:pStyle w:val="Normal"/>
      </w:pPr>
      <w:r>
        <w:t xml:space="preserve">In the rare cases where </w:t>
      </w:r>
      <w:r>
        <w:rPr>
          <w:rStyle w:val="Text4"/>
        </w:rPr>
        <w:t>sitecustomize.py</w:t>
      </w:r>
      <w:r>
        <w:t xml:space="preserve"> is present, what it typically does is add yet more dictionaries to </w:t>
      </w:r>
      <w:r>
        <w:rPr>
          <w:rStyle w:val="Text0"/>
        </w:rPr>
        <w:t>sys.path</w:t>
      </w:r>
      <w:r>
        <w:t xml:space="preserve">—the best way to perform this task is for </w:t>
      </w:r>
      <w:r>
        <w:rPr>
          <w:rStyle w:val="Text4"/>
        </w:rPr>
        <w:t>sitecustomize.py</w:t>
      </w:r>
      <w:r>
        <w:t xml:space="preserve"> to </w:t>
      </w:r>
      <w:r>
        <w:rPr>
          <w:rStyle w:val="Text5"/>
        </w:rPr>
        <w:t>import</w:t>
      </w:r>
      <w:r>
        <w:t xml:space="preserve"> </w:t>
      </w:r>
      <w:r>
        <w:rPr>
          <w:rStyle w:val="Text0"/>
        </w:rPr>
        <w:t>site</w:t>
      </w:r>
      <w:r>
        <w:t xml:space="preserve"> and then to call </w:t>
      </w:r>
      <w:r>
        <w:rPr>
          <w:rStyle w:val="Text0"/>
        </w:rPr>
        <w:t>site.addsitedir(</w:t>
      </w:r>
      <w:r>
        <w:rPr>
          <w:rStyle w:val="Text3"/>
        </w:rPr>
        <w:t>path_to_a_dir</w:t>
      </w:r>
      <w:r>
        <w:rPr>
          <w:rStyle w:val="Text0"/>
        </w:rPr>
        <w:t>)</w:t>
      </w:r>
      <w:r>
        <w:t>.</w:t>
      </w:r>
    </w:p>
    <w:p>
      <w:bookmarkStart w:id="3216" w:name="Termination_Functions__The_atexi"/>
      <w:pPr>
        <w:keepNext/>
        <w:pStyle w:val="Heading 1"/>
      </w:pPr>
      <w:r>
        <w:t>Termination Functions</w:t>
      </w:r>
      <w:bookmarkEnd w:id="3216"/>
    </w:p>
    <w:p>
      <w:pPr>
        <w:pStyle w:val="Normal"/>
      </w:pPr>
      <w:r>
        <w:t>The</w:t>
      </w:r>
      <w:r>
        <w:rPr>
          <w:rStyle w:val="Text111"/>
        </w:rPr>
        <w:bookmarkStart w:id="3217" w:name="idm45965194896800"/>
        <w:t/>
        <w:bookmarkEnd w:id="3217"/>
        <w:bookmarkStart w:id="3218" w:name="idm45965194895280"/>
        <w:t/>
        <w:bookmarkEnd w:id="3218"/>
        <w:bookmarkStart w:id="3219" w:name="idm45965194893904"/>
        <w:t/>
        <w:bookmarkEnd w:id="3219"/>
        <w:bookmarkStart w:id="3220" w:name="idm45965194892528"/>
        <w:t/>
        <w:bookmarkEnd w:id="3220"/>
      </w:r>
      <w:r>
        <w:t xml:space="preserve"> </w:t>
      </w:r>
      <w:r>
        <w:rPr>
          <w:rStyle w:val="Text0"/>
        </w:rPr>
        <w:t>atexit</w:t>
      </w:r>
      <w:r>
        <w:t xml:space="preserve"> module lets you register termination functions (i.e., functions to be called at program termination, in LIFO order). Termination functions are similar to cleanup handlers established by </w:t>
      </w:r>
      <w:r>
        <w:rPr>
          <w:rStyle w:val="Text5"/>
        </w:rPr>
        <w:t>try</w:t>
      </w:r>
      <w:r>
        <w:rPr>
          <w:rStyle w:val="Text0"/>
        </w:rPr>
        <w:t>/</w:t>
      </w:r>
      <w:r>
        <w:rPr>
          <w:rStyle w:val="Text5"/>
        </w:rPr>
        <w:t>finally</w:t>
      </w:r>
      <w:r>
        <w:t xml:space="preserve"> or </w:t>
      </w:r>
      <w:r>
        <w:rPr>
          <w:rStyle w:val="Text5"/>
        </w:rPr>
        <w:t>with</w:t>
      </w:r>
      <w:r>
        <w:t xml:space="preserve">. However, termination functions are globally registered and get called at the end of the whole program, while cleanup handlers are established lexically and get called at the end of a specific </w:t>
      </w:r>
      <w:r>
        <w:rPr>
          <w:rStyle w:val="Text5"/>
        </w:rPr>
        <w:t>try</w:t>
      </w:r>
      <w:r>
        <w:t xml:space="preserve"> clause or </w:t>
      </w:r>
      <w:r>
        <w:rPr>
          <w:rStyle w:val="Text5"/>
        </w:rPr>
        <w:t>with</w:t>
      </w:r>
      <w:r>
        <w:t xml:space="preserve"> statement. Termination functions and cleanup handlers are called whether the program terminates normally or abnormally, but not when the program ends by calling </w:t>
      </w:r>
      <w:r>
        <w:rPr>
          <w:rStyle w:val="Text0"/>
        </w:rPr>
        <w:t>os._exit</w:t>
      </w:r>
      <w:r>
        <w:t xml:space="preserve"> (so you normally call </w:t>
      </w:r>
      <w:r>
        <w:rPr>
          <w:rStyle w:val="Text0"/>
        </w:rPr>
        <w:t>sys.exit</w:t>
      </w:r>
      <w:r>
        <w:t xml:space="preserve"> instead). The </w:t>
      </w:r>
      <w:r>
        <w:rPr>
          <w:rStyle w:val="Text0"/>
        </w:rPr>
        <w:t>atexit</w:t>
      </w:r>
      <w:r>
        <w:t xml:space="preserve"> module supplies a function called </w:t>
      </w:r>
      <w:r>
        <w:rPr>
          <w:rStyle w:val="Text0"/>
        </w:rPr>
        <w:t>register</w:t>
      </w:r>
      <w:r>
        <w:t xml:space="preserve"> that takes as arguments </w:t>
      </w:r>
      <w:r>
        <w:rPr>
          <w:rStyle w:val="Text3"/>
        </w:rPr>
        <w:t>func</w:t>
      </w:r>
      <w:r>
        <w:t xml:space="preserve">, </w:t>
      </w:r>
      <w:r>
        <w:rPr>
          <w:rStyle w:val="Text3"/>
        </w:rPr>
        <w:t>*args</w:t>
      </w:r>
      <w:r>
        <w:t xml:space="preserve">, and </w:t>
      </w:r>
      <w:r>
        <w:rPr>
          <w:rStyle w:val="Text3"/>
        </w:rPr>
        <w:t>*kwds</w:t>
      </w:r>
      <w:r>
        <w:t xml:space="preserve"> and ensures that </w:t>
      </w:r>
      <w:r>
        <w:rPr>
          <w:rStyle w:val="Text3"/>
        </w:rPr>
        <w:t>func</w:t>
      </w:r>
      <w:r>
        <w:rPr>
          <w:rStyle w:val="Text0"/>
        </w:rPr>
        <w:t>(*</w:t>
      </w:r>
      <w:r>
        <w:rPr>
          <w:rStyle w:val="Text3"/>
        </w:rPr>
        <w:t>args</w:t>
      </w:r>
      <w:r>
        <w:rPr>
          <w:rStyle w:val="Text0"/>
        </w:rPr>
        <w:t>, **</w:t>
      </w:r>
      <w:r>
        <w:rPr>
          <w:rStyle w:val="Text3"/>
        </w:rPr>
        <w:t>kwds</w:t>
      </w:r>
      <w:r>
        <w:rPr>
          <w:rStyle w:val="Text0"/>
        </w:rPr>
        <w:t>)</w:t>
      </w:r>
      <w:r>
        <w:t xml:space="preserve"> is called at program termination time.</w:t>
      </w:r>
    </w:p>
    <w:p>
      <w:bookmarkStart w:id="3221" w:name="Dynamic_Execution_and_exec__Pyth"/>
      <w:pPr>
        <w:keepNext/>
        <w:pStyle w:val="Heading 1"/>
      </w:pPr>
      <w:r>
        <w:t>Dynamic Execution and exec</w:t>
      </w:r>
      <w:bookmarkEnd w:id="3221"/>
    </w:p>
    <w:p>
      <w:pPr>
        <w:pStyle w:val="Normal"/>
      </w:pPr>
      <w:r>
        <w:t xml:space="preserve">Python’s </w:t>
      </w:r>
      <w:r>
        <w:rPr>
          <w:rStyle w:val="Text0"/>
        </w:rPr>
        <w:t>exec</w:t>
      </w:r>
      <w:r>
        <w:t xml:space="preserve"> built-in function</w:t>
      </w:r>
      <w:r>
        <w:rPr>
          <w:rStyle w:val="Text111"/>
        </w:rPr>
        <w:bookmarkStart w:id="3222" w:name="ECdyn14"/>
        <w:t/>
        <w:bookmarkEnd w:id="3222"/>
        <w:bookmarkStart w:id="3223" w:name="dynexec14"/>
        <w:t/>
        <w:bookmarkEnd w:id="3223"/>
        <w:bookmarkStart w:id="3224" w:name="execf14"/>
        <w:t/>
        <w:bookmarkEnd w:id="3224"/>
      </w:r>
      <w:r>
        <w:t xml:space="preserve"> can execute code that you read, generate, or otherwise obtain during a program’s run. </w:t>
      </w:r>
      <w:r>
        <w:rPr>
          <w:rStyle w:val="Text0"/>
        </w:rPr>
        <w:t>exec</w:t>
      </w:r>
      <w:r>
        <w:t xml:space="preserve"> dynamically executes a statement or a suite of statements. It has the following syntax:</w:t>
      </w:r>
    </w:p>
    <w:p>
      <w:pPr>
        <w:pStyle w:val="Para 088"/>
      </w:pPr>
      <w:r>
        <w:rPr>
          <w:rStyle w:val="Text116"/>
        </w:rPr>
        <w:t xml:space="preserve"/>
        <w:br w:clear="none"/>
      </w:r>
      <w:r>
        <w:rPr>
          <w:rStyle w:val="Text14"/>
        </w:rPr>
        <w:t xml:space="preserve">exec</w:t>
        <w:br w:clear="none"/>
      </w:r>
      <w:r>
        <w:rPr>
          <w:rStyle w:val="Text19"/>
        </w:rPr>
        <w:t xml:space="preserve">(</w:t>
        <w:br w:clear="none"/>
      </w:r>
      <w:r>
        <w:rPr>
          <w:rStyle w:val="Text9"/>
        </w:rPr>
        <w:t xml:space="preserve">code</w:t>
        <w:br w:clear="none"/>
      </w:r>
      <w:r>
        <w:rPr>
          <w:rStyle w:val="Text19"/>
        </w:rPr>
        <w:t xml:space="preserve">,</w:t>
        <w:br w:clear="none"/>
      </w:r>
      <w:r>
        <w:rPr>
          <w:rStyle w:val="Text11"/>
        </w:rPr>
        <w:t xml:space="preserve"> </w:t>
        <w:br w:clear="none"/>
      </w:r>
      <w:r>
        <w:t xml:space="preserve">globals</w:t>
        <w:br w:clear="none"/>
      </w:r>
      <w:r>
        <w:rPr>
          <w:rStyle w:val="Text28"/>
        </w:rPr>
        <w:t xml:space="preserve">=</w:t>
        <w:br w:clear="none"/>
      </w:r>
      <w:r>
        <w:rPr>
          <w:rStyle w:val="Text22"/>
        </w:rPr>
        <w:t xml:space="preserve">None</w:t>
        <w:br w:clear="none"/>
      </w:r>
      <w:r>
        <w:rPr>
          <w:rStyle w:val="Text19"/>
        </w:rPr>
        <w:t xml:space="preserve">,</w:t>
        <w:br w:clear="none"/>
      </w:r>
      <w:r>
        <w:rPr>
          <w:rStyle w:val="Text11"/>
        </w:rPr>
        <w:t xml:space="preserve"> </w:t>
        <w:br w:clear="none"/>
      </w:r>
      <w:r>
        <w:t xml:space="preserve">locals</w:t>
        <w:br w:clear="none"/>
      </w:r>
      <w:r>
        <w:rPr>
          <w:rStyle w:val="Text28"/>
        </w:rPr>
        <w:t xml:space="preserve">=</w:t>
        <w:br w:clear="none"/>
      </w:r>
      <w:r>
        <w:rPr>
          <w:rStyle w:val="Text22"/>
        </w:rPr>
        <w:t xml:space="preserve">None</w:t>
        <w:br w:clear="none"/>
      </w:r>
      <w:r>
        <w:rPr>
          <w:rStyle w:val="Text19"/>
        </w:rPr>
        <w:t xml:space="preserve">,</w:t>
        <w:br w:clear="none"/>
      </w:r>
      <w:r>
        <w:rPr>
          <w:rStyle w:val="Text11"/>
        </w:rPr>
        <w:t xml:space="preserve"> </w:t>
        <w:br w:clear="none"/>
      </w:r>
      <w:r>
        <w:rPr>
          <w:rStyle w:val="Text28"/>
        </w:rPr>
        <w:t xml:space="preserve">/</w:t>
        <w:br w:clear="none"/>
      </w:r>
      <w:r>
        <w:rPr>
          <w:rStyle w:val="Text19"/>
        </w:rPr>
        <w:t xml:space="preserve">)</w:t>
        <w:br w:clear="none"/>
      </w:r>
    </w:p>
    <w:p>
      <w:pPr>
        <w:pStyle w:val="Normal"/>
      </w:pPr>
      <w:r>
        <w:rPr>
          <w:rStyle w:val="Text3"/>
        </w:rPr>
        <w:t>code</w:t>
      </w:r>
      <w:r>
        <w:t xml:space="preserve"> can be a </w:t>
      </w:r>
      <w:r>
        <w:rPr>
          <w:rStyle w:val="Text0"/>
        </w:rPr>
        <w:t>str</w:t>
      </w:r>
      <w:r>
        <w:t xml:space="preserve">, </w:t>
      </w:r>
      <w:r>
        <w:rPr>
          <w:rStyle w:val="Text0"/>
        </w:rPr>
        <w:t>bytes</w:t>
      </w:r>
      <w:r>
        <w:t xml:space="preserve">, </w:t>
      </w:r>
      <w:r>
        <w:rPr>
          <w:rStyle w:val="Text0"/>
        </w:rPr>
        <w:t>bytearray</w:t>
      </w:r>
      <w:r>
        <w:t xml:space="preserve">, or code object. </w:t>
      </w:r>
      <w:r>
        <w:rPr>
          <w:rStyle w:val="Text3"/>
        </w:rPr>
        <w:t>globals</w:t>
      </w:r>
      <w:r>
        <w:t xml:space="preserve"> is a </w:t>
      </w:r>
      <w:r>
        <w:rPr>
          <w:rStyle w:val="Text0"/>
        </w:rPr>
        <w:t>dict</w:t>
      </w:r>
      <w:r>
        <w:t xml:space="preserve">, and </w:t>
      </w:r>
      <w:r>
        <w:rPr>
          <w:rStyle w:val="Text3"/>
        </w:rPr>
        <w:t>locals</w:t>
      </w:r>
      <w:r>
        <w:t xml:space="preserve"> can be any mapping.</w:t>
      </w:r>
    </w:p>
    <w:p>
      <w:pPr>
        <w:pStyle w:val="Normal"/>
      </w:pPr>
      <w:r>
        <w:t xml:space="preserve">If you pass both </w:t>
      </w:r>
      <w:r>
        <w:rPr>
          <w:rStyle w:val="Text3"/>
        </w:rPr>
        <w:t>globals</w:t>
      </w:r>
      <w:r>
        <w:t xml:space="preserve"> and </w:t>
      </w:r>
      <w:r>
        <w:rPr>
          <w:rStyle w:val="Text3"/>
        </w:rPr>
        <w:t>locals</w:t>
      </w:r>
      <w:r>
        <w:t xml:space="preserve">, they are the global and local namespaces in which </w:t>
      </w:r>
      <w:r>
        <w:rPr>
          <w:rStyle w:val="Text3"/>
        </w:rPr>
        <w:t>code</w:t>
      </w:r>
      <w:r>
        <w:t xml:space="preserve"> runs. If you pass only </w:t>
      </w:r>
      <w:r>
        <w:rPr>
          <w:rStyle w:val="Text3"/>
        </w:rPr>
        <w:t>globals</w:t>
      </w:r>
      <w:r>
        <w:t xml:space="preserve">, </w:t>
      </w:r>
      <w:r>
        <w:rPr>
          <w:rStyle w:val="Text0"/>
        </w:rPr>
        <w:t>exec</w:t>
      </w:r>
      <w:r>
        <w:t xml:space="preserve"> uses </w:t>
      </w:r>
      <w:r>
        <w:rPr>
          <w:rStyle w:val="Text3"/>
        </w:rPr>
        <w:t>globals</w:t>
      </w:r>
      <w:r>
        <w:t xml:space="preserve"> as both namespaces. If you pass neither, </w:t>
      </w:r>
      <w:r>
        <w:rPr>
          <w:rStyle w:val="Text3"/>
        </w:rPr>
        <w:t>code</w:t>
      </w:r>
      <w:r>
        <w:t xml:space="preserve"> runs in the current scope.</w:t>
      </w:r>
    </w:p>
    <w:p>
      <w:pPr>
        <w:keepNext/>
        <w:pStyle w:val="Heading 6"/>
        <w:keepLines w:val="on"/>
      </w:pPr>
      <w:r>
        <w:t>Never Run exec in the Current Scope</w:t>
      </w:r>
    </w:p>
    <w:p>
      <w:pPr>
        <w:pStyle w:val="Para 012"/>
        <w:keepLines w:val="on"/>
      </w:pPr>
      <w:r>
        <w:t xml:space="preserve">Running </w:t>
      </w:r>
      <w:r>
        <w:rPr>
          <w:rStyle w:val="Text0"/>
        </w:rPr>
        <w:t>exec</w:t>
      </w:r>
      <w:r>
        <w:t xml:space="preserve"> in the current scope is a particularly bad idea: it can bind, rebind, or unbind any global name. To keep things under control, use </w:t>
      </w:r>
      <w:r>
        <w:rPr>
          <w:rStyle w:val="Text0"/>
        </w:rPr>
        <w:t>exec</w:t>
      </w:r>
      <w:r>
        <w:t>, if at all, only with specific, explicit dictionaries.</w:t>
      </w:r>
    </w:p>
    <w:p>
      <w:bookmarkStart w:id="3225" w:name="Avoiding_exec__A_frequently_aske"/>
      <w:pPr>
        <w:keepNext/>
        <w:pStyle w:val="Heading 2"/>
      </w:pPr>
      <w:r>
        <w:t>Avoiding exec</w:t>
      </w:r>
      <w:bookmarkEnd w:id="3225"/>
    </w:p>
    <w:p>
      <w:pPr>
        <w:pStyle w:val="Normal"/>
      </w:pPr>
      <w:r>
        <w:t>A frequently asked question about Python is “How do I set a variable whose name I just read or built?” Literally, for a</w:t>
      </w:r>
      <w:r>
        <w:rPr>
          <w:rStyle w:val="Text111"/>
        </w:rPr>
        <w:bookmarkStart w:id="3226" w:name="idm45965194820528"/>
        <w:t/>
        <w:bookmarkEnd w:id="3226"/>
      </w:r>
      <w:r>
        <w:t xml:space="preserve"> </w:t>
      </w:r>
      <w:r>
        <w:rPr>
          <w:rStyle w:val="Text4"/>
        </w:rPr>
        <w:t>global</w:t>
      </w:r>
      <w:r>
        <w:t xml:space="preserve"> variable, </w:t>
      </w:r>
      <w:r>
        <w:rPr>
          <w:rStyle w:val="Text0"/>
        </w:rPr>
        <w:t>exec</w:t>
      </w:r>
      <w:r>
        <w:t xml:space="preserve"> allows this, but it’s a very bad idea to use </w:t>
      </w:r>
      <w:r>
        <w:rPr>
          <w:rStyle w:val="Text0"/>
        </w:rPr>
        <w:t>exec</w:t>
      </w:r>
      <w:r>
        <w:t xml:space="preserve"> for this purpose. For example, if the name of the variable is in </w:t>
      </w:r>
      <w:r>
        <w:rPr>
          <w:rStyle w:val="Text3"/>
        </w:rPr>
        <w:t>varname</w:t>
      </w:r>
      <w:r>
        <w:t>, you might think to use:</w:t>
      </w:r>
    </w:p>
    <w:p>
      <w:pPr>
        <w:pStyle w:val="Para 032"/>
      </w:pPr>
      <w:r>
        <w:rPr>
          <w:rStyle w:val="Text116"/>
        </w:rPr>
        <w:t xml:space="preserve"/>
        <w:br w:clear="none"/>
      </w:r>
      <w:r>
        <w:rPr>
          <w:rStyle w:val="Text4"/>
        </w:rPr>
        <w:t xml:space="preserve">exec</w:t>
        <w:br w:clear="none"/>
      </w:r>
      <w:r>
        <w:rPr>
          <w:rStyle w:val="Text19"/>
        </w:rPr>
        <w:t xml:space="preserve">(</w:t>
        <w:br w:clear="none"/>
      </w:r>
      <w:r>
        <w:t xml:space="preserve">varname</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 = 23</w:t>
        <w:br w:clear="none"/>
        <w:t xml:space="preserve">'</w:t>
        <w:br w:clear="none"/>
      </w:r>
      <w:r>
        <w:rPr>
          <w:rStyle w:val="Text19"/>
        </w:rPr>
        <w:t xml:space="preserve">)</w:t>
        <w:br w:clear="none"/>
      </w:r>
    </w:p>
    <w:p>
      <w:pPr>
        <w:pStyle w:val="Normal"/>
      </w:pPr>
      <w:r>
        <w:rPr>
          <w:rStyle w:val="Text4"/>
        </w:rPr>
        <w:t>Don’t do this</w:t>
      </w:r>
      <w:r>
        <w:t xml:space="preserve">. An </w:t>
      </w:r>
      <w:r>
        <w:rPr>
          <w:rStyle w:val="Text0"/>
        </w:rPr>
        <w:t>exec</w:t>
      </w:r>
      <w:r>
        <w:t xml:space="preserve"> like this in the current scope makes you lose control of your namespace, leading to bugs that are extremely hard to find and making your program unfathomably difficult to understand. Keep the “variables” that you need to set with dynamically found names not as actual variables, but as entries in a dictionary (say, </w:t>
      </w:r>
      <w:r>
        <w:rPr>
          <w:rStyle w:val="Text3"/>
        </w:rPr>
        <w:t>mydict</w:t>
      </w:r>
      <w:r>
        <w:t>). You might then consider using:</w:t>
      </w:r>
    </w:p>
    <w:p>
      <w:pPr>
        <w:pStyle w:val="Para 014"/>
      </w:pPr>
      <w:r>
        <w:rPr>
          <w:rStyle w:val="Text116"/>
        </w:rPr>
        <w:t xml:space="preserve"/>
        <w:br w:clear="none"/>
      </w:r>
      <w:r>
        <w:rPr>
          <w:rStyle w:val="Text14"/>
        </w:rPr>
        <w:t xml:space="preserve">exec</w:t>
        <w:br w:clear="none"/>
      </w:r>
      <w:r>
        <w:rPr>
          <w:rStyle w:val="Text19"/>
        </w:rPr>
        <w:t xml:space="preserve">(</w:t>
        <w:br w:clear="none"/>
      </w:r>
      <w:r>
        <w:rPr>
          <w:rStyle w:val="Text9"/>
        </w:rPr>
        <w:t xml:space="preserve">varname</w:t>
        <w:br w:clear="none"/>
      </w:r>
      <w:r>
        <w:rPr>
          <w:rStyle w:val="Text28"/>
        </w:rPr>
        <w:t xml:space="preserve">+</w:t>
        <w:br w:clear="none"/>
      </w:r>
      <w:r>
        <w:rPr>
          <w:rStyle w:val="Text17"/>
        </w:rPr>
        <w:t xml:space="preserve">'</w:t>
        <w:br w:clear="none"/>
        <w:t xml:space="preserve">=23</w:t>
        <w:br w:clear="none"/>
        <w:t xml:space="preserve">'</w:t>
        <w:br w:clear="none"/>
      </w:r>
      <w:r>
        <w:rPr>
          <w:rStyle w:val="Text19"/>
        </w:rPr>
        <w:t xml:space="preserve">,</w:t>
        <w:br w:clear="none"/>
      </w:r>
      <w:r>
        <w:rPr>
          <w:rStyle w:val="Text11"/>
        </w:rPr>
        <w:t xml:space="preserve"> </w:t>
        <w:br w:clear="none"/>
      </w:r>
      <w:r>
        <w:rPr>
          <w:rStyle w:val="Text9"/>
        </w:rPr>
        <w:t xml:space="preserve">mydict</w:t>
        <w:br w:clear="none"/>
      </w:r>
      <w:r>
        <w:rPr>
          <w:rStyle w:val="Text19"/>
        </w:rPr>
        <w:t xml:space="preserve">)</w:t>
        <w:br w:clear="none"/>
      </w:r>
      <w:r>
        <w:rPr>
          <w:rStyle w:val="Text11"/>
        </w:rPr>
        <w:t xml:space="preserve"> </w:t>
        <w:br w:clear="none"/>
      </w:r>
      <w:r>
        <w:t xml:space="preserve"># Still a bad idea</w:t>
        <w:br w:clear="none"/>
      </w:r>
    </w:p>
    <w:p>
      <w:pPr>
        <w:pStyle w:val="Normal"/>
      </w:pPr>
      <w:r>
        <w:t xml:space="preserve">While this is not quite as terrible as the previous example, it is still a bad idea. Keeping such “variables” as dictionary entries means that you don’t have any need to use </w:t>
      </w:r>
      <w:r>
        <w:rPr>
          <w:rStyle w:val="Text0"/>
        </w:rPr>
        <w:t>exec</w:t>
      </w:r>
      <w:r>
        <w:t xml:space="preserve"> to set them! Just code:</w:t>
      </w:r>
    </w:p>
    <w:p>
      <w:pPr>
        <w:pStyle w:val="Para 007"/>
      </w:pPr>
      <w:r>
        <w:rPr>
          <w:rStyle w:val="Text23"/>
        </w:rPr>
        <w:t xml:space="preserve"/>
        <w:br w:clear="none"/>
      </w:r>
      <w:r>
        <w:t xml:space="preserve">mydict</w:t>
        <w:br w:clear="none"/>
      </w:r>
      <w:r>
        <w:rPr>
          <w:rStyle w:val="Text7"/>
        </w:rPr>
        <w:t xml:space="preserve">[</w:t>
        <w:br w:clear="none"/>
      </w:r>
      <w:r>
        <w:t xml:space="preserve">varname</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rPr>
          <w:rStyle w:val="Text27"/>
        </w:rPr>
        <w:t xml:space="preserve">23</w:t>
        <w:br w:clear="none"/>
      </w:r>
    </w:p>
    <w:p>
      <w:pPr>
        <w:pStyle w:val="Normal"/>
      </w:pPr>
      <w:r>
        <w:t xml:space="preserve">This way, your program is clearer, direct, elegant, and faster. There </w:t>
      </w:r>
      <w:r>
        <w:rPr>
          <w:rStyle w:val="Text4"/>
        </w:rPr>
        <w:t>are</w:t>
      </w:r>
      <w:r>
        <w:t xml:space="preserve"> some valid uses of </w:t>
      </w:r>
      <w:r>
        <w:rPr>
          <w:rStyle w:val="Text0"/>
        </w:rPr>
        <w:t>exec</w:t>
      </w:r>
      <w:r>
        <w:t>, but they are extremely rare: just use explicit dictionaries instead.</w:t>
      </w:r>
    </w:p>
    <w:p>
      <w:pPr>
        <w:keepNext/>
        <w:pStyle w:val="Heading 5"/>
        <w:keepLines w:val="on"/>
      </w:pPr>
      <w:r>
        <w:t>Strive to Avoid exec</w:t>
      </w:r>
    </w:p>
    <w:p>
      <w:pPr>
        <w:pStyle w:val="Para 012"/>
        <w:keepLines w:val="on"/>
      </w:pPr>
      <w:r>
        <w:t xml:space="preserve">Use </w:t>
      </w:r>
      <w:r>
        <w:rPr>
          <w:rStyle w:val="Text0"/>
        </w:rPr>
        <w:t>exec</w:t>
      </w:r>
      <w:r>
        <w:t xml:space="preserve"> only when it’s really indispensable, which is </w:t>
      </w:r>
      <w:r>
        <w:rPr>
          <w:rStyle w:val="Text4"/>
        </w:rPr>
        <w:t>extremely</w:t>
      </w:r>
      <w:r>
        <w:t xml:space="preserve"> rare. Most often, it’s best to avoid </w:t>
      </w:r>
      <w:r>
        <w:rPr>
          <w:rStyle w:val="Text0"/>
        </w:rPr>
        <w:t>exec</w:t>
      </w:r>
      <w:r>
        <w:t xml:space="preserve"> and choose more specific, well-controlled mechanisms: </w:t>
      </w:r>
      <w:r>
        <w:rPr>
          <w:rStyle w:val="Text0"/>
        </w:rPr>
        <w:t>exec</w:t>
      </w:r>
      <w:r>
        <w:t xml:space="preserve"> weakens your control of your code’s namespace, can damage your program’s performance, and exposes you to numerous hard-to-find bugs and huge security risks.</w:t>
      </w:r>
    </w:p>
    <w:p>
      <w:bookmarkStart w:id="3227" w:name="Expressions__exec_can_execute_an"/>
      <w:pPr>
        <w:keepNext/>
        <w:pStyle w:val="Heading 2"/>
      </w:pPr>
      <w:r>
        <w:t>Expressions</w:t>
      </w:r>
      <w:bookmarkEnd w:id="3227"/>
    </w:p>
    <w:p>
      <w:pPr>
        <w:pStyle w:val="Normal"/>
      </w:pPr>
      <w:r>
        <w:rPr>
          <w:rStyle w:val="Text0"/>
        </w:rPr>
        <w:t>exec</w:t>
      </w:r>
      <w:r>
        <w:t xml:space="preserve"> can</w:t>
      </w:r>
      <w:r>
        <w:rPr>
          <w:rStyle w:val="Text111"/>
        </w:rPr>
        <w:bookmarkStart w:id="3228" w:name="idm45965194735280"/>
        <w:t/>
        <w:bookmarkEnd w:id="3228"/>
      </w:r>
      <w:r>
        <w:t xml:space="preserve"> execute an expression, because any expression is also a valid statement (called an</w:t>
      </w:r>
      <w:r>
        <w:rPr>
          <w:rStyle w:val="Text111"/>
        </w:rPr>
        <w:bookmarkStart w:id="3229" w:name="idm45965194733808"/>
        <w:t/>
        <w:bookmarkEnd w:id="3229"/>
      </w:r>
      <w:r>
        <w:t xml:space="preserve"> </w:t>
      </w:r>
      <w:r>
        <w:rPr>
          <w:rStyle w:val="Text4"/>
        </w:rPr>
        <w:t>expression statement</w:t>
      </w:r>
      <w:r>
        <w:t>). However, Python ignores the value returned by an expression statement. To evaluate an expression and obtain the expression’s value, use the built-in</w:t>
      </w:r>
      <w:r>
        <w:rPr>
          <w:rStyle w:val="Text111"/>
        </w:rPr>
        <w:bookmarkStart w:id="3230" w:name="evalfunc14"/>
        <w:t/>
        <w:bookmarkEnd w:id="3230"/>
      </w:r>
      <w:r>
        <w:t xml:space="preserve"> function </w:t>
      </w:r>
      <w:r>
        <w:rPr>
          <w:rStyle w:val="Text0"/>
        </w:rPr>
        <w:t>eval</w:t>
      </w:r>
      <w:r>
        <w:t xml:space="preserve">, covered in </w:t>
      </w:r>
      <w:hyperlink w:anchor="Table_8_2__Python_s_core_built_i">
        <w:r>
          <w:rPr>
            <w:rStyle w:val="Text1"/>
          </w:rPr>
          <w:t>Table 8-2</w:t>
        </w:r>
      </w:hyperlink>
      <w:r>
        <w:t xml:space="preserve">. (Note, however, that just about all of the same security risk caveats for </w:t>
      </w:r>
      <w:r>
        <w:rPr>
          <w:rStyle w:val="Text0"/>
        </w:rPr>
        <w:t>exec</w:t>
      </w:r>
      <w:r>
        <w:t xml:space="preserve"> also apply to </w:t>
      </w:r>
      <w:r>
        <w:rPr>
          <w:rStyle w:val="Text0"/>
        </w:rPr>
        <w:t>eval</w:t>
      </w:r>
      <w:r>
        <w:t>.)</w:t>
      </w:r>
    </w:p>
    <w:p>
      <w:bookmarkStart w:id="3231" w:name="compile_and_Code_Objects__To_mak"/>
      <w:pPr>
        <w:keepNext/>
        <w:pStyle w:val="Heading 2"/>
      </w:pPr>
      <w:r>
        <w:t>compile and Code Objects</w:t>
      </w:r>
      <w:bookmarkEnd w:id="3231"/>
    </w:p>
    <w:p>
      <w:pPr>
        <w:pStyle w:val="Normal"/>
      </w:pPr>
      <w:r>
        <w:t xml:space="preserve">To make a code object to use with </w:t>
      </w:r>
      <w:r>
        <w:rPr>
          <w:rStyle w:val="Text0"/>
        </w:rPr>
        <w:t>exec</w:t>
      </w:r>
      <w:r>
        <w:t>, call the built-in function</w:t>
      </w:r>
      <w:r>
        <w:rPr>
          <w:rStyle w:val="Text111"/>
        </w:rPr>
        <w:bookmarkStart w:id="3232" w:name="idm45965194704992"/>
        <w:t/>
        <w:bookmarkEnd w:id="3232"/>
        <w:bookmarkStart w:id="3233" w:name="idm45965194703920"/>
        <w:t/>
        <w:bookmarkEnd w:id="3233"/>
      </w:r>
      <w:r>
        <w:t xml:space="preserve"> </w:t>
      </w:r>
      <w:r>
        <w:rPr>
          <w:rStyle w:val="Text0"/>
        </w:rPr>
        <w:t>compile</w:t>
      </w:r>
      <w:r>
        <w:t xml:space="preserve"> with the last argument set to </w:t>
      </w:r>
      <w:r>
        <w:rPr>
          <w:rStyle w:val="Text0"/>
        </w:rPr>
        <w:t>'exec'</w:t>
      </w:r>
      <w:r>
        <w:t xml:space="preserve"> (as covered in </w:t>
      </w:r>
      <w:hyperlink w:anchor="Table_8_2__Python_s_core_built_i">
        <w:r>
          <w:rPr>
            <w:rStyle w:val="Text1"/>
          </w:rPr>
          <w:t>Table 8-2</w:t>
        </w:r>
      </w:hyperlink>
      <w:r>
        <w:t>).</w:t>
      </w:r>
    </w:p>
    <w:p>
      <w:pPr>
        <w:pStyle w:val="Normal"/>
      </w:pPr>
      <w:r>
        <w:t xml:space="preserve">A code object </w:t>
      </w:r>
      <w:r>
        <w:rPr>
          <w:rStyle w:val="Text3"/>
        </w:rPr>
        <w:t>c</w:t>
      </w:r>
      <w:r>
        <w:t xml:space="preserve"> exposes many interesting read-only attributes whose names all start with </w:t>
      </w:r>
      <w:r>
        <w:rPr>
          <w:rStyle w:val="Text0"/>
        </w:rPr>
        <w:t>'co_'</w:t>
      </w:r>
      <w:r>
        <w:t xml:space="preserve">, such as those listed in </w:t>
      </w:r>
      <w:hyperlink w:anchor="Table_14_1__Read_only_attributes">
        <w:r>
          <w:rPr>
            <w:rStyle w:val="Text1"/>
          </w:rPr>
          <w:t>Table 14-1</w:t>
        </w:r>
      </w:hyperlink>
      <w:r>
        <w:t>.</w:t>
      </w:r>
    </w:p>
    <w:tbl>
      <w:tblPr>
        <w:tblW w:type="auto" w:w="0"/>
      </w:tblPr>
      <w:tr>
        <w:tc>
          <w:tcPr>
            <w:tcW w:type="auto" w:w="0"/>
            <w:tcMar>
              <w:left w:type="dxa" w:w="200"/>
              <w:top w:type="dxa" w:w="200"/>
              <w:right w:type="dxa" w:w="200"/>
              <w:bottom w:type="dxa" w:w="200"/>
            </w:tcMar>
          </w:tcPr>
          <w:p>
            <w:bookmarkStart w:id="3234" w:name="Table_14_1__Read_only_attributes"/>
            <w:pPr>
              <w:pStyle w:val="Para 011"/>
            </w:pPr>
            <w:r>
              <w:rPr>
                <w:rStyle w:val="Text117"/>
              </w:rPr>
              <w:t/>
            </w:r>
            <w:r>
              <w:t xml:space="preserve">Table 14-1. </w:t>
              <w:t>Read-only attributes of code objects</w:t>
            </w:r>
            <w:bookmarkEnd w:id="3234"/>
          </w:p>
          <w:p>
            <w:pPr>
              <w:pStyle w:val="Para 001"/>
            </w:pPr>
            <w:r>
              <w:t>co_argcount</w:t>
            </w:r>
          </w:p>
        </w:tc>
        <w:tc>
          <w:tcPr>
            <w:tcW w:type="auto" w:w="0"/>
            <w:tcMar>
              <w:left w:type="dxa" w:w="200"/>
              <w:top w:type="dxa" w:w="200"/>
              <w:right w:type="dxa" w:w="200"/>
              <w:bottom w:type="dxa" w:w="200"/>
            </w:tcMar>
          </w:tcPr>
          <w:p>
            <w:pPr>
              <w:pStyle w:val="Para 002"/>
            </w:pPr>
            <w:r>
              <w:t xml:space="preserve">The number of parameters of the function of which </w:t>
            </w:r>
            <w:r>
              <w:rPr>
                <w:rStyle w:val="Text3"/>
              </w:rPr>
              <w:t>c</w:t>
            </w:r>
            <w:r>
              <w:t xml:space="preserve"> is the code (</w:t>
            </w:r>
            <w:r>
              <w:rPr>
                <w:rStyle w:val="Text0"/>
              </w:rPr>
              <w:t>0</w:t>
            </w:r>
            <w:r>
              <w:t xml:space="preserve"> when </w:t>
            </w:r>
            <w:r>
              <w:rPr>
                <w:rStyle w:val="Text3"/>
              </w:rPr>
              <w:t>c</w:t>
            </w:r>
            <w:r>
              <w:t xml:space="preserve"> is not the code object of a function, but rather is built directly by </w:t>
            </w:r>
            <w:r>
              <w:rPr>
                <w:rStyle w:val="Text0"/>
              </w:rPr>
              <w:t>compile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co_code</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bytes</w:t>
            </w:r>
            <w:r>
              <w:t xml:space="preserve"> object with </w:t>
            </w:r>
            <w:r>
              <w:rPr>
                <w:rStyle w:val="Text3"/>
              </w:rPr>
              <w:t>c</w:t>
            </w:r>
            <w:r>
              <w:t>’s bytecode</w:t>
            </w:r>
          </w:p>
        </w:tc>
      </w:tr>
    </w:tbl>
    <w:tbl>
      <w:tblPr>
        <w:tblW w:type="auto" w:w="0"/>
      </w:tblPr>
      <w:tr>
        <w:tc>
          <w:tcPr>
            <w:tcW w:type="auto" w:w="0"/>
            <w:tcMar>
              <w:left w:type="dxa" w:w="200"/>
              <w:top w:type="dxa" w:w="200"/>
              <w:right w:type="dxa" w:w="200"/>
              <w:bottom w:type="dxa" w:w="200"/>
            </w:tcMar>
          </w:tcPr>
          <w:p>
            <w:pPr>
              <w:pStyle w:val="Para 001"/>
            </w:pPr>
            <w:r>
              <w:t>co_consts</w:t>
            </w:r>
          </w:p>
        </w:tc>
        <w:tc>
          <w:tcPr>
            <w:tcW w:type="auto" w:w="0"/>
            <w:tcMar>
              <w:left w:type="dxa" w:w="200"/>
              <w:top w:type="dxa" w:w="200"/>
              <w:right w:type="dxa" w:w="200"/>
              <w:bottom w:type="dxa" w:w="200"/>
            </w:tcMar>
          </w:tcPr>
          <w:p>
            <w:pPr>
              <w:pStyle w:val="Para 002"/>
            </w:pPr>
            <w:r>
              <w:t xml:space="preserve">The tuple of constants used in </w:t>
            </w:r>
            <w:r>
              <w:rPr>
                <w:rStyle w:val="Text3"/>
              </w:rPr>
              <w:t>c</w:t>
            </w:r>
          </w:p>
        </w:tc>
      </w:tr>
    </w:tbl>
    <w:tbl>
      <w:tblPr>
        <w:tblW w:type="auto" w:w="0"/>
      </w:tblPr>
      <w:tr>
        <w:tc>
          <w:tcPr>
            <w:tcW w:type="auto" w:w="0"/>
            <w:shd w:val="clear" w:color="auto" w:fill="EEF2F6"/>
            <w:tcMar>
              <w:left w:type="dxa" w:w="200"/>
              <w:top w:type="dxa" w:w="200"/>
              <w:right w:type="dxa" w:w="200"/>
              <w:bottom w:type="dxa" w:w="200"/>
            </w:tcMar>
          </w:tcPr>
          <w:p>
            <w:pPr>
              <w:pStyle w:val="Para 001"/>
            </w:pPr>
            <w:r>
              <w:t>co_filename</w:t>
            </w:r>
          </w:p>
        </w:tc>
        <w:tc>
          <w:tcPr>
            <w:tcW w:type="auto" w:w="0"/>
            <w:shd w:val="clear" w:color="auto" w:fill="EEF2F6"/>
            <w:tcMar>
              <w:left w:type="dxa" w:w="200"/>
              <w:top w:type="dxa" w:w="200"/>
              <w:right w:type="dxa" w:w="200"/>
              <w:bottom w:type="dxa" w:w="200"/>
            </w:tcMar>
          </w:tcPr>
          <w:p>
            <w:pPr>
              <w:pStyle w:val="Para 002"/>
            </w:pPr>
            <w:r>
              <w:t xml:space="preserve">The name of the file </w:t>
            </w:r>
            <w:r>
              <w:rPr>
                <w:rStyle w:val="Text3"/>
              </w:rPr>
              <w:t>c</w:t>
            </w:r>
            <w:r>
              <w:t xml:space="preserve"> was compiled from (the string that is the second argument to </w:t>
            </w:r>
            <w:r>
              <w:rPr>
                <w:rStyle w:val="Text0"/>
              </w:rPr>
              <w:t>compile</w:t>
            </w:r>
            <w:r>
              <w:t xml:space="preserve">, when </w:t>
            </w:r>
            <w:r>
              <w:rPr>
                <w:rStyle w:val="Text3"/>
              </w:rPr>
              <w:t>c</w:t>
            </w:r>
            <w:r>
              <w:t xml:space="preserve"> was built that way)</w:t>
            </w:r>
          </w:p>
        </w:tc>
      </w:tr>
    </w:tbl>
    <w:tbl>
      <w:tblPr>
        <w:tblW w:type="auto" w:w="0"/>
      </w:tblPr>
      <w:tr>
        <w:tc>
          <w:tcPr>
            <w:tcW w:type="auto" w:w="0"/>
            <w:tcMar>
              <w:left w:type="dxa" w:w="200"/>
              <w:top w:type="dxa" w:w="200"/>
              <w:right w:type="dxa" w:w="200"/>
              <w:bottom w:type="dxa" w:w="200"/>
            </w:tcMar>
          </w:tcPr>
          <w:p>
            <w:pPr>
              <w:pStyle w:val="Para 001"/>
            </w:pPr>
            <w:r>
              <w:t>c⁠o⁠_⁠f⁠i⁠r⁠s⁠t​l⁠i⁠n⁠e⁠n⁠o</w:t>
            </w:r>
          </w:p>
        </w:tc>
        <w:tc>
          <w:tcPr>
            <w:tcW w:type="auto" w:w="0"/>
            <w:tcMar>
              <w:left w:type="dxa" w:w="200"/>
              <w:top w:type="dxa" w:w="200"/>
              <w:right w:type="dxa" w:w="200"/>
              <w:bottom w:type="dxa" w:w="200"/>
            </w:tcMar>
          </w:tcPr>
          <w:p>
            <w:pPr>
              <w:pStyle w:val="Para 002"/>
            </w:pPr>
            <w:r>
              <w:t xml:space="preserve">The initial line number (within the file named by </w:t>
            </w:r>
            <w:r>
              <w:rPr>
                <w:rStyle w:val="Text0"/>
              </w:rPr>
              <w:t>co_filename</w:t>
            </w:r>
            <w:r>
              <w:t xml:space="preserve">) of the source code that was compiled to produce </w:t>
            </w:r>
            <w:r>
              <w:rPr>
                <w:rStyle w:val="Text3"/>
              </w:rPr>
              <w:t>c</w:t>
            </w:r>
            <w:r>
              <w:t xml:space="preserve">, if </w:t>
            </w:r>
            <w:r>
              <w:rPr>
                <w:rStyle w:val="Text3"/>
              </w:rPr>
              <w:t>c</w:t>
            </w:r>
            <w:r>
              <w:t xml:space="preserve"> was built by compiling from a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co_name</w:t>
            </w:r>
          </w:p>
        </w:tc>
        <w:tc>
          <w:tcPr>
            <w:tcW w:type="auto" w:w="0"/>
            <w:shd w:val="clear" w:color="auto" w:fill="EEF2F6"/>
            <w:tcMar>
              <w:left w:type="dxa" w:w="200"/>
              <w:top w:type="dxa" w:w="200"/>
              <w:right w:type="dxa" w:w="200"/>
              <w:bottom w:type="dxa" w:w="200"/>
            </w:tcMar>
          </w:tcPr>
          <w:p>
            <w:pPr>
              <w:pStyle w:val="Para 002"/>
            </w:pPr>
            <w:r>
              <w:t xml:space="preserve">The name of the function of which </w:t>
            </w:r>
            <w:r>
              <w:rPr>
                <w:rStyle w:val="Text3"/>
              </w:rPr>
              <w:t>c</w:t>
            </w:r>
            <w:r>
              <w:t xml:space="preserve"> is the code (</w:t>
            </w:r>
            <w:r>
              <w:rPr>
                <w:rStyle w:val="Text0"/>
              </w:rPr>
              <w:t>'&lt;module&gt;'</w:t>
            </w:r>
            <w:r>
              <w:t xml:space="preserve"> when </w:t>
            </w:r>
            <w:r>
              <w:rPr>
                <w:rStyle w:val="Text3"/>
              </w:rPr>
              <w:t>c</w:t>
            </w:r>
            <w:r>
              <w:t xml:space="preserve"> is not the code object of a function but rather is built directly by </w:t>
            </w:r>
            <w:r>
              <w:rPr>
                <w:rStyle w:val="Text0"/>
              </w:rPr>
              <w:t>compile</w:t>
            </w:r>
            <w:r>
              <w:t>)</w:t>
            </w:r>
          </w:p>
        </w:tc>
      </w:tr>
    </w:tbl>
    <w:tbl>
      <w:tblPr>
        <w:tblW w:type="auto" w:w="0"/>
      </w:tblPr>
      <w:tr>
        <w:tc>
          <w:tcPr>
            <w:tcW w:type="auto" w:w="0"/>
            <w:tcMar>
              <w:left w:type="dxa" w:w="200"/>
              <w:top w:type="dxa" w:w="200"/>
              <w:right w:type="dxa" w:w="200"/>
              <w:bottom w:type="dxa" w:w="200"/>
            </w:tcMar>
          </w:tcPr>
          <w:p>
            <w:pPr>
              <w:pStyle w:val="Para 001"/>
            </w:pPr>
            <w:r>
              <w:t>co_names</w:t>
            </w:r>
          </w:p>
        </w:tc>
        <w:tc>
          <w:tcPr>
            <w:tcW w:type="auto" w:w="0"/>
            <w:tcMar>
              <w:left w:type="dxa" w:w="200"/>
              <w:top w:type="dxa" w:w="200"/>
              <w:right w:type="dxa" w:w="200"/>
              <w:bottom w:type="dxa" w:w="200"/>
            </w:tcMar>
          </w:tcPr>
          <w:p>
            <w:pPr>
              <w:pStyle w:val="Para 002"/>
            </w:pPr>
            <w:r>
              <w:t xml:space="preserve">The tuple of all identifiers used within </w:t>
            </w:r>
            <w:r>
              <w:rPr>
                <w:rStyle w:val="Text3"/>
              </w:rPr>
              <w:t>c</w:t>
            </w:r>
          </w:p>
        </w:tc>
      </w:tr>
    </w:tbl>
    <w:tbl>
      <w:tblPr>
        <w:tblW w:type="auto" w:w="0"/>
      </w:tblPr>
      <w:tr>
        <w:tc>
          <w:tcPr>
            <w:tcW w:type="auto" w:w="0"/>
            <w:shd w:val="clear" w:color="auto" w:fill="EEF2F6"/>
            <w:tcMar>
              <w:left w:type="dxa" w:w="200"/>
              <w:top w:type="dxa" w:w="200"/>
              <w:right w:type="dxa" w:w="200"/>
              <w:bottom w:type="dxa" w:w="200"/>
            </w:tcMar>
          </w:tcPr>
          <w:p>
            <w:pPr>
              <w:pStyle w:val="Para 001"/>
            </w:pPr>
            <w:r>
              <w:t>co_varnames</w:t>
            </w:r>
          </w:p>
        </w:tc>
        <w:tc>
          <w:tcPr>
            <w:tcW w:type="auto" w:w="0"/>
            <w:shd w:val="clear" w:color="auto" w:fill="EEF2F6"/>
            <w:tcMar>
              <w:left w:type="dxa" w:w="200"/>
              <w:top w:type="dxa" w:w="200"/>
              <w:right w:type="dxa" w:w="200"/>
              <w:bottom w:type="dxa" w:w="200"/>
            </w:tcMar>
          </w:tcPr>
          <w:p>
            <w:pPr>
              <w:pStyle w:val="Para 002"/>
            </w:pPr>
            <w:r>
              <w:t xml:space="preserve">The tuple of local variables’ identifiers in </w:t>
            </w:r>
            <w:r>
              <w:rPr>
                <w:rStyle w:val="Text3"/>
              </w:rPr>
              <w:t>c</w:t>
            </w:r>
            <w:r>
              <w:t>, starting with parameter names</w:t>
            </w:r>
          </w:p>
        </w:tc>
      </w:tr>
    </w:tbl>
    <w:p>
      <w:pPr>
        <w:pStyle w:val="Normal"/>
      </w:pPr>
      <w:r>
        <w:t>Most of these attributes are useful only for debugging purposes, but some may help with advanced introspection, as exemplified later in this section.</w:t>
      </w:r>
    </w:p>
    <w:p>
      <w:pPr>
        <w:pStyle w:val="Normal"/>
      </w:pPr>
      <w:r>
        <w:t xml:space="preserve">If you start with a string holding one or more statements, first use </w:t>
      </w:r>
      <w:r>
        <w:rPr>
          <w:rStyle w:val="Text0"/>
        </w:rPr>
        <w:t>compile</w:t>
      </w:r>
      <w:r>
        <w:t xml:space="preserve"> on the string, then call </w:t>
      </w:r>
      <w:r>
        <w:rPr>
          <w:rStyle w:val="Text0"/>
        </w:rPr>
        <w:t>exec</w:t>
      </w:r>
      <w:r>
        <w:t xml:space="preserve"> on the resulting code object—that’s a bit better than giving </w:t>
      </w:r>
      <w:r>
        <w:rPr>
          <w:rStyle w:val="Text0"/>
        </w:rPr>
        <w:t>exec</w:t>
      </w:r>
      <w:r>
        <w:t xml:space="preserve"> the string to compile and execute. This separation lets you check for syntax errors separately from execution-time errors. You can often arrange things so that the string is compiled once and the code object executes repeatedly, which speeds things up. </w:t>
      </w:r>
      <w:r>
        <w:rPr>
          <w:rStyle w:val="Text0"/>
        </w:rPr>
        <w:t>eval</w:t>
      </w:r>
      <w:r>
        <w:t xml:space="preserve"> can also benefit from such separation. Moreover, the </w:t>
      </w:r>
      <w:r>
        <w:rPr>
          <w:rStyle w:val="Text0"/>
        </w:rPr>
        <w:t>compile</w:t>
      </w:r>
      <w:r>
        <w:t xml:space="preserve"> step is intrinsically safe (both </w:t>
      </w:r>
      <w:r>
        <w:rPr>
          <w:rStyle w:val="Text0"/>
        </w:rPr>
        <w:t>exec</w:t>
      </w:r>
      <w:r>
        <w:t xml:space="preserve"> and </w:t>
      </w:r>
      <w:r>
        <w:rPr>
          <w:rStyle w:val="Text0"/>
        </w:rPr>
        <w:t>eval</w:t>
      </w:r>
      <w:r>
        <w:t xml:space="preserve"> are extremely risky if you execute them on code that you don’t 100% trust), and you may be able to check the code object before it executes, to lessen the risk (though it will never truly be zero).</w:t>
      </w:r>
    </w:p>
    <w:p>
      <w:pPr>
        <w:pStyle w:val="Normal"/>
      </w:pPr>
      <w:r>
        <w:t xml:space="preserve">As mentioned in </w:t>
      </w:r>
      <w:hyperlink w:anchor="Table_14_1__Read_only_attributes">
        <w:r>
          <w:rPr>
            <w:rStyle w:val="Text1"/>
          </w:rPr>
          <w:t>Table 14-1</w:t>
        </w:r>
      </w:hyperlink>
      <w:r>
        <w:t xml:space="preserve">, a code object has a read-only attribute </w:t>
      </w:r>
      <w:r>
        <w:rPr>
          <w:rStyle w:val="Text0"/>
        </w:rPr>
        <w:t>co_names</w:t>
      </w:r>
      <w:r>
        <w:t xml:space="preserve"> that is the tuple of the names used in the code. For example, say that you want the user to enter an expression that contains only literal constants and operators—no function calls or other names. Before evaluating the expression, you can check that the string the user entered satisfies these constraints:</w:t>
      </w:r>
    </w:p>
    <w:p>
      <w:pPr>
        <w:pStyle w:val="Para 020"/>
      </w:pPr>
      <w:r>
        <w:rPr>
          <w:rStyle w:val="Text23"/>
        </w:rPr>
        <w:t xml:space="preserve"/>
        <w:br w:clear="none"/>
      </w:r>
      <w:r>
        <w:rPr>
          <w:rStyle w:val="Text10"/>
        </w:rPr>
        <w:t xml:space="preserve">def</w:t>
        <w:br w:clear="none"/>
      </w:r>
      <w:r>
        <w:rPr>
          <w:rStyle w:val="Text6"/>
        </w:rPr>
        <w:t xml:space="preserve"> </w:t>
        <w:br w:clear="none"/>
      </w:r>
      <w:r>
        <w:rPr>
          <w:rStyle w:val="Text18"/>
        </w:rPr>
        <w:t xml:space="preserve">safer_eval</w:t>
        <w:br w:clear="none"/>
      </w:r>
      <w:r>
        <w:rPr>
          <w:rStyle w:val="Text7"/>
        </w:rPr>
        <w:t xml:space="preserve">(</w:t>
        <w:br w:clear="none"/>
      </w:r>
      <w:r>
        <w:rPr>
          <w:rStyle w:val="Text9"/>
        </w:rP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9"/>
        </w:rPr>
        <w:t xml:space="preserve">code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compile</w:t>
        <w:br w:clear="none"/>
      </w:r>
      <w:r>
        <w:rPr>
          <w:rStyle w:val="Text7"/>
        </w:rPr>
        <w:t xml:space="preserve">(</w:t>
        <w:br w:clear="none"/>
      </w:r>
      <w:r>
        <w:rPr>
          <w:rStyle w:val="Text9"/>
        </w:rPr>
        <w:t xml:space="preserve">s</w:t>
        <w:br w:clear="none"/>
      </w:r>
      <w:r>
        <w:rPr>
          <w:rStyle w:val="Text7"/>
        </w:rPr>
        <w:t xml:space="preserve">,</w:t>
        <w:br w:clear="none"/>
      </w:r>
      <w:r>
        <w:rPr>
          <w:rStyle w:val="Text6"/>
        </w:rPr>
        <w:t xml:space="preserve"> </w:t>
        <w:br w:clear="none"/>
      </w:r>
      <w:r>
        <w:t xml:space="preserve">'</w:t>
        <w:br w:clear="none"/>
        <w:t xml:space="preserve">&lt;user-entered string&gt;</w:t>
        <w:br w:clear="none"/>
        <w:t xml:space="preserve">'</w:t>
        <w:br w:clear="none"/>
      </w:r>
      <w:r>
        <w:rPr>
          <w:rStyle w:val="Text7"/>
        </w:rPr>
        <w:t xml:space="preserve">,</w:t>
        <w:br w:clear="none"/>
      </w:r>
      <w:r>
        <w:rPr>
          <w:rStyle w:val="Text6"/>
        </w:rPr>
        <w:t xml:space="preserve"> </w:t>
        <w:br w:clear="none"/>
      </w:r>
      <w:r>
        <w:t xml:space="preserve">'</w:t>
        <w:br w:clear="none"/>
        <w:t xml:space="preserve">eval</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9"/>
        </w:rPr>
        <w:t xml:space="preserve">code</w:t>
        <w:br w:clear="none"/>
      </w:r>
      <w:r>
        <w:rPr>
          <w:rStyle w:val="Text13"/>
        </w:rPr>
        <w:t xml:space="preserve">.</w:t>
        <w:br w:clear="none"/>
      </w:r>
      <w:r>
        <w:rPr>
          <w:rStyle w:val="Text9"/>
        </w:rPr>
        <w:t xml:space="preserve">co_names</w:t>
        <w:br w:clear="none"/>
      </w:r>
      <w:r>
        <w:rPr>
          <w:rStyle w:val="Text7"/>
        </w:rPr>
        <w:t xml:space="preserve">:</w:t>
        <w:br w:clear="none"/>
      </w:r>
      <w:r>
        <w:rPr>
          <w:rStyle w:val="Text6"/>
        </w:rPr>
        <w:t xml:space="preserve"/>
        <w:br w:clear="none"/>
        <w:t xml:space="preserve">        </w:t>
        <w:br w:clear="none"/>
      </w:r>
      <w:r>
        <w:rPr>
          <w:rStyle w:val="Text10"/>
        </w:rPr>
        <w:t xml:space="preserve">raise</w:t>
        <w:br w:clear="none"/>
      </w:r>
      <w:r>
        <w:rPr>
          <w:rStyle w:val="Text6"/>
        </w:rPr>
        <w:t xml:space="preserve"> </w:t>
        <w:br w:clear="none"/>
      </w:r>
      <w:r>
        <w:rPr>
          <w:rStyle w:val="Text36"/>
        </w:rPr>
        <w:t xml:space="preserve">ValueError</w:t>
        <w:br w:clear="none"/>
      </w:r>
      <w:r>
        <w:rPr>
          <w:rStyle w:val="Text7"/>
        </w:rPr>
        <w:t xml:space="preserve">(</w:t>
        <w:br w:clear="none"/>
      </w:r>
      <w:r>
        <w:rPr>
          <w:rStyle w:val="Text6"/>
        </w:rPr>
        <w:t xml:space="preserve"/>
        <w:br w:clear="none"/>
        <w:t xml:space="preserve">            </w:t>
        <w:br w:clear="none"/>
        <w:t xml:space="preserve">f</w:t>
        <w:br w:clear="none"/>
      </w:r>
      <w:r>
        <w:t xml:space="preserve">'</w:t>
        <w:br w:clear="none"/>
        <w:t xml:space="preserve">Names </w:t>
        <w:br w:clear="none"/>
      </w:r>
      <w:r>
        <w:rPr>
          <w:rStyle w:val="Text32"/>
        </w:rPr>
        <w:t xml:space="preserve">{</w:t>
        <w:br w:clear="none"/>
      </w:r>
      <w:r>
        <w:rPr>
          <w:rStyle w:val="Text9"/>
        </w:rPr>
        <w:t xml:space="preserve">code</w:t>
        <w:br w:clear="none"/>
      </w:r>
      <w:r>
        <w:rPr>
          <w:rStyle w:val="Text13"/>
        </w:rPr>
        <w:t xml:space="preserve">.</w:t>
        <w:br w:clear="none"/>
      </w:r>
      <w:r>
        <w:rPr>
          <w:rStyle w:val="Text9"/>
        </w:rPr>
        <w:t xml:space="preserve">co_names</w:t>
        <w:br w:clear="none"/>
      </w:r>
      <w:r>
        <w:rPr>
          <w:rStyle w:val="Text32"/>
        </w:rPr>
        <w:t xml:space="preserve">!r}</w:t>
        <w:br w:clear="none"/>
      </w:r>
      <w:r>
        <w:t xml:space="preserve"> not allowed in expression </w:t>
        <w:br w:clear="none"/>
      </w:r>
      <w:r>
        <w:rPr>
          <w:rStyle w:val="Text32"/>
        </w:rPr>
        <w:t xml:space="preserve">{</w:t>
        <w:br w:clear="none"/>
      </w:r>
      <w:r>
        <w:rPr>
          <w:rStyle w:val="Text9"/>
        </w:rPr>
        <w:t xml:space="preserve">s</w:t>
        <w:br w:clear="none"/>
      </w:r>
      <w:r>
        <w:rPr>
          <w:rStyle w:val="Text32"/>
        </w:rPr>
        <w:t xml:space="preserve">!r}</w:t>
        <w:br w:clear="none"/>
      </w:r>
      <w:r>
        <w:t xml:space="preserv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eval</w:t>
        <w:br w:clear="none"/>
      </w:r>
      <w:r>
        <w:rPr>
          <w:rStyle w:val="Text7"/>
        </w:rPr>
        <w:t xml:space="preserve">(</w:t>
        <w:br w:clear="none"/>
      </w:r>
      <w:r>
        <w:rPr>
          <w:rStyle w:val="Text9"/>
        </w:rPr>
        <w:t xml:space="preserve">code</w:t>
        <w:br w:clear="none"/>
      </w:r>
      <w:r>
        <w:rPr>
          <w:rStyle w:val="Text7"/>
        </w:rPr>
        <w:t xml:space="preserve">)</w:t>
        <w:br w:clear="none"/>
      </w:r>
    </w:p>
    <w:p>
      <w:pPr>
        <w:pStyle w:val="Normal"/>
      </w:pPr>
      <w:r>
        <w:t xml:space="preserve">This function </w:t>
      </w:r>
      <w:r>
        <w:rPr>
          <w:rStyle w:val="Text0"/>
        </w:rPr>
        <w:t>safer_eval</w:t>
      </w:r>
      <w:r>
        <w:t xml:space="preserve"> evaluates the expression passed in as argument </w:t>
      </w:r>
      <w:r>
        <w:rPr>
          <w:rStyle w:val="Text3"/>
        </w:rPr>
        <w:t>s</w:t>
      </w:r>
      <w:r>
        <w:t xml:space="preserve"> only when the string is a syntactically valid expression (otherwise, </w:t>
      </w:r>
      <w:r>
        <w:rPr>
          <w:rStyle w:val="Text0"/>
        </w:rPr>
        <w:t>compile</w:t>
      </w:r>
      <w:r>
        <w:t xml:space="preserve"> raises </w:t>
      </w:r>
      <w:r>
        <w:rPr>
          <w:rStyle w:val="Text0"/>
        </w:rPr>
        <w:t>SyntaxError</w:t>
      </w:r>
      <w:r>
        <w:t xml:space="preserve">) and contains no names at all (otherwise, </w:t>
      </w:r>
      <w:r>
        <w:rPr>
          <w:rStyle w:val="Text0"/>
        </w:rPr>
        <w:t>safer_eval</w:t>
      </w:r>
      <w:r>
        <w:t xml:space="preserve"> explicitly raises </w:t>
      </w:r>
      <w:r>
        <w:rPr>
          <w:rStyle w:val="Text0"/>
        </w:rPr>
        <w:t>ValueError</w:t>
      </w:r>
      <w:r>
        <w:t xml:space="preserve">). (This is similar to the standard library function </w:t>
      </w:r>
      <w:r>
        <w:rPr>
          <w:rStyle w:val="Text0"/>
        </w:rPr>
        <w:t>ast.literal_eval</w:t>
      </w:r>
      <w:r>
        <w:t xml:space="preserve">, covered in </w:t>
      </w:r>
      <w:hyperlink w:anchor="Standard_Input__In_addition_to_s">
        <w:r>
          <w:rPr>
            <w:rStyle w:val="Text1"/>
          </w:rPr>
          <w:t>“Standard Input”</w:t>
        </w:r>
      </w:hyperlink>
      <w:r>
        <w:t>, but a bit more powerful, since it does allow the use of operators.)</w:t>
      </w:r>
    </w:p>
    <w:p>
      <w:pPr>
        <w:pStyle w:val="Normal"/>
      </w:pPr>
      <w:r>
        <w:t xml:space="preserve">Knowing what names the code is about to access may sometimes help you optimize the preparation of the dictionary that you need to pass to </w:t>
      </w:r>
      <w:r>
        <w:rPr>
          <w:rStyle w:val="Text0"/>
        </w:rPr>
        <w:t>exec</w:t>
      </w:r>
      <w:r>
        <w:t xml:space="preserve"> or </w:t>
      </w:r>
      <w:r>
        <w:rPr>
          <w:rStyle w:val="Text0"/>
        </w:rPr>
        <w:t>eval</w:t>
      </w:r>
      <w:r>
        <w:t xml:space="preserve"> as the namespace. Since you need to provide values only for those names, you may save work by not preparing other entries. For example, say that your application dynamically accepts code from the user, with the convention that variable names starting with </w:t>
      </w:r>
      <w:r>
        <w:rPr>
          <w:rStyle w:val="Text0"/>
        </w:rPr>
        <w:t>data_</w:t>
      </w:r>
      <w:r>
        <w:t xml:space="preserve"> refer to files residing in the subdirectory </w:t>
      </w:r>
      <w:r>
        <w:rPr>
          <w:rStyle w:val="Text4"/>
        </w:rPr>
        <w:t>data</w:t>
      </w:r>
      <w:r>
        <w:t xml:space="preserve"> that user-written code doesn’t need to read explicitly. User-written code may, in turn, compute and leave results in global variables with names starting with </w:t>
      </w:r>
      <w:r>
        <w:rPr>
          <w:rStyle w:val="Text0"/>
        </w:rPr>
        <w:t>result_</w:t>
      </w:r>
      <w:r>
        <w:t xml:space="preserve">, which your application writes back as files in the </w:t>
      </w:r>
      <w:r>
        <w:rPr>
          <w:rStyle w:val="Text4"/>
        </w:rPr>
        <w:t>data</w:t>
      </w:r>
      <w:r>
        <w:t xml:space="preserve"> subdirectory. Thanks to this convention, you may later move the data elsewhere (e.g., to BLOBs in a database instead of files in a subdirectory), and user-written code won’t be affected. Here’s how you might implement these conventions efficiently:</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exec_with_data</w:t>
        <w:br w:clear="none"/>
      </w:r>
      <w:r>
        <w:rPr>
          <w:rStyle w:val="Text7"/>
        </w:rPr>
        <w:t xml:space="preserve">(</w:t>
        <w:br w:clear="none"/>
      </w:r>
      <w:r>
        <w:t xml:space="preserve">user_code_string</w:t>
        <w:br w:clear="none"/>
      </w:r>
      <w:r>
        <w:rPr>
          <w:rStyle w:val="Text7"/>
        </w:rPr>
        <w:t xml:space="preserve">)</w:t>
        <w:br w:clear="none"/>
        <w:t xml:space="preserve">:</w:t>
        <w:br w:clear="none"/>
      </w:r>
      <w:r>
        <w:rPr>
          <w:rStyle w:val="Text6"/>
        </w:rPr>
        <w:t xml:space="preserve"/>
        <w:br w:clear="none"/>
        <w:t xml:space="preserve">    </w:t>
        <w:br w:clear="none"/>
      </w:r>
      <w:r>
        <w:t xml:space="preserve">user_code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compile</w:t>
        <w:br w:clear="none"/>
      </w:r>
      <w:r>
        <w:rPr>
          <w:rStyle w:val="Text7"/>
        </w:rPr>
        <w:t xml:space="preserve">(</w:t>
        <w:br w:clear="none"/>
      </w:r>
      <w:r>
        <w:t xml:space="preserve">user_code_string</w:t>
        <w:br w:clear="none"/>
      </w:r>
      <w:r>
        <w:rPr>
          <w:rStyle w:val="Text7"/>
        </w:rPr>
        <w:t xml:space="preserve">,</w:t>
        <w:br w:clear="none"/>
      </w:r>
      <w:r>
        <w:rPr>
          <w:rStyle w:val="Text6"/>
        </w:rPr>
        <w:t xml:space="preserve"> </w:t>
        <w:br w:clear="none"/>
      </w:r>
      <w:r>
        <w:rPr>
          <w:rStyle w:val="Text8"/>
        </w:rPr>
        <w:t xml:space="preserve">'</w:t>
        <w:br w:clear="none"/>
        <w:t xml:space="preserve">&lt;user code&gt;</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exec</w:t>
        <w:br w:clear="none"/>
        <w:t xml:space="preserve">'</w:t>
        <w:br w:clear="none"/>
      </w:r>
      <w:r>
        <w:rPr>
          <w:rStyle w:val="Text7"/>
        </w:rPr>
        <w:t xml:space="preserve">)</w:t>
        <w:br w:clear="none"/>
      </w:r>
      <w:r>
        <w:rPr>
          <w:rStyle w:val="Text6"/>
        </w:rPr>
        <w:t xml:space="preserve"/>
        <w:br w:clear="none"/>
        <w:t xml:space="preserve">    </w:t>
        <w:br w:clear="none"/>
      </w:r>
      <w:r>
        <w:t xml:space="preserve">datadict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name</w:t>
        <w:br w:clear="none"/>
      </w:r>
      <w:r>
        <w:rPr>
          <w:rStyle w:val="Text6"/>
        </w:rPr>
        <w:t xml:space="preserve"> </w:t>
        <w:br w:clear="none"/>
      </w:r>
      <w:r>
        <w:rPr>
          <w:rStyle w:val="Text31"/>
        </w:rPr>
        <w:t xml:space="preserve">in</w:t>
        <w:br w:clear="none"/>
      </w:r>
      <w:r>
        <w:rPr>
          <w:rStyle w:val="Text6"/>
        </w:rPr>
        <w:t xml:space="preserve"> </w:t>
        <w:br w:clear="none"/>
      </w:r>
      <w:r>
        <w:t xml:space="preserve">user_code</w:t>
        <w:br w:clear="none"/>
      </w:r>
      <w:r>
        <w:rPr>
          <w:rStyle w:val="Text13"/>
        </w:rPr>
        <w:t xml:space="preserve">.</w:t>
        <w:br w:clear="none"/>
      </w:r>
      <w:r>
        <w:t xml:space="preserve">co_names</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name</w:t>
        <w:br w:clear="none"/>
      </w:r>
      <w:r>
        <w:rPr>
          <w:rStyle w:val="Text13"/>
        </w:rPr>
        <w:t xml:space="preserve">.</w:t>
        <w:br w:clear="none"/>
      </w:r>
      <w:r>
        <w:t xml:space="preserve">startswith</w:t>
        <w:br w:clear="none"/>
      </w:r>
      <w:r>
        <w:rPr>
          <w:rStyle w:val="Text7"/>
        </w:rPr>
        <w:t xml:space="preserve">(</w:t>
        <w:br w:clear="none"/>
      </w:r>
      <w:r>
        <w:rPr>
          <w:rStyle w:val="Text8"/>
        </w:rPr>
        <w:t xml:space="preserve">'</w:t>
        <w:br w:clear="none"/>
        <w:t xml:space="preserve">data_</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6"/>
        </w:rPr>
        <w:t xml:space="preserve">f</w:t>
        <w:br w:clear="none"/>
      </w:r>
      <w:r>
        <w:rPr>
          <w:rStyle w:val="Text8"/>
        </w:rPr>
        <w:t xml:space="preserve">'</w:t>
        <w:br w:clear="none"/>
        <w:t xml:space="preserve">data/</w:t>
        <w:br w:clear="none"/>
      </w:r>
      <w:r>
        <w:rPr>
          <w:rStyle w:val="Text32"/>
        </w:rPr>
        <w:t xml:space="preserve">{</w:t>
        <w:br w:clear="none"/>
      </w:r>
      <w:r>
        <w:t xml:space="preserve">name</w:t>
        <w:br w:clear="none"/>
      </w:r>
      <w:r>
        <w:rPr>
          <w:rStyle w:val="Text7"/>
        </w:rPr>
        <w:t xml:space="preserve">[</w:t>
        <w:br w:clear="none"/>
      </w:r>
      <w:r>
        <w:rPr>
          <w:rStyle w:val="Text27"/>
        </w:rPr>
        <w:t xml:space="preserve">5</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t>
        <w:br w:clear="none"/>
      </w:r>
      <w:r>
        <w:rPr>
          <w:rStyle w:val="Text8"/>
        </w:rPr>
        <w:t xml:space="preserve">'</w:t>
        <w:br w:clear="none"/>
        <w:t xml:space="preserve">rb</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datafile</w:t>
        <w:br w:clear="none"/>
      </w:r>
      <w:r>
        <w:rPr>
          <w:rStyle w:val="Text7"/>
        </w:rPr>
        <w:t xml:space="preserve">:</w:t>
        <w:br w:clear="none"/>
      </w:r>
      <w:r>
        <w:rPr>
          <w:rStyle w:val="Text6"/>
        </w:rPr>
        <w:t xml:space="preserve"/>
        <w:br w:clear="none"/>
        <w:t xml:space="preserve">                </w:t>
        <w:br w:clear="none"/>
      </w:r>
      <w:r>
        <w:t xml:space="preserve">datadict</w:t>
        <w:br w:clear="none"/>
      </w:r>
      <w:r>
        <w:rPr>
          <w:rStyle w:val="Text7"/>
        </w:rPr>
        <w:t xml:space="preserve">[</w:t>
        <w:br w:clear="none"/>
      </w:r>
      <w:r>
        <w:t xml:space="preserve">name</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datafile</w:t>
        <w:br w:clear="none"/>
      </w:r>
      <w:r>
        <w:rPr>
          <w:rStyle w:val="Text13"/>
        </w:rPr>
        <w:t xml:space="preserve">.</w:t>
        <w:br w:clear="none"/>
      </w:r>
      <w:r>
        <w:t xml:space="preserve">read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elif</w:t>
        <w:br w:clear="none"/>
      </w:r>
      <w:r>
        <w:rPr>
          <w:rStyle w:val="Text6"/>
        </w:rPr>
        <w:t xml:space="preserve"> </w:t>
        <w:br w:clear="none"/>
      </w:r>
      <w:r>
        <w:t xml:space="preserve">name</w:t>
        <w:br w:clear="none"/>
      </w:r>
      <w:r>
        <w:rPr>
          <w:rStyle w:val="Text13"/>
        </w:rPr>
        <w:t xml:space="preserve">.</w:t>
        <w:br w:clear="none"/>
      </w:r>
      <w:r>
        <w:t xml:space="preserve">startswith</w:t>
        <w:br w:clear="none"/>
      </w:r>
      <w:r>
        <w:rPr>
          <w:rStyle w:val="Text7"/>
        </w:rPr>
        <w:t xml:space="preserve">(</w:t>
        <w:br w:clear="none"/>
      </w:r>
      <w:r>
        <w:rPr>
          <w:rStyle w:val="Text8"/>
        </w:rPr>
        <w:t xml:space="preserve">'</w:t>
        <w:br w:clear="none"/>
        <w:t xml:space="preserve">result_</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pass</w:t>
        <w:br w:clear="none"/>
      </w:r>
      <w:r>
        <w:rPr>
          <w:rStyle w:val="Text6"/>
        </w:rPr>
        <w:t xml:space="preserve">  </w:t>
        <w:br w:clear="none"/>
      </w:r>
      <w:r>
        <w:rPr>
          <w:rStyle w:val="Text15"/>
        </w:rPr>
        <w:t xml:space="preserve"># user code assigns to variables named `result_...`</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10"/>
        </w:rPr>
        <w:t xml:space="preserve">raise</w:t>
        <w:br w:clear="none"/>
      </w:r>
      <w:r>
        <w:rPr>
          <w:rStyle w:val="Text6"/>
        </w:rPr>
        <w:t xml:space="preserve"> </w:t>
        <w:br w:clear="none"/>
      </w:r>
      <w:r>
        <w:rPr>
          <w:rStyle w:val="Text36"/>
        </w:rPr>
        <w:t xml:space="preserve">ValueError</w:t>
        <w:br w:clear="none"/>
      </w:r>
      <w:r>
        <w:rPr>
          <w:rStyle w:val="Text7"/>
        </w:rPr>
        <w:t xml:space="preserve">(</w:t>
        <w:br w:clear="none"/>
      </w:r>
      <w:r>
        <w:rPr>
          <w:rStyle w:val="Text6"/>
        </w:rPr>
        <w:t xml:space="preserve">f</w:t>
        <w:br w:clear="none"/>
      </w:r>
      <w:r>
        <w:rPr>
          <w:rStyle w:val="Text8"/>
        </w:rPr>
        <w:t xml:space="preserve">'</w:t>
        <w:br w:clear="none"/>
        <w:t xml:space="preserve">invalid variable name </w:t>
        <w:br w:clear="none"/>
      </w:r>
      <w:r>
        <w:rPr>
          <w:rStyle w:val="Text32"/>
        </w:rPr>
        <w:t xml:space="preserve">{</w:t>
        <w:br w:clear="none"/>
      </w:r>
      <w:r>
        <w:t xml:space="preserve">name</w:t>
        <w:br w:clear="none"/>
      </w:r>
      <w:r>
        <w:rPr>
          <w:rStyle w:val="Text32"/>
        </w:rPr>
        <w:t xml:space="preserve">!r}</w:t>
        <w:br w:clear="none"/>
      </w:r>
      <w:r>
        <w:rPr>
          <w:rStyle w:val="Text8"/>
        </w:rPr>
        <w:t xml:space="preserve">'</w:t>
        <w:br w:clear="none"/>
      </w:r>
      <w:r>
        <w:rPr>
          <w:rStyle w:val="Text7"/>
        </w:rPr>
        <w:t xml:space="preserve">)</w:t>
        <w:br w:clear="none"/>
      </w:r>
      <w:r>
        <w:rPr>
          <w:rStyle w:val="Text6"/>
        </w:rPr>
        <w:t xml:space="preserve"/>
        <w:br w:clear="none"/>
        <w:t xml:space="preserve">    </w:t>
        <w:br w:clear="none"/>
      </w:r>
      <w:r>
        <w:t xml:space="preserve">exec</w:t>
        <w:br w:clear="none"/>
      </w:r>
      <w:r>
        <w:rPr>
          <w:rStyle w:val="Text7"/>
        </w:rPr>
        <w:t xml:space="preserve">(</w:t>
        <w:br w:clear="none"/>
      </w:r>
      <w:r>
        <w:t xml:space="preserve">user_code</w:t>
        <w:br w:clear="none"/>
      </w:r>
      <w:r>
        <w:rPr>
          <w:rStyle w:val="Text7"/>
        </w:rPr>
        <w:t xml:space="preserve">,</w:t>
        <w:br w:clear="none"/>
      </w:r>
      <w:r>
        <w:rPr>
          <w:rStyle w:val="Text6"/>
        </w:rPr>
        <w:t xml:space="preserve"> </w:t>
        <w:br w:clear="none"/>
      </w:r>
      <w:r>
        <w:t xml:space="preserve">datadict</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name</w:t>
        <w:br w:clear="none"/>
      </w:r>
      <w:r>
        <w:rPr>
          <w:rStyle w:val="Text6"/>
        </w:rPr>
        <w:t xml:space="preserve"> </w:t>
        <w:br w:clear="none"/>
      </w:r>
      <w:r>
        <w:rPr>
          <w:rStyle w:val="Text31"/>
        </w:rPr>
        <w:t xml:space="preserve">in</w:t>
        <w:br w:clear="none"/>
      </w:r>
      <w:r>
        <w:rPr>
          <w:rStyle w:val="Text6"/>
        </w:rPr>
        <w:t xml:space="preserve"> </w:t>
        <w:br w:clear="none"/>
      </w:r>
      <w:r>
        <w:t xml:space="preserve">datadict</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name</w:t>
        <w:br w:clear="none"/>
      </w:r>
      <w:r>
        <w:rPr>
          <w:rStyle w:val="Text13"/>
        </w:rPr>
        <w:t xml:space="preserve">.</w:t>
        <w:br w:clear="none"/>
      </w:r>
      <w:r>
        <w:t xml:space="preserve">startswith</w:t>
        <w:br w:clear="none"/>
      </w:r>
      <w:r>
        <w:rPr>
          <w:rStyle w:val="Text7"/>
        </w:rPr>
        <w:t xml:space="preserve">(</w:t>
        <w:br w:clear="none"/>
      </w:r>
      <w:r>
        <w:rPr>
          <w:rStyle w:val="Text8"/>
        </w:rPr>
        <w:t xml:space="preserve">'</w:t>
        <w:br w:clear="none"/>
        <w:t xml:space="preserve">result_</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6"/>
        </w:rPr>
        <w:t xml:space="preserve">f</w:t>
        <w:br w:clear="none"/>
      </w:r>
      <w:r>
        <w:rPr>
          <w:rStyle w:val="Text8"/>
        </w:rPr>
        <w:t xml:space="preserve">'</w:t>
        <w:br w:clear="none"/>
        <w:t xml:space="preserve">data/</w:t>
        <w:br w:clear="none"/>
      </w:r>
      <w:r>
        <w:rPr>
          <w:rStyle w:val="Text32"/>
        </w:rPr>
        <w:t xml:space="preserve">{</w:t>
        <w:br w:clear="none"/>
      </w:r>
      <w:r>
        <w:t xml:space="preserve">name</w:t>
        <w:br w:clear="none"/>
      </w:r>
      <w:r>
        <w:rPr>
          <w:rStyle w:val="Text7"/>
        </w:rPr>
        <w:t xml:space="preserve">[</w:t>
        <w:br w:clear="none"/>
      </w:r>
      <w:r>
        <w:rPr>
          <w:rStyle w:val="Text27"/>
        </w:rPr>
        <w:t xml:space="preserve">7</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t>
        <w:br w:clear="none"/>
      </w:r>
      <w:r>
        <w:rPr>
          <w:rStyle w:val="Text8"/>
        </w:rPr>
        <w:t xml:space="preserve">'</w:t>
        <w:br w:clear="none"/>
        <w:t xml:space="preserve">wb</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datafile</w:t>
        <w:br w:clear="none"/>
      </w:r>
      <w:r>
        <w:rPr>
          <w:rStyle w:val="Text7"/>
        </w:rPr>
        <w:t xml:space="preserve">:</w:t>
        <w:br w:clear="none"/>
      </w:r>
      <w:r>
        <w:rPr>
          <w:rStyle w:val="Text6"/>
        </w:rPr>
        <w:t xml:space="preserve"/>
        <w:br w:clear="none"/>
        <w:t xml:space="preserve">                </w:t>
        <w:br w:clear="none"/>
      </w:r>
      <w:r>
        <w:t xml:space="preserve">datafile</w:t>
        <w:br w:clear="none"/>
      </w:r>
      <w:r>
        <w:rPr>
          <w:rStyle w:val="Text13"/>
        </w:rPr>
        <w:t xml:space="preserve">.</w:t>
        <w:br w:clear="none"/>
      </w:r>
      <w:r>
        <w:t xml:space="preserve">write</w:t>
        <w:br w:clear="none"/>
      </w:r>
      <w:r>
        <w:rPr>
          <w:rStyle w:val="Text7"/>
        </w:rPr>
        <w:t xml:space="preserve">(</w:t>
        <w:br w:clear="none"/>
      </w:r>
      <w:r>
        <w:t xml:space="preserve">datadict</w:t>
        <w:br w:clear="none"/>
      </w:r>
      <w:r>
        <w:rPr>
          <w:rStyle w:val="Text7"/>
        </w:rPr>
        <w:t xml:space="preserve">[</w:t>
        <w:br w:clear="none"/>
      </w:r>
      <w:r>
        <w:t xml:space="preserve">name</w:t>
        <w:br w:clear="none"/>
      </w:r>
      <w:r>
        <w:rPr>
          <w:rStyle w:val="Text7"/>
        </w:rPr>
        <w:t xml:space="preserve">]</w:t>
        <w:br w:clear="none"/>
        <w:t xml:space="preserve">)</w:t>
        <w:br w:clear="none"/>
      </w:r>
    </w:p>
    <w:p>
      <w:bookmarkStart w:id="3235" w:name="Never_exec_or_eval_Untrusted_Cod"/>
      <w:pPr>
        <w:keepNext/>
        <w:pStyle w:val="Heading 2"/>
      </w:pPr>
      <w:r>
        <w:t>Never exec or eval Untrusted Code</w:t>
      </w:r>
      <w:bookmarkEnd w:id="3235"/>
    </w:p>
    <w:p>
      <w:pPr>
        <w:pStyle w:val="Normal"/>
      </w:pPr>
      <w:r>
        <w:t>Some</w:t>
      </w:r>
      <w:r>
        <w:rPr>
          <w:rStyle w:val="Text111"/>
        </w:rPr>
        <w:bookmarkStart w:id="3236" w:name="idm45965194378768"/>
        <w:t/>
        <w:bookmarkEnd w:id="3236"/>
        <w:bookmarkStart w:id="3237" w:name="idm45965194377792"/>
        <w:t/>
        <w:bookmarkEnd w:id="3237"/>
      </w:r>
      <w:r>
        <w:t xml:space="preserve"> older versions of Python supplied tools that aimed to ameliorate the risks of using </w:t>
      </w:r>
      <w:r>
        <w:rPr>
          <w:rStyle w:val="Text0"/>
        </w:rPr>
        <w:t>exec</w:t>
      </w:r>
      <w:r>
        <w:t xml:space="preserve"> and </w:t>
      </w:r>
      <w:r>
        <w:rPr>
          <w:rStyle w:val="Text0"/>
        </w:rPr>
        <w:t>eval</w:t>
      </w:r>
      <w:r>
        <w:t>, under the heading of</w:t>
      </w:r>
      <w:r>
        <w:rPr>
          <w:rStyle w:val="Text111"/>
        </w:rPr>
        <w:bookmarkStart w:id="3238" w:name="idm45965194375376"/>
        <w:t/>
        <w:bookmarkEnd w:id="3238"/>
      </w:r>
      <w:r>
        <w:t xml:space="preserve"> “restricted execution,” but those tools were never entirely secure against the ingenuity of able hackers, and recent versions of Python have dropped them to avoid offering the user an unfounded sense of security. If you need to guard against such attacks, take advantage of your operating system’s protection mechanisms: run untrusted code in a separate process, with privileges as restricted as you can possibly make them (study the mechanisms that your OS supplies for the purpose, such as </w:t>
      </w:r>
      <w:r>
        <w:rPr>
          <w:rStyle w:val="Text0"/>
        </w:rPr>
        <w:t>chroot</w:t>
      </w:r>
      <w:r>
        <w:t xml:space="preserve">, </w:t>
      </w:r>
      <w:r>
        <w:rPr>
          <w:rStyle w:val="Text0"/>
        </w:rPr>
        <w:t>setuid</w:t>
      </w:r>
      <w:r>
        <w:t xml:space="preserve">, and </w:t>
      </w:r>
      <w:r>
        <w:rPr>
          <w:rStyle w:val="Text0"/>
        </w:rPr>
        <w:t>jail</w:t>
      </w:r>
      <w:r>
        <w:t xml:space="preserve">; in Windows, you might try the third-party commercial add-on </w:t>
      </w:r>
      <w:hyperlink r:id="rId434">
        <w:r>
          <w:rPr>
            <w:rStyle w:val="Text1"/>
          </w:rPr>
          <w:t>WinJail</w:t>
        </w:r>
      </w:hyperlink>
      <w:r>
        <w:t xml:space="preserve">, or run untrusted code in a separate, highly constrained virtual machine or container, if you’re an expert on how to securitize containers). To guard against denial of service attacks, have the main process monitor the separate one and terminate the latter if and when resource consumption becomes excessive. Processes are covered in </w:t>
      </w:r>
      <w:hyperlink w:anchor="Running_Other_Programs__You_can">
        <w:r>
          <w:rPr>
            <w:rStyle w:val="Text1"/>
          </w:rPr>
          <w:t>“Running Other Programs”</w:t>
        </w:r>
      </w:hyperlink>
      <w:r>
        <w:t>.</w:t>
      </w:r>
    </w:p>
    <w:p>
      <w:pPr>
        <w:keepNext/>
        <w:pStyle w:val="Heading 6"/>
        <w:keepLines w:val="on"/>
      </w:pPr>
      <w:r>
        <w:t>exec and eval Are Unsafe with Untrusted Code</w:t>
      </w:r>
    </w:p>
    <w:p>
      <w:pPr>
        <w:pStyle w:val="Para 012"/>
        <w:keepLines w:val="on"/>
      </w:pPr>
      <w:r>
        <w:t xml:space="preserve">The function </w:t>
      </w:r>
      <w:r>
        <w:rPr>
          <w:rStyle w:val="Text0"/>
        </w:rPr>
        <w:t>exec_with_data</w:t>
      </w:r>
      <w:r>
        <w:t xml:space="preserve"> defined in the previous section is not at all safe against untrusted code: if you pass to it, as the argument </w:t>
      </w:r>
      <w:r>
        <w:rPr>
          <w:rStyle w:val="Text3"/>
        </w:rPr>
        <w:t>user_code</w:t>
      </w:r>
      <w:r>
        <w:t xml:space="preserve">, some string obtained in a way that you cannot </w:t>
      </w:r>
      <w:r>
        <w:rPr>
          <w:rStyle w:val="Text4"/>
        </w:rPr>
        <w:t>entirely</w:t>
      </w:r>
      <w:r>
        <w:t xml:space="preserve"> trust, there is essentially no limit to the amount of damage it might do. This is unfortunately true of just about any use of </w:t>
      </w:r>
      <w:r>
        <w:rPr>
          <w:rStyle w:val="Text0"/>
        </w:rPr>
        <w:t>exec</w:t>
      </w:r>
      <w:r>
        <w:t xml:space="preserve"> or </w:t>
      </w:r>
      <w:r>
        <w:rPr>
          <w:rStyle w:val="Text0"/>
        </w:rPr>
        <w:t>eval</w:t>
      </w:r>
      <w:r>
        <w:t xml:space="preserve">, except for those rare cases in which you can set extremely strict and fully checkable limits on the code to execute or evaluate, as was the case for the function </w:t>
      </w:r>
      <w:r>
        <w:rPr>
          <w:rStyle w:val="Text0"/>
        </w:rPr>
        <w:t>safer_eval</w:t>
      </w:r>
      <w:r>
        <w:t>.</w:t>
      </w:r>
      <w:r>
        <w:rPr>
          <w:rStyle w:val="Text111"/>
        </w:rPr>
        <w:bookmarkStart w:id="3239" w:name="idm45965194329104"/>
        <w:t/>
        <w:bookmarkEnd w:id="3239"/>
        <w:bookmarkStart w:id="3240" w:name="idm45965194327888"/>
        <w:t/>
        <w:bookmarkEnd w:id="3240"/>
        <w:bookmarkStart w:id="3241" w:name="idm45965194326672"/>
        <w:t/>
        <w:bookmarkEnd w:id="3241"/>
        <w:bookmarkStart w:id="3242" w:name="idm45965194325456"/>
        <w:t/>
        <w:bookmarkEnd w:id="3242"/>
      </w:r>
    </w:p>
    <w:p>
      <w:bookmarkStart w:id="3243" w:name="Internal_Types__Some_of_the_inte"/>
      <w:pPr>
        <w:keepNext/>
        <w:pStyle w:val="Heading 1"/>
      </w:pPr>
      <w:r>
        <w:t>Internal Types</w:t>
      </w:r>
      <w:bookmarkEnd w:id="3243"/>
    </w:p>
    <w:p>
      <w:pPr>
        <w:pStyle w:val="Normal"/>
      </w:pPr>
      <w:r>
        <w:t>Some</w:t>
      </w:r>
      <w:r>
        <w:rPr>
          <w:rStyle w:val="Text111"/>
        </w:rPr>
        <w:bookmarkStart w:id="3244" w:name="idm45965194322368"/>
        <w:t/>
        <w:bookmarkEnd w:id="3244"/>
        <w:bookmarkStart w:id="3245" w:name="idm45965194321152"/>
        <w:t/>
        <w:bookmarkEnd w:id="3245"/>
      </w:r>
      <w:r>
        <w:t xml:space="preserve"> of the internal Python objects described in this section are hard to use, and indeed are not meant for you to use most of the time. Using such objects correctly and to good effect requires some study of your Python implementation’s C sources. Such black magic is rarely needed, except for building general-purpose development tools and similar wizardly tasks. Once you do understand things in depth, Python empowers you to exert control if and when needed. Since Python exposes many kinds of internal objects to your Python code, you can exert that control by coding in Python, even when you need an understanding of C to read Python’s sources and understand what’s going on.</w:t>
      </w:r>
    </w:p>
    <w:p>
      <w:bookmarkStart w:id="3246" w:name="Type_Objects__The_built_in_type"/>
      <w:pPr>
        <w:keepNext/>
        <w:pStyle w:val="Heading 2"/>
      </w:pPr>
      <w:r>
        <w:t>Type Objects</w:t>
      </w:r>
      <w:bookmarkEnd w:id="3246"/>
    </w:p>
    <w:p>
      <w:pPr>
        <w:pStyle w:val="Normal"/>
      </w:pPr>
      <w:r>
        <w:t>The</w:t>
      </w:r>
      <w:r>
        <w:rPr>
          <w:rStyle w:val="Text111"/>
        </w:rPr>
        <w:bookmarkStart w:id="3247" w:name="idm45965194318544"/>
        <w:t/>
        <w:bookmarkEnd w:id="3247"/>
      </w:r>
      <w:r>
        <w:t xml:space="preserve"> built-in type named </w:t>
      </w:r>
      <w:r>
        <w:rPr>
          <w:rStyle w:val="Text0"/>
        </w:rPr>
        <w:t>type</w:t>
      </w:r>
      <w:r>
        <w:t xml:space="preserve"> acts as a callable factory, returning objects that are types. Type objects don’t have to support any special operations except equality comparison and representation as strings. However, most type objects are callable and return new instances of the type when called. In particular, built-in types such as </w:t>
      </w:r>
      <w:r>
        <w:rPr>
          <w:rStyle w:val="Text0"/>
        </w:rPr>
        <w:t>int</w:t>
      </w:r>
      <w:r>
        <w:t xml:space="preserve">, </w:t>
      </w:r>
      <w:r>
        <w:rPr>
          <w:rStyle w:val="Text0"/>
        </w:rPr>
        <w:t>float</w:t>
      </w:r>
      <w:r>
        <w:t xml:space="preserve">, </w:t>
      </w:r>
      <w:r>
        <w:rPr>
          <w:rStyle w:val="Text0"/>
        </w:rPr>
        <w:t>list</w:t>
      </w:r>
      <w:r>
        <w:t xml:space="preserve">, </w:t>
      </w:r>
      <w:r>
        <w:rPr>
          <w:rStyle w:val="Text0"/>
        </w:rPr>
        <w:t>str</w:t>
      </w:r>
      <w:r>
        <w:t xml:space="preserve">, </w:t>
      </w:r>
      <w:r>
        <w:rPr>
          <w:rStyle w:val="Text0"/>
        </w:rPr>
        <w:t>tuple</w:t>
      </w:r>
      <w:r>
        <w:t xml:space="preserve">, </w:t>
      </w:r>
      <w:r>
        <w:rPr>
          <w:rStyle w:val="Text0"/>
        </w:rPr>
        <w:t>set</w:t>
      </w:r>
      <w:r>
        <w:t xml:space="preserve">, and </w:t>
      </w:r>
      <w:r>
        <w:rPr>
          <w:rStyle w:val="Text0"/>
        </w:rPr>
        <w:t>dict</w:t>
      </w:r>
      <w:r>
        <w:t xml:space="preserve"> all work this way; specifically, when called without arguments, they return a new empty instance, or, for numbers, one that equals </w:t>
      </w:r>
      <w:r>
        <w:rPr>
          <w:rStyle w:val="Text0"/>
        </w:rPr>
        <w:t>0</w:t>
      </w:r>
      <w:r>
        <w:t xml:space="preserve">. The attributes of the </w:t>
      </w:r>
      <w:r>
        <w:rPr>
          <w:rStyle w:val="Text0"/>
        </w:rPr>
        <w:t>types</w:t>
      </w:r>
      <w:r>
        <w:t xml:space="preserve"> module are the built-in types that don’t have built-in names. Besides being callable to generate instances, type objects are useful because you can inherit from them, as covered in </w:t>
      </w:r>
      <w:hyperlink w:anchor="Classes_and_Instances__If_you_re">
        <w:r>
          <w:rPr>
            <w:rStyle w:val="Text1"/>
          </w:rPr>
          <w:t>“Classes and Instances”</w:t>
        </w:r>
      </w:hyperlink>
      <w:r>
        <w:t>.</w:t>
      </w:r>
    </w:p>
    <w:p>
      <w:bookmarkStart w:id="3248" w:name="The_Code_Object_Type__Besides_us"/>
      <w:pPr>
        <w:keepNext/>
        <w:pStyle w:val="Heading 2"/>
      </w:pPr>
      <w:r>
        <w:t>The Code Object Type</w:t>
      </w:r>
      <w:bookmarkEnd w:id="3248"/>
    </w:p>
    <w:p>
      <w:pPr>
        <w:pStyle w:val="Normal"/>
      </w:pPr>
      <w:r>
        <w:t>Besides</w:t>
      </w:r>
      <w:r>
        <w:rPr>
          <w:rStyle w:val="Text111"/>
        </w:rPr>
        <w:bookmarkStart w:id="3249" w:name="idm45965194307312"/>
        <w:t/>
        <w:bookmarkEnd w:id="3249"/>
        <w:bookmarkStart w:id="3250" w:name="idm45965194306208"/>
        <w:t/>
        <w:bookmarkEnd w:id="3250"/>
      </w:r>
      <w:r>
        <w:t xml:space="preserve"> using the built-in function </w:t>
      </w:r>
      <w:r>
        <w:rPr>
          <w:rStyle w:val="Text0"/>
        </w:rPr>
        <w:t>compile</w:t>
      </w:r>
      <w:r>
        <w:t xml:space="preserve">, you can get a code object via the </w:t>
      </w:r>
      <w:r>
        <w:rPr>
          <w:rStyle w:val="Text0"/>
        </w:rPr>
        <w:t>__code__</w:t>
      </w:r>
      <w:r>
        <w:t xml:space="preserve"> attribute of a function or method object. (For a discussion of the attributes of code objects, see </w:t>
      </w:r>
      <w:hyperlink w:anchor="compile_and_Code_Objects__To_mak">
        <w:r>
          <w:rPr>
            <w:rStyle w:val="Text1"/>
          </w:rPr>
          <w:t>“compile and Code Objects”</w:t>
        </w:r>
      </w:hyperlink>
      <w:r>
        <w:t xml:space="preserve">.) Code objects are not callable, but you can rebind the </w:t>
      </w:r>
      <w:r>
        <w:rPr>
          <w:rStyle w:val="Text0"/>
        </w:rPr>
        <w:t>__code__</w:t>
      </w:r>
      <w:r>
        <w:t xml:space="preserve"> attribute of a function object with the right number of parameters in order to wrap a code object into callable form. For example:</w:t>
      </w:r>
    </w:p>
    <w:p>
      <w:pPr>
        <w:pStyle w:val="Para 018"/>
      </w:pPr>
      <w:r>
        <w:rPr>
          <w:rStyle w:val="Text104"/>
        </w:rPr>
        <w:t xml:space="preserve"/>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t>
        <w:br w:clear="none"/>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g</w:t>
        <w:br w:clear="none"/>
        <w:t xml:space="preserve">'</w:t>
        <w:br w:clear="none"/>
      </w:r>
      <w:r>
        <w:rPr>
          <w:rStyle w:val="Text7"/>
        </w:rPr>
        <w:t xml:space="preserve">,</w:t>
        <w:br w:clear="none"/>
      </w:r>
      <w:r>
        <w:t xml:space="preserve"> </w:t>
        <w:br w:clear="none"/>
      </w:r>
      <w:r>
        <w:rPr>
          <w:rStyle w:val="Text9"/>
        </w:rPr>
        <w:t xml:space="preserve">x</w:t>
        <w:br w:clear="none"/>
      </w:r>
      <w:r>
        <w:rPr>
          <w:rStyle w:val="Text7"/>
        </w:rPr>
        <w:t xml:space="preserve">)</w:t>
        <w:br w:clear="none"/>
      </w:r>
      <w:r>
        <w:t xml:space="preserve"/>
        <w:br w:clear="none"/>
      </w:r>
      <w:r>
        <w:rPr>
          <w:rStyle w:val="Text9"/>
        </w:rPr>
        <w:t xml:space="preserve">code_object</w:t>
        <w:br w:clear="none"/>
      </w:r>
      <w:r>
        <w:t xml:space="preserve"> </w:t>
        <w:br w:clear="none"/>
      </w:r>
      <w:r>
        <w:rPr>
          <w:rStyle w:val="Text13"/>
        </w:rPr>
        <w:t xml:space="preserve">=</w:t>
        <w:br w:clear="none"/>
      </w:r>
      <w:r>
        <w:t xml:space="preserve"> </w:t>
        <w:br w:clear="none"/>
      </w:r>
      <w:r>
        <w:rPr>
          <w:rStyle w:val="Text9"/>
        </w:rPr>
        <w:t xml:space="preserve">g</w:t>
        <w:br w:clear="none"/>
      </w:r>
      <w:r>
        <w:rPr>
          <w:rStyle w:val="Text13"/>
        </w:rPr>
        <w:t xml:space="preserve">.</w:t>
        <w:br w:clear="none"/>
      </w:r>
      <w:r>
        <w:t xml:space="preserve">__code__</w:t>
        <w:br w:clear="none"/>
        <w:t xml:space="preserve"/>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r>
      <w:r>
        <w:rPr>
          <w:rStyle w:val="Text9"/>
        </w:rPr>
        <w:t xml:space="preserve">x</w:t>
        <w:br w:clear="none"/>
      </w:r>
      <w:r>
        <w:rPr>
          <w:rStyle w:val="Text7"/>
        </w:rPr>
        <w:t xml:space="preserve">)</w:t>
        <w:br w:clear="none"/>
        <w:t xml:space="preserve">:</w:t>
        <w:br w:clear="none"/>
      </w:r>
      <w:r>
        <w:t xml:space="preserve"> </w:t>
        <w:br w:clear="none"/>
        <w:t xml:space="preserve"/>
        <w:br w:clear="none"/>
      </w:r>
      <w:r>
        <w:rPr>
          <w:rStyle w:val="Text37"/>
        </w:rPr>
        <w:t xml:space="preserve">    </w:t>
        <w:br w:clear="none"/>
      </w:r>
      <w:r>
        <w:rPr>
          <w:rStyle w:val="Text10"/>
        </w:rPr>
        <w:t xml:space="preserve">pass</w:t>
        <w:br w:clear="none"/>
      </w:r>
      <w:r>
        <w:t xml:space="preserve"/>
        <w:br w:clear="none"/>
      </w:r>
      <w:r>
        <w:rPr>
          <w:rStyle w:val="Text9"/>
        </w:rPr>
        <w:t xml:space="preserve">f</w:t>
        <w:br w:clear="none"/>
      </w:r>
      <w:r>
        <w:rPr>
          <w:rStyle w:val="Text13"/>
        </w:rPr>
        <w:t xml:space="preserve">.</w:t>
        <w:br w:clear="none"/>
      </w:r>
      <w:r>
        <w:t xml:space="preserve">__code__</w:t>
        <w:br w:clear="none"/>
        <w:t xml:space="preserve"> </w:t>
        <w:br w:clear="none"/>
      </w:r>
      <w:r>
        <w:rPr>
          <w:rStyle w:val="Text13"/>
        </w:rPr>
        <w:t xml:space="preserve">=</w:t>
        <w:br w:clear="none"/>
      </w:r>
      <w:r>
        <w:t xml:space="preserve"> </w:t>
        <w:br w:clear="none"/>
      </w:r>
      <w:r>
        <w:rPr>
          <w:rStyle w:val="Text9"/>
        </w:rPr>
        <w:t xml:space="preserve">code_object</w:t>
        <w:br w:clear="none"/>
      </w:r>
      <w:r>
        <w:t xml:space="preserve"/>
        <w:br w:clear="none"/>
      </w:r>
      <w:r>
        <w:rPr>
          <w:rStyle w:val="Text9"/>
        </w:rPr>
        <w:t xml:space="preserve">f</w:t>
        <w:br w:clear="none"/>
      </w:r>
      <w:r>
        <w:rPr>
          <w:rStyle w:val="Text7"/>
        </w:rPr>
        <w:t xml:space="preserve">(</w:t>
        <w:br w:clear="none"/>
      </w:r>
      <w:r>
        <w:rPr>
          <w:rStyle w:val="Text27"/>
        </w:rPr>
        <w:t xml:space="preserve">23</w:t>
        <w:br w:clear="none"/>
      </w:r>
      <w:r>
        <w:rPr>
          <w:rStyle w:val="Text7"/>
        </w:rPr>
        <w:t xml:space="preserve">)</w:t>
        <w:br w:clear="none"/>
      </w:r>
      <w:r>
        <w:t xml:space="preserve">     </w:t>
        <w:br w:clear="none"/>
      </w:r>
      <w:r>
        <w:rPr>
          <w:rStyle w:val="Text15"/>
        </w:rPr>
        <w:t xml:space="preserve"># prints: g 23</w:t>
        <w:br w:clear="none"/>
      </w:r>
    </w:p>
    <w:p>
      <w:pPr>
        <w:pStyle w:val="Normal"/>
      </w:pPr>
      <w:r>
        <w:t xml:space="preserve">Code objects that have no parameters can also be used with </w:t>
      </w:r>
      <w:r>
        <w:rPr>
          <w:rStyle w:val="Text0"/>
        </w:rPr>
        <w:t>exec</w:t>
      </w:r>
      <w:r>
        <w:t xml:space="preserve"> or </w:t>
      </w:r>
      <w:r>
        <w:rPr>
          <w:rStyle w:val="Text0"/>
        </w:rPr>
        <w:t>eval</w:t>
      </w:r>
      <w:r>
        <w:t xml:space="preserve">. Directly creating code objects requires many parameters; see Stack Overflow’s </w:t>
      </w:r>
      <w:hyperlink r:id="rId435">
        <w:r>
          <w:rPr>
            <w:rStyle w:val="Text1"/>
          </w:rPr>
          <w:t>unofficial docs</w:t>
        </w:r>
      </w:hyperlink>
      <w:r>
        <w:t xml:space="preserve"> on how to do it (but bear in mind that you’re usually better off calling </w:t>
      </w:r>
      <w:r>
        <w:rPr>
          <w:rStyle w:val="Text0"/>
        </w:rPr>
        <w:t>compile</w:t>
      </w:r>
      <w:r>
        <w:t xml:space="preserve"> instead).</w:t>
      </w:r>
    </w:p>
    <w:p>
      <w:bookmarkStart w:id="3251" w:name="The_Frame_Type__The_function__ge"/>
      <w:pPr>
        <w:keepNext/>
        <w:pStyle w:val="Heading 2"/>
      </w:pPr>
      <w:r>
        <w:t>The Frame Type</w:t>
      </w:r>
      <w:bookmarkEnd w:id="3251"/>
    </w:p>
    <w:p>
      <w:pPr>
        <w:pStyle w:val="Normal"/>
      </w:pPr>
      <w:r>
        <w:t>The</w:t>
      </w:r>
      <w:r>
        <w:rPr>
          <w:rStyle w:val="Text111"/>
        </w:rPr>
        <w:bookmarkStart w:id="3252" w:name="idm45965194259024"/>
        <w:t/>
        <w:bookmarkEnd w:id="3252"/>
      </w:r>
      <w:r>
        <w:t xml:space="preserve"> function </w:t>
      </w:r>
      <w:r>
        <w:rPr>
          <w:rStyle w:val="Text0"/>
        </w:rPr>
        <w:t>_getframe</w:t>
      </w:r>
      <w:r>
        <w:t xml:space="preserve"> in the module </w:t>
      </w:r>
      <w:r>
        <w:rPr>
          <w:rStyle w:val="Text0"/>
        </w:rPr>
        <w:t>sys</w:t>
      </w:r>
      <w:r>
        <w:t xml:space="preserve"> returns a</w:t>
      </w:r>
      <w:r>
        <w:rPr>
          <w:rStyle w:val="Text111"/>
        </w:rPr>
        <w:bookmarkStart w:id="3253" w:name="idm45965194255968"/>
        <w:t/>
        <w:bookmarkEnd w:id="3253"/>
      </w:r>
      <w:r>
        <w:t xml:space="preserve"> frame object from Python’s call stack. A frame object has attributes giving information about the code executing in the frame and the execution state. The</w:t>
      </w:r>
      <w:r>
        <w:rPr>
          <w:rStyle w:val="Text111"/>
        </w:rPr>
        <w:bookmarkStart w:id="3254" w:name="idm45965194254704"/>
        <w:t/>
        <w:bookmarkEnd w:id="3254"/>
        <w:bookmarkStart w:id="3255" w:name="idm45965194222512"/>
        <w:t/>
        <w:bookmarkEnd w:id="3255"/>
        <w:bookmarkStart w:id="3256" w:name="idm45965194221536"/>
        <w:t/>
        <w:bookmarkEnd w:id="3256"/>
        <w:bookmarkStart w:id="3257" w:name="idm45965194220320"/>
        <w:t/>
        <w:bookmarkEnd w:id="3257"/>
      </w:r>
      <w:r>
        <w:t xml:space="preserve"> </w:t>
      </w:r>
      <w:r>
        <w:rPr>
          <w:rStyle w:val="Text0"/>
        </w:rPr>
        <w:t>traceback</w:t>
      </w:r>
      <w:r>
        <w:t xml:space="preserve"> and </w:t>
      </w:r>
      <w:r>
        <w:rPr>
          <w:rStyle w:val="Text0"/>
        </w:rPr>
        <w:t>inspect</w:t>
      </w:r>
      <w:r>
        <w:t xml:space="preserve"> modules help you access and display such information, particularly when an exception is being handled. </w:t>
      </w:r>
      <w:hyperlink w:anchor="Chapter_17__Testing__Debugging_2">
        <w:r>
          <w:rPr>
            <w:rStyle w:val="Text1"/>
          </w:rPr>
          <w:t>Chapter 17</w:t>
        </w:r>
      </w:hyperlink>
      <w:r>
        <w:t xml:space="preserve"> provides more information about frames and tracebacks, and covers the module </w:t>
      </w:r>
      <w:r>
        <w:rPr>
          <w:rStyle w:val="Text0"/>
        </w:rPr>
        <w:t>inspect</w:t>
      </w:r>
      <w:r>
        <w:t xml:space="preserve">, which is the best way to perform such introspection. As the leading underscore in the name </w:t>
      </w:r>
      <w:r>
        <w:rPr>
          <w:rStyle w:val="Text0"/>
        </w:rPr>
        <w:t>_getframe</w:t>
      </w:r>
      <w:r>
        <w:t xml:space="preserve"> hints, the function is “somewhat private”; it’s meant for use only by tools such as debuggers, which inevitably require deep introspection into Python’s internals.</w:t>
      </w:r>
    </w:p>
    <w:p>
      <w:bookmarkStart w:id="3258" w:name="Garbage_Collection__Python_s_gar"/>
      <w:pPr>
        <w:keepNext/>
        <w:pStyle w:val="Heading 1"/>
      </w:pPr>
      <w:r>
        <w:t>Garbage Collection</w:t>
      </w:r>
      <w:bookmarkEnd w:id="3258"/>
    </w:p>
    <w:p>
      <w:pPr>
        <w:pStyle w:val="Normal"/>
      </w:pPr>
      <w:r>
        <w:t>Python’s garbage collection</w:t>
      </w:r>
      <w:r>
        <w:rPr>
          <w:rStyle w:val="Text111"/>
        </w:rPr>
        <w:bookmarkStart w:id="3259" w:name="ECgarbage14"/>
        <w:t/>
        <w:bookmarkEnd w:id="3259"/>
        <w:bookmarkStart w:id="3260" w:name="gcollect14"/>
        <w:t/>
        <w:bookmarkEnd w:id="3260"/>
      </w:r>
      <w:r>
        <w:t xml:space="preserve"> normally proceeds transparently and automatically, but you can choose to exert some direct control. The general principle is that Python collects each object </w:t>
      </w:r>
      <w:r>
        <w:rPr>
          <w:rStyle w:val="Text3"/>
        </w:rPr>
        <w:t>x</w:t>
      </w:r>
      <w:r>
        <w:t xml:space="preserve"> at some time after </w:t>
      </w:r>
      <w:r>
        <w:rPr>
          <w:rStyle w:val="Text3"/>
        </w:rPr>
        <w:t>x</w:t>
      </w:r>
      <w:r>
        <w:t xml:space="preserve"> becomes unreachable—that is, when no chain of references can reach </w:t>
      </w:r>
      <w:r>
        <w:rPr>
          <w:rStyle w:val="Text3"/>
        </w:rPr>
        <w:t>x</w:t>
      </w:r>
      <w:r>
        <w:t xml:space="preserve"> by starting from a local variable of a function instance that is executing, or from a global variable of a loaded module. Normally, an object </w:t>
      </w:r>
      <w:r>
        <w:rPr>
          <w:rStyle w:val="Text3"/>
        </w:rPr>
        <w:t>x</w:t>
      </w:r>
      <w:r>
        <w:t xml:space="preserve"> becomes unreachable when there are no references at all to </w:t>
      </w:r>
      <w:r>
        <w:rPr>
          <w:rStyle w:val="Text3"/>
        </w:rPr>
        <w:t>x</w:t>
      </w:r>
      <w:r>
        <w:t>. In addition, a group of objects can be unreachable when they reference each other but no global or local variables reference any of them, even indirectly (such</w:t>
      </w:r>
      <w:r>
        <w:rPr>
          <w:rStyle w:val="Text111"/>
        </w:rPr>
        <w:bookmarkStart w:id="3261" w:name="idm45965194206016"/>
        <w:t/>
        <w:bookmarkEnd w:id="3261"/>
      </w:r>
      <w:r>
        <w:t xml:space="preserve"> a situation is known as a </w:t>
      </w:r>
      <w:r>
        <w:rPr>
          <w:rStyle w:val="Text4"/>
        </w:rPr>
        <w:t>mutual reference loop</w:t>
      </w:r>
      <w:r>
        <w:t>).</w:t>
      </w:r>
    </w:p>
    <w:p>
      <w:pPr>
        <w:pStyle w:val="Normal"/>
      </w:pPr>
      <w:r>
        <w:t xml:space="preserve">Classic Python keeps with each object </w:t>
      </w:r>
      <w:r>
        <w:rPr>
          <w:rStyle w:val="Text3"/>
        </w:rPr>
        <w:t>x</w:t>
      </w:r>
      <w:r>
        <w:t xml:space="preserve"> a count, known as a</w:t>
      </w:r>
      <w:r>
        <w:rPr>
          <w:rStyle w:val="Text111"/>
        </w:rPr>
        <w:bookmarkStart w:id="3262" w:name="idm45965194202752"/>
        <w:t/>
        <w:bookmarkEnd w:id="3262"/>
      </w:r>
      <w:r>
        <w:t xml:space="preserve"> </w:t>
      </w:r>
      <w:r>
        <w:rPr>
          <w:rStyle w:val="Text4"/>
        </w:rPr>
        <w:t>reference count</w:t>
      </w:r>
      <w:r>
        <w:t xml:space="preserve">, of how many references to </w:t>
      </w:r>
      <w:r>
        <w:rPr>
          <w:rStyle w:val="Text3"/>
        </w:rPr>
        <w:t>x</w:t>
      </w:r>
      <w:r>
        <w:t xml:space="preserve"> are outstanding. When </w:t>
      </w:r>
      <w:r>
        <w:rPr>
          <w:rStyle w:val="Text3"/>
        </w:rPr>
        <w:t>x</w:t>
      </w:r>
      <w:r>
        <w:t xml:space="preserve">’s reference count drops to </w:t>
      </w:r>
      <w:r>
        <w:rPr>
          <w:rStyle w:val="Text0"/>
        </w:rPr>
        <w:t>0</w:t>
      </w:r>
      <w:r>
        <w:t xml:space="preserve">, CPython immediately collects </w:t>
      </w:r>
      <w:r>
        <w:rPr>
          <w:rStyle w:val="Text3"/>
        </w:rPr>
        <w:t>x</w:t>
      </w:r>
      <w:r>
        <w:t>. The</w:t>
      </w:r>
      <w:r>
        <w:rPr>
          <w:rStyle w:val="Text111"/>
        </w:rPr>
        <w:bookmarkStart w:id="3263" w:name="idm45965194197872"/>
        <w:t/>
        <w:bookmarkEnd w:id="3263"/>
      </w:r>
      <w:r>
        <w:t xml:space="preserve"> function </w:t>
      </w:r>
      <w:r>
        <w:rPr>
          <w:rStyle w:val="Text0"/>
        </w:rPr>
        <w:t>getrefcount</w:t>
      </w:r>
      <w:r>
        <w:t xml:space="preserve"> of the module </w:t>
      </w:r>
      <w:r>
        <w:rPr>
          <w:rStyle w:val="Text0"/>
        </w:rPr>
        <w:t>sys</w:t>
      </w:r>
      <w:r>
        <w:t xml:space="preserve"> accepts any object and returns its reference count (at least </w:t>
      </w:r>
      <w:r>
        <w:rPr>
          <w:rStyle w:val="Text0"/>
        </w:rPr>
        <w:t>1</w:t>
      </w:r>
      <w:r>
        <w:t xml:space="preserve">, since </w:t>
      </w:r>
      <w:r>
        <w:rPr>
          <w:rStyle w:val="Text0"/>
        </w:rPr>
        <w:t>getrefcount</w:t>
      </w:r>
      <w:r>
        <w:t xml:space="preserve"> itself has a reference to the object it’s examining). Other versions of Python, such as Jython or PyPy, rely on other garbage collection mechanisms supplied by the platform they run on (e.g., the JVM or the LLVM). The modules </w:t>
      </w:r>
      <w:r>
        <w:rPr>
          <w:rStyle w:val="Text0"/>
        </w:rPr>
        <w:t>gc</w:t>
      </w:r>
      <w:r>
        <w:t xml:space="preserve"> and </w:t>
      </w:r>
      <w:r>
        <w:rPr>
          <w:rStyle w:val="Text0"/>
        </w:rPr>
        <w:t>weakref</w:t>
      </w:r>
      <w:r>
        <w:t>, therefore, apply only to CPython.</w:t>
      </w:r>
    </w:p>
    <w:p>
      <w:pPr>
        <w:pStyle w:val="Normal"/>
      </w:pPr>
      <w:r>
        <w:t xml:space="preserve">When Python garbage-collects </w:t>
      </w:r>
      <w:r>
        <w:rPr>
          <w:rStyle w:val="Text3"/>
        </w:rPr>
        <w:t>x</w:t>
      </w:r>
      <w:r>
        <w:t xml:space="preserve"> and there are no references to </w:t>
      </w:r>
      <w:r>
        <w:rPr>
          <w:rStyle w:val="Text3"/>
        </w:rPr>
        <w:t>x</w:t>
      </w:r>
      <w:r>
        <w:t xml:space="preserve">, Python finalizes </w:t>
      </w:r>
      <w:r>
        <w:rPr>
          <w:rStyle w:val="Text3"/>
        </w:rPr>
        <w:t>x</w:t>
      </w:r>
      <w:r>
        <w:t xml:space="preserve"> (i.e., calls </w:t>
      </w:r>
      <w:r>
        <w:rPr>
          <w:rStyle w:val="Text3"/>
        </w:rPr>
        <w:t>x</w:t>
      </w:r>
      <w:r>
        <w:rPr>
          <w:rStyle w:val="Text0"/>
        </w:rPr>
        <w:t>.</w:t>
        <w:t>__del__</w:t>
      </w:r>
      <w:r>
        <w:t xml:space="preserve">) and frees the memory that </w:t>
      </w:r>
      <w:r>
        <w:rPr>
          <w:rStyle w:val="Text3"/>
        </w:rPr>
        <w:t>x</w:t>
      </w:r>
      <w:r>
        <w:t xml:space="preserve"> occupied. If </w:t>
      </w:r>
      <w:r>
        <w:rPr>
          <w:rStyle w:val="Text3"/>
        </w:rPr>
        <w:t>x</w:t>
      </w:r>
      <w:r>
        <w:t xml:space="preserve"> held any references to other objects, Python removes the references, which in turn may make other objects collectable by leaving them unreachable.</w:t>
      </w:r>
    </w:p>
    <w:p>
      <w:bookmarkStart w:id="3264" w:name="The_gc_Module__The_gc_module_exp"/>
      <w:pPr>
        <w:keepNext/>
        <w:pStyle w:val="Heading 2"/>
      </w:pPr>
      <w:r>
        <w:t>The gc Module</w:t>
      </w:r>
      <w:bookmarkEnd w:id="3264"/>
    </w:p>
    <w:p>
      <w:pPr>
        <w:pStyle w:val="Normal"/>
      </w:pPr>
      <w:r>
        <w:t>The</w:t>
      </w:r>
      <w:r>
        <w:rPr>
          <w:rStyle w:val="Text111"/>
        </w:rPr>
        <w:bookmarkStart w:id="3265" w:name="gcmod14"/>
        <w:t/>
        <w:bookmarkEnd w:id="3265"/>
        <w:bookmarkStart w:id="3266" w:name="SLMgc14"/>
        <w:t/>
        <w:bookmarkEnd w:id="3266"/>
      </w:r>
      <w:r>
        <w:t xml:space="preserve"> </w:t>
      </w:r>
      <w:r>
        <w:rPr>
          <w:rStyle w:val="Text0"/>
        </w:rPr>
        <w:t>gc</w:t>
      </w:r>
      <w:r>
        <w:t xml:space="preserve"> module exposes the functionality of Python’s garbage collector. </w:t>
      </w:r>
      <w:r>
        <w:rPr>
          <w:rStyle w:val="Text0"/>
        </w:rPr>
        <w:t>gc</w:t>
      </w:r>
      <w:r>
        <w:t xml:space="preserve"> deals with unreachable objects that are part of mutual reference loops. As mentioned previously, in such a loop, each object in the loop refers to one or more of the others, keeping the reference counts of all the objects positive, but there are no outside references to any of the set of mutually referencing objects. Therefore, the whole group, also known as</w:t>
      </w:r>
      <w:r>
        <w:rPr>
          <w:rStyle w:val="Text111"/>
        </w:rPr>
        <w:bookmarkStart w:id="3267" w:name="idm45965194178976"/>
        <w:t/>
        <w:bookmarkEnd w:id="3267"/>
      </w:r>
      <w:r>
        <w:t xml:space="preserve"> </w:t>
      </w:r>
      <w:r>
        <w:rPr>
          <w:rStyle w:val="Text4"/>
        </w:rPr>
        <w:t>cyclic garbage</w:t>
      </w:r>
      <w:r>
        <w:t xml:space="preserve">, is unreachable and thus garbage-collectable. Looking for such cyclic garbage loops takes time, which is why the module </w:t>
      </w:r>
      <w:r>
        <w:rPr>
          <w:rStyle w:val="Text0"/>
        </w:rPr>
        <w:t>gc</w:t>
      </w:r>
      <w:r>
        <w:t xml:space="preserve"> exists: to help you control whether and when your program spends that time. By default, cyclic garbage collection functionality is enabled with some reasonable default parameters: however, by importing the </w:t>
      </w:r>
      <w:r>
        <w:rPr>
          <w:rStyle w:val="Text0"/>
        </w:rPr>
        <w:t>gc</w:t>
      </w:r>
      <w:r>
        <w:t xml:space="preserve"> module and calling its functions, you may choose to disable the functionality, change its parameters, and/or find out exactly what’s going on in this respect.</w:t>
      </w:r>
    </w:p>
    <w:p>
      <w:pPr>
        <w:pStyle w:val="Normal"/>
      </w:pPr>
      <w:r>
        <w:rPr>
          <w:rStyle w:val="Text0"/>
        </w:rPr>
        <w:t>gc</w:t>
      </w:r>
      <w:r>
        <w:t xml:space="preserve"> exposes attributes and functions to help you manage and instrument cyclic garbage collection, including those listed in </w:t>
      </w:r>
      <w:hyperlink w:anchor="Table_14_2__gc_functions_and_att">
        <w:r>
          <w:rPr>
            <w:rStyle w:val="Text1"/>
          </w:rPr>
          <w:t>Table 14-2</w:t>
        </w:r>
      </w:hyperlink>
      <w:r>
        <w:t xml:space="preserve">. These functions can let you track down memory leaks—objects that are not collected even though there </w:t>
      </w:r>
      <w:r>
        <w:rPr>
          <w:rStyle w:val="Text4"/>
        </w:rPr>
        <w:t>should</w:t>
      </w:r>
      <w:r>
        <w:t xml:space="preserve"> be no more references to them—by helping you discover what other objects are in fact holding on to references to them. Note that </w:t>
      </w:r>
      <w:r>
        <w:rPr>
          <w:rStyle w:val="Text0"/>
        </w:rPr>
        <w:t>gc</w:t>
      </w:r>
      <w:r>
        <w:t xml:space="preserve"> implements the architecture known in computer science as </w:t>
      </w:r>
      <w:hyperlink r:id="rId436">
        <w:r>
          <w:rPr>
            <w:rStyle w:val="Text1"/>
          </w:rPr>
          <w:t>generational garbage collection</w:t>
        </w:r>
      </w:hyperlink>
      <w:r>
        <w:t>.</w:t>
      </w:r>
    </w:p>
    <w:tbl>
      <w:tblPr>
        <w:tblW w:type="auto" w:w="0"/>
      </w:tblPr>
      <w:tr>
        <w:tc>
          <w:tcPr>
            <w:tcW w:type="auto" w:w="0"/>
            <w:tcMar>
              <w:left w:type="dxa" w:w="200"/>
              <w:top w:type="dxa" w:w="200"/>
              <w:right w:type="dxa" w:w="200"/>
              <w:bottom w:type="dxa" w:w="200"/>
            </w:tcMar>
          </w:tcPr>
          <w:p>
            <w:bookmarkStart w:id="3268" w:name="Table_14_2__gc_functions_and_att"/>
            <w:pPr>
              <w:pStyle w:val="Para 011"/>
            </w:pPr>
            <w:r>
              <w:rPr>
                <w:rStyle w:val="Text117"/>
              </w:rPr>
              <w:t/>
            </w:r>
            <w:r>
              <w:t xml:space="preserve">Table 14-2. </w:t>
            </w:r>
            <w:r>
              <w:rPr>
                <w:rStyle w:val="Text0"/>
              </w:rPr>
              <w:t>gc</w:t>
            </w:r>
            <w:r>
              <w:t xml:space="preserve"> functions and attributes</w:t>
            </w:r>
            <w:bookmarkEnd w:id="3268"/>
          </w:p>
          <w:p>
            <w:pPr>
              <w:pStyle w:val="Para 001"/>
            </w:pPr>
            <w:r>
              <w:t>callbacks</w:t>
            </w:r>
          </w:p>
        </w:tc>
        <w:tc>
          <w:tcPr>
            <w:tcW w:type="auto" w:w="0"/>
            <w:tcMar>
              <w:left w:type="dxa" w:w="200"/>
              <w:top w:type="dxa" w:w="200"/>
              <w:right w:type="dxa" w:w="200"/>
              <w:bottom w:type="dxa" w:w="200"/>
            </w:tcMar>
          </w:tcPr>
          <w:p>
            <w:pPr>
              <w:pStyle w:val="Para 002"/>
            </w:pPr>
            <w:r>
              <w:t xml:space="preserve">A </w:t>
            </w:r>
            <w:r>
              <w:rPr>
                <w:rStyle w:val="Text0"/>
              </w:rPr>
              <w:t>list</w:t>
            </w:r>
            <w:r>
              <w:t xml:space="preserve"> of callbacks that the garbage collector will invoke before and after collection. See </w:t>
            </w:r>
            <w:hyperlink w:anchor="Instrumenting_garbage_collection">
              <w:r>
                <w:rPr>
                  <w:rStyle w:val="Text1"/>
                </w:rPr>
                <w:t>“Instrumenting garbage collection”</w:t>
              </w:r>
            </w:hyperlink>
            <w:r>
              <w:t xml:space="preserve"> for further details.</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w:t>
            </w:r>
          </w:p>
        </w:tc>
        <w:tc>
          <w:tcPr>
            <w:tcW w:type="auto" w:w="0"/>
            <w:shd w:val="clear" w:color="auto" w:fill="EEF2F6"/>
            <w:tcMar>
              <w:left w:type="dxa" w:w="200"/>
              <w:top w:type="dxa" w:w="200"/>
              <w:right w:type="dxa" w:w="200"/>
              <w:bottom w:type="dxa" w:w="200"/>
            </w:tcMar>
          </w:tcPr>
          <w:p>
            <w:pPr>
              <w:pStyle w:val="Para 002"/>
            </w:pPr>
            <w:r>
              <w:rPr>
                <w:rStyle w:val="Text0"/>
              </w:rPr>
              <w:t>collect()</w:t>
              <w:br w:clear="none"/>
            </w:r>
            <w:r>
              <w:t xml:space="preserve"> Forces</w:t>
            </w:r>
            <w:r>
              <w:rPr>
                <w:rStyle w:val="Text111"/>
              </w:rPr>
              <w:bookmarkStart w:id="3269" w:name="idm45965194163344"/>
              <w:t/>
              <w:bookmarkEnd w:id="3269"/>
            </w:r>
            <w:r>
              <w:t xml:space="preserve"> a full cyclic garbage collection run to happen immediately.</w:t>
            </w:r>
          </w:p>
        </w:tc>
      </w:tr>
    </w:tbl>
    <w:tbl>
      <w:tblPr>
        <w:tblW w:type="auto" w:w="0"/>
      </w:tblPr>
      <w:tr>
        <w:tc>
          <w:tcPr>
            <w:tcW w:type="auto" w:w="0"/>
            <w:tcMar>
              <w:left w:type="dxa" w:w="200"/>
              <w:top w:type="dxa" w:w="200"/>
              <w:right w:type="dxa" w:w="200"/>
              <w:bottom w:type="dxa" w:w="200"/>
            </w:tcMar>
          </w:tcPr>
          <w:p>
            <w:pPr>
              <w:pStyle w:val="Para 001"/>
            </w:pPr>
            <w:r>
              <w:t>disable</w:t>
            </w:r>
          </w:p>
        </w:tc>
        <w:tc>
          <w:tcPr>
            <w:tcW w:type="auto" w:w="0"/>
            <w:tcMar>
              <w:left w:type="dxa" w:w="200"/>
              <w:top w:type="dxa" w:w="200"/>
              <w:right w:type="dxa" w:w="200"/>
              <w:bottom w:type="dxa" w:w="200"/>
            </w:tcMar>
          </w:tcPr>
          <w:p>
            <w:pPr>
              <w:pStyle w:val="Para 002"/>
            </w:pPr>
            <w:r>
              <w:rPr>
                <w:rStyle w:val="Text0"/>
              </w:rPr>
              <w:t>disable()</w:t>
              <w:br w:clear="none"/>
            </w:r>
            <w:r>
              <w:t xml:space="preserve"> Suspends</w:t>
            </w:r>
            <w:r>
              <w:rPr>
                <w:rStyle w:val="Text111"/>
              </w:rPr>
              <w:bookmarkStart w:id="3270" w:name="idm45965194159680"/>
              <w:t/>
              <w:bookmarkEnd w:id="3270"/>
            </w:r>
            <w:r>
              <w:t xml:space="preserve"> automatic, periodic cyclic garbage collection.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enable</w:t>
            </w:r>
          </w:p>
        </w:tc>
        <w:tc>
          <w:tcPr>
            <w:tcW w:type="auto" w:w="0"/>
            <w:shd w:val="clear" w:color="auto" w:fill="EEF2F6"/>
            <w:tcMar>
              <w:left w:type="dxa" w:w="200"/>
              <w:top w:type="dxa" w:w="200"/>
              <w:right w:type="dxa" w:w="200"/>
              <w:bottom w:type="dxa" w:w="200"/>
            </w:tcMar>
          </w:tcPr>
          <w:p>
            <w:pPr>
              <w:pStyle w:val="Para 002"/>
            </w:pPr>
            <w:r>
              <w:rPr>
                <w:rStyle w:val="Text0"/>
              </w:rPr>
              <w:t>enable()</w:t>
              <w:br w:clear="none"/>
            </w:r>
            <w:r>
              <w:t xml:space="preserve"> Reenables</w:t>
            </w:r>
            <w:r>
              <w:rPr>
                <w:rStyle w:val="Text111"/>
              </w:rPr>
              <w:bookmarkStart w:id="3271" w:name="idm45965194156016"/>
              <w:t/>
              <w:bookmarkEnd w:id="3271"/>
            </w:r>
            <w:r>
              <w:t xml:space="preserve"> periodic cyclic garbage collection previously suspended with </w:t>
            </w:r>
            <w:r>
              <w:rPr>
                <w:rStyle w:val="Text0"/>
              </w:rPr>
              <w:t>disable</w:t>
            </w:r>
            <w:r>
              <w:t>.</w:t>
            </w:r>
          </w:p>
        </w:tc>
      </w:tr>
    </w:tbl>
    <w:tbl>
      <w:tblPr>
        <w:tblW w:type="auto" w:w="0"/>
      </w:tblPr>
      <w:tr>
        <w:tc>
          <w:tcPr>
            <w:tcW w:type="auto" w:w="0"/>
            <w:tcMar>
              <w:left w:type="dxa" w:w="200"/>
              <w:top w:type="dxa" w:w="200"/>
              <w:right w:type="dxa" w:w="200"/>
              <w:bottom w:type="dxa" w:w="200"/>
            </w:tcMar>
          </w:tcPr>
          <w:p>
            <w:pPr>
              <w:pStyle w:val="Para 001"/>
            </w:pPr>
            <w:r>
              <w:t>freeze</w:t>
            </w:r>
          </w:p>
        </w:tc>
        <w:tc>
          <w:tcPr>
            <w:tcW w:type="auto" w:w="0"/>
            <w:tcMar>
              <w:left w:type="dxa" w:w="200"/>
              <w:top w:type="dxa" w:w="200"/>
              <w:right w:type="dxa" w:w="200"/>
              <w:bottom w:type="dxa" w:w="200"/>
            </w:tcMar>
          </w:tcPr>
          <w:p>
            <w:pPr>
              <w:pStyle w:val="Para 002"/>
            </w:pPr>
            <w:r>
              <w:rPr>
                <w:rStyle w:val="Text0"/>
              </w:rPr>
              <w:t>freeze()</w:t>
              <w:br w:clear="none"/>
            </w:r>
            <w:r>
              <w:t xml:space="preserve"> Freezes</w:t>
            </w:r>
            <w:r>
              <w:rPr>
                <w:rStyle w:val="Text111"/>
              </w:rPr>
              <w:bookmarkStart w:id="3272" w:name="idm45965194151552"/>
              <w:t/>
              <w:bookmarkEnd w:id="3272"/>
            </w:r>
            <w:r>
              <w:t xml:space="preserve"> all objects tracked by </w:t>
            </w:r>
            <w:r>
              <w:rPr>
                <w:rStyle w:val="Text0"/>
              </w:rPr>
              <w:t>gc</w:t>
            </w:r>
            <w:r>
              <w:t>: moves them to a “permanent generation,” i.e., a set of objects to be ignored in all the future collections.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garbage</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list</w:t>
            </w:r>
            <w:r>
              <w:t xml:space="preserve"> (but, treat it as read-only) of unreachable but uncollectable objects. This happens when any object in a cyclic garbage loop has a </w:t>
            </w:r>
            <w:r>
              <w:rPr>
                <w:rStyle w:val="Text0"/>
              </w:rPr>
              <w:t>__del__</w:t>
            </w:r>
            <w:r>
              <w:t xml:space="preserve"> special method, as there may be no demonstrably safe order for Python to finalize such objects.</w:t>
            </w:r>
          </w:p>
        </w:tc>
      </w:tr>
    </w:tbl>
    <w:tbl>
      <w:tblPr>
        <w:tblW w:type="auto" w:w="0"/>
      </w:tblPr>
      <w:tr>
        <w:tc>
          <w:tcPr>
            <w:tcW w:type="auto" w:w="0"/>
            <w:tcMar>
              <w:left w:type="dxa" w:w="200"/>
              <w:top w:type="dxa" w:w="200"/>
              <w:right w:type="dxa" w:w="200"/>
              <w:bottom w:type="dxa" w:w="200"/>
            </w:tcMar>
          </w:tcPr>
          <w:p>
            <w:pPr>
              <w:pStyle w:val="Para 001"/>
            </w:pPr>
            <w:r>
              <w:t>get_count</w:t>
            </w:r>
          </w:p>
        </w:tc>
        <w:tc>
          <w:tcPr>
            <w:tcW w:type="auto" w:w="0"/>
            <w:tcMar>
              <w:left w:type="dxa" w:w="200"/>
              <w:top w:type="dxa" w:w="200"/>
              <w:right w:type="dxa" w:w="200"/>
              <w:bottom w:type="dxa" w:w="200"/>
            </w:tcMar>
          </w:tcPr>
          <w:p>
            <w:pPr>
              <w:pStyle w:val="Para 002"/>
            </w:pPr>
            <w:r>
              <w:rPr>
                <w:rStyle w:val="Text0"/>
              </w:rPr>
              <w:t>get_count()</w:t>
              <w:br w:clear="none"/>
            </w:r>
            <w:r>
              <w:t xml:space="preserve"> Returns the current collection counts as a tuple, </w:t>
            </w:r>
            <w:r>
              <w:rPr>
                <w:rStyle w:val="Text0"/>
              </w:rPr>
              <w:t>(count0, count1, count2)</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get_debug</w:t>
            </w:r>
          </w:p>
        </w:tc>
        <w:tc>
          <w:tcPr>
            <w:tcW w:type="auto" w:w="0"/>
            <w:shd w:val="clear" w:color="auto" w:fill="EEF2F6"/>
            <w:tcMar>
              <w:left w:type="dxa" w:w="200"/>
              <w:top w:type="dxa" w:w="200"/>
              <w:right w:type="dxa" w:w="200"/>
              <w:bottom w:type="dxa" w:w="200"/>
            </w:tcMar>
          </w:tcPr>
          <w:p>
            <w:pPr>
              <w:pStyle w:val="Para 002"/>
            </w:pPr>
            <w:r>
              <w:rPr>
                <w:rStyle w:val="Text0"/>
              </w:rPr>
              <w:t>get_debug()</w:t>
              <w:br w:clear="none"/>
            </w:r>
            <w:r>
              <w:t xml:space="preserve"> Returns an </w:t>
            </w:r>
            <w:r>
              <w:rPr>
                <w:rStyle w:val="Text0"/>
              </w:rPr>
              <w:t>int</w:t>
            </w:r>
            <w:r>
              <w:t xml:space="preserve"> bit string, the garbage collection debug flags set with </w:t>
            </w:r>
            <w:r>
              <w:rPr>
                <w:rStyle w:val="Text0"/>
              </w:rPr>
              <w:t>set_debug</w:t>
            </w:r>
            <w:r>
              <w:t>.</w:t>
            </w:r>
          </w:p>
        </w:tc>
      </w:tr>
    </w:tbl>
    <w:tbl>
      <w:tblPr>
        <w:tblW w:type="auto" w:w="0"/>
      </w:tblPr>
      <w:tr>
        <w:tc>
          <w:tcPr>
            <w:tcW w:type="auto" w:w="0"/>
            <w:tcMar>
              <w:left w:type="dxa" w:w="200"/>
              <w:top w:type="dxa" w:w="200"/>
              <w:right w:type="dxa" w:w="200"/>
              <w:bottom w:type="dxa" w:w="200"/>
            </w:tcMar>
          </w:tcPr>
          <w:p>
            <w:pPr>
              <w:pStyle w:val="Para 001"/>
            </w:pPr>
            <w:r>
              <w:t>get_freeze_count</w:t>
            </w:r>
          </w:p>
        </w:tc>
        <w:tc>
          <w:tcPr>
            <w:tcW w:type="auto" w:w="0"/>
            <w:tcMar>
              <w:left w:type="dxa" w:w="200"/>
              <w:top w:type="dxa" w:w="200"/>
              <w:right w:type="dxa" w:w="200"/>
              <w:bottom w:type="dxa" w:w="200"/>
            </w:tcMar>
          </w:tcPr>
          <w:p>
            <w:pPr>
              <w:pStyle w:val="Para 002"/>
            </w:pPr>
            <w:r>
              <w:rPr>
                <w:rStyle w:val="Text0"/>
              </w:rPr>
              <w:t>get_freeze_count()</w:t>
              <w:br w:clear="none"/>
            </w:r>
            <w:r>
              <w:t xml:space="preserve"> Returns the number of objects in the permanent generation.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get_objects</w:t>
            </w:r>
          </w:p>
        </w:tc>
        <w:tc>
          <w:tcPr>
            <w:tcW w:type="auto" w:w="0"/>
            <w:shd w:val="clear" w:color="auto" w:fill="EEF2F6"/>
            <w:tcMar>
              <w:left w:type="dxa" w:w="200"/>
              <w:top w:type="dxa" w:w="200"/>
              <w:right w:type="dxa" w:w="200"/>
              <w:bottom w:type="dxa" w:w="200"/>
            </w:tcMar>
          </w:tcPr>
          <w:p>
            <w:pPr>
              <w:pStyle w:val="Para 002"/>
            </w:pPr>
            <w:r>
              <w:rPr>
                <w:rStyle w:val="Text0"/>
              </w:rPr>
              <w:t>get_objects(generation=</w:t>
            </w:r>
            <w:r>
              <w:rPr>
                <w:rStyle w:val="Text5"/>
              </w:rPr>
              <w:t>None</w:t>
            </w:r>
            <w:r>
              <w:rPr>
                <w:rStyle w:val="Text0"/>
              </w:rPr>
              <w:t>)</w:t>
              <w:br w:clear="none"/>
            </w:r>
            <w:r>
              <w:t xml:space="preserve"> Returns a list of objects being tracked by the collector. </w:t>
            </w:r>
            <w:r>
              <w:rPr>
                <w:rStyle w:val="Text34"/>
              </w:rPr>
              <w:t>3.8+</w:t>
            </w:r>
            <w:r>
              <w:t xml:space="preserve"> If the optional </w:t>
            </w:r>
            <w:r>
              <w:rPr>
                <w:rStyle w:val="Text0"/>
              </w:rPr>
              <w:t>generation</w:t>
            </w:r>
            <w:r>
              <w:t xml:space="preserve"> argument is not </w:t>
            </w:r>
            <w:r>
              <w:rPr>
                <w:rStyle w:val="Text5"/>
              </w:rPr>
              <w:t>None</w:t>
            </w:r>
            <w:r>
              <w:t>, lists only those objects in the selected generation.</w:t>
            </w:r>
          </w:p>
        </w:tc>
      </w:tr>
    </w:tbl>
    <w:tbl>
      <w:tblPr>
        <w:tblW w:type="auto" w:w="0"/>
      </w:tblPr>
      <w:tr>
        <w:tc>
          <w:tcPr>
            <w:tcW w:type="auto" w:w="0"/>
            <w:tcMar>
              <w:left w:type="dxa" w:w="200"/>
              <w:top w:type="dxa" w:w="200"/>
              <w:right w:type="dxa" w:w="200"/>
              <w:bottom w:type="dxa" w:w="200"/>
            </w:tcMar>
          </w:tcPr>
          <w:p>
            <w:pPr>
              <w:pStyle w:val="Para 001"/>
            </w:pPr>
            <w:r>
              <w:t>get_referents</w:t>
            </w:r>
          </w:p>
        </w:tc>
        <w:tc>
          <w:tcPr>
            <w:tcW w:type="auto" w:w="0"/>
            <w:tcMar>
              <w:left w:type="dxa" w:w="200"/>
              <w:top w:type="dxa" w:w="200"/>
              <w:right w:type="dxa" w:w="200"/>
              <w:bottom w:type="dxa" w:w="200"/>
            </w:tcMar>
          </w:tcPr>
          <w:p>
            <w:pPr>
              <w:pStyle w:val="Para 002"/>
            </w:pPr>
            <w:r>
              <w:rPr>
                <w:rStyle w:val="Text0"/>
              </w:rPr>
              <w:t>get_referents(</w:t>
            </w:r>
            <w:r>
              <w:rPr>
                <w:rStyle w:val="Text3"/>
              </w:rPr>
              <w:t>*objs</w:t>
            </w:r>
            <w:r>
              <w:rPr>
                <w:rStyle w:val="Text0"/>
              </w:rPr>
              <w:t>)</w:t>
              <w:br w:clear="none"/>
            </w:r>
            <w:r>
              <w:t xml:space="preserve"> Returns a list of objects, visited by the arguments’ C-level </w:t>
            </w:r>
            <w:r>
              <w:rPr>
                <w:rStyle w:val="Text0"/>
              </w:rPr>
              <w:t>tp_traverse</w:t>
            </w:r>
            <w:r>
              <w:t xml:space="preserve"> methods, that are referred to by any of the arguments.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get_referrers</w:t>
            </w:r>
          </w:p>
        </w:tc>
        <w:tc>
          <w:tcPr>
            <w:tcW w:type="auto" w:w="0"/>
            <w:shd w:val="clear" w:color="auto" w:fill="EEF2F6"/>
            <w:tcMar>
              <w:left w:type="dxa" w:w="200"/>
              <w:top w:type="dxa" w:w="200"/>
              <w:right w:type="dxa" w:w="200"/>
              <w:bottom w:type="dxa" w:w="200"/>
            </w:tcMar>
          </w:tcPr>
          <w:p>
            <w:pPr>
              <w:pStyle w:val="Para 002"/>
            </w:pPr>
            <w:r>
              <w:rPr>
                <w:rStyle w:val="Text0"/>
              </w:rPr>
              <w:t>get_referrers(</w:t>
            </w:r>
            <w:r>
              <w:rPr>
                <w:rStyle w:val="Text3"/>
              </w:rPr>
              <w:t>*objs</w:t>
            </w:r>
            <w:r>
              <w:rPr>
                <w:rStyle w:val="Text0"/>
              </w:rPr>
              <w:t>)</w:t>
              <w:br w:clear="none"/>
            </w:r>
            <w:r>
              <w:t xml:space="preserve"> Returns a list of all container objects currently tracked by the cyclic garbage collector that refer to any one or more of the arguments.</w:t>
            </w:r>
          </w:p>
        </w:tc>
      </w:tr>
    </w:tbl>
    <w:tbl>
      <w:tblPr>
        <w:tblW w:type="auto" w:w="0"/>
      </w:tblPr>
      <w:tr>
        <w:tc>
          <w:tcPr>
            <w:tcW w:type="auto" w:w="0"/>
            <w:tcMar>
              <w:left w:type="dxa" w:w="200"/>
              <w:top w:type="dxa" w:w="200"/>
              <w:right w:type="dxa" w:w="200"/>
              <w:bottom w:type="dxa" w:w="200"/>
            </w:tcMar>
          </w:tcPr>
          <w:p>
            <w:pPr>
              <w:pStyle w:val="Para 001"/>
            </w:pPr>
            <w:r>
              <w:t>get_stats</w:t>
            </w:r>
          </w:p>
        </w:tc>
        <w:tc>
          <w:tcPr>
            <w:tcW w:type="auto" w:w="0"/>
            <w:tcMar>
              <w:left w:type="dxa" w:w="200"/>
              <w:top w:type="dxa" w:w="200"/>
              <w:right w:type="dxa" w:w="200"/>
              <w:bottom w:type="dxa" w:w="200"/>
            </w:tcMar>
          </w:tcPr>
          <w:p>
            <w:pPr>
              <w:pStyle w:val="Para 002"/>
            </w:pPr>
            <w:r>
              <w:rPr>
                <w:rStyle w:val="Text0"/>
              </w:rPr>
              <w:t>get_stats()</w:t>
              <w:br w:clear="none"/>
            </w:r>
            <w:r>
              <w:t xml:space="preserve"> Returns</w:t>
            </w:r>
            <w:r>
              <w:rPr>
                <w:rStyle w:val="Text111"/>
              </w:rPr>
              <w:bookmarkStart w:id="3273" w:name="idm45965194122512"/>
              <w:t/>
              <w:bookmarkEnd w:id="3273"/>
            </w:r>
            <w:r>
              <w:t xml:space="preserve"> a list of three </w:t>
            </w:r>
            <w:r>
              <w:rPr>
                <w:rStyle w:val="Text0"/>
              </w:rPr>
              <w:t>dict</w:t>
            </w:r>
            <w:r>
              <w:t>s, one per generation, containing counts of the number of collections, the number of objects collected, and the number of uncollectable objects.</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get_threshold</w:t>
            </w:r>
          </w:p>
        </w:tc>
        <w:tc>
          <w:tcPr>
            <w:tcW w:type="auto" w:w="0"/>
            <w:shd w:val="clear" w:color="auto" w:fill="EEF2F6"/>
            <w:tcMar>
              <w:left w:type="dxa" w:w="200"/>
              <w:top w:type="dxa" w:w="200"/>
              <w:right w:type="dxa" w:w="200"/>
              <w:bottom w:type="dxa" w:w="200"/>
            </w:tcMar>
          </w:tcPr>
          <w:p>
            <w:pPr>
              <w:pStyle w:val="Para 002"/>
            </w:pPr>
            <w:r>
              <w:rPr>
                <w:rStyle w:val="Text0"/>
              </w:rPr>
              <w:t>get_threshold()</w:t>
              <w:br w:clear="none"/>
            </w:r>
            <w:r>
              <w:t xml:space="preserve"> Returns</w:t>
            </w:r>
            <w:r>
              <w:rPr>
                <w:rStyle w:val="Text111"/>
              </w:rPr>
              <w:bookmarkStart w:id="3274" w:name="idm45965194117968"/>
              <w:t/>
              <w:bookmarkEnd w:id="3274"/>
            </w:r>
            <w:r>
              <w:t xml:space="preserve"> the current collection thresholds as a tuple of the three </w:t>
            </w:r>
            <w:r>
              <w:rPr>
                <w:rStyle w:val="Text0"/>
              </w:rPr>
              <w:t>int</w:t>
            </w:r>
            <w:r>
              <w:t>s.</w:t>
            </w:r>
          </w:p>
        </w:tc>
      </w:tr>
    </w:tbl>
    <w:tbl>
      <w:tblPr>
        <w:tblW w:type="auto" w:w="0"/>
      </w:tblPr>
      <w:tr>
        <w:tc>
          <w:tcPr>
            <w:tcW w:type="auto" w:w="0"/>
            <w:tcMar>
              <w:left w:type="dxa" w:w="200"/>
              <w:top w:type="dxa" w:w="200"/>
              <w:right w:type="dxa" w:w="200"/>
              <w:bottom w:type="dxa" w:w="200"/>
            </w:tcMar>
          </w:tcPr>
          <w:p>
            <w:pPr>
              <w:pStyle w:val="Para 001"/>
            </w:pPr>
            <w:r>
              <w:t>isenabled</w:t>
            </w:r>
          </w:p>
        </w:tc>
        <w:tc>
          <w:tcPr>
            <w:tcW w:type="auto" w:w="0"/>
            <w:tcMar>
              <w:left w:type="dxa" w:w="200"/>
              <w:top w:type="dxa" w:w="200"/>
              <w:right w:type="dxa" w:w="200"/>
              <w:bottom w:type="dxa" w:w="200"/>
            </w:tcMar>
          </w:tcPr>
          <w:p>
            <w:pPr>
              <w:pStyle w:val="Para 002"/>
            </w:pPr>
            <w:r>
              <w:rPr>
                <w:rStyle w:val="Text0"/>
              </w:rPr>
              <w:t>isenabled()</w:t>
              <w:br w:clear="none"/>
            </w:r>
            <w:r>
              <w:t xml:space="preserve"> Returns</w:t>
            </w:r>
            <w:r>
              <w:rPr>
                <w:rStyle w:val="Text111"/>
              </w:rPr>
              <w:bookmarkStart w:id="3275" w:name="idm45965194113536"/>
              <w:t/>
              <w:bookmarkEnd w:id="3275"/>
            </w:r>
            <w:r>
              <w:t xml:space="preserve"> </w:t>
            </w:r>
            <w:r>
              <w:rPr>
                <w:rStyle w:val="Text5"/>
              </w:rPr>
              <w:t>True</w:t>
            </w:r>
            <w:r>
              <w:t xml:space="preserve"> when cyclic garbage collection is currently enabled; otherwise returns </w:t>
            </w:r>
            <w:r>
              <w:rPr>
                <w:rStyle w:val="Text5"/>
              </w:rPr>
              <w:t>False</w:t>
            </w:r>
            <w:r>
              <w:rPr>
                <w:rStyle w:val="Text37"/>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is_finalized</w:t>
            </w:r>
          </w:p>
        </w:tc>
        <w:tc>
          <w:tcPr>
            <w:tcW w:type="auto" w:w="0"/>
            <w:shd w:val="clear" w:color="auto" w:fill="EEF2F6"/>
            <w:tcMar>
              <w:left w:type="dxa" w:w="200"/>
              <w:top w:type="dxa" w:w="200"/>
              <w:right w:type="dxa" w:w="200"/>
              <w:bottom w:type="dxa" w:w="200"/>
            </w:tcMar>
          </w:tcPr>
          <w:p>
            <w:pPr>
              <w:pStyle w:val="Para 002"/>
            </w:pPr>
            <w:r>
              <w:rPr>
                <w:rStyle w:val="Text0"/>
              </w:rPr>
              <w:t>is_finalized(</w:t>
            </w:r>
            <w:r>
              <w:rPr>
                <w:rStyle w:val="Text3"/>
              </w:rPr>
              <w:t>obj</w:t>
            </w:r>
            <w:r>
              <w:rPr>
                <w:rStyle w:val="Text0"/>
              </w:rPr>
              <w:t>)</w:t>
              <w:br w:clear="none"/>
            </w:r>
            <w:r>
              <w:t xml:space="preserve"> </w:t>
            </w:r>
            <w:r>
              <w:rPr>
                <w:rStyle w:val="Text34"/>
              </w:rPr>
              <w:t>3.9+</w:t>
            </w:r>
            <w:r>
              <w:t xml:space="preserve"> Returns </w:t>
            </w:r>
            <w:r>
              <w:rPr>
                <w:rStyle w:val="Text5"/>
              </w:rPr>
              <w:t>True</w:t>
            </w:r>
            <w:r>
              <w:t xml:space="preserve"> when the garbage collector has finalized </w:t>
            </w:r>
            <w:r>
              <w:rPr>
                <w:rStyle w:val="Text3"/>
              </w:rPr>
              <w:t>obj</w:t>
            </w:r>
            <w:r>
              <w:t xml:space="preserve">;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is_tracked</w:t>
            </w:r>
          </w:p>
        </w:tc>
        <w:tc>
          <w:tcPr>
            <w:tcW w:type="auto" w:w="0"/>
            <w:tcMar>
              <w:left w:type="dxa" w:w="200"/>
              <w:top w:type="dxa" w:w="200"/>
              <w:right w:type="dxa" w:w="200"/>
              <w:bottom w:type="dxa" w:w="200"/>
            </w:tcMar>
          </w:tcPr>
          <w:p>
            <w:pPr>
              <w:pStyle w:val="Para 002"/>
            </w:pPr>
            <w:r>
              <w:rPr>
                <w:rStyle w:val="Text0"/>
              </w:rPr>
              <w:t>is_tracked(</w:t>
            </w:r>
            <w:r>
              <w:rPr>
                <w:rStyle w:val="Text3"/>
              </w:rPr>
              <w:t>obj</w:t>
            </w:r>
            <w:r>
              <w:rPr>
                <w:rStyle w:val="Text0"/>
              </w:rPr>
              <w:t>)</w:t>
              <w:br w:clear="none"/>
            </w:r>
            <w:r>
              <w:t xml:space="preserve"> Returns </w:t>
            </w:r>
            <w:r>
              <w:rPr>
                <w:rStyle w:val="Text5"/>
              </w:rPr>
              <w:t>True</w:t>
            </w:r>
            <w:r>
              <w:t xml:space="preserve"> when </w:t>
            </w:r>
            <w:r>
              <w:rPr>
                <w:rStyle w:val="Text3"/>
              </w:rPr>
              <w:t>obj</w:t>
            </w:r>
            <w:r>
              <w:t xml:space="preserve"> is currently tracked by the garbage collector;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set_debug</w:t>
            </w:r>
          </w:p>
        </w:tc>
        <w:tc>
          <w:tcPr>
            <w:tcW w:type="auto" w:w="0"/>
            <w:shd w:val="clear" w:color="auto" w:fill="EEF2F6"/>
            <w:tcMar>
              <w:left w:type="dxa" w:w="200"/>
              <w:top w:type="dxa" w:w="200"/>
              <w:right w:type="dxa" w:w="200"/>
              <w:bottom w:type="dxa" w:w="200"/>
            </w:tcMar>
          </w:tcPr>
          <w:p>
            <w:pPr>
              <w:pStyle w:val="Para 002"/>
            </w:pPr>
            <w:r>
              <w:rPr>
                <w:rStyle w:val="Text0"/>
              </w:rPr>
              <w:t>set_debug(</w:t>
            </w:r>
            <w:r>
              <w:rPr>
                <w:rStyle w:val="Text3"/>
              </w:rPr>
              <w:t>flags</w:t>
            </w:r>
            <w:r>
              <w:rPr>
                <w:rStyle w:val="Text0"/>
              </w:rPr>
              <w:t>)</w:t>
              <w:br w:clear="none"/>
            </w:r>
            <w:r>
              <w:t xml:space="preserve"> Sets</w:t>
            </w:r>
            <w:r>
              <w:rPr>
                <w:rStyle w:val="Text111"/>
              </w:rPr>
              <w:bookmarkStart w:id="3276" w:name="idm45965194095536"/>
              <w:t/>
              <w:bookmarkEnd w:id="3276"/>
            </w:r>
            <w:r>
              <w:t xml:space="preserve"> flags for debugging behavior during garbage collection. </w:t>
            </w:r>
            <w:r>
              <w:rPr>
                <w:rStyle w:val="Text3"/>
              </w:rPr>
              <w:t>flags</w:t>
            </w:r>
            <w:r>
              <w:t xml:space="preserve"> is an </w:t>
            </w:r>
            <w:r>
              <w:rPr>
                <w:rStyle w:val="Text0"/>
              </w:rPr>
              <w:t>int</w:t>
            </w:r>
            <w:r>
              <w:t xml:space="preserve">, interpreted as a bit string, built by ORing (with the bitwise OR operator, </w:t>
            </w:r>
            <w:r>
              <w:rPr>
                <w:rStyle w:val="Text0"/>
              </w:rPr>
              <w:t>|</w:t>
            </w:r>
            <w:r>
              <w:t xml:space="preserve">) zero or more constants supplied by the module </w:t>
            </w:r>
            <w:r>
              <w:rPr>
                <w:rStyle w:val="Text0"/>
              </w:rPr>
              <w:t>gc</w:t>
            </w:r>
            <w:r>
              <w:t xml:space="preserve">. Each bit enables a specific debugging function: </w:t>
            </w:r>
          </w:p>
          <w:p>
            <w:pPr>
              <w:pStyle w:val="Para 024"/>
            </w:pPr>
            <w:r>
              <w:t>DEBUG_COLLECTABLE</w:t>
            </w:r>
          </w:p>
          <w:p>
            <w:pPr>
              <w:pStyle w:val="Para 028"/>
            </w:pPr>
            <w:r>
              <w:t>Prints information on collectable objects found during garbage collection.</w:t>
            </w:r>
          </w:p>
          <w:p>
            <w:pPr>
              <w:pStyle w:val="Para 024"/>
            </w:pPr>
            <w:r>
              <w:t>DEBUG_LEAK</w:t>
            </w:r>
          </w:p>
          <w:p>
            <w:pPr>
              <w:pStyle w:val="Para 028"/>
            </w:pPr>
            <w:r>
              <w:t xml:space="preserve">Combines behavior for </w:t>
            </w:r>
            <w:r>
              <w:rPr>
                <w:rStyle w:val="Text0"/>
              </w:rPr>
              <w:t>DEBUG_COLLECTABLE, DEBUG_UNCOLLECTABLE</w:t>
            </w:r>
            <w:r>
              <w:t xml:space="preserve">, and </w:t>
            </w:r>
            <w:r>
              <w:rPr>
                <w:rStyle w:val="Text0"/>
              </w:rPr>
              <w:t>DEBUG_SAVEALL</w:t>
            </w:r>
            <w:r>
              <w:t>. Together, these are the most common flags used to help you diagnose memory leaks.</w:t>
            </w:r>
          </w:p>
          <w:p>
            <w:pPr>
              <w:pStyle w:val="Para 024"/>
            </w:pPr>
            <w:r>
              <w:t>DEBUG_SAVEALL</w:t>
            </w:r>
          </w:p>
          <w:p>
            <w:pPr>
              <w:pStyle w:val="Para 028"/>
            </w:pPr>
            <w:r>
              <w:t xml:space="preserve">Saves all collectable objects to the list </w:t>
            </w:r>
            <w:r>
              <w:rPr>
                <w:rStyle w:val="Text0"/>
              </w:rPr>
              <w:t>gc.garbage</w:t>
            </w:r>
            <w:r>
              <w:t xml:space="preserve"> (where uncollectable ones are also always saved) to help you diagnose leaks.</w:t>
            </w:r>
          </w:p>
          <w:p>
            <w:pPr>
              <w:pStyle w:val="Para 024"/>
            </w:pPr>
            <w:r>
              <w:t>DEBUG_STATS</w:t>
            </w:r>
          </w:p>
          <w:p>
            <w:pPr>
              <w:pStyle w:val="Para 028"/>
            </w:pPr>
            <w:r>
              <w:t>Prints statistics gathered during garbage collection to help you tune the thresholds.</w:t>
            </w:r>
          </w:p>
          <w:p>
            <w:pPr>
              <w:pStyle w:val="Para 024"/>
            </w:pPr>
            <w:r>
              <w:t>DEBUG_UNCOLLECTABLE</w:t>
            </w:r>
          </w:p>
          <w:p>
            <w:pPr>
              <w:pStyle w:val="Para 028"/>
            </w:pPr>
            <w:r>
              <w:t>Prints information on uncollectable objects found during garbage collection.</w:t>
            </w:r>
          </w:p>
        </w:tc>
      </w:tr>
    </w:tbl>
    <w:tbl>
      <w:tblPr>
        <w:tblW w:type="auto" w:w="0"/>
      </w:tblPr>
      <w:tr>
        <w:tc>
          <w:tcPr>
            <w:tcW w:type="auto" w:w="0"/>
            <w:tcMar>
              <w:left w:type="dxa" w:w="200"/>
              <w:top w:type="dxa" w:w="200"/>
              <w:right w:type="dxa" w:w="200"/>
              <w:bottom w:type="dxa" w:w="200"/>
            </w:tcMar>
          </w:tcPr>
          <w:p>
            <w:pPr>
              <w:pStyle w:val="Para 001"/>
            </w:pPr>
            <w:r>
              <w:t>set_threshold</w:t>
            </w:r>
          </w:p>
        </w:tc>
        <w:tc>
          <w:tcPr>
            <w:tcW w:type="auto" w:w="0"/>
            <w:tcMar>
              <w:left w:type="dxa" w:w="200"/>
              <w:top w:type="dxa" w:w="200"/>
              <w:right w:type="dxa" w:w="200"/>
              <w:bottom w:type="dxa" w:w="200"/>
            </w:tcMar>
          </w:tcPr>
          <w:p>
            <w:pPr>
              <w:pStyle w:val="Para 002"/>
            </w:pPr>
            <w:r>
              <w:rPr>
                <w:rStyle w:val="Text0"/>
              </w:rPr>
              <w:t>set_threshold(</w:t>
            </w:r>
            <w:r>
              <w:rPr>
                <w:rStyle w:val="Text3"/>
              </w:rPr>
              <w:t>thresh0</w:t>
            </w:r>
            <w:r>
              <w:rPr>
                <w:rStyle w:val="Text0"/>
              </w:rPr>
              <w:t>[</w:t>
            </w:r>
            <w:r>
              <w:t xml:space="preserve">, </w:t>
            </w:r>
            <w:r>
              <w:rPr>
                <w:rStyle w:val="Text3"/>
              </w:rPr>
              <w:t>thresh1</w:t>
            </w:r>
            <w:r>
              <w:rPr>
                <w:rStyle w:val="Text0"/>
              </w:rPr>
              <w:t>[</w:t>
            </w:r>
            <w:r>
              <w:t xml:space="preserve">, </w:t>
            </w:r>
            <w:r>
              <w:rPr>
                <w:rStyle w:val="Text3"/>
              </w:rPr>
              <w:t>thresh2</w:t>
            </w:r>
            <w:r>
              <w:rPr>
                <w:rStyle w:val="Text0"/>
              </w:rPr>
              <w:t>]])</w:t>
              <w:br w:clear="none"/>
            </w:r>
            <w:r>
              <w:t xml:space="preserve"> Sets</w:t>
            </w:r>
            <w:r>
              <w:rPr>
                <w:rStyle w:val="Text111"/>
              </w:rPr>
              <w:bookmarkStart w:id="3277" w:name="idm45965194074528"/>
              <w:t/>
              <w:bookmarkEnd w:id="3277"/>
            </w:r>
            <w:r>
              <w:t xml:space="preserve"> thresholds that control how often cyclic garbage collection cycles run. A </w:t>
            </w:r>
            <w:r>
              <w:rPr>
                <w:rStyle w:val="Text3"/>
              </w:rPr>
              <w:t>thresh0</w:t>
            </w:r>
            <w:r>
              <w:t xml:space="preserve"> of </w:t>
            </w:r>
            <w:r>
              <w:rPr>
                <w:rStyle w:val="Text0"/>
              </w:rPr>
              <w:t>0</w:t>
            </w:r>
            <w:r>
              <w:t xml:space="preserve"> disables garbage collection. Garbage collection is an advanced, specialized topic, and the details of the generational garbage collection approach used in Python (and consequently the detailed meanings of these thresholds) are beyond the scope of this book; see the </w:t>
            </w:r>
            <w:hyperlink r:id="rId437">
              <w:r>
                <w:rPr>
                  <w:rStyle w:val="Text1"/>
                </w:rPr>
                <w:t>online docs</w:t>
              </w:r>
            </w:hyperlink>
            <w:r>
              <w:t xml:space="preserve"> for details.</w:t>
            </w:r>
          </w:p>
        </w:tc>
      </w:tr>
    </w:tbl>
    <w:tbl>
      <w:tblPr>
        <w:tblW w:type="auto" w:w="0"/>
      </w:tblPr>
      <w:tr>
        <w:tc>
          <w:tcPr>
            <w:tcW w:type="auto" w:w="0"/>
            <w:shd w:val="clear" w:color="auto" w:fill="EEF2F6"/>
            <w:tcMar>
              <w:left w:type="dxa" w:w="200"/>
              <w:top w:type="dxa" w:w="200"/>
              <w:right w:type="dxa" w:w="200"/>
              <w:bottom w:type="dxa" w:w="200"/>
            </w:tcMar>
          </w:tcPr>
          <w:p>
            <w:pPr>
              <w:pStyle w:val="Para 001"/>
            </w:pPr>
            <w:r>
              <w:t>unfreeze</w:t>
            </w:r>
          </w:p>
        </w:tc>
        <w:tc>
          <w:tcPr>
            <w:tcW w:type="auto" w:w="0"/>
            <w:shd w:val="clear" w:color="auto" w:fill="EEF2F6"/>
            <w:tcMar>
              <w:left w:type="dxa" w:w="200"/>
              <w:top w:type="dxa" w:w="200"/>
              <w:right w:type="dxa" w:w="200"/>
              <w:bottom w:type="dxa" w:w="200"/>
            </w:tcMar>
          </w:tcPr>
          <w:p>
            <w:pPr>
              <w:pStyle w:val="Para 002"/>
            </w:pPr>
            <w:r>
              <w:rPr>
                <w:rStyle w:val="Text0"/>
              </w:rPr>
              <w:t>unfreeze()</w:t>
              <w:br w:clear="none"/>
            </w:r>
            <w:r>
              <w:t xml:space="preserve"> Unfreezes</w:t>
            </w:r>
            <w:r>
              <w:rPr>
                <w:rStyle w:val="Text111"/>
              </w:rPr>
              <w:bookmarkStart w:id="3278" w:name="idm45965194068704"/>
              <w:t/>
              <w:bookmarkEnd w:id="3278"/>
            </w:r>
            <w:r>
              <w:t xml:space="preserve"> all objects in the permanent generation, moving them all back to the oldest generation.</w:t>
            </w:r>
          </w:p>
        </w:tc>
      </w:tr>
    </w:tbl>
    <w:p>
      <w:pPr>
        <w:pStyle w:val="Normal"/>
      </w:pPr>
      <w:r>
        <w:t xml:space="preserve">When you know there are no cyclic garbage loops in your program, or when you can’t afford the delay of cyclic garbage collection at some crucial time, suspend automatic garbage collection by calling </w:t>
      </w:r>
      <w:r>
        <w:rPr>
          <w:rStyle w:val="Text0"/>
        </w:rPr>
        <w:t>gc.disable()</w:t>
      </w:r>
      <w:r>
        <w:t xml:space="preserve">. You can enable collection again later by calling </w:t>
      </w:r>
      <w:r>
        <w:rPr>
          <w:rStyle w:val="Text0"/>
        </w:rPr>
        <w:t>gc.enable()</w:t>
      </w:r>
      <w:r>
        <w:t xml:space="preserve">. You can test whether automatic collection is currently enabled by calling </w:t>
      </w:r>
      <w:r>
        <w:rPr>
          <w:rStyle w:val="Text0"/>
        </w:rPr>
        <w:t>gc.isenabled()</w:t>
      </w:r>
      <w:r>
        <w:t xml:space="preserve">, which returns </w:t>
      </w:r>
      <w:r>
        <w:rPr>
          <w:rStyle w:val="Text5"/>
        </w:rPr>
        <w:t>True</w:t>
      </w:r>
      <w:r>
        <w:t xml:space="preserve"> or </w:t>
      </w:r>
      <w:r>
        <w:rPr>
          <w:rStyle w:val="Text5"/>
        </w:rPr>
        <w:t>False</w:t>
      </w:r>
      <w:r>
        <w:t xml:space="preserve">. To control </w:t>
      </w:r>
      <w:r>
        <w:rPr>
          <w:rStyle w:val="Text4"/>
        </w:rPr>
        <w:t>when</w:t>
      </w:r>
      <w:r>
        <w:t xml:space="preserve"> time is spent collecting, you can call </w:t>
      </w:r>
      <w:r>
        <w:rPr>
          <w:rStyle w:val="Text0"/>
        </w:rPr>
        <w:t>gc.collect()</w:t>
      </w:r>
      <w:r>
        <w:t xml:space="preserve"> to force a full cyclic collection run to happen immediately. To wrap some time-critical code: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gc</w:t>
        <w:br w:clear="none"/>
      </w:r>
      <w:r>
        <w:rPr>
          <w:rStyle w:val="Text6"/>
        </w:rPr>
        <w:t xml:space="preserve"/>
        <w:br w:clear="none"/>
      </w:r>
      <w:r>
        <w:t xml:space="preserve">gc_was_enabled</w:t>
        <w:br w:clear="none"/>
      </w:r>
      <w:r>
        <w:rPr>
          <w:rStyle w:val="Text6"/>
        </w:rPr>
        <w:t xml:space="preserve"> </w:t>
        <w:br w:clear="none"/>
      </w:r>
      <w:r>
        <w:rPr>
          <w:rStyle w:val="Text13"/>
        </w:rPr>
        <w:t xml:space="preserve">=</w:t>
        <w:br w:clear="none"/>
      </w:r>
      <w:r>
        <w:rPr>
          <w:rStyle w:val="Text6"/>
        </w:rPr>
        <w:t xml:space="preserve"> </w:t>
        <w:br w:clear="none"/>
      </w:r>
      <w:r>
        <w:t xml:space="preserve">gc</w:t>
        <w:br w:clear="none"/>
      </w:r>
      <w:r>
        <w:rPr>
          <w:rStyle w:val="Text13"/>
        </w:rPr>
        <w:t xml:space="preserve">.</w:t>
        <w:br w:clear="none"/>
      </w:r>
      <w:r>
        <w:t xml:space="preserve">isenabled</w:t>
        <w:br w:clear="none"/>
      </w:r>
      <w:r>
        <w:rPr>
          <w:rStyle w:val="Text7"/>
        </w:rPr>
        <w:t xml:space="preserve">(</w:t>
        <w:br w:clear="none"/>
        <w:t xml:space="preserve">)</w:t>
        <w:br w:clear="none"/>
      </w:r>
      <w:r>
        <w:rPr>
          <w:rStyle w:val="Text6"/>
        </w:rPr>
        <w:t xml:space="preserve"/>
        <w:br w:clear="none"/>
      </w:r>
      <w:r>
        <w:rPr>
          <w:rStyle w:val="Text10"/>
        </w:rPr>
        <w:t xml:space="preserve">if</w:t>
        <w:br w:clear="none"/>
      </w:r>
      <w:r>
        <w:rPr>
          <w:rStyle w:val="Text6"/>
        </w:rPr>
        <w:t xml:space="preserve"> </w:t>
        <w:br w:clear="none"/>
      </w:r>
      <w:r>
        <w:t xml:space="preserve">gc_was_enabled</w:t>
        <w:br w:clear="none"/>
      </w:r>
      <w:r>
        <w:rPr>
          <w:rStyle w:val="Text7"/>
        </w:rPr>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collect</w:t>
        <w:br w:clear="none"/>
      </w:r>
      <w:r>
        <w:rPr>
          <w:rStyle w:val="Text7"/>
        </w:rPr>
        <w:t xml:space="preserve">(</w:t>
        <w:br w:clear="none"/>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disable</w:t>
        <w:br w:clear="none"/>
      </w:r>
      <w:r>
        <w:rPr>
          <w:rStyle w:val="Text7"/>
        </w:rPr>
        <w:t xml:space="preserve">(</w:t>
        <w:br w:clear="none"/>
        <w:t xml:space="preserve">)</w:t>
        <w:br w:clear="none"/>
      </w:r>
      <w:r>
        <w:rPr>
          <w:rStyle w:val="Text6"/>
        </w:rPr>
        <w:t xml:space="preserve"/>
        <w:br w:clear="none"/>
      </w:r>
      <w:r>
        <w:rPr>
          <w:rStyle w:val="Text15"/>
        </w:rPr>
        <w:t xml:space="preserve"># insert some time-critical code here</w:t>
        <w:br w:clear="none"/>
      </w:r>
      <w:r>
        <w:rPr>
          <w:rStyle w:val="Text6"/>
        </w:rPr>
        <w:t xml:space="preserve"/>
        <w:br w:clear="none"/>
      </w:r>
      <w:r>
        <w:rPr>
          <w:rStyle w:val="Text10"/>
        </w:rPr>
        <w:t xml:space="preserve">if</w:t>
        <w:br w:clear="none"/>
      </w:r>
      <w:r>
        <w:rPr>
          <w:rStyle w:val="Text6"/>
        </w:rPr>
        <w:t xml:space="preserve"> </w:t>
        <w:br w:clear="none"/>
      </w:r>
      <w:r>
        <w:t xml:space="preserve">gc_was_enabled</w:t>
        <w:br w:clear="none"/>
      </w:r>
      <w:r>
        <w:rPr>
          <w:rStyle w:val="Text7"/>
        </w:rPr>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enable</w:t>
        <w:br w:clear="none"/>
      </w:r>
      <w:r>
        <w:rPr>
          <w:rStyle w:val="Text7"/>
        </w:rPr>
        <w:t xml:space="preserve">(</w:t>
        <w:br w:clear="none"/>
        <w:t xml:space="preserve">)</w:t>
        <w:br w:clear="none"/>
      </w:r>
    </w:p>
    <w:p>
      <w:pPr>
        <w:pStyle w:val="Normal"/>
      </w:pPr>
      <w:r>
        <w:t>You may find this easier to use if implemented as a context manager:</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gc</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contextlib</w:t>
        <w:br w:clear="none"/>
      </w:r>
      <w:r>
        <w:rPr>
          <w:rStyle w:val="Text6"/>
        </w:rPr>
        <w:t xml:space="preserve"/>
        <w:br w:clear="none"/>
        <w:t xml:space="preserve"/>
        <w:br w:clear="none"/>
      </w:r>
      <w:r>
        <w:rPr>
          <w:rStyle w:val="Text44"/>
        </w:rPr>
        <w:t xml:space="preserve">@contextlib</w:t>
        <w:br w:clear="none"/>
      </w:r>
      <w:r>
        <w:rPr>
          <w:rStyle w:val="Text13"/>
        </w:rPr>
        <w:t xml:space="preserve">.</w:t>
        <w:br w:clear="none"/>
      </w:r>
      <w:r>
        <w:t xml:space="preserve">contextmanager</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gc_disabled</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gc_was_enabled</w:t>
        <w:br w:clear="none"/>
      </w:r>
      <w:r>
        <w:rPr>
          <w:rStyle w:val="Text6"/>
        </w:rPr>
        <w:t xml:space="preserve"> </w:t>
        <w:br w:clear="none"/>
      </w:r>
      <w:r>
        <w:rPr>
          <w:rStyle w:val="Text13"/>
        </w:rPr>
        <w:t xml:space="preserve">=</w:t>
        <w:br w:clear="none"/>
      </w:r>
      <w:r>
        <w:rPr>
          <w:rStyle w:val="Text6"/>
        </w:rPr>
        <w:t xml:space="preserve"> </w:t>
        <w:br w:clear="none"/>
      </w:r>
      <w:r>
        <w:t xml:space="preserve">gc</w:t>
        <w:br w:clear="none"/>
      </w:r>
      <w:r>
        <w:rPr>
          <w:rStyle w:val="Text13"/>
        </w:rPr>
        <w:t xml:space="preserve">.</w:t>
        <w:br w:clear="none"/>
      </w:r>
      <w:r>
        <w:t xml:space="preserve">isenabled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gc_was_enabled</w:t>
        <w:br w:clear="none"/>
      </w:r>
      <w:r>
        <w:rPr>
          <w:rStyle w:val="Text7"/>
        </w:rPr>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collect</w:t>
        <w:br w:clear="none"/>
      </w:r>
      <w:r>
        <w:rPr>
          <w:rStyle w:val="Text7"/>
        </w:rPr>
        <w:t xml:space="preserve">(</w:t>
        <w:br w:clear="none"/>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disable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0"/>
        </w:rPr>
        <w:t xml:space="preserve">yield</w:t>
        <w:br w:clear="none"/>
      </w:r>
      <w:r>
        <w:rPr>
          <w:rStyle w:val="Text6"/>
        </w:rPr>
        <w:t xml:space="preserve"/>
        <w:br w:clear="none"/>
        <w:t xml:space="preserve">    </w:t>
        <w:br w:clear="none"/>
      </w:r>
      <w:r>
        <w:rPr>
          <w:rStyle w:val="Text10"/>
        </w:rPr>
        <w:t xml:space="preserve">finally</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gc_was_enabled</w:t>
        <w:br w:clear="none"/>
      </w:r>
      <w:r>
        <w:rPr>
          <w:rStyle w:val="Text7"/>
        </w:rPr>
        <w:t xml:space="preserve">:</w:t>
        <w:br w:clear="none"/>
      </w:r>
      <w:r>
        <w:rPr>
          <w:rStyle w:val="Text6"/>
        </w:rPr>
        <w:t xml:space="preserve"/>
        <w:br w:clear="none"/>
        <w:t xml:space="preserve">            </w:t>
        <w:br w:clear="none"/>
      </w:r>
      <w:r>
        <w:t xml:space="preserve">gc</w:t>
        <w:br w:clear="none"/>
      </w:r>
      <w:r>
        <w:rPr>
          <w:rStyle w:val="Text13"/>
        </w:rPr>
        <w:t xml:space="preserve">.</w:t>
        <w:br w:clear="none"/>
      </w:r>
      <w:r>
        <w:t xml:space="preserve">enable</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with</w:t>
        <w:br w:clear="none"/>
      </w:r>
      <w:r>
        <w:rPr>
          <w:rStyle w:val="Text6"/>
        </w:rPr>
        <w:t xml:space="preserve"> </w:t>
        <w:br w:clear="none"/>
      </w:r>
      <w:r>
        <w:t xml:space="preserve">gc_disabled</w:t>
        <w:br w:clear="none"/>
      </w:r>
      <w:r>
        <w:rPr>
          <w:rStyle w:val="Text7"/>
        </w:rPr>
        <w:t xml:space="preserve">(</w:t>
        <w:br w:clear="none"/>
        <w:t xml:space="preserve">)</w:t>
        <w:br w:clear="none"/>
        <w:t xml:space="preserve">:</w:t>
        <w:br w:clear="none"/>
      </w:r>
      <w:r>
        <w:rPr>
          <w:rStyle w:val="Text6"/>
        </w:rPr>
        <w:t xml:space="preserve"/>
        <w:br w:clear="none"/>
      </w:r>
      <w:r>
        <w:rPr>
          <w:rStyle w:val="Text11"/>
        </w:rPr>
        <w:t xml:space="preserve">    </w:t>
        <w:br w:clear="none"/>
      </w:r>
      <w:r>
        <w:rPr>
          <w:rStyle w:val="Text15"/>
        </w:rPr>
        <w:t xml:space="preserve"># ...insert some time-critical code here...</w:t>
        <w:br w:clear="none"/>
      </w:r>
    </w:p>
    <w:p>
      <w:pPr>
        <w:pStyle w:val="Normal"/>
      </w:pPr>
      <w:r>
        <w:t xml:space="preserve">Other functionality in the module </w:t>
      </w:r>
      <w:r>
        <w:rPr>
          <w:rStyle w:val="Text0"/>
        </w:rPr>
        <w:t>gc</w:t>
      </w:r>
      <w:r>
        <w:t xml:space="preserve"> is more advanced and rarely used, and can be grouped into two areas. The functions </w:t>
      </w:r>
      <w:r>
        <w:rPr>
          <w:rStyle w:val="Text0"/>
        </w:rPr>
        <w:t>get_threshold</w:t>
      </w:r>
      <w:r>
        <w:t xml:space="preserve"> and </w:t>
      </w:r>
      <w:r>
        <w:rPr>
          <w:rStyle w:val="Text0"/>
        </w:rPr>
        <w:t>set_threshold</w:t>
      </w:r>
      <w:r>
        <w:t xml:space="preserve"> and debug flag </w:t>
      </w:r>
      <w:r>
        <w:rPr>
          <w:rStyle w:val="Text0"/>
        </w:rPr>
        <w:t>DEBUG_STATS</w:t>
      </w:r>
      <w:r>
        <w:t xml:space="preserve"> help you fine-tune garbage collection to optimize your program’s performance. The rest of </w:t>
      </w:r>
      <w:r>
        <w:rPr>
          <w:rStyle w:val="Text0"/>
        </w:rPr>
        <w:t>gc</w:t>
      </w:r>
      <w:r>
        <w:t xml:space="preserve">’s functionality can help you diagnose memory leaks in your program. While </w:t>
      </w:r>
      <w:r>
        <w:rPr>
          <w:rStyle w:val="Text0"/>
        </w:rPr>
        <w:t>gc</w:t>
      </w:r>
      <w:r>
        <w:t xml:space="preserve"> itself can automatically fix many leaks (as long as you avoid defining </w:t>
      </w:r>
      <w:r>
        <w:rPr>
          <w:rStyle w:val="Text0"/>
        </w:rPr>
        <w:t>__del__</w:t>
      </w:r>
      <w:r>
        <w:t xml:space="preserve"> in your classes, since the existence of </w:t>
      </w:r>
      <w:r>
        <w:rPr>
          <w:rStyle w:val="Text0"/>
        </w:rPr>
        <w:t>__del__</w:t>
      </w:r>
      <w:r>
        <w:t xml:space="preserve"> can block cyclic garbage collection), your program runs faster if it avoids creating cyclic garbage in the first place.</w:t>
      </w:r>
    </w:p>
    <w:p>
      <w:bookmarkStart w:id="3279" w:name="Instrumenting_garbage_collection"/>
      <w:pPr>
        <w:keepNext/>
        <w:pStyle w:val="Heading 2"/>
      </w:pPr>
      <w:r>
        <w:t>Instrumenting garbage collection</w:t>
      </w:r>
      <w:bookmarkEnd w:id="3279"/>
    </w:p>
    <w:p>
      <w:pPr>
        <w:pStyle w:val="Normal"/>
      </w:pPr>
      <w:r>
        <w:rPr>
          <w:rStyle w:val="Text0"/>
        </w:rPr>
        <w:t>gc.callbacks</w:t>
      </w:r>
      <w:r>
        <w:t xml:space="preserve"> is an initially empty list to which you can add functions </w:t>
      </w:r>
      <w:r>
        <w:rPr>
          <w:rStyle w:val="Text0"/>
        </w:rPr>
        <w:t>f(</w:t>
      </w:r>
      <w:r>
        <w:rPr>
          <w:rStyle w:val="Text3"/>
        </w:rPr>
        <w:t>phase</w:t>
      </w:r>
      <w:r>
        <w:rPr>
          <w:rStyle w:val="Text0"/>
        </w:rPr>
        <w:t>,</w:t>
      </w:r>
      <w:r>
        <w:t xml:space="preserve"> </w:t>
      </w:r>
      <w:r>
        <w:rPr>
          <w:rStyle w:val="Text3"/>
        </w:rPr>
        <w:t>info</w:t>
      </w:r>
      <w:r>
        <w:rPr>
          <w:rStyle w:val="Text0"/>
        </w:rPr>
        <w:t>)</w:t>
      </w:r>
      <w:r>
        <w:t xml:space="preserve"> which Python is to call upon garbage collection. When Python calls each such function, </w:t>
      </w:r>
      <w:r>
        <w:rPr>
          <w:rStyle w:val="Text3"/>
        </w:rPr>
        <w:t>phase</w:t>
      </w:r>
      <w:r>
        <w:t xml:space="preserve"> is </w:t>
      </w:r>
      <w:r>
        <w:rPr>
          <w:rStyle w:val="Text0"/>
        </w:rPr>
        <w:t>'start'</w:t>
      </w:r>
      <w:r>
        <w:t xml:space="preserve"> or </w:t>
      </w:r>
      <w:r>
        <w:rPr>
          <w:rStyle w:val="Text0"/>
        </w:rPr>
        <w:t>'stop'</w:t>
      </w:r>
      <w:r>
        <w:t xml:space="preserve"> to mark the beginning or end of a collection, and </w:t>
      </w:r>
      <w:r>
        <w:rPr>
          <w:rStyle w:val="Text3"/>
        </w:rPr>
        <w:t>info</w:t>
      </w:r>
      <w:r>
        <w:t xml:space="preserve"> is a dictionary containing information about the generational collection used by CPython. You can add functions to this list, for example to gather statistics about garbage collection. See the </w:t>
      </w:r>
      <w:hyperlink r:id="rId438">
        <w:r>
          <w:rPr>
            <w:rStyle w:val="Text1"/>
          </w:rPr>
          <w:t>documentation</w:t>
        </w:r>
      </w:hyperlink>
      <w:r>
        <w:t xml:space="preserve"> for more details.</w:t>
      </w:r>
      <w:r>
        <w:rPr>
          <w:rStyle w:val="Text111"/>
        </w:rPr>
        <w:bookmarkStart w:id="3280" w:name="idm45965193886832"/>
        <w:t/>
        <w:bookmarkEnd w:id="3280"/>
      </w:r>
    </w:p>
    <w:p>
      <w:bookmarkStart w:id="3281" w:name="The_weakref_Module__Careful_desi"/>
      <w:pPr>
        <w:keepNext/>
        <w:pStyle w:val="Heading 2"/>
      </w:pPr>
      <w:r>
        <w:t>The weakref Module</w:t>
      </w:r>
      <w:bookmarkEnd w:id="3281"/>
    </w:p>
    <w:p>
      <w:pPr>
        <w:pStyle w:val="Normal"/>
      </w:pPr>
      <w:r>
        <w:t>Careful design</w:t>
      </w:r>
      <w:r>
        <w:rPr>
          <w:rStyle w:val="Text111"/>
        </w:rPr>
        <w:bookmarkStart w:id="3282" w:name="weakrefm14"/>
        <w:t/>
        <w:bookmarkEnd w:id="3282"/>
        <w:bookmarkStart w:id="3283" w:name="idm45965193882496"/>
        <w:t/>
        <w:bookmarkEnd w:id="3283"/>
      </w:r>
      <w:r>
        <w:t xml:space="preserve"> can often avoid</w:t>
      </w:r>
      <w:r>
        <w:rPr>
          <w:rStyle w:val="Text111"/>
        </w:rPr>
        <w:bookmarkStart w:id="3284" w:name="idm45965193881024"/>
        <w:t/>
        <w:bookmarkEnd w:id="3284"/>
      </w:r>
      <w:r>
        <w:t xml:space="preserve"> reference loops. However, at times you need objects to know about each other, and avoiding mutual references would distort and complicate your design. For example, a container has references to its items, yet it can often be useful for an object to know about a container holding it. The result is a reference loop: due to the mutual references, the container and items keep each other alive, even when all other objects forget about them. Weak references solve this problem by allowing objects to reference others without keeping them alive.</w:t>
      </w:r>
    </w:p>
    <w:p>
      <w:pPr>
        <w:pStyle w:val="Normal"/>
      </w:pPr>
      <w:r>
        <w:t>A</w:t>
      </w:r>
      <w:r>
        <w:rPr>
          <w:rStyle w:val="Text111"/>
        </w:rPr>
        <w:bookmarkStart w:id="3285" w:name="idm45965193879344"/>
        <w:t/>
        <w:bookmarkEnd w:id="3285"/>
      </w:r>
      <w:r>
        <w:t xml:space="preserve"> </w:t>
      </w:r>
      <w:r>
        <w:rPr>
          <w:rStyle w:val="Text4"/>
        </w:rPr>
        <w:t>weak reference</w:t>
      </w:r>
      <w:r>
        <w:t xml:space="preserve"> is a special object </w:t>
      </w:r>
      <w:r>
        <w:rPr>
          <w:rStyle w:val="Text3"/>
        </w:rPr>
        <w:t>w</w:t>
      </w:r>
      <w:r>
        <w:t xml:space="preserve"> that refers to some other object </w:t>
      </w:r>
      <w:r>
        <w:rPr>
          <w:rStyle w:val="Text3"/>
        </w:rPr>
        <w:t>x</w:t>
      </w:r>
      <w:r>
        <w:t xml:space="preserve"> without incrementing </w:t>
      </w:r>
      <w:r>
        <w:rPr>
          <w:rStyle w:val="Text3"/>
        </w:rPr>
        <w:t>x</w:t>
      </w:r>
      <w:r>
        <w:t xml:space="preserve">’s reference count. When </w:t>
      </w:r>
      <w:r>
        <w:rPr>
          <w:rStyle w:val="Text3"/>
        </w:rPr>
        <w:t>x</w:t>
      </w:r>
      <w:r>
        <w:t xml:space="preserve">’s reference count goes down to </w:t>
      </w:r>
      <w:r>
        <w:rPr>
          <w:rStyle w:val="Text0"/>
        </w:rPr>
        <w:t>0</w:t>
      </w:r>
      <w:r>
        <w:t xml:space="preserve">, Python finalizes and collects </w:t>
      </w:r>
      <w:r>
        <w:rPr>
          <w:rStyle w:val="Text3"/>
        </w:rPr>
        <w:t>x</w:t>
      </w:r>
      <w:r>
        <w:t xml:space="preserve">, then informs </w:t>
      </w:r>
      <w:r>
        <w:rPr>
          <w:rStyle w:val="Text3"/>
        </w:rPr>
        <w:t>w</w:t>
      </w:r>
      <w:r>
        <w:t xml:space="preserve"> of </w:t>
      </w:r>
      <w:r>
        <w:rPr>
          <w:rStyle w:val="Text3"/>
        </w:rPr>
        <w:t>x</w:t>
      </w:r>
      <w:r>
        <w:t xml:space="preserve">’s demise. Weak reference </w:t>
      </w:r>
      <w:r>
        <w:rPr>
          <w:rStyle w:val="Text3"/>
        </w:rPr>
        <w:t>w</w:t>
      </w:r>
      <w:r>
        <w:t xml:space="preserve"> can now either disappear or get marked as invalid in a controlled way. At any time, a given </w:t>
      </w:r>
      <w:r>
        <w:rPr>
          <w:rStyle w:val="Text3"/>
        </w:rPr>
        <w:t>w</w:t>
      </w:r>
      <w:r>
        <w:t xml:space="preserve"> refers to either the same object </w:t>
      </w:r>
      <w:r>
        <w:rPr>
          <w:rStyle w:val="Text3"/>
        </w:rPr>
        <w:t>x</w:t>
      </w:r>
      <w:r>
        <w:t xml:space="preserve"> as when </w:t>
      </w:r>
      <w:r>
        <w:rPr>
          <w:rStyle w:val="Text3"/>
        </w:rPr>
        <w:t>w</w:t>
      </w:r>
      <w:r>
        <w:t xml:space="preserve"> was created, or to nothing at all; a weak reference is never retargeted. Not all types of objects support being the target </w:t>
      </w:r>
      <w:r>
        <w:rPr>
          <w:rStyle w:val="Text3"/>
        </w:rPr>
        <w:t>x</w:t>
      </w:r>
      <w:r>
        <w:t xml:space="preserve"> of a weak reference </w:t>
      </w:r>
      <w:r>
        <w:rPr>
          <w:rStyle w:val="Text3"/>
        </w:rPr>
        <w:t>w</w:t>
      </w:r>
      <w:r>
        <w:t>, but classes, instances, and functions do.</w:t>
      </w:r>
    </w:p>
    <w:p>
      <w:pPr>
        <w:pStyle w:val="Normal"/>
      </w:pPr>
      <w:r>
        <w:t xml:space="preserve">The </w:t>
      </w:r>
      <w:r>
        <w:rPr>
          <w:rStyle w:val="Text0"/>
        </w:rPr>
        <w:t>weakref</w:t>
      </w:r>
      <w:r>
        <w:t xml:space="preserve"> module exposes functions and types to create and manage weak references, detailed in </w:t>
      </w:r>
      <w:hyperlink w:anchor="Table_14_3__Functions_and_classe">
        <w:r>
          <w:rPr>
            <w:rStyle w:val="Text1"/>
          </w:rPr>
          <w:t>Table 14-3</w:t>
        </w:r>
      </w:hyperlink>
      <w:r>
        <w:t>.</w:t>
      </w:r>
    </w:p>
    <w:tbl>
      <w:tblPr>
        <w:tblW w:type="auto" w:w="0"/>
      </w:tblPr>
      <w:tr>
        <w:tc>
          <w:tcPr>
            <w:tcW w:type="auto" w:w="0"/>
            <w:tcMar>
              <w:left w:type="dxa" w:w="200"/>
              <w:top w:type="dxa" w:w="200"/>
              <w:right w:type="dxa" w:w="200"/>
              <w:bottom w:type="dxa" w:w="200"/>
            </w:tcMar>
          </w:tcPr>
          <w:p>
            <w:bookmarkStart w:id="3286" w:name="Table_14_3__Functions_and_classe"/>
            <w:pPr>
              <w:pStyle w:val="Para 011"/>
            </w:pPr>
            <w:r>
              <w:rPr>
                <w:rStyle w:val="Text117"/>
              </w:rPr>
              <w:t/>
            </w:r>
            <w:r>
              <w:t xml:space="preserve">Table 14-3. </w:t>
              <w:t xml:space="preserve">Functions and classes of the </w:t>
            </w:r>
            <w:r>
              <w:rPr>
                <w:rStyle w:val="Text0"/>
              </w:rPr>
              <w:t>weakref</w:t>
            </w:r>
            <w:r>
              <w:t xml:space="preserve"> module</w:t>
            </w:r>
            <w:bookmarkEnd w:id="3286"/>
          </w:p>
          <w:p>
            <w:pPr>
              <w:pStyle w:val="Para 001"/>
            </w:pPr>
            <w:r>
              <w:t>getweakrefcount</w:t>
            </w:r>
          </w:p>
        </w:tc>
        <w:tc>
          <w:tcPr>
            <w:tcW w:type="auto" w:w="0"/>
            <w:tcMar>
              <w:left w:type="dxa" w:w="200"/>
              <w:top w:type="dxa" w:w="200"/>
              <w:right w:type="dxa" w:w="200"/>
              <w:bottom w:type="dxa" w:w="200"/>
            </w:tcMar>
          </w:tcPr>
          <w:p>
            <w:pPr>
              <w:pStyle w:val="Para 001"/>
            </w:pPr>
            <w:r>
              <w:t>getweakrefcount(</w:t>
            </w:r>
            <w:r>
              <w:rPr>
                <w:rStyle w:val="Text3"/>
              </w:rPr>
              <w:t>x</w:t>
            </w:r>
            <w:r>
              <w:t>)</w:t>
              <w:br w:clear="none"/>
            </w:r>
            <w:r>
              <w:rPr>
                <w:rStyle w:val="Text12"/>
              </w:rPr>
              <w:t xml:space="preserve"> Returns</w:t>
            </w:r>
            <w:r>
              <w:rPr>
                <w:rStyle w:val="Text115"/>
              </w:rPr>
              <w:bookmarkStart w:id="3287" w:name="idm45965193858176"/>
              <w:t/>
              <w:bookmarkEnd w:id="3287"/>
            </w:r>
            <w:r>
              <w:rPr>
                <w:rStyle w:val="Text12"/>
              </w:rPr>
              <w:t xml:space="preserve"> </w:t>
            </w:r>
            <w:r>
              <w:t>len(getweakrefs(</w:t>
            </w:r>
            <w:r>
              <w:rPr>
                <w:rStyle w:val="Text3"/>
              </w:rPr>
              <w:t>x</w:t>
            </w:r>
            <w:r>
              <w:t>))</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getweakrefs</w:t>
            </w:r>
          </w:p>
        </w:tc>
        <w:tc>
          <w:tcPr>
            <w:tcW w:type="auto" w:w="0"/>
            <w:shd w:val="clear" w:color="auto" w:fill="EEF2F6"/>
            <w:tcMar>
              <w:left w:type="dxa" w:w="200"/>
              <w:top w:type="dxa" w:w="200"/>
              <w:right w:type="dxa" w:w="200"/>
              <w:bottom w:type="dxa" w:w="200"/>
            </w:tcMar>
          </w:tcPr>
          <w:p>
            <w:pPr>
              <w:pStyle w:val="Para 002"/>
            </w:pPr>
            <w:r>
              <w:rPr>
                <w:rStyle w:val="Text0"/>
              </w:rPr>
              <w:t>getweakrefs(</w:t>
            </w:r>
            <w:r>
              <w:rPr>
                <w:rStyle w:val="Text3"/>
              </w:rPr>
              <w:t>x</w:t>
            </w:r>
            <w:r>
              <w:rPr>
                <w:rStyle w:val="Text0"/>
              </w:rPr>
              <w:t>)</w:t>
              <w:br w:clear="none"/>
            </w:r>
            <w:r>
              <w:t xml:space="preserve"> Returns</w:t>
            </w:r>
            <w:r>
              <w:rPr>
                <w:rStyle w:val="Text111"/>
              </w:rPr>
              <w:bookmarkStart w:id="3288" w:name="idm45965193852864"/>
              <w:t/>
              <w:bookmarkEnd w:id="3288"/>
            </w:r>
            <w:r>
              <w:t xml:space="preserve"> a list of all weak references and proxies whose target is </w:t>
            </w:r>
            <w:r>
              <w:rPr>
                <w:rStyle w:val="Text3"/>
              </w:rPr>
              <w:t>x</w:t>
            </w:r>
            <w:r>
              <w:t>.</w:t>
            </w:r>
          </w:p>
        </w:tc>
      </w:tr>
    </w:tbl>
    <w:tbl>
      <w:tblPr>
        <w:tblW w:type="auto" w:w="0"/>
      </w:tblPr>
      <w:tr>
        <w:tc>
          <w:tcPr>
            <w:tcW w:type="auto" w:w="0"/>
            <w:tcMar>
              <w:left w:type="dxa" w:w="200"/>
              <w:top w:type="dxa" w:w="200"/>
              <w:right w:type="dxa" w:w="200"/>
              <w:bottom w:type="dxa" w:w="200"/>
            </w:tcMar>
          </w:tcPr>
          <w:p>
            <w:pPr>
              <w:pStyle w:val="Para 001"/>
            </w:pPr>
            <w:r>
              <w:t>proxy</w:t>
            </w:r>
          </w:p>
        </w:tc>
        <w:tc>
          <w:tcPr>
            <w:tcW w:type="auto" w:w="0"/>
            <w:tcMar>
              <w:left w:type="dxa" w:w="200"/>
              <w:top w:type="dxa" w:w="200"/>
              <w:right w:type="dxa" w:w="200"/>
              <w:bottom w:type="dxa" w:w="200"/>
            </w:tcMar>
          </w:tcPr>
          <w:p>
            <w:pPr>
              <w:pStyle w:val="Para 002"/>
            </w:pPr>
            <w:r>
              <w:rPr>
                <w:rStyle w:val="Text0"/>
              </w:rPr>
              <w:t>proxy(</w:t>
            </w:r>
            <w:r>
              <w:rPr>
                <w:rStyle w:val="Text3"/>
              </w:rPr>
              <w:t>x</w:t>
            </w:r>
            <w:r>
              <w:rPr>
                <w:rStyle w:val="Text0"/>
              </w:rPr>
              <w:t>[,</w:t>
            </w:r>
            <w:r>
              <w:t xml:space="preserve"> </w:t>
            </w:r>
            <w:r>
              <w:rPr>
                <w:rStyle w:val="Text3"/>
              </w:rPr>
              <w:t>f</w:t>
            </w:r>
            <w:r>
              <w:rPr>
                <w:rStyle w:val="Text0"/>
              </w:rPr>
              <w:t>])</w:t>
              <w:br w:clear="none"/>
            </w:r>
            <w:r>
              <w:t xml:space="preserve"> Returns</w:t>
            </w:r>
            <w:r>
              <w:rPr>
                <w:rStyle w:val="Text111"/>
              </w:rPr>
              <w:bookmarkStart w:id="3289" w:name="idm45965193845872"/>
              <w:t/>
              <w:bookmarkEnd w:id="3289"/>
            </w:r>
            <w:r>
              <w:t xml:space="preserve"> a weak proxy </w:t>
            </w:r>
            <w:r>
              <w:rPr>
                <w:rStyle w:val="Text3"/>
              </w:rPr>
              <w:t>p</w:t>
            </w:r>
            <w:r>
              <w:t xml:space="preserve"> of type </w:t>
            </w:r>
            <w:r>
              <w:rPr>
                <w:rStyle w:val="Text0"/>
              </w:rPr>
              <w:t>ProxyType</w:t>
            </w:r>
            <w:r>
              <w:t xml:space="preserve"> (</w:t>
            </w:r>
            <w:r>
              <w:rPr>
                <w:rStyle w:val="Text0"/>
              </w:rPr>
              <w:t>CallableProxyType</w:t>
            </w:r>
            <w:r>
              <w:t xml:space="preserve"> when </w:t>
            </w:r>
            <w:r>
              <w:rPr>
                <w:rStyle w:val="Text3"/>
              </w:rPr>
              <w:t>x</w:t>
            </w:r>
            <w:r>
              <w:t xml:space="preserve"> is callable) with </w:t>
            </w:r>
            <w:r>
              <w:rPr>
                <w:rStyle w:val="Text3"/>
              </w:rPr>
              <w:t>x</w:t>
            </w:r>
            <w:r>
              <w:t xml:space="preserve"> as the target. Using </w:t>
            </w:r>
            <w:r>
              <w:rPr>
                <w:rStyle w:val="Text3"/>
              </w:rPr>
              <w:t>p</w:t>
            </w:r>
            <w:r>
              <w:t xml:space="preserve"> is just like using </w:t>
            </w:r>
            <w:r>
              <w:rPr>
                <w:rStyle w:val="Text3"/>
              </w:rPr>
              <w:t>x</w:t>
            </w:r>
            <w:r>
              <w:t xml:space="preserve">, except that, when you use </w:t>
            </w:r>
            <w:r>
              <w:rPr>
                <w:rStyle w:val="Text3"/>
              </w:rPr>
              <w:t>p</w:t>
            </w:r>
            <w:r>
              <w:t xml:space="preserve"> after </w:t>
            </w:r>
            <w:r>
              <w:rPr>
                <w:rStyle w:val="Text3"/>
              </w:rPr>
              <w:t>x</w:t>
            </w:r>
            <w:r>
              <w:t xml:space="preserve"> has been deleted, Python raises </w:t>
            </w:r>
            <w:r>
              <w:rPr>
                <w:rStyle w:val="Text0"/>
              </w:rPr>
              <w:t>ReferenceError</w:t>
            </w:r>
            <w:r>
              <w:t xml:space="preserve">. </w:t>
            </w:r>
            <w:r>
              <w:rPr>
                <w:rStyle w:val="Text3"/>
              </w:rPr>
              <w:t>p</w:t>
            </w:r>
            <w:r>
              <w:t xml:space="preserve"> is never hashable (you cannot use </w:t>
            </w:r>
            <w:r>
              <w:rPr>
                <w:rStyle w:val="Text3"/>
              </w:rPr>
              <w:t>p</w:t>
            </w:r>
            <w:r>
              <w:t xml:space="preserve"> as a dictionary key). When </w:t>
            </w:r>
            <w:r>
              <w:rPr>
                <w:rStyle w:val="Text3"/>
              </w:rPr>
              <w:t>f</w:t>
            </w:r>
            <w:r>
              <w:t xml:space="preserve"> is present, it must be callable with one argument, and is the finalization callback for </w:t>
            </w:r>
            <w:r>
              <w:rPr>
                <w:rStyle w:val="Text3"/>
              </w:rPr>
              <w:t>p</w:t>
            </w:r>
            <w:r>
              <w:t xml:space="preserve"> (i.e., right before finalizing </w:t>
            </w:r>
            <w:r>
              <w:rPr>
                <w:rStyle w:val="Text3"/>
              </w:rPr>
              <w:t>x</w:t>
            </w:r>
            <w:r>
              <w:t xml:space="preserve">, Python calls </w:t>
            </w:r>
            <w:r>
              <w:rPr>
                <w:rStyle w:val="Text3"/>
              </w:rPr>
              <w:t>f</w:t>
            </w:r>
            <w:r>
              <w:rPr>
                <w:rStyle w:val="Text0"/>
              </w:rPr>
              <w:t>(</w:t>
            </w:r>
            <w:r>
              <w:rPr>
                <w:rStyle w:val="Text3"/>
              </w:rPr>
              <w:t>p</w:t>
            </w:r>
            <w:r>
              <w:rPr>
                <w:rStyle w:val="Text0"/>
              </w:rPr>
              <w:t>))</w:t>
            </w:r>
            <w:r>
              <w:t xml:space="preserve">.) </w:t>
            </w:r>
            <w:r>
              <w:rPr>
                <w:rStyle w:val="Text3"/>
              </w:rPr>
              <w:t>f</w:t>
            </w:r>
            <w:r>
              <w:t xml:space="preserve"> executes right </w:t>
            </w:r>
            <w:r>
              <w:rPr>
                <w:rStyle w:val="Text4"/>
              </w:rPr>
              <w:t>after</w:t>
            </w:r>
            <w:r>
              <w:t xml:space="preserve"> </w:t>
            </w:r>
            <w:r>
              <w:rPr>
                <w:rStyle w:val="Text3"/>
              </w:rPr>
              <w:t>x</w:t>
            </w:r>
            <w:r>
              <w:t xml:space="preserve"> is no longer reachable from </w:t>
            </w:r>
            <w:r>
              <w:rPr>
                <w:rStyle w:val="Text3"/>
              </w:rPr>
              <w:t>p</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ref</w:t>
            </w:r>
          </w:p>
        </w:tc>
        <w:tc>
          <w:tcPr>
            <w:tcW w:type="auto" w:w="0"/>
            <w:shd w:val="clear" w:color="auto" w:fill="EEF2F6"/>
            <w:tcMar>
              <w:left w:type="dxa" w:w="200"/>
              <w:top w:type="dxa" w:w="200"/>
              <w:right w:type="dxa" w:w="200"/>
              <w:bottom w:type="dxa" w:w="200"/>
            </w:tcMar>
          </w:tcPr>
          <w:p>
            <w:pPr>
              <w:pStyle w:val="Para 002"/>
            </w:pPr>
            <w:r>
              <w:rPr>
                <w:rStyle w:val="Text0"/>
              </w:rPr>
              <w:t>ref(</w:t>
            </w:r>
            <w:r>
              <w:rPr>
                <w:rStyle w:val="Text3"/>
              </w:rPr>
              <w:t>x</w:t>
            </w:r>
            <w:r>
              <w:rPr>
                <w:rStyle w:val="Text0"/>
              </w:rPr>
              <w:t>[,</w:t>
            </w:r>
            <w:r>
              <w:t xml:space="preserve"> </w:t>
            </w:r>
            <w:r>
              <w:rPr>
                <w:rStyle w:val="Text3"/>
              </w:rPr>
              <w:t>f</w:t>
            </w:r>
            <w:r>
              <w:rPr>
                <w:rStyle w:val="Text0"/>
              </w:rPr>
              <w:t>])</w:t>
              <w:br w:clear="none"/>
            </w:r>
            <w:r>
              <w:t xml:space="preserve"> Returns</w:t>
            </w:r>
            <w:r>
              <w:rPr>
                <w:rStyle w:val="Text111"/>
              </w:rPr>
              <w:bookmarkStart w:id="3290" w:name="idm45965193823008"/>
              <w:t/>
              <w:bookmarkEnd w:id="3290"/>
            </w:r>
            <w:r>
              <w:t xml:space="preserve"> a weak reference </w:t>
            </w:r>
            <w:r>
              <w:rPr>
                <w:rStyle w:val="Text3"/>
              </w:rPr>
              <w:t>w</w:t>
            </w:r>
            <w:r>
              <w:t xml:space="preserve"> of type </w:t>
            </w:r>
            <w:r>
              <w:rPr>
                <w:rStyle w:val="Text0"/>
              </w:rPr>
              <w:t>ReferenceType</w:t>
            </w:r>
            <w:r>
              <w:t xml:space="preserve"> with object </w:t>
            </w:r>
            <w:r>
              <w:rPr>
                <w:rStyle w:val="Text3"/>
              </w:rPr>
              <w:t>x</w:t>
            </w:r>
            <w:r>
              <w:t xml:space="preserve"> as the target. </w:t>
            </w:r>
            <w:r>
              <w:rPr>
                <w:rStyle w:val="Text3"/>
              </w:rPr>
              <w:t>w</w:t>
            </w:r>
            <w:r>
              <w:t xml:space="preserve"> is callable without arguments: calling </w:t>
            </w:r>
            <w:r>
              <w:rPr>
                <w:rStyle w:val="Text3"/>
              </w:rPr>
              <w:t>w</w:t>
            </w:r>
            <w:r>
              <w:rPr>
                <w:rStyle w:val="Text0"/>
              </w:rPr>
              <w:t>()</w:t>
            </w:r>
            <w:r>
              <w:t xml:space="preserve"> returns </w:t>
            </w:r>
            <w:r>
              <w:rPr>
                <w:rStyle w:val="Text3"/>
              </w:rPr>
              <w:t>x</w:t>
            </w:r>
            <w:r>
              <w:t xml:space="preserve"> when </w:t>
            </w:r>
            <w:r>
              <w:rPr>
                <w:rStyle w:val="Text3"/>
              </w:rPr>
              <w:t>x</w:t>
            </w:r>
            <w:r>
              <w:t xml:space="preserve"> is still alive; otherwise, </w:t>
            </w:r>
            <w:r>
              <w:rPr>
                <w:rStyle w:val="Text3"/>
              </w:rPr>
              <w:t>w</w:t>
            </w:r>
            <w:r>
              <w:rPr>
                <w:rStyle w:val="Text0"/>
              </w:rPr>
              <w:t>()</w:t>
            </w:r>
            <w:r>
              <w:t xml:space="preserve"> returns </w:t>
            </w:r>
            <w:r>
              <w:rPr>
                <w:rStyle w:val="Text0"/>
              </w:rPr>
              <w:t>None</w:t>
            </w:r>
            <w:r>
              <w:t xml:space="preserve">. </w:t>
            </w:r>
            <w:r>
              <w:rPr>
                <w:rStyle w:val="Text3"/>
              </w:rPr>
              <w:t>w</w:t>
            </w:r>
            <w:r>
              <w:t xml:space="preserve"> is hashable when </w:t>
            </w:r>
            <w:r>
              <w:rPr>
                <w:rStyle w:val="Text3"/>
              </w:rPr>
              <w:t>x</w:t>
            </w:r>
            <w:r>
              <w:t xml:space="preserve"> is hashable. You can compare weak references for equality (</w:t>
            </w:r>
            <w:r>
              <w:rPr>
                <w:rStyle w:val="Text0"/>
              </w:rPr>
              <w:t>==</w:t>
            </w:r>
            <w:r>
              <w:t xml:space="preserve">, </w:t>
            </w:r>
            <w:r>
              <w:rPr>
                <w:rStyle w:val="Text0"/>
              </w:rPr>
              <w:t>!=</w:t>
            </w:r>
            <w:r>
              <w:t>), but not for order (</w:t>
            </w:r>
            <w:r>
              <w:rPr>
                <w:rStyle w:val="Text0"/>
              </w:rPr>
              <w:t>&lt;</w:t>
            </w:r>
            <w:r>
              <w:t xml:space="preserve">, </w:t>
            </w:r>
            <w:r>
              <w:rPr>
                <w:rStyle w:val="Text0"/>
              </w:rPr>
              <w:t>&gt;</w:t>
            </w:r>
            <w:r>
              <w:t xml:space="preserve">, </w:t>
            </w:r>
            <w:r>
              <w:rPr>
                <w:rStyle w:val="Text0"/>
              </w:rPr>
              <w:t>&lt;=</w:t>
            </w:r>
            <w:r>
              <w:t xml:space="preserve">, </w:t>
            </w:r>
            <w:r>
              <w:rPr>
                <w:rStyle w:val="Text0"/>
              </w:rPr>
              <w:t>&gt;=</w:t>
            </w:r>
            <w:r>
              <w:t xml:space="preserve">). Two weak references </w:t>
            </w:r>
            <w:r>
              <w:rPr>
                <w:rStyle w:val="Text3"/>
              </w:rPr>
              <w:t>x</w:t>
            </w:r>
            <w:r>
              <w:t xml:space="preserve"> and </w:t>
            </w:r>
            <w:r>
              <w:rPr>
                <w:rStyle w:val="Text3"/>
              </w:rPr>
              <w:t>y</w:t>
            </w:r>
            <w:r>
              <w:t xml:space="preserve"> are equal when their targets are alive and equal, or when </w:t>
            </w:r>
            <w:r>
              <w:rPr>
                <w:rStyle w:val="Text3"/>
              </w:rPr>
              <w:t>x</w:t>
            </w:r>
            <w:r>
              <w:t xml:space="preserve"> is </w:t>
            </w:r>
            <w:r>
              <w:rPr>
                <w:rStyle w:val="Text3"/>
              </w:rPr>
              <w:t>y</w:t>
            </w:r>
            <w:r>
              <w:t xml:space="preserve">. When </w:t>
            </w:r>
            <w:r>
              <w:rPr>
                <w:rStyle w:val="Text3"/>
              </w:rPr>
              <w:t>f</w:t>
            </w:r>
            <w:r>
              <w:t xml:space="preserve"> is present, it must be callable with one argument and is the finalization callback for </w:t>
            </w:r>
            <w:r>
              <w:rPr>
                <w:rStyle w:val="Text3"/>
              </w:rPr>
              <w:t>w</w:t>
            </w:r>
            <w:r>
              <w:t xml:space="preserve"> (i.e., right before finalizing </w:t>
            </w:r>
            <w:r>
              <w:rPr>
                <w:rStyle w:val="Text3"/>
              </w:rPr>
              <w:t>x</w:t>
            </w:r>
            <w:r>
              <w:t xml:space="preserve">, Python calls </w:t>
            </w:r>
            <w:r>
              <w:rPr>
                <w:rStyle w:val="Text3"/>
              </w:rPr>
              <w:t>f</w:t>
            </w:r>
            <w:r>
              <w:rPr>
                <w:rStyle w:val="Text0"/>
              </w:rPr>
              <w:t>(</w:t>
            </w:r>
            <w:r>
              <w:rPr>
                <w:rStyle w:val="Text3"/>
              </w:rPr>
              <w:t>w</w:t>
            </w:r>
            <w:r>
              <w:rPr>
                <w:rStyle w:val="Text0"/>
              </w:rPr>
              <w:t>)</w:t>
            </w:r>
            <w:r>
              <w:t xml:space="preserve">). </w:t>
            </w:r>
            <w:r>
              <w:rPr>
                <w:rStyle w:val="Text3"/>
              </w:rPr>
              <w:t>f</w:t>
            </w:r>
            <w:r>
              <w:t xml:space="preserve"> executes right </w:t>
            </w:r>
            <w:r>
              <w:rPr>
                <w:rStyle w:val="Text4"/>
              </w:rPr>
              <w:t>after</w:t>
            </w:r>
            <w:r>
              <w:t xml:space="preserve"> </w:t>
            </w:r>
            <w:r>
              <w:rPr>
                <w:rStyle w:val="Text3"/>
              </w:rPr>
              <w:t>x</w:t>
            </w:r>
            <w:r>
              <w:t xml:space="preserve"> is no longer reachable from </w:t>
            </w:r>
            <w:r>
              <w:rPr>
                <w:rStyle w:val="Text3"/>
              </w:rPr>
              <w:t>w</w:t>
            </w:r>
            <w:r>
              <w:t>.</w:t>
            </w:r>
          </w:p>
        </w:tc>
      </w:tr>
    </w:tbl>
    <w:tbl>
      <w:tblPr>
        <w:tblW w:type="auto" w:w="0"/>
      </w:tblPr>
      <w:tr>
        <w:tc>
          <w:tcPr>
            <w:tcW w:type="auto" w:w="0"/>
            <w:tcMar>
              <w:left w:type="dxa" w:w="200"/>
              <w:top w:type="dxa" w:w="200"/>
              <w:right w:type="dxa" w:w="200"/>
              <w:bottom w:type="dxa" w:w="200"/>
            </w:tcMar>
          </w:tcPr>
          <w:p>
            <w:pPr>
              <w:pStyle w:val="Para 001"/>
            </w:pPr>
            <w:r>
              <w:t>W⁠e⁠a⁠k⁠K⁠e⁠y​D⁠i⁠c⁠t⁠i⁠o⁠n⁠a⁠r⁠y</w:t>
            </w:r>
          </w:p>
        </w:tc>
        <w:tc>
          <w:tcPr>
            <w:tcW w:type="auto" w:w="0"/>
            <w:tcMar>
              <w:left w:type="dxa" w:w="200"/>
              <w:top w:type="dxa" w:w="200"/>
              <w:right w:type="dxa" w:w="200"/>
              <w:bottom w:type="dxa" w:w="200"/>
            </w:tcMar>
          </w:tcPr>
          <w:p>
            <w:pPr>
              <w:pStyle w:val="Para 002"/>
            </w:pPr>
            <w:r>
              <w:rPr>
                <w:rStyle w:val="Text0"/>
              </w:rPr>
              <w:t>class WeakKeyDictionary(adict={})</w:t>
              <w:br w:clear="none"/>
            </w:r>
            <w:r>
              <w:t xml:space="preserve"> A </w:t>
            </w:r>
            <w:r>
              <w:rPr>
                <w:rStyle w:val="Text111"/>
              </w:rPr>
              <w:bookmarkStart w:id="3291" w:name="idm45965193794480"/>
              <w:t/>
              <w:bookmarkEnd w:id="3291"/>
            </w:r>
            <w:r>
              <w:rPr>
                <w:rStyle w:val="Text0"/>
              </w:rPr>
              <w:t>WeakKeyDictionary</w:t>
            </w:r>
            <w:r>
              <w:t xml:space="preserve"> </w:t>
            </w:r>
            <w:r>
              <w:rPr>
                <w:rStyle w:val="Text3"/>
              </w:rPr>
              <w:t>d</w:t>
            </w:r>
            <w:r>
              <w:t xml:space="preserve"> is a mapping weakly referencing its keys. When the reference count of a key </w:t>
            </w:r>
            <w:r>
              <w:rPr>
                <w:rStyle w:val="Text3"/>
              </w:rPr>
              <w:t>k</w:t>
            </w:r>
            <w:r>
              <w:t xml:space="preserve"> in </w:t>
            </w:r>
            <w:r>
              <w:rPr>
                <w:rStyle w:val="Text3"/>
              </w:rPr>
              <w:t>d</w:t>
            </w:r>
            <w:r>
              <w:t xml:space="preserve"> goes to </w:t>
            </w:r>
            <w:r>
              <w:rPr>
                <w:rStyle w:val="Text0"/>
              </w:rPr>
              <w:t>0</w:t>
            </w:r>
            <w:r>
              <w:t xml:space="preserve">, item </w:t>
            </w:r>
            <w:r>
              <w:rPr>
                <w:rStyle w:val="Text3"/>
              </w:rPr>
              <w:t>d</w:t>
            </w:r>
            <w:r>
              <w:rPr>
                <w:rStyle w:val="Text0"/>
              </w:rPr>
              <w:t>[</w:t>
            </w:r>
            <w:r>
              <w:rPr>
                <w:rStyle w:val="Text3"/>
              </w:rPr>
              <w:t>k</w:t>
            </w:r>
            <w:r>
              <w:rPr>
                <w:rStyle w:val="Text0"/>
              </w:rPr>
              <w:t>]</w:t>
            </w:r>
            <w:r>
              <w:t xml:space="preserve"> disappears. </w:t>
            </w:r>
            <w:r>
              <w:rPr>
                <w:rStyle w:val="Text0"/>
              </w:rPr>
              <w:t>adict</w:t>
            </w:r>
            <w:r>
              <w:t xml:space="preserve"> is used to initialize the mapping.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WeakSet</w:t>
            </w:r>
          </w:p>
        </w:tc>
        <w:tc>
          <w:tcPr>
            <w:tcW w:type="auto" w:w="0"/>
            <w:shd w:val="clear" w:color="auto" w:fill="EEF2F6"/>
            <w:tcMar>
              <w:left w:type="dxa" w:w="200"/>
              <w:top w:type="dxa" w:w="200"/>
              <w:right w:type="dxa" w:w="200"/>
              <w:bottom w:type="dxa" w:w="200"/>
            </w:tcMar>
          </w:tcPr>
          <w:p>
            <w:pPr>
              <w:pStyle w:val="Para 002"/>
            </w:pPr>
            <w:r>
              <w:t>class WeakSet(elements=[])</w:t>
              <w:br w:clear="none"/>
              <w:t xml:space="preserve"> A</w:t>
            </w:r>
            <w:r>
              <w:rPr>
                <w:rStyle w:val="Text111"/>
              </w:rPr>
              <w:bookmarkStart w:id="3292" w:name="idm45965193784608"/>
              <w:t/>
              <w:bookmarkEnd w:id="3292"/>
            </w:r>
            <w:r>
              <w:t xml:space="preserve"> </w:t>
            </w:r>
            <w:r>
              <w:rPr>
                <w:rStyle w:val="Text0"/>
              </w:rPr>
              <w:t>WeakSet</w:t>
            </w:r>
            <w:r>
              <w:t xml:space="preserve"> </w:t>
            </w:r>
            <w:r>
              <w:rPr>
                <w:rStyle w:val="Text3"/>
              </w:rPr>
              <w:t>s</w:t>
            </w:r>
            <w:r>
              <w:t xml:space="preserve"> is a set weakly referencing its content elements, initialized from </w:t>
            </w:r>
            <w:r>
              <w:rPr>
                <w:rStyle w:val="Text0"/>
              </w:rPr>
              <w:t>elements</w:t>
            </w:r>
            <w:r>
              <w:t xml:space="preserve">. When the reference count of an element </w:t>
            </w:r>
            <w:r>
              <w:rPr>
                <w:rStyle w:val="Text3"/>
              </w:rPr>
              <w:t>e</w:t>
            </w:r>
            <w:r>
              <w:t xml:space="preserve"> in </w:t>
            </w:r>
            <w:r>
              <w:rPr>
                <w:rStyle w:val="Text3"/>
              </w:rPr>
              <w:t>s</w:t>
            </w:r>
            <w:r>
              <w:t xml:space="preserve"> goes to </w:t>
            </w:r>
            <w:r>
              <w:rPr>
                <w:rStyle w:val="Text0"/>
              </w:rPr>
              <w:t>0</w:t>
            </w:r>
            <w:r>
              <w:t xml:space="preserve">, </w:t>
            </w:r>
            <w:r>
              <w:rPr>
                <w:rStyle w:val="Text3"/>
              </w:rPr>
              <w:t>e</w:t>
            </w:r>
            <w:r>
              <w:t xml:space="preserve"> disappears from </w:t>
            </w:r>
            <w:r>
              <w:rPr>
                <w:rStyle w:val="Text3"/>
              </w:rPr>
              <w:t>s</w:t>
            </w:r>
            <w:r>
              <w:t>.</w:t>
            </w:r>
          </w:p>
        </w:tc>
      </w:tr>
    </w:tbl>
    <w:tbl>
      <w:tblPr>
        <w:tblW w:type="auto" w:w="0"/>
      </w:tblPr>
      <w:tr>
        <w:tc>
          <w:tcPr>
            <w:tcW w:type="auto" w:w="0"/>
            <w:tcMar>
              <w:left w:type="dxa" w:w="200"/>
              <w:top w:type="dxa" w:w="200"/>
              <w:right w:type="dxa" w:w="200"/>
              <w:bottom w:type="dxa" w:w="200"/>
            </w:tcMar>
          </w:tcPr>
          <w:p>
            <w:pPr>
              <w:pStyle w:val="Para 001"/>
            </w:pPr>
            <w:r>
              <w:t>W⁠e⁠a⁠k⁠V⁠a⁠l⁠u⁠e​D⁠i⁠c⁠t⁠i⁠o⁠n⁠a⁠r⁠y</w:t>
            </w:r>
          </w:p>
        </w:tc>
        <w:tc>
          <w:tcPr>
            <w:tcW w:type="auto" w:w="0"/>
            <w:tcMar>
              <w:left w:type="dxa" w:w="200"/>
              <w:top w:type="dxa" w:w="200"/>
              <w:right w:type="dxa" w:w="200"/>
              <w:bottom w:type="dxa" w:w="200"/>
            </w:tcMar>
          </w:tcPr>
          <w:p>
            <w:pPr>
              <w:pStyle w:val="Para 002"/>
            </w:pPr>
            <w:r>
              <w:rPr>
                <w:rStyle w:val="Text0"/>
              </w:rPr>
              <w:t>class WeakValueDictionary(adict={})</w:t>
              <w:br w:clear="none"/>
            </w:r>
            <w:r>
              <w:t xml:space="preserve"> A</w:t>
            </w:r>
            <w:r>
              <w:rPr>
                <w:rStyle w:val="Text111"/>
              </w:rPr>
              <w:bookmarkStart w:id="3293" w:name="idm45965193774400"/>
              <w:t/>
              <w:bookmarkEnd w:id="3293"/>
            </w:r>
            <w:r>
              <w:t xml:space="preserve"> </w:t>
            </w:r>
            <w:r>
              <w:rPr>
                <w:rStyle w:val="Text0"/>
              </w:rPr>
              <w:t>WeakValueDictionary</w:t>
            </w:r>
            <w:r>
              <w:t xml:space="preserve"> </w:t>
            </w:r>
            <w:r>
              <w:rPr>
                <w:rStyle w:val="Text3"/>
              </w:rPr>
              <w:t>d</w:t>
            </w:r>
            <w:r>
              <w:t xml:space="preserve"> is a mapping weakly referencing its values. When the reference count of a value </w:t>
            </w:r>
            <w:r>
              <w:rPr>
                <w:rStyle w:val="Text3"/>
              </w:rPr>
              <w:t>v</w:t>
            </w:r>
            <w:r>
              <w:t xml:space="preserve"> in </w:t>
            </w:r>
            <w:r>
              <w:rPr>
                <w:rStyle w:val="Text3"/>
              </w:rPr>
              <w:t>d</w:t>
            </w:r>
            <w:r>
              <w:t xml:space="preserve"> goes to </w:t>
            </w:r>
            <w:r>
              <w:rPr>
                <w:rStyle w:val="Text0"/>
              </w:rPr>
              <w:t>0</w:t>
            </w:r>
            <w:r>
              <w:t xml:space="preserve">, all items of </w:t>
            </w:r>
            <w:r>
              <w:rPr>
                <w:rStyle w:val="Text3"/>
              </w:rPr>
              <w:t>d</w:t>
            </w:r>
            <w:r>
              <w:t xml:space="preserve"> such that </w:t>
            </w:r>
            <w:r>
              <w:rPr>
                <w:rStyle w:val="Text3"/>
              </w:rPr>
              <w:t>d</w:t>
            </w:r>
            <w:r>
              <w:rPr>
                <w:rStyle w:val="Text0"/>
              </w:rPr>
              <w:t>[</w:t>
            </w:r>
            <w:r>
              <w:rPr>
                <w:rStyle w:val="Text3"/>
              </w:rPr>
              <w:t>k</w:t>
            </w:r>
            <w:r>
              <w:rPr>
                <w:rStyle w:val="Text0"/>
              </w:rPr>
              <w:t>]</w:t>
            </w:r>
            <w:r>
              <w:t xml:space="preserve"> </w:t>
            </w:r>
            <w:r>
              <w:rPr>
                <w:rStyle w:val="Text5"/>
              </w:rPr>
              <w:t>is</w:t>
            </w:r>
            <w:r>
              <w:t xml:space="preserve"> </w:t>
            </w:r>
            <w:r>
              <w:rPr>
                <w:rStyle w:val="Text3"/>
              </w:rPr>
              <w:t>v</w:t>
            </w:r>
            <w:r>
              <w:t xml:space="preserve"> disappear. </w:t>
            </w:r>
            <w:r>
              <w:rPr>
                <w:rStyle w:val="Text0"/>
              </w:rPr>
              <w:t>adict</w:t>
            </w:r>
            <w:r>
              <w:t xml:space="preserve"> is used to initialize the mapping.</w:t>
            </w:r>
          </w:p>
        </w:tc>
      </w:tr>
    </w:tbl>
    <w:p>
      <w:pPr>
        <w:pStyle w:val="Normal"/>
      </w:pPr>
      <w:r>
        <w:rPr>
          <w:rStyle w:val="Text0"/>
        </w:rPr>
        <w:t>WeakKeyDictionary</w:t>
      </w:r>
      <w:r>
        <w:t xml:space="preserve"> lets you noninvasively associate additional data with some hashable objects, with no change to the objects. </w:t>
      </w:r>
      <w:r>
        <w:rPr>
          <w:rStyle w:val="Text0"/>
        </w:rPr>
        <w:t>WeakValueDictionary</w:t>
      </w:r>
      <w:r>
        <w:t xml:space="preserve"> lets you noninvasively record transient associations between objects, and build caches. In each case, use a weak mapping, rather than a </w:t>
      </w:r>
      <w:r>
        <w:rPr>
          <w:rStyle w:val="Text0"/>
        </w:rPr>
        <w:t>dict</w:t>
      </w:r>
      <w:r>
        <w:t xml:space="preserve">, to ensure that an object that is otherwise garbage-collectable is not kept alive just by being used in a mapping. Similarly, a </w:t>
      </w:r>
      <w:r>
        <w:rPr>
          <w:rStyle w:val="Text0"/>
        </w:rPr>
        <w:t>WeakSet</w:t>
      </w:r>
      <w:r>
        <w:t xml:space="preserve"> provides the same weak containment functionality in place of a normal </w:t>
      </w:r>
      <w:r>
        <w:rPr>
          <w:rStyle w:val="Text0"/>
        </w:rPr>
        <w:t>set</w:t>
      </w:r>
      <w:r>
        <w:t>.</w:t>
      </w:r>
    </w:p>
    <w:p>
      <w:pPr>
        <w:pStyle w:val="Normal"/>
      </w:pPr>
      <w:r>
        <w:t>A typical example is a class that keeps track of its instances, but does not keep them alive just to keep track of them:</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weakref</w:t>
        <w:br w:clear="none"/>
      </w:r>
      <w:r>
        <w:rPr>
          <w:rStyle w:val="Text6"/>
        </w:rPr>
        <w:t xml:space="preserve"/>
        <w:br w:clear="none"/>
      </w:r>
      <w:r>
        <w:rPr>
          <w:rStyle w:val="Text10"/>
        </w:rPr>
        <w:t xml:space="preserve">class</w:t>
        <w:br w:clear="none"/>
      </w:r>
      <w:r>
        <w:rPr>
          <w:rStyle w:val="Text6"/>
        </w:rPr>
        <w:t xml:space="preserve"> </w:t>
        <w:br w:clear="none"/>
      </w:r>
      <w:r>
        <w:rPr>
          <w:rStyle w:val="Text33"/>
        </w:rPr>
        <w:t xml:space="preserve">Tracking</w:t>
        <w:br w:clear="none"/>
      </w:r>
      <w:r>
        <w:rPr>
          <w:rStyle w:val="Text7"/>
        </w:rPr>
        <w:t xml:space="preserve">:</w:t>
        <w:br w:clear="none"/>
      </w:r>
      <w:r>
        <w:rPr>
          <w:rStyle w:val="Text6"/>
        </w:rPr>
        <w:t xml:space="preserve"/>
        <w:br w:clear="none"/>
        <w:t xml:space="preserve">    </w:t>
        <w:br w:clear="none"/>
      </w:r>
      <w:r>
        <w:t xml:space="preserve">_instances_dict</w:t>
        <w:br w:clear="none"/>
      </w:r>
      <w:r>
        <w:rPr>
          <w:rStyle w:val="Text6"/>
        </w:rPr>
        <w:t xml:space="preserve"> </w:t>
        <w:br w:clear="none"/>
      </w:r>
      <w:r>
        <w:rPr>
          <w:rStyle w:val="Text13"/>
        </w:rPr>
        <w:t xml:space="preserve">=</w:t>
        <w:br w:clear="none"/>
      </w:r>
      <w:r>
        <w:rPr>
          <w:rStyle w:val="Text6"/>
        </w:rPr>
        <w:t xml:space="preserve"> </w:t>
        <w:br w:clear="none"/>
      </w:r>
      <w:r>
        <w:t xml:space="preserve">weakref</w:t>
        <w:br w:clear="none"/>
      </w:r>
      <w:r>
        <w:rPr>
          <w:rStyle w:val="Text13"/>
        </w:rPr>
        <w:t xml:space="preserve">.</w:t>
        <w:br w:clear="none"/>
      </w:r>
      <w:r>
        <w:t xml:space="preserve">WeakValueDictionary</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39"/>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t xml:space="preserve">Tracking</w:t>
        <w:br w:clear="none"/>
      </w:r>
      <w:r>
        <w:rPr>
          <w:rStyle w:val="Text13"/>
        </w:rPr>
        <w:t xml:space="preserve">.</w:t>
        <w:br w:clear="none"/>
      </w:r>
      <w:r>
        <w:t xml:space="preserve">_instances_dict</w:t>
        <w:br w:clear="none"/>
      </w:r>
      <w:r>
        <w:rPr>
          <w:rStyle w:val="Text7"/>
        </w:rPr>
        <w:t xml:space="preserve">[</w:t>
        <w:br w:clear="none"/>
      </w:r>
      <w:r>
        <w:rPr>
          <w:rStyle w:val="Text16"/>
        </w:rPr>
        <w:t xml:space="preserve">id</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6"/>
        </w:rPr>
        <w:t xml:space="preserve"/>
        <w:br w:clear="none"/>
        <w:t xml:space="preserve"/>
        <w:br w:clear="none"/>
        <w:t xml:space="preserve">    </w:t>
        <w:br w:clear="none"/>
      </w:r>
      <w:r>
        <w:rPr>
          <w:rStyle w:val="Text44"/>
        </w:rPr>
        <w:t xml:space="preserve">@classmethod</w:t>
        <w:br w:clear="none"/>
      </w:r>
      <w:r>
        <w:rPr>
          <w:rStyle w:val="Text6"/>
        </w:rPr>
        <w:t xml:space="preserve"/>
        <w:br w:clear="none"/>
        <w:t xml:space="preserve">    </w:t>
        <w:br w:clear="none"/>
      </w:r>
      <w:r>
        <w:rPr>
          <w:rStyle w:val="Text39"/>
        </w:rPr>
        <w:t xml:space="preserve">def</w:t>
        <w:br w:clear="none"/>
      </w:r>
      <w:r>
        <w:rPr>
          <w:rStyle w:val="Text6"/>
        </w:rPr>
        <w:t xml:space="preserve"> </w:t>
        <w:br w:clear="none"/>
      </w:r>
      <w:r>
        <w:rPr>
          <w:rStyle w:val="Text18"/>
        </w:rPr>
        <w:t xml:space="preserve">instances</w:t>
        <w:br w:clear="none"/>
      </w:r>
      <w:r>
        <w:rPr>
          <w:rStyle w:val="Text7"/>
        </w:rPr>
        <w:t xml:space="preserve">(</w:t>
        <w:br w:clear="none"/>
      </w:r>
      <w:r>
        <w:rPr>
          <w:rStyle w:val="Text16"/>
        </w:rPr>
        <w:t xml:space="preserve">cls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cls</w:t>
        <w:br w:clear="none"/>
      </w:r>
      <w:r>
        <w:rPr>
          <w:rStyle w:val="Text13"/>
        </w:rPr>
        <w:t xml:space="preserve">.</w:t>
        <w:br w:clear="none"/>
      </w:r>
      <w:r>
        <w:t xml:space="preserve">_instances_dict</w:t>
        <w:br w:clear="none"/>
      </w:r>
      <w:r>
        <w:rPr>
          <w:rStyle w:val="Text13"/>
        </w:rPr>
        <w:t xml:space="preserve">.</w:t>
        <w:br w:clear="none"/>
      </w:r>
      <w:r>
        <w:t xml:space="preserve">values</w:t>
        <w:br w:clear="none"/>
      </w:r>
      <w:r>
        <w:rPr>
          <w:rStyle w:val="Text7"/>
        </w:rPr>
        <w:t xml:space="preserve">(</w:t>
        <w:br w:clear="none"/>
        <w:t xml:space="preserve">)</w:t>
        <w:br w:clear="none"/>
      </w:r>
    </w:p>
    <w:p>
      <w:pPr>
        <w:pStyle w:val="Normal"/>
      </w:pPr>
      <w:r>
        <w:t xml:space="preserve">When the </w:t>
      </w:r>
      <w:r>
        <w:rPr>
          <w:rStyle w:val="Text0"/>
        </w:rPr>
        <w:t>Tracking</w:t>
      </w:r>
      <w:r>
        <w:t xml:space="preserve"> instances are hashable, a similar class can be implemented using a </w:t>
      </w:r>
      <w:r>
        <w:rPr>
          <w:rStyle w:val="Text0"/>
        </w:rPr>
        <w:t>WeakSet</w:t>
      </w:r>
      <w:r>
        <w:t xml:space="preserve"> of the instances, or a </w:t>
      </w:r>
      <w:r>
        <w:rPr>
          <w:rStyle w:val="Text0"/>
        </w:rPr>
        <w:t>WeakKeyDictionary</w:t>
      </w:r>
      <w:r>
        <w:t xml:space="preserve"> with the instances as keys and </w:t>
      </w:r>
      <w:r>
        <w:rPr>
          <w:rStyle w:val="Text5"/>
        </w:rPr>
        <w:t>None</w:t>
      </w:r>
      <w:r>
        <w:t xml:space="preserve"> for</w:t>
      </w:r>
      <w:r>
        <w:rPr>
          <w:rStyle w:val="Text111"/>
        </w:rPr>
        <w:bookmarkStart w:id="3294" w:name="idm45965193707824"/>
        <w:t/>
        <w:bookmarkEnd w:id="3294"/>
        <w:bookmarkStart w:id="3295" w:name="idm45965193706448"/>
        <w:t/>
        <w:bookmarkEnd w:id="3295"/>
        <w:bookmarkStart w:id="3296" w:name="idm45965193705072"/>
        <w:t/>
        <w:bookmarkEnd w:id="3296"/>
        <w:bookmarkStart w:id="3297" w:name="idm45965193703696"/>
        <w:t/>
        <w:bookmarkEnd w:id="3297"/>
      </w:r>
      <w:r>
        <w:t xml:space="preserve"> the values.</w:t>
      </w:r>
    </w:p>
    <w:p>
      <w:bookmarkStart w:id="3298" w:name="Top_of_ch15_html"/>
      <w:bookmarkStart w:id="3299" w:name="Chapter_15__Concurrency__Threads_1"/>
      <w:bookmarkStart w:id="3300" w:name="Chapter_15__Concurrency__Threads"/>
      <w:bookmarkStart w:id="3301" w:name="Chapter_15__Concurrency__Threads_2"/>
      <w:pPr>
        <w:keepNext/>
        <w:pStyle w:val="Heading 1"/>
        <w:pageBreakBefore w:val="on"/>
      </w:pPr>
      <w:r>
        <w:t xml:space="preserve">Chapter 15. </w:t>
        <w:t>Concurrency: Threads and Processes</w:t>
      </w:r>
      <w:bookmarkEnd w:id="3298"/>
      <w:bookmarkEnd w:id="3299"/>
      <w:bookmarkEnd w:id="3300"/>
      <w:bookmarkEnd w:id="3301"/>
    </w:p>
    <w:p>
      <w:pPr>
        <w:pStyle w:val="Normal"/>
      </w:pPr>
      <w:r>
        <w:rPr>
          <w:rStyle w:val="Text4"/>
        </w:rPr>
        <w:t>Processes</w:t>
      </w:r>
      <w:r>
        <w:rPr>
          <w:rStyle w:val="Text105"/>
        </w:rPr>
        <w:bookmarkStart w:id="3302" w:name="idm45965193666992"/>
        <w:t/>
        <w:bookmarkEnd w:id="3302"/>
      </w:r>
      <w:r>
        <w:rPr>
          <w:rStyle w:val="Text111"/>
        </w:rPr>
        <w:bookmarkStart w:id="3303" w:name="idm45965193666016"/>
        <w:t/>
        <w:bookmarkEnd w:id="3303"/>
      </w:r>
      <w:r>
        <w:t xml:space="preserve"> are instances of running programs that the operating system protects from one another. Processes that want to communicate must explicitly arrange to do so via</w:t>
      </w:r>
      <w:r>
        <w:rPr>
          <w:rStyle w:val="Text111"/>
        </w:rPr>
        <w:bookmarkStart w:id="3304" w:name="idm45965193664672"/>
        <w:t/>
        <w:bookmarkEnd w:id="3304"/>
        <w:bookmarkStart w:id="3305" w:name="idm45965193663632"/>
        <w:t/>
        <w:bookmarkEnd w:id="3305"/>
      </w:r>
      <w:r>
        <w:t xml:space="preserve"> </w:t>
      </w:r>
      <w:r>
        <w:rPr>
          <w:rStyle w:val="Text4"/>
        </w:rPr>
        <w:t>interprocess communication</w:t>
      </w:r>
      <w:r>
        <w:t xml:space="preserve"> (IPC) mechanisms, and/or via files (covered in </w:t>
      </w:r>
      <w:hyperlink w:anchor="Chapter_11__File_and_Text_Operat_2">
        <w:r>
          <w:rPr>
            <w:rStyle w:val="Text1"/>
          </w:rPr>
          <w:t>Chapter 11</w:t>
        </w:r>
      </w:hyperlink>
      <w:r>
        <w:t xml:space="preserve">), databases (covered in </w:t>
      </w:r>
      <w:hyperlink w:anchor="Chapter_12__Persistence_and_Data_2">
        <w:r>
          <w:rPr>
            <w:rStyle w:val="Text1"/>
          </w:rPr>
          <w:t>Chapter 12</w:t>
        </w:r>
      </w:hyperlink>
      <w:r>
        <w:t xml:space="preserve">), or network interfaces (covered in </w:t>
      </w:r>
      <w:hyperlink w:anchor="Chapter_18__Networking_Basics__C_2">
        <w:r>
          <w:rPr>
            <w:rStyle w:val="Text1"/>
          </w:rPr>
          <w:t>Chapter 18</w:t>
        </w:r>
      </w:hyperlink>
      <w:r>
        <w:t xml:space="preserve">). The general way in which processes communicate using data storage mechanisms such as files and databases is that one process writes data, and another process later reads that data back. This chapter covers programming with processes, including the Python standard library modules </w:t>
      </w:r>
      <w:r>
        <w:rPr>
          <w:rStyle w:val="Text0"/>
        </w:rPr>
        <w:t>subprocess</w:t>
      </w:r>
      <w:r>
        <w:t xml:space="preserve"> and </w:t>
      </w:r>
      <w:r>
        <w:rPr>
          <w:rStyle w:val="Text0"/>
        </w:rPr>
        <w:t>multiprocessing</w:t>
      </w:r>
      <w:r>
        <w:t xml:space="preserve">; the process-related parts of the module </w:t>
      </w:r>
      <w:r>
        <w:rPr>
          <w:rStyle w:val="Text0"/>
        </w:rPr>
        <w:t>os</w:t>
      </w:r>
      <w:r>
        <w:t>, including simple IPC by means of</w:t>
      </w:r>
      <w:r>
        <w:rPr>
          <w:rStyle w:val="Text111"/>
        </w:rPr>
        <w:bookmarkStart w:id="3306" w:name="idm45965193656832"/>
        <w:t/>
        <w:bookmarkEnd w:id="3306"/>
      </w:r>
      <w:r>
        <w:t xml:space="preserve"> </w:t>
      </w:r>
      <w:r>
        <w:rPr>
          <w:rStyle w:val="Text4"/>
        </w:rPr>
        <w:t>pipes</w:t>
      </w:r>
      <w:r>
        <w:t>; a cross-platform IPC mechanism known as</w:t>
      </w:r>
      <w:r>
        <w:rPr>
          <w:rStyle w:val="Text111"/>
        </w:rPr>
        <w:bookmarkStart w:id="3307" w:name="idm45965193655152"/>
        <w:t/>
        <w:bookmarkEnd w:id="3307"/>
      </w:r>
      <w:r>
        <w:t xml:space="preserve"> </w:t>
      </w:r>
      <w:r>
        <w:rPr>
          <w:rStyle w:val="Text4"/>
        </w:rPr>
        <w:t>memory-mapped files</w:t>
      </w:r>
      <w:r>
        <w:t xml:space="preserve">, available in the module </w:t>
      </w:r>
      <w:r>
        <w:rPr>
          <w:rStyle w:val="Text0"/>
        </w:rPr>
        <w:t>mmap</w:t>
      </w:r>
      <w:r>
        <w:t xml:space="preserve">; </w:t>
      </w:r>
      <w:r>
        <w:rPr>
          <w:rStyle w:val="Text34"/>
        </w:rPr>
        <w:t>3.8+</w:t>
      </w:r>
      <w:r>
        <w:t xml:space="preserve"> and the </w:t>
      </w:r>
      <w:r>
        <w:rPr>
          <w:rStyle w:val="Text0"/>
        </w:rPr>
        <w:t>multiprocessing.shared_memory</w:t>
      </w:r>
      <w:r>
        <w:t xml:space="preserve"> module.</w:t>
      </w:r>
    </w:p>
    <w:p>
      <w:pPr>
        <w:pStyle w:val="Normal"/>
      </w:pPr>
      <w:r>
        <w:t xml:space="preserve">A </w:t>
      </w:r>
      <w:r>
        <w:rPr>
          <w:rStyle w:val="Text4"/>
        </w:rPr>
        <w:t>thread</w:t>
      </w:r>
      <w:r>
        <w:t xml:space="preserve"> (originally called a</w:t>
      </w:r>
      <w:r>
        <w:rPr>
          <w:rStyle w:val="Text111"/>
        </w:rPr>
        <w:bookmarkStart w:id="3308" w:name="idm45965193650320"/>
        <w:t/>
        <w:bookmarkEnd w:id="3308"/>
      </w:r>
      <w:r>
        <w:t xml:space="preserve"> “lightweight process”) is a flow of control that shares global state (memory) with other threads inside a single process; all threads appear to execute simultaneously, although they may in fact be “taking turns” on one or more processors/cores. Threads</w:t>
      </w:r>
      <w:r>
        <w:rPr>
          <w:rStyle w:val="Text111"/>
        </w:rPr>
        <w:bookmarkStart w:id="3309" w:name="idm45965193649056"/>
        <w:t/>
        <w:bookmarkEnd w:id="3309"/>
      </w:r>
      <w:r>
        <w:t xml:space="preserve"> are far from easy to master, and multithreaded programs are often hard to test and to debug; however, as covered in </w:t>
      </w:r>
      <w:hyperlink w:anchor="Threading__Multiprocessing__or_A">
        <w:r>
          <w:rPr>
            <w:rStyle w:val="Text1"/>
          </w:rPr>
          <w:t>“Threading, Multiprocessing, or Async Programming?”</w:t>
        </w:r>
      </w:hyperlink>
      <w:r>
        <w:t xml:space="preserve">, when used appropriately, multithreading may improve performance in comparison to single-threaded programming. This chapter covers various facilities Python provides for dealing with threads, including the </w:t>
      </w:r>
      <w:r>
        <w:rPr>
          <w:rStyle w:val="Text0"/>
        </w:rPr>
        <w:t>threading</w:t>
      </w:r>
      <w:r>
        <w:t xml:space="preserve">, </w:t>
      </w:r>
      <w:r>
        <w:rPr>
          <w:rStyle w:val="Text0"/>
        </w:rPr>
        <w:t>queue</w:t>
      </w:r>
      <w:r>
        <w:t xml:space="preserve">, and </w:t>
      </w:r>
      <w:r>
        <w:rPr>
          <w:rStyle w:val="Text0"/>
        </w:rPr>
        <w:t>concurrent.futures</w:t>
      </w:r>
      <w:r>
        <w:t xml:space="preserve"> modules.</w:t>
      </w:r>
    </w:p>
    <w:p>
      <w:pPr>
        <w:pStyle w:val="Normal"/>
      </w:pPr>
      <w:r>
        <w:t>Another mechanism for sharing control among multiple activities within a single process is what has become known as</w:t>
      </w:r>
      <w:r>
        <w:rPr>
          <w:rStyle w:val="Text111"/>
        </w:rPr>
        <w:bookmarkStart w:id="3310" w:name="idm45965193643840"/>
        <w:t/>
        <w:bookmarkEnd w:id="3310"/>
      </w:r>
      <w:r>
        <w:t xml:space="preserve"> </w:t>
      </w:r>
      <w:r>
        <w:rPr>
          <w:rStyle w:val="Text4"/>
        </w:rPr>
        <w:t>asynchronous</w:t>
      </w:r>
      <w:r>
        <w:t xml:space="preserve"> (or </w:t>
      </w:r>
      <w:r>
        <w:rPr>
          <w:rStyle w:val="Text4"/>
        </w:rPr>
        <w:t>async</w:t>
      </w:r>
      <w:r>
        <w:t>) programming. When you are reading Python code, the presence of the</w:t>
      </w:r>
      <w:r>
        <w:rPr>
          <w:rStyle w:val="Text111"/>
        </w:rPr>
        <w:bookmarkStart w:id="3311" w:name="idm45965193641760"/>
        <w:t/>
        <w:bookmarkEnd w:id="3311"/>
        <w:bookmarkStart w:id="3312" w:name="idm45965193640656"/>
        <w:t/>
        <w:bookmarkEnd w:id="3312"/>
      </w:r>
      <w:r>
        <w:t xml:space="preserve"> keywords </w:t>
      </w:r>
      <w:r>
        <w:rPr>
          <w:rStyle w:val="Text5"/>
        </w:rPr>
        <w:t>async</w:t>
      </w:r>
      <w:r>
        <w:t xml:space="preserve"> and </w:t>
      </w:r>
      <w:r>
        <w:rPr>
          <w:rStyle w:val="Text5"/>
        </w:rPr>
        <w:t>await</w:t>
      </w:r>
      <w:r>
        <w:t xml:space="preserve"> indicate it is asynchronous. Such code depends on an </w:t>
      </w:r>
      <w:r>
        <w:rPr>
          <w:rStyle w:val="Text4"/>
        </w:rPr>
        <w:t>event loop</w:t>
      </w:r>
      <w:r>
        <w:t>, which is, broadly speaking, the equivalent of the thread switcher used within a process. When the event loop is the scheduler, each execution of an asynchronous function becomes a</w:t>
      </w:r>
      <w:r>
        <w:rPr>
          <w:rStyle w:val="Text111"/>
        </w:rPr>
        <w:bookmarkStart w:id="3313" w:name="idm45965193637312"/>
        <w:t/>
        <w:bookmarkEnd w:id="3313"/>
      </w:r>
      <w:r>
        <w:t xml:space="preserve"> </w:t>
      </w:r>
      <w:r>
        <w:rPr>
          <w:rStyle w:val="Text4"/>
        </w:rPr>
        <w:t>task</w:t>
      </w:r>
      <w:r>
        <w:t xml:space="preserve">, which roughly corresponds with a </w:t>
      </w:r>
      <w:r>
        <w:rPr>
          <w:rStyle w:val="Text4"/>
        </w:rPr>
        <w:t>thread</w:t>
      </w:r>
      <w:r>
        <w:t xml:space="preserve"> in a multithreaded program.</w:t>
      </w:r>
    </w:p>
    <w:p>
      <w:pPr>
        <w:pStyle w:val="Normal"/>
      </w:pPr>
      <w:r>
        <w:t xml:space="preserve">Both process scheduling and thread switching are </w:t>
      </w:r>
      <w:r>
        <w:rPr>
          <w:rStyle w:val="Text4"/>
        </w:rPr>
        <w:t>preemptive</w:t>
      </w:r>
      <w:r>
        <w:t xml:space="preserve">, which is to say that the scheduler or switcher has control of the CPU and determines when any particular piece of code gets to run. Asynchronous programming, however, is </w:t>
      </w:r>
      <w:r>
        <w:rPr>
          <w:rStyle w:val="Text4"/>
        </w:rPr>
        <w:t>cooperative</w:t>
      </w:r>
      <w:r>
        <w:t>: each task, once execution begins, can run for as long as it chooses before indicating to the event loop that it is prepared to give up control (usually because it is awaiting the completion of some other asynchronous task, most often an I/O-focused one).</w:t>
      </w:r>
    </w:p>
    <w:p>
      <w:pPr>
        <w:pStyle w:val="Normal"/>
      </w:pPr>
      <w:r>
        <w:t>Although async programming offers great flexibility to optimize certain classes of problems, it is a programming paradigm that many programmers are unfamiliar with. Because of its cooperative nature, incautious async programming can lead</w:t>
      </w:r>
      <w:r>
        <w:rPr>
          <w:rStyle w:val="Text111"/>
        </w:rPr>
        <w:bookmarkStart w:id="3314" w:name="idm45965193633760"/>
        <w:t/>
        <w:bookmarkEnd w:id="3314"/>
      </w:r>
      <w:r>
        <w:t xml:space="preserve"> to </w:t>
      </w:r>
      <w:r>
        <w:rPr>
          <w:rStyle w:val="Text4"/>
        </w:rPr>
        <w:t>deadlocks</w:t>
      </w:r>
      <w:r>
        <w:t xml:space="preserve">, and infinite loops can starve other tasks of processor time: figuring out how to avoid deadlocks creates significant extra cognitive load for the average programmer. We do not cover asynchronous programming, including the module </w:t>
      </w:r>
      <w:hyperlink r:id="rId439">
        <w:r>
          <w:rPr>
            <w:rStyle w:val="Text30"/>
          </w:rPr>
          <w:t>asyncio</w:t>
        </w:r>
      </w:hyperlink>
      <w:r>
        <w:t>, further in this volume, feeling that it is a complex enough topic to be well worth a book on its own.</w:t>
      </w:r>
      <w:hyperlink w:anchor="1_The_best_introductory_work_on">
        <w:r>
          <w:rPr>
            <w:rStyle w:val="Text41"/>
          </w:rPr>
          <w:bookmarkStart w:id="3315" w:name="1_14"/>
          <w:t>1</w:t>
          <w:bookmarkEnd w:id="3315"/>
        </w:r>
      </w:hyperlink>
    </w:p>
    <w:p>
      <w:pPr>
        <w:pStyle w:val="Normal"/>
      </w:pPr>
      <w:r>
        <w:t xml:space="preserve">Network mechanisms are well suited for IPC, and work just as effectively between processes running on different nodes of a network as between ones that run on the same node. The </w:t>
      </w:r>
      <w:r>
        <w:rPr>
          <w:rStyle w:val="Text0"/>
        </w:rPr>
        <w:t>multiprocessing</w:t>
      </w:r>
      <w:r>
        <w:t xml:space="preserve"> module supplies some mechanisms that are suitable for IPC over a network; </w:t>
      </w:r>
      <w:hyperlink w:anchor="Chapter_18__Networking_Basics__C_2">
        <w:r>
          <w:rPr>
            <w:rStyle w:val="Text1"/>
          </w:rPr>
          <w:t>Chapter 18</w:t>
        </w:r>
      </w:hyperlink>
      <w:r>
        <w:t xml:space="preserve"> covers low-level network mechanisms that provide a basis for IPC. Other, higher-level mechanisms</w:t>
      </w:r>
      <w:r>
        <w:rPr>
          <w:rStyle w:val="Text111"/>
        </w:rPr>
        <w:bookmarkStart w:id="3316" w:name="distcomp15"/>
        <w:t/>
        <w:bookmarkEnd w:id="3316"/>
      </w:r>
      <w:r>
        <w:t xml:space="preserve"> for </w:t>
      </w:r>
      <w:r>
        <w:rPr>
          <w:rStyle w:val="Text4"/>
        </w:rPr>
        <w:t>distributed computing</w:t>
      </w:r>
      <w:r>
        <w:t xml:space="preserve"> (</w:t>
      </w:r>
      <w:hyperlink r:id="rId440">
        <w:r>
          <w:rPr>
            <w:rStyle w:val="Text1"/>
          </w:rPr>
          <w:t>CORBA</w:t>
        </w:r>
      </w:hyperlink>
      <w:r>
        <w:t xml:space="preserve">, </w:t>
      </w:r>
      <w:hyperlink r:id="rId441">
        <w:r>
          <w:rPr>
            <w:rStyle w:val="Text1"/>
          </w:rPr>
          <w:t>DCOM/COM+</w:t>
        </w:r>
      </w:hyperlink>
      <w:r>
        <w:t xml:space="preserve">, </w:t>
      </w:r>
      <w:hyperlink r:id="rId442">
        <w:r>
          <w:rPr>
            <w:rStyle w:val="Text1"/>
          </w:rPr>
          <w:t>EJB</w:t>
        </w:r>
      </w:hyperlink>
      <w:r>
        <w:t xml:space="preserve">, </w:t>
      </w:r>
      <w:hyperlink r:id="rId443">
        <w:r>
          <w:rPr>
            <w:rStyle w:val="Text1"/>
          </w:rPr>
          <w:t>SOAP</w:t>
        </w:r>
      </w:hyperlink>
      <w:r>
        <w:t xml:space="preserve">, </w:t>
      </w:r>
      <w:hyperlink r:id="rId444">
        <w:r>
          <w:rPr>
            <w:rStyle w:val="Text1"/>
          </w:rPr>
          <w:t>XML-RPC</w:t>
        </w:r>
      </w:hyperlink>
      <w:r>
        <w:t xml:space="preserve">, </w:t>
      </w:r>
      <w:hyperlink r:id="rId445">
        <w:r>
          <w:rPr>
            <w:rStyle w:val="Text1"/>
          </w:rPr>
          <w:t>.NET</w:t>
        </w:r>
      </w:hyperlink>
      <w:r>
        <w:t xml:space="preserve">, </w:t>
      </w:r>
      <w:hyperlink r:id="rId446">
        <w:r>
          <w:rPr>
            <w:rStyle w:val="Text1"/>
          </w:rPr>
          <w:t>gRPC</w:t>
        </w:r>
      </w:hyperlink>
      <w:r>
        <w:t>, etc.) can make IPC a bit easier, whether locally or remotely; however, we do not cover distributed computing in this book.</w:t>
      </w:r>
    </w:p>
    <w:p>
      <w:pPr>
        <w:pStyle w:val="Normal"/>
      </w:pPr>
      <w:r>
        <w:t>When multiprocessor computers arrived, the OS had to deal with more complex scheduling problems, and programmers who wanted maximum performance had to write their applications so that code could truly be executed in parallel, on different processors or cores (from the programming point of view, cores are simply processors implemented on the same piece of silicon). This requires both knowledge and discipline. The CPython implementation simplifies these issues by implementing a</w:t>
      </w:r>
      <w:r>
        <w:rPr>
          <w:rStyle w:val="Text111"/>
        </w:rPr>
        <w:bookmarkStart w:id="3317" w:name="idm45965193616304"/>
        <w:t/>
        <w:bookmarkEnd w:id="3317"/>
        <w:bookmarkStart w:id="3318" w:name="idm45965193615232"/>
        <w:t/>
        <w:bookmarkEnd w:id="3318"/>
      </w:r>
      <w:r>
        <w:t xml:space="preserve"> </w:t>
      </w:r>
      <w:r>
        <w:rPr>
          <w:rStyle w:val="Text4"/>
        </w:rPr>
        <w:t>global interpreter lock</w:t>
      </w:r>
      <w:r>
        <w:t xml:space="preserve"> (GIL). In the absence of any action by the Python programmer, on CPython only the thread that holds the GIL is allowed access to the processor, effectively barring CPython processes from taking full advantage of multiprocessor hardware. Libraries such as </w:t>
      </w:r>
      <w:hyperlink r:id="rId447">
        <w:r>
          <w:rPr>
            <w:rStyle w:val="Text1"/>
          </w:rPr>
          <w:t>NumPy</w:t>
        </w:r>
      </w:hyperlink>
      <w:r>
        <w:t>, which are typically required to undertake lengthy computations of compiled code that uses none of the interpreter’s facilities, arrange for their code to release the GIL during such computations. This allows effective use of multiple processors, but it isn’t a technique that you can use if all your code is in pure Python.</w:t>
      </w:r>
    </w:p>
    <w:p>
      <w:bookmarkStart w:id="3319" w:name="Threading__Multiprocessing__or_A"/>
      <w:pPr>
        <w:keepNext/>
        <w:pStyle w:val="Heading 5"/>
        <w:keepLines w:val="on"/>
      </w:pPr>
      <w:r>
        <w:t>Threading, Multiprocessing, or Async Programming?</w:t>
      </w:r>
      <w:bookmarkEnd w:id="3319"/>
    </w:p>
    <w:p>
      <w:pPr>
        <w:pStyle w:val="Para 012"/>
        <w:keepLines w:val="on"/>
      </w:pPr>
      <w:r>
        <w:t>In</w:t>
      </w:r>
      <w:r>
        <w:rPr>
          <w:rStyle w:val="Text111"/>
        </w:rPr>
        <w:bookmarkStart w:id="3320" w:name="idm45965193610896"/>
        <w:t/>
        <w:bookmarkEnd w:id="3320"/>
      </w:r>
      <w:r>
        <w:t xml:space="preserve"> many cases, the best answer is “none of the above!” Each of these approaches is, at best, an optimization, and (as covered in </w:t>
      </w:r>
      <w:hyperlink w:anchor="Optimization___First_make_it_wor">
        <w:r>
          <w:rPr>
            <w:rStyle w:val="Text1"/>
          </w:rPr>
          <w:t>“Optimization”</w:t>
        </w:r>
      </w:hyperlink>
      <w:r>
        <w:t>) optimization is often unneeded, or at least premature. Each such approach can be prone to bugs and hard to test and debug; stick with single threading as long as you possibly can, and keep things simple.</w:t>
      </w:r>
    </w:p>
    <w:p>
      <w:pPr>
        <w:pStyle w:val="Para 012"/>
        <w:keepLines w:val="on"/>
      </w:pPr>
      <w:r>
        <w:t xml:space="preserve">When you </w:t>
      </w:r>
      <w:r>
        <w:rPr>
          <w:rStyle w:val="Text4"/>
        </w:rPr>
        <w:t>do</w:t>
      </w:r>
      <w:r>
        <w:t xml:space="preserve"> need optimization, and your program is</w:t>
      </w:r>
      <w:r>
        <w:rPr>
          <w:rStyle w:val="Text111"/>
        </w:rPr>
        <w:bookmarkStart w:id="3321" w:name="idm45965193607184"/>
        <w:t/>
        <w:bookmarkEnd w:id="3321"/>
        <w:bookmarkStart w:id="3322" w:name="idm45965193605776"/>
        <w:t/>
        <w:bookmarkEnd w:id="3322"/>
      </w:r>
      <w:r>
        <w:t xml:space="preserve"> </w:t>
      </w:r>
      <w:r>
        <w:rPr>
          <w:rStyle w:val="Text4"/>
        </w:rPr>
        <w:t>I/O-bound</w:t>
      </w:r>
      <w:r>
        <w:t xml:space="preserve"> (meaning that it spends much time doing I/O), async programming is fastest, as long as you can make your I/O operations</w:t>
      </w:r>
      <w:r>
        <w:rPr>
          <w:rStyle w:val="Text111"/>
        </w:rPr>
        <w:bookmarkStart w:id="3323" w:name="idm45965193603952"/>
        <w:t/>
        <w:bookmarkEnd w:id="3323"/>
      </w:r>
      <w:r>
        <w:t xml:space="preserve"> </w:t>
      </w:r>
      <w:r>
        <w:rPr>
          <w:rStyle w:val="Text4"/>
        </w:rPr>
        <w:t>nonblocking</w:t>
      </w:r>
      <w:r>
        <w:t xml:space="preserve"> ones. Second best, when your I/O absolutely </w:t>
      </w:r>
      <w:r>
        <w:rPr>
          <w:rStyle w:val="Text4"/>
        </w:rPr>
        <w:t>has</w:t>
      </w:r>
      <w:r>
        <w:t xml:space="preserve"> to be blocking, the </w:t>
      </w:r>
      <w:r>
        <w:rPr>
          <w:rStyle w:val="Text0"/>
        </w:rPr>
        <w:t>threading</w:t>
      </w:r>
      <w:r>
        <w:t xml:space="preserve"> module can help an I/O-bound program’s </w:t>
        <w:t>performance</w:t>
        <w:t>.</w:t>
      </w:r>
    </w:p>
    <w:p>
      <w:pPr>
        <w:pStyle w:val="Para 012"/>
        <w:keepLines w:val="on"/>
      </w:pPr>
      <w:r>
        <w:t>When your program is</w:t>
      </w:r>
      <w:r>
        <w:rPr>
          <w:rStyle w:val="Text111"/>
        </w:rPr>
        <w:bookmarkStart w:id="3324" w:name="idm45965193599808"/>
        <w:t/>
        <w:bookmarkEnd w:id="3324"/>
        <w:bookmarkStart w:id="3325" w:name="idm45965193598704"/>
        <w:t/>
        <w:bookmarkEnd w:id="3325"/>
      </w:r>
      <w:r>
        <w:t xml:space="preserve"> </w:t>
      </w:r>
      <w:r>
        <w:rPr>
          <w:rStyle w:val="Text4"/>
        </w:rPr>
        <w:t>CPU-bound</w:t>
      </w:r>
      <w:r>
        <w:t xml:space="preserve"> (meaning that it spends much time performing computations), in CPython </w:t>
      </w:r>
      <w:r>
        <w:rPr>
          <w:rStyle w:val="Text0"/>
        </w:rPr>
        <w:t>threading</w:t>
      </w:r>
      <w:r>
        <w:t xml:space="preserve"> usually does not help performance. This is because the GIL ensures that only one Python-coded thread at a time can execute (this also applies to </w:t>
      </w:r>
      <w:hyperlink r:id="rId448">
        <w:r>
          <w:rPr>
            <w:rStyle w:val="Text1"/>
          </w:rPr>
          <w:t>PyPy</w:t>
        </w:r>
      </w:hyperlink>
      <w:r>
        <w:t xml:space="preserve">). C-coded extensions can “release the GIL” while they’re doing a time-consuming operation; NumPy (covered in </w:t>
      </w:r>
      <w:hyperlink w:anchor="Chapter_16__Numeric_Processing_2">
        <w:r>
          <w:rPr>
            <w:rStyle w:val="Text1"/>
          </w:rPr>
          <w:t>Chapter 16</w:t>
        </w:r>
      </w:hyperlink>
      <w:r>
        <w:t xml:space="preserve">) does so for array operations, for example. As a consequence, if your program is CPU-bound via calls to lengthy CPU operations in NumPy or other similarly optimized C-coded extension, the </w:t>
      </w:r>
      <w:r>
        <w:rPr>
          <w:rStyle w:val="Text0"/>
        </w:rPr>
        <w:t>threading</w:t>
      </w:r>
      <w:r>
        <w:t xml:space="preserve"> module may help your program’s performance on a multiprocessor computer (as most computers are today).</w:t>
      </w:r>
    </w:p>
    <w:p>
      <w:pPr>
        <w:pStyle w:val="Para 012"/>
        <w:keepLines w:val="on"/>
      </w:pPr>
      <w:r>
        <w:t xml:space="preserve">When your program is CPU-bound via pure Python code and you’re using CPython or PyPy on a multiprocessor computer, the </w:t>
      </w:r>
      <w:r>
        <w:rPr>
          <w:rStyle w:val="Text0"/>
        </w:rPr>
        <w:t>multiprocessing</w:t>
      </w:r>
      <w:r>
        <w:t xml:space="preserve"> module may help performance by allowing truly parallel computation. To solve problems across multiple network-connected computers (implementing distributed computing), however, you should look at the more specialized approaches and packages discussed on the </w:t>
      </w:r>
      <w:hyperlink r:id="rId449">
        <w:r>
          <w:rPr>
            <w:rStyle w:val="Text1"/>
          </w:rPr>
          <w:t>Python wiki</w:t>
        </w:r>
      </w:hyperlink>
      <w:r>
        <w:t>, which we don’t cover in this book.</w:t>
      </w:r>
      <w:r>
        <w:rPr>
          <w:rStyle w:val="Text111"/>
        </w:rPr>
        <w:bookmarkStart w:id="3326" w:name="idm45965193591632"/>
        <w:t/>
        <w:bookmarkEnd w:id="3326"/>
      </w:r>
    </w:p>
    <w:p>
      <w:bookmarkStart w:id="3327" w:name="Threads_in_Python__Python_suppor"/>
      <w:pPr>
        <w:keepNext/>
        <w:pStyle w:val="Heading 1"/>
      </w:pPr>
      <w:r>
        <w:t>Threads in Python</w:t>
      </w:r>
      <w:bookmarkEnd w:id="3327"/>
    </w:p>
    <w:p>
      <w:pPr>
        <w:pStyle w:val="Normal"/>
      </w:pPr>
      <w:r>
        <w:t>Python</w:t>
      </w:r>
      <w:r>
        <w:rPr>
          <w:rStyle w:val="Text111"/>
        </w:rPr>
        <w:bookmarkStart w:id="3328" w:name="idm45965193588304"/>
        <w:t/>
        <w:bookmarkEnd w:id="3328"/>
      </w:r>
      <w:r>
        <w:t xml:space="preserve"> supports multithreading on platforms that support threads, such as Windows, Linux, and just about all variants of Unix (including macOS). An action is known as</w:t>
      </w:r>
      <w:r>
        <w:rPr>
          <w:rStyle w:val="Text111"/>
        </w:rPr>
        <w:bookmarkStart w:id="3329" w:name="idm45965193586800"/>
        <w:t/>
        <w:bookmarkEnd w:id="3329"/>
      </w:r>
      <w:r>
        <w:t xml:space="preserve"> </w:t>
      </w:r>
      <w:r>
        <w:rPr>
          <w:rStyle w:val="Text4"/>
        </w:rPr>
        <w:t>atomic</w:t>
      </w:r>
      <w:r>
        <w:t xml:space="preserve"> when it’s guaranteed that no thread switching occurs between the start and the end of the action. In practice, in CPython, operations that </w:t>
      </w:r>
      <w:r>
        <w:rPr>
          <w:rStyle w:val="Text4"/>
        </w:rPr>
        <w:t>look</w:t>
      </w:r>
      <w:r>
        <w:t xml:space="preserve"> atomic (e.g., simple assignments and accesses) mostly </w:t>
      </w:r>
      <w:r>
        <w:rPr>
          <w:rStyle w:val="Text4"/>
        </w:rPr>
        <w:t>are</w:t>
      </w:r>
      <w:r>
        <w:t xml:space="preserve"> atomic, but only when executed on built-in types (augmented and multiple assignments, however, aren’t atomic). Mostly, though, it’s </w:t>
      </w:r>
      <w:r>
        <w:rPr>
          <w:rStyle w:val="Text4"/>
        </w:rPr>
        <w:t>not</w:t>
      </w:r>
      <w:r>
        <w:t xml:space="preserve"> a good idea to rely on such “atomicity.” You might be dealing with an instance of a user-coded class rather than of a built-in type, in which there might be implicit calls to Python code that invalidate assumptions of atomicity. Further, relying on implementation-dependent atomicity may lock your code into a specific implementation, hampering future changes. You’re better-advised to use the synchronization facilities covered in the rest of this chapter, rather than relying on atomicity assumptions.</w:t>
      </w:r>
    </w:p>
    <w:p>
      <w:pPr>
        <w:pStyle w:val="Normal"/>
      </w:pPr>
      <w:r>
        <w:t xml:space="preserve">The key design issue in multithreading systems is how best to coordinate multiple threads. The </w:t>
      </w:r>
      <w:r>
        <w:rPr>
          <w:rStyle w:val="Text0"/>
        </w:rPr>
        <w:t>threading</w:t>
      </w:r>
      <w:r>
        <w:t xml:space="preserve"> module, covered in the following section, supplies several synchronization objects. The </w:t>
      </w:r>
      <w:r>
        <w:rPr>
          <w:rStyle w:val="Text0"/>
        </w:rPr>
        <w:t>queue</w:t>
      </w:r>
      <w:r>
        <w:t xml:space="preserve"> module (discussed in </w:t>
      </w:r>
      <w:hyperlink w:anchor="The_queue_Module__The_queue_modu">
        <w:r>
          <w:rPr>
            <w:rStyle w:val="Text1"/>
          </w:rPr>
          <w:t>“The queue Module”</w:t>
        </w:r>
      </w:hyperlink>
      <w:r>
        <w:t xml:space="preserve">) is also very useful for thread synchronization: it supplies synchronized, thread-safe queue types, handy for communication and coordination between threads. The package </w:t>
      </w:r>
      <w:r>
        <w:rPr>
          <w:rStyle w:val="Text0"/>
        </w:rPr>
        <w:t>concurrent</w:t>
      </w:r>
      <w:r>
        <w:t xml:space="preserve"> (covered in </w:t>
      </w:r>
      <w:hyperlink w:anchor="The_concurrent_futures_Module__T">
        <w:r>
          <w:rPr>
            <w:rStyle w:val="Text1"/>
          </w:rPr>
          <w:t>“The concurrent.futures Module”</w:t>
        </w:r>
      </w:hyperlink>
      <w:r>
        <w:t>) supplies a unified interface for communication and coordination that can be implemented by pools of either threads or processes.</w:t>
      </w:r>
    </w:p>
    <w:p>
      <w:bookmarkStart w:id="3330" w:name="The_threading_Module__The_thread"/>
      <w:pPr>
        <w:keepNext/>
        <w:pStyle w:val="Heading 1"/>
      </w:pPr>
      <w:r>
        <w:t>The threading Module</w:t>
      </w:r>
      <w:bookmarkEnd w:id="3330"/>
    </w:p>
    <w:p>
      <w:pPr>
        <w:pStyle w:val="Normal"/>
      </w:pPr>
      <w:r>
        <w:t>The</w:t>
      </w:r>
      <w:r>
        <w:rPr>
          <w:rStyle w:val="Text111"/>
        </w:rPr>
        <w:bookmarkStart w:id="3331" w:name="idm45965193576304"/>
        <w:t/>
        <w:bookmarkEnd w:id="3331"/>
        <w:bookmarkStart w:id="3332" w:name="TAPthmod15"/>
        <w:t/>
        <w:bookmarkEnd w:id="3332"/>
        <w:bookmarkStart w:id="3333" w:name="thmod15"/>
        <w:t/>
        <w:bookmarkEnd w:id="3333"/>
      </w:r>
      <w:r>
        <w:t xml:space="preserve"> </w:t>
      </w:r>
      <w:r>
        <w:rPr>
          <w:rStyle w:val="Text0"/>
        </w:rPr>
        <w:t>threading</w:t>
      </w:r>
      <w:r>
        <w:t xml:space="preserve"> module supplies multithreading functionality. The approach of </w:t>
      </w:r>
      <w:r>
        <w:rPr>
          <w:rStyle w:val="Text0"/>
        </w:rPr>
        <w:t>threading</w:t>
      </w:r>
      <w:r>
        <w:t xml:space="preserve"> is to model locks and conditions as separate objects (in Java, for example, such functionality is part of every object), and threads cannot be directly controlled from the outside (thus, no priorities, groups, destruction, or stopping). All methods of objects supplied by </w:t>
      </w:r>
      <w:r>
        <w:rPr>
          <w:rStyle w:val="Text0"/>
        </w:rPr>
        <w:t>threading</w:t>
      </w:r>
      <w:r>
        <w:t xml:space="preserve"> are atomic.</w:t>
      </w:r>
    </w:p>
    <w:p>
      <w:pPr>
        <w:pStyle w:val="Normal"/>
      </w:pPr>
      <w:r>
        <w:rPr>
          <w:rStyle w:val="Text0"/>
        </w:rPr>
        <w:t>threading</w:t>
      </w:r>
      <w:r>
        <w:t xml:space="preserve"> supplies the following thread-focused classes, all of which we’ll explore in this section: </w:t>
      </w:r>
      <w:r>
        <w:rPr>
          <w:rStyle w:val="Text0"/>
        </w:rPr>
        <w:t>Thread</w:t>
      </w:r>
      <w:r>
        <w:t xml:space="preserve">, </w:t>
      </w:r>
      <w:r>
        <w:rPr>
          <w:rStyle w:val="Text0"/>
        </w:rPr>
        <w:t>Condition</w:t>
      </w:r>
      <w:r>
        <w:t xml:space="preserve">, </w:t>
      </w:r>
      <w:r>
        <w:rPr>
          <w:rStyle w:val="Text0"/>
        </w:rPr>
        <w:t>Lock</w:t>
      </w:r>
      <w:r>
        <w:t xml:space="preserve">, </w:t>
      </w:r>
      <w:r>
        <w:rPr>
          <w:rStyle w:val="Text0"/>
        </w:rPr>
        <w:t>RLock</w:t>
      </w:r>
      <w:r>
        <w:t xml:space="preserve">, </w:t>
      </w:r>
      <w:r>
        <w:rPr>
          <w:rStyle w:val="Text0"/>
        </w:rPr>
        <w:t>Event</w:t>
      </w:r>
      <w:r>
        <w:t xml:space="preserve">, </w:t>
      </w:r>
      <w:r>
        <w:rPr>
          <w:rStyle w:val="Text0"/>
        </w:rPr>
        <w:t>Semaphore</w:t>
      </w:r>
      <w:r>
        <w:t xml:space="preserve">, </w:t>
      </w:r>
      <w:r>
        <w:rPr>
          <w:rStyle w:val="Text0"/>
        </w:rPr>
        <w:t>BoundedSemaphore</w:t>
      </w:r>
      <w:r>
        <w:t xml:space="preserve">, </w:t>
      </w:r>
      <w:r>
        <w:rPr>
          <w:rStyle w:val="Text0"/>
        </w:rPr>
        <w:t>Timer</w:t>
      </w:r>
      <w:r>
        <w:t xml:space="preserve">, and </w:t>
      </w:r>
      <w:r>
        <w:rPr>
          <w:rStyle w:val="Text0"/>
        </w:rPr>
        <w:t>Barrier</w:t>
      </w:r>
      <w:r>
        <w:t>.</w:t>
      </w:r>
    </w:p>
    <w:p>
      <w:pPr>
        <w:pStyle w:val="Normal"/>
      </w:pPr>
      <w:r>
        <w:rPr>
          <w:rStyle w:val="Text0"/>
        </w:rPr>
        <w:t>threading</w:t>
      </w:r>
      <w:r>
        <w:t xml:space="preserve"> also supplies a number of useful</w:t>
      </w:r>
      <w:r>
        <w:rPr>
          <w:rStyle w:val="Text111"/>
        </w:rPr>
        <w:bookmarkStart w:id="3334" w:name="idm45965193561088"/>
        <w:t/>
        <w:bookmarkEnd w:id="3334"/>
      </w:r>
      <w:r>
        <w:t xml:space="preserve"> functions, including those listed in </w:t>
      </w:r>
      <w:hyperlink w:anchor="Table_15_1__Functions_of_the_thr">
        <w:r>
          <w:rPr>
            <w:rStyle w:val="Text1"/>
          </w:rPr>
          <w:t>Table 15-1</w:t>
        </w:r>
      </w:hyperlink>
      <w:r>
        <w:t>.</w:t>
      </w:r>
    </w:p>
    <w:tbl>
      <w:tblPr>
        <w:tblW w:type="auto" w:w="0"/>
      </w:tblPr>
      <w:tr>
        <w:tc>
          <w:tcPr>
            <w:tcW w:type="auto" w:w="0"/>
            <w:tcMar>
              <w:left w:type="dxa" w:w="200"/>
              <w:top w:type="dxa" w:w="200"/>
              <w:right w:type="dxa" w:w="200"/>
              <w:bottom w:type="dxa" w:w="200"/>
            </w:tcMar>
          </w:tcPr>
          <w:p>
            <w:bookmarkStart w:id="3335" w:name="Table_15_1__Functions_of_the_thr"/>
            <w:pPr>
              <w:pStyle w:val="Para 011"/>
            </w:pPr>
            <w:r>
              <w:rPr>
                <w:rStyle w:val="Text117"/>
              </w:rPr>
              <w:t/>
            </w:r>
            <w:r>
              <w:t xml:space="preserve">Table 15-1. </w:t>
              <w:t xml:space="preserve">Functions of the </w:t>
            </w:r>
            <w:r>
              <w:rPr>
                <w:rStyle w:val="Text0"/>
              </w:rPr>
              <w:t>threading</w:t>
            </w:r>
            <w:r>
              <w:t xml:space="preserve"> module</w:t>
            </w:r>
            <w:bookmarkEnd w:id="3335"/>
          </w:p>
          <w:p>
            <w:pPr>
              <w:pStyle w:val="Para 001"/>
            </w:pPr>
            <w:r>
              <w:t>active_count</w:t>
            </w:r>
          </w:p>
        </w:tc>
        <w:tc>
          <w:tcPr>
            <w:tcW w:type="auto" w:w="0"/>
            <w:tcMar>
              <w:left w:type="dxa" w:w="200"/>
              <w:top w:type="dxa" w:w="200"/>
              <w:right w:type="dxa" w:w="200"/>
              <w:bottom w:type="dxa" w:w="200"/>
            </w:tcMar>
          </w:tcPr>
          <w:p>
            <w:pPr>
              <w:pStyle w:val="Para 002"/>
            </w:pPr>
            <w:r>
              <w:rPr>
                <w:rStyle w:val="Text0"/>
              </w:rPr>
              <w:t>active_count()</w:t>
              <w:br w:clear="none"/>
            </w:r>
            <w:r>
              <w:t xml:space="preserve"> Returns an </w:t>
            </w:r>
            <w:r>
              <w:rPr>
                <w:rStyle w:val="Text0"/>
              </w:rPr>
              <w:t>int</w:t>
            </w:r>
            <w:r>
              <w:t xml:space="preserve">, the number of </w:t>
            </w:r>
            <w:r>
              <w:rPr>
                <w:rStyle w:val="Text0"/>
              </w:rPr>
              <w:t>Thread</w:t>
            </w:r>
            <w:r>
              <w:t xml:space="preserve"> objects currently alive (not ones that have terminated or not yet started).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c⁠u⁠r⁠r⁠e⁠n⁠t⁠_​t⁠h⁠r⁠e⁠a⁠d</w:t>
            </w:r>
          </w:p>
        </w:tc>
        <w:tc>
          <w:tcPr>
            <w:tcW w:type="auto" w:w="0"/>
            <w:shd w:val="clear" w:color="auto" w:fill="EEF2F6"/>
            <w:tcMar>
              <w:left w:type="dxa" w:w="200"/>
              <w:top w:type="dxa" w:w="200"/>
              <w:right w:type="dxa" w:w="200"/>
              <w:bottom w:type="dxa" w:w="200"/>
            </w:tcMar>
          </w:tcPr>
          <w:p>
            <w:pPr>
              <w:pStyle w:val="Para 002"/>
            </w:pPr>
            <w:r>
              <w:rPr>
                <w:rStyle w:val="Text0"/>
              </w:rPr>
              <w:t>current_thread()</w:t>
              <w:br w:clear="none"/>
            </w:r>
            <w:r>
              <w:t xml:space="preserve"> Returns a </w:t>
            </w:r>
            <w:r>
              <w:rPr>
                <w:rStyle w:val="Text0"/>
              </w:rPr>
              <w:t>Thread</w:t>
            </w:r>
            <w:r>
              <w:t xml:space="preserve"> object for the calling thread. If the calling thread was not created by </w:t>
            </w:r>
            <w:r>
              <w:rPr>
                <w:rStyle w:val="Text0"/>
              </w:rPr>
              <w:t>threading</w:t>
            </w:r>
            <w:r>
              <w:t xml:space="preserve">, </w:t>
            </w:r>
            <w:r>
              <w:rPr>
                <w:rStyle w:val="Text0"/>
              </w:rPr>
              <w:t>current_thread</w:t>
            </w:r>
            <w:r>
              <w:t xml:space="preserve"> creates and returns a semi-dummy </w:t>
            </w:r>
            <w:r>
              <w:rPr>
                <w:rStyle w:val="Text0"/>
              </w:rPr>
              <w:t>Thread</w:t>
            </w:r>
            <w:r>
              <w:t xml:space="preserve"> object with limited functionality.</w:t>
            </w:r>
          </w:p>
        </w:tc>
      </w:tr>
    </w:tbl>
    <w:tbl>
      <w:tblPr>
        <w:tblW w:type="auto" w:w="0"/>
      </w:tblPr>
      <w:tr>
        <w:tc>
          <w:tcPr>
            <w:tcW w:type="auto" w:w="0"/>
            <w:tcMar>
              <w:left w:type="dxa" w:w="200"/>
              <w:top w:type="dxa" w:w="200"/>
              <w:right w:type="dxa" w:w="200"/>
              <w:bottom w:type="dxa" w:w="200"/>
            </w:tcMar>
          </w:tcPr>
          <w:p>
            <w:pPr>
              <w:pStyle w:val="Para 001"/>
            </w:pPr>
            <w:r>
              <w:t>enumerate</w:t>
            </w:r>
          </w:p>
        </w:tc>
        <w:tc>
          <w:tcPr>
            <w:tcW w:type="auto" w:w="0"/>
            <w:tcMar>
              <w:left w:type="dxa" w:w="200"/>
              <w:top w:type="dxa" w:w="200"/>
              <w:right w:type="dxa" w:w="200"/>
              <w:bottom w:type="dxa" w:w="200"/>
            </w:tcMar>
          </w:tcPr>
          <w:p>
            <w:pPr>
              <w:pStyle w:val="Para 002"/>
            </w:pPr>
            <w:r>
              <w:rPr>
                <w:rStyle w:val="Text0"/>
              </w:rPr>
              <w:t>enumerate()</w:t>
              <w:br w:clear="none"/>
            </w:r>
            <w:r>
              <w:t xml:space="preserve"> Returns a </w:t>
            </w:r>
            <w:r>
              <w:rPr>
                <w:rStyle w:val="Text0"/>
              </w:rPr>
              <w:t>list</w:t>
            </w:r>
            <w:r>
              <w:t xml:space="preserve"> of all </w:t>
            </w:r>
            <w:r>
              <w:rPr>
                <w:rStyle w:val="Text0"/>
              </w:rPr>
              <w:t>Thread</w:t>
            </w:r>
            <w:r>
              <w:t xml:space="preserve"> objects currently alive (not ones that have terminated or not yet started).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excepthook</w:t>
            </w:r>
          </w:p>
        </w:tc>
        <w:tc>
          <w:tcPr>
            <w:tcW w:type="auto" w:w="0"/>
            <w:shd w:val="clear" w:color="auto" w:fill="EEF2F6"/>
            <w:tcMar>
              <w:left w:type="dxa" w:w="200"/>
              <w:top w:type="dxa" w:w="200"/>
              <w:right w:type="dxa" w:w="200"/>
              <w:bottom w:type="dxa" w:w="200"/>
            </w:tcMar>
          </w:tcPr>
          <w:p>
            <w:pPr>
              <w:pStyle w:val="Para 002"/>
            </w:pPr>
            <w:r>
              <w:rPr>
                <w:rStyle w:val="Text0"/>
              </w:rPr>
              <w:t>excepthook(args)</w:t>
              <w:br w:clear="none"/>
            </w:r>
            <w:r>
              <w:t xml:space="preserve"> </w:t>
            </w:r>
            <w:r>
              <w:rPr>
                <w:rStyle w:val="Text34"/>
              </w:rPr>
              <w:t>3.8+</w:t>
            </w:r>
            <w:r>
              <w:t xml:space="preserve"> Override this function to determine how in-thread exceptions are handled; see the </w:t>
            </w:r>
            <w:hyperlink r:id="rId450">
              <w:r>
                <w:rPr>
                  <w:rStyle w:val="Text1"/>
                </w:rPr>
                <w:t>online docs</w:t>
              </w:r>
            </w:hyperlink>
            <w:r>
              <w:t xml:space="preserve"> for details. The </w:t>
            </w:r>
            <w:r>
              <w:rPr>
                <w:rStyle w:val="Text0"/>
              </w:rPr>
              <w:t>args</w:t>
            </w:r>
            <w:r>
              <w:t xml:space="preserve"> argument has attributes that allow you to access exception and thread details. </w:t>
            </w:r>
            <w:r>
              <w:rPr>
                <w:rStyle w:val="Text34"/>
              </w:rPr>
              <w:t>3.10+</w:t>
            </w:r>
            <w:r>
              <w:t xml:space="preserve"> </w:t>
            </w:r>
            <w:r>
              <w:rPr>
                <w:rStyle w:val="Text0"/>
              </w:rPr>
              <w:t>threading.__excepthook__</w:t>
            </w:r>
            <w:r>
              <w:t xml:space="preserve"> holds the module’s original </w:t>
            </w:r>
            <w:r>
              <w:rPr>
                <w:rStyle w:val="Text0"/>
              </w:rPr>
              <w:t>threadhook</w:t>
            </w:r>
            <w:r>
              <w:t xml:space="preserve"> value.</w:t>
            </w:r>
          </w:p>
        </w:tc>
      </w:tr>
    </w:tbl>
    <w:tbl>
      <w:tblPr>
        <w:tblW w:type="auto" w:w="0"/>
      </w:tblPr>
      <w:tr>
        <w:tc>
          <w:tcPr>
            <w:tcW w:type="auto" w:w="0"/>
            <w:tcMar>
              <w:left w:type="dxa" w:w="200"/>
              <w:top w:type="dxa" w:w="200"/>
              <w:right w:type="dxa" w:w="200"/>
              <w:bottom w:type="dxa" w:w="200"/>
            </w:tcMar>
          </w:tcPr>
          <w:p>
            <w:pPr>
              <w:pStyle w:val="Para 001"/>
            </w:pPr>
            <w:r>
              <w:t>get_ident</w:t>
            </w:r>
          </w:p>
        </w:tc>
        <w:tc>
          <w:tcPr>
            <w:tcW w:type="auto" w:w="0"/>
            <w:tcMar>
              <w:left w:type="dxa" w:w="200"/>
              <w:top w:type="dxa" w:w="200"/>
              <w:right w:type="dxa" w:w="200"/>
              <w:bottom w:type="dxa" w:w="200"/>
            </w:tcMar>
          </w:tcPr>
          <w:p>
            <w:pPr>
              <w:pStyle w:val="Para 002"/>
            </w:pPr>
            <w:r>
              <w:rPr>
                <w:rStyle w:val="Text0"/>
              </w:rPr>
              <w:t>get_ident()</w:t>
              <w:br w:clear="none"/>
            </w:r>
            <w:r>
              <w:t xml:space="preserve"> Returns a nonzero </w:t>
            </w:r>
            <w:r>
              <w:rPr>
                <w:rStyle w:val="Text0"/>
              </w:rPr>
              <w:t>int</w:t>
            </w:r>
            <w:r>
              <w:t xml:space="preserve"> as a unique identifier among all current threads. Useful to manage and track data by thread. Thread identifiers may be reused as threads exit and new threads are created.</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get_native_id</w:t>
            </w:r>
          </w:p>
        </w:tc>
        <w:tc>
          <w:tcPr>
            <w:tcW w:type="auto" w:w="0"/>
            <w:shd w:val="clear" w:color="auto" w:fill="EEF2F6"/>
            <w:tcMar>
              <w:left w:type="dxa" w:w="200"/>
              <w:top w:type="dxa" w:w="200"/>
              <w:right w:type="dxa" w:w="200"/>
              <w:bottom w:type="dxa" w:w="200"/>
            </w:tcMar>
          </w:tcPr>
          <w:p>
            <w:pPr>
              <w:pStyle w:val="Para 002"/>
            </w:pPr>
            <w:r>
              <w:rPr>
                <w:rStyle w:val="Text0"/>
              </w:rPr>
              <w:t>get_native_id()</w:t>
              <w:br w:clear="none"/>
            </w:r>
            <w:r>
              <w:t xml:space="preserve"> </w:t>
            </w:r>
            <w:r>
              <w:rPr>
                <w:rStyle w:val="Text34"/>
              </w:rPr>
              <w:t>3.8+</w:t>
            </w:r>
            <w:r>
              <w:t xml:space="preserve"> Returns the native integer ID of the current thread as assigned by the operating system kernel. Available on most common operating systems.</w:t>
            </w:r>
          </w:p>
        </w:tc>
      </w:tr>
    </w:tbl>
    <w:tbl>
      <w:tblPr>
        <w:tblW w:type="auto" w:w="0"/>
      </w:tblPr>
      <w:tr>
        <w:tc>
          <w:tcPr>
            <w:tcW w:type="auto" w:w="0"/>
            <w:tcMar>
              <w:left w:type="dxa" w:w="200"/>
              <w:top w:type="dxa" w:w="200"/>
              <w:right w:type="dxa" w:w="200"/>
              <w:bottom w:type="dxa" w:w="200"/>
            </w:tcMar>
          </w:tcPr>
          <w:p>
            <w:pPr>
              <w:pStyle w:val="Para 001"/>
            </w:pPr>
            <w:r>
              <w:t>stack_size</w:t>
            </w:r>
          </w:p>
        </w:tc>
        <w:tc>
          <w:tcPr>
            <w:tcW w:type="auto" w:w="0"/>
            <w:tcMar>
              <w:left w:type="dxa" w:w="200"/>
              <w:top w:type="dxa" w:w="200"/>
              <w:right w:type="dxa" w:w="200"/>
              <w:bottom w:type="dxa" w:w="200"/>
            </w:tcMar>
          </w:tcPr>
          <w:p>
            <w:pPr>
              <w:pStyle w:val="Para 002"/>
            </w:pPr>
            <w:r>
              <w:rPr>
                <w:rStyle w:val="Text0"/>
              </w:rPr>
              <w:t>stack_size([</w:t>
            </w:r>
            <w:r>
              <w:rPr>
                <w:rStyle w:val="Text3"/>
              </w:rPr>
              <w:t>size</w:t>
            </w:r>
            <w:r>
              <w:rPr>
                <w:rStyle w:val="Text0"/>
              </w:rPr>
              <w:t>])</w:t>
              <w:br w:clear="none"/>
            </w:r>
            <w:r>
              <w:t xml:space="preserve"> Returns the current stack size, in bytes, used for new threads, and (when </w:t>
            </w:r>
            <w:r>
              <w:rPr>
                <w:rStyle w:val="Text3"/>
              </w:rPr>
              <w:t>size</w:t>
            </w:r>
            <w:r>
              <w:t xml:space="preserve"> is provided) establishes the value for new threads. Acceptable values for </w:t>
            </w:r>
            <w:r>
              <w:rPr>
                <w:rStyle w:val="Text3"/>
              </w:rPr>
              <w:t>size</w:t>
            </w:r>
            <w:r>
              <w:t xml:space="preserve"> are subject to platform-specific constraints, such as being at least </w:t>
            </w:r>
            <w:r>
              <w:rPr>
                <w:rStyle w:val="Text0"/>
              </w:rPr>
              <w:t>32768</w:t>
            </w:r>
            <w:r>
              <w:t xml:space="preserve"> (or an even higher minimum, on some platforms), and (on some platforms) being a multiple of </w:t>
            </w:r>
            <w:r>
              <w:rPr>
                <w:rStyle w:val="Text0"/>
              </w:rPr>
              <w:t>4096</w:t>
            </w:r>
            <w:r>
              <w:t xml:space="preserve">. Passing </w:t>
            </w:r>
            <w:r>
              <w:rPr>
                <w:rStyle w:val="Text3"/>
              </w:rPr>
              <w:t>size</w:t>
            </w:r>
            <w:r>
              <w:t xml:space="preserve"> as </w:t>
            </w:r>
            <w:r>
              <w:rPr>
                <w:rStyle w:val="Text0"/>
              </w:rPr>
              <w:t>0</w:t>
            </w:r>
            <w:r>
              <w:t xml:space="preserve"> is always acceptable and means “use the system’s default.” When you pass a value for </w:t>
            </w:r>
            <w:r>
              <w:rPr>
                <w:rStyle w:val="Text3"/>
              </w:rPr>
              <w:t>size</w:t>
            </w:r>
            <w:r>
              <w:t xml:space="preserve"> that is not acceptable on the current platform, </w:t>
            </w:r>
            <w:r>
              <w:rPr>
                <w:rStyle w:val="Text0"/>
              </w:rPr>
              <w:t>stack_size</w:t>
            </w:r>
            <w:r>
              <w:t xml:space="preserve"> raises a </w:t>
            </w:r>
            <w:r>
              <w:rPr>
                <w:rStyle w:val="Text0"/>
              </w:rPr>
              <w:t>ValueError</w:t>
            </w:r>
            <w:r>
              <w:t xml:space="preserve"> exception.</w:t>
            </w:r>
          </w:p>
        </w:tc>
      </w:tr>
    </w:tbl>
    <w:p>
      <w:bookmarkStart w:id="3336" w:name="Thread_Objects__A_Thread_instanc"/>
      <w:pPr>
        <w:keepNext/>
        <w:pStyle w:val="Heading 2"/>
      </w:pPr>
      <w:r>
        <w:t>Thread Objects</w:t>
      </w:r>
      <w:bookmarkEnd w:id="3336"/>
    </w:p>
    <w:p>
      <w:pPr>
        <w:pStyle w:val="Normal"/>
      </w:pPr>
      <w:r>
        <w:t>A</w:t>
      </w:r>
      <w:r>
        <w:rPr>
          <w:rStyle w:val="Text111"/>
        </w:rPr>
        <w:bookmarkStart w:id="3337" w:name="idm45965193516944"/>
        <w:t/>
        <w:bookmarkEnd w:id="3337"/>
      </w:r>
      <w:r>
        <w:t xml:space="preserve"> </w:t>
      </w:r>
      <w:r>
        <w:rPr>
          <w:rStyle w:val="Text0"/>
        </w:rPr>
        <w:t>Thread</w:t>
      </w:r>
      <w:r>
        <w:t xml:space="preserve"> instance </w:t>
      </w:r>
      <w:r>
        <w:rPr>
          <w:rStyle w:val="Text3"/>
        </w:rPr>
        <w:t>t</w:t>
      </w:r>
      <w:r>
        <w:t xml:space="preserve"> models a thread. You can pass a function to be used as </w:t>
      </w:r>
      <w:r>
        <w:rPr>
          <w:rStyle w:val="Text3"/>
        </w:rPr>
        <w:t>t</w:t>
      </w:r>
      <w:r>
        <w:t xml:space="preserve">’s main function as the </w:t>
      </w:r>
      <w:r>
        <w:rPr>
          <w:rStyle w:val="Text3"/>
        </w:rPr>
        <w:t>target</w:t>
      </w:r>
      <w:r>
        <w:t xml:space="preserve"> argument when you create </w:t>
      </w:r>
      <w:r>
        <w:rPr>
          <w:rStyle w:val="Text3"/>
        </w:rPr>
        <w:t>t</w:t>
      </w:r>
      <w:r>
        <w:t xml:space="preserve">, or you can subclass </w:t>
      </w:r>
      <w:r>
        <w:rPr>
          <w:rStyle w:val="Text0"/>
        </w:rPr>
        <w:t>Thread</w:t>
      </w:r>
      <w:r>
        <w:t xml:space="preserve"> and override its </w:t>
      </w:r>
      <w:r>
        <w:rPr>
          <w:rStyle w:val="Text0"/>
        </w:rPr>
        <w:t>run</w:t>
      </w:r>
      <w:r>
        <w:t xml:space="preserve"> method (you may also override </w:t>
      </w:r>
      <w:r>
        <w:rPr>
          <w:rStyle w:val="Text0"/>
        </w:rPr>
        <w:t>__init__</w:t>
      </w:r>
      <w:r>
        <w:t xml:space="preserve">, but you should not override other methods). </w:t>
      </w:r>
      <w:r>
        <w:rPr>
          <w:rStyle w:val="Text3"/>
        </w:rPr>
        <w:t>t</w:t>
      </w:r>
      <w:r>
        <w:t xml:space="preserve"> is not yet ready to run when you create it; to make </w:t>
      </w:r>
      <w:r>
        <w:rPr>
          <w:rStyle w:val="Text3"/>
        </w:rPr>
        <w:t>t</w:t>
      </w:r>
      <w:r>
        <w:t xml:space="preserve"> ready (active), call </w:t>
      </w:r>
      <w:r>
        <w:rPr>
          <w:rStyle w:val="Text3"/>
        </w:rPr>
        <w:t>t</w:t>
      </w:r>
      <w:r>
        <w:rPr>
          <w:rStyle w:val="Text0"/>
        </w:rPr>
        <w:t>.start</w:t>
      </w:r>
      <w:r>
        <w:t xml:space="preserve">. Once </w:t>
      </w:r>
      <w:r>
        <w:rPr>
          <w:rStyle w:val="Text3"/>
        </w:rPr>
        <w:t>t</w:t>
      </w:r>
      <w:r>
        <w:t xml:space="preserve"> is active, it terminates when its main function ends, either normally or by propagating an exception. A </w:t>
      </w:r>
      <w:r>
        <w:rPr>
          <w:rStyle w:val="Text0"/>
        </w:rPr>
        <w:t>Thread</w:t>
      </w:r>
      <w:r>
        <w:t xml:space="preserve"> </w:t>
      </w:r>
      <w:r>
        <w:rPr>
          <w:rStyle w:val="Text3"/>
        </w:rPr>
        <w:t>t</w:t>
      </w:r>
      <w:r>
        <w:t xml:space="preserve"> can be a </w:t>
      </w:r>
      <w:r>
        <w:rPr>
          <w:rStyle w:val="Text4"/>
        </w:rPr>
        <w:t>daemon</w:t>
      </w:r>
      <w:r>
        <w:t xml:space="preserve">, meaning that Python can terminate even if </w:t>
      </w:r>
      <w:r>
        <w:rPr>
          <w:rStyle w:val="Text3"/>
        </w:rPr>
        <w:t>t</w:t>
      </w:r>
      <w:r>
        <w:t xml:space="preserve"> is still active, while a normal (nondaemon) thread keeps Python alive until the thread terminates. The </w:t>
      </w:r>
      <w:r>
        <w:rPr>
          <w:rStyle w:val="Text0"/>
        </w:rPr>
        <w:t>Thread</w:t>
      </w:r>
      <w:r>
        <w:t xml:space="preserve"> class supplies the constructor, properties, and methods detailed in </w:t>
      </w:r>
      <w:hyperlink w:anchor="Table_15_2__Constructor__methods">
        <w:r>
          <w:rPr>
            <w:rStyle w:val="Text1"/>
          </w:rPr>
          <w:t>Table 15-2</w:t>
        </w:r>
      </w:hyperlink>
      <w:r>
        <w:t>.</w:t>
      </w:r>
    </w:p>
    <w:tbl>
      <w:tblPr>
        <w:tblW w:type="auto" w:w="0"/>
      </w:tblPr>
      <w:tr>
        <w:tc>
          <w:tcPr>
            <w:tcW w:type="auto" w:w="0"/>
            <w:tcMar>
              <w:left w:type="dxa" w:w="200"/>
              <w:top w:type="dxa" w:w="200"/>
              <w:right w:type="dxa" w:w="200"/>
              <w:bottom w:type="dxa" w:w="200"/>
            </w:tcMar>
          </w:tcPr>
          <w:p>
            <w:bookmarkStart w:id="3338" w:name="Table_15_2__Constructor__methods"/>
            <w:pPr>
              <w:pStyle w:val="Para 011"/>
            </w:pPr>
            <w:r>
              <w:rPr>
                <w:rStyle w:val="Text117"/>
              </w:rPr>
              <w:t/>
            </w:r>
            <w:r>
              <w:t xml:space="preserve">Table 15-2. </w:t>
              <w:t xml:space="preserve">Constructor, methods, and properties of the </w:t>
            </w:r>
            <w:r>
              <w:rPr>
                <w:rStyle w:val="Text0"/>
              </w:rPr>
              <w:t>Thread</w:t>
            </w:r>
            <w:r>
              <w:t xml:space="preserve"> class</w:t>
            </w:r>
            <w:bookmarkEnd w:id="3338"/>
          </w:p>
          <w:p>
            <w:pPr>
              <w:pStyle w:val="Para 001"/>
            </w:pPr>
            <w:r>
              <w:t>Thread</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Thread(name=</w:t>
            </w:r>
            <w:r>
              <w:rPr>
                <w:rStyle w:val="Text5"/>
              </w:rPr>
              <w:t>None</w:t>
            </w:r>
            <w:r>
              <w:rPr>
                <w:rStyle w:val="Text0"/>
              </w:rPr>
              <w:t>, target=</w:t>
            </w:r>
            <w:r>
              <w:rPr>
                <w:rStyle w:val="Text5"/>
              </w:rPr>
              <w:t>None</w:t>
            </w:r>
            <w:r>
              <w:rPr>
                <w:rStyle w:val="Text0"/>
              </w:rPr>
              <w:t>, args=(), kwargs={}, *,</w:t>
              <w:br w:clear="none"/>
              <w:t xml:space="preserve"> daemon=</w:t>
            </w:r>
            <w:r>
              <w:rPr>
                <w:rStyle w:val="Text5"/>
              </w:rPr>
              <w:t>None</w:t>
            </w:r>
            <w:r>
              <w:rPr>
                <w:rStyle w:val="Text0"/>
              </w:rPr>
              <w:t>)</w:t>
              <w:br w:clear="none"/>
            </w:r>
            <w:r>
              <w:t xml:space="preserve"> </w:t>
            </w:r>
            <w:r>
              <w:rPr>
                <w:rStyle w:val="Text4"/>
              </w:rPr>
              <w:t>Always call</w:t>
            </w:r>
            <w:r>
              <w:t xml:space="preserve"> </w:t>
            </w:r>
            <w:r>
              <w:rPr>
                <w:rStyle w:val="Text3"/>
              </w:rPr>
              <w:t>Thread</w:t>
            </w:r>
            <w:r>
              <w:t xml:space="preserve"> </w:t>
            </w:r>
            <w:r>
              <w:rPr>
                <w:rStyle w:val="Text4"/>
              </w:rPr>
              <w:t>with named arguments</w:t>
            </w:r>
            <w:r>
              <w:t>: the</w:t>
            </w:r>
            <w:r>
              <w:rPr>
                <w:rStyle w:val="Text111"/>
              </w:rPr>
              <w:bookmarkStart w:id="3339" w:name="idm45965193490384"/>
              <w:t/>
              <w:bookmarkEnd w:id="3339"/>
            </w:r>
            <w:r>
              <w:t xml:space="preserve"> number and order of parameters is not guaranteed by the specification, but the parameter names are. You have two options when constructing a </w:t>
            </w:r>
            <w:r>
              <w:rPr>
                <w:rStyle w:val="Text0"/>
              </w:rPr>
              <w:t>Thread</w:t>
            </w:r>
            <w:r>
              <w:t xml:space="preserve">: </w:t>
            </w:r>
          </w:p>
          <w:p>
            <w:pPr>
              <w:pStyle w:val="Para 003"/>
            </w:pPr>
            <w:r>
              <w:t xml:space="preserve">Instantiate the class </w:t>
            </w:r>
            <w:r>
              <w:rPr>
                <w:rStyle w:val="Text0"/>
              </w:rPr>
              <w:t>Thread</w:t>
            </w:r>
            <w:r>
              <w:t xml:space="preserve"> itself with a </w:t>
            </w:r>
            <w:r>
              <w:rPr>
                <w:rStyle w:val="Text0"/>
              </w:rPr>
              <w:t>target</w:t>
            </w:r>
            <w:r>
              <w:t xml:space="preserve"> function (</w:t>
            </w:r>
            <w:r>
              <w:rPr>
                <w:rStyle w:val="Text3"/>
              </w:rPr>
              <w:t>t</w:t>
            </w:r>
            <w:r>
              <w:rPr>
                <w:rStyle w:val="Text0"/>
              </w:rPr>
              <w:t>.run</w:t>
            </w:r>
            <w:r>
              <w:t xml:space="preserve"> then calls </w:t>
            </w:r>
            <w:r>
              <w:rPr>
                <w:rStyle w:val="Text3"/>
              </w:rPr>
              <w:t>target</w:t>
            </w:r>
            <w:r>
              <w:rPr>
                <w:rStyle w:val="Text0"/>
              </w:rPr>
              <w:t>(*</w:t>
            </w:r>
            <w:r>
              <w:rPr>
                <w:rStyle w:val="Text3"/>
              </w:rPr>
              <w:t>args</w:t>
            </w:r>
            <w:r>
              <w:rPr>
                <w:rStyle w:val="Text0"/>
              </w:rPr>
              <w:t>, **</w:t>
            </w:r>
            <w:r>
              <w:rPr>
                <w:rStyle w:val="Text3"/>
              </w:rPr>
              <w:t>kwargs</w:t>
            </w:r>
            <w:r>
              <w:rPr>
                <w:rStyle w:val="Text0"/>
              </w:rPr>
              <w:t>)</w:t>
            </w:r>
            <w:r>
              <w:t xml:space="preserve"> when the thread is started).</w:t>
            </w:r>
          </w:p>
          <w:p>
            <w:pPr>
              <w:pStyle w:val="Para 003"/>
            </w:pPr>
            <w:r>
              <w:t xml:space="preserve">Extend the </w:t>
            </w:r>
            <w:r>
              <w:rPr>
                <w:rStyle w:val="Text0"/>
              </w:rPr>
              <w:t>Thread</w:t>
            </w:r>
            <w:r>
              <w:t xml:space="preserve"> class and override its </w:t>
            </w:r>
            <w:r>
              <w:rPr>
                <w:rStyle w:val="Text0"/>
              </w:rPr>
              <w:t>run</w:t>
            </w:r>
            <w:r>
              <w:t xml:space="preserve"> method.</w:t>
            </w:r>
          </w:p>
          <w:p>
            <w:pPr>
              <w:pStyle w:val="Para 022"/>
            </w:pPr>
            <w:r>
              <w:t xml:space="preserve"> In either case, execution will begin only when you call </w:t>
            </w:r>
            <w:r>
              <w:rPr>
                <w:rStyle w:val="Text3"/>
              </w:rPr>
              <w:t>t</w:t>
            </w:r>
            <w:r>
              <w:rPr>
                <w:rStyle w:val="Text0"/>
              </w:rPr>
              <w:t>.start</w:t>
            </w:r>
            <w:r>
              <w:t xml:space="preserve">. </w:t>
            </w:r>
            <w:r>
              <w:rPr>
                <w:rStyle w:val="Text0"/>
              </w:rPr>
              <w:t>name</w:t>
            </w:r>
            <w:r>
              <w:t xml:space="preserve"> becomes </w:t>
            </w:r>
            <w:r>
              <w:rPr>
                <w:rStyle w:val="Text3"/>
              </w:rPr>
              <w:t>t</w:t>
            </w:r>
            <w:r>
              <w:t xml:space="preserve">’s name. If </w:t>
            </w:r>
            <w:r>
              <w:rPr>
                <w:rStyle w:val="Text0"/>
              </w:rPr>
              <w:t>name</w:t>
            </w:r>
            <w:r>
              <w:t xml:space="preserve"> is </w:t>
            </w:r>
            <w:r>
              <w:rPr>
                <w:rStyle w:val="Text5"/>
              </w:rPr>
              <w:t>None</w:t>
            </w:r>
            <w:r>
              <w:t xml:space="preserve">, </w:t>
            </w:r>
            <w:r>
              <w:rPr>
                <w:rStyle w:val="Text0"/>
              </w:rPr>
              <w:t>Thread</w:t>
            </w:r>
            <w:r>
              <w:t xml:space="preserve"> generates a unique name for </w:t>
            </w:r>
            <w:r>
              <w:rPr>
                <w:rStyle w:val="Text3"/>
              </w:rPr>
              <w:t>t</w:t>
            </w:r>
            <w:r>
              <w:t xml:space="preserve">. If a subclass </w:t>
            </w:r>
            <w:r>
              <w:rPr>
                <w:rStyle w:val="Text3"/>
              </w:rPr>
              <w:t>T</w:t>
            </w:r>
            <w:r>
              <w:t xml:space="preserve"> of </w:t>
            </w:r>
            <w:r>
              <w:rPr>
                <w:rStyle w:val="Text0"/>
              </w:rPr>
              <w:t>Thread</w:t>
            </w:r>
            <w:r>
              <w:t xml:space="preserve"> overrides </w:t>
            </w:r>
            <w:r>
              <w:rPr>
                <w:rStyle w:val="Text0"/>
              </w:rPr>
              <w:t>__init__</w:t>
            </w:r>
            <w:r>
              <w:t xml:space="preserve">, </w:t>
            </w:r>
            <w:r>
              <w:rPr>
                <w:rStyle w:val="Text3"/>
              </w:rPr>
              <w:t>T</w:t>
            </w:r>
            <w:r>
              <w:t>.</w:t>
            </w:r>
            <w:r>
              <w:rPr>
                <w:rStyle w:val="Text0"/>
              </w:rPr>
              <w:t>__init__</w:t>
            </w:r>
            <w:r>
              <w:t xml:space="preserve"> </w:t>
            </w:r>
            <w:r>
              <w:rPr>
                <w:rStyle w:val="Text4"/>
              </w:rPr>
              <w:t>must</w:t>
            </w:r>
            <w:r>
              <w:t xml:space="preserve"> call </w:t>
            </w:r>
            <w:r>
              <w:rPr>
                <w:rStyle w:val="Text0"/>
              </w:rPr>
              <w:t>Thread.__init__</w:t>
            </w:r>
            <w:r>
              <w:t xml:space="preserve"> on </w:t>
            </w:r>
            <w:r>
              <w:rPr>
                <w:rStyle w:val="Text0"/>
              </w:rPr>
              <w:t>self</w:t>
            </w:r>
            <w:r>
              <w:t xml:space="preserve"> (usually via the </w:t>
            </w:r>
            <w:r>
              <w:rPr>
                <w:rStyle w:val="Text0"/>
              </w:rPr>
              <w:t>super</w:t>
            </w:r>
            <w:r>
              <w:t xml:space="preserve"> built-in function) before any other </w:t>
            </w:r>
            <w:r>
              <w:rPr>
                <w:rStyle w:val="Text0"/>
              </w:rPr>
              <w:t>Thread</w:t>
            </w:r>
            <w:r>
              <w:t xml:space="preserve"> method. </w:t>
            </w:r>
            <w:r>
              <w:rPr>
                <w:rStyle w:val="Text0"/>
              </w:rPr>
              <w:t>daemon</w:t>
            </w:r>
            <w:r>
              <w:t xml:space="preserve"> can be assigned a Boolean value or, if </w:t>
            </w:r>
            <w:r>
              <w:rPr>
                <w:rStyle w:val="Text5"/>
              </w:rPr>
              <w:t>None</w:t>
            </w:r>
            <w:r>
              <w:t xml:space="preserve">, will take this value from the </w:t>
            </w:r>
            <w:r>
              <w:rPr>
                <w:rStyle w:val="Text0"/>
              </w:rPr>
              <w:t>daemon</w:t>
            </w:r>
            <w:r>
              <w:t xml:space="preserve"> attribute of the creating thread.</w:t>
            </w:r>
          </w:p>
        </w:tc>
      </w:tr>
    </w:tbl>
    <w:tbl>
      <w:tblPr>
        <w:tblW w:type="auto" w:w="0"/>
      </w:tblPr>
      <w:tr>
        <w:tc>
          <w:tcPr>
            <w:tcW w:type="auto" w:w="0"/>
            <w:shd w:val="clear" w:color="auto" w:fill="EEF2F6"/>
            <w:tcMar>
              <w:left w:type="dxa" w:w="200"/>
              <w:top w:type="dxa" w:w="200"/>
              <w:right w:type="dxa" w:w="200"/>
              <w:bottom w:type="dxa" w:w="200"/>
            </w:tcMar>
          </w:tcPr>
          <w:p>
            <w:pPr>
              <w:pStyle w:val="Para 001"/>
            </w:pPr>
            <w:r>
              <w:t>daemon</w:t>
            </w:r>
          </w:p>
        </w:tc>
        <w:tc>
          <w:tcPr>
            <w:tcW w:type="auto" w:w="0"/>
            <w:shd w:val="clear" w:color="auto" w:fill="EEF2F6"/>
            <w:tcMar>
              <w:left w:type="dxa" w:w="200"/>
              <w:top w:type="dxa" w:w="200"/>
              <w:right w:type="dxa" w:w="200"/>
              <w:bottom w:type="dxa" w:w="200"/>
            </w:tcMar>
          </w:tcPr>
          <w:p>
            <w:pPr>
              <w:pStyle w:val="Para 002"/>
            </w:pPr>
            <w:r>
              <w:rPr>
                <w:rStyle w:val="Text0"/>
              </w:rPr>
              <w:t>daemon</w:t>
            </w:r>
            <w:r>
              <w:t xml:space="preserve"> is a writable Boolean property that indicates whether </w:t>
            </w:r>
            <w:r>
              <w:rPr>
                <w:rStyle w:val="Text3"/>
              </w:rPr>
              <w:t>t</w:t>
            </w:r>
            <w:r>
              <w:t xml:space="preserve"> is a daemon (i.e., the process can terminate even when </w:t>
            </w:r>
            <w:r>
              <w:rPr>
                <w:rStyle w:val="Text3"/>
              </w:rPr>
              <w:t>t</w:t>
            </w:r>
            <w:r>
              <w:t xml:space="preserve"> is still active; such a termination also ends </w:t>
            </w:r>
            <w:r>
              <w:rPr>
                <w:rStyle w:val="Text3"/>
              </w:rPr>
              <w:t>t</w:t>
            </w:r>
            <w:r>
              <w:t xml:space="preserve">). You can assign to </w:t>
            </w:r>
            <w:r>
              <w:rPr>
                <w:rStyle w:val="Text3"/>
              </w:rPr>
              <w:t>t</w:t>
            </w:r>
            <w:r>
              <w:rPr>
                <w:rStyle w:val="Text0"/>
              </w:rPr>
              <w:t>.daemon</w:t>
            </w:r>
            <w:r>
              <w:t xml:space="preserve"> only before calling </w:t>
            </w:r>
            <w:r>
              <w:rPr>
                <w:rStyle w:val="Text3"/>
              </w:rPr>
              <w:t>t</w:t>
            </w:r>
            <w:r>
              <w:rPr>
                <w:rStyle w:val="Text0"/>
              </w:rPr>
              <w:t>.start</w:t>
            </w:r>
            <w:r>
              <w:t xml:space="preserve">; assigning a true value sets </w:t>
            </w:r>
            <w:r>
              <w:rPr>
                <w:rStyle w:val="Text3"/>
              </w:rPr>
              <w:t>t</w:t>
            </w:r>
            <w:r>
              <w:t xml:space="preserve"> to be a daemon. Threads created by a daemon thread have </w:t>
            </w:r>
            <w:r>
              <w:rPr>
                <w:rStyle w:val="Text3"/>
              </w:rPr>
              <w:t>t</w:t>
            </w:r>
            <w:r>
              <w:rPr>
                <w:rStyle w:val="Text0"/>
              </w:rPr>
              <w:t>.daemon</w:t>
            </w:r>
            <w:r>
              <w:t xml:space="preserve"> set to </w:t>
            </w:r>
            <w:r>
              <w:rPr>
                <w:rStyle w:val="Text5"/>
              </w:rPr>
              <w:t>True</w:t>
            </w:r>
            <w:r>
              <w:t xml:space="preserve"> by default.</w:t>
            </w:r>
          </w:p>
        </w:tc>
      </w:tr>
    </w:tbl>
    <w:tbl>
      <w:tblPr>
        <w:tblW w:type="auto" w:w="0"/>
      </w:tblPr>
      <w:tr>
        <w:tc>
          <w:tcPr>
            <w:tcW w:type="auto" w:w="0"/>
            <w:tcMar>
              <w:left w:type="dxa" w:w="200"/>
              <w:top w:type="dxa" w:w="200"/>
              <w:right w:type="dxa" w:w="200"/>
              <w:bottom w:type="dxa" w:w="200"/>
            </w:tcMar>
          </w:tcPr>
          <w:p>
            <w:pPr>
              <w:pStyle w:val="Para 001"/>
            </w:pPr>
            <w:r>
              <w:t>is_alive</w:t>
            </w:r>
          </w:p>
        </w:tc>
        <w:tc>
          <w:tcPr>
            <w:tcW w:type="auto" w:w="0"/>
            <w:tcMar>
              <w:left w:type="dxa" w:w="200"/>
              <w:top w:type="dxa" w:w="200"/>
              <w:right w:type="dxa" w:w="200"/>
              <w:bottom w:type="dxa" w:w="200"/>
            </w:tcMar>
          </w:tcPr>
          <w:p>
            <w:pPr>
              <w:pStyle w:val="Para 002"/>
            </w:pPr>
            <w:r>
              <w:rPr>
                <w:rStyle w:val="Text3"/>
              </w:rPr>
              <w:t>t</w:t>
            </w:r>
            <w:r>
              <w:rPr>
                <w:rStyle w:val="Text0"/>
              </w:rPr>
              <w:t>.is_alive()</w:t>
              <w:br w:clear="none"/>
            </w:r>
            <w:r>
              <w:t xml:space="preserve"> </w:t>
            </w:r>
            <w:r>
              <w:rPr>
                <w:rStyle w:val="Text0"/>
              </w:rPr>
              <w:t>is_alive</w:t>
            </w:r>
            <w:r>
              <w:t xml:space="preserve"> returns </w:t>
            </w:r>
            <w:r>
              <w:rPr>
                <w:rStyle w:val="Text5"/>
              </w:rPr>
              <w:t>True</w:t>
            </w:r>
            <w:r>
              <w:t xml:space="preserve"> when </w:t>
            </w:r>
            <w:r>
              <w:rPr>
                <w:rStyle w:val="Text3"/>
              </w:rPr>
              <w:t>t</w:t>
            </w:r>
            <w:r>
              <w:t xml:space="preserve"> is active (i.e., when </w:t>
            </w:r>
            <w:r>
              <w:rPr>
                <w:rStyle w:val="Text3"/>
              </w:rPr>
              <w:t>t</w:t>
            </w:r>
            <w:r>
              <w:rPr>
                <w:rStyle w:val="Text0"/>
              </w:rPr>
              <w:t>.start</w:t>
            </w:r>
            <w:r>
              <w:t xml:space="preserve"> has executed and </w:t>
            </w:r>
            <w:r>
              <w:rPr>
                <w:rStyle w:val="Text3"/>
              </w:rPr>
              <w:t>t</w:t>
            </w:r>
            <w:r>
              <w:rPr>
                <w:rStyle w:val="Text0"/>
              </w:rPr>
              <w:t>.run</w:t>
            </w:r>
            <w:r>
              <w:t xml:space="preserve"> has not yet terminated);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join</w:t>
            </w:r>
          </w:p>
        </w:tc>
        <w:tc>
          <w:tcPr>
            <w:tcW w:type="auto" w:w="0"/>
            <w:shd w:val="clear" w:color="auto" w:fill="EEF2F6"/>
            <w:tcMar>
              <w:left w:type="dxa" w:w="200"/>
              <w:top w:type="dxa" w:w="200"/>
              <w:right w:type="dxa" w:w="200"/>
              <w:bottom w:type="dxa" w:w="200"/>
            </w:tcMar>
          </w:tcPr>
          <w:p>
            <w:pPr>
              <w:pStyle w:val="Para 002"/>
            </w:pPr>
            <w:r>
              <w:rPr>
                <w:rStyle w:val="Text3"/>
              </w:rPr>
              <w:t>t</w:t>
            </w:r>
            <w:r>
              <w:rPr>
                <w:rStyle w:val="Text0"/>
              </w:rPr>
              <w:t>.join(timeout=</w:t>
            </w:r>
            <w:r>
              <w:rPr>
                <w:rStyle w:val="Text5"/>
              </w:rPr>
              <w:t>None</w:t>
            </w:r>
            <w:r>
              <w:rPr>
                <w:rStyle w:val="Text0"/>
              </w:rPr>
              <w:t>)</w:t>
              <w:br w:clear="none"/>
            </w:r>
            <w:r>
              <w:t xml:space="preserve"> </w:t>
            </w:r>
            <w:r>
              <w:rPr>
                <w:rStyle w:val="Text0"/>
              </w:rPr>
              <w:t>join</w:t>
            </w:r>
            <w:r>
              <w:t xml:space="preserve"> suspends the calling thread (which must not be </w:t>
            </w:r>
            <w:r>
              <w:rPr>
                <w:rStyle w:val="Text3"/>
              </w:rPr>
              <w:t>t</w:t>
            </w:r>
            <w:r>
              <w:t xml:space="preserve">) until </w:t>
            </w:r>
            <w:r>
              <w:rPr>
                <w:rStyle w:val="Text3"/>
              </w:rPr>
              <w:t>t</w:t>
            </w:r>
            <w:r>
              <w:t xml:space="preserve"> terminates (when </w:t>
            </w:r>
            <w:r>
              <w:rPr>
                <w:rStyle w:val="Text3"/>
              </w:rPr>
              <w:t>t</w:t>
            </w:r>
            <w:r>
              <w:t xml:space="preserve"> is already terminated, the calling thread does not suspend). </w:t>
            </w:r>
            <w:r>
              <w:rPr>
                <w:rStyle w:val="Text0"/>
              </w:rPr>
              <w:t>timeout</w:t>
            </w:r>
            <w:r>
              <w:t xml:space="preserve"> is covered in </w:t>
            </w:r>
            <w:hyperlink w:anchor="Timeout_parameters__The_synchron">
              <w:r>
                <w:rPr>
                  <w:rStyle w:val="Text1"/>
                </w:rPr>
                <w:t>“Timeout parameters”</w:t>
              </w:r>
            </w:hyperlink>
            <w:r>
              <w:t xml:space="preserve">. You can call </w:t>
            </w:r>
            <w:r>
              <w:rPr>
                <w:rStyle w:val="Text3"/>
              </w:rPr>
              <w:t>t</w:t>
            </w:r>
            <w:r>
              <w:rPr>
                <w:rStyle w:val="Text0"/>
              </w:rPr>
              <w:t>.join</w:t>
            </w:r>
            <w:r>
              <w:t xml:space="preserve"> only after </w:t>
            </w:r>
            <w:r>
              <w:rPr>
                <w:rStyle w:val="Text3"/>
              </w:rPr>
              <w:t>t</w:t>
            </w:r>
            <w:r>
              <w:rPr>
                <w:rStyle w:val="Text0"/>
              </w:rPr>
              <w:t>.start</w:t>
            </w:r>
            <w:r>
              <w:t xml:space="preserve">. It’s OK to call </w:t>
            </w:r>
            <w:r>
              <w:rPr>
                <w:rStyle w:val="Text0"/>
              </w:rPr>
              <w:t>join</w:t>
            </w:r>
            <w:r>
              <w:t xml:space="preserve"> more than once.</w:t>
            </w:r>
          </w:p>
        </w:tc>
      </w:tr>
    </w:tbl>
    <w:tbl>
      <w:tblPr>
        <w:tblW w:type="auto" w:w="0"/>
      </w:tblPr>
      <w:tr>
        <w:tc>
          <w:tcPr>
            <w:tcW w:type="auto" w:w="0"/>
            <w:tcMar>
              <w:left w:type="dxa" w:w="200"/>
              <w:top w:type="dxa" w:w="200"/>
              <w:right w:type="dxa" w:w="200"/>
              <w:bottom w:type="dxa" w:w="200"/>
            </w:tcMar>
          </w:tcPr>
          <w:p>
            <w:pPr>
              <w:pStyle w:val="Para 001"/>
            </w:pPr>
            <w:r>
              <w:t>name</w:t>
            </w:r>
          </w:p>
        </w:tc>
        <w:tc>
          <w:tcPr>
            <w:tcW w:type="auto" w:w="0"/>
            <w:tcMar>
              <w:left w:type="dxa" w:w="200"/>
              <w:top w:type="dxa" w:w="200"/>
              <w:right w:type="dxa" w:w="200"/>
              <w:bottom w:type="dxa" w:w="200"/>
            </w:tcMar>
          </w:tcPr>
          <w:p>
            <w:pPr>
              <w:pStyle w:val="Para 002"/>
            </w:pPr>
            <w:r>
              <w:rPr>
                <w:rStyle w:val="Text3"/>
              </w:rPr>
              <w:t>t</w:t>
            </w:r>
            <w:r>
              <w:rPr>
                <w:rStyle w:val="Text0"/>
              </w:rPr>
              <w:t>.name</w:t>
              <w:br w:clear="none"/>
            </w:r>
            <w:r>
              <w:t xml:space="preserve"> </w:t>
            </w:r>
            <w:r>
              <w:rPr>
                <w:rStyle w:val="Text0"/>
              </w:rPr>
              <w:t>name</w:t>
            </w:r>
            <w:r>
              <w:t xml:space="preserve"> is a property returning </w:t>
            </w:r>
            <w:r>
              <w:rPr>
                <w:rStyle w:val="Text3"/>
              </w:rPr>
              <w:t>t</w:t>
            </w:r>
            <w:r>
              <w:t xml:space="preserve">’s name; assigning </w:t>
            </w:r>
            <w:r>
              <w:rPr>
                <w:rStyle w:val="Text0"/>
              </w:rPr>
              <w:t>name</w:t>
            </w:r>
            <w:r>
              <w:t xml:space="preserve"> rebinds </w:t>
            </w:r>
            <w:r>
              <w:rPr>
                <w:rStyle w:val="Text3"/>
              </w:rPr>
              <w:t>t</w:t>
            </w:r>
            <w:r>
              <w:t>’s name (</w:t>
            </w:r>
            <w:r>
              <w:rPr>
                <w:rStyle w:val="Text0"/>
              </w:rPr>
              <w:t>name</w:t>
            </w:r>
            <w:r>
              <w:t xml:space="preserve"> exists only to help you debug; </w:t>
            </w:r>
            <w:r>
              <w:rPr>
                <w:rStyle w:val="Text0"/>
              </w:rPr>
              <w:t>name</w:t>
            </w:r>
            <w:r>
              <w:t xml:space="preserve"> need not be unique among threads). If omitted, the thread will receive a generated name </w:t>
            </w:r>
            <w:r>
              <w:rPr>
                <w:rStyle w:val="Text0"/>
              </w:rPr>
              <w:t>Thread-</w:t>
            </w:r>
            <w:r>
              <w:rPr>
                <w:rStyle w:val="Text3"/>
              </w:rPr>
              <w:t>n</w:t>
            </w:r>
            <w:r>
              <w:t xml:space="preserve">, where </w:t>
            </w:r>
            <w:r>
              <w:rPr>
                <w:rStyle w:val="Text3"/>
              </w:rPr>
              <w:t>n</w:t>
            </w:r>
            <w:r>
              <w:t xml:space="preserve"> is an incrementing integer (</w:t>
            </w:r>
            <w:r>
              <w:rPr>
                <w:rStyle w:val="Text34"/>
              </w:rPr>
              <w:t>3.10+</w:t>
            </w:r>
            <w:r>
              <w:t xml:space="preserve"> and if </w:t>
            </w:r>
            <w:r>
              <w:rPr>
                <w:rStyle w:val="Text0"/>
              </w:rPr>
              <w:t>target</w:t>
            </w:r>
            <w:r>
              <w:t xml:space="preserve"> is specified, </w:t>
            </w:r>
            <w:r>
              <w:rPr>
                <w:rStyle w:val="Text0"/>
              </w:rPr>
              <w:t>(target.__name__)</w:t>
            </w:r>
            <w:r>
              <w:t xml:space="preserve"> will be appended).</w:t>
            </w:r>
          </w:p>
        </w:tc>
      </w:tr>
    </w:tbl>
    <w:tbl>
      <w:tblPr>
        <w:tblW w:type="auto" w:w="0"/>
      </w:tblPr>
      <w:tr>
        <w:tc>
          <w:tcPr>
            <w:tcW w:type="auto" w:w="0"/>
            <w:shd w:val="clear" w:color="auto" w:fill="EEF2F6"/>
            <w:tcMar>
              <w:left w:type="dxa" w:w="200"/>
              <w:top w:type="dxa" w:w="200"/>
              <w:right w:type="dxa" w:w="200"/>
              <w:bottom w:type="dxa" w:w="200"/>
            </w:tcMar>
          </w:tcPr>
          <w:p>
            <w:pPr>
              <w:pStyle w:val="Para 001"/>
            </w:pPr>
            <w:r>
              <w:t>run</w:t>
            </w:r>
          </w:p>
        </w:tc>
        <w:tc>
          <w:tcPr>
            <w:tcW w:type="auto" w:w="0"/>
            <w:shd w:val="clear" w:color="auto" w:fill="EEF2F6"/>
            <w:tcMar>
              <w:left w:type="dxa" w:w="200"/>
              <w:top w:type="dxa" w:w="200"/>
              <w:right w:type="dxa" w:w="200"/>
              <w:bottom w:type="dxa" w:w="200"/>
            </w:tcMar>
          </w:tcPr>
          <w:p>
            <w:pPr>
              <w:pStyle w:val="Para 002"/>
            </w:pPr>
            <w:r>
              <w:rPr>
                <w:rStyle w:val="Text3"/>
              </w:rPr>
              <w:t>t</w:t>
            </w:r>
            <w:r>
              <w:rPr>
                <w:rStyle w:val="Text0"/>
              </w:rPr>
              <w:t>.run()</w:t>
              <w:br w:clear="none"/>
            </w:r>
            <w:r>
              <w:t xml:space="preserve"> </w:t>
            </w:r>
            <w:r>
              <w:rPr>
                <w:rStyle w:val="Text0"/>
              </w:rPr>
              <w:t>run</w:t>
            </w:r>
            <w:r>
              <w:t xml:space="preserve"> is the method called by </w:t>
            </w:r>
            <w:r>
              <w:rPr>
                <w:rStyle w:val="Text3"/>
              </w:rPr>
              <w:t>t</w:t>
            </w:r>
            <w:r>
              <w:rPr>
                <w:rStyle w:val="Text0"/>
              </w:rPr>
              <w:t>.start</w:t>
            </w:r>
            <w:r>
              <w:t xml:space="preserve"> that executes </w:t>
            </w:r>
            <w:r>
              <w:rPr>
                <w:rStyle w:val="Text3"/>
              </w:rPr>
              <w:t>t</w:t>
            </w:r>
            <w:r>
              <w:t xml:space="preserve">’s main function. Subclasses of </w:t>
            </w:r>
            <w:r>
              <w:rPr>
                <w:rStyle w:val="Text0"/>
              </w:rPr>
              <w:t>Thread</w:t>
            </w:r>
            <w:r>
              <w:t xml:space="preserve"> can override </w:t>
            </w:r>
            <w:r>
              <w:rPr>
                <w:rStyle w:val="Text0"/>
              </w:rPr>
              <w:t>run</w:t>
            </w:r>
            <w:r>
              <w:t xml:space="preserve">. Unless overridden, </w:t>
            </w:r>
            <w:r>
              <w:rPr>
                <w:rStyle w:val="Text0"/>
              </w:rPr>
              <w:t>run</w:t>
            </w:r>
            <w:r>
              <w:t xml:space="preserve"> calls the </w:t>
            </w:r>
            <w:r>
              <w:rPr>
                <w:rStyle w:val="Text3"/>
              </w:rPr>
              <w:t>target</w:t>
            </w:r>
            <w:r>
              <w:t xml:space="preserve"> callable passed on </w:t>
            </w:r>
            <w:r>
              <w:rPr>
                <w:rStyle w:val="Text3"/>
              </w:rPr>
              <w:t>t</w:t>
            </w:r>
            <w:r>
              <w:t xml:space="preserve">’s creation. Do </w:t>
            </w:r>
            <w:r>
              <w:rPr>
                <w:rStyle w:val="Text4"/>
              </w:rPr>
              <w:t>not</w:t>
            </w:r>
            <w:r>
              <w:t xml:space="preserve"> call </w:t>
            </w:r>
            <w:r>
              <w:rPr>
                <w:rStyle w:val="Text3"/>
              </w:rPr>
              <w:t>t</w:t>
            </w:r>
            <w:r>
              <w:rPr>
                <w:rStyle w:val="Text0"/>
              </w:rPr>
              <w:t>.run</w:t>
            </w:r>
            <w:r>
              <w:t xml:space="preserve"> directly; calling </w:t>
            </w:r>
            <w:r>
              <w:rPr>
                <w:rStyle w:val="Text3"/>
              </w:rPr>
              <w:t>t</w:t>
            </w:r>
            <w:r>
              <w:rPr>
                <w:rStyle w:val="Text0"/>
              </w:rPr>
              <w:t>.run</w:t>
            </w:r>
            <w:r>
              <w:t xml:space="preserve"> is the job of </w:t>
            </w:r>
            <w:r>
              <w:rPr>
                <w:rStyle w:val="Text3"/>
              </w:rPr>
              <w:t>t</w:t>
            </w:r>
            <w:r>
              <w:rPr>
                <w:rStyle w:val="Text0"/>
              </w:rPr>
              <w:t>.start</w:t>
            </w:r>
            <w:r>
              <w:t>!</w:t>
            </w:r>
          </w:p>
        </w:tc>
      </w:tr>
    </w:tbl>
    <w:tbl>
      <w:tblPr>
        <w:tblW w:type="auto" w:w="0"/>
      </w:tblPr>
      <w:tr>
        <w:tc>
          <w:tcPr>
            <w:tcW w:type="auto" w:w="0"/>
            <w:tcMar>
              <w:left w:type="dxa" w:w="200"/>
              <w:top w:type="dxa" w:w="200"/>
              <w:right w:type="dxa" w:w="200"/>
              <w:bottom w:type="dxa" w:w="200"/>
            </w:tcMar>
          </w:tcPr>
          <w:p>
            <w:pPr>
              <w:pStyle w:val="Para 001"/>
            </w:pPr>
            <w:r>
              <w:t>start</w:t>
            </w:r>
          </w:p>
        </w:tc>
        <w:tc>
          <w:tcPr>
            <w:tcW w:type="auto" w:w="0"/>
            <w:tcMar>
              <w:left w:type="dxa" w:w="200"/>
              <w:top w:type="dxa" w:w="200"/>
              <w:right w:type="dxa" w:w="200"/>
              <w:bottom w:type="dxa" w:w="200"/>
            </w:tcMar>
          </w:tcPr>
          <w:p>
            <w:pPr>
              <w:pStyle w:val="Para 002"/>
            </w:pPr>
            <w:r>
              <w:rPr>
                <w:rStyle w:val="Text3"/>
              </w:rPr>
              <w:t>t</w:t>
            </w:r>
            <w:r>
              <w:rPr>
                <w:rStyle w:val="Text0"/>
              </w:rPr>
              <w:t>.start()</w:t>
              <w:br w:clear="none"/>
            </w:r>
            <w:r>
              <w:t xml:space="preserve"> </w:t>
            </w:r>
            <w:r>
              <w:rPr>
                <w:rStyle w:val="Text0"/>
              </w:rPr>
              <w:t>start</w:t>
            </w:r>
            <w:r>
              <w:t xml:space="preserve"> makes </w:t>
            </w:r>
            <w:r>
              <w:rPr>
                <w:rStyle w:val="Text3"/>
              </w:rPr>
              <w:t>t</w:t>
            </w:r>
            <w:r>
              <w:t xml:space="preserve"> active and arranges for </w:t>
            </w:r>
            <w:r>
              <w:rPr>
                <w:rStyle w:val="Text3"/>
              </w:rPr>
              <w:t>t</w:t>
            </w:r>
            <w:r>
              <w:rPr>
                <w:rStyle w:val="Text0"/>
              </w:rPr>
              <w:t>.run</w:t>
            </w:r>
            <w:r>
              <w:t xml:space="preserve"> to execute in a separate thread. You must call </w:t>
            </w:r>
            <w:r>
              <w:rPr>
                <w:rStyle w:val="Text3"/>
              </w:rPr>
              <w:t>t</w:t>
            </w:r>
            <w:r>
              <w:rPr>
                <w:rStyle w:val="Text0"/>
              </w:rPr>
              <w:t>.start</w:t>
            </w:r>
            <w:r>
              <w:t xml:space="preserve"> only once for any given </w:t>
            </w:r>
            <w:r>
              <w:rPr>
                <w:rStyle w:val="Text0"/>
              </w:rPr>
              <w:t>Thread</w:t>
            </w:r>
            <w:r>
              <w:t xml:space="preserve"> object </w:t>
            </w:r>
            <w:r>
              <w:rPr>
                <w:rStyle w:val="Text3"/>
              </w:rPr>
              <w:t>t</w:t>
            </w:r>
            <w:r>
              <w:t>; calling it again raises an exception.</w:t>
            </w:r>
          </w:p>
        </w:tc>
      </w:tr>
    </w:tbl>
    <w:p>
      <w:bookmarkStart w:id="3340" w:name="Thread_Synchronization_Objects"/>
      <w:pPr>
        <w:keepNext/>
        <w:pStyle w:val="Heading 2"/>
      </w:pPr>
      <w:r>
        <w:t>Thread Synchronization Objects</w:t>
      </w:r>
      <w:bookmarkEnd w:id="3340"/>
    </w:p>
    <w:p>
      <w:pPr>
        <w:pStyle w:val="Normal"/>
      </w:pPr>
      <w:r>
        <w:t xml:space="preserve">The </w:t>
      </w:r>
      <w:r>
        <w:rPr>
          <w:rStyle w:val="Text0"/>
        </w:rPr>
        <w:t>threading</w:t>
      </w:r>
      <w:r>
        <w:t xml:space="preserve"> module</w:t>
      </w:r>
      <w:r>
        <w:rPr>
          <w:rStyle w:val="Text111"/>
        </w:rPr>
        <w:bookmarkStart w:id="3341" w:name="idm45965193393536"/>
        <w:t/>
        <w:bookmarkEnd w:id="3341"/>
        <w:bookmarkStart w:id="3342" w:name="synobj15"/>
        <w:t/>
        <w:bookmarkEnd w:id="3342"/>
      </w:r>
      <w:r>
        <w:t xml:space="preserve"> supplies several synchronization primitives (types that let threads communicate and coordinate). Each primitive type has specialized uses, discussed in the following sections.</w:t>
      </w:r>
    </w:p>
    <w:p>
      <w:pPr>
        <w:keepNext/>
        <w:pStyle w:val="Heading 5"/>
        <w:keepLines w:val="on"/>
      </w:pPr>
      <w:r>
        <w:t>You May Not Need Thread Synchronization Primitives</w:t>
      </w:r>
    </w:p>
    <w:p>
      <w:pPr>
        <w:pStyle w:val="Para 012"/>
        <w:keepLines w:val="on"/>
      </w:pPr>
      <w:r>
        <w:t xml:space="preserve">As long as you avoid having (nonqueue) global variables that change and which several threads access, </w:t>
      </w:r>
      <w:r>
        <w:rPr>
          <w:rStyle w:val="Text0"/>
        </w:rPr>
        <w:t>queue</w:t>
      </w:r>
      <w:r>
        <w:t xml:space="preserve"> (covered in </w:t>
      </w:r>
      <w:hyperlink w:anchor="The_queue_Module__The_queue_modu">
        <w:r>
          <w:rPr>
            <w:rStyle w:val="Text1"/>
          </w:rPr>
          <w:t>“The queue Module”</w:t>
        </w:r>
      </w:hyperlink>
      <w:r>
        <w:t xml:space="preserve">) can often provide all the coordination you need, as can </w:t>
      </w:r>
      <w:r>
        <w:rPr>
          <w:rStyle w:val="Text0"/>
        </w:rPr>
        <w:t>concurrent</w:t>
      </w:r>
      <w:r>
        <w:t xml:space="preserve"> (covered in </w:t>
      </w:r>
      <w:hyperlink w:anchor="The_concurrent_futures_Module__T">
        <w:r>
          <w:rPr>
            <w:rStyle w:val="Text1"/>
          </w:rPr>
          <w:t>“The concurrent.futures Module”</w:t>
        </w:r>
      </w:hyperlink>
      <w:r>
        <w:t xml:space="preserve">). </w:t>
      </w:r>
      <w:hyperlink w:anchor="Threaded_Program_Architecture__A">
        <w:r>
          <w:rPr>
            <w:rStyle w:val="Text1"/>
          </w:rPr>
          <w:t>“Threaded Program Architecture”</w:t>
        </w:r>
      </w:hyperlink>
      <w:r>
        <w:t xml:space="preserve"> shows how to use </w:t>
      </w:r>
      <w:r>
        <w:rPr>
          <w:rStyle w:val="Text0"/>
        </w:rPr>
        <w:t>Queue</w:t>
      </w:r>
      <w:r>
        <w:t xml:space="preserve"> objects to give your multithreaded programs simple and effective architectures, often without needing any explicit use of synchronization primitives.</w:t>
      </w:r>
    </w:p>
    <w:p>
      <w:bookmarkStart w:id="3343" w:name="Timeout_parameters__The_synchron"/>
      <w:pPr>
        <w:keepNext/>
        <w:pStyle w:val="Heading 2"/>
      </w:pPr>
      <w:r>
        <w:t>Timeout parameters</w:t>
      </w:r>
      <w:bookmarkEnd w:id="3343"/>
    </w:p>
    <w:p>
      <w:pPr>
        <w:pStyle w:val="Normal"/>
      </w:pPr>
      <w:r>
        <w:t xml:space="preserve">The synchronization primitives </w:t>
      </w:r>
      <w:r>
        <w:rPr>
          <w:rStyle w:val="Text0"/>
        </w:rPr>
        <w:t>Condition</w:t>
      </w:r>
      <w:r>
        <w:t xml:space="preserve"> and </w:t>
      </w:r>
      <w:r>
        <w:rPr>
          <w:rStyle w:val="Text0"/>
        </w:rPr>
        <w:t>Event</w:t>
      </w:r>
      <w:r>
        <w:t xml:space="preserve"> supply </w:t>
      </w:r>
      <w:r>
        <w:rPr>
          <w:rStyle w:val="Text0"/>
        </w:rPr>
        <w:t>wait</w:t>
      </w:r>
      <w:r>
        <w:t xml:space="preserve"> methods that accept an optional </w:t>
      </w:r>
      <w:r>
        <w:rPr>
          <w:rStyle w:val="Text0"/>
        </w:rPr>
        <w:t>timeout</w:t>
      </w:r>
      <w:r>
        <w:t xml:space="preserve"> argument. A </w:t>
      </w:r>
      <w:r>
        <w:rPr>
          <w:rStyle w:val="Text0"/>
        </w:rPr>
        <w:t>Thread</w:t>
      </w:r>
      <w:r>
        <w:t xml:space="preserve"> object’s </w:t>
      </w:r>
      <w:r>
        <w:rPr>
          <w:rStyle w:val="Text0"/>
        </w:rPr>
        <w:t>join</w:t>
      </w:r>
      <w:r>
        <w:t xml:space="preserve"> method also accepts an optional </w:t>
      </w:r>
      <w:r>
        <w:rPr>
          <w:rStyle w:val="Text0"/>
        </w:rPr>
        <w:t>timeout</w:t>
      </w:r>
      <w:r>
        <w:t xml:space="preserve"> argument (see </w:t>
      </w:r>
      <w:hyperlink w:anchor="Table_15_2__Constructor__methods">
        <w:r>
          <w:rPr>
            <w:rStyle w:val="Text1"/>
          </w:rPr>
          <w:t>Table 15-2</w:t>
        </w:r>
      </w:hyperlink>
      <w:r>
        <w:t xml:space="preserve">). Using the default </w:t>
      </w:r>
      <w:r>
        <w:rPr>
          <w:rStyle w:val="Text0"/>
        </w:rPr>
        <w:t>timeout</w:t>
      </w:r>
      <w:r>
        <w:t xml:space="preserve"> value of </w:t>
      </w:r>
      <w:r>
        <w:rPr>
          <w:rStyle w:val="Text5"/>
        </w:rPr>
        <w:t>None</w:t>
      </w:r>
      <w:r>
        <w:t xml:space="preserve"> results in normal blocking behavior (the calling thread suspends and waits until the desired condition is met). When it is not </w:t>
      </w:r>
      <w:r>
        <w:rPr>
          <w:rStyle w:val="Text5"/>
        </w:rPr>
        <w:t>None</w:t>
      </w:r>
      <w:r>
        <w:t xml:space="preserve">, a </w:t>
      </w:r>
      <w:r>
        <w:rPr>
          <w:rStyle w:val="Text0"/>
        </w:rPr>
        <w:t>timeout</w:t>
      </w:r>
      <w:r>
        <w:t xml:space="preserve"> argument is a floating-point value that indicates an interval of time, in seconds (</w:t>
      </w:r>
      <w:r>
        <w:rPr>
          <w:rStyle w:val="Text0"/>
        </w:rPr>
        <w:t>timeout</w:t>
      </w:r>
      <w:r>
        <w:t xml:space="preserve"> can have a fractional part, so it can indicate any time interval, even a very short one). When </w:t>
      </w:r>
      <w:r>
        <w:rPr>
          <w:rStyle w:val="Text0"/>
        </w:rPr>
        <w:t>timeout</w:t>
      </w:r>
      <w:r>
        <w:t xml:space="preserve"> seconds elapse, the calling thread becomes ready again, even if the desired condition has not been met; in this case, the waiting method returns </w:t>
      </w:r>
      <w:r>
        <w:rPr>
          <w:rStyle w:val="Text5"/>
        </w:rPr>
        <w:t>False</w:t>
      </w:r>
      <w:r>
        <w:t xml:space="preserve"> (otherwise, the method returns </w:t>
      </w:r>
      <w:r>
        <w:rPr>
          <w:rStyle w:val="Text5"/>
        </w:rPr>
        <w:t>True</w:t>
      </w:r>
      <w:r>
        <w:t xml:space="preserve">). </w:t>
      </w:r>
      <w:r>
        <w:rPr>
          <w:rStyle w:val="Text0"/>
        </w:rPr>
        <w:t>timeout</w:t>
      </w:r>
      <w:r>
        <w:t xml:space="preserve"> lets you design systems that are able to overcome occasional anomalies in a few threads, and thus are more robust. However, using </w:t>
      </w:r>
      <w:r>
        <w:rPr>
          <w:rStyle w:val="Text0"/>
        </w:rPr>
        <w:t>timeout</w:t>
      </w:r>
      <w:r>
        <w:t xml:space="preserve"> may slow your program down: when that matters, be sure to measure your code’s speed accurately.</w:t>
      </w:r>
    </w:p>
    <w:p>
      <w:bookmarkStart w:id="3344" w:name="Lock_and_RLock_objects__Lock_and"/>
      <w:pPr>
        <w:keepNext/>
        <w:pStyle w:val="Heading 2"/>
      </w:pPr>
      <w:r>
        <w:t>Lock and RLock objects</w:t>
      </w:r>
      <w:bookmarkEnd w:id="3344"/>
    </w:p>
    <w:p>
      <w:pPr>
        <w:pStyle w:val="Normal"/>
      </w:pPr>
      <w:r>
        <w:rPr>
          <w:rStyle w:val="Text0"/>
        </w:rPr>
        <w:t>Lock</w:t>
      </w:r>
      <w:r>
        <w:t xml:space="preserve"> and </w:t>
      </w:r>
      <w:r>
        <w:rPr>
          <w:rStyle w:val="Text0"/>
        </w:rPr>
        <w:t>RLock</w:t>
      </w:r>
      <w:r>
        <w:t xml:space="preserve"> objects</w:t>
      </w:r>
      <w:r>
        <w:rPr>
          <w:rStyle w:val="Text111"/>
        </w:rPr>
        <w:bookmarkStart w:id="3345" w:name="idm45965193363952"/>
        <w:t/>
        <w:bookmarkEnd w:id="3345"/>
        <w:bookmarkStart w:id="3346" w:name="locktm15"/>
        <w:t/>
        <w:bookmarkEnd w:id="3346"/>
      </w:r>
      <w:r>
        <w:t xml:space="preserve"> supply the same three methods, described in </w:t>
      </w:r>
      <w:hyperlink w:anchor="Table_15_3__Methods_of_an_instan">
        <w:r>
          <w:rPr>
            <w:rStyle w:val="Text1"/>
          </w:rPr>
          <w:t>Table 15-3</w:t>
        </w:r>
      </w:hyperlink>
      <w:r>
        <w:t>.</w:t>
      </w:r>
    </w:p>
    <w:tbl>
      <w:tblPr>
        <w:tblW w:type="auto" w:w="0"/>
      </w:tblPr>
      <w:tr>
        <w:tc>
          <w:tcPr>
            <w:tcW w:type="auto" w:w="0"/>
            <w:tcMar>
              <w:left w:type="dxa" w:w="200"/>
              <w:top w:type="dxa" w:w="200"/>
              <w:right w:type="dxa" w:w="200"/>
              <w:bottom w:type="dxa" w:w="200"/>
            </w:tcMar>
          </w:tcPr>
          <w:p>
            <w:bookmarkStart w:id="3347" w:name="Table_15_3__Methods_of_an_instan"/>
            <w:pPr>
              <w:pStyle w:val="Para 011"/>
            </w:pPr>
            <w:r>
              <w:rPr>
                <w:rStyle w:val="Text117"/>
              </w:rPr>
              <w:t/>
            </w:r>
            <w:r>
              <w:t xml:space="preserve">Table 15-3. </w:t>
              <w:t xml:space="preserve">Methods of an instance </w:t>
            </w:r>
            <w:r>
              <w:rPr>
                <w:rStyle w:val="Text0"/>
              </w:rPr>
              <w:t>L</w:t>
            </w:r>
            <w:r>
              <w:t xml:space="preserve"> of </w:t>
            </w:r>
            <w:r>
              <w:rPr>
                <w:rStyle w:val="Text0"/>
              </w:rPr>
              <w:t>Lock</w:t>
            </w:r>
            <w:bookmarkEnd w:id="3347"/>
          </w:p>
          <w:p>
            <w:pPr>
              <w:pStyle w:val="Para 001"/>
            </w:pPr>
            <w:r>
              <w:t>acquire</w:t>
            </w:r>
          </w:p>
        </w:tc>
        <w:tc>
          <w:tcPr>
            <w:tcW w:type="auto" w:w="0"/>
            <w:tcMar>
              <w:left w:type="dxa" w:w="200"/>
              <w:top w:type="dxa" w:w="200"/>
              <w:right w:type="dxa" w:w="200"/>
              <w:bottom w:type="dxa" w:w="200"/>
            </w:tcMar>
          </w:tcPr>
          <w:p>
            <w:pPr>
              <w:pStyle w:val="Para 002"/>
            </w:pPr>
            <w:r>
              <w:rPr>
                <w:rStyle w:val="Text3"/>
              </w:rPr>
              <w:t>L</w:t>
            </w:r>
            <w:r>
              <w:rPr>
                <w:rStyle w:val="Text0"/>
              </w:rPr>
              <w:t>.acquire(blocking=</w:t>
            </w:r>
            <w:r>
              <w:rPr>
                <w:rStyle w:val="Text5"/>
              </w:rPr>
              <w:t>True</w:t>
            </w:r>
            <w:r>
              <w:rPr>
                <w:rStyle w:val="Text0"/>
              </w:rPr>
              <w:t>, timeout=-1)</w:t>
              <w:br w:clear="none"/>
            </w:r>
            <w:r>
              <w:t xml:space="preserve"> When</w:t>
            </w:r>
            <w:r>
              <w:rPr>
                <w:rStyle w:val="Text111"/>
              </w:rPr>
              <w:bookmarkStart w:id="3348" w:name="idm45965193353472"/>
              <w:t/>
              <w:bookmarkEnd w:id="3348"/>
            </w:r>
            <w:r>
              <w:t xml:space="preserve"> </w:t>
            </w:r>
            <w:r>
              <w:rPr>
                <w:rStyle w:val="Text3"/>
              </w:rPr>
              <w:t>L</w:t>
            </w:r>
            <w:r>
              <w:t xml:space="preserve"> is unlocked, or if </w:t>
            </w:r>
            <w:r>
              <w:rPr>
                <w:rStyle w:val="Text3"/>
              </w:rPr>
              <w:t>L</w:t>
            </w:r>
            <w:r>
              <w:t xml:space="preserve"> is an </w:t>
            </w:r>
            <w:r>
              <w:rPr>
                <w:rStyle w:val="Text0"/>
              </w:rPr>
              <w:t>RLock</w:t>
            </w:r>
            <w:r>
              <w:t xml:space="preserve"> acquired by the same thread that’s calling </w:t>
            </w:r>
            <w:r>
              <w:rPr>
                <w:rStyle w:val="Text0"/>
              </w:rPr>
              <w:t>acquire</w:t>
            </w:r>
            <w:r>
              <w:t xml:space="preserve">, this thread immediately locks it (incrementing the internal counter if </w:t>
            </w:r>
            <w:r>
              <w:rPr>
                <w:rStyle w:val="Text3"/>
              </w:rPr>
              <w:t>L</w:t>
            </w:r>
            <w:r>
              <w:t xml:space="preserve"> is an </w:t>
            </w:r>
            <w:r>
              <w:rPr>
                <w:rStyle w:val="Text0"/>
              </w:rPr>
              <w:t>RLock</w:t>
            </w:r>
            <w:r>
              <w:t xml:space="preserve">, as described shortly) and returns </w:t>
            </w:r>
            <w:r>
              <w:rPr>
                <w:rStyle w:val="Text5"/>
              </w:rPr>
              <w:t>True</w:t>
            </w:r>
            <w:r>
              <w:t>.</w:t>
              <w:br w:clear="none"/>
              <w:t xml:space="preserve"> When </w:t>
            </w:r>
            <w:r>
              <w:rPr>
                <w:rStyle w:val="Text3"/>
              </w:rPr>
              <w:t>L</w:t>
            </w:r>
            <w:r>
              <w:t xml:space="preserve"> is already locked and </w:t>
            </w:r>
            <w:r>
              <w:rPr>
                <w:rStyle w:val="Text0"/>
              </w:rPr>
              <w:t>blocking</w:t>
            </w:r>
            <w:r>
              <w:t xml:space="preserve"> is </w:t>
            </w:r>
            <w:r>
              <w:rPr>
                <w:rStyle w:val="Text5"/>
              </w:rPr>
              <w:t>False</w:t>
            </w:r>
            <w:r>
              <w:t xml:space="preserve">, </w:t>
            </w:r>
            <w:r>
              <w:rPr>
                <w:rStyle w:val="Text0"/>
              </w:rPr>
              <w:t>acquire</w:t>
            </w:r>
            <w:r>
              <w:t xml:space="preserve"> immediately returns </w:t>
            </w:r>
            <w:r>
              <w:rPr>
                <w:rStyle w:val="Text5"/>
              </w:rPr>
              <w:t>False</w:t>
            </w:r>
            <w:r>
              <w:t xml:space="preserve">. When </w:t>
            </w:r>
            <w:r>
              <w:rPr>
                <w:rStyle w:val="Text0"/>
              </w:rPr>
              <w:t>blocking</w:t>
            </w:r>
            <w:r>
              <w:t xml:space="preserve"> is </w:t>
            </w:r>
            <w:r>
              <w:rPr>
                <w:rStyle w:val="Text5"/>
              </w:rPr>
              <w:t>True</w:t>
            </w:r>
            <w:r>
              <w:t xml:space="preserve">, the calling thread is suspended until either: </w:t>
            </w:r>
          </w:p>
          <w:p>
            <w:pPr>
              <w:pStyle w:val="Para 003"/>
            </w:pPr>
            <w:r>
              <w:t xml:space="preserve">Another thread releases the lock, in which case this thread locks it and returns </w:t>
            </w:r>
            <w:r>
              <w:rPr>
                <w:rStyle w:val="Text5"/>
              </w:rPr>
              <w:t>True</w:t>
            </w:r>
            <w:r>
              <w:t>.</w:t>
            </w:r>
          </w:p>
          <w:p>
            <w:pPr>
              <w:pStyle w:val="Para 003"/>
            </w:pPr>
            <w:r>
              <w:t xml:space="preserve">The operation times out before the lock can be acquired, in which case </w:t>
            </w:r>
            <w:r>
              <w:rPr>
                <w:rStyle w:val="Text0"/>
              </w:rPr>
              <w:t>acquire</w:t>
            </w:r>
            <w:r>
              <w:t xml:space="preserve"> returns </w:t>
            </w:r>
            <w:r>
              <w:rPr>
                <w:rStyle w:val="Text5"/>
              </w:rPr>
              <w:t>False</w:t>
            </w:r>
            <w:r>
              <w:t xml:space="preserve">. The default </w:t>
            </w:r>
            <w:r>
              <w:rPr>
                <w:rStyle w:val="Text0"/>
              </w:rPr>
              <w:t>-1</w:t>
            </w:r>
            <w:r>
              <w:t xml:space="preserve"> value never times out.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locked</w:t>
            </w:r>
          </w:p>
        </w:tc>
        <w:tc>
          <w:tcPr>
            <w:tcW w:type="auto" w:w="0"/>
            <w:shd w:val="clear" w:color="auto" w:fill="EEF2F6"/>
            <w:tcMar>
              <w:left w:type="dxa" w:w="200"/>
              <w:top w:type="dxa" w:w="200"/>
              <w:right w:type="dxa" w:w="200"/>
              <w:bottom w:type="dxa" w:w="200"/>
            </w:tcMar>
          </w:tcPr>
          <w:p>
            <w:pPr>
              <w:pStyle w:val="Para 002"/>
            </w:pPr>
            <w:r>
              <w:rPr>
                <w:rStyle w:val="Text3"/>
              </w:rPr>
              <w:t>L</w:t>
            </w:r>
            <w:r>
              <w:rPr>
                <w:rStyle w:val="Text0"/>
              </w:rPr>
              <w:t>.locked()</w:t>
              <w:br w:clear="none"/>
            </w:r>
            <w:r>
              <w:t xml:space="preserve"> Returns</w:t>
            </w:r>
            <w:r>
              <w:rPr>
                <w:rStyle w:val="Text111"/>
              </w:rPr>
              <w:bookmarkStart w:id="3349" w:name="idm45965193332864"/>
              <w:t/>
              <w:bookmarkEnd w:id="3349"/>
            </w:r>
            <w:r>
              <w:t xml:space="preserve"> </w:t>
            </w:r>
            <w:r>
              <w:rPr>
                <w:rStyle w:val="Text5"/>
              </w:rPr>
              <w:t>True</w:t>
            </w:r>
            <w:r>
              <w:t xml:space="preserve"> when </w:t>
            </w:r>
            <w:r>
              <w:rPr>
                <w:rStyle w:val="Text3"/>
              </w:rPr>
              <w:t>L</w:t>
            </w:r>
            <w:r>
              <w:t xml:space="preserve"> is locked;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release</w:t>
            </w:r>
          </w:p>
        </w:tc>
        <w:tc>
          <w:tcPr>
            <w:tcW w:type="auto" w:w="0"/>
            <w:tcMar>
              <w:left w:type="dxa" w:w="200"/>
              <w:top w:type="dxa" w:w="200"/>
              <w:right w:type="dxa" w:w="200"/>
              <w:bottom w:type="dxa" w:w="200"/>
            </w:tcMar>
          </w:tcPr>
          <w:p>
            <w:pPr>
              <w:pStyle w:val="Para 002"/>
            </w:pPr>
            <w:r>
              <w:rPr>
                <w:rStyle w:val="Text3"/>
              </w:rPr>
              <w:t>L.</w:t>
            </w:r>
            <w:r>
              <w:rPr>
                <w:rStyle w:val="Text0"/>
              </w:rPr>
              <w:t>release()</w:t>
              <w:br w:clear="none"/>
            </w:r>
            <w:r>
              <w:t xml:space="preserve"> Unlocks </w:t>
            </w:r>
            <w:r>
              <w:rPr>
                <w:rStyle w:val="Text3"/>
              </w:rPr>
              <w:t>L</w:t>
            </w:r>
            <w:r>
              <w:t>, which</w:t>
            </w:r>
            <w:r>
              <w:rPr>
                <w:rStyle w:val="Text111"/>
              </w:rPr>
              <w:bookmarkStart w:id="3350" w:name="idm45965193324944"/>
              <w:t/>
              <w:bookmarkEnd w:id="3350"/>
            </w:r>
            <w:r>
              <w:t xml:space="preserve"> must be locked (for an </w:t>
            </w:r>
            <w:r>
              <w:rPr>
                <w:rStyle w:val="Text0"/>
              </w:rPr>
              <w:t>RLock</w:t>
            </w:r>
            <w:r>
              <w:t xml:space="preserve">, this means to decrement the lock count, which cannot go below zero—the lock can only be acquired by a new thread when the lock count is zero). When </w:t>
            </w:r>
            <w:r>
              <w:rPr>
                <w:rStyle w:val="Text3"/>
              </w:rPr>
              <w:t>L</w:t>
            </w:r>
            <w:r>
              <w:t xml:space="preserve"> is locked, any thread may call </w:t>
            </w:r>
            <w:r>
              <w:rPr>
                <w:rStyle w:val="Text3"/>
              </w:rPr>
              <w:t>L</w:t>
            </w:r>
            <w:r>
              <w:rPr>
                <w:rStyle w:val="Text0"/>
              </w:rPr>
              <w:t>.release</w:t>
            </w:r>
            <w:r>
              <w:t xml:space="preserve">, not just the thread that locked </w:t>
            </w:r>
            <w:r>
              <w:rPr>
                <w:rStyle w:val="Text3"/>
              </w:rPr>
              <w:t>L</w:t>
            </w:r>
            <w:r>
              <w:t xml:space="preserve">. When more than one thread is blocked on </w:t>
            </w:r>
            <w:r>
              <w:rPr>
                <w:rStyle w:val="Text3"/>
              </w:rPr>
              <w:t>L</w:t>
            </w:r>
            <w:r>
              <w:t xml:space="preserve"> (i.e., has called </w:t>
            </w:r>
            <w:r>
              <w:rPr>
                <w:rStyle w:val="Text3"/>
              </w:rPr>
              <w:t>L</w:t>
            </w:r>
            <w:r>
              <w:rPr>
                <w:rStyle w:val="Text0"/>
              </w:rPr>
              <w:t>.acquire</w:t>
            </w:r>
            <w:r>
              <w:t xml:space="preserve">, found </w:t>
            </w:r>
            <w:r>
              <w:rPr>
                <w:rStyle w:val="Text3"/>
              </w:rPr>
              <w:t>L</w:t>
            </w:r>
            <w:r>
              <w:t xml:space="preserve"> locked, and is waiting for </w:t>
            </w:r>
            <w:r>
              <w:rPr>
                <w:rStyle w:val="Text3"/>
              </w:rPr>
              <w:t>L</w:t>
            </w:r>
            <w:r>
              <w:t xml:space="preserve"> to be unlocked), </w:t>
            </w:r>
            <w:r>
              <w:rPr>
                <w:rStyle w:val="Text0"/>
              </w:rPr>
              <w:t>release</w:t>
            </w:r>
            <w:r>
              <w:t xml:space="preserve"> wakes up an arbitrary one of the waiting threads. The thread calling </w:t>
            </w:r>
            <w:r>
              <w:rPr>
                <w:rStyle w:val="Text0"/>
              </w:rPr>
              <w:t>release</w:t>
            </w:r>
            <w:r>
              <w:t xml:space="preserve"> does not suspend: it remains ready and continues to execute.</w:t>
            </w:r>
          </w:p>
        </w:tc>
      </w:tr>
    </w:tbl>
    <w:p>
      <w:pPr>
        <w:pStyle w:val="Normal"/>
      </w:pPr>
      <w:r>
        <w:t xml:space="preserve">The following console session illustrates the automatic </w:t>
      </w:r>
      <w:r>
        <w:rPr>
          <w:rStyle w:val="Text0"/>
        </w:rPr>
        <w:t>acquire</w:t>
      </w:r>
      <w:r>
        <w:t>/</w:t>
      </w:r>
      <w:r>
        <w:rPr>
          <w:rStyle w:val="Text0"/>
        </w:rPr>
        <w:t>release</w:t>
      </w:r>
      <w:r>
        <w:t xml:space="preserve"> done on locks when they are used as a context manager (as well as other data Python maintains for the lock, such as the owner thread ID and the number of times the lock’s </w:t>
      </w:r>
      <w:r>
        <w:rPr>
          <w:rStyle w:val="Text0"/>
        </w:rPr>
        <w:t>acquire</w:t>
      </w:r>
      <w:r>
        <w:t xml:space="preserve"> method has been called):</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lock</w:t>
        <w:br w:clear="none"/>
      </w:r>
      <w:r>
        <w:rPr>
          <w:rStyle w:val="Text23"/>
        </w:rPr>
        <w:t xml:space="preserve"> </w:t>
        <w:br w:clear="none"/>
      </w:r>
      <w:r>
        <w:rPr>
          <w:rStyle w:val="Text13"/>
        </w:rPr>
        <w:t xml:space="preserve">=</w:t>
        <w:br w:clear="none"/>
      </w:r>
      <w:r>
        <w:rPr>
          <w:rStyle w:val="Text23"/>
        </w:rPr>
        <w:t xml:space="preserve"> </w:t>
        <w:br w:clear="none"/>
      </w:r>
      <w:r>
        <w:t xml:space="preserve">threading</w:t>
        <w:br w:clear="none"/>
      </w:r>
      <w:r>
        <w:rPr>
          <w:rStyle w:val="Text13"/>
        </w:rPr>
        <w:t xml:space="preserve">.</w:t>
        <w:br w:clear="none"/>
      </w:r>
      <w:r>
        <w:t xml:space="preserve">RLock</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lock</w:t>
        <w:br w:clear="none"/>
      </w:r>
      <w:r>
        <w:rPr>
          <w:rStyle w:val="Text7"/>
        </w:rPr>
        <w:t xml:space="preserve">)</w:t>
        <w:br w:clear="none"/>
      </w:r>
    </w:p>
    <w:p>
      <w:pPr>
        <w:pStyle w:val="Para 008"/>
      </w:pPr>
      <w:r>
        <w:rPr>
          <w:rStyle w:val="Text48"/>
        </w:rPr>
        <w:t xml:space="preserve"/>
        <w:br w:clear="none"/>
      </w:r>
      <w:r>
        <w:t xml:space="preserve">&lt;unlocked _thread.RLock object owner=0 count=0 at 0x102878e00&gt;</w:t>
        <w:br w:clear="none"/>
      </w:r>
    </w:p>
    <w:p>
      <w:pPr>
        <w:pStyle w:val="Para 039"/>
      </w:pPr>
      <w:r>
        <w:rPr>
          <w:rStyle w:val="Text23"/>
        </w:rPr>
        <w:t xml:space="preserve"/>
        <w:br w:clear="none"/>
      </w:r>
      <w:r>
        <w:t xml:space="preserve">&gt;&gt;</w:t>
        <w:br w:clear="none"/>
        <w:t xml:space="preserve">&gt;</w:t>
        <w:br w:clear="none"/>
      </w:r>
      <w:r>
        <w:rPr>
          <w:rStyle w:val="Text6"/>
        </w:rPr>
        <w:t xml:space="preserve"> </w:t>
        <w:br w:clear="none"/>
      </w:r>
      <w:r>
        <w:rPr>
          <w:rStyle w:val="Text10"/>
        </w:rPr>
        <w:t xml:space="preserve">with</w:t>
        <w:br w:clear="none"/>
      </w:r>
      <w:r>
        <w:rPr>
          <w:rStyle w:val="Text6"/>
        </w:rPr>
        <w:t xml:space="preserve"> </w:t>
        <w:br w:clear="none"/>
      </w:r>
      <w:r>
        <w:rPr>
          <w:rStyle w:val="Text9"/>
        </w:rPr>
        <w:t xml:space="preserve">lock</w:t>
        <w:br w:clear="none"/>
      </w:r>
      <w:r>
        <w:rPr>
          <w:rStyle w:val="Text7"/>
        </w:rPr>
        <w:t xml:space="preserve">:</w:t>
        <w:br w:clear="none"/>
      </w:r>
      <w:r>
        <w:rPr>
          <w:rStyle w:val="Text6"/>
        </w:rPr>
        <w:t xml:space="preserve"/>
        <w:br w:clear="none"/>
      </w:r>
      <w:r>
        <w:t xml:space="preserve">.</w:t>
        <w:br w:clear="none"/>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rPr>
          <w:rStyle w:val="Text9"/>
        </w:rPr>
        <w:t xml:space="preserve">lock</w:t>
        <w:br w:clear="none"/>
      </w:r>
      <w:r>
        <w:rPr>
          <w:rStyle w:val="Text7"/>
        </w:rPr>
        <w:t xml:space="preserve">)</w:t>
        <w:br w:clear="none"/>
      </w:r>
      <w:r>
        <w:rPr>
          <w:rStyle w:val="Text6"/>
        </w:rPr>
        <w:t xml:space="preserve"/>
        <w:br w:clear="none"/>
      </w:r>
      <w:r>
        <w:t xml:space="preserve">.</w:t>
        <w:br w:clear="none"/>
        <w:t xml:space="preserve">.</w:t>
        <w:br w:clear="none"/>
        <w:t xml:space="preserve">.</w:t>
        <w:br w:clear="none"/>
      </w:r>
    </w:p>
    <w:p>
      <w:pPr>
        <w:pStyle w:val="Para 008"/>
      </w:pPr>
      <w:r>
        <w:rPr>
          <w:rStyle w:val="Text48"/>
        </w:rPr>
        <w:t xml:space="preserve"/>
        <w:br w:clear="none"/>
      </w:r>
      <w:r>
        <w:t xml:space="preserve">&lt;locked _thread.RLock object owner=4335175040 count=1 at 0x102878e00&gt;</w:t>
        <w:br w:clear="none"/>
      </w:r>
    </w:p>
    <w:p>
      <w:pPr>
        <w:pStyle w:val="Para 049"/>
      </w:pPr>
      <w:r>
        <w:rPr>
          <w:rStyle w:val="Text23"/>
        </w:rPr>
        <w:t xml:space="preserve"/>
        <w:br w:clear="none"/>
      </w:r>
      <w:r>
        <w:rPr>
          <w:rStyle w:val="Text13"/>
        </w:rPr>
        <w:t xml:space="preserve">&gt;&gt;&gt;</w:t>
        <w:br w:clear="none"/>
      </w:r>
      <w:r>
        <w:rPr>
          <w:rStyle w:val="Text23"/>
        </w:rPr>
        <w:t xml:space="preserve"> </w:t>
        <w:br w:clear="none"/>
      </w:r>
      <w:r>
        <w:t xml:space="preserve">print</w:t>
        <w:br w:clear="none"/>
      </w:r>
      <w:r>
        <w:rPr>
          <w:rStyle w:val="Text7"/>
        </w:rPr>
        <w:t xml:space="preserve">(</w:t>
        <w:br w:clear="none"/>
      </w:r>
      <w:r>
        <w:rPr>
          <w:rStyle w:val="Text9"/>
        </w:rPr>
        <w:t xml:space="preserve">lock</w:t>
        <w:br w:clear="none"/>
      </w:r>
      <w:r>
        <w:rPr>
          <w:rStyle w:val="Text7"/>
        </w:rPr>
        <w:t xml:space="preserve">)</w:t>
        <w:br w:clear="none"/>
      </w:r>
    </w:p>
    <w:p>
      <w:pPr>
        <w:pStyle w:val="Para 008"/>
      </w:pPr>
      <w:r>
        <w:rPr>
          <w:rStyle w:val="Text48"/>
        </w:rPr>
        <w:t xml:space="preserve"/>
        <w:br w:clear="none"/>
      </w:r>
      <w:r>
        <w:t xml:space="preserve">&lt;unlocked _thread.RLock object owner=0 count=0 at 0x102878e00&gt;</w:t>
        <w:br w:clear="none"/>
      </w:r>
    </w:p>
    <w:p>
      <w:pPr>
        <w:pStyle w:val="Normal"/>
      </w:pPr>
      <w:r>
        <w:t xml:space="preserve">The semantics of an </w:t>
      </w:r>
      <w:r>
        <w:rPr>
          <w:rStyle w:val="Text0"/>
        </w:rPr>
        <w:t>RLock</w:t>
      </w:r>
      <w:r>
        <w:t xml:space="preserve"> object </w:t>
      </w:r>
      <w:r>
        <w:rPr>
          <w:rStyle w:val="Text3"/>
        </w:rPr>
        <w:t>r</w:t>
      </w:r>
      <w:r>
        <w:t xml:space="preserve"> are often more convenient (except in peculiar architectures where you need threads to be able to release locks that a different thread has acquired). </w:t>
      </w:r>
      <w:r>
        <w:rPr>
          <w:rStyle w:val="Text0"/>
        </w:rPr>
        <w:t>RLock</w:t>
      </w:r>
      <w:r>
        <w:t xml:space="preserve"> is a</w:t>
      </w:r>
      <w:r>
        <w:rPr>
          <w:rStyle w:val="Text111"/>
        </w:rPr>
        <w:bookmarkStart w:id="3351" w:name="idm45965193219632"/>
        <w:t/>
        <w:bookmarkEnd w:id="3351"/>
      </w:r>
      <w:r>
        <w:t xml:space="preserve"> </w:t>
      </w:r>
      <w:r>
        <w:rPr>
          <w:rStyle w:val="Text4"/>
        </w:rPr>
        <w:t>reentrant</w:t>
      </w:r>
      <w:r>
        <w:t xml:space="preserve"> lock, meaning that when </w:t>
      </w:r>
      <w:r>
        <w:rPr>
          <w:rStyle w:val="Text3"/>
        </w:rPr>
        <w:t>r</w:t>
      </w:r>
      <w:r>
        <w:t xml:space="preserve"> is locked, it keeps track of the</w:t>
      </w:r>
      <w:r>
        <w:rPr>
          <w:rStyle w:val="Text111"/>
        </w:rPr>
        <w:bookmarkStart w:id="3352" w:name="idm45965193217072"/>
        <w:t/>
        <w:bookmarkEnd w:id="3352"/>
      </w:r>
      <w:r>
        <w:t xml:space="preserve"> </w:t>
      </w:r>
      <w:r>
        <w:rPr>
          <w:rStyle w:val="Text4"/>
        </w:rPr>
        <w:t>owning</w:t>
      </w:r>
      <w:r>
        <w:t xml:space="preserve"> thread (i.e., the thread that locked it, which for an </w:t>
      </w:r>
      <w:r>
        <w:rPr>
          <w:rStyle w:val="Text0"/>
        </w:rPr>
        <w:t>RLock</w:t>
      </w:r>
      <w:r>
        <w:t xml:space="preserve"> is also the only thread that can release it—when any other thread tries to release an </w:t>
      </w:r>
      <w:r>
        <w:rPr>
          <w:rStyle w:val="Text0"/>
        </w:rPr>
        <w:t>RLock</w:t>
      </w:r>
      <w:r>
        <w:t xml:space="preserve">, this raises a </w:t>
      </w:r>
      <w:r>
        <w:rPr>
          <w:rStyle w:val="Text0"/>
        </w:rPr>
        <w:t>RuntimeError</w:t>
      </w:r>
      <w:r>
        <w:t xml:space="preserve"> exception). The owning thread can call </w:t>
      </w:r>
      <w:r>
        <w:rPr>
          <w:rStyle w:val="Text3"/>
        </w:rPr>
        <w:t>r</w:t>
      </w:r>
      <w:r>
        <w:rPr>
          <w:rStyle w:val="Text0"/>
        </w:rPr>
        <w:t>.acquire</w:t>
      </w:r>
      <w:r>
        <w:t xml:space="preserve"> again without blocking; </w:t>
      </w:r>
      <w:r>
        <w:rPr>
          <w:rStyle w:val="Text3"/>
        </w:rPr>
        <w:t>r</w:t>
      </w:r>
      <w:r>
        <w:t xml:space="preserve"> then just increments an internal count. In a similar situation involving a </w:t>
      </w:r>
      <w:r>
        <w:rPr>
          <w:rStyle w:val="Text0"/>
        </w:rPr>
        <w:t>Lock</w:t>
      </w:r>
      <w:r>
        <w:t xml:space="preserve"> object, the thread would block until some other thread releases the lock. For example, consider the following code snippet:</w:t>
      </w:r>
    </w:p>
    <w:p>
      <w:pPr>
        <w:pStyle w:val="Para 007"/>
      </w:pPr>
      <w:r>
        <w:rPr>
          <w:rStyle w:val="Text23"/>
        </w:rPr>
        <w:t xml:space="preserve"/>
        <w:br w:clear="none"/>
      </w:r>
      <w:r>
        <w:t xml:space="preserve">lock</w:t>
        <w:br w:clear="none"/>
      </w:r>
      <w:r>
        <w:rPr>
          <w:rStyle w:val="Text6"/>
        </w:rPr>
        <w:t xml:space="preserve"> </w:t>
        <w:br w:clear="none"/>
      </w:r>
      <w:r>
        <w:rPr>
          <w:rStyle w:val="Text13"/>
        </w:rPr>
        <w:t xml:space="preserve">=</w:t>
        <w:br w:clear="none"/>
      </w:r>
      <w:r>
        <w:rPr>
          <w:rStyle w:val="Text6"/>
        </w:rPr>
        <w:t xml:space="preserve"> </w:t>
        <w:br w:clear="none"/>
      </w:r>
      <w:r>
        <w:t xml:space="preserve">threading</w:t>
        <w:br w:clear="none"/>
      </w:r>
      <w:r>
        <w:rPr>
          <w:rStyle w:val="Text13"/>
        </w:rPr>
        <w:t xml:space="preserve">.</w:t>
        <w:br w:clear="none"/>
      </w:r>
      <w:r>
        <w:t xml:space="preserve">RLock</w:t>
        <w:br w:clear="none"/>
      </w:r>
      <w:r>
        <w:rPr>
          <w:rStyle w:val="Text7"/>
        </w:rPr>
        <w:t xml:space="preserve">(</w:t>
        <w:br w:clear="none"/>
        <w:t xml:space="preserve">)</w:t>
        <w:br w:clear="none"/>
      </w:r>
      <w:r>
        <w:rPr>
          <w:rStyle w:val="Text6"/>
        </w:rPr>
        <w:t xml:space="preserve"/>
        <w:br w:clear="none"/>
      </w:r>
      <w:r>
        <w:t xml:space="preserve">global_state</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recursive_function</w:t>
        <w:br w:clear="none"/>
      </w:r>
      <w:r>
        <w:rPr>
          <w:rStyle w:val="Text7"/>
        </w:rPr>
        <w:t xml:space="preserve">(</w:t>
        <w:br w:clear="none"/>
      </w:r>
      <w:r>
        <w:t xml:space="preserve">some</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lock</w:t>
        <w:br w:clear="none"/>
      </w:r>
      <w:r>
        <w:rPr>
          <w:rStyle w:val="Text7"/>
        </w:rPr>
        <w:t xml:space="preserve">:</w:t>
        <w:br w:clear="none"/>
      </w:r>
      <w:r>
        <w:rPr>
          <w:rStyle w:val="Text6"/>
        </w:rPr>
        <w:t xml:space="preserve">  </w:t>
        <w:br w:clear="none"/>
      </w:r>
      <w:r>
        <w:rPr>
          <w:rStyle w:val="Text15"/>
        </w:rPr>
        <w:t xml:space="preserve"># acquires lock, guarantees release at end</w:t>
        <w:br w:clear="none"/>
      </w:r>
      <w:r>
        <w:rPr>
          <w:rStyle w:val="Text6"/>
        </w:rPr>
        <w:t xml:space="preserve"/>
        <w:br w:clear="none"/>
        <w:t xml:space="preserve">        </w:t>
        <w:br w:clear="none"/>
      </w:r>
      <w:r>
        <w:rPr>
          <w:rStyle w:val="Text15"/>
        </w:rPr>
        <w:t xml:space="preserve"># ...modify global_state...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more_changes_needed</w:t>
        <w:br w:clear="none"/>
      </w:r>
      <w:r>
        <w:rPr>
          <w:rStyle w:val="Text7"/>
        </w:rPr>
        <w:t xml:space="preserve">(</w:t>
        <w:br w:clear="none"/>
      </w:r>
      <w:r>
        <w:t xml:space="preserve">global_state</w:t>
        <w:br w:clear="none"/>
      </w:r>
      <w:r>
        <w:rPr>
          <w:rStyle w:val="Text7"/>
        </w:rPr>
        <w:t xml:space="preserve">)</w:t>
        <w:br w:clear="none"/>
        <w:t xml:space="preserve">:</w:t>
        <w:br w:clear="none"/>
      </w:r>
      <w:r>
        <w:rPr>
          <w:rStyle w:val="Text6"/>
        </w:rPr>
        <w:t xml:space="preserve"/>
        <w:br w:clear="none"/>
        <w:t xml:space="preserve">            </w:t>
        <w:br w:clear="none"/>
      </w:r>
      <w:r>
        <w:t xml:space="preserve">recursive_function</w:t>
        <w:br w:clear="none"/>
      </w:r>
      <w:r>
        <w:rPr>
          <w:rStyle w:val="Text7"/>
        </w:rPr>
        <w:t xml:space="preserve">(</w:t>
        <w:br w:clear="none"/>
      </w:r>
      <w:r>
        <w:t xml:space="preserve">other</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p>
    <w:p>
      <w:pPr>
        <w:pStyle w:val="Normal"/>
      </w:pPr>
      <w:r>
        <w:t xml:space="preserve">If </w:t>
      </w:r>
      <w:r>
        <w:rPr>
          <w:rStyle w:val="Text0"/>
        </w:rPr>
        <w:t>lock</w:t>
      </w:r>
      <w:r>
        <w:t xml:space="preserve"> was an instance of </w:t>
      </w:r>
      <w:r>
        <w:rPr>
          <w:rStyle w:val="Text0"/>
        </w:rPr>
        <w:t>threading.Lock</w:t>
      </w:r>
      <w:r>
        <w:t xml:space="preserve">, </w:t>
      </w:r>
      <w:r>
        <w:rPr>
          <w:rStyle w:val="Text0"/>
        </w:rPr>
        <w:t>recursive_function</w:t>
      </w:r>
      <w:r>
        <w:t xml:space="preserve"> would block its calling thread when it calls itself recursively: the </w:t>
      </w:r>
      <w:r>
        <w:rPr>
          <w:rStyle w:val="Text5"/>
        </w:rPr>
        <w:t>with</w:t>
      </w:r>
      <w:r>
        <w:t xml:space="preserve"> statement, finding that the lock has already been acquired (even though that was done by the same thread), would block and wait…and wait. With a </w:t>
      </w:r>
      <w:r>
        <w:rPr>
          <w:rStyle w:val="Text0"/>
        </w:rPr>
        <w:t>threading.RLock</w:t>
      </w:r>
      <w:r>
        <w:t xml:space="preserve">, no such problem occurs: in this case, since the lock has already been acquired </w:t>
      </w:r>
      <w:r>
        <w:rPr>
          <w:rStyle w:val="Text4"/>
        </w:rPr>
        <w:t>by the same thread</w:t>
      </w:r>
      <w:r>
        <w:t>, on getting acquired again it just increments its internal count and proceeds.</w:t>
      </w:r>
    </w:p>
    <w:p>
      <w:pPr>
        <w:pStyle w:val="Normal"/>
      </w:pPr>
      <w:r>
        <w:t xml:space="preserve">An </w:t>
      </w:r>
      <w:r>
        <w:rPr>
          <w:rStyle w:val="Text0"/>
        </w:rPr>
        <w:t>RLock</w:t>
      </w:r>
      <w:r>
        <w:t xml:space="preserve"> object </w:t>
      </w:r>
      <w:r>
        <w:rPr>
          <w:rStyle w:val="Text3"/>
        </w:rPr>
        <w:t>r</w:t>
      </w:r>
      <w:r>
        <w:t xml:space="preserve"> is unlocked only when it has been released as many times as it has been acquired. An </w:t>
      </w:r>
      <w:r>
        <w:rPr>
          <w:rStyle w:val="Text0"/>
        </w:rPr>
        <w:t>RLock</w:t>
      </w:r>
      <w:r>
        <w:t xml:space="preserve"> is useful to ensure exclusive access to an object when the object’s methods call each other; each method can acquire at the start, and release at the end, the same </w:t>
      </w:r>
      <w:r>
        <w:rPr>
          <w:rStyle w:val="Text0"/>
        </w:rPr>
        <w:t>RLock</w:t>
      </w:r>
      <w:r>
        <w:t xml:space="preserve"> instance.</w:t>
      </w:r>
    </w:p>
    <w:p>
      <w:pPr>
        <w:keepNext/>
        <w:pStyle w:val="Heading 5"/>
        <w:keepLines w:val="on"/>
      </w:pPr>
      <w:r>
        <w:t>Use with Statements to Automatically Acquire and Release Synchronization Objects</w:t>
      </w:r>
    </w:p>
    <w:p>
      <w:pPr>
        <w:pStyle w:val="Para 012"/>
        <w:keepLines w:val="on"/>
      </w:pPr>
      <w:r>
        <w:t xml:space="preserve">Using a </w:t>
      </w:r>
      <w:r>
        <w:rPr>
          <w:rStyle w:val="Text5"/>
        </w:rPr>
        <w:t>try</w:t>
      </w:r>
      <w:r>
        <w:rPr>
          <w:rStyle w:val="Text0"/>
        </w:rPr>
        <w:t>/</w:t>
      </w:r>
      <w:r>
        <w:rPr>
          <w:rStyle w:val="Text5"/>
        </w:rPr>
        <w:t>finally</w:t>
      </w:r>
      <w:r>
        <w:t xml:space="preserve"> statement (covered in </w:t>
      </w:r>
      <w:hyperlink w:anchor="try_finally__Here_s_the_syntax_f">
        <w:r>
          <w:rPr>
            <w:rStyle w:val="Text1"/>
          </w:rPr>
          <w:t>“try/finally”</w:t>
        </w:r>
      </w:hyperlink>
      <w:r>
        <w:t xml:space="preserve">) is one way to ensure that an acquired lock is indeed released. Using a </w:t>
      </w:r>
      <w:r>
        <w:rPr>
          <w:rStyle w:val="Text5"/>
        </w:rPr>
        <w:t>with</w:t>
      </w:r>
      <w:r>
        <w:t xml:space="preserve"> statement, covered in </w:t>
      </w:r>
      <w:hyperlink w:anchor="The_with_Statement_and_Context_M">
        <w:r>
          <w:rPr>
            <w:rStyle w:val="Text1"/>
          </w:rPr>
          <w:t>“The with Statement and Context Managers”</w:t>
        </w:r>
      </w:hyperlink>
      <w:r>
        <w:t xml:space="preserve">, is usually better: all locks, conditions, and semaphores are context managers, so an instance of any of these types can be used directly in a </w:t>
      </w:r>
      <w:r>
        <w:rPr>
          <w:rStyle w:val="Text5"/>
        </w:rPr>
        <w:t>with</w:t>
      </w:r>
      <w:r>
        <w:t xml:space="preserve"> clause to acquire it (implicitly with blocking) and ensure it is released at the end of the </w:t>
      </w:r>
      <w:r>
        <w:rPr>
          <w:rStyle w:val="Text5"/>
        </w:rPr>
        <w:t>with</w:t>
      </w:r>
      <w:r>
        <w:t xml:space="preserve"> block.</w:t>
      </w:r>
      <w:r>
        <w:rPr>
          <w:rStyle w:val="Text111"/>
        </w:rPr>
        <w:bookmarkStart w:id="3353" w:name="idm45965193106848"/>
        <w:t/>
        <w:bookmarkEnd w:id="3353"/>
      </w:r>
    </w:p>
    <w:p>
      <w:bookmarkStart w:id="3354" w:name="Condition_objects__A_Condition_o"/>
      <w:pPr>
        <w:keepNext/>
        <w:pStyle w:val="Heading 2"/>
      </w:pPr>
      <w:r>
        <w:t>Condition objects</w:t>
      </w:r>
      <w:bookmarkEnd w:id="3354"/>
    </w:p>
    <w:p>
      <w:pPr>
        <w:pStyle w:val="Normal"/>
      </w:pPr>
      <w:r>
        <w:t>A</w:t>
      </w:r>
      <w:r>
        <w:rPr>
          <w:rStyle w:val="Text111"/>
        </w:rPr>
        <w:bookmarkStart w:id="3355" w:name="idm45965193103568"/>
        <w:t/>
        <w:bookmarkEnd w:id="3355"/>
      </w:r>
      <w:r>
        <w:t xml:space="preserve"> </w:t>
      </w:r>
      <w:r>
        <w:rPr>
          <w:rStyle w:val="Text0"/>
        </w:rPr>
        <w:t>Condition</w:t>
      </w:r>
      <w:r>
        <w:t xml:space="preserve"> object </w:t>
      </w:r>
      <w:r>
        <w:rPr>
          <w:rStyle w:val="Text3"/>
        </w:rPr>
        <w:t>c</w:t>
      </w:r>
      <w:r>
        <w:t xml:space="preserve"> wraps a </w:t>
      </w:r>
      <w:r>
        <w:rPr>
          <w:rStyle w:val="Text0"/>
        </w:rPr>
        <w:t>Lock</w:t>
      </w:r>
      <w:r>
        <w:t xml:space="preserve"> or </w:t>
      </w:r>
      <w:r>
        <w:rPr>
          <w:rStyle w:val="Text0"/>
        </w:rPr>
        <w:t>RLock</w:t>
      </w:r>
      <w:r>
        <w:t xml:space="preserve"> object </w:t>
      </w:r>
      <w:r>
        <w:rPr>
          <w:rStyle w:val="Text3"/>
        </w:rPr>
        <w:t>L</w:t>
      </w:r>
      <w:r>
        <w:t xml:space="preserve">. The class </w:t>
      </w:r>
      <w:r>
        <w:rPr>
          <w:rStyle w:val="Text0"/>
        </w:rPr>
        <w:t>Condition</w:t>
      </w:r>
      <w:r>
        <w:t xml:space="preserve"> exposes the constructor and methods described in </w:t>
      </w:r>
      <w:hyperlink w:anchor="Table_15_4__Constructor_and_meth">
        <w:r>
          <w:rPr>
            <w:rStyle w:val="Text1"/>
          </w:rPr>
          <w:t>Table 15-4</w:t>
        </w:r>
      </w:hyperlink>
      <w:r>
        <w:t>.</w:t>
      </w:r>
    </w:p>
    <w:tbl>
      <w:tblPr>
        <w:tblW w:type="auto" w:w="0"/>
      </w:tblPr>
      <w:tr>
        <w:tc>
          <w:tcPr>
            <w:tcW w:type="auto" w:w="0"/>
            <w:tcMar>
              <w:left w:type="dxa" w:w="200"/>
              <w:top w:type="dxa" w:w="200"/>
              <w:right w:type="dxa" w:w="200"/>
              <w:bottom w:type="dxa" w:w="200"/>
            </w:tcMar>
          </w:tcPr>
          <w:p>
            <w:bookmarkStart w:id="3356" w:name="Table_15_4__Constructor_and_meth"/>
            <w:pPr>
              <w:pStyle w:val="Para 011"/>
            </w:pPr>
            <w:r>
              <w:rPr>
                <w:rStyle w:val="Text117"/>
              </w:rPr>
              <w:t/>
            </w:r>
            <w:r>
              <w:t xml:space="preserve">Table 15-4. </w:t>
              <w:t xml:space="preserve">Constructor and methods of the </w:t>
            </w:r>
            <w:r>
              <w:rPr>
                <w:rStyle w:val="Text0"/>
              </w:rPr>
              <w:t>Condition</w:t>
            </w:r>
            <w:r>
              <w:t xml:space="preserve"> class</w:t>
            </w:r>
            <w:bookmarkEnd w:id="3356"/>
          </w:p>
          <w:p>
            <w:pPr>
              <w:pStyle w:val="Para 001"/>
            </w:pPr>
            <w:r>
              <w:t>Condition</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Condition(lock=</w:t>
            </w:r>
            <w:r>
              <w:rPr>
                <w:rStyle w:val="Text5"/>
              </w:rPr>
              <w:t>None</w:t>
            </w:r>
            <w:r>
              <w:rPr>
                <w:rStyle w:val="Text0"/>
              </w:rPr>
              <w:t>)</w:t>
              <w:br w:clear="none"/>
            </w:r>
            <w:r>
              <w:t xml:space="preserve"> Creates</w:t>
            </w:r>
            <w:r>
              <w:rPr>
                <w:rStyle w:val="Text111"/>
              </w:rPr>
              <w:bookmarkStart w:id="3357" w:name="idm45965193090448"/>
              <w:t/>
              <w:bookmarkEnd w:id="3357"/>
            </w:r>
            <w:r>
              <w:t xml:space="preserve"> and returns a new </w:t>
            </w:r>
            <w:r>
              <w:rPr>
                <w:rStyle w:val="Text0"/>
              </w:rPr>
              <w:t>Condition</w:t>
            </w:r>
            <w:r>
              <w:t xml:space="preserve"> object </w:t>
            </w:r>
            <w:r>
              <w:rPr>
                <w:rStyle w:val="Text3"/>
              </w:rPr>
              <w:t>c</w:t>
            </w:r>
            <w:r>
              <w:t xml:space="preserve"> with the lock </w:t>
            </w:r>
            <w:r>
              <w:rPr>
                <w:rStyle w:val="Text3"/>
              </w:rPr>
              <w:t>L</w:t>
            </w:r>
            <w:r>
              <w:t xml:space="preserve"> set to </w:t>
            </w:r>
            <w:r>
              <w:rPr>
                <w:rStyle w:val="Text0"/>
              </w:rPr>
              <w:t>lock</w:t>
            </w:r>
            <w:r>
              <w:t xml:space="preserve">. If </w:t>
            </w:r>
            <w:r>
              <w:rPr>
                <w:rStyle w:val="Text0"/>
              </w:rPr>
              <w:t>lock</w:t>
            </w:r>
            <w:r>
              <w:t xml:space="preserve"> is </w:t>
            </w:r>
            <w:r>
              <w:rPr>
                <w:rStyle w:val="Text5"/>
              </w:rPr>
              <w:t>None</w:t>
            </w:r>
            <w:r>
              <w:t xml:space="preserve">, </w:t>
            </w:r>
            <w:r>
              <w:rPr>
                <w:rStyle w:val="Text3"/>
              </w:rPr>
              <w:t>L</w:t>
            </w:r>
            <w:r>
              <w:t xml:space="preserve"> is set to a newly created </w:t>
            </w:r>
            <w:r>
              <w:rPr>
                <w:rStyle w:val="Text0"/>
              </w:rPr>
              <w:t>RLock</w:t>
            </w:r>
            <w:r>
              <w:t xml:space="preserve"> object.</w:t>
            </w:r>
          </w:p>
        </w:tc>
      </w:tr>
    </w:tbl>
    <w:tbl>
      <w:tblPr>
        <w:tblW w:type="auto" w:w="0"/>
      </w:tblPr>
      <w:tr>
        <w:tc>
          <w:tcPr>
            <w:tcW w:type="auto" w:w="0"/>
            <w:shd w:val="clear" w:color="auto" w:fill="EEF2F6"/>
            <w:tcMar>
              <w:left w:type="dxa" w:w="200"/>
              <w:top w:type="dxa" w:w="200"/>
              <w:right w:type="dxa" w:w="200"/>
              <w:bottom w:type="dxa" w:w="200"/>
            </w:tcMar>
          </w:tcPr>
          <w:p>
            <w:pPr>
              <w:pStyle w:val="Para 001"/>
            </w:pPr>
            <w:r>
              <w:t>acquire</w:t>
            </w:r>
            <w:r>
              <w:rPr>
                <w:rStyle w:val="Text12"/>
              </w:rPr>
              <w:t>,</w:t>
              <w:br w:clear="none"/>
              <w:t xml:space="preserve"> </w:t>
            </w:r>
            <w:r>
              <w:t>release</w:t>
            </w:r>
          </w:p>
        </w:tc>
        <w:tc>
          <w:tcPr>
            <w:tcW w:type="auto" w:w="0"/>
            <w:shd w:val="clear" w:color="auto" w:fill="EEF2F6"/>
            <w:tcMar>
              <w:left w:type="dxa" w:w="200"/>
              <w:top w:type="dxa" w:w="200"/>
              <w:right w:type="dxa" w:w="200"/>
              <w:bottom w:type="dxa" w:w="200"/>
            </w:tcMar>
          </w:tcPr>
          <w:p>
            <w:pPr>
              <w:pStyle w:val="Para 002"/>
            </w:pPr>
            <w:r>
              <w:rPr>
                <w:rStyle w:val="Text3"/>
              </w:rPr>
              <w:t>c</w:t>
            </w:r>
            <w:r>
              <w:rPr>
                <w:rStyle w:val="Text0"/>
              </w:rPr>
              <w:t>.acquire(blocking=</w:t>
            </w:r>
            <w:r>
              <w:rPr>
                <w:rStyle w:val="Text5"/>
              </w:rPr>
              <w:t>True</w:t>
            </w:r>
            <w:r>
              <w:rPr>
                <w:rStyle w:val="Text0"/>
              </w:rPr>
              <w:t>)</w:t>
            </w:r>
            <w:r>
              <w:t xml:space="preserve">, </w:t>
            </w:r>
            <w:r>
              <w:rPr>
                <w:rStyle w:val="Text3"/>
              </w:rPr>
              <w:t>c</w:t>
            </w:r>
            <w:r>
              <w:rPr>
                <w:rStyle w:val="Text0"/>
              </w:rPr>
              <w:t>.release()</w:t>
              <w:br w:clear="none"/>
            </w:r>
            <w:r>
              <w:t xml:space="preserve"> These</w:t>
            </w:r>
            <w:r>
              <w:rPr>
                <w:rStyle w:val="Text111"/>
              </w:rPr>
              <w:bookmarkStart w:id="3358" w:name="idm45965193077056"/>
              <w:t/>
              <w:bookmarkEnd w:id="3358"/>
              <w:bookmarkStart w:id="3359" w:name="idm45965193075984"/>
              <w:t/>
              <w:bookmarkEnd w:id="3359"/>
            </w:r>
            <w:r>
              <w:t xml:space="preserve"> methods just call </w:t>
            </w:r>
            <w:r>
              <w:rPr>
                <w:rStyle w:val="Text3"/>
              </w:rPr>
              <w:t>L</w:t>
            </w:r>
            <w:r>
              <w:t xml:space="preserve">’s corresponding methods. A thread must never call any other method on </w:t>
            </w:r>
            <w:r>
              <w:rPr>
                <w:rStyle w:val="Text3"/>
              </w:rPr>
              <w:t>c</w:t>
            </w:r>
            <w:r>
              <w:t xml:space="preserve"> unless the thread holds (i.e., has </w:t>
            </w:r>
            <w:r>
              <w:rPr>
                <w:rStyle w:val="Text0"/>
              </w:rPr>
              <w:t>acquire</w:t>
            </w:r>
            <w:r>
              <w:t xml:space="preserve">d) lock </w:t>
            </w:r>
            <w:r>
              <w:rPr>
                <w:rStyle w:val="Text3"/>
              </w:rPr>
              <w:t>L</w:t>
            </w:r>
            <w:r>
              <w:t>.</w:t>
            </w:r>
          </w:p>
        </w:tc>
      </w:tr>
    </w:tbl>
    <w:tbl>
      <w:tblPr>
        <w:tblW w:type="auto" w:w="0"/>
      </w:tblPr>
      <w:tr>
        <w:tc>
          <w:tcPr>
            <w:tcW w:type="auto" w:w="0"/>
            <w:tcMar>
              <w:left w:type="dxa" w:w="200"/>
              <w:top w:type="dxa" w:w="200"/>
              <w:right w:type="dxa" w:w="200"/>
              <w:bottom w:type="dxa" w:w="200"/>
            </w:tcMar>
          </w:tcPr>
          <w:p>
            <w:pPr>
              <w:pStyle w:val="Para 001"/>
            </w:pPr>
            <w:r>
              <w:t>notify</w:t>
            </w:r>
            <w:r>
              <w:rPr>
                <w:rStyle w:val="Text12"/>
              </w:rPr>
              <w:t>,</w:t>
              <w:br w:clear="none"/>
              <w:t xml:space="preserve"> </w:t>
            </w:r>
            <w:r>
              <w:t>notify_all</w:t>
            </w:r>
          </w:p>
        </w:tc>
        <w:tc>
          <w:tcPr>
            <w:tcW w:type="auto" w:w="0"/>
            <w:tcMar>
              <w:left w:type="dxa" w:w="200"/>
              <w:top w:type="dxa" w:w="200"/>
              <w:right w:type="dxa" w:w="200"/>
              <w:bottom w:type="dxa" w:w="200"/>
            </w:tcMar>
          </w:tcPr>
          <w:p>
            <w:pPr>
              <w:pStyle w:val="Para 002"/>
            </w:pPr>
            <w:r>
              <w:rPr>
                <w:rStyle w:val="Text3"/>
              </w:rPr>
              <w:t>c</w:t>
            </w:r>
            <w:r>
              <w:rPr>
                <w:rStyle w:val="Text0"/>
              </w:rPr>
              <w:t>.notify()</w:t>
            </w:r>
            <w:r>
              <w:t>,</w:t>
            </w:r>
            <w:r>
              <w:rPr>
                <w:rStyle w:val="Text0"/>
              </w:rPr>
              <w:t xml:space="preserve"> </w:t>
            </w:r>
            <w:r>
              <w:t xml:space="preserve"> </w:t>
            </w:r>
            <w:r>
              <w:rPr>
                <w:rStyle w:val="Text3"/>
              </w:rPr>
              <w:t>c</w:t>
            </w:r>
            <w:r>
              <w:rPr>
                <w:rStyle w:val="Text0"/>
              </w:rPr>
              <w:t>.notify_all()</w:t>
              <w:br w:clear="none"/>
            </w:r>
            <w:r>
              <w:t xml:space="preserve"> </w:t>
            </w:r>
            <w:r>
              <w:rPr>
                <w:rStyle w:val="Text0"/>
              </w:rPr>
              <w:t>notify</w:t>
            </w:r>
            <w:r>
              <w:rPr>
                <w:rStyle w:val="Text111"/>
              </w:rPr>
              <w:bookmarkStart w:id="3360" w:name="idm45965193064432"/>
              <w:t/>
              <w:bookmarkEnd w:id="3360"/>
            </w:r>
            <w:r>
              <w:t xml:space="preserve"> wakes up an arbitrary one of the threads waiting on </w:t>
            </w:r>
            <w:r>
              <w:rPr>
                <w:rStyle w:val="Text3"/>
              </w:rPr>
              <w:t>c</w:t>
            </w:r>
            <w:r>
              <w:t xml:space="preserve">. The calling thread must hold </w:t>
            </w:r>
            <w:r>
              <w:rPr>
                <w:rStyle w:val="Text3"/>
              </w:rPr>
              <w:t>L</w:t>
            </w:r>
            <w:r>
              <w:t xml:space="preserve"> before it calls </w:t>
            </w:r>
            <w:r>
              <w:rPr>
                <w:rStyle w:val="Text3"/>
              </w:rPr>
              <w:t>c</w:t>
            </w:r>
            <w:r>
              <w:rPr>
                <w:rStyle w:val="Text0"/>
              </w:rPr>
              <w:t>.notify</w:t>
            </w:r>
            <w:r>
              <w:t xml:space="preserve">, and </w:t>
            </w:r>
            <w:r>
              <w:rPr>
                <w:rStyle w:val="Text0"/>
              </w:rPr>
              <w:t>notify</w:t>
            </w:r>
            <w:r>
              <w:t xml:space="preserve"> does not release </w:t>
            </w:r>
            <w:r>
              <w:rPr>
                <w:rStyle w:val="Text3"/>
              </w:rPr>
              <w:t>L</w:t>
            </w:r>
            <w:r>
              <w:t xml:space="preserve">. The awakened thread does not become ready until it can acquire </w:t>
            </w:r>
            <w:r>
              <w:rPr>
                <w:rStyle w:val="Text3"/>
              </w:rPr>
              <w:t>L</w:t>
            </w:r>
            <w:r>
              <w:t xml:space="preserve"> again. Therefore, the calling thread normally calls </w:t>
            </w:r>
            <w:r>
              <w:rPr>
                <w:rStyle w:val="Text0"/>
              </w:rPr>
              <w:t>release</w:t>
            </w:r>
            <w:r>
              <w:t xml:space="preserve"> after calling </w:t>
            </w:r>
            <w:r>
              <w:rPr>
                <w:rStyle w:val="Text0"/>
              </w:rPr>
              <w:t>notify</w:t>
            </w:r>
            <w:r>
              <w:t xml:space="preserve">. </w:t>
            </w:r>
            <w:r>
              <w:rPr>
                <w:rStyle w:val="Text0"/>
              </w:rPr>
              <w:t>notify_all</w:t>
            </w:r>
            <w:r>
              <w:t xml:space="preserve"> is like </w:t>
            </w:r>
            <w:r>
              <w:rPr>
                <w:rStyle w:val="Text0"/>
              </w:rPr>
              <w:t>notify</w:t>
            </w:r>
            <w:r>
              <w:t xml:space="preserve">, but wakes up </w:t>
            </w:r>
            <w:r>
              <w:rPr>
                <w:rStyle w:val="Text4"/>
              </w:rPr>
              <w:t>all</w:t>
            </w:r>
            <w:r>
              <w:t xml:space="preserve"> waiting threads, not just one.</w:t>
            </w:r>
          </w:p>
        </w:tc>
      </w:tr>
    </w:tbl>
    <w:tbl>
      <w:tblPr>
        <w:tblW w:type="auto" w:w="0"/>
      </w:tblPr>
      <w:tr>
        <w:tc>
          <w:tcPr>
            <w:tcW w:type="auto" w:w="0"/>
            <w:shd w:val="clear" w:color="auto" w:fill="EEF2F6"/>
            <w:tcMar>
              <w:left w:type="dxa" w:w="200"/>
              <w:top w:type="dxa" w:w="200"/>
              <w:right w:type="dxa" w:w="200"/>
              <w:bottom w:type="dxa" w:w="200"/>
            </w:tcMar>
          </w:tcPr>
          <w:p>
            <w:pPr>
              <w:pStyle w:val="Para 001"/>
            </w:pPr>
            <w:r>
              <w:t>wait</w:t>
            </w:r>
          </w:p>
        </w:tc>
        <w:tc>
          <w:tcPr>
            <w:tcW w:type="auto" w:w="0"/>
            <w:shd w:val="clear" w:color="auto" w:fill="EEF2F6"/>
            <w:tcMar>
              <w:left w:type="dxa" w:w="200"/>
              <w:top w:type="dxa" w:w="200"/>
              <w:right w:type="dxa" w:w="200"/>
              <w:bottom w:type="dxa" w:w="200"/>
            </w:tcMar>
          </w:tcPr>
          <w:p>
            <w:pPr>
              <w:pStyle w:val="Para 002"/>
            </w:pPr>
            <w:r>
              <w:rPr>
                <w:rStyle w:val="Text3"/>
              </w:rPr>
              <w:t>c</w:t>
            </w:r>
            <w:r>
              <w:rPr>
                <w:rStyle w:val="Text0"/>
              </w:rPr>
              <w:t>.wait(timeout=</w:t>
            </w:r>
            <w:r>
              <w:rPr>
                <w:rStyle w:val="Text5"/>
              </w:rPr>
              <w:t>None</w:t>
            </w:r>
            <w:r>
              <w:rPr>
                <w:rStyle w:val="Text0"/>
              </w:rPr>
              <w:t>)</w:t>
              <w:br w:clear="none"/>
            </w:r>
            <w:r>
              <w:t xml:space="preserve"> </w:t>
            </w:r>
            <w:r>
              <w:rPr>
                <w:rStyle w:val="Text0"/>
              </w:rPr>
              <w:t>wait</w:t>
            </w:r>
            <w:r>
              <w:rPr>
                <w:rStyle w:val="Text111"/>
              </w:rPr>
              <w:bookmarkStart w:id="3361" w:name="idm45965193050208"/>
              <w:t/>
              <w:bookmarkEnd w:id="3361"/>
            </w:r>
            <w:r>
              <w:t xml:space="preserve"> releases </w:t>
            </w:r>
            <w:r>
              <w:rPr>
                <w:rStyle w:val="Text3"/>
              </w:rPr>
              <w:t>L</w:t>
            </w:r>
            <w:r>
              <w:t xml:space="preserve">, then suspends the calling thread until some other thread calls </w:t>
            </w:r>
            <w:r>
              <w:rPr>
                <w:rStyle w:val="Text0"/>
              </w:rPr>
              <w:t>notify</w:t>
            </w:r>
            <w:r>
              <w:t xml:space="preserve"> or </w:t>
            </w:r>
            <w:r>
              <w:rPr>
                <w:rStyle w:val="Text0"/>
              </w:rPr>
              <w:t>notify_all</w:t>
            </w:r>
            <w:r>
              <w:t xml:space="preserve"> on </w:t>
            </w:r>
            <w:r>
              <w:rPr>
                <w:rStyle w:val="Text3"/>
              </w:rPr>
              <w:t>c</w:t>
            </w:r>
            <w:r>
              <w:t xml:space="preserve">. The calling thread must hold </w:t>
            </w:r>
            <w:r>
              <w:rPr>
                <w:rStyle w:val="Text3"/>
              </w:rPr>
              <w:t>L</w:t>
            </w:r>
            <w:r>
              <w:t xml:space="preserve"> before it calls </w:t>
            </w:r>
            <w:r>
              <w:rPr>
                <w:rStyle w:val="Text3"/>
              </w:rPr>
              <w:t>c</w:t>
            </w:r>
            <w:r>
              <w:rPr>
                <w:rStyle w:val="Text0"/>
              </w:rPr>
              <w:t>.wait</w:t>
            </w:r>
            <w:r>
              <w:t xml:space="preserve">. </w:t>
            </w:r>
            <w:r>
              <w:rPr>
                <w:rStyle w:val="Text0"/>
              </w:rPr>
              <w:t>timeout</w:t>
            </w:r>
            <w:r>
              <w:t xml:space="preserve"> is covered in </w:t>
            </w:r>
            <w:hyperlink w:anchor="Timeout_parameters__The_synchron">
              <w:r>
                <w:rPr>
                  <w:rStyle w:val="Text1"/>
                </w:rPr>
                <w:t>“Timeout parameters”</w:t>
              </w:r>
            </w:hyperlink>
            <w:r>
              <w:t xml:space="preserve">. After a thread wakes up, either by notification or timeout, the thread becomes ready when it acquires </w:t>
            </w:r>
            <w:r>
              <w:rPr>
                <w:rStyle w:val="Text3"/>
              </w:rPr>
              <w:t>L</w:t>
            </w:r>
            <w:r>
              <w:t xml:space="preserve"> again. When </w:t>
            </w:r>
            <w:r>
              <w:rPr>
                <w:rStyle w:val="Text0"/>
              </w:rPr>
              <w:t>wait</w:t>
            </w:r>
            <w:r>
              <w:t xml:space="preserve"> returns </w:t>
            </w:r>
            <w:r>
              <w:rPr>
                <w:rStyle w:val="Text5"/>
              </w:rPr>
              <w:t>True</w:t>
            </w:r>
            <w:r>
              <w:t xml:space="preserve"> (meaning it has exited normally, not by timeout), the calling thread is always holding </w:t>
            </w:r>
            <w:r>
              <w:rPr>
                <w:rStyle w:val="Text3"/>
              </w:rPr>
              <w:t>L</w:t>
            </w:r>
            <w:r>
              <w:t xml:space="preserve"> again.</w:t>
            </w:r>
            <w:r>
              <w:rPr>
                <w:rStyle w:val="Text111"/>
              </w:rPr>
              <w:bookmarkStart w:id="3362" w:name="idm45965193038528"/>
              <w:t/>
              <w:bookmarkEnd w:id="3362"/>
            </w:r>
          </w:p>
        </w:tc>
      </w:tr>
    </w:tbl>
    <w:p>
      <w:pPr>
        <w:pStyle w:val="Normal"/>
      </w:pPr>
      <w:r>
        <w:t xml:space="preserve">Usually, a </w:t>
      </w:r>
      <w:r>
        <w:rPr>
          <w:rStyle w:val="Text0"/>
        </w:rPr>
        <w:t>Condition</w:t>
      </w:r>
      <w:r>
        <w:t xml:space="preserve"> object </w:t>
      </w:r>
      <w:r>
        <w:rPr>
          <w:rStyle w:val="Text3"/>
        </w:rPr>
        <w:t>c</w:t>
      </w:r>
      <w:r>
        <w:t xml:space="preserve"> regulates access to some global state </w:t>
      </w:r>
      <w:r>
        <w:rPr>
          <w:rStyle w:val="Text3"/>
        </w:rPr>
        <w:t>s</w:t>
      </w:r>
      <w:r>
        <w:t xml:space="preserve"> shared among threads. When a thread must wait for </w:t>
      </w:r>
      <w:r>
        <w:rPr>
          <w:rStyle w:val="Text3"/>
        </w:rPr>
        <w:t>s</w:t>
      </w:r>
      <w:r>
        <w:t xml:space="preserve"> to change, the thread loops:</w:t>
      </w:r>
    </w:p>
    <w:p>
      <w:pPr>
        <w:pStyle w:val="Para 007"/>
      </w:pPr>
      <w:r>
        <w:rPr>
          <w:rStyle w:val="Text23"/>
        </w:rPr>
        <w:t xml:space="preserve"/>
        <w:br w:clear="none"/>
      </w:r>
      <w:r>
        <w:rPr>
          <w:rStyle w:val="Text10"/>
        </w:rPr>
        <w:t xml:space="preserve">with</w:t>
        <w:br w:clear="none"/>
      </w:r>
      <w:r>
        <w:rPr>
          <w:rStyle w:val="Text6"/>
        </w:rPr>
        <w:t xml:space="preserve"> </w:t>
        <w:br w:clear="none"/>
      </w:r>
      <w:r>
        <w:rPr>
          <w:rStyle w:val="Text4"/>
        </w:rPr>
        <w:t xml:space="preserve">c</w:t>
        <w:br w:clear="none"/>
      </w:r>
      <w:r>
        <w:rPr>
          <w:rStyle w:val="Text7"/>
        </w:rPr>
        <w:t xml:space="preserve">:</w:t>
        <w:br w:clear="none"/>
      </w:r>
      <w:r>
        <w:rPr>
          <w:rStyle w:val="Text6"/>
        </w:rPr>
        <w:t xml:space="preserve"/>
        <w:br w:clear="none"/>
        <w:t xml:space="preserve">    </w:t>
        <w:br w:clear="none"/>
      </w:r>
      <w:r>
        <w:rPr>
          <w:rStyle w:val="Text10"/>
        </w:rPr>
        <w:t xml:space="preserve">while</w:t>
        <w:br w:clear="none"/>
      </w:r>
      <w:r>
        <w:rPr>
          <w:rStyle w:val="Text29"/>
        </w:rPr>
        <w:t xml:space="preserve"> </w:t>
        <w:br w:clear="none"/>
      </w:r>
      <w:r>
        <w:rPr>
          <w:rStyle w:val="Text31"/>
        </w:rPr>
        <w:t xml:space="preserve">not</w:t>
        <w:br w:clear="none"/>
      </w:r>
      <w:r>
        <w:rPr>
          <w:rStyle w:val="Text6"/>
        </w:rPr>
        <w:t xml:space="preserve"> </w:t>
        <w:br w:clear="none"/>
      </w:r>
      <w:r>
        <w:t xml:space="preserve">is_ok_state</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4"/>
        </w:rPr>
        <w:t xml:space="preserve">c</w:t>
        <w:br w:clear="none"/>
      </w:r>
      <w:r>
        <w:rPr>
          <w:rStyle w:val="Text13"/>
        </w:rPr>
        <w:t xml:space="preserve">.</w:t>
        <w:br w:clear="none"/>
      </w:r>
      <w:r>
        <w:t xml:space="preserve">wait</w:t>
        <w:br w:clear="none"/>
      </w:r>
      <w:r>
        <w:rPr>
          <w:rStyle w:val="Text7"/>
        </w:rPr>
        <w:t xml:space="preserve">(</w:t>
        <w:br w:clear="none"/>
        <w:t xml:space="preserve">)</w:t>
        <w:br w:clear="none"/>
      </w:r>
      <w:r>
        <w:rPr>
          <w:rStyle w:val="Text6"/>
        </w:rPr>
        <w:t xml:space="preserve"/>
        <w:br w:clear="none"/>
        <w:t xml:space="preserve">    </w:t>
        <w:br w:clear="none"/>
      </w:r>
      <w:r>
        <w:t xml:space="preserve">do_some_work_using_state</w:t>
        <w:br w:clear="none"/>
      </w:r>
      <w:r>
        <w:rPr>
          <w:rStyle w:val="Text7"/>
        </w:rPr>
        <w:t xml:space="preserve">(</w:t>
        <w:br w:clear="none"/>
      </w:r>
      <w:r>
        <w:t xml:space="preserve">s</w:t>
        <w:br w:clear="none"/>
      </w:r>
      <w:r>
        <w:rPr>
          <w:rStyle w:val="Text7"/>
        </w:rPr>
        <w:t xml:space="preserve">)</w:t>
        <w:br w:clear="none"/>
      </w:r>
    </w:p>
    <w:p>
      <w:pPr>
        <w:pStyle w:val="Normal"/>
      </w:pPr>
      <w:r>
        <w:t xml:space="preserve">Meanwhile, each thread that modifies </w:t>
      </w:r>
      <w:r>
        <w:rPr>
          <w:rStyle w:val="Text3"/>
        </w:rPr>
        <w:t>s</w:t>
      </w:r>
      <w:r>
        <w:t xml:space="preserve"> calls </w:t>
      </w:r>
      <w:r>
        <w:rPr>
          <w:rStyle w:val="Text0"/>
        </w:rPr>
        <w:t>notify</w:t>
      </w:r>
      <w:r>
        <w:t xml:space="preserve"> (or </w:t>
      </w:r>
      <w:r>
        <w:rPr>
          <w:rStyle w:val="Text0"/>
        </w:rPr>
        <w:t>notify_all</w:t>
      </w:r>
      <w:r>
        <w:t xml:space="preserve"> if it needs to wake up all waiting threads, not just one) each time </w:t>
      </w:r>
      <w:r>
        <w:rPr>
          <w:rStyle w:val="Text3"/>
        </w:rPr>
        <w:t>s</w:t>
      </w:r>
      <w:r>
        <w:t xml:space="preserve"> changes:</w:t>
      </w:r>
    </w:p>
    <w:p>
      <w:pPr>
        <w:pStyle w:val="Para 014"/>
      </w:pPr>
      <w:r>
        <w:rPr>
          <w:rStyle w:val="Text116"/>
        </w:rPr>
        <w:t xml:space="preserve"/>
        <w:br w:clear="none"/>
      </w:r>
      <w:r>
        <w:rPr>
          <w:rStyle w:val="Text22"/>
        </w:rPr>
        <w:t xml:space="preserve">with</w:t>
        <w:br w:clear="none"/>
      </w:r>
      <w:r>
        <w:rPr>
          <w:rStyle w:val="Text11"/>
        </w:rPr>
        <w:t xml:space="preserve"> </w:t>
        <w:br w:clear="none"/>
      </w:r>
      <w:r>
        <w:rPr>
          <w:rStyle w:val="Text9"/>
        </w:rPr>
        <w:t xml:space="preserve">c</w:t>
        <w:br w:clear="none"/>
      </w:r>
      <w:r>
        <w:rPr>
          <w:rStyle w:val="Text19"/>
        </w:rPr>
        <w:t xml:space="preserve">:</w:t>
        <w:br w:clear="none"/>
      </w:r>
      <w:r>
        <w:rPr>
          <w:rStyle w:val="Text11"/>
        </w:rPr>
        <w:t xml:space="preserve"/>
        <w:br w:clear="none"/>
        <w:t xml:space="preserve">    </w:t>
        <w:br w:clear="none"/>
      </w:r>
      <w:r>
        <w:rPr>
          <w:rStyle w:val="Text14"/>
        </w:rPr>
        <w:t xml:space="preserve">do_something_that_modifies_state</w:t>
        <w:br w:clear="none"/>
      </w:r>
      <w:r>
        <w:rPr>
          <w:rStyle w:val="Text19"/>
        </w:rPr>
        <w:t xml:space="preserve">(</w:t>
        <w:br w:clear="none"/>
      </w:r>
      <w:r>
        <w:rPr>
          <w:rStyle w:val="Text9"/>
        </w:rPr>
        <w:t xml:space="preserve">s</w:t>
        <w:br w:clear="none"/>
      </w:r>
      <w:r>
        <w:rPr>
          <w:rStyle w:val="Text19"/>
        </w:rPr>
        <w:t xml:space="preserve">)</w:t>
        <w:br w:clear="none"/>
      </w:r>
      <w:r>
        <w:rPr>
          <w:rStyle w:val="Text11"/>
        </w:rPr>
        <w:t xml:space="preserve"/>
        <w:br w:clear="none"/>
        <w:t xml:space="preserve">    </w:t>
        <w:br w:clear="none"/>
      </w:r>
      <w:r>
        <w:rPr>
          <w:rStyle w:val="Text9"/>
        </w:rPr>
        <w:t xml:space="preserve">c</w:t>
        <w:br w:clear="none"/>
      </w:r>
      <w:r>
        <w:rPr>
          <w:rStyle w:val="Text28"/>
        </w:rPr>
        <w:t xml:space="preserve">.</w:t>
        <w:br w:clear="none"/>
      </w:r>
      <w:r>
        <w:rPr>
          <w:rStyle w:val="Text14"/>
        </w:rPr>
        <w:t xml:space="preserve">notify</w:t>
        <w:br w:clear="none"/>
      </w:r>
      <w:r>
        <w:rPr>
          <w:rStyle w:val="Text19"/>
        </w:rPr>
        <w:t xml:space="preserve">(</w:t>
        <w:br w:clear="none"/>
        <w:t xml:space="preserve">)</w:t>
        <w:br w:clear="none"/>
      </w:r>
      <w:r>
        <w:rPr>
          <w:rStyle w:val="Text11"/>
        </w:rPr>
        <w:t xml:space="preserve">    </w:t>
        <w:br w:clear="none"/>
      </w:r>
      <w:r>
        <w:t xml:space="preserve"># or, c.notify_all()</w:t>
        <w:br w:clear="none"/>
      </w:r>
      <w:r>
        <w:rPr>
          <w:rStyle w:val="Text11"/>
        </w:rPr>
        <w:t xml:space="preserve"/>
        <w:br w:clear="none"/>
      </w:r>
      <w:r>
        <w:t xml:space="preserve"># no need to call c.release(), exiting 'with' intrinsically does that</w:t>
        <w:br w:clear="none"/>
      </w:r>
    </w:p>
    <w:p>
      <w:pPr>
        <w:pStyle w:val="Normal"/>
      </w:pPr>
      <w:r>
        <w:t xml:space="preserve">You must always acquire and release </w:t>
      </w:r>
      <w:r>
        <w:rPr>
          <w:rStyle w:val="Text3"/>
        </w:rPr>
        <w:t>c</w:t>
      </w:r>
      <w:r>
        <w:t xml:space="preserve"> around each use of </w:t>
      </w:r>
      <w:r>
        <w:rPr>
          <w:rStyle w:val="Text3"/>
        </w:rPr>
        <w:t>c</w:t>
      </w:r>
      <w:r>
        <w:t xml:space="preserve">’s methods: doing so via a </w:t>
      </w:r>
      <w:r>
        <w:rPr>
          <w:rStyle w:val="Text5"/>
        </w:rPr>
        <w:t>with</w:t>
      </w:r>
      <w:r>
        <w:t xml:space="preserve"> statement makes using </w:t>
      </w:r>
      <w:r>
        <w:rPr>
          <w:rStyle w:val="Text0"/>
        </w:rPr>
        <w:t>Condition</w:t>
      </w:r>
      <w:r>
        <w:t xml:space="preserve"> instances less error prone.</w:t>
      </w:r>
    </w:p>
    <w:p>
      <w:bookmarkStart w:id="3363" w:name="Event_objects__Event_objects_let"/>
      <w:pPr>
        <w:keepNext/>
        <w:pStyle w:val="Heading 2"/>
      </w:pPr>
      <w:r>
        <w:t>Event objects</w:t>
      </w:r>
      <w:bookmarkEnd w:id="3363"/>
    </w:p>
    <w:p>
      <w:pPr>
        <w:pStyle w:val="Normal"/>
      </w:pPr>
      <w:r>
        <w:rPr>
          <w:rStyle w:val="Text0"/>
        </w:rPr>
        <w:t>Event</w:t>
      </w:r>
      <w:r>
        <w:t xml:space="preserve"> objects</w:t>
      </w:r>
      <w:r>
        <w:rPr>
          <w:rStyle w:val="Text111"/>
        </w:rPr>
        <w:bookmarkStart w:id="3364" w:name="idm45965192959968"/>
        <w:t/>
        <w:bookmarkEnd w:id="3364"/>
      </w:r>
      <w:r>
        <w:t xml:space="preserve"> let any number of threads suspend and wait. All threads waiting on </w:t>
      </w:r>
      <w:r>
        <w:rPr>
          <w:rStyle w:val="Text0"/>
        </w:rPr>
        <w:t>Event</w:t>
      </w:r>
      <w:r>
        <w:t xml:space="preserve"> object </w:t>
      </w:r>
      <w:r>
        <w:rPr>
          <w:rStyle w:val="Text3"/>
        </w:rPr>
        <w:t>e</w:t>
      </w:r>
      <w:r>
        <w:t xml:space="preserve"> become ready when any other thread calls </w:t>
      </w:r>
      <w:r>
        <w:rPr>
          <w:rStyle w:val="Text3"/>
        </w:rPr>
        <w:t>e</w:t>
      </w:r>
      <w:r>
        <w:rPr>
          <w:rStyle w:val="Text0"/>
        </w:rPr>
        <w:t>.set</w:t>
      </w:r>
      <w:r>
        <w:t xml:space="preserve">. </w:t>
      </w:r>
      <w:r>
        <w:rPr>
          <w:rStyle w:val="Text3"/>
        </w:rPr>
        <w:t>e</w:t>
      </w:r>
      <w:r>
        <w:t xml:space="preserve"> has a flag that records whether the event happened; it is initially </w:t>
      </w:r>
      <w:r>
        <w:rPr>
          <w:rStyle w:val="Text5"/>
        </w:rPr>
        <w:t>False</w:t>
      </w:r>
      <w:r>
        <w:t xml:space="preserve"> when </w:t>
      </w:r>
      <w:r>
        <w:rPr>
          <w:rStyle w:val="Text3"/>
        </w:rPr>
        <w:t>e</w:t>
      </w:r>
      <w:r>
        <w:t xml:space="preserve"> is created. </w:t>
      </w:r>
      <w:r>
        <w:rPr>
          <w:rStyle w:val="Text0"/>
        </w:rPr>
        <w:t>Event</w:t>
      </w:r>
      <w:r>
        <w:t xml:space="preserve"> is thus a bit like a simplified </w:t>
      </w:r>
      <w:r>
        <w:rPr>
          <w:rStyle w:val="Text0"/>
        </w:rPr>
        <w:t>Condition</w:t>
      </w:r>
      <w:r>
        <w:t xml:space="preserve">. </w:t>
      </w:r>
      <w:r>
        <w:rPr>
          <w:rStyle w:val="Text0"/>
        </w:rPr>
        <w:t>Event</w:t>
      </w:r>
      <w:r>
        <w:t xml:space="preserve"> objects are useful to signal one-shot changes, but brittle for more general use; in particular, relying on calls to </w:t>
      </w:r>
      <w:r>
        <w:rPr>
          <w:rStyle w:val="Text3"/>
        </w:rPr>
        <w:t>e</w:t>
      </w:r>
      <w:r>
        <w:rPr>
          <w:rStyle w:val="Text0"/>
        </w:rPr>
        <w:t>.clear</w:t>
      </w:r>
      <w:r>
        <w:t xml:space="preserve"> is error prone. The </w:t>
      </w:r>
      <w:r>
        <w:rPr>
          <w:rStyle w:val="Text0"/>
        </w:rPr>
        <w:t>Event</w:t>
      </w:r>
      <w:r>
        <w:t xml:space="preserve"> class exposes the constructor and methods in </w:t>
      </w:r>
      <w:hyperlink w:anchor="Table_15_5__Constructor_and_meth">
        <w:r>
          <w:rPr>
            <w:rStyle w:val="Text1"/>
          </w:rPr>
          <w:t>Table 15-5</w:t>
        </w:r>
      </w:hyperlink>
      <w:r>
        <w:t>.</w:t>
      </w:r>
    </w:p>
    <w:tbl>
      <w:tblPr>
        <w:tblW w:type="auto" w:w="0"/>
      </w:tblPr>
      <w:tr>
        <w:tc>
          <w:tcPr>
            <w:tcW w:type="auto" w:w="0"/>
            <w:tcMar>
              <w:left w:type="dxa" w:w="200"/>
              <w:top w:type="dxa" w:w="200"/>
              <w:right w:type="dxa" w:w="200"/>
              <w:bottom w:type="dxa" w:w="200"/>
            </w:tcMar>
          </w:tcPr>
          <w:p>
            <w:bookmarkStart w:id="3365" w:name="Table_15_5__Constructor_and_meth"/>
            <w:pPr>
              <w:pStyle w:val="Para 011"/>
            </w:pPr>
            <w:r>
              <w:rPr>
                <w:rStyle w:val="Text117"/>
              </w:rPr>
              <w:t/>
            </w:r>
            <w:r>
              <w:t xml:space="preserve">Table 15-5. </w:t>
              <w:t xml:space="preserve">Constructor and methods of the </w:t>
            </w:r>
            <w:r>
              <w:rPr>
                <w:rStyle w:val="Text0"/>
              </w:rPr>
              <w:t>Event</w:t>
            </w:r>
            <w:r>
              <w:t xml:space="preserve"> class</w:t>
            </w:r>
            <w:bookmarkEnd w:id="3365"/>
          </w:p>
          <w:p>
            <w:pPr>
              <w:pStyle w:val="Para 001"/>
            </w:pPr>
            <w:r>
              <w:t>Event</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Event()</w:t>
              <w:br w:clear="none"/>
            </w:r>
            <w:r>
              <w:t xml:space="preserve"> Creates</w:t>
            </w:r>
            <w:r>
              <w:rPr>
                <w:rStyle w:val="Text111"/>
              </w:rPr>
              <w:bookmarkStart w:id="3366" w:name="idm45965192920560"/>
              <w:t/>
              <w:bookmarkEnd w:id="3366"/>
            </w:r>
            <w:r>
              <w:t xml:space="preserve"> and returns a new </w:t>
            </w:r>
            <w:r>
              <w:rPr>
                <w:rStyle w:val="Text0"/>
              </w:rPr>
              <w:t>Event</w:t>
            </w:r>
            <w:r>
              <w:t xml:space="preserve"> object </w:t>
            </w:r>
            <w:r>
              <w:rPr>
                <w:rStyle w:val="Text3"/>
              </w:rPr>
              <w:t>e</w:t>
            </w:r>
            <w:r>
              <w:t xml:space="preserve">, with </w:t>
            </w:r>
            <w:r>
              <w:rPr>
                <w:rStyle w:val="Text3"/>
              </w:rPr>
              <w:t>e</w:t>
            </w:r>
            <w:r>
              <w:t xml:space="preserve">’s flag set to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clear</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.clear()</w:t>
              <w:br w:clear="none"/>
            </w:r>
            <w:r>
              <w:t xml:space="preserve"> Sets</w:t>
            </w:r>
            <w:r>
              <w:rPr>
                <w:rStyle w:val="Text111"/>
              </w:rPr>
              <w:bookmarkStart w:id="3367" w:name="idm45965192913008"/>
              <w:t/>
              <w:bookmarkEnd w:id="3367"/>
            </w:r>
            <w:r>
              <w:t xml:space="preserve"> </w:t>
            </w:r>
            <w:r>
              <w:rPr>
                <w:rStyle w:val="Text3"/>
              </w:rPr>
              <w:t>e</w:t>
            </w:r>
            <w:r>
              <w:t xml:space="preserve">’s flag to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is_set</w:t>
            </w:r>
          </w:p>
        </w:tc>
        <w:tc>
          <w:tcPr>
            <w:tcW w:type="auto" w:w="0"/>
            <w:tcMar>
              <w:left w:type="dxa" w:w="200"/>
              <w:top w:type="dxa" w:w="200"/>
              <w:right w:type="dxa" w:w="200"/>
              <w:bottom w:type="dxa" w:w="200"/>
            </w:tcMar>
          </w:tcPr>
          <w:p>
            <w:pPr>
              <w:pStyle w:val="Para 002"/>
            </w:pPr>
            <w:r>
              <w:rPr>
                <w:rStyle w:val="Text3"/>
              </w:rPr>
              <w:t>e</w:t>
            </w:r>
            <w:r>
              <w:rPr>
                <w:rStyle w:val="Text0"/>
              </w:rPr>
              <w:t>.is_set()</w:t>
              <w:br w:clear="none"/>
            </w:r>
            <w:r>
              <w:t xml:space="preserve"> Returns the value of </w:t>
            </w:r>
            <w:r>
              <w:rPr>
                <w:rStyle w:val="Text3"/>
              </w:rPr>
              <w:t>e</w:t>
            </w:r>
            <w:r>
              <w:t xml:space="preserve">’s flag: </w:t>
            </w:r>
            <w:r>
              <w:rPr>
                <w:rStyle w:val="Text5"/>
              </w:rPr>
              <w:t>True</w:t>
            </w:r>
            <w:r>
              <w:t xml:space="preserve"> or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.set()</w:t>
              <w:br w:clear="none"/>
            </w:r>
            <w:r>
              <w:t xml:space="preserve"> Sets</w:t>
            </w:r>
            <w:r>
              <w:rPr>
                <w:rStyle w:val="Text111"/>
              </w:rPr>
              <w:bookmarkStart w:id="3368" w:name="idm45965192901072"/>
              <w:t/>
              <w:bookmarkEnd w:id="3368"/>
            </w:r>
            <w:r>
              <w:t xml:space="preserve"> </w:t>
            </w:r>
            <w:r>
              <w:rPr>
                <w:rStyle w:val="Text3"/>
              </w:rPr>
              <w:t>e</w:t>
            </w:r>
            <w:r>
              <w:t xml:space="preserve">’s flag to </w:t>
            </w:r>
            <w:r>
              <w:rPr>
                <w:rStyle w:val="Text5"/>
              </w:rPr>
              <w:t>True</w:t>
            </w:r>
            <w:r>
              <w:t xml:space="preserve">. All threads waiting on </w:t>
            </w:r>
            <w:r>
              <w:rPr>
                <w:rStyle w:val="Text3"/>
              </w:rPr>
              <w:t>e</w:t>
            </w:r>
            <w:r>
              <w:t>, if any, become ready to run.</w:t>
            </w:r>
          </w:p>
        </w:tc>
      </w:tr>
    </w:tbl>
    <w:tbl>
      <w:tblPr>
        <w:tblW w:type="auto" w:w="0"/>
      </w:tblPr>
      <w:tr>
        <w:tc>
          <w:tcPr>
            <w:tcW w:type="auto" w:w="0"/>
            <w:tcMar>
              <w:left w:type="dxa" w:w="200"/>
              <w:top w:type="dxa" w:w="200"/>
              <w:right w:type="dxa" w:w="200"/>
              <w:bottom w:type="dxa" w:w="200"/>
            </w:tcMar>
          </w:tcPr>
          <w:p>
            <w:pPr>
              <w:pStyle w:val="Para 001"/>
            </w:pPr>
            <w:r>
              <w:t>wait</w:t>
            </w:r>
          </w:p>
        </w:tc>
        <w:tc>
          <w:tcPr>
            <w:tcW w:type="auto" w:w="0"/>
            <w:tcMar>
              <w:left w:type="dxa" w:w="200"/>
              <w:top w:type="dxa" w:w="200"/>
              <w:right w:type="dxa" w:w="200"/>
              <w:bottom w:type="dxa" w:w="200"/>
            </w:tcMar>
          </w:tcPr>
          <w:p>
            <w:pPr>
              <w:pStyle w:val="Para 002"/>
            </w:pPr>
            <w:r>
              <w:rPr>
                <w:rStyle w:val="Text3"/>
              </w:rPr>
              <w:t>e</w:t>
            </w:r>
            <w:r>
              <w:rPr>
                <w:rStyle w:val="Text0"/>
              </w:rPr>
              <w:t>.wait(timeout=</w:t>
            </w:r>
            <w:r>
              <w:rPr>
                <w:rStyle w:val="Text5"/>
              </w:rPr>
              <w:t>None</w:t>
            </w:r>
            <w:r>
              <w:rPr>
                <w:rStyle w:val="Text0"/>
              </w:rPr>
              <w:t>)</w:t>
              <w:br w:clear="none"/>
            </w:r>
            <w:r>
              <w:t xml:space="preserve"> Returns</w:t>
            </w:r>
            <w:r>
              <w:rPr>
                <w:rStyle w:val="Text111"/>
              </w:rPr>
              <w:bookmarkStart w:id="3369" w:name="idm45965192893664"/>
              <w:t/>
              <w:bookmarkEnd w:id="3369"/>
            </w:r>
            <w:r>
              <w:t xml:space="preserve"> immediately if </w:t>
            </w:r>
            <w:r>
              <w:rPr>
                <w:rStyle w:val="Text3"/>
              </w:rPr>
              <w:t>e</w:t>
            </w:r>
            <w:r>
              <w:t xml:space="preserve">’s flag is </w:t>
            </w:r>
            <w:r>
              <w:rPr>
                <w:rStyle w:val="Text5"/>
              </w:rPr>
              <w:t>True</w:t>
            </w:r>
            <w:r>
              <w:t xml:space="preserve">; otherwise, suspends the calling thread until some other thread calls </w:t>
            </w:r>
            <w:r>
              <w:rPr>
                <w:rStyle w:val="Text0"/>
              </w:rPr>
              <w:t>set</w:t>
            </w:r>
            <w:r>
              <w:t xml:space="preserve">. </w:t>
            </w:r>
            <w:r>
              <w:rPr>
                <w:rStyle w:val="Text0"/>
              </w:rPr>
              <w:t>timeout</w:t>
            </w:r>
            <w:r>
              <w:t xml:space="preserve"> is covered in </w:t>
            </w:r>
            <w:hyperlink w:anchor="Timeout_parameters__The_synchron">
              <w:r>
                <w:rPr>
                  <w:rStyle w:val="Text1"/>
                </w:rPr>
                <w:t>“Timeout parameters”</w:t>
              </w:r>
            </w:hyperlink>
            <w:r>
              <w:t>.</w:t>
            </w:r>
          </w:p>
        </w:tc>
      </w:tr>
    </w:tbl>
    <w:p>
      <w:pPr>
        <w:pStyle w:val="Normal"/>
      </w:pPr>
      <w:r>
        <w:t xml:space="preserve">The following code shows how </w:t>
      </w:r>
      <w:r>
        <w:rPr>
          <w:rStyle w:val="Text0"/>
        </w:rPr>
        <w:t>Event</w:t>
      </w:r>
      <w:r>
        <w:t xml:space="preserve"> objects explicitly synchronize processing across multiple threads: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datetime</w:t>
        <w:br w:clear="none"/>
      </w:r>
      <w:r>
        <w:rPr>
          <w:rStyle w:val="Text13"/>
        </w:rPr>
        <w:t xml:space="preserve">,</w:t>
        <w:br w:clear="none"/>
      </w:r>
      <w:r>
        <w:rPr>
          <w:rStyle w:val="Text6"/>
        </w:rPr>
        <w:t xml:space="preserve"> </w:t>
        <w:br w:clear="none"/>
      </w:r>
      <w:r>
        <w:rPr>
          <w:rStyle w:val="Text20"/>
        </w:rPr>
        <w:t xml:space="preserve">random</w:t>
        <w:br w:clear="none"/>
      </w:r>
      <w:r>
        <w:rPr>
          <w:rStyle w:val="Text13"/>
        </w:rPr>
        <w:t xml:space="preserve">,</w:t>
        <w:br w:clear="none"/>
      </w:r>
      <w:r>
        <w:rPr>
          <w:rStyle w:val="Text6"/>
        </w:rPr>
        <w:t xml:space="preserve"> </w:t>
        <w:br w:clear="none"/>
      </w:r>
      <w:r>
        <w:rPr>
          <w:rStyle w:val="Text20"/>
        </w:rPr>
        <w:t xml:space="preserve">threading</w:t>
        <w:br w:clear="none"/>
      </w:r>
      <w:r>
        <w:rPr>
          <w:rStyle w:val="Text13"/>
        </w:rPr>
        <w:t xml:space="preserve">,</w:t>
        <w:br w:clear="none"/>
      </w:r>
      <w:r>
        <w:rPr>
          <w:rStyle w:val="Text6"/>
        </w:rPr>
        <w:t xml:space="preserve"> </w:t>
        <w:br w:clear="none"/>
      </w:r>
      <w:r>
        <w:rPr>
          <w:rStyle w:val="Text20"/>
        </w:rPr>
        <w:t xml:space="preserve">time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runner</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starting</w:t>
        <w:br w:clear="none"/>
        <w:t xml:space="preserve">'</w:t>
        <w:br w:clear="none"/>
      </w:r>
      <w:r>
        <w:rPr>
          <w:rStyle w:val="Text7"/>
        </w:rPr>
        <w:t xml:space="preserve">)</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t xml:space="preserve">random</w:t>
        <w:br w:clear="none"/>
      </w:r>
      <w:r>
        <w:rPr>
          <w:rStyle w:val="Text13"/>
        </w:rPr>
        <w:t xml:space="preserve">.</w:t>
        <w:br w:clear="none"/>
      </w:r>
      <w:r>
        <w:t xml:space="preserve">randint</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3</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waiting</w:t>
        <w:br w:clear="none"/>
        <w:t xml:space="preserve">'</w:t>
        <w:br w:clear="none"/>
      </w:r>
      <w:r>
        <w:rPr>
          <w:rStyle w:val="Text7"/>
        </w:rPr>
        <w:t xml:space="preserve">)</w:t>
        <w:br w:clear="none"/>
      </w:r>
      <w:r>
        <w:rPr>
          <w:rStyle w:val="Text6"/>
        </w:rPr>
        <w:t xml:space="preserve"/>
        <w:br w:clear="none"/>
        <w:t xml:space="preserve">    </w:t>
        <w:br w:clear="none"/>
      </w:r>
      <w:r>
        <w:t xml:space="preserve">event</w:t>
        <w:br w:clear="none"/>
      </w:r>
      <w:r>
        <w:rPr>
          <w:rStyle w:val="Text13"/>
        </w:rPr>
        <w:t xml:space="preserve">.</w:t>
        <w:br w:clear="none"/>
      </w:r>
      <w:r>
        <w:t xml:space="preserve">wait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running at </w:t>
        <w:br w:clear="none"/>
      </w:r>
      <w:r>
        <w:rPr>
          <w:rStyle w:val="Text32"/>
        </w:rPr>
        <w:t xml:space="preserve">{</w:t>
        <w:br w:clear="none"/>
      </w:r>
      <w:r>
        <w:t xml:space="preserve">datetime</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t xml:space="preserve">num_threads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10</w:t>
        <w:br w:clear="none"/>
      </w:r>
      <w:r>
        <w:rPr>
          <w:rStyle w:val="Text6"/>
        </w:rPr>
        <w:t xml:space="preserve"/>
        <w:br w:clear="none"/>
      </w:r>
      <w:r>
        <w:t xml:space="preserve">event</w:t>
        <w:br w:clear="none"/>
      </w:r>
      <w:r>
        <w:rPr>
          <w:rStyle w:val="Text6"/>
        </w:rPr>
        <w:t xml:space="preserve"> </w:t>
        <w:br w:clear="none"/>
      </w:r>
      <w:r>
        <w:rPr>
          <w:rStyle w:val="Text13"/>
        </w:rPr>
        <w:t xml:space="preserve">=</w:t>
        <w:br w:clear="none"/>
      </w:r>
      <w:r>
        <w:rPr>
          <w:rStyle w:val="Text6"/>
        </w:rPr>
        <w:t xml:space="preserve"> </w:t>
        <w:br w:clear="none"/>
      </w:r>
      <w:r>
        <w:t xml:space="preserve">threading</w:t>
        <w:br w:clear="none"/>
      </w:r>
      <w:r>
        <w:rPr>
          <w:rStyle w:val="Text13"/>
        </w:rPr>
        <w:t xml:space="preserve">.</w:t>
        <w:br w:clear="none"/>
      </w:r>
      <w:r>
        <w:t xml:space="preserve">Event</w:t>
        <w:br w:clear="none"/>
      </w:r>
      <w:r>
        <w:rPr>
          <w:rStyle w:val="Text7"/>
        </w:rPr>
        <w:t xml:space="preserve">(</w:t>
        <w:br w:clear="none"/>
        <w:t xml:space="preserve">)</w:t>
        <w:br w:clear="none"/>
      </w:r>
      <w:r>
        <w:rPr>
          <w:rStyle w:val="Text6"/>
        </w:rPr>
        <w:t xml:space="preserve"/>
        <w:br w:clear="none"/>
        <w:t xml:space="preserve"/>
        <w:br w:clear="none"/>
      </w:r>
      <w:r>
        <w:t xml:space="preserve">threads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threading</w:t>
        <w:br w:clear="none"/>
      </w:r>
      <w:r>
        <w:rPr>
          <w:rStyle w:val="Text13"/>
        </w:rPr>
        <w:t xml:space="preserve">.</w:t>
        <w:br w:clear="none"/>
      </w:r>
      <w:r>
        <w:t xml:space="preserve">Thread</w:t>
        <w:br w:clear="none"/>
      </w:r>
      <w:r>
        <w:rPr>
          <w:rStyle w:val="Text7"/>
        </w:rPr>
        <w:t xml:space="preserve">(</w:t>
        <w:br w:clear="none"/>
      </w:r>
      <w:r>
        <w:t xml:space="preserve">target</w:t>
        <w:br w:clear="none"/>
      </w:r>
      <w:r>
        <w:rPr>
          <w:rStyle w:val="Text13"/>
        </w:rPr>
        <w:t xml:space="preserve">=</w:t>
        <w:br w:clear="none"/>
      </w:r>
      <w:r>
        <w:t xml:space="preserve">runner</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_</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num_threads</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threads</w:t>
        <w:br w:clear="none"/>
      </w:r>
      <w:r>
        <w:rPr>
          <w:rStyle w:val="Text7"/>
        </w:rPr>
        <w:t xml:space="preserve">:</w:t>
        <w:br w:clear="none"/>
      </w:r>
      <w:r>
        <w:rPr>
          <w:rStyle w:val="Text6"/>
        </w:rPr>
        <w:t xml:space="preserve"/>
        <w:br w:clear="none"/>
        <w:t xml:space="preserve">    </w:t>
        <w:br w:clear="none"/>
      </w:r>
      <w:r>
        <w:t xml:space="preserve">t</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br w:clear="none"/>
      </w:r>
      <w:r>
        <w:t xml:space="preserve">event</w:t>
        <w:br w:clear="none"/>
      </w:r>
      <w:r>
        <w:rPr>
          <w:rStyle w:val="Text13"/>
        </w:rPr>
        <w:t xml:space="preserve">.</w:t>
        <w:br w:clear="none"/>
      </w:r>
      <w:r>
        <w:t xml:space="preserve">set</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threads</w:t>
        <w:br w:clear="none"/>
      </w:r>
      <w:r>
        <w:rPr>
          <w:rStyle w:val="Text7"/>
        </w:rPr>
        <w:t xml:space="preserve">:</w:t>
        <w:br w:clear="none"/>
      </w:r>
      <w:r>
        <w:rPr>
          <w:rStyle w:val="Text6"/>
        </w:rPr>
        <w:t xml:space="preserve"/>
        <w:br w:clear="none"/>
        <w:t xml:space="preserve">    </w:t>
        <w:br w:clear="none"/>
      </w:r>
      <w:r>
        <w:t xml:space="preserve">t</w:t>
        <w:br w:clear="none"/>
      </w:r>
      <w:r>
        <w:rPr>
          <w:rStyle w:val="Text13"/>
        </w:rPr>
        <w:t xml:space="preserve">.</w:t>
        <w:br w:clear="none"/>
      </w:r>
      <w:r>
        <w:t xml:space="preserve">join</w:t>
        <w:br w:clear="none"/>
      </w:r>
      <w:r>
        <w:rPr>
          <w:rStyle w:val="Text7"/>
        </w:rPr>
        <w:t xml:space="preserve">(</w:t>
        <w:br w:clear="none"/>
        <w:t xml:space="preserve">)</w:t>
        <w:br w:clear="none"/>
      </w:r>
    </w:p>
    <w:p>
      <w:bookmarkStart w:id="3370" w:name="Semaphore_and_BoundedSemaphore_o"/>
      <w:pPr>
        <w:keepNext/>
        <w:pStyle w:val="Heading 2"/>
      </w:pPr>
      <w:r>
        <w:t>Semaphore and BoundedSemaphore objects</w:t>
      </w:r>
      <w:bookmarkEnd w:id="3370"/>
    </w:p>
    <w:p>
      <w:pPr>
        <w:pStyle w:val="Normal"/>
      </w:pPr>
      <w:r>
        <w:rPr>
          <w:rStyle w:val="Text4"/>
        </w:rPr>
        <w:t>Semaphores</w:t>
      </w:r>
      <w:r>
        <w:t xml:space="preserve"> (also known as</w:t>
      </w:r>
      <w:r>
        <w:rPr>
          <w:rStyle w:val="Text111"/>
        </w:rPr>
        <w:bookmarkStart w:id="3371" w:name="idm45965192741936"/>
        <w:t/>
        <w:bookmarkEnd w:id="3371"/>
      </w:r>
      <w:r>
        <w:t xml:space="preserve"> </w:t>
      </w:r>
      <w:r>
        <w:rPr>
          <w:rStyle w:val="Text4"/>
        </w:rPr>
        <w:t>counting semaphores</w:t>
      </w:r>
      <w:r>
        <w:t>)</w:t>
      </w:r>
      <w:r>
        <w:rPr>
          <w:rStyle w:val="Text111"/>
        </w:rPr>
        <w:bookmarkStart w:id="3372" w:name="idm45965192762000"/>
        <w:t/>
        <w:bookmarkEnd w:id="3372"/>
        <w:bookmarkStart w:id="3373" w:name="idm45965192760864"/>
        <w:t/>
        <w:bookmarkEnd w:id="3373"/>
      </w:r>
      <w:r>
        <w:t xml:space="preserve"> are a generalization of locks. The state of a </w:t>
      </w:r>
      <w:r>
        <w:rPr>
          <w:rStyle w:val="Text0"/>
        </w:rPr>
        <w:t>Lock</w:t>
      </w:r>
      <w:r>
        <w:t xml:space="preserve"> can be seen as </w:t>
      </w:r>
      <w:r>
        <w:rPr>
          <w:rStyle w:val="Text5"/>
        </w:rPr>
        <w:t>True</w:t>
      </w:r>
      <w:r>
        <w:t xml:space="preserve"> or </w:t>
      </w:r>
      <w:r>
        <w:rPr>
          <w:rStyle w:val="Text5"/>
        </w:rPr>
        <w:t>False</w:t>
      </w:r>
      <w:r>
        <w:t xml:space="preserve">; the state of a </w:t>
      </w:r>
      <w:r>
        <w:rPr>
          <w:rStyle w:val="Text0"/>
        </w:rPr>
        <w:t>Semaphore</w:t>
      </w:r>
      <w:r>
        <w:t xml:space="preserve"> </w:t>
      </w:r>
      <w:r>
        <w:rPr>
          <w:rStyle w:val="Text3"/>
        </w:rPr>
        <w:t>s</w:t>
      </w:r>
      <w:r>
        <w:t xml:space="preserve"> is a number between </w:t>
      </w:r>
      <w:r>
        <w:rPr>
          <w:rStyle w:val="Text0"/>
        </w:rPr>
        <w:t>0</w:t>
      </w:r>
      <w:r>
        <w:t xml:space="preserve"> and some </w:t>
      </w:r>
      <w:r>
        <w:rPr>
          <w:rStyle w:val="Text3"/>
        </w:rPr>
        <w:t>n</w:t>
      </w:r>
      <w:r>
        <w:t xml:space="preserve"> set when </w:t>
      </w:r>
      <w:r>
        <w:rPr>
          <w:rStyle w:val="Text3"/>
        </w:rPr>
        <w:t>s</w:t>
      </w:r>
      <w:r>
        <w:t xml:space="preserve"> is created (both bounds included). </w:t>
      </w:r>
      <w:r>
        <w:rPr>
          <w:rStyle w:val="Text0"/>
        </w:rPr>
        <w:t>Semaphore</w:t>
      </w:r>
      <w:r>
        <w:t xml:space="preserve">s can be useful to manage a fixed pool of resources—e.g., 4 printers or 20 sockets—although it’s often more robust to use </w:t>
      </w:r>
      <w:r>
        <w:rPr>
          <w:rStyle w:val="Text0"/>
        </w:rPr>
        <w:t>Queue</w:t>
      </w:r>
      <w:r>
        <w:t xml:space="preserve">s (described later in this chapter) for such purposes. The class </w:t>
      </w:r>
      <w:r>
        <w:rPr>
          <w:rStyle w:val="Text0"/>
        </w:rPr>
        <w:t>BoundedSemaphore</w:t>
      </w:r>
      <w:r>
        <w:t xml:space="preserve"> is very similar, but raises </w:t>
      </w:r>
      <w:r>
        <w:rPr>
          <w:rStyle w:val="Text0"/>
        </w:rPr>
        <w:t>ValueError</w:t>
      </w:r>
      <w:r>
        <w:t xml:space="preserve"> if the state ever becomes higher than the initial value: in many cases, such behavior can be a useful indicator of a bug. </w:t>
      </w:r>
      <w:hyperlink w:anchor="Table_15_6__Constructors_and_met">
        <w:r>
          <w:rPr>
            <w:rStyle w:val="Text1"/>
          </w:rPr>
          <w:t>Table 15-6</w:t>
        </w:r>
      </w:hyperlink>
      <w:r>
        <w:t xml:space="preserve"> shows the constructors of the </w:t>
      </w:r>
      <w:r>
        <w:rPr>
          <w:rStyle w:val="Text0"/>
        </w:rPr>
        <w:t>Semaphore</w:t>
      </w:r>
      <w:r>
        <w:t xml:space="preserve"> and </w:t>
      </w:r>
      <w:r>
        <w:rPr>
          <w:rStyle w:val="Text0"/>
        </w:rPr>
        <w:t>BoundedSemaphore</w:t>
      </w:r>
      <w:r>
        <w:t xml:space="preserve"> classes and the methods exposed by an object </w:t>
      </w:r>
      <w:r>
        <w:rPr>
          <w:rStyle w:val="Text4"/>
        </w:rPr>
        <w:t>s</w:t>
      </w:r>
      <w:r>
        <w:t xml:space="preserve"> of either class.</w:t>
      </w:r>
    </w:p>
    <w:tbl>
      <w:tblPr>
        <w:tblW w:type="auto" w:w="0"/>
      </w:tblPr>
      <w:tr>
        <w:tc>
          <w:tcPr>
            <w:tcW w:type="auto" w:w="0"/>
            <w:tcMar>
              <w:left w:type="dxa" w:w="200"/>
              <w:top w:type="dxa" w:w="200"/>
              <w:right w:type="dxa" w:w="200"/>
              <w:bottom w:type="dxa" w:w="200"/>
            </w:tcMar>
          </w:tcPr>
          <w:p>
            <w:bookmarkStart w:id="3374" w:name="Table_15_6__Constructors_and_met"/>
            <w:pPr>
              <w:pStyle w:val="Para 011"/>
            </w:pPr>
            <w:r>
              <w:rPr>
                <w:rStyle w:val="Text117"/>
              </w:rPr>
              <w:t/>
            </w:r>
            <w:r>
              <w:t xml:space="preserve">Table 15-6. </w:t>
              <w:t xml:space="preserve">Constructors and methods of the </w:t>
            </w:r>
            <w:r>
              <w:rPr>
                <w:rStyle w:val="Text0"/>
              </w:rPr>
              <w:t>Semaphore</w:t>
            </w:r>
            <w:r>
              <w:t xml:space="preserve"> and </w:t>
            </w:r>
            <w:r>
              <w:rPr>
                <w:rStyle w:val="Text0"/>
              </w:rPr>
              <w:t>BoundedSemaphore</w:t>
            </w:r>
            <w:r>
              <w:t xml:space="preserve"> classes</w:t>
            </w:r>
            <w:bookmarkEnd w:id="3374"/>
          </w:p>
          <w:p>
            <w:pPr>
              <w:pStyle w:val="Para 001"/>
            </w:pPr>
            <w:r>
              <w:t>Semaphore</w:t>
            </w:r>
            <w:r>
              <w:rPr>
                <w:rStyle w:val="Text12"/>
              </w:rPr>
              <w:t>,</w:t>
              <w:br w:clear="none"/>
              <w:t xml:space="preserve"> </w:t>
            </w:r>
            <w:r>
              <w:t>Boun⁠d⁠e⁠d​S⁠e⁠m⁠aphore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Semaphore(n=1)</w:t>
            </w:r>
            <w:r>
              <w:t>,</w:t>
              <w:br w:clear="none"/>
              <w:t xml:space="preserve"> </w:t>
            </w:r>
            <w:r>
              <w:rPr>
                <w:rStyle w:val="Text5"/>
              </w:rPr>
              <w:t>class</w:t>
            </w:r>
            <w:r>
              <w:t xml:space="preserve"> </w:t>
            </w:r>
            <w:r>
              <w:rPr>
                <w:rStyle w:val="Text0"/>
              </w:rPr>
              <w:t>BoundedSemaphore(n=1)</w:t>
              <w:br w:clear="none"/>
            </w:r>
            <w:r>
              <w:t xml:space="preserve"> </w:t>
            </w:r>
            <w:r>
              <w:rPr>
                <w:rStyle w:val="Text0"/>
              </w:rPr>
              <w:t>Semaphore</w:t>
            </w:r>
            <w:r>
              <w:rPr>
                <w:rStyle w:val="Text111"/>
              </w:rPr>
              <w:bookmarkStart w:id="3375" w:name="idm45965192690144"/>
              <w:t/>
              <w:bookmarkEnd w:id="3375"/>
            </w:r>
            <w:r>
              <w:t xml:space="preserve"> creates and returns a </w:t>
            </w:r>
            <w:r>
              <w:rPr>
                <w:rStyle w:val="Text0"/>
              </w:rPr>
              <w:t>Semaphore</w:t>
            </w:r>
            <w:r>
              <w:t xml:space="preserve"> object </w:t>
            </w:r>
            <w:r>
              <w:rPr>
                <w:rStyle w:val="Text3"/>
              </w:rPr>
              <w:t>s</w:t>
            </w:r>
            <w:r>
              <w:t xml:space="preserve"> with the state set to </w:t>
            </w:r>
            <w:r>
              <w:rPr>
                <w:rStyle w:val="Text0"/>
              </w:rPr>
              <w:t>n</w:t>
            </w:r>
            <w:r>
              <w:t xml:space="preserve">; </w:t>
            </w:r>
            <w:r>
              <w:rPr>
                <w:rStyle w:val="Text0"/>
              </w:rPr>
              <w:t>BoundedSemaphore</w:t>
            </w:r>
            <w:r>
              <w:rPr>
                <w:rStyle w:val="Text111"/>
              </w:rPr>
              <w:bookmarkStart w:id="3376" w:name="idm45965192686064"/>
              <w:t/>
              <w:bookmarkEnd w:id="3376"/>
            </w:r>
            <w:r>
              <w:t xml:space="preserve"> is very similar, except that </w:t>
            </w:r>
            <w:r>
              <w:rPr>
                <w:rStyle w:val="Text3"/>
              </w:rPr>
              <w:t>s</w:t>
            </w:r>
            <w:r>
              <w:rPr>
                <w:rStyle w:val="Text0"/>
              </w:rPr>
              <w:t>.release</w:t>
            </w:r>
            <w:r>
              <w:t xml:space="preserve"> raises </w:t>
            </w:r>
            <w:r>
              <w:rPr>
                <w:rStyle w:val="Text0"/>
              </w:rPr>
              <w:t>ValueError</w:t>
            </w:r>
            <w:r>
              <w:t xml:space="preserve"> if the state becomes higher than </w:t>
            </w:r>
            <w:r>
              <w:rPr>
                <w:rStyle w:val="Text0"/>
              </w:rPr>
              <w:t>n</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acquire</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.acquire(blocking=</w:t>
            </w:r>
            <w:r>
              <w:rPr>
                <w:rStyle w:val="Text5"/>
              </w:rPr>
              <w:t>True</w:t>
            </w:r>
            <w:r>
              <w:rPr>
                <w:rStyle w:val="Text0"/>
              </w:rPr>
              <w:t>)</w:t>
              <w:br w:clear="none"/>
            </w:r>
            <w:r>
              <w:t xml:space="preserve"> When</w:t>
            </w:r>
            <w:r>
              <w:rPr>
                <w:rStyle w:val="Text111"/>
              </w:rPr>
              <w:bookmarkStart w:id="3377" w:name="idm45965192678112"/>
              <w:t/>
              <w:bookmarkEnd w:id="3377"/>
            </w:r>
            <w:r>
              <w:t xml:space="preserve"> </w:t>
            </w:r>
            <w:r>
              <w:rPr>
                <w:rStyle w:val="Text3"/>
              </w:rPr>
              <w:t>s</w:t>
            </w:r>
            <w:r>
              <w:t xml:space="preserve">’s state is </w:t>
            </w:r>
            <w:r>
              <w:rPr>
                <w:rStyle w:val="Text0"/>
              </w:rPr>
              <w:t>&gt;0</w:t>
            </w:r>
            <w:r>
              <w:t xml:space="preserve">, </w:t>
            </w:r>
            <w:r>
              <w:rPr>
                <w:rStyle w:val="Text0"/>
              </w:rPr>
              <w:t>acquire</w:t>
            </w:r>
            <w:r>
              <w:t xml:space="preserve"> decrements the state by </w:t>
            </w:r>
            <w:r>
              <w:rPr>
                <w:rStyle w:val="Text0"/>
              </w:rPr>
              <w:t>1</w:t>
            </w:r>
            <w:r>
              <w:t xml:space="preserve"> and returns </w:t>
            </w:r>
            <w:r>
              <w:rPr>
                <w:rStyle w:val="Text5"/>
              </w:rPr>
              <w:t>True</w:t>
            </w:r>
            <w:r>
              <w:t xml:space="preserve">. When </w:t>
            </w:r>
            <w:r>
              <w:rPr>
                <w:rStyle w:val="Text3"/>
              </w:rPr>
              <w:t>s</w:t>
            </w:r>
            <w:r>
              <w:t xml:space="preserve">’s state is </w:t>
            </w:r>
            <w:r>
              <w:rPr>
                <w:rStyle w:val="Text0"/>
              </w:rPr>
              <w:t>0</w:t>
            </w:r>
            <w:r>
              <w:t xml:space="preserve"> and </w:t>
            </w:r>
            <w:r>
              <w:rPr>
                <w:rStyle w:val="Text0"/>
              </w:rPr>
              <w:t>blocking</w:t>
            </w:r>
            <w:r>
              <w:t xml:space="preserve"> is </w:t>
            </w:r>
            <w:r>
              <w:rPr>
                <w:rStyle w:val="Text5"/>
              </w:rPr>
              <w:t>True</w:t>
            </w:r>
            <w:r>
              <w:t xml:space="preserve">, </w:t>
            </w:r>
            <w:r>
              <w:rPr>
                <w:rStyle w:val="Text0"/>
              </w:rPr>
              <w:t>acquire</w:t>
            </w:r>
            <w:r>
              <w:t xml:space="preserve"> suspends the calling thread and waits until some other thread calls </w:t>
            </w:r>
            <w:r>
              <w:rPr>
                <w:rStyle w:val="Text3"/>
              </w:rPr>
              <w:t>s</w:t>
            </w:r>
            <w:r>
              <w:rPr>
                <w:rStyle w:val="Text0"/>
              </w:rPr>
              <w:t>.release</w:t>
            </w:r>
            <w:r>
              <w:t xml:space="preserve">. When </w:t>
            </w:r>
            <w:r>
              <w:rPr>
                <w:rStyle w:val="Text3"/>
              </w:rPr>
              <w:t>s</w:t>
            </w:r>
            <w:r>
              <w:t xml:space="preserve">’s state is </w:t>
            </w:r>
            <w:r>
              <w:rPr>
                <w:rStyle w:val="Text0"/>
              </w:rPr>
              <w:t>0</w:t>
            </w:r>
            <w:r>
              <w:t xml:space="preserve"> and </w:t>
            </w:r>
            <w:r>
              <w:rPr>
                <w:rStyle w:val="Text0"/>
              </w:rPr>
              <w:t>blocking</w:t>
            </w:r>
            <w:r>
              <w:t xml:space="preserve"> is </w:t>
            </w:r>
            <w:r>
              <w:rPr>
                <w:rStyle w:val="Text5"/>
              </w:rPr>
              <w:t>False</w:t>
            </w:r>
            <w:r>
              <w:t xml:space="preserve">, </w:t>
            </w:r>
            <w:r>
              <w:rPr>
                <w:rStyle w:val="Text0"/>
              </w:rPr>
              <w:t>acquire</w:t>
            </w:r>
            <w:r>
              <w:t xml:space="preserve"> immediately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release</w:t>
            </w:r>
          </w:p>
        </w:tc>
        <w:tc>
          <w:tcPr>
            <w:tcW w:type="auto" w:w="0"/>
            <w:tcMar>
              <w:left w:type="dxa" w:w="200"/>
              <w:top w:type="dxa" w:w="200"/>
              <w:right w:type="dxa" w:w="200"/>
              <w:bottom w:type="dxa" w:w="200"/>
            </w:tcMar>
          </w:tcPr>
          <w:p>
            <w:pPr>
              <w:pStyle w:val="Para 002"/>
            </w:pPr>
            <w:r>
              <w:rPr>
                <w:rStyle w:val="Text3"/>
              </w:rPr>
              <w:t>s</w:t>
            </w:r>
            <w:r>
              <w:rPr>
                <w:rStyle w:val="Text0"/>
              </w:rPr>
              <w:t>.release()</w:t>
              <w:br w:clear="none"/>
            </w:r>
            <w:r>
              <w:t xml:space="preserve"> When</w:t>
            </w:r>
            <w:r>
              <w:rPr>
                <w:rStyle w:val="Text111"/>
              </w:rPr>
              <w:bookmarkStart w:id="3378" w:name="idm45965192660224"/>
              <w:t/>
              <w:bookmarkEnd w:id="3378"/>
            </w:r>
            <w:r>
              <w:t xml:space="preserve"> </w:t>
            </w:r>
            <w:r>
              <w:rPr>
                <w:rStyle w:val="Text3"/>
              </w:rPr>
              <w:t>s</w:t>
            </w:r>
            <w:r>
              <w:t xml:space="preserve">’s state is </w:t>
            </w:r>
            <w:r>
              <w:rPr>
                <w:rStyle w:val="Text0"/>
              </w:rPr>
              <w:t>&gt;0</w:t>
            </w:r>
            <w:r>
              <w:t xml:space="preserve">, or when the state is </w:t>
            </w:r>
            <w:r>
              <w:rPr>
                <w:rStyle w:val="Text0"/>
              </w:rPr>
              <w:t>0</w:t>
            </w:r>
            <w:r>
              <w:t xml:space="preserve"> but no thread is waiting on </w:t>
            </w:r>
            <w:r>
              <w:rPr>
                <w:rStyle w:val="Text3"/>
              </w:rPr>
              <w:t>s</w:t>
            </w:r>
            <w:r>
              <w:t xml:space="preserve">, </w:t>
            </w:r>
            <w:r>
              <w:rPr>
                <w:rStyle w:val="Text0"/>
              </w:rPr>
              <w:t>release</w:t>
            </w:r>
            <w:r>
              <w:t xml:space="preserve"> increments the state by </w:t>
            </w:r>
            <w:r>
              <w:rPr>
                <w:rStyle w:val="Text0"/>
              </w:rPr>
              <w:t>1</w:t>
            </w:r>
            <w:r>
              <w:t xml:space="preserve">. When </w:t>
            </w:r>
            <w:r>
              <w:rPr>
                <w:rStyle w:val="Text3"/>
              </w:rPr>
              <w:t>s</w:t>
            </w:r>
            <w:r>
              <w:t xml:space="preserve">’s state is </w:t>
            </w:r>
            <w:r>
              <w:rPr>
                <w:rStyle w:val="Text0"/>
              </w:rPr>
              <w:t>0</w:t>
            </w:r>
            <w:r>
              <w:t xml:space="preserve"> and some threads are waiting on </w:t>
            </w:r>
            <w:r>
              <w:rPr>
                <w:rStyle w:val="Text3"/>
              </w:rPr>
              <w:t>s</w:t>
            </w:r>
            <w:r>
              <w:t xml:space="preserve">, </w:t>
            </w:r>
            <w:r>
              <w:rPr>
                <w:rStyle w:val="Text0"/>
              </w:rPr>
              <w:t>release</w:t>
            </w:r>
            <w:r>
              <w:t xml:space="preserve"> leaves </w:t>
            </w:r>
            <w:r>
              <w:rPr>
                <w:rStyle w:val="Text3"/>
              </w:rPr>
              <w:t>s</w:t>
            </w:r>
            <w:r>
              <w:t xml:space="preserve">’s state at </w:t>
            </w:r>
            <w:r>
              <w:rPr>
                <w:rStyle w:val="Text0"/>
              </w:rPr>
              <w:t>0</w:t>
            </w:r>
            <w:r>
              <w:t xml:space="preserve"> and wakes up an arbitrary one of the waiting threads. The thread that calls </w:t>
            </w:r>
            <w:r>
              <w:rPr>
                <w:rStyle w:val="Text0"/>
              </w:rPr>
              <w:t>release</w:t>
            </w:r>
            <w:r>
              <w:t xml:space="preserve"> does not suspend; it remains ready and continues to execute normally.</w:t>
            </w:r>
          </w:p>
        </w:tc>
      </w:tr>
    </w:tbl>
    <w:p>
      <w:bookmarkStart w:id="3379" w:name="Timer_objects__A_Timer_object_ca"/>
      <w:pPr>
        <w:keepNext/>
        <w:pStyle w:val="Heading 2"/>
      </w:pPr>
      <w:r>
        <w:t>Timer objects</w:t>
      </w:r>
      <w:bookmarkEnd w:id="3379"/>
    </w:p>
    <w:p>
      <w:pPr>
        <w:pStyle w:val="Normal"/>
      </w:pPr>
      <w:r>
        <w:t xml:space="preserve">A </w:t>
      </w:r>
      <w:r>
        <w:rPr>
          <w:rStyle w:val="Text0"/>
        </w:rPr>
        <w:t>Timer</w:t>
      </w:r>
      <w:r>
        <w:t xml:space="preserve"> object calls a specified callable, in a newly made thread, after a given delay. The class </w:t>
      </w:r>
      <w:r>
        <w:rPr>
          <w:rStyle w:val="Text0"/>
        </w:rPr>
        <w:t>Timer</w:t>
      </w:r>
      <w:r>
        <w:t xml:space="preserve"> exposes the constructor and methods in </w:t>
      </w:r>
      <w:hyperlink w:anchor="Table_15_7__Constructor_and_meth">
        <w:r>
          <w:rPr>
            <w:rStyle w:val="Text1"/>
          </w:rPr>
          <w:t>Table 15-7</w:t>
        </w:r>
      </w:hyperlink>
      <w:r>
        <w:t>.</w:t>
      </w:r>
    </w:p>
    <w:tbl>
      <w:tblPr>
        <w:tblW w:type="auto" w:w="0"/>
      </w:tblPr>
      <w:tr>
        <w:tc>
          <w:tcPr>
            <w:tcW w:type="auto" w:w="0"/>
            <w:tcMar>
              <w:left w:type="dxa" w:w="200"/>
              <w:top w:type="dxa" w:w="200"/>
              <w:right w:type="dxa" w:w="200"/>
              <w:bottom w:type="dxa" w:w="200"/>
            </w:tcMar>
          </w:tcPr>
          <w:p>
            <w:bookmarkStart w:id="3380" w:name="Table_15_7__Constructor_and_meth"/>
            <w:pPr>
              <w:pStyle w:val="Para 011"/>
            </w:pPr>
            <w:r>
              <w:rPr>
                <w:rStyle w:val="Text117"/>
              </w:rPr>
              <w:t/>
            </w:r>
            <w:r>
              <w:t xml:space="preserve">Table 15-7. </w:t>
              <w:t xml:space="preserve">Constructor and methods of the </w:t>
            </w:r>
            <w:r>
              <w:rPr>
                <w:rStyle w:val="Text0"/>
              </w:rPr>
              <w:t>Timer</w:t>
            </w:r>
            <w:r>
              <w:t xml:space="preserve"> class</w:t>
            </w:r>
            <w:bookmarkEnd w:id="3380"/>
          </w:p>
          <w:p>
            <w:pPr>
              <w:pStyle w:val="Para 001"/>
            </w:pPr>
            <w:r>
              <w:t>Timer</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Timer(</w:t>
            </w:r>
            <w:r>
              <w:rPr>
                <w:rStyle w:val="Text3"/>
              </w:rPr>
              <w:t>interval</w:t>
            </w:r>
            <w:r>
              <w:rPr>
                <w:rStyle w:val="Text0"/>
              </w:rPr>
              <w:t>,</w:t>
            </w:r>
            <w:r>
              <w:t xml:space="preserve"> </w:t>
            </w:r>
            <w:r>
              <w:rPr>
                <w:rStyle w:val="Text3"/>
              </w:rPr>
              <w:t>callback</w:t>
            </w:r>
            <w:r>
              <w:rPr>
                <w:rStyle w:val="Text0"/>
              </w:rPr>
              <w:t>, args=</w:t>
            </w:r>
            <w:r>
              <w:rPr>
                <w:rStyle w:val="Text5"/>
              </w:rPr>
              <w:t>None</w:t>
            </w:r>
            <w:r>
              <w:rPr>
                <w:rStyle w:val="Text0"/>
              </w:rPr>
              <w:t>, kwargs=</w:t>
            </w:r>
            <w:r>
              <w:rPr>
                <w:rStyle w:val="Text5"/>
              </w:rPr>
              <w:t>None</w:t>
            </w:r>
            <w:r>
              <w:rPr>
                <w:rStyle w:val="Text0"/>
              </w:rPr>
              <w:t>)</w:t>
              <w:br w:clear="none"/>
            </w:r>
            <w:r>
              <w:t xml:space="preserve"> Creates</w:t>
            </w:r>
            <w:r>
              <w:rPr>
                <w:rStyle w:val="Text111"/>
              </w:rPr>
              <w:bookmarkStart w:id="3381" w:name="idm45965192635984"/>
              <w:t/>
              <w:bookmarkEnd w:id="3381"/>
            </w:r>
            <w:r>
              <w:t xml:space="preserve"> an object </w:t>
            </w:r>
            <w:r>
              <w:rPr>
                <w:rStyle w:val="Text3"/>
              </w:rPr>
              <w:t>t</w:t>
            </w:r>
            <w:r>
              <w:t xml:space="preserve"> that calls </w:t>
            </w:r>
            <w:r>
              <w:rPr>
                <w:rStyle w:val="Text3"/>
              </w:rPr>
              <w:t>callback</w:t>
            </w:r>
            <w:r>
              <w:rPr>
                <w:rStyle w:val="Text4"/>
              </w:rPr>
              <w:t>,</w:t>
            </w:r>
            <w:r>
              <w:t xml:space="preserve"> </w:t>
            </w:r>
            <w:r>
              <w:rPr>
                <w:rStyle w:val="Text3"/>
              </w:rPr>
              <w:t>interval</w:t>
            </w:r>
            <w:r>
              <w:t xml:space="preserve"> seconds after starting (</w:t>
            </w:r>
            <w:r>
              <w:rPr>
                <w:rStyle w:val="Text3"/>
              </w:rPr>
              <w:t>interval</w:t>
            </w:r>
            <w:r>
              <w:t xml:space="preserve"> is a floating-point number of seconds).</w:t>
            </w:r>
          </w:p>
        </w:tc>
      </w:tr>
    </w:tbl>
    <w:tbl>
      <w:tblPr>
        <w:tblW w:type="auto" w:w="0"/>
      </w:tblPr>
      <w:tr>
        <w:tc>
          <w:tcPr>
            <w:tcW w:type="auto" w:w="0"/>
            <w:shd w:val="clear" w:color="auto" w:fill="EEF2F6"/>
            <w:tcMar>
              <w:left w:type="dxa" w:w="200"/>
              <w:top w:type="dxa" w:w="200"/>
              <w:right w:type="dxa" w:w="200"/>
              <w:bottom w:type="dxa" w:w="200"/>
            </w:tcMar>
          </w:tcPr>
          <w:p>
            <w:pPr>
              <w:pStyle w:val="Para 001"/>
            </w:pPr>
            <w:r>
              <w:t>cancel</w:t>
            </w:r>
          </w:p>
        </w:tc>
        <w:tc>
          <w:tcPr>
            <w:tcW w:type="auto" w:w="0"/>
            <w:shd w:val="clear" w:color="auto" w:fill="EEF2F6"/>
            <w:tcMar>
              <w:left w:type="dxa" w:w="200"/>
              <w:top w:type="dxa" w:w="200"/>
              <w:right w:type="dxa" w:w="200"/>
              <w:bottom w:type="dxa" w:w="200"/>
            </w:tcMar>
          </w:tcPr>
          <w:p>
            <w:pPr>
              <w:pStyle w:val="Para 002"/>
            </w:pPr>
            <w:r>
              <w:rPr>
                <w:rStyle w:val="Text3"/>
              </w:rPr>
              <w:t>t</w:t>
            </w:r>
            <w:r>
              <w:rPr>
                <w:rStyle w:val="Text0"/>
              </w:rPr>
              <w:t>.cancel()</w:t>
              <w:br w:clear="none"/>
            </w:r>
            <w:r>
              <w:t xml:space="preserve"> Stops</w:t>
            </w:r>
            <w:r>
              <w:rPr>
                <w:rStyle w:val="Text111"/>
              </w:rPr>
              <w:bookmarkStart w:id="3382" w:name="idm45965192627984"/>
              <w:t/>
              <w:bookmarkEnd w:id="3382"/>
            </w:r>
            <w:r>
              <w:t xml:space="preserve"> the timer and cancels the execution of its action, as long as </w:t>
            </w:r>
            <w:r>
              <w:rPr>
                <w:rStyle w:val="Text3"/>
              </w:rPr>
              <w:t>t</w:t>
            </w:r>
            <w:r>
              <w:t xml:space="preserve"> is still waiting (hasn’t called its callback yet) when you call </w:t>
            </w:r>
            <w:r>
              <w:rPr>
                <w:rStyle w:val="Text0"/>
              </w:rPr>
              <w:t>cancel</w:t>
            </w:r>
            <w:r>
              <w:t>.</w:t>
            </w:r>
          </w:p>
        </w:tc>
      </w:tr>
    </w:tbl>
    <w:tbl>
      <w:tblPr>
        <w:tblW w:type="auto" w:w="0"/>
      </w:tblPr>
      <w:tr>
        <w:tc>
          <w:tcPr>
            <w:tcW w:type="auto" w:w="0"/>
            <w:tcMar>
              <w:left w:type="dxa" w:w="200"/>
              <w:top w:type="dxa" w:w="200"/>
              <w:right w:type="dxa" w:w="200"/>
              <w:bottom w:type="dxa" w:w="200"/>
            </w:tcMar>
          </w:tcPr>
          <w:p>
            <w:pPr>
              <w:pStyle w:val="Para 001"/>
            </w:pPr>
            <w:r>
              <w:t>start</w:t>
            </w:r>
          </w:p>
        </w:tc>
        <w:tc>
          <w:tcPr>
            <w:tcW w:type="auto" w:w="0"/>
            <w:tcMar>
              <w:left w:type="dxa" w:w="200"/>
              <w:top w:type="dxa" w:w="200"/>
              <w:right w:type="dxa" w:w="200"/>
              <w:bottom w:type="dxa" w:w="200"/>
            </w:tcMar>
          </w:tcPr>
          <w:p>
            <w:pPr>
              <w:pStyle w:val="Para 002"/>
            </w:pPr>
            <w:r>
              <w:rPr>
                <w:rStyle w:val="Text3"/>
              </w:rPr>
              <w:t>t</w:t>
            </w:r>
            <w:r>
              <w:rPr>
                <w:rStyle w:val="Text0"/>
              </w:rPr>
              <w:t>.start()</w:t>
              <w:br w:clear="none"/>
            </w:r>
            <w:r>
              <w:t xml:space="preserve"> Starts</w:t>
            </w:r>
            <w:r>
              <w:rPr>
                <w:rStyle w:val="Text111"/>
              </w:rPr>
              <w:bookmarkStart w:id="3383" w:name="idm45965192622080"/>
              <w:t/>
              <w:bookmarkEnd w:id="3383"/>
            </w:r>
            <w:r>
              <w:t xml:space="preserve"> </w:t>
            </w:r>
            <w:r>
              <w:rPr>
                <w:rStyle w:val="Text3"/>
              </w:rPr>
              <w:t>t</w:t>
            </w:r>
            <w:r>
              <w:t>.</w:t>
            </w:r>
          </w:p>
        </w:tc>
      </w:tr>
    </w:tbl>
    <w:p>
      <w:pPr>
        <w:pStyle w:val="Normal"/>
      </w:pPr>
      <w:r>
        <w:rPr>
          <w:rStyle w:val="Text0"/>
        </w:rPr>
        <w:t>Timer</w:t>
      </w:r>
      <w:r>
        <w:t xml:space="preserve"> extends </w:t>
      </w:r>
      <w:r>
        <w:rPr>
          <w:rStyle w:val="Text0"/>
        </w:rPr>
        <w:t>Thread</w:t>
      </w:r>
      <w:r>
        <w:t xml:space="preserve"> and adds the attributes </w:t>
      </w:r>
      <w:r>
        <w:rPr>
          <w:rStyle w:val="Text0"/>
        </w:rPr>
        <w:t>function</w:t>
      </w:r>
      <w:r>
        <w:t xml:space="preserve">, </w:t>
      </w:r>
      <w:r>
        <w:rPr>
          <w:rStyle w:val="Text0"/>
        </w:rPr>
        <w:t>interval</w:t>
      </w:r>
      <w:r>
        <w:t xml:space="preserve">, </w:t>
      </w:r>
      <w:r>
        <w:rPr>
          <w:rStyle w:val="Text0"/>
        </w:rPr>
        <w:t>args</w:t>
      </w:r>
      <w:r>
        <w:t xml:space="preserve">, and </w:t>
      </w:r>
      <w:r>
        <w:rPr>
          <w:rStyle w:val="Text0"/>
        </w:rPr>
        <w:t>kwargs</w:t>
      </w:r>
      <w:r>
        <w:t>.</w:t>
      </w:r>
    </w:p>
    <w:p>
      <w:pPr>
        <w:pStyle w:val="Normal"/>
      </w:pPr>
      <w:r>
        <w:t>A</w:t>
      </w:r>
      <w:r>
        <w:rPr>
          <w:rStyle w:val="Text111"/>
        </w:rPr>
        <w:bookmarkStart w:id="3384" w:name="idm45965192614288"/>
        <w:t/>
        <w:bookmarkEnd w:id="3384"/>
      </w:r>
      <w:r>
        <w:t xml:space="preserve"> </w:t>
      </w:r>
      <w:r>
        <w:rPr>
          <w:rStyle w:val="Text0"/>
        </w:rPr>
        <w:t>Timer</w:t>
      </w:r>
      <w:r>
        <w:t xml:space="preserve"> is “one-shot”: </w:t>
      </w:r>
      <w:r>
        <w:rPr>
          <w:rStyle w:val="Text3"/>
        </w:rPr>
        <w:t>t</w:t>
      </w:r>
      <w:r>
        <w:t xml:space="preserve"> calls its callback only once. To call </w:t>
      </w:r>
      <w:r>
        <w:rPr>
          <w:rStyle w:val="Text3"/>
        </w:rPr>
        <w:t>callback</w:t>
      </w:r>
      <w:r>
        <w:t xml:space="preserve"> periodically, every </w:t>
      </w:r>
      <w:r>
        <w:rPr>
          <w:rStyle w:val="Text3"/>
        </w:rPr>
        <w:t>interval</w:t>
      </w:r>
      <w:r>
        <w:t xml:space="preserve"> seconds, here’s a simple recipe—the </w:t>
      </w:r>
      <w:r>
        <w:rPr>
          <w:rStyle w:val="Text0"/>
        </w:rPr>
        <w:t>Periodic</w:t>
      </w:r>
      <w:r>
        <w:t xml:space="preserve"> timer runs </w:t>
      </w:r>
      <w:r>
        <w:rPr>
          <w:rStyle w:val="Text3"/>
        </w:rPr>
        <w:t>callback</w:t>
      </w:r>
      <w:r>
        <w:t xml:space="preserve"> every </w:t>
      </w:r>
      <w:r>
        <w:rPr>
          <w:rStyle w:val="Text3"/>
        </w:rPr>
        <w:t>interval</w:t>
      </w:r>
      <w:r>
        <w:t xml:space="preserve"> seconds, stopping only when </w:t>
      </w:r>
      <w:r>
        <w:rPr>
          <w:rStyle w:val="Text3"/>
        </w:rPr>
        <w:t>callback</w:t>
      </w:r>
      <w:r>
        <w:t xml:space="preserve"> raises an exception:</w:t>
      </w:r>
    </w:p>
    <w:p>
      <w:pPr>
        <w:pStyle w:val="Para 007"/>
      </w:pPr>
      <w:r>
        <w:rPr>
          <w:rStyle w:val="Text23"/>
        </w:rPr>
        <w:t xml:space="preserve"/>
        <w:br w:clear="none"/>
      </w:r>
      <w:r>
        <w:rPr>
          <w:rStyle w:val="Text10"/>
        </w:rPr>
        <w:t xml:space="preserve">class</w:t>
        <w:br w:clear="none"/>
      </w:r>
      <w:r>
        <w:rPr>
          <w:rStyle w:val="Text6"/>
        </w:rPr>
        <w:t xml:space="preserve"> </w:t>
        <w:br w:clear="none"/>
      </w:r>
      <w:r>
        <w:rPr>
          <w:rStyle w:val="Text33"/>
        </w:rPr>
        <w:t xml:space="preserve">Periodic</w:t>
        <w:br w:clear="none"/>
      </w:r>
      <w:r>
        <w:rPr>
          <w:rStyle w:val="Text7"/>
        </w:rPr>
        <w:t xml:space="preserve">(</w:t>
        <w:br w:clear="none"/>
      </w:r>
      <w:r>
        <w:t xml:space="preserve">threading</w:t>
        <w:br w:clear="none"/>
      </w:r>
      <w:r>
        <w:rPr>
          <w:rStyle w:val="Text13"/>
        </w:rPr>
        <w:t xml:space="preserve">.</w:t>
        <w:br w:clear="none"/>
      </w:r>
      <w:r>
        <w:t xml:space="preserve">Timer</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interval</w:t>
        <w:br w:clear="none"/>
      </w:r>
      <w:r>
        <w:rPr>
          <w:rStyle w:val="Text7"/>
        </w:rPr>
        <w:t xml:space="preserve">,</w:t>
        <w:br w:clear="none"/>
      </w:r>
      <w:r>
        <w:rPr>
          <w:rStyle w:val="Text6"/>
        </w:rPr>
        <w:t xml:space="preserve"> </w:t>
        <w:br w:clear="none"/>
      </w:r>
      <w:r>
        <w:t xml:space="preserve">callback</w:t>
        <w:br w:clear="none"/>
      </w:r>
      <w:r>
        <w:rPr>
          <w:rStyle w:val="Text7"/>
        </w:rPr>
        <w:t xml:space="preserve">,</w:t>
        <w:br w:clear="none"/>
      </w:r>
      <w:r>
        <w:rPr>
          <w:rStyle w:val="Text6"/>
        </w:rPr>
        <w:t xml:space="preserve"> </w:t>
        <w:br w:clear="none"/>
      </w:r>
      <w:r>
        <w:t xml:space="preserve">args</w:t>
        <w:br w:clear="none"/>
      </w:r>
      <w:r>
        <w:rPr>
          <w:rStyle w:val="Text13"/>
        </w:rPr>
        <w:t xml:space="preserve">=</w:t>
        <w:br w:clear="none"/>
      </w:r>
      <w:r>
        <w:rPr>
          <w:rStyle w:val="Text10"/>
        </w:rPr>
        <w:t xml:space="preserve">None</w:t>
        <w:br w:clear="none"/>
      </w:r>
      <w:r>
        <w:rPr>
          <w:rStyle w:val="Text7"/>
        </w:rPr>
        <w:t xml:space="preserve">,</w:t>
        <w:br w:clear="none"/>
      </w:r>
      <w:r>
        <w:rPr>
          <w:rStyle w:val="Text6"/>
        </w:rPr>
        <w:t xml:space="preserve"> </w:t>
        <w:br w:clear="none"/>
      </w:r>
      <w:r>
        <w:t xml:space="preserve">kwargs</w:t>
        <w:br w:clear="none"/>
      </w:r>
      <w:r>
        <w:rPr>
          <w:rStyle w:val="Text13"/>
        </w:rPr>
        <w:t xml:space="preserve">=</w:t>
        <w:br w:clear="none"/>
      </w:r>
      <w:r>
        <w:rPr>
          <w:rStyle w:val="Text10"/>
        </w:rPr>
        <w:t xml:space="preserve">None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6"/>
        </w:rPr>
        <w:t xml:space="preserve">__init__</w:t>
        <w:br w:clear="none"/>
      </w:r>
      <w:r>
        <w:rPr>
          <w:rStyle w:val="Text7"/>
        </w:rPr>
        <w:t xml:space="preserve">(</w:t>
        <w:br w:clear="none"/>
      </w:r>
      <w:r>
        <w:t xml:space="preserve">interval</w:t>
        <w:br w:clear="none"/>
      </w:r>
      <w:r>
        <w:rPr>
          <w:rStyle w:val="Text7"/>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_f</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r>
        <w:rPr>
          <w:rStyle w:val="Text6"/>
        </w:rPr>
        <w:t xml:space="preserve"> </w:t>
        <w:br w:clear="none"/>
      </w:r>
      <w:r>
        <w:t xml:space="preserve">kwargs</w:t>
        <w:br w:clear="none"/>
      </w:r>
      <w:r>
        <w:rPr>
          <w:rStyle w:val="Text7"/>
        </w:rPr>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callback</w:t>
        <w:br w:clear="none"/>
      </w:r>
      <w:r>
        <w:rPr>
          <w:rStyle w:val="Text6"/>
        </w:rPr>
        <w:t xml:space="preserve"> </w:t>
        <w:br w:clear="none"/>
      </w:r>
      <w:r>
        <w:rPr>
          <w:rStyle w:val="Text13"/>
        </w:rPr>
        <w:t xml:space="preserve">=</w:t>
        <w:br w:clear="none"/>
      </w:r>
      <w:r>
        <w:rPr>
          <w:rStyle w:val="Text6"/>
        </w:rPr>
        <w:t xml:space="preserve"> </w:t>
        <w:br w:clear="none"/>
      </w:r>
      <w:r>
        <w:t xml:space="preserve">callback</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_f</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kwargs</w:t>
        <w:br w:clear="none"/>
      </w:r>
      <w:r>
        <w:rPr>
          <w:rStyle w:val="Text7"/>
        </w:rPr>
        <w:t xml:space="preserve">)</w:t>
        <w:br w:clear="none"/>
        <w:t xml:space="preserve">:</w:t>
        <w:br w:clear="none"/>
      </w:r>
      <w:r>
        <w:rPr>
          <w:rStyle w:val="Text6"/>
        </w:rPr>
        <w:t xml:space="preserve"/>
        <w:br w:clear="none"/>
        <w:t xml:space="preserve">        </w:t>
        <w:br w:clear="none"/>
      </w:r>
      <w:r>
        <w:t xml:space="preserve">p</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type</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16"/>
        </w:rPr>
        <w:t xml:space="preserve">self</w:t>
        <w:br w:clear="none"/>
      </w:r>
      <w:r>
        <w:rPr>
          <w:rStyle w:val="Text13"/>
        </w:rPr>
        <w:t xml:space="preserve">.</w:t>
        <w:br w:clear="none"/>
      </w:r>
      <w:r>
        <w:t xml:space="preserve">interval</w:t>
        <w:br w:clear="none"/>
      </w:r>
      <w:r>
        <w:rPr>
          <w:rStyle w:val="Text7"/>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callback</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r>
        <w:rPr>
          <w:rStyle w:val="Text6"/>
        </w:rPr>
        <w:t xml:space="preserve"> </w:t>
        <w:br w:clear="none"/>
      </w:r>
      <w:r>
        <w:t xml:space="preserve">kwargs</w:t>
        <w:br w:clear="none"/>
      </w:r>
      <w:r>
        <w:rPr>
          <w:rStyle w:val="Text7"/>
        </w:rPr>
        <w:t xml:space="preserve">)</w:t>
        <w:br w:clear="none"/>
      </w:r>
      <w:r>
        <w:rPr>
          <w:rStyle w:val="Text6"/>
        </w:rPr>
        <w:t xml:space="preserve"/>
        <w:br w:clear="none"/>
        <w:t xml:space="preserve">        </w:t>
        <w:br w:clear="none"/>
      </w:r>
      <w:r>
        <w:t xml:space="preserve">p</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callback</w:t>
        <w:br w:clear="none"/>
      </w:r>
      <w:r>
        <w:rPr>
          <w:rStyle w:val="Text7"/>
        </w:rPr>
        <w:t xml:space="preserve">(</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kwargs</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rPr>
          <w:rStyle w:val="Text36"/>
        </w:rPr>
        <w:t xml:space="preserve">Exception</w:t>
        <w:br w:clear="none"/>
      </w:r>
      <w:r>
        <w:rPr>
          <w:rStyle w:val="Text7"/>
        </w:rPr>
        <w:t xml:space="preserve">:</w:t>
        <w:br w:clear="none"/>
      </w:r>
      <w:r>
        <w:rPr>
          <w:rStyle w:val="Text6"/>
        </w:rPr>
        <w:t xml:space="preserve"/>
        <w:br w:clear="none"/>
        <w:t xml:space="preserve">            </w:t>
        <w:br w:clear="none"/>
      </w:r>
      <w:r>
        <w:t xml:space="preserve">p</w:t>
        <w:br w:clear="none"/>
      </w:r>
      <w:r>
        <w:rPr>
          <w:rStyle w:val="Text13"/>
        </w:rPr>
        <w:t xml:space="preserve">.</w:t>
        <w:br w:clear="none"/>
      </w:r>
      <w:r>
        <w:t xml:space="preserve">cancel</w:t>
        <w:br w:clear="none"/>
      </w:r>
      <w:r>
        <w:rPr>
          <w:rStyle w:val="Text7"/>
        </w:rPr>
        <w:t xml:space="preserve">(</w:t>
        <w:br w:clear="none"/>
        <w:t xml:space="preserve">)</w:t>
        <w:br w:clear="none"/>
      </w:r>
    </w:p>
    <w:p>
      <w:bookmarkStart w:id="3385" w:name="Barrier_objects__A_Barrier_is_a"/>
      <w:pPr>
        <w:keepNext/>
        <w:pStyle w:val="Heading 2"/>
      </w:pPr>
      <w:r>
        <w:t>Barrier objects</w:t>
      </w:r>
      <w:bookmarkEnd w:id="3385"/>
    </w:p>
    <w:p>
      <w:pPr>
        <w:pStyle w:val="Normal"/>
      </w:pPr>
      <w:r>
        <w:t>A</w:t>
      </w:r>
      <w:r>
        <w:rPr>
          <w:rStyle w:val="Text111"/>
        </w:rPr>
        <w:bookmarkStart w:id="3386" w:name="idm45965192486192"/>
        <w:t/>
        <w:bookmarkEnd w:id="3386"/>
      </w:r>
      <w:r>
        <w:t xml:space="preserve"> </w:t>
      </w:r>
      <w:r>
        <w:rPr>
          <w:rStyle w:val="Text0"/>
        </w:rPr>
        <w:t>Barrier</w:t>
      </w:r>
      <w:r>
        <w:t xml:space="preserve"> is a synchronization primitive allowing a certain number of threads to wait until they’ve all reached a certain point in their execution, at which point they all resume. Specifically, when a thread calls </w:t>
      </w:r>
      <w:r>
        <w:rPr>
          <w:rStyle w:val="Text3"/>
        </w:rPr>
        <w:t>b</w:t>
      </w:r>
      <w:r>
        <w:rPr>
          <w:rStyle w:val="Text0"/>
        </w:rPr>
        <w:t>.wait</w:t>
      </w:r>
      <w:r>
        <w:t xml:space="preserve">, it blocks until the specified number of threads have made the same call on </w:t>
      </w:r>
      <w:r>
        <w:rPr>
          <w:rStyle w:val="Text3"/>
        </w:rPr>
        <w:t>b</w:t>
      </w:r>
      <w:r>
        <w:t xml:space="preserve">; at that time, all the threads blocked on </w:t>
      </w:r>
      <w:r>
        <w:rPr>
          <w:rStyle w:val="Text3"/>
        </w:rPr>
        <w:t>b</w:t>
      </w:r>
      <w:r>
        <w:t xml:space="preserve"> are allowed to resume.</w:t>
      </w:r>
    </w:p>
    <w:p>
      <w:pPr>
        <w:pStyle w:val="Normal"/>
      </w:pPr>
      <w:r>
        <w:t xml:space="preserve">The </w:t>
      </w:r>
      <w:r>
        <w:rPr>
          <w:rStyle w:val="Text0"/>
        </w:rPr>
        <w:t>Barrier</w:t>
      </w:r>
      <w:r>
        <w:t xml:space="preserve"> class exposes the constructor, methods, and properties listed in </w:t>
      </w:r>
      <w:hyperlink w:anchor="Table_15_8__Constructor__methods">
        <w:r>
          <w:rPr>
            <w:rStyle w:val="Text1"/>
          </w:rPr>
          <w:t>Table 15-8</w:t>
        </w:r>
      </w:hyperlink>
      <w:r>
        <w:t>.</w:t>
      </w:r>
    </w:p>
    <w:tbl>
      <w:tblPr>
        <w:tblW w:type="auto" w:w="0"/>
      </w:tblPr>
      <w:tr>
        <w:tc>
          <w:tcPr>
            <w:tcW w:type="auto" w:w="0"/>
            <w:tcMar>
              <w:left w:type="dxa" w:w="200"/>
              <w:top w:type="dxa" w:w="200"/>
              <w:right w:type="dxa" w:w="200"/>
              <w:bottom w:type="dxa" w:w="200"/>
            </w:tcMar>
          </w:tcPr>
          <w:p>
            <w:bookmarkStart w:id="3387" w:name="Table_15_8__Constructor__methods"/>
            <w:pPr>
              <w:pStyle w:val="Para 011"/>
            </w:pPr>
            <w:r>
              <w:rPr>
                <w:rStyle w:val="Text117"/>
              </w:rPr>
              <w:t/>
            </w:r>
            <w:r>
              <w:t xml:space="preserve">Table 15-8. </w:t>
              <w:t xml:space="preserve">Constructor, methods, and properties of the </w:t>
            </w:r>
            <w:r>
              <w:rPr>
                <w:rStyle w:val="Text0"/>
              </w:rPr>
              <w:t>Barrier</w:t>
            </w:r>
            <w:r>
              <w:t xml:space="preserve"> class</w:t>
            </w:r>
            <w:bookmarkEnd w:id="3387"/>
          </w:p>
          <w:p>
            <w:pPr>
              <w:pStyle w:val="Para 001"/>
            </w:pPr>
            <w:r>
              <w:t>Barrier</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Barrier(</w:t>
            </w:r>
            <w:r>
              <w:rPr>
                <w:rStyle w:val="Text3"/>
              </w:rPr>
              <w:t>num_threads</w:t>
            </w:r>
            <w:r>
              <w:rPr>
                <w:rStyle w:val="Text0"/>
              </w:rPr>
              <w:t>, action=</w:t>
            </w:r>
            <w:r>
              <w:rPr>
                <w:rStyle w:val="Text5"/>
              </w:rPr>
              <w:t>None</w:t>
            </w:r>
            <w:r>
              <w:rPr>
                <w:rStyle w:val="Text0"/>
              </w:rPr>
              <w:t>, timeout=</w:t>
            </w:r>
            <w:r>
              <w:rPr>
                <w:rStyle w:val="Text5"/>
              </w:rPr>
              <w:t>None</w:t>
            </w:r>
            <w:r>
              <w:rPr>
                <w:rStyle w:val="Text0"/>
              </w:rPr>
              <w:t>)</w:t>
              <w:br w:clear="none"/>
            </w:r>
            <w:r>
              <w:t xml:space="preserve"> Creates</w:t>
            </w:r>
            <w:r>
              <w:rPr>
                <w:rStyle w:val="Text111"/>
              </w:rPr>
              <w:bookmarkStart w:id="3388" w:name="idm45965192432608"/>
              <w:t/>
              <w:bookmarkEnd w:id="3388"/>
            </w:r>
            <w:r>
              <w:t xml:space="preserve"> a </w:t>
            </w:r>
            <w:r>
              <w:rPr>
                <w:rStyle w:val="Text0"/>
              </w:rPr>
              <w:t>Barrier</w:t>
            </w:r>
            <w:r>
              <w:t xml:space="preserve"> object </w:t>
            </w:r>
            <w:r>
              <w:rPr>
                <w:rStyle w:val="Text3"/>
              </w:rPr>
              <w:t>b</w:t>
            </w:r>
            <w:r>
              <w:t xml:space="preserve"> for </w:t>
            </w:r>
            <w:r>
              <w:rPr>
                <w:rStyle w:val="Text3"/>
              </w:rPr>
              <w:t>num_threads</w:t>
            </w:r>
            <w:r>
              <w:t xml:space="preserve"> threads. </w:t>
            </w:r>
            <w:r>
              <w:rPr>
                <w:rStyle w:val="Text0"/>
              </w:rPr>
              <w:t>action</w:t>
            </w:r>
            <w:r>
              <w:t xml:space="preserve"> is a callable without arguments: if you pass this argument, it executes on any single one of the blocked threads when they are all unblocked. </w:t>
            </w:r>
            <w:r>
              <w:rPr>
                <w:rStyle w:val="Text0"/>
              </w:rPr>
              <w:t>timeout</w:t>
            </w:r>
            <w:r>
              <w:t xml:space="preserve"> is covered in </w:t>
            </w:r>
            <w:hyperlink w:anchor="Timeout_parameters__The_synchron">
              <w:r>
                <w:rPr>
                  <w:rStyle w:val="Text1"/>
                </w:rPr>
                <w:t>“Timeout parameters”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abort</w:t>
            </w:r>
          </w:p>
        </w:tc>
        <w:tc>
          <w:tcPr>
            <w:tcW w:type="auto" w:w="0"/>
            <w:shd w:val="clear" w:color="auto" w:fill="EEF2F6"/>
            <w:tcMar>
              <w:left w:type="dxa" w:w="200"/>
              <w:top w:type="dxa" w:w="200"/>
              <w:right w:type="dxa" w:w="200"/>
              <w:bottom w:type="dxa" w:w="200"/>
            </w:tcMar>
          </w:tcPr>
          <w:p>
            <w:pPr>
              <w:pStyle w:val="Para 002"/>
            </w:pPr>
            <w:r>
              <w:rPr>
                <w:rStyle w:val="Text3"/>
              </w:rPr>
              <w:t>b.</w:t>
            </w:r>
            <w:r>
              <w:rPr>
                <w:rStyle w:val="Text0"/>
              </w:rPr>
              <w:t>abort()</w:t>
              <w:br w:clear="none"/>
            </w:r>
            <w:r>
              <w:t xml:space="preserve"> Puts</w:t>
            </w:r>
            <w:r>
              <w:rPr>
                <w:rStyle w:val="Text111"/>
              </w:rPr>
              <w:bookmarkStart w:id="3389" w:name="idm45965192423344"/>
              <w:t/>
              <w:bookmarkEnd w:id="3389"/>
            </w:r>
            <w:r>
              <w:t xml:space="preserve"> </w:t>
            </w:r>
            <w:r>
              <w:rPr>
                <w:rStyle w:val="Text0"/>
              </w:rPr>
              <w:t>Barrier</w:t>
            </w:r>
            <w:r>
              <w:t xml:space="preserve"> </w:t>
            </w:r>
            <w:r>
              <w:rPr>
                <w:rStyle w:val="Text3"/>
              </w:rPr>
              <w:t>b</w:t>
            </w:r>
            <w:r>
              <w:t xml:space="preserve"> in the </w:t>
            </w:r>
            <w:r>
              <w:rPr>
                <w:rStyle w:val="Text4"/>
              </w:rPr>
              <w:t>broken</w:t>
            </w:r>
            <w:r>
              <w:t xml:space="preserve"> state, meaning that any thread currently waiting resumes with a </w:t>
            </w:r>
            <w:r>
              <w:rPr>
                <w:rStyle w:val="Text0"/>
              </w:rPr>
              <w:t>threading.BrokenBarrierException</w:t>
            </w:r>
            <w:r>
              <w:t xml:space="preserve"> (the same exception also gets raised on any subsequent call to </w:t>
            </w:r>
            <w:r>
              <w:rPr>
                <w:rStyle w:val="Text3"/>
              </w:rPr>
              <w:t>b</w:t>
            </w:r>
            <w:r>
              <w:rPr>
                <w:rStyle w:val="Text0"/>
              </w:rPr>
              <w:t>.wait</w:t>
            </w:r>
            <w:r>
              <w:t>). This is an emergency action typically used when a waiting thread is suffering some abnormal termination, to avoid deadlocking the whole program.</w:t>
            </w:r>
          </w:p>
        </w:tc>
      </w:tr>
    </w:tbl>
    <w:tbl>
      <w:tblPr>
        <w:tblW w:type="auto" w:w="0"/>
      </w:tblPr>
      <w:tr>
        <w:tc>
          <w:tcPr>
            <w:tcW w:type="auto" w:w="0"/>
            <w:tcMar>
              <w:left w:type="dxa" w:w="200"/>
              <w:top w:type="dxa" w:w="200"/>
              <w:right w:type="dxa" w:w="200"/>
              <w:bottom w:type="dxa" w:w="200"/>
            </w:tcMar>
          </w:tcPr>
          <w:p>
            <w:pPr>
              <w:pStyle w:val="Para 001"/>
            </w:pPr>
            <w:r>
              <w:t>broken</w:t>
            </w:r>
          </w:p>
        </w:tc>
        <w:tc>
          <w:tcPr>
            <w:tcW w:type="auto" w:w="0"/>
            <w:tcMar>
              <w:left w:type="dxa" w:w="200"/>
              <w:top w:type="dxa" w:w="200"/>
              <w:right w:type="dxa" w:w="200"/>
              <w:bottom w:type="dxa" w:w="200"/>
            </w:tcMar>
          </w:tcPr>
          <w:p>
            <w:pPr>
              <w:pStyle w:val="Para 002"/>
            </w:pPr>
            <w:r>
              <w:rPr>
                <w:rStyle w:val="Text3"/>
              </w:rPr>
              <w:t>b.</w:t>
            </w:r>
            <w:r>
              <w:rPr>
                <w:rStyle w:val="Text0"/>
              </w:rPr>
              <w:t>broken</w:t>
              <w:br w:clear="none"/>
            </w:r>
            <w:r>
              <w:t xml:space="preserve"> </w:t>
            </w:r>
            <w:r>
              <w:rPr>
                <w:rStyle w:val="Text5"/>
              </w:rPr>
              <w:t>True</w:t>
            </w:r>
            <w:r>
              <w:t xml:space="preserve"> when</w:t>
            </w:r>
            <w:r>
              <w:rPr>
                <w:rStyle w:val="Text111"/>
              </w:rPr>
              <w:bookmarkStart w:id="3390" w:name="idm45965192413872"/>
              <w:t/>
              <w:bookmarkEnd w:id="3390"/>
            </w:r>
            <w:r>
              <w:t xml:space="preserve"> </w:t>
            </w:r>
            <w:r>
              <w:rPr>
                <w:rStyle w:val="Text3"/>
              </w:rPr>
              <w:t>b</w:t>
            </w:r>
            <w:r>
              <w:t xml:space="preserve"> is in the broken state; otherwise,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n_waiting</w:t>
            </w:r>
          </w:p>
        </w:tc>
        <w:tc>
          <w:tcPr>
            <w:tcW w:type="auto" w:w="0"/>
            <w:shd w:val="clear" w:color="auto" w:fill="EEF2F6"/>
            <w:tcMar>
              <w:left w:type="dxa" w:w="200"/>
              <w:top w:type="dxa" w:w="200"/>
              <w:right w:type="dxa" w:w="200"/>
              <w:bottom w:type="dxa" w:w="200"/>
            </w:tcMar>
          </w:tcPr>
          <w:p>
            <w:pPr>
              <w:pStyle w:val="Para 002"/>
            </w:pPr>
            <w:r>
              <w:rPr>
                <w:rStyle w:val="Text3"/>
              </w:rPr>
              <w:t>b.</w:t>
            </w:r>
            <w:r>
              <w:rPr>
                <w:rStyle w:val="Text0"/>
              </w:rPr>
              <w:t>n_waiting</w:t>
              <w:br w:clear="none"/>
            </w:r>
            <w:r>
              <w:t xml:space="preserve"> The number of threads currently waiting on </w:t>
            </w:r>
            <w:r>
              <w:rPr>
                <w:rStyle w:val="Text3"/>
              </w:rPr>
              <w:t>b</w:t>
            </w:r>
            <w:r>
              <w:t>.</w:t>
            </w:r>
          </w:p>
        </w:tc>
      </w:tr>
    </w:tbl>
    <w:tbl>
      <w:tblPr>
        <w:tblW w:type="auto" w:w="0"/>
      </w:tblPr>
      <w:tr>
        <w:tc>
          <w:tcPr>
            <w:tcW w:type="auto" w:w="0"/>
            <w:tcMar>
              <w:left w:type="dxa" w:w="200"/>
              <w:top w:type="dxa" w:w="200"/>
              <w:right w:type="dxa" w:w="200"/>
              <w:bottom w:type="dxa" w:w="200"/>
            </w:tcMar>
          </w:tcPr>
          <w:p>
            <w:pPr>
              <w:pStyle w:val="Para 001"/>
            </w:pPr>
            <w:r>
              <w:t>parties</w:t>
            </w:r>
          </w:p>
        </w:tc>
        <w:tc>
          <w:tcPr>
            <w:tcW w:type="auto" w:w="0"/>
            <w:tcMar>
              <w:left w:type="dxa" w:w="200"/>
              <w:top w:type="dxa" w:w="200"/>
              <w:right w:type="dxa" w:w="200"/>
              <w:bottom w:type="dxa" w:w="200"/>
            </w:tcMar>
          </w:tcPr>
          <w:p>
            <w:pPr>
              <w:pStyle w:val="Para 002"/>
            </w:pPr>
            <w:r>
              <w:rPr>
                <w:rStyle w:val="Text0"/>
              </w:rPr>
              <w:t>parties</w:t>
              <w:br w:clear="none"/>
            </w:r>
            <w:r>
              <w:t xml:space="preserve"> The</w:t>
            </w:r>
            <w:r>
              <w:rPr>
                <w:rStyle w:val="Text111"/>
              </w:rPr>
              <w:bookmarkStart w:id="3391" w:name="idm45965192404640"/>
              <w:t/>
              <w:bookmarkEnd w:id="3391"/>
            </w:r>
            <w:r>
              <w:t xml:space="preserve"> value passed as </w:t>
            </w:r>
            <w:r>
              <w:rPr>
                <w:rStyle w:val="Text3"/>
              </w:rPr>
              <w:t>num_threads</w:t>
            </w:r>
            <w:r>
              <w:t xml:space="preserve"> in the constructor of </w:t>
            </w:r>
            <w:r>
              <w:rPr>
                <w:rStyle w:val="Text3"/>
              </w:rPr>
              <w:t>b</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reset</w:t>
            </w:r>
          </w:p>
        </w:tc>
        <w:tc>
          <w:tcPr>
            <w:tcW w:type="auto" w:w="0"/>
            <w:shd w:val="clear" w:color="auto" w:fill="EEF2F6"/>
            <w:tcMar>
              <w:left w:type="dxa" w:w="200"/>
              <w:top w:type="dxa" w:w="200"/>
              <w:right w:type="dxa" w:w="200"/>
              <w:bottom w:type="dxa" w:w="200"/>
            </w:tcMar>
          </w:tcPr>
          <w:p>
            <w:pPr>
              <w:pStyle w:val="Para 002"/>
            </w:pPr>
            <w:r>
              <w:rPr>
                <w:rStyle w:val="Text3"/>
              </w:rPr>
              <w:t>b.</w:t>
            </w:r>
            <w:r>
              <w:rPr>
                <w:rStyle w:val="Text0"/>
              </w:rPr>
              <w:t>reset()</w:t>
              <w:br w:clear="none"/>
            </w:r>
            <w:r>
              <w:t xml:space="preserve"> Returns </w:t>
            </w:r>
            <w:r>
              <w:rPr>
                <w:rStyle w:val="Text3"/>
              </w:rPr>
              <w:t>b</w:t>
            </w:r>
            <w:r>
              <w:t xml:space="preserve"> to the initial empty, nonbroken state; any thread currently waiting on </w:t>
            </w:r>
            <w:r>
              <w:rPr>
                <w:rStyle w:val="Text3"/>
              </w:rPr>
              <w:t>b</w:t>
            </w:r>
            <w:r>
              <w:t xml:space="preserve">, however, resumes with a </w:t>
            </w:r>
            <w:r>
              <w:rPr>
                <w:rStyle w:val="Text0"/>
              </w:rPr>
              <w:t>threading.BrokenBarrierException</w:t>
            </w:r>
            <w:r>
              <w:t>.</w:t>
            </w:r>
          </w:p>
        </w:tc>
      </w:tr>
    </w:tbl>
    <w:tbl>
      <w:tblPr>
        <w:tblW w:type="auto" w:w="0"/>
      </w:tblPr>
      <w:tr>
        <w:tc>
          <w:tcPr>
            <w:tcW w:type="auto" w:w="0"/>
            <w:tcMar>
              <w:left w:type="dxa" w:w="200"/>
              <w:top w:type="dxa" w:w="200"/>
              <w:right w:type="dxa" w:w="200"/>
              <w:bottom w:type="dxa" w:w="200"/>
            </w:tcMar>
          </w:tcPr>
          <w:p>
            <w:pPr>
              <w:pStyle w:val="Para 001"/>
            </w:pPr>
            <w:r>
              <w:t>wait</w:t>
            </w:r>
          </w:p>
        </w:tc>
        <w:tc>
          <w:tcPr>
            <w:tcW w:type="auto" w:w="0"/>
            <w:tcMar>
              <w:left w:type="dxa" w:w="200"/>
              <w:top w:type="dxa" w:w="200"/>
              <w:right w:type="dxa" w:w="200"/>
              <w:bottom w:type="dxa" w:w="200"/>
            </w:tcMar>
          </w:tcPr>
          <w:p>
            <w:pPr>
              <w:pStyle w:val="Para 002"/>
            </w:pPr>
            <w:r>
              <w:rPr>
                <w:rStyle w:val="Text3"/>
              </w:rPr>
              <w:t>b.</w:t>
            </w:r>
            <w:r>
              <w:rPr>
                <w:rStyle w:val="Text0"/>
              </w:rPr>
              <w:t>wait()</w:t>
              <w:br w:clear="none"/>
            </w:r>
            <w:r>
              <w:t xml:space="preserve"> The</w:t>
            </w:r>
            <w:r>
              <w:rPr>
                <w:rStyle w:val="Text111"/>
              </w:rPr>
              <w:bookmarkStart w:id="3392" w:name="idm45965192392720"/>
              <w:t/>
              <w:bookmarkEnd w:id="3392"/>
            </w:r>
            <w:r>
              <w:t xml:space="preserve"> first </w:t>
            </w:r>
            <w:r>
              <w:rPr>
                <w:rStyle w:val="Text3"/>
              </w:rPr>
              <w:t>b</w:t>
            </w:r>
            <w:r>
              <w:rPr>
                <w:rStyle w:val="Text0"/>
              </w:rPr>
              <w:t>.parties-1</w:t>
            </w:r>
            <w:r>
              <w:t xml:space="preserve"> threads calling </w:t>
            </w:r>
            <w:r>
              <w:rPr>
                <w:rStyle w:val="Text3"/>
              </w:rPr>
              <w:t>b</w:t>
            </w:r>
            <w:r>
              <w:rPr>
                <w:rStyle w:val="Text0"/>
              </w:rPr>
              <w:t>.wait</w:t>
            </w:r>
            <w:r>
              <w:t xml:space="preserve"> block; when the number of threads blocked on </w:t>
            </w:r>
            <w:r>
              <w:rPr>
                <w:rStyle w:val="Text3"/>
              </w:rPr>
              <w:t>b</w:t>
            </w:r>
            <w:r>
              <w:t xml:space="preserve"> is </w:t>
            </w:r>
            <w:r>
              <w:rPr>
                <w:rStyle w:val="Text3"/>
              </w:rPr>
              <w:t>b</w:t>
            </w:r>
            <w:r>
              <w:rPr>
                <w:rStyle w:val="Text0"/>
              </w:rPr>
              <w:t>.parties-1</w:t>
            </w:r>
            <w:r>
              <w:t xml:space="preserve"> and one more thread calls </w:t>
            </w:r>
            <w:r>
              <w:rPr>
                <w:rStyle w:val="Text3"/>
              </w:rPr>
              <w:t>b</w:t>
            </w:r>
            <w:r>
              <w:rPr>
                <w:rStyle w:val="Text0"/>
              </w:rPr>
              <w:t>.wait</w:t>
            </w:r>
            <w:r>
              <w:t xml:space="preserve">, all the threads blocked on </w:t>
            </w:r>
            <w:r>
              <w:rPr>
                <w:rStyle w:val="Text3"/>
              </w:rPr>
              <w:t>b</w:t>
            </w:r>
            <w:r>
              <w:t xml:space="preserve"> resume. </w:t>
            </w:r>
            <w:r>
              <w:rPr>
                <w:rStyle w:val="Text3"/>
              </w:rPr>
              <w:t>b</w:t>
            </w:r>
            <w:r>
              <w:rPr>
                <w:rStyle w:val="Text0"/>
              </w:rPr>
              <w:t>.wait</w:t>
            </w:r>
            <w:r>
              <w:t xml:space="preserve"> returns an </w:t>
            </w:r>
            <w:r>
              <w:rPr>
                <w:rStyle w:val="Text0"/>
              </w:rPr>
              <w:t>int</w:t>
            </w:r>
            <w:r>
              <w:t xml:space="preserve"> to each resuming thread, all distinct and in </w:t>
            </w:r>
            <w:r>
              <w:rPr>
                <w:rStyle w:val="Text0"/>
              </w:rPr>
              <w:t>range(</w:t>
            </w:r>
            <w:r>
              <w:rPr>
                <w:rStyle w:val="Text3"/>
              </w:rPr>
              <w:t>b</w:t>
            </w:r>
            <w:r>
              <w:rPr>
                <w:rStyle w:val="Text0"/>
              </w:rPr>
              <w:t>.parties)</w:t>
            </w:r>
            <w:r>
              <w:t xml:space="preserve">, in unspecified order; threads can use this return value to determine which one should do what next (though passing </w:t>
            </w:r>
            <w:r>
              <w:rPr>
                <w:rStyle w:val="Text0"/>
              </w:rPr>
              <w:t>action</w:t>
            </w:r>
            <w:r>
              <w:t xml:space="preserve"> in the </w:t>
            </w:r>
            <w:r>
              <w:rPr>
                <w:rStyle w:val="Text0"/>
              </w:rPr>
              <w:t>Barrier</w:t>
            </w:r>
            <w:r>
              <w:t>’s constructor is simpler and often sufficient).</w:t>
            </w:r>
          </w:p>
        </w:tc>
      </w:tr>
    </w:tbl>
    <w:p>
      <w:pPr>
        <w:pStyle w:val="Normal"/>
      </w:pPr>
      <w:r>
        <w:t xml:space="preserve">The following code shows how </w:t>
      </w:r>
      <w:r>
        <w:rPr>
          <w:rStyle w:val="Text0"/>
        </w:rPr>
        <w:t>Barrier</w:t>
      </w:r>
      <w:r>
        <w:t xml:space="preserve"> objects synchronize processing across multiple threads (contrast this with the example code shown earlier for </w:t>
      </w:r>
      <w:r>
        <w:rPr>
          <w:rStyle w:val="Text0"/>
        </w:rPr>
        <w:t>Event</w:t>
      </w:r>
      <w:r>
        <w:t xml:space="preserve"> objects):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datetime</w:t>
        <w:br w:clear="none"/>
      </w:r>
      <w:r>
        <w:rPr>
          <w:rStyle w:val="Text13"/>
        </w:rPr>
        <w:t xml:space="preserve">,</w:t>
        <w:br w:clear="none"/>
      </w:r>
      <w:r>
        <w:rPr>
          <w:rStyle w:val="Text6"/>
        </w:rPr>
        <w:t xml:space="preserve"> </w:t>
        <w:br w:clear="none"/>
      </w:r>
      <w:r>
        <w:rPr>
          <w:rStyle w:val="Text20"/>
        </w:rPr>
        <w:t xml:space="preserve">random</w:t>
        <w:br w:clear="none"/>
      </w:r>
      <w:r>
        <w:rPr>
          <w:rStyle w:val="Text13"/>
        </w:rPr>
        <w:t xml:space="preserve">,</w:t>
        <w:br w:clear="none"/>
      </w:r>
      <w:r>
        <w:rPr>
          <w:rStyle w:val="Text6"/>
        </w:rPr>
        <w:t xml:space="preserve"> </w:t>
        <w:br w:clear="none"/>
      </w:r>
      <w:r>
        <w:rPr>
          <w:rStyle w:val="Text20"/>
        </w:rPr>
        <w:t xml:space="preserve">threading</w:t>
        <w:br w:clear="none"/>
      </w:r>
      <w:r>
        <w:rPr>
          <w:rStyle w:val="Text13"/>
        </w:rPr>
        <w:t xml:space="preserve">,</w:t>
        <w:br w:clear="none"/>
      </w:r>
      <w:r>
        <w:rPr>
          <w:rStyle w:val="Text6"/>
        </w:rPr>
        <w:t xml:space="preserve"> </w:t>
        <w:br w:clear="none"/>
      </w:r>
      <w:r>
        <w:rPr>
          <w:rStyle w:val="Text20"/>
        </w:rPr>
        <w:t xml:space="preserve">time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runner</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starting</w:t>
        <w:br w:clear="none"/>
        <w:t xml:space="preserve">'</w:t>
        <w:br w:clear="none"/>
      </w:r>
      <w:r>
        <w:rPr>
          <w:rStyle w:val="Text7"/>
        </w:rPr>
        <w:t xml:space="preserve">)</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t xml:space="preserve">random</w:t>
        <w:br w:clear="none"/>
      </w:r>
      <w:r>
        <w:rPr>
          <w:rStyle w:val="Text13"/>
        </w:rPr>
        <w:t xml:space="preserve">.</w:t>
        <w:br w:clear="none"/>
      </w:r>
      <w:r>
        <w:t xml:space="preserve">randint</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3</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waiting</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my_number</w:t>
        <w:br w:clear="none"/>
      </w:r>
      <w:r>
        <w:rPr>
          <w:rStyle w:val="Text6"/>
        </w:rPr>
        <w:t xml:space="preserve"> </w:t>
        <w:br w:clear="none"/>
      </w:r>
      <w:r>
        <w:rPr>
          <w:rStyle w:val="Text13"/>
        </w:rPr>
        <w:t xml:space="preserve">=</w:t>
        <w:br w:clear="none"/>
      </w:r>
      <w:r>
        <w:rPr>
          <w:rStyle w:val="Text6"/>
        </w:rPr>
        <w:t xml:space="preserve"> </w:t>
        <w:br w:clear="none"/>
      </w:r>
      <w:r>
        <w:t xml:space="preserve">barrier</w:t>
        <w:br w:clear="none"/>
      </w:r>
      <w:r>
        <w:rPr>
          <w:rStyle w:val="Text13"/>
        </w:rPr>
        <w:t xml:space="preserve">.</w:t>
        <w:br w:clear="none"/>
      </w:r>
      <w:r>
        <w:t xml:space="preserve">wait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t xml:space="preserve">threading</w:t>
        <w:br w:clear="none"/>
      </w:r>
      <w:r>
        <w:rPr>
          <w:rStyle w:val="Text13"/>
        </w:rPr>
        <w:t xml:space="preserve">.</w:t>
        <w:br w:clear="none"/>
      </w:r>
      <w:r>
        <w:t xml:space="preserve">BrokenBarrierError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Barrier abort() or reset() called, thread exiting...</w:t>
        <w:br w:clear="none"/>
        <w:t xml:space="preserve">'</w:t>
        <w:br w:clear="none"/>
      </w:r>
      <w:r>
        <w:rPr>
          <w:rStyle w:val="Text7"/>
        </w:rPr>
        <w:t xml:space="preserve">)</w:t>
        <w:br w:clear="none"/>
      </w:r>
      <w:r>
        <w:rPr>
          <w:rStyle w:val="Text6"/>
        </w:rPr>
        <w:t xml:space="preserve"/>
        <w:br w:clear="none"/>
        <w:t xml:space="preserve">        </w:t>
        <w:br w:clear="none"/>
      </w:r>
      <w:r>
        <w:rPr>
          <w:rStyle w:val="Text39"/>
        </w:rPr>
        <w:t xml:space="preserve">return</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running (</w:t>
        <w:br w:clear="none"/>
      </w:r>
      <w:r>
        <w:rPr>
          <w:rStyle w:val="Text32"/>
        </w:rPr>
        <w:t xml:space="preserve">{</w:t>
        <w:br w:clear="none"/>
      </w:r>
      <w:r>
        <w:t xml:space="preserve">my_number</w:t>
        <w:br w:clear="none"/>
      </w:r>
      <w:r>
        <w:rPr>
          <w:rStyle w:val="Text32"/>
        </w:rPr>
        <w:t xml:space="preserve">}</w:t>
        <w:br w:clear="none"/>
      </w:r>
      <w:r>
        <w:rPr>
          <w:rStyle w:val="Text8"/>
        </w:rPr>
        <w:t xml:space="preserve">) at </w:t>
        <w:br w:clear="none"/>
      </w:r>
      <w:r>
        <w:rPr>
          <w:rStyle w:val="Text32"/>
        </w:rPr>
        <w:t xml:space="preserve">{</w:t>
        <w:br w:clear="none"/>
      </w:r>
      <w:r>
        <w:t xml:space="preserve">datetime</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announce_release</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releasing</w:t>
        <w:br w:clear="none"/>
        <w:t xml:space="preserve">'</w:t>
        <w:br w:clear="none"/>
      </w:r>
      <w:r>
        <w:rPr>
          <w:rStyle w:val="Text7"/>
        </w:rPr>
        <w:t xml:space="preserve">)</w:t>
        <w:br w:clear="none"/>
      </w:r>
      <w:r>
        <w:rPr>
          <w:rStyle w:val="Text6"/>
        </w:rPr>
        <w:t xml:space="preserve"/>
        <w:br w:clear="none"/>
        <w:t xml:space="preserve"/>
        <w:br w:clear="none"/>
      </w:r>
      <w:r>
        <w:t xml:space="preserve">num_threads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10</w:t>
        <w:br w:clear="none"/>
      </w:r>
      <w:r>
        <w:rPr>
          <w:rStyle w:val="Text6"/>
        </w:rPr>
        <w:t xml:space="preserve"/>
        <w:br w:clear="none"/>
      </w:r>
      <w:r>
        <w:t xml:space="preserve">barrier</w:t>
        <w:br w:clear="none"/>
      </w:r>
      <w:r>
        <w:rPr>
          <w:rStyle w:val="Text6"/>
        </w:rPr>
        <w:t xml:space="preserve"> </w:t>
        <w:br w:clear="none"/>
      </w:r>
      <w:r>
        <w:rPr>
          <w:rStyle w:val="Text13"/>
        </w:rPr>
        <w:t xml:space="preserve">=</w:t>
        <w:br w:clear="none"/>
      </w:r>
      <w:r>
        <w:rPr>
          <w:rStyle w:val="Text6"/>
        </w:rPr>
        <w:t xml:space="preserve"> </w:t>
        <w:br w:clear="none"/>
      </w:r>
      <w:r>
        <w:t xml:space="preserve">threading</w:t>
        <w:br w:clear="none"/>
      </w:r>
      <w:r>
        <w:rPr>
          <w:rStyle w:val="Text13"/>
        </w:rPr>
        <w:t xml:space="preserve">.</w:t>
        <w:br w:clear="none"/>
      </w:r>
      <w:r>
        <w:t xml:space="preserve">Barrier</w:t>
        <w:br w:clear="none"/>
      </w:r>
      <w:r>
        <w:rPr>
          <w:rStyle w:val="Text7"/>
        </w:rPr>
        <w:t xml:space="preserve">(</w:t>
        <w:br w:clear="none"/>
      </w:r>
      <w:r>
        <w:t xml:space="preserve">num_threads</w:t>
        <w:br w:clear="none"/>
      </w:r>
      <w:r>
        <w:rPr>
          <w:rStyle w:val="Text7"/>
        </w:rPr>
        <w:t xml:space="preserve">,</w:t>
        <w:br w:clear="none"/>
      </w:r>
      <w:r>
        <w:rPr>
          <w:rStyle w:val="Text6"/>
        </w:rPr>
        <w:t xml:space="preserve"> </w:t>
        <w:br w:clear="none"/>
      </w:r>
      <w:r>
        <w:t xml:space="preserve">action</w:t>
        <w:br w:clear="none"/>
      </w:r>
      <w:r>
        <w:rPr>
          <w:rStyle w:val="Text13"/>
        </w:rPr>
        <w:t xml:space="preserve">=</w:t>
        <w:br w:clear="none"/>
      </w:r>
      <w:r>
        <w:t xml:space="preserve">announce_release</w:t>
        <w:br w:clear="none"/>
      </w:r>
      <w:r>
        <w:rPr>
          <w:rStyle w:val="Text7"/>
        </w:rPr>
        <w:t xml:space="preserve">)</w:t>
        <w:br w:clear="none"/>
      </w:r>
      <w:r>
        <w:rPr>
          <w:rStyle w:val="Text6"/>
        </w:rPr>
        <w:t xml:space="preserve"/>
        <w:br w:clear="none"/>
        <w:t xml:space="preserve"/>
        <w:br w:clear="none"/>
      </w:r>
      <w:r>
        <w:t xml:space="preserve">threads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threading</w:t>
        <w:br w:clear="none"/>
      </w:r>
      <w:r>
        <w:rPr>
          <w:rStyle w:val="Text13"/>
        </w:rPr>
        <w:t xml:space="preserve">.</w:t>
        <w:br w:clear="none"/>
      </w:r>
      <w:r>
        <w:t xml:space="preserve">Thread</w:t>
        <w:br w:clear="none"/>
      </w:r>
      <w:r>
        <w:rPr>
          <w:rStyle w:val="Text7"/>
        </w:rPr>
        <w:t xml:space="preserve">(</w:t>
        <w:br w:clear="none"/>
      </w:r>
      <w:r>
        <w:t xml:space="preserve">target</w:t>
        <w:br w:clear="none"/>
      </w:r>
      <w:r>
        <w:rPr>
          <w:rStyle w:val="Text13"/>
        </w:rPr>
        <w:t xml:space="preserve">=</w:t>
        <w:br w:clear="none"/>
      </w:r>
      <w:r>
        <w:t xml:space="preserve">runner</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_</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num_threads</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threads</w:t>
        <w:br w:clear="none"/>
      </w:r>
      <w:r>
        <w:rPr>
          <w:rStyle w:val="Text7"/>
        </w:rPr>
        <w:t xml:space="preserve">:</w:t>
        <w:br w:clear="none"/>
      </w:r>
      <w:r>
        <w:rPr>
          <w:rStyle w:val="Text6"/>
        </w:rPr>
        <w:t xml:space="preserve"/>
        <w:br w:clear="none"/>
        <w:t xml:space="preserve">    </w:t>
        <w:br w:clear="none"/>
      </w:r>
      <w:r>
        <w:t xml:space="preserve">t</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threads</w:t>
        <w:br w:clear="none"/>
      </w:r>
      <w:r>
        <w:rPr>
          <w:rStyle w:val="Text7"/>
        </w:rPr>
        <w:t xml:space="preserve">:</w:t>
        <w:br w:clear="none"/>
      </w:r>
      <w:r>
        <w:rPr>
          <w:rStyle w:val="Text6"/>
        </w:rPr>
        <w:t xml:space="preserve"/>
        <w:br w:clear="none"/>
        <w:t xml:space="preserve">    </w:t>
        <w:br w:clear="none"/>
      </w:r>
      <w:r>
        <w:t xml:space="preserve">t</w:t>
        <w:br w:clear="none"/>
      </w:r>
      <w:r>
        <w:rPr>
          <w:rStyle w:val="Text13"/>
        </w:rPr>
        <w:t xml:space="preserve">.</w:t>
        <w:br w:clear="none"/>
      </w:r>
      <w:r>
        <w:t xml:space="preserve">join</w:t>
        <w:br w:clear="none"/>
      </w:r>
      <w:r>
        <w:rPr>
          <w:rStyle w:val="Text7"/>
        </w:rPr>
        <w:t xml:space="preserve">(</w:t>
        <w:br w:clear="none"/>
        <w:t xml:space="preserve">)</w:t>
        <w:br w:clear="none"/>
      </w:r>
    </w:p>
    <w:p>
      <w:bookmarkStart w:id="3393" w:name="Thread_Local_Storage__The_thread"/>
      <w:pPr>
        <w:keepNext/>
        <w:pStyle w:val="Heading 2"/>
      </w:pPr>
      <w:r>
        <w:t>Thread Local Storage</w:t>
      </w:r>
      <w:bookmarkEnd w:id="3393"/>
    </w:p>
    <w:p>
      <w:pPr>
        <w:pStyle w:val="Normal"/>
      </w:pPr>
      <w:r>
        <w:t>The</w:t>
      </w:r>
      <w:r>
        <w:rPr>
          <w:rStyle w:val="Text111"/>
        </w:rPr>
        <w:bookmarkStart w:id="3394" w:name="idm45965192191888"/>
        <w:t/>
        <w:bookmarkEnd w:id="3394"/>
        <w:bookmarkStart w:id="3395" w:name="idm45965192194784"/>
        <w:t/>
        <w:bookmarkEnd w:id="3395"/>
      </w:r>
      <w:r>
        <w:t xml:space="preserve"> </w:t>
      </w:r>
      <w:r>
        <w:rPr>
          <w:rStyle w:val="Text0"/>
        </w:rPr>
        <w:t>threading</w:t>
      </w:r>
      <w:r>
        <w:t xml:space="preserve"> module supplies the class </w:t>
      </w:r>
      <w:r>
        <w:rPr>
          <w:rStyle w:val="Text0"/>
        </w:rPr>
        <w:t>local</w:t>
      </w:r>
      <w:r>
        <w:t xml:space="preserve">, which a thread can use to obtain </w:t>
      </w:r>
      <w:r>
        <w:rPr>
          <w:rStyle w:val="Text4"/>
        </w:rPr>
        <w:t>thread-local storage</w:t>
      </w:r>
      <w:r>
        <w:t>, also known as</w:t>
      </w:r>
      <w:r>
        <w:rPr>
          <w:rStyle w:val="Text111"/>
        </w:rPr>
        <w:bookmarkStart w:id="3396" w:name="idm45965192214480"/>
        <w:t/>
        <w:bookmarkEnd w:id="3396"/>
      </w:r>
      <w:r>
        <w:t xml:space="preserve"> </w:t>
      </w:r>
      <w:r>
        <w:rPr>
          <w:rStyle w:val="Text4"/>
        </w:rPr>
        <w:t>per-thread data</w:t>
      </w:r>
      <w:r>
        <w:t xml:space="preserve">. An instance </w:t>
      </w:r>
      <w:r>
        <w:rPr>
          <w:rStyle w:val="Text3"/>
        </w:rPr>
        <w:t>L</w:t>
      </w:r>
      <w:r>
        <w:t xml:space="preserve"> of </w:t>
      </w:r>
      <w:r>
        <w:rPr>
          <w:rStyle w:val="Text0"/>
        </w:rPr>
        <w:t>local</w:t>
      </w:r>
      <w:r>
        <w:t xml:space="preserve"> has </w:t>
        <w:t>arbitrary</w:t>
        <w:t xml:space="preserve"> named attributes that you can set and get, stored in a dictionary </w:t>
      </w:r>
      <w:r>
        <w:rPr>
          <w:rStyle w:val="Text3"/>
        </w:rPr>
        <w:t>L</w:t>
      </w:r>
      <w:r>
        <w:rPr>
          <w:rStyle w:val="Text0"/>
        </w:rPr>
        <w:t>.__dict__</w:t>
      </w:r>
      <w:r>
        <w:t xml:space="preserve"> that you can also access. </w:t>
      </w:r>
      <w:r>
        <w:rPr>
          <w:rStyle w:val="Text3"/>
        </w:rPr>
        <w:t>L</w:t>
      </w:r>
      <w:r>
        <w:t xml:space="preserve"> is fully thread-safe, meaning there is no problem if multiple threads simultaneously set and get attributes on </w:t>
      </w:r>
      <w:r>
        <w:rPr>
          <w:rStyle w:val="Text3"/>
        </w:rPr>
        <w:t>L</w:t>
      </w:r>
      <w:r>
        <w:t xml:space="preserve">. Each thread that accesses </w:t>
      </w:r>
      <w:r>
        <w:rPr>
          <w:rStyle w:val="Text3"/>
        </w:rPr>
        <w:t>L</w:t>
      </w:r>
      <w:r>
        <w:t xml:space="preserve"> sees a disjoint set of attributes: any changes made in one thread have no effect in other threads. For example:</w:t>
      </w:r>
    </w:p>
    <w:p>
      <w:pPr>
        <w:pStyle w:val="Para 014"/>
      </w:pPr>
      <w:r>
        <w:rPr>
          <w:rStyle w:val="Text116"/>
        </w:rPr>
        <w:t xml:space="preserve"/>
        <w:br w:clear="none"/>
      </w:r>
      <w:r>
        <w:rPr>
          <w:rStyle w:val="Text22"/>
        </w:rPr>
        <w:t xml:space="preserve">import</w:t>
        <w:br w:clear="none"/>
      </w:r>
      <w:r>
        <w:rPr>
          <w:rStyle w:val="Text11"/>
        </w:rPr>
        <w:t xml:space="preserve"> </w:t>
        <w:br w:clear="none"/>
      </w:r>
      <w:r>
        <w:rPr>
          <w:rStyle w:val="Text53"/>
        </w:rPr>
        <w:t xml:space="preserve">threading</w:t>
        <w:br w:clear="none"/>
      </w:r>
      <w:r>
        <w:rPr>
          <w:rStyle w:val="Text11"/>
        </w:rPr>
        <w:t xml:space="preserve"/>
        <w:br w:clear="none"/>
        <w:t xml:space="preserve"/>
        <w:br w:clear="none"/>
      </w:r>
      <w:r>
        <w:rPr>
          <w:rStyle w:val="Text14"/>
        </w:rPr>
        <w:t xml:space="preserve">L</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threading</w:t>
        <w:br w:clear="none"/>
      </w:r>
      <w:r>
        <w:rPr>
          <w:rStyle w:val="Text28"/>
        </w:rPr>
        <w:t xml:space="preserve">.</w:t>
        <w:br w:clear="none"/>
      </w:r>
      <w:r>
        <w:rPr>
          <w:rStyle w:val="Text14"/>
        </w:rPr>
        <w:t xml:space="preserve">local</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7"/>
        </w:rPr>
        <w:t xml:space="preserve">'</w:t>
        <w:br w:clear="none"/>
        <w:t xml:space="preserve">in main thread, setting zop to 42</w:t>
        <w:br w:clear="none"/>
        <w:t xml:space="preserve">'</w:t>
        <w:br w:clear="none"/>
      </w:r>
      <w:r>
        <w:rPr>
          <w:rStyle w:val="Text19"/>
        </w:rPr>
        <w:t xml:space="preserve">)</w:t>
        <w:br w:clear="none"/>
      </w:r>
      <w:r>
        <w:rPr>
          <w:rStyle w:val="Text11"/>
        </w:rPr>
        <w:t xml:space="preserve"/>
        <w:br w:clear="none"/>
      </w:r>
      <w:r>
        <w:rPr>
          <w:rStyle w:val="Text14"/>
        </w:rPr>
        <w:t xml:space="preserve">L</w:t>
        <w:br w:clear="none"/>
      </w:r>
      <w:r>
        <w:rPr>
          <w:rStyle w:val="Text28"/>
        </w:rPr>
        <w:t xml:space="preserve">.</w:t>
        <w:br w:clear="none"/>
      </w:r>
      <w:r>
        <w:rPr>
          <w:rStyle w:val="Text14"/>
        </w:rPr>
        <w:t xml:space="preserve">zop</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42</w:t>
        <w:br w:clear="none"/>
      </w:r>
      <w:r>
        <w:rPr>
          <w:rStyle w:val="Text11"/>
        </w:rPr>
        <w:t xml:space="preserve"/>
        <w:br w:clear="none"/>
        <w:t xml:space="preserve"/>
        <w:br w:clear="none"/>
      </w:r>
      <w:r>
        <w:rPr>
          <w:rStyle w:val="Text22"/>
        </w:rPr>
        <w:t xml:space="preserve">def</w:t>
        <w:br w:clear="none"/>
      </w:r>
      <w:r>
        <w:rPr>
          <w:rStyle w:val="Text11"/>
        </w:rPr>
        <w:t xml:space="preserve"> </w:t>
        <w:br w:clear="none"/>
      </w:r>
      <w:r>
        <w:rPr>
          <w:rStyle w:val="Text42"/>
        </w:rPr>
        <w:t xml:space="preserve">targ</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7"/>
        </w:rPr>
        <w:t xml:space="preserve">'</w:t>
        <w:br w:clear="none"/>
        <w:t xml:space="preserve">in subthread, setting zop to 23</w:t>
        <w:br w:clear="none"/>
        <w:t xml:space="preserve">'</w:t>
        <w:br w:clear="none"/>
      </w:r>
      <w:r>
        <w:rPr>
          <w:rStyle w:val="Text19"/>
        </w:rPr>
        <w:t xml:space="preserve">)</w:t>
        <w:br w:clear="none"/>
      </w:r>
      <w:r>
        <w:rPr>
          <w:rStyle w:val="Text11"/>
        </w:rPr>
        <w:t xml:space="preserve"/>
        <w:br w:clear="none"/>
        <w:t xml:space="preserve">  </w:t>
        <w:br w:clear="none"/>
      </w:r>
      <w:r>
        <w:rPr>
          <w:rStyle w:val="Text14"/>
        </w:rPr>
        <w:t xml:space="preserve">L</w:t>
        <w:br w:clear="none"/>
      </w:r>
      <w:r>
        <w:rPr>
          <w:rStyle w:val="Text28"/>
        </w:rPr>
        <w:t xml:space="preserve">.</w:t>
        <w:br w:clear="none"/>
      </w:r>
      <w:r>
        <w:rPr>
          <w:rStyle w:val="Text14"/>
        </w:rPr>
        <w:t xml:space="preserve">zop</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23</w:t>
        <w:br w:clear="none"/>
      </w:r>
      <w:r>
        <w:rPr>
          <w:rStyle w:val="Text11"/>
        </w:rPr>
        <w:t xml:space="preserve"/>
        <w:br w:clear="none"/>
        <w:t xml:space="preserve">  </w:t>
        <w:br w:clear="none"/>
      </w:r>
      <w:r>
        <w:rPr>
          <w:rStyle w:val="Text21"/>
        </w:rPr>
        <w:t xml:space="preserve">print</w:t>
        <w:br w:clear="none"/>
      </w:r>
      <w:r>
        <w:rPr>
          <w:rStyle w:val="Text19"/>
        </w:rPr>
        <w:t xml:space="preserve">(</w:t>
        <w:br w:clear="none"/>
      </w:r>
      <w:r>
        <w:rPr>
          <w:rStyle w:val="Text17"/>
        </w:rPr>
        <w:t xml:space="preserve">'</w:t>
        <w:br w:clear="none"/>
        <w:t xml:space="preserve">in subthread, zop is now</w:t>
        <w:br w:clear="none"/>
        <w:t xml:space="preserve">'</w:t>
        <w:br w:clear="none"/>
      </w:r>
      <w:r>
        <w:rPr>
          <w:rStyle w:val="Text19"/>
        </w:rPr>
        <w:t xml:space="preserve">,</w:t>
        <w:br w:clear="none"/>
      </w:r>
      <w:r>
        <w:rPr>
          <w:rStyle w:val="Text11"/>
        </w:rPr>
        <w:t xml:space="preserve"> </w:t>
        <w:br w:clear="none"/>
      </w:r>
      <w:r>
        <w:rPr>
          <w:rStyle w:val="Text14"/>
        </w:rPr>
        <w:t xml:space="preserve">L</w:t>
        <w:br w:clear="none"/>
      </w:r>
      <w:r>
        <w:rPr>
          <w:rStyle w:val="Text28"/>
        </w:rPr>
        <w:t xml:space="preserve">.</w:t>
        <w:br w:clear="none"/>
      </w:r>
      <w:r>
        <w:rPr>
          <w:rStyle w:val="Text14"/>
        </w:rPr>
        <w:t xml:space="preserve">zop</w:t>
        <w:br w:clear="none"/>
      </w:r>
      <w:r>
        <w:rPr>
          <w:rStyle w:val="Text19"/>
        </w:rPr>
        <w:t xml:space="preserve">)</w:t>
        <w:br w:clear="none"/>
      </w:r>
      <w:r>
        <w:rPr>
          <w:rStyle w:val="Text11"/>
        </w:rPr>
        <w:t xml:space="preserve"/>
        <w:br w:clear="none"/>
        <w:t xml:space="preserve"/>
        <w:br w:clear="none"/>
      </w:r>
      <w:r>
        <w:rPr>
          <w:rStyle w:val="Text14"/>
        </w:rPr>
        <w:t xml:space="preserve">t</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threading</w:t>
        <w:br w:clear="none"/>
      </w:r>
      <w:r>
        <w:rPr>
          <w:rStyle w:val="Text28"/>
        </w:rPr>
        <w:t xml:space="preserve">.</w:t>
        <w:br w:clear="none"/>
      </w:r>
      <w:r>
        <w:rPr>
          <w:rStyle w:val="Text14"/>
        </w:rPr>
        <w:t xml:space="preserve">Thread</w:t>
        <w:br w:clear="none"/>
      </w:r>
      <w:r>
        <w:rPr>
          <w:rStyle w:val="Text19"/>
        </w:rPr>
        <w:t xml:space="preserve">(</w:t>
        <w:br w:clear="none"/>
      </w:r>
      <w:r>
        <w:rPr>
          <w:rStyle w:val="Text14"/>
        </w:rPr>
        <w:t xml:space="preserve">target</w:t>
        <w:br w:clear="none"/>
      </w:r>
      <w:r>
        <w:rPr>
          <w:rStyle w:val="Text28"/>
        </w:rPr>
        <w:t xml:space="preserve">=</w:t>
        <w:br w:clear="none"/>
      </w:r>
      <w:r>
        <w:rPr>
          <w:rStyle w:val="Text14"/>
        </w:rPr>
        <w:t xml:space="preserve">targ</w:t>
        <w:br w:clear="none"/>
      </w:r>
      <w:r>
        <w:rPr>
          <w:rStyle w:val="Text19"/>
        </w:rPr>
        <w:t xml:space="preserve">)</w:t>
        <w:br w:clear="none"/>
      </w:r>
      <w:r>
        <w:rPr>
          <w:rStyle w:val="Text11"/>
        </w:rPr>
        <w:t xml:space="preserve"/>
        <w:br w:clear="none"/>
      </w:r>
      <w:r>
        <w:rPr>
          <w:rStyle w:val="Text14"/>
        </w:rPr>
        <w:t xml:space="preserve">t</w:t>
        <w:br w:clear="none"/>
      </w:r>
      <w:r>
        <w:rPr>
          <w:rStyle w:val="Text28"/>
        </w:rPr>
        <w:t xml:space="preserve">.</w:t>
        <w:br w:clear="none"/>
      </w:r>
      <w:r>
        <w:rPr>
          <w:rStyle w:val="Text14"/>
        </w:rPr>
        <w:t xml:space="preserve">start</w:t>
        <w:br w:clear="none"/>
      </w:r>
      <w:r>
        <w:rPr>
          <w:rStyle w:val="Text19"/>
        </w:rPr>
        <w:t xml:space="preserve">(</w:t>
        <w:br w:clear="none"/>
        <w:t xml:space="preserve">)</w:t>
        <w:br w:clear="none"/>
      </w:r>
      <w:r>
        <w:rPr>
          <w:rStyle w:val="Text11"/>
        </w:rPr>
        <w:t xml:space="preserve"/>
        <w:br w:clear="none"/>
      </w:r>
      <w:r>
        <w:rPr>
          <w:rStyle w:val="Text14"/>
        </w:rPr>
        <w:t xml:space="preserve">t</w:t>
        <w:br w:clear="none"/>
      </w:r>
      <w:r>
        <w:rPr>
          <w:rStyle w:val="Text28"/>
        </w:rPr>
        <w:t xml:space="preserve">.</w:t>
        <w:br w:clear="none"/>
      </w:r>
      <w:r>
        <w:rPr>
          <w:rStyle w:val="Text14"/>
        </w:rPr>
        <w:t xml:space="preserve">join</w:t>
        <w:br w:clear="none"/>
      </w:r>
      <w:r>
        <w:rPr>
          <w:rStyle w:val="Text19"/>
        </w:rPr>
        <w:t xml:space="preser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7"/>
        </w:rPr>
        <w:t xml:space="preserve">'</w:t>
        <w:br w:clear="none"/>
        <w:t xml:space="preserve">in main thread, zop is now</w:t>
        <w:br w:clear="none"/>
        <w:t xml:space="preserve">'</w:t>
        <w:br w:clear="none"/>
      </w:r>
      <w:r>
        <w:rPr>
          <w:rStyle w:val="Text19"/>
        </w:rPr>
        <w:t xml:space="preserve">,</w:t>
        <w:br w:clear="none"/>
      </w:r>
      <w:r>
        <w:rPr>
          <w:rStyle w:val="Text11"/>
        </w:rPr>
        <w:t xml:space="preserve"> </w:t>
        <w:br w:clear="none"/>
      </w:r>
      <w:r>
        <w:rPr>
          <w:rStyle w:val="Text14"/>
        </w:rPr>
        <w:t xml:space="preserve">L</w:t>
        <w:br w:clear="none"/>
      </w:r>
      <w:r>
        <w:rPr>
          <w:rStyle w:val="Text28"/>
        </w:rPr>
        <w:t xml:space="preserve">.</w:t>
        <w:br w:clear="none"/>
      </w:r>
      <w:r>
        <w:rPr>
          <w:rStyle w:val="Text14"/>
        </w:rPr>
        <w:t xml:space="preserve">zop</w:t>
        <w:br w:clear="none"/>
      </w:r>
      <w:r>
        <w:rPr>
          <w:rStyle w:val="Text19"/>
        </w:rPr>
        <w:t xml:space="preserve">)</w:t>
        <w:br w:clear="none"/>
      </w:r>
      <w:r>
        <w:rPr>
          <w:rStyle w:val="Text11"/>
        </w:rPr>
        <w:t xml:space="preserve"/>
        <w:br w:clear="none"/>
      </w:r>
      <w:r>
        <w:t xml:space="preserve"># prints:</w:t>
        <w:br w:clear="none"/>
      </w:r>
      <w:r>
        <w:rPr>
          <w:rStyle w:val="Text11"/>
        </w:rPr>
        <w:t xml:space="preserve"/>
        <w:br w:clear="none"/>
      </w:r>
      <w:r>
        <w:t xml:space="preserve">#</w:t>
        <w:br w:clear="none"/>
      </w:r>
      <w:r>
        <w:rPr>
          <w:rStyle w:val="Text4"/>
        </w:rPr>
        <w:t xml:space="preserve"> </w:t>
        <w:br w:clear="none"/>
      </w:r>
      <w:r>
        <w:t xml:space="preserve">in main thread, setting zop to 42</w:t>
        <w:br w:clear="none"/>
      </w:r>
      <w:r>
        <w:rPr>
          <w:rStyle w:val="Text11"/>
        </w:rPr>
        <w:t xml:space="preserve"/>
        <w:br w:clear="none"/>
      </w:r>
      <w:r>
        <w:t xml:space="preserve">#</w:t>
        <w:br w:clear="none"/>
      </w:r>
      <w:r>
        <w:rPr>
          <w:rStyle w:val="Text4"/>
        </w:rPr>
        <w:t xml:space="preserve"> </w:t>
        <w:br w:clear="none"/>
      </w:r>
      <w:r>
        <w:t xml:space="preserve">in subthread, setting zop to 23</w:t>
        <w:br w:clear="none"/>
      </w:r>
      <w:r>
        <w:rPr>
          <w:rStyle w:val="Text11"/>
        </w:rPr>
        <w:t xml:space="preserve"/>
        <w:br w:clear="none"/>
      </w:r>
      <w:r>
        <w:t xml:space="preserve">#</w:t>
        <w:br w:clear="none"/>
      </w:r>
      <w:r>
        <w:rPr>
          <w:rStyle w:val="Text4"/>
        </w:rPr>
        <w:t xml:space="preserve"> </w:t>
        <w:br w:clear="none"/>
      </w:r>
      <w:r>
        <w:t xml:space="preserve">in subthread, zop is now 23</w:t>
        <w:br w:clear="none"/>
      </w:r>
      <w:r>
        <w:rPr>
          <w:rStyle w:val="Text11"/>
        </w:rPr>
        <w:t xml:space="preserve"/>
        <w:br w:clear="none"/>
      </w:r>
      <w:r>
        <w:t xml:space="preserve">#</w:t>
        <w:br w:clear="none"/>
      </w:r>
      <w:r>
        <w:rPr>
          <w:rStyle w:val="Text4"/>
        </w:rPr>
        <w:t xml:space="preserve"> </w:t>
        <w:br w:clear="none"/>
      </w:r>
      <w:r>
        <w:t xml:space="preserve">in main thread, zop is now 42</w:t>
        <w:br w:clear="none"/>
      </w:r>
    </w:p>
    <w:p>
      <w:pPr>
        <w:pStyle w:val="Normal"/>
      </w:pPr>
      <w:r>
        <w:t xml:space="preserve">Thread-local storage makes it easier to write code meant to run in multiple threads, since you can use the same namespace (an instance of </w:t>
      </w:r>
      <w:r>
        <w:rPr>
          <w:rStyle w:val="Text0"/>
        </w:rPr>
        <w:t>threading.local</w:t>
      </w:r>
      <w:r>
        <w:t>) in multiple threads without the separate threads interfering with each other.</w:t>
      </w:r>
      <w:r>
        <w:rPr>
          <w:rStyle w:val="Text111"/>
        </w:rPr>
        <w:bookmarkStart w:id="3397" w:name="idm45965192035648"/>
        <w:t/>
        <w:bookmarkEnd w:id="3397"/>
        <w:bookmarkStart w:id="3398" w:name="idm45965192034432"/>
        <w:t/>
        <w:bookmarkEnd w:id="3398"/>
      </w:r>
    </w:p>
    <w:p>
      <w:bookmarkStart w:id="3399" w:name="The_queue_Module__The_queue_modu"/>
      <w:pPr>
        <w:keepNext/>
        <w:pStyle w:val="Heading 1"/>
      </w:pPr>
      <w:r>
        <w:t>The queue Module</w:t>
      </w:r>
      <w:bookmarkEnd w:id="3399"/>
    </w:p>
    <w:p>
      <w:pPr>
        <w:pStyle w:val="Normal"/>
      </w:pPr>
      <w:r>
        <w:t>The</w:t>
      </w:r>
      <w:r>
        <w:rPr>
          <w:rStyle w:val="Text111"/>
        </w:rPr>
        <w:bookmarkStart w:id="3400" w:name="TAPque15"/>
        <w:t/>
        <w:bookmarkEnd w:id="3400"/>
        <w:bookmarkStart w:id="3401" w:name="qmod15"/>
        <w:t/>
        <w:bookmarkEnd w:id="3401"/>
        <w:bookmarkStart w:id="3402" w:name="idm45965192047840"/>
        <w:t/>
        <w:bookmarkEnd w:id="3402"/>
      </w:r>
      <w:r>
        <w:t xml:space="preserve"> </w:t>
      </w:r>
      <w:r>
        <w:rPr>
          <w:rStyle w:val="Text0"/>
        </w:rPr>
        <w:t>queue</w:t>
      </w:r>
      <w:r>
        <w:t xml:space="preserve"> module supplies queue types supporting multithreaded access, with one main class </w:t>
      </w:r>
      <w:r>
        <w:rPr>
          <w:rStyle w:val="Text0"/>
        </w:rPr>
        <w:t>Queue</w:t>
      </w:r>
      <w:r>
        <w:t xml:space="preserve">, one simplified class </w:t>
      </w:r>
      <w:r>
        <w:rPr>
          <w:rStyle w:val="Text0"/>
        </w:rPr>
        <w:t>SimpleQueue</w:t>
      </w:r>
      <w:r>
        <w:t>, two subclasses of the main class (</w:t>
      </w:r>
      <w:r>
        <w:rPr>
          <w:rStyle w:val="Text0"/>
        </w:rPr>
        <w:t>LifoQueue</w:t>
      </w:r>
      <w:r>
        <w:t xml:space="preserve"> and </w:t>
      </w:r>
      <w:r>
        <w:rPr>
          <w:rStyle w:val="Text0"/>
        </w:rPr>
        <w:t>PriorityQueue)</w:t>
      </w:r>
      <w:r>
        <w:t>, and two exception classes (</w:t>
      </w:r>
      <w:r>
        <w:rPr>
          <w:rStyle w:val="Text0"/>
        </w:rPr>
        <w:t>Empty</w:t>
      </w:r>
      <w:r>
        <w:t xml:space="preserve"> and </w:t>
      </w:r>
      <w:r>
        <w:rPr>
          <w:rStyle w:val="Text0"/>
        </w:rPr>
        <w:t>Full)</w:t>
      </w:r>
      <w:r>
        <w:t xml:space="preserve">, described in </w:t>
      </w:r>
      <w:hyperlink w:anchor="Table_15_9__Classes_of_the_queue">
        <w:r>
          <w:rPr>
            <w:rStyle w:val="Text1"/>
          </w:rPr>
          <w:t>Table 15-9</w:t>
        </w:r>
      </w:hyperlink>
      <w:r>
        <w:t xml:space="preserve">. The methods exposed by instances of the main class and its subclasses are detailed in </w:t>
      </w:r>
      <w:hyperlink w:anchor="Table_15_10__Methods_of_an_insta">
        <w:r>
          <w:rPr>
            <w:rStyle w:val="Text1"/>
          </w:rPr>
          <w:t>Table 15-10</w:t>
        </w:r>
      </w:hyperlink>
      <w:r>
        <w:t>.</w:t>
      </w:r>
    </w:p>
    <w:tbl>
      <w:tblPr>
        <w:tblW w:type="auto" w:w="0"/>
      </w:tblPr>
      <w:tr>
        <w:tc>
          <w:tcPr>
            <w:tcW w:type="auto" w:w="0"/>
            <w:tcMar>
              <w:left w:type="dxa" w:w="200"/>
              <w:top w:type="dxa" w:w="200"/>
              <w:right w:type="dxa" w:w="200"/>
              <w:bottom w:type="dxa" w:w="200"/>
            </w:tcMar>
          </w:tcPr>
          <w:p>
            <w:bookmarkStart w:id="3403" w:name="Table_15_9__Classes_of_the_queue"/>
            <w:pPr>
              <w:pStyle w:val="Para 011"/>
            </w:pPr>
            <w:r>
              <w:rPr>
                <w:rStyle w:val="Text117"/>
              </w:rPr>
              <w:t/>
            </w:r>
            <w:r>
              <w:t xml:space="preserve">Table 15-9. </w:t>
              <w:t xml:space="preserve">Classes of the </w:t>
            </w:r>
            <w:r>
              <w:rPr>
                <w:rStyle w:val="Text0"/>
              </w:rPr>
              <w:t>queue</w:t>
            </w:r>
            <w:r>
              <w:t xml:space="preserve"> module</w:t>
            </w:r>
            <w:bookmarkEnd w:id="3403"/>
          </w:p>
          <w:p>
            <w:pPr>
              <w:pStyle w:val="Para 001"/>
            </w:pPr>
            <w:r>
              <w:t>Queue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Queue(maxsize=0)</w:t>
              <w:br w:clear="none"/>
            </w:r>
            <w:r>
              <w:t xml:space="preserve"> </w:t>
            </w:r>
            <w:r>
              <w:rPr>
                <w:rStyle w:val="Text0"/>
              </w:rPr>
              <w:t>Queue</w:t>
            </w:r>
            <w:r>
              <w:t xml:space="preserve">, the main class in the module </w:t>
            </w:r>
            <w:r>
              <w:rPr>
                <w:rStyle w:val="Text0"/>
              </w:rPr>
              <w:t>queue</w:t>
            </w:r>
            <w:r>
              <w:t>, implements a first-in, first-out (FIFO) queue: the item retrieved each time is the one that was added earliest.</w:t>
              <w:br w:clear="none"/>
              <w:t xml:space="preserve"> When </w:t>
            </w:r>
            <w:r>
              <w:rPr>
                <w:rStyle w:val="Text0"/>
              </w:rPr>
              <w:t>maxsize</w:t>
            </w:r>
            <w:r>
              <w:t xml:space="preserve"> </w:t>
            </w:r>
            <w:r>
              <w:rPr>
                <w:rStyle w:val="Text0"/>
              </w:rPr>
              <w:t>&gt; 0</w:t>
            </w:r>
            <w:r>
              <w:t xml:space="preserve">, the new </w:t>
            </w:r>
            <w:r>
              <w:rPr>
                <w:rStyle w:val="Text0"/>
              </w:rPr>
              <w:t>Queue</w:t>
            </w:r>
            <w:r>
              <w:t xml:space="preserve"> instance </w:t>
            </w:r>
            <w:r>
              <w:rPr>
                <w:rStyle w:val="Text3"/>
              </w:rPr>
              <w:t>q</w:t>
            </w:r>
            <w:r>
              <w:t xml:space="preserve"> is considered full when </w:t>
            </w:r>
            <w:r>
              <w:rPr>
                <w:rStyle w:val="Text3"/>
              </w:rPr>
              <w:t>q</w:t>
            </w:r>
            <w:r>
              <w:t xml:space="preserve"> has </w:t>
            </w:r>
            <w:r>
              <w:rPr>
                <w:rStyle w:val="Text0"/>
              </w:rPr>
              <w:t>maxsize</w:t>
            </w:r>
            <w:r>
              <w:t xml:space="preserve"> items. When </w:t>
            </w:r>
            <w:r>
              <w:rPr>
                <w:rStyle w:val="Text3"/>
              </w:rPr>
              <w:t>q</w:t>
            </w:r>
            <w:r>
              <w:t xml:space="preserve"> is full, a thread inserting an item with </w:t>
            </w:r>
            <w:r>
              <w:rPr>
                <w:rStyle w:val="Text0"/>
              </w:rPr>
              <w:t>block=</w:t>
            </w:r>
            <w:r>
              <w:rPr>
                <w:rStyle w:val="Text5"/>
              </w:rPr>
              <w:t>True</w:t>
            </w:r>
            <w:r>
              <w:t xml:space="preserve"> suspends until another thread extracts an item. When </w:t>
            </w:r>
            <w:r>
              <w:rPr>
                <w:rStyle w:val="Text0"/>
              </w:rPr>
              <w:t>maxsize</w:t>
            </w:r>
            <w:r>
              <w:t xml:space="preserve"> </w:t>
            </w:r>
            <w:r>
              <w:rPr>
                <w:rStyle w:val="Text0"/>
              </w:rPr>
              <w:t>&lt;= 0</w:t>
            </w:r>
            <w:r>
              <w:t xml:space="preserve">, </w:t>
            </w:r>
            <w:r>
              <w:rPr>
                <w:rStyle w:val="Text3"/>
              </w:rPr>
              <w:t>q</w:t>
            </w:r>
            <w:r>
              <w:t xml:space="preserve"> is never considered full and is limited in size only by available memory, like most Python containers.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SimpleQueue</w:t>
            </w:r>
          </w:p>
        </w:tc>
        <w:tc>
          <w:tcPr>
            <w:tcW w:type="auto" w:w="0"/>
            <w:shd w:val="clear" w:color="auto" w:fill="EEF2F6"/>
            <w:tcMar>
              <w:left w:type="dxa" w:w="200"/>
              <w:top w:type="dxa" w:w="200"/>
              <w:right w:type="dxa" w:w="200"/>
              <w:bottom w:type="dxa" w:w="200"/>
            </w:tcMar>
          </w:tcPr>
          <w:p>
            <w:pPr>
              <w:pStyle w:val="Para 002"/>
            </w:pPr>
            <w:r>
              <w:rPr>
                <w:rStyle w:val="Text5"/>
              </w:rPr>
              <w:t>class</w:t>
            </w:r>
            <w:r>
              <w:t xml:space="preserve"> </w:t>
            </w:r>
            <w:r>
              <w:rPr>
                <w:rStyle w:val="Text0"/>
              </w:rPr>
              <w:t>SimpleQueue</w:t>
              <w:br w:clear="none"/>
            </w:r>
            <w:r>
              <w:t xml:space="preserve"> </w:t>
            </w:r>
            <w:r>
              <w:rPr>
                <w:rStyle w:val="Text0"/>
              </w:rPr>
              <w:t>SimpleQueue</w:t>
            </w:r>
            <w:r>
              <w:t xml:space="preserve"> is a simplified </w:t>
            </w:r>
            <w:r>
              <w:rPr>
                <w:rStyle w:val="Text0"/>
              </w:rPr>
              <w:t>Queue</w:t>
            </w:r>
            <w:r>
              <w:t xml:space="preserve">: an unbounded FIFO queue lacking the methods </w:t>
            </w:r>
            <w:r>
              <w:rPr>
                <w:rStyle w:val="Text0"/>
              </w:rPr>
              <w:t>full</w:t>
            </w:r>
            <w:r>
              <w:t xml:space="preserve">, </w:t>
            </w:r>
            <w:r>
              <w:rPr>
                <w:rStyle w:val="Text0"/>
              </w:rPr>
              <w:t>task_done</w:t>
            </w:r>
            <w:r>
              <w:t xml:space="preserve">, and </w:t>
            </w:r>
            <w:r>
              <w:rPr>
                <w:rStyle w:val="Text0"/>
              </w:rPr>
              <w:t>join</w:t>
            </w:r>
            <w:r>
              <w:t xml:space="preserve"> (see </w:t>
            </w:r>
            <w:hyperlink w:anchor="Table_15_10__Methods_of_an_insta">
              <w:r>
                <w:rPr>
                  <w:rStyle w:val="Text1"/>
                </w:rPr>
                <w:t>Table 15-10</w:t>
              </w:r>
            </w:hyperlink>
            <w:r>
              <w:t xml:space="preserve">) and with the method </w:t>
            </w:r>
            <w:r>
              <w:rPr>
                <w:rStyle w:val="Text0"/>
              </w:rPr>
              <w:t>put</w:t>
            </w:r>
            <w:r>
              <w:t xml:space="preserve"> ignoring its optional arguments but guaranteeing reentrancy (which makes it usable in </w:t>
            </w:r>
            <w:r>
              <w:rPr>
                <w:rStyle w:val="Text0"/>
              </w:rPr>
              <w:t>__del__</w:t>
            </w:r>
            <w:r>
              <w:t xml:space="preserve"> methods and </w:t>
            </w:r>
            <w:r>
              <w:rPr>
                <w:rStyle w:val="Text0"/>
              </w:rPr>
              <w:t>weakref</w:t>
            </w:r>
            <w:r>
              <w:t xml:space="preserve"> callbacks, where </w:t>
            </w:r>
            <w:r>
              <w:rPr>
                <w:rStyle w:val="Text0"/>
              </w:rPr>
              <w:t>Queue.put</w:t>
            </w:r>
            <w:r>
              <w:t xml:space="preserve"> would not be).</w:t>
            </w:r>
          </w:p>
        </w:tc>
      </w:tr>
    </w:tbl>
    <w:tbl>
      <w:tblPr>
        <w:tblW w:type="auto" w:w="0"/>
      </w:tblPr>
      <w:tr>
        <w:tc>
          <w:tcPr>
            <w:tcW w:type="auto" w:w="0"/>
            <w:tcMar>
              <w:left w:type="dxa" w:w="200"/>
              <w:top w:type="dxa" w:w="200"/>
              <w:right w:type="dxa" w:w="200"/>
              <w:bottom w:type="dxa" w:w="200"/>
            </w:tcMar>
          </w:tcPr>
          <w:p>
            <w:pPr>
              <w:pStyle w:val="Para 001"/>
            </w:pPr>
            <w:r>
              <w:t>LifoQueue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LifoQueue(maxsize=0)</w:t>
              <w:br w:clear="none"/>
            </w:r>
            <w:r>
              <w:t xml:space="preserve"> </w:t>
            </w:r>
            <w:r>
              <w:rPr>
                <w:rStyle w:val="Text0"/>
              </w:rPr>
              <w:t>LifoQueue</w:t>
            </w:r>
            <w:r>
              <w:t xml:space="preserve"> is a subclass of </w:t>
            </w:r>
            <w:r>
              <w:rPr>
                <w:rStyle w:val="Text0"/>
              </w:rPr>
              <w:t>Queue</w:t>
            </w:r>
            <w:r>
              <w:t xml:space="preserve">; the only difference is that </w:t>
            </w:r>
            <w:r>
              <w:rPr>
                <w:rStyle w:val="Text0"/>
              </w:rPr>
              <w:t>LifoQueue</w:t>
            </w:r>
            <w:r>
              <w:t xml:space="preserve"> implements a last-in, first-out (LIFO) queue, meaning the item retrieved each time is the most recently added one (often called a </w:t>
            </w:r>
            <w:r>
              <w:rPr>
                <w:rStyle w:val="Text4"/>
              </w:rPr>
              <w:t>stack</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PriorityQueue</w:t>
            </w:r>
          </w:p>
        </w:tc>
        <w:tc>
          <w:tcPr>
            <w:tcW w:type="auto" w:w="0"/>
            <w:shd w:val="clear" w:color="auto" w:fill="EEF2F6"/>
            <w:tcMar>
              <w:left w:type="dxa" w:w="200"/>
              <w:top w:type="dxa" w:w="200"/>
              <w:right w:type="dxa" w:w="200"/>
              <w:bottom w:type="dxa" w:w="200"/>
            </w:tcMar>
          </w:tcPr>
          <w:p>
            <w:pPr>
              <w:pStyle w:val="Para 002"/>
            </w:pPr>
            <w:r>
              <w:rPr>
                <w:rStyle w:val="Text5"/>
              </w:rPr>
              <w:t>class</w:t>
            </w:r>
            <w:r>
              <w:t xml:space="preserve"> </w:t>
            </w:r>
            <w:r>
              <w:rPr>
                <w:rStyle w:val="Text0"/>
              </w:rPr>
              <w:t>PriorityQueue(maxsize=0)</w:t>
              <w:br w:clear="none"/>
            </w:r>
            <w:r>
              <w:t xml:space="preserve"> </w:t>
            </w:r>
            <w:r>
              <w:rPr>
                <w:rStyle w:val="Text0"/>
              </w:rPr>
              <w:t>PriorityQueue</w:t>
            </w:r>
            <w:r>
              <w:t xml:space="preserve"> is a subclass of </w:t>
            </w:r>
            <w:r>
              <w:rPr>
                <w:rStyle w:val="Text0"/>
              </w:rPr>
              <w:t>Queue</w:t>
            </w:r>
            <w:r>
              <w:t xml:space="preserve">; the only difference is that </w:t>
            </w:r>
            <w:r>
              <w:rPr>
                <w:rStyle w:val="Text0"/>
              </w:rPr>
              <w:t>PriorityQueue</w:t>
            </w:r>
            <w:r>
              <w:t xml:space="preserve"> implements a </w:t>
            </w:r>
            <w:r>
              <w:rPr>
                <w:rStyle w:val="Text4"/>
              </w:rPr>
              <w:t>priority</w:t>
            </w:r>
            <w:r>
              <w:t xml:space="preserve"> queue, meaning the item retrieved each time is the smallest one currently in the queue. Since there is no way to specify ordering, you’ll typically use </w:t>
            </w:r>
            <w:r>
              <w:rPr>
                <w:rStyle w:val="Text0"/>
              </w:rPr>
              <w:t>(</w:t>
            </w:r>
            <w:r>
              <w:rPr>
                <w:rStyle w:val="Text3"/>
              </w:rPr>
              <w:t>priority</w:t>
            </w:r>
            <w:r>
              <w:rPr>
                <w:rStyle w:val="Text0"/>
              </w:rPr>
              <w:t>,</w:t>
            </w:r>
            <w:r>
              <w:t xml:space="preserve"> </w:t>
            </w:r>
            <w:r>
              <w:rPr>
                <w:rStyle w:val="Text3"/>
              </w:rPr>
              <w:t>payload</w:t>
            </w:r>
            <w:r>
              <w:rPr>
                <w:rStyle w:val="Text0"/>
              </w:rPr>
              <w:t>)</w:t>
            </w:r>
            <w:r>
              <w:t xml:space="preserve"> pairs as items, with low values of </w:t>
            </w:r>
            <w:r>
              <w:rPr>
                <w:rStyle w:val="Text3"/>
              </w:rPr>
              <w:t>priority</w:t>
            </w:r>
            <w:r>
              <w:t xml:space="preserve"> meaning earlier retrieval.</w:t>
            </w:r>
          </w:p>
        </w:tc>
      </w:tr>
    </w:tbl>
    <w:tbl>
      <w:tblPr>
        <w:tblW w:type="auto" w:w="0"/>
      </w:tblPr>
      <w:tr>
        <w:tc>
          <w:tcPr>
            <w:tcW w:type="auto" w:w="0"/>
            <w:tcMar>
              <w:left w:type="dxa" w:w="200"/>
              <w:top w:type="dxa" w:w="200"/>
              <w:right w:type="dxa" w:w="200"/>
              <w:bottom w:type="dxa" w:w="200"/>
            </w:tcMar>
          </w:tcPr>
          <w:p>
            <w:pPr>
              <w:pStyle w:val="Para 001"/>
            </w:pPr>
            <w:r>
              <w:t>Empty</w:t>
            </w:r>
          </w:p>
        </w:tc>
        <w:tc>
          <w:tcPr>
            <w:tcW w:type="auto" w:w="0"/>
            <w:tcMar>
              <w:left w:type="dxa" w:w="200"/>
              <w:top w:type="dxa" w:w="200"/>
              <w:right w:type="dxa" w:w="200"/>
              <w:bottom w:type="dxa" w:w="200"/>
            </w:tcMar>
          </w:tcPr>
          <w:p>
            <w:pPr>
              <w:pStyle w:val="Para 002"/>
            </w:pPr>
            <w:r>
              <w:rPr>
                <w:rStyle w:val="Text0"/>
              </w:rPr>
              <w:t>Empty</w:t>
            </w:r>
            <w:r>
              <w:t xml:space="preserve"> is the exception that </w:t>
            </w:r>
            <w:r>
              <w:rPr>
                <w:rStyle w:val="Text3"/>
              </w:rPr>
              <w:t>q</w:t>
            </w:r>
            <w:r>
              <w:rPr>
                <w:rStyle w:val="Text0"/>
              </w:rPr>
              <w:t>.get(block=</w:t>
            </w:r>
            <w:r>
              <w:rPr>
                <w:rStyle w:val="Text5"/>
              </w:rPr>
              <w:t>False</w:t>
            </w:r>
            <w:r>
              <w:rPr>
                <w:rStyle w:val="Text0"/>
              </w:rPr>
              <w:t>)</w:t>
            </w:r>
            <w:r>
              <w:t xml:space="preserve"> raises when </w:t>
            </w:r>
            <w:r>
              <w:rPr>
                <w:rStyle w:val="Text3"/>
              </w:rPr>
              <w:t>q</w:t>
            </w:r>
            <w:r>
              <w:t xml:space="preserve"> is empty.</w:t>
            </w:r>
          </w:p>
        </w:tc>
      </w:tr>
    </w:tbl>
    <w:tbl>
      <w:tblPr>
        <w:tblW w:type="auto" w:w="0"/>
      </w:tblPr>
      <w:tr>
        <w:tc>
          <w:tcPr>
            <w:tcW w:type="auto" w:w="0"/>
            <w:shd w:val="clear" w:color="auto" w:fill="EEF2F6"/>
            <w:tcMar>
              <w:left w:type="dxa" w:w="200"/>
              <w:top w:type="dxa" w:w="200"/>
              <w:right w:type="dxa" w:w="200"/>
              <w:bottom w:type="dxa" w:w="200"/>
            </w:tcMar>
          </w:tcPr>
          <w:p>
            <w:pPr>
              <w:pStyle w:val="Para 001"/>
            </w:pPr>
            <w:r>
              <w:t>Full</w:t>
            </w:r>
          </w:p>
        </w:tc>
        <w:tc>
          <w:tcPr>
            <w:tcW w:type="auto" w:w="0"/>
            <w:shd w:val="clear" w:color="auto" w:fill="EEF2F6"/>
            <w:tcMar>
              <w:left w:type="dxa" w:w="200"/>
              <w:top w:type="dxa" w:w="200"/>
              <w:right w:type="dxa" w:w="200"/>
              <w:bottom w:type="dxa" w:w="200"/>
            </w:tcMar>
          </w:tcPr>
          <w:p>
            <w:pPr>
              <w:pStyle w:val="Para 002"/>
            </w:pPr>
            <w:r>
              <w:rPr>
                <w:rStyle w:val="Text0"/>
              </w:rPr>
              <w:t>Full</w:t>
            </w:r>
            <w:r>
              <w:t xml:space="preserve"> is the exception that </w:t>
            </w:r>
            <w:r>
              <w:rPr>
                <w:rStyle w:val="Text3"/>
              </w:rPr>
              <w:t>q</w:t>
            </w:r>
            <w:r>
              <w:rPr>
                <w:rStyle w:val="Text0"/>
              </w:rPr>
              <w:t>.put(</w:t>
            </w:r>
            <w:r>
              <w:rPr>
                <w:rStyle w:val="Text3"/>
              </w:rPr>
              <w:t>x</w:t>
            </w:r>
            <w:r>
              <w:rPr>
                <w:rStyle w:val="Text0"/>
              </w:rPr>
              <w:t>, block=</w:t>
            </w:r>
            <w:r>
              <w:rPr>
                <w:rStyle w:val="Text5"/>
              </w:rPr>
              <w:t>False</w:t>
            </w:r>
            <w:r>
              <w:rPr>
                <w:rStyle w:val="Text0"/>
              </w:rPr>
              <w:t>)</w:t>
            </w:r>
            <w:r>
              <w:t xml:space="preserve"> raises when </w:t>
            </w:r>
            <w:r>
              <w:rPr>
                <w:rStyle w:val="Text3"/>
              </w:rPr>
              <w:t>q</w:t>
            </w:r>
            <w:r>
              <w:t xml:space="preserve"> is full.</w:t>
            </w:r>
          </w:p>
        </w:tc>
      </w:tr>
    </w:tbl>
    <w:p>
      <w:pPr>
        <w:pStyle w:val="Normal"/>
      </w:pPr>
      <w:r>
        <w:t xml:space="preserve">An instance </w:t>
      </w:r>
      <w:r>
        <w:rPr>
          <w:rStyle w:val="Text3"/>
        </w:rPr>
        <w:t>q</w:t>
      </w:r>
      <w:r>
        <w:t xml:space="preserve"> of the class </w:t>
      </w:r>
      <w:r>
        <w:rPr>
          <w:rStyle w:val="Text0"/>
        </w:rPr>
        <w:t>Queue</w:t>
      </w:r>
      <w:r>
        <w:t xml:space="preserve"> (or either of its subclasses) supplies the methods listed in </w:t>
      </w:r>
      <w:hyperlink w:anchor="Table_15_10__Methods_of_an_insta">
        <w:r>
          <w:rPr>
            <w:rStyle w:val="Text1"/>
          </w:rPr>
          <w:t>Table 15-10</w:t>
        </w:r>
      </w:hyperlink>
      <w:r>
        <w:t xml:space="preserve">, all thread-safe and guaranteed to be atomic. For details on the methods exposed by an instance of </w:t>
      </w:r>
      <w:r>
        <w:rPr>
          <w:rStyle w:val="Text0"/>
        </w:rPr>
        <w:t>SimpleQueue</w:t>
      </w:r>
      <w:r>
        <w:t xml:space="preserve">, see </w:t>
      </w:r>
      <w:hyperlink w:anchor="Table_15_9__Classes_of_the_queue">
        <w:r>
          <w:rPr>
            <w:rStyle w:val="Text1"/>
          </w:rPr>
          <w:t>Table 15-9</w:t>
        </w:r>
      </w:hyperlink>
      <w:r>
        <w:t>.</w:t>
      </w:r>
    </w:p>
    <w:tbl>
      <w:tblPr>
        <w:tblW w:type="auto" w:w="0"/>
      </w:tblPr>
      <w:tr>
        <w:tc>
          <w:tcPr>
            <w:tcW w:type="auto" w:w="0"/>
            <w:tcMar>
              <w:left w:type="dxa" w:w="200"/>
              <w:top w:type="dxa" w:w="200"/>
              <w:right w:type="dxa" w:w="200"/>
              <w:bottom w:type="dxa" w:w="200"/>
            </w:tcMar>
          </w:tcPr>
          <w:p>
            <w:bookmarkStart w:id="3404" w:name="Table_15_10__Methods_of_an_insta"/>
            <w:pPr>
              <w:pStyle w:val="Para 011"/>
            </w:pPr>
            <w:r>
              <w:rPr>
                <w:rStyle w:val="Text117"/>
              </w:rPr>
              <w:t/>
            </w:r>
            <w:r>
              <w:t xml:space="preserve">Table 15-10. </w:t>
              <w:t xml:space="preserve">Methods of an instance </w:t>
            </w:r>
            <w:r>
              <w:rPr>
                <w:rStyle w:val="Text0"/>
              </w:rPr>
              <w:t>q</w:t>
            </w:r>
            <w:r>
              <w:t xml:space="preserve"> of class </w:t>
            </w:r>
            <w:r>
              <w:rPr>
                <w:rStyle w:val="Text0"/>
              </w:rPr>
              <w:t>Queue</w:t>
            </w:r>
            <w:r>
              <w:t xml:space="preserve">, </w:t>
            </w:r>
            <w:r>
              <w:rPr>
                <w:rStyle w:val="Text0"/>
              </w:rPr>
              <w:t>LifoQueue</w:t>
            </w:r>
            <w:r>
              <w:t xml:space="preserve">, or </w:t>
            </w:r>
            <w:r>
              <w:rPr>
                <w:rStyle w:val="Text0"/>
              </w:rPr>
              <w:t>PriorityQueue</w:t>
            </w:r>
            <w:bookmarkEnd w:id="3404"/>
          </w:p>
          <w:p>
            <w:pPr>
              <w:pStyle w:val="Para 001"/>
            </w:pPr>
            <w:r>
              <w:t>empty</w:t>
            </w:r>
          </w:p>
        </w:tc>
        <w:tc>
          <w:tcPr>
            <w:tcW w:type="auto" w:w="0"/>
            <w:tcMar>
              <w:left w:type="dxa" w:w="200"/>
              <w:top w:type="dxa" w:w="200"/>
              <w:right w:type="dxa" w:w="200"/>
              <w:bottom w:type="dxa" w:w="200"/>
            </w:tcMar>
          </w:tcPr>
          <w:p>
            <w:pPr>
              <w:pStyle w:val="Para 002"/>
            </w:pPr>
            <w:r>
              <w:rPr>
                <w:rStyle w:val="Text3"/>
              </w:rPr>
              <w:t>q</w:t>
            </w:r>
            <w:r>
              <w:rPr>
                <w:rStyle w:val="Text0"/>
              </w:rPr>
              <w:t>.empty()</w:t>
              <w:br w:clear="none"/>
            </w:r>
            <w:r>
              <w:t xml:space="preserve"> Returns </w:t>
            </w:r>
            <w:r>
              <w:rPr>
                <w:rStyle w:val="Text5"/>
              </w:rPr>
              <w:t>True</w:t>
            </w:r>
            <w:r>
              <w:t xml:space="preserve"> when </w:t>
            </w:r>
            <w:r>
              <w:rPr>
                <w:rStyle w:val="Text3"/>
              </w:rPr>
              <w:t>q</w:t>
            </w:r>
            <w:r>
              <w:t xml:space="preserve"> is empty;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full</w:t>
            </w:r>
          </w:p>
        </w:tc>
        <w:tc>
          <w:tcPr>
            <w:tcW w:type="auto" w:w="0"/>
            <w:shd w:val="clear" w:color="auto" w:fill="EEF2F6"/>
            <w:tcMar>
              <w:left w:type="dxa" w:w="200"/>
              <w:top w:type="dxa" w:w="200"/>
              <w:right w:type="dxa" w:w="200"/>
              <w:bottom w:type="dxa" w:w="200"/>
            </w:tcMar>
          </w:tcPr>
          <w:p>
            <w:pPr>
              <w:pStyle w:val="Para 002"/>
            </w:pPr>
            <w:r>
              <w:rPr>
                <w:rStyle w:val="Text3"/>
              </w:rPr>
              <w:t>q</w:t>
            </w:r>
            <w:r>
              <w:rPr>
                <w:rStyle w:val="Text0"/>
              </w:rPr>
              <w:t>.full()</w:t>
              <w:br w:clear="none"/>
            </w:r>
            <w:r>
              <w:t xml:space="preserve"> Returns </w:t>
            </w:r>
            <w:r>
              <w:rPr>
                <w:rStyle w:val="Text5"/>
              </w:rPr>
              <w:t>True</w:t>
            </w:r>
            <w:r>
              <w:t xml:space="preserve"> when </w:t>
            </w:r>
            <w:r>
              <w:rPr>
                <w:rStyle w:val="Text3"/>
              </w:rPr>
              <w:t>q</w:t>
            </w:r>
            <w:r>
              <w:t xml:space="preserve"> is full;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get</w:t>
            </w:r>
            <w:r>
              <w:rPr>
                <w:rStyle w:val="Text12"/>
              </w:rPr>
              <w:t>,</w:t>
              <w:br w:clear="none"/>
              <w:t xml:space="preserve"> </w:t>
            </w:r>
            <w:r>
              <w:t>get_nowait</w:t>
            </w:r>
          </w:p>
        </w:tc>
        <w:tc>
          <w:tcPr>
            <w:tcW w:type="auto" w:w="0"/>
            <w:tcMar>
              <w:left w:type="dxa" w:w="200"/>
              <w:top w:type="dxa" w:w="200"/>
              <w:right w:type="dxa" w:w="200"/>
              <w:bottom w:type="dxa" w:w="200"/>
            </w:tcMar>
          </w:tcPr>
          <w:p>
            <w:pPr>
              <w:pStyle w:val="Para 002"/>
            </w:pPr>
            <w:r>
              <w:rPr>
                <w:rStyle w:val="Text3"/>
              </w:rPr>
              <w:t>q</w:t>
            </w:r>
            <w:r>
              <w:rPr>
                <w:rStyle w:val="Text0"/>
              </w:rPr>
              <w:t>.get(block=</w:t>
            </w:r>
            <w:r>
              <w:rPr>
                <w:rStyle w:val="Text5"/>
              </w:rPr>
              <w:t>True</w:t>
            </w:r>
            <w:r>
              <w:rPr>
                <w:rStyle w:val="Text0"/>
              </w:rPr>
              <w:t>, timeout=</w:t>
            </w:r>
            <w:r>
              <w:rPr>
                <w:rStyle w:val="Text5"/>
              </w:rPr>
              <w:t>None</w:t>
            </w:r>
            <w:r>
              <w:rPr>
                <w:rStyle w:val="Text0"/>
              </w:rPr>
              <w:t>)</w:t>
            </w:r>
            <w:r>
              <w:t>,</w:t>
              <w:br w:clear="none"/>
              <w:t xml:space="preserve"> </w:t>
            </w:r>
            <w:r>
              <w:rPr>
                <w:rStyle w:val="Text3"/>
              </w:rPr>
              <w:t>q</w:t>
            </w:r>
            <w:r>
              <w:rPr>
                <w:rStyle w:val="Text0"/>
              </w:rPr>
              <w:t>.get_nowait()</w:t>
              <w:br w:clear="none"/>
            </w:r>
            <w:r>
              <w:t xml:space="preserve"> When </w:t>
            </w:r>
            <w:r>
              <w:rPr>
                <w:rStyle w:val="Text0"/>
              </w:rPr>
              <w:t>block</w:t>
            </w:r>
            <w:r>
              <w:t xml:space="preserve"> is </w:t>
            </w:r>
            <w:r>
              <w:rPr>
                <w:rStyle w:val="Text5"/>
              </w:rPr>
              <w:t>False</w:t>
            </w:r>
            <w:r>
              <w:t xml:space="preserve">, </w:t>
            </w:r>
            <w:r>
              <w:rPr>
                <w:rStyle w:val="Text0"/>
              </w:rPr>
              <w:t>get</w:t>
            </w:r>
            <w:r>
              <w:t xml:space="preserve"> removes and returns an item from </w:t>
            </w:r>
            <w:r>
              <w:rPr>
                <w:rStyle w:val="Text3"/>
              </w:rPr>
              <w:t>q</w:t>
            </w:r>
            <w:r>
              <w:t xml:space="preserve"> if one is available; otherwise, </w:t>
            </w:r>
            <w:r>
              <w:rPr>
                <w:rStyle w:val="Text0"/>
              </w:rPr>
              <w:t>get</w:t>
            </w:r>
            <w:r>
              <w:t xml:space="preserve"> raises </w:t>
            </w:r>
            <w:r>
              <w:rPr>
                <w:rStyle w:val="Text0"/>
              </w:rPr>
              <w:t>Empty</w:t>
            </w:r>
            <w:r>
              <w:t xml:space="preserve">. When </w:t>
            </w:r>
            <w:r>
              <w:rPr>
                <w:rStyle w:val="Text0"/>
              </w:rPr>
              <w:t>block</w:t>
            </w:r>
            <w:r>
              <w:t xml:space="preserve"> is </w:t>
            </w:r>
            <w:r>
              <w:rPr>
                <w:rStyle w:val="Text5"/>
              </w:rPr>
              <w:t>True</w:t>
            </w:r>
            <w:r>
              <w:t xml:space="preserve"> and </w:t>
            </w:r>
            <w:r>
              <w:rPr>
                <w:rStyle w:val="Text0"/>
              </w:rPr>
              <w:t>timeout</w:t>
            </w:r>
            <w:r>
              <w:t xml:space="preserve"> is </w:t>
            </w:r>
            <w:r>
              <w:rPr>
                <w:rStyle w:val="Text5"/>
              </w:rPr>
              <w:t>None</w:t>
            </w:r>
            <w:r>
              <w:t xml:space="preserve">, </w:t>
            </w:r>
            <w:r>
              <w:rPr>
                <w:rStyle w:val="Text0"/>
              </w:rPr>
              <w:t>get</w:t>
            </w:r>
            <w:r>
              <w:t xml:space="preserve"> removes and returns an item from </w:t>
            </w:r>
            <w:r>
              <w:rPr>
                <w:rStyle w:val="Text3"/>
              </w:rPr>
              <w:t>q</w:t>
            </w:r>
            <w:r>
              <w:t xml:space="preserve">, suspending the calling thread, if need be, until an item is available. When </w:t>
            </w:r>
            <w:r>
              <w:rPr>
                <w:rStyle w:val="Text0"/>
              </w:rPr>
              <w:t>block</w:t>
            </w:r>
            <w:r>
              <w:t xml:space="preserve"> is </w:t>
            </w:r>
            <w:r>
              <w:rPr>
                <w:rStyle w:val="Text5"/>
              </w:rPr>
              <w:t>True</w:t>
            </w:r>
            <w:r>
              <w:t xml:space="preserve"> and </w:t>
            </w:r>
            <w:r>
              <w:rPr>
                <w:rStyle w:val="Text0"/>
              </w:rPr>
              <w:t>timeout</w:t>
            </w:r>
            <w:r>
              <w:t xml:space="preserve"> is not </w:t>
            </w:r>
            <w:r>
              <w:rPr>
                <w:rStyle w:val="Text5"/>
              </w:rPr>
              <w:t>None</w:t>
            </w:r>
            <w:r>
              <w:t xml:space="preserve">, </w:t>
            </w:r>
            <w:r>
              <w:rPr>
                <w:rStyle w:val="Text0"/>
              </w:rPr>
              <w:t>timeout</w:t>
            </w:r>
            <w:r>
              <w:t xml:space="preserve"> must be a number </w:t>
            </w:r>
            <w:r>
              <w:rPr>
                <w:rStyle w:val="Text0"/>
              </w:rPr>
              <w:t>&gt;=0</w:t>
            </w:r>
            <w:r>
              <w:t xml:space="preserve"> (which may include a fractional part to specify a fraction of a second), and </w:t>
            </w:r>
            <w:r>
              <w:rPr>
                <w:rStyle w:val="Text0"/>
              </w:rPr>
              <w:t>get</w:t>
            </w:r>
            <w:r>
              <w:t xml:space="preserve"> waits for no longer than </w:t>
            </w:r>
            <w:r>
              <w:rPr>
                <w:rStyle w:val="Text0"/>
              </w:rPr>
              <w:t>timeout</w:t>
            </w:r>
            <w:r>
              <w:t xml:space="preserve"> seconds (if no item is yet available by then, </w:t>
            </w:r>
            <w:r>
              <w:rPr>
                <w:rStyle w:val="Text0"/>
              </w:rPr>
              <w:t>get</w:t>
            </w:r>
            <w:r>
              <w:t xml:space="preserve"> raises </w:t>
            </w:r>
            <w:r>
              <w:rPr>
                <w:rStyle w:val="Text0"/>
              </w:rPr>
              <w:t>Empty</w:t>
            </w:r>
            <w:r>
              <w:t xml:space="preserve">). </w:t>
            </w:r>
            <w:r>
              <w:rPr>
                <w:rStyle w:val="Text3"/>
              </w:rPr>
              <w:t>q</w:t>
            </w:r>
            <w:r>
              <w:rPr>
                <w:rStyle w:val="Text0"/>
              </w:rPr>
              <w:t>.get_nowait()</w:t>
            </w:r>
            <w:r>
              <w:t xml:space="preserve"> is like </w:t>
            </w:r>
            <w:r>
              <w:rPr>
                <w:rStyle w:val="Text3"/>
              </w:rPr>
              <w:t>q</w:t>
            </w:r>
            <w:r>
              <w:rPr>
                <w:rStyle w:val="Text0"/>
              </w:rPr>
              <w:t>.get(</w:t>
            </w:r>
            <w:r>
              <w:rPr>
                <w:rStyle w:val="Text5"/>
              </w:rPr>
              <w:t>False</w:t>
            </w:r>
            <w:r>
              <w:rPr>
                <w:rStyle w:val="Text0"/>
              </w:rPr>
              <w:t>)</w:t>
            </w:r>
            <w:r>
              <w:t xml:space="preserve">, which is also like </w:t>
            </w:r>
            <w:r>
              <w:rPr>
                <w:rStyle w:val="Text3"/>
              </w:rPr>
              <w:t>q</w:t>
            </w:r>
            <w:r>
              <w:rPr>
                <w:rStyle w:val="Text0"/>
              </w:rPr>
              <w:t>.get(timeout=0.0)</w:t>
            </w:r>
            <w:r>
              <w:t xml:space="preserve">. </w:t>
            </w:r>
            <w:r>
              <w:rPr>
                <w:rStyle w:val="Text0"/>
              </w:rPr>
              <w:t>get</w:t>
            </w:r>
            <w:r>
              <w:t xml:space="preserve"> removes and returns items: in the same order as </w:t>
            </w:r>
            <w:r>
              <w:rPr>
                <w:rStyle w:val="Text0"/>
              </w:rPr>
              <w:t>put</w:t>
            </w:r>
            <w:r>
              <w:t xml:space="preserve"> inserted them (FIFO) if </w:t>
            </w:r>
            <w:r>
              <w:rPr>
                <w:rStyle w:val="Text3"/>
              </w:rPr>
              <w:t>q</w:t>
            </w:r>
            <w:r>
              <w:t xml:space="preserve"> is a direct instance of </w:t>
            </w:r>
            <w:r>
              <w:rPr>
                <w:rStyle w:val="Text0"/>
              </w:rPr>
              <w:t>Queue</w:t>
            </w:r>
            <w:r>
              <w:t xml:space="preserve"> itself, in LIFO order if </w:t>
            </w:r>
            <w:r>
              <w:rPr>
                <w:rStyle w:val="Text3"/>
              </w:rPr>
              <w:t>q</w:t>
            </w:r>
            <w:r>
              <w:t xml:space="preserve"> is an instance of </w:t>
            </w:r>
            <w:r>
              <w:rPr>
                <w:rStyle w:val="Text0"/>
              </w:rPr>
              <w:t>LifoQueue</w:t>
            </w:r>
            <w:r>
              <w:t xml:space="preserve">, or in smallest-first order if </w:t>
            </w:r>
            <w:r>
              <w:rPr>
                <w:rStyle w:val="Text3"/>
              </w:rPr>
              <w:t>q</w:t>
            </w:r>
            <w:r>
              <w:t xml:space="preserve"> is an instance of </w:t>
            </w:r>
            <w:r>
              <w:rPr>
                <w:rStyle w:val="Text0"/>
              </w:rPr>
              <w:t>PriorityQueue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put</w:t>
            </w:r>
            <w:r>
              <w:rPr>
                <w:rStyle w:val="Text12"/>
              </w:rPr>
              <w:t>,</w:t>
              <w:br w:clear="none"/>
              <w:t xml:space="preserve"> </w:t>
            </w:r>
            <w:r>
              <w:t>put_nowait</w:t>
            </w:r>
          </w:p>
        </w:tc>
        <w:tc>
          <w:tcPr>
            <w:tcW w:type="auto" w:w="0"/>
            <w:shd w:val="clear" w:color="auto" w:fill="EEF2F6"/>
            <w:tcMar>
              <w:left w:type="dxa" w:w="200"/>
              <w:top w:type="dxa" w:w="200"/>
              <w:right w:type="dxa" w:w="200"/>
              <w:bottom w:type="dxa" w:w="200"/>
            </w:tcMar>
          </w:tcPr>
          <w:p>
            <w:pPr>
              <w:pStyle w:val="Para 002"/>
            </w:pPr>
            <w:r>
              <w:rPr>
                <w:rStyle w:val="Text3"/>
              </w:rPr>
              <w:t>q</w:t>
            </w:r>
            <w:r>
              <w:rPr>
                <w:rStyle w:val="Text0"/>
              </w:rPr>
              <w:t>.put(</w:t>
            </w:r>
            <w:r>
              <w:rPr>
                <w:rStyle w:val="Text3"/>
              </w:rPr>
              <w:t>item</w:t>
            </w:r>
            <w:r>
              <w:rPr>
                <w:rStyle w:val="Text0"/>
              </w:rPr>
              <w:t>, block=</w:t>
            </w:r>
            <w:r>
              <w:rPr>
                <w:rStyle w:val="Text5"/>
              </w:rPr>
              <w:t>True</w:t>
            </w:r>
            <w:r>
              <w:rPr>
                <w:rStyle w:val="Text0"/>
              </w:rPr>
              <w:t>, timeout=</w:t>
            </w:r>
            <w:r>
              <w:rPr>
                <w:rStyle w:val="Text5"/>
              </w:rPr>
              <w:t>None</w:t>
            </w:r>
            <w:r>
              <w:rPr>
                <w:rStyle w:val="Text0"/>
              </w:rPr>
              <w:t>)</w:t>
              <w:br w:clear="none"/>
            </w:r>
            <w:r>
              <w:t xml:space="preserve"> </w:t>
            </w:r>
            <w:r>
              <w:rPr>
                <w:rStyle w:val="Text3"/>
              </w:rPr>
              <w:t>q</w:t>
            </w:r>
            <w:r>
              <w:rPr>
                <w:rStyle w:val="Text0"/>
              </w:rPr>
              <w:t>.put_nowait(</w:t>
            </w:r>
            <w:r>
              <w:rPr>
                <w:rStyle w:val="Text3"/>
              </w:rPr>
              <w:t>item</w:t>
            </w:r>
            <w:r>
              <w:rPr>
                <w:rStyle w:val="Text0"/>
              </w:rPr>
              <w:t>)</w:t>
              <w:br w:clear="none"/>
            </w:r>
            <w:r>
              <w:t xml:space="preserve"> When </w:t>
            </w:r>
            <w:r>
              <w:rPr>
                <w:rStyle w:val="Text0"/>
              </w:rPr>
              <w:t>block</w:t>
            </w:r>
            <w:r>
              <w:t xml:space="preserve"> is </w:t>
            </w:r>
            <w:r>
              <w:rPr>
                <w:rStyle w:val="Text5"/>
              </w:rPr>
              <w:t>False</w:t>
            </w:r>
            <w:r>
              <w:t xml:space="preserve">, </w:t>
            </w:r>
            <w:r>
              <w:rPr>
                <w:rStyle w:val="Text0"/>
              </w:rPr>
              <w:t>put</w:t>
            </w:r>
            <w:r>
              <w:t xml:space="preserve"> adds </w:t>
            </w:r>
            <w:r>
              <w:rPr>
                <w:rStyle w:val="Text3"/>
              </w:rPr>
              <w:t>item</w:t>
            </w:r>
            <w:r>
              <w:t xml:space="preserve"> to </w:t>
            </w:r>
            <w:r>
              <w:rPr>
                <w:rStyle w:val="Text3"/>
              </w:rPr>
              <w:t>q</w:t>
            </w:r>
            <w:r>
              <w:t xml:space="preserve"> if </w:t>
            </w:r>
            <w:r>
              <w:rPr>
                <w:rStyle w:val="Text3"/>
              </w:rPr>
              <w:t>q</w:t>
            </w:r>
            <w:r>
              <w:t xml:space="preserve"> is not full; otherwise, </w:t>
            </w:r>
            <w:r>
              <w:rPr>
                <w:rStyle w:val="Text0"/>
              </w:rPr>
              <w:t>put</w:t>
            </w:r>
            <w:r>
              <w:t xml:space="preserve"> raises </w:t>
            </w:r>
            <w:r>
              <w:rPr>
                <w:rStyle w:val="Text0"/>
              </w:rPr>
              <w:t>Full</w:t>
            </w:r>
            <w:r>
              <w:t xml:space="preserve">. When </w:t>
            </w:r>
            <w:r>
              <w:rPr>
                <w:rStyle w:val="Text0"/>
              </w:rPr>
              <w:t>block</w:t>
            </w:r>
            <w:r>
              <w:t xml:space="preserve"> is </w:t>
            </w:r>
            <w:r>
              <w:rPr>
                <w:rStyle w:val="Text5"/>
              </w:rPr>
              <w:t>True</w:t>
            </w:r>
            <w:r>
              <w:t xml:space="preserve"> and </w:t>
            </w:r>
            <w:r>
              <w:rPr>
                <w:rStyle w:val="Text0"/>
              </w:rPr>
              <w:t>timeout</w:t>
            </w:r>
            <w:r>
              <w:t xml:space="preserve"> is </w:t>
            </w:r>
            <w:r>
              <w:rPr>
                <w:rStyle w:val="Text5"/>
              </w:rPr>
              <w:t>None</w:t>
            </w:r>
            <w:r>
              <w:t xml:space="preserve">, </w:t>
            </w:r>
            <w:r>
              <w:rPr>
                <w:rStyle w:val="Text0"/>
              </w:rPr>
              <w:t>put</w:t>
            </w:r>
            <w:r>
              <w:t xml:space="preserve"> adds </w:t>
            </w:r>
            <w:r>
              <w:rPr>
                <w:rStyle w:val="Text3"/>
              </w:rPr>
              <w:t>item</w:t>
            </w:r>
            <w:r>
              <w:t xml:space="preserve"> to </w:t>
            </w:r>
            <w:r>
              <w:rPr>
                <w:rStyle w:val="Text3"/>
              </w:rPr>
              <w:t>q</w:t>
            </w:r>
            <w:r>
              <w:t xml:space="preserve">, suspending the calling thread, if need be, until </w:t>
            </w:r>
            <w:r>
              <w:rPr>
                <w:rStyle w:val="Text3"/>
              </w:rPr>
              <w:t>q</w:t>
            </w:r>
            <w:r>
              <w:t xml:space="preserve"> is not full. When </w:t>
            </w:r>
            <w:r>
              <w:rPr>
                <w:rStyle w:val="Text0"/>
              </w:rPr>
              <w:t>block</w:t>
            </w:r>
            <w:r>
              <w:t xml:space="preserve"> is </w:t>
            </w:r>
            <w:r>
              <w:rPr>
                <w:rStyle w:val="Text5"/>
              </w:rPr>
              <w:t>True</w:t>
            </w:r>
            <w:r>
              <w:t xml:space="preserve"> and </w:t>
            </w:r>
            <w:r>
              <w:rPr>
                <w:rStyle w:val="Text0"/>
              </w:rPr>
              <w:t>timeout</w:t>
            </w:r>
            <w:r>
              <w:t xml:space="preserve"> is not </w:t>
            </w:r>
            <w:r>
              <w:rPr>
                <w:rStyle w:val="Text5"/>
              </w:rPr>
              <w:t>None</w:t>
            </w:r>
            <w:r>
              <w:t xml:space="preserve">, </w:t>
            </w:r>
            <w:r>
              <w:rPr>
                <w:rStyle w:val="Text0"/>
              </w:rPr>
              <w:t>timeout</w:t>
            </w:r>
            <w:r>
              <w:t xml:space="preserve"> must be a number </w:t>
            </w:r>
            <w:r>
              <w:rPr>
                <w:rStyle w:val="Text0"/>
              </w:rPr>
              <w:t>&gt;=0</w:t>
            </w:r>
            <w:r>
              <w:t xml:space="preserve"> (which may include a fractional part to specify a fraction of a second), and </w:t>
            </w:r>
            <w:r>
              <w:rPr>
                <w:rStyle w:val="Text0"/>
              </w:rPr>
              <w:t>put</w:t>
            </w:r>
            <w:r>
              <w:t xml:space="preserve"> waits for no longer than </w:t>
            </w:r>
            <w:r>
              <w:rPr>
                <w:rStyle w:val="Text0"/>
              </w:rPr>
              <w:t>timeout</w:t>
            </w:r>
            <w:r>
              <w:t xml:space="preserve"> seconds (if </w:t>
            </w:r>
            <w:r>
              <w:rPr>
                <w:rStyle w:val="Text3"/>
              </w:rPr>
              <w:t>q</w:t>
            </w:r>
            <w:r>
              <w:t xml:space="preserve"> is still full by then, </w:t>
            </w:r>
            <w:r>
              <w:rPr>
                <w:rStyle w:val="Text0"/>
              </w:rPr>
              <w:t>put</w:t>
            </w:r>
            <w:r>
              <w:t xml:space="preserve"> raises </w:t>
            </w:r>
            <w:r>
              <w:rPr>
                <w:rStyle w:val="Text0"/>
              </w:rPr>
              <w:t>Full</w:t>
            </w:r>
            <w:r>
              <w:t xml:space="preserve">). </w:t>
            </w:r>
            <w:r>
              <w:rPr>
                <w:rStyle w:val="Text3"/>
              </w:rPr>
              <w:t>q</w:t>
            </w:r>
            <w:r>
              <w:rPr>
                <w:rStyle w:val="Text0"/>
              </w:rPr>
              <w:t>.put_nowait(</w:t>
            </w:r>
            <w:r>
              <w:rPr>
                <w:rStyle w:val="Text3"/>
              </w:rPr>
              <w:t>item</w:t>
            </w:r>
            <w:r>
              <w:rPr>
                <w:rStyle w:val="Text0"/>
              </w:rPr>
              <w:t>)</w:t>
            </w:r>
            <w:r>
              <w:t xml:space="preserve"> is like </w:t>
            </w:r>
            <w:r>
              <w:rPr>
                <w:rStyle w:val="Text3"/>
              </w:rPr>
              <w:t>q</w:t>
            </w:r>
            <w:r>
              <w:rPr>
                <w:rStyle w:val="Text0"/>
              </w:rPr>
              <w:t>.put(</w:t>
            </w:r>
            <w:r>
              <w:rPr>
                <w:rStyle w:val="Text3"/>
              </w:rPr>
              <w:t>item</w:t>
            </w:r>
            <w:r>
              <w:rPr>
                <w:rStyle w:val="Text0"/>
              </w:rPr>
              <w:t>,</w:t>
            </w:r>
            <w:r>
              <w:t xml:space="preserve"> </w:t>
            </w:r>
            <w:r>
              <w:rPr>
                <w:rStyle w:val="Text5"/>
              </w:rPr>
              <w:t>False</w:t>
            </w:r>
            <w:r>
              <w:rPr>
                <w:rStyle w:val="Text0"/>
              </w:rPr>
              <w:t>)</w:t>
            </w:r>
            <w:r>
              <w:t xml:space="preserve">, which is also like </w:t>
            </w:r>
            <w:r>
              <w:rPr>
                <w:rStyle w:val="Text3"/>
              </w:rPr>
              <w:t>q</w:t>
            </w:r>
            <w:r>
              <w:rPr>
                <w:rStyle w:val="Text0"/>
              </w:rPr>
              <w:t>.put(</w:t>
            </w:r>
            <w:r>
              <w:rPr>
                <w:rStyle w:val="Text3"/>
              </w:rPr>
              <w:t>item</w:t>
            </w:r>
            <w:r>
              <w:rPr>
                <w:rStyle w:val="Text0"/>
              </w:rPr>
              <w:t>, timeout=0.0)</w:t>
            </w:r>
            <w:r>
              <w:t>.</w:t>
            </w:r>
          </w:p>
        </w:tc>
      </w:tr>
    </w:tbl>
    <w:tbl>
      <w:tblPr>
        <w:tblW w:type="auto" w:w="0"/>
      </w:tblPr>
      <w:tr>
        <w:tc>
          <w:tcPr>
            <w:tcW w:type="auto" w:w="0"/>
            <w:tcMar>
              <w:left w:type="dxa" w:w="200"/>
              <w:top w:type="dxa" w:w="200"/>
              <w:right w:type="dxa" w:w="200"/>
              <w:bottom w:type="dxa" w:w="200"/>
            </w:tcMar>
          </w:tcPr>
          <w:p>
            <w:pPr>
              <w:pStyle w:val="Para 001"/>
            </w:pPr>
            <w:r>
              <w:t>qsize</w:t>
            </w:r>
          </w:p>
        </w:tc>
        <w:tc>
          <w:tcPr>
            <w:tcW w:type="auto" w:w="0"/>
            <w:tcMar>
              <w:left w:type="dxa" w:w="200"/>
              <w:top w:type="dxa" w:w="200"/>
              <w:right w:type="dxa" w:w="200"/>
              <w:bottom w:type="dxa" w:w="200"/>
            </w:tcMar>
          </w:tcPr>
          <w:p>
            <w:pPr>
              <w:pStyle w:val="Para 002"/>
            </w:pPr>
            <w:r>
              <w:rPr>
                <w:rStyle w:val="Text3"/>
              </w:rPr>
              <w:t>q</w:t>
            </w:r>
            <w:r>
              <w:rPr>
                <w:rStyle w:val="Text0"/>
              </w:rPr>
              <w:t>.qsize()</w:t>
              <w:br w:clear="none"/>
            </w:r>
            <w:r>
              <w:t xml:space="preserve"> Returns the number of items that are currently in </w:t>
            </w:r>
            <w:r>
              <w:rPr>
                <w:rStyle w:val="Text3"/>
              </w:rPr>
              <w:t>q</w:t>
            </w:r>
            <w:r>
              <w:t>.</w:t>
            </w:r>
          </w:p>
        </w:tc>
      </w:tr>
    </w:tbl>
    <w:p>
      <w:pPr>
        <w:pStyle w:val="Normal"/>
      </w:pPr>
      <w:r>
        <w:rPr>
          <w:rStyle w:val="Text3"/>
        </w:rPr>
        <w:t>q</w:t>
      </w:r>
      <w:r>
        <w:t xml:space="preserve"> maintains an internal, hidden count of</w:t>
      </w:r>
      <w:r>
        <w:rPr>
          <w:rStyle w:val="Text111"/>
        </w:rPr>
        <w:bookmarkStart w:id="3405" w:name="idm45965191847504"/>
        <w:t/>
        <w:bookmarkEnd w:id="3405"/>
      </w:r>
      <w:r>
        <w:t xml:space="preserve"> </w:t>
      </w:r>
      <w:r>
        <w:rPr>
          <w:rStyle w:val="Text4"/>
        </w:rPr>
        <w:t>unfinished tasks</w:t>
      </w:r>
      <w:r>
        <w:t xml:space="preserve">, which starts at zero. Each call to </w:t>
      </w:r>
      <w:r>
        <w:rPr>
          <w:rStyle w:val="Text0"/>
        </w:rPr>
        <w:t>put</w:t>
      </w:r>
      <w:r>
        <w:t xml:space="preserve"> increments the count by one. To decrement the count by one, when a worker thread has finished processing a task, it calls </w:t>
      </w:r>
      <w:r>
        <w:rPr>
          <w:rStyle w:val="Text3"/>
        </w:rPr>
        <w:t>q</w:t>
      </w:r>
      <w:r>
        <w:rPr>
          <w:rStyle w:val="Text0"/>
        </w:rPr>
        <w:t>.task_done</w:t>
      </w:r>
      <w:r>
        <w:t xml:space="preserve">. To synchronize on “all tasks done,” call </w:t>
      </w:r>
      <w:r>
        <w:rPr>
          <w:rStyle w:val="Text3"/>
        </w:rPr>
        <w:t>q</w:t>
      </w:r>
      <w:r>
        <w:rPr>
          <w:rStyle w:val="Text0"/>
        </w:rPr>
        <w:t>.join</w:t>
      </w:r>
      <w:r>
        <w:t xml:space="preserve">: when the count of unfinished tasks is nonzero, </w:t>
      </w:r>
      <w:r>
        <w:rPr>
          <w:rStyle w:val="Text3"/>
        </w:rPr>
        <w:t>q</w:t>
      </w:r>
      <w:r>
        <w:rPr>
          <w:rStyle w:val="Text0"/>
        </w:rPr>
        <w:t>.join</w:t>
      </w:r>
      <w:r>
        <w:t xml:space="preserve"> blocks the calling thread, unblocking later when the count goes to zero; when the count of unfinished tasks is zero, </w:t>
      </w:r>
      <w:r>
        <w:rPr>
          <w:rStyle w:val="Text3"/>
        </w:rPr>
        <w:t>q</w:t>
      </w:r>
      <w:r>
        <w:rPr>
          <w:rStyle w:val="Text0"/>
        </w:rPr>
        <w:t>.join</w:t>
      </w:r>
      <w:r>
        <w:t xml:space="preserve"> continues the calling thread.</w:t>
      </w:r>
    </w:p>
    <w:p>
      <w:pPr>
        <w:pStyle w:val="Normal"/>
      </w:pPr>
      <w:r>
        <w:t xml:space="preserve">You don’t have to use </w:t>
      </w:r>
      <w:r>
        <w:rPr>
          <w:rStyle w:val="Text0"/>
        </w:rPr>
        <w:t>join</w:t>
      </w:r>
      <w:r>
        <w:t xml:space="preserve"> and </w:t>
      </w:r>
      <w:r>
        <w:rPr>
          <w:rStyle w:val="Text0"/>
        </w:rPr>
        <w:t>task_done</w:t>
      </w:r>
      <w:r>
        <w:t xml:space="preserve"> if you prefer to coordinate threads in other ways, but they provide a simple, useful approach when you need to coordinate systems of threads using a </w:t>
      </w:r>
      <w:r>
        <w:rPr>
          <w:rStyle w:val="Text0"/>
        </w:rPr>
        <w:t>Queue</w:t>
      </w:r>
      <w:r>
        <w:t>.</w:t>
      </w:r>
    </w:p>
    <w:p>
      <w:pPr>
        <w:pStyle w:val="Normal"/>
      </w:pPr>
      <w:r>
        <w:rPr>
          <w:rStyle w:val="Text0"/>
        </w:rPr>
        <w:t>Queue</w:t>
      </w:r>
      <w:r>
        <w:rPr>
          <w:rStyle w:val="Text111"/>
        </w:rPr>
        <w:bookmarkStart w:id="3406" w:name="idm45965191835712"/>
        <w:t/>
        <w:bookmarkEnd w:id="3406"/>
        <w:bookmarkStart w:id="3407" w:name="idm45965191834512"/>
        <w:t/>
        <w:bookmarkEnd w:id="3407"/>
      </w:r>
      <w:r>
        <w:t xml:space="preserve"> offers a good example of the idiom “It’s easier to ask forgiveness than permission” (EAFP), covered in </w:t>
      </w:r>
      <w:hyperlink w:anchor="Error_Checking_Strategies__Most">
        <w:r>
          <w:rPr>
            <w:rStyle w:val="Text1"/>
          </w:rPr>
          <w:t>“Error-Checking Strategies”</w:t>
        </w:r>
      </w:hyperlink>
      <w:r>
        <w:t xml:space="preserve">. Due to multithreading, each nonmutating method of </w:t>
      </w:r>
      <w:r>
        <w:rPr>
          <w:rStyle w:val="Text3"/>
        </w:rPr>
        <w:t>q</w:t>
      </w:r>
      <w:r>
        <w:t xml:space="preserve"> (</w:t>
      </w:r>
      <w:r>
        <w:rPr>
          <w:rStyle w:val="Text0"/>
        </w:rPr>
        <w:t>empty</w:t>
      </w:r>
      <w:r>
        <w:t xml:space="preserve">, </w:t>
      </w:r>
      <w:r>
        <w:rPr>
          <w:rStyle w:val="Text0"/>
        </w:rPr>
        <w:t>full</w:t>
      </w:r>
      <w:r>
        <w:t xml:space="preserve">, </w:t>
      </w:r>
      <w:r>
        <w:rPr>
          <w:rStyle w:val="Text0"/>
        </w:rPr>
        <w:t>qsize</w:t>
      </w:r>
      <w:r>
        <w:t xml:space="preserve">) can only be advisory. When some other thread mutates </w:t>
      </w:r>
      <w:r>
        <w:rPr>
          <w:rStyle w:val="Text3"/>
        </w:rPr>
        <w:t>q</w:t>
      </w:r>
      <w:r>
        <w:t>, things can change between the instant a thread gets information from a nonmutating method and the very next moment, when the thread acts on the information. Relying</w:t>
      </w:r>
      <w:r>
        <w:rPr>
          <w:rStyle w:val="Text111"/>
        </w:rPr>
        <w:bookmarkStart w:id="3408" w:name="idm45965191828384"/>
        <w:t/>
        <w:bookmarkEnd w:id="3408"/>
        <w:bookmarkStart w:id="3409" w:name="idm45965191827248"/>
        <w:t/>
        <w:bookmarkEnd w:id="3409"/>
      </w:r>
      <w:r>
        <w:t xml:space="preserve"> on the “look before you leap” (LBYL) idiom is therefore futile, and fiddling with locks to try to fix things is a substantial waste of effort. Avoid fragile LBYL code, such as:</w:t>
      </w:r>
    </w:p>
    <w:p>
      <w:pPr>
        <w:pStyle w:val="Para 046"/>
      </w:pPr>
      <w:r>
        <w:rPr>
          <w:rStyle w:val="Text23"/>
        </w:rPr>
        <w:t xml:space="preserve"/>
        <w:br w:clear="none"/>
      </w:r>
      <w:r>
        <w:rPr>
          <w:rStyle w:val="Text10"/>
        </w:rPr>
        <w:t xml:space="preserve">if</w:t>
        <w:br w:clear="none"/>
      </w:r>
      <w:r>
        <w:rPr>
          <w:rStyle w:val="Text6"/>
        </w:rPr>
        <w:t xml:space="preserve"> </w:t>
        <w:br w:clear="none"/>
      </w:r>
      <w:r>
        <w:rPr>
          <w:rStyle w:val="Text14"/>
        </w:rPr>
        <w:t xml:space="preserve">q</w:t>
        <w:br w:clear="none"/>
      </w:r>
      <w:r>
        <w:rPr>
          <w:rStyle w:val="Text13"/>
        </w:rPr>
        <w:t xml:space="preserve">.</w:t>
        <w:br w:clear="none"/>
      </w:r>
      <w:r>
        <w:rPr>
          <w:rStyle w:val="Text9"/>
        </w:rPr>
        <w:t xml:space="preserve">empty</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no work to perform</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t>
        <w:br w:clear="none"/>
      </w:r>
      <w:r>
        <w:t xml:space="preserve"># Some other thread may now have emptied the queue!</w:t>
        <w:br w:clear="none"/>
      </w:r>
      <w:r>
        <w:rPr>
          <w:rStyle w:val="Text6"/>
        </w:rPr>
        <w:t xml:space="preserve"/>
        <w:br w:clear="none"/>
        <w:t xml:space="preserve">    </w:t>
        <w:br w:clear="none"/>
      </w:r>
      <w:r>
        <w:rPr>
          <w:rStyle w:val="Text14"/>
        </w:rPr>
        <w:t xml:space="preserve">x</w:t>
        <w:br w:clear="none"/>
      </w:r>
      <w:r>
        <w:rPr>
          <w:rStyle w:val="Text6"/>
        </w:rPr>
        <w:t xml:space="preserve"> </w:t>
        <w:br w:clear="none"/>
      </w:r>
      <w:r>
        <w:rPr>
          <w:rStyle w:val="Text13"/>
        </w:rPr>
        <w:t xml:space="preserve">=</w:t>
        <w:br w:clear="none"/>
      </w:r>
      <w:r>
        <w:rPr>
          <w:rStyle w:val="Text6"/>
        </w:rPr>
        <w:t xml:space="preserve"> </w:t>
        <w:br w:clear="none"/>
      </w:r>
      <w:r>
        <w:rPr>
          <w:rStyle w:val="Text14"/>
        </w:rPr>
        <w:t xml:space="preserve">q</w:t>
        <w:br w:clear="none"/>
      </w:r>
      <w:r>
        <w:rPr>
          <w:rStyle w:val="Text13"/>
        </w:rPr>
        <w:t xml:space="preserve">.</w:t>
        <w:br w:clear="none"/>
      </w:r>
      <w:r>
        <w:rPr>
          <w:rStyle w:val="Text9"/>
        </w:rPr>
        <w:t xml:space="preserve">get_nowait</w:t>
        <w:br w:clear="none"/>
      </w:r>
      <w:r>
        <w:rPr>
          <w:rStyle w:val="Text7"/>
        </w:rPr>
        <w:t xml:space="preserve">(</w:t>
        <w:br w:clear="none"/>
        <w:t xml:space="preserve">)</w:t>
        <w:br w:clear="none"/>
      </w:r>
      <w:r>
        <w:rPr>
          <w:rStyle w:val="Text6"/>
        </w:rPr>
        <w:t xml:space="preserve"/>
        <w:br w:clear="none"/>
        <w:t xml:space="preserve">    </w:t>
        <w:br w:clear="none"/>
      </w:r>
      <w:r>
        <w:rPr>
          <w:rStyle w:val="Text9"/>
        </w:rPr>
        <w:t xml:space="preserve">work_on</w:t>
        <w:br w:clear="none"/>
      </w:r>
      <w:r>
        <w:rPr>
          <w:rStyle w:val="Text7"/>
        </w:rPr>
        <w:t xml:space="preserve">(</w:t>
        <w:br w:clear="none"/>
      </w:r>
      <w:r>
        <w:rPr>
          <w:rStyle w:val="Text14"/>
        </w:rPr>
        <w:t xml:space="preserve">x</w:t>
        <w:br w:clear="none"/>
      </w:r>
      <w:r>
        <w:rPr>
          <w:rStyle w:val="Text7"/>
        </w:rPr>
        <w:t xml:space="preserve">)</w:t>
        <w:br w:clear="none"/>
      </w:r>
    </w:p>
    <w:p>
      <w:pPr>
        <w:pStyle w:val="Normal"/>
      </w:pPr>
      <w:r>
        <w:t>and instead use the simpler and more robust</w:t>
      </w:r>
      <w:r>
        <w:rPr>
          <w:rStyle w:val="Text111"/>
        </w:rPr>
        <w:bookmarkStart w:id="3410" w:name="idm45965191786480"/>
        <w:t/>
        <w:bookmarkEnd w:id="3410"/>
        <w:bookmarkStart w:id="3411" w:name="idm45965191795040"/>
        <w:t/>
        <w:bookmarkEnd w:id="3411"/>
      </w:r>
      <w:r>
        <w:t xml:space="preserve"> EAFP approach:</w:t>
      </w:r>
    </w:p>
    <w:p>
      <w:pPr>
        <w:pStyle w:val="Para 046"/>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14"/>
        </w:rPr>
        <w:t xml:space="preserve">x</w:t>
        <w:br w:clear="none"/>
      </w:r>
      <w:r>
        <w:rPr>
          <w:rStyle w:val="Text6"/>
        </w:rPr>
        <w:t xml:space="preserve"> </w:t>
        <w:br w:clear="none"/>
      </w:r>
      <w:r>
        <w:rPr>
          <w:rStyle w:val="Text13"/>
        </w:rPr>
        <w:t xml:space="preserve">=</w:t>
        <w:br w:clear="none"/>
      </w:r>
      <w:r>
        <w:rPr>
          <w:rStyle w:val="Text6"/>
        </w:rPr>
        <w:t xml:space="preserve"> </w:t>
        <w:br w:clear="none"/>
      </w:r>
      <w:r>
        <w:rPr>
          <w:rStyle w:val="Text14"/>
        </w:rPr>
        <w:t xml:space="preserve">q</w:t>
        <w:br w:clear="none"/>
      </w:r>
      <w:r>
        <w:rPr>
          <w:rStyle w:val="Text13"/>
        </w:rPr>
        <w:t xml:space="preserve">.</w:t>
        <w:br w:clear="none"/>
      </w:r>
      <w:r>
        <w:rPr>
          <w:rStyle w:val="Text9"/>
        </w:rPr>
        <w:t xml:space="preserve">get_nowait</w:t>
        <w:br w:clear="none"/>
      </w:r>
      <w:r>
        <w:rPr>
          <w:rStyle w:val="Text7"/>
        </w:rPr>
        <w:t xml:space="preserve">(</w:t>
        <w:br w:clear="none"/>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9"/>
        </w:rPr>
        <w:t xml:space="preserve">queue</w:t>
        <w:br w:clear="none"/>
      </w:r>
      <w:r>
        <w:rPr>
          <w:rStyle w:val="Text13"/>
        </w:rPr>
        <w:t xml:space="preserve">.</w:t>
        <w:br w:clear="none"/>
      </w:r>
      <w:r>
        <w:rPr>
          <w:rStyle w:val="Text9"/>
        </w:rPr>
        <w:t xml:space="preserve">Empty</w:t>
        <w:br w:clear="none"/>
      </w:r>
      <w:r>
        <w:rPr>
          <w:rStyle w:val="Text7"/>
        </w:rPr>
        <w:t xml:space="preserve">:</w:t>
        <w:br w:clear="none"/>
      </w:r>
      <w:r>
        <w:rPr>
          <w:rStyle w:val="Text6"/>
        </w:rPr>
        <w:t xml:space="preserve">  </w:t>
        <w:br w:clear="none"/>
      </w:r>
      <w:r>
        <w:t xml:space="preserve"># Guarantees the queue was empty when accessed</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no work to perform</w:t>
        <w:br w:clear="none"/>
        <w:t xml:space="preserve">'</w:t>
        <w:br w:clear="none"/>
      </w:r>
      <w:r>
        <w:rPr>
          <w:rStyle w:val="Text7"/>
        </w:rPr>
        <w:t xml:space="preserve">)</w:t>
        <w:br w:clear="none"/>
      </w:r>
      <w:r>
        <w:rPr>
          <w:rStyle w:val="Text6"/>
        </w:rPr>
        <w:t xml:space="preserve"/>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9"/>
        </w:rPr>
        <w:t xml:space="preserve">work_on</w:t>
        <w:br w:clear="none"/>
      </w:r>
      <w:r>
        <w:rPr>
          <w:rStyle w:val="Text7"/>
        </w:rPr>
        <w:t xml:space="preserve">(</w:t>
        <w:br w:clear="none"/>
      </w:r>
      <w:r>
        <w:rPr>
          <w:rStyle w:val="Text14"/>
        </w:rPr>
        <w:t xml:space="preserve">x</w:t>
        <w:br w:clear="none"/>
      </w:r>
      <w:r>
        <w:rPr>
          <w:rStyle w:val="Text7"/>
        </w:rPr>
        <w:t xml:space="preserve">)</w:t>
        <w:br w:clear="none"/>
      </w:r>
    </w:p>
    <w:p>
      <w:bookmarkStart w:id="3412" w:name="The_multiprocessing_Module__The"/>
      <w:pPr>
        <w:keepNext/>
        <w:pStyle w:val="Heading 1"/>
      </w:pPr>
      <w:r>
        <w:t>The multiprocessing Module</w:t>
      </w:r>
      <w:bookmarkEnd w:id="3412"/>
    </w:p>
    <w:p>
      <w:pPr>
        <w:pStyle w:val="Normal"/>
      </w:pPr>
      <w:r>
        <w:t>The</w:t>
      </w:r>
      <w:r>
        <w:rPr>
          <w:rStyle w:val="Text111"/>
        </w:rPr>
        <w:bookmarkStart w:id="3413" w:name="TAPmulti15"/>
        <w:t/>
        <w:bookmarkEnd w:id="3413"/>
        <w:bookmarkStart w:id="3414" w:name="multimod15"/>
        <w:t/>
        <w:bookmarkEnd w:id="3414"/>
        <w:bookmarkStart w:id="3415" w:name="idm45965191732176"/>
        <w:t/>
        <w:bookmarkEnd w:id="3415"/>
        <w:bookmarkStart w:id="3416" w:name="idm45965191730800"/>
        <w:t/>
        <w:bookmarkEnd w:id="3416"/>
      </w:r>
      <w:r>
        <w:t xml:space="preserve"> </w:t>
      </w:r>
      <w:r>
        <w:rPr>
          <w:rStyle w:val="Text0"/>
        </w:rPr>
        <w:t>multiprocessing</w:t>
      </w:r>
      <w:r>
        <w:t xml:space="preserve"> module supplies functions and classes to code pretty much as you would for multithreading, but distributing work across processes, rather than across threads: these include the class </w:t>
      </w:r>
      <w:r>
        <w:rPr>
          <w:rStyle w:val="Text0"/>
        </w:rPr>
        <w:t>Process</w:t>
      </w:r>
      <w:r>
        <w:t xml:space="preserve"> (analogous to </w:t>
      </w:r>
      <w:r>
        <w:rPr>
          <w:rStyle w:val="Text0"/>
        </w:rPr>
        <w:t>threading.Thread</w:t>
      </w:r>
      <w:r>
        <w:t>) and classes for synchronization primitives (</w:t>
      </w:r>
      <w:r>
        <w:rPr>
          <w:rStyle w:val="Text0"/>
        </w:rPr>
        <w:t>Lock</w:t>
      </w:r>
      <w:r>
        <w:t xml:space="preserve">, </w:t>
      </w:r>
      <w:r>
        <w:rPr>
          <w:rStyle w:val="Text0"/>
        </w:rPr>
        <w:t>RLock</w:t>
      </w:r>
      <w:r>
        <w:t xml:space="preserve">, </w:t>
      </w:r>
      <w:r>
        <w:rPr>
          <w:rStyle w:val="Text0"/>
        </w:rPr>
        <w:t>Condition</w:t>
      </w:r>
      <w:r>
        <w:t xml:space="preserve">, </w:t>
      </w:r>
      <w:r>
        <w:rPr>
          <w:rStyle w:val="Text0"/>
        </w:rPr>
        <w:t>Event</w:t>
      </w:r>
      <w:r>
        <w:t xml:space="preserve">, </w:t>
      </w:r>
      <w:r>
        <w:rPr>
          <w:rStyle w:val="Text0"/>
        </w:rPr>
        <w:t>Semaphore</w:t>
      </w:r>
      <w:r>
        <w:t xml:space="preserve">, </w:t>
      </w:r>
      <w:r>
        <w:rPr>
          <w:rStyle w:val="Text0"/>
        </w:rPr>
        <w:t>BoundedSemaphore</w:t>
      </w:r>
      <w:r>
        <w:t xml:space="preserve">, and </w:t>
      </w:r>
      <w:r>
        <w:rPr>
          <w:rStyle w:val="Text0"/>
        </w:rPr>
        <w:t>Barrier</w:t>
      </w:r>
      <w:r>
        <w:t xml:space="preserve">—each similar to the class with the same name in the </w:t>
      </w:r>
      <w:r>
        <w:rPr>
          <w:rStyle w:val="Text0"/>
        </w:rPr>
        <w:t>threading</w:t>
      </w:r>
      <w:r>
        <w:t xml:space="preserve"> module—as well as </w:t>
      </w:r>
      <w:r>
        <w:rPr>
          <w:rStyle w:val="Text0"/>
        </w:rPr>
        <w:t>Queue</w:t>
      </w:r>
      <w:r>
        <w:t xml:space="preserve"> and </w:t>
      </w:r>
      <w:r>
        <w:rPr>
          <w:rStyle w:val="Text0"/>
        </w:rPr>
        <w:t>JoinableQueue</w:t>
      </w:r>
      <w:r>
        <w:t xml:space="preserve">, both similar to </w:t>
      </w:r>
      <w:r>
        <w:rPr>
          <w:rStyle w:val="Text0"/>
        </w:rPr>
        <w:t>queue.Queue</w:t>
      </w:r>
      <w:r>
        <w:t xml:space="preserve">). These classes make it easy to take code written to use </w:t>
      </w:r>
      <w:r>
        <w:rPr>
          <w:rStyle w:val="Text0"/>
        </w:rPr>
        <w:t>threading</w:t>
      </w:r>
      <w:r>
        <w:t xml:space="preserve"> and port it to a version using </w:t>
      </w:r>
      <w:r>
        <w:rPr>
          <w:rStyle w:val="Text0"/>
        </w:rPr>
        <w:t>multiprocessing</w:t>
      </w:r>
      <w:r>
        <w:t xml:space="preserve"> instead; just pay attention to the differences we cover in the following subsection.</w:t>
      </w:r>
    </w:p>
    <w:p>
      <w:pPr>
        <w:pStyle w:val="Normal"/>
      </w:pPr>
      <w:r>
        <w:t xml:space="preserve">It’s usually best to avoid sharing state among processes: use queues, instead, to explicitly pass messages among them. However, for those rare occasions in which you do need to share some state, </w:t>
      </w:r>
      <w:r>
        <w:rPr>
          <w:rStyle w:val="Text0"/>
        </w:rPr>
        <w:t>multiprocessing</w:t>
      </w:r>
      <w:r>
        <w:t xml:space="preserve"> supplies classes to access shared memory (</w:t>
      </w:r>
      <w:r>
        <w:rPr>
          <w:rStyle w:val="Text0"/>
        </w:rPr>
        <w:t>Value</w:t>
      </w:r>
      <w:r>
        <w:t xml:space="preserve"> and </w:t>
      </w:r>
      <w:r>
        <w:rPr>
          <w:rStyle w:val="Text0"/>
        </w:rPr>
        <w:t>Array</w:t>
      </w:r>
      <w:r>
        <w:t xml:space="preserve">), and—more flexibly (including coordination among different computers on a network) though with more overhead—a </w:t>
      </w:r>
      <w:r>
        <w:rPr>
          <w:rStyle w:val="Text0"/>
        </w:rPr>
        <w:t>Process</w:t>
      </w:r>
      <w:r>
        <w:t xml:space="preserve"> subclass, </w:t>
      </w:r>
      <w:r>
        <w:rPr>
          <w:rStyle w:val="Text0"/>
        </w:rPr>
        <w:t>Manager</w:t>
      </w:r>
      <w:r>
        <w:t xml:space="preserve">, designed to hold arbitrary data and let other processes manipulate that data via </w:t>
      </w:r>
      <w:r>
        <w:rPr>
          <w:rStyle w:val="Text4"/>
        </w:rPr>
        <w:t>proxy</w:t>
      </w:r>
      <w:r>
        <w:t xml:space="preserve"> objects. We cover state sharing in </w:t>
      </w:r>
      <w:hyperlink w:anchor="Sharing_State__Classes_Value__Ar">
        <w:r>
          <w:rPr>
            <w:rStyle w:val="Text1"/>
          </w:rPr>
          <w:t>“Sharing State: Classes Value, Array, and Manager”</w:t>
        </w:r>
      </w:hyperlink>
      <w:r>
        <w:t>.</w:t>
      </w:r>
    </w:p>
    <w:p>
      <w:pPr>
        <w:pStyle w:val="Normal"/>
      </w:pPr>
      <w:r>
        <w:t xml:space="preserve">When you’re writing new code, rather than porting code originally written to use </w:t>
      </w:r>
      <w:r>
        <w:rPr>
          <w:rStyle w:val="Text0"/>
        </w:rPr>
        <w:t>threading</w:t>
      </w:r>
      <w:r>
        <w:t xml:space="preserve">, you can often use different approaches supplied by </w:t>
      </w:r>
      <w:r>
        <w:rPr>
          <w:rStyle w:val="Text0"/>
        </w:rPr>
        <w:t>multiprocessing</w:t>
      </w:r>
      <w:r>
        <w:t xml:space="preserve">. The </w:t>
      </w:r>
      <w:r>
        <w:rPr>
          <w:rStyle w:val="Text0"/>
        </w:rPr>
        <w:t>Pool</w:t>
      </w:r>
      <w:r>
        <w:t xml:space="preserve"> class, in particular (covered in </w:t>
      </w:r>
      <w:hyperlink w:anchor="Process_Pools__In_real_life__you">
        <w:r>
          <w:rPr>
            <w:rStyle w:val="Text1"/>
          </w:rPr>
          <w:t>“Process Pools”</w:t>
        </w:r>
      </w:hyperlink>
      <w:r>
        <w:t xml:space="preserve">), can often simplify your code. The simplest and highest-level way to do multiprocessing is to use the </w:t>
      </w:r>
      <w:r>
        <w:rPr>
          <w:rStyle w:val="Text0"/>
        </w:rPr>
        <w:t>concurrent.futures</w:t>
      </w:r>
      <w:r>
        <w:t xml:space="preserve"> module (covered in </w:t>
      </w:r>
      <w:hyperlink w:anchor="The_concurrent_futures_Module__T">
        <w:r>
          <w:rPr>
            <w:rStyle w:val="Text1"/>
          </w:rPr>
          <w:t>“The concurrent.futures Module”</w:t>
        </w:r>
      </w:hyperlink>
      <w:r>
        <w:t xml:space="preserve">) along with the </w:t>
      </w:r>
      <w:r>
        <w:rPr>
          <w:rStyle w:val="Text0"/>
        </w:rPr>
        <w:t>ProcessPoolExecutor</w:t>
      </w:r>
      <w:r>
        <w:t>.</w:t>
      </w:r>
    </w:p>
    <w:p>
      <w:pPr>
        <w:pStyle w:val="Normal"/>
      </w:pPr>
      <w:r>
        <w:t xml:space="preserve">Other highly advanced approaches, based on </w:t>
      </w:r>
      <w:r>
        <w:rPr>
          <w:rStyle w:val="Text0"/>
        </w:rPr>
        <w:t>Connection</w:t>
      </w:r>
      <w:r>
        <w:t xml:space="preserve"> objects built by the </w:t>
      </w:r>
      <w:r>
        <w:rPr>
          <w:rStyle w:val="Text0"/>
        </w:rPr>
        <w:t>Pipe</w:t>
      </w:r>
      <w:r>
        <w:t xml:space="preserve"> factory function or wrapped in </w:t>
      </w:r>
      <w:r>
        <w:rPr>
          <w:rStyle w:val="Text0"/>
        </w:rPr>
        <w:t>Client</w:t>
      </w:r>
      <w:r>
        <w:t xml:space="preserve"> and </w:t>
      </w:r>
      <w:r>
        <w:rPr>
          <w:rStyle w:val="Text0"/>
        </w:rPr>
        <w:t>Listener</w:t>
      </w:r>
      <w:r>
        <w:t xml:space="preserve"> objects, are even more flexible, but quite a bit more complex; we do not cover them further in this book. For more in-depth coverage of </w:t>
      </w:r>
      <w:r>
        <w:rPr>
          <w:rStyle w:val="Text0"/>
        </w:rPr>
        <w:t>multiprocessing</w:t>
      </w:r>
      <w:r>
        <w:t xml:space="preserve">, refer to the </w:t>
      </w:r>
      <w:hyperlink r:id="rId451">
        <w:r>
          <w:rPr>
            <w:rStyle w:val="Text1"/>
          </w:rPr>
          <w:t>online docs</w:t>
        </w:r>
      </w:hyperlink>
      <w:hyperlink w:anchor="2_The_online_docs_include_an_esp">
        <w:r>
          <w:rPr>
            <w:rStyle w:val="Text41"/>
          </w:rPr>
          <w:bookmarkStart w:id="3417" w:name="2_12"/>
          <w:t>2</w:t>
          <w:bookmarkEnd w:id="3417"/>
        </w:r>
      </w:hyperlink>
      <w:r>
        <w:t xml:space="preserve"> and third-party online tutorials like in </w:t>
      </w:r>
      <w:hyperlink r:id="rId452">
        <w:r>
          <w:rPr>
            <w:rStyle w:val="Text1"/>
          </w:rPr>
          <w:t>PyMOTW</w:t>
        </w:r>
      </w:hyperlink>
      <w:r>
        <w:t>.</w:t>
      </w:r>
    </w:p>
    <w:p>
      <w:bookmarkStart w:id="3418" w:name="Differences_Between_multiprocess"/>
      <w:pPr>
        <w:keepNext/>
        <w:pStyle w:val="Heading 2"/>
      </w:pPr>
      <w:r>
        <w:t>Differences Between multiprocessing and threading</w:t>
      </w:r>
      <w:bookmarkEnd w:id="3418"/>
    </w:p>
    <w:p>
      <w:pPr>
        <w:pStyle w:val="Normal"/>
      </w:pPr>
      <w:r>
        <w:t>You</w:t>
      </w:r>
      <w:r>
        <w:rPr>
          <w:rStyle w:val="Text111"/>
        </w:rPr>
        <w:bookmarkStart w:id="3419" w:name="idm45965191670160"/>
        <w:t/>
        <w:bookmarkEnd w:id="3419"/>
      </w:r>
      <w:r>
        <w:t xml:space="preserve"> can pretty easily port code written to use </w:t>
      </w:r>
      <w:r>
        <w:rPr>
          <w:rStyle w:val="Text0"/>
        </w:rPr>
        <w:t>threading</w:t>
      </w:r>
      <w:r>
        <w:t xml:space="preserve"> into a variant using </w:t>
      </w:r>
      <w:r>
        <w:rPr>
          <w:rStyle w:val="Text0"/>
        </w:rPr>
        <w:t>multiprocessing</w:t>
      </w:r>
      <w:r>
        <w:t xml:space="preserve"> instead—however, there are several differences you must consider.</w:t>
      </w:r>
    </w:p>
    <w:p>
      <w:bookmarkStart w:id="3420" w:name="Structural_differences__All_obje"/>
      <w:pPr>
        <w:keepNext/>
        <w:pStyle w:val="Heading 2"/>
      </w:pPr>
      <w:r>
        <w:t>Structural differences</w:t>
      </w:r>
      <w:bookmarkEnd w:id="3420"/>
    </w:p>
    <w:p>
      <w:pPr>
        <w:pStyle w:val="Normal"/>
      </w:pPr>
      <w:r>
        <w:t xml:space="preserve">All objects that you exchange between processes (for example, via a queue, or an argument to a </w:t>
      </w:r>
      <w:r>
        <w:rPr>
          <w:rStyle w:val="Text0"/>
        </w:rPr>
        <w:t>Process</w:t>
      </w:r>
      <w:r>
        <w:t xml:space="preserve">’s </w:t>
      </w:r>
      <w:r>
        <w:rPr>
          <w:rStyle w:val="Text0"/>
        </w:rPr>
        <w:t>target</w:t>
      </w:r>
      <w:r>
        <w:t xml:space="preserve"> function) are serialized via </w:t>
      </w:r>
      <w:r>
        <w:rPr>
          <w:rStyle w:val="Text0"/>
        </w:rPr>
        <w:t>pickle</w:t>
      </w:r>
      <w:r>
        <w:t xml:space="preserve">, covered in </w:t>
      </w:r>
      <w:hyperlink w:anchor="The_pickle_Module__The_pickle_mo">
        <w:r>
          <w:rPr>
            <w:rStyle w:val="Text1"/>
          </w:rPr>
          <w:t>“The pickle Module”</w:t>
        </w:r>
      </w:hyperlink>
      <w:r>
        <w:t>. Therefore, you can only exchange objects that can be thus serialized. Moreover, the serialized bytestring cannot exceed about 32 MB (depending on the platform), or else an exception is raised; therefore, there are limits to the size of objects you can exchange.</w:t>
      </w:r>
    </w:p>
    <w:p>
      <w:pPr>
        <w:pStyle w:val="Normal"/>
      </w:pPr>
      <w:r>
        <w:t xml:space="preserve">Especially in Windows, child processes </w:t>
      </w:r>
      <w:r>
        <w:rPr>
          <w:rStyle w:val="Text4"/>
        </w:rPr>
        <w:t>must</w:t>
      </w:r>
      <w:r>
        <w:t xml:space="preserve"> be able to import as a module the main script that’s spawning them. Therefore, be sure to guard all top-level code in the main script (meaning code that must not be executed again by child processes) with the usual </w:t>
      </w:r>
      <w:r>
        <w:rPr>
          <w:rStyle w:val="Text5"/>
        </w:rPr>
        <w:t>if</w:t>
      </w:r>
      <w:r>
        <w:t xml:space="preserve"> </w:t>
      </w:r>
      <w:r>
        <w:rPr>
          <w:rStyle w:val="Text0"/>
        </w:rPr>
        <w:t>__name__ == '__main__'</w:t>
      </w:r>
      <w:r>
        <w:t xml:space="preserve"> idiom, covered in </w:t>
      </w:r>
      <w:hyperlink w:anchor="The_Main_Program__Execution_of_a">
        <w:r>
          <w:rPr>
            <w:rStyle w:val="Text1"/>
          </w:rPr>
          <w:t>“The Main Program”</w:t>
        </w:r>
      </w:hyperlink>
      <w:r>
        <w:t>.</w:t>
      </w:r>
    </w:p>
    <w:p>
      <w:pPr>
        <w:pStyle w:val="Normal"/>
      </w:pPr>
      <w:r>
        <w:t>If a process is abruptly killed (for example, via a signal) while using a queue or holding a synchronization primitive, it won’t be able to perform proper cleanup on that queue or primitive. As a result, the queue or primitive may get corrupted, causing errors in all other processes trying to use it.</w:t>
      </w:r>
    </w:p>
    <w:p>
      <w:bookmarkStart w:id="3421" w:name="The_Process_class__The_class_mul"/>
      <w:pPr>
        <w:keepNext/>
        <w:pStyle w:val="Heading 2"/>
      </w:pPr>
      <w:r>
        <w:t>The Process class</w:t>
      </w:r>
      <w:bookmarkEnd w:id="3421"/>
    </w:p>
    <w:p>
      <w:pPr>
        <w:pStyle w:val="Normal"/>
      </w:pPr>
      <w:r>
        <w:t>The</w:t>
      </w:r>
      <w:r>
        <w:rPr>
          <w:rStyle w:val="Text111"/>
        </w:rPr>
        <w:bookmarkStart w:id="3422" w:name="idm45965191656048"/>
        <w:t/>
        <w:bookmarkEnd w:id="3422"/>
      </w:r>
      <w:r>
        <w:t xml:space="preserve"> class </w:t>
      </w:r>
      <w:r>
        <w:rPr>
          <w:rStyle w:val="Text0"/>
        </w:rPr>
        <w:t>multiprocessing.Process</w:t>
      </w:r>
      <w:r>
        <w:t xml:space="preserve"> is very similar to </w:t>
      </w:r>
      <w:r>
        <w:rPr>
          <w:rStyle w:val="Text0"/>
        </w:rPr>
        <w:t>threading.Thread</w:t>
      </w:r>
      <w:r>
        <w:t xml:space="preserve">; it supplies all the same attributes and methods (see </w:t>
      </w:r>
      <w:hyperlink w:anchor="Table_15_2__Constructor__methods">
        <w:r>
          <w:rPr>
            <w:rStyle w:val="Text1"/>
          </w:rPr>
          <w:t>Table 15-2</w:t>
        </w:r>
      </w:hyperlink>
      <w:r>
        <w:t xml:space="preserve">), plus a few more, listed in </w:t>
      </w:r>
      <w:hyperlink w:anchor="Table_15_11__Additional_attribut">
        <w:r>
          <w:rPr>
            <w:rStyle w:val="Text1"/>
          </w:rPr>
          <w:t>Table 15-11</w:t>
        </w:r>
      </w:hyperlink>
      <w:r>
        <w:t>. Its</w:t>
      </w:r>
      <w:r>
        <w:rPr>
          <w:rStyle w:val="Text111"/>
        </w:rPr>
        <w:bookmarkStart w:id="3423" w:name="idm45965191651360"/>
        <w:t/>
        <w:bookmarkEnd w:id="3423"/>
      </w:r>
      <w:r>
        <w:t xml:space="preserve"> constructor has the following signature:</w:t>
      </w:r>
    </w:p>
    <w:tbl>
      <w:tblPr>
        <w:tblW w:type="auto" w:w="0"/>
      </w:tblPr>
      <w:tr>
        <w:tc>
          <w:tcPr>
            <w:tcW w:type="pct" w:w="500"/>
            <w:tcMar>
              <w:left w:type="dxa" w:w="200"/>
              <w:top w:type="dxa" w:w="200"/>
              <w:right w:type="dxa" w:w="200"/>
              <w:bottom w:type="dxa" w:w="200"/>
            </w:tcMar>
          </w:tcPr>
          <w:p>
            <w:pPr>
              <w:pStyle w:val="Para 119"/>
            </w:pPr>
            <w:r>
              <w:t/>
            </w:r>
          </w:p>
          <w:p>
            <w:pPr>
              <w:pStyle w:val="Para 001"/>
            </w:pPr>
            <w:r>
              <w:t>Process</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Process(name=</w:t>
            </w:r>
            <w:r>
              <w:rPr>
                <w:rStyle w:val="Text5"/>
              </w:rPr>
              <w:t>None</w:t>
            </w:r>
            <w:r>
              <w:rPr>
                <w:rStyle w:val="Text0"/>
              </w:rPr>
              <w:t>, target=</w:t>
            </w:r>
            <w:r>
              <w:rPr>
                <w:rStyle w:val="Text5"/>
              </w:rPr>
              <w:t>None</w:t>
            </w:r>
            <w:r>
              <w:rPr>
                <w:rStyle w:val="Text0"/>
              </w:rPr>
              <w:t>, args=(), kwargs={})</w:t>
              <w:br w:clear="none"/>
            </w:r>
            <w:r>
              <w:t xml:space="preserve"> </w:t>
            </w:r>
            <w:r>
              <w:rPr>
                <w:rStyle w:val="Text4"/>
              </w:rPr>
              <w:t>Always call</w:t>
            </w:r>
            <w:r>
              <w:t xml:space="preserve"> </w:t>
            </w:r>
            <w:r>
              <w:rPr>
                <w:rStyle w:val="Text3"/>
              </w:rPr>
              <w:t>Process</w:t>
            </w:r>
            <w:r>
              <w:t xml:space="preserve"> </w:t>
            </w:r>
            <w:r>
              <w:rPr>
                <w:rStyle w:val="Text4"/>
              </w:rPr>
              <w:t>with named arguments</w:t>
            </w:r>
            <w:r>
              <w:t xml:space="preserve">: the number and order of parameters is not guaranteed by the specification, but the parameter names are. Either instantiate the class </w:t>
            </w:r>
            <w:r>
              <w:rPr>
                <w:rStyle w:val="Text0"/>
              </w:rPr>
              <w:t>Process</w:t>
            </w:r>
            <w:r>
              <w:t xml:space="preserve"> itself, passing a </w:t>
            </w:r>
            <w:r>
              <w:rPr>
                <w:rStyle w:val="Text0"/>
              </w:rPr>
              <w:t>target</w:t>
            </w:r>
            <w:r>
              <w:t xml:space="preserve"> function (</w:t>
            </w:r>
            <w:r>
              <w:rPr>
                <w:rStyle w:val="Text3"/>
              </w:rPr>
              <w:t>p</w:t>
            </w:r>
            <w:r>
              <w:rPr>
                <w:rStyle w:val="Text0"/>
              </w:rPr>
              <w:t>.run</w:t>
            </w:r>
            <w:r>
              <w:t xml:space="preserve"> then calls </w:t>
            </w:r>
            <w:r>
              <w:rPr>
                <w:rStyle w:val="Text3"/>
              </w:rPr>
              <w:t>target</w:t>
            </w:r>
            <w:r>
              <w:rPr>
                <w:rStyle w:val="Text0"/>
              </w:rPr>
              <w:t>(*</w:t>
            </w:r>
            <w:r>
              <w:rPr>
                <w:rStyle w:val="Text3"/>
              </w:rPr>
              <w:t>args</w:t>
            </w:r>
            <w:r>
              <w:rPr>
                <w:rStyle w:val="Text0"/>
              </w:rPr>
              <w:t>, **</w:t>
            </w:r>
            <w:r>
              <w:rPr>
                <w:rStyle w:val="Text3"/>
              </w:rPr>
              <w:t>kwargs</w:t>
            </w:r>
            <w:r>
              <w:rPr>
                <w:rStyle w:val="Text0"/>
              </w:rPr>
              <w:t>)</w:t>
            </w:r>
            <w:r>
              <w:t xml:space="preserve"> when the thread is started); or, instead of passing </w:t>
            </w:r>
            <w:r>
              <w:rPr>
                <w:rStyle w:val="Text0"/>
              </w:rPr>
              <w:t>target</w:t>
            </w:r>
            <w:r>
              <w:t xml:space="preserve">, extend the </w:t>
            </w:r>
            <w:r>
              <w:rPr>
                <w:rStyle w:val="Text0"/>
              </w:rPr>
              <w:t>Process</w:t>
            </w:r>
            <w:r>
              <w:t xml:space="preserve"> class and override its </w:t>
            </w:r>
            <w:r>
              <w:rPr>
                <w:rStyle w:val="Text0"/>
              </w:rPr>
              <w:t>run</w:t>
            </w:r>
            <w:r>
              <w:t xml:space="preserve"> method. In either case, execution will begin only when you call </w:t>
            </w:r>
            <w:r>
              <w:rPr>
                <w:rStyle w:val="Text3"/>
              </w:rPr>
              <w:t>p</w:t>
            </w:r>
            <w:r>
              <w:rPr>
                <w:rStyle w:val="Text0"/>
              </w:rPr>
              <w:t>.start</w:t>
            </w:r>
            <w:r>
              <w:t xml:space="preserve">. </w:t>
            </w:r>
            <w:r>
              <w:rPr>
                <w:rStyle w:val="Text0"/>
              </w:rPr>
              <w:t>name</w:t>
            </w:r>
            <w:r>
              <w:t xml:space="preserve"> becomes </w:t>
            </w:r>
            <w:r>
              <w:rPr>
                <w:rStyle w:val="Text3"/>
              </w:rPr>
              <w:t>p</w:t>
            </w:r>
            <w:r>
              <w:t xml:space="preserve">’s name. If </w:t>
            </w:r>
            <w:r>
              <w:rPr>
                <w:rStyle w:val="Text0"/>
              </w:rPr>
              <w:t>name</w:t>
            </w:r>
            <w:r>
              <w:t xml:space="preserve"> is </w:t>
            </w:r>
            <w:r>
              <w:rPr>
                <w:rStyle w:val="Text5"/>
              </w:rPr>
              <w:t>None</w:t>
            </w:r>
            <w:r>
              <w:t xml:space="preserve">, </w:t>
            </w:r>
            <w:r>
              <w:rPr>
                <w:rStyle w:val="Text0"/>
              </w:rPr>
              <w:t>Process</w:t>
            </w:r>
            <w:r>
              <w:t xml:space="preserve"> generates a unique name for </w:t>
            </w:r>
            <w:r>
              <w:rPr>
                <w:rStyle w:val="Text3"/>
              </w:rPr>
              <w:t>p</w:t>
            </w:r>
            <w:r>
              <w:t xml:space="preserve">. If a subclass </w:t>
            </w:r>
            <w:r>
              <w:rPr>
                <w:rStyle w:val="Text3"/>
              </w:rPr>
              <w:t>P</w:t>
            </w:r>
            <w:r>
              <w:t xml:space="preserve"> of </w:t>
            </w:r>
            <w:r>
              <w:rPr>
                <w:rStyle w:val="Text0"/>
              </w:rPr>
              <w:t>Process</w:t>
            </w:r>
            <w:r>
              <w:t xml:space="preserve"> overrides </w:t>
            </w:r>
            <w:r>
              <w:rPr>
                <w:rStyle w:val="Text0"/>
              </w:rPr>
              <w:t>__init__</w:t>
            </w:r>
            <w:r>
              <w:t xml:space="preserve">, </w:t>
            </w:r>
            <w:r>
              <w:rPr>
                <w:rStyle w:val="Text3"/>
              </w:rPr>
              <w:t>P</w:t>
            </w:r>
            <w:r>
              <w:t>.</w:t>
            </w:r>
            <w:r>
              <w:rPr>
                <w:rStyle w:val="Text0"/>
              </w:rPr>
              <w:t>__init__</w:t>
            </w:r>
            <w:r>
              <w:t xml:space="preserve"> </w:t>
            </w:r>
            <w:r>
              <w:rPr>
                <w:rStyle w:val="Text4"/>
              </w:rPr>
              <w:t>must</w:t>
            </w:r>
            <w:r>
              <w:t xml:space="preserve"> call </w:t>
            </w:r>
            <w:r>
              <w:rPr>
                <w:rStyle w:val="Text0"/>
              </w:rPr>
              <w:t>Process.__init__</w:t>
            </w:r>
            <w:r>
              <w:t xml:space="preserve"> on </w:t>
            </w:r>
            <w:r>
              <w:rPr>
                <w:rStyle w:val="Text0"/>
              </w:rPr>
              <w:t>self</w:t>
            </w:r>
            <w:r>
              <w:t xml:space="preserve"> (usually via the </w:t>
            </w:r>
            <w:r>
              <w:rPr>
                <w:rStyle w:val="Text0"/>
              </w:rPr>
              <w:t>super</w:t>
            </w:r>
            <w:r>
              <w:t xml:space="preserve"> built-in function) before any other </w:t>
            </w:r>
            <w:r>
              <w:rPr>
                <w:rStyle w:val="Text0"/>
              </w:rPr>
              <w:t>Process</w:t>
            </w:r>
            <w:r>
              <w:t xml:space="preserve"> method.</w:t>
            </w:r>
          </w:p>
        </w:tc>
      </w:tr>
    </w:tbl>
    <w:tbl>
      <w:tblPr>
        <w:tblW w:type="auto" w:w="0"/>
      </w:tblPr>
      <w:tr>
        <w:tc>
          <w:tcPr>
            <w:tcW w:type="auto" w:w="0"/>
            <w:tcMar>
              <w:left w:type="dxa" w:w="200"/>
              <w:top w:type="dxa" w:w="200"/>
              <w:right w:type="dxa" w:w="200"/>
              <w:bottom w:type="dxa" w:w="200"/>
            </w:tcMar>
          </w:tcPr>
          <w:p>
            <w:bookmarkStart w:id="3424" w:name="Table_15_11__Additional_attribut"/>
            <w:pPr>
              <w:pStyle w:val="Para 011"/>
            </w:pPr>
            <w:r>
              <w:rPr>
                <w:rStyle w:val="Text117"/>
              </w:rPr>
              <w:t/>
            </w:r>
            <w:r>
              <w:t xml:space="preserve">Table 15-11. </w:t>
              <w:t xml:space="preserve">Additional attributes and methods of the </w:t>
            </w:r>
            <w:r>
              <w:rPr>
                <w:rStyle w:val="Text0"/>
              </w:rPr>
              <w:t>Process</w:t>
            </w:r>
            <w:r>
              <w:t xml:space="preserve"> class</w:t>
            </w:r>
            <w:bookmarkEnd w:id="3424"/>
          </w:p>
          <w:p>
            <w:pPr>
              <w:pStyle w:val="Para 001"/>
            </w:pPr>
            <w:r>
              <w:t>authkey</w:t>
            </w:r>
          </w:p>
        </w:tc>
        <w:tc>
          <w:tcPr>
            <w:tcW w:type="auto" w:w="0"/>
            <w:tcMar>
              <w:left w:type="dxa" w:w="200"/>
              <w:top w:type="dxa" w:w="200"/>
              <w:right w:type="dxa" w:w="200"/>
              <w:bottom w:type="dxa" w:w="200"/>
            </w:tcMar>
          </w:tcPr>
          <w:p>
            <w:pPr>
              <w:pStyle w:val="Para 002"/>
            </w:pPr>
            <w:r>
              <w:t xml:space="preserve">The process’s authorization key, a bytestring. This is initialized to random bytes supplied by </w:t>
            </w:r>
            <w:r>
              <w:rPr>
                <w:rStyle w:val="Text0"/>
              </w:rPr>
              <w:t>os.urandom</w:t>
            </w:r>
            <w:r>
              <w:t>, but you can reassign it later if you wish. Used in the authorization handshake for advanced uses we do not cover in this book.</w:t>
            </w:r>
          </w:p>
        </w:tc>
      </w:tr>
    </w:tbl>
    <w:tbl>
      <w:tblPr>
        <w:tblW w:type="auto" w:w="0"/>
      </w:tblPr>
      <w:tr>
        <w:tc>
          <w:tcPr>
            <w:tcW w:type="auto" w:w="0"/>
            <w:shd w:val="clear" w:color="auto" w:fill="EEF2F6"/>
            <w:tcMar>
              <w:left w:type="dxa" w:w="200"/>
              <w:top w:type="dxa" w:w="200"/>
              <w:right w:type="dxa" w:w="200"/>
              <w:bottom w:type="dxa" w:w="200"/>
            </w:tcMar>
          </w:tcPr>
          <w:p>
            <w:pPr>
              <w:pStyle w:val="Para 001"/>
            </w:pPr>
            <w:r>
              <w:t>close</w:t>
            </w:r>
          </w:p>
        </w:tc>
        <w:tc>
          <w:tcPr>
            <w:tcW w:type="auto" w:w="0"/>
            <w:shd w:val="clear" w:color="auto" w:fill="EEF2F6"/>
            <w:tcMar>
              <w:left w:type="dxa" w:w="200"/>
              <w:top w:type="dxa" w:w="200"/>
              <w:right w:type="dxa" w:w="200"/>
              <w:bottom w:type="dxa" w:w="200"/>
            </w:tcMar>
          </w:tcPr>
          <w:p>
            <w:pPr>
              <w:pStyle w:val="Para 002"/>
            </w:pPr>
            <w:r>
              <w:rPr>
                <w:rStyle w:val="Text0"/>
              </w:rPr>
              <w:t>close()</w:t>
              <w:br w:clear="none"/>
            </w:r>
            <w:r>
              <w:t xml:space="preserve"> Closes a </w:t>
            </w:r>
            <w:r>
              <w:rPr>
                <w:rStyle w:val="Text0"/>
              </w:rPr>
              <w:t>Process</w:t>
            </w:r>
            <w:r>
              <w:t xml:space="preserve"> instance and releases all resources associated with it. If the underlying process is still running, raises </w:t>
            </w:r>
            <w:r>
              <w:rPr>
                <w:rStyle w:val="Text0"/>
              </w:rPr>
              <w:t>ValueError</w:t>
            </w:r>
            <w:r>
              <w:t>.</w:t>
            </w:r>
          </w:p>
        </w:tc>
      </w:tr>
    </w:tbl>
    <w:tbl>
      <w:tblPr>
        <w:tblW w:type="auto" w:w="0"/>
      </w:tblPr>
      <w:tr>
        <w:tc>
          <w:tcPr>
            <w:tcW w:type="auto" w:w="0"/>
            <w:tcMar>
              <w:left w:type="dxa" w:w="200"/>
              <w:top w:type="dxa" w:w="200"/>
              <w:right w:type="dxa" w:w="200"/>
              <w:bottom w:type="dxa" w:w="200"/>
            </w:tcMar>
          </w:tcPr>
          <w:p>
            <w:pPr>
              <w:pStyle w:val="Para 001"/>
            </w:pPr>
            <w:r>
              <w:t>exitcode</w:t>
            </w:r>
          </w:p>
        </w:tc>
        <w:tc>
          <w:tcPr>
            <w:tcW w:type="auto" w:w="0"/>
            <w:tcMar>
              <w:left w:type="dxa" w:w="200"/>
              <w:top w:type="dxa" w:w="200"/>
              <w:right w:type="dxa" w:w="200"/>
              <w:bottom w:type="dxa" w:w="200"/>
            </w:tcMar>
          </w:tcPr>
          <w:p>
            <w:pPr>
              <w:pStyle w:val="Para 002"/>
            </w:pPr>
            <w:r>
              <w:rPr>
                <w:rStyle w:val="Text5"/>
              </w:rPr>
              <w:t>None</w:t>
            </w:r>
            <w:r>
              <w:t xml:space="preserve"> when the process has not exited yet; otherwise, the process’s exit code. This is an </w:t>
            </w:r>
            <w:r>
              <w:rPr>
                <w:rStyle w:val="Text0"/>
              </w:rPr>
              <w:t>int</w:t>
            </w:r>
            <w:r>
              <w:t xml:space="preserve">: </w:t>
            </w:r>
            <w:r>
              <w:rPr>
                <w:rStyle w:val="Text0"/>
              </w:rPr>
              <w:t>0</w:t>
            </w:r>
            <w:r>
              <w:t xml:space="preserve"> for success, </w:t>
            </w:r>
            <w:r>
              <w:rPr>
                <w:rStyle w:val="Text0"/>
              </w:rPr>
              <w:t>&gt;0</w:t>
            </w:r>
            <w:r>
              <w:t xml:space="preserve"> for failure, </w:t>
            </w:r>
            <w:r>
              <w:rPr>
                <w:rStyle w:val="Text0"/>
              </w:rPr>
              <w:t>&lt;0</w:t>
            </w:r>
            <w:r>
              <w:t xml:space="preserve"> when the process was killed.</w:t>
            </w:r>
          </w:p>
        </w:tc>
      </w:tr>
    </w:tbl>
    <w:tbl>
      <w:tblPr>
        <w:tblW w:type="auto" w:w="0"/>
      </w:tblPr>
      <w:tr>
        <w:tc>
          <w:tcPr>
            <w:tcW w:type="auto" w:w="0"/>
            <w:shd w:val="clear" w:color="auto" w:fill="EEF2F6"/>
            <w:tcMar>
              <w:left w:type="dxa" w:w="200"/>
              <w:top w:type="dxa" w:w="200"/>
              <w:right w:type="dxa" w:w="200"/>
              <w:bottom w:type="dxa" w:w="200"/>
            </w:tcMar>
          </w:tcPr>
          <w:p>
            <w:pPr>
              <w:pStyle w:val="Para 001"/>
            </w:pPr>
            <w:r>
              <w:t>kill</w:t>
            </w:r>
          </w:p>
        </w:tc>
        <w:tc>
          <w:tcPr>
            <w:tcW w:type="auto" w:w="0"/>
            <w:shd w:val="clear" w:color="auto" w:fill="EEF2F6"/>
            <w:tcMar>
              <w:left w:type="dxa" w:w="200"/>
              <w:top w:type="dxa" w:w="200"/>
              <w:right w:type="dxa" w:w="200"/>
              <w:bottom w:type="dxa" w:w="200"/>
            </w:tcMar>
          </w:tcPr>
          <w:p>
            <w:pPr>
              <w:pStyle w:val="Para 002"/>
            </w:pPr>
            <w:r>
              <w:rPr>
                <w:rStyle w:val="Text0"/>
              </w:rPr>
              <w:t>kill()</w:t>
              <w:br w:clear="none"/>
            </w:r>
            <w:r>
              <w:t xml:space="preserve"> Same as </w:t>
            </w:r>
            <w:r>
              <w:rPr>
                <w:rStyle w:val="Text0"/>
              </w:rPr>
              <w:t>terminate</w:t>
            </w:r>
            <w:r>
              <w:t xml:space="preserve">, but on Unix sends a </w:t>
            </w:r>
            <w:r>
              <w:rPr>
                <w:rStyle w:val="Text0"/>
              </w:rPr>
              <w:t>SIGKILL</w:t>
            </w:r>
            <w:r>
              <w:t xml:space="preserve"> signal.</w:t>
            </w:r>
          </w:p>
        </w:tc>
      </w:tr>
    </w:tbl>
    <w:tbl>
      <w:tblPr>
        <w:tblW w:type="auto" w:w="0"/>
      </w:tblPr>
      <w:tr>
        <w:tc>
          <w:tcPr>
            <w:tcW w:type="auto" w:w="0"/>
            <w:tcMar>
              <w:left w:type="dxa" w:w="200"/>
              <w:top w:type="dxa" w:w="200"/>
              <w:right w:type="dxa" w:w="200"/>
              <w:bottom w:type="dxa" w:w="200"/>
            </w:tcMar>
          </w:tcPr>
          <w:p>
            <w:pPr>
              <w:pStyle w:val="Para 001"/>
            </w:pPr>
            <w:r>
              <w:t>pid</w:t>
            </w:r>
          </w:p>
        </w:tc>
        <w:tc>
          <w:tcPr>
            <w:tcW w:type="auto" w:w="0"/>
            <w:tcMar>
              <w:left w:type="dxa" w:w="200"/>
              <w:top w:type="dxa" w:w="200"/>
              <w:right w:type="dxa" w:w="200"/>
              <w:bottom w:type="dxa" w:w="200"/>
            </w:tcMar>
          </w:tcPr>
          <w:p>
            <w:pPr>
              <w:pStyle w:val="Para 002"/>
            </w:pPr>
            <w:r>
              <w:rPr>
                <w:rStyle w:val="Text5"/>
              </w:rPr>
              <w:t>None</w:t>
            </w:r>
            <w:r>
              <w:t xml:space="preserve"> when the process has not started yet; otherwise, the process’s identifier as set by the operating system.</w:t>
            </w:r>
          </w:p>
        </w:tc>
      </w:tr>
    </w:tbl>
    <w:tbl>
      <w:tblPr>
        <w:tblW w:type="auto" w:w="0"/>
      </w:tblPr>
      <w:tr>
        <w:tc>
          <w:tcPr>
            <w:tcW w:type="auto" w:w="0"/>
            <w:shd w:val="clear" w:color="auto" w:fill="EEF2F6"/>
            <w:tcMar>
              <w:left w:type="dxa" w:w="200"/>
              <w:top w:type="dxa" w:w="200"/>
              <w:right w:type="dxa" w:w="200"/>
              <w:bottom w:type="dxa" w:w="200"/>
            </w:tcMar>
          </w:tcPr>
          <w:p>
            <w:pPr>
              <w:pStyle w:val="Para 001"/>
            </w:pPr>
            <w:r>
              <w:t>terminate</w:t>
            </w:r>
          </w:p>
        </w:tc>
        <w:tc>
          <w:tcPr>
            <w:tcW w:type="auto" w:w="0"/>
            <w:shd w:val="clear" w:color="auto" w:fill="EEF2F6"/>
            <w:tcMar>
              <w:left w:type="dxa" w:w="200"/>
              <w:top w:type="dxa" w:w="200"/>
              <w:right w:type="dxa" w:w="200"/>
              <w:bottom w:type="dxa" w:w="200"/>
            </w:tcMar>
          </w:tcPr>
          <w:p>
            <w:pPr>
              <w:pStyle w:val="Para 002"/>
            </w:pPr>
            <w:r>
              <w:rPr>
                <w:rStyle w:val="Text0"/>
              </w:rPr>
              <w:t>terminate()</w:t>
              <w:br w:clear="none"/>
            </w:r>
            <w:r>
              <w:t xml:space="preserve"> Kills the process (without giving it a chance to execute termination code, such as cleanup of queues and synchronization primitives; beware of the likelihood of causing errors when the process is using a queue or holding a synchronization primitive!).</w:t>
            </w:r>
          </w:p>
        </w:tc>
      </w:tr>
    </w:tbl>
    <w:p>
      <w:bookmarkStart w:id="3425" w:name="Differences_in_queues__The_class"/>
      <w:pPr>
        <w:keepNext/>
        <w:pStyle w:val="Heading 2"/>
      </w:pPr>
      <w:r>
        <w:t>Differences in queues</w:t>
      </w:r>
      <w:bookmarkEnd w:id="3425"/>
    </w:p>
    <w:p>
      <w:pPr>
        <w:pStyle w:val="Normal"/>
      </w:pPr>
      <w:r>
        <w:t xml:space="preserve">The class </w:t>
      </w:r>
      <w:r>
        <w:rPr>
          <w:rStyle w:val="Text0"/>
        </w:rPr>
        <w:t>multiprocessing.Queue</w:t>
      </w:r>
      <w:r>
        <w:t xml:space="preserve"> is very similar to </w:t>
      </w:r>
      <w:r>
        <w:rPr>
          <w:rStyle w:val="Text0"/>
        </w:rPr>
        <w:t>queue.Queue</w:t>
      </w:r>
      <w:r>
        <w:t xml:space="preserve">, except that an instance </w:t>
      </w:r>
      <w:r>
        <w:rPr>
          <w:rStyle w:val="Text3"/>
        </w:rPr>
        <w:t>q</w:t>
      </w:r>
      <w:r>
        <w:t xml:space="preserve"> of </w:t>
      </w:r>
      <w:r>
        <w:rPr>
          <w:rStyle w:val="Text0"/>
        </w:rPr>
        <w:t>multiprocessing.Queue</w:t>
      </w:r>
      <w:r>
        <w:t xml:space="preserve"> does </w:t>
      </w:r>
      <w:r>
        <w:rPr>
          <w:rStyle w:val="Text4"/>
        </w:rPr>
        <w:t>not</w:t>
      </w:r>
      <w:r>
        <w:t xml:space="preserve"> supply the methods </w:t>
      </w:r>
      <w:r>
        <w:rPr>
          <w:rStyle w:val="Text0"/>
        </w:rPr>
        <w:t>join</w:t>
      </w:r>
      <w:r>
        <w:t xml:space="preserve"> and </w:t>
      </w:r>
      <w:r>
        <w:rPr>
          <w:rStyle w:val="Text0"/>
        </w:rPr>
        <w:t>task_done</w:t>
      </w:r>
      <w:r>
        <w:t xml:space="preserve"> (described in </w:t>
      </w:r>
      <w:hyperlink w:anchor="The_queue_Module__The_queue_modu">
        <w:r>
          <w:rPr>
            <w:rStyle w:val="Text1"/>
          </w:rPr>
          <w:t>“The queue Module”</w:t>
        </w:r>
      </w:hyperlink>
      <w:r>
        <w:t xml:space="preserve">). When methods of </w:t>
      </w:r>
      <w:r>
        <w:rPr>
          <w:rStyle w:val="Text3"/>
        </w:rPr>
        <w:t>q</w:t>
      </w:r>
      <w:r>
        <w:t xml:space="preserve"> raise exceptions due to timeouts, they raise instances of </w:t>
      </w:r>
      <w:r>
        <w:rPr>
          <w:rStyle w:val="Text0"/>
        </w:rPr>
        <w:t>queue.Empty</w:t>
      </w:r>
      <w:r>
        <w:t xml:space="preserve"> or </w:t>
      </w:r>
      <w:r>
        <w:rPr>
          <w:rStyle w:val="Text0"/>
        </w:rPr>
        <w:t>queue.Full</w:t>
      </w:r>
      <w:r>
        <w:t xml:space="preserve">. </w:t>
      </w:r>
      <w:r>
        <w:rPr>
          <w:rStyle w:val="Text0"/>
        </w:rPr>
        <w:t>multiprocessing</w:t>
      </w:r>
      <w:r>
        <w:t xml:space="preserve"> has no equivalents to </w:t>
      </w:r>
      <w:r>
        <w:rPr>
          <w:rStyle w:val="Text0"/>
        </w:rPr>
        <w:t>queue</w:t>
      </w:r>
      <w:r>
        <w:t xml:space="preserve">’s </w:t>
      </w:r>
      <w:r>
        <w:rPr>
          <w:rStyle w:val="Text0"/>
        </w:rPr>
        <w:t>LifoQueue</w:t>
      </w:r>
      <w:r>
        <w:t xml:space="preserve"> and </w:t>
      </w:r>
      <w:r>
        <w:rPr>
          <w:rStyle w:val="Text0"/>
        </w:rPr>
        <w:t>PriorityQueue</w:t>
      </w:r>
      <w:r>
        <w:t xml:space="preserve"> classes.</w:t>
      </w:r>
    </w:p>
    <w:p>
      <w:pPr>
        <w:pStyle w:val="Normal"/>
      </w:pPr>
      <w:r>
        <w:t xml:space="preserve">The class </w:t>
      </w:r>
      <w:r>
        <w:rPr>
          <w:rStyle w:val="Text0"/>
        </w:rPr>
        <w:t>multiprocessing.JoinableQueue</w:t>
      </w:r>
      <w:r>
        <w:t xml:space="preserve"> does supply the methods </w:t>
      </w:r>
      <w:r>
        <w:rPr>
          <w:rStyle w:val="Text0"/>
        </w:rPr>
        <w:t>join</w:t>
      </w:r>
      <w:r>
        <w:t xml:space="preserve"> and </w:t>
      </w:r>
      <w:r>
        <w:rPr>
          <w:rStyle w:val="Text0"/>
        </w:rPr>
        <w:t>task_done</w:t>
      </w:r>
      <w:r>
        <w:t xml:space="preserve">, but with a semantic difference compared to </w:t>
      </w:r>
      <w:r>
        <w:rPr>
          <w:rStyle w:val="Text0"/>
        </w:rPr>
        <w:t>queue.Queue</w:t>
      </w:r>
      <w:r>
        <w:t xml:space="preserve">: with an instance </w:t>
      </w:r>
      <w:r>
        <w:rPr>
          <w:rStyle w:val="Text3"/>
        </w:rPr>
        <w:t>q</w:t>
      </w:r>
      <w:r>
        <w:t xml:space="preserve"> of </w:t>
      </w:r>
      <w:r>
        <w:rPr>
          <w:rStyle w:val="Text0"/>
        </w:rPr>
        <w:t>multiprocessing.JoinableQueue</w:t>
      </w:r>
      <w:r>
        <w:t xml:space="preserve">, the process that calls </w:t>
      </w:r>
      <w:r>
        <w:rPr>
          <w:rStyle w:val="Text3"/>
        </w:rPr>
        <w:t>q</w:t>
      </w:r>
      <w:r>
        <w:rPr>
          <w:rStyle w:val="Text0"/>
        </w:rPr>
        <w:t>.get</w:t>
      </w:r>
      <w:r>
        <w:t xml:space="preserve"> </w:t>
      </w:r>
      <w:r>
        <w:rPr>
          <w:rStyle w:val="Text4"/>
        </w:rPr>
        <w:t>must</w:t>
      </w:r>
      <w:r>
        <w:t xml:space="preserve"> call </w:t>
      </w:r>
      <w:r>
        <w:rPr>
          <w:rStyle w:val="Text3"/>
        </w:rPr>
        <w:t>q</w:t>
      </w:r>
      <w:r>
        <w:rPr>
          <w:rStyle w:val="Text0"/>
        </w:rPr>
        <w:t>.task_done</w:t>
      </w:r>
      <w:r>
        <w:t xml:space="preserve"> when it’s done processing that unit of work (it’s not optional, as it is when using </w:t>
      </w:r>
      <w:r>
        <w:rPr>
          <w:rStyle w:val="Text0"/>
        </w:rPr>
        <w:t>queue.Queue</w:t>
      </w:r>
      <w:r>
        <w:t>).</w:t>
      </w:r>
    </w:p>
    <w:p>
      <w:pPr>
        <w:pStyle w:val="Normal"/>
      </w:pPr>
      <w:r>
        <w:t xml:space="preserve">All objects you </w:t>
      </w:r>
      <w:r>
        <w:rPr>
          <w:rStyle w:val="Text0"/>
        </w:rPr>
        <w:t>put</w:t>
      </w:r>
      <w:r>
        <w:t xml:space="preserve"> in multiprocessing queues must be serializable by </w:t>
      </w:r>
      <w:r>
        <w:rPr>
          <w:rStyle w:val="Text0"/>
        </w:rPr>
        <w:t>pickle</w:t>
      </w:r>
      <w:r>
        <w:t xml:space="preserve">. There may be a delay between the time you execute </w:t>
      </w:r>
      <w:r>
        <w:rPr>
          <w:rStyle w:val="Text0"/>
        </w:rPr>
        <w:t>q.put</w:t>
      </w:r>
      <w:r>
        <w:t xml:space="preserve"> and the time the object is available from </w:t>
      </w:r>
      <w:r>
        <w:rPr>
          <w:rStyle w:val="Text0"/>
        </w:rPr>
        <w:t>q.get</w:t>
      </w:r>
      <w:r>
        <w:t xml:space="preserve">. Lastly, remember that an abrupt exit (crash or signal) of a process using </w:t>
      </w:r>
      <w:r>
        <w:rPr>
          <w:rStyle w:val="Text3"/>
        </w:rPr>
        <w:t>q</w:t>
      </w:r>
      <w:r>
        <w:t xml:space="preserve"> may leave </w:t>
      </w:r>
      <w:r>
        <w:rPr>
          <w:rStyle w:val="Text3"/>
        </w:rPr>
        <w:t>q</w:t>
      </w:r>
      <w:r>
        <w:t xml:space="preserve"> unusable for any other process.</w:t>
      </w:r>
    </w:p>
    <w:p>
      <w:bookmarkStart w:id="3426" w:name="Sharing_State__Classes_Value__Ar"/>
      <w:pPr>
        <w:keepNext/>
        <w:pStyle w:val="Heading 2"/>
      </w:pPr>
      <w:r>
        <w:t>Sharing State: Classes Value, Array, and Manager</w:t>
      </w:r>
      <w:bookmarkEnd w:id="3426"/>
    </w:p>
    <w:p>
      <w:pPr>
        <w:pStyle w:val="Normal"/>
      </w:pPr>
      <w:r>
        <w:t>To</w:t>
      </w:r>
      <w:r>
        <w:rPr>
          <w:rStyle w:val="Text111"/>
        </w:rPr>
        <w:bookmarkStart w:id="3427" w:name="idm45965191569024"/>
        <w:t/>
        <w:bookmarkEnd w:id="3427"/>
      </w:r>
      <w:r>
        <w:t xml:space="preserve"> use shared memory to hold a single primitive value in common among two or more processes, </w:t>
      </w:r>
      <w:r>
        <w:rPr>
          <w:rStyle w:val="Text0"/>
        </w:rPr>
        <w:t>multiprocessing</w:t>
      </w:r>
      <w:r>
        <w:t xml:space="preserve"> supplies the class </w:t>
      </w:r>
      <w:r>
        <w:rPr>
          <w:rStyle w:val="Text0"/>
        </w:rPr>
        <w:t>Value</w:t>
      </w:r>
      <w:r>
        <w:t xml:space="preserve">, and for a fixed-length array of primitive values, it provides the class </w:t>
      </w:r>
      <w:r>
        <w:rPr>
          <w:rStyle w:val="Text0"/>
        </w:rPr>
        <w:t>Array</w:t>
      </w:r>
      <w:r>
        <w:t xml:space="preserve">. For more flexibility (including sharing nonprimitive values and “sharing” among different systems joined by a network but sharing no memory), at the cost of higher overhead, </w:t>
      </w:r>
      <w:r>
        <w:rPr>
          <w:rStyle w:val="Text0"/>
        </w:rPr>
        <w:t>multiprocessing</w:t>
      </w:r>
      <w:r>
        <w:t xml:space="preserve"> supplies the class </w:t>
      </w:r>
      <w:r>
        <w:rPr>
          <w:rStyle w:val="Text0"/>
        </w:rPr>
        <w:t>Manager</w:t>
      </w:r>
      <w:r>
        <w:t xml:space="preserve">, which is a subclass of </w:t>
      </w:r>
      <w:r>
        <w:rPr>
          <w:rStyle w:val="Text0"/>
        </w:rPr>
        <w:t>Process</w:t>
      </w:r>
      <w:r>
        <w:t>. We’ll look at each of these in the following subsections.</w:t>
      </w:r>
    </w:p>
    <w:p>
      <w:bookmarkStart w:id="3428" w:name="The_Value_class__The_constructor"/>
      <w:pPr>
        <w:keepNext/>
        <w:pStyle w:val="Heading 2"/>
      </w:pPr>
      <w:r>
        <w:t>The Value class</w:t>
      </w:r>
      <w:bookmarkEnd w:id="3428"/>
    </w:p>
    <w:p>
      <w:pPr>
        <w:pStyle w:val="Normal"/>
      </w:pPr>
      <w:r>
        <w:t>The</w:t>
      </w:r>
      <w:r>
        <w:rPr>
          <w:rStyle w:val="Text111"/>
        </w:rPr>
        <w:bookmarkStart w:id="3429" w:name="idm45965191561424"/>
        <w:t/>
        <w:bookmarkEnd w:id="3429"/>
      </w:r>
      <w:r>
        <w:t xml:space="preserve"> constructor for the class </w:t>
      </w:r>
      <w:r>
        <w:rPr>
          <w:rStyle w:val="Text0"/>
        </w:rPr>
        <w:t>Value</w:t>
      </w:r>
      <w:r>
        <w:t xml:space="preserve"> has the</w:t>
      </w:r>
      <w:r>
        <w:rPr>
          <w:rStyle w:val="Text111"/>
        </w:rPr>
        <w:bookmarkStart w:id="3430" w:name="idm45965191559504"/>
        <w:t/>
        <w:bookmarkEnd w:id="3430"/>
      </w:r>
      <w:r>
        <w:t xml:space="preserv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Value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Value(</w:t>
            </w:r>
            <w:r>
              <w:rPr>
                <w:rStyle w:val="Text3"/>
              </w:rPr>
              <w:t>typecode</w:t>
            </w:r>
            <w:r>
              <w:rPr>
                <w:rStyle w:val="Text0"/>
              </w:rPr>
              <w:t>,</w:t>
            </w:r>
            <w:r>
              <w:t xml:space="preserve"> </w:t>
            </w:r>
            <w:r>
              <w:rPr>
                <w:rStyle w:val="Text3"/>
              </w:rPr>
              <w:t>*args</w:t>
            </w:r>
            <w:r>
              <w:rPr>
                <w:rStyle w:val="Text0"/>
              </w:rPr>
              <w:t>,</w:t>
            </w:r>
            <w:r>
              <w:t xml:space="preserve"> </w:t>
            </w:r>
            <w:r>
              <w:rPr>
                <w:rStyle w:val="Text3"/>
              </w:rPr>
              <w:t>*</w:t>
            </w:r>
            <w:r>
              <w:rPr>
                <w:rStyle w:val="Text0"/>
              </w:rPr>
              <w:t>, lock=</w:t>
            </w:r>
            <w:r>
              <w:rPr>
                <w:rStyle w:val="Text5"/>
              </w:rPr>
              <w:t>True</w:t>
            </w:r>
            <w:r>
              <w:rPr>
                <w:rStyle w:val="Text0"/>
              </w:rPr>
              <w:t>)</w:t>
              <w:br w:clear="none"/>
            </w:r>
            <w:r>
              <w:t xml:space="preserve"> </w:t>
            </w:r>
            <w:r>
              <w:rPr>
                <w:rStyle w:val="Text3"/>
              </w:rPr>
              <w:t>typecode</w:t>
            </w:r>
            <w:r>
              <w:t xml:space="preserve"> is a string defining the primitive type of the value, just like for the </w:t>
            </w:r>
            <w:r>
              <w:rPr>
                <w:rStyle w:val="Text0"/>
              </w:rPr>
              <w:t>array</w:t>
            </w:r>
            <w:r>
              <w:t xml:space="preserve"> module, covered in </w:t>
            </w:r>
            <w:hyperlink w:anchor="The_array_Module__The_array_modu">
              <w:r>
                <w:rPr>
                  <w:rStyle w:val="Text1"/>
                </w:rPr>
                <w:t>“The array Module”</w:t>
              </w:r>
            </w:hyperlink>
            <w:r>
              <w:t xml:space="preserve">. (Alternatively, </w:t>
            </w:r>
            <w:r>
              <w:rPr>
                <w:rStyle w:val="Text3"/>
              </w:rPr>
              <w:t>typecode</w:t>
            </w:r>
            <w:r>
              <w:t xml:space="preserve"> can be a type from the module </w:t>
            </w:r>
            <w:r>
              <w:rPr>
                <w:rStyle w:val="Text111"/>
              </w:rPr>
              <w:bookmarkStart w:id="3431" w:name="idm45965191545680"/>
              <w:t/>
              <w:bookmarkEnd w:id="3431"/>
            </w:r>
            <w:r>
              <w:rPr>
                <w:rStyle w:val="Text0"/>
              </w:rPr>
              <w:t>ctypes</w:t>
            </w:r>
            <w:r>
              <w:t xml:space="preserve">, discussed in </w:t>
            </w:r>
            <w:hyperlink r:id="rId24">
              <w:r>
                <w:rPr>
                  <w:rStyle w:val="Text1"/>
                </w:rPr>
                <w:t>“ctypes” in Chapter 25</w:t>
              </w:r>
            </w:hyperlink>
            <w:r>
              <w:t xml:space="preserve">, but this is rarely necessary.) </w:t>
            </w:r>
            <w:r>
              <w:rPr>
                <w:rStyle w:val="Text3"/>
              </w:rPr>
              <w:t>args</w:t>
            </w:r>
            <w:r>
              <w:t xml:space="preserve"> is passed on to the type’s constructor: therefore, </w:t>
            </w:r>
            <w:r>
              <w:rPr>
                <w:rStyle w:val="Text3"/>
              </w:rPr>
              <w:t>args</w:t>
            </w:r>
            <w:r>
              <w:t xml:space="preserve"> is either absent (in which case the primitive is initialized as per its default, typically </w:t>
            </w:r>
            <w:r>
              <w:rPr>
                <w:rStyle w:val="Text0"/>
              </w:rPr>
              <w:t>0</w:t>
            </w:r>
            <w:r>
              <w:t>) or a single value, which is used to initialize the primitive.</w:t>
              <w:br w:clear="none"/>
              <w:t xml:space="preserve"> When </w:t>
            </w:r>
            <w:r>
              <w:rPr>
                <w:rStyle w:val="Text0"/>
              </w:rPr>
              <w:t>lock</w:t>
            </w:r>
            <w:r>
              <w:t xml:space="preserve"> is </w:t>
            </w:r>
            <w:r>
              <w:rPr>
                <w:rStyle w:val="Text5"/>
              </w:rPr>
              <w:t>True</w:t>
            </w:r>
            <w:r>
              <w:t xml:space="preserve"> (the default), </w:t>
            </w:r>
            <w:r>
              <w:rPr>
                <w:rStyle w:val="Text0"/>
              </w:rPr>
              <w:t>Value</w:t>
            </w:r>
            <w:r>
              <w:t xml:space="preserve"> makes and uses a new lock to guard the instance. Alternatively, you can pass as </w:t>
            </w:r>
            <w:r>
              <w:rPr>
                <w:rStyle w:val="Text0"/>
              </w:rPr>
              <w:t>lock</w:t>
            </w:r>
            <w:r>
              <w:t xml:space="preserve"> an existing </w:t>
            </w:r>
            <w:r>
              <w:rPr>
                <w:rStyle w:val="Text0"/>
              </w:rPr>
              <w:t>Lock</w:t>
            </w:r>
            <w:r>
              <w:t xml:space="preserve"> or </w:t>
            </w:r>
            <w:r>
              <w:rPr>
                <w:rStyle w:val="Text0"/>
              </w:rPr>
              <w:t>RLock</w:t>
            </w:r>
            <w:r>
              <w:t xml:space="preserve"> instance. You can even pass </w:t>
            </w:r>
            <w:r>
              <w:rPr>
                <w:rStyle w:val="Text0"/>
              </w:rPr>
              <w:t>lock=</w:t>
            </w:r>
            <w:r>
              <w:rPr>
                <w:rStyle w:val="Text5"/>
              </w:rPr>
              <w:t>False</w:t>
            </w:r>
            <w:r>
              <w:t xml:space="preserve">, but that is rarely advisable: when you do, the instance is not guarded (thus, it is not synchronized among processes) and is missing the method </w:t>
            </w:r>
            <w:r>
              <w:rPr>
                <w:rStyle w:val="Text0"/>
              </w:rPr>
              <w:t>get_lock</w:t>
            </w:r>
            <w:r>
              <w:t xml:space="preserve">. If you do pass </w:t>
            </w:r>
            <w:r>
              <w:rPr>
                <w:rStyle w:val="Text0"/>
              </w:rPr>
              <w:t>lock</w:t>
            </w:r>
            <w:r>
              <w:t xml:space="preserve">, you </w:t>
            </w:r>
            <w:r>
              <w:rPr>
                <w:rStyle w:val="Text4"/>
              </w:rPr>
              <w:t>must</w:t>
            </w:r>
            <w:r>
              <w:t xml:space="preserve"> pass it as a named argument, using </w:t>
            </w:r>
            <w:r>
              <w:rPr>
                <w:rStyle w:val="Text0"/>
              </w:rPr>
              <w:t>lock=</w:t>
            </w:r>
            <w:r>
              <w:rPr>
                <w:rStyle w:val="Text3"/>
              </w:rPr>
              <w:t>something</w:t>
            </w:r>
            <w:r>
              <w:t>.</w:t>
            </w:r>
          </w:p>
        </w:tc>
      </w:tr>
    </w:tbl>
    <w:p>
      <w:pPr>
        <w:pStyle w:val="Normal"/>
      </w:pPr>
      <w:r>
        <w:t xml:space="preserve">An instance </w:t>
      </w:r>
      <w:r>
        <w:rPr>
          <w:rStyle w:val="Text3"/>
        </w:rPr>
        <w:t>v</w:t>
      </w:r>
      <w:r>
        <w:t xml:space="preserve"> of the class </w:t>
      </w:r>
      <w:r>
        <w:rPr>
          <w:rStyle w:val="Text0"/>
        </w:rPr>
        <w:t>Value</w:t>
      </w:r>
      <w:r>
        <w:t xml:space="preserve"> supplies the method </w:t>
      </w:r>
      <w:r>
        <w:rPr>
          <w:rStyle w:val="Text0"/>
        </w:rPr>
        <w:t>get_lock</w:t>
      </w:r>
      <w:r>
        <w:t xml:space="preserve">, which returns (but neither acquires nor releases) the lock guarding </w:t>
      </w:r>
      <w:r>
        <w:rPr>
          <w:rStyle w:val="Text4"/>
        </w:rPr>
        <w:t>v</w:t>
      </w:r>
      <w:r>
        <w:t xml:space="preserve">, and the read/write attribute </w:t>
      </w:r>
      <w:r>
        <w:rPr>
          <w:rStyle w:val="Text0"/>
        </w:rPr>
        <w:t>value</w:t>
      </w:r>
      <w:r>
        <w:t xml:space="preserve">, used to set and get </w:t>
      </w:r>
      <w:r>
        <w:rPr>
          <w:rStyle w:val="Text4"/>
        </w:rPr>
        <w:t>v</w:t>
      </w:r>
      <w:r>
        <w:t>’s underlying primitive value.</w:t>
      </w:r>
    </w:p>
    <w:p>
      <w:pPr>
        <w:pStyle w:val="Normal"/>
      </w:pPr>
      <w:r>
        <w:t xml:space="preserve">To ensure atomicity of operations on </w:t>
      </w:r>
      <w:r>
        <w:rPr>
          <w:rStyle w:val="Text3"/>
        </w:rPr>
        <w:t>v</w:t>
      </w:r>
      <w:r>
        <w:t xml:space="preserve">’s underlying primitive value, guard the operation in a </w:t>
      </w:r>
      <w:r>
        <w:rPr>
          <w:rStyle w:val="Text5"/>
        </w:rPr>
        <w:t>with</w:t>
      </w:r>
      <w:r>
        <w:t xml:space="preserve"> </w:t>
      </w:r>
      <w:r>
        <w:rPr>
          <w:rStyle w:val="Text3"/>
        </w:rPr>
        <w:t>v</w:t>
      </w:r>
      <w:r>
        <w:rPr>
          <w:rStyle w:val="Text0"/>
        </w:rPr>
        <w:t>.get_lock():</w:t>
      </w:r>
      <w:r>
        <w:t xml:space="preserve"> statement. A typical example of such usage might be for augmented assignment, as in:</w:t>
      </w:r>
    </w:p>
    <w:p>
      <w:pPr>
        <w:pStyle w:val="Para 007"/>
      </w:pPr>
      <w:r>
        <w:rPr>
          <w:rStyle w:val="Text23"/>
        </w:rPr>
        <w:t xml:space="preserve"/>
        <w:br w:clear="none"/>
      </w:r>
      <w:r>
        <w:rPr>
          <w:rStyle w:val="Text10"/>
        </w:rPr>
        <w:t xml:space="preserve">with</w:t>
        <w:br w:clear="none"/>
      </w:r>
      <w:r>
        <w:rPr>
          <w:rStyle w:val="Text6"/>
        </w:rPr>
        <w:t xml:space="preserve"> </w:t>
        <w:br w:clear="none"/>
      </w:r>
      <w:r>
        <w:t xml:space="preserve">v</w:t>
        <w:br w:clear="none"/>
      </w:r>
      <w:r>
        <w:rPr>
          <w:rStyle w:val="Text13"/>
        </w:rPr>
        <w:t xml:space="preserve">.</w:t>
        <w:br w:clear="none"/>
      </w:r>
      <w:r>
        <w:t xml:space="preserve">get_lock</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v</w:t>
        <w:br w:clear="none"/>
      </w:r>
      <w:r>
        <w:rPr>
          <w:rStyle w:val="Text13"/>
        </w:rPr>
        <w:t xml:space="preserve">.</w:t>
        <w:br w:clear="none"/>
      </w:r>
      <w:r>
        <w:t xml:space="preserve">value</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1</w:t>
        <w:br w:clear="none"/>
      </w:r>
    </w:p>
    <w:p>
      <w:pPr>
        <w:pStyle w:val="Normal"/>
      </w:pPr>
      <w:r>
        <w:t xml:space="preserve">If any other process does an unguarded operation on that same primitive value, however—even an atomic one such as a simple assignment like </w:t>
      </w:r>
      <w:r>
        <w:rPr>
          <w:rStyle w:val="Text3"/>
        </w:rPr>
        <w:t>v</w:t>
      </w:r>
      <w:r>
        <w:rPr>
          <w:rStyle w:val="Text0"/>
        </w:rPr>
        <w:t>.value =</w:t>
      </w:r>
      <w:r>
        <w:t xml:space="preserve"> </w:t>
      </w:r>
      <w:r>
        <w:rPr>
          <w:rStyle w:val="Text3"/>
        </w:rPr>
        <w:t>x</w:t>
      </w:r>
      <w:r>
        <w:t xml:space="preserve">—all bets are off: the guarded operation and the unguarded one can get your system into a </w:t>
      </w:r>
      <w:r>
        <w:rPr>
          <w:rStyle w:val="Text4"/>
        </w:rPr>
        <w:t>race condition</w:t>
      </w:r>
      <w:r>
        <w:t>.</w:t>
      </w:r>
      <w:hyperlink w:anchor="3_A_race_condition_is_a_situatio">
        <w:r>
          <w:rPr>
            <w:rStyle w:val="Text41"/>
          </w:rPr>
          <w:bookmarkStart w:id="3432" w:name="3_12"/>
          <w:t>3</w:t>
          <w:bookmarkEnd w:id="3432"/>
        </w:r>
      </w:hyperlink>
      <w:r>
        <w:t xml:space="preserve"> Play it safe: if </w:t>
      </w:r>
      <w:r>
        <w:rPr>
          <w:rStyle w:val="Text4"/>
        </w:rPr>
        <w:t>any</w:t>
      </w:r>
      <w:r>
        <w:t xml:space="preserve"> operation at all on </w:t>
      </w:r>
      <w:r>
        <w:rPr>
          <w:rStyle w:val="Text3"/>
        </w:rPr>
        <w:t>v</w:t>
      </w:r>
      <w:r>
        <w:rPr>
          <w:rStyle w:val="Text0"/>
        </w:rPr>
        <w:t>.value</w:t>
      </w:r>
      <w:r>
        <w:t xml:space="preserve"> is not atomic (and thus needs to be guarded by being within a </w:t>
      </w:r>
      <w:r>
        <w:rPr>
          <w:rStyle w:val="Text5"/>
        </w:rPr>
        <w:t>with</w:t>
      </w:r>
      <w:r>
        <w:t xml:space="preserve"> </w:t>
      </w:r>
      <w:r>
        <w:rPr>
          <w:rStyle w:val="Text3"/>
        </w:rPr>
        <w:t>v</w:t>
      </w:r>
      <w:r>
        <w:rPr>
          <w:rStyle w:val="Text0"/>
        </w:rPr>
        <w:t>.get_lock():</w:t>
      </w:r>
      <w:r>
        <w:t xml:space="preserve"> block), guard </w:t>
      </w:r>
      <w:r>
        <w:rPr>
          <w:rStyle w:val="Text4"/>
        </w:rPr>
        <w:t>all</w:t>
      </w:r>
      <w:r>
        <w:t xml:space="preserve"> operations on </w:t>
      </w:r>
      <w:r>
        <w:rPr>
          <w:rStyle w:val="Text3"/>
        </w:rPr>
        <w:t>v</w:t>
      </w:r>
      <w:r>
        <w:rPr>
          <w:rStyle w:val="Text0"/>
        </w:rPr>
        <w:t>.value</w:t>
      </w:r>
      <w:r>
        <w:t xml:space="preserve"> by placing them within such blocks.</w:t>
      </w:r>
    </w:p>
    <w:p>
      <w:bookmarkStart w:id="3433" w:name="The_Array_class__A_multiprocessi"/>
      <w:pPr>
        <w:keepNext/>
        <w:pStyle w:val="Heading 2"/>
      </w:pPr>
      <w:r>
        <w:t>The Array class</w:t>
      </w:r>
      <w:bookmarkEnd w:id="3433"/>
    </w:p>
    <w:p>
      <w:pPr>
        <w:pStyle w:val="Normal"/>
      </w:pPr>
      <w:r>
        <w:t>A</w:t>
      </w:r>
      <w:r>
        <w:rPr>
          <w:rStyle w:val="Text111"/>
        </w:rPr>
        <w:bookmarkStart w:id="3434" w:name="idm45965191473072"/>
        <w:t/>
        <w:bookmarkEnd w:id="3434"/>
      </w:r>
      <w:r>
        <w:t xml:space="preserve"> </w:t>
      </w:r>
      <w:r>
        <w:rPr>
          <w:rStyle w:val="Text0"/>
        </w:rPr>
        <w:t>multiprocessing.Array</w:t>
      </w:r>
      <w:r>
        <w:t xml:space="preserve"> is a fixed-length array of primitive values, with all items of the same primitive type. The constructor for the class </w:t>
      </w:r>
      <w:r>
        <w:rPr>
          <w:rStyle w:val="Text0"/>
        </w:rPr>
        <w:t>Array</w:t>
      </w:r>
      <w:r>
        <w:t xml:space="preserve"> has the</w:t>
      </w:r>
      <w:r>
        <w:rPr>
          <w:rStyle w:val="Text111"/>
        </w:rPr>
        <w:bookmarkStart w:id="3435" w:name="idm45965191470304"/>
        <w:t/>
        <w:bookmarkEnd w:id="3435"/>
      </w:r>
      <w:r>
        <w:t xml:space="preserv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Array</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Array(</w:t>
            </w:r>
            <w:r>
              <w:rPr>
                <w:rStyle w:val="Text3"/>
              </w:rPr>
              <w:t>typecode</w:t>
            </w:r>
            <w:r>
              <w:rPr>
                <w:rStyle w:val="Text0"/>
              </w:rPr>
              <w:t>,</w:t>
            </w:r>
            <w:r>
              <w:t xml:space="preserve"> </w:t>
            </w:r>
            <w:r>
              <w:rPr>
                <w:rStyle w:val="Text3"/>
              </w:rPr>
              <w:t>size_or_initializer</w:t>
            </w:r>
            <w:r>
              <w:rPr>
                <w:rStyle w:val="Text0"/>
              </w:rPr>
              <w:t>,</w:t>
            </w:r>
            <w:r>
              <w:t xml:space="preserve"> </w:t>
            </w:r>
            <w:r>
              <w:rPr>
                <w:rStyle w:val="Text3"/>
              </w:rPr>
              <w:t>*</w:t>
            </w:r>
            <w:r>
              <w:rPr>
                <w:rStyle w:val="Text0"/>
              </w:rPr>
              <w:t>, lock=</w:t>
            </w:r>
            <w:r>
              <w:rPr>
                <w:rStyle w:val="Text5"/>
              </w:rPr>
              <w:t>True</w:t>
            </w:r>
            <w:r>
              <w:rPr>
                <w:rStyle w:val="Text0"/>
              </w:rPr>
              <w:t>)</w:t>
              <w:br w:clear="none"/>
            </w:r>
            <w:r>
              <w:t xml:space="preserve"> </w:t>
            </w:r>
            <w:r>
              <w:rPr>
                <w:rStyle w:val="Text3"/>
              </w:rPr>
              <w:t>typecode</w:t>
            </w:r>
            <w:r>
              <w:t xml:space="preserve"> is a string defining the primitive type of the value, just like for the module </w:t>
            </w:r>
            <w:r>
              <w:rPr>
                <w:rStyle w:val="Text0"/>
              </w:rPr>
              <w:t>array</w:t>
            </w:r>
            <w:r>
              <w:t xml:space="preserve">, as covered in </w:t>
            </w:r>
            <w:hyperlink w:anchor="The_array_Module__The_array_modu">
              <w:r>
                <w:rPr>
                  <w:rStyle w:val="Text1"/>
                </w:rPr>
                <w:t>“The array Module”</w:t>
              </w:r>
            </w:hyperlink>
            <w:r>
              <w:t xml:space="preserve">. (Alternatively, </w:t>
            </w:r>
            <w:r>
              <w:rPr>
                <w:rStyle w:val="Text3"/>
              </w:rPr>
              <w:t>typecode</w:t>
            </w:r>
            <w:r>
              <w:t xml:space="preserve"> can be a type from the module </w:t>
            </w:r>
            <w:r>
              <w:rPr>
                <w:rStyle w:val="Text111"/>
              </w:rPr>
              <w:bookmarkStart w:id="3436" w:name="idm45965191456736"/>
              <w:t/>
              <w:bookmarkEnd w:id="3436"/>
            </w:r>
            <w:r>
              <w:rPr>
                <w:rStyle w:val="Text0"/>
              </w:rPr>
              <w:t>ctypes</w:t>
            </w:r>
            <w:r>
              <w:t xml:space="preserve">, discussed in </w:t>
            </w:r>
            <w:hyperlink r:id="rId24">
              <w:r>
                <w:rPr>
                  <w:rStyle w:val="Text1"/>
                </w:rPr>
                <w:t>“ctypes” in Chapter 25</w:t>
              </w:r>
            </w:hyperlink>
            <w:r>
              <w:t xml:space="preserve">, but this is rarely necessary.) </w:t>
            </w:r>
            <w:r>
              <w:rPr>
                <w:rStyle w:val="Text3"/>
              </w:rPr>
              <w:t>size_or_initializer</w:t>
            </w:r>
            <w:r>
              <w:t xml:space="preserve"> can be an iterable, used to initialize the array, or an integer used as the length of the array, in which case each item of the array is initialized to </w:t>
            </w:r>
            <w:r>
              <w:rPr>
                <w:rStyle w:val="Text0"/>
              </w:rPr>
              <w:t>0</w:t>
            </w:r>
            <w:r>
              <w:t>.</w:t>
              <w:br w:clear="none"/>
              <w:t xml:space="preserve"> When </w:t>
            </w:r>
            <w:r>
              <w:rPr>
                <w:rStyle w:val="Text0"/>
              </w:rPr>
              <w:t>lock</w:t>
            </w:r>
            <w:r>
              <w:t xml:space="preserve"> is </w:t>
            </w:r>
            <w:r>
              <w:rPr>
                <w:rStyle w:val="Text5"/>
              </w:rPr>
              <w:t>True</w:t>
            </w:r>
            <w:r>
              <w:t xml:space="preserve"> (the default), </w:t>
            </w:r>
            <w:r>
              <w:rPr>
                <w:rStyle w:val="Text0"/>
              </w:rPr>
              <w:t>Array</w:t>
            </w:r>
            <w:r>
              <w:t xml:space="preserve"> makes and uses a new lock to guard the instance. Alternatively, you can pass as </w:t>
            </w:r>
            <w:r>
              <w:rPr>
                <w:rStyle w:val="Text0"/>
              </w:rPr>
              <w:t>lock</w:t>
            </w:r>
            <w:r>
              <w:t xml:space="preserve"> an existing </w:t>
            </w:r>
            <w:r>
              <w:rPr>
                <w:rStyle w:val="Text0"/>
              </w:rPr>
              <w:t>Lock</w:t>
            </w:r>
            <w:r>
              <w:t xml:space="preserve"> or </w:t>
            </w:r>
            <w:r>
              <w:rPr>
                <w:rStyle w:val="Text0"/>
              </w:rPr>
              <w:t>RLock</w:t>
            </w:r>
            <w:r>
              <w:t xml:space="preserve"> instance. You can even pass </w:t>
            </w:r>
            <w:r>
              <w:rPr>
                <w:rStyle w:val="Text0"/>
              </w:rPr>
              <w:t>lock=</w:t>
            </w:r>
            <w:r>
              <w:rPr>
                <w:rStyle w:val="Text5"/>
              </w:rPr>
              <w:t>False</w:t>
            </w:r>
            <w:r>
              <w:t xml:space="preserve">, but that is rarely advisable: when you do, the instance is not guarded (thus it is not synchronized among processes) and is missing the method </w:t>
            </w:r>
            <w:r>
              <w:rPr>
                <w:rStyle w:val="Text0"/>
              </w:rPr>
              <w:t>get_lock</w:t>
            </w:r>
            <w:r>
              <w:t xml:space="preserve">. If you do pass </w:t>
            </w:r>
            <w:r>
              <w:rPr>
                <w:rStyle w:val="Text0"/>
              </w:rPr>
              <w:t>lock</w:t>
            </w:r>
            <w:r>
              <w:t xml:space="preserve">, you </w:t>
            </w:r>
            <w:r>
              <w:rPr>
                <w:rStyle w:val="Text4"/>
              </w:rPr>
              <w:t>must</w:t>
            </w:r>
            <w:r>
              <w:t xml:space="preserve"> pass it as a named argument, using </w:t>
            </w:r>
            <w:r>
              <w:rPr>
                <w:rStyle w:val="Text0"/>
              </w:rPr>
              <w:t>lock=</w:t>
            </w:r>
            <w:r>
              <w:rPr>
                <w:rStyle w:val="Text3"/>
              </w:rPr>
              <w:t>something</w:t>
            </w:r>
            <w:r>
              <w:t>.</w:t>
            </w:r>
          </w:p>
        </w:tc>
      </w:tr>
    </w:tbl>
    <w:p>
      <w:pPr>
        <w:pStyle w:val="Normal"/>
      </w:pPr>
      <w:r>
        <w:t xml:space="preserve">An instance </w:t>
      </w:r>
      <w:r>
        <w:rPr>
          <w:rStyle w:val="Text3"/>
        </w:rPr>
        <w:t>a</w:t>
      </w:r>
      <w:r>
        <w:t xml:space="preserve"> of the class </w:t>
      </w:r>
      <w:r>
        <w:rPr>
          <w:rStyle w:val="Text0"/>
        </w:rPr>
        <w:t>Array</w:t>
      </w:r>
      <w:r>
        <w:t xml:space="preserve"> supplies the method </w:t>
      </w:r>
      <w:r>
        <w:rPr>
          <w:rStyle w:val="Text0"/>
        </w:rPr>
        <w:t>get_lock</w:t>
      </w:r>
      <w:r>
        <w:t xml:space="preserve">, which returns (but neither acquires nor releases) the lock guarding </w:t>
      </w:r>
      <w:r>
        <w:rPr>
          <w:rStyle w:val="Text3"/>
        </w:rPr>
        <w:t>a</w:t>
      </w:r>
      <w:r>
        <w:t>.</w:t>
      </w:r>
    </w:p>
    <w:p>
      <w:pPr>
        <w:pStyle w:val="Normal"/>
      </w:pPr>
      <w:r>
        <w:rPr>
          <w:rStyle w:val="Text3"/>
        </w:rPr>
        <w:t>a</w:t>
      </w:r>
      <w:r>
        <w:t xml:space="preserve"> is accessed by indexing and slicing, and modified by assigning to an indexing or to a slice. </w:t>
      </w:r>
      <w:r>
        <w:rPr>
          <w:rStyle w:val="Text3"/>
        </w:rPr>
        <w:t>a</w:t>
      </w:r>
      <w:r>
        <w:t xml:space="preserve"> is fixed length: therefore, when you assign to a slice, you must assign an iterable of exactly the same length as the slice you’re assigning to. </w:t>
      </w:r>
      <w:r>
        <w:rPr>
          <w:rStyle w:val="Text3"/>
        </w:rPr>
        <w:t>a</w:t>
      </w:r>
      <w:r>
        <w:t xml:space="preserve"> is also iterable.</w:t>
      </w:r>
    </w:p>
    <w:p>
      <w:pPr>
        <w:pStyle w:val="Normal"/>
      </w:pPr>
      <w:r>
        <w:t xml:space="preserve">In the special case where </w:t>
      </w:r>
      <w:r>
        <w:rPr>
          <w:rStyle w:val="Text3"/>
        </w:rPr>
        <w:t>a</w:t>
      </w:r>
      <w:r>
        <w:t xml:space="preserve"> was built with a </w:t>
      </w:r>
      <w:r>
        <w:rPr>
          <w:rStyle w:val="Text3"/>
        </w:rPr>
        <w:t>typecode</w:t>
      </w:r>
      <w:r>
        <w:t xml:space="preserve"> of </w:t>
      </w:r>
      <w:r>
        <w:rPr>
          <w:rStyle w:val="Text0"/>
        </w:rPr>
        <w:t>'c'</w:t>
      </w:r>
      <w:r>
        <w:t xml:space="preserve">, you can also access </w:t>
      </w:r>
      <w:r>
        <w:rPr>
          <w:rStyle w:val="Text3"/>
        </w:rPr>
        <w:t>a</w:t>
      </w:r>
      <w:r>
        <w:rPr>
          <w:rStyle w:val="Text0"/>
        </w:rPr>
        <w:t>.value</w:t>
      </w:r>
      <w:r>
        <w:t xml:space="preserve"> to get </w:t>
      </w:r>
      <w:r>
        <w:rPr>
          <w:rStyle w:val="Text3"/>
        </w:rPr>
        <w:t>a</w:t>
      </w:r>
      <w:r>
        <w:t xml:space="preserve">’s contents as a bytestring, and you can assign to </w:t>
      </w:r>
      <w:r>
        <w:rPr>
          <w:rStyle w:val="Text3"/>
        </w:rPr>
        <w:t>a</w:t>
      </w:r>
      <w:r>
        <w:rPr>
          <w:rStyle w:val="Text0"/>
        </w:rPr>
        <w:t>.value</w:t>
      </w:r>
      <w:r>
        <w:t xml:space="preserve"> any bytestring no longer than </w:t>
      </w:r>
      <w:r>
        <w:rPr>
          <w:rStyle w:val="Text0"/>
        </w:rPr>
        <w:t>len(</w:t>
      </w:r>
      <w:r>
        <w:rPr>
          <w:rStyle w:val="Text3"/>
        </w:rPr>
        <w:t>a</w:t>
      </w:r>
      <w:r>
        <w:rPr>
          <w:rStyle w:val="Text0"/>
        </w:rPr>
        <w:t>)</w:t>
      </w:r>
      <w:r>
        <w:t xml:space="preserve">. When </w:t>
      </w:r>
      <w:r>
        <w:rPr>
          <w:rStyle w:val="Text3"/>
        </w:rPr>
        <w:t>s</w:t>
      </w:r>
      <w:r>
        <w:t xml:space="preserve"> is a bytestring with </w:t>
      </w:r>
      <w:r>
        <w:rPr>
          <w:rStyle w:val="Text0"/>
        </w:rPr>
        <w:t>len(</w:t>
      </w:r>
      <w:r>
        <w:rPr>
          <w:rStyle w:val="Text3"/>
        </w:rPr>
        <w:t>s</w:t>
      </w:r>
      <w:r>
        <w:rPr>
          <w:rStyle w:val="Text0"/>
        </w:rPr>
        <w:t>) &lt; len(</w:t>
      </w:r>
      <w:r>
        <w:rPr>
          <w:rStyle w:val="Text3"/>
        </w:rPr>
        <w:t>a</w:t>
      </w:r>
      <w:r>
        <w:rPr>
          <w:rStyle w:val="Text0"/>
        </w:rPr>
        <w:t>)</w:t>
      </w:r>
      <w:r>
        <w:t xml:space="preserve">, </w:t>
      </w:r>
      <w:r>
        <w:rPr>
          <w:rStyle w:val="Text3"/>
        </w:rPr>
        <w:t>a</w:t>
      </w:r>
      <w:r>
        <w:rPr>
          <w:rStyle w:val="Text0"/>
        </w:rPr>
        <w:t>.value =</w:t>
      </w:r>
      <w:r>
        <w:t xml:space="preserve"> </w:t>
      </w:r>
      <w:r>
        <w:rPr>
          <w:rStyle w:val="Text3"/>
        </w:rPr>
        <w:t>s</w:t>
      </w:r>
      <w:r>
        <w:t xml:space="preserve"> means </w:t>
      </w:r>
      <w:r>
        <w:rPr>
          <w:rStyle w:val="Text3"/>
        </w:rPr>
        <w:t>a</w:t>
      </w:r>
      <w:r>
        <w:rPr>
          <w:rStyle w:val="Text0"/>
        </w:rPr>
        <w:t>[:len(</w:t>
      </w:r>
      <w:r>
        <w:rPr>
          <w:rStyle w:val="Text3"/>
        </w:rPr>
        <w:t>s</w:t>
      </w:r>
      <w:r>
        <w:rPr>
          <w:rStyle w:val="Text0"/>
        </w:rPr>
        <w:t>)+1]</w:t>
      </w:r>
      <w:r>
        <w:t xml:space="preserve"> </w:t>
      </w:r>
      <w:r>
        <w:rPr>
          <w:rStyle w:val="Text0"/>
        </w:rPr>
        <w:t>=</w:t>
      </w:r>
      <w:r>
        <w:t xml:space="preserve"> </w:t>
      </w:r>
      <w:r>
        <w:rPr>
          <w:rStyle w:val="Text3"/>
        </w:rPr>
        <w:t>s</w:t>
      </w:r>
      <w:r>
        <w:t xml:space="preserve"> </w:t>
      </w:r>
      <w:r>
        <w:rPr>
          <w:rStyle w:val="Text0"/>
        </w:rPr>
        <w:t>+ b'\0'</w:t>
      </w:r>
      <w:r>
        <w:t xml:space="preserve">; this mirrors the representation of </w:t>
      </w:r>
      <w:r>
        <w:rPr>
          <w:rStyle w:val="Text0"/>
        </w:rPr>
        <w:t>char</w:t>
      </w:r>
      <w:r>
        <w:t xml:space="preserve"> strings in the C language, terminated with a </w:t>
      </w:r>
      <w:r>
        <w:rPr>
          <w:rStyle w:val="Text0"/>
        </w:rPr>
        <w:t>0</w:t>
      </w:r>
      <w:r>
        <w:t xml:space="preserve"> byte. For example:</w:t>
      </w:r>
    </w:p>
    <w:p>
      <w:pPr>
        <w:pStyle w:val="Para 014"/>
      </w:pPr>
      <w:r>
        <w:rPr>
          <w:rStyle w:val="Text116"/>
        </w:rPr>
        <w:t xml:space="preserve"/>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multiprocessing</w:t>
        <w:br w:clear="none"/>
      </w:r>
      <w:r>
        <w:rPr>
          <w:rStyle w:val="Text28"/>
        </w:rPr>
        <w:t xml:space="preserve">.</w:t>
        <w:br w:clear="none"/>
      </w:r>
      <w:r>
        <w:rPr>
          <w:rStyle w:val="Text14"/>
        </w:rPr>
        <w:t xml:space="preserve">Array</w:t>
        <w:br w:clear="none"/>
      </w:r>
      <w:r>
        <w:rPr>
          <w:rStyle w:val="Text19"/>
        </w:rPr>
        <w:t xml:space="preserve">(</w:t>
        <w:br w:clear="none"/>
      </w:r>
      <w:r>
        <w:rPr>
          <w:rStyle w:val="Text17"/>
        </w:rPr>
        <w:t xml:space="preserve">'</w:t>
        <w:br w:clear="none"/>
        <w:t xml:space="preserve">c</w:t>
        <w:br w:clear="none"/>
        <w:t xml:space="preserve">'</w:t>
        <w:br w:clear="none"/>
      </w:r>
      <w:r>
        <w:rPr>
          <w:rStyle w:val="Text19"/>
        </w:rPr>
        <w:t xml:space="preserve">,</w:t>
        <w:br w:clear="none"/>
      </w:r>
      <w:r>
        <w:rPr>
          <w:rStyle w:val="Text11"/>
        </w:rPr>
        <w:t xml:space="preserve"> </w:t>
        <w:br w:clear="none"/>
        <w:t xml:space="preserve">b</w:t>
        <w:br w:clear="none"/>
      </w:r>
      <w:r>
        <w:rPr>
          <w:rStyle w:val="Text17"/>
        </w:rPr>
        <w:t xml:space="preserve">'</w:t>
        <w:br w:clear="none"/>
        <w:t xml:space="preserve">four score and seven</w:t>
        <w:br w:clear="none"/>
        <w:t xml:space="preserve">'</w:t>
        <w:br w:clear="none"/>
      </w:r>
      <w:r>
        <w:rPr>
          <w:rStyle w:val="Text19"/>
        </w:rPr>
        <w:t xml:space="preserve">)</w:t>
        <w:br w:clear="none"/>
      </w:r>
      <w:r>
        <w:rPr>
          <w:rStyle w:val="Text11"/>
        </w:rPr>
        <w:t xml:space="preserve"/>
        <w:br w:clear="none"/>
      </w:r>
      <w:r>
        <w:rPr>
          <w:rStyle w:val="Text14"/>
        </w:rPr>
        <w:t xml:space="preserve">a</w:t>
        <w:br w:clear="none"/>
      </w:r>
      <w:r>
        <w:rPr>
          <w:rStyle w:val="Text28"/>
        </w:rPr>
        <w:t xml:space="preserve">.</w:t>
        <w:br w:clear="none"/>
      </w:r>
      <w:r>
        <w:rPr>
          <w:rStyle w:val="Text14"/>
        </w:rPr>
        <w:t xml:space="preserve">value</w:t>
        <w:br w:clear="none"/>
      </w:r>
      <w:r>
        <w:rPr>
          <w:rStyle w:val="Text11"/>
        </w:rPr>
        <w:t xml:space="preserve"> </w:t>
        <w:br w:clear="none"/>
      </w:r>
      <w:r>
        <w:rPr>
          <w:rStyle w:val="Text28"/>
        </w:rPr>
        <w:t xml:space="preserve">=</w:t>
        <w:br w:clear="none"/>
      </w:r>
      <w:r>
        <w:rPr>
          <w:rStyle w:val="Text11"/>
        </w:rPr>
        <w:t xml:space="preserve"> </w:t>
        <w:br w:clear="none"/>
        <w:t xml:space="preserve">b</w:t>
        <w:br w:clear="none"/>
      </w:r>
      <w:r>
        <w:rPr>
          <w:rStyle w:val="Text17"/>
        </w:rPr>
        <w:t xml:space="preserve">'</w:t>
        <w:br w:clear="none"/>
        <w:t xml:space="preserve">five</w:t>
        <w:br w:clear="none"/>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w:t>
        <w:br w:clear="none"/>
      </w:r>
      <w:r>
        <w:rPr>
          <w:rStyle w:val="Text28"/>
        </w:rPr>
        <w:t xml:space="preserve">.</w:t>
        <w:br w:clear="none"/>
      </w:r>
      <w:r>
        <w:rPr>
          <w:rStyle w:val="Text14"/>
        </w:rPr>
        <w:t xml:space="preserve">value</w:t>
        <w:br w:clear="none"/>
      </w:r>
      <w:r>
        <w:rPr>
          <w:rStyle w:val="Text19"/>
        </w:rPr>
        <w:t xml:space="preserve">)</w:t>
        <w:br w:clear="none"/>
      </w:r>
      <w:r>
        <w:rPr>
          <w:rStyle w:val="Text11"/>
        </w:rPr>
        <w:t xml:space="preserve">   </w:t>
        <w:br w:clear="none"/>
      </w:r>
      <w:r>
        <w:t xml:space="preserve"># prints</w:t>
        <w:br w:clear="none"/>
      </w:r>
      <w:r>
        <w:rPr>
          <w:rStyle w:val="Text4"/>
        </w:rPr>
        <w:t xml:space="preserve"> </w:t>
        <w:br w:clear="none"/>
      </w:r>
      <w:r>
        <w:t xml:space="preserve">b'five'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a</w:t>
        <w:br w:clear="none"/>
      </w:r>
      <w:r>
        <w:rPr>
          <w:rStyle w:val="Text19"/>
        </w:rPr>
        <w:t xml:space="preserve">[</w:t>
        <w:br w:clear="none"/>
        <w:t xml:space="preserve">:</w:t>
        <w:br w:clear="none"/>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b'five\xOOscore and seven'</w:t>
        <w:br w:clear="none"/>
      </w:r>
    </w:p>
    <w:p>
      <w:bookmarkStart w:id="3437" w:name="The_Manager_class__multiprocessi"/>
      <w:pPr>
        <w:keepNext/>
        <w:pStyle w:val="Heading 2"/>
      </w:pPr>
      <w:r>
        <w:t>The Manager class</w:t>
      </w:r>
      <w:bookmarkEnd w:id="3437"/>
    </w:p>
    <w:p>
      <w:pPr>
        <w:pStyle w:val="Normal"/>
      </w:pPr>
      <w:r>
        <w:rPr>
          <w:rStyle w:val="Text0"/>
        </w:rPr>
        <w:t>multiprocessing.Manager</w:t>
      </w:r>
      <w:r>
        <w:t xml:space="preserve"> is</w:t>
      </w:r>
      <w:r>
        <w:rPr>
          <w:rStyle w:val="Text111"/>
        </w:rPr>
        <w:bookmarkStart w:id="3438" w:name="idm45965191376016"/>
        <w:t/>
        <w:bookmarkEnd w:id="3438"/>
      </w:r>
      <w:r>
        <w:t xml:space="preserve"> a subclass of </w:t>
      </w:r>
      <w:r>
        <w:rPr>
          <w:rStyle w:val="Text0"/>
        </w:rPr>
        <w:t>multiprocessing.Process</w:t>
      </w:r>
      <w:r>
        <w:t xml:space="preserve">, with the same methods and attributes. In addition, it supplies methods to build an instance of any of the multiprocessing synchronization primitives, plus </w:t>
      </w:r>
      <w:r>
        <w:rPr>
          <w:rStyle w:val="Text0"/>
        </w:rPr>
        <w:t>Queue</w:t>
      </w:r>
      <w:r>
        <w:t xml:space="preserve">, </w:t>
      </w:r>
      <w:r>
        <w:rPr>
          <w:rStyle w:val="Text0"/>
        </w:rPr>
        <w:t>dict</w:t>
      </w:r>
      <w:r>
        <w:t xml:space="preserve">, </w:t>
      </w:r>
      <w:r>
        <w:rPr>
          <w:rStyle w:val="Text0"/>
        </w:rPr>
        <w:t>list</w:t>
      </w:r>
      <w:r>
        <w:t xml:space="preserve">, and </w:t>
      </w:r>
      <w:r>
        <w:rPr>
          <w:rStyle w:val="Text0"/>
        </w:rPr>
        <w:t>Namespace</w:t>
      </w:r>
      <w:r>
        <w:t xml:space="preserve">, the latter being a class that just lets you set and get arbitrary named attributes. Each of the methods has the name of the class whose instances it builds, and returns a </w:t>
      </w:r>
      <w:r>
        <w:rPr>
          <w:rStyle w:val="Text4"/>
        </w:rPr>
        <w:t>proxy</w:t>
      </w:r>
      <w:r>
        <w:t xml:space="preserve"> to such an instance, which any process can use to call methods (including special methods, such as indexing of instances of </w:t>
      </w:r>
      <w:r>
        <w:rPr>
          <w:rStyle w:val="Text0"/>
        </w:rPr>
        <w:t>dict</w:t>
      </w:r>
      <w:r>
        <w:t xml:space="preserve"> or </w:t>
      </w:r>
      <w:r>
        <w:rPr>
          <w:rStyle w:val="Text0"/>
        </w:rPr>
        <w:t>list</w:t>
      </w:r>
      <w:r>
        <w:t>) on the instance held in the manager process.</w:t>
      </w:r>
    </w:p>
    <w:p>
      <w:pPr>
        <w:pStyle w:val="Normal"/>
      </w:pPr>
      <w:r>
        <w:t xml:space="preserve">Proxy objects pass most operators, and accesses to methods and attributes, on to the instance they proxy for; however, they don’t pass on </w:t>
      </w:r>
      <w:r>
        <w:rPr>
          <w:rStyle w:val="Text4"/>
        </w:rPr>
        <w:t>comparison</w:t>
      </w:r>
      <w:r>
        <w:t xml:space="preserve"> operators—if you need a comparison, you need to take a local copy of the proxied object. For example:</w:t>
      </w:r>
    </w:p>
    <w:p>
      <w:pPr>
        <w:pStyle w:val="Para 014"/>
      </w:pPr>
      <w:r>
        <w:rPr>
          <w:rStyle w:val="Text116"/>
        </w:rPr>
        <w:t xml:space="preserve"/>
        <w:br w:clear="none"/>
      </w:r>
      <w:r>
        <w:rPr>
          <w:rStyle w:val="Text14"/>
        </w:rPr>
        <w:t xml:space="preserve">manager</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multiprocessing</w:t>
        <w:br w:clear="none"/>
      </w:r>
      <w:r>
        <w:rPr>
          <w:rStyle w:val="Text28"/>
        </w:rPr>
        <w:t xml:space="preserve">.</w:t>
        <w:br w:clear="none"/>
      </w:r>
      <w:r>
        <w:rPr>
          <w:rStyle w:val="Text14"/>
        </w:rPr>
        <w:t xml:space="preserve">Manager</w:t>
        <w:br w:clear="none"/>
      </w:r>
      <w:r>
        <w:rPr>
          <w:rStyle w:val="Text19"/>
        </w:rPr>
        <w:t xml:space="preserve">(</w:t>
        <w:br w:clear="none"/>
        <w:t xml:space="preserve">)</w:t>
        <w:br w:clear="none"/>
      </w:r>
      <w:r>
        <w:rPr>
          <w:rStyle w:val="Text11"/>
        </w:rPr>
        <w:t xml:space="preserve"/>
        <w:br w:clear="none"/>
      </w:r>
      <w:r>
        <w:rPr>
          <w:rStyle w:val="Text14"/>
        </w:rPr>
        <w:t xml:space="preserve">p</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manager</w:t>
        <w:br w:clear="none"/>
      </w:r>
      <w:r>
        <w:rPr>
          <w:rStyle w:val="Text28"/>
        </w:rPr>
        <w:t xml:space="preserve">.</w:t>
        <w:br w:clear="none"/>
      </w:r>
      <w:r>
        <w:rPr>
          <w:rStyle w:val="Text14"/>
        </w:rPr>
        <w:t xml:space="preserve">list</w:t>
        <w:br w:clear="none"/>
      </w:r>
      <w:r>
        <w:rPr>
          <w:rStyle w:val="Text19"/>
        </w:rPr>
        <w:t xml:space="preserve">(</w:t>
        <w:br w:clear="none"/>
        <w:t xml:space="preserve">)</w:t>
        <w:br w:clear="none"/>
      </w:r>
      <w:r>
        <w:rPr>
          <w:rStyle w:val="Text11"/>
        </w:rPr>
        <w:t xml:space="preserve"/>
        <w:br w:clear="none"/>
        <w:t xml:space="preserve"/>
        <w:br w:clear="none"/>
      </w:r>
      <w:r>
        <w:rPr>
          <w:rStyle w:val="Text14"/>
        </w:rPr>
        <w:t xml:space="preserve">p</w:t>
        <w:br w:clear="none"/>
      </w:r>
      <w:r>
        <w:rPr>
          <w:rStyle w:val="Text19"/>
        </w:rPr>
        <w:t xml:space="preserve">[</w:t>
        <w:br w:clear="none"/>
        <w:t xml:space="preserve">:</w:t>
        <w:br w:clear="none"/>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br w:clear="none"/>
      </w:r>
      <w:r>
        <w:rPr>
          <w:rStyle w:val="Text21"/>
        </w:rPr>
        <w:t xml:space="preserve">print</w:t>
        <w:br w:clear="none"/>
      </w:r>
      <w:r>
        <w:rPr>
          <w:rStyle w:val="Text19"/>
        </w:rPr>
        <w:t xml:space="preserve">(</w:t>
        <w:br w:clear="none"/>
      </w:r>
      <w:r>
        <w:rPr>
          <w:rStyle w:val="Text14"/>
        </w:rPr>
        <w:t xml:space="preserve">p</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False</w:t>
        <w:br w:clear="none"/>
        <w:t xml:space="preserve">,</w:t>
        <w:br w:clear="none"/>
      </w:r>
      <w:r>
        <w:rPr>
          <w:rStyle w:val="Text4"/>
        </w:rPr>
        <w:t xml:space="preserve"> </w:t>
        <w:br w:clear="none"/>
      </w:r>
      <w:r>
        <w:t xml:space="preserve"> it compares with p itself</w:t>
        <w:br w:clear="none"/>
      </w:r>
      <w:r>
        <w:rPr>
          <w:rStyle w:val="Text11"/>
        </w:rPr>
        <w:t xml:space="preserve"/>
        <w:br w:clear="none"/>
      </w:r>
      <w:r>
        <w:rPr>
          <w:rStyle w:val="Text21"/>
        </w:rPr>
        <w:t xml:space="preserve">print</w:t>
        <w:br w:clear="none"/>
      </w:r>
      <w:r>
        <w:rPr>
          <w:rStyle w:val="Text19"/>
        </w:rPr>
        <w:t xml:space="preserve">(</w:t>
        <w:br w:clear="none"/>
      </w:r>
      <w:r>
        <w:rPr>
          <w:rStyle w:val="Text21"/>
        </w:rPr>
        <w:t xml:space="preserve">list</w:t>
        <w:br w:clear="none"/>
      </w:r>
      <w:r>
        <w:rPr>
          <w:rStyle w:val="Text19"/>
        </w:rPr>
        <w:t xml:space="preserve">(</w:t>
        <w:br w:clear="none"/>
      </w:r>
      <w:r>
        <w:rPr>
          <w:rStyle w:val="Text14"/>
        </w:rPr>
        <w:t xml:space="preserve">p</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t xml:space="preserve">)</w:t>
        <w:br w:clear="none"/>
      </w:r>
      <w:r>
        <w:rPr>
          <w:rStyle w:val="Text11"/>
        </w:rPr>
        <w:t xml:space="preserve"> </w:t>
        <w:br w:clear="none"/>
      </w:r>
      <w:r>
        <w:t xml:space="preserve"># prints</w:t>
        <w:br w:clear="none"/>
      </w:r>
      <w:r>
        <w:rPr>
          <w:rStyle w:val="Text4"/>
        </w:rPr>
        <w:t xml:space="preserve"> </w:t>
        <w:br w:clear="none"/>
      </w:r>
      <w:r>
        <w:t xml:space="preserve">True</w:t>
        <w:br w:clear="none"/>
        <w:t xml:space="preserve">,</w:t>
        <w:br w:clear="none"/>
      </w:r>
      <w:r>
        <w:rPr>
          <w:rStyle w:val="Text4"/>
        </w:rPr>
        <w:t xml:space="preserve"> </w:t>
        <w:br w:clear="none"/>
      </w:r>
      <w:r>
        <w:t xml:space="preserve"> it compares with copy</w:t>
        <w:br w:clear="none"/>
      </w:r>
    </w:p>
    <w:p>
      <w:pPr>
        <w:pStyle w:val="Normal"/>
      </w:pPr>
      <w:r>
        <w:t xml:space="preserve">The constructor of </w:t>
      </w:r>
      <w:r>
        <w:rPr>
          <w:rStyle w:val="Text0"/>
        </w:rPr>
        <w:t>Manager</w:t>
      </w:r>
      <w:r>
        <w:t xml:space="preserve"> takes no arguments. There are advanced ways to customize </w:t>
      </w:r>
      <w:r>
        <w:rPr>
          <w:rStyle w:val="Text0"/>
        </w:rPr>
        <w:t>Manager</w:t>
      </w:r>
      <w:r>
        <w:t xml:space="preserve"> subclasses to allow connections from unrelated processes (including ones on different computers connected via a network) and to supply a different set of building methods, but we do not cover them in this book. Rather, one simple, often-sufficient approach to using </w:t>
      </w:r>
      <w:r>
        <w:rPr>
          <w:rStyle w:val="Text0"/>
        </w:rPr>
        <w:t>Manager</w:t>
      </w:r>
      <w:r>
        <w:t xml:space="preserve"> is to explicitly transfer to other processes the proxies it produces, typically via queues, or as arguments to a </w:t>
      </w:r>
      <w:r>
        <w:rPr>
          <w:rStyle w:val="Text0"/>
        </w:rPr>
        <w:t>Process</w:t>
      </w:r>
      <w:r>
        <w:t xml:space="preserve">’s </w:t>
      </w:r>
      <w:r>
        <w:rPr>
          <w:rStyle w:val="Text3"/>
        </w:rPr>
        <w:t>target</w:t>
      </w:r>
      <w:r>
        <w:t xml:space="preserve"> function.</w:t>
      </w:r>
    </w:p>
    <w:p>
      <w:pPr>
        <w:pStyle w:val="Normal"/>
      </w:pPr>
      <w:r>
        <w:t xml:space="preserve">For example, suppose there is a long-running, CPU-bound function </w:t>
      </w:r>
      <w:r>
        <w:rPr>
          <w:rStyle w:val="Text3"/>
        </w:rPr>
        <w:t>f</w:t>
      </w:r>
      <w:r>
        <w:t xml:space="preserve"> that, given a string as an argument, eventually returns a corresponding result; given a </w:t>
      </w:r>
      <w:r>
        <w:rPr>
          <w:rStyle w:val="Text0"/>
        </w:rPr>
        <w:t>set</w:t>
      </w:r>
      <w:r>
        <w:t xml:space="preserve"> of strings, we want to produce a </w:t>
      </w:r>
      <w:r>
        <w:rPr>
          <w:rStyle w:val="Text0"/>
        </w:rPr>
        <w:t>dict</w:t>
      </w:r>
      <w:r>
        <w:t xml:space="preserve"> with the strings as keys and the corresponding results as values. To be able to follow on which processes </w:t>
      </w:r>
      <w:r>
        <w:rPr>
          <w:rStyle w:val="Text3"/>
        </w:rPr>
        <w:t>f</w:t>
      </w:r>
      <w:r>
        <w:t xml:space="preserve"> runs, we also </w:t>
      </w:r>
      <w:r>
        <w:rPr>
          <w:rStyle w:val="Text0"/>
        </w:rPr>
        <w:t>print</w:t>
      </w:r>
      <w:r>
        <w:t xml:space="preserve"> the process ID just before calling </w:t>
      </w:r>
      <w:r>
        <w:rPr>
          <w:rStyle w:val="Text3"/>
        </w:rPr>
        <w:t>f</w:t>
      </w:r>
      <w:r>
        <w:t xml:space="preserve">. </w:t>
      </w:r>
      <w:hyperlink w:anchor="Example_15_1__Distributing_work">
        <w:r>
          <w:rPr>
            <w:rStyle w:val="Text1"/>
          </w:rPr>
          <w:t>Example 15-1</w:t>
        </w:r>
      </w:hyperlink>
      <w:r>
        <w:t xml:space="preserve"> shows one way to do this.</w:t>
      </w:r>
    </w:p>
    <w:p>
      <w:bookmarkStart w:id="3439" w:name="Example_15_1__Distributing_work"/>
      <w:pPr>
        <w:keepNext/>
        <w:pStyle w:val="Heading 4"/>
      </w:pPr>
      <w:r>
        <w:t xml:space="preserve">Example 15-1. </w:t>
        <w:t>Distributing work to multiple worker processes</w:t>
      </w:r>
      <w:bookmarkEnd w:id="3439"/>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multiprocessing</w:t>
        <w:br w:clear="none"/>
      </w:r>
      <w:r>
        <w:rPr>
          <w:rStyle w:val="Text6"/>
        </w:rPr>
        <w:t xml:space="preserve"> </w:t>
        <w:br w:clear="none"/>
      </w:r>
      <w:r>
        <w:rPr>
          <w:rStyle w:val="Text10"/>
        </w:rPr>
        <w:t xml:space="preserve">as</w:t>
        <w:br w:clear="none"/>
      </w:r>
      <w:r>
        <w:rPr>
          <w:rStyle w:val="Text6"/>
        </w:rPr>
        <w:t xml:space="preserve"> </w:t>
        <w:br w:clear="none"/>
      </w:r>
      <w:r>
        <w:rPr>
          <w:rStyle w:val="Text20"/>
        </w:rPr>
        <w:t xml:space="preserve">mp</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"""Run a long time, and eventually return a result."""</w:t>
        <w:br w:clear="none"/>
      </w:r>
      <w:r>
        <w:rPr>
          <w:rStyle w:val="Text6"/>
        </w:rPr>
        <w:t xml:space="preserve"/>
        <w:br w:clear="none"/>
      </w:r>
      <w:r>
        <w:rPr>
          <w:rStyle w:val="Text29"/>
        </w:rPr>
        <w:t xml:space="preserve">    </w:t>
        <w:br w:clear="none"/>
      </w:r>
      <w:r>
        <w:rPr>
          <w:rStyle w:val="Text10"/>
        </w:rPr>
        <w:t xml:space="preserve">import</w:t>
        <w:br w:clear="none"/>
      </w:r>
      <w:r>
        <w:rPr>
          <w:rStyle w:val="Text6"/>
        </w:rPr>
        <w:t xml:space="preserve"> </w:t>
        <w:br w:clear="none"/>
      </w:r>
      <w:r>
        <w:rPr>
          <w:rStyle w:val="Text20"/>
        </w:rPr>
        <w:t xml:space="preserve">time</w:t>
        <w:br w:clear="none"/>
      </w:r>
      <w:r>
        <w:rPr>
          <w:rStyle w:val="Text63"/>
        </w:rPr>
        <w:t xml:space="preserve">,</w:t>
        <w:br w:clear="none"/>
      </w:r>
      <w:r>
        <w:rPr>
          <w:rStyle w:val="Text6"/>
        </w:rPr>
        <w:t xml:space="preserve"> </w:t>
        <w:br w:clear="none"/>
      </w:r>
      <w:r>
        <w:rPr>
          <w:rStyle w:val="Text20"/>
        </w:rPr>
        <w:t xml:space="preserve">random</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t xml:space="preserve">random</w:t>
        <w:br w:clear="none"/>
      </w:r>
      <w:r>
        <w:rPr>
          <w:rStyle w:val="Text13"/>
        </w:rPr>
        <w:t xml:space="preserve">.</w:t>
        <w:br w:clear="none"/>
      </w:r>
      <w:r>
        <w:t xml:space="preserve">random</w:t>
        <w:br w:clear="none"/>
      </w:r>
      <w:r>
        <w:rPr>
          <w:rStyle w:val="Text7"/>
        </w:rPr>
        <w:t xml:space="preserve">(</w:t>
        <w:br w:clear="none"/>
        <w:t xml:space="preserve">)</w:t>
        <w:br w:clear="none"/>
      </w:r>
      <w:r>
        <w:rPr>
          <w:rStyle w:val="Text13"/>
        </w:rPr>
        <w:t xml:space="preserve">*</w:t>
        <w:br w:clear="none"/>
      </w:r>
      <w:r>
        <w:rPr>
          <w:rStyle w:val="Text27"/>
        </w:rPr>
        <w:t xml:space="preserve">2</w:t>
        <w:br w:clear="none"/>
      </w:r>
      <w:r>
        <w:rPr>
          <w:rStyle w:val="Text7"/>
        </w:rPr>
        <w:t xml:space="preserve">)</w:t>
        <w:br w:clear="none"/>
      </w:r>
      <w:r>
        <w:rPr>
          <w:rStyle w:val="Text6"/>
        </w:rPr>
        <w:t xml:space="preserve">  </w:t>
        <w:br w:clear="none"/>
      </w:r>
      <w:r>
        <w:rPr>
          <w:rStyle w:val="Text15"/>
        </w:rPr>
        <w:t xml:space="preserve"># simulate slowness</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s</w:t>
        <w:br w:clear="none"/>
      </w:r>
      <w:r>
        <w:rPr>
          <w:rStyle w:val="Text13"/>
        </w:rPr>
        <w:t xml:space="preserve">+</w:t>
        <w:br w:clear="none"/>
      </w:r>
      <w:r>
        <w:t xml:space="preserve">s</w:t>
        <w:br w:clear="none"/>
      </w:r>
      <w:r>
        <w:rPr>
          <w:rStyle w:val="Text6"/>
        </w:rPr>
        <w:t xml:space="preserve">                     </w:t>
        <w:br w:clear="none"/>
      </w:r>
      <w:r>
        <w:rPr>
          <w:rStyle w:val="Text15"/>
        </w:rPr>
        <w:t xml:space="preserve"># some computation or other</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runner</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t xml:space="preserve">d</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os</w:t>
        <w:br w:clear="none"/>
      </w:r>
      <w:r>
        <w:rPr>
          <w:rStyle w:val="Text13"/>
        </w:rPr>
        <w:t xml:space="preserve">.</w:t>
        <w:br w:clear="none"/>
      </w:r>
      <w:r>
        <w:t xml:space="preserve">getpid</w:t>
        <w:br w:clear="none"/>
      </w:r>
      <w:r>
        <w:rPr>
          <w:rStyle w:val="Text7"/>
        </w:rPr>
        <w:t xml:space="preserve">(</w:t>
        <w:br w:clear="none"/>
        <w:t xml:space="preserve">)</w:t>
        <w:br w:clear="none"/>
        <w:t xml:space="preserve">,</w:t>
        <w:br w:clear="none"/>
      </w:r>
      <w:r>
        <w:rPr>
          <w:rStyle w:val="Text6"/>
        </w:rPr>
        <w:t xml:space="preserve"> </w:t>
        <w:br w:clear="none"/>
      </w:r>
      <w:r>
        <w:t xml:space="preserve">s</w:t>
        <w:br w:clear="none"/>
      </w:r>
      <w:r>
        <w:rPr>
          <w:rStyle w:val="Text7"/>
        </w:rPr>
        <w:t xml:space="preserve">)</w:t>
        <w:br w:clear="none"/>
      </w:r>
      <w:r>
        <w:rPr>
          <w:rStyle w:val="Text6"/>
        </w:rPr>
        <w:t xml:space="preserve"/>
        <w:br w:clear="none"/>
        <w:t xml:space="preserve">    </w:t>
        <w:br w:clear="none"/>
      </w:r>
      <w:r>
        <w:t xml:space="preserve">d</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f</w:t>
        <w:br w:clear="none"/>
      </w:r>
      <w:r>
        <w:rPr>
          <w:rStyle w:val="Text7"/>
        </w:rPr>
        <w:t xml:space="preserve">(</w:t>
        <w:br w:clear="none"/>
      </w:r>
      <w:r>
        <w:t xml:space="preserve">s</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make_dict</w:t>
        <w:br w:clear="none"/>
      </w:r>
      <w:r>
        <w:rPr>
          <w:rStyle w:val="Text7"/>
        </w:rPr>
        <w:t xml:space="preserve">(</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t xml:space="preserve">mgr</w:t>
        <w:br w:clear="none"/>
      </w:r>
      <w:r>
        <w:rPr>
          <w:rStyle w:val="Text6"/>
        </w:rPr>
        <w:t xml:space="preserve"> </w:t>
        <w:br w:clear="none"/>
      </w:r>
      <w:r>
        <w:rPr>
          <w:rStyle w:val="Text13"/>
        </w:rPr>
        <w:t xml:space="preserve">=</w:t>
        <w:br w:clear="none"/>
      </w:r>
      <w:r>
        <w:rPr>
          <w:rStyle w:val="Text6"/>
        </w:rPr>
        <w:t xml:space="preserve"> </w:t>
        <w:br w:clear="none"/>
      </w:r>
      <w:r>
        <w:t xml:space="preserve">mp</w:t>
        <w:br w:clear="none"/>
      </w:r>
      <w:r>
        <w:rPr>
          <w:rStyle w:val="Text13"/>
        </w:rPr>
        <w:t xml:space="preserve">.</w:t>
        <w:br w:clear="none"/>
      </w:r>
      <w:r>
        <w:t xml:space="preserve">Manager</w:t>
        <w:br w:clear="none"/>
      </w:r>
      <w:r>
        <w:rPr>
          <w:rStyle w:val="Text7"/>
        </w:rPr>
        <w:t xml:space="preserve">(</w:t>
        <w:br w:clear="none"/>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t xml:space="preserve">mgr</w:t>
        <w:br w:clear="none"/>
      </w:r>
      <w:r>
        <w:rPr>
          <w:rStyle w:val="Text13"/>
        </w:rPr>
        <w:t xml:space="preserve">.</w:t>
        <w:br w:clear="none"/>
      </w:r>
      <w:r>
        <w:t xml:space="preserve">dict</w:t>
        <w:br w:clear="none"/>
      </w:r>
      <w:r>
        <w:rPr>
          <w:rStyle w:val="Text7"/>
        </w:rPr>
        <w:t xml:space="preserve">(</w:t>
        <w:br w:clear="none"/>
        <w:t xml:space="preserve">)</w:t>
        <w:br w:clear="none"/>
      </w:r>
      <w:r>
        <w:rPr>
          <w:rStyle w:val="Text6"/>
        </w:rPr>
        <w:t xml:space="preserve"/>
        <w:br w:clear="none"/>
        <w:t xml:space="preserve">    </w:t>
        <w:br w:clear="none"/>
      </w:r>
      <w:r>
        <w:t xml:space="preserve">workers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t xml:space="preserve">strings</w:t>
        <w:br w:clear="none"/>
      </w:r>
      <w:r>
        <w:rPr>
          <w:rStyle w:val="Text7"/>
        </w:rPr>
        <w:t xml:space="preserve">:</w:t>
        <w:br w:clear="none"/>
      </w:r>
      <w:r>
        <w:rPr>
          <w:rStyle w:val="Text6"/>
        </w:rPr>
        <w:t xml:space="preserve"/>
        <w:br w:clear="none"/>
        <w:t xml:space="preserve">        </w:t>
        <w:br w:clear="none"/>
      </w:r>
      <w:r>
        <w:t xml:space="preserve">p</w:t>
        <w:br w:clear="none"/>
      </w:r>
      <w:r>
        <w:rPr>
          <w:rStyle w:val="Text6"/>
        </w:rPr>
        <w:t xml:space="preserve"> </w:t>
        <w:br w:clear="none"/>
      </w:r>
      <w:r>
        <w:rPr>
          <w:rStyle w:val="Text13"/>
        </w:rPr>
        <w:t xml:space="preserve">=</w:t>
        <w:br w:clear="none"/>
      </w:r>
      <w:r>
        <w:rPr>
          <w:rStyle w:val="Text6"/>
        </w:rPr>
        <w:t xml:space="preserve"> </w:t>
        <w:br w:clear="none"/>
      </w:r>
      <w:r>
        <w:t xml:space="preserve">mp</w:t>
        <w:br w:clear="none"/>
      </w:r>
      <w:r>
        <w:rPr>
          <w:rStyle w:val="Text13"/>
        </w:rPr>
        <w:t xml:space="preserve">.</w:t>
        <w:br w:clear="none"/>
      </w:r>
      <w:r>
        <w:t xml:space="preserve">Process</w:t>
        <w:br w:clear="none"/>
      </w:r>
      <w:r>
        <w:rPr>
          <w:rStyle w:val="Text7"/>
        </w:rPr>
        <w:t xml:space="preserve">(</w:t>
        <w:br w:clear="none"/>
      </w:r>
      <w:r>
        <w:t xml:space="preserve">target</w:t>
        <w:br w:clear="none"/>
      </w:r>
      <w:r>
        <w:rPr>
          <w:rStyle w:val="Text13"/>
        </w:rPr>
        <w:t xml:space="preserve">=</w:t>
        <w:br w:clear="none"/>
      </w:r>
      <w:r>
        <w:t xml:space="preserve">runner</w:t>
        <w:br w:clear="none"/>
      </w:r>
      <w:r>
        <w:rPr>
          <w:rStyle w:val="Text7"/>
        </w:rPr>
        <w:t xml:space="preserve">,</w:t>
        <w:br w:clear="none"/>
      </w:r>
      <w:r>
        <w:rPr>
          <w:rStyle w:val="Text6"/>
        </w:rPr>
        <w:t xml:space="preserve"> </w:t>
        <w:br w:clear="none"/>
      </w:r>
      <w:r>
        <w:t xml:space="preserve">args</w:t>
        <w:br w:clear="none"/>
      </w:r>
      <w:r>
        <w:rPr>
          <w:rStyle w:val="Text13"/>
        </w:rPr>
        <w:t xml:space="preserve">=</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t xml:space="preserve">d</w:t>
        <w:br w:clear="none"/>
      </w:r>
      <w:r>
        <w:rPr>
          <w:rStyle w:val="Text7"/>
        </w:rPr>
        <w:t xml:space="preserve">)</w:t>
        <w:br w:clear="none"/>
        <w:t xml:space="preserve">)</w:t>
        <w:br w:clear="none"/>
      </w:r>
      <w:r>
        <w:rPr>
          <w:rStyle w:val="Text6"/>
        </w:rPr>
        <w:t xml:space="preserve"/>
        <w:br w:clear="none"/>
        <w:t xml:space="preserve">        </w:t>
        <w:br w:clear="none"/>
      </w:r>
      <w:r>
        <w:t xml:space="preserve">p</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t>
        <w:br w:clear="none"/>
      </w:r>
      <w:r>
        <w:t xml:space="preserve">workers</w:t>
        <w:br w:clear="none"/>
      </w:r>
      <w:r>
        <w:rPr>
          <w:rStyle w:val="Text13"/>
        </w:rPr>
        <w:t xml:space="preserve">.</w:t>
        <w:br w:clear="none"/>
      </w:r>
      <w:r>
        <w:t xml:space="preserve">append</w:t>
        <w:br w:clear="none"/>
      </w:r>
      <w:r>
        <w:rPr>
          <w:rStyle w:val="Text7"/>
        </w:rPr>
        <w:t xml:space="preserve">(</w:t>
        <w:br w:clear="none"/>
      </w:r>
      <w:r>
        <w:t xml:space="preserve">p</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p</w:t>
        <w:br w:clear="none"/>
      </w:r>
      <w:r>
        <w:rPr>
          <w:rStyle w:val="Text6"/>
        </w:rPr>
        <w:t xml:space="preserve"> </w:t>
        <w:br w:clear="none"/>
      </w:r>
      <w:r>
        <w:rPr>
          <w:rStyle w:val="Text31"/>
        </w:rPr>
        <w:t xml:space="preserve">in</w:t>
        <w:br w:clear="none"/>
      </w:r>
      <w:r>
        <w:rPr>
          <w:rStyle w:val="Text6"/>
        </w:rPr>
        <w:t xml:space="preserve"> </w:t>
        <w:br w:clear="none"/>
      </w:r>
      <w:r>
        <w:t xml:space="preserve">workers</w:t>
        <w:br w:clear="none"/>
      </w:r>
      <w:r>
        <w:rPr>
          <w:rStyle w:val="Text7"/>
        </w:rPr>
        <w:t xml:space="preserve">:</w:t>
        <w:br w:clear="none"/>
      </w:r>
      <w:r>
        <w:rPr>
          <w:rStyle w:val="Text6"/>
        </w:rPr>
        <w:t xml:space="preserve"/>
        <w:br w:clear="none"/>
        <w:t xml:space="preserve">        </w:t>
        <w:br w:clear="none"/>
      </w:r>
      <w:r>
        <w:t xml:space="preserve">p</w:t>
        <w:br w:clear="none"/>
      </w:r>
      <w:r>
        <w:rPr>
          <w:rStyle w:val="Text13"/>
        </w:rPr>
        <w:t xml:space="preserve">.</w:t>
        <w:br w:clear="none"/>
      </w:r>
      <w:r>
        <w:t xml:space="preserve">join</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7"/>
        </w:rPr>
        <w:t xml:space="preserve">{</w:t>
        <w:br w:clear="none"/>
      </w:r>
      <w:r>
        <w:rPr>
          <w:rStyle w:val="Text13"/>
        </w:rPr>
        <w:t xml:space="preserve">*</w:t>
        <w:br w:clear="none"/>
        <w:t xml:space="preserve">*</w:t>
        <w:br w:clear="none"/>
      </w:r>
      <w:r>
        <w:t xml:space="preserve">d</w:t>
        <w:br w:clear="none"/>
      </w:r>
      <w:r>
        <w:rPr>
          <w:rStyle w:val="Text7"/>
        </w:rPr>
        <w:t xml:space="preserve">}</w:t>
        <w:br w:clear="none"/>
      </w:r>
    </w:p>
    <w:p>
      <w:bookmarkStart w:id="3440" w:name="Process_Pools__In_real_life__you"/>
      <w:pPr>
        <w:keepNext/>
        <w:pStyle w:val="Heading 2"/>
      </w:pPr>
      <w:r>
        <w:t>Process Pools</w:t>
      </w:r>
      <w:bookmarkEnd w:id="3440"/>
    </w:p>
    <w:p>
      <w:pPr>
        <w:pStyle w:val="Normal"/>
      </w:pPr>
      <w:r>
        <w:t>In</w:t>
      </w:r>
      <w:r>
        <w:rPr>
          <w:rStyle w:val="Text111"/>
        </w:rPr>
        <w:bookmarkStart w:id="3441" w:name="idm45965191039584"/>
        <w:t/>
        <w:bookmarkEnd w:id="3441"/>
        <w:bookmarkStart w:id="3442" w:name="idm45965191043312"/>
        <w:t/>
        <w:bookmarkEnd w:id="3442"/>
        <w:bookmarkStart w:id="3443" w:name="idm45965191042336"/>
        <w:t/>
        <w:bookmarkEnd w:id="3443"/>
      </w:r>
      <w:r>
        <w:t xml:space="preserve"> real life, you should always avoid creating an unbounded number of worker processes, as we did in </w:t>
      </w:r>
      <w:hyperlink w:anchor="Example_15_1__Distributing_work">
        <w:r>
          <w:rPr>
            <w:rStyle w:val="Text1"/>
          </w:rPr>
          <w:t>Example 15-1</w:t>
        </w:r>
      </w:hyperlink>
      <w:r>
        <w:t xml:space="preserve">. Performance benefits accrue only up to the number of cores in your machine (available by calling </w:t>
      </w:r>
      <w:r>
        <w:rPr>
          <w:rStyle w:val="Text0"/>
        </w:rPr>
        <w:t>multiprocessing.cpu_count</w:t>
      </w:r>
      <w:r>
        <w:t>), or a number just below or just above this, depending on such minutiae as your platform, how CPU-bound or I/O-bound your code is, other tasks running on your computer, etc. Making many more worker processes than such an optimal number incurs substantial extra overhead without any compensating benefit.</w:t>
      </w:r>
    </w:p>
    <w:p>
      <w:pPr>
        <w:pStyle w:val="Normal"/>
      </w:pPr>
      <w:r>
        <w:t xml:space="preserve">As a consequence, it’s a common design pattern to start a </w:t>
      </w:r>
      <w:r>
        <w:rPr>
          <w:rStyle w:val="Text4"/>
        </w:rPr>
        <w:t>pool</w:t>
      </w:r>
      <w:r>
        <w:t xml:space="preserve"> with a limited number of worker processes, and farm out work to them. The class </w:t>
      </w:r>
      <w:r>
        <w:rPr>
          <w:rStyle w:val="Text0"/>
        </w:rPr>
        <w:t>multiprocessing.Pool</w:t>
      </w:r>
      <w:r>
        <w:t xml:space="preserve"> lets you orchestrate this pattern.</w:t>
      </w:r>
    </w:p>
    <w:p>
      <w:bookmarkStart w:id="3444" w:name="The_Pool_class__The_constructor"/>
      <w:pPr>
        <w:keepNext/>
        <w:pStyle w:val="Heading 2"/>
      </w:pPr>
      <w:r>
        <w:t>The Pool class</w:t>
      </w:r>
      <w:bookmarkEnd w:id="3444"/>
    </w:p>
    <w:p>
      <w:pPr>
        <w:pStyle w:val="Normal"/>
      </w:pPr>
      <w:r>
        <w:t xml:space="preserve">The constructor for the class </w:t>
      </w:r>
      <w:r>
        <w:rPr>
          <w:rStyle w:val="Text0"/>
        </w:rPr>
        <w:t>Pool</w:t>
      </w:r>
      <w:r>
        <w:t xml:space="preserve"> has the</w:t>
      </w:r>
      <w:r>
        <w:rPr>
          <w:rStyle w:val="Text111"/>
        </w:rPr>
        <w:bookmarkStart w:id="3445" w:name="idm45965191058016"/>
        <w:t/>
        <w:bookmarkEnd w:id="3445"/>
      </w:r>
      <w:r>
        <w:t xml:space="preserv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Pool</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Pool(processes=None, initializer=</w:t>
            </w:r>
            <w:r>
              <w:rPr>
                <w:rStyle w:val="Text5"/>
              </w:rPr>
              <w:t>None</w:t>
            </w:r>
            <w:r>
              <w:rPr>
                <w:rStyle w:val="Text0"/>
              </w:rPr>
              <w:t>, initargs=(),</w:t>
              <w:br w:clear="none"/>
              <w:t xml:space="preserve"> maxtasksperchild=</w:t>
            </w:r>
            <w:r>
              <w:rPr>
                <w:rStyle w:val="Text5"/>
              </w:rPr>
              <w:t>None</w:t>
            </w:r>
            <w:r>
              <w:rPr>
                <w:rStyle w:val="Text0"/>
              </w:rPr>
              <w:t>)</w:t>
              <w:br w:clear="none"/>
            </w:r>
            <w:r>
              <w:t xml:space="preserve"> </w:t>
            </w:r>
            <w:r>
              <w:rPr>
                <w:rStyle w:val="Text0"/>
              </w:rPr>
              <w:t>processes</w:t>
            </w:r>
            <w:r>
              <w:t xml:space="preserve"> is the number of processes in the pool; it defaults to the value returned by </w:t>
            </w:r>
            <w:r>
              <w:rPr>
                <w:rStyle w:val="Text0"/>
              </w:rPr>
              <w:t>cpu_count</w:t>
            </w:r>
            <w:r>
              <w:t xml:space="preserve">. When </w:t>
            </w:r>
            <w:r>
              <w:rPr>
                <w:rStyle w:val="Text0"/>
              </w:rPr>
              <w:t>initializer</w:t>
            </w:r>
            <w:r>
              <w:t xml:space="preserve"> is not </w:t>
            </w:r>
            <w:r>
              <w:rPr>
                <w:rStyle w:val="Text5"/>
              </w:rPr>
              <w:t>None</w:t>
            </w:r>
            <w:r>
              <w:t xml:space="preserve">, it’s a function, called at the start of each process in the pool, with </w:t>
            </w:r>
            <w:r>
              <w:rPr>
                <w:rStyle w:val="Text0"/>
              </w:rPr>
              <w:t>initargs</w:t>
            </w:r>
            <w:r>
              <w:t xml:space="preserve"> as arguments, like </w:t>
            </w:r>
            <w:r>
              <w:rPr>
                <w:rStyle w:val="Text0"/>
              </w:rPr>
              <w:t>initializer(*</w:t>
            </w:r>
            <w:r>
              <w:rPr>
                <w:rStyle w:val="Text3"/>
              </w:rPr>
              <w:t>initargs</w:t>
            </w:r>
            <w:r>
              <w:rPr>
                <w:rStyle w:val="Text0"/>
              </w:rPr>
              <w:t>)</w:t>
            </w:r>
            <w:r>
              <w:t>.</w:t>
              <w:br w:clear="none"/>
              <w:t xml:space="preserve"> When </w:t>
            </w:r>
            <w:r>
              <w:rPr>
                <w:rStyle w:val="Text0"/>
              </w:rPr>
              <w:t>maxtasksperchild</w:t>
            </w:r>
            <w:r>
              <w:t xml:space="preserve"> is not </w:t>
            </w:r>
            <w:r>
              <w:rPr>
                <w:rStyle w:val="Text5"/>
              </w:rPr>
              <w:t>None</w:t>
            </w:r>
            <w:r>
              <w:t xml:space="preserve">, it’s the maximum number of tasks that can be executed in each process in the pool. When a process in the pool has executed that many tasks, it terminates, then a new process starts and joins the pool. When </w:t>
            </w:r>
            <w:r>
              <w:rPr>
                <w:rStyle w:val="Text0"/>
              </w:rPr>
              <w:t>maxtasksperchild</w:t>
            </w:r>
            <w:r>
              <w:t xml:space="preserve"> is </w:t>
            </w:r>
            <w:r>
              <w:rPr>
                <w:rStyle w:val="Text5"/>
              </w:rPr>
              <w:t>None</w:t>
            </w:r>
            <w:r>
              <w:t xml:space="preserve"> (the default), each process lives as long as the pool.</w:t>
            </w:r>
          </w:p>
        </w:tc>
      </w:tr>
    </w:tbl>
    <w:p>
      <w:pPr>
        <w:pStyle w:val="Normal"/>
      </w:pPr>
      <w:r>
        <w:t xml:space="preserve">An instance </w:t>
      </w:r>
      <w:r>
        <w:rPr>
          <w:rStyle w:val="Text3"/>
        </w:rPr>
        <w:t>p</w:t>
      </w:r>
      <w:r>
        <w:t xml:space="preserve"> of the class </w:t>
      </w:r>
      <w:r>
        <w:rPr>
          <w:rStyle w:val="Text0"/>
        </w:rPr>
        <w:t>Pool</w:t>
      </w:r>
      <w:r>
        <w:t xml:space="preserve"> supplies the methods listed in </w:t>
      </w:r>
      <w:hyperlink w:anchor="Table_15_12__Methods_of_an_insta">
        <w:r>
          <w:rPr>
            <w:rStyle w:val="Text1"/>
          </w:rPr>
          <w:t>Table 15-12</w:t>
        </w:r>
      </w:hyperlink>
      <w:r>
        <w:t xml:space="preserve"> (each of them must be called only in the process that built instance </w:t>
      </w:r>
      <w:r>
        <w:rPr>
          <w:rStyle w:val="Text3"/>
        </w:rPr>
        <w:t>p</w:t>
      </w:r>
      <w:r>
        <w:t>).</w:t>
      </w:r>
    </w:p>
    <w:tbl>
      <w:tblPr>
        <w:tblW w:type="auto" w:w="0"/>
      </w:tblPr>
      <w:tr>
        <w:tc>
          <w:tcPr>
            <w:tcW w:type="auto" w:w="0"/>
            <w:tcMar>
              <w:left w:type="dxa" w:w="200"/>
              <w:top w:type="dxa" w:w="200"/>
              <w:right w:type="dxa" w:w="200"/>
              <w:bottom w:type="dxa" w:w="200"/>
            </w:tcMar>
          </w:tcPr>
          <w:p>
            <w:bookmarkStart w:id="3446" w:name="Table_15_12__Methods_of_an_insta"/>
            <w:pPr>
              <w:pStyle w:val="Para 011"/>
            </w:pPr>
            <w:r>
              <w:rPr>
                <w:rStyle w:val="Text117"/>
              </w:rPr>
              <w:t/>
            </w:r>
            <w:r>
              <w:t xml:space="preserve">Table 15-12. </w:t>
              <w:t xml:space="preserve">Methods of an instance p of class </w:t>
            </w:r>
            <w:r>
              <w:rPr>
                <w:rStyle w:val="Text0"/>
              </w:rPr>
              <w:t>Pool</w:t>
            </w:r>
            <w:bookmarkEnd w:id="3446"/>
          </w:p>
          <w:p>
            <w:pPr>
              <w:pStyle w:val="Para 001"/>
            </w:pPr>
            <w:r>
              <w:t>apply</w:t>
            </w:r>
          </w:p>
        </w:tc>
        <w:tc>
          <w:tcPr>
            <w:tcW w:type="auto" w:w="0"/>
            <w:tcMar>
              <w:left w:type="dxa" w:w="200"/>
              <w:top w:type="dxa" w:w="200"/>
              <w:right w:type="dxa" w:w="200"/>
              <w:bottom w:type="dxa" w:w="200"/>
            </w:tcMar>
          </w:tcPr>
          <w:p>
            <w:pPr>
              <w:pStyle w:val="Para 002"/>
            </w:pPr>
            <w:r>
              <w:rPr>
                <w:rStyle w:val="Text0"/>
              </w:rPr>
              <w:t>apply(</w:t>
            </w:r>
            <w:r>
              <w:rPr>
                <w:rStyle w:val="Text3"/>
              </w:rPr>
              <w:t>func</w:t>
            </w:r>
            <w:r>
              <w:rPr>
                <w:rStyle w:val="Text0"/>
              </w:rPr>
              <w:t>, args=(), kwds={})</w:t>
              <w:br w:clear="none"/>
            </w:r>
            <w:r>
              <w:t xml:space="preserve"> In an arbitrary one of the worker processes, runs </w:t>
            </w:r>
            <w:r>
              <w:rPr>
                <w:rStyle w:val="Text3"/>
              </w:rPr>
              <w:t>func</w:t>
            </w:r>
            <w:r>
              <w:rPr>
                <w:rStyle w:val="Text0"/>
              </w:rPr>
              <w:t>(*</w:t>
            </w:r>
            <w:r>
              <w:rPr>
                <w:rStyle w:val="Text3"/>
              </w:rPr>
              <w:t>args</w:t>
            </w:r>
            <w:r>
              <w:rPr>
                <w:rStyle w:val="Text0"/>
              </w:rPr>
              <w:t>,</w:t>
            </w:r>
            <w:r>
              <w:t xml:space="preserve"> </w:t>
            </w:r>
            <w:r>
              <w:rPr>
                <w:rStyle w:val="Text3"/>
              </w:rPr>
              <w:t>**kwds</w:t>
            </w:r>
            <w:r>
              <w:rPr>
                <w:rStyle w:val="Text0"/>
              </w:rPr>
              <w:t>)</w:t>
            </w:r>
            <w:r>
              <w:t xml:space="preserve">, waits for it to finish, and returns </w:t>
            </w:r>
            <w:r>
              <w:rPr>
                <w:rStyle w:val="Text3"/>
              </w:rPr>
              <w:t>func</w:t>
            </w:r>
            <w:r>
              <w:t>’s result.</w:t>
            </w:r>
          </w:p>
        </w:tc>
      </w:tr>
    </w:tbl>
    <w:tbl>
      <w:tblPr>
        <w:tblW w:type="auto" w:w="0"/>
      </w:tblPr>
      <w:tr>
        <w:tc>
          <w:tcPr>
            <w:tcW w:type="auto" w:w="0"/>
            <w:shd w:val="clear" w:color="auto" w:fill="EEF2F6"/>
            <w:tcMar>
              <w:left w:type="dxa" w:w="200"/>
              <w:top w:type="dxa" w:w="200"/>
              <w:right w:type="dxa" w:w="200"/>
              <w:bottom w:type="dxa" w:w="200"/>
            </w:tcMar>
          </w:tcPr>
          <w:p>
            <w:pPr>
              <w:pStyle w:val="Para 001"/>
            </w:pPr>
            <w:r>
              <w:t>apply_async</w:t>
            </w:r>
          </w:p>
        </w:tc>
        <w:tc>
          <w:tcPr>
            <w:tcW w:type="auto" w:w="0"/>
            <w:shd w:val="clear" w:color="auto" w:fill="EEF2F6"/>
            <w:tcMar>
              <w:left w:type="dxa" w:w="200"/>
              <w:top w:type="dxa" w:w="200"/>
              <w:right w:type="dxa" w:w="200"/>
              <w:bottom w:type="dxa" w:w="200"/>
            </w:tcMar>
          </w:tcPr>
          <w:p>
            <w:pPr>
              <w:pStyle w:val="Para 002"/>
            </w:pPr>
            <w:r>
              <w:rPr>
                <w:rStyle w:val="Text0"/>
              </w:rPr>
              <w:t>apply_async(</w:t>
            </w:r>
            <w:r>
              <w:rPr>
                <w:rStyle w:val="Text3"/>
              </w:rPr>
              <w:t>func</w:t>
            </w:r>
            <w:r>
              <w:rPr>
                <w:rStyle w:val="Text0"/>
              </w:rPr>
              <w:t>, args=(), kwds={}, callback=</w:t>
            </w:r>
            <w:r>
              <w:rPr>
                <w:rStyle w:val="Text5"/>
              </w:rPr>
              <w:t>None</w:t>
            </w:r>
            <w:r>
              <w:rPr>
                <w:rStyle w:val="Text0"/>
              </w:rPr>
              <w:t>)</w:t>
              <w:br w:clear="none"/>
            </w:r>
            <w:r>
              <w:t xml:space="preserve"> In an arbitrary one of the worker processes, starts running </w:t>
            </w:r>
            <w:r>
              <w:rPr>
                <w:rStyle w:val="Text3"/>
              </w:rPr>
              <w:t>func</w:t>
            </w:r>
            <w:r>
              <w:rPr>
                <w:rStyle w:val="Text0"/>
              </w:rPr>
              <w:t>(*</w:t>
            </w:r>
            <w:r>
              <w:rPr>
                <w:rStyle w:val="Text3"/>
              </w:rPr>
              <w:t>args</w:t>
            </w:r>
            <w:r>
              <w:rPr>
                <w:rStyle w:val="Text0"/>
              </w:rPr>
              <w:t>, **</w:t>
            </w:r>
            <w:r>
              <w:rPr>
                <w:rStyle w:val="Text3"/>
              </w:rPr>
              <w:t>kwds</w:t>
            </w:r>
            <w:r>
              <w:rPr>
                <w:rStyle w:val="Text0"/>
              </w:rPr>
              <w:t>)</w:t>
            </w:r>
            <w:r>
              <w:t xml:space="preserve"> and, without waiting for it to finish, immediately returns an </w:t>
            </w:r>
            <w:r>
              <w:rPr>
                <w:rStyle w:val="Text0"/>
              </w:rPr>
              <w:t>AsyncResult</w:t>
            </w:r>
            <w:r>
              <w:t xml:space="preserve"> instance, which eventually gives </w:t>
            </w:r>
            <w:r>
              <w:rPr>
                <w:rStyle w:val="Text3"/>
              </w:rPr>
              <w:t>func</w:t>
            </w:r>
            <w:r>
              <w:t xml:space="preserve">’s result, when that result is ready. (The </w:t>
            </w:r>
            <w:r>
              <w:rPr>
                <w:rStyle w:val="Text0"/>
              </w:rPr>
              <w:t>AsyncResult</w:t>
            </w:r>
            <w:r>
              <w:t xml:space="preserve"> class is discussed in the following section.) When </w:t>
            </w:r>
            <w:r>
              <w:rPr>
                <w:rStyle w:val="Text0"/>
              </w:rPr>
              <w:t>callback</w:t>
            </w:r>
            <w:r>
              <w:t xml:space="preserve"> is not </w:t>
            </w:r>
            <w:r>
              <w:rPr>
                <w:rStyle w:val="Text5"/>
              </w:rPr>
              <w:t>None</w:t>
            </w:r>
            <w:r>
              <w:t xml:space="preserve">, it’s a function to call (in a new, separate thread in the process that calls </w:t>
            </w:r>
            <w:r>
              <w:rPr>
                <w:rStyle w:val="Text0"/>
              </w:rPr>
              <w:t>apply_async</w:t>
            </w:r>
            <w:r>
              <w:t xml:space="preserve">), with </w:t>
            </w:r>
            <w:r>
              <w:rPr>
                <w:rStyle w:val="Text3"/>
              </w:rPr>
              <w:t>func</w:t>
            </w:r>
            <w:r>
              <w:t xml:space="preserve">’s result as the only argument, when that result is ready; </w:t>
            </w:r>
            <w:r>
              <w:rPr>
                <w:rStyle w:val="Text0"/>
              </w:rPr>
              <w:t>callback</w:t>
            </w:r>
            <w:r>
              <w:t xml:space="preserve"> should execute rapidly, because otherwise it blocks the calling process. </w:t>
            </w:r>
            <w:r>
              <w:rPr>
                <w:rStyle w:val="Text0"/>
              </w:rPr>
              <w:t>callback</w:t>
            </w:r>
            <w:r>
              <w:t xml:space="preserve"> may mutate its argument if that argument is mutable; </w:t>
            </w:r>
            <w:r>
              <w:rPr>
                <w:rStyle w:val="Text0"/>
              </w:rPr>
              <w:t>callback</w:t>
            </w:r>
            <w:r>
              <w:t xml:space="preserve">’s return value is irrelevant (so, the best, clearest style is to have it return </w:t>
            </w:r>
            <w:r>
              <w:rPr>
                <w:rStyle w:val="Text5"/>
              </w:rPr>
              <w:t>None</w:t>
            </w:r>
            <w:r>
              <w:t>).</w:t>
            </w:r>
          </w:p>
        </w:tc>
      </w:tr>
    </w:tbl>
    <w:tbl>
      <w:tblPr>
        <w:tblW w:type="auto" w:w="0"/>
      </w:tblPr>
      <w:tr>
        <w:tc>
          <w:tcPr>
            <w:tcW w:type="auto" w:w="0"/>
            <w:tcMar>
              <w:left w:type="dxa" w:w="200"/>
              <w:top w:type="dxa" w:w="200"/>
              <w:right w:type="dxa" w:w="200"/>
              <w:bottom w:type="dxa" w:w="200"/>
            </w:tcMar>
          </w:tcPr>
          <w:p>
            <w:pPr>
              <w:pStyle w:val="Para 001"/>
            </w:pPr>
            <w:r>
              <w:t>close</w:t>
            </w:r>
          </w:p>
        </w:tc>
        <w:tc>
          <w:tcPr>
            <w:tcW w:type="auto" w:w="0"/>
            <w:tcMar>
              <w:left w:type="dxa" w:w="200"/>
              <w:top w:type="dxa" w:w="200"/>
              <w:right w:type="dxa" w:w="200"/>
              <w:bottom w:type="dxa" w:w="200"/>
            </w:tcMar>
          </w:tcPr>
          <w:p>
            <w:pPr>
              <w:pStyle w:val="Para 002"/>
            </w:pPr>
            <w:r>
              <w:rPr>
                <w:rStyle w:val="Text0"/>
              </w:rPr>
              <w:t>close()</w:t>
              <w:br w:clear="none"/>
            </w:r>
            <w:r>
              <w:t xml:space="preserve"> Sets a flag prohibiting further submissions to the pool. Worker processes terminate when they’re done with all outstanding tasks.</w:t>
            </w:r>
          </w:p>
        </w:tc>
      </w:tr>
    </w:tbl>
    <w:tbl>
      <w:tblPr>
        <w:tblW w:type="auto" w:w="0"/>
      </w:tblPr>
      <w:tr>
        <w:tc>
          <w:tcPr>
            <w:tcW w:type="auto" w:w="0"/>
            <w:shd w:val="clear" w:color="auto" w:fill="EEF2F6"/>
            <w:tcMar>
              <w:left w:type="dxa" w:w="200"/>
              <w:top w:type="dxa" w:w="200"/>
              <w:right w:type="dxa" w:w="200"/>
              <w:bottom w:type="dxa" w:w="200"/>
            </w:tcMar>
          </w:tcPr>
          <w:p>
            <w:pPr>
              <w:pStyle w:val="Para 001"/>
            </w:pPr>
            <w:r>
              <w:t>imap</w:t>
            </w:r>
          </w:p>
        </w:tc>
        <w:tc>
          <w:tcPr>
            <w:tcW w:type="auto" w:w="0"/>
            <w:shd w:val="clear" w:color="auto" w:fill="EEF2F6"/>
            <w:tcMar>
              <w:left w:type="dxa" w:w="200"/>
              <w:top w:type="dxa" w:w="200"/>
              <w:right w:type="dxa" w:w="200"/>
              <w:bottom w:type="dxa" w:w="200"/>
            </w:tcMar>
          </w:tcPr>
          <w:p>
            <w:pPr>
              <w:pStyle w:val="Para 002"/>
            </w:pPr>
            <w:r>
              <w:rPr>
                <w:rStyle w:val="Text0"/>
              </w:rPr>
              <w:t>imap(</w:t>
            </w:r>
            <w:r>
              <w:rPr>
                <w:rStyle w:val="Text3"/>
              </w:rPr>
              <w:t>func</w:t>
            </w:r>
            <w:r>
              <w:rPr>
                <w:rStyle w:val="Text0"/>
              </w:rPr>
              <w:t>,</w:t>
            </w:r>
            <w:r>
              <w:t xml:space="preserve"> </w:t>
            </w:r>
            <w:r>
              <w:rPr>
                <w:rStyle w:val="Text3"/>
              </w:rPr>
              <w:t>iterable</w:t>
            </w:r>
            <w:r>
              <w:rPr>
                <w:rStyle w:val="Text0"/>
              </w:rPr>
              <w:t>, chunksize=1)</w:t>
              <w:br w:clear="none"/>
            </w:r>
            <w:r>
              <w:t xml:space="preserve"> Returns an iterator calling </w:t>
            </w:r>
            <w:r>
              <w:rPr>
                <w:rStyle w:val="Text3"/>
              </w:rPr>
              <w:t>func</w:t>
            </w:r>
            <w:r>
              <w:t xml:space="preserve"> on each item of </w:t>
            </w:r>
            <w:r>
              <w:rPr>
                <w:rStyle w:val="Text3"/>
              </w:rPr>
              <w:t>iterable</w:t>
            </w:r>
            <w:r>
              <w:t xml:space="preserve">, in order. </w:t>
            </w:r>
            <w:r>
              <w:rPr>
                <w:rStyle w:val="Text0"/>
              </w:rPr>
              <w:t>chunksize</w:t>
            </w:r>
            <w:r>
              <w:t xml:space="preserve"> determines how many consecutive items are sent to each process; on a very long </w:t>
            </w:r>
            <w:r>
              <w:rPr>
                <w:rStyle w:val="Text3"/>
              </w:rPr>
              <w:t>iterable</w:t>
            </w:r>
            <w:r>
              <w:t xml:space="preserve">, a large </w:t>
            </w:r>
            <w:r>
              <w:rPr>
                <w:rStyle w:val="Text0"/>
              </w:rPr>
              <w:t>chunksize</w:t>
            </w:r>
            <w:r>
              <w:t xml:space="preserve"> can improve performance. When </w:t>
            </w:r>
            <w:r>
              <w:rPr>
                <w:rStyle w:val="Text0"/>
              </w:rPr>
              <w:t>chunksize</w:t>
            </w:r>
            <w:r>
              <w:t xml:space="preserve"> is </w:t>
            </w:r>
            <w:r>
              <w:rPr>
                <w:rStyle w:val="Text0"/>
              </w:rPr>
              <w:t>1</w:t>
            </w:r>
            <w:r>
              <w:t xml:space="preserve"> (the default), the returned iterator has a method </w:t>
            </w:r>
            <w:r>
              <w:rPr>
                <w:rStyle w:val="Text0"/>
              </w:rPr>
              <w:t>next</w:t>
            </w:r>
            <w:r>
              <w:t xml:space="preserve"> (even though the canonical name of the iterator’s method is </w:t>
            </w:r>
            <w:r>
              <w:rPr>
                <w:rStyle w:val="Text0"/>
              </w:rPr>
              <w:t>__next__</w:t>
            </w:r>
            <w:r>
              <w:t xml:space="preserve">), accepting an optional </w:t>
            </w:r>
            <w:r>
              <w:rPr>
                <w:rStyle w:val="Text3"/>
              </w:rPr>
              <w:t>timeout</w:t>
            </w:r>
            <w:r>
              <w:t xml:space="preserve"> argument (a floating-point value, in seconds) and raising </w:t>
            </w:r>
            <w:r>
              <w:rPr>
                <w:rStyle w:val="Text0"/>
              </w:rPr>
              <w:t>multiprocessing.TimeoutError</w:t>
            </w:r>
            <w:r>
              <w:t xml:space="preserve"> should the result not yet be ready after </w:t>
            </w:r>
            <w:r>
              <w:rPr>
                <w:rStyle w:val="Text3"/>
              </w:rPr>
              <w:t>timeout</w:t>
            </w:r>
            <w:r>
              <w:t xml:space="preserve"> seconds.</w:t>
            </w:r>
          </w:p>
        </w:tc>
      </w:tr>
    </w:tbl>
    <w:tbl>
      <w:tblPr>
        <w:tblW w:type="auto" w:w="0"/>
      </w:tblPr>
      <w:tr>
        <w:tc>
          <w:tcPr>
            <w:tcW w:type="auto" w:w="0"/>
            <w:tcMar>
              <w:left w:type="dxa" w:w="200"/>
              <w:top w:type="dxa" w:w="200"/>
              <w:right w:type="dxa" w:w="200"/>
              <w:bottom w:type="dxa" w:w="200"/>
            </w:tcMar>
          </w:tcPr>
          <w:p>
            <w:pPr>
              <w:pStyle w:val="Para 001"/>
            </w:pPr>
            <w:r>
              <w:t>im⁠a⁠p⁠_​u⁠n⁠o⁠rdered</w:t>
            </w:r>
          </w:p>
        </w:tc>
        <w:tc>
          <w:tcPr>
            <w:tcW w:type="auto" w:w="0"/>
            <w:tcMar>
              <w:left w:type="dxa" w:w="200"/>
              <w:top w:type="dxa" w:w="200"/>
              <w:right w:type="dxa" w:w="200"/>
              <w:bottom w:type="dxa" w:w="200"/>
            </w:tcMar>
          </w:tcPr>
          <w:p>
            <w:pPr>
              <w:pStyle w:val="Para 002"/>
            </w:pPr>
            <w:r>
              <w:rPr>
                <w:rStyle w:val="Text0"/>
              </w:rPr>
              <w:t>imap_unordered(</w:t>
            </w:r>
            <w:r>
              <w:rPr>
                <w:rStyle w:val="Text3"/>
              </w:rPr>
              <w:t>func</w:t>
            </w:r>
            <w:r>
              <w:rPr>
                <w:rStyle w:val="Text0"/>
              </w:rPr>
              <w:t>,</w:t>
            </w:r>
            <w:r>
              <w:t xml:space="preserve"> </w:t>
            </w:r>
            <w:r>
              <w:rPr>
                <w:rStyle w:val="Text3"/>
              </w:rPr>
              <w:t>iterable</w:t>
            </w:r>
            <w:r>
              <w:rPr>
                <w:rStyle w:val="Text0"/>
              </w:rPr>
              <w:t>, chunksize=1)</w:t>
              <w:br w:clear="none"/>
            </w:r>
            <w:r>
              <w:t xml:space="preserve"> Same as </w:t>
            </w:r>
            <w:r>
              <w:rPr>
                <w:rStyle w:val="Text0"/>
              </w:rPr>
              <w:t>imap</w:t>
            </w:r>
            <w:r>
              <w:t>, but the ordering of the results is arbitrary (this can sometimes improve performance when the order of iteration is unimportant). It is usually helpful if the function’s return value includes enough information to allow the results to be associated with the values from the iterable used to generate them.</w:t>
            </w:r>
          </w:p>
        </w:tc>
      </w:tr>
    </w:tbl>
    <w:tbl>
      <w:tblPr>
        <w:tblW w:type="auto" w:w="0"/>
      </w:tblPr>
      <w:tr>
        <w:tc>
          <w:tcPr>
            <w:tcW w:type="auto" w:w="0"/>
            <w:shd w:val="clear" w:color="auto" w:fill="EEF2F6"/>
            <w:tcMar>
              <w:left w:type="dxa" w:w="200"/>
              <w:top w:type="dxa" w:w="200"/>
              <w:right w:type="dxa" w:w="200"/>
              <w:bottom w:type="dxa" w:w="200"/>
            </w:tcMar>
          </w:tcPr>
          <w:p>
            <w:pPr>
              <w:pStyle w:val="Para 001"/>
            </w:pPr>
            <w:r>
              <w:t>join</w:t>
            </w:r>
          </w:p>
        </w:tc>
        <w:tc>
          <w:tcPr>
            <w:tcW w:type="auto" w:w="0"/>
            <w:shd w:val="clear" w:color="auto" w:fill="EEF2F6"/>
            <w:tcMar>
              <w:left w:type="dxa" w:w="200"/>
              <w:top w:type="dxa" w:w="200"/>
              <w:right w:type="dxa" w:w="200"/>
              <w:bottom w:type="dxa" w:w="200"/>
            </w:tcMar>
          </w:tcPr>
          <w:p>
            <w:pPr>
              <w:pStyle w:val="Para 002"/>
            </w:pPr>
            <w:r>
              <w:rPr>
                <w:rStyle w:val="Text0"/>
              </w:rPr>
              <w:t>join()</w:t>
              <w:br w:clear="none"/>
            </w:r>
            <w:r>
              <w:t xml:space="preserve"> Waits for all worker processes to exit. You must call </w:t>
            </w:r>
            <w:r>
              <w:rPr>
                <w:rStyle w:val="Text0"/>
              </w:rPr>
              <w:t>close</w:t>
            </w:r>
            <w:r>
              <w:t xml:space="preserve"> or </w:t>
            </w:r>
            <w:r>
              <w:rPr>
                <w:rStyle w:val="Text0"/>
              </w:rPr>
              <w:t>terminate</w:t>
            </w:r>
            <w:r>
              <w:t xml:space="preserve"> before you call </w:t>
            </w:r>
            <w:r>
              <w:rPr>
                <w:rStyle w:val="Text0"/>
              </w:rPr>
              <w:t>join</w:t>
            </w:r>
            <w:r>
              <w:t>.</w:t>
            </w:r>
          </w:p>
        </w:tc>
      </w:tr>
    </w:tbl>
    <w:tbl>
      <w:tblPr>
        <w:tblW w:type="auto" w:w="0"/>
      </w:tblPr>
      <w:tr>
        <w:tc>
          <w:tcPr>
            <w:tcW w:type="auto" w:w="0"/>
            <w:tcMar>
              <w:left w:type="dxa" w:w="200"/>
              <w:top w:type="dxa" w:w="200"/>
              <w:right w:type="dxa" w:w="200"/>
              <w:bottom w:type="dxa" w:w="200"/>
            </w:tcMar>
          </w:tcPr>
          <w:p>
            <w:pPr>
              <w:pStyle w:val="Para 001"/>
            </w:pPr>
            <w:r>
              <w:t>map</w:t>
            </w:r>
          </w:p>
        </w:tc>
        <w:tc>
          <w:tcPr>
            <w:tcW w:type="auto" w:w="0"/>
            <w:tcMar>
              <w:left w:type="dxa" w:w="200"/>
              <w:top w:type="dxa" w:w="200"/>
              <w:right w:type="dxa" w:w="200"/>
              <w:bottom w:type="dxa" w:w="200"/>
            </w:tcMar>
          </w:tcPr>
          <w:p>
            <w:pPr>
              <w:pStyle w:val="Para 002"/>
            </w:pPr>
            <w:r>
              <w:rPr>
                <w:rStyle w:val="Text0"/>
              </w:rPr>
              <w:t>map(</w:t>
            </w:r>
            <w:r>
              <w:rPr>
                <w:rStyle w:val="Text3"/>
              </w:rPr>
              <w:t>func</w:t>
            </w:r>
            <w:r>
              <w:rPr>
                <w:rStyle w:val="Text0"/>
              </w:rPr>
              <w:t>,</w:t>
            </w:r>
            <w:r>
              <w:t xml:space="preserve"> </w:t>
            </w:r>
            <w:r>
              <w:rPr>
                <w:rStyle w:val="Text3"/>
              </w:rPr>
              <w:t>iterable</w:t>
            </w:r>
            <w:r>
              <w:rPr>
                <w:rStyle w:val="Text0"/>
              </w:rPr>
              <w:t>, chunksize=1)</w:t>
              <w:br w:clear="none"/>
            </w:r>
            <w:r>
              <w:t xml:space="preserve"> Calls </w:t>
            </w:r>
            <w:r>
              <w:rPr>
                <w:rStyle w:val="Text3"/>
              </w:rPr>
              <w:t>func</w:t>
            </w:r>
            <w:r>
              <w:t xml:space="preserve"> on each item of </w:t>
            </w:r>
            <w:r>
              <w:rPr>
                <w:rStyle w:val="Text3"/>
              </w:rPr>
              <w:t>iterable</w:t>
            </w:r>
            <w:r>
              <w:t xml:space="preserve">, in order, in worker processes in the pool; waits for them all to finish, and returns the list of results. </w:t>
            </w:r>
            <w:r>
              <w:rPr>
                <w:rStyle w:val="Text0"/>
              </w:rPr>
              <w:t>chunksize</w:t>
            </w:r>
            <w:r>
              <w:t xml:space="preserve"> determines how many consecutive items are sent to each process; on a very long </w:t>
            </w:r>
            <w:r>
              <w:rPr>
                <w:rStyle w:val="Text3"/>
              </w:rPr>
              <w:t>iterable</w:t>
            </w:r>
            <w:r>
              <w:t xml:space="preserve">, a large </w:t>
            </w:r>
            <w:r>
              <w:rPr>
                <w:rStyle w:val="Text0"/>
              </w:rPr>
              <w:t>chunksize</w:t>
            </w:r>
            <w:r>
              <w:t xml:space="preserve"> can improve performance.</w:t>
            </w:r>
          </w:p>
        </w:tc>
      </w:tr>
    </w:tbl>
    <w:tbl>
      <w:tblPr>
        <w:tblW w:type="auto" w:w="0"/>
      </w:tblPr>
      <w:tr>
        <w:tc>
          <w:tcPr>
            <w:tcW w:type="auto" w:w="0"/>
            <w:shd w:val="clear" w:color="auto" w:fill="EEF2F6"/>
            <w:tcMar>
              <w:left w:type="dxa" w:w="200"/>
              <w:top w:type="dxa" w:w="200"/>
              <w:right w:type="dxa" w:w="200"/>
              <w:bottom w:type="dxa" w:w="200"/>
            </w:tcMar>
          </w:tcPr>
          <w:p>
            <w:pPr>
              <w:pStyle w:val="Para 001"/>
            </w:pPr>
            <w:r>
              <w:t>map_async</w:t>
            </w:r>
          </w:p>
        </w:tc>
        <w:tc>
          <w:tcPr>
            <w:tcW w:type="auto" w:w="0"/>
            <w:shd w:val="clear" w:color="auto" w:fill="EEF2F6"/>
            <w:tcMar>
              <w:left w:type="dxa" w:w="200"/>
              <w:top w:type="dxa" w:w="200"/>
              <w:right w:type="dxa" w:w="200"/>
              <w:bottom w:type="dxa" w:w="200"/>
            </w:tcMar>
          </w:tcPr>
          <w:p>
            <w:pPr>
              <w:pStyle w:val="Para 002"/>
            </w:pPr>
            <w:r>
              <w:rPr>
                <w:rStyle w:val="Text0"/>
              </w:rPr>
              <w:t>map_async(</w:t>
            </w:r>
            <w:r>
              <w:rPr>
                <w:rStyle w:val="Text3"/>
              </w:rPr>
              <w:t>func</w:t>
            </w:r>
            <w:r>
              <w:rPr>
                <w:rStyle w:val="Text0"/>
              </w:rPr>
              <w:t>,</w:t>
            </w:r>
            <w:r>
              <w:t xml:space="preserve"> </w:t>
            </w:r>
            <w:r>
              <w:rPr>
                <w:rStyle w:val="Text3"/>
              </w:rPr>
              <w:t>iterable</w:t>
            </w:r>
            <w:r>
              <w:rPr>
                <w:rStyle w:val="Text0"/>
              </w:rPr>
              <w:t>, chunksize=1, callback=</w:t>
            </w:r>
            <w:r>
              <w:rPr>
                <w:rStyle w:val="Text5"/>
              </w:rPr>
              <w:t>None</w:t>
            </w:r>
            <w:r>
              <w:rPr>
                <w:rStyle w:val="Text0"/>
              </w:rPr>
              <w:t>)</w:t>
              <w:br w:clear="none"/>
            </w:r>
            <w:r>
              <w:t xml:space="preserve"> Arranges for </w:t>
            </w:r>
            <w:r>
              <w:rPr>
                <w:rStyle w:val="Text3"/>
              </w:rPr>
              <w:t>func</w:t>
            </w:r>
            <w:r>
              <w:t xml:space="preserve"> to be called on each item of </w:t>
            </w:r>
            <w:r>
              <w:rPr>
                <w:rStyle w:val="Text3"/>
              </w:rPr>
              <w:t>iterable</w:t>
            </w:r>
            <w:r>
              <w:t xml:space="preserve"> in worker processes in the pool; without waiting for any of this to finish, immediately returns an </w:t>
            </w:r>
            <w:r>
              <w:rPr>
                <w:rStyle w:val="Text0"/>
              </w:rPr>
              <w:t>AsyncResult</w:t>
            </w:r>
            <w:r>
              <w:t xml:space="preserve"> instance (described in the following section), which eventually gives the list of </w:t>
            </w:r>
            <w:r>
              <w:rPr>
                <w:rStyle w:val="Text3"/>
              </w:rPr>
              <w:t>func</w:t>
            </w:r>
            <w:r>
              <w:t>’s results, when that list is ready.</w:t>
              <w:br w:clear="none"/>
              <w:t xml:space="preserve"> When </w:t>
            </w:r>
            <w:r>
              <w:rPr>
                <w:rStyle w:val="Text0"/>
              </w:rPr>
              <w:t>callback</w:t>
            </w:r>
            <w:r>
              <w:t xml:space="preserve"> is not </w:t>
            </w:r>
            <w:r>
              <w:rPr>
                <w:rStyle w:val="Text5"/>
              </w:rPr>
              <w:t>None</w:t>
            </w:r>
            <w:r>
              <w:t xml:space="preserve">, it’s a function to call (in a separate thread in the process that calls </w:t>
            </w:r>
            <w:r>
              <w:rPr>
                <w:rStyle w:val="Text0"/>
              </w:rPr>
              <w:t>map_async</w:t>
            </w:r>
            <w:r>
              <w:t xml:space="preserve">) with the list of </w:t>
            </w:r>
            <w:r>
              <w:rPr>
                <w:rStyle w:val="Text3"/>
              </w:rPr>
              <w:t>func</w:t>
            </w:r>
            <w:r>
              <w:t xml:space="preserve">’s results, in order, as the only argument, when that list is ready; </w:t>
            </w:r>
            <w:r>
              <w:rPr>
                <w:rStyle w:val="Text0"/>
              </w:rPr>
              <w:t>callback</w:t>
            </w:r>
            <w:r>
              <w:t xml:space="preserve"> should execute rapidly, since otherwise it blocks the process. </w:t>
            </w:r>
            <w:r>
              <w:rPr>
                <w:rStyle w:val="Text0"/>
              </w:rPr>
              <w:t>callback</w:t>
            </w:r>
            <w:r>
              <w:t xml:space="preserve"> may mutate its list argument; </w:t>
            </w:r>
            <w:r>
              <w:rPr>
                <w:rStyle w:val="Text0"/>
              </w:rPr>
              <w:t>callback</w:t>
            </w:r>
            <w:r>
              <w:t xml:space="preserve">’s return value is irrelevant (so, best, clearest style is to have it return </w:t>
            </w:r>
            <w:r>
              <w:rPr>
                <w:rStyle w:val="Text5"/>
              </w:rPr>
              <w:t>None</w:t>
            </w:r>
            <w:r>
              <w:t>).</w:t>
            </w:r>
          </w:p>
        </w:tc>
      </w:tr>
    </w:tbl>
    <w:tbl>
      <w:tblPr>
        <w:tblW w:type="auto" w:w="0"/>
      </w:tblPr>
      <w:tr>
        <w:tc>
          <w:tcPr>
            <w:tcW w:type="auto" w:w="0"/>
            <w:tcMar>
              <w:left w:type="dxa" w:w="200"/>
              <w:top w:type="dxa" w:w="200"/>
              <w:right w:type="dxa" w:w="200"/>
              <w:bottom w:type="dxa" w:w="200"/>
            </w:tcMar>
          </w:tcPr>
          <w:p>
            <w:pPr>
              <w:pStyle w:val="Para 001"/>
            </w:pPr>
            <w:r>
              <w:t>terminate</w:t>
            </w:r>
          </w:p>
        </w:tc>
        <w:tc>
          <w:tcPr>
            <w:tcW w:type="auto" w:w="0"/>
            <w:tcMar>
              <w:left w:type="dxa" w:w="200"/>
              <w:top w:type="dxa" w:w="200"/>
              <w:right w:type="dxa" w:w="200"/>
              <w:bottom w:type="dxa" w:w="200"/>
            </w:tcMar>
          </w:tcPr>
          <w:p>
            <w:pPr>
              <w:pStyle w:val="Para 002"/>
            </w:pPr>
            <w:r>
              <w:rPr>
                <w:rStyle w:val="Text0"/>
              </w:rPr>
              <w:t>terminate()</w:t>
              <w:br w:clear="none"/>
            </w:r>
            <w:r>
              <w:t xml:space="preserve"> Terminates all worker processes at once, without waiting for them to complete work.</w:t>
            </w:r>
          </w:p>
        </w:tc>
      </w:tr>
    </w:tbl>
    <w:p>
      <w:pPr>
        <w:pStyle w:val="Normal"/>
      </w:pPr>
      <w:r>
        <w:t xml:space="preserve">For example, here’s a </w:t>
      </w:r>
      <w:r>
        <w:rPr>
          <w:rStyle w:val="Text0"/>
        </w:rPr>
        <w:t>Pool</w:t>
      </w:r>
      <w:r>
        <w:t xml:space="preserve">-based approach to perform the same task as the code in </w:t>
      </w:r>
      <w:hyperlink w:anchor="Example_15_1__Distributing_work">
        <w:r>
          <w:rPr>
            <w:rStyle w:val="Text1"/>
          </w:rPr>
          <w:t>Example 15-1</w:t>
        </w:r>
      </w:hyperlink>
      <w:r>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os</w:t>
        <w:br w:clear="none"/>
      </w:r>
      <w:r>
        <w:rPr>
          <w:rStyle w:val="Text13"/>
        </w:rPr>
        <w:t xml:space="preserve">,</w:t>
        <w:br w:clear="none"/>
      </w:r>
      <w:r>
        <w:rPr>
          <w:rStyle w:val="Text6"/>
        </w:rPr>
        <w:t xml:space="preserve"> </w:t>
        <w:br w:clear="none"/>
      </w:r>
      <w:r>
        <w:rPr>
          <w:rStyle w:val="Text20"/>
        </w:rPr>
        <w:t xml:space="preserve">multiprocessing</w:t>
        <w:br w:clear="none"/>
      </w:r>
      <w:r>
        <w:rPr>
          <w:rStyle w:val="Text6"/>
        </w:rPr>
        <w:t xml:space="preserve"> </w:t>
        <w:br w:clear="none"/>
      </w:r>
      <w:r>
        <w:rPr>
          <w:rStyle w:val="Text10"/>
        </w:rPr>
        <w:t xml:space="preserve">as</w:t>
        <w:br w:clear="none"/>
      </w:r>
      <w:r>
        <w:rPr>
          <w:rStyle w:val="Text6"/>
        </w:rPr>
        <w:t xml:space="preserve"> </w:t>
        <w:br w:clear="none"/>
      </w:r>
      <w:r>
        <w:rPr>
          <w:rStyle w:val="Text20"/>
        </w:rPr>
        <w:t xml:space="preserve">mp</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"""Run a long time, and eventually return a result."""</w:t>
        <w:br w:clear="none"/>
      </w:r>
      <w:r>
        <w:rPr>
          <w:rStyle w:val="Text6"/>
        </w:rPr>
        <w:t xml:space="preserve"/>
        <w:br w:clear="none"/>
      </w:r>
      <w:r>
        <w:rPr>
          <w:rStyle w:val="Text29"/>
        </w:rPr>
        <w:t xml:space="preserve">    </w:t>
        <w:br w:clear="none"/>
      </w:r>
      <w:r>
        <w:rPr>
          <w:rStyle w:val="Text10"/>
        </w:rPr>
        <w:t xml:space="preserve">import</w:t>
        <w:br w:clear="none"/>
      </w:r>
      <w:r>
        <w:rPr>
          <w:rStyle w:val="Text6"/>
        </w:rPr>
        <w:t xml:space="preserve"> </w:t>
        <w:br w:clear="none"/>
      </w:r>
      <w:r>
        <w:rPr>
          <w:rStyle w:val="Text20"/>
        </w:rPr>
        <w:t xml:space="preserve">time</w:t>
        <w:br w:clear="none"/>
      </w:r>
      <w:r>
        <w:rPr>
          <w:rStyle w:val="Text13"/>
        </w:rPr>
        <w:t xml:space="preserve">,</w:t>
        <w:br w:clear="none"/>
      </w:r>
      <w:r>
        <w:rPr>
          <w:rStyle w:val="Text6"/>
        </w:rPr>
        <w:t xml:space="preserve"> </w:t>
        <w:br w:clear="none"/>
      </w:r>
      <w:r>
        <w:rPr>
          <w:rStyle w:val="Text20"/>
        </w:rPr>
        <w:t xml:space="preserve">random</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t xml:space="preserve">random</w:t>
        <w:br w:clear="none"/>
      </w:r>
      <w:r>
        <w:rPr>
          <w:rStyle w:val="Text13"/>
        </w:rPr>
        <w:t xml:space="preserve">.</w:t>
        <w:br w:clear="none"/>
      </w:r>
      <w:r>
        <w:t xml:space="preserve">random</w:t>
        <w:br w:clear="none"/>
      </w:r>
      <w:r>
        <w:rPr>
          <w:rStyle w:val="Text7"/>
        </w:rPr>
        <w:t xml:space="preserve">(</w:t>
        <w:br w:clear="none"/>
        <w:t xml:space="preserve">)</w:t>
        <w:br w:clear="none"/>
      </w:r>
      <w:r>
        <w:rPr>
          <w:rStyle w:val="Text13"/>
        </w:rPr>
        <w:t xml:space="preserve">*</w:t>
        <w:br w:clear="none"/>
      </w:r>
      <w:r>
        <w:rPr>
          <w:rStyle w:val="Text27"/>
        </w:rPr>
        <w:t xml:space="preserve">2</w:t>
        <w:br w:clear="none"/>
      </w:r>
      <w:r>
        <w:rPr>
          <w:rStyle w:val="Text7"/>
        </w:rPr>
        <w:t xml:space="preserve">)</w:t>
        <w:br w:clear="none"/>
      </w:r>
      <w:r>
        <w:rPr>
          <w:rStyle w:val="Text6"/>
        </w:rPr>
        <w:t xml:space="preserve">  </w:t>
        <w:br w:clear="none"/>
      </w:r>
      <w:r>
        <w:rPr>
          <w:rStyle w:val="Text15"/>
        </w:rPr>
        <w:t xml:space="preserve"># simulate slowness</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s</w:t>
        <w:br w:clear="none"/>
      </w:r>
      <w:r>
        <w:rPr>
          <w:rStyle w:val="Text13"/>
        </w:rPr>
        <w:t xml:space="preserve">+</w:t>
        <w:br w:clear="none"/>
      </w:r>
      <w:r>
        <w:t xml:space="preserve">s</w:t>
        <w:br w:clear="none"/>
      </w:r>
      <w:r>
        <w:rPr>
          <w:rStyle w:val="Text6"/>
        </w:rPr>
        <w:t xml:space="preserve">                     </w:t>
        <w:br w:clear="none"/>
      </w:r>
      <w:r>
        <w:rPr>
          <w:rStyle w:val="Text15"/>
        </w:rPr>
        <w:t xml:space="preserve"># some computation or other</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runner</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os</w:t>
        <w:br w:clear="none"/>
      </w:r>
      <w:r>
        <w:rPr>
          <w:rStyle w:val="Text13"/>
        </w:rPr>
        <w:t xml:space="preserve">.</w:t>
        <w:br w:clear="none"/>
      </w:r>
      <w:r>
        <w:t xml:space="preserve">getpid</w:t>
        <w:br w:clear="none"/>
      </w:r>
      <w:r>
        <w:rPr>
          <w:rStyle w:val="Text7"/>
        </w:rPr>
        <w:t xml:space="preserve">(</w:t>
        <w:br w:clear="none"/>
        <w:t xml:space="preserve">)</w:t>
        <w:br w:clear="none"/>
        <w:t xml:space="preserve">,</w:t>
        <w:br w:clear="none"/>
      </w:r>
      <w:r>
        <w:rPr>
          <w:rStyle w:val="Text6"/>
        </w:rPr>
        <w:t xml:space="preserve"> </w:t>
        <w:br w:clear="none"/>
      </w:r>
      <w:r>
        <w:t xml:space="preserve">s</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s</w:t>
        <w:br w:clear="none"/>
      </w:r>
      <w:r>
        <w:rPr>
          <w:rStyle w:val="Text7"/>
        </w:rPr>
        <w:t xml:space="preserve">,</w:t>
        <w:br w:clear="none"/>
      </w:r>
      <w:r>
        <w:rPr>
          <w:rStyle w:val="Text6"/>
        </w:rPr>
        <w:t xml:space="preserve"> </w:t>
        <w:br w:clear="none"/>
      </w:r>
      <w:r>
        <w:t xml:space="preserve">f</w:t>
        <w:br w:clear="none"/>
      </w:r>
      <w:r>
        <w:rPr>
          <w:rStyle w:val="Text7"/>
        </w:rPr>
        <w:t xml:space="preserve">(</w:t>
        <w:br w:clear="none"/>
      </w:r>
      <w:r>
        <w:t xml:space="preserve">s</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make_dict</w:t>
        <w:br w:clear="none"/>
      </w:r>
      <w:r>
        <w:rPr>
          <w:rStyle w:val="Text7"/>
        </w:rPr>
        <w:t xml:space="preserve">(</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mp</w:t>
        <w:br w:clear="none"/>
      </w:r>
      <w:r>
        <w:rPr>
          <w:rStyle w:val="Text13"/>
        </w:rPr>
        <w:t xml:space="preserve">.</w:t>
        <w:br w:clear="none"/>
      </w:r>
      <w:r>
        <w:t xml:space="preserve">Pool</w:t>
        <w:br w:clear="none"/>
      </w:r>
      <w:r>
        <w:rPr>
          <w:rStyle w:val="Text7"/>
        </w:rPr>
        <w:t xml:space="preserve">(</w:t>
        <w:br w:clear="none"/>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pool</w:t>
        <w:br w:clear="none"/>
      </w:r>
      <w:r>
        <w:rPr>
          <w:rStyle w:val="Text7"/>
        </w:rPr>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dict</w:t>
        <w:br w:clear="none"/>
      </w:r>
      <w:r>
        <w:rPr>
          <w:rStyle w:val="Text7"/>
        </w:rPr>
        <w:t xml:space="preserve">(</w:t>
        <w:br w:clear="none"/>
      </w:r>
      <w:r>
        <w:t xml:space="preserve">pool</w:t>
        <w:br w:clear="none"/>
      </w:r>
      <w:r>
        <w:rPr>
          <w:rStyle w:val="Text13"/>
        </w:rPr>
        <w:t xml:space="preserve">.</w:t>
        <w:br w:clear="none"/>
      </w:r>
      <w:r>
        <w:t xml:space="preserve">imap_unordered</w:t>
        <w:br w:clear="none"/>
      </w:r>
      <w:r>
        <w:rPr>
          <w:rStyle w:val="Text7"/>
        </w:rPr>
        <w:t xml:space="preserve">(</w:t>
        <w:br w:clear="none"/>
      </w:r>
      <w:r>
        <w:t xml:space="preserve">runner</w:t>
        <w:br w:clear="none"/>
      </w:r>
      <w:r>
        <w:rPr>
          <w:rStyle w:val="Text7"/>
        </w:rPr>
        <w:t xml:space="preserve">,</w:t>
        <w:br w:clear="none"/>
      </w:r>
      <w:r>
        <w:rPr>
          <w:rStyle w:val="Text6"/>
        </w:rPr>
        <w:t xml:space="preserve"> </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w:t>
        <w:br w:clear="none"/>
      </w:r>
    </w:p>
    <w:p>
      <w:bookmarkStart w:id="3447" w:name="The_AsyncResult_class__The_metho"/>
      <w:pPr>
        <w:keepNext/>
        <w:pStyle w:val="Heading 2"/>
      </w:pPr>
      <w:r>
        <w:t>The AsyncResult class</w:t>
      </w:r>
      <w:bookmarkEnd w:id="3447"/>
    </w:p>
    <w:p>
      <w:pPr>
        <w:pStyle w:val="Normal"/>
      </w:pPr>
      <w:r>
        <w:t>The</w:t>
      </w:r>
      <w:r>
        <w:rPr>
          <w:rStyle w:val="Text111"/>
        </w:rPr>
        <w:bookmarkStart w:id="3448" w:name="idm45965190784272"/>
        <w:t/>
        <w:bookmarkEnd w:id="3448"/>
      </w:r>
      <w:r>
        <w:t xml:space="preserve"> methods </w:t>
      </w:r>
      <w:r>
        <w:rPr>
          <w:rStyle w:val="Text0"/>
        </w:rPr>
        <w:t>apply_async</w:t>
      </w:r>
      <w:r>
        <w:t xml:space="preserve"> and </w:t>
      </w:r>
      <w:r>
        <w:rPr>
          <w:rStyle w:val="Text0"/>
        </w:rPr>
        <w:t>map_async</w:t>
      </w:r>
      <w:r>
        <w:t xml:space="preserve"> of the class </w:t>
      </w:r>
      <w:r>
        <w:rPr>
          <w:rStyle w:val="Text0"/>
        </w:rPr>
        <w:t>Pool</w:t>
      </w:r>
      <w:r>
        <w:t xml:space="preserve"> return an instance of the class </w:t>
      </w:r>
      <w:r>
        <w:rPr>
          <w:rStyle w:val="Text0"/>
        </w:rPr>
        <w:t>AsyncResult</w:t>
      </w:r>
      <w:r>
        <w:t xml:space="preserve">. An instance </w:t>
      </w:r>
      <w:r>
        <w:rPr>
          <w:rStyle w:val="Text3"/>
        </w:rPr>
        <w:t>r</w:t>
      </w:r>
      <w:r>
        <w:t xml:space="preserve"> of the class </w:t>
      </w:r>
      <w:r>
        <w:rPr>
          <w:rStyle w:val="Text0"/>
        </w:rPr>
        <w:t>AsyncResult</w:t>
      </w:r>
      <w:r>
        <w:t xml:space="preserve"> supplies the methods listed in </w:t>
      </w:r>
      <w:hyperlink w:anchor="Table_15_13__Methods_of_an_insta">
        <w:r>
          <w:rPr>
            <w:rStyle w:val="Text1"/>
          </w:rPr>
          <w:t>Table 15-13</w:t>
        </w:r>
      </w:hyperlink>
      <w:r>
        <w:t>.</w:t>
      </w:r>
    </w:p>
    <w:tbl>
      <w:tblPr>
        <w:tblW w:type="auto" w:w="0"/>
      </w:tblPr>
      <w:tr>
        <w:tc>
          <w:tcPr>
            <w:tcW w:type="auto" w:w="0"/>
            <w:tcMar>
              <w:left w:type="dxa" w:w="200"/>
              <w:top w:type="dxa" w:w="200"/>
              <w:right w:type="dxa" w:w="200"/>
              <w:bottom w:type="dxa" w:w="200"/>
            </w:tcMar>
          </w:tcPr>
          <w:p>
            <w:bookmarkStart w:id="3449" w:name="Table_15_13__Methods_of_an_insta"/>
            <w:pPr>
              <w:pStyle w:val="Para 011"/>
            </w:pPr>
            <w:r>
              <w:rPr>
                <w:rStyle w:val="Text117"/>
              </w:rPr>
              <w:t/>
            </w:r>
            <w:r>
              <w:t xml:space="preserve">Table 15-13. </w:t>
              <w:t xml:space="preserve">Methods of an instance </w:t>
            </w:r>
            <w:r>
              <w:rPr>
                <w:rStyle w:val="Text0"/>
              </w:rPr>
              <w:t>r</w:t>
            </w:r>
            <w:r>
              <w:t xml:space="preserve"> of class </w:t>
            </w:r>
            <w:r>
              <w:rPr>
                <w:rStyle w:val="Text0"/>
              </w:rPr>
              <w:t>AsyncResult</w:t>
            </w:r>
            <w:bookmarkEnd w:id="3449"/>
          </w:p>
          <w:p>
            <w:pPr>
              <w:pStyle w:val="Para 001"/>
            </w:pPr>
            <w:r>
              <w:t>get</w:t>
            </w:r>
          </w:p>
        </w:tc>
        <w:tc>
          <w:tcPr>
            <w:tcW w:type="auto" w:w="0"/>
            <w:tcMar>
              <w:left w:type="dxa" w:w="200"/>
              <w:top w:type="dxa" w:w="200"/>
              <w:right w:type="dxa" w:w="200"/>
              <w:bottom w:type="dxa" w:w="200"/>
            </w:tcMar>
          </w:tcPr>
          <w:p>
            <w:pPr>
              <w:pStyle w:val="Para 002"/>
            </w:pPr>
            <w:r>
              <w:rPr>
                <w:rStyle w:val="Text0"/>
              </w:rPr>
              <w:t>get(timeout=</w:t>
            </w:r>
            <w:r>
              <w:rPr>
                <w:rStyle w:val="Text5"/>
              </w:rPr>
              <w:t>None</w:t>
            </w:r>
            <w:r>
              <w:rPr>
                <w:rStyle w:val="Text0"/>
              </w:rPr>
              <w:t>)</w:t>
              <w:br w:clear="none"/>
            </w:r>
            <w:r>
              <w:t xml:space="preserve"> Blocks and returns the result when ready, or re-raises the exception raised while computing the result. When </w:t>
            </w:r>
            <w:r>
              <w:rPr>
                <w:rStyle w:val="Text0"/>
              </w:rPr>
              <w:t>timeout</w:t>
            </w:r>
            <w:r>
              <w:t xml:space="preserve"> is not </w:t>
            </w:r>
            <w:r>
              <w:rPr>
                <w:rStyle w:val="Text5"/>
              </w:rPr>
              <w:t>None</w:t>
            </w:r>
            <w:r>
              <w:t xml:space="preserve">, it’s a floating-point value in seconds; </w:t>
            </w:r>
            <w:r>
              <w:rPr>
                <w:rStyle w:val="Text0"/>
              </w:rPr>
              <w:t>get</w:t>
            </w:r>
            <w:r>
              <w:t xml:space="preserve"> raises </w:t>
            </w:r>
            <w:r>
              <w:rPr>
                <w:rStyle w:val="Text0"/>
              </w:rPr>
              <w:t>multiprocessing.TimeoutError</w:t>
            </w:r>
            <w:r>
              <w:t xml:space="preserve"> should the result not yet be ready after </w:t>
            </w:r>
            <w:r>
              <w:rPr>
                <w:rStyle w:val="Text0"/>
              </w:rPr>
              <w:t>timeout</w:t>
            </w:r>
            <w:r>
              <w:t xml:space="preserve"> seconds.</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ready</w:t>
            </w:r>
          </w:p>
        </w:tc>
        <w:tc>
          <w:tcPr>
            <w:tcW w:type="auto" w:w="0"/>
            <w:shd w:val="clear" w:color="auto" w:fill="EEF2F6"/>
            <w:tcMar>
              <w:left w:type="dxa" w:w="200"/>
              <w:top w:type="dxa" w:w="200"/>
              <w:right w:type="dxa" w:w="200"/>
              <w:bottom w:type="dxa" w:w="200"/>
            </w:tcMar>
          </w:tcPr>
          <w:p>
            <w:pPr>
              <w:pStyle w:val="Para 002"/>
            </w:pPr>
            <w:r>
              <w:rPr>
                <w:rStyle w:val="Text0"/>
              </w:rPr>
              <w:t>ready()</w:t>
              <w:br w:clear="none"/>
            </w:r>
            <w:r>
              <w:t xml:space="preserve"> Does not block; returns </w:t>
            </w:r>
            <w:r>
              <w:rPr>
                <w:rStyle w:val="Text5"/>
              </w:rPr>
              <w:t>True</w:t>
            </w:r>
            <w:r>
              <w:t xml:space="preserve"> if the call has completed with a result or has raised an exception;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successful</w:t>
            </w:r>
          </w:p>
        </w:tc>
        <w:tc>
          <w:tcPr>
            <w:tcW w:type="auto" w:w="0"/>
            <w:tcMar>
              <w:left w:type="dxa" w:w="200"/>
              <w:top w:type="dxa" w:w="200"/>
              <w:right w:type="dxa" w:w="200"/>
              <w:bottom w:type="dxa" w:w="200"/>
            </w:tcMar>
          </w:tcPr>
          <w:p>
            <w:pPr>
              <w:pStyle w:val="Para 002"/>
            </w:pPr>
            <w:r>
              <w:rPr>
                <w:rStyle w:val="Text0"/>
              </w:rPr>
              <w:t>successful()</w:t>
              <w:br w:clear="none"/>
            </w:r>
            <w:r>
              <w:t xml:space="preserve"> Does not block; returns </w:t>
            </w:r>
            <w:r>
              <w:rPr>
                <w:rStyle w:val="Text5"/>
              </w:rPr>
              <w:t>True</w:t>
            </w:r>
            <w:r>
              <w:t xml:space="preserve"> if the result is ready and the computation did not raise an exception, or returns </w:t>
            </w:r>
            <w:r>
              <w:rPr>
                <w:rStyle w:val="Text5"/>
              </w:rPr>
              <w:t>False</w:t>
            </w:r>
            <w:r>
              <w:t xml:space="preserve"> if the computation raised an exception. If the result is not yet ready, </w:t>
            </w:r>
            <w:r>
              <w:rPr>
                <w:rStyle w:val="Text0"/>
              </w:rPr>
              <w:t>successful</w:t>
            </w:r>
            <w:r>
              <w:t xml:space="preserve"> raises </w:t>
            </w:r>
            <w:r>
              <w:rPr>
                <w:rStyle w:val="Text0"/>
              </w:rPr>
              <w:t>AssertionError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wait</w:t>
            </w:r>
          </w:p>
        </w:tc>
        <w:tc>
          <w:tcPr>
            <w:tcW w:type="auto" w:w="0"/>
            <w:shd w:val="clear" w:color="auto" w:fill="EEF2F6"/>
            <w:tcMar>
              <w:left w:type="dxa" w:w="200"/>
              <w:top w:type="dxa" w:w="200"/>
              <w:right w:type="dxa" w:w="200"/>
              <w:bottom w:type="dxa" w:w="200"/>
            </w:tcMar>
          </w:tcPr>
          <w:p>
            <w:pPr>
              <w:pStyle w:val="Para 002"/>
            </w:pPr>
            <w:r>
              <w:rPr>
                <w:rStyle w:val="Text0"/>
              </w:rPr>
              <w:t>wait(timeout=</w:t>
            </w:r>
            <w:r>
              <w:rPr>
                <w:rStyle w:val="Text5"/>
              </w:rPr>
              <w:t>None</w:t>
            </w:r>
            <w:r>
              <w:rPr>
                <w:rStyle w:val="Text0"/>
              </w:rPr>
              <w:t>)</w:t>
              <w:br w:clear="none"/>
            </w:r>
            <w:r>
              <w:t xml:space="preserve"> Blocks and waits until the result is ready. When </w:t>
            </w:r>
            <w:r>
              <w:rPr>
                <w:rStyle w:val="Text0"/>
              </w:rPr>
              <w:t>timeout</w:t>
            </w:r>
            <w:r>
              <w:t xml:space="preserve"> is not </w:t>
            </w:r>
            <w:r>
              <w:rPr>
                <w:rStyle w:val="Text5"/>
              </w:rPr>
              <w:t>None</w:t>
            </w:r>
            <w:r>
              <w:t xml:space="preserve">, it’s a floating-point value in seconds: </w:t>
            </w:r>
            <w:r>
              <w:rPr>
                <w:rStyle w:val="Text0"/>
              </w:rPr>
              <w:t>wait</w:t>
            </w:r>
            <w:r>
              <w:t xml:space="preserve"> raises </w:t>
            </w:r>
            <w:r>
              <w:rPr>
                <w:rStyle w:val="Text0"/>
              </w:rPr>
              <w:t>multiprocessing.TimeoutError</w:t>
            </w:r>
            <w:r>
              <w:t xml:space="preserve"> should the result not yet be ready after </w:t>
            </w:r>
            <w:r>
              <w:rPr>
                <w:rStyle w:val="Text0"/>
              </w:rPr>
              <w:t>timeout</w:t>
            </w:r>
            <w:r>
              <w:t xml:space="preserve"> seconds.</w:t>
            </w:r>
          </w:p>
        </w:tc>
      </w:tr>
    </w:tbl>
    <w:p>
      <w:bookmarkStart w:id="3450" w:name="The_ThreadPool_class__The_multip"/>
      <w:pPr>
        <w:keepNext/>
        <w:pStyle w:val="Heading 2"/>
      </w:pPr>
      <w:r>
        <w:t>The ThreadPool class</w:t>
      </w:r>
      <w:bookmarkEnd w:id="3450"/>
    </w:p>
    <w:p>
      <w:pPr>
        <w:pStyle w:val="Normal"/>
      </w:pPr>
      <w:r>
        <w:t>The</w:t>
      </w:r>
      <w:r>
        <w:rPr>
          <w:rStyle w:val="Text111"/>
        </w:rPr>
        <w:bookmarkStart w:id="3451" w:name="idm45965190728448"/>
        <w:t/>
        <w:bookmarkEnd w:id="3451"/>
      </w:r>
      <w:r>
        <w:t xml:space="preserve"> </w:t>
      </w:r>
      <w:r>
        <w:rPr>
          <w:rStyle w:val="Text0"/>
        </w:rPr>
        <w:t>multiprocessing.pool</w:t>
      </w:r>
      <w:r>
        <w:t xml:space="preserve"> module also offers a class called </w:t>
      </w:r>
      <w:r>
        <w:rPr>
          <w:rStyle w:val="Text0"/>
        </w:rPr>
        <w:t>ThreadPool</w:t>
      </w:r>
      <w:r>
        <w:t xml:space="preserve">, with exactly the same interface as </w:t>
      </w:r>
      <w:r>
        <w:rPr>
          <w:rStyle w:val="Text0"/>
        </w:rPr>
        <w:t>Pool</w:t>
      </w:r>
      <w:r>
        <w:t xml:space="preserve">, implemented with multiple threads within a single process (not with multiple processes, despite the module’s name). The equivalent </w:t>
      </w:r>
      <w:r>
        <w:rPr>
          <w:rStyle w:val="Text0"/>
        </w:rPr>
        <w:t>make_dict</w:t>
      </w:r>
      <w:r>
        <w:t xml:space="preserve"> code to </w:t>
      </w:r>
      <w:hyperlink w:anchor="Example_15_1__Distributing_work">
        <w:r>
          <w:rPr>
            <w:rStyle w:val="Text1"/>
          </w:rPr>
          <w:t>Example 15-1</w:t>
        </w:r>
      </w:hyperlink>
      <w:r>
        <w:t xml:space="preserve"> using a </w:t>
      </w:r>
      <w:r>
        <w:rPr>
          <w:rStyle w:val="Text0"/>
        </w:rPr>
        <w:t>ThreadPool</w:t>
      </w:r>
      <w:r>
        <w:t xml:space="preserve"> would be:</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make_dict</w:t>
        <w:br w:clear="none"/>
      </w:r>
      <w:r>
        <w:rPr>
          <w:rStyle w:val="Text7"/>
        </w:rPr>
        <w:t xml:space="preserve">(</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t xml:space="preserve">num_workers</w:t>
        <w:br w:clear="none"/>
      </w:r>
      <w:r>
        <w:rPr>
          <w:rStyle w:val="Text13"/>
        </w:rPr>
        <w:t xml:space="preserve">=</w:t>
        <w:br w:clear="none"/>
      </w:r>
      <w:r>
        <w:rPr>
          <w:rStyle w:val="Text27"/>
        </w:rPr>
        <w:t xml:space="preserve">3</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mp</w:t>
        <w:br w:clear="none"/>
      </w:r>
      <w:r>
        <w:rPr>
          <w:rStyle w:val="Text13"/>
        </w:rPr>
        <w:t xml:space="preserve">.</w:t>
        <w:br w:clear="none"/>
      </w:r>
      <w:r>
        <w:t xml:space="preserve">pool</w:t>
        <w:br w:clear="none"/>
      </w:r>
      <w:r>
        <w:rPr>
          <w:rStyle w:val="Text13"/>
        </w:rPr>
        <w:t xml:space="preserve">.</w:t>
        <w:br w:clear="none"/>
      </w:r>
      <w:r>
        <w:t xml:space="preserve">ThreadPool</w:t>
        <w:br w:clear="none"/>
      </w:r>
      <w:r>
        <w:rPr>
          <w:rStyle w:val="Text7"/>
        </w:rPr>
        <w:t xml:space="preserve">(</w:t>
        <w:br w:clear="none"/>
      </w:r>
      <w:r>
        <w:t xml:space="preserve">num_workers</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pool</w:t>
        <w:br w:clear="none"/>
      </w:r>
      <w:r>
        <w:rPr>
          <w:rStyle w:val="Text7"/>
        </w:rPr>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dict</w:t>
        <w:br w:clear="none"/>
      </w:r>
      <w:r>
        <w:rPr>
          <w:rStyle w:val="Text7"/>
        </w:rPr>
        <w:t xml:space="preserve">(</w:t>
        <w:br w:clear="none"/>
      </w:r>
      <w:r>
        <w:t xml:space="preserve">pool</w:t>
        <w:br w:clear="none"/>
      </w:r>
      <w:r>
        <w:rPr>
          <w:rStyle w:val="Text13"/>
        </w:rPr>
        <w:t xml:space="preserve">.</w:t>
        <w:br w:clear="none"/>
      </w:r>
      <w:r>
        <w:t xml:space="preserve">imap_unordered</w:t>
        <w:br w:clear="none"/>
      </w:r>
      <w:r>
        <w:rPr>
          <w:rStyle w:val="Text7"/>
        </w:rPr>
        <w:t xml:space="preserve">(</w:t>
        <w:br w:clear="none"/>
      </w:r>
      <w:r>
        <w:t xml:space="preserve">runner</w:t>
        <w:br w:clear="none"/>
      </w:r>
      <w:r>
        <w:rPr>
          <w:rStyle w:val="Text7"/>
        </w:rPr>
        <w:t xml:space="preserve">,</w:t>
        <w:br w:clear="none"/>
      </w:r>
      <w:r>
        <w:rPr>
          <w:rStyle w:val="Text6"/>
        </w:rPr>
        <w:t xml:space="preserve"> </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w:t>
        <w:br w:clear="none"/>
      </w:r>
    </w:p>
    <w:p>
      <w:pPr>
        <w:pStyle w:val="Normal"/>
      </w:pPr>
      <w:r>
        <w:t xml:space="preserve">Since a </w:t>
      </w:r>
      <w:r>
        <w:rPr>
          <w:rStyle w:val="Text0"/>
        </w:rPr>
        <w:t>ThreadPool</w:t>
      </w:r>
      <w:r>
        <w:t xml:space="preserve"> uses multiple threads but is limited to running in a single process, it is most suitable for applications where the separate threads are performing overlapping I/O. As stated previously, Python threading offers little advantage when the work is primarily CPU-bound.</w:t>
      </w:r>
    </w:p>
    <w:p>
      <w:pPr>
        <w:pStyle w:val="Normal"/>
      </w:pPr>
      <w:r>
        <w:t xml:space="preserve">In modern Python, you should generally prefer the </w:t>
      </w:r>
      <w:r>
        <w:rPr>
          <w:rStyle w:val="Text0"/>
        </w:rPr>
        <w:t>Executor</w:t>
      </w:r>
      <w:r>
        <w:t xml:space="preserve"> abstract class from the module </w:t>
      </w:r>
      <w:r>
        <w:rPr>
          <w:rStyle w:val="Text0"/>
        </w:rPr>
        <w:t>concurrent</w:t>
      </w:r>
      <w:r>
        <w:t>.</w:t>
      </w:r>
      <w:r>
        <w:rPr>
          <w:rStyle w:val="Text0"/>
        </w:rPr>
        <w:t>futures</w:t>
      </w:r>
      <w:r>
        <w:t xml:space="preserve">, covered in next section, and its two implementations, </w:t>
      </w:r>
      <w:r>
        <w:rPr>
          <w:rStyle w:val="Text0"/>
        </w:rPr>
        <w:t>ThreadPoolExecutor</w:t>
      </w:r>
      <w:r>
        <w:t xml:space="preserve"> and </w:t>
      </w:r>
      <w:r>
        <w:rPr>
          <w:rStyle w:val="Text0"/>
        </w:rPr>
        <w:t>ProcessPoolExecutor</w:t>
      </w:r>
      <w:r>
        <w:t xml:space="preserve">. In particular, the </w:t>
      </w:r>
      <w:r>
        <w:rPr>
          <w:rStyle w:val="Text0"/>
        </w:rPr>
        <w:t>Future</w:t>
      </w:r>
      <w:r>
        <w:t xml:space="preserve"> objects returned by </w:t>
      </w:r>
      <w:r>
        <w:rPr>
          <w:rStyle w:val="Text0"/>
        </w:rPr>
        <w:t>submit</w:t>
      </w:r>
      <w:r>
        <w:t xml:space="preserve"> methods of the executor classes implemented by </w:t>
      </w:r>
      <w:r>
        <w:rPr>
          <w:rStyle w:val="Text0"/>
        </w:rPr>
        <w:t>concurrent</w:t>
      </w:r>
      <w:r>
        <w:t>.</w:t>
      </w:r>
      <w:r>
        <w:rPr>
          <w:rStyle w:val="Text0"/>
        </w:rPr>
        <w:t>futures</w:t>
      </w:r>
      <w:r>
        <w:t xml:space="preserve"> are compatible with the </w:t>
      </w:r>
      <w:r>
        <w:rPr>
          <w:rStyle w:val="Text0"/>
        </w:rPr>
        <w:t>asyncio</w:t>
      </w:r>
      <w:r>
        <w:t xml:space="preserve"> module (which, as previously mentioned, we do not cover in this book, but which is nevertheless a crucial part of much concurrent processing in recent versions of Python). The </w:t>
      </w:r>
      <w:r>
        <w:rPr>
          <w:rStyle w:val="Text0"/>
        </w:rPr>
        <w:t>AsyncResult</w:t>
      </w:r>
      <w:r>
        <w:t xml:space="preserve"> objects returned by the methods </w:t>
      </w:r>
      <w:r>
        <w:rPr>
          <w:rStyle w:val="Text0"/>
        </w:rPr>
        <w:t>apply_async</w:t>
      </w:r>
      <w:r>
        <w:t xml:space="preserve"> and </w:t>
      </w:r>
      <w:r>
        <w:rPr>
          <w:rStyle w:val="Text0"/>
        </w:rPr>
        <w:t>map_async</w:t>
      </w:r>
      <w:r>
        <w:t xml:space="preserve"> of the pool classes implemented by </w:t>
      </w:r>
      <w:r>
        <w:rPr>
          <w:rStyle w:val="Text0"/>
        </w:rPr>
        <w:t>multiprocessing</w:t>
      </w:r>
      <w:r>
        <w:t xml:space="preserve"> are not </w:t>
      </w:r>
      <w:r>
        <w:rPr>
          <w:rStyle w:val="Text0"/>
        </w:rPr>
        <w:t>asyncio</w:t>
      </w:r>
      <w:r>
        <w:t xml:space="preserve"> compatible.</w:t>
      </w:r>
      <w:r>
        <w:rPr>
          <w:rStyle w:val="Text111"/>
        </w:rPr>
        <w:bookmarkStart w:id="3452" w:name="idm45965190642752"/>
        <w:t/>
        <w:bookmarkEnd w:id="3452"/>
        <w:bookmarkStart w:id="3453" w:name="idm45965190641344"/>
        <w:t/>
        <w:bookmarkEnd w:id="3453"/>
      </w:r>
    </w:p>
    <w:p>
      <w:bookmarkStart w:id="3454" w:name="The_concurrent_futures_Module__T"/>
      <w:pPr>
        <w:keepNext/>
        <w:pStyle w:val="Heading 1"/>
      </w:pPr>
      <w:r>
        <w:t>The concurrent.futures Module</w:t>
      </w:r>
      <w:bookmarkEnd w:id="3454"/>
    </w:p>
    <w:p>
      <w:pPr>
        <w:pStyle w:val="Normal"/>
      </w:pPr>
      <w:r>
        <w:t>The</w:t>
      </w:r>
      <w:r>
        <w:rPr>
          <w:rStyle w:val="Text111"/>
        </w:rPr>
        <w:bookmarkStart w:id="3455" w:name="TAPconmod15"/>
        <w:t/>
        <w:bookmarkEnd w:id="3455"/>
        <w:bookmarkStart w:id="3456" w:name="conmod15"/>
        <w:t/>
        <w:bookmarkEnd w:id="3456"/>
      </w:r>
      <w:r>
        <w:t xml:space="preserve"> </w:t>
      </w:r>
      <w:r>
        <w:rPr>
          <w:rStyle w:val="Text0"/>
        </w:rPr>
        <w:t>concurrent</w:t>
      </w:r>
      <w:r>
        <w:t xml:space="preserve"> package supplies a single module, </w:t>
      </w:r>
      <w:r>
        <w:rPr>
          <w:rStyle w:val="Text0"/>
        </w:rPr>
        <w:t>futures</w:t>
      </w:r>
      <w:r>
        <w:t xml:space="preserve">. </w:t>
      </w:r>
      <w:r>
        <w:rPr>
          <w:rStyle w:val="Text0"/>
        </w:rPr>
        <w:t>concurrent</w:t>
      </w:r>
      <w:r>
        <w:t>.</w:t>
      </w:r>
      <w:r>
        <w:rPr>
          <w:rStyle w:val="Text0"/>
        </w:rPr>
        <w:t>futures</w:t>
      </w:r>
      <w:r>
        <w:t xml:space="preserve"> provides two classes, </w:t>
      </w:r>
      <w:r>
        <w:rPr>
          <w:rStyle w:val="Text0"/>
        </w:rPr>
        <w:t>ThreadPoolExecutor</w:t>
      </w:r>
      <w:r>
        <w:t xml:space="preserve"> (using threads as workers) and </w:t>
      </w:r>
      <w:r>
        <w:rPr>
          <w:rStyle w:val="Text0"/>
        </w:rPr>
        <w:t>ProcessPoolExecutor</w:t>
      </w:r>
      <w:r>
        <w:t xml:space="preserve"> (using processes as workers), which implement the same abstract interface, </w:t>
      </w:r>
      <w:r>
        <w:rPr>
          <w:rStyle w:val="Text0"/>
        </w:rPr>
        <w:t>Executor</w:t>
      </w:r>
      <w:r>
        <w:t xml:space="preserve">. Instantiate either kind of pool by calling the class with one argument, </w:t>
      </w:r>
      <w:r>
        <w:rPr>
          <w:rStyle w:val="Text0"/>
        </w:rPr>
        <w:t>max_workers</w:t>
      </w:r>
      <w:r>
        <w:t xml:space="preserve">, specifying how many threads or processes the pool should contain. You can omit </w:t>
      </w:r>
      <w:r>
        <w:rPr>
          <w:rStyle w:val="Text0"/>
        </w:rPr>
        <w:t>max_workers</w:t>
      </w:r>
      <w:r>
        <w:t xml:space="preserve"> to let the system pick the number of workers.</w:t>
      </w:r>
    </w:p>
    <w:p>
      <w:pPr>
        <w:pStyle w:val="Normal"/>
      </w:pPr>
      <w:r>
        <w:t>An</w:t>
      </w:r>
      <w:r>
        <w:rPr>
          <w:rStyle w:val="Text111"/>
        </w:rPr>
        <w:bookmarkStart w:id="3457" w:name="idm45965190628368"/>
        <w:t/>
        <w:bookmarkEnd w:id="3457"/>
      </w:r>
      <w:r>
        <w:t xml:space="preserve"> instance </w:t>
      </w:r>
      <w:r>
        <w:rPr>
          <w:rStyle w:val="Text3"/>
        </w:rPr>
        <w:t>e</w:t>
      </w:r>
      <w:r>
        <w:t xml:space="preserve"> of the </w:t>
      </w:r>
      <w:r>
        <w:rPr>
          <w:rStyle w:val="Text0"/>
        </w:rPr>
        <w:t>Executor</w:t>
      </w:r>
      <w:r>
        <w:t xml:space="preserve"> class supports the methods in </w:t>
      </w:r>
      <w:hyperlink w:anchor="Table_15_14__Methods_of_an_insta">
        <w:r>
          <w:rPr>
            <w:rStyle w:val="Text1"/>
          </w:rPr>
          <w:t>Table 15-14</w:t>
        </w:r>
      </w:hyperlink>
      <w:r>
        <w:t>.</w:t>
      </w:r>
    </w:p>
    <w:tbl>
      <w:tblPr>
        <w:tblW w:type="auto" w:w="0"/>
      </w:tblPr>
      <w:tr>
        <w:tc>
          <w:tcPr>
            <w:tcW w:type="auto" w:w="0"/>
            <w:tcMar>
              <w:left w:type="dxa" w:w="200"/>
              <w:top w:type="dxa" w:w="200"/>
              <w:right w:type="dxa" w:w="200"/>
              <w:bottom w:type="dxa" w:w="200"/>
            </w:tcMar>
          </w:tcPr>
          <w:p>
            <w:bookmarkStart w:id="3458" w:name="Table_15_14__Methods_of_an_insta"/>
            <w:pPr>
              <w:pStyle w:val="Para 011"/>
            </w:pPr>
            <w:r>
              <w:rPr>
                <w:rStyle w:val="Text117"/>
              </w:rPr>
              <w:t/>
            </w:r>
            <w:r>
              <w:t xml:space="preserve">Table 15-14. </w:t>
              <w:t xml:space="preserve">Methods of an instance </w:t>
            </w:r>
            <w:r>
              <w:rPr>
                <w:rStyle w:val="Text3"/>
              </w:rPr>
              <w:t>e</w:t>
            </w:r>
            <w:r>
              <w:t xml:space="preserve"> of class </w:t>
            </w:r>
            <w:r>
              <w:rPr>
                <w:rStyle w:val="Text0"/>
              </w:rPr>
              <w:t>Executor</w:t>
            </w:r>
            <w:bookmarkEnd w:id="3458"/>
          </w:p>
          <w:p>
            <w:pPr>
              <w:pStyle w:val="Para 001"/>
            </w:pPr>
            <w:r>
              <w:t>map</w:t>
            </w:r>
          </w:p>
        </w:tc>
        <w:tc>
          <w:tcPr>
            <w:tcW w:type="auto" w:w="0"/>
            <w:tcMar>
              <w:left w:type="dxa" w:w="200"/>
              <w:top w:type="dxa" w:w="200"/>
              <w:right w:type="dxa" w:w="200"/>
              <w:bottom w:type="dxa" w:w="200"/>
            </w:tcMar>
          </w:tcPr>
          <w:p>
            <w:pPr>
              <w:pStyle w:val="Para 002"/>
            </w:pPr>
            <w:r>
              <w:rPr>
                <w:rStyle w:val="Text0"/>
              </w:rPr>
              <w:t>map(</w:t>
            </w:r>
            <w:r>
              <w:rPr>
                <w:rStyle w:val="Text3"/>
              </w:rPr>
              <w:t>func</w:t>
            </w:r>
            <w:r>
              <w:rPr>
                <w:rStyle w:val="Text0"/>
              </w:rPr>
              <w:t>,</w:t>
            </w:r>
            <w:r>
              <w:t xml:space="preserve"> </w:t>
            </w:r>
            <w:r>
              <w:rPr>
                <w:rStyle w:val="Text3"/>
              </w:rPr>
              <w:t>*iterables</w:t>
            </w:r>
            <w:r>
              <w:rPr>
                <w:rStyle w:val="Text0"/>
              </w:rPr>
              <w:t>, timeout=</w:t>
            </w:r>
            <w:r>
              <w:rPr>
                <w:rStyle w:val="Text5"/>
              </w:rPr>
              <w:t>None</w:t>
            </w:r>
            <w:r>
              <w:rPr>
                <w:rStyle w:val="Text0"/>
              </w:rPr>
              <w:t>, chunksize=1)</w:t>
              <w:br w:clear="none"/>
            </w:r>
            <w:r>
              <w:t xml:space="preserve"> Returns an iterator </w:t>
            </w:r>
            <w:r>
              <w:rPr>
                <w:rStyle w:val="Text3"/>
              </w:rPr>
              <w:t>it</w:t>
            </w:r>
            <w:r>
              <w:t xml:space="preserve"> whose items are the results of </w:t>
            </w:r>
            <w:r>
              <w:rPr>
                <w:rStyle w:val="Text3"/>
              </w:rPr>
              <w:t>func</w:t>
            </w:r>
            <w:r>
              <w:t xml:space="preserve"> called with one argument from each of the </w:t>
            </w:r>
            <w:r>
              <w:rPr>
                <w:rStyle w:val="Text3"/>
              </w:rPr>
              <w:t>iterables</w:t>
            </w:r>
            <w:r>
              <w:t xml:space="preserve">, in order (using multiple worker threads or processes to execute </w:t>
            </w:r>
            <w:r>
              <w:rPr>
                <w:rStyle w:val="Text3"/>
              </w:rPr>
              <w:t>func</w:t>
            </w:r>
            <w:r>
              <w:t xml:space="preserve"> in parallel). When </w:t>
            </w:r>
            <w:r>
              <w:rPr>
                <w:rStyle w:val="Text3"/>
              </w:rPr>
              <w:t>timeout</w:t>
            </w:r>
            <w:r>
              <w:t xml:space="preserve"> is not </w:t>
            </w:r>
            <w:r>
              <w:rPr>
                <w:rStyle w:val="Text5"/>
              </w:rPr>
              <w:t>None</w:t>
            </w:r>
            <w:r>
              <w:t xml:space="preserve">, it’s a </w:t>
            </w:r>
            <w:r>
              <w:rPr>
                <w:rStyle w:val="Text0"/>
              </w:rPr>
              <w:t>float</w:t>
            </w:r>
            <w:r>
              <w:t xml:space="preserve"> number of seconds: should </w:t>
            </w:r>
            <w:r>
              <w:rPr>
                <w:rStyle w:val="Text0"/>
              </w:rPr>
              <w:t>next(</w:t>
            </w:r>
            <w:r>
              <w:rPr>
                <w:rStyle w:val="Text3"/>
              </w:rPr>
              <w:t>it</w:t>
            </w:r>
            <w:r>
              <w:rPr>
                <w:rStyle w:val="Text0"/>
              </w:rPr>
              <w:t>)</w:t>
            </w:r>
            <w:r>
              <w:t xml:space="preserve"> not produce any result in </w:t>
            </w:r>
            <w:r>
              <w:rPr>
                <w:rStyle w:val="Text0"/>
              </w:rPr>
              <w:t>timeout</w:t>
            </w:r>
            <w:r>
              <w:t xml:space="preserve"> seconds, raises </w:t>
            </w:r>
            <w:r>
              <w:rPr>
                <w:rStyle w:val="Text0"/>
              </w:rPr>
              <w:t>concurrent.futures.TimeoutError</w:t>
            </w:r>
            <w:r>
              <w:t>.</w:t>
              <w:br w:clear="none"/>
              <w:t xml:space="preserve"> You may also optionally specify (by name, only) argument </w:t>
            </w:r>
            <w:r>
              <w:rPr>
                <w:rStyle w:val="Text0"/>
              </w:rPr>
              <w:t>chunksize</w:t>
            </w:r>
            <w:r>
              <w:t xml:space="preserve">: ignored for a </w:t>
            </w:r>
            <w:r>
              <w:rPr>
                <w:rStyle w:val="Text0"/>
              </w:rPr>
              <w:t>ThreadPoolExecutor</w:t>
            </w:r>
            <w:r>
              <w:t xml:space="preserve">; for a </w:t>
            </w:r>
            <w:r>
              <w:rPr>
                <w:rStyle w:val="Text0"/>
              </w:rPr>
              <w:t>ProcessPoolExecutor</w:t>
            </w:r>
            <w:r>
              <w:t xml:space="preserve"> it sets how many items of each iterable in </w:t>
            </w:r>
            <w:r>
              <w:rPr>
                <w:rStyle w:val="Text3"/>
              </w:rPr>
              <w:t>iterables</w:t>
            </w:r>
            <w:r>
              <w:t xml:space="preserve"> are passed to each worker process.</w:t>
            </w:r>
          </w:p>
        </w:tc>
      </w:tr>
    </w:tbl>
    <w:tbl>
      <w:tblPr>
        <w:tblW w:type="auto" w:w="0"/>
      </w:tblPr>
      <w:tr>
        <w:tc>
          <w:tcPr>
            <w:tcW w:type="auto" w:w="0"/>
            <w:shd w:val="clear" w:color="auto" w:fill="EEF2F6"/>
            <w:tcMar>
              <w:left w:type="dxa" w:w="200"/>
              <w:top w:type="dxa" w:w="200"/>
              <w:right w:type="dxa" w:w="200"/>
              <w:bottom w:type="dxa" w:w="200"/>
            </w:tcMar>
          </w:tcPr>
          <w:p>
            <w:pPr>
              <w:pStyle w:val="Para 001"/>
            </w:pPr>
            <w:r>
              <w:t>shutdown</w:t>
            </w:r>
          </w:p>
        </w:tc>
        <w:tc>
          <w:tcPr>
            <w:tcW w:type="auto" w:w="0"/>
            <w:shd w:val="clear" w:color="auto" w:fill="EEF2F6"/>
            <w:tcMar>
              <w:left w:type="dxa" w:w="200"/>
              <w:top w:type="dxa" w:w="200"/>
              <w:right w:type="dxa" w:w="200"/>
              <w:bottom w:type="dxa" w:w="200"/>
            </w:tcMar>
          </w:tcPr>
          <w:p>
            <w:pPr>
              <w:pStyle w:val="Para 002"/>
            </w:pPr>
            <w:r>
              <w:rPr>
                <w:rStyle w:val="Text0"/>
              </w:rPr>
              <w:t>shutdown(wait=</w:t>
            </w:r>
            <w:r>
              <w:rPr>
                <w:rStyle w:val="Text5"/>
              </w:rPr>
              <w:t>True</w:t>
            </w:r>
            <w:r>
              <w:rPr>
                <w:rStyle w:val="Text0"/>
              </w:rPr>
              <w:t>)</w:t>
              <w:br w:clear="none"/>
            </w:r>
            <w:r>
              <w:t xml:space="preserve"> No more calls to </w:t>
            </w:r>
            <w:r>
              <w:rPr>
                <w:rStyle w:val="Text0"/>
              </w:rPr>
              <w:t>map</w:t>
            </w:r>
            <w:r>
              <w:t xml:space="preserve"> or </w:t>
            </w:r>
            <w:r>
              <w:rPr>
                <w:rStyle w:val="Text0"/>
              </w:rPr>
              <w:t>submit</w:t>
            </w:r>
            <w:r>
              <w:t xml:space="preserve"> allowed. When </w:t>
            </w:r>
            <w:r>
              <w:rPr>
                <w:rStyle w:val="Text0"/>
              </w:rPr>
              <w:t>wait</w:t>
            </w:r>
            <w:r>
              <w:t xml:space="preserve"> is </w:t>
            </w:r>
            <w:r>
              <w:rPr>
                <w:rStyle w:val="Text5"/>
              </w:rPr>
              <w:t>True</w:t>
            </w:r>
            <w:r>
              <w:t xml:space="preserve">, </w:t>
            </w:r>
            <w:r>
              <w:rPr>
                <w:rStyle w:val="Text0"/>
              </w:rPr>
              <w:t>shutdown</w:t>
            </w:r>
            <w:r>
              <w:t xml:space="preserve"> blocks until all pending futures are done; when </w:t>
            </w:r>
            <w:r>
              <w:rPr>
                <w:rStyle w:val="Text5"/>
              </w:rPr>
              <w:t>False</w:t>
            </w:r>
            <w:r>
              <w:t xml:space="preserve">, </w:t>
            </w:r>
            <w:r>
              <w:rPr>
                <w:rStyle w:val="Text0"/>
              </w:rPr>
              <w:t>shutdown</w:t>
            </w:r>
            <w:r>
              <w:t xml:space="preserve"> returns immediately. In either case, the process does not terminate until all pending futures are done.</w:t>
            </w:r>
          </w:p>
        </w:tc>
      </w:tr>
    </w:tbl>
    <w:tbl>
      <w:tblPr>
        <w:tblW w:type="auto" w:w="0"/>
      </w:tblPr>
      <w:tr>
        <w:tc>
          <w:tcPr>
            <w:tcW w:type="auto" w:w="0"/>
            <w:tcMar>
              <w:left w:type="dxa" w:w="200"/>
              <w:top w:type="dxa" w:w="200"/>
              <w:right w:type="dxa" w:w="200"/>
              <w:bottom w:type="dxa" w:w="200"/>
            </w:tcMar>
          </w:tcPr>
          <w:p>
            <w:pPr>
              <w:pStyle w:val="Para 001"/>
            </w:pPr>
            <w:r>
              <w:t>submit</w:t>
            </w:r>
          </w:p>
        </w:tc>
        <w:tc>
          <w:tcPr>
            <w:tcW w:type="auto" w:w="0"/>
            <w:tcMar>
              <w:left w:type="dxa" w:w="200"/>
              <w:top w:type="dxa" w:w="200"/>
              <w:right w:type="dxa" w:w="200"/>
              <w:bottom w:type="dxa" w:w="200"/>
            </w:tcMar>
          </w:tcPr>
          <w:p>
            <w:pPr>
              <w:pStyle w:val="Para 002"/>
            </w:pPr>
            <w:r>
              <w:rPr>
                <w:rStyle w:val="Text0"/>
              </w:rPr>
              <w:t>submit(</w:t>
            </w:r>
            <w:r>
              <w:rPr>
                <w:rStyle w:val="Text3"/>
              </w:rPr>
              <w:t>func</w:t>
            </w:r>
            <w:r>
              <w:t xml:space="preserve">, </w:t>
            </w:r>
            <w:r>
              <w:rPr>
                <w:rStyle w:val="Text3"/>
              </w:rPr>
              <w:t>*a</w:t>
            </w:r>
            <w:r>
              <w:t xml:space="preserve">, </w:t>
            </w:r>
            <w:r>
              <w:rPr>
                <w:rStyle w:val="Text3"/>
              </w:rPr>
              <w:t>**k</w:t>
            </w:r>
            <w:r>
              <w:rPr>
                <w:rStyle w:val="Text0"/>
              </w:rPr>
              <w:t>)</w:t>
              <w:br w:clear="none"/>
            </w:r>
            <w:r>
              <w:t xml:space="preserve"> Ensures </w:t>
            </w:r>
            <w:r>
              <w:rPr>
                <w:rStyle w:val="Text3"/>
              </w:rPr>
              <w:t>func</w:t>
            </w:r>
            <w:r>
              <w:rPr>
                <w:rStyle w:val="Text0"/>
              </w:rPr>
              <w:t>(*</w:t>
            </w:r>
            <w:r>
              <w:rPr>
                <w:rStyle w:val="Text3"/>
              </w:rPr>
              <w:t>a</w:t>
            </w:r>
            <w:r>
              <w:t xml:space="preserve">, </w:t>
            </w:r>
            <w:r>
              <w:rPr>
                <w:rStyle w:val="Text3"/>
              </w:rPr>
              <w:t>**k</w:t>
            </w:r>
            <w:r>
              <w:rPr>
                <w:rStyle w:val="Text0"/>
              </w:rPr>
              <w:t>)</w:t>
            </w:r>
            <w:r>
              <w:t xml:space="preserve"> executes on an arbitrary one of the pool’s processes or threads. Does not block, but rather immediately returns a </w:t>
            </w:r>
            <w:r>
              <w:rPr>
                <w:rStyle w:val="Text0"/>
              </w:rPr>
              <w:t>Future</w:t>
            </w:r>
            <w:r>
              <w:t xml:space="preserve"> instance.</w:t>
            </w:r>
          </w:p>
        </w:tc>
      </w:tr>
    </w:tbl>
    <w:p>
      <w:pPr>
        <w:pStyle w:val="Normal"/>
      </w:pPr>
      <w:r>
        <w:t xml:space="preserve">Any instance of an </w:t>
      </w:r>
      <w:r>
        <w:rPr>
          <w:rStyle w:val="Text0"/>
        </w:rPr>
        <w:t>Executor</w:t>
      </w:r>
      <w:r>
        <w:t xml:space="preserve"> is also a context manager, and therefore suitable for use on a </w:t>
      </w:r>
      <w:r>
        <w:rPr>
          <w:rStyle w:val="Text5"/>
        </w:rPr>
        <w:t>with</w:t>
      </w:r>
      <w:r>
        <w:t xml:space="preserve"> statement (</w:t>
      </w:r>
      <w:r>
        <w:rPr>
          <w:rStyle w:val="Text0"/>
        </w:rPr>
        <w:t>__exit__</w:t>
      </w:r>
      <w:r>
        <w:t xml:space="preserve"> being like </w:t>
      </w:r>
      <w:r>
        <w:rPr>
          <w:rStyle w:val="Text0"/>
        </w:rPr>
        <w:t>shutdown(wait=</w:t>
      </w:r>
      <w:r>
        <w:rPr>
          <w:rStyle w:val="Text5"/>
        </w:rPr>
        <w:t>True</w:t>
      </w:r>
      <w:r>
        <w:rPr>
          <w:rStyle w:val="Text0"/>
        </w:rPr>
        <w:t>)</w:t>
      </w:r>
      <w:r>
        <w:t>).</w:t>
      </w:r>
    </w:p>
    <w:p>
      <w:pPr>
        <w:pStyle w:val="Normal"/>
      </w:pPr>
      <w:r>
        <w:t xml:space="preserve">For example, here’s a </w:t>
      </w:r>
      <w:r>
        <w:rPr>
          <w:rStyle w:val="Text0"/>
        </w:rPr>
        <w:t>concurrent</w:t>
      </w:r>
      <w:r>
        <w:t xml:space="preserve">-based approach to perform the same task as in </w:t>
      </w:r>
      <w:hyperlink w:anchor="Example_15_1__Distributing_work">
        <w:r>
          <w:rPr>
            <w:rStyle w:val="Text1"/>
          </w:rPr>
          <w:t>Example 15-1</w:t>
        </w:r>
      </w:hyperlink>
      <w:r>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concurrent</w:t>
        <w:br w:clear="none"/>
        <w:t xml:space="preserve">.</w:t>
        <w:br w:clear="none"/>
        <w:t xml:space="preserve">futures</w:t>
        <w:br w:clear="none"/>
      </w:r>
      <w:r>
        <w:rPr>
          <w:rStyle w:val="Text6"/>
        </w:rPr>
        <w:t xml:space="preserve"> </w:t>
        <w:br w:clear="none"/>
      </w:r>
      <w:r>
        <w:rPr>
          <w:rStyle w:val="Text10"/>
        </w:rPr>
        <w:t xml:space="preserve">as</w:t>
        <w:br w:clear="none"/>
      </w:r>
      <w:r>
        <w:rPr>
          <w:rStyle w:val="Text6"/>
        </w:rPr>
        <w:t xml:space="preserve"> </w:t>
        <w:br w:clear="none"/>
      </w:r>
      <w:r>
        <w:rPr>
          <w:rStyle w:val="Text20"/>
        </w:rPr>
        <w:t xml:space="preserve">cf</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"""run a long time and eventually return a result"""</w:t>
        <w:br w:clear="none"/>
      </w:r>
      <w:r>
        <w:rPr>
          <w:rStyle w:val="Text6"/>
        </w:rPr>
        <w:t xml:space="preserve"/>
        <w:br w:clear="none"/>
        <w:t xml:space="preserve">    </w:t>
        <w:br w:clear="none"/>
      </w:r>
      <w:r>
        <w:rPr>
          <w:rStyle w:val="Text15"/>
        </w:rPr>
        <w:t xml:space="preserve"># ...</w:t>
        <w:br w:clear="none"/>
      </w:r>
      <w:r>
        <w:rPr>
          <w:rStyle w:val="Text26"/>
        </w:rPr>
        <w:t xml:space="preserve"> </w:t>
        <w:br w:clear="none"/>
      </w:r>
      <w:r>
        <w:rPr>
          <w:rStyle w:val="Text15"/>
        </w:rPr>
        <w:t xml:space="preserve">like before!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runner</w:t>
        <w:br w:clear="none"/>
      </w:r>
      <w:r>
        <w:rPr>
          <w:rStyle w:val="Text7"/>
        </w:rPr>
        <w:t xml:space="preserve">(</w:t>
        <w:br w:clear="none"/>
      </w:r>
      <w:r>
        <w:t xml:space="preserve">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s</w:t>
        <w:br w:clear="none"/>
      </w:r>
      <w:r>
        <w:rPr>
          <w:rStyle w:val="Text7"/>
        </w:rPr>
        <w:t xml:space="preserve">,</w:t>
        <w:br w:clear="none"/>
      </w:r>
      <w:r>
        <w:rPr>
          <w:rStyle w:val="Text6"/>
        </w:rPr>
        <w:t xml:space="preserve"> </w:t>
        <w:br w:clear="none"/>
      </w:r>
      <w:r>
        <w:t xml:space="preserve">f</w:t>
        <w:br w:clear="none"/>
      </w:r>
      <w:r>
        <w:rPr>
          <w:rStyle w:val="Text7"/>
        </w:rPr>
        <w:t xml:space="preserve">(</w:t>
        <w:br w:clear="none"/>
      </w:r>
      <w:r>
        <w:t xml:space="preserve">s</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make_dict</w:t>
        <w:br w:clear="none"/>
      </w:r>
      <w:r>
        <w:rPr>
          <w:rStyle w:val="Text7"/>
        </w:rPr>
        <w:t xml:space="preserve">(</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cf</w:t>
        <w:br w:clear="none"/>
      </w:r>
      <w:r>
        <w:rPr>
          <w:rStyle w:val="Text13"/>
        </w:rPr>
        <w:t xml:space="preserve">.</w:t>
        <w:br w:clear="none"/>
      </w:r>
      <w:r>
        <w:t xml:space="preserve">ProcessPoolExecutor</w:t>
        <w:br w:clear="none"/>
      </w:r>
      <w:r>
        <w:rPr>
          <w:rStyle w:val="Text7"/>
        </w:rPr>
        <w:t xml:space="preserve">(</w:t>
        <w:br w:clear="none"/>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e</w:t>
        <w:br w:clear="none"/>
      </w:r>
      <w:r>
        <w:rPr>
          <w:rStyle w:val="Text7"/>
        </w:rPr>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dict</w:t>
        <w:br w:clear="none"/>
      </w:r>
      <w:r>
        <w:rPr>
          <w:rStyle w:val="Text7"/>
        </w:rPr>
        <w:t xml:space="preserve">(</w:t>
        <w:br w:clear="none"/>
      </w:r>
      <w:r>
        <w:t xml:space="preserve">e</w:t>
        <w:br w:clear="none"/>
      </w:r>
      <w:r>
        <w:rPr>
          <w:rStyle w:val="Text13"/>
        </w:rPr>
        <w:t xml:space="preserve">.</w:t>
        <w:br w:clear="none"/>
      </w:r>
      <w:r>
        <w:t xml:space="preserve">map</w:t>
        <w:br w:clear="none"/>
      </w:r>
      <w:r>
        <w:rPr>
          <w:rStyle w:val="Text7"/>
        </w:rPr>
        <w:t xml:space="preserve">(</w:t>
        <w:br w:clear="none"/>
      </w:r>
      <w:r>
        <w:t xml:space="preserve">runner</w:t>
        <w:br w:clear="none"/>
      </w:r>
      <w:r>
        <w:rPr>
          <w:rStyle w:val="Text7"/>
        </w:rPr>
        <w:t xml:space="preserve">,</w:t>
        <w:br w:clear="none"/>
      </w:r>
      <w:r>
        <w:rPr>
          <w:rStyle w:val="Text6"/>
        </w:rPr>
        <w:t xml:space="preserve"> </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w:t>
        <w:br w:clear="none"/>
      </w:r>
    </w:p>
    <w:p>
      <w:pPr>
        <w:pStyle w:val="Normal"/>
      </w:pPr>
      <w:r>
        <w:t>The</w:t>
      </w:r>
      <w:r>
        <w:rPr>
          <w:rStyle w:val="Text111"/>
        </w:rPr>
        <w:bookmarkStart w:id="3459" w:name="idm45965190495296"/>
        <w:t/>
        <w:bookmarkEnd w:id="3459"/>
      </w:r>
      <w:r>
        <w:t xml:space="preserve"> </w:t>
      </w:r>
      <w:r>
        <w:rPr>
          <w:rStyle w:val="Text0"/>
        </w:rPr>
        <w:t>submit</w:t>
      </w:r>
      <w:r>
        <w:t xml:space="preserve"> method of an </w:t>
      </w:r>
      <w:r>
        <w:rPr>
          <w:rStyle w:val="Text0"/>
        </w:rPr>
        <w:t>Executor</w:t>
      </w:r>
      <w:r>
        <w:t xml:space="preserve"> returns a </w:t>
      </w:r>
      <w:r>
        <w:rPr>
          <w:rStyle w:val="Text0"/>
        </w:rPr>
        <w:t>Future</w:t>
      </w:r>
      <w:r>
        <w:t xml:space="preserve"> instance. A </w:t>
      </w:r>
      <w:r>
        <w:rPr>
          <w:rStyle w:val="Text0"/>
        </w:rPr>
        <w:t>Future</w:t>
      </w:r>
      <w:r>
        <w:t xml:space="preserve"> instance </w:t>
      </w:r>
      <w:r>
        <w:rPr>
          <w:rStyle w:val="Text3"/>
        </w:rPr>
        <w:t>f</w:t>
      </w:r>
      <w:r>
        <w:t xml:space="preserve"> supplies the methods described in </w:t>
      </w:r>
      <w:hyperlink w:anchor="Table_15_15__Methods_of_an_insta">
        <w:r>
          <w:rPr>
            <w:rStyle w:val="Text1"/>
          </w:rPr>
          <w:t>Table 15-15</w:t>
        </w:r>
      </w:hyperlink>
      <w:r>
        <w:t>.</w:t>
      </w:r>
    </w:p>
    <w:tbl>
      <w:tblPr>
        <w:tblW w:type="auto" w:w="0"/>
      </w:tblPr>
      <w:tr>
        <w:tc>
          <w:tcPr>
            <w:tcW w:type="auto" w:w="0"/>
            <w:tcMar>
              <w:left w:type="dxa" w:w="200"/>
              <w:top w:type="dxa" w:w="200"/>
              <w:right w:type="dxa" w:w="200"/>
              <w:bottom w:type="dxa" w:w="200"/>
            </w:tcMar>
          </w:tcPr>
          <w:p>
            <w:bookmarkStart w:id="3460" w:name="Table_15_15__Methods_of_an_insta"/>
            <w:pPr>
              <w:pStyle w:val="Para 011"/>
            </w:pPr>
            <w:r>
              <w:rPr>
                <w:rStyle w:val="Text117"/>
              </w:rPr>
              <w:t/>
            </w:r>
            <w:r>
              <w:t xml:space="preserve">Table 15-15. </w:t>
              <w:t xml:space="preserve">Methods of an instance </w:t>
            </w:r>
            <w:r>
              <w:rPr>
                <w:rStyle w:val="Text0"/>
              </w:rPr>
              <w:t>f</w:t>
            </w:r>
            <w:r>
              <w:t xml:space="preserve"> of class </w:t>
            </w:r>
            <w:r>
              <w:rPr>
                <w:rStyle w:val="Text0"/>
              </w:rPr>
              <w:t>Future</w:t>
            </w:r>
            <w:bookmarkEnd w:id="3460"/>
          </w:p>
          <w:p>
            <w:pPr>
              <w:pStyle w:val="Para 001"/>
            </w:pPr>
            <w:r>
              <w:t>add_do⁠n⁠e⁠_​c⁠a⁠l⁠lback</w:t>
            </w:r>
          </w:p>
        </w:tc>
        <w:tc>
          <w:tcPr>
            <w:tcW w:type="auto" w:w="0"/>
            <w:tcMar>
              <w:left w:type="dxa" w:w="200"/>
              <w:top w:type="dxa" w:w="200"/>
              <w:right w:type="dxa" w:w="200"/>
              <w:bottom w:type="dxa" w:w="200"/>
            </w:tcMar>
          </w:tcPr>
          <w:p>
            <w:pPr>
              <w:pStyle w:val="Para 002"/>
            </w:pPr>
            <w:r>
              <w:rPr>
                <w:rStyle w:val="Text0"/>
              </w:rPr>
              <w:t>add_done_callback(</w:t>
            </w:r>
            <w:r>
              <w:rPr>
                <w:rStyle w:val="Text3"/>
              </w:rPr>
              <w:t>func</w:t>
            </w:r>
            <w:r>
              <w:rPr>
                <w:rStyle w:val="Text0"/>
              </w:rPr>
              <w:t>)</w:t>
              <w:br w:clear="none"/>
            </w:r>
            <w:r>
              <w:t xml:space="preserve"> Adds callable </w:t>
            </w:r>
            <w:r>
              <w:rPr>
                <w:rStyle w:val="Text3"/>
              </w:rPr>
              <w:t>func</w:t>
            </w:r>
            <w:r>
              <w:t xml:space="preserve"> to </w:t>
            </w:r>
            <w:r>
              <w:rPr>
                <w:rStyle w:val="Text3"/>
              </w:rPr>
              <w:t>f</w:t>
            </w:r>
            <w:r>
              <w:t xml:space="preserve">; </w:t>
            </w:r>
            <w:r>
              <w:rPr>
                <w:rStyle w:val="Text3"/>
              </w:rPr>
              <w:t>func</w:t>
            </w:r>
            <w:r>
              <w:t xml:space="preserve"> gets called, with </w:t>
            </w:r>
            <w:r>
              <w:rPr>
                <w:rStyle w:val="Text3"/>
              </w:rPr>
              <w:t>f</w:t>
            </w:r>
            <w:r>
              <w:t xml:space="preserve"> as the only argument, when </w:t>
            </w:r>
            <w:r>
              <w:rPr>
                <w:rStyle w:val="Text3"/>
              </w:rPr>
              <w:t>f</w:t>
            </w:r>
            <w:r>
              <w:t xml:space="preserve"> completes (i.e., is canceled, or finishes).</w:t>
            </w:r>
          </w:p>
        </w:tc>
      </w:tr>
    </w:tbl>
    <w:tbl>
      <w:tblPr>
        <w:tblW w:type="auto" w:w="0"/>
      </w:tblPr>
      <w:tr>
        <w:tc>
          <w:tcPr>
            <w:tcW w:type="auto" w:w="0"/>
            <w:shd w:val="clear" w:color="auto" w:fill="EEF2F6"/>
            <w:tcMar>
              <w:left w:type="dxa" w:w="200"/>
              <w:top w:type="dxa" w:w="200"/>
              <w:right w:type="dxa" w:w="200"/>
              <w:bottom w:type="dxa" w:w="200"/>
            </w:tcMar>
          </w:tcPr>
          <w:p>
            <w:pPr>
              <w:pStyle w:val="Para 001"/>
            </w:pPr>
            <w:r>
              <w:t>cancel</w:t>
            </w:r>
          </w:p>
        </w:tc>
        <w:tc>
          <w:tcPr>
            <w:tcW w:type="auto" w:w="0"/>
            <w:shd w:val="clear" w:color="auto" w:fill="EEF2F6"/>
            <w:tcMar>
              <w:left w:type="dxa" w:w="200"/>
              <w:top w:type="dxa" w:w="200"/>
              <w:right w:type="dxa" w:w="200"/>
              <w:bottom w:type="dxa" w:w="200"/>
            </w:tcMar>
          </w:tcPr>
          <w:p>
            <w:pPr>
              <w:pStyle w:val="Para 002"/>
            </w:pPr>
            <w:r>
              <w:rPr>
                <w:rStyle w:val="Text0"/>
              </w:rPr>
              <w:t>cancel()</w:t>
              <w:br w:clear="none"/>
            </w:r>
            <w:r>
              <w:t xml:space="preserve"> Tries canceling the call. Returns </w:t>
            </w:r>
            <w:r>
              <w:rPr>
                <w:rStyle w:val="Text5"/>
              </w:rPr>
              <w:t>False</w:t>
            </w:r>
            <w:r>
              <w:t xml:space="preserve"> when the call is being executed and cannot be canceled; otherwise, returns </w:t>
            </w:r>
            <w:r>
              <w:rPr>
                <w:rStyle w:val="Text5"/>
              </w:rPr>
              <w:t>True</w:t>
            </w:r>
            <w:r>
              <w:t>.</w:t>
            </w:r>
          </w:p>
        </w:tc>
      </w:tr>
    </w:tbl>
    <w:tbl>
      <w:tblPr>
        <w:tblW w:type="auto" w:w="0"/>
      </w:tblPr>
      <w:tr>
        <w:tc>
          <w:tcPr>
            <w:tcW w:type="auto" w:w="0"/>
            <w:tcMar>
              <w:left w:type="dxa" w:w="200"/>
              <w:top w:type="dxa" w:w="200"/>
              <w:right w:type="dxa" w:w="200"/>
              <w:bottom w:type="dxa" w:w="200"/>
            </w:tcMar>
          </w:tcPr>
          <w:p>
            <w:pPr>
              <w:pStyle w:val="Para 001"/>
            </w:pPr>
            <w:r>
              <w:t>cancelled</w:t>
            </w:r>
          </w:p>
        </w:tc>
        <w:tc>
          <w:tcPr>
            <w:tcW w:type="auto" w:w="0"/>
            <w:tcMar>
              <w:left w:type="dxa" w:w="200"/>
              <w:top w:type="dxa" w:w="200"/>
              <w:right w:type="dxa" w:w="200"/>
              <w:bottom w:type="dxa" w:w="200"/>
            </w:tcMar>
          </w:tcPr>
          <w:p>
            <w:pPr>
              <w:pStyle w:val="Para 002"/>
            </w:pPr>
            <w:r>
              <w:rPr>
                <w:rStyle w:val="Text0"/>
              </w:rPr>
              <w:t>cancelled()</w:t>
              <w:br w:clear="none"/>
            </w:r>
            <w:r>
              <w:t xml:space="preserve"> Returns </w:t>
            </w:r>
            <w:r>
              <w:rPr>
                <w:rStyle w:val="Text5"/>
              </w:rPr>
              <w:t>True</w:t>
            </w:r>
            <w:r>
              <w:t xml:space="preserve"> if the call was successfully canceled;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done</w:t>
            </w:r>
          </w:p>
        </w:tc>
        <w:tc>
          <w:tcPr>
            <w:tcW w:type="auto" w:w="0"/>
            <w:shd w:val="clear" w:color="auto" w:fill="EEF2F6"/>
            <w:tcMar>
              <w:left w:type="dxa" w:w="200"/>
              <w:top w:type="dxa" w:w="200"/>
              <w:right w:type="dxa" w:w="200"/>
              <w:bottom w:type="dxa" w:w="200"/>
            </w:tcMar>
          </w:tcPr>
          <w:p>
            <w:pPr>
              <w:pStyle w:val="Para 002"/>
            </w:pPr>
            <w:r>
              <w:rPr>
                <w:rStyle w:val="Text0"/>
              </w:rPr>
              <w:t>done()</w:t>
              <w:br w:clear="none"/>
            </w:r>
            <w:r>
              <w:t xml:space="preserve"> Returns </w:t>
            </w:r>
            <w:r>
              <w:rPr>
                <w:rStyle w:val="Text5"/>
              </w:rPr>
              <w:t>True</w:t>
            </w:r>
            <w:r>
              <w:t xml:space="preserve"> when the call is completed (i.e., finished, or successfully canceled).</w:t>
            </w:r>
          </w:p>
        </w:tc>
      </w:tr>
    </w:tbl>
    <w:tbl>
      <w:tblPr>
        <w:tblW w:type="auto" w:w="0"/>
      </w:tblPr>
      <w:tr>
        <w:tc>
          <w:tcPr>
            <w:tcW w:type="auto" w:w="0"/>
            <w:tcMar>
              <w:left w:type="dxa" w:w="200"/>
              <w:top w:type="dxa" w:w="200"/>
              <w:right w:type="dxa" w:w="200"/>
              <w:bottom w:type="dxa" w:w="200"/>
            </w:tcMar>
          </w:tcPr>
          <w:p>
            <w:pPr>
              <w:pStyle w:val="Para 001"/>
            </w:pPr>
            <w:r>
              <w:t>exception</w:t>
            </w:r>
          </w:p>
        </w:tc>
        <w:tc>
          <w:tcPr>
            <w:tcW w:type="auto" w:w="0"/>
            <w:tcMar>
              <w:left w:type="dxa" w:w="200"/>
              <w:top w:type="dxa" w:w="200"/>
              <w:right w:type="dxa" w:w="200"/>
              <w:bottom w:type="dxa" w:w="200"/>
            </w:tcMar>
          </w:tcPr>
          <w:p>
            <w:pPr>
              <w:pStyle w:val="Para 002"/>
            </w:pPr>
            <w:r>
              <w:rPr>
                <w:rStyle w:val="Text0"/>
              </w:rPr>
              <w:t>exception(timeout=</w:t>
            </w:r>
            <w:r>
              <w:rPr>
                <w:rStyle w:val="Text5"/>
              </w:rPr>
              <w:t>None</w:t>
            </w:r>
            <w:r>
              <w:rPr>
                <w:rStyle w:val="Text0"/>
              </w:rPr>
              <w:t>)</w:t>
              <w:br w:clear="none"/>
            </w:r>
            <w:r>
              <w:t xml:space="preserve"> Returns the exception raised by the call, or </w:t>
            </w:r>
            <w:r>
              <w:rPr>
                <w:rStyle w:val="Text5"/>
              </w:rPr>
              <w:t>None</w:t>
            </w:r>
            <w:r>
              <w:t xml:space="preserve"> if the call raised no exception. When </w:t>
            </w:r>
            <w:r>
              <w:rPr>
                <w:rStyle w:val="Text0"/>
              </w:rPr>
              <w:t>timeout</w:t>
            </w:r>
            <w:r>
              <w:t xml:space="preserve"> is not </w:t>
            </w:r>
            <w:r>
              <w:rPr>
                <w:rStyle w:val="Text5"/>
              </w:rPr>
              <w:t>None</w:t>
            </w:r>
            <w:r>
              <w:t xml:space="preserve">, it’s a </w:t>
            </w:r>
            <w:r>
              <w:rPr>
                <w:rStyle w:val="Text0"/>
              </w:rPr>
              <w:t>float</w:t>
            </w:r>
            <w:r>
              <w:t xml:space="preserve"> number of seconds to wait. If the call hasn’t completed after </w:t>
            </w:r>
            <w:r>
              <w:rPr>
                <w:rStyle w:val="Text0"/>
              </w:rPr>
              <w:t>timeout</w:t>
            </w:r>
            <w:r>
              <w:t xml:space="preserve"> seconds, </w:t>
            </w:r>
            <w:r>
              <w:rPr>
                <w:rStyle w:val="Text0"/>
              </w:rPr>
              <w:t>exception</w:t>
            </w:r>
            <w:r>
              <w:t xml:space="preserve"> raises </w:t>
            </w:r>
            <w:r>
              <w:rPr>
                <w:rStyle w:val="Text0"/>
              </w:rPr>
              <w:t>concurrent.futures.TimeoutError</w:t>
            </w:r>
            <w:r>
              <w:t xml:space="preserve">; if the call is canceled, </w:t>
            </w:r>
            <w:r>
              <w:rPr>
                <w:rStyle w:val="Text0"/>
              </w:rPr>
              <w:t>exception</w:t>
            </w:r>
            <w:r>
              <w:t xml:space="preserve"> raises </w:t>
            </w:r>
            <w:r>
              <w:rPr>
                <w:rStyle w:val="Text0"/>
              </w:rPr>
              <w:t>concurrent.futures.CancelledError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result</w:t>
            </w:r>
          </w:p>
        </w:tc>
        <w:tc>
          <w:tcPr>
            <w:tcW w:type="auto" w:w="0"/>
            <w:shd w:val="clear" w:color="auto" w:fill="EEF2F6"/>
            <w:tcMar>
              <w:left w:type="dxa" w:w="200"/>
              <w:top w:type="dxa" w:w="200"/>
              <w:right w:type="dxa" w:w="200"/>
              <w:bottom w:type="dxa" w:w="200"/>
            </w:tcMar>
          </w:tcPr>
          <w:p>
            <w:pPr>
              <w:pStyle w:val="Para 002"/>
            </w:pPr>
            <w:r>
              <w:rPr>
                <w:rStyle w:val="Text0"/>
              </w:rPr>
              <w:t>result(timeout=</w:t>
            </w:r>
            <w:r>
              <w:rPr>
                <w:rStyle w:val="Text5"/>
              </w:rPr>
              <w:t>None</w:t>
            </w:r>
            <w:r>
              <w:rPr>
                <w:rStyle w:val="Text0"/>
              </w:rPr>
              <w:t>)</w:t>
              <w:br w:clear="none"/>
            </w:r>
            <w:r>
              <w:t xml:space="preserve"> Returns the call’s result. When </w:t>
            </w:r>
            <w:r>
              <w:rPr>
                <w:rStyle w:val="Text0"/>
              </w:rPr>
              <w:t>timeout</w:t>
            </w:r>
            <w:r>
              <w:t xml:space="preserve"> is not </w:t>
            </w:r>
            <w:r>
              <w:rPr>
                <w:rStyle w:val="Text5"/>
              </w:rPr>
              <w:t>None</w:t>
            </w:r>
            <w:r>
              <w:t xml:space="preserve">, it’s a </w:t>
            </w:r>
            <w:r>
              <w:rPr>
                <w:rStyle w:val="Text0"/>
              </w:rPr>
              <w:t>float</w:t>
            </w:r>
            <w:r>
              <w:t xml:space="preserve"> number of seconds. If the call hasn’t completed within </w:t>
            </w:r>
            <w:r>
              <w:rPr>
                <w:rStyle w:val="Text0"/>
              </w:rPr>
              <w:t>timeout</w:t>
            </w:r>
            <w:r>
              <w:t xml:space="preserve"> seconds, </w:t>
            </w:r>
            <w:r>
              <w:rPr>
                <w:rStyle w:val="Text0"/>
              </w:rPr>
              <w:t>result</w:t>
            </w:r>
            <w:r>
              <w:t xml:space="preserve"> raises </w:t>
            </w:r>
            <w:r>
              <w:rPr>
                <w:rStyle w:val="Text0"/>
              </w:rPr>
              <w:t>concurrent.futures.TimeoutError</w:t>
            </w:r>
            <w:r>
              <w:t xml:space="preserve">; if the call is canceled, </w:t>
            </w:r>
            <w:r>
              <w:rPr>
                <w:rStyle w:val="Text0"/>
              </w:rPr>
              <w:t>result</w:t>
            </w:r>
            <w:r>
              <w:t xml:space="preserve"> raises </w:t>
            </w:r>
            <w:r>
              <w:rPr>
                <w:rStyle w:val="Text0"/>
              </w:rPr>
              <w:t>concurrent.futures.CancelledError</w:t>
            </w:r>
            <w:r>
              <w:t>.</w:t>
            </w:r>
          </w:p>
        </w:tc>
      </w:tr>
    </w:tbl>
    <w:tbl>
      <w:tblPr>
        <w:tblW w:type="auto" w:w="0"/>
      </w:tblPr>
      <w:tr>
        <w:tc>
          <w:tcPr>
            <w:tcW w:type="auto" w:w="0"/>
            <w:tcMar>
              <w:left w:type="dxa" w:w="200"/>
              <w:top w:type="dxa" w:w="200"/>
              <w:right w:type="dxa" w:w="200"/>
              <w:bottom w:type="dxa" w:w="200"/>
            </w:tcMar>
          </w:tcPr>
          <w:p>
            <w:pPr>
              <w:pStyle w:val="Para 001"/>
            </w:pPr>
            <w:r>
              <w:t>running</w:t>
            </w:r>
          </w:p>
        </w:tc>
        <w:tc>
          <w:tcPr>
            <w:tcW w:type="auto" w:w="0"/>
            <w:tcMar>
              <w:left w:type="dxa" w:w="200"/>
              <w:top w:type="dxa" w:w="200"/>
              <w:right w:type="dxa" w:w="200"/>
              <w:bottom w:type="dxa" w:w="200"/>
            </w:tcMar>
          </w:tcPr>
          <w:p>
            <w:pPr>
              <w:pStyle w:val="Para 002"/>
            </w:pPr>
            <w:r>
              <w:rPr>
                <w:rStyle w:val="Text0"/>
              </w:rPr>
              <w:t>running()</w:t>
              <w:br w:clear="none"/>
            </w:r>
            <w:r>
              <w:t xml:space="preserve"> Returns </w:t>
            </w:r>
            <w:r>
              <w:rPr>
                <w:rStyle w:val="Text5"/>
              </w:rPr>
              <w:t>True</w:t>
            </w:r>
            <w:r>
              <w:t xml:space="preserve"> when the call is executing and cannot be canceled; otherwise, returns </w:t>
            </w:r>
            <w:r>
              <w:rPr>
                <w:rStyle w:val="Text5"/>
              </w:rPr>
              <w:t>False</w:t>
            </w:r>
            <w:r>
              <w:t>.</w:t>
            </w:r>
          </w:p>
        </w:tc>
      </w:tr>
    </w:tbl>
    <w:p>
      <w:pPr>
        <w:pStyle w:val="Normal"/>
      </w:pPr>
      <w:r>
        <w:t xml:space="preserve">The </w:t>
      </w:r>
      <w:r>
        <w:rPr>
          <w:rStyle w:val="Text0"/>
        </w:rPr>
        <w:t>concurrent.futures</w:t>
      </w:r>
      <w:r>
        <w:t xml:space="preserve"> module also supplies two functions, detailed in </w:t>
      </w:r>
      <w:hyperlink w:anchor="Table_15_16__Functions_of_the_co">
        <w:r>
          <w:rPr>
            <w:rStyle w:val="Text1"/>
          </w:rPr>
          <w:t>Table 15-16</w:t>
        </w:r>
      </w:hyperlink>
      <w:r>
        <w:t>.</w:t>
      </w:r>
    </w:p>
    <w:tbl>
      <w:tblPr>
        <w:tblW w:type="auto" w:w="0"/>
      </w:tblPr>
      <w:tr>
        <w:tc>
          <w:tcPr>
            <w:tcW w:type="pct" w:w="1000"/>
            <w:tcMar>
              <w:left w:type="dxa" w:w="200"/>
              <w:top w:type="dxa" w:w="200"/>
              <w:right w:type="dxa" w:w="200"/>
              <w:bottom w:type="dxa" w:w="200"/>
            </w:tcMar>
          </w:tcPr>
          <w:p>
            <w:bookmarkStart w:id="3461" w:name="Table_15_16__Functions_of_the_co"/>
            <w:pPr>
              <w:pStyle w:val="Para 011"/>
            </w:pPr>
            <w:r>
              <w:rPr>
                <w:rStyle w:val="Text117"/>
              </w:rPr>
              <w:t/>
            </w:r>
            <w:r>
              <w:t xml:space="preserve">Table 15-16. </w:t>
              <w:t xml:space="preserve">Functions of the </w:t>
            </w:r>
            <w:r>
              <w:rPr>
                <w:rStyle w:val="Text0"/>
              </w:rPr>
              <w:t>concurrent.futures</w:t>
            </w:r>
            <w:r>
              <w:t xml:space="preserve"> module</w:t>
            </w:r>
            <w:bookmarkEnd w:id="3461"/>
          </w:p>
          <w:p>
            <w:pPr>
              <w:pStyle w:val="Para 001"/>
            </w:pPr>
            <w:r>
              <w:t>a⁠s⁠_​c⁠o⁠m⁠pleted</w:t>
            </w:r>
          </w:p>
        </w:tc>
        <w:tc>
          <w:tcPr>
            <w:tcW w:type="auto" w:w="0"/>
            <w:tcMar>
              <w:left w:type="dxa" w:w="200"/>
              <w:top w:type="dxa" w:w="200"/>
              <w:right w:type="dxa" w:w="200"/>
              <w:bottom w:type="dxa" w:w="200"/>
            </w:tcMar>
          </w:tcPr>
          <w:p>
            <w:pPr>
              <w:pStyle w:val="Para 002"/>
            </w:pPr>
            <w:r>
              <w:rPr>
                <w:rStyle w:val="Text0"/>
              </w:rPr>
              <w:t>as_completed(</w:t>
            </w:r>
            <w:r>
              <w:rPr>
                <w:rStyle w:val="Text3"/>
              </w:rPr>
              <w:t>fs</w:t>
            </w:r>
            <w:r>
              <w:rPr>
                <w:rStyle w:val="Text0"/>
              </w:rPr>
              <w:t>, timeout=</w:t>
            </w:r>
            <w:r>
              <w:rPr>
                <w:rStyle w:val="Text5"/>
              </w:rPr>
              <w:t>None</w:t>
            </w:r>
            <w:r>
              <w:rPr>
                <w:rStyle w:val="Text0"/>
              </w:rPr>
              <w:t>)</w:t>
              <w:br w:clear="none"/>
            </w:r>
            <w:r>
              <w:t xml:space="preserve"> Returns an iterator </w:t>
            </w:r>
            <w:r>
              <w:rPr>
                <w:rStyle w:val="Text3"/>
              </w:rPr>
              <w:t>it</w:t>
            </w:r>
            <w:r>
              <w:t xml:space="preserve"> over the </w:t>
            </w:r>
            <w:r>
              <w:rPr>
                <w:rStyle w:val="Text0"/>
              </w:rPr>
              <w:t>Future</w:t>
            </w:r>
            <w:r>
              <w:t xml:space="preserve"> instances that are the items of iterable </w:t>
            </w:r>
            <w:r>
              <w:rPr>
                <w:rStyle w:val="Text3"/>
              </w:rPr>
              <w:t>fs</w:t>
            </w:r>
            <w:r>
              <w:t xml:space="preserve">. If there are duplicates in </w:t>
            </w:r>
            <w:r>
              <w:rPr>
                <w:rStyle w:val="Text3"/>
              </w:rPr>
              <w:t>fs</w:t>
            </w:r>
            <w:r>
              <w:t xml:space="preserve">, each gets yielded just once. </w:t>
            </w:r>
            <w:r>
              <w:rPr>
                <w:rStyle w:val="Text3"/>
              </w:rPr>
              <w:t>it</w:t>
            </w:r>
            <w:r>
              <w:t xml:space="preserve"> yields one completed future at a time, in order, as they complete. If </w:t>
            </w:r>
            <w:r>
              <w:rPr>
                <w:rStyle w:val="Text0"/>
              </w:rPr>
              <w:t>timeout</w:t>
            </w:r>
            <w:r>
              <w:t xml:space="preserve"> is not </w:t>
            </w:r>
            <w:r>
              <w:rPr>
                <w:rStyle w:val="Text5"/>
              </w:rPr>
              <w:t>None</w:t>
            </w:r>
            <w:r>
              <w:t xml:space="preserve">, it’s a </w:t>
            </w:r>
            <w:r>
              <w:rPr>
                <w:rStyle w:val="Text0"/>
              </w:rPr>
              <w:t>float</w:t>
            </w:r>
            <w:r>
              <w:t xml:space="preserve"> number of seconds; should it ever happen that no new future can yet be yielded within </w:t>
            </w:r>
            <w:r>
              <w:rPr>
                <w:rStyle w:val="Text0"/>
              </w:rPr>
              <w:t>timeout</w:t>
            </w:r>
            <w:r>
              <w:t xml:space="preserve"> seconds from the previous one, </w:t>
            </w:r>
            <w:r>
              <w:rPr>
                <w:rStyle w:val="Text0"/>
              </w:rPr>
              <w:t>as_completed</w:t>
            </w:r>
            <w:r>
              <w:t xml:space="preserve"> raises </w:t>
            </w:r>
            <w:r>
              <w:rPr>
                <w:rStyle w:val="Text0"/>
              </w:rPr>
              <w:t>concurrent.futures.Timeout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wait</w:t>
            </w:r>
          </w:p>
        </w:tc>
        <w:tc>
          <w:tcPr>
            <w:tcW w:type="auto" w:w="0"/>
            <w:shd w:val="clear" w:color="auto" w:fill="EEF2F6"/>
            <w:tcMar>
              <w:left w:type="dxa" w:w="200"/>
              <w:top w:type="dxa" w:w="200"/>
              <w:right w:type="dxa" w:w="200"/>
              <w:bottom w:type="dxa" w:w="200"/>
            </w:tcMar>
          </w:tcPr>
          <w:p>
            <w:pPr>
              <w:pStyle w:val="Para 002"/>
            </w:pPr>
            <w:r>
              <w:rPr>
                <w:rStyle w:val="Text0"/>
              </w:rPr>
              <w:t>wait(</w:t>
            </w:r>
            <w:r>
              <w:rPr>
                <w:rStyle w:val="Text3"/>
              </w:rPr>
              <w:t>fs</w:t>
            </w:r>
            <w:r>
              <w:rPr>
                <w:rStyle w:val="Text0"/>
              </w:rPr>
              <w:t>, timeout=</w:t>
            </w:r>
            <w:r>
              <w:rPr>
                <w:rStyle w:val="Text5"/>
              </w:rPr>
              <w:t>None</w:t>
            </w:r>
            <w:r>
              <w:rPr>
                <w:rStyle w:val="Text0"/>
              </w:rPr>
              <w:t>, return_when=ALL_COMPLETED)</w:t>
              <w:br w:clear="none"/>
            </w:r>
            <w:r>
              <w:t xml:space="preserve"> Waits for the </w:t>
            </w:r>
            <w:r>
              <w:rPr>
                <w:rStyle w:val="Text0"/>
              </w:rPr>
              <w:t>Future</w:t>
            </w:r>
            <w:r>
              <w:t xml:space="preserve"> instances that are the items of iterable </w:t>
            </w:r>
            <w:r>
              <w:rPr>
                <w:rStyle w:val="Text3"/>
              </w:rPr>
              <w:t>fs</w:t>
            </w:r>
            <w:r>
              <w:t xml:space="preserve">. Returns a named 2-tuple of </w:t>
            </w:r>
            <w:r>
              <w:rPr>
                <w:rStyle w:val="Text0"/>
              </w:rPr>
              <w:t>set</w:t>
            </w:r>
            <w:r>
              <w:t xml:space="preserve">s: the first </w:t>
            </w:r>
            <w:r>
              <w:rPr>
                <w:rStyle w:val="Text0"/>
              </w:rPr>
              <w:t>set</w:t>
            </w:r>
            <w:r>
              <w:t xml:space="preserve">, named </w:t>
            </w:r>
            <w:r>
              <w:rPr>
                <w:rStyle w:val="Text0"/>
              </w:rPr>
              <w:t>done</w:t>
            </w:r>
            <w:r>
              <w:t xml:space="preserve">, contains the futures that completed (meaning that they either finished or were canceled) before </w:t>
            </w:r>
            <w:r>
              <w:rPr>
                <w:rStyle w:val="Text0"/>
              </w:rPr>
              <w:t>wait</w:t>
            </w:r>
            <w:r>
              <w:t xml:space="preserve"> returned; the second </w:t>
            </w:r>
            <w:r>
              <w:rPr>
                <w:rStyle w:val="Text0"/>
              </w:rPr>
              <w:t>set</w:t>
            </w:r>
            <w:r>
              <w:t xml:space="preserve">, named </w:t>
            </w:r>
            <w:r>
              <w:rPr>
                <w:rStyle w:val="Text0"/>
              </w:rPr>
              <w:t>not_done</w:t>
            </w:r>
            <w:r>
              <w:t>, contains as-yet-uncompleted futures.</w:t>
              <w:br w:clear="none"/>
              <w:t xml:space="preserve"> </w:t>
            </w:r>
            <w:r>
              <w:rPr>
                <w:rStyle w:val="Text0"/>
              </w:rPr>
              <w:t>timeout</w:t>
            </w:r>
            <w:r>
              <w:t xml:space="preserve">, if not </w:t>
            </w:r>
            <w:r>
              <w:rPr>
                <w:rStyle w:val="Text5"/>
              </w:rPr>
              <w:t>None</w:t>
            </w:r>
            <w:r>
              <w:t xml:space="preserve">, is a </w:t>
            </w:r>
            <w:r>
              <w:rPr>
                <w:rStyle w:val="Text0"/>
              </w:rPr>
              <w:t>float</w:t>
            </w:r>
            <w:r>
              <w:t xml:space="preserve"> number of seconds, the maximum time </w:t>
            </w:r>
            <w:r>
              <w:rPr>
                <w:rStyle w:val="Text0"/>
              </w:rPr>
              <w:t>wait</w:t>
            </w:r>
            <w:r>
              <w:t xml:space="preserve"> lets elapse before returning (when </w:t>
            </w:r>
            <w:r>
              <w:rPr>
                <w:rStyle w:val="Text0"/>
              </w:rPr>
              <w:t>timeout</w:t>
            </w:r>
            <w:r>
              <w:t xml:space="preserve"> is </w:t>
            </w:r>
            <w:r>
              <w:rPr>
                <w:rStyle w:val="Text5"/>
              </w:rPr>
              <w:t>None</w:t>
            </w:r>
            <w:r>
              <w:t xml:space="preserve">, </w:t>
            </w:r>
            <w:r>
              <w:rPr>
                <w:rStyle w:val="Text0"/>
              </w:rPr>
              <w:t>wait</w:t>
            </w:r>
            <w:r>
              <w:t xml:space="preserve"> returns only when </w:t>
            </w:r>
            <w:r>
              <w:rPr>
                <w:rStyle w:val="Text0"/>
              </w:rPr>
              <w:t>return_when</w:t>
            </w:r>
            <w:r>
              <w:t xml:space="preserve"> is satisfied, no matter how much time elapses before that happens).</w:t>
              <w:br w:clear="none"/>
              <w:t xml:space="preserve"> </w:t>
            </w:r>
            <w:r>
              <w:rPr>
                <w:rStyle w:val="Text0"/>
              </w:rPr>
              <w:t>return_when</w:t>
            </w:r>
            <w:r>
              <w:t xml:space="preserve"> controls when, exactly, </w:t>
            </w:r>
            <w:r>
              <w:rPr>
                <w:rStyle w:val="Text0"/>
              </w:rPr>
              <w:t>wait</w:t>
            </w:r>
            <w:r>
              <w:t xml:space="preserve"> returns; it must be one of three constants supplied by the module </w:t>
            </w:r>
            <w:r>
              <w:rPr>
                <w:rStyle w:val="Text0"/>
              </w:rPr>
              <w:t>concurrent.futures</w:t>
            </w:r>
            <w:r>
              <w:t xml:space="preserve">: </w:t>
            </w:r>
          </w:p>
          <w:p>
            <w:pPr>
              <w:pStyle w:val="Para 024"/>
            </w:pPr>
            <w:r>
              <w:t>ALL_COMPLETED</w:t>
            </w:r>
          </w:p>
          <w:p>
            <w:pPr>
              <w:pStyle w:val="Para 028"/>
            </w:pPr>
            <w:r>
              <w:t>Return when all futures finish or are canceled.</w:t>
            </w:r>
          </w:p>
          <w:p>
            <w:pPr>
              <w:pStyle w:val="Para 024"/>
            </w:pPr>
            <w:r>
              <w:t>FIRST_COMPLETED</w:t>
            </w:r>
          </w:p>
          <w:p>
            <w:pPr>
              <w:pStyle w:val="Para 028"/>
            </w:pPr>
            <w:r>
              <w:t>Return when any future finishes or is canceled.</w:t>
            </w:r>
          </w:p>
          <w:p>
            <w:pPr>
              <w:pStyle w:val="Para 024"/>
            </w:pPr>
            <w:r>
              <w:t>FIRST_EXCEPTION</w:t>
            </w:r>
          </w:p>
          <w:p>
            <w:pPr>
              <w:pStyle w:val="Para 028"/>
            </w:pPr>
            <w:r>
              <w:t xml:space="preserve">Return when any future raises an exception; should no future raise an exception, becomes equivalent to </w:t>
            </w:r>
            <w:r>
              <w:rPr>
                <w:rStyle w:val="Text0"/>
              </w:rPr>
              <w:t>ALL_COMPLETED</w:t>
            </w:r>
            <w:r>
              <w:t>.</w:t>
            </w:r>
          </w:p>
        </w:tc>
      </w:tr>
    </w:tbl>
    <w:p>
      <w:pPr>
        <w:pStyle w:val="Normal"/>
      </w:pPr>
      <w:r>
        <w:t xml:space="preserve">This version of </w:t>
      </w:r>
      <w:r>
        <w:rPr>
          <w:rStyle w:val="Text0"/>
        </w:rPr>
        <w:t>make_dict</w:t>
      </w:r>
      <w:r>
        <w:t xml:space="preserve"> illustrates how to use </w:t>
      </w:r>
      <w:r>
        <w:rPr>
          <w:rStyle w:val="Text0"/>
        </w:rPr>
        <w:t>concurrent.futures.as_completed</w:t>
      </w:r>
      <w:r>
        <w:t xml:space="preserve"> to process each task as it finishes (in contrast with the previous example using </w:t>
      </w:r>
      <w:r>
        <w:rPr>
          <w:rStyle w:val="Text0"/>
        </w:rPr>
        <w:t>Executor.map</w:t>
      </w:r>
      <w:r>
        <w:t>, which always returns the tasks in the order in which they</w:t>
      </w:r>
      <w:r>
        <w:rPr>
          <w:rStyle w:val="Text111"/>
        </w:rPr>
        <w:bookmarkStart w:id="3462" w:name="idm45965190383248"/>
        <w:t/>
        <w:bookmarkEnd w:id="3462"/>
        <w:bookmarkStart w:id="3463" w:name="idm45965190381792"/>
        <w:t/>
        <w:bookmarkEnd w:id="3463"/>
      </w:r>
      <w:r>
        <w:t xml:space="preserve"> were submitted):</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concurrent</w:t>
        <w:br w:clear="none"/>
        <w:t xml:space="preserve">.</w:t>
        <w:br w:clear="none"/>
        <w:t xml:space="preserve">futures</w:t>
        <w:br w:clear="none"/>
      </w:r>
      <w:r>
        <w:rPr>
          <w:rStyle w:val="Text6"/>
        </w:rPr>
        <w:t xml:space="preserve"> </w:t>
        <w:br w:clear="none"/>
      </w:r>
      <w:r>
        <w:rPr>
          <w:rStyle w:val="Text10"/>
        </w:rPr>
        <w:t xml:space="preserve">as</w:t>
        <w:br w:clear="none"/>
      </w:r>
      <w:r>
        <w:rPr>
          <w:rStyle w:val="Text6"/>
        </w:rPr>
        <w:t xml:space="preserve"> </w:t>
        <w:br w:clear="none"/>
      </w:r>
      <w:r>
        <w:rPr>
          <w:rStyle w:val="Text20"/>
        </w:rPr>
        <w:t xml:space="preserve">cf</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make_dict</w:t>
        <w:br w:clear="none"/>
      </w:r>
      <w:r>
        <w:rPr>
          <w:rStyle w:val="Text7"/>
        </w:rPr>
        <w:t xml:space="preserve">(</w:t>
        <w:br w:clear="none"/>
      </w:r>
      <w:r>
        <w:t xml:space="preserve">strings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cf</w:t>
        <w:br w:clear="none"/>
      </w:r>
      <w:r>
        <w:rPr>
          <w:rStyle w:val="Text13"/>
        </w:rPr>
        <w:t xml:space="preserve">.</w:t>
        <w:br w:clear="none"/>
      </w:r>
      <w:r>
        <w:t xml:space="preserve">ProcessPoolExecutor</w:t>
        <w:br w:clear="none"/>
      </w:r>
      <w:r>
        <w:rPr>
          <w:rStyle w:val="Text7"/>
        </w:rPr>
        <w:t xml:space="preserve">(</w:t>
        <w:br w:clear="none"/>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e</w:t>
        <w:br w:clear="none"/>
      </w:r>
      <w:r>
        <w:rPr>
          <w:rStyle w:val="Text7"/>
        </w:rPr>
        <w:t xml:space="preserve">:</w:t>
        <w:br w:clear="none"/>
      </w:r>
      <w:r>
        <w:rPr>
          <w:rStyle w:val="Text6"/>
        </w:rPr>
        <w:t xml:space="preserve"/>
        <w:br w:clear="none"/>
        <w:t xml:space="preserve">        </w:t>
        <w:br w:clear="none"/>
      </w:r>
      <w:r>
        <w:t xml:space="preserve">futures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e</w:t>
        <w:br w:clear="none"/>
      </w:r>
      <w:r>
        <w:rPr>
          <w:rStyle w:val="Text13"/>
        </w:rPr>
        <w:t xml:space="preserve">.</w:t>
        <w:br w:clear="none"/>
      </w:r>
      <w:r>
        <w:t xml:space="preserve">submit</w:t>
        <w:br w:clear="none"/>
      </w:r>
      <w:r>
        <w:rPr>
          <w:rStyle w:val="Text7"/>
        </w:rPr>
        <w:t xml:space="preserve">(</w:t>
        <w:br w:clear="none"/>
      </w:r>
      <w:r>
        <w:t xml:space="preserve">runner</w:t>
        <w:br w:clear="none"/>
      </w:r>
      <w:r>
        <w:rPr>
          <w:rStyle w:val="Text7"/>
        </w:rPr>
        <w:t xml:space="preserve">,</w:t>
        <w:br w:clear="none"/>
      </w:r>
      <w:r>
        <w:rPr>
          <w:rStyle w:val="Text6"/>
        </w:rPr>
        <w:t xml:space="preserve"> </w:t>
        <w:br w:clear="none"/>
      </w:r>
      <w:r>
        <w:t xml:space="preserve">s</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t xml:space="preserve">strings</w:t>
        <w:br w:clear="none"/>
      </w:r>
      <w:r>
        <w:rPr>
          <w:rStyle w:val="Text7"/>
        </w:rPr>
        <w:t xml:space="preserve">]</w:t>
        <w:br w:clear="none"/>
      </w:r>
      <w:r>
        <w:rPr>
          <w:rStyle w:val="Text6"/>
        </w:rPr>
        <w:t xml:space="preserve"/>
        <w:br w:clear="none"/>
        <w:t xml:space="preserve">        </w:t>
        <w:br w:clear="none"/>
      </w:r>
      <w:r>
        <w:t xml:space="preserve">d</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dict</w:t>
        <w:br w:clear="none"/>
      </w:r>
      <w:r>
        <w:rPr>
          <w:rStyle w:val="Text7"/>
        </w:rPr>
        <w:t xml:space="preserve">(</w:t>
        <w:br w:clear="none"/>
      </w:r>
      <w:r>
        <w:t xml:space="preserve">f</w:t>
        <w:br w:clear="none"/>
      </w:r>
      <w:r>
        <w:rPr>
          <w:rStyle w:val="Text13"/>
        </w:rPr>
        <w:t xml:space="preserve">.</w:t>
        <w:br w:clear="none"/>
      </w:r>
      <w:r>
        <w:t xml:space="preserve">result</w:t>
        <w:br w:clear="none"/>
      </w:r>
      <w:r>
        <w:rPr>
          <w:rStyle w:val="Text7"/>
        </w:rPr>
        <w:t xml:space="preserve">(</w:t>
        <w:br w:clear="none"/>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f</w:t>
        <w:br w:clear="none"/>
      </w:r>
      <w:r>
        <w:rPr>
          <w:rStyle w:val="Text6"/>
        </w:rPr>
        <w:t xml:space="preserve"> </w:t>
        <w:br w:clear="none"/>
      </w:r>
      <w:r>
        <w:rPr>
          <w:rStyle w:val="Text31"/>
        </w:rPr>
        <w:t xml:space="preserve">in</w:t>
        <w:br w:clear="none"/>
      </w:r>
      <w:r>
        <w:rPr>
          <w:rStyle w:val="Text6"/>
        </w:rPr>
        <w:t xml:space="preserve"> </w:t>
        <w:br w:clear="none"/>
      </w:r>
      <w:r>
        <w:t xml:space="preserve">cf</w:t>
        <w:br w:clear="none"/>
      </w:r>
      <w:r>
        <w:rPr>
          <w:rStyle w:val="Text13"/>
        </w:rPr>
        <w:t xml:space="preserve">.</w:t>
        <w:br w:clear="none"/>
      </w:r>
      <w:r>
        <w:t xml:space="preserve">as_completed</w:t>
        <w:br w:clear="none"/>
      </w:r>
      <w:r>
        <w:rPr>
          <w:rStyle w:val="Text7"/>
        </w:rPr>
        <w:t xml:space="preserve">(</w:t>
        <w:br w:clear="none"/>
      </w:r>
      <w:r>
        <w:t xml:space="preserve">futures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d</w:t>
        <w:br w:clear="none"/>
      </w:r>
    </w:p>
    <w:p>
      <w:bookmarkStart w:id="3464" w:name="Threaded_Program_Architecture__A"/>
      <w:pPr>
        <w:keepNext/>
        <w:pStyle w:val="Heading 1"/>
      </w:pPr>
      <w:r>
        <w:t>Threaded Program Architecture</w:t>
      </w:r>
      <w:bookmarkEnd w:id="3464"/>
    </w:p>
    <w:p>
      <w:pPr>
        <w:pStyle w:val="Normal"/>
      </w:pPr>
      <w:r>
        <w:t>A</w:t>
      </w:r>
      <w:r>
        <w:rPr>
          <w:rStyle w:val="Text111"/>
        </w:rPr>
        <w:bookmarkStart w:id="3465" w:name="TAParch15"/>
        <w:t/>
        <w:bookmarkEnd w:id="3465"/>
        <w:bookmarkStart w:id="3466" w:name="Pthread15"/>
        <w:t/>
        <w:bookmarkEnd w:id="3466"/>
      </w:r>
      <w:r>
        <w:t xml:space="preserve"> threaded program should always try to arrange for a</w:t>
      </w:r>
      <w:r>
        <w:rPr>
          <w:rStyle w:val="Text111"/>
        </w:rPr>
        <w:bookmarkStart w:id="3467" w:name="idm45965190307696"/>
        <w:t/>
        <w:bookmarkEnd w:id="3467"/>
      </w:r>
      <w:r>
        <w:t xml:space="preserve"> </w:t>
      </w:r>
      <w:r>
        <w:rPr>
          <w:rStyle w:val="Text4"/>
        </w:rPr>
        <w:t>single</w:t>
      </w:r>
      <w:r>
        <w:t xml:space="preserve"> thread to “own” any object or subsystem that is external to the program (such as a file, a database, a GUI, or a network connection). Having multiple threads that deal with the same external object is possible, but can often create intractable problems.</w:t>
      </w:r>
    </w:p>
    <w:p>
      <w:pPr>
        <w:pStyle w:val="Normal"/>
      </w:pPr>
      <w:r>
        <w:t xml:space="preserve">When your threaded program must deal with some external object, devote a dedicated thread to just such dealings, and use a </w:t>
      </w:r>
      <w:r>
        <w:rPr>
          <w:rStyle w:val="Text0"/>
        </w:rPr>
        <w:t>Queue</w:t>
      </w:r>
      <w:r>
        <w:t xml:space="preserve"> object from which the external-interfacing thread gets work requests that other threads post. The external-interfacing thread returns results by putting them on one or more other </w:t>
      </w:r>
      <w:r>
        <w:rPr>
          <w:rStyle w:val="Text0"/>
        </w:rPr>
        <w:t>Queue</w:t>
      </w:r>
      <w:r>
        <w:t xml:space="preserve"> objects. The following example shows how to package this architecture into a general, reusable class, assuming that each unit of work on the external subsystem can be represented by a callable object: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threading</w:t>
        <w:br w:clear="none"/>
      </w:r>
      <w:r>
        <w:rPr>
          <w:rStyle w:val="Text13"/>
        </w:rPr>
        <w:t xml:space="preserve">,</w:t>
        <w:br w:clear="none"/>
      </w:r>
      <w:r>
        <w:rPr>
          <w:rStyle w:val="Text6"/>
        </w:rPr>
        <w:t xml:space="preserve"> </w:t>
        <w:br w:clear="none"/>
      </w:r>
      <w:r>
        <w:rPr>
          <w:rStyle w:val="Text20"/>
        </w:rPr>
        <w:t xml:space="preserve">queue</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ExternalInterfacing</w:t>
        <w:br w:clear="none"/>
      </w:r>
      <w:r>
        <w:rPr>
          <w:rStyle w:val="Text7"/>
        </w:rPr>
        <w:t xml:space="preserve">(</w:t>
        <w:br w:clear="none"/>
      </w:r>
      <w:r>
        <w:t xml:space="preserve">threading</w:t>
        <w:br w:clear="none"/>
      </w:r>
      <w:r>
        <w:rPr>
          <w:rStyle w:val="Text13"/>
        </w:rPr>
        <w:t xml:space="preserve">.</w:t>
        <w:br w:clear="none"/>
      </w:r>
      <w:r>
        <w:t xml:space="preserve">Thread</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external_callable</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6"/>
        </w:rPr>
        <w:t xml:space="preserve">__init__</w:t>
        <w:br w:clear="none"/>
      </w:r>
      <w:r>
        <w:rPr>
          <w:rStyle w:val="Text7"/>
        </w:rPr>
        <w:t xml:space="preserve">(</w:t>
        <w:br w:clear="none"/>
      </w:r>
      <w:r>
        <w:rPr>
          <w:rStyle w:val="Text13"/>
        </w:rPr>
        <w:t xml:space="preserve">*</w:t>
        <w:br w:clear="none"/>
        <w:t xml:space="preserve">*</w:t>
        <w:br w:clear="none"/>
      </w:r>
      <w:r>
        <w:t xml:space="preserve">kwds</w:t>
        <w:br w:clear="none"/>
      </w:r>
      <w:r>
        <w:rPr>
          <w:rStyle w:val="Text7"/>
        </w:rPr>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daemon</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True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external_callable</w:t>
        <w:br w:clear="none"/>
      </w:r>
      <w:r>
        <w:rPr>
          <w:rStyle w:val="Text6"/>
        </w:rPr>
        <w:t xml:space="preserve"> </w:t>
        <w:br w:clear="none"/>
      </w:r>
      <w:r>
        <w:rPr>
          <w:rStyle w:val="Text13"/>
        </w:rPr>
        <w:t xml:space="preserve">=</w:t>
        <w:br w:clear="none"/>
      </w:r>
      <w:r>
        <w:rPr>
          <w:rStyle w:val="Text6"/>
        </w:rPr>
        <w:t xml:space="preserve"> </w:t>
        <w:br w:clear="none"/>
      </w:r>
      <w:r>
        <w:t xml:space="preserve">external_callable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request_queue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request</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"""called by other threads as external_callable would be"""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request_queue</w:t>
        <w:br w:clear="none"/>
      </w:r>
      <w:r>
        <w:rPr>
          <w:rStyle w:val="Text13"/>
        </w:rPr>
        <w:t xml:space="preserve">.</w:t>
        <w:br w:clear="none"/>
      </w:r>
      <w:r>
        <w:t xml:space="preserve">put</w:t>
        <w:br w:clear="none"/>
      </w:r>
      <w:r>
        <w:rPr>
          <w:rStyle w:val="Text7"/>
        </w:rPr>
        <w:t xml:space="preserve">(</w:t>
        <w:br w:clear="none"/>
        <w:t xml:space="preserve">(</w:t>
        <w:br w:clear="none"/>
      </w:r>
      <w:r>
        <w:t xml:space="preserve">args</w:t>
        <w:br w:clear="none"/>
      </w:r>
      <w:r>
        <w:rPr>
          <w:rStyle w:val="Text7"/>
        </w:rPr>
        <w:t xml:space="preserve">,</w:t>
        <w:br w:clear="none"/>
      </w:r>
      <w:r>
        <w:rPr>
          <w:rStyle w:val="Text6"/>
        </w:rPr>
        <w:t xml:space="preserve"> </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self</w:t>
        <w:br w:clear="none"/>
      </w:r>
      <w:r>
        <w:rPr>
          <w:rStyle w:val="Text13"/>
        </w:rPr>
        <w:t xml:space="preserve">.</w:t>
        <w:br w:clear="none"/>
      </w:r>
      <w:r>
        <w:t xml:space="preserve">result_queue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run</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a</w:t>
        <w:br w:clear="none"/>
      </w:r>
      <w:r>
        <w:rPr>
          <w:rStyle w:val="Text7"/>
        </w:rPr>
        <w:t xml:space="preserve">,</w:t>
        <w:br w:clear="none"/>
      </w:r>
      <w:r>
        <w:rPr>
          <w:rStyle w:val="Text6"/>
        </w:rPr>
        <w:t xml:space="preserve"> </w:t>
        <w:br w:clear="none"/>
      </w:r>
      <w:r>
        <w:t xml:space="preserve">k</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request_queue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13"/>
        </w:rPr>
        <w:t xml:space="preserve">.</w:t>
        <w:br w:clear="none"/>
      </w:r>
      <w:r>
        <w:t xml:space="preserve">put</w:t>
        <w:br w:clear="none"/>
      </w:r>
      <w:r>
        <w:rPr>
          <w:rStyle w:val="Text7"/>
        </w:rPr>
        <w:t xml:space="preserve">(</w:t>
        <w:br w:clear="none"/>
      </w:r>
      <w:r>
        <w:rPr>
          <w:rStyle w:val="Text16"/>
        </w:rPr>
        <w:t xml:space="preserve">self</w:t>
        <w:br w:clear="none"/>
      </w:r>
      <w:r>
        <w:rPr>
          <w:rStyle w:val="Text13"/>
        </w:rPr>
        <w:t xml:space="preserve">.</w:t>
        <w:br w:clear="none"/>
      </w:r>
      <w:r>
        <w:t xml:space="preserve">external_callable</w:t>
        <w:br w:clear="none"/>
      </w:r>
      <w:r>
        <w:rPr>
          <w:rStyle w:val="Text7"/>
        </w:rPr>
        <w:t xml:space="preserve">(</w:t>
        <w:br w:clear="none"/>
      </w:r>
      <w:r>
        <w:rPr>
          <w:rStyle w:val="Text13"/>
        </w:rPr>
        <w:t xml:space="preserve">*</w:t>
        <w:br w:clear="none"/>
      </w:r>
      <w:r>
        <w:t xml:space="preserve">a</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t>
        <w:br w:clear="none"/>
      </w:r>
      <w:r>
        <w:rPr>
          <w:rStyle w:val="Text7"/>
        </w:rPr>
        <w:t xml:space="preserve">)</w:t>
        <w:br w:clear="none"/>
        <w:t xml:space="preserve">)</w:t>
        <w:br w:clear="none"/>
      </w:r>
    </w:p>
    <w:p>
      <w:pPr>
        <w:pStyle w:val="Normal"/>
      </w:pPr>
      <w:r>
        <w:t xml:space="preserve">Once some </w:t>
      </w:r>
      <w:r>
        <w:rPr>
          <w:rStyle w:val="Text0"/>
        </w:rPr>
        <w:t>ExternalInterfacing</w:t>
      </w:r>
      <w:r>
        <w:t xml:space="preserve"> object </w:t>
      </w:r>
      <w:r>
        <w:rPr>
          <w:rStyle w:val="Text3"/>
        </w:rPr>
        <w:t>ei</w:t>
      </w:r>
      <w:r>
        <w:t xml:space="preserve"> is instantiated, any other thread may call </w:t>
      </w:r>
      <w:r>
        <w:rPr>
          <w:rStyle w:val="Text3"/>
        </w:rPr>
        <w:t>ei</w:t>
      </w:r>
      <w:r>
        <w:rPr>
          <w:rStyle w:val="Text0"/>
        </w:rPr>
        <w:t>.request</w:t>
      </w:r>
      <w:r>
        <w:t xml:space="preserve"> just as it would call </w:t>
      </w:r>
      <w:r>
        <w:rPr>
          <w:rStyle w:val="Text0"/>
        </w:rPr>
        <w:t>external_callable</w:t>
      </w:r>
      <w:r>
        <w:t xml:space="preserve"> absent such a mechanism (with or without arguments, as appropriate). The advantage of </w:t>
      </w:r>
      <w:r>
        <w:rPr>
          <w:rStyle w:val="Text0"/>
        </w:rPr>
        <w:t>ExternalInterfacing</w:t>
      </w:r>
      <w:r>
        <w:t xml:space="preserve"> is that calls to </w:t>
      </w:r>
      <w:r>
        <w:rPr>
          <w:rStyle w:val="Text0"/>
        </w:rPr>
        <w:t>external_callable</w:t>
      </w:r>
      <w:r>
        <w:t xml:space="preserve"> are</w:t>
      </w:r>
      <w:r>
        <w:rPr>
          <w:rStyle w:val="Text111"/>
        </w:rPr>
        <w:bookmarkStart w:id="3468" w:name="idm45965190116448"/>
        <w:t/>
        <w:bookmarkEnd w:id="3468"/>
      </w:r>
      <w:r>
        <w:t xml:space="preserve"> </w:t>
      </w:r>
      <w:r>
        <w:rPr>
          <w:rStyle w:val="Text4"/>
        </w:rPr>
        <w:t>serialized</w:t>
      </w:r>
      <w:r>
        <w:t xml:space="preserve">. This means that just one thread (the </w:t>
      </w:r>
      <w:r>
        <w:rPr>
          <w:rStyle w:val="Text0"/>
        </w:rPr>
        <w:t>Thread</w:t>
      </w:r>
      <w:r>
        <w:t xml:space="preserve"> object bound to </w:t>
      </w:r>
      <w:r>
        <w:rPr>
          <w:rStyle w:val="Text3"/>
        </w:rPr>
        <w:t>ei</w:t>
      </w:r>
      <w:r>
        <w:t>) performs them, in some defined sequential order, without overlap, race conditions (hard-to-debug errors that depend on which thread just happens to “get there” first), or other anomalies that might otherwise result.</w:t>
      </w:r>
    </w:p>
    <w:p>
      <w:pPr>
        <w:pStyle w:val="Normal"/>
      </w:pPr>
      <w:r>
        <w:t xml:space="preserve">If you need to serialize several callables together, you can pass the callable as part of the work request, rather than passing it at the initialization of the class </w:t>
      </w:r>
      <w:r>
        <w:rPr>
          <w:rStyle w:val="Text0"/>
        </w:rPr>
        <w:t>ExternalInterfacing</w:t>
      </w:r>
      <w:r>
        <w:t>, for greater generality. The following example shows this more general approach:</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threading</w:t>
        <w:br w:clear="none"/>
      </w:r>
      <w:r>
        <w:rPr>
          <w:rStyle w:val="Text13"/>
        </w:rPr>
        <w:t xml:space="preserve">,</w:t>
        <w:br w:clear="none"/>
      </w:r>
      <w:r>
        <w:rPr>
          <w:rStyle w:val="Text6"/>
        </w:rPr>
        <w:t xml:space="preserve"> </w:t>
        <w:br w:clear="none"/>
      </w:r>
      <w:r>
        <w:rPr>
          <w:rStyle w:val="Text20"/>
        </w:rPr>
        <w:t xml:space="preserve">queue</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Serializer</w:t>
        <w:br w:clear="none"/>
      </w:r>
      <w:r>
        <w:rPr>
          <w:rStyle w:val="Text7"/>
        </w:rPr>
        <w:t xml:space="preserve">(</w:t>
        <w:br w:clear="none"/>
      </w:r>
      <w:r>
        <w:t xml:space="preserve">threading</w:t>
        <w:br w:clear="none"/>
      </w:r>
      <w:r>
        <w:rPr>
          <w:rStyle w:val="Text13"/>
        </w:rPr>
        <w:t xml:space="preserve">.</w:t>
        <w:br w:clear="none"/>
      </w:r>
      <w:r>
        <w:t xml:space="preserve">Thread</w:t>
        <w:br w:clear="none"/>
      </w:r>
      <w:r>
        <w:rPr>
          <w:rStyle w:val="Text7"/>
        </w:rPr>
        <w:t xml:space="preserve">)</w:t>
        <w:br w:clear="none"/>
        <w:t xml:space="preserve">:</w:t>
        <w:br w:clear="none"/>
      </w:r>
      <w:r>
        <w:rPr>
          <w:rStyle w:val="Text6"/>
        </w:rPr>
        <w:t xml:space="preserve"/>
        <w:br w:clear="none"/>
        <w:t xml:space="preserve">    </w:t>
        <w:br w:clear="none"/>
      </w:r>
      <w:r>
        <w:rPr>
          <w:rStyle w:val="Text39"/>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6"/>
        </w:rPr>
        <w:t xml:space="preserve">__init__</w:t>
        <w:br w:clear="none"/>
      </w:r>
      <w:r>
        <w:rPr>
          <w:rStyle w:val="Text7"/>
        </w:rPr>
        <w:t xml:space="preserve">(</w:t>
        <w:br w:clear="none"/>
      </w:r>
      <w:r>
        <w:rPr>
          <w:rStyle w:val="Text13"/>
        </w:rPr>
        <w:t xml:space="preserve">*</w:t>
        <w:br w:clear="none"/>
        <w:t xml:space="preserve">*</w:t>
        <w:br w:clear="none"/>
      </w:r>
      <w:r>
        <w:t xml:space="preserve">kwds</w:t>
        <w:br w:clear="none"/>
      </w:r>
      <w:r>
        <w:rPr>
          <w:rStyle w:val="Text7"/>
        </w:rPr>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daemon</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True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work_request_queue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apply</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"""called by other threads as `callable` would be"""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work_request_queue</w:t>
        <w:br w:clear="none"/>
      </w:r>
      <w:r>
        <w:rPr>
          <w:rStyle w:val="Text13"/>
        </w:rPr>
        <w:t xml:space="preserve">.</w:t>
        <w:br w:clear="none"/>
      </w:r>
      <w:r>
        <w:t xml:space="preserve">put</w:t>
        <w:br w:clear="none"/>
      </w:r>
      <w:r>
        <w:rPr>
          <w:rStyle w:val="Text7"/>
        </w:rPr>
        <w:t xml:space="preserve">(</w:t>
        <w:br w:clear="none"/>
        <w:t xml:space="preserve">(</w:t>
        <w:br w:clear="none"/>
      </w:r>
      <w:r>
        <w:t xml:space="preserve">callable</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r>
        <w:rPr>
          <w:rStyle w:val="Text6"/>
        </w:rPr>
        <w:t xml:space="preserve"> </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self</w:t>
        <w:br w:clear="none"/>
      </w:r>
      <w:r>
        <w:rPr>
          <w:rStyle w:val="Text13"/>
        </w:rPr>
        <w:t xml:space="preserve">.</w:t>
        <w:br w:clear="none"/>
      </w:r>
      <w:r>
        <w:t xml:space="preserve">result_queue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run</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callable</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r>
        <w:rPr>
          <w:rStyle w:val="Text6"/>
        </w:rPr>
        <w:t xml:space="preserve"> </w:t>
        <w:br w:clear="none"/>
      </w:r>
      <w:r>
        <w:t xml:space="preserve">kwds</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work_request_queue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13"/>
        </w:rPr>
        <w:t xml:space="preserve">.</w:t>
        <w:br w:clear="none"/>
      </w:r>
      <w:r>
        <w:t xml:space="preserve">put</w:t>
        <w:br w:clear="none"/>
      </w:r>
      <w:r>
        <w:rPr>
          <w:rStyle w:val="Text7"/>
        </w:rPr>
        <w:t xml:space="preserve">(</w:t>
        <w:br w:clear="none"/>
      </w:r>
      <w:r>
        <w:t xml:space="preserve">callable</w:t>
        <w:br w:clear="none"/>
      </w:r>
      <w:r>
        <w:rPr>
          <w:rStyle w:val="Text7"/>
        </w:rPr>
        <w:t xml:space="preserve">(</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p>
    <w:p>
      <w:pPr>
        <w:pStyle w:val="Normal"/>
      </w:pPr>
      <w:r>
        <w:t xml:space="preserve">Once a </w:t>
      </w:r>
      <w:r>
        <w:rPr>
          <w:rStyle w:val="Text0"/>
        </w:rPr>
        <w:t>Serializer</w:t>
      </w:r>
      <w:r>
        <w:t xml:space="preserve"> object </w:t>
      </w:r>
      <w:r>
        <w:rPr>
          <w:rStyle w:val="Text3"/>
        </w:rPr>
        <w:t>ser</w:t>
      </w:r>
      <w:r>
        <w:t xml:space="preserve"> has been instantiated, any other thread may call </w:t>
      </w:r>
      <w:r>
        <w:rPr>
          <w:rStyle w:val="Text3"/>
        </w:rPr>
        <w:t>ser</w:t>
      </w:r>
      <w:r>
        <w:rPr>
          <w:rStyle w:val="Text0"/>
        </w:rPr>
        <w:t>.apply(external_callable)</w:t>
      </w:r>
      <w:r>
        <w:t xml:space="preserve"> just as it would call </w:t>
      </w:r>
      <w:r>
        <w:rPr>
          <w:rStyle w:val="Text0"/>
        </w:rPr>
        <w:t>external_callable</w:t>
      </w:r>
      <w:r>
        <w:t xml:space="preserve"> without such a mechanism (with or without further arguments, as appropriate). The </w:t>
      </w:r>
      <w:r>
        <w:rPr>
          <w:rStyle w:val="Text0"/>
        </w:rPr>
        <w:t>Serializer</w:t>
      </w:r>
      <w:r>
        <w:t xml:space="preserve"> mechanism has the same advantages as </w:t>
      </w:r>
      <w:r>
        <w:rPr>
          <w:rStyle w:val="Text0"/>
        </w:rPr>
        <w:t>ExternalInterfacing</w:t>
      </w:r>
      <w:r>
        <w:t xml:space="preserve">, except that all calls to the same or different callables wrapped by a single </w:t>
      </w:r>
      <w:r>
        <w:rPr>
          <w:rStyle w:val="Text3"/>
        </w:rPr>
        <w:t>ser</w:t>
      </w:r>
      <w:r>
        <w:t xml:space="preserve"> instance are now serialized.</w:t>
      </w:r>
    </w:p>
    <w:p>
      <w:pPr>
        <w:pStyle w:val="Normal"/>
      </w:pPr>
      <w:r>
        <w:t xml:space="preserve">The user interface of the whole program is an external subsystem, and thus should be dealt with by a single thread—specifically, the main thread of the program (this is mandatory for some user interface toolkits, and advisable even when using other toolkits that don’t mandate it). A </w:t>
      </w:r>
      <w:r>
        <w:rPr>
          <w:rStyle w:val="Text0"/>
        </w:rPr>
        <w:t>Serializer</w:t>
      </w:r>
      <w:r>
        <w:t xml:space="preserve"> thread is therefore inappropriate. Rather, the program’s main thread should deal only with user-interface issues, and farm out all actual work to</w:t>
      </w:r>
      <w:r>
        <w:rPr>
          <w:rStyle w:val="Text111"/>
        </w:rPr>
        <w:bookmarkStart w:id="3469" w:name="idm45965189907456"/>
        <w:t/>
        <w:bookmarkEnd w:id="3469"/>
      </w:r>
      <w:r>
        <w:t xml:space="preserve"> worker threads that accept work requests on a </w:t>
      </w:r>
      <w:r>
        <w:rPr>
          <w:rStyle w:val="Text0"/>
        </w:rPr>
        <w:t>Queue</w:t>
      </w:r>
      <w:r>
        <w:t xml:space="preserve"> object and return results on another. A set of worker threads is generally known as a</w:t>
      </w:r>
      <w:r>
        <w:rPr>
          <w:rStyle w:val="Text111"/>
        </w:rPr>
        <w:bookmarkStart w:id="3470" w:name="idm45965189905536"/>
        <w:t/>
        <w:bookmarkEnd w:id="3470"/>
      </w:r>
      <w:r>
        <w:t xml:space="preserve"> </w:t>
      </w:r>
      <w:r>
        <w:rPr>
          <w:rStyle w:val="Text4"/>
        </w:rPr>
        <w:t>thread pool</w:t>
      </w:r>
      <w:r>
        <w:t>. As shown in the following example, all worker threads should share a single queue of requests and a single queue of results, since the main thread is the only one to post work requests and harvest results: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threading</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Worker</w:t>
        <w:br w:clear="none"/>
      </w:r>
      <w:r>
        <w:rPr>
          <w:rStyle w:val="Text7"/>
        </w:rPr>
        <w:t xml:space="preserve">(</w:t>
        <w:br w:clear="none"/>
      </w:r>
      <w:r>
        <w:t xml:space="preserve">threading</w:t>
        <w:br w:clear="none"/>
      </w:r>
      <w:r>
        <w:rPr>
          <w:rStyle w:val="Text13"/>
        </w:rPr>
        <w:t xml:space="preserve">.</w:t>
        <w:br w:clear="none"/>
      </w:r>
      <w:r>
        <w:t xml:space="preserve">Thread</w:t>
        <w:br w:clear="none"/>
      </w:r>
      <w:r>
        <w:rPr>
          <w:rStyle w:val="Text7"/>
        </w:rPr>
        <w:t xml:space="preserve">)</w:t>
        <w:br w:clear="none"/>
        <w:t xml:space="preserve">:</w:t>
        <w:br w:clear="none"/>
      </w:r>
      <w:r>
        <w:rPr>
          <w:rStyle w:val="Text6"/>
        </w:rPr>
        <w:t xml:space="preserve"/>
        <w:br w:clear="none"/>
        <w:t xml:space="preserve">    </w:t>
        <w:br w:clear="none"/>
      </w:r>
      <w:r>
        <w:t xml:space="preserve">IDlock</w:t>
        <w:br w:clear="none"/>
      </w:r>
      <w:r>
        <w:rPr>
          <w:rStyle w:val="Text6"/>
        </w:rPr>
        <w:t xml:space="preserve"> </w:t>
        <w:br w:clear="none"/>
      </w:r>
      <w:r>
        <w:rPr>
          <w:rStyle w:val="Text13"/>
        </w:rPr>
        <w:t xml:space="preserve">=</w:t>
        <w:br w:clear="none"/>
      </w:r>
      <w:r>
        <w:rPr>
          <w:rStyle w:val="Text6"/>
        </w:rPr>
        <w:t xml:space="preserve"> </w:t>
        <w:br w:clear="none"/>
      </w:r>
      <w:r>
        <w:t xml:space="preserve">threading</w:t>
        <w:br w:clear="none"/>
      </w:r>
      <w:r>
        <w:rPr>
          <w:rStyle w:val="Text13"/>
        </w:rPr>
        <w:t xml:space="preserve">.</w:t>
        <w:br w:clear="none"/>
      </w:r>
      <w:r>
        <w:t xml:space="preserve">Lock</w:t>
        <w:br w:clear="none"/>
      </w:r>
      <w:r>
        <w:rPr>
          <w:rStyle w:val="Text7"/>
        </w:rPr>
        <w:t xml:space="preserve">(</w:t>
        <w:br w:clear="none"/>
        <w:t xml:space="preserve">)</w:t>
        <w:br w:clear="none"/>
      </w:r>
      <w:r>
        <w:rPr>
          <w:rStyle w:val="Text6"/>
        </w:rPr>
        <w:t xml:space="preserve"/>
        <w:br w:clear="none"/>
        <w:t xml:space="preserve">    </w:t>
        <w:br w:clear="none"/>
      </w:r>
      <w:r>
        <w:t xml:space="preserve">request_ID</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t xml:space="preserve">__init__</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requests_queue</w:t>
        <w:br w:clear="none"/>
      </w:r>
      <w:r>
        <w:rPr>
          <w:rStyle w:val="Text7"/>
        </w:rPr>
        <w:t xml:space="preserve">,</w:t>
        <w:br w:clear="none"/>
      </w:r>
      <w:r>
        <w:rPr>
          <w:rStyle w:val="Text6"/>
        </w:rPr>
        <w:t xml:space="preserve"> </w:t>
        <w:br w:clear="none"/>
      </w:r>
      <w:r>
        <w:t xml:space="preserve">results_queue</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super</w:t>
        <w:br w:clear="none"/>
      </w:r>
      <w:r>
        <w:rPr>
          <w:rStyle w:val="Text7"/>
        </w:rPr>
        <w:t xml:space="preserve">(</w:t>
        <w:br w:clear="none"/>
        <w:t xml:space="preserve">)</w:t>
        <w:br w:clear="none"/>
      </w:r>
      <w:r>
        <w:rPr>
          <w:rStyle w:val="Text13"/>
        </w:rPr>
        <w:t xml:space="preserve">.</w:t>
        <w:br w:clear="none"/>
      </w:r>
      <w:r>
        <w:rPr>
          <w:rStyle w:val="Text6"/>
        </w:rPr>
        <w:t xml:space="preserve">__init__</w:t>
        <w:br w:clear="none"/>
      </w:r>
      <w:r>
        <w:rPr>
          <w:rStyle w:val="Text7"/>
        </w:rPr>
        <w:t xml:space="preserve">(</w:t>
        <w:br w:clear="none"/>
      </w:r>
      <w:r>
        <w:rPr>
          <w:rStyle w:val="Text13"/>
        </w:rPr>
        <w:t xml:space="preserve">*</w:t>
        <w:br w:clear="none"/>
        <w:t xml:space="preserve">*</w:t>
        <w:br w:clear="none"/>
      </w:r>
      <w:r>
        <w:t xml:space="preserve">kwds</w:t>
        <w:br w:clear="none"/>
      </w:r>
      <w:r>
        <w:rPr>
          <w:rStyle w:val="Text7"/>
        </w:rPr>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daemon</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True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request_queue</w:t>
        <w:br w:clear="none"/>
      </w:r>
      <w:r>
        <w:rPr>
          <w:rStyle w:val="Text6"/>
        </w:rPr>
        <w:t xml:space="preserve"> </w:t>
        <w:br w:clear="none"/>
      </w:r>
      <w:r>
        <w:rPr>
          <w:rStyle w:val="Text13"/>
        </w:rPr>
        <w:t xml:space="preserve">=</w:t>
        <w:br w:clear="none"/>
      </w:r>
      <w:r>
        <w:rPr>
          <w:rStyle w:val="Text6"/>
        </w:rPr>
        <w:t xml:space="preserve"> </w:t>
        <w:br w:clear="none"/>
      </w:r>
      <w:r>
        <w:t xml:space="preserve">requests_queue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6"/>
        </w:rPr>
        <w:t xml:space="preserve"> </w:t>
        <w:br w:clear="none"/>
      </w:r>
      <w:r>
        <w:rPr>
          <w:rStyle w:val="Text13"/>
        </w:rPr>
        <w:t xml:space="preserve">=</w:t>
        <w:br w:clear="none"/>
      </w:r>
      <w:r>
        <w:rPr>
          <w:rStyle w:val="Text6"/>
        </w:rPr>
        <w:t xml:space="preserve"> </w:t>
        <w:br w:clear="none"/>
      </w:r>
      <w:r>
        <w:t xml:space="preserve">results_queue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start</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perform_work</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r>
      <w:r>
        <w:rPr>
          <w:rStyle w:val="Text6"/>
        </w:rPr>
        <w:t xml:space="preserve"> </w:t>
        <w:br w:clear="none"/>
      </w:r>
      <w:r>
        <w:rPr>
          <w:rStyle w:val="Text13"/>
        </w:rPr>
        <w:t xml:space="preserve">*</w:t>
        <w:br w:clear="none"/>
      </w:r>
      <w:r>
        <w:t xml:space="preserve">args</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"""called by main thread as `callable` would be,</w:t>
        <w:br w:clear="none"/>
        <w:t xml:space="preserve">			   but w/o return"""</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self</w:t>
        <w:br w:clear="none"/>
      </w:r>
      <w:r>
        <w:rPr>
          <w:rStyle w:val="Text13"/>
        </w:rPr>
        <w:t xml:space="preserve">.</w:t>
        <w:br w:clear="none"/>
      </w:r>
      <w:r>
        <w:t xml:space="preserve">IDlock</w:t>
        <w:br w:clear="none"/>
      </w:r>
      <w:r>
        <w:rPr>
          <w:rStyle w:val="Text7"/>
        </w:rPr>
        <w:t xml:space="preserve">:</w:t>
        <w:br w:clear="none"/>
      </w:r>
      <w:r>
        <w:rPr>
          <w:rStyle w:val="Text6"/>
        </w:rPr>
        <w:t xml:space="preserve"/>
        <w:br w:clear="none"/>
        <w:t xml:space="preserve">            </w:t>
        <w:br w:clear="none"/>
      </w:r>
      <w:r>
        <w:t xml:space="preserve">Worker</w:t>
        <w:br w:clear="none"/>
      </w:r>
      <w:r>
        <w:rPr>
          <w:rStyle w:val="Text13"/>
        </w:rPr>
        <w:t xml:space="preserve">.</w:t>
        <w:br w:clear="none"/>
      </w:r>
      <w:r>
        <w:t xml:space="preserve">request_ID</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1</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request_queue</w:t>
        <w:br w:clear="none"/>
      </w:r>
      <w:r>
        <w:rPr>
          <w:rStyle w:val="Text13"/>
        </w:rPr>
        <w:t xml:space="preserve">.</w:t>
        <w:br w:clear="none"/>
      </w:r>
      <w:r>
        <w:t xml:space="preserve">put</w:t>
        <w:br w:clear="none"/>
      </w:r>
      <w:r>
        <w:rPr>
          <w:rStyle w:val="Text7"/>
        </w:rPr>
        <w:t xml:space="preserve">(</w:t>
        <w:br w:clear="none"/>
      </w:r>
      <w:r>
        <w:rPr>
          <w:rStyle w:val="Text6"/>
        </w:rPr>
        <w:t xml:space="preserve"/>
        <w:br w:clear="none"/>
        <w:t xml:space="preserve">                </w:t>
        <w:br w:clear="none"/>
      </w:r>
      <w:r>
        <w:rPr>
          <w:rStyle w:val="Text7"/>
        </w:rPr>
        <w:t xml:space="preserve">(</w:t>
        <w:br w:clear="none"/>
      </w:r>
      <w:r>
        <w:t xml:space="preserve">Worker</w:t>
        <w:br w:clear="none"/>
      </w:r>
      <w:r>
        <w:rPr>
          <w:rStyle w:val="Text13"/>
        </w:rPr>
        <w:t xml:space="preserve">.</w:t>
        <w:br w:clear="none"/>
      </w:r>
      <w:r>
        <w:t xml:space="preserve">request_ID</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r>
      <w:r>
        <w:rPr>
          <w:rStyle w:val="Text6"/>
        </w:rPr>
        <w:t xml:space="preserve"> </w:t>
        <w:br w:clear="none"/>
      </w:r>
      <w:r>
        <w:t xml:space="preserve">args</w:t>
        <w:br w:clear="none"/>
      </w:r>
      <w:r>
        <w:rPr>
          <w:rStyle w:val="Text7"/>
        </w:rPr>
        <w:t xml:space="preserve">,</w:t>
        <w:br w:clear="none"/>
      </w:r>
      <w:r>
        <w:rPr>
          <w:rStyle w:val="Text6"/>
        </w:rPr>
        <w:t xml:space="preserve"> </w:t>
        <w:br w:clear="none"/>
      </w:r>
      <w:r>
        <w:t xml:space="preserve">kwds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Worker</w:t>
        <w:br w:clear="none"/>
      </w:r>
      <w:r>
        <w:rPr>
          <w:rStyle w:val="Text13"/>
        </w:rPr>
        <w:t xml:space="preserve">.</w:t>
        <w:br w:clear="none"/>
      </w:r>
      <w:r>
        <w:t xml:space="preserve">request_ID</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run</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request_ID</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r>
      <w:r>
        <w:rPr>
          <w:rStyle w:val="Text6"/>
        </w:rPr>
        <w:t xml:space="preserve"> </w:t>
        <w:br w:clear="none"/>
      </w:r>
      <w:r>
        <w:t xml:space="preserve">a</w:t>
        <w:br w:clear="none"/>
      </w:r>
      <w:r>
        <w:rPr>
          <w:rStyle w:val="Text7"/>
        </w:rPr>
        <w:t xml:space="preserve">,</w:t>
        <w:br w:clear="none"/>
      </w:r>
      <w:r>
        <w:rPr>
          <w:rStyle w:val="Text6"/>
        </w:rPr>
        <w:t xml:space="preserve"> </w:t>
        <w:br w:clear="none"/>
      </w:r>
      <w:r>
        <w:t xml:space="preserve">k</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request_queue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result_queue</w:t>
        <w:br w:clear="none"/>
      </w:r>
      <w:r>
        <w:rPr>
          <w:rStyle w:val="Text13"/>
        </w:rPr>
        <w:t xml:space="preserve">.</w:t>
        <w:br w:clear="none"/>
      </w:r>
      <w:r>
        <w:t xml:space="preserve">put</w:t>
        <w:br w:clear="none"/>
      </w:r>
      <w:r>
        <w:rPr>
          <w:rStyle w:val="Text7"/>
        </w:rPr>
        <w:t xml:space="preserve">(</w:t>
        <w:br w:clear="none"/>
        <w:t xml:space="preserve">(</w:t>
        <w:br w:clear="none"/>
      </w:r>
      <w:r>
        <w:t xml:space="preserve">request_ID</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r>
      <w:r>
        <w:rPr>
          <w:rStyle w:val="Text13"/>
        </w:rPr>
        <w:t xml:space="preserve">*</w:t>
        <w:br w:clear="none"/>
      </w:r>
      <w:r>
        <w:t xml:space="preserve">a</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t>
        <w:br w:clear="none"/>
      </w:r>
      <w:r>
        <w:rPr>
          <w:rStyle w:val="Text7"/>
        </w:rPr>
        <w:t xml:space="preserve">)</w:t>
        <w:br w:clear="none"/>
        <w:t xml:space="preserve">)</w:t>
        <w:br w:clear="none"/>
        <w:t xml:space="preserve">)</w:t>
        <w:br w:clear="none"/>
      </w:r>
    </w:p>
    <w:p>
      <w:pPr>
        <w:pStyle w:val="Normal"/>
      </w:pPr>
      <w:r>
        <w:t xml:space="preserve">The main thread creates the two queues, then instantiates worker threads, as </w:t>
        <w:t>follows</w:t>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queue</w:t>
        <w:br w:clear="none"/>
      </w:r>
      <w:r>
        <w:rPr>
          <w:rStyle w:val="Text6"/>
        </w:rPr>
        <w:t xml:space="preserve"/>
        <w:br w:clear="none"/>
      </w:r>
      <w:r>
        <w:t xml:space="preserve">requests_queue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r>
      <w:r>
        <w:t xml:space="preserve">results_queue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r>
      <w:r>
        <w:t xml:space="preserve">number_of_workers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5</w:t>
        <w:br w:clear="none"/>
      </w:r>
      <w:r>
        <w:rPr>
          <w:rStyle w:val="Text6"/>
        </w:rPr>
        <w:t xml:space="preserve"/>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number_of_workers</w:t>
        <w:br w:clear="none"/>
      </w:r>
      <w:r>
        <w:rPr>
          <w:rStyle w:val="Text7"/>
        </w:rPr>
        <w:t xml:space="preserve">)</w:t>
        <w:br w:clear="none"/>
        <w:t xml:space="preserve">:</w:t>
        <w:br w:clear="none"/>
      </w:r>
      <w:r>
        <w:rPr>
          <w:rStyle w:val="Text6"/>
        </w:rPr>
        <w:t xml:space="preserve"/>
        <w:br w:clear="none"/>
        <w:t xml:space="preserve">    </w:t>
        <w:br w:clear="none"/>
      </w:r>
      <w:r>
        <w:t xml:space="preserve">worker</w:t>
        <w:br w:clear="none"/>
      </w:r>
      <w:r>
        <w:rPr>
          <w:rStyle w:val="Text6"/>
        </w:rPr>
        <w:t xml:space="preserve"> </w:t>
        <w:br w:clear="none"/>
      </w:r>
      <w:r>
        <w:rPr>
          <w:rStyle w:val="Text13"/>
        </w:rPr>
        <w:t xml:space="preserve">=</w:t>
        <w:br w:clear="none"/>
      </w:r>
      <w:r>
        <w:rPr>
          <w:rStyle w:val="Text6"/>
        </w:rPr>
        <w:t xml:space="preserve"> </w:t>
        <w:br w:clear="none"/>
      </w:r>
      <w:r>
        <w:t xml:space="preserve">Worker</w:t>
        <w:br w:clear="none"/>
      </w:r>
      <w:r>
        <w:rPr>
          <w:rStyle w:val="Text7"/>
        </w:rPr>
        <w:t xml:space="preserve">(</w:t>
        <w:br w:clear="none"/>
      </w:r>
      <w:r>
        <w:t xml:space="preserve">requests_queue</w:t>
        <w:br w:clear="none"/>
      </w:r>
      <w:r>
        <w:rPr>
          <w:rStyle w:val="Text7"/>
        </w:rPr>
        <w:t xml:space="preserve">,</w:t>
        <w:br w:clear="none"/>
      </w:r>
      <w:r>
        <w:rPr>
          <w:rStyle w:val="Text6"/>
        </w:rPr>
        <w:t xml:space="preserve"> </w:t>
        <w:br w:clear="none"/>
      </w:r>
      <w:r>
        <w:t xml:space="preserve">results_queue</w:t>
        <w:br w:clear="none"/>
      </w:r>
      <w:r>
        <w:rPr>
          <w:rStyle w:val="Text7"/>
        </w:rPr>
        <w:t xml:space="preserve">)</w:t>
        <w:br w:clear="none"/>
      </w:r>
    </w:p>
    <w:p>
      <w:pPr>
        <w:pStyle w:val="Normal"/>
      </w:pPr>
      <w:r>
        <w:t xml:space="preserve">Whenever the main thread needs to farm out work (execute some callable object that may take substantial time to produce results), the main thread calls </w:t>
      </w:r>
      <w:r>
        <w:rPr>
          <w:rStyle w:val="Text3"/>
        </w:rPr>
        <w:t>worker</w:t>
      </w:r>
      <w:r>
        <w:rPr>
          <w:rStyle w:val="Text0"/>
        </w:rPr>
        <w:t>.perform_work(</w:t>
      </w:r>
      <w:r>
        <w:rPr>
          <w:rStyle w:val="Text3"/>
        </w:rPr>
        <w:t>callable</w:t>
      </w:r>
      <w:r>
        <w:rPr>
          <w:rStyle w:val="Text0"/>
        </w:rPr>
        <w:t>)</w:t>
      </w:r>
      <w:r>
        <w:t xml:space="preserve">, much as it would call </w:t>
      </w:r>
      <w:r>
        <w:rPr>
          <w:rStyle w:val="Text3"/>
        </w:rPr>
        <w:t>callable</w:t>
      </w:r>
      <w:r>
        <w:t xml:space="preserve"> without such a mechanism (with or without further arguments, as appropriate). However, </w:t>
      </w:r>
      <w:r>
        <w:rPr>
          <w:rStyle w:val="Text0"/>
        </w:rPr>
        <w:t>perform_work</w:t>
      </w:r>
      <w:r>
        <w:t xml:space="preserve"> does not return the result of the call. Instead of the results, the main thread gets an ID that identifies the work request. When the main thread needs the results, it can keep track of that ID, since the request’s results are tagged with the ID when they appear. The advantage of this mechanism is that the main thread never blocks waiting for the callable’s execution to complete, but rather becomes ready again at once and can immediately return to its main business of dealing with the user interface.</w:t>
      </w:r>
    </w:p>
    <w:p>
      <w:pPr>
        <w:pStyle w:val="Normal"/>
      </w:pPr>
      <w:r>
        <w:t xml:space="preserve">The main thread must arrange to check the </w:t>
      </w:r>
      <w:r>
        <w:rPr>
          <w:rStyle w:val="Text0"/>
        </w:rPr>
        <w:t>results_queue</w:t>
      </w:r>
      <w:r>
        <w:t>, since the result of each work request eventually appears there, tagged with the request’s ID, when the worker thread that took that request from the queue finishes computing the result. How the main thread arranges to check for both user interface events and the results coming back from worker threads onto the results queue depends on what user interface toolkit is used, or—if the user interface is text-based—on the platform on which the program runs.</w:t>
      </w:r>
    </w:p>
    <w:p>
      <w:pPr>
        <w:pStyle w:val="Normal"/>
      </w:pPr>
      <w:r>
        <w:t>A widely applicable, though not always optimal, general strategy is for the main thread to</w:t>
      </w:r>
      <w:r>
        <w:rPr>
          <w:rStyle w:val="Text111"/>
        </w:rPr>
        <w:bookmarkStart w:id="3471" w:name="idm45965189570208"/>
        <w:t/>
        <w:bookmarkEnd w:id="3471"/>
      </w:r>
      <w:r>
        <w:t xml:space="preserve"> </w:t>
      </w:r>
      <w:r>
        <w:rPr>
          <w:rStyle w:val="Text4"/>
        </w:rPr>
        <w:t>poll</w:t>
      </w:r>
      <w:r>
        <w:t xml:space="preserve"> (check the state of the results queue periodically). On most Unix-like platforms, the function </w:t>
      </w:r>
      <w:r>
        <w:rPr>
          <w:rStyle w:val="Text0"/>
        </w:rPr>
        <w:t>alarm</w:t>
      </w:r>
      <w:r>
        <w:t xml:space="preserve"> of the module </w:t>
      </w:r>
      <w:r>
        <w:rPr>
          <w:rStyle w:val="Text0"/>
        </w:rPr>
        <w:t>signal</w:t>
      </w:r>
      <w:r>
        <w:t xml:space="preserve"> allows polling. The</w:t>
      </w:r>
      <w:r>
        <w:rPr>
          <w:rStyle w:val="Text111"/>
        </w:rPr>
        <w:bookmarkStart w:id="3472" w:name="idm45965189567008"/>
        <w:t/>
        <w:bookmarkEnd w:id="3472"/>
      </w:r>
      <w:r>
        <w:t xml:space="preserve"> </w:t>
      </w:r>
      <w:r>
        <w:rPr>
          <w:rStyle w:val="Text0"/>
        </w:rPr>
        <w:t>tkinter</w:t>
      </w:r>
      <w:r>
        <w:t xml:space="preserve"> GUI toolkit supplies an </w:t>
      </w:r>
      <w:r>
        <w:rPr>
          <w:rStyle w:val="Text0"/>
        </w:rPr>
        <w:t>after</w:t>
      </w:r>
      <w:r>
        <w:t xml:space="preserve"> method that is usable for polling. Some toolkits and platforms afford more effective strategies (such as letting a worker thread alert the main thread when it places some result on the results queue), but there is no generally available, cross-platform, cross-toolkit way to arrange for this. Therefore, the following artificial example ignores user interface events and just simulates work by evaluating random expressions, with random delays, on several worker threads, thus completing the previous</w:t>
      </w:r>
      <w:r>
        <w:rPr>
          <w:rStyle w:val="Text111"/>
        </w:rPr>
        <w:bookmarkStart w:id="3473" w:name="idm45965189530880"/>
        <w:t/>
        <w:bookmarkEnd w:id="3473"/>
        <w:bookmarkStart w:id="3474" w:name="idm45965189529664"/>
        <w:t/>
        <w:bookmarkEnd w:id="3474"/>
      </w:r>
      <w:r>
        <w:t xml:space="preserve"> example: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random</w:t>
        <w:br w:clear="none"/>
      </w:r>
      <w:r>
        <w:rPr>
          <w:rStyle w:val="Text13"/>
        </w:rPr>
        <w:t xml:space="preserve">,</w:t>
        <w:br w:clear="none"/>
      </w:r>
      <w:r>
        <w:rPr>
          <w:rStyle w:val="Text6"/>
        </w:rPr>
        <w:t xml:space="preserve"> </w:t>
        <w:br w:clear="none"/>
      </w:r>
      <w:r>
        <w:rPr>
          <w:rStyle w:val="Text20"/>
        </w:rPr>
        <w:t xml:space="preserve">time</w:t>
        <w:br w:clear="none"/>
      </w:r>
      <w:r>
        <w:rPr>
          <w:rStyle w:val="Text13"/>
        </w:rPr>
        <w:t xml:space="preserve">,</w:t>
        <w:br w:clear="none"/>
      </w:r>
      <w:r>
        <w:rPr>
          <w:rStyle w:val="Text6"/>
        </w:rPr>
        <w:t xml:space="preserve"> </w:t>
        <w:br w:clear="none"/>
      </w:r>
      <w:r>
        <w:rPr>
          <w:rStyle w:val="Text20"/>
        </w:rPr>
        <w:t xml:space="preserve">queue</w:t>
        <w:br w:clear="none"/>
      </w:r>
      <w:r>
        <w:rPr>
          <w:rStyle w:val="Text13"/>
        </w:rPr>
        <w:t xml:space="preserve">,</w:t>
        <w:br w:clear="none"/>
      </w:r>
      <w:r>
        <w:rPr>
          <w:rStyle w:val="Text6"/>
        </w:rPr>
        <w:t xml:space="preserve"> </w:t>
        <w:br w:clear="none"/>
      </w:r>
      <w:r>
        <w:rPr>
          <w:rStyle w:val="Text20"/>
        </w:rPr>
        <w:t xml:space="preserve">operator</w:t>
        <w:br w:clear="none"/>
      </w:r>
      <w:r>
        <w:rPr>
          <w:rStyle w:val="Text6"/>
        </w:rPr>
        <w:t xml:space="preserve"/>
        <w:br w:clear="none"/>
      </w:r>
      <w:r>
        <w:rPr>
          <w:rStyle w:val="Text15"/>
        </w:rPr>
        <w:t xml:space="preserve"># copy here class Worker as defined earlier</w:t>
        <w:br w:clear="none"/>
      </w:r>
      <w:r>
        <w:rPr>
          <w:rStyle w:val="Text6"/>
        </w:rPr>
        <w:t xml:space="preserve"/>
        <w:br w:clear="none"/>
        <w:t xml:space="preserve"/>
        <w:br w:clear="none"/>
      </w:r>
      <w:r>
        <w:t xml:space="preserve">requests_queue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r>
      <w:r>
        <w:t xml:space="preserve">results_queue</w:t>
        <w:br w:clear="none"/>
      </w:r>
      <w:r>
        <w:rPr>
          <w:rStyle w:val="Text6"/>
        </w:rPr>
        <w:t xml:space="preserve"> </w:t>
        <w:br w:clear="none"/>
      </w:r>
      <w:r>
        <w:rPr>
          <w:rStyle w:val="Text13"/>
        </w:rPr>
        <w:t xml:space="preserve">=</w:t>
        <w:br w:clear="none"/>
      </w:r>
      <w:r>
        <w:rPr>
          <w:rStyle w:val="Text6"/>
        </w:rPr>
        <w:t xml:space="preserve"> </w:t>
        <w:br w:clear="none"/>
      </w:r>
      <w:r>
        <w:t xml:space="preserve">queue</w:t>
        <w:br w:clear="none"/>
      </w:r>
      <w:r>
        <w:rPr>
          <w:rStyle w:val="Text13"/>
        </w:rPr>
        <w:t xml:space="preserve">.</w:t>
        <w:br w:clear="none"/>
      </w:r>
      <w:r>
        <w:t xml:space="preserve">Queue</w:t>
        <w:br w:clear="none"/>
      </w:r>
      <w:r>
        <w:rPr>
          <w:rStyle w:val="Text7"/>
        </w:rPr>
        <w:t xml:space="preserve">(</w:t>
        <w:br w:clear="none"/>
        <w:t xml:space="preserve">)</w:t>
        <w:br w:clear="none"/>
      </w:r>
      <w:r>
        <w:rPr>
          <w:rStyle w:val="Text6"/>
        </w:rPr>
        <w:t xml:space="preserve"/>
        <w:br w:clear="none"/>
        <w:t xml:space="preserve"/>
        <w:br w:clear="none"/>
      </w:r>
      <w:r>
        <w:t xml:space="preserve">number_of_workers</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3</w:t>
        <w:br w:clear="none"/>
      </w:r>
      <w:r>
        <w:rPr>
          <w:rStyle w:val="Text6"/>
        </w:rPr>
        <w:t xml:space="preserve"/>
        <w:br w:clear="none"/>
      </w:r>
      <w:r>
        <w:t xml:space="preserve">workers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Worker</w:t>
        <w:br w:clear="none"/>
      </w:r>
      <w:r>
        <w:rPr>
          <w:rStyle w:val="Text7"/>
        </w:rPr>
        <w:t xml:space="preserve">(</w:t>
        <w:br w:clear="none"/>
      </w:r>
      <w:r>
        <w:t xml:space="preserve">requests_queue</w:t>
        <w:br w:clear="none"/>
      </w:r>
      <w:r>
        <w:rPr>
          <w:rStyle w:val="Text7"/>
        </w:rPr>
        <w:t xml:space="preserve">,</w:t>
        <w:br w:clear="none"/>
      </w:r>
      <w:r>
        <w:rPr>
          <w:rStyle w:val="Text6"/>
        </w:rPr>
        <w:t xml:space="preserve"> </w:t>
        <w:br w:clear="none"/>
      </w:r>
      <w:r>
        <w:t xml:space="preserve">results_queue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number_of_workers</w:t>
        <w:br w:clear="none"/>
      </w:r>
      <w:r>
        <w:rPr>
          <w:rStyle w:val="Text7"/>
        </w:rPr>
        <w:t xml:space="preserve">)</w:t>
        <w:br w:clear="none"/>
        <w:t xml:space="preserve">]</w:t>
        <w:br w:clear="none"/>
      </w:r>
      <w:r>
        <w:rPr>
          <w:rStyle w:val="Text6"/>
        </w:rPr>
        <w:t xml:space="preserve"/>
        <w:br w:clear="none"/>
      </w:r>
      <w:r>
        <w:t xml:space="preserve">work_requests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br w:clear="none"/>
      </w:r>
      <w:r>
        <w:t xml:space="preserve">operations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operator</w:t>
        <w:br w:clear="none"/>
      </w:r>
      <w:r>
        <w:rPr>
          <w:rStyle w:val="Text13"/>
        </w:rPr>
        <w:t xml:space="preserve">.</w:t>
        <w:br w:clear="none"/>
      </w:r>
      <w:r>
        <w:t xml:space="preserve">add</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operator</w:t>
        <w:br w:clear="none"/>
      </w:r>
      <w:r>
        <w:rPr>
          <w:rStyle w:val="Text13"/>
        </w:rPr>
        <w:t xml:space="preserve">.</w:t>
        <w:br w:clear="none"/>
      </w:r>
      <w:r>
        <w:t xml:space="preserve">sub</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operator</w:t>
        <w:br w:clear="none"/>
      </w:r>
      <w:r>
        <w:rPr>
          <w:rStyle w:val="Text13"/>
        </w:rPr>
        <w:t xml:space="preserve">.</w:t>
        <w:br w:clear="none"/>
      </w:r>
      <w:r>
        <w:t xml:space="preserve">mul</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operator</w:t>
        <w:br w:clear="none"/>
      </w:r>
      <w:r>
        <w:rPr>
          <w:rStyle w:val="Text13"/>
        </w:rPr>
        <w:t xml:space="preserve">.</w:t>
        <w:br w:clear="none"/>
      </w:r>
      <w:r>
        <w:t xml:space="preserve">truediv</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operator</w:t>
        <w:br w:clear="none"/>
      </w:r>
      <w:r>
        <w:rPr>
          <w:rStyle w:val="Text13"/>
        </w:rPr>
        <w:t xml:space="preserve">.</w:t>
        <w:br w:clear="none"/>
      </w:r>
      <w:r>
        <w:t xml:space="preserve">mod</w:t>
        <w:br w:clear="none"/>
      </w:r>
      <w:r>
        <w:rPr>
          <w:rStyle w:val="Text7"/>
        </w:rPr>
        <w:t xml:space="preserve">,</w:t>
        <w:br w:clear="none"/>
      </w:r>
      <w:r>
        <w:rPr>
          <w:rStyle w:val="Text6"/>
        </w:rPr>
        <w:t xml:space="preserve"/>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pick_a_worker</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39"/>
        </w:rPr>
        <w:t xml:space="preserve">return</w:t>
        <w:br w:clear="none"/>
      </w:r>
      <w:r>
        <w:rPr>
          <w:rStyle w:val="Text6"/>
        </w:rPr>
        <w:t xml:space="preserve"> </w:t>
        <w:br w:clear="none"/>
      </w:r>
      <w:r>
        <w:t xml:space="preserve">random</w:t>
        <w:br w:clear="none"/>
      </w:r>
      <w:r>
        <w:rPr>
          <w:rStyle w:val="Text13"/>
        </w:rPr>
        <w:t xml:space="preserve">.</w:t>
        <w:br w:clear="none"/>
      </w:r>
      <w:r>
        <w:t xml:space="preserve">choice</w:t>
        <w:br w:clear="none"/>
      </w:r>
      <w:r>
        <w:rPr>
          <w:rStyle w:val="Text7"/>
        </w:rPr>
        <w:t xml:space="preserve">(</w:t>
        <w:br w:clear="none"/>
      </w:r>
      <w:r>
        <w:t xml:space="preserve">workers</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make_work</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o1</w:t>
        <w:br w:clear="none"/>
      </w:r>
      <w:r>
        <w:rPr>
          <w:rStyle w:val="Text6"/>
        </w:rPr>
        <w:t xml:space="preserve"> </w:t>
        <w:br w:clear="none"/>
      </w:r>
      <w:r>
        <w:rPr>
          <w:rStyle w:val="Text13"/>
        </w:rPr>
        <w:t xml:space="preserve">=</w:t>
        <w:br w:clear="none"/>
      </w:r>
      <w:r>
        <w:rPr>
          <w:rStyle w:val="Text6"/>
        </w:rPr>
        <w:t xml:space="preserve"> </w:t>
        <w:br w:clear="none"/>
      </w:r>
      <w:r>
        <w:t xml:space="preserve">random</w:t>
        <w:br w:clear="none"/>
      </w:r>
      <w:r>
        <w:rPr>
          <w:rStyle w:val="Text13"/>
        </w:rPr>
        <w:t xml:space="preserve">.</w:t>
        <w:br w:clear="none"/>
      </w:r>
      <w:r>
        <w:t xml:space="preserve">randrange</w:t>
        <w:br w:clear="none"/>
      </w:r>
      <w:r>
        <w:rPr>
          <w:rStyle w:val="Text7"/>
        </w:rPr>
        <w:t xml:space="preserve">(</w:t>
        <w:br w:clear="none"/>
      </w:r>
      <w:r>
        <w:rPr>
          <w:rStyle w:val="Text27"/>
        </w:rPr>
        <w:t xml:space="preserve">2</w:t>
        <w:br w:clear="none"/>
      </w:r>
      <w:r>
        <w:rPr>
          <w:rStyle w:val="Text7"/>
        </w:rPr>
        <w:t xml:space="preserve">,</w:t>
        <w:br w:clear="none"/>
      </w:r>
      <w:r>
        <w:rPr>
          <w:rStyle w:val="Text6"/>
        </w:rPr>
        <w:t xml:space="preserve"> </w:t>
        <w:br w:clear="none"/>
      </w:r>
      <w:r>
        <w:rPr>
          <w:rStyle w:val="Text27"/>
        </w:rPr>
        <w:t xml:space="preserve">10</w:t>
        <w:br w:clear="none"/>
      </w:r>
      <w:r>
        <w:rPr>
          <w:rStyle w:val="Text7"/>
        </w:rPr>
        <w:t xml:space="preserve">)</w:t>
        <w:br w:clear="none"/>
      </w:r>
      <w:r>
        <w:rPr>
          <w:rStyle w:val="Text6"/>
        </w:rPr>
        <w:t xml:space="preserve"/>
        <w:br w:clear="none"/>
        <w:t xml:space="preserve">    </w:t>
        <w:br w:clear="none"/>
      </w:r>
      <w:r>
        <w:t xml:space="preserve">o2</w:t>
        <w:br w:clear="none"/>
      </w:r>
      <w:r>
        <w:rPr>
          <w:rStyle w:val="Text6"/>
        </w:rPr>
        <w:t xml:space="preserve"> </w:t>
        <w:br w:clear="none"/>
      </w:r>
      <w:r>
        <w:rPr>
          <w:rStyle w:val="Text13"/>
        </w:rPr>
        <w:t xml:space="preserve">=</w:t>
        <w:br w:clear="none"/>
      </w:r>
      <w:r>
        <w:rPr>
          <w:rStyle w:val="Text6"/>
        </w:rPr>
        <w:t xml:space="preserve"> </w:t>
        <w:br w:clear="none"/>
      </w:r>
      <w:r>
        <w:t xml:space="preserve">random</w:t>
        <w:br w:clear="none"/>
      </w:r>
      <w:r>
        <w:rPr>
          <w:rStyle w:val="Text13"/>
        </w:rPr>
        <w:t xml:space="preserve">.</w:t>
        <w:br w:clear="none"/>
      </w:r>
      <w:r>
        <w:t xml:space="preserve">randrange</w:t>
        <w:br w:clear="none"/>
      </w:r>
      <w:r>
        <w:rPr>
          <w:rStyle w:val="Text7"/>
        </w:rPr>
        <w:t xml:space="preserve">(</w:t>
        <w:br w:clear="none"/>
      </w:r>
      <w:r>
        <w:rPr>
          <w:rStyle w:val="Text27"/>
        </w:rPr>
        <w:t xml:space="preserve">2</w:t>
        <w:br w:clear="none"/>
      </w:r>
      <w:r>
        <w:rPr>
          <w:rStyle w:val="Text7"/>
        </w:rPr>
        <w:t xml:space="preserve">,</w:t>
        <w:br w:clear="none"/>
      </w:r>
      <w:r>
        <w:rPr>
          <w:rStyle w:val="Text6"/>
        </w:rPr>
        <w:t xml:space="preserve"> </w:t>
        <w:br w:clear="none"/>
      </w:r>
      <w:r>
        <w:rPr>
          <w:rStyle w:val="Text27"/>
        </w:rPr>
        <w:t xml:space="preserve">10</w:t>
        <w:br w:clear="none"/>
      </w:r>
      <w:r>
        <w:rPr>
          <w:rStyle w:val="Text7"/>
        </w:rPr>
        <w:t xml:space="preserve">)</w:t>
        <w:br w:clear="none"/>
      </w:r>
      <w:r>
        <w:rPr>
          <w:rStyle w:val="Text6"/>
        </w:rPr>
        <w:t xml:space="preserve"/>
        <w:br w:clear="none"/>
        <w:t xml:space="preserve">    </w:t>
        <w:br w:clear="none"/>
      </w:r>
      <w:r>
        <w:t xml:space="preserve">op</w:t>
        <w:br w:clear="none"/>
      </w:r>
      <w:r>
        <w:rPr>
          <w:rStyle w:val="Text6"/>
        </w:rPr>
        <w:t xml:space="preserve"> </w:t>
        <w:br w:clear="none"/>
      </w:r>
      <w:r>
        <w:rPr>
          <w:rStyle w:val="Text13"/>
        </w:rPr>
        <w:t xml:space="preserve">=</w:t>
        <w:br w:clear="none"/>
      </w:r>
      <w:r>
        <w:rPr>
          <w:rStyle w:val="Text6"/>
        </w:rPr>
        <w:t xml:space="preserve"> </w:t>
        <w:br w:clear="none"/>
      </w:r>
      <w:r>
        <w:t xml:space="preserve">random</w:t>
        <w:br w:clear="none"/>
      </w:r>
      <w:r>
        <w:rPr>
          <w:rStyle w:val="Text13"/>
        </w:rPr>
        <w:t xml:space="preserve">.</w:t>
        <w:br w:clear="none"/>
      </w:r>
      <w:r>
        <w:t xml:space="preserve">choice</w:t>
        <w:br w:clear="none"/>
      </w:r>
      <w:r>
        <w:rPr>
          <w:rStyle w:val="Text7"/>
        </w:rPr>
        <w:t xml:space="preserve">(</w:t>
        <w:br w:clear="none"/>
      </w:r>
      <w:r>
        <w:rPr>
          <w:rStyle w:val="Text16"/>
        </w:rPr>
        <w:t xml:space="preserve">list</w:t>
        <w:br w:clear="none"/>
      </w:r>
      <w:r>
        <w:rPr>
          <w:rStyle w:val="Text7"/>
        </w:rPr>
        <w:t xml:space="preserve">(</w:t>
        <w:br w:clear="none"/>
      </w:r>
      <w:r>
        <w:t xml:space="preserve">operations</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t xml:space="preserve">f</w:t>
        <w:br w:clear="none"/>
      </w:r>
      <w:r>
        <w:rPr>
          <w:rStyle w:val="Text8"/>
        </w:rPr>
        <w:t xml:space="preserve">'</w:t>
        <w:br w:clear="none"/>
      </w:r>
      <w:r>
        <w:rPr>
          <w:rStyle w:val="Text32"/>
        </w:rPr>
        <w:t xml:space="preserve">{</w:t>
        <w:br w:clear="none"/>
      </w:r>
      <w:r>
        <w:t xml:space="preserve">o1</w:t>
        <w:br w:clear="none"/>
      </w:r>
      <w:r>
        <w:rPr>
          <w:rStyle w:val="Text32"/>
        </w:rPr>
        <w:t xml:space="preserve">}</w:t>
        <w:br w:clear="none"/>
      </w:r>
      <w:r>
        <w:rPr>
          <w:rStyle w:val="Text8"/>
        </w:rPr>
        <w:t xml:space="preserve"> </w:t>
        <w:br w:clear="none"/>
      </w:r>
      <w:r>
        <w:rPr>
          <w:rStyle w:val="Text32"/>
        </w:rPr>
        <w:t xml:space="preserve">{</w:t>
        <w:br w:clear="none"/>
      </w:r>
      <w:r>
        <w:t xml:space="preserve">op</w:t>
        <w:br w:clear="none"/>
      </w:r>
      <w:r>
        <w:rPr>
          <w:rStyle w:val="Text32"/>
        </w:rPr>
        <w:t xml:space="preserve">}</w:t>
        <w:br w:clear="none"/>
      </w:r>
      <w:r>
        <w:rPr>
          <w:rStyle w:val="Text8"/>
        </w:rPr>
        <w:t xml:space="preserve"> </w:t>
        <w:br w:clear="none"/>
      </w:r>
      <w:r>
        <w:rPr>
          <w:rStyle w:val="Text32"/>
        </w:rPr>
        <w:t xml:space="preserve">{</w:t>
        <w:br w:clear="none"/>
      </w:r>
      <w:r>
        <w:t xml:space="preserve">o2</w:t>
        <w:br w:clear="none"/>
      </w:r>
      <w:r>
        <w:rPr>
          <w:rStyle w:val="Text32"/>
        </w:rPr>
        <w:t xml:space="preserve">}</w:t>
        <w:br w:clear="none"/>
      </w:r>
      <w:r>
        <w:rPr>
          <w:rStyle w:val="Text8"/>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slow_evaluate</w:t>
        <w:br w:clear="none"/>
      </w:r>
      <w:r>
        <w:rPr>
          <w:rStyle w:val="Text7"/>
        </w:rPr>
        <w:t xml:space="preserve">(</w:t>
        <w:br w:clear="none"/>
      </w:r>
      <w:r>
        <w:t xml:space="preserve">expression_string</w:t>
        <w:br w:clear="none"/>
      </w:r>
      <w:r>
        <w:rPr>
          <w:rStyle w:val="Text7"/>
        </w:rPr>
        <w:t xml:space="preserve">)</w:t>
        <w:br w:clear="none"/>
        <w:t xml:space="preserve">:</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t xml:space="preserve">random</w:t>
        <w:br w:clear="none"/>
      </w:r>
      <w:r>
        <w:rPr>
          <w:rStyle w:val="Text13"/>
        </w:rPr>
        <w:t xml:space="preserve">.</w:t>
        <w:br w:clear="none"/>
      </w:r>
      <w:r>
        <w:t xml:space="preserve">randrange</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5</w:t>
        <w:br w:clear="none"/>
      </w:r>
      <w:r>
        <w:rPr>
          <w:rStyle w:val="Text7"/>
        </w:rPr>
        <w:t xml:space="preserve">)</w:t>
        <w:br w:clear="none"/>
        <w:t xml:space="preserve">)</w:t>
        <w:br w:clear="none"/>
      </w:r>
      <w:r>
        <w:rPr>
          <w:rStyle w:val="Text6"/>
        </w:rPr>
        <w:t xml:space="preserve"/>
        <w:br w:clear="none"/>
        <w:t xml:space="preserve">    </w:t>
        <w:br w:clear="none"/>
      </w:r>
      <w:r>
        <w:t xml:space="preserve">op1</w:t>
        <w:br w:clear="none"/>
      </w:r>
      <w:r>
        <w:rPr>
          <w:rStyle w:val="Text7"/>
        </w:rPr>
        <w:t xml:space="preserve">,</w:t>
        <w:br w:clear="none"/>
      </w:r>
      <w:r>
        <w:rPr>
          <w:rStyle w:val="Text6"/>
        </w:rPr>
        <w:t xml:space="preserve"> </w:t>
        <w:br w:clear="none"/>
      </w:r>
      <w:r>
        <w:t xml:space="preserve">oper</w:t>
        <w:br w:clear="none"/>
      </w:r>
      <w:r>
        <w:rPr>
          <w:rStyle w:val="Text7"/>
        </w:rPr>
        <w:t xml:space="preserve">,</w:t>
        <w:br w:clear="none"/>
      </w:r>
      <w:r>
        <w:rPr>
          <w:rStyle w:val="Text6"/>
        </w:rPr>
        <w:t xml:space="preserve"> </w:t>
        <w:br w:clear="none"/>
      </w:r>
      <w:r>
        <w:t xml:space="preserve">op2</w:t>
        <w:br w:clear="none"/>
      </w:r>
      <w:r>
        <w:rPr>
          <w:rStyle w:val="Text6"/>
        </w:rPr>
        <w:t xml:space="preserve"> </w:t>
        <w:br w:clear="none"/>
      </w:r>
      <w:r>
        <w:rPr>
          <w:rStyle w:val="Text13"/>
        </w:rPr>
        <w:t xml:space="preserve">=</w:t>
        <w:br w:clear="none"/>
      </w:r>
      <w:r>
        <w:rPr>
          <w:rStyle w:val="Text6"/>
        </w:rPr>
        <w:t xml:space="preserve"> </w:t>
        <w:br w:clear="none"/>
      </w:r>
      <w:r>
        <w:t xml:space="preserve">expression_string</w:t>
        <w:br w:clear="none"/>
      </w:r>
      <w:r>
        <w:rPr>
          <w:rStyle w:val="Text13"/>
        </w:rPr>
        <w:t xml:space="preserve">.</w:t>
        <w:br w:clear="none"/>
      </w:r>
      <w:r>
        <w:t xml:space="preserve">split</w:t>
        <w:br w:clear="none"/>
      </w:r>
      <w:r>
        <w:rPr>
          <w:rStyle w:val="Text7"/>
        </w:rPr>
        <w:t xml:space="preserve">(</w:t>
        <w:br w:clear="none"/>
        <w:t xml:space="preserve">)</w:t>
        <w:br w:clear="none"/>
      </w:r>
      <w:r>
        <w:rPr>
          <w:rStyle w:val="Text6"/>
        </w:rPr>
        <w:t xml:space="preserve"/>
        <w:br w:clear="none"/>
        <w:t xml:space="preserve">    </w:t>
        <w:br w:clear="none"/>
      </w:r>
      <w:r>
        <w:t xml:space="preserve">arith_function</w:t>
        <w:br w:clear="none"/>
      </w:r>
      <w:r>
        <w:rPr>
          <w:rStyle w:val="Text6"/>
        </w:rPr>
        <w:t xml:space="preserve"> </w:t>
        <w:br w:clear="none"/>
      </w:r>
      <w:r>
        <w:rPr>
          <w:rStyle w:val="Text13"/>
        </w:rPr>
        <w:t xml:space="preserve">=</w:t>
        <w:br w:clear="none"/>
      </w:r>
      <w:r>
        <w:rPr>
          <w:rStyle w:val="Text6"/>
        </w:rPr>
        <w:t xml:space="preserve"> </w:t>
        <w:br w:clear="none"/>
      </w:r>
      <w:r>
        <w:t xml:space="preserve">operations</w:t>
        <w:br w:clear="none"/>
      </w:r>
      <w:r>
        <w:rPr>
          <w:rStyle w:val="Text7"/>
        </w:rPr>
        <w:t xml:space="preserve">[</w:t>
        <w:br w:clear="none"/>
      </w:r>
      <w:r>
        <w:t xml:space="preserve">oper</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arith_function</w:t>
        <w:br w:clear="none"/>
      </w:r>
      <w:r>
        <w:rPr>
          <w:rStyle w:val="Text7"/>
        </w:rPr>
        <w:t xml:space="preserve">(</w:t>
        <w:br w:clear="none"/>
      </w:r>
      <w:r>
        <w:rPr>
          <w:rStyle w:val="Text16"/>
        </w:rPr>
        <w:t xml:space="preserve">int</w:t>
        <w:br w:clear="none"/>
      </w:r>
      <w:r>
        <w:rPr>
          <w:rStyle w:val="Text7"/>
        </w:rPr>
        <w:t xml:space="preserve">(</w:t>
        <w:br w:clear="none"/>
      </w:r>
      <w:r>
        <w:t xml:space="preserve">op1</w:t>
        <w:br w:clear="none"/>
      </w:r>
      <w:r>
        <w:rPr>
          <w:rStyle w:val="Text7"/>
        </w:rPr>
        <w:t xml:space="preserve">)</w:t>
        <w:br w:clear="none"/>
        <w:t xml:space="preserve">,</w:t>
        <w:br w:clear="none"/>
      </w:r>
      <w:r>
        <w:rPr>
          <w:rStyle w:val="Text6"/>
        </w:rPr>
        <w:t xml:space="preserve"> </w:t>
        <w:br w:clear="none"/>
      </w:r>
      <w:r>
        <w:rPr>
          <w:rStyle w:val="Text16"/>
        </w:rPr>
        <w:t xml:space="preserve">int</w:t>
        <w:br w:clear="none"/>
      </w:r>
      <w:r>
        <w:rPr>
          <w:rStyle w:val="Text7"/>
        </w:rPr>
        <w:t xml:space="preserve">(</w:t>
        <w:br w:clear="none"/>
      </w:r>
      <w:r>
        <w:t xml:space="preserve">op2</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show_results</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while</w:t>
        <w:br w:clear="none"/>
      </w:r>
      <w:r>
        <w:rPr>
          <w:rStyle w:val="Text6"/>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completed_id</w:t>
        <w:br w:clear="none"/>
      </w:r>
      <w:r>
        <w:rPr>
          <w:rStyle w:val="Text7"/>
        </w:rPr>
        <w:t xml:space="preserve">,</w:t>
        <w:br w:clear="none"/>
      </w:r>
      <w:r>
        <w:rPr>
          <w:rStyle w:val="Text6"/>
        </w:rPr>
        <w:t xml:space="preserve"> </w:t>
        <w:br w:clear="none"/>
      </w:r>
      <w:r>
        <w:t xml:space="preserve">results</w:t>
        <w:br w:clear="none"/>
      </w:r>
      <w:r>
        <w:rPr>
          <w:rStyle w:val="Text6"/>
        </w:rPr>
        <w:t xml:space="preserve"> </w:t>
        <w:br w:clear="none"/>
      </w:r>
      <w:r>
        <w:rPr>
          <w:rStyle w:val="Text13"/>
        </w:rPr>
        <w:t xml:space="preserve">=</w:t>
        <w:br w:clear="none"/>
      </w:r>
      <w:r>
        <w:rPr>
          <w:rStyle w:val="Text6"/>
        </w:rPr>
        <w:t xml:space="preserve"> </w:t>
        <w:br w:clear="none"/>
      </w:r>
      <w:r>
        <w:t xml:space="preserve">results_queue</w:t>
        <w:br w:clear="none"/>
      </w:r>
      <w:r>
        <w:rPr>
          <w:rStyle w:val="Text13"/>
        </w:rPr>
        <w:t xml:space="preserve">.</w:t>
        <w:br w:clear="none"/>
      </w:r>
      <w:r>
        <w:t xml:space="preserve">get_nowait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t xml:space="preserve">queue</w:t>
        <w:br w:clear="none"/>
      </w:r>
      <w:r>
        <w:rPr>
          <w:rStyle w:val="Text13"/>
        </w:rPr>
        <w:t xml:space="preserve">.</w:t>
        <w:br w:clear="none"/>
      </w:r>
      <w:r>
        <w:t xml:space="preserve">Empty</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br w:clear="none"/>
        <w:t xml:space="preserve">        </w:t>
        <w:br w:clear="none"/>
      </w:r>
      <w:r>
        <w:t xml:space="preserve">work_expression</w:t>
        <w:br w:clear="none"/>
      </w:r>
      <w:r>
        <w:rPr>
          <w:rStyle w:val="Text6"/>
        </w:rPr>
        <w:t xml:space="preserve"> </w:t>
        <w:br w:clear="none"/>
      </w:r>
      <w:r>
        <w:rPr>
          <w:rStyle w:val="Text13"/>
        </w:rPr>
        <w:t xml:space="preserve">=</w:t>
        <w:br w:clear="none"/>
      </w:r>
      <w:r>
        <w:rPr>
          <w:rStyle w:val="Text6"/>
        </w:rPr>
        <w:t xml:space="preserve"> </w:t>
        <w:br w:clear="none"/>
      </w:r>
      <w:r>
        <w:t xml:space="preserve">work_requests</w:t>
        <w:br w:clear="none"/>
      </w:r>
      <w:r>
        <w:rPr>
          <w:rStyle w:val="Text13"/>
        </w:rPr>
        <w:t xml:space="preserve">.</w:t>
        <w:br w:clear="none"/>
      </w:r>
      <w:r>
        <w:t xml:space="preserve">pop</w:t>
        <w:br w:clear="none"/>
      </w:r>
      <w:r>
        <w:rPr>
          <w:rStyle w:val="Text7"/>
        </w:rPr>
        <w:t xml:space="preserve">(</w:t>
        <w:br w:clear="none"/>
      </w:r>
      <w:r>
        <w:t xml:space="preserve">completed_id</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Result </w:t>
        <w:br w:clear="none"/>
      </w:r>
      <w:r>
        <w:rPr>
          <w:rStyle w:val="Text32"/>
        </w:rPr>
        <w:t xml:space="preserve">{</w:t>
        <w:br w:clear="none"/>
      </w:r>
      <w:r>
        <w:t xml:space="preserve">completed_id</w:t>
        <w:br w:clear="none"/>
      </w:r>
      <w:r>
        <w:rPr>
          <w:rStyle w:val="Text32"/>
        </w:rPr>
        <w:t xml:space="preserve">}</w:t>
        <w:br w:clear="none"/>
      </w:r>
      <w:r>
        <w:rPr>
          <w:rStyle w:val="Text8"/>
        </w:rPr>
        <w:t xml:space="preserve">: </w:t>
        <w:br w:clear="none"/>
      </w:r>
      <w:r>
        <w:rPr>
          <w:rStyle w:val="Text32"/>
        </w:rPr>
        <w:t xml:space="preserve">{</w:t>
        <w:br w:clear="none"/>
      </w:r>
      <w:r>
        <w:t xml:space="preserve">work_expression</w:t>
        <w:br w:clear="none"/>
      </w:r>
      <w:r>
        <w:rPr>
          <w:rStyle w:val="Text32"/>
        </w:rPr>
        <w:t xml:space="preserve">}</w:t>
        <w:br w:clear="none"/>
      </w:r>
      <w:r>
        <w:rPr>
          <w:rStyle w:val="Text8"/>
        </w:rPr>
        <w:t xml:space="preserve"> -&gt; </w:t>
        <w:br w:clear="none"/>
      </w:r>
      <w:r>
        <w:rPr>
          <w:rStyle w:val="Text32"/>
        </w:rPr>
        <w:t xml:space="preserve">{</w:t>
        <w:br w:clear="none"/>
      </w:r>
      <w:r>
        <w:t xml:space="preserve">results</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rPr>
          <w:rStyle w:val="Text27"/>
        </w:rPr>
        <w:t xml:space="preserve">10</w:t>
        <w:br w:clear="none"/>
      </w:r>
      <w:r>
        <w:rPr>
          <w:rStyle w:val="Text7"/>
        </w:rPr>
        <w:t xml:space="preserve">)</w:t>
        <w:br w:clear="none"/>
        <w:t xml:space="preserve">:</w:t>
        <w:br w:clear="none"/>
      </w:r>
      <w:r>
        <w:rPr>
          <w:rStyle w:val="Text6"/>
        </w:rPr>
        <w:t xml:space="preserve"/>
        <w:br w:clear="none"/>
        <w:t xml:space="preserve">    </w:t>
        <w:br w:clear="none"/>
      </w:r>
      <w:r>
        <w:t xml:space="preserve">expression_string</w:t>
        <w:br w:clear="none"/>
      </w:r>
      <w:r>
        <w:rPr>
          <w:rStyle w:val="Text6"/>
        </w:rPr>
        <w:t xml:space="preserve"> </w:t>
        <w:br w:clear="none"/>
      </w:r>
      <w:r>
        <w:rPr>
          <w:rStyle w:val="Text13"/>
        </w:rPr>
        <w:t xml:space="preserve">=</w:t>
        <w:br w:clear="none"/>
      </w:r>
      <w:r>
        <w:rPr>
          <w:rStyle w:val="Text6"/>
        </w:rPr>
        <w:t xml:space="preserve"> </w:t>
        <w:br w:clear="none"/>
      </w:r>
      <w:r>
        <w:t xml:space="preserve">make_work</w:t>
        <w:br w:clear="none"/>
      </w:r>
      <w:r>
        <w:rPr>
          <w:rStyle w:val="Text7"/>
        </w:rPr>
        <w:t xml:space="preserve">(</w:t>
        <w:br w:clear="none"/>
        <w:t xml:space="preserve">)</w:t>
        <w:br w:clear="none"/>
      </w:r>
      <w:r>
        <w:rPr>
          <w:rStyle w:val="Text6"/>
        </w:rPr>
        <w:t xml:space="preserve"/>
        <w:br w:clear="none"/>
        <w:t xml:space="preserve">    </w:t>
        <w:br w:clear="none"/>
      </w:r>
      <w:r>
        <w:t xml:space="preserve">worker</w:t>
        <w:br w:clear="none"/>
      </w:r>
      <w:r>
        <w:rPr>
          <w:rStyle w:val="Text6"/>
        </w:rPr>
        <w:t xml:space="preserve"> </w:t>
        <w:br w:clear="none"/>
      </w:r>
      <w:r>
        <w:rPr>
          <w:rStyle w:val="Text13"/>
        </w:rPr>
        <w:t xml:space="preserve">=</w:t>
        <w:br w:clear="none"/>
      </w:r>
      <w:r>
        <w:rPr>
          <w:rStyle w:val="Text6"/>
        </w:rPr>
        <w:t xml:space="preserve"> </w:t>
        <w:br w:clear="none"/>
      </w:r>
      <w:r>
        <w:t xml:space="preserve">pick_a_worker</w:t>
        <w:br w:clear="none"/>
      </w:r>
      <w:r>
        <w:rPr>
          <w:rStyle w:val="Text7"/>
        </w:rPr>
        <w:t xml:space="preserve">(</w:t>
        <w:br w:clear="none"/>
        <w:t xml:space="preserve">)</w:t>
        <w:br w:clear="none"/>
      </w:r>
      <w:r>
        <w:rPr>
          <w:rStyle w:val="Text6"/>
        </w:rPr>
        <w:t xml:space="preserve"/>
        <w:br w:clear="none"/>
        <w:t xml:space="preserve">    </w:t>
        <w:br w:clear="none"/>
      </w:r>
      <w:r>
        <w:t xml:space="preserve">request_id</w:t>
        <w:br w:clear="none"/>
      </w:r>
      <w:r>
        <w:rPr>
          <w:rStyle w:val="Text6"/>
        </w:rPr>
        <w:t xml:space="preserve"> </w:t>
        <w:br w:clear="none"/>
      </w:r>
      <w:r>
        <w:rPr>
          <w:rStyle w:val="Text13"/>
        </w:rPr>
        <w:t xml:space="preserve">=</w:t>
        <w:br w:clear="none"/>
      </w:r>
      <w:r>
        <w:rPr>
          <w:rStyle w:val="Text6"/>
        </w:rPr>
        <w:t xml:space="preserve"> </w:t>
        <w:br w:clear="none"/>
      </w:r>
      <w:r>
        <w:t xml:space="preserve">worker</w:t>
        <w:br w:clear="none"/>
      </w:r>
      <w:r>
        <w:rPr>
          <w:rStyle w:val="Text13"/>
        </w:rPr>
        <w:t xml:space="preserve">.</w:t>
        <w:br w:clear="none"/>
      </w:r>
      <w:r>
        <w:t xml:space="preserve">perform_work</w:t>
        <w:br w:clear="none"/>
      </w:r>
      <w:r>
        <w:rPr>
          <w:rStyle w:val="Text7"/>
        </w:rPr>
        <w:t xml:space="preserve">(</w:t>
        <w:br w:clear="none"/>
      </w:r>
      <w:r>
        <w:t xml:space="preserve">slow_evaluate</w:t>
        <w:br w:clear="none"/>
      </w:r>
      <w:r>
        <w:rPr>
          <w:rStyle w:val="Text7"/>
        </w:rPr>
        <w:t xml:space="preserve">,</w:t>
        <w:br w:clear="none"/>
      </w:r>
      <w:r>
        <w:rPr>
          <w:rStyle w:val="Text6"/>
        </w:rPr>
        <w:t xml:space="preserve"> </w:t>
        <w:br w:clear="none"/>
      </w:r>
      <w:r>
        <w:t xml:space="preserve">expression_string</w:t>
        <w:br w:clear="none"/>
      </w:r>
      <w:r>
        <w:rPr>
          <w:rStyle w:val="Text7"/>
        </w:rPr>
        <w:t xml:space="preserve">)</w:t>
        <w:br w:clear="none"/>
      </w:r>
      <w:r>
        <w:rPr>
          <w:rStyle w:val="Text6"/>
        </w:rPr>
        <w:t xml:space="preserve"/>
        <w:br w:clear="none"/>
        <w:t xml:space="preserve">    </w:t>
        <w:br w:clear="none"/>
      </w:r>
      <w:r>
        <w:t xml:space="preserve">work_requests</w:t>
        <w:br w:clear="none"/>
      </w:r>
      <w:r>
        <w:rPr>
          <w:rStyle w:val="Text7"/>
        </w:rPr>
        <w:t xml:space="preserve">[</w:t>
        <w:br w:clear="none"/>
      </w:r>
      <w:r>
        <w:t xml:space="preserve">request_id</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expression_string</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Submitted request </w:t>
        <w:br w:clear="none"/>
      </w:r>
      <w:r>
        <w:rPr>
          <w:rStyle w:val="Text32"/>
        </w:rPr>
        <w:t xml:space="preserve">{</w:t>
        <w:br w:clear="none"/>
      </w:r>
      <w:r>
        <w:t xml:space="preserve">request_id</w:t>
        <w:br w:clear="none"/>
      </w:r>
      <w:r>
        <w:rPr>
          <w:rStyle w:val="Text32"/>
        </w:rPr>
        <w:t xml:space="preserve">}</w:t>
        <w:br w:clear="none"/>
      </w:r>
      <w:r>
        <w:rPr>
          <w:rStyle w:val="Text8"/>
        </w:rPr>
        <w:t xml:space="preserve">: </w:t>
        <w:br w:clear="none"/>
      </w:r>
      <w:r>
        <w:rPr>
          <w:rStyle w:val="Text32"/>
        </w:rPr>
        <w:t xml:space="preserve">{</w:t>
        <w:br w:clear="none"/>
      </w:r>
      <w:r>
        <w:t xml:space="preserve">expression_string</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rPr>
          <w:rStyle w:val="Text27"/>
        </w:rPr>
        <w:t xml:space="preserve">1.0</w:t>
        <w:br w:clear="none"/>
      </w:r>
      <w:r>
        <w:rPr>
          <w:rStyle w:val="Text7"/>
        </w:rPr>
        <w:t xml:space="preserve">)</w:t>
        <w:br w:clear="none"/>
      </w:r>
      <w:r>
        <w:rPr>
          <w:rStyle w:val="Text6"/>
        </w:rPr>
        <w:t xml:space="preserve"/>
        <w:br w:clear="none"/>
        <w:t xml:space="preserve">    </w:t>
        <w:br w:clear="none"/>
      </w:r>
      <w:r>
        <w:t xml:space="preserve">show_results</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while</w:t>
        <w:br w:clear="none"/>
      </w:r>
      <w:r>
        <w:rPr>
          <w:rStyle w:val="Text6"/>
        </w:rPr>
        <w:t xml:space="preserve"> </w:t>
        <w:br w:clear="none"/>
      </w:r>
      <w:r>
        <w:t xml:space="preserve">work_requests</w:t>
        <w:br w:clear="none"/>
      </w:r>
      <w:r>
        <w:rPr>
          <w:rStyle w:val="Text7"/>
        </w:rPr>
        <w:t xml:space="preserve">:</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rPr>
          <w:rStyle w:val="Text27"/>
        </w:rPr>
        <w:t xml:space="preserve">1.0</w:t>
        <w:br w:clear="none"/>
      </w:r>
      <w:r>
        <w:rPr>
          <w:rStyle w:val="Text7"/>
        </w:rPr>
        <w:t xml:space="preserve">)</w:t>
        <w:br w:clear="none"/>
      </w:r>
      <w:r>
        <w:rPr>
          <w:rStyle w:val="Text6"/>
        </w:rPr>
        <w:t xml:space="preserve"/>
        <w:br w:clear="none"/>
        <w:t xml:space="preserve">    </w:t>
        <w:br w:clear="none"/>
      </w:r>
      <w:r>
        <w:t xml:space="preserve">show_results</w:t>
        <w:br w:clear="none"/>
      </w:r>
      <w:r>
        <w:rPr>
          <w:rStyle w:val="Text7"/>
        </w:rPr>
        <w:t xml:space="preserve">(</w:t>
        <w:br w:clear="none"/>
        <w:t xml:space="preserve">)</w:t>
        <w:br w:clear="none"/>
      </w:r>
    </w:p>
    <w:p>
      <w:bookmarkStart w:id="3475" w:name="Process_Environment__The_operati"/>
      <w:pPr>
        <w:keepNext/>
        <w:pStyle w:val="Heading 1"/>
      </w:pPr>
      <w:r>
        <w:t>Process Environment</w:t>
      </w:r>
      <w:bookmarkEnd w:id="3475"/>
    </w:p>
    <w:p>
      <w:pPr>
        <w:pStyle w:val="Normal"/>
      </w:pPr>
      <w:r>
        <w:t>The</w:t>
      </w:r>
      <w:r>
        <w:rPr>
          <w:rStyle w:val="Text111"/>
        </w:rPr>
        <w:bookmarkStart w:id="3476" w:name="idm45965189133952"/>
        <w:t/>
        <w:bookmarkEnd w:id="3476"/>
        <w:bookmarkStart w:id="3477" w:name="idm45965189132736"/>
        <w:t/>
        <w:bookmarkEnd w:id="3477"/>
      </w:r>
      <w:r>
        <w:t xml:space="preserve"> operating system supplies each process </w:t>
      </w:r>
      <w:r>
        <w:rPr>
          <w:rStyle w:val="Text3"/>
        </w:rPr>
        <w:t>P</w:t>
      </w:r>
      <w:r>
        <w:t xml:space="preserve"> with an </w:t>
      </w:r>
      <w:r>
        <w:rPr>
          <w:rStyle w:val="Text4"/>
        </w:rPr>
        <w:t>environment</w:t>
      </w:r>
      <w:r>
        <w:t xml:space="preserve">, a set of variables whose names are strings (most often, by convention, uppercase identifiers) and whose values are also strings. In </w:t>
      </w:r>
      <w:hyperlink w:anchor="Environment_Variables__Besides_P">
        <w:r>
          <w:rPr>
            <w:rStyle w:val="Text1"/>
          </w:rPr>
          <w:t>“Environment Variables”</w:t>
        </w:r>
      </w:hyperlink>
      <w:r>
        <w:t>, we cover environment variables that affect Python’s operations. Operating system shells offer ways to examine and modify the environment via shell commands and other means mentioned in that section.</w:t>
      </w:r>
    </w:p>
    <w:p>
      <w:pPr>
        <w:keepNext/>
        <w:pStyle w:val="Heading 5"/>
        <w:keepLines w:val="on"/>
      </w:pPr>
      <w:r>
        <w:t>Process Environments Are Self-Contained</w:t>
      </w:r>
    </w:p>
    <w:p>
      <w:pPr>
        <w:pStyle w:val="Para 012"/>
        <w:keepLines w:val="on"/>
      </w:pPr>
      <w:r>
        <w:t xml:space="preserve">The environment of any process </w:t>
      </w:r>
      <w:r>
        <w:rPr>
          <w:rStyle w:val="Text3"/>
        </w:rPr>
        <w:t>P</w:t>
      </w:r>
      <w:r>
        <w:t xml:space="preserve"> is determined when </w:t>
      </w:r>
      <w:r>
        <w:rPr>
          <w:rStyle w:val="Text3"/>
        </w:rPr>
        <w:t>P</w:t>
      </w:r>
      <w:r>
        <w:t xml:space="preserve"> starts. After startup, only </w:t>
      </w:r>
      <w:r>
        <w:rPr>
          <w:rStyle w:val="Text3"/>
        </w:rPr>
        <w:t>P</w:t>
      </w:r>
      <w:r>
        <w:t xml:space="preserve"> itself can change </w:t>
      </w:r>
      <w:r>
        <w:rPr>
          <w:rStyle w:val="Text3"/>
        </w:rPr>
        <w:t>P</w:t>
      </w:r>
      <w:r>
        <w:t xml:space="preserve">’s environment. Changes to </w:t>
      </w:r>
      <w:r>
        <w:rPr>
          <w:rStyle w:val="Text3"/>
        </w:rPr>
        <w:t>P</w:t>
      </w:r>
      <w:r>
        <w:t xml:space="preserve">’s environment affect only </w:t>
      </w:r>
      <w:r>
        <w:rPr>
          <w:rStyle w:val="Text3"/>
        </w:rPr>
        <w:t>P</w:t>
      </w:r>
      <w:r>
        <w:t xml:space="preserve">: the environment is </w:t>
      </w:r>
      <w:r>
        <w:rPr>
          <w:rStyle w:val="Text4"/>
        </w:rPr>
        <w:t>not</w:t>
      </w:r>
      <w:r>
        <w:t xml:space="preserve"> a means of interprocess communication. Nothing that </w:t>
      </w:r>
      <w:r>
        <w:rPr>
          <w:rStyle w:val="Text3"/>
        </w:rPr>
        <w:t>P</w:t>
      </w:r>
      <w:r>
        <w:t xml:space="preserve"> does affects the environment of </w:t>
      </w:r>
      <w:r>
        <w:rPr>
          <w:rStyle w:val="Text3"/>
        </w:rPr>
        <w:t>P</w:t>
      </w:r>
      <w:r>
        <w:t xml:space="preserve">’s parent process (the process that started </w:t>
      </w:r>
      <w:r>
        <w:rPr>
          <w:rStyle w:val="Text3"/>
        </w:rPr>
        <w:t>P</w:t>
      </w:r>
      <w:r>
        <w:t xml:space="preserve">), nor that of any child process </w:t>
      </w:r>
      <w:r>
        <w:rPr>
          <w:rStyle w:val="Text4"/>
        </w:rPr>
        <w:t>previously</w:t>
      </w:r>
      <w:r>
        <w:t xml:space="preserve"> started from </w:t>
      </w:r>
      <w:r>
        <w:rPr>
          <w:rStyle w:val="Text3"/>
        </w:rPr>
        <w:t>P</w:t>
      </w:r>
      <w:r>
        <w:t xml:space="preserve"> and now running, or of any process unrelated to </w:t>
      </w:r>
      <w:r>
        <w:rPr>
          <w:rStyle w:val="Text3"/>
        </w:rPr>
        <w:t>P</w:t>
      </w:r>
      <w:r>
        <w:t xml:space="preserve">. Child processes of </w:t>
      </w:r>
      <w:r>
        <w:rPr>
          <w:rStyle w:val="Text3"/>
        </w:rPr>
        <w:t>P</w:t>
      </w:r>
      <w:r>
        <w:t xml:space="preserve"> normally get a copy of </w:t>
      </w:r>
      <w:r>
        <w:rPr>
          <w:rStyle w:val="Text3"/>
        </w:rPr>
        <w:t>P</w:t>
      </w:r>
      <w:r>
        <w:t xml:space="preserve">’s environment as it stands at the time </w:t>
      </w:r>
      <w:r>
        <w:rPr>
          <w:rStyle w:val="Text3"/>
        </w:rPr>
        <w:t>P</w:t>
      </w:r>
      <w:r>
        <w:t xml:space="preserve"> creates that process as a starting environment. In this narrow sense, changes to </w:t>
      </w:r>
      <w:r>
        <w:rPr>
          <w:rStyle w:val="Text3"/>
        </w:rPr>
        <w:t>P</w:t>
      </w:r>
      <w:r>
        <w:t xml:space="preserve">’s environment do affect child processes that </w:t>
      </w:r>
      <w:r>
        <w:rPr>
          <w:rStyle w:val="Text3"/>
        </w:rPr>
        <w:t>P</w:t>
      </w:r>
      <w:r>
        <w:t xml:space="preserve"> starts </w:t>
      </w:r>
      <w:r>
        <w:rPr>
          <w:rStyle w:val="Text4"/>
        </w:rPr>
        <w:t>after</w:t>
      </w:r>
      <w:r>
        <w:t xml:space="preserve"> such changes.</w:t>
      </w:r>
    </w:p>
    <w:p>
      <w:pPr>
        <w:pStyle w:val="Normal"/>
      </w:pPr>
      <w:r>
        <w:t>The</w:t>
      </w:r>
      <w:r>
        <w:rPr>
          <w:rStyle w:val="Text111"/>
        </w:rPr>
        <w:bookmarkStart w:id="3478" w:name="idm45965189148560"/>
        <w:t/>
        <w:bookmarkEnd w:id="3478"/>
      </w:r>
      <w:r>
        <w:t xml:space="preserve"> module </w:t>
      </w:r>
      <w:r>
        <w:rPr>
          <w:rStyle w:val="Text0"/>
        </w:rPr>
        <w:t>os</w:t>
      </w:r>
      <w:r>
        <w:t xml:space="preserve"> supplies the attribute </w:t>
      </w:r>
      <w:r>
        <w:rPr>
          <w:rStyle w:val="Text0"/>
        </w:rPr>
        <w:t>environ</w:t>
      </w:r>
      <w:r>
        <w:t xml:space="preserve">, a mapping that represents the current process’s environment. When Python starts, it initializes </w:t>
      </w:r>
      <w:r>
        <w:rPr>
          <w:rStyle w:val="Text0"/>
        </w:rPr>
        <w:t>os.environ</w:t>
      </w:r>
      <w:r>
        <w:t xml:space="preserve"> from the process environment. Changes to </w:t>
      </w:r>
      <w:r>
        <w:rPr>
          <w:rStyle w:val="Text0"/>
        </w:rPr>
        <w:t>os.environ</w:t>
      </w:r>
      <w:r>
        <w:t xml:space="preserve"> update the current process’s environment if the platform supports such updates. Keys and values in </w:t>
      </w:r>
      <w:r>
        <w:rPr>
          <w:rStyle w:val="Text0"/>
        </w:rPr>
        <w:t>os.environ</w:t>
      </w:r>
      <w:r>
        <w:t xml:space="preserve"> must be strings. On Windows (but not on Unix-like platforms), keys into </w:t>
      </w:r>
      <w:r>
        <w:rPr>
          <w:rStyle w:val="Text0"/>
        </w:rPr>
        <w:t>os.environ</w:t>
      </w:r>
      <w:r>
        <w:t xml:space="preserve"> are implicitly uppercased. For example, here’s how to try to determine which shell or command processor you’re running under:</w:t>
      </w:r>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os</w:t>
        <w:br w:clear="none"/>
      </w:r>
      <w:r>
        <w:rPr>
          <w:rStyle w:val="Text6"/>
        </w:rPr>
        <w:t xml:space="preserve"/>
        <w:br w:clear="none"/>
      </w:r>
      <w:r>
        <w:rPr>
          <w:rStyle w:val="Text9"/>
        </w:rPr>
        <w:t xml:space="preserve">shell</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os</w:t>
        <w:br w:clear="none"/>
      </w:r>
      <w:r>
        <w:rPr>
          <w:rStyle w:val="Text13"/>
        </w:rPr>
        <w:t xml:space="preserve">.</w:t>
        <w:br w:clear="none"/>
      </w:r>
      <w:r>
        <w:rPr>
          <w:rStyle w:val="Text9"/>
        </w:rPr>
        <w:t xml:space="preserve">environ</w:t>
        <w:br w:clear="none"/>
      </w:r>
      <w:r>
        <w:rPr>
          <w:rStyle w:val="Text13"/>
        </w:rPr>
        <w:t xml:space="preserve">.</w:t>
        <w:br w:clear="none"/>
      </w:r>
      <w:r>
        <w:rPr>
          <w:rStyle w:val="Text9"/>
        </w:rPr>
        <w:t xml:space="preserve">get</w:t>
        <w:br w:clear="none"/>
      </w:r>
      <w:r>
        <w:rPr>
          <w:rStyle w:val="Text7"/>
        </w:rPr>
        <w:t xml:space="preserve">(</w:t>
        <w:br w:clear="none"/>
      </w:r>
      <w:r>
        <w:t xml:space="preserve">'</w:t>
        <w:br w:clear="none"/>
        <w:t xml:space="preserve">COMSPEC</w:t>
        <w:br w:clear="none"/>
        <w:t xml:space="preserve">'</w:t>
        <w:br w:clear="none"/>
      </w:r>
      <w:r>
        <w:rPr>
          <w:rStyle w:val="Text7"/>
        </w:rPr>
        <w:t xml:space="preserve">)</w:t>
        <w:br w:clear="none"/>
      </w:r>
      <w:r>
        <w:rPr>
          <w:rStyle w:val="Text6"/>
        </w:rPr>
        <w:t xml:space="preserve"/>
        <w:br w:clear="none"/>
      </w:r>
      <w:r>
        <w:rPr>
          <w:rStyle w:val="Text10"/>
        </w:rPr>
        <w:t xml:space="preserve">if</w:t>
        <w:br w:clear="none"/>
      </w:r>
      <w:r>
        <w:rPr>
          <w:rStyle w:val="Text6"/>
        </w:rPr>
        <w:t xml:space="preserve"> </w:t>
        <w:br w:clear="none"/>
      </w:r>
      <w:r>
        <w:rPr>
          <w:rStyle w:val="Text9"/>
        </w:rPr>
        <w:t xml:space="preserve">shell</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9"/>
        </w:rPr>
        <w:t xml:space="preserve">shell</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os</w:t>
        <w:br w:clear="none"/>
      </w:r>
      <w:r>
        <w:rPr>
          <w:rStyle w:val="Text13"/>
        </w:rPr>
        <w:t xml:space="preserve">.</w:t>
        <w:br w:clear="none"/>
      </w:r>
      <w:r>
        <w:rPr>
          <w:rStyle w:val="Text9"/>
        </w:rPr>
        <w:t xml:space="preserve">environ</w:t>
        <w:br w:clear="none"/>
      </w:r>
      <w:r>
        <w:rPr>
          <w:rStyle w:val="Text13"/>
        </w:rPr>
        <w:t xml:space="preserve">.</w:t>
        <w:br w:clear="none"/>
      </w:r>
      <w:r>
        <w:rPr>
          <w:rStyle w:val="Text9"/>
        </w:rPr>
        <w:t xml:space="preserve">get</w:t>
        <w:br w:clear="none"/>
      </w:r>
      <w:r>
        <w:rPr>
          <w:rStyle w:val="Text7"/>
        </w:rPr>
        <w:t xml:space="preserve">(</w:t>
        <w:br w:clear="none"/>
      </w:r>
      <w:r>
        <w:t xml:space="preserve">'</w:t>
        <w:br w:clear="none"/>
        <w:t xml:space="preserve">SHELL</w:t>
        <w:br w:clear="none"/>
        <w:t xml:space="preserve">'</w:t>
        <w:br w:clear="none"/>
      </w:r>
      <w:r>
        <w:rPr>
          <w:rStyle w:val="Text7"/>
        </w:rPr>
        <w:t xml:space="preserve">)</w:t>
        <w:br w:clear="none"/>
      </w:r>
      <w:r>
        <w:rPr>
          <w:rStyle w:val="Text6"/>
        </w:rPr>
        <w:t xml:space="preserve"/>
        <w:br w:clear="none"/>
      </w:r>
      <w:r>
        <w:rPr>
          <w:rStyle w:val="Text10"/>
        </w:rPr>
        <w:t xml:space="preserve">if</w:t>
        <w:br w:clear="none"/>
      </w:r>
      <w:r>
        <w:rPr>
          <w:rStyle w:val="Text6"/>
        </w:rPr>
        <w:t xml:space="preserve"> </w:t>
        <w:br w:clear="none"/>
      </w:r>
      <w:r>
        <w:rPr>
          <w:rStyle w:val="Text9"/>
        </w:rPr>
        <w:t xml:space="preserve">shell</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9"/>
        </w:rPr>
        <w:t xml:space="preserve">shell</w:t>
        <w:br w:clear="none"/>
      </w:r>
      <w:r>
        <w:rPr>
          <w:rStyle w:val="Text6"/>
        </w:rPr>
        <w:t xml:space="preserve"> </w:t>
        <w:br w:clear="none"/>
      </w:r>
      <w:r>
        <w:rPr>
          <w:rStyle w:val="Text13"/>
        </w:rPr>
        <w:t xml:space="preserve">=</w:t>
        <w:br w:clear="none"/>
      </w:r>
      <w:r>
        <w:rPr>
          <w:rStyle w:val="Text6"/>
        </w:rPr>
        <w:t xml:space="preserve"> </w:t>
        <w:br w:clear="none"/>
      </w:r>
      <w:r>
        <w:t xml:space="preserve">'</w:t>
        <w:br w:clear="none"/>
        <w:t xml:space="preserve">an unknown command processor</w:t>
        <w:br w:clear="none"/>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w:t>
        <w:br w:clear="none"/>
        <w:t xml:space="preserve">Running under </w:t>
        <w:br w:clear="none"/>
        <w:t xml:space="preserve">'</w:t>
        <w:br w:clear="none"/>
      </w:r>
      <w:r>
        <w:rPr>
          <w:rStyle w:val="Text7"/>
        </w:rPr>
        <w:t xml:space="preserve">,</w:t>
        <w:br w:clear="none"/>
      </w:r>
      <w:r>
        <w:rPr>
          <w:rStyle w:val="Text6"/>
        </w:rPr>
        <w:t xml:space="preserve"> </w:t>
        <w:br w:clear="none"/>
      </w:r>
      <w:r>
        <w:rPr>
          <w:rStyle w:val="Text9"/>
        </w:rPr>
        <w:t xml:space="preserve">shell</w:t>
        <w:br w:clear="none"/>
      </w:r>
      <w:r>
        <w:rPr>
          <w:rStyle w:val="Text7"/>
        </w:rPr>
        <w:t xml:space="preserve">)</w:t>
        <w:br w:clear="none"/>
      </w:r>
    </w:p>
    <w:p>
      <w:pPr>
        <w:pStyle w:val="Normal"/>
      </w:pPr>
      <w:r>
        <w:t xml:space="preserve">When a Python program changes its environment (e.g., via </w:t>
      </w:r>
      <w:r>
        <w:rPr>
          <w:rStyle w:val="Text0"/>
        </w:rPr>
        <w:t>os.environ['X'] = 'Y'</w:t>
      </w:r>
      <w:r>
        <w:t xml:space="preserve">), this does not affect the environment of the shell or command processor that started the program. As already explained—and for </w:t>
      </w:r>
      <w:r>
        <w:rPr>
          <w:rStyle w:val="Text37"/>
        </w:rPr>
        <w:t>all</w:t>
      </w:r>
      <w:r>
        <w:t xml:space="preserve"> programming languages, including Python—changes to a process’s environment affect only the process itself, not other processes that are currently running.</w:t>
      </w:r>
    </w:p>
    <w:p>
      <w:bookmarkStart w:id="3479" w:name="Running_Other_Programs__You_can"/>
      <w:pPr>
        <w:keepNext/>
        <w:pStyle w:val="Heading 1"/>
      </w:pPr>
      <w:r>
        <w:t>Running Other Programs</w:t>
      </w:r>
      <w:bookmarkEnd w:id="3479"/>
    </w:p>
    <w:p>
      <w:pPr>
        <w:pStyle w:val="Normal"/>
      </w:pPr>
      <w:r>
        <w:t>You</w:t>
      </w:r>
      <w:r>
        <w:rPr>
          <w:rStyle w:val="Text111"/>
        </w:rPr>
        <w:bookmarkStart w:id="3480" w:name="TAPother15"/>
        <w:t/>
        <w:bookmarkEnd w:id="3480"/>
      </w:r>
      <w:r>
        <w:t xml:space="preserve"> can run other programs via low-level functions in the </w:t>
      </w:r>
      <w:r>
        <w:rPr>
          <w:rStyle w:val="Text0"/>
        </w:rPr>
        <w:t>os</w:t>
      </w:r>
      <w:r>
        <w:t xml:space="preserve"> module, or (at a higher and usually preferable level of abstraction) with the </w:t>
      </w:r>
      <w:r>
        <w:rPr>
          <w:rStyle w:val="Text0"/>
        </w:rPr>
        <w:t>subprocess</w:t>
      </w:r>
      <w:r>
        <w:t xml:space="preserve"> module.</w:t>
      </w:r>
    </w:p>
    <w:p>
      <w:bookmarkStart w:id="3481" w:name="Using_the_Subprocess_Module__The"/>
      <w:pPr>
        <w:keepNext/>
        <w:pStyle w:val="Heading 2"/>
      </w:pPr>
      <w:r>
        <w:t>Using the Subprocess Module</w:t>
      </w:r>
      <w:bookmarkEnd w:id="3481"/>
    </w:p>
    <w:p>
      <w:pPr>
        <w:pStyle w:val="Normal"/>
      </w:pPr>
      <w:r>
        <w:t>The</w:t>
      </w:r>
      <w:r>
        <w:rPr>
          <w:rStyle w:val="Text111"/>
        </w:rPr>
        <w:bookmarkStart w:id="3482" w:name="submod15"/>
        <w:t/>
        <w:bookmarkEnd w:id="3482"/>
        <w:bookmarkStart w:id="3483" w:name="idm45965188985952"/>
        <w:t/>
        <w:bookmarkEnd w:id="3483"/>
      </w:r>
      <w:r>
        <w:t xml:space="preserve"> </w:t>
      </w:r>
      <w:r>
        <w:rPr>
          <w:rStyle w:val="Text0"/>
        </w:rPr>
        <w:t>subprocess</w:t>
      </w:r>
      <w:r>
        <w:t xml:space="preserve"> module supplies one very</w:t>
      </w:r>
      <w:r>
        <w:rPr>
          <w:rStyle w:val="Text111"/>
        </w:rPr>
        <w:bookmarkStart w:id="3484" w:name="idm45965188943520"/>
        <w:t/>
        <w:bookmarkEnd w:id="3484"/>
      </w:r>
      <w:r>
        <w:t xml:space="preserve"> broad class: </w:t>
      </w:r>
      <w:r>
        <w:rPr>
          <w:rStyle w:val="Text0"/>
        </w:rPr>
        <w:t>Popen</w:t>
      </w:r>
      <w:r>
        <w:t xml:space="preserve">, which supports many diverse ways for your program to run another program. The constructor for </w:t>
      </w:r>
      <w:r>
        <w:rPr>
          <w:rStyle w:val="Text0"/>
        </w:rPr>
        <w:t>Popen</w:t>
      </w:r>
      <w:r>
        <w:t xml:space="preserve"> has the</w:t>
      </w:r>
      <w:r>
        <w:rPr>
          <w:rStyle w:val="Text111"/>
        </w:rPr>
        <w:bookmarkStart w:id="3485" w:name="idm45965188941312"/>
        <w:t/>
        <w:bookmarkEnd w:id="3485"/>
      </w:r>
      <w:r>
        <w:t xml:space="preserv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Popen</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Popen(</w:t>
            </w:r>
            <w:r>
              <w:rPr>
                <w:rStyle w:val="Text3"/>
              </w:rPr>
              <w:t>args</w:t>
            </w:r>
            <w:r>
              <w:rPr>
                <w:rStyle w:val="Text0"/>
              </w:rPr>
              <w:t>, bufsize=0, executable=</w:t>
            </w:r>
            <w:r>
              <w:rPr>
                <w:rStyle w:val="Text5"/>
              </w:rPr>
              <w:t>None</w:t>
            </w:r>
            <w:r>
              <w:rPr>
                <w:rStyle w:val="Text0"/>
              </w:rPr>
              <w:t>, capture_output=</w:t>
            </w:r>
            <w:r>
              <w:rPr>
                <w:rStyle w:val="Text5"/>
              </w:rPr>
              <w:t>False</w:t>
            </w:r>
            <w:r>
              <w:rPr>
                <w:rStyle w:val="Text0"/>
              </w:rPr>
              <w:t>, stdin=</w:t>
            </w:r>
            <w:r>
              <w:rPr>
                <w:rStyle w:val="Text5"/>
              </w:rPr>
              <w:t>None</w:t>
            </w:r>
            <w:r>
              <w:rPr>
                <w:rStyle w:val="Text0"/>
              </w:rPr>
              <w:t>, stdout=</w:t>
            </w:r>
            <w:r>
              <w:rPr>
                <w:rStyle w:val="Text5"/>
              </w:rPr>
              <w:t>None</w:t>
            </w:r>
            <w:r>
              <w:rPr>
                <w:rStyle w:val="Text0"/>
              </w:rPr>
              <w:t>, stderr=</w:t>
            </w:r>
            <w:r>
              <w:rPr>
                <w:rStyle w:val="Text5"/>
              </w:rPr>
              <w:t>None</w:t>
            </w:r>
            <w:r>
              <w:rPr>
                <w:rStyle w:val="Text0"/>
              </w:rPr>
              <w:t>, preexec_fn=</w:t>
            </w:r>
            <w:r>
              <w:rPr>
                <w:rStyle w:val="Text5"/>
              </w:rPr>
              <w:t>None</w:t>
            </w:r>
            <w:r>
              <w:rPr>
                <w:rStyle w:val="Text0"/>
              </w:rPr>
              <w:t>, close_fds=</w:t>
            </w:r>
            <w:r>
              <w:rPr>
                <w:rStyle w:val="Text5"/>
              </w:rPr>
              <w:t>False</w:t>
            </w:r>
            <w:r>
              <w:rPr>
                <w:rStyle w:val="Text0"/>
              </w:rPr>
              <w:t>, shell=</w:t>
            </w:r>
            <w:r>
              <w:rPr>
                <w:rStyle w:val="Text5"/>
              </w:rPr>
              <w:t>False</w:t>
            </w:r>
            <w:r>
              <w:rPr>
                <w:rStyle w:val="Text0"/>
              </w:rPr>
              <w:t>, cwd=</w:t>
            </w:r>
            <w:r>
              <w:rPr>
                <w:rStyle w:val="Text5"/>
              </w:rPr>
              <w:t>None</w:t>
            </w:r>
            <w:r>
              <w:rPr>
                <w:rStyle w:val="Text0"/>
              </w:rPr>
              <w:t>, env=</w:t>
            </w:r>
            <w:r>
              <w:rPr>
                <w:rStyle w:val="Text5"/>
              </w:rPr>
              <w:t>None</w:t>
            </w:r>
            <w:r>
              <w:rPr>
                <w:rStyle w:val="Text0"/>
              </w:rPr>
              <w:t>, text=</w:t>
            </w:r>
            <w:r>
              <w:rPr>
                <w:rStyle w:val="Text5"/>
              </w:rPr>
              <w:t>None</w:t>
            </w:r>
            <w:r>
              <w:rPr>
                <w:rStyle w:val="Text0"/>
              </w:rPr>
              <w:t>, universal_newlines=</w:t>
            </w:r>
            <w:r>
              <w:rPr>
                <w:rStyle w:val="Text5"/>
              </w:rPr>
              <w:t>False</w:t>
            </w:r>
            <w:r>
              <w:rPr>
                <w:rStyle w:val="Text0"/>
              </w:rPr>
              <w:t>, startupinfo=</w:t>
            </w:r>
            <w:r>
              <w:rPr>
                <w:rStyle w:val="Text5"/>
              </w:rPr>
              <w:t>None</w:t>
            </w:r>
            <w:r>
              <w:rPr>
                <w:rStyle w:val="Text0"/>
              </w:rPr>
              <w:t>, creationflags=0)</w:t>
              <w:br w:clear="none"/>
            </w:r>
            <w:r>
              <w:t xml:space="preserve"> </w:t>
            </w:r>
            <w:r>
              <w:rPr>
                <w:rStyle w:val="Text0"/>
              </w:rPr>
              <w:t>Popen</w:t>
            </w:r>
            <w:r>
              <w:t xml:space="preserve"> starts a subprocess to run a distinct program, and creates and returns an object </w:t>
            </w:r>
            <w:r>
              <w:rPr>
                <w:rStyle w:val="Text3"/>
              </w:rPr>
              <w:t>p</w:t>
            </w:r>
            <w:r>
              <w:t xml:space="preserve">, representing that subprocess. The </w:t>
            </w:r>
            <w:r>
              <w:rPr>
                <w:rStyle w:val="Text3"/>
              </w:rPr>
              <w:t>args</w:t>
            </w:r>
            <w:r>
              <w:t xml:space="preserve"> mandatory argument and the many optional named arguments control all details of how the subprocess is to run.</w:t>
              <w:br w:clear="none"/>
              <w:t xml:space="preserve"> When any exception occurs during the subprocess creation (before the distinct program starts), </w:t>
            </w:r>
            <w:r>
              <w:rPr>
                <w:rStyle w:val="Text0"/>
              </w:rPr>
              <w:t>Popen</w:t>
            </w:r>
            <w:r>
              <w:t xml:space="preserve"> re-raises that exception in the calling process with the addition of an attribute named </w:t>
            </w:r>
            <w:r>
              <w:rPr>
                <w:rStyle w:val="Text0"/>
              </w:rPr>
              <w:t>child_traceback</w:t>
            </w:r>
            <w:r>
              <w:t xml:space="preserve">, which is the Python traceback object for the subprocess. Such an exception would normally be an instance of </w:t>
            </w:r>
            <w:r>
              <w:rPr>
                <w:rStyle w:val="Text0"/>
              </w:rPr>
              <w:t>OSError</w:t>
            </w:r>
            <w:r>
              <w:t xml:space="preserve"> (or possibly </w:t>
            </w:r>
            <w:r>
              <w:rPr>
                <w:rStyle w:val="Text0"/>
              </w:rPr>
              <w:t>TypeError</w:t>
            </w:r>
            <w:r>
              <w:t xml:space="preserve"> or </w:t>
            </w:r>
            <w:r>
              <w:rPr>
                <w:rStyle w:val="Text0"/>
              </w:rPr>
              <w:t>ValueError</w:t>
            </w:r>
            <w:r>
              <w:t xml:space="preserve"> to indicate that you’ve passed to </w:t>
            </w:r>
            <w:r>
              <w:rPr>
                <w:rStyle w:val="Text0"/>
              </w:rPr>
              <w:t>Popen</w:t>
            </w:r>
            <w:r>
              <w:t xml:space="preserve"> an argument that’s invalid in type or value).</w:t>
            </w:r>
          </w:p>
        </w:tc>
      </w:tr>
    </w:tbl>
    <w:p>
      <w:pPr>
        <w:keepNext/>
        <w:pStyle w:val="Heading 5"/>
        <w:keepLines w:val="on"/>
      </w:pPr>
      <w:r>
        <w:t>subprocess.run() is a Convenience Wrapper Function for Popen</w:t>
      </w:r>
    </w:p>
    <w:p>
      <w:pPr>
        <w:pStyle w:val="Para 012"/>
        <w:keepLines w:val="on"/>
      </w:pPr>
      <w:r>
        <w:t xml:space="preserve">The subprocess module includes the </w:t>
      </w:r>
      <w:r>
        <w:rPr>
          <w:rStyle w:val="Text0"/>
        </w:rPr>
        <w:t>run</w:t>
      </w:r>
      <w:r>
        <w:t xml:space="preserve"> function that encapsulates a </w:t>
      </w:r>
      <w:r>
        <w:rPr>
          <w:rStyle w:val="Text0"/>
        </w:rPr>
        <w:t>Popen</w:t>
      </w:r>
      <w:r>
        <w:t xml:space="preserve"> instance and executes the most common processing flow on it. </w:t>
      </w:r>
      <w:r>
        <w:rPr>
          <w:rStyle w:val="Text0"/>
        </w:rPr>
        <w:t>run</w:t>
      </w:r>
      <w:r>
        <w:t xml:space="preserve"> accepts the same arguments as </w:t>
      </w:r>
      <w:r>
        <w:rPr>
          <w:rStyle w:val="Text0"/>
        </w:rPr>
        <w:t>Popen</w:t>
      </w:r>
      <w:r>
        <w:t xml:space="preserve">’s constructor, runs the given command, waits for completion or timeout, and returns a </w:t>
      </w:r>
      <w:r>
        <w:rPr>
          <w:rStyle w:val="Text0"/>
        </w:rPr>
        <w:t>CompletedProcess</w:t>
      </w:r>
      <w:r>
        <w:t xml:space="preserve"> instance with attributes for the return code and stdout and </w:t>
      </w:r>
      <w:r>
        <w:rPr>
          <w:rStyle w:val="Text0"/>
        </w:rPr>
        <w:t>stderr</w:t>
      </w:r>
      <w:r>
        <w:t xml:space="preserve"> contents.</w:t>
      </w:r>
    </w:p>
    <w:p>
      <w:pPr>
        <w:pStyle w:val="Para 012"/>
        <w:keepLines w:val="on"/>
      </w:pPr>
      <w:r>
        <w:t xml:space="preserve">If the output of the command needs to be captured, the most common argument values would be to set the </w:t>
      </w:r>
      <w:r>
        <w:rPr>
          <w:rStyle w:val="Text0"/>
        </w:rPr>
        <w:t>capture_output</w:t>
      </w:r>
      <w:r>
        <w:t xml:space="preserve"> and </w:t>
      </w:r>
      <w:r>
        <w:rPr>
          <w:rStyle w:val="Text0"/>
        </w:rPr>
        <w:t>text</w:t>
      </w:r>
      <w:r>
        <w:t xml:space="preserve"> arguments to </w:t>
      </w:r>
      <w:r>
        <w:rPr>
          <w:rStyle w:val="Text5"/>
        </w:rPr>
        <w:t>True</w:t>
      </w:r>
      <w:r>
        <w:t>.</w:t>
      </w:r>
    </w:p>
    <w:p>
      <w:bookmarkStart w:id="3486" w:name="What_to_run__and_how__args_is_a"/>
      <w:pPr>
        <w:keepNext/>
        <w:pStyle w:val="Heading 2"/>
      </w:pPr>
      <w:r>
        <w:t>What to run, and how</w:t>
      </w:r>
      <w:bookmarkEnd w:id="3486"/>
    </w:p>
    <w:p>
      <w:pPr>
        <w:pStyle w:val="Normal"/>
      </w:pPr>
      <w:r>
        <w:rPr>
          <w:rStyle w:val="Text3"/>
        </w:rPr>
        <w:t>args</w:t>
      </w:r>
      <w:r>
        <w:t xml:space="preserve"> is a sequence of strings: the first item is the path to the program to execute, and the following items, if any, are arguments to pass to the program (</w:t>
      </w:r>
      <w:r>
        <w:rPr>
          <w:rStyle w:val="Text3"/>
        </w:rPr>
        <w:t>args</w:t>
      </w:r>
      <w:r>
        <w:t xml:space="preserve"> can also be just a string, when you don’t need to pass arguments). </w:t>
      </w:r>
      <w:r>
        <w:rPr>
          <w:rStyle w:val="Text0"/>
        </w:rPr>
        <w:t>executable</w:t>
      </w:r>
      <w:r>
        <w:t xml:space="preserve">, when not </w:t>
      </w:r>
      <w:r>
        <w:rPr>
          <w:rStyle w:val="Text5"/>
        </w:rPr>
        <w:t>None</w:t>
      </w:r>
      <w:r>
        <w:t xml:space="preserve">, overrides </w:t>
      </w:r>
      <w:r>
        <w:rPr>
          <w:rStyle w:val="Text3"/>
        </w:rPr>
        <w:t>args</w:t>
      </w:r>
      <w:r>
        <w:t xml:space="preserve"> in determining which program to execute. When </w:t>
      </w:r>
      <w:r>
        <w:rPr>
          <w:rStyle w:val="Text0"/>
        </w:rPr>
        <w:t>shell</w:t>
      </w:r>
      <w:r>
        <w:t xml:space="preserve"> is </w:t>
      </w:r>
      <w:r>
        <w:rPr>
          <w:rStyle w:val="Text5"/>
        </w:rPr>
        <w:t>True</w:t>
      </w:r>
      <w:r>
        <w:t xml:space="preserve">, </w:t>
      </w:r>
      <w:r>
        <w:rPr>
          <w:rStyle w:val="Text0"/>
        </w:rPr>
        <w:t>executable</w:t>
      </w:r>
      <w:r>
        <w:t xml:space="preserve"> specifies which shell to use to run the subprocess; when </w:t>
      </w:r>
      <w:r>
        <w:rPr>
          <w:rStyle w:val="Text0"/>
        </w:rPr>
        <w:t>shell</w:t>
      </w:r>
      <w:r>
        <w:t xml:space="preserve"> is </w:t>
      </w:r>
      <w:r>
        <w:rPr>
          <w:rStyle w:val="Text5"/>
        </w:rPr>
        <w:t>True</w:t>
      </w:r>
      <w:r>
        <w:t xml:space="preserve"> and </w:t>
      </w:r>
      <w:r>
        <w:rPr>
          <w:rStyle w:val="Text0"/>
        </w:rPr>
        <w:t>executable</w:t>
      </w:r>
      <w:r>
        <w:t xml:space="preserve"> is </w:t>
      </w:r>
      <w:r>
        <w:rPr>
          <w:rStyle w:val="Text5"/>
        </w:rPr>
        <w:t>None</w:t>
      </w:r>
      <w:r>
        <w:t xml:space="preserve">, the shell used is </w:t>
      </w:r>
      <w:r>
        <w:rPr>
          <w:rStyle w:val="Text4"/>
        </w:rPr>
        <w:t>/bin/sh</w:t>
      </w:r>
      <w:r>
        <w:t xml:space="preserve"> on Unix-like systems (on Windows, it’s </w:t>
      </w:r>
      <w:r>
        <w:rPr>
          <w:rStyle w:val="Text0"/>
        </w:rPr>
        <w:t>os.environ['COMSPEC']</w:t>
      </w:r>
      <w:r>
        <w:t>).</w:t>
      </w:r>
    </w:p>
    <w:p>
      <w:bookmarkStart w:id="3487" w:name="Subprocess_files__stdin__stdout"/>
      <w:pPr>
        <w:keepNext/>
        <w:pStyle w:val="Heading 2"/>
      </w:pPr>
      <w:r>
        <w:t>Subprocess files</w:t>
      </w:r>
      <w:bookmarkEnd w:id="3487"/>
    </w:p>
    <w:p>
      <w:pPr>
        <w:pStyle w:val="Normal"/>
      </w:pPr>
      <w:r>
        <w:rPr>
          <w:rStyle w:val="Text0"/>
        </w:rPr>
        <w:t>stdin</w:t>
      </w:r>
      <w:r>
        <w:t xml:space="preserve">, </w:t>
      </w:r>
      <w:r>
        <w:rPr>
          <w:rStyle w:val="Text0"/>
        </w:rPr>
        <w:t>stdout</w:t>
      </w:r>
      <w:r>
        <w:t xml:space="preserve">, and </w:t>
      </w:r>
      <w:r>
        <w:rPr>
          <w:rStyle w:val="Text0"/>
        </w:rPr>
        <w:t>stderr</w:t>
      </w:r>
      <w:r>
        <w:t xml:space="preserve"> specify the subprocess’s standard input, output, and error files, respectively. Each may be </w:t>
      </w:r>
      <w:r>
        <w:rPr>
          <w:rStyle w:val="Text0"/>
        </w:rPr>
        <w:t>PIPE</w:t>
      </w:r>
      <w:r>
        <w:t xml:space="preserve">, which creates a new pipe to/from the subprocess; </w:t>
      </w:r>
      <w:r>
        <w:rPr>
          <w:rStyle w:val="Text5"/>
        </w:rPr>
        <w:t>None</w:t>
      </w:r>
      <w:r>
        <w:t xml:space="preserve">, meaning that the subprocess is to use the same file as this (“parent”) process; or a file object (or file descriptor) that’s already suitably open (for reading, for standard input; for writing, for standard output and standard error). </w:t>
      </w:r>
      <w:r>
        <w:rPr>
          <w:rStyle w:val="Text0"/>
        </w:rPr>
        <w:t>stderr</w:t>
      </w:r>
      <w:r>
        <w:t xml:space="preserve"> may also be </w:t>
      </w:r>
      <w:r>
        <w:rPr>
          <w:rStyle w:val="Text0"/>
        </w:rPr>
        <w:t>subprocess.STDOUT</w:t>
      </w:r>
      <w:r>
        <w:t>, meaning that the subprocess’s standard error must use the same file as its standard output.</w:t>
      </w:r>
      <w:hyperlink w:anchor="4_Just_like_2__1_would_specify_i">
        <w:r>
          <w:rPr>
            <w:rStyle w:val="Text41"/>
          </w:rPr>
          <w:bookmarkStart w:id="3488" w:name="4_7"/>
          <w:t>4</w:t>
          <w:bookmarkEnd w:id="3488"/>
        </w:r>
      </w:hyperlink>
      <w:r>
        <w:t xml:space="preserve"> When </w:t>
      </w:r>
      <w:r>
        <w:rPr>
          <w:rStyle w:val="Text0"/>
        </w:rPr>
        <w:t>capture_output</w:t>
      </w:r>
      <w:r>
        <w:t xml:space="preserve"> is true, you can not specify </w:t>
      </w:r>
      <w:r>
        <w:rPr>
          <w:rStyle w:val="Text0"/>
        </w:rPr>
        <w:t>stdout</w:t>
      </w:r>
      <w:r>
        <w:t xml:space="preserve">, nor </w:t>
      </w:r>
      <w:r>
        <w:rPr>
          <w:rStyle w:val="Text0"/>
        </w:rPr>
        <w:t>stderr</w:t>
      </w:r>
      <w:r>
        <w:t xml:space="preserve">: rather, behavior is just as if each was specified as </w:t>
      </w:r>
      <w:r>
        <w:rPr>
          <w:rStyle w:val="Text0"/>
        </w:rPr>
        <w:t>PIPE</w:t>
      </w:r>
      <w:r>
        <w:t xml:space="preserve">. </w:t>
      </w:r>
      <w:r>
        <w:rPr>
          <w:rStyle w:val="Text0"/>
        </w:rPr>
        <w:t>bufsize</w:t>
      </w:r>
      <w:r>
        <w:t xml:space="preserve"> controls the buffering of these files (unless they’re already open), with the same semantics as the same argument to the </w:t>
      </w:r>
      <w:r>
        <w:rPr>
          <w:rStyle w:val="Text0"/>
        </w:rPr>
        <w:t>open</w:t>
      </w:r>
      <w:r>
        <w:t xml:space="preserve"> function covered in </w:t>
      </w:r>
      <w:hyperlink w:anchor="Creating_a_File_Object_with_open">
        <w:r>
          <w:rPr>
            <w:rStyle w:val="Text1"/>
          </w:rPr>
          <w:t>“Creating a File Object with open”</w:t>
        </w:r>
      </w:hyperlink>
      <w:r>
        <w:t xml:space="preserve"> (the default, </w:t>
      </w:r>
      <w:r>
        <w:rPr>
          <w:rStyle w:val="Text0"/>
        </w:rPr>
        <w:t>0</w:t>
      </w:r>
      <w:r>
        <w:t xml:space="preserve">, means “unbuffered”). When </w:t>
      </w:r>
      <w:r>
        <w:rPr>
          <w:rStyle w:val="Text0"/>
        </w:rPr>
        <w:t>text</w:t>
      </w:r>
      <w:r>
        <w:t xml:space="preserve"> (or its synonym </w:t>
      </w:r>
      <w:r>
        <w:rPr>
          <w:rStyle w:val="Text0"/>
        </w:rPr>
        <w:t>universal_newlines</w:t>
      </w:r>
      <w:r>
        <w:t xml:space="preserve">, provided for backward compatibility) is true, </w:t>
      </w:r>
      <w:r>
        <w:rPr>
          <w:rStyle w:val="Text0"/>
        </w:rPr>
        <w:t>stdout</w:t>
      </w:r>
      <w:r>
        <w:t xml:space="preserve"> and </w:t>
      </w:r>
      <w:r>
        <w:rPr>
          <w:rStyle w:val="Text0"/>
        </w:rPr>
        <w:t>stderr</w:t>
      </w:r>
      <w:r>
        <w:t xml:space="preserve"> (unless they are already open) are opened as text files; otherwise, they’re opened as binary files. When </w:t>
      </w:r>
      <w:r>
        <w:rPr>
          <w:rStyle w:val="Text0"/>
        </w:rPr>
        <w:t>close_fds</w:t>
      </w:r>
      <w:r>
        <w:t xml:space="preserve"> is true, all other files (apart from standard input, output, and error) are closed in the subprocess before the subprocess’s program or shell executes.</w:t>
      </w:r>
    </w:p>
    <w:p>
      <w:bookmarkStart w:id="3489" w:name="Other__advanced_arguments__When"/>
      <w:pPr>
        <w:keepNext/>
        <w:pStyle w:val="Heading 2"/>
      </w:pPr>
      <w:r>
        <w:t>Other, advanced arguments</w:t>
      </w:r>
      <w:bookmarkEnd w:id="3489"/>
    </w:p>
    <w:p>
      <w:pPr>
        <w:pStyle w:val="Normal"/>
      </w:pPr>
      <w:r>
        <w:t xml:space="preserve">When </w:t>
      </w:r>
      <w:r>
        <w:rPr>
          <w:rStyle w:val="Text0"/>
        </w:rPr>
        <w:t>preexec_fn</w:t>
      </w:r>
      <w:r>
        <w:t xml:space="preserve"> is not </w:t>
      </w:r>
      <w:r>
        <w:rPr>
          <w:rStyle w:val="Text5"/>
        </w:rPr>
        <w:t>None</w:t>
      </w:r>
      <w:r>
        <w:t xml:space="preserve">, it must be a function or other callable object, and it gets called in the subprocess before the subprocess’s program or shell is executed (only on Unix-like systems, where the call happens after </w:t>
      </w:r>
      <w:r>
        <w:rPr>
          <w:rStyle w:val="Text0"/>
        </w:rPr>
        <w:t>fork</w:t>
      </w:r>
      <w:r>
        <w:t xml:space="preserve"> and before </w:t>
      </w:r>
      <w:r>
        <w:rPr>
          <w:rStyle w:val="Text0"/>
        </w:rPr>
        <w:t>exec</w:t>
      </w:r>
      <w:r>
        <w:t>).</w:t>
      </w:r>
    </w:p>
    <w:p>
      <w:pPr>
        <w:pStyle w:val="Normal"/>
      </w:pPr>
      <w:r>
        <w:t xml:space="preserve">When </w:t>
      </w:r>
      <w:r>
        <w:rPr>
          <w:rStyle w:val="Text0"/>
        </w:rPr>
        <w:t>cwd</w:t>
      </w:r>
      <w:r>
        <w:t xml:space="preserve"> is not </w:t>
      </w:r>
      <w:r>
        <w:rPr>
          <w:rStyle w:val="Text5"/>
        </w:rPr>
        <w:t>None</w:t>
      </w:r>
      <w:r>
        <w:t xml:space="preserve">, it must be a string that gives the full path to an existing directory; the current directory gets changed to </w:t>
      </w:r>
      <w:r>
        <w:rPr>
          <w:rStyle w:val="Text0"/>
        </w:rPr>
        <w:t>cwd</w:t>
      </w:r>
      <w:r>
        <w:t xml:space="preserve"> in the subprocess before the subprocess’s program or shell executes.</w:t>
      </w:r>
    </w:p>
    <w:p>
      <w:pPr>
        <w:pStyle w:val="Normal"/>
      </w:pPr>
      <w:r>
        <w:t xml:space="preserve">When </w:t>
      </w:r>
      <w:r>
        <w:rPr>
          <w:rStyle w:val="Text0"/>
        </w:rPr>
        <w:t>env</w:t>
      </w:r>
      <w:r>
        <w:t xml:space="preserve"> is not </w:t>
      </w:r>
      <w:r>
        <w:rPr>
          <w:rStyle w:val="Text5"/>
        </w:rPr>
        <w:t>None</w:t>
      </w:r>
      <w:r>
        <w:t>, it must be a mapping with strings as both keys and values, and fully defines the environment for the new process; otherwise, the new process’s environment is a copy of the environment currently active in the parent process.</w:t>
      </w:r>
    </w:p>
    <w:p>
      <w:pPr>
        <w:pStyle w:val="Normal"/>
      </w:pPr>
      <w:r>
        <w:rPr>
          <w:rStyle w:val="Text0"/>
        </w:rPr>
        <w:t>startupinfo</w:t>
      </w:r>
      <w:r>
        <w:t xml:space="preserve"> and </w:t>
      </w:r>
      <w:r>
        <w:rPr>
          <w:rStyle w:val="Text0"/>
        </w:rPr>
        <w:t>creationflags</w:t>
      </w:r>
      <w:r>
        <w:t xml:space="preserve"> are Windows-only arguments passed to the </w:t>
      </w:r>
      <w:r>
        <w:rPr>
          <w:rStyle w:val="Text0"/>
        </w:rPr>
        <w:t>CreateProcess</w:t>
      </w:r>
      <w:r>
        <w:t xml:space="preserve"> Win32 API call used to create the subprocess, for Windows-specific purposes (we do not cover them further in this book, which focuses almost exclusively on cross-platform uses of Python).</w:t>
      </w:r>
    </w:p>
    <w:p>
      <w:bookmarkStart w:id="3490" w:name="Attributes_of_subprocess_Popen_i"/>
      <w:pPr>
        <w:keepNext/>
        <w:pStyle w:val="Heading 2"/>
      </w:pPr>
      <w:r>
        <w:t>Attributes of subprocess.Popen instances</w:t>
      </w:r>
      <w:bookmarkEnd w:id="3490"/>
    </w:p>
    <w:p>
      <w:pPr>
        <w:pStyle w:val="Normal"/>
      </w:pPr>
      <w:r>
        <w:t xml:space="preserve">An instance </w:t>
      </w:r>
      <w:r>
        <w:rPr>
          <w:rStyle w:val="Text3"/>
        </w:rPr>
        <w:t>p</w:t>
      </w:r>
      <w:r>
        <w:t xml:space="preserve"> of the class </w:t>
      </w:r>
      <w:r>
        <w:rPr>
          <w:rStyle w:val="Text0"/>
        </w:rPr>
        <w:t>Popen</w:t>
      </w:r>
      <w:r>
        <w:t xml:space="preserve"> supplies the attributes listed in </w:t>
      </w:r>
      <w:hyperlink w:anchor="Table_15_17__Attributes_of_an_in">
        <w:r>
          <w:rPr>
            <w:rStyle w:val="Text1"/>
          </w:rPr>
          <w:t>Table 15-17</w:t>
        </w:r>
      </w:hyperlink>
      <w:r>
        <w:t>.</w:t>
      </w:r>
    </w:p>
    <w:tbl>
      <w:tblPr>
        <w:tblW w:type="auto" w:w="0"/>
      </w:tblPr>
      <w:tr>
        <w:tc>
          <w:tcPr>
            <w:tcW w:type="auto" w:w="0"/>
            <w:tcMar>
              <w:left w:type="dxa" w:w="200"/>
              <w:top w:type="dxa" w:w="200"/>
              <w:right w:type="dxa" w:w="200"/>
              <w:bottom w:type="dxa" w:w="200"/>
            </w:tcMar>
          </w:tcPr>
          <w:p>
            <w:bookmarkStart w:id="3491" w:name="Table_15_17__Attributes_of_an_in"/>
            <w:pPr>
              <w:pStyle w:val="Para 011"/>
            </w:pPr>
            <w:r>
              <w:rPr>
                <w:rStyle w:val="Text117"/>
              </w:rPr>
              <w:t/>
            </w:r>
            <w:r>
              <w:t xml:space="preserve">Table 15-17. </w:t>
              <w:t xml:space="preserve">Attributes of an instance </w:t>
            </w:r>
            <w:r>
              <w:rPr>
                <w:rStyle w:val="Text3"/>
              </w:rPr>
              <w:t>p</w:t>
            </w:r>
            <w:r>
              <w:t xml:space="preserve"> of class </w:t>
            </w:r>
            <w:r>
              <w:rPr>
                <w:rStyle w:val="Text0"/>
              </w:rPr>
              <w:t>Popen</w:t>
            </w:r>
            <w:bookmarkEnd w:id="3491"/>
          </w:p>
          <w:p>
            <w:pPr>
              <w:pStyle w:val="Para 001"/>
            </w:pPr>
            <w:r>
              <w:t>args</w:t>
            </w:r>
          </w:p>
        </w:tc>
        <w:tc>
          <w:tcPr>
            <w:tcW w:type="auto" w:w="0"/>
            <w:tcMar>
              <w:left w:type="dxa" w:w="200"/>
              <w:top w:type="dxa" w:w="200"/>
              <w:right w:type="dxa" w:w="200"/>
              <w:bottom w:type="dxa" w:w="200"/>
            </w:tcMar>
          </w:tcPr>
          <w:p>
            <w:pPr>
              <w:pStyle w:val="Para 002"/>
            </w:pPr>
            <w:r>
              <w:rPr>
                <w:rStyle w:val="Text0"/>
              </w:rPr>
              <w:t>Popen</w:t>
            </w:r>
            <w:r>
              <w:t xml:space="preserve">’s </w:t>
            </w:r>
            <w:r>
              <w:rPr>
                <w:rStyle w:val="Text3"/>
              </w:rPr>
              <w:t>args</w:t>
            </w:r>
            <w:r>
              <w:t xml:space="preserve"> argument (string or sequence of strings).</w:t>
            </w:r>
          </w:p>
        </w:tc>
      </w:tr>
    </w:tbl>
    <w:tbl>
      <w:tblPr>
        <w:tblW w:type="auto" w:w="0"/>
      </w:tblPr>
      <w:tr>
        <w:tc>
          <w:tcPr>
            <w:tcW w:type="auto" w:w="0"/>
            <w:shd w:val="clear" w:color="auto" w:fill="EEF2F6"/>
            <w:tcMar>
              <w:left w:type="dxa" w:w="200"/>
              <w:top w:type="dxa" w:w="200"/>
              <w:right w:type="dxa" w:w="200"/>
              <w:bottom w:type="dxa" w:w="200"/>
            </w:tcMar>
          </w:tcPr>
          <w:p>
            <w:pPr>
              <w:pStyle w:val="Para 001"/>
            </w:pPr>
            <w:r>
              <w:t>pid</w:t>
            </w:r>
          </w:p>
        </w:tc>
        <w:tc>
          <w:tcPr>
            <w:tcW w:type="auto" w:w="0"/>
            <w:shd w:val="clear" w:color="auto" w:fill="EEF2F6"/>
            <w:tcMar>
              <w:left w:type="dxa" w:w="200"/>
              <w:top w:type="dxa" w:w="200"/>
              <w:right w:type="dxa" w:w="200"/>
              <w:bottom w:type="dxa" w:w="200"/>
            </w:tcMar>
          </w:tcPr>
          <w:p>
            <w:pPr>
              <w:pStyle w:val="Para 002"/>
            </w:pPr>
            <w:r>
              <w:t>The process ID of the subprocess.</w:t>
            </w:r>
          </w:p>
        </w:tc>
      </w:tr>
    </w:tbl>
    <w:tbl>
      <w:tblPr>
        <w:tblW w:type="auto" w:w="0"/>
      </w:tblPr>
      <w:tr>
        <w:tc>
          <w:tcPr>
            <w:tcW w:type="auto" w:w="0"/>
            <w:tcMar>
              <w:left w:type="dxa" w:w="200"/>
              <w:top w:type="dxa" w:w="200"/>
              <w:right w:type="dxa" w:w="200"/>
              <w:bottom w:type="dxa" w:w="200"/>
            </w:tcMar>
          </w:tcPr>
          <w:p>
            <w:pPr>
              <w:pStyle w:val="Para 001"/>
            </w:pPr>
            <w:r>
              <w:t>returncode</w:t>
            </w:r>
          </w:p>
        </w:tc>
        <w:tc>
          <w:tcPr>
            <w:tcW w:type="auto" w:w="0"/>
            <w:tcMar>
              <w:left w:type="dxa" w:w="200"/>
              <w:top w:type="dxa" w:w="200"/>
              <w:right w:type="dxa" w:w="200"/>
              <w:bottom w:type="dxa" w:w="200"/>
            </w:tcMar>
          </w:tcPr>
          <w:p>
            <w:pPr>
              <w:pStyle w:val="Para 002"/>
            </w:pPr>
            <w:r>
              <w:rPr>
                <w:rStyle w:val="Text0"/>
              </w:rPr>
              <w:t>None</w:t>
            </w:r>
            <w:r>
              <w:t xml:space="preserve"> to indicate that the subprocess has not yet exited; otherwise, an integer: </w:t>
            </w:r>
            <w:r>
              <w:rPr>
                <w:rStyle w:val="Text0"/>
              </w:rPr>
              <w:t>0</w:t>
            </w:r>
            <w:r>
              <w:t xml:space="preserve"> for successful termination, </w:t>
            </w:r>
            <w:r>
              <w:rPr>
                <w:rStyle w:val="Text0"/>
              </w:rPr>
              <w:t>&gt;0</w:t>
            </w:r>
            <w:r>
              <w:t xml:space="preserve"> for termination with an error code, or </w:t>
            </w:r>
            <w:r>
              <w:rPr>
                <w:rStyle w:val="Text0"/>
              </w:rPr>
              <w:t>&lt;0</w:t>
            </w:r>
            <w:r>
              <w:t xml:space="preserve"> if the subprocess was killed by a signal.</w:t>
            </w:r>
          </w:p>
        </w:tc>
      </w:tr>
    </w:tbl>
    <w:tbl>
      <w:tblPr>
        <w:tblW w:type="auto" w:w="0"/>
      </w:tblPr>
      <w:tr>
        <w:tc>
          <w:tcPr>
            <w:tcW w:type="auto" w:w="0"/>
            <w:shd w:val="clear" w:color="auto" w:fill="EEF2F6"/>
            <w:tcMar>
              <w:left w:type="dxa" w:w="200"/>
              <w:top w:type="dxa" w:w="200"/>
              <w:right w:type="dxa" w:w="200"/>
              <w:bottom w:type="dxa" w:w="200"/>
            </w:tcMar>
          </w:tcPr>
          <w:p>
            <w:pPr>
              <w:pStyle w:val="Para 001"/>
            </w:pPr>
            <w:r>
              <w:t>stderr</w:t>
            </w:r>
            <w:r>
              <w:rPr>
                <w:rStyle w:val="Text12"/>
              </w:rPr>
              <w:t xml:space="preserve">, </w:t>
            </w:r>
            <w:r>
              <w:t>stdin</w:t>
            </w:r>
            <w:r>
              <w:rPr>
                <w:rStyle w:val="Text12"/>
              </w:rPr>
              <w:t xml:space="preserve">, </w:t>
            </w:r>
            <w:r>
              <w:t>stdout</w:t>
            </w:r>
          </w:p>
        </w:tc>
        <w:tc>
          <w:tcPr>
            <w:tcW w:type="auto" w:w="0"/>
            <w:shd w:val="clear" w:color="auto" w:fill="EEF2F6"/>
            <w:tcMar>
              <w:left w:type="dxa" w:w="200"/>
              <w:top w:type="dxa" w:w="200"/>
              <w:right w:type="dxa" w:w="200"/>
              <w:bottom w:type="dxa" w:w="200"/>
            </w:tcMar>
          </w:tcPr>
          <w:p>
            <w:pPr>
              <w:pStyle w:val="Para 002"/>
            </w:pPr>
            <w:r>
              <w:t xml:space="preserve">When the corresponding argument to </w:t>
            </w:r>
            <w:r>
              <w:rPr>
                <w:rStyle w:val="Text0"/>
              </w:rPr>
              <w:t>Popen</w:t>
            </w:r>
            <w:r>
              <w:t xml:space="preserve"> was </w:t>
            </w:r>
            <w:r>
              <w:rPr>
                <w:rStyle w:val="Text0"/>
              </w:rPr>
              <w:t>subprocess.PIPE</w:t>
            </w:r>
            <w:r>
              <w:t xml:space="preserve">, each of these attributes is a file object wrapping the corresponding pipe; otherwise, each of these attributes is </w:t>
            </w:r>
            <w:r>
              <w:rPr>
                <w:rStyle w:val="Text5"/>
              </w:rPr>
              <w:t>None</w:t>
            </w:r>
            <w:r>
              <w:t xml:space="preserve">. Use the </w:t>
            </w:r>
            <w:r>
              <w:rPr>
                <w:rStyle w:val="Text0"/>
              </w:rPr>
              <w:t>communicate</w:t>
            </w:r>
            <w:r>
              <w:t xml:space="preserve"> method of </w:t>
            </w:r>
            <w:r>
              <w:rPr>
                <w:rStyle w:val="Text3"/>
              </w:rPr>
              <w:t>p</w:t>
            </w:r>
            <w:r>
              <w:t>, rather than reading and writing to/from these file objects, to avoid possible deadlocks.</w:t>
            </w:r>
          </w:p>
        </w:tc>
      </w:tr>
    </w:tbl>
    <w:p>
      <w:bookmarkStart w:id="3492" w:name="Methods_of_subprocess_Popen_inst"/>
      <w:pPr>
        <w:keepNext/>
        <w:pStyle w:val="Heading 2"/>
      </w:pPr>
      <w:r>
        <w:t>Methods of subprocess.Popen instances</w:t>
      </w:r>
      <w:bookmarkEnd w:id="3492"/>
    </w:p>
    <w:p>
      <w:pPr>
        <w:pStyle w:val="Normal"/>
      </w:pPr>
      <w:r>
        <w:t xml:space="preserve">An instance </w:t>
      </w:r>
      <w:r>
        <w:rPr>
          <w:rStyle w:val="Text3"/>
        </w:rPr>
        <w:t>p</w:t>
      </w:r>
      <w:r>
        <w:t xml:space="preserve"> of the class </w:t>
      </w:r>
      <w:r>
        <w:rPr>
          <w:rStyle w:val="Text0"/>
        </w:rPr>
        <w:t>Popen</w:t>
      </w:r>
      <w:r>
        <w:t xml:space="preserve"> supplies the methods listed in </w:t>
      </w:r>
      <w:hyperlink w:anchor="Table_15_18__Methods_of_an_insta">
        <w:r>
          <w:rPr>
            <w:rStyle w:val="Text1"/>
          </w:rPr>
          <w:t>Table 15-18</w:t>
        </w:r>
      </w:hyperlink>
      <w:r>
        <w:t>.</w:t>
      </w:r>
    </w:p>
    <w:tbl>
      <w:tblPr>
        <w:tblW w:type="auto" w:w="0"/>
      </w:tblPr>
      <w:tr>
        <w:tc>
          <w:tcPr>
            <w:tcW w:type="auto" w:w="0"/>
            <w:tcMar>
              <w:left w:type="dxa" w:w="200"/>
              <w:top w:type="dxa" w:w="200"/>
              <w:right w:type="dxa" w:w="200"/>
              <w:bottom w:type="dxa" w:w="200"/>
            </w:tcMar>
          </w:tcPr>
          <w:p>
            <w:bookmarkStart w:id="3493" w:name="Table_15_18__Methods_of_an_insta"/>
            <w:pPr>
              <w:pStyle w:val="Para 011"/>
            </w:pPr>
            <w:r>
              <w:rPr>
                <w:rStyle w:val="Text117"/>
              </w:rPr>
              <w:t/>
            </w:r>
            <w:r>
              <w:t xml:space="preserve">Table 15-18. </w:t>
              <w:t xml:space="preserve">Methods of an instance </w:t>
            </w:r>
            <w:r>
              <w:rPr>
                <w:rStyle w:val="Text3"/>
              </w:rPr>
              <w:t>p</w:t>
            </w:r>
            <w:r>
              <w:t xml:space="preserve"> of class </w:t>
            </w:r>
            <w:r>
              <w:rPr>
                <w:rStyle w:val="Text0"/>
              </w:rPr>
              <w:t>Popen</w:t>
            </w:r>
            <w:bookmarkEnd w:id="3493"/>
          </w:p>
          <w:p>
            <w:pPr>
              <w:pStyle w:val="Para 001"/>
            </w:pPr>
            <w:r>
              <w:t>communicate</w:t>
            </w:r>
          </w:p>
        </w:tc>
        <w:tc>
          <w:tcPr>
            <w:tcW w:type="auto" w:w="0"/>
            <w:tcMar>
              <w:left w:type="dxa" w:w="200"/>
              <w:top w:type="dxa" w:w="200"/>
              <w:right w:type="dxa" w:w="200"/>
              <w:bottom w:type="dxa" w:w="200"/>
            </w:tcMar>
          </w:tcPr>
          <w:p>
            <w:pPr>
              <w:pStyle w:val="Para 002"/>
            </w:pPr>
            <w:r>
              <w:rPr>
                <w:rStyle w:val="Text3"/>
              </w:rPr>
              <w:t>p</w:t>
            </w:r>
            <w:r>
              <w:rPr>
                <w:rStyle w:val="Text0"/>
              </w:rPr>
              <w:t>.communicate(input=</w:t>
            </w:r>
            <w:r>
              <w:rPr>
                <w:rStyle w:val="Text5"/>
              </w:rPr>
              <w:t>None</w:t>
            </w:r>
            <w:r>
              <w:rPr>
                <w:rStyle w:val="Text0"/>
              </w:rPr>
              <w:t>, timeout=</w:t>
            </w:r>
            <w:r>
              <w:rPr>
                <w:rStyle w:val="Text5"/>
              </w:rPr>
              <w:t>None</w:t>
            </w:r>
            <w:r>
              <w:rPr>
                <w:rStyle w:val="Text0"/>
              </w:rPr>
              <w:t>)</w:t>
              <w:br w:clear="none"/>
            </w:r>
            <w:r>
              <w:t xml:space="preserve"> Sends the string </w:t>
            </w:r>
            <w:r>
              <w:rPr>
                <w:rStyle w:val="Text0"/>
              </w:rPr>
              <w:t>input</w:t>
            </w:r>
            <w:r>
              <w:t xml:space="preserve"> as the subprocess’s standard input (when </w:t>
            </w:r>
            <w:r>
              <w:rPr>
                <w:rStyle w:val="Text0"/>
              </w:rPr>
              <w:t>input</w:t>
            </w:r>
            <w:r>
              <w:t xml:space="preserve"> is not </w:t>
            </w:r>
            <w:r>
              <w:rPr>
                <w:rStyle w:val="Text5"/>
              </w:rPr>
              <w:t>None</w:t>
            </w:r>
            <w:r>
              <w:t xml:space="preserve">), then reads the subprocess’s standard output and error files into in-memory strings </w:t>
            </w:r>
            <w:r>
              <w:rPr>
                <w:rStyle w:val="Text3"/>
              </w:rPr>
              <w:t>so</w:t>
            </w:r>
            <w:r>
              <w:t xml:space="preserve"> and </w:t>
            </w:r>
            <w:r>
              <w:rPr>
                <w:rStyle w:val="Text3"/>
              </w:rPr>
              <w:t>se</w:t>
            </w:r>
            <w:r>
              <w:t xml:space="preserve"> until both files are finished, and finally waits for the subprocess to terminate and returns the pair (two-item tuple) </w:t>
            </w:r>
            <w:r>
              <w:rPr>
                <w:rStyle w:val="Text0"/>
              </w:rPr>
              <w:t>(</w:t>
            </w:r>
            <w:r>
              <w:rPr>
                <w:rStyle w:val="Text3"/>
              </w:rPr>
              <w:t>so</w:t>
            </w:r>
            <w:r>
              <w:rPr>
                <w:rStyle w:val="Text0"/>
              </w:rPr>
              <w:t>,</w:t>
            </w:r>
            <w:r>
              <w:t xml:space="preserve"> </w:t>
            </w:r>
            <w:r>
              <w:rPr>
                <w:rStyle w:val="Text3"/>
              </w:rPr>
              <w:t>se</w:t>
            </w:r>
            <w:r>
              <w:rPr>
                <w:rStyle w:val="Text0"/>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poll</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.poll()</w:t>
              <w:br w:clear="none"/>
            </w:r>
            <w:r>
              <w:t xml:space="preserve"> Checks if the subprocess has terminated; returns </w:t>
            </w:r>
            <w:r>
              <w:rPr>
                <w:rStyle w:val="Text3"/>
              </w:rPr>
              <w:t>p</w:t>
            </w:r>
            <w:r>
              <w:rPr>
                <w:rStyle w:val="Text0"/>
              </w:rPr>
              <w:t>.returncode</w:t>
            </w:r>
            <w:r>
              <w:t xml:space="preserve"> if it has; otherwise, returns </w:t>
            </w:r>
            <w:r>
              <w:rPr>
                <w:rStyle w:val="Text5"/>
              </w:rPr>
              <w:t>None</w:t>
            </w:r>
            <w:r>
              <w:t>.</w:t>
            </w:r>
          </w:p>
        </w:tc>
      </w:tr>
    </w:tbl>
    <w:tbl>
      <w:tblPr>
        <w:tblW w:type="auto" w:w="0"/>
      </w:tblPr>
      <w:tr>
        <w:tc>
          <w:tcPr>
            <w:tcW w:type="auto" w:w="0"/>
            <w:tcMar>
              <w:left w:type="dxa" w:w="200"/>
              <w:top w:type="dxa" w:w="200"/>
              <w:right w:type="dxa" w:w="200"/>
              <w:bottom w:type="dxa" w:w="200"/>
            </w:tcMar>
          </w:tcPr>
          <w:p>
            <w:pPr>
              <w:pStyle w:val="Para 001"/>
            </w:pPr>
            <w:r>
              <w:t>wait</w:t>
            </w:r>
          </w:p>
        </w:tc>
        <w:tc>
          <w:tcPr>
            <w:tcW w:type="auto" w:w="0"/>
            <w:tcMar>
              <w:left w:type="dxa" w:w="200"/>
              <w:top w:type="dxa" w:w="200"/>
              <w:right w:type="dxa" w:w="200"/>
              <w:bottom w:type="dxa" w:w="200"/>
            </w:tcMar>
          </w:tcPr>
          <w:p>
            <w:pPr>
              <w:pStyle w:val="Para 002"/>
            </w:pPr>
            <w:r>
              <w:rPr>
                <w:rStyle w:val="Text3"/>
              </w:rPr>
              <w:t>p</w:t>
            </w:r>
            <w:r>
              <w:rPr>
                <w:rStyle w:val="Text0"/>
              </w:rPr>
              <w:t>.wait(timeout=</w:t>
            </w:r>
            <w:r>
              <w:rPr>
                <w:rStyle w:val="Text5"/>
              </w:rPr>
              <w:t>None</w:t>
            </w:r>
            <w:r>
              <w:rPr>
                <w:rStyle w:val="Text0"/>
              </w:rPr>
              <w:t>)</w:t>
              <w:br w:clear="none"/>
            </w:r>
            <w:r>
              <w:t xml:space="preserve"> Waits for the subprocess to terminate, then returns </w:t>
            </w:r>
            <w:r>
              <w:rPr>
                <w:rStyle w:val="Text3"/>
              </w:rPr>
              <w:t>p</w:t>
            </w:r>
            <w:r>
              <w:rPr>
                <w:rStyle w:val="Text0"/>
              </w:rPr>
              <w:t>.returncode</w:t>
            </w:r>
            <w:r>
              <w:t xml:space="preserve">. Should the subprocess not terminate within </w:t>
            </w:r>
            <w:r>
              <w:rPr>
                <w:rStyle w:val="Text0"/>
              </w:rPr>
              <w:t>timeout</w:t>
            </w:r>
            <w:r>
              <w:t xml:space="preserve"> seconds, raises </w:t>
            </w:r>
            <w:r>
              <w:rPr>
                <w:rStyle w:val="Text0"/>
              </w:rPr>
              <w:t>TimeoutExpired</w:t>
            </w:r>
            <w:r>
              <w:t>.</w:t>
            </w:r>
          </w:p>
        </w:tc>
      </w:tr>
    </w:tbl>
    <w:p>
      <w:bookmarkStart w:id="3494" w:name="Running_Other_Programs_with_the"/>
      <w:pPr>
        <w:keepNext/>
        <w:pStyle w:val="Heading 2"/>
      </w:pPr>
      <w:r>
        <w:t>Running Other Programs with the os Module</w:t>
      </w:r>
      <w:bookmarkEnd w:id="3494"/>
    </w:p>
    <w:p>
      <w:pPr>
        <w:pStyle w:val="Normal"/>
      </w:pPr>
      <w:r>
        <w:t>The</w:t>
      </w:r>
      <w:r>
        <w:rPr>
          <w:rStyle w:val="Text111"/>
        </w:rPr>
        <w:bookmarkStart w:id="3495" w:name="idm45965188821776"/>
        <w:t/>
        <w:bookmarkEnd w:id="3495"/>
      </w:r>
      <w:r>
        <w:t xml:space="preserve"> best way for your program to run other processes is usually with the </w:t>
      </w:r>
      <w:r>
        <w:rPr>
          <w:rStyle w:val="Text0"/>
        </w:rPr>
        <w:t>subprocess</w:t>
      </w:r>
      <w:r>
        <w:t xml:space="preserve"> module, covered in the previous section. However, the </w:t>
      </w:r>
      <w:r>
        <w:rPr>
          <w:rStyle w:val="Text0"/>
        </w:rPr>
        <w:t>os</w:t>
      </w:r>
      <w:r>
        <w:t xml:space="preserve"> module (introduced in </w:t>
      </w:r>
      <w:hyperlink w:anchor="Chapter_11__File_and_Text_Operat_2">
        <w:r>
          <w:rPr>
            <w:rStyle w:val="Text1"/>
          </w:rPr>
          <w:t>Chapter 11</w:t>
        </w:r>
      </w:hyperlink>
      <w:r>
        <w:t>) also offers several lower-level ways to do this, which, in some cases, may be simpler to use.</w:t>
      </w:r>
    </w:p>
    <w:p>
      <w:pPr>
        <w:pStyle w:val="Normal"/>
      </w:pPr>
      <w:r>
        <w:t xml:space="preserve">The simplest way to run another program is through the function </w:t>
      </w:r>
      <w:r>
        <w:rPr>
          <w:rStyle w:val="Text0"/>
        </w:rPr>
        <w:t>os.system</w:t>
      </w:r>
      <w:r>
        <w:t xml:space="preserve">, although this offers no way to </w:t>
      </w:r>
      <w:r>
        <w:rPr>
          <w:rStyle w:val="Text4"/>
        </w:rPr>
        <w:t>control</w:t>
      </w:r>
      <w:r>
        <w:t xml:space="preserve"> the external program. The </w:t>
      </w:r>
      <w:r>
        <w:rPr>
          <w:rStyle w:val="Text0"/>
        </w:rPr>
        <w:t>os</w:t>
      </w:r>
      <w:r>
        <w:t xml:space="preserve"> module also provides a number of functions whose names start with </w:t>
      </w:r>
      <w:r>
        <w:rPr>
          <w:rStyle w:val="Text0"/>
        </w:rPr>
        <w:t>exec</w:t>
      </w:r>
      <w:r>
        <w:t>. These functions offer fine-grained control. A program run by one of the</w:t>
      </w:r>
      <w:r>
        <w:rPr>
          <w:rStyle w:val="Text111"/>
        </w:rPr>
        <w:bookmarkStart w:id="3496" w:name="idm45965188814512"/>
        <w:t/>
        <w:bookmarkEnd w:id="3496"/>
      </w:r>
      <w:r>
        <w:t xml:space="preserve"> </w:t>
      </w:r>
      <w:r>
        <w:rPr>
          <w:rStyle w:val="Text0"/>
        </w:rPr>
        <w:t>exec</w:t>
      </w:r>
      <w:r>
        <w:t xml:space="preserve"> functions replaces the current program (i.e., the Python interpreter) in the same process. In practice, therefore, you use the </w:t>
      </w:r>
      <w:r>
        <w:rPr>
          <w:rStyle w:val="Text0"/>
        </w:rPr>
        <w:t>exec</w:t>
      </w:r>
      <w:r>
        <w:t xml:space="preserve"> functions mostly on platforms that let a process duplicate itself using </w:t>
      </w:r>
      <w:r>
        <w:rPr>
          <w:rStyle w:val="Text0"/>
        </w:rPr>
        <w:t>fork</w:t>
      </w:r>
      <w:r>
        <w:t xml:space="preserve"> (i.e., Unix-like platforms). </w:t>
      </w:r>
      <w:r>
        <w:rPr>
          <w:rStyle w:val="Text0"/>
        </w:rPr>
        <w:t>os</w:t>
      </w:r>
      <w:r>
        <w:t xml:space="preserve"> functions whose names start with </w:t>
      </w:r>
      <w:r>
        <w:rPr>
          <w:rStyle w:val="Text0"/>
        </w:rPr>
        <w:t>spawn</w:t>
      </w:r>
      <w:r>
        <w:t xml:space="preserve"> and </w:t>
      </w:r>
      <w:r>
        <w:rPr>
          <w:rStyle w:val="Text0"/>
        </w:rPr>
        <w:t>popen</w:t>
      </w:r>
      <w:r>
        <w:t xml:space="preserve"> offer intermediate simplicity and power: they are cross-platform and not quite as simple as </w:t>
      </w:r>
      <w:r>
        <w:rPr>
          <w:rStyle w:val="Text0"/>
        </w:rPr>
        <w:t>system</w:t>
      </w:r>
      <w:r>
        <w:t>, but simple enough for many purposes.</w:t>
      </w:r>
    </w:p>
    <w:p>
      <w:pPr>
        <w:pStyle w:val="Normal"/>
      </w:pPr>
      <w:r>
        <w:t xml:space="preserve">The </w:t>
      </w:r>
      <w:r>
        <w:rPr>
          <w:rStyle w:val="Text0"/>
        </w:rPr>
        <w:t>exec</w:t>
      </w:r>
      <w:r>
        <w:t xml:space="preserve"> and</w:t>
      </w:r>
      <w:r>
        <w:rPr>
          <w:rStyle w:val="Text111"/>
        </w:rPr>
        <w:bookmarkStart w:id="3497" w:name="idm45965188807088"/>
        <w:t/>
        <w:bookmarkEnd w:id="3497"/>
      </w:r>
      <w:r>
        <w:t xml:space="preserve"> </w:t>
      </w:r>
      <w:r>
        <w:rPr>
          <w:rStyle w:val="Text0"/>
        </w:rPr>
        <w:t>spawn</w:t>
      </w:r>
      <w:r>
        <w:t xml:space="preserve"> functions run a given executable file, given the executable file’s path, arguments to pass to it, and optionally an environment mapping. The </w:t>
      </w:r>
      <w:r>
        <w:rPr>
          <w:rStyle w:val="Text0"/>
        </w:rPr>
        <w:t>system</w:t>
      </w:r>
      <w:r>
        <w:t xml:space="preserve"> and </w:t>
      </w:r>
      <w:r>
        <w:rPr>
          <w:rStyle w:val="Text0"/>
        </w:rPr>
        <w:t>popen</w:t>
      </w:r>
      <w:r>
        <w:t xml:space="preserve"> functions execute a command, which is a string passed to a new instance of the platform’s default shell (typically </w:t>
      </w:r>
      <w:r>
        <w:rPr>
          <w:rStyle w:val="Text4"/>
        </w:rPr>
        <w:t>/bin/sh</w:t>
      </w:r>
      <w:r>
        <w:t xml:space="preserve"> on Unix, </w:t>
      </w:r>
      <w:r>
        <w:rPr>
          <w:rStyle w:val="Text4"/>
        </w:rPr>
        <w:t>cmd.exe</w:t>
      </w:r>
      <w:r>
        <w:t xml:space="preserve"> on Windows). A </w:t>
      </w:r>
      <w:r>
        <w:rPr>
          <w:rStyle w:val="Text4"/>
        </w:rPr>
        <w:t>command</w:t>
      </w:r>
      <w:r>
        <w:t xml:space="preserve"> is</w:t>
      </w:r>
      <w:r>
        <w:rPr>
          <w:rStyle w:val="Text111"/>
        </w:rPr>
        <w:bookmarkStart w:id="3498" w:name="idm45965188802704"/>
        <w:t/>
        <w:bookmarkEnd w:id="3498"/>
        <w:bookmarkStart w:id="3499" w:name="idm45965188801728"/>
        <w:t/>
        <w:bookmarkEnd w:id="3499"/>
        <w:bookmarkStart w:id="3500" w:name="idm45965188800752"/>
        <w:t/>
        <w:bookmarkEnd w:id="3500"/>
      </w:r>
      <w:r>
        <w:t xml:space="preserve"> a more general concept than an </w:t>
      </w:r>
      <w:r>
        <w:rPr>
          <w:rStyle w:val="Text4"/>
        </w:rPr>
        <w:t>executable file</w:t>
      </w:r>
      <w:r>
        <w:t>, as it can include shell functionality (pipes, redirection, and built-in shell commands) using the shell syntax specific to the current platform.</w:t>
      </w:r>
    </w:p>
    <w:p>
      <w:pPr>
        <w:pStyle w:val="Normal"/>
      </w:pPr>
      <w:r>
        <w:rPr>
          <w:rStyle w:val="Text0"/>
        </w:rPr>
        <w:t>os</w:t>
      </w:r>
      <w:r>
        <w:t xml:space="preserve"> provides the functions listed in </w:t>
      </w:r>
      <w:hyperlink w:anchor="Table_15_19__Functions_of_the_os">
        <w:r>
          <w:rPr>
            <w:rStyle w:val="Text1"/>
          </w:rPr>
          <w:t>Table 15-19</w:t>
        </w:r>
      </w:hyperlink>
      <w:r>
        <w:t>.</w:t>
      </w:r>
    </w:p>
    <w:tbl>
      <w:tblPr>
        <w:tblW w:type="auto" w:w="0"/>
      </w:tblPr>
      <w:tr>
        <w:tc>
          <w:tcPr>
            <w:tcW w:type="auto" w:w="0"/>
            <w:tcMar>
              <w:left w:type="dxa" w:w="200"/>
              <w:top w:type="dxa" w:w="200"/>
              <w:right w:type="dxa" w:w="200"/>
              <w:bottom w:type="dxa" w:w="200"/>
            </w:tcMar>
          </w:tcPr>
          <w:p>
            <w:bookmarkStart w:id="3501" w:name="Table_15_19__Functions_of_the_os"/>
            <w:pPr>
              <w:pStyle w:val="Para 011"/>
            </w:pPr>
            <w:r>
              <w:rPr>
                <w:rStyle w:val="Text117"/>
              </w:rPr>
              <w:t/>
            </w:r>
            <w:r>
              <w:t xml:space="preserve">Table 15-19. </w:t>
              <w:t xml:space="preserve">Functions of the </w:t>
            </w:r>
            <w:r>
              <w:rPr>
                <w:rStyle w:val="Text0"/>
              </w:rPr>
              <w:t>os</w:t>
            </w:r>
            <w:r>
              <w:t xml:space="preserve"> module related to processes</w:t>
            </w:r>
            <w:bookmarkEnd w:id="3501"/>
          </w:p>
          <w:p>
            <w:pPr>
              <w:pStyle w:val="Para 001"/>
            </w:pPr>
            <w:r>
              <w:t>execl</w:t>
            </w:r>
            <w:r>
              <w:rPr>
                <w:rStyle w:val="Text12"/>
              </w:rPr>
              <w:t>,</w:t>
              <w:br w:clear="none"/>
              <w:t xml:space="preserve"> </w:t>
            </w:r>
            <w:r>
              <w:t>execle</w:t>
            </w:r>
            <w:r>
              <w:rPr>
                <w:rStyle w:val="Text12"/>
              </w:rPr>
              <w:t>,</w:t>
              <w:br w:clear="none"/>
              <w:t xml:space="preserve"> </w:t>
            </w:r>
            <w:r>
              <w:t>execlp</w:t>
            </w:r>
            <w:r>
              <w:rPr>
                <w:rStyle w:val="Text12"/>
              </w:rPr>
              <w:t>,</w:t>
              <w:br w:clear="none"/>
              <w:t xml:space="preserve"> </w:t>
            </w:r>
            <w:r>
              <w:t>execv</w:t>
            </w:r>
            <w:r>
              <w:rPr>
                <w:rStyle w:val="Text12"/>
              </w:rPr>
              <w:t>,</w:t>
              <w:br w:clear="none"/>
              <w:t xml:space="preserve"> </w:t>
            </w:r>
            <w:r>
              <w:t>execve</w:t>
            </w:r>
            <w:r>
              <w:rPr>
                <w:rStyle w:val="Text12"/>
              </w:rPr>
              <w:t>,</w:t>
              <w:br w:clear="none"/>
              <w:t xml:space="preserve"> </w:t>
            </w:r>
            <w:r>
              <w:t>execvp</w:t>
            </w:r>
            <w:r>
              <w:rPr>
                <w:rStyle w:val="Text12"/>
              </w:rPr>
              <w:t>,</w:t>
              <w:br w:clear="none"/>
              <w:t xml:space="preserve"> </w:t>
            </w:r>
            <w:r>
              <w:t>execvpe</w:t>
            </w:r>
          </w:p>
        </w:tc>
        <w:tc>
          <w:tcPr>
            <w:tcW w:type="auto" w:w="0"/>
            <w:tcMar>
              <w:left w:type="dxa" w:w="200"/>
              <w:top w:type="dxa" w:w="200"/>
              <w:right w:type="dxa" w:w="200"/>
              <w:bottom w:type="dxa" w:w="200"/>
            </w:tcMar>
          </w:tcPr>
          <w:p>
            <w:pPr>
              <w:pStyle w:val="Para 002"/>
            </w:pPr>
            <w:r>
              <w:rPr>
                <w:rStyle w:val="Text0"/>
              </w:rPr>
              <w:t>execl(</w:t>
            </w:r>
            <w:r>
              <w:rPr>
                <w:rStyle w:val="Text3"/>
              </w:rPr>
              <w:t>path</w:t>
            </w:r>
            <w:r>
              <w:rPr>
                <w:rStyle w:val="Text0"/>
              </w:rPr>
              <w:t>, *</w:t>
            </w:r>
            <w:r>
              <w:rPr>
                <w:rStyle w:val="Text3"/>
              </w:rPr>
              <w:t>args</w:t>
            </w:r>
            <w:r>
              <w:rPr>
                <w:rStyle w:val="Text0"/>
              </w:rPr>
              <w:t>)</w:t>
            </w:r>
            <w:r>
              <w:t>,</w:t>
              <w:br w:clear="none"/>
              <w:t xml:space="preserve"> </w:t>
            </w:r>
            <w:r>
              <w:rPr>
                <w:rStyle w:val="Text0"/>
              </w:rPr>
              <w:t>execle(</w:t>
            </w:r>
            <w:r>
              <w:rPr>
                <w:rStyle w:val="Text3"/>
              </w:rPr>
              <w:t>path</w:t>
            </w:r>
            <w:r>
              <w:rPr>
                <w:rStyle w:val="Text0"/>
              </w:rPr>
              <w:t>, *</w:t>
            </w:r>
            <w:r>
              <w:rPr>
                <w:rStyle w:val="Text3"/>
              </w:rPr>
              <w:t>args</w:t>
            </w:r>
            <w:r>
              <w:rPr>
                <w:rStyle w:val="Text0"/>
              </w:rPr>
              <w:t>)</w:t>
            </w:r>
            <w:r>
              <w:t>,</w:t>
              <w:br w:clear="none"/>
              <w:t xml:space="preserve"> </w:t>
            </w:r>
            <w:r>
              <w:rPr>
                <w:rStyle w:val="Text0"/>
              </w:rPr>
              <w:t>execlp(</w:t>
            </w:r>
            <w:r>
              <w:rPr>
                <w:rStyle w:val="Text3"/>
              </w:rPr>
              <w:t>path</w:t>
            </w:r>
            <w:r>
              <w:rPr>
                <w:rStyle w:val="Text0"/>
              </w:rPr>
              <w:t>,</w:t>
            </w:r>
            <w:r>
              <w:rPr>
                <w:rStyle w:val="Text3"/>
              </w:rPr>
              <w:t>*args</w:t>
            </w:r>
            <w:r>
              <w:rPr>
                <w:rStyle w:val="Text0"/>
              </w:rPr>
              <w:t>)</w:t>
            </w:r>
            <w:r>
              <w:t>,</w:t>
              <w:br w:clear="none"/>
              <w:t xml:space="preserve"> </w:t>
            </w:r>
            <w:r>
              <w:rPr>
                <w:rStyle w:val="Text0"/>
              </w:rPr>
              <w:t>execv(</w:t>
            </w:r>
            <w:r>
              <w:rPr>
                <w:rStyle w:val="Text3"/>
              </w:rPr>
              <w:t>path</w:t>
            </w:r>
            <w:r>
              <w:rPr>
                <w:rStyle w:val="Text0"/>
              </w:rPr>
              <w:t>,</w:t>
            </w:r>
            <w:r>
              <w:t xml:space="preserve"> </w:t>
            </w:r>
            <w:r>
              <w:rPr>
                <w:rStyle w:val="Text3"/>
              </w:rPr>
              <w:t>args</w:t>
            </w:r>
            <w:r>
              <w:rPr>
                <w:rStyle w:val="Text0"/>
              </w:rPr>
              <w:t>)</w:t>
            </w:r>
            <w:r>
              <w:t>,</w:t>
              <w:br w:clear="none"/>
              <w:t xml:space="preserve"> </w:t>
            </w:r>
            <w:r>
              <w:rPr>
                <w:rStyle w:val="Text0"/>
              </w:rPr>
              <w:t>execve(</w:t>
            </w:r>
            <w:r>
              <w:rPr>
                <w:rStyle w:val="Text3"/>
              </w:rPr>
              <w:t>path</w:t>
            </w:r>
            <w:r>
              <w:rPr>
                <w:rStyle w:val="Text0"/>
              </w:rPr>
              <w:t>,</w:t>
            </w:r>
            <w:r>
              <w:t xml:space="preserve"> </w:t>
            </w:r>
            <w:r>
              <w:rPr>
                <w:rStyle w:val="Text3"/>
              </w:rPr>
              <w:t>args</w:t>
            </w:r>
            <w:r>
              <w:rPr>
                <w:rStyle w:val="Text0"/>
              </w:rPr>
              <w:t>,</w:t>
            </w:r>
            <w:r>
              <w:t xml:space="preserve"> </w:t>
            </w:r>
            <w:r>
              <w:rPr>
                <w:rStyle w:val="Text3"/>
              </w:rPr>
              <w:t>env</w:t>
            </w:r>
            <w:r>
              <w:rPr>
                <w:rStyle w:val="Text0"/>
              </w:rPr>
              <w:t>)</w:t>
            </w:r>
            <w:r>
              <w:t>,</w:t>
              <w:br w:clear="none"/>
              <w:t xml:space="preserve"> </w:t>
            </w:r>
            <w:r>
              <w:rPr>
                <w:rStyle w:val="Text0"/>
              </w:rPr>
              <w:t>execvp(</w:t>
            </w:r>
            <w:r>
              <w:rPr>
                <w:rStyle w:val="Text3"/>
              </w:rPr>
              <w:t>path</w:t>
            </w:r>
            <w:r>
              <w:rPr>
                <w:rStyle w:val="Text0"/>
              </w:rPr>
              <w:t>,</w:t>
            </w:r>
            <w:r>
              <w:t xml:space="preserve"> </w:t>
            </w:r>
            <w:r>
              <w:rPr>
                <w:rStyle w:val="Text3"/>
              </w:rPr>
              <w:t>args</w:t>
            </w:r>
            <w:r>
              <w:rPr>
                <w:rStyle w:val="Text0"/>
              </w:rPr>
              <w:t>)</w:t>
            </w:r>
            <w:r>
              <w:t>,</w:t>
              <w:br w:clear="none"/>
              <w:t xml:space="preserve"> </w:t>
            </w:r>
            <w:r>
              <w:rPr>
                <w:rStyle w:val="Text0"/>
              </w:rPr>
              <w:t>execvpe(</w:t>
            </w:r>
            <w:r>
              <w:rPr>
                <w:rStyle w:val="Text3"/>
              </w:rPr>
              <w:t>path</w:t>
            </w:r>
            <w:r>
              <w:rPr>
                <w:rStyle w:val="Text0"/>
              </w:rPr>
              <w:t>,</w:t>
            </w:r>
            <w:r>
              <w:t xml:space="preserve"> </w:t>
            </w:r>
            <w:r>
              <w:rPr>
                <w:rStyle w:val="Text3"/>
              </w:rPr>
              <w:t>args</w:t>
            </w:r>
            <w:r>
              <w:rPr>
                <w:rStyle w:val="Text0"/>
              </w:rPr>
              <w:t>,</w:t>
            </w:r>
            <w:r>
              <w:t xml:space="preserve"> </w:t>
            </w:r>
            <w:r>
              <w:rPr>
                <w:rStyle w:val="Text3"/>
              </w:rPr>
              <w:t>env</w:t>
            </w:r>
            <w:r>
              <w:rPr>
                <w:rStyle w:val="Text0"/>
              </w:rPr>
              <w:t>)</w:t>
              <w:br w:clear="none"/>
            </w:r>
            <w:r>
              <w:t xml:space="preserve"> Run</w:t>
            </w:r>
            <w:r>
              <w:rPr>
                <w:rStyle w:val="Text111"/>
              </w:rPr>
              <w:bookmarkStart w:id="3502" w:name="idm45965188766384"/>
              <w:t/>
              <w:bookmarkEnd w:id="3502"/>
            </w:r>
            <w:r>
              <w:t xml:space="preserve"> the executable file (program) indicated by string </w:t>
            </w:r>
            <w:r>
              <w:rPr>
                <w:rStyle w:val="Text3"/>
              </w:rPr>
              <w:t>path</w:t>
            </w:r>
            <w:r>
              <w:t xml:space="preserve">, replacing the current program (i.e., the Python interpreter) in the current process. The distinctions encoded in the function names (after the prefix </w:t>
            </w:r>
            <w:r>
              <w:rPr>
                <w:rStyle w:val="Text0"/>
              </w:rPr>
              <w:t>exec</w:t>
            </w:r>
            <w:r>
              <w:t xml:space="preserve">) control three aspects of how the new program is found and run: </w:t>
            </w:r>
          </w:p>
          <w:p>
            <w:pPr>
              <w:pStyle w:val="Para 003"/>
            </w:pPr>
            <w:r>
              <w:t xml:space="preserve">Does </w:t>
            </w:r>
            <w:r>
              <w:rPr>
                <w:rStyle w:val="Text3"/>
              </w:rPr>
              <w:t>path</w:t>
            </w:r>
            <w:r>
              <w:t xml:space="preserve"> have to be a complete path to the program’s executable file, or can the function accept a name as the </w:t>
            </w:r>
            <w:r>
              <w:rPr>
                <w:rStyle w:val="Text3"/>
              </w:rPr>
              <w:t>path</w:t>
            </w:r>
            <w:r>
              <w:t xml:space="preserve"> argument and search for the executable in several directories, as operating system shells do? </w:t>
            </w:r>
            <w:r>
              <w:rPr>
                <w:rStyle w:val="Text0"/>
              </w:rPr>
              <w:t>execlp</w:t>
            </w:r>
            <w:r>
              <w:t xml:space="preserve">, </w:t>
            </w:r>
            <w:r>
              <w:rPr>
                <w:rStyle w:val="Text0"/>
              </w:rPr>
              <w:t>execvp</w:t>
            </w:r>
            <w:r>
              <w:t xml:space="preserve">, and </w:t>
            </w:r>
            <w:r>
              <w:rPr>
                <w:rStyle w:val="Text0"/>
              </w:rPr>
              <w:t>execvpe</w:t>
            </w:r>
            <w:r>
              <w:t xml:space="preserve"> can accept a </w:t>
            </w:r>
            <w:r>
              <w:rPr>
                <w:rStyle w:val="Text3"/>
              </w:rPr>
              <w:t>path</w:t>
            </w:r>
            <w:r>
              <w:t xml:space="preserve"> argument that is just a filename rather than a complete path. In this case, the functions search for an executable file of that name in the directories listed in </w:t>
            </w:r>
            <w:r>
              <w:rPr>
                <w:rStyle w:val="Text0"/>
              </w:rPr>
              <w:t>os.environ['PATH']</w:t>
            </w:r>
            <w:r>
              <w:t xml:space="preserve">. The other functions require </w:t>
            </w:r>
            <w:r>
              <w:rPr>
                <w:rStyle w:val="Text3"/>
              </w:rPr>
              <w:t>path</w:t>
            </w:r>
            <w:r>
              <w:t xml:space="preserve"> to be a complete path to the executable file.</w:t>
            </w:r>
          </w:p>
          <w:p>
            <w:pPr>
              <w:pStyle w:val="Para 003"/>
            </w:pPr>
            <w:r>
              <w:t xml:space="preserve">Does the function accept arguments for the new program as a single sequence argument </w:t>
            </w:r>
            <w:r>
              <w:rPr>
                <w:rStyle w:val="Text3"/>
              </w:rPr>
              <w:t>args</w:t>
            </w:r>
            <w:r>
              <w:t xml:space="preserve">, or as separate arguments to the function? Functions whose names start with </w:t>
            </w:r>
            <w:r>
              <w:rPr>
                <w:rStyle w:val="Text0"/>
              </w:rPr>
              <w:t>execv</w:t>
            </w:r>
            <w:r>
              <w:t xml:space="preserve"> take a single argument </w:t>
            </w:r>
            <w:r>
              <w:rPr>
                <w:rStyle w:val="Text3"/>
              </w:rPr>
              <w:t>args</w:t>
            </w:r>
            <w:r>
              <w:t xml:space="preserve"> that is the sequence of arguments to use for the new program. Functions whose names start with </w:t>
            </w:r>
            <w:r>
              <w:rPr>
                <w:rStyle w:val="Text0"/>
              </w:rPr>
              <w:t>execl</w:t>
            </w:r>
            <w:r>
              <w:t xml:space="preserve"> take the new program’s arguments as separate arguments (</w:t>
            </w:r>
            <w:r>
              <w:rPr>
                <w:rStyle w:val="Text0"/>
              </w:rPr>
              <w:t>execle</w:t>
            </w:r>
            <w:r>
              <w:t>, in particular, uses its last argument as the environment for the new program).</w:t>
            </w:r>
          </w:p>
          <w:p>
            <w:pPr>
              <w:pStyle w:val="Para 003"/>
            </w:pPr>
            <w:r>
              <w:t xml:space="preserve">Does the function accept the new program’s environment as an explicit mapping argument </w:t>
            </w:r>
            <w:r>
              <w:rPr>
                <w:rStyle w:val="Text3"/>
              </w:rPr>
              <w:t>env</w:t>
            </w:r>
            <w:r>
              <w:t xml:space="preserve">, or implicitly use </w:t>
            </w:r>
            <w:r>
              <w:rPr>
                <w:rStyle w:val="Text0"/>
              </w:rPr>
              <w:t>os.environ</w:t>
            </w:r>
            <w:r>
              <w:t xml:space="preserve">? </w:t>
            </w:r>
            <w:r>
              <w:rPr>
                <w:rStyle w:val="Text0"/>
              </w:rPr>
              <w:t>execle</w:t>
            </w:r>
            <w:r>
              <w:t xml:space="preserve">, </w:t>
            </w:r>
            <w:r>
              <w:rPr>
                <w:rStyle w:val="Text0"/>
              </w:rPr>
              <w:t>execve</w:t>
            </w:r>
            <w:r>
              <w:t xml:space="preserve">, and </w:t>
            </w:r>
            <w:r>
              <w:rPr>
                <w:rStyle w:val="Text0"/>
              </w:rPr>
              <w:t>execvpe</w:t>
            </w:r>
            <w:r>
              <w:t xml:space="preserve"> take an argument </w:t>
            </w:r>
            <w:r>
              <w:rPr>
                <w:rStyle w:val="Text3"/>
              </w:rPr>
              <w:t>env</w:t>
            </w:r>
            <w:r>
              <w:t xml:space="preserve"> that is a mapping to use as the new program’s environment (keys and values must be strings), while the other functions use </w:t>
            </w:r>
            <w:r>
              <w:rPr>
                <w:rStyle w:val="Text0"/>
              </w:rPr>
              <w:t>os.environ</w:t>
            </w:r>
            <w:r>
              <w:t xml:space="preserve"> for this purpose.</w:t>
              <w:br w:clear="none"/>
              <w:t xml:space="preserve"> Each </w:t>
            </w:r>
            <w:r>
              <w:rPr>
                <w:rStyle w:val="Text0"/>
              </w:rPr>
              <w:t>exec</w:t>
            </w:r>
            <w:r>
              <w:t xml:space="preserve"> function uses the first item in </w:t>
            </w:r>
            <w:r>
              <w:rPr>
                <w:rStyle w:val="Text3"/>
              </w:rPr>
              <w:t>args</w:t>
            </w:r>
            <w:r>
              <w:t xml:space="preserve"> as the name under which the new program is told it’s running (for example, </w:t>
            </w:r>
            <w:r>
              <w:rPr>
                <w:rStyle w:val="Text0"/>
              </w:rPr>
              <w:t>argv[0]</w:t>
            </w:r>
            <w:r>
              <w:t xml:space="preserve"> in a C program’s </w:t>
            </w:r>
            <w:r>
              <w:rPr>
                <w:rStyle w:val="Text0"/>
              </w:rPr>
              <w:t>main</w:t>
            </w:r>
            <w:r>
              <w:t xml:space="preserve">); only </w:t>
            </w:r>
            <w:r>
              <w:rPr>
                <w:rStyle w:val="Text0"/>
              </w:rPr>
              <w:t>args[1:]</w:t>
            </w:r>
            <w:r>
              <w:t xml:space="preserve"> are arguments proper to the new program.</w:t>
            </w:r>
          </w:p>
        </w:tc>
      </w:tr>
    </w:tbl>
    <w:tbl>
      <w:tblPr>
        <w:tblW w:type="auto" w:w="0"/>
      </w:tblPr>
      <w:tr>
        <w:tc>
          <w:tcPr>
            <w:tcW w:type="auto" w:w="0"/>
            <w:shd w:val="clear" w:color="auto" w:fill="EEF2F6"/>
            <w:tcMar>
              <w:left w:type="dxa" w:w="200"/>
              <w:top w:type="dxa" w:w="200"/>
              <w:right w:type="dxa" w:w="200"/>
              <w:bottom w:type="dxa" w:w="200"/>
            </w:tcMar>
          </w:tcPr>
          <w:p>
            <w:pPr>
              <w:pStyle w:val="Para 001"/>
            </w:pPr>
            <w:r>
              <w:t>popen</w:t>
            </w:r>
          </w:p>
        </w:tc>
        <w:tc>
          <w:tcPr>
            <w:tcW w:type="auto" w:w="0"/>
            <w:shd w:val="clear" w:color="auto" w:fill="EEF2F6"/>
            <w:tcMar>
              <w:left w:type="dxa" w:w="200"/>
              <w:top w:type="dxa" w:w="200"/>
              <w:right w:type="dxa" w:w="200"/>
              <w:bottom w:type="dxa" w:w="200"/>
            </w:tcMar>
          </w:tcPr>
          <w:p>
            <w:pPr>
              <w:pStyle w:val="Para 002"/>
            </w:pPr>
            <w:r>
              <w:rPr>
                <w:rStyle w:val="Text0"/>
              </w:rPr>
              <w:t>popen(</w:t>
            </w:r>
            <w:r>
              <w:rPr>
                <w:rStyle w:val="Text3"/>
              </w:rPr>
              <w:t>cmd</w:t>
            </w:r>
            <w:r>
              <w:rPr>
                <w:rStyle w:val="Text0"/>
              </w:rPr>
              <w:t>, mode='r', buffering=-1)</w:t>
              <w:br w:clear="none"/>
            </w:r>
            <w:r>
              <w:t xml:space="preserve"> Runs</w:t>
            </w:r>
            <w:r>
              <w:rPr>
                <w:rStyle w:val="Text111"/>
              </w:rPr>
              <w:bookmarkStart w:id="3503" w:name="idm45965188738416"/>
              <w:t/>
              <w:bookmarkEnd w:id="3503"/>
            </w:r>
            <w:r>
              <w:t xml:space="preserve"> the string command </w:t>
            </w:r>
            <w:r>
              <w:rPr>
                <w:rStyle w:val="Text3"/>
              </w:rPr>
              <w:t>cmd</w:t>
            </w:r>
            <w:r>
              <w:t xml:space="preserve"> in a new process </w:t>
            </w:r>
            <w:r>
              <w:rPr>
                <w:rStyle w:val="Text3"/>
              </w:rPr>
              <w:t>P</w:t>
            </w:r>
            <w:r>
              <w:t xml:space="preserve"> and returns a file-like object </w:t>
            </w:r>
            <w:r>
              <w:rPr>
                <w:rStyle w:val="Text3"/>
              </w:rPr>
              <w:t>f</w:t>
            </w:r>
            <w:r>
              <w:t xml:space="preserve"> that wraps a pipe to </w:t>
            </w:r>
            <w:r>
              <w:rPr>
                <w:rStyle w:val="Text3"/>
              </w:rPr>
              <w:t>P</w:t>
            </w:r>
            <w:r>
              <w:t xml:space="preserve">’s standard input or from </w:t>
            </w:r>
            <w:r>
              <w:rPr>
                <w:rStyle w:val="Text3"/>
              </w:rPr>
              <w:t>P</w:t>
            </w:r>
            <w:r>
              <w:t xml:space="preserve">’s standard output (depending on </w:t>
            </w:r>
            <w:r>
              <w:rPr>
                <w:rStyle w:val="Text0"/>
              </w:rPr>
              <w:t>mode</w:t>
            </w:r>
            <w:r>
              <w:t xml:space="preserve">); </w:t>
            </w:r>
            <w:r>
              <w:rPr>
                <w:rStyle w:val="Text3"/>
              </w:rPr>
              <w:t>f</w:t>
            </w:r>
            <w:r>
              <w:t xml:space="preserve"> uses text streams in both directions rather than raw bytes. </w:t>
            </w:r>
            <w:r>
              <w:rPr>
                <w:rStyle w:val="Text0"/>
              </w:rPr>
              <w:t>mode</w:t>
            </w:r>
            <w:r>
              <w:t xml:space="preserve"> and </w:t>
            </w:r>
            <w:r>
              <w:rPr>
                <w:rStyle w:val="Text0"/>
              </w:rPr>
              <w:t>buffering</w:t>
            </w:r>
            <w:r>
              <w:t xml:space="preserve"> have the same meaning as for Python’s </w:t>
            </w:r>
            <w:r>
              <w:rPr>
                <w:rStyle w:val="Text0"/>
              </w:rPr>
              <w:t>open</w:t>
            </w:r>
            <w:r>
              <w:t xml:space="preserve"> function, covered in </w:t>
            </w:r>
            <w:hyperlink w:anchor="Creating_a_File_Object_with_open">
              <w:r>
                <w:rPr>
                  <w:rStyle w:val="Text1"/>
                </w:rPr>
                <w:t>“Creating a File Object with open”</w:t>
              </w:r>
            </w:hyperlink>
            <w:r>
              <w:t xml:space="preserve">. When </w:t>
            </w:r>
            <w:r>
              <w:rPr>
                <w:rStyle w:val="Text0"/>
              </w:rPr>
              <w:t>mode</w:t>
            </w:r>
            <w:r>
              <w:t xml:space="preserve"> is </w:t>
            </w:r>
            <w:r>
              <w:rPr>
                <w:rStyle w:val="Text0"/>
              </w:rPr>
              <w:t>'r'</w:t>
            </w:r>
            <w:r>
              <w:t xml:space="preserve"> (the default), </w:t>
            </w:r>
            <w:r>
              <w:rPr>
                <w:rStyle w:val="Text3"/>
              </w:rPr>
              <w:t>f</w:t>
            </w:r>
            <w:r>
              <w:t xml:space="preserve"> is read-only and wraps </w:t>
            </w:r>
            <w:r>
              <w:rPr>
                <w:rStyle w:val="Text3"/>
              </w:rPr>
              <w:t>P</w:t>
            </w:r>
            <w:r>
              <w:t xml:space="preserve">’s standard output. When </w:t>
            </w:r>
            <w:r>
              <w:rPr>
                <w:rStyle w:val="Text0"/>
              </w:rPr>
              <w:t>mode</w:t>
            </w:r>
            <w:r>
              <w:t xml:space="preserve"> is </w:t>
            </w:r>
            <w:r>
              <w:rPr>
                <w:rStyle w:val="Text0"/>
              </w:rPr>
              <w:t>'w'</w:t>
            </w:r>
            <w:r>
              <w:t xml:space="preserve">, </w:t>
            </w:r>
            <w:r>
              <w:rPr>
                <w:rStyle w:val="Text3"/>
              </w:rPr>
              <w:t>f</w:t>
            </w:r>
            <w:r>
              <w:t xml:space="preserve"> is write-only and wraps </w:t>
            </w:r>
            <w:r>
              <w:rPr>
                <w:rStyle w:val="Text3"/>
              </w:rPr>
              <w:t>P</w:t>
            </w:r>
            <w:r>
              <w:t>’s standard input.</w:t>
              <w:br w:clear="none"/>
              <w:t xml:space="preserve"> The key difference of </w:t>
            </w:r>
            <w:r>
              <w:rPr>
                <w:rStyle w:val="Text3"/>
              </w:rPr>
              <w:t>f</w:t>
            </w:r>
            <w:r>
              <w:t xml:space="preserve"> from other file-like objects is the behavior of method </w:t>
            </w:r>
            <w:r>
              <w:rPr>
                <w:rStyle w:val="Text3"/>
              </w:rPr>
              <w:t>f</w:t>
            </w:r>
            <w:r>
              <w:rPr>
                <w:rStyle w:val="Text0"/>
              </w:rPr>
              <w:t>.close</w:t>
            </w:r>
            <w:r>
              <w:t xml:space="preserve">. </w:t>
            </w:r>
            <w:r>
              <w:rPr>
                <w:rStyle w:val="Text3"/>
              </w:rPr>
              <w:t>f</w:t>
            </w:r>
            <w:r>
              <w:rPr>
                <w:rStyle w:val="Text0"/>
              </w:rPr>
              <w:t>.close</w:t>
            </w:r>
            <w:r>
              <w:t xml:space="preserve"> waits for </w:t>
            </w:r>
            <w:r>
              <w:rPr>
                <w:rStyle w:val="Text3"/>
              </w:rPr>
              <w:t>P</w:t>
            </w:r>
            <w:r>
              <w:t xml:space="preserve"> to terminate and returns </w:t>
            </w:r>
            <w:r>
              <w:rPr>
                <w:rStyle w:val="Text37"/>
              </w:rPr>
              <w:t>None</w:t>
            </w:r>
            <w:r>
              <w:t xml:space="preserve">, as </w:t>
            </w:r>
            <w:r>
              <w:rPr>
                <w:rStyle w:val="Text0"/>
              </w:rPr>
              <w:t>close</w:t>
            </w:r>
            <w:r>
              <w:t xml:space="preserve"> methods of file-like objects normally do, when </w:t>
            </w:r>
            <w:r>
              <w:rPr>
                <w:rStyle w:val="Text3"/>
              </w:rPr>
              <w:t>P</w:t>
            </w:r>
            <w:r>
              <w:t xml:space="preserve">’s termination is successful. However, if the operating system associates an integer error code </w:t>
            </w:r>
            <w:r>
              <w:rPr>
                <w:rStyle w:val="Text3"/>
              </w:rPr>
              <w:t>c</w:t>
            </w:r>
            <w:r>
              <w:t xml:space="preserve"> with </w:t>
            </w:r>
            <w:r>
              <w:rPr>
                <w:rStyle w:val="Text3"/>
              </w:rPr>
              <w:t>P</w:t>
            </w:r>
            <w:r>
              <w:t xml:space="preserve">’s termination, indicating that </w:t>
            </w:r>
            <w:r>
              <w:rPr>
                <w:rStyle w:val="Text3"/>
              </w:rPr>
              <w:t>P</w:t>
            </w:r>
            <w:r>
              <w:t xml:space="preserve">’s termination was unsuccessful, </w:t>
            </w:r>
            <w:r>
              <w:rPr>
                <w:rStyle w:val="Text3"/>
              </w:rPr>
              <w:t>f</w:t>
            </w:r>
            <w:r>
              <w:rPr>
                <w:rStyle w:val="Text0"/>
              </w:rPr>
              <w:t>.close</w:t>
            </w:r>
            <w:r>
              <w:t xml:space="preserve"> returns </w:t>
            </w:r>
            <w:r>
              <w:rPr>
                <w:rStyle w:val="Text3"/>
              </w:rPr>
              <w:t>c</w:t>
            </w:r>
            <w:r>
              <w:t xml:space="preserve">. On Windows systems, </w:t>
            </w:r>
            <w:r>
              <w:rPr>
                <w:rStyle w:val="Text0"/>
              </w:rPr>
              <w:t>c</w:t>
            </w:r>
            <w:r>
              <w:t xml:space="preserve"> is a signed integer return code from the child process.</w:t>
            </w:r>
          </w:p>
        </w:tc>
      </w:tr>
    </w:tbl>
    <w:tbl>
      <w:tblPr>
        <w:tblW w:type="auto" w:w="0"/>
      </w:tblPr>
      <w:tr>
        <w:tc>
          <w:tcPr>
            <w:tcW w:type="auto" w:w="0"/>
            <w:tcMar>
              <w:left w:type="dxa" w:w="200"/>
              <w:top w:type="dxa" w:w="200"/>
              <w:right w:type="dxa" w:w="200"/>
              <w:bottom w:type="dxa" w:w="200"/>
            </w:tcMar>
          </w:tcPr>
          <w:p>
            <w:pPr>
              <w:pStyle w:val="Para 001"/>
            </w:pPr>
            <w:r>
              <w:t>spawnv</w:t>
            </w:r>
            <w:r>
              <w:rPr>
                <w:rStyle w:val="Text12"/>
              </w:rPr>
              <w:t>,</w:t>
              <w:br w:clear="none"/>
              <w:t xml:space="preserve"> </w:t>
            </w:r>
            <w:r>
              <w:t>spawnve</w:t>
            </w:r>
          </w:p>
        </w:tc>
        <w:tc>
          <w:tcPr>
            <w:tcW w:type="auto" w:w="0"/>
            <w:tcMar>
              <w:left w:type="dxa" w:w="200"/>
              <w:top w:type="dxa" w:w="200"/>
              <w:right w:type="dxa" w:w="200"/>
              <w:bottom w:type="dxa" w:w="200"/>
            </w:tcMar>
          </w:tcPr>
          <w:p>
            <w:pPr>
              <w:pStyle w:val="Para 002"/>
            </w:pPr>
            <w:r>
              <w:rPr>
                <w:rStyle w:val="Text0"/>
              </w:rPr>
              <w:t>spawnv(</w:t>
            </w:r>
            <w:r>
              <w:rPr>
                <w:rStyle w:val="Text3"/>
              </w:rPr>
              <w:t>mode</w:t>
            </w:r>
            <w:r>
              <w:rPr>
                <w:rStyle w:val="Text0"/>
              </w:rPr>
              <w:t>,</w:t>
            </w:r>
            <w:r>
              <w:t xml:space="preserve"> </w:t>
            </w:r>
            <w:r>
              <w:rPr>
                <w:rStyle w:val="Text3"/>
              </w:rPr>
              <w:t>path</w:t>
            </w:r>
            <w:r>
              <w:rPr>
                <w:rStyle w:val="Text0"/>
              </w:rPr>
              <w:t>,</w:t>
            </w:r>
            <w:r>
              <w:t xml:space="preserve"> </w:t>
            </w:r>
            <w:r>
              <w:rPr>
                <w:rStyle w:val="Text3"/>
              </w:rPr>
              <w:t>args</w:t>
            </w:r>
            <w:r>
              <w:rPr>
                <w:rStyle w:val="Text0"/>
              </w:rPr>
              <w:t>)</w:t>
            </w:r>
            <w:r>
              <w:t>,</w:t>
              <w:br w:clear="none"/>
              <w:t xml:space="preserve"> </w:t>
            </w:r>
            <w:r>
              <w:rPr>
                <w:rStyle w:val="Text0"/>
              </w:rPr>
              <w:t>spawnve(</w:t>
            </w:r>
            <w:r>
              <w:rPr>
                <w:rStyle w:val="Text3"/>
              </w:rPr>
              <w:t>mode</w:t>
            </w:r>
            <w:r>
              <w:rPr>
                <w:rStyle w:val="Text0"/>
              </w:rPr>
              <w:t>,</w:t>
            </w:r>
            <w:r>
              <w:t xml:space="preserve"> </w:t>
            </w:r>
            <w:r>
              <w:rPr>
                <w:rStyle w:val="Text3"/>
              </w:rPr>
              <w:t>path</w:t>
            </w:r>
            <w:r>
              <w:rPr>
                <w:rStyle w:val="Text0"/>
              </w:rPr>
              <w:t>,</w:t>
            </w:r>
            <w:r>
              <w:t xml:space="preserve"> </w:t>
            </w:r>
            <w:r>
              <w:rPr>
                <w:rStyle w:val="Text3"/>
              </w:rPr>
              <w:t>args</w:t>
            </w:r>
            <w:r>
              <w:rPr>
                <w:rStyle w:val="Text0"/>
              </w:rPr>
              <w:t>,</w:t>
            </w:r>
            <w:r>
              <w:t xml:space="preserve"> </w:t>
            </w:r>
            <w:r>
              <w:rPr>
                <w:rStyle w:val="Text3"/>
              </w:rPr>
              <w:t>env</w:t>
            </w:r>
            <w:r>
              <w:rPr>
                <w:rStyle w:val="Text0"/>
              </w:rPr>
              <w:t>)</w:t>
              <w:br w:clear="none"/>
            </w:r>
            <w:r>
              <w:t xml:space="preserve"> These</w:t>
            </w:r>
            <w:r>
              <w:rPr>
                <w:rStyle w:val="Text111"/>
              </w:rPr>
              <w:bookmarkStart w:id="3504" w:name="idm45965188696640"/>
              <w:t/>
              <w:bookmarkEnd w:id="3504"/>
            </w:r>
            <w:r>
              <w:t xml:space="preserve"> functions run the program indicated by </w:t>
            </w:r>
            <w:r>
              <w:rPr>
                <w:rStyle w:val="Text3"/>
              </w:rPr>
              <w:t>path</w:t>
            </w:r>
            <w:r>
              <w:t xml:space="preserve"> in a new process </w:t>
            </w:r>
            <w:r>
              <w:rPr>
                <w:rStyle w:val="Text3"/>
              </w:rPr>
              <w:t>P</w:t>
            </w:r>
            <w:r>
              <w:t xml:space="preserve">, with the arguments passed as sequence </w:t>
            </w:r>
            <w:r>
              <w:rPr>
                <w:rStyle w:val="Text3"/>
              </w:rPr>
              <w:t>args</w:t>
            </w:r>
            <w:r>
              <w:t xml:space="preserve">. </w:t>
            </w:r>
            <w:r>
              <w:rPr>
                <w:rStyle w:val="Text0"/>
              </w:rPr>
              <w:t>spawnve</w:t>
            </w:r>
            <w:r>
              <w:t xml:space="preserve"> uses mapping </w:t>
            </w:r>
            <w:r>
              <w:rPr>
                <w:rStyle w:val="Text3"/>
              </w:rPr>
              <w:t>env</w:t>
            </w:r>
            <w:r>
              <w:t xml:space="preserve"> as </w:t>
            </w:r>
            <w:r>
              <w:rPr>
                <w:rStyle w:val="Text3"/>
              </w:rPr>
              <w:t>P</w:t>
            </w:r>
            <w:r>
              <w:t xml:space="preserve">’s environment (both keys and values must be strings), while </w:t>
            </w:r>
            <w:r>
              <w:rPr>
                <w:rStyle w:val="Text0"/>
              </w:rPr>
              <w:t>spawnv</w:t>
            </w:r>
            <w:r>
              <w:t xml:space="preserve"> uses </w:t>
            </w:r>
            <w:r>
              <w:rPr>
                <w:rStyle w:val="Text0"/>
              </w:rPr>
              <w:t>os.environ</w:t>
            </w:r>
            <w:r>
              <w:t xml:space="preserve"> for this purpose. On Unix-like platforms only, there are other variations of </w:t>
            </w:r>
            <w:r>
              <w:rPr>
                <w:rStyle w:val="Text0"/>
              </w:rPr>
              <w:t>os.spawn</w:t>
            </w:r>
            <w:r>
              <w:t xml:space="preserve">, corresponding to variations of </w:t>
            </w:r>
            <w:r>
              <w:rPr>
                <w:rStyle w:val="Text0"/>
              </w:rPr>
              <w:t>os.exec</w:t>
            </w:r>
            <w:r>
              <w:t xml:space="preserve">, but </w:t>
            </w:r>
            <w:r>
              <w:rPr>
                <w:rStyle w:val="Text0"/>
              </w:rPr>
              <w:t>spawnv</w:t>
            </w:r>
            <w:r>
              <w:t xml:space="preserve"> and </w:t>
            </w:r>
            <w:r>
              <w:rPr>
                <w:rStyle w:val="Text0"/>
              </w:rPr>
              <w:t>spawnve</w:t>
            </w:r>
            <w:r>
              <w:t xml:space="preserve"> are the only two that also exist on Windows.</w:t>
              <w:br w:clear="none"/>
              <w:t xml:space="preserve"> </w:t>
            </w:r>
            <w:r>
              <w:rPr>
                <w:rStyle w:val="Text3"/>
              </w:rPr>
              <w:t>mode</w:t>
            </w:r>
            <w:r>
              <w:t xml:space="preserve"> must be one of two attributes supplied by the </w:t>
            </w:r>
            <w:r>
              <w:rPr>
                <w:rStyle w:val="Text0"/>
              </w:rPr>
              <w:t>os</w:t>
            </w:r>
            <w:r>
              <w:t xml:space="preserve"> module: </w:t>
            </w:r>
            <w:r>
              <w:rPr>
                <w:rStyle w:val="Text0"/>
              </w:rPr>
              <w:t>os.P_WAIT</w:t>
            </w:r>
            <w:r>
              <w:t xml:space="preserve"> indicates that the calling process waits until the new process terminates, while </w:t>
            </w:r>
            <w:r>
              <w:rPr>
                <w:rStyle w:val="Text0"/>
              </w:rPr>
              <w:t>os.P_NOWAIT</w:t>
            </w:r>
            <w:r>
              <w:t xml:space="preserve"> indicates that the calling process continues executing simultaneously with the new process. When </w:t>
            </w:r>
            <w:r>
              <w:rPr>
                <w:rStyle w:val="Text3"/>
              </w:rPr>
              <w:t>mode</w:t>
            </w:r>
            <w:r>
              <w:t xml:space="preserve"> is </w:t>
            </w:r>
            <w:r>
              <w:rPr>
                <w:rStyle w:val="Text0"/>
              </w:rPr>
              <w:t>os.P_WAIT</w:t>
            </w:r>
            <w:r>
              <w:t xml:space="preserve">, the function returns the termination code </w:t>
            </w:r>
            <w:r>
              <w:rPr>
                <w:rStyle w:val="Text3"/>
              </w:rPr>
              <w:t>c</w:t>
            </w:r>
            <w:r>
              <w:t xml:space="preserve"> of </w:t>
            </w:r>
            <w:r>
              <w:rPr>
                <w:rStyle w:val="Text3"/>
              </w:rPr>
              <w:t>P</w:t>
            </w:r>
            <w:r>
              <w:t xml:space="preserve">: </w:t>
            </w:r>
            <w:r>
              <w:rPr>
                <w:rStyle w:val="Text0"/>
              </w:rPr>
              <w:t>0</w:t>
            </w:r>
            <w:r>
              <w:t xml:space="preserve"> indicates successful termination, </w:t>
            </w:r>
            <w:r>
              <w:rPr>
                <w:rStyle w:val="Text3"/>
              </w:rPr>
              <w:t>c</w:t>
            </w:r>
            <w:r>
              <w:t xml:space="preserve"> </w:t>
            </w:r>
            <w:r>
              <w:rPr>
                <w:rStyle w:val="Text0"/>
              </w:rPr>
              <w:t>&lt; 0</w:t>
            </w:r>
            <w:r>
              <w:t xml:space="preserve"> indicates </w:t>
            </w:r>
            <w:r>
              <w:rPr>
                <w:rStyle w:val="Text3"/>
              </w:rPr>
              <w:t>P</w:t>
            </w:r>
            <w:r>
              <w:t xml:space="preserve"> was killed by a </w:t>
            </w:r>
            <w:r>
              <w:rPr>
                <w:rStyle w:val="Text4"/>
              </w:rPr>
              <w:t>signal</w:t>
            </w:r>
            <w:r>
              <w:t xml:space="preserve">, and </w:t>
            </w:r>
            <w:r>
              <w:rPr>
                <w:rStyle w:val="Text3"/>
              </w:rPr>
              <w:t>c</w:t>
            </w:r>
            <w:r>
              <w:t xml:space="preserve"> </w:t>
            </w:r>
            <w:r>
              <w:rPr>
                <w:rStyle w:val="Text0"/>
              </w:rPr>
              <w:t>&gt; 0</w:t>
            </w:r>
            <w:r>
              <w:t xml:space="preserve"> indicates normal but unsuccessful termination. When </w:t>
            </w:r>
            <w:r>
              <w:rPr>
                <w:rStyle w:val="Text3"/>
              </w:rPr>
              <w:t>mode</w:t>
            </w:r>
            <w:r>
              <w:t xml:space="preserve"> is </w:t>
            </w:r>
            <w:r>
              <w:rPr>
                <w:rStyle w:val="Text0"/>
              </w:rPr>
              <w:t>os.P_NOWAIT</w:t>
            </w:r>
            <w:r>
              <w:t xml:space="preserve">, the function returns </w:t>
            </w:r>
            <w:r>
              <w:rPr>
                <w:rStyle w:val="Text3"/>
              </w:rPr>
              <w:t>P</w:t>
            </w:r>
            <w:r>
              <w:t xml:space="preserve">’s process ID (or, on Windows, </w:t>
            </w:r>
            <w:r>
              <w:rPr>
                <w:rStyle w:val="Text3"/>
              </w:rPr>
              <w:t>P</w:t>
            </w:r>
            <w:r>
              <w:t xml:space="preserve">’s process handle). There is no cross-platform way to use </w:t>
            </w:r>
            <w:r>
              <w:rPr>
                <w:rStyle w:val="Text3"/>
              </w:rPr>
              <w:t>P</w:t>
            </w:r>
            <w:r>
              <w:t xml:space="preserve">’s ID or handle; platform-specific ways (not covered further in this book) include </w:t>
            </w:r>
            <w:r>
              <w:rPr>
                <w:rStyle w:val="Text0"/>
              </w:rPr>
              <w:t>os.waitpid</w:t>
            </w:r>
            <w:r>
              <w:t xml:space="preserve"> on Unix-like platforms, and third-party extension package </w:t>
            </w:r>
            <w:hyperlink r:id="rId453">
              <w:r>
                <w:rPr>
                  <w:rStyle w:val="Text30"/>
                </w:rPr>
                <w:t>pywin32</w:t>
              </w:r>
            </w:hyperlink>
            <w:r>
              <w:t xml:space="preserve"> on Windows.</w:t>
              <w:br w:clear="none"/>
              <w:t xml:space="preserve"> For example, suppose you want your interactive program to give the user a chance to edit a text file that your program is about to read and use. You must have previously determined the full path to the user’s favorite text editor, such as </w:t>
            </w:r>
            <w:r>
              <w:rPr>
                <w:rStyle w:val="Text4"/>
              </w:rPr>
              <w:t>c:\\windows\\notepad.exe</w:t>
            </w:r>
            <w:r>
              <w:t xml:space="preserve"> on Windows or </w:t>
            </w:r>
            <w:r>
              <w:rPr>
                <w:rStyle w:val="Text4"/>
              </w:rPr>
              <w:t>/usr/bin/vim</w:t>
            </w:r>
            <w:r>
              <w:t xml:space="preserve"> on a Unix-like platform. Say that this path string is bound to the variable </w:t>
            </w:r>
            <w:r>
              <w:rPr>
                <w:rStyle w:val="Text0"/>
              </w:rPr>
              <w:t>editor</w:t>
            </w:r>
            <w:r>
              <w:t xml:space="preserve">, and the path of the text file you want to let the user edit is bound to </w:t>
            </w:r>
            <w:r>
              <w:rPr>
                <w:rStyle w:val="Text0"/>
              </w:rPr>
              <w:t>textfile</w:t>
            </w:r>
            <w:r>
              <w:t xml:space="preserve">: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os</w:t>
              <w:br w:clear="none"/>
            </w:r>
            <w:r>
              <w:rPr>
                <w:rStyle w:val="Text6"/>
              </w:rPr>
              <w:t xml:space="preserve"/>
              <w:br w:clear="none"/>
            </w:r>
            <w:r>
              <w:t xml:space="preserve">os</w:t>
              <w:br w:clear="none"/>
            </w:r>
            <w:r>
              <w:rPr>
                <w:rStyle w:val="Text13"/>
              </w:rPr>
              <w:t xml:space="preserve">.</w:t>
              <w:br w:clear="none"/>
            </w:r>
            <w:r>
              <w:t xml:space="preserve">spawnv</w:t>
              <w:br w:clear="none"/>
            </w:r>
            <w:r>
              <w:rPr>
                <w:rStyle w:val="Text7"/>
              </w:rPr>
              <w:t xml:space="preserve">(</w:t>
              <w:br w:clear="none"/>
            </w:r>
            <w:r>
              <w:t xml:space="preserve">os</w:t>
              <w:br w:clear="none"/>
            </w:r>
            <w:r>
              <w:rPr>
                <w:rStyle w:val="Text13"/>
              </w:rPr>
              <w:t xml:space="preserve">.</w:t>
              <w:br w:clear="none"/>
            </w:r>
            <w:r>
              <w:t xml:space="preserve">P_WAIT</w:t>
              <w:br w:clear="none"/>
            </w:r>
            <w:r>
              <w:rPr>
                <w:rStyle w:val="Text7"/>
              </w:rPr>
              <w:t xml:space="preserve">,</w:t>
              <w:br w:clear="none"/>
            </w:r>
            <w:r>
              <w:rPr>
                <w:rStyle w:val="Text6"/>
              </w:rPr>
              <w:t xml:space="preserve"> </w:t>
              <w:br w:clear="none"/>
            </w:r>
            <w:r>
              <w:t xml:space="preserve">editor</w:t>
              <w:br w:clear="none"/>
            </w:r>
            <w:r>
              <w:rPr>
                <w:rStyle w:val="Text7"/>
              </w:rPr>
              <w:t xml:space="preserve">,</w:t>
              <w:br w:clear="none"/>
            </w:r>
            <w:r>
              <w:rPr>
                <w:rStyle w:val="Text6"/>
              </w:rPr>
              <w:t xml:space="preserve"> </w:t>
              <w:br w:clear="none"/>
            </w:r>
            <w:r>
              <w:rPr>
                <w:rStyle w:val="Text7"/>
              </w:rPr>
              <w:t xml:space="preserve">(</w:t>
              <w:br w:clear="none"/>
            </w:r>
            <w:r>
              <w:t xml:space="preserve">editor</w:t>
              <w:br w:clear="none"/>
            </w:r>
            <w:r>
              <w:rPr>
                <w:rStyle w:val="Text7"/>
              </w:rPr>
              <w:t xml:space="preserve">,</w:t>
              <w:br w:clear="none"/>
            </w:r>
            <w:r>
              <w:rPr>
                <w:rStyle w:val="Text6"/>
              </w:rPr>
              <w:t xml:space="preserve"> </w:t>
              <w:br w:clear="none"/>
            </w:r>
            <w:r>
              <w:t xml:space="preserve">textfile</w:t>
              <w:br w:clear="none"/>
            </w:r>
            <w:r>
              <w:rPr>
                <w:rStyle w:val="Text7"/>
              </w:rPr>
              <w:t xml:space="preserve">)</w:t>
              <w:br w:clear="none"/>
              <w:t xml:space="preserve">)</w:t>
              <w:br w:clear="none"/>
            </w:r>
          </w:p>
          <w:p>
            <w:pPr>
              <w:pStyle w:val="Para 022"/>
            </w:pPr>
            <w:r>
              <w:t xml:space="preserve"> The first item of the argument </w:t>
            </w:r>
            <w:r>
              <w:rPr>
                <w:rStyle w:val="Text4"/>
              </w:rPr>
              <w:t>args</w:t>
            </w:r>
            <w:r>
              <w:t xml:space="preserve"> is passed to the program being spawned as “the name under which the program is being invoked.” Most programs don’t look at this, so you can usually place just about any string here. Just in case the editor program does look at this special first argument (some versions of Vim, for example, do), passing the same string editor that is used as the second argument to </w:t>
            </w:r>
            <w:r>
              <w:rPr>
                <w:rStyle w:val="Text0"/>
              </w:rPr>
              <w:t>os.spawnv</w:t>
            </w:r>
            <w:r>
              <w:t xml:space="preserve"> is the simplest and most effective approach.</w:t>
            </w:r>
          </w:p>
        </w:tc>
      </w:tr>
    </w:tbl>
    <w:tbl>
      <w:tblPr>
        <w:tblW w:type="auto" w:w="0"/>
      </w:tblPr>
      <w:tr>
        <w:tc>
          <w:tcPr>
            <w:tcW w:type="auto" w:w="0"/>
            <w:shd w:val="clear" w:color="auto" w:fill="EEF2F6"/>
            <w:tcMar>
              <w:left w:type="dxa" w:w="200"/>
              <w:top w:type="dxa" w:w="200"/>
              <w:right w:type="dxa" w:w="200"/>
              <w:bottom w:type="dxa" w:w="200"/>
            </w:tcMar>
          </w:tcPr>
          <w:p>
            <w:pPr>
              <w:pStyle w:val="Para 001"/>
            </w:pPr>
            <w:r>
              <w:t>system</w:t>
            </w:r>
          </w:p>
        </w:tc>
        <w:tc>
          <w:tcPr>
            <w:tcW w:type="auto" w:w="0"/>
            <w:shd w:val="clear" w:color="auto" w:fill="EEF2F6"/>
            <w:tcMar>
              <w:left w:type="dxa" w:w="200"/>
              <w:top w:type="dxa" w:w="200"/>
              <w:right w:type="dxa" w:w="200"/>
              <w:bottom w:type="dxa" w:w="200"/>
            </w:tcMar>
          </w:tcPr>
          <w:p>
            <w:pPr>
              <w:pStyle w:val="Para 002"/>
            </w:pPr>
            <w:r>
              <w:rPr>
                <w:rStyle w:val="Text0"/>
              </w:rPr>
              <w:t>system(</w:t>
            </w:r>
            <w:r>
              <w:rPr>
                <w:rStyle w:val="Text3"/>
              </w:rPr>
              <w:t>cmd</w:t>
            </w:r>
            <w:r>
              <w:rPr>
                <w:rStyle w:val="Text0"/>
              </w:rPr>
              <w:t>)</w:t>
              <w:br w:clear="none"/>
            </w:r>
            <w:r>
              <w:t xml:space="preserve"> Runs</w:t>
            </w:r>
            <w:r>
              <w:rPr>
                <w:rStyle w:val="Text111"/>
              </w:rPr>
              <w:bookmarkStart w:id="3505" w:name="idm45965188643056"/>
              <w:t/>
              <w:bookmarkEnd w:id="3505"/>
            </w:r>
            <w:r>
              <w:t xml:space="preserve"> the string command </w:t>
            </w:r>
            <w:r>
              <w:rPr>
                <w:rStyle w:val="Text3"/>
              </w:rPr>
              <w:t>cmd</w:t>
            </w:r>
            <w:r>
              <w:t xml:space="preserve"> in a new process and returns </w:t>
            </w:r>
            <w:r>
              <w:rPr>
                <w:rStyle w:val="Text0"/>
              </w:rPr>
              <w:t>0</w:t>
            </w:r>
            <w:r>
              <w:t xml:space="preserve"> when the new process terminates successfully. When the new process terminates unsuccessfully, </w:t>
            </w:r>
            <w:r>
              <w:rPr>
                <w:rStyle w:val="Text0"/>
              </w:rPr>
              <w:t>system</w:t>
            </w:r>
            <w:r>
              <w:t xml:space="preserve"> returns an integer error code not equal to </w:t>
            </w:r>
            <w:r>
              <w:rPr>
                <w:rStyle w:val="Text0"/>
              </w:rPr>
              <w:t>0</w:t>
            </w:r>
            <w:r>
              <w:t>. (Exactly what error codes may be returned depends on the command you’re running: there’s no widely accepted standard for this.)</w:t>
            </w:r>
            <w:r>
              <w:rPr>
                <w:rStyle w:val="Text111"/>
              </w:rPr>
              <w:bookmarkStart w:id="3506" w:name="idm45965188638800"/>
              <w:t/>
              <w:bookmarkEnd w:id="3506"/>
              <w:bookmarkStart w:id="3507" w:name="idm45965188613152"/>
              <w:t/>
              <w:bookmarkEnd w:id="3507"/>
            </w:r>
          </w:p>
        </w:tc>
      </w:tr>
    </w:tbl>
    <w:p>
      <w:bookmarkStart w:id="3508" w:name="The_mmap_Module__The_mmap_module"/>
      <w:pPr>
        <w:keepNext/>
        <w:pStyle w:val="Heading 1"/>
      </w:pPr>
      <w:r>
        <w:t>The mmap Module</w:t>
      </w:r>
      <w:bookmarkEnd w:id="3508"/>
    </w:p>
    <w:p>
      <w:pPr>
        <w:pStyle w:val="Normal"/>
      </w:pPr>
      <w:r>
        <w:t>The</w:t>
      </w:r>
      <w:r>
        <w:rPr>
          <w:rStyle w:val="Text111"/>
        </w:rPr>
        <w:bookmarkStart w:id="3509" w:name="TAPnmap15"/>
        <w:t/>
        <w:bookmarkEnd w:id="3509"/>
        <w:bookmarkStart w:id="3510" w:name="nmap15"/>
        <w:t/>
        <w:bookmarkEnd w:id="3510"/>
        <w:bookmarkStart w:id="3511" w:name="idm45965188606752"/>
        <w:t/>
        <w:bookmarkEnd w:id="3511"/>
      </w:r>
      <w:r>
        <w:t xml:space="preserve"> </w:t>
      </w:r>
      <w:r>
        <w:rPr>
          <w:rStyle w:val="Text0"/>
        </w:rPr>
        <w:t>mmap</w:t>
      </w:r>
      <w:r>
        <w:t xml:space="preserve"> module supplies</w:t>
      </w:r>
      <w:r>
        <w:rPr>
          <w:rStyle w:val="Text111"/>
        </w:rPr>
        <w:bookmarkStart w:id="3512" w:name="idm45965188604560"/>
        <w:t/>
        <w:bookmarkEnd w:id="3512"/>
      </w:r>
      <w:r>
        <w:t xml:space="preserve"> memory-mapped file objects. An </w:t>
      </w:r>
      <w:r>
        <w:rPr>
          <w:rStyle w:val="Text0"/>
        </w:rPr>
        <w:t>mmap</w:t>
      </w:r>
      <w:r>
        <w:t xml:space="preserve"> object behaves similarly to a bytestring, so you can often pass an </w:t>
      </w:r>
      <w:r>
        <w:rPr>
          <w:rStyle w:val="Text0"/>
        </w:rPr>
        <w:t>mmap</w:t>
      </w:r>
      <w:r>
        <w:t xml:space="preserve"> object where a bytestring is expected. However, there are differences:</w:t>
      </w:r>
    </w:p>
    <w:p>
      <w:pPr>
        <w:pStyle w:val="Para 010"/>
      </w:pPr>
      <w:r>
        <w:t xml:space="preserve">An </w:t>
      </w:r>
      <w:r>
        <w:rPr>
          <w:rStyle w:val="Text0"/>
        </w:rPr>
        <w:t>mmap</w:t>
      </w:r>
      <w:r>
        <w:t xml:space="preserve"> object does not supply the methods of a string object.</w:t>
      </w:r>
    </w:p>
    <w:p>
      <w:pPr>
        <w:pStyle w:val="Para 010"/>
      </w:pPr>
      <w:r>
        <w:t xml:space="preserve">An </w:t>
      </w:r>
      <w:r>
        <w:rPr>
          <w:rStyle w:val="Text0"/>
        </w:rPr>
        <w:t>mmap</w:t>
      </w:r>
      <w:r>
        <w:t xml:space="preserve"> object is mutable, like a </w:t>
      </w:r>
      <w:r>
        <w:rPr>
          <w:rStyle w:val="Text0"/>
        </w:rPr>
        <w:t>bytearray</w:t>
      </w:r>
      <w:r>
        <w:t xml:space="preserve">, while </w:t>
      </w:r>
      <w:r>
        <w:rPr>
          <w:rStyle w:val="Text0"/>
        </w:rPr>
        <w:t>bytes</w:t>
      </w:r>
      <w:r>
        <w:t xml:space="preserve"> objects are </w:t>
        <w:t>immutable</w:t>
        <w:t>.</w:t>
      </w:r>
    </w:p>
    <w:p>
      <w:pPr>
        <w:pStyle w:val="Para 010"/>
      </w:pPr>
      <w:r>
        <w:t xml:space="preserve">An </w:t>
      </w:r>
      <w:r>
        <w:rPr>
          <w:rStyle w:val="Text0"/>
        </w:rPr>
        <w:t>mmap</w:t>
      </w:r>
      <w:r>
        <w:t xml:space="preserve"> object also corresponds to an open file, and behaves polymorphically to a Python file object (as covered in </w:t>
      </w:r>
      <w:hyperlink w:anchor="File_Like_Objects_and_Polymorphi">
        <w:r>
          <w:rPr>
            <w:rStyle w:val="Text1"/>
          </w:rPr>
          <w:t>“File-Like Objects and Polymorphism”</w:t>
        </w:r>
      </w:hyperlink>
      <w:r>
        <w:t>).</w:t>
      </w:r>
    </w:p>
    <w:p>
      <w:pPr>
        <w:pStyle w:val="Normal"/>
      </w:pPr>
      <w:r>
        <w:t xml:space="preserve">An </w:t>
      </w:r>
      <w:r>
        <w:rPr>
          <w:rStyle w:val="Text0"/>
        </w:rPr>
        <w:t>mmap</w:t>
      </w:r>
      <w:r>
        <w:t xml:space="preserve"> object </w:t>
      </w:r>
      <w:r>
        <w:rPr>
          <w:rStyle w:val="Text3"/>
        </w:rPr>
        <w:t>m</w:t>
      </w:r>
      <w:r>
        <w:t xml:space="preserve"> can be indexed or sliced, yielding bytestrings. Since </w:t>
      </w:r>
      <w:r>
        <w:rPr>
          <w:rStyle w:val="Text3"/>
        </w:rPr>
        <w:t>m</w:t>
      </w:r>
      <w:r>
        <w:t xml:space="preserve"> is mutable, you can also assign to an indexing or slicing of </w:t>
      </w:r>
      <w:r>
        <w:rPr>
          <w:rStyle w:val="Text3"/>
        </w:rPr>
        <w:t>m</w:t>
      </w:r>
      <w:r>
        <w:t xml:space="preserve">. However, when you assign to a slice of </w:t>
      </w:r>
      <w:r>
        <w:rPr>
          <w:rStyle w:val="Text3"/>
        </w:rPr>
        <w:t>m</w:t>
      </w:r>
      <w:r>
        <w:t xml:space="preserve">, the righthand side of the assignment statement must be a bytestring of exactly the same length as the slice you’re assigning to. Therefore, many of the useful tricks available with list slice assignment (covered in </w:t>
      </w:r>
      <w:hyperlink w:anchor="Modifying_a_list__You_can_modify">
        <w:r>
          <w:rPr>
            <w:rStyle w:val="Text1"/>
          </w:rPr>
          <w:t>“Modifying a list”</w:t>
        </w:r>
      </w:hyperlink>
      <w:r>
        <w:t xml:space="preserve">) do not apply to </w:t>
      </w:r>
      <w:r>
        <w:rPr>
          <w:rStyle w:val="Text0"/>
        </w:rPr>
        <w:t>mmap</w:t>
      </w:r>
      <w:r>
        <w:t xml:space="preserve"> slice assignment.</w:t>
      </w:r>
    </w:p>
    <w:p>
      <w:pPr>
        <w:pStyle w:val="Normal"/>
      </w:pPr>
      <w:r>
        <w:t xml:space="preserve">The </w:t>
      </w:r>
      <w:r>
        <w:rPr>
          <w:rStyle w:val="Text0"/>
        </w:rPr>
        <w:t>mmap</w:t>
      </w:r>
      <w:r>
        <w:t xml:space="preserve"> module supplies a factory function, slightly different on Unix-like systems and on Windows:</w:t>
      </w:r>
    </w:p>
    <w:tbl>
      <w:tblPr>
        <w:tblW w:type="auto" w:w="0"/>
      </w:tblPr>
      <w:tr>
        <w:tc>
          <w:tcPr>
            <w:tcW w:type="auto" w:w="0"/>
            <w:tcMar>
              <w:left w:type="dxa" w:w="200"/>
              <w:top w:type="dxa" w:w="200"/>
              <w:right w:type="dxa" w:w="200"/>
              <w:bottom w:type="dxa" w:w="200"/>
            </w:tcMar>
          </w:tcPr>
          <w:p>
            <w:pPr>
              <w:pStyle w:val="Para 119"/>
            </w:pPr>
            <w:r>
              <w:t/>
            </w:r>
          </w:p>
          <w:p>
            <w:pPr>
              <w:pStyle w:val="Para 001"/>
            </w:pPr>
            <w:r>
              <w:t>mmap</w:t>
            </w:r>
          </w:p>
        </w:tc>
        <w:tc>
          <w:tcPr>
            <w:tcW w:type="auto" w:w="0"/>
            <w:tcMar>
              <w:left w:type="dxa" w:w="200"/>
              <w:top w:type="dxa" w:w="200"/>
              <w:right w:type="dxa" w:w="200"/>
              <w:bottom w:type="dxa" w:w="200"/>
            </w:tcMar>
          </w:tcPr>
          <w:p>
            <w:pPr>
              <w:pStyle w:val="Para 002"/>
            </w:pPr>
            <w:r>
              <w:rPr>
                <w:rStyle w:val="Text4"/>
              </w:rPr>
              <w:t>Windows:</w:t>
            </w:r>
            <w:r>
              <w:t xml:space="preserve"> </w:t>
            </w:r>
            <w:r>
              <w:rPr>
                <w:rStyle w:val="Text0"/>
              </w:rPr>
              <w:t>mmap(</w:t>
            </w:r>
            <w:r>
              <w:rPr>
                <w:rStyle w:val="Text3"/>
              </w:rPr>
              <w:t>filedesc</w:t>
            </w:r>
            <w:r>
              <w:rPr>
                <w:rStyle w:val="Text0"/>
              </w:rPr>
              <w:t>,</w:t>
            </w:r>
            <w:r>
              <w:t xml:space="preserve"> </w:t>
            </w:r>
            <w:r>
              <w:rPr>
                <w:rStyle w:val="Text3"/>
              </w:rPr>
              <w:t>length</w:t>
            </w:r>
            <w:r>
              <w:rPr>
                <w:rStyle w:val="Text0"/>
              </w:rPr>
              <w:t>, tagname='', access=</w:t>
            </w:r>
            <w:r>
              <w:rPr>
                <w:rStyle w:val="Text5"/>
              </w:rPr>
              <w:t>None</w:t>
            </w:r>
            <w:r>
              <w:rPr>
                <w:rStyle w:val="Text0"/>
              </w:rPr>
              <w:t>, offset=</w:t>
            </w:r>
            <w:r>
              <w:rPr>
                <w:rStyle w:val="Text5"/>
              </w:rPr>
              <w:t>None</w:t>
            </w:r>
            <w:r>
              <w:rPr>
                <w:rStyle w:val="Text0"/>
              </w:rPr>
              <w:t>)</w:t>
              <w:br w:clear="none"/>
            </w:r>
            <w:r>
              <w:t xml:space="preserve"> </w:t>
            </w:r>
            <w:r>
              <w:rPr>
                <w:rStyle w:val="Text4"/>
              </w:rPr>
              <w:t>Unix:</w:t>
            </w:r>
            <w:r>
              <w:t xml:space="preserve"> </w:t>
            </w:r>
            <w:r>
              <w:rPr>
                <w:rStyle w:val="Text0"/>
              </w:rPr>
              <w:t>mmap(</w:t>
            </w:r>
            <w:r>
              <w:rPr>
                <w:rStyle w:val="Text3"/>
              </w:rPr>
              <w:t>filedesc</w:t>
            </w:r>
            <w:r>
              <w:rPr>
                <w:rStyle w:val="Text0"/>
              </w:rPr>
              <w:t>,</w:t>
            </w:r>
            <w:r>
              <w:t xml:space="preserve"> </w:t>
            </w:r>
            <w:r>
              <w:rPr>
                <w:rStyle w:val="Text3"/>
              </w:rPr>
              <w:t>length</w:t>
            </w:r>
            <w:r>
              <w:rPr>
                <w:rStyle w:val="Text0"/>
              </w:rPr>
              <w:t>, flags=MAP_SHARED, prot=PROT_READ|PROT_WRITE, access=</w:t>
            </w:r>
            <w:r>
              <w:rPr>
                <w:rStyle w:val="Text5"/>
              </w:rPr>
              <w:t>None</w:t>
            </w:r>
            <w:r>
              <w:rPr>
                <w:rStyle w:val="Text0"/>
              </w:rPr>
              <w:t>, offset=0)</w:t>
              <w:br w:clear="none"/>
            </w:r>
            <w:r>
              <w:t xml:space="preserve"> Creates and returns an </w:t>
            </w:r>
            <w:r>
              <w:rPr>
                <w:rStyle w:val="Text0"/>
              </w:rPr>
              <w:t>mmap</w:t>
            </w:r>
            <w:r>
              <w:t xml:space="preserve"> object </w:t>
            </w:r>
            <w:r>
              <w:rPr>
                <w:rStyle w:val="Text3"/>
              </w:rPr>
              <w:t>m</w:t>
            </w:r>
            <w:r>
              <w:t xml:space="preserve"> that maps into memory the first </w:t>
            </w:r>
            <w:r>
              <w:rPr>
                <w:rStyle w:val="Text3"/>
              </w:rPr>
              <w:t>length</w:t>
            </w:r>
            <w:r>
              <w:t xml:space="preserve"> bytes of the file indicated by file descriptor </w:t>
            </w:r>
            <w:r>
              <w:rPr>
                <w:rStyle w:val="Text3"/>
              </w:rPr>
              <w:t>filedesc</w:t>
            </w:r>
            <w:r>
              <w:t xml:space="preserve">. </w:t>
            </w:r>
            <w:r>
              <w:rPr>
                <w:rStyle w:val="Text3"/>
              </w:rPr>
              <w:t>filedesc</w:t>
            </w:r>
            <w:r>
              <w:t xml:space="preserve"> must be a file descriptor opened for both reading and writing, except, on Unix-like platforms, when the argument </w:t>
            </w:r>
            <w:r>
              <w:rPr>
                <w:rStyle w:val="Text0"/>
              </w:rPr>
              <w:t>prot</w:t>
            </w:r>
            <w:r>
              <w:t xml:space="preserve"> requests only reading or only writing. (File descriptors are covered in </w:t>
            </w:r>
            <w:hyperlink w:anchor="File_descriptor_operations__In_a">
              <w:r>
                <w:rPr>
                  <w:rStyle w:val="Text1"/>
                </w:rPr>
                <w:t>“File descriptor operations”</w:t>
              </w:r>
            </w:hyperlink>
            <w:r>
              <w:t xml:space="preserve">.) To get an </w:t>
            </w:r>
            <w:r>
              <w:rPr>
                <w:rStyle w:val="Text0"/>
              </w:rPr>
              <w:t>mmap</w:t>
            </w:r>
            <w:r>
              <w:t xml:space="preserve"> object </w:t>
            </w:r>
            <w:r>
              <w:rPr>
                <w:rStyle w:val="Text3"/>
              </w:rPr>
              <w:t>m</w:t>
            </w:r>
            <w:r>
              <w:t xml:space="preserve"> for a Python file object </w:t>
            </w:r>
            <w:r>
              <w:rPr>
                <w:rStyle w:val="Text3"/>
              </w:rPr>
              <w:t>f</w:t>
            </w:r>
            <w:r>
              <w:t xml:space="preserve">, use </w:t>
            </w:r>
            <w:r>
              <w:rPr>
                <w:rStyle w:val="Text3"/>
              </w:rPr>
              <w:t>m</w:t>
            </w:r>
            <w:r>
              <w:rPr>
                <w:rStyle w:val="Text0"/>
              </w:rPr>
              <w:t>=mmap.mmap(</w:t>
            </w:r>
            <w:r>
              <w:rPr>
                <w:rStyle w:val="Text3"/>
              </w:rPr>
              <w:t>f</w:t>
            </w:r>
            <w:r>
              <w:rPr>
                <w:rStyle w:val="Text0"/>
              </w:rPr>
              <w:t>.fileno()</w:t>
            </w:r>
            <w:r>
              <w:t xml:space="preserve">, </w:t>
            </w:r>
            <w:r>
              <w:rPr>
                <w:rStyle w:val="Text3"/>
              </w:rPr>
              <w:t>length</w:t>
            </w:r>
            <w:r>
              <w:rPr>
                <w:rStyle w:val="Text0"/>
              </w:rPr>
              <w:t>)</w:t>
            </w:r>
            <w:r>
              <w:t xml:space="preserve">. </w:t>
            </w:r>
            <w:r>
              <w:rPr>
                <w:rStyle w:val="Text3"/>
              </w:rPr>
              <w:t>filedesc</w:t>
            </w:r>
            <w:r>
              <w:t xml:space="preserve"> can be </w:t>
            </w:r>
            <w:r>
              <w:rPr>
                <w:rStyle w:val="Text0"/>
              </w:rPr>
              <w:t>-1</w:t>
            </w:r>
            <w:r>
              <w:t xml:space="preserve"> to map anonymous memory.</w:t>
              <w:br w:clear="none"/>
              <w:t xml:space="preserve"> On Windows, all memory mappings are readable and writable, and shared among processes, so all processes with a memory mapping on a file can see changes made by other processes. On Windows only, you can pass a string </w:t>
            </w:r>
            <w:r>
              <w:rPr>
                <w:rStyle w:val="Text0"/>
              </w:rPr>
              <w:t>tagname</w:t>
            </w:r>
            <w:r>
              <w:t xml:space="preserve"> to give an explicit </w:t>
            </w:r>
            <w:r>
              <w:rPr>
                <w:rStyle w:val="Text4"/>
              </w:rPr>
              <w:t>tag name</w:t>
            </w:r>
            <w:r>
              <w:t xml:space="preserve"> for the memory mapping. This tag name lets you have several separate memory mappings on the same file, but this is rarely necessary. Calling </w:t>
            </w:r>
            <w:r>
              <w:rPr>
                <w:rStyle w:val="Text0"/>
              </w:rPr>
              <w:t>mmap</w:t>
            </w:r>
            <w:r>
              <w:t xml:space="preserve"> with only two arguments has the advantage of keeping your code portable between Windows and Unix-like platforms.</w:t>
            </w:r>
          </w:p>
        </w:tc>
      </w:tr>
    </w:tbl>
    <w:tbl>
      <w:tblPr>
        <w:tblW w:type="auto" w:w="0"/>
      </w:tblPr>
      <w:tr>
        <w:tc>
          <w:tcPr>
            <w:tcW w:type="auto" w:w="0"/>
            <w:shd w:val="clear" w:color="auto" w:fill="EEF2F6"/>
            <w:tcMar>
              <w:left w:type="dxa" w:w="200"/>
              <w:top w:type="dxa" w:w="200"/>
              <w:right w:type="dxa" w:w="200"/>
              <w:bottom w:type="dxa" w:w="200"/>
            </w:tcMar>
          </w:tcPr>
          <w:p>
            <w:pPr>
              <w:pStyle w:val="Para 052"/>
            </w:pPr>
            <w:r>
              <w:rPr>
                <w:rStyle w:val="Text50"/>
              </w:rPr>
              <w:t>mmap</w:t>
              <w:br w:clear="none"/>
            </w:r>
            <w:r>
              <w:rPr>
                <w:rStyle w:val="Text4"/>
              </w:rPr>
              <w:t xml:space="preserve"> </w:t>
            </w:r>
            <w:r>
              <w:t>(cont.)</w:t>
            </w:r>
          </w:p>
        </w:tc>
        <w:tc>
          <w:tcPr>
            <w:tcW w:type="auto" w:w="0"/>
            <w:shd w:val="clear" w:color="auto" w:fill="EEF2F6"/>
            <w:tcMar>
              <w:left w:type="dxa" w:w="200"/>
              <w:top w:type="dxa" w:w="200"/>
              <w:right w:type="dxa" w:w="200"/>
              <w:bottom w:type="dxa" w:w="200"/>
            </w:tcMar>
          </w:tcPr>
          <w:p>
            <w:pPr>
              <w:pStyle w:val="Para 002"/>
            </w:pPr>
            <w:r>
              <w:t xml:space="preserve">On Unix-like platforms only, you can pass </w:t>
            </w:r>
            <w:r>
              <w:rPr>
                <w:rStyle w:val="Text0"/>
              </w:rPr>
              <w:t>mmap.MAP_PRIVATE</w:t>
            </w:r>
            <w:r>
              <w:t xml:space="preserve"> as </w:t>
            </w:r>
            <w:r>
              <w:rPr>
                <w:rStyle w:val="Text0"/>
              </w:rPr>
              <w:t>flags</w:t>
            </w:r>
            <w:r>
              <w:t xml:space="preserve"> to get a mapping that is private to your process and copy-on-write. </w:t>
            </w:r>
            <w:r>
              <w:rPr>
                <w:rStyle w:val="Text0"/>
              </w:rPr>
              <w:t>mmap.MAP_SHARED</w:t>
            </w:r>
            <w:r>
              <w:t xml:space="preserve">, the default, gets a mapping that is shared with other processes so that all processes mapping the file can see changes made by one process (the same as on Windows). You can pass </w:t>
            </w:r>
            <w:r>
              <w:rPr>
                <w:rStyle w:val="Text0"/>
              </w:rPr>
              <w:t>mmap.PROT_READ</w:t>
            </w:r>
            <w:r>
              <w:t xml:space="preserve"> as the </w:t>
            </w:r>
            <w:r>
              <w:rPr>
                <w:rStyle w:val="Text0"/>
              </w:rPr>
              <w:t>prot</w:t>
            </w:r>
            <w:r>
              <w:t xml:space="preserve"> argument to get a mapping that you can only read, not write. Passing </w:t>
            </w:r>
            <w:r>
              <w:rPr>
                <w:rStyle w:val="Text0"/>
              </w:rPr>
              <w:t>mmap.PROT_WRITE</w:t>
            </w:r>
            <w:r>
              <w:t xml:space="preserve"> gets a mapping that you can only write, not read. The default, the bitwise OR </w:t>
            </w:r>
            <w:r>
              <w:rPr>
                <w:rStyle w:val="Text0"/>
              </w:rPr>
              <w:t>mmap.PROT_READ|mmap.PROT_WRITE</w:t>
            </w:r>
            <w:r>
              <w:t>, gets a mapping you can both read and write.</w:t>
              <w:br w:clear="none"/>
              <w:t xml:space="preserve"> You can pass the named argument </w:t>
            </w:r>
            <w:r>
              <w:rPr>
                <w:rStyle w:val="Text0"/>
              </w:rPr>
              <w:t>access</w:t>
            </w:r>
            <w:r>
              <w:t xml:space="preserve"> instead of </w:t>
            </w:r>
            <w:r>
              <w:rPr>
                <w:rStyle w:val="Text0"/>
              </w:rPr>
              <w:t>flags</w:t>
            </w:r>
            <w:r>
              <w:t xml:space="preserve"> and </w:t>
            </w:r>
            <w:r>
              <w:rPr>
                <w:rStyle w:val="Text0"/>
              </w:rPr>
              <w:t>prot</w:t>
            </w:r>
            <w:r>
              <w:t xml:space="preserve"> (it’s an error to pass both </w:t>
            </w:r>
            <w:r>
              <w:rPr>
                <w:rStyle w:val="Text0"/>
              </w:rPr>
              <w:t>access</w:t>
            </w:r>
            <w:r>
              <w:t xml:space="preserve"> and either or both of the other two arguments). The value for </w:t>
            </w:r>
            <w:r>
              <w:rPr>
                <w:rStyle w:val="Text0"/>
              </w:rPr>
              <w:t>access</w:t>
            </w:r>
            <w:r>
              <w:t xml:space="preserve"> can be one of </w:t>
            </w:r>
            <w:r>
              <w:rPr>
                <w:rStyle w:val="Text0"/>
              </w:rPr>
              <w:t>ACCESS_READ</w:t>
            </w:r>
            <w:r>
              <w:t xml:space="preserve"> (read-only), </w:t>
            </w:r>
            <w:r>
              <w:rPr>
                <w:rStyle w:val="Text0"/>
              </w:rPr>
              <w:t>ACCESS_WRITE</w:t>
            </w:r>
            <w:r>
              <w:t xml:space="preserve"> (write-through, the default on Windows), or </w:t>
            </w:r>
            <w:r>
              <w:rPr>
                <w:rStyle w:val="Text0"/>
              </w:rPr>
              <w:t>ACCESS_COPY</w:t>
            </w:r>
            <w:r>
              <w:t xml:space="preserve"> (copy-on-write).</w:t>
              <w:br w:clear="none"/>
              <w:t xml:space="preserve"> You can pass the named argument </w:t>
            </w:r>
            <w:r>
              <w:rPr>
                <w:rStyle w:val="Text0"/>
              </w:rPr>
              <w:t>offset</w:t>
            </w:r>
            <w:r>
              <w:t xml:space="preserve"> to start the mapping after the beginning of the file; </w:t>
            </w:r>
            <w:r>
              <w:rPr>
                <w:rStyle w:val="Text0"/>
              </w:rPr>
              <w:t>offset</w:t>
            </w:r>
            <w:r>
              <w:t xml:space="preserve"> must be an </w:t>
            </w:r>
            <w:r>
              <w:rPr>
                <w:rStyle w:val="Text0"/>
              </w:rPr>
              <w:t>int</w:t>
            </w:r>
            <w:r>
              <w:t xml:space="preserve"> </w:t>
            </w:r>
            <w:r>
              <w:rPr>
                <w:rStyle w:val="Text0"/>
              </w:rPr>
              <w:t>&gt;= 0</w:t>
            </w:r>
            <w:r>
              <w:t xml:space="preserve">, a multiple of </w:t>
            </w:r>
            <w:r>
              <w:rPr>
                <w:rStyle w:val="Text0"/>
              </w:rPr>
              <w:t>ALLOCATIONGRANULARITY</w:t>
            </w:r>
            <w:r>
              <w:t xml:space="preserve"> (or, on Unix, of </w:t>
            </w:r>
            <w:r>
              <w:rPr>
                <w:rStyle w:val="Text0"/>
              </w:rPr>
              <w:t>PAGESIZE</w:t>
            </w:r>
            <w:r>
              <w:t>).</w:t>
            </w:r>
          </w:p>
        </w:tc>
      </w:tr>
    </w:tbl>
    <w:p>
      <w:bookmarkStart w:id="3513" w:name="Methods_of_mmap_Objects__An_mmap"/>
      <w:pPr>
        <w:keepNext/>
        <w:pStyle w:val="Heading 2"/>
      </w:pPr>
      <w:r>
        <w:t>Methods of mmap Objects</w:t>
      </w:r>
      <w:bookmarkEnd w:id="3513"/>
    </w:p>
    <w:p>
      <w:pPr>
        <w:pStyle w:val="Normal"/>
      </w:pPr>
      <w:r>
        <w:t xml:space="preserve">An </w:t>
      </w:r>
      <w:r>
        <w:rPr>
          <w:rStyle w:val="Text0"/>
        </w:rPr>
        <w:t>mmap</w:t>
      </w:r>
      <w:r>
        <w:t xml:space="preserve"> object </w:t>
      </w:r>
      <w:r>
        <w:rPr>
          <w:rStyle w:val="Text3"/>
        </w:rPr>
        <w:t>m</w:t>
      </w:r>
      <w:r>
        <w:t xml:space="preserve"> supplies the methods detailed in </w:t>
      </w:r>
      <w:hyperlink w:anchor="Table_15_20__Methods_of_an_insta">
        <w:r>
          <w:rPr>
            <w:rStyle w:val="Text1"/>
          </w:rPr>
          <w:t>Table 15-20</w:t>
        </w:r>
      </w:hyperlink>
      <w:r>
        <w:t>.</w:t>
      </w:r>
    </w:p>
    <w:tbl>
      <w:tblPr>
        <w:tblW w:type="auto" w:w="0"/>
      </w:tblPr>
      <w:tr>
        <w:tc>
          <w:tcPr>
            <w:tcW w:type="auto" w:w="0"/>
            <w:tcMar>
              <w:left w:type="dxa" w:w="200"/>
              <w:top w:type="dxa" w:w="200"/>
              <w:right w:type="dxa" w:w="200"/>
              <w:bottom w:type="dxa" w:w="200"/>
            </w:tcMar>
          </w:tcPr>
          <w:p>
            <w:bookmarkStart w:id="3514" w:name="Table_15_20__Methods_of_an_insta"/>
            <w:pPr>
              <w:pStyle w:val="Para 011"/>
            </w:pPr>
            <w:r>
              <w:rPr>
                <w:rStyle w:val="Text117"/>
              </w:rPr>
              <w:t/>
            </w:r>
            <w:r>
              <w:t xml:space="preserve">Table 15-20. </w:t>
              <w:t xml:space="preserve">Methods of an instance </w:t>
            </w:r>
            <w:r>
              <w:rPr>
                <w:rStyle w:val="Text0"/>
              </w:rPr>
              <w:t>m</w:t>
            </w:r>
            <w:r>
              <w:t xml:space="preserve"> of </w:t>
            </w:r>
            <w:r>
              <w:rPr>
                <w:rStyle w:val="Text0"/>
              </w:rPr>
              <w:t>mmap</w:t>
            </w:r>
            <w:bookmarkEnd w:id="3514"/>
          </w:p>
          <w:p>
            <w:pPr>
              <w:pStyle w:val="Para 001"/>
            </w:pPr>
            <w:r>
              <w:t>close</w:t>
            </w:r>
          </w:p>
        </w:tc>
        <w:tc>
          <w:tcPr>
            <w:tcW w:type="auto" w:w="0"/>
            <w:tcMar>
              <w:left w:type="dxa" w:w="200"/>
              <w:top w:type="dxa" w:w="200"/>
              <w:right w:type="dxa" w:w="200"/>
              <w:bottom w:type="dxa" w:w="200"/>
            </w:tcMar>
          </w:tcPr>
          <w:p>
            <w:pPr>
              <w:pStyle w:val="Para 002"/>
            </w:pPr>
            <w:r>
              <w:rPr>
                <w:rStyle w:val="Text3"/>
              </w:rPr>
              <w:t>m</w:t>
            </w:r>
            <w:r>
              <w:rPr>
                <w:rStyle w:val="Text0"/>
              </w:rPr>
              <w:t>.close()</w:t>
              <w:br w:clear="none"/>
            </w:r>
            <w:r>
              <w:t xml:space="preserve"> Closes </w:t>
            </w:r>
            <w:r>
              <w:rPr>
                <w:rStyle w:val="Text3"/>
              </w:rPr>
              <w:t>m</w:t>
            </w:r>
            <w:r>
              <w:t>’s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find</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.find(</w:t>
            </w:r>
            <w:r>
              <w:rPr>
                <w:rStyle w:val="Text3"/>
              </w:rPr>
              <w:t>sub</w:t>
            </w:r>
            <w:r>
              <w:rPr>
                <w:rStyle w:val="Text0"/>
              </w:rPr>
              <w:t>, start=0, end=</w:t>
            </w:r>
            <w:r>
              <w:rPr>
                <w:rStyle w:val="Text5"/>
              </w:rPr>
              <w:t>None</w:t>
            </w:r>
            <w:r>
              <w:rPr>
                <w:rStyle w:val="Text0"/>
              </w:rPr>
              <w:t>)</w:t>
              <w:br w:clear="none"/>
            </w:r>
            <w:r>
              <w:t xml:space="preserve"> Returns</w:t>
            </w:r>
            <w:r>
              <w:rPr>
                <w:rStyle w:val="Text111"/>
              </w:rPr>
              <w:bookmarkStart w:id="3515" w:name="idm45965188526272"/>
              <w:t/>
              <w:bookmarkEnd w:id="3515"/>
            </w:r>
            <w:r>
              <w:t xml:space="preserve"> the lowest </w:t>
            </w:r>
            <w:r>
              <w:rPr>
                <w:rStyle w:val="Text3"/>
              </w:rPr>
              <w:t>i</w:t>
            </w:r>
            <w:r>
              <w:t xml:space="preserve"> </w:t>
            </w:r>
            <w:r>
              <w:rPr>
                <w:rStyle w:val="Text0"/>
              </w:rPr>
              <w:t>&gt;= start</w:t>
            </w:r>
            <w:r>
              <w:t xml:space="preserve"> such that </w:t>
            </w:r>
            <w:r>
              <w:rPr>
                <w:rStyle w:val="Text3"/>
              </w:rPr>
              <w:t>sub</w:t>
            </w:r>
            <w:r>
              <w:t xml:space="preserve"> </w:t>
            </w:r>
            <w:r>
              <w:rPr>
                <w:rStyle w:val="Text0"/>
              </w:rPr>
              <w:t>==</w:t>
            </w:r>
            <w:r>
              <w:t xml:space="preserve"> </w:t>
            </w:r>
            <w:r>
              <w:rPr>
                <w:rStyle w:val="Text3"/>
              </w:rPr>
              <w:t>m</w:t>
            </w:r>
            <w:r>
              <w:rPr>
                <w:rStyle w:val="Text0"/>
              </w:rPr>
              <w:t>[</w:t>
            </w:r>
            <w:r>
              <w:rPr>
                <w:rStyle w:val="Text3"/>
              </w:rPr>
              <w:t>i</w:t>
            </w:r>
            <w:r>
              <w:rPr>
                <w:rStyle w:val="Text0"/>
              </w:rPr>
              <w:t>:</w:t>
            </w:r>
            <w:r>
              <w:rPr>
                <w:rStyle w:val="Text3"/>
              </w:rPr>
              <w:t>i</w:t>
            </w:r>
            <w:r>
              <w:rPr>
                <w:rStyle w:val="Text0"/>
              </w:rPr>
              <w:t>+len(</w:t>
            </w:r>
            <w:r>
              <w:rPr>
                <w:rStyle w:val="Text3"/>
              </w:rPr>
              <w:t>sub</w:t>
            </w:r>
            <w:r>
              <w:rPr>
                <w:rStyle w:val="Text0"/>
              </w:rPr>
              <w:t>)]</w:t>
            </w:r>
            <w:r>
              <w:t xml:space="preserve"> (and </w:t>
            </w:r>
            <w:r>
              <w:rPr>
                <w:rStyle w:val="Text3"/>
              </w:rPr>
              <w:t>i</w:t>
            </w:r>
            <w:r>
              <w:rPr>
                <w:rStyle w:val="Text0"/>
              </w:rPr>
              <w:t>+len(</w:t>
            </w:r>
            <w:r>
              <w:rPr>
                <w:rStyle w:val="Text3"/>
              </w:rPr>
              <w:t>sub</w:t>
            </w:r>
            <w:r>
              <w:rPr>
                <w:rStyle w:val="Text0"/>
              </w:rPr>
              <w:t>)-1 &lt;= end</w:t>
            </w:r>
            <w:r>
              <w:t xml:space="preserve">, when you pass </w:t>
            </w:r>
            <w:r>
              <w:rPr>
                <w:rStyle w:val="Text0"/>
              </w:rPr>
              <w:t>end</w:t>
            </w:r>
            <w:r>
              <w:t xml:space="preserve">). If no such </w:t>
            </w:r>
            <w:r>
              <w:rPr>
                <w:rStyle w:val="Text3"/>
              </w:rPr>
              <w:t>i</w:t>
            </w:r>
            <w:r>
              <w:t xml:space="preserve"> exists, </w:t>
            </w:r>
            <w:r>
              <w:rPr>
                <w:rStyle w:val="Text3"/>
              </w:rPr>
              <w:t>m</w:t>
            </w:r>
            <w:r>
              <w:rPr>
                <w:rStyle w:val="Text0"/>
              </w:rPr>
              <w:t>.find</w:t>
            </w:r>
            <w:r>
              <w:t xml:space="preserve"> returns </w:t>
            </w:r>
            <w:r>
              <w:rPr>
                <w:rStyle w:val="Text0"/>
              </w:rPr>
              <w:t>-1</w:t>
            </w:r>
            <w:r>
              <w:t xml:space="preserve">. This is the same behavior as the </w:t>
            </w:r>
            <w:r>
              <w:rPr>
                <w:rStyle w:val="Text0"/>
              </w:rPr>
              <w:t>find</w:t>
            </w:r>
            <w:r>
              <w:t xml:space="preserve"> method of </w:t>
            </w:r>
            <w:r>
              <w:rPr>
                <w:rStyle w:val="Text0"/>
              </w:rPr>
              <w:t>str</w:t>
            </w:r>
            <w:r>
              <w:t xml:space="preserve">, covered in </w:t>
            </w:r>
            <w:hyperlink w:anchor="Table_9_1__Significant_str_and_b">
              <w:r>
                <w:rPr>
                  <w:rStyle w:val="Text1"/>
                </w:rPr>
                <w:t>Table 9-1</w:t>
              </w:r>
            </w:hyperlink>
            <w:r>
              <w:t>.</w:t>
            </w:r>
          </w:p>
        </w:tc>
      </w:tr>
    </w:tbl>
    <w:tbl>
      <w:tblPr>
        <w:tblW w:type="auto" w:w="0"/>
      </w:tblPr>
      <w:tr>
        <w:tc>
          <w:tcPr>
            <w:tcW w:type="auto" w:w="0"/>
            <w:tcMar>
              <w:left w:type="dxa" w:w="200"/>
              <w:top w:type="dxa" w:w="200"/>
              <w:right w:type="dxa" w:w="200"/>
              <w:bottom w:type="dxa" w:w="200"/>
            </w:tcMar>
          </w:tcPr>
          <w:p>
            <w:pPr>
              <w:pStyle w:val="Para 001"/>
            </w:pPr>
            <w:r>
              <w:t>flush</w:t>
            </w:r>
          </w:p>
        </w:tc>
        <w:tc>
          <w:tcPr>
            <w:tcW w:type="auto" w:w="0"/>
            <w:tcMar>
              <w:left w:type="dxa" w:w="200"/>
              <w:top w:type="dxa" w:w="200"/>
              <w:right w:type="dxa" w:w="200"/>
              <w:bottom w:type="dxa" w:w="200"/>
            </w:tcMar>
          </w:tcPr>
          <w:p>
            <w:pPr>
              <w:pStyle w:val="Para 002"/>
            </w:pPr>
            <w:r>
              <w:rPr>
                <w:rStyle w:val="Text3"/>
              </w:rPr>
              <w:t>m</w:t>
            </w:r>
            <w:r>
              <w:rPr>
                <w:rStyle w:val="Text0"/>
              </w:rPr>
              <w:t>.flush([</w:t>
            </w:r>
            <w:r>
              <w:rPr>
                <w:rStyle w:val="Text3"/>
              </w:rPr>
              <w:t>offset</w:t>
            </w:r>
            <w:r>
              <w:rPr>
                <w:rStyle w:val="Text0"/>
              </w:rPr>
              <w:t>,</w:t>
            </w:r>
            <w:r>
              <w:t xml:space="preserve"> </w:t>
            </w:r>
            <w:r>
              <w:rPr>
                <w:rStyle w:val="Text3"/>
              </w:rPr>
              <w:t>n</w:t>
            </w:r>
            <w:r>
              <w:rPr>
                <w:rStyle w:val="Text0"/>
              </w:rPr>
              <w:t>])</w:t>
              <w:br w:clear="none"/>
            </w:r>
            <w:r>
              <w:t xml:space="preserve"> Ensures that all changes made to </w:t>
            </w:r>
            <w:r>
              <w:rPr>
                <w:rStyle w:val="Text3"/>
              </w:rPr>
              <w:t>m</w:t>
            </w:r>
            <w:r>
              <w:t xml:space="preserve"> exist in </w:t>
            </w:r>
            <w:r>
              <w:rPr>
                <w:rStyle w:val="Text3"/>
              </w:rPr>
              <w:t>m</w:t>
            </w:r>
            <w:r>
              <w:t xml:space="preserve">’s file. Until you call </w:t>
            </w:r>
            <w:r>
              <w:rPr>
                <w:rStyle w:val="Text3"/>
              </w:rPr>
              <w:t>m</w:t>
            </w:r>
            <w:r>
              <w:rPr>
                <w:rStyle w:val="Text0"/>
              </w:rPr>
              <w:t>.flush</w:t>
            </w:r>
            <w:r>
              <w:t xml:space="preserve">, it’s unsure if the file reflects the current state of </w:t>
            </w:r>
            <w:r>
              <w:rPr>
                <w:rStyle w:val="Text3"/>
              </w:rPr>
              <w:t>m</w:t>
            </w:r>
            <w:r>
              <w:t xml:space="preserve">. You can pass a starting byte offset </w:t>
            </w:r>
            <w:r>
              <w:rPr>
                <w:rStyle w:val="Text3"/>
              </w:rPr>
              <w:t>offset</w:t>
            </w:r>
            <w:r>
              <w:t xml:space="preserve"> and a byte count </w:t>
            </w:r>
            <w:r>
              <w:rPr>
                <w:rStyle w:val="Text3"/>
              </w:rPr>
              <w:t>n</w:t>
            </w:r>
            <w:r>
              <w:t xml:space="preserve"> to limit the flushing effect’s guarantee to a slice of </w:t>
            </w:r>
            <w:r>
              <w:rPr>
                <w:rStyle w:val="Text3"/>
              </w:rPr>
              <w:t>m</w:t>
            </w:r>
            <w:r>
              <w:t xml:space="preserve">. Pass both arguments, or neither: it’s an error to call </w:t>
            </w:r>
            <w:r>
              <w:rPr>
                <w:rStyle w:val="Text3"/>
              </w:rPr>
              <w:t>m</w:t>
            </w:r>
            <w:r>
              <w:rPr>
                <w:rStyle w:val="Text0"/>
              </w:rPr>
              <w:t>.flush</w:t>
            </w:r>
            <w:r>
              <w:t xml:space="preserve"> with just one argument.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move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.move(</w:t>
            </w:r>
            <w:r>
              <w:rPr>
                <w:rStyle w:val="Text3"/>
              </w:rPr>
              <w:t>dstoff</w:t>
            </w:r>
            <w:r>
              <w:rPr>
                <w:rStyle w:val="Text0"/>
              </w:rPr>
              <w:t>,</w:t>
            </w:r>
            <w:r>
              <w:t xml:space="preserve"> </w:t>
            </w:r>
            <w:r>
              <w:rPr>
                <w:rStyle w:val="Text3"/>
              </w:rPr>
              <w:t>srcoff</w:t>
            </w:r>
            <w:r>
              <w:rPr>
                <w:rStyle w:val="Text0"/>
              </w:rPr>
              <w:t>,</w:t>
            </w:r>
            <w:r>
              <w:t xml:space="preserve"> </w:t>
            </w:r>
            <w:r>
              <w:rPr>
                <w:rStyle w:val="Text3"/>
              </w:rPr>
              <w:t>n</w:t>
            </w:r>
            <w:r>
              <w:rPr>
                <w:rStyle w:val="Text0"/>
              </w:rPr>
              <w:t>)</w:t>
              <w:br w:clear="none"/>
            </w:r>
            <w:r>
              <w:t xml:space="preserve"> Like the slice assignment </w:t>
            </w:r>
            <w:r>
              <w:rPr>
                <w:rStyle w:val="Text3"/>
              </w:rPr>
              <w:t>m</w:t>
            </w:r>
            <w:r>
              <w:rPr>
                <w:rStyle w:val="Text0"/>
              </w:rPr>
              <w:t>[</w:t>
            </w:r>
            <w:r>
              <w:rPr>
                <w:rStyle w:val="Text3"/>
              </w:rPr>
              <w:t>dstoff</w:t>
            </w:r>
            <w:r>
              <w:rPr>
                <w:rStyle w:val="Text0"/>
              </w:rPr>
              <w:t>:</w:t>
            </w:r>
            <w:r>
              <w:rPr>
                <w:rStyle w:val="Text3"/>
              </w:rPr>
              <w:t>dstoff</w:t>
            </w:r>
            <w:r>
              <w:rPr>
                <w:rStyle w:val="Text0"/>
              </w:rPr>
              <w:t>+</w:t>
            </w:r>
            <w:r>
              <w:rPr>
                <w:rStyle w:val="Text3"/>
              </w:rPr>
              <w:t>n</w:t>
            </w:r>
            <w:r>
              <w:rPr>
                <w:rStyle w:val="Text0"/>
              </w:rPr>
              <w:t>] =</w:t>
            </w:r>
            <w:r>
              <w:t xml:space="preserve"> </w:t>
            </w:r>
            <w:r>
              <w:rPr>
                <w:rStyle w:val="Text3"/>
              </w:rPr>
              <w:t>m</w:t>
            </w:r>
            <w:r>
              <w:rPr>
                <w:rStyle w:val="Text0"/>
              </w:rPr>
              <w:t>[</w:t>
            </w:r>
            <w:r>
              <w:rPr>
                <w:rStyle w:val="Text3"/>
              </w:rPr>
              <w:t>srcoff</w:t>
            </w:r>
            <w:r>
              <w:rPr>
                <w:rStyle w:val="Text0"/>
              </w:rPr>
              <w:t>:</w:t>
            </w:r>
            <w:r>
              <w:rPr>
                <w:rStyle w:val="Text3"/>
              </w:rPr>
              <w:t>srcoff</w:t>
            </w:r>
            <w:r>
              <w:rPr>
                <w:rStyle w:val="Text0"/>
              </w:rPr>
              <w:t>+</w:t>
            </w:r>
            <w:r>
              <w:rPr>
                <w:rStyle w:val="Text3"/>
              </w:rPr>
              <w:t>n</w:t>
            </w:r>
            <w:r>
              <w:rPr>
                <w:rStyle w:val="Text0"/>
              </w:rPr>
              <w:t>]</w:t>
            </w:r>
            <w:r>
              <w:t xml:space="preserve">, but potentially faster. The source and destination slices can overlap. Apart from such potential overlap, </w:t>
            </w:r>
            <w:r>
              <w:rPr>
                <w:rStyle w:val="Text0"/>
              </w:rPr>
              <w:t>move</w:t>
            </w:r>
            <w:r>
              <w:t xml:space="preserve"> does not affect the source slice (i.e., the </w:t>
            </w:r>
            <w:r>
              <w:rPr>
                <w:rStyle w:val="Text0"/>
              </w:rPr>
              <w:t>move</w:t>
            </w:r>
            <w:r>
              <w:t xml:space="preserve"> method </w:t>
            </w:r>
            <w:r>
              <w:rPr>
                <w:rStyle w:val="Text4"/>
              </w:rPr>
              <w:t>copies</w:t>
            </w:r>
            <w:r>
              <w:t xml:space="preserve"> bytes but does not </w:t>
            </w:r>
            <w:r>
              <w:rPr>
                <w:rStyle w:val="Text4"/>
              </w:rPr>
              <w:t>move</w:t>
            </w:r>
            <w:r>
              <w:t xml:space="preserve"> them, despite the method’s name).</w:t>
            </w:r>
          </w:p>
        </w:tc>
      </w:tr>
    </w:tbl>
    <w:tbl>
      <w:tblPr>
        <w:tblW w:type="auto" w:w="0"/>
      </w:tblPr>
      <w:tr>
        <w:tc>
          <w:tcPr>
            <w:tcW w:type="auto" w:w="0"/>
            <w:tcMar>
              <w:left w:type="dxa" w:w="200"/>
              <w:top w:type="dxa" w:w="200"/>
              <w:right w:type="dxa" w:w="200"/>
              <w:bottom w:type="dxa" w:w="200"/>
            </w:tcMar>
          </w:tcPr>
          <w:p>
            <w:pPr>
              <w:pStyle w:val="Para 001"/>
            </w:pPr>
            <w:r>
              <w:t>read</w:t>
            </w:r>
          </w:p>
        </w:tc>
        <w:tc>
          <w:tcPr>
            <w:tcW w:type="auto" w:w="0"/>
            <w:tcMar>
              <w:left w:type="dxa" w:w="200"/>
              <w:top w:type="dxa" w:w="200"/>
              <w:right w:type="dxa" w:w="200"/>
              <w:bottom w:type="dxa" w:w="200"/>
            </w:tcMar>
          </w:tcPr>
          <w:p>
            <w:pPr>
              <w:pStyle w:val="Para 002"/>
            </w:pPr>
            <w:r>
              <w:rPr>
                <w:rStyle w:val="Text3"/>
              </w:rPr>
              <w:t>m</w:t>
            </w:r>
            <w:r>
              <w:rPr>
                <w:rStyle w:val="Text0"/>
              </w:rPr>
              <w:t>.read(</w:t>
            </w:r>
            <w:r>
              <w:rPr>
                <w:rStyle w:val="Text3"/>
              </w:rPr>
              <w:t>n</w:t>
            </w:r>
            <w:r>
              <w:rPr>
                <w:rStyle w:val="Text0"/>
              </w:rPr>
              <w:t>)</w:t>
              <w:br w:clear="none"/>
            </w:r>
            <w:r>
              <w:t xml:space="preserve"> Reads and returns a byte string </w:t>
            </w:r>
            <w:r>
              <w:rPr>
                <w:rStyle w:val="Text3"/>
              </w:rPr>
              <w:t>s</w:t>
            </w:r>
            <w:r>
              <w:t xml:space="preserve"> containing up to </w:t>
            </w:r>
            <w:r>
              <w:rPr>
                <w:rStyle w:val="Text3"/>
              </w:rPr>
              <w:t>n</w:t>
            </w:r>
            <w:r>
              <w:t xml:space="preserve"> bytes starting from </w:t>
            </w:r>
            <w:r>
              <w:rPr>
                <w:rStyle w:val="Text3"/>
              </w:rPr>
              <w:t>m</w:t>
            </w:r>
            <w:r>
              <w:t xml:space="preserve">’s file pointer, then advances </w:t>
            </w:r>
            <w:r>
              <w:rPr>
                <w:rStyle w:val="Text3"/>
              </w:rPr>
              <w:t>m</w:t>
            </w:r>
            <w:r>
              <w:t xml:space="preserve">’s file pointer by </w:t>
            </w:r>
            <w:r>
              <w:rPr>
                <w:rStyle w:val="Text0"/>
              </w:rPr>
              <w:t>len(</w:t>
            </w:r>
            <w:r>
              <w:rPr>
                <w:rStyle w:val="Text3"/>
              </w:rPr>
              <w:t>s</w:t>
            </w:r>
            <w:r>
              <w:rPr>
                <w:rStyle w:val="Text0"/>
              </w:rPr>
              <w:t>)</w:t>
            </w:r>
            <w:r>
              <w:t xml:space="preserve">. If there are fewer than </w:t>
            </w:r>
            <w:r>
              <w:rPr>
                <w:rStyle w:val="Text3"/>
              </w:rPr>
              <w:t>n</w:t>
            </w:r>
            <w:r>
              <w:t xml:space="preserve"> bytes between </w:t>
            </w:r>
            <w:r>
              <w:rPr>
                <w:rStyle w:val="Text3"/>
              </w:rPr>
              <w:t>m</w:t>
            </w:r>
            <w:r>
              <w:t xml:space="preserve">’s file pointer and </w:t>
            </w:r>
            <w:r>
              <w:rPr>
                <w:rStyle w:val="Text3"/>
              </w:rPr>
              <w:t>m</w:t>
            </w:r>
            <w:r>
              <w:t xml:space="preserve">’s length, returns the bytes available. In particular, if </w:t>
            </w:r>
            <w:r>
              <w:rPr>
                <w:rStyle w:val="Text3"/>
              </w:rPr>
              <w:t>m</w:t>
            </w:r>
            <w:r>
              <w:t xml:space="preserve">’s file pointer is at the end of </w:t>
            </w:r>
            <w:r>
              <w:rPr>
                <w:rStyle w:val="Text3"/>
              </w:rPr>
              <w:t>m</w:t>
            </w:r>
            <w:r>
              <w:t xml:space="preserve">, returns the empty bytestring </w:t>
            </w:r>
            <w:r>
              <w:rPr>
                <w:rStyle w:val="Text0"/>
              </w:rPr>
              <w:t>b''</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read_byte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.read_byte()</w:t>
              <w:br w:clear="none"/>
            </w:r>
            <w:r>
              <w:t xml:space="preserve"> Returns a byte string of length </w:t>
            </w:r>
            <w:r>
              <w:rPr>
                <w:rStyle w:val="Text0"/>
              </w:rPr>
              <w:t>1</w:t>
            </w:r>
            <w:r>
              <w:t xml:space="preserve"> containing the byte at </w:t>
            </w:r>
            <w:r>
              <w:rPr>
                <w:rStyle w:val="Text3"/>
              </w:rPr>
              <w:t>m</w:t>
            </w:r>
            <w:r>
              <w:t xml:space="preserve">’s file pointer, then advances </w:t>
            </w:r>
            <w:r>
              <w:rPr>
                <w:rStyle w:val="Text3"/>
              </w:rPr>
              <w:t>m</w:t>
            </w:r>
            <w:r>
              <w:t xml:space="preserve">’s file pointer by </w:t>
            </w:r>
            <w:r>
              <w:rPr>
                <w:rStyle w:val="Text0"/>
              </w:rPr>
              <w:t>1</w:t>
            </w:r>
            <w:r>
              <w:t xml:space="preserve">. </w:t>
            </w:r>
            <w:r>
              <w:rPr>
                <w:rStyle w:val="Text3"/>
              </w:rPr>
              <w:t>m</w:t>
            </w:r>
            <w:r>
              <w:rPr>
                <w:rStyle w:val="Text0"/>
              </w:rPr>
              <w:t>.read_byte()</w:t>
            </w:r>
            <w:r>
              <w:t xml:space="preserve"> is similar to </w:t>
            </w:r>
            <w:r>
              <w:rPr>
                <w:rStyle w:val="Text3"/>
              </w:rPr>
              <w:t>m</w:t>
            </w:r>
            <w:r>
              <w:rPr>
                <w:rStyle w:val="Text0"/>
              </w:rPr>
              <w:t>.read(1)</w:t>
            </w:r>
            <w:r>
              <w:t xml:space="preserve">. However, if </w:t>
            </w:r>
            <w:r>
              <w:rPr>
                <w:rStyle w:val="Text3"/>
              </w:rPr>
              <w:t>m</w:t>
            </w:r>
            <w:r>
              <w:t xml:space="preserve">’s file pointer is at the end of </w:t>
            </w:r>
            <w:r>
              <w:rPr>
                <w:rStyle w:val="Text3"/>
              </w:rPr>
              <w:t>m</w:t>
            </w:r>
            <w:r>
              <w:t xml:space="preserve">, </w:t>
            </w:r>
            <w:r>
              <w:rPr>
                <w:rStyle w:val="Text3"/>
              </w:rPr>
              <w:t>m</w:t>
            </w:r>
            <w:r>
              <w:rPr>
                <w:rStyle w:val="Text0"/>
              </w:rPr>
              <w:t>.read(1)</w:t>
            </w:r>
            <w:r>
              <w:t xml:space="preserve"> returns the empty string </w:t>
            </w:r>
            <w:r>
              <w:rPr>
                <w:rStyle w:val="Text0"/>
              </w:rPr>
              <w:t>b''</w:t>
            </w:r>
            <w:r>
              <w:t xml:space="preserve"> and doesn’t advance, while </w:t>
            </w:r>
            <w:r>
              <w:rPr>
                <w:rStyle w:val="Text3"/>
              </w:rPr>
              <w:t>m</w:t>
            </w:r>
            <w:r>
              <w:rPr>
                <w:rStyle w:val="Text0"/>
              </w:rPr>
              <w:t>.read_byte()</w:t>
            </w:r>
            <w:r>
              <w:t xml:space="preserve"> raises a </w:t>
            </w:r>
            <w:r>
              <w:rPr>
                <w:rStyle w:val="Text0"/>
              </w:rPr>
              <w:t>ValueError</w:t>
            </w:r>
            <w:r>
              <w:t xml:space="preserve"> exception.</w:t>
            </w:r>
          </w:p>
        </w:tc>
      </w:tr>
    </w:tbl>
    <w:tbl>
      <w:tblPr>
        <w:tblW w:type="auto" w:w="0"/>
      </w:tblPr>
      <w:tr>
        <w:tc>
          <w:tcPr>
            <w:tcW w:type="auto" w:w="0"/>
            <w:tcMar>
              <w:left w:type="dxa" w:w="200"/>
              <w:top w:type="dxa" w:w="200"/>
              <w:right w:type="dxa" w:w="200"/>
              <w:bottom w:type="dxa" w:w="200"/>
            </w:tcMar>
          </w:tcPr>
          <w:p>
            <w:pPr>
              <w:pStyle w:val="Para 001"/>
            </w:pPr>
            <w:r>
              <w:t>readline</w:t>
            </w:r>
          </w:p>
        </w:tc>
        <w:tc>
          <w:tcPr>
            <w:tcW w:type="auto" w:w="0"/>
            <w:tcMar>
              <w:left w:type="dxa" w:w="200"/>
              <w:top w:type="dxa" w:w="200"/>
              <w:right w:type="dxa" w:w="200"/>
              <w:bottom w:type="dxa" w:w="200"/>
            </w:tcMar>
          </w:tcPr>
          <w:p>
            <w:pPr>
              <w:pStyle w:val="Para 002"/>
            </w:pPr>
            <w:r>
              <w:rPr>
                <w:rStyle w:val="Text3"/>
              </w:rPr>
              <w:t>m</w:t>
            </w:r>
            <w:r>
              <w:rPr>
                <w:rStyle w:val="Text0"/>
              </w:rPr>
              <w:t>.readline()</w:t>
              <w:br w:clear="none"/>
            </w:r>
            <w:r>
              <w:t xml:space="preserve"> Reads and returns, as a bytestring, one line from </w:t>
            </w:r>
            <w:r>
              <w:rPr>
                <w:rStyle w:val="Text3"/>
              </w:rPr>
              <w:t>m</w:t>
            </w:r>
            <w:r>
              <w:t xml:space="preserve">’s file, from </w:t>
            </w:r>
            <w:r>
              <w:rPr>
                <w:rStyle w:val="Text3"/>
              </w:rPr>
              <w:t>m</w:t>
            </w:r>
            <w:r>
              <w:t xml:space="preserve">’s current file pointer up to the next </w:t>
            </w:r>
            <w:r>
              <w:rPr>
                <w:rStyle w:val="Text0"/>
              </w:rPr>
              <w:t>'\n'</w:t>
            </w:r>
            <w:r>
              <w:t xml:space="preserve">, included (or up to the end of </w:t>
            </w:r>
            <w:r>
              <w:rPr>
                <w:rStyle w:val="Text3"/>
              </w:rPr>
              <w:t>m</w:t>
            </w:r>
            <w:r>
              <w:t xml:space="preserve"> if there is no </w:t>
            </w:r>
            <w:r>
              <w:rPr>
                <w:rStyle w:val="Text0"/>
              </w:rPr>
              <w:t>'\n'</w:t>
            </w:r>
            <w:r>
              <w:t xml:space="preserve">), then advances </w:t>
            </w:r>
            <w:r>
              <w:rPr>
                <w:rStyle w:val="Text3"/>
              </w:rPr>
              <w:t>m</w:t>
            </w:r>
            <w:r>
              <w:t xml:space="preserve">’s file pointer to point just past the bytes just read. If </w:t>
            </w:r>
            <w:r>
              <w:rPr>
                <w:rStyle w:val="Text3"/>
              </w:rPr>
              <w:t>m</w:t>
            </w:r>
            <w:r>
              <w:t xml:space="preserve">’s file pointer is at the end of </w:t>
            </w:r>
            <w:r>
              <w:rPr>
                <w:rStyle w:val="Text3"/>
              </w:rPr>
              <w:t>m</w:t>
            </w:r>
            <w:r>
              <w:t xml:space="preserve">, </w:t>
            </w:r>
            <w:r>
              <w:rPr>
                <w:rStyle w:val="Text0"/>
              </w:rPr>
              <w:t>readline</w:t>
            </w:r>
            <w:r>
              <w:t xml:space="preserve"> returns the empty string </w:t>
            </w:r>
            <w:r>
              <w:rPr>
                <w:rStyle w:val="Text0"/>
              </w:rPr>
              <w:t>b''</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resize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.resize(</w:t>
            </w:r>
            <w:r>
              <w:rPr>
                <w:rStyle w:val="Text3"/>
              </w:rPr>
              <w:t>n</w:t>
            </w:r>
            <w:r>
              <w:rPr>
                <w:rStyle w:val="Text0"/>
              </w:rPr>
              <w:t>)</w:t>
              <w:br w:clear="none"/>
            </w:r>
            <w:r>
              <w:t xml:space="preserve"> Changes the length of </w:t>
            </w:r>
            <w:r>
              <w:rPr>
                <w:rStyle w:val="Text3"/>
              </w:rPr>
              <w:t>m</w:t>
            </w:r>
            <w:r>
              <w:t xml:space="preserve"> so that </w:t>
            </w:r>
            <w:r>
              <w:rPr>
                <w:rStyle w:val="Text0"/>
              </w:rPr>
              <w:t>len(</w:t>
            </w:r>
            <w:r>
              <w:rPr>
                <w:rStyle w:val="Text3"/>
              </w:rPr>
              <w:t>m</w:t>
            </w:r>
            <w:r>
              <w:rPr>
                <w:rStyle w:val="Text0"/>
              </w:rPr>
              <w:t>)</w:t>
            </w:r>
            <w:r>
              <w:t xml:space="preserve"> becomes </w:t>
            </w:r>
            <w:r>
              <w:rPr>
                <w:rStyle w:val="Text3"/>
              </w:rPr>
              <w:t>n</w:t>
            </w:r>
            <w:r>
              <w:t xml:space="preserve">. Does not affect the size of </w:t>
            </w:r>
            <w:r>
              <w:rPr>
                <w:rStyle w:val="Text3"/>
              </w:rPr>
              <w:t>m</w:t>
            </w:r>
            <w:r>
              <w:t xml:space="preserve">’s file. </w:t>
            </w:r>
            <w:r>
              <w:rPr>
                <w:rStyle w:val="Text3"/>
              </w:rPr>
              <w:t>m</w:t>
            </w:r>
            <w:r>
              <w:t xml:space="preserve">’s length and the file’s size are independent. To set </w:t>
            </w:r>
            <w:r>
              <w:rPr>
                <w:rStyle w:val="Text3"/>
              </w:rPr>
              <w:t>m</w:t>
            </w:r>
            <w:r>
              <w:t xml:space="preserve">’s length to be equal to the file’s size, call </w:t>
            </w:r>
            <w:r>
              <w:rPr>
                <w:rStyle w:val="Text3"/>
              </w:rPr>
              <w:t>m</w:t>
            </w:r>
            <w:r>
              <w:rPr>
                <w:rStyle w:val="Text0"/>
              </w:rPr>
              <w:t>.resize(</w:t>
            </w:r>
            <w:r>
              <w:rPr>
                <w:rStyle w:val="Text3"/>
              </w:rPr>
              <w:t>m</w:t>
            </w:r>
            <w:r>
              <w:rPr>
                <w:rStyle w:val="Text0"/>
              </w:rPr>
              <w:t>.size())</w:t>
            </w:r>
            <w:r>
              <w:t xml:space="preserve">. If </w:t>
            </w:r>
            <w:r>
              <w:rPr>
                <w:rStyle w:val="Text3"/>
              </w:rPr>
              <w:t>m</w:t>
            </w:r>
            <w:r>
              <w:t xml:space="preserve">’s length is larger than the file’s size, </w:t>
            </w:r>
            <w:r>
              <w:rPr>
                <w:rStyle w:val="Text3"/>
              </w:rPr>
              <w:t>m</w:t>
            </w:r>
            <w:r>
              <w:t xml:space="preserve"> is padded with null bytes (</w:t>
            </w:r>
            <w:r>
              <w:rPr>
                <w:rStyle w:val="Text0"/>
              </w:rPr>
              <w:t>\x00</w:t>
            </w:r>
            <w:r>
              <w:t>).</w:t>
            </w:r>
          </w:p>
        </w:tc>
      </w:tr>
    </w:tbl>
    <w:tbl>
      <w:tblPr>
        <w:tblW w:type="auto" w:w="0"/>
      </w:tblPr>
      <w:tr>
        <w:tc>
          <w:tcPr>
            <w:tcW w:type="auto" w:w="0"/>
            <w:tcMar>
              <w:left w:type="dxa" w:w="200"/>
              <w:top w:type="dxa" w:w="200"/>
              <w:right w:type="dxa" w:w="200"/>
              <w:bottom w:type="dxa" w:w="200"/>
            </w:tcMar>
          </w:tcPr>
          <w:p>
            <w:pPr>
              <w:pStyle w:val="Para 001"/>
            </w:pPr>
            <w:r>
              <w:t>rfind</w:t>
            </w:r>
          </w:p>
        </w:tc>
        <w:tc>
          <w:tcPr>
            <w:tcW w:type="auto" w:w="0"/>
            <w:tcMar>
              <w:left w:type="dxa" w:w="200"/>
              <w:top w:type="dxa" w:w="200"/>
              <w:right w:type="dxa" w:w="200"/>
              <w:bottom w:type="dxa" w:w="200"/>
            </w:tcMar>
          </w:tcPr>
          <w:p>
            <w:pPr>
              <w:pStyle w:val="Para 002"/>
            </w:pPr>
            <w:r>
              <w:rPr>
                <w:rStyle w:val="Text0"/>
              </w:rPr>
              <w:t>rfind(sub, start=0, end=</w:t>
            </w:r>
            <w:r>
              <w:rPr>
                <w:rStyle w:val="Text5"/>
              </w:rPr>
              <w:t>None</w:t>
            </w:r>
            <w:r>
              <w:rPr>
                <w:rStyle w:val="Text0"/>
              </w:rPr>
              <w:t>)</w:t>
              <w:br w:clear="none"/>
            </w:r>
            <w:r>
              <w:t xml:space="preserve"> Returns the highest </w:t>
            </w:r>
            <w:r>
              <w:rPr>
                <w:rStyle w:val="Text3"/>
              </w:rPr>
              <w:t>i</w:t>
            </w:r>
            <w:r>
              <w:t xml:space="preserve"> </w:t>
            </w:r>
            <w:r>
              <w:rPr>
                <w:rStyle w:val="Text0"/>
              </w:rPr>
              <w:t>&gt;= start</w:t>
            </w:r>
            <w:r>
              <w:t xml:space="preserve"> such that </w:t>
            </w:r>
            <w:r>
              <w:rPr>
                <w:rStyle w:val="Text3"/>
              </w:rPr>
              <w:t>sub</w:t>
            </w:r>
            <w:r>
              <w:t xml:space="preserve"> </w:t>
            </w:r>
            <w:r>
              <w:rPr>
                <w:rStyle w:val="Text0"/>
              </w:rPr>
              <w:t>==</w:t>
            </w:r>
            <w:r>
              <w:t xml:space="preserve"> </w:t>
            </w:r>
            <w:r>
              <w:rPr>
                <w:rStyle w:val="Text3"/>
              </w:rPr>
              <w:t>m</w:t>
            </w:r>
            <w:r>
              <w:rPr>
                <w:rStyle w:val="Text0"/>
              </w:rPr>
              <w:t>[</w:t>
            </w:r>
            <w:r>
              <w:rPr>
                <w:rStyle w:val="Text3"/>
              </w:rPr>
              <w:t>i</w:t>
            </w:r>
            <w:r>
              <w:rPr>
                <w:rStyle w:val="Text0"/>
              </w:rPr>
              <w:t>:</w:t>
            </w:r>
            <w:r>
              <w:rPr>
                <w:rStyle w:val="Text3"/>
              </w:rPr>
              <w:t>i</w:t>
            </w:r>
            <w:r>
              <w:rPr>
                <w:rStyle w:val="Text0"/>
              </w:rPr>
              <w:t>+len(</w:t>
            </w:r>
            <w:r>
              <w:rPr>
                <w:rStyle w:val="Text3"/>
              </w:rPr>
              <w:t>sub</w:t>
            </w:r>
            <w:r>
              <w:rPr>
                <w:rStyle w:val="Text0"/>
              </w:rPr>
              <w:t>)]</w:t>
            </w:r>
            <w:r>
              <w:t xml:space="preserve"> (and </w:t>
            </w:r>
            <w:r>
              <w:rPr>
                <w:rStyle w:val="Text3"/>
              </w:rPr>
              <w:t>i</w:t>
            </w:r>
            <w:r>
              <w:rPr>
                <w:rStyle w:val="Text0"/>
              </w:rPr>
              <w:t>+len(</w:t>
            </w:r>
            <w:r>
              <w:rPr>
                <w:rStyle w:val="Text3"/>
              </w:rPr>
              <w:t>sub</w:t>
            </w:r>
            <w:r>
              <w:rPr>
                <w:rStyle w:val="Text0"/>
              </w:rPr>
              <w:t>)-1 &lt;= end</w:t>
            </w:r>
            <w:r>
              <w:t xml:space="preserve">, when you pass </w:t>
            </w:r>
            <w:r>
              <w:rPr>
                <w:rStyle w:val="Text0"/>
              </w:rPr>
              <w:t>end</w:t>
            </w:r>
            <w:r>
              <w:t xml:space="preserve">). If no such </w:t>
            </w:r>
            <w:r>
              <w:rPr>
                <w:rStyle w:val="Text3"/>
              </w:rPr>
              <w:t>i</w:t>
            </w:r>
            <w:r>
              <w:t xml:space="preserve"> exists, </w:t>
            </w:r>
            <w:r>
              <w:rPr>
                <w:rStyle w:val="Text3"/>
              </w:rPr>
              <w:t>m</w:t>
            </w:r>
            <w:r>
              <w:rPr>
                <w:rStyle w:val="Text0"/>
              </w:rPr>
              <w:t>.rfind</w:t>
            </w:r>
            <w:r>
              <w:t xml:space="preserve"> returns </w:t>
            </w:r>
            <w:r>
              <w:rPr>
                <w:rStyle w:val="Text0"/>
              </w:rPr>
              <w:t>-1</w:t>
            </w:r>
            <w:r>
              <w:t xml:space="preserve">. This is the same as the </w:t>
            </w:r>
            <w:r>
              <w:rPr>
                <w:rStyle w:val="Text0"/>
              </w:rPr>
              <w:t>rfind</w:t>
            </w:r>
            <w:r>
              <w:t xml:space="preserve"> method of string objects, covered in </w:t>
            </w:r>
            <w:hyperlink w:anchor="Table_9_1__Significant_str_and_b">
              <w:r>
                <w:rPr>
                  <w:rStyle w:val="Text1"/>
                </w:rPr>
                <w:t>Table 9-1</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seek</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.seek(</w:t>
            </w:r>
            <w:r>
              <w:rPr>
                <w:rStyle w:val="Text3"/>
              </w:rPr>
              <w:t>pos,</w:t>
            </w:r>
            <w:r>
              <w:t xml:space="preserve"> </w:t>
            </w:r>
            <w:r>
              <w:rPr>
                <w:rStyle w:val="Text0"/>
              </w:rPr>
              <w:t>how=0)</w:t>
              <w:br w:clear="none"/>
            </w:r>
            <w:r>
              <w:t xml:space="preserve"> Sets </w:t>
            </w:r>
            <w:r>
              <w:rPr>
                <w:rStyle w:val="Text3"/>
              </w:rPr>
              <w:t>m</w:t>
            </w:r>
            <w:r>
              <w:t xml:space="preserve">’s file pointer to the integer byte offset </w:t>
            </w:r>
            <w:r>
              <w:rPr>
                <w:rStyle w:val="Text3"/>
              </w:rPr>
              <w:t>pos</w:t>
            </w:r>
            <w:r>
              <w:t xml:space="preserve">, relative to the position indicated by </w:t>
            </w:r>
            <w:r>
              <w:rPr>
                <w:rStyle w:val="Text0"/>
              </w:rPr>
              <w:t>how</w:t>
            </w:r>
            <w:r>
              <w:t xml:space="preserve">: </w:t>
            </w:r>
          </w:p>
          <w:p>
            <w:pPr>
              <w:pStyle w:val="Para 024"/>
            </w:pPr>
            <w:r>
              <w:t>0</w:t>
            </w:r>
            <w:r>
              <w:rPr>
                <w:rStyle w:val="Text12"/>
              </w:rPr>
              <w:t xml:space="preserve"> </w:t>
            </w:r>
            <w:r>
              <w:rPr>
                <w:rStyle w:val="Text47"/>
              </w:rPr>
              <w:t>or</w:t>
            </w:r>
            <w:r>
              <w:rPr>
                <w:rStyle w:val="Text12"/>
              </w:rPr>
              <w:t xml:space="preserve"> </w:t>
            </w:r>
            <w:r>
              <w:t>os.SEEK_SET</w:t>
            </w:r>
          </w:p>
          <w:p>
            <w:pPr>
              <w:pStyle w:val="Para 028"/>
            </w:pPr>
            <w:r>
              <w:t xml:space="preserve">Offset is relative to start of </w:t>
            </w:r>
            <w:r>
              <w:rPr>
                <w:rStyle w:val="Text3"/>
              </w:rPr>
              <w:t>m</w:t>
            </w:r>
          </w:p>
          <w:p>
            <w:pPr>
              <w:pStyle w:val="Para 024"/>
            </w:pPr>
            <w:r>
              <w:t>1</w:t>
            </w:r>
            <w:r>
              <w:rPr>
                <w:rStyle w:val="Text12"/>
              </w:rPr>
              <w:t xml:space="preserve"> </w:t>
            </w:r>
            <w:r>
              <w:rPr>
                <w:rStyle w:val="Text47"/>
              </w:rPr>
              <w:t>or</w:t>
            </w:r>
            <w:r>
              <w:rPr>
                <w:rStyle w:val="Text12"/>
              </w:rPr>
              <w:t xml:space="preserve"> </w:t>
            </w:r>
            <w:r>
              <w:t>os.SEEK_CUR</w:t>
            </w:r>
          </w:p>
          <w:p>
            <w:pPr>
              <w:pStyle w:val="Para 028"/>
            </w:pPr>
            <w:r>
              <w:t xml:space="preserve">Offset is relative to </w:t>
            </w:r>
            <w:r>
              <w:rPr>
                <w:rStyle w:val="Text3"/>
              </w:rPr>
              <w:t>m</w:t>
            </w:r>
            <w:r>
              <w:t>’s current file pointer</w:t>
            </w:r>
          </w:p>
          <w:p>
            <w:pPr>
              <w:pStyle w:val="Para 024"/>
            </w:pPr>
            <w:r>
              <w:t>2</w:t>
            </w:r>
            <w:r>
              <w:rPr>
                <w:rStyle w:val="Text12"/>
              </w:rPr>
              <w:t xml:space="preserve"> </w:t>
            </w:r>
            <w:r>
              <w:rPr>
                <w:rStyle w:val="Text47"/>
              </w:rPr>
              <w:t>or</w:t>
            </w:r>
            <w:r>
              <w:rPr>
                <w:rStyle w:val="Text12"/>
              </w:rPr>
              <w:t xml:space="preserve"> </w:t>
            </w:r>
            <w:r>
              <w:t>os.SEEK_END</w:t>
            </w:r>
          </w:p>
          <w:p>
            <w:pPr>
              <w:pStyle w:val="Para 028"/>
            </w:pPr>
            <w:r>
              <w:t xml:space="preserve">Offset is relative to end of </w:t>
            </w:r>
            <w:r>
              <w:rPr>
                <w:rStyle w:val="Text3"/>
              </w:rPr>
              <w:t>m</w:t>
            </w:r>
          </w:p>
          <w:p>
            <w:pPr>
              <w:pStyle w:val="Para 022"/>
            </w:pPr>
            <w:r>
              <w:t xml:space="preserve"> A </w:t>
            </w:r>
            <w:r>
              <w:rPr>
                <w:rStyle w:val="Text0"/>
              </w:rPr>
              <w:t>seek</w:t>
            </w:r>
            <w:r>
              <w:t xml:space="preserve"> trying to set </w:t>
            </w:r>
            <w:r>
              <w:rPr>
                <w:rStyle w:val="Text3"/>
              </w:rPr>
              <w:t>m</w:t>
            </w:r>
            <w:r>
              <w:t xml:space="preserve">’s file pointer to a negative offset, or to an offset beyond </w:t>
            </w:r>
            <w:r>
              <w:rPr>
                <w:rStyle w:val="Text3"/>
              </w:rPr>
              <w:t>m</w:t>
            </w:r>
            <w:r>
              <w:t xml:space="preserve">’s length, raises a </w:t>
            </w:r>
            <w:r>
              <w:rPr>
                <w:rStyle w:val="Text0"/>
              </w:rPr>
              <w:t>ValueError</w:t>
            </w:r>
            <w:r>
              <w:t xml:space="preserve"> exception.</w:t>
            </w:r>
          </w:p>
        </w:tc>
      </w:tr>
    </w:tbl>
    <w:tbl>
      <w:tblPr>
        <w:tblW w:type="auto" w:w="0"/>
      </w:tblPr>
      <w:tr>
        <w:tc>
          <w:tcPr>
            <w:tcW w:type="auto" w:w="0"/>
            <w:tcMar>
              <w:left w:type="dxa" w:w="200"/>
              <w:top w:type="dxa" w:w="200"/>
              <w:right w:type="dxa" w:w="200"/>
              <w:bottom w:type="dxa" w:w="200"/>
            </w:tcMar>
          </w:tcPr>
          <w:p>
            <w:pPr>
              <w:pStyle w:val="Para 001"/>
            </w:pPr>
            <w:r>
              <w:t>size</w:t>
            </w:r>
          </w:p>
        </w:tc>
        <w:tc>
          <w:tcPr>
            <w:tcW w:type="auto" w:w="0"/>
            <w:tcMar>
              <w:left w:type="dxa" w:w="200"/>
              <w:top w:type="dxa" w:w="200"/>
              <w:right w:type="dxa" w:w="200"/>
              <w:bottom w:type="dxa" w:w="200"/>
            </w:tcMar>
          </w:tcPr>
          <w:p>
            <w:pPr>
              <w:pStyle w:val="Para 002"/>
            </w:pPr>
            <w:r>
              <w:rPr>
                <w:rStyle w:val="Text3"/>
              </w:rPr>
              <w:t>m</w:t>
            </w:r>
            <w:r>
              <w:rPr>
                <w:rStyle w:val="Text0"/>
              </w:rPr>
              <w:t>.size()</w:t>
              <w:br w:clear="none"/>
            </w:r>
            <w:r>
              <w:t xml:space="preserve"> Returns the length (number of bytes) of </w:t>
            </w:r>
            <w:r>
              <w:rPr>
                <w:rStyle w:val="Text3"/>
              </w:rPr>
              <w:t>m</w:t>
            </w:r>
            <w:r>
              <w:t xml:space="preserve">’s file (not the length of </w:t>
            </w:r>
            <w:r>
              <w:rPr>
                <w:rStyle w:val="Text3"/>
              </w:rPr>
              <w:t>m</w:t>
            </w:r>
            <w:r>
              <w:t xml:space="preserve"> itself). To get the length of </w:t>
            </w:r>
            <w:r>
              <w:rPr>
                <w:rStyle w:val="Text3"/>
              </w:rPr>
              <w:t>m</w:t>
            </w:r>
            <w:r>
              <w:t xml:space="preserve">, use </w:t>
            </w:r>
            <w:r>
              <w:rPr>
                <w:rStyle w:val="Text0"/>
              </w:rPr>
              <w:t>len(</w:t>
            </w:r>
            <w:r>
              <w:rPr>
                <w:rStyle w:val="Text3"/>
              </w:rPr>
              <w:t>m</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tell</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.tell()</w:t>
              <w:br w:clear="none"/>
            </w:r>
            <w:r>
              <w:t xml:space="preserve"> Returns the current position of </w:t>
            </w:r>
            <w:r>
              <w:rPr>
                <w:rStyle w:val="Text3"/>
              </w:rPr>
              <w:t>m</w:t>
            </w:r>
            <w:r>
              <w:t xml:space="preserve">’s file pointer, a byte offset within </w:t>
            </w:r>
            <w:r>
              <w:rPr>
                <w:rStyle w:val="Text3"/>
              </w:rPr>
              <w:t>m</w:t>
            </w:r>
            <w:r>
              <w:t>’s file.</w:t>
            </w:r>
          </w:p>
        </w:tc>
      </w:tr>
    </w:tbl>
    <w:tbl>
      <w:tblPr>
        <w:tblW w:type="auto" w:w="0"/>
      </w:tblPr>
      <w:tr>
        <w:tc>
          <w:tcPr>
            <w:tcW w:type="auto" w:w="0"/>
            <w:tcMar>
              <w:left w:type="dxa" w:w="200"/>
              <w:top w:type="dxa" w:w="200"/>
              <w:right w:type="dxa" w:w="200"/>
              <w:bottom w:type="dxa" w:w="200"/>
            </w:tcMar>
          </w:tcPr>
          <w:p>
            <w:pPr>
              <w:pStyle w:val="Para 001"/>
            </w:pPr>
            <w:r>
              <w:t>write</w:t>
            </w:r>
          </w:p>
        </w:tc>
        <w:tc>
          <w:tcPr>
            <w:tcW w:type="auto" w:w="0"/>
            <w:tcMar>
              <w:left w:type="dxa" w:w="200"/>
              <w:top w:type="dxa" w:w="200"/>
              <w:right w:type="dxa" w:w="200"/>
              <w:bottom w:type="dxa" w:w="200"/>
            </w:tcMar>
          </w:tcPr>
          <w:p>
            <w:pPr>
              <w:pStyle w:val="Para 002"/>
            </w:pPr>
            <w:r>
              <w:rPr>
                <w:rStyle w:val="Text3"/>
              </w:rPr>
              <w:t>m</w:t>
            </w:r>
            <w:r>
              <w:rPr>
                <w:rStyle w:val="Text0"/>
              </w:rPr>
              <w:t>.write(</w:t>
            </w:r>
            <w:r>
              <w:rPr>
                <w:rStyle w:val="Text3"/>
              </w:rPr>
              <w:t>b</w:t>
            </w:r>
            <w:r>
              <w:rPr>
                <w:rStyle w:val="Text0"/>
              </w:rPr>
              <w:t>)</w:t>
              <w:br w:clear="none"/>
            </w:r>
            <w:r>
              <w:t xml:space="preserve"> Writes the bytes in bytestring </w:t>
            </w:r>
            <w:r>
              <w:rPr>
                <w:rStyle w:val="Text3"/>
              </w:rPr>
              <w:t>b</w:t>
            </w:r>
            <w:r>
              <w:t xml:space="preserve"> into </w:t>
            </w:r>
            <w:r>
              <w:rPr>
                <w:rStyle w:val="Text3"/>
              </w:rPr>
              <w:t>m</w:t>
            </w:r>
            <w:r>
              <w:t xml:space="preserve"> at the current position of </w:t>
            </w:r>
            <w:r>
              <w:rPr>
                <w:rStyle w:val="Text3"/>
              </w:rPr>
              <w:t>m</w:t>
            </w:r>
            <w:r>
              <w:t xml:space="preserve">’s file pointer, overwriting the bytes that were there, and then advances </w:t>
            </w:r>
            <w:r>
              <w:rPr>
                <w:rStyle w:val="Text3"/>
              </w:rPr>
              <w:t>m</w:t>
            </w:r>
            <w:r>
              <w:t xml:space="preserve">’s file pointer by </w:t>
            </w:r>
            <w:r>
              <w:rPr>
                <w:rStyle w:val="Text0"/>
              </w:rPr>
              <w:t>len(</w:t>
            </w:r>
            <w:r>
              <w:rPr>
                <w:rStyle w:val="Text3"/>
              </w:rPr>
              <w:t>b</w:t>
            </w:r>
            <w:r>
              <w:rPr>
                <w:rStyle w:val="Text0"/>
              </w:rPr>
              <w:t>)</w:t>
            </w:r>
            <w:r>
              <w:t xml:space="preserve">. If there aren’t at least </w:t>
            </w:r>
            <w:r>
              <w:rPr>
                <w:rStyle w:val="Text0"/>
              </w:rPr>
              <w:t>len(</w:t>
            </w:r>
            <w:r>
              <w:rPr>
                <w:rStyle w:val="Text3"/>
              </w:rPr>
              <w:t>b</w:t>
            </w:r>
            <w:r>
              <w:rPr>
                <w:rStyle w:val="Text0"/>
              </w:rPr>
              <w:t>)</w:t>
            </w:r>
            <w:r>
              <w:t xml:space="preserve"> bytes between </w:t>
            </w:r>
            <w:r>
              <w:rPr>
                <w:rStyle w:val="Text3"/>
              </w:rPr>
              <w:t>m</w:t>
            </w:r>
            <w:r>
              <w:t xml:space="preserve">’s file pointer and the length of </w:t>
            </w:r>
            <w:r>
              <w:rPr>
                <w:rStyle w:val="Text3"/>
              </w:rPr>
              <w:t>m</w:t>
            </w:r>
            <w:r>
              <w:t xml:space="preserve">, </w:t>
            </w:r>
            <w:r>
              <w:rPr>
                <w:rStyle w:val="Text0"/>
              </w:rPr>
              <w:t>write</w:t>
            </w:r>
            <w:r>
              <w:t xml:space="preserve"> raises a </w:t>
            </w:r>
            <w:r>
              <w:rPr>
                <w:rStyle w:val="Text0"/>
              </w:rPr>
              <w:t>ValueError</w:t>
            </w:r>
            <w:r>
              <w:t xml:space="preserve"> exception.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write_byte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.write_byte(</w:t>
            </w:r>
            <w:r>
              <w:rPr>
                <w:rStyle w:val="Text3"/>
              </w:rPr>
              <w:t>byte</w:t>
            </w:r>
            <w:r>
              <w:rPr>
                <w:rStyle w:val="Text0"/>
              </w:rPr>
              <w:t>)</w:t>
              <w:br w:clear="none"/>
            </w:r>
            <w:r>
              <w:t xml:space="preserve"> Writes </w:t>
            </w:r>
            <w:r>
              <w:rPr>
                <w:rStyle w:val="Text3"/>
              </w:rPr>
              <w:t>byte</w:t>
            </w:r>
            <w:r>
              <w:t xml:space="preserve">, which must be an </w:t>
            </w:r>
            <w:r>
              <w:rPr>
                <w:rStyle w:val="Text0"/>
              </w:rPr>
              <w:t>int</w:t>
            </w:r>
            <w:r>
              <w:t xml:space="preserve">, into mapping </w:t>
            </w:r>
            <w:r>
              <w:rPr>
                <w:rStyle w:val="Text3"/>
              </w:rPr>
              <w:t>m</w:t>
            </w:r>
            <w:r>
              <w:t xml:space="preserve"> at the current position of </w:t>
            </w:r>
            <w:r>
              <w:rPr>
                <w:rStyle w:val="Text3"/>
              </w:rPr>
              <w:t>m</w:t>
            </w:r>
            <w:r>
              <w:t xml:space="preserve">’s file pointer, overwriting the byte that was there, and then advances </w:t>
            </w:r>
            <w:r>
              <w:rPr>
                <w:rStyle w:val="Text3"/>
              </w:rPr>
              <w:t>m</w:t>
            </w:r>
            <w:r>
              <w:t xml:space="preserve">’s file pointer by </w:t>
            </w:r>
            <w:r>
              <w:rPr>
                <w:rStyle w:val="Text0"/>
              </w:rPr>
              <w:t>1</w:t>
            </w:r>
            <w:r>
              <w:t xml:space="preserve">. </w:t>
            </w:r>
            <w:r>
              <w:rPr>
                <w:rStyle w:val="Text3"/>
              </w:rPr>
              <w:t>m</w:t>
            </w:r>
            <w:r>
              <w:rPr>
                <w:rStyle w:val="Text0"/>
              </w:rPr>
              <w:t>.write_byte(</w:t>
            </w:r>
            <w:r>
              <w:rPr>
                <w:rStyle w:val="Text3"/>
              </w:rPr>
              <w:t>x</w:t>
            </w:r>
            <w:r>
              <w:rPr>
                <w:rStyle w:val="Text0"/>
              </w:rPr>
              <w:t>)</w:t>
            </w:r>
            <w:r>
              <w:t xml:space="preserve"> is similar to </w:t>
            </w:r>
            <w:r>
              <w:rPr>
                <w:rStyle w:val="Text3"/>
              </w:rPr>
              <w:t>m</w:t>
            </w:r>
            <w:r>
              <w:rPr>
                <w:rStyle w:val="Text0"/>
              </w:rPr>
              <w:t>.write(</w:t>
            </w:r>
            <w:r>
              <w:rPr>
                <w:rStyle w:val="Text3"/>
              </w:rPr>
              <w:t>x</w:t>
            </w:r>
            <w:r>
              <w:rPr>
                <w:rStyle w:val="Text0"/>
              </w:rPr>
              <w:t>.to_bytes(1, 'little'))</w:t>
            </w:r>
            <w:r>
              <w:t xml:space="preserve">. However, if </w:t>
            </w:r>
            <w:r>
              <w:rPr>
                <w:rStyle w:val="Text3"/>
              </w:rPr>
              <w:t>m</w:t>
            </w:r>
            <w:r>
              <w:t xml:space="preserve">’s file pointer is at the end of </w:t>
            </w:r>
            <w:r>
              <w:rPr>
                <w:rStyle w:val="Text3"/>
              </w:rPr>
              <w:t>m</w:t>
            </w:r>
            <w:r>
              <w:t xml:space="preserve">, </w:t>
            </w:r>
            <w:r>
              <w:rPr>
                <w:rStyle w:val="Text3"/>
              </w:rPr>
              <w:t>m</w:t>
            </w:r>
            <w:r>
              <w:rPr>
                <w:rStyle w:val="Text0"/>
              </w:rPr>
              <w:t>.write_byte(</w:t>
            </w:r>
            <w:r>
              <w:rPr>
                <w:rStyle w:val="Text3"/>
              </w:rPr>
              <w:t>x</w:t>
            </w:r>
            <w:r>
              <w:rPr>
                <w:rStyle w:val="Text0"/>
              </w:rPr>
              <w:t>)</w:t>
            </w:r>
            <w:r>
              <w:t xml:space="preserve"> silently does nothing, while </w:t>
            </w:r>
            <w:r>
              <w:rPr>
                <w:rStyle w:val="Text3"/>
              </w:rPr>
              <w:t>m</w:t>
            </w:r>
            <w:r>
              <w:rPr>
                <w:rStyle w:val="Text0"/>
              </w:rPr>
              <w:t>.write(</w:t>
            </w:r>
            <w:r>
              <w:rPr>
                <w:rStyle w:val="Text3"/>
              </w:rPr>
              <w:t>x</w:t>
            </w:r>
            <w:r>
              <w:rPr>
                <w:rStyle w:val="Text0"/>
              </w:rPr>
              <w:t>.to_bytes(1, 'little'))</w:t>
            </w:r>
            <w:r>
              <w:t xml:space="preserve"> raises a </w:t>
            </w:r>
            <w:r>
              <w:rPr>
                <w:rStyle w:val="Text0"/>
              </w:rPr>
              <w:t>ValueError</w:t>
            </w:r>
            <w:r>
              <w:t xml:space="preserve"> exception. Note that this is the reverse of the relationship between </w:t>
            </w:r>
            <w:r>
              <w:rPr>
                <w:rStyle w:val="Text0"/>
              </w:rPr>
              <w:t>read</w:t>
            </w:r>
            <w:r>
              <w:t xml:space="preserve"> and </w:t>
            </w:r>
            <w:r>
              <w:rPr>
                <w:rStyle w:val="Text0"/>
              </w:rPr>
              <w:t>read_byte</w:t>
            </w:r>
            <w:r>
              <w:t xml:space="preserve"> at end-of-file: </w:t>
            </w:r>
            <w:r>
              <w:rPr>
                <w:rStyle w:val="Text0"/>
              </w:rPr>
              <w:t>write</w:t>
            </w:r>
            <w:r>
              <w:t xml:space="preserve"> and </w:t>
            </w:r>
            <w:r>
              <w:rPr>
                <w:rStyle w:val="Text0"/>
              </w:rPr>
              <w:t>read_byte</w:t>
            </w:r>
            <w:r>
              <w:t xml:space="preserve"> may raise </w:t>
            </w:r>
            <w:r>
              <w:rPr>
                <w:rStyle w:val="Text0"/>
              </w:rPr>
              <w:t>ValueError</w:t>
            </w:r>
            <w:r>
              <w:t xml:space="preserve">, while </w:t>
            </w:r>
            <w:r>
              <w:rPr>
                <w:rStyle w:val="Text0"/>
              </w:rPr>
              <w:t>read</w:t>
            </w:r>
            <w:r>
              <w:t xml:space="preserve"> and </w:t>
            </w:r>
            <w:r>
              <w:rPr>
                <w:rStyle w:val="Text0"/>
              </w:rPr>
              <w:t>write_byte</w:t>
            </w:r>
            <w:r>
              <w:t xml:space="preserve"> never do.</w:t>
            </w:r>
          </w:p>
        </w:tc>
      </w:tr>
    </w:tbl>
    <w:p>
      <w:bookmarkStart w:id="3516" w:name="Using_mmap_Objects_for_IPC__Proc"/>
      <w:pPr>
        <w:keepNext/>
        <w:pStyle w:val="Heading 2"/>
      </w:pPr>
      <w:r>
        <w:t>Using mmap Objects for IPC</w:t>
      </w:r>
      <w:bookmarkEnd w:id="3516"/>
    </w:p>
    <w:p>
      <w:pPr>
        <w:pStyle w:val="Normal"/>
      </w:pPr>
      <w:r>
        <w:t>Processes</w:t>
      </w:r>
      <w:r>
        <w:rPr>
          <w:rStyle w:val="Text111"/>
        </w:rPr>
        <w:bookmarkStart w:id="3517" w:name="idm45965188343488"/>
        <w:t/>
        <w:bookmarkEnd w:id="3517"/>
        <w:bookmarkStart w:id="3518" w:name="idm45965188342320"/>
        <w:t/>
        <w:bookmarkEnd w:id="3518"/>
      </w:r>
      <w:r>
        <w:t xml:space="preserve"> communicate using </w:t>
      </w:r>
      <w:r>
        <w:rPr>
          <w:rStyle w:val="Text0"/>
        </w:rPr>
        <w:t>mmap</w:t>
      </w:r>
      <w:r>
        <w:t xml:space="preserve"> pretty much the same way they communicate using files: one process writes data, and another process later reads the same data back. Since an </w:t>
      </w:r>
      <w:r>
        <w:rPr>
          <w:rStyle w:val="Text0"/>
        </w:rPr>
        <w:t>mmap</w:t>
      </w:r>
      <w:r>
        <w:t xml:space="preserve"> object has an underlying file, you can have some processes doing I/O on the file (as covered in </w:t>
      </w:r>
      <w:hyperlink w:anchor="The_io_Module__As_mentioned_in_t">
        <w:r>
          <w:rPr>
            <w:rStyle w:val="Text1"/>
          </w:rPr>
          <w:t>“The io Module”</w:t>
        </w:r>
      </w:hyperlink>
      <w:r>
        <w:t xml:space="preserve">), while others use </w:t>
      </w:r>
      <w:r>
        <w:rPr>
          <w:rStyle w:val="Text0"/>
        </w:rPr>
        <w:t>mmap</w:t>
      </w:r>
      <w:r>
        <w:t xml:space="preserve"> on the same file. Choose between </w:t>
      </w:r>
      <w:r>
        <w:rPr>
          <w:rStyle w:val="Text0"/>
        </w:rPr>
        <w:t>mmap</w:t>
      </w:r>
      <w:r>
        <w:t xml:space="preserve"> and I/O on file objects on the basis of convenience: functionality is the same, performance is roughly equivalent. For example, here is a simple program that repeatedly uses file I/O to make the contents of a file equal to the last line interactively typed by the user:</w:t>
      </w:r>
    </w:p>
    <w:p>
      <w:pPr>
        <w:pStyle w:val="Para 007"/>
      </w:pPr>
      <w:r>
        <w:rPr>
          <w:rStyle w:val="Text23"/>
        </w:rPr>
        <w:t xml:space="preserve"/>
        <w:br w:clear="none"/>
      </w:r>
      <w:r>
        <w:t xml:space="preserve">fileob</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xxx</w:t>
        <w:br w:clear="none"/>
        <w:t xml:space="preserve">'</w:t>
        <w:br w:clear="none"/>
      </w:r>
      <w:r>
        <w:rPr>
          <w:rStyle w:val="Text7"/>
        </w:rPr>
        <w:t xml:space="preserve">,</w:t>
        <w:br w:clear="none"/>
      </w:r>
      <w:r>
        <w:rPr>
          <w:rStyle w:val="Text8"/>
        </w:rPr>
        <w:t xml:space="preserve">'</w:t>
        <w:br w:clear="none"/>
        <w:t xml:space="preserve">wb</w:t>
        <w:br w:clear="none"/>
        <w:t xml:space="preserve">'</w:t>
        <w:br w:clear="none"/>
      </w:r>
      <w:r>
        <w:rPr>
          <w:rStyle w:val="Text7"/>
        </w:rPr>
        <w:t xml:space="preserve">)</w:t>
        <w:br w:clear="none"/>
      </w:r>
      <w:r>
        <w:rPr>
          <w:rStyle w:val="Text6"/>
        </w:rPr>
        <w:t xml:space="preserve"/>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input</w:t>
        <w:br w:clear="none"/>
      </w:r>
      <w:r>
        <w:rPr>
          <w:rStyle w:val="Text7"/>
        </w:rPr>
        <w:t xml:space="preserve">(</w:t>
        <w:br w:clear="none"/>
      </w:r>
      <w:r>
        <w:rPr>
          <w:rStyle w:val="Text8"/>
        </w:rPr>
        <w:t xml:space="preserve">'</w:t>
        <w:br w:clear="none"/>
        <w:t xml:space="preserve">Enter some text:</w:t>
        <w:br w:clear="none"/>
        <w:t xml:space="preserve">'</w:t>
        <w:br w:clear="none"/>
      </w:r>
      <w:r>
        <w:rPr>
          <w:rStyle w:val="Text7"/>
        </w:rPr>
        <w:t xml:space="preserve">)</w:t>
        <w:br w:clear="none"/>
      </w:r>
      <w:r>
        <w:rPr>
          <w:rStyle w:val="Text6"/>
        </w:rPr>
        <w:t xml:space="preserve"/>
        <w:br w:clear="none"/>
        <w:t xml:space="preserve">    </w:t>
        <w:br w:clear="none"/>
      </w:r>
      <w:r>
        <w:t xml:space="preserve">fileob</w:t>
        <w:br w:clear="none"/>
      </w:r>
      <w:r>
        <w:rPr>
          <w:rStyle w:val="Text13"/>
        </w:rPr>
        <w:t xml:space="preserve">.</w:t>
        <w:br w:clear="none"/>
      </w:r>
      <w:r>
        <w:t xml:space="preserve">seek</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br w:clear="none"/>
        <w:t xml:space="preserve">    </w:t>
        <w:br w:clear="none"/>
      </w:r>
      <w:r>
        <w:t xml:space="preserve">fileob</w:t>
        <w:br w:clear="none"/>
      </w:r>
      <w:r>
        <w:rPr>
          <w:rStyle w:val="Text13"/>
        </w:rPr>
        <w:t xml:space="preserve">.</w:t>
        <w:br w:clear="none"/>
      </w:r>
      <w:r>
        <w:t xml:space="preserve">write</w:t>
        <w:br w:clear="none"/>
      </w:r>
      <w:r>
        <w:rPr>
          <w:rStyle w:val="Text7"/>
        </w:rPr>
        <w:t xml:space="preserve">(</w:t>
        <w:br w:clear="none"/>
      </w:r>
      <w:r>
        <w:t xml:space="preserve">data</w:t>
        <w:br w:clear="none"/>
      </w:r>
      <w:r>
        <w:rPr>
          <w:rStyle w:val="Text13"/>
        </w:rPr>
        <w:t xml:space="preserve">.</w:t>
        <w:br w:clear="none"/>
      </w:r>
      <w:r>
        <w:t xml:space="preserve">encode</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fileob</w:t>
        <w:br w:clear="none"/>
      </w:r>
      <w:r>
        <w:rPr>
          <w:rStyle w:val="Text13"/>
        </w:rPr>
        <w:t xml:space="preserve">.</w:t>
        <w:br w:clear="none"/>
      </w:r>
      <w:r>
        <w:t xml:space="preserve">truncate</w:t>
        <w:br w:clear="none"/>
      </w:r>
      <w:r>
        <w:rPr>
          <w:rStyle w:val="Text7"/>
        </w:rPr>
        <w:t xml:space="preserve">(</w:t>
        <w:br w:clear="none"/>
        <w:t xml:space="preserve">)</w:t>
        <w:br w:clear="none"/>
      </w:r>
      <w:r>
        <w:rPr>
          <w:rStyle w:val="Text6"/>
        </w:rPr>
        <w:t xml:space="preserve"/>
        <w:br w:clear="none"/>
        <w:t xml:space="preserve">    </w:t>
        <w:br w:clear="none"/>
      </w:r>
      <w:r>
        <w:t xml:space="preserve">fileob</w:t>
        <w:br w:clear="none"/>
      </w:r>
      <w:r>
        <w:rPr>
          <w:rStyle w:val="Text13"/>
        </w:rPr>
        <w:t xml:space="preserve">.</w:t>
        <w:br w:clear="none"/>
      </w:r>
      <w:r>
        <w:t xml:space="preserve">flush</w:t>
        <w:br w:clear="none"/>
      </w:r>
      <w:r>
        <w:rPr>
          <w:rStyle w:val="Text7"/>
        </w:rPr>
        <w:t xml:space="preserve">(</w:t>
        <w:br w:clear="none"/>
        <w:t xml:space="preserve">)</w:t>
        <w:br w:clear="none"/>
      </w:r>
    </w:p>
    <w:p>
      <w:pPr>
        <w:pStyle w:val="Normal"/>
      </w:pPr>
      <w:r>
        <w:t xml:space="preserve">And here is another simple program that, when run in the same directory as the former, uses </w:t>
      </w:r>
      <w:r>
        <w:rPr>
          <w:rStyle w:val="Text0"/>
        </w:rPr>
        <w:t>mmap</w:t>
      </w:r>
      <w:r>
        <w:t xml:space="preserve"> (and the </w:t>
      </w:r>
      <w:r>
        <w:rPr>
          <w:rStyle w:val="Text0"/>
        </w:rPr>
        <w:t>time.sleep</w:t>
      </w:r>
      <w:r>
        <w:t xml:space="preserve"> function, covered in </w:t>
      </w:r>
      <w:hyperlink w:anchor="Table_13_2__Functions_and_attrib">
        <w:r>
          <w:rPr>
            <w:rStyle w:val="Text1"/>
          </w:rPr>
          <w:t>Table 13-2</w:t>
        </w:r>
      </w:hyperlink>
      <w:r>
        <w:t>) to check every second for changes to the file and print out the file’s new contents, if there have been any</w:t>
      </w:r>
      <w:r>
        <w:rPr>
          <w:rStyle w:val="Text111"/>
        </w:rPr>
        <w:bookmarkStart w:id="3519" w:name="idm45965188285840"/>
        <w:t/>
        <w:bookmarkEnd w:id="3519"/>
        <w:bookmarkStart w:id="3520" w:name="idm45965188284496"/>
        <w:t/>
        <w:bookmarkEnd w:id="3520"/>
      </w:r>
      <w:r>
        <w:t xml:space="preserve"> changes: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mmap</w:t>
        <w:br w:clear="none"/>
      </w:r>
      <w:r>
        <w:rPr>
          <w:rStyle w:val="Text13"/>
        </w:rPr>
        <w:t xml:space="preserve">,</w:t>
        <w:br w:clear="none"/>
      </w:r>
      <w:r>
        <w:rPr>
          <w:rStyle w:val="Text6"/>
        </w:rPr>
        <w:t xml:space="preserve"> </w:t>
        <w:br w:clear="none"/>
      </w:r>
      <w:r>
        <w:rPr>
          <w:rStyle w:val="Text20"/>
        </w:rPr>
        <w:t xml:space="preserve">os</w:t>
        <w:br w:clear="none"/>
      </w:r>
      <w:r>
        <w:rPr>
          <w:rStyle w:val="Text13"/>
        </w:rPr>
        <w:t xml:space="preserve">,</w:t>
        <w:br w:clear="none"/>
      </w:r>
      <w:r>
        <w:rPr>
          <w:rStyle w:val="Text6"/>
        </w:rPr>
        <w:t xml:space="preserve"> </w:t>
        <w:br w:clear="none"/>
      </w:r>
      <w:r>
        <w:rPr>
          <w:rStyle w:val="Text20"/>
        </w:rPr>
        <w:t xml:space="preserve">time</w:t>
        <w:br w:clear="none"/>
      </w:r>
      <w:r>
        <w:rPr>
          <w:rStyle w:val="Text6"/>
        </w:rPr>
        <w:t xml:space="preserve"/>
        <w:br w:clear="none"/>
      </w:r>
      <w:r>
        <w:t xml:space="preserve">mx</w:t>
        <w:br w:clear="none"/>
      </w:r>
      <w:r>
        <w:rPr>
          <w:rStyle w:val="Text6"/>
        </w:rPr>
        <w:t xml:space="preserve"> </w:t>
        <w:br w:clear="none"/>
      </w:r>
      <w:r>
        <w:rPr>
          <w:rStyle w:val="Text13"/>
        </w:rPr>
        <w:t xml:space="preserve">=</w:t>
        <w:br w:clear="none"/>
      </w:r>
      <w:r>
        <w:rPr>
          <w:rStyle w:val="Text6"/>
        </w:rPr>
        <w:t xml:space="preserve"> </w:t>
        <w:br w:clear="none"/>
      </w:r>
      <w:r>
        <w:t xml:space="preserve">mmap</w:t>
        <w:br w:clear="none"/>
      </w:r>
      <w:r>
        <w:rPr>
          <w:rStyle w:val="Text13"/>
        </w:rPr>
        <w:t xml:space="preserve">.</w:t>
        <w:br w:clear="none"/>
      </w:r>
      <w:r>
        <w:t xml:space="preserve">mmap</w:t>
        <w:br w:clear="none"/>
      </w:r>
      <w:r>
        <w:rPr>
          <w:rStyle w:val="Text7"/>
        </w:rPr>
        <w:t xml:space="preserve">(</w:t>
        <w:br w:clear="none"/>
      </w:r>
      <w:r>
        <w:t xml:space="preserve">os</w:t>
        <w:br w:clear="none"/>
      </w:r>
      <w:r>
        <w:rPr>
          <w:rStyle w:val="Text13"/>
        </w:rPr>
        <w:t xml:space="preserve">.</w:t>
        <w:br w:clear="none"/>
      </w:r>
      <w:r>
        <w:t xml:space="preserve">open</w:t>
        <w:br w:clear="none"/>
      </w:r>
      <w:r>
        <w:rPr>
          <w:rStyle w:val="Text7"/>
        </w:rPr>
        <w:t xml:space="preserve">(</w:t>
        <w:br w:clear="none"/>
      </w:r>
      <w:r>
        <w:rPr>
          <w:rStyle w:val="Text8"/>
        </w:rPr>
        <w:t xml:space="preserve">'</w:t>
        <w:br w:clear="none"/>
        <w:t xml:space="preserve">xxx</w:t>
        <w:br w:clear="none"/>
        <w:t xml:space="preserve">'</w:t>
        <w:br w:clear="none"/>
      </w:r>
      <w:r>
        <w:rPr>
          <w:rStyle w:val="Text7"/>
        </w:rPr>
        <w:t xml:space="preserve">,</w:t>
        <w:br w:clear="none"/>
      </w:r>
      <w:r>
        <w:rPr>
          <w:rStyle w:val="Text6"/>
        </w:rPr>
        <w:t xml:space="preserve"> </w:t>
        <w:br w:clear="none"/>
      </w:r>
      <w:r>
        <w:t xml:space="preserve">os</w:t>
        <w:br w:clear="none"/>
      </w:r>
      <w:r>
        <w:rPr>
          <w:rStyle w:val="Text13"/>
        </w:rPr>
        <w:t xml:space="preserve">.</w:t>
        <w:br w:clear="none"/>
      </w:r>
      <w:r>
        <w:t xml:space="preserve">O_RDWR</w:t>
        <w:br w:clear="none"/>
      </w:r>
      <w:r>
        <w:rPr>
          <w:rStyle w:val="Text7"/>
        </w:rPr>
        <w:t xml:space="preserve">)</w:t>
        <w:br w:clear="none"/>
        <w:t xml:space="preserve">,</w:t>
        <w:br w:clear="none"/>
      </w:r>
      <w:r>
        <w:rPr>
          <w:rStyle w:val="Text6"/>
        </w:rPr>
        <w:t xml:space="preserve"> </w:t>
        <w:br w:clear="none"/>
      </w:r>
      <w:r>
        <w:rPr>
          <w:rStyle w:val="Text27"/>
        </w:rPr>
        <w:t xml:space="preserve">1</w:t>
        <w:br w:clear="none"/>
      </w:r>
      <w:r>
        <w:rPr>
          <w:rStyle w:val="Text7"/>
        </w:rPr>
        <w:t xml:space="preserve">)</w:t>
        <w:br w:clear="none"/>
      </w:r>
      <w:r>
        <w:rPr>
          <w:rStyle w:val="Text6"/>
        </w:rPr>
        <w:t xml:space="preserve"/>
        <w:br w:clear="none"/>
      </w:r>
      <w:r>
        <w:t xml:space="preserve">last</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None</w:t>
        <w:br w:clear="none"/>
      </w:r>
      <w:r>
        <w:rPr>
          <w:rStyle w:val="Text6"/>
        </w:rPr>
        <w:t xml:space="preserve"/>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mx</w:t>
        <w:br w:clear="none"/>
      </w:r>
      <w:r>
        <w:rPr>
          <w:rStyle w:val="Text13"/>
        </w:rPr>
        <w:t xml:space="preserve">.</w:t>
        <w:br w:clear="none"/>
      </w:r>
      <w:r>
        <w:t xml:space="preserve">resize</w:t>
        <w:br w:clear="none"/>
      </w:r>
      <w:r>
        <w:rPr>
          <w:rStyle w:val="Text7"/>
        </w:rPr>
        <w:t xml:space="preserve">(</w:t>
        <w:br w:clear="none"/>
      </w:r>
      <w:r>
        <w:t xml:space="preserve">mx</w:t>
        <w:br w:clear="none"/>
      </w:r>
      <w:r>
        <w:rPr>
          <w:rStyle w:val="Text13"/>
        </w:rPr>
        <w:t xml:space="preserve">.</w:t>
        <w:br w:clear="none"/>
      </w:r>
      <w:r>
        <w:t xml:space="preserve">size</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mx</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last</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data</w:t>
        <w:br w:clear="none"/>
      </w:r>
      <w:r>
        <w:rPr>
          <w:rStyle w:val="Text7"/>
        </w:rPr>
        <w:t xml:space="preserve">)</w:t>
        <w:br w:clear="none"/>
      </w:r>
      <w:r>
        <w:rPr>
          <w:rStyle w:val="Text6"/>
        </w:rPr>
        <w:t xml:space="preserve"/>
        <w:br w:clear="none"/>
        <w:t xml:space="preserve">        </w:t>
        <w:br w:clear="none"/>
      </w:r>
      <w:r>
        <w:t xml:space="preserve">last</w:t>
        <w:br w:clear="none"/>
      </w:r>
      <w:r>
        <w:rPr>
          <w:rStyle w:val="Text6"/>
        </w:rPr>
        <w:t xml:space="preserve"> </w:t>
        <w:br w:clear="none"/>
      </w:r>
      <w:r>
        <w:rPr>
          <w:rStyle w:val="Text13"/>
        </w:rPr>
        <w:t xml:space="preserve">=</w:t>
        <w:br w:clear="none"/>
      </w:r>
      <w:r>
        <w:rPr>
          <w:rStyle w:val="Text6"/>
        </w:rPr>
        <w:t xml:space="preserve"> </w:t>
        <w:br w:clear="none"/>
      </w:r>
      <w:r>
        <w:t xml:space="preserve">data</w:t>
        <w:br w:clear="none"/>
      </w:r>
      <w:r>
        <w:rPr>
          <w:rStyle w:val="Text6"/>
        </w:rPr>
        <w:t xml:space="preserve"/>
        <w:br w:clear="none"/>
        <w:t xml:space="preserve">    </w:t>
        <w:br w:clear="none"/>
      </w:r>
      <w:r>
        <w:t xml:space="preserve">time</w:t>
        <w:br w:clear="none"/>
      </w:r>
      <w:r>
        <w:rPr>
          <w:rStyle w:val="Text13"/>
        </w:rPr>
        <w:t xml:space="preserve">.</w:t>
        <w:br w:clear="none"/>
      </w:r>
      <w:r>
        <w:t xml:space="preserve">sleep</w:t>
        <w:br w:clear="none"/>
      </w:r>
      <w:r>
        <w:rPr>
          <w:rStyle w:val="Text7"/>
        </w:rPr>
        <w:t xml:space="preserve">(</w:t>
        <w:br w:clear="none"/>
      </w:r>
      <w:r>
        <w:rPr>
          <w:rStyle w:val="Text27"/>
        </w:rPr>
        <w:t xml:space="preserve">1</w:t>
        <w:br w:clear="none"/>
      </w:r>
      <w:r>
        <w:rPr>
          <w:rStyle w:val="Text7"/>
        </w:rPr>
        <w:t xml:space="preserve">)</w:t>
        <w:br w:clear="none"/>
      </w:r>
    </w:p>
    <w:p>
      <w:bookmarkStart w:id="3521" w:name="1_The_best_introductory_work_on"/>
      <w:pPr>
        <w:pStyle w:val="Para 035"/>
      </w:pPr>
      <w:hyperlink w:anchor="1_14">
        <w:r>
          <w:rPr>
            <w:rStyle w:val="Text1"/>
          </w:rPr>
          <w:t>1</w:t>
        </w:r>
      </w:hyperlink>
      <w:r>
        <w:t xml:space="preserve"> The best introductory work on async programming we have come across, though sadly now dated (as the async approach in Python keeps improving), is </w:t>
      </w:r>
      <w:hyperlink r:id="rId454">
        <w:r>
          <w:rPr>
            <w:rStyle w:val="Text24"/>
          </w:rPr>
          <w:t>Using Asyncio in Python</w:t>
        </w:r>
      </w:hyperlink>
      <w:r>
        <w:t xml:space="preserve">, by Caleb Hattingh (O’Reilly). We recommend you also study </w:t>
      </w:r>
      <w:hyperlink r:id="rId455">
        <w:r>
          <w:rPr>
            <w:rStyle w:val="Text1"/>
          </w:rPr>
          <w:t>Brad Solomon’s Asyncio walkthrough</w:t>
        </w:r>
      </w:hyperlink>
      <w:r>
        <w:t xml:space="preserve"> on Real Python.</w:t>
      </w:r>
      <w:bookmarkEnd w:id="3521"/>
    </w:p>
    <w:p>
      <w:bookmarkStart w:id="3522" w:name="2_The_online_docs_include_an_esp"/>
      <w:pPr>
        <w:pStyle w:val="Para 015"/>
      </w:pPr>
      <w:hyperlink w:anchor="2_12">
        <w:r>
          <w:rPr>
            <w:rStyle w:val="Text1"/>
          </w:rPr>
          <w:t>2</w:t>
        </w:r>
      </w:hyperlink>
      <w:r>
        <w:t xml:space="preserve"> The online docs include an especially helpful </w:t>
      </w:r>
      <w:hyperlink r:id="rId456">
        <w:r>
          <w:rPr>
            <w:rStyle w:val="Text1"/>
          </w:rPr>
          <w:t>“Programming Guidelines” section</w:t>
        </w:r>
      </w:hyperlink>
      <w:r>
        <w:t xml:space="preserve"> that lists a number of additional practical recommendations when using the </w:t>
      </w:r>
      <w:r>
        <w:rPr>
          <w:rStyle w:val="Text25"/>
        </w:rPr>
        <w:t>multiprocessing</w:t>
      </w:r>
      <w:r>
        <w:t xml:space="preserve"> module.</w:t>
      </w:r>
      <w:bookmarkEnd w:id="3522"/>
    </w:p>
    <w:p>
      <w:bookmarkStart w:id="3523" w:name="3_A_race_condition_is_a_situatio"/>
      <w:pPr>
        <w:pStyle w:val="Para 015"/>
      </w:pPr>
      <w:hyperlink w:anchor="3_12">
        <w:r>
          <w:rPr>
            <w:rStyle w:val="Text1"/>
          </w:rPr>
          <w:t>3</w:t>
        </w:r>
      </w:hyperlink>
      <w:r>
        <w:t xml:space="preserve"> A race condition is a situation in which the relative timings of different events, which are usually unpredictable, can affect the outcome of a computation…never a good thing!</w:t>
      </w:r>
      <w:bookmarkEnd w:id="3523"/>
    </w:p>
    <w:p>
      <w:bookmarkStart w:id="3524" w:name="4_Just_like_2__1_would_specify_i"/>
      <w:pPr>
        <w:pStyle w:val="Para 015"/>
      </w:pPr>
      <w:hyperlink w:anchor="4_7">
        <w:r>
          <w:rPr>
            <w:rStyle w:val="Text1"/>
          </w:rPr>
          <w:t>4</w:t>
        </w:r>
      </w:hyperlink>
      <w:r>
        <w:t xml:space="preserve"> Just like </w:t>
      </w:r>
      <w:r>
        <w:rPr>
          <w:rStyle w:val="Text5"/>
        </w:rPr>
        <w:t>2&gt;&amp;1</w:t>
      </w:r>
      <w:r>
        <w:t xml:space="preserve"> would specify in a Unix-y shell command line.</w:t>
      </w:r>
      <w:bookmarkEnd w:id="3524"/>
    </w:p>
    <w:p>
      <w:bookmarkStart w:id="3525" w:name="Chapter_16__Numeric_Processing"/>
      <w:bookmarkStart w:id="3526" w:name="Chapter_16__Numeric_Processing_1"/>
      <w:bookmarkStart w:id="3527" w:name="Chapter_16__Numeric_Processing_2"/>
      <w:bookmarkStart w:id="3528" w:name="Top_of_ch16_html"/>
      <w:pPr>
        <w:keepNext/>
        <w:pStyle w:val="Heading 1"/>
        <w:pageBreakBefore w:val="on"/>
      </w:pPr>
      <w:r>
        <w:t xml:space="preserve">Chapter 16. </w:t>
        <w:t>Numeric Processing</w:t>
      </w:r>
      <w:bookmarkEnd w:id="3525"/>
      <w:bookmarkEnd w:id="3526"/>
      <w:bookmarkEnd w:id="3527"/>
      <w:bookmarkEnd w:id="3528"/>
    </w:p>
    <w:p>
      <w:pPr>
        <w:pStyle w:val="Normal"/>
      </w:pPr>
      <w:r>
        <w:t xml:space="preserve">You can perform some numeric computations with operators (covered in </w:t>
      </w:r>
      <w:hyperlink w:anchor="Numeric_Operations__Python_offer">
        <w:r>
          <w:rPr>
            <w:rStyle w:val="Text1"/>
          </w:rPr>
          <w:t>“Numeric Operations”</w:t>
        </w:r>
      </w:hyperlink>
      <w:r>
        <w:t xml:space="preserve">) and built-in functions (covered in </w:t>
      </w:r>
      <w:hyperlink w:anchor="Built_in_Functions__Table_8_2_co">
        <w:r>
          <w:rPr>
            <w:rStyle w:val="Text1"/>
          </w:rPr>
          <w:t>“Built-in Functions”</w:t>
        </w:r>
      </w:hyperlink>
      <w:r>
        <w:t xml:space="preserve">). Python also provides modules that support additional numeric computations, covered in this chapter: </w:t>
      </w:r>
      <w:r>
        <w:rPr>
          <w:rStyle w:val="Text0"/>
        </w:rPr>
        <w:t>math</w:t>
      </w:r>
      <w:r>
        <w:t xml:space="preserve"> and </w:t>
      </w:r>
      <w:r>
        <w:rPr>
          <w:rStyle w:val="Text0"/>
        </w:rPr>
        <w:t>cmath</w:t>
      </w:r>
      <w:r>
        <w:t xml:space="preserve">, </w:t>
      </w:r>
      <w:r>
        <w:rPr>
          <w:rStyle w:val="Text0"/>
        </w:rPr>
        <w:t>statistics</w:t>
      </w:r>
      <w:r>
        <w:t xml:space="preserve">, </w:t>
      </w:r>
      <w:r>
        <w:rPr>
          <w:rStyle w:val="Text0"/>
        </w:rPr>
        <w:t>operator</w:t>
      </w:r>
      <w:r>
        <w:t xml:space="preserve">, </w:t>
      </w:r>
      <w:r>
        <w:rPr>
          <w:rStyle w:val="Text0"/>
        </w:rPr>
        <w:t>random</w:t>
      </w:r>
      <w:r>
        <w:t xml:space="preserve"> and </w:t>
      </w:r>
      <w:r>
        <w:rPr>
          <w:rStyle w:val="Text0"/>
        </w:rPr>
        <w:t>secrets</w:t>
      </w:r>
      <w:r>
        <w:t xml:space="preserve">, </w:t>
      </w:r>
      <w:r>
        <w:rPr>
          <w:rStyle w:val="Text0"/>
        </w:rPr>
        <w:t>fractions</w:t>
      </w:r>
      <w:r>
        <w:t xml:space="preserve">, and </w:t>
      </w:r>
      <w:r>
        <w:rPr>
          <w:rStyle w:val="Text0"/>
        </w:rPr>
        <w:t>decimal</w:t>
      </w:r>
      <w:r>
        <w:t xml:space="preserve">. Numeric processing often requires, more specifically, the processing of </w:t>
      </w:r>
      <w:r>
        <w:rPr>
          <w:rStyle w:val="Text4"/>
        </w:rPr>
        <w:t>arrays</w:t>
      </w:r>
      <w:r>
        <w:t xml:space="preserve"> of numbers; this topic is covered in </w:t>
      </w:r>
      <w:hyperlink w:anchor="Array_Processing__You_can_repres">
        <w:r>
          <w:rPr>
            <w:rStyle w:val="Text1"/>
          </w:rPr>
          <w:t>“Array Processing”</w:t>
        </w:r>
      </w:hyperlink>
      <w:r>
        <w:t xml:space="preserve">, focusing on the standard library module </w:t>
      </w:r>
      <w:r>
        <w:rPr>
          <w:rStyle w:val="Text0"/>
        </w:rPr>
        <w:t>array</w:t>
      </w:r>
      <w:r>
        <w:t xml:space="preserve"> and popular third-party extension NumPy. Finally, </w:t>
      </w:r>
      <w:hyperlink w:anchor="Additional_numeric_packages__The">
        <w:r>
          <w:rPr>
            <w:rStyle w:val="Text1"/>
          </w:rPr>
          <w:t>“Additional numeric packages”</w:t>
        </w:r>
      </w:hyperlink>
      <w:r>
        <w:t xml:space="preserve"> lists several additional numeric processing packages produced by the Python community. Most examples in this chapter assume you’ve imported the appropriate module; </w:t>
      </w:r>
      <w:r>
        <w:rPr>
          <w:rStyle w:val="Text5"/>
        </w:rPr>
        <w:t>import</w:t>
      </w:r>
      <w:r>
        <w:t xml:space="preserve"> statements are only included where the situation might be unclear.</w:t>
      </w:r>
    </w:p>
    <w:p>
      <w:bookmarkStart w:id="3529" w:name="Floating_Point_Values__Python_re"/>
      <w:pPr>
        <w:keepNext/>
        <w:pStyle w:val="Heading 1"/>
      </w:pPr>
      <w:r>
        <w:t>Floating-Point Values</w:t>
      </w:r>
      <w:bookmarkEnd w:id="3529"/>
    </w:p>
    <w:p>
      <w:pPr>
        <w:pStyle w:val="Normal"/>
      </w:pPr>
      <w:r>
        <w:t>Python</w:t>
      </w:r>
      <w:r>
        <w:rPr>
          <w:rStyle w:val="Text111"/>
        </w:rPr>
        <w:bookmarkStart w:id="3530" w:name="NPfloat16"/>
        <w:t/>
        <w:bookmarkEnd w:id="3530"/>
        <w:bookmarkStart w:id="3531" w:name="FPNnumeric16"/>
        <w:t/>
        <w:bookmarkEnd w:id="3531"/>
      </w:r>
      <w:r>
        <w:t xml:space="preserve"> represents real numeric values (that is, those that are not integers) using variables of type </w:t>
      </w:r>
      <w:r>
        <w:rPr>
          <w:rStyle w:val="Text0"/>
        </w:rPr>
        <w:t>float</w:t>
      </w:r>
      <w:r>
        <w:t xml:space="preserve">. Unlike integers, computers can rarely represent </w:t>
      </w:r>
      <w:r>
        <w:rPr>
          <w:rStyle w:val="Text0"/>
        </w:rPr>
        <w:t>float</w:t>
      </w:r>
      <w:r>
        <w:t>s exactly, due to their internal implementation as a fixed-size binary integer</w:t>
      </w:r>
      <w:r>
        <w:rPr>
          <w:rStyle w:val="Text111"/>
        </w:rPr>
        <w:bookmarkStart w:id="3532" w:name="idm45965188117872"/>
        <w:t/>
        <w:bookmarkEnd w:id="3532"/>
      </w:r>
      <w:r>
        <w:t xml:space="preserve"> </w:t>
      </w:r>
      <w:r>
        <w:rPr>
          <w:rStyle w:val="Text4"/>
        </w:rPr>
        <w:t>significand</w:t>
      </w:r>
      <w:r>
        <w:t xml:space="preserve"> (often incorrectly called “mantissa”) and a fixed-size binary integer exponent. </w:t>
      </w:r>
      <w:r>
        <w:rPr>
          <w:rStyle w:val="Text0"/>
        </w:rPr>
        <w:t>float</w:t>
      </w:r>
      <w:r>
        <w:t>s have several limitations (some of which can lead to unexpected results).</w:t>
      </w:r>
    </w:p>
    <w:p>
      <w:pPr>
        <w:pStyle w:val="Normal"/>
      </w:pPr>
      <w:r>
        <w:t xml:space="preserve">For most everyday applications, </w:t>
      </w:r>
      <w:r>
        <w:rPr>
          <w:rStyle w:val="Text0"/>
        </w:rPr>
        <w:t>float</w:t>
      </w:r>
      <w:r>
        <w:t>s are sufficient for arithmetic, but they are limited in the number of decimal places they can represent:</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f</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1.1</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2.2</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3.3</w:t>
        <w:br w:clear="none"/>
      </w:r>
      <w:r>
        <w:rPr>
          <w:rStyle w:val="Text11"/>
        </w:rPr>
        <w:t xml:space="preserve">  </w:t>
        <w:br w:clear="none"/>
      </w:r>
      <w:r>
        <w:t xml:space="preserve"># f should be equal to 0</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f</w:t>
        <w:br w:clear="none"/>
      </w:r>
    </w:p>
    <w:p>
      <w:pPr>
        <w:pStyle w:val="Para 008"/>
      </w:pPr>
      <w:r>
        <w:rPr>
          <w:rStyle w:val="Text48"/>
        </w:rPr>
        <w:t xml:space="preserve"/>
        <w:br w:clear="none"/>
      </w:r>
      <w:r>
        <w:t xml:space="preserve">4.440892098500626e-16</w:t>
        <w:br w:clear="none"/>
      </w:r>
    </w:p>
    <w:p>
      <w:pPr>
        <w:pStyle w:val="Normal"/>
      </w:pPr>
      <w:r>
        <w:t>They are also limited in the range of integer values they can accurately store (in the sense of being able to distinguish one from the next largest or smallest integer value):</w:t>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f</w:t>
        <w:br w:clear="none"/>
      </w:r>
      <w:r>
        <w:rPr>
          <w:rStyle w:val="Text23"/>
        </w:rPr>
        <w:t xml:space="preserve"> </w:t>
        <w:br w:clear="none"/>
      </w:r>
      <w:r>
        <w:t xml:space="preserve">=</w:t>
        <w:br w:clear="none"/>
      </w:r>
      <w:r>
        <w:rPr>
          <w:rStyle w:val="Text23"/>
        </w:rPr>
        <w:t xml:space="preserve"> </w:t>
        <w:br w:clear="none"/>
      </w:r>
      <w:r>
        <w:rPr>
          <w:rStyle w:val="Text27"/>
        </w:rPr>
        <w:t xml:space="preserve">2</w:t>
        <w:br w:clear="none"/>
      </w:r>
      <w:r>
        <w:rPr>
          <w:rStyle w:val="Text23"/>
        </w:rPr>
        <w:t xml:space="preserve"> </w:t>
        <w:br w:clear="none"/>
      </w:r>
      <w:r>
        <w:t xml:space="preserve">**</w:t>
        <w:br w:clear="none"/>
      </w:r>
      <w:r>
        <w:rPr>
          <w:rStyle w:val="Text23"/>
        </w:rPr>
        <w:t xml:space="preserve"> </w:t>
        <w:br w:clear="none"/>
      </w:r>
      <w:r>
        <w:rPr>
          <w:rStyle w:val="Text27"/>
        </w:rPr>
        <w:t xml:space="preserve">53</w:t>
        <w:br w:clear="none"/>
      </w:r>
      <w:r>
        <w:rPr>
          <w:rStyle w:val="Text23"/>
        </w:rPr>
        <w:t xml:space="preserve"/>
        <w:br w:clear="none"/>
      </w:r>
      <w:r>
        <w:t xml:space="preserve">&gt;&gt;&gt;</w:t>
        <w:br w:clear="none"/>
      </w:r>
      <w:r>
        <w:rPr>
          <w:rStyle w:val="Text23"/>
        </w:rPr>
        <w:t xml:space="preserve"> </w:t>
        <w:br w:clear="none"/>
      </w:r>
      <w:r>
        <w:rPr>
          <w:rStyle w:val="Text9"/>
        </w:rPr>
        <w:t xml:space="preserve">f</w:t>
        <w:br w:clear="none"/>
      </w:r>
    </w:p>
    <w:p>
      <w:pPr>
        <w:pStyle w:val="Para 008"/>
      </w:pPr>
      <w:r>
        <w:rPr>
          <w:rStyle w:val="Text48"/>
        </w:rPr>
        <w:t xml:space="preserve"/>
        <w:br w:clear="none"/>
      </w:r>
      <w:r>
        <w:t xml:space="preserve">9007199254740992</w:t>
        <w:br w:clear="none"/>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f</w:t>
        <w:br w:clear="none"/>
      </w:r>
      <w:r>
        <w:rPr>
          <w:rStyle w:val="Text23"/>
        </w:rPr>
        <w:t xml:space="preserve"> </w:t>
        <w:br w:clear="none"/>
      </w:r>
      <w:r>
        <w:t xml:space="preserve">+</w:t>
        <w:br w:clear="none"/>
      </w:r>
      <w:r>
        <w:rPr>
          <w:rStyle w:val="Text23"/>
        </w:rPr>
        <w:t xml:space="preserve"> </w:t>
        <w:br w:clear="none"/>
      </w:r>
      <w:r>
        <w:rPr>
          <w:rStyle w:val="Text27"/>
        </w:rPr>
        <w:t xml:space="preserve">1</w:t>
        <w:br w:clear="none"/>
      </w:r>
    </w:p>
    <w:p>
      <w:pPr>
        <w:pStyle w:val="Para 042"/>
      </w:pPr>
      <w:r>
        <w:rPr>
          <w:rStyle w:val="Text55"/>
        </w:rPr>
        <w:t xml:space="preserve"/>
        <w:br w:clear="none"/>
      </w:r>
      <w:r>
        <w:rPr>
          <w:rStyle w:val="Text40"/>
        </w:rPr>
        <w:t xml:space="preserve">9007199254740993</w:t>
        <w:br w:clear="none"/>
      </w:r>
      <w:r>
        <w:rPr>
          <w:rStyle w:val="Text55"/>
        </w:rPr>
        <w:t xml:space="preserve">    </w:t>
        <w:br w:clear="none"/>
      </w:r>
      <w:r>
        <w:t xml:space="preserve"># integer arithmetic is not bounded</w:t>
        <w:br w:clear="none"/>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f</w:t>
        <w:br w:clear="none"/>
      </w:r>
      <w:r>
        <w:rPr>
          <w:rStyle w:val="Text23"/>
        </w:rPr>
        <w:t xml:space="preserve"> </w:t>
        <w:br w:clear="none"/>
      </w:r>
      <w:r>
        <w:t xml:space="preserve">+</w:t>
        <w:br w:clear="none"/>
      </w:r>
      <w:r>
        <w:rPr>
          <w:rStyle w:val="Text23"/>
        </w:rPr>
        <w:t xml:space="preserve"> </w:t>
        <w:br w:clear="none"/>
      </w:r>
      <w:r>
        <w:rPr>
          <w:rStyle w:val="Text27"/>
        </w:rPr>
        <w:t xml:space="preserve">1.0</w:t>
        <w:br w:clear="none"/>
      </w:r>
    </w:p>
    <w:p>
      <w:pPr>
        <w:pStyle w:val="Para 042"/>
      </w:pPr>
      <w:r>
        <w:rPr>
          <w:rStyle w:val="Text55"/>
        </w:rPr>
        <w:t xml:space="preserve"/>
        <w:br w:clear="none"/>
      </w:r>
      <w:r>
        <w:rPr>
          <w:rStyle w:val="Text40"/>
        </w:rPr>
        <w:t xml:space="preserve">9007199254740992.0</w:t>
        <w:br w:clear="none"/>
      </w:r>
      <w:r>
        <w:rPr>
          <w:rStyle w:val="Text55"/>
        </w:rPr>
        <w:t xml:space="preserve">  </w:t>
        <w:br w:clear="none"/>
      </w:r>
      <w:r>
        <w:t xml:space="preserve"># float conversion loses integer precision at 2**53</w:t>
        <w:br w:clear="none"/>
      </w:r>
    </w:p>
    <w:p>
      <w:pPr>
        <w:pStyle w:val="Normal"/>
      </w:pPr>
      <w:r>
        <w:t xml:space="preserve">Always keep in mind that </w:t>
      </w:r>
      <w:r>
        <w:rPr>
          <w:rStyle w:val="Text0"/>
        </w:rPr>
        <w:t>float</w:t>
      </w:r>
      <w:r>
        <w:t xml:space="preserve">s are not entirely precise, due to their internal representation in the computer. The same consideration applies to </w:t>
      </w:r>
      <w:r>
        <w:rPr>
          <w:rStyle w:val="Text0"/>
        </w:rPr>
        <w:t>complex</w:t>
      </w:r>
      <w:r>
        <w:t xml:space="preserve"> numbers.</w:t>
      </w:r>
    </w:p>
    <w:p>
      <w:pPr>
        <w:keepNext/>
        <w:pStyle w:val="Heading 6"/>
        <w:keepLines w:val="on"/>
      </w:pPr>
      <w:r>
        <w:t>Don’t Use == Between Floating-Point or Complex Numbers</w:t>
      </w:r>
    </w:p>
    <w:p>
      <w:pPr>
        <w:pStyle w:val="Para 012"/>
        <w:keepLines w:val="on"/>
      </w:pPr>
      <w:r>
        <w:t>Given</w:t>
      </w:r>
      <w:r>
        <w:rPr>
          <w:rStyle w:val="Text111"/>
        </w:rPr>
        <w:bookmarkStart w:id="3533" w:name="idm45965188002928"/>
        <w:t/>
        <w:bookmarkEnd w:id="3533"/>
        <w:bookmarkStart w:id="3534" w:name="idm45965188001792"/>
        <w:t/>
        <w:bookmarkEnd w:id="3534"/>
      </w:r>
      <w:r>
        <w:t xml:space="preserve"> that floating-point numbers and operations only approximate the behavior of mathematical “real numbers,” it seldom makes sense to check two </w:t>
      </w:r>
      <w:r>
        <w:rPr>
          <w:rStyle w:val="Text0"/>
        </w:rPr>
        <w:t>float</w:t>
      </w:r>
      <w:r>
        <w:t xml:space="preserve">s </w:t>
      </w:r>
      <w:r>
        <w:rPr>
          <w:rStyle w:val="Text3"/>
        </w:rPr>
        <w:t>x</w:t>
      </w:r>
      <w:r>
        <w:t xml:space="preserve"> and </w:t>
      </w:r>
      <w:r>
        <w:rPr>
          <w:rStyle w:val="Text3"/>
        </w:rPr>
        <w:t>y</w:t>
      </w:r>
      <w:r>
        <w:t xml:space="preserve"> for exact equality. Tiny variations in how each was computed can easily result in unexpected differences.</w:t>
      </w:r>
    </w:p>
    <w:p>
      <w:pPr>
        <w:pStyle w:val="Normal"/>
      </w:pPr>
      <w:r>
        <w:t>For testing floating-point or complex numbers for equality, use the function</w:t>
      </w:r>
      <w:r>
        <w:rPr>
          <w:rStyle w:val="Text111"/>
        </w:rPr>
        <w:bookmarkStart w:id="3535" w:name="idm45965187997504"/>
        <w:t/>
        <w:bookmarkEnd w:id="3535"/>
      </w:r>
      <w:r>
        <w:t xml:space="preserve"> </w:t>
      </w:r>
      <w:r>
        <w:rPr>
          <w:rStyle w:val="Text0"/>
        </w:rPr>
        <w:t>isclose</w:t>
      </w:r>
      <w:r>
        <w:t xml:space="preserve"> exported by the built-in module </w:t>
      </w:r>
      <w:r>
        <w:rPr>
          <w:rStyle w:val="Text0"/>
        </w:rPr>
        <w:t>math</w:t>
      </w:r>
      <w:r>
        <w:t>. The following code illustrates why:</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22"/>
        </w:rPr>
        <w:t xml:space="preserve">import</w:t>
        <w:br w:clear="none"/>
      </w:r>
      <w:r>
        <w:rPr>
          <w:rStyle w:val="Text11"/>
        </w:rPr>
        <w:t xml:space="preserve"> </w:t>
        <w:br w:clear="none"/>
      </w:r>
      <w:r>
        <w:rPr>
          <w:rStyle w:val="Text53"/>
        </w:rPr>
        <w:t xml:space="preserve">math</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f</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1.1</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2.2</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3.3</w:t>
        <w:br w:clear="none"/>
      </w:r>
      <w:r>
        <w:rPr>
          <w:rStyle w:val="Text11"/>
        </w:rPr>
        <w:t xml:space="preserve">  </w:t>
        <w:br w:clear="none"/>
      </w:r>
      <w:r>
        <w:t xml:space="preserve"># f intuitively equal to 0</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f</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0</w:t>
        <w:br w:clear="none"/>
      </w:r>
    </w:p>
    <w:p>
      <w:pPr>
        <w:pStyle w:val="Para 008"/>
      </w:pPr>
      <w:r>
        <w:rPr>
          <w:rStyle w:val="Text48"/>
        </w:rPr>
        <w:t xml:space="preserve"/>
        <w:br w:clear="none"/>
      </w:r>
      <w:r>
        <w:t xml:space="preserve">False</w:t>
        <w:br w:clear="none"/>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f</w:t>
        <w:br w:clear="none"/>
      </w:r>
    </w:p>
    <w:p>
      <w:pPr>
        <w:pStyle w:val="Para 008"/>
      </w:pPr>
      <w:r>
        <w:rPr>
          <w:rStyle w:val="Text48"/>
        </w:rPr>
        <w:t xml:space="preserve"/>
        <w:br w:clear="none"/>
      </w:r>
      <w:r>
        <w:t xml:space="preserve">4.440892098500626e-16</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default tolerance fine for this comparison</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math</w:t>
        <w:br w:clear="none"/>
      </w:r>
      <w:r>
        <w:rPr>
          <w:rStyle w:val="Text28"/>
        </w:rPr>
        <w:t xml:space="preserve">.</w:t>
        <w:br w:clear="none"/>
      </w:r>
      <w:r>
        <w:rPr>
          <w:rStyle w:val="Text14"/>
        </w:rPr>
        <w:t xml:space="preserve">isclose</w:t>
        <w:br w:clear="none"/>
      </w:r>
      <w:r>
        <w:rPr>
          <w:rStyle w:val="Text19"/>
        </w:rPr>
        <w:t xml:space="preserve">(</w:t>
        <w:br w:clear="none"/>
      </w:r>
      <w:r>
        <w:rPr>
          <w:rStyle w:val="Text28"/>
        </w:rPr>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14"/>
        </w:rPr>
        <w:t xml:space="preserve">f</w:t>
        <w:br w:clear="none"/>
      </w:r>
      <w:r>
        <w:rPr>
          <w:rStyle w:val="Text28"/>
        </w:rPr>
        <w:t xml:space="preserve">-</w:t>
        <w:br w:clear="none"/>
      </w:r>
      <w:r>
        <w:rPr>
          <w:rStyle w:val="Text35"/>
        </w:rPr>
        <w:t xml:space="preserve">1</w:t>
        <w:br w:clear="none"/>
      </w:r>
      <w:r>
        <w:rPr>
          <w:rStyle w:val="Text19"/>
        </w:rPr>
        <w:t xml:space="preserve">)</w:t>
        <w:br w:clear="none"/>
      </w:r>
    </w:p>
    <w:p>
      <w:pPr>
        <w:pStyle w:val="Para 008"/>
      </w:pPr>
      <w:r>
        <w:rPr>
          <w:rStyle w:val="Text48"/>
        </w:rPr>
        <w:t xml:space="preserve"/>
        <w:br w:clear="none"/>
      </w:r>
      <w:r>
        <w:t xml:space="preserve">True</w:t>
        <w:br w:clear="none"/>
      </w:r>
    </w:p>
    <w:p>
      <w:pPr>
        <w:pStyle w:val="Normal"/>
      </w:pPr>
      <w:r>
        <w:t xml:space="preserve">For some values, you may have to set the tolerance value explicitly (this is </w:t>
      </w:r>
      <w:r>
        <w:rPr>
          <w:rStyle w:val="Text4"/>
        </w:rPr>
        <w:t>always</w:t>
      </w:r>
      <w:r>
        <w:t xml:space="preserve"> necessary when you’re comparing with </w:t>
      </w:r>
      <w:r>
        <w:rPr>
          <w:rStyle w:val="Text0"/>
        </w:rPr>
        <w:t>0</w:t>
      </w:r>
      <w:r>
        <w:t>):</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near-0 comparison with default tolerances</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math</w:t>
        <w:br w:clear="none"/>
      </w:r>
      <w:r>
        <w:rPr>
          <w:rStyle w:val="Text28"/>
        </w:rPr>
        <w:t xml:space="preserve">.</w:t>
        <w:br w:clear="none"/>
      </w:r>
      <w:r>
        <w:rPr>
          <w:rStyle w:val="Text14"/>
        </w:rPr>
        <w:t xml:space="preserve">isclose</w:t>
        <w:br w:clear="none"/>
      </w:r>
      <w:r>
        <w:rPr>
          <w:rStyle w:val="Text19"/>
        </w:rPr>
        <w:t xml:space="preserve">(</w:t>
        <w:br w:clear="none"/>
      </w:r>
      <w:r>
        <w:rPr>
          <w:rStyle w:val="Text35"/>
        </w:rPr>
        <w:t xml:space="preserve">0</w:t>
        <w:br w:clear="none"/>
      </w:r>
      <w:r>
        <w:rPr>
          <w:rStyle w:val="Text19"/>
        </w:rPr>
        <w:t xml:space="preserve">,</w:t>
        <w:br w:clear="none"/>
      </w:r>
      <w:r>
        <w:rPr>
          <w:rStyle w:val="Text11"/>
        </w:rPr>
        <w:t xml:space="preserve"> </w:t>
        <w:br w:clear="none"/>
      </w:r>
      <w:r>
        <w:rPr>
          <w:rStyle w:val="Text14"/>
        </w:rPr>
        <w:t xml:space="preserve">f</w:t>
        <w:br w:clear="none"/>
      </w:r>
      <w:r>
        <w:rPr>
          <w:rStyle w:val="Text19"/>
        </w:rPr>
        <w:t xml:space="preserve">)</w:t>
        <w:br w:clear="none"/>
      </w:r>
    </w:p>
    <w:p>
      <w:pPr>
        <w:pStyle w:val="Para 008"/>
      </w:pPr>
      <w:r>
        <w:rPr>
          <w:rStyle w:val="Text48"/>
        </w:rPr>
        <w:t xml:space="preserve"/>
        <w:br w:clear="none"/>
      </w:r>
      <w:r>
        <w:t xml:space="preserve">False</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must use abs_tol for comparison with 0</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math</w:t>
        <w:br w:clear="none"/>
      </w:r>
      <w:r>
        <w:rPr>
          <w:rStyle w:val="Text28"/>
        </w:rPr>
        <w:t xml:space="preserve">.</w:t>
        <w:br w:clear="none"/>
      </w:r>
      <w:r>
        <w:rPr>
          <w:rStyle w:val="Text14"/>
        </w:rPr>
        <w:t xml:space="preserve">isclose</w:t>
        <w:br w:clear="none"/>
      </w:r>
      <w:r>
        <w:rPr>
          <w:rStyle w:val="Text19"/>
        </w:rPr>
        <w:t xml:space="preserve">(</w:t>
        <w:br w:clear="none"/>
      </w:r>
      <w:r>
        <w:rPr>
          <w:rStyle w:val="Text35"/>
        </w:rPr>
        <w:t xml:space="preserve">0</w:t>
        <w:br w:clear="none"/>
      </w:r>
      <w:r>
        <w:rPr>
          <w:rStyle w:val="Text19"/>
        </w:rPr>
        <w:t xml:space="preserve">,</w:t>
        <w:br w:clear="none"/>
      </w:r>
      <w:r>
        <w:rPr>
          <w:rStyle w:val="Text11"/>
        </w:rPr>
        <w:t xml:space="preserve"> </w:t>
        <w:br w:clear="none"/>
      </w:r>
      <w:r>
        <w:rPr>
          <w:rStyle w:val="Text14"/>
        </w:rPr>
        <w:t xml:space="preserve">f</w:t>
        <w:br w:clear="none"/>
      </w:r>
      <w:r>
        <w:rPr>
          <w:rStyle w:val="Text19"/>
        </w:rPr>
        <w:t xml:space="preserve">,</w:t>
        <w:br w:clear="none"/>
      </w:r>
      <w:r>
        <w:rPr>
          <w:rStyle w:val="Text11"/>
        </w:rPr>
        <w:t xml:space="preserve"> </w:t>
        <w:br w:clear="none"/>
      </w:r>
      <w:r>
        <w:rPr>
          <w:rStyle w:val="Text14"/>
        </w:rPr>
        <w:t xml:space="preserve">abs_tol</w:t>
        <w:br w:clear="none"/>
      </w:r>
      <w:r>
        <w:rPr>
          <w:rStyle w:val="Text28"/>
        </w:rPr>
        <w:t xml:space="preserve">=</w:t>
        <w:br w:clear="none"/>
      </w:r>
      <w:r>
        <w:rPr>
          <w:rStyle w:val="Text35"/>
        </w:rPr>
        <w:t xml:space="preserve">1e-15</w:t>
        <w:br w:clear="none"/>
      </w:r>
      <w:r>
        <w:rPr>
          <w:rStyle w:val="Text19"/>
        </w:rPr>
        <w:t xml:space="preserve">)</w:t>
        <w:br w:clear="none"/>
      </w:r>
    </w:p>
    <w:p>
      <w:pPr>
        <w:pStyle w:val="Para 008"/>
      </w:pPr>
      <w:r>
        <w:rPr>
          <w:rStyle w:val="Text48"/>
        </w:rPr>
        <w:t xml:space="preserve"/>
        <w:br w:clear="none"/>
      </w:r>
      <w:r>
        <w:t xml:space="preserve">True</w:t>
        <w:br w:clear="none"/>
      </w:r>
    </w:p>
    <w:p>
      <w:pPr>
        <w:pStyle w:val="Normal"/>
      </w:pPr>
      <w:r>
        <w:t xml:space="preserve">You can also use </w:t>
      </w:r>
      <w:r>
        <w:rPr>
          <w:rStyle w:val="Text0"/>
        </w:rPr>
        <w:t>isclose</w:t>
      </w:r>
      <w:r>
        <w:t xml:space="preserve"> for safe looping.</w:t>
      </w:r>
    </w:p>
    <w:p>
      <w:pPr>
        <w:keepNext/>
        <w:pStyle w:val="Heading 6"/>
        <w:keepLines w:val="on"/>
      </w:pPr>
      <w:r>
        <w:t>Don’t Use a float as a Loop Control Variable</w:t>
      </w:r>
    </w:p>
    <w:p>
      <w:pPr>
        <w:pStyle w:val="Para 012"/>
        <w:keepLines w:val="on"/>
      </w:pPr>
      <w:r>
        <w:t>A</w:t>
      </w:r>
      <w:r>
        <w:rPr>
          <w:rStyle w:val="Text111"/>
        </w:rPr>
        <w:bookmarkStart w:id="3536" w:name="idm45965187810960"/>
        <w:t/>
        <w:bookmarkEnd w:id="3536"/>
      </w:r>
      <w:r>
        <w:t xml:space="preserve"> common error is to use a floating-point value as the control variable of a loop, assuming that it will eventually equal some ending value, such as </w:t>
      </w:r>
      <w:r>
        <w:rPr>
          <w:rStyle w:val="Text0"/>
        </w:rPr>
        <w:t>0</w:t>
      </w:r>
      <w:r>
        <w:t>. Instead, it most likely will end up looping forever.</w:t>
      </w:r>
    </w:p>
    <w:p>
      <w:pPr>
        <w:pStyle w:val="Normal"/>
      </w:pPr>
      <w:r>
        <w:t>The following loop, expected to loop five times and then end, will in fact loop forever:</w:t>
      </w:r>
    </w:p>
    <w:p>
      <w:pPr>
        <w:pStyle w:val="Para 039"/>
      </w:pPr>
      <w:r>
        <w:rPr>
          <w:rStyle w:val="Text23"/>
        </w:rPr>
        <w:t xml:space="preserve"/>
        <w:br w:clear="none"/>
      </w:r>
      <w:r>
        <w:t xml:space="preserve">&gt;&gt;</w:t>
        <w:br w:clear="none"/>
        <w:t xml:space="preserve">&gt;</w:t>
        <w:br w:clear="none"/>
      </w:r>
      <w:r>
        <w:rPr>
          <w:rStyle w:val="Text6"/>
        </w:rPr>
        <w:t xml:space="preserve"> </w:t>
        <w:br w:clear="none"/>
      </w:r>
      <w:r>
        <w:rPr>
          <w:rStyle w:val="Text9"/>
        </w:rPr>
        <w:t xml:space="preserve">f</w:t>
        <w:br w:clear="none"/>
      </w:r>
      <w:r>
        <w:rPr>
          <w:rStyle w:val="Text6"/>
        </w:rPr>
        <w:t xml:space="preserve"> </w:t>
        <w:br w:clear="none"/>
      </w:r>
      <w:r>
        <w:t xml:space="preserve">=</w:t>
        <w:br w:clear="none"/>
      </w:r>
      <w:r>
        <w:rPr>
          <w:rStyle w:val="Text6"/>
        </w:rPr>
        <w:t xml:space="preserve"> </w:t>
        <w:br w:clear="none"/>
      </w:r>
      <w:r>
        <w:rPr>
          <w:rStyle w:val="Text27"/>
        </w:rPr>
        <w:t xml:space="preserve">1</w:t>
        <w:br w:clear="none"/>
      </w:r>
      <w:r>
        <w:rPr>
          <w:rStyle w:val="Text6"/>
        </w:rPr>
        <w:t xml:space="preserve"/>
        <w:br w:clear="none"/>
      </w:r>
      <w:r>
        <w:t xml:space="preserve">&gt;&gt;</w:t>
        <w:br w:clear="none"/>
        <w:t xml:space="preserve">&gt;</w:t>
        <w:br w:clear="none"/>
      </w:r>
      <w:r>
        <w:rPr>
          <w:rStyle w:val="Text6"/>
        </w:rPr>
        <w:t xml:space="preserve"> </w:t>
        <w:br w:clear="none"/>
      </w:r>
      <w:r>
        <w:rPr>
          <w:rStyle w:val="Text10"/>
        </w:rPr>
        <w:t xml:space="preserve">while</w:t>
        <w:br w:clear="none"/>
      </w:r>
      <w:r>
        <w:rPr>
          <w:rStyle w:val="Text6"/>
        </w:rPr>
        <w:t xml:space="preserve"> </w:t>
        <w:br w:clear="none"/>
      </w:r>
      <w:r>
        <w:rPr>
          <w:rStyle w:val="Text9"/>
        </w:rPr>
        <w:t xml:space="preserve">f</w:t>
        <w:br w:clear="none"/>
      </w:r>
      <w:r>
        <w:rPr>
          <w:rStyle w:val="Text6"/>
        </w:rPr>
        <w:t xml:space="preserve"> </w:t>
        <w:br w:clear="none"/>
      </w:r>
      <w:r>
        <w:t xml:space="preserve">!=</w:t>
        <w:br w:clear="none"/>
      </w:r>
      <w:r>
        <w:rPr>
          <w:rStyle w:val="Text6"/>
        </w:rPr>
        <w:t xml:space="preserve"> </w:t>
        <w:br w:clear="none"/>
      </w:r>
      <w:r>
        <w:rPr>
          <w:rStyle w:val="Text27"/>
        </w:rPr>
        <w:t xml:space="preserve">0</w:t>
        <w:br w:clear="none"/>
      </w:r>
      <w:r>
        <w:rPr>
          <w:rStyle w:val="Text7"/>
        </w:rPr>
        <w:t xml:space="preserve">:</w:t>
        <w:br w:clear="none"/>
      </w:r>
      <w:r>
        <w:rPr>
          <w:rStyle w:val="Text6"/>
        </w:rPr>
        <w:t xml:space="preserve"/>
        <w:br w:clear="none"/>
      </w:r>
      <w:r>
        <w:t xml:space="preserve">.</w:t>
        <w:br w:clear="none"/>
        <w:t xml:space="preserve">.</w:t>
        <w:br w:clear="none"/>
        <w:t xml:space="preserve">.</w:t>
        <w:br w:clear="none"/>
      </w:r>
      <w:r>
        <w:rPr>
          <w:rStyle w:val="Text29"/>
        </w:rPr>
        <w:t xml:space="preserve">    </w:t>
        <w:br w:clear="none"/>
      </w:r>
      <w:r>
        <w:rPr>
          <w:rStyle w:val="Text6"/>
        </w:rPr>
        <w:t xml:space="preserve"> </w:t>
        <w:br w:clear="none"/>
      </w:r>
      <w:r>
        <w:rPr>
          <w:rStyle w:val="Text9"/>
        </w:rPr>
        <w:t xml:space="preserve">f</w:t>
        <w:br w:clear="none"/>
      </w:r>
      <w:r>
        <w:rPr>
          <w:rStyle w:val="Text6"/>
        </w:rPr>
        <w:t xml:space="preserve"> </w:t>
        <w:br w:clear="none"/>
      </w:r>
      <w:r>
        <w:t xml:space="preserve">-</w:t>
        <w:br w:clear="none"/>
        <w:t xml:space="preserve">=</w:t>
        <w:br w:clear="none"/>
      </w:r>
      <w:r>
        <w:rPr>
          <w:rStyle w:val="Text6"/>
        </w:rPr>
        <w:t xml:space="preserve"> </w:t>
        <w:br w:clear="none"/>
      </w:r>
      <w:r>
        <w:rPr>
          <w:rStyle w:val="Text27"/>
        </w:rPr>
        <w:t xml:space="preserve">0.2</w:t>
        <w:br w:clear="none"/>
      </w:r>
      <w:r>
        <w:rPr>
          <w:rStyle w:val="Text6"/>
        </w:rPr>
        <w:t xml:space="preserve"> </w:t>
        <w:br w:clear="none"/>
      </w:r>
    </w:p>
    <w:p>
      <w:pPr>
        <w:pStyle w:val="Normal"/>
      </w:pPr>
      <w:r>
        <w:t xml:space="preserve">Even though </w:t>
      </w:r>
      <w:r>
        <w:rPr>
          <w:rStyle w:val="Text0"/>
        </w:rPr>
        <w:t>f</w:t>
      </w:r>
      <w:r>
        <w:t xml:space="preserve"> started as an </w:t>
      </w:r>
      <w:r>
        <w:rPr>
          <w:rStyle w:val="Text0"/>
        </w:rPr>
        <w:t>int</w:t>
      </w:r>
      <w:r>
        <w:t xml:space="preserve">, it’s now a </w:t>
      </w:r>
      <w:r>
        <w:rPr>
          <w:rStyle w:val="Text0"/>
        </w:rPr>
        <w:t>float</w:t>
      </w:r>
      <w:r>
        <w:t>. This code shows why:</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35"/>
        </w:rPr>
        <w:t xml:space="preserve">1</w:t>
        <w:br w:clear="none"/>
      </w:r>
      <w:r>
        <w:rPr>
          <w:rStyle w:val="Text28"/>
        </w:rPr>
        <w:t xml:space="preserve">-</w:t>
        <w:br w:clear="none"/>
      </w:r>
      <w:r>
        <w:rPr>
          <w:rStyle w:val="Text35"/>
        </w:rPr>
        <w:t xml:space="preserve">0.2</w:t>
        <w:br w:clear="none"/>
      </w:r>
      <w:r>
        <w:rPr>
          <w:rStyle w:val="Text28"/>
        </w:rPr>
        <w:t xml:space="preserve">-</w:t>
        <w:br w:clear="none"/>
      </w:r>
      <w:r>
        <w:rPr>
          <w:rStyle w:val="Text35"/>
        </w:rPr>
        <w:t xml:space="preserve">0.2</w:t>
        <w:br w:clear="none"/>
      </w:r>
      <w:r>
        <w:rPr>
          <w:rStyle w:val="Text28"/>
        </w:rPr>
        <w:t xml:space="preserve">-</w:t>
        <w:br w:clear="none"/>
      </w:r>
      <w:r>
        <w:rPr>
          <w:rStyle w:val="Text35"/>
        </w:rPr>
        <w:t xml:space="preserve">0.2</w:t>
        <w:br w:clear="none"/>
      </w:r>
      <w:r>
        <w:rPr>
          <w:rStyle w:val="Text28"/>
        </w:rPr>
        <w:t xml:space="preserve">-</w:t>
        <w:br w:clear="none"/>
      </w:r>
      <w:r>
        <w:rPr>
          <w:rStyle w:val="Text35"/>
        </w:rPr>
        <w:t xml:space="preserve">0.2</w:t>
        <w:br w:clear="none"/>
      </w:r>
      <w:r>
        <w:rPr>
          <w:rStyle w:val="Text28"/>
        </w:rPr>
        <w:t xml:space="preserve">-</w:t>
        <w:br w:clear="none"/>
      </w:r>
      <w:r>
        <w:rPr>
          <w:rStyle w:val="Text35"/>
        </w:rPr>
        <w:t xml:space="preserve">0.2</w:t>
        <w:br w:clear="none"/>
      </w:r>
      <w:r>
        <w:rPr>
          <w:rStyle w:val="Text11"/>
        </w:rPr>
        <w:t xml:space="preserve">  </w:t>
        <w:br w:clear="none"/>
      </w:r>
      <w:r>
        <w:t xml:space="preserve"># should be 0, but...</w:t>
        <w:br w:clear="none"/>
      </w:r>
    </w:p>
    <w:p>
      <w:pPr>
        <w:pStyle w:val="Para 008"/>
      </w:pPr>
      <w:r>
        <w:rPr>
          <w:rStyle w:val="Text48"/>
        </w:rPr>
        <w:t xml:space="preserve"/>
        <w:br w:clear="none"/>
      </w:r>
      <w:r>
        <w:t xml:space="preserve">5.551115123125783e-17</w:t>
        <w:br w:clear="none"/>
      </w:r>
    </w:p>
    <w:p>
      <w:pPr>
        <w:pStyle w:val="Normal"/>
      </w:pPr>
      <w:r>
        <w:t xml:space="preserve">Even using the inequality operator </w:t>
      </w:r>
      <w:r>
        <w:rPr>
          <w:rStyle w:val="Text0"/>
        </w:rPr>
        <w:t>&gt;</w:t>
      </w:r>
      <w:r>
        <w:t xml:space="preserve"> results in incorrect behavior, looping six times instead of five (since the residual </w:t>
      </w:r>
      <w:r>
        <w:rPr>
          <w:rStyle w:val="Text0"/>
        </w:rPr>
        <w:t>float</w:t>
      </w:r>
      <w:r>
        <w:t xml:space="preserve"> value is still greater than </w:t>
      </w:r>
      <w:r>
        <w:rPr>
          <w:rStyle w:val="Text0"/>
        </w:rPr>
        <w:t>0</w:t>
      </w:r>
      <w:r>
        <w:t>):</w:t>
      </w:r>
    </w:p>
    <w:p>
      <w:pPr>
        <w:pStyle w:val="Para 039"/>
      </w:pPr>
      <w:r>
        <w:rPr>
          <w:rStyle w:val="Text23"/>
        </w:rPr>
        <w:t xml:space="preserve"/>
        <w:br w:clear="none"/>
      </w:r>
      <w:r>
        <w:t xml:space="preserve">&gt;&gt;</w:t>
        <w:br w:clear="none"/>
        <w:t xml:space="preserve">&gt;</w:t>
        <w:br w:clear="none"/>
      </w:r>
      <w:r>
        <w:rPr>
          <w:rStyle w:val="Text6"/>
        </w:rPr>
        <w:t xml:space="preserve"> </w:t>
        <w:br w:clear="none"/>
      </w:r>
      <w:r>
        <w:rPr>
          <w:rStyle w:val="Text9"/>
        </w:rPr>
        <w:t xml:space="preserve">f</w:t>
        <w:br w:clear="none"/>
      </w:r>
      <w:r>
        <w:rPr>
          <w:rStyle w:val="Text6"/>
        </w:rPr>
        <w:t xml:space="preserve"> </w:t>
        <w:br w:clear="none"/>
      </w:r>
      <w:r>
        <w:t xml:space="preserve">=</w:t>
        <w:br w:clear="none"/>
      </w:r>
      <w:r>
        <w:rPr>
          <w:rStyle w:val="Text6"/>
        </w:rPr>
        <w:t xml:space="preserve"> </w:t>
        <w:br w:clear="none"/>
      </w:r>
      <w:r>
        <w:rPr>
          <w:rStyle w:val="Text27"/>
        </w:rPr>
        <w:t xml:space="preserve">1</w:t>
        <w:br w:clear="none"/>
      </w:r>
      <w:r>
        <w:rPr>
          <w:rStyle w:val="Text6"/>
        </w:rPr>
        <w:t xml:space="preserve"/>
        <w:br w:clear="none"/>
      </w:r>
      <w:r>
        <w:t xml:space="preserve">&gt;&gt;</w:t>
        <w:br w:clear="none"/>
        <w:t xml:space="preserve">&gt;</w:t>
        <w:br w:clear="none"/>
      </w:r>
      <w:r>
        <w:rPr>
          <w:rStyle w:val="Text6"/>
        </w:rPr>
        <w:t xml:space="preserve"> </w:t>
        <w:br w:clear="none"/>
      </w:r>
      <w:r>
        <w:rPr>
          <w:rStyle w:val="Text9"/>
        </w:rPr>
        <w:t xml:space="preserve">count</w:t>
        <w:br w:clear="none"/>
      </w:r>
      <w:r>
        <w:rPr>
          <w:rStyle w:val="Text6"/>
        </w:rPr>
        <w:t xml:space="preserve"> </w:t>
        <w:br w:clear="none"/>
      </w:r>
      <w:r>
        <w:t xml:space="preserve">=</w:t>
        <w:br w:clear="none"/>
      </w:r>
      <w:r>
        <w:rPr>
          <w:rStyle w:val="Text6"/>
        </w:rPr>
        <w:t xml:space="preserve"> </w:t>
        <w:br w:clear="none"/>
      </w:r>
      <w:r>
        <w:rPr>
          <w:rStyle w:val="Text27"/>
        </w:rPr>
        <w:t xml:space="preserve">0</w:t>
        <w:br w:clear="none"/>
      </w:r>
      <w:r>
        <w:rPr>
          <w:rStyle w:val="Text6"/>
        </w:rPr>
        <w:t xml:space="preserve"/>
        <w:br w:clear="none"/>
      </w:r>
      <w:r>
        <w:t xml:space="preserve">&gt;&gt;</w:t>
        <w:br w:clear="none"/>
        <w:t xml:space="preserve">&gt;</w:t>
        <w:br w:clear="none"/>
      </w:r>
      <w:r>
        <w:rPr>
          <w:rStyle w:val="Text6"/>
        </w:rPr>
        <w:t xml:space="preserve"> </w:t>
        <w:br w:clear="none"/>
      </w:r>
      <w:r>
        <w:rPr>
          <w:rStyle w:val="Text10"/>
        </w:rPr>
        <w:t xml:space="preserve">while</w:t>
        <w:br w:clear="none"/>
      </w:r>
      <w:r>
        <w:rPr>
          <w:rStyle w:val="Text6"/>
        </w:rPr>
        <w:t xml:space="preserve"> </w:t>
        <w:br w:clear="none"/>
      </w:r>
      <w:r>
        <w:rPr>
          <w:rStyle w:val="Text9"/>
        </w:rPr>
        <w:t xml:space="preserve">f</w:t>
        <w:br w:clear="none"/>
      </w:r>
      <w:r>
        <w:rPr>
          <w:rStyle w:val="Text6"/>
        </w:rPr>
        <w:t xml:space="preserve"> </w:t>
        <w:br w:clear="none"/>
      </w:r>
      <w:r>
        <w:t xml:space="preserve">&gt;</w:t>
        <w:br w:clear="none"/>
      </w:r>
      <w:r>
        <w:rPr>
          <w:rStyle w:val="Text6"/>
        </w:rPr>
        <w:t xml:space="preserve"> </w:t>
        <w:br w:clear="none"/>
      </w:r>
      <w:r>
        <w:rPr>
          <w:rStyle w:val="Text27"/>
        </w:rPr>
        <w:t xml:space="preserve">0</w:t>
        <w:br w:clear="none"/>
      </w:r>
      <w:r>
        <w:rPr>
          <w:rStyle w:val="Text7"/>
        </w:rPr>
        <w:t xml:space="preserve">:</w:t>
        <w:br w:clear="none"/>
      </w:r>
      <w:r>
        <w:rPr>
          <w:rStyle w:val="Text6"/>
        </w:rPr>
        <w:t xml:space="preserve"/>
        <w:br w:clear="none"/>
      </w:r>
      <w:r>
        <w:t xml:space="preserve">.</w:t>
        <w:br w:clear="none"/>
        <w:t xml:space="preserve">.</w:t>
        <w:br w:clear="none"/>
        <w:t xml:space="preserve">.</w:t>
        <w:br w:clear="none"/>
      </w:r>
      <w:r>
        <w:rPr>
          <w:rStyle w:val="Text6"/>
        </w:rPr>
        <w:t xml:space="preserve">     </w:t>
        <w:br w:clear="none"/>
      </w:r>
      <w:r>
        <w:rPr>
          <w:rStyle w:val="Text9"/>
        </w:rPr>
        <w:t xml:space="preserve">count</w:t>
        <w:br w:clear="none"/>
      </w:r>
      <w:r>
        <w:rPr>
          <w:rStyle w:val="Text6"/>
        </w:rPr>
        <w:t xml:space="preserve"> </w:t>
        <w:br w:clear="none"/>
      </w:r>
      <w:r>
        <w:t xml:space="preserve">+</w:t>
        <w:br w:clear="none"/>
        <w:t xml:space="preserve">=</w:t>
        <w:br w:clear="none"/>
      </w:r>
      <w:r>
        <w:rPr>
          <w:rStyle w:val="Text6"/>
        </w:rPr>
        <w:t xml:space="preserve"> </w:t>
        <w:br w:clear="none"/>
      </w:r>
      <w:r>
        <w:rPr>
          <w:rStyle w:val="Text27"/>
        </w:rPr>
        <w:t xml:space="preserve">1</w:t>
        <w:br w:clear="none"/>
      </w:r>
      <w:r>
        <w:rPr>
          <w:rStyle w:val="Text6"/>
        </w:rPr>
        <w:t xml:space="preserve"/>
        <w:br w:clear="none"/>
      </w:r>
      <w:r>
        <w:t xml:space="preserve">.</w:t>
        <w:br w:clear="none"/>
        <w:t xml:space="preserve">.</w:t>
        <w:br w:clear="none"/>
        <w:t xml:space="preserve">.</w:t>
        <w:br w:clear="none"/>
      </w:r>
      <w:r>
        <w:rPr>
          <w:rStyle w:val="Text6"/>
        </w:rPr>
        <w:t xml:space="preserve">     </w:t>
        <w:br w:clear="none"/>
      </w:r>
      <w:r>
        <w:rPr>
          <w:rStyle w:val="Text9"/>
        </w:rPr>
        <w:t xml:space="preserve">f</w:t>
        <w:br w:clear="none"/>
      </w:r>
      <w:r>
        <w:rPr>
          <w:rStyle w:val="Text6"/>
        </w:rPr>
        <w:t xml:space="preserve"> </w:t>
        <w:br w:clear="none"/>
      </w:r>
      <w:r>
        <w:t xml:space="preserve">-</w:t>
        <w:br w:clear="none"/>
        <w:t xml:space="preserve">=</w:t>
        <w:br w:clear="none"/>
      </w:r>
      <w:r>
        <w:rPr>
          <w:rStyle w:val="Text6"/>
        </w:rPr>
        <w:t xml:space="preserve"> </w:t>
        <w:br w:clear="none"/>
      </w:r>
      <w:r>
        <w:rPr>
          <w:rStyle w:val="Text27"/>
        </w:rPr>
        <w:t xml:space="preserve">0.2</w:t>
        <w:br w:clear="none"/>
      </w:r>
      <w:r>
        <w:rPr>
          <w:rStyle w:val="Text6"/>
        </w:rPr>
        <w:t xml:space="preserve"/>
        <w:br w:clear="none"/>
      </w:r>
      <w:r>
        <w:t xml:space="preserve">&gt;&gt;</w:t>
        <w:br w:clear="none"/>
        <w:t xml:space="preserve">&gt;</w:t>
        <w:br w:clear="none"/>
      </w:r>
      <w:r>
        <w:rPr>
          <w:rStyle w:val="Text6"/>
        </w:rPr>
        <w:t xml:space="preserve"> </w:t>
        <w:br w:clear="none"/>
      </w:r>
      <w:r>
        <w:rPr>
          <w:rStyle w:val="Text16"/>
        </w:rPr>
        <w:t xml:space="preserve">print</w:t>
        <w:br w:clear="none"/>
      </w:r>
      <w:r>
        <w:rPr>
          <w:rStyle w:val="Text7"/>
        </w:rPr>
        <w:t xml:space="preserve">(</w:t>
        <w:br w:clear="none"/>
      </w:r>
      <w:r>
        <w:rPr>
          <w:rStyle w:val="Text9"/>
        </w:rPr>
        <w:t xml:space="preserve">count</w:t>
        <w:br w:clear="none"/>
      </w:r>
      <w:r>
        <w:rPr>
          <w:rStyle w:val="Text7"/>
        </w:rPr>
        <w:t xml:space="preserve">)</w:t>
        <w:br w:clear="none"/>
      </w:r>
    </w:p>
    <w:p>
      <w:pPr>
        <w:pStyle w:val="Para 042"/>
      </w:pPr>
      <w:r>
        <w:rPr>
          <w:rStyle w:val="Text55"/>
        </w:rPr>
        <w:t xml:space="preserve"/>
        <w:br w:clear="none"/>
      </w:r>
      <w:r>
        <w:rPr>
          <w:rStyle w:val="Text40"/>
        </w:rPr>
        <w:t xml:space="preserve">6</w:t>
        <w:br w:clear="none"/>
      </w:r>
      <w:r>
        <w:rPr>
          <w:rStyle w:val="Text55"/>
        </w:rPr>
        <w:t xml:space="preserve">   </w:t>
        <w:br w:clear="none"/>
      </w:r>
      <w:r>
        <w:t xml:space="preserve"># one loop too many!</w:t>
        <w:br w:clear="none"/>
      </w:r>
    </w:p>
    <w:p>
      <w:pPr>
        <w:pStyle w:val="Normal"/>
      </w:pPr>
      <w:r>
        <w:t xml:space="preserve">If instead you use </w:t>
      </w:r>
      <w:r>
        <w:rPr>
          <w:rStyle w:val="Text0"/>
        </w:rPr>
        <w:t>math.isclose</w:t>
      </w:r>
      <w:r>
        <w:t xml:space="preserve"> for comparing </w:t>
      </w:r>
      <w:r>
        <w:rPr>
          <w:rStyle w:val="Text3"/>
        </w:rPr>
        <w:t>f</w:t>
      </w:r>
      <w:r>
        <w:t xml:space="preserve"> with </w:t>
      </w:r>
      <w:r>
        <w:rPr>
          <w:rStyle w:val="Text0"/>
        </w:rPr>
        <w:t>0</w:t>
      </w:r>
      <w:r>
        <w:t xml:space="preserve">, the </w:t>
      </w:r>
      <w:r>
        <w:rPr>
          <w:rStyle w:val="Text5"/>
        </w:rPr>
        <w:t>for</w:t>
      </w:r>
      <w:r>
        <w:t xml:space="preserve"> loop repeats the correct number of times:</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f</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1</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count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0</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while</w:t>
        <w:br w:clear="none"/>
      </w:r>
      <w:r>
        <w:rPr>
          <w:rStyle w:val="Text29"/>
        </w:rPr>
        <w:t xml:space="preserve"> </w:t>
        <w:br w:clear="none"/>
      </w:r>
      <w:r>
        <w:rPr>
          <w:rStyle w:val="Text31"/>
        </w:rPr>
        <w:t xml:space="preserve">not</w:t>
        <w:br w:clear="none"/>
      </w:r>
      <w:r>
        <w:rPr>
          <w:rStyle w:val="Text6"/>
        </w:rPr>
        <w:t xml:space="preserve"> </w:t>
        <w:br w:clear="none"/>
      </w:r>
      <w:r>
        <w:t xml:space="preserve">math</w:t>
        <w:br w:clear="none"/>
      </w:r>
      <w:r>
        <w:rPr>
          <w:rStyle w:val="Text13"/>
        </w:rPr>
        <w:t xml:space="preserve">.</w:t>
        <w:br w:clear="none"/>
      </w:r>
      <w:r>
        <w:t xml:space="preserve">isclose</w:t>
        <w:br w:clear="none"/>
      </w:r>
      <w:r>
        <w:rPr>
          <w:rStyle w:val="Text7"/>
        </w:rPr>
        <w:t xml:space="preserve">(</w:t>
        <w:br w:clear="none"/>
      </w:r>
      <w:r>
        <w:rPr>
          <w:rStyle w:val="Text27"/>
        </w:rPr>
        <w:t xml:space="preserve">0</w:t>
        <w:br w:clear="none"/>
      </w:r>
      <w:r>
        <w:rPr>
          <w:rStyle w:val="Text7"/>
        </w:rPr>
        <w:t xml:space="preserve">,</w:t>
        <w:br w:clear="none"/>
      </w:r>
      <w:r>
        <w:t xml:space="preserve">f</w:t>
        <w:br w:clear="none"/>
      </w:r>
      <w:r>
        <w:rPr>
          <w:rStyle w:val="Text7"/>
        </w:rPr>
        <w:t xml:space="preserve">,</w:t>
        <w:br w:clear="none"/>
      </w:r>
      <w:r>
        <w:t xml:space="preserve">abs_tol</w:t>
        <w:br w:clear="none"/>
      </w:r>
      <w:r>
        <w:rPr>
          <w:rStyle w:val="Text13"/>
        </w:rPr>
        <w:t xml:space="preserve">=</w:t>
        <w:br w:clear="none"/>
      </w:r>
      <w:r>
        <w:rPr>
          <w:rStyle w:val="Text27"/>
        </w:rPr>
        <w:t xml:space="preserve">1e-15</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t xml:space="preserve">count</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1</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t xml:space="preserve">f</w:t>
        <w:br w:clear="none"/>
      </w:r>
      <w:r>
        <w:rPr>
          <w:rStyle w:val="Text6"/>
        </w:rPr>
        <w:t xml:space="preserve"> </w:t>
        <w:br w:clear="none"/>
      </w:r>
      <w:r>
        <w:rPr>
          <w:rStyle w:val="Text13"/>
        </w:rPr>
        <w:t xml:space="preserve">-</w:t>
        <w:br w:clear="none"/>
        <w:t xml:space="preserve">=</w:t>
        <w:br w:clear="none"/>
      </w:r>
      <w:r>
        <w:rPr>
          <w:rStyle w:val="Text6"/>
        </w:rPr>
        <w:t xml:space="preserve"> </w:t>
        <w:br w:clear="none"/>
      </w:r>
      <w:r>
        <w:rPr>
          <w:rStyle w:val="Text27"/>
        </w:rPr>
        <w:t xml:space="preserve">0.2</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print</w:t>
        <w:br w:clear="none"/>
      </w:r>
      <w:r>
        <w:rPr>
          <w:rStyle w:val="Text7"/>
        </w:rPr>
        <w:t xml:space="preserve">(</w:t>
        <w:br w:clear="none"/>
      </w:r>
      <w:r>
        <w:t xml:space="preserve">count</w:t>
        <w:br w:clear="none"/>
      </w:r>
      <w:r>
        <w:rPr>
          <w:rStyle w:val="Text7"/>
        </w:rPr>
        <w:t xml:space="preserve">)</w:t>
        <w:br w:clear="none"/>
      </w:r>
    </w:p>
    <w:p>
      <w:pPr>
        <w:pStyle w:val="Para 042"/>
      </w:pPr>
      <w:r>
        <w:rPr>
          <w:rStyle w:val="Text55"/>
        </w:rPr>
        <w:t xml:space="preserve"/>
        <w:br w:clear="none"/>
      </w:r>
      <w:r>
        <w:rPr>
          <w:rStyle w:val="Text40"/>
        </w:rPr>
        <w:t xml:space="preserve">5</w:t>
        <w:br w:clear="none"/>
      </w:r>
      <w:r>
        <w:rPr>
          <w:rStyle w:val="Text55"/>
        </w:rPr>
        <w:t xml:space="preserve">   </w:t>
        <w:br w:clear="none"/>
      </w:r>
      <w:r>
        <w:t xml:space="preserve"># just right this time!</w:t>
        <w:br w:clear="none"/>
      </w:r>
    </w:p>
    <w:p>
      <w:pPr>
        <w:pStyle w:val="Normal"/>
      </w:pPr>
      <w:r>
        <w:t xml:space="preserve">In general, try to use an </w:t>
      </w:r>
      <w:r>
        <w:rPr>
          <w:rStyle w:val="Text0"/>
        </w:rPr>
        <w:t>int</w:t>
      </w:r>
      <w:r>
        <w:t xml:space="preserve"> for a loop’s control variable, rather than a </w:t>
      </w:r>
      <w:r>
        <w:rPr>
          <w:rStyle w:val="Text0"/>
        </w:rPr>
        <w:t>float</w:t>
      </w:r>
      <w:r>
        <w:t>.</w:t>
      </w:r>
    </w:p>
    <w:p>
      <w:pPr>
        <w:pStyle w:val="Normal"/>
      </w:pPr>
      <w:r>
        <w:t xml:space="preserve">Finally, mathematical operations that result in very large </w:t>
      </w:r>
      <w:r>
        <w:rPr>
          <w:rStyle w:val="Text0"/>
        </w:rPr>
        <w:t>float</w:t>
      </w:r>
      <w:r>
        <w:t xml:space="preserve">s will often cause an </w:t>
      </w:r>
      <w:r>
        <w:rPr>
          <w:rStyle w:val="Text0"/>
        </w:rPr>
        <w:t>OverflowError</w:t>
      </w:r>
      <w:r>
        <w:t xml:space="preserve">, or Python may return them as </w:t>
      </w:r>
      <w:r>
        <w:rPr>
          <w:rStyle w:val="Text0"/>
        </w:rPr>
        <w:t>inf</w:t>
      </w:r>
      <w:r>
        <w:t xml:space="preserve"> </w:t>
      </w:r>
      <w:r>
        <w:rPr>
          <w:rStyle w:val="Text0"/>
        </w:rPr>
        <w:t>(</w:t>
      </w:r>
      <w:r>
        <w:t xml:space="preserve">infinity). The maximum </w:t>
      </w:r>
      <w:r>
        <w:rPr>
          <w:rStyle w:val="Text0"/>
        </w:rPr>
        <w:t>float</w:t>
      </w:r>
      <w:r>
        <w:t xml:space="preserve"> value usable on your computer is </w:t>
      </w:r>
      <w:r>
        <w:rPr>
          <w:rStyle w:val="Text0"/>
        </w:rPr>
        <w:t>sys.float_info.max</w:t>
      </w:r>
      <w:r>
        <w:t xml:space="preserve">: on 64-bit computers, it’s </w:t>
      </w:r>
      <w:r>
        <w:rPr>
          <w:rStyle w:val="Text0"/>
        </w:rPr>
        <w:t>1.7976931348623157e+308</w:t>
      </w:r>
      <w:r>
        <w:t xml:space="preserve">. This may cause unexpected results when doing math using very large numbers. When you need to work with very large numbers, we recommend using the </w:t>
      </w:r>
      <w:r>
        <w:rPr>
          <w:rStyle w:val="Text0"/>
        </w:rPr>
        <w:t>decimal</w:t>
      </w:r>
      <w:r>
        <w:t xml:space="preserve"> module or third-party </w:t>
      </w:r>
      <w:hyperlink r:id="rId457">
        <w:r>
          <w:rPr>
            <w:rStyle w:val="Text30"/>
          </w:rPr>
          <w:t>gmpy</w:t>
        </w:r>
      </w:hyperlink>
      <w:r>
        <w:t xml:space="preserve"> instead.</w:t>
      </w:r>
      <w:r>
        <w:rPr>
          <w:rStyle w:val="Text111"/>
        </w:rPr>
        <w:bookmarkStart w:id="3537" w:name="idm45965187527456"/>
        <w:t/>
        <w:bookmarkEnd w:id="3537"/>
        <w:bookmarkStart w:id="3538" w:name="idm45965187526240"/>
        <w:t/>
        <w:bookmarkEnd w:id="3538"/>
      </w:r>
    </w:p>
    <w:p>
      <w:bookmarkStart w:id="3539" w:name="The_math_and_cmath_Modules__The"/>
      <w:pPr>
        <w:keepNext/>
        <w:pStyle w:val="Heading 1"/>
      </w:pPr>
      <w:r>
        <w:t>The math and cmath Modules</w:t>
      </w:r>
      <w:bookmarkEnd w:id="3539"/>
    </w:p>
    <w:p>
      <w:pPr>
        <w:pStyle w:val="Normal"/>
      </w:pPr>
      <w:r>
        <w:t>The</w:t>
      </w:r>
      <w:r>
        <w:rPr>
          <w:rStyle w:val="Text111"/>
        </w:rPr>
        <w:bookmarkStart w:id="3540" w:name="NPmath16"/>
        <w:t/>
        <w:bookmarkEnd w:id="3540"/>
        <w:bookmarkStart w:id="3541" w:name="mathmod16"/>
        <w:t/>
        <w:bookmarkEnd w:id="3541"/>
        <w:bookmarkStart w:id="3542" w:name="cmathmod16"/>
        <w:t/>
        <w:bookmarkEnd w:id="3542"/>
        <w:bookmarkStart w:id="3543" w:name="idm45965187520176"/>
        <w:t/>
        <w:bookmarkEnd w:id="3543"/>
      </w:r>
      <w:r>
        <w:t xml:space="preserve"> </w:t>
      </w:r>
      <w:r>
        <w:rPr>
          <w:rStyle w:val="Text0"/>
        </w:rPr>
        <w:t>math</w:t>
      </w:r>
      <w:r>
        <w:t xml:space="preserve"> module supplies mathematical functions for working with floating-point numbers; the </w:t>
      </w:r>
      <w:r>
        <w:rPr>
          <w:rStyle w:val="Text0"/>
        </w:rPr>
        <w:t>cmath</w:t>
      </w:r>
      <w:r>
        <w:t xml:space="preserve"> module supplies equivalent functions for complex numbers. For example, </w:t>
      </w:r>
      <w:r>
        <w:rPr>
          <w:rStyle w:val="Text0"/>
        </w:rPr>
        <w:t>math.sqrt(-1)</w:t>
      </w:r>
      <w:r>
        <w:t xml:space="preserve"> raises an exception, but </w:t>
      </w:r>
      <w:r>
        <w:rPr>
          <w:rStyle w:val="Text0"/>
        </w:rPr>
        <w:t>cmath.sqrt(-1)</w:t>
      </w:r>
      <w:r>
        <w:t xml:space="preserve"> returns </w:t>
      </w:r>
      <w:r>
        <w:rPr>
          <w:rStyle w:val="Text0"/>
        </w:rPr>
        <w:t>1j</w:t>
      </w:r>
      <w:r>
        <w:t>.</w:t>
      </w:r>
    </w:p>
    <w:p>
      <w:pPr>
        <w:pStyle w:val="Normal"/>
      </w:pPr>
      <w:r>
        <w:t xml:space="preserve">Just like for any other module, the cleanest, most readable way to use these is to have, for example, </w:t>
      </w:r>
      <w:r>
        <w:rPr>
          <w:rStyle w:val="Text5"/>
        </w:rPr>
        <w:t>import</w:t>
      </w:r>
      <w:r>
        <w:t xml:space="preserve"> </w:t>
      </w:r>
      <w:r>
        <w:rPr>
          <w:rStyle w:val="Text0"/>
        </w:rPr>
        <w:t>math</w:t>
      </w:r>
      <w:r>
        <w:t xml:space="preserve"> at the top of your code, and explicitly call, say, </w:t>
      </w:r>
      <w:r>
        <w:rPr>
          <w:rStyle w:val="Text0"/>
        </w:rPr>
        <w:t>math.sqrt</w:t>
      </w:r>
      <w:r>
        <w:t xml:space="preserve"> afterward. However, if your code includes a large number of calls to the modules’ well-known mathematical functions, you might (though it may lose some clarity and readability) either use </w:t>
      </w:r>
      <w:r>
        <w:rPr>
          <w:rStyle w:val="Text5"/>
        </w:rPr>
        <w:t>from</w:t>
      </w:r>
      <w:r>
        <w:t xml:space="preserve"> </w:t>
      </w:r>
      <w:r>
        <w:rPr>
          <w:rStyle w:val="Text0"/>
        </w:rPr>
        <w:t>math</w:t>
      </w:r>
      <w:r>
        <w:t xml:space="preserve"> </w:t>
      </w:r>
      <w:r>
        <w:rPr>
          <w:rStyle w:val="Text5"/>
        </w:rPr>
        <w:t>import</w:t>
      </w:r>
      <w:r>
        <w:t xml:space="preserve"> </w:t>
      </w:r>
      <w:r>
        <w:rPr>
          <w:rStyle w:val="Text0"/>
        </w:rPr>
        <w:t>*</w:t>
      </w:r>
      <w:r>
        <w:t xml:space="preserve">, or use </w:t>
      </w:r>
      <w:r>
        <w:rPr>
          <w:rStyle w:val="Text5"/>
        </w:rPr>
        <w:t>from</w:t>
      </w:r>
      <w:r>
        <w:t xml:space="preserve"> </w:t>
      </w:r>
      <w:r>
        <w:rPr>
          <w:rStyle w:val="Text0"/>
        </w:rPr>
        <w:t>math</w:t>
      </w:r>
      <w:r>
        <w:t xml:space="preserve"> </w:t>
      </w:r>
      <w:r>
        <w:rPr>
          <w:rStyle w:val="Text5"/>
        </w:rPr>
        <w:t>import</w:t>
      </w:r>
      <w:r>
        <w:t xml:space="preserve"> </w:t>
      </w:r>
      <w:r>
        <w:rPr>
          <w:rStyle w:val="Text0"/>
        </w:rPr>
        <w:t>sqrt</w:t>
      </w:r>
      <w:r>
        <w:t xml:space="preserve">, and afterward just call </w:t>
      </w:r>
      <w:r>
        <w:rPr>
          <w:rStyle w:val="Text0"/>
        </w:rPr>
        <w:t>sqrt</w:t>
      </w:r>
      <w:r>
        <w:t>.</w:t>
      </w:r>
    </w:p>
    <w:p>
      <w:pPr>
        <w:pStyle w:val="Normal"/>
      </w:pPr>
      <w:r>
        <w:t xml:space="preserve">Each module exposes three </w:t>
      </w:r>
      <w:r>
        <w:rPr>
          <w:rStyle w:val="Text0"/>
        </w:rPr>
        <w:t>float</w:t>
      </w:r>
      <w:r>
        <w:t xml:space="preserve"> attributes bound to the values of fundamental mathematical constants, </w:t>
      </w:r>
      <w:r>
        <w:rPr>
          <w:rStyle w:val="Text0"/>
        </w:rPr>
        <w:t>e</w:t>
      </w:r>
      <w:r>
        <w:t xml:space="preserve">, </w:t>
      </w:r>
      <w:r>
        <w:rPr>
          <w:rStyle w:val="Text0"/>
        </w:rPr>
        <w:t>pi</w:t>
      </w:r>
      <w:r>
        <w:t xml:space="preserve">, and </w:t>
      </w:r>
      <w:hyperlink r:id="rId458">
        <w:r>
          <w:rPr>
            <w:rStyle w:val="Text1"/>
          </w:rPr>
          <w:t>tau</w:t>
        </w:r>
      </w:hyperlink>
      <w:r>
        <w:t xml:space="preserve">, and a variety of functions, including those shown in </w:t>
      </w:r>
      <w:hyperlink w:anchor="Table_16_1__Methods_and_attribut">
        <w:r>
          <w:rPr>
            <w:rStyle w:val="Text1"/>
          </w:rPr>
          <w:t>Table 16-1</w:t>
        </w:r>
      </w:hyperlink>
      <w:r>
        <w:t xml:space="preserve">. The </w:t>
      </w:r>
      <w:r>
        <w:rPr>
          <w:rStyle w:val="Text0"/>
        </w:rPr>
        <w:t>math</w:t>
      </w:r>
      <w:r>
        <w:t xml:space="preserve"> and </w:t>
      </w:r>
      <w:r>
        <w:rPr>
          <w:rStyle w:val="Text0"/>
        </w:rPr>
        <w:t>cmath</w:t>
      </w:r>
      <w:r>
        <w:t xml:space="preserve"> modules are not fully symmetric, so for each method the table indicates whether it is in </w:t>
      </w:r>
      <w:r>
        <w:rPr>
          <w:rStyle w:val="Text0"/>
        </w:rPr>
        <w:t>math</w:t>
      </w:r>
      <w:r>
        <w:t xml:space="preserve">, </w:t>
      </w:r>
      <w:r>
        <w:rPr>
          <w:rStyle w:val="Text0"/>
        </w:rPr>
        <w:t>cmath</w:t>
      </w:r>
      <w:r>
        <w:t>, or both. All examples assume you have imported the appropriate module.</w:t>
      </w:r>
    </w:p>
    <w:tbl>
      <w:tblPr>
        <w:tblW w:type="auto" w:w="0"/>
      </w:tblPr>
      <w:tr>
        <w:tc>
          <w:tcPr>
            <w:tcW w:type="auto" w:w="0"/>
            <w:tcMar>
              <w:left w:type="dxa" w:w="200"/>
              <w:top w:type="dxa" w:w="200"/>
              <w:right w:type="dxa" w:w="200"/>
              <w:bottom w:type="dxa" w:w="200"/>
            </w:tcMar>
            <w:vAlign w:val="center"/>
          </w:tcPr>
          <w:p>
            <w:bookmarkStart w:id="3544" w:name="Table_16_1__Methods_and_attribut"/>
            <w:pPr>
              <w:pStyle w:val="Para 011"/>
            </w:pPr>
            <w:r>
              <w:rPr>
                <w:rStyle w:val="Text117"/>
              </w:rPr>
              <w:t/>
            </w:r>
            <w:r>
              <w:t xml:space="preserve">Table 16-1. </w:t>
              <w:t xml:space="preserve">Methods and attributes of the </w:t>
            </w:r>
            <w:r>
              <w:rPr>
                <w:rStyle w:val="Text0"/>
              </w:rPr>
              <w:t>math</w:t>
            </w:r>
            <w:r>
              <w:t xml:space="preserve"> and </w:t>
            </w:r>
            <w:r>
              <w:rPr>
                <w:rStyle w:val="Text0"/>
              </w:rPr>
              <w:t>cmath</w:t>
            </w:r>
            <w:r>
              <w:t xml:space="preserve"> modules</w:t>
            </w:r>
            <w:bookmarkEnd w:id="3544"/>
          </w:p>
          <w:p>
            <w:pPr>
              <w:pStyle w:val="Para 013"/>
            </w:pPr>
            <w:r>
              <w:t/>
            </w:r>
          </w:p>
        </w:tc>
        <w:tc>
          <w:tcPr>
            <w:tcW w:type="auto" w:w="0"/>
            <w:tcMar>
              <w:left w:type="dxa" w:w="200"/>
              <w:top w:type="dxa" w:w="200"/>
              <w:right w:type="dxa" w:w="200"/>
              <w:bottom w:type="dxa" w:w="200"/>
            </w:tcMar>
            <w:vAlign w:val="center"/>
          </w:tcPr>
          <w:p>
            <w:pPr>
              <w:pStyle w:val="Para 013"/>
            </w:pPr>
            <w:r>
              <w:t/>
            </w:r>
          </w:p>
        </w:tc>
        <w:tc>
          <w:tcPr>
            <w:tcW w:type="auto" w:w="0"/>
            <w:tcMar>
              <w:left w:type="dxa" w:w="200"/>
              <w:top w:type="dxa" w:w="200"/>
              <w:right w:type="dxa" w:w="200"/>
              <w:bottom w:type="dxa" w:w="200"/>
            </w:tcMar>
            <w:vAlign w:val="center"/>
          </w:tcPr>
          <w:p>
            <w:pPr>
              <w:pStyle w:val="Para 013"/>
            </w:pPr>
            <w:r>
              <w:t>math</w:t>
            </w:r>
          </w:p>
        </w:tc>
        <w:tc>
          <w:tcPr>
            <w:tcW w:type="auto" w:w="0"/>
            <w:tcMar>
              <w:left w:type="dxa" w:w="200"/>
              <w:top w:type="dxa" w:w="200"/>
              <w:right w:type="dxa" w:w="200"/>
              <w:bottom w:type="dxa" w:w="200"/>
            </w:tcMar>
            <w:vAlign w:val="center"/>
          </w:tcPr>
          <w:p>
            <w:pPr>
              <w:pStyle w:val="Para 013"/>
            </w:pPr>
            <w:r>
              <w:t>cmath</w:t>
            </w:r>
          </w:p>
        </w:tc>
      </w:tr>
    </w:tbl>
    <w:tbl>
      <w:tblPr>
        <w:tblW w:type="auto" w:w="0"/>
      </w:tblPr>
      <w:tr>
        <w:tc>
          <w:tcPr>
            <w:tcW w:type="auto" w:w="0"/>
            <w:tcMar>
              <w:left w:type="dxa" w:w="200"/>
              <w:top w:type="dxa" w:w="200"/>
              <w:right w:type="dxa" w:w="200"/>
              <w:bottom w:type="dxa" w:w="200"/>
            </w:tcMar>
          </w:tcPr>
          <w:p>
            <w:pPr>
              <w:pStyle w:val="Para 001"/>
            </w:pPr>
            <w:r>
              <w:t>acos</w:t>
            </w:r>
            <w:r>
              <w:rPr>
                <w:rStyle w:val="Text12"/>
              </w:rPr>
              <w:t xml:space="preserve">, </w:t>
            </w:r>
            <w:r>
              <w:t>asin</w:t>
            </w:r>
            <w:r>
              <w:rPr>
                <w:rStyle w:val="Text12"/>
              </w:rPr>
              <w:t xml:space="preserve">, </w:t>
            </w:r>
            <w:r>
              <w:t>atan</w:t>
            </w:r>
            <w:r>
              <w:rPr>
                <w:rStyle w:val="Text12"/>
              </w:rPr>
              <w:t xml:space="preserve">, </w:t>
            </w:r>
            <w:r>
              <w:t>cos</w:t>
            </w:r>
            <w:r>
              <w:rPr>
                <w:rStyle w:val="Text12"/>
              </w:rPr>
              <w:t xml:space="preserve">, </w:t>
            </w:r>
            <w:r>
              <w:t>sin</w:t>
            </w:r>
            <w:r>
              <w:rPr>
                <w:rStyle w:val="Text12"/>
              </w:rPr>
              <w:t xml:space="preserve">, </w:t>
            </w:r>
            <w:r>
              <w:t>tan</w:t>
            </w:r>
          </w:p>
        </w:tc>
        <w:tc>
          <w:tcPr>
            <w:tcW w:type="auto" w:w="0"/>
            <w:tcMar>
              <w:left w:type="dxa" w:w="200"/>
              <w:top w:type="dxa" w:w="200"/>
              <w:right w:type="dxa" w:w="200"/>
              <w:bottom w:type="dxa" w:w="200"/>
            </w:tcMar>
          </w:tcPr>
          <w:p>
            <w:pPr>
              <w:pStyle w:val="Para 002"/>
            </w:pPr>
            <w:r>
              <w:rPr>
                <w:rStyle w:val="Text0"/>
              </w:rPr>
              <w:t>acos(</w:t>
            </w:r>
            <w:r>
              <w:rPr>
                <w:rStyle w:val="Text3"/>
              </w:rPr>
              <w:t>x</w:t>
            </w:r>
            <w:r>
              <w:rPr>
                <w:rStyle w:val="Text0"/>
              </w:rPr>
              <w:t>)</w:t>
            </w:r>
            <w:r>
              <w:t>, etc.</w:t>
              <w:br w:clear="none"/>
              <w:t xml:space="preserve"> Return</w:t>
            </w:r>
            <w:r>
              <w:rPr>
                <w:rStyle w:val="Text111"/>
              </w:rPr>
              <w:bookmarkStart w:id="3545" w:name="idm45965187484224"/>
              <w:t/>
              <w:bookmarkEnd w:id="3545"/>
              <w:bookmarkStart w:id="3546" w:name="idm45965187483120"/>
              <w:t/>
              <w:bookmarkEnd w:id="3546"/>
              <w:bookmarkStart w:id="3547" w:name="idm45965187482016"/>
              <w:t/>
              <w:bookmarkEnd w:id="3547"/>
            </w:r>
            <w:r>
              <w:t xml:space="preserve"> the trigonometric functions arccosine, arcsine, arctangent, cosine, sine, or tangent, respectively, of </w:t>
            </w:r>
            <w:r>
              <w:rPr>
                <w:rStyle w:val="Text3"/>
              </w:rPr>
              <w:t>x</w:t>
            </w:r>
            <w:r>
              <w:t>, given in radians.</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acosh</w:t>
            </w:r>
            <w:r>
              <w:rPr>
                <w:rStyle w:val="Text12"/>
              </w:rPr>
              <w:t xml:space="preserve">, </w:t>
            </w:r>
            <w:r>
              <w:t>asinh</w:t>
            </w:r>
            <w:r>
              <w:rPr>
                <w:rStyle w:val="Text12"/>
              </w:rPr>
              <w:t xml:space="preserve">, </w:t>
            </w:r>
            <w:r>
              <w:t>atanh</w:t>
            </w:r>
            <w:r>
              <w:rPr>
                <w:rStyle w:val="Text12"/>
              </w:rPr>
              <w:t xml:space="preserve">, </w:t>
            </w:r>
            <w:r>
              <w:t>cosh</w:t>
            </w:r>
            <w:r>
              <w:rPr>
                <w:rStyle w:val="Text12"/>
              </w:rPr>
              <w:t xml:space="preserve">, </w:t>
            </w:r>
            <w:r>
              <w:t>sinh</w:t>
            </w:r>
            <w:r>
              <w:rPr>
                <w:rStyle w:val="Text12"/>
              </w:rPr>
              <w:t xml:space="preserve">, </w:t>
            </w:r>
            <w:r>
              <w:t>tanh</w:t>
            </w:r>
          </w:p>
        </w:tc>
        <w:tc>
          <w:tcPr>
            <w:tcW w:type="auto" w:w="0"/>
            <w:shd w:val="clear" w:color="auto" w:fill="EEF2F6"/>
            <w:tcMar>
              <w:left w:type="dxa" w:w="200"/>
              <w:top w:type="dxa" w:w="200"/>
              <w:right w:type="dxa" w:w="200"/>
              <w:bottom w:type="dxa" w:w="200"/>
            </w:tcMar>
          </w:tcPr>
          <w:p>
            <w:pPr>
              <w:pStyle w:val="Para 002"/>
            </w:pPr>
            <w:r>
              <w:rPr>
                <w:rStyle w:val="Text0"/>
              </w:rPr>
              <w:t>acosh(</w:t>
            </w:r>
            <w:r>
              <w:rPr>
                <w:rStyle w:val="Text3"/>
              </w:rPr>
              <w:t>x</w:t>
            </w:r>
            <w:r>
              <w:rPr>
                <w:rStyle w:val="Text0"/>
              </w:rPr>
              <w:t>)</w:t>
            </w:r>
            <w:r>
              <w:t>, etc.</w:t>
              <w:br w:clear="none"/>
              <w:t xml:space="preserve"> Return the arc hyperbolic cosine, arc hyperbolic sine, arc hyperbolic tangent, hyperbolic cosine, hyperbolic sine, or hyperbolic tangent, respectively, of </w:t>
            </w:r>
            <w:r>
              <w:rPr>
                <w:rStyle w:val="Text3"/>
              </w:rPr>
              <w:t>x</w:t>
            </w:r>
            <w:r>
              <w:t>, given in radians.</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atan2</w:t>
            </w:r>
          </w:p>
        </w:tc>
        <w:tc>
          <w:tcPr>
            <w:tcW w:type="auto" w:w="0"/>
            <w:tcMar>
              <w:left w:type="dxa" w:w="200"/>
              <w:top w:type="dxa" w:w="200"/>
              <w:right w:type="dxa" w:w="200"/>
              <w:bottom w:type="dxa" w:w="200"/>
            </w:tcMar>
          </w:tcPr>
          <w:p>
            <w:pPr>
              <w:pStyle w:val="Para 002"/>
            </w:pPr>
            <w:r>
              <w:rPr>
                <w:rStyle w:val="Text0"/>
              </w:rPr>
              <w:t>atan2(</w:t>
            </w:r>
            <w:r>
              <w:rPr>
                <w:rStyle w:val="Text3"/>
              </w:rPr>
              <w:t>y, x</w:t>
            </w:r>
            <w:r>
              <w:rPr>
                <w:rStyle w:val="Text0"/>
              </w:rPr>
              <w:t>)</w:t>
              <w:br w:clear="none"/>
            </w:r>
            <w:r>
              <w:t xml:space="preserve"> Like </w:t>
            </w:r>
            <w:r>
              <w:rPr>
                <w:rStyle w:val="Text0"/>
              </w:rPr>
              <w:t>atan(</w:t>
            </w:r>
            <w:r>
              <w:rPr>
                <w:rStyle w:val="Text3"/>
              </w:rPr>
              <w:t>y</w:t>
            </w:r>
            <w:r>
              <w:rPr>
                <w:rStyle w:val="Text0"/>
              </w:rPr>
              <w:t>/</w:t>
            </w:r>
            <w:r>
              <w:rPr>
                <w:rStyle w:val="Text3"/>
              </w:rPr>
              <w:t>x</w:t>
            </w:r>
            <w:r>
              <w:rPr>
                <w:rStyle w:val="Text0"/>
              </w:rPr>
              <w:t>)</w:t>
            </w:r>
            <w:r>
              <w:t xml:space="preserve">, except that </w:t>
            </w:r>
            <w:r>
              <w:rPr>
                <w:rStyle w:val="Text0"/>
              </w:rPr>
              <w:t>atan2</w:t>
            </w:r>
            <w:r>
              <w:t xml:space="preserve"> properly takes into account the signs of both arguments. For example: </w:t>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math</w:t>
              <w:br w:clear="none"/>
            </w:r>
            <w:r>
              <w:rPr>
                <w:rStyle w:val="Text13"/>
              </w:rPr>
              <w:t xml:space="preserve">.</w:t>
              <w:br w:clear="none"/>
            </w:r>
            <w:r>
              <w:t xml:space="preserve">atan</w:t>
              <w:br w:clear="none"/>
            </w:r>
            <w:r>
              <w:rPr>
                <w:rStyle w:val="Text7"/>
              </w:rPr>
              <w:t xml:space="preserve">(</w:t>
              <w:br w:clear="none"/>
            </w:r>
            <w:r>
              <w:rPr>
                <w:rStyle w:val="Text13"/>
              </w:rPr>
              <w:t xml:space="preserve">-</w:t>
              <w:br w:clear="none"/>
            </w:r>
            <w:r>
              <w:rPr>
                <w:rStyle w:val="Text27"/>
              </w:rPr>
              <w:t xml:space="preserve">1.</w:t>
              <w:br w:clear="none"/>
            </w:r>
            <w:r>
              <w:rPr>
                <w:rStyle w:val="Text13"/>
              </w:rPr>
              <w:t xml:space="preserve">/-</w:t>
              <w:br w:clear="none"/>
            </w:r>
            <w:r>
              <w:rPr>
                <w:rStyle w:val="Text27"/>
              </w:rPr>
              <w:t xml:space="preserve">1.</w:t>
              <w:br w:clear="none"/>
            </w:r>
            <w:r>
              <w:rPr>
                <w:rStyle w:val="Text7"/>
              </w:rPr>
              <w:t xml:space="preserve">)</w:t>
              <w:br w:clear="none"/>
            </w:r>
          </w:p>
          <w:p>
            <w:pPr>
              <w:pStyle w:val="Para 033"/>
            </w:pPr>
            <w:r>
              <w:rPr>
                <w:rStyle w:val="Text48"/>
              </w:rPr>
              <w:t xml:space="preserve"/>
              <w:br w:clear="none"/>
            </w:r>
            <w:r>
              <w:t xml:space="preserve">0.7853981633974483</w:t>
              <w:br w:clear="none"/>
            </w:r>
          </w:p>
          <w:p>
            <w:pPr>
              <w:pStyle w:val="Para 025"/>
            </w:pPr>
            <w:r>
              <w:rPr>
                <w:rStyle w:val="Text23"/>
              </w:rPr>
              <w:t xml:space="preserve"/>
              <w:br w:clear="none"/>
            </w:r>
            <w:r>
              <w:rPr>
                <w:rStyle w:val="Text13"/>
              </w:rPr>
              <w:t xml:space="preserve">&gt;&gt;&gt;</w:t>
              <w:br w:clear="none"/>
            </w:r>
            <w:r>
              <w:rPr>
                <w:rStyle w:val="Text23"/>
              </w:rPr>
              <w:t xml:space="preserve"> </w:t>
              <w:br w:clear="none"/>
            </w:r>
            <w:r>
              <w:t xml:space="preserve">math</w:t>
              <w:br w:clear="none"/>
            </w:r>
            <w:r>
              <w:rPr>
                <w:rStyle w:val="Text13"/>
              </w:rPr>
              <w:t xml:space="preserve">.</w:t>
              <w:br w:clear="none"/>
            </w:r>
            <w:r>
              <w:t xml:space="preserve">atan2</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13"/>
              </w:rPr>
              <w:t xml:space="preserve">-</w:t>
              <w:br w:clear="none"/>
            </w:r>
            <w:r>
              <w:rPr>
                <w:rStyle w:val="Text27"/>
              </w:rPr>
              <w:t xml:space="preserve">1.</w:t>
              <w:br w:clear="none"/>
            </w:r>
            <w:r>
              <w:rPr>
                <w:rStyle w:val="Text7"/>
              </w:rPr>
              <w:t xml:space="preserve">)</w:t>
              <w:br w:clear="none"/>
            </w:r>
          </w:p>
          <w:p>
            <w:pPr>
              <w:pStyle w:val="Para 033"/>
            </w:pPr>
            <w:r>
              <w:rPr>
                <w:rStyle w:val="Text48"/>
              </w:rPr>
              <w:t xml:space="preserve"/>
              <w:br w:clear="none"/>
            </w:r>
            <w:r>
              <w:t xml:space="preserve">-2.356194490192345</w:t>
              <w:br w:clear="none"/>
            </w:r>
          </w:p>
          <w:p>
            <w:pPr>
              <w:pStyle w:val="Para 022"/>
            </w:pPr>
            <w:r>
              <w:t xml:space="preserve"> When </w:t>
            </w:r>
            <w:r>
              <w:rPr>
                <w:rStyle w:val="Text4"/>
              </w:rPr>
              <w:t>x</w:t>
            </w:r>
            <w:r>
              <w:t xml:space="preserve"> equals 0, </w:t>
            </w:r>
            <w:r>
              <w:rPr>
                <w:rStyle w:val="Text0"/>
              </w:rPr>
              <w:t>atan2</w:t>
            </w:r>
            <w:r>
              <w:t xml:space="preserve"> returns </w:t>
            </w:r>
            <w:r>
              <w:rPr>
                <w:rStyle w:val="Text0"/>
              </w:rPr>
              <w:t>π/2</w:t>
            </w:r>
            <w:r>
              <w:t xml:space="preserve">, while dividing by </w:t>
            </w:r>
            <w:r>
              <w:rPr>
                <w:rStyle w:val="Text4"/>
              </w:rPr>
              <w:t>x</w:t>
            </w:r>
            <w:r>
              <w:t xml:space="preserve"> would raise </w:t>
            </w:r>
            <w:r>
              <w:rPr>
                <w:rStyle w:val="Text0"/>
              </w:rPr>
              <w:t>ZeroDivisionError</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cbrt</w:t>
            </w:r>
          </w:p>
        </w:tc>
        <w:tc>
          <w:tcPr>
            <w:tcW w:type="auto" w:w="0"/>
            <w:shd w:val="clear" w:color="auto" w:fill="EEF2F6"/>
            <w:tcMar>
              <w:left w:type="dxa" w:w="200"/>
              <w:top w:type="dxa" w:w="200"/>
              <w:right w:type="dxa" w:w="200"/>
              <w:bottom w:type="dxa" w:w="200"/>
            </w:tcMar>
          </w:tcPr>
          <w:p>
            <w:pPr>
              <w:pStyle w:val="Para 002"/>
            </w:pPr>
            <w:r>
              <w:rPr>
                <w:rStyle w:val="Text0"/>
              </w:rPr>
              <w:t>cbrt(x)</w:t>
              <w:br w:clear="none"/>
            </w:r>
            <w:r>
              <w:t xml:space="preserve"> </w:t>
            </w:r>
            <w:r>
              <w:rPr>
                <w:rStyle w:val="Text34"/>
              </w:rPr>
              <w:t>3.11+</w:t>
            </w:r>
            <w:r>
              <w:t xml:space="preserve"> Returns the cube root of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ceil</w:t>
            </w:r>
          </w:p>
        </w:tc>
        <w:tc>
          <w:tcPr>
            <w:tcW w:type="auto" w:w="0"/>
            <w:tcMar>
              <w:left w:type="dxa" w:w="200"/>
              <w:top w:type="dxa" w:w="200"/>
              <w:right w:type="dxa" w:w="200"/>
              <w:bottom w:type="dxa" w:w="200"/>
            </w:tcMar>
          </w:tcPr>
          <w:p>
            <w:pPr>
              <w:pStyle w:val="Para 002"/>
            </w:pPr>
            <w:r>
              <w:rPr>
                <w:rStyle w:val="Text0"/>
              </w:rPr>
              <w:t>ceil(</w:t>
            </w:r>
            <w:r>
              <w:rPr>
                <w:rStyle w:val="Text3"/>
              </w:rPr>
              <w:t>x</w:t>
            </w:r>
            <w:r>
              <w:rPr>
                <w:rStyle w:val="Text0"/>
              </w:rPr>
              <w:t>)</w:t>
              <w:br w:clear="none"/>
            </w:r>
            <w:r>
              <w:t xml:space="preserve"> Returns </w:t>
            </w:r>
            <w:r>
              <w:rPr>
                <w:rStyle w:val="Text0"/>
              </w:rPr>
              <w:t>float(</w:t>
            </w:r>
            <w:r>
              <w:rPr>
                <w:rStyle w:val="Text3"/>
              </w:rPr>
              <w:t>i</w:t>
            </w:r>
            <w:r>
              <w:rPr>
                <w:rStyle w:val="Text0"/>
              </w:rPr>
              <w:t>)</w:t>
            </w:r>
            <w:r>
              <w:t xml:space="preserve">, where </w:t>
            </w:r>
            <w:r>
              <w:rPr>
                <w:rStyle w:val="Text3"/>
              </w:rPr>
              <w:t>i</w:t>
            </w:r>
            <w:r>
              <w:t xml:space="preserve"> is the smallest integer such that </w:t>
            </w:r>
            <w:r>
              <w:rPr>
                <w:rStyle w:val="Text3"/>
              </w:rPr>
              <w:t>i</w:t>
            </w:r>
            <w:r>
              <w:rPr>
                <w:rStyle w:val="Text0"/>
              </w:rPr>
              <w:t>&gt;=</w:t>
            </w:r>
            <w:r>
              <w:rPr>
                <w:rStyle w:val="Text3"/>
              </w:rPr>
              <w:t>x</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comb</w:t>
            </w:r>
          </w:p>
        </w:tc>
        <w:tc>
          <w:tcPr>
            <w:tcW w:type="auto" w:w="0"/>
            <w:shd w:val="clear" w:color="auto" w:fill="EEF2F6"/>
            <w:tcMar>
              <w:left w:type="dxa" w:w="200"/>
              <w:top w:type="dxa" w:w="200"/>
              <w:right w:type="dxa" w:w="200"/>
              <w:bottom w:type="dxa" w:w="200"/>
            </w:tcMar>
          </w:tcPr>
          <w:p>
            <w:pPr>
              <w:pStyle w:val="Para 002"/>
            </w:pPr>
            <w:r>
              <w:rPr>
                <w:rStyle w:val="Text0"/>
              </w:rPr>
              <w:t>comb(</w:t>
            </w:r>
            <w:r>
              <w:rPr>
                <w:rStyle w:val="Text3"/>
              </w:rPr>
              <w:t>n</w:t>
            </w:r>
            <w:r>
              <w:rPr>
                <w:rStyle w:val="Text0"/>
              </w:rPr>
              <w:t>,</w:t>
            </w:r>
            <w:r>
              <w:t xml:space="preserve"> </w:t>
            </w:r>
            <w:r>
              <w:rPr>
                <w:rStyle w:val="Text3"/>
              </w:rPr>
              <w:t>k</w:t>
            </w:r>
            <w:r>
              <w:rPr>
                <w:rStyle w:val="Text0"/>
              </w:rPr>
              <w:t>)</w:t>
              <w:br w:clear="none"/>
            </w:r>
            <w:r>
              <w:t xml:space="preserve"> </w:t>
            </w:r>
            <w:r>
              <w:rPr>
                <w:rStyle w:val="Text34"/>
              </w:rPr>
              <w:t>3.8+</w:t>
            </w:r>
            <w:r>
              <w:t xml:space="preserve"> Returns</w:t>
            </w:r>
            <w:r>
              <w:rPr>
                <w:rStyle w:val="Text111"/>
              </w:rPr>
              <w:bookmarkStart w:id="3548" w:name="idm45965187375808"/>
              <w:t/>
              <w:bookmarkEnd w:id="3548"/>
            </w:r>
            <w:r>
              <w:t xml:space="preserve"> the number of </w:t>
            </w:r>
            <w:r>
              <w:rPr>
                <w:rStyle w:val="Text4"/>
              </w:rPr>
              <w:t>combinations</w:t>
            </w:r>
            <w:r>
              <w:t xml:space="preserve"> of </w:t>
            </w:r>
            <w:r>
              <w:rPr>
                <w:rStyle w:val="Text3"/>
              </w:rPr>
              <w:t>n</w:t>
            </w:r>
            <w:r>
              <w:t xml:space="preserve"> items taken </w:t>
            </w:r>
            <w:r>
              <w:rPr>
                <w:rStyle w:val="Text3"/>
              </w:rPr>
              <w:t>k</w:t>
            </w:r>
            <w:r>
              <w:t xml:space="preserve"> items at a time, regardless of order. When counting the number of combinations taken from three items </w:t>
            </w:r>
            <w:r>
              <w:rPr>
                <w:rStyle w:val="Text4"/>
              </w:rPr>
              <w:t>A</w:t>
            </w:r>
            <w:r>
              <w:t xml:space="preserve">, </w:t>
            </w:r>
            <w:r>
              <w:rPr>
                <w:rStyle w:val="Text4"/>
              </w:rPr>
              <w:t>B</w:t>
            </w:r>
            <w:r>
              <w:t xml:space="preserve">, and </w:t>
            </w:r>
            <w:r>
              <w:rPr>
                <w:rStyle w:val="Text4"/>
              </w:rPr>
              <w:t>C</w:t>
            </w:r>
            <w:r>
              <w:t xml:space="preserve">, two at a time, </w:t>
            </w:r>
            <w:r>
              <w:rPr>
                <w:rStyle w:val="Text0"/>
              </w:rPr>
              <w:t>comb(3, 2)</w:t>
            </w:r>
            <w:r>
              <w:t xml:space="preserve"> returns </w:t>
            </w:r>
            <w:r>
              <w:rPr>
                <w:rStyle w:val="Text0"/>
              </w:rPr>
              <w:t>3</w:t>
            </w:r>
            <w:r>
              <w:t xml:space="preserve"> because, for example, </w:t>
            </w:r>
            <w:r>
              <w:rPr>
                <w:rStyle w:val="Text4"/>
              </w:rPr>
              <w:t>A</w:t>
            </w:r>
            <w:r>
              <w:t>-</w:t>
            </w:r>
            <w:r>
              <w:rPr>
                <w:rStyle w:val="Text4"/>
              </w:rPr>
              <w:t>B</w:t>
            </w:r>
            <w:r>
              <w:t xml:space="preserve"> and </w:t>
            </w:r>
            <w:r>
              <w:rPr>
                <w:rStyle w:val="Text4"/>
              </w:rPr>
              <w:t>B</w:t>
            </w:r>
            <w:r>
              <w:t>-</w:t>
            </w:r>
            <w:r>
              <w:rPr>
                <w:rStyle w:val="Text4"/>
              </w:rPr>
              <w:t>A</w:t>
            </w:r>
            <w:r>
              <w:t xml:space="preserve"> are considered the </w:t>
            </w:r>
            <w:r>
              <w:rPr>
                <w:rStyle w:val="Text4"/>
              </w:rPr>
              <w:t>same</w:t>
            </w:r>
            <w:r>
              <w:t xml:space="preserve"> combination (contrast this with </w:t>
            </w:r>
            <w:r>
              <w:rPr>
                <w:rStyle w:val="Text0"/>
              </w:rPr>
              <w:t>perm</w:t>
            </w:r>
            <w:r>
              <w:t xml:space="preserve">, later in this table). Raises </w:t>
            </w:r>
            <w:r>
              <w:rPr>
                <w:rStyle w:val="Text0"/>
              </w:rPr>
              <w:t>ValueError</w:t>
            </w:r>
            <w:r>
              <w:t xml:space="preserve"> when </w:t>
            </w:r>
            <w:r>
              <w:rPr>
                <w:rStyle w:val="Text3"/>
              </w:rPr>
              <w:t>k</w:t>
            </w:r>
            <w:r>
              <w:t xml:space="preserve"> or </w:t>
            </w:r>
            <w:r>
              <w:rPr>
                <w:rStyle w:val="Text3"/>
              </w:rPr>
              <w:t>n</w:t>
            </w:r>
            <w:r>
              <w:t xml:space="preserve"> is negative; raises </w:t>
            </w:r>
            <w:r>
              <w:rPr>
                <w:rStyle w:val="Text0"/>
              </w:rPr>
              <w:t>TypeError</w:t>
            </w:r>
            <w:r>
              <w:t xml:space="preserve"> when </w:t>
            </w:r>
            <w:r>
              <w:rPr>
                <w:rStyle w:val="Text3"/>
              </w:rPr>
              <w:t>k</w:t>
            </w:r>
            <w:r>
              <w:t xml:space="preserve"> or </w:t>
            </w:r>
            <w:r>
              <w:rPr>
                <w:rStyle w:val="Text3"/>
              </w:rPr>
              <w:t>n</w:t>
            </w:r>
            <w:r>
              <w:t xml:space="preserve"> is not an </w:t>
            </w:r>
            <w:r>
              <w:rPr>
                <w:rStyle w:val="Text0"/>
              </w:rPr>
              <w:t>int</w:t>
            </w:r>
            <w:r>
              <w:t xml:space="preserve">. When </w:t>
            </w:r>
            <w:r>
              <w:rPr>
                <w:rStyle w:val="Text3"/>
              </w:rPr>
              <w:t>k</w:t>
            </w:r>
            <w:r>
              <w:rPr>
                <w:rStyle w:val="Text0"/>
              </w:rPr>
              <w:t>&gt;</w:t>
            </w:r>
            <w:r>
              <w:rPr>
                <w:rStyle w:val="Text3"/>
              </w:rPr>
              <w:t>n</w:t>
            </w:r>
            <w:r>
              <w:t xml:space="preserve">, just returns </w:t>
            </w:r>
            <w:r>
              <w:rPr>
                <w:rStyle w:val="Text0"/>
              </w:rPr>
              <w:t>0</w:t>
            </w:r>
            <w:r>
              <w:t>, raising no exceptions.</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copysign</w:t>
            </w:r>
          </w:p>
        </w:tc>
        <w:tc>
          <w:tcPr>
            <w:tcW w:type="auto" w:w="0"/>
            <w:tcMar>
              <w:left w:type="dxa" w:w="200"/>
              <w:top w:type="dxa" w:w="200"/>
              <w:right w:type="dxa" w:w="200"/>
              <w:bottom w:type="dxa" w:w="200"/>
            </w:tcMar>
          </w:tcPr>
          <w:p>
            <w:pPr>
              <w:pStyle w:val="Para 002"/>
            </w:pPr>
            <w:r>
              <w:rPr>
                <w:rStyle w:val="Text0"/>
              </w:rPr>
              <w:t>copysign(</w:t>
            </w:r>
            <w:r>
              <w:rPr>
                <w:rStyle w:val="Text3"/>
              </w:rPr>
              <w:t>x</w:t>
            </w:r>
            <w:r>
              <w:rPr>
                <w:rStyle w:val="Text0"/>
              </w:rPr>
              <w:t>,</w:t>
            </w:r>
            <w:r>
              <w:t xml:space="preserve"> </w:t>
            </w:r>
            <w:r>
              <w:rPr>
                <w:rStyle w:val="Text3"/>
              </w:rPr>
              <w:t>y</w:t>
            </w:r>
            <w:r>
              <w:rPr>
                <w:rStyle w:val="Text0"/>
              </w:rPr>
              <w:t>)</w:t>
              <w:br w:clear="none"/>
            </w:r>
            <w:r>
              <w:t xml:space="preserve"> Returns</w:t>
            </w:r>
            <w:r>
              <w:rPr>
                <w:rStyle w:val="Text111"/>
              </w:rPr>
              <w:bookmarkStart w:id="3549" w:name="idm45965187353248"/>
              <w:t/>
              <w:bookmarkEnd w:id="3549"/>
            </w:r>
            <w:r>
              <w:t xml:space="preserve"> the absolute value of </w:t>
            </w:r>
            <w:r>
              <w:rPr>
                <w:rStyle w:val="Text3"/>
              </w:rPr>
              <w:t>x</w:t>
            </w:r>
            <w:r>
              <w:t xml:space="preserve"> with the sign of </w:t>
            </w:r>
            <w:r>
              <w:rPr>
                <w:rStyle w:val="Text3"/>
              </w:rPr>
              <w:t>y</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degrees</w:t>
            </w:r>
          </w:p>
        </w:tc>
        <w:tc>
          <w:tcPr>
            <w:tcW w:type="auto" w:w="0"/>
            <w:shd w:val="clear" w:color="auto" w:fill="EEF2F6"/>
            <w:tcMar>
              <w:left w:type="dxa" w:w="200"/>
              <w:top w:type="dxa" w:w="200"/>
              <w:right w:type="dxa" w:w="200"/>
              <w:bottom w:type="dxa" w:w="200"/>
            </w:tcMar>
          </w:tcPr>
          <w:p>
            <w:pPr>
              <w:pStyle w:val="Para 002"/>
            </w:pPr>
            <w:r>
              <w:rPr>
                <w:rStyle w:val="Text0"/>
              </w:rPr>
              <w:t>degrees(</w:t>
            </w:r>
            <w:r>
              <w:rPr>
                <w:rStyle w:val="Text3"/>
              </w:rPr>
              <w:t>x</w:t>
            </w:r>
            <w:r>
              <w:rPr>
                <w:rStyle w:val="Text0"/>
              </w:rPr>
              <w:t>)</w:t>
              <w:br w:clear="none"/>
            </w:r>
            <w:r>
              <w:t xml:space="preserve"> Returns the degree measure of the angle </w:t>
            </w:r>
            <w:r>
              <w:rPr>
                <w:rStyle w:val="Text3"/>
              </w:rPr>
              <w:t>x</w:t>
            </w:r>
            <w:r>
              <w:t xml:space="preserve"> given in radians.</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dist</w:t>
            </w:r>
          </w:p>
        </w:tc>
        <w:tc>
          <w:tcPr>
            <w:tcW w:type="auto" w:w="0"/>
            <w:tcMar>
              <w:left w:type="dxa" w:w="200"/>
              <w:top w:type="dxa" w:w="200"/>
              <w:right w:type="dxa" w:w="200"/>
              <w:bottom w:type="dxa" w:w="200"/>
            </w:tcMar>
          </w:tcPr>
          <w:p>
            <w:pPr>
              <w:pStyle w:val="Para 002"/>
            </w:pPr>
            <w:r>
              <w:rPr>
                <w:rStyle w:val="Text0"/>
              </w:rPr>
              <w:t>dist(</w:t>
            </w:r>
            <w:r>
              <w:rPr>
                <w:rStyle w:val="Text3"/>
              </w:rPr>
              <w:t>pt0</w:t>
            </w:r>
            <w:r>
              <w:rPr>
                <w:rStyle w:val="Text0"/>
              </w:rPr>
              <w:t>,</w:t>
            </w:r>
            <w:r>
              <w:t xml:space="preserve"> </w:t>
            </w:r>
            <w:r>
              <w:rPr>
                <w:rStyle w:val="Text3"/>
              </w:rPr>
              <w:t>pt1</w:t>
            </w:r>
            <w:r>
              <w:rPr>
                <w:rStyle w:val="Text0"/>
              </w:rPr>
              <w:t>)</w:t>
              <w:br w:clear="none"/>
            </w:r>
            <w:r>
              <w:t xml:space="preserve"> </w:t>
            </w:r>
            <w:r>
              <w:rPr>
                <w:rStyle w:val="Text34"/>
              </w:rPr>
              <w:t>3.8+</w:t>
            </w:r>
            <w:r>
              <w:t xml:space="preserve"> Returns</w:t>
            </w:r>
            <w:r>
              <w:rPr>
                <w:rStyle w:val="Text111"/>
              </w:rPr>
              <w:bookmarkStart w:id="3550" w:name="idm45965187339184"/>
              <w:t/>
              <w:bookmarkEnd w:id="3550"/>
            </w:r>
            <w:r>
              <w:t xml:space="preserve"> the Euclidean distance between two </w:t>
            </w:r>
            <w:r>
              <w:rPr>
                <w:rStyle w:val="Text4"/>
              </w:rPr>
              <w:t>n</w:t>
            </w:r>
            <w:r>
              <w:t xml:space="preserve">-dimensional points, where each point is represented as a sequence of values (coordinates). Raises </w:t>
            </w:r>
            <w:r>
              <w:rPr>
                <w:rStyle w:val="Text0"/>
              </w:rPr>
              <w:t>ValueError</w:t>
            </w:r>
            <w:r>
              <w:t xml:space="preserve"> if </w:t>
            </w:r>
            <w:r>
              <w:rPr>
                <w:rStyle w:val="Text3"/>
              </w:rPr>
              <w:t>pt0</w:t>
            </w:r>
            <w:r>
              <w:t xml:space="preserve"> and </w:t>
            </w:r>
            <w:r>
              <w:rPr>
                <w:rStyle w:val="Text3"/>
              </w:rPr>
              <w:t>pt1</w:t>
            </w:r>
            <w:r>
              <w:t xml:space="preserve"> are sequences of different lengths.</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e</w:t>
            </w:r>
          </w:p>
        </w:tc>
        <w:tc>
          <w:tcPr>
            <w:tcW w:type="auto" w:w="0"/>
            <w:shd w:val="clear" w:color="auto" w:fill="EEF2F6"/>
            <w:tcMar>
              <w:left w:type="dxa" w:w="200"/>
              <w:top w:type="dxa" w:w="200"/>
              <w:right w:type="dxa" w:w="200"/>
              <w:bottom w:type="dxa" w:w="200"/>
            </w:tcMar>
          </w:tcPr>
          <w:p>
            <w:pPr>
              <w:pStyle w:val="Para 002"/>
            </w:pPr>
            <w:r>
              <w:t xml:space="preserve">The mathematical constant </w:t>
            </w:r>
            <w:r>
              <w:rPr>
                <w:rStyle w:val="Text3"/>
              </w:rPr>
              <w:t>e</w:t>
            </w:r>
            <w:r>
              <w:t xml:space="preserve"> (2.718281828459045).</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erf</w:t>
            </w:r>
          </w:p>
        </w:tc>
        <w:tc>
          <w:tcPr>
            <w:tcW w:type="auto" w:w="0"/>
            <w:tcMar>
              <w:left w:type="dxa" w:w="200"/>
              <w:top w:type="dxa" w:w="200"/>
              <w:right w:type="dxa" w:w="200"/>
              <w:bottom w:type="dxa" w:w="200"/>
            </w:tcMar>
          </w:tcPr>
          <w:p>
            <w:pPr>
              <w:pStyle w:val="Para 002"/>
            </w:pPr>
            <w:r>
              <w:rPr>
                <w:rStyle w:val="Text0"/>
              </w:rPr>
              <w:t>erf(</w:t>
            </w:r>
            <w:r>
              <w:rPr>
                <w:rStyle w:val="Text3"/>
              </w:rPr>
              <w:t>x</w:t>
            </w:r>
            <w:r>
              <w:rPr>
                <w:rStyle w:val="Text0"/>
              </w:rPr>
              <w:t>)</w:t>
              <w:br w:clear="none"/>
            </w:r>
            <w:r>
              <w:t xml:space="preserve"> Returns the error function of </w:t>
            </w:r>
            <w:r>
              <w:rPr>
                <w:rStyle w:val="Text3"/>
              </w:rPr>
              <w:t>x</w:t>
            </w:r>
            <w:r>
              <w:t xml:space="preserve"> as used in statistical calculations.</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erfc</w:t>
            </w:r>
          </w:p>
        </w:tc>
        <w:tc>
          <w:tcPr>
            <w:tcW w:type="auto" w:w="0"/>
            <w:shd w:val="clear" w:color="auto" w:fill="EEF2F6"/>
            <w:tcMar>
              <w:left w:type="dxa" w:w="200"/>
              <w:top w:type="dxa" w:w="200"/>
              <w:right w:type="dxa" w:w="200"/>
              <w:bottom w:type="dxa" w:w="200"/>
            </w:tcMar>
          </w:tcPr>
          <w:p>
            <w:pPr>
              <w:pStyle w:val="Para 002"/>
            </w:pPr>
            <w:r>
              <w:rPr>
                <w:rStyle w:val="Text0"/>
              </w:rPr>
              <w:t>erfc(</w:t>
            </w:r>
            <w:r>
              <w:rPr>
                <w:rStyle w:val="Text3"/>
              </w:rPr>
              <w:t>x</w:t>
            </w:r>
            <w:r>
              <w:rPr>
                <w:rStyle w:val="Text0"/>
              </w:rPr>
              <w:t>)</w:t>
              <w:br w:clear="none"/>
            </w:r>
            <w:r>
              <w:t xml:space="preserve"> Returns the complementary error function at </w:t>
            </w:r>
            <w:r>
              <w:rPr>
                <w:rStyle w:val="Text3"/>
              </w:rPr>
              <w:t>x</w:t>
            </w:r>
            <w:r>
              <w:t xml:space="preserve">, defined as </w:t>
            </w:r>
            <w:r>
              <w:rPr>
                <w:rStyle w:val="Text0"/>
              </w:rPr>
              <w:t>1.0 - erf(</w:t>
            </w:r>
            <w:r>
              <w:rPr>
                <w:rStyle w:val="Text3"/>
              </w:rPr>
              <w:t>x</w:t>
            </w:r>
            <w:r>
              <w:rPr>
                <w:rStyle w:val="Text0"/>
              </w:rPr>
              <w:t>)</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exp</w:t>
            </w:r>
          </w:p>
        </w:tc>
        <w:tc>
          <w:tcPr>
            <w:tcW w:type="auto" w:w="0"/>
            <w:tcMar>
              <w:left w:type="dxa" w:w="200"/>
              <w:top w:type="dxa" w:w="200"/>
              <w:right w:type="dxa" w:w="200"/>
              <w:bottom w:type="dxa" w:w="200"/>
            </w:tcMar>
          </w:tcPr>
          <w:p>
            <w:pPr>
              <w:pStyle w:val="Para 002"/>
            </w:pPr>
            <w:r>
              <w:rPr>
                <w:rStyle w:val="Text0"/>
              </w:rPr>
              <w:t>exp(</w:t>
            </w:r>
            <w:r>
              <w:rPr>
                <w:rStyle w:val="Text3"/>
              </w:rPr>
              <w:t>x</w:t>
            </w:r>
            <w:r>
              <w:rPr>
                <w:rStyle w:val="Text0"/>
              </w:rPr>
              <w:t>)</w:t>
              <w:br w:clear="none"/>
            </w:r>
            <w:r>
              <w:t xml:space="preserve"> Returns</w:t>
            </w:r>
            <w:r>
              <w:rPr>
                <w:rStyle w:val="Text111"/>
              </w:rPr>
              <w:bookmarkStart w:id="3551" w:name="idm45965187316192"/>
              <w:t/>
              <w:bookmarkEnd w:id="3551"/>
            </w:r>
            <w:r>
              <w:t xml:space="preserve"> </w:t>
            </w:r>
            <w:r>
              <w:rPr>
                <w:rStyle w:val="Text0"/>
              </w:rPr>
              <w:t>eˣ</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exp2</w:t>
            </w:r>
          </w:p>
        </w:tc>
        <w:tc>
          <w:tcPr>
            <w:tcW w:type="auto" w:w="0"/>
            <w:shd w:val="clear" w:color="auto" w:fill="EEF2F6"/>
            <w:tcMar>
              <w:left w:type="dxa" w:w="200"/>
              <w:top w:type="dxa" w:w="200"/>
              <w:right w:type="dxa" w:w="200"/>
              <w:bottom w:type="dxa" w:w="200"/>
            </w:tcMar>
          </w:tcPr>
          <w:p>
            <w:pPr>
              <w:pStyle w:val="Para 002"/>
            </w:pPr>
            <w:r>
              <w:rPr>
                <w:rStyle w:val="Text0"/>
              </w:rPr>
              <w:t>exp2(</w:t>
            </w:r>
            <w:r>
              <w:rPr>
                <w:rStyle w:val="Text3"/>
              </w:rPr>
              <w:t>x</w:t>
            </w:r>
            <w:r>
              <w:rPr>
                <w:rStyle w:val="Text0"/>
              </w:rPr>
              <w:t>)</w:t>
              <w:br w:clear="none"/>
            </w:r>
            <w:r>
              <w:t xml:space="preserve"> </w:t>
            </w:r>
            <w:r>
              <w:rPr>
                <w:rStyle w:val="Text34"/>
              </w:rPr>
              <w:t>3.11+</w:t>
            </w:r>
            <w:r>
              <w:t xml:space="preserve"> Returns </w:t>
            </w:r>
            <w:r>
              <w:rPr>
                <w:rStyle w:val="Text0"/>
              </w:rPr>
              <w:t>2ˣ</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expm1</w:t>
            </w:r>
          </w:p>
        </w:tc>
        <w:tc>
          <w:tcPr>
            <w:tcW w:type="auto" w:w="0"/>
            <w:tcMar>
              <w:left w:type="dxa" w:w="200"/>
              <w:top w:type="dxa" w:w="200"/>
              <w:right w:type="dxa" w:w="200"/>
              <w:bottom w:type="dxa" w:w="200"/>
            </w:tcMar>
          </w:tcPr>
          <w:p>
            <w:pPr>
              <w:pStyle w:val="Para 002"/>
            </w:pPr>
            <w:r>
              <w:rPr>
                <w:rStyle w:val="Text0"/>
              </w:rPr>
              <w:t>expm1(</w:t>
            </w:r>
            <w:r>
              <w:rPr>
                <w:rStyle w:val="Text3"/>
              </w:rPr>
              <w:t>x</w:t>
            </w:r>
            <w:r>
              <w:rPr>
                <w:rStyle w:val="Text0"/>
              </w:rPr>
              <w:t>)</w:t>
              <w:br w:clear="none"/>
            </w:r>
            <w:r>
              <w:t xml:space="preserve"> Returns </w:t>
            </w:r>
            <w:r>
              <w:rPr>
                <w:rStyle w:val="Text0"/>
              </w:rPr>
              <w:t>eˣ - 1</w:t>
            </w:r>
            <w:r>
              <w:t xml:space="preserve">. Inverse of </w:t>
            </w:r>
            <w:r>
              <w:rPr>
                <w:rStyle w:val="Text0"/>
              </w:rPr>
              <w:t>log1p</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fabs</w:t>
            </w:r>
          </w:p>
        </w:tc>
        <w:tc>
          <w:tcPr>
            <w:tcW w:type="auto" w:w="0"/>
            <w:shd w:val="clear" w:color="auto" w:fill="EEF2F6"/>
            <w:tcMar>
              <w:left w:type="dxa" w:w="200"/>
              <w:top w:type="dxa" w:w="200"/>
              <w:right w:type="dxa" w:w="200"/>
              <w:bottom w:type="dxa" w:w="200"/>
            </w:tcMar>
          </w:tcPr>
          <w:p>
            <w:pPr>
              <w:pStyle w:val="Para 002"/>
            </w:pPr>
            <w:r>
              <w:rPr>
                <w:rStyle w:val="Text0"/>
              </w:rPr>
              <w:t>fabs(</w:t>
            </w:r>
            <w:r>
              <w:rPr>
                <w:rStyle w:val="Text3"/>
              </w:rPr>
              <w:t>x</w:t>
            </w:r>
            <w:r>
              <w:rPr>
                <w:rStyle w:val="Text0"/>
              </w:rPr>
              <w:t>)</w:t>
              <w:br w:clear="none"/>
            </w:r>
            <w:r>
              <w:t xml:space="preserve"> Returns the absolute value of </w:t>
            </w:r>
            <w:r>
              <w:rPr>
                <w:rStyle w:val="Text3"/>
              </w:rPr>
              <w:t>x</w:t>
            </w:r>
            <w:r>
              <w:t xml:space="preserve">. Always returns a </w:t>
            </w:r>
            <w:r>
              <w:rPr>
                <w:rStyle w:val="Text0"/>
              </w:rPr>
              <w:t>float</w:t>
            </w:r>
            <w:r>
              <w:t xml:space="preserve">, even if </w:t>
            </w:r>
            <w:r>
              <w:rPr>
                <w:rStyle w:val="Text3"/>
              </w:rPr>
              <w:t>x</w:t>
            </w:r>
            <w:r>
              <w:t xml:space="preserve"> is an </w:t>
            </w:r>
            <w:r>
              <w:rPr>
                <w:rStyle w:val="Text0"/>
              </w:rPr>
              <w:t>int</w:t>
            </w:r>
            <w:r>
              <w:t xml:space="preserve"> (unlike the built-in </w:t>
            </w:r>
            <w:r>
              <w:rPr>
                <w:rStyle w:val="Text0"/>
              </w:rPr>
              <w:t>abs</w:t>
            </w:r>
            <w:r>
              <w:t xml:space="preserve"> function).</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factorial</w:t>
            </w:r>
          </w:p>
        </w:tc>
        <w:tc>
          <w:tcPr>
            <w:tcW w:type="auto" w:w="0"/>
            <w:tcMar>
              <w:left w:type="dxa" w:w="200"/>
              <w:top w:type="dxa" w:w="200"/>
              <w:right w:type="dxa" w:w="200"/>
              <w:bottom w:type="dxa" w:w="200"/>
            </w:tcMar>
          </w:tcPr>
          <w:p>
            <w:pPr>
              <w:pStyle w:val="Para 002"/>
            </w:pPr>
            <w:r>
              <w:rPr>
                <w:rStyle w:val="Text0"/>
              </w:rPr>
              <w:t>factorial(</w:t>
            </w:r>
            <w:r>
              <w:rPr>
                <w:rStyle w:val="Text3"/>
              </w:rPr>
              <w:t>x</w:t>
            </w:r>
            <w:r>
              <w:rPr>
                <w:rStyle w:val="Text0"/>
              </w:rPr>
              <w:t>)</w:t>
              <w:br w:clear="none"/>
            </w:r>
            <w:r>
              <w:t xml:space="preserve"> Returns the factorial of </w:t>
            </w:r>
            <w:r>
              <w:rPr>
                <w:rStyle w:val="Text3"/>
              </w:rPr>
              <w:t>x</w:t>
            </w:r>
            <w:r>
              <w:t xml:space="preserve">. Raises </w:t>
            </w:r>
            <w:r>
              <w:rPr>
                <w:rStyle w:val="Text0"/>
              </w:rPr>
              <w:t>ValueError</w:t>
            </w:r>
            <w:r>
              <w:t xml:space="preserve"> when </w:t>
            </w:r>
            <w:r>
              <w:rPr>
                <w:rStyle w:val="Text3"/>
              </w:rPr>
              <w:t>x</w:t>
            </w:r>
            <w:r>
              <w:t xml:space="preserve"> is negative, and </w:t>
            </w:r>
            <w:r>
              <w:rPr>
                <w:rStyle w:val="Text0"/>
              </w:rPr>
              <w:t>TypeError</w:t>
            </w:r>
            <w:r>
              <w:t xml:space="preserve"> when </w:t>
            </w:r>
            <w:r>
              <w:rPr>
                <w:rStyle w:val="Text3"/>
              </w:rPr>
              <w:t>x</w:t>
            </w:r>
            <w:r>
              <w:t xml:space="preserve"> is not integral.</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floor</w:t>
            </w:r>
          </w:p>
        </w:tc>
        <w:tc>
          <w:tcPr>
            <w:tcW w:type="auto" w:w="0"/>
            <w:shd w:val="clear" w:color="auto" w:fill="EEF2F6"/>
            <w:tcMar>
              <w:left w:type="dxa" w:w="200"/>
              <w:top w:type="dxa" w:w="200"/>
              <w:right w:type="dxa" w:w="200"/>
              <w:bottom w:type="dxa" w:w="200"/>
            </w:tcMar>
          </w:tcPr>
          <w:p>
            <w:pPr>
              <w:pStyle w:val="Para 002"/>
            </w:pPr>
            <w:r>
              <w:rPr>
                <w:rStyle w:val="Text0"/>
              </w:rPr>
              <w:t>floor(</w:t>
            </w:r>
            <w:r>
              <w:rPr>
                <w:rStyle w:val="Text3"/>
              </w:rPr>
              <w:t>x</w:t>
            </w:r>
            <w:r>
              <w:rPr>
                <w:rStyle w:val="Text0"/>
              </w:rPr>
              <w:t>)</w:t>
              <w:br w:clear="none"/>
            </w:r>
            <w:r>
              <w:t xml:space="preserve"> Returns </w:t>
            </w:r>
            <w:r>
              <w:rPr>
                <w:rStyle w:val="Text0"/>
              </w:rPr>
              <w:t>float(</w:t>
            </w:r>
            <w:r>
              <w:rPr>
                <w:rStyle w:val="Text3"/>
              </w:rPr>
              <w:t>i</w:t>
            </w:r>
            <w:r>
              <w:rPr>
                <w:rStyle w:val="Text0"/>
              </w:rPr>
              <w:t>)</w:t>
            </w:r>
            <w:r>
              <w:t xml:space="preserve">, where </w:t>
            </w:r>
            <w:r>
              <w:rPr>
                <w:rStyle w:val="Text3"/>
              </w:rPr>
              <w:t>i</w:t>
            </w:r>
            <w:r>
              <w:t xml:space="preserve"> is the greatest integer such that </w:t>
            </w:r>
            <w:r>
              <w:rPr>
                <w:rStyle w:val="Text3"/>
              </w:rPr>
              <w:t>i</w:t>
            </w:r>
            <w:r>
              <w:rPr>
                <w:rStyle w:val="Text0"/>
              </w:rPr>
              <w:t>&lt;=</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fmod</w:t>
            </w:r>
          </w:p>
        </w:tc>
        <w:tc>
          <w:tcPr>
            <w:tcW w:type="auto" w:w="0"/>
            <w:tcMar>
              <w:left w:type="dxa" w:w="200"/>
              <w:top w:type="dxa" w:w="200"/>
              <w:right w:type="dxa" w:w="200"/>
              <w:bottom w:type="dxa" w:w="200"/>
            </w:tcMar>
          </w:tcPr>
          <w:p>
            <w:pPr>
              <w:pStyle w:val="Para 002"/>
            </w:pPr>
            <w:r>
              <w:rPr>
                <w:rStyle w:val="Text0"/>
              </w:rPr>
              <w:t>fmod(</w:t>
            </w:r>
            <w:r>
              <w:rPr>
                <w:rStyle w:val="Text3"/>
              </w:rPr>
              <w:t>x, y</w:t>
            </w:r>
            <w:r>
              <w:rPr>
                <w:rStyle w:val="Text0"/>
              </w:rPr>
              <w:t>)</w:t>
              <w:br w:clear="none"/>
            </w:r>
            <w:r>
              <w:t xml:space="preserve"> Returns the </w:t>
            </w:r>
            <w:r>
              <w:rPr>
                <w:rStyle w:val="Text0"/>
              </w:rPr>
              <w:t>float</w:t>
            </w:r>
            <w:r>
              <w:t xml:space="preserve"> </w:t>
            </w:r>
            <w:r>
              <w:rPr>
                <w:rStyle w:val="Text3"/>
              </w:rPr>
              <w:t>r</w:t>
            </w:r>
            <w:r>
              <w:t xml:space="preserve">, with the same sign as </w:t>
            </w:r>
            <w:r>
              <w:rPr>
                <w:rStyle w:val="Text3"/>
              </w:rPr>
              <w:t>x</w:t>
            </w:r>
            <w:r>
              <w:t xml:space="preserve">, such that </w:t>
            </w:r>
            <w:r>
              <w:rPr>
                <w:rStyle w:val="Text3"/>
              </w:rPr>
              <w:t>r</w:t>
            </w:r>
            <w:r>
              <w:rPr>
                <w:rStyle w:val="Text0"/>
              </w:rPr>
              <w:t>==</w:t>
            </w:r>
            <w:r>
              <w:rPr>
                <w:rStyle w:val="Text3"/>
              </w:rPr>
              <w:t>x</w:t>
            </w:r>
            <w:r>
              <w:rPr>
                <w:rStyle w:val="Text0"/>
              </w:rPr>
              <w:t>-</w:t>
            </w:r>
            <w:r>
              <w:rPr>
                <w:rStyle w:val="Text3"/>
              </w:rPr>
              <w:t>n</w:t>
            </w:r>
            <w:r>
              <w:rPr>
                <w:rStyle w:val="Text0"/>
              </w:rPr>
              <w:t>*</w:t>
            </w:r>
            <w:r>
              <w:rPr>
                <w:rStyle w:val="Text3"/>
              </w:rPr>
              <w:t>y</w:t>
            </w:r>
            <w:r>
              <w:t xml:space="preserve"> for some integer </w:t>
            </w:r>
            <w:r>
              <w:rPr>
                <w:rStyle w:val="Text3"/>
              </w:rPr>
              <w:t>n</w:t>
            </w:r>
            <w:r>
              <w:t xml:space="preserve">, and </w:t>
            </w:r>
            <w:r>
              <w:rPr>
                <w:rStyle w:val="Text0"/>
              </w:rPr>
              <w:t>abs(</w:t>
            </w:r>
            <w:r>
              <w:rPr>
                <w:rStyle w:val="Text3"/>
              </w:rPr>
              <w:t>r</w:t>
            </w:r>
            <w:r>
              <w:rPr>
                <w:rStyle w:val="Text0"/>
              </w:rPr>
              <w:t>)&lt;abs(</w:t>
            </w:r>
            <w:r>
              <w:rPr>
                <w:rStyle w:val="Text3"/>
              </w:rPr>
              <w:t>y</w:t>
            </w:r>
            <w:r>
              <w:rPr>
                <w:rStyle w:val="Text0"/>
              </w:rPr>
              <w:t>)</w:t>
            </w:r>
            <w:r>
              <w:t xml:space="preserve">. Like </w:t>
            </w:r>
            <w:r>
              <w:rPr>
                <w:rStyle w:val="Text3"/>
              </w:rPr>
              <w:t>x</w:t>
            </w:r>
            <w:r>
              <w:rPr>
                <w:rStyle w:val="Text0"/>
              </w:rPr>
              <w:t>%</w:t>
            </w:r>
            <w:r>
              <w:rPr>
                <w:rStyle w:val="Text3"/>
              </w:rPr>
              <w:t>y</w:t>
            </w:r>
            <w:r>
              <w:t xml:space="preserve">, except that, when </w:t>
            </w:r>
            <w:r>
              <w:rPr>
                <w:rStyle w:val="Text3"/>
              </w:rPr>
              <w:t>x</w:t>
            </w:r>
            <w:r>
              <w:t xml:space="preserve"> and </w:t>
            </w:r>
            <w:r>
              <w:rPr>
                <w:rStyle w:val="Text3"/>
              </w:rPr>
              <w:t>y</w:t>
            </w:r>
            <w:r>
              <w:t xml:space="preserve"> differ in sign, </w:t>
            </w:r>
            <w:r>
              <w:rPr>
                <w:rStyle w:val="Text3"/>
              </w:rPr>
              <w:t>x%y</w:t>
            </w:r>
            <w:r>
              <w:t xml:space="preserve"> has the same sign as </w:t>
            </w:r>
            <w:r>
              <w:rPr>
                <w:rStyle w:val="Text3"/>
              </w:rPr>
              <w:t>y</w:t>
            </w:r>
            <w:r>
              <w:t xml:space="preserve">, not the same sign as </w:t>
            </w:r>
            <w:r>
              <w:rPr>
                <w:rStyle w:val="Text3"/>
              </w:rPr>
              <w:t>x</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frexp</w:t>
            </w:r>
          </w:p>
        </w:tc>
        <w:tc>
          <w:tcPr>
            <w:tcW w:type="auto" w:w="0"/>
            <w:shd w:val="clear" w:color="auto" w:fill="EEF2F6"/>
            <w:tcMar>
              <w:left w:type="dxa" w:w="200"/>
              <w:top w:type="dxa" w:w="200"/>
              <w:right w:type="dxa" w:w="200"/>
              <w:bottom w:type="dxa" w:w="200"/>
            </w:tcMar>
          </w:tcPr>
          <w:p>
            <w:pPr>
              <w:pStyle w:val="Para 002"/>
            </w:pPr>
            <w:r>
              <w:rPr>
                <w:rStyle w:val="Text0"/>
              </w:rPr>
              <w:t>frexp(</w:t>
            </w:r>
            <w:r>
              <w:rPr>
                <w:rStyle w:val="Text3"/>
              </w:rPr>
              <w:t>x</w:t>
            </w:r>
            <w:r>
              <w:rPr>
                <w:rStyle w:val="Text0"/>
              </w:rPr>
              <w:t>)</w:t>
              <w:br w:clear="none"/>
            </w:r>
            <w:r>
              <w:t xml:space="preserve"> Returns a pair </w:t>
            </w:r>
            <w:r>
              <w:rPr>
                <w:rStyle w:val="Text0"/>
              </w:rPr>
              <w:t>(</w:t>
            </w:r>
            <w:r>
              <w:rPr>
                <w:rStyle w:val="Text3"/>
              </w:rPr>
              <w:t>m</w:t>
            </w:r>
            <w:r>
              <w:rPr>
                <w:rStyle w:val="Text0"/>
              </w:rPr>
              <w:t>,</w:t>
            </w:r>
            <w:r>
              <w:t xml:space="preserve"> </w:t>
            </w:r>
            <w:r>
              <w:rPr>
                <w:rStyle w:val="Text3"/>
              </w:rPr>
              <w:t>e</w:t>
            </w:r>
            <w:r>
              <w:rPr>
                <w:rStyle w:val="Text0"/>
              </w:rPr>
              <w:t>)</w:t>
            </w:r>
            <w:r>
              <w:t xml:space="preserve"> where </w:t>
            </w:r>
            <w:r>
              <w:rPr>
                <w:rStyle w:val="Text3"/>
              </w:rPr>
              <w:t>m</w:t>
            </w:r>
            <w:r>
              <w:t xml:space="preserve"> is a floating-point number and </w:t>
            </w:r>
            <w:r>
              <w:rPr>
                <w:rStyle w:val="Text3"/>
              </w:rPr>
              <w:t>e</w:t>
            </w:r>
            <w:r>
              <w:t xml:space="preserve"> is an integer such that </w:t>
            </w:r>
            <w:r>
              <w:rPr>
                <w:rStyle w:val="Text3"/>
              </w:rPr>
              <w:t>x</w:t>
            </w:r>
            <w:r>
              <w:rPr>
                <w:rStyle w:val="Text0"/>
              </w:rPr>
              <w:t>==</w:t>
            </w:r>
            <w:r>
              <w:rPr>
                <w:rStyle w:val="Text3"/>
              </w:rPr>
              <w:t>m</w:t>
            </w:r>
            <w:r>
              <w:rPr>
                <w:rStyle w:val="Text0"/>
              </w:rPr>
              <w:t>*(2**e)</w:t>
            </w:r>
            <w:r>
              <w:t xml:space="preserve"> and </w:t>
            </w:r>
            <w:r>
              <w:rPr>
                <w:rStyle w:val="Text0"/>
              </w:rPr>
              <w:t>0.5&lt;=abs(</w:t>
            </w:r>
            <w:r>
              <w:rPr>
                <w:rStyle w:val="Text3"/>
              </w:rPr>
              <w:t>m</w:t>
            </w:r>
            <w:r>
              <w:rPr>
                <w:rStyle w:val="Text0"/>
              </w:rPr>
              <w:t>)&lt;1</w:t>
            </w:r>
            <w:r>
              <w:t>,</w:t>
            </w:r>
            <w:hyperlink w:anchor="a_Formally__m_is_the_significand">
              <w:r>
                <w:rPr>
                  <w:rStyle w:val="Text41"/>
                </w:rPr>
                <w:bookmarkStart w:id="3552" w:name="a_15"/>
                <w:t>a</w:t>
                <w:bookmarkEnd w:id="3552"/>
              </w:r>
            </w:hyperlink>
            <w:r>
              <w:t xml:space="preserve"> except that </w:t>
            </w:r>
            <w:r>
              <w:rPr>
                <w:rStyle w:val="Text0"/>
              </w:rPr>
              <w:t>frexp(0)</w:t>
            </w:r>
            <w:r>
              <w:t xml:space="preserve"> returns </w:t>
            </w:r>
            <w:r>
              <w:rPr>
                <w:rStyle w:val="Text0"/>
              </w:rPr>
              <w:t>(0.0, 0)</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fsum</w:t>
            </w:r>
          </w:p>
        </w:tc>
        <w:tc>
          <w:tcPr>
            <w:tcW w:type="auto" w:w="0"/>
            <w:tcMar>
              <w:left w:type="dxa" w:w="200"/>
              <w:top w:type="dxa" w:w="200"/>
              <w:right w:type="dxa" w:w="200"/>
              <w:bottom w:type="dxa" w:w="200"/>
            </w:tcMar>
          </w:tcPr>
          <w:p>
            <w:pPr>
              <w:pStyle w:val="Para 002"/>
            </w:pPr>
            <w:r>
              <w:rPr>
                <w:rStyle w:val="Text0"/>
              </w:rPr>
              <w:t>fsum(</w:t>
            </w:r>
            <w:r>
              <w:rPr>
                <w:rStyle w:val="Text3"/>
              </w:rPr>
              <w:t>iterable</w:t>
            </w:r>
            <w:r>
              <w:rPr>
                <w:rStyle w:val="Text0"/>
              </w:rPr>
              <w:t>)</w:t>
              <w:br w:clear="none"/>
            </w:r>
            <w:r>
              <w:t xml:space="preserve"> Returns</w:t>
            </w:r>
            <w:r>
              <w:rPr>
                <w:rStyle w:val="Text111"/>
              </w:rPr>
              <w:bookmarkStart w:id="3553" w:name="idm45965187241552"/>
              <w:t/>
              <w:bookmarkEnd w:id="3553"/>
            </w:r>
            <w:r>
              <w:t xml:space="preserve"> the floating-point sum of the values in </w:t>
            </w:r>
            <w:r>
              <w:rPr>
                <w:rStyle w:val="Text3"/>
              </w:rPr>
              <w:t>iterable</w:t>
            </w:r>
            <w:r>
              <w:t xml:space="preserve"> to greater precision than the </w:t>
            </w:r>
            <w:r>
              <w:rPr>
                <w:rStyle w:val="Text0"/>
              </w:rPr>
              <w:t>sum</w:t>
            </w:r>
            <w:r>
              <w:t xml:space="preserve"> built-in function.</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gamma</w:t>
            </w:r>
          </w:p>
        </w:tc>
        <w:tc>
          <w:tcPr>
            <w:tcW w:type="auto" w:w="0"/>
            <w:shd w:val="clear" w:color="auto" w:fill="EEF2F6"/>
            <w:tcMar>
              <w:left w:type="dxa" w:w="200"/>
              <w:top w:type="dxa" w:w="200"/>
              <w:right w:type="dxa" w:w="200"/>
              <w:bottom w:type="dxa" w:w="200"/>
            </w:tcMar>
          </w:tcPr>
          <w:p>
            <w:pPr>
              <w:pStyle w:val="Para 002"/>
            </w:pPr>
            <w:r>
              <w:rPr>
                <w:rStyle w:val="Text0"/>
              </w:rPr>
              <w:t>gamma(</w:t>
            </w:r>
            <w:r>
              <w:rPr>
                <w:rStyle w:val="Text3"/>
              </w:rPr>
              <w:t>x</w:t>
            </w:r>
            <w:r>
              <w:rPr>
                <w:rStyle w:val="Text0"/>
              </w:rPr>
              <w:t>)</w:t>
              <w:br w:clear="none"/>
            </w:r>
            <w:r>
              <w:t xml:space="preserve"> Returns the Gamma function evaluated at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gcd</w:t>
            </w:r>
          </w:p>
        </w:tc>
        <w:tc>
          <w:tcPr>
            <w:tcW w:type="auto" w:w="0"/>
            <w:tcMar>
              <w:left w:type="dxa" w:w="200"/>
              <w:top w:type="dxa" w:w="200"/>
              <w:right w:type="dxa" w:w="200"/>
              <w:bottom w:type="dxa" w:w="200"/>
            </w:tcMar>
          </w:tcPr>
          <w:p>
            <w:pPr>
              <w:pStyle w:val="Para 002"/>
            </w:pPr>
            <w:r>
              <w:rPr>
                <w:rStyle w:val="Text0"/>
              </w:rPr>
              <w:t>gcd(</w:t>
            </w:r>
            <w:r>
              <w:rPr>
                <w:rStyle w:val="Text3"/>
              </w:rPr>
              <w:t>x, y</w:t>
            </w:r>
            <w:r>
              <w:rPr>
                <w:rStyle w:val="Text0"/>
              </w:rPr>
              <w:t>)</w:t>
              <w:br w:clear="none"/>
            </w:r>
            <w:r>
              <w:t xml:space="preserve"> Returns the greatest common divisor of </w:t>
            </w:r>
            <w:r>
              <w:rPr>
                <w:rStyle w:val="Text3"/>
              </w:rPr>
              <w:t>x</w:t>
            </w:r>
            <w:r>
              <w:t xml:space="preserve"> and </w:t>
            </w:r>
            <w:r>
              <w:rPr>
                <w:rStyle w:val="Text3"/>
              </w:rPr>
              <w:t>y</w:t>
            </w:r>
            <w:r>
              <w:t xml:space="preserve">. When </w:t>
            </w:r>
            <w:r>
              <w:rPr>
                <w:rStyle w:val="Text3"/>
              </w:rPr>
              <w:t>x</w:t>
            </w:r>
            <w:r>
              <w:t xml:space="preserve"> and </w:t>
            </w:r>
            <w:r>
              <w:rPr>
                <w:rStyle w:val="Text3"/>
              </w:rPr>
              <w:t>y</w:t>
            </w:r>
            <w:r>
              <w:t xml:space="preserve"> are both zero, returns </w:t>
            </w:r>
            <w:r>
              <w:rPr>
                <w:rStyle w:val="Text0"/>
              </w:rPr>
              <w:t>0</w:t>
            </w:r>
            <w:r>
              <w:t>. (</w:t>
            </w:r>
            <w:r>
              <w:rPr>
                <w:rStyle w:val="Text34"/>
              </w:rPr>
              <w:t>3.9+</w:t>
            </w:r>
            <w:r>
              <w:t xml:space="preserve"> </w:t>
            </w:r>
            <w:r>
              <w:rPr>
                <w:rStyle w:val="Text0"/>
              </w:rPr>
              <w:t>gcd</w:t>
            </w:r>
            <w:r>
              <w:t xml:space="preserve"> can accept any number of values; </w:t>
            </w:r>
            <w:r>
              <w:rPr>
                <w:rStyle w:val="Text0"/>
              </w:rPr>
              <w:t>gcd()</w:t>
            </w:r>
            <w:r>
              <w:t xml:space="preserve"> without arguments returns </w:t>
            </w:r>
            <w:r>
              <w:rPr>
                <w:rStyle w:val="Text0"/>
              </w:rPr>
              <w:t>0</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hypot</w:t>
            </w:r>
          </w:p>
        </w:tc>
        <w:tc>
          <w:tcPr>
            <w:tcW w:type="auto" w:w="0"/>
            <w:shd w:val="clear" w:color="auto" w:fill="EEF2F6"/>
            <w:tcMar>
              <w:left w:type="dxa" w:w="200"/>
              <w:top w:type="dxa" w:w="200"/>
              <w:right w:type="dxa" w:w="200"/>
              <w:bottom w:type="dxa" w:w="200"/>
            </w:tcMar>
          </w:tcPr>
          <w:p>
            <w:pPr>
              <w:pStyle w:val="Para 002"/>
            </w:pPr>
            <w:r>
              <w:rPr>
                <w:rStyle w:val="Text0"/>
              </w:rPr>
              <w:t>hypot(</w:t>
            </w:r>
            <w:r>
              <w:rPr>
                <w:rStyle w:val="Text3"/>
              </w:rPr>
              <w:t>x, y</w:t>
            </w:r>
            <w:r>
              <w:rPr>
                <w:rStyle w:val="Text0"/>
              </w:rPr>
              <w:t>)</w:t>
              <w:br w:clear="none"/>
            </w:r>
            <w:r>
              <w:t xml:space="preserve"> Returns </w:t>
            </w:r>
            <w:r>
              <w:rPr>
                <w:rStyle w:val="Text0"/>
              </w:rPr>
              <w:t>sqrt(</w:t>
            </w:r>
            <w:r>
              <w:rPr>
                <w:rStyle w:val="Text3"/>
              </w:rPr>
              <w:t>x</w:t>
            </w:r>
            <w:r>
              <w:rPr>
                <w:rStyle w:val="Text0"/>
              </w:rPr>
              <w:t>*</w:t>
            </w:r>
            <w:r>
              <w:rPr>
                <w:rStyle w:val="Text3"/>
              </w:rPr>
              <w:t>x</w:t>
            </w:r>
            <w:r>
              <w:rPr>
                <w:rStyle w:val="Text0"/>
              </w:rPr>
              <w:t>+</w:t>
            </w:r>
            <w:r>
              <w:rPr>
                <w:rStyle w:val="Text3"/>
              </w:rPr>
              <w:t>y</w:t>
            </w:r>
            <w:r>
              <w:rPr>
                <w:rStyle w:val="Text0"/>
              </w:rPr>
              <w:t>*</w:t>
            </w:r>
            <w:r>
              <w:rPr>
                <w:rStyle w:val="Text3"/>
              </w:rPr>
              <w:t>y</w:t>
            </w:r>
            <w:r>
              <w:rPr>
                <w:rStyle w:val="Text0"/>
              </w:rPr>
              <w:t>)</w:t>
            </w:r>
            <w:r>
              <w:t>. (</w:t>
            </w:r>
            <w:r>
              <w:rPr>
                <w:rStyle w:val="Text34"/>
              </w:rPr>
              <w:t>3.8+</w:t>
            </w:r>
            <w:r>
              <w:t xml:space="preserve"> </w:t>
            </w:r>
            <w:r>
              <w:rPr>
                <w:rStyle w:val="Text0"/>
              </w:rPr>
              <w:t>hypot</w:t>
            </w:r>
            <w:r>
              <w:t xml:space="preserve"> can accept any number of values, to compute a hypotenuse length in </w:t>
            </w:r>
            <w:r>
              <w:rPr>
                <w:rStyle w:val="Text4"/>
              </w:rPr>
              <w:t>n</w:t>
            </w:r>
            <w:r>
              <w:t xml:space="preserve"> dimensions.)</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inf</w:t>
            </w:r>
          </w:p>
        </w:tc>
        <w:tc>
          <w:tcPr>
            <w:tcW w:type="auto" w:w="0"/>
            <w:tcMar>
              <w:left w:type="dxa" w:w="200"/>
              <w:top w:type="dxa" w:w="200"/>
              <w:right w:type="dxa" w:w="200"/>
              <w:bottom w:type="dxa" w:w="200"/>
            </w:tcMar>
          </w:tcPr>
          <w:p>
            <w:pPr>
              <w:pStyle w:val="Para 002"/>
            </w:pPr>
            <w:r>
              <w:t xml:space="preserve">A floating-point positive infinity, like </w:t>
            </w:r>
            <w:r>
              <w:rPr>
                <w:rStyle w:val="Text0"/>
              </w:rPr>
              <w:t>float('inf')</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infj</w:t>
            </w:r>
          </w:p>
        </w:tc>
        <w:tc>
          <w:tcPr>
            <w:tcW w:type="auto" w:w="0"/>
            <w:shd w:val="clear" w:color="auto" w:fill="EEF2F6"/>
            <w:tcMar>
              <w:left w:type="dxa" w:w="200"/>
              <w:top w:type="dxa" w:w="200"/>
              <w:right w:type="dxa" w:w="200"/>
              <w:bottom w:type="dxa" w:w="200"/>
            </w:tcMar>
          </w:tcPr>
          <w:p>
            <w:pPr>
              <w:pStyle w:val="Para 002"/>
            </w:pPr>
            <w:r>
              <w:t>A</w:t>
            </w:r>
            <w:r>
              <w:rPr>
                <w:rStyle w:val="Text111"/>
              </w:rPr>
              <w:bookmarkStart w:id="3554" w:name="idm45965187207440"/>
              <w:t/>
              <w:bookmarkEnd w:id="3554"/>
            </w:r>
            <w:r>
              <w:t xml:space="preserve"> </w:t>
            </w:r>
            <w:r>
              <w:rPr>
                <w:rStyle w:val="Text0"/>
              </w:rPr>
              <w:t>complex</w:t>
            </w:r>
            <w:r>
              <w:t xml:space="preserve"> imaginary infinity, equal to </w:t>
            </w:r>
            <w:r>
              <w:rPr>
                <w:rStyle w:val="Text0"/>
              </w:rPr>
              <w:t>complex(0, float('inf'))</w:t>
            </w: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isclose</w:t>
            </w:r>
          </w:p>
        </w:tc>
        <w:tc>
          <w:tcPr>
            <w:tcW w:type="auto" w:w="0"/>
            <w:tcMar>
              <w:left w:type="dxa" w:w="200"/>
              <w:top w:type="dxa" w:w="200"/>
              <w:right w:type="dxa" w:w="200"/>
              <w:bottom w:type="dxa" w:w="200"/>
            </w:tcMar>
          </w:tcPr>
          <w:p>
            <w:pPr>
              <w:pStyle w:val="Para 002"/>
            </w:pPr>
            <w:r>
              <w:rPr>
                <w:rStyle w:val="Text0"/>
              </w:rPr>
              <w:t>isclose(</w:t>
            </w:r>
            <w:r>
              <w:rPr>
                <w:rStyle w:val="Text3"/>
              </w:rPr>
              <w:t>x</w:t>
            </w:r>
            <w:r>
              <w:rPr>
                <w:rStyle w:val="Text0"/>
              </w:rPr>
              <w:t>,</w:t>
            </w:r>
            <w:r>
              <w:t xml:space="preserve"> </w:t>
            </w:r>
            <w:r>
              <w:rPr>
                <w:rStyle w:val="Text3"/>
              </w:rPr>
              <w:t>y</w:t>
            </w:r>
            <w:r>
              <w:rPr>
                <w:rStyle w:val="Text0"/>
              </w:rPr>
              <w:t>, rel_tol=1e-09, abs_tol=0.0)</w:t>
            </w:r>
            <w:r>
              <w:t xml:space="preserve"> Returns</w:t>
            </w:r>
            <w:r>
              <w:rPr>
                <w:rStyle w:val="Text111"/>
              </w:rPr>
              <w:bookmarkStart w:id="3555" w:name="idm45965187198816"/>
              <w:t/>
              <w:bookmarkEnd w:id="3555"/>
            </w:r>
            <w:r>
              <w:t xml:space="preserve"> </w:t>
            </w:r>
            <w:r>
              <w:rPr>
                <w:rStyle w:val="Text5"/>
              </w:rPr>
              <w:t>True</w:t>
            </w:r>
            <w:r>
              <w:t xml:space="preserve"> when </w:t>
            </w:r>
            <w:r>
              <w:rPr>
                <w:rStyle w:val="Text3"/>
              </w:rPr>
              <w:t>x</w:t>
            </w:r>
            <w:r>
              <w:t xml:space="preserve"> and </w:t>
            </w:r>
            <w:r>
              <w:rPr>
                <w:rStyle w:val="Text3"/>
              </w:rPr>
              <w:t>y</w:t>
            </w:r>
            <w:r>
              <w:t xml:space="preserve"> are approximately equal, within relative tolerance </w:t>
            </w:r>
            <w:r>
              <w:rPr>
                <w:rStyle w:val="Text0"/>
              </w:rPr>
              <w:t>rel_tol</w:t>
            </w:r>
            <w:r>
              <w:t xml:space="preserve">, with minimum absolute tolerance of </w:t>
            </w:r>
            <w:r>
              <w:rPr>
                <w:rStyle w:val="Text0"/>
              </w:rPr>
              <w:t>abs_tol</w:t>
            </w:r>
            <w:r>
              <w:t xml:space="preserve">; otherwise, returns </w:t>
            </w:r>
            <w:r>
              <w:rPr>
                <w:rStyle w:val="Text5"/>
              </w:rPr>
              <w:t>False</w:t>
            </w:r>
            <w:r>
              <w:t xml:space="preserve">. Default is </w:t>
            </w:r>
            <w:r>
              <w:rPr>
                <w:rStyle w:val="Text0"/>
              </w:rPr>
              <w:t>rel_tol</w:t>
            </w:r>
            <w:r>
              <w:t xml:space="preserve"> within nine decimal digits. </w:t>
            </w:r>
            <w:r>
              <w:rPr>
                <w:rStyle w:val="Text0"/>
              </w:rPr>
              <w:t>rel_tol</w:t>
            </w:r>
            <w:r>
              <w:t xml:space="preserve"> must be greater than </w:t>
            </w:r>
            <w:r>
              <w:rPr>
                <w:rStyle w:val="Text0"/>
              </w:rPr>
              <w:t>0</w:t>
            </w:r>
            <w:r>
              <w:t xml:space="preserve">. </w:t>
            </w:r>
            <w:r>
              <w:rPr>
                <w:rStyle w:val="Text0"/>
              </w:rPr>
              <w:t>abs_tol</w:t>
            </w:r>
            <w:r>
              <w:t xml:space="preserve"> is used for comparisons near zero: it must be at least </w:t>
            </w:r>
            <w:r>
              <w:rPr>
                <w:rStyle w:val="Text0"/>
              </w:rPr>
              <w:t>0.0</w:t>
            </w:r>
            <w:r>
              <w:t xml:space="preserve">. </w:t>
            </w:r>
            <w:r>
              <w:rPr>
                <w:rStyle w:val="Text0"/>
              </w:rPr>
              <w:t>NaN</w:t>
            </w:r>
            <w:r>
              <w:t xml:space="preserve"> is not considered close to any value (including </w:t>
            </w:r>
            <w:r>
              <w:rPr>
                <w:rStyle w:val="Text0"/>
              </w:rPr>
              <w:t>NaN</w:t>
            </w:r>
            <w:r>
              <w:t xml:space="preserve"> itself); each of </w:t>
            </w:r>
            <w:r>
              <w:rPr>
                <w:rStyle w:val="Text0"/>
              </w:rPr>
              <w:t>-inf</w:t>
            </w:r>
            <w:r>
              <w:t xml:space="preserve"> and </w:t>
            </w:r>
            <w:r>
              <w:rPr>
                <w:rStyle w:val="Text0"/>
              </w:rPr>
              <w:t>inf</w:t>
            </w:r>
            <w:r>
              <w:t xml:space="preserve"> is only considered close to itself. Except for behavior at +/– </w:t>
            </w:r>
            <w:r>
              <w:rPr>
                <w:rStyle w:val="Text0"/>
              </w:rPr>
              <w:t>inf</w:t>
            </w:r>
            <w:r>
              <w:t xml:space="preserve">, </w:t>
            </w:r>
            <w:r>
              <w:rPr>
                <w:rStyle w:val="Text0"/>
              </w:rPr>
              <w:t>isclose</w:t>
            </w:r>
            <w:r>
              <w:t xml:space="preserve"> is like: </w:t>
            </w:r>
          </w:p>
          <w:p>
            <w:pPr>
              <w:pStyle w:val="Para 091"/>
            </w:pPr>
            <w:r>
              <w:t xml:space="preserve"/>
              <w:br w:clear="none"/>
            </w:r>
            <w:r>
              <w:rPr>
                <w:rStyle w:val="Text62"/>
              </w:rPr>
              <w:t xml:space="preserve">abs</w:t>
              <w:br w:clear="none"/>
            </w:r>
            <w:r>
              <w:rPr>
                <w:rStyle w:val="Text58"/>
              </w:rPr>
              <w:t xml:space="preserve">(</w:t>
              <w:br w:clear="none"/>
            </w:r>
            <w:r>
              <w:rPr>
                <w:rStyle w:val="Text49"/>
              </w:rPr>
              <w:t xml:space="preserve">x</w:t>
              <w:br w:clear="none"/>
            </w:r>
            <w:r>
              <w:rPr>
                <w:rStyle w:val="Text65"/>
              </w:rPr>
              <w:t xml:space="preserve">-</w:t>
              <w:br w:clear="none"/>
            </w:r>
            <w:r>
              <w:rPr>
                <w:rStyle w:val="Text49"/>
              </w:rPr>
              <w:t xml:space="preserve">y</w:t>
              <w:br w:clear="none"/>
            </w:r>
            <w:r>
              <w:rPr>
                <w:rStyle w:val="Text58"/>
              </w:rPr>
              <w:t xml:space="preserve">)</w:t>
              <w:br w:clear="none"/>
            </w:r>
            <w:r>
              <w:t xml:space="preserve"> </w:t>
              <w:br w:clear="none"/>
            </w:r>
            <w:r>
              <w:rPr>
                <w:rStyle w:val="Text65"/>
              </w:rPr>
              <w:t xml:space="preserve">&lt;=</w:t>
              <w:br w:clear="none"/>
            </w:r>
            <w:r>
              <w:t xml:space="preserve"> </w:t>
              <w:br w:clear="none"/>
            </w:r>
            <w:r>
              <w:rPr>
                <w:rStyle w:val="Text62"/>
              </w:rPr>
              <w:t xml:space="preserve">max</w:t>
              <w:br w:clear="none"/>
            </w:r>
            <w:r>
              <w:rPr>
                <w:rStyle w:val="Text58"/>
              </w:rPr>
              <w:t xml:space="preserve">(</w:t>
              <w:br w:clear="none"/>
            </w:r>
            <w:r>
              <w:rPr>
                <w:rStyle w:val="Text49"/>
              </w:rPr>
              <w:t xml:space="preserve">rel_tol</w:t>
              <w:br w:clear="none"/>
            </w:r>
            <w:r>
              <w:rPr>
                <w:rStyle w:val="Text65"/>
              </w:rPr>
              <w:t xml:space="preserve">*</w:t>
              <w:br w:clear="none"/>
            </w:r>
            <w:r>
              <w:rPr>
                <w:rStyle w:val="Text62"/>
              </w:rPr>
              <w:t xml:space="preserve">max</w:t>
              <w:br w:clear="none"/>
            </w:r>
            <w:r>
              <w:rPr>
                <w:rStyle w:val="Text58"/>
              </w:rPr>
              <w:t xml:space="preserve">(</w:t>
              <w:br w:clear="none"/>
            </w:r>
            <w:r>
              <w:rPr>
                <w:rStyle w:val="Text62"/>
              </w:rPr>
              <w:t xml:space="preserve">abs</w:t>
              <w:br w:clear="none"/>
            </w:r>
            <w:r>
              <w:rPr>
                <w:rStyle w:val="Text58"/>
              </w:rPr>
              <w:t xml:space="preserve">(</w:t>
              <w:br w:clear="none"/>
            </w:r>
            <w:r>
              <w:rPr>
                <w:rStyle w:val="Text49"/>
              </w:rPr>
              <w:t xml:space="preserve">x</w:t>
              <w:br w:clear="none"/>
            </w:r>
            <w:r>
              <w:rPr>
                <w:rStyle w:val="Text58"/>
              </w:rPr>
              <w:t xml:space="preserve">),</w:t>
              <w:br w:clear="none"/>
            </w:r>
            <w:r>
              <w:t xml:space="preserve"> </w:t>
              <w:br w:clear="none"/>
              <w:t xml:space="preserve">                </w:t>
              <w:br w:clear="none"/>
            </w:r>
            <w:r>
              <w:rPr>
                <w:rStyle w:val="Text62"/>
              </w:rPr>
              <w:t xml:space="preserve">abs</w:t>
              <w:br w:clear="none"/>
            </w:r>
            <w:r>
              <w:rPr>
                <w:rStyle w:val="Text58"/>
              </w:rPr>
              <w:t xml:space="preserve">(</w:t>
              <w:br w:clear="none"/>
            </w:r>
            <w:r>
              <w:rPr>
                <w:rStyle w:val="Text49"/>
              </w:rPr>
              <w:t xml:space="preserve">y</w:t>
              <w:br w:clear="none"/>
            </w:r>
            <w:r>
              <w:rPr>
                <w:rStyle w:val="Text58"/>
              </w:rPr>
              <w:t xml:space="preserve">)),</w:t>
              <w:br w:clear="none"/>
            </w:r>
            <w:r>
              <w:rPr>
                <w:rStyle w:val="Text49"/>
              </w:rPr>
              <w:t xml:space="preserve">abs_tol</w:t>
              <w:br w:clear="none"/>
            </w:r>
            <w:r>
              <w:rPr>
                <w:rStyle w:val="Text58"/>
              </w:rPr>
              <w:t xml:space="preserve">)</w:t>
              <w:br w:clear="none"/>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isfinite</w:t>
            </w:r>
          </w:p>
        </w:tc>
        <w:tc>
          <w:tcPr>
            <w:tcW w:type="auto" w:w="0"/>
            <w:shd w:val="clear" w:color="auto" w:fill="EEF2F6"/>
            <w:tcMar>
              <w:left w:type="dxa" w:w="200"/>
              <w:top w:type="dxa" w:w="200"/>
              <w:right w:type="dxa" w:w="200"/>
              <w:bottom w:type="dxa" w:w="200"/>
            </w:tcMar>
          </w:tcPr>
          <w:p>
            <w:pPr>
              <w:pStyle w:val="Para 002"/>
            </w:pPr>
            <w:r>
              <w:rPr>
                <w:rStyle w:val="Text0"/>
              </w:rPr>
              <w:t>isfinite(</w:t>
            </w:r>
            <w:r>
              <w:rPr>
                <w:rStyle w:val="Text3"/>
              </w:rPr>
              <w:t>x</w:t>
            </w:r>
            <w:r>
              <w:rPr>
                <w:rStyle w:val="Text0"/>
              </w:rPr>
              <w:t>)</w:t>
              <w:br w:clear="none"/>
            </w:r>
            <w:r>
              <w:t xml:space="preserve"> Returns </w:t>
            </w:r>
            <w:r>
              <w:rPr>
                <w:rStyle w:val="Text5"/>
              </w:rPr>
              <w:t>True</w:t>
            </w:r>
            <w:r>
              <w:t xml:space="preserve"> when </w:t>
            </w:r>
            <w:r>
              <w:rPr>
                <w:rStyle w:val="Text3"/>
              </w:rPr>
              <w:t>x</w:t>
            </w:r>
            <w:r>
              <w:t xml:space="preserve"> (in </w:t>
            </w:r>
            <w:r>
              <w:rPr>
                <w:rStyle w:val="Text0"/>
              </w:rPr>
              <w:t>cmath</w:t>
            </w:r>
            <w:r>
              <w:t xml:space="preserve">, both the real and imaginary parts of </w:t>
            </w:r>
            <w:r>
              <w:rPr>
                <w:rStyle w:val="Text3"/>
              </w:rPr>
              <w:t>x</w:t>
            </w:r>
            <w:r>
              <w:t xml:space="preserve">) is neither infinity nor </w:t>
            </w:r>
            <w:r>
              <w:rPr>
                <w:rStyle w:val="Text0"/>
              </w:rPr>
              <w:t>NaN</w:t>
            </w:r>
            <w:r>
              <w:t xml:space="preserve">; otherwise, returns </w:t>
            </w:r>
            <w:r>
              <w:rPr>
                <w:rStyle w:val="Text5"/>
              </w:rPr>
              <w:t>False</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isinf</w:t>
            </w:r>
          </w:p>
        </w:tc>
        <w:tc>
          <w:tcPr>
            <w:tcW w:type="auto" w:w="0"/>
            <w:tcMar>
              <w:left w:type="dxa" w:w="200"/>
              <w:top w:type="dxa" w:w="200"/>
              <w:right w:type="dxa" w:w="200"/>
              <w:bottom w:type="dxa" w:w="200"/>
            </w:tcMar>
          </w:tcPr>
          <w:p>
            <w:pPr>
              <w:pStyle w:val="Para 002"/>
            </w:pPr>
            <w:r>
              <w:rPr>
                <w:rStyle w:val="Text0"/>
              </w:rPr>
              <w:t>isinf(</w:t>
            </w:r>
            <w:r>
              <w:rPr>
                <w:rStyle w:val="Text3"/>
              </w:rPr>
              <w:t>x</w:t>
            </w:r>
            <w:r>
              <w:rPr>
                <w:rStyle w:val="Text0"/>
              </w:rPr>
              <w:t>)</w:t>
              <w:br w:clear="none"/>
            </w:r>
            <w:r>
              <w:t xml:space="preserve"> Returns</w:t>
            </w:r>
            <w:r>
              <w:rPr>
                <w:rStyle w:val="Text111"/>
              </w:rPr>
              <w:bookmarkStart w:id="3556" w:name="idm45965187149808"/>
              <w:t/>
              <w:bookmarkEnd w:id="3556"/>
            </w:r>
            <w:r>
              <w:t xml:space="preserve"> </w:t>
            </w:r>
            <w:r>
              <w:rPr>
                <w:rStyle w:val="Text5"/>
              </w:rPr>
              <w:t>True</w:t>
            </w:r>
            <w:r>
              <w:t xml:space="preserve"> when </w:t>
            </w:r>
            <w:r>
              <w:rPr>
                <w:rStyle w:val="Text3"/>
              </w:rPr>
              <w:t>x</w:t>
            </w:r>
            <w:r>
              <w:t xml:space="preserve"> (in </w:t>
            </w:r>
            <w:r>
              <w:rPr>
                <w:rStyle w:val="Text0"/>
              </w:rPr>
              <w:t>cmath</w:t>
            </w:r>
            <w:r>
              <w:t xml:space="preserve">, either the real or imaginary part of </w:t>
            </w:r>
            <w:r>
              <w:rPr>
                <w:rStyle w:val="Text3"/>
              </w:rPr>
              <w:t>x</w:t>
            </w:r>
            <w:r>
              <w:t xml:space="preserve">, or both) is positive or negative infinity; otherwise, returns </w:t>
            </w:r>
            <w:r>
              <w:rPr>
                <w:rStyle w:val="Text5"/>
              </w:rPr>
              <w:t>False</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isnan</w:t>
            </w:r>
          </w:p>
        </w:tc>
        <w:tc>
          <w:tcPr>
            <w:tcW w:type="auto" w:w="0"/>
            <w:shd w:val="clear" w:color="auto" w:fill="EEF2F6"/>
            <w:tcMar>
              <w:left w:type="dxa" w:w="200"/>
              <w:top w:type="dxa" w:w="200"/>
              <w:right w:type="dxa" w:w="200"/>
              <w:bottom w:type="dxa" w:w="200"/>
            </w:tcMar>
          </w:tcPr>
          <w:p>
            <w:pPr>
              <w:pStyle w:val="Para 002"/>
            </w:pPr>
            <w:r>
              <w:rPr>
                <w:rStyle w:val="Text0"/>
              </w:rPr>
              <w:t>isnan(</w:t>
            </w:r>
            <w:r>
              <w:rPr>
                <w:rStyle w:val="Text3"/>
              </w:rPr>
              <w:t>x</w:t>
            </w:r>
            <w:r>
              <w:rPr>
                <w:rStyle w:val="Text0"/>
              </w:rPr>
              <w:t>)</w:t>
              <w:br w:clear="none"/>
            </w:r>
            <w:r>
              <w:t xml:space="preserve"> Returns </w:t>
            </w:r>
            <w:r>
              <w:rPr>
                <w:rStyle w:val="Text5"/>
              </w:rPr>
              <w:t>True</w:t>
            </w:r>
            <w:r>
              <w:t xml:space="preserve"> when </w:t>
            </w:r>
            <w:r>
              <w:rPr>
                <w:rStyle w:val="Text3"/>
              </w:rPr>
              <w:t>x</w:t>
            </w:r>
            <w:r>
              <w:t xml:space="preserve"> (in </w:t>
            </w:r>
            <w:r>
              <w:rPr>
                <w:rStyle w:val="Text0"/>
              </w:rPr>
              <w:t>cmath</w:t>
            </w:r>
            <w:r>
              <w:t xml:space="preserve">, either the real or imaginary part of </w:t>
            </w:r>
            <w:r>
              <w:rPr>
                <w:rStyle w:val="Text3"/>
              </w:rPr>
              <w:t>x</w:t>
            </w:r>
            <w:r>
              <w:t xml:space="preserve">, or both) is </w:t>
            </w:r>
            <w:r>
              <w:rPr>
                <w:rStyle w:val="Text0"/>
              </w:rPr>
              <w:t>NaN</w:t>
            </w:r>
            <w:r>
              <w:t xml:space="preserve">; otherwise, returns </w:t>
            </w:r>
            <w:r>
              <w:rPr>
                <w:rStyle w:val="Text5"/>
              </w:rPr>
              <w:t>False</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isqrt</w:t>
            </w:r>
          </w:p>
        </w:tc>
        <w:tc>
          <w:tcPr>
            <w:tcW w:type="auto" w:w="0"/>
            <w:tcMar>
              <w:left w:type="dxa" w:w="200"/>
              <w:top w:type="dxa" w:w="200"/>
              <w:right w:type="dxa" w:w="200"/>
              <w:bottom w:type="dxa" w:w="200"/>
            </w:tcMar>
          </w:tcPr>
          <w:p>
            <w:pPr>
              <w:pStyle w:val="Para 001"/>
            </w:pPr>
            <w:r>
              <w:t>isqrt(</w:t>
            </w:r>
            <w:r>
              <w:rPr>
                <w:rStyle w:val="Text3"/>
              </w:rPr>
              <w:t>x</w:t>
            </w:r>
            <w:r>
              <w:t>)</w:t>
              <w:br w:clear="none"/>
            </w:r>
            <w:r>
              <w:rPr>
                <w:rStyle w:val="Text12"/>
              </w:rPr>
              <w:t xml:space="preserve"> </w:t>
            </w:r>
            <w:r>
              <w:rPr>
                <w:rStyle w:val="Text34"/>
              </w:rPr>
              <w:t>3.8+</w:t>
            </w:r>
            <w:r>
              <w:rPr>
                <w:rStyle w:val="Text12"/>
              </w:rPr>
              <w:t xml:space="preserve"> Returns </w:t>
            </w:r>
            <w:r>
              <w:t>int(sqrt(</w:t>
            </w:r>
            <w:r>
              <w:rPr>
                <w:rStyle w:val="Text3"/>
              </w:rPr>
              <w:t>x</w:t>
            </w:r>
            <w:r>
              <w:t>))</w:t>
            </w:r>
            <w:r>
              <w:rPr>
                <w:rStyle w:val="Text12"/>
              </w:rP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lcm</w:t>
            </w:r>
          </w:p>
        </w:tc>
        <w:tc>
          <w:tcPr>
            <w:tcW w:type="auto" w:w="0"/>
            <w:shd w:val="clear" w:color="auto" w:fill="EEF2F6"/>
            <w:tcMar>
              <w:left w:type="dxa" w:w="200"/>
              <w:top w:type="dxa" w:w="200"/>
              <w:right w:type="dxa" w:w="200"/>
              <w:bottom w:type="dxa" w:w="200"/>
            </w:tcMar>
          </w:tcPr>
          <w:p>
            <w:pPr>
              <w:pStyle w:val="Para 002"/>
            </w:pPr>
            <w:r>
              <w:rPr>
                <w:rStyle w:val="Text0"/>
              </w:rPr>
              <w:t>lcm(</w:t>
            </w:r>
            <w:r>
              <w:rPr>
                <w:rStyle w:val="Text3"/>
              </w:rPr>
              <w:t>x</w:t>
            </w:r>
            <w:r>
              <w:rPr>
                <w:rStyle w:val="Text0"/>
              </w:rPr>
              <w:t>, ...)</w:t>
              <w:br w:clear="none"/>
            </w:r>
            <w:r>
              <w:t xml:space="preserve"> </w:t>
            </w:r>
            <w:r>
              <w:rPr>
                <w:rStyle w:val="Text34"/>
              </w:rPr>
              <w:t>3.9+</w:t>
            </w:r>
            <w:r>
              <w:t xml:space="preserve"> Returns the least common multiple of the given </w:t>
            </w:r>
            <w:r>
              <w:rPr>
                <w:rStyle w:val="Text0"/>
              </w:rPr>
              <w:t>int</w:t>
            </w:r>
            <w:r>
              <w:t xml:space="preserve">s. If not all values are </w:t>
            </w:r>
            <w:r>
              <w:rPr>
                <w:rStyle w:val="Text0"/>
              </w:rPr>
              <w:t>int</w:t>
            </w:r>
            <w:r>
              <w:t xml:space="preserve">s, raises </w:t>
            </w:r>
            <w:r>
              <w:rPr>
                <w:rStyle w:val="Text0"/>
              </w:rPr>
              <w:t>TypeError</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ldexp</w:t>
            </w:r>
          </w:p>
        </w:tc>
        <w:tc>
          <w:tcPr>
            <w:tcW w:type="auto" w:w="0"/>
            <w:tcMar>
              <w:left w:type="dxa" w:w="200"/>
              <w:top w:type="dxa" w:w="200"/>
              <w:right w:type="dxa" w:w="200"/>
              <w:bottom w:type="dxa" w:w="200"/>
            </w:tcMar>
          </w:tcPr>
          <w:p>
            <w:pPr>
              <w:pStyle w:val="Para 002"/>
            </w:pPr>
            <w:r>
              <w:rPr>
                <w:rStyle w:val="Text0"/>
              </w:rPr>
              <w:t>ldexp(</w:t>
            </w:r>
            <w:r>
              <w:rPr>
                <w:rStyle w:val="Text3"/>
              </w:rPr>
              <w:t>x, i</w:t>
            </w:r>
            <w:r>
              <w:rPr>
                <w:rStyle w:val="Text0"/>
              </w:rPr>
              <w:t>)</w:t>
              <w:br w:clear="none"/>
            </w:r>
            <w:r>
              <w:t xml:space="preserve"> Returns </w:t>
            </w:r>
            <w:r>
              <w:rPr>
                <w:rStyle w:val="Text3"/>
              </w:rPr>
              <w:t>x</w:t>
            </w:r>
            <w:r>
              <w:rPr>
                <w:rStyle w:val="Text0"/>
              </w:rPr>
              <w:t>*(</w:t>
            </w:r>
            <w:r>
              <w:rPr>
                <w:rStyle w:val="Text3"/>
              </w:rPr>
              <w:t>2</w:t>
            </w:r>
            <w:r>
              <w:rPr>
                <w:rStyle w:val="Text0"/>
              </w:rPr>
              <w:t>**</w:t>
            </w:r>
            <w:r>
              <w:rPr>
                <w:rStyle w:val="Text3"/>
              </w:rPr>
              <w:t>i</w:t>
            </w:r>
            <w:r>
              <w:rPr>
                <w:rStyle w:val="Text0"/>
              </w:rPr>
              <w:t>)</w:t>
            </w:r>
            <w:r>
              <w:t xml:space="preserve"> (</w:t>
            </w:r>
            <w:r>
              <w:rPr>
                <w:rStyle w:val="Text3"/>
              </w:rPr>
              <w:t>i</w:t>
            </w:r>
            <w:r>
              <w:t xml:space="preserve"> must be an </w:t>
            </w:r>
            <w:r>
              <w:rPr>
                <w:rStyle w:val="Text0"/>
              </w:rPr>
              <w:t>int</w:t>
            </w:r>
            <w:r>
              <w:t xml:space="preserve">; when </w:t>
            </w:r>
            <w:r>
              <w:rPr>
                <w:rStyle w:val="Text3"/>
              </w:rPr>
              <w:t>i</w:t>
            </w:r>
            <w:r>
              <w:t xml:space="preserve"> is a </w:t>
            </w:r>
            <w:r>
              <w:rPr>
                <w:rStyle w:val="Text0"/>
              </w:rPr>
              <w:t>float</w:t>
            </w:r>
            <w:r>
              <w:t xml:space="preserve">, </w:t>
            </w:r>
            <w:r>
              <w:rPr>
                <w:rStyle w:val="Text0"/>
              </w:rPr>
              <w:t>ldexp</w:t>
            </w:r>
            <w:r>
              <w:t xml:space="preserve"> raises </w:t>
            </w:r>
            <w:r>
              <w:rPr>
                <w:rStyle w:val="Text0"/>
              </w:rPr>
              <w:t>TypeError</w:t>
            </w:r>
            <w:r>
              <w:t xml:space="preserve">). Inverse of </w:t>
            </w:r>
            <w:r>
              <w:rPr>
                <w:rStyle w:val="Text0"/>
              </w:rPr>
              <w:t>frexp</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lgamma</w:t>
            </w:r>
          </w:p>
        </w:tc>
        <w:tc>
          <w:tcPr>
            <w:tcW w:type="auto" w:w="0"/>
            <w:shd w:val="clear" w:color="auto" w:fill="EEF2F6"/>
            <w:tcMar>
              <w:left w:type="dxa" w:w="200"/>
              <w:top w:type="dxa" w:w="200"/>
              <w:right w:type="dxa" w:w="200"/>
              <w:bottom w:type="dxa" w:w="200"/>
            </w:tcMar>
          </w:tcPr>
          <w:p>
            <w:pPr>
              <w:pStyle w:val="Para 002"/>
            </w:pPr>
            <w:r>
              <w:rPr>
                <w:rStyle w:val="Text0"/>
              </w:rPr>
              <w:t>lgamma(</w:t>
            </w:r>
            <w:r>
              <w:rPr>
                <w:rStyle w:val="Text3"/>
              </w:rPr>
              <w:t>x</w:t>
            </w:r>
            <w:r>
              <w:rPr>
                <w:rStyle w:val="Text0"/>
              </w:rPr>
              <w:t>)</w:t>
              <w:br w:clear="none"/>
            </w:r>
            <w:r>
              <w:t xml:space="preserve"> Returns the natural logarithm of the absolute value of the Gamma function evaluated at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log</w:t>
            </w:r>
          </w:p>
        </w:tc>
        <w:tc>
          <w:tcPr>
            <w:tcW w:type="auto" w:w="0"/>
            <w:tcMar>
              <w:left w:type="dxa" w:w="200"/>
              <w:top w:type="dxa" w:w="200"/>
              <w:right w:type="dxa" w:w="200"/>
              <w:bottom w:type="dxa" w:w="200"/>
            </w:tcMar>
          </w:tcPr>
          <w:p>
            <w:pPr>
              <w:pStyle w:val="Para 002"/>
            </w:pPr>
            <w:r>
              <w:rPr>
                <w:rStyle w:val="Text0"/>
              </w:rPr>
              <w:t>log(</w:t>
            </w:r>
            <w:r>
              <w:rPr>
                <w:rStyle w:val="Text3"/>
              </w:rPr>
              <w:t>x</w:t>
            </w:r>
            <w:r>
              <w:rPr>
                <w:rStyle w:val="Text0"/>
              </w:rPr>
              <w:t>)</w:t>
              <w:br w:clear="none"/>
            </w:r>
            <w:r>
              <w:t xml:space="preserve"> Returns</w:t>
            </w:r>
            <w:r>
              <w:rPr>
                <w:rStyle w:val="Text111"/>
              </w:rPr>
              <w:bookmarkStart w:id="3557" w:name="idm45965187075824"/>
              <w:t/>
              <w:bookmarkEnd w:id="3557"/>
            </w:r>
            <w:r>
              <w:t xml:space="preserve"> the natural logarithm of </w:t>
            </w:r>
            <w:r>
              <w:rPr>
                <w:rStyle w:val="Text3"/>
              </w:rPr>
              <w:t>x</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log10</w:t>
            </w:r>
          </w:p>
        </w:tc>
        <w:tc>
          <w:tcPr>
            <w:tcW w:type="auto" w:w="0"/>
            <w:shd w:val="clear" w:color="auto" w:fill="EEF2F6"/>
            <w:tcMar>
              <w:left w:type="dxa" w:w="200"/>
              <w:top w:type="dxa" w:w="200"/>
              <w:right w:type="dxa" w:w="200"/>
              <w:bottom w:type="dxa" w:w="200"/>
            </w:tcMar>
          </w:tcPr>
          <w:p>
            <w:pPr>
              <w:pStyle w:val="Para 002"/>
            </w:pPr>
            <w:r>
              <w:rPr>
                <w:rStyle w:val="Text0"/>
              </w:rPr>
              <w:t>log10(</w:t>
            </w:r>
            <w:r>
              <w:rPr>
                <w:rStyle w:val="Text3"/>
              </w:rPr>
              <w:t>x</w:t>
            </w:r>
            <w:r>
              <w:rPr>
                <w:rStyle w:val="Text0"/>
              </w:rPr>
              <w:t>)</w:t>
              <w:br w:clear="none"/>
            </w:r>
            <w:r>
              <w:t xml:space="preserve"> Returns the base-10 logarithm of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log1p</w:t>
            </w:r>
          </w:p>
        </w:tc>
        <w:tc>
          <w:tcPr>
            <w:tcW w:type="auto" w:w="0"/>
            <w:tcMar>
              <w:left w:type="dxa" w:w="200"/>
              <w:top w:type="dxa" w:w="200"/>
              <w:right w:type="dxa" w:w="200"/>
              <w:bottom w:type="dxa" w:w="200"/>
            </w:tcMar>
          </w:tcPr>
          <w:p>
            <w:pPr>
              <w:pStyle w:val="Para 002"/>
            </w:pPr>
            <w:r>
              <w:rPr>
                <w:rStyle w:val="Text0"/>
              </w:rPr>
              <w:t>log1p(</w:t>
            </w:r>
            <w:r>
              <w:rPr>
                <w:rStyle w:val="Text3"/>
              </w:rPr>
              <w:t>x</w:t>
            </w:r>
            <w:r>
              <w:rPr>
                <w:rStyle w:val="Text0"/>
              </w:rPr>
              <w:t>)</w:t>
              <w:br w:clear="none"/>
            </w:r>
            <w:r>
              <w:t xml:space="preserve"> Returns the natural logarithm of </w:t>
            </w:r>
            <w:r>
              <w:rPr>
                <w:rStyle w:val="Text0"/>
              </w:rPr>
              <w:t>1+</w:t>
            </w:r>
            <w:r>
              <w:rPr>
                <w:rStyle w:val="Text3"/>
              </w:rPr>
              <w:t>x</w:t>
            </w:r>
            <w:r>
              <w:t xml:space="preserve">. Inverse of </w:t>
            </w:r>
            <w:r>
              <w:rPr>
                <w:rStyle w:val="Text0"/>
              </w:rPr>
              <w:t>expm1</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log2</w:t>
            </w:r>
          </w:p>
        </w:tc>
        <w:tc>
          <w:tcPr>
            <w:tcW w:type="auto" w:w="0"/>
            <w:shd w:val="clear" w:color="auto" w:fill="EEF2F6"/>
            <w:tcMar>
              <w:left w:type="dxa" w:w="200"/>
              <w:top w:type="dxa" w:w="200"/>
              <w:right w:type="dxa" w:w="200"/>
              <w:bottom w:type="dxa" w:w="200"/>
            </w:tcMar>
          </w:tcPr>
          <w:p>
            <w:pPr>
              <w:pStyle w:val="Para 002"/>
            </w:pPr>
            <w:r>
              <w:rPr>
                <w:rStyle w:val="Text0"/>
              </w:rPr>
              <w:t>log2(</w:t>
            </w:r>
            <w:r>
              <w:rPr>
                <w:rStyle w:val="Text3"/>
              </w:rPr>
              <w:t>x</w:t>
            </w:r>
            <w:r>
              <w:rPr>
                <w:rStyle w:val="Text0"/>
              </w:rPr>
              <w:t>)</w:t>
              <w:br w:clear="none"/>
            </w:r>
            <w:r>
              <w:t xml:space="preserve"> Returns the base-2 logarithm of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modf</w:t>
            </w:r>
          </w:p>
        </w:tc>
        <w:tc>
          <w:tcPr>
            <w:tcW w:type="auto" w:w="0"/>
            <w:tcMar>
              <w:left w:type="dxa" w:w="200"/>
              <w:top w:type="dxa" w:w="200"/>
              <w:right w:type="dxa" w:w="200"/>
              <w:bottom w:type="dxa" w:w="200"/>
            </w:tcMar>
          </w:tcPr>
          <w:p>
            <w:pPr>
              <w:pStyle w:val="Para 002"/>
            </w:pPr>
            <w:r>
              <w:rPr>
                <w:rStyle w:val="Text0"/>
              </w:rPr>
              <w:t>modf(</w:t>
            </w:r>
            <w:r>
              <w:rPr>
                <w:rStyle w:val="Text3"/>
              </w:rPr>
              <w:t>x</w:t>
            </w:r>
            <w:r>
              <w:rPr>
                <w:rStyle w:val="Text0"/>
              </w:rPr>
              <w:t>)</w:t>
              <w:br w:clear="none"/>
            </w:r>
            <w:r>
              <w:t xml:space="preserve"> Returns</w:t>
            </w:r>
            <w:r>
              <w:rPr>
                <w:rStyle w:val="Text111"/>
              </w:rPr>
              <w:bookmarkStart w:id="3558" w:name="idm45965187052944"/>
              <w:t/>
              <w:bookmarkEnd w:id="3558"/>
            </w:r>
            <w:r>
              <w:t xml:space="preserve"> a pair </w:t>
            </w:r>
            <w:r>
              <w:rPr>
                <w:rStyle w:val="Text0"/>
              </w:rPr>
              <w:t>(</w:t>
            </w:r>
            <w:r>
              <w:rPr>
                <w:rStyle w:val="Text3"/>
              </w:rPr>
              <w:t>f</w:t>
            </w:r>
            <w:r>
              <w:rPr>
                <w:rStyle w:val="Text0"/>
              </w:rPr>
              <w:t>,</w:t>
            </w:r>
            <w:r>
              <w:t xml:space="preserve"> </w:t>
            </w:r>
            <w:r>
              <w:rPr>
                <w:rStyle w:val="Text3"/>
              </w:rPr>
              <w:t>i</w:t>
            </w:r>
            <w:r>
              <w:rPr>
                <w:rStyle w:val="Text0"/>
              </w:rPr>
              <w:t>)</w:t>
            </w:r>
            <w:r>
              <w:t xml:space="preserve"> with the fractional and integer parts of </w:t>
            </w:r>
            <w:r>
              <w:rPr>
                <w:rStyle w:val="Text3"/>
              </w:rPr>
              <w:t>x</w:t>
            </w:r>
            <w:r>
              <w:t xml:space="preserve">, meaning two </w:t>
            </w:r>
            <w:r>
              <w:rPr>
                <w:rStyle w:val="Text0"/>
              </w:rPr>
              <w:t>float</w:t>
            </w:r>
            <w:r>
              <w:t xml:space="preserve">s with the same sign as </w:t>
            </w:r>
            <w:r>
              <w:rPr>
                <w:rStyle w:val="Text3"/>
              </w:rPr>
              <w:t>x</w:t>
            </w:r>
            <w:r>
              <w:t xml:space="preserve"> such that </w:t>
            </w:r>
            <w:r>
              <w:rPr>
                <w:rStyle w:val="Text3"/>
              </w:rPr>
              <w:t>i</w:t>
            </w:r>
            <w:r>
              <w:rPr>
                <w:rStyle w:val="Text0"/>
              </w:rPr>
              <w:t>==int(</w:t>
            </w:r>
            <w:r>
              <w:rPr>
                <w:rStyle w:val="Text3"/>
              </w:rPr>
              <w:t>i</w:t>
            </w:r>
            <w:r>
              <w:rPr>
                <w:rStyle w:val="Text0"/>
              </w:rPr>
              <w:t>)</w:t>
            </w:r>
            <w:r>
              <w:t xml:space="preserve"> and </w:t>
            </w:r>
            <w:r>
              <w:rPr>
                <w:rStyle w:val="Text3"/>
              </w:rPr>
              <w:t>x</w:t>
            </w:r>
            <w:r>
              <w:rPr>
                <w:rStyle w:val="Text0"/>
              </w:rPr>
              <w:t>==</w:t>
            </w:r>
            <w:r>
              <w:rPr>
                <w:rStyle w:val="Text3"/>
              </w:rPr>
              <w:t>f</w:t>
            </w:r>
            <w:r>
              <w:rPr>
                <w:rStyle w:val="Text0"/>
              </w:rPr>
              <w:t>+</w:t>
            </w:r>
            <w:r>
              <w:rPr>
                <w:rStyle w:val="Text3"/>
              </w:rPr>
              <w:t>i</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nan</w:t>
            </w:r>
          </w:p>
        </w:tc>
        <w:tc>
          <w:tcPr>
            <w:tcW w:type="auto" w:w="0"/>
            <w:shd w:val="clear" w:color="auto" w:fill="EEF2F6"/>
            <w:tcMar>
              <w:left w:type="dxa" w:w="200"/>
              <w:top w:type="dxa" w:w="200"/>
              <w:right w:type="dxa" w:w="200"/>
              <w:bottom w:type="dxa" w:w="200"/>
            </w:tcMar>
          </w:tcPr>
          <w:p>
            <w:pPr>
              <w:pStyle w:val="Para 002"/>
            </w:pPr>
            <w:r>
              <w:rPr>
                <w:rStyle w:val="Text0"/>
              </w:rPr>
              <w:t>nan</w:t>
              <w:br w:clear="none"/>
            </w:r>
            <w:r>
              <w:t xml:space="preserve"> A</w:t>
            </w:r>
            <w:r>
              <w:rPr>
                <w:rStyle w:val="Text111"/>
              </w:rPr>
              <w:bookmarkStart w:id="3559" w:name="idm45965187038848"/>
              <w:t/>
              <w:bookmarkEnd w:id="3559"/>
            </w:r>
            <w:r>
              <w:t xml:space="preserve"> floating-point “Not a Number” (</w:t>
            </w:r>
            <w:r>
              <w:rPr>
                <w:rStyle w:val="Text0"/>
              </w:rPr>
              <w:t>NaN</w:t>
            </w:r>
            <w:r>
              <w:t xml:space="preserve">) value, like </w:t>
            </w:r>
            <w:r>
              <w:rPr>
                <w:rStyle w:val="Text0"/>
              </w:rPr>
              <w:t>float('nan')</w:t>
            </w:r>
            <w:r>
              <w:t xml:space="preserve"> or </w:t>
            </w:r>
            <w:r>
              <w:rPr>
                <w:rStyle w:val="Text0"/>
              </w:rPr>
              <w:t>complex('nan')</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nanj</w:t>
            </w:r>
          </w:p>
        </w:tc>
        <w:tc>
          <w:tcPr>
            <w:tcW w:type="auto" w:w="0"/>
            <w:tcMar>
              <w:left w:type="dxa" w:w="200"/>
              <w:top w:type="dxa" w:w="200"/>
              <w:right w:type="dxa" w:w="200"/>
              <w:bottom w:type="dxa" w:w="200"/>
            </w:tcMar>
          </w:tcPr>
          <w:p>
            <w:pPr>
              <w:pStyle w:val="Para 002"/>
            </w:pPr>
            <w:r>
              <w:t>A</w:t>
            </w:r>
            <w:r>
              <w:rPr>
                <w:rStyle w:val="Text111"/>
              </w:rPr>
              <w:bookmarkStart w:id="3560" w:name="idm45965187032432"/>
              <w:t/>
              <w:bookmarkEnd w:id="3560"/>
            </w:r>
            <w:r>
              <w:t xml:space="preserve"> complex number with a </w:t>
            </w:r>
            <w:r>
              <w:rPr>
                <w:rStyle w:val="Text0"/>
              </w:rPr>
              <w:t>0.0</w:t>
            </w:r>
            <w:r>
              <w:t xml:space="preserve"> real part and floating-point “Not a Number” (</w:t>
            </w:r>
            <w:r>
              <w:rPr>
                <w:rStyle w:val="Text0"/>
              </w:rPr>
              <w:t>NaN</w:t>
            </w:r>
            <w:r>
              <w:t>) imaginary part.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nextafter</w:t>
            </w:r>
          </w:p>
        </w:tc>
        <w:tc>
          <w:tcPr>
            <w:tcW w:type="auto" w:w="0"/>
            <w:shd w:val="clear" w:color="auto" w:fill="EEF2F6"/>
            <w:tcMar>
              <w:left w:type="dxa" w:w="200"/>
              <w:top w:type="dxa" w:w="200"/>
              <w:right w:type="dxa" w:w="200"/>
              <w:bottom w:type="dxa" w:w="200"/>
            </w:tcMar>
          </w:tcPr>
          <w:p>
            <w:pPr>
              <w:pStyle w:val="Para 002"/>
            </w:pPr>
            <w:r>
              <w:rPr>
                <w:rStyle w:val="Text0"/>
              </w:rPr>
              <w:t>nextafter(</w:t>
            </w:r>
            <w:r>
              <w:rPr>
                <w:rStyle w:val="Text3"/>
              </w:rPr>
              <w:t>a</w:t>
            </w:r>
            <w:r>
              <w:rPr>
                <w:rStyle w:val="Text0"/>
              </w:rPr>
              <w:t>,</w:t>
            </w:r>
            <w:r>
              <w:t xml:space="preserve"> </w:t>
            </w:r>
            <w:r>
              <w:rPr>
                <w:rStyle w:val="Text3"/>
              </w:rPr>
              <w:t>b</w:t>
            </w:r>
            <w:r>
              <w:rPr>
                <w:rStyle w:val="Text0"/>
              </w:rPr>
              <w:t>)</w:t>
              <w:br w:clear="none"/>
            </w:r>
            <w:r>
              <w:t xml:space="preserve"> </w:t>
            </w:r>
            <w:r>
              <w:rPr>
                <w:rStyle w:val="Text34"/>
              </w:rPr>
              <w:t>3.9+</w:t>
            </w:r>
            <w:r>
              <w:t xml:space="preserve"> Returns</w:t>
            </w:r>
            <w:r>
              <w:rPr>
                <w:rStyle w:val="Text111"/>
              </w:rPr>
              <w:bookmarkStart w:id="3561" w:name="idm45965187023360"/>
              <w:t/>
              <w:bookmarkEnd w:id="3561"/>
            </w:r>
            <w:r>
              <w:t xml:space="preserve"> the next higher or lower </w:t>
            </w:r>
            <w:r>
              <w:rPr>
                <w:rStyle w:val="Text0"/>
              </w:rPr>
              <w:t>float</w:t>
            </w:r>
            <w:r>
              <w:t xml:space="preserve"> value from </w:t>
            </w:r>
            <w:r>
              <w:rPr>
                <w:rStyle w:val="Text3"/>
              </w:rPr>
              <w:t>a</w:t>
            </w:r>
            <w:r>
              <w:t xml:space="preserve"> in the direction of </w:t>
            </w:r>
            <w:r>
              <w:rPr>
                <w:rStyle w:val="Text3"/>
              </w:rPr>
              <w:t>b</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perm</w:t>
            </w:r>
          </w:p>
        </w:tc>
        <w:tc>
          <w:tcPr>
            <w:tcW w:type="auto" w:w="0"/>
            <w:tcMar>
              <w:left w:type="dxa" w:w="200"/>
              <w:top w:type="dxa" w:w="200"/>
              <w:right w:type="dxa" w:w="200"/>
              <w:bottom w:type="dxa" w:w="200"/>
            </w:tcMar>
          </w:tcPr>
          <w:p>
            <w:pPr>
              <w:pStyle w:val="Para 002"/>
            </w:pPr>
            <w:r>
              <w:rPr>
                <w:rStyle w:val="Text0"/>
              </w:rPr>
              <w:t>perm(</w:t>
            </w:r>
            <w:r>
              <w:rPr>
                <w:rStyle w:val="Text3"/>
              </w:rPr>
              <w:t>n</w:t>
            </w:r>
            <w:r>
              <w:rPr>
                <w:rStyle w:val="Text0"/>
              </w:rPr>
              <w:t>,</w:t>
            </w:r>
            <w:r>
              <w:t xml:space="preserve"> </w:t>
            </w:r>
            <w:r>
              <w:rPr>
                <w:rStyle w:val="Text3"/>
              </w:rPr>
              <w:t>k</w:t>
            </w:r>
            <w:r>
              <w:rPr>
                <w:rStyle w:val="Text0"/>
              </w:rPr>
              <w:t>)</w:t>
              <w:br w:clear="none"/>
            </w:r>
            <w:r>
              <w:t xml:space="preserve"> </w:t>
            </w:r>
            <w:r>
              <w:rPr>
                <w:rStyle w:val="Text34"/>
              </w:rPr>
              <w:t>3.8+</w:t>
            </w:r>
            <w:r>
              <w:t xml:space="preserve"> Returns</w:t>
            </w:r>
            <w:r>
              <w:rPr>
                <w:rStyle w:val="Text111"/>
              </w:rPr>
              <w:bookmarkStart w:id="3562" w:name="idm45965187013008"/>
              <w:t/>
              <w:bookmarkEnd w:id="3562"/>
            </w:r>
            <w:r>
              <w:t xml:space="preserve"> the number of </w:t>
            </w:r>
            <w:r>
              <w:rPr>
                <w:rStyle w:val="Text4"/>
              </w:rPr>
              <w:t>permutations</w:t>
            </w:r>
            <w:r>
              <w:t xml:space="preserve"> of </w:t>
            </w:r>
            <w:r>
              <w:rPr>
                <w:rStyle w:val="Text3"/>
              </w:rPr>
              <w:t>n</w:t>
            </w:r>
            <w:r>
              <w:t xml:space="preserve"> items taken </w:t>
            </w:r>
            <w:r>
              <w:rPr>
                <w:rStyle w:val="Text3"/>
              </w:rPr>
              <w:t>k</w:t>
            </w:r>
            <w:r>
              <w:t xml:space="preserve"> items at a time, where selections of the same items but in differing order are counted separately. When counting the number of permutations of three items </w:t>
            </w:r>
            <w:r>
              <w:rPr>
                <w:rStyle w:val="Text4"/>
              </w:rPr>
              <w:t>A</w:t>
            </w:r>
            <w:r>
              <w:t xml:space="preserve">, </w:t>
            </w:r>
            <w:r>
              <w:rPr>
                <w:rStyle w:val="Text4"/>
              </w:rPr>
              <w:t>B</w:t>
            </w:r>
            <w:r>
              <w:t xml:space="preserve">, and </w:t>
            </w:r>
            <w:r>
              <w:rPr>
                <w:rStyle w:val="Text4"/>
              </w:rPr>
              <w:t>C</w:t>
            </w:r>
            <w:r>
              <w:t xml:space="preserve">, taken two at a time, </w:t>
            </w:r>
            <w:r>
              <w:rPr>
                <w:rStyle w:val="Text0"/>
              </w:rPr>
              <w:t>perm(3, 2)</w:t>
            </w:r>
            <w:r>
              <w:t xml:space="preserve"> returns </w:t>
            </w:r>
            <w:r>
              <w:rPr>
                <w:rStyle w:val="Text0"/>
              </w:rPr>
              <w:t>6</w:t>
            </w:r>
            <w:r>
              <w:t xml:space="preserve">, because, for example, </w:t>
            </w:r>
            <w:r>
              <w:rPr>
                <w:rStyle w:val="Text4"/>
              </w:rPr>
              <w:t>A</w:t>
            </w:r>
            <w:r>
              <w:t>-</w:t>
            </w:r>
            <w:r>
              <w:rPr>
                <w:rStyle w:val="Text4"/>
              </w:rPr>
              <w:t>B</w:t>
            </w:r>
            <w:r>
              <w:t xml:space="preserve"> and </w:t>
            </w:r>
            <w:r>
              <w:rPr>
                <w:rStyle w:val="Text4"/>
              </w:rPr>
              <w:t>B</w:t>
            </w:r>
            <w:r>
              <w:t>-</w:t>
            </w:r>
            <w:r>
              <w:rPr>
                <w:rStyle w:val="Text4"/>
              </w:rPr>
              <w:t>A</w:t>
            </w:r>
            <w:r>
              <w:t xml:space="preserve"> are considered to be different permutations (contrast this with </w:t>
            </w:r>
            <w:r>
              <w:rPr>
                <w:rStyle w:val="Text0"/>
              </w:rPr>
              <w:t>comb</w:t>
            </w:r>
            <w:r>
              <w:t xml:space="preserve">, earlier in this table). Raises </w:t>
            </w:r>
            <w:r>
              <w:rPr>
                <w:rStyle w:val="Text0"/>
              </w:rPr>
              <w:t>ValueError</w:t>
            </w:r>
            <w:r>
              <w:t xml:space="preserve"> when </w:t>
            </w:r>
            <w:r>
              <w:rPr>
                <w:rStyle w:val="Text3"/>
              </w:rPr>
              <w:t>k</w:t>
            </w:r>
            <w:r>
              <w:t xml:space="preserve"> or </w:t>
            </w:r>
            <w:r>
              <w:rPr>
                <w:rStyle w:val="Text3"/>
              </w:rPr>
              <w:t>n</w:t>
            </w:r>
            <w:r>
              <w:t xml:space="preserve"> is negative; raises </w:t>
            </w:r>
            <w:r>
              <w:rPr>
                <w:rStyle w:val="Text0"/>
              </w:rPr>
              <w:t>TypeError</w:t>
            </w:r>
            <w:r>
              <w:t xml:space="preserve"> when </w:t>
            </w:r>
            <w:r>
              <w:rPr>
                <w:rStyle w:val="Text3"/>
              </w:rPr>
              <w:t>k</w:t>
            </w:r>
            <w:r>
              <w:t xml:space="preserve"> or </w:t>
            </w:r>
            <w:r>
              <w:rPr>
                <w:rStyle w:val="Text3"/>
              </w:rPr>
              <w:t>n</w:t>
            </w:r>
            <w:r>
              <w:t xml:space="preserve"> is not an </w:t>
            </w:r>
            <w:r>
              <w:rPr>
                <w:rStyle w:val="Text0"/>
              </w:rPr>
              <w:t>int</w:t>
            </w:r>
            <w:r>
              <w:t>.</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pi</w:t>
            </w:r>
          </w:p>
        </w:tc>
        <w:tc>
          <w:tcPr>
            <w:tcW w:type="auto" w:w="0"/>
            <w:shd w:val="clear" w:color="auto" w:fill="EEF2F6"/>
            <w:tcMar>
              <w:left w:type="dxa" w:w="200"/>
              <w:top w:type="dxa" w:w="200"/>
              <w:right w:type="dxa" w:w="200"/>
              <w:bottom w:type="dxa" w:w="200"/>
            </w:tcMar>
          </w:tcPr>
          <w:p>
            <w:pPr>
              <w:pStyle w:val="Para 002"/>
            </w:pPr>
            <w:r>
              <w:t xml:space="preserve">The mathematical constant </w:t>
            </w:r>
            <w:r>
              <w:rPr>
                <w:rStyle w:val="Text4"/>
              </w:rPr>
              <w:t>π</w:t>
            </w:r>
            <w:r>
              <w:t>, 3.141592653589793.</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phase</w:t>
            </w:r>
          </w:p>
        </w:tc>
        <w:tc>
          <w:tcPr>
            <w:tcW w:type="auto" w:w="0"/>
            <w:tcMar>
              <w:left w:type="dxa" w:w="200"/>
              <w:top w:type="dxa" w:w="200"/>
              <w:right w:type="dxa" w:w="200"/>
              <w:bottom w:type="dxa" w:w="200"/>
            </w:tcMar>
          </w:tcPr>
          <w:p>
            <w:pPr>
              <w:pStyle w:val="Para 002"/>
            </w:pPr>
            <w:r>
              <w:rPr>
                <w:rStyle w:val="Text0"/>
              </w:rPr>
              <w:t>phase(</w:t>
            </w:r>
            <w:r>
              <w:rPr>
                <w:rStyle w:val="Text3"/>
              </w:rPr>
              <w:t>x</w:t>
            </w:r>
            <w:r>
              <w:rPr>
                <w:rStyle w:val="Text0"/>
              </w:rPr>
              <w:t>)</w:t>
              <w:br w:clear="none"/>
            </w:r>
            <w:r>
              <w:t xml:space="preserve"> Returns</w:t>
            </w:r>
            <w:r>
              <w:rPr>
                <w:rStyle w:val="Text111"/>
              </w:rPr>
              <w:bookmarkStart w:id="3563" w:name="idm45965186992064"/>
              <w:t/>
              <w:bookmarkEnd w:id="3563"/>
            </w:r>
            <w:r>
              <w:t xml:space="preserve"> the </w:t>
            </w:r>
            <w:r>
              <w:rPr>
                <w:rStyle w:val="Text4"/>
              </w:rPr>
              <w:t>phase</w:t>
            </w:r>
            <w:r>
              <w:t xml:space="preserve"> of </w:t>
            </w:r>
            <w:r>
              <w:rPr>
                <w:rStyle w:val="Text3"/>
              </w:rPr>
              <w:t>x</w:t>
            </w:r>
            <w:r>
              <w:t xml:space="preserve">, a </w:t>
            </w:r>
            <w:r>
              <w:rPr>
                <w:rStyle w:val="Text0"/>
              </w:rPr>
              <w:t>float</w:t>
            </w:r>
            <w:r>
              <w:t xml:space="preserve"> in the range (</w:t>
            </w:r>
            <w:r>
              <w:rPr>
                <w:rStyle w:val="Text4"/>
              </w:rPr>
              <w:t>–π</w:t>
            </w:r>
            <w:r>
              <w:t xml:space="preserve">, </w:t>
            </w:r>
            <w:r>
              <w:rPr>
                <w:rStyle w:val="Text4"/>
              </w:rPr>
              <w:t>π</w:t>
            </w:r>
            <w:r>
              <w:t>)</w:t>
            </w:r>
            <w:r>
              <w:rPr>
                <w:rStyle w:val="Text4"/>
              </w:rPr>
              <w:t>.</w:t>
            </w:r>
            <w:r>
              <w:t xml:space="preserve"> Like </w:t>
            </w:r>
            <w:r>
              <w:rPr>
                <w:rStyle w:val="Text0"/>
              </w:rPr>
              <w:t>math.atan2(</w:t>
            </w:r>
            <w:r>
              <w:rPr>
                <w:rStyle w:val="Text3"/>
              </w:rPr>
              <w:t>x</w:t>
            </w:r>
            <w:r>
              <w:rPr>
                <w:rStyle w:val="Text0"/>
              </w:rPr>
              <w:t>.imag,</w:t>
            </w:r>
            <w:r>
              <w:t xml:space="preserve"> </w:t>
            </w:r>
            <w:r>
              <w:rPr>
                <w:rStyle w:val="Text3"/>
              </w:rPr>
              <w:t>x</w:t>
            </w:r>
            <w:r>
              <w:rPr>
                <w:rStyle w:val="Text0"/>
              </w:rPr>
              <w:t>.real)</w:t>
            </w:r>
            <w:r>
              <w:t xml:space="preserve">. See “Conversions to and from polar coordinates” in the </w:t>
            </w:r>
            <w:hyperlink r:id="rId459">
              <w:r>
                <w:rPr>
                  <w:rStyle w:val="Text1"/>
                </w:rPr>
                <w:t>online docs</w:t>
              </w:r>
            </w:hyperlink>
            <w:r>
              <w:t xml:space="preserve"> for details.</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polar</w:t>
            </w:r>
          </w:p>
        </w:tc>
        <w:tc>
          <w:tcPr>
            <w:tcW w:type="auto" w:w="0"/>
            <w:shd w:val="clear" w:color="auto" w:fill="EEF2F6"/>
            <w:tcMar>
              <w:left w:type="dxa" w:w="200"/>
              <w:top w:type="dxa" w:w="200"/>
              <w:right w:type="dxa" w:w="200"/>
              <w:bottom w:type="dxa" w:w="200"/>
            </w:tcMar>
          </w:tcPr>
          <w:p>
            <w:pPr>
              <w:pStyle w:val="Para 002"/>
            </w:pPr>
            <w:r>
              <w:rPr>
                <w:rStyle w:val="Text0"/>
              </w:rPr>
              <w:t>polar(</w:t>
            </w:r>
            <w:r>
              <w:rPr>
                <w:rStyle w:val="Text3"/>
              </w:rPr>
              <w:t>x</w:t>
            </w:r>
            <w:r>
              <w:rPr>
                <w:rStyle w:val="Text0"/>
              </w:rPr>
              <w:t>)</w:t>
              <w:br w:clear="none"/>
            </w:r>
            <w:r>
              <w:t xml:space="preserve"> Returns</w:t>
            </w:r>
            <w:r>
              <w:rPr>
                <w:rStyle w:val="Text111"/>
              </w:rPr>
              <w:bookmarkStart w:id="3564" w:name="idm45965186980080"/>
              <w:t/>
              <w:bookmarkEnd w:id="3564"/>
            </w:r>
            <w:r>
              <w:t xml:space="preserve"> the polar coordinate representation of </w:t>
            </w:r>
            <w:r>
              <w:rPr>
                <w:rStyle w:val="Text3"/>
              </w:rPr>
              <w:t>x</w:t>
            </w:r>
            <w:r>
              <w:t xml:space="preserve">, as a pair </w:t>
            </w:r>
            <w:r>
              <w:rPr>
                <w:rStyle w:val="Text0"/>
              </w:rPr>
              <w:t>(</w:t>
            </w:r>
            <w:r>
              <w:rPr>
                <w:rStyle w:val="Text3"/>
              </w:rPr>
              <w:t>r</w:t>
            </w:r>
            <w:r>
              <w:rPr>
                <w:rStyle w:val="Text0"/>
              </w:rPr>
              <w:t>,</w:t>
            </w:r>
            <w:r>
              <w:t xml:space="preserve"> </w:t>
            </w:r>
            <w:r>
              <w:rPr>
                <w:rStyle w:val="Text3"/>
              </w:rPr>
              <w:t>phi</w:t>
            </w:r>
            <w:r>
              <w:rPr>
                <w:rStyle w:val="Text0"/>
              </w:rPr>
              <w:t>)</w:t>
            </w:r>
            <w:r>
              <w:t xml:space="preserve"> where </w:t>
            </w:r>
            <w:r>
              <w:rPr>
                <w:rStyle w:val="Text3"/>
              </w:rPr>
              <w:t>r</w:t>
            </w:r>
            <w:r>
              <w:t xml:space="preserve"> is the modulus of </w:t>
            </w:r>
            <w:r>
              <w:rPr>
                <w:rStyle w:val="Text3"/>
              </w:rPr>
              <w:t>x</w:t>
            </w:r>
            <w:r>
              <w:t xml:space="preserve"> and </w:t>
            </w:r>
            <w:r>
              <w:rPr>
                <w:rStyle w:val="Text3"/>
              </w:rPr>
              <w:t>phi</w:t>
            </w:r>
            <w:r>
              <w:t xml:space="preserve"> is the phase of </w:t>
            </w:r>
            <w:r>
              <w:rPr>
                <w:rStyle w:val="Text3"/>
              </w:rPr>
              <w:t>x</w:t>
            </w:r>
            <w:r>
              <w:t xml:space="preserve">. Like </w:t>
            </w:r>
            <w:r>
              <w:rPr>
                <w:rStyle w:val="Text0"/>
              </w:rPr>
              <w:t>(abs(</w:t>
            </w:r>
            <w:r>
              <w:rPr>
                <w:rStyle w:val="Text3"/>
              </w:rPr>
              <w:t>x</w:t>
            </w:r>
            <w:r>
              <w:rPr>
                <w:rStyle w:val="Text0"/>
              </w:rPr>
              <w:t>), cmath.phase(</w:t>
            </w:r>
            <w:r>
              <w:rPr>
                <w:rStyle w:val="Text3"/>
              </w:rPr>
              <w:t>x</w:t>
            </w:r>
            <w:r>
              <w:rPr>
                <w:rStyle w:val="Text0"/>
              </w:rPr>
              <w:t>))</w:t>
            </w:r>
            <w:r>
              <w:t xml:space="preserve">. See “Conversions to and from polar coordinates” in the </w:t>
            </w:r>
            <w:hyperlink r:id="rId459">
              <w:r>
                <w:rPr>
                  <w:rStyle w:val="Text1"/>
                </w:rPr>
                <w:t>online docs</w:t>
              </w:r>
            </w:hyperlink>
            <w:r>
              <w:t xml:space="preserve"> for details.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pow</w:t>
            </w:r>
          </w:p>
        </w:tc>
        <w:tc>
          <w:tcPr>
            <w:tcW w:type="auto" w:w="0"/>
            <w:tcMar>
              <w:left w:type="dxa" w:w="200"/>
              <w:top w:type="dxa" w:w="200"/>
              <w:right w:type="dxa" w:w="200"/>
              <w:bottom w:type="dxa" w:w="200"/>
            </w:tcMar>
          </w:tcPr>
          <w:p>
            <w:pPr>
              <w:pStyle w:val="Para 002"/>
            </w:pPr>
            <w:r>
              <w:rPr>
                <w:rStyle w:val="Text0"/>
              </w:rPr>
              <w:t>pow(</w:t>
            </w:r>
            <w:r>
              <w:rPr>
                <w:rStyle w:val="Text3"/>
              </w:rPr>
              <w:t>x, y</w:t>
            </w:r>
            <w:r>
              <w:rPr>
                <w:rStyle w:val="Text0"/>
              </w:rPr>
              <w:t>)</w:t>
              <w:br w:clear="none"/>
            </w:r>
            <w:r>
              <w:t xml:space="preserve"> Returns</w:t>
            </w:r>
            <w:r>
              <w:rPr>
                <w:rStyle w:val="Text111"/>
              </w:rPr>
              <w:bookmarkStart w:id="3565" w:name="idm45965186965632"/>
              <w:t/>
              <w:bookmarkEnd w:id="3565"/>
            </w:r>
            <w:r>
              <w:t xml:space="preserve"> </w:t>
            </w:r>
            <w:r>
              <w:rPr>
                <w:rStyle w:val="Text0"/>
              </w:rPr>
              <w:t>float(</w:t>
            </w:r>
            <w:r>
              <w:rPr>
                <w:rStyle w:val="Text3"/>
              </w:rPr>
              <w:t>x</w:t>
            </w:r>
            <w:r>
              <w:rPr>
                <w:rStyle w:val="Text0"/>
              </w:rPr>
              <w:t>)**float(</w:t>
            </w:r>
            <w:r>
              <w:rPr>
                <w:rStyle w:val="Text3"/>
              </w:rPr>
              <w:t>y</w:t>
            </w:r>
            <w:r>
              <w:rPr>
                <w:rStyle w:val="Text0"/>
              </w:rPr>
              <w:t>)</w:t>
            </w:r>
            <w:r>
              <w:t xml:space="preserve">. For large </w:t>
            </w:r>
            <w:r>
              <w:rPr>
                <w:rStyle w:val="Text0"/>
              </w:rPr>
              <w:t>int</w:t>
            </w:r>
            <w:r>
              <w:t xml:space="preserve"> values of </w:t>
            </w:r>
            <w:r>
              <w:rPr>
                <w:rStyle w:val="Text3"/>
              </w:rPr>
              <w:t>x</w:t>
            </w:r>
            <w:r>
              <w:t xml:space="preserve"> and </w:t>
            </w:r>
            <w:r>
              <w:rPr>
                <w:rStyle w:val="Text3"/>
              </w:rPr>
              <w:t>y</w:t>
            </w:r>
            <w:r>
              <w:t xml:space="preserve">, to avoid </w:t>
            </w:r>
            <w:r>
              <w:rPr>
                <w:rStyle w:val="Text0"/>
              </w:rPr>
              <w:t>OverflowError</w:t>
            </w:r>
            <w:r>
              <w:t xml:space="preserve"> exceptions, use </w:t>
            </w:r>
            <w:r>
              <w:rPr>
                <w:rStyle w:val="Text3"/>
              </w:rPr>
              <w:t>x</w:t>
            </w:r>
            <w:r>
              <w:rPr>
                <w:rStyle w:val="Text0"/>
              </w:rPr>
              <w:t>**</w:t>
            </w:r>
            <w:r>
              <w:rPr>
                <w:rStyle w:val="Text3"/>
              </w:rPr>
              <w:t>y</w:t>
            </w:r>
            <w:r>
              <w:t xml:space="preserve"> or the </w:t>
            </w:r>
            <w:r>
              <w:rPr>
                <w:rStyle w:val="Text0"/>
              </w:rPr>
              <w:t>pow</w:t>
            </w:r>
            <w:r>
              <w:t xml:space="preserve"> built-in function instead (which does not convert to </w:t>
            </w:r>
            <w:r>
              <w:rPr>
                <w:rStyle w:val="Text0"/>
              </w:rPr>
              <w:t>float</w:t>
            </w:r>
            <w:r>
              <w:t>s).</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prod</w:t>
            </w:r>
          </w:p>
        </w:tc>
        <w:tc>
          <w:tcPr>
            <w:tcW w:type="auto" w:w="0"/>
            <w:shd w:val="clear" w:color="auto" w:fill="EEF2F6"/>
            <w:tcMar>
              <w:left w:type="dxa" w:w="200"/>
              <w:top w:type="dxa" w:w="200"/>
              <w:right w:type="dxa" w:w="200"/>
              <w:bottom w:type="dxa" w:w="200"/>
            </w:tcMar>
          </w:tcPr>
          <w:p>
            <w:pPr>
              <w:pStyle w:val="Para 002"/>
            </w:pPr>
            <w:r>
              <w:rPr>
                <w:rStyle w:val="Text0"/>
              </w:rPr>
              <w:t>prod(</w:t>
            </w:r>
            <w:r>
              <w:rPr>
                <w:rStyle w:val="Text3"/>
              </w:rPr>
              <w:t>seq</w:t>
            </w:r>
            <w:r>
              <w:rPr>
                <w:rStyle w:val="Text0"/>
              </w:rPr>
              <w:t>, start=1)</w:t>
              <w:br w:clear="none"/>
            </w:r>
            <w:r>
              <w:t xml:space="preserve"> </w:t>
            </w:r>
            <w:r>
              <w:rPr>
                <w:rStyle w:val="Text34"/>
              </w:rPr>
              <w:t>3.8+</w:t>
            </w:r>
            <w:r>
              <w:t xml:space="preserve"> Returns the product of all values in the sequence, beginning with the given </w:t>
            </w:r>
            <w:r>
              <w:rPr>
                <w:rStyle w:val="Text0"/>
              </w:rPr>
              <w:t>start</w:t>
            </w:r>
            <w:r>
              <w:t xml:space="preserve"> value, which defaults to </w:t>
            </w:r>
            <w:r>
              <w:rPr>
                <w:rStyle w:val="Text0"/>
              </w:rPr>
              <w:t>1</w:t>
            </w:r>
            <w:r>
              <w:t xml:space="preserve">. If </w:t>
            </w:r>
            <w:r>
              <w:rPr>
                <w:rStyle w:val="Text3"/>
              </w:rPr>
              <w:t>seq</w:t>
            </w:r>
            <w:r>
              <w:t xml:space="preserve"> is empty, returns the start value.</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radians</w:t>
            </w:r>
          </w:p>
        </w:tc>
        <w:tc>
          <w:tcPr>
            <w:tcW w:type="auto" w:w="0"/>
            <w:tcMar>
              <w:left w:type="dxa" w:w="200"/>
              <w:top w:type="dxa" w:w="200"/>
              <w:right w:type="dxa" w:w="200"/>
              <w:bottom w:type="dxa" w:w="200"/>
            </w:tcMar>
          </w:tcPr>
          <w:p>
            <w:pPr>
              <w:pStyle w:val="Para 002"/>
            </w:pPr>
            <w:r>
              <w:rPr>
                <w:rStyle w:val="Text0"/>
              </w:rPr>
              <w:t>radians(</w:t>
            </w:r>
            <w:r>
              <w:rPr>
                <w:rStyle w:val="Text3"/>
              </w:rPr>
              <w:t>x</w:t>
            </w:r>
            <w:r>
              <w:rPr>
                <w:rStyle w:val="Text0"/>
              </w:rPr>
              <w:t>)</w:t>
              <w:br w:clear="none"/>
            </w:r>
            <w:r>
              <w:t xml:space="preserve"> Returns the radian measure of the angle </w:t>
            </w:r>
            <w:r>
              <w:rPr>
                <w:rStyle w:val="Text3"/>
              </w:rPr>
              <w:t>x</w:t>
            </w:r>
            <w:r>
              <w:t xml:space="preserve"> given in degrees.</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rect</w:t>
            </w:r>
          </w:p>
        </w:tc>
        <w:tc>
          <w:tcPr>
            <w:tcW w:type="auto" w:w="0"/>
            <w:shd w:val="clear" w:color="auto" w:fill="EEF2F6"/>
            <w:tcMar>
              <w:left w:type="dxa" w:w="200"/>
              <w:top w:type="dxa" w:w="200"/>
              <w:right w:type="dxa" w:w="200"/>
              <w:bottom w:type="dxa" w:w="200"/>
            </w:tcMar>
          </w:tcPr>
          <w:p>
            <w:pPr>
              <w:pStyle w:val="Para 002"/>
            </w:pPr>
            <w:r>
              <w:rPr>
                <w:rStyle w:val="Text0"/>
              </w:rPr>
              <w:t>rect(</w:t>
            </w:r>
            <w:r>
              <w:rPr>
                <w:rStyle w:val="Text3"/>
              </w:rPr>
              <w:t>r</w:t>
            </w:r>
            <w:r>
              <w:rPr>
                <w:rStyle w:val="Text0"/>
              </w:rPr>
              <w:t>,</w:t>
            </w:r>
            <w:r>
              <w:t xml:space="preserve"> </w:t>
            </w:r>
            <w:r>
              <w:rPr>
                <w:rStyle w:val="Text3"/>
              </w:rPr>
              <w:t>phi</w:t>
            </w:r>
            <w:r>
              <w:rPr>
                <w:rStyle w:val="Text0"/>
              </w:rPr>
              <w:t>)</w:t>
              <w:br w:clear="none"/>
            </w:r>
            <w:r>
              <w:t xml:space="preserve"> Returns</w:t>
            </w:r>
            <w:r>
              <w:rPr>
                <w:rStyle w:val="Text111"/>
              </w:rPr>
              <w:bookmarkStart w:id="3566" w:name="idm45965186938432"/>
              <w:t/>
              <w:bookmarkEnd w:id="3566"/>
            </w:r>
            <w:r>
              <w:t xml:space="preserve"> the </w:t>
            </w:r>
            <w:r>
              <w:rPr>
                <w:rStyle w:val="Text0"/>
              </w:rPr>
              <w:t>complex</w:t>
            </w:r>
            <w:r>
              <w:t xml:space="preserve"> value representing the polar coordinates </w:t>
            </w:r>
            <w:r>
              <w:rPr>
                <w:rStyle w:val="Text0"/>
              </w:rPr>
              <w:t>(</w:t>
            </w:r>
            <w:r>
              <w:rPr>
                <w:rStyle w:val="Text3"/>
              </w:rPr>
              <w:t>r</w:t>
            </w:r>
            <w:r>
              <w:rPr>
                <w:rStyle w:val="Text0"/>
              </w:rPr>
              <w:t>,</w:t>
            </w:r>
            <w:r>
              <w:t xml:space="preserve"> </w:t>
            </w:r>
            <w:r>
              <w:rPr>
                <w:rStyle w:val="Text3"/>
              </w:rPr>
              <w:t>phi</w:t>
            </w:r>
            <w:r>
              <w:rPr>
                <w:rStyle w:val="Text0"/>
              </w:rPr>
              <w:t>)</w:t>
            </w:r>
            <w:r>
              <w:t xml:space="preserve"> converted to rectangular coordinates as </w:t>
            </w:r>
            <w:r>
              <w:rPr>
                <w:rStyle w:val="Text0"/>
              </w:rPr>
              <w:t>(</w:t>
            </w:r>
            <w:r>
              <w:rPr>
                <w:rStyle w:val="Text3"/>
              </w:rPr>
              <w:t>x</w:t>
            </w:r>
            <w:r>
              <w:t xml:space="preserve"> </w:t>
            </w:r>
            <w:r>
              <w:rPr>
                <w:rStyle w:val="Text0"/>
              </w:rPr>
              <w:t>+</w:t>
            </w:r>
            <w:r>
              <w:t xml:space="preserve"> </w:t>
            </w:r>
            <w:r>
              <w:rPr>
                <w:rStyle w:val="Text3"/>
              </w:rPr>
              <w:t>yj</w:t>
            </w:r>
            <w:r>
              <w:rPr>
                <w:rStyle w:val="Text0"/>
              </w:rPr>
              <w:t>)</w:t>
            </w: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remainder</w:t>
            </w:r>
          </w:p>
        </w:tc>
        <w:tc>
          <w:tcPr>
            <w:tcW w:type="auto" w:w="0"/>
            <w:tcMar>
              <w:left w:type="dxa" w:w="200"/>
              <w:top w:type="dxa" w:w="200"/>
              <w:right w:type="dxa" w:w="200"/>
              <w:bottom w:type="dxa" w:w="200"/>
            </w:tcMar>
          </w:tcPr>
          <w:p>
            <w:pPr>
              <w:pStyle w:val="Para 002"/>
            </w:pPr>
            <w:r>
              <w:rPr>
                <w:rStyle w:val="Text0"/>
              </w:rPr>
              <w:t>remainder(</w:t>
            </w:r>
            <w:r>
              <w:rPr>
                <w:rStyle w:val="Text3"/>
              </w:rPr>
              <w:t>x</w:t>
            </w:r>
            <w:r>
              <w:rPr>
                <w:rStyle w:val="Text0"/>
              </w:rPr>
              <w:t>,</w:t>
            </w:r>
            <w:r>
              <w:t xml:space="preserve"> </w:t>
            </w:r>
            <w:r>
              <w:rPr>
                <w:rStyle w:val="Text3"/>
              </w:rPr>
              <w:t>y</w:t>
            </w:r>
            <w:r>
              <w:rPr>
                <w:rStyle w:val="Text0"/>
              </w:rPr>
              <w:t>)</w:t>
              <w:br w:clear="none"/>
            </w:r>
            <w:r>
              <w:t xml:space="preserve"> Returns</w:t>
            </w:r>
            <w:r>
              <w:rPr>
                <w:rStyle w:val="Text111"/>
              </w:rPr>
              <w:bookmarkStart w:id="3567" w:name="idm45965186925680"/>
              <w:t/>
              <w:bookmarkEnd w:id="3567"/>
            </w:r>
            <w:r>
              <w:t xml:space="preserve"> the signed remainder from dividing </w:t>
            </w:r>
            <w:r>
              <w:rPr>
                <w:rStyle w:val="Text3"/>
              </w:rPr>
              <w:t>x</w:t>
            </w:r>
            <w:r>
              <w:rPr>
                <w:rStyle w:val="Text0"/>
              </w:rPr>
              <w:t>/</w:t>
            </w:r>
            <w:r>
              <w:rPr>
                <w:rStyle w:val="Text3"/>
              </w:rPr>
              <w:t>y</w:t>
            </w:r>
            <w:r>
              <w:t xml:space="preserve"> (the result may be negative if </w:t>
            </w:r>
            <w:r>
              <w:rPr>
                <w:rStyle w:val="Text3"/>
              </w:rPr>
              <w:t>x</w:t>
            </w:r>
            <w:r>
              <w:t xml:space="preserve"> or </w:t>
            </w:r>
            <w:r>
              <w:rPr>
                <w:rStyle w:val="Text3"/>
              </w:rPr>
              <w:t>y</w:t>
            </w:r>
            <w:r>
              <w:t xml:space="preserve"> is negative).</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sqrt</w:t>
            </w:r>
          </w:p>
        </w:tc>
        <w:tc>
          <w:tcPr>
            <w:tcW w:type="auto" w:w="0"/>
            <w:shd w:val="clear" w:color="auto" w:fill="EEF2F6"/>
            <w:tcMar>
              <w:left w:type="dxa" w:w="200"/>
              <w:top w:type="dxa" w:w="200"/>
              <w:right w:type="dxa" w:w="200"/>
              <w:bottom w:type="dxa" w:w="200"/>
            </w:tcMar>
          </w:tcPr>
          <w:p>
            <w:pPr>
              <w:pStyle w:val="Para 002"/>
            </w:pPr>
            <w:r>
              <w:rPr>
                <w:rStyle w:val="Text0"/>
              </w:rPr>
              <w:t>sqrt(</w:t>
            </w:r>
            <w:r>
              <w:rPr>
                <w:rStyle w:val="Text3"/>
              </w:rPr>
              <w:t>x</w:t>
            </w:r>
            <w:r>
              <w:rPr>
                <w:rStyle w:val="Text0"/>
              </w:rPr>
              <w:t>)</w:t>
              <w:br w:clear="none"/>
            </w:r>
            <w:r>
              <w:t xml:space="preserve"> Returns the square root of </w:t>
            </w:r>
            <w:r>
              <w:rPr>
                <w:rStyle w:val="Text3"/>
              </w:rPr>
              <w:t>x</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17"/>
            </w:pPr>
            <w:r>
              <w:t>✓</w:t>
            </w:r>
          </w:p>
        </w:tc>
      </w:tr>
    </w:tbl>
    <w:tbl>
      <w:tblPr>
        <w:tblW w:type="auto" w:w="0"/>
      </w:tblPr>
      <w:tr>
        <w:tc>
          <w:tcPr>
            <w:tcW w:type="auto" w:w="0"/>
            <w:tcMar>
              <w:left w:type="dxa" w:w="200"/>
              <w:top w:type="dxa" w:w="200"/>
              <w:right w:type="dxa" w:w="200"/>
              <w:bottom w:type="dxa" w:w="200"/>
            </w:tcMar>
          </w:tcPr>
          <w:p>
            <w:pPr>
              <w:pStyle w:val="Para 001"/>
            </w:pPr>
            <w:r>
              <w:t>tau</w:t>
            </w:r>
          </w:p>
        </w:tc>
        <w:tc>
          <w:tcPr>
            <w:tcW w:type="auto" w:w="0"/>
            <w:tcMar>
              <w:left w:type="dxa" w:w="200"/>
              <w:top w:type="dxa" w:w="200"/>
              <w:right w:type="dxa" w:w="200"/>
              <w:bottom w:type="dxa" w:w="200"/>
            </w:tcMar>
          </w:tcPr>
          <w:p>
            <w:pPr>
              <w:pStyle w:val="Para 002"/>
            </w:pPr>
            <w:r>
              <w:t xml:space="preserve">The mathematical constant </w:t>
            </w:r>
            <w:r>
              <w:rPr>
                <w:rStyle w:val="Text4"/>
              </w:rPr>
              <w:t>τ</w:t>
            </w:r>
            <w:r>
              <w:t xml:space="preserve"> = 2</w:t>
            </w:r>
            <w:r>
              <w:rPr>
                <w:rStyle w:val="Text4"/>
              </w:rPr>
              <w:t>π</w:t>
            </w:r>
            <w:r>
              <w:t>, or 6.283185307179586.</w:t>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17"/>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trunc</w:t>
            </w:r>
          </w:p>
        </w:tc>
        <w:tc>
          <w:tcPr>
            <w:tcW w:type="auto" w:w="0"/>
            <w:shd w:val="clear" w:color="auto" w:fill="EEF2F6"/>
            <w:tcMar>
              <w:left w:type="dxa" w:w="200"/>
              <w:top w:type="dxa" w:w="200"/>
              <w:right w:type="dxa" w:w="200"/>
              <w:bottom w:type="dxa" w:w="200"/>
            </w:tcMar>
          </w:tcPr>
          <w:p>
            <w:pPr>
              <w:pStyle w:val="Para 002"/>
            </w:pPr>
            <w:r>
              <w:rPr>
                <w:rStyle w:val="Text0"/>
              </w:rPr>
              <w:t>trunc(</w:t>
            </w:r>
            <w:r>
              <w:rPr>
                <w:rStyle w:val="Text3"/>
              </w:rPr>
              <w:t>x</w:t>
            </w:r>
            <w:r>
              <w:rPr>
                <w:rStyle w:val="Text0"/>
              </w:rPr>
              <w:t>)</w:t>
              <w:br w:clear="none"/>
            </w:r>
            <w:r>
              <w:t xml:space="preserve"> Returns</w:t>
            </w:r>
            <w:r>
              <w:rPr>
                <w:rStyle w:val="Text111"/>
              </w:rPr>
              <w:bookmarkStart w:id="3568" w:name="idm45965186907584"/>
              <w:t/>
              <w:bookmarkEnd w:id="3568"/>
            </w:r>
            <w:r>
              <w:t xml:space="preserve"> </w:t>
            </w:r>
            <w:r>
              <w:rPr>
                <w:rStyle w:val="Text3"/>
              </w:rPr>
              <w:t>x</w:t>
            </w:r>
            <w:r>
              <w:t xml:space="preserve"> truncated to an </w:t>
            </w:r>
            <w:r>
              <w:rPr>
                <w:rStyle w:val="Text0"/>
              </w:rPr>
              <w:t>int</w:t>
            </w:r>
            <w:r>
              <w:t>.</w:t>
            </w:r>
          </w:p>
        </w:tc>
        <w:tc>
          <w:tcPr>
            <w:tcW w:type="auto" w:w="0"/>
            <w:shd w:val="clear" w:color="auto" w:fill="EEF2F6"/>
            <w:tcMar>
              <w:left w:type="dxa" w:w="200"/>
              <w:top w:type="dxa" w:w="200"/>
              <w:right w:type="dxa" w:w="200"/>
              <w:bottom w:type="dxa" w:w="200"/>
            </w:tcMar>
          </w:tcPr>
          <w:p>
            <w:pPr>
              <w:pStyle w:val="Para 017"/>
            </w:pPr>
            <w:r>
              <w:t>✓</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ulp</w:t>
            </w:r>
          </w:p>
        </w:tc>
        <w:tc>
          <w:tcPr>
            <w:tcW w:type="auto" w:w="0"/>
            <w:tcMar>
              <w:left w:type="dxa" w:w="200"/>
              <w:top w:type="dxa" w:w="200"/>
              <w:right w:type="dxa" w:w="200"/>
              <w:bottom w:type="dxa" w:w="200"/>
            </w:tcMar>
          </w:tcPr>
          <w:p>
            <w:pPr>
              <w:pStyle w:val="Para 002"/>
            </w:pPr>
            <w:r>
              <w:rPr>
                <w:rStyle w:val="Text0"/>
              </w:rPr>
              <w:t>ulp(</w:t>
            </w:r>
            <w:r>
              <w:rPr>
                <w:rStyle w:val="Text3"/>
              </w:rPr>
              <w:t>x</w:t>
            </w:r>
            <w:r>
              <w:rPr>
                <w:rStyle w:val="Text0"/>
              </w:rPr>
              <w:t>)</w:t>
              <w:br w:clear="none"/>
            </w:r>
            <w:r>
              <w:t xml:space="preserve"> </w:t>
            </w:r>
            <w:r>
              <w:rPr>
                <w:rStyle w:val="Text34"/>
              </w:rPr>
              <w:t>3.9+</w:t>
            </w:r>
            <w:r>
              <w:t xml:space="preserve"> Returns the least significant bit of floating-point value </w:t>
            </w:r>
            <w:r>
              <w:rPr>
                <w:rStyle w:val="Text3"/>
              </w:rPr>
              <w:t>x</w:t>
            </w:r>
            <w:r>
              <w:t xml:space="preserve">. For positive values, equals </w:t>
            </w:r>
            <w:r>
              <w:rPr>
                <w:rStyle w:val="Text0"/>
              </w:rPr>
              <w:t>math.nextafter(</w:t>
            </w:r>
            <w:r>
              <w:rPr>
                <w:rStyle w:val="Text3"/>
              </w:rPr>
              <w:t>x</w:t>
            </w:r>
            <w:r>
              <w:rPr>
                <w:rStyle w:val="Text0"/>
              </w:rPr>
              <w:t>,</w:t>
            </w:r>
            <w:r>
              <w:t xml:space="preserve"> </w:t>
            </w:r>
            <w:r>
              <w:rPr>
                <w:rStyle w:val="Text3"/>
              </w:rPr>
              <w:t>x</w:t>
            </w:r>
            <w:r>
              <w:rPr>
                <w:rStyle w:val="Text0"/>
              </w:rPr>
              <w:t>+1) - x</w:t>
            </w:r>
            <w:r>
              <w:t xml:space="preserve">. For negative values, equals </w:t>
            </w:r>
            <w:r>
              <w:rPr>
                <w:rStyle w:val="Text0"/>
              </w:rPr>
              <w:t>ulp(-</w:t>
            </w:r>
            <w:r>
              <w:rPr>
                <w:rStyle w:val="Text3"/>
              </w:rPr>
              <w:t>x</w:t>
            </w:r>
            <w:r>
              <w:rPr>
                <w:rStyle w:val="Text0"/>
              </w:rPr>
              <w:t>)</w:t>
            </w:r>
            <w:r>
              <w:t xml:space="preserve">. If </w:t>
            </w:r>
            <w:r>
              <w:rPr>
                <w:rStyle w:val="Text3"/>
              </w:rPr>
              <w:t>x</w:t>
            </w:r>
            <w:r>
              <w:t xml:space="preserve"> is </w:t>
            </w:r>
            <w:r>
              <w:rPr>
                <w:rStyle w:val="Text0"/>
              </w:rPr>
              <w:t>NaN</w:t>
            </w:r>
            <w:r>
              <w:t xml:space="preserve"> or </w:t>
            </w:r>
            <w:r>
              <w:rPr>
                <w:rStyle w:val="Text0"/>
              </w:rPr>
              <w:t>inf</w:t>
            </w:r>
            <w:r>
              <w:t xml:space="preserve">, returns </w:t>
            </w:r>
            <w:r>
              <w:rPr>
                <w:rStyle w:val="Text3"/>
              </w:rPr>
              <w:t>x</w:t>
            </w:r>
            <w:r>
              <w:t xml:space="preserve">. </w:t>
            </w:r>
            <w:r>
              <w:rPr>
                <w:rStyle w:val="Text0"/>
              </w:rPr>
              <w:t>ulp</w:t>
            </w:r>
            <w:r>
              <w:t xml:space="preserve"> stands for </w:t>
            </w:r>
            <w:hyperlink r:id="rId460">
              <w:r>
                <w:rPr>
                  <w:rStyle w:val="Text24"/>
                </w:rPr>
                <w:t>unit of least precision</w:t>
              </w:r>
            </w:hyperlink>
            <w:r>
              <w:t>.</w:t>
            </w:r>
            <w:r>
              <w:rPr>
                <w:rStyle w:val="Text111"/>
              </w:rPr>
              <w:bookmarkStart w:id="3569" w:name="idm45965186890448"/>
              <w:t/>
              <w:bookmarkEnd w:id="3569"/>
              <w:bookmarkStart w:id="3570" w:name="idm45965186889072"/>
              <w:t/>
              <w:bookmarkEnd w:id="3570"/>
              <w:bookmarkStart w:id="3571" w:name="idm45965186887696"/>
              <w:t/>
              <w:bookmarkEnd w:id="3571"/>
            </w:r>
          </w:p>
        </w:tc>
        <w:tc>
          <w:tcPr>
            <w:tcW w:type="auto" w:w="0"/>
            <w:tcMar>
              <w:left w:type="dxa" w:w="200"/>
              <w:top w:type="dxa" w:w="200"/>
              <w:right w:type="dxa" w:w="200"/>
              <w:bottom w:type="dxa" w:w="200"/>
            </w:tcMar>
          </w:tcPr>
          <w:p>
            <w:pPr>
              <w:pStyle w:val="Para 017"/>
            </w:pPr>
            <w:r>
              <w:t>✓</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hMerge w:val="restart"/>
          </w:tcPr>
          <w:p>
            <w:bookmarkStart w:id="3572" w:name="a_Formally__m_is_the_significand"/>
            <w:pPr>
              <w:pStyle w:val="Para 036"/>
            </w:pPr>
            <w:hyperlink w:anchor="a_15">
              <w:r>
                <w:rPr>
                  <w:rStyle w:val="Text1"/>
                </w:rPr>
                <w:t>a</w:t>
              </w:r>
            </w:hyperlink>
            <w:r>
              <w:t xml:space="preserve"> Formally, </w:t>
            </w:r>
            <w:r>
              <w:rPr>
                <w:rStyle w:val="Text3"/>
              </w:rPr>
              <w:t>m</w:t>
            </w:r>
            <w:r>
              <w:t xml:space="preserve"> is the significand, and </w:t>
            </w:r>
            <w:r>
              <w:rPr>
                <w:rStyle w:val="Text3"/>
              </w:rPr>
              <w:t>e</w:t>
            </w:r>
            <w:r>
              <w:t xml:space="preserve"> is the exponent. Used to render a cross-platform portable representation of a floating-point value.</w:t>
            </w:r>
            <w:bookmarkEnd w:id="3572"/>
          </w:p>
        </w:tc>
        <w:tc>
          <w:tcPr>
            <w:hMerge w:val="continue"/>
          </w:tcPr>
          <w:p/>
        </w:tc>
        <w:tc>
          <w:tcPr>
            <w:hMerge w:val="continue"/>
          </w:tcPr>
          <w:p/>
        </w:tc>
        <w:tc>
          <w:tcPr>
            <w:hMerge w:val="continue"/>
          </w:tcPr>
          <w:p/>
        </w:tc>
      </w:tr>
    </w:tbl>
    <w:p>
      <w:bookmarkStart w:id="3573" w:name="The_statistics_Module__The_stati"/>
      <w:pPr>
        <w:keepNext/>
        <w:pStyle w:val="Heading 1"/>
      </w:pPr>
      <w:r>
        <w:t>The statistics Module</w:t>
      </w:r>
      <w:bookmarkEnd w:id="3573"/>
    </w:p>
    <w:p>
      <w:pPr>
        <w:pStyle w:val="Normal"/>
      </w:pPr>
      <w:r>
        <w:t>The</w:t>
      </w:r>
      <w:r>
        <w:rPr>
          <w:rStyle w:val="Text111"/>
        </w:rPr>
        <w:bookmarkStart w:id="3574" w:name="idm45965186884224"/>
        <w:t/>
        <w:bookmarkEnd w:id="3574"/>
        <w:bookmarkStart w:id="3575" w:name="idm45965186882848"/>
        <w:t/>
        <w:bookmarkEnd w:id="3575"/>
        <w:bookmarkStart w:id="3576" w:name="idm45965186881712"/>
        <w:t/>
        <w:bookmarkEnd w:id="3576"/>
      </w:r>
      <w:r>
        <w:t xml:space="preserve"> </w:t>
      </w:r>
      <w:r>
        <w:rPr>
          <w:rStyle w:val="Text0"/>
        </w:rPr>
        <w:t>statistics</w:t>
      </w:r>
      <w:r>
        <w:t xml:space="preserve"> module supplies the class </w:t>
      </w:r>
      <w:r>
        <w:rPr>
          <w:rStyle w:val="Text0"/>
        </w:rPr>
        <w:t>NormalDist</w:t>
      </w:r>
      <w:r>
        <w:t xml:space="preserve"> to perform distribution analytics, and the functions listed in </w:t>
      </w:r>
      <w:hyperlink w:anchor="Table_16_2__Functions_of_the_sta">
        <w:r>
          <w:rPr>
            <w:rStyle w:val="Text1"/>
          </w:rPr>
          <w:t>Table 16-2</w:t>
        </w:r>
      </w:hyperlink>
      <w:r>
        <w:t xml:space="preserve"> to compute common statistics.</w:t>
      </w:r>
    </w:p>
    <w:tbl>
      <w:tblPr>
        <w:tblW w:type="auto" w:w="0"/>
      </w:tblPr>
      <w:tr>
        <w:tc>
          <w:tcPr>
            <w:tcW w:type="auto" w:w="0"/>
            <w:tcMar>
              <w:left w:type="dxa" w:w="200"/>
              <w:top w:type="dxa" w:w="200"/>
              <w:right w:type="dxa" w:w="200"/>
              <w:bottom w:type="dxa" w:w="200"/>
            </w:tcMar>
            <w:vAlign w:val="center"/>
          </w:tcPr>
          <w:p>
            <w:bookmarkStart w:id="3577" w:name="Table_16_2__Functions_of_the_sta"/>
            <w:pPr>
              <w:pStyle w:val="Para 011"/>
            </w:pPr>
            <w:r>
              <w:rPr>
                <w:rStyle w:val="Text117"/>
              </w:rPr>
              <w:t/>
            </w:r>
            <w:r>
              <w:t xml:space="preserve">Table 16-2. </w:t>
              <w:t xml:space="preserve">Functions of the </w:t>
            </w:r>
            <w:r>
              <w:rPr>
                <w:rStyle w:val="Text0"/>
              </w:rPr>
              <w:t>statistics</w:t>
            </w:r>
            <w:r>
              <w:t xml:space="preserve"> module (with functions added in versions 3.8 and 3.10)</w:t>
            </w:r>
            <w:bookmarkEnd w:id="3577"/>
          </w:p>
          <w:p>
            <w:pPr>
              <w:pStyle w:val="Para 013"/>
            </w:pPr>
            <w:r>
              <w:t/>
            </w:r>
          </w:p>
        </w:tc>
        <w:tc>
          <w:tcPr>
            <w:tcW w:type="auto" w:w="0"/>
            <w:tcMar>
              <w:left w:type="dxa" w:w="200"/>
              <w:top w:type="dxa" w:w="200"/>
              <w:right w:type="dxa" w:w="200"/>
              <w:bottom w:type="dxa" w:w="200"/>
            </w:tcMar>
            <w:vAlign w:val="center"/>
          </w:tcPr>
          <w:p>
            <w:pPr>
              <w:pStyle w:val="Para 092"/>
            </w:pPr>
            <w:r>
              <w:t>3.8+</w:t>
            </w:r>
          </w:p>
        </w:tc>
        <w:tc>
          <w:tcPr>
            <w:tcW w:type="auto" w:w="0"/>
            <w:tcMar>
              <w:left w:type="dxa" w:w="200"/>
              <w:top w:type="dxa" w:w="200"/>
              <w:right w:type="dxa" w:w="200"/>
              <w:bottom w:type="dxa" w:w="200"/>
            </w:tcMar>
            <w:vAlign w:val="center"/>
          </w:tcPr>
          <w:p>
            <w:pPr>
              <w:pStyle w:val="Para 092"/>
            </w:pPr>
            <w:r>
              <w:t>3.10+</w:t>
            </w:r>
          </w:p>
        </w:tc>
      </w:tr>
    </w:tbl>
    <w:tbl>
      <w:tblPr>
        <w:tblW w:type="auto" w:w="0"/>
      </w:tblPr>
      <w:tr>
        <w:tc>
          <w:tcPr>
            <w:tcW w:type="auto" w:w="0"/>
            <w:tcMar>
              <w:left w:type="dxa" w:w="200"/>
              <w:top w:type="dxa" w:w="200"/>
              <w:right w:type="dxa" w:w="200"/>
              <w:bottom w:type="dxa" w:w="200"/>
            </w:tcMar>
          </w:tcPr>
          <w:p>
            <w:pPr>
              <w:pStyle w:val="Para 001"/>
            </w:pPr>
            <w:r>
              <w:t>harmonic_mean</w:t>
              <w:br w:clear="none"/>
            </w:r>
            <w:r>
              <w:rPr>
                <w:rStyle w:val="Text12"/>
              </w:rPr>
              <w:t xml:space="preserve"> </w:t>
            </w:r>
            <w:r>
              <w:t>mean</w:t>
              <w:br w:clear="none"/>
            </w:r>
            <w:r>
              <w:rPr>
                <w:rStyle w:val="Text12"/>
              </w:rPr>
              <w:t xml:space="preserve"> </w:t>
            </w:r>
            <w:r>
              <w:t>median</w:t>
              <w:br w:clear="none"/>
            </w:r>
            <w:r>
              <w:rPr>
                <w:rStyle w:val="Text12"/>
              </w:rPr>
              <w:t xml:space="preserve"> </w:t>
            </w:r>
            <w:r>
              <w:t>median_grouped</w:t>
              <w:br w:clear="none"/>
            </w:r>
            <w:r>
              <w:rPr>
                <w:rStyle w:val="Text12"/>
              </w:rPr>
              <w:t xml:space="preserve"> </w:t>
            </w:r>
            <w:r>
              <w:t>median_high</w:t>
              <w:br w:clear="none"/>
            </w:r>
            <w:r>
              <w:rPr>
                <w:rStyle w:val="Text12"/>
              </w:rPr>
              <w:t xml:space="preserve"> </w:t>
            </w:r>
            <w:r>
              <w:t>median_low</w:t>
              <w:br w:clear="none"/>
            </w:r>
            <w:r>
              <w:rPr>
                <w:rStyle w:val="Text12"/>
              </w:rPr>
              <w:t xml:space="preserve"> </w:t>
            </w:r>
            <w:r>
              <w:t>mode</w:t>
              <w:br w:clear="none"/>
            </w:r>
            <w:r>
              <w:rPr>
                <w:rStyle w:val="Text12"/>
              </w:rPr>
              <w:t xml:space="preserve"> </w:t>
            </w:r>
            <w:r>
              <w:t>pstdev</w:t>
              <w:br w:clear="none"/>
            </w:r>
            <w:r>
              <w:rPr>
                <w:rStyle w:val="Text12"/>
              </w:rPr>
              <w:t xml:space="preserve"> </w:t>
            </w:r>
            <w:r>
              <w:t>pvariance</w:t>
              <w:br w:clear="none"/>
            </w:r>
            <w:r>
              <w:rPr>
                <w:rStyle w:val="Text12"/>
              </w:rPr>
              <w:t xml:space="preserve"> </w:t>
            </w:r>
            <w:r>
              <w:t>stdev</w:t>
              <w:br w:clear="none"/>
            </w:r>
            <w:r>
              <w:rPr>
                <w:rStyle w:val="Text12"/>
              </w:rPr>
              <w:t xml:space="preserve"> </w:t>
            </w:r>
            <w:r>
              <w:t>variance</w:t>
            </w:r>
          </w:p>
        </w:tc>
        <w:tc>
          <w:tcPr>
            <w:tcW w:type="auto" w:w="0"/>
            <w:tcMar>
              <w:left w:type="dxa" w:w="200"/>
              <w:top w:type="dxa" w:w="200"/>
              <w:right w:type="dxa" w:w="200"/>
              <w:bottom w:type="dxa" w:w="200"/>
            </w:tcMar>
          </w:tcPr>
          <w:p>
            <w:pPr>
              <w:pStyle w:val="Para 001"/>
            </w:pPr>
            <w:r>
              <w:t>fmean</w:t>
              <w:br w:clear="none"/>
            </w:r>
            <w:r>
              <w:rPr>
                <w:rStyle w:val="Text12"/>
              </w:rPr>
              <w:t xml:space="preserve"> </w:t>
            </w:r>
            <w:r>
              <w:t>geometric_mean</w:t>
              <w:br w:clear="none"/>
            </w:r>
            <w:r>
              <w:rPr>
                <w:rStyle w:val="Text12"/>
              </w:rPr>
              <w:t xml:space="preserve"> </w:t>
            </w:r>
            <w:r>
              <w:t>multimode</w:t>
              <w:br w:clear="none"/>
            </w:r>
            <w:r>
              <w:rPr>
                <w:rStyle w:val="Text12"/>
              </w:rPr>
              <w:t xml:space="preserve"> </w:t>
            </w:r>
            <w:r>
              <w:t>quantiles</w:t>
              <w:br w:clear="none"/>
            </w:r>
            <w:r>
              <w:rPr>
                <w:rStyle w:val="Text12"/>
              </w:rPr>
              <w:t xml:space="preserve"> </w:t>
            </w:r>
            <w:r>
              <w:t>NormalDist</w:t>
            </w:r>
          </w:p>
        </w:tc>
        <w:tc>
          <w:tcPr>
            <w:tcW w:type="auto" w:w="0"/>
            <w:tcMar>
              <w:left w:type="dxa" w:w="200"/>
              <w:top w:type="dxa" w:w="200"/>
              <w:right w:type="dxa" w:w="200"/>
              <w:bottom w:type="dxa" w:w="200"/>
            </w:tcMar>
          </w:tcPr>
          <w:p>
            <w:pPr>
              <w:pStyle w:val="Para 001"/>
            </w:pPr>
            <w:r>
              <w:t>correlation</w:t>
              <w:br w:clear="none"/>
            </w:r>
            <w:r>
              <w:rPr>
                <w:rStyle w:val="Text12"/>
              </w:rPr>
              <w:t xml:space="preserve"> </w:t>
            </w:r>
            <w:r>
              <w:t>covariance</w:t>
              <w:br w:clear="none"/>
            </w:r>
            <w:r>
              <w:rPr>
                <w:rStyle w:val="Text12"/>
              </w:rPr>
              <w:t xml:space="preserve"> </w:t>
            </w:r>
            <w:r>
              <w:t>linear_regression</w:t>
            </w:r>
          </w:p>
        </w:tc>
      </w:tr>
    </w:tbl>
    <w:p>
      <w:pPr>
        <w:pStyle w:val="Normal"/>
      </w:pPr>
      <w:r>
        <w:t xml:space="preserve">The </w:t>
      </w:r>
      <w:hyperlink r:id="rId461">
        <w:r>
          <w:rPr>
            <w:rStyle w:val="Text1"/>
          </w:rPr>
          <w:t>online docs</w:t>
        </w:r>
      </w:hyperlink>
      <w:r>
        <w:t xml:space="preserve"> contain detailed information on the signatures and use of these functions.</w:t>
      </w:r>
    </w:p>
    <w:p>
      <w:bookmarkStart w:id="3578" w:name="The_operator_Module__The_operato"/>
      <w:pPr>
        <w:keepNext/>
        <w:pStyle w:val="Heading 1"/>
      </w:pPr>
      <w:r>
        <w:t>The operator Module</w:t>
      </w:r>
      <w:bookmarkEnd w:id="3578"/>
    </w:p>
    <w:p>
      <w:pPr>
        <w:pStyle w:val="Normal"/>
      </w:pPr>
      <w:r>
        <w:t>The</w:t>
      </w:r>
      <w:r>
        <w:rPr>
          <w:rStyle w:val="Text111"/>
        </w:rPr>
        <w:bookmarkStart w:id="3579" w:name="NPoperator16"/>
        <w:t/>
        <w:bookmarkEnd w:id="3579"/>
        <w:bookmarkStart w:id="3580" w:name="opmod16"/>
        <w:t/>
        <w:bookmarkEnd w:id="3580"/>
        <w:bookmarkStart w:id="3581" w:name="idm45965186848912"/>
        <w:t/>
        <w:bookmarkEnd w:id="3581"/>
      </w:r>
      <w:r>
        <w:t xml:space="preserve"> </w:t>
      </w:r>
      <w:r>
        <w:rPr>
          <w:rStyle w:val="Text0"/>
        </w:rPr>
        <w:t>operator</w:t>
      </w:r>
      <w:r>
        <w:t xml:space="preserve"> module supplies functions that are equivalent to Python’s operators. These functions are handy in cases where callables must be stored, passed as arguments, or returned as function results. The functions in </w:t>
      </w:r>
      <w:r>
        <w:rPr>
          <w:rStyle w:val="Text0"/>
        </w:rPr>
        <w:t>operator</w:t>
      </w:r>
      <w:r>
        <w:t xml:space="preserve"> have the same names as the corresponding special methods (covered in </w:t>
      </w:r>
      <w:hyperlink w:anchor="Special_Methods__A_class_may_def">
        <w:r>
          <w:rPr>
            <w:rStyle w:val="Text1"/>
          </w:rPr>
          <w:t>“Special Methods”</w:t>
        </w:r>
      </w:hyperlink>
      <w:r>
        <w:t>). Each function is available with two names, with and</w:t>
      </w:r>
      <w:r>
        <w:rPr>
          <w:rStyle w:val="Text111"/>
        </w:rPr>
        <w:bookmarkStart w:id="3582" w:name="idm45965186844928"/>
        <w:t/>
        <w:bookmarkEnd w:id="3582"/>
      </w:r>
      <w:r>
        <w:t xml:space="preserve"> without “dunder” (leading and trailing double underscores): for example, both </w:t>
      </w:r>
      <w:r>
        <w:rPr>
          <w:rStyle w:val="Text0"/>
        </w:rPr>
        <w:t>operator.add(</w:t>
      </w:r>
      <w:r>
        <w:rPr>
          <w:rStyle w:val="Text3"/>
        </w:rPr>
        <w:t>a</w:t>
      </w:r>
      <w:r>
        <w:rPr>
          <w:rStyle w:val="Text0"/>
        </w:rPr>
        <w:t>,</w:t>
      </w:r>
      <w:r>
        <w:t xml:space="preserve"> </w:t>
      </w:r>
      <w:r>
        <w:rPr>
          <w:rStyle w:val="Text3"/>
        </w:rPr>
        <w:t>b</w:t>
      </w:r>
      <w:r>
        <w:rPr>
          <w:rStyle w:val="Text0"/>
        </w:rPr>
        <w:t>)</w:t>
      </w:r>
      <w:r>
        <w:t xml:space="preserve"> and </w:t>
      </w:r>
      <w:r>
        <w:rPr>
          <w:rStyle w:val="Text0"/>
        </w:rPr>
        <w:t>operator.__add__(</w:t>
      </w:r>
      <w:r>
        <w:rPr>
          <w:rStyle w:val="Text3"/>
        </w:rPr>
        <w:t>a</w:t>
      </w:r>
      <w:r>
        <w:rPr>
          <w:rStyle w:val="Text0"/>
        </w:rPr>
        <w:t>,</w:t>
      </w:r>
      <w:r>
        <w:t xml:space="preserve"> </w:t>
      </w:r>
      <w:r>
        <w:rPr>
          <w:rStyle w:val="Text3"/>
        </w:rPr>
        <w:t>b</w:t>
      </w:r>
      <w:r>
        <w:rPr>
          <w:rStyle w:val="Text0"/>
        </w:rPr>
        <w:t>)</w:t>
      </w:r>
      <w:r>
        <w:t xml:space="preserve"> return </w:t>
      </w:r>
      <w:r>
        <w:rPr>
          <w:rStyle w:val="Text3"/>
        </w:rPr>
        <w:t>a + b</w:t>
      </w:r>
      <w:r>
        <w:t>.</w:t>
      </w:r>
    </w:p>
    <w:p>
      <w:pPr>
        <w:pStyle w:val="Normal"/>
      </w:pPr>
      <w:r>
        <w:t>Matrix multiplication</w:t>
      </w:r>
      <w:r>
        <w:rPr>
          <w:rStyle w:val="Text111"/>
        </w:rPr>
        <w:bookmarkStart w:id="3583" w:name="idm45965186837104"/>
        <w:t/>
        <w:bookmarkEnd w:id="3583"/>
        <w:bookmarkStart w:id="3584" w:name="idm45965186836000"/>
        <w:t/>
        <w:bookmarkEnd w:id="3584"/>
        <w:bookmarkStart w:id="3585" w:name="idm45965186834592"/>
        <w:t/>
        <w:bookmarkEnd w:id="3585"/>
      </w:r>
      <w:r>
        <w:t xml:space="preserve"> support has been added for the infix operator </w:t>
      </w:r>
      <w:r>
        <w:rPr>
          <w:rStyle w:val="Text0"/>
        </w:rPr>
        <w:t>@</w:t>
      </w:r>
      <w:r>
        <w:t xml:space="preserve">, but you must implement it by defining your own </w:t>
      </w:r>
      <w:r>
        <w:rPr>
          <w:rStyle w:val="Text0"/>
        </w:rPr>
        <w:t>__matmul__</w:t>
      </w:r>
      <w:r>
        <w:t xml:space="preserve">, </w:t>
      </w:r>
      <w:r>
        <w:rPr>
          <w:rStyle w:val="Text0"/>
        </w:rPr>
        <w:t>__rmatmul__</w:t>
      </w:r>
      <w:r>
        <w:t xml:space="preserve">, and/or </w:t>
      </w:r>
      <w:r>
        <w:rPr>
          <w:rStyle w:val="Text0"/>
        </w:rPr>
        <w:t>__imatmul__</w:t>
      </w:r>
      <w:r>
        <w:t xml:space="preserve"> methods; NumPy currently supports </w:t>
      </w:r>
      <w:r>
        <w:rPr>
          <w:rStyle w:val="Text0"/>
        </w:rPr>
        <w:t>@</w:t>
      </w:r>
      <w:r>
        <w:t xml:space="preserve"> (but, as of this writing, not yet </w:t>
      </w:r>
      <w:r>
        <w:rPr>
          <w:rStyle w:val="Text0"/>
        </w:rPr>
        <w:t>@=</w:t>
      </w:r>
      <w:r>
        <w:t>) for matrix multiplication.</w:t>
      </w:r>
    </w:p>
    <w:p>
      <w:pPr>
        <w:pStyle w:val="Normal"/>
      </w:pPr>
      <w:hyperlink w:anchor="Table_16_3__Functions_supplied_b">
        <w:r>
          <w:rPr>
            <w:rStyle w:val="Text1"/>
          </w:rPr>
          <w:t>Table 16-3</w:t>
        </w:r>
      </w:hyperlink>
      <w:r>
        <w:t xml:space="preserve"> lists some of the functions supplied by the </w:t>
      </w:r>
      <w:r>
        <w:rPr>
          <w:rStyle w:val="Text0"/>
        </w:rPr>
        <w:t>operator</w:t>
      </w:r>
      <w:r>
        <w:t xml:space="preserve"> module. For detailed information on these functions and their use, see the </w:t>
      </w:r>
      <w:hyperlink r:id="rId462">
        <w:r>
          <w:rPr>
            <w:rStyle w:val="Text1"/>
          </w:rPr>
          <w:t>online docs</w:t>
        </w:r>
      </w:hyperlink>
      <w:r>
        <w:t>.</w:t>
      </w:r>
    </w:p>
    <w:tbl>
      <w:tblPr>
        <w:tblW w:type="auto" w:w="0"/>
      </w:tblPr>
      <w:tr>
        <w:tc>
          <w:tcPr>
            <w:tcW w:type="auto" w:w="0"/>
            <w:tcMar>
              <w:left w:type="dxa" w:w="200"/>
              <w:top w:type="dxa" w:w="200"/>
              <w:right w:type="dxa" w:w="200"/>
              <w:bottom w:type="dxa" w:w="200"/>
            </w:tcMar>
            <w:vAlign w:val="center"/>
          </w:tcPr>
          <w:p>
            <w:bookmarkStart w:id="3586" w:name="Table_16_3__Functions_supplied_b"/>
            <w:pPr>
              <w:pStyle w:val="Para 011"/>
            </w:pPr>
            <w:r>
              <w:rPr>
                <w:rStyle w:val="Text117"/>
              </w:rPr>
              <w:t/>
            </w:r>
            <w:r>
              <w:t xml:space="preserve">Table 16-3. </w:t>
              <w:t xml:space="preserve">Functions supplied by the </w:t>
            </w:r>
            <w:r>
              <w:rPr>
                <w:rStyle w:val="Text0"/>
              </w:rPr>
              <w:t>operator</w:t>
            </w:r>
            <w:r>
              <w:t xml:space="preserve"> module</w:t>
            </w:r>
            <w:bookmarkEnd w:id="3586"/>
          </w:p>
          <w:p>
            <w:pPr>
              <w:pStyle w:val="Para 013"/>
            </w:pPr>
            <w:r>
              <w:t>Function</w:t>
            </w:r>
          </w:p>
        </w:tc>
        <w:tc>
          <w:tcPr>
            <w:tcW w:type="auto" w:w="0"/>
            <w:tcMar>
              <w:left w:type="dxa" w:w="200"/>
              <w:top w:type="dxa" w:w="200"/>
              <w:right w:type="dxa" w:w="200"/>
              <w:bottom w:type="dxa" w:w="200"/>
            </w:tcMar>
            <w:vAlign w:val="center"/>
          </w:tcPr>
          <w:p>
            <w:pPr>
              <w:pStyle w:val="Para 013"/>
            </w:pPr>
            <w:r>
              <w:t>Signature</w:t>
            </w:r>
          </w:p>
        </w:tc>
        <w:tc>
          <w:tcPr>
            <w:tcW w:type="auto" w:w="0"/>
            <w:tcMar>
              <w:left w:type="dxa" w:w="200"/>
              <w:top w:type="dxa" w:w="200"/>
              <w:right w:type="dxa" w:w="200"/>
              <w:bottom w:type="dxa" w:w="200"/>
            </w:tcMar>
            <w:vAlign w:val="center"/>
          </w:tcPr>
          <w:p>
            <w:pPr>
              <w:pStyle w:val="Para 013"/>
            </w:pPr>
            <w:r>
              <w:t>Behaves like</w:t>
            </w:r>
          </w:p>
        </w:tc>
      </w:tr>
    </w:tbl>
    <w:tbl>
      <w:tblPr>
        <w:tblW w:type="auto" w:w="0"/>
      </w:tblPr>
      <w:tr>
        <w:tc>
          <w:tcPr>
            <w:tcW w:type="auto" w:w="0"/>
            <w:tcMar>
              <w:left w:type="dxa" w:w="200"/>
              <w:top w:type="dxa" w:w="200"/>
              <w:right w:type="dxa" w:w="200"/>
              <w:bottom w:type="dxa" w:w="200"/>
            </w:tcMar>
          </w:tcPr>
          <w:p>
            <w:pPr>
              <w:pStyle w:val="Para 001"/>
            </w:pPr>
            <w:r>
              <w:t>abs</w:t>
            </w:r>
          </w:p>
        </w:tc>
        <w:tc>
          <w:tcPr>
            <w:tcW w:type="auto" w:w="0"/>
            <w:tcMar>
              <w:left w:type="dxa" w:w="200"/>
              <w:top w:type="dxa" w:w="200"/>
              <w:right w:type="dxa" w:w="200"/>
              <w:bottom w:type="dxa" w:w="200"/>
            </w:tcMar>
          </w:tcPr>
          <w:p>
            <w:pPr>
              <w:pStyle w:val="Para 001"/>
            </w:pPr>
            <w:r>
              <w:t>abs(</w:t>
            </w:r>
            <w:r>
              <w:rPr>
                <w:rStyle w:val="Text3"/>
              </w:rPr>
              <w:t>a</w:t>
            </w:r>
            <w:r>
              <w:t>)</w:t>
            </w:r>
          </w:p>
        </w:tc>
        <w:tc>
          <w:tcPr>
            <w:tcW w:type="auto" w:w="0"/>
            <w:tcMar>
              <w:left w:type="dxa" w:w="200"/>
              <w:top w:type="dxa" w:w="200"/>
              <w:right w:type="dxa" w:w="200"/>
              <w:bottom w:type="dxa" w:w="200"/>
            </w:tcMar>
          </w:tcPr>
          <w:p>
            <w:pPr>
              <w:pStyle w:val="Para 001"/>
            </w:pPr>
            <w:r>
              <w:t>abs(</w:t>
            </w:r>
            <w:r>
              <w:rPr>
                <w:rStyle w:val="Text3"/>
              </w:rPr>
              <w:t>a</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add</w:t>
            </w:r>
          </w:p>
        </w:tc>
        <w:tc>
          <w:tcPr>
            <w:tcW w:type="auto" w:w="0"/>
            <w:shd w:val="clear" w:color="auto" w:fill="EEF2F6"/>
            <w:tcMar>
              <w:left w:type="dxa" w:w="200"/>
              <w:top w:type="dxa" w:w="200"/>
              <w:right w:type="dxa" w:w="200"/>
              <w:bottom w:type="dxa" w:w="200"/>
            </w:tcMar>
          </w:tcPr>
          <w:p>
            <w:pPr>
              <w:pStyle w:val="Para 001"/>
            </w:pPr>
            <w:r>
              <w:t>add(</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and_</w:t>
            </w:r>
          </w:p>
        </w:tc>
        <w:tc>
          <w:tcPr>
            <w:tcW w:type="auto" w:w="0"/>
            <w:tcMar>
              <w:left w:type="dxa" w:w="200"/>
              <w:top w:type="dxa" w:w="200"/>
              <w:right w:type="dxa" w:w="200"/>
              <w:bottom w:type="dxa" w:w="200"/>
            </w:tcMar>
          </w:tcPr>
          <w:p>
            <w:pPr>
              <w:pStyle w:val="Para 001"/>
            </w:pPr>
            <w:r>
              <w:t>and_(</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&amp;</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concat</w:t>
            </w:r>
          </w:p>
        </w:tc>
        <w:tc>
          <w:tcPr>
            <w:tcW w:type="auto" w:w="0"/>
            <w:shd w:val="clear" w:color="auto" w:fill="EEF2F6"/>
            <w:tcMar>
              <w:left w:type="dxa" w:w="200"/>
              <w:top w:type="dxa" w:w="200"/>
              <w:right w:type="dxa" w:w="200"/>
              <w:bottom w:type="dxa" w:w="200"/>
            </w:tcMar>
          </w:tcPr>
          <w:p>
            <w:pPr>
              <w:pStyle w:val="Para 001"/>
            </w:pPr>
            <w:r>
              <w:t>concat(</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contains</w:t>
            </w:r>
          </w:p>
        </w:tc>
        <w:tc>
          <w:tcPr>
            <w:tcW w:type="auto" w:w="0"/>
            <w:tcMar>
              <w:left w:type="dxa" w:w="200"/>
              <w:top w:type="dxa" w:w="200"/>
              <w:right w:type="dxa" w:w="200"/>
              <w:bottom w:type="dxa" w:w="200"/>
            </w:tcMar>
          </w:tcPr>
          <w:p>
            <w:pPr>
              <w:pStyle w:val="Para 001"/>
            </w:pPr>
            <w:r>
              <w:t>contains(</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b</w:t>
            </w:r>
            <w:r>
              <w:rPr>
                <w:rStyle w:val="Text47"/>
              </w:rPr>
              <w:t xml:space="preserve"> </w:t>
            </w:r>
            <w:r>
              <w:rPr>
                <w:rStyle w:val="Text40"/>
              </w:rPr>
              <w:t>in</w:t>
            </w:r>
            <w:r>
              <w:rPr>
                <w:rStyle w:val="Text47"/>
              </w:rPr>
              <w:t xml:space="preserve"> </w:t>
            </w:r>
            <w:r>
              <w:t>a</w:t>
            </w:r>
          </w:p>
        </w:tc>
      </w:tr>
    </w:tbl>
    <w:tbl>
      <w:tblPr>
        <w:tblW w:type="auto" w:w="0"/>
      </w:tblPr>
      <w:tr>
        <w:tc>
          <w:tcPr>
            <w:tcW w:type="auto" w:w="0"/>
            <w:shd w:val="clear" w:color="auto" w:fill="EEF2F6"/>
            <w:tcMar>
              <w:left w:type="dxa" w:w="200"/>
              <w:top w:type="dxa" w:w="200"/>
              <w:right w:type="dxa" w:w="200"/>
              <w:bottom w:type="dxa" w:w="200"/>
            </w:tcMar>
          </w:tcPr>
          <w:p>
            <w:pPr>
              <w:pStyle w:val="Para 001"/>
            </w:pPr>
            <w:r>
              <w:t>countOf</w:t>
            </w:r>
          </w:p>
        </w:tc>
        <w:tc>
          <w:tcPr>
            <w:tcW w:type="auto" w:w="0"/>
            <w:shd w:val="clear" w:color="auto" w:fill="EEF2F6"/>
            <w:tcMar>
              <w:left w:type="dxa" w:w="200"/>
              <w:top w:type="dxa" w:w="200"/>
              <w:right w:type="dxa" w:w="200"/>
              <w:bottom w:type="dxa" w:w="200"/>
            </w:tcMar>
          </w:tcPr>
          <w:p>
            <w:pPr>
              <w:pStyle w:val="Para 001"/>
            </w:pPr>
            <w:r>
              <w:t>countOf(</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01"/>
            </w:pPr>
            <w:r>
              <w:rPr>
                <w:rStyle w:val="Text3"/>
              </w:rPr>
              <w:t>a</w:t>
            </w:r>
            <w:r>
              <w:t>.count(</w:t>
            </w:r>
            <w:r>
              <w:rPr>
                <w:rStyle w:val="Text3"/>
              </w:rPr>
              <w:t>b</w:t>
            </w:r>
            <w:r>
              <w:t>)</w:t>
            </w:r>
          </w:p>
        </w:tc>
      </w:tr>
    </w:tbl>
    <w:tbl>
      <w:tblPr>
        <w:tblW w:type="auto" w:w="0"/>
      </w:tblPr>
      <w:tr>
        <w:tc>
          <w:tcPr>
            <w:tcW w:type="auto" w:w="0"/>
            <w:tcMar>
              <w:left w:type="dxa" w:w="200"/>
              <w:top w:type="dxa" w:w="200"/>
              <w:right w:type="dxa" w:w="200"/>
              <w:bottom w:type="dxa" w:w="200"/>
            </w:tcMar>
          </w:tcPr>
          <w:p>
            <w:pPr>
              <w:pStyle w:val="Para 001"/>
            </w:pPr>
            <w:r>
              <w:t>delitem</w:t>
            </w:r>
          </w:p>
        </w:tc>
        <w:tc>
          <w:tcPr>
            <w:tcW w:type="auto" w:w="0"/>
            <w:tcMar>
              <w:left w:type="dxa" w:w="200"/>
              <w:top w:type="dxa" w:w="200"/>
              <w:right w:type="dxa" w:w="200"/>
              <w:bottom w:type="dxa" w:w="200"/>
            </w:tcMar>
          </w:tcPr>
          <w:p>
            <w:pPr>
              <w:pStyle w:val="Para 001"/>
            </w:pPr>
            <w:r>
              <w:t>delitem(</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1"/>
            </w:pPr>
            <w:r>
              <w:t>del</w:t>
            </w:r>
            <w:r>
              <w:rPr>
                <w:rStyle w:val="Text60"/>
              </w:rPr>
              <w:t xml:space="preserve"> </w:t>
            </w:r>
            <w:r>
              <w:rPr>
                <w:rStyle w:val="Text70"/>
              </w:rPr>
              <w:t>a</w:t>
            </w:r>
            <w:r>
              <w:rPr>
                <w:rStyle w:val="Text72"/>
              </w:rPr>
              <w:t>[</w:t>
            </w:r>
            <w:r>
              <w:rPr>
                <w:rStyle w:val="Text70"/>
              </w:rPr>
              <w:t>b</w:t>
            </w:r>
            <w:r>
              <w:rPr>
                <w:rStyle w:val="Text7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delslice</w:t>
            </w:r>
          </w:p>
        </w:tc>
        <w:tc>
          <w:tcPr>
            <w:tcW w:type="auto" w:w="0"/>
            <w:shd w:val="clear" w:color="auto" w:fill="EEF2F6"/>
            <w:tcMar>
              <w:left w:type="dxa" w:w="200"/>
              <w:top w:type="dxa" w:w="200"/>
              <w:right w:type="dxa" w:w="200"/>
              <w:bottom w:type="dxa" w:w="200"/>
            </w:tcMar>
          </w:tcPr>
          <w:p>
            <w:pPr>
              <w:pStyle w:val="Para 001"/>
            </w:pPr>
            <w:r>
              <w:t>delslice(</w:t>
            </w:r>
            <w:r>
              <w:rPr>
                <w:rStyle w:val="Text3"/>
              </w:rPr>
              <w:t>a</w:t>
            </w:r>
            <w:r>
              <w:t>,</w:t>
            </w:r>
            <w:r>
              <w:rPr>
                <w:rStyle w:val="Text12"/>
              </w:rPr>
              <w:t xml:space="preserve"> </w:t>
            </w:r>
            <w:r>
              <w:rPr>
                <w:rStyle w:val="Text3"/>
              </w:rPr>
              <w:t>b</w:t>
            </w:r>
            <w:r>
              <w:t>,</w:t>
            </w:r>
            <w:r>
              <w:rPr>
                <w:rStyle w:val="Text12"/>
              </w:rPr>
              <w:t xml:space="preserve"> </w:t>
            </w:r>
            <w:r>
              <w:rPr>
                <w:rStyle w:val="Text3"/>
              </w:rPr>
              <w:t>c</w:t>
            </w:r>
            <w:r>
              <w:t>)</w:t>
            </w:r>
          </w:p>
        </w:tc>
        <w:tc>
          <w:tcPr>
            <w:tcW w:type="auto" w:w="0"/>
            <w:shd w:val="clear" w:color="auto" w:fill="EEF2F6"/>
            <w:tcMar>
              <w:left w:type="dxa" w:w="200"/>
              <w:top w:type="dxa" w:w="200"/>
              <w:right w:type="dxa" w:w="200"/>
              <w:bottom w:type="dxa" w:w="200"/>
            </w:tcMar>
          </w:tcPr>
          <w:p>
            <w:pPr>
              <w:pStyle w:val="Para 021"/>
            </w:pPr>
            <w:r>
              <w:t>del</w:t>
            </w:r>
            <w:r>
              <w:rPr>
                <w:rStyle w:val="Text60"/>
              </w:rPr>
              <w:t xml:space="preserve"> </w:t>
            </w:r>
            <w:r>
              <w:rPr>
                <w:rStyle w:val="Text70"/>
              </w:rPr>
              <w:t>a</w:t>
            </w:r>
            <w:r>
              <w:rPr>
                <w:rStyle w:val="Text72"/>
              </w:rPr>
              <w:t>[</w:t>
            </w:r>
            <w:r>
              <w:rPr>
                <w:rStyle w:val="Text70"/>
              </w:rPr>
              <w:t>b</w:t>
            </w:r>
            <w:r>
              <w:rPr>
                <w:rStyle w:val="Text72"/>
              </w:rPr>
              <w:t>:</w:t>
            </w:r>
            <w:r>
              <w:rPr>
                <w:rStyle w:val="Text70"/>
              </w:rPr>
              <w:t>c</w:t>
            </w:r>
            <w:r>
              <w:rPr>
                <w:rStyle w:val="Text72"/>
              </w:rPr>
              <w:t>]</w:t>
            </w:r>
          </w:p>
        </w:tc>
      </w:tr>
    </w:tbl>
    <w:tbl>
      <w:tblPr>
        <w:tblW w:type="auto" w:w="0"/>
      </w:tblPr>
      <w:tr>
        <w:tc>
          <w:tcPr>
            <w:tcW w:type="auto" w:w="0"/>
            <w:tcMar>
              <w:left w:type="dxa" w:w="200"/>
              <w:top w:type="dxa" w:w="200"/>
              <w:right w:type="dxa" w:w="200"/>
              <w:bottom w:type="dxa" w:w="200"/>
            </w:tcMar>
          </w:tcPr>
          <w:p>
            <w:pPr>
              <w:pStyle w:val="Para 001"/>
            </w:pPr>
            <w:r>
              <w:t>eq</w:t>
            </w:r>
          </w:p>
        </w:tc>
        <w:tc>
          <w:tcPr>
            <w:tcW w:type="auto" w:w="0"/>
            <w:tcMar>
              <w:left w:type="dxa" w:w="200"/>
              <w:top w:type="dxa" w:w="200"/>
              <w:right w:type="dxa" w:w="200"/>
              <w:bottom w:type="dxa" w:w="200"/>
            </w:tcMar>
          </w:tcPr>
          <w:p>
            <w:pPr>
              <w:pStyle w:val="Para 001"/>
            </w:pPr>
            <w:r>
              <w:t>eq(</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floordiv</w:t>
            </w:r>
          </w:p>
        </w:tc>
        <w:tc>
          <w:tcPr>
            <w:tcW w:type="auto" w:w="0"/>
            <w:shd w:val="clear" w:color="auto" w:fill="EEF2F6"/>
            <w:tcMar>
              <w:left w:type="dxa" w:w="200"/>
              <w:top w:type="dxa" w:w="200"/>
              <w:right w:type="dxa" w:w="200"/>
              <w:bottom w:type="dxa" w:w="200"/>
            </w:tcMar>
          </w:tcPr>
          <w:p>
            <w:pPr>
              <w:pStyle w:val="Para 001"/>
            </w:pPr>
            <w:r>
              <w:t>floordiv(</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ge</w:t>
            </w:r>
          </w:p>
        </w:tc>
        <w:tc>
          <w:tcPr>
            <w:tcW w:type="auto" w:w="0"/>
            <w:tcMar>
              <w:left w:type="dxa" w:w="200"/>
              <w:top w:type="dxa" w:w="200"/>
              <w:right w:type="dxa" w:w="200"/>
              <w:bottom w:type="dxa" w:w="200"/>
            </w:tcMar>
          </w:tcPr>
          <w:p>
            <w:pPr>
              <w:pStyle w:val="Para 001"/>
            </w:pPr>
            <w:r>
              <w:t>ge(</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&gt;=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getitem</w:t>
            </w:r>
          </w:p>
        </w:tc>
        <w:tc>
          <w:tcPr>
            <w:tcW w:type="auto" w:w="0"/>
            <w:shd w:val="clear" w:color="auto" w:fill="EEF2F6"/>
            <w:tcMar>
              <w:left w:type="dxa" w:w="200"/>
              <w:top w:type="dxa" w:w="200"/>
              <w:right w:type="dxa" w:w="200"/>
              <w:bottom w:type="dxa" w:w="200"/>
            </w:tcMar>
          </w:tcPr>
          <w:p>
            <w:pPr>
              <w:pStyle w:val="Para 001"/>
            </w:pPr>
            <w:r>
              <w:t>getitem(</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50"/>
              </w:rPr>
              <w:t>[</w:t>
            </w:r>
            <w:r>
              <w:t>b</w:t>
            </w:r>
            <w:r>
              <w:rPr>
                <w:rStyle w:val="Text50"/>
              </w:rPr>
              <w:t>]</w:t>
            </w:r>
          </w:p>
        </w:tc>
      </w:tr>
    </w:tbl>
    <w:tbl>
      <w:tblPr>
        <w:tblW w:type="auto" w:w="0"/>
      </w:tblPr>
      <w:tr>
        <w:tc>
          <w:tcPr>
            <w:tcW w:type="auto" w:w="0"/>
            <w:tcMar>
              <w:left w:type="dxa" w:w="200"/>
              <w:top w:type="dxa" w:w="200"/>
              <w:right w:type="dxa" w:w="200"/>
              <w:bottom w:type="dxa" w:w="200"/>
            </w:tcMar>
          </w:tcPr>
          <w:p>
            <w:pPr>
              <w:pStyle w:val="Para 001"/>
            </w:pPr>
            <w:r>
              <w:t>getslice</w:t>
            </w:r>
          </w:p>
        </w:tc>
        <w:tc>
          <w:tcPr>
            <w:tcW w:type="auto" w:w="0"/>
            <w:tcMar>
              <w:left w:type="dxa" w:w="200"/>
              <w:top w:type="dxa" w:w="200"/>
              <w:right w:type="dxa" w:w="200"/>
              <w:bottom w:type="dxa" w:w="200"/>
            </w:tcMar>
          </w:tcPr>
          <w:p>
            <w:pPr>
              <w:pStyle w:val="Para 001"/>
            </w:pPr>
            <w:r>
              <w:t>getslice(</w:t>
            </w:r>
            <w:r>
              <w:rPr>
                <w:rStyle w:val="Text3"/>
              </w:rPr>
              <w:t>a</w:t>
            </w:r>
            <w:r>
              <w:t>,</w:t>
            </w:r>
            <w:r>
              <w:rPr>
                <w:rStyle w:val="Text12"/>
              </w:rPr>
              <w:t xml:space="preserve"> </w:t>
            </w:r>
            <w:r>
              <w:rPr>
                <w:rStyle w:val="Text3"/>
              </w:rPr>
              <w:t>b</w:t>
            </w:r>
            <w:r>
              <w:t>,</w:t>
            </w:r>
            <w:r>
              <w:rPr>
                <w:rStyle w:val="Text12"/>
              </w:rPr>
              <w:t xml:space="preserve"> </w:t>
            </w:r>
            <w:r>
              <w:rPr>
                <w:rStyle w:val="Text3"/>
              </w:rPr>
              <w:t>c</w:t>
            </w:r>
            <w:r>
              <w:t>)</w:t>
            </w:r>
          </w:p>
        </w:tc>
        <w:tc>
          <w:tcPr>
            <w:tcW w:type="auto" w:w="0"/>
            <w:tcMar>
              <w:left w:type="dxa" w:w="200"/>
              <w:top w:type="dxa" w:w="200"/>
              <w:right w:type="dxa" w:w="200"/>
              <w:bottom w:type="dxa" w:w="200"/>
            </w:tcMar>
          </w:tcPr>
          <w:p>
            <w:pPr>
              <w:pStyle w:val="Para 026"/>
            </w:pPr>
            <w:r>
              <w:t>a</w:t>
            </w:r>
            <w:r>
              <w:rPr>
                <w:rStyle w:val="Text50"/>
              </w:rPr>
              <w:t>[</w:t>
            </w:r>
            <w:r>
              <w:t>b</w:t>
            </w:r>
            <w:r>
              <w:rPr>
                <w:rStyle w:val="Text50"/>
              </w:rPr>
              <w:t>:</w:t>
            </w:r>
            <w:r>
              <w:t>c</w:t>
            </w:r>
            <w:r>
              <w:rPr>
                <w:rStyle w:val="Text50"/>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gt</w:t>
            </w:r>
          </w:p>
        </w:tc>
        <w:tc>
          <w:tcPr>
            <w:tcW w:type="auto" w:w="0"/>
            <w:shd w:val="clear" w:color="auto" w:fill="EEF2F6"/>
            <w:tcMar>
              <w:left w:type="dxa" w:w="200"/>
              <w:top w:type="dxa" w:w="200"/>
              <w:right w:type="dxa" w:w="200"/>
              <w:bottom w:type="dxa" w:w="200"/>
            </w:tcMar>
          </w:tcPr>
          <w:p>
            <w:pPr>
              <w:pStyle w:val="Para 001"/>
            </w:pPr>
            <w:r>
              <w:t>gt(</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&gt;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index</w:t>
            </w:r>
          </w:p>
        </w:tc>
        <w:tc>
          <w:tcPr>
            <w:tcW w:type="auto" w:w="0"/>
            <w:tcMar>
              <w:left w:type="dxa" w:w="200"/>
              <w:top w:type="dxa" w:w="200"/>
              <w:right w:type="dxa" w:w="200"/>
              <w:bottom w:type="dxa" w:w="200"/>
            </w:tcMar>
          </w:tcPr>
          <w:p>
            <w:pPr>
              <w:pStyle w:val="Para 001"/>
            </w:pPr>
            <w:r>
              <w:t>index(</w:t>
            </w:r>
            <w:r>
              <w:rPr>
                <w:rStyle w:val="Text3"/>
              </w:rPr>
              <w:t>a</w:t>
            </w:r>
            <w:r>
              <w:t>)</w:t>
            </w:r>
          </w:p>
        </w:tc>
        <w:tc>
          <w:tcPr>
            <w:tcW w:type="auto" w:w="0"/>
            <w:tcMar>
              <w:left w:type="dxa" w:w="200"/>
              <w:top w:type="dxa" w:w="200"/>
              <w:right w:type="dxa" w:w="200"/>
              <w:bottom w:type="dxa" w:w="200"/>
            </w:tcMar>
          </w:tcPr>
          <w:p>
            <w:pPr>
              <w:pStyle w:val="Para 001"/>
            </w:pPr>
            <w:r>
              <w:rPr>
                <w:rStyle w:val="Text3"/>
              </w:rPr>
              <w:t>a</w:t>
            </w:r>
            <w:r>
              <w:t>.__index__()</w:t>
            </w:r>
          </w:p>
        </w:tc>
      </w:tr>
    </w:tbl>
    <w:tbl>
      <w:tblPr>
        <w:tblW w:type="auto" w:w="0"/>
      </w:tblPr>
      <w:tr>
        <w:tc>
          <w:tcPr>
            <w:tcW w:type="auto" w:w="0"/>
            <w:shd w:val="clear" w:color="auto" w:fill="EEF2F6"/>
            <w:tcMar>
              <w:left w:type="dxa" w:w="200"/>
              <w:top w:type="dxa" w:w="200"/>
              <w:right w:type="dxa" w:w="200"/>
              <w:bottom w:type="dxa" w:w="200"/>
            </w:tcMar>
          </w:tcPr>
          <w:p>
            <w:pPr>
              <w:pStyle w:val="Para 001"/>
            </w:pPr>
            <w:r>
              <w:t>indexOf</w:t>
            </w:r>
          </w:p>
        </w:tc>
        <w:tc>
          <w:tcPr>
            <w:tcW w:type="auto" w:w="0"/>
            <w:shd w:val="clear" w:color="auto" w:fill="EEF2F6"/>
            <w:tcMar>
              <w:left w:type="dxa" w:w="200"/>
              <w:top w:type="dxa" w:w="200"/>
              <w:right w:type="dxa" w:w="200"/>
              <w:bottom w:type="dxa" w:w="200"/>
            </w:tcMar>
          </w:tcPr>
          <w:p>
            <w:pPr>
              <w:pStyle w:val="Para 001"/>
            </w:pPr>
            <w:r>
              <w:t>indexOf(</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01"/>
            </w:pPr>
            <w:r>
              <w:rPr>
                <w:rStyle w:val="Text3"/>
              </w:rPr>
              <w:t>a</w:t>
            </w:r>
            <w:r>
              <w:t>.index(</w:t>
            </w:r>
            <w:r>
              <w:rPr>
                <w:rStyle w:val="Text3"/>
              </w:rPr>
              <w:t>b</w:t>
            </w:r>
            <w:r>
              <w:t>)</w:t>
            </w:r>
          </w:p>
        </w:tc>
      </w:tr>
    </w:tbl>
    <w:tbl>
      <w:tblPr>
        <w:tblW w:type="auto" w:w="0"/>
      </w:tblPr>
      <w:tr>
        <w:tc>
          <w:tcPr>
            <w:tcW w:type="auto" w:w="0"/>
            <w:tcMar>
              <w:left w:type="dxa" w:w="200"/>
              <w:top w:type="dxa" w:w="200"/>
              <w:right w:type="dxa" w:w="200"/>
              <w:bottom w:type="dxa" w:w="200"/>
            </w:tcMar>
          </w:tcPr>
          <w:p>
            <w:pPr>
              <w:pStyle w:val="Para 001"/>
            </w:pPr>
            <w:r>
              <w:t>invert</w:t>
            </w:r>
            <w:r>
              <w:rPr>
                <w:rStyle w:val="Text12"/>
              </w:rPr>
              <w:t xml:space="preserve">, </w:t>
            </w:r>
            <w:r>
              <w:t>inv</w:t>
            </w:r>
          </w:p>
        </w:tc>
        <w:tc>
          <w:tcPr>
            <w:tcW w:type="auto" w:w="0"/>
            <w:tcMar>
              <w:left w:type="dxa" w:w="200"/>
              <w:top w:type="dxa" w:w="200"/>
              <w:right w:type="dxa" w:w="200"/>
              <w:bottom w:type="dxa" w:w="200"/>
            </w:tcMar>
          </w:tcPr>
          <w:p>
            <w:pPr>
              <w:pStyle w:val="Para 001"/>
            </w:pPr>
            <w:r>
              <w:t>invert(</w:t>
            </w:r>
            <w:r>
              <w:rPr>
                <w:rStyle w:val="Text3"/>
              </w:rPr>
              <w:t>a</w:t>
            </w:r>
            <w:r>
              <w:t>)</w:t>
            </w:r>
            <w:r>
              <w:rPr>
                <w:rStyle w:val="Text47"/>
              </w:rPr>
              <w:t>,</w:t>
            </w:r>
            <w:r>
              <w:rPr>
                <w:rStyle w:val="Text12"/>
              </w:rPr>
              <w:t xml:space="preserve"> </w:t>
            </w:r>
            <w:r>
              <w:t>inv(</w:t>
            </w:r>
            <w:r>
              <w:rPr>
                <w:rStyle w:val="Text3"/>
              </w:rPr>
              <w:t>a</w:t>
            </w:r>
            <w:r>
              <w:t>)</w:t>
            </w:r>
          </w:p>
        </w:tc>
        <w:tc>
          <w:tcPr>
            <w:tcW w:type="auto" w:w="0"/>
            <w:tcMar>
              <w:left w:type="dxa" w:w="200"/>
              <w:top w:type="dxa" w:w="200"/>
              <w:right w:type="dxa" w:w="200"/>
              <w:bottom w:type="dxa" w:w="200"/>
            </w:tcMar>
          </w:tcPr>
          <w:p>
            <w:pPr>
              <w:pStyle w:val="Para 001"/>
            </w:pPr>
            <w:r>
              <w:t>~</w:t>
            </w:r>
            <w:r>
              <w:rPr>
                <w:rStyle w:val="Text3"/>
              </w:rPr>
              <w:t>a</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w:t>
            </w:r>
          </w:p>
        </w:tc>
        <w:tc>
          <w:tcPr>
            <w:tcW w:type="auto" w:w="0"/>
            <w:shd w:val="clear" w:color="auto" w:fill="EEF2F6"/>
            <w:tcMar>
              <w:left w:type="dxa" w:w="200"/>
              <w:top w:type="dxa" w:w="200"/>
              <w:right w:type="dxa" w:w="200"/>
              <w:bottom w:type="dxa" w:w="200"/>
            </w:tcMar>
          </w:tcPr>
          <w:p>
            <w:pPr>
              <w:pStyle w:val="Para 001"/>
            </w:pPr>
            <w:r>
              <w:t>is_(</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40"/>
              </w:rPr>
              <w:t>is</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is_not</w:t>
            </w:r>
          </w:p>
        </w:tc>
        <w:tc>
          <w:tcPr>
            <w:tcW w:type="auto" w:w="0"/>
            <w:tcMar>
              <w:left w:type="dxa" w:w="200"/>
              <w:top w:type="dxa" w:w="200"/>
              <w:right w:type="dxa" w:w="200"/>
              <w:bottom w:type="dxa" w:w="200"/>
            </w:tcMar>
          </w:tcPr>
          <w:p>
            <w:pPr>
              <w:pStyle w:val="Para 001"/>
            </w:pPr>
            <w:r>
              <w:t>is_not(</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1"/>
            </w:pPr>
            <w:r>
              <w:rPr>
                <w:rStyle w:val="Text70"/>
              </w:rPr>
              <w:t>a</w:t>
            </w:r>
            <w:r>
              <w:rPr>
                <w:rStyle w:val="Text60"/>
              </w:rPr>
              <w:t xml:space="preserve"> </w:t>
            </w:r>
            <w:r>
              <w:t>is not</w:t>
            </w:r>
            <w:r>
              <w:rPr>
                <w:rStyle w:val="Text60"/>
              </w:rPr>
              <w:t xml:space="preserve"> </w:t>
            </w:r>
            <w:r>
              <w:rPr>
                <w:rStyle w:val="Text70"/>
              </w:rP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le</w:t>
            </w:r>
          </w:p>
        </w:tc>
        <w:tc>
          <w:tcPr>
            <w:tcW w:type="auto" w:w="0"/>
            <w:shd w:val="clear" w:color="auto" w:fill="EEF2F6"/>
            <w:tcMar>
              <w:left w:type="dxa" w:w="200"/>
              <w:top w:type="dxa" w:w="200"/>
              <w:right w:type="dxa" w:w="200"/>
              <w:bottom w:type="dxa" w:w="200"/>
            </w:tcMar>
          </w:tcPr>
          <w:p>
            <w:pPr>
              <w:pStyle w:val="Para 001"/>
            </w:pPr>
            <w:r>
              <w:t>le(</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&lt;=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lshift</w:t>
            </w:r>
          </w:p>
        </w:tc>
        <w:tc>
          <w:tcPr>
            <w:tcW w:type="auto" w:w="0"/>
            <w:tcMar>
              <w:left w:type="dxa" w:w="200"/>
              <w:top w:type="dxa" w:w="200"/>
              <w:right w:type="dxa" w:w="200"/>
              <w:bottom w:type="dxa" w:w="200"/>
            </w:tcMar>
          </w:tcPr>
          <w:p>
            <w:pPr>
              <w:pStyle w:val="Para 001"/>
            </w:pPr>
            <w:r>
              <w:t>lshift(</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&lt;&lt;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lt</w:t>
            </w:r>
          </w:p>
        </w:tc>
        <w:tc>
          <w:tcPr>
            <w:tcW w:type="auto" w:w="0"/>
            <w:shd w:val="clear" w:color="auto" w:fill="EEF2F6"/>
            <w:tcMar>
              <w:left w:type="dxa" w:w="200"/>
              <w:top w:type="dxa" w:w="200"/>
              <w:right w:type="dxa" w:w="200"/>
              <w:bottom w:type="dxa" w:w="200"/>
            </w:tcMar>
          </w:tcPr>
          <w:p>
            <w:pPr>
              <w:pStyle w:val="Para 001"/>
            </w:pPr>
            <w:r>
              <w:t>lt(</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&lt;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matmul</w:t>
            </w:r>
          </w:p>
        </w:tc>
        <w:tc>
          <w:tcPr>
            <w:tcW w:type="auto" w:w="0"/>
            <w:tcMar>
              <w:left w:type="dxa" w:w="200"/>
              <w:top w:type="dxa" w:w="200"/>
              <w:right w:type="dxa" w:w="200"/>
              <w:bottom w:type="dxa" w:w="200"/>
            </w:tcMar>
          </w:tcPr>
          <w:p>
            <w:pPr>
              <w:pStyle w:val="Para 001"/>
            </w:pPr>
            <w:r>
              <w:t>matmul(</w:t>
            </w:r>
            <w:r>
              <w:rPr>
                <w:rStyle w:val="Text3"/>
              </w:rPr>
              <w:t>m1</w:t>
            </w:r>
            <w:r>
              <w:t>,</w:t>
            </w:r>
            <w:r>
              <w:rPr>
                <w:rStyle w:val="Text12"/>
              </w:rPr>
              <w:t xml:space="preserve"> </w:t>
            </w:r>
            <w:r>
              <w:rPr>
                <w:rStyle w:val="Text3"/>
              </w:rPr>
              <w:t>m2</w:t>
            </w:r>
            <w:r>
              <w:t>)</w:t>
            </w:r>
          </w:p>
        </w:tc>
        <w:tc>
          <w:tcPr>
            <w:tcW w:type="auto" w:w="0"/>
            <w:tcMar>
              <w:left w:type="dxa" w:w="200"/>
              <w:top w:type="dxa" w:w="200"/>
              <w:right w:type="dxa" w:w="200"/>
              <w:bottom w:type="dxa" w:w="200"/>
            </w:tcMar>
          </w:tcPr>
          <w:p>
            <w:pPr>
              <w:pStyle w:val="Para 026"/>
            </w:pPr>
            <w:r>
              <w:t>m1</w:t>
            </w:r>
            <w:r>
              <w:rPr>
                <w:rStyle w:val="Text47"/>
              </w:rPr>
              <w:t xml:space="preserve"> </w:t>
            </w:r>
            <w:r>
              <w:rPr>
                <w:rStyle w:val="Text50"/>
              </w:rPr>
              <w:t>@</w:t>
            </w:r>
            <w:r>
              <w:rPr>
                <w:rStyle w:val="Text47"/>
              </w:rPr>
              <w:t xml:space="preserve"> </w:t>
            </w:r>
            <w:r>
              <w:t>m2</w:t>
            </w:r>
          </w:p>
        </w:tc>
      </w:tr>
    </w:tbl>
    <w:tbl>
      <w:tblPr>
        <w:tblW w:type="auto" w:w="0"/>
      </w:tblPr>
      <w:tr>
        <w:tc>
          <w:tcPr>
            <w:tcW w:type="auto" w:w="0"/>
            <w:shd w:val="clear" w:color="auto" w:fill="EEF2F6"/>
            <w:tcMar>
              <w:left w:type="dxa" w:w="200"/>
              <w:top w:type="dxa" w:w="200"/>
              <w:right w:type="dxa" w:w="200"/>
              <w:bottom w:type="dxa" w:w="200"/>
            </w:tcMar>
          </w:tcPr>
          <w:p>
            <w:pPr>
              <w:pStyle w:val="Para 001"/>
            </w:pPr>
            <w:r>
              <w:t>mod</w:t>
            </w:r>
          </w:p>
        </w:tc>
        <w:tc>
          <w:tcPr>
            <w:tcW w:type="auto" w:w="0"/>
            <w:shd w:val="clear" w:color="auto" w:fill="EEF2F6"/>
            <w:tcMar>
              <w:left w:type="dxa" w:w="200"/>
              <w:top w:type="dxa" w:w="200"/>
              <w:right w:type="dxa" w:w="200"/>
              <w:bottom w:type="dxa" w:w="200"/>
            </w:tcMar>
          </w:tcPr>
          <w:p>
            <w:pPr>
              <w:pStyle w:val="Para 001"/>
            </w:pPr>
            <w:r>
              <w:t>mod(</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mul</w:t>
            </w:r>
          </w:p>
        </w:tc>
        <w:tc>
          <w:tcPr>
            <w:tcW w:type="auto" w:w="0"/>
            <w:tcMar>
              <w:left w:type="dxa" w:w="200"/>
              <w:top w:type="dxa" w:w="200"/>
              <w:right w:type="dxa" w:w="200"/>
              <w:bottom w:type="dxa" w:w="200"/>
            </w:tcMar>
          </w:tcPr>
          <w:p>
            <w:pPr>
              <w:pStyle w:val="Para 001"/>
            </w:pPr>
            <w:r>
              <w:t>mul(</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ne</w:t>
            </w:r>
          </w:p>
        </w:tc>
        <w:tc>
          <w:tcPr>
            <w:tcW w:type="auto" w:w="0"/>
            <w:shd w:val="clear" w:color="auto" w:fill="EEF2F6"/>
            <w:tcMar>
              <w:left w:type="dxa" w:w="200"/>
              <w:top w:type="dxa" w:w="200"/>
              <w:right w:type="dxa" w:w="200"/>
              <w:bottom w:type="dxa" w:w="200"/>
            </w:tcMar>
          </w:tcPr>
          <w:p>
            <w:pPr>
              <w:pStyle w:val="Para 001"/>
            </w:pPr>
            <w:r>
              <w:t>ne(</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neg</w:t>
            </w:r>
          </w:p>
        </w:tc>
        <w:tc>
          <w:tcPr>
            <w:tcW w:type="auto" w:w="0"/>
            <w:tcMar>
              <w:left w:type="dxa" w:w="200"/>
              <w:top w:type="dxa" w:w="200"/>
              <w:right w:type="dxa" w:w="200"/>
              <w:bottom w:type="dxa" w:w="200"/>
            </w:tcMar>
          </w:tcPr>
          <w:p>
            <w:pPr>
              <w:pStyle w:val="Para 001"/>
            </w:pPr>
            <w:r>
              <w:t>neg(</w:t>
            </w:r>
            <w:r>
              <w:rPr>
                <w:rStyle w:val="Text3"/>
              </w:rPr>
              <w:t>a</w:t>
            </w:r>
            <w:r>
              <w:t>)</w:t>
            </w:r>
          </w:p>
        </w:tc>
        <w:tc>
          <w:tcPr>
            <w:tcW w:type="auto" w:w="0"/>
            <w:tcMar>
              <w:left w:type="dxa" w:w="200"/>
              <w:top w:type="dxa" w:w="200"/>
              <w:right w:type="dxa" w:w="200"/>
              <w:bottom w:type="dxa" w:w="200"/>
            </w:tcMar>
          </w:tcPr>
          <w:p>
            <w:pPr>
              <w:pStyle w:val="Para 026"/>
            </w:pPr>
            <w:r>
              <w:t>-a</w:t>
            </w:r>
          </w:p>
        </w:tc>
      </w:tr>
    </w:tbl>
    <w:tbl>
      <w:tblPr>
        <w:tblW w:type="auto" w:w="0"/>
      </w:tblPr>
      <w:tr>
        <w:tc>
          <w:tcPr>
            <w:tcW w:type="auto" w:w="0"/>
            <w:shd w:val="clear" w:color="auto" w:fill="EEF2F6"/>
            <w:tcMar>
              <w:left w:type="dxa" w:w="200"/>
              <w:top w:type="dxa" w:w="200"/>
              <w:right w:type="dxa" w:w="200"/>
              <w:bottom w:type="dxa" w:w="200"/>
            </w:tcMar>
          </w:tcPr>
          <w:p>
            <w:pPr>
              <w:pStyle w:val="Para 001"/>
            </w:pPr>
            <w:r>
              <w:t>not_</w:t>
            </w:r>
          </w:p>
        </w:tc>
        <w:tc>
          <w:tcPr>
            <w:tcW w:type="auto" w:w="0"/>
            <w:shd w:val="clear" w:color="auto" w:fill="EEF2F6"/>
            <w:tcMar>
              <w:left w:type="dxa" w:w="200"/>
              <w:top w:type="dxa" w:w="200"/>
              <w:right w:type="dxa" w:w="200"/>
              <w:bottom w:type="dxa" w:w="200"/>
            </w:tcMar>
          </w:tcPr>
          <w:p>
            <w:pPr>
              <w:pStyle w:val="Para 001"/>
            </w:pPr>
            <w:r>
              <w:t>not_(</w:t>
            </w:r>
            <w:r>
              <w:rPr>
                <w:rStyle w:val="Text3"/>
              </w:rPr>
              <w:t>a</w:t>
            </w:r>
            <w:r>
              <w:t>)</w:t>
            </w:r>
          </w:p>
        </w:tc>
        <w:tc>
          <w:tcPr>
            <w:tcW w:type="auto" w:w="0"/>
            <w:shd w:val="clear" w:color="auto" w:fill="EEF2F6"/>
            <w:tcMar>
              <w:left w:type="dxa" w:w="200"/>
              <w:top w:type="dxa" w:w="200"/>
              <w:right w:type="dxa" w:w="200"/>
              <w:bottom w:type="dxa" w:w="200"/>
            </w:tcMar>
          </w:tcPr>
          <w:p>
            <w:pPr>
              <w:pStyle w:val="Para 021"/>
            </w:pPr>
            <w:r>
              <w:t>not</w:t>
            </w:r>
            <w:r>
              <w:rPr>
                <w:rStyle w:val="Text60"/>
              </w:rPr>
              <w:t xml:space="preserve"> </w:t>
            </w:r>
            <w:r>
              <w:rPr>
                <w:rStyle w:val="Text70"/>
              </w:rPr>
              <w:t>a</w:t>
            </w:r>
          </w:p>
        </w:tc>
      </w:tr>
    </w:tbl>
    <w:tbl>
      <w:tblPr>
        <w:tblW w:type="auto" w:w="0"/>
      </w:tblPr>
      <w:tr>
        <w:tc>
          <w:tcPr>
            <w:tcW w:type="auto" w:w="0"/>
            <w:tcMar>
              <w:left w:type="dxa" w:w="200"/>
              <w:top w:type="dxa" w:w="200"/>
              <w:right w:type="dxa" w:w="200"/>
              <w:bottom w:type="dxa" w:w="200"/>
            </w:tcMar>
          </w:tcPr>
          <w:p>
            <w:pPr>
              <w:pStyle w:val="Para 001"/>
            </w:pPr>
            <w:r>
              <w:t>or_</w:t>
            </w:r>
          </w:p>
        </w:tc>
        <w:tc>
          <w:tcPr>
            <w:tcW w:type="auto" w:w="0"/>
            <w:tcMar>
              <w:left w:type="dxa" w:w="200"/>
              <w:top w:type="dxa" w:w="200"/>
              <w:right w:type="dxa" w:w="200"/>
              <w:bottom w:type="dxa" w:w="200"/>
            </w:tcMar>
          </w:tcPr>
          <w:p>
            <w:pPr>
              <w:pStyle w:val="Para 001"/>
            </w:pPr>
            <w:r>
              <w:t>or_(</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pos</w:t>
            </w:r>
          </w:p>
        </w:tc>
        <w:tc>
          <w:tcPr>
            <w:tcW w:type="auto" w:w="0"/>
            <w:shd w:val="clear" w:color="auto" w:fill="EEF2F6"/>
            <w:tcMar>
              <w:left w:type="dxa" w:w="200"/>
              <w:top w:type="dxa" w:w="200"/>
              <w:right w:type="dxa" w:w="200"/>
              <w:bottom w:type="dxa" w:w="200"/>
            </w:tcMar>
          </w:tcPr>
          <w:p>
            <w:pPr>
              <w:pStyle w:val="Para 001"/>
            </w:pPr>
            <w:r>
              <w:t>pos(</w:t>
            </w:r>
            <w:r>
              <w:rPr>
                <w:rStyle w:val="Text3"/>
              </w:rPr>
              <w:t>a</w:t>
            </w:r>
            <w:r>
              <w:t>)</w:t>
            </w:r>
          </w:p>
        </w:tc>
        <w:tc>
          <w:tcPr>
            <w:tcW w:type="auto" w:w="0"/>
            <w:shd w:val="clear" w:color="auto" w:fill="EEF2F6"/>
            <w:tcMar>
              <w:left w:type="dxa" w:w="200"/>
              <w:top w:type="dxa" w:w="200"/>
              <w:right w:type="dxa" w:w="200"/>
              <w:bottom w:type="dxa" w:w="200"/>
            </w:tcMar>
          </w:tcPr>
          <w:p>
            <w:pPr>
              <w:pStyle w:val="Para 001"/>
            </w:pPr>
            <w:r>
              <w:t>+</w:t>
            </w:r>
            <w:r>
              <w:rPr>
                <w:rStyle w:val="Text3"/>
              </w:rPr>
              <w:t>a</w:t>
            </w:r>
          </w:p>
        </w:tc>
      </w:tr>
    </w:tbl>
    <w:tbl>
      <w:tblPr>
        <w:tblW w:type="auto" w:w="0"/>
      </w:tblPr>
      <w:tr>
        <w:tc>
          <w:tcPr>
            <w:tcW w:type="auto" w:w="0"/>
            <w:tcMar>
              <w:left w:type="dxa" w:w="200"/>
              <w:top w:type="dxa" w:w="200"/>
              <w:right w:type="dxa" w:w="200"/>
              <w:bottom w:type="dxa" w:w="200"/>
            </w:tcMar>
          </w:tcPr>
          <w:p>
            <w:pPr>
              <w:pStyle w:val="Para 001"/>
            </w:pPr>
            <w:r>
              <w:t>pow</w:t>
            </w:r>
          </w:p>
        </w:tc>
        <w:tc>
          <w:tcPr>
            <w:tcW w:type="auto" w:w="0"/>
            <w:tcMar>
              <w:left w:type="dxa" w:w="200"/>
              <w:top w:type="dxa" w:w="200"/>
              <w:right w:type="dxa" w:w="200"/>
              <w:bottom w:type="dxa" w:w="200"/>
            </w:tcMar>
          </w:tcPr>
          <w:p>
            <w:pPr>
              <w:pStyle w:val="Para 001"/>
            </w:pPr>
            <w:r>
              <w:t>pow(</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01"/>
            </w:pPr>
            <w:r>
              <w:t>a ** b</w:t>
            </w:r>
          </w:p>
        </w:tc>
      </w:tr>
    </w:tbl>
    <w:tbl>
      <w:tblPr>
        <w:tblW w:type="auto" w:w="0"/>
      </w:tblPr>
      <w:tr>
        <w:tc>
          <w:tcPr>
            <w:tcW w:type="auto" w:w="0"/>
            <w:shd w:val="clear" w:color="auto" w:fill="EEF2F6"/>
            <w:tcMar>
              <w:left w:type="dxa" w:w="200"/>
              <w:top w:type="dxa" w:w="200"/>
              <w:right w:type="dxa" w:w="200"/>
              <w:bottom w:type="dxa" w:w="200"/>
            </w:tcMar>
          </w:tcPr>
          <w:p>
            <w:pPr>
              <w:pStyle w:val="Para 001"/>
            </w:pPr>
            <w:r>
              <w:t>repeat</w:t>
            </w:r>
          </w:p>
        </w:tc>
        <w:tc>
          <w:tcPr>
            <w:tcW w:type="auto" w:w="0"/>
            <w:shd w:val="clear" w:color="auto" w:fill="EEF2F6"/>
            <w:tcMar>
              <w:left w:type="dxa" w:w="200"/>
              <w:top w:type="dxa" w:w="200"/>
              <w:right w:type="dxa" w:w="200"/>
              <w:bottom w:type="dxa" w:w="200"/>
            </w:tcMar>
          </w:tcPr>
          <w:p>
            <w:pPr>
              <w:pStyle w:val="Para 001"/>
            </w:pPr>
            <w:r>
              <w:t>repeat(</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rshift</w:t>
            </w:r>
          </w:p>
        </w:tc>
        <w:tc>
          <w:tcPr>
            <w:tcW w:type="auto" w:w="0"/>
            <w:tcMar>
              <w:left w:type="dxa" w:w="200"/>
              <w:top w:type="dxa" w:w="200"/>
              <w:right w:type="dxa" w:w="200"/>
              <w:bottom w:type="dxa" w:w="200"/>
            </w:tcMar>
          </w:tcPr>
          <w:p>
            <w:pPr>
              <w:pStyle w:val="Para 001"/>
            </w:pPr>
            <w:r>
              <w:t>rshift(</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&gt;&gt;</w:t>
            </w:r>
            <w:r>
              <w:rPr>
                <w:rStyle w:val="Text47"/>
              </w:rPr>
              <w:t xml:space="preserve"> </w:t>
            </w:r>
            <w:r>
              <w:t>b</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setitem</w:t>
            </w:r>
          </w:p>
        </w:tc>
        <w:tc>
          <w:tcPr>
            <w:tcW w:type="auto" w:w="0"/>
            <w:shd w:val="clear" w:color="auto" w:fill="EEF2F6"/>
            <w:tcMar>
              <w:left w:type="dxa" w:w="200"/>
              <w:top w:type="dxa" w:w="200"/>
              <w:right w:type="dxa" w:w="200"/>
              <w:bottom w:type="dxa" w:w="200"/>
            </w:tcMar>
          </w:tcPr>
          <w:p>
            <w:pPr>
              <w:pStyle w:val="Para 001"/>
            </w:pPr>
            <w:r>
              <w:t>setitem(</w:t>
            </w:r>
            <w:r>
              <w:rPr>
                <w:rStyle w:val="Text3"/>
              </w:rPr>
              <w:t>a</w:t>
            </w:r>
            <w:r>
              <w:t>,</w:t>
            </w:r>
            <w:r>
              <w:rPr>
                <w:rStyle w:val="Text12"/>
              </w:rPr>
              <w:t xml:space="preserve"> </w:t>
            </w:r>
            <w:r>
              <w:rPr>
                <w:rStyle w:val="Text3"/>
              </w:rPr>
              <w:t>b</w:t>
            </w:r>
            <w:r>
              <w:t>,</w:t>
            </w:r>
            <w:r>
              <w:rPr>
                <w:rStyle w:val="Text12"/>
              </w:rPr>
              <w:t xml:space="preserve"> </w:t>
            </w:r>
            <w:r>
              <w:rPr>
                <w:rStyle w:val="Text3"/>
              </w:rPr>
              <w:t>c</w:t>
            </w:r>
            <w:r>
              <w:t>)</w:t>
            </w:r>
          </w:p>
        </w:tc>
        <w:tc>
          <w:tcPr>
            <w:tcW w:type="auto" w:w="0"/>
            <w:shd w:val="clear" w:color="auto" w:fill="EEF2F6"/>
            <w:tcMar>
              <w:left w:type="dxa" w:w="200"/>
              <w:top w:type="dxa" w:w="200"/>
              <w:right w:type="dxa" w:w="200"/>
              <w:bottom w:type="dxa" w:w="200"/>
            </w:tcMar>
          </w:tcPr>
          <w:p>
            <w:pPr>
              <w:pStyle w:val="Para 001"/>
            </w:pPr>
            <w:r>
              <w:rPr>
                <w:rStyle w:val="Text3"/>
              </w:rPr>
              <w:t>a</w:t>
            </w:r>
            <w:r>
              <w:t>[</w:t>
            </w:r>
            <w:r>
              <w:rPr>
                <w:rStyle w:val="Text3"/>
              </w:rPr>
              <w:t>b</w:t>
            </w:r>
            <w:r>
              <w:t>] =</w:t>
            </w:r>
            <w:r>
              <w:rPr>
                <w:rStyle w:val="Text12"/>
              </w:rPr>
              <w:t xml:space="preserve"> </w:t>
            </w:r>
            <w:r>
              <w:rPr>
                <w:rStyle w:val="Text3"/>
              </w:rPr>
              <w:t>c</w:t>
            </w:r>
          </w:p>
        </w:tc>
      </w:tr>
    </w:tbl>
    <w:tbl>
      <w:tblPr>
        <w:tblW w:type="auto" w:w="0"/>
      </w:tblPr>
      <w:tr>
        <w:tc>
          <w:tcPr>
            <w:tcW w:type="auto" w:w="0"/>
            <w:tcMar>
              <w:left w:type="dxa" w:w="200"/>
              <w:top w:type="dxa" w:w="200"/>
              <w:right w:type="dxa" w:w="200"/>
              <w:bottom w:type="dxa" w:w="200"/>
            </w:tcMar>
          </w:tcPr>
          <w:p>
            <w:pPr>
              <w:pStyle w:val="Para 001"/>
            </w:pPr>
            <w:r>
              <w:t>setslice</w:t>
            </w:r>
          </w:p>
        </w:tc>
        <w:tc>
          <w:tcPr>
            <w:tcW w:type="auto" w:w="0"/>
            <w:tcMar>
              <w:left w:type="dxa" w:w="200"/>
              <w:top w:type="dxa" w:w="200"/>
              <w:right w:type="dxa" w:w="200"/>
              <w:bottom w:type="dxa" w:w="200"/>
            </w:tcMar>
          </w:tcPr>
          <w:p>
            <w:pPr>
              <w:pStyle w:val="Para 001"/>
            </w:pPr>
            <w:r>
              <w:t>setslice(</w:t>
            </w:r>
            <w:r>
              <w:rPr>
                <w:rStyle w:val="Text3"/>
              </w:rPr>
              <w:t>a</w:t>
            </w:r>
            <w:r>
              <w:t>,</w:t>
            </w:r>
            <w:r>
              <w:rPr>
                <w:rStyle w:val="Text12"/>
              </w:rPr>
              <w:t xml:space="preserve"> </w:t>
            </w:r>
            <w:r>
              <w:rPr>
                <w:rStyle w:val="Text3"/>
              </w:rPr>
              <w:t>b</w:t>
            </w:r>
            <w:r>
              <w:t>,</w:t>
            </w:r>
            <w:r>
              <w:rPr>
                <w:rStyle w:val="Text12"/>
              </w:rPr>
              <w:t xml:space="preserve"> </w:t>
            </w:r>
            <w:r>
              <w:rPr>
                <w:rStyle w:val="Text3"/>
              </w:rPr>
              <w:t>c</w:t>
            </w:r>
            <w:r>
              <w:t>,</w:t>
            </w:r>
            <w:r>
              <w:rPr>
                <w:rStyle w:val="Text12"/>
              </w:rPr>
              <w:t xml:space="preserve"> </w:t>
            </w:r>
            <w:r>
              <w:rPr>
                <w:rStyle w:val="Text3"/>
              </w:rPr>
              <w:t>d</w:t>
            </w:r>
            <w:r>
              <w:t>)</w:t>
            </w:r>
          </w:p>
        </w:tc>
        <w:tc>
          <w:tcPr>
            <w:tcW w:type="auto" w:w="0"/>
            <w:tcMar>
              <w:left w:type="dxa" w:w="200"/>
              <w:top w:type="dxa" w:w="200"/>
              <w:right w:type="dxa" w:w="200"/>
              <w:bottom w:type="dxa" w:w="200"/>
            </w:tcMar>
          </w:tcPr>
          <w:p>
            <w:pPr>
              <w:pStyle w:val="Para 001"/>
            </w:pPr>
            <w:r>
              <w:rPr>
                <w:rStyle w:val="Text3"/>
              </w:rPr>
              <w:t>a</w:t>
            </w:r>
            <w:r>
              <w:t>[</w:t>
            </w:r>
            <w:r>
              <w:rPr>
                <w:rStyle w:val="Text3"/>
              </w:rPr>
              <w:t>b</w:t>
            </w:r>
            <w:r>
              <w:t>:</w:t>
            </w:r>
            <w:r>
              <w:rPr>
                <w:rStyle w:val="Text3"/>
              </w:rPr>
              <w:t>c</w:t>
            </w:r>
            <w:r>
              <w:t>] =</w:t>
            </w:r>
            <w:r>
              <w:rPr>
                <w:rStyle w:val="Text12"/>
              </w:rPr>
              <w:t xml:space="preserve"> </w:t>
            </w:r>
            <w:r>
              <w:rPr>
                <w:rStyle w:val="Text3"/>
              </w:rPr>
              <w:t>d</w:t>
            </w:r>
          </w:p>
        </w:tc>
      </w:tr>
    </w:tbl>
    <w:tbl>
      <w:tblPr>
        <w:tblW w:type="auto" w:w="0"/>
      </w:tblPr>
      <w:tr>
        <w:tc>
          <w:tcPr>
            <w:tcW w:type="auto" w:w="0"/>
            <w:shd w:val="clear" w:color="auto" w:fill="EEF2F6"/>
            <w:tcMar>
              <w:left w:type="dxa" w:w="200"/>
              <w:top w:type="dxa" w:w="200"/>
              <w:right w:type="dxa" w:w="200"/>
              <w:bottom w:type="dxa" w:w="200"/>
            </w:tcMar>
          </w:tcPr>
          <w:p>
            <w:pPr>
              <w:pStyle w:val="Para 001"/>
            </w:pPr>
            <w:r>
              <w:t>sub</w:t>
            </w:r>
          </w:p>
        </w:tc>
        <w:tc>
          <w:tcPr>
            <w:tcW w:type="auto" w:w="0"/>
            <w:shd w:val="clear" w:color="auto" w:fill="EEF2F6"/>
            <w:tcMar>
              <w:left w:type="dxa" w:w="200"/>
              <w:top w:type="dxa" w:w="200"/>
              <w:right w:type="dxa" w:w="200"/>
              <w:bottom w:type="dxa" w:w="200"/>
            </w:tcMar>
          </w:tcPr>
          <w:p>
            <w:pPr>
              <w:pStyle w:val="Para 001"/>
            </w:pPr>
            <w:r>
              <w:t>sub(</w:t>
            </w:r>
            <w:r>
              <w:rPr>
                <w:rStyle w:val="Text3"/>
              </w:rPr>
              <w:t>a</w:t>
            </w:r>
            <w:r>
              <w:t>,</w:t>
            </w:r>
            <w:r>
              <w:rPr>
                <w:rStyle w:val="Text12"/>
              </w:rPr>
              <w:t xml:space="preserve"> </w:t>
            </w:r>
            <w:r>
              <w:rPr>
                <w:rStyle w:val="Text3"/>
              </w:rPr>
              <w:t>b</w:t>
            </w:r>
            <w:r>
              <w:t>)</w:t>
            </w:r>
          </w:p>
        </w:tc>
        <w:tc>
          <w:tcPr>
            <w:tcW w:type="auto" w:w="0"/>
            <w:shd w:val="clear" w:color="auto" w:fill="EEF2F6"/>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tbl>
      <w:tblPr>
        <w:tblW w:type="auto" w:w="0"/>
      </w:tblPr>
      <w:tr>
        <w:tc>
          <w:tcPr>
            <w:tcW w:type="auto" w:w="0"/>
            <w:tcMar>
              <w:left w:type="dxa" w:w="200"/>
              <w:top w:type="dxa" w:w="200"/>
              <w:right w:type="dxa" w:w="200"/>
              <w:bottom w:type="dxa" w:w="200"/>
            </w:tcMar>
          </w:tcPr>
          <w:p>
            <w:pPr>
              <w:pStyle w:val="Para 001"/>
            </w:pPr>
            <w:r>
              <w:t>truediv</w:t>
            </w:r>
          </w:p>
        </w:tc>
        <w:tc>
          <w:tcPr>
            <w:tcW w:type="auto" w:w="0"/>
            <w:tcMar>
              <w:left w:type="dxa" w:w="200"/>
              <w:top w:type="dxa" w:w="200"/>
              <w:right w:type="dxa" w:w="200"/>
              <w:bottom w:type="dxa" w:w="200"/>
            </w:tcMar>
          </w:tcPr>
          <w:p>
            <w:pPr>
              <w:pStyle w:val="Para 001"/>
            </w:pPr>
            <w:r>
              <w:t>truediv(</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a/b</w:t>
            </w:r>
            <w:r>
              <w:rPr>
                <w:rStyle w:val="Text47"/>
              </w:rPr>
              <w:t xml:space="preserve"> </w:t>
            </w:r>
            <w:r>
              <w:t># no truncation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truth</w:t>
            </w:r>
          </w:p>
        </w:tc>
        <w:tc>
          <w:tcPr>
            <w:tcW w:type="auto" w:w="0"/>
            <w:shd w:val="clear" w:color="auto" w:fill="EEF2F6"/>
            <w:tcMar>
              <w:left w:type="dxa" w:w="200"/>
              <w:top w:type="dxa" w:w="200"/>
              <w:right w:type="dxa" w:w="200"/>
              <w:bottom w:type="dxa" w:w="200"/>
            </w:tcMar>
          </w:tcPr>
          <w:p>
            <w:pPr>
              <w:pStyle w:val="Para 001"/>
            </w:pPr>
            <w:r>
              <w:t>truth(</w:t>
            </w:r>
            <w:r>
              <w:rPr>
                <w:rStyle w:val="Text3"/>
              </w:rPr>
              <w:t>a</w:t>
            </w:r>
            <w:r>
              <w:t>)</w:t>
            </w:r>
          </w:p>
        </w:tc>
        <w:tc>
          <w:tcPr>
            <w:tcW w:type="auto" w:w="0"/>
            <w:shd w:val="clear" w:color="auto" w:fill="EEF2F6"/>
            <w:tcMar>
              <w:left w:type="dxa" w:w="200"/>
              <w:top w:type="dxa" w:w="200"/>
              <w:right w:type="dxa" w:w="200"/>
              <w:bottom w:type="dxa" w:w="200"/>
            </w:tcMar>
          </w:tcPr>
          <w:p>
            <w:pPr>
              <w:pStyle w:val="Para 001"/>
            </w:pPr>
            <w:r>
              <w:t>bool(</w:t>
            </w:r>
            <w:r>
              <w:rPr>
                <w:rStyle w:val="Text3"/>
              </w:rPr>
              <w:t>a</w:t>
            </w:r>
            <w:r>
              <w:t>)</w:t>
            </w:r>
            <w:r>
              <w:rPr>
                <w:rStyle w:val="Text12"/>
              </w:rPr>
              <w:t xml:space="preserve">, </w:t>
            </w:r>
            <w:r>
              <w:rPr>
                <w:rStyle w:val="Text5"/>
              </w:rPr>
              <w:t>not not</w:t>
            </w:r>
            <w:r>
              <w:rPr>
                <w:rStyle w:val="Text12"/>
              </w:rPr>
              <w:t xml:space="preserve"> </w:t>
            </w:r>
            <w:r>
              <w:t>a</w:t>
            </w:r>
          </w:p>
        </w:tc>
      </w:tr>
    </w:tbl>
    <w:tbl>
      <w:tblPr>
        <w:tblW w:type="auto" w:w="0"/>
      </w:tblPr>
      <w:tr>
        <w:tc>
          <w:tcPr>
            <w:tcW w:type="auto" w:w="0"/>
            <w:tcMar>
              <w:left w:type="dxa" w:w="200"/>
              <w:top w:type="dxa" w:w="200"/>
              <w:right w:type="dxa" w:w="200"/>
              <w:bottom w:type="dxa" w:w="200"/>
            </w:tcMar>
          </w:tcPr>
          <w:p>
            <w:pPr>
              <w:pStyle w:val="Para 001"/>
            </w:pPr>
            <w:r>
              <w:t>xor</w:t>
            </w:r>
          </w:p>
        </w:tc>
        <w:tc>
          <w:tcPr>
            <w:tcW w:type="auto" w:w="0"/>
            <w:tcMar>
              <w:left w:type="dxa" w:w="200"/>
              <w:top w:type="dxa" w:w="200"/>
              <w:right w:type="dxa" w:w="200"/>
              <w:bottom w:type="dxa" w:w="200"/>
            </w:tcMar>
          </w:tcPr>
          <w:p>
            <w:pPr>
              <w:pStyle w:val="Para 001"/>
            </w:pPr>
            <w:r>
              <w:t>xor(</w:t>
            </w:r>
            <w:r>
              <w:rPr>
                <w:rStyle w:val="Text3"/>
              </w:rPr>
              <w:t>a</w:t>
            </w:r>
            <w:r>
              <w:t>,</w:t>
            </w:r>
            <w:r>
              <w:rPr>
                <w:rStyle w:val="Text12"/>
              </w:rPr>
              <w:t xml:space="preserve"> </w:t>
            </w:r>
            <w:r>
              <w:rPr>
                <w:rStyle w:val="Text3"/>
              </w:rPr>
              <w:t>b</w:t>
            </w:r>
            <w:r>
              <w:t>)</w:t>
            </w:r>
          </w:p>
        </w:tc>
        <w:tc>
          <w:tcPr>
            <w:tcW w:type="auto" w:w="0"/>
            <w:tcMar>
              <w:left w:type="dxa" w:w="200"/>
              <w:top w:type="dxa" w:w="200"/>
              <w:right w:type="dxa" w:w="200"/>
              <w:bottom w:type="dxa" w:w="200"/>
            </w:tcMar>
          </w:tcPr>
          <w:p>
            <w:pPr>
              <w:pStyle w:val="Para 026"/>
            </w:pPr>
            <w:r>
              <w:t>a</w:t>
            </w:r>
            <w:r>
              <w:rPr>
                <w:rStyle w:val="Text47"/>
              </w:rPr>
              <w:t xml:space="preserve"> </w:t>
            </w:r>
            <w:r>
              <w:rPr>
                <w:rStyle w:val="Text50"/>
              </w:rPr>
              <w:t>^</w:t>
            </w:r>
            <w:r>
              <w:rPr>
                <w:rStyle w:val="Text47"/>
              </w:rPr>
              <w:t xml:space="preserve"> </w:t>
            </w:r>
            <w:r>
              <w:t>b</w:t>
            </w:r>
          </w:p>
        </w:tc>
      </w:tr>
    </w:tbl>
    <w:p>
      <w:pPr>
        <w:pStyle w:val="Normal"/>
      </w:pPr>
      <w:r>
        <w:t xml:space="preserve">The </w:t>
      </w:r>
      <w:r>
        <w:rPr>
          <w:rStyle w:val="Text0"/>
        </w:rPr>
        <w:t>operator</w:t>
      </w:r>
      <w:r>
        <w:t xml:space="preserve"> module also supplies additional</w:t>
      </w:r>
      <w:r>
        <w:rPr>
          <w:rStyle w:val="Text111"/>
        </w:rPr>
        <w:bookmarkStart w:id="3587" w:name="idm45965186572672"/>
        <w:t/>
        <w:bookmarkEnd w:id="3587"/>
        <w:bookmarkStart w:id="3588" w:name="idm45965186571568"/>
        <w:t/>
        <w:bookmarkEnd w:id="3588"/>
      </w:r>
      <w:r>
        <w:t xml:space="preserve"> higher-order functions, listed in </w:t>
      </w:r>
      <w:hyperlink w:anchor="Table_16_4__Higher_order_functio">
        <w:r>
          <w:rPr>
            <w:rStyle w:val="Text1"/>
          </w:rPr>
          <w:t>Table 16-4</w:t>
        </w:r>
      </w:hyperlink>
      <w:r>
        <w:t xml:space="preserve">. Three of these functions, </w:t>
      </w:r>
      <w:r>
        <w:rPr>
          <w:rStyle w:val="Text0"/>
        </w:rPr>
        <w:t>attrgetter</w:t>
      </w:r>
      <w:r>
        <w:t xml:space="preserve">, </w:t>
      </w:r>
      <w:r>
        <w:rPr>
          <w:rStyle w:val="Text0"/>
        </w:rPr>
        <w:t>itemgetter</w:t>
      </w:r>
      <w:r>
        <w:t xml:space="preserve">, and </w:t>
      </w:r>
      <w:r>
        <w:rPr>
          <w:rStyle w:val="Text0"/>
        </w:rPr>
        <w:t>methodcaller</w:t>
      </w:r>
      <w:r>
        <w:t xml:space="preserve">, return functions suitable for passing as named argument </w:t>
      </w:r>
      <w:r>
        <w:rPr>
          <w:rStyle w:val="Text0"/>
        </w:rPr>
        <w:t>key</w:t>
      </w:r>
      <w:r>
        <w:t xml:space="preserve"> to the </w:t>
      </w:r>
      <w:r>
        <w:rPr>
          <w:rStyle w:val="Text0"/>
        </w:rPr>
        <w:t>sort</w:t>
      </w:r>
      <w:r>
        <w:t xml:space="preserve"> method of lists, the </w:t>
      </w:r>
      <w:r>
        <w:rPr>
          <w:rStyle w:val="Text0"/>
        </w:rPr>
        <w:t>sorted</w:t>
      </w:r>
      <w:r>
        <w:t xml:space="preserve">, </w:t>
      </w:r>
      <w:r>
        <w:rPr>
          <w:rStyle w:val="Text0"/>
        </w:rPr>
        <w:t>min</w:t>
      </w:r>
      <w:r>
        <w:t xml:space="preserve">, and </w:t>
      </w:r>
      <w:r>
        <w:rPr>
          <w:rStyle w:val="Text0"/>
        </w:rPr>
        <w:t>max</w:t>
      </w:r>
      <w:r>
        <w:t xml:space="preserve"> built-in functions, and several functions in standard library modules, such as </w:t>
      </w:r>
      <w:r>
        <w:rPr>
          <w:rStyle w:val="Text0"/>
        </w:rPr>
        <w:t>heapq</w:t>
      </w:r>
      <w:r>
        <w:t xml:space="preserve"> and </w:t>
      </w:r>
      <w:r>
        <w:rPr>
          <w:rStyle w:val="Text0"/>
        </w:rPr>
        <w:t>itertools</w:t>
      </w:r>
      <w:r>
        <w:t xml:space="preserve"> (discussed in </w:t>
      </w:r>
      <w:hyperlink w:anchor="Chapter_8__Core_Built_ins_and_St_2">
        <w:r>
          <w:rPr>
            <w:rStyle w:val="Text1"/>
          </w:rPr>
          <w:t>Chapter 8</w:t>
        </w:r>
      </w:hyperlink>
      <w:r>
        <w:t>).</w:t>
      </w:r>
    </w:p>
    <w:tbl>
      <w:tblPr>
        <w:tblW w:type="auto" w:w="0"/>
      </w:tblPr>
      <w:tr>
        <w:tc>
          <w:tcPr>
            <w:tcW w:type="auto" w:w="0"/>
            <w:tcMar>
              <w:left w:type="dxa" w:w="200"/>
              <w:top w:type="dxa" w:w="200"/>
              <w:right w:type="dxa" w:w="200"/>
              <w:bottom w:type="dxa" w:w="200"/>
            </w:tcMar>
          </w:tcPr>
          <w:p>
            <w:bookmarkStart w:id="3589" w:name="Table_16_4__Higher_order_functio"/>
            <w:pPr>
              <w:pStyle w:val="Para 011"/>
            </w:pPr>
            <w:r>
              <w:rPr>
                <w:rStyle w:val="Text117"/>
              </w:rPr>
              <w:t/>
            </w:r>
            <w:r>
              <w:t xml:space="preserve">Table 16-4. </w:t>
              <w:t xml:space="preserve">Higher-order functions supplied by the </w:t>
            </w:r>
            <w:r>
              <w:rPr>
                <w:rStyle w:val="Text0"/>
              </w:rPr>
              <w:t>operator</w:t>
            </w:r>
            <w:r>
              <w:t xml:space="preserve"> module</w:t>
            </w:r>
            <w:bookmarkEnd w:id="3589"/>
          </w:p>
          <w:p>
            <w:pPr>
              <w:pStyle w:val="Para 001"/>
            </w:pPr>
            <w:r>
              <w:t>attrgetter</w:t>
            </w:r>
          </w:p>
        </w:tc>
        <w:tc>
          <w:tcPr>
            <w:tcW w:type="auto" w:w="0"/>
            <w:tcMar>
              <w:left w:type="dxa" w:w="200"/>
              <w:top w:type="dxa" w:w="200"/>
              <w:right w:type="dxa" w:w="200"/>
              <w:bottom w:type="dxa" w:w="200"/>
            </w:tcMar>
          </w:tcPr>
          <w:p>
            <w:pPr>
              <w:pStyle w:val="Para 002"/>
            </w:pPr>
            <w:r>
              <w:rPr>
                <w:rStyle w:val="Text0"/>
              </w:rPr>
              <w:t>attrgetter(</w:t>
            </w:r>
            <w:r>
              <w:rPr>
                <w:rStyle w:val="Text3"/>
              </w:rPr>
              <w:t>attr</w:t>
            </w:r>
            <w:r>
              <w:rPr>
                <w:rStyle w:val="Text0"/>
              </w:rPr>
              <w:t>)</w:t>
            </w:r>
            <w:r>
              <w:t>,</w:t>
              <w:br w:clear="none"/>
              <w:t xml:space="preserve"> </w:t>
            </w:r>
            <w:r>
              <w:rPr>
                <w:rStyle w:val="Text0"/>
              </w:rPr>
              <w:t>attrgetter(*</w:t>
            </w:r>
            <w:r>
              <w:rPr>
                <w:rStyle w:val="Text3"/>
              </w:rPr>
              <w:t>attrs</w:t>
            </w:r>
            <w:r>
              <w:rPr>
                <w:rStyle w:val="Text0"/>
              </w:rPr>
              <w:t>)</w:t>
              <w:br w:clear="none"/>
            </w:r>
            <w:r>
              <w:t xml:space="preserve"> Returns</w:t>
            </w:r>
            <w:r>
              <w:rPr>
                <w:rStyle w:val="Text111"/>
              </w:rPr>
              <w:bookmarkStart w:id="3590" w:name="idm45965186553824"/>
              <w:t/>
              <w:bookmarkEnd w:id="3590"/>
            </w:r>
            <w:r>
              <w:t xml:space="preserve"> a callable </w:t>
            </w:r>
            <w:r>
              <w:rPr>
                <w:rStyle w:val="Text3"/>
              </w:rPr>
              <w:t>f</w:t>
            </w:r>
            <w:r>
              <w:t xml:space="preserve"> such that </w:t>
            </w:r>
            <w:r>
              <w:rPr>
                <w:rStyle w:val="Text3"/>
              </w:rPr>
              <w:t>f</w:t>
            </w:r>
            <w:r>
              <w:rPr>
                <w:rStyle w:val="Text0"/>
              </w:rPr>
              <w:t>(</w:t>
            </w:r>
            <w:r>
              <w:rPr>
                <w:rStyle w:val="Text3"/>
              </w:rPr>
              <w:t>o</w:t>
            </w:r>
            <w:r>
              <w:rPr>
                <w:rStyle w:val="Text0"/>
              </w:rPr>
              <w:t>)</w:t>
            </w:r>
            <w:r>
              <w:t xml:space="preserve"> is the same as </w:t>
            </w:r>
            <w:r>
              <w:rPr>
                <w:rStyle w:val="Text0"/>
              </w:rPr>
              <w:t>getattr(</w:t>
            </w:r>
            <w:r>
              <w:rPr>
                <w:rStyle w:val="Text3"/>
              </w:rPr>
              <w:t>o</w:t>
            </w:r>
            <w:r>
              <w:rPr>
                <w:rStyle w:val="Text0"/>
              </w:rPr>
              <w:t>,</w:t>
            </w:r>
            <w:r>
              <w:t xml:space="preserve"> </w:t>
            </w:r>
            <w:r>
              <w:rPr>
                <w:rStyle w:val="Text3"/>
              </w:rPr>
              <w:t>attr</w:t>
            </w:r>
            <w:r>
              <w:rPr>
                <w:rStyle w:val="Text0"/>
              </w:rPr>
              <w:t>)</w:t>
            </w:r>
            <w:r>
              <w:t xml:space="preserve">. The string </w:t>
            </w:r>
            <w:r>
              <w:rPr>
                <w:rStyle w:val="Text3"/>
              </w:rPr>
              <w:t>attr</w:t>
            </w:r>
            <w:r>
              <w:t xml:space="preserve"> can include dots (</w:t>
            </w:r>
            <w:r>
              <w:rPr>
                <w:rStyle w:val="Text0"/>
              </w:rPr>
              <w:t>.</w:t>
            </w:r>
            <w:r>
              <w:t xml:space="preserve">), in which case the callable result of </w:t>
            </w:r>
            <w:r>
              <w:rPr>
                <w:rStyle w:val="Text0"/>
              </w:rPr>
              <w:t>attrgetter</w:t>
            </w:r>
            <w:r>
              <w:t xml:space="preserve"> calls </w:t>
            </w:r>
            <w:r>
              <w:rPr>
                <w:rStyle w:val="Text0"/>
              </w:rPr>
              <w:t>getattr</w:t>
            </w:r>
            <w:r>
              <w:t xml:space="preserve"> repeatedly. For example, </w:t>
            </w:r>
            <w:r>
              <w:rPr>
                <w:rStyle w:val="Text0"/>
              </w:rPr>
              <w:t>operator.attrgetter('a.b')</w:t>
            </w:r>
            <w:r>
              <w:t xml:space="preserve"> is equivalent to </w:t>
            </w:r>
            <w:r>
              <w:rPr>
                <w:rStyle w:val="Text5"/>
              </w:rPr>
              <w:t>lambda</w:t>
            </w:r>
            <w:r>
              <w:t xml:space="preserve"> </w:t>
            </w:r>
            <w:r>
              <w:rPr>
                <w:rStyle w:val="Text3"/>
              </w:rPr>
              <w:t>o</w:t>
            </w:r>
            <w:r>
              <w:rPr>
                <w:rStyle w:val="Text0"/>
              </w:rPr>
              <w:t>: getattr(getattr(</w:t>
            </w:r>
            <w:r>
              <w:rPr>
                <w:rStyle w:val="Text3"/>
              </w:rPr>
              <w:t>o</w:t>
            </w:r>
            <w:r>
              <w:rPr>
                <w:rStyle w:val="Text0"/>
              </w:rPr>
              <w:t>, 'a'), 'b')</w:t>
            </w:r>
            <w:r>
              <w:t>.</w:t>
              <w:br w:clear="none"/>
              <w:t xml:space="preserve"> When you call </w:t>
            </w:r>
            <w:r>
              <w:rPr>
                <w:rStyle w:val="Text0"/>
              </w:rPr>
              <w:t>attrgetter</w:t>
            </w:r>
            <w:r>
              <w:t xml:space="preserve"> with multiple arguments, the resulting callable extracts each attribute thus named and returns the resulting tuple of values.</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itemgetter</w:t>
            </w:r>
          </w:p>
        </w:tc>
        <w:tc>
          <w:tcPr>
            <w:tcW w:type="auto" w:w="0"/>
            <w:shd w:val="clear" w:color="auto" w:fill="EEF2F6"/>
            <w:tcMar>
              <w:left w:type="dxa" w:w="200"/>
              <w:top w:type="dxa" w:w="200"/>
              <w:right w:type="dxa" w:w="200"/>
              <w:bottom w:type="dxa" w:w="200"/>
            </w:tcMar>
          </w:tcPr>
          <w:p>
            <w:pPr>
              <w:pStyle w:val="Para 002"/>
            </w:pPr>
            <w:r>
              <w:rPr>
                <w:rStyle w:val="Text0"/>
              </w:rPr>
              <w:t>itemgetter(</w:t>
            </w:r>
            <w:r>
              <w:rPr>
                <w:rStyle w:val="Text3"/>
              </w:rPr>
              <w:t>key</w:t>
            </w:r>
            <w:r>
              <w:rPr>
                <w:rStyle w:val="Text0"/>
              </w:rPr>
              <w:t>)</w:t>
            </w:r>
            <w:r>
              <w:t>,</w:t>
              <w:br w:clear="none"/>
              <w:t xml:space="preserve"> </w:t>
            </w:r>
            <w:r>
              <w:rPr>
                <w:rStyle w:val="Text0"/>
              </w:rPr>
              <w:t>itemgetter(</w:t>
            </w:r>
            <w:r>
              <w:rPr>
                <w:rStyle w:val="Text3"/>
              </w:rPr>
              <w:t>*keys</w:t>
            </w:r>
            <w:r>
              <w:rPr>
                <w:rStyle w:val="Text0"/>
              </w:rPr>
              <w:t>)</w:t>
              <w:br w:clear="none"/>
            </w:r>
            <w:r>
              <w:t xml:space="preserve"> Returns</w:t>
            </w:r>
            <w:r>
              <w:rPr>
                <w:rStyle w:val="Text111"/>
              </w:rPr>
              <w:bookmarkStart w:id="3591" w:name="idm45965186535408"/>
              <w:t/>
              <w:bookmarkEnd w:id="3591"/>
            </w:r>
            <w:r>
              <w:t xml:space="preserve"> a callable </w:t>
            </w:r>
            <w:r>
              <w:rPr>
                <w:rStyle w:val="Text3"/>
              </w:rPr>
              <w:t>f</w:t>
            </w:r>
            <w:r>
              <w:t xml:space="preserve"> such that </w:t>
            </w:r>
            <w:r>
              <w:rPr>
                <w:rStyle w:val="Text3"/>
              </w:rPr>
              <w:t>f</w:t>
            </w:r>
            <w:r>
              <w:rPr>
                <w:rStyle w:val="Text0"/>
              </w:rPr>
              <w:t>(</w:t>
            </w:r>
            <w:r>
              <w:rPr>
                <w:rStyle w:val="Text3"/>
              </w:rPr>
              <w:t>o</w:t>
            </w:r>
            <w:r>
              <w:rPr>
                <w:rStyle w:val="Text0"/>
              </w:rPr>
              <w:t>)</w:t>
            </w:r>
            <w:r>
              <w:t xml:space="preserve"> is the same as </w:t>
            </w:r>
            <w:r>
              <w:rPr>
                <w:rStyle w:val="Text0"/>
              </w:rPr>
              <w:t>getitem(</w:t>
            </w:r>
            <w:r>
              <w:rPr>
                <w:rStyle w:val="Text3"/>
              </w:rPr>
              <w:t>o</w:t>
            </w:r>
            <w:r>
              <w:rPr>
                <w:rStyle w:val="Text0"/>
              </w:rPr>
              <w:t>,</w:t>
            </w:r>
            <w:r>
              <w:t xml:space="preserve"> </w:t>
            </w:r>
            <w:r>
              <w:rPr>
                <w:rStyle w:val="Text3"/>
              </w:rPr>
              <w:t>key</w:t>
            </w:r>
            <w:r>
              <w:rPr>
                <w:rStyle w:val="Text0"/>
              </w:rPr>
              <w:t>)</w:t>
            </w:r>
            <w:r>
              <w:t>.</w:t>
              <w:br w:clear="none"/>
              <w:t xml:space="preserve"> When you call </w:t>
            </w:r>
            <w:r>
              <w:rPr>
                <w:rStyle w:val="Text0"/>
              </w:rPr>
              <w:t>itemgetter</w:t>
            </w:r>
            <w:r>
              <w:t xml:space="preserve"> with multiple arguments, the resulting callable extracts each item thus keyed and returns the resulting tuple of values.</w:t>
              <w:br w:clear="none"/>
              <w:t xml:space="preserve"> For example, say that </w:t>
            </w:r>
            <w:r>
              <w:rPr>
                <w:rStyle w:val="Text3"/>
              </w:rPr>
              <w:t>L</w:t>
            </w:r>
            <w:r>
              <w:t xml:space="preserve"> is a list of lists, with each sublist at least three items long: you want to sort </w:t>
            </w:r>
            <w:r>
              <w:rPr>
                <w:rStyle w:val="Text3"/>
              </w:rPr>
              <w:t>L</w:t>
            </w:r>
            <w:r>
              <w:t xml:space="preserve">, in place, based on the third item of each sublist, with sublists having equal third items sorted by their first items. The simplest way to do this is: </w:t>
            </w:r>
          </w:p>
          <w:p>
            <w:pPr>
              <w:pStyle w:val="Para 029"/>
            </w:pPr>
            <w:r>
              <w:rPr>
                <w:rStyle w:val="Text23"/>
              </w:rPr>
              <w:t xml:space="preserve"/>
              <w:br w:clear="none"/>
            </w:r>
            <w:r>
              <w:t xml:space="preserve">L</w:t>
              <w:br w:clear="none"/>
            </w:r>
            <w:r>
              <w:rPr>
                <w:rStyle w:val="Text13"/>
              </w:rPr>
              <w:t xml:space="preserve">.</w:t>
              <w:br w:clear="none"/>
            </w:r>
            <w:r>
              <w:t xml:space="preserve">sort</w:t>
              <w:br w:clear="none"/>
            </w:r>
            <w:r>
              <w:rPr>
                <w:rStyle w:val="Text7"/>
              </w:rPr>
              <w:t xml:space="preserve">(</w:t>
              <w:br w:clear="none"/>
            </w:r>
            <w:r>
              <w:t xml:space="preserve">key</w:t>
              <w:br w:clear="none"/>
            </w:r>
            <w:r>
              <w:rPr>
                <w:rStyle w:val="Text13"/>
              </w:rPr>
              <w:t xml:space="preserve">=</w:t>
              <w:br w:clear="none"/>
            </w:r>
            <w:r>
              <w:t xml:space="preserve">operator</w:t>
              <w:br w:clear="none"/>
            </w:r>
            <w:r>
              <w:rPr>
                <w:rStyle w:val="Text13"/>
              </w:rPr>
              <w:t xml:space="preserve">.</w:t>
              <w:br w:clear="none"/>
            </w:r>
            <w:r>
              <w:t xml:space="preserve">itemgetter</w:t>
              <w:br w:clear="none"/>
            </w:r>
            <w:r>
              <w:rPr>
                <w:rStyle w:val="Text7"/>
              </w:rPr>
              <w:t xml:space="preserve">(</w:t>
              <w:br w:clear="none"/>
            </w:r>
            <w:r>
              <w:rPr>
                <w:rStyle w:val="Text27"/>
              </w:rPr>
              <w:t xml:space="preserve">2</w:t>
              <w:br w:clear="none"/>
            </w:r>
            <w:r>
              <w:rPr>
                <w:rStyle w:val="Text7"/>
              </w:rPr>
              <w:t xml:space="preserve">,</w:t>
              <w:br w:clear="none"/>
            </w:r>
            <w:r>
              <w:rPr>
                <w:rStyle w:val="Text23"/>
              </w:rPr>
              <w:t xml:space="preserve"> </w:t>
              <w:br w:clear="none"/>
            </w:r>
            <w:r>
              <w:rPr>
                <w:rStyle w:val="Text27"/>
              </w:rPr>
              <w:t xml:space="preserve">0</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length_hint</w:t>
            </w:r>
          </w:p>
        </w:tc>
        <w:tc>
          <w:tcPr>
            <w:tcW w:type="auto" w:w="0"/>
            <w:tcMar>
              <w:left w:type="dxa" w:w="200"/>
              <w:top w:type="dxa" w:w="200"/>
              <w:right w:type="dxa" w:w="200"/>
              <w:bottom w:type="dxa" w:w="200"/>
            </w:tcMar>
          </w:tcPr>
          <w:p>
            <w:pPr>
              <w:pStyle w:val="Para 002"/>
            </w:pPr>
            <w:r>
              <w:rPr>
                <w:rStyle w:val="Text0"/>
              </w:rPr>
              <w:t>length_hint(</w:t>
            </w:r>
            <w:r>
              <w:rPr>
                <w:rStyle w:val="Text3"/>
              </w:rPr>
              <w:t>iterable</w:t>
            </w:r>
            <w:r>
              <w:rPr>
                <w:rStyle w:val="Text0"/>
              </w:rPr>
              <w:t>, default=0)</w:t>
              <w:br w:clear="none"/>
            </w:r>
            <w:r>
              <w:t xml:space="preserve"> Used to try to preallocate storage for items in </w:t>
            </w:r>
            <w:r>
              <w:rPr>
                <w:rStyle w:val="Text3"/>
              </w:rPr>
              <w:t>iterable</w:t>
            </w:r>
            <w:r>
              <w:t xml:space="preserve">. Calls object </w:t>
            </w:r>
            <w:r>
              <w:rPr>
                <w:rStyle w:val="Text3"/>
              </w:rPr>
              <w:t>iterable</w:t>
            </w:r>
            <w:r>
              <w:t xml:space="preserve">’s </w:t>
            </w:r>
            <w:r>
              <w:rPr>
                <w:rStyle w:val="Text0"/>
              </w:rPr>
              <w:t>__len__</w:t>
            </w:r>
            <w:r>
              <w:t xml:space="preserve"> method to try to get an exact length. If </w:t>
            </w:r>
            <w:r>
              <w:rPr>
                <w:rStyle w:val="Text0"/>
              </w:rPr>
              <w:t>__len__</w:t>
            </w:r>
            <w:r>
              <w:t xml:space="preserve"> is not implemented, then Python tries calling </w:t>
            </w:r>
            <w:r>
              <w:rPr>
                <w:rStyle w:val="Text3"/>
              </w:rPr>
              <w:t>iterable</w:t>
            </w:r>
            <w:r>
              <w:t xml:space="preserve">’s </w:t>
            </w:r>
            <w:r>
              <w:rPr>
                <w:rStyle w:val="Text0"/>
              </w:rPr>
              <w:t>__length_hint__</w:t>
            </w:r>
            <w:r>
              <w:t xml:space="preserve"> method. If this is also not implemented, </w:t>
            </w:r>
            <w:r>
              <w:rPr>
                <w:rStyle w:val="Text0"/>
              </w:rPr>
              <w:t>length_hint</w:t>
            </w:r>
            <w:r>
              <w:t xml:space="preserve"> returns the given </w:t>
            </w:r>
            <w:r>
              <w:rPr>
                <w:rStyle w:val="Text0"/>
              </w:rPr>
              <w:t>default</w:t>
            </w:r>
            <w:r>
              <w:t>. Any mistake in using this “hint” helper may result in a performance issue, but not in silent, incorrect behavior.</w:t>
            </w:r>
          </w:p>
        </w:tc>
      </w:tr>
    </w:tbl>
    <w:tbl>
      <w:tblPr>
        <w:tblW w:type="auto" w:w="0"/>
      </w:tblPr>
      <w:tr>
        <w:tc>
          <w:tcPr>
            <w:tcW w:type="auto" w:w="0"/>
            <w:shd w:val="clear" w:color="auto" w:fill="EEF2F6"/>
            <w:tcMar>
              <w:left w:type="dxa" w:w="200"/>
              <w:top w:type="dxa" w:w="200"/>
              <w:right w:type="dxa" w:w="200"/>
              <w:bottom w:type="dxa" w:w="200"/>
            </w:tcMar>
          </w:tcPr>
          <w:p>
            <w:pPr>
              <w:pStyle w:val="Para 001"/>
            </w:pPr>
            <w:r>
              <w:t>met⁠h⁠o⁠d​c⁠a⁠l⁠ler</w:t>
            </w:r>
          </w:p>
        </w:tc>
        <w:tc>
          <w:tcPr>
            <w:tcW w:type="auto" w:w="0"/>
            <w:shd w:val="clear" w:color="auto" w:fill="EEF2F6"/>
            <w:tcMar>
              <w:left w:type="dxa" w:w="200"/>
              <w:top w:type="dxa" w:w="200"/>
              <w:right w:type="dxa" w:w="200"/>
              <w:bottom w:type="dxa" w:w="200"/>
            </w:tcMar>
          </w:tcPr>
          <w:p>
            <w:pPr>
              <w:pStyle w:val="Para 002"/>
            </w:pPr>
            <w:r>
              <w:rPr>
                <w:rStyle w:val="Text0"/>
              </w:rPr>
              <w:t>methodcaller(</w:t>
            </w:r>
            <w:r>
              <w:rPr>
                <w:rStyle w:val="Text3"/>
              </w:rPr>
              <w:t>methodname</w:t>
            </w:r>
            <w:r>
              <w:rPr>
                <w:rStyle w:val="Text0"/>
              </w:rPr>
              <w:t>, args...)</w:t>
              <w:br w:clear="none"/>
            </w:r>
            <w:r>
              <w:t xml:space="preserve"> Returns</w:t>
            </w:r>
            <w:r>
              <w:rPr>
                <w:rStyle w:val="Text111"/>
              </w:rPr>
              <w:bookmarkStart w:id="3592" w:name="idm45965186491472"/>
              <w:t/>
              <w:bookmarkEnd w:id="3592"/>
            </w:r>
            <w:r>
              <w:t xml:space="preserve"> a callable </w:t>
            </w:r>
            <w:r>
              <w:rPr>
                <w:rStyle w:val="Text3"/>
              </w:rPr>
              <w:t>f</w:t>
            </w:r>
            <w:r>
              <w:t xml:space="preserve"> such that </w:t>
            </w:r>
            <w:r>
              <w:rPr>
                <w:rStyle w:val="Text3"/>
              </w:rPr>
              <w:t>f</w:t>
            </w:r>
            <w:r>
              <w:rPr>
                <w:rStyle w:val="Text0"/>
              </w:rPr>
              <w:t>(</w:t>
            </w:r>
            <w:r>
              <w:rPr>
                <w:rStyle w:val="Text3"/>
              </w:rPr>
              <w:t>o</w:t>
            </w:r>
            <w:r>
              <w:rPr>
                <w:rStyle w:val="Text0"/>
              </w:rPr>
              <w:t>)</w:t>
            </w:r>
            <w:r>
              <w:t xml:space="preserve"> is the same as </w:t>
            </w:r>
            <w:r>
              <w:rPr>
                <w:rStyle w:val="Text0"/>
              </w:rPr>
              <w:t>o.</w:t>
            </w:r>
            <w:r>
              <w:rPr>
                <w:rStyle w:val="Text3"/>
              </w:rPr>
              <w:t>methodname</w:t>
            </w:r>
            <w:r>
              <w:rPr>
                <w:rStyle w:val="Text0"/>
              </w:rPr>
              <w:t>(args, ...).</w:t>
            </w:r>
            <w:r>
              <w:t xml:space="preserve"> The optional </w:t>
            </w:r>
            <w:r>
              <w:rPr>
                <w:rStyle w:val="Text0"/>
              </w:rPr>
              <w:t>args</w:t>
            </w:r>
            <w:r>
              <w:t xml:space="preserve"> may be given as positional or named arguments.</w:t>
            </w:r>
            <w:r>
              <w:rPr>
                <w:rStyle w:val="Text111"/>
              </w:rPr>
              <w:bookmarkStart w:id="3593" w:name="idm45965186485616"/>
              <w:t/>
              <w:bookmarkEnd w:id="3593"/>
              <w:bookmarkStart w:id="3594" w:name="idm45965186484240"/>
              <w:t/>
              <w:bookmarkEnd w:id="3594"/>
            </w:r>
          </w:p>
        </w:tc>
      </w:tr>
    </w:tbl>
    <w:p>
      <w:bookmarkStart w:id="3595" w:name="Random_and_Pseudorandom_Numbers"/>
      <w:pPr>
        <w:keepNext/>
        <w:pStyle w:val="Heading 1"/>
      </w:pPr>
      <w:r>
        <w:t>Random and Pseudorandom Numbers</w:t>
      </w:r>
      <w:bookmarkEnd w:id="3595"/>
    </w:p>
    <w:p>
      <w:pPr>
        <w:pStyle w:val="Normal"/>
      </w:pPr>
      <w:r>
        <w:t>The</w:t>
      </w:r>
      <w:r>
        <w:rPr>
          <w:rStyle w:val="Text111"/>
        </w:rPr>
        <w:bookmarkStart w:id="3596" w:name="NPrandom16"/>
        <w:t/>
        <w:bookmarkEnd w:id="3596"/>
        <w:bookmarkStart w:id="3597" w:name="randmod16"/>
        <w:t/>
        <w:bookmarkEnd w:id="3597"/>
        <w:bookmarkStart w:id="3598" w:name="pseudoran16"/>
        <w:t/>
        <w:bookmarkEnd w:id="3598"/>
        <w:bookmarkStart w:id="3599" w:name="idm45965186461344"/>
        <w:t/>
        <w:bookmarkEnd w:id="3599"/>
      </w:r>
      <w:r>
        <w:t xml:space="preserve"> </w:t>
      </w:r>
      <w:r>
        <w:rPr>
          <w:rStyle w:val="Text0"/>
        </w:rPr>
        <w:t>random</w:t>
      </w:r>
      <w:r>
        <w:t xml:space="preserve"> module of the standard library generates pseudorandom numbers with various distributions. The underlying uniform pseudorandom generator uses the powerful, popular </w:t>
      </w:r>
      <w:hyperlink r:id="rId463">
        <w:r>
          <w:rPr>
            <w:rStyle w:val="Text1"/>
          </w:rPr>
          <w:t>Mersenne Twister algorithm</w:t>
        </w:r>
      </w:hyperlink>
      <w:r>
        <w:t xml:space="preserve">, with a (huge!) period of length </w:t>
      </w:r>
      <w:r>
        <w:rPr>
          <w:rStyle w:val="Text0"/>
        </w:rPr>
        <w:t>2</w:t>
      </w:r>
      <w:r>
        <w:rPr>
          <w:rStyle w:val="Text99"/>
        </w:rPr>
        <w:t>19937</w:t>
      </w:r>
      <w:r>
        <w:rPr>
          <w:rStyle w:val="Text0"/>
        </w:rPr>
        <w:t>-1</w:t>
      </w:r>
      <w:r>
        <w:t>.</w:t>
      </w:r>
    </w:p>
    <w:p>
      <w:bookmarkStart w:id="3600" w:name="The_random_Module__All_functions"/>
      <w:pPr>
        <w:keepNext/>
        <w:pStyle w:val="Heading 2"/>
      </w:pPr>
      <w:r>
        <w:t>The random Module</w:t>
      </w:r>
      <w:bookmarkEnd w:id="3600"/>
    </w:p>
    <w:p>
      <w:pPr>
        <w:pStyle w:val="Normal"/>
      </w:pPr>
      <w:r>
        <w:t xml:space="preserve">All functions of the </w:t>
      </w:r>
      <w:r>
        <w:rPr>
          <w:rStyle w:val="Text0"/>
        </w:rPr>
        <w:t>random</w:t>
      </w:r>
      <w:r>
        <w:t xml:space="preserve"> module are methods of one hidden global instance of the class </w:t>
      </w:r>
      <w:r>
        <w:rPr>
          <w:rStyle w:val="Text0"/>
        </w:rPr>
        <w:t>random.Random</w:t>
      </w:r>
      <w:r>
        <w:t xml:space="preserve">. You can instantiate </w:t>
      </w:r>
      <w:r>
        <w:rPr>
          <w:rStyle w:val="Text0"/>
        </w:rPr>
        <w:t>Random</w:t>
      </w:r>
      <w:r>
        <w:t xml:space="preserve"> explicitly to get multiple generators that do not share state. Explicit instantiation is advisable if you require random numbers in multiple threads (threads are covered in </w:t>
      </w:r>
      <w:hyperlink w:anchor="Chapter_15__Concurrency__Threads_2">
        <w:r>
          <w:rPr>
            <w:rStyle w:val="Text1"/>
          </w:rPr>
          <w:t>Chapter 15</w:t>
        </w:r>
      </w:hyperlink>
      <w:r>
        <w:t xml:space="preserve">). Alternatively, instantiate </w:t>
      </w:r>
      <w:r>
        <w:rPr>
          <w:rStyle w:val="Text0"/>
        </w:rPr>
        <w:t>SystemRandom</w:t>
      </w:r>
      <w:r>
        <w:t xml:space="preserve"> if you require higher-quality random numbers (see the following section for details). </w:t>
      </w:r>
      <w:hyperlink w:anchor="Table_16_5__Useful_functions_sup">
        <w:r>
          <w:rPr>
            <w:rStyle w:val="Text1"/>
          </w:rPr>
          <w:t>Table 16-5</w:t>
        </w:r>
      </w:hyperlink>
      <w:r>
        <w:t xml:space="preserve"> documents the most frequently used functions exposed by the </w:t>
      </w:r>
      <w:r>
        <w:rPr>
          <w:rStyle w:val="Text0"/>
        </w:rPr>
        <w:t>random</w:t>
      </w:r>
      <w:r>
        <w:t xml:space="preserve"> module.</w:t>
      </w:r>
    </w:p>
    <w:tbl>
      <w:tblPr>
        <w:tblW w:type="auto" w:w="0"/>
      </w:tblPr>
      <w:tr>
        <w:tc>
          <w:tcPr>
            <w:tcW w:type="auto" w:w="0"/>
            <w:tcMar>
              <w:left w:type="dxa" w:w="200"/>
              <w:top w:type="dxa" w:w="200"/>
              <w:right w:type="dxa" w:w="200"/>
              <w:bottom w:type="dxa" w:w="200"/>
            </w:tcMar>
          </w:tcPr>
          <w:p>
            <w:bookmarkStart w:id="3601" w:name="Table_16_5__Useful_functions_sup"/>
            <w:pPr>
              <w:pStyle w:val="Para 011"/>
            </w:pPr>
            <w:r>
              <w:rPr>
                <w:rStyle w:val="Text117"/>
              </w:rPr>
              <w:t/>
            </w:r>
            <w:r>
              <w:t xml:space="preserve">Table 16-5. </w:t>
              <w:t xml:space="preserve">Useful functions supplied by the </w:t>
            </w:r>
            <w:r>
              <w:rPr>
                <w:rStyle w:val="Text0"/>
              </w:rPr>
              <w:t>random</w:t>
            </w:r>
            <w:r>
              <w:t xml:space="preserve"> module</w:t>
            </w:r>
            <w:bookmarkEnd w:id="3601"/>
          </w:p>
          <w:p>
            <w:pPr>
              <w:pStyle w:val="Para 001"/>
            </w:pPr>
            <w:r>
              <w:t>choice</w:t>
            </w:r>
          </w:p>
        </w:tc>
        <w:tc>
          <w:tcPr>
            <w:tcW w:type="auto" w:w="0"/>
            <w:tcMar>
              <w:left w:type="dxa" w:w="200"/>
              <w:top w:type="dxa" w:w="200"/>
              <w:right w:type="dxa" w:w="200"/>
              <w:bottom w:type="dxa" w:w="200"/>
            </w:tcMar>
          </w:tcPr>
          <w:p>
            <w:pPr>
              <w:pStyle w:val="Para 002"/>
            </w:pPr>
            <w:r>
              <w:rPr>
                <w:rStyle w:val="Text0"/>
              </w:rPr>
              <w:t>choice(</w:t>
            </w:r>
            <w:r>
              <w:rPr>
                <w:rStyle w:val="Text3"/>
              </w:rPr>
              <w:t>seq</w:t>
            </w:r>
            <w:r>
              <w:rPr>
                <w:rStyle w:val="Text0"/>
              </w:rPr>
              <w:t>)</w:t>
              <w:br w:clear="none"/>
            </w:r>
            <w:r>
              <w:t xml:space="preserve"> Returns</w:t>
            </w:r>
            <w:r>
              <w:rPr>
                <w:rStyle w:val="Text111"/>
              </w:rPr>
              <w:bookmarkStart w:id="3602" w:name="idm45965186443680"/>
              <w:t/>
              <w:bookmarkEnd w:id="3602"/>
            </w:r>
            <w:r>
              <w:t xml:space="preserve"> a random item from nonempty sequence </w:t>
            </w:r>
            <w:r>
              <w:rPr>
                <w:rStyle w:val="Text3"/>
              </w:rPr>
              <w:t>seq</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choices</w:t>
            </w:r>
          </w:p>
        </w:tc>
        <w:tc>
          <w:tcPr>
            <w:tcW w:type="auto" w:w="0"/>
            <w:shd w:val="clear" w:color="auto" w:fill="EEF2F6"/>
            <w:tcMar>
              <w:left w:type="dxa" w:w="200"/>
              <w:top w:type="dxa" w:w="200"/>
              <w:right w:type="dxa" w:w="200"/>
              <w:bottom w:type="dxa" w:w="200"/>
            </w:tcMar>
          </w:tcPr>
          <w:p>
            <w:pPr>
              <w:pStyle w:val="Para 002"/>
            </w:pPr>
            <w:r>
              <w:rPr>
                <w:rStyle w:val="Text0"/>
              </w:rPr>
              <w:t>choices(</w:t>
            </w:r>
            <w:r>
              <w:rPr>
                <w:rStyle w:val="Text3"/>
              </w:rPr>
              <w:t>seq</w:t>
            </w:r>
            <w:r>
              <w:rPr>
                <w:rStyle w:val="Text0"/>
              </w:rPr>
              <w:t>,</w:t>
            </w:r>
            <w:r>
              <w:t xml:space="preserve"> </w:t>
            </w:r>
            <w:r>
              <w:rPr>
                <w:rStyle w:val="Text3"/>
              </w:rPr>
              <w:t>weights</w:t>
            </w:r>
            <w:r>
              <w:rPr>
                <w:rStyle w:val="Text0"/>
              </w:rPr>
              <w:t>=</w:t>
            </w:r>
            <w:r>
              <w:rPr>
                <w:rStyle w:val="Text5"/>
              </w:rPr>
              <w:t>None</w:t>
            </w:r>
            <w:r>
              <w:rPr>
                <w:rStyle w:val="Text0"/>
              </w:rPr>
              <w:t>, *, cum_weights=</w:t>
            </w:r>
            <w:r>
              <w:rPr>
                <w:rStyle w:val="Text5"/>
              </w:rPr>
              <w:t>None</w:t>
            </w:r>
            <w:r>
              <w:rPr>
                <w:rStyle w:val="Text0"/>
              </w:rPr>
              <w:t>, k=1)</w:t>
              <w:br w:clear="none"/>
            </w:r>
            <w:r>
              <w:t xml:space="preserve"> Returns </w:t>
            </w:r>
            <w:r>
              <w:rPr>
                <w:rStyle w:val="Text0"/>
              </w:rPr>
              <w:t>k</w:t>
            </w:r>
            <w:r>
              <w:t xml:space="preserve"> elements from nonempty sequence </w:t>
            </w:r>
            <w:r>
              <w:rPr>
                <w:rStyle w:val="Text3"/>
              </w:rPr>
              <w:t>seq</w:t>
            </w:r>
            <w:r>
              <w:t xml:space="preserve">, with replacement. By default, elements are chosen with equal probability. If the optional </w:t>
            </w:r>
            <w:r>
              <w:rPr>
                <w:rStyle w:val="Text3"/>
              </w:rPr>
              <w:t>weights</w:t>
            </w:r>
            <w:r>
              <w:t xml:space="preserve">, or the named argument </w:t>
            </w:r>
            <w:r>
              <w:rPr>
                <w:rStyle w:val="Text0"/>
              </w:rPr>
              <w:t>cum_weights</w:t>
            </w:r>
            <w:r>
              <w:t xml:space="preserve">, is passed (as a list of </w:t>
            </w:r>
            <w:r>
              <w:rPr>
                <w:rStyle w:val="Text0"/>
              </w:rPr>
              <w:t>float</w:t>
            </w:r>
            <w:r>
              <w:t xml:space="preserve">s or </w:t>
            </w:r>
            <w:r>
              <w:rPr>
                <w:rStyle w:val="Text0"/>
              </w:rPr>
              <w:t>int</w:t>
            </w:r>
            <w:r>
              <w:t xml:space="preserve">s), then the respective choices are weighted by that amount during choosing. The </w:t>
            </w:r>
            <w:r>
              <w:rPr>
                <w:rStyle w:val="Text0"/>
              </w:rPr>
              <w:t>cum_weights</w:t>
            </w:r>
            <w:r>
              <w:t xml:space="preserve"> argument accepts a list of </w:t>
            </w:r>
            <w:r>
              <w:rPr>
                <w:rStyle w:val="Text0"/>
              </w:rPr>
              <w:t>float</w:t>
            </w:r>
            <w:r>
              <w:t xml:space="preserve">s or </w:t>
            </w:r>
            <w:r>
              <w:rPr>
                <w:rStyle w:val="Text0"/>
              </w:rPr>
              <w:t>int</w:t>
            </w:r>
            <w:r>
              <w:t xml:space="preserve">s as would be returned by </w:t>
            </w:r>
            <w:r>
              <w:rPr>
                <w:rStyle w:val="Text0"/>
              </w:rPr>
              <w:t>itertools.accumulate(</w:t>
            </w:r>
            <w:r>
              <w:rPr>
                <w:rStyle w:val="Text3"/>
              </w:rPr>
              <w:t>weights</w:t>
            </w:r>
            <w:r>
              <w:rPr>
                <w:rStyle w:val="Text0"/>
              </w:rPr>
              <w:t>)</w:t>
            </w:r>
            <w:r>
              <w:t xml:space="preserve">; e.g., if </w:t>
            </w:r>
            <w:r>
              <w:rPr>
                <w:rStyle w:val="Text3"/>
              </w:rPr>
              <w:t>weights</w:t>
            </w:r>
            <w:r>
              <w:t xml:space="preserve"> for a </w:t>
            </w:r>
            <w:r>
              <w:rPr>
                <w:rStyle w:val="Text3"/>
              </w:rPr>
              <w:t>seq</w:t>
            </w:r>
            <w:r>
              <w:t xml:space="preserve"> containing three items were </w:t>
            </w:r>
            <w:r>
              <w:rPr>
                <w:rStyle w:val="Text0"/>
              </w:rPr>
              <w:t>[1, 2, 1]</w:t>
            </w:r>
            <w:r>
              <w:t xml:space="preserve">, then the corresponding </w:t>
            </w:r>
            <w:r>
              <w:rPr>
                <w:rStyle w:val="Text0"/>
              </w:rPr>
              <w:t>cum_weights</w:t>
            </w:r>
            <w:r>
              <w:t xml:space="preserve"> would be </w:t>
            </w:r>
            <w:r>
              <w:rPr>
                <w:rStyle w:val="Text0"/>
              </w:rPr>
              <w:t>[1, 3, 4]</w:t>
            </w:r>
            <w:r>
              <w:t xml:space="preserve">. (Only one of </w:t>
            </w:r>
            <w:r>
              <w:rPr>
                <w:rStyle w:val="Text3"/>
              </w:rPr>
              <w:t>weights</w:t>
            </w:r>
            <w:r>
              <w:t xml:space="preserve"> or </w:t>
            </w:r>
            <w:r>
              <w:rPr>
                <w:rStyle w:val="Text0"/>
              </w:rPr>
              <w:t>cum_weights</w:t>
            </w:r>
            <w:r>
              <w:t xml:space="preserve"> may be specified, and must be the same length as </w:t>
            </w:r>
            <w:r>
              <w:rPr>
                <w:rStyle w:val="Text3"/>
              </w:rPr>
              <w:t>seq</w:t>
            </w:r>
            <w:r>
              <w:t xml:space="preserve">. If used, </w:t>
            </w:r>
            <w:r>
              <w:rPr>
                <w:rStyle w:val="Text0"/>
              </w:rPr>
              <w:t>cum_weights</w:t>
            </w:r>
            <w:r>
              <w:t xml:space="preserve"> and </w:t>
            </w:r>
            <w:r>
              <w:rPr>
                <w:rStyle w:val="Text0"/>
              </w:rPr>
              <w:t>k</w:t>
            </w:r>
            <w:r>
              <w:t xml:space="preserve"> must be given as named arguments.)</w:t>
            </w:r>
          </w:p>
        </w:tc>
      </w:tr>
    </w:tbl>
    <w:tbl>
      <w:tblPr>
        <w:tblW w:type="auto" w:w="0"/>
      </w:tblPr>
      <w:tr>
        <w:tc>
          <w:tcPr>
            <w:tcW w:type="auto" w:w="0"/>
            <w:tcMar>
              <w:left w:type="dxa" w:w="200"/>
              <w:top w:type="dxa" w:w="200"/>
              <w:right w:type="dxa" w:w="200"/>
              <w:bottom w:type="dxa" w:w="200"/>
            </w:tcMar>
          </w:tcPr>
          <w:p>
            <w:pPr>
              <w:pStyle w:val="Para 001"/>
            </w:pPr>
            <w:r>
              <w:t>getrandbits</w:t>
            </w:r>
          </w:p>
        </w:tc>
        <w:tc>
          <w:tcPr>
            <w:tcW w:type="auto" w:w="0"/>
            <w:tcMar>
              <w:left w:type="dxa" w:w="200"/>
              <w:top w:type="dxa" w:w="200"/>
              <w:right w:type="dxa" w:w="200"/>
              <w:bottom w:type="dxa" w:w="200"/>
            </w:tcMar>
          </w:tcPr>
          <w:p>
            <w:pPr>
              <w:pStyle w:val="Para 002"/>
            </w:pPr>
            <w:r>
              <w:rPr>
                <w:rStyle w:val="Text0"/>
              </w:rPr>
              <w:t>getrandbits(</w:t>
            </w:r>
            <w:r>
              <w:rPr>
                <w:rStyle w:val="Text3"/>
              </w:rPr>
              <w:t>k</w:t>
            </w:r>
            <w:r>
              <w:rPr>
                <w:rStyle w:val="Text0"/>
              </w:rPr>
              <w:t>)</w:t>
              <w:br w:clear="none"/>
            </w:r>
            <w:r>
              <w:t xml:space="preserve"> Returns an </w:t>
            </w:r>
            <w:r>
              <w:rPr>
                <w:rStyle w:val="Text0"/>
              </w:rPr>
              <w:t>int &gt;= 0</w:t>
            </w:r>
            <w:r>
              <w:t xml:space="preserve"> with </w:t>
            </w:r>
            <w:r>
              <w:rPr>
                <w:rStyle w:val="Text3"/>
              </w:rPr>
              <w:t>k</w:t>
            </w:r>
            <w:r>
              <w:t xml:space="preserve"> random bits, like </w:t>
            </w:r>
            <w:r>
              <w:rPr>
                <w:rStyle w:val="Text0"/>
              </w:rPr>
              <w:t>randrange(2 **</w:t>
            </w:r>
            <w:r>
              <w:t xml:space="preserve"> </w:t>
            </w:r>
            <w:r>
              <w:rPr>
                <w:rStyle w:val="Text3"/>
              </w:rPr>
              <w:t>k</w:t>
            </w:r>
            <w:r>
              <w:rPr>
                <w:rStyle w:val="Text0"/>
              </w:rPr>
              <w:t>)</w:t>
            </w:r>
            <w:r>
              <w:t xml:space="preserve"> (but faster, and with no problems for large </w:t>
            </w:r>
            <w:r>
              <w:rPr>
                <w:rStyle w:val="Text3"/>
              </w:rPr>
              <w:t>k</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getstate</w:t>
            </w:r>
          </w:p>
        </w:tc>
        <w:tc>
          <w:tcPr>
            <w:tcW w:type="auto" w:w="0"/>
            <w:shd w:val="clear" w:color="auto" w:fill="EEF2F6"/>
            <w:tcMar>
              <w:left w:type="dxa" w:w="200"/>
              <w:top w:type="dxa" w:w="200"/>
              <w:right w:type="dxa" w:w="200"/>
              <w:bottom w:type="dxa" w:w="200"/>
            </w:tcMar>
          </w:tcPr>
          <w:p>
            <w:pPr>
              <w:pStyle w:val="Para 002"/>
            </w:pPr>
            <w:r>
              <w:rPr>
                <w:rStyle w:val="Text0"/>
              </w:rPr>
              <w:t>getstate()</w:t>
              <w:br w:clear="none"/>
            </w:r>
            <w:r>
              <w:t xml:space="preserve"> Returns a hashable and pickleable object </w:t>
            </w:r>
            <w:r>
              <w:rPr>
                <w:rStyle w:val="Text3"/>
              </w:rPr>
              <w:t>S</w:t>
            </w:r>
            <w:r>
              <w:t xml:space="preserve"> representing the current state of the generator. You can later pass </w:t>
            </w:r>
            <w:r>
              <w:rPr>
                <w:rStyle w:val="Text3"/>
              </w:rPr>
              <w:t>S</w:t>
            </w:r>
            <w:r>
              <w:t xml:space="preserve"> to the function </w:t>
            </w:r>
            <w:r>
              <w:rPr>
                <w:rStyle w:val="Text0"/>
              </w:rPr>
              <w:t>setstate</w:t>
            </w:r>
            <w:r>
              <w:t xml:space="preserve"> to restore the generator’s state.</w:t>
            </w:r>
          </w:p>
        </w:tc>
      </w:tr>
    </w:tbl>
    <w:tbl>
      <w:tblPr>
        <w:tblW w:type="auto" w:w="0"/>
      </w:tblPr>
      <w:tr>
        <w:tc>
          <w:tcPr>
            <w:tcW w:type="auto" w:w="0"/>
            <w:tcMar>
              <w:left w:type="dxa" w:w="200"/>
              <w:top w:type="dxa" w:w="200"/>
              <w:right w:type="dxa" w:w="200"/>
              <w:bottom w:type="dxa" w:w="200"/>
            </w:tcMar>
          </w:tcPr>
          <w:p>
            <w:pPr>
              <w:pStyle w:val="Para 001"/>
            </w:pPr>
            <w:r>
              <w:t>jumpahead</w:t>
            </w:r>
          </w:p>
        </w:tc>
        <w:tc>
          <w:tcPr>
            <w:tcW w:type="auto" w:w="0"/>
            <w:tcMar>
              <w:left w:type="dxa" w:w="200"/>
              <w:top w:type="dxa" w:w="200"/>
              <w:right w:type="dxa" w:w="200"/>
              <w:bottom w:type="dxa" w:w="200"/>
            </w:tcMar>
          </w:tcPr>
          <w:p>
            <w:pPr>
              <w:pStyle w:val="Para 002"/>
            </w:pPr>
            <w:r>
              <w:rPr>
                <w:rStyle w:val="Text0"/>
              </w:rPr>
              <w:t>jumpahead(</w:t>
            </w:r>
            <w:r>
              <w:rPr>
                <w:rStyle w:val="Text3"/>
              </w:rPr>
              <w:t>n</w:t>
            </w:r>
            <w:r>
              <w:rPr>
                <w:rStyle w:val="Text0"/>
              </w:rPr>
              <w:t>)</w:t>
              <w:br w:clear="none"/>
            </w:r>
            <w:r>
              <w:t xml:space="preserve"> Advances the generator state as if </w:t>
            </w:r>
            <w:r>
              <w:rPr>
                <w:rStyle w:val="Text3"/>
              </w:rPr>
              <w:t>n</w:t>
            </w:r>
            <w:r>
              <w:t xml:space="preserve"> random numbers had been generated. This is faster than generating and ignoring </w:t>
            </w:r>
            <w:r>
              <w:rPr>
                <w:rStyle w:val="Text3"/>
              </w:rPr>
              <w:t>n</w:t>
            </w:r>
            <w:r>
              <w:t xml:space="preserve"> random numbers.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randbytes</w:t>
            </w:r>
          </w:p>
        </w:tc>
        <w:tc>
          <w:tcPr>
            <w:tcW w:type="auto" w:w="0"/>
            <w:shd w:val="clear" w:color="auto" w:fill="EEF2F6"/>
            <w:tcMar>
              <w:left w:type="dxa" w:w="200"/>
              <w:top w:type="dxa" w:w="200"/>
              <w:right w:type="dxa" w:w="200"/>
              <w:bottom w:type="dxa" w:w="200"/>
            </w:tcMar>
          </w:tcPr>
          <w:p>
            <w:pPr>
              <w:pStyle w:val="Para 002"/>
            </w:pPr>
            <w:r>
              <w:rPr>
                <w:rStyle w:val="Text0"/>
              </w:rPr>
              <w:t>randbytes(</w:t>
            </w:r>
            <w:r>
              <w:rPr>
                <w:rStyle w:val="Text3"/>
              </w:rPr>
              <w:t>k</w:t>
            </w:r>
            <w:r>
              <w:rPr>
                <w:rStyle w:val="Text0"/>
              </w:rPr>
              <w:t>)</w:t>
              <w:br w:clear="none"/>
            </w:r>
            <w:r>
              <w:t xml:space="preserve"> </w:t>
            </w:r>
            <w:r>
              <w:rPr>
                <w:rStyle w:val="Text34"/>
              </w:rPr>
              <w:t>3.9+</w:t>
            </w:r>
            <w:r>
              <w:t xml:space="preserve"> Generates </w:t>
            </w:r>
            <w:r>
              <w:rPr>
                <w:rStyle w:val="Text3"/>
              </w:rPr>
              <w:t>k</w:t>
            </w:r>
            <w:r>
              <w:t xml:space="preserve"> random bytes. To generate bytes for secure or cryptographic applications, use </w:t>
            </w:r>
            <w:r>
              <w:rPr>
                <w:rStyle w:val="Text0"/>
              </w:rPr>
              <w:t>secrets.randbits(</w:t>
            </w:r>
            <w:r>
              <w:rPr>
                <w:rStyle w:val="Text3"/>
              </w:rPr>
              <w:t>k</w:t>
            </w:r>
            <w:r>
              <w:t xml:space="preserve"> </w:t>
            </w:r>
            <w:r>
              <w:rPr>
                <w:rStyle w:val="Text0"/>
              </w:rPr>
              <w:t>* 8)</w:t>
            </w:r>
            <w:r>
              <w:t xml:space="preserve">, then unpack the </w:t>
            </w:r>
            <w:r>
              <w:rPr>
                <w:rStyle w:val="Text0"/>
              </w:rPr>
              <w:t>int</w:t>
            </w:r>
            <w:r>
              <w:t xml:space="preserve"> it returns into </w:t>
            </w:r>
            <w:r>
              <w:rPr>
                <w:rStyle w:val="Text3"/>
              </w:rPr>
              <w:t>k</w:t>
            </w:r>
            <w:r>
              <w:t xml:space="preserve"> bytes, using </w:t>
            </w:r>
            <w:r>
              <w:rPr>
                <w:rStyle w:val="Text0"/>
              </w:rPr>
              <w:t>int.to_bytes(</w:t>
            </w:r>
            <w:r>
              <w:rPr>
                <w:rStyle w:val="Text3"/>
              </w:rPr>
              <w:t>k</w:t>
            </w:r>
            <w:r>
              <w:rPr>
                <w:rStyle w:val="Text0"/>
              </w:rPr>
              <w:t>, 'big')</w:t>
            </w:r>
            <w:r>
              <w:t>.</w:t>
            </w:r>
          </w:p>
        </w:tc>
      </w:tr>
    </w:tbl>
    <w:tbl>
      <w:tblPr>
        <w:tblW w:type="auto" w:w="0"/>
      </w:tblPr>
      <w:tr>
        <w:tc>
          <w:tcPr>
            <w:tcW w:type="auto" w:w="0"/>
            <w:tcMar>
              <w:left w:type="dxa" w:w="200"/>
              <w:top w:type="dxa" w:w="200"/>
              <w:right w:type="dxa" w:w="200"/>
              <w:bottom w:type="dxa" w:w="200"/>
            </w:tcMar>
          </w:tcPr>
          <w:p>
            <w:pPr>
              <w:pStyle w:val="Para 001"/>
            </w:pPr>
            <w:r>
              <w:t>randint</w:t>
            </w:r>
          </w:p>
        </w:tc>
        <w:tc>
          <w:tcPr>
            <w:tcW w:type="auto" w:w="0"/>
            <w:tcMar>
              <w:left w:type="dxa" w:w="200"/>
              <w:top w:type="dxa" w:w="200"/>
              <w:right w:type="dxa" w:w="200"/>
              <w:bottom w:type="dxa" w:w="200"/>
            </w:tcMar>
          </w:tcPr>
          <w:p>
            <w:pPr>
              <w:pStyle w:val="Para 002"/>
            </w:pPr>
            <w:r>
              <w:rPr>
                <w:rStyle w:val="Text0"/>
              </w:rPr>
              <w:t>randint(</w:t>
            </w:r>
            <w:r>
              <w:rPr>
                <w:rStyle w:val="Text3"/>
              </w:rPr>
              <w:t>start</w:t>
            </w:r>
            <w:r>
              <w:rPr>
                <w:rStyle w:val="Text0"/>
              </w:rPr>
              <w:t>,</w:t>
            </w:r>
            <w:r>
              <w:t xml:space="preserve"> </w:t>
            </w:r>
            <w:r>
              <w:rPr>
                <w:rStyle w:val="Text3"/>
              </w:rPr>
              <w:t>stop</w:t>
            </w:r>
            <w:r>
              <w:rPr>
                <w:rStyle w:val="Text0"/>
              </w:rPr>
              <w:t>)</w:t>
              <w:br w:clear="none"/>
            </w:r>
            <w:r>
              <w:t xml:space="preserve"> Returns</w:t>
            </w:r>
            <w:r>
              <w:rPr>
                <w:rStyle w:val="Text111"/>
              </w:rPr>
              <w:bookmarkStart w:id="3603" w:name="idm45965186389744"/>
              <w:t/>
              <w:bookmarkEnd w:id="3603"/>
            </w:r>
            <w:r>
              <w:t xml:space="preserve"> a random </w:t>
            </w:r>
            <w:r>
              <w:rPr>
                <w:rStyle w:val="Text0"/>
              </w:rPr>
              <w:t>int</w:t>
            </w:r>
            <w:r>
              <w:t xml:space="preserve"> </w:t>
            </w:r>
            <w:r>
              <w:rPr>
                <w:rStyle w:val="Text3"/>
              </w:rPr>
              <w:t>i</w:t>
            </w:r>
            <w:r>
              <w:t xml:space="preserve"> from a uniform distribution such that </w:t>
            </w:r>
            <w:r>
              <w:rPr>
                <w:rStyle w:val="Text3"/>
              </w:rPr>
              <w:t>start</w:t>
            </w:r>
            <w:r>
              <w:t xml:space="preserve"> </w:t>
            </w:r>
            <w:r>
              <w:rPr>
                <w:rStyle w:val="Text0"/>
              </w:rPr>
              <w:t>&lt;=</w:t>
            </w:r>
            <w:r>
              <w:t xml:space="preserve"> </w:t>
            </w:r>
            <w:r>
              <w:rPr>
                <w:rStyle w:val="Text3"/>
              </w:rPr>
              <w:t>i</w:t>
            </w:r>
            <w:r>
              <w:t xml:space="preserve"> </w:t>
            </w:r>
            <w:r>
              <w:rPr>
                <w:rStyle w:val="Text0"/>
              </w:rPr>
              <w:t>&lt;=</w:t>
            </w:r>
            <w:r>
              <w:t xml:space="preserve"> </w:t>
            </w:r>
            <w:r>
              <w:rPr>
                <w:rStyle w:val="Text3"/>
              </w:rPr>
              <w:t>stop</w:t>
            </w:r>
            <w:r>
              <w:t xml:space="preserve">. Both endpoints are included: this is quite unnatural in Python, so you would normally prefer </w:t>
            </w:r>
            <w:r>
              <w:rPr>
                <w:rStyle w:val="Text0"/>
              </w:rPr>
              <w:t>randrange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random</w:t>
            </w:r>
          </w:p>
        </w:tc>
        <w:tc>
          <w:tcPr>
            <w:tcW w:type="auto" w:w="0"/>
            <w:shd w:val="clear" w:color="auto" w:fill="EEF2F6"/>
            <w:tcMar>
              <w:left w:type="dxa" w:w="200"/>
              <w:top w:type="dxa" w:w="200"/>
              <w:right w:type="dxa" w:w="200"/>
              <w:bottom w:type="dxa" w:w="200"/>
            </w:tcMar>
          </w:tcPr>
          <w:p>
            <w:pPr>
              <w:pStyle w:val="Para 002"/>
            </w:pPr>
            <w:r>
              <w:rPr>
                <w:rStyle w:val="Text0"/>
              </w:rPr>
              <w:t>random()</w:t>
              <w:br w:clear="none"/>
            </w:r>
            <w:r>
              <w:t xml:space="preserve"> Returns</w:t>
            </w:r>
            <w:r>
              <w:rPr>
                <w:rStyle w:val="Text111"/>
              </w:rPr>
              <w:bookmarkStart w:id="3604" w:name="idm45965186379792"/>
              <w:t/>
              <w:bookmarkEnd w:id="3604"/>
            </w:r>
            <w:r>
              <w:t xml:space="preserve"> a random </w:t>
            </w:r>
            <w:r>
              <w:rPr>
                <w:rStyle w:val="Text0"/>
              </w:rPr>
              <w:t>float</w:t>
            </w:r>
            <w:r>
              <w:t xml:space="preserve"> </w:t>
            </w:r>
            <w:r>
              <w:rPr>
                <w:rStyle w:val="Text3"/>
              </w:rPr>
              <w:t>r</w:t>
            </w:r>
            <w:r>
              <w:t xml:space="preserve"> from a uniform distribution, </w:t>
            </w:r>
            <w:r>
              <w:rPr>
                <w:rStyle w:val="Text0"/>
              </w:rPr>
              <w:t>0 &lt;=</w:t>
            </w:r>
            <w:r>
              <w:t xml:space="preserve"> </w:t>
            </w:r>
            <w:r>
              <w:rPr>
                <w:rStyle w:val="Text3"/>
              </w:rPr>
              <w:t>r</w:t>
            </w:r>
            <w:r>
              <w:t xml:space="preserve"> </w:t>
            </w:r>
            <w:r>
              <w:rPr>
                <w:rStyle w:val="Text0"/>
              </w:rPr>
              <w:t>&lt; 1</w:t>
            </w:r>
            <w:r>
              <w:t>.</w:t>
            </w:r>
          </w:p>
        </w:tc>
      </w:tr>
    </w:tbl>
    <w:tbl>
      <w:tblPr>
        <w:tblW w:type="auto" w:w="0"/>
      </w:tblPr>
      <w:tr>
        <w:tc>
          <w:tcPr>
            <w:tcW w:type="auto" w:w="0"/>
            <w:tcMar>
              <w:left w:type="dxa" w:w="200"/>
              <w:top w:type="dxa" w:w="200"/>
              <w:right w:type="dxa" w:w="200"/>
              <w:bottom w:type="dxa" w:w="200"/>
            </w:tcMar>
          </w:tcPr>
          <w:p>
            <w:pPr>
              <w:pStyle w:val="Para 001"/>
            </w:pPr>
            <w:r>
              <w:t>randrange</w:t>
            </w:r>
          </w:p>
        </w:tc>
        <w:tc>
          <w:tcPr>
            <w:tcW w:type="auto" w:w="0"/>
            <w:tcMar>
              <w:left w:type="dxa" w:w="200"/>
              <w:top w:type="dxa" w:w="200"/>
              <w:right w:type="dxa" w:w="200"/>
              <w:bottom w:type="dxa" w:w="200"/>
            </w:tcMar>
          </w:tcPr>
          <w:p>
            <w:pPr>
              <w:pStyle w:val="Para 001"/>
            </w:pPr>
            <w:r>
              <w:t>randrange([</w:t>
            </w:r>
            <w:r>
              <w:rPr>
                <w:rStyle w:val="Text3"/>
              </w:rPr>
              <w:t>start</w:t>
            </w:r>
            <w:r>
              <w:t>,]</w:t>
            </w:r>
            <w:r>
              <w:rPr>
                <w:rStyle w:val="Text3"/>
              </w:rPr>
              <w:t>stop</w:t>
            </w:r>
            <w:r>
              <w:t>[,</w:t>
            </w:r>
            <w:r>
              <w:rPr>
                <w:rStyle w:val="Text3"/>
              </w:rPr>
              <w:t>step</w:t>
            </w:r>
            <w:r>
              <w:t>])</w:t>
              <w:br w:clear="none"/>
            </w:r>
            <w:r>
              <w:rPr>
                <w:rStyle w:val="Text12"/>
              </w:rPr>
              <w:t xml:space="preserve"> Like</w:t>
            </w:r>
            <w:r>
              <w:rPr>
                <w:rStyle w:val="Text115"/>
              </w:rPr>
              <w:bookmarkStart w:id="3605" w:name="idm45965186370832"/>
              <w:t/>
              <w:bookmarkEnd w:id="3605"/>
            </w:r>
            <w:r>
              <w:rPr>
                <w:rStyle w:val="Text12"/>
              </w:rPr>
              <w:t xml:space="preserve"> </w:t>
            </w:r>
            <w:r>
              <w:t>choice(range(</w:t>
            </w:r>
            <w:r>
              <w:rPr>
                <w:rStyle w:val="Text3"/>
              </w:rPr>
              <w:t>start</w:t>
            </w:r>
            <w:r>
              <w:t>,</w:t>
            </w:r>
            <w:r>
              <w:rPr>
                <w:rStyle w:val="Text12"/>
              </w:rPr>
              <w:t xml:space="preserve"> </w:t>
            </w:r>
            <w:r>
              <w:rPr>
                <w:rStyle w:val="Text3"/>
              </w:rPr>
              <w:t>stop</w:t>
            </w:r>
            <w:r>
              <w:t>,</w:t>
            </w:r>
            <w:r>
              <w:rPr>
                <w:rStyle w:val="Text12"/>
              </w:rPr>
              <w:t xml:space="preserve"> </w:t>
            </w:r>
            <w:r>
              <w:rPr>
                <w:rStyle w:val="Text3"/>
              </w:rPr>
              <w:t>step</w:t>
            </w:r>
            <w:r>
              <w:t>))</w:t>
            </w:r>
            <w:r>
              <w:rPr>
                <w:rStyle w:val="Text12"/>
              </w:rPr>
              <w:t>, but much faster.</w:t>
            </w:r>
          </w:p>
        </w:tc>
      </w:tr>
    </w:tbl>
    <w:tbl>
      <w:tblPr>
        <w:tblW w:type="auto" w:w="0"/>
      </w:tblPr>
      <w:tr>
        <w:tc>
          <w:tcPr>
            <w:tcW w:type="auto" w:w="0"/>
            <w:shd w:val="clear" w:color="auto" w:fill="EEF2F6"/>
            <w:tcMar>
              <w:left w:type="dxa" w:w="200"/>
              <w:top w:type="dxa" w:w="200"/>
              <w:right w:type="dxa" w:w="200"/>
              <w:bottom w:type="dxa" w:w="200"/>
            </w:tcMar>
          </w:tcPr>
          <w:p>
            <w:pPr>
              <w:pStyle w:val="Para 001"/>
            </w:pPr>
            <w:r>
              <w:t>sample</w:t>
            </w:r>
          </w:p>
        </w:tc>
        <w:tc>
          <w:tcPr>
            <w:tcW w:type="auto" w:w="0"/>
            <w:shd w:val="clear" w:color="auto" w:fill="EEF2F6"/>
            <w:tcMar>
              <w:left w:type="dxa" w:w="200"/>
              <w:top w:type="dxa" w:w="200"/>
              <w:right w:type="dxa" w:w="200"/>
              <w:bottom w:type="dxa" w:w="200"/>
            </w:tcMar>
          </w:tcPr>
          <w:p>
            <w:pPr>
              <w:pStyle w:val="Para 002"/>
            </w:pPr>
            <w:r>
              <w:rPr>
                <w:rStyle w:val="Text0"/>
              </w:rPr>
              <w:t>sample(</w:t>
            </w:r>
            <w:r>
              <w:rPr>
                <w:rStyle w:val="Text3"/>
              </w:rPr>
              <w:t>seq</w:t>
            </w:r>
            <w:r>
              <w:rPr>
                <w:rStyle w:val="Text0"/>
              </w:rPr>
              <w:t>,</w:t>
            </w:r>
            <w:r>
              <w:t xml:space="preserve"> </w:t>
            </w:r>
            <w:r>
              <w:rPr>
                <w:rStyle w:val="Text3"/>
              </w:rPr>
              <w:t>k</w:t>
            </w:r>
            <w:r>
              <w:rPr>
                <w:rStyle w:val="Text0"/>
              </w:rPr>
              <w:t>)</w:t>
              <w:br w:clear="none"/>
            </w:r>
            <w:r>
              <w:t xml:space="preserve"> Returns</w:t>
            </w:r>
            <w:r>
              <w:rPr>
                <w:rStyle w:val="Text111"/>
              </w:rPr>
              <w:bookmarkStart w:id="3606" w:name="idm45965186361264"/>
              <w:t/>
              <w:bookmarkEnd w:id="3606"/>
            </w:r>
            <w:r>
              <w:t xml:space="preserve"> a new list whose </w:t>
            </w:r>
            <w:r>
              <w:rPr>
                <w:rStyle w:val="Text3"/>
              </w:rPr>
              <w:t>k</w:t>
            </w:r>
            <w:r>
              <w:t xml:space="preserve"> items are unique items randomly drawn from </w:t>
            </w:r>
            <w:r>
              <w:rPr>
                <w:rStyle w:val="Text3"/>
              </w:rPr>
              <w:t>seq</w:t>
            </w:r>
            <w:r>
              <w:t xml:space="preserve">. The list is in random order, so that any slice of it is an equally valid random sample. </w:t>
            </w:r>
            <w:r>
              <w:rPr>
                <w:rStyle w:val="Text3"/>
              </w:rPr>
              <w:t>seq</w:t>
            </w:r>
            <w:r>
              <w:t xml:space="preserve"> may contain duplicate items. In this case, each occurrence of an item is a candidate for selection in the sample, and the sample may also contain such duplicates.</w:t>
            </w:r>
          </w:p>
        </w:tc>
      </w:tr>
    </w:tbl>
    <w:tbl>
      <w:tblPr>
        <w:tblW w:type="auto" w:w="0"/>
      </w:tblPr>
      <w:tr>
        <w:tc>
          <w:tcPr>
            <w:tcW w:type="auto" w:w="0"/>
            <w:tcMar>
              <w:left w:type="dxa" w:w="200"/>
              <w:top w:type="dxa" w:w="200"/>
              <w:right w:type="dxa" w:w="200"/>
              <w:bottom w:type="dxa" w:w="200"/>
            </w:tcMar>
          </w:tcPr>
          <w:p>
            <w:pPr>
              <w:pStyle w:val="Para 001"/>
            </w:pPr>
            <w:r>
              <w:t>seed</w:t>
            </w:r>
          </w:p>
        </w:tc>
        <w:tc>
          <w:tcPr>
            <w:tcW w:type="auto" w:w="0"/>
            <w:tcMar>
              <w:left w:type="dxa" w:w="200"/>
              <w:top w:type="dxa" w:w="200"/>
              <w:right w:type="dxa" w:w="200"/>
              <w:bottom w:type="dxa" w:w="200"/>
            </w:tcMar>
          </w:tcPr>
          <w:p>
            <w:pPr>
              <w:pStyle w:val="Para 002"/>
            </w:pPr>
            <w:r>
              <w:rPr>
                <w:rStyle w:val="Text0"/>
              </w:rPr>
              <w:t>seed(</w:t>
            </w:r>
            <w:r>
              <w:rPr>
                <w:rStyle w:val="Text3"/>
              </w:rPr>
              <w:t>x</w:t>
            </w:r>
            <w:r>
              <w:rPr>
                <w:rStyle w:val="Text0"/>
              </w:rPr>
              <w:t>=</w:t>
            </w:r>
            <w:r>
              <w:rPr>
                <w:rStyle w:val="Text5"/>
              </w:rPr>
              <w:t>None</w:t>
            </w:r>
            <w:r>
              <w:rPr>
                <w:rStyle w:val="Text0"/>
              </w:rPr>
              <w:t>)</w:t>
              <w:br w:clear="none"/>
            </w:r>
            <w:r>
              <w:t xml:space="preserve"> Initializes</w:t>
            </w:r>
            <w:r>
              <w:rPr>
                <w:rStyle w:val="Text111"/>
              </w:rPr>
              <w:bookmarkStart w:id="3607" w:name="idm45965186353360"/>
              <w:t/>
              <w:bookmarkEnd w:id="3607"/>
            </w:r>
            <w:r>
              <w:t xml:space="preserve"> the generator state. </w:t>
            </w:r>
            <w:r>
              <w:rPr>
                <w:rStyle w:val="Text3"/>
              </w:rPr>
              <w:t>x</w:t>
            </w:r>
            <w:r>
              <w:t xml:space="preserve"> can be any </w:t>
            </w:r>
            <w:r>
              <w:rPr>
                <w:rStyle w:val="Text0"/>
              </w:rPr>
              <w:t>int</w:t>
            </w:r>
            <w:r>
              <w:t xml:space="preserve">, </w:t>
            </w:r>
            <w:r>
              <w:rPr>
                <w:rStyle w:val="Text0"/>
              </w:rPr>
              <w:t>float</w:t>
            </w:r>
            <w:r>
              <w:t xml:space="preserve">, </w:t>
            </w:r>
            <w:r>
              <w:rPr>
                <w:rStyle w:val="Text0"/>
              </w:rPr>
              <w:t>str</w:t>
            </w:r>
            <w:r>
              <w:t xml:space="preserve">, </w:t>
            </w:r>
            <w:r>
              <w:rPr>
                <w:rStyle w:val="Text0"/>
              </w:rPr>
              <w:t>bytes</w:t>
            </w:r>
            <w:r>
              <w:t xml:space="preserve">, or </w:t>
            </w:r>
            <w:r>
              <w:rPr>
                <w:rStyle w:val="Text0"/>
              </w:rPr>
              <w:t>bytearray</w:t>
            </w:r>
            <w:r>
              <w:t xml:space="preserve">. When </w:t>
            </w:r>
            <w:r>
              <w:rPr>
                <w:rStyle w:val="Text3"/>
              </w:rPr>
              <w:t>x</w:t>
            </w:r>
            <w:r>
              <w:t xml:space="preserve"> is </w:t>
            </w:r>
            <w:r>
              <w:rPr>
                <w:rStyle w:val="Text5"/>
              </w:rPr>
              <w:t>None</w:t>
            </w:r>
            <w:r>
              <w:t xml:space="preserve">, and when the module </w:t>
            </w:r>
            <w:r>
              <w:rPr>
                <w:rStyle w:val="Text0"/>
              </w:rPr>
              <w:t>random</w:t>
            </w:r>
            <w:r>
              <w:t xml:space="preserve"> is first loaded, </w:t>
            </w:r>
            <w:r>
              <w:rPr>
                <w:rStyle w:val="Text0"/>
              </w:rPr>
              <w:t>seed</w:t>
            </w:r>
            <w:r>
              <w:t xml:space="preserve"> uses the current system time (or some platform-specific source of randomness, if any) to get a seed. </w:t>
            </w:r>
            <w:r>
              <w:rPr>
                <w:rStyle w:val="Text3"/>
              </w:rPr>
              <w:t>x</w:t>
            </w:r>
            <w:r>
              <w:t xml:space="preserve"> is normally an </w:t>
            </w:r>
            <w:r>
              <w:rPr>
                <w:rStyle w:val="Text0"/>
              </w:rPr>
              <w:t>int</w:t>
            </w:r>
            <w:r>
              <w:t xml:space="preserve"> up to </w:t>
            </w:r>
            <w:r>
              <w:rPr>
                <w:rStyle w:val="Text0"/>
              </w:rPr>
              <w:t>2</w:t>
            </w:r>
            <w:r>
              <w:rPr>
                <w:rStyle w:val="Text90"/>
              </w:rPr>
              <w:t>256</w:t>
            </w:r>
            <w:r>
              <w:t xml:space="preserve">, a </w:t>
            </w:r>
            <w:r>
              <w:rPr>
                <w:rStyle w:val="Text0"/>
              </w:rPr>
              <w:t>float</w:t>
            </w:r>
            <w:r>
              <w:t xml:space="preserve">, or a </w:t>
            </w:r>
            <w:r>
              <w:rPr>
                <w:rStyle w:val="Text0"/>
              </w:rPr>
              <w:t>str</w:t>
            </w:r>
            <w:r>
              <w:t xml:space="preserve">, </w:t>
            </w:r>
            <w:r>
              <w:rPr>
                <w:rStyle w:val="Text0"/>
              </w:rPr>
              <w:t>bytes</w:t>
            </w:r>
            <w:r>
              <w:t xml:space="preserve">, or </w:t>
            </w:r>
            <w:r>
              <w:rPr>
                <w:rStyle w:val="Text0"/>
              </w:rPr>
              <w:t>bytearray</w:t>
            </w:r>
            <w:r>
              <w:t xml:space="preserve"> up to 32 bytes in size.</w:t>
            </w:r>
            <w:hyperlink w:anchor="a_As_defined_in_the_Python_langu">
              <w:r>
                <w:rPr>
                  <w:rStyle w:val="Text41"/>
                </w:rPr>
                <w:bookmarkStart w:id="3608" w:name="a_16"/>
                <w:t>a</w:t>
                <w:bookmarkEnd w:id="3608"/>
              </w:r>
            </w:hyperlink>
            <w:r>
              <w:t xml:space="preserve"> Larger </w:t>
            </w:r>
            <w:r>
              <w:rPr>
                <w:rStyle w:val="Text3"/>
              </w:rPr>
              <w:t>x</w:t>
            </w:r>
            <w:r>
              <w:t xml:space="preserve"> values are accepted, but may produce the same generator state as smaller ones. </w:t>
            </w:r>
            <w:r>
              <w:rPr>
                <w:rStyle w:val="Text0"/>
              </w:rPr>
              <w:t>seed</w:t>
            </w:r>
            <w:r>
              <w:t xml:space="preserve"> is useful in simulation or modeling for repeatable runs, or to write tests that require a reproducible sequence of random values.</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setstate</w:t>
            </w:r>
          </w:p>
        </w:tc>
        <w:tc>
          <w:tcPr>
            <w:tcW w:type="auto" w:w="0"/>
            <w:shd w:val="clear" w:color="auto" w:fill="EEF2F6"/>
            <w:tcMar>
              <w:left w:type="dxa" w:w="200"/>
              <w:top w:type="dxa" w:w="200"/>
              <w:right w:type="dxa" w:w="200"/>
              <w:bottom w:type="dxa" w:w="200"/>
            </w:tcMar>
          </w:tcPr>
          <w:p>
            <w:pPr>
              <w:pStyle w:val="Para 002"/>
            </w:pPr>
            <w:r>
              <w:rPr>
                <w:rStyle w:val="Text0"/>
              </w:rPr>
              <w:t>setstate(</w:t>
            </w:r>
            <w:r>
              <w:rPr>
                <w:rStyle w:val="Text3"/>
              </w:rPr>
              <w:t>S</w:t>
            </w:r>
            <w:r>
              <w:rPr>
                <w:rStyle w:val="Text0"/>
              </w:rPr>
              <w:t>)</w:t>
              <w:br w:clear="none"/>
            </w:r>
            <w:r>
              <w:t xml:space="preserve"> Restores the generator state. </w:t>
            </w:r>
            <w:r>
              <w:rPr>
                <w:rStyle w:val="Text3"/>
              </w:rPr>
              <w:t>S</w:t>
            </w:r>
            <w:r>
              <w:t xml:space="preserve"> must be the result of a previous call to </w:t>
            </w:r>
            <w:r>
              <w:rPr>
                <w:rStyle w:val="Text0"/>
              </w:rPr>
              <w:t>getstate</w:t>
            </w:r>
            <w:r>
              <w:t xml:space="preserve"> (such a call may have occurred in another program, or in a previous run of this program, as long as object </w:t>
            </w:r>
            <w:r>
              <w:rPr>
                <w:rStyle w:val="Text3"/>
              </w:rPr>
              <w:t>S</w:t>
            </w:r>
            <w:r>
              <w:t xml:space="preserve"> has correctly been transmitted, or saved and restored).</w:t>
            </w:r>
          </w:p>
        </w:tc>
      </w:tr>
    </w:tbl>
    <w:tbl>
      <w:tblPr>
        <w:tblW w:type="auto" w:w="0"/>
      </w:tblPr>
      <w:tr>
        <w:tc>
          <w:tcPr>
            <w:tcW w:type="auto" w:w="0"/>
            <w:tcMar>
              <w:left w:type="dxa" w:w="200"/>
              <w:top w:type="dxa" w:w="200"/>
              <w:right w:type="dxa" w:w="200"/>
              <w:bottom w:type="dxa" w:w="200"/>
            </w:tcMar>
          </w:tcPr>
          <w:p>
            <w:pPr>
              <w:pStyle w:val="Para 001"/>
            </w:pPr>
            <w:r>
              <w:t>shuffle</w:t>
            </w:r>
          </w:p>
        </w:tc>
        <w:tc>
          <w:tcPr>
            <w:tcW w:type="auto" w:w="0"/>
            <w:tcMar>
              <w:left w:type="dxa" w:w="200"/>
              <w:top w:type="dxa" w:w="200"/>
              <w:right w:type="dxa" w:w="200"/>
              <w:bottom w:type="dxa" w:w="200"/>
            </w:tcMar>
          </w:tcPr>
          <w:p>
            <w:pPr>
              <w:pStyle w:val="Para 002"/>
            </w:pPr>
            <w:r>
              <w:rPr>
                <w:rStyle w:val="Text0"/>
              </w:rPr>
              <w:t>shuffle(</w:t>
            </w:r>
            <w:r>
              <w:rPr>
                <w:rStyle w:val="Text3"/>
              </w:rPr>
              <w:t>seq</w:t>
            </w:r>
            <w:r>
              <w:rPr>
                <w:rStyle w:val="Text0"/>
              </w:rPr>
              <w:t>)</w:t>
              <w:br w:clear="none"/>
            </w:r>
            <w:r>
              <w:t xml:space="preserve"> Shuffles, in</w:t>
            </w:r>
            <w:r>
              <w:rPr>
                <w:rStyle w:val="Text111"/>
              </w:rPr>
              <w:bookmarkStart w:id="3609" w:name="idm45965186328976"/>
              <w:t/>
              <w:bookmarkEnd w:id="3609"/>
            </w:r>
            <w:r>
              <w:t xml:space="preserve"> place, mutable sequence </w:t>
            </w:r>
            <w:r>
              <w:rPr>
                <w:rStyle w:val="Text3"/>
              </w:rPr>
              <w:t>seq</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uniform</w:t>
            </w:r>
          </w:p>
        </w:tc>
        <w:tc>
          <w:tcPr>
            <w:tcW w:type="auto" w:w="0"/>
            <w:shd w:val="clear" w:color="auto" w:fill="EEF2F6"/>
            <w:tcMar>
              <w:left w:type="dxa" w:w="200"/>
              <w:top w:type="dxa" w:w="200"/>
              <w:right w:type="dxa" w:w="200"/>
              <w:bottom w:type="dxa" w:w="200"/>
            </w:tcMar>
          </w:tcPr>
          <w:p>
            <w:pPr>
              <w:pStyle w:val="Para 002"/>
            </w:pPr>
            <w:r>
              <w:rPr>
                <w:rStyle w:val="Text0"/>
              </w:rPr>
              <w:t>uniform(</w:t>
            </w:r>
            <w:r>
              <w:rPr>
                <w:rStyle w:val="Text3"/>
              </w:rPr>
              <w:t>a, b</w:t>
            </w:r>
            <w:r>
              <w:rPr>
                <w:rStyle w:val="Text0"/>
              </w:rPr>
              <w:t>)</w:t>
              <w:br w:clear="none"/>
            </w:r>
            <w:r>
              <w:t xml:space="preserve"> Returns a random floating-point number </w:t>
            </w:r>
            <w:r>
              <w:rPr>
                <w:rStyle w:val="Text3"/>
              </w:rPr>
              <w:t>r</w:t>
            </w:r>
            <w:r>
              <w:t xml:space="preserve"> from a uniform distribution such that </w:t>
            </w:r>
            <w:r>
              <w:rPr>
                <w:rStyle w:val="Text3"/>
              </w:rPr>
              <w:t>a</w:t>
            </w:r>
            <w:r>
              <w:t xml:space="preserve"> </w:t>
            </w:r>
            <w:r>
              <w:rPr>
                <w:rStyle w:val="Text0"/>
              </w:rPr>
              <w:t>&lt;=</w:t>
            </w:r>
            <w:r>
              <w:t xml:space="preserve"> </w:t>
            </w:r>
            <w:r>
              <w:rPr>
                <w:rStyle w:val="Text3"/>
              </w:rPr>
              <w:t>r</w:t>
            </w:r>
            <w:r>
              <w:t xml:space="preserve"> </w:t>
            </w:r>
            <w:r>
              <w:rPr>
                <w:rStyle w:val="Text0"/>
              </w:rPr>
              <w:t>&lt;</w:t>
            </w:r>
            <w:r>
              <w:t xml:space="preserve"> </w:t>
            </w:r>
            <w:r>
              <w:rPr>
                <w:rStyle w:val="Text3"/>
              </w:rPr>
              <w:t>b</w:t>
            </w:r>
            <w:r>
              <w:t>.</w:t>
            </w:r>
          </w:p>
        </w:tc>
      </w:tr>
    </w:tbl>
    <w:tbl>
      <w:tblPr>
        <w:tblW w:type="auto" w:w="0"/>
      </w:tblPr>
      <w:tr>
        <w:tc>
          <w:tcPr>
            <w:tcW w:type="auto" w:w="0"/>
            <w:tcMar>
              <w:left w:type="dxa" w:w="200"/>
              <w:top w:type="dxa" w:w="200"/>
              <w:right w:type="dxa" w:w="200"/>
              <w:bottom w:type="dxa" w:w="200"/>
            </w:tcMar>
            <w:hMerge w:val="restart"/>
          </w:tcPr>
          <w:p>
            <w:bookmarkStart w:id="3610" w:name="a_As_defined_in_the_Python_langu"/>
            <w:pPr>
              <w:pStyle w:val="Para 036"/>
            </w:pPr>
            <w:hyperlink w:anchor="a_16">
              <w:r>
                <w:rPr>
                  <w:rStyle w:val="Text1"/>
                </w:rPr>
                <w:t>a</w:t>
              </w:r>
            </w:hyperlink>
            <w:r>
              <w:t xml:space="preserve"> As defined in the Python language specification. Specific Python implementations may support larger seed values for generating unique random number sequences.</w:t>
            </w:r>
            <w:bookmarkEnd w:id="3610"/>
          </w:p>
        </w:tc>
        <w:tc>
          <w:tcPr>
            <w:hMerge w:val="continue"/>
          </w:tcPr>
          <w:p/>
        </w:tc>
      </w:tr>
    </w:tbl>
    <w:p>
      <w:pPr>
        <w:pStyle w:val="Normal"/>
      </w:pPr>
      <w:r>
        <w:t xml:space="preserve">The </w:t>
      </w:r>
      <w:r>
        <w:rPr>
          <w:rStyle w:val="Text0"/>
        </w:rPr>
        <w:t>random</w:t>
      </w:r>
      <w:r>
        <w:t xml:space="preserve"> module also supplies several other functions that generate pseudorandom floating-point numbers from other probability distributions (Beta, Gamma, exponential, Gauss, Pareto, etc.) by internally calling </w:t>
      </w:r>
      <w:r>
        <w:rPr>
          <w:rStyle w:val="Text0"/>
        </w:rPr>
        <w:t>random.random</w:t>
      </w:r>
      <w:r>
        <w:t xml:space="preserve"> as their source of randomness. See the </w:t>
      </w:r>
      <w:hyperlink r:id="rId464">
        <w:r>
          <w:rPr>
            <w:rStyle w:val="Text1"/>
          </w:rPr>
          <w:t>online docs</w:t>
        </w:r>
      </w:hyperlink>
      <w:r>
        <w:t xml:space="preserve"> for details.</w:t>
      </w:r>
    </w:p>
    <w:p>
      <w:bookmarkStart w:id="3611" w:name="Crypto_Quality_Random_Numbers__T"/>
      <w:pPr>
        <w:keepNext/>
        <w:pStyle w:val="Heading 2"/>
      </w:pPr>
      <w:r>
        <w:t>Crypto-Quality Random Numbers: The secrets Module</w:t>
      </w:r>
      <w:bookmarkEnd w:id="3611"/>
    </w:p>
    <w:p>
      <w:pPr>
        <w:pStyle w:val="Normal"/>
      </w:pPr>
      <w:r>
        <w:t>Pseudorandom</w:t>
      </w:r>
      <w:r>
        <w:rPr>
          <w:rStyle w:val="Text111"/>
        </w:rPr>
        <w:bookmarkStart w:id="3612" w:name="idm45965186314352"/>
        <w:t/>
        <w:bookmarkEnd w:id="3612"/>
        <w:bookmarkStart w:id="3613" w:name="idm45965186312832"/>
        <w:t/>
        <w:bookmarkEnd w:id="3613"/>
        <w:bookmarkStart w:id="3614" w:name="idm45965186311760"/>
        <w:t/>
        <w:bookmarkEnd w:id="3614"/>
      </w:r>
      <w:r>
        <w:t xml:space="preserve"> numbers provided by the </w:t>
      </w:r>
      <w:r>
        <w:rPr>
          <w:rStyle w:val="Text0"/>
        </w:rPr>
        <w:t>random</w:t>
      </w:r>
      <w:r>
        <w:t xml:space="preserve"> module, while sufficient for simulation and modeling, are not of cryptographic quality. To get random numbers and sequences for use in security and cryptography applications, use the functions defined in the </w:t>
      </w:r>
      <w:r>
        <w:rPr>
          <w:rStyle w:val="Text0"/>
        </w:rPr>
        <w:t>secrets</w:t>
      </w:r>
      <w:r>
        <w:t xml:space="preserve"> module. These functions use the </w:t>
      </w:r>
      <w:r>
        <w:rPr>
          <w:rStyle w:val="Text0"/>
        </w:rPr>
        <w:t>random.SystemRandom</w:t>
      </w:r>
      <w:r>
        <w:t xml:space="preserve"> class, which in turn calls </w:t>
      </w:r>
      <w:r>
        <w:rPr>
          <w:rStyle w:val="Text0"/>
        </w:rPr>
        <w:t>os.urandom</w:t>
      </w:r>
      <w:r>
        <w:t xml:space="preserve">. </w:t>
      </w:r>
      <w:r>
        <w:rPr>
          <w:rStyle w:val="Text0"/>
        </w:rPr>
        <w:t>os.urandom</w:t>
      </w:r>
      <w:r>
        <w:t xml:space="preserve"> returns random bytes, read from physical sources of random bits such as </w:t>
      </w:r>
      <w:r>
        <w:rPr>
          <w:rStyle w:val="Text4"/>
        </w:rPr>
        <w:t>/dev/urandom</w:t>
      </w:r>
      <w:r>
        <w:t xml:space="preserve"> on older Linux releases, or the </w:t>
      </w:r>
      <w:r>
        <w:rPr>
          <w:rStyle w:val="Text5"/>
        </w:rPr>
        <w:t>getrandom()</w:t>
      </w:r>
      <w:r>
        <w:t xml:space="preserve"> syscall on Linux 3.17 and above. On Windows, </w:t>
      </w:r>
      <w:r>
        <w:rPr>
          <w:rStyle w:val="Text0"/>
        </w:rPr>
        <w:t>os.urandom</w:t>
      </w:r>
      <w:r>
        <w:t xml:space="preserve"> uses cryptographical-strength sources such as the </w:t>
      </w:r>
      <w:r>
        <w:rPr>
          <w:rStyle w:val="Text0"/>
        </w:rPr>
        <w:t>CryptGenRandom</w:t>
      </w:r>
      <w:r>
        <w:t xml:space="preserve"> API. If no suitable source exists on the current system, </w:t>
      </w:r>
      <w:r>
        <w:rPr>
          <w:rStyle w:val="Text0"/>
        </w:rPr>
        <w:t>os.urandom</w:t>
      </w:r>
      <w:r>
        <w:t xml:space="preserve"> raises </w:t>
      </w:r>
      <w:r>
        <w:rPr>
          <w:rStyle w:val="Text0"/>
        </w:rPr>
        <w:t>NotImplementedError</w:t>
      </w:r>
      <w:r>
        <w:t>.</w:t>
      </w:r>
    </w:p>
    <w:p>
      <w:pPr>
        <w:keepNext/>
        <w:pStyle w:val="Heading 5"/>
        <w:keepLines w:val="on"/>
      </w:pPr>
      <w:r>
        <w:t>secrets Functions Cannot Be Run with a Known Seed</w:t>
      </w:r>
    </w:p>
    <w:p>
      <w:pPr>
        <w:pStyle w:val="Para 012"/>
        <w:keepLines w:val="on"/>
      </w:pPr>
      <w:r>
        <w:t xml:space="preserve">Unlike the </w:t>
      </w:r>
      <w:r>
        <w:rPr>
          <w:rStyle w:val="Text0"/>
        </w:rPr>
        <w:t>random</w:t>
      </w:r>
      <w:r>
        <w:t xml:space="preserve"> module, which includes a </w:t>
      </w:r>
      <w:r>
        <w:rPr>
          <w:rStyle w:val="Text0"/>
        </w:rPr>
        <w:t>seed</w:t>
      </w:r>
      <w:r>
        <w:t xml:space="preserve"> function to support generation of repeatable sequences of random values, the </w:t>
      </w:r>
      <w:r>
        <w:rPr>
          <w:rStyle w:val="Text0"/>
        </w:rPr>
        <w:t>secrets</w:t>
      </w:r>
      <w:r>
        <w:t xml:space="preserve"> module has no such capability. To write tests dependent on specific sequences of random values generated by the </w:t>
      </w:r>
      <w:r>
        <w:rPr>
          <w:rStyle w:val="Text0"/>
        </w:rPr>
        <w:t>secrets</w:t>
      </w:r>
      <w:r>
        <w:t xml:space="preserve"> module functions, developers must emulate those functions with their own mock versions.</w:t>
      </w:r>
    </w:p>
    <w:p>
      <w:pPr>
        <w:pStyle w:val="Normal"/>
      </w:pPr>
      <w:r>
        <w:t xml:space="preserve">The </w:t>
      </w:r>
      <w:r>
        <w:rPr>
          <w:rStyle w:val="Text0"/>
        </w:rPr>
        <w:t>secrets</w:t>
      </w:r>
      <w:r>
        <w:t xml:space="preserve"> module supplies the functions listed in </w:t>
      </w:r>
      <w:hyperlink w:anchor="Table_16_6__Functions_of_the_sec">
        <w:r>
          <w:rPr>
            <w:rStyle w:val="Text1"/>
          </w:rPr>
          <w:t>Table 16-6</w:t>
        </w:r>
      </w:hyperlink>
      <w:r>
        <w:t>.</w:t>
      </w:r>
    </w:p>
    <w:tbl>
      <w:tblPr>
        <w:tblW w:type="auto" w:w="0"/>
      </w:tblPr>
      <w:tr>
        <w:tc>
          <w:tcPr>
            <w:tcW w:type="auto" w:w="0"/>
            <w:tcMar>
              <w:left w:type="dxa" w:w="200"/>
              <w:top w:type="dxa" w:w="200"/>
              <w:right w:type="dxa" w:w="200"/>
              <w:bottom w:type="dxa" w:w="200"/>
            </w:tcMar>
          </w:tcPr>
          <w:p>
            <w:bookmarkStart w:id="3615" w:name="Table_16_6__Functions_of_the_sec"/>
            <w:pPr>
              <w:pStyle w:val="Para 011"/>
            </w:pPr>
            <w:r>
              <w:rPr>
                <w:rStyle w:val="Text117"/>
              </w:rPr>
              <w:t/>
            </w:r>
            <w:r>
              <w:t xml:space="preserve">Table 16-6. </w:t>
              <w:t xml:space="preserve">Functions of the </w:t>
            </w:r>
            <w:r>
              <w:rPr>
                <w:rStyle w:val="Text0"/>
              </w:rPr>
              <w:t>secrets</w:t>
            </w:r>
            <w:r>
              <w:t xml:space="preserve"> module</w:t>
            </w:r>
            <w:bookmarkEnd w:id="3615"/>
          </w:p>
          <w:p>
            <w:pPr>
              <w:pStyle w:val="Para 001"/>
            </w:pPr>
            <w:r>
              <w:t>choice</w:t>
            </w:r>
          </w:p>
        </w:tc>
        <w:tc>
          <w:tcPr>
            <w:tcW w:type="auto" w:w="0"/>
            <w:tcMar>
              <w:left w:type="dxa" w:w="200"/>
              <w:top w:type="dxa" w:w="200"/>
              <w:right w:type="dxa" w:w="200"/>
              <w:bottom w:type="dxa" w:w="200"/>
            </w:tcMar>
          </w:tcPr>
          <w:p>
            <w:pPr>
              <w:pStyle w:val="Para 002"/>
            </w:pPr>
            <w:r>
              <w:rPr>
                <w:rStyle w:val="Text0"/>
              </w:rPr>
              <w:t>choice(</w:t>
            </w:r>
            <w:r>
              <w:rPr>
                <w:rStyle w:val="Text3"/>
              </w:rPr>
              <w:t>seq</w:t>
            </w:r>
            <w:r>
              <w:rPr>
                <w:rStyle w:val="Text0"/>
              </w:rPr>
              <w:t>)</w:t>
              <w:br w:clear="none"/>
            </w:r>
            <w:r>
              <w:t xml:space="preserve"> Returns</w:t>
            </w:r>
            <w:r>
              <w:rPr>
                <w:rStyle w:val="Text111"/>
              </w:rPr>
              <w:bookmarkStart w:id="3616" w:name="idm45965186290656"/>
              <w:t/>
              <w:bookmarkEnd w:id="3616"/>
            </w:r>
            <w:r>
              <w:t xml:space="preserve"> a randomly selected item from nonempty sequence </w:t>
            </w:r>
            <w:r>
              <w:rPr>
                <w:rStyle w:val="Text3"/>
              </w:rPr>
              <w:t>seq</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randbelow</w:t>
            </w:r>
          </w:p>
        </w:tc>
        <w:tc>
          <w:tcPr>
            <w:tcW w:type="auto" w:w="0"/>
            <w:shd w:val="clear" w:color="auto" w:fill="EEF2F6"/>
            <w:tcMar>
              <w:left w:type="dxa" w:w="200"/>
              <w:top w:type="dxa" w:w="200"/>
              <w:right w:type="dxa" w:w="200"/>
              <w:bottom w:type="dxa" w:w="200"/>
            </w:tcMar>
          </w:tcPr>
          <w:p>
            <w:pPr>
              <w:pStyle w:val="Para 002"/>
            </w:pPr>
            <w:r>
              <w:rPr>
                <w:rStyle w:val="Text0"/>
              </w:rPr>
              <w:t>randbelow(</w:t>
            </w:r>
            <w:r>
              <w:rPr>
                <w:rStyle w:val="Text3"/>
              </w:rPr>
              <w:t>n</w:t>
            </w:r>
            <w:r>
              <w:rPr>
                <w:rStyle w:val="Text0"/>
              </w:rPr>
              <w:t>)</w:t>
              <w:br w:clear="none"/>
            </w:r>
            <w:r>
              <w:t xml:space="preserve"> Returns a random int </w:t>
            </w:r>
            <w:r>
              <w:rPr>
                <w:rStyle w:val="Text3"/>
              </w:rPr>
              <w:t>x</w:t>
            </w:r>
            <w:r>
              <w:t xml:space="preserve"> in the range </w:t>
            </w:r>
            <w:r>
              <w:rPr>
                <w:rStyle w:val="Text0"/>
              </w:rPr>
              <w:t>0 &lt;=</w:t>
            </w:r>
            <w:r>
              <w:t xml:space="preserve"> </w:t>
            </w:r>
            <w:r>
              <w:rPr>
                <w:rStyle w:val="Text3"/>
              </w:rPr>
              <w:t>x</w:t>
            </w:r>
            <w:r>
              <w:t xml:space="preserve"> </w:t>
            </w:r>
            <w:r>
              <w:rPr>
                <w:rStyle w:val="Text0"/>
              </w:rPr>
              <w:t>&lt;</w:t>
            </w:r>
            <w:r>
              <w:t xml:space="preserve"> </w:t>
            </w:r>
            <w:r>
              <w:rPr>
                <w:rStyle w:val="Text3"/>
              </w:rPr>
              <w:t>n</w:t>
            </w:r>
            <w:r>
              <w:t>.</w:t>
            </w:r>
          </w:p>
        </w:tc>
      </w:tr>
    </w:tbl>
    <w:tbl>
      <w:tblPr>
        <w:tblW w:type="auto" w:w="0"/>
      </w:tblPr>
      <w:tr>
        <w:tc>
          <w:tcPr>
            <w:tcW w:type="auto" w:w="0"/>
            <w:tcMar>
              <w:left w:type="dxa" w:w="200"/>
              <w:top w:type="dxa" w:w="200"/>
              <w:right w:type="dxa" w:w="200"/>
              <w:bottom w:type="dxa" w:w="200"/>
            </w:tcMar>
          </w:tcPr>
          <w:p>
            <w:pPr>
              <w:pStyle w:val="Para 001"/>
            </w:pPr>
            <w:r>
              <w:t>randbits</w:t>
            </w:r>
          </w:p>
        </w:tc>
        <w:tc>
          <w:tcPr>
            <w:tcW w:type="auto" w:w="0"/>
            <w:tcMar>
              <w:left w:type="dxa" w:w="200"/>
              <w:top w:type="dxa" w:w="200"/>
              <w:right w:type="dxa" w:w="200"/>
              <w:bottom w:type="dxa" w:w="200"/>
            </w:tcMar>
          </w:tcPr>
          <w:p>
            <w:pPr>
              <w:pStyle w:val="Para 002"/>
            </w:pPr>
            <w:r>
              <w:rPr>
                <w:rStyle w:val="Text0"/>
              </w:rPr>
              <w:t>randbits(</w:t>
            </w:r>
            <w:r>
              <w:rPr>
                <w:rStyle w:val="Text3"/>
              </w:rPr>
              <w:t>k</w:t>
            </w:r>
            <w:r>
              <w:rPr>
                <w:rStyle w:val="Text0"/>
              </w:rPr>
              <w:t>)</w:t>
              <w:br w:clear="none"/>
            </w:r>
            <w:r>
              <w:t xml:space="preserve"> Returns an </w:t>
            </w:r>
            <w:r>
              <w:rPr>
                <w:rStyle w:val="Text0"/>
              </w:rPr>
              <w:t>int</w:t>
            </w:r>
            <w:r>
              <w:t xml:space="preserve"> with </w:t>
            </w:r>
            <w:r>
              <w:rPr>
                <w:rStyle w:val="Text3"/>
              </w:rPr>
              <w:t>k</w:t>
            </w:r>
            <w:r>
              <w:t xml:space="preserve"> random bits.</w:t>
            </w:r>
          </w:p>
        </w:tc>
      </w:tr>
    </w:tbl>
    <w:tbl>
      <w:tblPr>
        <w:tblW w:type="auto" w:w="0"/>
      </w:tblPr>
      <w:tr>
        <w:tc>
          <w:tcPr>
            <w:tcW w:type="auto" w:w="0"/>
            <w:shd w:val="clear" w:color="auto" w:fill="EEF2F6"/>
            <w:tcMar>
              <w:left w:type="dxa" w:w="200"/>
              <w:top w:type="dxa" w:w="200"/>
              <w:right w:type="dxa" w:w="200"/>
              <w:bottom w:type="dxa" w:w="200"/>
            </w:tcMar>
          </w:tcPr>
          <w:p>
            <w:pPr>
              <w:pStyle w:val="Para 001"/>
            </w:pPr>
            <w:r>
              <w:t>token_bytes</w:t>
            </w:r>
          </w:p>
        </w:tc>
        <w:tc>
          <w:tcPr>
            <w:tcW w:type="auto" w:w="0"/>
            <w:shd w:val="clear" w:color="auto" w:fill="EEF2F6"/>
            <w:tcMar>
              <w:left w:type="dxa" w:w="200"/>
              <w:top w:type="dxa" w:w="200"/>
              <w:right w:type="dxa" w:w="200"/>
              <w:bottom w:type="dxa" w:w="200"/>
            </w:tcMar>
          </w:tcPr>
          <w:p>
            <w:pPr>
              <w:pStyle w:val="Para 002"/>
            </w:pPr>
            <w:r>
              <w:rPr>
                <w:rStyle w:val="Text0"/>
              </w:rPr>
              <w:t>token_bytes(</w:t>
            </w:r>
            <w:r>
              <w:rPr>
                <w:rStyle w:val="Text3"/>
              </w:rPr>
              <w:t>n</w:t>
            </w:r>
            <w:r>
              <w:rPr>
                <w:rStyle w:val="Text0"/>
              </w:rPr>
              <w:t>)</w:t>
              <w:br w:clear="none"/>
            </w:r>
            <w:r>
              <w:t xml:space="preserve"> Returns a </w:t>
            </w:r>
            <w:r>
              <w:rPr>
                <w:rStyle w:val="Text0"/>
              </w:rPr>
              <w:t>bytes</w:t>
            </w:r>
            <w:r>
              <w:t xml:space="preserve"> object of </w:t>
            </w:r>
            <w:r>
              <w:rPr>
                <w:rStyle w:val="Text3"/>
              </w:rPr>
              <w:t>n</w:t>
            </w:r>
            <w:r>
              <w:t xml:space="preserve"> random bytes. When you omit </w:t>
            </w:r>
            <w:r>
              <w:rPr>
                <w:rStyle w:val="Text3"/>
              </w:rPr>
              <w:t>n</w:t>
            </w:r>
            <w:r>
              <w:t xml:space="preserve">, uses a default value, usually </w:t>
            </w:r>
            <w:r>
              <w:rPr>
                <w:rStyle w:val="Text0"/>
              </w:rPr>
              <w:t>32</w:t>
            </w:r>
            <w:r>
              <w:t>.</w:t>
            </w:r>
          </w:p>
        </w:tc>
      </w:tr>
    </w:tbl>
    <w:tbl>
      <w:tblPr>
        <w:tblW w:type="auto" w:w="0"/>
      </w:tblPr>
      <w:tr>
        <w:tc>
          <w:tcPr>
            <w:tcW w:type="auto" w:w="0"/>
            <w:tcMar>
              <w:left w:type="dxa" w:w="200"/>
              <w:top w:type="dxa" w:w="200"/>
              <w:right w:type="dxa" w:w="200"/>
              <w:bottom w:type="dxa" w:w="200"/>
            </w:tcMar>
          </w:tcPr>
          <w:p>
            <w:pPr>
              <w:pStyle w:val="Para 001"/>
            </w:pPr>
            <w:r>
              <w:t>token_hex</w:t>
            </w:r>
          </w:p>
        </w:tc>
        <w:tc>
          <w:tcPr>
            <w:tcW w:type="auto" w:w="0"/>
            <w:tcMar>
              <w:left w:type="dxa" w:w="200"/>
              <w:top w:type="dxa" w:w="200"/>
              <w:right w:type="dxa" w:w="200"/>
              <w:bottom w:type="dxa" w:w="200"/>
            </w:tcMar>
          </w:tcPr>
          <w:p>
            <w:pPr>
              <w:pStyle w:val="Para 002"/>
            </w:pPr>
            <w:r>
              <w:rPr>
                <w:rStyle w:val="Text0"/>
              </w:rPr>
              <w:t>token_hex(</w:t>
            </w:r>
            <w:r>
              <w:rPr>
                <w:rStyle w:val="Text3"/>
              </w:rPr>
              <w:t>n</w:t>
            </w:r>
            <w:r>
              <w:rPr>
                <w:rStyle w:val="Text0"/>
              </w:rPr>
              <w:t>)</w:t>
              <w:br w:clear="none"/>
            </w:r>
            <w:r>
              <w:t xml:space="preserve"> Returns a string of hexadecimal characters from </w:t>
            </w:r>
            <w:r>
              <w:rPr>
                <w:rStyle w:val="Text3"/>
              </w:rPr>
              <w:t>n</w:t>
            </w:r>
            <w:r>
              <w:t xml:space="preserve"> random bytes, with two characters per byte. When you omit </w:t>
            </w:r>
            <w:r>
              <w:rPr>
                <w:rStyle w:val="Text3"/>
              </w:rPr>
              <w:t>n</w:t>
            </w:r>
            <w:r>
              <w:t xml:space="preserve">, uses a default value, usually </w:t>
            </w:r>
            <w:r>
              <w:rPr>
                <w:rStyle w:val="Text0"/>
              </w:rPr>
              <w:t>32</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token_urlsafe</w:t>
            </w:r>
          </w:p>
        </w:tc>
        <w:tc>
          <w:tcPr>
            <w:tcW w:type="auto" w:w="0"/>
            <w:shd w:val="clear" w:color="auto" w:fill="EEF2F6"/>
            <w:tcMar>
              <w:left w:type="dxa" w:w="200"/>
              <w:top w:type="dxa" w:w="200"/>
              <w:right w:type="dxa" w:w="200"/>
              <w:bottom w:type="dxa" w:w="200"/>
            </w:tcMar>
          </w:tcPr>
          <w:p>
            <w:pPr>
              <w:pStyle w:val="Para 002"/>
            </w:pPr>
            <w:r>
              <w:rPr>
                <w:rStyle w:val="Text0"/>
              </w:rPr>
              <w:t>token_urlsafe(</w:t>
            </w:r>
            <w:r>
              <w:rPr>
                <w:rStyle w:val="Text3"/>
              </w:rPr>
              <w:t>n</w:t>
            </w:r>
            <w:r>
              <w:rPr>
                <w:rStyle w:val="Text0"/>
              </w:rPr>
              <w:t>)</w:t>
              <w:br w:clear="none"/>
            </w:r>
            <w:r>
              <w:t xml:space="preserve"> Returns a string of Base64-encoded characters from </w:t>
            </w:r>
            <w:r>
              <w:rPr>
                <w:rStyle w:val="Text3"/>
              </w:rPr>
              <w:t>n</w:t>
            </w:r>
            <w:r>
              <w:t xml:space="preserve"> random bytes; the resulting string’s length is approximately 1.3 times </w:t>
            </w:r>
            <w:r>
              <w:rPr>
                <w:rStyle w:val="Text3"/>
              </w:rPr>
              <w:t>n</w:t>
            </w:r>
            <w:r>
              <w:t xml:space="preserve">. When you omit </w:t>
            </w:r>
            <w:r>
              <w:rPr>
                <w:rStyle w:val="Text3"/>
              </w:rPr>
              <w:t>n</w:t>
            </w:r>
            <w:r>
              <w:t xml:space="preserve">, uses a default value, usually </w:t>
            </w:r>
            <w:r>
              <w:rPr>
                <w:rStyle w:val="Text0"/>
              </w:rPr>
              <w:t>32</w:t>
            </w:r>
            <w:r>
              <w:t>.</w:t>
            </w:r>
          </w:p>
        </w:tc>
      </w:tr>
    </w:tbl>
    <w:p>
      <w:pPr>
        <w:pStyle w:val="Normal"/>
      </w:pPr>
      <w:r>
        <w:t xml:space="preserve">Additional recipes and best cryptographic practices are provided in Python’s </w:t>
      </w:r>
      <w:hyperlink r:id="rId465">
        <w:r>
          <w:rPr>
            <w:rStyle w:val="Text1"/>
          </w:rPr>
          <w:t>online documentation</w:t>
        </w:r>
      </w:hyperlink>
      <w:r>
        <w:t>.</w:t>
      </w:r>
    </w:p>
    <w:p>
      <w:pPr>
        <w:pStyle w:val="Normal"/>
      </w:pPr>
      <w:r>
        <w:t xml:space="preserve">Alternative sources of physically random numbers are available online, e.g. from </w:t>
      </w:r>
      <w:hyperlink r:id="rId466">
        <w:r>
          <w:rPr>
            <w:rStyle w:val="Text1"/>
          </w:rPr>
          <w:t>Fourmilab</w:t>
        </w:r>
      </w:hyperlink>
      <w:r>
        <w:t>.</w:t>
      </w:r>
      <w:r>
        <w:rPr>
          <w:rStyle w:val="Text111"/>
        </w:rPr>
        <w:bookmarkStart w:id="3617" w:name="idm45965186257008"/>
        <w:t/>
        <w:bookmarkEnd w:id="3617"/>
        <w:bookmarkStart w:id="3618" w:name="idm45965186255600"/>
        <w:t/>
        <w:bookmarkEnd w:id="3618"/>
        <w:bookmarkStart w:id="3619" w:name="idm45965186254224"/>
        <w:t/>
        <w:bookmarkEnd w:id="3619"/>
      </w:r>
    </w:p>
    <w:p>
      <w:bookmarkStart w:id="3620" w:name="The_fractions_Module__The_fracti"/>
      <w:pPr>
        <w:keepNext/>
        <w:pStyle w:val="Heading 1"/>
      </w:pPr>
      <w:r>
        <w:t>The fractions Module</w:t>
      </w:r>
      <w:bookmarkEnd w:id="3620"/>
    </w:p>
    <w:p>
      <w:pPr>
        <w:pStyle w:val="Normal"/>
      </w:pPr>
      <w:r>
        <w:t>The</w:t>
      </w:r>
      <w:r>
        <w:rPr>
          <w:rStyle w:val="Text111"/>
        </w:rPr>
        <w:bookmarkStart w:id="3621" w:name="idm45965186250416"/>
        <w:t/>
        <w:bookmarkEnd w:id="3621"/>
        <w:bookmarkStart w:id="3622" w:name="idm45965186248624"/>
        <w:t/>
        <w:bookmarkEnd w:id="3622"/>
        <w:bookmarkStart w:id="3623" w:name="idm45965186247520"/>
        <w:t/>
        <w:bookmarkEnd w:id="3623"/>
      </w:r>
      <w:r>
        <w:t xml:space="preserve"> </w:t>
      </w:r>
      <w:r>
        <w:rPr>
          <w:rStyle w:val="Text0"/>
        </w:rPr>
        <w:t>fractions</w:t>
      </w:r>
      <w:r>
        <w:t xml:space="preserve"> module supplies a rational number class, </w:t>
      </w:r>
      <w:r>
        <w:rPr>
          <w:rStyle w:val="Text0"/>
        </w:rPr>
        <w:t>Fraction</w:t>
      </w:r>
      <w:r>
        <w:t xml:space="preserve">, whose instances you can construct from a pair of integers, another rational number, or a </w:t>
      </w:r>
      <w:r>
        <w:rPr>
          <w:rStyle w:val="Text0"/>
        </w:rPr>
        <w:t>str</w:t>
      </w:r>
      <w:r>
        <w:t xml:space="preserve">. </w:t>
      </w:r>
      <w:r>
        <w:rPr>
          <w:rStyle w:val="Text0"/>
        </w:rPr>
        <w:t>Fraction</w:t>
      </w:r>
      <w:r>
        <w:t xml:space="preserve"> class instances have read-only attributes </w:t>
      </w:r>
      <w:r>
        <w:rPr>
          <w:rStyle w:val="Text0"/>
        </w:rPr>
        <w:t>numerator</w:t>
      </w:r>
      <w:r>
        <w:t xml:space="preserve"> and </w:t>
      </w:r>
      <w:r>
        <w:rPr>
          <w:rStyle w:val="Text0"/>
        </w:rPr>
        <w:t>denominator</w:t>
      </w:r>
      <w:r>
        <w:t xml:space="preserve">. You can pass a pair of (optionally signed) </w:t>
      </w:r>
      <w:r>
        <w:rPr>
          <w:rStyle w:val="Text0"/>
        </w:rPr>
        <w:t>int</w:t>
      </w:r>
      <w:r>
        <w:t>s as the</w:t>
      </w:r>
      <w:r>
        <w:rPr>
          <w:rStyle w:val="Text111"/>
        </w:rPr>
        <w:bookmarkStart w:id="3624" w:name="idm45965186240832"/>
        <w:t/>
        <w:bookmarkEnd w:id="3624"/>
      </w:r>
      <w:r>
        <w:t xml:space="preserve"> </w:t>
      </w:r>
      <w:r>
        <w:rPr>
          <w:rStyle w:val="Text4"/>
        </w:rPr>
        <w:t>numerator</w:t>
      </w:r>
      <w:r>
        <w:t xml:space="preserve"> and </w:t>
      </w:r>
      <w:r>
        <w:rPr>
          <w:rStyle w:val="Text4"/>
        </w:rPr>
        <w:t>denominator</w:t>
      </w:r>
      <w:r>
        <w:t xml:space="preserve">. A denominator of </w:t>
      </w:r>
      <w:r>
        <w:rPr>
          <w:rStyle w:val="Text0"/>
        </w:rPr>
        <w:t>0</w:t>
      </w:r>
      <w:r>
        <w:t xml:space="preserve"> raises </w:t>
      </w:r>
      <w:r>
        <w:rPr>
          <w:rStyle w:val="Text0"/>
        </w:rPr>
        <w:t>ZeroDivisionError</w:t>
      </w:r>
      <w:r>
        <w:t xml:space="preserve">. A string can be of the form </w:t>
      </w:r>
      <w:r>
        <w:rPr>
          <w:rStyle w:val="Text0"/>
        </w:rPr>
        <w:t>'3.14'</w:t>
      </w:r>
      <w:r>
        <w:t>, or can include an optionally signed numerator, a slash (</w:t>
      </w:r>
      <w:r>
        <w:rPr>
          <w:rStyle w:val="Text0"/>
        </w:rPr>
        <w:t>/</w:t>
      </w:r>
      <w:r>
        <w:t xml:space="preserve">) , and a denominator, such as </w:t>
      </w:r>
      <w:r>
        <w:rPr>
          <w:rStyle w:val="Text0"/>
        </w:rPr>
        <w:t>'-22/7'</w:t>
      </w:r>
      <w:r>
        <w:t>.</w:t>
      </w:r>
    </w:p>
    <w:p>
      <w:pPr>
        <w:keepNext/>
        <w:pStyle w:val="Heading 5"/>
        <w:keepLines w:val="on"/>
      </w:pPr>
      <w:r>
        <w:t>Fraction Reduces to Lowest Terms</w:t>
      </w:r>
    </w:p>
    <w:p>
      <w:pPr>
        <w:pStyle w:val="Para 012"/>
        <w:keepLines w:val="on"/>
      </w:pPr>
      <w:r>
        <w:rPr>
          <w:rStyle w:val="Text0"/>
        </w:rPr>
        <w:t>Fraction</w:t>
      </w:r>
      <w:r>
        <w:t xml:space="preserve"> reduces the fraction to the lowest terms—for example, </w:t>
      </w:r>
      <w:r>
        <w:rPr>
          <w:rStyle w:val="Text0"/>
        </w:rPr>
        <w:t>f = Fraction(226, 452)</w:t>
      </w:r>
      <w:r>
        <w:t xml:space="preserve"> builds an instance </w:t>
      </w:r>
      <w:r>
        <w:rPr>
          <w:rStyle w:val="Text0"/>
        </w:rPr>
        <w:t>f</w:t>
      </w:r>
      <w:r>
        <w:t xml:space="preserve"> equal to one built by </w:t>
      </w:r>
      <w:r>
        <w:rPr>
          <w:rStyle w:val="Text0"/>
        </w:rPr>
        <w:t>Fraction(1, 2)</w:t>
      </w:r>
      <w:r>
        <w:t xml:space="preserve">. The specific numerator and denominator originally passed to </w:t>
      </w:r>
      <w:r>
        <w:rPr>
          <w:rStyle w:val="Text0"/>
        </w:rPr>
        <w:t>Fraction</w:t>
      </w:r>
      <w:r>
        <w:t xml:space="preserve"> are not recoverable from the resulting instance.</w:t>
      </w:r>
    </w:p>
    <w:p>
      <w:pPr>
        <w:pStyle w:val="Normal"/>
      </w:pPr>
      <w:r>
        <w:rPr>
          <w:rStyle w:val="Text0"/>
        </w:rPr>
        <w:t>Fraction</w:t>
      </w:r>
      <w:r>
        <w:t xml:space="preserve"> also supports construction from </w:t>
      </w:r>
      <w:r>
        <w:rPr>
          <w:rStyle w:val="Text0"/>
        </w:rPr>
        <w:t>decimal.Decimal</w:t>
      </w:r>
      <w:r>
        <w:t xml:space="preserve"> instances, and from </w:t>
      </w:r>
      <w:r>
        <w:rPr>
          <w:rStyle w:val="Text0"/>
        </w:rPr>
        <w:t>float</w:t>
      </w:r>
      <w:r>
        <w:t xml:space="preserve">s (the latter may not provide the results you expect, given </w:t>
      </w:r>
      <w:r>
        <w:rPr>
          <w:rStyle w:val="Text0"/>
        </w:rPr>
        <w:t>float</w:t>
      </w:r>
      <w:r>
        <w:t xml:space="preserve">s’ bounded precision). Here are some examples of using </w:t>
      </w:r>
      <w:r>
        <w:rPr>
          <w:rStyle w:val="Text0"/>
        </w:rPr>
        <w:t>Fraction</w:t>
      </w:r>
      <w:r>
        <w:t xml:space="preserve"> with various inputs.</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fractions</w:t>
        <w:br w:clear="none"/>
      </w:r>
      <w:r>
        <w:rPr>
          <w:rStyle w:val="Text6"/>
        </w:rPr>
        <w:t xml:space="preserve"> </w:t>
        <w:br w:clear="none"/>
      </w:r>
      <w:r>
        <w:rPr>
          <w:rStyle w:val="Text10"/>
        </w:rPr>
        <w:t xml:space="preserve">import</w:t>
        <w:br w:clear="none"/>
      </w:r>
      <w:r>
        <w:rPr>
          <w:rStyle w:val="Text6"/>
        </w:rPr>
        <w:t xml:space="preserve"> </w:t>
        <w:br w:clear="none"/>
      </w:r>
      <w:r>
        <w:t xml:space="preserve">Fraction</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decimal</w:t>
        <w:br w:clear="none"/>
      </w:r>
      <w:r>
        <w:rPr>
          <w:rStyle w:val="Text6"/>
        </w:rPr>
        <w:t xml:space="preserve"> </w:t>
        <w:br w:clear="none"/>
      </w:r>
      <w:r>
        <w:rPr>
          <w:rStyle w:val="Text10"/>
        </w:rPr>
        <w:t xml:space="preserve">import</w:t>
        <w:br w:clear="none"/>
      </w:r>
      <w:r>
        <w:rPr>
          <w:rStyle w:val="Text6"/>
        </w:rPr>
        <w:t xml:space="preserve"> </w:t>
        <w:br w:clear="none"/>
      </w:r>
      <w:r>
        <w:t xml:space="preserve">Decimal</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Fraction</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10</w:t>
        <w:br w:clear="none"/>
      </w:r>
      <w:r>
        <w:rPr>
          <w:rStyle w:val="Text7"/>
        </w:rPr>
        <w:t xml:space="preserve">)</w:t>
        <w:br w:clear="none"/>
      </w:r>
    </w:p>
    <w:p>
      <w:pPr>
        <w:pStyle w:val="Para 008"/>
      </w:pPr>
      <w:r>
        <w:rPr>
          <w:rStyle w:val="Text48"/>
        </w:rPr>
        <w:t xml:space="preserve"/>
        <w:br w:clear="none"/>
      </w:r>
      <w:r>
        <w:t xml:space="preserve">Fraction(1, 10)</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t xml:space="preserve">Decimal</w:t>
        <w:br w:clear="none"/>
      </w:r>
      <w:r>
        <w:rPr>
          <w:rStyle w:val="Text7"/>
        </w:rPr>
        <w:t xml:space="preserve">(</w:t>
        <w:br w:clear="none"/>
      </w:r>
      <w:r>
        <w:rPr>
          <w:rStyle w:val="Text8"/>
        </w:rPr>
        <w:t xml:space="preserve">'0.1'</w:t>
        <w:br w:clear="none"/>
      </w:r>
      <w:r>
        <w:rPr>
          <w:rStyle w:val="Text7"/>
        </w:rPr>
        <w:t xml:space="preserve">))</w:t>
        <w:br w:clear="none"/>
      </w:r>
    </w:p>
    <w:p>
      <w:pPr>
        <w:pStyle w:val="Para 008"/>
      </w:pPr>
      <w:r>
        <w:rPr>
          <w:rStyle w:val="Text48"/>
        </w:rPr>
        <w:t xml:space="preserve"/>
        <w:br w:clear="none"/>
      </w:r>
      <w:r>
        <w:t xml:space="preserve">Fraction(1, 10)</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rPr>
          <w:rStyle w:val="Text8"/>
        </w:rPr>
        <w:t xml:space="preserve">'0.1'</w:t>
        <w:br w:clear="none"/>
      </w:r>
      <w:r>
        <w:rPr>
          <w:rStyle w:val="Text7"/>
        </w:rPr>
        <w:t xml:space="preserve">)</w:t>
        <w:br w:clear="none"/>
      </w:r>
    </w:p>
    <w:p>
      <w:pPr>
        <w:pStyle w:val="Para 008"/>
      </w:pPr>
      <w:r>
        <w:rPr>
          <w:rStyle w:val="Text48"/>
        </w:rPr>
        <w:t xml:space="preserve"/>
        <w:br w:clear="none"/>
      </w:r>
      <w:r>
        <w:t xml:space="preserve">Fraction(1, 10)</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rPr>
          <w:rStyle w:val="Text8"/>
        </w:rPr>
        <w:t xml:space="preserve">'1/10'</w:t>
        <w:br w:clear="none"/>
      </w:r>
      <w:r>
        <w:rPr>
          <w:rStyle w:val="Text7"/>
        </w:rPr>
        <w:t xml:space="preserve">)</w:t>
        <w:br w:clear="none"/>
      </w:r>
    </w:p>
    <w:p>
      <w:pPr>
        <w:pStyle w:val="Para 008"/>
      </w:pPr>
      <w:r>
        <w:rPr>
          <w:rStyle w:val="Text48"/>
        </w:rPr>
        <w:t xml:space="preserve"/>
        <w:br w:clear="none"/>
      </w:r>
      <w:r>
        <w:t xml:space="preserve">Fraction(1, 10)</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rPr>
          <w:rStyle w:val="Text27"/>
        </w:rPr>
        <w:t xml:space="preserve">0.1</w:t>
        <w:br w:clear="none"/>
      </w:r>
      <w:r>
        <w:rPr>
          <w:rStyle w:val="Text7"/>
        </w:rPr>
        <w:t xml:space="preserve">)</w:t>
        <w:br w:clear="none"/>
      </w:r>
    </w:p>
    <w:p>
      <w:pPr>
        <w:pStyle w:val="Para 008"/>
      </w:pPr>
      <w:r>
        <w:rPr>
          <w:rStyle w:val="Text48"/>
        </w:rPr>
        <w:t xml:space="preserve"/>
        <w:br w:clear="none"/>
      </w:r>
      <w:r>
        <w:t xml:space="preserve">Fraction(3602879701896397, 36028797018963968)</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23"/>
        </w:rPr>
        <w:t xml:space="preserve"> </w:t>
        <w:br w:clear="none"/>
      </w:r>
      <w:r>
        <w:rPr>
          <w:rStyle w:val="Text27"/>
        </w:rPr>
        <w:t xml:space="preserve">10</w:t>
        <w:br w:clear="none"/>
      </w:r>
      <w:r>
        <w:rPr>
          <w:rStyle w:val="Text7"/>
        </w:rPr>
        <w:t xml:space="preserve">)</w:t>
        <w:br w:clear="none"/>
      </w:r>
    </w:p>
    <w:p>
      <w:pPr>
        <w:pStyle w:val="Para 008"/>
      </w:pPr>
      <w:r>
        <w:rPr>
          <w:rStyle w:val="Text48"/>
        </w:rPr>
        <w:t xml:space="preserve"/>
        <w:br w:clear="none"/>
      </w:r>
      <w:r>
        <w:t xml:space="preserve">Fraction(-1, 10)</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Fraction</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13"/>
        </w:rPr>
        <w:t xml:space="preserve">-</w:t>
        <w:br w:clear="none"/>
      </w:r>
      <w:r>
        <w:rPr>
          <w:rStyle w:val="Text27"/>
        </w:rPr>
        <w:t xml:space="preserve">10</w:t>
        <w:br w:clear="none"/>
      </w:r>
      <w:r>
        <w:rPr>
          <w:rStyle w:val="Text7"/>
        </w:rPr>
        <w:t xml:space="preserve">)</w:t>
        <w:br w:clear="none"/>
      </w:r>
    </w:p>
    <w:p>
      <w:pPr>
        <w:pStyle w:val="Para 008"/>
      </w:pPr>
      <w:r>
        <w:rPr>
          <w:rStyle w:val="Text48"/>
        </w:rPr>
        <w:t xml:space="preserve"/>
        <w:br w:clear="none"/>
      </w:r>
      <w:r>
        <w:t xml:space="preserve">Fraction(1, 10)</w:t>
        <w:br w:clear="none"/>
      </w:r>
    </w:p>
    <w:p>
      <w:pPr>
        <w:pStyle w:val="Normal"/>
      </w:pPr>
      <w:r>
        <w:t xml:space="preserve">The </w:t>
      </w:r>
      <w:r>
        <w:rPr>
          <w:rStyle w:val="Text0"/>
        </w:rPr>
        <w:t>Fraction</w:t>
      </w:r>
      <w:r>
        <w:t xml:space="preserve"> class supplies methods including </w:t>
      </w:r>
      <w:r>
        <w:rPr>
          <w:rStyle w:val="Text0"/>
        </w:rPr>
        <w:t>limit_denominator</w:t>
      </w:r>
      <w:r>
        <w:t xml:space="preserve">, which allows you to create a rational approximation of a </w:t>
      </w:r>
      <w:r>
        <w:rPr>
          <w:rStyle w:val="Text0"/>
        </w:rPr>
        <w:t>float</w:t>
      </w:r>
      <w:r>
        <w:t xml:space="preserve">—for example, </w:t>
      </w:r>
      <w:r>
        <w:rPr>
          <w:rStyle w:val="Text0"/>
        </w:rPr>
        <w:t>Fraction(0.0999).limit_denominator(10)</w:t>
      </w:r>
      <w:r>
        <w:t xml:space="preserve"> returns </w:t>
      </w:r>
      <w:r>
        <w:rPr>
          <w:rStyle w:val="Text0"/>
        </w:rPr>
        <w:t>Fraction(1, 10)</w:t>
      </w:r>
      <w:r>
        <w:t xml:space="preserve">. </w:t>
      </w:r>
      <w:r>
        <w:rPr>
          <w:rStyle w:val="Text0"/>
        </w:rPr>
        <w:t>Fraction</w:t>
      </w:r>
      <w:r>
        <w:t xml:space="preserve"> instances are immutable and can be keys in </w:t>
      </w:r>
      <w:r>
        <w:rPr>
          <w:rStyle w:val="Text0"/>
        </w:rPr>
        <w:t>dict</w:t>
      </w:r>
      <w:r>
        <w:t xml:space="preserve">s or members of </w:t>
      </w:r>
      <w:r>
        <w:rPr>
          <w:rStyle w:val="Text0"/>
        </w:rPr>
        <w:t>set</w:t>
      </w:r>
      <w:r>
        <w:t xml:space="preserve">s, as well as being usable in arithmetic operations with other numbers. See the </w:t>
      </w:r>
      <w:hyperlink r:id="rId467">
        <w:r>
          <w:rPr>
            <w:rStyle w:val="Text1"/>
          </w:rPr>
          <w:t>online docs</w:t>
        </w:r>
      </w:hyperlink>
      <w:r>
        <w:t xml:space="preserve"> for complete coverage.</w:t>
      </w:r>
    </w:p>
    <w:p>
      <w:pPr>
        <w:pStyle w:val="Normal"/>
      </w:pPr>
      <w:r>
        <w:t xml:space="preserve">The </w:t>
      </w:r>
      <w:r>
        <w:rPr>
          <w:rStyle w:val="Text0"/>
        </w:rPr>
        <w:t>fractions</w:t>
      </w:r>
      <w:r>
        <w:t xml:space="preserve"> module also supplies a function </w:t>
      </w:r>
      <w:r>
        <w:rPr>
          <w:rStyle w:val="Text0"/>
        </w:rPr>
        <w:t>gcd</w:t>
      </w:r>
      <w:r>
        <w:t xml:space="preserve"> that’s just like </w:t>
      </w:r>
      <w:r>
        <w:rPr>
          <w:rStyle w:val="Text0"/>
        </w:rPr>
        <w:t>math.gcd</w:t>
      </w:r>
      <w:r>
        <w:t xml:space="preserve">, covered in </w:t>
      </w:r>
      <w:hyperlink w:anchor="Table_16_1__Methods_and_attribut">
        <w:r>
          <w:rPr>
            <w:rStyle w:val="Text1"/>
          </w:rPr>
          <w:t>Table 16-1</w:t>
        </w:r>
      </w:hyperlink>
      <w:r>
        <w:t>.</w:t>
      </w:r>
    </w:p>
    <w:p>
      <w:bookmarkStart w:id="3625" w:name="The_decimal_Module__A_Python_flo"/>
      <w:pPr>
        <w:keepNext/>
        <w:pStyle w:val="Heading 1"/>
      </w:pPr>
      <w:r>
        <w:t>The decimal Module</w:t>
      </w:r>
      <w:bookmarkEnd w:id="3625"/>
    </w:p>
    <w:p>
      <w:pPr>
        <w:pStyle w:val="Normal"/>
      </w:pPr>
      <w:r>
        <w:t>A</w:t>
      </w:r>
      <w:r>
        <w:rPr>
          <w:rStyle w:val="Text111"/>
        </w:rPr>
        <w:bookmarkStart w:id="3626" w:name="NPdecimal16"/>
        <w:t/>
        <w:bookmarkEnd w:id="3626"/>
        <w:bookmarkStart w:id="3627" w:name="decmod16"/>
        <w:t/>
        <w:bookmarkEnd w:id="3627"/>
        <w:bookmarkStart w:id="3628" w:name="idm45965185997456"/>
        <w:t/>
        <w:bookmarkEnd w:id="3628"/>
      </w:r>
      <w:r>
        <w:t xml:space="preserve"> Python </w:t>
      </w:r>
      <w:r>
        <w:rPr>
          <w:rStyle w:val="Text0"/>
        </w:rPr>
        <w:t>float</w:t>
      </w:r>
      <w:r>
        <w:t xml:space="preserve"> is a binary floating-point number, normally according to the standard known as IEEE 754 implemented in hardware in modern computers. An excellent, concise, practical introduction to floating-point arithmetic and its issues can be found in David Goldberg’s paper </w:t>
      </w:r>
      <w:hyperlink r:id="rId468">
        <w:r>
          <w:rPr>
            <w:rStyle w:val="Text1"/>
          </w:rPr>
          <w:t>“What Every Computer Scientist Should Know About Floating-Point Arithmetic”</w:t>
        </w:r>
      </w:hyperlink>
      <w:r>
        <w:t xml:space="preserve">. A Python-focused essay on the same issues is part of the </w:t>
      </w:r>
      <w:hyperlink r:id="rId469">
        <w:r>
          <w:rPr>
            <w:rStyle w:val="Text1"/>
          </w:rPr>
          <w:t>tutorial</w:t>
        </w:r>
      </w:hyperlink>
      <w:r>
        <w:t xml:space="preserve"> in the Python docs; another excellent summary (not focused on Python), Bruce Bush’s “The Perils of Floating Point,” is also available </w:t>
      </w:r>
      <w:hyperlink r:id="rId470">
        <w:r>
          <w:rPr>
            <w:rStyle w:val="Text1"/>
          </w:rPr>
          <w:t>online</w:t>
        </w:r>
      </w:hyperlink>
      <w:r>
        <w:t>.</w:t>
      </w:r>
    </w:p>
    <w:p>
      <w:pPr>
        <w:pStyle w:val="Normal"/>
      </w:pPr>
      <w:r>
        <w:t>Often, particularly for money-related computations, you may prefer to use</w:t>
      </w:r>
      <w:r>
        <w:rPr>
          <w:rStyle w:val="Text111"/>
        </w:rPr>
        <w:bookmarkStart w:id="3629" w:name="idm45965185992720"/>
        <w:t/>
        <w:bookmarkEnd w:id="3629"/>
      </w:r>
      <w:r>
        <w:t xml:space="preserve"> </w:t>
      </w:r>
      <w:r>
        <w:rPr>
          <w:rStyle w:val="Text4"/>
        </w:rPr>
        <w:t>decimal</w:t>
      </w:r>
      <w:r>
        <w:t xml:space="preserve"> floating-point numbers. Python supplies an implementation of the standard known as IEEE 854,</w:t>
      </w:r>
      <w:hyperlink w:anchor="1_Superseded__technically__by_th">
        <w:r>
          <w:rPr>
            <w:rStyle w:val="Text41"/>
          </w:rPr>
          <w:bookmarkStart w:id="3630" w:name="1_15"/>
          <w:t>1</w:t>
          <w:bookmarkEnd w:id="3630"/>
        </w:r>
      </w:hyperlink>
      <w:r>
        <w:t xml:space="preserve"> for base 10, in the standard library module </w:t>
      </w:r>
      <w:r>
        <w:rPr>
          <w:rStyle w:val="Text0"/>
        </w:rPr>
        <w:t>decimal</w:t>
      </w:r>
      <w:r>
        <w:t xml:space="preserve">. The module has excellent </w:t>
      </w:r>
      <w:hyperlink r:id="rId471">
        <w:r>
          <w:rPr>
            <w:rStyle w:val="Text1"/>
          </w:rPr>
          <w:t>documentation</w:t>
        </w:r>
      </w:hyperlink>
      <w:r>
        <w:t xml:space="preserve">: there, you can find complete reference material, pointers to the applicable standards, a tutorial, and advocacy for </w:t>
      </w:r>
      <w:r>
        <w:rPr>
          <w:rStyle w:val="Text0"/>
        </w:rPr>
        <w:t>decimal</w:t>
      </w:r>
      <w:r>
        <w:t xml:space="preserve">. Here, we cover only a small subset of </w:t>
      </w:r>
      <w:r>
        <w:rPr>
          <w:rStyle w:val="Text0"/>
        </w:rPr>
        <w:t>decimal</w:t>
      </w:r>
      <w:r>
        <w:t>’s functionality, the most frequently used parts of the module.</w:t>
      </w:r>
    </w:p>
    <w:p>
      <w:pPr>
        <w:pStyle w:val="Normal"/>
      </w:pPr>
      <w:r>
        <w:t xml:space="preserve">The </w:t>
      </w:r>
      <w:r>
        <w:rPr>
          <w:rStyle w:val="Text0"/>
        </w:rPr>
        <w:t>decimal</w:t>
      </w:r>
      <w:r>
        <w:t xml:space="preserve"> module supplies a </w:t>
      </w:r>
      <w:r>
        <w:rPr>
          <w:rStyle w:val="Text0"/>
        </w:rPr>
        <w:t>Decimal</w:t>
      </w:r>
      <w:r>
        <w:t xml:space="preserve"> class (whose immutable instances are decimal numbers), exception classes, and classes and functions to deal</w:t>
      </w:r>
      <w:r>
        <w:rPr>
          <w:rStyle w:val="Text111"/>
        </w:rPr>
        <w:bookmarkStart w:id="3631" w:name="idm45965185984304"/>
        <w:t/>
        <w:bookmarkEnd w:id="3631"/>
      </w:r>
      <w:r>
        <w:t xml:space="preserve"> with the </w:t>
      </w:r>
      <w:r>
        <w:rPr>
          <w:rStyle w:val="Text4"/>
        </w:rPr>
        <w:t>arithmetic context</w:t>
      </w:r>
      <w:r>
        <w:t>, which specifies such things as precision, rounding, and which computational anomalies (such as division by zero, overflow, underflow, and so on) raise exceptions when they occur. In the default context, precision is 28 decimal digits, rounding is “half-even” (round results to the closest representable decimal number; when a result is exactly halfway between two such numbers, round to the one whose last digit is even), and the anomalies that raise exceptions are invalid operation, division by zero, and overflow.</w:t>
      </w:r>
    </w:p>
    <w:p>
      <w:pPr>
        <w:pStyle w:val="Normal"/>
      </w:pPr>
      <w:r>
        <w:t xml:space="preserve">To build a decimal number, call </w:t>
      </w:r>
      <w:r>
        <w:rPr>
          <w:rStyle w:val="Text0"/>
        </w:rPr>
        <w:t>Decimal</w:t>
      </w:r>
      <w:r>
        <w:t xml:space="preserve"> with one argument: an </w:t>
      </w:r>
      <w:r>
        <w:rPr>
          <w:rStyle w:val="Text0"/>
        </w:rPr>
        <w:t>int</w:t>
      </w:r>
      <w:r>
        <w:t xml:space="preserve">, </w:t>
      </w:r>
      <w:r>
        <w:rPr>
          <w:rStyle w:val="Text0"/>
        </w:rPr>
        <w:t>float</w:t>
      </w:r>
      <w:r>
        <w:t xml:space="preserve">, </w:t>
      </w:r>
      <w:r>
        <w:rPr>
          <w:rStyle w:val="Text0"/>
        </w:rPr>
        <w:t>str</w:t>
      </w:r>
      <w:r>
        <w:t xml:space="preserve">, or </w:t>
      </w:r>
      <w:r>
        <w:rPr>
          <w:rStyle w:val="Text0"/>
        </w:rPr>
        <w:t>tuple</w:t>
      </w:r>
      <w:r>
        <w:t xml:space="preserve">. If you start with a </w:t>
      </w:r>
      <w:r>
        <w:rPr>
          <w:rStyle w:val="Text0"/>
        </w:rPr>
        <w:t>float</w:t>
      </w:r>
      <w:r>
        <w:t>, Python converts it losslessly to the exact decimal equivalent (which may require 53 digits or more of precision):</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decimal</w:t>
        <w:br w:clear="none"/>
      </w:r>
      <w:r>
        <w:rPr>
          <w:rStyle w:val="Text6"/>
        </w:rPr>
        <w:t xml:space="preserve"> </w:t>
        <w:br w:clear="none"/>
      </w:r>
      <w:r>
        <w:rPr>
          <w:rStyle w:val="Text10"/>
        </w:rPr>
        <w:t xml:space="preserve">import</w:t>
        <w:br w:clear="none"/>
      </w:r>
      <w:r>
        <w:rPr>
          <w:rStyle w:val="Text6"/>
        </w:rPr>
        <w:t xml:space="preserve"> </w:t>
        <w:br w:clear="none"/>
      </w:r>
      <w:r>
        <w:t xml:space="preserve">Decimal</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df</w:t>
        <w:br w:clear="none"/>
      </w:r>
      <w:r>
        <w:rPr>
          <w:rStyle w:val="Text6"/>
        </w:rPr>
        <w:t xml:space="preserve"> </w:t>
        <w:br w:clear="none"/>
      </w:r>
      <w:r>
        <w:rPr>
          <w:rStyle w:val="Text13"/>
        </w:rPr>
        <w:t xml:space="preserve">=</w:t>
        <w:br w:clear="none"/>
      </w:r>
      <w:r>
        <w:rPr>
          <w:rStyle w:val="Text6"/>
        </w:rPr>
        <w:t xml:space="preserve"> </w:t>
        <w:br w:clear="none"/>
      </w:r>
      <w:r>
        <w:t xml:space="preserve">Decimal</w:t>
        <w:br w:clear="none"/>
      </w:r>
      <w:r>
        <w:rPr>
          <w:rStyle w:val="Text7"/>
        </w:rPr>
        <w:t xml:space="preserve">(</w:t>
        <w:br w:clear="none"/>
      </w:r>
      <w:r>
        <w:rPr>
          <w:rStyle w:val="Text27"/>
        </w:rPr>
        <w:t xml:space="preserve">0.1</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df</w:t>
        <w:br w:clear="none"/>
      </w:r>
    </w:p>
    <w:p>
      <w:pPr>
        <w:pStyle w:val="Para 008"/>
      </w:pPr>
      <w:r>
        <w:rPr>
          <w:rStyle w:val="Text48"/>
        </w:rPr>
        <w:t xml:space="preserve"/>
        <w:br w:clear="none"/>
      </w:r>
      <w:r>
        <w:t xml:space="preserve">Decimal('0.1000000000000000055511151231257827021181583404541015625')</w:t>
        <w:br w:clear="none"/>
      </w:r>
    </w:p>
    <w:p>
      <w:pPr>
        <w:pStyle w:val="Normal"/>
      </w:pPr>
      <w:r>
        <w:t xml:space="preserve">If this is not the behavior you want, you can pass the </w:t>
      </w:r>
      <w:r>
        <w:rPr>
          <w:rStyle w:val="Text0"/>
        </w:rPr>
        <w:t>float</w:t>
      </w:r>
      <w:r>
        <w:t xml:space="preserve"> as a </w:t>
      </w:r>
      <w:r>
        <w:rPr>
          <w:rStyle w:val="Text0"/>
        </w:rPr>
        <w:t>str</w:t>
      </w:r>
      <w:r>
        <w:t>; for example:</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ds</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Decimal</w:t>
        <w:br w:clear="none"/>
      </w:r>
      <w:r>
        <w:rPr>
          <w:rStyle w:val="Text19"/>
        </w:rPr>
        <w:t xml:space="preserve">(</w:t>
        <w:br w:clear="none"/>
      </w:r>
      <w:r>
        <w:rPr>
          <w:rStyle w:val="Text21"/>
        </w:rPr>
        <w:t xml:space="preserve">str</w:t>
        <w:br w:clear="none"/>
      </w:r>
      <w:r>
        <w:rPr>
          <w:rStyle w:val="Text19"/>
        </w:rPr>
        <w:t xml:space="preserve">(</w:t>
        <w:br w:clear="none"/>
      </w:r>
      <w:r>
        <w:rPr>
          <w:rStyle w:val="Text35"/>
        </w:rPr>
        <w:t xml:space="preserve">0.1</w:t>
        <w:br w:clear="none"/>
      </w:r>
      <w:r>
        <w:rPr>
          <w:rStyle w:val="Text19"/>
        </w:rPr>
        <w:t xml:space="preserve">)</w:t>
        <w:br w:clear="none"/>
        <w:t xml:space="preserve">)</w:t>
        <w:br w:clear="none"/>
      </w:r>
      <w:r>
        <w:rPr>
          <w:rStyle w:val="Text11"/>
        </w:rPr>
        <w:t xml:space="preserve">  </w:t>
        <w:br w:clear="none"/>
      </w:r>
      <w:r>
        <w:t xml:space="preserve"># or, more directly, Decimal('0.1')</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ds</w:t>
        <w:br w:clear="none"/>
      </w:r>
    </w:p>
    <w:p>
      <w:pPr>
        <w:pStyle w:val="Para 008"/>
      </w:pPr>
      <w:r>
        <w:rPr>
          <w:rStyle w:val="Text48"/>
        </w:rPr>
        <w:t xml:space="preserve"/>
        <w:br w:clear="none"/>
      </w:r>
      <w:r>
        <w:t xml:space="preserve">Decimal('0.1')</w:t>
        <w:br w:clear="none"/>
      </w:r>
    </w:p>
    <w:p>
      <w:pPr>
        <w:pStyle w:val="Normal"/>
      </w:pPr>
      <w:r>
        <w:t xml:space="preserve">You can easily write a factory function for ease of interactive experimentation with </w:t>
      </w:r>
      <w:r>
        <w:rPr>
          <w:rStyle w:val="Text0"/>
        </w:rPr>
        <w:t>decimal</w:t>
      </w:r>
      <w:r>
        <w:t>:</w:t>
      </w:r>
    </w:p>
    <w:p>
      <w:pPr>
        <w:pStyle w:val="Para 037"/>
      </w:pPr>
      <w:r>
        <w:rPr>
          <w:rStyle w:val="Text118"/>
        </w:rPr>
        <w:t xml:space="preserve"/>
        <w:br w:clear="none"/>
      </w:r>
      <w:r>
        <w:t xml:space="preserve">def</w:t>
        <w:br w:clear="none"/>
      </w:r>
      <w:r>
        <w:rPr>
          <w:rStyle w:val="Text29"/>
        </w:rPr>
        <w:t xml:space="preserve"> </w:t>
        <w:br w:clear="none"/>
      </w:r>
      <w:r>
        <w:rPr>
          <w:rStyle w:val="Text61"/>
        </w:rPr>
        <w:t xml:space="preserve">dfs</w:t>
        <w:br w:clear="none"/>
      </w:r>
      <w:r>
        <w:rPr>
          <w:rStyle w:val="Text31"/>
        </w:rPr>
        <w:t xml:space="preserve">(</w:t>
        <w:br w:clear="none"/>
      </w:r>
      <w:r>
        <w:rPr>
          <w:rStyle w:val="Text38"/>
        </w:rPr>
        <w:t xml:space="preserve">x</w:t>
        <w:br w:clear="none"/>
      </w:r>
      <w:r>
        <w:rPr>
          <w:rStyle w:val="Text31"/>
        </w:rPr>
        <w:t xml:space="preserve">)</w:t>
        <w:br w:clear="none"/>
        <w:t xml:space="preserve">:</w:t>
        <w:br w:clear="none"/>
      </w:r>
      <w:r>
        <w:rPr>
          <w:rStyle w:val="Text29"/>
        </w:rPr>
        <w:t xml:space="preserve"/>
        <w:br w:clear="none"/>
        <w:t xml:space="preserve">    </w:t>
        <w:br w:clear="none"/>
      </w:r>
      <w:r>
        <w:t xml:space="preserve">return</w:t>
        <w:br w:clear="none"/>
      </w:r>
      <w:r>
        <w:rPr>
          <w:rStyle w:val="Text29"/>
        </w:rPr>
        <w:t xml:space="preserve"> </w:t>
        <w:br w:clear="none"/>
      </w:r>
      <w:r>
        <w:rPr>
          <w:rStyle w:val="Text38"/>
        </w:rPr>
        <w:t xml:space="preserve">Decimal</w:t>
        <w:br w:clear="none"/>
      </w:r>
      <w:r>
        <w:rPr>
          <w:rStyle w:val="Text31"/>
        </w:rPr>
        <w:t xml:space="preserve">(</w:t>
        <w:br w:clear="none"/>
      </w:r>
      <w:r>
        <w:rPr>
          <w:rStyle w:val="Text67"/>
        </w:rPr>
        <w:t xml:space="preserve">str</w:t>
        <w:br w:clear="none"/>
      </w:r>
      <w:r>
        <w:rPr>
          <w:rStyle w:val="Text31"/>
        </w:rPr>
        <w:t xml:space="preserve">(</w:t>
        <w:br w:clear="none"/>
      </w:r>
      <w:r>
        <w:rPr>
          <w:rStyle w:val="Text38"/>
        </w:rPr>
        <w:t xml:space="preserve">x</w:t>
        <w:br w:clear="none"/>
      </w:r>
      <w:r>
        <w:rPr>
          <w:rStyle w:val="Text31"/>
        </w:rPr>
        <w:t xml:space="preserve">)</w:t>
        <w:br w:clear="none"/>
        <w:t xml:space="preserve">)</w:t>
        <w:br w:clear="none"/>
      </w:r>
    </w:p>
    <w:p>
      <w:pPr>
        <w:pStyle w:val="Normal"/>
      </w:pPr>
      <w:r>
        <w:t xml:space="preserve">Now </w:t>
      </w:r>
      <w:r>
        <w:rPr>
          <w:rStyle w:val="Text0"/>
        </w:rPr>
        <w:t>dfs(0.1)</w:t>
      </w:r>
      <w:r>
        <w:t xml:space="preserve"> is just the same thing as </w:t>
      </w:r>
      <w:r>
        <w:rPr>
          <w:rStyle w:val="Text0"/>
        </w:rPr>
        <w:t>Decimal(str(0.1))</w:t>
      </w:r>
      <w:r>
        <w:t xml:space="preserve">, or </w:t>
      </w:r>
      <w:r>
        <w:rPr>
          <w:rStyle w:val="Text0"/>
        </w:rPr>
        <w:t>Decimal('0.1')</w:t>
      </w:r>
      <w:r>
        <w:t>, but more concise and handier to write.</w:t>
      </w:r>
    </w:p>
    <w:p>
      <w:pPr>
        <w:pStyle w:val="Normal"/>
      </w:pPr>
      <w:r>
        <w:t xml:space="preserve">Alternatively, you may use the </w:t>
      </w:r>
      <w:r>
        <w:rPr>
          <w:rStyle w:val="Text0"/>
        </w:rPr>
        <w:t>quantize</w:t>
      </w:r>
      <w:r>
        <w:t xml:space="preserve"> method of </w:t>
      </w:r>
      <w:r>
        <w:rPr>
          <w:rStyle w:val="Text0"/>
        </w:rPr>
        <w:t>Decimal</w:t>
      </w:r>
      <w:r>
        <w:t xml:space="preserve"> to construct a new decimal by rounding a </w:t>
      </w:r>
      <w:r>
        <w:rPr>
          <w:rStyle w:val="Text0"/>
        </w:rPr>
        <w:t>float</w:t>
      </w:r>
      <w:r>
        <w:t xml:space="preserve"> to the number of significant digits you specify:</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dq</w:t>
        <w:br w:clear="none"/>
      </w:r>
      <w:r>
        <w:rPr>
          <w:rStyle w:val="Text23"/>
        </w:rPr>
        <w:t xml:space="preserve"> </w:t>
        <w:br w:clear="none"/>
      </w:r>
      <w:r>
        <w:rPr>
          <w:rStyle w:val="Text13"/>
        </w:rPr>
        <w:t xml:space="preserve">=</w:t>
        <w:br w:clear="none"/>
      </w:r>
      <w:r>
        <w:rPr>
          <w:rStyle w:val="Text23"/>
        </w:rPr>
        <w:t xml:space="preserve"> </w:t>
        <w:br w:clear="none"/>
      </w:r>
      <w:r>
        <w:t xml:space="preserve">Decimal</w:t>
        <w:br w:clear="none"/>
      </w:r>
      <w:r>
        <w:rPr>
          <w:rStyle w:val="Text7"/>
        </w:rPr>
        <w:t xml:space="preserve">(</w:t>
        <w:br w:clear="none"/>
      </w:r>
      <w:r>
        <w:rPr>
          <w:rStyle w:val="Text27"/>
        </w:rPr>
        <w:t xml:space="preserve">0.1</w:t>
        <w:br w:clear="none"/>
      </w:r>
      <w:r>
        <w:rPr>
          <w:rStyle w:val="Text7"/>
        </w:rPr>
        <w:t xml:space="preserve">)</w:t>
        <w:br w:clear="none"/>
      </w:r>
      <w:r>
        <w:rPr>
          <w:rStyle w:val="Text13"/>
        </w:rPr>
        <w:t xml:space="preserve">.</w:t>
        <w:br w:clear="none"/>
      </w:r>
      <w:r>
        <w:t xml:space="preserve">quantize</w:t>
        <w:br w:clear="none"/>
      </w:r>
      <w:r>
        <w:rPr>
          <w:rStyle w:val="Text7"/>
        </w:rPr>
        <w:t xml:space="preserve">(</w:t>
        <w:br w:clear="none"/>
      </w:r>
      <w:r>
        <w:t xml:space="preserve">Decimal</w:t>
        <w:br w:clear="none"/>
      </w:r>
      <w:r>
        <w:rPr>
          <w:rStyle w:val="Text7"/>
        </w:rPr>
        <w:t xml:space="preserve">(</w:t>
        <w:br w:clear="none"/>
      </w:r>
      <w:r>
        <w:rPr>
          <w:rStyle w:val="Text8"/>
        </w:rPr>
        <w:t xml:space="preserve">'.00'</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dq</w:t>
        <w:br w:clear="none"/>
      </w:r>
    </w:p>
    <w:p>
      <w:pPr>
        <w:pStyle w:val="Para 008"/>
      </w:pPr>
      <w:r>
        <w:rPr>
          <w:rStyle w:val="Text48"/>
        </w:rPr>
        <w:t xml:space="preserve"/>
        <w:br w:clear="none"/>
      </w:r>
      <w:r>
        <w:t xml:space="preserve">Decimal('0.10')</w:t>
        <w:br w:clear="none"/>
      </w:r>
    </w:p>
    <w:p>
      <w:pPr>
        <w:pStyle w:val="Normal"/>
      </w:pPr>
      <w:r>
        <w:t>If you start with a tuple, you need to provide three arguments: the sign (</w:t>
      </w:r>
      <w:r>
        <w:rPr>
          <w:rStyle w:val="Text0"/>
        </w:rPr>
        <w:t>0</w:t>
      </w:r>
      <w:r>
        <w:t xml:space="preserve"> for positive, </w:t>
      </w:r>
      <w:r>
        <w:rPr>
          <w:rStyle w:val="Text0"/>
        </w:rPr>
        <w:t>1</w:t>
      </w:r>
      <w:r>
        <w:t xml:space="preserve"> for negative), a tuple of digits, and the integer exponent:</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pidigits</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7"/>
        </w:rPr>
        <w:t xml:space="preserve">3</w:t>
        <w:br w:clear="none"/>
      </w:r>
      <w:r>
        <w:rPr>
          <w:rStyle w:val="Text7"/>
        </w:rPr>
        <w:t xml:space="preserve">,</w:t>
        <w:br w:clear="none"/>
      </w:r>
      <w:r>
        <w:rPr>
          <w:rStyle w:val="Text23"/>
        </w:rPr>
        <w:t xml:space="preserve"> </w:t>
        <w:br w:clear="none"/>
      </w:r>
      <w:r>
        <w:rPr>
          <w:rStyle w:val="Text27"/>
        </w:rPr>
        <w:t xml:space="preserve">1</w:t>
        <w:br w:clear="none"/>
      </w:r>
      <w:r>
        <w:rPr>
          <w:rStyle w:val="Text7"/>
        </w:rPr>
        <w:t xml:space="preserve">,</w:t>
        <w:br w:clear="none"/>
      </w:r>
      <w:r>
        <w:rPr>
          <w:rStyle w:val="Text23"/>
        </w:rPr>
        <w:t xml:space="preserve"> </w:t>
        <w:br w:clear="none"/>
      </w:r>
      <w:r>
        <w:rPr>
          <w:rStyle w:val="Text27"/>
        </w:rPr>
        <w:t xml:space="preserve">4</w:t>
        <w:br w:clear="none"/>
      </w:r>
      <w:r>
        <w:rPr>
          <w:rStyle w:val="Text7"/>
        </w:rPr>
        <w:t xml:space="preserve">,</w:t>
        <w:br w:clear="none"/>
      </w:r>
      <w:r>
        <w:rPr>
          <w:rStyle w:val="Text23"/>
        </w:rPr>
        <w:t xml:space="preserve"> </w:t>
        <w:br w:clear="none"/>
      </w:r>
      <w:r>
        <w:rPr>
          <w:rStyle w:val="Text27"/>
        </w:rPr>
        <w:t xml:space="preserve">1</w:t>
        <w:br w:clear="none"/>
      </w:r>
      <w:r>
        <w:rPr>
          <w:rStyle w:val="Text7"/>
        </w:rPr>
        <w:t xml:space="preserve">,</w:t>
        <w:br w:clear="none"/>
      </w:r>
      <w:r>
        <w:rPr>
          <w:rStyle w:val="Text23"/>
        </w:rPr>
        <w:t xml:space="preserve"> </w:t>
        <w:br w:clear="none"/>
      </w:r>
      <w:r>
        <w:rPr>
          <w:rStyle w:val="Text27"/>
        </w:rPr>
        <w:t xml:space="preserve">5</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Decimal</w:t>
        <w:br w:clear="none"/>
      </w:r>
      <w:r>
        <w:rPr>
          <w:rStyle w:val="Text7"/>
        </w:rPr>
        <w:t xml:space="preserve">((</w:t>
        <w:br w:clear="none"/>
      </w:r>
      <w:r>
        <w:rPr>
          <w:rStyle w:val="Text27"/>
        </w:rPr>
        <w:t xml:space="preserve">1</w:t>
        <w:br w:clear="none"/>
      </w:r>
      <w:r>
        <w:rPr>
          <w:rStyle w:val="Text7"/>
        </w:rPr>
        <w:t xml:space="preserve">,</w:t>
        <w:br w:clear="none"/>
      </w:r>
      <w:r>
        <w:rPr>
          <w:rStyle w:val="Text23"/>
        </w:rPr>
        <w:t xml:space="preserve"> </w:t>
        <w:br w:clear="none"/>
      </w:r>
      <w:r>
        <w:t xml:space="preserve">pidigits</w:t>
        <w:br w:clear="none"/>
      </w:r>
      <w:r>
        <w:rPr>
          <w:rStyle w:val="Text7"/>
        </w:rPr>
        <w:t xml:space="preserve">,</w:t>
        <w:br w:clear="none"/>
      </w:r>
      <w:r>
        <w:rPr>
          <w:rStyle w:val="Text23"/>
        </w:rPr>
        <w:t xml:space="preserve"> </w:t>
        <w:br w:clear="none"/>
      </w:r>
      <w:r>
        <w:rPr>
          <w:rStyle w:val="Text13"/>
        </w:rPr>
        <w:t xml:space="preserve">-</w:t>
        <w:br w:clear="none"/>
      </w:r>
      <w:r>
        <w:rPr>
          <w:rStyle w:val="Text27"/>
        </w:rPr>
        <w:t xml:space="preserve">4</w:t>
        <w:br w:clear="none"/>
      </w:r>
      <w:r>
        <w:rPr>
          <w:rStyle w:val="Text7"/>
        </w:rPr>
        <w:t xml:space="preserve">))</w:t>
        <w:br w:clear="none"/>
      </w:r>
    </w:p>
    <w:p>
      <w:pPr>
        <w:pStyle w:val="Para 008"/>
      </w:pPr>
      <w:r>
        <w:rPr>
          <w:rStyle w:val="Text48"/>
        </w:rPr>
        <w:t xml:space="preserve"/>
        <w:br w:clear="none"/>
      </w:r>
      <w:r>
        <w:t xml:space="preserve">Decimal('-3.1415')</w:t>
        <w:br w:clear="none"/>
      </w:r>
    </w:p>
    <w:p>
      <w:pPr>
        <w:pStyle w:val="Normal"/>
      </w:pPr>
      <w:r>
        <w:t xml:space="preserve">Once you have instances of </w:t>
      </w:r>
      <w:r>
        <w:rPr>
          <w:rStyle w:val="Text0"/>
        </w:rPr>
        <w:t>Decimal</w:t>
      </w:r>
      <w:r>
        <w:t xml:space="preserve">, you can compare them, including comparison with </w:t>
      </w:r>
      <w:r>
        <w:rPr>
          <w:rStyle w:val="Text0"/>
        </w:rPr>
        <w:t>float</w:t>
      </w:r>
      <w:r>
        <w:t xml:space="preserve">s (use </w:t>
      </w:r>
      <w:r>
        <w:rPr>
          <w:rStyle w:val="Text0"/>
        </w:rPr>
        <w:t>math.isclose</w:t>
      </w:r>
      <w:r>
        <w:t xml:space="preserve"> for this); </w:t>
      </w:r>
      <w:r>
        <w:rPr>
          <w:rStyle w:val="Text0"/>
        </w:rPr>
        <w:t>pickle</w:t>
      </w:r>
      <w:r>
        <w:t xml:space="preserve"> and </w:t>
      </w:r>
      <w:r>
        <w:rPr>
          <w:rStyle w:val="Text0"/>
        </w:rPr>
        <w:t>unpickle</w:t>
      </w:r>
      <w:r>
        <w:t xml:space="preserve"> them; and use them as keys in dictionaries and as members of sets. You may also perform arithmetic among them, and with integers, but not with </w:t>
      </w:r>
      <w:r>
        <w:rPr>
          <w:rStyle w:val="Text0"/>
        </w:rPr>
        <w:t>float</w:t>
      </w:r>
      <w:r>
        <w:t>s (to avoid unexpected loss of precision in the results), as shown here:</w:t>
      </w:r>
    </w:p>
    <w:p>
      <w:pPr>
        <w:pStyle w:val="Para 039"/>
      </w:pPr>
      <w:r>
        <w:rPr>
          <w:rStyle w:val="Text23"/>
        </w:rPr>
        <w:t xml:space="preserve"/>
        <w:br w:clear="none"/>
      </w:r>
      <w:r>
        <w:t xml:space="preserve">&gt;&gt;</w:t>
        <w:br w:clear="none"/>
        <w:t xml:space="preserve">&gt;</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math</w:t>
        <w:br w:clear="none"/>
      </w:r>
      <w:r>
        <w:rPr>
          <w:rStyle w:val="Text6"/>
        </w:rPr>
        <w:t xml:space="preserve"/>
        <w:br w:clear="none"/>
      </w:r>
      <w:r>
        <w:t xml:space="preserve">&gt;&gt;</w:t>
        <w:br w:clear="none"/>
        <w:t xml:space="preserve">&gt;</w:t>
        <w:br w:clear="none"/>
      </w:r>
      <w:r>
        <w:rPr>
          <w:rStyle w:val="Text6"/>
        </w:rPr>
        <w:t xml:space="preserve"> </w:t>
        <w:br w:clear="none"/>
      </w:r>
      <w:r>
        <w:rPr>
          <w:rStyle w:val="Text10"/>
        </w:rPr>
        <w:t xml:space="preserve">from</w:t>
        <w:br w:clear="none"/>
      </w:r>
      <w:r>
        <w:rPr>
          <w:rStyle w:val="Text6"/>
        </w:rPr>
        <w:t xml:space="preserve"> </w:t>
        <w:br w:clear="none"/>
      </w:r>
      <w:r>
        <w:rPr>
          <w:rStyle w:val="Text20"/>
        </w:rPr>
        <w:t xml:space="preserve">decimal</w:t>
        <w:br w:clear="none"/>
      </w:r>
      <w:r>
        <w:rPr>
          <w:rStyle w:val="Text6"/>
        </w:rPr>
        <w:t xml:space="preserve"> </w:t>
        <w:br w:clear="none"/>
      </w:r>
      <w:r>
        <w:rPr>
          <w:rStyle w:val="Text10"/>
        </w:rPr>
        <w:t xml:space="preserve">import</w:t>
        <w:br w:clear="none"/>
      </w:r>
      <w:r>
        <w:rPr>
          <w:rStyle w:val="Text6"/>
        </w:rPr>
        <w:t xml:space="preserve"> </w:t>
        <w:br w:clear="none"/>
      </w:r>
      <w:r>
        <w:rPr>
          <w:rStyle w:val="Text9"/>
        </w:rPr>
        <w:t xml:space="preserve">Decimal</w:t>
        <w:br w:clear="none"/>
      </w:r>
      <w:r>
        <w:rPr>
          <w:rStyle w:val="Text6"/>
        </w:rPr>
        <w:t xml:space="preserve"/>
        <w:br w:clear="none"/>
      </w:r>
      <w:r>
        <w:t xml:space="preserve">&gt;&gt;</w:t>
        <w:br w:clear="none"/>
        <w:t xml:space="preserve">&gt;</w:t>
        <w:br w:clear="none"/>
      </w:r>
      <w:r>
        <w:rPr>
          <w:rStyle w:val="Text6"/>
        </w:rPr>
        <w:t xml:space="preserve"> </w:t>
        <w:br w:clear="none"/>
      </w:r>
      <w:r>
        <w:rPr>
          <w:rStyle w:val="Text9"/>
        </w:rPr>
        <w:t xml:space="preserve">a</w:t>
        <w:br w:clear="none"/>
      </w:r>
      <w:r>
        <w:rPr>
          <w:rStyle w:val="Text6"/>
        </w:rPr>
        <w:t xml:space="preserve"> </w:t>
        <w:br w:clear="none"/>
      </w:r>
      <w:r>
        <w:t xml:space="preserve">=</w:t>
        <w:br w:clear="none"/>
      </w:r>
      <w:r>
        <w:rPr>
          <w:rStyle w:val="Text6"/>
        </w:rPr>
        <w:t xml:space="preserve"> </w:t>
        <w:br w:clear="none"/>
      </w:r>
      <w:r>
        <w:rPr>
          <w:rStyle w:val="Text27"/>
        </w:rPr>
        <w:t xml:space="preserve">1.1</w:t>
        <w:br w:clear="none"/>
      </w:r>
      <w:r>
        <w:rPr>
          <w:rStyle w:val="Text6"/>
        </w:rPr>
        <w:t xml:space="preserve"/>
        <w:br w:clear="none"/>
      </w:r>
      <w:r>
        <w:t xml:space="preserve">&gt;&gt;</w:t>
        <w:br w:clear="none"/>
        <w:t xml:space="preserve">&gt;</w:t>
        <w:br w:clear="none"/>
      </w:r>
      <w:r>
        <w:rPr>
          <w:rStyle w:val="Text6"/>
        </w:rPr>
        <w:t xml:space="preserve"> </w:t>
        <w:br w:clear="none"/>
      </w:r>
      <w:r>
        <w:rPr>
          <w:rStyle w:val="Text9"/>
        </w:rPr>
        <w:t xml:space="preserve">d</w:t>
        <w:br w:clear="none"/>
      </w:r>
      <w:r>
        <w:rPr>
          <w:rStyle w:val="Text6"/>
        </w:rPr>
        <w:t xml:space="preserve"> </w:t>
        <w:br w:clear="none"/>
      </w:r>
      <w:r>
        <w:t xml:space="preserve">=</w:t>
        <w:br w:clear="none"/>
      </w:r>
      <w:r>
        <w:rPr>
          <w:rStyle w:val="Text6"/>
        </w:rPr>
        <w:t xml:space="preserve"> </w:t>
        <w:br w:clear="none"/>
      </w:r>
      <w:r>
        <w:rPr>
          <w:rStyle w:val="Text9"/>
        </w:rPr>
        <w:t xml:space="preserve">Decimal</w:t>
        <w:br w:clear="none"/>
      </w:r>
      <w:r>
        <w:rPr>
          <w:rStyle w:val="Text7"/>
        </w:rPr>
        <w:t xml:space="preserve">(</w:t>
        <w:br w:clear="none"/>
      </w:r>
      <w:r>
        <w:rPr>
          <w:rStyle w:val="Text8"/>
        </w:rPr>
        <w:t xml:space="preserve">'</w:t>
        <w:br w:clear="none"/>
        <w:t xml:space="preserve">1.1</w:t>
        <w:br w:clear="none"/>
        <w:t xml:space="preserve">'</w:t>
        <w:br w:clear="none"/>
      </w:r>
      <w:r>
        <w:rPr>
          <w:rStyle w:val="Text7"/>
        </w:rPr>
        <w:t xml:space="preserve">)</w:t>
        <w:br w:clear="none"/>
      </w:r>
      <w:r>
        <w:rPr>
          <w:rStyle w:val="Text6"/>
        </w:rPr>
        <w:t xml:space="preserve"/>
        <w:br w:clear="none"/>
      </w:r>
      <w:r>
        <w:t xml:space="preserve">&gt;&gt;</w:t>
        <w:br w:clear="none"/>
        <w:t xml:space="preserve">&gt;</w:t>
        <w:br w:clear="none"/>
      </w:r>
      <w:r>
        <w:rPr>
          <w:rStyle w:val="Text6"/>
        </w:rPr>
        <w:t xml:space="preserve"> </w:t>
        <w:br w:clear="none"/>
      </w:r>
      <w:r>
        <w:rPr>
          <w:rStyle w:val="Text9"/>
        </w:rPr>
        <w:t xml:space="preserve">a</w:t>
        <w:br w:clear="none"/>
      </w:r>
      <w:r>
        <w:rPr>
          <w:rStyle w:val="Text6"/>
        </w:rPr>
        <w:t xml:space="preserve"> </w:t>
        <w:br w:clear="none"/>
      </w:r>
      <w:r>
        <w:t xml:space="preserve">==</w:t>
        <w:br w:clear="none"/>
      </w:r>
      <w:r>
        <w:rPr>
          <w:rStyle w:val="Text6"/>
        </w:rPr>
        <w:t xml:space="preserve"> </w:t>
        <w:br w:clear="none"/>
      </w:r>
      <w:r>
        <w:rPr>
          <w:rStyle w:val="Text9"/>
        </w:rPr>
        <w:t xml:space="preserve">d</w:t>
        <w:br w:clear="none"/>
      </w:r>
    </w:p>
    <w:p>
      <w:pPr>
        <w:pStyle w:val="Para 008"/>
      </w:pPr>
      <w:r>
        <w:rPr>
          <w:rStyle w:val="Text48"/>
        </w:rPr>
        <w:t xml:space="preserve"/>
        <w:br w:clear="none"/>
      </w:r>
      <w:r>
        <w:t xml:space="preserve">False</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math</w:t>
        <w:br w:clear="none"/>
      </w:r>
      <w:r>
        <w:rPr>
          <w:rStyle w:val="Text13"/>
        </w:rPr>
        <w:t xml:space="preserve">.</w:t>
        <w:br w:clear="none"/>
      </w:r>
      <w:r>
        <w:t xml:space="preserve">isclose</w:t>
        <w:br w:clear="none"/>
      </w:r>
      <w:r>
        <w:rPr>
          <w:rStyle w:val="Text7"/>
        </w:rPr>
        <w:t xml:space="preserve">(</w:t>
        <w:br w:clear="none"/>
      </w:r>
      <w:r>
        <w:t xml:space="preserve">a</w:t>
        <w:br w:clear="none"/>
      </w:r>
      <w:r>
        <w:rPr>
          <w:rStyle w:val="Text7"/>
        </w:rPr>
        <w:t xml:space="preserve">,</w:t>
        <w:br w:clear="none"/>
      </w:r>
      <w:r>
        <w:rPr>
          <w:rStyle w:val="Text23"/>
        </w:rPr>
        <w:t xml:space="preserve"> </w:t>
        <w:br w:clear="none"/>
      </w:r>
      <w:r>
        <w:t xml:space="preserve">d</w:t>
        <w:br w:clear="none"/>
      </w:r>
      <w:r>
        <w:rPr>
          <w:rStyle w:val="Text7"/>
        </w:rPr>
        <w:t xml:space="preserve">)</w:t>
        <w:br w:clear="none"/>
      </w:r>
    </w:p>
    <w:p>
      <w:pPr>
        <w:pStyle w:val="Para 008"/>
      </w:pPr>
      <w:r>
        <w:rPr>
          <w:rStyle w:val="Text48"/>
        </w:rPr>
        <w:t xml:space="preserve"/>
        <w:br w:clear="none"/>
      </w:r>
      <w:r>
        <w:t xml:space="preserve">True</w:t>
        <w:br w:clear="none"/>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a</w:t>
        <w:br w:clear="none"/>
      </w:r>
      <w:r>
        <w:rPr>
          <w:rStyle w:val="Text23"/>
        </w:rPr>
        <w:t xml:space="preserve"> </w:t>
        <w:br w:clear="none"/>
      </w:r>
      <w:r>
        <w:t xml:space="preserve">+</w:t>
        <w:br w:clear="none"/>
      </w:r>
      <w:r>
        <w:rPr>
          <w:rStyle w:val="Text23"/>
        </w:rPr>
        <w:t xml:space="preserve"> </w:t>
        <w:br w:clear="none"/>
      </w:r>
      <w:r>
        <w:rPr>
          <w:rStyle w:val="Text9"/>
        </w:rPr>
        <w:t xml:space="preserve">d</w:t>
        <w:br w:clear="none"/>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"&lt;stdin&gt;", line 1, in &lt;module&gt;</w:t>
        <w:br w:clear="none"/>
      </w:r>
      <w:r>
        <w:rPr>
          <w:rStyle w:val="Text48"/>
        </w:rPr>
        <w:t xml:space="preserve"/>
        <w:br w:clear="none"/>
      </w:r>
      <w:r>
        <w:t xml:space="preserve">TypeError: unsupported operand type(s) for +: 'float' and</w:t>
        <w:br w:clear="none"/>
      </w:r>
      <w:r>
        <w:rPr>
          <w:rStyle w:val="Text48"/>
        </w:rPr>
        <w:t xml:space="preserve"> </w:t>
        <w:br w:clear="none"/>
      </w:r>
      <w:r>
        <w:t xml:space="preserve">'decimal.Decimal'</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d</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Decimal</w:t>
        <w:br w:clear="none"/>
      </w:r>
      <w:r>
        <w:rPr>
          <w:rStyle w:val="Text19"/>
        </w:rPr>
        <w:t xml:space="preserve">(</w:t>
        <w:br w:clear="none"/>
      </w:r>
      <w:r>
        <w:rPr>
          <w:rStyle w:val="Text14"/>
        </w:rPr>
        <w:t xml:space="preserve">a</w:t>
        <w:br w:clear="none"/>
      </w:r>
      <w:r>
        <w:rPr>
          <w:rStyle w:val="Text19"/>
        </w:rPr>
        <w:t xml:space="preserve">)</w:t>
        <w:br w:clear="none"/>
      </w:r>
      <w:r>
        <w:rPr>
          <w:rStyle w:val="Text11"/>
        </w:rPr>
        <w:t xml:space="preserve"> </w:t>
        <w:br w:clear="none"/>
      </w:r>
      <w:r>
        <w:t xml:space="preserve"># new decimal constructed from 'a'</w:t>
        <w:br w:clear="none"/>
      </w:r>
    </w:p>
    <w:p>
      <w:pPr>
        <w:pStyle w:val="Para 008"/>
      </w:pPr>
      <w:r>
        <w:rPr>
          <w:rStyle w:val="Text48"/>
        </w:rPr>
        <w:t xml:space="preserve"/>
        <w:br w:clear="none"/>
      </w:r>
      <w:r>
        <w:t xml:space="preserve">Decimal('2.200000000000000088817841970')</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d</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Decimal</w:t>
        <w:br w:clear="none"/>
      </w:r>
      <w:r>
        <w:rPr>
          <w:rStyle w:val="Text19"/>
        </w:rPr>
        <w:t xml:space="preserve">(</w:t>
        <w:br w:clear="none"/>
      </w:r>
      <w:r>
        <w:rPr>
          <w:rStyle w:val="Text21"/>
        </w:rPr>
        <w:t xml:space="preserve">str</w:t>
        <w:br w:clear="none"/>
      </w:r>
      <w:r>
        <w:rPr>
          <w:rStyle w:val="Text19"/>
        </w:rPr>
        <w:t xml:space="preserve">(</w:t>
        <w:br w:clear="none"/>
      </w:r>
      <w:r>
        <w:rPr>
          <w:rStyle w:val="Text14"/>
        </w:rPr>
        <w:t xml:space="preserve">a</w:t>
        <w:br w:clear="none"/>
      </w:r>
      <w:r>
        <w:rPr>
          <w:rStyle w:val="Text19"/>
        </w:rPr>
        <w:t xml:space="preserve">)</w:t>
        <w:br w:clear="none"/>
        <w:t xml:space="preserve">)</w:t>
        <w:br w:clear="none"/>
      </w:r>
      <w:r>
        <w:rPr>
          <w:rStyle w:val="Text11"/>
        </w:rPr>
        <w:t xml:space="preserve"> </w:t>
        <w:br w:clear="none"/>
      </w:r>
      <w:r>
        <w:t xml:space="preserve"># convert 'a' to decimal with str(a)</w:t>
        <w:br w:clear="none"/>
      </w:r>
    </w:p>
    <w:p>
      <w:pPr>
        <w:pStyle w:val="Para 008"/>
      </w:pPr>
      <w:r>
        <w:rPr>
          <w:rStyle w:val="Text48"/>
        </w:rPr>
        <w:t xml:space="preserve"/>
        <w:br w:clear="none"/>
      </w:r>
      <w:r>
        <w:t xml:space="preserve">Decimal('2.20')</w:t>
        <w:br w:clear="none"/>
      </w:r>
    </w:p>
    <w:p>
      <w:pPr>
        <w:pStyle w:val="Normal"/>
      </w:pPr>
      <w:r>
        <w:t xml:space="preserve">The </w:t>
      </w:r>
      <w:hyperlink r:id="rId472">
        <w:r>
          <w:rPr>
            <w:rStyle w:val="Text1"/>
          </w:rPr>
          <w:t>online docs</w:t>
        </w:r>
      </w:hyperlink>
      <w:r>
        <w:t xml:space="preserve"> include useful </w:t>
      </w:r>
      <w:hyperlink r:id="rId473">
        <w:r>
          <w:rPr>
            <w:rStyle w:val="Text1"/>
          </w:rPr>
          <w:t>recipes</w:t>
        </w:r>
      </w:hyperlink>
      <w:r>
        <w:t xml:space="preserve"> for</w:t>
      </w:r>
      <w:r>
        <w:rPr>
          <w:rStyle w:val="Text111"/>
        </w:rPr>
        <w:bookmarkStart w:id="3632" w:name="idm45965185584016"/>
        <w:t/>
        <w:bookmarkEnd w:id="3632"/>
        <w:bookmarkStart w:id="3633" w:name="idm45965185582880"/>
        <w:t/>
        <w:bookmarkEnd w:id="3633"/>
      </w:r>
      <w:r>
        <w:t xml:space="preserve"> monetary formatting, some trigonometric functions, and a list of FAQs.</w:t>
      </w:r>
      <w:r>
        <w:rPr>
          <w:rStyle w:val="Text111"/>
        </w:rPr>
        <w:bookmarkStart w:id="3634" w:name="idm45965185581648"/>
        <w:t/>
        <w:bookmarkEnd w:id="3634"/>
        <w:bookmarkStart w:id="3635" w:name="idm45965185580272"/>
        <w:t/>
        <w:bookmarkEnd w:id="3635"/>
      </w:r>
    </w:p>
    <w:p>
      <w:bookmarkStart w:id="3636" w:name="Array_Processing__You_can_repres"/>
      <w:pPr>
        <w:keepNext/>
        <w:pStyle w:val="Heading 1"/>
      </w:pPr>
      <w:r>
        <w:t>Array Processing</w:t>
      </w:r>
      <w:bookmarkEnd w:id="3636"/>
    </w:p>
    <w:p>
      <w:pPr>
        <w:pStyle w:val="Normal"/>
      </w:pPr>
      <w:r>
        <w:t>You</w:t>
      </w:r>
      <w:r>
        <w:rPr>
          <w:rStyle w:val="Text111"/>
        </w:rPr>
        <w:bookmarkStart w:id="3637" w:name="NParray16"/>
        <w:t/>
        <w:bookmarkEnd w:id="3637"/>
        <w:bookmarkStart w:id="3638" w:name="arpro16"/>
        <w:t/>
        <w:bookmarkEnd w:id="3638"/>
      </w:r>
      <w:r>
        <w:t xml:space="preserve"> can represent what most languages call arrays, or vectors, with lists (covered in </w:t>
      </w:r>
      <w:hyperlink w:anchor="Lists__A_list_is_a_mutable_order">
        <w:r>
          <w:rPr>
            <w:rStyle w:val="Text1"/>
          </w:rPr>
          <w:t>“Lists”</w:t>
        </w:r>
      </w:hyperlink>
      <w:r>
        <w:t xml:space="preserve">), as well as with the </w:t>
      </w:r>
      <w:r>
        <w:rPr>
          <w:rStyle w:val="Text0"/>
        </w:rPr>
        <w:t>array</w:t>
      </w:r>
      <w:r>
        <w:t xml:space="preserve"> standard library module (covered in the following subsection). You can manipulate arrays with loops, indexing and slicing, list comprehensions, iterators, generators, and genexps (all covered in </w:t>
      </w:r>
      <w:hyperlink w:anchor="Chapter_3__The_Python_Language_2">
        <w:r>
          <w:rPr>
            <w:rStyle w:val="Text1"/>
          </w:rPr>
          <w:t>Chapter 3</w:t>
        </w:r>
      </w:hyperlink>
      <w:r>
        <w:t xml:space="preserve">); built-ins such as </w:t>
      </w:r>
      <w:r>
        <w:rPr>
          <w:rStyle w:val="Text0"/>
        </w:rPr>
        <w:t>map</w:t>
      </w:r>
      <w:r>
        <w:t xml:space="preserve">, </w:t>
      </w:r>
      <w:r>
        <w:rPr>
          <w:rStyle w:val="Text0"/>
        </w:rPr>
        <w:t>reduce</w:t>
      </w:r>
      <w:r>
        <w:t xml:space="preserve">, and </w:t>
      </w:r>
      <w:r>
        <w:rPr>
          <w:rStyle w:val="Text0"/>
        </w:rPr>
        <w:t>filter</w:t>
      </w:r>
      <w:r>
        <w:t xml:space="preserve"> (all covered in </w:t>
      </w:r>
      <w:hyperlink w:anchor="Built_in_Functions__Table_8_2_co">
        <w:r>
          <w:rPr>
            <w:rStyle w:val="Text1"/>
          </w:rPr>
          <w:t>“Built-in Functions”</w:t>
        </w:r>
      </w:hyperlink>
      <w:r>
        <w:t xml:space="preserve">); and standard library modules such as </w:t>
      </w:r>
      <w:r>
        <w:rPr>
          <w:rStyle w:val="Text0"/>
        </w:rPr>
        <w:t>itertools</w:t>
      </w:r>
      <w:r>
        <w:t xml:space="preserve"> (covered in </w:t>
      </w:r>
      <w:hyperlink w:anchor="The_itertools_Module__The_iterto">
        <w:r>
          <w:rPr>
            <w:rStyle w:val="Text1"/>
          </w:rPr>
          <w:t>“The itertools Module”</w:t>
        </w:r>
      </w:hyperlink>
      <w:r>
        <w:t xml:space="preserve">). If you only need a lightweight, one-dimensional array of instances of a simple type, stick with </w:t>
      </w:r>
      <w:r>
        <w:rPr>
          <w:rStyle w:val="Text0"/>
        </w:rPr>
        <w:t>array</w:t>
      </w:r>
      <w:r>
        <w:t xml:space="preserve">. However, to process large arrays of numbers, such functions may be slower and less convenient than third-party extensions such as NumPy and SciPy (covered in </w:t>
      </w:r>
      <w:hyperlink w:anchor="Extensions_for_Numeric_Array_Com">
        <w:r>
          <w:rPr>
            <w:rStyle w:val="Text1"/>
          </w:rPr>
          <w:t>“Extensions for Numeric Array Computation”</w:t>
        </w:r>
      </w:hyperlink>
      <w:r>
        <w:t>). When you’re doing data analysis and modeling, Pandas, which is built on top of NumPy (but not discussed in this book), might be most suitable.</w:t>
      </w:r>
    </w:p>
    <w:p>
      <w:bookmarkStart w:id="3639" w:name="The_array_Module__The_array_modu"/>
      <w:pPr>
        <w:keepNext/>
        <w:pStyle w:val="Heading 2"/>
      </w:pPr>
      <w:r>
        <w:t>The array Module</w:t>
      </w:r>
      <w:bookmarkEnd w:id="3639"/>
    </w:p>
    <w:p>
      <w:pPr>
        <w:pStyle w:val="Normal"/>
      </w:pPr>
      <w:r>
        <w:t>The</w:t>
      </w:r>
      <w:r>
        <w:rPr>
          <w:rStyle w:val="Text111"/>
        </w:rPr>
        <w:bookmarkStart w:id="3640" w:name="idm45965185540464"/>
        <w:t/>
        <w:bookmarkEnd w:id="3640"/>
      </w:r>
      <w:r>
        <w:t xml:space="preserve"> </w:t>
      </w:r>
      <w:r>
        <w:rPr>
          <w:rStyle w:val="Text0"/>
        </w:rPr>
        <w:t>array</w:t>
      </w:r>
      <w:r>
        <w:t xml:space="preserve"> module supplies a type, also called </w:t>
      </w:r>
      <w:r>
        <w:rPr>
          <w:rStyle w:val="Text0"/>
        </w:rPr>
        <w:t>array</w:t>
      </w:r>
      <w:r>
        <w:t xml:space="preserve">, whose instances are mutable sequences, like lists. An </w:t>
      </w:r>
      <w:r>
        <w:rPr>
          <w:rStyle w:val="Text0"/>
        </w:rPr>
        <w:t>array</w:t>
      </w:r>
      <w:r>
        <w:t xml:space="preserve"> </w:t>
      </w:r>
      <w:r>
        <w:rPr>
          <w:rStyle w:val="Text3"/>
        </w:rPr>
        <w:t>a</w:t>
      </w:r>
      <w:r>
        <w:t xml:space="preserve"> is a one-dimensional sequence whose items can be only characters, or only numbers of one specific numeric type, fixed when you create </w:t>
      </w:r>
      <w:r>
        <w:rPr>
          <w:rStyle w:val="Text3"/>
        </w:rPr>
        <w:t>a</w:t>
      </w:r>
      <w:r>
        <w:t xml:space="preserve">. The constructor for </w:t>
      </w:r>
      <w:r>
        <w:rPr>
          <w:rStyle w:val="Text0"/>
        </w:rPr>
        <w:t>array</w:t>
      </w:r>
      <w:r>
        <w:t xml:space="preserve"> is:</w:t>
      </w:r>
    </w:p>
    <w:tbl>
      <w:tblPr>
        <w:tblW w:type="auto" w:w="0"/>
      </w:tblPr>
      <w:tr>
        <w:tc>
          <w:tcPr>
            <w:tcW w:type="auto" w:w="0"/>
            <w:tcMar>
              <w:left w:type="dxa" w:w="200"/>
              <w:top w:type="dxa" w:w="200"/>
              <w:right w:type="dxa" w:w="200"/>
              <w:bottom w:type="dxa" w:w="200"/>
            </w:tcMar>
          </w:tcPr>
          <w:p>
            <w:pPr>
              <w:pStyle w:val="Para 119"/>
            </w:pPr>
            <w:r>
              <w:t/>
            </w:r>
          </w:p>
          <w:p>
            <w:pPr>
              <w:pStyle w:val="Para 001"/>
            </w:pPr>
            <w:r>
              <w:t>array</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array(</w:t>
            </w:r>
            <w:r>
              <w:rPr>
                <w:rStyle w:val="Text3"/>
              </w:rPr>
              <w:t>typecode, init</w:t>
            </w:r>
            <w:r>
              <w:rPr>
                <w:rStyle w:val="Text0"/>
              </w:rPr>
              <w:t>='', /)</w:t>
              <w:br w:clear="none"/>
            </w:r>
            <w:r>
              <w:t xml:space="preserve"> Creates and returns an </w:t>
            </w:r>
            <w:r>
              <w:rPr>
                <w:rStyle w:val="Text0"/>
              </w:rPr>
              <w:t>array</w:t>
            </w:r>
            <w:r>
              <w:t xml:space="preserve"> object </w:t>
            </w:r>
            <w:r>
              <w:rPr>
                <w:rStyle w:val="Text3"/>
              </w:rPr>
              <w:t>a</w:t>
            </w:r>
            <w:r>
              <w:t xml:space="preserve"> with the given </w:t>
            </w:r>
            <w:r>
              <w:rPr>
                <w:rStyle w:val="Text3"/>
              </w:rPr>
              <w:t>typecode</w:t>
            </w:r>
            <w:r>
              <w:rPr>
                <w:rStyle w:val="Text4"/>
              </w:rPr>
              <w:t>.</w:t>
            </w:r>
            <w:r>
              <w:t xml:space="preserve"> </w:t>
            </w:r>
            <w:r>
              <w:rPr>
                <w:rStyle w:val="Text3"/>
              </w:rPr>
              <w:t>init</w:t>
            </w:r>
            <w:r>
              <w:t xml:space="preserve"> can be a string (a bytestring, except for </w:t>
            </w:r>
            <w:r>
              <w:rPr>
                <w:rStyle w:val="Text3"/>
              </w:rPr>
              <w:t>typecode</w:t>
            </w:r>
            <w:r>
              <w:t xml:space="preserve"> </w:t>
            </w:r>
            <w:r>
              <w:rPr>
                <w:rStyle w:val="Text0"/>
              </w:rPr>
              <w:t>'u'</w:t>
            </w:r>
            <w:r>
              <w:t xml:space="preserve">) whose length is a multiple of </w:t>
            </w:r>
            <w:r>
              <w:rPr>
                <w:rStyle w:val="Text0"/>
              </w:rPr>
              <w:t>itemsize</w:t>
            </w:r>
            <w:r>
              <w:t xml:space="preserve">: the string’s bytes, interpreted as machine values, directly initialize </w:t>
            </w:r>
            <w:r>
              <w:rPr>
                <w:rStyle w:val="Text3"/>
              </w:rPr>
              <w:t>a</w:t>
            </w:r>
            <w:r>
              <w:t xml:space="preserve">’s items. Alternatively, </w:t>
            </w:r>
            <w:r>
              <w:rPr>
                <w:rStyle w:val="Text3"/>
              </w:rPr>
              <w:t>init</w:t>
            </w:r>
            <w:r>
              <w:t xml:space="preserve"> can be an iterable (of characters when </w:t>
            </w:r>
            <w:r>
              <w:rPr>
                <w:rStyle w:val="Text3"/>
              </w:rPr>
              <w:t>typecode</w:t>
            </w:r>
            <w:r>
              <w:t xml:space="preserve"> is </w:t>
            </w:r>
            <w:r>
              <w:rPr>
                <w:rStyle w:val="Text0"/>
              </w:rPr>
              <w:t>'u'</w:t>
            </w:r>
            <w:r>
              <w:t xml:space="preserve">, otherwise of numbers): each item of the iterable initializes one item of </w:t>
            </w:r>
            <w:r>
              <w:rPr>
                <w:rStyle w:val="Text3"/>
              </w:rPr>
              <w:t>a</w:t>
            </w:r>
            <w:r>
              <w:t>.</w:t>
            </w:r>
          </w:p>
        </w:tc>
      </w:tr>
    </w:tbl>
    <w:p>
      <w:pPr>
        <w:pStyle w:val="Normal"/>
      </w:pPr>
      <w:r>
        <w:rPr>
          <w:rStyle w:val="Text0"/>
        </w:rPr>
        <w:t>array.array</w:t>
      </w:r>
      <w:r>
        <w:t xml:space="preserve">’s advantage is that, compared to a list, it can save memory when you need to hold a sequence of objects all of the same (numeric or character) type. An </w:t>
      </w:r>
      <w:r>
        <w:rPr>
          <w:rStyle w:val="Text0"/>
        </w:rPr>
        <w:t>array</w:t>
      </w:r>
      <w:r>
        <w:t xml:space="preserve"> object </w:t>
      </w:r>
      <w:r>
        <w:rPr>
          <w:rStyle w:val="Text3"/>
        </w:rPr>
        <w:t>a</w:t>
      </w:r>
      <w:r>
        <w:t xml:space="preserve"> has a one-character, read-only attribute </w:t>
      </w:r>
      <w:r>
        <w:rPr>
          <w:rStyle w:val="Text3"/>
        </w:rPr>
        <w:t>a</w:t>
      </w:r>
      <w:r>
        <w:rPr>
          <w:rStyle w:val="Text0"/>
        </w:rPr>
        <w:t>.typecode</w:t>
      </w:r>
      <w:r>
        <w:t xml:space="preserve">, set on creation, which specifies the type of </w:t>
      </w:r>
      <w:r>
        <w:rPr>
          <w:rStyle w:val="Text3"/>
        </w:rPr>
        <w:t>a</w:t>
      </w:r>
      <w:r>
        <w:t xml:space="preserve">’s items. </w:t>
      </w:r>
      <w:hyperlink w:anchor="Table_16_7__Type_codes_for_the_a">
        <w:r>
          <w:rPr>
            <w:rStyle w:val="Text1"/>
          </w:rPr>
          <w:t>Table 16-7</w:t>
        </w:r>
      </w:hyperlink>
      <w:r>
        <w:t xml:space="preserve"> shows</w:t>
      </w:r>
      <w:r>
        <w:rPr>
          <w:rStyle w:val="Text111"/>
        </w:rPr>
        <w:bookmarkStart w:id="3641" w:name="idm45965185513632"/>
        <w:t/>
        <w:bookmarkEnd w:id="3641"/>
      </w:r>
      <w:r>
        <w:t xml:space="preserve"> the possible </w:t>
      </w:r>
      <w:r>
        <w:rPr>
          <w:rStyle w:val="Text0"/>
        </w:rPr>
        <w:t>typecode</w:t>
      </w:r>
      <w:r>
        <w:t xml:space="preserve"> values for </w:t>
      </w:r>
      <w:r>
        <w:rPr>
          <w:rStyle w:val="Text0"/>
        </w:rPr>
        <w:t>array</w:t>
      </w:r>
      <w:r>
        <w:t>.</w:t>
      </w:r>
    </w:p>
    <w:tbl>
      <w:tblPr>
        <w:tblW w:type="auto" w:w="0"/>
      </w:tblPr>
      <w:tr>
        <w:tc>
          <w:tcPr>
            <w:tcW w:type="auto" w:w="0"/>
            <w:tcMar>
              <w:left w:type="dxa" w:w="200"/>
              <w:top w:type="dxa" w:w="200"/>
              <w:right w:type="dxa" w:w="200"/>
              <w:bottom w:type="dxa" w:w="200"/>
            </w:tcMar>
            <w:vAlign w:val="center"/>
          </w:tcPr>
          <w:p>
            <w:bookmarkStart w:id="3642" w:name="Table_16_7__Type_codes_for_the_a"/>
            <w:pPr>
              <w:pStyle w:val="Para 011"/>
            </w:pPr>
            <w:r>
              <w:rPr>
                <w:rStyle w:val="Text117"/>
              </w:rPr>
              <w:t/>
            </w:r>
            <w:r>
              <w:t xml:space="preserve">Table 16-7. </w:t>
              <w:t xml:space="preserve">Type codes for the </w:t>
            </w:r>
            <w:r>
              <w:rPr>
                <w:rStyle w:val="Text0"/>
              </w:rPr>
              <w:t>array</w:t>
            </w:r>
            <w:r>
              <w:t xml:space="preserve"> module</w:t>
            </w:r>
            <w:bookmarkEnd w:id="3642"/>
          </w:p>
          <w:p>
            <w:pPr>
              <w:pStyle w:val="Para 013"/>
            </w:pPr>
            <w:r>
              <w:t>typecode</w:t>
            </w:r>
          </w:p>
        </w:tc>
        <w:tc>
          <w:tcPr>
            <w:tcW w:type="auto" w:w="0"/>
            <w:tcMar>
              <w:left w:type="dxa" w:w="200"/>
              <w:top w:type="dxa" w:w="200"/>
              <w:right w:type="dxa" w:w="200"/>
              <w:bottom w:type="dxa" w:w="200"/>
            </w:tcMar>
            <w:vAlign w:val="center"/>
          </w:tcPr>
          <w:p>
            <w:pPr>
              <w:pStyle w:val="Para 013"/>
            </w:pPr>
            <w:r>
              <w:t>C type</w:t>
            </w:r>
          </w:p>
        </w:tc>
        <w:tc>
          <w:tcPr>
            <w:tcW w:type="auto" w:w="0"/>
            <w:tcMar>
              <w:left w:type="dxa" w:w="200"/>
              <w:top w:type="dxa" w:w="200"/>
              <w:right w:type="dxa" w:w="200"/>
              <w:bottom w:type="dxa" w:w="200"/>
            </w:tcMar>
            <w:vAlign w:val="center"/>
          </w:tcPr>
          <w:p>
            <w:pPr>
              <w:pStyle w:val="Para 013"/>
            </w:pPr>
            <w:r>
              <w:t>Python type</w:t>
            </w:r>
          </w:p>
        </w:tc>
        <w:tc>
          <w:tcPr>
            <w:tcW w:type="auto" w:w="0"/>
            <w:tcMar>
              <w:left w:type="dxa" w:w="200"/>
              <w:top w:type="dxa" w:w="200"/>
              <w:right w:type="dxa" w:w="200"/>
              <w:bottom w:type="dxa" w:w="200"/>
            </w:tcMar>
            <w:vAlign w:val="center"/>
          </w:tcPr>
          <w:p>
            <w:pPr>
              <w:pStyle w:val="Para 013"/>
            </w:pPr>
            <w:r>
              <w:t>Minimum size</w:t>
            </w:r>
          </w:p>
        </w:tc>
      </w:tr>
    </w:tbl>
    <w:tbl>
      <w:tblPr>
        <w:tblW w:type="auto" w:w="0"/>
      </w:tblPr>
      <w:tr>
        <w:tc>
          <w:tcPr>
            <w:tcW w:type="auto" w:w="0"/>
            <w:tcMar>
              <w:left w:type="dxa" w:w="200"/>
              <w:top w:type="dxa" w:w="200"/>
              <w:right w:type="dxa" w:w="200"/>
              <w:bottom w:type="dxa" w:w="200"/>
            </w:tcMar>
          </w:tcPr>
          <w:p>
            <w:pPr>
              <w:pStyle w:val="Para 001"/>
            </w:pPr>
            <w:r>
              <w:t>'b'</w:t>
            </w:r>
          </w:p>
        </w:tc>
        <w:tc>
          <w:tcPr>
            <w:tcW w:type="auto" w:w="0"/>
            <w:tcMar>
              <w:left w:type="dxa" w:w="200"/>
              <w:top w:type="dxa" w:w="200"/>
              <w:right w:type="dxa" w:w="200"/>
              <w:bottom w:type="dxa" w:w="200"/>
            </w:tcMar>
          </w:tcPr>
          <w:p>
            <w:pPr>
              <w:pStyle w:val="Para 001"/>
            </w:pPr>
            <w:r>
              <w:t>char</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1 byte</w:t>
            </w:r>
          </w:p>
        </w:tc>
      </w:tr>
    </w:tbl>
    <w:tbl>
      <w:tblPr>
        <w:tblW w:type="auto" w:w="0"/>
      </w:tblPr>
      <w:tr>
        <w:tc>
          <w:tcPr>
            <w:tcW w:type="auto" w:w="0"/>
            <w:shd w:val="clear" w:color="auto" w:fill="EEF2F6"/>
            <w:tcMar>
              <w:left w:type="dxa" w:w="200"/>
              <w:top w:type="dxa" w:w="200"/>
              <w:right w:type="dxa" w:w="200"/>
              <w:bottom w:type="dxa" w:w="200"/>
            </w:tcMar>
          </w:tcPr>
          <w:p>
            <w:pPr>
              <w:pStyle w:val="Para 001"/>
            </w:pPr>
            <w:r>
              <w:t>'B'</w:t>
            </w:r>
          </w:p>
        </w:tc>
        <w:tc>
          <w:tcPr>
            <w:tcW w:type="auto" w:w="0"/>
            <w:shd w:val="clear" w:color="auto" w:fill="EEF2F6"/>
            <w:tcMar>
              <w:left w:type="dxa" w:w="200"/>
              <w:top w:type="dxa" w:w="200"/>
              <w:right w:type="dxa" w:w="200"/>
              <w:bottom w:type="dxa" w:w="200"/>
            </w:tcMar>
          </w:tcPr>
          <w:p>
            <w:pPr>
              <w:pStyle w:val="Para 001"/>
            </w:pPr>
            <w:r>
              <w:t>unsigned char</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1 byte</w:t>
            </w:r>
          </w:p>
        </w:tc>
      </w:tr>
    </w:tbl>
    <w:tbl>
      <w:tblPr>
        <w:tblW w:type="auto" w:w="0"/>
      </w:tblPr>
      <w:tr>
        <w:tc>
          <w:tcPr>
            <w:tcW w:type="auto" w:w="0"/>
            <w:tcMar>
              <w:left w:type="dxa" w:w="200"/>
              <w:top w:type="dxa" w:w="200"/>
              <w:right w:type="dxa" w:w="200"/>
              <w:bottom w:type="dxa" w:w="200"/>
            </w:tcMar>
          </w:tcPr>
          <w:p>
            <w:pPr>
              <w:pStyle w:val="Para 001"/>
            </w:pPr>
            <w:r>
              <w:t>'u'</w:t>
            </w:r>
          </w:p>
        </w:tc>
        <w:tc>
          <w:tcPr>
            <w:tcW w:type="auto" w:w="0"/>
            <w:tcMar>
              <w:left w:type="dxa" w:w="200"/>
              <w:top w:type="dxa" w:w="200"/>
              <w:right w:type="dxa" w:w="200"/>
              <w:bottom w:type="dxa" w:w="200"/>
            </w:tcMar>
          </w:tcPr>
          <w:p>
            <w:pPr>
              <w:pStyle w:val="Para 001"/>
            </w:pPr>
            <w:r>
              <w:t>unicode char</w:t>
            </w:r>
          </w:p>
        </w:tc>
        <w:tc>
          <w:tcPr>
            <w:tcW w:type="auto" w:w="0"/>
            <w:tcMar>
              <w:left w:type="dxa" w:w="200"/>
              <w:top w:type="dxa" w:w="200"/>
              <w:right w:type="dxa" w:w="200"/>
              <w:bottom w:type="dxa" w:w="200"/>
            </w:tcMar>
          </w:tcPr>
          <w:p>
            <w:pPr>
              <w:pStyle w:val="Para 001"/>
            </w:pPr>
            <w:r>
              <w:t>str (length 1)</w:t>
            </w:r>
          </w:p>
        </w:tc>
        <w:tc>
          <w:tcPr>
            <w:tcW w:type="auto" w:w="0"/>
            <w:tcMar>
              <w:left w:type="dxa" w:w="200"/>
              <w:top w:type="dxa" w:w="200"/>
              <w:right w:type="dxa" w:w="200"/>
              <w:bottom w:type="dxa" w:w="200"/>
            </w:tcMar>
          </w:tcPr>
          <w:p>
            <w:pPr>
              <w:pStyle w:val="Para 002"/>
            </w:pPr>
            <w:r>
              <w:t>See note</w:t>
            </w:r>
          </w:p>
        </w:tc>
      </w:tr>
    </w:tbl>
    <w:tbl>
      <w:tblPr>
        <w:tblW w:type="auto" w:w="0"/>
      </w:tblPr>
      <w:tr>
        <w:tc>
          <w:tcPr>
            <w:tcW w:type="auto" w:w="0"/>
            <w:shd w:val="clear" w:color="auto" w:fill="EEF2F6"/>
            <w:tcMar>
              <w:left w:type="dxa" w:w="200"/>
              <w:top w:type="dxa" w:w="200"/>
              <w:right w:type="dxa" w:w="200"/>
              <w:bottom w:type="dxa" w:w="200"/>
            </w:tcMar>
          </w:tcPr>
          <w:p>
            <w:pPr>
              <w:pStyle w:val="Para 001"/>
            </w:pPr>
            <w:r>
              <w:t>'h'</w:t>
            </w:r>
          </w:p>
        </w:tc>
        <w:tc>
          <w:tcPr>
            <w:tcW w:type="auto" w:w="0"/>
            <w:shd w:val="clear" w:color="auto" w:fill="EEF2F6"/>
            <w:tcMar>
              <w:left w:type="dxa" w:w="200"/>
              <w:top w:type="dxa" w:w="200"/>
              <w:right w:type="dxa" w:w="200"/>
              <w:bottom w:type="dxa" w:w="200"/>
            </w:tcMar>
          </w:tcPr>
          <w:p>
            <w:pPr>
              <w:pStyle w:val="Para 001"/>
            </w:pPr>
            <w:r>
              <w:t>short</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2 bytes</w:t>
            </w:r>
          </w:p>
        </w:tc>
      </w:tr>
    </w:tbl>
    <w:tbl>
      <w:tblPr>
        <w:tblW w:type="auto" w:w="0"/>
      </w:tblPr>
      <w:tr>
        <w:tc>
          <w:tcPr>
            <w:tcW w:type="auto" w:w="0"/>
            <w:tcMar>
              <w:left w:type="dxa" w:w="200"/>
              <w:top w:type="dxa" w:w="200"/>
              <w:right w:type="dxa" w:w="200"/>
              <w:bottom w:type="dxa" w:w="200"/>
            </w:tcMar>
          </w:tcPr>
          <w:p>
            <w:pPr>
              <w:pStyle w:val="Para 001"/>
            </w:pPr>
            <w:r>
              <w:t>'H'</w:t>
            </w:r>
          </w:p>
        </w:tc>
        <w:tc>
          <w:tcPr>
            <w:tcW w:type="auto" w:w="0"/>
            <w:tcMar>
              <w:left w:type="dxa" w:w="200"/>
              <w:top w:type="dxa" w:w="200"/>
              <w:right w:type="dxa" w:w="200"/>
              <w:bottom w:type="dxa" w:w="200"/>
            </w:tcMar>
          </w:tcPr>
          <w:p>
            <w:pPr>
              <w:pStyle w:val="Para 001"/>
            </w:pPr>
            <w:r>
              <w:t>unsigned short</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2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'i'</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2 bytes</w:t>
            </w:r>
          </w:p>
        </w:tc>
      </w:tr>
    </w:tbl>
    <w:tbl>
      <w:tblPr>
        <w:tblW w:type="auto" w:w="0"/>
      </w:tblPr>
      <w:tr>
        <w:tc>
          <w:tcPr>
            <w:tcW w:type="auto" w:w="0"/>
            <w:tcMar>
              <w:left w:type="dxa" w:w="200"/>
              <w:top w:type="dxa" w:w="200"/>
              <w:right w:type="dxa" w:w="200"/>
              <w:bottom w:type="dxa" w:w="200"/>
            </w:tcMar>
          </w:tcPr>
          <w:p>
            <w:pPr>
              <w:pStyle w:val="Para 001"/>
            </w:pPr>
            <w:r>
              <w:t>'I'</w:t>
            </w:r>
          </w:p>
        </w:tc>
        <w:tc>
          <w:tcPr>
            <w:tcW w:type="auto" w:w="0"/>
            <w:tcMar>
              <w:left w:type="dxa" w:w="200"/>
              <w:top w:type="dxa" w:w="200"/>
              <w:right w:type="dxa" w:w="200"/>
              <w:bottom w:type="dxa" w:w="200"/>
            </w:tcMar>
          </w:tcPr>
          <w:p>
            <w:pPr>
              <w:pStyle w:val="Para 001"/>
            </w:pPr>
            <w:r>
              <w:t>unsigned int</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2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'l'</w:t>
            </w:r>
          </w:p>
        </w:tc>
        <w:tc>
          <w:tcPr>
            <w:tcW w:type="auto" w:w="0"/>
            <w:shd w:val="clear" w:color="auto" w:fill="EEF2F6"/>
            <w:tcMar>
              <w:left w:type="dxa" w:w="200"/>
              <w:top w:type="dxa" w:w="200"/>
              <w:right w:type="dxa" w:w="200"/>
              <w:bottom w:type="dxa" w:w="200"/>
            </w:tcMar>
          </w:tcPr>
          <w:p>
            <w:pPr>
              <w:pStyle w:val="Para 001"/>
            </w:pPr>
            <w:r>
              <w:t>long</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4 bytes</w:t>
            </w:r>
          </w:p>
        </w:tc>
      </w:tr>
    </w:tbl>
    <w:tbl>
      <w:tblPr>
        <w:tblW w:type="auto" w:w="0"/>
      </w:tblPr>
      <w:tr>
        <w:tc>
          <w:tcPr>
            <w:tcW w:type="auto" w:w="0"/>
            <w:tcMar>
              <w:left w:type="dxa" w:w="200"/>
              <w:top w:type="dxa" w:w="200"/>
              <w:right w:type="dxa" w:w="200"/>
              <w:bottom w:type="dxa" w:w="200"/>
            </w:tcMar>
          </w:tcPr>
          <w:p>
            <w:pPr>
              <w:pStyle w:val="Para 001"/>
            </w:pPr>
            <w:r>
              <w:t>'L'</w:t>
            </w:r>
          </w:p>
        </w:tc>
        <w:tc>
          <w:tcPr>
            <w:tcW w:type="auto" w:w="0"/>
            <w:tcMar>
              <w:left w:type="dxa" w:w="200"/>
              <w:top w:type="dxa" w:w="200"/>
              <w:right w:type="dxa" w:w="200"/>
              <w:bottom w:type="dxa" w:w="200"/>
            </w:tcMar>
          </w:tcPr>
          <w:p>
            <w:pPr>
              <w:pStyle w:val="Para 001"/>
            </w:pPr>
            <w:r>
              <w:t>unsigned long</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4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'q'</w:t>
            </w:r>
          </w:p>
        </w:tc>
        <w:tc>
          <w:tcPr>
            <w:tcW w:type="auto" w:w="0"/>
            <w:shd w:val="clear" w:color="auto" w:fill="EEF2F6"/>
            <w:tcMar>
              <w:left w:type="dxa" w:w="200"/>
              <w:top w:type="dxa" w:w="200"/>
              <w:right w:type="dxa" w:w="200"/>
              <w:bottom w:type="dxa" w:w="200"/>
            </w:tcMar>
          </w:tcPr>
          <w:p>
            <w:pPr>
              <w:pStyle w:val="Para 001"/>
            </w:pPr>
            <w:r>
              <w:t>long long</w:t>
            </w:r>
          </w:p>
        </w:tc>
        <w:tc>
          <w:tcPr>
            <w:tcW w:type="auto" w:w="0"/>
            <w:shd w:val="clear" w:color="auto" w:fill="EEF2F6"/>
            <w:tcMar>
              <w:left w:type="dxa" w:w="200"/>
              <w:top w:type="dxa" w:w="200"/>
              <w:right w:type="dxa" w:w="200"/>
              <w:bottom w:type="dxa" w:w="200"/>
            </w:tcMar>
          </w:tcPr>
          <w:p>
            <w:pPr>
              <w:pStyle w:val="Para 001"/>
            </w:pPr>
            <w:r>
              <w:t>int</w:t>
            </w:r>
          </w:p>
        </w:tc>
        <w:tc>
          <w:tcPr>
            <w:tcW w:type="auto" w:w="0"/>
            <w:shd w:val="clear" w:color="auto" w:fill="EEF2F6"/>
            <w:tcMar>
              <w:left w:type="dxa" w:w="200"/>
              <w:top w:type="dxa" w:w="200"/>
              <w:right w:type="dxa" w:w="200"/>
              <w:bottom w:type="dxa" w:w="200"/>
            </w:tcMar>
          </w:tcPr>
          <w:p>
            <w:pPr>
              <w:pStyle w:val="Para 002"/>
            </w:pPr>
            <w:r>
              <w:t>8 bytes</w:t>
            </w:r>
          </w:p>
        </w:tc>
      </w:tr>
    </w:tbl>
    <w:tbl>
      <w:tblPr>
        <w:tblW w:type="auto" w:w="0"/>
      </w:tblPr>
      <w:tr>
        <w:tc>
          <w:tcPr>
            <w:tcW w:type="auto" w:w="0"/>
            <w:tcMar>
              <w:left w:type="dxa" w:w="200"/>
              <w:top w:type="dxa" w:w="200"/>
              <w:right w:type="dxa" w:w="200"/>
              <w:bottom w:type="dxa" w:w="200"/>
            </w:tcMar>
          </w:tcPr>
          <w:p>
            <w:pPr>
              <w:pStyle w:val="Para 001"/>
            </w:pPr>
            <w:r>
              <w:t>'Q'</w:t>
            </w:r>
          </w:p>
        </w:tc>
        <w:tc>
          <w:tcPr>
            <w:tcW w:type="auto" w:w="0"/>
            <w:tcMar>
              <w:left w:type="dxa" w:w="200"/>
              <w:top w:type="dxa" w:w="200"/>
              <w:right w:type="dxa" w:w="200"/>
              <w:bottom w:type="dxa" w:w="200"/>
            </w:tcMar>
          </w:tcPr>
          <w:p>
            <w:pPr>
              <w:pStyle w:val="Para 001"/>
            </w:pPr>
            <w:r>
              <w:t>unsigned long long</w:t>
            </w:r>
          </w:p>
        </w:tc>
        <w:tc>
          <w:tcPr>
            <w:tcW w:type="auto" w:w="0"/>
            <w:tcMar>
              <w:left w:type="dxa" w:w="200"/>
              <w:top w:type="dxa" w:w="200"/>
              <w:right w:type="dxa" w:w="200"/>
              <w:bottom w:type="dxa" w:w="200"/>
            </w:tcMar>
          </w:tcPr>
          <w:p>
            <w:pPr>
              <w:pStyle w:val="Para 001"/>
            </w:pPr>
            <w:r>
              <w:t>int</w:t>
            </w:r>
          </w:p>
        </w:tc>
        <w:tc>
          <w:tcPr>
            <w:tcW w:type="auto" w:w="0"/>
            <w:tcMar>
              <w:left w:type="dxa" w:w="200"/>
              <w:top w:type="dxa" w:w="200"/>
              <w:right w:type="dxa" w:w="200"/>
              <w:bottom w:type="dxa" w:w="200"/>
            </w:tcMar>
          </w:tcPr>
          <w:p>
            <w:pPr>
              <w:pStyle w:val="Para 002"/>
            </w:pPr>
            <w:r>
              <w:t>8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'f'</w:t>
            </w:r>
          </w:p>
        </w:tc>
        <w:tc>
          <w:tcPr>
            <w:tcW w:type="auto" w:w="0"/>
            <w:shd w:val="clear" w:color="auto" w:fill="EEF2F6"/>
            <w:tcMar>
              <w:left w:type="dxa" w:w="200"/>
              <w:top w:type="dxa" w:w="200"/>
              <w:right w:type="dxa" w:w="200"/>
              <w:bottom w:type="dxa" w:w="200"/>
            </w:tcMar>
          </w:tcPr>
          <w:p>
            <w:pPr>
              <w:pStyle w:val="Para 001"/>
            </w:pPr>
            <w:r>
              <w:t>float</w:t>
            </w:r>
          </w:p>
        </w:tc>
        <w:tc>
          <w:tcPr>
            <w:tcW w:type="auto" w:w="0"/>
            <w:shd w:val="clear" w:color="auto" w:fill="EEF2F6"/>
            <w:tcMar>
              <w:left w:type="dxa" w:w="200"/>
              <w:top w:type="dxa" w:w="200"/>
              <w:right w:type="dxa" w:w="200"/>
              <w:bottom w:type="dxa" w:w="200"/>
            </w:tcMar>
          </w:tcPr>
          <w:p>
            <w:pPr>
              <w:pStyle w:val="Para 001"/>
            </w:pPr>
            <w:r>
              <w:t>float</w:t>
            </w:r>
          </w:p>
        </w:tc>
        <w:tc>
          <w:tcPr>
            <w:tcW w:type="auto" w:w="0"/>
            <w:shd w:val="clear" w:color="auto" w:fill="EEF2F6"/>
            <w:tcMar>
              <w:left w:type="dxa" w:w="200"/>
              <w:top w:type="dxa" w:w="200"/>
              <w:right w:type="dxa" w:w="200"/>
              <w:bottom w:type="dxa" w:w="200"/>
            </w:tcMar>
          </w:tcPr>
          <w:p>
            <w:pPr>
              <w:pStyle w:val="Para 002"/>
            </w:pPr>
            <w:r>
              <w:t>4 bytes</w:t>
            </w:r>
          </w:p>
        </w:tc>
      </w:tr>
    </w:tbl>
    <w:tbl>
      <w:tblPr>
        <w:tblW w:type="auto" w:w="0"/>
      </w:tblPr>
      <w:tr>
        <w:tc>
          <w:tcPr>
            <w:tcW w:type="auto" w:w="0"/>
            <w:tcMar>
              <w:left w:type="dxa" w:w="200"/>
              <w:top w:type="dxa" w:w="200"/>
              <w:right w:type="dxa" w:w="200"/>
              <w:bottom w:type="dxa" w:w="200"/>
            </w:tcMar>
          </w:tcPr>
          <w:p>
            <w:pPr>
              <w:pStyle w:val="Para 001"/>
            </w:pPr>
            <w:r>
              <w:t>'d'</w:t>
            </w:r>
          </w:p>
        </w:tc>
        <w:tc>
          <w:tcPr>
            <w:tcW w:type="auto" w:w="0"/>
            <w:tcMar>
              <w:left w:type="dxa" w:w="200"/>
              <w:top w:type="dxa" w:w="200"/>
              <w:right w:type="dxa" w:w="200"/>
              <w:bottom w:type="dxa" w:w="200"/>
            </w:tcMar>
          </w:tcPr>
          <w:p>
            <w:pPr>
              <w:pStyle w:val="Para 001"/>
            </w:pPr>
            <w:r>
              <w:t>double</w:t>
            </w:r>
          </w:p>
        </w:tc>
        <w:tc>
          <w:tcPr>
            <w:tcW w:type="auto" w:w="0"/>
            <w:tcMar>
              <w:left w:type="dxa" w:w="200"/>
              <w:top w:type="dxa" w:w="200"/>
              <w:right w:type="dxa" w:w="200"/>
              <w:bottom w:type="dxa" w:w="200"/>
            </w:tcMar>
          </w:tcPr>
          <w:p>
            <w:pPr>
              <w:pStyle w:val="Para 001"/>
            </w:pPr>
            <w:r>
              <w:t>float</w:t>
            </w:r>
          </w:p>
        </w:tc>
        <w:tc>
          <w:tcPr>
            <w:tcW w:type="auto" w:w="0"/>
            <w:tcMar>
              <w:left w:type="dxa" w:w="200"/>
              <w:top w:type="dxa" w:w="200"/>
              <w:right w:type="dxa" w:w="200"/>
              <w:bottom w:type="dxa" w:w="200"/>
            </w:tcMar>
          </w:tcPr>
          <w:p>
            <w:pPr>
              <w:pStyle w:val="Para 002"/>
            </w:pPr>
            <w:r>
              <w:t>8 bytes</w:t>
            </w:r>
          </w:p>
        </w:tc>
      </w:tr>
    </w:tbl>
    <w:p>
      <w:pPr>
        <w:keepNext/>
        <w:pStyle w:val="Heading 5"/>
        <w:keepLines w:val="on"/>
      </w:pPr>
      <w:r>
        <w:t>Minimum Size of typecode ‘u’</w:t>
      </w:r>
    </w:p>
    <w:p>
      <w:pPr>
        <w:pStyle w:val="Para 012"/>
        <w:keepLines w:val="on"/>
      </w:pPr>
      <w:r>
        <w:rPr>
          <w:rStyle w:val="Text0"/>
        </w:rPr>
        <w:t>'u'</w:t>
      </w:r>
      <w:r>
        <w:t xml:space="preserve"> has an item size of </w:t>
      </w:r>
      <w:r>
        <w:rPr>
          <w:rStyle w:val="Text0"/>
        </w:rPr>
        <w:t>2</w:t>
      </w:r>
      <w:r>
        <w:t xml:space="preserve"> on a few platforms (notably, Windows) and </w:t>
      </w:r>
      <w:r>
        <w:rPr>
          <w:rStyle w:val="Text0"/>
        </w:rPr>
        <w:t>4</w:t>
      </w:r>
      <w:r>
        <w:t xml:space="preserve"> on just about every other platform. You can check the build type of a Python interpreter by using </w:t>
      </w:r>
      <w:r>
        <w:rPr>
          <w:rStyle w:val="Text0"/>
        </w:rPr>
        <w:t>array.array('u').itemsize</w:t>
      </w:r>
      <w:r>
        <w:t>.</w:t>
      </w:r>
    </w:p>
    <w:p>
      <w:pPr>
        <w:pStyle w:val="Normal"/>
      </w:pPr>
      <w:r>
        <w:t xml:space="preserve">The size, in bytes, of each item of an </w:t>
      </w:r>
      <w:r>
        <w:rPr>
          <w:rStyle w:val="Text0"/>
        </w:rPr>
        <w:t>array</w:t>
      </w:r>
      <w:r>
        <w:t xml:space="preserve"> </w:t>
      </w:r>
      <w:r>
        <w:rPr>
          <w:rStyle w:val="Text3"/>
        </w:rPr>
        <w:t>a</w:t>
      </w:r>
      <w:r>
        <w:t xml:space="preserve"> may be larger than the minimum, depending on the machine’s architecture, and is available as the read-only attribute </w:t>
      </w:r>
      <w:r>
        <w:rPr>
          <w:rStyle w:val="Text3"/>
        </w:rPr>
        <w:t>a</w:t>
      </w:r>
      <w:r>
        <w:rPr>
          <w:rStyle w:val="Text0"/>
        </w:rPr>
        <w:t>.itemsize</w:t>
      </w:r>
      <w:r>
        <w:t>.</w:t>
      </w:r>
    </w:p>
    <w:p>
      <w:pPr>
        <w:pStyle w:val="Normal"/>
      </w:pPr>
      <w:r>
        <w:t xml:space="preserve">Array objects expose all methods and operations of mutable sequences (as covered in </w:t>
      </w:r>
      <w:hyperlink w:anchor="Sequence_Operations__Python_supp">
        <w:r>
          <w:rPr>
            <w:rStyle w:val="Text1"/>
          </w:rPr>
          <w:t>“Sequence Operations”</w:t>
        </w:r>
      </w:hyperlink>
      <w:r>
        <w:t xml:space="preserve">), except </w:t>
      </w:r>
      <w:r>
        <w:rPr>
          <w:rStyle w:val="Text0"/>
        </w:rPr>
        <w:t>sort</w:t>
      </w:r>
      <w:r>
        <w:t xml:space="preserve">. Concatenation with </w:t>
      </w:r>
      <w:r>
        <w:rPr>
          <w:rStyle w:val="Text0"/>
        </w:rPr>
        <w:t>+</w:t>
      </w:r>
      <w:r>
        <w:t xml:space="preserve"> or </w:t>
      </w:r>
      <w:r>
        <w:rPr>
          <w:rStyle w:val="Text0"/>
        </w:rPr>
        <w:t>+=</w:t>
      </w:r>
      <w:r>
        <w:t xml:space="preserve">, and slice assignment, require both operands to be arrays with the same </w:t>
      </w:r>
      <w:r>
        <w:rPr>
          <w:rStyle w:val="Text0"/>
        </w:rPr>
        <w:t>typecode</w:t>
      </w:r>
      <w:r>
        <w:t>; in contrast, the argument to</w:t>
      </w:r>
      <w:r>
        <w:rPr>
          <w:rStyle w:val="Text111"/>
        </w:rPr>
        <w:bookmarkStart w:id="3643" w:name="idm45965185448416"/>
        <w:t/>
        <w:bookmarkEnd w:id="3643"/>
      </w:r>
      <w:r>
        <w:t xml:space="preserve"> </w:t>
      </w:r>
      <w:r>
        <w:rPr>
          <w:rStyle w:val="Text3"/>
        </w:rPr>
        <w:t>a</w:t>
      </w:r>
      <w:r>
        <w:rPr>
          <w:rStyle w:val="Text0"/>
        </w:rPr>
        <w:t>.extend</w:t>
      </w:r>
      <w:r>
        <w:t xml:space="preserve"> can be any iterable with items acceptable to </w:t>
      </w:r>
      <w:r>
        <w:rPr>
          <w:rStyle w:val="Text3"/>
        </w:rPr>
        <w:t>a</w:t>
      </w:r>
      <w:r>
        <w:t>. In addition to the methods of mutable sequences (</w:t>
      </w:r>
      <w:r>
        <w:rPr>
          <w:rStyle w:val="Text0"/>
        </w:rPr>
        <w:t>append</w:t>
      </w:r>
      <w:r>
        <w:t xml:space="preserve">, </w:t>
      </w:r>
      <w:r>
        <w:rPr>
          <w:rStyle w:val="Text0"/>
        </w:rPr>
        <w:t>extend</w:t>
      </w:r>
      <w:r>
        <w:t xml:space="preserve">, </w:t>
      </w:r>
      <w:r>
        <w:rPr>
          <w:rStyle w:val="Text0"/>
        </w:rPr>
        <w:t>insert</w:t>
      </w:r>
      <w:r>
        <w:t xml:space="preserve">, </w:t>
      </w:r>
      <w:r>
        <w:rPr>
          <w:rStyle w:val="Text0"/>
        </w:rPr>
        <w:t>pop</w:t>
      </w:r>
      <w:r>
        <w:t xml:space="preserve">, etc.), an </w:t>
      </w:r>
      <w:r>
        <w:rPr>
          <w:rStyle w:val="Text0"/>
        </w:rPr>
        <w:t>array</w:t>
      </w:r>
      <w:r>
        <w:t xml:space="preserve"> object </w:t>
      </w:r>
      <w:r>
        <w:rPr>
          <w:rStyle w:val="Text3"/>
        </w:rPr>
        <w:t>a</w:t>
      </w:r>
      <w:r>
        <w:t xml:space="preserve"> exposes the</w:t>
      </w:r>
      <w:r>
        <w:rPr>
          <w:rStyle w:val="Text111"/>
        </w:rPr>
        <w:bookmarkStart w:id="3644" w:name="idm45965185440112"/>
        <w:t/>
        <w:bookmarkEnd w:id="3644"/>
      </w:r>
      <w:r>
        <w:t xml:space="preserve"> methods and properties listed in </w:t>
      </w:r>
      <w:hyperlink w:anchor="Table_16_8__Methods_and_properti">
        <w:r>
          <w:rPr>
            <w:rStyle w:val="Text1"/>
          </w:rPr>
          <w:t>Table 16-8</w:t>
        </w:r>
      </w:hyperlink>
      <w:r>
        <w:t>.</w:t>
      </w:r>
    </w:p>
    <w:tbl>
      <w:tblPr>
        <w:tblW w:type="auto" w:w="0"/>
      </w:tblPr>
      <w:tr>
        <w:tc>
          <w:tcPr>
            <w:tcW w:type="auto" w:w="0"/>
            <w:tcMar>
              <w:left w:type="dxa" w:w="200"/>
              <w:top w:type="dxa" w:w="200"/>
              <w:right w:type="dxa" w:w="200"/>
              <w:bottom w:type="dxa" w:w="200"/>
            </w:tcMar>
          </w:tcPr>
          <w:p>
            <w:bookmarkStart w:id="3645" w:name="Table_16_8__Methods_and_properti"/>
            <w:pPr>
              <w:pStyle w:val="Para 011"/>
            </w:pPr>
            <w:r>
              <w:rPr>
                <w:rStyle w:val="Text117"/>
              </w:rPr>
              <w:t/>
            </w:r>
            <w:r>
              <w:t xml:space="preserve">Table 16-8. </w:t>
              <w:t xml:space="preserve">Methods and properties of an </w:t>
            </w:r>
            <w:r>
              <w:rPr>
                <w:rStyle w:val="Text0"/>
              </w:rPr>
              <w:t>array</w:t>
            </w:r>
            <w:r>
              <w:t xml:space="preserve"> object </w:t>
            </w:r>
            <w:r>
              <w:rPr>
                <w:rStyle w:val="Text0"/>
              </w:rPr>
              <w:t>a</w:t>
            </w:r>
            <w:bookmarkEnd w:id="3645"/>
          </w:p>
          <w:p>
            <w:pPr>
              <w:pStyle w:val="Para 001"/>
            </w:pPr>
            <w:r>
              <w:t>buffer_info</w:t>
            </w:r>
          </w:p>
        </w:tc>
        <w:tc>
          <w:tcPr>
            <w:tcW w:type="auto" w:w="0"/>
            <w:tcMar>
              <w:left w:type="dxa" w:w="200"/>
              <w:top w:type="dxa" w:w="200"/>
              <w:right w:type="dxa" w:w="200"/>
              <w:bottom w:type="dxa" w:w="200"/>
            </w:tcMar>
          </w:tcPr>
          <w:p>
            <w:pPr>
              <w:pStyle w:val="Para 002"/>
            </w:pPr>
            <w:r>
              <w:rPr>
                <w:rStyle w:val="Text3"/>
              </w:rPr>
              <w:t>a</w:t>
            </w:r>
            <w:r>
              <w:rPr>
                <w:rStyle w:val="Text0"/>
              </w:rPr>
              <w:t>.buffer_info()</w:t>
              <w:br w:clear="none"/>
            </w:r>
            <w:r>
              <w:t xml:space="preserve"> Returns a two-item tuple </w:t>
            </w:r>
            <w:r>
              <w:rPr>
                <w:rStyle w:val="Text0"/>
              </w:rPr>
              <w:t>(</w:t>
            </w:r>
            <w:r>
              <w:rPr>
                <w:rStyle w:val="Text3"/>
              </w:rPr>
              <w:t>address</w:t>
            </w:r>
            <w:r>
              <w:rPr>
                <w:rStyle w:val="Text0"/>
              </w:rPr>
              <w:t>,</w:t>
            </w:r>
            <w:r>
              <w:t xml:space="preserve"> </w:t>
            </w:r>
            <w:r>
              <w:rPr>
                <w:rStyle w:val="Text3"/>
              </w:rPr>
              <w:t>array_length</w:t>
            </w:r>
            <w:r>
              <w:rPr>
                <w:rStyle w:val="Text0"/>
              </w:rPr>
              <w:t>)</w:t>
            </w:r>
            <w:r>
              <w:t xml:space="preserve">, where </w:t>
            </w:r>
            <w:r>
              <w:rPr>
                <w:rStyle w:val="Text3"/>
              </w:rPr>
              <w:t>array_length</w:t>
            </w:r>
            <w:r>
              <w:t xml:space="preserve"> is the number of items that you can store in </w:t>
            </w:r>
            <w:r>
              <w:rPr>
                <w:rStyle w:val="Text3"/>
              </w:rPr>
              <w:t>a</w:t>
            </w:r>
            <w:r>
              <w:t xml:space="preserve">. The size of </w:t>
            </w:r>
            <w:r>
              <w:rPr>
                <w:rStyle w:val="Text3"/>
              </w:rPr>
              <w:t>a</w:t>
            </w:r>
            <w:r>
              <w:t xml:space="preserve"> in bytes is </w:t>
            </w:r>
            <w:r>
              <w:rPr>
                <w:rStyle w:val="Text3"/>
              </w:rPr>
              <w:t>a</w:t>
            </w:r>
            <w:r>
              <w:rPr>
                <w:rStyle w:val="Text0"/>
              </w:rPr>
              <w:t>.buffer_info()[1] *</w:t>
            </w:r>
            <w:r>
              <w:t xml:space="preserve"> </w:t>
            </w:r>
            <w:r>
              <w:rPr>
                <w:rStyle w:val="Text3"/>
              </w:rPr>
              <w:t>a</w:t>
            </w:r>
            <w:r>
              <w:rPr>
                <w:rStyle w:val="Text0"/>
              </w:rPr>
              <w:t>.itemsize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byteswap</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.byteswap()</w:t>
              <w:br w:clear="none"/>
            </w:r>
            <w:r>
              <w:t xml:space="preserve"> Swaps the byte order of each item of </w:t>
            </w:r>
            <w:r>
              <w:rPr>
                <w:rStyle w:val="Text3"/>
              </w:rPr>
              <w:t>a</w:t>
            </w:r>
            <w:r>
              <w:t>.</w:t>
            </w:r>
          </w:p>
        </w:tc>
      </w:tr>
    </w:tbl>
    <w:tbl>
      <w:tblPr>
        <w:tblW w:type="auto" w:w="0"/>
      </w:tblPr>
      <w:tr>
        <w:tc>
          <w:tcPr>
            <w:tcW w:type="auto" w:w="0"/>
            <w:tcMar>
              <w:left w:type="dxa" w:w="200"/>
              <w:top w:type="dxa" w:w="200"/>
              <w:right w:type="dxa" w:w="200"/>
              <w:bottom w:type="dxa" w:w="200"/>
            </w:tcMar>
          </w:tcPr>
          <w:p>
            <w:pPr>
              <w:pStyle w:val="Para 001"/>
            </w:pPr>
            <w:r>
              <w:t>frombytes</w:t>
            </w:r>
          </w:p>
        </w:tc>
        <w:tc>
          <w:tcPr>
            <w:tcW w:type="auto" w:w="0"/>
            <w:tcMar>
              <w:left w:type="dxa" w:w="200"/>
              <w:top w:type="dxa" w:w="200"/>
              <w:right w:type="dxa" w:w="200"/>
              <w:bottom w:type="dxa" w:w="200"/>
            </w:tcMar>
          </w:tcPr>
          <w:p>
            <w:pPr>
              <w:pStyle w:val="Para 002"/>
            </w:pPr>
            <w:r>
              <w:rPr>
                <w:rStyle w:val="Text3"/>
              </w:rPr>
              <w:t>a</w:t>
            </w:r>
            <w:r>
              <w:rPr>
                <w:rStyle w:val="Text0"/>
              </w:rPr>
              <w:t>.frombytes(</w:t>
            </w:r>
            <w:r>
              <w:rPr>
                <w:rStyle w:val="Text3"/>
              </w:rPr>
              <w:t>s</w:t>
            </w:r>
            <w:r>
              <w:rPr>
                <w:rStyle w:val="Text0"/>
              </w:rPr>
              <w:t>)</w:t>
              <w:br w:clear="none"/>
            </w:r>
            <w:r>
              <w:t xml:space="preserve"> Appends to </w:t>
            </w:r>
            <w:r>
              <w:rPr>
                <w:rStyle w:val="Text3"/>
              </w:rPr>
              <w:t>a</w:t>
            </w:r>
            <w:r>
              <w:t xml:space="preserve"> the bytes, interpreted as machine values, of </w:t>
            </w:r>
            <w:r>
              <w:rPr>
                <w:rStyle w:val="Text0"/>
              </w:rPr>
              <w:t>bytes</w:t>
            </w:r>
            <w:r>
              <w:t xml:space="preserve"> </w:t>
            </w:r>
            <w:r>
              <w:rPr>
                <w:rStyle w:val="Text3"/>
              </w:rPr>
              <w:t>s</w:t>
            </w:r>
            <w:r>
              <w:t xml:space="preserve">. </w:t>
            </w:r>
            <w:r>
              <w:rPr>
                <w:rStyle w:val="Text0"/>
              </w:rPr>
              <w:t>len(</w:t>
            </w:r>
            <w:r>
              <w:rPr>
                <w:rStyle w:val="Text3"/>
              </w:rPr>
              <w:t>s</w:t>
            </w:r>
            <w:r>
              <w:rPr>
                <w:rStyle w:val="Text0"/>
              </w:rPr>
              <w:t>)</w:t>
            </w:r>
            <w:r>
              <w:t xml:space="preserve"> must be an exact multiple of </w:t>
            </w:r>
            <w:r>
              <w:rPr>
                <w:rStyle w:val="Text3"/>
              </w:rPr>
              <w:t>a</w:t>
            </w:r>
            <w:r>
              <w:rPr>
                <w:rStyle w:val="Text0"/>
              </w:rPr>
              <w:t>.itemsize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fromfile</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.fromfile(</w:t>
            </w:r>
            <w:r>
              <w:rPr>
                <w:rStyle w:val="Text3"/>
              </w:rPr>
              <w:t>f</w:t>
            </w:r>
            <w:r>
              <w:rPr>
                <w:rStyle w:val="Text0"/>
              </w:rPr>
              <w:t>,</w:t>
            </w:r>
            <w:r>
              <w:t xml:space="preserve"> </w:t>
            </w:r>
            <w:r>
              <w:rPr>
                <w:rStyle w:val="Text3"/>
              </w:rPr>
              <w:t>n</w:t>
            </w:r>
            <w:r>
              <w:rPr>
                <w:rStyle w:val="Text0"/>
              </w:rPr>
              <w:t>)</w:t>
              <w:br w:clear="none"/>
            </w:r>
            <w:r>
              <w:t xml:space="preserve"> Reads </w:t>
            </w:r>
            <w:r>
              <w:rPr>
                <w:rStyle w:val="Text3"/>
              </w:rPr>
              <w:t>n</w:t>
            </w:r>
            <w:r>
              <w:t xml:space="preserve"> items, taken as machine values, from file object </w:t>
            </w:r>
            <w:r>
              <w:rPr>
                <w:rStyle w:val="Text3"/>
              </w:rPr>
              <w:t>f</w:t>
            </w:r>
            <w:r>
              <w:t xml:space="preserve"> and appends the items to </w:t>
            </w:r>
            <w:r>
              <w:rPr>
                <w:rStyle w:val="Text3"/>
              </w:rPr>
              <w:t>a</w:t>
            </w:r>
            <w:r>
              <w:t xml:space="preserve">. </w:t>
            </w:r>
            <w:r>
              <w:rPr>
                <w:rStyle w:val="Text3"/>
              </w:rPr>
              <w:t>f</w:t>
            </w:r>
            <w:r>
              <w:t xml:space="preserve"> should be open for reading in binary mode—typically, mode </w:t>
            </w:r>
            <w:r>
              <w:rPr>
                <w:rStyle w:val="Text0"/>
              </w:rPr>
              <w:t>'rb'</w:t>
            </w:r>
            <w:r>
              <w:t xml:space="preserve"> (see </w:t>
            </w:r>
            <w:hyperlink w:anchor="Creating_a_File_Object_with_open">
              <w:r>
                <w:rPr>
                  <w:rStyle w:val="Text1"/>
                </w:rPr>
                <w:t>“Creating a File Object with open”</w:t>
              </w:r>
            </w:hyperlink>
            <w:r>
              <w:t xml:space="preserve">). When fewer than </w:t>
            </w:r>
            <w:r>
              <w:rPr>
                <w:rStyle w:val="Text3"/>
              </w:rPr>
              <w:t>n</w:t>
            </w:r>
            <w:r>
              <w:t xml:space="preserve"> items are available in </w:t>
            </w:r>
            <w:r>
              <w:rPr>
                <w:rStyle w:val="Text3"/>
              </w:rPr>
              <w:t>f</w:t>
            </w:r>
            <w:r>
              <w:t xml:space="preserve">, </w:t>
            </w:r>
            <w:r>
              <w:rPr>
                <w:rStyle w:val="Text0"/>
              </w:rPr>
              <w:t>fromfile</w:t>
            </w:r>
            <w:r>
              <w:t xml:space="preserve"> raises </w:t>
            </w:r>
            <w:r>
              <w:rPr>
                <w:rStyle w:val="Text0"/>
              </w:rPr>
              <w:t>EOFError</w:t>
            </w:r>
            <w:r>
              <w:t xml:space="preserve"> after appending the items that are available (so, be sure to catch this in a </w:t>
            </w:r>
            <w:r>
              <w:rPr>
                <w:rStyle w:val="Text5"/>
              </w:rPr>
              <w:t>try</w:t>
            </w:r>
            <w:r>
              <w:rPr>
                <w:rStyle w:val="Text0"/>
              </w:rPr>
              <w:t>/</w:t>
            </w:r>
            <w:r>
              <w:rPr>
                <w:rStyle w:val="Text5"/>
              </w:rPr>
              <w:t>except</w:t>
            </w:r>
            <w:r>
              <w:t>, if that’s OK in your app!).</w:t>
            </w:r>
          </w:p>
        </w:tc>
      </w:tr>
    </w:tbl>
    <w:tbl>
      <w:tblPr>
        <w:tblW w:type="auto" w:w="0"/>
      </w:tblPr>
      <w:tr>
        <w:tc>
          <w:tcPr>
            <w:tcW w:type="auto" w:w="0"/>
            <w:tcMar>
              <w:left w:type="dxa" w:w="200"/>
              <w:top w:type="dxa" w:w="200"/>
              <w:right w:type="dxa" w:w="200"/>
              <w:bottom w:type="dxa" w:w="200"/>
            </w:tcMar>
          </w:tcPr>
          <w:p>
            <w:pPr>
              <w:pStyle w:val="Para 001"/>
            </w:pPr>
            <w:r>
              <w:t>fromlist</w:t>
            </w:r>
          </w:p>
        </w:tc>
        <w:tc>
          <w:tcPr>
            <w:tcW w:type="auto" w:w="0"/>
            <w:tcMar>
              <w:left w:type="dxa" w:w="200"/>
              <w:top w:type="dxa" w:w="200"/>
              <w:right w:type="dxa" w:w="200"/>
              <w:bottom w:type="dxa" w:w="200"/>
            </w:tcMar>
          </w:tcPr>
          <w:p>
            <w:pPr>
              <w:pStyle w:val="Para 002"/>
            </w:pPr>
            <w:r>
              <w:rPr>
                <w:rStyle w:val="Text3"/>
              </w:rPr>
              <w:t>a</w:t>
            </w:r>
            <w:r>
              <w:rPr>
                <w:rStyle w:val="Text0"/>
              </w:rPr>
              <w:t>.fromlist(</w:t>
            </w:r>
            <w:r>
              <w:rPr>
                <w:rStyle w:val="Text3"/>
              </w:rPr>
              <w:t>L</w:t>
            </w:r>
            <w:r>
              <w:rPr>
                <w:rStyle w:val="Text0"/>
              </w:rPr>
              <w:t>)</w:t>
              <w:br w:clear="none"/>
            </w:r>
            <w:r>
              <w:t xml:space="preserve"> Appends to </w:t>
            </w:r>
            <w:r>
              <w:rPr>
                <w:rStyle w:val="Text3"/>
              </w:rPr>
              <w:t>a</w:t>
            </w:r>
            <w:r>
              <w:t xml:space="preserve"> all items of list </w:t>
            </w:r>
            <w:r>
              <w:rPr>
                <w:rStyle w:val="Text3"/>
              </w:rPr>
              <w:t>L</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fromunicode</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.fromunicode(</w:t>
            </w:r>
            <w:r>
              <w:rPr>
                <w:rStyle w:val="Text3"/>
              </w:rPr>
              <w:t>s</w:t>
            </w:r>
            <w:r>
              <w:rPr>
                <w:rStyle w:val="Text0"/>
              </w:rPr>
              <w:t>)</w:t>
              <w:br w:clear="none"/>
            </w:r>
            <w:r>
              <w:t xml:space="preserve"> Appends to </w:t>
            </w:r>
            <w:r>
              <w:rPr>
                <w:rStyle w:val="Text3"/>
              </w:rPr>
              <w:t>a</w:t>
            </w:r>
            <w:r>
              <w:t xml:space="preserve"> all characters from string </w:t>
            </w:r>
            <w:r>
              <w:rPr>
                <w:rStyle w:val="Text3"/>
              </w:rPr>
              <w:t>s</w:t>
            </w:r>
            <w:r>
              <w:t xml:space="preserve">. </w:t>
            </w:r>
            <w:r>
              <w:rPr>
                <w:rStyle w:val="Text3"/>
              </w:rPr>
              <w:t>a</w:t>
            </w:r>
            <w:r>
              <w:t xml:space="preserve"> must have typecode </w:t>
            </w:r>
            <w:r>
              <w:rPr>
                <w:rStyle w:val="Text0"/>
              </w:rPr>
              <w:t>'u'</w:t>
            </w:r>
            <w:r>
              <w:t xml:space="preserve">; otherwise, Python raises </w:t>
            </w:r>
            <w:r>
              <w:rPr>
                <w:rStyle w:val="Text0"/>
              </w:rPr>
              <w:t>ValueError</w:t>
            </w:r>
            <w:r>
              <w:t>.</w:t>
            </w:r>
          </w:p>
        </w:tc>
      </w:tr>
    </w:tbl>
    <w:tbl>
      <w:tblPr>
        <w:tblW w:type="auto" w:w="0"/>
      </w:tblPr>
      <w:tr>
        <w:tc>
          <w:tcPr>
            <w:tcW w:type="auto" w:w="0"/>
            <w:tcMar>
              <w:left w:type="dxa" w:w="200"/>
              <w:top w:type="dxa" w:w="200"/>
              <w:right w:type="dxa" w:w="200"/>
              <w:bottom w:type="dxa" w:w="200"/>
            </w:tcMar>
          </w:tcPr>
          <w:p>
            <w:pPr>
              <w:pStyle w:val="Para 001"/>
            </w:pPr>
            <w:r>
              <w:t>itemsize</w:t>
            </w:r>
          </w:p>
        </w:tc>
        <w:tc>
          <w:tcPr>
            <w:tcW w:type="auto" w:w="0"/>
            <w:tcMar>
              <w:left w:type="dxa" w:w="200"/>
              <w:top w:type="dxa" w:w="200"/>
              <w:right w:type="dxa" w:w="200"/>
              <w:bottom w:type="dxa" w:w="200"/>
            </w:tcMar>
          </w:tcPr>
          <w:p>
            <w:pPr>
              <w:pStyle w:val="Para 002"/>
            </w:pPr>
            <w:r>
              <w:rPr>
                <w:rStyle w:val="Text3"/>
              </w:rPr>
              <w:t>a</w:t>
            </w:r>
            <w:r>
              <w:rPr>
                <w:rStyle w:val="Text0"/>
              </w:rPr>
              <w:t>.itemsize</w:t>
              <w:br w:clear="none"/>
            </w:r>
            <w:r>
              <w:t xml:space="preserve"> Property that returns the size, in bytes, of each item in </w:t>
            </w:r>
            <w:r>
              <w:rPr>
                <w:rStyle w:val="Text3"/>
              </w:rPr>
              <w:t>a</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tobytes</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.tobytes()</w:t>
              <w:br w:clear="none"/>
            </w:r>
            <w:r>
              <w:t xml:space="preserve"> </w:t>
            </w:r>
            <w:r>
              <w:rPr>
                <w:rStyle w:val="Text0"/>
              </w:rPr>
              <w:t>tobytes</w:t>
            </w:r>
            <w:r>
              <w:t xml:space="preserve"> returns the bytes representation of the items in a. For any </w:t>
            </w:r>
            <w:r>
              <w:rPr>
                <w:rStyle w:val="Text3"/>
              </w:rPr>
              <w:t>a</w:t>
            </w:r>
            <w:r>
              <w:t xml:space="preserve">, </w:t>
            </w:r>
            <w:r>
              <w:rPr>
                <w:rStyle w:val="Text0"/>
              </w:rPr>
              <w:t>len(</w:t>
            </w:r>
            <w:r>
              <w:rPr>
                <w:rStyle w:val="Text3"/>
              </w:rPr>
              <w:t>a</w:t>
            </w:r>
            <w:r>
              <w:rPr>
                <w:rStyle w:val="Text0"/>
              </w:rPr>
              <w:t>.tobytes())</w:t>
            </w:r>
            <w:r>
              <w:t xml:space="preserve"> </w:t>
            </w:r>
            <w:r>
              <w:rPr>
                <w:rStyle w:val="Text0"/>
              </w:rPr>
              <w:t>==</w:t>
            </w:r>
            <w:r>
              <w:t xml:space="preserve"> </w:t>
            </w:r>
            <w:r>
              <w:rPr>
                <w:rStyle w:val="Text0"/>
              </w:rPr>
              <w:t>len(</w:t>
            </w:r>
            <w:r>
              <w:rPr>
                <w:rStyle w:val="Text3"/>
              </w:rPr>
              <w:t>a</w:t>
            </w:r>
            <w:r>
              <w:rPr>
                <w:rStyle w:val="Text0"/>
              </w:rPr>
              <w:t>)*</w:t>
            </w:r>
            <w:r>
              <w:rPr>
                <w:rStyle w:val="Text3"/>
              </w:rPr>
              <w:t>a</w:t>
            </w:r>
            <w:r>
              <w:rPr>
                <w:rStyle w:val="Text0"/>
              </w:rPr>
              <w:t>.itemsize</w:t>
            </w:r>
            <w:r>
              <w:t xml:space="preserve">. </w:t>
            </w:r>
            <w:r>
              <w:rPr>
                <w:rStyle w:val="Text3"/>
              </w:rPr>
              <w:t>f</w:t>
            </w:r>
            <w:r>
              <w:rPr>
                <w:rStyle w:val="Text0"/>
              </w:rPr>
              <w:t>.write(</w:t>
            </w:r>
            <w:r>
              <w:rPr>
                <w:rStyle w:val="Text3"/>
              </w:rPr>
              <w:t>a</w:t>
            </w:r>
            <w:r>
              <w:rPr>
                <w:rStyle w:val="Text0"/>
              </w:rPr>
              <w:t>.tobytes())</w:t>
            </w:r>
            <w:r>
              <w:t xml:space="preserve"> is the same as </w:t>
            </w:r>
            <w:r>
              <w:rPr>
                <w:rStyle w:val="Text3"/>
              </w:rPr>
              <w:t>a</w:t>
            </w:r>
            <w:r>
              <w:rPr>
                <w:rStyle w:val="Text0"/>
              </w:rPr>
              <w:t>.tofile(</w:t>
            </w:r>
            <w:r>
              <w:rPr>
                <w:rStyle w:val="Text3"/>
              </w:rPr>
              <w:t>f</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tofile</w:t>
            </w:r>
          </w:p>
        </w:tc>
        <w:tc>
          <w:tcPr>
            <w:tcW w:type="auto" w:w="0"/>
            <w:tcMar>
              <w:left w:type="dxa" w:w="200"/>
              <w:top w:type="dxa" w:w="200"/>
              <w:right w:type="dxa" w:w="200"/>
              <w:bottom w:type="dxa" w:w="200"/>
            </w:tcMar>
          </w:tcPr>
          <w:p>
            <w:pPr>
              <w:pStyle w:val="Para 002"/>
            </w:pPr>
            <w:r>
              <w:rPr>
                <w:rStyle w:val="Text3"/>
              </w:rPr>
              <w:t>a</w:t>
            </w:r>
            <w:r>
              <w:rPr>
                <w:rStyle w:val="Text0"/>
              </w:rPr>
              <w:t>.tofile(</w:t>
            </w:r>
            <w:r>
              <w:rPr>
                <w:rStyle w:val="Text3"/>
              </w:rPr>
              <w:t>f</w:t>
            </w:r>
            <w:r>
              <w:rPr>
                <w:rStyle w:val="Text0"/>
              </w:rPr>
              <w:t>)</w:t>
              <w:br w:clear="none"/>
            </w:r>
            <w:r>
              <w:t xml:space="preserve"> Writes all items of </w:t>
            </w:r>
            <w:r>
              <w:rPr>
                <w:rStyle w:val="Text3"/>
              </w:rPr>
              <w:t>a</w:t>
            </w:r>
            <w:r>
              <w:t xml:space="preserve">, taken as machine values, to file object </w:t>
            </w:r>
            <w:r>
              <w:rPr>
                <w:rStyle w:val="Text3"/>
              </w:rPr>
              <w:t>f</w:t>
            </w:r>
            <w:r>
              <w:t xml:space="preserve">. Note that </w:t>
            </w:r>
            <w:r>
              <w:rPr>
                <w:rStyle w:val="Text3"/>
              </w:rPr>
              <w:t>f</w:t>
            </w:r>
            <w:r>
              <w:t xml:space="preserve"> should be open for writing in binary mode—for example, with mode </w:t>
            </w:r>
            <w:r>
              <w:rPr>
                <w:rStyle w:val="Text0"/>
              </w:rPr>
              <w:t>'wb'</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tolist</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.tolist()</w:t>
              <w:br w:clear="none"/>
            </w:r>
            <w:r>
              <w:t xml:space="preserve"> Creates and returns a list object with the same items as </w:t>
            </w:r>
            <w:r>
              <w:rPr>
                <w:rStyle w:val="Text3"/>
              </w:rPr>
              <w:t>a</w:t>
            </w:r>
            <w:r>
              <w:t xml:space="preserve">, like </w:t>
            </w:r>
            <w:r>
              <w:rPr>
                <w:rStyle w:val="Text0"/>
              </w:rPr>
              <w:t>list(</w:t>
            </w:r>
            <w:r>
              <w:rPr>
                <w:rStyle w:val="Text3"/>
              </w:rPr>
              <w:t>a</w:t>
            </w:r>
            <w:r>
              <w:rPr>
                <w:rStyle w:val="Text0"/>
              </w:rPr>
              <w:t>)</w:t>
            </w:r>
            <w:r>
              <w:t>.</w:t>
            </w:r>
          </w:p>
        </w:tc>
      </w:tr>
    </w:tbl>
    <w:tbl>
      <w:tblPr>
        <w:tblW w:type="auto" w:w="0"/>
      </w:tblPr>
      <w:tr>
        <w:tc>
          <w:tcPr>
            <w:tcW w:type="auto" w:w="0"/>
            <w:tcMar>
              <w:left w:type="dxa" w:w="200"/>
              <w:top w:type="dxa" w:w="200"/>
              <w:right w:type="dxa" w:w="200"/>
              <w:bottom w:type="dxa" w:w="200"/>
            </w:tcMar>
          </w:tcPr>
          <w:p>
            <w:pPr>
              <w:pStyle w:val="Para 001"/>
            </w:pPr>
            <w:r>
              <w:t>tounicode</w:t>
            </w:r>
          </w:p>
        </w:tc>
        <w:tc>
          <w:tcPr>
            <w:tcW w:type="auto" w:w="0"/>
            <w:tcMar>
              <w:left w:type="dxa" w:w="200"/>
              <w:top w:type="dxa" w:w="200"/>
              <w:right w:type="dxa" w:w="200"/>
              <w:bottom w:type="dxa" w:w="200"/>
            </w:tcMar>
          </w:tcPr>
          <w:p>
            <w:pPr>
              <w:pStyle w:val="Para 002"/>
            </w:pPr>
            <w:r>
              <w:rPr>
                <w:rStyle w:val="Text3"/>
              </w:rPr>
              <w:t>a</w:t>
            </w:r>
            <w:r>
              <w:rPr>
                <w:rStyle w:val="Text0"/>
              </w:rPr>
              <w:t>.tounicode()</w:t>
              <w:br w:clear="none"/>
            </w:r>
            <w:r>
              <w:t xml:space="preserve"> Creates and returns a string with the same items as </w:t>
            </w:r>
            <w:r>
              <w:rPr>
                <w:rStyle w:val="Text3"/>
              </w:rPr>
              <w:t>a</w:t>
            </w:r>
            <w:r>
              <w:t xml:space="preserve">, like </w:t>
            </w:r>
            <w:r>
              <w:rPr>
                <w:rStyle w:val="Text0"/>
              </w:rPr>
              <w:t>''.join(</w:t>
            </w:r>
            <w:r>
              <w:rPr>
                <w:rStyle w:val="Text3"/>
              </w:rPr>
              <w:t>a</w:t>
            </w:r>
            <w:r>
              <w:rPr>
                <w:rStyle w:val="Text0"/>
              </w:rPr>
              <w:t>)</w:t>
            </w:r>
            <w:r>
              <w:t xml:space="preserve">. </w:t>
            </w:r>
            <w:r>
              <w:rPr>
                <w:rStyle w:val="Text3"/>
              </w:rPr>
              <w:t>a</w:t>
            </w:r>
            <w:r>
              <w:t xml:space="preserve"> must have </w:t>
            </w:r>
            <w:r>
              <w:rPr>
                <w:rStyle w:val="Text0"/>
              </w:rPr>
              <w:t>typecode</w:t>
            </w:r>
            <w:r>
              <w:t xml:space="preserve"> </w:t>
            </w:r>
            <w:r>
              <w:rPr>
                <w:rStyle w:val="Text0"/>
              </w:rPr>
              <w:t>'u'</w:t>
            </w:r>
            <w:r>
              <w:t xml:space="preserve">; otherwise, Python raises </w:t>
            </w:r>
            <w:r>
              <w:rPr>
                <w:rStyle w:val="Text0"/>
              </w:rPr>
              <w:t>ValueError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typecode</w:t>
            </w:r>
          </w:p>
        </w:tc>
        <w:tc>
          <w:tcPr>
            <w:tcW w:type="auto" w:w="0"/>
            <w:shd w:val="clear" w:color="auto" w:fill="EEF2F6"/>
            <w:tcMar>
              <w:left w:type="dxa" w:w="200"/>
              <w:top w:type="dxa" w:w="200"/>
              <w:right w:type="dxa" w:w="200"/>
              <w:bottom w:type="dxa" w:w="200"/>
            </w:tcMar>
          </w:tcPr>
          <w:p>
            <w:pPr>
              <w:pStyle w:val="Para 002"/>
            </w:pPr>
            <w:r>
              <w:rPr>
                <w:rStyle w:val="Text3"/>
              </w:rPr>
              <w:t>a</w:t>
            </w:r>
            <w:r>
              <w:rPr>
                <w:rStyle w:val="Text0"/>
              </w:rPr>
              <w:t>.typecode</w:t>
              <w:br w:clear="none"/>
            </w:r>
            <w:r>
              <w:t xml:space="preserve"> Property that returns the </w:t>
            </w:r>
            <w:r>
              <w:rPr>
                <w:rStyle w:val="Text0"/>
              </w:rPr>
              <w:t>typecode</w:t>
            </w:r>
            <w:r>
              <w:t xml:space="preserve"> used to create </w:t>
            </w:r>
            <w:r>
              <w:rPr>
                <w:rStyle w:val="Text0"/>
              </w:rPr>
              <w:t>a</w:t>
            </w:r>
            <w:r>
              <w:rPr>
                <w:rStyle w:val="Text4"/>
              </w:rPr>
              <w:t>.</w:t>
            </w:r>
          </w:p>
        </w:tc>
      </w:tr>
    </w:tbl>
    <w:p>
      <w:bookmarkStart w:id="3646" w:name="Extensions_for_Numeric_Array_Com"/>
      <w:pPr>
        <w:keepNext/>
        <w:pStyle w:val="Heading 2"/>
      </w:pPr>
      <w:r>
        <w:t>Extensions for Numeric Array Computation</w:t>
      </w:r>
      <w:bookmarkEnd w:id="3646"/>
    </w:p>
    <w:p>
      <w:pPr>
        <w:pStyle w:val="Normal"/>
      </w:pPr>
      <w:r>
        <w:t xml:space="preserve">As you’ve seen, Python has great built-in support for numeric processing. The third-party library </w:t>
      </w:r>
      <w:hyperlink r:id="rId474">
        <w:r>
          <w:rPr>
            <w:rStyle w:val="Text1"/>
          </w:rPr>
          <w:t>SciPy</w:t>
        </w:r>
      </w:hyperlink>
      <w:r>
        <w:t xml:space="preserve">, and many, </w:t>
      </w:r>
      <w:r>
        <w:rPr>
          <w:rStyle w:val="Text4"/>
        </w:rPr>
        <w:t>many</w:t>
      </w:r>
      <w:r>
        <w:t xml:space="preserve"> other packages, such as </w:t>
      </w:r>
      <w:hyperlink r:id="rId447">
        <w:r>
          <w:rPr>
            <w:rStyle w:val="Text1"/>
          </w:rPr>
          <w:t>NumPy</w:t>
        </w:r>
      </w:hyperlink>
      <w:r>
        <w:t xml:space="preserve">, </w:t>
      </w:r>
      <w:hyperlink r:id="rId475">
        <w:r>
          <w:rPr>
            <w:rStyle w:val="Text1"/>
          </w:rPr>
          <w:t>Matplotlib</w:t>
        </w:r>
      </w:hyperlink>
      <w:r>
        <w:t xml:space="preserve">, </w:t>
      </w:r>
      <w:hyperlink r:id="rId476">
        <w:r>
          <w:rPr>
            <w:rStyle w:val="Text1"/>
          </w:rPr>
          <w:t>SymPy</w:t>
        </w:r>
      </w:hyperlink>
      <w:r>
        <w:t xml:space="preserve">, </w:t>
      </w:r>
      <w:hyperlink r:id="rId36">
        <w:r>
          <w:rPr>
            <w:rStyle w:val="Text1"/>
          </w:rPr>
          <w:t>Numba</w:t>
        </w:r>
      </w:hyperlink>
      <w:r>
        <w:t xml:space="preserve">, </w:t>
      </w:r>
      <w:hyperlink r:id="rId477">
        <w:r>
          <w:rPr>
            <w:rStyle w:val="Text1"/>
          </w:rPr>
          <w:t>Pandas</w:t>
        </w:r>
      </w:hyperlink>
      <w:r>
        <w:t xml:space="preserve">, </w:t>
      </w:r>
      <w:hyperlink r:id="rId478">
        <w:r>
          <w:rPr>
            <w:rStyle w:val="Text1"/>
          </w:rPr>
          <w:t>PyTorch</w:t>
        </w:r>
      </w:hyperlink>
      <w:r>
        <w:t xml:space="preserve">, </w:t>
      </w:r>
      <w:hyperlink r:id="rId479">
        <w:r>
          <w:rPr>
            <w:rStyle w:val="Text1"/>
          </w:rPr>
          <w:t>CuPy</w:t>
        </w:r>
      </w:hyperlink>
      <w:r>
        <w:t xml:space="preserve">, and </w:t>
      </w:r>
      <w:hyperlink r:id="rId480">
        <w:r>
          <w:rPr>
            <w:rStyle w:val="Text1"/>
          </w:rPr>
          <w:t>TensorFlow</w:t>
        </w:r>
      </w:hyperlink>
      <w:r>
        <w:t>, provide even more tools. We introduce NumPy here, then provide a brief description of SciPy and some other packages, with pointers to their documentation.</w:t>
      </w:r>
    </w:p>
    <w:p>
      <w:bookmarkStart w:id="3647" w:name="NumPy__If_you_need_a_lightweight"/>
      <w:pPr>
        <w:keepNext/>
        <w:pStyle w:val="Heading 2"/>
      </w:pPr>
      <w:r>
        <w:t>NumPy</w:t>
      </w:r>
      <w:bookmarkEnd w:id="3647"/>
    </w:p>
    <w:p>
      <w:pPr>
        <w:pStyle w:val="Normal"/>
      </w:pPr>
      <w:r>
        <w:t>If</w:t>
      </w:r>
      <w:r>
        <w:rPr>
          <w:rStyle w:val="Text111"/>
        </w:rPr>
        <w:bookmarkStart w:id="3648" w:name="numpy16"/>
        <w:t/>
        <w:bookmarkEnd w:id="3648"/>
      </w:r>
      <w:r>
        <w:t xml:space="preserve"> you need a lightweight, one-dimensional array of numbers, the standard library’s </w:t>
      </w:r>
      <w:r>
        <w:rPr>
          <w:rStyle w:val="Text0"/>
        </w:rPr>
        <w:t>array</w:t>
      </w:r>
      <w:r>
        <w:t xml:space="preserve"> module may suffice. If your work involves scientific computing, image processing, multidimensional arrays, linear algebra, or other applications involving large amounts of data, the popular third-party NumPy package meets your needs. Extensive documentation is available </w:t>
      </w:r>
      <w:hyperlink r:id="rId481">
        <w:r>
          <w:rPr>
            <w:rStyle w:val="Text1"/>
          </w:rPr>
          <w:t>online</w:t>
        </w:r>
      </w:hyperlink>
      <w:r>
        <w:t xml:space="preserve">; a free PDF of Travis Oliphant’s </w:t>
      </w:r>
      <w:hyperlink r:id="rId482">
        <w:r>
          <w:rPr>
            <w:rStyle w:val="Text24"/>
          </w:rPr>
          <w:t>Guide to NumPy</w:t>
        </w:r>
      </w:hyperlink>
      <w:r>
        <w:t xml:space="preserve"> is also available.</w:t>
      </w:r>
      <w:hyperlink w:anchor="2_Python_and_the_NumPy_project_h">
        <w:r>
          <w:rPr>
            <w:rStyle w:val="Text41"/>
          </w:rPr>
          <w:bookmarkStart w:id="3649" w:name="2_13"/>
          <w:t>2</w:t>
          <w:bookmarkEnd w:id="3649"/>
        </w:r>
      </w:hyperlink>
    </w:p>
    <w:p>
      <w:pPr>
        <w:keepNext/>
        <w:pStyle w:val="Heading 5"/>
        <w:keepLines w:val="on"/>
      </w:pPr>
      <w:r>
        <w:t>NumPy or numpy?</w:t>
      </w:r>
    </w:p>
    <w:p>
      <w:pPr>
        <w:pStyle w:val="Para 012"/>
        <w:keepLines w:val="on"/>
      </w:pPr>
      <w:r>
        <w:t xml:space="preserve">The docs variously refer to the package as NumPy or Numpy; however, in coding, the package is called </w:t>
      </w:r>
      <w:r>
        <w:rPr>
          <w:rStyle w:val="Text0"/>
        </w:rPr>
        <w:t>numpy</w:t>
      </w:r>
      <w:r>
        <w:t xml:space="preserve">, and you usually import it with </w:t>
      </w:r>
      <w:r>
        <w:rPr>
          <w:rStyle w:val="Text5"/>
        </w:rPr>
        <w:t>import</w:t>
      </w:r>
      <w:r>
        <w:t xml:space="preserve"> </w:t>
      </w:r>
      <w:r>
        <w:rPr>
          <w:rStyle w:val="Text0"/>
        </w:rPr>
        <w:t>numpy</w:t>
      </w:r>
      <w:r>
        <w:t xml:space="preserve"> </w:t>
      </w:r>
      <w:r>
        <w:rPr>
          <w:rStyle w:val="Text5"/>
        </w:rPr>
        <w:t>as</w:t>
      </w:r>
      <w:r>
        <w:t xml:space="preserve"> </w:t>
      </w:r>
      <w:r>
        <w:rPr>
          <w:rStyle w:val="Text0"/>
        </w:rPr>
        <w:t>np</w:t>
      </w:r>
      <w:r>
        <w:t>. This section follows those conventions.</w:t>
      </w:r>
    </w:p>
    <w:p>
      <w:pPr>
        <w:pStyle w:val="Normal"/>
      </w:pPr>
      <w:r>
        <w:t>NumPy provides the</w:t>
      </w:r>
      <w:r>
        <w:rPr>
          <w:rStyle w:val="Text111"/>
        </w:rPr>
        <w:bookmarkStart w:id="3650" w:name="idm45965185316816"/>
        <w:t/>
        <w:bookmarkEnd w:id="3650"/>
      </w:r>
      <w:r>
        <w:t xml:space="preserve"> class </w:t>
      </w:r>
      <w:r>
        <w:rPr>
          <w:rStyle w:val="Text0"/>
        </w:rPr>
        <w:t>ndarray</w:t>
      </w:r>
      <w:r>
        <w:t xml:space="preserve">, which you can </w:t>
      </w:r>
      <w:hyperlink r:id="rId483">
        <w:r>
          <w:rPr>
            <w:rStyle w:val="Text1"/>
          </w:rPr>
          <w:t>subclass</w:t>
        </w:r>
      </w:hyperlink>
      <w:r>
        <w:t xml:space="preserve"> to add functionality for your particular needs. An </w:t>
      </w:r>
      <w:r>
        <w:rPr>
          <w:rStyle w:val="Text0"/>
        </w:rPr>
        <w:t>ndarray</w:t>
      </w:r>
      <w:r>
        <w:t xml:space="preserve"> object has </w:t>
      </w:r>
      <w:r>
        <w:rPr>
          <w:rStyle w:val="Text3"/>
        </w:rPr>
        <w:t>n</w:t>
      </w:r>
      <w:r>
        <w:t xml:space="preserve"> dimensions of homogeneous items (items can include containers of heterogeneous types). Each </w:t>
      </w:r>
      <w:r>
        <w:rPr>
          <w:rStyle w:val="Text0"/>
        </w:rPr>
        <w:t>ndarray</w:t>
      </w:r>
      <w:r>
        <w:t xml:space="preserve"> object </w:t>
      </w:r>
      <w:r>
        <w:rPr>
          <w:rStyle w:val="Text3"/>
        </w:rPr>
        <w:t>a</w:t>
      </w:r>
      <w:r>
        <w:t xml:space="preserve"> has a certain number of dimensions (aka </w:t>
      </w:r>
      <w:r>
        <w:rPr>
          <w:rStyle w:val="Text4"/>
        </w:rPr>
        <w:t>axes</w:t>
      </w:r>
      <w:r>
        <w:t xml:space="preserve">), known as its </w:t>
      </w:r>
      <w:r>
        <w:rPr>
          <w:rStyle w:val="Text4"/>
        </w:rPr>
        <w:t>rank</w:t>
      </w:r>
      <w:r>
        <w:t xml:space="preserve">. A </w:t>
      </w:r>
      <w:r>
        <w:rPr>
          <w:rStyle w:val="Text4"/>
        </w:rPr>
        <w:t>scalar</w:t>
      </w:r>
      <w:r>
        <w:t xml:space="preserve"> (i.e., a single number) has rank </w:t>
      </w:r>
      <w:r>
        <w:rPr>
          <w:rStyle w:val="Text0"/>
        </w:rPr>
        <w:t>0</w:t>
      </w:r>
      <w:r>
        <w:t xml:space="preserve">, a </w:t>
      </w:r>
      <w:r>
        <w:rPr>
          <w:rStyle w:val="Text4"/>
        </w:rPr>
        <w:t>vector</w:t>
      </w:r>
      <w:r>
        <w:t xml:space="preserve"> has rank </w:t>
      </w:r>
      <w:r>
        <w:rPr>
          <w:rStyle w:val="Text0"/>
        </w:rPr>
        <w:t>1</w:t>
      </w:r>
      <w:r>
        <w:t xml:space="preserve">, a </w:t>
      </w:r>
      <w:r>
        <w:rPr>
          <w:rStyle w:val="Text4"/>
        </w:rPr>
        <w:t>matrix</w:t>
      </w:r>
      <w:r>
        <w:t xml:space="preserve"> has rank </w:t>
      </w:r>
      <w:r>
        <w:rPr>
          <w:rStyle w:val="Text0"/>
        </w:rPr>
        <w:t>2</w:t>
      </w:r>
      <w:r>
        <w:t xml:space="preserve">, and so forth. An </w:t>
      </w:r>
      <w:r>
        <w:rPr>
          <w:rStyle w:val="Text0"/>
        </w:rPr>
        <w:t>ndarray</w:t>
      </w:r>
      <w:r>
        <w:t xml:space="preserve"> object also has a </w:t>
      </w:r>
      <w:r>
        <w:rPr>
          <w:rStyle w:val="Text4"/>
        </w:rPr>
        <w:t>shape</w:t>
      </w:r>
      <w:r>
        <w:t xml:space="preserve">, which can be accessed as property </w:t>
      </w:r>
      <w:r>
        <w:rPr>
          <w:rStyle w:val="Text0"/>
        </w:rPr>
        <w:t>shape</w:t>
      </w:r>
      <w:r>
        <w:t xml:space="preserve">. For example, for a matrix </w:t>
      </w:r>
      <w:r>
        <w:rPr>
          <w:rStyle w:val="Text3"/>
        </w:rPr>
        <w:t>m</w:t>
      </w:r>
      <w:r>
        <w:t xml:space="preserve"> with 2 columns and 3 rows, </w:t>
      </w:r>
      <w:r>
        <w:rPr>
          <w:rStyle w:val="Text3"/>
        </w:rPr>
        <w:t>m</w:t>
      </w:r>
      <w:r>
        <w:rPr>
          <w:rStyle w:val="Text0"/>
        </w:rPr>
        <w:t>.shape</w:t>
      </w:r>
      <w:r>
        <w:t xml:space="preserve"> is </w:t>
      </w:r>
      <w:r>
        <w:rPr>
          <w:rStyle w:val="Text0"/>
        </w:rPr>
        <w:t>(3,2)</w:t>
      </w:r>
      <w:r>
        <w:t>.</w:t>
      </w:r>
    </w:p>
    <w:p>
      <w:pPr>
        <w:pStyle w:val="Normal"/>
      </w:pPr>
      <w:r>
        <w:t>NumPy</w:t>
      </w:r>
      <w:r>
        <w:rPr>
          <w:rStyle w:val="Text111"/>
        </w:rPr>
        <w:bookmarkStart w:id="3651" w:name="idm45965185315872"/>
        <w:t/>
        <w:bookmarkEnd w:id="3651"/>
      </w:r>
      <w:r>
        <w:t xml:space="preserve"> supports a wider range of </w:t>
      </w:r>
      <w:hyperlink r:id="rId484">
        <w:r>
          <w:rPr>
            <w:rStyle w:val="Text1"/>
          </w:rPr>
          <w:t>numeric types</w:t>
        </w:r>
      </w:hyperlink>
      <w:r>
        <w:t xml:space="preserve"> (instances of </w:t>
      </w:r>
      <w:r>
        <w:rPr>
          <w:rStyle w:val="Text0"/>
        </w:rPr>
        <w:t>dtype</w:t>
      </w:r>
      <w:r>
        <w:t xml:space="preserve">) than Python; the default numerical types are </w:t>
      </w:r>
      <w:r>
        <w:rPr>
          <w:rStyle w:val="Text0"/>
        </w:rPr>
        <w:t>bool_</w:t>
      </w:r>
      <w:r>
        <w:t xml:space="preserve"> (1 byte), </w:t>
      </w:r>
      <w:r>
        <w:rPr>
          <w:rStyle w:val="Text0"/>
        </w:rPr>
        <w:t>int_</w:t>
      </w:r>
      <w:r>
        <w:t xml:space="preserve"> (either </w:t>
      </w:r>
      <w:r>
        <w:rPr>
          <w:rStyle w:val="Text0"/>
        </w:rPr>
        <w:t>int64</w:t>
      </w:r>
      <w:r>
        <w:t xml:space="preserve"> or </w:t>
      </w:r>
      <w:r>
        <w:rPr>
          <w:rStyle w:val="Text0"/>
        </w:rPr>
        <w:t>int32</w:t>
      </w:r>
      <w:r>
        <w:t xml:space="preserve">, depending on your platform), </w:t>
      </w:r>
      <w:r>
        <w:rPr>
          <w:rStyle w:val="Text0"/>
        </w:rPr>
        <w:t>float_</w:t>
      </w:r>
      <w:r>
        <w:t xml:space="preserve"> (short for </w:t>
      </w:r>
      <w:r>
        <w:rPr>
          <w:rStyle w:val="Text0"/>
        </w:rPr>
        <w:t>float64</w:t>
      </w:r>
      <w:r>
        <w:t xml:space="preserve">), and </w:t>
      </w:r>
      <w:r>
        <w:rPr>
          <w:rStyle w:val="Text0"/>
        </w:rPr>
        <w:t>complex_</w:t>
      </w:r>
      <w:r>
        <w:t xml:space="preserve"> (short for </w:t>
      </w:r>
      <w:r>
        <w:rPr>
          <w:rStyle w:val="Text0"/>
        </w:rPr>
        <w:t>complex128</w:t>
      </w:r>
      <w:r>
        <w:t>).</w:t>
      </w:r>
    </w:p>
    <w:p>
      <w:bookmarkStart w:id="3652" w:name="Creating_a_NumPy_array__There_ar"/>
      <w:pPr>
        <w:keepNext/>
        <w:pStyle w:val="Heading 2"/>
      </w:pPr>
      <w:r>
        <w:t>Creating a NumPy array</w:t>
      </w:r>
      <w:bookmarkEnd w:id="3652"/>
    </w:p>
    <w:p>
      <w:pPr>
        <w:pStyle w:val="Normal"/>
      </w:pPr>
      <w:r>
        <w:t>There are several ways to create an array in NumPy. Among the most common are:</w:t>
      </w:r>
    </w:p>
    <w:p>
      <w:pPr>
        <w:pStyle w:val="Para 010"/>
      </w:pPr>
      <w:r>
        <w:t>With</w:t>
      </w:r>
      <w:r>
        <w:rPr>
          <w:rStyle w:val="Text111"/>
        </w:rPr>
        <w:bookmarkStart w:id="3653" w:name="idm45965185288800"/>
        <w:t/>
        <w:bookmarkEnd w:id="3653"/>
      </w:r>
      <w:r>
        <w:t xml:space="preserve"> the factory function </w:t>
      </w:r>
      <w:r>
        <w:rPr>
          <w:rStyle w:val="Text0"/>
        </w:rPr>
        <w:t>np.array</w:t>
      </w:r>
      <w:r>
        <w:t xml:space="preserve">, from a sequence (often a nested one), with </w:t>
      </w:r>
      <w:r>
        <w:rPr>
          <w:rStyle w:val="Text4"/>
        </w:rPr>
        <w:t>type inference</w:t>
      </w:r>
      <w:r>
        <w:t xml:space="preserve"> or by explicitly specifying </w:t>
      </w:r>
      <w:r>
        <w:rPr>
          <w:rStyle w:val="Text3"/>
        </w:rPr>
        <w:t>dtype</w:t>
      </w:r>
    </w:p>
    <w:p>
      <w:pPr>
        <w:pStyle w:val="Para 010"/>
      </w:pPr>
      <w:r>
        <w:t xml:space="preserve">With factory functions </w:t>
      </w:r>
      <w:r>
        <w:rPr>
          <w:rStyle w:val="Text0"/>
        </w:rPr>
        <w:t>np.zeros</w:t>
      </w:r>
      <w:r>
        <w:t xml:space="preserve">, </w:t>
      </w:r>
      <w:r>
        <w:rPr>
          <w:rStyle w:val="Text0"/>
        </w:rPr>
        <w:t>np.ones</w:t>
      </w:r>
      <w:r>
        <w:t xml:space="preserve">, or </w:t>
      </w:r>
      <w:r>
        <w:rPr>
          <w:rStyle w:val="Text0"/>
        </w:rPr>
        <w:t>np.empty</w:t>
      </w:r>
      <w:r>
        <w:t xml:space="preserve">, which default to </w:t>
      </w:r>
      <w:r>
        <w:rPr>
          <w:rStyle w:val="Text3"/>
        </w:rPr>
        <w:t>dtype</w:t>
      </w:r>
      <w:r>
        <w:t xml:space="preserve"> </w:t>
      </w:r>
      <w:r>
        <w:rPr>
          <w:rStyle w:val="Text0"/>
        </w:rPr>
        <w:t>float64</w:t>
      </w:r>
    </w:p>
    <w:p>
      <w:pPr>
        <w:pStyle w:val="Para 010"/>
      </w:pPr>
      <w:r>
        <w:t xml:space="preserve">With factory function </w:t>
      </w:r>
      <w:r>
        <w:rPr>
          <w:rStyle w:val="Text0"/>
        </w:rPr>
        <w:t>np.indices</w:t>
      </w:r>
      <w:r>
        <w:t xml:space="preserve">, which defaults to </w:t>
      </w:r>
      <w:r>
        <w:rPr>
          <w:rStyle w:val="Text3"/>
        </w:rPr>
        <w:t>dtype</w:t>
      </w:r>
      <w:r>
        <w:t xml:space="preserve"> </w:t>
      </w:r>
      <w:r>
        <w:rPr>
          <w:rStyle w:val="Text0"/>
        </w:rPr>
        <w:t>int64</w:t>
      </w:r>
    </w:p>
    <w:p>
      <w:pPr>
        <w:pStyle w:val="Para 065"/>
      </w:pPr>
      <w:r>
        <w:rPr>
          <w:rStyle w:val="Text12"/>
        </w:rPr>
        <w:t xml:space="preserve">With factory functions </w:t>
      </w:r>
      <w:r>
        <w:t>np.random.uniform</w:t>
      </w:r>
      <w:r>
        <w:rPr>
          <w:rStyle w:val="Text12"/>
        </w:rPr>
        <w:t xml:space="preserve">, </w:t>
      </w:r>
      <w:r>
        <w:t>np.random.normal</w:t>
      </w:r>
      <w:r>
        <w:rPr>
          <w:rStyle w:val="Text12"/>
        </w:rPr>
        <w:t xml:space="preserve">, </w:t>
      </w:r>
      <w:r>
        <w:t>np.random.binomial</w:t>
      </w:r>
      <w:r>
        <w:rPr>
          <w:rStyle w:val="Text12"/>
        </w:rPr>
        <w:t xml:space="preserve">, etc., which default to </w:t>
      </w:r>
      <w:r>
        <w:rPr>
          <w:rStyle w:val="Text3"/>
        </w:rPr>
        <w:t>dtype</w:t>
      </w:r>
      <w:r>
        <w:rPr>
          <w:rStyle w:val="Text12"/>
        </w:rPr>
        <w:t xml:space="preserve"> </w:t>
      </w:r>
      <w:r>
        <w:t>float64</w:t>
      </w:r>
    </w:p>
    <w:p>
      <w:pPr>
        <w:pStyle w:val="Para 010"/>
      </w:pPr>
      <w:r>
        <w:t xml:space="preserve">With factory function </w:t>
      </w:r>
      <w:r>
        <w:rPr>
          <w:rStyle w:val="Text0"/>
        </w:rPr>
        <w:t>np.arange</w:t>
      </w:r>
      <w:r>
        <w:t xml:space="preserve"> (with the usual </w:t>
      </w:r>
      <w:r>
        <w:rPr>
          <w:rStyle w:val="Text3"/>
        </w:rPr>
        <w:t>start</w:t>
      </w:r>
      <w:r>
        <w:t xml:space="preserve">, </w:t>
      </w:r>
      <w:r>
        <w:rPr>
          <w:rStyle w:val="Text3"/>
        </w:rPr>
        <w:t>stop</w:t>
      </w:r>
      <w:r>
        <w:t xml:space="preserve">, </w:t>
      </w:r>
      <w:r>
        <w:rPr>
          <w:rStyle w:val="Text3"/>
        </w:rPr>
        <w:t>stride</w:t>
      </w:r>
      <w:r>
        <w:t xml:space="preserve">), or with factory function </w:t>
      </w:r>
      <w:r>
        <w:rPr>
          <w:rStyle w:val="Text0"/>
        </w:rPr>
        <w:t>np.linspace</w:t>
      </w:r>
      <w:r>
        <w:t xml:space="preserve"> (with </w:t>
      </w:r>
      <w:r>
        <w:rPr>
          <w:rStyle w:val="Text3"/>
        </w:rPr>
        <w:t>start</w:t>
      </w:r>
      <w:r>
        <w:t xml:space="preserve">, </w:t>
      </w:r>
      <w:r>
        <w:rPr>
          <w:rStyle w:val="Text3"/>
        </w:rPr>
        <w:t>stop</w:t>
      </w:r>
      <w:r>
        <w:t xml:space="preserve">, </w:t>
      </w:r>
      <w:r>
        <w:rPr>
          <w:rStyle w:val="Text3"/>
        </w:rPr>
        <w:t>quantity</w:t>
      </w:r>
      <w:r>
        <w:t>) for better floating-point behavior</w:t>
      </w:r>
    </w:p>
    <w:p>
      <w:pPr>
        <w:pStyle w:val="Para 010"/>
      </w:pPr>
      <w:r>
        <w:t xml:space="preserve">By reading data from files with other </w:t>
      </w:r>
      <w:r>
        <w:rPr>
          <w:rStyle w:val="Text0"/>
        </w:rPr>
        <w:t>np</w:t>
      </w:r>
      <w:r>
        <w:t xml:space="preserve"> functions (e.g., CSV with </w:t>
      </w:r>
      <w:r>
        <w:rPr>
          <w:rStyle w:val="Text0"/>
        </w:rPr>
        <w:t>np.genfromtxt</w:t>
      </w:r>
      <w:r>
        <w:t>)</w:t>
      </w:r>
    </w:p>
    <w:p>
      <w:pPr>
        <w:pStyle w:val="Normal"/>
      </w:pPr>
      <w:r>
        <w:t>Here are some examples of creating an array using the various techniques just described:</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22"/>
        </w:rPr>
        <w:t xml:space="preserve">import</w:t>
        <w:br w:clear="none"/>
      </w:r>
      <w:r>
        <w:rPr>
          <w:rStyle w:val="Text11"/>
        </w:rPr>
        <w:t xml:space="preserve"> </w:t>
        <w:br w:clear="none"/>
      </w:r>
      <w:r>
        <w:rPr>
          <w:rStyle w:val="Text53"/>
        </w:rPr>
        <w:t xml:space="preserve">numpy</w:t>
        <w:br w:clear="none"/>
      </w:r>
      <w:r>
        <w:rPr>
          <w:rStyle w:val="Text11"/>
        </w:rPr>
        <w:t xml:space="preserve"> </w:t>
        <w:br w:clear="none"/>
      </w:r>
      <w:r>
        <w:rPr>
          <w:rStyle w:val="Text22"/>
        </w:rPr>
        <w:t xml:space="preserve">as</w:t>
        <w:br w:clear="none"/>
      </w:r>
      <w:r>
        <w:rPr>
          <w:rStyle w:val="Text11"/>
        </w:rPr>
        <w:t xml:space="preserve"> </w:t>
        <w:br w:clear="none"/>
      </w:r>
      <w:r>
        <w:rPr>
          <w:rStyle w:val="Text53"/>
        </w:rPr>
        <w:t xml:space="preserve">np</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array</w:t>
        <w:br w:clear="none"/>
      </w:r>
      <w:r>
        <w:rPr>
          <w:rStyle w:val="Text19"/>
        </w:rPr>
        <w:t xml:space="preserve">(</w:t>
        <w:br w:clear="none"/>
        <w:t xml:space="preserve">[</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rPr>
          <w:rStyle w:val="Text35"/>
        </w:rPr>
        <w:t xml:space="preserve">3</w:t>
        <w:br w:clear="none"/>
      </w:r>
      <w:r>
        <w:rPr>
          <w:rStyle w:val="Text19"/>
        </w:rPr>
        <w:t xml:space="preserve">,</w:t>
        <w:br w:clear="none"/>
      </w:r>
      <w:r>
        <w:rPr>
          <w:rStyle w:val="Text11"/>
        </w:rPr>
        <w:t xml:space="preserve"> </w:t>
        <w:br w:clear="none"/>
      </w:r>
      <w:r>
        <w:rPr>
          <w:rStyle w:val="Text35"/>
        </w:rPr>
        <w:t xml:space="preserve">4</w:t>
        <w:br w:clear="none"/>
      </w:r>
      <w:r>
        <w:rPr>
          <w:rStyle w:val="Text19"/>
        </w:rPr>
        <w:t xml:space="preserve">]</w:t>
        <w:br w:clear="none"/>
        <w:t xml:space="preserve">)</w:t>
        <w:br w:clear="none"/>
      </w:r>
      <w:r>
        <w:rPr>
          <w:rStyle w:val="Text11"/>
        </w:rPr>
        <w:t xml:space="preserve">  </w:t>
        <w:br w:clear="none"/>
      </w:r>
      <w:r>
        <w:t xml:space="preserve"># from a Python list</w:t>
        <w:br w:clear="none"/>
      </w:r>
    </w:p>
    <w:p>
      <w:pPr>
        <w:pStyle w:val="Para 008"/>
      </w:pPr>
      <w:r>
        <w:rPr>
          <w:rStyle w:val="Text48"/>
        </w:rPr>
        <w:t xml:space="preserve"/>
        <w:br w:clear="none"/>
      </w:r>
      <w:r>
        <w:t xml:space="preserve">array([1, 2, 3, 4])</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array</w:t>
        <w:br w:clear="none"/>
      </w:r>
      <w:r>
        <w:rPr>
          <w:rStyle w:val="Text19"/>
        </w:rPr>
        <w:t xml:space="preserve">(</w:t>
        <w:br w:clear="none"/>
      </w:r>
      <w:r>
        <w:rPr>
          <w:rStyle w:val="Text35"/>
        </w:rPr>
        <w:t xml:space="preserve">5</w:t>
        <w:br w:clear="none"/>
      </w:r>
      <w:r>
        <w:rPr>
          <w:rStyle w:val="Text19"/>
        </w:rPr>
        <w:t xml:space="preserve">,</w:t>
        <w:br w:clear="none"/>
      </w:r>
      <w:r>
        <w:rPr>
          <w:rStyle w:val="Text11"/>
        </w:rPr>
        <w:t xml:space="preserve"> </w:t>
        <w:br w:clear="none"/>
      </w:r>
      <w:r>
        <w:rPr>
          <w:rStyle w:val="Text35"/>
        </w:rPr>
        <w:t xml:space="preserve">6</w:t>
        <w:br w:clear="none"/>
      </w:r>
      <w:r>
        <w:rPr>
          <w:rStyle w:val="Text19"/>
        </w:rPr>
        <w:t xml:space="preserve">,</w:t>
        <w:br w:clear="none"/>
      </w:r>
      <w:r>
        <w:rPr>
          <w:rStyle w:val="Text11"/>
        </w:rPr>
        <w:t xml:space="preserve"> </w:t>
        <w:br w:clear="none"/>
      </w:r>
      <w:r>
        <w:rPr>
          <w:rStyle w:val="Text35"/>
        </w:rPr>
        <w:t xml:space="preserve">7</w:t>
        <w:br w:clear="none"/>
      </w:r>
      <w:r>
        <w:rPr>
          <w:rStyle w:val="Text19"/>
        </w:rPr>
        <w:t xml:space="preserve">)</w:t>
        <w:br w:clear="none"/>
      </w:r>
      <w:r>
        <w:rPr>
          <w:rStyle w:val="Text11"/>
        </w:rPr>
        <w:t xml:space="preserve">  </w:t>
        <w:br w:clear="none"/>
      </w:r>
      <w:r>
        <w:t xml:space="preserve"># a common error: passing items separately (they</w:t>
        <w:br w:clear="none"/>
      </w:r>
      <w:r>
        <w:rPr>
          <w:rStyle w:val="Text11"/>
        </w:rPr>
        <w:t xml:space="preserve"/>
        <w:br w:clear="none"/>
        <w:t xml:space="preserve">                       </w:t>
        <w:br w:clear="none"/>
      </w:r>
      <w:r>
        <w:t xml:space="preserve"># must be passed as a sequence, e.g. a list)</w:t>
        <w:br w:clear="none"/>
      </w:r>
    </w:p>
    <w:p>
      <w:pPr>
        <w:pStyle w:val="Para 008"/>
      </w:pPr>
      <w:r>
        <w:rPr>
          <w:rStyle w:val="Text48"/>
        </w:rPr>
        <w:t xml:space="preserve"/>
        <w:br w:clear="none"/>
      </w:r>
      <w:r>
        <w:t xml:space="preserve">Traceback (most recent call last):</w:t>
        <w:br w:clear="none"/>
      </w:r>
      <w:r>
        <w:rPr>
          <w:rStyle w:val="Text48"/>
        </w:rPr>
        <w:t xml:space="preserve"/>
        <w:br w:clear="none"/>
      </w:r>
      <w:r>
        <w:t xml:space="preserve">  File "&lt;stdin&gt;", line 1, in &lt;module&gt;</w:t>
        <w:br w:clear="none"/>
      </w:r>
      <w:r>
        <w:rPr>
          <w:rStyle w:val="Text48"/>
        </w:rPr>
        <w:t xml:space="preserve"/>
        <w:br w:clear="none"/>
      </w:r>
      <w:r>
        <w:t xml:space="preserve">TypeError: array() takes from 1 to 2 positional arguments, 3 were given</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s</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alph</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abet</w:t>
        <w:br w:clear="none"/>
        <w:t xml:space="preserve">'</w:t>
        <w:br w:clear="none"/>
      </w:r>
      <w:r>
        <w:rPr>
          <w:rStyle w:val="Text11"/>
        </w:rPr>
        <w:t xml:space="preserve">  </w:t>
        <w:br w:clear="none"/>
      </w:r>
      <w:r>
        <w:t xml:space="preserve"># a tuple of two strings</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array</w:t>
        <w:br w:clear="none"/>
      </w:r>
      <w:r>
        <w:rPr>
          <w:rStyle w:val="Text19"/>
        </w:rPr>
        <w:t xml:space="preserve">(</w:t>
        <w:br w:clear="none"/>
      </w:r>
      <w:r>
        <w:rPr>
          <w:rStyle w:val="Text14"/>
        </w:rPr>
        <w:t xml:space="preserve">s</w:t>
        <w:br w:clear="none"/>
      </w:r>
      <w:r>
        <w:rPr>
          <w:rStyle w:val="Text19"/>
        </w:rPr>
        <w:t xml:space="preserve">)</w:t>
        <w:br w:clear="none"/>
      </w:r>
    </w:p>
    <w:p>
      <w:pPr>
        <w:pStyle w:val="Para 008"/>
      </w:pPr>
      <w:r>
        <w:rPr>
          <w:rStyle w:val="Text48"/>
        </w:rPr>
        <w:t xml:space="preserve"/>
        <w:br w:clear="none"/>
      </w:r>
      <w:r>
        <w:t xml:space="preserve">array(['alph', 'abet'], dtype='&lt;U4')</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t</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t xml:space="preserve">(</w:t>
        <w:br w:clear="none"/>
      </w:r>
      <w:r>
        <w:rPr>
          <w:rStyle w:val="Text35"/>
        </w:rPr>
        <w:t xml:space="preserve">1</w:t>
        <w:br w:clear="none"/>
      </w:r>
      <w:r>
        <w:rPr>
          <w:rStyle w:val="Text19"/>
        </w:rPr>
        <w:t xml:space="preserve">,</w:t>
        <w:br w:clear="none"/>
      </w:r>
      <w:r>
        <w:rPr>
          <w:rStyle w:val="Text35"/>
        </w:rPr>
        <w:t xml:space="preserve">2</w:t>
        <w:br w:clear="none"/>
      </w:r>
      <w:r>
        <w:rPr>
          <w:rStyle w:val="Text19"/>
        </w:rPr>
        <w:t xml:space="preserve">)</w:t>
        <w:br w:clear="none"/>
        <w:t xml:space="preserve">,</w:t>
        <w:br w:clear="none"/>
      </w:r>
      <w:r>
        <w:rPr>
          <w:rStyle w:val="Text11"/>
        </w:rPr>
        <w:t xml:space="preserve"> </w:t>
        <w:br w:clear="none"/>
      </w:r>
      <w:r>
        <w:rPr>
          <w:rStyle w:val="Text19"/>
        </w:rPr>
        <w:t xml:space="preserve">(</w:t>
        <w:br w:clear="none"/>
      </w:r>
      <w:r>
        <w:rPr>
          <w:rStyle w:val="Text35"/>
        </w:rPr>
        <w:t xml:space="preserve">3</w:t>
        <w:br w:clear="none"/>
      </w:r>
      <w:r>
        <w:rPr>
          <w:rStyle w:val="Text19"/>
        </w:rPr>
        <w:t xml:space="preserve">,</w:t>
        <w:br w:clear="none"/>
      </w:r>
      <w:r>
        <w:rPr>
          <w:rStyle w:val="Text35"/>
        </w:rPr>
        <w:t xml:space="preserve">4</w:t>
        <w:br w:clear="none"/>
      </w:r>
      <w:r>
        <w:rPr>
          <w:rStyle w:val="Text19"/>
        </w:rPr>
        <w:t xml:space="preserve">)</w:t>
        <w:br w:clear="none"/>
        <w:t xml:space="preserve">,</w:t>
        <w:br w:clear="none"/>
      </w:r>
      <w:r>
        <w:rPr>
          <w:rStyle w:val="Text11"/>
        </w:rPr>
        <w:t xml:space="preserve"> </w:t>
        <w:br w:clear="none"/>
      </w:r>
      <w:r>
        <w:rPr>
          <w:rStyle w:val="Text19"/>
        </w:rPr>
        <w:t xml:space="preserve">(</w:t>
        <w:br w:clear="none"/>
      </w:r>
      <w:r>
        <w:rPr>
          <w:rStyle w:val="Text35"/>
        </w:rPr>
        <w:t xml:space="preserve">0</w:t>
        <w:br w:clear="none"/>
      </w:r>
      <w:r>
        <w:rPr>
          <w:rStyle w:val="Text19"/>
        </w:rPr>
        <w:t xml:space="preserve">,</w:t>
        <w:br w:clear="none"/>
      </w:r>
      <w:r>
        <w:rPr>
          <w:rStyle w:val="Text35"/>
        </w:rPr>
        <w:t xml:space="preserve">1</w:t>
        <w:br w:clear="none"/>
      </w:r>
      <w:r>
        <w:rPr>
          <w:rStyle w:val="Text19"/>
        </w:rPr>
        <w:t xml:space="preserve">)</w:t>
        <w:br w:clear="none"/>
        <w:t xml:space="preserve">]</w:t>
        <w:br w:clear="none"/>
      </w:r>
      <w:r>
        <w:rPr>
          <w:rStyle w:val="Text11"/>
        </w:rPr>
        <w:t xml:space="preserve">  </w:t>
        <w:br w:clear="none"/>
      </w:r>
      <w:r>
        <w:t xml:space="preserve"># a list of tuples</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array</w:t>
        <w:br w:clear="none"/>
      </w:r>
      <w:r>
        <w:rPr>
          <w:rStyle w:val="Text19"/>
        </w:rPr>
        <w:t xml:space="preserve">(</w:t>
        <w:br w:clear="none"/>
      </w:r>
      <w:r>
        <w:rPr>
          <w:rStyle w:val="Text14"/>
        </w:rPr>
        <w:t xml:space="preserve">t</w:t>
        <w:br w:clear="none"/>
      </w:r>
      <w:r>
        <w:rPr>
          <w:rStyle w:val="Text19"/>
        </w:rPr>
        <w:t xml:space="preserve">,</w:t>
        <w:br w:clear="none"/>
      </w:r>
      <w:r>
        <w:rPr>
          <w:rStyle w:val="Text11"/>
        </w:rPr>
        <w:t xml:space="preserve"> </w:t>
        <w:br w:clear="none"/>
      </w:r>
      <w:r>
        <w:rPr>
          <w:rStyle w:val="Text14"/>
        </w:rPr>
        <w:t xml:space="preserve">dtype</w:t>
        <w:br w:clear="none"/>
      </w:r>
      <w:r>
        <w:rPr>
          <w:rStyle w:val="Text28"/>
        </w:rPr>
        <w:t xml:space="preserve">=</w:t>
        <w:br w:clear="none"/>
      </w:r>
      <w:r>
        <w:rPr>
          <w:rStyle w:val="Text17"/>
        </w:rPr>
        <w:t xml:space="preserve">'</w:t>
        <w:br w:clear="none"/>
        <w:t xml:space="preserve">float64</w:t>
        <w:br w:clear="none"/>
        <w:t xml:space="preserve">'</w:t>
        <w:br w:clear="none"/>
      </w:r>
      <w:r>
        <w:rPr>
          <w:rStyle w:val="Text19"/>
        </w:rPr>
        <w:t xml:space="preserve">)</w:t>
        <w:br w:clear="none"/>
      </w:r>
      <w:r>
        <w:rPr>
          <w:rStyle w:val="Text11"/>
        </w:rPr>
        <w:t xml:space="preserve">  </w:t>
        <w:br w:clear="none"/>
      </w:r>
      <w:r>
        <w:t xml:space="preserve"># explicit type designation</w:t>
        <w:br w:clear="none"/>
      </w:r>
    </w:p>
    <w:p>
      <w:pPr>
        <w:pStyle w:val="Para 008"/>
      </w:pPr>
      <w:r>
        <w:rPr>
          <w:rStyle w:val="Text48"/>
        </w:rPr>
        <w:t xml:space="preserve"/>
        <w:br w:clear="none"/>
      </w:r>
      <w:r>
        <w:t xml:space="preserve">array([[1., 2.],</w:t>
        <w:br w:clear="none"/>
      </w:r>
      <w:r>
        <w:rPr>
          <w:rStyle w:val="Text48"/>
        </w:rPr>
        <w:t xml:space="preserve"/>
        <w:br w:clear="none"/>
      </w:r>
      <w:r>
        <w:t xml:space="preserve">       [3., 4.],</w:t>
        <w:br w:clear="none"/>
      </w:r>
      <w:r>
        <w:rPr>
          <w:rStyle w:val="Text48"/>
        </w:rPr>
        <w:t xml:space="preserve"/>
        <w:br w:clear="none"/>
      </w:r>
      <w:r>
        <w:t xml:space="preserve">       [0., 1.]])</w:t>
        <w:br w:clear="none"/>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x</w:t>
        <w:br w:clear="none"/>
      </w:r>
      <w:r>
        <w:rPr>
          <w:rStyle w:val="Text6"/>
        </w:rPr>
        <w:t xml:space="preserve"> </w:t>
        <w:br w:clear="none"/>
      </w:r>
      <w:r>
        <w:rPr>
          <w:rStyle w:val="Text13"/>
        </w:rPr>
        <w:t xml:space="preserve">=</w:t>
        <w:br w:clear="none"/>
      </w:r>
      <w:r>
        <w:rPr>
          <w:rStyle w:val="Text6"/>
        </w:rPr>
        <w:t xml:space="preserve"> </w:t>
        <w:br w:clear="none"/>
      </w:r>
      <w:r>
        <w:t xml:space="preserve">np</w:t>
        <w:br w:clear="none"/>
      </w:r>
      <w:r>
        <w:rPr>
          <w:rStyle w:val="Text13"/>
        </w:rPr>
        <w:t xml:space="preserve">.</w:t>
        <w:br w:clear="none"/>
      </w:r>
      <w:r>
        <w:t xml:space="preserve">array</w:t>
        <w:br w:clear="none"/>
      </w:r>
      <w:r>
        <w:rPr>
          <w:rStyle w:val="Text7"/>
        </w:rPr>
        <w:t xml:space="preserve">(</w:t>
        <w:br w:clear="none"/>
      </w:r>
      <w:r>
        <w:rPr>
          <w:rStyle w:val="Text27"/>
        </w:rPr>
        <w:t xml:space="preserve">1.2</w:t>
        <w:br w:clear="none"/>
      </w:r>
      <w:r>
        <w:rPr>
          <w:rStyle w:val="Text7"/>
        </w:rPr>
        <w:t xml:space="preserve">,</w:t>
        <w:br w:clear="none"/>
      </w:r>
      <w:r>
        <w:rPr>
          <w:rStyle w:val="Text6"/>
        </w:rPr>
        <w:t xml:space="preserve"> </w:t>
        <w:br w:clear="none"/>
      </w:r>
      <w:r>
        <w:t xml:space="preserve">dtype</w:t>
        <w:br w:clear="none"/>
      </w:r>
      <w:r>
        <w:rPr>
          <w:rStyle w:val="Text13"/>
        </w:rPr>
        <w:t xml:space="preserve">=</w:t>
        <w:br w:clear="none"/>
      </w:r>
      <w:r>
        <w:t xml:space="preserve">np</w:t>
        <w:br w:clear="none"/>
      </w:r>
      <w:r>
        <w:rPr>
          <w:rStyle w:val="Text13"/>
        </w:rPr>
        <w:t xml:space="preserve">.</w:t>
        <w:br w:clear="none"/>
      </w:r>
      <w:r>
        <w:t xml:space="preserve">float16</w:t>
        <w:br w:clear="none"/>
      </w:r>
      <w:r>
        <w:rPr>
          <w:rStyle w:val="Text7"/>
        </w:rPr>
        <w:t xml:space="preserve">)</w:t>
        <w:br w:clear="none"/>
      </w:r>
      <w:r>
        <w:rPr>
          <w:rStyle w:val="Text6"/>
        </w:rPr>
        <w:t xml:space="preserve">  </w:t>
        <w:br w:clear="none"/>
      </w:r>
      <w:r>
        <w:rPr>
          <w:rStyle w:val="Text15"/>
        </w:rPr>
        <w:t xml:space="preserve"># a scalar</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x</w:t>
        <w:br w:clear="none"/>
      </w:r>
      <w:r>
        <w:rPr>
          <w:rStyle w:val="Text13"/>
        </w:rPr>
        <w:t xml:space="preserve">.</w:t>
        <w:br w:clear="none"/>
      </w:r>
      <w:r>
        <w:t xml:space="preserve">shape</w:t>
        <w:br w:clear="none"/>
      </w:r>
    </w:p>
    <w:p>
      <w:pPr>
        <w:pStyle w:val="Para 008"/>
      </w:pPr>
      <w:r>
        <w:rPr>
          <w:rStyle w:val="Text48"/>
        </w:rPr>
        <w:t xml:space="preserve"/>
        <w:br w:clear="none"/>
      </w:r>
      <w:r>
        <w:t xml:space="preserve">()</w:t>
        <w:br w:clear="none"/>
      </w:r>
    </w:p>
    <w:p>
      <w:pPr>
        <w:pStyle w:val="Para 039"/>
      </w:pPr>
      <w:r>
        <w:rPr>
          <w:rStyle w:val="Text23"/>
        </w:rPr>
        <w:t xml:space="preserve"/>
        <w:br w:clear="none"/>
      </w:r>
      <w:r>
        <w:t xml:space="preserve">&gt;&gt;&gt;</w:t>
        <w:br w:clear="none"/>
      </w:r>
      <w:r>
        <w:rPr>
          <w:rStyle w:val="Text23"/>
        </w:rPr>
        <w:t xml:space="preserve"> </w:t>
        <w:br w:clear="none"/>
      </w:r>
      <w:r>
        <w:rPr>
          <w:rStyle w:val="Text9"/>
        </w:rPr>
        <w:t xml:space="preserve">x</w:t>
        <w:br w:clear="none"/>
      </w:r>
      <w:r>
        <w:t xml:space="preserve">.</w:t>
        <w:br w:clear="none"/>
      </w:r>
      <w:r>
        <w:rPr>
          <w:rStyle w:val="Text9"/>
        </w:rPr>
        <w:t xml:space="preserve">max</w:t>
        <w:br w:clear="none"/>
      </w:r>
      <w:r>
        <w:rPr>
          <w:rStyle w:val="Text7"/>
        </w:rPr>
        <w:t xml:space="preserve">()</w:t>
        <w:br w:clear="none"/>
      </w:r>
    </w:p>
    <w:p>
      <w:pPr>
        <w:pStyle w:val="Para 008"/>
      </w:pPr>
      <w:r>
        <w:rPr>
          <w:rStyle w:val="Text48"/>
        </w:rPr>
        <w:t xml:space="preserve"/>
        <w:br w:clear="none"/>
      </w:r>
      <w:r>
        <w:t xml:space="preserve">1.2</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zeros</w:t>
        <w:br w:clear="none"/>
      </w:r>
      <w:r>
        <w:rPr>
          <w:rStyle w:val="Text19"/>
        </w:rPr>
        <w:t xml:space="preserve">(</w:t>
        <w:br w:clear="none"/>
      </w:r>
      <w:r>
        <w:rPr>
          <w:rStyle w:val="Text35"/>
        </w:rPr>
        <w:t xml:space="preserve">3</w:t>
        <w:br w:clear="none"/>
      </w:r>
      <w:r>
        <w:rPr>
          <w:rStyle w:val="Text19"/>
        </w:rPr>
        <w:t xml:space="preserve">)</w:t>
        <w:br w:clear="none"/>
      </w:r>
      <w:r>
        <w:rPr>
          <w:rStyle w:val="Text11"/>
        </w:rPr>
        <w:t xml:space="preserve">  </w:t>
        <w:br w:clear="none"/>
      </w:r>
      <w:r>
        <w:t xml:space="preserve"># shape defaults to a vector</w:t>
        <w:br w:clear="none"/>
      </w:r>
    </w:p>
    <w:p>
      <w:pPr>
        <w:pStyle w:val="Para 008"/>
      </w:pPr>
      <w:r>
        <w:rPr>
          <w:rStyle w:val="Text48"/>
        </w:rPr>
        <w:t xml:space="preserve"/>
        <w:br w:clear="none"/>
      </w:r>
      <w:r>
        <w:t xml:space="preserve">array([0., 0., 0.])</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ones</w:t>
        <w:br w:clear="none"/>
      </w:r>
      <w:r>
        <w:rPr>
          <w:rStyle w:val="Text19"/>
        </w:rPr>
        <w:t xml:space="preserve">(</w:t>
        <w:br w:clear="none"/>
        <w:t xml:space="preserve">(</w:t>
        <w:br w:clear="none"/>
      </w:r>
      <w:r>
        <w:rPr>
          <w:rStyle w:val="Text35"/>
        </w:rPr>
        <w:t xml:space="preserve">2</w:t>
        <w:br w:clear="none"/>
      </w:r>
      <w:r>
        <w:rPr>
          <w:rStyle w:val="Text19"/>
        </w:rPr>
        <w:t xml:space="preserve">,</w:t>
        <w:br w:clear="none"/>
      </w:r>
      <w:r>
        <w:rPr>
          <w:rStyle w:val="Text35"/>
        </w:rPr>
        <w:t xml:space="preserve">2</w:t>
        <w:br w:clear="none"/>
      </w:r>
      <w:r>
        <w:rPr>
          <w:rStyle w:val="Text19"/>
        </w:rPr>
        <w:t xml:space="preserve">)</w:t>
        <w:br w:clear="none"/>
        <w:t xml:space="preserve">)</w:t>
        <w:br w:clear="none"/>
      </w:r>
      <w:r>
        <w:rPr>
          <w:rStyle w:val="Text11"/>
        </w:rPr>
        <w:t xml:space="preserve">  </w:t>
        <w:br w:clear="none"/>
      </w:r>
      <w:r>
        <w:t xml:space="preserve"># with shape specified</w:t>
        <w:br w:clear="none"/>
      </w:r>
    </w:p>
    <w:p>
      <w:pPr>
        <w:pStyle w:val="Para 008"/>
      </w:pPr>
      <w:r>
        <w:rPr>
          <w:rStyle w:val="Text48"/>
        </w:rPr>
        <w:t xml:space="preserve"/>
        <w:br w:clear="none"/>
      </w:r>
      <w:r>
        <w:t xml:space="preserve">array([[1., 1.],</w:t>
        <w:br w:clear="none"/>
      </w:r>
      <w:r>
        <w:rPr>
          <w:rStyle w:val="Text48"/>
        </w:rPr>
        <w:t xml:space="preserve"/>
        <w:br w:clear="none"/>
      </w:r>
      <w:r>
        <w:t xml:space="preserve">[1., 1.]])</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empty</w:t>
        <w:br w:clear="none"/>
      </w:r>
      <w:r>
        <w:rPr>
          <w:rStyle w:val="Text19"/>
        </w:rPr>
        <w:t xml:space="preserve">(</w:t>
        <w:br w:clear="none"/>
      </w:r>
      <w:r>
        <w:rPr>
          <w:rStyle w:val="Text35"/>
        </w:rPr>
        <w:t xml:space="preserve">9</w:t>
        <w:br w:clear="none"/>
      </w:r>
      <w:r>
        <w:rPr>
          <w:rStyle w:val="Text19"/>
        </w:rPr>
        <w:t xml:space="preserve">)</w:t>
        <w:br w:clear="none"/>
      </w:r>
      <w:r>
        <w:rPr>
          <w:rStyle w:val="Text11"/>
        </w:rPr>
        <w:t xml:space="preserve">  </w:t>
        <w:br w:clear="none"/>
      </w:r>
      <w:r>
        <w:t xml:space="preserve"># arbitrary float64s</w:t>
        <w:br w:clear="none"/>
      </w:r>
    </w:p>
    <w:p>
      <w:pPr>
        <w:pStyle w:val="Para 008"/>
      </w:pPr>
      <w:r>
        <w:rPr>
          <w:rStyle w:val="Text48"/>
        </w:rPr>
        <w:t xml:space="preserve"/>
        <w:br w:clear="none"/>
      </w:r>
      <w:r>
        <w:t xml:space="preserve">array([ 6.17779239e-31, -1.23555848e-30,  3.08889620e-31,</w:t>
        <w:br w:clear="none"/>
      </w:r>
      <w:r>
        <w:rPr>
          <w:rStyle w:val="Text48"/>
        </w:rPr>
        <w:t xml:space="preserve"/>
        <w:br w:clear="none"/>
        <w:t xml:space="preserve">       </w:t>
        <w:br w:clear="none"/>
      </w:r>
      <w:r>
        <w:t xml:space="preserve">-1.23555848e-30,  2.68733969e-30, -8.34001973e-31,</w:t>
        <w:br w:clear="none"/>
      </w:r>
      <w:r>
        <w:rPr>
          <w:rStyle w:val="Text48"/>
        </w:rPr>
        <w:t xml:space="preserve">  </w:t>
        <w:br w:clear="none"/>
        <w:t xml:space="preserve">	    </w:t>
        <w:br w:clear="none"/>
      </w:r>
      <w:r>
        <w:t xml:space="preserve">3.08889620e-31, -8.34001973e-31,  4.78778910e-31])</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np</w:t>
        <w:br w:clear="none"/>
      </w:r>
      <w:r>
        <w:rPr>
          <w:rStyle w:val="Text13"/>
        </w:rPr>
        <w:t xml:space="preserve">.</w:t>
        <w:br w:clear="none"/>
      </w:r>
      <w:r>
        <w:t xml:space="preserve">indices</w:t>
        <w:br w:clear="none"/>
      </w:r>
      <w:r>
        <w:rPr>
          <w:rStyle w:val="Text7"/>
        </w:rPr>
        <w:t xml:space="preserve">((</w:t>
        <w:br w:clear="none"/>
      </w:r>
      <w:r>
        <w:rPr>
          <w:rStyle w:val="Text27"/>
        </w:rPr>
        <w:t xml:space="preserve">3</w:t>
        <w:br w:clear="none"/>
      </w:r>
      <w:r>
        <w:rPr>
          <w:rStyle w:val="Text7"/>
        </w:rPr>
        <w:t xml:space="preserve">,</w:t>
        <w:br w:clear="none"/>
      </w:r>
      <w:r>
        <w:rPr>
          <w:rStyle w:val="Text27"/>
        </w:rPr>
        <w:t xml:space="preserve">3</w:t>
        <w:br w:clear="none"/>
      </w:r>
      <w:r>
        <w:rPr>
          <w:rStyle w:val="Text7"/>
        </w:rPr>
        <w:t xml:space="preserve">))</w:t>
        <w:br w:clear="none"/>
      </w:r>
    </w:p>
    <w:p>
      <w:pPr>
        <w:pStyle w:val="Para 008"/>
      </w:pPr>
      <w:r>
        <w:rPr>
          <w:rStyle w:val="Text48"/>
        </w:rPr>
        <w:t xml:space="preserve"/>
        <w:br w:clear="none"/>
      </w:r>
      <w:r>
        <w:t xml:space="preserve">array([[[0, 0, 0],</w:t>
        <w:br w:clear="none"/>
      </w:r>
      <w:r>
        <w:rPr>
          <w:rStyle w:val="Text48"/>
        </w:rPr>
        <w:t xml:space="preserve"/>
        <w:br w:clear="none"/>
      </w:r>
      <w:r>
        <w:t xml:space="preserve">        [1, 1, 1],</w:t>
        <w:br w:clear="none"/>
      </w:r>
      <w:r>
        <w:rPr>
          <w:rStyle w:val="Text48"/>
        </w:rPr>
        <w:t xml:space="preserve"/>
        <w:br w:clear="none"/>
      </w:r>
      <w:r>
        <w:t xml:space="preserve">        [2, 2, 2]],</w:t>
        <w:br w:clear="none"/>
      </w:r>
      <w:r>
        <w:rPr>
          <w:rStyle w:val="Text48"/>
        </w:rPr>
        <w:t xml:space="preserve"/>
        <w:br w:clear="none"/>
        <w:t xml:space="preserve"/>
        <w:br w:clear="none"/>
      </w:r>
      <w:r>
        <w:t xml:space="preserve">       [[0, 1, 2],</w:t>
        <w:br w:clear="none"/>
      </w:r>
      <w:r>
        <w:rPr>
          <w:rStyle w:val="Text48"/>
        </w:rPr>
        <w:t xml:space="preserve"/>
        <w:br w:clear="none"/>
      </w:r>
      <w:r>
        <w:t xml:space="preserve">        [0, 1, 2],</w:t>
        <w:br w:clear="none"/>
      </w:r>
      <w:r>
        <w:rPr>
          <w:rStyle w:val="Text48"/>
        </w:rPr>
        <w:t xml:space="preserve"/>
        <w:br w:clear="none"/>
      </w:r>
      <w:r>
        <w:t xml:space="preserve">        [0, 1, 2]]])</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arange</w:t>
        <w:br w:clear="none"/>
      </w:r>
      <w:r>
        <w:rPr>
          <w:rStyle w:val="Text19"/>
        </w:rPr>
        <w:t xml:space="preserve">(</w:t>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10</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t>
        <w:br w:clear="none"/>
      </w:r>
      <w:r>
        <w:t xml:space="preserve"># upper bound excluded</w:t>
        <w:br w:clear="none"/>
      </w:r>
    </w:p>
    <w:p>
      <w:pPr>
        <w:pStyle w:val="Para 008"/>
      </w:pPr>
      <w:r>
        <w:rPr>
          <w:rStyle w:val="Text48"/>
        </w:rPr>
        <w:t xml:space="preserve"/>
        <w:br w:clear="none"/>
      </w:r>
      <w:r>
        <w:t xml:space="preserve">array([0, 2, 4, 6, 8])</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linspace</w:t>
        <w:br w:clear="none"/>
      </w:r>
      <w:r>
        <w:rPr>
          <w:rStyle w:val="Text19"/>
        </w:rPr>
        <w:t xml:space="preserve">(</w:t>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5</w:t>
        <w:br w:clear="none"/>
      </w:r>
      <w:r>
        <w:rPr>
          <w:rStyle w:val="Text19"/>
        </w:rPr>
        <w:t xml:space="preserve">)</w:t>
        <w:br w:clear="none"/>
      </w:r>
      <w:r>
        <w:rPr>
          <w:rStyle w:val="Text11"/>
        </w:rPr>
        <w:t xml:space="preserve">  </w:t>
        <w:br w:clear="none"/>
      </w:r>
      <w:r>
        <w:t xml:space="preserve"># default: endpoint included</w:t>
        <w:br w:clear="none"/>
      </w:r>
    </w:p>
    <w:p>
      <w:pPr>
        <w:pStyle w:val="Para 008"/>
      </w:pPr>
      <w:r>
        <w:rPr>
          <w:rStyle w:val="Text48"/>
        </w:rPr>
        <w:t xml:space="preserve"/>
        <w:br w:clear="none"/>
      </w:r>
      <w:r>
        <w:t xml:space="preserve">array([0.  , 0.25, 0.5 , 0.75, 1.  ])</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linspace</w:t>
        <w:br w:clear="none"/>
      </w:r>
      <w:r>
        <w:rPr>
          <w:rStyle w:val="Text19"/>
        </w:rPr>
        <w:t xml:space="preserve">(</w:t>
        <w:br w:clear="none"/>
      </w:r>
      <w:r>
        <w:rPr>
          <w:rStyle w:val="Text35"/>
        </w:rPr>
        <w:t xml:space="preserve">0</w:t>
        <w:br w:clear="none"/>
      </w:r>
      <w:r>
        <w:rPr>
          <w:rStyle w:val="Text19"/>
        </w:rPr>
        <w:t xml:space="preserve">,</w:t>
        <w:br w:clear="none"/>
      </w:r>
      <w:r>
        <w:rPr>
          <w:rStyle w:val="Text11"/>
        </w:rPr>
        <w:t xml:space="preserve"> </w:t>
        <w:br w:clear="none"/>
      </w:r>
      <w:r>
        <w:rPr>
          <w:rStyle w:val="Text35"/>
        </w:rPr>
        <w:t xml:space="preserve">1</w:t>
        <w:br w:clear="none"/>
      </w:r>
      <w:r>
        <w:rPr>
          <w:rStyle w:val="Text19"/>
        </w:rPr>
        <w:t xml:space="preserve">,</w:t>
        <w:br w:clear="none"/>
      </w:r>
      <w:r>
        <w:rPr>
          <w:rStyle w:val="Text11"/>
        </w:rPr>
        <w:t xml:space="preserve"> </w:t>
        <w:br w:clear="none"/>
      </w:r>
      <w:r>
        <w:rPr>
          <w:rStyle w:val="Text35"/>
        </w:rPr>
        <w:t xml:space="preserve">5</w:t>
        <w:br w:clear="none"/>
      </w:r>
      <w:r>
        <w:rPr>
          <w:rStyle w:val="Text19"/>
        </w:rPr>
        <w:t xml:space="preserve">,</w:t>
        <w:br w:clear="none"/>
      </w:r>
      <w:r>
        <w:rPr>
          <w:rStyle w:val="Text11"/>
        </w:rPr>
        <w:t xml:space="preserve"> </w:t>
        <w:br w:clear="none"/>
      </w:r>
      <w:r>
        <w:rPr>
          <w:rStyle w:val="Text14"/>
        </w:rPr>
        <w:t xml:space="preserve">endpoint</w:t>
        <w:br w:clear="none"/>
      </w:r>
      <w:r>
        <w:rPr>
          <w:rStyle w:val="Text28"/>
        </w:rPr>
        <w:t xml:space="preserve">=</w:t>
        <w:br w:clear="none"/>
      </w:r>
      <w:r>
        <w:rPr>
          <w:rStyle w:val="Text80"/>
        </w:rPr>
        <w:t xml:space="preserve">False</w:t>
        <w:br w:clear="none"/>
      </w:r>
      <w:r>
        <w:rPr>
          <w:rStyle w:val="Text19"/>
        </w:rPr>
        <w:t xml:space="preserve">)</w:t>
        <w:br w:clear="none"/>
      </w:r>
      <w:r>
        <w:rPr>
          <w:rStyle w:val="Text11"/>
        </w:rPr>
        <w:t xml:space="preserve">  </w:t>
        <w:br w:clear="none"/>
      </w:r>
      <w:r>
        <w:t xml:space="preserve"># endpoint not included</w:t>
        <w:br w:clear="none"/>
      </w:r>
    </w:p>
    <w:p>
      <w:pPr>
        <w:pStyle w:val="Para 008"/>
      </w:pPr>
      <w:r>
        <w:rPr>
          <w:rStyle w:val="Text48"/>
        </w:rPr>
        <w:t xml:space="preserve"/>
        <w:br w:clear="none"/>
      </w:r>
      <w:r>
        <w:t xml:space="preserve">array([0. , 0.2, 0.4, 0.6, 0.8])</w:t>
        <w:br w:clear="none"/>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np</w:t>
        <w:br w:clear="none"/>
      </w:r>
      <w:r>
        <w:rPr>
          <w:rStyle w:val="Text13"/>
        </w:rPr>
        <w:t xml:space="preserve">.</w:t>
        <w:br w:clear="none"/>
      </w:r>
      <w:r>
        <w:t xml:space="preserve">genfromtxt</w:t>
        <w:br w:clear="none"/>
      </w:r>
      <w:r>
        <w:rPr>
          <w:rStyle w:val="Text7"/>
        </w:rPr>
        <w:t xml:space="preserve">(</w:t>
        <w:br w:clear="none"/>
      </w:r>
      <w:r>
        <w:t xml:space="preserve">io</w:t>
        <w:br w:clear="none"/>
      </w:r>
      <w:r>
        <w:rPr>
          <w:rStyle w:val="Text13"/>
        </w:rPr>
        <w:t xml:space="preserve">.</w:t>
        <w:br w:clear="none"/>
      </w:r>
      <w:r>
        <w:t xml:space="preserve">BytesIO</w:t>
        <w:br w:clear="none"/>
      </w:r>
      <w:r>
        <w:rPr>
          <w:rStyle w:val="Text7"/>
        </w:rPr>
        <w:t xml:space="preserve">(</w:t>
        <w:br w:clear="none"/>
      </w:r>
      <w:r>
        <w:rPr>
          <w:rStyle w:val="Text6"/>
        </w:rPr>
        <w:t xml:space="preserve">b</w:t>
        <w:br w:clear="none"/>
      </w:r>
      <w:r>
        <w:rPr>
          <w:rStyle w:val="Text8"/>
        </w:rPr>
        <w:t xml:space="preserve">'</w:t>
        <w:br w:clear="none"/>
        <w:t xml:space="preserve">1 2 3</w:t>
        <w:br w:clear="none"/>
        <w:t xml:space="preserve">\n</w:t>
        <w:br w:clear="none"/>
        <w:t xml:space="preserve">4 5 6</w:t>
        <w:br w:clear="none"/>
        <w:t xml:space="preserve">'</w:t>
        <w:br w:clear="none"/>
      </w:r>
      <w:r>
        <w:rPr>
          <w:rStyle w:val="Text7"/>
        </w:rPr>
        <w:t xml:space="preserve">)</w:t>
        <w:br w:clear="none"/>
        <w:t xml:space="preserve">)</w:t>
        <w:br w:clear="none"/>
      </w:r>
      <w:r>
        <w:rPr>
          <w:rStyle w:val="Text6"/>
        </w:rPr>
        <w:t xml:space="preserve">  </w:t>
        <w:br w:clear="none"/>
      </w:r>
      <w:r>
        <w:rPr>
          <w:rStyle w:val="Text15"/>
        </w:rPr>
        <w:t xml:space="preserve"># using a pseudo-file</w:t>
        <w:br w:clear="none"/>
      </w:r>
    </w:p>
    <w:p>
      <w:pPr>
        <w:pStyle w:val="Para 008"/>
      </w:pPr>
      <w:r>
        <w:rPr>
          <w:rStyle w:val="Text48"/>
        </w:rPr>
        <w:t xml:space="preserve"/>
        <w:br w:clear="none"/>
      </w:r>
      <w:r>
        <w:t xml:space="preserve">array([[1., 2., 3.],</w:t>
        <w:br w:clear="none"/>
      </w:r>
      <w:r>
        <w:rPr>
          <w:rStyle w:val="Text48"/>
        </w:rPr>
        <w:t xml:space="preserve"/>
        <w:br w:clear="none"/>
      </w:r>
      <w:r>
        <w:t xml:space="preserve">       [4., 5., 6.]])</w:t>
        <w:br w:clear="none"/>
      </w:r>
    </w:p>
    <w:p>
      <w:pPr>
        <w:pStyle w:val="Para 020"/>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t xml:space="preserve">'</w:t>
        <w:br w:clear="none"/>
        <w:t xml:space="preserve">x.csv</w:t>
        <w:br w:clear="none"/>
        <w:t xml:space="preserve">'</w:t>
        <w:br w:clear="none"/>
      </w:r>
      <w:r>
        <w:rPr>
          <w:rStyle w:val="Text7"/>
        </w:rPr>
        <w:t xml:space="preserve">,</w:t>
        <w:br w:clear="none"/>
      </w:r>
      <w:r>
        <w:rPr>
          <w:rStyle w:val="Text6"/>
        </w:rPr>
        <w:t xml:space="preserve"> </w:t>
        <w:br w:clear="none"/>
      </w:r>
      <w:r>
        <w:t xml:space="preserve">'</w:t>
        <w:br w:clear="none"/>
        <w:t xml:space="preserve">wb</w:t>
        <w:br w:clear="none"/>
        <w:t xml:space="preserve">'</w:t>
        <w:br w:clear="none"/>
      </w:r>
      <w:r>
        <w:rPr>
          <w:rStyle w:val="Text7"/>
        </w:rPr>
        <w:t xml:space="preserve">)</w:t>
        <w:br w:clear="none"/>
      </w:r>
      <w:r>
        <w:rPr>
          <w:rStyle w:val="Text6"/>
        </w:rPr>
        <w:t xml:space="preserve"> </w:t>
        <w:br w:clear="none"/>
      </w:r>
      <w:r>
        <w:rPr>
          <w:rStyle w:val="Text39"/>
        </w:rPr>
        <w:t xml:space="preserve">as</w:t>
        <w:br w:clear="none"/>
      </w:r>
      <w:r>
        <w:rPr>
          <w:rStyle w:val="Text6"/>
        </w:rPr>
        <w:t xml:space="preserve"> </w:t>
        <w:br w:clear="none"/>
      </w:r>
      <w:r>
        <w:rPr>
          <w:rStyle w:val="Text9"/>
        </w:rPr>
        <w:t xml:space="preserve">f</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9"/>
        </w:rPr>
        <w:t xml:space="preserve">f</w:t>
        <w:br w:clear="none"/>
      </w:r>
      <w:r>
        <w:rPr>
          <w:rStyle w:val="Text13"/>
        </w:rPr>
        <w:t xml:space="preserve">.</w:t>
        <w:br w:clear="none"/>
      </w:r>
      <w:r>
        <w:rPr>
          <w:rStyle w:val="Text9"/>
        </w:rPr>
        <w:t xml:space="preserve">write</w:t>
        <w:br w:clear="none"/>
      </w:r>
      <w:r>
        <w:rPr>
          <w:rStyle w:val="Text7"/>
        </w:rPr>
        <w:t xml:space="preserve">(</w:t>
        <w:br w:clear="none"/>
      </w:r>
      <w:r>
        <w:rPr>
          <w:rStyle w:val="Text6"/>
        </w:rPr>
        <w:t xml:space="preserve">b</w:t>
        <w:br w:clear="none"/>
      </w:r>
      <w:r>
        <w:t xml:space="preserve">'</w:t>
        <w:br w:clear="none"/>
        <w:t xml:space="preserve">2,4,6</w:t>
        <w:br w:clear="none"/>
        <w:t xml:space="preserve">\n</w:t>
        <w:br w:clear="none"/>
        <w:t xml:space="preserve">1,3,5</w:t>
        <w:br w:clear="none"/>
        <w:t xml:space="preserve">'</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11</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np</w:t>
        <w:br w:clear="none"/>
      </w:r>
      <w:r>
        <w:rPr>
          <w:rStyle w:val="Text28"/>
        </w:rPr>
        <w:t xml:space="preserve">.</w:t>
        <w:br w:clear="none"/>
      </w:r>
      <w:r>
        <w:rPr>
          <w:rStyle w:val="Text14"/>
        </w:rPr>
        <w:t xml:space="preserve">genfromtxt</w:t>
        <w:br w:clear="none"/>
      </w:r>
      <w:r>
        <w:rPr>
          <w:rStyle w:val="Text19"/>
        </w:rPr>
        <w:t xml:space="preserve">(</w:t>
        <w:br w:clear="none"/>
      </w:r>
      <w:r>
        <w:rPr>
          <w:rStyle w:val="Text17"/>
        </w:rPr>
        <w:t xml:space="preserve">'</w:t>
        <w:br w:clear="none"/>
        <w:t xml:space="preserve">x.csv</w:t>
        <w:br w:clear="none"/>
        <w:t xml:space="preserve">'</w:t>
        <w:br w:clear="none"/>
      </w:r>
      <w:r>
        <w:rPr>
          <w:rStyle w:val="Text19"/>
        </w:rPr>
        <w:t xml:space="preserve">,</w:t>
        <w:br w:clear="none"/>
      </w:r>
      <w:r>
        <w:rPr>
          <w:rStyle w:val="Text11"/>
        </w:rPr>
        <w:t xml:space="preserve"> </w:t>
        <w:br w:clear="none"/>
      </w:r>
      <w:r>
        <w:rPr>
          <w:rStyle w:val="Text14"/>
        </w:rPr>
        <w:t xml:space="preserve">delimiter</w:t>
        <w:br w:clear="none"/>
      </w:r>
      <w:r>
        <w:rPr>
          <w:rStyle w:val="Text28"/>
        </w:rPr>
        <w:t xml:space="preserve">=</w:t>
        <w:br w:clear="none"/>
      </w:r>
      <w:r>
        <w:rPr>
          <w:rStyle w:val="Text17"/>
        </w:rPr>
        <w:t xml:space="preserve">'</w:t>
        <w:br w:clear="none"/>
        <w:t xml:space="preserve">,</w:t>
        <w:br w:clear="none"/>
        <w:t xml:space="preserve">'</w:t>
        <w:br w:clear="none"/>
      </w:r>
      <w:r>
        <w:rPr>
          <w:rStyle w:val="Text19"/>
        </w:rPr>
        <w:t xml:space="preserve">)</w:t>
        <w:br w:clear="none"/>
      </w:r>
      <w:r>
        <w:rPr>
          <w:rStyle w:val="Text11"/>
        </w:rPr>
        <w:t xml:space="preserve">  </w:t>
        <w:br w:clear="none"/>
      </w:r>
      <w:r>
        <w:t xml:space="preserve"># using an actual CSV file</w:t>
        <w:br w:clear="none"/>
      </w:r>
    </w:p>
    <w:p>
      <w:pPr>
        <w:pStyle w:val="Para 008"/>
      </w:pPr>
      <w:r>
        <w:rPr>
          <w:rStyle w:val="Text48"/>
        </w:rPr>
        <w:t xml:space="preserve"/>
        <w:br w:clear="none"/>
      </w:r>
      <w:r>
        <w:t xml:space="preserve">array([[2., 4., 6.],</w:t>
        <w:br w:clear="none"/>
      </w:r>
      <w:r>
        <w:rPr>
          <w:rStyle w:val="Text48"/>
        </w:rPr>
        <w:t xml:space="preserve"/>
        <w:br w:clear="none"/>
      </w:r>
      <w:r>
        <w:t xml:space="preserve">       [1., 3., 5.]])</w:t>
        <w:br w:clear="none"/>
      </w:r>
    </w:p>
    <w:p>
      <w:bookmarkStart w:id="3654" w:name="Shape__indexing__and_slicing__Ea"/>
      <w:pPr>
        <w:keepNext/>
        <w:pStyle w:val="Heading 2"/>
      </w:pPr>
      <w:r>
        <w:t>Shape, indexing, and slicing</w:t>
      </w:r>
      <w:bookmarkEnd w:id="3654"/>
    </w:p>
    <w:p>
      <w:pPr>
        <w:pStyle w:val="Normal"/>
      </w:pPr>
      <w:r>
        <w:t>Each</w:t>
      </w:r>
      <w:r>
        <w:rPr>
          <w:rStyle w:val="Text111"/>
        </w:rPr>
        <w:bookmarkStart w:id="3655" w:name="idm45965184619056"/>
        <w:t/>
        <w:bookmarkEnd w:id="3655"/>
        <w:bookmarkStart w:id="3656" w:name="idm45965184616928"/>
        <w:t/>
        <w:bookmarkEnd w:id="3656"/>
      </w:r>
      <w:r>
        <w:t xml:space="preserve"> </w:t>
      </w:r>
      <w:r>
        <w:rPr>
          <w:rStyle w:val="Text0"/>
        </w:rPr>
        <w:t>ndarray</w:t>
      </w:r>
      <w:r>
        <w:t xml:space="preserve"> object </w:t>
      </w:r>
      <w:r>
        <w:rPr>
          <w:rStyle w:val="Text3"/>
        </w:rPr>
        <w:t>a</w:t>
      </w:r>
      <w:r>
        <w:t xml:space="preserve"> has an attribute </w:t>
      </w:r>
      <w:r>
        <w:rPr>
          <w:rStyle w:val="Text3"/>
        </w:rPr>
        <w:t>a</w:t>
      </w:r>
      <w:r>
        <w:rPr>
          <w:rStyle w:val="Text0"/>
        </w:rPr>
        <w:t>.shape</w:t>
      </w:r>
      <w:r>
        <w:t xml:space="preserve">, which is a tuple of </w:t>
      </w:r>
      <w:r>
        <w:rPr>
          <w:rStyle w:val="Text0"/>
        </w:rPr>
        <w:t>int</w:t>
      </w:r>
      <w:r>
        <w:t xml:space="preserve">s. </w:t>
      </w:r>
      <w:r>
        <w:rPr>
          <w:rStyle w:val="Text0"/>
        </w:rPr>
        <w:t>len(</w:t>
      </w:r>
      <w:r>
        <w:rPr>
          <w:rStyle w:val="Text3"/>
        </w:rPr>
        <w:t>a</w:t>
      </w:r>
      <w:r>
        <w:rPr>
          <w:rStyle w:val="Text0"/>
        </w:rPr>
        <w:t>.shape)</w:t>
      </w:r>
      <w:r>
        <w:t xml:space="preserve"> is </w:t>
      </w:r>
      <w:r>
        <w:rPr>
          <w:rStyle w:val="Text3"/>
        </w:rPr>
        <w:t>a</w:t>
      </w:r>
      <w:r>
        <w:t xml:space="preserve">’s </w:t>
      </w:r>
      <w:r>
        <w:rPr>
          <w:rStyle w:val="Text4"/>
        </w:rPr>
        <w:t>rank</w:t>
      </w:r>
      <w:r>
        <w:t xml:space="preserve">; for example, a one-dimensional array of numbers (also known as a </w:t>
      </w:r>
      <w:r>
        <w:rPr>
          <w:rStyle w:val="Text4"/>
        </w:rPr>
        <w:t>vector</w:t>
      </w:r>
      <w:r>
        <w:t xml:space="preserve">) has rank </w:t>
      </w:r>
      <w:r>
        <w:rPr>
          <w:rStyle w:val="Text0"/>
        </w:rPr>
        <w:t>1</w:t>
      </w:r>
      <w:r>
        <w:t xml:space="preserve">, and </w:t>
      </w:r>
      <w:r>
        <w:rPr>
          <w:rStyle w:val="Text3"/>
        </w:rPr>
        <w:t>a</w:t>
      </w:r>
      <w:r>
        <w:rPr>
          <w:rStyle w:val="Text0"/>
        </w:rPr>
        <w:t>.shape</w:t>
      </w:r>
      <w:r>
        <w:t xml:space="preserve"> has just one item. More generally, each item of </w:t>
      </w:r>
      <w:r>
        <w:rPr>
          <w:rStyle w:val="Text3"/>
        </w:rPr>
        <w:t>a</w:t>
      </w:r>
      <w:r>
        <w:rPr>
          <w:rStyle w:val="Text0"/>
        </w:rPr>
        <w:t>.shape</w:t>
      </w:r>
      <w:r>
        <w:t xml:space="preserve"> is the length of the corresponding dimension of </w:t>
      </w:r>
      <w:r>
        <w:rPr>
          <w:rStyle w:val="Text3"/>
        </w:rPr>
        <w:t>a</w:t>
      </w:r>
      <w:r>
        <w:t xml:space="preserve">. </w:t>
      </w:r>
      <w:r>
        <w:rPr>
          <w:rStyle w:val="Text3"/>
        </w:rPr>
        <w:t>a</w:t>
      </w:r>
      <w:r>
        <w:t xml:space="preserve">’s number of elements, known as its </w:t>
      </w:r>
      <w:r>
        <w:rPr>
          <w:rStyle w:val="Text4"/>
        </w:rPr>
        <w:t>size</w:t>
      </w:r>
      <w:r>
        <w:t xml:space="preserve">, is the product of all items of </w:t>
      </w:r>
      <w:r>
        <w:rPr>
          <w:rStyle w:val="Text3"/>
        </w:rPr>
        <w:t>a</w:t>
      </w:r>
      <w:r>
        <w:rPr>
          <w:rStyle w:val="Text0"/>
        </w:rPr>
        <w:t>.shape</w:t>
      </w:r>
      <w:r>
        <w:t xml:space="preserve"> (also available as property </w:t>
      </w:r>
      <w:r>
        <w:rPr>
          <w:rStyle w:val="Text3"/>
        </w:rPr>
        <w:t>a</w:t>
      </w:r>
      <w:r>
        <w:rPr>
          <w:rStyle w:val="Text0"/>
        </w:rPr>
        <w:t>.size</w:t>
      </w:r>
      <w:r>
        <w:t xml:space="preserve">). Each dimension of </w:t>
      </w:r>
      <w:r>
        <w:rPr>
          <w:rStyle w:val="Text3"/>
        </w:rPr>
        <w:t>a</w:t>
      </w:r>
      <w:r>
        <w:t xml:space="preserve"> is also known as an </w:t>
      </w:r>
      <w:r>
        <w:rPr>
          <w:rStyle w:val="Text4"/>
        </w:rPr>
        <w:t>axis</w:t>
      </w:r>
      <w:r>
        <w:t xml:space="preserve">. Axis indices are from </w:t>
      </w:r>
      <w:r>
        <w:rPr>
          <w:rStyle w:val="Text0"/>
        </w:rPr>
        <w:t>0</w:t>
      </w:r>
      <w:r>
        <w:t xml:space="preserve"> and up, as usual in Python. Negative axis indices are allowed and count from the right, so </w:t>
      </w:r>
      <w:r>
        <w:rPr>
          <w:rStyle w:val="Text0"/>
        </w:rPr>
        <w:t>-1</w:t>
      </w:r>
      <w:r>
        <w:t xml:space="preserve"> is the last (rightmost) axis.</w:t>
      </w:r>
    </w:p>
    <w:p>
      <w:pPr>
        <w:pStyle w:val="Normal"/>
      </w:pPr>
      <w:r>
        <w:t xml:space="preserve">Each array </w:t>
      </w:r>
      <w:r>
        <w:rPr>
          <w:rStyle w:val="Text3"/>
        </w:rPr>
        <w:t>a</w:t>
      </w:r>
      <w:r>
        <w:t xml:space="preserve"> (except a scalar, meaning an array of rank </w:t>
      </w:r>
      <w:r>
        <w:rPr>
          <w:rStyle w:val="Text0"/>
        </w:rPr>
        <w:t>0</w:t>
      </w:r>
      <w:r>
        <w:t xml:space="preserve">) is a Python sequence. Each item </w:t>
      </w:r>
      <w:r>
        <w:rPr>
          <w:rStyle w:val="Text3"/>
        </w:rPr>
        <w:t>a</w:t>
      </w:r>
      <w:r>
        <w:rPr>
          <w:rStyle w:val="Text0"/>
        </w:rPr>
        <w:t>[</w:t>
      </w:r>
      <w:r>
        <w:rPr>
          <w:rStyle w:val="Text3"/>
        </w:rPr>
        <w:t>i</w:t>
      </w:r>
      <w:r>
        <w:rPr>
          <w:rStyle w:val="Text0"/>
        </w:rPr>
        <w:t>]</w:t>
      </w:r>
      <w:r>
        <w:t xml:space="preserve"> of </w:t>
      </w:r>
      <w:r>
        <w:rPr>
          <w:rStyle w:val="Text3"/>
        </w:rPr>
        <w:t>a</w:t>
      </w:r>
      <w:r>
        <w:t xml:space="preserve"> is a subarray of </w:t>
      </w:r>
      <w:r>
        <w:rPr>
          <w:rStyle w:val="Text3"/>
        </w:rPr>
        <w:t>a</w:t>
      </w:r>
      <w:r>
        <w:t xml:space="preserve">, meaning it is an array with a rank one less than </w:t>
      </w:r>
      <w:r>
        <w:rPr>
          <w:rStyle w:val="Text3"/>
        </w:rPr>
        <w:t>a</w:t>
      </w:r>
      <w:r>
        <w:t xml:space="preserve">’s: </w:t>
      </w:r>
      <w:r>
        <w:rPr>
          <w:rStyle w:val="Text3"/>
        </w:rPr>
        <w:t>a</w:t>
      </w:r>
      <w:r>
        <w:rPr>
          <w:rStyle w:val="Text0"/>
        </w:rPr>
        <w:t>[</w:t>
      </w:r>
      <w:r>
        <w:rPr>
          <w:rStyle w:val="Text3"/>
        </w:rPr>
        <w:t>i</w:t>
      </w:r>
      <w:r>
        <w:rPr>
          <w:rStyle w:val="Text0"/>
        </w:rPr>
        <w:t>].shape ==</w:t>
      </w:r>
      <w:r>
        <w:t xml:space="preserve"> </w:t>
      </w:r>
      <w:r>
        <w:rPr>
          <w:rStyle w:val="Text3"/>
        </w:rPr>
        <w:t>a</w:t>
      </w:r>
      <w:r>
        <w:rPr>
          <w:rStyle w:val="Text0"/>
        </w:rPr>
        <w:t>.shape[1:]</w:t>
      </w:r>
      <w:r>
        <w:t xml:space="preserve">. For example, if </w:t>
      </w:r>
      <w:r>
        <w:rPr>
          <w:rStyle w:val="Text3"/>
        </w:rPr>
        <w:t>a</w:t>
      </w:r>
      <w:r>
        <w:t xml:space="preserve"> is a two-dimensional matrix (</w:t>
      </w:r>
      <w:r>
        <w:rPr>
          <w:rStyle w:val="Text3"/>
        </w:rPr>
        <w:t>a</w:t>
      </w:r>
      <w:r>
        <w:t xml:space="preserve"> is of rank </w:t>
      </w:r>
      <w:r>
        <w:rPr>
          <w:rStyle w:val="Text0"/>
        </w:rPr>
        <w:t>2</w:t>
      </w:r>
      <w:r>
        <w:t xml:space="preserve">), </w:t>
      </w:r>
      <w:r>
        <w:rPr>
          <w:rStyle w:val="Text3"/>
        </w:rPr>
        <w:t>a</w:t>
      </w:r>
      <w:r>
        <w:rPr>
          <w:rStyle w:val="Text0"/>
        </w:rPr>
        <w:t>[</w:t>
      </w:r>
      <w:r>
        <w:rPr>
          <w:rStyle w:val="Text3"/>
        </w:rPr>
        <w:t>i</w:t>
      </w:r>
      <w:r>
        <w:rPr>
          <w:rStyle w:val="Text0"/>
        </w:rPr>
        <w:t>]</w:t>
      </w:r>
      <w:r>
        <w:t xml:space="preserve">, for any valid index </w:t>
      </w:r>
      <w:r>
        <w:rPr>
          <w:rStyle w:val="Text3"/>
        </w:rPr>
        <w:t>i</w:t>
      </w:r>
      <w:r>
        <w:t xml:space="preserve">, is a one-dimensional subarray of </w:t>
      </w:r>
      <w:r>
        <w:rPr>
          <w:rStyle w:val="Text3"/>
        </w:rPr>
        <w:t>a</w:t>
      </w:r>
      <w:r>
        <w:t xml:space="preserve"> that corresponds to one row of the matrix. When </w:t>
      </w:r>
      <w:r>
        <w:rPr>
          <w:rStyle w:val="Text3"/>
        </w:rPr>
        <w:t>a</w:t>
      </w:r>
      <w:r>
        <w:t xml:space="preserve">’s rank is </w:t>
      </w:r>
      <w:r>
        <w:rPr>
          <w:rStyle w:val="Text0"/>
        </w:rPr>
        <w:t>1</w:t>
      </w:r>
      <w:r>
        <w:t xml:space="preserve"> or </w:t>
      </w:r>
      <w:r>
        <w:rPr>
          <w:rStyle w:val="Text0"/>
        </w:rPr>
        <w:t>0</w:t>
      </w:r>
      <w:r>
        <w:t xml:space="preserve">, </w:t>
      </w:r>
      <w:r>
        <w:rPr>
          <w:rStyle w:val="Text3"/>
        </w:rPr>
        <w:t>a</w:t>
      </w:r>
      <w:r>
        <w:t xml:space="preserve">’s items are </w:t>
      </w:r>
      <w:r>
        <w:rPr>
          <w:rStyle w:val="Text3"/>
        </w:rPr>
        <w:t>a</w:t>
      </w:r>
      <w:r>
        <w:t xml:space="preserve">’s elements (just one element, for rank </w:t>
      </w:r>
      <w:r>
        <w:rPr>
          <w:rStyle w:val="Text0"/>
        </w:rPr>
        <w:t>0</w:t>
      </w:r>
      <w:r>
        <w:t xml:space="preserve"> arrays). Since </w:t>
      </w:r>
      <w:r>
        <w:rPr>
          <w:rStyle w:val="Text3"/>
        </w:rPr>
        <w:t>a</w:t>
      </w:r>
      <w:r>
        <w:t xml:space="preserve"> is a sequence, you can index </w:t>
      </w:r>
      <w:r>
        <w:rPr>
          <w:rStyle w:val="Text3"/>
        </w:rPr>
        <w:t>a</w:t>
      </w:r>
      <w:r>
        <w:t xml:space="preserve"> with normal indexing syntax to access or change </w:t>
      </w:r>
      <w:r>
        <w:rPr>
          <w:rStyle w:val="Text3"/>
        </w:rPr>
        <w:t>a</w:t>
      </w:r>
      <w:r>
        <w:t xml:space="preserve">’s items. Note that </w:t>
      </w:r>
      <w:r>
        <w:rPr>
          <w:rStyle w:val="Text3"/>
        </w:rPr>
        <w:t>a</w:t>
      </w:r>
      <w:r>
        <w:t xml:space="preserve">’s items are </w:t>
      </w:r>
      <w:r>
        <w:rPr>
          <w:rStyle w:val="Text3"/>
        </w:rPr>
        <w:t>a</w:t>
      </w:r>
      <w:r>
        <w:t xml:space="preserve">’s subarrays; only for an array of rank </w:t>
      </w:r>
      <w:r>
        <w:rPr>
          <w:rStyle w:val="Text0"/>
        </w:rPr>
        <w:t>1</w:t>
      </w:r>
      <w:r>
        <w:t xml:space="preserve"> or </w:t>
      </w:r>
      <w:r>
        <w:rPr>
          <w:rStyle w:val="Text0"/>
        </w:rPr>
        <w:t>0</w:t>
      </w:r>
      <w:r>
        <w:t xml:space="preserve"> are the array’s </w:t>
      </w:r>
      <w:r>
        <w:rPr>
          <w:rStyle w:val="Text4"/>
        </w:rPr>
        <w:t>items</w:t>
      </w:r>
      <w:r>
        <w:t xml:space="preserve"> the same thing as the array’s </w:t>
      </w:r>
      <w:r>
        <w:rPr>
          <w:rStyle w:val="Text4"/>
        </w:rPr>
        <w:t>elements</w:t>
      </w:r>
      <w:r>
        <w:t>.</w:t>
      </w:r>
    </w:p>
    <w:p>
      <w:pPr>
        <w:pStyle w:val="Normal"/>
      </w:pPr>
      <w:r>
        <w:t xml:space="preserve">As with any other sequence, you can also </w:t>
      </w:r>
      <w:r>
        <w:rPr>
          <w:rStyle w:val="Text4"/>
        </w:rPr>
        <w:t>slice</w:t>
      </w:r>
      <w:r>
        <w:t xml:space="preserve"> </w:t>
      </w:r>
      <w:r>
        <w:rPr>
          <w:rStyle w:val="Text3"/>
        </w:rPr>
        <w:t>a</w:t>
      </w:r>
      <w:r>
        <w:t xml:space="preserve">. After </w:t>
      </w:r>
      <w:r>
        <w:rPr>
          <w:rStyle w:val="Text3"/>
        </w:rPr>
        <w:t>b</w:t>
      </w:r>
      <w:r>
        <w:t xml:space="preserve"> </w:t>
      </w:r>
      <w:r>
        <w:rPr>
          <w:rStyle w:val="Text0"/>
        </w:rPr>
        <w:t>=</w:t>
      </w:r>
      <w:r>
        <w:t xml:space="preserve"> </w:t>
      </w:r>
      <w:r>
        <w:rPr>
          <w:rStyle w:val="Text3"/>
        </w:rPr>
        <w:t>a</w:t>
      </w:r>
      <w:r>
        <w:rPr>
          <w:rStyle w:val="Text0"/>
        </w:rPr>
        <w:t>[</w:t>
      </w:r>
      <w:r>
        <w:rPr>
          <w:rStyle w:val="Text3"/>
        </w:rPr>
        <w:t>i</w:t>
      </w:r>
      <w:r>
        <w:rPr>
          <w:rStyle w:val="Text0"/>
        </w:rPr>
        <w:t>:</w:t>
      </w:r>
      <w:r>
        <w:rPr>
          <w:rStyle w:val="Text3"/>
        </w:rPr>
        <w:t>j</w:t>
      </w:r>
      <w:r>
        <w:rPr>
          <w:rStyle w:val="Text0"/>
        </w:rPr>
        <w:t>]</w:t>
      </w:r>
      <w:r>
        <w:t xml:space="preserve">, </w:t>
      </w:r>
      <w:r>
        <w:rPr>
          <w:rStyle w:val="Text3"/>
        </w:rPr>
        <w:t>b</w:t>
      </w:r>
      <w:r>
        <w:t xml:space="preserve"> has the same rank as </w:t>
      </w:r>
      <w:r>
        <w:rPr>
          <w:rStyle w:val="Text3"/>
        </w:rPr>
        <w:t>a</w:t>
      </w:r>
      <w:r>
        <w:t xml:space="preserve">, and </w:t>
      </w:r>
      <w:r>
        <w:rPr>
          <w:rStyle w:val="Text3"/>
        </w:rPr>
        <w:t>b</w:t>
      </w:r>
      <w:r>
        <w:rPr>
          <w:rStyle w:val="Text0"/>
        </w:rPr>
        <w:t>.shape</w:t>
      </w:r>
      <w:r>
        <w:t xml:space="preserve"> equals </w:t>
      </w:r>
      <w:r>
        <w:rPr>
          <w:rStyle w:val="Text3"/>
        </w:rPr>
        <w:t>a</w:t>
      </w:r>
      <w:r>
        <w:rPr>
          <w:rStyle w:val="Text0"/>
        </w:rPr>
        <w:t>.shape</w:t>
      </w:r>
      <w:r>
        <w:t xml:space="preserve"> except that </w:t>
      </w:r>
      <w:r>
        <w:rPr>
          <w:rStyle w:val="Text3"/>
        </w:rPr>
        <w:t>b</w:t>
      </w:r>
      <w:r>
        <w:rPr>
          <w:rStyle w:val="Text0"/>
        </w:rPr>
        <w:t>.shape[0]</w:t>
      </w:r>
      <w:r>
        <w:t xml:space="preserve"> is the length of the slice </w:t>
      </w:r>
      <w:r>
        <w:rPr>
          <w:rStyle w:val="Text3"/>
        </w:rPr>
        <w:t>a</w:t>
      </w:r>
      <w:r>
        <w:rPr>
          <w:rStyle w:val="Text0"/>
        </w:rPr>
        <w:t>[</w:t>
      </w:r>
      <w:r>
        <w:rPr>
          <w:rStyle w:val="Text3"/>
        </w:rPr>
        <w:t>i</w:t>
      </w:r>
      <w:r>
        <w:rPr>
          <w:rStyle w:val="Text0"/>
        </w:rPr>
        <w:t>:</w:t>
      </w:r>
      <w:r>
        <w:rPr>
          <w:rStyle w:val="Text3"/>
        </w:rPr>
        <w:t>j</w:t>
      </w:r>
      <w:r>
        <w:rPr>
          <w:rStyle w:val="Text0"/>
        </w:rPr>
        <w:t>]</w:t>
      </w:r>
      <w:r>
        <w:t xml:space="preserve">, (i.e., when </w:t>
      </w:r>
      <w:r>
        <w:rPr>
          <w:rStyle w:val="Text3"/>
        </w:rPr>
        <w:t>a</w:t>
      </w:r>
      <w:r>
        <w:rPr>
          <w:rStyle w:val="Text0"/>
        </w:rPr>
        <w:t>.shape[0] &gt;</w:t>
      </w:r>
      <w:r>
        <w:t xml:space="preserve"> </w:t>
      </w:r>
      <w:r>
        <w:rPr>
          <w:rStyle w:val="Text3"/>
        </w:rPr>
        <w:t>j</w:t>
      </w:r>
      <w:r>
        <w:t xml:space="preserve"> </w:t>
      </w:r>
      <w:r>
        <w:rPr>
          <w:rStyle w:val="Text0"/>
        </w:rPr>
        <w:t>&gt;=</w:t>
      </w:r>
      <w:r>
        <w:t xml:space="preserve"> </w:t>
      </w:r>
      <w:r>
        <w:rPr>
          <w:rStyle w:val="Text3"/>
        </w:rPr>
        <w:t>i</w:t>
      </w:r>
      <w:r>
        <w:t xml:space="preserve"> </w:t>
      </w:r>
      <w:r>
        <w:rPr>
          <w:rStyle w:val="Text0"/>
        </w:rPr>
        <w:t>&gt;= 0</w:t>
      </w:r>
      <w:r>
        <w:t xml:space="preserve">, the length of the slice is </w:t>
      </w:r>
      <w:r>
        <w:rPr>
          <w:rStyle w:val="Text3"/>
        </w:rPr>
        <w:t>j</w:t>
      </w:r>
      <w:r>
        <w:t xml:space="preserve"> </w:t>
      </w:r>
      <w:r>
        <w:rPr>
          <w:rStyle w:val="Text0"/>
        </w:rPr>
        <w:t>-</w:t>
      </w:r>
      <w:r>
        <w:t xml:space="preserve"> </w:t>
      </w:r>
      <w:r>
        <w:rPr>
          <w:rStyle w:val="Text3"/>
        </w:rPr>
        <w:t>i</w:t>
      </w:r>
      <w:r>
        <w:t xml:space="preserve">, as described in </w:t>
      </w:r>
      <w:hyperlink w:anchor="Slicing_a_sequence__To_indicate">
        <w:r>
          <w:rPr>
            <w:rStyle w:val="Text1"/>
          </w:rPr>
          <w:t>“Slicing a sequence”</w:t>
        </w:r>
      </w:hyperlink>
      <w:r>
        <w:t>).</w:t>
      </w:r>
    </w:p>
    <w:p>
      <w:pPr>
        <w:pStyle w:val="Normal"/>
      </w:pPr>
      <w:r>
        <w:t xml:space="preserve">Once you have an array </w:t>
      </w:r>
      <w:r>
        <w:rPr>
          <w:rStyle w:val="Text3"/>
        </w:rPr>
        <w:t>a</w:t>
      </w:r>
      <w:r>
        <w:t xml:space="preserve">, you can call </w:t>
      </w:r>
      <w:r>
        <w:rPr>
          <w:rStyle w:val="Text3"/>
        </w:rPr>
        <w:t>a</w:t>
      </w:r>
      <w:r>
        <w:rPr>
          <w:rStyle w:val="Text0"/>
        </w:rPr>
        <w:t>.reshape</w:t>
      </w:r>
      <w:r>
        <w:t xml:space="preserve"> (or, equivalently, </w:t>
      </w:r>
      <w:r>
        <w:rPr>
          <w:rStyle w:val="Text0"/>
        </w:rPr>
        <w:t>np.reshape</w:t>
      </w:r>
      <w:r>
        <w:t xml:space="preserve"> with </w:t>
      </w:r>
      <w:r>
        <w:rPr>
          <w:rStyle w:val="Text3"/>
        </w:rPr>
        <w:t>a</w:t>
      </w:r>
      <w:r>
        <w:t xml:space="preserve"> as the first argument). The resulting shape must match </w:t>
      </w:r>
      <w:r>
        <w:rPr>
          <w:rStyle w:val="Text3"/>
        </w:rPr>
        <w:t>a</w:t>
      </w:r>
      <w:r>
        <w:rPr>
          <w:rStyle w:val="Text0"/>
        </w:rPr>
        <w:t>.size</w:t>
      </w:r>
      <w:r>
        <w:t xml:space="preserve">: when </w:t>
      </w:r>
      <w:r>
        <w:rPr>
          <w:rStyle w:val="Text3"/>
        </w:rPr>
        <w:t>a</w:t>
      </w:r>
      <w:r>
        <w:rPr>
          <w:rStyle w:val="Text0"/>
        </w:rPr>
        <w:t>.size</w:t>
      </w:r>
      <w:r>
        <w:t xml:space="preserve"> is </w:t>
      </w:r>
      <w:r>
        <w:rPr>
          <w:rStyle w:val="Text0"/>
        </w:rPr>
        <w:t>12</w:t>
      </w:r>
      <w:r>
        <w:t xml:space="preserve">, you can call </w:t>
      </w:r>
      <w:r>
        <w:rPr>
          <w:rStyle w:val="Text3"/>
        </w:rPr>
        <w:t>a</w:t>
      </w:r>
      <w:r>
        <w:rPr>
          <w:rStyle w:val="Text0"/>
        </w:rPr>
        <w:t>.reshape(3, 4)</w:t>
      </w:r>
      <w:r>
        <w:t xml:space="preserve"> or </w:t>
      </w:r>
      <w:r>
        <w:rPr>
          <w:rStyle w:val="Text3"/>
        </w:rPr>
        <w:t>a</w:t>
      </w:r>
      <w:r>
        <w:rPr>
          <w:rStyle w:val="Text0"/>
        </w:rPr>
        <w:t>.reshape(2, 6)</w:t>
      </w:r>
      <w:r>
        <w:t xml:space="preserve">, but </w:t>
      </w:r>
      <w:r>
        <w:rPr>
          <w:rStyle w:val="Text3"/>
        </w:rPr>
        <w:t>a</w:t>
      </w:r>
      <w:r>
        <w:rPr>
          <w:rStyle w:val="Text0"/>
        </w:rPr>
        <w:t>.reshape(2, 5)</w:t>
      </w:r>
      <w:r>
        <w:t xml:space="preserve"> raises </w:t>
      </w:r>
      <w:r>
        <w:rPr>
          <w:rStyle w:val="Text0"/>
        </w:rPr>
        <w:t>ValueError</w:t>
      </w:r>
      <w:r>
        <w:t xml:space="preserve">. Note that </w:t>
      </w:r>
      <w:r>
        <w:rPr>
          <w:rStyle w:val="Text0"/>
        </w:rPr>
        <w:t>reshape</w:t>
      </w:r>
      <w:r>
        <w:t xml:space="preserve"> does not work in place: you must explicitly bind or rebind the array, for example, </w:t>
      </w:r>
      <w:r>
        <w:rPr>
          <w:rStyle w:val="Text3"/>
        </w:rPr>
        <w:t>a</w:t>
      </w:r>
      <w:r>
        <w:t xml:space="preserve"> </w:t>
      </w:r>
      <w:r>
        <w:rPr>
          <w:rStyle w:val="Text0"/>
        </w:rPr>
        <w:t>=</w:t>
      </w:r>
      <w:r>
        <w:t xml:space="preserve"> </w:t>
      </w:r>
      <w:r>
        <w:rPr>
          <w:rStyle w:val="Text3"/>
        </w:rPr>
        <w:t>a</w:t>
      </w:r>
      <w:r>
        <w:rPr>
          <w:rStyle w:val="Text0"/>
        </w:rPr>
        <w:t>.reshape(</w:t>
      </w:r>
      <w:r>
        <w:rPr>
          <w:rStyle w:val="Text3"/>
        </w:rPr>
        <w:t>i</w:t>
      </w:r>
      <w:r>
        <w:rPr>
          <w:rStyle w:val="Text0"/>
        </w:rPr>
        <w:t>,</w:t>
      </w:r>
      <w:r>
        <w:t xml:space="preserve"> </w:t>
      </w:r>
      <w:r>
        <w:rPr>
          <w:rStyle w:val="Text3"/>
        </w:rPr>
        <w:t>j</w:t>
      </w:r>
      <w:r>
        <w:rPr>
          <w:rStyle w:val="Text0"/>
        </w:rPr>
        <w:t>)</w:t>
      </w:r>
      <w:r>
        <w:t xml:space="preserve"> or </w:t>
      </w:r>
      <w:r>
        <w:rPr>
          <w:rStyle w:val="Text3"/>
        </w:rPr>
        <w:t>b</w:t>
      </w:r>
      <w:r>
        <w:t xml:space="preserve"> </w:t>
      </w:r>
      <w:r>
        <w:rPr>
          <w:rStyle w:val="Text0"/>
        </w:rPr>
        <w:t>=</w:t>
      </w:r>
      <w:r>
        <w:t xml:space="preserve"> </w:t>
      </w:r>
      <w:r>
        <w:rPr>
          <w:rStyle w:val="Text3"/>
        </w:rPr>
        <w:t>a</w:t>
      </w:r>
      <w:r>
        <w:rPr>
          <w:rStyle w:val="Text0"/>
        </w:rPr>
        <w:t>.reshape(</w:t>
      </w:r>
      <w:r>
        <w:rPr>
          <w:rStyle w:val="Text3"/>
        </w:rPr>
        <w:t>i</w:t>
      </w:r>
      <w:r>
        <w:rPr>
          <w:rStyle w:val="Text0"/>
        </w:rPr>
        <w:t>,</w:t>
      </w:r>
      <w:r>
        <w:t xml:space="preserve"> </w:t>
      </w:r>
      <w:r>
        <w:rPr>
          <w:rStyle w:val="Text3"/>
        </w:rPr>
        <w:t>j</w:t>
      </w:r>
      <w:r>
        <w:rPr>
          <w:rStyle w:val="Text0"/>
        </w:rPr>
        <w:t>)</w:t>
      </w:r>
      <w:r>
        <w:t>.</w:t>
      </w:r>
    </w:p>
    <w:p>
      <w:pPr>
        <w:pStyle w:val="Normal"/>
      </w:pPr>
      <w:r>
        <w:t xml:space="preserve">You can also loop on (nonscalar) </w:t>
      </w:r>
      <w:r>
        <w:rPr>
          <w:rStyle w:val="Text3"/>
        </w:rPr>
        <w:t>a</w:t>
      </w:r>
      <w:r>
        <w:t xml:space="preserve"> with </w:t>
      </w:r>
      <w:r>
        <w:rPr>
          <w:rStyle w:val="Text5"/>
        </w:rPr>
        <w:t>for</w:t>
      </w:r>
      <w:r>
        <w:t>, just as you can with any other sequence. For example, this:</w:t>
      </w:r>
    </w:p>
    <w:p>
      <w:pPr>
        <w:pStyle w:val="Para 007"/>
      </w:pPr>
      <w:r>
        <w:rPr>
          <w:rStyle w:val="Text23"/>
        </w:rPr>
        <w:t xml:space="preserve"/>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a</w:t>
        <w:br w:clear="none"/>
      </w:r>
      <w:r>
        <w:rPr>
          <w:rStyle w:val="Text7"/>
        </w:rPr>
        <w:t xml:space="preserve">:</w:t>
        <w:br w:clear="none"/>
      </w:r>
      <w:r>
        <w:rPr>
          <w:rStyle w:val="Text6"/>
        </w:rPr>
        <w:t xml:space="preserve"/>
        <w:br w:clear="none"/>
        <w:t xml:space="preserve">    </w:t>
        <w:br w:clear="none"/>
      </w:r>
      <w:r>
        <w:t xml:space="preserve">process</w:t>
        <w:br w:clear="none"/>
      </w:r>
      <w:r>
        <w:rPr>
          <w:rStyle w:val="Text7"/>
        </w:rPr>
        <w:t xml:space="preserve">(</w:t>
        <w:br w:clear="none"/>
      </w:r>
      <w:r>
        <w:t xml:space="preserve">x</w:t>
        <w:br w:clear="none"/>
      </w:r>
      <w:r>
        <w:rPr>
          <w:rStyle w:val="Text7"/>
        </w:rPr>
        <w:t xml:space="preserve">)</w:t>
        <w:br w:clear="none"/>
      </w:r>
    </w:p>
    <w:p>
      <w:pPr>
        <w:pStyle w:val="Normal"/>
      </w:pPr>
      <w:r>
        <w:t>means the same thing as:</w:t>
      </w:r>
    </w:p>
    <w:p>
      <w:pPr>
        <w:pStyle w:val="Para 018"/>
      </w:pPr>
      <w:r>
        <w:rPr>
          <w:rStyle w:val="Text104"/>
        </w:rPr>
        <w:t xml:space="preserve"/>
        <w:br w:clear="none"/>
      </w:r>
      <w:r>
        <w:rPr>
          <w:rStyle w:val="Text10"/>
        </w:rPr>
        <w:t xml:space="preserve">for</w:t>
        <w:br w:clear="none"/>
      </w:r>
      <w:r>
        <w:t xml:space="preserve"> </w:t>
        <w:br w:clear="none"/>
      </w:r>
      <w:r>
        <w:rPr>
          <w:rStyle w:val="Text9"/>
        </w:rPr>
        <w:t xml:space="preserve">_</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16"/>
        </w:rPr>
        <w:t xml:space="preserve">len</w:t>
        <w:br w:clear="none"/>
      </w:r>
      <w:r>
        <w:rPr>
          <w:rStyle w:val="Text7"/>
        </w:rPr>
        <w:t xml:space="preserve">(</w:t>
        <w:br w:clear="none"/>
      </w:r>
      <w:r>
        <w:rPr>
          <w:rStyle w:val="Text14"/>
        </w:rPr>
        <w:t xml:space="preserve">a</w:t>
        <w:br w:clear="none"/>
      </w:r>
      <w:r>
        <w:rPr>
          <w:rStyle w:val="Text7"/>
        </w:rPr>
        <w:t xml:space="preserve">)</w:t>
        <w:br w:clear="none"/>
        <w:t xml:space="preserve">)</w:t>
        <w:br w:clear="none"/>
        <w:t xml:space="preserve">:</w:t>
        <w:br w:clear="none"/>
      </w:r>
      <w:r>
        <w:t xml:space="preserve"/>
        <w:br w:clear="none"/>
        <w:t xml:space="preserve">    </w:t>
        <w:br w:clear="none"/>
      </w:r>
      <w:r>
        <w:rPr>
          <w:rStyle w:val="Text9"/>
        </w:rPr>
        <w:t xml:space="preserve">x</w:t>
        <w:br w:clear="none"/>
      </w:r>
      <w:r>
        <w:t xml:space="preserve"> </w:t>
        <w:br w:clear="none"/>
      </w:r>
      <w:r>
        <w:rPr>
          <w:rStyle w:val="Text13"/>
        </w:rPr>
        <w:t xml:space="preserve">=</w:t>
        <w:br w:clear="none"/>
      </w:r>
      <w:r>
        <w:t xml:space="preserve"> </w:t>
        <w:br w:clear="none"/>
      </w:r>
      <w:r>
        <w:rPr>
          <w:rStyle w:val="Text14"/>
        </w:rPr>
        <w:t xml:space="preserve">a</w:t>
        <w:br w:clear="none"/>
      </w:r>
      <w:r>
        <w:rPr>
          <w:rStyle w:val="Text7"/>
        </w:rPr>
        <w:t xml:space="preserve">[</w:t>
        <w:br w:clear="none"/>
      </w:r>
      <w:r>
        <w:rPr>
          <w:rStyle w:val="Text9"/>
        </w:rPr>
        <w:t xml:space="preserve">_</w:t>
        <w:br w:clear="none"/>
      </w:r>
      <w:r>
        <w:rPr>
          <w:rStyle w:val="Text7"/>
        </w:rPr>
        <w:t xml:space="preserve">]</w:t>
        <w:br w:clear="none"/>
      </w:r>
      <w:r>
        <w:t xml:space="preserve"/>
        <w:br w:clear="none"/>
        <w:t xml:space="preserve">    </w:t>
        <w:br w:clear="none"/>
      </w:r>
      <w:r>
        <w:rPr>
          <w:rStyle w:val="Text9"/>
        </w:rPr>
        <w:t xml:space="preserve">process</w:t>
        <w:br w:clear="none"/>
      </w:r>
      <w:r>
        <w:rPr>
          <w:rStyle w:val="Text7"/>
        </w:rPr>
        <w:t xml:space="preserve">(</w:t>
        <w:br w:clear="none"/>
      </w:r>
      <w:r>
        <w:rPr>
          <w:rStyle w:val="Text14"/>
        </w:rPr>
        <w:t xml:space="preserve">x</w:t>
        <w:br w:clear="none"/>
      </w:r>
      <w:r>
        <w:rPr>
          <w:rStyle w:val="Text7"/>
        </w:rPr>
        <w:t xml:space="preserve">)</w:t>
        <w:br w:clear="none"/>
      </w:r>
    </w:p>
    <w:p>
      <w:pPr>
        <w:pStyle w:val="Normal"/>
      </w:pPr>
      <w:r>
        <w:t xml:space="preserve">In these examples, each item </w:t>
      </w:r>
      <w:r>
        <w:rPr>
          <w:rStyle w:val="Text3"/>
        </w:rPr>
        <w:t>x</w:t>
      </w:r>
      <w:r>
        <w:t xml:space="preserve"> of </w:t>
      </w:r>
      <w:r>
        <w:rPr>
          <w:rStyle w:val="Text3"/>
        </w:rPr>
        <w:t>a</w:t>
      </w:r>
      <w:r>
        <w:t xml:space="preserve"> in the </w:t>
      </w:r>
      <w:r>
        <w:rPr>
          <w:rStyle w:val="Text5"/>
        </w:rPr>
        <w:t>for</w:t>
      </w:r>
      <w:r>
        <w:t xml:space="preserve"> loop is a subarray of </w:t>
      </w:r>
      <w:r>
        <w:rPr>
          <w:rStyle w:val="Text3"/>
        </w:rPr>
        <w:t>a</w:t>
      </w:r>
      <w:r>
        <w:t xml:space="preserve">. For example, if </w:t>
      </w:r>
      <w:r>
        <w:rPr>
          <w:rStyle w:val="Text3"/>
        </w:rPr>
        <w:t>a</w:t>
      </w:r>
      <w:r>
        <w:t xml:space="preserve"> is a two-dimensional matrix, each </w:t>
      </w:r>
      <w:r>
        <w:rPr>
          <w:rStyle w:val="Text3"/>
        </w:rPr>
        <w:t>x</w:t>
      </w:r>
      <w:r>
        <w:t xml:space="preserve"> in either of these loops is a one-dimensional subarray of </w:t>
      </w:r>
      <w:r>
        <w:rPr>
          <w:rStyle w:val="Text3"/>
        </w:rPr>
        <w:t>a</w:t>
      </w:r>
      <w:r>
        <w:t xml:space="preserve"> that corresponds to a row of the matrix.</w:t>
      </w:r>
    </w:p>
    <w:p>
      <w:pPr>
        <w:pStyle w:val="Normal"/>
      </w:pPr>
      <w:r>
        <w:t xml:space="preserve">You can also index or slice </w:t>
      </w:r>
      <w:r>
        <w:rPr>
          <w:rStyle w:val="Text3"/>
        </w:rPr>
        <w:t>a</w:t>
      </w:r>
      <w:r>
        <w:t xml:space="preserve"> by a tuple. For example, when </w:t>
      </w:r>
      <w:r>
        <w:rPr>
          <w:rStyle w:val="Text3"/>
        </w:rPr>
        <w:t>a</w:t>
      </w:r>
      <w:r>
        <w:t xml:space="preserve">’s rank is </w:t>
      </w:r>
      <w:r>
        <w:rPr>
          <w:rStyle w:val="Text0"/>
        </w:rPr>
        <w:t>&gt;= 2</w:t>
      </w:r>
      <w:r>
        <w:t xml:space="preserve">, you can write </w:t>
      </w:r>
      <w:r>
        <w:rPr>
          <w:rStyle w:val="Text3"/>
        </w:rPr>
        <w:t>a</w:t>
      </w:r>
      <w:r>
        <w:rPr>
          <w:rStyle w:val="Text0"/>
        </w:rPr>
        <w:t>[</w:t>
      </w:r>
      <w:r>
        <w:rPr>
          <w:rStyle w:val="Text3"/>
        </w:rPr>
        <w:t>i</w:t>
      </w:r>
      <w:r>
        <w:rPr>
          <w:rStyle w:val="Text0"/>
        </w:rPr>
        <w:t>][</w:t>
      </w:r>
      <w:r>
        <w:rPr>
          <w:rStyle w:val="Text3"/>
        </w:rPr>
        <w:t>j</w:t>
      </w:r>
      <w:r>
        <w:rPr>
          <w:rStyle w:val="Text0"/>
        </w:rPr>
        <w:t>]</w:t>
      </w:r>
      <w:r>
        <w:t xml:space="preserve"> as </w:t>
      </w:r>
      <w:r>
        <w:rPr>
          <w:rStyle w:val="Text3"/>
        </w:rPr>
        <w:t>a</w:t>
      </w:r>
      <w:r>
        <w:rPr>
          <w:rStyle w:val="Text0"/>
        </w:rPr>
        <w:t>[</w:t>
      </w:r>
      <w:r>
        <w:rPr>
          <w:rStyle w:val="Text3"/>
        </w:rPr>
        <w:t>i</w:t>
      </w:r>
      <w:r>
        <w:rPr>
          <w:rStyle w:val="Text0"/>
        </w:rPr>
        <w:t>,</w:t>
      </w:r>
      <w:r>
        <w:t xml:space="preserve"> </w:t>
      </w:r>
      <w:r>
        <w:rPr>
          <w:rStyle w:val="Text3"/>
        </w:rPr>
        <w:t>j</w:t>
      </w:r>
      <w:r>
        <w:rPr>
          <w:rStyle w:val="Text0"/>
        </w:rPr>
        <w:t>]</w:t>
      </w:r>
      <w:r>
        <w:t xml:space="preserve">, for any valid </w:t>
      </w:r>
      <w:r>
        <w:rPr>
          <w:rStyle w:val="Text3"/>
        </w:rPr>
        <w:t>i</w:t>
      </w:r>
      <w:r>
        <w:t xml:space="preserve"> and </w:t>
      </w:r>
      <w:r>
        <w:rPr>
          <w:rStyle w:val="Text3"/>
        </w:rPr>
        <w:t>j</w:t>
      </w:r>
      <w:r>
        <w:t xml:space="preserve">, for rebinding as well as for access; tuple indexing is faster and more convenient. </w:t>
      </w:r>
      <w:r>
        <w:rPr>
          <w:rStyle w:val="Text4"/>
        </w:rPr>
        <w:t>Do not put parentheses</w:t>
      </w:r>
      <w:r>
        <w:t xml:space="preserve"> inside the brackets to indicate that you are indexing </w:t>
      </w:r>
      <w:r>
        <w:rPr>
          <w:rStyle w:val="Text3"/>
        </w:rPr>
        <w:t>a</w:t>
      </w:r>
      <w:r>
        <w:t xml:space="preserve"> by a tuple: just write the indices one after the other, separated by commas. </w:t>
      </w:r>
      <w:r>
        <w:rPr>
          <w:rStyle w:val="Text3"/>
        </w:rPr>
        <w:t>a</w:t>
      </w:r>
      <w:r>
        <w:rPr>
          <w:rStyle w:val="Text0"/>
        </w:rPr>
        <w:t>[</w:t>
      </w:r>
      <w:r>
        <w:rPr>
          <w:rStyle w:val="Text3"/>
        </w:rPr>
        <w:t>i</w:t>
      </w:r>
      <w:r>
        <w:rPr>
          <w:rStyle w:val="Text0"/>
        </w:rPr>
        <w:t>,</w:t>
      </w:r>
      <w:r>
        <w:t xml:space="preserve"> </w:t>
      </w:r>
      <w:r>
        <w:rPr>
          <w:rStyle w:val="Text3"/>
        </w:rPr>
        <w:t>j</w:t>
      </w:r>
      <w:r>
        <w:rPr>
          <w:rStyle w:val="Text0"/>
        </w:rPr>
        <w:t>]</w:t>
      </w:r>
      <w:r>
        <w:t xml:space="preserve"> means exactly the same thing as </w:t>
      </w:r>
      <w:r>
        <w:rPr>
          <w:rStyle w:val="Text3"/>
        </w:rPr>
        <w:t>a</w:t>
      </w:r>
      <w:r>
        <w:rPr>
          <w:rStyle w:val="Text0"/>
        </w:rPr>
        <w:t>[(</w:t>
      </w:r>
      <w:r>
        <w:rPr>
          <w:rStyle w:val="Text3"/>
        </w:rPr>
        <w:t>i</w:t>
      </w:r>
      <w:r>
        <w:rPr>
          <w:rStyle w:val="Text0"/>
        </w:rPr>
        <w:t>,</w:t>
      </w:r>
      <w:r>
        <w:t xml:space="preserve"> </w:t>
      </w:r>
      <w:r>
        <w:rPr>
          <w:rStyle w:val="Text3"/>
        </w:rPr>
        <w:t>j</w:t>
      </w:r>
      <w:r>
        <w:rPr>
          <w:rStyle w:val="Text0"/>
        </w:rPr>
        <w:t>)]</w:t>
      </w:r>
      <w:r>
        <w:t>, but the form without parentheses is more readable.</w:t>
      </w:r>
    </w:p>
    <w:p>
      <w:pPr>
        <w:pStyle w:val="Normal"/>
      </w:pPr>
      <w:r>
        <w:t xml:space="preserve">An indexing is a slicing in which one or more of the tuple’s items are slices, or (at most once per slicing) the special form </w:t>
      </w:r>
      <w:r>
        <w:rPr>
          <w:rStyle w:val="Text0"/>
        </w:rPr>
        <w:t>...</w:t>
      </w:r>
      <w:r>
        <w:t xml:space="preserve"> (the Python built-in </w:t>
      </w:r>
      <w:r>
        <w:rPr>
          <w:rStyle w:val="Text0"/>
        </w:rPr>
        <w:t>Ellipsis</w:t>
      </w:r>
      <w:r>
        <w:t xml:space="preserve">). </w:t>
      </w:r>
      <w:r>
        <w:rPr>
          <w:rStyle w:val="Text0"/>
        </w:rPr>
        <w:t>...</w:t>
      </w:r>
      <w:r>
        <w:t xml:space="preserve"> expands into as many all-axis slices (</w:t>
      </w:r>
      <w:r>
        <w:rPr>
          <w:rStyle w:val="Text0"/>
        </w:rPr>
        <w:t>:</w:t>
      </w:r>
      <w:r>
        <w:t xml:space="preserve">) as needed to “fill” the rank of the array you’re slicing. For example, </w:t>
      </w:r>
      <w:r>
        <w:rPr>
          <w:rStyle w:val="Text3"/>
        </w:rPr>
        <w:t>a</w:t>
      </w:r>
      <w:r>
        <w:rPr>
          <w:rStyle w:val="Text0"/>
        </w:rPr>
        <w:t>[1,...,2]</w:t>
      </w:r>
      <w:r>
        <w:t xml:space="preserve"> is like </w:t>
      </w:r>
      <w:r>
        <w:rPr>
          <w:rStyle w:val="Text3"/>
        </w:rPr>
        <w:t>a</w:t>
      </w:r>
      <w:r>
        <w:rPr>
          <w:rStyle w:val="Text0"/>
        </w:rPr>
        <w:t>[1,:,:,2]</w:t>
      </w:r>
      <w:r>
        <w:t xml:space="preserve"> when </w:t>
      </w:r>
      <w:r>
        <w:rPr>
          <w:rStyle w:val="Text3"/>
        </w:rPr>
        <w:t>a</w:t>
      </w:r>
      <w:r>
        <w:t xml:space="preserve">’s rank is </w:t>
      </w:r>
      <w:r>
        <w:rPr>
          <w:rStyle w:val="Text0"/>
        </w:rPr>
        <w:t>4</w:t>
      </w:r>
      <w:r>
        <w:t xml:space="preserve">, but like </w:t>
      </w:r>
      <w:r>
        <w:rPr>
          <w:rStyle w:val="Text3"/>
        </w:rPr>
        <w:t>a</w:t>
      </w:r>
      <w:r>
        <w:rPr>
          <w:rStyle w:val="Text0"/>
        </w:rPr>
        <w:t>[1,:,:,:,:,2]</w:t>
      </w:r>
      <w:r>
        <w:t xml:space="preserve"> when </w:t>
      </w:r>
      <w:r>
        <w:rPr>
          <w:rStyle w:val="Text3"/>
        </w:rPr>
        <w:t>a</w:t>
      </w:r>
      <w:r>
        <w:t xml:space="preserve">’s rank is </w:t>
      </w:r>
      <w:r>
        <w:rPr>
          <w:rStyle w:val="Text0"/>
        </w:rPr>
        <w:t>6</w:t>
      </w:r>
      <w:r>
        <w:t>.</w:t>
      </w:r>
    </w:p>
    <w:p>
      <w:pPr>
        <w:pStyle w:val="Normal"/>
      </w:pPr>
      <w:r>
        <w:t>The following snippets show looping, indexing, and slicing:</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a</w:t>
        <w:br w:clear="none"/>
      </w:r>
      <w:r>
        <w:rPr>
          <w:rStyle w:val="Text23"/>
        </w:rPr>
        <w:t xml:space="preserve"> </w:t>
        <w:br w:clear="none"/>
      </w:r>
      <w:r>
        <w:rPr>
          <w:rStyle w:val="Text13"/>
        </w:rPr>
        <w:t xml:space="preserve">=</w:t>
        <w:br w:clear="none"/>
      </w:r>
      <w:r>
        <w:rPr>
          <w:rStyle w:val="Text23"/>
        </w:rPr>
        <w:t xml:space="preserve"> </w:t>
        <w:br w:clear="none"/>
      </w:r>
      <w:r>
        <w:t xml:space="preserve">np</w:t>
        <w:br w:clear="none"/>
      </w:r>
      <w:r>
        <w:rPr>
          <w:rStyle w:val="Text13"/>
        </w:rPr>
        <w:t xml:space="preserve">.</w:t>
        <w:br w:clear="none"/>
      </w:r>
      <w:r>
        <w:t xml:space="preserve">arange</w:t>
        <w:br w:clear="none"/>
      </w:r>
      <w:r>
        <w:rPr>
          <w:rStyle w:val="Text7"/>
        </w:rPr>
        <w:t xml:space="preserve">(</w:t>
        <w:br w:clear="none"/>
      </w:r>
      <w:r>
        <w:rPr>
          <w:rStyle w:val="Text27"/>
        </w:rPr>
        <w:t xml:space="preserve">8</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a</w:t>
        <w:br w:clear="none"/>
      </w:r>
    </w:p>
    <w:p>
      <w:pPr>
        <w:pStyle w:val="Para 008"/>
      </w:pPr>
      <w:r>
        <w:rPr>
          <w:rStyle w:val="Text48"/>
        </w:rPr>
        <w:t xml:space="preserve"/>
        <w:br w:clear="none"/>
      </w:r>
      <w:r>
        <w:t xml:space="preserve">array([0, 1, 2, 3, 4, 5, 6, 7])</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a</w:t>
        <w:br w:clear="none"/>
      </w:r>
      <w:r>
        <w:rPr>
          <w:rStyle w:val="Text23"/>
        </w:rPr>
        <w:t xml:space="preserve"> </w:t>
        <w:br w:clear="none"/>
      </w:r>
      <w:r>
        <w:rPr>
          <w:rStyle w:val="Text13"/>
        </w:rPr>
        <w:t xml:space="preserve">=</w:t>
        <w:br w:clear="none"/>
      </w:r>
      <w:r>
        <w:rPr>
          <w:rStyle w:val="Text23"/>
        </w:rPr>
        <w:t xml:space="preserve"> </w:t>
        <w:br w:clear="none"/>
      </w:r>
      <w:r>
        <w:t xml:space="preserve">a</w:t>
        <w:br w:clear="none"/>
      </w:r>
      <w:r>
        <w:rPr>
          <w:rStyle w:val="Text13"/>
        </w:rPr>
        <w:t xml:space="preserve">.</w:t>
        <w:br w:clear="none"/>
      </w:r>
      <w:r>
        <w:t xml:space="preserve">reshape</w:t>
        <w:br w:clear="none"/>
      </w:r>
      <w:r>
        <w:rPr>
          <w:rStyle w:val="Text7"/>
        </w:rPr>
        <w:t xml:space="preserve">(</w:t>
        <w:br w:clear="none"/>
      </w:r>
      <w:r>
        <w:rPr>
          <w:rStyle w:val="Text27"/>
        </w:rPr>
        <w:t xml:space="preserve">2</w:t>
        <w:br w:clear="none"/>
      </w:r>
      <w:r>
        <w:rPr>
          <w:rStyle w:val="Text7"/>
        </w:rPr>
        <w:t xml:space="preserve">,</w:t>
        <w:br w:clear="none"/>
      </w:r>
      <w:r>
        <w:rPr>
          <w:rStyle w:val="Text27"/>
        </w:rPr>
        <w:t xml:space="preserve">4</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a</w:t>
        <w:br w:clear="none"/>
      </w:r>
    </w:p>
    <w:p>
      <w:pPr>
        <w:pStyle w:val="Para 008"/>
      </w:pPr>
      <w:r>
        <w:rPr>
          <w:rStyle w:val="Text48"/>
        </w:rPr>
        <w:t xml:space="preserve"/>
        <w:br w:clear="none"/>
      </w:r>
      <w:r>
        <w:t xml:space="preserve">array([[0, 1, 2, 3],</w:t>
        <w:br w:clear="none"/>
      </w:r>
      <w:r>
        <w:rPr>
          <w:rStyle w:val="Text48"/>
        </w:rPr>
        <w:t xml:space="preserve"/>
        <w:br w:clear="none"/>
      </w:r>
      <w:r>
        <w:t xml:space="preserve">       [4, 5, 6, 7]])</w:t>
        <w:br w:clear="none"/>
      </w:r>
    </w:p>
    <w:p>
      <w:pPr>
        <w:pStyle w:val="Para 049"/>
      </w:pPr>
      <w:r>
        <w:rPr>
          <w:rStyle w:val="Text23"/>
        </w:rPr>
        <w:t xml:space="preserve"/>
        <w:br w:clear="none"/>
      </w:r>
      <w:r>
        <w:rPr>
          <w:rStyle w:val="Text13"/>
        </w:rPr>
        <w:t xml:space="preserve">&gt;&gt;&gt;</w:t>
        <w:br w:clear="none"/>
      </w:r>
      <w:r>
        <w:rPr>
          <w:rStyle w:val="Text23"/>
        </w:rPr>
        <w:t xml:space="preserve"> </w:t>
        <w:br w:clear="none"/>
      </w:r>
      <w:r>
        <w:t xml:space="preserve">print</w:t>
        <w:br w:clear="none"/>
      </w:r>
      <w:r>
        <w:rPr>
          <w:rStyle w:val="Text7"/>
        </w:rPr>
        <w:t xml:space="preserve">(</w:t>
        <w:br w:clear="none"/>
      </w:r>
      <w:r>
        <w:rPr>
          <w:rStyle w:val="Text9"/>
        </w:rPr>
        <w:t xml:space="preserve">a</w:t>
        <w:br w:clear="none"/>
      </w:r>
      <w:r>
        <w:rPr>
          <w:rStyle w:val="Text7"/>
        </w:rPr>
        <w:t xml:space="preserve">[</w:t>
        <w:br w:clear="none"/>
      </w:r>
      <w:r>
        <w:rPr>
          <w:rStyle w:val="Text27"/>
        </w:rPr>
        <w:t xml:space="preserve">1</w:t>
        <w:br w:clear="none"/>
      </w:r>
      <w:r>
        <w:rPr>
          <w:rStyle w:val="Text7"/>
        </w:rPr>
        <w:t xml:space="preserve">,</w:t>
        <w:br w:clear="none"/>
      </w:r>
      <w:r>
        <w:rPr>
          <w:rStyle w:val="Text27"/>
        </w:rPr>
        <w:t xml:space="preserve">2</w:t>
        <w:br w:clear="none"/>
      </w:r>
      <w:r>
        <w:rPr>
          <w:rStyle w:val="Text7"/>
        </w:rPr>
        <w:t xml:space="preserve">])</w:t>
        <w:br w:clear="none"/>
      </w:r>
    </w:p>
    <w:p>
      <w:pPr>
        <w:pStyle w:val="Para 008"/>
      </w:pPr>
      <w:r>
        <w:rPr>
          <w:rStyle w:val="Text48"/>
        </w:rPr>
        <w:t xml:space="preserve"/>
        <w:br w:clear="none"/>
      </w:r>
      <w:r>
        <w:t xml:space="preserve">6</w:t>
        <w:br w:clear="none"/>
      </w:r>
    </w:p>
    <w:p>
      <w:pPr>
        <w:pStyle w:val="Para 069"/>
      </w:pPr>
      <w:r>
        <w:rPr>
          <w:rStyle w:val="Text23"/>
        </w:rPr>
        <w:t xml:space="preserve"/>
        <w:br w:clear="none"/>
      </w:r>
      <w:r>
        <w:rPr>
          <w:rStyle w:val="Text13"/>
        </w:rPr>
        <w:t xml:space="preserve">&gt;&gt;&gt;</w:t>
        <w:br w:clear="none"/>
      </w:r>
      <w:r>
        <w:rPr>
          <w:rStyle w:val="Text23"/>
        </w:rPr>
        <w:t xml:space="preserve"> </w:t>
        <w:br w:clear="none"/>
      </w:r>
      <w:r>
        <w:rPr>
          <w:rStyle w:val="Text9"/>
        </w:rPr>
        <w:t xml:space="preserve">a</w:t>
        <w:br w:clear="none"/>
      </w:r>
      <w:r>
        <w:t xml:space="preserve">[:,:</w:t>
        <w:br w:clear="none"/>
      </w:r>
      <w:r>
        <w:rPr>
          <w:rStyle w:val="Text27"/>
        </w:rPr>
        <w:t xml:space="preserve">2</w:t>
        <w:br w:clear="none"/>
      </w:r>
      <w:r>
        <w:t xml:space="preserve">]</w:t>
        <w:br w:clear="none"/>
      </w:r>
    </w:p>
    <w:p>
      <w:pPr>
        <w:pStyle w:val="Para 008"/>
      </w:pPr>
      <w:r>
        <w:rPr>
          <w:rStyle w:val="Text48"/>
        </w:rPr>
        <w:t xml:space="preserve"/>
        <w:br w:clear="none"/>
      </w:r>
      <w:r>
        <w:t xml:space="preserve">array([[0, 1],</w:t>
        <w:br w:clear="none"/>
      </w:r>
      <w:r>
        <w:rPr>
          <w:rStyle w:val="Text48"/>
        </w:rPr>
        <w:t xml:space="preserve"/>
        <w:br w:clear="none"/>
      </w:r>
      <w:r>
        <w:t xml:space="preserve">       [4, 5]])</w:t>
        <w:br w:clear="none"/>
      </w:r>
    </w:p>
    <w:p>
      <w:pPr>
        <w:pStyle w:val="Para 038"/>
      </w:pPr>
      <w:r>
        <w:t xml:space="preserve"/>
        <w:br w:clear="none"/>
      </w:r>
      <w:r>
        <w:rPr>
          <w:rStyle w:val="Text65"/>
        </w:rPr>
        <w:t xml:space="preserve">&gt;&gt;&gt;</w:t>
        <w:br w:clear="none"/>
      </w:r>
      <w:r>
        <w:t xml:space="preserve"> </w:t>
        <w:br w:clear="none"/>
      </w:r>
      <w:r>
        <w:rPr>
          <w:rStyle w:val="Text108"/>
        </w:rPr>
        <w:t xml:space="preserve">for</w:t>
        <w:br w:clear="none"/>
      </w:r>
      <w:r>
        <w:t xml:space="preserve"> </w:t>
        <w:br w:clear="none"/>
      </w:r>
      <w:r>
        <w:rPr>
          <w:rStyle w:val="Text49"/>
        </w:rPr>
        <w:t xml:space="preserve">row</w:t>
        <w:br w:clear="none"/>
      </w:r>
      <w:r>
        <w:t xml:space="preserve"> </w:t>
        <w:br w:clear="none"/>
      </w:r>
      <w:r>
        <w:rPr>
          <w:rStyle w:val="Text58"/>
        </w:rPr>
        <w:t xml:space="preserve">in</w:t>
        <w:br w:clear="none"/>
      </w:r>
      <w:r>
        <w:t xml:space="preserve"> </w:t>
        <w:br w:clear="none"/>
      </w:r>
      <w:r>
        <w:rPr>
          <w:rStyle w:val="Text49"/>
        </w:rPr>
        <w:t xml:space="preserve">a</w:t>
        <w:br w:clear="none"/>
      </w:r>
      <w:r>
        <w:rPr>
          <w:rStyle w:val="Text58"/>
        </w:rPr>
        <w:t xml:space="preserve">:</w:t>
        <w:br w:clear="none"/>
      </w:r>
      <w:r>
        <w:t xml:space="preserve"/>
        <w:br w:clear="none"/>
      </w:r>
      <w:r>
        <w:rPr>
          <w:rStyle w:val="Text65"/>
        </w:rPr>
        <w:t xml:space="preserve">...</w:t>
        <w:br w:clear="none"/>
      </w:r>
      <w:r>
        <w:t xml:space="preserve">     </w:t>
        <w:br w:clear="none"/>
      </w:r>
      <w:r>
        <w:rPr>
          <w:rStyle w:val="Text62"/>
        </w:rPr>
        <w:t xml:space="preserve">print</w:t>
        <w:br w:clear="none"/>
      </w:r>
      <w:r>
        <w:rPr>
          <w:rStyle w:val="Text58"/>
        </w:rPr>
        <w:t xml:space="preserve">(</w:t>
        <w:br w:clear="none"/>
      </w:r>
      <w:r>
        <w:rPr>
          <w:rStyle w:val="Text49"/>
        </w:rPr>
        <w:t xml:space="preserve">row</w:t>
        <w:br w:clear="none"/>
      </w:r>
      <w:r>
        <w:rPr>
          <w:rStyle w:val="Text58"/>
        </w:rPr>
        <w:t xml:space="preserve">)</w:t>
        <w:br w:clear="none"/>
      </w:r>
      <w:r>
        <w:t xml:space="preserve"/>
        <w:br w:clear="none"/>
      </w:r>
      <w:r>
        <w:rPr>
          <w:rStyle w:val="Text65"/>
        </w:rPr>
        <w:t xml:space="preserve">...</w:t>
        <w:br w:clear="none"/>
      </w:r>
    </w:p>
    <w:p>
      <w:pPr>
        <w:pStyle w:val="Para 008"/>
      </w:pPr>
      <w:r>
        <w:rPr>
          <w:rStyle w:val="Text48"/>
        </w:rPr>
        <w:t xml:space="preserve"/>
        <w:br w:clear="none"/>
      </w:r>
      <w:r>
        <w:t xml:space="preserve">[0 1 2 3]</w:t>
        <w:br w:clear="none"/>
      </w:r>
      <w:r>
        <w:rPr>
          <w:rStyle w:val="Text48"/>
        </w:rPr>
        <w:t xml:space="preserve"/>
        <w:br w:clear="none"/>
      </w:r>
      <w:r>
        <w:t xml:space="preserve">[4 5 6 7]</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80"/>
        </w:rPr>
        <w:t xml:space="preserve">for</w:t>
        <w:br w:clear="none"/>
      </w:r>
      <w:r>
        <w:rPr>
          <w:rStyle w:val="Text11"/>
        </w:rPr>
        <w:t xml:space="preserve"> </w:t>
        <w:br w:clear="none"/>
      </w:r>
      <w:r>
        <w:rPr>
          <w:rStyle w:val="Text14"/>
        </w:rPr>
        <w:t xml:space="preserve">row</w:t>
        <w:br w:clear="none"/>
      </w:r>
      <w:r>
        <w:rPr>
          <w:rStyle w:val="Text11"/>
        </w:rPr>
        <w:t xml:space="preserve"> </w:t>
        <w:br w:clear="none"/>
      </w:r>
      <w:r>
        <w:rPr>
          <w:rStyle w:val="Text19"/>
        </w:rPr>
        <w:t xml:space="preserve">in</w:t>
        <w:br w:clear="none"/>
      </w:r>
      <w:r>
        <w:rPr>
          <w:rStyle w:val="Text11"/>
        </w:rPr>
        <w:t xml:space="preserve"> </w:t>
        <w:br w:clear="none"/>
      </w:r>
      <w:r>
        <w:rPr>
          <w:rStyle w:val="Text14"/>
        </w:rPr>
        <w:t xml:space="preserve">a</w:t>
        <w:br w:clear="none"/>
      </w:r>
      <w:r>
        <w:rPr>
          <w:rStyle w:val="Text19"/>
        </w:rPr>
        <w:t xml:space="preserve">:</w:t>
        <w:br w:clear="none"/>
      </w:r>
      <w:r>
        <w:rPr>
          <w:rStyle w:val="Text11"/>
        </w:rPr>
        <w:t xml:space="preserve"/>
        <w:br w:clear="none"/>
      </w:r>
      <w:r>
        <w:rPr>
          <w:rStyle w:val="Text28"/>
        </w:rPr>
        <w:t xml:space="preserve">.</w:t>
        <w:br w:clear="none"/>
        <w:t xml:space="preserve">.</w:t>
        <w:br w:clear="none"/>
        <w:t xml:space="preserve">.</w:t>
        <w:br w:clear="none"/>
      </w:r>
      <w:r>
        <w:rPr>
          <w:rStyle w:val="Text11"/>
        </w:rPr>
        <w:t xml:space="preserve">     </w:t>
        <w:br w:clear="none"/>
      </w:r>
      <w:r>
        <w:rPr>
          <w:rStyle w:val="Text80"/>
        </w:rPr>
        <w:t xml:space="preserve">for</w:t>
        <w:br w:clear="none"/>
      </w:r>
      <w:r>
        <w:rPr>
          <w:rStyle w:val="Text11"/>
        </w:rPr>
        <w:t xml:space="preserve"> </w:t>
        <w:br w:clear="none"/>
      </w:r>
      <w:r>
        <w:rPr>
          <w:rStyle w:val="Text14"/>
        </w:rPr>
        <w:t xml:space="preserve">col</w:t>
        <w:br w:clear="none"/>
      </w:r>
      <w:r>
        <w:rPr>
          <w:rStyle w:val="Text11"/>
        </w:rPr>
        <w:t xml:space="preserve"> </w:t>
        <w:br w:clear="none"/>
      </w:r>
      <w:r>
        <w:rPr>
          <w:rStyle w:val="Text19"/>
        </w:rPr>
        <w:t xml:space="preserve">in</w:t>
        <w:br w:clear="none"/>
      </w:r>
      <w:r>
        <w:rPr>
          <w:rStyle w:val="Text11"/>
        </w:rPr>
        <w:t xml:space="preserve"> </w:t>
        <w:br w:clear="none"/>
      </w:r>
      <w:r>
        <w:rPr>
          <w:rStyle w:val="Text14"/>
        </w:rPr>
        <w:t xml:space="preserve">row</w:t>
        <w:br w:clear="none"/>
      </w:r>
      <w:r>
        <w:rPr>
          <w:rStyle w:val="Text19"/>
        </w:rPr>
        <w:t xml:space="preserve">[</w:t>
        <w:br w:clear="none"/>
        <w:t xml:space="preserve">:</w:t>
        <w:br w:clear="none"/>
      </w:r>
      <w:r>
        <w:rPr>
          <w:rStyle w:val="Text35"/>
        </w:rPr>
        <w:t xml:space="preserve">2</w:t>
        <w:br w:clear="none"/>
      </w:r>
      <w:r>
        <w:rPr>
          <w:rStyle w:val="Text19"/>
        </w:rPr>
        <w:t xml:space="preserve">]</w:t>
        <w:br w:clear="none"/>
        <w:t xml:space="preserve">:</w:t>
        <w:br w:clear="none"/>
      </w:r>
      <w:r>
        <w:rPr>
          <w:rStyle w:val="Text11"/>
        </w:rPr>
        <w:t xml:space="preserve">  </w:t>
        <w:br w:clear="none"/>
      </w:r>
      <w:r>
        <w:t xml:space="preserve"># first two items in each row</w:t>
        <w:br w:clear="none"/>
      </w:r>
      <w:r>
        <w:rPr>
          <w:rStyle w:val="Text11"/>
        </w:rPr>
        <w:t xml:space="preserve"/>
        <w:br w:clear="none"/>
      </w:r>
      <w:r>
        <w:rPr>
          <w:rStyle w:val="Text28"/>
        </w:rPr>
        <w:t xml:space="preserve">.</w:t>
        <w:br w:clear="none"/>
        <w:t xml:space="preserve">.</w:t>
        <w:br w:clear="none"/>
        <w:t xml:space="preserve">.</w:t>
        <w:br w:clear="none"/>
      </w:r>
      <w:r>
        <w:rPr>
          <w:rStyle w:val="Text11"/>
        </w:rPr>
        <w:t xml:space="preserve">         </w:t>
        <w:br w:clear="none"/>
      </w:r>
      <w:r>
        <w:rPr>
          <w:rStyle w:val="Text21"/>
        </w:rPr>
        <w:t xml:space="preserve">print</w:t>
        <w:br w:clear="none"/>
      </w:r>
      <w:r>
        <w:rPr>
          <w:rStyle w:val="Text19"/>
        </w:rPr>
        <w:t xml:space="preserve">(</w:t>
        <w:br w:clear="none"/>
      </w:r>
      <w:r>
        <w:rPr>
          <w:rStyle w:val="Text14"/>
        </w:rPr>
        <w:t xml:space="preserve">col</w:t>
        <w:br w:clear="none"/>
      </w:r>
      <w:r>
        <w:rPr>
          <w:rStyle w:val="Text19"/>
        </w:rPr>
        <w:t xml:space="preserve">)</w:t>
        <w:br w:clear="none"/>
      </w:r>
      <w:r>
        <w:rPr>
          <w:rStyle w:val="Text11"/>
        </w:rPr>
        <w:t xml:space="preserve"/>
        <w:br w:clear="none"/>
      </w:r>
      <w:r>
        <w:rPr>
          <w:rStyle w:val="Text28"/>
        </w:rPr>
        <w:t xml:space="preserve">.</w:t>
        <w:br w:clear="none"/>
        <w:t xml:space="preserve">.</w:t>
        <w:br w:clear="none"/>
        <w:t xml:space="preserve">.</w:t>
        <w:br w:clear="none"/>
      </w:r>
    </w:p>
    <w:p>
      <w:pPr>
        <w:pStyle w:val="Para 008"/>
      </w:pPr>
      <w:r>
        <w:rPr>
          <w:rStyle w:val="Text48"/>
        </w:rPr>
        <w:t xml:space="preserve"/>
        <w:br w:clear="none"/>
      </w:r>
      <w:r>
        <w:t xml:space="preserve">0</w:t>
        <w:br w:clear="none"/>
      </w:r>
      <w:r>
        <w:rPr>
          <w:rStyle w:val="Text48"/>
        </w:rPr>
        <w:t xml:space="preserve"/>
        <w:br w:clear="none"/>
      </w:r>
      <w:r>
        <w:t xml:space="preserve">1</w:t>
        <w:br w:clear="none"/>
      </w:r>
      <w:r>
        <w:rPr>
          <w:rStyle w:val="Text48"/>
        </w:rPr>
        <w:t xml:space="preserve"/>
        <w:br w:clear="none"/>
      </w:r>
      <w:r>
        <w:t xml:space="preserve">4</w:t>
        <w:br w:clear="none"/>
      </w:r>
      <w:r>
        <w:rPr>
          <w:rStyle w:val="Text48"/>
        </w:rPr>
        <w:t xml:space="preserve"/>
        <w:br w:clear="none"/>
      </w:r>
      <w:r>
        <w:t xml:space="preserve">5</w:t>
        <w:br w:clear="none"/>
      </w:r>
    </w:p>
    <w:p>
      <w:bookmarkStart w:id="3657" w:name="Matrix_operations_in_NumPy__As_m"/>
      <w:pPr>
        <w:keepNext/>
        <w:pStyle w:val="Heading 2"/>
      </w:pPr>
      <w:r>
        <w:t>Matrix operations in NumPy</w:t>
      </w:r>
      <w:bookmarkEnd w:id="3657"/>
    </w:p>
    <w:p>
      <w:pPr>
        <w:pStyle w:val="Normal"/>
      </w:pPr>
      <w:r>
        <w:t>As</w:t>
      </w:r>
      <w:r>
        <w:rPr>
          <w:rStyle w:val="Text111"/>
        </w:rPr>
        <w:bookmarkStart w:id="3658" w:name="idm45965184189312"/>
        <w:t/>
        <w:bookmarkEnd w:id="3658"/>
      </w:r>
      <w:r>
        <w:t xml:space="preserve"> mentioned in </w:t>
      </w:r>
      <w:hyperlink w:anchor="The_operator_Module__The_operato">
        <w:r>
          <w:rPr>
            <w:rStyle w:val="Text1"/>
          </w:rPr>
          <w:t>“The operator Module”</w:t>
        </w:r>
      </w:hyperlink>
      <w:r>
        <w:t xml:space="preserve">, NumPy implements the operator </w:t>
      </w:r>
      <w:r>
        <w:rPr>
          <w:rStyle w:val="Text0"/>
        </w:rPr>
        <w:t>@</w:t>
      </w:r>
      <w:r>
        <w:t xml:space="preserve"> for matrix multiplication of arrays. </w:t>
      </w:r>
      <w:r>
        <w:rPr>
          <w:rStyle w:val="Text3"/>
        </w:rPr>
        <w:t>a1</w:t>
      </w:r>
      <w:r>
        <w:t xml:space="preserve"> </w:t>
      </w:r>
      <w:r>
        <w:rPr>
          <w:rStyle w:val="Text0"/>
        </w:rPr>
        <w:t>@</w:t>
      </w:r>
      <w:r>
        <w:t xml:space="preserve"> </w:t>
      </w:r>
      <w:r>
        <w:rPr>
          <w:rStyle w:val="Text3"/>
        </w:rPr>
        <w:t>a2</w:t>
      </w:r>
      <w:r>
        <w:t xml:space="preserve"> is like </w:t>
      </w:r>
      <w:r>
        <w:rPr>
          <w:rStyle w:val="Text0"/>
        </w:rPr>
        <w:t>np.matmul(</w:t>
      </w:r>
      <w:r>
        <w:rPr>
          <w:rStyle w:val="Text3"/>
        </w:rPr>
        <w:t>a1</w:t>
      </w:r>
      <w:r>
        <w:rPr>
          <w:rStyle w:val="Text0"/>
        </w:rPr>
        <w:t>,</w:t>
      </w:r>
      <w:r>
        <w:t xml:space="preserve"> </w:t>
      </w:r>
      <w:r>
        <w:rPr>
          <w:rStyle w:val="Text3"/>
        </w:rPr>
        <w:t>a2</w:t>
      </w:r>
      <w:r>
        <w:rPr>
          <w:rStyle w:val="Text0"/>
        </w:rPr>
        <w:t>)</w:t>
      </w:r>
      <w:r>
        <w:t xml:space="preserve">. When both matrices are two-dimensional, they’re treated as conventional matrices. When one argument is a vector, you conceptually promote it to a two-dimensional array, as if by temporarily appending or prepending a </w:t>
      </w:r>
      <w:r>
        <w:rPr>
          <w:rStyle w:val="Text0"/>
        </w:rPr>
        <w:t>1</w:t>
      </w:r>
      <w:r>
        <w:t xml:space="preserve">, as needed, to its shape. Do not use </w:t>
      </w:r>
      <w:r>
        <w:rPr>
          <w:rStyle w:val="Text0"/>
        </w:rPr>
        <w:t>@</w:t>
      </w:r>
      <w:r>
        <w:t xml:space="preserve"> with a scalar; use </w:t>
      </w:r>
      <w:r>
        <w:rPr>
          <w:rStyle w:val="Text0"/>
        </w:rPr>
        <w:t>*</w:t>
      </w:r>
      <w:r>
        <w:t xml:space="preserve"> instead. Matrices also allow addition (using </w:t>
      </w:r>
      <w:r>
        <w:rPr>
          <w:rStyle w:val="Text0"/>
        </w:rPr>
        <w:t>+</w:t>
      </w:r>
      <w:r>
        <w:t xml:space="preserve">) with a scalar, as well as with vectors and other matrices of compatible shapes. Dot product is also available for matrices, using </w:t>
      </w:r>
      <w:r>
        <w:rPr>
          <w:rStyle w:val="Text0"/>
        </w:rPr>
        <w:t>np.dot(</w:t>
      </w:r>
      <w:r>
        <w:rPr>
          <w:rStyle w:val="Text3"/>
        </w:rPr>
        <w:t>a1</w:t>
      </w:r>
      <w:r>
        <w:rPr>
          <w:rStyle w:val="Text0"/>
        </w:rPr>
        <w:t>,</w:t>
      </w:r>
      <w:r>
        <w:t xml:space="preserve"> </w:t>
      </w:r>
      <w:r>
        <w:rPr>
          <w:rStyle w:val="Text3"/>
        </w:rPr>
        <w:t>a2</w:t>
      </w:r>
      <w:r>
        <w:rPr>
          <w:rStyle w:val="Text0"/>
        </w:rPr>
        <w:t>)</w:t>
      </w:r>
      <w:r>
        <w:t>. A few simple examples of these operators follow:</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a</w:t>
        <w:br w:clear="none"/>
      </w:r>
      <w:r>
        <w:rPr>
          <w:rStyle w:val="Text6"/>
        </w:rPr>
        <w:t xml:space="preserve"> </w:t>
        <w:br w:clear="none"/>
      </w:r>
      <w:r>
        <w:rPr>
          <w:rStyle w:val="Text13"/>
        </w:rPr>
        <w:t xml:space="preserve">=</w:t>
        <w:br w:clear="none"/>
      </w:r>
      <w:r>
        <w:rPr>
          <w:rStyle w:val="Text6"/>
        </w:rPr>
        <w:t xml:space="preserve"> </w:t>
        <w:br w:clear="none"/>
      </w:r>
      <w:r>
        <w:t xml:space="preserve">np</w:t>
        <w:br w:clear="none"/>
      </w:r>
      <w:r>
        <w:rPr>
          <w:rStyle w:val="Text13"/>
        </w:rPr>
        <w:t xml:space="preserve">.</w:t>
        <w:br w:clear="none"/>
      </w:r>
      <w:r>
        <w:t xml:space="preserve">arange</w:t>
        <w:br w:clear="none"/>
      </w:r>
      <w:r>
        <w:rPr>
          <w:rStyle w:val="Text7"/>
        </w:rPr>
        <w:t xml:space="preserve">(</w:t>
        <w:br w:clear="none"/>
      </w:r>
      <w:r>
        <w:rPr>
          <w:rStyle w:val="Text27"/>
        </w:rPr>
        <w:t xml:space="preserve">6</w:t>
        <w:br w:clear="none"/>
      </w:r>
      <w:r>
        <w:rPr>
          <w:rStyle w:val="Text7"/>
        </w:rPr>
        <w:t xml:space="preserve">)</w:t>
        <w:br w:clear="none"/>
      </w:r>
      <w:r>
        <w:rPr>
          <w:rStyle w:val="Text13"/>
        </w:rPr>
        <w:t xml:space="preserve">.</w:t>
        <w:br w:clear="none"/>
      </w:r>
      <w:r>
        <w:t xml:space="preserve">reshape</w:t>
        <w:br w:clear="none"/>
      </w:r>
      <w:r>
        <w:rPr>
          <w:rStyle w:val="Text7"/>
        </w:rPr>
        <w:t xml:space="preserve">(</w:t>
        <w:br w:clear="none"/>
      </w:r>
      <w:r>
        <w:rPr>
          <w:rStyle w:val="Text27"/>
        </w:rPr>
        <w:t xml:space="preserve">2</w:t>
        <w:br w:clear="none"/>
      </w:r>
      <w:r>
        <w:rPr>
          <w:rStyle w:val="Text7"/>
        </w:rPr>
        <w:t xml:space="preserve">,</w:t>
        <w:br w:clear="none"/>
      </w:r>
      <w:r>
        <w:rPr>
          <w:rStyle w:val="Text27"/>
        </w:rPr>
        <w:t xml:space="preserve">3</w:t>
        <w:br w:clear="none"/>
      </w:r>
      <w:r>
        <w:rPr>
          <w:rStyle w:val="Text7"/>
        </w:rPr>
        <w:t xml:space="preserve">)</w:t>
        <w:br w:clear="none"/>
      </w:r>
      <w:r>
        <w:rPr>
          <w:rStyle w:val="Text6"/>
        </w:rPr>
        <w:t xml:space="preserve">  </w:t>
        <w:br w:clear="none"/>
      </w:r>
      <w:r>
        <w:rPr>
          <w:rStyle w:val="Text15"/>
        </w:rPr>
        <w:t xml:space="preserve"># a 2D matrix</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b</w:t>
        <w:br w:clear="none"/>
      </w:r>
      <w:r>
        <w:rPr>
          <w:rStyle w:val="Text6"/>
        </w:rPr>
        <w:t xml:space="preserve"> </w:t>
        <w:br w:clear="none"/>
      </w:r>
      <w:r>
        <w:rPr>
          <w:rStyle w:val="Text13"/>
        </w:rPr>
        <w:t xml:space="preserve">=</w:t>
        <w:br w:clear="none"/>
      </w:r>
      <w:r>
        <w:rPr>
          <w:rStyle w:val="Text6"/>
        </w:rPr>
        <w:t xml:space="preserve"> </w:t>
        <w:br w:clear="none"/>
      </w:r>
      <w:r>
        <w:t xml:space="preserve">np</w:t>
        <w:br w:clear="none"/>
      </w:r>
      <w:r>
        <w:rPr>
          <w:rStyle w:val="Text13"/>
        </w:rPr>
        <w:t xml:space="preserve">.</w:t>
        <w:br w:clear="none"/>
      </w:r>
      <w:r>
        <w:t xml:space="preserve">arange</w:t>
        <w:br w:clear="none"/>
      </w:r>
      <w:r>
        <w:rPr>
          <w:rStyle w:val="Text7"/>
        </w:rPr>
        <w:t xml:space="preserve">(</w:t>
        <w:br w:clear="none"/>
      </w:r>
      <w:r>
        <w:rPr>
          <w:rStyle w:val="Text27"/>
        </w:rPr>
        <w:t xml:space="preserve">3</w:t>
        <w:br w:clear="none"/>
      </w:r>
      <w:r>
        <w:rPr>
          <w:rStyle w:val="Text7"/>
        </w:rPr>
        <w:t xml:space="preserve">)</w:t>
        <w:br w:clear="none"/>
      </w:r>
      <w:r>
        <w:rPr>
          <w:rStyle w:val="Text6"/>
        </w:rPr>
        <w:t xml:space="preserve">               </w:t>
        <w:br w:clear="none"/>
      </w:r>
      <w:r>
        <w:rPr>
          <w:rStyle w:val="Text15"/>
        </w:rPr>
        <w:t xml:space="preserve"># a vector</w:t>
        <w:br w:clear="none"/>
      </w:r>
      <w:r>
        <w:rPr>
          <w:rStyle w:val="Text6"/>
        </w:rPr>
        <w:t xml:space="preserve"/>
        <w:br w:clear="none"/>
      </w:r>
      <w:r>
        <w:rPr>
          <w:rStyle w:val="Text13"/>
        </w:rPr>
        <w:t xml:space="preserve">&gt;&gt;</w:t>
        <w:br w:clear="none"/>
        <w:t xml:space="preserve">&gt;</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a</w:t>
        <w:br w:clear="none"/>
      </w:r>
    </w:p>
    <w:p>
      <w:pPr>
        <w:pStyle w:val="Para 008"/>
      </w:pPr>
      <w:r>
        <w:rPr>
          <w:rStyle w:val="Text48"/>
        </w:rPr>
        <w:t xml:space="preserve"/>
        <w:br w:clear="none"/>
      </w:r>
      <w:r>
        <w:t xml:space="preserve">array([[0, 1, 2],</w:t>
        <w:br w:clear="none"/>
      </w:r>
      <w:r>
        <w:rPr>
          <w:rStyle w:val="Text48"/>
        </w:rPr>
        <w:t xml:space="preserve"/>
        <w:br w:clear="none"/>
      </w:r>
      <w:r>
        <w:t xml:space="preserve">       [3, 4, 5]])</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1</w:t>
        <w:br w:clear="none"/>
      </w:r>
      <w:r>
        <w:rPr>
          <w:rStyle w:val="Text11"/>
        </w:rPr>
        <w:t xml:space="preserve">    </w:t>
        <w:br w:clear="none"/>
      </w:r>
      <w:r>
        <w:t xml:space="preserve"># adding a scalar</w:t>
        <w:br w:clear="none"/>
      </w:r>
    </w:p>
    <w:p>
      <w:pPr>
        <w:pStyle w:val="Para 008"/>
      </w:pPr>
      <w:r>
        <w:rPr>
          <w:rStyle w:val="Text48"/>
        </w:rPr>
        <w:t xml:space="preserve"/>
        <w:br w:clear="none"/>
      </w:r>
      <w:r>
        <w:t xml:space="preserve">array([[1, 2, 3],</w:t>
        <w:br w:clear="none"/>
      </w:r>
      <w:r>
        <w:rPr>
          <w:rStyle w:val="Text48"/>
        </w:rPr>
        <w:t xml:space="preserve"/>
        <w:br w:clear="none"/>
      </w:r>
      <w:r>
        <w:t xml:space="preserve">       [4, 5, 6]])</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b</w:t>
        <w:br w:clear="none"/>
      </w:r>
      <w:r>
        <w:rPr>
          <w:rStyle w:val="Text11"/>
        </w:rPr>
        <w:t xml:space="preserve">    </w:t>
        <w:br w:clear="none"/>
      </w:r>
      <w:r>
        <w:t xml:space="preserve"># adding a vector</w:t>
        <w:br w:clear="none"/>
      </w:r>
    </w:p>
    <w:p>
      <w:pPr>
        <w:pStyle w:val="Para 008"/>
      </w:pPr>
      <w:r>
        <w:rPr>
          <w:rStyle w:val="Text48"/>
        </w:rPr>
        <w:t xml:space="preserve"/>
        <w:br w:clear="none"/>
      </w:r>
      <w:r>
        <w:t xml:space="preserve">array([[0, 2, 4],</w:t>
        <w:br w:clear="none"/>
      </w:r>
      <w:r>
        <w:rPr>
          <w:rStyle w:val="Text48"/>
        </w:rPr>
        <w:t xml:space="preserve"/>
        <w:br w:clear="none"/>
      </w:r>
      <w:r>
        <w:t xml:space="preserve">       [3, 5, 7]])</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35"/>
        </w:rPr>
        <w:t xml:space="preserve">2</w:t>
        <w:br w:clear="none"/>
      </w:r>
      <w:r>
        <w:rPr>
          <w:rStyle w:val="Text11"/>
        </w:rPr>
        <w:t xml:space="preserve">    </w:t>
        <w:br w:clear="none"/>
      </w:r>
      <w:r>
        <w:t xml:space="preserve"># multiplying by a scalar</w:t>
        <w:br w:clear="none"/>
      </w:r>
    </w:p>
    <w:p>
      <w:pPr>
        <w:pStyle w:val="Para 008"/>
      </w:pPr>
      <w:r>
        <w:rPr>
          <w:rStyle w:val="Text48"/>
        </w:rPr>
        <w:t xml:space="preserve"/>
        <w:br w:clear="none"/>
      </w:r>
      <w:r>
        <w:t xml:space="preserve">array([[ 0,  2,  4],</w:t>
        <w:br w:clear="none"/>
      </w:r>
      <w:r>
        <w:rPr>
          <w:rStyle w:val="Text48"/>
        </w:rPr>
        <w:t xml:space="preserve"/>
        <w:br w:clear="none"/>
      </w:r>
      <w:r>
        <w:t xml:space="preserve">       [ 6,  8, 10]])</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b</w:t>
        <w:br w:clear="none"/>
      </w:r>
      <w:r>
        <w:rPr>
          <w:rStyle w:val="Text11"/>
        </w:rPr>
        <w:t xml:space="preserve">    </w:t>
        <w:br w:clear="none"/>
      </w:r>
      <w:r>
        <w:t xml:space="preserve"># multiplying by a vector</w:t>
        <w:br w:clear="none"/>
      </w:r>
    </w:p>
    <w:p>
      <w:pPr>
        <w:pStyle w:val="Para 008"/>
      </w:pPr>
      <w:r>
        <w:rPr>
          <w:rStyle w:val="Text48"/>
        </w:rPr>
        <w:t xml:space="preserve"/>
        <w:br w:clear="none"/>
      </w:r>
      <w:r>
        <w:t xml:space="preserve">array([[ 0,  1,  4],</w:t>
        <w:br w:clear="none"/>
      </w:r>
      <w:r>
        <w:rPr>
          <w:rStyle w:val="Text48"/>
        </w:rPr>
        <w:t xml:space="preserve"/>
        <w:br w:clear="none"/>
      </w:r>
      <w:r>
        <w:t xml:space="preserve">       [ 0,  4, 10]])</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b</w:t>
        <w:br w:clear="none"/>
      </w:r>
      <w:r>
        <w:rPr>
          <w:rStyle w:val="Text11"/>
        </w:rPr>
        <w:t xml:space="preserve">    </w:t>
        <w:br w:clear="none"/>
      </w:r>
      <w:r>
        <w:t xml:space="preserve"># matrix-multiplying by a vector</w:t>
        <w:br w:clear="none"/>
      </w:r>
    </w:p>
    <w:p>
      <w:pPr>
        <w:pStyle w:val="Para 008"/>
      </w:pPr>
      <w:r>
        <w:rPr>
          <w:rStyle w:val="Text48"/>
        </w:rPr>
        <w:t xml:space="preserve"/>
        <w:br w:clear="none"/>
      </w:r>
      <w:r>
        <w:t xml:space="preserve">array([ 5, 14])</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c</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a</w:t>
        <w:br w:clear="none"/>
      </w:r>
      <w:r>
        <w:rPr>
          <w:rStyle w:val="Text28"/>
        </w:rPr>
        <w:t xml:space="preserve">*</w:t>
        <w:br w:clear="none"/>
      </w:r>
      <w:r>
        <w:rPr>
          <w:rStyle w:val="Text35"/>
        </w:rPr>
        <w:t xml:space="preserve">2</w:t>
        <w:br w:clear="none"/>
      </w:r>
      <w:r>
        <w:rPr>
          <w:rStyle w:val="Text19"/>
        </w:rPr>
        <w:t xml:space="preserve">)</w:t>
        <w:br w:clear="none"/>
      </w:r>
      <w:r>
        <w:rPr>
          <w:rStyle w:val="Text28"/>
        </w:rPr>
        <w:t xml:space="preserve">.</w:t>
        <w:br w:clear="none"/>
      </w:r>
      <w:r>
        <w:rPr>
          <w:rStyle w:val="Text14"/>
        </w:rPr>
        <w:t xml:space="preserve">reshape</w:t>
        <w:br w:clear="none"/>
      </w:r>
      <w:r>
        <w:rPr>
          <w:rStyle w:val="Text19"/>
        </w:rPr>
        <w:t xml:space="preserve">(</w:t>
        <w:br w:clear="none"/>
      </w:r>
      <w:r>
        <w:rPr>
          <w:rStyle w:val="Text35"/>
        </w:rPr>
        <w:t xml:space="preserve">3</w:t>
        <w:br w:clear="none"/>
      </w:r>
      <w:r>
        <w:rPr>
          <w:rStyle w:val="Text19"/>
        </w:rPr>
        <w:t xml:space="preserve">,</w:t>
        <w:br w:clear="none"/>
      </w:r>
      <w:r>
        <w:rPr>
          <w:rStyle w:val="Text35"/>
        </w:rPr>
        <w:t xml:space="preserve">2</w:t>
        <w:br w:clear="none"/>
      </w:r>
      <w:r>
        <w:rPr>
          <w:rStyle w:val="Text19"/>
        </w:rPr>
        <w:t xml:space="preserve">)</w:t>
        <w:br w:clear="none"/>
      </w:r>
      <w:r>
        <w:rPr>
          <w:rStyle w:val="Text11"/>
        </w:rPr>
        <w:t xml:space="preserve">  </w:t>
        <w:br w:clear="none"/>
      </w:r>
      <w:r>
        <w:t xml:space="preserve"># using scalar multiplication to create</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c</w:t>
        <w:br w:clear="none"/>
      </w:r>
    </w:p>
    <w:p>
      <w:pPr>
        <w:pStyle w:val="Para 008"/>
      </w:pPr>
      <w:r>
        <w:rPr>
          <w:rStyle w:val="Text48"/>
        </w:rPr>
        <w:t xml:space="preserve"/>
        <w:br w:clear="none"/>
      </w:r>
      <w:r>
        <w:t xml:space="preserve">array([[ 0,  2],</w:t>
        <w:br w:clear="none"/>
      </w:r>
      <w:r>
        <w:rPr>
          <w:rStyle w:val="Text48"/>
        </w:rPr>
        <w:t xml:space="preserve"/>
        <w:br w:clear="none"/>
      </w:r>
      <w:r>
        <w:t xml:space="preserve">       [ 4,  6],</w:t>
        <w:br w:clear="none"/>
      </w:r>
      <w:r>
        <w:rPr>
          <w:rStyle w:val="Text48"/>
        </w:rPr>
        <w:t xml:space="preserve"/>
        <w:br w:clear="none"/>
      </w:r>
      <w:r>
        <w:t xml:space="preserve">       [ 8, 10]])</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a</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c</w:t>
        <w:br w:clear="none"/>
      </w:r>
      <w:r>
        <w:rPr>
          <w:rStyle w:val="Text11"/>
        </w:rPr>
        <w:t xml:space="preserve">    </w:t>
        <w:br w:clear="none"/>
      </w:r>
      <w:r>
        <w:t xml:space="preserve"># matrix-multiplying two 2D matrices</w:t>
        <w:br w:clear="none"/>
      </w:r>
    </w:p>
    <w:p>
      <w:pPr>
        <w:pStyle w:val="Para 008"/>
      </w:pPr>
      <w:r>
        <w:rPr>
          <w:rStyle w:val="Text48"/>
        </w:rPr>
        <w:t xml:space="preserve"/>
        <w:br w:clear="none"/>
      </w:r>
      <w:r>
        <w:t xml:space="preserve">array([[20, 26],</w:t>
        <w:br w:clear="none"/>
      </w:r>
      <w:r>
        <w:rPr>
          <w:rStyle w:val="Text48"/>
        </w:rPr>
        <w:t xml:space="preserve"/>
        <w:br w:clear="none"/>
      </w:r>
      <w:r>
        <w:t xml:space="preserve">       [56, 80]])</w:t>
        <w:br w:clear="none"/>
      </w:r>
    </w:p>
    <w:p>
      <w:pPr>
        <w:pStyle w:val="Normal"/>
      </w:pPr>
      <w:r>
        <w:t xml:space="preserve">NumPy is rich and powerful enough to warrant whole books of its own; we have only touched on a few details. See the NumPy </w:t>
      </w:r>
      <w:hyperlink r:id="rId485">
        <w:r>
          <w:rPr>
            <w:rStyle w:val="Text1"/>
          </w:rPr>
          <w:t>documentation</w:t>
        </w:r>
      </w:hyperlink>
      <w:r>
        <w:t xml:space="preserve"> for extensive coverage of its many, many features.</w:t>
      </w:r>
      <w:r>
        <w:rPr>
          <w:rStyle w:val="Text111"/>
        </w:rPr>
        <w:bookmarkStart w:id="3659" w:name="idm45965183881920"/>
        <w:t/>
        <w:bookmarkEnd w:id="3659"/>
      </w:r>
    </w:p>
    <w:p>
      <w:bookmarkStart w:id="3660" w:name="SciPy__Whereas_NumPy_contains_cl"/>
      <w:pPr>
        <w:keepNext/>
        <w:pStyle w:val="Heading 2"/>
      </w:pPr>
      <w:r>
        <w:t>SciPy</w:t>
      </w:r>
      <w:bookmarkEnd w:id="3660"/>
    </w:p>
    <w:p>
      <w:pPr>
        <w:pStyle w:val="Normal"/>
      </w:pPr>
      <w:r>
        <w:t>Whereas</w:t>
      </w:r>
      <w:r>
        <w:rPr>
          <w:rStyle w:val="Text111"/>
        </w:rPr>
        <w:bookmarkStart w:id="3661" w:name="idm45965183879248"/>
        <w:t/>
        <w:bookmarkEnd w:id="3661"/>
      </w:r>
      <w:r>
        <w:t xml:space="preserve"> NumPy contains classes and functions for handling arrays, the SciPy library supports more advanced numeric computation. For example, while NumPy provides a few linear algebra methods, SciPy provides advanced decomposition methods and supports more advanced functions, such as allowing a second matrix argument for solving generalized eigenvalue problems. In general, when you are doing advanced numeric computation, it’s a good idea to install both SciPy and NumPy.</w:t>
      </w:r>
    </w:p>
    <w:p>
      <w:pPr>
        <w:pStyle w:val="Normal"/>
      </w:pPr>
      <w:hyperlink r:id="rId486">
        <w:r>
          <w:rPr>
            <w:rStyle w:val="Text1"/>
          </w:rPr>
          <w:t>SciPy.org</w:t>
        </w:r>
      </w:hyperlink>
      <w:r>
        <w:t xml:space="preserve"> also hosts </w:t>
      </w:r>
      <w:hyperlink r:id="rId487">
        <w:r>
          <w:rPr>
            <w:rStyle w:val="Text1"/>
          </w:rPr>
          <w:t>docs</w:t>
        </w:r>
      </w:hyperlink>
      <w:r>
        <w:t xml:space="preserve"> for a number of other packages, which are integrated with SciPy and NumPy, including </w:t>
      </w:r>
      <w:hyperlink r:id="rId475">
        <w:r>
          <w:rPr>
            <w:rStyle w:val="Text1"/>
          </w:rPr>
          <w:t>Matplotlib</w:t>
        </w:r>
      </w:hyperlink>
      <w:r>
        <w:t xml:space="preserve">, which provides 2D plotting support; </w:t>
      </w:r>
      <w:hyperlink r:id="rId488">
        <w:r>
          <w:rPr>
            <w:rStyle w:val="Text1"/>
          </w:rPr>
          <w:t>SymPy</w:t>
        </w:r>
      </w:hyperlink>
      <w:r>
        <w:t xml:space="preserve">, which supports symbolic mathematics; </w:t>
      </w:r>
      <w:hyperlink r:id="rId489">
        <w:r>
          <w:rPr>
            <w:rStyle w:val="Text1"/>
          </w:rPr>
          <w:t>Jupyter Notebook</w:t>
        </w:r>
      </w:hyperlink>
      <w:r>
        <w:t xml:space="preserve">, a powerful interactive console shell and web application kernel; and </w:t>
      </w:r>
      <w:hyperlink r:id="rId477">
        <w:r>
          <w:rPr>
            <w:rStyle w:val="Text1"/>
          </w:rPr>
          <w:t>Pandas</w:t>
        </w:r>
      </w:hyperlink>
      <w:r>
        <w:t xml:space="preserve">, which supports data analysis and modeling. You may also want to take a look at </w:t>
      </w:r>
      <w:hyperlink r:id="rId490">
        <w:r>
          <w:rPr>
            <w:rStyle w:val="Text30"/>
          </w:rPr>
          <w:t>mpmath</w:t>
        </w:r>
      </w:hyperlink>
      <w:r>
        <w:t xml:space="preserve">, for arbitrary precision, and </w:t>
      </w:r>
      <w:hyperlink r:id="rId491">
        <w:r>
          <w:rPr>
            <w:rStyle w:val="Text30"/>
          </w:rPr>
          <w:t>sagemath</w:t>
        </w:r>
      </w:hyperlink>
      <w:r>
        <w:t>, for even richer functionality.</w:t>
      </w:r>
    </w:p>
    <w:p>
      <w:bookmarkStart w:id="3662" w:name="Additional_numeric_packages__The"/>
      <w:pPr>
        <w:keepNext/>
        <w:pStyle w:val="Heading 2"/>
      </w:pPr>
      <w:r>
        <w:t>Additional numeric packages</w:t>
      </w:r>
      <w:bookmarkEnd w:id="3662"/>
    </w:p>
    <w:p>
      <w:pPr>
        <w:pStyle w:val="Normal"/>
      </w:pPr>
      <w:r>
        <w:t>The Python community has produced many more packages in the field of numeric processing. A few of them are:</w:t>
      </w:r>
    </w:p>
    <w:p>
      <w:pPr>
        <w:pStyle w:val="Para 031"/>
      </w:pPr>
      <w:hyperlink r:id="rId54">
        <w:r>
          <w:t>Anaconda</w:t>
        </w:r>
      </w:hyperlink>
    </w:p>
    <w:p>
      <w:pPr>
        <w:pStyle w:val="Para 016"/>
      </w:pPr>
      <w:r>
        <w:t>A</w:t>
      </w:r>
      <w:r>
        <w:rPr>
          <w:rStyle w:val="Text115"/>
        </w:rPr>
        <w:bookmarkStart w:id="3663" w:name="idm45965183848384"/>
        <w:t/>
        <w:bookmarkEnd w:id="3663"/>
      </w:r>
      <w:r>
        <w:t xml:space="preserve"> consolidated environment that simplifies the installation of Pandas, NumPy, and many related numerical processing, analytical, and visualization packages, and provides package management via its own </w:t>
      </w:r>
      <w:r>
        <w:rPr>
          <w:rStyle w:val="Text0"/>
        </w:rPr>
        <w:t>conda</w:t>
      </w:r>
      <w:r>
        <w:t xml:space="preserve"> package installer.</w:t>
      </w:r>
    </w:p>
    <w:p>
      <w:pPr>
        <w:pStyle w:val="Para 110"/>
      </w:pPr>
      <w:hyperlink r:id="rId492">
        <w:r>
          <w:t>gmpy2</w:t>
        </w:r>
      </w:hyperlink>
    </w:p>
    <w:p>
      <w:pPr>
        <w:pStyle w:val="Para 016"/>
      </w:pPr>
      <w:r>
        <w:t>A</w:t>
      </w:r>
      <w:r>
        <w:rPr>
          <w:rStyle w:val="Text115"/>
        </w:rPr>
        <w:bookmarkStart w:id="3664" w:name="idm45965183844448"/>
        <w:t/>
        <w:bookmarkEnd w:id="3664"/>
      </w:r>
      <w:r>
        <w:t xml:space="preserve"> module</w:t>
      </w:r>
      <w:hyperlink w:anchor="3_Originally_derived_from_the_wo">
        <w:r>
          <w:rPr>
            <w:rStyle w:val="Text95"/>
          </w:rPr>
          <w:bookmarkStart w:id="3665" w:name="3_13"/>
          <w:t>3</w:t>
          <w:bookmarkEnd w:id="3665"/>
        </w:r>
      </w:hyperlink>
      <w:r>
        <w:t xml:space="preserve"> that supports the GMP/MPIR, MPFR, and MPC libraries, to extend and accelerate Python’s abilities for multiple-precision arithmetic.</w:t>
      </w:r>
    </w:p>
    <w:p>
      <w:pPr>
        <w:pStyle w:val="Para 031"/>
      </w:pPr>
      <w:hyperlink r:id="rId36">
        <w:r>
          <w:t>Numba</w:t>
        </w:r>
      </w:hyperlink>
    </w:p>
    <w:p>
      <w:pPr>
        <w:pStyle w:val="Para 016"/>
      </w:pPr>
      <w:r>
        <w:t>A</w:t>
      </w:r>
      <w:r>
        <w:rPr>
          <w:rStyle w:val="Text115"/>
        </w:rPr>
        <w:bookmarkStart w:id="3666" w:name="idm45965183840944"/>
        <w:t/>
        <w:bookmarkEnd w:id="3666"/>
      </w:r>
      <w:r>
        <w:t xml:space="preserve"> just-in-time compiler to convert Numba-decorated Python functions and NumPy code to LLVM. Numba-compiled numerical algorithms in Python can approach the speeds of C or FORTRAN.</w:t>
      </w:r>
    </w:p>
    <w:p>
      <w:pPr>
        <w:pStyle w:val="Para 031"/>
      </w:pPr>
      <w:hyperlink r:id="rId478">
        <w:r>
          <w:t>PyTorch</w:t>
        </w:r>
      </w:hyperlink>
    </w:p>
    <w:p>
      <w:pPr>
        <w:pStyle w:val="Para 016"/>
      </w:pPr>
      <w:r>
        <w:t>An</w:t>
      </w:r>
      <w:r>
        <w:rPr>
          <w:rStyle w:val="Text115"/>
        </w:rPr>
        <w:bookmarkStart w:id="3667" w:name="idm45965183838416"/>
        <w:t/>
        <w:bookmarkEnd w:id="3667"/>
      </w:r>
      <w:r>
        <w:t xml:space="preserve"> open source machine learning framework.</w:t>
      </w:r>
    </w:p>
    <w:p>
      <w:pPr>
        <w:pStyle w:val="Para 031"/>
      </w:pPr>
      <w:hyperlink r:id="rId493">
        <w:r>
          <w:t>TensorFlow</w:t>
        </w:r>
      </w:hyperlink>
    </w:p>
    <w:p>
      <w:pPr>
        <w:pStyle w:val="Para 016"/>
      </w:pPr>
      <w:r>
        <w:t>A</w:t>
      </w:r>
      <w:r>
        <w:rPr>
          <w:rStyle w:val="Text115"/>
        </w:rPr>
        <w:bookmarkStart w:id="3668" w:name="idm45965183835856"/>
        <w:t/>
        <w:bookmarkEnd w:id="3668"/>
      </w:r>
      <w:r>
        <w:t xml:space="preserve"> comprehensive machine learning platform that operates at large scale and in mixed environments, using dataflow graphs to represent computation, shared state, and state manipulation operations. TensorFlow supports processing across multiple machines in a cluster, and within-machine across multicore CPUs, GPUs, and custom-designed ASICs. TensorFlow’s main API uses Python.</w:t>
      </w:r>
      <w:r>
        <w:rPr>
          <w:rStyle w:val="Text115"/>
        </w:rPr>
        <w:bookmarkStart w:id="3669" w:name="idm45965183834592"/>
        <w:t/>
        <w:bookmarkEnd w:id="3669"/>
        <w:bookmarkStart w:id="3670" w:name="idm45965183833216"/>
        <w:t/>
        <w:bookmarkEnd w:id="3670"/>
      </w:r>
    </w:p>
    <w:p>
      <w:bookmarkStart w:id="3671" w:name="1_Superseded__technically__by_th"/>
      <w:pPr>
        <w:pStyle w:val="Para 035"/>
      </w:pPr>
      <w:hyperlink w:anchor="1_15">
        <w:r>
          <w:rPr>
            <w:rStyle w:val="Text1"/>
          </w:rPr>
          <w:t>1</w:t>
        </w:r>
      </w:hyperlink>
      <w:r>
        <w:t xml:space="preserve"> Superseded, technically, by the more recent, very similar standard </w:t>
      </w:r>
      <w:hyperlink r:id="rId494">
        <w:r>
          <w:rPr>
            <w:rStyle w:val="Text1"/>
          </w:rPr>
          <w:t>754-2008</w:t>
        </w:r>
      </w:hyperlink>
      <w:r>
        <w:t>, but practically still useful!</w:t>
      </w:r>
      <w:bookmarkEnd w:id="3671"/>
    </w:p>
    <w:p>
      <w:bookmarkStart w:id="3672" w:name="2_Python_and_the_NumPy_project_h"/>
      <w:pPr>
        <w:pStyle w:val="Para 015"/>
      </w:pPr>
      <w:hyperlink w:anchor="2_13">
        <w:r>
          <w:rPr>
            <w:rStyle w:val="Text1"/>
          </w:rPr>
          <w:t>2</w:t>
        </w:r>
      </w:hyperlink>
      <w:r>
        <w:t xml:space="preserve"> Python and the NumPy project have worked closely together for many years, with Python introducing language features specifically for NumPy (such as the </w:t>
      </w:r>
      <w:r>
        <w:rPr>
          <w:rStyle w:val="Text25"/>
        </w:rPr>
        <w:t>@</w:t>
      </w:r>
      <w:r>
        <w:t xml:space="preserve"> operator and extended slicing) even though such novel language features are not (yet?) used anywhere in the Python standard library.</w:t>
      </w:r>
      <w:bookmarkEnd w:id="3672"/>
    </w:p>
    <w:p>
      <w:bookmarkStart w:id="3673" w:name="3_Originally_derived_from_the_wo"/>
      <w:pPr>
        <w:pStyle w:val="Para 015"/>
      </w:pPr>
      <w:hyperlink w:anchor="3_13">
        <w:r>
          <w:rPr>
            <w:rStyle w:val="Text1"/>
          </w:rPr>
          <w:t>3</w:t>
        </w:r>
      </w:hyperlink>
      <w:r>
        <w:t xml:space="preserve"> Originally derived from the work of one of this book’s authors.</w:t>
      </w:r>
      <w:bookmarkEnd w:id="3673"/>
    </w:p>
    <w:p>
      <w:bookmarkStart w:id="3674" w:name="Chapter_17__Testing__Debugging"/>
      <w:bookmarkStart w:id="3675" w:name="Chapter_17__Testing__Debugging_1"/>
      <w:bookmarkStart w:id="3676" w:name="Chapter_17__Testing__Debugging_2"/>
      <w:bookmarkStart w:id="3677" w:name="Top_of_ch17_html"/>
      <w:pPr>
        <w:keepNext/>
        <w:pStyle w:val="Heading 1"/>
        <w:pageBreakBefore w:val="on"/>
      </w:pPr>
      <w:r>
        <w:t xml:space="preserve">Chapter 17. </w:t>
        <w:t>Testing, Debugging, and Optimizing</w:t>
      </w:r>
      <w:bookmarkEnd w:id="3674"/>
      <w:bookmarkEnd w:id="3675"/>
      <w:bookmarkEnd w:id="3676"/>
      <w:bookmarkEnd w:id="3677"/>
    </w:p>
    <w:p>
      <w:pPr>
        <w:pStyle w:val="Normal"/>
      </w:pPr>
      <w:r>
        <w:t xml:space="preserve">You’re not finished with a programming task when you’re done writing the code; you’re finished only when the code runs correctly and with acceptable performance. </w:t>
      </w:r>
      <w:r>
        <w:rPr>
          <w:rStyle w:val="Text4"/>
        </w:rPr>
        <w:t>Testing</w:t>
      </w:r>
      <w:r>
        <w:rPr>
          <w:rStyle w:val="Text105"/>
        </w:rPr>
        <w:bookmarkStart w:id="3678" w:name="idm45965183829536"/>
        <w:t/>
        <w:bookmarkEnd w:id="3678"/>
      </w:r>
      <w:r>
        <w:t xml:space="preserve"> means verifying that code runs correctly by automatically exercising the code under known conditions and checking that the results are as expected. </w:t>
      </w:r>
      <w:r>
        <w:rPr>
          <w:rStyle w:val="Text4"/>
        </w:rPr>
        <w:t>Debugging</w:t>
      </w:r>
      <w:r>
        <w:rPr>
          <w:rStyle w:val="Text105"/>
        </w:rPr>
        <w:bookmarkStart w:id="3679" w:name="idm45965183827584"/>
        <w:t/>
        <w:bookmarkEnd w:id="3679"/>
      </w:r>
      <w:r>
        <w:t xml:space="preserve"> means discovering causes of incorrect behavior and repairing them (repair is often easy, once you figure out the causes).</w:t>
      </w:r>
    </w:p>
    <w:p>
      <w:pPr>
        <w:pStyle w:val="Normal"/>
      </w:pPr>
      <w:r>
        <w:rPr>
          <w:rStyle w:val="Text4"/>
        </w:rPr>
        <w:t>Optimizing</w:t>
      </w:r>
      <w:r>
        <w:rPr>
          <w:rStyle w:val="Text105"/>
        </w:rPr>
        <w:bookmarkStart w:id="3680" w:name="idm45965183825504"/>
        <w:t/>
        <w:bookmarkEnd w:id="3680"/>
      </w:r>
      <w:r>
        <w:t xml:space="preserve"> is often used as an umbrella term for activities meant to ensure acceptable performance. Optimizing breaks down into </w:t>
      </w:r>
      <w:r>
        <w:rPr>
          <w:rStyle w:val="Text4"/>
        </w:rPr>
        <w:t>benchmarking</w:t>
      </w:r>
      <w:r>
        <w:t xml:space="preserve"> (measuring performance for given tasks to check that it’s within acceptable bounds), </w:t>
      </w:r>
      <w:r>
        <w:rPr>
          <w:rStyle w:val="Text4"/>
        </w:rPr>
        <w:t>profiling</w:t>
      </w:r>
      <w:r>
        <w:t xml:space="preserve"> (</w:t>
      </w:r>
      <w:r>
        <w:rPr>
          <w:rStyle w:val="Text4"/>
        </w:rPr>
        <w:t>instrumenting</w:t>
      </w:r>
      <w:r>
        <w:t xml:space="preserve"> the program with extra code to identify performance bottlenecks), and actual optimizing (removing bottlenecks to improve program performance). Clearly, you can’t remove performance bottlenecks until you’ve found out where they are (via profiling), which in turn requires knowing that there </w:t>
      </w:r>
      <w:r>
        <w:rPr>
          <w:rStyle w:val="Text4"/>
        </w:rPr>
        <w:t>are</w:t>
      </w:r>
      <w:r>
        <w:t xml:space="preserve"> performance problems (via benchmarking).</w:t>
      </w:r>
    </w:p>
    <w:p>
      <w:pPr>
        <w:pStyle w:val="Normal"/>
      </w:pPr>
      <w:r>
        <w:t xml:space="preserve">This chapter covers these subjects in the natural order in which they occur in development: testing first and foremost, debugging next, and optimizing last. Most programmers’ enthusiasm focuses on optimization: testing and debugging are often (wrongly!) perceived as being chores, while optimization is seen as being fun. Were you to read only one section of the chapter, we might suggest that section be </w:t>
      </w:r>
      <w:hyperlink w:anchor="Developing_a_Fast_Enough_Python">
        <w:r>
          <w:rPr>
            <w:rStyle w:val="Text1"/>
          </w:rPr>
          <w:t>“Developing a Fast-Enough Python Application”</w:t>
        </w:r>
      </w:hyperlink>
      <w:r>
        <w:t>, which summarizes the Pythonic approach to optimization—close to Jackson’s classic “</w:t>
      </w:r>
      <w:hyperlink r:id="rId495">
        <w:r>
          <w:rPr>
            <w:rStyle w:val="Text1"/>
          </w:rPr>
          <w:t>Rules of Optimization</w:t>
        </w:r>
      </w:hyperlink>
      <w:r>
        <w:t xml:space="preserve">: Rule 1. Don’t do it. Rule 2 (for experts only). Don’t do it </w:t>
      </w:r>
      <w:r>
        <w:rPr>
          <w:rStyle w:val="Text4"/>
        </w:rPr>
        <w:t>yet</w:t>
      </w:r>
      <w:r>
        <w:t>.”</w:t>
      </w:r>
    </w:p>
    <w:p>
      <w:pPr>
        <w:pStyle w:val="Normal"/>
      </w:pPr>
      <w:r>
        <w:t>All of these tasks are important; discussion of each could fill at least a book by itself. This chapter cannot even come close to exploring every related technique; rather, it focuses on Python-specific approaches and tools. Often, for best results, you should approach the issue from the higher-level viewpoint of</w:t>
      </w:r>
      <w:r>
        <w:rPr>
          <w:rStyle w:val="Text111"/>
        </w:rPr>
        <w:bookmarkStart w:id="3681" w:name="idm45965183818688"/>
        <w:t/>
        <w:bookmarkEnd w:id="3681"/>
      </w:r>
      <w:r>
        <w:t xml:space="preserve"> </w:t>
      </w:r>
      <w:r>
        <w:rPr>
          <w:rStyle w:val="Text4"/>
        </w:rPr>
        <w:t>system analysis and design</w:t>
      </w:r>
      <w:r>
        <w:t xml:space="preserve">, rather than focusing only on implementation (in Python and/or any other mix of programming languages). Start by studying a good general book on the subject, such as </w:t>
      </w:r>
      <w:r>
        <w:rPr>
          <w:rStyle w:val="Text4"/>
        </w:rPr>
        <w:t>Systems Analysis and Design</w:t>
      </w:r>
      <w:r>
        <w:t xml:space="preserve"> by Alan Dennis, Barbara Wixom, and Roberta Roth (Wiley).</w:t>
      </w:r>
    </w:p>
    <w:p>
      <w:bookmarkStart w:id="3682" w:name="Testing__In_this_chapter__we_dis"/>
      <w:pPr>
        <w:keepNext/>
        <w:pStyle w:val="Heading 1"/>
      </w:pPr>
      <w:r>
        <w:t>Testing</w:t>
      </w:r>
      <w:bookmarkEnd w:id="3682"/>
    </w:p>
    <w:p>
      <w:pPr>
        <w:pStyle w:val="Normal"/>
      </w:pPr>
      <w:r>
        <w:t>In</w:t>
      </w:r>
      <w:r>
        <w:rPr>
          <w:rStyle w:val="Text111"/>
        </w:rPr>
        <w:bookmarkStart w:id="3683" w:name="Tunitsys17"/>
        <w:t/>
        <w:bookmarkEnd w:id="3683"/>
        <w:bookmarkStart w:id="3684" w:name="untest17"/>
        <w:t/>
        <w:bookmarkEnd w:id="3684"/>
        <w:bookmarkStart w:id="3685" w:name="systest17"/>
        <w:t/>
        <w:bookmarkEnd w:id="3685"/>
      </w:r>
      <w:r>
        <w:t xml:space="preserve"> this chapter, we distinguish between two different kinds of testing: </w:t>
      </w:r>
      <w:r>
        <w:rPr>
          <w:rStyle w:val="Text4"/>
        </w:rPr>
        <w:t>unit testing</w:t>
      </w:r>
      <w:r>
        <w:t xml:space="preserve"> and </w:t>
      </w:r>
      <w:r>
        <w:rPr>
          <w:rStyle w:val="Text4"/>
        </w:rPr>
        <w:t>system testing</w:t>
      </w:r>
      <w:r>
        <w:t>. Testing is a rich, important field: many more distinctions could be drawn, but we focus on the issues that most matter to most software developers. Many developers are reluctant to spend time on testing, seeing it as time stolen from “real” development, but this is shortsighted: problems in code are easier to fix the earlier you find out about them. An extra hour spent developing tests will amply pay for itself as you find defects early, saving you many hours of debugging that would otherwise have been needed in later phases of the software development cycle.</w:t>
      </w:r>
      <w:hyperlink w:anchor="1_This_issue_is_related_to__tech">
        <w:r>
          <w:rPr>
            <w:rStyle w:val="Text41"/>
          </w:rPr>
          <w:bookmarkStart w:id="3686" w:name="1_16"/>
          <w:t>1</w:t>
          <w:bookmarkEnd w:id="3686"/>
        </w:r>
      </w:hyperlink>
    </w:p>
    <w:p>
      <w:bookmarkStart w:id="3687" w:name="Unit_Testing_and_System_Testing"/>
      <w:pPr>
        <w:keepNext/>
        <w:pStyle w:val="Heading 2"/>
      </w:pPr>
      <w:r>
        <w:t>Unit Testing and System Testing</w:t>
      </w:r>
      <w:bookmarkEnd w:id="3687"/>
    </w:p>
    <w:p>
      <w:pPr>
        <w:pStyle w:val="Normal"/>
      </w:pPr>
      <w:r>
        <w:rPr>
          <w:rStyle w:val="Text4"/>
        </w:rPr>
        <w:t>Unit testing</w:t>
      </w:r>
      <w:r>
        <w:t xml:space="preserve"> means writing and running tests to exercise a single module, or an even smaller unit, such as a class or function. </w:t>
      </w:r>
      <w:r>
        <w:rPr>
          <w:rStyle w:val="Text4"/>
        </w:rPr>
        <w:t>System testing</w:t>
      </w:r>
      <w:r>
        <w:t xml:space="preserve"> (also known as</w:t>
      </w:r>
      <w:r>
        <w:rPr>
          <w:rStyle w:val="Text111"/>
        </w:rPr>
        <w:bookmarkStart w:id="3688" w:name="idm45965183803200"/>
        <w:t/>
        <w:bookmarkEnd w:id="3688"/>
        <w:bookmarkStart w:id="3689" w:name="idm45965183802064"/>
        <w:t/>
        <w:bookmarkEnd w:id="3689"/>
        <w:bookmarkStart w:id="3690" w:name="idm45965183800960"/>
        <w:t/>
        <w:bookmarkEnd w:id="3690"/>
      </w:r>
      <w:r>
        <w:t xml:space="preserve"> </w:t>
      </w:r>
      <w:r>
        <w:rPr>
          <w:rStyle w:val="Text4"/>
        </w:rPr>
        <w:t>functional</w:t>
      </w:r>
      <w:r>
        <w:t xml:space="preserve">, </w:t>
      </w:r>
      <w:r>
        <w:rPr>
          <w:rStyle w:val="Text4"/>
        </w:rPr>
        <w:t>integration</w:t>
      </w:r>
      <w:r>
        <w:t xml:space="preserve">, or </w:t>
      </w:r>
      <w:r>
        <w:rPr>
          <w:rStyle w:val="Text4"/>
        </w:rPr>
        <w:t>end-to-end</w:t>
      </w:r>
      <w:r>
        <w:t xml:space="preserve"> testing) involves running an entire program with known inputs. Some classic books on testing also draw the distinction between</w:t>
      </w:r>
      <w:r>
        <w:rPr>
          <w:rStyle w:val="Text111"/>
        </w:rPr>
        <w:bookmarkStart w:id="3691" w:name="idm45965183798384"/>
        <w:t/>
        <w:bookmarkEnd w:id="3691"/>
      </w:r>
      <w:r>
        <w:t xml:space="preserve"> </w:t>
      </w:r>
      <w:r>
        <w:rPr>
          <w:rStyle w:val="Text4"/>
        </w:rPr>
        <w:t>white-box testing</w:t>
      </w:r>
      <w:r>
        <w:t>, done with knowledge of a program’s internals, and</w:t>
      </w:r>
      <w:r>
        <w:rPr>
          <w:rStyle w:val="Text111"/>
        </w:rPr>
        <w:bookmarkStart w:id="3692" w:name="idm45965183796640"/>
        <w:t/>
        <w:bookmarkEnd w:id="3692"/>
      </w:r>
      <w:r>
        <w:t xml:space="preserve"> </w:t>
      </w:r>
      <w:r>
        <w:rPr>
          <w:rStyle w:val="Text4"/>
        </w:rPr>
        <w:t>black-box testing</w:t>
      </w:r>
      <w:r>
        <w:t>, done without such knowledge. This classic viewpoint parallels, but does not exactly duplicate, the modern one of unit versus system testing.</w:t>
      </w:r>
    </w:p>
    <w:p>
      <w:pPr>
        <w:pStyle w:val="Normal"/>
      </w:pPr>
      <w:r>
        <w:t xml:space="preserve">Unit and system testing serve different goals. Unit testing proceeds apace with development; you can and should test each unit as you’re developing it. One relatively modern approach (first proposed in 1971 in Gerald Weinberg’s immortal classic </w:t>
      </w:r>
      <w:r>
        <w:rPr>
          <w:rStyle w:val="Text4"/>
        </w:rPr>
        <w:t>The Psychology of Computer Programming</w:t>
      </w:r>
      <w:r>
        <w:t xml:space="preserve"> [Dorset House]) is known as</w:t>
      </w:r>
      <w:r>
        <w:rPr>
          <w:rStyle w:val="Text111"/>
        </w:rPr>
        <w:bookmarkStart w:id="3693" w:name="idm45965183794064"/>
        <w:t/>
        <w:bookmarkEnd w:id="3693"/>
        <w:bookmarkStart w:id="3694" w:name="idm45965183792944"/>
        <w:t/>
        <w:bookmarkEnd w:id="3694"/>
      </w:r>
      <w:r>
        <w:t xml:space="preserve"> </w:t>
      </w:r>
      <w:r>
        <w:rPr>
          <w:rStyle w:val="Text4"/>
        </w:rPr>
        <w:t>test-driven development</w:t>
      </w:r>
      <w:r>
        <w:t xml:space="preserve"> (TDD): for each feature that your program must have, you first write unit tests, and only then do you proceed to write code that implements the feature and makes the tests pass. TDD may seem upside down, but it has advantages; for example, it ensures that you won’t omit unit tests for some feature. This approach is helpful because it urges you to focus first on exactly </w:t>
      </w:r>
      <w:r>
        <w:rPr>
          <w:rStyle w:val="Text4"/>
        </w:rPr>
        <w:t>what tasks</w:t>
      </w:r>
      <w:r>
        <w:t xml:space="preserve"> a certain function, class, or method should accomplish, dealing only afterward with </w:t>
      </w:r>
      <w:r>
        <w:rPr>
          <w:rStyle w:val="Text4"/>
        </w:rPr>
        <w:t>how</w:t>
      </w:r>
      <w:r>
        <w:t xml:space="preserve"> to implement that function, class, or method. An innovation along the lines of TDD is</w:t>
      </w:r>
      <w:r>
        <w:rPr>
          <w:rStyle w:val="Text111"/>
        </w:rPr>
        <w:bookmarkStart w:id="3695" w:name="idm45965183790624"/>
        <w:t/>
        <w:bookmarkEnd w:id="3695"/>
        <w:bookmarkStart w:id="3696" w:name="idm45965183789520"/>
        <w:t/>
        <w:bookmarkEnd w:id="3696"/>
      </w:r>
      <w:r>
        <w:t xml:space="preserve"> </w:t>
      </w:r>
      <w:hyperlink r:id="rId496">
        <w:r>
          <w:rPr>
            <w:rStyle w:val="Text24"/>
          </w:rPr>
          <w:t>behavior-driven development</w:t>
        </w:r>
      </w:hyperlink>
      <w:hyperlink r:id="rId496">
        <w:r>
          <w:rPr>
            <w:rStyle w:val="Text1"/>
          </w:rPr>
          <w:t xml:space="preserve"> (BDD)</w:t>
        </w:r>
      </w:hyperlink>
      <w:r>
        <w:t>.</w:t>
      </w:r>
    </w:p>
    <w:p>
      <w:pPr>
        <w:pStyle w:val="Normal"/>
      </w:pPr>
      <w:r>
        <w:t>To test a unit—which may depend on other units not yet fully developed—you often have to write</w:t>
      </w:r>
      <w:r>
        <w:rPr>
          <w:rStyle w:val="Text111"/>
        </w:rPr>
        <w:bookmarkStart w:id="3697" w:name="idm45965183786656"/>
        <w:t/>
        <w:bookmarkEnd w:id="3697"/>
        <w:bookmarkStart w:id="3698" w:name="idm45965183785552"/>
        <w:t/>
        <w:bookmarkEnd w:id="3698"/>
      </w:r>
      <w:r>
        <w:t xml:space="preserve"> </w:t>
      </w:r>
      <w:r>
        <w:rPr>
          <w:rStyle w:val="Text4"/>
        </w:rPr>
        <w:t>stubs</w:t>
      </w:r>
      <w:r>
        <w:t xml:space="preserve">, also known as </w:t>
      </w:r>
      <w:r>
        <w:rPr>
          <w:rStyle w:val="Text4"/>
        </w:rPr>
        <w:t>mocks</w:t>
      </w:r>
      <w:r>
        <w:t>:</w:t>
      </w:r>
      <w:hyperlink w:anchor="2_The_language_used_in_this_area">
        <w:r>
          <w:rPr>
            <w:rStyle w:val="Text41"/>
          </w:rPr>
          <w:bookmarkStart w:id="3699" w:name="2_14"/>
          <w:t>2</w:t>
          <w:bookmarkEnd w:id="3699"/>
        </w:r>
      </w:hyperlink>
      <w:r>
        <w:t xml:space="preserve"> fake implementations of various units’ interfaces giving known, correct responses in cases needed to test other units. The </w:t>
      </w:r>
      <w:r>
        <w:rPr>
          <w:rStyle w:val="Text0"/>
        </w:rPr>
        <w:t>mock</w:t>
      </w:r>
      <w:r>
        <w:t xml:space="preserve"> module (part of Python’s standard library, in the package </w:t>
      </w:r>
      <w:hyperlink r:id="rId497">
        <w:r>
          <w:rPr>
            <w:rStyle w:val="Text30"/>
          </w:rPr>
          <w:t>unittest</w:t>
        </w:r>
      </w:hyperlink>
      <w:r>
        <w:t>) helps you implement such stubs.</w:t>
      </w:r>
    </w:p>
    <w:p>
      <w:pPr>
        <w:pStyle w:val="Normal"/>
      </w:pPr>
      <w:r>
        <w:t xml:space="preserve">System testing comes later, since it requires the system to exist, with at least some subset of system functionality believed (based on unit testing) to be working. System testing offers a soundness check: each module in the program works properly (passes unit tests), but does the </w:t>
      </w:r>
      <w:r>
        <w:rPr>
          <w:rStyle w:val="Text4"/>
        </w:rPr>
        <w:t>whole</w:t>
      </w:r>
      <w:r>
        <w:t xml:space="preserve"> program work? If each unit is OK but the system is not, there’s a problem in the integration between units—the way the units cooperate. For this reason, system testing is also known as integration testing.</w:t>
      </w:r>
    </w:p>
    <w:p>
      <w:pPr>
        <w:pStyle w:val="Normal"/>
      </w:pPr>
      <w:r>
        <w:t xml:space="preserve">System testing is similar to running the system in production use, except that you fix inputs in advance so that any problems you may find are easy to reproduce. The cost of failures in system testing is lower than in production use, since outputs from system testing are not used to make decisions, serve customers, control external systems, and so on. Rather, outputs from system testing are systematically compared with the outputs that the system </w:t>
      </w:r>
      <w:r>
        <w:rPr>
          <w:rStyle w:val="Text4"/>
        </w:rPr>
        <w:t>should</w:t>
      </w:r>
      <w:r>
        <w:t xml:space="preserve"> produce given the known inputs. The purpose is to find, in cheap and reproducible ways, discrepancies between what the program </w:t>
      </w:r>
      <w:r>
        <w:rPr>
          <w:rStyle w:val="Text4"/>
        </w:rPr>
        <w:t>should</w:t>
      </w:r>
      <w:r>
        <w:t xml:space="preserve"> do and what the program actually </w:t>
      </w:r>
      <w:r>
        <w:rPr>
          <w:rStyle w:val="Text4"/>
        </w:rPr>
        <w:t>does</w:t>
      </w:r>
      <w:r>
        <w:t>.</w:t>
      </w:r>
    </w:p>
    <w:p>
      <w:pPr>
        <w:pStyle w:val="Normal"/>
      </w:pPr>
      <w:r>
        <w:t xml:space="preserve">Failures discovered by system testing (just like system failures in production use) may reveal defects in unit tests, as well as defects in the code. Unit testing may have been insufficient: a module’s unit tests may have failed to exercise all the needed functionality of the module. In that case, the unit tests need to be beefed up. Do that </w:t>
      </w:r>
      <w:r>
        <w:rPr>
          <w:rStyle w:val="Text4"/>
        </w:rPr>
        <w:t>before</w:t>
      </w:r>
      <w:r>
        <w:t xml:space="preserve"> you change your code to fix the problem, then run the newly enhanced unit tests to confirm that they now show the problem. Then fix the problem, and run the unit tests again to confirm that they no longer show it. Finally, rerun the system tests to confirm that the problem has indeed gone away.</w:t>
      </w:r>
    </w:p>
    <w:p>
      <w:pPr>
        <w:keepNext/>
        <w:pStyle w:val="Heading 5"/>
        <w:keepLines w:val="on"/>
      </w:pPr>
      <w:r>
        <w:t>Bug-Fixing Best Practice</w:t>
      </w:r>
    </w:p>
    <w:p>
      <w:pPr>
        <w:pStyle w:val="Para 012"/>
        <w:keepLines w:val="on"/>
      </w:pPr>
      <w:r>
        <w:t>This</w:t>
      </w:r>
      <w:r>
        <w:rPr>
          <w:rStyle w:val="Text111"/>
        </w:rPr>
        <w:bookmarkStart w:id="3700" w:name="idm45965183772512"/>
        <w:t/>
        <w:bookmarkEnd w:id="3700"/>
      </w:r>
      <w:r>
        <w:t xml:space="preserve"> best practice is a specific application of test-driven design that we recommend without reservation: never fix a bug before having added unit tests that would have revealed the bug. This provides an excellent, cheap insurance against </w:t>
      </w:r>
      <w:hyperlink r:id="rId498">
        <w:r>
          <w:rPr>
            <w:rStyle w:val="Text1"/>
          </w:rPr>
          <w:t>software regression bugs</w:t>
        </w:r>
      </w:hyperlink>
      <w:r>
        <w:t>.</w:t>
      </w:r>
    </w:p>
    <w:p>
      <w:pPr>
        <w:pStyle w:val="Normal"/>
      </w:pPr>
      <w:r>
        <w:t>Often, failures in system testing reveal communication problems within the development team:</w:t>
      </w:r>
      <w:hyperlink w:anchor="3_That_s_partly_because_the_stru">
        <w:r>
          <w:rPr>
            <w:rStyle w:val="Text41"/>
          </w:rPr>
          <w:bookmarkStart w:id="3701" w:name="3_14"/>
          <w:t>3</w:t>
          <w:bookmarkEnd w:id="3701"/>
        </w:r>
      </w:hyperlink>
      <w:r>
        <w:t xml:space="preserve"> a module correctly implements a certain functionality, but another module expects different functionality. This kind of problem (an integration problem in the strict sense) is hard to pinpoint in unit testing. In good development practice, unit tests must run often, so it is crucial that they run fast. It’s therefore essential, in the unit testing phase, that each unit can assume other units are working correctly and as expected.</w:t>
      </w:r>
    </w:p>
    <w:p>
      <w:pPr>
        <w:pStyle w:val="Normal"/>
      </w:pPr>
      <w:r>
        <w:t>Unit tests run in reasonably late stages of development can reveal integration problems if the system architecture is hierarchical, a common and reasonable organization. In such an architecture, low-level modules depend on no others (except library modules, which you can typically assume to be correct), so the unit tests of such low-level modules, if complete, suffice to provide confidence of correctness. High-level modules depend on low-level ones, and thus also depend on correct understanding about what functionality each module expects and supplies. Running complete unit tests on high-level modules (using true low-level modules, not stubs) exercises interfaces between modules, as well as the high-level modules’ own code.</w:t>
      </w:r>
    </w:p>
    <w:p>
      <w:pPr>
        <w:pStyle w:val="Normal"/>
      </w:pPr>
      <w:r>
        <w:t xml:space="preserve">Unit tests for high-level modules are thus run in two ways. You run the tests with stubs for the low levels during the early stages of development, when the low-level modules are not yet ready or, later, when you only need to check the correctness of the high levels. During later stages of development, you also regularly run the high-level modules’ unit tests using the true low-level modules. In this way, you check the correctness of the whole subsystem, from the high levels downward. Even in this favorable case, you </w:t>
      </w:r>
      <w:r>
        <w:rPr>
          <w:rStyle w:val="Text4"/>
        </w:rPr>
        <w:t>still</w:t>
      </w:r>
      <w:r>
        <w:t xml:space="preserve"> need to run system tests to ensure that you have checked that all of the system’s functionality is exercised and you have neglected no interfaces between modules.</w:t>
      </w:r>
    </w:p>
    <w:p>
      <w:pPr>
        <w:pStyle w:val="Normal"/>
      </w:pPr>
      <w:r>
        <w:t>System testing is similar to running the program in normal ways. You need special support only to ensure supply of known inputs and capture of resulting outputs for comparison with expected outputs. This is easy for programs that perform I/O on files, and hard for programs whose I/O relies on a GUI, network, or other communication with external entities. To simulate such external entities and make them predictable and entirely observable, you generally need platform-dependent infrastructure. Another useful piece of supporting infrastructure for system testing is a</w:t>
      </w:r>
      <w:r>
        <w:rPr>
          <w:rStyle w:val="Text111"/>
        </w:rPr>
        <w:bookmarkStart w:id="3702" w:name="idm45965183766320"/>
        <w:t/>
        <w:bookmarkEnd w:id="3702"/>
      </w:r>
      <w:r>
        <w:t xml:space="preserve"> </w:t>
      </w:r>
      <w:r>
        <w:rPr>
          <w:rStyle w:val="Text4"/>
        </w:rPr>
        <w:t>testing framework</w:t>
      </w:r>
      <w:r>
        <w:t xml:space="preserve"> to automate the running of system tests, including logging of successes and failures. Such a framework can also help testers prepare sets of known inputs and corresponding expected outputs.</w:t>
      </w:r>
    </w:p>
    <w:p>
      <w:pPr>
        <w:pStyle w:val="Normal"/>
      </w:pPr>
      <w:r>
        <w:t>Both free and commercial programs for these purposes exist, and usually do not depend on which programming languages are used in the system under test. System testing is a close relative of what was classically known as black-box testing: testing that is independent from the implementation of the system under test (and thus, in particular, independent from the programming languages used for implementation). Instead, testing frameworks usually depend on the operating system platform on which they run, since the tasks they perform are platform dependent. These include:</w:t>
      </w:r>
    </w:p>
    <w:p>
      <w:pPr>
        <w:pStyle w:val="Para 010"/>
      </w:pPr>
      <w:r>
        <w:t>Running programs with given inputs</w:t>
      </w:r>
    </w:p>
    <w:p>
      <w:pPr>
        <w:pStyle w:val="Para 010"/>
      </w:pPr>
      <w:r>
        <w:t>Capturing their outputs</w:t>
      </w:r>
    </w:p>
    <w:p>
      <w:pPr>
        <w:pStyle w:val="Para 010"/>
      </w:pPr>
      <w:r>
        <w:t>Simulating/capturing GUI, network, and other interprocess communication I/O</w:t>
      </w:r>
    </w:p>
    <w:p>
      <w:pPr>
        <w:pStyle w:val="Normal"/>
      </w:pPr>
      <w:r>
        <w:t xml:space="preserve">Since frameworks for system testing depend on the platform, not on programming languages, we do not cover them further in this book. For a thorough list of Python testing tools, see the Python </w:t>
      </w:r>
      <w:hyperlink r:id="rId499">
        <w:r>
          <w:rPr>
            <w:rStyle w:val="Text1"/>
          </w:rPr>
          <w:t>wiki</w:t>
        </w:r>
      </w:hyperlink>
      <w:r>
        <w:t>.</w:t>
      </w:r>
      <w:r>
        <w:rPr>
          <w:rStyle w:val="Text111"/>
        </w:rPr>
        <w:bookmarkStart w:id="3703" w:name="idm45965183760000"/>
        <w:t/>
        <w:bookmarkEnd w:id="3703"/>
        <w:bookmarkStart w:id="3704" w:name="idm45965183758592"/>
        <w:t/>
        <w:bookmarkEnd w:id="3704"/>
        <w:bookmarkStart w:id="3705" w:name="idm45965183757216"/>
        <w:t/>
        <w:bookmarkEnd w:id="3705"/>
      </w:r>
    </w:p>
    <w:p>
      <w:bookmarkStart w:id="3706" w:name="The_doctest_Module__The_doctest"/>
      <w:pPr>
        <w:keepNext/>
        <w:pStyle w:val="Heading 2"/>
      </w:pPr>
      <w:r>
        <w:t>The doctest Module</w:t>
      </w:r>
      <w:bookmarkEnd w:id="3706"/>
    </w:p>
    <w:p>
      <w:pPr>
        <w:pStyle w:val="Normal"/>
      </w:pPr>
      <w:r>
        <w:t>The</w:t>
      </w:r>
      <w:r>
        <w:rPr>
          <w:rStyle w:val="Text111"/>
        </w:rPr>
        <w:bookmarkStart w:id="3707" w:name="Tdoctest17"/>
        <w:t/>
        <w:bookmarkEnd w:id="3707"/>
        <w:bookmarkStart w:id="3708" w:name="dtmod17"/>
        <w:t/>
        <w:bookmarkEnd w:id="3708"/>
        <w:bookmarkStart w:id="3709" w:name="idm45965183750560"/>
        <w:t/>
        <w:bookmarkEnd w:id="3709"/>
      </w:r>
      <w:r>
        <w:t xml:space="preserve"> </w:t>
      </w:r>
      <w:r>
        <w:rPr>
          <w:rStyle w:val="Text0"/>
        </w:rPr>
        <w:t>doctest</w:t>
      </w:r>
      <w:r>
        <w:t xml:space="preserve"> module exists to let you create good examples in your code’s docstrings, checking that the examples do in fact produce the results that your docstrings show for them. </w:t>
      </w:r>
      <w:r>
        <w:rPr>
          <w:rStyle w:val="Text0"/>
        </w:rPr>
        <w:t>doctest</w:t>
      </w:r>
      <w:r>
        <w:t xml:space="preserve"> recognizes such examples by looking within the docstring for the interactive Python prompt </w:t>
      </w:r>
      <w:r>
        <w:rPr>
          <w:rStyle w:val="Text0"/>
        </w:rPr>
        <w:t>&gt;&gt;&gt;</w:t>
      </w:r>
      <w:r>
        <w:t>, followed on the same line by a Python statement, and the statement’s expected output on the next line(s).</w:t>
      </w:r>
    </w:p>
    <w:p>
      <w:pPr>
        <w:pStyle w:val="Normal"/>
      </w:pPr>
      <w:r>
        <w:t xml:space="preserve">As you develop a module, keep the docstrings up-to-date and enrich them with examples. Each time a part of the module (e.g., a function) is ready, or partially ready, make it a habit to add examples to its docstring. Import the module into an interactive session, and use the parts you just developed to provide examples with a mix of typical cases, limit cases, and failing cases. For this specific purpose only, use </w:t>
      </w:r>
      <w:r>
        <w:rPr>
          <w:rStyle w:val="Text5"/>
        </w:rPr>
        <w:t>from</w:t>
      </w:r>
      <w:r>
        <w:t xml:space="preserve"> </w:t>
      </w:r>
      <w:r>
        <w:rPr>
          <w:rStyle w:val="Text3"/>
        </w:rPr>
        <w:t>module</w:t>
      </w:r>
      <w:r>
        <w:t xml:space="preserve"> </w:t>
      </w:r>
      <w:r>
        <w:rPr>
          <w:rStyle w:val="Text5"/>
        </w:rPr>
        <w:t>import</w:t>
      </w:r>
      <w:r>
        <w:t xml:space="preserve"> </w:t>
      </w:r>
      <w:r>
        <w:rPr>
          <w:rStyle w:val="Text0"/>
        </w:rPr>
        <w:t>*</w:t>
      </w:r>
      <w:r>
        <w:t xml:space="preserve"> so that your examples don’t prefix </w:t>
      </w:r>
      <w:r>
        <w:rPr>
          <w:rStyle w:val="Text3"/>
        </w:rPr>
        <w:t>module</w:t>
      </w:r>
      <w:r>
        <w:rPr>
          <w:rStyle w:val="Text0"/>
        </w:rPr>
        <w:t>.</w:t>
      </w:r>
      <w:r>
        <w:t xml:space="preserve"> to each name the module supplies. Copy and paste the interactive session into the docstring in an editor, adjust any glitches, and you’re almost done.</w:t>
      </w:r>
    </w:p>
    <w:p>
      <w:pPr>
        <w:pStyle w:val="Normal"/>
      </w:pPr>
      <w:r>
        <w:t xml:space="preserve">Your documentation is now enriched with examples, and readers will have an easier time following it (assuming you choose a good mix of examples, wisely seasoned with nonexample text). Make sure you have docstrings, with examples, for the module as a whole, and for each function, class, and method the module exports. You may choose to skip functions, classes, and methods whose names start with </w:t>
      </w:r>
      <w:r>
        <w:rPr>
          <w:rStyle w:val="Text0"/>
        </w:rPr>
        <w:t>_</w:t>
      </w:r>
      <w:r>
        <w:t xml:space="preserve">, since (as their names indicate) they’re private implementation details; </w:t>
      </w:r>
      <w:r>
        <w:rPr>
          <w:rStyle w:val="Text0"/>
        </w:rPr>
        <w:t>doctest</w:t>
      </w:r>
      <w:r>
        <w:t xml:space="preserve"> by default ignores them, and so should readers of your module’s source code.</w:t>
      </w:r>
    </w:p>
    <w:p>
      <w:pPr>
        <w:keepNext/>
        <w:pStyle w:val="Heading 5"/>
        <w:keepLines w:val="on"/>
      </w:pPr>
      <w:r>
        <w:t>Make Your Examples Match Reality</w:t>
      </w:r>
    </w:p>
    <w:p>
      <w:pPr>
        <w:pStyle w:val="Para 012"/>
        <w:keepLines w:val="on"/>
      </w:pPr>
      <w:r>
        <w:t>Examples that don’t match the way your code works are worse than useless. Documentation and comments are useful only if they match reality; docs and comments that “lie” can be seriously damaging.</w:t>
      </w:r>
    </w:p>
    <w:p>
      <w:pPr>
        <w:pStyle w:val="Normal"/>
      </w:pPr>
      <w:r>
        <w:t xml:space="preserve">Docstrings and comments often get out of date as code changes, and thus become misinformation, hampering, rather than helping, any reader of the source. It’s better to have no comments and docstrings at all, poor as such a choice would be, than to have ones that lie. </w:t>
      </w:r>
      <w:r>
        <w:rPr>
          <w:rStyle w:val="Text0"/>
        </w:rPr>
        <w:t>doctest</w:t>
      </w:r>
      <w:r>
        <w:t xml:space="preserve"> can help you by running and checking the examples in your docstrings. A failing </w:t>
      </w:r>
      <w:r>
        <w:rPr>
          <w:rStyle w:val="Text0"/>
        </w:rPr>
        <w:t>doctest</w:t>
      </w:r>
      <w:r>
        <w:t xml:space="preserve"> run should prompt you to review the docstring that contains the failing example, thus reminding you to keep the whole docstring updated.</w:t>
      </w:r>
    </w:p>
    <w:p>
      <w:pPr>
        <w:pStyle w:val="Normal"/>
      </w:pPr>
      <w:r>
        <w:t>At the end of your module’s source, insert the following snippet:</w:t>
      </w:r>
    </w:p>
    <w:p>
      <w:pPr>
        <w:pStyle w:val="Para 018"/>
      </w:pPr>
      <w:r>
        <w:rPr>
          <w:rStyle w:val="Text104"/>
        </w:rPr>
        <w:t xml:space="preserve"/>
        <w:br w:clear="none"/>
      </w:r>
      <w:r>
        <w:rPr>
          <w:rStyle w:val="Text10"/>
        </w:rPr>
        <w:t xml:space="preserve">if</w:t>
        <w:br w:clear="none"/>
      </w:r>
      <w:r>
        <w:t xml:space="preserve"> </w:t>
        <w:br w:clear="none"/>
        <w:t xml:space="preserve">__name__</w:t>
        <w:br w:clear="none"/>
        <w:t xml:space="preserve"> </w:t>
        <w:br w:clear="none"/>
      </w:r>
      <w:r>
        <w:rPr>
          <w:rStyle w:val="Text13"/>
        </w:rPr>
        <w:t xml:space="preserve">==</w:t>
        <w:br w:clear="none"/>
      </w:r>
      <w:r>
        <w:t xml:space="preserve"> </w:t>
        <w:br w:clear="none"/>
      </w:r>
      <w:r>
        <w:rPr>
          <w:rStyle w:val="Text8"/>
        </w:rPr>
        <w:t xml:space="preserve">'</w:t>
        <w:br w:clear="none"/>
        <w:t xml:space="preserve">__main__</w:t>
        <w:br w:clear="none"/>
        <w:t xml:space="preserve">'</w:t>
        <w:br w:clear="none"/>
      </w:r>
      <w:r>
        <w:rPr>
          <w:rStyle w:val="Text7"/>
        </w:rPr>
        <w:t xml:space="preserve">:</w:t>
        <w:br w:clear="none"/>
      </w:r>
      <w:r>
        <w:t xml:space="preserve"/>
        <w:br w:clear="none"/>
      </w:r>
      <w:r>
        <w:rPr>
          <w:rStyle w:val="Text37"/>
        </w:rPr>
        <w:t xml:space="preserve">   </w:t>
        <w:br w:clear="none"/>
      </w:r>
      <w:r>
        <w:t xml:space="preserve"> </w:t>
        <w:br w:clear="none"/>
      </w:r>
      <w:r>
        <w:rPr>
          <w:rStyle w:val="Text10"/>
        </w:rPr>
        <w:t xml:space="preserve">import</w:t>
        <w:br w:clear="none"/>
      </w:r>
      <w:r>
        <w:t xml:space="preserve"> </w:t>
        <w:br w:clear="none"/>
      </w:r>
      <w:r>
        <w:rPr>
          <w:rStyle w:val="Text20"/>
        </w:rPr>
        <w:t xml:space="preserve">doctest</w:t>
        <w:br w:clear="none"/>
      </w:r>
      <w:r>
        <w:t xml:space="preserve"/>
        <w:br w:clear="none"/>
        <w:t xml:space="preserve">    </w:t>
        <w:br w:clear="none"/>
      </w:r>
      <w:r>
        <w:rPr>
          <w:rStyle w:val="Text9"/>
        </w:rPr>
        <w:t xml:space="preserve">doctest</w:t>
        <w:br w:clear="none"/>
      </w:r>
      <w:r>
        <w:rPr>
          <w:rStyle w:val="Text13"/>
        </w:rPr>
        <w:t xml:space="preserve">.</w:t>
        <w:br w:clear="none"/>
      </w:r>
      <w:r>
        <w:rPr>
          <w:rStyle w:val="Text9"/>
        </w:rPr>
        <w:t xml:space="preserve">testmod</w:t>
        <w:br w:clear="none"/>
      </w:r>
      <w:r>
        <w:rPr>
          <w:rStyle w:val="Text7"/>
        </w:rPr>
        <w:t xml:space="preserve">(</w:t>
        <w:br w:clear="none"/>
        <w:t xml:space="preserve">)</w:t>
        <w:br w:clear="none"/>
      </w:r>
    </w:p>
    <w:p>
      <w:pPr>
        <w:pStyle w:val="Normal"/>
      </w:pPr>
      <w:r>
        <w:t xml:space="preserve">This code calls the function </w:t>
      </w:r>
      <w:r>
        <w:rPr>
          <w:rStyle w:val="Text0"/>
        </w:rPr>
        <w:t>testmod</w:t>
      </w:r>
      <w:r>
        <w:t xml:space="preserve"> of the module </w:t>
      </w:r>
      <w:r>
        <w:rPr>
          <w:rStyle w:val="Text0"/>
        </w:rPr>
        <w:t>doctest</w:t>
      </w:r>
      <w:r>
        <w:t xml:space="preserve"> when you run your module as the main program. </w:t>
      </w:r>
      <w:r>
        <w:rPr>
          <w:rStyle w:val="Text0"/>
        </w:rPr>
        <w:t>testmod</w:t>
      </w:r>
      <w:r>
        <w:t xml:space="preserve"> examines docstrings (the module’s docstring, and the docstrings of all public functions, classes, and methods thereof). In each docstring, </w:t>
      </w:r>
      <w:r>
        <w:rPr>
          <w:rStyle w:val="Text0"/>
        </w:rPr>
        <w:t>testmod</w:t>
      </w:r>
      <w:r>
        <w:t xml:space="preserve"> finds all examples (by looking for occurrences of the interpreter prompt </w:t>
      </w:r>
      <w:r>
        <w:rPr>
          <w:rStyle w:val="Text0"/>
        </w:rPr>
        <w:t>&gt;&gt;&gt;</w:t>
      </w:r>
      <w:r>
        <w:t xml:space="preserve">, possibly preceded by whitespace) and runs each example. </w:t>
      </w:r>
      <w:r>
        <w:rPr>
          <w:rStyle w:val="Text0"/>
        </w:rPr>
        <w:t>testmod</w:t>
      </w:r>
      <w:r>
        <w:t xml:space="preserve"> checks that each example’s results match the output given in the docstring right after the example. In case of exceptions, </w:t>
      </w:r>
      <w:r>
        <w:rPr>
          <w:rStyle w:val="Text0"/>
        </w:rPr>
        <w:t>testmod</w:t>
      </w:r>
      <w:r>
        <w:t xml:space="preserve"> ignores the traceback, and just checks that the expected and observed error messages are equal.</w:t>
      </w:r>
    </w:p>
    <w:p>
      <w:pPr>
        <w:pStyle w:val="Normal"/>
      </w:pPr>
      <w:r>
        <w:t xml:space="preserve">When everything goes right, </w:t>
      </w:r>
      <w:r>
        <w:rPr>
          <w:rStyle w:val="Text0"/>
        </w:rPr>
        <w:t>testmod</w:t>
      </w:r>
      <w:r>
        <w:t xml:space="preserve"> terminates silently. Otherwise, it outputs detailed messages about the examples that failed, showing expected and actual output. </w:t>
      </w:r>
      <w:hyperlink w:anchor="Example_17_1__Using_doctest">
        <w:r>
          <w:rPr>
            <w:rStyle w:val="Text1"/>
          </w:rPr>
          <w:t>Example 17-1</w:t>
        </w:r>
      </w:hyperlink>
      <w:r>
        <w:t xml:space="preserve"> shows a typical example of </w:t>
      </w:r>
      <w:r>
        <w:rPr>
          <w:rStyle w:val="Text0"/>
        </w:rPr>
        <w:t>doctest</w:t>
      </w:r>
      <w:r>
        <w:t xml:space="preserve"> at work on a module </w:t>
      </w:r>
      <w:r>
        <w:rPr>
          <w:rStyle w:val="Text4"/>
        </w:rPr>
        <w:t>mod.py</w:t>
      </w:r>
      <w:r>
        <w:t>.</w:t>
      </w:r>
    </w:p>
    <w:p>
      <w:bookmarkStart w:id="3710" w:name="Example_17_1__Using_doctest"/>
      <w:pPr>
        <w:keepNext/>
        <w:pStyle w:val="Heading 4"/>
      </w:pPr>
      <w:r>
        <w:t xml:space="preserve">Example 17-1. </w:t>
        <w:t xml:space="preserve">Using </w:t>
      </w:r>
      <w:r>
        <w:rPr>
          <w:rStyle w:val="Text0"/>
        </w:rPr>
        <w:t>doctest</w:t>
      </w:r>
      <w:bookmarkEnd w:id="3710"/>
    </w:p>
    <w:p>
      <w:pPr>
        <w:pStyle w:val="Para 043"/>
      </w:pPr>
      <w:r>
        <w:rPr>
          <w:rStyle w:val="Text116"/>
        </w:rPr>
        <w:t xml:space="preserve"/>
        <w:br w:clear="none"/>
      </w:r>
      <w:r>
        <w:t xml:space="preserve">"""</w:t>
        <w:br w:clear="none"/>
      </w:r>
      <w:r>
        <w:rPr>
          <w:rStyle w:val="Text4"/>
        </w:rPr>
        <w:t xml:space="preserve"/>
        <w:br w:clear="none"/>
      </w:r>
      <w:r>
        <w:t xml:space="preserve">This module supplies a single function reverse_words that reverses</w:t>
        <w:br w:clear="none"/>
      </w:r>
      <w:r>
        <w:rPr>
          <w:rStyle w:val="Text4"/>
        </w:rPr>
        <w:t xml:space="preserve"/>
        <w:br w:clear="none"/>
      </w:r>
      <w:r>
        <w:t xml:space="preserve">a string word by word.</w:t>
        <w:br w:clear="none"/>
      </w:r>
      <w:r>
        <w:rPr>
          <w:rStyle w:val="Text4"/>
        </w:rPr>
        <w:t xml:space="preserve"/>
        <w:br w:clear="none"/>
        <w:t xml:space="preserve"/>
        <w:br w:clear="none"/>
      </w:r>
      <w:r>
        <w:t xml:space="preserve">&gt;&gt;&gt; reverse_words('four score and seven years')</w:t>
        <w:br w:clear="none"/>
      </w:r>
      <w:r>
        <w:rPr>
          <w:rStyle w:val="Text4"/>
        </w:rPr>
        <w:t xml:space="preserve"/>
        <w:br w:clear="none"/>
      </w:r>
      <w:r>
        <w:t xml:space="preserve">'years seven and score four'</w:t>
        <w:br w:clear="none"/>
      </w:r>
      <w:r>
        <w:rPr>
          <w:rStyle w:val="Text4"/>
        </w:rPr>
        <w:t xml:space="preserve"/>
        <w:br w:clear="none"/>
      </w:r>
      <w:r>
        <w:t xml:space="preserve">&gt;&gt;&gt; reverse_words('justoneword')</w:t>
        <w:br w:clear="none"/>
      </w:r>
      <w:r>
        <w:rPr>
          <w:rStyle w:val="Text4"/>
        </w:rPr>
        <w:t xml:space="preserve"/>
        <w:br w:clear="none"/>
      </w:r>
      <w:r>
        <w:t xml:space="preserve">'justoneword'</w:t>
        <w:br w:clear="none"/>
      </w:r>
      <w:r>
        <w:rPr>
          <w:rStyle w:val="Text4"/>
        </w:rPr>
        <w:t xml:space="preserve"/>
        <w:br w:clear="none"/>
      </w:r>
      <w:r>
        <w:t xml:space="preserve">&gt;&gt;&gt; reverse_words('')</w:t>
        <w:br w:clear="none"/>
      </w:r>
      <w:r>
        <w:rPr>
          <w:rStyle w:val="Text4"/>
        </w:rPr>
        <w:t xml:space="preserve"/>
        <w:br w:clear="none"/>
      </w:r>
      <w:r>
        <w:t xml:space="preserve">''</w:t>
        <w:br w:clear="none"/>
      </w:r>
      <w:r>
        <w:rPr>
          <w:rStyle w:val="Text4"/>
        </w:rPr>
        <w:t xml:space="preserve"/>
        <w:br w:clear="none"/>
        <w:t xml:space="preserve"/>
        <w:br w:clear="none"/>
      </w:r>
      <w:r>
        <w:t xml:space="preserve">You must call reverse_words with a single argument, a string:</w:t>
        <w:br w:clear="none"/>
      </w:r>
      <w:r>
        <w:rPr>
          <w:rStyle w:val="Text4"/>
        </w:rPr>
        <w:t xml:space="preserve"/>
        <w:br w:clear="none"/>
        <w:t xml:space="preserve"/>
        <w:br w:clear="none"/>
      </w:r>
      <w:r>
        <w:t xml:space="preserve">&gt;&gt;&gt; reverse_words()</w:t>
        <w:br w:clear="none"/>
      </w:r>
      <w:r>
        <w:rPr>
          <w:rStyle w:val="Text4"/>
        </w:rPr>
        <w:t xml:space="preserve"/>
        <w:br w:clear="none"/>
      </w:r>
      <w:r>
        <w:t xml:space="preserve">Traceback (most recent call last):</w:t>
        <w:br w:clear="none"/>
      </w:r>
      <w:r>
        <w:rPr>
          <w:rStyle w:val="Text4"/>
        </w:rPr>
        <w:t xml:space="preserve"/>
        <w:br w:clear="none"/>
      </w:r>
      <w:r>
        <w:t xml:space="preserve">    ...</w:t>
        <w:br w:clear="none"/>
      </w:r>
      <w:r>
        <w:rPr>
          <w:rStyle w:val="Text4"/>
        </w:rPr>
        <w:t xml:space="preserve"/>
        <w:br w:clear="none"/>
      </w:r>
      <w:r>
        <w:t xml:space="preserve">TypeError: reverse_words() missing 1 required positional argument: 'astring'</w:t>
        <w:br w:clear="none"/>
      </w:r>
      <w:r>
        <w:rPr>
          <w:rStyle w:val="Text4"/>
        </w:rPr>
        <w:t xml:space="preserve"/>
        <w:br w:clear="none"/>
      </w:r>
      <w:r>
        <w:t xml:space="preserve">&gt;&gt;&gt; reverse_words('one', 'another')</w:t>
        <w:br w:clear="none"/>
      </w:r>
      <w:r>
        <w:rPr>
          <w:rStyle w:val="Text4"/>
        </w:rPr>
        <w:t xml:space="preserve"/>
        <w:br w:clear="none"/>
      </w:r>
      <w:r>
        <w:t xml:space="preserve">Traceback (most recent call last):</w:t>
        <w:br w:clear="none"/>
      </w:r>
      <w:r>
        <w:rPr>
          <w:rStyle w:val="Text4"/>
        </w:rPr>
        <w:t xml:space="preserve"/>
        <w:br w:clear="none"/>
      </w:r>
      <w:r>
        <w:t xml:space="preserve">    ...</w:t>
        <w:br w:clear="none"/>
      </w:r>
      <w:r>
        <w:rPr>
          <w:rStyle w:val="Text4"/>
        </w:rPr>
        <w:t xml:space="preserve"/>
        <w:br w:clear="none"/>
      </w:r>
      <w:r>
        <w:t xml:space="preserve">TypeError: reverse_words() takes 1 positional argument but 2 were given</w:t>
        <w:br w:clear="none"/>
      </w:r>
      <w:r>
        <w:rPr>
          <w:rStyle w:val="Text4"/>
        </w:rPr>
        <w:t xml:space="preserve"/>
        <w:br w:clear="none"/>
      </w:r>
      <w:r>
        <w:t xml:space="preserve">&gt;&gt;&gt; reverse_words(1)</w:t>
        <w:br w:clear="none"/>
      </w:r>
      <w:r>
        <w:rPr>
          <w:rStyle w:val="Text4"/>
        </w:rPr>
        <w:t xml:space="preserve"/>
        <w:br w:clear="none"/>
      </w:r>
      <w:r>
        <w:t xml:space="preserve">Traceback (most recent call last):</w:t>
        <w:br w:clear="none"/>
      </w:r>
      <w:r>
        <w:rPr>
          <w:rStyle w:val="Text4"/>
        </w:rPr>
        <w:t xml:space="preserve"/>
        <w:br w:clear="none"/>
      </w:r>
      <w:r>
        <w:t xml:space="preserve">    ...</w:t>
        <w:br w:clear="none"/>
      </w:r>
      <w:r>
        <w:rPr>
          <w:rStyle w:val="Text4"/>
        </w:rPr>
        <w:t xml:space="preserve"/>
        <w:br w:clear="none"/>
      </w:r>
      <w:r>
        <w:t xml:space="preserve">AttributeError: 'int' object has no attribute 'split'</w:t>
        <w:br w:clear="none"/>
      </w:r>
      <w:r>
        <w:rPr>
          <w:rStyle w:val="Text4"/>
        </w:rPr>
        <w:t xml:space="preserve"/>
        <w:br w:clear="none"/>
      </w:r>
      <w:r>
        <w:t xml:space="preserve">&gt;&gt;&gt; reverse_words('𝒰𝓷𝓲𝓬𝓸𝓭𝓮 is all right too')</w:t>
        <w:br w:clear="none"/>
      </w:r>
      <w:r>
        <w:rPr>
          <w:rStyle w:val="Text4"/>
        </w:rPr>
        <w:t xml:space="preserve"/>
        <w:br w:clear="none"/>
      </w:r>
      <w:r>
        <w:t xml:space="preserve">'too right all is 𝒰𝓷𝓲𝓬𝓸𝓭𝓮'</w:t>
        <w:br w:clear="none"/>
      </w:r>
      <w:r>
        <w:rPr>
          <w:rStyle w:val="Text4"/>
        </w:rPr>
        <w:t xml:space="preserve"/>
        <w:br w:clear="none"/>
        <w:t xml:space="preserve"/>
        <w:br w:clear="none"/>
      </w:r>
      <w:r>
        <w:t xml:space="preserve">As a side effect, reverse_words eliminates any redundant spacing:</w:t>
        <w:br w:clear="none"/>
      </w:r>
      <w:r>
        <w:rPr>
          <w:rStyle w:val="Text4"/>
        </w:rPr>
        <w:t xml:space="preserve"/>
        <w:br w:clear="none"/>
        <w:t xml:space="preserve"/>
        <w:br w:clear="none"/>
      </w:r>
      <w:r>
        <w:t xml:space="preserve">&gt;&gt;&gt; reverse_words('with  redundant   spacing')</w:t>
        <w:br w:clear="none"/>
      </w:r>
      <w:r>
        <w:rPr>
          <w:rStyle w:val="Text4"/>
        </w:rPr>
        <w:t xml:space="preserve"/>
        <w:br w:clear="none"/>
      </w:r>
      <w:r>
        <w:t xml:space="preserve">'spacing redundant with'</w:t>
        <w:br w:clear="none"/>
      </w:r>
      <w:r>
        <w:rPr>
          <w:rStyle w:val="Text4"/>
        </w:rPr>
        <w:t xml:space="preserve"/>
        <w:br w:clear="none"/>
      </w:r>
      <w:r>
        <w:t xml:space="preserve">"""</w:t>
        <w:br w:clear="none"/>
      </w:r>
      <w:r>
        <w:rPr>
          <w:rStyle w:val="Text11"/>
        </w:rPr>
        <w:t xml:space="preserve"/>
        <w:br w:clear="none"/>
        <w:t xml:space="preserve"/>
        <w:br w:clear="none"/>
      </w:r>
      <w:r>
        <w:rPr>
          <w:rStyle w:val="Text22"/>
        </w:rPr>
        <w:t xml:space="preserve">def</w:t>
        <w:br w:clear="none"/>
      </w:r>
      <w:r>
        <w:rPr>
          <w:rStyle w:val="Text11"/>
        </w:rPr>
        <w:t xml:space="preserve"> </w:t>
        <w:br w:clear="none"/>
      </w:r>
      <w:r>
        <w:rPr>
          <w:rStyle w:val="Text42"/>
        </w:rPr>
        <w:t xml:space="preserve">reverse_words</w:t>
        <w:br w:clear="none"/>
      </w:r>
      <w:r>
        <w:rPr>
          <w:rStyle w:val="Text19"/>
        </w:rPr>
        <w:t xml:space="preserve">(</w:t>
        <w:br w:clear="none"/>
      </w:r>
      <w:r>
        <w:rPr>
          <w:rStyle w:val="Text14"/>
        </w:rPr>
        <w:t xml:space="preserve">astring</w:t>
        <w:br w:clear="none"/>
      </w:r>
      <w:r>
        <w:rPr>
          <w:rStyle w:val="Text19"/>
        </w:rPr>
        <w:t xml:space="preserve">)</w:t>
        <w:br w:clear="none"/>
        <w:t xml:space="preserve">:</w:t>
        <w:br w:clear="none"/>
      </w:r>
      <w:r>
        <w:rPr>
          <w:rStyle w:val="Text11"/>
        </w:rPr>
        <w:t xml:space="preserve"/>
        <w:br w:clear="none"/>
        <w:t xml:space="preserve">    </w:t>
        <w:br w:clear="none"/>
      </w:r>
      <w:r>
        <w:rPr>
          <w:rStyle w:val="Text14"/>
        </w:rPr>
        <w:t xml:space="preserve">words</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astring</w:t>
        <w:br w:clear="none"/>
      </w:r>
      <w:r>
        <w:rPr>
          <w:rStyle w:val="Text28"/>
        </w:rPr>
        <w:t xml:space="preserve">.</w:t>
        <w:br w:clear="none"/>
      </w:r>
      <w:r>
        <w:rPr>
          <w:rStyle w:val="Text14"/>
        </w:rPr>
        <w:t xml:space="preserve">split</w:t>
        <w:br w:clear="none"/>
      </w:r>
      <w:r>
        <w:rPr>
          <w:rStyle w:val="Text19"/>
        </w:rPr>
        <w:t xml:space="preserve">(</w:t>
        <w:br w:clear="none"/>
        <w:t xml:space="preserve">)</w:t>
        <w:br w:clear="none"/>
      </w:r>
      <w:r>
        <w:rPr>
          <w:rStyle w:val="Text11"/>
        </w:rPr>
        <w:t xml:space="preserve"/>
        <w:br w:clear="none"/>
        <w:t xml:space="preserve">    </w:t>
        <w:br w:clear="none"/>
      </w:r>
      <w:r>
        <w:rPr>
          <w:rStyle w:val="Text14"/>
        </w:rPr>
        <w:t xml:space="preserve">words</w:t>
        <w:br w:clear="none"/>
      </w:r>
      <w:r>
        <w:rPr>
          <w:rStyle w:val="Text28"/>
        </w:rPr>
        <w:t xml:space="preserve">.</w:t>
        <w:br w:clear="none"/>
      </w:r>
      <w:r>
        <w:rPr>
          <w:rStyle w:val="Text14"/>
        </w:rPr>
        <w:t xml:space="preserve">reverse</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4"/>
        </w:rPr>
        <w:t xml:space="preserve">'</w:t>
        <w:br w:clear="none"/>
        <w:t xml:space="preserve"> </w:t>
        <w:br w:clear="none"/>
        <w:t xml:space="preserve">'</w:t>
        <w:br w:clear="none"/>
      </w:r>
      <w:r>
        <w:rPr>
          <w:rStyle w:val="Text28"/>
        </w:rPr>
        <w:t xml:space="preserve">.</w:t>
        <w:br w:clear="none"/>
      </w:r>
      <w:r>
        <w:rPr>
          <w:rStyle w:val="Text14"/>
        </w:rPr>
        <w:t xml:space="preserve">join</w:t>
        <w:br w:clear="none"/>
      </w:r>
      <w:r>
        <w:rPr>
          <w:rStyle w:val="Text19"/>
        </w:rPr>
        <w:t xml:space="preserve">(</w:t>
        <w:br w:clear="none"/>
      </w:r>
      <w:r>
        <w:rPr>
          <w:rStyle w:val="Text14"/>
        </w:rPr>
        <w:t xml:space="preserve">words</w:t>
        <w:br w:clear="none"/>
      </w:r>
      <w:r>
        <w:rPr>
          <w:rStyle w:val="Text19"/>
        </w:rPr>
        <w:t xml:space="preserve">)</w:t>
        <w:br w:clear="none"/>
      </w:r>
      <w:r>
        <w:rPr>
          <w:rStyle w:val="Text11"/>
        </w:rPr>
        <w:t xml:space="preserve"/>
        <w:br w:clear="none"/>
        <w:t xml:space="preserve"/>
        <w:br w:clear="none"/>
      </w:r>
      <w:r>
        <w:rPr>
          <w:rStyle w:val="Text22"/>
        </w:rPr>
        <w:t xml:space="preserve">if</w:t>
        <w:br w:clear="none"/>
      </w:r>
      <w:r>
        <w:rPr>
          <w:rStyle w:val="Text11"/>
        </w:rPr>
        <w:t xml:space="preserve"> </w:t>
        <w:br w:clear="none"/>
        <w:t xml:space="preserve">__name__</w:t>
        <w:br w:clear="none"/>
        <w:t xml:space="preserve"> </w:t>
        <w:br w:clear="none"/>
      </w:r>
      <w:r>
        <w:rPr>
          <w:rStyle w:val="Text28"/>
        </w:rPr>
        <w:t xml:space="preserve">==</w:t>
        <w:br w:clear="none"/>
      </w:r>
      <w:r>
        <w:rPr>
          <w:rStyle w:val="Text11"/>
        </w:rPr>
        <w:t xml:space="preserve"> </w:t>
        <w:br w:clear="none"/>
      </w:r>
      <w:r>
        <w:rPr>
          <w:rStyle w:val="Text4"/>
        </w:rPr>
        <w:t xml:space="preserve">'</w:t>
        <w:br w:clear="none"/>
        <w:t xml:space="preserve">__main__</w:t>
        <w:br w:clear="none"/>
        <w:t xml:space="preserve">'</w:t>
        <w:br w:clear="none"/>
      </w:r>
      <w:r>
        <w:rPr>
          <w:rStyle w:val="Text19"/>
        </w:rPr>
        <w:t xml:space="preserve">:</w:t>
        <w:br w:clear="none"/>
      </w:r>
      <w:r>
        <w:rPr>
          <w:rStyle w:val="Text11"/>
        </w:rPr>
        <w:t xml:space="preserve"/>
        <w:br w:clear="none"/>
        <w:t xml:space="preserve">    </w:t>
        <w:br w:clear="none"/>
      </w:r>
      <w:r>
        <w:rPr>
          <w:rStyle w:val="Text22"/>
        </w:rPr>
        <w:t xml:space="preserve">import</w:t>
        <w:br w:clear="none"/>
      </w:r>
      <w:r>
        <w:rPr>
          <w:rStyle w:val="Text11"/>
        </w:rPr>
        <w:t xml:space="preserve"> </w:t>
        <w:br w:clear="none"/>
      </w:r>
      <w:r>
        <w:rPr>
          <w:rStyle w:val="Text53"/>
        </w:rPr>
        <w:t xml:space="preserve">doctest</w:t>
        <w:br w:clear="none"/>
      </w:r>
      <w:r>
        <w:rPr>
          <w:rStyle w:val="Text11"/>
        </w:rPr>
        <w:t xml:space="preserve"/>
        <w:br w:clear="none"/>
        <w:t xml:space="preserve">    </w:t>
        <w:br w:clear="none"/>
      </w:r>
      <w:r>
        <w:rPr>
          <w:rStyle w:val="Text14"/>
        </w:rPr>
        <w:t xml:space="preserve">doctest</w:t>
        <w:br w:clear="none"/>
      </w:r>
      <w:r>
        <w:rPr>
          <w:rStyle w:val="Text28"/>
        </w:rPr>
        <w:t xml:space="preserve">.</w:t>
        <w:br w:clear="none"/>
      </w:r>
      <w:r>
        <w:rPr>
          <w:rStyle w:val="Text14"/>
        </w:rPr>
        <w:t xml:space="preserve">testmod</w:t>
        <w:br w:clear="none"/>
      </w:r>
      <w:r>
        <w:rPr>
          <w:rStyle w:val="Text19"/>
        </w:rPr>
        <w:t xml:space="preserve">(</w:t>
        <w:br w:clear="none"/>
        <w:t xml:space="preserve">)</w:t>
        <w:br w:clear="none"/>
      </w:r>
    </w:p>
    <w:p>
      <w:pPr>
        <w:pStyle w:val="Normal"/>
      </w:pPr>
      <w:r>
        <w:t>In this module’s docstring, we snipped the tracebacks from the docstring and replaced them with ellipses (</w:t>
      </w:r>
      <w:r>
        <w:rPr>
          <w:rStyle w:val="Text0"/>
        </w:rPr>
        <w:t>...</w:t>
      </w:r>
      <w:r>
        <w:t xml:space="preserve">): this is good practice, since </w:t>
      </w:r>
      <w:r>
        <w:rPr>
          <w:rStyle w:val="Text0"/>
        </w:rPr>
        <w:t>doctest</w:t>
      </w:r>
      <w:r>
        <w:t xml:space="preserve"> ignores tracebacks, which add nothing to the explanatory value of a failing case. Apart from this snipping, the docstring is the copy and paste of an interactive session, plus some explanatory text and empty lines for readability. Save this source as </w:t>
      </w:r>
      <w:r>
        <w:rPr>
          <w:rStyle w:val="Text4"/>
        </w:rPr>
        <w:t>mod.py</w:t>
      </w:r>
      <w:r>
        <w:t xml:space="preserve">, and then run it with </w:t>
      </w:r>
      <w:r>
        <w:rPr>
          <w:rStyle w:val="Text5"/>
        </w:rPr>
        <w:t>python mod.py</w:t>
      </w:r>
      <w:r>
        <w:t xml:space="preserve">. It produces no output, meaning that all the examples work right. Try </w:t>
      </w:r>
      <w:r>
        <w:rPr>
          <w:rStyle w:val="Text5"/>
        </w:rPr>
        <w:t>python mod.py -v</w:t>
      </w:r>
      <w:r>
        <w:t xml:space="preserve"> to get an account of all tests it tries, and a verbose summary at the end. Finally, alter the example results in the module docstring, making them incorrect, to see the messages </w:t>
      </w:r>
      <w:r>
        <w:rPr>
          <w:rStyle w:val="Text0"/>
        </w:rPr>
        <w:t>doctest</w:t>
      </w:r>
      <w:r>
        <w:t xml:space="preserve"> provides for errant examples.</w:t>
      </w:r>
    </w:p>
    <w:p>
      <w:pPr>
        <w:pStyle w:val="Normal"/>
      </w:pPr>
      <w:r>
        <w:t xml:space="preserve">While </w:t>
      </w:r>
      <w:r>
        <w:rPr>
          <w:rStyle w:val="Text0"/>
        </w:rPr>
        <w:t>doctest</w:t>
      </w:r>
      <w:r>
        <w:t xml:space="preserve"> is not meant for general-purpose unit testing, it can be tempting to use it for that purpose. The recommended way to do unit testing in Python is with a</w:t>
      </w:r>
      <w:r>
        <w:rPr>
          <w:rStyle w:val="Text111"/>
        </w:rPr>
        <w:bookmarkStart w:id="3711" w:name="idm45965183569840"/>
        <w:t/>
        <w:bookmarkEnd w:id="3711"/>
      </w:r>
      <w:r>
        <w:t xml:space="preserve"> test framework such as </w:t>
      </w:r>
      <w:r>
        <w:rPr>
          <w:rStyle w:val="Text0"/>
        </w:rPr>
        <w:t>unittest</w:t>
      </w:r>
      <w:r>
        <w:t xml:space="preserve">, </w:t>
      </w:r>
      <w:r>
        <w:rPr>
          <w:rStyle w:val="Text0"/>
        </w:rPr>
        <w:t>pytest</w:t>
      </w:r>
      <w:r>
        <w:t xml:space="preserve">, or </w:t>
      </w:r>
      <w:r>
        <w:rPr>
          <w:rStyle w:val="Text0"/>
        </w:rPr>
        <w:t>nose2</w:t>
      </w:r>
      <w:r>
        <w:t xml:space="preserve"> (covered in the following sections). However, unit testing with </w:t>
      </w:r>
      <w:r>
        <w:rPr>
          <w:rStyle w:val="Text0"/>
        </w:rPr>
        <w:t>doctest</w:t>
      </w:r>
      <w:r>
        <w:t xml:space="preserve"> can be easier and faster to set up, since it requires little more than copying and pasting from an interactive session. If you need to maintain a module that lacks unit tests, retrofitting such tests into the module with </w:t>
      </w:r>
      <w:r>
        <w:rPr>
          <w:rStyle w:val="Text0"/>
        </w:rPr>
        <w:t>doctest</w:t>
      </w:r>
      <w:r>
        <w:t xml:space="preserve"> is a reasonable short-term compromise, as a first step. It’s better to have just </w:t>
      </w:r>
      <w:r>
        <w:rPr>
          <w:rStyle w:val="Text0"/>
        </w:rPr>
        <w:t>doctest</w:t>
      </w:r>
      <w:r>
        <w:t xml:space="preserve">-based unit tests than not to have any unit tests at all, as might otherwise happen should you decide that setting up tests properly with </w:t>
      </w:r>
      <w:r>
        <w:rPr>
          <w:rStyle w:val="Text0"/>
        </w:rPr>
        <w:t>unittest</w:t>
      </w:r>
      <w:r>
        <w:t xml:space="preserve"> from the start would take you too long.</w:t>
      </w:r>
      <w:hyperlink w:anchor="4_However__be_sure_you_know_exac">
        <w:r>
          <w:rPr>
            <w:rStyle w:val="Text41"/>
          </w:rPr>
          <w:bookmarkStart w:id="3712" w:name="4_8"/>
          <w:t>4</w:t>
          <w:bookmarkEnd w:id="3712"/>
        </w:r>
      </w:hyperlink>
    </w:p>
    <w:p>
      <w:pPr>
        <w:pStyle w:val="Normal"/>
      </w:pPr>
      <w:r>
        <w:t xml:space="preserve">If you do decide to use </w:t>
      </w:r>
      <w:r>
        <w:rPr>
          <w:rStyle w:val="Text0"/>
        </w:rPr>
        <w:t>doctest</w:t>
      </w:r>
      <w:r>
        <w:t xml:space="preserve"> for unit testing, don’t cram extra tests into your module’s docstrings. This would damage the docstrings by making them too long and hard to read. Keep in the docstrings the right amount and kind of examples, strictly for explanatory purposes, just as if unit testing were not in the picture. Instead, put the extra tests into a global variable of your module, a dictionary named </w:t>
      </w:r>
      <w:r>
        <w:rPr>
          <w:rStyle w:val="Text0"/>
        </w:rPr>
        <w:t>__test__</w:t>
      </w:r>
      <w:r>
        <w:t xml:space="preserve">. The keys in </w:t>
      </w:r>
      <w:r>
        <w:rPr>
          <w:rStyle w:val="Text0"/>
        </w:rPr>
        <w:t>__test__</w:t>
      </w:r>
      <w:r>
        <w:t xml:space="preserve"> are strings to use as arbitrary test names; corresponding values are strings that </w:t>
      </w:r>
      <w:r>
        <w:rPr>
          <w:rStyle w:val="Text0"/>
        </w:rPr>
        <w:t>doctest</w:t>
      </w:r>
      <w:r>
        <w:t xml:space="preserve"> picks up and uses just like it uses docstrings. The values in </w:t>
      </w:r>
      <w:r>
        <w:rPr>
          <w:rStyle w:val="Text0"/>
        </w:rPr>
        <w:t>__test__</w:t>
      </w:r>
      <w:r>
        <w:t xml:space="preserve"> may also be function and class objects, in which case </w:t>
      </w:r>
      <w:r>
        <w:rPr>
          <w:rStyle w:val="Text0"/>
        </w:rPr>
        <w:t>doctest</w:t>
      </w:r>
      <w:r>
        <w:t xml:space="preserve"> examines their docstrings for tests to run. This latter feature is a convenient way to run </w:t>
      </w:r>
      <w:r>
        <w:rPr>
          <w:rStyle w:val="Text0"/>
        </w:rPr>
        <w:t>doctest</w:t>
      </w:r>
      <w:r>
        <w:t xml:space="preserve"> on objects with private names, which </w:t>
      </w:r>
      <w:r>
        <w:rPr>
          <w:rStyle w:val="Text0"/>
        </w:rPr>
        <w:t>doctest</w:t>
      </w:r>
      <w:r>
        <w:t xml:space="preserve"> skips by default.</w:t>
      </w:r>
    </w:p>
    <w:p>
      <w:pPr>
        <w:pStyle w:val="Normal"/>
      </w:pPr>
      <w:r>
        <w:t xml:space="preserve">The </w:t>
      </w:r>
      <w:r>
        <w:rPr>
          <w:rStyle w:val="Text0"/>
        </w:rPr>
        <w:t>doctest</w:t>
      </w:r>
      <w:r>
        <w:t xml:space="preserve"> module also supplies two functions that return instances of the </w:t>
      </w:r>
      <w:r>
        <w:rPr>
          <w:rStyle w:val="Text0"/>
        </w:rPr>
        <w:t>unittest.TestSuite</w:t>
      </w:r>
      <w:r>
        <w:t xml:space="preserve"> class based on doctests, so that you can integrate such tests into testing frameworks based on </w:t>
      </w:r>
      <w:r>
        <w:rPr>
          <w:rStyle w:val="Text0"/>
        </w:rPr>
        <w:t>unittest</w:t>
      </w:r>
      <w:r>
        <w:t xml:space="preserve">. Full documentation for this advanced functionality is available </w:t>
      </w:r>
      <w:hyperlink r:id="rId500">
        <w:r>
          <w:rPr>
            <w:rStyle w:val="Text1"/>
          </w:rPr>
          <w:t>online</w:t>
        </w:r>
      </w:hyperlink>
      <w:r>
        <w:t>.</w:t>
      </w:r>
      <w:r>
        <w:rPr>
          <w:rStyle w:val="Text111"/>
        </w:rPr>
        <w:bookmarkStart w:id="3713" w:name="idm45965183510864"/>
        <w:t/>
        <w:bookmarkEnd w:id="3713"/>
        <w:bookmarkStart w:id="3714" w:name="idm45965183509456"/>
        <w:t/>
        <w:bookmarkEnd w:id="3714"/>
      </w:r>
    </w:p>
    <w:p>
      <w:bookmarkStart w:id="3715" w:name="The_unittest_Module__The_unittes"/>
      <w:pPr>
        <w:keepNext/>
        <w:pStyle w:val="Heading 2"/>
      </w:pPr>
      <w:r>
        <w:t>The unittest Module</w:t>
      </w:r>
      <w:bookmarkEnd w:id="3715"/>
    </w:p>
    <w:p>
      <w:pPr>
        <w:pStyle w:val="Normal"/>
      </w:pPr>
      <w:r>
        <w:t>The</w:t>
      </w:r>
      <w:r>
        <w:rPr>
          <w:rStyle w:val="Text111"/>
        </w:rPr>
        <w:bookmarkStart w:id="3716" w:name="Tunit17"/>
        <w:t/>
        <w:bookmarkEnd w:id="3716"/>
        <w:bookmarkStart w:id="3717" w:name="unimod17"/>
        <w:t/>
        <w:bookmarkEnd w:id="3717"/>
        <w:bookmarkStart w:id="3718" w:name="idm45965183503056"/>
        <w:t/>
        <w:bookmarkEnd w:id="3718"/>
      </w:r>
      <w:r>
        <w:t xml:space="preserve"> </w:t>
      </w:r>
      <w:r>
        <w:rPr>
          <w:rStyle w:val="Text0"/>
        </w:rPr>
        <w:t>unittest</w:t>
      </w:r>
      <w:r>
        <w:t xml:space="preserve"> module is the Python version of a unit testing framework originally developed by Kent Beck for Smalltalk. Similar, widespread versions of the framework also exist for many other programming languages (e.g., the </w:t>
      </w:r>
      <w:r>
        <w:rPr>
          <w:rStyle w:val="Text0"/>
        </w:rPr>
        <w:t>JUnit</w:t>
      </w:r>
      <w:r>
        <w:t xml:space="preserve"> package for Java) and are often collectively referred to as </w:t>
      </w:r>
      <w:r>
        <w:rPr>
          <w:rStyle w:val="Text0"/>
        </w:rPr>
        <w:t>xUnit</w:t>
      </w:r>
      <w:r>
        <w:t>.</w:t>
      </w:r>
    </w:p>
    <w:p>
      <w:pPr>
        <w:pStyle w:val="Normal"/>
      </w:pPr>
      <w:r>
        <w:t xml:space="preserve">To use </w:t>
      </w:r>
      <w:r>
        <w:rPr>
          <w:rStyle w:val="Text0"/>
        </w:rPr>
        <w:t>unittest</w:t>
      </w:r>
      <w:r>
        <w:t xml:space="preserve">, don’t put your testing code in the same source file as the tested module: rather, write a separate test module for each module to test. A popular convention is to name the test module like the module being tested, with a prefix such as </w:t>
      </w:r>
      <w:r>
        <w:rPr>
          <w:rStyle w:val="Text0"/>
        </w:rPr>
        <w:t>'test_'</w:t>
      </w:r>
      <w:r>
        <w:t xml:space="preserve">, and put it in a subdirectory of the source’s directory named </w:t>
      </w:r>
      <w:r>
        <w:rPr>
          <w:rStyle w:val="Text4"/>
        </w:rPr>
        <w:t>test</w:t>
      </w:r>
      <w:r>
        <w:t xml:space="preserve">. For example, the test module for </w:t>
      </w:r>
      <w:r>
        <w:rPr>
          <w:rStyle w:val="Text4"/>
        </w:rPr>
        <w:t>mod.py</w:t>
      </w:r>
      <w:r>
        <w:t xml:space="preserve"> can be </w:t>
      </w:r>
      <w:r>
        <w:rPr>
          <w:rStyle w:val="Text4"/>
        </w:rPr>
        <w:t>test/test_mod.py</w:t>
      </w:r>
      <w:r>
        <w:t>. A simple, consistent naming convention helps you write and maintain auxiliary scripts that find and run all unit tests for a package.</w:t>
      </w:r>
    </w:p>
    <w:p>
      <w:pPr>
        <w:pStyle w:val="Normal"/>
      </w:pPr>
      <w:r>
        <w:t xml:space="preserve">Separation between a module’s source code and its unit testing code lets you refactor the module more easily, including possibly recoding some functionality in C without perturbing the unit testing code. Knowing that </w:t>
      </w:r>
      <w:r>
        <w:rPr>
          <w:rStyle w:val="Text4"/>
        </w:rPr>
        <w:t>test_mod.py</w:t>
      </w:r>
      <w:r>
        <w:t xml:space="preserve"> stays intact, whatever changes you make to </w:t>
      </w:r>
      <w:r>
        <w:rPr>
          <w:rStyle w:val="Text4"/>
        </w:rPr>
        <w:t>mod.py</w:t>
      </w:r>
      <w:r>
        <w:t xml:space="preserve">, enhances your confidence that passing the tests in </w:t>
      </w:r>
      <w:r>
        <w:rPr>
          <w:rStyle w:val="Text4"/>
        </w:rPr>
        <w:t>test_mod.py</w:t>
      </w:r>
      <w:r>
        <w:t xml:space="preserve"> indicates that </w:t>
      </w:r>
      <w:r>
        <w:rPr>
          <w:rStyle w:val="Text4"/>
        </w:rPr>
        <w:t>mod.py</w:t>
      </w:r>
      <w:r>
        <w:t xml:space="preserve"> still works correctly after the changes.</w:t>
      </w:r>
    </w:p>
    <w:p>
      <w:pPr>
        <w:pStyle w:val="Normal"/>
      </w:pPr>
      <w:r>
        <w:t xml:space="preserve">A unit testing module defines one or more subclasses of </w:t>
      </w:r>
      <w:r>
        <w:rPr>
          <w:rStyle w:val="Text0"/>
        </w:rPr>
        <w:t>unittest</w:t>
      </w:r>
      <w:r>
        <w:t>’s</w:t>
      </w:r>
      <w:r>
        <w:rPr>
          <w:rStyle w:val="Text111"/>
        </w:rPr>
        <w:bookmarkStart w:id="3719" w:name="idm45965183492864"/>
        <w:t/>
        <w:bookmarkEnd w:id="3719"/>
      </w:r>
      <w:r>
        <w:t xml:space="preserve"> </w:t>
      </w:r>
      <w:r>
        <w:rPr>
          <w:rStyle w:val="Text0"/>
        </w:rPr>
        <w:t>TestCase</w:t>
      </w:r>
      <w:r>
        <w:t xml:space="preserve"> class. Each such subclass specifies one or more test cases by defining</w:t>
      </w:r>
      <w:r>
        <w:rPr>
          <w:rStyle w:val="Text111"/>
        </w:rPr>
        <w:bookmarkStart w:id="3720" w:name="idm45965183490912"/>
        <w:t/>
        <w:bookmarkEnd w:id="3720"/>
      </w:r>
      <w:r>
        <w:t xml:space="preserve"> </w:t>
      </w:r>
      <w:r>
        <w:rPr>
          <w:rStyle w:val="Text4"/>
        </w:rPr>
        <w:t>test case methods</w:t>
      </w:r>
      <w:r>
        <w:t xml:space="preserve">: methods that are callable without arguments and whose names start with </w:t>
      </w:r>
      <w:r>
        <w:rPr>
          <w:rStyle w:val="Text0"/>
        </w:rPr>
        <w:t>test</w:t>
      </w:r>
      <w:r>
        <w:t>.</w:t>
      </w:r>
    </w:p>
    <w:p>
      <w:pPr>
        <w:pStyle w:val="Normal"/>
      </w:pPr>
      <w:r>
        <w:t xml:space="preserve">The subclass usually overrides </w:t>
      </w:r>
      <w:r>
        <w:rPr>
          <w:rStyle w:val="Text0"/>
        </w:rPr>
        <w:t>setUp</w:t>
      </w:r>
      <w:r>
        <w:t>, which the framework calls to prepare a new instance just before each test case, and often also</w:t>
      </w:r>
      <w:r>
        <w:rPr>
          <w:rStyle w:val="Text111"/>
        </w:rPr>
        <w:bookmarkStart w:id="3721" w:name="idm45965183487136"/>
        <w:t/>
        <w:bookmarkEnd w:id="3721"/>
      </w:r>
      <w:r>
        <w:t xml:space="preserve"> </w:t>
      </w:r>
      <w:r>
        <w:rPr>
          <w:rStyle w:val="Text0"/>
        </w:rPr>
        <w:t>tearDown</w:t>
      </w:r>
      <w:r>
        <w:t>, which the framework calls to clean things up right after each test case; the entire setup/teardown arrangement is known as a</w:t>
      </w:r>
      <w:r>
        <w:rPr>
          <w:rStyle w:val="Text111"/>
        </w:rPr>
        <w:bookmarkStart w:id="3722" w:name="idm45965183485216"/>
        <w:t/>
        <w:bookmarkEnd w:id="3722"/>
      </w:r>
      <w:r>
        <w:t xml:space="preserve"> </w:t>
      </w:r>
      <w:r>
        <w:rPr>
          <w:rStyle w:val="Text4"/>
        </w:rPr>
        <w:t>test fixture</w:t>
      </w:r>
      <w:r>
        <w:t>.</w:t>
      </w:r>
    </w:p>
    <w:p>
      <w:pPr>
        <w:pStyle w:val="Normal"/>
      </w:pPr>
      <w:r>
        <w:t xml:space="preserve">Each test case calls, on </w:t>
      </w:r>
      <w:r>
        <w:rPr>
          <w:rStyle w:val="Text0"/>
        </w:rPr>
        <w:t>self</w:t>
      </w:r>
      <w:r>
        <w:t xml:space="preserve">, methods of the class </w:t>
      </w:r>
      <w:r>
        <w:rPr>
          <w:rStyle w:val="Text0"/>
        </w:rPr>
        <w:t>TestCase</w:t>
      </w:r>
      <w:r>
        <w:t xml:space="preserve"> whose names start with </w:t>
      </w:r>
      <w:r>
        <w:rPr>
          <w:rStyle w:val="Text0"/>
        </w:rPr>
        <w:t>assert</w:t>
      </w:r>
      <w:r>
        <w:t xml:space="preserve"> to express the conditions that the test must meet. </w:t>
      </w:r>
      <w:r>
        <w:rPr>
          <w:rStyle w:val="Text0"/>
        </w:rPr>
        <w:t>unittest</w:t>
      </w:r>
      <w:r>
        <w:t xml:space="preserve"> runs the test case methods within a </w:t>
      </w:r>
      <w:r>
        <w:rPr>
          <w:rStyle w:val="Text0"/>
        </w:rPr>
        <w:t>TestCase</w:t>
      </w:r>
      <w:r>
        <w:t xml:space="preserve"> subclass in arbitrary order, each on a new instance of the subclass, running </w:t>
      </w:r>
      <w:r>
        <w:rPr>
          <w:rStyle w:val="Text0"/>
        </w:rPr>
        <w:t>setUp</w:t>
      </w:r>
      <w:r>
        <w:t xml:space="preserve"> just before each test case and </w:t>
      </w:r>
      <w:r>
        <w:rPr>
          <w:rStyle w:val="Text0"/>
        </w:rPr>
        <w:t>tearDown</w:t>
      </w:r>
      <w:r>
        <w:t xml:space="preserve"> just after each test case.</w:t>
      </w:r>
    </w:p>
    <w:p>
      <w:pPr>
        <w:keepNext/>
        <w:pStyle w:val="Heading 5"/>
        <w:keepLines w:val="on"/>
      </w:pPr>
      <w:r>
        <w:t>Have setUp Use addCleanup When Needed</w:t>
      </w:r>
    </w:p>
    <w:p>
      <w:pPr>
        <w:pStyle w:val="Para 012"/>
        <w:keepLines w:val="on"/>
      </w:pPr>
      <w:r>
        <w:t xml:space="preserve">When </w:t>
      </w:r>
      <w:r>
        <w:rPr>
          <w:rStyle w:val="Text0"/>
        </w:rPr>
        <w:t>setUp</w:t>
      </w:r>
      <w:r>
        <w:t xml:space="preserve"> propagates an exception, </w:t>
      </w:r>
      <w:r>
        <w:rPr>
          <w:rStyle w:val="Text0"/>
        </w:rPr>
        <w:t>tearDown</w:t>
      </w:r>
      <w:r>
        <w:t xml:space="preserve"> does not execute. So, when </w:t>
      </w:r>
      <w:r>
        <w:rPr>
          <w:rStyle w:val="Text0"/>
        </w:rPr>
        <w:t>setUp</w:t>
      </w:r>
      <w:r>
        <w:t xml:space="preserve"> prepares several things needing eventual cleanup, and some preparation steps might cause uncaught exceptions, it should not rely on </w:t>
      </w:r>
      <w:r>
        <w:rPr>
          <w:rStyle w:val="Text0"/>
        </w:rPr>
        <w:t>tearDown</w:t>
      </w:r>
      <w:r>
        <w:t xml:space="preserve"> for the cleanup work. Instead, right after each preparation step succeeds, call </w:t>
      </w:r>
      <w:r>
        <w:rPr>
          <w:rStyle w:val="Text0"/>
        </w:rPr>
        <w:t>self.addCleanup(</w:t>
      </w:r>
      <w:r>
        <w:rPr>
          <w:rStyle w:val="Text3"/>
        </w:rPr>
        <w:t>f</w:t>
      </w:r>
      <w:r>
        <w:rPr>
          <w:rStyle w:val="Text0"/>
        </w:rPr>
        <w:t>,</w:t>
      </w:r>
      <w:r>
        <w:t xml:space="preserve"> </w:t>
      </w:r>
      <w:r>
        <w:rPr>
          <w:rStyle w:val="Text3"/>
        </w:rPr>
        <w:t>*a</w:t>
      </w:r>
      <w:r>
        <w:rPr>
          <w:rStyle w:val="Text0"/>
        </w:rPr>
        <w:t>,</w:t>
      </w:r>
      <w:r>
        <w:t xml:space="preserve"> </w:t>
      </w:r>
      <w:r>
        <w:rPr>
          <w:rStyle w:val="Text3"/>
        </w:rPr>
        <w:t>**k</w:t>
      </w:r>
      <w:r>
        <w:rPr>
          <w:rStyle w:val="Text0"/>
        </w:rPr>
        <w:t>)</w:t>
      </w:r>
      <w:r>
        <w:t xml:space="preserve">, passing a cleanup callable </w:t>
      </w:r>
      <w:r>
        <w:rPr>
          <w:rStyle w:val="Text3"/>
        </w:rPr>
        <w:t>f</w:t>
      </w:r>
      <w:r>
        <w:t xml:space="preserve"> (and optionally positional and named arguments for </w:t>
      </w:r>
      <w:r>
        <w:rPr>
          <w:rStyle w:val="Text3"/>
        </w:rPr>
        <w:t>f</w:t>
      </w:r>
      <w:r>
        <w:t xml:space="preserve">). In this case, </w:t>
      </w:r>
      <w:r>
        <w:rPr>
          <w:rStyle w:val="Text3"/>
        </w:rPr>
        <w:t>f</w:t>
      </w:r>
      <w:r>
        <w:rPr>
          <w:rStyle w:val="Text0"/>
        </w:rPr>
        <w:t>(*</w:t>
      </w:r>
      <w:r>
        <w:rPr>
          <w:rStyle w:val="Text3"/>
        </w:rPr>
        <w:t>a</w:t>
      </w:r>
      <w:r>
        <w:rPr>
          <w:rStyle w:val="Text0"/>
        </w:rPr>
        <w:t>,</w:t>
      </w:r>
      <w:r>
        <w:t xml:space="preserve"> </w:t>
      </w:r>
      <w:r>
        <w:rPr>
          <w:rStyle w:val="Text3"/>
        </w:rPr>
        <w:t>**k</w:t>
      </w:r>
      <w:r>
        <w:rPr>
          <w:rStyle w:val="Text0"/>
        </w:rPr>
        <w:t>)</w:t>
      </w:r>
      <w:r>
        <w:t xml:space="preserve"> does get called after the test case (after </w:t>
      </w:r>
      <w:r>
        <w:rPr>
          <w:rStyle w:val="Text0"/>
        </w:rPr>
        <w:t>tearDown</w:t>
      </w:r>
      <w:r>
        <w:t xml:space="preserve"> when </w:t>
      </w:r>
      <w:r>
        <w:rPr>
          <w:rStyle w:val="Text0"/>
        </w:rPr>
        <w:t>setUp</w:t>
      </w:r>
      <w:r>
        <w:t xml:space="preserve"> propagates no exception, but, unconditionally, even when </w:t>
      </w:r>
      <w:r>
        <w:rPr>
          <w:rStyle w:val="Text0"/>
        </w:rPr>
        <w:t>setUp</w:t>
      </w:r>
      <w:r>
        <w:t xml:space="preserve"> does propagate exceptions), so the necessary cleanup code always executes.</w:t>
      </w:r>
    </w:p>
    <w:p>
      <w:pPr>
        <w:pStyle w:val="Normal"/>
      </w:pPr>
      <w:r>
        <w:rPr>
          <w:rStyle w:val="Text0"/>
        </w:rPr>
        <w:t>unittest</w:t>
      </w:r>
      <w:r>
        <w:t xml:space="preserve"> provides other facilities, such as grouping test cases into test suites, per-class and per-module fixtures, test discovery, and other, even more advanced functionality. You do not need such extras unless you’re building a custom unit testing framework on top of </w:t>
      </w:r>
      <w:r>
        <w:rPr>
          <w:rStyle w:val="Text0"/>
        </w:rPr>
        <w:t>unittest</w:t>
      </w:r>
      <w:r>
        <w:t xml:space="preserve">, or, at the very least, structuring complex testing procedures for equally complex packages. In most cases, the concepts and details covered in this section are enough to perform effective and systematic unit testing. </w:t>
      </w:r>
      <w:hyperlink w:anchor="Example_17_2__Using_unittest">
        <w:r>
          <w:rPr>
            <w:rStyle w:val="Text1"/>
          </w:rPr>
          <w:t>Example 17-2</w:t>
        </w:r>
      </w:hyperlink>
      <w:r>
        <w:t xml:space="preserve"> shows how to use </w:t>
      </w:r>
      <w:r>
        <w:rPr>
          <w:rStyle w:val="Text0"/>
        </w:rPr>
        <w:t>unittest</w:t>
      </w:r>
      <w:r>
        <w:t xml:space="preserve"> to provide unit tests for the module </w:t>
      </w:r>
      <w:r>
        <w:rPr>
          <w:rStyle w:val="Text4"/>
        </w:rPr>
        <w:t>mod.py</w:t>
      </w:r>
      <w:r>
        <w:t xml:space="preserve"> of </w:t>
      </w:r>
      <w:hyperlink w:anchor="Example_17_1__Using_doctest">
        <w:r>
          <w:rPr>
            <w:rStyle w:val="Text1"/>
          </w:rPr>
          <w:t>Example 17-1</w:t>
        </w:r>
      </w:hyperlink>
      <w:r>
        <w:t xml:space="preserve">. This example, for purely demonstrative purposes, uses </w:t>
      </w:r>
      <w:r>
        <w:rPr>
          <w:rStyle w:val="Text0"/>
        </w:rPr>
        <w:t>unittest</w:t>
      </w:r>
      <w:r>
        <w:t xml:space="preserve"> to perform exactly the same tests that </w:t>
      </w:r>
      <w:hyperlink w:anchor="Example_17_1__Using_doctest">
        <w:r>
          <w:rPr>
            <w:rStyle w:val="Text1"/>
          </w:rPr>
          <w:t>Example 17-1</w:t>
        </w:r>
      </w:hyperlink>
      <w:r>
        <w:t xml:space="preserve"> uses as examples in docstrings using </w:t>
      </w:r>
      <w:r>
        <w:rPr>
          <w:rStyle w:val="Text0"/>
        </w:rPr>
        <w:t>doctest</w:t>
      </w:r>
      <w:r>
        <w:t>.</w:t>
      </w:r>
    </w:p>
    <w:p>
      <w:bookmarkStart w:id="3723" w:name="Example_17_2__Using_unittest"/>
      <w:pPr>
        <w:keepNext/>
        <w:pStyle w:val="Heading 4"/>
      </w:pPr>
      <w:r>
        <w:t xml:space="preserve">Example 17-2. </w:t>
        <w:t xml:space="preserve">Using </w:t>
      </w:r>
      <w:r>
        <w:rPr>
          <w:rStyle w:val="Text0"/>
        </w:rPr>
        <w:t>unittest</w:t>
      </w:r>
      <w:bookmarkEnd w:id="3723"/>
    </w:p>
    <w:p>
      <w:pPr>
        <w:pStyle w:val="Para 020"/>
      </w:pPr>
      <w:r>
        <w:rPr>
          <w:rStyle w:val="Text23"/>
        </w:rPr>
        <w:t xml:space="preserve"/>
        <w:br w:clear="none"/>
      </w:r>
      <w:r>
        <w:t xml:space="preserve">"""This module tests function reverse_words</w:t>
        <w:br w:clear="none"/>
        <w:t xml:space="preserve">provided by module mod.py."""</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unittest</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mod</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ModTest</w:t>
        <w:br w:clear="none"/>
      </w:r>
      <w:r>
        <w:rPr>
          <w:rStyle w:val="Text7"/>
        </w:rPr>
        <w:t xml:space="preserve">(</w:t>
        <w:br w:clear="none"/>
      </w:r>
      <w:r>
        <w:rPr>
          <w:rStyle w:val="Text9"/>
        </w:rPr>
        <w:t xml:space="preserve">unittest</w:t>
        <w:br w:clear="none"/>
      </w:r>
      <w:r>
        <w:rPr>
          <w:rStyle w:val="Text13"/>
        </w:rPr>
        <w:t xml:space="preserve">.</w:t>
        <w:br w:clear="none"/>
      </w:r>
      <w:r>
        <w:rPr>
          <w:rStyle w:val="Text9"/>
        </w:rPr>
        <w:t xml:space="preserve">TestCase</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testNormalCaseWorks</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rPr>
          <w:rStyle w:val="Text9"/>
        </w:rPr>
        <w:t xml:space="preserve">assertEqual</w:t>
        <w:br w:clear="none"/>
      </w:r>
      <w:r>
        <w:rPr>
          <w:rStyle w:val="Text7"/>
        </w:rPr>
        <w:t xml:space="preserve">(</w:t>
        <w:br w:clear="none"/>
      </w:r>
      <w:r>
        <w:rPr>
          <w:rStyle w:val="Text6"/>
        </w:rPr>
        <w:t xml:space="preserve"/>
        <w:br w:clear="none"/>
        <w:t xml:space="preserve">            </w:t>
        <w:br w:clear="none"/>
      </w:r>
      <w:r>
        <w:t xml:space="preserve">'</w:t>
        <w:br w:clear="none"/>
        <w:t xml:space="preserve">years seven and score four</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four score and seven years</w:t>
        <w:br w:clear="none"/>
        <w:t xml:space="preserve">'</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testSingleWordIsNoop</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rPr>
          <w:rStyle w:val="Text9"/>
        </w:rPr>
        <w:t xml:space="preserve">assertEqual</w:t>
        <w:br w:clear="none"/>
      </w:r>
      <w:r>
        <w:rPr>
          <w:rStyle w:val="Text7"/>
        </w:rPr>
        <w:t xml:space="preserve">(</w:t>
        <w:br w:clear="none"/>
      </w:r>
      <w:r>
        <w:rPr>
          <w:rStyle w:val="Text6"/>
        </w:rPr>
        <w:t xml:space="preserve"/>
        <w:br w:clear="none"/>
        <w:t xml:space="preserve">            </w:t>
        <w:br w:clear="none"/>
      </w:r>
      <w:r>
        <w:t xml:space="preserve">'</w:t>
        <w:br w:clear="none"/>
        <w:t xml:space="preserve">justoneword</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justoneword</w:t>
        <w:br w:clear="none"/>
        <w:t xml:space="preserve">'</w:t>
        <w:br w:clear="none"/>
      </w:r>
      <w:r>
        <w:rPr>
          <w:rStyle w:val="Text7"/>
        </w:rPr>
        <w:t xml:space="preserve">)</w:t>
        <w:br w:clear="none"/>
        <w:t xml:space="preserve">)</w:t>
        <w:br w:clear="none"/>
      </w:r>
      <w:r>
        <w:rPr>
          <w:rStyle w:val="Text6"/>
        </w:rPr>
        <w:t xml:space="preserve"/>
        <w:br w:clear="none"/>
        <w:t xml:space="preserve">            </w:t>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testEmptyWorks</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rPr>
          <w:rStyle w:val="Text9"/>
        </w:rPr>
        <w:t xml:space="preserve">assertEqual</w:t>
        <w:br w:clear="none"/>
      </w:r>
      <w:r>
        <w:rPr>
          <w:rStyle w:val="Text7"/>
        </w:rPr>
        <w:t xml:space="preserve">(</w:t>
        <w:br w:clear="none"/>
      </w:r>
      <w:r>
        <w:t xml:space="preserve">'</w:t>
        <w:br w:clear="none"/>
        <w:t xml:space="preserve">'</w:t>
        <w:br w:clear="none"/>
      </w:r>
      <w:r>
        <w:rPr>
          <w:rStyle w:val="Text7"/>
        </w:rPr>
        <w:t xml:space="preserve">,</w:t>
        <w:br w:clear="none"/>
      </w:r>
      <w:r>
        <w:rPr>
          <w:rStyle w:val="Text6"/>
        </w:rPr>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testRedundantSpacingGetsRemoved</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rPr>
          <w:rStyle w:val="Text9"/>
        </w:rPr>
        <w:t xml:space="preserve">assertEqual</w:t>
        <w:br w:clear="none"/>
      </w:r>
      <w:r>
        <w:rPr>
          <w:rStyle w:val="Text7"/>
        </w:rPr>
        <w:t xml:space="preserve">(</w:t>
        <w:br w:clear="none"/>
      </w:r>
      <w:r>
        <w:rPr>
          <w:rStyle w:val="Text6"/>
        </w:rPr>
        <w:t xml:space="preserve"/>
        <w:br w:clear="none"/>
        <w:t xml:space="preserve">            </w:t>
        <w:br w:clear="none"/>
      </w:r>
      <w:r>
        <w:t xml:space="preserve">'</w:t>
        <w:br w:clear="none"/>
        <w:t xml:space="preserve">spacing redundant with</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with   redundant   spacing</w:t>
        <w:br w:clear="none"/>
        <w:t xml:space="preserve">'</w:t>
        <w:br w:clear="none"/>
      </w:r>
      <w:r>
        <w:rPr>
          <w:rStyle w:val="Text7"/>
        </w:rPr>
        <w:t xml:space="preserve">)</w:t>
        <w:br w:clear="none"/>
        <w:t xml:space="preserve">)</w:t>
        <w:br w:clear="none"/>
      </w:r>
      <w:r>
        <w:rPr>
          <w:rStyle w:val="Text6"/>
        </w:rPr>
        <w:t xml:space="preserve"/>
        <w:br w:clear="none"/>
        <w:t xml:space="preserve">            </w:t>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testUnicodeWorks</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rPr>
          <w:rStyle w:val="Text9"/>
        </w:rPr>
        <w:t xml:space="preserve">assertEqual</w:t>
        <w:br w:clear="none"/>
      </w:r>
      <w:r>
        <w:rPr>
          <w:rStyle w:val="Text7"/>
        </w:rPr>
        <w:t xml:space="preserve">(</w:t>
        <w:br w:clear="none"/>
      </w:r>
      <w:r>
        <w:rPr>
          <w:rStyle w:val="Text6"/>
        </w:rPr>
        <w:t xml:space="preserve"/>
        <w:br w:clear="none"/>
        <w:t xml:space="preserve">            </w:t>
        <w:br w:clear="none"/>
      </w:r>
      <w:r>
        <w:t xml:space="preserve">'</w:t>
        <w:br w:clear="none"/>
        <w:t xml:space="preserve">too right all is 𝒰𝓷𝓲𝓬𝓸𝓭𝓮</w:t>
        <w:br w:clear="none"/>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𝒰𝓷𝓲𝓬𝓸𝓭𝓮 is all right too</w:t>
        <w:br w:clear="none"/>
        <w:t xml:space="preserve">'</w:t>
        <w:br w:clear="none"/>
      </w:r>
      <w:r>
        <w:rPr>
          <w:rStyle w:val="Text7"/>
        </w:rPr>
        <w:t xml:space="preserve">)</w:t>
        <w:br w:clear="none"/>
        <w:t xml:space="preserve">)</w:t>
        <w:br w:clear="none"/>
      </w:r>
      <w:r>
        <w:rPr>
          <w:rStyle w:val="Text6"/>
        </w:rPr>
        <w:t xml:space="preserve"/>
        <w:br w:clear="none"/>
        <w:t xml:space="preserve">            </w:t>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testExactlyOneArgumentIsEnforced</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self</w:t>
        <w:br w:clear="none"/>
      </w:r>
      <w:r>
        <w:rPr>
          <w:rStyle w:val="Text13"/>
        </w:rPr>
        <w:t xml:space="preserve">.</w:t>
        <w:br w:clear="none"/>
      </w:r>
      <w:r>
        <w:rPr>
          <w:rStyle w:val="Text9"/>
        </w:rPr>
        <w:t xml:space="preserve">assertRaises</w:t>
        <w:br w:clear="none"/>
      </w:r>
      <w:r>
        <w:rPr>
          <w:rStyle w:val="Text7"/>
        </w:rPr>
        <w:t xml:space="preserve">(</w:t>
        <w:br w:clear="none"/>
      </w:r>
      <w:r>
        <w:rPr>
          <w:rStyle w:val="Text36"/>
        </w:rPr>
        <w:t xml:space="preserve">TypeError</w:t>
        <w:br w:clear="none"/>
      </w:r>
      <w:r>
        <w:rPr>
          <w:rStyle w:val="Text7"/>
        </w:rPr>
        <w:t xml:space="preserve">)</w:t>
        <w:br w:clear="none"/>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t xml:space="preserve">'</w:t>
        <w:br w:clear="none"/>
        <w:t xml:space="preserve">one</w:t>
        <w:br w:clear="none"/>
        <w:t xml:space="preserve">'</w:t>
        <w:br w:clear="none"/>
      </w:r>
      <w:r>
        <w:rPr>
          <w:rStyle w:val="Text7"/>
        </w:rPr>
        <w:t xml:space="preserve">,</w:t>
        <w:br w:clear="none"/>
      </w:r>
      <w:r>
        <w:rPr>
          <w:rStyle w:val="Text6"/>
        </w:rPr>
        <w:t xml:space="preserve"> </w:t>
        <w:br w:clear="none"/>
      </w:r>
      <w:r>
        <w:t xml:space="preserve">'</w:t>
        <w:br w:clear="none"/>
        <w:t xml:space="preserve">another</w:t>
        <w:br w:clear="none"/>
        <w:t xml:space="preserve">'</w:t>
        <w:br w:clear="none"/>
      </w:r>
      <w:r>
        <w:rPr>
          <w:rStyle w:val="Text7"/>
        </w:rPr>
        <w:t xml:space="preserve">)</w:t>
        <w:br w:clear="none"/>
      </w:r>
      <w:r>
        <w:rPr>
          <w:rStyle w:val="Text6"/>
        </w:rPr>
        <w:t xml:space="preserve"/>
        <w:br w:clear="none"/>
        <w:t xml:space="preserve"/>
        <w:br w:clear="none"/>
        <w:t xml:space="preserve">    </w:t>
        <w:br w:clear="none"/>
      </w:r>
      <w:r>
        <w:rPr>
          <w:rStyle w:val="Text10"/>
        </w:rPr>
        <w:t xml:space="preserve">def</w:t>
        <w:br w:clear="none"/>
      </w:r>
      <w:r>
        <w:rPr>
          <w:rStyle w:val="Text6"/>
        </w:rPr>
        <w:t xml:space="preserve"> </w:t>
        <w:br w:clear="none"/>
      </w:r>
      <w:r>
        <w:rPr>
          <w:rStyle w:val="Text18"/>
        </w:rPr>
        <w:t xml:space="preserve">testArgumentMustBeString</w:t>
        <w:br w:clear="none"/>
      </w:r>
      <w:r>
        <w:rPr>
          <w:rStyle w:val="Text7"/>
        </w:rPr>
        <w:t xml:space="preserve">(</w:t>
        <w:br w:clear="none"/>
      </w:r>
      <w:r>
        <w:rPr>
          <w:rStyle w:val="Text16"/>
        </w:rPr>
        <w:t xml:space="preserve">self</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self</w:t>
        <w:br w:clear="none"/>
      </w:r>
      <w:r>
        <w:rPr>
          <w:rStyle w:val="Text13"/>
        </w:rPr>
        <w:t xml:space="preserve">.</w:t>
        <w:br w:clear="none"/>
      </w:r>
      <w:r>
        <w:rPr>
          <w:rStyle w:val="Text9"/>
        </w:rPr>
        <w:t xml:space="preserve">assertRaises</w:t>
        <w:br w:clear="none"/>
      </w:r>
      <w:r>
        <w:rPr>
          <w:rStyle w:val="Text7"/>
        </w:rPr>
        <w:t xml:space="preserve">(</w:t>
        <w:br w:clear="none"/>
        <w:t xml:space="preserve">(</w:t>
        <w:br w:clear="none"/>
      </w:r>
      <w:r>
        <w:rPr>
          <w:rStyle w:val="Text36"/>
        </w:rPr>
        <w:t xml:space="preserve">AttributeError</w:t>
        <w:br w:clear="none"/>
      </w:r>
      <w:r>
        <w:rPr>
          <w:rStyle w:val="Text7"/>
        </w:rPr>
        <w:t xml:space="preserve">,</w:t>
        <w:br w:clear="none"/>
      </w:r>
      <w:r>
        <w:rPr>
          <w:rStyle w:val="Text6"/>
        </w:rPr>
        <w:t xml:space="preserve"> </w:t>
        <w:br w:clear="none"/>
      </w:r>
      <w:r>
        <w:rPr>
          <w:rStyle w:val="Text36"/>
        </w:rPr>
        <w:t xml:space="preserve">TypeError</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9"/>
        </w:rPr>
        <w:t xml:space="preserve">mod</w:t>
        <w:br w:clear="none"/>
      </w:r>
      <w:r>
        <w:rPr>
          <w:rStyle w:val="Text13"/>
        </w:rPr>
        <w:t xml:space="preserve">.</w:t>
        <w:br w:clear="none"/>
      </w:r>
      <w:r>
        <w:rPr>
          <w:rStyle w:val="Text9"/>
        </w:rPr>
        <w:t xml:space="preserve">reverse_words</w:t>
        <w:br w:clear="none"/>
      </w:r>
      <w:r>
        <w:rPr>
          <w:rStyle w:val="Text7"/>
        </w:rPr>
        <w:t xml:space="preserve">(</w:t>
        <w:br w:clear="none"/>
      </w:r>
      <w:r>
        <w:rPr>
          <w:rStyle w:val="Text27"/>
        </w:rPr>
        <w:t xml:space="preserve">1</w:t>
        <w:br w:clear="none"/>
      </w:r>
      <w:r>
        <w:rPr>
          <w:rStyle w:val="Text7"/>
        </w:rPr>
        <w:t xml:space="preserve">)</w:t>
        <w:br w:clear="none"/>
      </w:r>
      <w:r>
        <w:rPr>
          <w:rStyle w:val="Text6"/>
        </w:rPr>
        <w:t xml:space="preserve"/>
        <w:br w:clear="none"/>
        <w:t xml:space="preserve"/>
        <w:br w:clear="none"/>
      </w:r>
      <w:r>
        <w:rPr>
          <w:rStyle w:val="Text10"/>
        </w:rPr>
        <w:t xml:space="preserve">if</w:t>
        <w:br w:clear="none"/>
      </w:r>
      <w:r>
        <w:rPr>
          <w:rStyle w:val="Text6"/>
        </w:rPr>
        <w:t xml:space="preserve"> </w:t>
        <w:br w:clear="none"/>
        <w:t xml:space="preserve">__name__</w:t>
        <w:br w:clear="none"/>
      </w:r>
      <w:r>
        <w:rPr>
          <w:rStyle w:val="Text13"/>
        </w:rPr>
        <w:t xml:space="preserve">==</w:t>
        <w:br w:clear="none"/>
      </w:r>
      <w:r>
        <w:t xml:space="preserve">'</w:t>
        <w:br w:clear="none"/>
        <w:t xml:space="preserve">__main__</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unittest</w:t>
        <w:br w:clear="none"/>
      </w:r>
      <w:r>
        <w:rPr>
          <w:rStyle w:val="Text13"/>
        </w:rPr>
        <w:t xml:space="preserve">.</w:t>
        <w:br w:clear="none"/>
      </w:r>
      <w:r>
        <w:rPr>
          <w:rStyle w:val="Text9"/>
        </w:rPr>
        <w:t xml:space="preserve">main</w:t>
        <w:br w:clear="none"/>
      </w:r>
      <w:r>
        <w:rPr>
          <w:rStyle w:val="Text7"/>
        </w:rPr>
        <w:t xml:space="preserve">(</w:t>
        <w:br w:clear="none"/>
        <w:t xml:space="preserve">)</w:t>
        <w:br w:clear="none"/>
      </w:r>
    </w:p>
    <w:p>
      <w:pPr>
        <w:pStyle w:val="Normal"/>
      </w:pPr>
      <w:r>
        <w:t xml:space="preserve">Running this script with </w:t>
      </w:r>
      <w:r>
        <w:rPr>
          <w:rStyle w:val="Text5"/>
        </w:rPr>
        <w:t>python</w:t>
      </w:r>
      <w:r>
        <w:t xml:space="preserve"> </w:t>
      </w:r>
      <w:r>
        <w:rPr>
          <w:rStyle w:val="Text5"/>
        </w:rPr>
        <w:t>test/test_mod.py</w:t>
      </w:r>
      <w:r>
        <w:t xml:space="preserve"> (or, equivalently, </w:t>
      </w:r>
      <w:r>
        <w:rPr>
          <w:rStyle w:val="Text5"/>
        </w:rPr>
        <w:t>python</w:t>
      </w:r>
      <w:r>
        <w:t xml:space="preserve"> </w:t>
      </w:r>
      <w:r>
        <w:rPr>
          <w:rStyle w:val="Text5"/>
        </w:rPr>
        <w:t>-m test.test_mod</w:t>
      </w:r>
      <w:r>
        <w:t xml:space="preserve">) is just a bit more verbose than using </w:t>
      </w:r>
      <w:r>
        <w:rPr>
          <w:rStyle w:val="Text5"/>
        </w:rPr>
        <w:t>python mod.py</w:t>
      </w:r>
      <w:r>
        <w:t xml:space="preserve"> to run </w:t>
      </w:r>
      <w:r>
        <w:rPr>
          <w:rStyle w:val="Text0"/>
        </w:rPr>
        <w:t>doctest</w:t>
      </w:r>
      <w:r>
        <w:t xml:space="preserve">, as in </w:t>
      </w:r>
      <w:hyperlink w:anchor="Example_17_1__Using_doctest">
        <w:r>
          <w:rPr>
            <w:rStyle w:val="Text1"/>
          </w:rPr>
          <w:t>Example 17-1</w:t>
        </w:r>
      </w:hyperlink>
      <w:r>
        <w:t xml:space="preserve">. </w:t>
      </w:r>
      <w:r>
        <w:rPr>
          <w:rStyle w:val="Text4"/>
        </w:rPr>
        <w:t>test_mod.py</w:t>
      </w:r>
      <w:r>
        <w:t xml:space="preserve"> outputs a </w:t>
      </w:r>
      <w:r>
        <w:rPr>
          <w:rStyle w:val="Text0"/>
        </w:rPr>
        <w:t>.</w:t>
      </w:r>
      <w:r>
        <w:t xml:space="preserve"> (dot) for each test case it runs, then a separator line of dashes, and finally a summary line, such as “Ran 7 tests in 0.110s,” and a final line of “OK” if every test passed.</w:t>
      </w:r>
    </w:p>
    <w:p>
      <w:pPr>
        <w:pStyle w:val="Normal"/>
      </w:pPr>
      <w:r>
        <w:t xml:space="preserve">Each test case method makes one or more calls to methods whose names start with </w:t>
      </w:r>
      <w:r>
        <w:rPr>
          <w:rStyle w:val="Text0"/>
        </w:rPr>
        <w:t>assert</w:t>
      </w:r>
      <w:r>
        <w:t>. Here, no method has more than one such call; in more complicated cases, however, multiple calls to assert methods from a single test case method are common.</w:t>
      </w:r>
    </w:p>
    <w:p>
      <w:pPr>
        <w:pStyle w:val="Normal"/>
      </w:pPr>
      <w:r>
        <w:t xml:space="preserve">Even in a case as simple as this, one minor aspect shows that, for unit testing, </w:t>
      </w:r>
      <w:r>
        <w:rPr>
          <w:rStyle w:val="Text0"/>
        </w:rPr>
        <w:t>unittest</w:t>
      </w:r>
      <w:r>
        <w:t xml:space="preserve"> is more powerful and flexible than </w:t>
      </w:r>
      <w:r>
        <w:rPr>
          <w:rStyle w:val="Text0"/>
        </w:rPr>
        <w:t>doctest</w:t>
      </w:r>
      <w:r>
        <w:t xml:space="preserve">. In the method </w:t>
      </w:r>
      <w:r>
        <w:rPr>
          <w:rStyle w:val="Text0"/>
        </w:rPr>
        <w:t>testArgumentMustBeString</w:t>
      </w:r>
      <w:r>
        <w:t xml:space="preserve">, we pass as the argument to </w:t>
      </w:r>
      <w:r>
        <w:rPr>
          <w:rStyle w:val="Text0"/>
        </w:rPr>
        <w:t>assertRaises</w:t>
      </w:r>
      <w:r>
        <w:t xml:space="preserve"> a pair of exception classes, meaning we accept either kind of exception. </w:t>
      </w:r>
      <w:r>
        <w:rPr>
          <w:rStyle w:val="Text4"/>
        </w:rPr>
        <w:t>test_mod.py</w:t>
      </w:r>
      <w:r>
        <w:t xml:space="preserve"> therefore accepts these as valid multiple implementations of </w:t>
      </w:r>
      <w:r>
        <w:rPr>
          <w:rStyle w:val="Text4"/>
        </w:rPr>
        <w:t>mod.py</w:t>
      </w:r>
      <w:r>
        <w:t xml:space="preserve">. It accepts the implementation in </w:t>
      </w:r>
      <w:hyperlink w:anchor="Example_17_1__Using_doctest">
        <w:r>
          <w:rPr>
            <w:rStyle w:val="Text1"/>
          </w:rPr>
          <w:t>Example 17-1</w:t>
        </w:r>
      </w:hyperlink>
      <w:r>
        <w:t xml:space="preserve">, which tries calling the method </w:t>
      </w:r>
      <w:r>
        <w:rPr>
          <w:rStyle w:val="Text0"/>
        </w:rPr>
        <w:t>split</w:t>
      </w:r>
      <w:r>
        <w:t xml:space="preserve"> on its argument, and therefore raises </w:t>
      </w:r>
      <w:r>
        <w:rPr>
          <w:rStyle w:val="Text0"/>
        </w:rPr>
        <w:t>AttributeError</w:t>
      </w:r>
      <w:r>
        <w:t xml:space="preserve"> when called with an argument that is not a string. However, it also accepts a different hypothetical implementation, one that raises </w:t>
      </w:r>
      <w:r>
        <w:rPr>
          <w:rStyle w:val="Text0"/>
        </w:rPr>
        <w:t>TypeError</w:t>
      </w:r>
      <w:r>
        <w:t xml:space="preserve"> instead when called with an argument of the wrong type. It is possible to code such checks with </w:t>
      </w:r>
      <w:r>
        <w:rPr>
          <w:rStyle w:val="Text0"/>
        </w:rPr>
        <w:t>doctest</w:t>
      </w:r>
      <w:r>
        <w:t xml:space="preserve">, but it would be awkward and nonobvious, while </w:t>
      </w:r>
      <w:r>
        <w:rPr>
          <w:rStyle w:val="Text0"/>
        </w:rPr>
        <w:t>unittest</w:t>
      </w:r>
      <w:r>
        <w:t xml:space="preserve"> makes it simple and natural.</w:t>
      </w:r>
    </w:p>
    <w:p>
      <w:pPr>
        <w:pStyle w:val="Normal"/>
      </w:pPr>
      <w:r>
        <w:t xml:space="preserve">This kind of flexibility is crucial for real-life unit tests, which to some extent are executable specifications for their modules. You could, pessimistically, view the need for test flexibility as meaning the interface of the code you’re testing is not well-defined. However, it’s best to view the interface as being defined with a useful amount of flexibility for the implementer: under circumstance </w:t>
      </w:r>
      <w:r>
        <w:rPr>
          <w:rStyle w:val="Text3"/>
        </w:rPr>
        <w:t>X</w:t>
      </w:r>
      <w:r>
        <w:t xml:space="preserve"> (argument of invalid type passed to function </w:t>
      </w:r>
      <w:r>
        <w:rPr>
          <w:rStyle w:val="Text0"/>
        </w:rPr>
        <w:t>reverse_words</w:t>
      </w:r>
      <w:r>
        <w:t xml:space="preserve">, in this example), either of two things (raising </w:t>
      </w:r>
      <w:r>
        <w:rPr>
          <w:rStyle w:val="Text0"/>
        </w:rPr>
        <w:t>AttributeError</w:t>
      </w:r>
      <w:r>
        <w:t xml:space="preserve"> or </w:t>
      </w:r>
      <w:r>
        <w:rPr>
          <w:rStyle w:val="Text0"/>
        </w:rPr>
        <w:t>TypeError</w:t>
      </w:r>
      <w:r>
        <w:t>) is allowed to happen.</w:t>
      </w:r>
    </w:p>
    <w:p>
      <w:pPr>
        <w:pStyle w:val="Normal"/>
      </w:pPr>
      <w:r>
        <w:t>Thus, implementations with either of the two behaviors are correct: the implementer can choose between them on the basis of such considerations as performance and clarity. Viewed in this way—as executable specifications for their modules (the modern view, and the basis of test-driven development), rather than as white-box tests strictly constrained to a specific implementation (as in some traditional taxonomies of testing)—unit tests become an even more vital component of the software development process.</w:t>
      </w:r>
    </w:p>
    <w:p>
      <w:bookmarkStart w:id="3724" w:name="The_TestCase_class__With_unittes"/>
      <w:pPr>
        <w:keepNext/>
        <w:pStyle w:val="Heading 2"/>
      </w:pPr>
      <w:r>
        <w:t>The TestCase class</w:t>
      </w:r>
      <w:bookmarkEnd w:id="3724"/>
    </w:p>
    <w:p>
      <w:pPr>
        <w:pStyle w:val="Normal"/>
      </w:pPr>
      <w:r>
        <w:t>With</w:t>
      </w:r>
      <w:r>
        <w:rPr>
          <w:rStyle w:val="Text111"/>
        </w:rPr>
        <w:bookmarkStart w:id="3725" w:name="testcaseclass17"/>
        <w:t/>
        <w:bookmarkEnd w:id="3725"/>
      </w:r>
      <w:r>
        <w:t xml:space="preserve"> </w:t>
      </w:r>
      <w:r>
        <w:rPr>
          <w:rStyle w:val="Text0"/>
        </w:rPr>
        <w:t>unittest</w:t>
      </w:r>
      <w:r>
        <w:t xml:space="preserve">, you write test cases by extending </w:t>
      </w:r>
      <w:r>
        <w:rPr>
          <w:rStyle w:val="Text0"/>
        </w:rPr>
        <w:t>TestCase</w:t>
      </w:r>
      <w:r>
        <w:t xml:space="preserve">, adding methods, callable without arguments, whose names start with </w:t>
      </w:r>
      <w:r>
        <w:rPr>
          <w:rStyle w:val="Text0"/>
        </w:rPr>
        <w:t>test</w:t>
      </w:r>
      <w:r>
        <w:t xml:space="preserve">. These test case methods, in turn, call methods that your class inherits from </w:t>
      </w:r>
      <w:r>
        <w:rPr>
          <w:rStyle w:val="Text0"/>
        </w:rPr>
        <w:t>TestCase</w:t>
      </w:r>
      <w:r>
        <w:t xml:space="preserve">, whose names start with </w:t>
      </w:r>
      <w:r>
        <w:rPr>
          <w:rStyle w:val="Text0"/>
        </w:rPr>
        <w:t>assert</w:t>
      </w:r>
      <w:r>
        <w:t>, to indicate conditions that must hold for the tests to succeed.</w:t>
      </w:r>
    </w:p>
    <w:p>
      <w:pPr>
        <w:pStyle w:val="Normal"/>
      </w:pPr>
      <w:r>
        <w:t xml:space="preserve">The </w:t>
      </w:r>
      <w:r>
        <w:rPr>
          <w:rStyle w:val="Text0"/>
        </w:rPr>
        <w:t>TestCase</w:t>
      </w:r>
      <w:r>
        <w:t xml:space="preserve"> class also defines two methods that your class can optionally override to group actions to perform right before and after each test case method runs. This doesn’t exhaust </w:t>
      </w:r>
      <w:r>
        <w:rPr>
          <w:rStyle w:val="Text0"/>
        </w:rPr>
        <w:t>TestCase</w:t>
      </w:r>
      <w:r>
        <w:t xml:space="preserve">’s functionality, but you won’t need the rest unless you’re developing testing frameworks or performing other advanced tasks. </w:t>
      </w:r>
      <w:hyperlink w:anchor="Table_17_1__Methods_of_an_instan">
        <w:r>
          <w:rPr>
            <w:rStyle w:val="Text1"/>
          </w:rPr>
          <w:t>Table 17-1</w:t>
        </w:r>
      </w:hyperlink>
      <w:r>
        <w:t xml:space="preserve"> lists the frequently called methods of a </w:t>
      </w:r>
      <w:r>
        <w:rPr>
          <w:rStyle w:val="Text0"/>
        </w:rPr>
        <w:t>TestCase</w:t>
      </w:r>
      <w:r>
        <w:t xml:space="preserve"> instance </w:t>
      </w:r>
      <w:r>
        <w:rPr>
          <w:rStyle w:val="Text3"/>
        </w:rPr>
        <w:t>t</w:t>
      </w:r>
      <w:r>
        <w:t>.</w:t>
      </w:r>
    </w:p>
    <w:tbl>
      <w:tblPr>
        <w:tblW w:type="auto" w:w="0"/>
      </w:tblPr>
      <w:tr>
        <w:tc>
          <w:tcPr>
            <w:tcW w:type="pct" w:w="1000"/>
            <w:tcMar>
              <w:left w:type="dxa" w:w="200"/>
              <w:top w:type="dxa" w:w="200"/>
              <w:right w:type="dxa" w:w="200"/>
              <w:bottom w:type="dxa" w:w="200"/>
            </w:tcMar>
          </w:tcPr>
          <w:p>
            <w:bookmarkStart w:id="3726" w:name="Table_17_1__Methods_of_an_instan"/>
            <w:pPr>
              <w:pStyle w:val="Para 011"/>
            </w:pPr>
            <w:r>
              <w:rPr>
                <w:rStyle w:val="Text117"/>
              </w:rPr>
              <w:t/>
            </w:r>
            <w:r>
              <w:t xml:space="preserve">Table 17-1. </w:t>
              <w:t xml:space="preserve">Methods of an instance </w:t>
            </w:r>
            <w:r>
              <w:rPr>
                <w:rStyle w:val="Text0"/>
              </w:rPr>
              <w:t>t</w:t>
            </w:r>
            <w:r>
              <w:t xml:space="preserve"> of </w:t>
            </w:r>
            <w:r>
              <w:rPr>
                <w:rStyle w:val="Text0"/>
              </w:rPr>
              <w:t>TestCase</w:t>
            </w:r>
            <w:bookmarkEnd w:id="3726"/>
          </w:p>
          <w:p>
            <w:pPr>
              <w:pStyle w:val="Para 001"/>
            </w:pPr>
            <w:r>
              <w:t>a⁠s⁠s⁠e⁠r⁠t⁠A⁠l⁠m⁠o⁠s⁠t​E⁠q⁠u⁠a⁠l</w:t>
            </w:r>
          </w:p>
        </w:tc>
        <w:tc>
          <w:tcPr>
            <w:tcW w:type="auto" w:w="0"/>
            <w:tcMar>
              <w:left w:type="dxa" w:w="200"/>
              <w:top w:type="dxa" w:w="200"/>
              <w:right w:type="dxa" w:w="200"/>
              <w:bottom w:type="dxa" w:w="200"/>
            </w:tcMar>
          </w:tcPr>
          <w:p>
            <w:pPr>
              <w:pStyle w:val="Para 002"/>
            </w:pPr>
            <w:r>
              <w:rPr>
                <w:rStyle w:val="Text0"/>
              </w:rPr>
              <w:t>assertAlmostEqual(</w:t>
            </w:r>
            <w:r>
              <w:rPr>
                <w:rStyle w:val="Text3"/>
              </w:rPr>
              <w:t>first</w:t>
            </w:r>
            <w:r>
              <w:rPr>
                <w:rStyle w:val="Text0"/>
              </w:rPr>
              <w:t>,</w:t>
            </w:r>
            <w:r>
              <w:t xml:space="preserve"> </w:t>
            </w:r>
            <w:r>
              <w:rPr>
                <w:rStyle w:val="Text3"/>
              </w:rPr>
              <w:t>second</w:t>
            </w:r>
            <w:r>
              <w:rPr>
                <w:rStyle w:val="Text0"/>
              </w:rPr>
              <w:t>, places=7, msg=</w:t>
            </w:r>
            <w:r>
              <w:rPr>
                <w:rStyle w:val="Text5"/>
              </w:rPr>
              <w:t>None</w:t>
            </w:r>
            <w:r>
              <w:rPr>
                <w:rStyle w:val="Text0"/>
              </w:rPr>
              <w:t>)</w:t>
              <w:br w:clear="none"/>
            </w:r>
            <w:r>
              <w:t xml:space="preserve"> Fails and outputs </w:t>
            </w:r>
            <w:r>
              <w:rPr>
                <w:rStyle w:val="Text0"/>
              </w:rPr>
              <w:t>msg</w:t>
            </w:r>
            <w:r>
              <w:t xml:space="preserve"> when </w:t>
            </w:r>
            <w:r>
              <w:rPr>
                <w:rStyle w:val="Text3"/>
              </w:rPr>
              <w:t>first</w:t>
            </w:r>
            <w:r>
              <w:t xml:space="preserve"> </w:t>
            </w:r>
            <w:r>
              <w:rPr>
                <w:rStyle w:val="Text0"/>
              </w:rPr>
              <w:t>!=</w:t>
            </w:r>
            <w:r>
              <w:t xml:space="preserve"> </w:t>
            </w:r>
            <w:r>
              <w:rPr>
                <w:rStyle w:val="Text3"/>
              </w:rPr>
              <w:t>second</w:t>
            </w:r>
            <w:r>
              <w:t xml:space="preserve"> to within </w:t>
            </w:r>
            <w:r>
              <w:rPr>
                <w:rStyle w:val="Text0"/>
              </w:rPr>
              <w:t>places</w:t>
            </w:r>
            <w:r>
              <w:t xml:space="preserve"> decimal digits; otherwise, does nothing. This method is better than </w:t>
            </w:r>
            <w:r>
              <w:rPr>
                <w:rStyle w:val="Text0"/>
              </w:rPr>
              <w:t>assertEqual</w:t>
            </w:r>
            <w:r>
              <w:t xml:space="preserve"> to compare </w:t>
            </w:r>
            <w:r>
              <w:rPr>
                <w:rStyle w:val="Text0"/>
              </w:rPr>
              <w:t>float</w:t>
            </w:r>
            <w:r>
              <w:t xml:space="preserve">s, since they are approximations that may differ in less significant decimal digits. When producing diagnostic messages if the test fails, </w:t>
            </w:r>
            <w:r>
              <w:rPr>
                <w:rStyle w:val="Text0"/>
              </w:rPr>
              <w:t>unittest</w:t>
            </w:r>
            <w:r>
              <w:t xml:space="preserve"> will assume that </w:t>
            </w:r>
            <w:r>
              <w:rPr>
                <w:rStyle w:val="Text3"/>
              </w:rPr>
              <w:t>first</w:t>
            </w:r>
            <w:r>
              <w:t xml:space="preserve"> is the expected value and </w:t>
            </w:r>
            <w:r>
              <w:rPr>
                <w:rStyle w:val="Text3"/>
              </w:rPr>
              <w:t>second</w:t>
            </w:r>
            <w:r>
              <w:t xml:space="preserve"> is the observed value.</w:t>
            </w:r>
          </w:p>
        </w:tc>
      </w:tr>
    </w:tbl>
    <w:tbl>
      <w:tblPr>
        <w:tblW w:type="auto" w:w="0"/>
      </w:tblPr>
      <w:tr>
        <w:tc>
          <w:tcPr>
            <w:tcW w:type="auto" w:w="0"/>
            <w:shd w:val="clear" w:color="auto" w:fill="EEF2F6"/>
            <w:tcMar>
              <w:left w:type="dxa" w:w="200"/>
              <w:top w:type="dxa" w:w="200"/>
              <w:right w:type="dxa" w:w="200"/>
              <w:bottom w:type="dxa" w:w="200"/>
            </w:tcMar>
          </w:tcPr>
          <w:p>
            <w:pPr>
              <w:pStyle w:val="Para 001"/>
            </w:pPr>
            <w:r>
              <w:t>assertEqual</w:t>
            </w:r>
          </w:p>
        </w:tc>
        <w:tc>
          <w:tcPr>
            <w:tcW w:type="auto" w:w="0"/>
            <w:shd w:val="clear" w:color="auto" w:fill="EEF2F6"/>
            <w:tcMar>
              <w:left w:type="dxa" w:w="200"/>
              <w:top w:type="dxa" w:w="200"/>
              <w:right w:type="dxa" w:w="200"/>
              <w:bottom w:type="dxa" w:w="200"/>
            </w:tcMar>
          </w:tcPr>
          <w:p>
            <w:pPr>
              <w:pStyle w:val="Para 002"/>
            </w:pPr>
            <w:r>
              <w:rPr>
                <w:rStyle w:val="Text0"/>
              </w:rPr>
              <w:t>assertEqual(</w:t>
            </w:r>
            <w:r>
              <w:rPr>
                <w:rStyle w:val="Text3"/>
              </w:rPr>
              <w:t>first</w:t>
            </w:r>
            <w:r>
              <w:rPr>
                <w:rStyle w:val="Text0"/>
              </w:rPr>
              <w:t>,</w:t>
            </w:r>
            <w:r>
              <w:t xml:space="preserve"> </w:t>
            </w:r>
            <w:r>
              <w:rPr>
                <w:rStyle w:val="Text3"/>
              </w:rPr>
              <w:t>second</w:t>
            </w:r>
            <w:r>
              <w:rPr>
                <w:rStyle w:val="Text0"/>
              </w:rPr>
              <w:t>, msg=</w:t>
            </w:r>
            <w:r>
              <w:rPr>
                <w:rStyle w:val="Text5"/>
              </w:rPr>
              <w:t>None</w:t>
            </w:r>
            <w:r>
              <w:rPr>
                <w:rStyle w:val="Text0"/>
              </w:rPr>
              <w:t>)</w:t>
              <w:br w:clear="none"/>
            </w:r>
            <w:r>
              <w:t xml:space="preserve"> Fails</w:t>
            </w:r>
            <w:r>
              <w:rPr>
                <w:rStyle w:val="Text111"/>
              </w:rPr>
              <w:bookmarkStart w:id="3727" w:name="idm45965183126480"/>
              <w:t/>
              <w:bookmarkEnd w:id="3727"/>
            </w:r>
            <w:r>
              <w:t xml:space="preserve"> and outputs </w:t>
            </w:r>
            <w:r>
              <w:rPr>
                <w:rStyle w:val="Text0"/>
              </w:rPr>
              <w:t>msg</w:t>
            </w:r>
            <w:r>
              <w:t xml:space="preserve"> when </w:t>
            </w:r>
            <w:r>
              <w:rPr>
                <w:rStyle w:val="Text3"/>
              </w:rPr>
              <w:t>first</w:t>
            </w:r>
            <w:r>
              <w:t xml:space="preserve"> </w:t>
            </w:r>
            <w:r>
              <w:rPr>
                <w:rStyle w:val="Text0"/>
              </w:rPr>
              <w:t>!=</w:t>
            </w:r>
            <w:r>
              <w:t xml:space="preserve"> </w:t>
            </w:r>
            <w:r>
              <w:rPr>
                <w:rStyle w:val="Text3"/>
              </w:rPr>
              <w:t>second</w:t>
            </w:r>
            <w:r>
              <w:t xml:space="preserve">; otherwise, does nothing. When producing diagnostic messages if the test fails, </w:t>
            </w:r>
            <w:r>
              <w:rPr>
                <w:rStyle w:val="Text0"/>
              </w:rPr>
              <w:t>unittest</w:t>
            </w:r>
            <w:r>
              <w:t xml:space="preserve"> will assume that </w:t>
            </w:r>
            <w:r>
              <w:rPr>
                <w:rStyle w:val="Text3"/>
              </w:rPr>
              <w:t>first</w:t>
            </w:r>
            <w:r>
              <w:t xml:space="preserve"> is the expected value and </w:t>
            </w:r>
            <w:r>
              <w:rPr>
                <w:rStyle w:val="Text3"/>
              </w:rPr>
              <w:t>second</w:t>
            </w:r>
            <w:r>
              <w:t xml:space="preserve"> is the observed value.</w:t>
            </w:r>
          </w:p>
        </w:tc>
      </w:tr>
    </w:tbl>
    <w:tbl>
      <w:tblPr>
        <w:tblW w:type="auto" w:w="0"/>
      </w:tblPr>
      <w:tr>
        <w:tc>
          <w:tcPr>
            <w:tcW w:type="auto" w:w="0"/>
            <w:tcMar>
              <w:left w:type="dxa" w:w="200"/>
              <w:top w:type="dxa" w:w="200"/>
              <w:right w:type="dxa" w:w="200"/>
              <w:bottom w:type="dxa" w:w="200"/>
            </w:tcMar>
          </w:tcPr>
          <w:p>
            <w:pPr>
              <w:pStyle w:val="Para 001"/>
            </w:pPr>
            <w:r>
              <w:t>assertFalse</w:t>
            </w:r>
          </w:p>
        </w:tc>
        <w:tc>
          <w:tcPr>
            <w:tcW w:type="auto" w:w="0"/>
            <w:tcMar>
              <w:left w:type="dxa" w:w="200"/>
              <w:top w:type="dxa" w:w="200"/>
              <w:right w:type="dxa" w:w="200"/>
              <w:bottom w:type="dxa" w:w="200"/>
            </w:tcMar>
          </w:tcPr>
          <w:p>
            <w:pPr>
              <w:pStyle w:val="Para 002"/>
            </w:pPr>
            <w:r>
              <w:rPr>
                <w:rStyle w:val="Text0"/>
              </w:rPr>
              <w:t>assertFalse(</w:t>
            </w:r>
            <w:r>
              <w:rPr>
                <w:rStyle w:val="Text3"/>
              </w:rPr>
              <w:t>condition</w:t>
            </w:r>
            <w:r>
              <w:rPr>
                <w:rStyle w:val="Text0"/>
              </w:rPr>
              <w:t>, msg=None)</w:t>
              <w:br w:clear="none"/>
            </w:r>
            <w:r>
              <w:t xml:space="preserve"> Fails and outputs </w:t>
            </w:r>
            <w:r>
              <w:rPr>
                <w:rStyle w:val="Text0"/>
              </w:rPr>
              <w:t>msg</w:t>
            </w:r>
            <w:r>
              <w:t xml:space="preserve"> when </w:t>
            </w:r>
            <w:r>
              <w:rPr>
                <w:rStyle w:val="Text3"/>
              </w:rPr>
              <w:t>condition</w:t>
            </w:r>
            <w:r>
              <w:t xml:space="preserve"> is true; otherwise, does nothing.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assertNotAlm⁠o⁠s⁠t​E⁠q⁠u⁠al</w:t>
            </w:r>
          </w:p>
        </w:tc>
        <w:tc>
          <w:tcPr>
            <w:tcW w:type="auto" w:w="0"/>
            <w:shd w:val="clear" w:color="auto" w:fill="EEF2F6"/>
            <w:tcMar>
              <w:left w:type="dxa" w:w="200"/>
              <w:top w:type="dxa" w:w="200"/>
              <w:right w:type="dxa" w:w="200"/>
              <w:bottom w:type="dxa" w:w="200"/>
            </w:tcMar>
          </w:tcPr>
          <w:p>
            <w:pPr>
              <w:pStyle w:val="Para 002"/>
            </w:pPr>
            <w:r>
              <w:rPr>
                <w:rStyle w:val="Text0"/>
              </w:rPr>
              <w:t>assertNotAlmostEqual(</w:t>
            </w:r>
            <w:r>
              <w:rPr>
                <w:rStyle w:val="Text3"/>
              </w:rPr>
              <w:t>first</w:t>
            </w:r>
            <w:r>
              <w:rPr>
                <w:rStyle w:val="Text0"/>
              </w:rPr>
              <w:t>,</w:t>
            </w:r>
            <w:r>
              <w:t xml:space="preserve"> </w:t>
            </w:r>
            <w:r>
              <w:rPr>
                <w:rStyle w:val="Text3"/>
              </w:rPr>
              <w:t>second</w:t>
            </w:r>
            <w:r>
              <w:rPr>
                <w:rStyle w:val="Text0"/>
              </w:rPr>
              <w:t>, places=7, msg=</w:t>
            </w:r>
            <w:r>
              <w:rPr>
                <w:rStyle w:val="Text5"/>
              </w:rPr>
              <w:t>None</w:t>
            </w:r>
            <w:r>
              <w:rPr>
                <w:rStyle w:val="Text0"/>
              </w:rPr>
              <w:t>)</w:t>
              <w:br w:clear="none"/>
            </w:r>
            <w:r>
              <w:t xml:space="preserve"> Fails and outputs </w:t>
            </w:r>
            <w:r>
              <w:rPr>
                <w:rStyle w:val="Text0"/>
              </w:rPr>
              <w:t>msg</w:t>
            </w:r>
            <w:r>
              <w:t xml:space="preserve"> when </w:t>
            </w:r>
            <w:r>
              <w:rPr>
                <w:rStyle w:val="Text3"/>
              </w:rPr>
              <w:t>first</w:t>
            </w:r>
            <w:r>
              <w:t xml:space="preserve"> </w:t>
            </w:r>
            <w:r>
              <w:rPr>
                <w:rStyle w:val="Text0"/>
              </w:rPr>
              <w:t>==</w:t>
            </w:r>
            <w:r>
              <w:t xml:space="preserve"> </w:t>
            </w:r>
            <w:r>
              <w:rPr>
                <w:rStyle w:val="Text3"/>
              </w:rPr>
              <w:t>second</w:t>
            </w:r>
            <w:r>
              <w:t xml:space="preserve"> to within </w:t>
            </w:r>
            <w:r>
              <w:rPr>
                <w:rStyle w:val="Text0"/>
              </w:rPr>
              <w:t>places</w:t>
            </w:r>
            <w:r>
              <w:t xml:space="preserve"> decimal digits; otherwise, does nothing.</w:t>
            </w:r>
          </w:p>
        </w:tc>
      </w:tr>
    </w:tbl>
    <w:tbl>
      <w:tblPr>
        <w:tblW w:type="auto" w:w="0"/>
      </w:tblPr>
      <w:tr>
        <w:tc>
          <w:tcPr>
            <w:tcW w:type="auto" w:w="0"/>
            <w:tcMar>
              <w:left w:type="dxa" w:w="200"/>
              <w:top w:type="dxa" w:w="200"/>
              <w:right w:type="dxa" w:w="200"/>
              <w:bottom w:type="dxa" w:w="200"/>
            </w:tcMar>
          </w:tcPr>
          <w:p>
            <w:pPr>
              <w:pStyle w:val="Para 001"/>
            </w:pPr>
            <w:r>
              <w:t>assertNotEqual</w:t>
            </w:r>
          </w:p>
        </w:tc>
        <w:tc>
          <w:tcPr>
            <w:tcW w:type="auto" w:w="0"/>
            <w:tcMar>
              <w:left w:type="dxa" w:w="200"/>
              <w:top w:type="dxa" w:w="200"/>
              <w:right w:type="dxa" w:w="200"/>
              <w:bottom w:type="dxa" w:w="200"/>
            </w:tcMar>
          </w:tcPr>
          <w:p>
            <w:pPr>
              <w:pStyle w:val="Para 002"/>
            </w:pPr>
            <w:r>
              <w:rPr>
                <w:rStyle w:val="Text0"/>
              </w:rPr>
              <w:t>assertNotEqual(</w:t>
            </w:r>
            <w:r>
              <w:rPr>
                <w:rStyle w:val="Text3"/>
              </w:rPr>
              <w:t>first</w:t>
            </w:r>
            <w:r>
              <w:rPr>
                <w:rStyle w:val="Text0"/>
              </w:rPr>
              <w:t>,</w:t>
            </w:r>
            <w:r>
              <w:t xml:space="preserve"> </w:t>
            </w:r>
            <w:r>
              <w:rPr>
                <w:rStyle w:val="Text3"/>
              </w:rPr>
              <w:t>second</w:t>
            </w:r>
            <w:r>
              <w:rPr>
                <w:rStyle w:val="Text0"/>
              </w:rPr>
              <w:t>, msg=</w:t>
            </w:r>
            <w:r>
              <w:rPr>
                <w:rStyle w:val="Text5"/>
              </w:rPr>
              <w:t>None</w:t>
            </w:r>
            <w:r>
              <w:rPr>
                <w:rStyle w:val="Text0"/>
              </w:rPr>
              <w:t>)</w:t>
              <w:br w:clear="none"/>
            </w:r>
            <w:r>
              <w:t xml:space="preserve"> Fails and outputs </w:t>
            </w:r>
            <w:r>
              <w:rPr>
                <w:rStyle w:val="Text0"/>
              </w:rPr>
              <w:t>msg</w:t>
            </w:r>
            <w:r>
              <w:t xml:space="preserve"> when </w:t>
            </w:r>
            <w:r>
              <w:rPr>
                <w:rStyle w:val="Text3"/>
              </w:rPr>
              <w:t>first</w:t>
            </w:r>
            <w:r>
              <w:t xml:space="preserve"> </w:t>
            </w:r>
            <w:r>
              <w:rPr>
                <w:rStyle w:val="Text0"/>
              </w:rPr>
              <w:t>==</w:t>
            </w:r>
            <w:r>
              <w:t xml:space="preserve"> </w:t>
            </w:r>
            <w:r>
              <w:rPr>
                <w:rStyle w:val="Text3"/>
              </w:rPr>
              <w:t>second</w:t>
            </w:r>
            <w:r>
              <w:t>; otherwise, does nothing.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assertRaises</w:t>
            </w:r>
          </w:p>
        </w:tc>
        <w:tc>
          <w:tcPr>
            <w:tcW w:type="auto" w:w="0"/>
            <w:shd w:val="clear" w:color="auto" w:fill="EEF2F6"/>
            <w:tcMar>
              <w:left w:type="dxa" w:w="200"/>
              <w:top w:type="dxa" w:w="200"/>
              <w:right w:type="dxa" w:w="200"/>
              <w:bottom w:type="dxa" w:w="200"/>
            </w:tcMar>
          </w:tcPr>
          <w:p>
            <w:pPr>
              <w:pStyle w:val="Para 002"/>
            </w:pPr>
            <w:r>
              <w:rPr>
                <w:rStyle w:val="Text0"/>
              </w:rPr>
              <w:t>assertRaises(</w:t>
            </w:r>
            <w:r>
              <w:rPr>
                <w:rStyle w:val="Text3"/>
              </w:rPr>
              <w:t>exceptionSpec</w:t>
            </w:r>
            <w:r>
              <w:rPr>
                <w:rStyle w:val="Text0"/>
              </w:rPr>
              <w:t>,</w:t>
            </w:r>
            <w:r>
              <w:t xml:space="preserve"> </w:t>
            </w:r>
            <w:r>
              <w:rPr>
                <w:rStyle w:val="Text3"/>
              </w:rPr>
              <w:t>callable</w:t>
            </w:r>
            <w:r>
              <w:rPr>
                <w:rStyle w:val="Text0"/>
              </w:rPr>
              <w:t>,</w:t>
            </w:r>
            <w:r>
              <w:t xml:space="preserve"> </w:t>
            </w:r>
            <w:r>
              <w:rPr>
                <w:rStyle w:val="Text3"/>
              </w:rPr>
              <w:t>*args</w:t>
            </w:r>
            <w:r>
              <w:rPr>
                <w:rStyle w:val="Text0"/>
              </w:rPr>
              <w:t>,</w:t>
            </w:r>
            <w:r>
              <w:t xml:space="preserve"> </w:t>
            </w:r>
            <w:r>
              <w:rPr>
                <w:rStyle w:val="Text3"/>
              </w:rPr>
              <w:t>**kwargs</w:t>
            </w:r>
            <w:r>
              <w:rPr>
                <w:rStyle w:val="Text0"/>
              </w:rPr>
              <w:t>)</w:t>
              <w:br w:clear="none"/>
            </w:r>
            <w:r>
              <w:t xml:space="preserve"> Calls</w:t>
            </w:r>
            <w:r>
              <w:rPr>
                <w:rStyle w:val="Text111"/>
              </w:rPr>
              <w:bookmarkStart w:id="3728" w:name="idm45965183091312"/>
              <w:t/>
              <w:bookmarkEnd w:id="3728"/>
            </w:r>
            <w:r>
              <w:t xml:space="preserve"> </w:t>
            </w:r>
            <w:r>
              <w:rPr>
                <w:rStyle w:val="Text3"/>
              </w:rPr>
              <w:t>callable</w:t>
            </w:r>
            <w:r>
              <w:rPr>
                <w:rStyle w:val="Text0"/>
              </w:rPr>
              <w:t>(*</w:t>
            </w:r>
            <w:r>
              <w:rPr>
                <w:rStyle w:val="Text3"/>
              </w:rPr>
              <w:t>args</w:t>
            </w:r>
            <w:r>
              <w:rPr>
                <w:rStyle w:val="Text0"/>
              </w:rPr>
              <w:t>, **</w:t>
            </w:r>
            <w:r>
              <w:rPr>
                <w:rStyle w:val="Text3"/>
              </w:rPr>
              <w:t>kwargs</w:t>
            </w:r>
            <w:r>
              <w:rPr>
                <w:rStyle w:val="Text0"/>
              </w:rPr>
              <w:t>)</w:t>
            </w:r>
            <w:r>
              <w:t xml:space="preserve">. Fails when the call doesn’t raise any exception. When the call raises an exception that does not meet </w:t>
            </w:r>
            <w:r>
              <w:rPr>
                <w:rStyle w:val="Text3"/>
              </w:rPr>
              <w:t>exceptionSpec</w:t>
            </w:r>
            <w:r>
              <w:t xml:space="preserve">, </w:t>
            </w:r>
            <w:r>
              <w:rPr>
                <w:rStyle w:val="Text0"/>
              </w:rPr>
              <w:t>assertRaises</w:t>
            </w:r>
            <w:r>
              <w:t xml:space="preserve"> propagates the exception. When the call raises an exception that meets </w:t>
            </w:r>
            <w:r>
              <w:rPr>
                <w:rStyle w:val="Text3"/>
              </w:rPr>
              <w:t>exceptionSpec</w:t>
            </w:r>
            <w:r>
              <w:t xml:space="preserve">, </w:t>
            </w:r>
            <w:r>
              <w:rPr>
                <w:rStyle w:val="Text0"/>
              </w:rPr>
              <w:t>assertRaises</w:t>
            </w:r>
            <w:r>
              <w:t xml:space="preserve"> does nothing. </w:t>
            </w:r>
            <w:r>
              <w:rPr>
                <w:rStyle w:val="Text3"/>
              </w:rPr>
              <w:t>exceptionSpec</w:t>
            </w:r>
            <w:r>
              <w:t xml:space="preserve"> can be an exception class or a tuple of classes, just like the first argument of the </w:t>
            </w:r>
            <w:r>
              <w:rPr>
                <w:rStyle w:val="Text5"/>
              </w:rPr>
              <w:t>except</w:t>
            </w:r>
            <w:r>
              <w:t xml:space="preserve"> clause in a </w:t>
            </w:r>
            <w:r>
              <w:rPr>
                <w:rStyle w:val="Text5"/>
              </w:rPr>
              <w:t>try</w:t>
            </w:r>
            <w:r>
              <w:rPr>
                <w:rStyle w:val="Text0"/>
              </w:rPr>
              <w:t>/</w:t>
            </w:r>
            <w:r>
              <w:rPr>
                <w:rStyle w:val="Text5"/>
              </w:rPr>
              <w:t>except</w:t>
            </w:r>
            <w:r>
              <w:t xml:space="preserve"> statement.</w:t>
              <w:br w:clear="none"/>
              <w:t xml:space="preserve"> The preferred way to use </w:t>
            </w:r>
            <w:r>
              <w:rPr>
                <w:rStyle w:val="Text0"/>
              </w:rPr>
              <w:t>assertRaises</w:t>
            </w:r>
            <w:r>
              <w:t xml:space="preserve"> is as a context manager—that is, in a </w:t>
            </w:r>
            <w:r>
              <w:rPr>
                <w:rStyle w:val="Text5"/>
              </w:rPr>
              <w:t>with</w:t>
            </w:r>
            <w:r>
              <w:t xml:space="preserve"> statement: </w:t>
            </w:r>
          </w:p>
          <w:p>
            <w:pPr>
              <w:pStyle w:val="Para 058"/>
            </w:pPr>
            <w:r>
              <w:rPr>
                <w:rStyle w:val="Text116"/>
              </w:rPr>
              <w:t xml:space="preserve"/>
              <w:br w:clear="none"/>
            </w:r>
            <w:r>
              <w:rPr>
                <w:rStyle w:val="Text22"/>
              </w:rPr>
              <w:t xml:space="preserve">with</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assertRaises</w:t>
              <w:br w:clear="none"/>
            </w:r>
            <w:r>
              <w:rPr>
                <w:rStyle w:val="Text19"/>
              </w:rPr>
              <w:t xml:space="preserve">(</w:t>
              <w:br w:clear="none"/>
            </w:r>
            <w:r>
              <w:rPr>
                <w:rStyle w:val="Text9"/>
              </w:rPr>
              <w:t xml:space="preserve">exceptionSpec</w:t>
              <w:br w:clear="none"/>
            </w:r>
            <w:r>
              <w:rPr>
                <w:rStyle w:val="Text19"/>
              </w:rPr>
              <w:t xml:space="preserve">)</w:t>
              <w:br w:clear="none"/>
              <w:t xml:space="preserve">:</w:t>
              <w:br w:clear="none"/>
            </w:r>
            <w:r>
              <w:rPr>
                <w:rStyle w:val="Text11"/>
              </w:rPr>
              <w:t xml:space="preserve"/>
              <w:br w:clear="none"/>
            </w:r>
            <w:r>
              <w:rPr>
                <w:rStyle w:val="Text6"/>
              </w:rPr>
              <w:t xml:space="preserve">    </w:t>
              <w:br w:clear="none"/>
            </w:r>
            <w:r>
              <w:t xml:space="preserve"># ...a block of code...</w:t>
              <w:br w:clear="none"/>
            </w:r>
          </w:p>
          <w:p>
            <w:pPr>
              <w:pStyle w:val="Para 022"/>
            </w:pPr>
            <w:r>
              <w:t xml:space="preserve"> Here, the block of code indented in the </w:t>
            </w:r>
            <w:r>
              <w:rPr>
                <w:rStyle w:val="Text5"/>
              </w:rPr>
              <w:t>with</w:t>
            </w:r>
            <w:r>
              <w:t xml:space="preserve"> statement executes, rather than just the </w:t>
            </w:r>
            <w:r>
              <w:rPr>
                <w:rStyle w:val="Text3"/>
              </w:rPr>
              <w:t>callable</w:t>
            </w:r>
            <w:r>
              <w:t xml:space="preserve"> being called with certain arguments. The expectation (which avoids the construct failing) is that the block of code raises an exception meeting the given exception specification (an exception class or a tuple of classes). This alternative approach is more general and readable than passing a callable.</w:t>
            </w:r>
          </w:p>
        </w:tc>
      </w:tr>
    </w:tbl>
    <w:tbl>
      <w:tblPr>
        <w:tblW w:type="auto" w:w="0"/>
      </w:tblPr>
      <w:tr>
        <w:tc>
          <w:tcPr>
            <w:tcW w:type="auto" w:w="0"/>
            <w:tcMar>
              <w:left w:type="dxa" w:w="200"/>
              <w:top w:type="dxa" w:w="200"/>
              <w:right w:type="dxa" w:w="200"/>
              <w:bottom w:type="dxa" w:w="200"/>
            </w:tcMar>
          </w:tcPr>
          <w:p>
            <w:pPr>
              <w:pStyle w:val="Para 001"/>
            </w:pPr>
            <w:r>
              <w:t>a⁠s⁠s⁠e⁠r⁠t⁠R⁠a⁠i⁠s⁠e⁠s​R⁠e⁠g⁠e⁠x</w:t>
            </w:r>
          </w:p>
        </w:tc>
        <w:tc>
          <w:tcPr>
            <w:tcW w:type="auto" w:w="0"/>
            <w:tcMar>
              <w:left w:type="dxa" w:w="200"/>
              <w:top w:type="dxa" w:w="200"/>
              <w:right w:type="dxa" w:w="200"/>
              <w:bottom w:type="dxa" w:w="200"/>
            </w:tcMar>
          </w:tcPr>
          <w:p>
            <w:pPr>
              <w:pStyle w:val="Para 002"/>
            </w:pPr>
            <w:r>
              <w:rPr>
                <w:rStyle w:val="Text0"/>
              </w:rPr>
              <w:t>assertRaisesRegex(</w:t>
            </w:r>
            <w:r>
              <w:rPr>
                <w:rStyle w:val="Text3"/>
              </w:rPr>
              <w:t>exceptionSpec</w:t>
            </w:r>
            <w:r>
              <w:rPr>
                <w:rStyle w:val="Text0"/>
              </w:rPr>
              <w:t>,</w:t>
            </w:r>
            <w:r>
              <w:t xml:space="preserve"> </w:t>
            </w:r>
            <w:r>
              <w:rPr>
                <w:rStyle w:val="Text3"/>
              </w:rPr>
              <w:t>expected_regex</w:t>
            </w:r>
            <w:r>
              <w:rPr>
                <w:rStyle w:val="Text0"/>
              </w:rPr>
              <w:t>,</w:t>
            </w:r>
            <w:r>
              <w:t xml:space="preserve"> </w:t>
            </w:r>
            <w:r>
              <w:rPr>
                <w:rStyle w:val="Text3"/>
              </w:rPr>
              <w:t>callable</w:t>
            </w:r>
            <w:r>
              <w:rPr>
                <w:rStyle w:val="Text0"/>
              </w:rPr>
              <w:t>,</w:t>
            </w:r>
            <w:r>
              <w:t xml:space="preserve"> </w:t>
            </w:r>
            <w:r>
              <w:rPr>
                <w:rStyle w:val="Text3"/>
              </w:rPr>
              <w:t>*args</w:t>
            </w:r>
            <w:r>
              <w:rPr>
                <w:rStyle w:val="Text0"/>
              </w:rPr>
              <w:t>,</w:t>
            </w:r>
            <w:r>
              <w:t xml:space="preserve"> </w:t>
            </w:r>
            <w:r>
              <w:rPr>
                <w:rStyle w:val="Text3"/>
              </w:rPr>
              <w:t>**kwargs</w:t>
            </w:r>
            <w:r>
              <w:rPr>
                <w:rStyle w:val="Text0"/>
              </w:rPr>
              <w:t>)</w:t>
              <w:br w:clear="none"/>
            </w:r>
            <w:r>
              <w:t xml:space="preserve"> Just like </w:t>
            </w:r>
            <w:r>
              <w:rPr>
                <w:rStyle w:val="Text0"/>
              </w:rPr>
              <w:t>assertRaises</w:t>
            </w:r>
            <w:r>
              <w:t xml:space="preserve">, but also checks that the exception’s error message matches </w:t>
            </w:r>
            <w:r>
              <w:rPr>
                <w:rStyle w:val="Text3"/>
              </w:rPr>
              <w:t>regex</w:t>
            </w:r>
            <w:r>
              <w:t xml:space="preserve">; </w:t>
            </w:r>
            <w:r>
              <w:rPr>
                <w:rStyle w:val="Text3"/>
              </w:rPr>
              <w:t>regex</w:t>
            </w:r>
            <w:r>
              <w:t xml:space="preserve"> can be a regular expression object or a string pattern to compile into one, and the test (when the expected exception has been raised) checks the error message by calling </w:t>
            </w:r>
            <w:r>
              <w:rPr>
                <w:rStyle w:val="Text0"/>
              </w:rPr>
              <w:t>search</w:t>
            </w:r>
            <w:r>
              <w:t xml:space="preserve"> on the RE object.</w:t>
              <w:br w:clear="none"/>
              <w:t xml:space="preserve"> Just like </w:t>
            </w:r>
            <w:r>
              <w:rPr>
                <w:rStyle w:val="Text0"/>
              </w:rPr>
              <w:t>assertRaises</w:t>
            </w:r>
            <w:r>
              <w:t xml:space="preserve">, </w:t>
            </w:r>
            <w:r>
              <w:rPr>
                <w:rStyle w:val="Text0"/>
              </w:rPr>
              <w:t>assertRaisesRegex</w:t>
            </w:r>
            <w:r>
              <w:t xml:space="preserve"> is best used as a context manager—that is, in a </w:t>
            </w:r>
            <w:r>
              <w:rPr>
                <w:rStyle w:val="Text5"/>
              </w:rPr>
              <w:t>with</w:t>
            </w:r>
            <w:r>
              <w:t xml:space="preserve"> statement: </w:t>
            </w:r>
          </w:p>
          <w:p>
            <w:pPr>
              <w:pStyle w:val="Para 054"/>
            </w:pPr>
            <w:r>
              <w:rPr>
                <w:rStyle w:val="Text116"/>
              </w:rPr>
              <w:t xml:space="preserve"/>
              <w:br w:clear="none"/>
            </w:r>
            <w:r>
              <w:rPr>
                <w:rStyle w:val="Text22"/>
              </w:rPr>
              <w:t xml:space="preserve">with</w:t>
              <w:br w:clear="none"/>
            </w:r>
            <w:r>
              <w:rPr>
                <w:rStyle w:val="Text11"/>
              </w:rPr>
              <w:t xml:space="preserve"> </w:t>
              <w:br w:clear="none"/>
            </w:r>
            <w:r>
              <w:rPr>
                <w:rStyle w:val="Text21"/>
              </w:rPr>
              <w:t xml:space="preserve">self</w:t>
              <w:br w:clear="none"/>
            </w:r>
            <w:r>
              <w:rPr>
                <w:rStyle w:val="Text28"/>
              </w:rPr>
              <w:t xml:space="preserve">.</w:t>
              <w:br w:clear="none"/>
            </w:r>
            <w:r>
              <w:rPr>
                <w:rStyle w:val="Text14"/>
              </w:rPr>
              <w:t xml:space="preserve">assertRaisesRegex</w:t>
              <w:br w:clear="none"/>
            </w:r>
            <w:r>
              <w:rPr>
                <w:rStyle w:val="Text19"/>
              </w:rPr>
              <w:t xml:space="preserve">(</w:t>
              <w:br w:clear="none"/>
            </w:r>
            <w:r>
              <w:rPr>
                <w:rStyle w:val="Text9"/>
              </w:rPr>
              <w:t xml:space="preserve">exceptionSpec</w:t>
              <w:br w:clear="none"/>
            </w:r>
            <w:r>
              <w:rPr>
                <w:rStyle w:val="Text7"/>
              </w:rPr>
              <w:t xml:space="preserve">,</w:t>
              <w:br w:clear="none"/>
            </w:r>
            <w:r>
              <w:rPr>
                <w:rStyle w:val="Text6"/>
              </w:rPr>
              <w:t xml:space="preserve"> </w:t>
              <w:br w:clear="none"/>
            </w:r>
            <w:r>
              <w:rPr>
                <w:rStyle w:val="Text9"/>
              </w:rPr>
              <w:t xml:space="preserve">regex</w:t>
              <w:br w:clear="none"/>
            </w:r>
            <w:r>
              <w:rPr>
                <w:rStyle w:val="Text19"/>
              </w:rPr>
              <w:t xml:space="preserve">)</w:t>
              <w:br w:clear="none"/>
              <w:t xml:space="preserve">:</w:t>
              <w:br w:clear="none"/>
            </w:r>
            <w:r>
              <w:rPr>
                <w:rStyle w:val="Text11"/>
              </w:rPr>
              <w:t xml:space="preserve"/>
              <w:br w:clear="none"/>
            </w:r>
            <w:r>
              <w:rPr>
                <w:rStyle w:val="Text6"/>
              </w:rPr>
              <w:t xml:space="preserve">    </w:t>
              <w:br w:clear="none"/>
            </w:r>
            <w:r>
              <w:t xml:space="preserve"># ...a block of code...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enterContext</w:t>
            </w:r>
          </w:p>
        </w:tc>
        <w:tc>
          <w:tcPr>
            <w:tcW w:type="auto" w:w="0"/>
            <w:shd w:val="clear" w:color="auto" w:fill="EEF2F6"/>
            <w:tcMar>
              <w:left w:type="dxa" w:w="200"/>
              <w:top w:type="dxa" w:w="200"/>
              <w:right w:type="dxa" w:w="200"/>
              <w:bottom w:type="dxa" w:w="200"/>
            </w:tcMar>
          </w:tcPr>
          <w:p>
            <w:pPr>
              <w:pStyle w:val="Para 002"/>
            </w:pPr>
            <w:r>
              <w:rPr>
                <w:rStyle w:val="Text0"/>
              </w:rPr>
              <w:t>enterContext(ctx_manager)</w:t>
              <w:br w:clear="none"/>
            </w:r>
            <w:r>
              <w:t xml:space="preserve"> </w:t>
            </w:r>
            <w:r>
              <w:rPr>
                <w:rStyle w:val="Text34"/>
              </w:rPr>
              <w:t>3.11+</w:t>
            </w:r>
            <w:r>
              <w:t xml:space="preserve"> Use this call in a </w:t>
            </w:r>
            <w:r>
              <w:rPr>
                <w:rStyle w:val="Text0"/>
              </w:rPr>
              <w:t>TestCase.setup()</w:t>
            </w:r>
            <w:r>
              <w:t xml:space="preserve"> method. Returns the value from calling </w:t>
            </w:r>
            <w:r>
              <w:rPr>
                <w:rStyle w:val="Text0"/>
              </w:rPr>
              <w:t>ctx_manager.__enter__</w:t>
            </w:r>
            <w:r>
              <w:t xml:space="preserve">, and adds </w:t>
            </w:r>
            <w:r>
              <w:rPr>
                <w:rStyle w:val="Text0"/>
              </w:rPr>
              <w:t>ctx_manager.__exit__</w:t>
            </w:r>
            <w:r>
              <w:t xml:space="preserve"> to the list of cleanup methods that the framework is to run during the </w:t>
            </w:r>
            <w:r>
              <w:rPr>
                <w:rStyle w:val="Text0"/>
              </w:rPr>
              <w:t>TestCase</w:t>
            </w:r>
            <w:r>
              <w:t>’s cleanup phase.</w:t>
            </w:r>
          </w:p>
        </w:tc>
      </w:tr>
    </w:tbl>
    <w:tbl>
      <w:tblPr>
        <w:tblW w:type="auto" w:w="0"/>
      </w:tblPr>
      <w:tr>
        <w:tc>
          <w:tcPr>
            <w:tcW w:type="auto" w:w="0"/>
            <w:tcMar>
              <w:left w:type="dxa" w:w="200"/>
              <w:top w:type="dxa" w:w="200"/>
              <w:right w:type="dxa" w:w="200"/>
              <w:bottom w:type="dxa" w:w="200"/>
            </w:tcMar>
          </w:tcPr>
          <w:p>
            <w:pPr>
              <w:pStyle w:val="Para 001"/>
            </w:pPr>
            <w:r>
              <w:t>fail</w:t>
            </w:r>
          </w:p>
        </w:tc>
        <w:tc>
          <w:tcPr>
            <w:tcW w:type="auto" w:w="0"/>
            <w:tcMar>
              <w:left w:type="dxa" w:w="200"/>
              <w:top w:type="dxa" w:w="200"/>
              <w:right w:type="dxa" w:w="200"/>
              <w:bottom w:type="dxa" w:w="200"/>
            </w:tcMar>
          </w:tcPr>
          <w:p>
            <w:pPr>
              <w:pStyle w:val="Para 002"/>
            </w:pPr>
            <w:r>
              <w:rPr>
                <w:rStyle w:val="Text0"/>
              </w:rPr>
              <w:t>fail(msg=</w:t>
            </w:r>
            <w:r>
              <w:rPr>
                <w:rStyle w:val="Text5"/>
              </w:rPr>
              <w:t>None</w:t>
            </w:r>
            <w:r>
              <w:rPr>
                <w:rStyle w:val="Text0"/>
              </w:rPr>
              <w:t>)</w:t>
              <w:br w:clear="none"/>
            </w:r>
            <w:r>
              <w:t xml:space="preserve"> Fails unconditionally and outputs </w:t>
            </w:r>
            <w:r>
              <w:rPr>
                <w:rStyle w:val="Text0"/>
              </w:rPr>
              <w:t>msg</w:t>
            </w:r>
            <w:r>
              <w:t xml:space="preserve">. An example snippet might be: </w:t>
            </w:r>
          </w:p>
          <w:p>
            <w:pPr>
              <w:pStyle w:val="Para 025"/>
            </w:pPr>
            <w:r>
              <w:rPr>
                <w:rStyle w:val="Text23"/>
              </w:rPr>
              <w:t xml:space="preserve"/>
              <w:br w:clear="none"/>
            </w:r>
            <w:r>
              <w:rPr>
                <w:rStyle w:val="Text10"/>
              </w:rPr>
              <w:t xml:space="preserve">if</w:t>
              <w:br w:clear="none"/>
            </w:r>
            <w:r>
              <w:rPr>
                <w:rStyle w:val="Text29"/>
              </w:rPr>
              <w:t xml:space="preserve"> </w:t>
              <w:br w:clear="none"/>
            </w:r>
            <w:r>
              <w:rPr>
                <w:rStyle w:val="Text31"/>
              </w:rPr>
              <w:t xml:space="preserve">not</w:t>
              <w:br w:clear="none"/>
            </w:r>
            <w:r>
              <w:rPr>
                <w:rStyle w:val="Text6"/>
              </w:rPr>
              <w:t xml:space="preserve"> </w:t>
              <w:br w:clear="none"/>
            </w:r>
            <w:r>
              <w:t xml:space="preserve">complex_check_if_its_ok</w:t>
              <w:br w:clear="none"/>
            </w:r>
            <w:r>
              <w:rPr>
                <w:rStyle w:val="Text7"/>
              </w:rPr>
              <w:t xml:space="preserve">(</w:t>
              <w:br w:clear="none"/>
            </w:r>
            <w:r>
              <w:t xml:space="preserve">some</w:t>
              <w:br w:clear="none"/>
            </w:r>
            <w:r>
              <w:rPr>
                <w:rStyle w:val="Text7"/>
              </w:rPr>
              <w:t xml:space="preserve">,</w:t>
              <w:br w:clear="none"/>
            </w:r>
            <w:r>
              <w:rPr>
                <w:rStyle w:val="Text6"/>
              </w:rPr>
              <w:t xml:space="preserve"> </w:t>
              <w:br w:clear="none"/>
            </w:r>
            <w:r>
              <w:t xml:space="preserve">thing</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self</w:t>
              <w:br w:clear="none"/>
            </w:r>
            <w:r>
              <w:rPr>
                <w:rStyle w:val="Text13"/>
              </w:rPr>
              <w:t xml:space="preserve">.</w:t>
              <w:br w:clear="none"/>
            </w:r>
            <w:r>
              <w:t xml:space="preserve">fail</w:t>
              <w:br w:clear="none"/>
            </w:r>
            <w:r>
              <w:rPr>
                <w:rStyle w:val="Text7"/>
              </w:rPr>
              <w:t xml:space="preserve">(</w:t>
              <w:br w:clear="none"/>
            </w:r>
            <w:r>
              <w:rPr>
                <w:rStyle w:val="Text6"/>
              </w:rPr>
              <w:t xml:space="preserve"/>
              <w:br w:clear="none"/>
              <w:t xml:space="preserve">      </w:t>
              <w:br w:clear="none"/>
            </w:r>
            <w:r>
              <w:rPr>
                <w:rStyle w:val="Text8"/>
              </w:rPr>
              <w:t xml:space="preserve">'</w:t>
              <w:br w:clear="none"/>
              <w:t xml:space="preserve">Complex checks failed on</w:t>
              <w:br w:clear="none"/>
              <w:t xml:space="preserve">'</w:t>
              <w:br w:clear="none"/>
            </w:r>
            <w:r>
              <w:rPr>
                <w:rStyle w:val="Text6"/>
              </w:rPr>
              <w:t xml:space="preserve"/>
              <w:br w:clear="none"/>
              <w:t xml:space="preserve">      </w:t>
              <w:br w:clear="none"/>
              <w:t xml:space="preserve">f</w:t>
              <w:br w:clear="none"/>
            </w:r>
            <w:r>
              <w:rPr>
                <w:rStyle w:val="Text8"/>
              </w:rPr>
              <w:t xml:space="preserve">'</w:t>
              <w:br w:clear="none"/>
              <w:t xml:space="preserve"> </w:t>
              <w:br w:clear="none"/>
            </w:r>
            <w:r>
              <w:rPr>
                <w:rStyle w:val="Text32"/>
              </w:rPr>
              <w:t xml:space="preserve">{</w:t>
              <w:br w:clear="none"/>
            </w:r>
            <w:r>
              <w:t xml:space="preserve">some</w:t>
              <w:br w:clear="none"/>
            </w:r>
            <w:r>
              <w:rPr>
                <w:rStyle w:val="Text32"/>
              </w:rPr>
              <w:t xml:space="preserve">}</w:t>
              <w:br w:clear="none"/>
            </w:r>
            <w:r>
              <w:rPr>
                <w:rStyle w:val="Text8"/>
              </w:rPr>
              <w:t xml:space="preserve">, </w:t>
              <w:br w:clear="none"/>
            </w:r>
            <w:r>
              <w:rPr>
                <w:rStyle w:val="Text32"/>
              </w:rPr>
              <w:t xml:space="preserve">{</w:t>
              <w:br w:clear="none"/>
            </w:r>
            <w:r>
              <w:t xml:space="preserve">thing</w:t>
              <w:br w:clear="none"/>
            </w:r>
            <w:r>
              <w:rPr>
                <w:rStyle w:val="Text32"/>
              </w:rPr>
              <w:t xml:space="preserve">}</w:t>
              <w:br w:clear="none"/>
            </w:r>
            <w:r>
              <w:rPr>
                <w:rStyle w:val="Text8"/>
              </w:rPr>
              <w:t xml:space="preserve">'</w:t>
              <w:br w:clear="none"/>
            </w:r>
            <w:r>
              <w:rPr>
                <w:rStyle w:val="Text6"/>
              </w:rPr>
              <w:t xml:space="preserve"/>
              <w:br w:clear="none"/>
              <w:t xml:space="preserve">    </w:t>
              <w:br w:clear="none"/>
            </w:r>
            <w:r>
              <w:rPr>
                <w:rStyle w:val="Text7"/>
              </w:rPr>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setUp</w:t>
            </w:r>
          </w:p>
        </w:tc>
        <w:tc>
          <w:tcPr>
            <w:tcW w:type="auto" w:w="0"/>
            <w:shd w:val="clear" w:color="auto" w:fill="EEF2F6"/>
            <w:tcMar>
              <w:left w:type="dxa" w:w="200"/>
              <w:top w:type="dxa" w:w="200"/>
              <w:right w:type="dxa" w:w="200"/>
              <w:bottom w:type="dxa" w:w="200"/>
            </w:tcMar>
          </w:tcPr>
          <w:p>
            <w:pPr>
              <w:pStyle w:val="Para 002"/>
            </w:pPr>
            <w:r>
              <w:rPr>
                <w:rStyle w:val="Text0"/>
              </w:rPr>
              <w:t>setUp()</w:t>
              <w:br w:clear="none"/>
            </w:r>
            <w:r>
              <w:t xml:space="preserve"> The</w:t>
            </w:r>
            <w:r>
              <w:rPr>
                <w:rStyle w:val="Text111"/>
              </w:rPr>
              <w:bookmarkStart w:id="3729" w:name="idm45965182957104"/>
              <w:t/>
              <w:bookmarkEnd w:id="3729"/>
            </w:r>
            <w:r>
              <w:t xml:space="preserve"> framework calls </w:t>
            </w:r>
            <w:r>
              <w:rPr>
                <w:rStyle w:val="Text3"/>
              </w:rPr>
              <w:t>t</w:t>
            </w:r>
            <w:r>
              <w:rPr>
                <w:rStyle w:val="Text0"/>
              </w:rPr>
              <w:t>.setUp()</w:t>
            </w:r>
            <w:r>
              <w:t xml:space="preserve"> just before calling each test case method. </w:t>
            </w:r>
            <w:r>
              <w:rPr>
                <w:rStyle w:val="Text0"/>
              </w:rPr>
              <w:t>setUp</w:t>
            </w:r>
            <w:r>
              <w:t xml:space="preserve"> in </w:t>
            </w:r>
            <w:r>
              <w:rPr>
                <w:rStyle w:val="Text0"/>
              </w:rPr>
              <w:t>TestCase</w:t>
            </w:r>
            <w:r>
              <w:t xml:space="preserve"> does nothing; it exists only to let your class override the method when your class needs to perform some preparation for each test.</w:t>
            </w:r>
          </w:p>
        </w:tc>
      </w:tr>
    </w:tbl>
    <w:tbl>
      <w:tblPr>
        <w:tblW w:type="auto" w:w="0"/>
      </w:tblPr>
      <w:tr>
        <w:tc>
          <w:tcPr>
            <w:tcW w:type="auto" w:w="0"/>
            <w:tcMar>
              <w:left w:type="dxa" w:w="200"/>
              <w:top w:type="dxa" w:w="200"/>
              <w:right w:type="dxa" w:w="200"/>
              <w:bottom w:type="dxa" w:w="200"/>
            </w:tcMar>
          </w:tcPr>
          <w:p>
            <w:pPr>
              <w:pStyle w:val="Para 001"/>
            </w:pPr>
            <w:r>
              <w:t>subTest</w:t>
            </w:r>
          </w:p>
        </w:tc>
        <w:tc>
          <w:tcPr>
            <w:tcW w:type="auto" w:w="0"/>
            <w:tcMar>
              <w:left w:type="dxa" w:w="200"/>
              <w:top w:type="dxa" w:w="200"/>
              <w:right w:type="dxa" w:w="200"/>
              <w:bottom w:type="dxa" w:w="200"/>
            </w:tcMar>
          </w:tcPr>
          <w:p>
            <w:pPr>
              <w:pStyle w:val="Para 002"/>
            </w:pPr>
            <w:r>
              <w:rPr>
                <w:rStyle w:val="Text0"/>
              </w:rPr>
              <w:t>subTest(msg</w:t>
            </w:r>
            <w:r>
              <w:rPr>
                <w:rStyle w:val="Text3"/>
              </w:rPr>
              <w:t>=</w:t>
            </w:r>
            <w:r>
              <w:rPr>
                <w:rStyle w:val="Text5"/>
              </w:rPr>
              <w:t>None</w:t>
            </w:r>
            <w:r>
              <w:rPr>
                <w:rStyle w:val="Text0"/>
              </w:rPr>
              <w:t>, **</w:t>
            </w:r>
            <w:r>
              <w:rPr>
                <w:rStyle w:val="Text3"/>
              </w:rPr>
              <w:t>k</w:t>
            </w:r>
            <w:r>
              <w:rPr>
                <w:rStyle w:val="Text0"/>
              </w:rPr>
              <w:t>)</w:t>
              <w:br w:clear="none"/>
            </w:r>
            <w:r>
              <w:t xml:space="preserve"> Returns a context manager that can define a portion of a test within a test method. Use </w:t>
            </w:r>
            <w:r>
              <w:rPr>
                <w:rStyle w:val="Text0"/>
              </w:rPr>
              <w:t>subTest</w:t>
            </w:r>
            <w:r>
              <w:t xml:space="preserve"> when a test method runs the same test multiple times with varying parameters. Enclosing these parameterized tests in </w:t>
            </w:r>
            <w:r>
              <w:rPr>
                <w:rStyle w:val="Text0"/>
              </w:rPr>
              <w:t>subTest</w:t>
            </w:r>
            <w:r>
              <w:t xml:space="preserve"> ensures that all the cases will be run, even if some of them fail or raise exceptions.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tearDown</w:t>
            </w:r>
          </w:p>
        </w:tc>
        <w:tc>
          <w:tcPr>
            <w:tcW w:type="auto" w:w="0"/>
            <w:shd w:val="clear" w:color="auto" w:fill="EEF2F6"/>
            <w:tcMar>
              <w:left w:type="dxa" w:w="200"/>
              <w:top w:type="dxa" w:w="200"/>
              <w:right w:type="dxa" w:w="200"/>
              <w:bottom w:type="dxa" w:w="200"/>
            </w:tcMar>
          </w:tcPr>
          <w:p>
            <w:pPr>
              <w:pStyle w:val="Para 002"/>
            </w:pPr>
            <w:r>
              <w:rPr>
                <w:rStyle w:val="Text0"/>
              </w:rPr>
              <w:t>tearDown()</w:t>
              <w:br w:clear="none"/>
            </w:r>
            <w:r>
              <w:t xml:space="preserve"> The</w:t>
            </w:r>
            <w:r>
              <w:rPr>
                <w:rStyle w:val="Text111"/>
              </w:rPr>
              <w:bookmarkStart w:id="3730" w:name="idm45965182917920"/>
              <w:t/>
              <w:bookmarkEnd w:id="3730"/>
            </w:r>
            <w:r>
              <w:t xml:space="preserve"> framework calls </w:t>
            </w:r>
            <w:r>
              <w:rPr>
                <w:rStyle w:val="Text3"/>
              </w:rPr>
              <w:t>t</w:t>
            </w:r>
            <w:r>
              <w:rPr>
                <w:rStyle w:val="Text0"/>
              </w:rPr>
              <w:t>.tearDown()</w:t>
            </w:r>
            <w:r>
              <w:t xml:space="preserve"> just after each test case method. </w:t>
            </w:r>
            <w:r>
              <w:rPr>
                <w:rStyle w:val="Text0"/>
              </w:rPr>
              <w:t>tearDown</w:t>
            </w:r>
            <w:r>
              <w:t xml:space="preserve"> in the base </w:t>
            </w:r>
            <w:r>
              <w:rPr>
                <w:rStyle w:val="Text0"/>
              </w:rPr>
              <w:t>TestCase</w:t>
            </w:r>
            <w:r>
              <w:t xml:space="preserve"> class does nothing; it exists only to let your class override the method when your class needs to perform some cleanup after each test.</w:t>
            </w:r>
          </w:p>
        </w:tc>
      </w:tr>
    </w:tbl>
    <w:p>
      <w:pPr>
        <w:pStyle w:val="Normal"/>
      </w:pPr>
      <w:r>
        <w:t xml:space="preserve">In addition, a </w:t>
      </w:r>
      <w:r>
        <w:rPr>
          <w:rStyle w:val="Text0"/>
        </w:rPr>
        <w:t>TestCase</w:t>
      </w:r>
      <w:r>
        <w:t xml:space="preserve"> instance maintains a LIFO stack of </w:t>
      </w:r>
      <w:r>
        <w:rPr>
          <w:rStyle w:val="Text4"/>
        </w:rPr>
        <w:t>cleanup functions</w:t>
      </w:r>
      <w:r>
        <w:t xml:space="preserve">. When code in one of your tests (or in </w:t>
      </w:r>
      <w:r>
        <w:rPr>
          <w:rStyle w:val="Text0"/>
        </w:rPr>
        <w:t>setUp</w:t>
      </w:r>
      <w:r>
        <w:t xml:space="preserve">) does something that requires cleanup, call </w:t>
      </w:r>
      <w:r>
        <w:rPr>
          <w:rStyle w:val="Text0"/>
        </w:rPr>
        <w:t>self.addCleanup</w:t>
      </w:r>
      <w:r>
        <w:t xml:space="preserve">, passing a cleanup callable </w:t>
      </w:r>
      <w:r>
        <w:rPr>
          <w:rStyle w:val="Text3"/>
        </w:rPr>
        <w:t>f</w:t>
      </w:r>
      <w:r>
        <w:t xml:space="preserve"> and optionally positional and named arguments for </w:t>
      </w:r>
      <w:r>
        <w:rPr>
          <w:rStyle w:val="Text3"/>
        </w:rPr>
        <w:t>f</w:t>
      </w:r>
      <w:r>
        <w:t xml:space="preserve">. To perform the stacked cleanups, you may call </w:t>
      </w:r>
      <w:r>
        <w:rPr>
          <w:rStyle w:val="Text0"/>
        </w:rPr>
        <w:t>doCleanups</w:t>
      </w:r>
      <w:r>
        <w:t xml:space="preserve">; however, the framework itself calls </w:t>
      </w:r>
      <w:r>
        <w:rPr>
          <w:rStyle w:val="Text0"/>
        </w:rPr>
        <w:t>doCleanups</w:t>
      </w:r>
      <w:r>
        <w:t xml:space="preserve"> after </w:t>
      </w:r>
      <w:r>
        <w:rPr>
          <w:rStyle w:val="Text0"/>
        </w:rPr>
        <w:t>tearDown</w:t>
      </w:r>
      <w:r>
        <w:t xml:space="preserve">. </w:t>
      </w:r>
      <w:hyperlink w:anchor="Table_17_2__Cleanup_methods_of_a">
        <w:r>
          <w:rPr>
            <w:rStyle w:val="Text1"/>
          </w:rPr>
          <w:t>Table 17-2</w:t>
        </w:r>
      </w:hyperlink>
      <w:r>
        <w:t xml:space="preserve"> lists the signatures of the two cleanup methods of a </w:t>
      </w:r>
      <w:r>
        <w:rPr>
          <w:rStyle w:val="Text0"/>
        </w:rPr>
        <w:t>TestCase</w:t>
      </w:r>
      <w:r>
        <w:t xml:space="preserve"> instance </w:t>
      </w:r>
      <w:r>
        <w:rPr>
          <w:rStyle w:val="Text3"/>
        </w:rPr>
        <w:t>t</w:t>
      </w:r>
      <w:r>
        <w:t>.</w:t>
      </w:r>
    </w:p>
    <w:tbl>
      <w:tblPr>
        <w:tblW w:type="auto" w:w="0"/>
      </w:tblPr>
      <w:tr>
        <w:tc>
          <w:tcPr>
            <w:tcW w:type="auto" w:w="0"/>
            <w:tcMar>
              <w:left w:type="dxa" w:w="200"/>
              <w:top w:type="dxa" w:w="200"/>
              <w:right w:type="dxa" w:w="200"/>
              <w:bottom w:type="dxa" w:w="200"/>
            </w:tcMar>
          </w:tcPr>
          <w:p>
            <w:bookmarkStart w:id="3731" w:name="Table_17_2__Cleanup_methods_of_a"/>
            <w:pPr>
              <w:pStyle w:val="Para 011"/>
            </w:pPr>
            <w:r>
              <w:rPr>
                <w:rStyle w:val="Text117"/>
              </w:rPr>
              <w:t/>
            </w:r>
            <w:r>
              <w:t xml:space="preserve">Table 17-2. </w:t>
              <w:t xml:space="preserve">Cleanup methods of an instance </w:t>
            </w:r>
            <w:r>
              <w:rPr>
                <w:rStyle w:val="Text0"/>
              </w:rPr>
              <w:t>t</w:t>
            </w:r>
            <w:r>
              <w:t xml:space="preserve"> of </w:t>
            </w:r>
            <w:r>
              <w:rPr>
                <w:rStyle w:val="Text0"/>
              </w:rPr>
              <w:t>TestCase</w:t>
            </w:r>
            <w:bookmarkEnd w:id="3731"/>
          </w:p>
          <w:p>
            <w:pPr>
              <w:pStyle w:val="Para 001"/>
            </w:pPr>
            <w:r>
              <w:t>addCleanup</w:t>
            </w:r>
          </w:p>
        </w:tc>
        <w:tc>
          <w:tcPr>
            <w:tcW w:type="auto" w:w="0"/>
            <w:tcMar>
              <w:left w:type="dxa" w:w="200"/>
              <w:top w:type="dxa" w:w="200"/>
              <w:right w:type="dxa" w:w="200"/>
              <w:bottom w:type="dxa" w:w="200"/>
            </w:tcMar>
          </w:tcPr>
          <w:p>
            <w:pPr>
              <w:pStyle w:val="Para 002"/>
            </w:pPr>
            <w:r>
              <w:rPr>
                <w:rStyle w:val="Text0"/>
              </w:rPr>
              <w:t>addCleanup(</w:t>
            </w:r>
            <w:r>
              <w:rPr>
                <w:rStyle w:val="Text3"/>
              </w:rPr>
              <w:t>func</w:t>
            </w:r>
            <w:r>
              <w:rPr>
                <w:rStyle w:val="Text0"/>
              </w:rPr>
              <w:t>,</w:t>
            </w:r>
            <w:r>
              <w:t xml:space="preserve"> </w:t>
            </w:r>
            <w:r>
              <w:rPr>
                <w:rStyle w:val="Text3"/>
              </w:rPr>
              <w:t>*a</w:t>
            </w:r>
            <w:r>
              <w:rPr>
                <w:rStyle w:val="Text0"/>
              </w:rPr>
              <w:t>, **</w:t>
            </w:r>
            <w:r>
              <w:rPr>
                <w:rStyle w:val="Text3"/>
              </w:rPr>
              <w:t>k</w:t>
            </w:r>
            <w:r>
              <w:rPr>
                <w:rStyle w:val="Text0"/>
              </w:rPr>
              <w:t>)</w:t>
              <w:br w:clear="none"/>
            </w:r>
            <w:r>
              <w:t xml:space="preserve"> Appends</w:t>
            </w:r>
            <w:r>
              <w:rPr>
                <w:rStyle w:val="Text111"/>
              </w:rPr>
              <w:bookmarkStart w:id="3732" w:name="idm45965182896480"/>
              <w:t/>
              <w:bookmarkEnd w:id="3732"/>
            </w:r>
            <w:r>
              <w:t xml:space="preserve"> </w:t>
            </w:r>
            <w:r>
              <w:rPr>
                <w:rStyle w:val="Text0"/>
              </w:rPr>
              <w:t>(</w:t>
            </w:r>
            <w:r>
              <w:rPr>
                <w:rStyle w:val="Text3"/>
              </w:rPr>
              <w:t>func</w:t>
            </w:r>
            <w:r>
              <w:rPr>
                <w:rStyle w:val="Text0"/>
              </w:rPr>
              <w:t>,</w:t>
            </w:r>
            <w:r>
              <w:t xml:space="preserve"> </w:t>
            </w:r>
            <w:r>
              <w:rPr>
                <w:rStyle w:val="Text3"/>
              </w:rPr>
              <w:t>a</w:t>
            </w:r>
            <w:r>
              <w:rPr>
                <w:rStyle w:val="Text0"/>
              </w:rPr>
              <w:t>,</w:t>
            </w:r>
            <w:r>
              <w:t xml:space="preserve"> </w:t>
            </w:r>
            <w:r>
              <w:rPr>
                <w:rStyle w:val="Text3"/>
              </w:rPr>
              <w:t>k</w:t>
            </w:r>
            <w:r>
              <w:rPr>
                <w:rStyle w:val="Text0"/>
              </w:rPr>
              <w:t>)</w:t>
            </w:r>
            <w:r>
              <w:t xml:space="preserve"> at the end of the cleanups list.</w:t>
            </w:r>
          </w:p>
        </w:tc>
      </w:tr>
    </w:tbl>
    <w:tbl>
      <w:tblPr>
        <w:tblW w:type="auto" w:w="0"/>
      </w:tblPr>
      <w:tr>
        <w:tc>
          <w:tcPr>
            <w:tcW w:type="auto" w:w="0"/>
            <w:shd w:val="clear" w:color="auto" w:fill="EEF2F6"/>
            <w:tcMar>
              <w:left w:type="dxa" w:w="200"/>
              <w:top w:type="dxa" w:w="200"/>
              <w:right w:type="dxa" w:w="200"/>
              <w:bottom w:type="dxa" w:w="200"/>
            </w:tcMar>
          </w:tcPr>
          <w:p>
            <w:pPr>
              <w:pStyle w:val="Para 001"/>
            </w:pPr>
            <w:r>
              <w:t>doCleanups</w:t>
            </w:r>
          </w:p>
        </w:tc>
        <w:tc>
          <w:tcPr>
            <w:tcW w:type="auto" w:w="0"/>
            <w:shd w:val="clear" w:color="auto" w:fill="EEF2F6"/>
            <w:tcMar>
              <w:left w:type="dxa" w:w="200"/>
              <w:top w:type="dxa" w:w="200"/>
              <w:right w:type="dxa" w:w="200"/>
              <w:bottom w:type="dxa" w:w="200"/>
            </w:tcMar>
          </w:tcPr>
          <w:p>
            <w:pPr>
              <w:pStyle w:val="Para 002"/>
            </w:pPr>
            <w:r>
              <w:rPr>
                <w:rStyle w:val="Text0"/>
              </w:rPr>
              <w:t>doCleanups()</w:t>
              <w:br w:clear="none"/>
            </w:r>
            <w:r>
              <w:t xml:space="preserve"> Performs all cleanups, if any are stacked. Substantially equivalent to: </w:t>
            </w:r>
          </w:p>
          <w:p>
            <w:pPr>
              <w:pStyle w:val="Para 029"/>
            </w:pPr>
            <w:r>
              <w:rPr>
                <w:rStyle w:val="Text23"/>
              </w:rPr>
              <w:t xml:space="preserve"/>
              <w:br w:clear="none"/>
            </w:r>
            <w:r>
              <w:rPr>
                <w:rStyle w:val="Text10"/>
              </w:rPr>
              <w:t xml:space="preserve">while</w:t>
              <w:br w:clear="none"/>
            </w:r>
            <w:r>
              <w:rPr>
                <w:rStyle w:val="Text6"/>
              </w:rPr>
              <w:t xml:space="preserve"> </w:t>
              <w:br w:clear="none"/>
            </w:r>
            <w:r>
              <w:rPr>
                <w:rStyle w:val="Text16"/>
              </w:rPr>
              <w:t xml:space="preserve">self</w:t>
              <w:br w:clear="none"/>
            </w:r>
            <w:r>
              <w:rPr>
                <w:rStyle w:val="Text13"/>
              </w:rPr>
              <w:t xml:space="preserve">.</w:t>
              <w:br w:clear="none"/>
            </w:r>
            <w:r>
              <w:t xml:space="preserve">list_of_cleanups</w:t>
              <w:br w:clear="none"/>
            </w:r>
            <w:r>
              <w:rPr>
                <w:rStyle w:val="Text7"/>
              </w:rPr>
              <w:t xml:space="preserve">:</w:t>
              <w:br w:clear="none"/>
            </w:r>
            <w:r>
              <w:rPr>
                <w:rStyle w:val="Text6"/>
              </w:rPr>
              <w:t xml:space="preserve"/>
              <w:br w:clear="none"/>
              <w:t xml:space="preserve">    </w:t>
              <w:br w:clear="none"/>
            </w:r>
            <w:r>
              <w:t xml:space="preserve">func</w:t>
              <w:br w:clear="none"/>
            </w:r>
            <w:r>
              <w:rPr>
                <w:rStyle w:val="Text7"/>
              </w:rPr>
              <w:t xml:space="preserve">,</w:t>
              <w:br w:clear="none"/>
            </w:r>
            <w:r>
              <w:rPr>
                <w:rStyle w:val="Text6"/>
              </w:rPr>
              <w:t xml:space="preserve"> </w:t>
              <w:br w:clear="none"/>
            </w:r>
            <w:r>
              <w:t xml:space="preserve">a</w:t>
              <w:br w:clear="none"/>
            </w:r>
            <w:r>
              <w:rPr>
                <w:rStyle w:val="Text7"/>
              </w:rPr>
              <w:t xml:space="preserve">,</w:t>
              <w:br w:clear="none"/>
            </w:r>
            <w:r>
              <w:rPr>
                <w:rStyle w:val="Text6"/>
              </w:rPr>
              <w:t xml:space="preserve"> </w:t>
              <w:br w:clear="none"/>
            </w:r>
            <w:r>
              <w:t xml:space="preserve">k</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self</w:t>
              <w:br w:clear="none"/>
            </w:r>
            <w:r>
              <w:rPr>
                <w:rStyle w:val="Text13"/>
              </w:rPr>
              <w:t xml:space="preserve">.</w:t>
              <w:br w:clear="none"/>
            </w:r>
            <w:r>
              <w:t xml:space="preserve">list_of_cleanups</w:t>
              <w:br w:clear="none"/>
            </w:r>
            <w:r>
              <w:rPr>
                <w:rStyle w:val="Text13"/>
              </w:rPr>
              <w:t xml:space="preserve">.</w:t>
              <w:br w:clear="none"/>
            </w:r>
            <w:r>
              <w:t xml:space="preserve">pop</w:t>
              <w:br w:clear="none"/>
            </w:r>
            <w:r>
              <w:rPr>
                <w:rStyle w:val="Text7"/>
              </w:rPr>
              <w:t xml:space="preserve">(</w:t>
              <w:br w:clear="none"/>
              <w:t xml:space="preserve">)</w:t>
              <w:br w:clear="none"/>
            </w:r>
            <w:r>
              <w:rPr>
                <w:rStyle w:val="Text6"/>
              </w:rPr>
              <w:t xml:space="preserve"/>
              <w:br w:clear="none"/>
              <w:t xml:space="preserve">    </w:t>
              <w:br w:clear="none"/>
            </w:r>
            <w:r>
              <w:t xml:space="preserve">func</w:t>
              <w:br w:clear="none"/>
            </w:r>
            <w:r>
              <w:rPr>
                <w:rStyle w:val="Text7"/>
              </w:rPr>
              <w:t xml:space="preserve">(</w:t>
              <w:br w:clear="none"/>
            </w:r>
            <w:r>
              <w:rPr>
                <w:rStyle w:val="Text13"/>
              </w:rPr>
              <w:t xml:space="preserve">*</w:t>
              <w:br w:clear="none"/>
            </w:r>
            <w:r>
              <w:t xml:space="preserve">a</w:t>
              <w:br w:clear="none"/>
            </w:r>
            <w:r>
              <w:rPr>
                <w:rStyle w:val="Text7"/>
              </w:rPr>
              <w:t xml:space="preserve">,</w:t>
              <w:br w:clear="none"/>
            </w:r>
            <w:r>
              <w:rPr>
                <w:rStyle w:val="Text6"/>
              </w:rPr>
              <w:t xml:space="preserve"> </w:t>
              <w:br w:clear="none"/>
            </w:r>
            <w:r>
              <w:rPr>
                <w:rStyle w:val="Text13"/>
              </w:rPr>
              <w:t xml:space="preserve">*</w:t>
              <w:br w:clear="none"/>
              <w:t xml:space="preserve">*</w:t>
              <w:br w:clear="none"/>
            </w:r>
            <w:r>
              <w:t xml:space="preserve">k</w:t>
              <w:br w:clear="none"/>
            </w:r>
            <w:r>
              <w:rPr>
                <w:rStyle w:val="Text7"/>
              </w:rPr>
              <w:t xml:space="preserve">)</w:t>
              <w:br w:clear="none"/>
            </w:r>
          </w:p>
          <w:p>
            <w:pPr>
              <w:pStyle w:val="Para 022"/>
            </w:pPr>
            <w:r>
              <w:t xml:space="preserve"> for a hypothetical stack </w:t>
            </w:r>
            <w:r>
              <w:rPr>
                <w:rStyle w:val="Text0"/>
              </w:rPr>
              <w:t>self.list_of_cleanups</w:t>
            </w:r>
            <w:r>
              <w:t>, plus, of course, error checking and reporting.</w:t>
            </w:r>
            <w:r>
              <w:rPr>
                <w:rStyle w:val="Text111"/>
              </w:rPr>
              <w:bookmarkStart w:id="3733" w:name="idm45965182860320"/>
              <w:t/>
              <w:bookmarkEnd w:id="3733"/>
            </w:r>
          </w:p>
        </w:tc>
      </w:tr>
    </w:tbl>
    <w:p>
      <w:bookmarkStart w:id="3734" w:name="Unit_tests_dealing_with_large_am"/>
      <w:pPr>
        <w:keepNext/>
        <w:pStyle w:val="Heading 2"/>
      </w:pPr>
      <w:r>
        <w:t>Unit tests dealing with large amounts of data</w:t>
      </w:r>
      <w:bookmarkEnd w:id="3734"/>
    </w:p>
    <w:p>
      <w:pPr>
        <w:pStyle w:val="Normal"/>
      </w:pPr>
      <w:r>
        <w:t xml:space="preserve">Unit tests must be fast, as you should run them often as you develop. So, when feasible, unit test each aspect of your modules on small amounts of data. This makes your unit tests faster, and lets you embed the data in the test’s source code. When you test a function that reads from or writes to a file object, use an instance of the class </w:t>
      </w:r>
      <w:r>
        <w:rPr>
          <w:rStyle w:val="Text0"/>
        </w:rPr>
        <w:t>io.TextIO</w:t>
      </w:r>
      <w:r>
        <w:t xml:space="preserve"> for a text file (or </w:t>
      </w:r>
      <w:r>
        <w:rPr>
          <w:rStyle w:val="Text0"/>
        </w:rPr>
        <w:t>io.BytesIO</w:t>
      </w:r>
      <w:r>
        <w:t xml:space="preserve"> for a binary file, as covered in </w:t>
      </w:r>
      <w:hyperlink w:anchor="In_Memory_Files__io_StringIO_and">
        <w:r>
          <w:rPr>
            <w:rStyle w:val="Text1"/>
          </w:rPr>
          <w:t>“In-Memory Files: io.StringIO and io.BytesIO”</w:t>
        </w:r>
      </w:hyperlink>
      <w:r>
        <w:t>) to get a file with the data in memory: this approach is faster than writing to disk, and it requires no cleanup (removing disk files after the tests).</w:t>
      </w:r>
    </w:p>
    <w:p>
      <w:pPr>
        <w:pStyle w:val="Normal"/>
      </w:pPr>
      <w:r>
        <w:t xml:space="preserve">In rare cases, it may be impossible to exercise a module’s functionality without supplying and/or comparing data in quantities larger than can be reasonably embedded in a test’s source code. In such cases, your unit test must rely on auxiliary, external data files to hold the data to supply to the module it tests, and/or the data it needs to compare to the output. Even then, you’re generally better off using instances of the abovementioned </w:t>
      </w:r>
      <w:r>
        <w:rPr>
          <w:rStyle w:val="Text0"/>
        </w:rPr>
        <w:t>io</w:t>
      </w:r>
      <w:r>
        <w:t xml:space="preserve"> classes, rather than directing the tested module to perform actual disk I/O. Even more importantly, we strongly suggest that you generally use stubs to unit test modules that interact with external entities, such as databases, GUIs, or other programs over a network. It’s easier to control all aspects of the test when using stubs rather than real external entities. Also, to reiterate, the speed at which you can run unit tests is important, and it’s faster to perform simulated operations with stubs than real operations.</w:t>
      </w:r>
    </w:p>
    <w:p>
      <w:pPr>
        <w:keepNext/>
        <w:pStyle w:val="Heading 5"/>
        <w:keepLines w:val="on"/>
      </w:pPr>
      <w:r>
        <w:t>Make Test Randomness Reproducible by Supplying a Seed</w:t>
      </w:r>
    </w:p>
    <w:p>
      <w:pPr>
        <w:pStyle w:val="Para 012"/>
        <w:keepLines w:val="on"/>
      </w:pPr>
      <w:r>
        <w:t>If your code uses</w:t>
      </w:r>
      <w:r>
        <w:rPr>
          <w:rStyle w:val="Text111"/>
        </w:rPr>
        <w:bookmarkStart w:id="3735" w:name="idm45965182825200"/>
        <w:t/>
        <w:bookmarkEnd w:id="3735"/>
        <w:bookmarkStart w:id="3736" w:name="idm45965182824224"/>
        <w:t/>
        <w:bookmarkEnd w:id="3736"/>
      </w:r>
      <w:r>
        <w:t xml:space="preserve"> pseudorandom numbers (e.g., as covered in </w:t>
      </w:r>
      <w:hyperlink w:anchor="The_random_Module__All_functions">
        <w:r>
          <w:rPr>
            <w:rStyle w:val="Text1"/>
          </w:rPr>
          <w:t>“The random Module”</w:t>
        </w:r>
      </w:hyperlink>
      <w:r>
        <w:t>), you can make it easier to test by ensuring its “random” behavior is</w:t>
      </w:r>
      <w:r>
        <w:rPr>
          <w:rStyle w:val="Text111"/>
        </w:rPr>
        <w:bookmarkStart w:id="3737" w:name="idm45965182822256"/>
        <w:t/>
        <w:bookmarkEnd w:id="3737"/>
      </w:r>
      <w:r>
        <w:t xml:space="preserve"> </w:t>
      </w:r>
      <w:r>
        <w:rPr>
          <w:rStyle w:val="Text4"/>
        </w:rPr>
        <w:t>reproducible</w:t>
      </w:r>
      <w:r>
        <w:t xml:space="preserve">: specifically, ensure that it’s easy for your tests to call </w:t>
      </w:r>
      <w:r>
        <w:rPr>
          <w:rStyle w:val="Text0"/>
        </w:rPr>
        <w:t>random.seed</w:t>
      </w:r>
      <w:r>
        <w:t xml:space="preserve"> with a known argument, so that the ensuing pseudorandom numbers are fully predictable. This also applies when you use pseudorandom numbers to set up your tests by generating inputs: such generation should default to a known seed, to be used in most testing, keeping the flexibility of changing seeds only for specific techniques such as</w:t>
      </w:r>
      <w:r>
        <w:rPr>
          <w:rStyle w:val="Text111"/>
        </w:rPr>
        <w:bookmarkStart w:id="3738" w:name="idm45965182820016"/>
        <w:t/>
        <w:bookmarkEnd w:id="3738"/>
      </w:r>
      <w:r>
        <w:t xml:space="preserve"> </w:t>
      </w:r>
      <w:hyperlink r:id="rId501">
        <w:r>
          <w:rPr>
            <w:rStyle w:val="Text1"/>
          </w:rPr>
          <w:t>fuzzing</w:t>
        </w:r>
      </w:hyperlink>
      <w:r>
        <w:t>.</w:t>
      </w:r>
      <w:r>
        <w:rPr>
          <w:rStyle w:val="Text111"/>
        </w:rPr>
        <w:bookmarkStart w:id="3739" w:name="idm45965182818064"/>
        <w:t/>
        <w:bookmarkEnd w:id="3739"/>
        <w:bookmarkStart w:id="3740" w:name="idm45965182816656"/>
        <w:t/>
        <w:bookmarkEnd w:id="3740"/>
      </w:r>
    </w:p>
    <w:p>
      <w:bookmarkStart w:id="3741" w:name="Testing_with_nose2__nose2_is_a_p"/>
      <w:pPr>
        <w:keepNext/>
        <w:pStyle w:val="Heading 2"/>
      </w:pPr>
      <w:r>
        <w:t>Testing with nose2</w:t>
      </w:r>
      <w:bookmarkEnd w:id="3741"/>
    </w:p>
    <w:p>
      <w:pPr>
        <w:pStyle w:val="Normal"/>
      </w:pPr>
      <w:r>
        <w:rPr>
          <w:rStyle w:val="Text0"/>
        </w:rPr>
        <w:t>nose2</w:t>
      </w:r>
      <w:r>
        <w:rPr>
          <w:rStyle w:val="Text111"/>
        </w:rPr>
        <w:bookmarkStart w:id="3742" w:name="idm45965182812944"/>
        <w:t/>
        <w:bookmarkEnd w:id="3742"/>
        <w:bookmarkStart w:id="3743" w:name="idm45965182811600"/>
        <w:t/>
        <w:bookmarkEnd w:id="3743"/>
        <w:bookmarkStart w:id="3744" w:name="testframe17"/>
        <w:t/>
        <w:bookmarkEnd w:id="3744"/>
      </w:r>
      <w:r>
        <w:t xml:space="preserve"> is a </w:t>
      </w:r>
      <w:r>
        <w:rPr>
          <w:rStyle w:val="Text0"/>
        </w:rPr>
        <w:t>pip</w:t>
      </w:r>
      <w:r>
        <w:t xml:space="preserve">-installable third-party test utility and framework that builds on top of </w:t>
      </w:r>
      <w:r>
        <w:rPr>
          <w:rStyle w:val="Text0"/>
        </w:rPr>
        <w:t>unittest</w:t>
      </w:r>
      <w:r>
        <w:t xml:space="preserve"> to provide additional plug-ins, classes, and decorators to aid in writing and running your test suite. </w:t>
      </w:r>
      <w:r>
        <w:rPr>
          <w:rStyle w:val="Text0"/>
        </w:rPr>
        <w:t>nose2</w:t>
      </w:r>
      <w:r>
        <w:t xml:space="preserve"> will “sniff out” test cases in your project, building its test suite by looking for </w:t>
      </w:r>
      <w:r>
        <w:rPr>
          <w:rStyle w:val="Text0"/>
        </w:rPr>
        <w:t>unittest</w:t>
      </w:r>
      <w:r>
        <w:t xml:space="preserve"> test cases stored in files named </w:t>
      </w:r>
      <w:r>
        <w:rPr>
          <w:rStyle w:val="Text4"/>
        </w:rPr>
        <w:t>test*.py</w:t>
      </w:r>
      <w:r>
        <w:t>.</w:t>
      </w:r>
    </w:p>
    <w:p>
      <w:pPr>
        <w:pStyle w:val="Normal"/>
      </w:pPr>
      <w:r>
        <w:t xml:space="preserve">Here is an example of using </w:t>
      </w:r>
      <w:r>
        <w:rPr>
          <w:rStyle w:val="Text0"/>
        </w:rPr>
        <w:t>nose2</w:t>
      </w:r>
      <w:r>
        <w:t xml:space="preserve">’s </w:t>
      </w:r>
      <w:r>
        <w:rPr>
          <w:rStyle w:val="Text0"/>
        </w:rPr>
        <w:t>params</w:t>
      </w:r>
      <w:r>
        <w:t xml:space="preserve"> decorator to pass data parameters to a test function:</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unittest</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nose2</w:t>
        <w:br w:clear="none"/>
        <w:t xml:space="preserve">.</w:t>
        <w:br w:clear="none"/>
        <w:t xml:space="preserve">tools</w:t>
        <w:br w:clear="none"/>
      </w:r>
      <w:r>
        <w:rPr>
          <w:rStyle w:val="Text6"/>
        </w:rPr>
        <w:t xml:space="preserve"> </w:t>
        <w:br w:clear="none"/>
      </w:r>
      <w:r>
        <w:rPr>
          <w:rStyle w:val="Text10"/>
        </w:rPr>
        <w:t xml:space="preserve">import</w:t>
        <w:br w:clear="none"/>
      </w:r>
      <w:r>
        <w:rPr>
          <w:rStyle w:val="Text6"/>
        </w:rPr>
        <w:t xml:space="preserve"> </w:t>
        <w:br w:clear="none"/>
      </w:r>
      <w:r>
        <w:t xml:space="preserve">params</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TestCase</w:t>
        <w:br w:clear="none"/>
      </w:r>
      <w:r>
        <w:rPr>
          <w:rStyle w:val="Text7"/>
        </w:rPr>
        <w:t xml:space="preserve">(</w:t>
        <w:br w:clear="none"/>
      </w:r>
      <w:r>
        <w:t xml:space="preserve">unittest</w:t>
        <w:br w:clear="none"/>
      </w:r>
      <w:r>
        <w:rPr>
          <w:rStyle w:val="Text13"/>
        </w:rPr>
        <w:t xml:space="preserve">.</w:t>
        <w:br w:clear="none"/>
      </w:r>
      <w:r>
        <w:t xml:space="preserve">TestCase</w:t>
        <w:br w:clear="none"/>
      </w:r>
      <w:r>
        <w:rPr>
          <w:rStyle w:val="Text7"/>
        </w:rPr>
        <w:t xml:space="preserve">)</w:t>
        <w:br w:clear="none"/>
        <w:t xml:space="preserve">:</w:t>
        <w:br w:clear="none"/>
      </w:r>
      <w:r>
        <w:rPr>
          <w:rStyle w:val="Text6"/>
        </w:rPr>
        <w:t xml:space="preserve"/>
        <w:br w:clear="none"/>
        <w:t xml:space="preserve"/>
        <w:br w:clear="none"/>
        <w:t xml:space="preserve">    </w:t>
        <w:br w:clear="none"/>
      </w:r>
      <w:r>
        <w:rPr>
          <w:rStyle w:val="Text44"/>
        </w:rPr>
        <w:t xml:space="preserve">@params</w:t>
        <w:br w:clear="none"/>
      </w:r>
      <w:r>
        <w:rPr>
          <w:rStyle w:val="Text7"/>
        </w:rPr>
        <w:t xml:space="preserve">(</w:t>
        <w:br w:clear="none"/>
        <w:t xml:space="preserve">(</w:t>
        <w:br w:clear="none"/>
      </w:r>
      <w:r>
        <w:rPr>
          <w:rStyle w:val="Text27"/>
        </w:rPr>
        <w:t xml:space="preserve">5</w:t>
        <w:br w:clear="none"/>
      </w:r>
      <w:r>
        <w:rPr>
          <w:rStyle w:val="Text7"/>
        </w:rPr>
        <w:t xml:space="preserve">,</w:t>
        <w:br w:clear="none"/>
      </w:r>
      <w:r>
        <w:rPr>
          <w:rStyle w:val="Text6"/>
        </w:rPr>
        <w:t xml:space="preserve"> </w:t>
        <w:br w:clear="none"/>
      </w:r>
      <w:r>
        <w:rPr>
          <w:rStyle w:val="Text27"/>
        </w:rPr>
        <w:t xml:space="preserve">5</w:t>
        <w:br w:clear="none"/>
      </w:r>
      <w:r>
        <w:rPr>
          <w:rStyle w:val="Text7"/>
        </w:rPr>
        <w:t xml:space="preserve">)</w:t>
        <w:br w:clear="none"/>
        <w:t xml:space="preserve">,</w:t>
        <w:br w:clear="none"/>
      </w:r>
      <w:r>
        <w:rPr>
          <w:rStyle w:val="Text6"/>
        </w:rPr>
        <w:t xml:space="preserve"> </w:t>
        <w:br w:clear="none"/>
      </w:r>
      <w:r>
        <w:rPr>
          <w:rStyle w:val="Text7"/>
        </w:rPr>
        <w:t xml:space="preserve">(</w:t>
        <w:br w:clear="none"/>
      </w:r>
      <w:r>
        <w:rPr>
          <w:rStyle w:val="Text13"/>
        </w:rPr>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t xml:space="preserve">,</w:t>
        <w:br w:clear="none"/>
      </w:r>
      <w:r>
        <w:rPr>
          <w:rStyle w:val="Text6"/>
        </w:rPr>
        <w:t xml:space="preserve"> </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r>
      <w:r>
        <w:rPr>
          <w:rStyle w:val="Text6"/>
        </w:rPr>
        <w:t xml:space="preserve"> </w:t>
        <w:br w:clear="none"/>
      </w:r>
      <w:r>
        <w:rPr>
          <w:rStyle w:val="Text10"/>
        </w:rPr>
        <w:t xml:space="preserve">None</w:t>
        <w:br w:clear="none"/>
      </w:r>
      <w:r>
        <w:rPr>
          <w:rStyle w:val="Text7"/>
        </w:rPr>
        <w:t xml:space="preserve">,</w:t>
        <w:br w:clear="none"/>
      </w:r>
      <w:r>
        <w:rPr>
          <w:rStyle w:val="Text6"/>
        </w:rPr>
        <w:t xml:space="preserve"> </w:t>
        <w:br w:clear="none"/>
      </w:r>
      <w:r>
        <w:rPr>
          <w:rStyle w:val="Text36"/>
        </w:rPr>
        <w:t xml:space="preserve">TypeError</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def</w:t>
        <w:br w:clear="none"/>
      </w:r>
      <w:r>
        <w:rPr>
          <w:rStyle w:val="Text6"/>
        </w:rPr>
        <w:t xml:space="preserve"> </w:t>
        <w:br w:clear="none"/>
      </w:r>
      <w:r>
        <w:rPr>
          <w:rStyle w:val="Text18"/>
        </w:rPr>
        <w:t xml:space="preserve">test_abs_value</w:t>
        <w:br w:clear="none"/>
      </w:r>
      <w:r>
        <w:rPr>
          <w:rStyle w:val="Text7"/>
        </w:rPr>
        <w:t xml:space="preserve">(</w:t>
        <w:br w:clear="none"/>
      </w:r>
      <w:r>
        <w:rPr>
          <w:rStyle w:val="Text16"/>
        </w:rPr>
        <w:t xml:space="preserve">self</w:t>
        <w:br w:clear="none"/>
      </w:r>
      <w:r>
        <w:rPr>
          <w:rStyle w:val="Text7"/>
        </w:rPr>
        <w:t xml:space="preserve">,</w:t>
        <w:br w:clear="none"/>
      </w:r>
      <w:r>
        <w:rPr>
          <w:rStyle w:val="Text6"/>
        </w:rPr>
        <w:t xml:space="preserve"> </w:t>
        <w:br w:clear="none"/>
      </w:r>
      <w:r>
        <w:t xml:space="preserve">x</w:t>
        <w:br w:clear="none"/>
      </w:r>
      <w:r>
        <w:rPr>
          <w:rStyle w:val="Text7"/>
        </w:rPr>
        <w:t xml:space="preserve">,</w:t>
        <w:br w:clear="none"/>
      </w:r>
      <w:r>
        <w:rPr>
          <w:rStyle w:val="Text6"/>
        </w:rPr>
        <w:t xml:space="preserve"> </w:t>
        <w:br w:clear="none"/>
      </w:r>
      <w:r>
        <w:t xml:space="preserve">expected</w:t>
        <w:br w:clear="none"/>
      </w:r>
      <w:r>
        <w:rPr>
          <w:rStyle w:val="Text7"/>
        </w:rPr>
        <w:t xml:space="preserve">,</w:t>
        <w:br w:clear="none"/>
      </w:r>
      <w:r>
        <w:rPr>
          <w:rStyle w:val="Text6"/>
        </w:rPr>
        <w:t xml:space="preserve"> </w:t>
        <w:br w:clear="none"/>
      </w:r>
      <w:r>
        <w:t xml:space="preserve">should_raise</w:t>
        <w:br w:clear="none"/>
      </w:r>
      <w:r>
        <w:rPr>
          <w:rStyle w:val="Text13"/>
        </w:rPr>
        <w:t xml:space="preserve">=</w:t>
        <w:br w:clear="none"/>
      </w:r>
      <w:r>
        <w:rPr>
          <w:rStyle w:val="Text10"/>
        </w:rPr>
        <w:t xml:space="preserve">None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should_raise</w:t>
        <w:br w:clear="none"/>
      </w:r>
      <w:r>
        <w:rPr>
          <w:rStyle w:val="Text6"/>
        </w:rPr>
        <w:t xml:space="preserve"> </w:t>
        <w:br w:clear="none"/>
      </w:r>
      <w:r>
        <w:rPr>
          <w:rStyle w:val="Text31"/>
        </w:rPr>
        <w:t xml:space="preserve">is</w:t>
        <w:br w:clear="none"/>
      </w:r>
      <w:r>
        <w:rPr>
          <w:rStyle w:val="Text29"/>
        </w:rPr>
        <w:t xml:space="preserve"> </w:t>
        <w:br w:clear="none"/>
      </w:r>
      <w:r>
        <w:rPr>
          <w:rStyle w:val="Text31"/>
        </w:rPr>
        <w:t xml:space="preserve">not</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self</w:t>
        <w:br w:clear="none"/>
      </w:r>
      <w:r>
        <w:rPr>
          <w:rStyle w:val="Text13"/>
        </w:rPr>
        <w:t xml:space="preserve">.</w:t>
        <w:br w:clear="none"/>
      </w:r>
      <w:r>
        <w:t xml:space="preserve">assertRaises</w:t>
        <w:br w:clear="none"/>
      </w:r>
      <w:r>
        <w:rPr>
          <w:rStyle w:val="Text7"/>
        </w:rPr>
        <w:t xml:space="preserve">(</w:t>
        <w:br w:clear="none"/>
      </w:r>
      <w:r>
        <w:t xml:space="preserve">should_raise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abs</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rPr>
          <w:rStyle w:val="Text39"/>
        </w:rPr>
        <w:t xml:space="preserve">assert</w:t>
        <w:br w:clear="none"/>
      </w:r>
      <w:r>
        <w:rPr>
          <w:rStyle w:val="Text6"/>
        </w:rPr>
        <w:t xml:space="preserve"> </w:t>
        <w:br w:clear="none"/>
      </w:r>
      <w:r>
        <w:rPr>
          <w:rStyle w:val="Text16"/>
        </w:rPr>
        <w:t xml:space="preserve">abs</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expected</w:t>
        <w:br w:clear="none"/>
      </w:r>
    </w:p>
    <w:p>
      <w:pPr>
        <w:pStyle w:val="Normal"/>
      </w:pPr>
      <w:r>
        <w:rPr>
          <w:rStyle w:val="Text0"/>
        </w:rPr>
        <w:t>nose2</w:t>
      </w:r>
      <w:r>
        <w:t xml:space="preserve"> also includes additional decorators, the </w:t>
      </w:r>
      <w:r>
        <w:rPr>
          <w:rStyle w:val="Text0"/>
        </w:rPr>
        <w:t>such</w:t>
      </w:r>
      <w:r>
        <w:t xml:space="preserve"> context manager to define groups of test functions, and a plug-in framework to provide testing metafunctions such as logging, debugging, and coverage reporting. For more information, see the </w:t>
      </w:r>
      <w:hyperlink r:id="rId502">
        <w:r>
          <w:rPr>
            <w:rStyle w:val="Text1"/>
          </w:rPr>
          <w:t>online docs</w:t>
        </w:r>
      </w:hyperlink>
      <w:r>
        <w:t>.</w:t>
      </w:r>
    </w:p>
    <w:p>
      <w:bookmarkStart w:id="3745" w:name="Testing_with_pytest__The_pytest"/>
      <w:pPr>
        <w:keepNext/>
        <w:pStyle w:val="Heading 2"/>
      </w:pPr>
      <w:r>
        <w:t>Testing with pytest</w:t>
      </w:r>
      <w:bookmarkEnd w:id="3745"/>
    </w:p>
    <w:p>
      <w:pPr>
        <w:pStyle w:val="Normal"/>
      </w:pPr>
      <w:r>
        <w:t>The</w:t>
      </w:r>
      <w:r>
        <w:rPr>
          <w:rStyle w:val="Text111"/>
        </w:rPr>
        <w:bookmarkStart w:id="3746" w:name="idm45965182705424"/>
        <w:t/>
        <w:bookmarkEnd w:id="3746"/>
        <w:bookmarkStart w:id="3747" w:name="idm45965182703904"/>
        <w:t/>
        <w:bookmarkEnd w:id="3747"/>
      </w:r>
      <w:r>
        <w:t xml:space="preserve"> </w:t>
      </w:r>
      <w:r>
        <w:rPr>
          <w:rStyle w:val="Text0"/>
        </w:rPr>
        <w:t>pytest</w:t>
      </w:r>
      <w:r>
        <w:t xml:space="preserve"> module is a </w:t>
      </w:r>
      <w:r>
        <w:rPr>
          <w:rStyle w:val="Text0"/>
        </w:rPr>
        <w:t>pip</w:t>
      </w:r>
      <w:r>
        <w:t xml:space="preserve">-installable third-party unit testing framework that introspects a project’s modules to find test cases in </w:t>
      </w:r>
      <w:r>
        <w:rPr>
          <w:rStyle w:val="Text4"/>
        </w:rPr>
        <w:t>test_*.py</w:t>
      </w:r>
      <w:r>
        <w:t xml:space="preserve"> or </w:t>
      </w:r>
      <w:r>
        <w:rPr>
          <w:rStyle w:val="Text4"/>
        </w:rPr>
        <w:t>*_test.py</w:t>
      </w:r>
      <w:r>
        <w:t xml:space="preserve"> files, with method names starting with </w:t>
      </w:r>
      <w:r>
        <w:rPr>
          <w:rStyle w:val="Text0"/>
        </w:rPr>
        <w:t>test</w:t>
      </w:r>
      <w:r>
        <w:t xml:space="preserve"> at the module level, or in classes with names starting with </w:t>
      </w:r>
      <w:r>
        <w:rPr>
          <w:rStyle w:val="Text0"/>
        </w:rPr>
        <w:t>Test</w:t>
      </w:r>
      <w:r>
        <w:t xml:space="preserve">. Unlike the built-in </w:t>
      </w:r>
      <w:r>
        <w:rPr>
          <w:rStyle w:val="Text0"/>
        </w:rPr>
        <w:t>unittest</w:t>
      </w:r>
      <w:r>
        <w:t xml:space="preserve"> framework, </w:t>
      </w:r>
      <w:r>
        <w:rPr>
          <w:rStyle w:val="Text0"/>
        </w:rPr>
        <w:t>pytest</w:t>
      </w:r>
      <w:r>
        <w:t xml:space="preserve"> does not require that test cases extend any testing class hierarchy; it runs the discovered test methods, which use Python</w:t>
      </w:r>
      <w:r>
        <w:rPr>
          <w:rStyle w:val="Text111"/>
        </w:rPr>
        <w:bookmarkStart w:id="3748" w:name="idm45965182656240"/>
        <w:t/>
        <w:bookmarkEnd w:id="3748"/>
      </w:r>
      <w:r>
        <w:t xml:space="preserve"> </w:t>
      </w:r>
      <w:r>
        <w:rPr>
          <w:rStyle w:val="Text5"/>
        </w:rPr>
        <w:t>assert</w:t>
      </w:r>
      <w:r>
        <w:t xml:space="preserve"> statements to determine the success or failure of each test.</w:t>
      </w:r>
      <w:hyperlink w:anchor="5_When_evaluating_assert_a____b">
        <w:r>
          <w:rPr>
            <w:rStyle w:val="Text41"/>
          </w:rPr>
          <w:bookmarkStart w:id="3749" w:name="5_7"/>
          <w:t>5</w:t>
          <w:bookmarkEnd w:id="3749"/>
        </w:r>
      </w:hyperlink>
      <w:r>
        <w:t xml:space="preserve"> If a test raises any exception other than </w:t>
      </w:r>
      <w:r>
        <w:rPr>
          <w:rStyle w:val="Text0"/>
        </w:rPr>
        <w:t>AssertionError</w:t>
      </w:r>
      <w:r>
        <w:t>, that indicates that there is an error in the test, rather than a simple test failure.</w:t>
      </w:r>
    </w:p>
    <w:p>
      <w:pPr>
        <w:pStyle w:val="Normal"/>
      </w:pPr>
      <w:r>
        <w:t xml:space="preserve">In place of a hierarchy of test case classes, </w:t>
      </w:r>
      <w:r>
        <w:rPr>
          <w:rStyle w:val="Text0"/>
        </w:rPr>
        <w:t>pytest</w:t>
      </w:r>
      <w:r>
        <w:t xml:space="preserve"> provides a number of helper methods and decorators to simplify writing unit tests. The most common methods are listed in </w:t>
      </w:r>
      <w:hyperlink w:anchor="Table_17_3__Commonly_used_pytest">
        <w:r>
          <w:rPr>
            <w:rStyle w:val="Text1"/>
          </w:rPr>
          <w:t>Table 17-3</w:t>
        </w:r>
      </w:hyperlink>
      <w:r>
        <w:t xml:space="preserve">; consult the </w:t>
      </w:r>
      <w:hyperlink r:id="rId503">
        <w:r>
          <w:rPr>
            <w:rStyle w:val="Text1"/>
          </w:rPr>
          <w:t>online docs</w:t>
        </w:r>
      </w:hyperlink>
      <w:r>
        <w:t xml:space="preserve"> for a more complete list of methods and optional arguments.</w:t>
      </w:r>
    </w:p>
    <w:tbl>
      <w:tblPr>
        <w:tblW w:type="auto" w:w="0"/>
      </w:tblPr>
      <w:tr>
        <w:tc>
          <w:tcPr>
            <w:tcW w:type="auto" w:w="0"/>
            <w:tcMar>
              <w:left w:type="dxa" w:w="200"/>
              <w:top w:type="dxa" w:w="200"/>
              <w:right w:type="dxa" w:w="200"/>
              <w:bottom w:type="dxa" w:w="200"/>
            </w:tcMar>
          </w:tcPr>
          <w:p>
            <w:bookmarkStart w:id="3750" w:name="Table_17_3__Commonly_used_pytest"/>
            <w:pPr>
              <w:pStyle w:val="Para 011"/>
            </w:pPr>
            <w:r>
              <w:rPr>
                <w:rStyle w:val="Text117"/>
              </w:rPr>
              <w:t/>
            </w:r>
            <w:r>
              <w:t xml:space="preserve">Table 17-3. </w:t>
              <w:t xml:space="preserve">Commonly used </w:t>
            </w:r>
            <w:r>
              <w:rPr>
                <w:rStyle w:val="Text0"/>
              </w:rPr>
              <w:t>pytest</w:t>
            </w:r>
            <w:r>
              <w:t xml:space="preserve"> methods</w:t>
            </w:r>
            <w:bookmarkEnd w:id="3750"/>
          </w:p>
          <w:p>
            <w:pPr>
              <w:pStyle w:val="Para 001"/>
            </w:pPr>
            <w:r>
              <w:t>approx</w:t>
            </w:r>
          </w:p>
        </w:tc>
        <w:tc>
          <w:tcPr>
            <w:tcW w:type="auto" w:w="0"/>
            <w:tcMar>
              <w:left w:type="dxa" w:w="200"/>
              <w:top w:type="dxa" w:w="200"/>
              <w:right w:type="dxa" w:w="200"/>
              <w:bottom w:type="dxa" w:w="200"/>
            </w:tcMar>
          </w:tcPr>
          <w:p>
            <w:pPr>
              <w:pStyle w:val="Para 002"/>
            </w:pPr>
            <w:r>
              <w:rPr>
                <w:rStyle w:val="Text0"/>
              </w:rPr>
              <w:t>approx(</w:t>
            </w:r>
            <w:r>
              <w:rPr>
                <w:rStyle w:val="Text3"/>
              </w:rPr>
              <w:t>float_value</w:t>
            </w:r>
            <w:r>
              <w:rPr>
                <w:rStyle w:val="Text0"/>
              </w:rPr>
              <w:t>)</w:t>
              <w:br w:clear="none"/>
            </w:r>
            <w:r>
              <w:t xml:space="preserve"> Used to support asserts that must compare floating-point values. </w:t>
            </w:r>
            <w:r>
              <w:rPr>
                <w:rStyle w:val="Text3"/>
              </w:rPr>
              <w:t>float_value</w:t>
            </w:r>
            <w:r>
              <w:t xml:space="preserve"> can be a single value or a sequence of values: </w:t>
            </w:r>
          </w:p>
          <w:p>
            <w:pPr>
              <w:pStyle w:val="Para 111"/>
            </w:pPr>
            <w:r>
              <w:rPr>
                <w:rStyle w:val="Text23"/>
              </w:rPr>
              <w:t xml:space="preserve"/>
              <w:br w:clear="none"/>
            </w:r>
            <w:r>
              <w:rPr>
                <w:rStyle w:val="Text10"/>
              </w:rPr>
              <w:t xml:space="preserve">assert</w:t>
              <w:br w:clear="none"/>
            </w:r>
            <w:r>
              <w:rPr>
                <w:rStyle w:val="Text6"/>
              </w:rPr>
              <w:t xml:space="preserve"> </w:t>
              <w:br w:clear="none"/>
            </w:r>
            <w:r>
              <w:t xml:space="preserve">0.1</w:t>
              <w:br w:clear="none"/>
            </w:r>
            <w:r>
              <w:rPr>
                <w:rStyle w:val="Text6"/>
              </w:rPr>
              <w:t xml:space="preserve"> </w:t>
              <w:br w:clear="none"/>
            </w:r>
            <w:r>
              <w:rPr>
                <w:rStyle w:val="Text13"/>
              </w:rPr>
              <w:t xml:space="preserve">+</w:t>
              <w:br w:clear="none"/>
            </w:r>
            <w:r>
              <w:rPr>
                <w:rStyle w:val="Text6"/>
              </w:rPr>
              <w:t xml:space="preserve"> </w:t>
              <w:br w:clear="none"/>
            </w:r>
            <w:r>
              <w:t xml:space="preserve">0.2</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approx</w:t>
              <w:br w:clear="none"/>
            </w:r>
            <w:r>
              <w:rPr>
                <w:rStyle w:val="Text7"/>
              </w:rPr>
              <w:t xml:space="preserve">(</w:t>
              <w:br w:clear="none"/>
            </w:r>
            <w:r>
              <w:t xml:space="preserve">0.3</w:t>
              <w:br w:clear="none"/>
            </w:r>
            <w:r>
              <w:rPr>
                <w:rStyle w:val="Text7"/>
              </w:rPr>
              <w:t xml:space="preserve">)</w:t>
              <w:br w:clear="none"/>
            </w:r>
            <w:r>
              <w:rPr>
                <w:rStyle w:val="Text6"/>
              </w:rPr>
              <w:t xml:space="preserve"/>
              <w:br w:clear="none"/>
            </w:r>
            <w:r>
              <w:rPr>
                <w:rStyle w:val="Text10"/>
              </w:rPr>
              <w:t xml:space="preserve">assert</w:t>
              <w:br w:clear="none"/>
            </w:r>
            <w:r>
              <w:rPr>
                <w:rStyle w:val="Text6"/>
              </w:rPr>
              <w:t xml:space="preserve"> </w:t>
              <w:br w:clear="none"/>
            </w:r>
            <w:r>
              <w:rPr>
                <w:rStyle w:val="Text7"/>
              </w:rPr>
              <w:t xml:space="preserve">[</w:t>
              <w:br w:clear="none"/>
            </w:r>
            <w:r>
              <w:t xml:space="preserve">0.1</w:t>
              <w:br w:clear="none"/>
            </w:r>
            <w:r>
              <w:rPr>
                <w:rStyle w:val="Text7"/>
              </w:rPr>
              <w:t xml:space="preserve">,</w:t>
              <w:br w:clear="none"/>
            </w:r>
            <w:r>
              <w:rPr>
                <w:rStyle w:val="Text6"/>
              </w:rPr>
              <w:t xml:space="preserve"> </w:t>
              <w:br w:clear="none"/>
            </w:r>
            <w:r>
              <w:t xml:space="preserve">0.2</w:t>
              <w:br w:clear="none"/>
            </w:r>
            <w:r>
              <w:rPr>
                <w:rStyle w:val="Text7"/>
              </w:rPr>
              <w:t xml:space="preserve">,</w:t>
              <w:br w:clear="none"/>
            </w:r>
            <w:r>
              <w:rPr>
                <w:rStyle w:val="Text6"/>
              </w:rPr>
              <w:t xml:space="preserve"> </w:t>
              <w:br w:clear="none"/>
            </w:r>
            <w:r>
              <w:t xml:space="preserve">0.1</w:t>
              <w:br w:clear="none"/>
            </w:r>
            <w:r>
              <w:rPr>
                <w:rStyle w:val="Text13"/>
              </w:rPr>
              <w:t xml:space="preserve">+</w:t>
              <w:br w:clear="none"/>
            </w:r>
            <w:r>
              <w:t xml:space="preserve">0.2</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approx</w:t>
              <w:br w:clear="none"/>
            </w:r>
            <w:r>
              <w:rPr>
                <w:rStyle w:val="Text7"/>
              </w:rPr>
              <w:t xml:space="preserve">(</w:t>
              <w:br w:clear="none"/>
              <w:t xml:space="preserve">[</w:t>
              <w:br w:clear="none"/>
            </w:r>
            <w:r>
              <w:t xml:space="preserve">0.1</w:t>
              <w:br w:clear="none"/>
            </w:r>
            <w:r>
              <w:rPr>
                <w:rStyle w:val="Text7"/>
              </w:rPr>
              <w:t xml:space="preserve">,</w:t>
              <w:br w:clear="none"/>
            </w:r>
            <w:r>
              <w:rPr>
                <w:rStyle w:val="Text6"/>
              </w:rPr>
              <w:t xml:space="preserve"> </w:t>
              <w:br w:clear="none"/>
            </w:r>
            <w:r>
              <w:t xml:space="preserve">0.2</w:t>
              <w:br w:clear="none"/>
            </w:r>
            <w:r>
              <w:rPr>
                <w:rStyle w:val="Text7"/>
              </w:rPr>
              <w:t xml:space="preserve">,</w:t>
              <w:br w:clear="none"/>
            </w:r>
            <w:r>
              <w:rPr>
                <w:rStyle w:val="Text6"/>
              </w:rPr>
              <w:t xml:space="preserve"> </w:t>
              <w:br w:clear="none"/>
            </w:r>
            <w:r>
              <w:t xml:space="preserve">0.3</w:t>
              <w:br w:clear="none"/>
            </w:r>
            <w:r>
              <w:rPr>
                <w:rStyle w:val="Text7"/>
              </w:rPr>
              <w:t xml:space="preserve">]</w:t>
              <w:br w:clear="none"/>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fail</w:t>
            </w:r>
          </w:p>
        </w:tc>
        <w:tc>
          <w:tcPr>
            <w:tcW w:type="auto" w:w="0"/>
            <w:shd w:val="clear" w:color="auto" w:fill="EEF2F6"/>
            <w:tcMar>
              <w:left w:type="dxa" w:w="200"/>
              <w:top w:type="dxa" w:w="200"/>
              <w:right w:type="dxa" w:w="200"/>
              <w:bottom w:type="dxa" w:w="200"/>
            </w:tcMar>
          </w:tcPr>
          <w:p>
            <w:pPr>
              <w:pStyle w:val="Para 002"/>
            </w:pPr>
            <w:r>
              <w:rPr>
                <w:rStyle w:val="Text0"/>
              </w:rPr>
              <w:t>fail(</w:t>
            </w:r>
            <w:r>
              <w:rPr>
                <w:rStyle w:val="Text3"/>
              </w:rPr>
              <w:t>failure_reason</w:t>
            </w:r>
            <w:r>
              <w:rPr>
                <w:rStyle w:val="Text0"/>
              </w:rPr>
              <w:t>)</w:t>
              <w:br w:clear="none"/>
            </w:r>
            <w:r>
              <w:t xml:space="preserve"> Forces failure of the current test. More explicit than injecting an </w:t>
            </w:r>
            <w:r>
              <w:rPr>
                <w:rStyle w:val="Text5"/>
              </w:rPr>
              <w:t>assert False</w:t>
            </w:r>
            <w:r>
              <w:t xml:space="preserve"> statement, but otherwise equivalent.</w:t>
            </w:r>
          </w:p>
        </w:tc>
      </w:tr>
    </w:tbl>
    <w:tbl>
      <w:tblPr>
        <w:tblW w:type="auto" w:w="0"/>
      </w:tblPr>
      <w:tr>
        <w:tc>
          <w:tcPr>
            <w:tcW w:type="auto" w:w="0"/>
            <w:tcMar>
              <w:left w:type="dxa" w:w="200"/>
              <w:top w:type="dxa" w:w="200"/>
              <w:right w:type="dxa" w:w="200"/>
              <w:bottom w:type="dxa" w:w="200"/>
            </w:tcMar>
          </w:tcPr>
          <w:p>
            <w:pPr>
              <w:pStyle w:val="Para 001"/>
            </w:pPr>
            <w:r>
              <w:t>raises</w:t>
            </w:r>
          </w:p>
        </w:tc>
        <w:tc>
          <w:tcPr>
            <w:tcW w:type="auto" w:w="0"/>
            <w:tcMar>
              <w:left w:type="dxa" w:w="200"/>
              <w:top w:type="dxa" w:w="200"/>
              <w:right w:type="dxa" w:w="200"/>
              <w:bottom w:type="dxa" w:w="200"/>
            </w:tcMar>
          </w:tcPr>
          <w:p>
            <w:pPr>
              <w:pStyle w:val="Para 002"/>
            </w:pPr>
            <w:r>
              <w:rPr>
                <w:rStyle w:val="Text0"/>
              </w:rPr>
              <w:t>raises(</w:t>
            </w:r>
            <w:r>
              <w:rPr>
                <w:rStyle w:val="Text3"/>
              </w:rPr>
              <w:t>expected_exception</w:t>
            </w:r>
            <w:r>
              <w:rPr>
                <w:rStyle w:val="Text0"/>
              </w:rPr>
              <w:t>, match=regex_match)</w:t>
              <w:br w:clear="none"/>
            </w:r>
            <w:r>
              <w:t xml:space="preserve"> A context manager that fails unless its context raises an exception </w:t>
            </w:r>
            <w:r>
              <w:rPr>
                <w:rStyle w:val="Text3"/>
              </w:rPr>
              <w:t>exc</w:t>
            </w:r>
            <w:r>
              <w:t xml:space="preserve"> such that </w:t>
            </w:r>
            <w:r>
              <w:rPr>
                <w:rStyle w:val="Text0"/>
              </w:rPr>
              <w:t>isinstance(</w:t>
            </w:r>
            <w:r>
              <w:rPr>
                <w:rStyle w:val="Text3"/>
              </w:rPr>
              <w:t>exc</w:t>
            </w:r>
            <w:r>
              <w:rPr>
                <w:rStyle w:val="Text0"/>
              </w:rPr>
              <w:t>,</w:t>
            </w:r>
            <w:r>
              <w:t xml:space="preserve"> </w:t>
            </w:r>
            <w:r>
              <w:rPr>
                <w:rStyle w:val="Text3"/>
              </w:rPr>
              <w:t>expected_exception</w:t>
            </w:r>
            <w:r>
              <w:rPr>
                <w:rStyle w:val="Text0"/>
              </w:rPr>
              <w:t>)</w:t>
            </w:r>
            <w:r>
              <w:t xml:space="preserve"> is true. When </w:t>
            </w:r>
            <w:r>
              <w:rPr>
                <w:rStyle w:val="Text0"/>
              </w:rPr>
              <w:t>match</w:t>
            </w:r>
            <w:r>
              <w:t xml:space="preserve"> is given, the test fails unless </w:t>
            </w:r>
            <w:r>
              <w:rPr>
                <w:rStyle w:val="Text3"/>
              </w:rPr>
              <w:t>exc</w:t>
            </w:r>
            <w:r>
              <w:t xml:space="preserve">’s </w:t>
            </w:r>
            <w:r>
              <w:rPr>
                <w:rStyle w:val="Text0"/>
              </w:rPr>
              <w:t>str</w:t>
            </w:r>
            <w:r>
              <w:t xml:space="preserve"> representation also matches </w:t>
            </w:r>
            <w:r>
              <w:rPr>
                <w:rStyle w:val="Text0"/>
              </w:rPr>
              <w:t>re.search(match, str(</w:t>
            </w:r>
            <w:r>
              <w:rPr>
                <w:rStyle w:val="Text3"/>
              </w:rPr>
              <w:t>exc</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skip</w:t>
            </w:r>
          </w:p>
        </w:tc>
        <w:tc>
          <w:tcPr>
            <w:tcW w:type="auto" w:w="0"/>
            <w:shd w:val="clear" w:color="auto" w:fill="EEF2F6"/>
            <w:tcMar>
              <w:left w:type="dxa" w:w="200"/>
              <w:top w:type="dxa" w:w="200"/>
              <w:right w:type="dxa" w:w="200"/>
              <w:bottom w:type="dxa" w:w="200"/>
            </w:tcMar>
          </w:tcPr>
          <w:p>
            <w:pPr>
              <w:pStyle w:val="Para 002"/>
            </w:pPr>
            <w:r>
              <w:rPr>
                <w:rStyle w:val="Text0"/>
              </w:rPr>
              <w:t>skip(</w:t>
            </w:r>
            <w:r>
              <w:rPr>
                <w:rStyle w:val="Text3"/>
              </w:rPr>
              <w:t>skip_reason</w:t>
            </w:r>
            <w:r>
              <w:rPr>
                <w:rStyle w:val="Text0"/>
              </w:rPr>
              <w:t>)</w:t>
              <w:br w:clear="none"/>
            </w:r>
            <w:r>
              <w:t xml:space="preserve"> Forces skipping of the current test; use this, for example, when a test is dependent on a previous test that has already failed.</w:t>
            </w:r>
          </w:p>
        </w:tc>
      </w:tr>
    </w:tbl>
    <w:tbl>
      <w:tblPr>
        <w:tblW w:type="auto" w:w="0"/>
      </w:tblPr>
      <w:tr>
        <w:tc>
          <w:tcPr>
            <w:tcW w:type="auto" w:w="0"/>
            <w:tcMar>
              <w:left w:type="dxa" w:w="200"/>
              <w:top w:type="dxa" w:w="200"/>
              <w:right w:type="dxa" w:w="200"/>
              <w:bottom w:type="dxa" w:w="200"/>
            </w:tcMar>
          </w:tcPr>
          <w:p>
            <w:pPr>
              <w:pStyle w:val="Para 001"/>
            </w:pPr>
            <w:r>
              <w:t>warns</w:t>
            </w:r>
          </w:p>
        </w:tc>
        <w:tc>
          <w:tcPr>
            <w:tcW w:type="auto" w:w="0"/>
            <w:tcMar>
              <w:left w:type="dxa" w:w="200"/>
              <w:top w:type="dxa" w:w="200"/>
              <w:right w:type="dxa" w:w="200"/>
              <w:bottom w:type="dxa" w:w="200"/>
            </w:tcMar>
          </w:tcPr>
          <w:p>
            <w:pPr>
              <w:pStyle w:val="Para 002"/>
            </w:pPr>
            <w:r>
              <w:rPr>
                <w:rStyle w:val="Text0"/>
              </w:rPr>
              <w:t>warns(</w:t>
            </w:r>
            <w:r>
              <w:rPr>
                <w:rStyle w:val="Text3"/>
              </w:rPr>
              <w:t>expected_warning</w:t>
            </w:r>
            <w:r>
              <w:rPr>
                <w:rStyle w:val="Text0"/>
              </w:rPr>
              <w:t>, match</w:t>
            </w:r>
            <w:r>
              <w:rPr>
                <w:rStyle w:val="Text3"/>
              </w:rPr>
              <w:t>=regex_match</w:t>
            </w:r>
            <w:r>
              <w:rPr>
                <w:rStyle w:val="Text0"/>
              </w:rPr>
              <w:t>)</w:t>
              <w:br w:clear="none"/>
            </w:r>
            <w:r>
              <w:t xml:space="preserve"> Similar to </w:t>
            </w:r>
            <w:r>
              <w:rPr>
                <w:rStyle w:val="Text3"/>
              </w:rPr>
              <w:t>raises</w:t>
            </w:r>
            <w:r>
              <w:t>; used to wrap code that tests that an expected warning is raised.</w:t>
            </w:r>
          </w:p>
        </w:tc>
      </w:tr>
    </w:tbl>
    <w:p>
      <w:pPr>
        <w:pStyle w:val="Normal"/>
      </w:pPr>
      <w:r>
        <w:t xml:space="preserve">The </w:t>
      </w:r>
      <w:r>
        <w:rPr>
          <w:rStyle w:val="Text0"/>
        </w:rPr>
        <w:t>pytest.mark</w:t>
      </w:r>
      <w:r>
        <w:t xml:space="preserve"> subpackage includes decorators to “mark” test methods with additional test behavior, including the ones listed in </w:t>
      </w:r>
      <w:hyperlink w:anchor="Table_17_4__Decorators_in_the_py">
        <w:r>
          <w:rPr>
            <w:rStyle w:val="Text1"/>
          </w:rPr>
          <w:t>Table 17-4</w:t>
        </w:r>
      </w:hyperlink>
      <w:r>
        <w:t>.</w:t>
      </w:r>
    </w:p>
    <w:tbl>
      <w:tblPr>
        <w:tblW w:type="auto" w:w="0"/>
      </w:tblPr>
      <w:tr>
        <w:tc>
          <w:tcPr>
            <w:tcW w:type="auto" w:w="0"/>
            <w:tcMar>
              <w:left w:type="dxa" w:w="200"/>
              <w:top w:type="dxa" w:w="200"/>
              <w:right w:type="dxa" w:w="200"/>
              <w:bottom w:type="dxa" w:w="200"/>
            </w:tcMar>
          </w:tcPr>
          <w:p>
            <w:bookmarkStart w:id="3751" w:name="Table_17_4__Decorators_in_the_py"/>
            <w:pPr>
              <w:pStyle w:val="Para 011"/>
            </w:pPr>
            <w:r>
              <w:rPr>
                <w:rStyle w:val="Text117"/>
              </w:rPr>
              <w:t/>
            </w:r>
            <w:r>
              <w:t xml:space="preserve">Table 17-4. </w:t>
              <w:t xml:space="preserve">Decorators in the </w:t>
            </w:r>
            <w:r>
              <w:rPr>
                <w:rStyle w:val="Text0"/>
              </w:rPr>
              <w:t>pytest.mark</w:t>
            </w:r>
            <w:r>
              <w:t xml:space="preserve"> subpackage</w:t>
            </w:r>
            <w:bookmarkEnd w:id="3751"/>
          </w:p>
          <w:p>
            <w:pPr>
              <w:pStyle w:val="Para 001"/>
            </w:pPr>
            <w:r>
              <w:t>parametrize</w:t>
            </w:r>
          </w:p>
        </w:tc>
        <w:tc>
          <w:tcPr>
            <w:tcW w:type="auto" w:w="0"/>
            <w:tcMar>
              <w:left w:type="dxa" w:w="200"/>
              <w:top w:type="dxa" w:w="200"/>
              <w:right w:type="dxa" w:w="200"/>
              <w:bottom w:type="dxa" w:w="200"/>
            </w:tcMar>
          </w:tcPr>
          <w:p>
            <w:pPr>
              <w:pStyle w:val="Para 002"/>
            </w:pPr>
            <w:r>
              <w:rPr>
                <w:rStyle w:val="Text0"/>
              </w:rPr>
              <w:t>@parametrize(</w:t>
            </w:r>
            <w:r>
              <w:rPr>
                <w:rStyle w:val="Text3"/>
              </w:rPr>
              <w:t>args_string</w:t>
            </w:r>
            <w:r>
              <w:rPr>
                <w:rStyle w:val="Text0"/>
              </w:rPr>
              <w:t>,</w:t>
            </w:r>
            <w:r>
              <w:t xml:space="preserve"> </w:t>
            </w:r>
            <w:r>
              <w:rPr>
                <w:rStyle w:val="Text3"/>
              </w:rPr>
              <w:t>arg_test_values</w:t>
            </w:r>
            <w:r>
              <w:rPr>
                <w:rStyle w:val="Text0"/>
              </w:rPr>
              <w:t>)</w:t>
              <w:br w:clear="none"/>
            </w:r>
            <w:r>
              <w:t xml:space="preserve"> Calls the decorated test method, setting the arguments named in the comma-separated list </w:t>
            </w:r>
            <w:r>
              <w:rPr>
                <w:rStyle w:val="Text3"/>
              </w:rPr>
              <w:t>args_string</w:t>
            </w:r>
            <w:r>
              <w:t xml:space="preserve"> to the values from each argument tuple in </w:t>
            </w:r>
            <w:r>
              <w:rPr>
                <w:rStyle w:val="Text3"/>
              </w:rPr>
              <w:t>arg_test_values</w:t>
            </w:r>
            <w:r>
              <w:t>.</w:t>
              <w:br w:clear="none"/>
              <w:t xml:space="preserve"> The following code runs </w:t>
            </w:r>
            <w:r>
              <w:rPr>
                <w:rStyle w:val="Text0"/>
              </w:rPr>
              <w:t>test_is_greater</w:t>
            </w:r>
            <w:r>
              <w:t xml:space="preserve"> twice, once with </w:t>
            </w:r>
            <w:r>
              <w:rPr>
                <w:rStyle w:val="Text0"/>
              </w:rPr>
              <w:t>x=1</w:t>
            </w:r>
            <w:r>
              <w:t xml:space="preserve">, </w:t>
            </w:r>
            <w:r>
              <w:rPr>
                <w:rStyle w:val="Text0"/>
              </w:rPr>
              <w:t>y=0</w:t>
            </w:r>
            <w:r>
              <w:t xml:space="preserve">, and </w:t>
            </w:r>
            <w:r>
              <w:rPr>
                <w:rStyle w:val="Text0"/>
              </w:rPr>
              <w:t>expected=</w:t>
            </w:r>
            <w:r>
              <w:rPr>
                <w:rStyle w:val="Text5"/>
              </w:rPr>
              <w:t>True</w:t>
            </w:r>
            <w:r>
              <w:t xml:space="preserve">; and once with </w:t>
            </w:r>
            <w:r>
              <w:rPr>
                <w:rStyle w:val="Text0"/>
              </w:rPr>
              <w:t>x=0</w:t>
            </w:r>
            <w:r>
              <w:t xml:space="preserve">, </w:t>
            </w:r>
            <w:r>
              <w:rPr>
                <w:rStyle w:val="Text0"/>
              </w:rPr>
              <w:t>y=1</w:t>
            </w:r>
            <w:r>
              <w:t>, and</w:t>
            </w:r>
            <w:r>
              <w:rPr>
                <w:rStyle w:val="Text111"/>
              </w:rPr>
              <w:bookmarkStart w:id="3752" w:name="idm45965182542400"/>
              <w:t/>
              <w:bookmarkEnd w:id="3752"/>
            </w:r>
            <w:r>
              <w:t xml:space="preserve"> </w:t>
            </w:r>
            <w:r>
              <w:rPr>
                <w:rStyle w:val="Text0"/>
              </w:rPr>
              <w:t>expected=</w:t>
            </w:r>
            <w:r>
              <w:rPr>
                <w:rStyle w:val="Text5"/>
              </w:rPr>
              <w:t>False</w:t>
            </w:r>
            <w:r>
              <w:t xml:space="preserve">. </w:t>
            </w:r>
          </w:p>
          <w:p>
            <w:pPr>
              <w:pStyle w:val="Para 025"/>
            </w:pPr>
            <w:r>
              <w:rPr>
                <w:rStyle w:val="Text23"/>
              </w:rPr>
              <w:t xml:space="preserve"/>
              <w:br w:clear="none"/>
            </w:r>
            <w:r>
              <w:rPr>
                <w:rStyle w:val="Text44"/>
              </w:rPr>
              <w:t xml:space="preserve">@pytest</w:t>
              <w:br w:clear="none"/>
            </w:r>
            <w:r>
              <w:rPr>
                <w:rStyle w:val="Text13"/>
              </w:rPr>
              <w:t xml:space="preserve">.</w:t>
              <w:br w:clear="none"/>
            </w:r>
            <w:r>
              <w:t xml:space="preserve">mark</w:t>
              <w:br w:clear="none"/>
            </w:r>
            <w:r>
              <w:rPr>
                <w:rStyle w:val="Text13"/>
              </w:rPr>
              <w:t xml:space="preserve">.</w:t>
              <w:br w:clear="none"/>
            </w:r>
            <w:r>
              <w:t xml:space="preserve">parametrize</w:t>
              <w:br w:clear="none"/>
            </w:r>
            <w:r>
              <w:rPr>
                <w:rStyle w:val="Text6"/>
              </w:rPr>
              <w:t xml:space="preserve"/>
              <w:br w:clear="none"/>
            </w:r>
            <w:r>
              <w:rPr>
                <w:rStyle w:val="Text7"/>
              </w:rPr>
              <w:t xml:space="preserve">(</w:t>
              <w:br w:clear="none"/>
            </w:r>
            <w:r>
              <w:rPr>
                <w:rStyle w:val="Text8"/>
              </w:rPr>
              <w:t xml:space="preserve">"</w:t>
              <w:br w:clear="none"/>
              <w:t xml:space="preserve">x,y,expected</w:t>
              <w:br w:clear="none"/>
              <w:t xml:space="preserve">"</w:t>
              <w:br w:clear="none"/>
            </w:r>
            <w:r>
              <w:rPr>
                <w:rStyle w:val="Text7"/>
              </w:rPr>
              <w:t xml:space="preserve">,</w:t>
              <w:br w:clear="none"/>
            </w:r>
            <w:r>
              <w:rPr>
                <w:rStyle w:val="Text6"/>
              </w:rPr>
              <w:t xml:space="preserve"> </w:t>
              <w:br w:clear="none"/>
              <w:t xml:space="preserve"/>
              <w:br w:clear="none"/>
              <w:t xml:space="preserve"> </w:t>
              <w:br w:clear="none"/>
            </w:r>
            <w:r>
              <w:rPr>
                <w:rStyle w:val="Text7"/>
              </w:rPr>
              <w:t xml:space="preserve">[</w:t>
              <w:br w:clear="none"/>
              <w:t xml:space="preserve">(</w:t>
              <w:br w:clear="none"/>
            </w:r>
            <w:r>
              <w:rPr>
                <w:rStyle w:val="Text27"/>
              </w:rPr>
              <w:t xml:space="preserve">1</w:t>
              <w:br w:clear="none"/>
            </w:r>
            <w:r>
              <w:rPr>
                <w:rStyle w:val="Text7"/>
              </w:rPr>
              <w:t xml:space="preserve">,</w:t>
              <w:br w:clear="none"/>
            </w:r>
            <w:r>
              <w:rPr>
                <w:rStyle w:val="Text6"/>
              </w:rPr>
              <w:t xml:space="preserve"> </w:t>
              <w:br w:clear="none"/>
            </w:r>
            <w:r>
              <w:rPr>
                <w:rStyle w:val="Text27"/>
              </w:rPr>
              <w:t xml:space="preserve">0</w:t>
              <w:br w:clear="none"/>
            </w:r>
            <w:r>
              <w:rPr>
                <w:rStyle w:val="Text7"/>
              </w:rPr>
              <w:t xml:space="preserve">,</w:t>
              <w:br w:clear="none"/>
            </w:r>
            <w:r>
              <w:rPr>
                <w:rStyle w:val="Text6"/>
              </w:rPr>
              <w:t xml:space="preserve"> </w:t>
              <w:br w:clear="none"/>
            </w:r>
            <w:r>
              <w:rPr>
                <w:rStyle w:val="Text10"/>
              </w:rPr>
              <w:t xml:space="preserve">True</w:t>
              <w:br w:clear="none"/>
            </w:r>
            <w:r>
              <w:rPr>
                <w:rStyle w:val="Text7"/>
              </w:rPr>
              <w:t xml:space="preserve">)</w:t>
              <w:br w:clear="none"/>
              <w:t xml:space="preserve">,</w:t>
              <w:br w:clear="none"/>
            </w:r>
            <w:r>
              <w:rPr>
                <w:rStyle w:val="Text6"/>
              </w:rPr>
              <w:t xml:space="preserve"> </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t>
              <w:br w:clear="none"/>
            </w:r>
            <w:r>
              <w:rPr>
                <w:rStyle w:val="Text27"/>
              </w:rPr>
              <w:t xml:space="preserve">1</w:t>
              <w:br w:clear="none"/>
            </w:r>
            <w:r>
              <w:rPr>
                <w:rStyle w:val="Text7"/>
              </w:rPr>
              <w:t xml:space="preserve">,</w:t>
              <w:br w:clear="none"/>
            </w:r>
            <w:r>
              <w:rPr>
                <w:rStyle w:val="Text6"/>
              </w:rPr>
              <w:t xml:space="preserve"> </w:t>
              <w:br w:clear="none"/>
            </w:r>
            <w:r>
              <w:rPr>
                <w:rStyle w:val="Text10"/>
              </w:rPr>
              <w:t xml:space="preserve">False</w:t>
              <w:br w:clear="none"/>
            </w:r>
            <w:r>
              <w:rPr>
                <w:rStyle w:val="Text7"/>
              </w:rPr>
              <w:t xml:space="preserve">)</w:t>
              <w:br w:clear="none"/>
              <w:t xml:space="preserve">]</w:t>
              <w:br w:clear="none"/>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test_is_greater</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y</w:t>
              <w:br w:clear="none"/>
            </w:r>
            <w:r>
              <w:rPr>
                <w:rStyle w:val="Text7"/>
              </w:rPr>
              <w:t xml:space="preserve">,</w:t>
              <w:br w:clear="none"/>
            </w:r>
            <w:r>
              <w:rPr>
                <w:rStyle w:val="Text6"/>
              </w:rPr>
              <w:t xml:space="preserve"> </w:t>
              <w:br w:clear="none"/>
            </w:r>
            <w:r>
              <w:t xml:space="preserve">expected</w:t>
              <w:br w:clear="none"/>
            </w:r>
            <w:r>
              <w:rPr>
                <w:rStyle w:val="Text7"/>
              </w:rPr>
              <w:t xml:space="preserve">)</w:t>
              <w:br w:clear="none"/>
              <w:t xml:space="preserve">:</w:t>
              <w:br w:clear="none"/>
            </w:r>
            <w:r>
              <w:rPr>
                <w:rStyle w:val="Text6"/>
              </w:rPr>
              <w:t xml:space="preserve"/>
              <w:br w:clear="none"/>
            </w:r>
            <w:r>
              <w:rPr>
                <w:rStyle w:val="Text10"/>
              </w:rPr>
              <w:t xml:space="preserve">assert</w:t>
              <w:br w:clear="none"/>
            </w:r>
            <w:r>
              <w:rPr>
                <w:rStyle w:val="Text6"/>
              </w:rPr>
              <w:t xml:space="preserve"> </w:t>
              <w:br w:clear="none"/>
            </w:r>
            <w:r>
              <w:rPr>
                <w:rStyle w:val="Text7"/>
              </w:rPr>
              <w:t xml:space="preserve">(</w:t>
              <w:br w:clear="none"/>
            </w:r>
            <w:r>
              <w:t xml:space="preserve">x</w:t>
              <w:br w:clear="none"/>
            </w:r>
            <w:r>
              <w:rPr>
                <w:rStyle w:val="Text6"/>
              </w:rPr>
              <w:t xml:space="preserve"> </w:t>
              <w:br w:clear="none"/>
            </w:r>
            <w:r>
              <w:rPr>
                <w:rStyle w:val="Text13"/>
              </w:rPr>
              <w:t xml:space="preserve">&gt;</w:t>
              <w:br w:clear="none"/>
            </w:r>
            <w:r>
              <w:rPr>
                <w:rStyle w:val="Text6"/>
              </w:rPr>
              <w:t xml:space="preserve"> </w:t>
              <w:br w:clear="none"/>
            </w:r>
            <w:r>
              <w:t xml:space="preserve">y</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expected</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skip</w:t>
            </w:r>
            <w:r>
              <w:rPr>
                <w:rStyle w:val="Text12"/>
              </w:rPr>
              <w:t>,</w:t>
              <w:br w:clear="none"/>
              <w:t xml:space="preserve"> </w:t>
            </w:r>
            <w:r>
              <w:t>skipif</w:t>
            </w:r>
          </w:p>
        </w:tc>
        <w:tc>
          <w:tcPr>
            <w:tcW w:type="auto" w:w="0"/>
            <w:shd w:val="clear" w:color="auto" w:fill="EEF2F6"/>
            <w:tcMar>
              <w:left w:type="dxa" w:w="200"/>
              <w:top w:type="dxa" w:w="200"/>
              <w:right w:type="dxa" w:w="200"/>
              <w:bottom w:type="dxa" w:w="200"/>
            </w:tcMar>
          </w:tcPr>
          <w:p>
            <w:pPr>
              <w:pStyle w:val="Para 002"/>
            </w:pPr>
            <w:r>
              <w:rPr>
                <w:rStyle w:val="Text0"/>
              </w:rPr>
              <w:t>@skip(</w:t>
            </w:r>
            <w:r>
              <w:rPr>
                <w:rStyle w:val="Text3"/>
              </w:rPr>
              <w:t>skip_reason</w:t>
            </w:r>
            <w:r>
              <w:rPr>
                <w:rStyle w:val="Text0"/>
              </w:rPr>
              <w:t>)</w:t>
            </w:r>
            <w:r>
              <w:t>,</w:t>
              <w:br w:clear="none"/>
              <w:t xml:space="preserve"> </w:t>
            </w:r>
            <w:r>
              <w:rPr>
                <w:rStyle w:val="Text0"/>
              </w:rPr>
              <w:t>@skipif(</w:t>
            </w:r>
            <w:r>
              <w:rPr>
                <w:rStyle w:val="Text3"/>
              </w:rPr>
              <w:t>condition</w:t>
            </w:r>
            <w:r>
              <w:rPr>
                <w:rStyle w:val="Text0"/>
              </w:rPr>
              <w:t>,</w:t>
            </w:r>
            <w:r>
              <w:t xml:space="preserve"> </w:t>
            </w:r>
            <w:r>
              <w:rPr>
                <w:rStyle w:val="Text3"/>
              </w:rPr>
              <w:t>skip_reason</w:t>
            </w:r>
            <w:r>
              <w:rPr>
                <w:rStyle w:val="Text0"/>
              </w:rPr>
              <w:t>)</w:t>
              <w:br w:clear="none"/>
            </w:r>
            <w:r>
              <w:t xml:space="preserve"> Skip a test method, optionally based on some global condition.</w:t>
            </w:r>
          </w:p>
        </w:tc>
      </w:tr>
    </w:tbl>
    <w:p>
      <w:bookmarkStart w:id="3753" w:name="Debugging__Since_Python_s_develo"/>
      <w:pPr>
        <w:keepNext/>
        <w:pStyle w:val="Heading 1"/>
      </w:pPr>
      <w:r>
        <w:t>Debugging</w:t>
      </w:r>
      <w:bookmarkEnd w:id="3753"/>
    </w:p>
    <w:p>
      <w:pPr>
        <w:pStyle w:val="Normal"/>
      </w:pPr>
      <w:r>
        <w:t>Since</w:t>
      </w:r>
      <w:r>
        <w:rPr>
          <w:rStyle w:val="Text111"/>
        </w:rPr>
        <w:bookmarkStart w:id="3754" w:name="idm45965182481776"/>
        <w:t/>
        <w:bookmarkEnd w:id="3754"/>
      </w:r>
      <w:r>
        <w:t xml:space="preserve"> Python’s development cycle is fast, the most effective way to debug is often to edit your code to output relevant information at key points. Python has many ways to let your code explore its own state to extract information that may be relevant for debugging. The </w:t>
      </w:r>
      <w:r>
        <w:rPr>
          <w:rStyle w:val="Text0"/>
        </w:rPr>
        <w:t>inspect</w:t>
      </w:r>
      <w:r>
        <w:t xml:space="preserve"> and </w:t>
      </w:r>
      <w:r>
        <w:rPr>
          <w:rStyle w:val="Text0"/>
        </w:rPr>
        <w:t>traceback</w:t>
      </w:r>
      <w:r>
        <w:t xml:space="preserve"> modules specifically support such exploration, which is also known as</w:t>
      </w:r>
      <w:r>
        <w:rPr>
          <w:rStyle w:val="Text111"/>
        </w:rPr>
        <w:bookmarkStart w:id="3755" w:name="idm45965182447280"/>
        <w:t/>
        <w:bookmarkEnd w:id="3755"/>
        <w:bookmarkStart w:id="3756" w:name="idm45965182446304"/>
        <w:t/>
        <w:bookmarkEnd w:id="3756"/>
      </w:r>
      <w:r>
        <w:t xml:space="preserve"> </w:t>
      </w:r>
      <w:r>
        <w:rPr>
          <w:rStyle w:val="Text4"/>
        </w:rPr>
        <w:t>reflection</w:t>
      </w:r>
      <w:r>
        <w:t xml:space="preserve"> or </w:t>
      </w:r>
      <w:r>
        <w:rPr>
          <w:rStyle w:val="Text4"/>
        </w:rPr>
        <w:t>introspection</w:t>
      </w:r>
      <w:r>
        <w:t>.</w:t>
      </w:r>
    </w:p>
    <w:p>
      <w:pPr>
        <w:pStyle w:val="Normal"/>
      </w:pPr>
      <w:r>
        <w:t>Once</w:t>
      </w:r>
      <w:r>
        <w:rPr>
          <w:rStyle w:val="Text111"/>
        </w:rPr>
        <w:bookmarkStart w:id="3757" w:name="idm45965182443984"/>
        <w:t/>
        <w:bookmarkEnd w:id="3757"/>
        <w:bookmarkStart w:id="3758" w:name="idm45965182442224"/>
        <w:t/>
        <w:bookmarkEnd w:id="3758"/>
      </w:r>
      <w:r>
        <w:t xml:space="preserve"> you have debugging-relevant information, </w:t>
      </w:r>
      <w:r>
        <w:rPr>
          <w:rStyle w:val="Text0"/>
        </w:rPr>
        <w:t>print</w:t>
      </w:r>
      <w:r>
        <w:t xml:space="preserve"> is often the natural way to display it (</w:t>
      </w:r>
      <w:r>
        <w:rPr>
          <w:rStyle w:val="Text0"/>
        </w:rPr>
        <w:t>pprint</w:t>
      </w:r>
      <w:r>
        <w:t xml:space="preserve">, covered in </w:t>
      </w:r>
      <w:hyperlink w:anchor="The_pprint_Module__The_pprint_mo">
        <w:r>
          <w:rPr>
            <w:rStyle w:val="Text1"/>
          </w:rPr>
          <w:t>“The pprint Module”</w:t>
        </w:r>
      </w:hyperlink>
      <w:r>
        <w:t xml:space="preserve">, is also often a good choice). However, it’s frequently even better to </w:t>
      </w:r>
      <w:r>
        <w:rPr>
          <w:rStyle w:val="Text4"/>
        </w:rPr>
        <w:t>log</w:t>
      </w:r>
      <w:r>
        <w:t xml:space="preserve"> debugging information to files. Logging is useful for programs that run unattended (e.g., server programs). Displaying debugging information is just like displaying other information, as covered in </w:t>
      </w:r>
      <w:hyperlink w:anchor="Chapter_11__File_and_Text_Operat_2">
        <w:r>
          <w:rPr>
            <w:rStyle w:val="Text1"/>
          </w:rPr>
          <w:t>Chapter 11</w:t>
        </w:r>
      </w:hyperlink>
      <w:r>
        <w:t xml:space="preserve">. Logging such information is like writing to files (covered in the same chapter); however, Python’s standard library supplies a </w:t>
      </w:r>
      <w:r>
        <w:rPr>
          <w:rStyle w:val="Text0"/>
        </w:rPr>
        <w:t>logging</w:t>
      </w:r>
      <w:r>
        <w:t xml:space="preserve"> module, covered in </w:t>
      </w:r>
      <w:hyperlink w:anchor="The_logging_module__The_Python_s">
        <w:r>
          <w:rPr>
            <w:rStyle w:val="Text1"/>
          </w:rPr>
          <w:t>“The logging module”</w:t>
        </w:r>
      </w:hyperlink>
      <w:r>
        <w:t xml:space="preserve">, to help with this frequent task. As covered in </w:t>
      </w:r>
      <w:hyperlink w:anchor="Table_8_3__Functions_and_attribu">
        <w:r>
          <w:rPr>
            <w:rStyle w:val="Text1"/>
          </w:rPr>
          <w:t>Table 8-3</w:t>
        </w:r>
      </w:hyperlink>
      <w:r>
        <w:t xml:space="preserve">, rebinding </w:t>
      </w:r>
      <w:r>
        <w:rPr>
          <w:rStyle w:val="Text0"/>
        </w:rPr>
        <w:t>excepthook</w:t>
      </w:r>
      <w:r>
        <w:t xml:space="preserve"> in the module </w:t>
      </w:r>
      <w:r>
        <w:rPr>
          <w:rStyle w:val="Text0"/>
        </w:rPr>
        <w:t>sys</w:t>
      </w:r>
      <w:r>
        <w:t xml:space="preserve"> lets your program log error info just before terminating with a propagating exception.</w:t>
      </w:r>
    </w:p>
    <w:p>
      <w:pPr>
        <w:pStyle w:val="Normal"/>
      </w:pPr>
      <w:r>
        <w:t xml:space="preserve">Python also offers hooks to enable interactive debugging. The </w:t>
      </w:r>
      <w:r>
        <w:rPr>
          <w:rStyle w:val="Text0"/>
        </w:rPr>
        <w:t>pdb</w:t>
      </w:r>
      <w:r>
        <w:t xml:space="preserve"> module supplies a simple text-mode interactive debugger. Other powerful interactive debuggers for Python are part of IDEs such as IDLE and various commercial offerings, as mentioned in </w:t>
      </w:r>
      <w:hyperlink w:anchor="Python_Development_Environments">
        <w:r>
          <w:rPr>
            <w:rStyle w:val="Text1"/>
          </w:rPr>
          <w:t>“Python Development Environments”</w:t>
        </w:r>
      </w:hyperlink>
      <w:r>
        <w:t>; we do not cover these advanced debuggers further in this book.</w:t>
      </w:r>
    </w:p>
    <w:p>
      <w:bookmarkStart w:id="3759" w:name="Before_You_Debug__Before_you_emb"/>
      <w:pPr>
        <w:keepNext/>
        <w:pStyle w:val="Heading 2"/>
      </w:pPr>
      <w:r>
        <w:t>Before You Debug</w:t>
      </w:r>
      <w:bookmarkEnd w:id="3759"/>
    </w:p>
    <w:p>
      <w:pPr>
        <w:pStyle w:val="Normal"/>
      </w:pPr>
      <w:r>
        <w:t>Before</w:t>
      </w:r>
      <w:r>
        <w:rPr>
          <w:rStyle w:val="Text111"/>
        </w:rPr>
        <w:bookmarkStart w:id="3760" w:name="idm45965182428576"/>
        <w:t/>
        <w:bookmarkEnd w:id="3760"/>
      </w:r>
      <w:r>
        <w:t xml:space="preserve"> you embark on lengthy debugging explorations, make sure you have thoroughly checked your Python sources with the</w:t>
      </w:r>
      <w:r>
        <w:rPr>
          <w:rStyle w:val="Text111"/>
        </w:rPr>
        <w:bookmarkStart w:id="3761" w:name="idm45965182426912"/>
        <w:t/>
        <w:bookmarkEnd w:id="3761"/>
      </w:r>
      <w:r>
        <w:t xml:space="preserve"> tools mentioned in </w:t>
      </w:r>
      <w:hyperlink w:anchor="Chapter_2__The_Python_Interprete_2">
        <w:r>
          <w:rPr>
            <w:rStyle w:val="Text1"/>
          </w:rPr>
          <w:t>Chapter 2</w:t>
        </w:r>
      </w:hyperlink>
      <w:r>
        <w:t>. Such tools catch only a subset of the bugs in your code, but they’re much faster than interactive debugging: their use amply pays for itself.</w:t>
      </w:r>
    </w:p>
    <w:p>
      <w:pPr>
        <w:pStyle w:val="Normal"/>
      </w:pPr>
      <w:r>
        <w:t xml:space="preserve">Moreover, again before starting a debugging session, make sure that all the code involved is well covered by unit tests, as described in </w:t>
      </w:r>
      <w:hyperlink w:anchor="The_unittest_Module__The_unittes">
        <w:r>
          <w:rPr>
            <w:rStyle w:val="Text1"/>
          </w:rPr>
          <w:t>“The unittest Module”</w:t>
        </w:r>
      </w:hyperlink>
      <w:r>
        <w:t xml:space="preserve">. As mentioned earlier in the chapter, once you have found a bug, </w:t>
      </w:r>
      <w:r>
        <w:rPr>
          <w:rStyle w:val="Text4"/>
        </w:rPr>
        <w:t>before</w:t>
      </w:r>
      <w:r>
        <w:t xml:space="preserve"> you fix it, add to your suite of unit tests (or, if need be, to the suite of system tests) a test or two that would have found the bug had they been present from the start, and run the tests again to confirm that they now reveal and isolate the bug; only once that is done should you proceed to fix the bug. Regularly following this procedure will help you learn to write better, more thorough tests, ensuring that you end up with a more robust test suite and have greater confidence in the overall, </w:t>
      </w:r>
      <w:r>
        <w:rPr>
          <w:rStyle w:val="Text4"/>
        </w:rPr>
        <w:t>enduring</w:t>
      </w:r>
      <w:r>
        <w:t xml:space="preserve"> correctness of your code.</w:t>
      </w:r>
    </w:p>
    <w:p>
      <w:pPr>
        <w:pStyle w:val="Normal"/>
      </w:pPr>
      <w:r>
        <w:t xml:space="preserve">Remember, even with all the facilities offered by Python, its standard library, and whatever IDE you fancy, debugging is still </w:t>
      </w:r>
      <w:r>
        <w:rPr>
          <w:rStyle w:val="Text4"/>
        </w:rPr>
        <w:t>hard</w:t>
      </w:r>
      <w:r>
        <w:t xml:space="preserve">. Take this into account even before you start designing and coding: write and run plenty of unit tests, and keep your design and code </w:t>
      </w:r>
      <w:r>
        <w:rPr>
          <w:rStyle w:val="Text4"/>
        </w:rPr>
        <w:t>simple</w:t>
      </w:r>
      <w:r>
        <w:t>, to reduce to the minimum the amount of debugging you will need! Brian Kernighan offers this classic advice: “Debugging is twice as hard as writing the code in the first place. Therefore, if you write the code as cleverly as you can, you are, by definition, not smart enough to debug it.” This is part of why “clever” is not a positive word when used to describe Python code, or a coder.</w:t>
      </w:r>
    </w:p>
    <w:p>
      <w:bookmarkStart w:id="3762" w:name="The_inspect_Module__The_inspect"/>
      <w:pPr>
        <w:keepNext/>
        <w:pStyle w:val="Heading 2"/>
      </w:pPr>
      <w:r>
        <w:t>The inspect Module</w:t>
      </w:r>
      <w:bookmarkEnd w:id="3762"/>
    </w:p>
    <w:p>
      <w:pPr>
        <w:pStyle w:val="Normal"/>
      </w:pPr>
      <w:r>
        <w:t>The</w:t>
      </w:r>
      <w:r>
        <w:rPr>
          <w:rStyle w:val="Text111"/>
        </w:rPr>
        <w:bookmarkStart w:id="3763" w:name="Dinspect17"/>
        <w:t/>
        <w:bookmarkEnd w:id="3763"/>
        <w:bookmarkStart w:id="3764" w:name="insmod17"/>
        <w:t/>
        <w:bookmarkEnd w:id="3764"/>
        <w:bookmarkStart w:id="3765" w:name="idm45965182415696"/>
        <w:t/>
        <w:bookmarkEnd w:id="3765"/>
      </w:r>
      <w:r>
        <w:t xml:space="preserve"> </w:t>
      </w:r>
      <w:r>
        <w:rPr>
          <w:rStyle w:val="Text0"/>
        </w:rPr>
        <w:t>inspect</w:t>
      </w:r>
      <w:r>
        <w:t xml:space="preserve"> module supplies functions to get information about all kinds of objects, including the Python call stack (which records all function calls currently executing) and source files. The most frequently used functions of </w:t>
      </w:r>
      <w:r>
        <w:rPr>
          <w:rStyle w:val="Text0"/>
        </w:rPr>
        <w:t>inspect</w:t>
      </w:r>
      <w:r>
        <w:t xml:space="preserve"> are listed in </w:t>
      </w:r>
      <w:hyperlink w:anchor="Table_17_5__Useful_functions_of">
        <w:r>
          <w:rPr>
            <w:rStyle w:val="Text1"/>
          </w:rPr>
          <w:t>Table 17-5</w:t>
        </w:r>
      </w:hyperlink>
      <w:r>
        <w:t>.</w:t>
      </w:r>
    </w:p>
    <w:tbl>
      <w:tblPr>
        <w:tblW w:type="auto" w:w="0"/>
      </w:tblPr>
      <w:tr>
        <w:tc>
          <w:tcPr>
            <w:tcW w:type="pct" w:w="1000"/>
            <w:tcMar>
              <w:left w:type="dxa" w:w="200"/>
              <w:top w:type="dxa" w:w="200"/>
              <w:right w:type="dxa" w:w="200"/>
              <w:bottom w:type="dxa" w:w="200"/>
            </w:tcMar>
          </w:tcPr>
          <w:p>
            <w:bookmarkStart w:id="3766" w:name="Table_17_5__Useful_functions_of"/>
            <w:pPr>
              <w:pStyle w:val="Para 011"/>
            </w:pPr>
            <w:r>
              <w:rPr>
                <w:rStyle w:val="Text117"/>
              </w:rPr>
              <w:t/>
            </w:r>
            <w:r>
              <w:t xml:space="preserve">Table 17-5. </w:t>
              <w:t xml:space="preserve">Useful functions of the </w:t>
            </w:r>
            <w:r>
              <w:rPr>
                <w:rStyle w:val="Text0"/>
              </w:rPr>
              <w:t>inspect</w:t>
            </w:r>
            <w:r>
              <w:t xml:space="preserve"> module</w:t>
            </w:r>
            <w:bookmarkEnd w:id="3766"/>
          </w:p>
          <w:p>
            <w:pPr>
              <w:pStyle w:val="Para 001"/>
            </w:pPr>
            <w:r>
              <w:t>currentframe</w:t>
            </w:r>
          </w:p>
        </w:tc>
        <w:tc>
          <w:tcPr>
            <w:tcW w:type="auto" w:w="0"/>
            <w:tcMar>
              <w:left w:type="dxa" w:w="200"/>
              <w:top w:type="dxa" w:w="200"/>
              <w:right w:type="dxa" w:w="200"/>
              <w:bottom w:type="dxa" w:w="200"/>
            </w:tcMar>
          </w:tcPr>
          <w:p>
            <w:pPr>
              <w:pStyle w:val="Para 002"/>
            </w:pPr>
            <w:r>
              <w:rPr>
                <w:rStyle w:val="Text0"/>
              </w:rPr>
              <w:t>currentframe()</w:t>
              <w:br w:clear="none"/>
            </w:r>
            <w:r>
              <w:t xml:space="preserve"> Returns</w:t>
            </w:r>
            <w:r>
              <w:rPr>
                <w:rStyle w:val="Text111"/>
              </w:rPr>
              <w:bookmarkStart w:id="3767" w:name="idm45965182406736"/>
              <w:t/>
              <w:bookmarkEnd w:id="3767"/>
            </w:r>
            <w:r>
              <w:t xml:space="preserve"> the frame object for the current function (the caller of </w:t>
            </w:r>
            <w:r>
              <w:rPr>
                <w:rStyle w:val="Text0"/>
              </w:rPr>
              <w:t>currentframe</w:t>
            </w:r>
            <w:r>
              <w:t xml:space="preserve">). </w:t>
            </w:r>
            <w:r>
              <w:rPr>
                <w:rStyle w:val="Text0"/>
              </w:rPr>
              <w:t>formatargvalues(*getargvalues(currentframe()))</w:t>
            </w:r>
            <w:r>
              <w:t>, for example, returns a string representing the arguments of the calling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getargspec</w:t>
            </w:r>
            <w:r>
              <w:rPr>
                <w:rStyle w:val="Text12"/>
              </w:rPr>
              <w:t>,</w:t>
              <w:br w:clear="none"/>
              <w:t xml:space="preserve"> </w:t>
            </w:r>
            <w:r>
              <w:t>formatargspec</w:t>
            </w:r>
          </w:p>
        </w:tc>
        <w:tc>
          <w:tcPr>
            <w:tcW w:type="auto" w:w="0"/>
            <w:shd w:val="clear" w:color="auto" w:fill="EEF2F6"/>
            <w:tcMar>
              <w:left w:type="dxa" w:w="200"/>
              <w:top w:type="dxa" w:w="200"/>
              <w:right w:type="dxa" w:w="200"/>
              <w:bottom w:type="dxa" w:w="200"/>
            </w:tcMar>
          </w:tcPr>
          <w:p>
            <w:pPr>
              <w:pStyle w:val="Para 002"/>
            </w:pPr>
            <w:r>
              <w:rPr>
                <w:rStyle w:val="Text0"/>
              </w:rPr>
              <w:t>getargspec(</w:t>
            </w:r>
            <w:r>
              <w:rPr>
                <w:rStyle w:val="Text3"/>
              </w:rPr>
              <w:t>f</w:t>
            </w:r>
            <w:r>
              <w:rPr>
                <w:rStyle w:val="Text0"/>
              </w:rPr>
              <w:t>)</w:t>
              <w:br w:clear="none"/>
            </w:r>
            <w:r>
              <w:t xml:space="preserve"> </w:t>
            </w:r>
            <w:r>
              <w:rPr>
                <w:rStyle w:val="Text34"/>
              </w:rPr>
              <w:t>-3.11</w:t>
            </w:r>
            <w:r>
              <w:t xml:space="preserve"> Deprecated</w:t>
            </w:r>
            <w:r>
              <w:rPr>
                <w:rStyle w:val="Text111"/>
              </w:rPr>
              <w:bookmarkStart w:id="3768" w:name="idm45965182399216"/>
              <w:t/>
              <w:bookmarkEnd w:id="3768"/>
              <w:bookmarkStart w:id="3769" w:name="idm45965182398112"/>
              <w:t/>
              <w:bookmarkEnd w:id="3769"/>
            </w:r>
            <w:r>
              <w:t xml:space="preserve"> in Python 3.5, removed in Python 3.11. The forward-compatible way to introspect callables is to call </w:t>
            </w:r>
            <w:r>
              <w:rPr>
                <w:rStyle w:val="Text0"/>
              </w:rPr>
              <w:t>inspect.signature(</w:t>
            </w:r>
            <w:r>
              <w:rPr>
                <w:rStyle w:val="Text3"/>
              </w:rPr>
              <w:t>f</w:t>
            </w:r>
            <w:r>
              <w:rPr>
                <w:rStyle w:val="Text0"/>
              </w:rPr>
              <w:t>)</w:t>
            </w:r>
            <w:r>
              <w:t xml:space="preserve"> and use the resulting instance of class </w:t>
            </w:r>
            <w:r>
              <w:rPr>
                <w:rStyle w:val="Text0"/>
              </w:rPr>
              <w:t>inspect.Signature</w:t>
            </w:r>
            <w:r>
              <w:t>, covered in the following subsection.</w:t>
            </w:r>
          </w:p>
        </w:tc>
      </w:tr>
    </w:tbl>
    <w:tbl>
      <w:tblPr>
        <w:tblW w:type="auto" w:w="0"/>
      </w:tblPr>
      <w:tr>
        <w:tc>
          <w:tcPr>
            <w:tcW w:type="auto" w:w="0"/>
            <w:tcMar>
              <w:left w:type="dxa" w:w="200"/>
              <w:top w:type="dxa" w:w="200"/>
              <w:right w:type="dxa" w:w="200"/>
              <w:bottom w:type="dxa" w:w="200"/>
            </w:tcMar>
          </w:tcPr>
          <w:p>
            <w:pPr>
              <w:pStyle w:val="Para 001"/>
            </w:pPr>
            <w:r>
              <w:t>get⁠a⁠r⁠g​v⁠a⁠l⁠ues</w:t>
            </w:r>
            <w:r>
              <w:rPr>
                <w:rStyle w:val="Text12"/>
              </w:rPr>
              <w:t>,</w:t>
              <w:br w:clear="none"/>
              <w:t xml:space="preserve"> </w:t>
            </w:r>
            <w:r>
              <w:t>formatargvalues</w:t>
            </w:r>
          </w:p>
        </w:tc>
        <w:tc>
          <w:tcPr>
            <w:tcW w:type="auto" w:w="0"/>
            <w:tcMar>
              <w:left w:type="dxa" w:w="200"/>
              <w:top w:type="dxa" w:w="200"/>
              <w:right w:type="dxa" w:w="200"/>
              <w:bottom w:type="dxa" w:w="200"/>
            </w:tcMar>
          </w:tcPr>
          <w:p>
            <w:pPr>
              <w:pStyle w:val="Para 002"/>
            </w:pPr>
            <w:r>
              <w:rPr>
                <w:rStyle w:val="Text0"/>
              </w:rPr>
              <w:t>getargvalues(</w:t>
            </w:r>
            <w:r>
              <w:rPr>
                <w:rStyle w:val="Text3"/>
              </w:rPr>
              <w:t>f</w:t>
            </w:r>
            <w:r>
              <w:rPr>
                <w:rStyle w:val="Text0"/>
              </w:rPr>
              <w:t>)</w:t>
              <w:br w:clear="none"/>
            </w:r>
            <w:r>
              <w:t xml:space="preserve"> </w:t>
            </w:r>
            <w:r>
              <w:rPr>
                <w:rStyle w:val="Text3"/>
              </w:rPr>
              <w:t>f</w:t>
            </w:r>
            <w:r>
              <w:t xml:space="preserve"> is</w:t>
            </w:r>
            <w:r>
              <w:rPr>
                <w:rStyle w:val="Text111"/>
              </w:rPr>
              <w:bookmarkStart w:id="3770" w:name="idm45965182389680"/>
              <w:t/>
              <w:bookmarkEnd w:id="3770"/>
              <w:bookmarkStart w:id="3771" w:name="idm45965182388608"/>
              <w:t/>
              <w:bookmarkEnd w:id="3771"/>
            </w:r>
            <w:r>
              <w:t xml:space="preserve"> a frame object—for example, the result of a call to the function </w:t>
            </w:r>
            <w:r>
              <w:rPr>
                <w:rStyle w:val="Text0"/>
              </w:rPr>
              <w:t>_getframe</w:t>
            </w:r>
            <w:r>
              <w:t xml:space="preserve"> in the </w:t>
            </w:r>
            <w:r>
              <w:rPr>
                <w:rStyle w:val="Text0"/>
              </w:rPr>
              <w:t>sys</w:t>
            </w:r>
            <w:r>
              <w:t xml:space="preserve"> module (covered in </w:t>
            </w:r>
            <w:hyperlink w:anchor="The_Frame_Type__The_function__ge">
              <w:r>
                <w:rPr>
                  <w:rStyle w:val="Text1"/>
                </w:rPr>
                <w:t>“The Frame Type”</w:t>
              </w:r>
            </w:hyperlink>
            <w:r>
              <w:t xml:space="preserve">) or the function </w:t>
            </w:r>
            <w:r>
              <w:rPr>
                <w:rStyle w:val="Text0"/>
              </w:rPr>
              <w:t>currentframe</w:t>
            </w:r>
            <w:r>
              <w:t xml:space="preserve"> in the </w:t>
            </w:r>
            <w:r>
              <w:rPr>
                <w:rStyle w:val="Text0"/>
              </w:rPr>
              <w:t>inspect</w:t>
            </w:r>
            <w:r>
              <w:t xml:space="preserve"> module. </w:t>
            </w:r>
            <w:r>
              <w:rPr>
                <w:rStyle w:val="Text0"/>
              </w:rPr>
              <w:t>getargvalues</w:t>
            </w:r>
            <w:r>
              <w:t xml:space="preserve"> returns a named tuple with four items: </w:t>
            </w:r>
            <w:r>
              <w:rPr>
                <w:rStyle w:val="Text0"/>
              </w:rPr>
              <w:t>(</w:t>
            </w:r>
            <w:r>
              <w:rPr>
                <w:rStyle w:val="Text3"/>
              </w:rPr>
              <w:t>args</w:t>
            </w:r>
            <w:r>
              <w:rPr>
                <w:rStyle w:val="Text0"/>
              </w:rPr>
              <w:t>,</w:t>
            </w:r>
            <w:r>
              <w:t xml:space="preserve"> </w:t>
            </w:r>
            <w:r>
              <w:rPr>
                <w:rStyle w:val="Text3"/>
              </w:rPr>
              <w:t>varargs</w:t>
            </w:r>
            <w:r>
              <w:rPr>
                <w:rStyle w:val="Text0"/>
              </w:rPr>
              <w:t>,</w:t>
            </w:r>
            <w:r>
              <w:t xml:space="preserve"> </w:t>
            </w:r>
            <w:r>
              <w:rPr>
                <w:rStyle w:val="Text3"/>
              </w:rPr>
              <w:t>keywords</w:t>
            </w:r>
            <w:r>
              <w:rPr>
                <w:rStyle w:val="Text0"/>
              </w:rPr>
              <w:t>,</w:t>
            </w:r>
            <w:r>
              <w:t xml:space="preserve"> </w:t>
            </w:r>
            <w:r>
              <w:rPr>
                <w:rStyle w:val="Text3"/>
              </w:rPr>
              <w:t>locals</w:t>
            </w:r>
            <w:r>
              <w:rPr>
                <w:rStyle w:val="Text0"/>
              </w:rPr>
              <w:t>).</w:t>
            </w:r>
            <w:r>
              <w:t xml:space="preserve"> </w:t>
            </w:r>
            <w:r>
              <w:rPr>
                <w:rStyle w:val="Text3"/>
              </w:rPr>
              <w:t>args</w:t>
            </w:r>
            <w:r>
              <w:t xml:space="preserve"> is the sequence of names of </w:t>
            </w:r>
            <w:r>
              <w:rPr>
                <w:rStyle w:val="Text3"/>
              </w:rPr>
              <w:t>f</w:t>
            </w:r>
            <w:r>
              <w:t xml:space="preserve">’s function’s parameters. </w:t>
            </w:r>
            <w:r>
              <w:rPr>
                <w:rStyle w:val="Text3"/>
              </w:rPr>
              <w:t>varargs</w:t>
            </w:r>
            <w:r>
              <w:t xml:space="preserve"> is the name of the special parameter of form </w:t>
            </w:r>
            <w:r>
              <w:rPr>
                <w:rStyle w:val="Text3"/>
              </w:rPr>
              <w:t>*a</w:t>
            </w:r>
            <w:r>
              <w:t xml:space="preserve">, or </w:t>
            </w:r>
            <w:r>
              <w:rPr>
                <w:rStyle w:val="Text5"/>
              </w:rPr>
              <w:t>None</w:t>
            </w:r>
            <w:r>
              <w:t xml:space="preserve"> when </w:t>
            </w:r>
            <w:r>
              <w:rPr>
                <w:rStyle w:val="Text3"/>
              </w:rPr>
              <w:t>f</w:t>
            </w:r>
            <w:r>
              <w:t xml:space="preserve">’s function has no such parameter. </w:t>
            </w:r>
            <w:r>
              <w:rPr>
                <w:rStyle w:val="Text3"/>
              </w:rPr>
              <w:t>keywords</w:t>
            </w:r>
            <w:r>
              <w:t xml:space="preserve"> is the name of the special parameter of form </w:t>
            </w:r>
            <w:r>
              <w:rPr>
                <w:rStyle w:val="Text3"/>
              </w:rPr>
              <w:t>**k</w:t>
            </w:r>
            <w:r>
              <w:t xml:space="preserve">, or </w:t>
            </w:r>
            <w:r>
              <w:rPr>
                <w:rStyle w:val="Text5"/>
              </w:rPr>
              <w:t>None</w:t>
            </w:r>
            <w:r>
              <w:t xml:space="preserve"> when </w:t>
            </w:r>
            <w:r>
              <w:rPr>
                <w:rStyle w:val="Text3"/>
              </w:rPr>
              <w:t>f</w:t>
            </w:r>
            <w:r>
              <w:t xml:space="preserve">’s function has no such parameter. </w:t>
            </w:r>
            <w:r>
              <w:rPr>
                <w:rStyle w:val="Text3"/>
              </w:rPr>
              <w:t>locals</w:t>
            </w:r>
            <w:r>
              <w:t xml:space="preserve"> is the dictionary of local variables for </w:t>
            </w:r>
            <w:r>
              <w:rPr>
                <w:rStyle w:val="Text3"/>
              </w:rPr>
              <w:t>f</w:t>
            </w:r>
            <w:r>
              <w:t xml:space="preserve">. Since arguments, in particular, are local variables, the value of each argument can be obtained from </w:t>
            </w:r>
            <w:r>
              <w:rPr>
                <w:rStyle w:val="Text3"/>
              </w:rPr>
              <w:t>locals</w:t>
            </w:r>
            <w:r>
              <w:t xml:space="preserve"> by indexing the </w:t>
            </w:r>
            <w:r>
              <w:rPr>
                <w:rStyle w:val="Text3"/>
              </w:rPr>
              <w:t>locals</w:t>
            </w:r>
            <w:r>
              <w:t xml:space="preserve"> dictionary with the argument’s corresponding parameter name.</w:t>
              <w:br w:clear="none"/>
              <w:t xml:space="preserve"> </w:t>
            </w:r>
            <w:r>
              <w:rPr>
                <w:rStyle w:val="Text0"/>
              </w:rPr>
              <w:t>formatargvalues</w:t>
            </w:r>
            <w:r>
              <w:t xml:space="preserve"> accepts one to four arguments that are the same as the items of the named tuple that </w:t>
            </w:r>
            <w:r>
              <w:rPr>
                <w:rStyle w:val="Text0"/>
              </w:rPr>
              <w:t>getargvalues</w:t>
            </w:r>
            <w:r>
              <w:t xml:space="preserve"> returns, and returns a string with this information. </w:t>
            </w:r>
            <w:r>
              <w:rPr>
                <w:rStyle w:val="Text0"/>
              </w:rPr>
              <w:t>formatargvalues(*getargvalues(</w:t>
            </w:r>
            <w:r>
              <w:rPr>
                <w:rStyle w:val="Text3"/>
              </w:rPr>
              <w:t>f</w:t>
            </w:r>
            <w:r>
              <w:rPr>
                <w:rStyle w:val="Text0"/>
              </w:rPr>
              <w:t>))</w:t>
            </w:r>
            <w:r>
              <w:t xml:space="preserve"> returns a string with </w:t>
            </w:r>
            <w:r>
              <w:rPr>
                <w:rStyle w:val="Text3"/>
              </w:rPr>
              <w:t>f</w:t>
            </w:r>
            <w:r>
              <w:t xml:space="preserve">’s arguments in parentheses, in named form, as used in the call statement that created </w:t>
            </w:r>
            <w:r>
              <w:rPr>
                <w:rStyle w:val="Text3"/>
              </w:rPr>
              <w:t>f</w:t>
            </w:r>
            <w:r>
              <w:t xml:space="preserve">. For example: </w:t>
            </w:r>
          </w:p>
          <w:p>
            <w:pPr>
              <w:pStyle w:val="Para 025"/>
            </w:pPr>
            <w:r>
              <w:rPr>
                <w:rStyle w:val="Text23"/>
              </w:rPr>
              <w:t xml:space="preserve"/>
              <w:br w:clear="none"/>
            </w:r>
            <w:r>
              <w:rPr>
                <w:rStyle w:val="Text10"/>
              </w:rPr>
              <w:t xml:space="preserve">def</w:t>
              <w:br w:clear="none"/>
            </w:r>
            <w:r>
              <w:rPr>
                <w:rStyle w:val="Text6"/>
              </w:rPr>
              <w:t xml:space="preserve"> </w:t>
              <w:br w:clear="none"/>
            </w:r>
            <w:r>
              <w:rPr>
                <w:rStyle w:val="Text18"/>
              </w:rPr>
              <w:t xml:space="preserve">f</w:t>
              <w:br w:clear="none"/>
            </w:r>
            <w:r>
              <w:rPr>
                <w:rStyle w:val="Text7"/>
              </w:rPr>
              <w:t xml:space="preserve">(</w:t>
              <w:br w:clear="none"/>
            </w:r>
            <w:r>
              <w:t xml:space="preserve">x</w:t>
              <w:br w:clear="none"/>
            </w:r>
            <w:r>
              <w:rPr>
                <w:rStyle w:val="Text13"/>
              </w:rPr>
              <w:t xml:space="preserve">=</w:t>
              <w:br w:clear="none"/>
            </w:r>
            <w:r>
              <w:rPr>
                <w:rStyle w:val="Text27"/>
              </w:rPr>
              <w:t xml:space="preserve">23</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inspect</w:t>
              <w:br w:clear="none"/>
            </w:r>
            <w:r>
              <w:rPr>
                <w:rStyle w:val="Text13"/>
              </w:rPr>
              <w:t xml:space="preserve">.</w:t>
              <w:br w:clear="none"/>
            </w:r>
            <w:r>
              <w:t xml:space="preserve">currentframe</w:t>
              <w:br w:clear="none"/>
            </w:r>
            <w:r>
              <w:rPr>
                <w:rStyle w:val="Text7"/>
              </w:rPr>
              <w:t xml:space="preserve">(</w:t>
              <w:br w:clear="none"/>
              <w:t xml:space="preserve">)</w:t>
              <w:br w:clear="none"/>
            </w:r>
            <w:r>
              <w:rPr>
                <w:rStyle w:val="Text6"/>
              </w:rPr>
              <w:t xml:space="preserve"/>
              <w:br w:clear="none"/>
            </w:r>
            <w:r>
              <w:rPr>
                <w:rStyle w:val="Text16"/>
              </w:rPr>
              <w:t xml:space="preserve">print</w:t>
              <w:br w:clear="none"/>
            </w:r>
            <w:r>
              <w:rPr>
                <w:rStyle w:val="Text7"/>
              </w:rPr>
              <w:t xml:space="preserve">(</w:t>
              <w:br w:clear="none"/>
            </w:r>
            <w:r>
              <w:t xml:space="preserve">inspect</w:t>
              <w:br w:clear="none"/>
            </w:r>
            <w:r>
              <w:rPr>
                <w:rStyle w:val="Text13"/>
              </w:rPr>
              <w:t xml:space="preserve">.</w:t>
              <w:br w:clear="none"/>
            </w:r>
            <w:r>
              <w:t xml:space="preserve">formatargvalues</w:t>
              <w:br w:clear="none"/>
            </w:r>
            <w:r>
              <w:rPr>
                <w:rStyle w:val="Text7"/>
              </w:rPr>
              <w:t xml:space="preserve">(</w:t>
              <w:br w:clear="none"/>
            </w:r>
            <w:r>
              <w:rPr>
                <w:rStyle w:val="Text6"/>
              </w:rPr>
              <w:t xml:space="preserve"/>
              <w:br w:clear="none"/>
              <w:t xml:space="preserve">      </w:t>
              <w:br w:clear="none"/>
            </w:r>
            <w:r>
              <w:rPr>
                <w:rStyle w:val="Text13"/>
              </w:rPr>
              <w:t xml:space="preserve">*</w:t>
              <w:br w:clear="none"/>
            </w:r>
            <w:r>
              <w:t xml:space="preserve">inspect</w:t>
              <w:br w:clear="none"/>
            </w:r>
            <w:r>
              <w:rPr>
                <w:rStyle w:val="Text13"/>
              </w:rPr>
              <w:t xml:space="preserve">.</w:t>
              <w:br w:clear="none"/>
            </w:r>
            <w:r>
              <w:t xml:space="preserve">getargvalues</w:t>
              <w:br w:clear="none"/>
            </w:r>
            <w:r>
              <w:rPr>
                <w:rStyle w:val="Text7"/>
              </w:rPr>
              <w:t xml:space="preserve">(</w:t>
              <w:br w:clear="none"/>
            </w:r>
            <w:r>
              <w:t xml:space="preserve">f</w:t>
              <w:br w:clear="none"/>
            </w:r>
            <w:r>
              <w:rPr>
                <w:rStyle w:val="Text7"/>
              </w:rPr>
              <w:t xml:space="preserve">(</w:t>
              <w:br w:clear="none"/>
              <w:t xml:space="preserve">)</w:t>
              <w:br w:clear="none"/>
              <w:t xml:space="preserve">)</w:t>
              <w:br w:clear="none"/>
              <w:t xml:space="preserve">)</w:t>
              <w:br w:clear="none"/>
              <w:t xml:space="preserve">)</w:t>
              <w:br w:clear="none"/>
            </w:r>
            <w:r>
              <w:rPr>
                <w:rStyle w:val="Text6"/>
              </w:rPr>
              <w:t xml:space="preserve"/>
              <w:br w:clear="none"/>
            </w:r>
            <w:r>
              <w:rPr>
                <w:rStyle w:val="Text15"/>
              </w:rPr>
              <w:t xml:space="preserve"># prints:</w:t>
              <w:br w:clear="none"/>
            </w:r>
            <w:r>
              <w:rPr>
                <w:rStyle w:val="Text26"/>
              </w:rPr>
              <w:t xml:space="preserve"> </w:t>
              <w:br w:clear="none"/>
            </w:r>
            <w:r>
              <w:rPr>
                <w:rStyle w:val="Text15"/>
              </w:rPr>
              <w:t xml:space="preserve">(x=23)</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getdoc</w:t>
            </w:r>
          </w:p>
        </w:tc>
        <w:tc>
          <w:tcPr>
            <w:tcW w:type="auto" w:w="0"/>
            <w:shd w:val="clear" w:color="auto" w:fill="EEF2F6"/>
            <w:tcMar>
              <w:left w:type="dxa" w:w="200"/>
              <w:top w:type="dxa" w:w="200"/>
              <w:right w:type="dxa" w:w="200"/>
              <w:bottom w:type="dxa" w:w="200"/>
            </w:tcMar>
          </w:tcPr>
          <w:p>
            <w:pPr>
              <w:pStyle w:val="Para 002"/>
            </w:pPr>
            <w:r>
              <w:rPr>
                <w:rStyle w:val="Text0"/>
              </w:rPr>
              <w:t>getdoc(</w:t>
            </w:r>
            <w:r>
              <w:rPr>
                <w:rStyle w:val="Text3"/>
              </w:rPr>
              <w:t>obj</w:t>
            </w:r>
            <w:r>
              <w:rPr>
                <w:rStyle w:val="Text0"/>
              </w:rPr>
              <w:t>)</w:t>
              <w:br w:clear="none"/>
            </w:r>
            <w:r>
              <w:t xml:space="preserve"> Returns</w:t>
            </w:r>
            <w:r>
              <w:rPr>
                <w:rStyle w:val="Text111"/>
              </w:rPr>
              <w:bookmarkStart w:id="3772" w:name="idm45965182325056"/>
              <w:t/>
              <w:bookmarkEnd w:id="3772"/>
            </w:r>
            <w:r>
              <w:t xml:space="preserve"> the docstring for </w:t>
            </w:r>
            <w:r>
              <w:rPr>
                <w:rStyle w:val="Text3"/>
              </w:rPr>
              <w:t>obj</w:t>
            </w:r>
            <w:r>
              <w:t>, a multiline string with tabs expanded to spaces and redundant whitespace stripped from each line.</w:t>
            </w:r>
          </w:p>
        </w:tc>
      </w:tr>
    </w:tbl>
    <w:tbl>
      <w:tblPr>
        <w:tblW w:type="auto" w:w="0"/>
      </w:tblPr>
      <w:tr>
        <w:tc>
          <w:tcPr>
            <w:tcW w:type="auto" w:w="0"/>
            <w:tcMar>
              <w:left w:type="dxa" w:w="200"/>
              <w:top w:type="dxa" w:w="200"/>
              <w:right w:type="dxa" w:w="200"/>
              <w:bottom w:type="dxa" w:w="200"/>
            </w:tcMar>
          </w:tcPr>
          <w:p>
            <w:pPr>
              <w:pStyle w:val="Para 001"/>
            </w:pPr>
            <w:r>
              <w:t>getfile</w:t>
            </w:r>
            <w:r>
              <w:rPr>
                <w:rStyle w:val="Text12"/>
              </w:rPr>
              <w:t>,</w:t>
              <w:br w:clear="none"/>
              <w:t xml:space="preserve"> </w:t>
            </w:r>
            <w:r>
              <w:t>getsourcefile</w:t>
            </w:r>
          </w:p>
        </w:tc>
        <w:tc>
          <w:tcPr>
            <w:tcW w:type="auto" w:w="0"/>
            <w:tcMar>
              <w:left w:type="dxa" w:w="200"/>
              <w:top w:type="dxa" w:w="200"/>
              <w:right w:type="dxa" w:w="200"/>
              <w:bottom w:type="dxa" w:w="200"/>
            </w:tcMar>
          </w:tcPr>
          <w:p>
            <w:pPr>
              <w:pStyle w:val="Para 002"/>
            </w:pPr>
            <w:r>
              <w:rPr>
                <w:rStyle w:val="Text0"/>
              </w:rPr>
              <w:t>getfile(</w:t>
            </w:r>
            <w:r>
              <w:rPr>
                <w:rStyle w:val="Text3"/>
              </w:rPr>
              <w:t>obj</w:t>
            </w:r>
            <w:r>
              <w:rPr>
                <w:rStyle w:val="Text0"/>
              </w:rPr>
              <w:t>)</w:t>
            </w:r>
            <w:r>
              <w:t>,</w:t>
              <w:br w:clear="none"/>
              <w:t xml:space="preserve"> </w:t>
            </w:r>
            <w:r>
              <w:rPr>
                <w:rStyle w:val="Text0"/>
              </w:rPr>
              <w:t>getsourcefile(</w:t>
            </w:r>
            <w:r>
              <w:rPr>
                <w:rStyle w:val="Text3"/>
              </w:rPr>
              <w:t>obj</w:t>
            </w:r>
            <w:r>
              <w:rPr>
                <w:rStyle w:val="Text0"/>
              </w:rPr>
              <w:t>)</w:t>
              <w:br w:clear="none"/>
            </w:r>
            <w:r>
              <w:t xml:space="preserve"> </w:t>
            </w:r>
            <w:r>
              <w:rPr>
                <w:rStyle w:val="Text0"/>
              </w:rPr>
              <w:t>getfile</w:t>
            </w:r>
            <w:r>
              <w:t xml:space="preserve"> returns</w:t>
            </w:r>
            <w:r>
              <w:rPr>
                <w:rStyle w:val="Text111"/>
              </w:rPr>
              <w:bookmarkStart w:id="3773" w:name="idm45965182287760"/>
              <w:t/>
              <w:bookmarkEnd w:id="3773"/>
              <w:bookmarkStart w:id="3774" w:name="idm45965182286656"/>
              <w:t/>
              <w:bookmarkEnd w:id="3774"/>
            </w:r>
            <w:r>
              <w:t xml:space="preserve"> the name of the binary or source file that defined </w:t>
            </w:r>
            <w:r>
              <w:rPr>
                <w:rStyle w:val="Text3"/>
              </w:rPr>
              <w:t>obj</w:t>
            </w:r>
            <w:r>
              <w:t xml:space="preserve">. Raises </w:t>
            </w:r>
            <w:r>
              <w:rPr>
                <w:rStyle w:val="Text0"/>
              </w:rPr>
              <w:t>TypeError</w:t>
            </w:r>
            <w:r>
              <w:t xml:space="preserve"> when unable to determine the file (for example, when </w:t>
            </w:r>
            <w:r>
              <w:rPr>
                <w:rStyle w:val="Text3"/>
              </w:rPr>
              <w:t>obj</w:t>
            </w:r>
            <w:r>
              <w:t xml:space="preserve"> is a built-in). </w:t>
            </w:r>
            <w:r>
              <w:rPr>
                <w:rStyle w:val="Text0"/>
              </w:rPr>
              <w:t>getsourcefile</w:t>
            </w:r>
            <w:r>
              <w:t xml:space="preserve"> returns the name of the source file that defined </w:t>
            </w:r>
            <w:r>
              <w:rPr>
                <w:rStyle w:val="Text0"/>
              </w:rPr>
              <w:t>obj</w:t>
            </w:r>
            <w:r>
              <w:t xml:space="preserve">; it raises </w:t>
            </w:r>
            <w:r>
              <w:rPr>
                <w:rStyle w:val="Text0"/>
              </w:rPr>
              <w:t>TypeError</w:t>
            </w:r>
            <w:r>
              <w:t xml:space="preserve"> when all it can find is a binary file, not the corresponding source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getmembers</w:t>
            </w:r>
          </w:p>
        </w:tc>
        <w:tc>
          <w:tcPr>
            <w:tcW w:type="auto" w:w="0"/>
            <w:shd w:val="clear" w:color="auto" w:fill="EEF2F6"/>
            <w:tcMar>
              <w:left w:type="dxa" w:w="200"/>
              <w:top w:type="dxa" w:w="200"/>
              <w:right w:type="dxa" w:w="200"/>
              <w:bottom w:type="dxa" w:w="200"/>
            </w:tcMar>
          </w:tcPr>
          <w:p>
            <w:pPr>
              <w:pStyle w:val="Para 002"/>
            </w:pPr>
            <w:r>
              <w:rPr>
                <w:rStyle w:val="Text0"/>
              </w:rPr>
              <w:t>getmembers(</w:t>
            </w:r>
            <w:r>
              <w:rPr>
                <w:rStyle w:val="Text3"/>
              </w:rPr>
              <w:t>obj</w:t>
            </w:r>
            <w:r>
              <w:rPr>
                <w:rStyle w:val="Text0"/>
              </w:rPr>
              <w:t>, filter=</w:t>
            </w:r>
            <w:r>
              <w:rPr>
                <w:rStyle w:val="Text5"/>
              </w:rPr>
              <w:t>None</w:t>
            </w:r>
            <w:r>
              <w:rPr>
                <w:rStyle w:val="Text0"/>
              </w:rPr>
              <w:t>)</w:t>
              <w:br w:clear="none"/>
            </w:r>
            <w:r>
              <w:t xml:space="preserve"> Returns</w:t>
            </w:r>
            <w:r>
              <w:rPr>
                <w:rStyle w:val="Text111"/>
              </w:rPr>
              <w:bookmarkStart w:id="3775" w:name="idm45965182277600"/>
              <w:t/>
              <w:bookmarkEnd w:id="3775"/>
            </w:r>
            <w:r>
              <w:t xml:space="preserve"> all attributes (members), both data and methods (including special methods) of </w:t>
            </w:r>
            <w:r>
              <w:rPr>
                <w:rStyle w:val="Text3"/>
              </w:rPr>
              <w:t>obj</w:t>
            </w:r>
            <w:r>
              <w:t xml:space="preserve">, as a sorted list of </w:t>
            </w:r>
            <w:r>
              <w:rPr>
                <w:rStyle w:val="Text0"/>
              </w:rPr>
              <w:t>(</w:t>
            </w:r>
            <w:r>
              <w:rPr>
                <w:rStyle w:val="Text3"/>
              </w:rPr>
              <w:t>name</w:t>
            </w:r>
            <w:r>
              <w:rPr>
                <w:rStyle w:val="Text0"/>
              </w:rPr>
              <w:t>,</w:t>
            </w:r>
            <w:r>
              <w:t xml:space="preserve"> </w:t>
            </w:r>
            <w:r>
              <w:rPr>
                <w:rStyle w:val="Text3"/>
              </w:rPr>
              <w:t>value</w:t>
            </w:r>
            <w:r>
              <w:rPr>
                <w:rStyle w:val="Text0"/>
              </w:rPr>
              <w:t>)</w:t>
            </w:r>
            <w:r>
              <w:t xml:space="preserve"> pairs. When </w:t>
            </w:r>
            <w:r>
              <w:rPr>
                <w:rStyle w:val="Text0"/>
              </w:rPr>
              <w:t>filter</w:t>
            </w:r>
            <w:r>
              <w:t xml:space="preserve"> is not </w:t>
            </w:r>
            <w:r>
              <w:rPr>
                <w:rStyle w:val="Text5"/>
              </w:rPr>
              <w:t>None</w:t>
            </w:r>
            <w:r>
              <w:t xml:space="preserve">, returns only attributes for which callable </w:t>
            </w:r>
            <w:r>
              <w:rPr>
                <w:rStyle w:val="Text0"/>
              </w:rPr>
              <w:t>filter</w:t>
            </w:r>
            <w:r>
              <w:t xml:space="preserve"> returns a truthy result when called on the attribute’s </w:t>
            </w:r>
            <w:r>
              <w:rPr>
                <w:rStyle w:val="Text3"/>
              </w:rPr>
              <w:t>value</w:t>
            </w:r>
            <w:r>
              <w:t xml:space="preserve">, equivalent to: </w:t>
            </w:r>
          </w:p>
          <w:p>
            <w:pPr>
              <w:pStyle w:val="Para 029"/>
            </w:pPr>
            <w:r>
              <w:rPr>
                <w:rStyle w:val="Text23"/>
              </w:rPr>
              <w:t xml:space="preserve"/>
              <w:br w:clear="none"/>
            </w:r>
            <w:r>
              <w:rPr>
                <w:rStyle w:val="Text7"/>
              </w:rPr>
              <w:t xml:space="preserve">(</w:t>
              <w:br w:clear="none"/>
              <w:t xml:space="preserve">(</w:t>
              <w:br w:clear="none"/>
            </w:r>
            <w:r>
              <w:t xml:space="preserve">n</w:t>
              <w:br w:clear="none"/>
            </w:r>
            <w:r>
              <w:rPr>
                <w:rStyle w:val="Text7"/>
              </w:rPr>
              <w:t xml:space="preserve">,</w:t>
              <w:br w:clear="none"/>
            </w:r>
            <w:r>
              <w:rPr>
                <w:rStyle w:val="Text6"/>
              </w:rPr>
              <w:t xml:space="preserve"> </w:t>
              <w:br w:clear="none"/>
            </w:r>
            <w:r>
              <w:t xml:space="preserve">v</w:t>
              <w:br w:clear="none"/>
            </w:r>
            <w:r>
              <w:rPr>
                <w:rStyle w:val="Text7"/>
              </w:rPr>
              <w:t xml:space="preserve">)</w:t>
              <w:br w:clear="none"/>
            </w:r>
            <w:r>
              <w:rPr>
                <w:rStyle w:val="Text6"/>
              </w:rPr>
              <w:t xml:space="preserve"> </w:t>
              <w:br w:clear="none"/>
            </w:r>
            <w:r>
              <w:rPr>
                <w:rStyle w:val="Text10"/>
              </w:rPr>
              <w:t xml:space="preserve">for</w:t>
              <w:br w:clear="none"/>
            </w:r>
            <w:r>
              <w:rPr>
                <w:rStyle w:val="Text6"/>
              </w:rPr>
              <w:t xml:space="preserve"> </w:t>
              <w:br w:clear="none"/>
            </w:r>
            <w:r>
              <w:t xml:space="preserve">n</w:t>
              <w:br w:clear="none"/>
            </w:r>
            <w:r>
              <w:rPr>
                <w:rStyle w:val="Text7"/>
              </w:rPr>
              <w:t xml:space="preserve">,</w:t>
              <w:br w:clear="none"/>
            </w:r>
            <w:r>
              <w:rPr>
                <w:rStyle w:val="Text6"/>
              </w:rPr>
              <w:t xml:space="preserve"> </w:t>
              <w:br w:clear="none"/>
            </w:r>
            <w:r>
              <w:t xml:space="preserve">v</w:t>
              <w:br w:clear="none"/>
            </w:r>
            <w:r>
              <w:rPr>
                <w:rStyle w:val="Text6"/>
              </w:rPr>
              <w:t xml:space="preserve"> </w:t>
              <w:br w:clear="none"/>
            </w:r>
            <w:r>
              <w:rPr>
                <w:rStyle w:val="Text31"/>
              </w:rPr>
              <w:t xml:space="preserve">in</w:t>
              <w:br w:clear="none"/>
            </w:r>
            <w:r>
              <w:rPr>
                <w:rStyle w:val="Text6"/>
              </w:rPr>
              <w:t xml:space="preserve"> </w:t>
              <w:br w:clear="none"/>
            </w:r>
            <w:r>
              <w:t xml:space="preserve">getmembers</w:t>
              <w:br w:clear="none"/>
            </w:r>
            <w:r>
              <w:rPr>
                <w:rStyle w:val="Text7"/>
              </w:rPr>
              <w:t xml:space="preserve">(</w:t>
              <w:br w:clear="none"/>
            </w:r>
            <w:r>
              <w:t xml:space="preserve">obj</w:t>
              <w:br w:clear="none"/>
            </w:r>
            <w:r>
              <w:rPr>
                <w:rStyle w:val="Text7"/>
              </w:rPr>
              <w:t xml:space="preserve">)</w:t>
              <w:br w:clear="none"/>
            </w:r>
            <w:r>
              <w:rPr>
                <w:rStyle w:val="Text6"/>
              </w:rPr>
              <w:t xml:space="preserve"> </w:t>
              <w:br w:clear="none"/>
              <w:t xml:space="preserve"/>
              <w:br w:clear="none"/>
              <w:t xml:space="preserve">        </w:t>
              <w:br w:clear="none"/>
            </w:r>
            <w:r>
              <w:rPr>
                <w:rStyle w:val="Text10"/>
              </w:rPr>
              <w:t xml:space="preserve">if</w:t>
              <w:br w:clear="none"/>
            </w:r>
            <w:r>
              <w:rPr>
                <w:rStyle w:val="Text6"/>
              </w:rPr>
              <w:t xml:space="preserve"> </w:t>
              <w:br w:clear="none"/>
            </w:r>
            <w:r>
              <w:rPr>
                <w:rStyle w:val="Text16"/>
              </w:rPr>
              <w:t xml:space="preserve">filter</w:t>
              <w:br w:clear="none"/>
            </w:r>
            <w:r>
              <w:rPr>
                <w:rStyle w:val="Text7"/>
              </w:rPr>
              <w:t xml:space="preserve">(</w:t>
              <w:br w:clear="none"/>
            </w:r>
            <w:r>
              <w:t xml:space="preserve">v</w:t>
              <w:br w:clear="none"/>
            </w:r>
            <w:r>
              <w:rPr>
                <w:rStyle w:val="Text7"/>
              </w:rPr>
              <w:t xml:space="preserve">)</w:t>
              <w:br w:clear="none"/>
              <w:t xml:space="preserve">)</w:t>
              <w:br w:clear="none"/>
            </w:r>
          </w:p>
        </w:tc>
      </w:tr>
    </w:tbl>
    <w:tbl>
      <w:tblPr>
        <w:tblW w:type="auto" w:w="0"/>
      </w:tblPr>
      <w:tr>
        <w:tc>
          <w:tcPr>
            <w:tcW w:type="auto" w:w="0"/>
            <w:tcMar>
              <w:left w:type="dxa" w:w="200"/>
              <w:top w:type="dxa" w:w="200"/>
              <w:right w:type="dxa" w:w="200"/>
              <w:bottom w:type="dxa" w:w="200"/>
            </w:tcMar>
          </w:tcPr>
          <w:p>
            <w:pPr>
              <w:pStyle w:val="Para 001"/>
            </w:pPr>
            <w:r>
              <w:t>getmodule</w:t>
            </w:r>
          </w:p>
        </w:tc>
        <w:tc>
          <w:tcPr>
            <w:tcW w:type="auto" w:w="0"/>
            <w:tcMar>
              <w:left w:type="dxa" w:w="200"/>
              <w:top w:type="dxa" w:w="200"/>
              <w:right w:type="dxa" w:w="200"/>
              <w:bottom w:type="dxa" w:w="200"/>
            </w:tcMar>
          </w:tcPr>
          <w:p>
            <w:pPr>
              <w:pStyle w:val="Para 002"/>
            </w:pPr>
            <w:r>
              <w:rPr>
                <w:rStyle w:val="Text0"/>
              </w:rPr>
              <w:t>getmodule(</w:t>
            </w:r>
            <w:r>
              <w:rPr>
                <w:rStyle w:val="Text3"/>
              </w:rPr>
              <w:t>obj</w:t>
            </w:r>
            <w:r>
              <w:rPr>
                <w:rStyle w:val="Text0"/>
              </w:rPr>
              <w:t>)</w:t>
              <w:br w:clear="none"/>
            </w:r>
            <w:r>
              <w:t xml:space="preserve"> Returns</w:t>
            </w:r>
            <w:r>
              <w:rPr>
                <w:rStyle w:val="Text111"/>
              </w:rPr>
              <w:bookmarkStart w:id="3776" w:name="idm45965182243728"/>
              <w:t/>
              <w:bookmarkEnd w:id="3776"/>
            </w:r>
            <w:r>
              <w:t xml:space="preserve"> the module that defined </w:t>
            </w:r>
            <w:r>
              <w:rPr>
                <w:rStyle w:val="Text3"/>
              </w:rPr>
              <w:t>obj</w:t>
            </w:r>
            <w:r>
              <w:t xml:space="preserve">, or </w:t>
            </w:r>
            <w:r>
              <w:rPr>
                <w:rStyle w:val="Text5"/>
              </w:rPr>
              <w:t>None</w:t>
            </w:r>
            <w:r>
              <w:t xml:space="preserve"> when unable to determine it.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getmro</w:t>
            </w:r>
          </w:p>
        </w:tc>
        <w:tc>
          <w:tcPr>
            <w:tcW w:type="auto" w:w="0"/>
            <w:shd w:val="clear" w:color="auto" w:fill="EEF2F6"/>
            <w:tcMar>
              <w:left w:type="dxa" w:w="200"/>
              <w:top w:type="dxa" w:w="200"/>
              <w:right w:type="dxa" w:w="200"/>
              <w:bottom w:type="dxa" w:w="200"/>
            </w:tcMar>
          </w:tcPr>
          <w:p>
            <w:pPr>
              <w:pStyle w:val="Para 002"/>
            </w:pPr>
            <w:r>
              <w:rPr>
                <w:rStyle w:val="Text0"/>
              </w:rPr>
              <w:t>getmro(</w:t>
            </w:r>
            <w:r>
              <w:rPr>
                <w:rStyle w:val="Text3"/>
              </w:rPr>
              <w:t>c</w:t>
            </w:r>
            <w:r>
              <w:rPr>
                <w:rStyle w:val="Text0"/>
              </w:rPr>
              <w:t>)</w:t>
              <w:br w:clear="none"/>
            </w:r>
            <w:r>
              <w:t xml:space="preserve"> Returns</w:t>
            </w:r>
            <w:r>
              <w:rPr>
                <w:rStyle w:val="Text111"/>
              </w:rPr>
              <w:bookmarkStart w:id="3777" w:name="idm45965182213712"/>
              <w:t/>
              <w:bookmarkEnd w:id="3777"/>
            </w:r>
            <w:r>
              <w:t xml:space="preserve"> a tuple of bases and ancestors of class </w:t>
            </w:r>
            <w:r>
              <w:rPr>
                <w:rStyle w:val="Text3"/>
              </w:rPr>
              <w:t>c</w:t>
            </w:r>
            <w:r>
              <w:t xml:space="preserve"> in method resolution order (discussed in </w:t>
            </w:r>
            <w:hyperlink w:anchor="Inheritance__When_you_use_an_att">
              <w:r>
                <w:rPr>
                  <w:rStyle w:val="Text1"/>
                </w:rPr>
                <w:t>“Inheritance”</w:t>
              </w:r>
            </w:hyperlink>
            <w:r>
              <w:t xml:space="preserve">). </w:t>
            </w:r>
            <w:r>
              <w:rPr>
                <w:rStyle w:val="Text3"/>
              </w:rPr>
              <w:t>c</w:t>
            </w:r>
            <w:r>
              <w:t xml:space="preserve"> is the first item in the tuple, and each class appears only once in the tuple. For example: </w:t>
            </w:r>
          </w:p>
          <w:p>
            <w:pPr>
              <w:pStyle w:val="Para 087"/>
            </w:pPr>
            <w:r>
              <w:rPr>
                <w:rStyle w:val="Text118"/>
              </w:rPr>
              <w:t xml:space="preserve"/>
              <w:br w:clear="none"/>
            </w:r>
            <w:r>
              <w:t xml:space="preserve">class</w:t>
              <w:br w:clear="none"/>
            </w:r>
            <w:r>
              <w:rPr>
                <w:rStyle w:val="Text29"/>
              </w:rPr>
              <w:t xml:space="preserve"> </w:t>
              <w:br w:clear="none"/>
            </w:r>
            <w:r>
              <w:rPr>
                <w:rStyle w:val="Text91"/>
              </w:rPr>
              <w:t xml:space="preserve">A</w:t>
              <w:br w:clear="none"/>
            </w:r>
            <w:r>
              <w:rPr>
                <w:rStyle w:val="Text31"/>
              </w:rPr>
              <w:t xml:space="preserve">:</w:t>
              <w:br w:clear="none"/>
            </w:r>
            <w:r>
              <w:rPr>
                <w:rStyle w:val="Text29"/>
              </w:rPr>
              <w:t xml:space="preserve"> </w:t>
              <w:br w:clear="none"/>
            </w:r>
            <w:r>
              <w:t xml:space="preserve">pass</w:t>
              <w:br w:clear="none"/>
            </w:r>
            <w:r>
              <w:rPr>
                <w:rStyle w:val="Text29"/>
              </w:rPr>
              <w:t xml:space="preserve"/>
              <w:br w:clear="none"/>
            </w:r>
            <w:r>
              <w:t xml:space="preserve">class</w:t>
              <w:br w:clear="none"/>
            </w:r>
            <w:r>
              <w:rPr>
                <w:rStyle w:val="Text29"/>
              </w:rPr>
              <w:t xml:space="preserve"> </w:t>
              <w:br w:clear="none"/>
            </w:r>
            <w:r>
              <w:rPr>
                <w:rStyle w:val="Text91"/>
              </w:rPr>
              <w:t xml:space="preserve">B</w:t>
              <w:br w:clear="none"/>
            </w:r>
            <w:r>
              <w:rPr>
                <w:rStyle w:val="Text31"/>
              </w:rPr>
              <w:t xml:space="preserve">(</w:t>
              <w:br w:clear="none"/>
            </w:r>
            <w:r>
              <w:rPr>
                <w:rStyle w:val="Text38"/>
              </w:rPr>
              <w:t xml:space="preserve">A</w:t>
              <w:br w:clear="none"/>
            </w:r>
            <w:r>
              <w:rPr>
                <w:rStyle w:val="Text31"/>
              </w:rPr>
              <w:t xml:space="preserve">)</w:t>
              <w:br w:clear="none"/>
              <w:t xml:space="preserve">:</w:t>
              <w:br w:clear="none"/>
            </w:r>
            <w:r>
              <w:rPr>
                <w:rStyle w:val="Text29"/>
              </w:rPr>
              <w:t xml:space="preserve"> </w:t>
              <w:br w:clear="none"/>
            </w:r>
            <w:r>
              <w:t xml:space="preserve">pass</w:t>
              <w:br w:clear="none"/>
            </w:r>
            <w:r>
              <w:rPr>
                <w:rStyle w:val="Text29"/>
              </w:rPr>
              <w:t xml:space="preserve"/>
              <w:br w:clear="none"/>
            </w:r>
            <w:r>
              <w:t xml:space="preserve">class</w:t>
              <w:br w:clear="none"/>
            </w:r>
            <w:r>
              <w:rPr>
                <w:rStyle w:val="Text29"/>
              </w:rPr>
              <w:t xml:space="preserve"> </w:t>
              <w:br w:clear="none"/>
            </w:r>
            <w:r>
              <w:rPr>
                <w:rStyle w:val="Text91"/>
              </w:rPr>
              <w:t xml:space="preserve">C</w:t>
              <w:br w:clear="none"/>
            </w:r>
            <w:r>
              <w:rPr>
                <w:rStyle w:val="Text31"/>
              </w:rPr>
              <w:t xml:space="preserve">(</w:t>
              <w:br w:clear="none"/>
            </w:r>
            <w:r>
              <w:rPr>
                <w:rStyle w:val="Text38"/>
              </w:rPr>
              <w:t xml:space="preserve">A</w:t>
              <w:br w:clear="none"/>
            </w:r>
            <w:r>
              <w:rPr>
                <w:rStyle w:val="Text31"/>
              </w:rPr>
              <w:t xml:space="preserve">)</w:t>
              <w:br w:clear="none"/>
              <w:t xml:space="preserve">:</w:t>
              <w:br w:clear="none"/>
            </w:r>
            <w:r>
              <w:rPr>
                <w:rStyle w:val="Text29"/>
              </w:rPr>
              <w:t xml:space="preserve"> </w:t>
              <w:br w:clear="none"/>
            </w:r>
            <w:r>
              <w:t xml:space="preserve">pass</w:t>
              <w:br w:clear="none"/>
            </w:r>
            <w:r>
              <w:rPr>
                <w:rStyle w:val="Text29"/>
              </w:rPr>
              <w:t xml:space="preserve"/>
              <w:br w:clear="none"/>
            </w:r>
            <w:r>
              <w:t xml:space="preserve">class</w:t>
              <w:br w:clear="none"/>
            </w:r>
            <w:r>
              <w:rPr>
                <w:rStyle w:val="Text29"/>
              </w:rPr>
              <w:t xml:space="preserve"> </w:t>
              <w:br w:clear="none"/>
            </w:r>
            <w:r>
              <w:rPr>
                <w:rStyle w:val="Text91"/>
              </w:rPr>
              <w:t xml:space="preserve">D</w:t>
              <w:br w:clear="none"/>
            </w:r>
            <w:r>
              <w:rPr>
                <w:rStyle w:val="Text31"/>
              </w:rPr>
              <w:t xml:space="preserve">(</w:t>
              <w:br w:clear="none"/>
            </w:r>
            <w:r>
              <w:rPr>
                <w:rStyle w:val="Text38"/>
              </w:rPr>
              <w:t xml:space="preserve">B</w:t>
              <w:br w:clear="none"/>
            </w:r>
            <w:r>
              <w:rPr>
                <w:rStyle w:val="Text31"/>
              </w:rPr>
              <w:t xml:space="preserve">,</w:t>
              <w:br w:clear="none"/>
            </w:r>
            <w:r>
              <w:rPr>
                <w:rStyle w:val="Text29"/>
              </w:rPr>
              <w:t xml:space="preserve"> </w:t>
              <w:br w:clear="none"/>
            </w:r>
            <w:r>
              <w:rPr>
                <w:rStyle w:val="Text38"/>
              </w:rPr>
              <w:t xml:space="preserve">C</w:t>
              <w:br w:clear="none"/>
            </w:r>
            <w:r>
              <w:rPr>
                <w:rStyle w:val="Text31"/>
              </w:rPr>
              <w:t xml:space="preserve">)</w:t>
              <w:br w:clear="none"/>
              <w:t xml:space="preserve">:</w:t>
              <w:br w:clear="none"/>
            </w:r>
            <w:r>
              <w:rPr>
                <w:rStyle w:val="Text29"/>
              </w:rPr>
              <w:t xml:space="preserve"> </w:t>
              <w:br w:clear="none"/>
            </w:r>
            <w:r>
              <w:t xml:space="preserve">pass</w:t>
              <w:br w:clear="none"/>
            </w:r>
            <w:r>
              <w:rPr>
                <w:rStyle w:val="Text29"/>
              </w:rPr>
              <w:t xml:space="preserve"/>
              <w:br w:clear="none"/>
            </w:r>
            <w:r>
              <w:t xml:space="preserve">for</w:t>
              <w:br w:clear="none"/>
            </w:r>
            <w:r>
              <w:rPr>
                <w:rStyle w:val="Text29"/>
              </w:rPr>
              <w:t xml:space="preserve"> </w:t>
              <w:br w:clear="none"/>
            </w:r>
            <w:r>
              <w:rPr>
                <w:rStyle w:val="Text38"/>
              </w:rPr>
              <w:t xml:space="preserve">c</w:t>
              <w:br w:clear="none"/>
            </w:r>
            <w:r>
              <w:rPr>
                <w:rStyle w:val="Text29"/>
              </w:rPr>
              <w:t xml:space="preserve"> </w:t>
              <w:br w:clear="none"/>
            </w:r>
            <w:r>
              <w:rPr>
                <w:rStyle w:val="Text7"/>
              </w:rPr>
              <w:t xml:space="preserve">in</w:t>
              <w:br w:clear="none"/>
            </w:r>
            <w:r>
              <w:rPr>
                <w:rStyle w:val="Text29"/>
              </w:rPr>
              <w:t xml:space="preserve"> </w:t>
              <w:br w:clear="none"/>
            </w:r>
            <w:r>
              <w:rPr>
                <w:rStyle w:val="Text38"/>
              </w:rPr>
              <w:t xml:space="preserve">inspect</w:t>
              <w:br w:clear="none"/>
            </w:r>
            <w:r>
              <w:rPr>
                <w:rStyle w:val="Text63"/>
              </w:rPr>
              <w:t xml:space="preserve">.</w:t>
              <w:br w:clear="none"/>
            </w:r>
            <w:r>
              <w:rPr>
                <w:rStyle w:val="Text38"/>
              </w:rPr>
              <w:t xml:space="preserve">getmro</w:t>
              <w:br w:clear="none"/>
            </w:r>
            <w:r>
              <w:rPr>
                <w:rStyle w:val="Text31"/>
              </w:rPr>
              <w:t xml:space="preserve">(</w:t>
              <w:br w:clear="none"/>
            </w:r>
            <w:r>
              <w:rPr>
                <w:rStyle w:val="Text38"/>
              </w:rPr>
              <w:t xml:space="preserve">D</w:t>
              <w:br w:clear="none"/>
            </w:r>
            <w:r>
              <w:rPr>
                <w:rStyle w:val="Text31"/>
              </w:rPr>
              <w:t xml:space="preserve">)</w:t>
              <w:br w:clear="none"/>
              <w:t xml:space="preserve">:</w:t>
              <w:br w:clear="none"/>
            </w:r>
            <w:r>
              <w:rPr>
                <w:rStyle w:val="Text29"/>
              </w:rPr>
              <w:t xml:space="preserve"/>
              <w:br w:clear="none"/>
              <w:t xml:space="preserve">    </w:t>
              <w:br w:clear="none"/>
            </w:r>
            <w:r>
              <w:rPr>
                <w:rStyle w:val="Text67"/>
              </w:rPr>
              <w:t xml:space="preserve">print</w:t>
              <w:br w:clear="none"/>
            </w:r>
            <w:r>
              <w:rPr>
                <w:rStyle w:val="Text31"/>
              </w:rPr>
              <w:t xml:space="preserve">(</w:t>
              <w:br w:clear="none"/>
            </w:r>
            <w:r>
              <w:rPr>
                <w:rStyle w:val="Text38"/>
              </w:rPr>
              <w:t xml:space="preserve">c</w:t>
              <w:br w:clear="none"/>
            </w:r>
            <w:r>
              <w:rPr>
                <w:rStyle w:val="Text63"/>
              </w:rPr>
              <w:t xml:space="preserve">.</w:t>
              <w:br w:clear="none"/>
            </w:r>
            <w:r>
              <w:rPr>
                <w:rStyle w:val="Text29"/>
              </w:rPr>
              <w:t xml:space="preserve">__name__</w:t>
              <w:br w:clear="none"/>
            </w:r>
            <w:r>
              <w:rPr>
                <w:rStyle w:val="Text31"/>
              </w:rPr>
              <w:t xml:space="preserve">,</w:t>
              <w:br w:clear="none"/>
            </w:r>
            <w:r>
              <w:rPr>
                <w:rStyle w:val="Text29"/>
              </w:rPr>
              <w:t xml:space="preserve"> </w:t>
              <w:br w:clear="none"/>
            </w:r>
            <w:r>
              <w:rPr>
                <w:rStyle w:val="Text38"/>
              </w:rPr>
              <w:t xml:space="preserve">end</w:t>
              <w:br w:clear="none"/>
            </w:r>
            <w:r>
              <w:rPr>
                <w:rStyle w:val="Text63"/>
              </w:rPr>
              <w:t xml:space="preserve">=</w:t>
              <w:br w:clear="none"/>
            </w:r>
            <w:r>
              <w:rPr>
                <w:rStyle w:val="Text77"/>
              </w:rPr>
              <w:t xml:space="preserve">'</w:t>
              <w:br w:clear="none"/>
              <w:t xml:space="preserve"> </w:t>
              <w:br w:clear="none"/>
              <w:t xml:space="preserve">'</w:t>
              <w:br w:clear="none"/>
            </w:r>
            <w:r>
              <w:rPr>
                <w:rStyle w:val="Text31"/>
              </w:rPr>
              <w:t xml:space="preserve">)</w:t>
              <w:br w:clear="none"/>
            </w:r>
            <w:r>
              <w:rPr>
                <w:rStyle w:val="Text29"/>
              </w:rPr>
              <w:t xml:space="preserve"/>
              <w:br w:clear="none"/>
            </w:r>
            <w:r>
              <w:rPr>
                <w:rStyle w:val="Text82"/>
              </w:rPr>
              <w:t xml:space="preserve"># prints: D B C A object</w:t>
              <w:br w:clear="none"/>
            </w:r>
          </w:p>
        </w:tc>
      </w:tr>
    </w:tbl>
    <w:tbl>
      <w:tblPr>
        <w:tblW w:type="auto" w:w="0"/>
      </w:tblPr>
      <w:tr>
        <w:tc>
          <w:tcPr>
            <w:tcW w:type="auto" w:w="0"/>
            <w:tcMar>
              <w:left w:type="dxa" w:w="200"/>
              <w:top w:type="dxa" w:w="200"/>
              <w:right w:type="dxa" w:w="200"/>
              <w:bottom w:type="dxa" w:w="200"/>
            </w:tcMar>
          </w:tcPr>
          <w:p>
            <w:pPr>
              <w:pStyle w:val="Para 001"/>
            </w:pPr>
            <w:r>
              <w:t>getsource</w:t>
            </w:r>
            <w:r>
              <w:rPr>
                <w:rStyle w:val="Text12"/>
              </w:rPr>
              <w:t>,</w:t>
              <w:br w:clear="none"/>
              <w:t xml:space="preserve"> </w:t>
            </w:r>
            <w:r>
              <w:t>getsourcelines</w:t>
            </w:r>
          </w:p>
        </w:tc>
        <w:tc>
          <w:tcPr>
            <w:tcW w:type="auto" w:w="0"/>
            <w:tcMar>
              <w:left w:type="dxa" w:w="200"/>
              <w:top w:type="dxa" w:w="200"/>
              <w:right w:type="dxa" w:w="200"/>
              <w:bottom w:type="dxa" w:w="200"/>
            </w:tcMar>
          </w:tcPr>
          <w:p>
            <w:pPr>
              <w:pStyle w:val="Para 002"/>
            </w:pPr>
            <w:r>
              <w:rPr>
                <w:rStyle w:val="Text0"/>
              </w:rPr>
              <w:t>getsource(</w:t>
            </w:r>
            <w:r>
              <w:rPr>
                <w:rStyle w:val="Text3"/>
              </w:rPr>
              <w:t>obj</w:t>
            </w:r>
            <w:r>
              <w:rPr>
                <w:rStyle w:val="Text0"/>
              </w:rPr>
              <w:t>)</w:t>
            </w:r>
            <w:r>
              <w:t>,</w:t>
              <w:br w:clear="none"/>
              <w:t xml:space="preserve"> </w:t>
            </w:r>
            <w:r>
              <w:rPr>
                <w:rStyle w:val="Text0"/>
              </w:rPr>
              <w:t>getsourcelines(</w:t>
            </w:r>
            <w:r>
              <w:rPr>
                <w:rStyle w:val="Text3"/>
              </w:rPr>
              <w:t>obj</w:t>
            </w:r>
            <w:r>
              <w:rPr>
                <w:rStyle w:val="Text0"/>
              </w:rPr>
              <w:t>)</w:t>
              <w:br w:clear="none"/>
            </w:r>
            <w:r>
              <w:t xml:space="preserve"> </w:t>
            </w:r>
            <w:r>
              <w:rPr>
                <w:rStyle w:val="Text0"/>
              </w:rPr>
              <w:t>getsource</w:t>
            </w:r>
            <w:r>
              <w:t xml:space="preserve"> returns</w:t>
            </w:r>
            <w:r>
              <w:rPr>
                <w:rStyle w:val="Text111"/>
              </w:rPr>
              <w:bookmarkStart w:id="3778" w:name="idm45965182148960"/>
              <w:t/>
              <w:bookmarkEnd w:id="3778"/>
              <w:bookmarkStart w:id="3779" w:name="idm45965182147856"/>
              <w:t/>
              <w:bookmarkEnd w:id="3779"/>
            </w:r>
            <w:r>
              <w:t xml:space="preserve"> a multiline string that is the source code for </w:t>
            </w:r>
            <w:r>
              <w:rPr>
                <w:rStyle w:val="Text3"/>
              </w:rPr>
              <w:t>obj</w:t>
            </w:r>
            <w:r>
              <w:t xml:space="preserve">, and raises </w:t>
            </w:r>
            <w:r>
              <w:rPr>
                <w:rStyle w:val="Text0"/>
              </w:rPr>
              <w:t>IOError</w:t>
            </w:r>
            <w:r>
              <w:t xml:space="preserve"> if it is unable to determine or fetch it. </w:t>
            </w:r>
            <w:r>
              <w:rPr>
                <w:rStyle w:val="Text0"/>
              </w:rPr>
              <w:t>getsourcelines</w:t>
            </w:r>
            <w:r>
              <w:t xml:space="preserve"> returns a pair: the first item is the source code for </w:t>
            </w:r>
            <w:r>
              <w:rPr>
                <w:rStyle w:val="Text3"/>
              </w:rPr>
              <w:t>obj</w:t>
            </w:r>
            <w:r>
              <w:t xml:space="preserve"> (a list of lines), and the second item is the line number of the first line within its file.</w:t>
            </w:r>
          </w:p>
        </w:tc>
      </w:tr>
    </w:tbl>
    <w:tbl>
      <w:tblPr>
        <w:tblW w:type="auto" w:w="0"/>
      </w:tblPr>
      <w:tr>
        <w:tc>
          <w:tcPr>
            <w:tcW w:type="auto" w:w="0"/>
            <w:shd w:val="clear" w:color="auto" w:fill="EEF2F6"/>
            <w:tcMar>
              <w:left w:type="dxa" w:w="200"/>
              <w:top w:type="dxa" w:w="200"/>
              <w:right w:type="dxa" w:w="200"/>
              <w:bottom w:type="dxa" w:w="200"/>
            </w:tcMar>
          </w:tcPr>
          <w:p>
            <w:pPr>
              <w:pStyle w:val="Para 001"/>
            </w:pPr>
            <w:r>
              <w:t>isbuiltin</w:t>
            </w:r>
            <w:r>
              <w:rPr>
                <w:rStyle w:val="Text12"/>
              </w:rPr>
              <w:t xml:space="preserve">, </w:t>
            </w:r>
            <w:r>
              <w:t>isclass</w:t>
            </w:r>
            <w:r>
              <w:rPr>
                <w:rStyle w:val="Text12"/>
              </w:rPr>
              <w:t>,</w:t>
              <w:br w:clear="none"/>
              <w:t xml:space="preserve"> </w:t>
            </w:r>
            <w:r>
              <w:t>iscode</w:t>
            </w:r>
            <w:r>
              <w:rPr>
                <w:rStyle w:val="Text12"/>
              </w:rPr>
              <w:t xml:space="preserve">, </w:t>
            </w:r>
            <w:r>
              <w:t>isframe</w:t>
            </w:r>
            <w:r>
              <w:rPr>
                <w:rStyle w:val="Text12"/>
              </w:rPr>
              <w:t>,</w:t>
              <w:br w:clear="none"/>
              <w:t xml:space="preserve"> </w:t>
            </w:r>
            <w:r>
              <w:t>isfunction</w:t>
            </w:r>
            <w:r>
              <w:rPr>
                <w:rStyle w:val="Text12"/>
              </w:rPr>
              <w:t>,</w:t>
              <w:br w:clear="none"/>
              <w:t xml:space="preserve"> </w:t>
            </w:r>
            <w:r>
              <w:t>ismethod</w:t>
            </w:r>
            <w:r>
              <w:rPr>
                <w:rStyle w:val="Text12"/>
              </w:rPr>
              <w:t>,</w:t>
              <w:br w:clear="none"/>
              <w:t xml:space="preserve"> </w:t>
            </w:r>
            <w:r>
              <w:t>ismodule</w:t>
            </w:r>
            <w:r>
              <w:rPr>
                <w:rStyle w:val="Text12"/>
              </w:rPr>
              <w:t>,</w:t>
              <w:br w:clear="none"/>
              <w:t xml:space="preserve"> </w:t>
            </w:r>
            <w:r>
              <w:t>isroutine</w:t>
            </w:r>
          </w:p>
        </w:tc>
        <w:tc>
          <w:tcPr>
            <w:tcW w:type="auto" w:w="0"/>
            <w:shd w:val="clear" w:color="auto" w:fill="EEF2F6"/>
            <w:tcMar>
              <w:left w:type="dxa" w:w="200"/>
              <w:top w:type="dxa" w:w="200"/>
              <w:right w:type="dxa" w:w="200"/>
              <w:bottom w:type="dxa" w:w="200"/>
            </w:tcMar>
          </w:tcPr>
          <w:p>
            <w:pPr>
              <w:pStyle w:val="Para 002"/>
            </w:pPr>
            <w:r>
              <w:rPr>
                <w:rStyle w:val="Text0"/>
              </w:rPr>
              <w:t>isbuiltin(</w:t>
            </w:r>
            <w:r>
              <w:rPr>
                <w:rStyle w:val="Text3"/>
              </w:rPr>
              <w:t>obj</w:t>
            </w:r>
            <w:r>
              <w:rPr>
                <w:rStyle w:val="Text0"/>
              </w:rPr>
              <w:t>)</w:t>
            </w:r>
            <w:r>
              <w:t>, etc.</w:t>
              <w:br w:clear="none"/>
              <w:t xml:space="preserve"> Each of these functions accepts a single argument </w:t>
            </w:r>
            <w:r>
              <w:rPr>
                <w:rStyle w:val="Text3"/>
              </w:rPr>
              <w:t>obj</w:t>
            </w:r>
            <w:r>
              <w:t xml:space="preserve"> and returns </w:t>
            </w:r>
            <w:r>
              <w:rPr>
                <w:rStyle w:val="Text5"/>
              </w:rPr>
              <w:t>True</w:t>
            </w:r>
            <w:r>
              <w:t xml:space="preserve"> when </w:t>
            </w:r>
            <w:r>
              <w:rPr>
                <w:rStyle w:val="Text3"/>
              </w:rPr>
              <w:t>obj</w:t>
            </w:r>
            <w:r>
              <w:t xml:space="preserve"> is of the kind indicated in the function name. Accepted objects are, respectively: built-in (C-coded) functions, class objects, code objects, frame objects, Python-coded functions (including </w:t>
            </w:r>
            <w:r>
              <w:rPr>
                <w:rStyle w:val="Text5"/>
              </w:rPr>
              <w:t>lambda</w:t>
            </w:r>
            <w:r>
              <w:t xml:space="preserve"> expressions), methods, modules, and—for </w:t>
            </w:r>
            <w:r>
              <w:rPr>
                <w:rStyle w:val="Text0"/>
              </w:rPr>
              <w:t>isroutine</w:t>
            </w:r>
            <w:r>
              <w:t xml:space="preserve">—all methods or functions, either C-coded or Python-coded. These functions are often used as the </w:t>
            </w:r>
            <w:r>
              <w:rPr>
                <w:rStyle w:val="Text0"/>
              </w:rPr>
              <w:t>filter</w:t>
            </w:r>
            <w:r>
              <w:t xml:space="preserve"> argument to </w:t>
            </w:r>
            <w:r>
              <w:rPr>
                <w:rStyle w:val="Text0"/>
              </w:rPr>
              <w:t>getmembers</w:t>
            </w:r>
            <w:r>
              <w:t>.</w:t>
            </w:r>
          </w:p>
        </w:tc>
      </w:tr>
    </w:tbl>
    <w:tbl>
      <w:tblPr>
        <w:tblW w:type="auto" w:w="0"/>
      </w:tblPr>
      <w:tr>
        <w:tc>
          <w:tcPr>
            <w:tcW w:type="auto" w:w="0"/>
            <w:tcMar>
              <w:left w:type="dxa" w:w="200"/>
              <w:top w:type="dxa" w:w="200"/>
              <w:right w:type="dxa" w:w="200"/>
              <w:bottom w:type="dxa" w:w="200"/>
            </w:tcMar>
          </w:tcPr>
          <w:p>
            <w:pPr>
              <w:pStyle w:val="Para 001"/>
            </w:pPr>
            <w:r>
              <w:t>stack</w:t>
            </w:r>
          </w:p>
        </w:tc>
        <w:tc>
          <w:tcPr>
            <w:tcW w:type="auto" w:w="0"/>
            <w:tcMar>
              <w:left w:type="dxa" w:w="200"/>
              <w:top w:type="dxa" w:w="200"/>
              <w:right w:type="dxa" w:w="200"/>
              <w:bottom w:type="dxa" w:w="200"/>
            </w:tcMar>
          </w:tcPr>
          <w:p>
            <w:pPr>
              <w:pStyle w:val="Para 002"/>
            </w:pPr>
            <w:r>
              <w:rPr>
                <w:rStyle w:val="Text0"/>
              </w:rPr>
              <w:t>stack(context=1)</w:t>
              <w:br w:clear="none"/>
            </w:r>
            <w:r>
              <w:t xml:space="preserve"> Returns</w:t>
            </w:r>
            <w:r>
              <w:rPr>
                <w:rStyle w:val="Text111"/>
              </w:rPr>
              <w:bookmarkStart w:id="3780" w:name="idm45965182093808"/>
              <w:t/>
              <w:bookmarkEnd w:id="3780"/>
            </w:r>
            <w:r>
              <w:t xml:space="preserve"> a list of six-item tuples. The first tuple is about </w:t>
            </w:r>
            <w:r>
              <w:rPr>
                <w:rStyle w:val="Text0"/>
              </w:rPr>
              <w:t>stack</w:t>
            </w:r>
            <w:r>
              <w:t xml:space="preserve">’s caller, the second about the caller’s caller, and so on. The items in each tuple are: frame object, filename, line number, function name, list of </w:t>
            </w:r>
            <w:r>
              <w:rPr>
                <w:rStyle w:val="Text0"/>
              </w:rPr>
              <w:t>context</w:t>
            </w:r>
            <w:r>
              <w:t xml:space="preserve"> source lines around the current line, index of current line within the list.</w:t>
            </w:r>
          </w:p>
        </w:tc>
      </w:tr>
    </w:tbl>
    <w:p>
      <w:bookmarkStart w:id="3781" w:name="Introspecting_callables__To_intr"/>
      <w:pPr>
        <w:keepNext/>
        <w:pStyle w:val="Heading 2"/>
      </w:pPr>
      <w:r>
        <w:t>Introspecting callables</w:t>
      </w:r>
      <w:bookmarkEnd w:id="3781"/>
    </w:p>
    <w:p>
      <w:pPr>
        <w:pStyle w:val="Normal"/>
      </w:pPr>
      <w:r>
        <w:t xml:space="preserve">To introspect a callable’s signature, call </w:t>
      </w:r>
      <w:r>
        <w:rPr>
          <w:rStyle w:val="Text0"/>
        </w:rPr>
        <w:t>inspect.signature(</w:t>
      </w:r>
      <w:r>
        <w:rPr>
          <w:rStyle w:val="Text3"/>
        </w:rPr>
        <w:t>f</w:t>
      </w:r>
      <w:r>
        <w:rPr>
          <w:rStyle w:val="Text0"/>
        </w:rPr>
        <w:t>)</w:t>
      </w:r>
      <w:r>
        <w:t xml:space="preserve">, which returns an instance </w:t>
      </w:r>
      <w:r>
        <w:rPr>
          <w:rStyle w:val="Text3"/>
        </w:rPr>
        <w:t>s</w:t>
      </w:r>
      <w:r>
        <w:t xml:space="preserve"> of class </w:t>
      </w:r>
      <w:r>
        <w:rPr>
          <w:rStyle w:val="Text0"/>
        </w:rPr>
        <w:t>inspect.Signature</w:t>
      </w:r>
      <w:r>
        <w:t>.</w:t>
      </w:r>
    </w:p>
    <w:p>
      <w:pPr>
        <w:pStyle w:val="Normal"/>
      </w:pPr>
      <w:r>
        <w:rPr>
          <w:rStyle w:val="Text3"/>
        </w:rPr>
        <w:t>s</w:t>
      </w:r>
      <w:r>
        <w:rPr>
          <w:rStyle w:val="Text0"/>
        </w:rPr>
        <w:t>.parameters</w:t>
      </w:r>
      <w:r>
        <w:t xml:space="preserve"> is a </w:t>
      </w:r>
      <w:r>
        <w:rPr>
          <w:rStyle w:val="Text0"/>
        </w:rPr>
        <w:t>dict</w:t>
      </w:r>
      <w:r>
        <w:t xml:space="preserve"> mapping parameter names to </w:t>
      </w:r>
      <w:r>
        <w:rPr>
          <w:rStyle w:val="Text0"/>
        </w:rPr>
        <w:t>inspect.Parameter</w:t>
      </w:r>
      <w:r>
        <w:t xml:space="preserve"> instances. Call </w:t>
      </w:r>
      <w:r>
        <w:rPr>
          <w:rStyle w:val="Text3"/>
        </w:rPr>
        <w:t>s</w:t>
      </w:r>
      <w:r>
        <w:rPr>
          <w:rStyle w:val="Text0"/>
        </w:rPr>
        <w:t>.bind(*</w:t>
      </w:r>
      <w:r>
        <w:rPr>
          <w:rStyle w:val="Text3"/>
        </w:rPr>
        <w:t>a</w:t>
      </w:r>
      <w:r>
        <w:rPr>
          <w:rStyle w:val="Text0"/>
        </w:rPr>
        <w:t>,</w:t>
      </w:r>
      <w:r>
        <w:t xml:space="preserve"> </w:t>
      </w:r>
      <w:r>
        <w:rPr>
          <w:rStyle w:val="Text3"/>
        </w:rPr>
        <w:t>**k</w:t>
      </w:r>
      <w:r>
        <w:rPr>
          <w:rStyle w:val="Text0"/>
        </w:rPr>
        <w:t>)</w:t>
      </w:r>
      <w:r>
        <w:t xml:space="preserve"> to bind all parameters to the given positional and named arguments, or </w:t>
      </w:r>
      <w:r>
        <w:rPr>
          <w:rStyle w:val="Text3"/>
        </w:rPr>
        <w:t>s</w:t>
      </w:r>
      <w:r>
        <w:rPr>
          <w:rStyle w:val="Text0"/>
        </w:rPr>
        <w:t>.bind_partial(</w:t>
      </w:r>
      <w:r>
        <w:rPr>
          <w:rStyle w:val="Text3"/>
        </w:rPr>
        <w:t>*a</w:t>
      </w:r>
      <w:r>
        <w:rPr>
          <w:rStyle w:val="Text0"/>
        </w:rPr>
        <w:t>,</w:t>
      </w:r>
      <w:r>
        <w:t xml:space="preserve"> </w:t>
      </w:r>
      <w:r>
        <w:rPr>
          <w:rStyle w:val="Text3"/>
        </w:rPr>
        <w:t>**k</w:t>
      </w:r>
      <w:r>
        <w:rPr>
          <w:rStyle w:val="Text0"/>
        </w:rPr>
        <w:t>)</w:t>
      </w:r>
      <w:r>
        <w:t xml:space="preserve"> to bind a subset of them: each returns an instance </w:t>
      </w:r>
      <w:r>
        <w:rPr>
          <w:rStyle w:val="Text3"/>
        </w:rPr>
        <w:t>b</w:t>
      </w:r>
      <w:r>
        <w:t xml:space="preserve"> of </w:t>
      </w:r>
      <w:r>
        <w:rPr>
          <w:rStyle w:val="Text0"/>
        </w:rPr>
        <w:t>inspect.BoundArguments</w:t>
      </w:r>
      <w:r>
        <w:t>.</w:t>
      </w:r>
    </w:p>
    <w:p>
      <w:pPr>
        <w:pStyle w:val="Normal"/>
      </w:pPr>
      <w:r>
        <w:t xml:space="preserve">For detailed information and examples of how to introspect callables’ signatures through these classes and their methods, see </w:t>
      </w:r>
      <w:hyperlink r:id="rId504">
        <w:r>
          <w:rPr>
            <w:rStyle w:val="Text1"/>
          </w:rPr>
          <w:t>PEP 362</w:t>
        </w:r>
      </w:hyperlink>
      <w:r>
        <w:t>.</w:t>
      </w:r>
    </w:p>
    <w:p>
      <w:bookmarkStart w:id="3782" w:name="An_example_of_using_inspect__Sup"/>
      <w:pPr>
        <w:keepNext/>
        <w:pStyle w:val="Heading 2"/>
      </w:pPr>
      <w:r>
        <w:t>An example of using inspect</w:t>
      </w:r>
      <w:bookmarkEnd w:id="3782"/>
    </w:p>
    <w:p>
      <w:pPr>
        <w:pStyle w:val="Normal"/>
      </w:pPr>
      <w:r>
        <w:t>Suppose that somewhere in your program you execute a statement such as:</w:t>
      </w:r>
    </w:p>
    <w:p>
      <w:pPr>
        <w:pStyle w:val="Para 007"/>
      </w:pPr>
      <w:r>
        <w:rPr>
          <w:rStyle w:val="Text23"/>
        </w:rPr>
        <w:t xml:space="preserve"/>
        <w:br w:clear="none"/>
      </w:r>
      <w:r>
        <w:t xml:space="preserve">x</w:t>
        <w:br w:clear="none"/>
      </w:r>
      <w:r>
        <w:rPr>
          <w:rStyle w:val="Text13"/>
        </w:rPr>
        <w:t xml:space="preserve">.</w:t>
        <w:br w:clear="none"/>
      </w:r>
      <w:r>
        <w:t xml:space="preserve">f</w:t>
        <w:br w:clear="none"/>
      </w:r>
      <w:r>
        <w:rPr>
          <w:rStyle w:val="Text7"/>
        </w:rPr>
        <w:t xml:space="preserve">()</w:t>
        <w:br w:clear="none"/>
      </w:r>
    </w:p>
    <w:p>
      <w:pPr>
        <w:pStyle w:val="Normal"/>
      </w:pPr>
      <w:r>
        <w:t xml:space="preserve">and unexpectedly receive an </w:t>
      </w:r>
      <w:r>
        <w:rPr>
          <w:rStyle w:val="Text0"/>
        </w:rPr>
        <w:t>AttributeError</w:t>
      </w:r>
      <w:r>
        <w:t xml:space="preserve"> informing you that object </w:t>
      </w:r>
      <w:r>
        <w:rPr>
          <w:rStyle w:val="Text0"/>
        </w:rPr>
        <w:t>x</w:t>
      </w:r>
      <w:r>
        <w:t xml:space="preserve"> has no attribute named </w:t>
      </w:r>
      <w:r>
        <w:rPr>
          <w:rStyle w:val="Text0"/>
        </w:rPr>
        <w:t>f</w:t>
      </w:r>
      <w:r>
        <w:t xml:space="preserve">. This means that object </w:t>
      </w:r>
      <w:r>
        <w:rPr>
          <w:rStyle w:val="Text0"/>
        </w:rPr>
        <w:t>x</w:t>
      </w:r>
      <w:r>
        <w:t xml:space="preserve"> is not as you expected, so you want to determine more about </w:t>
      </w:r>
      <w:r>
        <w:rPr>
          <w:rStyle w:val="Text0"/>
        </w:rPr>
        <w:t>x</w:t>
      </w:r>
      <w:r>
        <w:t xml:space="preserve"> as a preliminary to ascertaining why </w:t>
      </w:r>
      <w:r>
        <w:rPr>
          <w:rStyle w:val="Text0"/>
        </w:rPr>
        <w:t>x</w:t>
      </w:r>
      <w:r>
        <w:t xml:space="preserve"> is that way and what you should do about it. A simple first approach might be:</w:t>
      </w:r>
    </w:p>
    <w:p>
      <w:pPr>
        <w:pStyle w:val="Para 014"/>
      </w:pPr>
      <w:r>
        <w:rPr>
          <w:rStyle w:val="Text116"/>
        </w:rPr>
        <w:t xml:space="preserve"/>
        <w:br w:clear="none"/>
      </w:r>
      <w:r>
        <w:rPr>
          <w:rStyle w:val="Text21"/>
        </w:rPr>
        <w:t xml:space="preserve">print</w:t>
        <w:br w:clear="none"/>
      </w:r>
      <w:r>
        <w:rPr>
          <w:rStyle w:val="Text19"/>
        </w:rPr>
        <w:t xml:space="preserve">(</w:t>
        <w:br w:clear="none"/>
      </w:r>
      <w:r>
        <w:rPr>
          <w:rStyle w:val="Text21"/>
        </w:rPr>
        <w:t xml:space="preserve">type</w:t>
        <w:br w:clear="none"/>
      </w:r>
      <w:r>
        <w:rPr>
          <w:rStyle w:val="Text19"/>
        </w:rPr>
        <w:t xml:space="preserve">(</w:t>
        <w:br w:clear="none"/>
      </w:r>
      <w:r>
        <w:rPr>
          <w:rStyle w:val="Text14"/>
        </w:rPr>
        <w:t xml:space="preserve">x</w:t>
        <w:br w:clear="none"/>
      </w:r>
      <w:r>
        <w:rPr>
          <w:rStyle w:val="Text19"/>
        </w:rPr>
        <w:t xml:space="preserve">)</w:t>
        <w:br w:clear="none"/>
        <w:t xml:space="preserve">,</w:t>
        <w:br w:clear="none"/>
      </w:r>
      <w:r>
        <w:rPr>
          <w:rStyle w:val="Text11"/>
        </w:rPr>
        <w:t xml:space="preserve"> </w:t>
        <w:br w:clear="none"/>
      </w:r>
      <w:r>
        <w:rPr>
          <w:rStyle w:val="Text14"/>
        </w:rPr>
        <w:t xml:space="preserve">x</w:t>
        <w:br w:clear="none"/>
      </w:r>
      <w:r>
        <w:rPr>
          <w:rStyle w:val="Text19"/>
        </w:rPr>
        <w:t xml:space="preserve">)</w:t>
        <w:br w:clear="none"/>
      </w:r>
      <w:r>
        <w:rPr>
          <w:rStyle w:val="Text11"/>
        </w:rPr>
        <w:t xml:space="preserve"/>
        <w:br w:clear="none"/>
      </w:r>
      <w:r>
        <w:t xml:space="preserve"># or, from v3.8, use an f-string with a trailing '=' to show repr(x)</w:t>
        <w:br w:clear="none"/>
      </w:r>
      <w:r>
        <w:rPr>
          <w:rStyle w:val="Text11"/>
        </w:rPr>
        <w:t xml:space="preserve"/>
        <w:br w:clear="none"/>
      </w:r>
      <w:r>
        <w:t xml:space="preserve"># print(f'{x=}')</w:t>
        <w:br w:clear="none"/>
      </w:r>
      <w:r>
        <w:rPr>
          <w:rStyle w:val="Text11"/>
        </w:rPr>
        <w:t xml:space="preserve"/>
        <w:br w:clear="none"/>
      </w:r>
      <w:r>
        <w:rPr>
          <w:rStyle w:val="Text14"/>
        </w:rPr>
        <w:t xml:space="preserve">x</w:t>
        <w:br w:clear="none"/>
      </w:r>
      <w:r>
        <w:rPr>
          <w:rStyle w:val="Text28"/>
        </w:rPr>
        <w:t xml:space="preserve">.</w:t>
        <w:br w:clear="none"/>
      </w:r>
      <w:r>
        <w:rPr>
          <w:rStyle w:val="Text14"/>
        </w:rPr>
        <w:t xml:space="preserve">f</w:t>
        <w:br w:clear="none"/>
      </w:r>
      <w:r>
        <w:rPr>
          <w:rStyle w:val="Text19"/>
        </w:rPr>
        <w:t xml:space="preserve">(</w:t>
        <w:br w:clear="none"/>
        <w:t xml:space="preserve">)</w:t>
        <w:br w:clear="none"/>
      </w:r>
    </w:p>
    <w:p>
      <w:pPr>
        <w:pStyle w:val="Normal"/>
      </w:pPr>
      <w:r>
        <w:t xml:space="preserve">This will often provide sufficient information to go on; or you might change it to </w:t>
      </w:r>
      <w:r>
        <w:rPr>
          <w:rStyle w:val="Text0"/>
        </w:rPr>
        <w:t>print(type(x), dir(x), x)</w:t>
      </w:r>
      <w:r>
        <w:t xml:space="preserve"> to see what </w:t>
      </w:r>
      <w:r>
        <w:rPr>
          <w:rStyle w:val="Text0"/>
        </w:rPr>
        <w:t>x</w:t>
      </w:r>
      <w:r>
        <w:t>’s methods and attributes are. But if this isn’t sufficient, change the statement to:</w:t>
      </w:r>
    </w:p>
    <w:p>
      <w:pPr>
        <w:pStyle w:val="Para 007"/>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x</w:t>
        <w:br w:clear="none"/>
      </w:r>
      <w:r>
        <w:rPr>
          <w:rStyle w:val="Text13"/>
        </w:rPr>
        <w:t xml:space="preserve">.</w:t>
        <w:br w:clear="none"/>
      </w:r>
      <w:r>
        <w:t xml:space="preserve">f</w:t>
        <w:br w:clear="none"/>
      </w:r>
      <w:r>
        <w:rPr>
          <w:rStyle w:val="Text7"/>
        </w:rPr>
        <w:t xml:space="preserve">(</w:t>
        <w:br w:clear="none"/>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AttributeError</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sys</w:t>
        <w:br w:clear="none"/>
      </w:r>
      <w:r>
        <w:rPr>
          <w:rStyle w:val="Text63"/>
        </w:rPr>
        <w:t xml:space="preserve">,</w:t>
        <w:br w:clear="none"/>
      </w:r>
      <w:r>
        <w:rPr>
          <w:rStyle w:val="Text6"/>
        </w:rPr>
        <w:t xml:space="preserve"> </w:t>
        <w:br w:clear="none"/>
      </w:r>
      <w:r>
        <w:rPr>
          <w:rStyle w:val="Text20"/>
        </w:rPr>
        <w:t xml:space="preserve">inspect</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x is type </w:t>
        <w:br w:clear="none"/>
      </w:r>
      <w:r>
        <w:rPr>
          <w:rStyle w:val="Text32"/>
        </w:rPr>
        <w:t xml:space="preserve">{</w:t>
        <w:br w:clear="none"/>
      </w:r>
      <w:r>
        <w:rPr>
          <w:rStyle w:val="Text16"/>
        </w:rPr>
        <w:t xml:space="preserve">type</w:t>
        <w:br w:clear="none"/>
      </w:r>
      <w:r>
        <w:rPr>
          <w:rStyle w:val="Text7"/>
        </w:rPr>
        <w:t xml:space="preserve">(</w:t>
        <w:br w:clear="none"/>
      </w:r>
      <w:r>
        <w:t xml:space="preserve">x</w:t>
        <w:br w:clear="none"/>
      </w:r>
      <w:r>
        <w:rPr>
          <w:rStyle w:val="Text7"/>
        </w:rPr>
        <w:t xml:space="preserve">)</w:t>
        <w:br w:clear="none"/>
      </w:r>
      <w:r>
        <w:rPr>
          <w:rStyle w:val="Text13"/>
        </w:rPr>
        <w:t xml:space="preserve">.</w:t>
        <w:br w:clear="none"/>
      </w:r>
      <w:r>
        <w:rPr>
          <w:rStyle w:val="Text6"/>
        </w:rPr>
        <w:t xml:space="preserve">__name__</w:t>
        <w:br w:clear="none"/>
      </w:r>
      <w:r>
        <w:rPr>
          <w:rStyle w:val="Text32"/>
        </w:rPr>
        <w:t xml:space="preserve">}</w:t>
        <w:br w:clear="none"/>
      </w:r>
      <w:r>
        <w:rPr>
          <w:rStyle w:val="Text8"/>
        </w:rPr>
        <w:t xml:space="preserve">, (</w:t>
        <w:br w:clear="none"/>
      </w:r>
      <w:r>
        <w:rPr>
          <w:rStyle w:val="Text32"/>
        </w:rPr>
        <w:t xml:space="preserve">{</w:t>
        <w:br w:clear="none"/>
      </w:r>
      <w:r>
        <w:t xml:space="preserve">x</w:t>
        <w:br w:clear="none"/>
      </w:r>
      <w:r>
        <w:rPr>
          <w:rStyle w:val="Text32"/>
        </w:rPr>
        <w:t xml:space="preserve">!r}</w:t>
        <w:br w:clear="none"/>
      </w:r>
      <w:r>
        <w:rPr>
          <w:rStyle w:val="Text8"/>
        </w:rPr>
        <w:t xml:space="preserve">)</w:t>
        <w:br w:clear="none"/>
        <w:t xml:space="preserve">'</w:t>
        <w:br w:clear="none"/>
      </w:r>
      <w:r>
        <w:rPr>
          <w:rStyle w:val="Text7"/>
        </w:rPr>
        <w:t xml:space="preserve">,</w:t>
        <w:br w:clear="none"/>
      </w:r>
      <w:r>
        <w:rPr>
          <w:rStyle w:val="Text6"/>
        </w:rPr>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x</w:t>
        <w:br w:clear="none"/>
        <w:t xml:space="preserve">'</w:t>
        <w:br w:clear="none"/>
        <w:t xml:space="preserve">s methods are:</w:t>
        <w:br w:clear="none"/>
        <w:t xml:space="preserve">"</w:t>
        <w:br w:clear="none"/>
      </w:r>
      <w:r>
        <w:rPr>
          <w:rStyle w:val="Text7"/>
        </w:rPr>
        <w:t xml:space="preserve">,</w:t>
        <w:br w:clear="none"/>
      </w:r>
      <w:r>
        <w:rPr>
          <w:rStyle w:val="Text6"/>
        </w:rPr>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n</w:t>
        <w:br w:clear="none"/>
      </w:r>
      <w:r>
        <w:rPr>
          <w:rStyle w:val="Text7"/>
        </w:rPr>
        <w:t xml:space="preserve">,</w:t>
        <w:br w:clear="none"/>
      </w:r>
      <w:r>
        <w:rPr>
          <w:rStyle w:val="Text6"/>
        </w:rPr>
        <w:t xml:space="preserve"> </w:t>
        <w:br w:clear="none"/>
      </w:r>
      <w:r>
        <w:t xml:space="preserve">v</w:t>
        <w:br w:clear="none"/>
      </w:r>
      <w:r>
        <w:rPr>
          <w:rStyle w:val="Text6"/>
        </w:rPr>
        <w:t xml:space="preserve"> </w:t>
        <w:br w:clear="none"/>
      </w:r>
      <w:r>
        <w:rPr>
          <w:rStyle w:val="Text31"/>
        </w:rPr>
        <w:t xml:space="preserve">in</w:t>
        <w:br w:clear="none"/>
      </w:r>
      <w:r>
        <w:rPr>
          <w:rStyle w:val="Text6"/>
        </w:rPr>
        <w:t xml:space="preserve"> </w:t>
        <w:br w:clear="none"/>
      </w:r>
      <w:r>
        <w:t xml:space="preserve">inspect</w:t>
        <w:br w:clear="none"/>
      </w:r>
      <w:r>
        <w:rPr>
          <w:rStyle w:val="Text13"/>
        </w:rPr>
        <w:t xml:space="preserve">.</w:t>
        <w:br w:clear="none"/>
      </w:r>
      <w:r>
        <w:t xml:space="preserve">getmembers</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n</w:t>
        <w:br w:clear="none"/>
      </w:r>
      <w:r>
        <w:rPr>
          <w:rStyle w:val="Text7"/>
        </w:rPr>
        <w:t xml:space="preserve">,</w:t>
        <w:br w:clear="none"/>
      </w:r>
      <w:r>
        <w:rPr>
          <w:rStyle w:val="Text6"/>
        </w:rPr>
        <w:t xml:space="preserve"> </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t>
        <w:br w:clear="none"/>
      </w:r>
      <w:r>
        <w:t xml:space="preserve">end</w:t>
        <w:br w:clear="none"/>
      </w:r>
      <w:r>
        <w:rPr>
          <w:rStyle w:val="Text13"/>
        </w:rPr>
        <w:t xml:space="preserve">=</w:t>
        <w:br w:clear="none"/>
      </w:r>
      <w:r>
        <w:rPr>
          <w:rStyle w:val="Text8"/>
        </w:rPr>
        <w:t xml:space="preserve">'</w:t>
        <w:br w:clear="none"/>
        <w:t xml:space="preserve"> </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file</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0"/>
        </w:rPr>
        <w:t xml:space="preserve">raise</w:t>
        <w:br w:clear="none"/>
      </w:r>
    </w:p>
    <w:p>
      <w:pPr>
        <w:pStyle w:val="Normal"/>
      </w:pPr>
      <w:r>
        <w:t xml:space="preserve">This example properly uses </w:t>
      </w:r>
      <w:r>
        <w:rPr>
          <w:rStyle w:val="Text0"/>
        </w:rPr>
        <w:t>sys.stderr</w:t>
      </w:r>
      <w:r>
        <w:t xml:space="preserve"> (covered in </w:t>
      </w:r>
      <w:hyperlink w:anchor="Table_8_3__Functions_and_attribu">
        <w:r>
          <w:rPr>
            <w:rStyle w:val="Text1"/>
          </w:rPr>
          <w:t>Table 8-3</w:t>
        </w:r>
      </w:hyperlink>
      <w:r>
        <w:t xml:space="preserve">), since it displays information related to an error, not program results. The function </w:t>
      </w:r>
      <w:r>
        <w:rPr>
          <w:rStyle w:val="Text0"/>
        </w:rPr>
        <w:t>getmembers</w:t>
      </w:r>
      <w:r>
        <w:t xml:space="preserve"> of the module </w:t>
      </w:r>
      <w:r>
        <w:rPr>
          <w:rStyle w:val="Text0"/>
        </w:rPr>
        <w:t>inspect</w:t>
      </w:r>
      <w:r>
        <w:t xml:space="preserve"> obtains the names of all the methods available on </w:t>
      </w:r>
      <w:r>
        <w:rPr>
          <w:rStyle w:val="Text0"/>
        </w:rPr>
        <w:t>x</w:t>
      </w:r>
      <w:r>
        <w:t xml:space="preserve"> in order to display them. If you often need this kind of diagnostic functionality, you can package it up into a separate function, such as:</w:t>
      </w:r>
    </w:p>
    <w:p>
      <w:pPr>
        <w:pStyle w:val="Para 007"/>
      </w:pPr>
      <w:r>
        <w:rPr>
          <w:rStyle w:val="Text23"/>
        </w:rPr>
        <w:t xml:space="preserve"/>
        <w:br w:clear="none"/>
      </w:r>
      <w:r>
        <w:rPr>
          <w:rStyle w:val="Text39"/>
        </w:rPr>
        <w:t xml:space="preserve">import</w:t>
        <w:br w:clear="none"/>
      </w:r>
      <w:r>
        <w:rPr>
          <w:rStyle w:val="Text6"/>
        </w:rPr>
        <w:t xml:space="preserve"> </w:t>
        <w:br w:clear="none"/>
      </w:r>
      <w:r>
        <w:rPr>
          <w:rStyle w:val="Text20"/>
        </w:rPr>
        <w:t xml:space="preserve">sys</w:t>
        <w:br w:clear="none"/>
      </w:r>
      <w:r>
        <w:rPr>
          <w:rStyle w:val="Text13"/>
        </w:rPr>
        <w:t xml:space="preserve">,</w:t>
        <w:br w:clear="none"/>
      </w:r>
      <w:r>
        <w:rPr>
          <w:rStyle w:val="Text6"/>
        </w:rPr>
        <w:t xml:space="preserve"> </w:t>
        <w:br w:clear="none"/>
      </w:r>
      <w:r>
        <w:rPr>
          <w:rStyle w:val="Text20"/>
        </w:rPr>
        <w:t xml:space="preserve">inspect</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show_obj_methods</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name</w:t>
        <w:br w:clear="none"/>
      </w:r>
      <w:r>
        <w:rPr>
          <w:rStyle w:val="Text7"/>
        </w:rPr>
        <w:t xml:space="preserve">,</w:t>
        <w:br w:clear="none"/>
      </w:r>
      <w:r>
        <w:rPr>
          <w:rStyle w:val="Text6"/>
        </w:rPr>
        <w:t xml:space="preserve"> </w:t>
        <w:br w:clear="none"/>
      </w:r>
      <w:r>
        <w:t xml:space="preserve">show</w:t>
        <w:br w:clear="none"/>
      </w:r>
      <w:r>
        <w:rPr>
          <w:rStyle w:val="Text13"/>
        </w:rPr>
        <w:t xml:space="preserve">=</w:t>
        <w:br w:clear="none"/>
      </w:r>
      <w:r>
        <w:t xml:space="preserve">sys</w:t>
        <w:br w:clear="none"/>
      </w:r>
      <w:r>
        <w:rPr>
          <w:rStyle w:val="Text13"/>
        </w:rPr>
        <w:t xml:space="preserve">.</w:t>
        <w:br w:clear="none"/>
      </w:r>
      <w:r>
        <w:t xml:space="preserve">stderr</w:t>
        <w:br w:clear="none"/>
      </w:r>
      <w:r>
        <w:rPr>
          <w:rStyle w:val="Text13"/>
        </w:rPr>
        <w:t xml:space="preserve">.</w:t>
        <w:br w:clear="none"/>
      </w:r>
      <w:r>
        <w:t xml:space="preserve">write</w:t>
        <w:br w:clear="none"/>
      </w:r>
      <w:r>
        <w:rPr>
          <w:rStyle w:val="Text7"/>
        </w:rPr>
        <w:t xml:space="preserve">)</w:t>
        <w:br w:clear="none"/>
        <w:t xml:space="preserve">:</w:t>
        <w:br w:clear="none"/>
      </w:r>
      <w:r>
        <w:rPr>
          <w:rStyle w:val="Text6"/>
        </w:rPr>
        <w:t xml:space="preserve"/>
        <w:br w:clear="none"/>
        <w:t xml:space="preserve">    </w:t>
        <w:br w:clear="none"/>
      </w:r>
      <w:r>
        <w:t xml:space="preserve">show</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name</w:t>
        <w:br w:clear="none"/>
      </w:r>
      <w:r>
        <w:rPr>
          <w:rStyle w:val="Text32"/>
        </w:rPr>
        <w:t xml:space="preserve">}</w:t>
        <w:br w:clear="none"/>
      </w:r>
      <w:r>
        <w:rPr>
          <w:rStyle w:val="Text8"/>
        </w:rPr>
        <w:t xml:space="preserve"> is type </w:t>
        <w:br w:clear="none"/>
      </w:r>
      <w:r>
        <w:rPr>
          <w:rStyle w:val="Text32"/>
        </w:rPr>
        <w:t xml:space="preserve">{</w:t>
        <w:br w:clear="none"/>
      </w:r>
      <w:r>
        <w:rPr>
          <w:rStyle w:val="Text16"/>
        </w:rPr>
        <w:t xml:space="preserve">type</w:t>
        <w:br w:clear="none"/>
      </w:r>
      <w:r>
        <w:rPr>
          <w:rStyle w:val="Text7"/>
        </w:rPr>
        <w:t xml:space="preserve">(</w:t>
        <w:br w:clear="none"/>
      </w:r>
      <w:r>
        <w:t xml:space="preserve">obj</w:t>
        <w:br w:clear="none"/>
      </w:r>
      <w:r>
        <w:rPr>
          <w:rStyle w:val="Text7"/>
        </w:rPr>
        <w:t xml:space="preserve">)</w:t>
        <w:br w:clear="none"/>
      </w:r>
      <w:r>
        <w:rPr>
          <w:rStyle w:val="Text13"/>
        </w:rPr>
        <w:t xml:space="preserve">.</w:t>
        <w:br w:clear="none"/>
      </w:r>
      <w:r>
        <w:rPr>
          <w:rStyle w:val="Text6"/>
        </w:rPr>
        <w:t xml:space="preserve">__name__</w:t>
        <w:br w:clear="none"/>
      </w:r>
      <w:r>
        <w:rPr>
          <w:rStyle w:val="Text32"/>
        </w:rPr>
        <w:t xml:space="preserve">}</w:t>
        <w:br w:clear="none"/>
      </w:r>
      <w:r>
        <w:rPr>
          <w:rStyle w:val="Text8"/>
        </w:rPr>
        <w:t xml:space="preserve">(</w:t>
        <w:br w:clear="none"/>
      </w:r>
      <w:r>
        <w:rPr>
          <w:rStyle w:val="Text32"/>
        </w:rPr>
        <w:t xml:space="preserve">{</w:t>
        <w:br w:clear="none"/>
      </w:r>
      <w:r>
        <w:t xml:space="preserve">obj</w:t>
        <w:br w:clear="none"/>
      </w:r>
      <w:r>
        <w:rPr>
          <w:rStyle w:val="Text32"/>
        </w:rPr>
        <w:t xml:space="preserve">!r}</w:t>
        <w:br w:clear="none"/>
      </w:r>
      <w:r>
        <w:rPr>
          <w:rStyle w:val="Text8"/>
        </w:rPr>
        <w:t xml:space="preserve">)</w:t>
        <w:br w:clear="none"/>
        <w:t xml:space="preserve">\n</w:t>
        <w:br w:clear="none"/>
        <w:t xml:space="preserve">'</w:t>
        <w:br w:clear="none"/>
      </w:r>
      <w:r>
        <w:rPr>
          <w:rStyle w:val="Text7"/>
        </w:rPr>
        <w:t xml:space="preserve">)</w:t>
        <w:br w:clear="none"/>
      </w:r>
      <w:r>
        <w:rPr>
          <w:rStyle w:val="Text6"/>
        </w:rPr>
        <w:t xml:space="preserve"/>
        <w:br w:clear="none"/>
        <w:t xml:space="preserve">    </w:t>
        <w:br w:clear="none"/>
      </w:r>
      <w:r>
        <w:t xml:space="preserve">show</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name</w:t>
        <w:br w:clear="none"/>
      </w:r>
      <w:r>
        <w:rPr>
          <w:rStyle w:val="Text32"/>
        </w:rPr>
        <w:t xml:space="preserve">}</w:t>
        <w:br w:clear="none"/>
      </w:r>
      <w:r>
        <w:rPr>
          <w:rStyle w:val="Text8"/>
        </w:rPr>
        <w:t xml:space="preserve">'</w:t>
        <w:br w:clear="none"/>
        <w:t xml:space="preserve">s methods are: </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n</w:t>
        <w:br w:clear="none"/>
      </w:r>
      <w:r>
        <w:rPr>
          <w:rStyle w:val="Text7"/>
        </w:rPr>
        <w:t xml:space="preserve">,</w:t>
        <w:br w:clear="none"/>
      </w:r>
      <w:r>
        <w:rPr>
          <w:rStyle w:val="Text6"/>
        </w:rPr>
        <w:t xml:space="preserve"> </w:t>
        <w:br w:clear="none"/>
      </w:r>
      <w:r>
        <w:t xml:space="preserve">v</w:t>
        <w:br w:clear="none"/>
      </w:r>
      <w:r>
        <w:rPr>
          <w:rStyle w:val="Text6"/>
        </w:rPr>
        <w:t xml:space="preserve"> </w:t>
        <w:br w:clear="none"/>
      </w:r>
      <w:r>
        <w:rPr>
          <w:rStyle w:val="Text31"/>
        </w:rPr>
        <w:t xml:space="preserve">in</w:t>
        <w:br w:clear="none"/>
      </w:r>
      <w:r>
        <w:rPr>
          <w:rStyle w:val="Text6"/>
        </w:rPr>
        <w:t xml:space="preserve"> </w:t>
        <w:br w:clear="none"/>
      </w:r>
      <w:r>
        <w:t xml:space="preserve">inspect</w:t>
        <w:br w:clear="none"/>
      </w:r>
      <w:r>
        <w:rPr>
          <w:rStyle w:val="Text13"/>
        </w:rPr>
        <w:t xml:space="preserve">.</w:t>
        <w:br w:clear="none"/>
      </w:r>
      <w:r>
        <w:t xml:space="preserve">getmembers</w:t>
        <w:br w:clear="none"/>
      </w:r>
      <w:r>
        <w:rPr>
          <w:rStyle w:val="Text7"/>
        </w:rPr>
        <w:t xml:space="preserve">(</w:t>
        <w:br w:clear="none"/>
      </w:r>
      <w:r>
        <w:t xml:space="preserve">obj</w:t>
        <w:br w:clear="none"/>
      </w:r>
      <w:r>
        <w:rPr>
          <w:rStyle w:val="Text7"/>
        </w:rPr>
        <w:t xml:space="preserve">,</w:t>
        <w:br w:clear="none"/>
      </w:r>
      <w:r>
        <w:rPr>
          <w:rStyle w:val="Text6"/>
        </w:rPr>
        <w:t xml:space="preserve"> </w:t>
        <w:br w:clear="none"/>
      </w:r>
      <w:r>
        <w:t xml:space="preserve">callable</w:t>
        <w:br w:clear="none"/>
      </w:r>
      <w:r>
        <w:rPr>
          <w:rStyle w:val="Text7"/>
        </w:rPr>
        <w:t xml:space="preserve">)</w:t>
        <w:br w:clear="none"/>
        <w:t xml:space="preserve">:</w:t>
        <w:br w:clear="none"/>
      </w:r>
      <w:r>
        <w:rPr>
          <w:rStyle w:val="Text6"/>
        </w:rPr>
        <w:t xml:space="preserve"/>
        <w:br w:clear="none"/>
        <w:t xml:space="preserve">       </w:t>
        <w:br w:clear="none"/>
      </w:r>
      <w:r>
        <w:t xml:space="preserve">show</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n</w:t>
        <w:br w:clear="none"/>
      </w:r>
      <w:r>
        <w:rPr>
          <w:rStyle w:val="Text32"/>
        </w:rPr>
        <w:t xml:space="preserve">}</w:t>
        <w:br w:clear="none"/>
      </w:r>
      <w:r>
        <w:rPr>
          <w:rStyle w:val="Text8"/>
        </w:rPr>
        <w:t xml:space="preserve"> </w:t>
        <w:br w:clear="none"/>
        <w:t xml:space="preserve">'</w:t>
        <w:br w:clear="none"/>
      </w:r>
      <w:r>
        <w:rPr>
          <w:rStyle w:val="Text7"/>
        </w:rPr>
        <w:t xml:space="preserve">)</w:t>
        <w:br w:clear="none"/>
      </w:r>
      <w:r>
        <w:rPr>
          <w:rStyle w:val="Text6"/>
        </w:rPr>
        <w:t xml:space="preserve"/>
        <w:br w:clear="none"/>
        <w:t xml:space="preserve">    </w:t>
        <w:br w:clear="none"/>
      </w:r>
      <w:r>
        <w:t xml:space="preserve">show</w:t>
        <w:br w:clear="none"/>
      </w:r>
      <w:r>
        <w:rPr>
          <w:rStyle w:val="Text7"/>
        </w:rPr>
        <w:t xml:space="preserve">(</w:t>
        <w:br w:clear="none"/>
      </w:r>
      <w:r>
        <w:rPr>
          <w:rStyle w:val="Text8"/>
        </w:rPr>
        <w:t xml:space="preserve">'</w:t>
        <w:br w:clear="none"/>
        <w:t xml:space="preserve">\n</w:t>
        <w:br w:clear="none"/>
        <w:t xml:space="preserve">'</w:t>
        <w:br w:clear="none"/>
      </w:r>
      <w:r>
        <w:rPr>
          <w:rStyle w:val="Text7"/>
        </w:rPr>
        <w:t xml:space="preserve">)</w:t>
        <w:br w:clear="none"/>
      </w:r>
    </w:p>
    <w:p>
      <w:pPr>
        <w:pStyle w:val="Normal"/>
      </w:pPr>
      <w:r>
        <w:t>And then the example becomes just:</w:t>
      </w:r>
    </w:p>
    <w:p>
      <w:pPr>
        <w:pStyle w:val="Para 007"/>
      </w:pPr>
      <w:r>
        <w:rPr>
          <w:rStyle w:val="Text23"/>
        </w:rPr>
        <w:t xml:space="preserve"/>
        <w:br w:clear="none"/>
      </w:r>
      <w:r>
        <w:rPr>
          <w:rStyle w:val="Text10"/>
        </w:rPr>
        <w:t xml:space="preserve">try</w:t>
        <w:br w:clear="none"/>
      </w:r>
      <w:r>
        <w:rPr>
          <w:rStyle w:val="Text7"/>
        </w:rPr>
        <w:t xml:space="preserve">:</w:t>
        <w:br w:clear="none"/>
      </w:r>
      <w:r>
        <w:rPr>
          <w:rStyle w:val="Text6"/>
        </w:rPr>
        <w:t xml:space="preserve"/>
        <w:br w:clear="none"/>
        <w:t xml:space="preserve">    </w:t>
        <w:br w:clear="none"/>
      </w:r>
      <w:r>
        <w:t xml:space="preserve">x</w:t>
        <w:br w:clear="none"/>
      </w:r>
      <w:r>
        <w:rPr>
          <w:rStyle w:val="Text13"/>
        </w:rPr>
        <w:t xml:space="preserve">.</w:t>
        <w:br w:clear="none"/>
      </w:r>
      <w:r>
        <w:t xml:space="preserve">f</w:t>
        <w:br w:clear="none"/>
      </w:r>
      <w:r>
        <w:rPr>
          <w:rStyle w:val="Text7"/>
        </w:rPr>
        <w:t xml:space="preserve">(</w:t>
        <w:br w:clear="none"/>
        <w:t xml:space="preserve">)</w:t>
        <w:br w:clear="none"/>
      </w:r>
      <w:r>
        <w:rPr>
          <w:rStyle w:val="Text6"/>
        </w:rPr>
        <w:t xml:space="preserve"/>
        <w:br w:clear="none"/>
      </w:r>
      <w:r>
        <w:rPr>
          <w:rStyle w:val="Text10"/>
        </w:rPr>
        <w:t xml:space="preserve">except</w:t>
        <w:br w:clear="none"/>
      </w:r>
      <w:r>
        <w:rPr>
          <w:rStyle w:val="Text6"/>
        </w:rPr>
        <w:t xml:space="preserve"> </w:t>
        <w:br w:clear="none"/>
      </w:r>
      <w:r>
        <w:rPr>
          <w:rStyle w:val="Text36"/>
        </w:rPr>
        <w:t xml:space="preserve">AttributeError</w:t>
        <w:br w:clear="none"/>
      </w:r>
      <w:r>
        <w:rPr>
          <w:rStyle w:val="Text7"/>
        </w:rPr>
        <w:t xml:space="preserve">:</w:t>
        <w:br w:clear="none"/>
      </w:r>
      <w:r>
        <w:rPr>
          <w:rStyle w:val="Text6"/>
        </w:rPr>
        <w:t xml:space="preserve"/>
        <w:br w:clear="none"/>
        <w:t xml:space="preserve">    </w:t>
        <w:br w:clear="none"/>
      </w:r>
      <w:r>
        <w:t xml:space="preserve">show_obj_methods</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8"/>
        </w:rPr>
        <w:t xml:space="preserve">'</w:t>
        <w:br w:clear="none"/>
        <w:t xml:space="preserve">x</w:t>
        <w:br w:clear="none"/>
        <w:t xml:space="preserve">'</w:t>
        <w:br w:clear="none"/>
      </w:r>
      <w:r>
        <w:rPr>
          <w:rStyle w:val="Text7"/>
        </w:rPr>
        <w:t xml:space="preserve">)</w:t>
        <w:br w:clear="none"/>
      </w:r>
      <w:r>
        <w:rPr>
          <w:rStyle w:val="Text6"/>
        </w:rPr>
        <w:t xml:space="preserve"/>
        <w:br w:clear="none"/>
      </w:r>
      <w:r>
        <w:rPr>
          <w:rStyle w:val="Text29"/>
        </w:rPr>
        <w:t xml:space="preserve">   </w:t>
        <w:br w:clear="none"/>
      </w:r>
      <w:r>
        <w:rPr>
          <w:rStyle w:val="Text6"/>
        </w:rPr>
        <w:t xml:space="preserve"> </w:t>
        <w:br w:clear="none"/>
      </w:r>
      <w:r>
        <w:rPr>
          <w:rStyle w:val="Text10"/>
        </w:rPr>
        <w:t xml:space="preserve">raise</w:t>
        <w:br w:clear="none"/>
      </w:r>
    </w:p>
    <w:p>
      <w:pPr>
        <w:pStyle w:val="Normal"/>
      </w:pPr>
      <w:r>
        <w:t xml:space="preserve">Good program structure and organization are just as necessary in code intended for diagnostic and debugging purposes as they are in code that implements your program’s functionality. See also </w:t>
      </w:r>
      <w:hyperlink w:anchor="The_assert_Statement__The_assert">
        <w:r>
          <w:rPr>
            <w:rStyle w:val="Text1"/>
          </w:rPr>
          <w:t>“The assert Statement”</w:t>
        </w:r>
      </w:hyperlink>
      <w:r>
        <w:t xml:space="preserve"> for a good technique to use when defining diagnostic and debugging functions.</w:t>
      </w:r>
      <w:r>
        <w:rPr>
          <w:rStyle w:val="Text111"/>
        </w:rPr>
        <w:bookmarkStart w:id="3783" w:name="idm45965181707920"/>
        <w:t/>
        <w:bookmarkEnd w:id="3783"/>
        <w:bookmarkStart w:id="3784" w:name="idm45965181706544"/>
        <w:t/>
        <w:bookmarkEnd w:id="3784"/>
      </w:r>
    </w:p>
    <w:p>
      <w:bookmarkStart w:id="3785" w:name="The_traceback_Module__The_traceb"/>
      <w:pPr>
        <w:keepNext/>
        <w:pStyle w:val="Heading 2"/>
      </w:pPr>
      <w:r>
        <w:t>The traceback Module</w:t>
      </w:r>
      <w:bookmarkEnd w:id="3785"/>
    </w:p>
    <w:p>
      <w:pPr>
        <w:pStyle w:val="Normal"/>
      </w:pPr>
      <w:r>
        <w:t>The</w:t>
      </w:r>
      <w:r>
        <w:rPr>
          <w:rStyle w:val="Text111"/>
        </w:rPr>
        <w:bookmarkStart w:id="3786" w:name="idm45965181703600"/>
        <w:t/>
        <w:bookmarkEnd w:id="3786"/>
        <w:bookmarkStart w:id="3787" w:name="idm45965181702192"/>
        <w:t/>
        <w:bookmarkEnd w:id="3787"/>
      </w:r>
      <w:r>
        <w:t xml:space="preserve"> </w:t>
      </w:r>
      <w:r>
        <w:rPr>
          <w:rStyle w:val="Text0"/>
        </w:rPr>
        <w:t>traceback</w:t>
      </w:r>
      <w:r>
        <w:t xml:space="preserve"> module lets you extract, format, and output information about tracebacks that uncaught exceptions normally produce. By default, this module reproduces the formatting Python uses for tracebacks. However, the </w:t>
      </w:r>
      <w:r>
        <w:rPr>
          <w:rStyle w:val="Text0"/>
        </w:rPr>
        <w:t>traceback</w:t>
      </w:r>
      <w:r>
        <w:t xml:space="preserve"> module also lets you exert fine-grained control. The module supplies many functions, but in typical use you need only one of them:</w:t>
      </w:r>
    </w:p>
    <w:tbl>
      <w:tblPr>
        <w:tblW w:type="auto" w:w="0"/>
      </w:tblPr>
      <w:tr>
        <w:tc>
          <w:tcPr>
            <w:tcW w:type="auto" w:w="0"/>
            <w:tcMar>
              <w:left w:type="dxa" w:w="200"/>
              <w:top w:type="dxa" w:w="200"/>
              <w:right w:type="dxa" w:w="200"/>
              <w:bottom w:type="dxa" w:w="200"/>
            </w:tcMar>
          </w:tcPr>
          <w:p>
            <w:pPr>
              <w:pStyle w:val="Para 119"/>
            </w:pPr>
            <w:r>
              <w:t/>
            </w:r>
          </w:p>
          <w:p>
            <w:pPr>
              <w:pStyle w:val="Para 001"/>
            </w:pPr>
            <w:r>
              <w:t>print_exc</w:t>
            </w:r>
          </w:p>
        </w:tc>
        <w:tc>
          <w:tcPr>
            <w:tcW w:type="auto" w:w="0"/>
            <w:tcMar>
              <w:left w:type="dxa" w:w="200"/>
              <w:top w:type="dxa" w:w="200"/>
              <w:right w:type="dxa" w:w="200"/>
              <w:bottom w:type="dxa" w:w="200"/>
            </w:tcMar>
          </w:tcPr>
          <w:p>
            <w:pPr>
              <w:pStyle w:val="Para 002"/>
            </w:pPr>
            <w:r>
              <w:rPr>
                <w:rStyle w:val="Text0"/>
              </w:rPr>
              <w:t>print_exc(limit=</w:t>
            </w:r>
            <w:r>
              <w:rPr>
                <w:rStyle w:val="Text5"/>
              </w:rPr>
              <w:t>None</w:t>
            </w:r>
            <w:r>
              <w:rPr>
                <w:rStyle w:val="Text0"/>
              </w:rPr>
              <w:t>, file=sys.stderr)</w:t>
              <w:br w:clear="none"/>
            </w:r>
            <w:r>
              <w:t xml:space="preserve"> Call </w:t>
            </w:r>
            <w:r>
              <w:rPr>
                <w:rStyle w:val="Text0"/>
              </w:rPr>
              <w:t>print_exc</w:t>
            </w:r>
            <w:r>
              <w:t xml:space="preserve"> from an exception handler, or from a function called, directly or indirectly, by an exception handler. </w:t>
            </w:r>
            <w:r>
              <w:rPr>
                <w:rStyle w:val="Text0"/>
              </w:rPr>
              <w:t>print_exc</w:t>
            </w:r>
            <w:r>
              <w:t xml:space="preserve"> outputs to file-like object </w:t>
            </w:r>
            <w:r>
              <w:rPr>
                <w:rStyle w:val="Text0"/>
              </w:rPr>
              <w:t>file</w:t>
            </w:r>
            <w:r>
              <w:t xml:space="preserve"> the traceback that Python outputs to </w:t>
            </w:r>
            <w:r>
              <w:rPr>
                <w:rStyle w:val="Text0"/>
              </w:rPr>
              <w:t>stderr</w:t>
            </w:r>
            <w:r>
              <w:t xml:space="preserve"> for uncaught exceptions. When </w:t>
            </w:r>
            <w:r>
              <w:rPr>
                <w:rStyle w:val="Text0"/>
              </w:rPr>
              <w:t>limit</w:t>
            </w:r>
            <w:r>
              <w:t xml:space="preserve"> is an integer, </w:t>
            </w:r>
            <w:r>
              <w:rPr>
                <w:rStyle w:val="Text0"/>
              </w:rPr>
              <w:t>print_exc</w:t>
            </w:r>
            <w:r>
              <w:t xml:space="preserve"> outputs only </w:t>
            </w:r>
            <w:r>
              <w:rPr>
                <w:rStyle w:val="Text0"/>
              </w:rPr>
              <w:t>limit</w:t>
            </w:r>
            <w:r>
              <w:t xml:space="preserve"> traceback nesting levels. For example, when, in an exception handler, you want to cause a diagnostic message just as if the exception propagated, but stop the exception from propagating further (so that your program keeps running and no further handlers are involved), call </w:t>
            </w:r>
            <w:r>
              <w:rPr>
                <w:rStyle w:val="Text0"/>
              </w:rPr>
              <w:t>traceback.print_exc()</w:t>
            </w:r>
            <w:r>
              <w:t>.</w:t>
            </w:r>
          </w:p>
        </w:tc>
      </w:tr>
    </w:tbl>
    <w:p>
      <w:bookmarkStart w:id="3788" w:name="The_pdb_Module__The_pdb_module_u"/>
      <w:pPr>
        <w:keepNext/>
        <w:pStyle w:val="Heading 2"/>
      </w:pPr>
      <w:r>
        <w:t>The pdb Module</w:t>
      </w:r>
      <w:bookmarkEnd w:id="3788"/>
    </w:p>
    <w:p>
      <w:pPr>
        <w:pStyle w:val="Normal"/>
      </w:pPr>
      <w:r>
        <w:t>The</w:t>
      </w:r>
      <w:r>
        <w:rPr>
          <w:rStyle w:val="Text111"/>
        </w:rPr>
        <w:bookmarkStart w:id="3789" w:name="Dpdbmod17"/>
        <w:t/>
        <w:bookmarkEnd w:id="3789"/>
        <w:bookmarkStart w:id="3790" w:name="pdbmod17"/>
        <w:t/>
        <w:bookmarkEnd w:id="3790"/>
        <w:bookmarkStart w:id="3791" w:name="idm45965181660512"/>
        <w:t/>
        <w:bookmarkEnd w:id="3791"/>
      </w:r>
      <w:r>
        <w:t xml:space="preserve"> </w:t>
      </w:r>
      <w:r>
        <w:rPr>
          <w:rStyle w:val="Text0"/>
        </w:rPr>
        <w:t>pdb</w:t>
      </w:r>
      <w:r>
        <w:t xml:space="preserve"> module uses the Python interpreter’s debugging and tracing hooks to implement a simple command-line interactive debugger. </w:t>
      </w:r>
      <w:r>
        <w:rPr>
          <w:rStyle w:val="Text0"/>
        </w:rPr>
        <w:t>pdb</w:t>
      </w:r>
      <w:r>
        <w:t xml:space="preserve"> lets you set breakpoints, single-step and jump to source code, examine stack frames, and so on.</w:t>
      </w:r>
    </w:p>
    <w:p>
      <w:pPr>
        <w:pStyle w:val="Normal"/>
      </w:pPr>
      <w:r>
        <w:t xml:space="preserve">To run code under </w:t>
      </w:r>
      <w:r>
        <w:rPr>
          <w:rStyle w:val="Text0"/>
        </w:rPr>
        <w:t>pdb</w:t>
      </w:r>
      <w:r>
        <w:t xml:space="preserve">’s control, import </w:t>
      </w:r>
      <w:r>
        <w:rPr>
          <w:rStyle w:val="Text0"/>
        </w:rPr>
        <w:t>pdb</w:t>
      </w:r>
      <w:r>
        <w:t xml:space="preserve">, then call </w:t>
      </w:r>
      <w:r>
        <w:rPr>
          <w:rStyle w:val="Text0"/>
        </w:rPr>
        <w:t>pdb.run</w:t>
      </w:r>
      <w:r>
        <w:t xml:space="preserve">, passing as the single argument a string of code to execute. To use </w:t>
      </w:r>
      <w:r>
        <w:rPr>
          <w:rStyle w:val="Text0"/>
        </w:rPr>
        <w:t>pdb</w:t>
      </w:r>
      <w:r>
        <w:t xml:space="preserve"> for postmortem debugging (debugging of code that just terminated by propagating an exception at an interactive prompt), call </w:t>
      </w:r>
      <w:r>
        <w:rPr>
          <w:rStyle w:val="Text0"/>
        </w:rPr>
        <w:t>pdb.pm()</w:t>
      </w:r>
      <w:r>
        <w:t xml:space="preserve"> without arguments. To trigger </w:t>
      </w:r>
      <w:r>
        <w:rPr>
          <w:rStyle w:val="Text0"/>
        </w:rPr>
        <w:t>pdb</w:t>
      </w:r>
      <w:r>
        <w:t xml:space="preserve"> directly from your application code, use the built-in function </w:t>
      </w:r>
      <w:r>
        <w:rPr>
          <w:rStyle w:val="Text0"/>
        </w:rPr>
        <w:t>breakpoint</w:t>
      </w:r>
      <w:r>
        <w:t>.</w:t>
      </w:r>
    </w:p>
    <w:p>
      <w:pPr>
        <w:pStyle w:val="Normal"/>
      </w:pPr>
      <w:r>
        <w:t xml:space="preserve">When </w:t>
      </w:r>
      <w:r>
        <w:rPr>
          <w:rStyle w:val="Text0"/>
        </w:rPr>
        <w:t>pdb</w:t>
      </w:r>
      <w:r>
        <w:t xml:space="preserve"> starts, it first reads text files named </w:t>
      </w:r>
      <w:r>
        <w:rPr>
          <w:rStyle w:val="Text4"/>
        </w:rPr>
        <w:t>.pdbrc</w:t>
      </w:r>
      <w:r>
        <w:t xml:space="preserve"> in your home directory and in the current directory. Such files can contain any </w:t>
      </w:r>
      <w:r>
        <w:rPr>
          <w:rStyle w:val="Text0"/>
        </w:rPr>
        <w:t>pdb</w:t>
      </w:r>
      <w:r>
        <w:t xml:space="preserve"> commands, but most often you put </w:t>
      </w:r>
      <w:r>
        <w:rPr>
          <w:rStyle w:val="Text0"/>
        </w:rPr>
        <w:t>alias</w:t>
      </w:r>
      <w:r>
        <w:t xml:space="preserve"> commands in them to define useful synonyms and abbreviations for other commands that you use often.</w:t>
      </w:r>
    </w:p>
    <w:p>
      <w:pPr>
        <w:pStyle w:val="Normal"/>
      </w:pPr>
      <w:r>
        <w:t xml:space="preserve">When </w:t>
      </w:r>
      <w:r>
        <w:rPr>
          <w:rStyle w:val="Text0"/>
        </w:rPr>
        <w:t>pdb</w:t>
      </w:r>
      <w:r>
        <w:t xml:space="preserve"> is in control, it prompts with the string </w:t>
      </w:r>
      <w:r>
        <w:rPr>
          <w:rStyle w:val="Text0"/>
        </w:rPr>
        <w:t>(Pdb)</w:t>
      </w:r>
      <w:r>
        <w:t xml:space="preserve">, and you can enter </w:t>
      </w:r>
      <w:r>
        <w:rPr>
          <w:rStyle w:val="Text0"/>
        </w:rPr>
        <w:t>pdb</w:t>
      </w:r>
      <w:r>
        <w:t xml:space="preserve"> commands. The command </w:t>
      </w:r>
      <w:r>
        <w:rPr>
          <w:rStyle w:val="Text0"/>
        </w:rPr>
        <w:t>help</w:t>
      </w:r>
      <w:r>
        <w:t xml:space="preserve"> (which you can enter in the abbreviated form </w:t>
      </w:r>
      <w:r>
        <w:rPr>
          <w:rStyle w:val="Text0"/>
        </w:rPr>
        <w:t>h</w:t>
      </w:r>
      <w:r>
        <w:t xml:space="preserve">) lists the available commands. Call </w:t>
      </w:r>
      <w:r>
        <w:rPr>
          <w:rStyle w:val="Text0"/>
        </w:rPr>
        <w:t>help</w:t>
      </w:r>
      <w:r>
        <w:t xml:space="preserve"> with an argument (separated by a space) to get help about any specific command. You can abbreviate most commands to the first one or two letters, but you must always enter commands in lowercase: </w:t>
      </w:r>
      <w:r>
        <w:rPr>
          <w:rStyle w:val="Text0"/>
        </w:rPr>
        <w:t>pdb</w:t>
      </w:r>
      <w:r>
        <w:t xml:space="preserve">, like Python itself, is case-sensitive. Entering an empty line repeats the previous command. The most frequently used </w:t>
      </w:r>
      <w:r>
        <w:rPr>
          <w:rStyle w:val="Text0"/>
        </w:rPr>
        <w:t>pdb</w:t>
      </w:r>
      <w:r>
        <w:t xml:space="preserve"> commands are listed in </w:t>
      </w:r>
      <w:hyperlink w:anchor="Table_17_6__Commonly_used_pdb_co">
        <w:r>
          <w:rPr>
            <w:rStyle w:val="Text1"/>
          </w:rPr>
          <w:t>Table 17-6</w:t>
        </w:r>
      </w:hyperlink>
      <w:r>
        <w:t>.</w:t>
      </w:r>
    </w:p>
    <w:tbl>
      <w:tblPr>
        <w:tblW w:type="auto" w:w="0"/>
      </w:tblPr>
      <w:tr>
        <w:tc>
          <w:tcPr>
            <w:tcW w:type="auto" w:w="0"/>
            <w:tcMar>
              <w:left w:type="dxa" w:w="200"/>
              <w:top w:type="dxa" w:w="200"/>
              <w:right w:type="dxa" w:w="200"/>
              <w:bottom w:type="dxa" w:w="200"/>
            </w:tcMar>
          </w:tcPr>
          <w:p>
            <w:bookmarkStart w:id="3792" w:name="Table_17_6__Commonly_used_pdb_co"/>
            <w:pPr>
              <w:pStyle w:val="Para 074"/>
            </w:pPr>
            <w:r>
              <w:rPr>
                <w:rStyle w:val="Text123"/>
              </w:rPr>
              <w:t/>
            </w:r>
            <w:r>
              <w:rPr>
                <w:rStyle w:val="Text4"/>
              </w:rPr>
              <w:t xml:space="preserve">Table 17-6. </w:t>
            </w:r>
            <w:r>
              <w:t xml:space="preserve">Commonly used </w:t>
            </w:r>
            <w:r>
              <w:rPr>
                <w:rStyle w:val="Text71"/>
              </w:rPr>
              <w:t>pdb</w:t>
            </w:r>
            <w:r>
              <w:t xml:space="preserve"> commands</w:t>
            </w:r>
            <w:bookmarkEnd w:id="3792"/>
          </w:p>
          <w:p>
            <w:pPr>
              <w:pStyle w:val="Para 001"/>
            </w:pPr>
            <w:r>
              <w:t>!</w:t>
            </w:r>
          </w:p>
        </w:tc>
        <w:tc>
          <w:tcPr>
            <w:tcW w:type="auto" w:w="0"/>
            <w:tcMar>
              <w:left w:type="dxa" w:w="200"/>
              <w:top w:type="dxa" w:w="200"/>
              <w:right w:type="dxa" w:w="200"/>
              <w:bottom w:type="dxa" w:w="200"/>
            </w:tcMar>
          </w:tcPr>
          <w:p>
            <w:pPr>
              <w:pStyle w:val="Para 002"/>
            </w:pPr>
            <w:r>
              <w:rPr>
                <w:rStyle w:val="Text0"/>
              </w:rPr>
              <w:t>!</w:t>
            </w:r>
            <w:r>
              <w:t xml:space="preserve"> </w:t>
            </w:r>
            <w:r>
              <w:rPr>
                <w:rStyle w:val="Text3"/>
              </w:rPr>
              <w:t>statement</w:t>
              <w:br w:clear="none"/>
            </w:r>
            <w:r>
              <w:t xml:space="preserve"> Executes Python statement </w:t>
            </w:r>
            <w:r>
              <w:rPr>
                <w:rStyle w:val="Text3"/>
              </w:rPr>
              <w:t>statement</w:t>
            </w:r>
            <w:r>
              <w:t xml:space="preserve"> with the currently selected stack frame (see the </w:t>
            </w:r>
            <w:r>
              <w:rPr>
                <w:rStyle w:val="Text0"/>
              </w:rPr>
              <w:t>d</w:t>
            </w:r>
            <w:r>
              <w:t xml:space="preserve"> and </w:t>
            </w:r>
            <w:r>
              <w:rPr>
                <w:rStyle w:val="Text0"/>
              </w:rPr>
              <w:t>u</w:t>
            </w:r>
            <w:r>
              <w:t xml:space="preserve"> commands later in this table) as the local namespace.</w:t>
            </w:r>
          </w:p>
        </w:tc>
      </w:tr>
    </w:tbl>
    <w:tbl>
      <w:tblPr>
        <w:tblW w:type="auto" w:w="0"/>
      </w:tblPr>
      <w:tr>
        <w:tc>
          <w:tcPr>
            <w:tcW w:type="auto" w:w="0"/>
            <w:shd w:val="clear" w:color="auto" w:fill="EEF2F6"/>
            <w:tcMar>
              <w:left w:type="dxa" w:w="200"/>
              <w:top w:type="dxa" w:w="200"/>
              <w:right w:type="dxa" w:w="200"/>
              <w:bottom w:type="dxa" w:w="200"/>
            </w:tcMar>
          </w:tcPr>
          <w:p>
            <w:pPr>
              <w:pStyle w:val="Para 001"/>
            </w:pPr>
            <w:r>
              <w:t>alias</w:t>
            </w:r>
            <w:r>
              <w:rPr>
                <w:rStyle w:val="Text12"/>
              </w:rPr>
              <w:t xml:space="preserve">, </w:t>
            </w:r>
            <w:r>
              <w:t>unalias</w:t>
            </w:r>
          </w:p>
        </w:tc>
        <w:tc>
          <w:tcPr>
            <w:tcW w:type="auto" w:w="0"/>
            <w:shd w:val="clear" w:color="auto" w:fill="EEF2F6"/>
            <w:tcMar>
              <w:left w:type="dxa" w:w="200"/>
              <w:top w:type="dxa" w:w="200"/>
              <w:right w:type="dxa" w:w="200"/>
              <w:bottom w:type="dxa" w:w="200"/>
            </w:tcMar>
          </w:tcPr>
          <w:p>
            <w:pPr>
              <w:pStyle w:val="Para 002"/>
            </w:pPr>
            <w:r>
              <w:rPr>
                <w:rStyle w:val="Text0"/>
              </w:rPr>
              <w:t>alias [</w:t>
            </w:r>
            <w:r>
              <w:rPr>
                <w:rStyle w:val="Text3"/>
              </w:rPr>
              <w:t>name</w:t>
            </w:r>
            <w:r>
              <w:t xml:space="preserve"> </w:t>
            </w:r>
            <w:r>
              <w:rPr>
                <w:rStyle w:val="Text0"/>
              </w:rPr>
              <w:t>[</w:t>
            </w:r>
            <w:r>
              <w:rPr>
                <w:rStyle w:val="Text3"/>
              </w:rPr>
              <w:t>command</w:t>
            </w:r>
            <w:r>
              <w:rPr>
                <w:rStyle w:val="Text0"/>
              </w:rPr>
              <w:t>]]</w:t>
            </w:r>
            <w:r>
              <w:t>,</w:t>
              <w:br w:clear="none"/>
              <w:t xml:space="preserve"> </w:t>
            </w:r>
            <w:r>
              <w:rPr>
                <w:rStyle w:val="Text0"/>
              </w:rPr>
              <w:t>unalias</w:t>
            </w:r>
            <w:r>
              <w:t xml:space="preserve"> </w:t>
            </w:r>
            <w:r>
              <w:rPr>
                <w:rStyle w:val="Text3"/>
              </w:rPr>
              <w:t>name</w:t>
              <w:br w:clear="none"/>
            </w:r>
            <w:r>
              <w:t xml:space="preserve"> Defines a short form of a frequently used command. </w:t>
            </w:r>
            <w:r>
              <w:rPr>
                <w:rStyle w:val="Text3"/>
              </w:rPr>
              <w:t>command</w:t>
            </w:r>
            <w:r>
              <w:t xml:space="preserve"> is any </w:t>
            </w:r>
            <w:r>
              <w:rPr>
                <w:rStyle w:val="Text0"/>
              </w:rPr>
              <w:t>pdb</w:t>
            </w:r>
            <w:r>
              <w:t xml:space="preserve"> command, with arguments, and may contain </w:t>
            </w:r>
            <w:r>
              <w:rPr>
                <w:rStyle w:val="Text0"/>
              </w:rPr>
              <w:t>%1</w:t>
            </w:r>
            <w:r>
              <w:t xml:space="preserve">, </w:t>
            </w:r>
            <w:r>
              <w:rPr>
                <w:rStyle w:val="Text0"/>
              </w:rPr>
              <w:t>%2</w:t>
            </w:r>
            <w:r>
              <w:t xml:space="preserve">, and so on to refer to specific arguments passed to the new alias </w:t>
            </w:r>
            <w:r>
              <w:rPr>
                <w:rStyle w:val="Text3"/>
              </w:rPr>
              <w:t>name</w:t>
            </w:r>
            <w:r>
              <w:t xml:space="preserve"> being defined, or </w:t>
            </w:r>
            <w:r>
              <w:rPr>
                <w:rStyle w:val="Text0"/>
              </w:rPr>
              <w:t>%*</w:t>
            </w:r>
            <w:r>
              <w:t xml:space="preserve"> to refer to all such arguments. </w:t>
            </w:r>
            <w:r>
              <w:rPr>
                <w:rStyle w:val="Text0"/>
              </w:rPr>
              <w:t>alias</w:t>
            </w:r>
            <w:r>
              <w:t xml:space="preserve"> with no arguments lists currently defined aliases. </w:t>
            </w:r>
            <w:r>
              <w:rPr>
                <w:rStyle w:val="Text0"/>
              </w:rPr>
              <w:t>alias</w:t>
            </w:r>
            <w:r>
              <w:t xml:space="preserve"> </w:t>
            </w:r>
            <w:r>
              <w:rPr>
                <w:rStyle w:val="Text3"/>
              </w:rPr>
              <w:t>name</w:t>
            </w:r>
            <w:r>
              <w:t xml:space="preserve"> outputs the current definition of alias </w:t>
            </w:r>
            <w:r>
              <w:rPr>
                <w:rStyle w:val="Text3"/>
              </w:rPr>
              <w:t>name</w:t>
            </w:r>
            <w:r>
              <w:t xml:space="preserve">. </w:t>
            </w:r>
            <w:r>
              <w:rPr>
                <w:rStyle w:val="Text0"/>
              </w:rPr>
              <w:t>unalias</w:t>
            </w:r>
            <w:r>
              <w:t xml:space="preserve"> </w:t>
            </w:r>
            <w:r>
              <w:rPr>
                <w:rStyle w:val="Text3"/>
              </w:rPr>
              <w:t>name</w:t>
            </w:r>
            <w:r>
              <w:t xml:space="preserve"> removes an alias.</w:t>
            </w:r>
          </w:p>
        </w:tc>
      </w:tr>
    </w:tbl>
    <w:tbl>
      <w:tblPr>
        <w:tblW w:type="auto" w:w="0"/>
      </w:tblPr>
      <w:tr>
        <w:tc>
          <w:tcPr>
            <w:tcW w:type="auto" w:w="0"/>
            <w:tcMar>
              <w:left w:type="dxa" w:w="200"/>
              <w:top w:type="dxa" w:w="200"/>
              <w:right w:type="dxa" w:w="200"/>
              <w:bottom w:type="dxa" w:w="200"/>
            </w:tcMar>
          </w:tcPr>
          <w:p>
            <w:pPr>
              <w:pStyle w:val="Para 001"/>
            </w:pPr>
            <w:r>
              <w:t>args</w:t>
            </w:r>
            <w:r>
              <w:rPr>
                <w:rStyle w:val="Text12"/>
              </w:rPr>
              <w:t xml:space="preserve">, </w:t>
            </w:r>
            <w:r>
              <w:t>a</w:t>
            </w:r>
          </w:p>
        </w:tc>
        <w:tc>
          <w:tcPr>
            <w:tcW w:type="auto" w:w="0"/>
            <w:tcMar>
              <w:left w:type="dxa" w:w="200"/>
              <w:top w:type="dxa" w:w="200"/>
              <w:right w:type="dxa" w:w="200"/>
              <w:bottom w:type="dxa" w:w="200"/>
            </w:tcMar>
          </w:tcPr>
          <w:p>
            <w:pPr>
              <w:pStyle w:val="Para 002"/>
            </w:pPr>
            <w:r>
              <w:rPr>
                <w:rStyle w:val="Text0"/>
              </w:rPr>
              <w:t>args</w:t>
              <w:br w:clear="none"/>
            </w:r>
            <w:r>
              <w:t xml:space="preserve"> Lists all arguments passed to the function you are currently debugging.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break</w:t>
            </w:r>
            <w:r>
              <w:rPr>
                <w:rStyle w:val="Text12"/>
              </w:rPr>
              <w:t xml:space="preserve">, </w:t>
            </w:r>
            <w:r>
              <w:t>b</w:t>
            </w:r>
          </w:p>
        </w:tc>
        <w:tc>
          <w:tcPr>
            <w:tcW w:type="auto" w:w="0"/>
            <w:shd w:val="clear" w:color="auto" w:fill="EEF2F6"/>
            <w:tcMar>
              <w:left w:type="dxa" w:w="200"/>
              <w:top w:type="dxa" w:w="200"/>
              <w:right w:type="dxa" w:w="200"/>
              <w:bottom w:type="dxa" w:w="200"/>
            </w:tcMar>
          </w:tcPr>
          <w:p>
            <w:pPr>
              <w:pStyle w:val="Para 002"/>
            </w:pPr>
            <w:r>
              <w:rPr>
                <w:rStyle w:val="Text0"/>
              </w:rPr>
              <w:t>break [</w:t>
            </w:r>
            <w:r>
              <w:rPr>
                <w:rStyle w:val="Text3"/>
              </w:rPr>
              <w:t>location</w:t>
            </w:r>
            <w:r>
              <w:rPr>
                <w:rStyle w:val="Text0"/>
              </w:rPr>
              <w:t>[,</w:t>
            </w:r>
            <w:r>
              <w:t xml:space="preserve"> </w:t>
            </w:r>
            <w:r>
              <w:rPr>
                <w:rStyle w:val="Text3"/>
              </w:rPr>
              <w:t>condition</w:t>
            </w:r>
            <w:r>
              <w:rPr>
                <w:rStyle w:val="Text0"/>
              </w:rPr>
              <w:t>]]</w:t>
              <w:br w:clear="none"/>
            </w:r>
            <w:r>
              <w:t xml:space="preserve"> With</w:t>
            </w:r>
            <w:r>
              <w:rPr>
                <w:rStyle w:val="Text111"/>
              </w:rPr>
              <w:bookmarkStart w:id="3793" w:name="idm45965181608176"/>
              <w:t/>
              <w:bookmarkEnd w:id="3793"/>
            </w:r>
            <w:r>
              <w:t xml:space="preserve"> no arguments, lists the currently defined breakpoints and the number of times each breakpoint has triggered. With an argument, </w:t>
            </w:r>
            <w:r>
              <w:rPr>
                <w:rStyle w:val="Text0"/>
              </w:rPr>
              <w:t>break</w:t>
            </w:r>
            <w:r>
              <w:t xml:space="preserve"> sets a breakpoint at the given </w:t>
            </w:r>
            <w:r>
              <w:rPr>
                <w:rStyle w:val="Text3"/>
              </w:rPr>
              <w:t>location</w:t>
            </w:r>
            <w:r>
              <w:rPr>
                <w:rStyle w:val="Text4"/>
              </w:rPr>
              <w:t>.</w:t>
            </w:r>
            <w:r>
              <w:t xml:space="preserve"> </w:t>
            </w:r>
            <w:r>
              <w:rPr>
                <w:rStyle w:val="Text3"/>
              </w:rPr>
              <w:t>location</w:t>
            </w:r>
            <w:r>
              <w:t xml:space="preserve"> can be a line number or a function name, optionally preceded by </w:t>
            </w:r>
            <w:r>
              <w:rPr>
                <w:rStyle w:val="Text3"/>
              </w:rPr>
              <w:t>filename</w:t>
            </w:r>
            <w:r>
              <w:rPr>
                <w:rStyle w:val="Text0"/>
              </w:rPr>
              <w:t>:</w:t>
            </w:r>
            <w:r>
              <w:t xml:space="preserve"> to set a breakpoint in a file that is not the current one or at the start of a function whose name is ambiguous (i.e., a function that exists in more than one file). When </w:t>
            </w:r>
            <w:r>
              <w:rPr>
                <w:rStyle w:val="Text3"/>
              </w:rPr>
              <w:t>condition</w:t>
            </w:r>
            <w:r>
              <w:t xml:space="preserve"> is present, it is an expression to evaluate (in the debugged context) each time the given line or function is about to execute; execution breaks only when the expression returns a truthy value. When setting a new breakpoint, </w:t>
            </w:r>
            <w:r>
              <w:rPr>
                <w:rStyle w:val="Text0"/>
              </w:rPr>
              <w:t>break</w:t>
            </w:r>
            <w:r>
              <w:t xml:space="preserve"> returns a breakpoint number, which you can later use to refer to the new breakpoint in any other breakpoint-related </w:t>
            </w:r>
            <w:r>
              <w:rPr>
                <w:rStyle w:val="Text0"/>
              </w:rPr>
              <w:t>pdb</w:t>
            </w:r>
            <w:r>
              <w:t xml:space="preserve"> command.</w:t>
            </w:r>
          </w:p>
        </w:tc>
      </w:tr>
    </w:tbl>
    <w:tbl>
      <w:tblPr>
        <w:tblW w:type="auto" w:w="0"/>
      </w:tblPr>
      <w:tr>
        <w:tc>
          <w:tcPr>
            <w:tcW w:type="auto" w:w="0"/>
            <w:tcMar>
              <w:left w:type="dxa" w:w="200"/>
              <w:top w:type="dxa" w:w="200"/>
              <w:right w:type="dxa" w:w="200"/>
              <w:bottom w:type="dxa" w:w="200"/>
            </w:tcMar>
          </w:tcPr>
          <w:p>
            <w:pPr>
              <w:pStyle w:val="Para 001"/>
            </w:pPr>
            <w:r>
              <w:t>clear</w:t>
            </w:r>
            <w:r>
              <w:rPr>
                <w:rStyle w:val="Text12"/>
              </w:rPr>
              <w:t xml:space="preserve">, </w:t>
            </w:r>
            <w:r>
              <w:t>cl</w:t>
            </w:r>
          </w:p>
        </w:tc>
        <w:tc>
          <w:tcPr>
            <w:tcW w:type="auto" w:w="0"/>
            <w:tcMar>
              <w:left w:type="dxa" w:w="200"/>
              <w:top w:type="dxa" w:w="200"/>
              <w:right w:type="dxa" w:w="200"/>
              <w:bottom w:type="dxa" w:w="200"/>
            </w:tcMar>
          </w:tcPr>
          <w:p>
            <w:pPr>
              <w:pStyle w:val="Para 002"/>
            </w:pPr>
            <w:r>
              <w:rPr>
                <w:rStyle w:val="Text0"/>
              </w:rPr>
              <w:t>clear [</w:t>
            </w:r>
            <w:r>
              <w:rPr>
                <w:rStyle w:val="Text3"/>
              </w:rPr>
              <w:t>breakpoint-numbers</w:t>
            </w:r>
            <w:r>
              <w:rPr>
                <w:rStyle w:val="Text0"/>
              </w:rPr>
              <w:t>]</w:t>
              <w:br w:clear="none"/>
            </w:r>
            <w:r>
              <w:t xml:space="preserve"> Clears (removes) one or more breakpoints. </w:t>
            </w:r>
            <w:r>
              <w:rPr>
                <w:rStyle w:val="Text0"/>
              </w:rPr>
              <w:t>clear</w:t>
            </w:r>
            <w:r>
              <w:t xml:space="preserve"> with no arguments removes all breakpoints after asking for confirmation. To deactivate a breakpoint temporarily, without removing it, see </w:t>
            </w:r>
            <w:r>
              <w:rPr>
                <w:rStyle w:val="Text0"/>
              </w:rPr>
              <w:t>disable</w:t>
            </w:r>
            <w:r>
              <w:t>, covered below.</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condition</w:t>
            </w:r>
          </w:p>
        </w:tc>
        <w:tc>
          <w:tcPr>
            <w:tcW w:type="auto" w:w="0"/>
            <w:shd w:val="clear" w:color="auto" w:fill="EEF2F6"/>
            <w:tcMar>
              <w:left w:type="dxa" w:w="200"/>
              <w:top w:type="dxa" w:w="200"/>
              <w:right w:type="dxa" w:w="200"/>
              <w:bottom w:type="dxa" w:w="200"/>
            </w:tcMar>
          </w:tcPr>
          <w:p>
            <w:pPr>
              <w:pStyle w:val="Para 002"/>
            </w:pPr>
            <w:r>
              <w:rPr>
                <w:rStyle w:val="Text0"/>
              </w:rPr>
              <w:t>condition</w:t>
            </w:r>
            <w:r>
              <w:t xml:space="preserve"> </w:t>
            </w:r>
            <w:r>
              <w:rPr>
                <w:rStyle w:val="Text3"/>
              </w:rPr>
              <w:t>breakpoint-number</w:t>
            </w:r>
            <w:r>
              <w:t xml:space="preserve"> </w:t>
            </w:r>
            <w:r>
              <w:rPr>
                <w:rStyle w:val="Text0"/>
              </w:rPr>
              <w:t>[</w:t>
            </w:r>
            <w:r>
              <w:rPr>
                <w:rStyle w:val="Text3"/>
              </w:rPr>
              <w:t>expression</w:t>
            </w:r>
            <w:r>
              <w:rPr>
                <w:rStyle w:val="Text0"/>
              </w:rPr>
              <w:t>]</w:t>
              <w:br w:clear="none"/>
            </w:r>
            <w:r>
              <w:t xml:space="preserve"> </w:t>
            </w:r>
            <w:r>
              <w:rPr>
                <w:rStyle w:val="Text0"/>
              </w:rPr>
              <w:t>condition</w:t>
            </w:r>
            <w:r>
              <w:t xml:space="preserve"> </w:t>
            </w:r>
            <w:r>
              <w:rPr>
                <w:rStyle w:val="Text3"/>
              </w:rPr>
              <w:t>n expression</w:t>
            </w:r>
            <w:r>
              <w:t xml:space="preserve"> sets or changes the condition on breakpoint </w:t>
            </w:r>
            <w:r>
              <w:rPr>
                <w:rStyle w:val="Text3"/>
              </w:rPr>
              <w:t>n</w:t>
            </w:r>
            <w:r>
              <w:t xml:space="preserve">. </w:t>
            </w:r>
            <w:r>
              <w:rPr>
                <w:rStyle w:val="Text0"/>
              </w:rPr>
              <w:t>condition</w:t>
            </w:r>
            <w:r>
              <w:t xml:space="preserve"> </w:t>
            </w:r>
            <w:r>
              <w:rPr>
                <w:rStyle w:val="Text3"/>
              </w:rPr>
              <w:t>n</w:t>
            </w:r>
            <w:r>
              <w:t xml:space="preserve">, without </w:t>
            </w:r>
            <w:r>
              <w:rPr>
                <w:rStyle w:val="Text3"/>
              </w:rPr>
              <w:t>expression</w:t>
            </w:r>
            <w:r>
              <w:t xml:space="preserve">, makes breakpoint </w:t>
            </w:r>
            <w:r>
              <w:rPr>
                <w:rStyle w:val="Text3"/>
              </w:rPr>
              <w:t>n</w:t>
            </w:r>
            <w:r>
              <w:t xml:space="preserve"> unconditional.</w:t>
            </w:r>
          </w:p>
        </w:tc>
      </w:tr>
    </w:tbl>
    <w:tbl>
      <w:tblPr>
        <w:tblW w:type="auto" w:w="0"/>
      </w:tblPr>
      <w:tr>
        <w:tc>
          <w:tcPr>
            <w:tcW w:type="auto" w:w="0"/>
            <w:tcMar>
              <w:left w:type="dxa" w:w="200"/>
              <w:top w:type="dxa" w:w="200"/>
              <w:right w:type="dxa" w:w="200"/>
              <w:bottom w:type="dxa" w:w="200"/>
            </w:tcMar>
          </w:tcPr>
          <w:p>
            <w:pPr>
              <w:pStyle w:val="Para 001"/>
            </w:pPr>
            <w:r>
              <w:t>continue</w:t>
            </w:r>
            <w:r>
              <w:rPr>
                <w:rStyle w:val="Text12"/>
              </w:rPr>
              <w:t xml:space="preserve">, </w:t>
            </w:r>
            <w:r>
              <w:t>c</w:t>
            </w:r>
            <w:r>
              <w:rPr>
                <w:rStyle w:val="Text12"/>
              </w:rPr>
              <w:t xml:space="preserve">, </w:t>
            </w:r>
            <w:r>
              <w:t>cont</w:t>
            </w:r>
          </w:p>
        </w:tc>
        <w:tc>
          <w:tcPr>
            <w:tcW w:type="auto" w:w="0"/>
            <w:tcMar>
              <w:left w:type="dxa" w:w="200"/>
              <w:top w:type="dxa" w:w="200"/>
              <w:right w:type="dxa" w:w="200"/>
              <w:bottom w:type="dxa" w:w="200"/>
            </w:tcMar>
          </w:tcPr>
          <w:p>
            <w:pPr>
              <w:pStyle w:val="Para 002"/>
            </w:pPr>
            <w:r>
              <w:rPr>
                <w:rStyle w:val="Text0"/>
              </w:rPr>
              <w:t>continue</w:t>
              <w:br w:clear="none"/>
            </w:r>
            <w:r>
              <w:t xml:space="preserve"> Continues execution of the code being debugged, up to a breakpoint, if any.</w:t>
            </w:r>
          </w:p>
        </w:tc>
      </w:tr>
    </w:tbl>
    <w:tbl>
      <w:tblPr>
        <w:tblW w:type="auto" w:w="0"/>
      </w:tblPr>
      <w:tr>
        <w:tc>
          <w:tcPr>
            <w:tcW w:type="auto" w:w="0"/>
            <w:shd w:val="clear" w:color="auto" w:fill="EEF2F6"/>
            <w:tcMar>
              <w:left w:type="dxa" w:w="200"/>
              <w:top w:type="dxa" w:w="200"/>
              <w:right w:type="dxa" w:w="200"/>
              <w:bottom w:type="dxa" w:w="200"/>
            </w:tcMar>
          </w:tcPr>
          <w:p>
            <w:pPr>
              <w:pStyle w:val="Para 001"/>
            </w:pPr>
            <w:r>
              <w:t>disable</w:t>
            </w:r>
          </w:p>
        </w:tc>
        <w:tc>
          <w:tcPr>
            <w:tcW w:type="auto" w:w="0"/>
            <w:shd w:val="clear" w:color="auto" w:fill="EEF2F6"/>
            <w:tcMar>
              <w:left w:type="dxa" w:w="200"/>
              <w:top w:type="dxa" w:w="200"/>
              <w:right w:type="dxa" w:w="200"/>
              <w:bottom w:type="dxa" w:w="200"/>
            </w:tcMar>
          </w:tcPr>
          <w:p>
            <w:pPr>
              <w:pStyle w:val="Para 002"/>
            </w:pPr>
            <w:r>
              <w:rPr>
                <w:rStyle w:val="Text0"/>
              </w:rPr>
              <w:t>disable [</w:t>
            </w:r>
            <w:r>
              <w:rPr>
                <w:rStyle w:val="Text3"/>
              </w:rPr>
              <w:t>breakpoint-numbers</w:t>
            </w:r>
            <w:r>
              <w:rPr>
                <w:rStyle w:val="Text0"/>
              </w:rPr>
              <w:t>]</w:t>
              <w:br w:clear="none"/>
            </w:r>
            <w:r>
              <w:t xml:space="preserve"> Disables one or more breakpoints. </w:t>
            </w:r>
            <w:r>
              <w:rPr>
                <w:rStyle w:val="Text0"/>
              </w:rPr>
              <w:t>disable</w:t>
            </w:r>
            <w:r>
              <w:t xml:space="preserve"> without arguments disables all breakpoints (after asking for confirmation). This differs from </w:t>
            </w:r>
            <w:r>
              <w:rPr>
                <w:rStyle w:val="Text0"/>
              </w:rPr>
              <w:t>clear</w:t>
            </w:r>
            <w:r>
              <w:t xml:space="preserve"> in that the debugger remembers the breakpoint, and you can reactivate it via </w:t>
            </w:r>
            <w:r>
              <w:rPr>
                <w:rStyle w:val="Text0"/>
              </w:rPr>
              <w:t>enable</w:t>
            </w:r>
            <w:r>
              <w:t>.</w:t>
            </w:r>
          </w:p>
        </w:tc>
      </w:tr>
    </w:tbl>
    <w:tbl>
      <w:tblPr>
        <w:tblW w:type="auto" w:w="0"/>
      </w:tblPr>
      <w:tr>
        <w:tc>
          <w:tcPr>
            <w:tcW w:type="auto" w:w="0"/>
            <w:tcMar>
              <w:left w:type="dxa" w:w="200"/>
              <w:top w:type="dxa" w:w="200"/>
              <w:right w:type="dxa" w:w="200"/>
              <w:bottom w:type="dxa" w:w="200"/>
            </w:tcMar>
          </w:tcPr>
          <w:p>
            <w:pPr>
              <w:pStyle w:val="Para 001"/>
            </w:pPr>
            <w:r>
              <w:t>down</w:t>
            </w:r>
            <w:r>
              <w:rPr>
                <w:rStyle w:val="Text12"/>
              </w:rPr>
              <w:t xml:space="preserve">, </w:t>
            </w:r>
            <w:r>
              <w:t>d</w:t>
            </w:r>
          </w:p>
        </w:tc>
        <w:tc>
          <w:tcPr>
            <w:tcW w:type="auto" w:w="0"/>
            <w:tcMar>
              <w:left w:type="dxa" w:w="200"/>
              <w:top w:type="dxa" w:w="200"/>
              <w:right w:type="dxa" w:w="200"/>
              <w:bottom w:type="dxa" w:w="200"/>
            </w:tcMar>
          </w:tcPr>
          <w:p>
            <w:pPr>
              <w:pStyle w:val="Para 002"/>
            </w:pPr>
            <w:r>
              <w:rPr>
                <w:rStyle w:val="Text0"/>
              </w:rPr>
              <w:t>down</w:t>
              <w:br w:clear="none"/>
            </w:r>
            <w:r>
              <w:t xml:space="preserve"> Moves down one frame in the stack (i.e., toward the most recent function call). Normally, the current position in the stack is at the bottom (at the function that was called most recently and is now being debugged), so </w:t>
            </w:r>
            <w:r>
              <w:rPr>
                <w:rStyle w:val="Text0"/>
              </w:rPr>
              <w:t>down</w:t>
            </w:r>
            <w:r>
              <w:t xml:space="preserve"> can’t go further down. However, </w:t>
            </w:r>
            <w:r>
              <w:rPr>
                <w:rStyle w:val="Text0"/>
              </w:rPr>
              <w:t>down</w:t>
            </w:r>
            <w:r>
              <w:t xml:space="preserve"> is useful if you have previously executed the command </w:t>
            </w:r>
            <w:r>
              <w:rPr>
                <w:rStyle w:val="Text0"/>
              </w:rPr>
              <w:t>up</w:t>
            </w:r>
            <w:r>
              <w:t>, which moves the current position upward in the stack.</w:t>
            </w:r>
          </w:p>
        </w:tc>
      </w:tr>
    </w:tbl>
    <w:tbl>
      <w:tblPr>
        <w:tblW w:type="auto" w:w="0"/>
      </w:tblPr>
      <w:tr>
        <w:tc>
          <w:tcPr>
            <w:tcW w:type="auto" w:w="0"/>
            <w:shd w:val="clear" w:color="auto" w:fill="EEF2F6"/>
            <w:tcMar>
              <w:left w:type="dxa" w:w="200"/>
              <w:top w:type="dxa" w:w="200"/>
              <w:right w:type="dxa" w:w="200"/>
              <w:bottom w:type="dxa" w:w="200"/>
            </w:tcMar>
          </w:tcPr>
          <w:p>
            <w:pPr>
              <w:pStyle w:val="Para 001"/>
            </w:pPr>
            <w:r>
              <w:t>enable</w:t>
            </w:r>
          </w:p>
        </w:tc>
        <w:tc>
          <w:tcPr>
            <w:tcW w:type="auto" w:w="0"/>
            <w:shd w:val="clear" w:color="auto" w:fill="EEF2F6"/>
            <w:tcMar>
              <w:left w:type="dxa" w:w="200"/>
              <w:top w:type="dxa" w:w="200"/>
              <w:right w:type="dxa" w:w="200"/>
              <w:bottom w:type="dxa" w:w="200"/>
            </w:tcMar>
          </w:tcPr>
          <w:p>
            <w:pPr>
              <w:pStyle w:val="Para 002"/>
            </w:pPr>
            <w:r>
              <w:rPr>
                <w:rStyle w:val="Text0"/>
              </w:rPr>
              <w:t>enable [</w:t>
            </w:r>
            <w:r>
              <w:rPr>
                <w:rStyle w:val="Text3"/>
              </w:rPr>
              <w:t>breakpoint-numbers</w:t>
            </w:r>
            <w:r>
              <w:rPr>
                <w:rStyle w:val="Text0"/>
              </w:rPr>
              <w:t>]</w:t>
              <w:br w:clear="none"/>
            </w:r>
            <w:r>
              <w:t xml:space="preserve"> Enables one or more breakpoints. </w:t>
            </w:r>
            <w:r>
              <w:rPr>
                <w:rStyle w:val="Text0"/>
              </w:rPr>
              <w:t>enable</w:t>
            </w:r>
            <w:r>
              <w:t xml:space="preserve"> without arguments enables all breakpoints after asking for confirmation.</w:t>
            </w:r>
          </w:p>
        </w:tc>
      </w:tr>
    </w:tbl>
    <w:tbl>
      <w:tblPr>
        <w:tblW w:type="auto" w:w="0"/>
      </w:tblPr>
      <w:tr>
        <w:tc>
          <w:tcPr>
            <w:tcW w:type="auto" w:w="0"/>
            <w:tcMar>
              <w:left w:type="dxa" w:w="200"/>
              <w:top w:type="dxa" w:w="200"/>
              <w:right w:type="dxa" w:w="200"/>
              <w:bottom w:type="dxa" w:w="200"/>
            </w:tcMar>
          </w:tcPr>
          <w:p>
            <w:pPr>
              <w:pStyle w:val="Para 001"/>
            </w:pPr>
            <w:r>
              <w:t>ignore</w:t>
            </w:r>
          </w:p>
        </w:tc>
        <w:tc>
          <w:tcPr>
            <w:tcW w:type="auto" w:w="0"/>
            <w:tcMar>
              <w:left w:type="dxa" w:w="200"/>
              <w:top w:type="dxa" w:w="200"/>
              <w:right w:type="dxa" w:w="200"/>
              <w:bottom w:type="dxa" w:w="200"/>
            </w:tcMar>
          </w:tcPr>
          <w:p>
            <w:pPr>
              <w:pStyle w:val="Para 002"/>
            </w:pPr>
            <w:r>
              <w:rPr>
                <w:rStyle w:val="Text0"/>
              </w:rPr>
              <w:t>ignore</w:t>
            </w:r>
            <w:r>
              <w:t xml:space="preserve"> </w:t>
            </w:r>
            <w:r>
              <w:rPr>
                <w:rStyle w:val="Text3"/>
              </w:rPr>
              <w:t>breakpoint-number</w:t>
            </w:r>
            <w:r>
              <w:t xml:space="preserve"> </w:t>
            </w:r>
            <w:r>
              <w:rPr>
                <w:rStyle w:val="Text0"/>
              </w:rPr>
              <w:t>[</w:t>
            </w:r>
            <w:r>
              <w:rPr>
                <w:rStyle w:val="Text3"/>
              </w:rPr>
              <w:t>count</w:t>
            </w:r>
            <w:r>
              <w:rPr>
                <w:rStyle w:val="Text0"/>
              </w:rPr>
              <w:t>]</w:t>
              <w:br w:clear="none"/>
            </w:r>
            <w:r>
              <w:t xml:space="preserve"> Sets the breakpoint’s ignore count (to </w:t>
            </w:r>
            <w:r>
              <w:rPr>
                <w:rStyle w:val="Text0"/>
              </w:rPr>
              <w:t>0</w:t>
            </w:r>
            <w:r>
              <w:t xml:space="preserve"> if </w:t>
            </w:r>
            <w:r>
              <w:rPr>
                <w:rStyle w:val="Text3"/>
              </w:rPr>
              <w:t>count</w:t>
            </w:r>
            <w:r>
              <w:t xml:space="preserve"> is omitted). Triggering a breakpoint whose ignore count is greater than </w:t>
            </w:r>
            <w:r>
              <w:rPr>
                <w:rStyle w:val="Text0"/>
              </w:rPr>
              <w:t>0</w:t>
            </w:r>
            <w:r>
              <w:t xml:space="preserve"> just decrements the count. Execution stops, presenting you with an interactive </w:t>
            </w:r>
            <w:r>
              <w:rPr>
                <w:rStyle w:val="Text0"/>
              </w:rPr>
              <w:t>pdb</w:t>
            </w:r>
            <w:r>
              <w:t xml:space="preserve"> prompt, only when you trigger a breakpoint whose ignore count is </w:t>
            </w:r>
            <w:r>
              <w:rPr>
                <w:rStyle w:val="Text0"/>
              </w:rPr>
              <w:t>0</w:t>
            </w:r>
            <w:r>
              <w:t xml:space="preserve">. For example, say that module </w:t>
            </w:r>
            <w:r>
              <w:rPr>
                <w:rStyle w:val="Text4"/>
              </w:rPr>
              <w:t>fob.py</w:t>
            </w:r>
            <w:r>
              <w:t xml:space="preserve"> contains the following code: </w:t>
            </w:r>
          </w:p>
          <w:p>
            <w:pPr>
              <w:pStyle w:val="Para 057"/>
            </w:pPr>
            <w:r>
              <w:rPr>
                <w:rStyle w:val="Text104"/>
              </w:rPr>
              <w:t xml:space="preserve"/>
              <w:br w:clear="none"/>
            </w:r>
            <w:r>
              <w:rPr>
                <w:rStyle w:val="Text10"/>
              </w:rPr>
              <w:t xml:space="preserve">def</w:t>
              <w:br w:clear="none"/>
            </w:r>
            <w:r>
              <w:t xml:space="preserve"> </w:t>
              <w:br w:clear="none"/>
            </w:r>
            <w:r>
              <w:rPr>
                <w:rStyle w:val="Text18"/>
              </w:rPr>
              <w:t xml:space="preserve">f</w:t>
              <w:br w:clear="none"/>
            </w:r>
            <w:r>
              <w:rPr>
                <w:rStyle w:val="Text7"/>
              </w:rPr>
              <w:t xml:space="preserve">(</w:t>
              <w:br w:clear="none"/>
              <w:t xml:space="preserve">)</w:t>
              <w:br w:clear="none"/>
              <w:t xml:space="preserve">:</w:t>
              <w:br w:clear="none"/>
            </w:r>
            <w:r>
              <w:t xml:space="preserve"/>
              <w:br w:clear="none"/>
            </w:r>
            <w:r>
              <w:rPr>
                <w:rStyle w:val="Text37"/>
              </w:rPr>
              <w:t xml:space="preserve">    </w:t>
              <w:br w:clear="none"/>
            </w:r>
            <w:r>
              <w:rPr>
                <w:rStyle w:val="Text10"/>
              </w:rPr>
              <w:t xml:space="preserve">for</w:t>
              <w:br w:clear="none"/>
            </w:r>
            <w:r>
              <w:t xml:space="preserve"> </w:t>
              <w:br w:clear="none"/>
            </w:r>
            <w:r>
              <w:rPr>
                <w:rStyle w:val="Text9"/>
              </w:rPr>
              <w:t xml:space="preserve">i</w:t>
              <w:br w:clear="none"/>
            </w:r>
            <w:r>
              <w:t xml:space="preserve"> </w:t>
              <w:br w:clear="none"/>
            </w:r>
            <w:r>
              <w:rPr>
                <w:rStyle w:val="Text31"/>
              </w:rPr>
              <w:t xml:space="preserve">in</w:t>
              <w:br w:clear="none"/>
            </w:r>
            <w:r>
              <w:t xml:space="preserve"> </w:t>
              <w:br w:clear="none"/>
            </w:r>
            <w:r>
              <w:rPr>
                <w:rStyle w:val="Text16"/>
              </w:rPr>
              <w:t xml:space="preserve">range</w:t>
              <w:br w:clear="none"/>
            </w:r>
            <w:r>
              <w:rPr>
                <w:rStyle w:val="Text7"/>
              </w:rPr>
              <w:t xml:space="preserve">(</w:t>
              <w:br w:clear="none"/>
            </w:r>
            <w:r>
              <w:rPr>
                <w:rStyle w:val="Text27"/>
              </w:rPr>
              <w:t xml:space="preserve">1000</w:t>
              <w:br w:clear="none"/>
            </w:r>
            <w:r>
              <w:rPr>
                <w:rStyle w:val="Text7"/>
              </w:rPr>
              <w:t xml:space="preserve">)</w:t>
              <w:br w:clear="none"/>
              <w:t xml:space="preserve">:</w:t>
              <w:br w:clear="none"/>
            </w:r>
            <w:r>
              <w:t xml:space="preserve"/>
              <w:br w:clear="none"/>
              <w:t xml:space="preserve">        </w:t>
              <w:br w:clear="none"/>
            </w:r>
            <w:r>
              <w:rPr>
                <w:rStyle w:val="Text9"/>
              </w:rPr>
              <w:t xml:space="preserve">g</w:t>
              <w:br w:clear="none"/>
            </w:r>
            <w:r>
              <w:rPr>
                <w:rStyle w:val="Text7"/>
              </w:rPr>
              <w:t xml:space="preserve">(</w:t>
              <w:br w:clear="none"/>
            </w:r>
            <w:r>
              <w:rPr>
                <w:rStyle w:val="Text9"/>
              </w:rPr>
              <w:t xml:space="preserve">i</w:t>
              <w:br w:clear="none"/>
            </w:r>
            <w:r>
              <w:rPr>
                <w:rStyle w:val="Text7"/>
              </w:rPr>
              <w:t xml:space="preserve">)</w:t>
              <w:br w:clear="none"/>
            </w:r>
            <w:r>
              <w:t xml:space="preserve"/>
              <w:br w:clear="none"/>
            </w:r>
            <w:r>
              <w:rPr>
                <w:rStyle w:val="Text10"/>
              </w:rPr>
              <w:t xml:space="preserve">def</w:t>
              <w:br w:clear="none"/>
            </w:r>
            <w:r>
              <w:t xml:space="preserve"> </w:t>
              <w:br w:clear="none"/>
            </w:r>
            <w:r>
              <w:rPr>
                <w:rStyle w:val="Text18"/>
              </w:rPr>
              <w:t xml:space="preserve">g</w:t>
              <w:br w:clear="none"/>
            </w:r>
            <w:r>
              <w:rPr>
                <w:rStyle w:val="Text7"/>
              </w:rPr>
              <w:t xml:space="preserve">(</w:t>
              <w:br w:clear="none"/>
            </w:r>
            <w:r>
              <w:rPr>
                <w:rStyle w:val="Text9"/>
              </w:rPr>
              <w:t xml:space="preserve">i</w:t>
              <w:br w:clear="none"/>
            </w:r>
            <w:r>
              <w:rPr>
                <w:rStyle w:val="Text7"/>
              </w:rPr>
              <w:t xml:space="preserve">)</w:t>
              <w:br w:clear="none"/>
              <w:t xml:space="preserve">:</w:t>
              <w:br w:clear="none"/>
            </w:r>
            <w:r>
              <w:t xml:space="preserve"/>
              <w:br w:clear="none"/>
            </w:r>
            <w:r>
              <w:rPr>
                <w:rStyle w:val="Text37"/>
              </w:rPr>
              <w:t xml:space="preserve">   </w:t>
              <w:br w:clear="none"/>
            </w:r>
            <w:r>
              <w:t xml:space="preserve"> </w:t>
              <w:br w:clear="none"/>
            </w:r>
            <w:r>
              <w:rPr>
                <w:rStyle w:val="Text10"/>
              </w:rPr>
              <w:t xml:space="preserve">pass</w:t>
              <w:br w:clear="none"/>
            </w:r>
          </w:p>
          <w:p>
            <w:pPr>
              <w:pStyle w:val="Para 022"/>
            </w:pPr>
            <w:r>
              <w:t xml:space="preserve"> Now consider the following interactive </w:t>
            </w:r>
            <w:r>
              <w:rPr>
                <w:rStyle w:val="Text0"/>
              </w:rPr>
              <w:t>pdb</w:t>
            </w:r>
            <w:r>
              <w:t xml:space="preserve"> session (minor formatting details may change depending on the Python version you’re running): </w:t>
            </w:r>
          </w:p>
          <w:p>
            <w:pPr>
              <w:pStyle w:val="Para 083"/>
            </w:pPr>
            <w:r>
              <w:rPr>
                <w:rStyle w:val="Text118"/>
              </w:rPr>
              <w:t xml:space="preserve"/>
              <w:br w:clear="none"/>
            </w:r>
            <w:r>
              <w:rPr>
                <w:rStyle w:val="Text63"/>
              </w:rPr>
              <w:t xml:space="preserve">&gt;&gt;</w:t>
              <w:br w:clear="none"/>
              <w:t xml:space="preserve">&gt;</w:t>
              <w:br w:clear="none"/>
            </w:r>
            <w:r>
              <w:rPr>
                <w:rStyle w:val="Text29"/>
              </w:rPr>
              <w:t xml:space="preserve"> </w:t>
              <w:br w:clear="none"/>
            </w:r>
            <w:r>
              <w:t xml:space="preserve">import</w:t>
              <w:br w:clear="none"/>
            </w:r>
            <w:r>
              <w:rPr>
                <w:rStyle w:val="Text29"/>
              </w:rPr>
              <w:t xml:space="preserve"> </w:t>
              <w:br w:clear="none"/>
            </w:r>
            <w:r>
              <w:rPr>
                <w:rStyle w:val="Text54"/>
              </w:rPr>
              <w:t xml:space="preserve">pdb</w:t>
              <w:br w:clear="none"/>
            </w:r>
            <w:r>
              <w:rPr>
                <w:rStyle w:val="Text29"/>
              </w:rPr>
              <w:t xml:space="preserve"/>
              <w:br w:clear="none"/>
            </w:r>
            <w:r>
              <w:rPr>
                <w:rStyle w:val="Text63"/>
              </w:rPr>
              <w:t xml:space="preserve">&gt;&gt;</w:t>
              <w:br w:clear="none"/>
              <w:t xml:space="preserve">&gt;</w:t>
              <w:br w:clear="none"/>
            </w:r>
            <w:r>
              <w:rPr>
                <w:rStyle w:val="Text29"/>
              </w:rPr>
              <w:t xml:space="preserve"> </w:t>
              <w:br w:clear="none"/>
            </w:r>
            <w:r>
              <w:t xml:space="preserve">import</w:t>
              <w:br w:clear="none"/>
            </w:r>
            <w:r>
              <w:rPr>
                <w:rStyle w:val="Text29"/>
              </w:rPr>
              <w:t xml:space="preserve"> </w:t>
              <w:br w:clear="none"/>
            </w:r>
            <w:r>
              <w:rPr>
                <w:rStyle w:val="Text54"/>
              </w:rPr>
              <w:t xml:space="preserve">fob</w:t>
              <w:br w:clear="none"/>
            </w:r>
            <w:r>
              <w:rPr>
                <w:rStyle w:val="Text29"/>
              </w:rPr>
              <w:t xml:space="preserve"/>
              <w:br w:clear="none"/>
            </w:r>
            <w:r>
              <w:rPr>
                <w:rStyle w:val="Text63"/>
              </w:rPr>
              <w:t xml:space="preserve">&gt;&gt;</w:t>
              <w:br w:clear="none"/>
              <w:t xml:space="preserve">&gt;</w:t>
              <w:br w:clear="none"/>
            </w:r>
            <w:r>
              <w:rPr>
                <w:rStyle w:val="Text29"/>
              </w:rPr>
              <w:t xml:space="preserve"> </w:t>
              <w:br w:clear="none"/>
            </w:r>
            <w:r>
              <w:rPr>
                <w:rStyle w:val="Text38"/>
              </w:rPr>
              <w:t xml:space="preserve">pdb</w:t>
              <w:br w:clear="none"/>
            </w:r>
            <w:r>
              <w:rPr>
                <w:rStyle w:val="Text63"/>
              </w:rPr>
              <w:t xml:space="preserve">.</w:t>
              <w:br w:clear="none"/>
            </w:r>
            <w:r>
              <w:rPr>
                <w:rStyle w:val="Text38"/>
              </w:rPr>
              <w:t xml:space="preserve">run</w:t>
              <w:br w:clear="none"/>
            </w:r>
            <w:r>
              <w:rPr>
                <w:rStyle w:val="Text31"/>
              </w:rPr>
              <w:t xml:space="preserve">(</w:t>
              <w:br w:clear="none"/>
            </w:r>
            <w:r>
              <w:rPr>
                <w:rStyle w:val="Text77"/>
              </w:rPr>
              <w:t xml:space="preserve">'</w:t>
              <w:br w:clear="none"/>
              <w:t xml:space="preserve">fob.f()</w:t>
              <w:br w:clear="none"/>
              <w:t xml:space="preserve">'</w:t>
              <w:br w:clear="none"/>
            </w:r>
            <w:r>
              <w:rPr>
                <w:rStyle w:val="Text31"/>
              </w:rPr>
              <w:t xml:space="preserve">)</w:t>
              <w:br w:clear="none"/>
            </w:r>
          </w:p>
          <w:p>
            <w:pPr>
              <w:pStyle w:val="Para 033"/>
            </w:pPr>
            <w:r>
              <w:rPr>
                <w:rStyle w:val="Text48"/>
              </w:rPr>
              <w:t xml:space="preserve"/>
              <w:br w:clear="none"/>
              <w:t xml:space="preserve">&gt; </w:t>
              <w:br w:clear="none"/>
            </w:r>
            <w:r>
              <w:t xml:space="preserve">&lt;string&gt;(1)?()</w:t>
              <w:br w:clear="none"/>
            </w:r>
            <w:r>
              <w:rPr>
                <w:rStyle w:val="Text48"/>
              </w:rPr>
              <w:t xml:space="preserve"/>
              <w:br w:clear="none"/>
              <w:t xml:space="preserve">(Pdb) break fob.g</w:t>
              <w:br w:clear="none"/>
            </w:r>
            <w:r>
              <w:t xml:space="preserve">Breakpoint 1 at C:\mydir\fob.py:5</w:t>
              <w:br w:clear="none"/>
            </w:r>
            <w:r>
              <w:rPr>
                <w:rStyle w:val="Text48"/>
              </w:rPr>
              <w:t xml:space="preserve"/>
              <w:br w:clear="none"/>
              <w:t xml:space="preserve">(Pdb) ignore 1 500</w:t>
              <w:br w:clear="none"/>
            </w:r>
            <w:r>
              <w:t xml:space="preserve">Will ignore next 500 crossings of breakpoint 1.</w:t>
              <w:br w:clear="none"/>
            </w:r>
            <w:r>
              <w:rPr>
                <w:rStyle w:val="Text48"/>
              </w:rPr>
              <w:t xml:space="preserve"/>
              <w:br w:clear="none"/>
              <w:t xml:space="preserve">(Pdb) continue</w:t>
              <w:br w:clear="none"/>
              <w:t xml:space="preserve">&gt; </w:t>
              <w:br w:clear="none"/>
            </w:r>
            <w:r>
              <w:t xml:space="preserve">C:\mydir\fob.py(5)</w:t>
              <w:br w:clear="none"/>
            </w:r>
            <w:r>
              <w:rPr>
                <w:rStyle w:val="Text48"/>
              </w:rPr>
              <w:t xml:space="preserve"/>
              <w:br w:clear="none"/>
            </w:r>
            <w:r>
              <w:t xml:space="preserve">g()</w:t>
              <w:br w:clear="none"/>
              <w:t xml:space="preserve">-&gt;</w:t>
              <w:br w:clear="none"/>
            </w:r>
            <w:r>
              <w:rPr>
                <w:rStyle w:val="Text48"/>
              </w:rPr>
              <w:t xml:space="preserve"> </w:t>
              <w:br w:clear="none"/>
            </w:r>
            <w:r>
              <w:t xml:space="preserve">pass</w:t>
              <w:br w:clear="none"/>
            </w:r>
            <w:r>
              <w:rPr>
                <w:rStyle w:val="Text48"/>
              </w:rPr>
              <w:t xml:space="preserve"/>
              <w:br w:clear="none"/>
              <w:t xml:space="preserve">(Pdb) print(i)</w:t>
              <w:br w:clear="none"/>
            </w:r>
            <w:r>
              <w:t xml:space="preserve">500</w:t>
              <w:br w:clear="none"/>
            </w:r>
          </w:p>
          <w:p>
            <w:pPr>
              <w:pStyle w:val="Para 022"/>
            </w:pPr>
            <w:r>
              <w:t xml:space="preserve"> The </w:t>
            </w:r>
            <w:r>
              <w:rPr>
                <w:rStyle w:val="Text0"/>
              </w:rPr>
              <w:t>ignore</w:t>
            </w:r>
            <w:r>
              <w:t xml:space="preserve"> command, as </w:t>
            </w:r>
            <w:r>
              <w:rPr>
                <w:rStyle w:val="Text0"/>
              </w:rPr>
              <w:t>pdb</w:t>
            </w:r>
            <w:r>
              <w:t xml:space="preserve"> says, tells </w:t>
            </w:r>
            <w:r>
              <w:rPr>
                <w:rStyle w:val="Text0"/>
              </w:rPr>
              <w:t>pdb</w:t>
            </w:r>
            <w:r>
              <w:t xml:space="preserve"> to ignore the next </w:t>
            </w:r>
            <w:r>
              <w:rPr>
                <w:rStyle w:val="Text0"/>
              </w:rPr>
              <w:t>500</w:t>
            </w:r>
            <w:r>
              <w:t xml:space="preserve"> hits on breakpoint </w:t>
            </w:r>
            <w:r>
              <w:rPr>
                <w:rStyle w:val="Text0"/>
              </w:rPr>
              <w:t>1</w:t>
            </w:r>
            <w:r>
              <w:t xml:space="preserve">, which we set at </w:t>
            </w:r>
            <w:r>
              <w:rPr>
                <w:rStyle w:val="Text0"/>
              </w:rPr>
              <w:t>fob.g</w:t>
            </w:r>
            <w:r>
              <w:t xml:space="preserve"> in the previous </w:t>
            </w:r>
            <w:r>
              <w:rPr>
                <w:rStyle w:val="Text0"/>
              </w:rPr>
              <w:t>break</w:t>
            </w:r>
            <w:r>
              <w:t xml:space="preserve"> statement. Therefore, when execution finally stops, the function g has already been called </w:t>
            </w:r>
            <w:r>
              <w:rPr>
                <w:rStyle w:val="Text0"/>
              </w:rPr>
              <w:t>500</w:t>
            </w:r>
            <w:r>
              <w:t xml:space="preserve"> times, as we show by printing its argument </w:t>
            </w:r>
            <w:r>
              <w:rPr>
                <w:rStyle w:val="Text0"/>
              </w:rPr>
              <w:t>i</w:t>
            </w:r>
            <w:r>
              <w:t xml:space="preserve">, which indeed is now </w:t>
            </w:r>
            <w:r>
              <w:rPr>
                <w:rStyle w:val="Text0"/>
              </w:rPr>
              <w:t>500</w:t>
            </w:r>
            <w:r>
              <w:t xml:space="preserve">. The ignore count of breakpoint </w:t>
            </w:r>
            <w:r>
              <w:rPr>
                <w:rStyle w:val="Text0"/>
              </w:rPr>
              <w:t>1</w:t>
            </w:r>
            <w:r>
              <w:t xml:space="preserve"> is now </w:t>
            </w:r>
            <w:r>
              <w:rPr>
                <w:rStyle w:val="Text0"/>
              </w:rPr>
              <w:t>0</w:t>
            </w:r>
            <w:r>
              <w:t xml:space="preserve">; if we execute another </w:t>
            </w:r>
            <w:r>
              <w:rPr>
                <w:rStyle w:val="Text0"/>
              </w:rPr>
              <w:t>continue</w:t>
            </w:r>
            <w:r>
              <w:t xml:space="preserve"> and </w:t>
            </w:r>
            <w:r>
              <w:rPr>
                <w:rStyle w:val="Text0"/>
              </w:rPr>
              <w:t>print</w:t>
            </w:r>
            <w:r>
              <w:t xml:space="preserve"> </w:t>
            </w:r>
            <w:r>
              <w:rPr>
                <w:rStyle w:val="Text0"/>
              </w:rPr>
              <w:t>i</w:t>
            </w:r>
            <w:r>
              <w:t xml:space="preserve">, </w:t>
            </w:r>
            <w:r>
              <w:rPr>
                <w:rStyle w:val="Text0"/>
              </w:rPr>
              <w:t>i</w:t>
            </w:r>
            <w:r>
              <w:t xml:space="preserve"> shows as </w:t>
            </w:r>
            <w:r>
              <w:rPr>
                <w:rStyle w:val="Text0"/>
              </w:rPr>
              <w:t>501</w:t>
            </w:r>
            <w:r>
              <w:t xml:space="preserve">. In other words, once the ignore count decrements to </w:t>
            </w:r>
            <w:r>
              <w:rPr>
                <w:rStyle w:val="Text0"/>
              </w:rPr>
              <w:t>0</w:t>
            </w:r>
            <w:r>
              <w:t xml:space="preserve">, execution stops every time the breakpoint is hit. If we want to skip some more hits, we must give </w:t>
            </w:r>
            <w:r>
              <w:rPr>
                <w:rStyle w:val="Text0"/>
              </w:rPr>
              <w:t>pdb</w:t>
            </w:r>
            <w:r>
              <w:t xml:space="preserve"> another </w:t>
            </w:r>
            <w:r>
              <w:rPr>
                <w:rStyle w:val="Text0"/>
              </w:rPr>
              <w:t>ignore</w:t>
            </w:r>
            <w:r>
              <w:t xml:space="preserve"> command, setting the ignore count of breakpoint </w:t>
            </w:r>
            <w:r>
              <w:rPr>
                <w:rStyle w:val="Text0"/>
              </w:rPr>
              <w:t>1</w:t>
            </w:r>
            <w:r>
              <w:t xml:space="preserve"> to some value greater than </w:t>
            </w:r>
            <w:r>
              <w:rPr>
                <w:rStyle w:val="Text0"/>
              </w:rPr>
              <w:t>0</w:t>
            </w:r>
            <w:r>
              <w:t xml:space="preserve"> yet again.</w:t>
            </w:r>
          </w:p>
        </w:tc>
      </w:tr>
    </w:tbl>
    <w:tbl>
      <w:tblPr>
        <w:tblW w:type="auto" w:w="0"/>
      </w:tblPr>
      <w:tr>
        <w:tc>
          <w:tcPr>
            <w:tcW w:type="auto" w:w="0"/>
            <w:shd w:val="clear" w:color="auto" w:fill="EEF2F6"/>
            <w:tcMar>
              <w:left w:type="dxa" w:w="200"/>
              <w:top w:type="dxa" w:w="200"/>
              <w:right w:type="dxa" w:w="200"/>
              <w:bottom w:type="dxa" w:w="200"/>
            </w:tcMar>
          </w:tcPr>
          <w:p>
            <w:pPr>
              <w:pStyle w:val="Para 001"/>
            </w:pPr>
            <w:r>
              <w:t>jump</w:t>
            </w:r>
            <w:r>
              <w:rPr>
                <w:rStyle w:val="Text12"/>
              </w:rPr>
              <w:t xml:space="preserve">, </w:t>
            </w:r>
            <w:r>
              <w:t>j</w:t>
            </w:r>
          </w:p>
        </w:tc>
        <w:tc>
          <w:tcPr>
            <w:tcW w:type="auto" w:w="0"/>
            <w:shd w:val="clear" w:color="auto" w:fill="EEF2F6"/>
            <w:tcMar>
              <w:left w:type="dxa" w:w="200"/>
              <w:top w:type="dxa" w:w="200"/>
              <w:right w:type="dxa" w:w="200"/>
              <w:bottom w:type="dxa" w:w="200"/>
            </w:tcMar>
          </w:tcPr>
          <w:p>
            <w:pPr>
              <w:pStyle w:val="Para 002"/>
            </w:pPr>
            <w:r>
              <w:rPr>
                <w:rStyle w:val="Text0"/>
              </w:rPr>
              <w:t>jump</w:t>
            </w:r>
            <w:r>
              <w:t xml:space="preserve"> </w:t>
            </w:r>
            <w:r>
              <w:rPr>
                <w:rStyle w:val="Text3"/>
              </w:rPr>
              <w:t>line_number</w:t>
              <w:br w:clear="none"/>
            </w:r>
            <w:r>
              <w:t xml:space="preserve"> Sets the next line to execute to the given line number. You can use this to skip over some code by advancing to a line beyond it, or revisit some code that was already run by jumping to a previous line. (Note that a </w:t>
            </w:r>
            <w:r>
              <w:rPr>
                <w:rStyle w:val="Text0"/>
              </w:rPr>
              <w:t>jump</w:t>
            </w:r>
            <w:r>
              <w:t xml:space="preserve"> to a previous source line is not an undo command: any changes to program state made after that line are retained.)</w:t>
              <w:br w:clear="none"/>
              <w:t xml:space="preserve"> </w:t>
            </w:r>
            <w:r>
              <w:rPr>
                <w:rStyle w:val="Text0"/>
              </w:rPr>
              <w:t>jump</w:t>
            </w:r>
            <w:r>
              <w:t xml:space="preserve"> does come with some limitations—for example, you can only jump within the bottom frame, and you cannot jump into a loop or out of a </w:t>
            </w:r>
            <w:r>
              <w:rPr>
                <w:rStyle w:val="Text5"/>
              </w:rPr>
              <w:t>finally</w:t>
            </w:r>
            <w:r>
              <w:t xml:space="preserve"> block—but it can still be an extremely useful command.</w:t>
            </w:r>
          </w:p>
        </w:tc>
      </w:tr>
    </w:tbl>
    <w:tbl>
      <w:tblPr>
        <w:tblW w:type="auto" w:w="0"/>
      </w:tblPr>
      <w:tr>
        <w:tc>
          <w:tcPr>
            <w:tcW w:type="auto" w:w="0"/>
            <w:tcMar>
              <w:left w:type="dxa" w:w="200"/>
              <w:top w:type="dxa" w:w="200"/>
              <w:right w:type="dxa" w:w="200"/>
              <w:bottom w:type="dxa" w:w="200"/>
            </w:tcMar>
          </w:tcPr>
          <w:p>
            <w:pPr>
              <w:pStyle w:val="Para 001"/>
            </w:pPr>
            <w:r>
              <w:t>list</w:t>
            </w:r>
            <w:r>
              <w:rPr>
                <w:rStyle w:val="Text12"/>
              </w:rPr>
              <w:t xml:space="preserve">, </w:t>
            </w:r>
            <w:r>
              <w:t>l</w:t>
            </w:r>
          </w:p>
        </w:tc>
        <w:tc>
          <w:tcPr>
            <w:tcW w:type="auto" w:w="0"/>
            <w:tcMar>
              <w:left w:type="dxa" w:w="200"/>
              <w:top w:type="dxa" w:w="200"/>
              <w:right w:type="dxa" w:w="200"/>
              <w:bottom w:type="dxa" w:w="200"/>
            </w:tcMar>
          </w:tcPr>
          <w:p>
            <w:pPr>
              <w:pStyle w:val="Para 002"/>
            </w:pPr>
            <w:r>
              <w:rPr>
                <w:rStyle w:val="Text0"/>
              </w:rPr>
              <w:t>list [</w:t>
            </w:r>
            <w:r>
              <w:rPr>
                <w:rStyle w:val="Text3"/>
              </w:rPr>
              <w:t>first</w:t>
            </w:r>
            <w:r>
              <w:t xml:space="preserve"> </w:t>
            </w:r>
            <w:r>
              <w:rPr>
                <w:rStyle w:val="Text0"/>
              </w:rPr>
              <w:t>[,</w:t>
            </w:r>
            <w:r>
              <w:t xml:space="preserve"> </w:t>
            </w:r>
            <w:r>
              <w:rPr>
                <w:rStyle w:val="Text3"/>
              </w:rPr>
              <w:t>last</w:t>
            </w:r>
            <w:r>
              <w:rPr>
                <w:rStyle w:val="Text0"/>
              </w:rPr>
              <w:t>] ]</w:t>
              <w:br w:clear="none"/>
            </w:r>
            <w:r>
              <w:t xml:space="preserve"> Without arguments, lists </w:t>
            </w:r>
            <w:r>
              <w:rPr>
                <w:rStyle w:val="Text0"/>
              </w:rPr>
              <w:t>11</w:t>
            </w:r>
            <w:r>
              <w:t xml:space="preserve"> (eleven) lines centered on the current one, or the next </w:t>
            </w:r>
            <w:r>
              <w:rPr>
                <w:rStyle w:val="Text0"/>
              </w:rPr>
              <w:t>11</w:t>
            </w:r>
            <w:r>
              <w:t xml:space="preserve"> lines if the previous command was also a </w:t>
            </w:r>
            <w:r>
              <w:rPr>
                <w:rStyle w:val="Text0"/>
              </w:rPr>
              <w:t>list</w:t>
            </w:r>
            <w:r>
              <w:t xml:space="preserve">. Arguments to the </w:t>
            </w:r>
            <w:r>
              <w:rPr>
                <w:rStyle w:val="Text0"/>
              </w:rPr>
              <w:t>list</w:t>
            </w:r>
            <w:r>
              <w:t xml:space="preserve"> command can optionally specify the first and last lines to list within the current file; use a dot (</w:t>
            </w:r>
            <w:r>
              <w:rPr>
                <w:rStyle w:val="Text0"/>
              </w:rPr>
              <w:t>.</w:t>
            </w:r>
            <w:r>
              <w:t xml:space="preserve">) to indicate the current debug line. The </w:t>
            </w:r>
            <w:r>
              <w:rPr>
                <w:rStyle w:val="Text0"/>
              </w:rPr>
              <w:t>list</w:t>
            </w:r>
            <w:r>
              <w:t xml:space="preserve"> command lists physical lines, counting and including comments and empty lines, not logical lines. </w:t>
            </w:r>
            <w:r>
              <w:rPr>
                <w:rStyle w:val="Text0"/>
              </w:rPr>
              <w:t>list</w:t>
            </w:r>
            <w:r>
              <w:t xml:space="preserve">’s output marks the current line with </w:t>
            </w:r>
            <w:r>
              <w:rPr>
                <w:rStyle w:val="Text0"/>
              </w:rPr>
              <w:t>-&gt;</w:t>
            </w:r>
            <w:r>
              <w:t xml:space="preserve">; if the current line was reached in the course of handling an exception, the line that raised the exception is marked with </w:t>
            </w:r>
            <w:r>
              <w:rPr>
                <w:rStyle w:val="Text0"/>
              </w:rPr>
              <w:t>&gt;&gt;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ll</w:t>
            </w:r>
          </w:p>
        </w:tc>
        <w:tc>
          <w:tcPr>
            <w:tcW w:type="auto" w:w="0"/>
            <w:shd w:val="clear" w:color="auto" w:fill="EEF2F6"/>
            <w:tcMar>
              <w:left w:type="dxa" w:w="200"/>
              <w:top w:type="dxa" w:w="200"/>
              <w:right w:type="dxa" w:w="200"/>
              <w:bottom w:type="dxa" w:w="200"/>
            </w:tcMar>
          </w:tcPr>
          <w:p>
            <w:pPr>
              <w:pStyle w:val="Para 002"/>
            </w:pPr>
            <w:r>
              <w:rPr>
                <w:rStyle w:val="Text0"/>
              </w:rPr>
              <w:t>ll</w:t>
              <w:br w:clear="none"/>
            </w:r>
            <w:r>
              <w:t xml:space="preserve"> Long version of </w:t>
            </w:r>
            <w:r>
              <w:rPr>
                <w:rStyle w:val="Text0"/>
              </w:rPr>
              <w:t>list</w:t>
            </w:r>
            <w:r>
              <w:t>, showing all lines in the current function or frame.</w:t>
            </w:r>
          </w:p>
        </w:tc>
      </w:tr>
    </w:tbl>
    <w:tbl>
      <w:tblPr>
        <w:tblW w:type="auto" w:w="0"/>
      </w:tblPr>
      <w:tr>
        <w:tc>
          <w:tcPr>
            <w:tcW w:type="auto" w:w="0"/>
            <w:tcMar>
              <w:left w:type="dxa" w:w="200"/>
              <w:top w:type="dxa" w:w="200"/>
              <w:right w:type="dxa" w:w="200"/>
              <w:bottom w:type="dxa" w:w="200"/>
            </w:tcMar>
          </w:tcPr>
          <w:p>
            <w:pPr>
              <w:pStyle w:val="Para 001"/>
            </w:pPr>
            <w:r>
              <w:t>next</w:t>
            </w:r>
            <w:r>
              <w:rPr>
                <w:rStyle w:val="Text12"/>
              </w:rPr>
              <w:t xml:space="preserve">, </w:t>
            </w:r>
            <w:r>
              <w:t>n</w:t>
            </w:r>
          </w:p>
        </w:tc>
        <w:tc>
          <w:tcPr>
            <w:tcW w:type="auto" w:w="0"/>
            <w:tcMar>
              <w:left w:type="dxa" w:w="200"/>
              <w:top w:type="dxa" w:w="200"/>
              <w:right w:type="dxa" w:w="200"/>
              <w:bottom w:type="dxa" w:w="200"/>
            </w:tcMar>
          </w:tcPr>
          <w:p>
            <w:pPr>
              <w:pStyle w:val="Para 002"/>
            </w:pPr>
            <w:r>
              <w:rPr>
                <w:rStyle w:val="Text0"/>
              </w:rPr>
              <w:t>next</w:t>
              <w:br w:clear="none"/>
            </w:r>
            <w:r>
              <w:t xml:space="preserve"> Executes the current line, without “stepping into” any function called from the current line. However, hitting breakpoints in functions called directly or indirectly from the current line does stop execution.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print</w:t>
            </w:r>
            <w:r>
              <w:rPr>
                <w:rStyle w:val="Text12"/>
              </w:rPr>
              <w:t xml:space="preserve">, </w:t>
            </w:r>
            <w:r>
              <w:t>p</w:t>
            </w:r>
          </w:p>
        </w:tc>
        <w:tc>
          <w:tcPr>
            <w:tcW w:type="auto" w:w="0"/>
            <w:shd w:val="clear" w:color="auto" w:fill="EEF2F6"/>
            <w:tcMar>
              <w:left w:type="dxa" w:w="200"/>
              <w:top w:type="dxa" w:w="200"/>
              <w:right w:type="dxa" w:w="200"/>
              <w:bottom w:type="dxa" w:w="200"/>
            </w:tcMar>
          </w:tcPr>
          <w:p>
            <w:pPr>
              <w:pStyle w:val="Para 002"/>
            </w:pPr>
            <w:r>
              <w:rPr>
                <w:rStyle w:val="Text0"/>
              </w:rPr>
              <w:t>print(</w:t>
            </w:r>
            <w:r>
              <w:rPr>
                <w:rStyle w:val="Text3"/>
              </w:rPr>
              <w:t>expression</w:t>
            </w:r>
            <w:r>
              <w:rPr>
                <w:rStyle w:val="Text0"/>
              </w:rPr>
              <w:t>)</w:t>
            </w:r>
            <w:r>
              <w:t>,</w:t>
              <w:br w:clear="none"/>
              <w:t xml:space="preserve"> </w:t>
            </w:r>
            <w:r>
              <w:rPr>
                <w:rStyle w:val="Text0"/>
              </w:rPr>
              <w:t>p</w:t>
            </w:r>
            <w:r>
              <w:t xml:space="preserve"> </w:t>
            </w:r>
            <w:r>
              <w:rPr>
                <w:rStyle w:val="Text3"/>
              </w:rPr>
              <w:t>expression</w:t>
              <w:br w:clear="none"/>
            </w:r>
            <w:r>
              <w:t xml:space="preserve"> Evaluates </w:t>
            </w:r>
            <w:r>
              <w:rPr>
                <w:rStyle w:val="Text3"/>
              </w:rPr>
              <w:t>expression</w:t>
            </w:r>
            <w:r>
              <w:t xml:space="preserve"> in the current context and displays the result.</w:t>
            </w:r>
          </w:p>
        </w:tc>
      </w:tr>
    </w:tbl>
    <w:tbl>
      <w:tblPr>
        <w:tblW w:type="auto" w:w="0"/>
      </w:tblPr>
      <w:tr>
        <w:tc>
          <w:tcPr>
            <w:tcW w:type="auto" w:w="0"/>
            <w:tcMar>
              <w:left w:type="dxa" w:w="200"/>
              <w:top w:type="dxa" w:w="200"/>
              <w:right w:type="dxa" w:w="200"/>
              <w:bottom w:type="dxa" w:w="200"/>
            </w:tcMar>
          </w:tcPr>
          <w:p>
            <w:pPr>
              <w:pStyle w:val="Para 001"/>
            </w:pPr>
            <w:r>
              <w:t>quit</w:t>
            </w:r>
            <w:r>
              <w:rPr>
                <w:rStyle w:val="Text12"/>
              </w:rPr>
              <w:t xml:space="preserve">, </w:t>
            </w:r>
            <w:r>
              <w:t>q</w:t>
            </w:r>
          </w:p>
        </w:tc>
        <w:tc>
          <w:tcPr>
            <w:tcW w:type="auto" w:w="0"/>
            <w:tcMar>
              <w:left w:type="dxa" w:w="200"/>
              <w:top w:type="dxa" w:w="200"/>
              <w:right w:type="dxa" w:w="200"/>
              <w:bottom w:type="dxa" w:w="200"/>
            </w:tcMar>
          </w:tcPr>
          <w:p>
            <w:pPr>
              <w:pStyle w:val="Para 002"/>
            </w:pPr>
            <w:r>
              <w:rPr>
                <w:rStyle w:val="Text0"/>
              </w:rPr>
              <w:t>quit</w:t>
              <w:br w:clear="none"/>
            </w:r>
            <w:r>
              <w:t xml:space="preserve"> Immediately terminates both </w:t>
            </w:r>
            <w:r>
              <w:rPr>
                <w:rStyle w:val="Text0"/>
              </w:rPr>
              <w:t>pdb</w:t>
            </w:r>
            <w:r>
              <w:t xml:space="preserve"> and the program being debugged.</w:t>
            </w:r>
          </w:p>
        </w:tc>
      </w:tr>
    </w:tbl>
    <w:tbl>
      <w:tblPr>
        <w:tblW w:type="auto" w:w="0"/>
      </w:tblPr>
      <w:tr>
        <w:tc>
          <w:tcPr>
            <w:tcW w:type="auto" w:w="0"/>
            <w:shd w:val="clear" w:color="auto" w:fill="EEF2F6"/>
            <w:tcMar>
              <w:left w:type="dxa" w:w="200"/>
              <w:top w:type="dxa" w:w="200"/>
              <w:right w:type="dxa" w:w="200"/>
              <w:bottom w:type="dxa" w:w="200"/>
            </w:tcMar>
          </w:tcPr>
          <w:p>
            <w:pPr>
              <w:pStyle w:val="Para 001"/>
            </w:pPr>
            <w:r>
              <w:t>return</w:t>
            </w:r>
            <w:r>
              <w:rPr>
                <w:rStyle w:val="Text12"/>
              </w:rPr>
              <w:t xml:space="preserve">, </w:t>
            </w:r>
            <w:r>
              <w:t>r</w:t>
            </w:r>
          </w:p>
        </w:tc>
        <w:tc>
          <w:tcPr>
            <w:tcW w:type="auto" w:w="0"/>
            <w:shd w:val="clear" w:color="auto" w:fill="EEF2F6"/>
            <w:tcMar>
              <w:left w:type="dxa" w:w="200"/>
              <w:top w:type="dxa" w:w="200"/>
              <w:right w:type="dxa" w:w="200"/>
              <w:bottom w:type="dxa" w:w="200"/>
            </w:tcMar>
          </w:tcPr>
          <w:p>
            <w:pPr>
              <w:pStyle w:val="Para 002"/>
            </w:pPr>
            <w:r>
              <w:rPr>
                <w:rStyle w:val="Text0"/>
              </w:rPr>
              <w:t>return</w:t>
              <w:br w:clear="none"/>
            </w:r>
            <w:r>
              <w:t xml:space="preserve"> Executes the rest of the current function, stopping only at breakpoints, if any.</w:t>
            </w:r>
          </w:p>
        </w:tc>
      </w:tr>
    </w:tbl>
    <w:tbl>
      <w:tblPr>
        <w:tblW w:type="auto" w:w="0"/>
      </w:tblPr>
      <w:tr>
        <w:tc>
          <w:tcPr>
            <w:tcW w:type="auto" w:w="0"/>
            <w:tcMar>
              <w:left w:type="dxa" w:w="200"/>
              <w:top w:type="dxa" w:w="200"/>
              <w:right w:type="dxa" w:w="200"/>
              <w:bottom w:type="dxa" w:w="200"/>
            </w:tcMar>
          </w:tcPr>
          <w:p>
            <w:pPr>
              <w:pStyle w:val="Para 001"/>
            </w:pPr>
            <w:r>
              <w:t>step</w:t>
            </w:r>
            <w:r>
              <w:rPr>
                <w:rStyle w:val="Text12"/>
              </w:rPr>
              <w:t xml:space="preserve">, </w:t>
            </w:r>
            <w:r>
              <w:t>s</w:t>
            </w:r>
          </w:p>
        </w:tc>
        <w:tc>
          <w:tcPr>
            <w:tcW w:type="auto" w:w="0"/>
            <w:tcMar>
              <w:left w:type="dxa" w:w="200"/>
              <w:top w:type="dxa" w:w="200"/>
              <w:right w:type="dxa" w:w="200"/>
              <w:bottom w:type="dxa" w:w="200"/>
            </w:tcMar>
          </w:tcPr>
          <w:p>
            <w:pPr>
              <w:pStyle w:val="Para 002"/>
            </w:pPr>
            <w:r>
              <w:rPr>
                <w:rStyle w:val="Text0"/>
              </w:rPr>
              <w:t>step</w:t>
              <w:br w:clear="none"/>
            </w:r>
            <w:r>
              <w:t xml:space="preserve"> Executes the current line, stepping into any function called from the current line.</w:t>
            </w:r>
          </w:p>
        </w:tc>
      </w:tr>
    </w:tbl>
    <w:tbl>
      <w:tblPr>
        <w:tblW w:type="auto" w:w="0"/>
      </w:tblPr>
      <w:tr>
        <w:tc>
          <w:tcPr>
            <w:tcW w:type="auto" w:w="0"/>
            <w:shd w:val="clear" w:color="auto" w:fill="EEF2F6"/>
            <w:tcMar>
              <w:left w:type="dxa" w:w="200"/>
              <w:top w:type="dxa" w:w="200"/>
              <w:right w:type="dxa" w:w="200"/>
              <w:bottom w:type="dxa" w:w="200"/>
            </w:tcMar>
          </w:tcPr>
          <w:p>
            <w:pPr>
              <w:pStyle w:val="Para 001"/>
            </w:pPr>
            <w:r>
              <w:t>tbreak</w:t>
            </w:r>
          </w:p>
        </w:tc>
        <w:tc>
          <w:tcPr>
            <w:tcW w:type="auto" w:w="0"/>
            <w:shd w:val="clear" w:color="auto" w:fill="EEF2F6"/>
            <w:tcMar>
              <w:left w:type="dxa" w:w="200"/>
              <w:top w:type="dxa" w:w="200"/>
              <w:right w:type="dxa" w:w="200"/>
              <w:bottom w:type="dxa" w:w="200"/>
            </w:tcMar>
          </w:tcPr>
          <w:p>
            <w:pPr>
              <w:pStyle w:val="Para 002"/>
            </w:pPr>
            <w:r>
              <w:rPr>
                <w:rStyle w:val="Text0"/>
              </w:rPr>
              <w:t>tbreak [</w:t>
            </w:r>
            <w:r>
              <w:rPr>
                <w:rStyle w:val="Text3"/>
              </w:rPr>
              <w:t>location</w:t>
            </w:r>
            <w:r>
              <w:rPr>
                <w:rStyle w:val="Text0"/>
              </w:rPr>
              <w:t>[,</w:t>
            </w:r>
            <w:r>
              <w:t xml:space="preserve"> </w:t>
            </w:r>
            <w:r>
              <w:rPr>
                <w:rStyle w:val="Text3"/>
              </w:rPr>
              <w:t>condition</w:t>
            </w:r>
            <w:r>
              <w:rPr>
                <w:rStyle w:val="Text0"/>
              </w:rPr>
              <w:t>]]</w:t>
              <w:br w:clear="none"/>
            </w:r>
            <w:r>
              <w:t xml:space="preserve"> Like </w:t>
            </w:r>
            <w:r>
              <w:rPr>
                <w:rStyle w:val="Text0"/>
              </w:rPr>
              <w:t>break</w:t>
            </w:r>
            <w:r>
              <w:t xml:space="preserve">, but the breakpoint is temporary (i.e., </w:t>
            </w:r>
            <w:r>
              <w:rPr>
                <w:rStyle w:val="Text0"/>
              </w:rPr>
              <w:t>pdb</w:t>
            </w:r>
            <w:r>
              <w:t xml:space="preserve"> automatically removes the breakpoint as soon as the breakpoint is triggered).</w:t>
            </w:r>
          </w:p>
        </w:tc>
      </w:tr>
    </w:tbl>
    <w:tbl>
      <w:tblPr>
        <w:tblW w:type="auto" w:w="0"/>
      </w:tblPr>
      <w:tr>
        <w:tc>
          <w:tcPr>
            <w:tcW w:type="auto" w:w="0"/>
            <w:tcMar>
              <w:left w:type="dxa" w:w="200"/>
              <w:top w:type="dxa" w:w="200"/>
              <w:right w:type="dxa" w:w="200"/>
              <w:bottom w:type="dxa" w:w="200"/>
            </w:tcMar>
          </w:tcPr>
          <w:p>
            <w:pPr>
              <w:pStyle w:val="Para 001"/>
            </w:pPr>
            <w:r>
              <w:t>up</w:t>
            </w:r>
            <w:r>
              <w:rPr>
                <w:rStyle w:val="Text12"/>
              </w:rPr>
              <w:t xml:space="preserve">, </w:t>
            </w:r>
            <w:r>
              <w:t>u</w:t>
            </w:r>
          </w:p>
        </w:tc>
        <w:tc>
          <w:tcPr>
            <w:tcW w:type="auto" w:w="0"/>
            <w:tcMar>
              <w:left w:type="dxa" w:w="200"/>
              <w:top w:type="dxa" w:w="200"/>
              <w:right w:type="dxa" w:w="200"/>
              <w:bottom w:type="dxa" w:w="200"/>
            </w:tcMar>
          </w:tcPr>
          <w:p>
            <w:pPr>
              <w:pStyle w:val="Para 002"/>
            </w:pPr>
            <w:r>
              <w:rPr>
                <w:rStyle w:val="Text0"/>
              </w:rPr>
              <w:t>up</w:t>
              <w:br w:clear="none"/>
            </w:r>
            <w:r>
              <w:t xml:space="preserve"> Moves up one frame in the stack (i.e., away from the most recent function call and toward the calling function).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where</w:t>
            </w:r>
            <w:r>
              <w:rPr>
                <w:rStyle w:val="Text12"/>
              </w:rPr>
              <w:t xml:space="preserve">, </w:t>
            </w:r>
            <w:r>
              <w:t>w</w:t>
            </w:r>
          </w:p>
        </w:tc>
        <w:tc>
          <w:tcPr>
            <w:tcW w:type="auto" w:w="0"/>
            <w:shd w:val="clear" w:color="auto" w:fill="EEF2F6"/>
            <w:tcMar>
              <w:left w:type="dxa" w:w="200"/>
              <w:top w:type="dxa" w:w="200"/>
              <w:right w:type="dxa" w:w="200"/>
              <w:bottom w:type="dxa" w:w="200"/>
            </w:tcMar>
          </w:tcPr>
          <w:p>
            <w:pPr>
              <w:pStyle w:val="Para 002"/>
            </w:pPr>
            <w:r>
              <w:rPr>
                <w:rStyle w:val="Text0"/>
              </w:rPr>
              <w:t>where</w:t>
              <w:br w:clear="none"/>
            </w:r>
            <w:r>
              <w:t xml:space="preserve"> Shows the stack of frames and indicates the current one (i.e., in which frame’s context the command </w:t>
            </w:r>
            <w:r>
              <w:rPr>
                <w:rStyle w:val="Text0"/>
              </w:rPr>
              <w:t>!</w:t>
            </w:r>
            <w:r>
              <w:t xml:space="preserve"> executes statements, the command </w:t>
            </w:r>
            <w:r>
              <w:rPr>
                <w:rStyle w:val="Text0"/>
              </w:rPr>
              <w:t>args</w:t>
            </w:r>
            <w:r>
              <w:t xml:space="preserve"> shows arguments, the command </w:t>
            </w:r>
            <w:r>
              <w:rPr>
                <w:rStyle w:val="Text0"/>
              </w:rPr>
              <w:t>print</w:t>
            </w:r>
            <w:r>
              <w:t xml:space="preserve"> evaluates expressions, etc.).</w:t>
            </w:r>
          </w:p>
        </w:tc>
      </w:tr>
    </w:tbl>
    <w:p>
      <w:pPr>
        <w:pStyle w:val="Normal"/>
      </w:pPr>
      <w:r>
        <w:t xml:space="preserve">You can also enter a Python expression at the </w:t>
      </w:r>
      <w:r>
        <w:rPr>
          <w:rStyle w:val="Text0"/>
        </w:rPr>
        <w:t>(Pdb)</w:t>
      </w:r>
      <w:r>
        <w:t xml:space="preserve"> prompt, and </w:t>
      </w:r>
      <w:r>
        <w:rPr>
          <w:rStyle w:val="Text0"/>
        </w:rPr>
        <w:t>pdb</w:t>
      </w:r>
      <w:r>
        <w:t xml:space="preserve"> will evaluate it and display the result, just as if you were at the Python interpreter prompt. However, when you enter an expression whose first term coincides with a </w:t>
      </w:r>
      <w:r>
        <w:rPr>
          <w:rStyle w:val="Text0"/>
        </w:rPr>
        <w:t>pdb</w:t>
      </w:r>
      <w:r>
        <w:t xml:space="preserve"> command, the </w:t>
      </w:r>
      <w:r>
        <w:rPr>
          <w:rStyle w:val="Text0"/>
        </w:rPr>
        <w:t>pdb</w:t>
      </w:r>
      <w:r>
        <w:t xml:space="preserve"> command will execute. This is especially problematic when debugging code with single-letter variables like </w:t>
      </w:r>
      <w:r>
        <w:rPr>
          <w:rStyle w:val="Text3"/>
        </w:rPr>
        <w:t>p</w:t>
      </w:r>
      <w:r>
        <w:t xml:space="preserve"> and </w:t>
      </w:r>
      <w:r>
        <w:rPr>
          <w:rStyle w:val="Text3"/>
        </w:rPr>
        <w:t>q</w:t>
      </w:r>
      <w:r>
        <w:t xml:space="preserve">. In these cases, you must begin the expression with </w:t>
      </w:r>
      <w:r>
        <w:rPr>
          <w:rStyle w:val="Text0"/>
        </w:rPr>
        <w:t>!</w:t>
      </w:r>
      <w:r>
        <w:t xml:space="preserve"> or precede it with the </w:t>
      </w:r>
      <w:r>
        <w:rPr>
          <w:rStyle w:val="Text0"/>
        </w:rPr>
        <w:t>print</w:t>
      </w:r>
      <w:r>
        <w:t xml:space="preserve"> or </w:t>
      </w:r>
      <w:r>
        <w:rPr>
          <w:rStyle w:val="Text0"/>
        </w:rPr>
        <w:t>p</w:t>
      </w:r>
      <w:r>
        <w:t xml:space="preserve"> command.</w:t>
      </w:r>
      <w:r>
        <w:rPr>
          <w:rStyle w:val="Text111"/>
        </w:rPr>
        <w:bookmarkStart w:id="3794" w:name="idm45965181377312"/>
        <w:t/>
        <w:bookmarkEnd w:id="3794"/>
        <w:bookmarkStart w:id="3795" w:name="idm45965181375904"/>
        <w:t/>
        <w:bookmarkEnd w:id="3795"/>
      </w:r>
    </w:p>
    <w:p>
      <w:bookmarkStart w:id="3796" w:name="Other_Debugging_Modules__While_p"/>
      <w:pPr>
        <w:keepNext/>
        <w:pStyle w:val="Heading 2"/>
      </w:pPr>
      <w:r>
        <w:t>Other Debugging Modules</w:t>
      </w:r>
      <w:bookmarkEnd w:id="3796"/>
    </w:p>
    <w:p>
      <w:pPr>
        <w:pStyle w:val="Normal"/>
      </w:pPr>
      <w:r>
        <w:t>While</w:t>
      </w:r>
      <w:r>
        <w:rPr>
          <w:rStyle w:val="Text111"/>
        </w:rPr>
        <w:bookmarkStart w:id="3797" w:name="idm45965181372336"/>
        <w:t/>
        <w:bookmarkEnd w:id="3797"/>
        <w:bookmarkStart w:id="3798" w:name="idm45965181370928"/>
        <w:t/>
        <w:bookmarkEnd w:id="3798"/>
      </w:r>
      <w:r>
        <w:t xml:space="preserve"> </w:t>
      </w:r>
      <w:r>
        <w:rPr>
          <w:rStyle w:val="Text0"/>
        </w:rPr>
        <w:t>pdb</w:t>
      </w:r>
      <w:r>
        <w:t xml:space="preserve"> is built into Python, there are third-party packages that provide enhanced features for debugging.</w:t>
      </w:r>
    </w:p>
    <w:p>
      <w:bookmarkStart w:id="3799" w:name="ipdb__Just_as_ipython_extends_th"/>
      <w:pPr>
        <w:keepNext/>
        <w:pStyle w:val="Heading 2"/>
      </w:pPr>
      <w:r>
        <w:t>ipdb</w:t>
      </w:r>
      <w:bookmarkEnd w:id="3799"/>
    </w:p>
    <w:p>
      <w:pPr>
        <w:pStyle w:val="Normal"/>
      </w:pPr>
      <w:r>
        <w:t>Just</w:t>
      </w:r>
      <w:r>
        <w:rPr>
          <w:rStyle w:val="Text111"/>
        </w:rPr>
        <w:bookmarkStart w:id="3800" w:name="idm45965181366464"/>
        <w:t/>
        <w:bookmarkEnd w:id="3800"/>
      </w:r>
      <w:r>
        <w:t xml:space="preserve"> as </w:t>
      </w:r>
      <w:r>
        <w:rPr>
          <w:rStyle w:val="Text0"/>
        </w:rPr>
        <w:t>ipython</w:t>
      </w:r>
      <w:r>
        <w:t xml:space="preserve"> extends the interactive interpreter provided by Python, </w:t>
      </w:r>
      <w:hyperlink r:id="rId505">
        <w:r>
          <w:rPr>
            <w:rStyle w:val="Text30"/>
          </w:rPr>
          <w:t>ipdb</w:t>
        </w:r>
      </w:hyperlink>
      <w:r>
        <w:t xml:space="preserve"> adds the same inspection, tab completion, command-line editing, and history features (and magic commands) to </w:t>
      </w:r>
      <w:r>
        <w:rPr>
          <w:rStyle w:val="Text0"/>
        </w:rPr>
        <w:t>pdb</w:t>
      </w:r>
      <w:r>
        <w:t xml:space="preserve">. </w:t>
      </w:r>
      <w:hyperlink w:anchor="Figure_17_1__Example_of_an_ipdb">
        <w:r>
          <w:rPr>
            <w:rStyle w:val="Text1"/>
          </w:rPr>
          <w:t>Figure 17-1</w:t>
        </w:r>
      </w:hyperlink>
      <w:r>
        <w:t xml:space="preserve"> shows an example interaction.</w:t>
      </w:r>
    </w:p>
    <w:p>
      <w:bookmarkStart w:id="3801" w:name="Figure_17_1__Example_of_an_ipdb"/>
      <w:pPr>
        <w:pStyle w:val="Para 048"/>
        <w:keepLines w:val="on"/>
      </w:pPr>
      <w:r>
        <w:drawing>
          <wp:inline>
            <wp:extent cx="3251200" cy="2133600"/>
            <wp:effectExtent l="0" r="0" t="0" b="43426"/>
            <wp:docPr id="5" name="pns4_1701.png" descr="Example of an ipdb session"/>
            <wp:cNvGraphicFramePr>
              <a:graphicFrameLocks noChangeAspect="1"/>
            </wp:cNvGraphicFramePr>
            <a:graphic>
              <a:graphicData uri="http://schemas.openxmlformats.org/drawingml/2006/picture">
                <pic:pic>
                  <pic:nvPicPr>
                    <pic:cNvPr id="0" name="pns4_1701.png" descr="Example of an ipdb session"/>
                    <pic:cNvPicPr/>
                  </pic:nvPicPr>
                  <pic:blipFill>
                    <a:blip r:embed="rId8"/>
                    <a:stretch>
                      <a:fillRect/>
                    </a:stretch>
                  </pic:blipFill>
                  <pic:spPr>
                    <a:xfrm>
                      <a:off x="0" y="0"/>
                      <a:ext cx="3251200" cy="2133600"/>
                    </a:xfrm>
                    <a:prstGeom prst="rect">
                      <a:avLst/>
                    </a:prstGeom>
                  </pic:spPr>
                </pic:pic>
              </a:graphicData>
            </a:graphic>
          </wp:inline>
        </w:drawing>
      </w:r>
      <w:r>
        <w:rPr>
          <w:rStyle w:val="Text4"/>
        </w:rPr>
        <w:t xml:space="preserve"> </w:t>
      </w:r>
      <w:r>
        <w:t xml:space="preserve"> </w:t>
      </w:r>
      <w:bookmarkEnd w:id="3801"/>
    </w:p>
    <w:p>
      <w:pPr>
        <w:keepNext/>
        <w:pStyle w:val="Para 075"/>
        <w:keepLines w:val="on"/>
      </w:pPr>
      <w:r>
        <w:rPr>
          <w:rStyle w:val="Text4"/>
        </w:rPr>
        <w:t xml:space="preserve">Figure 17-1. </w:t>
      </w:r>
      <w:r>
        <w:t xml:space="preserve">Example of an </w:t>
      </w:r>
      <w:r>
        <w:rPr>
          <w:rStyle w:val="Text71"/>
        </w:rPr>
        <w:t>ipdb</w:t>
      </w:r>
      <w:r>
        <w:t xml:space="preserve"> session</w:t>
      </w:r>
    </w:p>
    <w:p>
      <w:pPr>
        <w:pStyle w:val="Para 076"/>
        <w:keepLines w:val="on"/>
      </w:pPr>
      <w:r>
        <w:t xml:space="preserve"> </w:t>
      </w:r>
    </w:p>
    <w:p>
      <w:pPr>
        <w:pStyle w:val="Normal"/>
      </w:pPr>
      <w:r>
        <w:rPr>
          <w:rStyle w:val="Text0"/>
        </w:rPr>
        <w:t>ipdb</w:t>
      </w:r>
      <w:r>
        <w:t xml:space="preserve"> also adds configuration and conditional expressions to its version of </w:t>
      </w:r>
      <w:r>
        <w:rPr>
          <w:rStyle w:val="Text0"/>
        </w:rPr>
        <w:t>set_trace</w:t>
      </w:r>
      <w:r>
        <w:t xml:space="preserve">, giving more control over when your program is to break out into the debugging session. (In this example, the breakpoint is conditional on </w:t>
      </w:r>
      <w:r>
        <w:rPr>
          <w:rStyle w:val="Text0"/>
        </w:rPr>
        <w:t>i</w:t>
      </w:r>
      <w:r>
        <w:t xml:space="preserve"> being equal to </w:t>
      </w:r>
      <w:r>
        <w:rPr>
          <w:rStyle w:val="Text0"/>
        </w:rPr>
        <w:t>2</w:t>
      </w:r>
      <w:r>
        <w:t>.)</w:t>
      </w:r>
    </w:p>
    <w:p>
      <w:bookmarkStart w:id="3802" w:name="pudb__pudb_is_a_lightweight__gra"/>
      <w:pPr>
        <w:keepNext/>
        <w:pStyle w:val="Heading 2"/>
      </w:pPr>
      <w:r>
        <w:t>pudb</w:t>
      </w:r>
      <w:bookmarkEnd w:id="3802"/>
    </w:p>
    <w:p>
      <w:pPr>
        <w:pStyle w:val="Normal"/>
      </w:pPr>
      <w:hyperlink r:id="rId506">
        <w:r>
          <w:rPr>
            <w:rStyle w:val="Text30"/>
          </w:rPr>
          <w:t>pudb</w:t>
        </w:r>
      </w:hyperlink>
      <w:r>
        <w:t xml:space="preserve"> is</w:t>
      </w:r>
      <w:r>
        <w:rPr>
          <w:rStyle w:val="Text111"/>
        </w:rPr>
        <w:bookmarkStart w:id="3803" w:name="idm45965181352224"/>
        <w:t/>
        <w:bookmarkEnd w:id="3803"/>
        <w:bookmarkStart w:id="3804" w:name="idm45965181350848"/>
        <w:t/>
        <w:bookmarkEnd w:id="3804"/>
      </w:r>
      <w:r>
        <w:t xml:space="preserve"> a lightweight “graphical-like” debugger that runs in a terminal console (see </w:t>
      </w:r>
      <w:hyperlink w:anchor="Figure_17_2__Example_of_a_pudb_s">
        <w:r>
          <w:rPr>
            <w:rStyle w:val="Text1"/>
          </w:rPr>
          <w:t>Figure 17-2</w:t>
        </w:r>
      </w:hyperlink>
      <w:r>
        <w:t xml:space="preserve">), utilizing the </w:t>
      </w:r>
      <w:hyperlink r:id="rId507">
        <w:r>
          <w:rPr>
            <w:rStyle w:val="Text1"/>
          </w:rPr>
          <w:t>urwid</w:t>
        </w:r>
      </w:hyperlink>
      <w:r>
        <w:t xml:space="preserve"> console UI library. It is especially useful when connecting to remote Python environments using terminal sessions such as </w:t>
      </w:r>
      <w:r>
        <w:rPr>
          <w:rStyle w:val="Text0"/>
        </w:rPr>
        <w:t>ssh</w:t>
      </w:r>
      <w:r>
        <w:t>, where a windowed-GUI debugger is not easy to install or run.</w:t>
      </w:r>
    </w:p>
    <w:p>
      <w:bookmarkStart w:id="3805" w:name="Figure_17_2__Example_of_a_pudb_s"/>
      <w:pPr>
        <w:pStyle w:val="Para 048"/>
        <w:keepLines w:val="on"/>
      </w:pPr>
      <w:r>
        <w:drawing>
          <wp:inline>
            <wp:extent cx="3251200" cy="2222500"/>
            <wp:effectExtent l="0" r="0" t="0" b="43426"/>
            <wp:docPr id="6" name="pns4_1702.png" descr="Example of a pudb session"/>
            <wp:cNvGraphicFramePr>
              <a:graphicFrameLocks noChangeAspect="1"/>
            </wp:cNvGraphicFramePr>
            <a:graphic>
              <a:graphicData uri="http://schemas.openxmlformats.org/drawingml/2006/picture">
                <pic:pic>
                  <pic:nvPicPr>
                    <pic:cNvPr id="0" name="pns4_1702.png" descr="Example of a pudb session"/>
                    <pic:cNvPicPr/>
                  </pic:nvPicPr>
                  <pic:blipFill>
                    <a:blip r:embed="rId9"/>
                    <a:stretch>
                      <a:fillRect/>
                    </a:stretch>
                  </pic:blipFill>
                  <pic:spPr>
                    <a:xfrm>
                      <a:off x="0" y="0"/>
                      <a:ext cx="3251200" cy="2222500"/>
                    </a:xfrm>
                    <a:prstGeom prst="rect">
                      <a:avLst/>
                    </a:prstGeom>
                  </pic:spPr>
                </pic:pic>
              </a:graphicData>
            </a:graphic>
          </wp:inline>
        </w:drawing>
      </w:r>
      <w:r>
        <w:rPr>
          <w:rStyle w:val="Text4"/>
        </w:rPr>
        <w:t xml:space="preserve"> </w:t>
      </w:r>
      <w:r>
        <w:t xml:space="preserve"> </w:t>
      </w:r>
      <w:bookmarkEnd w:id="3805"/>
    </w:p>
    <w:p>
      <w:pPr>
        <w:keepNext/>
        <w:pStyle w:val="Para 075"/>
        <w:keepLines w:val="on"/>
      </w:pPr>
      <w:r>
        <w:rPr>
          <w:rStyle w:val="Text4"/>
        </w:rPr>
        <w:t xml:space="preserve">Figure 17-2. </w:t>
      </w:r>
      <w:r>
        <w:t xml:space="preserve">Example of a </w:t>
      </w:r>
      <w:r>
        <w:rPr>
          <w:rStyle w:val="Text71"/>
        </w:rPr>
        <w:t>pudb</w:t>
      </w:r>
      <w:r>
        <w:t xml:space="preserve"> session</w:t>
      </w:r>
    </w:p>
    <w:p>
      <w:pPr>
        <w:pStyle w:val="Para 076"/>
        <w:keepLines w:val="on"/>
      </w:pPr>
      <w:r>
        <w:t xml:space="preserve"> </w:t>
      </w:r>
    </w:p>
    <w:p>
      <w:pPr>
        <w:pStyle w:val="Normal"/>
      </w:pPr>
      <w:r>
        <w:rPr>
          <w:rStyle w:val="Text0"/>
        </w:rPr>
        <w:t>pudb</w:t>
      </w:r>
      <w:r>
        <w:t xml:space="preserve"> has its own set of debugging commands and interface, which take some practice to use; however, it makes a visual debugging environment handily available when working in tight computing spaces.</w:t>
      </w:r>
    </w:p>
    <w:p>
      <w:bookmarkStart w:id="3806" w:name="The_warnings_Module__Warnings_ar"/>
      <w:pPr>
        <w:keepNext/>
        <w:pStyle w:val="Heading 1"/>
      </w:pPr>
      <w:r>
        <w:t>The warnings Module</w:t>
      </w:r>
      <w:bookmarkEnd w:id="3806"/>
    </w:p>
    <w:p>
      <w:pPr>
        <w:pStyle w:val="Normal"/>
      </w:pPr>
      <w:r>
        <w:t>Warnings</w:t>
      </w:r>
      <w:r>
        <w:rPr>
          <w:rStyle w:val="Text111"/>
        </w:rPr>
        <w:bookmarkStart w:id="3807" w:name="warnmod17"/>
        <w:t/>
        <w:bookmarkEnd w:id="3807"/>
        <w:bookmarkStart w:id="3808" w:name="idm45965181340016"/>
        <w:t/>
        <w:bookmarkEnd w:id="3808"/>
      </w:r>
      <w:r>
        <w:t xml:space="preserve"> are messages about errors or anomalies that aren’t serious enough to disrupt the program’s control flow (as would happen by raising an exception). The </w:t>
      </w:r>
      <w:r>
        <w:rPr>
          <w:rStyle w:val="Text0"/>
        </w:rPr>
        <w:t>warnings</w:t>
      </w:r>
      <w:r>
        <w:t xml:space="preserve"> module affords fine-grained control over which warnings are output and what happens to them. You can conditionally output a warning by calling the function </w:t>
      </w:r>
      <w:r>
        <w:rPr>
          <w:rStyle w:val="Text0"/>
        </w:rPr>
        <w:t>warn</w:t>
      </w:r>
      <w:r>
        <w:t xml:space="preserve"> in the </w:t>
      </w:r>
      <w:r>
        <w:rPr>
          <w:rStyle w:val="Text0"/>
        </w:rPr>
        <w:t>warnings</w:t>
      </w:r>
      <w:r>
        <w:t xml:space="preserve"> module. Other functions in the module let you control how warnings are formatted, set their destinations, and conditionally suppress some warnings or transform some warnings into exceptions.</w:t>
      </w:r>
    </w:p>
    <w:p>
      <w:bookmarkStart w:id="3809" w:name="Classes__Exception_classes_that"/>
      <w:pPr>
        <w:keepNext/>
        <w:pStyle w:val="Heading 2"/>
      </w:pPr>
      <w:r>
        <w:t>Classes</w:t>
      </w:r>
      <w:bookmarkEnd w:id="3809"/>
    </w:p>
    <w:p>
      <w:pPr>
        <w:pStyle w:val="Normal"/>
      </w:pPr>
      <w:r>
        <w:t xml:space="preserve">Exception classes that represent warnings are not supplied by </w:t>
      </w:r>
      <w:r>
        <w:rPr>
          <w:rStyle w:val="Text0"/>
        </w:rPr>
        <w:t>warnings</w:t>
      </w:r>
      <w:r>
        <w:t xml:space="preserve">: rather, they are built-ins. The class </w:t>
      </w:r>
      <w:r>
        <w:rPr>
          <w:rStyle w:val="Text0"/>
        </w:rPr>
        <w:t>Warning</w:t>
      </w:r>
      <w:r>
        <w:t xml:space="preserve"> subclasses </w:t>
      </w:r>
      <w:r>
        <w:rPr>
          <w:rStyle w:val="Text0"/>
        </w:rPr>
        <w:t>Exception</w:t>
      </w:r>
      <w:r>
        <w:t xml:space="preserve"> and is the base class for all warnings. You may define your own warning classes, which must subclass </w:t>
      </w:r>
      <w:r>
        <w:rPr>
          <w:rStyle w:val="Text0"/>
        </w:rPr>
        <w:t>Warning</w:t>
      </w:r>
      <w:r>
        <w:t>, either directly or via one of its other existing subclasses—these include:</w:t>
      </w:r>
    </w:p>
    <w:p>
      <w:pPr>
        <w:pStyle w:val="Para 030"/>
      </w:pPr>
      <w:r>
        <w:t>DeprecationWarning</w:t>
      </w:r>
    </w:p>
    <w:p>
      <w:pPr>
        <w:pStyle w:val="Para 016"/>
      </w:pPr>
      <w:r>
        <w:t>For</w:t>
      </w:r>
      <w:r>
        <w:rPr>
          <w:rStyle w:val="Text115"/>
        </w:rPr>
        <w:bookmarkStart w:id="3810" w:name="idm45965181329552"/>
        <w:t/>
        <w:bookmarkEnd w:id="3810"/>
      </w:r>
      <w:r>
        <w:t xml:space="preserve"> use of deprecated features which are still supplied only for backward compatibility</w:t>
      </w:r>
    </w:p>
    <w:p>
      <w:pPr>
        <w:pStyle w:val="Para 030"/>
      </w:pPr>
      <w:r>
        <w:t>RuntimeWarning</w:t>
      </w:r>
    </w:p>
    <w:p>
      <w:pPr>
        <w:pStyle w:val="Para 016"/>
      </w:pPr>
      <w:r>
        <w:t>For</w:t>
      </w:r>
      <w:r>
        <w:rPr>
          <w:rStyle w:val="Text115"/>
        </w:rPr>
        <w:bookmarkStart w:id="3811" w:name="idm45965181326688"/>
        <w:t/>
        <w:bookmarkEnd w:id="3811"/>
      </w:r>
      <w:r>
        <w:t xml:space="preserve"> use of features whose semantics are error prone</w:t>
      </w:r>
    </w:p>
    <w:p>
      <w:pPr>
        <w:pStyle w:val="Para 030"/>
      </w:pPr>
      <w:r>
        <w:t>SyntaxWarning</w:t>
      </w:r>
    </w:p>
    <w:p>
      <w:pPr>
        <w:pStyle w:val="Para 016"/>
      </w:pPr>
      <w:r>
        <w:t>For</w:t>
      </w:r>
      <w:r>
        <w:rPr>
          <w:rStyle w:val="Text115"/>
        </w:rPr>
        <w:bookmarkStart w:id="3812" w:name="idm45965181323824"/>
        <w:t/>
        <w:bookmarkEnd w:id="3812"/>
      </w:r>
      <w:r>
        <w:t xml:space="preserve"> use of features whose syntax is error prone</w:t>
      </w:r>
    </w:p>
    <w:p>
      <w:pPr>
        <w:pStyle w:val="Para 030"/>
      </w:pPr>
      <w:r>
        <w:t>UserWarning</w:t>
      </w:r>
    </w:p>
    <w:p>
      <w:pPr>
        <w:pStyle w:val="Para 016"/>
      </w:pPr>
      <w:r>
        <w:t>For</w:t>
      </w:r>
      <w:r>
        <w:rPr>
          <w:rStyle w:val="Text115"/>
        </w:rPr>
        <w:bookmarkStart w:id="3813" w:name="idm45965181320960"/>
        <w:t/>
        <w:bookmarkEnd w:id="3813"/>
      </w:r>
      <w:r>
        <w:t xml:space="preserve"> other user-defined warnings that don’t fit any of the above cases</w:t>
      </w:r>
    </w:p>
    <w:p>
      <w:bookmarkStart w:id="3814" w:name="Objects__Python_supplies_no_conc"/>
      <w:pPr>
        <w:keepNext/>
        <w:pStyle w:val="Heading 2"/>
      </w:pPr>
      <w:r>
        <w:t>Objects</w:t>
      </w:r>
      <w:bookmarkEnd w:id="3814"/>
    </w:p>
    <w:p>
      <w:pPr>
        <w:pStyle w:val="Normal"/>
      </w:pPr>
      <w:r>
        <w:t xml:space="preserve">Python supplies no concrete “warning objects.” Rather, a warning is made up of a </w:t>
      </w:r>
      <w:r>
        <w:rPr>
          <w:rStyle w:val="Text3"/>
        </w:rPr>
        <w:t>message</w:t>
      </w:r>
      <w:r>
        <w:t xml:space="preserve"> (a string), a </w:t>
      </w:r>
      <w:r>
        <w:rPr>
          <w:rStyle w:val="Text3"/>
        </w:rPr>
        <w:t>category</w:t>
      </w:r>
      <w:r>
        <w:t xml:space="preserve"> (a subclass of </w:t>
      </w:r>
      <w:r>
        <w:rPr>
          <w:rStyle w:val="Text0"/>
        </w:rPr>
        <w:t>Warning</w:t>
      </w:r>
      <w:r>
        <w:t xml:space="preserve">), and two pieces of information to identify where the warning was raised: </w:t>
      </w:r>
      <w:r>
        <w:rPr>
          <w:rStyle w:val="Text3"/>
        </w:rPr>
        <w:t>module</w:t>
      </w:r>
      <w:r>
        <w:t xml:space="preserve"> (the name of the module that raised the warning) and </w:t>
      </w:r>
      <w:r>
        <w:rPr>
          <w:rStyle w:val="Text3"/>
        </w:rPr>
        <w:t>lineno</w:t>
      </w:r>
      <w:r>
        <w:t xml:space="preserve"> (the number of the line in the source code that raised the warning). Conceptually, you may think of these as attributes of a warning object </w:t>
      </w:r>
      <w:r>
        <w:rPr>
          <w:rStyle w:val="Text3"/>
        </w:rPr>
        <w:t>w</w:t>
      </w:r>
      <w:r>
        <w:t xml:space="preserve">: we use attribute notation later, strictly for clarity, but no specific object </w:t>
      </w:r>
      <w:r>
        <w:rPr>
          <w:rStyle w:val="Text3"/>
        </w:rPr>
        <w:t>w</w:t>
      </w:r>
      <w:r>
        <w:t xml:space="preserve"> actually exists.</w:t>
      </w:r>
    </w:p>
    <w:p>
      <w:bookmarkStart w:id="3815" w:name="Filters__At_any_time__the_warnin"/>
      <w:pPr>
        <w:keepNext/>
        <w:pStyle w:val="Heading 2"/>
      </w:pPr>
      <w:r>
        <w:t>Filters</w:t>
      </w:r>
      <w:bookmarkEnd w:id="3815"/>
    </w:p>
    <w:p>
      <w:pPr>
        <w:pStyle w:val="Normal"/>
      </w:pPr>
      <w:r>
        <w:t xml:space="preserve">At any time, the </w:t>
      </w:r>
      <w:r>
        <w:rPr>
          <w:rStyle w:val="Text0"/>
        </w:rPr>
        <w:t>warnings</w:t>
      </w:r>
      <w:r>
        <w:t xml:space="preserve"> module keeps a list of active filters for warnings. When you import </w:t>
      </w:r>
      <w:r>
        <w:rPr>
          <w:rStyle w:val="Text0"/>
        </w:rPr>
        <w:t>warnings</w:t>
      </w:r>
      <w:r>
        <w:t xml:space="preserve"> for the first time in a run, the module examines </w:t>
      </w:r>
      <w:r>
        <w:rPr>
          <w:rStyle w:val="Text0"/>
        </w:rPr>
        <w:t>sys.warnoptions</w:t>
      </w:r>
      <w:r>
        <w:t xml:space="preserve"> to determine the initial set of filters. You can run Python with the option </w:t>
      </w:r>
      <w:r>
        <w:rPr>
          <w:rStyle w:val="Text5"/>
        </w:rPr>
        <w:t>-W</w:t>
      </w:r>
      <w:r>
        <w:t xml:space="preserve"> to set </w:t>
      </w:r>
      <w:r>
        <w:rPr>
          <w:rStyle w:val="Text0"/>
        </w:rPr>
        <w:t>sys.warnoptions</w:t>
      </w:r>
      <w:r>
        <w:t xml:space="preserve"> for a given run. Do not rely on the initial set of filters being held specifically in </w:t>
      </w:r>
      <w:r>
        <w:rPr>
          <w:rStyle w:val="Text0"/>
        </w:rPr>
        <w:t>sys.warnoptions</w:t>
      </w:r>
      <w:r>
        <w:t>, as this is an implementation detail that may change in future versions of Python.</w:t>
      </w:r>
    </w:p>
    <w:p>
      <w:pPr>
        <w:pStyle w:val="Normal"/>
      </w:pPr>
      <w:r>
        <w:t xml:space="preserve">As each warning </w:t>
      </w:r>
      <w:r>
        <w:rPr>
          <w:rStyle w:val="Text3"/>
        </w:rPr>
        <w:t>w</w:t>
      </w:r>
      <w:r>
        <w:t xml:space="preserve"> occurs, </w:t>
      </w:r>
      <w:r>
        <w:rPr>
          <w:rStyle w:val="Text0"/>
        </w:rPr>
        <w:t>warnings</w:t>
      </w:r>
      <w:r>
        <w:t xml:space="preserve"> tests </w:t>
      </w:r>
      <w:r>
        <w:rPr>
          <w:rStyle w:val="Text3"/>
        </w:rPr>
        <w:t>w</w:t>
      </w:r>
      <w:r>
        <w:t xml:space="preserve"> against each filter until a filter matches. The first matching filter determines what happens to </w:t>
      </w:r>
      <w:r>
        <w:rPr>
          <w:rStyle w:val="Text3"/>
        </w:rPr>
        <w:t>w</w:t>
      </w:r>
      <w:r>
        <w:t xml:space="preserve">. Each filter is a tuple of five items. The first item, </w:t>
      </w:r>
      <w:r>
        <w:rPr>
          <w:rStyle w:val="Text3"/>
        </w:rPr>
        <w:t>action</w:t>
      </w:r>
      <w:r>
        <w:t xml:space="preserve">, is a string that defines what happens on a match. The other four items, </w:t>
      </w:r>
      <w:r>
        <w:rPr>
          <w:rStyle w:val="Text3"/>
        </w:rPr>
        <w:t>message</w:t>
      </w:r>
      <w:r>
        <w:rPr>
          <w:rStyle w:val="Text4"/>
        </w:rPr>
        <w:t>,</w:t>
      </w:r>
      <w:r>
        <w:t xml:space="preserve"> </w:t>
      </w:r>
      <w:r>
        <w:rPr>
          <w:rStyle w:val="Text3"/>
        </w:rPr>
        <w:t>category</w:t>
      </w:r>
      <w:r>
        <w:rPr>
          <w:rStyle w:val="Text4"/>
        </w:rPr>
        <w:t>,</w:t>
      </w:r>
      <w:r>
        <w:t xml:space="preserve"> </w:t>
      </w:r>
      <w:r>
        <w:rPr>
          <w:rStyle w:val="Text3"/>
        </w:rPr>
        <w:t>module</w:t>
      </w:r>
      <w:r>
        <w:t xml:space="preserve">, and </w:t>
      </w:r>
      <w:r>
        <w:rPr>
          <w:rStyle w:val="Text3"/>
        </w:rPr>
        <w:t>lineno</w:t>
      </w:r>
      <w:r>
        <w:t xml:space="preserve">, control what it means for </w:t>
      </w:r>
      <w:r>
        <w:rPr>
          <w:rStyle w:val="Text3"/>
        </w:rPr>
        <w:t>w</w:t>
      </w:r>
      <w:r>
        <w:t xml:space="preserve"> to match the filter: for a match, all conditions must be satisfied. Here are the meanings of these items (using attribute notation to indicate conceptual attributes of </w:t>
      </w:r>
      <w:r>
        <w:rPr>
          <w:rStyle w:val="Text3"/>
        </w:rPr>
        <w:t>w</w:t>
      </w:r>
      <w:r>
        <w:t>):</w:t>
      </w:r>
    </w:p>
    <w:p>
      <w:pPr>
        <w:pStyle w:val="Para 055"/>
      </w:pPr>
      <w:r>
        <w:t>message</w:t>
      </w:r>
    </w:p>
    <w:p>
      <w:pPr>
        <w:pStyle w:val="Para 016"/>
      </w:pPr>
      <w:r>
        <w:t xml:space="preserve">A regular expression pattern string; the match condition is </w:t>
      </w:r>
      <w:r>
        <w:rPr>
          <w:rStyle w:val="Text0"/>
        </w:rPr>
        <w:t>re.match(</w:t>
      </w:r>
      <w:r>
        <w:rPr>
          <w:rStyle w:val="Text3"/>
        </w:rPr>
        <w:t>message</w:t>
      </w:r>
      <w:r>
        <w:t xml:space="preserve">, </w:t>
      </w:r>
      <w:r>
        <w:rPr>
          <w:rStyle w:val="Text3"/>
        </w:rPr>
        <w:t>w</w:t>
      </w:r>
      <w:r>
        <w:rPr>
          <w:rStyle w:val="Text0"/>
        </w:rPr>
        <w:t>.message, re.I)</w:t>
      </w:r>
      <w:r>
        <w:t xml:space="preserve"> (the match is case insensitive)</w:t>
      </w:r>
    </w:p>
    <w:p>
      <w:pPr>
        <w:pStyle w:val="Para 055"/>
      </w:pPr>
      <w:r>
        <w:t>category</w:t>
      </w:r>
    </w:p>
    <w:p>
      <w:pPr>
        <w:pStyle w:val="Para 016"/>
      </w:pPr>
      <w:r>
        <w:rPr>
          <w:rStyle w:val="Text0"/>
        </w:rPr>
        <w:t>Warning</w:t>
      </w:r>
      <w:r>
        <w:t xml:space="preserve"> or a subclass; the match condition is </w:t>
      </w:r>
      <w:r>
        <w:rPr>
          <w:rStyle w:val="Text0"/>
        </w:rPr>
        <w:t>issubclass(</w:t>
      </w:r>
      <w:r>
        <w:rPr>
          <w:rStyle w:val="Text3"/>
        </w:rPr>
        <w:t>w</w:t>
      </w:r>
      <w:r>
        <w:rPr>
          <w:rStyle w:val="Text0"/>
        </w:rPr>
        <w:t>.category,</w:t>
      </w:r>
      <w:r>
        <w:t xml:space="preserve"> </w:t>
      </w:r>
      <w:r>
        <w:rPr>
          <w:rStyle w:val="Text3"/>
        </w:rPr>
        <w:t>category</w:t>
      </w:r>
      <w:r>
        <w:rPr>
          <w:rStyle w:val="Text0"/>
        </w:rPr>
        <w:t>)</w:t>
      </w:r>
    </w:p>
    <w:p>
      <w:pPr>
        <w:pStyle w:val="Para 055"/>
      </w:pPr>
      <w:r>
        <w:t>module</w:t>
      </w:r>
    </w:p>
    <w:p>
      <w:pPr>
        <w:pStyle w:val="Para 016"/>
      </w:pPr>
      <w:r>
        <w:t xml:space="preserve">A regular expression pattern string; the match condition is </w:t>
      </w:r>
      <w:r>
        <w:rPr>
          <w:rStyle w:val="Text0"/>
        </w:rPr>
        <w:t>re.match(</w:t>
      </w:r>
      <w:r>
        <w:rPr>
          <w:rStyle w:val="Text3"/>
        </w:rPr>
        <w:t>module</w:t>
      </w:r>
      <w:r>
        <w:rPr>
          <w:rStyle w:val="Text0"/>
        </w:rPr>
        <w:t>,</w:t>
      </w:r>
      <w:r>
        <w:t xml:space="preserve"> </w:t>
      </w:r>
      <w:r>
        <w:rPr>
          <w:rStyle w:val="Text3"/>
        </w:rPr>
        <w:t>w</w:t>
      </w:r>
      <w:r>
        <w:rPr>
          <w:rStyle w:val="Text0"/>
        </w:rPr>
        <w:t>.module)</w:t>
      </w:r>
      <w:r>
        <w:t xml:space="preserve"> (the match is case sensitive)</w:t>
      </w:r>
    </w:p>
    <w:p>
      <w:pPr>
        <w:pStyle w:val="Para 055"/>
      </w:pPr>
      <w:r>
        <w:t>lineno</w:t>
      </w:r>
    </w:p>
    <w:p>
      <w:pPr>
        <w:pStyle w:val="Para 016"/>
      </w:pPr>
      <w:r>
        <w:t xml:space="preserve">An </w:t>
      </w:r>
      <w:r>
        <w:rPr>
          <w:rStyle w:val="Text0"/>
        </w:rPr>
        <w:t>int</w:t>
      </w:r>
      <w:r>
        <w:t xml:space="preserve">; the match condition is </w:t>
      </w:r>
      <w:r>
        <w:rPr>
          <w:rStyle w:val="Text3"/>
        </w:rPr>
        <w:t>lineno</w:t>
      </w:r>
      <w:r>
        <w:t xml:space="preserve"> </w:t>
      </w:r>
      <w:r>
        <w:rPr>
          <w:rStyle w:val="Text5"/>
        </w:rPr>
        <w:t>in</w:t>
      </w:r>
      <w:r>
        <w:t xml:space="preserve"> </w:t>
      </w:r>
      <w:r>
        <w:rPr>
          <w:rStyle w:val="Text0"/>
        </w:rPr>
        <w:t>(</w:t>
      </w:r>
      <w:r>
        <w:rPr>
          <w:rStyle w:val="Text3"/>
        </w:rPr>
        <w:t>0</w:t>
      </w:r>
      <w:r>
        <w:t xml:space="preserve">, </w:t>
      </w:r>
      <w:r>
        <w:rPr>
          <w:rStyle w:val="Text3"/>
        </w:rPr>
        <w:t>w</w:t>
      </w:r>
      <w:r>
        <w:rPr>
          <w:rStyle w:val="Text0"/>
        </w:rPr>
        <w:t>.lineno)</w:t>
      </w:r>
      <w:r>
        <w:t xml:space="preserve">: that is, either </w:t>
      </w:r>
      <w:r>
        <w:rPr>
          <w:rStyle w:val="Text3"/>
        </w:rPr>
        <w:t>lineno</w:t>
      </w:r>
      <w:r>
        <w:t xml:space="preserve"> is </w:t>
      </w:r>
      <w:r>
        <w:rPr>
          <w:rStyle w:val="Text0"/>
        </w:rPr>
        <w:t>0</w:t>
      </w:r>
      <w:r>
        <w:t xml:space="preserve">, meaning </w:t>
      </w:r>
      <w:r>
        <w:rPr>
          <w:rStyle w:val="Text3"/>
        </w:rPr>
        <w:t>w</w:t>
      </w:r>
      <w:r>
        <w:rPr>
          <w:rStyle w:val="Text0"/>
        </w:rPr>
        <w:t>.lineno</w:t>
      </w:r>
      <w:r>
        <w:t xml:space="preserve"> does not matter, or </w:t>
      </w:r>
      <w:r>
        <w:rPr>
          <w:rStyle w:val="Text3"/>
        </w:rPr>
        <w:t>w</w:t>
      </w:r>
      <w:r>
        <w:rPr>
          <w:rStyle w:val="Text0"/>
        </w:rPr>
        <w:t>.lineno</w:t>
      </w:r>
      <w:r>
        <w:t xml:space="preserve"> must exactly equal </w:t>
      </w:r>
      <w:r>
        <w:rPr>
          <w:rStyle w:val="Text3"/>
        </w:rPr>
        <w:t>lineno</w:t>
      </w:r>
    </w:p>
    <w:p>
      <w:pPr>
        <w:pStyle w:val="Normal"/>
      </w:pPr>
      <w:r>
        <w:t xml:space="preserve">Upon a match, the first field of the filter, the </w:t>
      </w:r>
      <w:r>
        <w:rPr>
          <w:rStyle w:val="Text3"/>
        </w:rPr>
        <w:t>action</w:t>
      </w:r>
      <w:r>
        <w:t>, determines what happens. It can have the following values:</w:t>
      </w:r>
    </w:p>
    <w:p>
      <w:pPr>
        <w:pStyle w:val="Para 030"/>
      </w:pPr>
      <w:r>
        <w:t>'always'</w:t>
      </w:r>
    </w:p>
    <w:p>
      <w:pPr>
        <w:pStyle w:val="Para 016"/>
      </w:pPr>
      <w:r>
        <w:rPr>
          <w:rStyle w:val="Text3"/>
        </w:rPr>
        <w:t>w</w:t>
      </w:r>
      <w:r>
        <w:rPr>
          <w:rStyle w:val="Text0"/>
        </w:rPr>
        <w:t>.message</w:t>
      </w:r>
      <w:r>
        <w:t xml:space="preserve"> is output whether or not </w:t>
      </w:r>
      <w:r>
        <w:rPr>
          <w:rStyle w:val="Text3"/>
        </w:rPr>
        <w:t>w</w:t>
      </w:r>
      <w:r>
        <w:t xml:space="preserve"> has already occurred.</w:t>
      </w:r>
    </w:p>
    <w:p>
      <w:pPr>
        <w:pStyle w:val="Para 030"/>
      </w:pPr>
      <w:r>
        <w:t>'default'</w:t>
      </w:r>
    </w:p>
    <w:p>
      <w:pPr>
        <w:pStyle w:val="Para 016"/>
      </w:pPr>
      <w:r>
        <w:rPr>
          <w:rStyle w:val="Text3"/>
        </w:rPr>
        <w:t>w</w:t>
      </w:r>
      <w:r>
        <w:rPr>
          <w:rStyle w:val="Text0"/>
        </w:rPr>
        <w:t>.message</w:t>
      </w:r>
      <w:r>
        <w:t xml:space="preserve"> is output if, and only if, this is the first time </w:t>
      </w:r>
      <w:r>
        <w:rPr>
          <w:rStyle w:val="Text3"/>
        </w:rPr>
        <w:t>w</w:t>
      </w:r>
      <w:r>
        <w:t xml:space="preserve"> has occurred from this specific location (i.e., this specific </w:t>
      </w:r>
      <w:r>
        <w:rPr>
          <w:rStyle w:val="Text0"/>
        </w:rPr>
        <w:t>(</w:t>
      </w:r>
      <w:r>
        <w:rPr>
          <w:rStyle w:val="Text3"/>
        </w:rPr>
        <w:t>w</w:t>
      </w:r>
      <w:r>
        <w:rPr>
          <w:rStyle w:val="Text0"/>
        </w:rPr>
        <w:t>.module,</w:t>
      </w:r>
      <w:r>
        <w:t xml:space="preserve"> </w:t>
      </w:r>
      <w:r>
        <w:rPr>
          <w:rStyle w:val="Text3"/>
        </w:rPr>
        <w:t>w</w:t>
      </w:r>
      <w:r>
        <w:rPr>
          <w:rStyle w:val="Text0"/>
        </w:rPr>
        <w:t>.location)</w:t>
      </w:r>
      <w:r>
        <w:t xml:space="preserve"> pair).</w:t>
      </w:r>
    </w:p>
    <w:p>
      <w:pPr>
        <w:pStyle w:val="Para 030"/>
      </w:pPr>
      <w:r>
        <w:t>'error'</w:t>
      </w:r>
    </w:p>
    <w:p>
      <w:pPr>
        <w:pStyle w:val="Para 016"/>
      </w:pPr>
      <w:r>
        <w:rPr>
          <w:rStyle w:val="Text3"/>
        </w:rPr>
        <w:t>w</w:t>
      </w:r>
      <w:r>
        <w:rPr>
          <w:rStyle w:val="Text0"/>
        </w:rPr>
        <w:t>.category(</w:t>
      </w:r>
      <w:r>
        <w:rPr>
          <w:rStyle w:val="Text3"/>
        </w:rPr>
        <w:t>w</w:t>
      </w:r>
      <w:r>
        <w:rPr>
          <w:rStyle w:val="Text0"/>
        </w:rPr>
        <w:t>.message)</w:t>
      </w:r>
      <w:r>
        <w:t xml:space="preserve"> is raised as an exception.</w:t>
      </w:r>
    </w:p>
    <w:p>
      <w:pPr>
        <w:pStyle w:val="Para 030"/>
      </w:pPr>
      <w:r>
        <w:t>'ignore'</w:t>
      </w:r>
    </w:p>
    <w:p>
      <w:pPr>
        <w:pStyle w:val="Para 016"/>
      </w:pPr>
      <w:r>
        <w:rPr>
          <w:rStyle w:val="Text3"/>
        </w:rPr>
        <w:t>w</w:t>
      </w:r>
      <w:r>
        <w:t xml:space="preserve"> is ignored.</w:t>
      </w:r>
    </w:p>
    <w:p>
      <w:pPr>
        <w:pStyle w:val="Para 030"/>
      </w:pPr>
      <w:r>
        <w:t>'module'</w:t>
      </w:r>
    </w:p>
    <w:p>
      <w:pPr>
        <w:pStyle w:val="Para 016"/>
      </w:pPr>
      <w:r>
        <w:rPr>
          <w:rStyle w:val="Text3"/>
        </w:rPr>
        <w:t>w</w:t>
      </w:r>
      <w:r>
        <w:rPr>
          <w:rStyle w:val="Text0"/>
        </w:rPr>
        <w:t>.message</w:t>
      </w:r>
      <w:r>
        <w:t xml:space="preserve"> is output if, and only if, this is the first time </w:t>
      </w:r>
      <w:r>
        <w:rPr>
          <w:rStyle w:val="Text3"/>
        </w:rPr>
        <w:t>w</w:t>
      </w:r>
      <w:r>
        <w:t xml:space="preserve"> occurs from </w:t>
      </w:r>
      <w:r>
        <w:rPr>
          <w:rStyle w:val="Text3"/>
        </w:rPr>
        <w:t>w</w:t>
      </w:r>
      <w:r>
        <w:rPr>
          <w:rStyle w:val="Text0"/>
        </w:rPr>
        <w:t>.module</w:t>
      </w:r>
      <w:r>
        <w:t>.</w:t>
      </w:r>
    </w:p>
    <w:p>
      <w:pPr>
        <w:pStyle w:val="Para 030"/>
      </w:pPr>
      <w:r>
        <w:t>'once'</w:t>
      </w:r>
    </w:p>
    <w:p>
      <w:pPr>
        <w:pStyle w:val="Para 016"/>
      </w:pPr>
      <w:r>
        <w:rPr>
          <w:rStyle w:val="Text3"/>
        </w:rPr>
        <w:t>w</w:t>
      </w:r>
      <w:r>
        <w:rPr>
          <w:rStyle w:val="Text0"/>
        </w:rPr>
        <w:t>.message</w:t>
      </w:r>
      <w:r>
        <w:t xml:space="preserve"> is output if, and only if, this is the first time </w:t>
      </w:r>
      <w:r>
        <w:rPr>
          <w:rStyle w:val="Text3"/>
        </w:rPr>
        <w:t>w</w:t>
      </w:r>
      <w:r>
        <w:t xml:space="preserve"> occurs from any location.</w:t>
      </w:r>
    </w:p>
    <w:p>
      <w:pPr>
        <w:pStyle w:val="Normal"/>
      </w:pPr>
      <w:r>
        <w:t xml:space="preserve">When a module issues a warning, </w:t>
      </w:r>
      <w:r>
        <w:rPr>
          <w:rStyle w:val="Text0"/>
        </w:rPr>
        <w:t>warnings</w:t>
      </w:r>
      <w:r>
        <w:t xml:space="preserve"> adds to that module’s global variables a </w:t>
      </w:r>
      <w:r>
        <w:rPr>
          <w:rStyle w:val="Text0"/>
        </w:rPr>
        <w:t>dict</w:t>
      </w:r>
      <w:r>
        <w:t xml:space="preserve"> named </w:t>
      </w:r>
      <w:r>
        <w:rPr>
          <w:rStyle w:val="Text0"/>
        </w:rPr>
        <w:t>__warningsgregistry__</w:t>
      </w:r>
      <w:r>
        <w:t xml:space="preserve">, if that </w:t>
      </w:r>
      <w:r>
        <w:rPr>
          <w:rStyle w:val="Text0"/>
        </w:rPr>
        <w:t>dict</w:t>
      </w:r>
      <w:r>
        <w:t xml:space="preserve"> is not already present. Each key in the </w:t>
      </w:r>
      <w:r>
        <w:rPr>
          <w:rStyle w:val="Text0"/>
        </w:rPr>
        <w:t>dict</w:t>
      </w:r>
      <w:r>
        <w:t xml:space="preserve"> is a pair </w:t>
      </w:r>
      <w:r>
        <w:rPr>
          <w:rStyle w:val="Text0"/>
        </w:rPr>
        <w:t>(</w:t>
      </w:r>
      <w:r>
        <w:rPr>
          <w:rStyle w:val="Text3"/>
        </w:rPr>
        <w:t>message</w:t>
      </w:r>
      <w:r>
        <w:rPr>
          <w:rStyle w:val="Text0"/>
        </w:rPr>
        <w:t>,</w:t>
      </w:r>
      <w:r>
        <w:t xml:space="preserve"> </w:t>
      </w:r>
      <w:r>
        <w:rPr>
          <w:rStyle w:val="Text3"/>
        </w:rPr>
        <w:t>category</w:t>
      </w:r>
      <w:r>
        <w:rPr>
          <w:rStyle w:val="Text0"/>
        </w:rPr>
        <w:t>)</w:t>
      </w:r>
      <w:r>
        <w:t xml:space="preserve">, or a tuple with three items </w:t>
      </w:r>
      <w:r>
        <w:rPr>
          <w:rStyle w:val="Text0"/>
        </w:rPr>
        <w:t>(</w:t>
      </w:r>
      <w:r>
        <w:rPr>
          <w:rStyle w:val="Text3"/>
        </w:rPr>
        <w:t>message</w:t>
      </w:r>
      <w:r>
        <w:rPr>
          <w:rStyle w:val="Text0"/>
        </w:rPr>
        <w:t>,</w:t>
      </w:r>
      <w:r>
        <w:t xml:space="preserve"> </w:t>
      </w:r>
      <w:r>
        <w:rPr>
          <w:rStyle w:val="Text3"/>
        </w:rPr>
        <w:t>category</w:t>
      </w:r>
      <w:r>
        <w:rPr>
          <w:rStyle w:val="Text0"/>
        </w:rPr>
        <w:t>,</w:t>
      </w:r>
      <w:r>
        <w:t xml:space="preserve"> </w:t>
      </w:r>
      <w:r>
        <w:rPr>
          <w:rStyle w:val="Text3"/>
        </w:rPr>
        <w:t>lineno</w:t>
      </w:r>
      <w:r>
        <w:rPr>
          <w:rStyle w:val="Text0"/>
        </w:rPr>
        <w:t>)</w:t>
      </w:r>
      <w:r>
        <w:t xml:space="preserve">; the corresponding value is </w:t>
      </w:r>
      <w:r>
        <w:rPr>
          <w:rStyle w:val="Text5"/>
        </w:rPr>
        <w:t>True</w:t>
      </w:r>
      <w:r>
        <w:t xml:space="preserve"> when further occurrences of that message are to be suppressed. Thus, for example, you can reset the suppression state of all warnings from a module </w:t>
      </w:r>
      <w:r>
        <w:rPr>
          <w:rStyle w:val="Text3"/>
        </w:rPr>
        <w:t>m</w:t>
      </w:r>
      <w:r>
        <w:t xml:space="preserve"> by executing </w:t>
      </w:r>
      <w:r>
        <w:rPr>
          <w:rStyle w:val="Text3"/>
        </w:rPr>
        <w:t>m</w:t>
      </w:r>
      <w:r>
        <w:rPr>
          <w:rStyle w:val="Text0"/>
        </w:rPr>
        <w:t>.__warningsregistry__.clear()</w:t>
      </w:r>
      <w:r>
        <w:t xml:space="preserve">: when you do that, all messages are allowed to get output again (once), even when, for example, they’ve previously triggered a filter with an </w:t>
      </w:r>
      <w:r>
        <w:rPr>
          <w:rStyle w:val="Text3"/>
        </w:rPr>
        <w:t>action</w:t>
      </w:r>
      <w:r>
        <w:t xml:space="preserve"> of </w:t>
      </w:r>
      <w:r>
        <w:rPr>
          <w:rStyle w:val="Text0"/>
        </w:rPr>
        <w:t>'module'</w:t>
      </w:r>
      <w:r>
        <w:t>.</w:t>
      </w:r>
    </w:p>
    <w:p>
      <w:bookmarkStart w:id="3816" w:name="Functions__The_warnings_module_s"/>
      <w:pPr>
        <w:keepNext/>
        <w:pStyle w:val="Heading 2"/>
      </w:pPr>
      <w:r>
        <w:t>Functions</w:t>
      </w:r>
      <w:bookmarkEnd w:id="3816"/>
    </w:p>
    <w:p>
      <w:pPr>
        <w:pStyle w:val="Normal"/>
      </w:pPr>
      <w:r>
        <w:t xml:space="preserve">The </w:t>
      </w:r>
      <w:r>
        <w:rPr>
          <w:rStyle w:val="Text0"/>
        </w:rPr>
        <w:t>warnings</w:t>
      </w:r>
      <w:r>
        <w:t xml:space="preserve"> module supplies the functions listed in </w:t>
      </w:r>
      <w:hyperlink w:anchor="Table_17_7__Functions_of_the_war">
        <w:r>
          <w:rPr>
            <w:rStyle w:val="Text1"/>
          </w:rPr>
          <w:t>Table 17-7</w:t>
        </w:r>
      </w:hyperlink>
      <w:r>
        <w:t>.</w:t>
      </w:r>
    </w:p>
    <w:tbl>
      <w:tblPr>
        <w:tblW w:type="auto" w:w="0"/>
      </w:tblPr>
      <w:tr>
        <w:tc>
          <w:tcPr>
            <w:tcW w:type="auto" w:w="0"/>
            <w:tcMar>
              <w:left w:type="dxa" w:w="200"/>
              <w:top w:type="dxa" w:w="200"/>
              <w:right w:type="dxa" w:w="200"/>
              <w:bottom w:type="dxa" w:w="200"/>
            </w:tcMar>
          </w:tcPr>
          <w:p>
            <w:bookmarkStart w:id="3817" w:name="Table_17_7__Functions_of_the_war"/>
            <w:pPr>
              <w:pStyle w:val="Para 074"/>
            </w:pPr>
            <w:r>
              <w:rPr>
                <w:rStyle w:val="Text123"/>
              </w:rPr>
              <w:t/>
            </w:r>
            <w:r>
              <w:rPr>
                <w:rStyle w:val="Text4"/>
              </w:rPr>
              <w:t xml:space="preserve">Table 17-7. </w:t>
            </w:r>
            <w:r>
              <w:t xml:space="preserve">Functions of the </w:t>
            </w:r>
            <w:r>
              <w:rPr>
                <w:rStyle w:val="Text71"/>
              </w:rPr>
              <w:t>warnings</w:t>
            </w:r>
            <w:r>
              <w:t xml:space="preserve"> module</w:t>
            </w:r>
            <w:bookmarkEnd w:id="3817"/>
          </w:p>
          <w:p>
            <w:pPr>
              <w:pStyle w:val="Para 001"/>
            </w:pPr>
            <w:r>
              <w:t>fil⁠t⁠e⁠r​w⁠a⁠r⁠nings</w:t>
            </w:r>
          </w:p>
        </w:tc>
        <w:tc>
          <w:tcPr>
            <w:tcW w:type="auto" w:w="0"/>
            <w:tcMar>
              <w:left w:type="dxa" w:w="200"/>
              <w:top w:type="dxa" w:w="200"/>
              <w:right w:type="dxa" w:w="200"/>
              <w:bottom w:type="dxa" w:w="200"/>
            </w:tcMar>
          </w:tcPr>
          <w:p>
            <w:pPr>
              <w:pStyle w:val="Para 002"/>
            </w:pPr>
            <w:r>
              <w:rPr>
                <w:rStyle w:val="Text0"/>
              </w:rPr>
              <w:t>filterwarnings(</w:t>
            </w:r>
            <w:r>
              <w:rPr>
                <w:rStyle w:val="Text3"/>
              </w:rPr>
              <w:t>action</w:t>
            </w:r>
            <w:r>
              <w:rPr>
                <w:rStyle w:val="Text0"/>
              </w:rPr>
              <w:t>, message='.*', category=Warning,</w:t>
              <w:br w:clear="none"/>
              <w:t xml:space="preserve"> module='.*', lineno=0, append=</w:t>
            </w:r>
            <w:r>
              <w:rPr>
                <w:rStyle w:val="Text5"/>
              </w:rPr>
              <w:t>False</w:t>
            </w:r>
            <w:r>
              <w:rPr>
                <w:rStyle w:val="Text0"/>
              </w:rPr>
              <w:t>)</w:t>
              <w:br w:clear="none"/>
            </w:r>
            <w:r>
              <w:t xml:space="preserve"> Adds a filter to the list of active filters. When </w:t>
            </w:r>
            <w:r>
              <w:rPr>
                <w:rStyle w:val="Text0"/>
              </w:rPr>
              <w:t>append</w:t>
            </w:r>
            <w:r>
              <w:t xml:space="preserve"> is </w:t>
            </w:r>
            <w:r>
              <w:rPr>
                <w:rStyle w:val="Text5"/>
              </w:rPr>
              <w:t>True</w:t>
            </w:r>
            <w:r>
              <w:t xml:space="preserve">, </w:t>
            </w:r>
            <w:r>
              <w:rPr>
                <w:rStyle w:val="Text0"/>
              </w:rPr>
              <w:t>filterwarnings</w:t>
            </w:r>
            <w:r>
              <w:t xml:space="preserve"> adds the filter after all other existing filters (i.e., appends the filter to the list of existing filters); otherwise, </w:t>
            </w:r>
            <w:r>
              <w:rPr>
                <w:rStyle w:val="Text0"/>
              </w:rPr>
              <w:t>filterwarnings</w:t>
            </w:r>
            <w:r>
              <w:t xml:space="preserve"> inserts the filter before any other existing filter. All components, save </w:t>
            </w:r>
            <w:r>
              <w:rPr>
                <w:rStyle w:val="Text3"/>
              </w:rPr>
              <w:t>action</w:t>
            </w:r>
            <w:r>
              <w:t xml:space="preserve">, have default values that mean “match everything.” As detailed above, </w:t>
            </w:r>
            <w:r>
              <w:rPr>
                <w:rStyle w:val="Text0"/>
              </w:rPr>
              <w:t>message</w:t>
            </w:r>
            <w:r>
              <w:t xml:space="preserve"> and </w:t>
            </w:r>
            <w:r>
              <w:rPr>
                <w:rStyle w:val="Text0"/>
              </w:rPr>
              <w:t>module</w:t>
            </w:r>
            <w:r>
              <w:t xml:space="preserve"> are pattern strings for regular expressions, </w:t>
            </w:r>
            <w:r>
              <w:rPr>
                <w:rStyle w:val="Text0"/>
              </w:rPr>
              <w:t>category</w:t>
            </w:r>
            <w:r>
              <w:t xml:space="preserve"> is some subclass of </w:t>
            </w:r>
            <w:r>
              <w:rPr>
                <w:rStyle w:val="Text0"/>
              </w:rPr>
              <w:t>Warning</w:t>
            </w:r>
            <w:r>
              <w:t xml:space="preserve">, </w:t>
            </w:r>
            <w:r>
              <w:rPr>
                <w:rStyle w:val="Text0"/>
              </w:rPr>
              <w:t>lineno</w:t>
            </w:r>
            <w:r>
              <w:t xml:space="preserve"> is an integer, and </w:t>
            </w:r>
            <w:r>
              <w:rPr>
                <w:rStyle w:val="Text3"/>
              </w:rPr>
              <w:t>action</w:t>
            </w:r>
            <w:r>
              <w:t xml:space="preserve"> is a string that determines what happens when a message matches this filter.</w:t>
            </w:r>
          </w:p>
        </w:tc>
      </w:tr>
    </w:tbl>
    <w:tbl>
      <w:tblPr>
        <w:tblW w:type="auto" w:w="0"/>
      </w:tblPr>
      <w:tr>
        <w:tc>
          <w:tcPr>
            <w:tcW w:type="auto" w:w="0"/>
            <w:shd w:val="clear" w:color="auto" w:fill="EEF2F6"/>
            <w:tcMar>
              <w:left w:type="dxa" w:w="200"/>
              <w:top w:type="dxa" w:w="200"/>
              <w:right w:type="dxa" w:w="200"/>
              <w:bottom w:type="dxa" w:w="200"/>
            </w:tcMar>
          </w:tcPr>
          <w:p>
            <w:pPr>
              <w:pStyle w:val="Para 001"/>
            </w:pPr>
            <w:r>
              <w:t>for⁠m⁠a⁠t​w⁠a⁠r⁠ning</w:t>
            </w:r>
          </w:p>
        </w:tc>
        <w:tc>
          <w:tcPr>
            <w:tcW w:type="auto" w:w="0"/>
            <w:shd w:val="clear" w:color="auto" w:fill="EEF2F6"/>
            <w:tcMar>
              <w:left w:type="dxa" w:w="200"/>
              <w:top w:type="dxa" w:w="200"/>
              <w:right w:type="dxa" w:w="200"/>
              <w:bottom w:type="dxa" w:w="200"/>
            </w:tcMar>
          </w:tcPr>
          <w:p>
            <w:pPr>
              <w:pStyle w:val="Para 002"/>
            </w:pPr>
            <w:r>
              <w:rPr>
                <w:rStyle w:val="Text0"/>
              </w:rPr>
              <w:t>formatwarning(</w:t>
            </w:r>
            <w:r>
              <w:rPr>
                <w:rStyle w:val="Text3"/>
              </w:rPr>
              <w:t>message</w:t>
            </w:r>
            <w:r>
              <w:rPr>
                <w:rStyle w:val="Text0"/>
              </w:rPr>
              <w:t>,</w:t>
            </w:r>
            <w:r>
              <w:t xml:space="preserve"> </w:t>
            </w:r>
            <w:r>
              <w:rPr>
                <w:rStyle w:val="Text3"/>
              </w:rPr>
              <w:t>category</w:t>
            </w:r>
            <w:r>
              <w:rPr>
                <w:rStyle w:val="Text0"/>
              </w:rPr>
              <w:t>,</w:t>
            </w:r>
            <w:r>
              <w:t xml:space="preserve"> </w:t>
            </w:r>
            <w:r>
              <w:rPr>
                <w:rStyle w:val="Text3"/>
              </w:rPr>
              <w:t>filename</w:t>
            </w:r>
            <w:r>
              <w:rPr>
                <w:rStyle w:val="Text0"/>
              </w:rPr>
              <w:t>,</w:t>
            </w:r>
            <w:r>
              <w:t xml:space="preserve"> </w:t>
            </w:r>
            <w:r>
              <w:rPr>
                <w:rStyle w:val="Text3"/>
              </w:rPr>
              <w:t>lineno</w:t>
            </w:r>
            <w:r>
              <w:rPr>
                <w:rStyle w:val="Text0"/>
              </w:rPr>
              <w:t>)</w:t>
              <w:br w:clear="none"/>
            </w:r>
            <w:r>
              <w:t xml:space="preserve"> Returns a string that represents the given warning with standard formatting.</w:t>
            </w:r>
          </w:p>
        </w:tc>
      </w:tr>
    </w:tbl>
    <w:tbl>
      <w:tblPr>
        <w:tblW w:type="auto" w:w="0"/>
      </w:tblPr>
      <w:tr>
        <w:tc>
          <w:tcPr>
            <w:tcW w:type="auto" w:w="0"/>
            <w:tcMar>
              <w:left w:type="dxa" w:w="200"/>
              <w:top w:type="dxa" w:w="200"/>
              <w:right w:type="dxa" w:w="200"/>
              <w:bottom w:type="dxa" w:w="200"/>
            </w:tcMar>
          </w:tcPr>
          <w:p>
            <w:pPr>
              <w:pStyle w:val="Para 001"/>
            </w:pPr>
            <w:r>
              <w:t>re⁠s⁠e⁠t​w⁠a⁠r⁠nings</w:t>
            </w:r>
          </w:p>
        </w:tc>
        <w:tc>
          <w:tcPr>
            <w:tcW w:type="auto" w:w="0"/>
            <w:tcMar>
              <w:left w:type="dxa" w:w="200"/>
              <w:top w:type="dxa" w:w="200"/>
              <w:right w:type="dxa" w:w="200"/>
              <w:bottom w:type="dxa" w:w="200"/>
            </w:tcMar>
          </w:tcPr>
          <w:p>
            <w:pPr>
              <w:pStyle w:val="Para 002"/>
            </w:pPr>
            <w:r>
              <w:rPr>
                <w:rStyle w:val="Text0"/>
              </w:rPr>
              <w:t>resetwarnings()</w:t>
              <w:br w:clear="none"/>
            </w:r>
            <w:r>
              <w:t xml:space="preserve"> Removes all filters from the list of filters. </w:t>
            </w:r>
            <w:r>
              <w:rPr>
                <w:rStyle w:val="Text0"/>
              </w:rPr>
              <w:t>resetwarnings</w:t>
            </w:r>
            <w:r>
              <w:t xml:space="preserve"> also discards any filters originally added with the </w:t>
            </w:r>
            <w:r>
              <w:rPr>
                <w:rStyle w:val="Text5"/>
              </w:rPr>
              <w:t>-W</w:t>
            </w:r>
            <w:r>
              <w:t xml:space="preserve"> command-line option.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showwarning</w:t>
            </w:r>
          </w:p>
        </w:tc>
        <w:tc>
          <w:tcPr>
            <w:tcW w:type="auto" w:w="0"/>
            <w:shd w:val="clear" w:color="auto" w:fill="EEF2F6"/>
            <w:tcMar>
              <w:left w:type="dxa" w:w="200"/>
              <w:top w:type="dxa" w:w="200"/>
              <w:right w:type="dxa" w:w="200"/>
              <w:bottom w:type="dxa" w:w="200"/>
            </w:tcMar>
          </w:tcPr>
          <w:p>
            <w:pPr>
              <w:pStyle w:val="Para 002"/>
            </w:pPr>
            <w:r>
              <w:rPr>
                <w:rStyle w:val="Text0"/>
              </w:rPr>
              <w:t>showwarning(</w:t>
            </w:r>
            <w:r>
              <w:rPr>
                <w:rStyle w:val="Text3"/>
              </w:rPr>
              <w:t>message</w:t>
            </w:r>
            <w:r>
              <w:rPr>
                <w:rStyle w:val="Text0"/>
              </w:rPr>
              <w:t>,</w:t>
            </w:r>
            <w:r>
              <w:t xml:space="preserve"> </w:t>
            </w:r>
            <w:r>
              <w:rPr>
                <w:rStyle w:val="Text3"/>
              </w:rPr>
              <w:t>category</w:t>
            </w:r>
            <w:r>
              <w:rPr>
                <w:rStyle w:val="Text0"/>
              </w:rPr>
              <w:t>,</w:t>
            </w:r>
            <w:r>
              <w:t xml:space="preserve"> </w:t>
            </w:r>
            <w:r>
              <w:rPr>
                <w:rStyle w:val="Text3"/>
              </w:rPr>
              <w:t>filename</w:t>
            </w:r>
            <w:r>
              <w:rPr>
                <w:rStyle w:val="Text0"/>
              </w:rPr>
              <w:t>,</w:t>
            </w:r>
            <w:r>
              <w:t xml:space="preserve"> </w:t>
            </w:r>
            <w:r>
              <w:rPr>
                <w:rStyle w:val="Text3"/>
              </w:rPr>
              <w:t>lineno</w:t>
            </w:r>
            <w:r>
              <w:rPr>
                <w:rStyle w:val="Text0"/>
              </w:rPr>
              <w:t>, file=sys.stderr)</w:t>
              <w:br w:clear="none"/>
            </w:r>
            <w:r>
              <w:t xml:space="preserve"> Outputs the given warning to the given file object. Filter actions that output warnings call </w:t>
            </w:r>
            <w:r>
              <w:rPr>
                <w:rStyle w:val="Text0"/>
              </w:rPr>
              <w:t>showwarning</w:t>
            </w:r>
            <w:r>
              <w:t xml:space="preserve">, letting the argument </w:t>
            </w:r>
            <w:r>
              <w:rPr>
                <w:rStyle w:val="Text0"/>
              </w:rPr>
              <w:t>file</w:t>
            </w:r>
            <w:r>
              <w:t xml:space="preserve"> default to </w:t>
            </w:r>
            <w:r>
              <w:rPr>
                <w:rStyle w:val="Text0"/>
              </w:rPr>
              <w:t>sys.stderr</w:t>
            </w:r>
            <w:r>
              <w:t xml:space="preserve">. To change what happens when filter actions output warnings, code your own function with this signature and bind it to </w:t>
            </w:r>
            <w:r>
              <w:rPr>
                <w:rStyle w:val="Text0"/>
              </w:rPr>
              <w:t>warnings.showwarning</w:t>
            </w:r>
            <w:r>
              <w:t>, thus overriding the default implementation.</w:t>
            </w:r>
          </w:p>
        </w:tc>
      </w:tr>
    </w:tbl>
    <w:tbl>
      <w:tblPr>
        <w:tblW w:type="auto" w:w="0"/>
      </w:tblPr>
      <w:tr>
        <w:tc>
          <w:tcPr>
            <w:tcW w:type="auto" w:w="0"/>
            <w:tcMar>
              <w:left w:type="dxa" w:w="200"/>
              <w:top w:type="dxa" w:w="200"/>
              <w:right w:type="dxa" w:w="200"/>
              <w:bottom w:type="dxa" w:w="200"/>
            </w:tcMar>
          </w:tcPr>
          <w:p>
            <w:pPr>
              <w:pStyle w:val="Para 001"/>
            </w:pPr>
            <w:r>
              <w:t>warn</w:t>
            </w:r>
          </w:p>
        </w:tc>
        <w:tc>
          <w:tcPr>
            <w:tcW w:type="auto" w:w="0"/>
            <w:tcMar>
              <w:left w:type="dxa" w:w="200"/>
              <w:top w:type="dxa" w:w="200"/>
              <w:right w:type="dxa" w:w="200"/>
              <w:bottom w:type="dxa" w:w="200"/>
            </w:tcMar>
          </w:tcPr>
          <w:p>
            <w:pPr>
              <w:pStyle w:val="Para 002"/>
            </w:pPr>
            <w:r>
              <w:rPr>
                <w:rStyle w:val="Text0"/>
              </w:rPr>
              <w:t>warn(</w:t>
            </w:r>
            <w:r>
              <w:rPr>
                <w:rStyle w:val="Text3"/>
              </w:rPr>
              <w:t>message</w:t>
            </w:r>
            <w:r>
              <w:rPr>
                <w:rStyle w:val="Text0"/>
              </w:rPr>
              <w:t>, category=UserWarning, stacklevel=1)</w:t>
              <w:br w:clear="none"/>
            </w:r>
            <w:r>
              <w:t xml:space="preserve"> Sends</w:t>
            </w:r>
            <w:r>
              <w:rPr>
                <w:rStyle w:val="Text111"/>
              </w:rPr>
              <w:bookmarkStart w:id="3818" w:name="idm45965181185888"/>
              <w:t/>
              <w:bookmarkEnd w:id="3818"/>
            </w:r>
            <w:r>
              <w:t xml:space="preserve"> a warning so that the filters examine and possibly output it. The location of the warning is the current function (caller of </w:t>
            </w:r>
            <w:r>
              <w:rPr>
                <w:rStyle w:val="Text0"/>
              </w:rPr>
              <w:t>warn</w:t>
            </w:r>
            <w:r>
              <w:t xml:space="preserve">) if </w:t>
            </w:r>
            <w:r>
              <w:rPr>
                <w:rStyle w:val="Text0"/>
              </w:rPr>
              <w:t>stacklevel</w:t>
            </w:r>
            <w:r>
              <w:t xml:space="preserve"> is </w:t>
            </w:r>
            <w:r>
              <w:rPr>
                <w:rStyle w:val="Text0"/>
              </w:rPr>
              <w:t>1</w:t>
            </w:r>
            <w:r>
              <w:t xml:space="preserve">, or the caller of the current function if </w:t>
            </w:r>
            <w:r>
              <w:rPr>
                <w:rStyle w:val="Text0"/>
              </w:rPr>
              <w:t>stacklevel</w:t>
            </w:r>
            <w:r>
              <w:t xml:space="preserve"> is </w:t>
            </w:r>
            <w:r>
              <w:rPr>
                <w:rStyle w:val="Text0"/>
              </w:rPr>
              <w:t>2</w:t>
            </w:r>
            <w:r>
              <w:t xml:space="preserve">. Thus, passing </w:t>
            </w:r>
            <w:r>
              <w:rPr>
                <w:rStyle w:val="Text0"/>
              </w:rPr>
              <w:t>2</w:t>
            </w:r>
            <w:r>
              <w:t xml:space="preserve"> as the value of </w:t>
            </w:r>
            <w:r>
              <w:rPr>
                <w:rStyle w:val="Text0"/>
              </w:rPr>
              <w:t>stacklevel</w:t>
            </w:r>
            <w:r>
              <w:t xml:space="preserve"> lets you write functions that send warnings on their caller’s behalf, such as: </w:t>
            </w:r>
          </w:p>
          <w:p>
            <w:pPr>
              <w:pStyle w:val="Para 057"/>
            </w:pPr>
            <w:r>
              <w:rPr>
                <w:rStyle w:val="Text104"/>
              </w:rPr>
              <w:t xml:space="preserve"/>
              <w:br w:clear="none"/>
            </w:r>
            <w:r>
              <w:rPr>
                <w:rStyle w:val="Text10"/>
              </w:rPr>
              <w:t xml:space="preserve">def</w:t>
              <w:br w:clear="none"/>
            </w:r>
            <w:r>
              <w:t xml:space="preserve"> </w:t>
              <w:br w:clear="none"/>
            </w:r>
            <w:r>
              <w:rPr>
                <w:rStyle w:val="Text18"/>
              </w:rPr>
              <w:t xml:space="preserve">to_unicode</w:t>
              <w:br w:clear="none"/>
            </w:r>
            <w:r>
              <w:rPr>
                <w:rStyle w:val="Text7"/>
              </w:rPr>
              <w:t xml:space="preserve">(</w:t>
              <w:br w:clear="none"/>
            </w:r>
            <w:r>
              <w:rPr>
                <w:rStyle w:val="Text9"/>
              </w:rPr>
              <w:t xml:space="preserve">bytestr</w:t>
              <w:br w:clear="none"/>
            </w:r>
            <w:r>
              <w:rPr>
                <w:rStyle w:val="Text7"/>
              </w:rPr>
              <w:t xml:space="preserve">)</w:t>
              <w:br w:clear="none"/>
              <w:t xml:space="preserve">:</w:t>
              <w:br w:clear="none"/>
            </w:r>
            <w:r>
              <w:t xml:space="preserve"/>
              <w:br w:clear="none"/>
              <w:t xml:space="preserve">    </w:t>
              <w:br w:clear="none"/>
            </w:r>
            <w:r>
              <w:rPr>
                <w:rStyle w:val="Text10"/>
              </w:rPr>
              <w:t xml:space="preserve">try</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bytestr</w:t>
              <w:br w:clear="none"/>
            </w:r>
            <w:r>
              <w:rPr>
                <w:rStyle w:val="Text13"/>
              </w:rPr>
              <w:t xml:space="preserve">.</w:t>
              <w:br w:clear="none"/>
            </w:r>
            <w:r>
              <w:rPr>
                <w:rStyle w:val="Text9"/>
              </w:rPr>
              <w:t xml:space="preserve">decode</w:t>
              <w:br w:clear="none"/>
            </w:r>
            <w:r>
              <w:rPr>
                <w:rStyle w:val="Text7"/>
              </w:rPr>
              <w:t xml:space="preserve">(</w:t>
              <w:br w:clear="none"/>
              <w:t xml:space="preserve">)</w:t>
              <w:br w:clear="none"/>
            </w:r>
            <w:r>
              <w:t xml:space="preserve"/>
              <w:br w:clear="none"/>
              <w:t xml:space="preserve">    </w:t>
              <w:br w:clear="none"/>
            </w:r>
            <w:r>
              <w:rPr>
                <w:rStyle w:val="Text10"/>
              </w:rPr>
              <w:t xml:space="preserve">except</w:t>
              <w:br w:clear="none"/>
            </w:r>
            <w:r>
              <w:t xml:space="preserve"> </w:t>
              <w:br w:clear="none"/>
            </w:r>
            <w:r>
              <w:rPr>
                <w:rStyle w:val="Text36"/>
              </w:rPr>
              <w:t xml:space="preserve">UnicodeError</w:t>
              <w:br w:clear="none"/>
            </w:r>
            <w:r>
              <w:rPr>
                <w:rStyle w:val="Text7"/>
              </w:rPr>
              <w:t xml:space="preserve">:</w:t>
              <w:br w:clear="none"/>
            </w:r>
            <w:r>
              <w:t xml:space="preserve"/>
              <w:br w:clear="none"/>
              <w:t xml:space="preserve">        </w:t>
              <w:br w:clear="none"/>
            </w:r>
            <w:r>
              <w:rPr>
                <w:rStyle w:val="Text9"/>
              </w:rPr>
              <w:t xml:space="preserve">warnings</w:t>
              <w:br w:clear="none"/>
            </w:r>
            <w:r>
              <w:rPr>
                <w:rStyle w:val="Text13"/>
              </w:rPr>
              <w:t xml:space="preserve">.</w:t>
              <w:br w:clear="none"/>
            </w:r>
            <w:r>
              <w:rPr>
                <w:rStyle w:val="Text9"/>
              </w:rPr>
              <w:t xml:space="preserve">warn</w:t>
              <w:br w:clear="none"/>
            </w:r>
            <w:r>
              <w:rPr>
                <w:rStyle w:val="Text7"/>
              </w:rPr>
              <w:t xml:space="preserve">(</w:t>
              <w:br w:clear="none"/>
            </w:r>
            <w:r>
              <w:t xml:space="preserve">f</w:t>
              <w:br w:clear="none"/>
            </w:r>
            <w:r>
              <w:rPr>
                <w:rStyle w:val="Text8"/>
              </w:rPr>
              <w:t xml:space="preserve">'</w:t>
              <w:br w:clear="none"/>
              <w:t xml:space="preserve">Invalid characters in </w:t>
              <w:br w:clear="none"/>
            </w:r>
            <w:r>
              <w:rPr>
                <w:rStyle w:val="Text83"/>
              </w:rPr>
              <w:t xml:space="preserve"/>
              <w:br w:clear="none"/>
            </w:r>
            <w:r>
              <w:t xml:space="preserve">                      </w:t>
              <w:br w:clear="none"/>
            </w:r>
            <w:r>
              <w:rPr>
                <w:rStyle w:val="Text7"/>
              </w:rPr>
              <w:t xml:space="preserve">{</w:t>
              <w:br w:clear="none"/>
            </w:r>
            <w:r>
              <w:rPr>
                <w:rStyle w:val="Text9"/>
              </w:rPr>
              <w:t xml:space="preserve">bytestr</w:t>
              <w:br w:clear="none"/>
            </w:r>
            <w:r>
              <w:rPr>
                <w:rStyle w:val="Text32"/>
              </w:rPr>
              <w:t xml:space="preserve">!</w:t>
              <w:br w:clear="none"/>
            </w:r>
            <w:r>
              <w:rPr>
                <w:rStyle w:val="Text9"/>
              </w:rPr>
              <w:t xml:space="preserve">r</w:t>
              <w:br w:clear="none"/>
            </w:r>
            <w:r>
              <w:rPr>
                <w:rStyle w:val="Text7"/>
              </w:rPr>
              <w:t xml:space="preserve">}</w:t>
              <w:br w:clear="none"/>
            </w:r>
            <w:r>
              <w:rPr>
                <w:rStyle w:val="Text8"/>
              </w:rPr>
              <w:t xml:space="preserve">'</w:t>
              <w:br w:clear="none"/>
              <w:t xml:space="preserve">,</w:t>
              <w:br w:clear="none"/>
            </w:r>
            <w:r>
              <w:rPr>
                <w:rStyle w:val="Text83"/>
              </w:rPr>
              <w:t xml:space="preserve"/>
              <w:br w:clear="none"/>
            </w:r>
            <w:r>
              <w:t xml:space="preserve">                      </w:t>
              <w:br w:clear="none"/>
            </w:r>
            <w:r>
              <w:rPr>
                <w:rStyle w:val="Text9"/>
              </w:rPr>
              <w:t xml:space="preserve">stacklevel</w:t>
              <w:br w:clear="none"/>
            </w:r>
            <w:r>
              <w:rPr>
                <w:rStyle w:val="Text13"/>
              </w:rPr>
              <w:t xml:space="preserve">=</w:t>
              <w:br w:clear="none"/>
            </w:r>
            <w:r>
              <w:rPr>
                <w:rStyle w:val="Text27"/>
              </w:rPr>
              <w:t xml:space="preserve">2</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bytestr</w:t>
              <w:br w:clear="none"/>
            </w:r>
            <w:r>
              <w:rPr>
                <w:rStyle w:val="Text13"/>
              </w:rPr>
              <w:t xml:space="preserve">.</w:t>
              <w:br w:clear="none"/>
            </w:r>
            <w:r>
              <w:rPr>
                <w:rStyle w:val="Text9"/>
              </w:rPr>
              <w:t xml:space="preserve">decode</w:t>
              <w:br w:clear="none"/>
            </w:r>
            <w:r>
              <w:rPr>
                <w:rStyle w:val="Text7"/>
              </w:rPr>
              <w:t xml:space="preserve">(</w:t>
              <w:br w:clear="none"/>
            </w:r>
            <w:r>
              <w:rPr>
                <w:rStyle w:val="Text9"/>
              </w:rPr>
              <w:t xml:space="preserve">errors</w:t>
              <w:br w:clear="none"/>
            </w:r>
            <w:r>
              <w:rPr>
                <w:rStyle w:val="Text13"/>
              </w:rPr>
              <w:t xml:space="preserve">=</w:t>
              <w:br w:clear="none"/>
            </w:r>
            <w:r>
              <w:rPr>
                <w:rStyle w:val="Text8"/>
              </w:rPr>
              <w:t xml:space="preserve">'</w:t>
              <w:br w:clear="none"/>
              <w:t xml:space="preserve">ignore</w:t>
              <w:br w:clear="none"/>
              <w:t xml:space="preserve">'</w:t>
              <w:br w:clear="none"/>
            </w:r>
            <w:r>
              <w:rPr>
                <w:rStyle w:val="Text7"/>
              </w:rPr>
              <w:t xml:space="preserve">)</w:t>
              <w:br w:clear="none"/>
            </w:r>
          </w:p>
          <w:p>
            <w:pPr>
              <w:pStyle w:val="Para 022"/>
            </w:pPr>
            <w:r>
              <w:t xml:space="preserve"> Thanks to the parameter </w:t>
            </w:r>
            <w:r>
              <w:rPr>
                <w:rStyle w:val="Text0"/>
              </w:rPr>
              <w:t>stacklevel=2</w:t>
            </w:r>
            <w:r>
              <w:t xml:space="preserve">, the warning appears to come from the caller of </w:t>
            </w:r>
            <w:r>
              <w:rPr>
                <w:rStyle w:val="Text0"/>
              </w:rPr>
              <w:t>to_unicode</w:t>
            </w:r>
            <w:r>
              <w:t xml:space="preserve">, rather than from </w:t>
            </w:r>
            <w:r>
              <w:rPr>
                <w:rStyle w:val="Text0"/>
              </w:rPr>
              <w:t>to_unicode</w:t>
            </w:r>
            <w:r>
              <w:t xml:space="preserve"> itself. This is very important when the </w:t>
            </w:r>
            <w:r>
              <w:rPr>
                <w:rStyle w:val="Text3"/>
              </w:rPr>
              <w:t>action</w:t>
            </w:r>
            <w:r>
              <w:t xml:space="preserve"> of the filter that matches this warning is </w:t>
            </w:r>
            <w:r>
              <w:rPr>
                <w:rStyle w:val="Text0"/>
              </w:rPr>
              <w:t>'default'</w:t>
            </w:r>
            <w:r>
              <w:t xml:space="preserve"> or </w:t>
            </w:r>
            <w:r>
              <w:rPr>
                <w:rStyle w:val="Text0"/>
              </w:rPr>
              <w:t>'module'</w:t>
            </w:r>
            <w:r>
              <w:t>, since these actions output a warning only the first time the warning occurs from a given location or module.</w:t>
            </w:r>
            <w:r>
              <w:rPr>
                <w:rStyle w:val="Text111"/>
              </w:rPr>
              <w:bookmarkStart w:id="3819" w:name="idm45965181125456"/>
              <w:t/>
              <w:bookmarkEnd w:id="3819"/>
            </w:r>
          </w:p>
        </w:tc>
      </w:tr>
    </w:tbl>
    <w:p>
      <w:bookmarkStart w:id="3820" w:name="Optimization___First_make_it_wor"/>
      <w:pPr>
        <w:keepNext/>
        <w:pStyle w:val="Heading 1"/>
      </w:pPr>
      <w:r>
        <w:t>Optimization</w:t>
      </w:r>
      <w:bookmarkEnd w:id="3820"/>
    </w:p>
    <w:p>
      <w:pPr>
        <w:pStyle w:val="Normal"/>
      </w:pPr>
      <w:r>
        <w:t>“First</w:t>
      </w:r>
      <w:r>
        <w:rPr>
          <w:rStyle w:val="Text111"/>
        </w:rPr>
        <w:bookmarkStart w:id="3821" w:name="idm45965181121824"/>
        <w:t/>
        <w:bookmarkEnd w:id="3821"/>
      </w:r>
      <w:r>
        <w:t xml:space="preserve"> make it work. Then make it right. Then make it fast.” This quotation, often with slight variations, is widely known as “the golden rule of programming.” As far as we’ve been able to ascertain, the source is Kent Beck, who credits his father with it. This principle is often quoted, but too rarely followed. A negative form, slightly exaggerated for emphasis, is a quotation by Don Knuth (who credits Sir Tony Hoare with it): “Premature optimization is the root of all evil in programming.”</w:t>
      </w:r>
    </w:p>
    <w:p>
      <w:pPr>
        <w:pStyle w:val="Normal"/>
      </w:pPr>
      <w:r>
        <w:t xml:space="preserve">Optimization is premature if your code is not working yet, or if you’re not sure what, precisely, your code should be doing (since then you cannot be sure if it’s working). First make it work: ensure that your code is correctly performing exactly the tasks it is </w:t>
      </w:r>
      <w:r>
        <w:rPr>
          <w:rStyle w:val="Text4"/>
        </w:rPr>
        <w:t>meant</w:t>
      </w:r>
      <w:r>
        <w:t xml:space="preserve"> to perform.</w:t>
      </w:r>
    </w:p>
    <w:p>
      <w:pPr>
        <w:pStyle w:val="Normal"/>
      </w:pPr>
      <w:r>
        <w:t xml:space="preserve">Optimization is also premature if your code is working but you are not satisfied with the overall architecture and design. Remedy structural flaws before worrying about optimization: first make it work, then make it right. These steps are not optional; working, well-architected code is </w:t>
      </w:r>
      <w:r>
        <w:rPr>
          <w:rStyle w:val="Text4"/>
        </w:rPr>
        <w:t>always</w:t>
      </w:r>
      <w:r>
        <w:t xml:space="preserve"> a must.</w:t>
      </w:r>
      <w:hyperlink w:anchor="6__Oh__but_I_ll_only_be_running">
        <w:r>
          <w:rPr>
            <w:rStyle w:val="Text41"/>
          </w:rPr>
          <w:bookmarkStart w:id="3822" w:name="6_5"/>
          <w:t>6</w:t>
          <w:bookmarkEnd w:id="3822"/>
        </w:r>
      </w:hyperlink>
    </w:p>
    <w:p>
      <w:pPr>
        <w:pStyle w:val="Normal"/>
      </w:pPr>
      <w:r>
        <w:t>Having a good test suite is key before attempting any optimization. After all, the purpose of optimization is to increase speed or reduce memory consumption—or both—without changing the code’s behavior.</w:t>
      </w:r>
    </w:p>
    <w:p>
      <w:pPr>
        <w:pStyle w:val="Normal"/>
      </w:pPr>
      <w:r>
        <w:t>In contrast, you don’t always need to make it fast. Benchmarks may show that your code’s performance is already acceptable after the first two steps. When performance is not acceptable, profiling often shows that all performance issues are in a small part of the code, with your program spending perhaps 80 or 90% of its time in 10 to 20% of the code.</w:t>
      </w:r>
      <w:hyperlink w:anchor="7_A_typical_case_of_the_Pareto_p">
        <w:r>
          <w:rPr>
            <w:rStyle w:val="Text41"/>
          </w:rPr>
          <w:bookmarkStart w:id="3823" w:name="7_4"/>
          <w:t>7</w:t>
          <w:bookmarkEnd w:id="3823"/>
        </w:r>
      </w:hyperlink>
      <w:r>
        <w:t xml:space="preserve"> Such performance-crucial regions of your code are known</w:t>
      </w:r>
      <w:r>
        <w:rPr>
          <w:rStyle w:val="Text111"/>
        </w:rPr>
        <w:bookmarkStart w:id="3824" w:name="idm45965181082304"/>
        <w:t/>
        <w:bookmarkEnd w:id="3824"/>
        <w:bookmarkStart w:id="3825" w:name="idm45965181081200"/>
        <w:t/>
        <w:bookmarkEnd w:id="3825"/>
      </w:r>
      <w:r>
        <w:t xml:space="preserve"> as </w:t>
      </w:r>
      <w:r>
        <w:rPr>
          <w:rStyle w:val="Text4"/>
        </w:rPr>
        <w:t>bottlenecks</w:t>
      </w:r>
      <w:r>
        <w:t xml:space="preserve">, or </w:t>
      </w:r>
      <w:r>
        <w:rPr>
          <w:rStyle w:val="Text4"/>
        </w:rPr>
        <w:t>hot spots</w:t>
      </w:r>
      <w:r>
        <w:t>. It’s a waste of effort to optimize large portions of code that account for, say, 10 percent of your program’s running time. Even if you made that part run 10 times as fast (a rare feat), your program’s overall runtime would only decrease by 9%,</w:t>
      </w:r>
      <w:hyperlink w:anchor="8_Per_Amdahl_s_law">
        <w:r>
          <w:rPr>
            <w:rStyle w:val="Text41"/>
          </w:rPr>
          <w:bookmarkStart w:id="3826" w:name="8_3"/>
          <w:t>8</w:t>
          <w:bookmarkEnd w:id="3826"/>
        </w:r>
      </w:hyperlink>
      <w:r>
        <w:t xml:space="preserve"> a speedup no user would likely even notice. If optimization is needed, focus your efforts where they matter: on bottlenecks. You can often optimize bottlenecks while keeping your code 100% pure Python, thus not preventing future porting to other Python implementations.</w:t>
      </w:r>
    </w:p>
    <w:p>
      <w:bookmarkStart w:id="3827" w:name="Developing_a_Fast_Enough_Python"/>
      <w:pPr>
        <w:keepNext/>
        <w:pStyle w:val="Heading 2"/>
      </w:pPr>
      <w:r>
        <w:t>Developing a Fast-Enough Python Application</w:t>
      </w:r>
      <w:bookmarkEnd w:id="3827"/>
    </w:p>
    <w:p>
      <w:pPr>
        <w:pStyle w:val="Normal"/>
      </w:pPr>
      <w:r>
        <w:t>Start</w:t>
      </w:r>
      <w:r>
        <w:rPr>
          <w:rStyle w:val="Text111"/>
        </w:rPr>
        <w:bookmarkStart w:id="3828" w:name="Ofast17"/>
        <w:t/>
        <w:bookmarkEnd w:id="3828"/>
      </w:r>
      <w:r>
        <w:t xml:space="preserve"> by designing, coding, and testing your application in Python, using available extension modules if they save you work. This takes much less time than it would with a classic compiled language. Then benchmark the application to find out if the resulting code is fast enough. Often it is, and you’re done—congratulations! Ship it!</w:t>
      </w:r>
    </w:p>
    <w:p>
      <w:pPr>
        <w:pStyle w:val="Normal"/>
      </w:pPr>
      <w:r>
        <w:t>Since much of Python itself is coded in highly optimized C (as are many of its standard library and extension modules), your application may even turn out to already be faster than typical C code. However, if the application is too slow, you need, first and foremost, to rethink your algorithms and data structures. Check for bottlenecks due to application architecture, network traffic, database access, and operating system interactions. For many applications, each of these factors is more likely than language choice, or coding details, to cause slowdowns. Tinkering with large-scale architectural aspects can often dramatically speed up an application, and Python is an excellent medium for such experimentation. If you’re using a version control system (and you ought to be!), it should be easy to create experimental branches or clones where you can try out different techniques to see which—if any—deliver significant improvements, all without jeopardizing your working code. You can then merge back any improvements that pass your tests.</w:t>
      </w:r>
    </w:p>
    <w:p>
      <w:pPr>
        <w:pStyle w:val="Normal"/>
      </w:pPr>
      <w:r>
        <w:t>If</w:t>
      </w:r>
      <w:r>
        <w:rPr>
          <w:rStyle w:val="Text111"/>
        </w:rPr>
        <w:bookmarkStart w:id="3829" w:name="idm45965181071872"/>
        <w:t/>
        <w:bookmarkEnd w:id="3829"/>
      </w:r>
      <w:r>
        <w:t xml:space="preserve"> your program is still too slow, profile it: find out where the time is going! As we previously mentioned, applications often exhibit computational bottlenecks, with small areas of the source code accounting for the vast majority of the running time. Optimize the bottlenecks, applying the techniques suggested in the rest of this chapter.</w:t>
      </w:r>
    </w:p>
    <w:p>
      <w:pPr>
        <w:pStyle w:val="Normal"/>
      </w:pPr>
      <w:r>
        <w:t xml:space="preserve">If normal Python-level optimizations still leave some outstanding computational bottlenecks, you can recode those as Python extension modules, as covered in </w:t>
      </w:r>
      <w:hyperlink r:id="rId24">
        <w:r>
          <w:rPr>
            <w:rStyle w:val="Text1"/>
          </w:rPr>
          <w:t>Chapter 25</w:t>
        </w:r>
      </w:hyperlink>
      <w:r>
        <w:t>. In the end, your application will run at roughly the same speed as if you had coded it all in C, C++, or FORTRAN—or faster, when large-scale experimentation has let you find a better architecture. Your overall programming productivity with this process will not be much lower than if you had coded everything in Python. Future changes and maintenance are easy, since you use Python to express the overall structure of the program, and lower-level, harder-to-maintain languages for only a few specific computational bottlenecks.</w:t>
      </w:r>
    </w:p>
    <w:p>
      <w:pPr>
        <w:pStyle w:val="Normal"/>
      </w:pPr>
      <w:r>
        <w:t>As you build applications in a given area following this process, you will accumulate a library of reusable Python extension modules. You will therefore become more and more productive at developing other fast-running Python applications in the same field.</w:t>
      </w:r>
    </w:p>
    <w:p>
      <w:pPr>
        <w:pStyle w:val="Normal"/>
      </w:pPr>
      <w:r>
        <w:t>Even if external constraints eventually force you to recode your whole application in a lower-level language, you’ll still be better off for having started in Python. Rapid prototyping</w:t>
      </w:r>
      <w:r>
        <w:rPr>
          <w:rStyle w:val="Text111"/>
        </w:rPr>
        <w:bookmarkStart w:id="3830" w:name="idm45965181068992"/>
        <w:t/>
        <w:bookmarkEnd w:id="3830"/>
      </w:r>
      <w:r>
        <w:t xml:space="preserve"> has long been acknowledged as the best way to get software architecture right. A working prototype lets you check that you have identified the right problems and taken a good path to their solution. A prototype also affords the kind of large-scale architectural experimentation that can make a real difference in performance. You can migrate your code gradually to other languages by way of extension modules, if need be, and the application remains fully functional and testable at each stage. This ensures against the risk of compromising a design’s architectural integrity in the coding stage.</w:t>
      </w:r>
    </w:p>
    <w:p>
      <w:pPr>
        <w:pStyle w:val="Normal"/>
      </w:pPr>
      <w:r>
        <w:t>Even if you are required to use a low-level language for the entire application, it can often be more productive to write it in Python first (especially if you are new to the application’s domain). Once you have a working Python version, you can experiment with the user or network interface or library API, and with the architecture. Also, it is much easier to find and fix bugs and to make changes in Python code than in lower-level languages. At the end, you’ll know the code so well that porting to a lower-level language should be very fast and straightforward, safe in the knowledge that most of the design mistakes were made and fixed in the Python implementation.</w:t>
      </w:r>
    </w:p>
    <w:p>
      <w:pPr>
        <w:pStyle w:val="Normal"/>
      </w:pPr>
      <w:r>
        <w:t>The resulting software will be faster and more robust than if all of the coding had been lower-level from the start, and your productivity—while not quite as good as with a pure Python application—will still be higher than if you had been coding at a lower level throughout.</w:t>
      </w:r>
      <w:r>
        <w:rPr>
          <w:rStyle w:val="Text111"/>
        </w:rPr>
        <w:bookmarkStart w:id="3831" w:name="idm45965181066960"/>
        <w:t/>
        <w:bookmarkEnd w:id="3831"/>
      </w:r>
    </w:p>
    <w:p>
      <w:bookmarkStart w:id="3832" w:name="Benchmarking__Benchmarking__also"/>
      <w:pPr>
        <w:keepNext/>
        <w:pStyle w:val="Heading 2"/>
      </w:pPr>
      <w:r>
        <w:t>Benchmarking</w:t>
      </w:r>
      <w:bookmarkEnd w:id="3832"/>
    </w:p>
    <w:p>
      <w:pPr>
        <w:pStyle w:val="Normal"/>
      </w:pPr>
      <w:r>
        <w:rPr>
          <w:rStyle w:val="Text4"/>
        </w:rPr>
        <w:t>Benchmarking</w:t>
      </w:r>
      <w:r>
        <w:rPr>
          <w:rStyle w:val="Text105"/>
        </w:rPr>
        <w:bookmarkStart w:id="3833" w:name="idm45965181063712"/>
        <w:t/>
        <w:bookmarkEnd w:id="3833"/>
        <w:bookmarkStart w:id="3834" w:name="idm45965181062576"/>
        <w:t/>
        <w:bookmarkEnd w:id="3834"/>
        <w:bookmarkStart w:id="3835" w:name="idm45965181061472"/>
        <w:t/>
        <w:bookmarkEnd w:id="3835"/>
      </w:r>
      <w:r>
        <w:t xml:space="preserve"> (also known as </w:t>
      </w:r>
      <w:r>
        <w:rPr>
          <w:rStyle w:val="Text4"/>
        </w:rPr>
        <w:t>load testing</w:t>
      </w:r>
      <w:r>
        <w:t>) is similar to system testing: both activities are much like running the program for production purposes. In both cases, you need to have at least some subset of the program’s intended functionality working, and you need to use known, reproducible inputs. For benchmarking, you don’t need to capture and check your program’s output: since you make it work and make it right before you make it fast, you’re already fully confident about your program’s correctness by the time you load test it. You do need inputs that are representative of typical system operation—ideally ones that are likely to pose the greatest challenges to your program’s performance. If your program performs several kinds of operations, make sure you run some benchmarks for each different kind of operation.</w:t>
      </w:r>
    </w:p>
    <w:p>
      <w:pPr>
        <w:pStyle w:val="Normal"/>
      </w:pPr>
      <w:r>
        <w:t>Elapsed time as measured by your wristwatch is probably precise enough to benchmark most programs. A 5 or 10% difference in performance, except in programs with very peculiar constraints, makes no practical difference to a program’s real-life usability. (Programs with hard real-time constraints are another matter, since they have needs very different from those of normal programs in most respects. )</w:t>
      </w:r>
    </w:p>
    <w:p>
      <w:pPr>
        <w:pStyle w:val="Normal"/>
      </w:pPr>
      <w:r>
        <w:t xml:space="preserve">When you benchmark “toy” programs or snippets in order to help you choose an algorithm or data structure, you may need more precision: the </w:t>
      </w:r>
      <w:r>
        <w:rPr>
          <w:rStyle w:val="Text0"/>
        </w:rPr>
        <w:t>timeit</w:t>
      </w:r>
      <w:r>
        <w:t xml:space="preserve"> module of Python’s standard library (covered in </w:t>
      </w:r>
      <w:hyperlink w:anchor="The_timeit_module__The_standard">
        <w:r>
          <w:rPr>
            <w:rStyle w:val="Text1"/>
          </w:rPr>
          <w:t>“The timeit module”</w:t>
        </w:r>
      </w:hyperlink>
      <w:r>
        <w:t>) is quite suitable for such tasks. The benchmarking discussed in this section is of a different kind: it is an approximation of real-life program operation for the sole purpose of checking whether the program’s performance on each task is acceptable, before embarking on profiling and other optimization activities. For such “system” benchmarking, a situation that approximates the program’s normal operating conditions is best, and high accuracy in timing is not all that important.</w:t>
      </w:r>
    </w:p>
    <w:p>
      <w:bookmarkStart w:id="3836" w:name="Large_Scale_Optimization__The_as"/>
      <w:pPr>
        <w:keepNext/>
        <w:pStyle w:val="Heading 2"/>
      </w:pPr>
      <w:r>
        <w:t>Large-Scale Optimization</w:t>
      </w:r>
      <w:bookmarkEnd w:id="3836"/>
    </w:p>
    <w:p>
      <w:pPr>
        <w:pStyle w:val="Normal"/>
      </w:pPr>
      <w:r>
        <w:t>The</w:t>
      </w:r>
      <w:r>
        <w:rPr>
          <w:rStyle w:val="Text111"/>
        </w:rPr>
        <w:bookmarkStart w:id="3837" w:name="Olarge17"/>
        <w:t/>
        <w:bookmarkEnd w:id="3837"/>
      </w:r>
      <w:r>
        <w:t xml:space="preserve"> aspects of your program that are most important for performance are large-scale ones: your choice of overall architecture, algorithms, and data structures.</w:t>
      </w:r>
    </w:p>
    <w:p>
      <w:pPr>
        <w:pStyle w:val="Normal"/>
      </w:pPr>
      <w:r>
        <w:t>The performance issues that you must often take into account are those connected with the traditional</w:t>
      </w:r>
      <w:r>
        <w:rPr>
          <w:rStyle w:val="Text111"/>
        </w:rPr>
        <w:bookmarkStart w:id="3838" w:name="bigonot17"/>
        <w:t/>
        <w:bookmarkEnd w:id="3838"/>
        <w:bookmarkStart w:id="3839" w:name="algo17"/>
        <w:t/>
        <w:bookmarkEnd w:id="3839"/>
      </w:r>
      <w:r>
        <w:t xml:space="preserve"> big-O notation of computer science. Informally, if you call </w:t>
      </w:r>
      <w:r>
        <w:rPr>
          <w:rStyle w:val="Text3"/>
        </w:rPr>
        <w:t>N</w:t>
      </w:r>
      <w:r>
        <w:t xml:space="preserve"> the input size of an algorithm, big-O notation expresses algorithm performance, for large values of </w:t>
      </w:r>
      <w:r>
        <w:rPr>
          <w:rStyle w:val="Text3"/>
        </w:rPr>
        <w:t>N</w:t>
      </w:r>
      <w:r>
        <w:t xml:space="preserve">, as proportional to some function of </w:t>
      </w:r>
      <w:r>
        <w:rPr>
          <w:rStyle w:val="Text3"/>
        </w:rPr>
        <w:t>N</w:t>
      </w:r>
      <w:r>
        <w:t>. (In precise computer science lingo, this should be called big-Theta notation, but in real life, programmers always call it big-O, perhaps because an uppercase Theta looks a bit like an O with a dot in the center!)</w:t>
      </w:r>
    </w:p>
    <w:p>
      <w:pPr>
        <w:pStyle w:val="Normal"/>
      </w:pPr>
      <w:r>
        <w:t xml:space="preserve">An </w:t>
      </w:r>
      <w:r>
        <w:rPr>
          <w:rStyle w:val="Text0"/>
        </w:rPr>
        <w:t>O(1)</w:t>
      </w:r>
      <w:r>
        <w:t xml:space="preserve"> algorithm</w:t>
      </w:r>
      <w:r>
        <w:rPr>
          <w:rStyle w:val="Text111"/>
        </w:rPr>
        <w:bookmarkStart w:id="3840" w:name="idm45965181045312"/>
        <w:t/>
        <w:bookmarkEnd w:id="3840"/>
      </w:r>
      <w:r>
        <w:t xml:space="preserve"> (also known as “constant time”) is one that takes a certain amount of time not growing with </w:t>
      </w:r>
      <w:r>
        <w:rPr>
          <w:rStyle w:val="Text3"/>
        </w:rPr>
        <w:t>N</w:t>
      </w:r>
      <w:r>
        <w:t xml:space="preserve">. An </w:t>
      </w:r>
      <w:r>
        <w:rPr>
          <w:rStyle w:val="Text0"/>
        </w:rPr>
        <w:t>O(</w:t>
      </w:r>
      <w:r>
        <w:rPr>
          <w:rStyle w:val="Text3"/>
        </w:rPr>
        <w:t>N</w:t>
      </w:r>
      <w:r>
        <w:rPr>
          <w:rStyle w:val="Text0"/>
        </w:rPr>
        <w:t>)</w:t>
      </w:r>
      <w:r>
        <w:t xml:space="preserve"> algorithm</w:t>
      </w:r>
      <w:r>
        <w:rPr>
          <w:rStyle w:val="Text111"/>
        </w:rPr>
        <w:bookmarkStart w:id="3841" w:name="idm45965181041984"/>
        <w:t/>
        <w:bookmarkEnd w:id="3841"/>
      </w:r>
      <w:r>
        <w:t xml:space="preserve"> (also known as “linear time”) is one where, for large enough </w:t>
      </w:r>
      <w:r>
        <w:rPr>
          <w:rStyle w:val="Text3"/>
        </w:rPr>
        <w:t>N</w:t>
      </w:r>
      <w:r>
        <w:t xml:space="preserve">, handling twice as much data takes about twice as much time, three times as much data takes three times as much time, and so on, proportionally to </w:t>
      </w:r>
      <w:r>
        <w:rPr>
          <w:rStyle w:val="Text3"/>
        </w:rPr>
        <w:t>N</w:t>
      </w:r>
      <w:r>
        <w:t>. An</w:t>
      </w:r>
      <w:r>
        <w:rPr>
          <w:rStyle w:val="Text111"/>
        </w:rPr>
        <w:bookmarkStart w:id="3842" w:name="idm45965181038928"/>
        <w:t/>
        <w:bookmarkEnd w:id="3842"/>
      </w:r>
      <w:r>
        <w:t xml:space="preserve"> </w:t>
      </w:r>
      <w:r>
        <w:rPr>
          <w:rStyle w:val="Text0"/>
        </w:rPr>
        <w:t>O(</w:t>
      </w:r>
      <w:r>
        <w:rPr>
          <w:rStyle w:val="Text3"/>
        </w:rPr>
        <w:t>N</w:t>
      </w:r>
      <w:r>
        <w:rPr>
          <w:rStyle w:val="Text0"/>
        </w:rPr>
        <w:t>²)</w:t>
      </w:r>
      <w:r>
        <w:t xml:space="preserve"> algorithm (also known as a “quadratic time” algorithm) is one where, for large enough </w:t>
      </w:r>
      <w:r>
        <w:rPr>
          <w:rStyle w:val="Text3"/>
        </w:rPr>
        <w:t>N</w:t>
      </w:r>
      <w:r>
        <w:t xml:space="preserve">, handling twice as much data takes about four times as much time, three times as much data takes nine times as much time, and so on, growing proportionally to </w:t>
      </w:r>
      <w:r>
        <w:rPr>
          <w:rStyle w:val="Text3"/>
        </w:rPr>
        <w:t>N</w:t>
      </w:r>
      <w:r>
        <w:t xml:space="preserve"> squared. Identical concepts and notation are used to describe a program’s consumption of memory (“space”) rather than of time.</w:t>
      </w:r>
    </w:p>
    <w:p>
      <w:pPr>
        <w:pStyle w:val="Normal"/>
      </w:pPr>
      <w:r>
        <w:t xml:space="preserve">To find more information on big-O notation, and about algorithms and their complexity, any good book about algorithms and data structures can help; we recommend Magnus Lie Hetland’s excellent book </w:t>
      </w:r>
      <w:r>
        <w:rPr>
          <w:rStyle w:val="Text4"/>
        </w:rPr>
        <w:t>Python Algorithms: Mastering Basic Algorithms in the Python Language</w:t>
      </w:r>
      <w:r>
        <w:t>, 2nd edition (Apress).</w:t>
      </w:r>
    </w:p>
    <w:p>
      <w:pPr>
        <w:pStyle w:val="Normal"/>
      </w:pPr>
      <w:r>
        <w:t>To understand the practical importance of big-O considerations in your programs, consider two different ways to accept all items from an input iterable and accumulate them into a list in reverse order:</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slow</w:t>
        <w:br w:clear="none"/>
      </w:r>
      <w:r>
        <w:rPr>
          <w:rStyle w:val="Text7"/>
        </w:rPr>
        <w:t xml:space="preserve">(</w:t>
        <w:br w:clear="none"/>
      </w:r>
      <w:r>
        <w:t xml:space="preserve">it</w:t>
        <w:br w:clear="none"/>
      </w:r>
      <w:r>
        <w:rPr>
          <w:rStyle w:val="Text7"/>
        </w:rPr>
        <w:t xml:space="preserve">)</w:t>
        <w:br w:clear="none"/>
        <w:t xml:space="preserve">:</w:t>
        <w:br w:clear="none"/>
      </w:r>
      <w:r>
        <w:rPr>
          <w:rStyle w:val="Text6"/>
        </w:rPr>
        <w:t xml:space="preserve"/>
        <w:br w:clear="none"/>
        <w:t xml:space="preserve">    </w:t>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insert</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t>
        <w:br w:clear="none"/>
      </w:r>
      <w:r>
        <w:t xml:space="preserve">item</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result</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fast</w:t>
        <w:br w:clear="none"/>
      </w:r>
      <w:r>
        <w:rPr>
          <w:rStyle w:val="Text7"/>
        </w:rPr>
        <w:t xml:space="preserve">(</w:t>
        <w:br w:clear="none"/>
      </w:r>
      <w:r>
        <w:t xml:space="preserve">it</w:t>
        <w:br w:clear="none"/>
      </w:r>
      <w:r>
        <w:rPr>
          <w:rStyle w:val="Text7"/>
        </w:rPr>
        <w:t xml:space="preserve">)</w:t>
        <w:br w:clear="none"/>
        <w:t xml:space="preserve">:</w:t>
        <w:br w:clear="none"/>
      </w:r>
      <w:r>
        <w:rPr>
          <w:rStyle w:val="Text6"/>
        </w:rPr>
        <w:t xml:space="preserve"/>
        <w:br w:clear="none"/>
        <w:t xml:space="preserve">    </w:t>
        <w:br w:clear="none"/>
      </w:r>
      <w: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it</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append</w:t>
        <w:br w:clear="none"/>
      </w:r>
      <w:r>
        <w:rPr>
          <w:rStyle w:val="Text7"/>
        </w:rPr>
        <w:t xml:space="preserve">(</w:t>
        <w:br w:clear="none"/>
      </w:r>
      <w:r>
        <w:t xml:space="preserve">item</w:t>
        <w:br w:clear="none"/>
      </w:r>
      <w:r>
        <w:rPr>
          <w:rStyle w:val="Text7"/>
        </w:rPr>
        <w:t xml:space="preserve">)</w:t>
        <w:br w:clear="none"/>
      </w:r>
      <w:r>
        <w:rPr>
          <w:rStyle w:val="Text6"/>
        </w:rPr>
        <w:t xml:space="preserve"/>
        <w:br w:clear="none"/>
        <w:t xml:space="preserve">    </w:t>
        <w:br w:clear="none"/>
      </w:r>
      <w:r>
        <w:t xml:space="preserve">result</w:t>
        <w:br w:clear="none"/>
      </w:r>
      <w:r>
        <w:rPr>
          <w:rStyle w:val="Text13"/>
        </w:rPr>
        <w:t xml:space="preserve">.</w:t>
        <w:br w:clear="none"/>
      </w:r>
      <w:r>
        <w:t xml:space="preserve">reverse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result</w:t>
        <w:br w:clear="none"/>
      </w:r>
    </w:p>
    <w:p>
      <w:pPr>
        <w:pStyle w:val="Normal"/>
      </w:pPr>
      <w:r>
        <w:t xml:space="preserve">We could express each of these functions more concisely, but the key difference is best appreciated by presenting the functions in these elementary terms. The function </w:t>
      </w:r>
      <w:r>
        <w:rPr>
          <w:rStyle w:val="Text0"/>
        </w:rPr>
        <w:t>slow</w:t>
      </w:r>
      <w:r>
        <w:t xml:space="preserve"> builds the result list by inserting each input item </w:t>
      </w:r>
      <w:r>
        <w:rPr>
          <w:rStyle w:val="Text4"/>
        </w:rPr>
        <w:t>before</w:t>
      </w:r>
      <w:r>
        <w:t xml:space="preserve"> all previously received ones. The function </w:t>
      </w:r>
      <w:r>
        <w:rPr>
          <w:rStyle w:val="Text0"/>
        </w:rPr>
        <w:t>fast</w:t>
      </w:r>
      <w:r>
        <w:t xml:space="preserve"> appends each input item </w:t>
      </w:r>
      <w:r>
        <w:rPr>
          <w:rStyle w:val="Text4"/>
        </w:rPr>
        <w:t>after</w:t>
      </w:r>
      <w:r>
        <w:t xml:space="preserve"> all previously received ones, then reverses the result list at the end. Intuitively, one might think that the final reversing represents extra work, and therefore </w:t>
      </w:r>
      <w:r>
        <w:rPr>
          <w:rStyle w:val="Text0"/>
        </w:rPr>
        <w:t>slow</w:t>
      </w:r>
      <w:r>
        <w:t xml:space="preserve"> should be faster than </w:t>
      </w:r>
      <w:r>
        <w:rPr>
          <w:rStyle w:val="Text0"/>
        </w:rPr>
        <w:t>fast</w:t>
      </w:r>
      <w:r>
        <w:t>. But that’s not the way things work out.</w:t>
      </w:r>
    </w:p>
    <w:p>
      <w:pPr>
        <w:pStyle w:val="Normal"/>
      </w:pPr>
      <w:r>
        <w:t xml:space="preserve">Each call to </w:t>
      </w:r>
      <w:r>
        <w:rPr>
          <w:rStyle w:val="Text0"/>
        </w:rPr>
        <w:t>result.append</w:t>
      </w:r>
      <w:r>
        <w:t xml:space="preserve"> takes roughly the same amount of time, independent of how many items are already in the list </w:t>
      </w:r>
      <w:r>
        <w:rPr>
          <w:rStyle w:val="Text0"/>
        </w:rPr>
        <w:t>result</w:t>
      </w:r>
      <w:r>
        <w:t xml:space="preserve">, since there is (nearly) always a free slot for an extra item at the end of the list (in pedantic terms, </w:t>
      </w:r>
      <w:r>
        <w:rPr>
          <w:rStyle w:val="Text0"/>
        </w:rPr>
        <w:t>append</w:t>
      </w:r>
      <w:r>
        <w:t xml:space="preserve"> is </w:t>
      </w:r>
      <w:r>
        <w:rPr>
          <w:rStyle w:val="Text4"/>
        </w:rPr>
        <w:t>amortized</w:t>
      </w:r>
      <w:r>
        <w:t xml:space="preserve"> </w:t>
      </w:r>
      <w:r>
        <w:rPr>
          <w:rStyle w:val="Text0"/>
        </w:rPr>
        <w:t>O(1)</w:t>
      </w:r>
      <w:r>
        <w:t xml:space="preserve">, but we don’t cover amortization in this book). The </w:t>
      </w:r>
      <w:r>
        <w:rPr>
          <w:rStyle w:val="Text5"/>
        </w:rPr>
        <w:t>for</w:t>
      </w:r>
      <w:r>
        <w:t xml:space="preserve"> loop in the function </w:t>
      </w:r>
      <w:r>
        <w:rPr>
          <w:rStyle w:val="Text0"/>
        </w:rPr>
        <w:t>fast</w:t>
      </w:r>
      <w:r>
        <w:t xml:space="preserve"> executes </w:t>
      </w:r>
      <w:r>
        <w:rPr>
          <w:rStyle w:val="Text3"/>
        </w:rPr>
        <w:t>N</w:t>
      </w:r>
      <w:r>
        <w:t xml:space="preserve"> times to receive </w:t>
      </w:r>
      <w:r>
        <w:rPr>
          <w:rStyle w:val="Text3"/>
        </w:rPr>
        <w:t>N</w:t>
      </w:r>
      <w:r>
        <w:t xml:space="preserve"> items. Since each iteration of the loop takes a constant time, overall loop time is </w:t>
      </w:r>
      <w:r>
        <w:rPr>
          <w:rStyle w:val="Text0"/>
        </w:rPr>
        <w:t>O(</w:t>
      </w:r>
      <w:r>
        <w:rPr>
          <w:rStyle w:val="Text3"/>
        </w:rPr>
        <w:t>N</w:t>
      </w:r>
      <w:r>
        <w:rPr>
          <w:rStyle w:val="Text0"/>
        </w:rPr>
        <w:t>)</w:t>
      </w:r>
      <w:r>
        <w:t xml:space="preserve">. </w:t>
      </w:r>
      <w:r>
        <w:rPr>
          <w:rStyle w:val="Text0"/>
        </w:rPr>
        <w:t>result.reverse</w:t>
      </w:r>
      <w:r>
        <w:t xml:space="preserve"> also takes time </w:t>
      </w:r>
      <w:r>
        <w:rPr>
          <w:rStyle w:val="Text0"/>
        </w:rPr>
        <w:t>O(</w:t>
      </w:r>
      <w:r>
        <w:rPr>
          <w:rStyle w:val="Text3"/>
        </w:rPr>
        <w:t>N</w:t>
      </w:r>
      <w:r>
        <w:rPr>
          <w:rStyle w:val="Text0"/>
        </w:rPr>
        <w:t>)</w:t>
      </w:r>
      <w:r>
        <w:t xml:space="preserve">, as it is directly proportional to the total number of items. Thus, the total running time of </w:t>
      </w:r>
      <w:r>
        <w:rPr>
          <w:rStyle w:val="Text0"/>
        </w:rPr>
        <w:t>fast</w:t>
      </w:r>
      <w:r>
        <w:t xml:space="preserve"> is </w:t>
      </w:r>
      <w:r>
        <w:rPr>
          <w:rStyle w:val="Text0"/>
        </w:rPr>
        <w:t>O(</w:t>
      </w:r>
      <w:r>
        <w:rPr>
          <w:rStyle w:val="Text3"/>
        </w:rPr>
        <w:t>N</w:t>
      </w:r>
      <w:r>
        <w:rPr>
          <w:rStyle w:val="Text0"/>
        </w:rPr>
        <w:t>)</w:t>
      </w:r>
      <w:r>
        <w:t xml:space="preserve">. (If you don’t understand why a sum of two quantities, each </w:t>
      </w:r>
      <w:r>
        <w:rPr>
          <w:rStyle w:val="Text0"/>
        </w:rPr>
        <w:t>O(</w:t>
      </w:r>
      <w:r>
        <w:rPr>
          <w:rStyle w:val="Text3"/>
        </w:rPr>
        <w:t>N</w:t>
      </w:r>
      <w:r>
        <w:rPr>
          <w:rStyle w:val="Text0"/>
        </w:rPr>
        <w:t>)</w:t>
      </w:r>
      <w:r>
        <w:t xml:space="preserve">, is also </w:t>
      </w:r>
      <w:r>
        <w:rPr>
          <w:rStyle w:val="Text0"/>
        </w:rPr>
        <w:t>O(</w:t>
      </w:r>
      <w:r>
        <w:rPr>
          <w:rStyle w:val="Text3"/>
        </w:rPr>
        <w:t>N</w:t>
      </w:r>
      <w:r>
        <w:rPr>
          <w:rStyle w:val="Text0"/>
        </w:rPr>
        <w:t>)</w:t>
      </w:r>
      <w:r>
        <w:t xml:space="preserve">, consider that the sum of any two linear functions of </w:t>
      </w:r>
      <w:r>
        <w:rPr>
          <w:rStyle w:val="Text3"/>
        </w:rPr>
        <w:t>N</w:t>
      </w:r>
      <w:r>
        <w:t xml:space="preserve"> is also a linear function of </w:t>
      </w:r>
      <w:r>
        <w:rPr>
          <w:rStyle w:val="Text3"/>
        </w:rPr>
        <w:t>N</w:t>
      </w:r>
      <w:r>
        <w:t xml:space="preserve">—and “being </w:t>
      </w:r>
      <w:r>
        <w:rPr>
          <w:rStyle w:val="Text0"/>
        </w:rPr>
        <w:t>O(</w:t>
      </w:r>
      <w:r>
        <w:rPr>
          <w:rStyle w:val="Text3"/>
        </w:rPr>
        <w:t>N</w:t>
      </w:r>
      <w:r>
        <w:rPr>
          <w:rStyle w:val="Text0"/>
        </w:rPr>
        <w:t>)</w:t>
      </w:r>
      <w:r>
        <w:t xml:space="preserve">” has exactly the same meaning as “consuming an amount of time that is a linear function of </w:t>
      </w:r>
      <w:r>
        <w:rPr>
          <w:rStyle w:val="Text3"/>
        </w:rPr>
        <w:t>N</w:t>
      </w:r>
      <w:r>
        <w:t>.”)</w:t>
      </w:r>
    </w:p>
    <w:p>
      <w:pPr>
        <w:pStyle w:val="Normal"/>
      </w:pPr>
      <w:r>
        <w:t xml:space="preserve">On the other hand, each call to </w:t>
      </w:r>
      <w:r>
        <w:rPr>
          <w:rStyle w:val="Text0"/>
        </w:rPr>
        <w:t>result.insert</w:t>
      </w:r>
      <w:r>
        <w:t xml:space="preserve"> makes space at slot </w:t>
      </w:r>
      <w:r>
        <w:rPr>
          <w:rStyle w:val="Text0"/>
        </w:rPr>
        <w:t>0</w:t>
      </w:r>
      <w:r>
        <w:t xml:space="preserve"> for the new item to insert, moving all items that are already in list </w:t>
      </w:r>
      <w:r>
        <w:rPr>
          <w:rStyle w:val="Text0"/>
        </w:rPr>
        <w:t>result</w:t>
      </w:r>
      <w:r>
        <w:t xml:space="preserve"> forward one slot. This takes time proportional to the number of items already in the list. The overall amount of time to receive </w:t>
      </w:r>
      <w:r>
        <w:rPr>
          <w:rStyle w:val="Text3"/>
        </w:rPr>
        <w:t>N</w:t>
      </w:r>
      <w:r>
        <w:t xml:space="preserve"> items is therefore proportional to </w:t>
      </w:r>
      <w:r>
        <w:rPr>
          <w:rStyle w:val="Text0"/>
        </w:rPr>
        <w:t>1+2+3+...</w:t>
      </w:r>
      <w:r>
        <w:rPr>
          <w:rStyle w:val="Text3"/>
        </w:rPr>
        <w:t>N</w:t>
      </w:r>
      <w:r>
        <w:rPr>
          <w:rStyle w:val="Text0"/>
        </w:rPr>
        <w:t>-1</w:t>
      </w:r>
      <w:r>
        <w:t xml:space="preserve">, a sum whose value is </w:t>
      </w:r>
      <w:r>
        <w:rPr>
          <w:rStyle w:val="Text0"/>
        </w:rPr>
        <w:t>O(</w:t>
      </w:r>
      <w:r>
        <w:rPr>
          <w:rStyle w:val="Text3"/>
        </w:rPr>
        <w:t>N</w:t>
      </w:r>
      <w:r>
        <w:rPr>
          <w:rStyle w:val="Text0"/>
        </w:rPr>
        <w:t>²)</w:t>
      </w:r>
      <w:r>
        <w:t xml:space="preserve">. Therefore, the total running time of </w:t>
      </w:r>
      <w:r>
        <w:rPr>
          <w:rStyle w:val="Text0"/>
        </w:rPr>
        <w:t>slow</w:t>
      </w:r>
      <w:r>
        <w:t xml:space="preserve"> is </w:t>
      </w:r>
      <w:r>
        <w:rPr>
          <w:rStyle w:val="Text0"/>
        </w:rPr>
        <w:t>O(</w:t>
      </w:r>
      <w:r>
        <w:rPr>
          <w:rStyle w:val="Text3"/>
        </w:rPr>
        <w:t>N</w:t>
      </w:r>
      <w:r>
        <w:rPr>
          <w:rStyle w:val="Text0"/>
        </w:rPr>
        <w:t>²)</w:t>
      </w:r>
      <w:r>
        <w:t>.</w:t>
      </w:r>
    </w:p>
    <w:p>
      <w:pPr>
        <w:pStyle w:val="Normal"/>
      </w:pPr>
      <w:r>
        <w:t xml:space="preserve">It’s almost always worth replacing an </w:t>
      </w:r>
      <w:r>
        <w:rPr>
          <w:rStyle w:val="Text0"/>
        </w:rPr>
        <w:t>O(</w:t>
      </w:r>
      <w:r>
        <w:rPr>
          <w:rStyle w:val="Text3"/>
        </w:rPr>
        <w:t>N</w:t>
      </w:r>
      <w:r>
        <w:rPr>
          <w:rStyle w:val="Text0"/>
        </w:rPr>
        <w:t>²)</w:t>
      </w:r>
      <w:r>
        <w:t xml:space="preserve"> solution with an </w:t>
      </w:r>
      <w:r>
        <w:rPr>
          <w:rStyle w:val="Text0"/>
        </w:rPr>
        <w:t>O(</w:t>
      </w:r>
      <w:r>
        <w:rPr>
          <w:rStyle w:val="Text3"/>
        </w:rPr>
        <w:t>N</w:t>
      </w:r>
      <w:r>
        <w:rPr>
          <w:rStyle w:val="Text0"/>
        </w:rPr>
        <w:t>)</w:t>
      </w:r>
      <w:r>
        <w:t xml:space="preserve"> one, unless you can somehow assign rigorous small limits to input size </w:t>
      </w:r>
      <w:r>
        <w:rPr>
          <w:rStyle w:val="Text3"/>
        </w:rPr>
        <w:t>N</w:t>
      </w:r>
      <w:r>
        <w:t xml:space="preserve">. If </w:t>
      </w:r>
      <w:r>
        <w:rPr>
          <w:rStyle w:val="Text3"/>
        </w:rPr>
        <w:t>N</w:t>
      </w:r>
      <w:r>
        <w:t xml:space="preserve"> can grow without very strict bounds, the </w:t>
      </w:r>
      <w:r>
        <w:rPr>
          <w:rStyle w:val="Text0"/>
        </w:rPr>
        <w:t>O(</w:t>
      </w:r>
      <w:r>
        <w:rPr>
          <w:rStyle w:val="Text3"/>
        </w:rPr>
        <w:t>N</w:t>
      </w:r>
      <w:r>
        <w:rPr>
          <w:rStyle w:val="Text0"/>
        </w:rPr>
        <w:t>²)</w:t>
      </w:r>
      <w:r>
        <w:t xml:space="preserve"> solution turns out to be disastrously slower than the </w:t>
      </w:r>
      <w:r>
        <w:rPr>
          <w:rStyle w:val="Text0"/>
        </w:rPr>
        <w:t>O(</w:t>
      </w:r>
      <w:r>
        <w:rPr>
          <w:rStyle w:val="Text3"/>
        </w:rPr>
        <w:t>N</w:t>
      </w:r>
      <w:r>
        <w:rPr>
          <w:rStyle w:val="Text0"/>
        </w:rPr>
        <w:t>)</w:t>
      </w:r>
      <w:r>
        <w:t xml:space="preserve"> one for large values of </w:t>
      </w:r>
      <w:r>
        <w:rPr>
          <w:rStyle w:val="Text3"/>
        </w:rPr>
        <w:t>N</w:t>
      </w:r>
      <w:r>
        <w:t xml:space="preserve">, no matter what the proportionality constants in each case may be (and no matter what profiling tells you). Unless you have other </w:t>
      </w:r>
      <w:r>
        <w:rPr>
          <w:rStyle w:val="Text0"/>
        </w:rPr>
        <w:t>O(</w:t>
      </w:r>
      <w:r>
        <w:rPr>
          <w:rStyle w:val="Text3"/>
        </w:rPr>
        <w:t>N</w:t>
      </w:r>
      <w:r>
        <w:rPr>
          <w:rStyle w:val="Text0"/>
        </w:rPr>
        <w:t>²)</w:t>
      </w:r>
      <w:r>
        <w:t xml:space="preserve"> or even worse bottlenecks elsewhere that you can’t eliminate, a part of the program that is </w:t>
      </w:r>
      <w:r>
        <w:rPr>
          <w:rStyle w:val="Text0"/>
        </w:rPr>
        <w:t>O(</w:t>
      </w:r>
      <w:r>
        <w:rPr>
          <w:rStyle w:val="Text3"/>
        </w:rPr>
        <w:t>N</w:t>
      </w:r>
      <w:r>
        <w:rPr>
          <w:rStyle w:val="Text0"/>
        </w:rPr>
        <w:t>²)</w:t>
      </w:r>
      <w:r>
        <w:t xml:space="preserve"> turns into the program’s bottleneck, dominating runtime for large values of </w:t>
      </w:r>
      <w:r>
        <w:rPr>
          <w:rStyle w:val="Text3"/>
        </w:rPr>
        <w:t>N</w:t>
      </w:r>
      <w:r>
        <w:t>. Do yourself a favor and watch out for the big-O: all other performance issues, in comparison, are usually almost insignificant.</w:t>
      </w:r>
    </w:p>
    <w:p>
      <w:pPr>
        <w:pStyle w:val="Normal"/>
      </w:pPr>
      <w:r>
        <w:t xml:space="preserve">Incidentally, you can make the function </w:t>
      </w:r>
      <w:r>
        <w:rPr>
          <w:rStyle w:val="Text0"/>
        </w:rPr>
        <w:t>fast</w:t>
      </w:r>
      <w:r>
        <w:t xml:space="preserve"> even faster by expressing it in more idiomatic Python. Just replace the first two lines with the following single statement:</w:t>
      </w:r>
    </w:p>
    <w:p>
      <w:pPr>
        <w:pStyle w:val="Para 007"/>
      </w:pPr>
      <w:r>
        <w:rPr>
          <w:rStyle w:val="Text23"/>
        </w:rPr>
        <w:t xml:space="preserve"/>
        <w:br w:clear="none"/>
      </w:r>
      <w:r>
        <w:t xml:space="preserve">result</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list</w:t>
        <w:br w:clear="none"/>
      </w:r>
      <w:r>
        <w:rPr>
          <w:rStyle w:val="Text7"/>
        </w:rPr>
        <w:t xml:space="preserve">(</w:t>
        <w:br w:clear="none"/>
      </w:r>
      <w:r>
        <w:t xml:space="preserve">it</w:t>
        <w:br w:clear="none"/>
      </w:r>
      <w:r>
        <w:rPr>
          <w:rStyle w:val="Text7"/>
        </w:rPr>
        <w:t xml:space="preserve">)</w:t>
        <w:br w:clear="none"/>
      </w:r>
    </w:p>
    <w:p>
      <w:pPr>
        <w:pStyle w:val="Normal"/>
      </w:pPr>
      <w:r>
        <w:t xml:space="preserve">This change does not affect </w:t>
      </w:r>
      <w:r>
        <w:rPr>
          <w:rStyle w:val="Text0"/>
        </w:rPr>
        <w:t>fast</w:t>
      </w:r>
      <w:r>
        <w:t>’s big-O character (</w:t>
      </w:r>
      <w:r>
        <w:rPr>
          <w:rStyle w:val="Text0"/>
        </w:rPr>
        <w:t>fast</w:t>
      </w:r>
      <w:r>
        <w:t xml:space="preserve"> is still </w:t>
      </w:r>
      <w:r>
        <w:rPr>
          <w:rStyle w:val="Text0"/>
        </w:rPr>
        <w:t>O(</w:t>
      </w:r>
      <w:r>
        <w:rPr>
          <w:rStyle w:val="Text3"/>
        </w:rPr>
        <w:t>N</w:t>
      </w:r>
      <w:r>
        <w:rPr>
          <w:rStyle w:val="Text0"/>
        </w:rPr>
        <w:t>)</w:t>
      </w:r>
      <w:r>
        <w:t xml:space="preserve"> after the change), but does speed things up by a large constant factor.</w:t>
      </w:r>
    </w:p>
    <w:p>
      <w:pPr>
        <w:keepNext/>
        <w:pStyle w:val="Heading 5"/>
        <w:keepLines w:val="on"/>
      </w:pPr>
      <w:r>
        <w:t>Simple Is Better than Complex, and Usually Faster!</w:t>
      </w:r>
    </w:p>
    <w:p>
      <w:pPr>
        <w:pStyle w:val="Para 012"/>
        <w:keepLines w:val="on"/>
      </w:pPr>
      <w:r>
        <w:t>More often than not, in Python, the simplest, clearest, most direct and idiomatic way to express something is also the fastest.</w:t>
      </w:r>
    </w:p>
    <w:p>
      <w:pPr>
        <w:pStyle w:val="Normal"/>
      </w:pPr>
      <w:r>
        <w:t>Choosing algorithms with good big-O performance is roughly the same task in Python as in any other language. You just need a few hints about the big-O performance of Python’s elementary building blocks, and we provide them in the following sections.</w:t>
      </w:r>
    </w:p>
    <w:p>
      <w:bookmarkStart w:id="3843" w:name="List_operations__Python_lists_ar"/>
      <w:pPr>
        <w:keepNext/>
        <w:pStyle w:val="Heading 2"/>
      </w:pPr>
      <w:r>
        <w:t>List operations</w:t>
      </w:r>
      <w:bookmarkEnd w:id="3843"/>
    </w:p>
    <w:p>
      <w:pPr>
        <w:pStyle w:val="Normal"/>
      </w:pPr>
      <w:r>
        <w:t>Python</w:t>
      </w:r>
      <w:r>
        <w:rPr>
          <w:rStyle w:val="Text111"/>
        </w:rPr>
        <w:bookmarkStart w:id="3844" w:name="idm45965180885536"/>
        <w:t/>
        <w:bookmarkEnd w:id="3844"/>
        <w:bookmarkStart w:id="3845" w:name="idm45965180884128"/>
        <w:t/>
        <w:bookmarkEnd w:id="3845"/>
        <w:bookmarkStart w:id="3846" w:name="idm45965180879360"/>
        <w:t/>
        <w:bookmarkEnd w:id="3846"/>
      </w:r>
      <w:r>
        <w:t xml:space="preserve"> lists are internally implemented as </w:t>
      </w:r>
      <w:r>
        <w:rPr>
          <w:rStyle w:val="Text4"/>
        </w:rPr>
        <w:t>vectors</w:t>
      </w:r>
      <w:r>
        <w:t xml:space="preserve"> (also known as </w:t>
      </w:r>
      <w:r>
        <w:rPr>
          <w:rStyle w:val="Text4"/>
        </w:rPr>
        <w:t>dynamic arrays</w:t>
      </w:r>
      <w:r>
        <w:t>), not as “</w:t>
      </w:r>
      <w:r>
        <w:rPr>
          <w:rStyle w:val="Text4"/>
        </w:rPr>
        <w:t>linked</w:t>
      </w:r>
      <w:r>
        <w:t xml:space="preserve"> lists.” This implementation choice determines the performance characteristics of Python lists, in big-O terms.</w:t>
      </w:r>
    </w:p>
    <w:p>
      <w:pPr>
        <w:pStyle w:val="Normal"/>
      </w:pPr>
      <w:r>
        <w:t xml:space="preserve">Chaining two lists </w:t>
      </w:r>
      <w:r>
        <w:rPr>
          <w:rStyle w:val="Text3"/>
        </w:rPr>
        <w:t>L1</w:t>
      </w:r>
      <w:r>
        <w:t xml:space="preserve"> and </w:t>
      </w:r>
      <w:r>
        <w:rPr>
          <w:rStyle w:val="Text3"/>
        </w:rPr>
        <w:t>L2</w:t>
      </w:r>
      <w:r>
        <w:t xml:space="preserve">, of length </w:t>
      </w:r>
      <w:r>
        <w:rPr>
          <w:rStyle w:val="Text3"/>
        </w:rPr>
        <w:t>N1</w:t>
      </w:r>
      <w:r>
        <w:t xml:space="preserve"> and </w:t>
      </w:r>
      <w:r>
        <w:rPr>
          <w:rStyle w:val="Text3"/>
        </w:rPr>
        <w:t>N2</w:t>
      </w:r>
      <w:r>
        <w:t xml:space="preserve"> (i.e., </w:t>
      </w:r>
      <w:r>
        <w:rPr>
          <w:rStyle w:val="Text3"/>
        </w:rPr>
        <w:t>L1</w:t>
      </w:r>
      <w:r>
        <w:rPr>
          <w:rStyle w:val="Text0"/>
        </w:rPr>
        <w:t>+</w:t>
      </w:r>
      <w:r>
        <w:rPr>
          <w:rStyle w:val="Text3"/>
        </w:rPr>
        <w:t>L2</w:t>
      </w:r>
      <w:r>
        <w:t xml:space="preserve">) is </w:t>
      </w:r>
      <w:r>
        <w:rPr>
          <w:rStyle w:val="Text0"/>
        </w:rPr>
        <w:t>O(</w:t>
      </w:r>
      <w:r>
        <w:rPr>
          <w:rStyle w:val="Text3"/>
        </w:rPr>
        <w:t>N1</w:t>
      </w:r>
      <w:r>
        <w:rPr>
          <w:rStyle w:val="Text0"/>
        </w:rPr>
        <w:t>+</w:t>
      </w:r>
      <w:r>
        <w:rPr>
          <w:rStyle w:val="Text3"/>
        </w:rPr>
        <w:t>N2</w:t>
      </w:r>
      <w:r>
        <w:rPr>
          <w:rStyle w:val="Text0"/>
        </w:rPr>
        <w:t>)</w:t>
      </w:r>
      <w:r>
        <w:t xml:space="preserve">. Multiplying a list </w:t>
      </w:r>
      <w:r>
        <w:rPr>
          <w:rStyle w:val="Text3"/>
        </w:rPr>
        <w:t>L</w:t>
      </w:r>
      <w:r>
        <w:t xml:space="preserve"> of length </w:t>
      </w:r>
      <w:r>
        <w:rPr>
          <w:rStyle w:val="Text3"/>
        </w:rPr>
        <w:t>N</w:t>
      </w:r>
      <w:r>
        <w:t xml:space="preserve"> by integer </w:t>
      </w:r>
      <w:r>
        <w:rPr>
          <w:rStyle w:val="Text3"/>
        </w:rPr>
        <w:t>M</w:t>
      </w:r>
      <w:r>
        <w:t xml:space="preserve"> (i.e., </w:t>
      </w:r>
      <w:r>
        <w:rPr>
          <w:rStyle w:val="Text3"/>
        </w:rPr>
        <w:t>L</w:t>
      </w:r>
      <w:r>
        <w:rPr>
          <w:rStyle w:val="Text0"/>
        </w:rPr>
        <w:t>*</w:t>
      </w:r>
      <w:r>
        <w:rPr>
          <w:rStyle w:val="Text3"/>
        </w:rPr>
        <w:t>M</w:t>
      </w:r>
      <w:r>
        <w:t xml:space="preserve">) is </w:t>
      </w:r>
      <w:r>
        <w:rPr>
          <w:rStyle w:val="Text0"/>
        </w:rPr>
        <w:t>O(</w:t>
      </w:r>
      <w:r>
        <w:rPr>
          <w:rStyle w:val="Text3"/>
        </w:rPr>
        <w:t>N</w:t>
      </w:r>
      <w:r>
        <w:rPr>
          <w:rStyle w:val="Text0"/>
        </w:rPr>
        <w:t>*</w:t>
      </w:r>
      <w:r>
        <w:rPr>
          <w:rStyle w:val="Text3"/>
        </w:rPr>
        <w:t>M</w:t>
      </w:r>
      <w:r>
        <w:rPr>
          <w:rStyle w:val="Text0"/>
        </w:rPr>
        <w:t>)</w:t>
      </w:r>
      <w:r>
        <w:t xml:space="preserve">. Accessing or rebinding any list item is </w:t>
      </w:r>
      <w:r>
        <w:rPr>
          <w:rStyle w:val="Text0"/>
        </w:rPr>
        <w:t>O(1)</w:t>
      </w:r>
      <w:r>
        <w:t xml:space="preserve">. </w:t>
      </w:r>
      <w:r>
        <w:rPr>
          <w:rStyle w:val="Text0"/>
        </w:rPr>
        <w:t>len()</w:t>
      </w:r>
      <w:r>
        <w:t xml:space="preserve"> on a list is also </w:t>
      </w:r>
      <w:r>
        <w:rPr>
          <w:rStyle w:val="Text0"/>
        </w:rPr>
        <w:t>O(1)</w:t>
      </w:r>
      <w:r>
        <w:t xml:space="preserve">. Accessing any slice of length </w:t>
      </w:r>
      <w:r>
        <w:rPr>
          <w:rStyle w:val="Text3"/>
        </w:rPr>
        <w:t>M</w:t>
      </w:r>
      <w:r>
        <w:t xml:space="preserve"> is </w:t>
      </w:r>
      <w:r>
        <w:rPr>
          <w:rStyle w:val="Text0"/>
        </w:rPr>
        <w:t>O(</w:t>
      </w:r>
      <w:r>
        <w:rPr>
          <w:rStyle w:val="Text3"/>
        </w:rPr>
        <w:t>M</w:t>
      </w:r>
      <w:r>
        <w:rPr>
          <w:rStyle w:val="Text0"/>
        </w:rPr>
        <w:t>)</w:t>
      </w:r>
      <w:r>
        <w:t xml:space="preserve">. Rebinding a slice of length </w:t>
      </w:r>
      <w:r>
        <w:rPr>
          <w:rStyle w:val="Text3"/>
        </w:rPr>
        <w:t>M</w:t>
      </w:r>
      <w:r>
        <w:t xml:space="preserve"> with one of identical length is also </w:t>
      </w:r>
      <w:r>
        <w:rPr>
          <w:rStyle w:val="Text0"/>
        </w:rPr>
        <w:t>O(</w:t>
      </w:r>
      <w:r>
        <w:rPr>
          <w:rStyle w:val="Text3"/>
        </w:rPr>
        <w:t>M</w:t>
      </w:r>
      <w:r>
        <w:rPr>
          <w:rStyle w:val="Text0"/>
        </w:rPr>
        <w:t>)</w:t>
      </w:r>
      <w:r>
        <w:t xml:space="preserve">. Rebinding a slice of length </w:t>
      </w:r>
      <w:r>
        <w:rPr>
          <w:rStyle w:val="Text3"/>
        </w:rPr>
        <w:t>M1</w:t>
      </w:r>
      <w:r>
        <w:t xml:space="preserve"> with one of different length </w:t>
      </w:r>
      <w:r>
        <w:rPr>
          <w:rStyle w:val="Text3"/>
        </w:rPr>
        <w:t>M2</w:t>
      </w:r>
      <w:r>
        <w:t xml:space="preserve"> is </w:t>
      </w:r>
      <w:r>
        <w:rPr>
          <w:rStyle w:val="Text0"/>
        </w:rPr>
        <w:t>O(</w:t>
      </w:r>
      <w:r>
        <w:rPr>
          <w:rStyle w:val="Text3"/>
        </w:rPr>
        <w:t>M1</w:t>
      </w:r>
      <w:r>
        <w:rPr>
          <w:rStyle w:val="Text0"/>
        </w:rPr>
        <w:t>+</w:t>
      </w:r>
      <w:r>
        <w:rPr>
          <w:rStyle w:val="Text3"/>
        </w:rPr>
        <w:t>M2</w:t>
      </w:r>
      <w:r>
        <w:rPr>
          <w:rStyle w:val="Text0"/>
        </w:rPr>
        <w:t>+</w:t>
      </w:r>
      <w:r>
        <w:rPr>
          <w:rStyle w:val="Text3"/>
        </w:rPr>
        <w:t>N1</w:t>
      </w:r>
      <w:r>
        <w:rPr>
          <w:rStyle w:val="Text0"/>
        </w:rPr>
        <w:t>)</w:t>
      </w:r>
      <w:r>
        <w:t xml:space="preserve">, where </w:t>
      </w:r>
      <w:r>
        <w:rPr>
          <w:rStyle w:val="Text3"/>
        </w:rPr>
        <w:t>N1</w:t>
      </w:r>
      <w:r>
        <w:t xml:space="preserve"> is the number of items </w:t>
      </w:r>
      <w:r>
        <w:rPr>
          <w:rStyle w:val="Text4"/>
        </w:rPr>
        <w:t>after</w:t>
      </w:r>
      <w:r>
        <w:t xml:space="preserve"> the slice in the target list (so, length-changing slice rebindings are relatively cheap when they occur at the </w:t>
      </w:r>
      <w:r>
        <w:rPr>
          <w:rStyle w:val="Text4"/>
        </w:rPr>
        <w:t>end</w:t>
      </w:r>
      <w:r>
        <w:t xml:space="preserve"> of a list, but costlier when they occur at the </w:t>
      </w:r>
      <w:r>
        <w:rPr>
          <w:rStyle w:val="Text4"/>
        </w:rPr>
        <w:t>beginning</w:t>
      </w:r>
      <w:r>
        <w:t xml:space="preserve"> or around the middle of a long list). If you need first-in, first-out operations, a list is probably not the fastest data structure for the purpose: instead, try the type </w:t>
      </w:r>
      <w:r>
        <w:rPr>
          <w:rStyle w:val="Text0"/>
        </w:rPr>
        <w:t>collections.deque</w:t>
      </w:r>
      <w:r>
        <w:t xml:space="preserve">, covered in </w:t>
      </w:r>
      <w:hyperlink w:anchor="deque__deque_is_a_sequence_type">
        <w:r>
          <w:rPr>
            <w:rStyle w:val="Text1"/>
          </w:rPr>
          <w:t>“deque”</w:t>
        </w:r>
      </w:hyperlink>
      <w:r>
        <w:t>.</w:t>
      </w:r>
    </w:p>
    <w:p>
      <w:pPr>
        <w:pStyle w:val="Normal"/>
      </w:pPr>
      <w:r>
        <w:t xml:space="preserve">Most list methods, as shown in </w:t>
      </w:r>
      <w:hyperlink w:anchor="Table_3_5__List_object_methods">
        <w:r>
          <w:rPr>
            <w:rStyle w:val="Text1"/>
          </w:rPr>
          <w:t>Table 3-5</w:t>
        </w:r>
      </w:hyperlink>
      <w:r>
        <w:t xml:space="preserve">, are equivalent to slice rebindings and have equivalent big-O performance. The methods </w:t>
      </w:r>
      <w:r>
        <w:rPr>
          <w:rStyle w:val="Text0"/>
        </w:rPr>
        <w:t>count</w:t>
      </w:r>
      <w:r>
        <w:t xml:space="preserve">, </w:t>
      </w:r>
      <w:r>
        <w:rPr>
          <w:rStyle w:val="Text0"/>
        </w:rPr>
        <w:t>index</w:t>
      </w:r>
      <w:r>
        <w:t xml:space="preserve">, </w:t>
      </w:r>
      <w:r>
        <w:rPr>
          <w:rStyle w:val="Text0"/>
        </w:rPr>
        <w:t>remove</w:t>
      </w:r>
      <w:r>
        <w:t xml:space="preserve">, and </w:t>
      </w:r>
      <w:r>
        <w:rPr>
          <w:rStyle w:val="Text0"/>
        </w:rPr>
        <w:t>reverse</w:t>
      </w:r>
      <w:r>
        <w:t xml:space="preserve">, and the operator </w:t>
      </w:r>
      <w:r>
        <w:rPr>
          <w:rStyle w:val="Text5"/>
        </w:rPr>
        <w:t>in</w:t>
      </w:r>
      <w:r>
        <w:t xml:space="preserve">, are </w:t>
      </w:r>
      <w:r>
        <w:rPr>
          <w:rStyle w:val="Text0"/>
        </w:rPr>
        <w:t>O(</w:t>
      </w:r>
      <w:r>
        <w:rPr>
          <w:rStyle w:val="Text3"/>
        </w:rPr>
        <w:t>N</w:t>
      </w:r>
      <w:r>
        <w:rPr>
          <w:rStyle w:val="Text0"/>
        </w:rPr>
        <w:t>)</w:t>
      </w:r>
      <w:r>
        <w:t xml:space="preserve">. The method </w:t>
      </w:r>
      <w:r>
        <w:rPr>
          <w:rStyle w:val="Text0"/>
        </w:rPr>
        <w:t>sort</w:t>
      </w:r>
      <w:r>
        <w:t xml:space="preserve"> is generally </w:t>
      </w:r>
      <w:r>
        <w:rPr>
          <w:rStyle w:val="Text0"/>
        </w:rPr>
        <w:t>O(</w:t>
      </w:r>
      <w:r>
        <w:rPr>
          <w:rStyle w:val="Text3"/>
        </w:rPr>
        <w:t>N</w:t>
      </w:r>
      <w:r>
        <w:t xml:space="preserve"> </w:t>
      </w:r>
      <w:r>
        <w:rPr>
          <w:rStyle w:val="Text0"/>
        </w:rPr>
        <w:t>log</w:t>
      </w:r>
      <w:r>
        <w:t xml:space="preserve"> </w:t>
      </w:r>
      <w:r>
        <w:rPr>
          <w:rStyle w:val="Text3"/>
        </w:rPr>
        <w:t>N</w:t>
      </w:r>
      <w:r>
        <w:rPr>
          <w:rStyle w:val="Text0"/>
        </w:rPr>
        <w:t>)</w:t>
      </w:r>
      <w:r>
        <w:t xml:space="preserve">, but </w:t>
      </w:r>
      <w:r>
        <w:rPr>
          <w:rStyle w:val="Text0"/>
        </w:rPr>
        <w:t>sort</w:t>
      </w:r>
      <w:r>
        <w:t xml:space="preserve"> is highly optimized</w:t>
      </w:r>
      <w:hyperlink w:anchor="9_Using_the_invented_for_Python">
        <w:r>
          <w:rPr>
            <w:rStyle w:val="Text41"/>
          </w:rPr>
          <w:bookmarkStart w:id="3847" w:name="9_3"/>
          <w:t>9</w:t>
          <w:bookmarkEnd w:id="3847"/>
        </w:r>
      </w:hyperlink>
      <w:r>
        <w:t xml:space="preserve"> to be </w:t>
      </w:r>
      <w:r>
        <w:rPr>
          <w:rStyle w:val="Text0"/>
        </w:rPr>
        <w:t>O(</w:t>
      </w:r>
      <w:r>
        <w:rPr>
          <w:rStyle w:val="Text3"/>
        </w:rPr>
        <w:t>N</w:t>
      </w:r>
      <w:r>
        <w:rPr>
          <w:rStyle w:val="Text0"/>
        </w:rPr>
        <w:t>)</w:t>
      </w:r>
      <w:r>
        <w:t xml:space="preserve"> in some important special cases, such as when the list is already sorted or reverse-sorted except for a few items. </w:t>
      </w:r>
      <w:r>
        <w:rPr>
          <w:rStyle w:val="Text0"/>
        </w:rPr>
        <w:t>range(a, b, c)</w:t>
      </w:r>
      <w:r>
        <w:t xml:space="preserve"> is </w:t>
      </w:r>
      <w:r>
        <w:rPr>
          <w:rStyle w:val="Text0"/>
        </w:rPr>
        <w:t>O(1)</w:t>
      </w:r>
      <w:r>
        <w:t xml:space="preserve">, but looping on all items of the result is </w:t>
      </w:r>
      <w:r>
        <w:rPr>
          <w:rStyle w:val="Text0"/>
        </w:rPr>
        <w:t>O((b - a) // c)</w:t>
      </w:r>
      <w:r>
        <w:t>.</w:t>
      </w:r>
    </w:p>
    <w:p>
      <w:bookmarkStart w:id="3848" w:name="String_operations__Most_methods"/>
      <w:pPr>
        <w:keepNext/>
        <w:pStyle w:val="Heading 2"/>
      </w:pPr>
      <w:r>
        <w:t>String operations</w:t>
      </w:r>
      <w:bookmarkEnd w:id="3848"/>
    </w:p>
    <w:p>
      <w:pPr>
        <w:pStyle w:val="Normal"/>
      </w:pPr>
      <w:r>
        <w:t>Most</w:t>
      </w:r>
      <w:r>
        <w:rPr>
          <w:rStyle w:val="Text111"/>
        </w:rPr>
        <w:bookmarkStart w:id="3849" w:name="idm45965180801152"/>
        <w:t/>
        <w:bookmarkEnd w:id="3849"/>
      </w:r>
      <w:r>
        <w:t xml:space="preserve"> methods on a string of length </w:t>
      </w:r>
      <w:r>
        <w:rPr>
          <w:rStyle w:val="Text3"/>
        </w:rPr>
        <w:t>N</w:t>
      </w:r>
      <w:r>
        <w:t xml:space="preserve"> (be it bytes or Unicode) are </w:t>
      </w:r>
      <w:r>
        <w:rPr>
          <w:rStyle w:val="Text0"/>
        </w:rPr>
        <w:t>O(</w:t>
      </w:r>
      <w:r>
        <w:rPr>
          <w:rStyle w:val="Text3"/>
        </w:rPr>
        <w:t>N</w:t>
      </w:r>
      <w:r>
        <w:rPr>
          <w:rStyle w:val="Text0"/>
        </w:rPr>
        <w:t>)</w:t>
      </w:r>
      <w:r>
        <w:t xml:space="preserve">. </w:t>
      </w:r>
      <w:r>
        <w:rPr>
          <w:rStyle w:val="Text0"/>
        </w:rPr>
        <w:t>len(</w:t>
      </w:r>
      <w:r>
        <w:rPr>
          <w:rStyle w:val="Text3"/>
        </w:rPr>
        <w:t>astring</w:t>
      </w:r>
      <w:r>
        <w:rPr>
          <w:rStyle w:val="Text0"/>
        </w:rPr>
        <w:t>)</w:t>
      </w:r>
      <w:r>
        <w:t xml:space="preserve"> is </w:t>
      </w:r>
      <w:r>
        <w:rPr>
          <w:rStyle w:val="Text0"/>
        </w:rPr>
        <w:t>O(1)</w:t>
      </w:r>
      <w:r>
        <w:t xml:space="preserve">. The fastest way to produce a copy of a string with transliterations and/or removal of specified characters is the string’s method </w:t>
      </w:r>
      <w:r>
        <w:rPr>
          <w:rStyle w:val="Text0"/>
        </w:rPr>
        <w:t>translate</w:t>
      </w:r>
      <w:r>
        <w:t xml:space="preserve">. The single most practically important big-O consideration involving strings is covered in </w:t>
      </w:r>
      <w:hyperlink w:anchor="Building_up_a_string_from_pieces">
        <w:r>
          <w:rPr>
            <w:rStyle w:val="Text1"/>
          </w:rPr>
          <w:t>“Building up a string from pieces”</w:t>
        </w:r>
      </w:hyperlink>
      <w:r>
        <w:t>.</w:t>
      </w:r>
    </w:p>
    <w:p>
      <w:bookmarkStart w:id="3850" w:name="Dictionary_operations__Python_di"/>
      <w:pPr>
        <w:keepNext/>
        <w:pStyle w:val="Heading 2"/>
      </w:pPr>
      <w:r>
        <w:t>Dictionary operations</w:t>
      </w:r>
      <w:bookmarkEnd w:id="3850"/>
    </w:p>
    <w:p>
      <w:pPr>
        <w:pStyle w:val="Normal"/>
      </w:pPr>
      <w:r>
        <w:t>Python</w:t>
      </w:r>
      <w:r>
        <w:rPr>
          <w:rStyle w:val="Text111"/>
        </w:rPr>
        <w:bookmarkStart w:id="3851" w:name="idm45965180792080"/>
        <w:t/>
        <w:bookmarkEnd w:id="3851"/>
        <w:bookmarkStart w:id="3852" w:name="idm45965180790672"/>
        <w:t/>
        <w:bookmarkEnd w:id="3852"/>
      </w:r>
      <w:r>
        <w:t xml:space="preserve"> </w:t>
      </w:r>
      <w:r>
        <w:rPr>
          <w:rStyle w:val="Text0"/>
        </w:rPr>
        <w:t>dict</w:t>
      </w:r>
      <w:r>
        <w:t>s are implemented with hash tables. This implementation choice determines all the performance characteristics of Python dictionaries, in big-O terms.</w:t>
      </w:r>
    </w:p>
    <w:p>
      <w:pPr>
        <w:pStyle w:val="Normal"/>
      </w:pPr>
      <w:r>
        <w:t xml:space="preserve">Accessing, rebinding, adding, or removing a dictionary item is </w:t>
      </w:r>
      <w:r>
        <w:rPr>
          <w:rStyle w:val="Text0"/>
        </w:rPr>
        <w:t>O(1)</w:t>
      </w:r>
      <w:r>
        <w:t xml:space="preserve">, as are the methods </w:t>
      </w:r>
      <w:r>
        <w:rPr>
          <w:rStyle w:val="Text0"/>
        </w:rPr>
        <w:t>get</w:t>
      </w:r>
      <w:r>
        <w:t xml:space="preserve">, </w:t>
      </w:r>
      <w:r>
        <w:rPr>
          <w:rStyle w:val="Text0"/>
        </w:rPr>
        <w:t>setdefault</w:t>
      </w:r>
      <w:r>
        <w:t xml:space="preserve">, and </w:t>
      </w:r>
      <w:r>
        <w:rPr>
          <w:rStyle w:val="Text0"/>
        </w:rPr>
        <w:t>popitem</w:t>
      </w:r>
      <w:r>
        <w:t xml:space="preserve">, and the operator </w:t>
      </w:r>
      <w:r>
        <w:rPr>
          <w:rStyle w:val="Text5"/>
        </w:rPr>
        <w:t>in</w:t>
      </w:r>
      <w:r>
        <w:t xml:space="preserve">. </w:t>
      </w:r>
      <w:r>
        <w:rPr>
          <w:rStyle w:val="Text3"/>
        </w:rPr>
        <w:t>d1</w:t>
      </w:r>
      <w:r>
        <w:rPr>
          <w:rStyle w:val="Text0"/>
        </w:rPr>
        <w:t>.update(</w:t>
      </w:r>
      <w:r>
        <w:rPr>
          <w:rStyle w:val="Text3"/>
        </w:rPr>
        <w:t>d</w:t>
      </w:r>
      <w:r>
        <w:rPr>
          <w:rStyle w:val="Text0"/>
        </w:rPr>
        <w:t>2)</w:t>
      </w:r>
      <w:r>
        <w:t xml:space="preserve"> is </w:t>
      </w:r>
      <w:r>
        <w:rPr>
          <w:rStyle w:val="Text0"/>
        </w:rPr>
        <w:t>O(len(</w:t>
      </w:r>
      <w:r>
        <w:rPr>
          <w:rStyle w:val="Text3"/>
        </w:rPr>
        <w:t>d</w:t>
      </w:r>
      <w:r>
        <w:rPr>
          <w:rStyle w:val="Text0"/>
        </w:rPr>
        <w:t>2))</w:t>
      </w:r>
      <w:r>
        <w:t xml:space="preserve">. </w:t>
      </w:r>
      <w:r>
        <w:rPr>
          <w:rStyle w:val="Text0"/>
        </w:rPr>
        <w:t>len(</w:t>
      </w:r>
      <w:r>
        <w:rPr>
          <w:rStyle w:val="Text3"/>
        </w:rPr>
        <w:t>adict</w:t>
      </w:r>
      <w:r>
        <w:rPr>
          <w:rStyle w:val="Text0"/>
        </w:rPr>
        <w:t>)</w:t>
      </w:r>
      <w:r>
        <w:t xml:space="preserve"> is </w:t>
      </w:r>
      <w:r>
        <w:rPr>
          <w:rStyle w:val="Text0"/>
        </w:rPr>
        <w:t>O(1)</w:t>
      </w:r>
      <w:r>
        <w:t xml:space="preserve">. The methods </w:t>
      </w:r>
      <w:r>
        <w:rPr>
          <w:rStyle w:val="Text0"/>
        </w:rPr>
        <w:t>keys</w:t>
      </w:r>
      <w:r>
        <w:t xml:space="preserve">, </w:t>
      </w:r>
      <w:r>
        <w:rPr>
          <w:rStyle w:val="Text0"/>
        </w:rPr>
        <w:t>items</w:t>
      </w:r>
      <w:r>
        <w:t xml:space="preserve">, and </w:t>
      </w:r>
      <w:r>
        <w:rPr>
          <w:rStyle w:val="Text0"/>
        </w:rPr>
        <w:t>values</w:t>
      </w:r>
      <w:r>
        <w:t xml:space="preserve"> are </w:t>
      </w:r>
      <w:r>
        <w:rPr>
          <w:rStyle w:val="Text0"/>
        </w:rPr>
        <w:t>O(1)</w:t>
      </w:r>
      <w:r>
        <w:t xml:space="preserve">, but looping on all items of the iterators those methods return is </w:t>
      </w:r>
      <w:r>
        <w:rPr>
          <w:rStyle w:val="Text0"/>
        </w:rPr>
        <w:t>O(</w:t>
      </w:r>
      <w:r>
        <w:rPr>
          <w:rStyle w:val="Text3"/>
        </w:rPr>
        <w:t>N</w:t>
      </w:r>
      <w:r>
        <w:rPr>
          <w:rStyle w:val="Text0"/>
        </w:rPr>
        <w:t>)</w:t>
      </w:r>
      <w:r>
        <w:t xml:space="preserve">, as is looping directly on a </w:t>
      </w:r>
      <w:r>
        <w:rPr>
          <w:rStyle w:val="Text0"/>
        </w:rPr>
        <w:t>dict</w:t>
      </w:r>
      <w:r>
        <w:t>.</w:t>
      </w:r>
    </w:p>
    <w:p>
      <w:pPr>
        <w:pStyle w:val="Normal"/>
      </w:pPr>
      <w:r>
        <w:t xml:space="preserve">When the keys in a dictionary are instances of classes that define </w:t>
      </w:r>
      <w:r>
        <w:rPr>
          <w:rStyle w:val="Text0"/>
        </w:rPr>
        <w:t>__hash__</w:t>
      </w:r>
      <w:r>
        <w:t xml:space="preserve"> and equality comparison methods, dictionary performance is of course affected by those methods. The performance indications presented in this section hold when hashing and equality comparison on keys are </w:t>
      </w:r>
      <w:r>
        <w:rPr>
          <w:rStyle w:val="Text0"/>
        </w:rPr>
        <w:t>O(1)</w:t>
      </w:r>
      <w:r>
        <w:t>.</w:t>
      </w:r>
    </w:p>
    <w:p>
      <w:bookmarkStart w:id="3853" w:name="Set_operations__Python_sets__lik"/>
      <w:pPr>
        <w:keepNext/>
        <w:pStyle w:val="Heading 2"/>
      </w:pPr>
      <w:r>
        <w:t>Set operations</w:t>
      </w:r>
      <w:bookmarkEnd w:id="3853"/>
    </w:p>
    <w:p>
      <w:pPr>
        <w:pStyle w:val="Normal"/>
      </w:pPr>
      <w:r>
        <w:t>Python</w:t>
      </w:r>
      <w:r>
        <w:rPr>
          <w:rStyle w:val="Text111"/>
        </w:rPr>
        <w:bookmarkStart w:id="3854" w:name="idm45965180771376"/>
        <w:t/>
        <w:bookmarkEnd w:id="3854"/>
      </w:r>
      <w:r>
        <w:t xml:space="preserve"> sets, like </w:t>
      </w:r>
      <w:r>
        <w:rPr>
          <w:rStyle w:val="Text0"/>
        </w:rPr>
        <w:t>dict</w:t>
      </w:r>
      <w:r>
        <w:t>s, are implemented with hash tables. All performance characteristics of sets are, in big-O terms, the same as for dictionaries.</w:t>
      </w:r>
    </w:p>
    <w:p>
      <w:pPr>
        <w:pStyle w:val="Normal"/>
      </w:pPr>
      <w:r>
        <w:t xml:space="preserve">Adding or removing an item in a set is </w:t>
      </w:r>
      <w:r>
        <w:rPr>
          <w:rStyle w:val="Text0"/>
        </w:rPr>
        <w:t>O(1)</w:t>
      </w:r>
      <w:r>
        <w:t xml:space="preserve">, as is the operator </w:t>
      </w:r>
      <w:r>
        <w:rPr>
          <w:rStyle w:val="Text5"/>
        </w:rPr>
        <w:t>in</w:t>
      </w:r>
      <w:r>
        <w:t xml:space="preserve">. </w:t>
      </w:r>
      <w:r>
        <w:rPr>
          <w:rStyle w:val="Text0"/>
        </w:rPr>
        <w:t>len(</w:t>
      </w:r>
      <w:r>
        <w:rPr>
          <w:rStyle w:val="Text3"/>
        </w:rPr>
        <w:t>aset</w:t>
      </w:r>
      <w:r>
        <w:rPr>
          <w:rStyle w:val="Text0"/>
        </w:rPr>
        <w:t>)</w:t>
      </w:r>
      <w:r>
        <w:t xml:space="preserve"> is </w:t>
      </w:r>
      <w:r>
        <w:rPr>
          <w:rStyle w:val="Text0"/>
        </w:rPr>
        <w:t>O(1)</w:t>
      </w:r>
      <w:r>
        <w:t xml:space="preserve">. Looping on a set is </w:t>
      </w:r>
      <w:r>
        <w:rPr>
          <w:rStyle w:val="Text0"/>
        </w:rPr>
        <w:t>O(</w:t>
      </w:r>
      <w:r>
        <w:rPr>
          <w:rStyle w:val="Text3"/>
        </w:rPr>
        <w:t>N</w:t>
      </w:r>
      <w:r>
        <w:rPr>
          <w:rStyle w:val="Text0"/>
        </w:rPr>
        <w:t>)</w:t>
      </w:r>
      <w:r>
        <w:t xml:space="preserve">. When the items in a set are instances of classes that define </w:t>
      </w:r>
      <w:r>
        <w:rPr>
          <w:rStyle w:val="Text0"/>
        </w:rPr>
        <w:t>__hash__</w:t>
      </w:r>
      <w:r>
        <w:t xml:space="preserve"> and equality comparison methods, set performance is of course affected by those methods. The performance hints presented in this section hold when hashing and equality comparison on items are </w:t>
      </w:r>
      <w:r>
        <w:rPr>
          <w:rStyle w:val="Text0"/>
        </w:rPr>
        <w:t>O(1)</w:t>
      </w:r>
      <w:r>
        <w:t>.</w:t>
      </w:r>
    </w:p>
    <w:p>
      <w:bookmarkStart w:id="3855" w:name="Summary_of_big_O_times_for_opera"/>
      <w:pPr>
        <w:keepNext/>
        <w:pStyle w:val="Heading 2"/>
      </w:pPr>
      <w:r>
        <w:t>Summary of big-O times for operations on Python built-in types</w:t>
      </w:r>
      <w:bookmarkEnd w:id="3855"/>
    </w:p>
    <w:p>
      <w:pPr>
        <w:pStyle w:val="Normal"/>
      </w:pPr>
      <w:r>
        <w:t>Let</w:t>
      </w:r>
      <w:r>
        <w:rPr>
          <w:rStyle w:val="Text111"/>
        </w:rPr>
        <w:bookmarkStart w:id="3856" w:name="idm45965180760672"/>
        <w:t/>
        <w:bookmarkEnd w:id="3856"/>
      </w:r>
      <w:r>
        <w:t xml:space="preserve"> </w:t>
      </w:r>
      <w:r>
        <w:rPr>
          <w:rStyle w:val="Text3"/>
        </w:rPr>
        <w:t>L</w:t>
      </w:r>
      <w:r>
        <w:t xml:space="preserve"> be any list, </w:t>
      </w:r>
      <w:r>
        <w:rPr>
          <w:rStyle w:val="Text3"/>
        </w:rPr>
        <w:t>T</w:t>
      </w:r>
      <w:r>
        <w:t xml:space="preserve"> any string (</w:t>
      </w:r>
      <w:r>
        <w:rPr>
          <w:rStyle w:val="Text0"/>
        </w:rPr>
        <w:t>str</w:t>
      </w:r>
      <w:r>
        <w:t xml:space="preserve"> or </w:t>
      </w:r>
      <w:r>
        <w:rPr>
          <w:rStyle w:val="Text0"/>
        </w:rPr>
        <w:t>bytes</w:t>
      </w:r>
      <w:r>
        <w:t xml:space="preserve">), </w:t>
      </w:r>
      <w:r>
        <w:rPr>
          <w:rStyle w:val="Text3"/>
        </w:rPr>
        <w:t>D</w:t>
      </w:r>
      <w:r>
        <w:t xml:space="preserve"> any </w:t>
      </w:r>
      <w:r>
        <w:rPr>
          <w:rStyle w:val="Text0"/>
        </w:rPr>
        <w:t>dict</w:t>
      </w:r>
      <w:r>
        <w:t xml:space="preserve">, </w:t>
      </w:r>
      <w:r>
        <w:rPr>
          <w:rStyle w:val="Text3"/>
        </w:rPr>
        <w:t>S</w:t>
      </w:r>
      <w:r>
        <w:t xml:space="preserve"> any </w:t>
      </w:r>
      <w:r>
        <w:rPr>
          <w:rStyle w:val="Text0"/>
        </w:rPr>
        <w:t>set</w:t>
      </w:r>
      <w:r>
        <w:t xml:space="preserve"> (with, say, numbers as items, just for the purpose of ensuring </w:t>
      </w:r>
      <w:r>
        <w:rPr>
          <w:rStyle w:val="Text0"/>
        </w:rPr>
        <w:t>O(1)</w:t>
      </w:r>
      <w:r>
        <w:t xml:space="preserve"> hashing and comparison), and </w:t>
      </w:r>
      <w:r>
        <w:rPr>
          <w:rStyle w:val="Text3"/>
        </w:rPr>
        <w:t>x</w:t>
      </w:r>
      <w:r>
        <w:t xml:space="preserve"> any number (ditto):</w:t>
      </w:r>
    </w:p>
    <w:p>
      <w:pPr>
        <w:pStyle w:val="Para 030"/>
      </w:pPr>
      <w:r>
        <w:t>O(1)</w:t>
      </w:r>
    </w:p>
    <w:p>
      <w:pPr>
        <w:pStyle w:val="Para 016"/>
      </w:pPr>
      <w:r>
        <w:rPr>
          <w:rStyle w:val="Text0"/>
        </w:rPr>
        <w:t>len(</w:t>
      </w:r>
      <w:r>
        <w:rPr>
          <w:rStyle w:val="Text3"/>
        </w:rPr>
        <w:t>L</w:t>
      </w:r>
      <w:r>
        <w:rPr>
          <w:rStyle w:val="Text0"/>
        </w:rPr>
        <w:t>)</w:t>
      </w:r>
      <w:r>
        <w:t xml:space="preserve">, </w:t>
      </w:r>
      <w:r>
        <w:rPr>
          <w:rStyle w:val="Text0"/>
        </w:rPr>
        <w:t>len(T)</w:t>
      </w:r>
      <w:r>
        <w:t xml:space="preserve">, </w:t>
      </w:r>
      <w:r>
        <w:rPr>
          <w:rStyle w:val="Text0"/>
        </w:rPr>
        <w:t>len(</w:t>
      </w:r>
      <w:r>
        <w:rPr>
          <w:rStyle w:val="Text3"/>
        </w:rPr>
        <w:t>D</w:t>
      </w:r>
      <w:r>
        <w:rPr>
          <w:rStyle w:val="Text0"/>
        </w:rPr>
        <w:t>)</w:t>
      </w:r>
      <w:r>
        <w:t xml:space="preserve">, </w:t>
      </w:r>
      <w:r>
        <w:rPr>
          <w:rStyle w:val="Text0"/>
        </w:rPr>
        <w:t>len(S)</w:t>
      </w:r>
      <w:r>
        <w:t xml:space="preserve">, </w:t>
      </w:r>
      <w:r>
        <w:rPr>
          <w:rStyle w:val="Text3"/>
        </w:rPr>
        <w:t>L</w:t>
      </w:r>
      <w:r>
        <w:rPr>
          <w:rStyle w:val="Text0"/>
        </w:rPr>
        <w:t>[i]</w:t>
      </w:r>
      <w:r>
        <w:t xml:space="preserve">, </w:t>
      </w:r>
      <w:r>
        <w:rPr>
          <w:rStyle w:val="Text3"/>
        </w:rPr>
        <w:t>T</w:t>
      </w:r>
      <w:r>
        <w:rPr>
          <w:rStyle w:val="Text0"/>
        </w:rPr>
        <w:t>[i]</w:t>
      </w:r>
      <w:r>
        <w:t xml:space="preserve">, </w:t>
      </w:r>
      <w:r>
        <w:rPr>
          <w:rStyle w:val="Text3"/>
        </w:rPr>
        <w:t>D</w:t>
      </w:r>
      <w:r>
        <w:rPr>
          <w:rStyle w:val="Text0"/>
        </w:rPr>
        <w:t>[i]</w:t>
      </w:r>
      <w:r>
        <w:t xml:space="preserve">, </w:t>
      </w:r>
      <w:r>
        <w:rPr>
          <w:rStyle w:val="Text0"/>
        </w:rPr>
        <w:t>del D[i]</w:t>
      </w:r>
      <w:r>
        <w:t xml:space="preserve">, </w:t>
      </w:r>
      <w:r>
        <w:rPr>
          <w:rStyle w:val="Text5"/>
        </w:rPr>
        <w:t>if</w:t>
      </w:r>
      <w:r>
        <w:t xml:space="preserve"> </w:t>
      </w:r>
      <w:r>
        <w:rPr>
          <w:rStyle w:val="Text3"/>
        </w:rPr>
        <w:t>x</w:t>
      </w:r>
      <w:r>
        <w:t xml:space="preserve"> </w:t>
      </w:r>
      <w:r>
        <w:rPr>
          <w:rStyle w:val="Text5"/>
        </w:rPr>
        <w:t>in</w:t>
      </w:r>
      <w:r>
        <w:t xml:space="preserve"> </w:t>
      </w:r>
      <w:r>
        <w:rPr>
          <w:rStyle w:val="Text0"/>
        </w:rPr>
        <w:t>D</w:t>
      </w:r>
      <w:r>
        <w:t xml:space="preserve">, </w:t>
      </w:r>
      <w:r>
        <w:rPr>
          <w:rStyle w:val="Text5"/>
        </w:rPr>
        <w:t>if</w:t>
      </w:r>
      <w:r>
        <w:t xml:space="preserve"> </w:t>
      </w:r>
      <w:r>
        <w:rPr>
          <w:rStyle w:val="Text3"/>
        </w:rPr>
        <w:t>x</w:t>
      </w:r>
      <w:r>
        <w:t xml:space="preserve"> </w:t>
      </w:r>
      <w:r>
        <w:rPr>
          <w:rStyle w:val="Text5"/>
        </w:rPr>
        <w:t>in</w:t>
      </w:r>
      <w:r>
        <w:t xml:space="preserve"> </w:t>
      </w:r>
      <w:r>
        <w:rPr>
          <w:rStyle w:val="Text3"/>
        </w:rPr>
        <w:t>S</w:t>
      </w:r>
      <w:r>
        <w:t xml:space="preserve">, </w:t>
      </w:r>
      <w:r>
        <w:rPr>
          <w:rStyle w:val="Text3"/>
        </w:rPr>
        <w:t>S</w:t>
      </w:r>
      <w:r>
        <w:rPr>
          <w:rStyle w:val="Text0"/>
        </w:rPr>
        <w:t>.add(</w:t>
      </w:r>
      <w:r>
        <w:rPr>
          <w:rStyle w:val="Text3"/>
        </w:rPr>
        <w:t>x</w:t>
      </w:r>
      <w:r>
        <w:rPr>
          <w:rStyle w:val="Text0"/>
        </w:rPr>
        <w:t>)</w:t>
      </w:r>
      <w:r>
        <w:t xml:space="preserve">, </w:t>
      </w:r>
      <w:r>
        <w:rPr>
          <w:rStyle w:val="Text3"/>
        </w:rPr>
        <w:t>S</w:t>
      </w:r>
      <w:r>
        <w:rPr>
          <w:rStyle w:val="Text0"/>
        </w:rPr>
        <w:t>.remove(</w:t>
      </w:r>
      <w:r>
        <w:rPr>
          <w:rStyle w:val="Text3"/>
        </w:rPr>
        <w:t>x</w:t>
      </w:r>
      <w:r>
        <w:rPr>
          <w:rStyle w:val="Text0"/>
        </w:rPr>
        <w:t>)</w:t>
      </w:r>
      <w:r>
        <w:t xml:space="preserve">, appends or removals to/from the very right end of </w:t>
      </w:r>
      <w:r>
        <w:rPr>
          <w:rStyle w:val="Text3"/>
        </w:rPr>
        <w:t>L</w:t>
      </w:r>
    </w:p>
    <w:p>
      <w:pPr>
        <w:pStyle w:val="Para 030"/>
      </w:pPr>
      <w:r>
        <w:t>O(</w:t>
      </w:r>
      <w:r>
        <w:rPr>
          <w:rStyle w:val="Text12"/>
        </w:rPr>
        <w:t>N</w:t>
      </w:r>
      <w:r>
        <w:t>)</w:t>
      </w:r>
    </w:p>
    <w:p>
      <w:pPr>
        <w:pStyle w:val="Para 016"/>
      </w:pPr>
      <w:r>
        <w:t xml:space="preserve">Loops on </w:t>
      </w:r>
      <w:r>
        <w:rPr>
          <w:rStyle w:val="Text3"/>
        </w:rPr>
        <w:t>L</w:t>
      </w:r>
      <w:r>
        <w:t xml:space="preserve">, </w:t>
      </w:r>
      <w:r>
        <w:rPr>
          <w:rStyle w:val="Text3"/>
        </w:rPr>
        <w:t>T</w:t>
      </w:r>
      <w:r>
        <w:t xml:space="preserve">, </w:t>
      </w:r>
      <w:r>
        <w:rPr>
          <w:rStyle w:val="Text3"/>
        </w:rPr>
        <w:t>D</w:t>
      </w:r>
      <w:r>
        <w:t xml:space="preserve">, </w:t>
      </w:r>
      <w:r>
        <w:rPr>
          <w:rStyle w:val="Text3"/>
        </w:rPr>
        <w:t>S</w:t>
      </w:r>
      <w:r>
        <w:t xml:space="preserve">, general appends or removals to/from </w:t>
      </w:r>
      <w:r>
        <w:rPr>
          <w:rStyle w:val="Text3"/>
        </w:rPr>
        <w:t>L</w:t>
      </w:r>
      <w:r>
        <w:t xml:space="preserve"> (except at the very right end), all methods on </w:t>
      </w:r>
      <w:r>
        <w:rPr>
          <w:rStyle w:val="Text3"/>
        </w:rPr>
        <w:t>T</w:t>
      </w:r>
      <w:r>
        <w:t xml:space="preserve">, </w:t>
      </w:r>
      <w:r>
        <w:rPr>
          <w:rStyle w:val="Text5"/>
        </w:rPr>
        <w:t>if</w:t>
      </w:r>
      <w:r>
        <w:t xml:space="preserve"> </w:t>
      </w:r>
      <w:r>
        <w:rPr>
          <w:rStyle w:val="Text3"/>
        </w:rPr>
        <w:t>x</w:t>
      </w:r>
      <w:r>
        <w:t xml:space="preserve"> </w:t>
      </w:r>
      <w:r>
        <w:rPr>
          <w:rStyle w:val="Text5"/>
        </w:rPr>
        <w:t>in</w:t>
      </w:r>
      <w:r>
        <w:t xml:space="preserve"> </w:t>
      </w:r>
      <w:r>
        <w:rPr>
          <w:rStyle w:val="Text3"/>
        </w:rPr>
        <w:t>L</w:t>
      </w:r>
      <w:r>
        <w:t xml:space="preserve">, </w:t>
      </w:r>
      <w:r>
        <w:rPr>
          <w:rStyle w:val="Text5"/>
        </w:rPr>
        <w:t>if</w:t>
      </w:r>
      <w:r>
        <w:t xml:space="preserve"> </w:t>
      </w:r>
      <w:r>
        <w:rPr>
          <w:rStyle w:val="Text3"/>
        </w:rPr>
        <w:t>x</w:t>
      </w:r>
      <w:r>
        <w:t xml:space="preserve"> </w:t>
      </w:r>
      <w:r>
        <w:rPr>
          <w:rStyle w:val="Text5"/>
        </w:rPr>
        <w:t>in</w:t>
      </w:r>
      <w:r>
        <w:t xml:space="preserve"> </w:t>
      </w:r>
      <w:r>
        <w:rPr>
          <w:rStyle w:val="Text3"/>
        </w:rPr>
        <w:t>T</w:t>
      </w:r>
      <w:r>
        <w:t xml:space="preserve">, most methods on </w:t>
      </w:r>
      <w:r>
        <w:rPr>
          <w:rStyle w:val="Text3"/>
        </w:rPr>
        <w:t>L</w:t>
      </w:r>
      <w:r>
        <w:t>, all shallow copies</w:t>
      </w:r>
    </w:p>
    <w:p>
      <w:pPr>
        <w:pStyle w:val="Para 030"/>
      </w:pPr>
      <w:r>
        <w:t>O(</w:t>
      </w:r>
      <w:r>
        <w:rPr>
          <w:rStyle w:val="Text12"/>
        </w:rPr>
        <w:t xml:space="preserve">N </w:t>
      </w:r>
      <w:r>
        <w:t>log</w:t>
      </w:r>
      <w:r>
        <w:rPr>
          <w:rStyle w:val="Text12"/>
        </w:rPr>
        <w:t xml:space="preserve"> N</w:t>
      </w:r>
      <w:r>
        <w:t>)</w:t>
      </w:r>
    </w:p>
    <w:p>
      <w:pPr>
        <w:pStyle w:val="Para 016"/>
      </w:pPr>
      <w:r>
        <w:rPr>
          <w:rStyle w:val="Text3"/>
        </w:rPr>
        <w:t>L</w:t>
      </w:r>
      <w:r>
        <w:rPr>
          <w:rStyle w:val="Text0"/>
        </w:rPr>
        <w:t>.sort()</w:t>
      </w:r>
      <w:r>
        <w:t xml:space="preserve">, mostly (but </w:t>
      </w:r>
      <w:r>
        <w:rPr>
          <w:rStyle w:val="Text0"/>
        </w:rPr>
        <w:t>O(</w:t>
      </w:r>
      <w:r>
        <w:rPr>
          <w:rStyle w:val="Text3"/>
        </w:rPr>
        <w:t>N</w:t>
      </w:r>
      <w:r>
        <w:rPr>
          <w:rStyle w:val="Text0"/>
        </w:rPr>
        <w:t>)</w:t>
      </w:r>
      <w:r>
        <w:t xml:space="preserve"> if </w:t>
      </w:r>
      <w:r>
        <w:rPr>
          <w:rStyle w:val="Text3"/>
        </w:rPr>
        <w:t>L</w:t>
      </w:r>
      <w:r>
        <w:t xml:space="preserve"> is already nearly sorted or reverse sorted)</w:t>
      </w:r>
      <w:r>
        <w:rPr>
          <w:rStyle w:val="Text115"/>
        </w:rPr>
        <w:bookmarkStart w:id="3857" w:name="idm45965180708288"/>
        <w:t/>
        <w:bookmarkEnd w:id="3857"/>
        <w:bookmarkStart w:id="3858" w:name="idm45965180706944"/>
        <w:t/>
        <w:bookmarkEnd w:id="3858"/>
        <w:bookmarkStart w:id="3859" w:name="idm45965180705568"/>
        <w:t/>
        <w:bookmarkEnd w:id="3859"/>
      </w:r>
    </w:p>
    <w:p>
      <w:bookmarkStart w:id="3860" w:name="Profiling__As_mentioned_at_the_s"/>
      <w:pPr>
        <w:keepNext/>
        <w:pStyle w:val="Heading 2"/>
      </w:pPr>
      <w:r>
        <w:t>Profiling</w:t>
      </w:r>
      <w:bookmarkEnd w:id="3860"/>
    </w:p>
    <w:p>
      <w:pPr>
        <w:pStyle w:val="Normal"/>
      </w:pPr>
      <w:r>
        <w:t>As</w:t>
      </w:r>
      <w:r>
        <w:rPr>
          <w:rStyle w:val="Text111"/>
        </w:rPr>
        <w:bookmarkStart w:id="3861" w:name="Oprofile17"/>
        <w:t/>
        <w:bookmarkEnd w:id="3861"/>
        <w:bookmarkStart w:id="3862" w:name="prof17"/>
        <w:t/>
        <w:bookmarkEnd w:id="3862"/>
      </w:r>
      <w:r>
        <w:t xml:space="preserve"> mentioned at the start of this section, most programs have </w:t>
      </w:r>
      <w:r>
        <w:rPr>
          <w:rStyle w:val="Text4"/>
        </w:rPr>
        <w:t>hot spots</w:t>
      </w:r>
      <w:r>
        <w:t xml:space="preserve">: relatively small regions of source code that account for most of the time elapsed during a program run. Don’t try to guess where your program’s hot spots are: a programmer’s intuition is notoriously unreliable in this field. Instead, use the Python standard library module </w:t>
      </w:r>
      <w:r>
        <w:rPr>
          <w:rStyle w:val="Text0"/>
        </w:rPr>
        <w:t>profile</w:t>
      </w:r>
      <w:r>
        <w:t xml:space="preserve"> to collect profile data over one or more runs of your program, with known inputs. Then use the module </w:t>
      </w:r>
      <w:r>
        <w:rPr>
          <w:rStyle w:val="Text0"/>
        </w:rPr>
        <w:t>pstats</w:t>
      </w:r>
      <w:r>
        <w:t xml:space="preserve"> to collate, interpret, and display that profile data.</w:t>
      </w:r>
    </w:p>
    <w:p>
      <w:pPr>
        <w:pStyle w:val="Normal"/>
      </w:pPr>
      <w:r>
        <w:t xml:space="preserve">To gain accuracy, you can calibrate the Python profiler for your machine (i.e., determine what overhead profiling incurs on that machine). The </w:t>
      </w:r>
      <w:r>
        <w:rPr>
          <w:rStyle w:val="Text0"/>
        </w:rPr>
        <w:t>profile</w:t>
      </w:r>
      <w:r>
        <w:t xml:space="preserve"> module can then subtract this overhead from the times it measures, making profile data you collect closer to reality. The standard library module</w:t>
      </w:r>
      <w:r>
        <w:rPr>
          <w:rStyle w:val="Text111"/>
        </w:rPr>
        <w:bookmarkStart w:id="3863" w:name="idm45965180696064"/>
        <w:t/>
        <w:bookmarkEnd w:id="3863"/>
      </w:r>
      <w:r>
        <w:t xml:space="preserve"> </w:t>
      </w:r>
      <w:r>
        <w:rPr>
          <w:rStyle w:val="Text0"/>
        </w:rPr>
        <w:t>cProfile</w:t>
      </w:r>
      <w:r>
        <w:t xml:space="preserve"> has similar functionality to </w:t>
      </w:r>
      <w:r>
        <w:rPr>
          <w:rStyle w:val="Text0"/>
        </w:rPr>
        <w:t>profile</w:t>
      </w:r>
      <w:r>
        <w:t xml:space="preserve">; </w:t>
      </w:r>
      <w:r>
        <w:rPr>
          <w:rStyle w:val="Text0"/>
        </w:rPr>
        <w:t>cProfile</w:t>
      </w:r>
      <w:r>
        <w:t xml:space="preserve"> is preferable, since it’s faster, which means it imposes less overhead.</w:t>
      </w:r>
    </w:p>
    <w:p>
      <w:pPr>
        <w:pStyle w:val="Normal"/>
      </w:pPr>
      <w:r>
        <w:t xml:space="preserve">There are also many third-party profiling tools worth considering, such as </w:t>
      </w:r>
      <w:hyperlink r:id="rId508">
        <w:r>
          <w:rPr>
            <w:rStyle w:val="Text1"/>
          </w:rPr>
          <w:t>pyinstrument</w:t>
        </w:r>
      </w:hyperlink>
      <w:r>
        <w:t xml:space="preserve"> and </w:t>
      </w:r>
      <w:hyperlink r:id="rId509">
        <w:r>
          <w:rPr>
            <w:rStyle w:val="Text1"/>
          </w:rPr>
          <w:t>Eliot</w:t>
        </w:r>
      </w:hyperlink>
      <w:r>
        <w:t xml:space="preserve">; an </w:t>
      </w:r>
      <w:hyperlink r:id="rId510">
        <w:r>
          <w:rPr>
            <w:rStyle w:val="Text1"/>
          </w:rPr>
          <w:t>excellent article</w:t>
        </w:r>
      </w:hyperlink>
      <w:r>
        <w:t xml:space="preserve"> by Itamar Turner-Trauring explains the basics and advantages of each of these tools.</w:t>
      </w:r>
    </w:p>
    <w:p>
      <w:bookmarkStart w:id="3864" w:name="The_profile_module__The_profile"/>
      <w:pPr>
        <w:keepNext/>
        <w:pStyle w:val="Heading 2"/>
      </w:pPr>
      <w:r>
        <w:t>The profile module</w:t>
      </w:r>
      <w:bookmarkEnd w:id="3864"/>
    </w:p>
    <w:p>
      <w:pPr>
        <w:pStyle w:val="Normal"/>
      </w:pPr>
      <w:r>
        <w:t>The</w:t>
      </w:r>
      <w:r>
        <w:rPr>
          <w:rStyle w:val="Text111"/>
        </w:rPr>
        <w:bookmarkStart w:id="3865" w:name="idm45965180688560"/>
        <w:t/>
        <w:bookmarkEnd w:id="3865"/>
        <w:bookmarkStart w:id="3866" w:name="idm45965180687424"/>
        <w:t/>
        <w:bookmarkEnd w:id="3866"/>
      </w:r>
      <w:r>
        <w:t xml:space="preserve"> </w:t>
      </w:r>
      <w:r>
        <w:rPr>
          <w:rStyle w:val="Text0"/>
        </w:rPr>
        <w:t>profile</w:t>
      </w:r>
      <w:r>
        <w:t xml:space="preserve"> module supplies one often-used function:</w:t>
      </w:r>
    </w:p>
    <w:tbl>
      <w:tblPr>
        <w:tblW w:type="auto" w:w="0"/>
      </w:tblPr>
      <w:tr>
        <w:tc>
          <w:tcPr>
            <w:tcW w:type="auto" w:w="0"/>
            <w:tcMar>
              <w:left w:type="dxa" w:w="200"/>
              <w:top w:type="dxa" w:w="200"/>
              <w:right w:type="dxa" w:w="200"/>
              <w:bottom w:type="dxa" w:w="200"/>
            </w:tcMar>
          </w:tcPr>
          <w:p>
            <w:pPr>
              <w:pStyle w:val="Para 119"/>
            </w:pPr>
            <w:r>
              <w:t/>
            </w:r>
          </w:p>
          <w:p>
            <w:pPr>
              <w:pStyle w:val="Para 001"/>
            </w:pPr>
            <w:r>
              <w:t>run</w:t>
            </w:r>
          </w:p>
        </w:tc>
        <w:tc>
          <w:tcPr>
            <w:tcW w:type="auto" w:w="0"/>
            <w:tcMar>
              <w:left w:type="dxa" w:w="200"/>
              <w:top w:type="dxa" w:w="200"/>
              <w:right w:type="dxa" w:w="200"/>
              <w:bottom w:type="dxa" w:w="200"/>
            </w:tcMar>
          </w:tcPr>
          <w:p>
            <w:pPr>
              <w:pStyle w:val="Para 002"/>
            </w:pPr>
            <w:r>
              <w:rPr>
                <w:rStyle w:val="Text0"/>
              </w:rPr>
              <w:t>run(</w:t>
            </w:r>
            <w:r>
              <w:rPr>
                <w:rStyle w:val="Text3"/>
              </w:rPr>
              <w:t>code</w:t>
            </w:r>
            <w:r>
              <w:rPr>
                <w:rStyle w:val="Text0"/>
              </w:rPr>
              <w:t>, filename=</w:t>
            </w:r>
            <w:r>
              <w:rPr>
                <w:rStyle w:val="Text5"/>
              </w:rPr>
              <w:t>None</w:t>
            </w:r>
            <w:r>
              <w:rPr>
                <w:rStyle w:val="Text0"/>
              </w:rPr>
              <w:t>)</w:t>
              <w:br w:clear="none"/>
            </w:r>
            <w:r>
              <w:t xml:space="preserve"> </w:t>
            </w:r>
            <w:r>
              <w:rPr>
                <w:rStyle w:val="Text3"/>
              </w:rPr>
              <w:t>code</w:t>
            </w:r>
            <w:r>
              <w:t xml:space="preserve"> is a string that is usable with </w:t>
            </w:r>
            <w:r>
              <w:rPr>
                <w:rStyle w:val="Text0"/>
              </w:rPr>
              <w:t>exec</w:t>
            </w:r>
            <w:r>
              <w:t xml:space="preserve">, normally a call to the main function of the program you’re profiling. </w:t>
            </w:r>
            <w:r>
              <w:rPr>
                <w:rStyle w:val="Text0"/>
              </w:rPr>
              <w:t>filename</w:t>
            </w:r>
            <w:r>
              <w:t xml:space="preserve"> is the path of a file that </w:t>
            </w:r>
            <w:r>
              <w:rPr>
                <w:rStyle w:val="Text0"/>
              </w:rPr>
              <w:t>run</w:t>
            </w:r>
            <w:r>
              <w:t xml:space="preserve"> creates or rewrites with profile data. Usually, you call </w:t>
            </w:r>
            <w:r>
              <w:rPr>
                <w:rStyle w:val="Text0"/>
              </w:rPr>
              <w:t>run</w:t>
            </w:r>
            <w:r>
              <w:t xml:space="preserve"> a few times, specifying different filenames and different arguments to your program’s main function, in order to exercise various program parts in proportion to your expectations about their use “in real life.” Then, you use the </w:t>
            </w:r>
            <w:r>
              <w:rPr>
                <w:rStyle w:val="Text0"/>
              </w:rPr>
              <w:t>pstats</w:t>
            </w:r>
            <w:r>
              <w:t xml:space="preserve"> module to display collated results across the various runs.</w:t>
              <w:br w:clear="none"/>
              <w:t xml:space="preserve"> You may call </w:t>
            </w:r>
            <w:r>
              <w:rPr>
                <w:rStyle w:val="Text0"/>
              </w:rPr>
              <w:t>run</w:t>
            </w:r>
            <w:r>
              <w:t xml:space="preserve"> without a </w:t>
            </w:r>
            <w:r>
              <w:rPr>
                <w:rStyle w:val="Text0"/>
              </w:rPr>
              <w:t>filename</w:t>
            </w:r>
            <w:r>
              <w:t xml:space="preserve"> to get a summary report, similar to the one the </w:t>
            </w:r>
            <w:r>
              <w:rPr>
                <w:rStyle w:val="Text0"/>
              </w:rPr>
              <w:t>pstats</w:t>
            </w:r>
            <w:r>
              <w:t xml:space="preserve"> module provides, on standard output. However, this approach gives you no control over the output format, nor any way to consolidate several runs into one report. In practice, you should rarely use this feature: it’s best to collect profile data into files, then use </w:t>
            </w:r>
            <w:r>
              <w:rPr>
                <w:rStyle w:val="Text0"/>
              </w:rPr>
              <w:t>pstats</w:t>
            </w:r>
            <w:r>
              <w:t>.</w:t>
              <w:br w:clear="none"/>
              <w:t xml:space="preserve"> The </w:t>
            </w:r>
            <w:r>
              <w:rPr>
                <w:rStyle w:val="Text0"/>
              </w:rPr>
              <w:t>profile</w:t>
            </w:r>
            <w:r>
              <w:t xml:space="preserve"> module also supplies the class </w:t>
            </w:r>
            <w:r>
              <w:rPr>
                <w:rStyle w:val="Text0"/>
              </w:rPr>
              <w:t>Profile</w:t>
            </w:r>
            <w:r>
              <w:t xml:space="preserve"> (discussed briefly in the next section). By instantiating </w:t>
            </w:r>
            <w:r>
              <w:rPr>
                <w:rStyle w:val="Text0"/>
              </w:rPr>
              <w:t>Profile</w:t>
            </w:r>
            <w:r>
              <w:t xml:space="preserve"> directly, you can access advanced functionality, such as the ability to run a command in specified local and global dictionaries. We do not cover such advanced functionality of the class </w:t>
            </w:r>
            <w:r>
              <w:rPr>
                <w:rStyle w:val="Text0"/>
              </w:rPr>
              <w:t>profile.Profile</w:t>
            </w:r>
            <w:r>
              <w:t xml:space="preserve"> further in this book.</w:t>
            </w:r>
          </w:p>
        </w:tc>
      </w:tr>
    </w:tbl>
    <w:p>
      <w:bookmarkStart w:id="3867" w:name="Calibration__To_calibrate_profil"/>
      <w:pPr>
        <w:keepNext/>
        <w:pStyle w:val="Heading 2"/>
      </w:pPr>
      <w:r>
        <w:t>Calibration</w:t>
      </w:r>
      <w:bookmarkEnd w:id="3867"/>
    </w:p>
    <w:p>
      <w:pPr>
        <w:pStyle w:val="Normal"/>
      </w:pPr>
      <w:r>
        <w:t xml:space="preserve">To calibrate </w:t>
      </w:r>
      <w:r>
        <w:rPr>
          <w:rStyle w:val="Text0"/>
        </w:rPr>
        <w:t>profile</w:t>
      </w:r>
      <w:r>
        <w:t xml:space="preserve"> for your machine, use the class </w:t>
      </w:r>
      <w:r>
        <w:rPr>
          <w:rStyle w:val="Text0"/>
        </w:rPr>
        <w:t>Profile</w:t>
      </w:r>
      <w:r>
        <w:t xml:space="preserve">, which </w:t>
      </w:r>
      <w:r>
        <w:rPr>
          <w:rStyle w:val="Text0"/>
        </w:rPr>
        <w:t>profile</w:t>
      </w:r>
      <w:r>
        <w:t xml:space="preserve"> supplies and internally uses in the function </w:t>
      </w:r>
      <w:r>
        <w:rPr>
          <w:rStyle w:val="Text0"/>
        </w:rPr>
        <w:t>run</w:t>
      </w:r>
      <w:r>
        <w:t xml:space="preserve">. An instance </w:t>
      </w:r>
      <w:r>
        <w:rPr>
          <w:rStyle w:val="Text3"/>
        </w:rPr>
        <w:t>p</w:t>
      </w:r>
      <w:r>
        <w:t xml:space="preserve"> of </w:t>
      </w:r>
      <w:r>
        <w:rPr>
          <w:rStyle w:val="Text0"/>
        </w:rPr>
        <w:t>Profile</w:t>
      </w:r>
      <w:r>
        <w:t xml:space="preserve"> supplies one method you use for calibration:</w:t>
      </w:r>
    </w:p>
    <w:tbl>
      <w:tblPr>
        <w:tblW w:type="auto" w:w="0"/>
      </w:tblPr>
      <w:tr>
        <w:tc>
          <w:tcPr>
            <w:tcW w:type="auto" w:w="0"/>
            <w:tcMar>
              <w:left w:type="dxa" w:w="200"/>
              <w:top w:type="dxa" w:w="200"/>
              <w:right w:type="dxa" w:w="200"/>
              <w:bottom w:type="dxa" w:w="200"/>
            </w:tcMar>
          </w:tcPr>
          <w:p>
            <w:pPr>
              <w:pStyle w:val="Para 119"/>
            </w:pPr>
            <w:r>
              <w:t/>
            </w:r>
          </w:p>
          <w:p>
            <w:pPr>
              <w:pStyle w:val="Para 001"/>
            </w:pPr>
            <w:r>
              <w:t>calibrate</w:t>
            </w:r>
          </w:p>
        </w:tc>
        <w:tc>
          <w:tcPr>
            <w:tcW w:type="auto" w:w="0"/>
            <w:tcMar>
              <w:left w:type="dxa" w:w="200"/>
              <w:top w:type="dxa" w:w="200"/>
              <w:right w:type="dxa" w:w="200"/>
              <w:bottom w:type="dxa" w:w="200"/>
            </w:tcMar>
          </w:tcPr>
          <w:p>
            <w:pPr>
              <w:pStyle w:val="Para 002"/>
            </w:pPr>
            <w:r>
              <w:rPr>
                <w:rStyle w:val="Text3"/>
              </w:rPr>
              <w:t>p</w:t>
            </w:r>
            <w:r>
              <w:rPr>
                <w:rStyle w:val="Text0"/>
              </w:rPr>
              <w:t>.calibrate(</w:t>
            </w:r>
            <w:r>
              <w:rPr>
                <w:rStyle w:val="Text3"/>
              </w:rPr>
              <w:t>N</w:t>
            </w:r>
            <w:r>
              <w:rPr>
                <w:rStyle w:val="Text0"/>
              </w:rPr>
              <w:t>)</w:t>
              <w:br w:clear="none"/>
            </w:r>
            <w:r>
              <w:t xml:space="preserve"> Loops </w:t>
            </w:r>
            <w:r>
              <w:rPr>
                <w:rStyle w:val="Text3"/>
              </w:rPr>
              <w:t>N</w:t>
            </w:r>
            <w:r>
              <w:t xml:space="preserve"> times, then returns a number that is the profiling overhead per call on your machine. </w:t>
            </w:r>
            <w:r>
              <w:rPr>
                <w:rStyle w:val="Text3"/>
              </w:rPr>
              <w:t>N</w:t>
            </w:r>
            <w:r>
              <w:t xml:space="preserve"> must be large if your machine is fast. Call </w:t>
            </w:r>
            <w:r>
              <w:rPr>
                <w:rStyle w:val="Text3"/>
              </w:rPr>
              <w:t>p</w:t>
            </w:r>
            <w:r>
              <w:rPr>
                <w:rStyle w:val="Text0"/>
              </w:rPr>
              <w:t>.calibrate(10000)</w:t>
            </w:r>
            <w:r>
              <w:t xml:space="preserve"> a few times and check that the various numbers it returns are close to each other, then pick the smallest one of them. If the numbers vary a lot, try again with a larger value of </w:t>
            </w:r>
            <w:r>
              <w:rPr>
                <w:rStyle w:val="Text3"/>
              </w:rPr>
              <w:t>N</w:t>
            </w:r>
            <w:r>
              <w:t>.</w:t>
              <w:br w:clear="none"/>
              <w:t xml:space="preserve"> The calibration procedure can be time-consuming. However, you need to perform it only once, repeating it only when you make changes that could alter your machine’s characteristics, such as applying patches to your operating system, adding memory, or changing your Python version. Once you know your machine’s overhead, you can tell </w:t>
            </w:r>
            <w:r>
              <w:rPr>
                <w:rStyle w:val="Text0"/>
              </w:rPr>
              <w:t>profile</w:t>
            </w:r>
            <w:r>
              <w:t xml:space="preserve"> about it each time you import it, right before using </w:t>
            </w:r>
            <w:r>
              <w:rPr>
                <w:rStyle w:val="Text0"/>
              </w:rPr>
              <w:t>profile.run</w:t>
            </w:r>
            <w:r>
              <w:t xml:space="preserve">. The simplest way to do this is as follows: </w:t>
            </w:r>
          </w:p>
          <w:p>
            <w:pPr>
              <w:pStyle w:val="Para 025"/>
            </w:pPr>
            <w:r>
              <w:rPr>
                <w:rStyle w:val="Text23"/>
              </w:rPr>
              <w:t xml:space="preserve"/>
              <w:br w:clear="none"/>
            </w:r>
            <w:r>
              <w:rPr>
                <w:rStyle w:val="Text10"/>
              </w:rPr>
              <w:t xml:space="preserve">import</w:t>
              <w:br w:clear="none"/>
            </w:r>
            <w:r>
              <w:rPr>
                <w:rStyle w:val="Text6"/>
              </w:rPr>
              <w:t xml:space="preserve"> </w:t>
              <w:br w:clear="none"/>
            </w:r>
            <w:r>
              <w:rPr>
                <w:rStyle w:val="Text20"/>
              </w:rPr>
              <w:t xml:space="preserve">profile</w:t>
              <w:br w:clear="none"/>
            </w:r>
            <w:r>
              <w:rPr>
                <w:rStyle w:val="Text6"/>
              </w:rPr>
              <w:t xml:space="preserve"/>
              <w:br w:clear="none"/>
            </w:r>
            <w:r>
              <w:t xml:space="preserve">profile</w:t>
              <w:br w:clear="none"/>
            </w:r>
            <w:r>
              <w:rPr>
                <w:rStyle w:val="Text13"/>
              </w:rPr>
              <w:t xml:space="preserve">.</w:t>
              <w:br w:clear="none"/>
            </w:r>
            <w:r>
              <w:t xml:space="preserve">Profile</w:t>
              <w:br w:clear="none"/>
            </w:r>
            <w:r>
              <w:rPr>
                <w:rStyle w:val="Text13"/>
              </w:rPr>
              <w:t xml:space="preserve">.</w:t>
              <w:br w:clear="none"/>
            </w:r>
            <w:r>
              <w:t xml:space="preserve">bias</w:t>
              <w:br w:clear="none"/>
            </w:r>
            <w:r>
              <w:rPr>
                <w:rStyle w:val="Text6"/>
              </w:rPr>
              <w:t xml:space="preserve"> </w:t>
              <w:br w:clear="none"/>
            </w:r>
            <w:r>
              <w:rPr>
                <w:rStyle w:val="Text13"/>
              </w:rPr>
              <w:t xml:space="preserve">=</w:t>
              <w:br w:clear="none"/>
            </w:r>
            <w:r>
              <w:rPr>
                <w:rStyle w:val="Text6"/>
              </w:rPr>
              <w:t xml:space="preserve"> </w:t>
              <w:br w:clear="none"/>
            </w:r>
            <w:r>
              <w:rPr>
                <w:rStyle w:val="Text28"/>
              </w:rPr>
              <w:t xml:space="preserve">.</w:t>
              <w:br w:clear="none"/>
              <w:t xml:space="preserve">.</w:t>
              <w:br w:clear="none"/>
              <w:t xml:space="preserve">.</w:t>
              <w:br w:clear="none"/>
            </w:r>
            <w:r>
              <w:rPr>
                <w:rStyle w:val="Text4"/>
              </w:rPr>
              <w:t xml:space="preserve">the</w:t>
              <w:br w:clear="none"/>
            </w:r>
            <w:r>
              <w:rPr>
                <w:rStyle w:val="Text11"/>
              </w:rPr>
              <w:t xml:space="preserve"> </w:t>
              <w:br w:clear="none"/>
            </w:r>
            <w:r>
              <w:rPr>
                <w:rStyle w:val="Text4"/>
              </w:rPr>
              <w:t xml:space="preserve">overhead</w:t>
              <w:br w:clear="none"/>
            </w:r>
            <w:r>
              <w:rPr>
                <w:rStyle w:val="Text11"/>
              </w:rPr>
              <w:t xml:space="preserve"> </w:t>
              <w:br w:clear="none"/>
            </w:r>
            <w:r>
              <w:rPr>
                <w:rStyle w:val="Text4"/>
              </w:rPr>
              <w:t xml:space="preserve">you</w:t>
              <w:br w:clear="none"/>
            </w:r>
            <w:r>
              <w:rPr>
                <w:rStyle w:val="Text11"/>
              </w:rPr>
              <w:t xml:space="preserve"> </w:t>
              <w:br w:clear="none"/>
            </w:r>
            <w:r>
              <w:rPr>
                <w:rStyle w:val="Text4"/>
              </w:rPr>
              <w:t xml:space="preserve">measured</w:t>
              <w:br w:clear="none"/>
            </w:r>
            <w:r>
              <w:rPr>
                <w:rStyle w:val="Text28"/>
              </w:rPr>
              <w:t xml:space="preserve">.</w:t>
              <w:br w:clear="none"/>
              <w:t xml:space="preserve">.</w:t>
              <w:br w:clear="none"/>
              <w:t xml:space="preserve">.</w:t>
              <w:br w:clear="none"/>
            </w:r>
            <w:r>
              <w:rPr>
                <w:rStyle w:val="Text6"/>
              </w:rPr>
              <w:t xml:space="preserve"/>
              <w:br w:clear="none"/>
            </w:r>
            <w:r>
              <w:t xml:space="preserve">profile</w:t>
              <w:br w:clear="none"/>
            </w:r>
            <w:r>
              <w:rPr>
                <w:rStyle w:val="Text13"/>
              </w:rPr>
              <w:t xml:space="preserve">.</w:t>
              <w:br w:clear="none"/>
            </w:r>
            <w:r>
              <w:t xml:space="preserve">run</w:t>
              <w:br w:clear="none"/>
            </w:r>
            <w:r>
              <w:rPr>
                <w:rStyle w:val="Text7"/>
              </w:rPr>
              <w:t xml:space="preserve">(</w:t>
              <w:br w:clear="none"/>
            </w:r>
            <w:r>
              <w:rPr>
                <w:rStyle w:val="Text8"/>
              </w:rPr>
              <w:t xml:space="preserve">'</w:t>
              <w:br w:clear="none"/>
              <w:t xml:space="preserve">main()</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somefile</w:t>
              <w:br w:clear="none"/>
              <w:t xml:space="preserve">'</w:t>
              <w:br w:clear="none"/>
            </w:r>
            <w:r>
              <w:rPr>
                <w:rStyle w:val="Text7"/>
              </w:rPr>
              <w:t xml:space="preserve">)</w:t>
              <w:br w:clear="none"/>
            </w:r>
          </w:p>
        </w:tc>
      </w:tr>
    </w:tbl>
    <w:p>
      <w:bookmarkStart w:id="3868" w:name="The_pstats_module__The_pstats_mo"/>
      <w:pPr>
        <w:keepNext/>
        <w:pStyle w:val="Heading 2"/>
      </w:pPr>
      <w:r>
        <w:t>The pstats module</w:t>
      </w:r>
      <w:bookmarkEnd w:id="3868"/>
    </w:p>
    <w:p>
      <w:pPr>
        <w:pStyle w:val="Normal"/>
      </w:pPr>
      <w:r>
        <w:t>The</w:t>
      </w:r>
      <w:r>
        <w:rPr>
          <w:rStyle w:val="Text111"/>
        </w:rPr>
        <w:bookmarkStart w:id="3869" w:name="pstatmod17"/>
        <w:t/>
        <w:bookmarkEnd w:id="3869"/>
        <w:bookmarkStart w:id="3870" w:name="idm45965180616592"/>
        <w:t/>
        <w:bookmarkEnd w:id="3870"/>
      </w:r>
      <w:r>
        <w:t xml:space="preserve"> </w:t>
      </w:r>
      <w:r>
        <w:rPr>
          <w:rStyle w:val="Text0"/>
        </w:rPr>
        <w:t>pstats</w:t>
      </w:r>
      <w:r>
        <w:t xml:space="preserve"> module supplies a single class, </w:t>
      </w:r>
      <w:r>
        <w:rPr>
          <w:rStyle w:val="Text0"/>
        </w:rPr>
        <w:t>Stats</w:t>
      </w:r>
      <w:r>
        <w:t xml:space="preserve">, to analyze, consolidate, and report on the profile data contained in one or more files written by the function </w:t>
      </w:r>
      <w:r>
        <w:rPr>
          <w:rStyle w:val="Text0"/>
        </w:rPr>
        <w:t>profile.run</w:t>
      </w:r>
      <w:r>
        <w:t>. Its constructor has the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Stats</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Stats(</w:t>
            </w:r>
            <w:r>
              <w:rPr>
                <w:rStyle w:val="Text3"/>
              </w:rPr>
              <w:t>filename</w:t>
            </w:r>
            <w:r>
              <w:rPr>
                <w:rStyle w:val="Text0"/>
              </w:rPr>
              <w:t>, *</w:t>
            </w:r>
            <w:r>
              <w:rPr>
                <w:rStyle w:val="Text3"/>
              </w:rPr>
              <w:t>filenames</w:t>
            </w:r>
            <w:r>
              <w:rPr>
                <w:rStyle w:val="Text0"/>
              </w:rPr>
              <w:t>, stream</w:t>
            </w:r>
            <w:r>
              <w:rPr>
                <w:rStyle w:val="Text3"/>
              </w:rPr>
              <w:t>=sys.stdout</w:t>
            </w:r>
            <w:r>
              <w:rPr>
                <w:rStyle w:val="Text0"/>
              </w:rPr>
              <w:t>)</w:t>
              <w:br w:clear="none"/>
            </w:r>
            <w:r>
              <w:t xml:space="preserve"> Instantiates </w:t>
            </w:r>
            <w:r>
              <w:rPr>
                <w:rStyle w:val="Text0"/>
              </w:rPr>
              <w:t>Stats</w:t>
            </w:r>
            <w:r>
              <w:t xml:space="preserve"> with one or more filenames of files of profile data written by the function </w:t>
            </w:r>
            <w:r>
              <w:rPr>
                <w:rStyle w:val="Text0"/>
              </w:rPr>
              <w:t>profile.run</w:t>
            </w:r>
            <w:r>
              <w:t xml:space="preserve">, with profiling output sent to </w:t>
            </w:r>
            <w:r>
              <w:rPr>
                <w:rStyle w:val="Text0"/>
              </w:rPr>
              <w:t>stream</w:t>
            </w:r>
            <w:r>
              <w:t>.</w:t>
            </w:r>
          </w:p>
        </w:tc>
      </w:tr>
    </w:tbl>
    <w:p>
      <w:pPr>
        <w:pStyle w:val="Normal"/>
      </w:pPr>
      <w:r>
        <w:t xml:space="preserve">An instance </w:t>
      </w:r>
      <w:r>
        <w:rPr>
          <w:rStyle w:val="Text3"/>
        </w:rPr>
        <w:t>s</w:t>
      </w:r>
      <w:r>
        <w:t xml:space="preserve"> of the class </w:t>
      </w:r>
      <w:r>
        <w:rPr>
          <w:rStyle w:val="Text0"/>
        </w:rPr>
        <w:t>Stats</w:t>
      </w:r>
      <w:r>
        <w:t xml:space="preserve"> provides methods to add profile data and sort and output results. Each method returns </w:t>
      </w:r>
      <w:r>
        <w:rPr>
          <w:rStyle w:val="Text3"/>
        </w:rPr>
        <w:t>s</w:t>
      </w:r>
      <w:r>
        <w:t xml:space="preserve">, so you can chain many calls in the same expression. </w:t>
      </w:r>
      <w:r>
        <w:rPr>
          <w:rStyle w:val="Text3"/>
        </w:rPr>
        <w:t>s</w:t>
      </w:r>
      <w:r>
        <w:t xml:space="preserve">’s main methods are listed in </w:t>
      </w:r>
      <w:hyperlink w:anchor="Table_17_8__Methods_of_an_instan">
        <w:r>
          <w:rPr>
            <w:rStyle w:val="Text1"/>
          </w:rPr>
          <w:t>Table 17-8</w:t>
        </w:r>
      </w:hyperlink>
      <w:r>
        <w:t>.</w:t>
      </w:r>
    </w:p>
    <w:tbl>
      <w:tblPr>
        <w:tblW w:type="auto" w:w="0"/>
      </w:tblPr>
      <w:tr>
        <w:tc>
          <w:tcPr>
            <w:tcW w:type="auto" w:w="0"/>
            <w:tcMar>
              <w:left w:type="dxa" w:w="200"/>
              <w:top w:type="dxa" w:w="200"/>
              <w:right w:type="dxa" w:w="200"/>
              <w:bottom w:type="dxa" w:w="200"/>
            </w:tcMar>
          </w:tcPr>
          <w:p>
            <w:bookmarkStart w:id="3871" w:name="Table_17_8__Methods_of_an_instan"/>
            <w:pPr>
              <w:pStyle w:val="Para 074"/>
            </w:pPr>
            <w:r>
              <w:rPr>
                <w:rStyle w:val="Text123"/>
              </w:rPr>
              <w:t/>
            </w:r>
            <w:r>
              <w:rPr>
                <w:rStyle w:val="Text4"/>
              </w:rPr>
              <w:t xml:space="preserve">Table 17-8. </w:t>
            </w:r>
            <w:r>
              <w:t xml:space="preserve">Methods of an instance </w:t>
            </w:r>
            <w:r>
              <w:rPr>
                <w:rStyle w:val="Text71"/>
              </w:rPr>
              <w:t>s</w:t>
            </w:r>
            <w:r>
              <w:t xml:space="preserve"> of class </w:t>
            </w:r>
            <w:r>
              <w:rPr>
                <w:rStyle w:val="Text71"/>
              </w:rPr>
              <w:t>Stats</w:t>
            </w:r>
            <w:bookmarkEnd w:id="3871"/>
          </w:p>
          <w:p>
            <w:pPr>
              <w:pStyle w:val="Para 001"/>
            </w:pPr>
            <w:r>
              <w:t>add</w:t>
            </w:r>
          </w:p>
        </w:tc>
        <w:tc>
          <w:tcPr>
            <w:tcW w:type="auto" w:w="0"/>
            <w:tcMar>
              <w:left w:type="dxa" w:w="200"/>
              <w:top w:type="dxa" w:w="200"/>
              <w:right w:type="dxa" w:w="200"/>
              <w:bottom w:type="dxa" w:w="200"/>
            </w:tcMar>
          </w:tcPr>
          <w:p>
            <w:pPr>
              <w:pStyle w:val="Para 002"/>
            </w:pPr>
            <w:r>
              <w:rPr>
                <w:rStyle w:val="Text0"/>
              </w:rPr>
              <w:t>add(</w:t>
            </w:r>
            <w:r>
              <w:rPr>
                <w:rStyle w:val="Text3"/>
              </w:rPr>
              <w:t>filename</w:t>
            </w:r>
            <w:r>
              <w:rPr>
                <w:rStyle w:val="Text0"/>
              </w:rPr>
              <w:t>)</w:t>
              <w:br w:clear="none"/>
            </w:r>
            <w:r>
              <w:t xml:space="preserve"> Adds another file of profile data to the set that </w:t>
            </w:r>
            <w:r>
              <w:rPr>
                <w:rStyle w:val="Text3"/>
              </w:rPr>
              <w:t>s</w:t>
            </w:r>
            <w:r>
              <w:t xml:space="preserve"> is holding for analysis.</w:t>
            </w:r>
          </w:p>
        </w:tc>
      </w:tr>
    </w:tbl>
    <w:tbl>
      <w:tblPr>
        <w:tblW w:type="auto" w:w="0"/>
      </w:tblPr>
      <w:tr>
        <w:tc>
          <w:tcPr>
            <w:tcW w:type="auto" w:w="0"/>
            <w:shd w:val="clear" w:color="auto" w:fill="EEF2F6"/>
            <w:tcMar>
              <w:left w:type="dxa" w:w="200"/>
              <w:top w:type="dxa" w:w="200"/>
              <w:right w:type="dxa" w:w="200"/>
              <w:bottom w:type="dxa" w:w="200"/>
            </w:tcMar>
          </w:tcPr>
          <w:p>
            <w:pPr>
              <w:pStyle w:val="Para 001"/>
            </w:pPr>
            <w:r>
              <w:t>pr⁠i⁠n⁠t⁠_​c⁠a⁠l⁠lees</w:t>
            </w:r>
            <w:r>
              <w:rPr>
                <w:rStyle w:val="Text12"/>
              </w:rPr>
              <w:t>,</w:t>
              <w:br w:clear="none"/>
              <w:t xml:space="preserve"> </w:t>
            </w:r>
            <w:r>
              <w:t>pri⁠n⁠t⁠_​c⁠a⁠l⁠lers</w:t>
            </w:r>
          </w:p>
        </w:tc>
        <w:tc>
          <w:tcPr>
            <w:tcW w:type="auto" w:w="0"/>
            <w:shd w:val="clear" w:color="auto" w:fill="EEF2F6"/>
            <w:tcMar>
              <w:left w:type="dxa" w:w="200"/>
              <w:top w:type="dxa" w:w="200"/>
              <w:right w:type="dxa" w:w="200"/>
              <w:bottom w:type="dxa" w:w="200"/>
            </w:tcMar>
          </w:tcPr>
          <w:p>
            <w:pPr>
              <w:pStyle w:val="Para 002"/>
            </w:pPr>
            <w:r>
              <w:rPr>
                <w:rStyle w:val="Text0"/>
              </w:rPr>
              <w:t>print_callees(</w:t>
            </w:r>
            <w:r>
              <w:rPr>
                <w:rStyle w:val="Text3"/>
              </w:rPr>
              <w:t>*restrictions</w:t>
            </w:r>
            <w:r>
              <w:rPr>
                <w:rStyle w:val="Text0"/>
              </w:rPr>
              <w:t>)</w:t>
            </w:r>
            <w:r>
              <w:t>,</w:t>
              <w:br w:clear="none"/>
              <w:t xml:space="preserve"> </w:t>
            </w:r>
            <w:r>
              <w:rPr>
                <w:rStyle w:val="Text0"/>
              </w:rPr>
              <w:t>print_callers(</w:t>
            </w:r>
            <w:r>
              <w:rPr>
                <w:rStyle w:val="Text3"/>
              </w:rPr>
              <w:t>*restrictions</w:t>
            </w:r>
            <w:r>
              <w:rPr>
                <w:rStyle w:val="Text0"/>
              </w:rPr>
              <w:t>)</w:t>
              <w:br w:clear="none"/>
            </w:r>
            <w:r>
              <w:t xml:space="preserve"> Outputs the list of functions in </w:t>
            </w:r>
            <w:r>
              <w:rPr>
                <w:rStyle w:val="Text3"/>
              </w:rPr>
              <w:t>s</w:t>
            </w:r>
            <w:r>
              <w:t xml:space="preserve">’s profile data, sorted according to the latest call to </w:t>
            </w:r>
            <w:r>
              <w:rPr>
                <w:rStyle w:val="Text3"/>
              </w:rPr>
              <w:t>s</w:t>
            </w:r>
            <w:r>
              <w:rPr>
                <w:rStyle w:val="Text0"/>
              </w:rPr>
              <w:t>.sort_stats</w:t>
            </w:r>
            <w:r>
              <w:t xml:space="preserve"> and subject to given restrictions, if any. You can call each printing method with zero or more </w:t>
            </w:r>
            <w:r>
              <w:rPr>
                <w:rStyle w:val="Text3"/>
              </w:rPr>
              <w:t>restrictions</w:t>
            </w:r>
            <w:r>
              <w:t xml:space="preserve">, to be applied one after the other, in order, to reduce the number of output lines. A restriction that is an </w:t>
            </w:r>
            <w:r>
              <w:rPr>
                <w:rStyle w:val="Text0"/>
              </w:rPr>
              <w:t>int</w:t>
            </w:r>
            <w:r>
              <w:t xml:space="preserve"> </w:t>
            </w:r>
            <w:r>
              <w:rPr>
                <w:rStyle w:val="Text3"/>
              </w:rPr>
              <w:t>n</w:t>
            </w:r>
            <w:r>
              <w:t xml:space="preserve"> limits the output to the first </w:t>
            </w:r>
            <w:r>
              <w:rPr>
                <w:rStyle w:val="Text3"/>
              </w:rPr>
              <w:t>n</w:t>
            </w:r>
            <w:r>
              <w:t xml:space="preserve"> lines. A restriction that is a </w:t>
            </w:r>
            <w:r>
              <w:rPr>
                <w:rStyle w:val="Text0"/>
              </w:rPr>
              <w:t>float</w:t>
            </w:r>
            <w:r>
              <w:t xml:space="preserve"> </w:t>
            </w:r>
            <w:r>
              <w:rPr>
                <w:rStyle w:val="Text3"/>
              </w:rPr>
              <w:t>f</w:t>
            </w:r>
            <w:r>
              <w:t xml:space="preserve"> between </w:t>
            </w:r>
            <w:r>
              <w:rPr>
                <w:rStyle w:val="Text0"/>
              </w:rPr>
              <w:t>0.0</w:t>
            </w:r>
            <w:r>
              <w:t xml:space="preserve"> and </w:t>
            </w:r>
            <w:r>
              <w:rPr>
                <w:rStyle w:val="Text0"/>
              </w:rPr>
              <w:t>1.0</w:t>
            </w:r>
            <w:r>
              <w:t xml:space="preserve"> limits the output to a fraction </w:t>
            </w:r>
            <w:r>
              <w:rPr>
                <w:rStyle w:val="Text3"/>
              </w:rPr>
              <w:t>f</w:t>
            </w:r>
            <w:r>
              <w:t xml:space="preserve"> of the lines. A restriction that is a string is compiled as a regular expression pattern (covered in </w:t>
            </w:r>
            <w:hyperlink w:anchor="Regular_Expressions_and_the_re_M">
              <w:r>
                <w:rPr>
                  <w:rStyle w:val="Text1"/>
                </w:rPr>
                <w:t>“Regular Expressions and the re Module”</w:t>
              </w:r>
            </w:hyperlink>
            <w:r>
              <w:t xml:space="preserve">); only lines that satisfy a </w:t>
            </w:r>
            <w:r>
              <w:rPr>
                <w:rStyle w:val="Text0"/>
              </w:rPr>
              <w:t>search</w:t>
            </w:r>
            <w:r>
              <w:t xml:space="preserve"> method call on the regular expression are output. Restrictions are cumulative. For example, </w:t>
            </w:r>
            <w:r>
              <w:rPr>
                <w:rStyle w:val="Text3"/>
              </w:rPr>
              <w:t>s</w:t>
            </w:r>
            <w:r>
              <w:rPr>
                <w:rStyle w:val="Text0"/>
              </w:rPr>
              <w:t>.print_callees(10, 0.5)</w:t>
            </w:r>
            <w:r>
              <w:t xml:space="preserve"> outputs the first 5 lines (half of 10). Restrictions apply only after the summary and header lines: the summary and header lines are output unconditionally.</w:t>
              <w:br w:clear="none"/>
              <w:t xml:space="preserve"> Each function </w:t>
            </w:r>
            <w:r>
              <w:rPr>
                <w:rStyle w:val="Text3"/>
              </w:rPr>
              <w:t>f</w:t>
            </w:r>
            <w:r>
              <w:t xml:space="preserve"> in the output is accompanied by the list of </w:t>
            </w:r>
            <w:r>
              <w:rPr>
                <w:rStyle w:val="Text3"/>
              </w:rPr>
              <w:t>f</w:t>
            </w:r>
            <w:r>
              <w:t xml:space="preserve">’s callers (functions that called </w:t>
            </w:r>
            <w:r>
              <w:rPr>
                <w:rStyle w:val="Text3"/>
              </w:rPr>
              <w:t>f</w:t>
            </w:r>
            <w:r>
              <w:t xml:space="preserve">) or </w:t>
            </w:r>
            <w:r>
              <w:rPr>
                <w:rStyle w:val="Text3"/>
              </w:rPr>
              <w:t>f</w:t>
            </w:r>
            <w:r>
              <w:t xml:space="preserve">’s callees (functions that </w:t>
            </w:r>
            <w:r>
              <w:rPr>
                <w:rStyle w:val="Text3"/>
              </w:rPr>
              <w:t>f</w:t>
            </w:r>
            <w:r>
              <w:t xml:space="preserve"> called), according to the name of the method.</w:t>
            </w:r>
          </w:p>
        </w:tc>
      </w:tr>
    </w:tbl>
    <w:tbl>
      <w:tblPr>
        <w:tblW w:type="auto" w:w="0"/>
      </w:tblPr>
      <w:tr>
        <w:tc>
          <w:tcPr>
            <w:tcW w:type="auto" w:w="0"/>
            <w:tcMar>
              <w:left w:type="dxa" w:w="200"/>
              <w:top w:type="dxa" w:w="200"/>
              <w:right w:type="dxa" w:w="200"/>
              <w:bottom w:type="dxa" w:w="200"/>
            </w:tcMar>
          </w:tcPr>
          <w:p>
            <w:pPr>
              <w:pStyle w:val="Para 001"/>
            </w:pPr>
            <w:r>
              <w:t>print_stats</w:t>
            </w:r>
          </w:p>
        </w:tc>
        <w:tc>
          <w:tcPr>
            <w:tcW w:type="auto" w:w="0"/>
            <w:tcMar>
              <w:left w:type="dxa" w:w="200"/>
              <w:top w:type="dxa" w:w="200"/>
              <w:right w:type="dxa" w:w="200"/>
              <w:bottom w:type="dxa" w:w="200"/>
            </w:tcMar>
          </w:tcPr>
          <w:p>
            <w:pPr>
              <w:pStyle w:val="Para 002"/>
            </w:pPr>
            <w:r>
              <w:rPr>
                <w:rStyle w:val="Text0"/>
              </w:rPr>
              <w:t>print_stats(</w:t>
            </w:r>
            <w:r>
              <w:rPr>
                <w:rStyle w:val="Text3"/>
              </w:rPr>
              <w:t>*restrictions</w:t>
            </w:r>
            <w:r>
              <w:rPr>
                <w:rStyle w:val="Text0"/>
              </w:rPr>
              <w:t>)</w:t>
              <w:br w:clear="none"/>
            </w:r>
            <w:r>
              <w:t xml:space="preserve"> Outputs statistics about </w:t>
            </w:r>
            <w:r>
              <w:rPr>
                <w:rStyle w:val="Text3"/>
              </w:rPr>
              <w:t>s</w:t>
            </w:r>
            <w:r>
              <w:t xml:space="preserve">’s profile data, sorted according to the latest call to </w:t>
            </w:r>
            <w:r>
              <w:rPr>
                <w:rStyle w:val="Text3"/>
              </w:rPr>
              <w:t>s</w:t>
            </w:r>
            <w:r>
              <w:rPr>
                <w:rStyle w:val="Text0"/>
              </w:rPr>
              <w:t>.sort_stats</w:t>
            </w:r>
            <w:r>
              <w:t xml:space="preserve"> and subject to given restrictions, if any, as covered in </w:t>
            </w:r>
            <w:r>
              <w:rPr>
                <w:rStyle w:val="Text0"/>
              </w:rPr>
              <w:t>print_callees</w:t>
            </w:r>
            <w:r>
              <w:t xml:space="preserve"> and </w:t>
            </w:r>
            <w:r>
              <w:rPr>
                <w:rStyle w:val="Text0"/>
              </w:rPr>
              <w:t>print_callers</w:t>
            </w:r>
            <w:r>
              <w:t xml:space="preserve">, above. After a few summary lines (date and time on which profile data was collected, number of function calls, and sort criteria used), the output—absent restrictions—is one line per function, with six fields per line, labeled in a header line. </w:t>
            </w:r>
            <w:r>
              <w:rPr>
                <w:rStyle w:val="Text0"/>
              </w:rPr>
              <w:t>print_stats</w:t>
            </w:r>
            <w:r>
              <w:t xml:space="preserve"> outputs the following fields for each function </w:t>
            </w:r>
            <w:r>
              <w:rPr>
                <w:rStyle w:val="Text3"/>
              </w:rPr>
              <w:t>f</w:t>
            </w:r>
            <w:r>
              <w:t xml:space="preserve">: </w:t>
            </w:r>
          </w:p>
          <w:p>
            <w:pPr>
              <w:pStyle w:val="Para 003"/>
            </w:pPr>
            <w:r>
              <w:t xml:space="preserve">Total number of calls to </w:t>
            </w:r>
            <w:r>
              <w:rPr>
                <w:rStyle w:val="Text3"/>
              </w:rPr>
              <w:t>f</w:t>
            </w:r>
          </w:p>
          <w:p>
            <w:pPr>
              <w:pStyle w:val="Para 003"/>
            </w:pPr>
            <w:r>
              <w:t xml:space="preserve">Total time spent in </w:t>
            </w:r>
            <w:r>
              <w:rPr>
                <w:rStyle w:val="Text3"/>
              </w:rPr>
              <w:t>f</w:t>
            </w:r>
            <w:r>
              <w:t xml:space="preserve">, exclusive of other functions that </w:t>
            </w:r>
            <w:r>
              <w:rPr>
                <w:rStyle w:val="Text3"/>
              </w:rPr>
              <w:t>f</w:t>
            </w:r>
            <w:r>
              <w:t xml:space="preserve"> called</w:t>
            </w:r>
          </w:p>
          <w:p>
            <w:pPr>
              <w:pStyle w:val="Para 003"/>
            </w:pPr>
            <w:r>
              <w:t xml:space="preserve">Total time per call to </w:t>
            </w:r>
            <w:r>
              <w:rPr>
                <w:rStyle w:val="Text3"/>
              </w:rPr>
              <w:t>f</w:t>
            </w:r>
            <w:r>
              <w:t xml:space="preserve"> (i.e., field 2 divided by field 1)</w:t>
            </w:r>
          </w:p>
          <w:p>
            <w:pPr>
              <w:pStyle w:val="Para 003"/>
            </w:pPr>
            <w:r>
              <w:t xml:space="preserve">Cumulative time spent in </w:t>
            </w:r>
            <w:r>
              <w:rPr>
                <w:rStyle w:val="Text3"/>
              </w:rPr>
              <w:t>f</w:t>
            </w:r>
            <w:r>
              <w:t xml:space="preserve">, and all functions directly or indirectly called from </w:t>
            </w:r>
            <w:r>
              <w:rPr>
                <w:rStyle w:val="Text3"/>
              </w:rPr>
              <w:t>f</w:t>
            </w:r>
          </w:p>
          <w:p>
            <w:pPr>
              <w:pStyle w:val="Para 003"/>
            </w:pPr>
            <w:r>
              <w:t xml:space="preserve">Cumulative time per call to </w:t>
            </w:r>
            <w:r>
              <w:rPr>
                <w:rStyle w:val="Text3"/>
              </w:rPr>
              <w:t>f</w:t>
            </w:r>
            <w:r>
              <w:t xml:space="preserve"> (i.e., field 4 divided by field 1)</w:t>
            </w:r>
          </w:p>
          <w:p>
            <w:pPr>
              <w:pStyle w:val="Para 003"/>
            </w:pPr>
            <w:r>
              <w:t xml:space="preserve">The name of function </w:t>
            </w:r>
            <w:r>
              <w:rPr>
                <w:rStyle w:val="Text3"/>
              </w:rPr>
              <w:t>f</w:t>
            </w:r>
          </w:p>
        </w:tc>
      </w:tr>
    </w:tbl>
    <w:tbl>
      <w:tblPr>
        <w:tblW w:type="auto" w:w="0"/>
      </w:tblPr>
      <w:tr>
        <w:tc>
          <w:tcPr>
            <w:tcW w:type="auto" w:w="0"/>
            <w:shd w:val="clear" w:color="auto" w:fill="EEF2F6"/>
            <w:tcMar>
              <w:left w:type="dxa" w:w="200"/>
              <w:top w:type="dxa" w:w="200"/>
              <w:right w:type="dxa" w:w="200"/>
              <w:bottom w:type="dxa" w:w="200"/>
            </w:tcMar>
          </w:tcPr>
          <w:p>
            <w:pPr>
              <w:pStyle w:val="Para 001"/>
            </w:pPr>
            <w:r>
              <w:t>sort_stats</w:t>
            </w:r>
          </w:p>
        </w:tc>
        <w:tc>
          <w:tcPr>
            <w:tcW w:type="auto" w:w="0"/>
            <w:shd w:val="clear" w:color="auto" w:fill="EEF2F6"/>
            <w:tcMar>
              <w:left w:type="dxa" w:w="200"/>
              <w:top w:type="dxa" w:w="200"/>
              <w:right w:type="dxa" w:w="200"/>
              <w:bottom w:type="dxa" w:w="200"/>
            </w:tcMar>
          </w:tcPr>
          <w:p>
            <w:pPr>
              <w:pStyle w:val="Para 002"/>
            </w:pPr>
            <w:r>
              <w:rPr>
                <w:rStyle w:val="Text0"/>
              </w:rPr>
              <w:t>sort_stats(</w:t>
            </w:r>
            <w:r>
              <w:rPr>
                <w:rStyle w:val="Text3"/>
              </w:rPr>
              <w:t>*keys</w:t>
            </w:r>
            <w:r>
              <w:rPr>
                <w:rStyle w:val="Text0"/>
              </w:rPr>
              <w:t>)</w:t>
              <w:br w:clear="none"/>
            </w:r>
            <w:r>
              <w:t xml:space="preserve"> Gives one or more keys on which to sort future output. Each key is either a string or a member of the enum </w:t>
            </w:r>
            <w:r>
              <w:rPr>
                <w:rStyle w:val="Text0"/>
              </w:rPr>
              <w:t>pstats.SortKey</w:t>
            </w:r>
            <w:r>
              <w:t xml:space="preserve">. The sort is descending for keys that indicate times or numbers, and alphabetical for key </w:t>
            </w:r>
            <w:r>
              <w:rPr>
                <w:rStyle w:val="Text0"/>
              </w:rPr>
              <w:t>'nfl'</w:t>
            </w:r>
            <w:r>
              <w:t xml:space="preserve">. The most frequently used keys when calling </w:t>
            </w:r>
            <w:r>
              <w:rPr>
                <w:rStyle w:val="Text0"/>
              </w:rPr>
              <w:t>sort_stats</w:t>
            </w:r>
            <w:r>
              <w:t xml:space="preserve"> are: </w:t>
            </w:r>
          </w:p>
          <w:p>
            <w:pPr>
              <w:pStyle w:val="Para 024"/>
            </w:pPr>
            <w:r>
              <w:t>SortKey.CALLS</w:t>
            </w:r>
            <w:r>
              <w:rPr>
                <w:rStyle w:val="Text12"/>
              </w:rPr>
              <w:t xml:space="preserve"> or </w:t>
            </w:r>
            <w:r>
              <w:t>'calls'</w:t>
            </w:r>
          </w:p>
          <w:p>
            <w:pPr>
              <w:pStyle w:val="Para 028"/>
            </w:pPr>
            <w:r>
              <w:t xml:space="preserve">Number of calls to the function (like field 1 in the </w:t>
            </w:r>
            <w:r>
              <w:rPr>
                <w:rStyle w:val="Text0"/>
              </w:rPr>
              <w:t>print_stats</w:t>
            </w:r>
            <w:r>
              <w:t xml:space="preserve"> output)</w:t>
            </w:r>
          </w:p>
          <w:p>
            <w:pPr>
              <w:pStyle w:val="Para 024"/>
            </w:pPr>
            <w:r>
              <w:t>SortKey.CUMULATIVE</w:t>
            </w:r>
            <w:r>
              <w:rPr>
                <w:rStyle w:val="Text12"/>
              </w:rPr>
              <w:t xml:space="preserve"> or </w:t>
            </w:r>
            <w:r>
              <w:t>'cumulative'</w:t>
            </w:r>
          </w:p>
          <w:p>
            <w:pPr>
              <w:pStyle w:val="Para 028"/>
            </w:pPr>
            <w:r>
              <w:t xml:space="preserve">Cumulative time spent in the function and all functions it called (like field 4 in the </w:t>
            </w:r>
            <w:r>
              <w:rPr>
                <w:rStyle w:val="Text0"/>
              </w:rPr>
              <w:t>print_stats</w:t>
            </w:r>
            <w:r>
              <w:t xml:space="preserve"> output)</w:t>
            </w:r>
          </w:p>
          <w:p>
            <w:pPr>
              <w:pStyle w:val="Para 024"/>
            </w:pPr>
            <w:r>
              <w:t>SortKey.NFL</w:t>
            </w:r>
            <w:r>
              <w:rPr>
                <w:rStyle w:val="Text12"/>
              </w:rPr>
              <w:t xml:space="preserve"> or </w:t>
            </w:r>
            <w:r>
              <w:t>'nfl'</w:t>
            </w:r>
          </w:p>
          <w:p>
            <w:pPr>
              <w:pStyle w:val="Para 028"/>
            </w:pPr>
            <w:r>
              <w:t xml:space="preserve">Name of the function, its module, and the line number of the function in its file (like field 6 in the </w:t>
            </w:r>
            <w:r>
              <w:rPr>
                <w:rStyle w:val="Text0"/>
              </w:rPr>
              <w:t>print_stats</w:t>
            </w:r>
            <w:r>
              <w:t xml:space="preserve"> output)</w:t>
            </w:r>
          </w:p>
          <w:p>
            <w:pPr>
              <w:pStyle w:val="Para 024"/>
            </w:pPr>
            <w:r>
              <w:t>SortKey.TIME</w:t>
            </w:r>
            <w:r>
              <w:rPr>
                <w:rStyle w:val="Text12"/>
              </w:rPr>
              <w:t xml:space="preserve"> or </w:t>
            </w:r>
            <w:r>
              <w:t>'time'</w:t>
            </w:r>
          </w:p>
          <w:p>
            <w:pPr>
              <w:pStyle w:val="Para 028"/>
            </w:pPr>
            <w:r>
              <w:t xml:space="preserve">Total time spent in the function itself, exclusive of functions it called (like field 2 in the </w:t>
            </w:r>
            <w:r>
              <w:rPr>
                <w:rStyle w:val="Text0"/>
              </w:rPr>
              <w:t>print_stats</w:t>
            </w:r>
            <w:r>
              <w:t xml:space="preserve"> output)</w:t>
            </w:r>
          </w:p>
        </w:tc>
      </w:tr>
    </w:tbl>
    <w:tbl>
      <w:tblPr>
        <w:tblW w:type="auto" w:w="0"/>
      </w:tblPr>
      <w:tr>
        <w:tc>
          <w:tcPr>
            <w:tcW w:type="auto" w:w="0"/>
            <w:tcMar>
              <w:left w:type="dxa" w:w="200"/>
              <w:top w:type="dxa" w:w="200"/>
              <w:right w:type="dxa" w:w="200"/>
              <w:bottom w:type="dxa" w:w="200"/>
            </w:tcMar>
          </w:tcPr>
          <w:p>
            <w:pPr>
              <w:pStyle w:val="Para 001"/>
            </w:pPr>
            <w:r>
              <w:t>strip_dirs</w:t>
            </w:r>
          </w:p>
        </w:tc>
        <w:tc>
          <w:tcPr>
            <w:tcW w:type="auto" w:w="0"/>
            <w:tcMar>
              <w:left w:type="dxa" w:w="200"/>
              <w:top w:type="dxa" w:w="200"/>
              <w:right w:type="dxa" w:w="200"/>
              <w:bottom w:type="dxa" w:w="200"/>
            </w:tcMar>
          </w:tcPr>
          <w:p>
            <w:pPr>
              <w:pStyle w:val="Para 002"/>
            </w:pPr>
            <w:r>
              <w:rPr>
                <w:rStyle w:val="Text0"/>
              </w:rPr>
              <w:t>strip_dirs()</w:t>
              <w:br w:clear="none"/>
            </w:r>
            <w:r>
              <w:t xml:space="preserve"> Alters </w:t>
            </w:r>
            <w:r>
              <w:rPr>
                <w:rStyle w:val="Text3"/>
              </w:rPr>
              <w:t>s</w:t>
            </w:r>
            <w:r>
              <w:t xml:space="preserve"> by stripping directory names from all module names to make future output more compact. </w:t>
            </w:r>
            <w:r>
              <w:rPr>
                <w:rStyle w:val="Text3"/>
              </w:rPr>
              <w:t>s</w:t>
            </w:r>
            <w:r>
              <w:t xml:space="preserve"> is unsorted after </w:t>
            </w:r>
            <w:r>
              <w:rPr>
                <w:rStyle w:val="Text3"/>
              </w:rPr>
              <w:t>s</w:t>
            </w:r>
            <w:r>
              <w:rPr>
                <w:rStyle w:val="Text0"/>
              </w:rPr>
              <w:t>.strip_dirs</w:t>
            </w:r>
            <w:r>
              <w:t xml:space="preserve">, and therefore you normally call </w:t>
            </w:r>
            <w:r>
              <w:rPr>
                <w:rStyle w:val="Text3"/>
              </w:rPr>
              <w:t>s</w:t>
            </w:r>
            <w:r>
              <w:rPr>
                <w:rStyle w:val="Text0"/>
              </w:rPr>
              <w:t>.sort_stats</w:t>
            </w:r>
            <w:r>
              <w:t xml:space="preserve"> right after calling </w:t>
            </w:r>
            <w:r>
              <w:rPr>
                <w:rStyle w:val="Text3"/>
              </w:rPr>
              <w:t>s</w:t>
            </w:r>
            <w:r>
              <w:rPr>
                <w:rStyle w:val="Text0"/>
              </w:rPr>
              <w:t>.strip_dirs</w:t>
            </w:r>
            <w:r>
              <w:t>.</w:t>
            </w:r>
            <w:r>
              <w:rPr>
                <w:rStyle w:val="Text111"/>
              </w:rPr>
              <w:bookmarkStart w:id="3872" w:name="idm45965180498512"/>
              <w:t/>
              <w:bookmarkEnd w:id="3872"/>
              <w:bookmarkStart w:id="3873" w:name="idm45965180497376"/>
              <w:t/>
              <w:bookmarkEnd w:id="3873"/>
              <w:bookmarkStart w:id="3874" w:name="idm45965180496272"/>
              <w:t/>
              <w:bookmarkEnd w:id="3874"/>
            </w:r>
          </w:p>
        </w:tc>
      </w:tr>
    </w:tbl>
    <w:p>
      <w:bookmarkStart w:id="3875" w:name="Small_Scale_Optimization__Fine_t"/>
      <w:pPr>
        <w:keepNext/>
        <w:pStyle w:val="Heading 2"/>
      </w:pPr>
      <w:r>
        <w:t>Small-Scale Optimization</w:t>
      </w:r>
      <w:bookmarkEnd w:id="3875"/>
    </w:p>
    <w:p>
      <w:pPr>
        <w:pStyle w:val="Normal"/>
      </w:pPr>
      <w:r>
        <w:t>Fine-tuning</w:t>
      </w:r>
      <w:r>
        <w:rPr>
          <w:rStyle w:val="Text111"/>
        </w:rPr>
        <w:bookmarkStart w:id="3876" w:name="Osmall17"/>
        <w:t/>
        <w:bookmarkEnd w:id="3876"/>
      </w:r>
      <w:r>
        <w:t xml:space="preserve"> of program operations is rarely important. It may make a small but meaningful difference in some particularly hot spot, but it is hardly ever a decisive factor. And yet, fine-tuning—in the pursuit of mostly irrelevant microefficiencies—is where a programmer’s instincts are likely to lead them. It is in good part because of this that most optimization is premature and best avoided. The most that can be said in favor of fine-tuning is that, if one idiom is </w:t>
      </w:r>
      <w:r>
        <w:rPr>
          <w:rStyle w:val="Text4"/>
        </w:rPr>
        <w:t>always</w:t>
      </w:r>
      <w:r>
        <w:t xml:space="preserve"> speedier than another when the difference is measurable, then it’s worth your while to get into the habit of always using the speedier way.</w:t>
      </w:r>
      <w:hyperlink w:anchor="10_A_once_slower_idiom_may_be_op">
        <w:r>
          <w:rPr>
            <w:rStyle w:val="Text41"/>
          </w:rPr>
          <w:bookmarkStart w:id="3877" w:name="10_3"/>
          <w:t>10</w:t>
          <w:bookmarkEnd w:id="3877"/>
        </w:r>
      </w:hyperlink>
    </w:p>
    <w:p>
      <w:pPr>
        <w:pStyle w:val="Normal"/>
      </w:pPr>
      <w:r>
        <w:t xml:space="preserve">In Python, if you do what comes naturally, choosing simplicity and elegance, you typically end up with code that has good performance and is clear and maintainable. In other words, </w:t>
      </w:r>
      <w:r>
        <w:rPr>
          <w:rStyle w:val="Text4"/>
        </w:rPr>
        <w:t>let Python do the work</w:t>
      </w:r>
      <w:r>
        <w:t>: when Python provides a simple, direct way to perform a task, chances are that it’s also the fastest way. In a few cases, an approach that may not be intuitively preferable still offers performance advantages, as discussed in the rest of this section.</w:t>
      </w:r>
    </w:p>
    <w:p>
      <w:pPr>
        <w:pStyle w:val="Normal"/>
      </w:pPr>
      <w:r>
        <w:t xml:space="preserve">The simplest optimization is to run your Python programs using </w:t>
      </w:r>
      <w:r>
        <w:rPr>
          <w:rStyle w:val="Text5"/>
        </w:rPr>
        <w:t>python -O</w:t>
      </w:r>
      <w:r>
        <w:t xml:space="preserve"> or </w:t>
      </w:r>
      <w:r>
        <w:rPr>
          <w:rStyle w:val="Text5"/>
        </w:rPr>
        <w:t>-OO</w:t>
      </w:r>
      <w:r>
        <w:t xml:space="preserve">. </w:t>
      </w:r>
      <w:r>
        <w:rPr>
          <w:rStyle w:val="Text5"/>
        </w:rPr>
        <w:t>-OO</w:t>
      </w:r>
      <w:r>
        <w:t xml:space="preserve"> makes little difference to performance compared to </w:t>
      </w:r>
      <w:r>
        <w:rPr>
          <w:rStyle w:val="Text5"/>
        </w:rPr>
        <w:t>-O</w:t>
      </w:r>
      <w:r>
        <w:t xml:space="preserve"> but may save some memory, as it removes docstrings from the bytecode, and memory is sometimes (indirectly) a performance bottleneck. The optimizer is not powerful in current releases of Python, but it may gain you performance advantages on the order of 5-10% (and potentially larger if you make use of </w:t>
      </w:r>
      <w:r>
        <w:rPr>
          <w:rStyle w:val="Text5"/>
        </w:rPr>
        <w:t>assert</w:t>
      </w:r>
      <w:r>
        <w:t xml:space="preserve"> statements and </w:t>
      </w:r>
      <w:r>
        <w:rPr>
          <w:rStyle w:val="Text5"/>
        </w:rPr>
        <w:t>if</w:t>
      </w:r>
      <w:r>
        <w:t xml:space="preserve"> </w:t>
      </w:r>
      <w:r>
        <w:rPr>
          <w:rStyle w:val="Text0"/>
        </w:rPr>
        <w:t>__debug__:</w:t>
      </w:r>
      <w:r>
        <w:t xml:space="preserve"> guards, as suggested in </w:t>
      </w:r>
      <w:hyperlink w:anchor="The_assert_Statement__The_assert">
        <w:r>
          <w:rPr>
            <w:rStyle w:val="Text1"/>
          </w:rPr>
          <w:t>“The assert Statement”</w:t>
        </w:r>
      </w:hyperlink>
      <w:r>
        <w:t xml:space="preserve">). The best aspect of </w:t>
      </w:r>
      <w:r>
        <w:rPr>
          <w:rStyle w:val="Text5"/>
        </w:rPr>
        <w:t>-O</w:t>
      </w:r>
      <w:r>
        <w:t xml:space="preserve"> is that it costs nothing—as long as your optimization isn’t premature, of course (don’t bother using </w:t>
      </w:r>
      <w:r>
        <w:rPr>
          <w:rStyle w:val="Text5"/>
        </w:rPr>
        <w:t>-O</w:t>
      </w:r>
      <w:r>
        <w:t xml:space="preserve"> on a program you’re still developing).</w:t>
      </w:r>
    </w:p>
    <w:p>
      <w:bookmarkStart w:id="3878" w:name="The_timeit_module__The_standard"/>
      <w:pPr>
        <w:keepNext/>
        <w:pStyle w:val="Heading 2"/>
      </w:pPr>
      <w:r>
        <w:t>The timeit module</w:t>
      </w:r>
      <w:bookmarkEnd w:id="3878"/>
    </w:p>
    <w:p>
      <w:pPr>
        <w:pStyle w:val="Normal"/>
      </w:pPr>
      <w:r>
        <w:t>The</w:t>
      </w:r>
      <w:r>
        <w:rPr>
          <w:rStyle w:val="Text111"/>
        </w:rPr>
        <w:bookmarkStart w:id="3879" w:name="idm45965180476912"/>
        <w:t/>
        <w:bookmarkEnd w:id="3879"/>
        <w:bookmarkStart w:id="3880" w:name="idm45965180475776"/>
        <w:t/>
        <w:bookmarkEnd w:id="3880"/>
      </w:r>
      <w:r>
        <w:t xml:space="preserve"> standard library module </w:t>
      </w:r>
      <w:r>
        <w:rPr>
          <w:rStyle w:val="Text0"/>
        </w:rPr>
        <w:t>timeit</w:t>
      </w:r>
      <w:r>
        <w:t xml:space="preserve"> is handy for measuring the precise performance of specific snippets of code. You can import </w:t>
      </w:r>
      <w:r>
        <w:rPr>
          <w:rStyle w:val="Text0"/>
        </w:rPr>
        <w:t>timeit</w:t>
      </w:r>
      <w:r>
        <w:t xml:space="preserve"> to use </w:t>
      </w:r>
      <w:r>
        <w:rPr>
          <w:rStyle w:val="Text0"/>
        </w:rPr>
        <w:t>timeit</w:t>
      </w:r>
      <w:r>
        <w:t>’s functionality in your programs, but the simplest and most normal use is from the command line:</w:t>
      </w:r>
    </w:p>
    <w:p>
      <w:pPr>
        <w:pStyle w:val="Para 112"/>
      </w:pPr>
      <w:r>
        <w:rPr>
          <w:rStyle w:val="Text110"/>
        </w:rPr>
        <w:t xml:space="preserve"/>
        <w:br w:clear="none"/>
        <w:t xml:space="preserve">$ </w:t>
        <w:br w:clear="none"/>
      </w:r>
      <w:r>
        <w:rPr>
          <w:rStyle w:val="Text78"/>
        </w:rPr>
        <w:t xml:space="preserve">python -m timeit -s '</w:t>
        <w:br w:clear="none"/>
      </w:r>
      <w:r>
        <w:t xml:space="preserve">setup statement(s)</w:t>
        <w:br w:clear="none"/>
      </w:r>
      <w:r>
        <w:rPr>
          <w:rStyle w:val="Text78"/>
        </w:rPr>
        <w:t xml:space="preserve">' '</w:t>
        <w:br w:clear="none"/>
      </w:r>
      <w:r>
        <w:t xml:space="preserve">statement(s) to be timed</w:t>
        <w:br w:clear="none"/>
      </w:r>
      <w:r>
        <w:rPr>
          <w:rStyle w:val="Text78"/>
        </w:rPr>
        <w:t xml:space="preserve">'</w:t>
        <w:br w:clear="none"/>
      </w:r>
    </w:p>
    <w:p>
      <w:pPr>
        <w:pStyle w:val="Normal"/>
      </w:pPr>
      <w:r>
        <w:t>The “setup statement” is executed only once, to set things up; the “statements to be timed” are executed repeatedly, to accurately measure the average time they take.</w:t>
      </w:r>
    </w:p>
    <w:p>
      <w:pPr>
        <w:pStyle w:val="Normal"/>
      </w:pPr>
      <w:r>
        <w:t xml:space="preserve">For example, say you’re wondering about the performance of </w:t>
      </w:r>
      <w:r>
        <w:rPr>
          <w:rStyle w:val="Text0"/>
        </w:rPr>
        <w:t>x=x+1</w:t>
      </w:r>
      <w:r>
        <w:t xml:space="preserve"> versus </w:t>
      </w:r>
      <w:r>
        <w:rPr>
          <w:rStyle w:val="Text0"/>
        </w:rPr>
        <w:t>x+=1</w:t>
      </w:r>
      <w:r>
        <w:t xml:space="preserve">, where </w:t>
      </w:r>
      <w:r>
        <w:rPr>
          <w:rStyle w:val="Text0"/>
        </w:rPr>
        <w:t>x</w:t>
      </w:r>
      <w:r>
        <w:t xml:space="preserve"> is an </w:t>
      </w:r>
      <w:r>
        <w:rPr>
          <w:rStyle w:val="Text0"/>
        </w:rPr>
        <w:t>int</w:t>
      </w:r>
      <w:r>
        <w:t>. At a command prompt, you can easily try:</w:t>
      </w:r>
    </w:p>
    <w:p>
      <w:pPr>
        <w:pStyle w:val="Para 007"/>
      </w:pPr>
      <w:r>
        <w:rPr>
          <w:rStyle w:val="Text32"/>
        </w:rPr>
        <w:t xml:space="preserve">$</w:t>
        <w:br w:clear="none"/>
      </w:r>
      <w:r>
        <w:rPr>
          <w:rStyle w:val="Text23"/>
        </w:rPr>
        <w:t xml:space="preserve"> </w:t>
        <w:br w:clear="none"/>
      </w:r>
      <w:r>
        <w:t xml:space="preserve">python</w:t>
        <w:br w:clear="none"/>
      </w:r>
      <w:r>
        <w:rPr>
          <w:rStyle w:val="Text23"/>
        </w:rPr>
        <w:t xml:space="preserve"> </w:t>
        <w:br w:clear="none"/>
      </w:r>
      <w:r>
        <w:rPr>
          <w:rStyle w:val="Text13"/>
        </w:rPr>
        <w:t xml:space="preserve">-</w:t>
        <w:br w:clear="none"/>
      </w:r>
      <w:r>
        <w:t xml:space="preserve">m</w:t>
        <w:br w:clear="none"/>
      </w:r>
      <w:r>
        <w:rPr>
          <w:rStyle w:val="Text23"/>
        </w:rPr>
        <w:t xml:space="preserve"> </w:t>
        <w:br w:clear="none"/>
      </w:r>
      <w:r>
        <w:t xml:space="preserve">timeit</w:t>
        <w:br w:clear="none"/>
      </w:r>
      <w:r>
        <w:rPr>
          <w:rStyle w:val="Text23"/>
        </w:rPr>
        <w:t xml:space="preserve"> </w:t>
        <w:br w:clear="none"/>
      </w:r>
      <w:r>
        <w:rPr>
          <w:rStyle w:val="Text13"/>
        </w:rPr>
        <w:t xml:space="preserve">-</w:t>
        <w:br w:clear="none"/>
      </w:r>
      <w:r>
        <w:t xml:space="preserve">s</w:t>
        <w:br w:clear="none"/>
      </w:r>
      <w:r>
        <w:rPr>
          <w:rStyle w:val="Text23"/>
        </w:rPr>
        <w:t xml:space="preserve"> </w:t>
        <w:br w:clear="none"/>
      </w:r>
      <w:r>
        <w:rPr>
          <w:rStyle w:val="Text8"/>
        </w:rPr>
        <w:t xml:space="preserve">'x=0'</w:t>
        <w:br w:clear="none"/>
      </w:r>
      <w:r>
        <w:rPr>
          <w:rStyle w:val="Text23"/>
        </w:rPr>
        <w:t xml:space="preserve"> </w:t>
        <w:br w:clear="none"/>
      </w:r>
      <w:r>
        <w:rPr>
          <w:rStyle w:val="Text8"/>
        </w:rPr>
        <w:t xml:space="preserve">'x=x+1'</w:t>
        <w:br w:clear="none"/>
      </w:r>
    </w:p>
    <w:p>
      <w:pPr>
        <w:pStyle w:val="Para 008"/>
      </w:pPr>
      <w:r>
        <w:t xml:space="preserve">1000000 loops, best of 3: 0.0416 usec per loop</w:t>
        <w:br w:clear="none"/>
      </w:r>
    </w:p>
    <w:p>
      <w:pPr>
        <w:pStyle w:val="Para 007"/>
      </w:pPr>
      <w:r>
        <w:rPr>
          <w:rStyle w:val="Text32"/>
        </w:rPr>
        <w:t xml:space="preserve">$</w:t>
        <w:br w:clear="none"/>
      </w:r>
      <w:r>
        <w:rPr>
          <w:rStyle w:val="Text23"/>
        </w:rPr>
        <w:t xml:space="preserve"> </w:t>
        <w:br w:clear="none"/>
      </w:r>
      <w:r>
        <w:t xml:space="preserve">python</w:t>
        <w:br w:clear="none"/>
      </w:r>
      <w:r>
        <w:rPr>
          <w:rStyle w:val="Text23"/>
        </w:rPr>
        <w:t xml:space="preserve"> </w:t>
        <w:br w:clear="none"/>
      </w:r>
      <w:r>
        <w:rPr>
          <w:rStyle w:val="Text13"/>
        </w:rPr>
        <w:t xml:space="preserve">-</w:t>
        <w:br w:clear="none"/>
      </w:r>
      <w:r>
        <w:t xml:space="preserve">m</w:t>
        <w:br w:clear="none"/>
      </w:r>
      <w:r>
        <w:rPr>
          <w:rStyle w:val="Text23"/>
        </w:rPr>
        <w:t xml:space="preserve"> </w:t>
        <w:br w:clear="none"/>
      </w:r>
      <w:r>
        <w:t xml:space="preserve">timeit</w:t>
        <w:br w:clear="none"/>
      </w:r>
      <w:r>
        <w:rPr>
          <w:rStyle w:val="Text23"/>
        </w:rPr>
        <w:t xml:space="preserve"> </w:t>
        <w:br w:clear="none"/>
      </w:r>
      <w:r>
        <w:rPr>
          <w:rStyle w:val="Text13"/>
        </w:rPr>
        <w:t xml:space="preserve">-</w:t>
        <w:br w:clear="none"/>
      </w:r>
      <w:r>
        <w:t xml:space="preserve">s</w:t>
        <w:br w:clear="none"/>
      </w:r>
      <w:r>
        <w:rPr>
          <w:rStyle w:val="Text23"/>
        </w:rPr>
        <w:t xml:space="preserve"> </w:t>
        <w:br w:clear="none"/>
      </w:r>
      <w:r>
        <w:rPr>
          <w:rStyle w:val="Text8"/>
        </w:rPr>
        <w:t xml:space="preserve">'x=0'</w:t>
        <w:br w:clear="none"/>
      </w:r>
      <w:r>
        <w:rPr>
          <w:rStyle w:val="Text23"/>
        </w:rPr>
        <w:t xml:space="preserve"> </w:t>
        <w:br w:clear="none"/>
      </w:r>
      <w:r>
        <w:rPr>
          <w:rStyle w:val="Text8"/>
        </w:rPr>
        <w:t xml:space="preserve">'x+=1'</w:t>
        <w:br w:clear="none"/>
      </w:r>
    </w:p>
    <w:p>
      <w:pPr>
        <w:pStyle w:val="Para 008"/>
      </w:pPr>
      <w:r>
        <w:t xml:space="preserve">1000000 loops, best of 3: 0.0406 usec per loop</w:t>
        <w:br w:clear="none"/>
      </w:r>
    </w:p>
    <w:p>
      <w:pPr>
        <w:pStyle w:val="Normal"/>
      </w:pPr>
      <w:r>
        <w:t>and find out that performance is, for all intents and purposes, the same in both cases (a tiny difference, such as the 2.5% in this case, is best regarded as “noise”).</w:t>
      </w:r>
    </w:p>
    <w:p>
      <w:bookmarkStart w:id="3881" w:name="Memoizing__Memoizing_is_the_tech"/>
      <w:pPr>
        <w:keepNext/>
        <w:pStyle w:val="Heading 2"/>
      </w:pPr>
      <w:r>
        <w:t>Memoizing</w:t>
      </w:r>
      <w:bookmarkEnd w:id="3881"/>
    </w:p>
    <w:p>
      <w:pPr>
        <w:pStyle w:val="Normal"/>
      </w:pPr>
      <w:r>
        <w:rPr>
          <w:rStyle w:val="Text4"/>
        </w:rPr>
        <w:t>Memoizing</w:t>
      </w:r>
      <w:r>
        <w:rPr>
          <w:rStyle w:val="Text105"/>
        </w:rPr>
        <w:bookmarkStart w:id="3882" w:name="memoiz17"/>
        <w:t/>
        <w:bookmarkEnd w:id="3882"/>
      </w:r>
      <w:r>
        <w:t xml:space="preserve"> is the technique of saving values returned from a function that is called repeatedly with the same argument values. When the function is called with arguments that have not been seen before, a memoizing function computes the result, and then saves the arguments used to call it and the corresponding result</w:t>
      </w:r>
      <w:r>
        <w:rPr>
          <w:rStyle w:val="Text111"/>
        </w:rPr>
        <w:bookmarkStart w:id="3883" w:name="idm45965180431888"/>
        <w:t/>
        <w:bookmarkEnd w:id="3883"/>
      </w:r>
      <w:r>
        <w:t xml:space="preserve"> in a cache. When the function is called again later with the same arguments, the function just looks up the computed value in the cache instead of rerunning the function calculation logic. In this way, the calculation is performed just once for any particular argument or arguments.</w:t>
      </w:r>
    </w:p>
    <w:p>
      <w:pPr>
        <w:pStyle w:val="Normal"/>
      </w:pPr>
      <w:r>
        <w:t>Here is an example of a function for calculating the sine of a value given in degrees:</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math</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sin_degrees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39"/>
        </w:rPr>
        <w:t xml:space="preserve">return</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p>
    <w:p>
      <w:pPr>
        <w:pStyle w:val="Normal"/>
      </w:pPr>
      <w:r>
        <w:t xml:space="preserve">If we determined that </w:t>
      </w:r>
      <w:r>
        <w:rPr>
          <w:rStyle w:val="Text0"/>
        </w:rPr>
        <w:t>sin_degrees</w:t>
      </w:r>
      <w:r>
        <w:t xml:space="preserve"> was a bottleneck, and was being repeatedly called with the same values for </w:t>
      </w:r>
      <w:r>
        <w:rPr>
          <w:rStyle w:val="Text0"/>
        </w:rPr>
        <w:t>x</w:t>
      </w:r>
      <w:r>
        <w:t xml:space="preserve"> (such as the integer values from </w:t>
      </w:r>
      <w:r>
        <w:rPr>
          <w:rStyle w:val="Text0"/>
        </w:rPr>
        <w:t>0</w:t>
      </w:r>
      <w:r>
        <w:t xml:space="preserve"> to </w:t>
      </w:r>
      <w:r>
        <w:rPr>
          <w:rStyle w:val="Text0"/>
        </w:rPr>
        <w:t>360</w:t>
      </w:r>
      <w:r>
        <w:t>, as you might use when displaying an analog clock), we could add a memoizing cache:</w:t>
      </w:r>
    </w:p>
    <w:p>
      <w:pPr>
        <w:pStyle w:val="Para 007"/>
      </w:pPr>
      <w:r>
        <w:rPr>
          <w:rStyle w:val="Text23"/>
        </w:rPr>
        <w:t xml:space="preserve"/>
        <w:br w:clear="none"/>
      </w:r>
      <w:r>
        <w:t xml:space="preserve">_cached_values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sin_degrees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6"/>
        </w:rPr>
        <w:t xml:space="preserve"> </w:t>
        <w:br w:clear="none"/>
      </w:r>
      <w:r>
        <w:rPr>
          <w:rStyle w:val="Text31"/>
        </w:rPr>
        <w:t xml:space="preserve">not</w:t>
        <w:br w:clear="none"/>
      </w:r>
      <w:r>
        <w:rPr>
          <w:rStyle w:val="Text6"/>
        </w:rPr>
        <w:t xml:space="preserve"> </w:t>
        <w:br w:clear="none"/>
      </w:r>
      <w:r>
        <w:rPr>
          <w:rStyle w:val="Text31"/>
        </w:rPr>
        <w:t xml:space="preserve">in</w:t>
        <w:br w:clear="none"/>
      </w:r>
      <w:r>
        <w:rPr>
          <w:rStyle w:val="Text6"/>
        </w:rPr>
        <w:t xml:space="preserve"> </w:t>
        <w:br w:clear="none"/>
      </w:r>
      <w:r>
        <w:t xml:space="preserve">_cached_values</w:t>
        <w:br w:clear="none"/>
      </w:r>
      <w:r>
        <w:rPr>
          <w:rStyle w:val="Text7"/>
        </w:rPr>
        <w:t xml:space="preserve">:</w:t>
        <w:br w:clear="none"/>
      </w:r>
      <w:r>
        <w:rPr>
          <w:rStyle w:val="Text6"/>
        </w:rPr>
        <w:t xml:space="preserve"/>
        <w:br w:clear="none"/>
        <w:t xml:space="preserve">        </w:t>
        <w:br w:clear="none"/>
      </w:r>
      <w:r>
        <w:t xml:space="preserve">_cached_values</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39"/>
        </w:rPr>
        <w:t xml:space="preserve">return</w:t>
        <w:br w:clear="none"/>
      </w:r>
      <w:r>
        <w:rPr>
          <w:rStyle w:val="Text6"/>
        </w:rPr>
        <w:t xml:space="preserve"> </w:t>
        <w:br w:clear="none"/>
      </w:r>
      <w:r>
        <w:t xml:space="preserve">_cached_values</w:t>
        <w:br w:clear="none"/>
      </w:r>
      <w:r>
        <w:rPr>
          <w:rStyle w:val="Text7"/>
        </w:rPr>
        <w:t xml:space="preserve">[</w:t>
        <w:br w:clear="none"/>
      </w:r>
      <w:r>
        <w:t xml:space="preserve">x</w:t>
        <w:br w:clear="none"/>
      </w:r>
      <w:r>
        <w:rPr>
          <w:rStyle w:val="Text7"/>
        </w:rPr>
        <w:t xml:space="preserve">]</w:t>
        <w:br w:clear="none"/>
      </w:r>
    </w:p>
    <w:p>
      <w:pPr>
        <w:pStyle w:val="Normal"/>
      </w:pPr>
      <w:r>
        <w:t>For functions that take multiple arguments, the tuple of argument values would be used for the cache key.</w:t>
      </w:r>
    </w:p>
    <w:p>
      <w:pPr>
        <w:pStyle w:val="Normal"/>
      </w:pPr>
      <w:r>
        <w:t xml:space="preserve">We defined </w:t>
      </w:r>
      <w:r>
        <w:rPr>
          <w:rStyle w:val="Text3"/>
        </w:rPr>
        <w:t>_cached_values</w:t>
      </w:r>
      <w:r>
        <w:t xml:space="preserve"> outside the function, so that it is not reset each time we call the function. To explicitly associate the cache with the function, we can utilize Python’s object model, which allows us to treat functions as objects and assign attributes to them:</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sin_degrees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cache</w:t>
        <w:br w:clear="none"/>
      </w:r>
      <w:r>
        <w:rPr>
          <w:rStyle w:val="Text6"/>
        </w:rPr>
        <w:t xml:space="preserve"> </w:t>
        <w:br w:clear="none"/>
      </w:r>
      <w:r>
        <w:rPr>
          <w:rStyle w:val="Text13"/>
        </w:rPr>
        <w:t xml:space="preserve">=</w:t>
        <w:br w:clear="none"/>
      </w:r>
      <w:r>
        <w:rPr>
          <w:rStyle w:val="Text6"/>
        </w:rPr>
        <w:t xml:space="preserve"> </w:t>
        <w:br w:clear="none"/>
      </w:r>
      <w:r>
        <w:t xml:space="preserve">sin_degrees</w:t>
        <w:br w:clear="none"/>
      </w:r>
      <w:r>
        <w:rPr>
          <w:rStyle w:val="Text13"/>
        </w:rPr>
        <w:t xml:space="preserve">.</w:t>
        <w:br w:clear="none"/>
      </w:r>
      <w:r>
        <w:t xml:space="preserve">_cached_values</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6"/>
        </w:rPr>
        <w:t xml:space="preserve"> </w:t>
        <w:br w:clear="none"/>
      </w:r>
      <w:r>
        <w:rPr>
          <w:rStyle w:val="Text31"/>
        </w:rPr>
        <w:t xml:space="preserve">not</w:t>
        <w:br w:clear="none"/>
      </w:r>
      <w:r>
        <w:rPr>
          <w:rStyle w:val="Text6"/>
        </w:rPr>
        <w:t xml:space="preserve"> </w:t>
        <w:br w:clear="none"/>
      </w:r>
      <w:r>
        <w:rPr>
          <w:rStyle w:val="Text31"/>
        </w:rPr>
        <w:t xml:space="preserve">in</w:t>
        <w:br w:clear="none"/>
      </w:r>
      <w:r>
        <w:rPr>
          <w:rStyle w:val="Text6"/>
        </w:rPr>
        <w:t xml:space="preserve"> </w:t>
        <w:br w:clear="none"/>
      </w:r>
      <w:r>
        <w:t xml:space="preserve">cache</w:t>
        <w:br w:clear="none"/>
      </w:r>
      <w:r>
        <w:rPr>
          <w:rStyle w:val="Text7"/>
        </w:rPr>
        <w:t xml:space="preserve">:</w:t>
        <w:br w:clear="none"/>
      </w:r>
      <w:r>
        <w:rPr>
          <w:rStyle w:val="Text6"/>
        </w:rPr>
        <w:t xml:space="preserve"/>
        <w:br w:clear="none"/>
        <w:t xml:space="preserve">        </w:t>
        <w:br w:clear="none"/>
      </w:r>
      <w:r>
        <w:t xml:space="preserve">cache</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cache</w:t>
        <w:br w:clear="none"/>
      </w:r>
      <w:r>
        <w:rPr>
          <w:rStyle w:val="Text7"/>
        </w:rPr>
        <w:t xml:space="preserve">[</w:t>
        <w:br w:clear="none"/>
      </w:r>
      <w:r>
        <w:t xml:space="preserve">x</w:t>
        <w:br w:clear="none"/>
      </w:r>
      <w:r>
        <w:rPr>
          <w:rStyle w:val="Text7"/>
        </w:rPr>
        <w:t xml:space="preserve">]</w:t>
        <w:br w:clear="none"/>
      </w:r>
      <w:r>
        <w:rPr>
          <w:rStyle w:val="Text6"/>
        </w:rPr>
        <w:t xml:space="preserve"/>
        <w:br w:clear="none"/>
      </w:r>
      <w:r>
        <w:t xml:space="preserve">sin_degrees</w:t>
        <w:br w:clear="none"/>
      </w:r>
      <w:r>
        <w:rPr>
          <w:rStyle w:val="Text13"/>
        </w:rPr>
        <w:t xml:space="preserve">.</w:t>
        <w:br w:clear="none"/>
      </w:r>
      <w:r>
        <w:t xml:space="preserve">_cached_values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p>
    <w:p>
      <w:pPr>
        <w:pStyle w:val="Normal"/>
      </w:pPr>
      <w:r>
        <w:t>Caching is a classic approach to gain performance at the expense of using memory (the</w:t>
      </w:r>
      <w:r>
        <w:rPr>
          <w:rStyle w:val="Text111"/>
        </w:rPr>
        <w:bookmarkStart w:id="3884" w:name="idm45965178905152"/>
        <w:t/>
        <w:bookmarkEnd w:id="3884"/>
      </w:r>
      <w:r>
        <w:t xml:space="preserve"> </w:t>
      </w:r>
      <w:r>
        <w:rPr>
          <w:rStyle w:val="Text4"/>
        </w:rPr>
        <w:t>time–memory trade-off</w:t>
      </w:r>
      <w:r>
        <w:t xml:space="preserve">). The cache in this example is unbounded, so, as </w:t>
      </w:r>
      <w:r>
        <w:rPr>
          <w:rStyle w:val="Text0"/>
        </w:rPr>
        <w:t>sin_degrees</w:t>
      </w:r>
      <w:r>
        <w:t xml:space="preserve"> is called with many different values of </w:t>
      </w:r>
      <w:r>
        <w:rPr>
          <w:rStyle w:val="Text0"/>
        </w:rPr>
        <w:t>x</w:t>
      </w:r>
      <w:r>
        <w:t>, the cache will continue to grow, consuming more and more program memory. Caches are often configured with an</w:t>
      </w:r>
      <w:r>
        <w:rPr>
          <w:rStyle w:val="Text111"/>
        </w:rPr>
        <w:bookmarkStart w:id="3885" w:name="idm45965178914672"/>
        <w:t/>
        <w:bookmarkEnd w:id="3885"/>
      </w:r>
      <w:r>
        <w:t xml:space="preserve"> </w:t>
      </w:r>
      <w:r>
        <w:rPr>
          <w:rStyle w:val="Text4"/>
        </w:rPr>
        <w:t>eviction policy</w:t>
      </w:r>
      <w:r>
        <w:t xml:space="preserve">, which determines when values can be removed from the cache. Removing the oldest cached value is a common eviction policy. Since Python keeps </w:t>
      </w:r>
      <w:r>
        <w:rPr>
          <w:rStyle w:val="Text0"/>
        </w:rPr>
        <w:t>dict</w:t>
      </w:r>
      <w:r>
        <w:t xml:space="preserve"> entries in insertion order, the “oldest” key will be the first one found if we iterate over the </w:t>
      </w:r>
      <w:r>
        <w:rPr>
          <w:rStyle w:val="Text0"/>
        </w:rPr>
        <w:t>dict</w:t>
      </w:r>
      <w:r>
        <w:t>:</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sin_degrees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t xml:space="preserve">cache</w:t>
        <w:br w:clear="none"/>
      </w:r>
      <w:r>
        <w:rPr>
          <w:rStyle w:val="Text6"/>
        </w:rPr>
        <w:t xml:space="preserve"> </w:t>
        <w:br w:clear="none"/>
      </w:r>
      <w:r>
        <w:rPr>
          <w:rStyle w:val="Text13"/>
        </w:rPr>
        <w:t xml:space="preserve">=</w:t>
        <w:br w:clear="none"/>
      </w:r>
      <w:r>
        <w:rPr>
          <w:rStyle w:val="Text6"/>
        </w:rPr>
        <w:t xml:space="preserve"> </w:t>
        <w:br w:clear="none"/>
      </w:r>
      <w:r>
        <w:t xml:space="preserve">sin_degrees</w:t>
        <w:br w:clear="none"/>
      </w:r>
      <w:r>
        <w:rPr>
          <w:rStyle w:val="Text13"/>
        </w:rPr>
        <w:t xml:space="preserve">.</w:t>
        <w:br w:clear="none"/>
      </w:r>
      <w:r>
        <w:t xml:space="preserve">_cached_values</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x</w:t>
        <w:br w:clear="none"/>
      </w:r>
      <w:r>
        <w:rPr>
          <w:rStyle w:val="Text6"/>
        </w:rPr>
        <w:t xml:space="preserve"> </w:t>
        <w:br w:clear="none"/>
      </w:r>
      <w:r>
        <w:rPr>
          <w:rStyle w:val="Text31"/>
        </w:rPr>
        <w:t xml:space="preserve">not</w:t>
        <w:br w:clear="none"/>
      </w:r>
      <w:r>
        <w:rPr>
          <w:rStyle w:val="Text6"/>
        </w:rPr>
        <w:t xml:space="preserve"> </w:t>
        <w:br w:clear="none"/>
      </w:r>
      <w:r>
        <w:rPr>
          <w:rStyle w:val="Text31"/>
        </w:rPr>
        <w:t xml:space="preserve">in</w:t>
        <w:br w:clear="none"/>
      </w:r>
      <w:r>
        <w:rPr>
          <w:rStyle w:val="Text6"/>
        </w:rPr>
        <w:t xml:space="preserve"> </w:t>
        <w:br w:clear="none"/>
      </w:r>
      <w:r>
        <w:t xml:space="preserve">cache</w:t>
        <w:br w:clear="none"/>
      </w:r>
      <w:r>
        <w:rPr>
          <w:rStyle w:val="Text7"/>
        </w:rPr>
        <w:t xml:space="preserve">:</w:t>
        <w:br w:clear="none"/>
      </w:r>
      <w:r>
        <w:rPr>
          <w:rStyle w:val="Text6"/>
        </w:rPr>
        <w:t xml:space="preserve"/>
        <w:br w:clear="none"/>
        <w:t xml:space="preserve">        </w:t>
        <w:br w:clear="none"/>
      </w:r>
      <w:r>
        <w:t xml:space="preserve">cache</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r>
      <w:r>
        <w:rPr>
          <w:rStyle w:val="Text11"/>
        </w:rPr>
        <w:t xml:space="preserve">        </w:t>
        <w:br w:clear="none"/>
      </w:r>
      <w:r>
        <w:rPr>
          <w:rStyle w:val="Text15"/>
        </w:rPr>
        <w:t xml:space="preserve"># remove oldest cache entry if exceed maxsize limit</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16"/>
        </w:rPr>
        <w:t xml:space="preserve">len</w:t>
        <w:br w:clear="none"/>
      </w:r>
      <w:r>
        <w:rPr>
          <w:rStyle w:val="Text7"/>
        </w:rPr>
        <w:t xml:space="preserve">(</w:t>
        <w:br w:clear="none"/>
      </w:r>
      <w:r>
        <w:t xml:space="preserve">cache</w:t>
        <w:br w:clear="none"/>
      </w:r>
      <w:r>
        <w:rPr>
          <w:rStyle w:val="Text7"/>
        </w:rPr>
        <w:t xml:space="preserve">)</w:t>
        <w:br w:clear="none"/>
      </w:r>
      <w:r>
        <w:rPr>
          <w:rStyle w:val="Text6"/>
        </w:rPr>
        <w:t xml:space="preserve"> </w:t>
        <w:br w:clear="none"/>
      </w:r>
      <w:r>
        <w:rPr>
          <w:rStyle w:val="Text13"/>
        </w:rPr>
        <w:t xml:space="preserve">&gt;</w:t>
        <w:br w:clear="none"/>
      </w:r>
      <w:r>
        <w:rPr>
          <w:rStyle w:val="Text6"/>
        </w:rPr>
        <w:t xml:space="preserve"> </w:t>
        <w:br w:clear="none"/>
      </w:r>
      <w:r>
        <w:t xml:space="preserve">sin_degrees</w:t>
        <w:br w:clear="none"/>
      </w:r>
      <w:r>
        <w:rPr>
          <w:rStyle w:val="Text13"/>
        </w:rPr>
        <w:t xml:space="preserve">.</w:t>
        <w:br w:clear="none"/>
      </w:r>
      <w:r>
        <w:t xml:space="preserve">_maxsize</w:t>
        <w:br w:clear="none"/>
      </w:r>
      <w:r>
        <w:rPr>
          <w:rStyle w:val="Text7"/>
        </w:rPr>
        <w:t xml:space="preserve">:</w:t>
        <w:br w:clear="none"/>
      </w:r>
      <w:r>
        <w:rPr>
          <w:rStyle w:val="Text6"/>
        </w:rPr>
        <w:t xml:space="preserve"/>
        <w:br w:clear="none"/>
        <w:t xml:space="preserve">            </w:t>
        <w:br w:clear="none"/>
      </w:r>
      <w:r>
        <w:t xml:space="preserve">oldest_key</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next</w:t>
        <w:br w:clear="none"/>
      </w:r>
      <w:r>
        <w:rPr>
          <w:rStyle w:val="Text7"/>
        </w:rPr>
        <w:t xml:space="preserve">(</w:t>
        <w:br w:clear="none"/>
      </w:r>
      <w:r>
        <w:rPr>
          <w:rStyle w:val="Text16"/>
        </w:rPr>
        <w:t xml:space="preserve">iter</w:t>
        <w:br w:clear="none"/>
      </w:r>
      <w:r>
        <w:rPr>
          <w:rStyle w:val="Text7"/>
        </w:rPr>
        <w:t xml:space="preserve">(</w:t>
        <w:br w:clear="none"/>
      </w:r>
      <w:r>
        <w:t xml:space="preserve">cache</w:t>
        <w:br w:clear="none"/>
      </w:r>
      <w:r>
        <w:rPr>
          <w:rStyle w:val="Text7"/>
        </w:rPr>
        <w:t xml:space="preserve">)</w:t>
        <w:br w:clear="none"/>
        <w:t xml:space="preserve">)</w:t>
        <w:br w:clear="none"/>
      </w:r>
      <w:r>
        <w:rPr>
          <w:rStyle w:val="Text6"/>
        </w:rPr>
        <w:t xml:space="preserve"/>
        <w:br w:clear="none"/>
        <w:t xml:space="preserve">            </w:t>
        <w:br w:clear="none"/>
      </w:r>
      <w:r>
        <w:rPr>
          <w:rStyle w:val="Text39"/>
        </w:rPr>
        <w:t xml:space="preserve">del</w:t>
        <w:br w:clear="none"/>
      </w:r>
      <w:r>
        <w:rPr>
          <w:rStyle w:val="Text6"/>
        </w:rPr>
        <w:t xml:space="preserve"> </w:t>
        <w:br w:clear="none"/>
      </w:r>
      <w:r>
        <w:t xml:space="preserve">cache</w:t>
        <w:br w:clear="none"/>
      </w:r>
      <w:r>
        <w:rPr>
          <w:rStyle w:val="Text7"/>
        </w:rPr>
        <w:t xml:space="preserve">[</w:t>
        <w:br w:clear="none"/>
      </w:r>
      <w:r>
        <w:t xml:space="preserve">oldest_key</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cache</w:t>
        <w:br w:clear="none"/>
      </w:r>
      <w:r>
        <w:rPr>
          <w:rStyle w:val="Text7"/>
        </w:rPr>
        <w:t xml:space="preserve">[</w:t>
        <w:br w:clear="none"/>
      </w:r>
      <w:r>
        <w:t xml:space="preserve">x</w:t>
        <w:br w:clear="none"/>
      </w:r>
      <w:r>
        <w:rPr>
          <w:rStyle w:val="Text7"/>
        </w:rPr>
        <w:t xml:space="preserve">]</w:t>
        <w:br w:clear="none"/>
      </w:r>
      <w:r>
        <w:rPr>
          <w:rStyle w:val="Text6"/>
        </w:rPr>
        <w:t xml:space="preserve"/>
        <w:br w:clear="none"/>
      </w:r>
      <w:r>
        <w:t xml:space="preserve">sin_degrees</w:t>
        <w:br w:clear="none"/>
      </w:r>
      <w:r>
        <w:rPr>
          <w:rStyle w:val="Text13"/>
        </w:rPr>
        <w:t xml:space="preserve">.</w:t>
        <w:br w:clear="none"/>
      </w:r>
      <w:r>
        <w:t xml:space="preserve">_cached_values</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t xml:space="preserve">}</w:t>
        <w:br w:clear="none"/>
      </w:r>
      <w:r>
        <w:rPr>
          <w:rStyle w:val="Text6"/>
        </w:rPr>
        <w:t xml:space="preserve"/>
        <w:br w:clear="none"/>
      </w:r>
      <w:r>
        <w:t xml:space="preserve">sin_degrees</w:t>
        <w:br w:clear="none"/>
      </w:r>
      <w:r>
        <w:rPr>
          <w:rStyle w:val="Text13"/>
        </w:rPr>
        <w:t xml:space="preserve">.</w:t>
        <w:br w:clear="none"/>
      </w:r>
      <w:r>
        <w:t xml:space="preserve">_maxsize</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512</w:t>
        <w:br w:clear="none"/>
      </w:r>
    </w:p>
    <w:p>
      <w:pPr>
        <w:pStyle w:val="Normal"/>
      </w:pPr>
      <w:r>
        <w:t xml:space="preserve">You can see that this starts to complicate the code, with the original logic for computing the sine of a value given in degrees hidden inside all the caching logic. The Python stdlib module </w:t>
      </w:r>
      <w:r>
        <w:rPr>
          <w:rStyle w:val="Text0"/>
        </w:rPr>
        <w:t>functools</w:t>
      </w:r>
      <w:r>
        <w:t xml:space="preserve"> includes caching decorators </w:t>
      </w:r>
      <w:r>
        <w:rPr>
          <w:rStyle w:val="Text0"/>
        </w:rPr>
        <w:t>lru_cache</w:t>
      </w:r>
      <w:r>
        <w:t xml:space="preserve">, </w:t>
      </w:r>
      <w:r>
        <w:rPr>
          <w:rStyle w:val="Text34"/>
        </w:rPr>
        <w:t>3.9+</w:t>
      </w:r>
      <w:r>
        <w:t xml:space="preserve"> </w:t>
      </w:r>
      <w:r>
        <w:rPr>
          <w:rStyle w:val="Text0"/>
        </w:rPr>
        <w:t>cache</w:t>
      </w:r>
      <w:r>
        <w:t xml:space="preserve">, and </w:t>
      </w:r>
      <w:r>
        <w:rPr>
          <w:rStyle w:val="Text34"/>
        </w:rPr>
        <w:t>3.8+</w:t>
      </w:r>
      <w:r>
        <w:t xml:space="preserve"> </w:t>
      </w:r>
      <w:r>
        <w:rPr>
          <w:rStyle w:val="Text0"/>
        </w:rPr>
        <w:t>cached_property</w:t>
      </w:r>
      <w:r>
        <w:t xml:space="preserve"> to perform memoization cleanly. For example: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functools</w:t>
        <w:br w:clear="none"/>
      </w:r>
      <w:r>
        <w:rPr>
          <w:rStyle w:val="Text6"/>
        </w:rPr>
        <w:t xml:space="preserve"/>
        <w:br w:clear="none"/>
      </w:r>
      <w:r>
        <w:rPr>
          <w:rStyle w:val="Text44"/>
        </w:rPr>
        <w:t xml:space="preserve">@functools</w:t>
        <w:br w:clear="none"/>
      </w:r>
      <w:r>
        <w:rPr>
          <w:rStyle w:val="Text13"/>
        </w:rPr>
        <w:t xml:space="preserve">.</w:t>
        <w:br w:clear="none"/>
      </w:r>
      <w:r>
        <w:t xml:space="preserve">lru_cache</w:t>
        <w:br w:clear="none"/>
      </w:r>
      <w:r>
        <w:rPr>
          <w:rStyle w:val="Text7"/>
        </w:rPr>
        <w:t xml:space="preserve">(</w:t>
        <w:br w:clear="none"/>
      </w:r>
      <w:r>
        <w:t xml:space="preserve">maxsize</w:t>
        <w:br w:clear="none"/>
      </w:r>
      <w:r>
        <w:rPr>
          <w:rStyle w:val="Text13"/>
        </w:rPr>
        <w:t xml:space="preserve">=</w:t>
        <w:br w:clear="none"/>
      </w:r>
      <w:r>
        <w:rPr>
          <w:rStyle w:val="Text27"/>
        </w:rPr>
        <w:t xml:space="preserve">512</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sin_degrees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p>
    <w:p>
      <w:pPr>
        <w:pStyle w:val="Normal"/>
      </w:pPr>
      <w:r>
        <w:t xml:space="preserve">The signatures for these decorators are described in detail in </w:t>
      </w:r>
      <w:hyperlink w:anchor="The_functools_Module__The_functo">
        <w:r>
          <w:rPr>
            <w:rStyle w:val="Text1"/>
          </w:rPr>
          <w:t>“The functools Module”</w:t>
        </w:r>
      </w:hyperlink>
      <w:r>
        <w:t>.</w:t>
      </w:r>
    </w:p>
    <w:p>
      <w:pPr>
        <w:keepNext/>
        <w:pStyle w:val="Heading 6"/>
        <w:keepLines w:val="on"/>
      </w:pPr>
      <w:r>
        <w:t>Caching Floating-Point Values Can Give Undesirable Behavior</w:t>
      </w:r>
    </w:p>
    <w:p>
      <w:pPr>
        <w:pStyle w:val="Para 012"/>
        <w:keepLines w:val="on"/>
      </w:pPr>
      <w:r>
        <w:t>As</w:t>
      </w:r>
      <w:r>
        <w:rPr>
          <w:rStyle w:val="Text111"/>
        </w:rPr>
        <w:bookmarkStart w:id="3886" w:name="idm45965178724800"/>
        <w:t/>
        <w:bookmarkEnd w:id="3886"/>
      </w:r>
      <w:r>
        <w:t xml:space="preserve"> was described in </w:t>
      </w:r>
      <w:hyperlink w:anchor="Floating_Point_Values__Python_re">
        <w:r>
          <w:rPr>
            <w:rStyle w:val="Text1"/>
          </w:rPr>
          <w:t>“Floating-Point Values”</w:t>
        </w:r>
      </w:hyperlink>
      <w:r>
        <w:t xml:space="preserve">, comparing </w:t>
      </w:r>
      <w:r>
        <w:rPr>
          <w:rStyle w:val="Text0"/>
        </w:rPr>
        <w:t>float</w:t>
      </w:r>
      <w:r>
        <w:t xml:space="preserve"> values for equality can return </w:t>
      </w:r>
      <w:r>
        <w:rPr>
          <w:rStyle w:val="Text5"/>
        </w:rPr>
        <w:t>False</w:t>
      </w:r>
      <w:r>
        <w:t xml:space="preserve"> when the values are actually within some expected tolerance for being considered equal. With an unbounded cache, a cache containing </w:t>
      </w:r>
      <w:r>
        <w:rPr>
          <w:rStyle w:val="Text0"/>
        </w:rPr>
        <w:t>float</w:t>
      </w:r>
      <w:r>
        <w:t xml:space="preserve"> keys may grow unexpectedly large by caching multiple values that differ only in the 18th decimal place. For a bounded cache, many </w:t>
      </w:r>
      <w:r>
        <w:rPr>
          <w:rStyle w:val="Text0"/>
        </w:rPr>
        <w:t>float</w:t>
      </w:r>
      <w:r>
        <w:t xml:space="preserve"> keys that are very nearly equal may cause the unwanted eviction of other values that are significantly different.</w:t>
      </w:r>
    </w:p>
    <w:p>
      <w:pPr>
        <w:pStyle w:val="Para 012"/>
        <w:keepLines w:val="on"/>
      </w:pPr>
      <w:r>
        <w:t xml:space="preserve">All the cache techniques listed here use equality matching, so code for memoizing a function with one or more </w:t>
      </w:r>
      <w:r>
        <w:rPr>
          <w:rStyle w:val="Text0"/>
        </w:rPr>
        <w:t>float</w:t>
      </w:r>
      <w:r>
        <w:t xml:space="preserve"> arguments should take extra steps to cache rounded values, or use </w:t>
      </w:r>
      <w:r>
        <w:rPr>
          <w:rStyle w:val="Text0"/>
        </w:rPr>
        <w:t>math.isclose</w:t>
      </w:r>
      <w:r>
        <w:t xml:space="preserve"> for matching.</w:t>
      </w:r>
      <w:r>
        <w:rPr>
          <w:rStyle w:val="Text111"/>
        </w:rPr>
        <w:bookmarkStart w:id="3887" w:name="idm45965178690016"/>
        <w:t/>
        <w:bookmarkEnd w:id="3887"/>
        <w:bookmarkStart w:id="3888" w:name="idm45965178688800"/>
        <w:t/>
        <w:bookmarkEnd w:id="3888"/>
      </w:r>
    </w:p>
    <w:p>
      <w:bookmarkStart w:id="3889" w:name="Precomputing_a_lookup_table__In"/>
      <w:pPr>
        <w:keepNext/>
        <w:pStyle w:val="Heading 2"/>
      </w:pPr>
      <w:r>
        <w:t>Precomputing a lookup table</w:t>
      </w:r>
      <w:bookmarkEnd w:id="3889"/>
    </w:p>
    <w:p>
      <w:pPr>
        <w:pStyle w:val="Normal"/>
      </w:pPr>
      <w:r>
        <w:t>In</w:t>
      </w:r>
      <w:r>
        <w:rPr>
          <w:rStyle w:val="Text111"/>
        </w:rPr>
        <w:bookmarkStart w:id="3890" w:name="idm45965178685680"/>
        <w:t/>
        <w:bookmarkEnd w:id="3890"/>
      </w:r>
      <w:r>
        <w:t xml:space="preserve"> some cases, you can predict all the values that your code will use when calling a particular function. This allows you to precompute the values and save them in a lookup table. For example, in our application that is going to compute the </w:t>
      </w:r>
      <w:r>
        <w:rPr>
          <w:rStyle w:val="Text0"/>
        </w:rPr>
        <w:t>sin</w:t>
      </w:r>
      <w:r>
        <w:t xml:space="preserve"> function for the integer degree values </w:t>
      </w:r>
      <w:r>
        <w:rPr>
          <w:rStyle w:val="Text0"/>
        </w:rPr>
        <w:t>0</w:t>
      </w:r>
      <w:r>
        <w:t xml:space="preserve"> to </w:t>
      </w:r>
      <w:r>
        <w:rPr>
          <w:rStyle w:val="Text0"/>
        </w:rPr>
        <w:t>360</w:t>
      </w:r>
      <w:r>
        <w:t xml:space="preserve">, we can perform this work just once at program startup and keep the results in a Python </w:t>
      </w:r>
      <w:r>
        <w:rPr>
          <w:rStyle w:val="Text0"/>
        </w:rPr>
        <w:t>dict</w:t>
      </w:r>
      <w:r>
        <w:t>:</w:t>
      </w:r>
    </w:p>
    <w:p>
      <w:pPr>
        <w:pStyle w:val="Para 007"/>
      </w:pPr>
      <w:r>
        <w:rPr>
          <w:rStyle w:val="Text23"/>
        </w:rPr>
        <w:t xml:space="preserve"/>
        <w:br w:clear="none"/>
      </w:r>
      <w:r>
        <w:t xml:space="preserve">_sin_degrees_lookup</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t xml:space="preserve">math</w:t>
        <w:br w:clear="none"/>
      </w:r>
      <w:r>
        <w:rPr>
          <w:rStyle w:val="Text13"/>
        </w:rPr>
        <w:t xml:space="preserve">.</w:t>
        <w:br w:clear="none"/>
      </w:r>
      <w:r>
        <w:t xml:space="preserve">sin</w:t>
        <w:br w:clear="none"/>
      </w:r>
      <w:r>
        <w:rPr>
          <w:rStyle w:val="Text7"/>
        </w:rPr>
        <w:t xml:space="preserve">(</w:t>
        <w:br w:clear="none"/>
      </w:r>
      <w:r>
        <w:t xml:space="preserve">math</w:t>
        <w:br w:clear="none"/>
      </w:r>
      <w:r>
        <w:rPr>
          <w:rStyle w:val="Text13"/>
        </w:rPr>
        <w:t xml:space="preserve">.</w:t>
        <w:br w:clear="none"/>
      </w:r>
      <w:r>
        <w:t xml:space="preserve">radians</w:t>
        <w:br w:clear="none"/>
      </w:r>
      <w:r>
        <w:rPr>
          <w:rStyle w:val="Text7"/>
        </w:rPr>
        <w:t xml:space="preserve">(</w:t>
        <w:br w:clear="none"/>
      </w:r>
      <w:r>
        <w:t xml:space="preserve">x</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t>
        <w:br w:clear="none"/>
      </w:r>
      <w:r>
        <w:rPr>
          <w:rStyle w:val="Text27"/>
        </w:rPr>
        <w:t xml:space="preserve">360</w:t>
        <w:br w:clear="none"/>
      </w:r>
      <w:r>
        <w:rPr>
          <w:rStyle w:val="Text13"/>
        </w:rPr>
        <w:t xml:space="preserve">+</w:t>
        <w:br w:clear="none"/>
      </w:r>
      <w:r>
        <w:rPr>
          <w:rStyle w:val="Text27"/>
        </w:rPr>
        <w:t xml:space="preserve">1</w:t>
        <w:br w:clear="none"/>
      </w:r>
      <w:r>
        <w:rPr>
          <w:rStyle w:val="Text7"/>
        </w:rPr>
        <w:t xml:space="preserve">)</w:t>
        <w:br w:clear="none"/>
        <w:t xml:space="preserve">}</w:t>
        <w:br w:clear="none"/>
      </w:r>
      <w:r>
        <w:rPr>
          <w:rStyle w:val="Text6"/>
        </w:rPr>
        <w:t xml:space="preserve"/>
        <w:br w:clear="none"/>
      </w:r>
      <w:r>
        <w:t xml:space="preserve">sin_degrees</w:t>
        <w:br w:clear="none"/>
      </w:r>
      <w:r>
        <w:rPr>
          <w:rStyle w:val="Text6"/>
        </w:rPr>
        <w:t xml:space="preserve"> </w:t>
        <w:br w:clear="none"/>
      </w:r>
      <w:r>
        <w:rPr>
          <w:rStyle w:val="Text13"/>
        </w:rPr>
        <w:t xml:space="preserve">=</w:t>
        <w:br w:clear="none"/>
      </w:r>
      <w:r>
        <w:rPr>
          <w:rStyle w:val="Text6"/>
        </w:rPr>
        <w:t xml:space="preserve"> </w:t>
        <w:br w:clear="none"/>
      </w:r>
      <w:r>
        <w:t xml:space="preserve">_sin_degrees_lookup</w:t>
        <w:br w:clear="none"/>
      </w:r>
      <w:r>
        <w:rPr>
          <w:rStyle w:val="Text13"/>
        </w:rPr>
        <w:t xml:space="preserve">.</w:t>
        <w:br w:clear="none"/>
      </w:r>
      <w:r>
        <w:t xml:space="preserve">get</w:t>
        <w:br w:clear="none"/>
      </w:r>
    </w:p>
    <w:p>
      <w:pPr>
        <w:pStyle w:val="Normal"/>
      </w:pPr>
      <w:r>
        <w:t xml:space="preserve">Binding </w:t>
      </w:r>
      <w:r>
        <w:rPr>
          <w:rStyle w:val="Text0"/>
        </w:rPr>
        <w:t>sin_degrees</w:t>
      </w:r>
      <w:r>
        <w:t xml:space="preserve"> to the </w:t>
      </w:r>
      <w:r>
        <w:rPr>
          <w:rStyle w:val="Text0"/>
        </w:rPr>
        <w:t>_sin_degrees_lookup</w:t>
      </w:r>
      <w:r>
        <w:t xml:space="preserve"> </w:t>
      </w:r>
      <w:r>
        <w:rPr>
          <w:rStyle w:val="Text0"/>
        </w:rPr>
        <w:t>dict</w:t>
      </w:r>
      <w:r>
        <w:t xml:space="preserve">’s </w:t>
      </w:r>
      <w:r>
        <w:rPr>
          <w:rStyle w:val="Text0"/>
        </w:rPr>
        <w:t>get</w:t>
      </w:r>
      <w:r>
        <w:t xml:space="preserve"> method means the rest of our program can still call </w:t>
      </w:r>
      <w:r>
        <w:rPr>
          <w:rStyle w:val="Text0"/>
        </w:rPr>
        <w:t>sin_degrees</w:t>
      </w:r>
      <w:r>
        <w:t xml:space="preserve"> as a function, but now the value retrieval occurs at the speed of a </w:t>
      </w:r>
      <w:r>
        <w:rPr>
          <w:rStyle w:val="Text0"/>
        </w:rPr>
        <w:t>dict</w:t>
      </w:r>
      <w:r>
        <w:t xml:space="preserve"> lookup, with no additional function overhead.</w:t>
      </w:r>
    </w:p>
    <w:p>
      <w:bookmarkStart w:id="3891" w:name="Building_up_a_string_from_pieces"/>
      <w:pPr>
        <w:keepNext/>
        <w:pStyle w:val="Heading 2"/>
      </w:pPr>
      <w:r>
        <w:t>Building up a string from pieces</w:t>
      </w:r>
      <w:bookmarkEnd w:id="3891"/>
    </w:p>
    <w:p>
      <w:pPr>
        <w:pStyle w:val="Normal"/>
      </w:pPr>
      <w:r>
        <w:t>The</w:t>
      </w:r>
      <w:r>
        <w:rPr>
          <w:rStyle w:val="Text111"/>
        </w:rPr>
        <w:bookmarkStart w:id="3892" w:name="idm45965178642544"/>
        <w:t/>
        <w:bookmarkEnd w:id="3892"/>
      </w:r>
      <w:r>
        <w:t xml:space="preserve"> single Python “anti-idiom” that is most likely to damage your program’s performance, to the point that you should </w:t>
      </w:r>
      <w:r>
        <w:rPr>
          <w:rStyle w:val="Text4"/>
        </w:rPr>
        <w:t>never</w:t>
      </w:r>
      <w:r>
        <w:t xml:space="preserve"> use it, is to build up a large string from pieces by looping on string concatenation statements such as </w:t>
      </w:r>
      <w:r>
        <w:rPr>
          <w:rStyle w:val="Text0"/>
        </w:rPr>
        <w:t>big_string</w:t>
      </w:r>
      <w:r>
        <w:t xml:space="preserve"> </w:t>
      </w:r>
      <w:r>
        <w:rPr>
          <w:rStyle w:val="Text0"/>
        </w:rPr>
        <w:t>+= piece</w:t>
      </w:r>
      <w:r>
        <w:t xml:space="preserve">. Python strings are immutable, so each such concatenation means that Python must free the </w:t>
      </w:r>
      <w:r>
        <w:rPr>
          <w:rStyle w:val="Text3"/>
        </w:rPr>
        <w:t>M</w:t>
      </w:r>
      <w:r>
        <w:t xml:space="preserve"> bytes previously allocated for </w:t>
      </w:r>
      <w:r>
        <w:rPr>
          <w:rStyle w:val="Text0"/>
        </w:rPr>
        <w:t>big_string</w:t>
      </w:r>
      <w:r>
        <w:t xml:space="preserve">, and allocate and fill </w:t>
      </w:r>
      <w:r>
        <w:rPr>
          <w:rStyle w:val="Text3"/>
        </w:rPr>
        <w:t>M</w:t>
      </w:r>
      <w:r>
        <w:t xml:space="preserve"> </w:t>
      </w:r>
      <w:r>
        <w:rPr>
          <w:rStyle w:val="Text0"/>
        </w:rPr>
        <w:t>+</w:t>
      </w:r>
      <w:r>
        <w:t xml:space="preserve"> </w:t>
      </w:r>
      <w:r>
        <w:rPr>
          <w:rStyle w:val="Text3"/>
        </w:rPr>
        <w:t>K</w:t>
      </w:r>
      <w:r>
        <w:t xml:space="preserve"> bytes for the new version. Doing this repeatedly in a loop, you end up with roughly </w:t>
      </w:r>
      <w:r>
        <w:rPr>
          <w:rStyle w:val="Text0"/>
        </w:rPr>
        <w:t>O(</w:t>
      </w:r>
      <w:r>
        <w:rPr>
          <w:rStyle w:val="Text3"/>
        </w:rPr>
        <w:t>N</w:t>
      </w:r>
      <w:r>
        <w:rPr>
          <w:rStyle w:val="Text0"/>
        </w:rPr>
        <w:t>²)</w:t>
      </w:r>
      <w:r>
        <w:t xml:space="preserve"> performance, where </w:t>
      </w:r>
      <w:r>
        <w:rPr>
          <w:rStyle w:val="Text3"/>
        </w:rPr>
        <w:t>N</w:t>
      </w:r>
      <w:r>
        <w:t xml:space="preserve"> is the total number of characters. More often than not, getting </w:t>
      </w:r>
      <w:r>
        <w:rPr>
          <w:rStyle w:val="Text0"/>
        </w:rPr>
        <w:t>O(</w:t>
      </w:r>
      <w:r>
        <w:rPr>
          <w:rStyle w:val="Text3"/>
        </w:rPr>
        <w:t>N</w:t>
      </w:r>
      <w:r>
        <w:rPr>
          <w:rStyle w:val="Text0"/>
        </w:rPr>
        <w:t>²)</w:t>
      </w:r>
      <w:r>
        <w:t xml:space="preserve"> performance where </w:t>
      </w:r>
      <w:r>
        <w:rPr>
          <w:rStyle w:val="Text0"/>
        </w:rPr>
        <w:t>O(</w:t>
      </w:r>
      <w:r>
        <w:rPr>
          <w:rStyle w:val="Text3"/>
        </w:rPr>
        <w:t>N</w:t>
      </w:r>
      <w:r>
        <w:rPr>
          <w:rStyle w:val="Text0"/>
        </w:rPr>
        <w:t>)</w:t>
      </w:r>
      <w:r>
        <w:t xml:space="preserve"> is easily available is a disaster.</w:t>
      </w:r>
      <w:hyperlink w:anchor="11_Even_though_current_Python_im">
        <w:r>
          <w:rPr>
            <w:rStyle w:val="Text41"/>
          </w:rPr>
          <w:bookmarkStart w:id="3893" w:name="11_3"/>
          <w:t>11</w:t>
          <w:bookmarkEnd w:id="3893"/>
        </w:r>
      </w:hyperlink>
      <w:r>
        <w:t xml:space="preserve"> On some platforms, things may be even bleaker due to memory fragmentation effects caused by freeing many areas of progressively larger sizes.</w:t>
      </w:r>
    </w:p>
    <w:p>
      <w:pPr>
        <w:pStyle w:val="Normal"/>
      </w:pPr>
      <w:r>
        <w:t xml:space="preserve">To achieve </w:t>
      </w:r>
      <w:r>
        <w:rPr>
          <w:rStyle w:val="Text0"/>
        </w:rPr>
        <w:t>O(</w:t>
      </w:r>
      <w:r>
        <w:rPr>
          <w:rStyle w:val="Text3"/>
        </w:rPr>
        <w:t>N</w:t>
      </w:r>
      <w:r>
        <w:rPr>
          <w:rStyle w:val="Text0"/>
        </w:rPr>
        <w:t>)</w:t>
      </w:r>
      <w:r>
        <w:t xml:space="preserve"> performance, accumulate intermediate pieces in a list, rather than building up the string piece by piece. Lists, unlike strings, are mutable, so appending to a list is </w:t>
      </w:r>
      <w:r>
        <w:rPr>
          <w:rStyle w:val="Text0"/>
        </w:rPr>
        <w:t>O(1)</w:t>
      </w:r>
      <w:r>
        <w:t xml:space="preserve"> (amortized). Change each occurrence of </w:t>
      </w:r>
      <w:r>
        <w:rPr>
          <w:rStyle w:val="Text0"/>
        </w:rPr>
        <w:t>big_string</w:t>
      </w:r>
      <w:r>
        <w:t xml:space="preserve"> </w:t>
      </w:r>
      <w:r>
        <w:rPr>
          <w:rStyle w:val="Text0"/>
        </w:rPr>
        <w:t>+= piece</w:t>
      </w:r>
      <w:r>
        <w:t xml:space="preserve"> into </w:t>
      </w:r>
      <w:r>
        <w:rPr>
          <w:rStyle w:val="Text0"/>
        </w:rPr>
        <w:t>temp_list.append(piece)</w:t>
      </w:r>
      <w:r>
        <w:t xml:space="preserve">. Then, when you’re done accumulating, use the following code to build your desired string result in </w:t>
      </w:r>
      <w:r>
        <w:rPr>
          <w:rStyle w:val="Text0"/>
        </w:rPr>
        <w:t>O(</w:t>
      </w:r>
      <w:r>
        <w:rPr>
          <w:rStyle w:val="Text3"/>
        </w:rPr>
        <w:t>N</w:t>
      </w:r>
      <w:r>
        <w:rPr>
          <w:rStyle w:val="Text0"/>
        </w:rPr>
        <w:t>)</w:t>
      </w:r>
      <w:r>
        <w:t xml:space="preserve"> time:</w:t>
      </w:r>
    </w:p>
    <w:p>
      <w:pPr>
        <w:pStyle w:val="Para 007"/>
      </w:pPr>
      <w:r>
        <w:rPr>
          <w:rStyle w:val="Text23"/>
        </w:rPr>
        <w:t xml:space="preserve"/>
        <w:br w:clear="none"/>
      </w:r>
      <w:r>
        <w:t xml:space="preserve">big_string</w:t>
        <w:br w:clear="none"/>
      </w:r>
      <w:r>
        <w:rPr>
          <w:rStyle w:val="Text23"/>
        </w:rPr>
        <w:t xml:space="preserve"> </w:t>
        <w:br w:clear="none"/>
      </w:r>
      <w:r>
        <w:rPr>
          <w:rStyle w:val="Text13"/>
        </w:rPr>
        <w:t xml:space="preserve">=</w:t>
        <w:br w:clear="none"/>
      </w:r>
      <w:r>
        <w:rPr>
          <w:rStyle w:val="Text23"/>
        </w:rPr>
        <w:t xml:space="preserve"> </w:t>
        <w:br w:clear="none"/>
      </w:r>
      <w:r>
        <w:rPr>
          <w:rStyle w:val="Text8"/>
        </w:rPr>
        <w:t xml:space="preserve">''</w:t>
        <w:br w:clear="none"/>
      </w:r>
      <w:r>
        <w:rPr>
          <w:rStyle w:val="Text13"/>
        </w:rPr>
        <w:t xml:space="preserve">.</w:t>
        <w:br w:clear="none"/>
      </w:r>
      <w:r>
        <w:t xml:space="preserve">join</w:t>
        <w:br w:clear="none"/>
      </w:r>
      <w:r>
        <w:rPr>
          <w:rStyle w:val="Text7"/>
        </w:rPr>
        <w:t xml:space="preserve">(</w:t>
        <w:br w:clear="none"/>
      </w:r>
      <w:r>
        <w:t xml:space="preserve">temp_list</w:t>
        <w:br w:clear="none"/>
      </w:r>
      <w:r>
        <w:rPr>
          <w:rStyle w:val="Text7"/>
        </w:rPr>
        <w:t xml:space="preserve">)</w:t>
        <w:br w:clear="none"/>
      </w:r>
    </w:p>
    <w:p>
      <w:pPr>
        <w:pStyle w:val="Normal"/>
      </w:pPr>
      <w:r>
        <w:t xml:space="preserve">Using a list comprehension, generator expression, or other direct means (such as a call to </w:t>
      </w:r>
      <w:r>
        <w:rPr>
          <w:rStyle w:val="Text0"/>
        </w:rPr>
        <w:t>map</w:t>
      </w:r>
      <w:r>
        <w:t xml:space="preserve">, or use of the standard library module </w:t>
      </w:r>
      <w:r>
        <w:rPr>
          <w:rStyle w:val="Text0"/>
        </w:rPr>
        <w:t>itertools</w:t>
      </w:r>
      <w:r>
        <w:t xml:space="preserve">) to build </w:t>
      </w:r>
      <w:r>
        <w:rPr>
          <w:rStyle w:val="Text0"/>
        </w:rPr>
        <w:t>temp_list</w:t>
      </w:r>
      <w:r>
        <w:t xml:space="preserve"> may often offer further (substantial, but not big-O) optimization over repeated calls to </w:t>
      </w:r>
      <w:r>
        <w:rPr>
          <w:rStyle w:val="Text0"/>
        </w:rPr>
        <w:t>temp_list.append</w:t>
      </w:r>
      <w:r>
        <w:t xml:space="preserve">. Other </w:t>
      </w:r>
      <w:r>
        <w:rPr>
          <w:rStyle w:val="Text0"/>
        </w:rPr>
        <w:t>O(</w:t>
      </w:r>
      <w:r>
        <w:rPr>
          <w:rStyle w:val="Text3"/>
        </w:rPr>
        <w:t>N</w:t>
      </w:r>
      <w:r>
        <w:rPr>
          <w:rStyle w:val="Text0"/>
        </w:rPr>
        <w:t>)</w:t>
      </w:r>
      <w:r>
        <w:t xml:space="preserve"> ways to build up big strings, which a few Python programmers find more readable, are to concatenate the pieces to an instance of </w:t>
      </w:r>
      <w:r>
        <w:rPr>
          <w:rStyle w:val="Text0"/>
        </w:rPr>
        <w:t>array.array('u')</w:t>
      </w:r>
      <w:r>
        <w:t xml:space="preserve"> with the</w:t>
      </w:r>
      <w:r>
        <w:rPr>
          <w:rStyle w:val="Text111"/>
        </w:rPr>
        <w:bookmarkStart w:id="3894" w:name="idm45965178568448"/>
        <w:t/>
        <w:bookmarkEnd w:id="3894"/>
      </w:r>
      <w:r>
        <w:t xml:space="preserve"> array’s </w:t>
      </w:r>
      <w:r>
        <w:rPr>
          <w:rStyle w:val="Text0"/>
        </w:rPr>
        <w:t>extend</w:t>
      </w:r>
      <w:r>
        <w:t xml:space="preserve"> method, use a </w:t>
      </w:r>
      <w:r>
        <w:rPr>
          <w:rStyle w:val="Text0"/>
        </w:rPr>
        <w:t>bytearray</w:t>
      </w:r>
      <w:r>
        <w:t xml:space="preserve">, or write the pieces to an instance of </w:t>
      </w:r>
      <w:r>
        <w:rPr>
          <w:rStyle w:val="Text0"/>
        </w:rPr>
        <w:t>io.TextIO</w:t>
      </w:r>
      <w:r>
        <w:t xml:space="preserve"> or </w:t>
      </w:r>
      <w:r>
        <w:rPr>
          <w:rStyle w:val="Text0"/>
        </w:rPr>
        <w:t>io.BytesIO</w:t>
      </w:r>
      <w:r>
        <w:t>.</w:t>
      </w:r>
    </w:p>
    <w:p>
      <w:pPr>
        <w:pStyle w:val="Normal"/>
      </w:pPr>
      <w:r>
        <w:t xml:space="preserve">In the special case where you want to output the resulting string, you may gain a further small slice of performance by using </w:t>
      </w:r>
      <w:r>
        <w:rPr>
          <w:rStyle w:val="Text0"/>
        </w:rPr>
        <w:t>writelines</w:t>
      </w:r>
      <w:r>
        <w:t xml:space="preserve"> on </w:t>
      </w:r>
      <w:r>
        <w:rPr>
          <w:rStyle w:val="Text0"/>
        </w:rPr>
        <w:t>temp_list</w:t>
      </w:r>
      <w:r>
        <w:t xml:space="preserve"> (never building </w:t>
      </w:r>
      <w:r>
        <w:rPr>
          <w:rStyle w:val="Text0"/>
        </w:rPr>
        <w:t>big_string</w:t>
      </w:r>
      <w:r>
        <w:t xml:space="preserve"> in memory). When feasible (i.e., when you have the output file object open and available in the loop, and the file is buffered), it’s just as effective to perform a </w:t>
      </w:r>
      <w:r>
        <w:rPr>
          <w:rStyle w:val="Text0"/>
        </w:rPr>
        <w:t>write</w:t>
      </w:r>
      <w:r>
        <w:t xml:space="preserve"> call for each </w:t>
      </w:r>
      <w:r>
        <w:rPr>
          <w:rStyle w:val="Text0"/>
        </w:rPr>
        <w:t>piece</w:t>
      </w:r>
      <w:r>
        <w:t>, without any accumulation.</w:t>
      </w:r>
    </w:p>
    <w:p>
      <w:pPr>
        <w:pStyle w:val="Normal"/>
      </w:pPr>
      <w:r>
        <w:t xml:space="preserve">Although not nearly as crucial as </w:t>
      </w:r>
      <w:r>
        <w:rPr>
          <w:rStyle w:val="Text0"/>
        </w:rPr>
        <w:t>+=</w:t>
      </w:r>
      <w:r>
        <w:t xml:space="preserve"> on a big string in a loop, another case where removing string concatenation may give a slight performance improvement is when you’re concatenating several values in an expression:</w:t>
      </w:r>
    </w:p>
    <w:p>
      <w:pPr>
        <w:pStyle w:val="Para 020"/>
      </w:pPr>
      <w:r>
        <w:rPr>
          <w:rStyle w:val="Text23"/>
        </w:rPr>
        <w:t xml:space="preserve"/>
        <w:br w:clear="none"/>
      </w:r>
      <w:r>
        <w:rPr>
          <w:rStyle w:val="Text9"/>
        </w:rPr>
        <w:t xml:space="preserve">oneway</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str</w:t>
        <w:br w:clear="none"/>
      </w:r>
      <w:r>
        <w:rPr>
          <w:rStyle w:val="Text7"/>
        </w:rPr>
        <w:t xml:space="preserve">(</w:t>
        <w:br w:clear="none"/>
      </w:r>
      <w:r>
        <w:rPr>
          <w:rStyle w:val="Text9"/>
        </w:rPr>
        <w:t xml:space="preserve">x</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 eggs and '</w:t>
        <w:br w:clear="none"/>
      </w:r>
      <w:r>
        <w:rPr>
          <w:rStyle w:val="Text23"/>
        </w:rPr>
        <w:t xml:space="preserve"> </w:t>
        <w:br w:clear="none"/>
      </w:r>
      <w:r>
        <w:rPr>
          <w:rStyle w:val="Text13"/>
        </w:rPr>
        <w:t xml:space="preserve">+</w:t>
        <w:br w:clear="none"/>
      </w:r>
      <w:r>
        <w:rPr>
          <w:rStyle w:val="Text23"/>
        </w:rPr>
        <w:t xml:space="preserve"> </w:t>
        <w:br w:clear="none"/>
      </w:r>
      <w:r>
        <w:rPr>
          <w:rStyle w:val="Text16"/>
        </w:rPr>
        <w:t xml:space="preserve">str</w:t>
        <w:br w:clear="none"/>
      </w:r>
      <w:r>
        <w:rPr>
          <w:rStyle w:val="Text7"/>
        </w:rPr>
        <w:t xml:space="preserve">(</w:t>
        <w:br w:clear="none"/>
      </w:r>
      <w:r>
        <w:rPr>
          <w:rStyle w:val="Text9"/>
        </w:rPr>
        <w:t xml:space="preserve">y</w:t>
        <w:br w:clear="none"/>
      </w:r>
      <w:r>
        <w:rPr>
          <w:rStyle w:val="Text7"/>
        </w:rPr>
        <w:t xml:space="preserve">)</w:t>
        <w:br w:clear="none"/>
      </w:r>
      <w:r>
        <w:rPr>
          <w:rStyle w:val="Text23"/>
        </w:rPr>
        <w:t xml:space="preserve"> </w:t>
        <w:br w:clear="none"/>
      </w:r>
      <w:r>
        <w:rPr>
          <w:rStyle w:val="Text13"/>
        </w:rPr>
        <w:t xml:space="preserve">+</w:t>
        <w:br w:clear="none"/>
      </w:r>
      <w:r>
        <w:rPr>
          <w:rStyle w:val="Text23"/>
        </w:rPr>
        <w:t xml:space="preserve"> </w:t>
        <w:br w:clear="none"/>
      </w:r>
      <w:r>
        <w:t xml:space="preserve">' slices of '</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k</w:t>
        <w:br w:clear="none"/>
      </w:r>
      <w:r>
        <w:rPr>
          <w:rStyle w:val="Text23"/>
        </w:rPr>
        <w:t xml:space="preserve"> </w:t>
        <w:br w:clear="none"/>
      </w:r>
      <w:r>
        <w:rPr>
          <w:rStyle w:val="Text13"/>
        </w:rPr>
        <w:t xml:space="preserve">+</w:t>
        <w:br w:clear="none"/>
      </w:r>
      <w:r>
        <w:rPr>
          <w:rStyle w:val="Text23"/>
        </w:rPr>
        <w:t xml:space="preserve"> </w:t>
        <w:br w:clear="none"/>
      </w:r>
      <w:r>
        <w:t xml:space="preserve">' ham'</w:t>
        <w:br w:clear="none"/>
      </w:r>
      <w:r>
        <w:rPr>
          <w:rStyle w:val="Text23"/>
        </w:rPr>
        <w:t xml:space="preserve"/>
        <w:br w:clear="none"/>
      </w:r>
      <w:r>
        <w:rPr>
          <w:rStyle w:val="Text9"/>
        </w:rPr>
        <w:t xml:space="preserve">another</w:t>
        <w:br w:clear="none"/>
      </w:r>
      <w:r>
        <w:rPr>
          <w:rStyle w:val="Text23"/>
        </w:rPr>
        <w:t xml:space="preserve"> </w:t>
        <w:br w:clear="none"/>
      </w:r>
      <w:r>
        <w:rPr>
          <w:rStyle w:val="Text13"/>
        </w:rPr>
        <w:t xml:space="preserve">=</w:t>
        <w:br w:clear="none"/>
      </w:r>
      <w:r>
        <w:rPr>
          <w:rStyle w:val="Text23"/>
        </w:rPr>
        <w:t xml:space="preserve"> </w:t>
        <w:br w:clear="none"/>
      </w:r>
      <w:r>
        <w:t xml:space="preserve">'</w:t>
        <w:br w:clear="none"/>
      </w:r>
      <w:r>
        <w:rPr>
          <w:rStyle w:val="Text32"/>
        </w:rPr>
        <w:t xml:space="preserve">{}</w:t>
        <w:br w:clear="none"/>
      </w:r>
      <w:r>
        <w:t xml:space="preserve"> eggs and </w:t>
        <w:br w:clear="none"/>
      </w:r>
      <w:r>
        <w:rPr>
          <w:rStyle w:val="Text32"/>
        </w:rPr>
        <w:t xml:space="preserve">{}</w:t>
        <w:br w:clear="none"/>
      </w:r>
      <w:r>
        <w:t xml:space="preserve"> slices of </w:t>
        <w:br w:clear="none"/>
      </w:r>
      <w:r>
        <w:rPr>
          <w:rStyle w:val="Text32"/>
        </w:rPr>
        <w:t xml:space="preserve">{}</w:t>
        <w:br w:clear="none"/>
      </w:r>
      <w:r>
        <w:t xml:space="preserve"> ham'</w:t>
        <w:br w:clear="none"/>
      </w:r>
      <w:r>
        <w:rPr>
          <w:rStyle w:val="Text13"/>
        </w:rPr>
        <w:t xml:space="preserve">.</w:t>
        <w:br w:clear="none"/>
      </w:r>
      <w:r>
        <w:rPr>
          <w:rStyle w:val="Text9"/>
        </w:rPr>
        <w:t xml:space="preserve">format</w:t>
        <w:br w:clear="none"/>
      </w:r>
      <w:r>
        <w:rPr>
          <w:rStyle w:val="Text7"/>
        </w:rPr>
        <w:t xml:space="preserve">(</w:t>
        <w:br w:clear="none"/>
      </w:r>
      <w:r>
        <w:rPr>
          <w:rStyle w:val="Text9"/>
        </w:rPr>
        <w:t xml:space="preserve">x</w:t>
        <w:br w:clear="none"/>
      </w:r>
      <w:r>
        <w:rPr>
          <w:rStyle w:val="Text7"/>
        </w:rPr>
        <w:t xml:space="preserve">,</w:t>
        <w:br w:clear="none"/>
      </w:r>
      <w:r>
        <w:rPr>
          <w:rStyle w:val="Text23"/>
        </w:rPr>
        <w:t xml:space="preserve"> </w:t>
        <w:br w:clear="none"/>
      </w:r>
      <w:r>
        <w:rPr>
          <w:rStyle w:val="Text9"/>
        </w:rPr>
        <w:t xml:space="preserve">y</w:t>
        <w:br w:clear="none"/>
      </w:r>
      <w:r>
        <w:rPr>
          <w:rStyle w:val="Text7"/>
        </w:rPr>
        <w:t xml:space="preserve">,</w:t>
        <w:br w:clear="none"/>
      </w:r>
      <w:r>
        <w:rPr>
          <w:rStyle w:val="Text23"/>
        </w:rPr>
        <w:t xml:space="preserve"> </w:t>
        <w:br w:clear="none"/>
      </w:r>
      <w:r>
        <w:rPr>
          <w:rStyle w:val="Text9"/>
        </w:rPr>
        <w:t xml:space="preserve">k</w:t>
        <w:br w:clear="none"/>
      </w:r>
      <w:r>
        <w:rPr>
          <w:rStyle w:val="Text7"/>
        </w:rPr>
        <w:t xml:space="preserve">)</w:t>
        <w:br w:clear="none"/>
      </w:r>
      <w:r>
        <w:rPr>
          <w:rStyle w:val="Text23"/>
        </w:rPr>
        <w:t xml:space="preserve"/>
        <w:br w:clear="none"/>
      </w:r>
      <w:r>
        <w:rPr>
          <w:rStyle w:val="Text9"/>
        </w:rPr>
        <w:t xml:space="preserve">yetanother</w:t>
        <w:br w:clear="none"/>
      </w:r>
      <w:r>
        <w:rPr>
          <w:rStyle w:val="Text23"/>
        </w:rPr>
        <w:t xml:space="preserve"> </w:t>
        <w:br w:clear="none"/>
      </w:r>
      <w:r>
        <w:rPr>
          <w:rStyle w:val="Text13"/>
        </w:rPr>
        <w:t xml:space="preserve">=</w:t>
        <w:br w:clear="none"/>
      </w:r>
      <w:r>
        <w:rPr>
          <w:rStyle w:val="Text23"/>
        </w:rPr>
        <w:t xml:space="preserve"> </w:t>
        <w:br w:clear="none"/>
      </w:r>
      <w:r>
        <w:rPr>
          <w:rStyle w:val="Text6"/>
        </w:rPr>
        <w:t xml:space="preserve">f</w:t>
        <w:br w:clear="none"/>
      </w:r>
      <w:r>
        <w:t xml:space="preserve">'</w:t>
        <w:br w:clear="none"/>
      </w:r>
      <w:r>
        <w:rPr>
          <w:rStyle w:val="Text32"/>
        </w:rPr>
        <w:t xml:space="preserve">{</w:t>
        <w:br w:clear="none"/>
      </w:r>
      <w:r>
        <w:rPr>
          <w:rStyle w:val="Text9"/>
        </w:rPr>
        <w:t xml:space="preserve">x</w:t>
        <w:br w:clear="none"/>
      </w:r>
      <w:r>
        <w:rPr>
          <w:rStyle w:val="Text32"/>
        </w:rPr>
        <w:t xml:space="preserve">}</w:t>
        <w:br w:clear="none"/>
      </w:r>
      <w:r>
        <w:t xml:space="preserve"> eggs and </w:t>
        <w:br w:clear="none"/>
      </w:r>
      <w:r>
        <w:rPr>
          <w:rStyle w:val="Text32"/>
        </w:rPr>
        <w:t xml:space="preserve">{</w:t>
        <w:br w:clear="none"/>
      </w:r>
      <w:r>
        <w:rPr>
          <w:rStyle w:val="Text9"/>
        </w:rPr>
        <w:t xml:space="preserve">y</w:t>
        <w:br w:clear="none"/>
      </w:r>
      <w:r>
        <w:rPr>
          <w:rStyle w:val="Text32"/>
        </w:rPr>
        <w:t xml:space="preserve">}</w:t>
        <w:br w:clear="none"/>
      </w:r>
      <w:r>
        <w:t xml:space="preserve"> slices of </w:t>
        <w:br w:clear="none"/>
      </w:r>
      <w:r>
        <w:rPr>
          <w:rStyle w:val="Text32"/>
        </w:rPr>
        <w:t xml:space="preserve">{</w:t>
        <w:br w:clear="none"/>
      </w:r>
      <w:r>
        <w:rPr>
          <w:rStyle w:val="Text9"/>
        </w:rPr>
        <w:t xml:space="preserve">k</w:t>
        <w:br w:clear="none"/>
      </w:r>
      <w:r>
        <w:rPr>
          <w:rStyle w:val="Text32"/>
        </w:rPr>
        <w:t xml:space="preserve">}</w:t>
        <w:br w:clear="none"/>
      </w:r>
      <w:r>
        <w:t xml:space="preserve"> ham'</w:t>
        <w:br w:clear="none"/>
      </w:r>
    </w:p>
    <w:p>
      <w:pPr>
        <w:pStyle w:val="Normal"/>
      </w:pPr>
      <w:r>
        <w:t xml:space="preserve">Formatting strings using the </w:t>
      </w:r>
      <w:r>
        <w:rPr>
          <w:rStyle w:val="Text0"/>
        </w:rPr>
        <w:t>format</w:t>
      </w:r>
      <w:r>
        <w:t xml:space="preserve"> method or f-strings (discussed in </w:t>
      </w:r>
      <w:hyperlink w:anchor="Chapter_8__Core_Built_ins_and_St_2">
        <w:r>
          <w:rPr>
            <w:rStyle w:val="Text1"/>
          </w:rPr>
          <w:t>Chapter 8</w:t>
        </w:r>
      </w:hyperlink>
      <w:r>
        <w:t xml:space="preserve">) is often a good performance choice, as well as being more idiomatic and thereby clearer than concatenation approaches. On a sample run of the preceding example, the </w:t>
      </w:r>
      <w:r>
        <w:rPr>
          <w:rStyle w:val="Text0"/>
        </w:rPr>
        <w:t>format</w:t>
      </w:r>
      <w:r>
        <w:t xml:space="preserve"> approach is more than twice as fast as the (perhaps more intuitive) concatenation, and the f-string approach is more than twice as fast as </w:t>
      </w:r>
      <w:r>
        <w:rPr>
          <w:rStyle w:val="Text0"/>
        </w:rPr>
        <w:t>format</w:t>
      </w:r>
      <w:r>
        <w:t>.</w:t>
      </w:r>
    </w:p>
    <w:p>
      <w:bookmarkStart w:id="3895" w:name="Searching_and_sorting__The_opera"/>
      <w:pPr>
        <w:keepNext/>
        <w:pStyle w:val="Heading 2"/>
      </w:pPr>
      <w:r>
        <w:t>Searching and sorting</w:t>
      </w:r>
      <w:bookmarkEnd w:id="3895"/>
    </w:p>
    <w:p>
      <w:pPr>
        <w:pStyle w:val="Normal"/>
      </w:pPr>
      <w:r>
        <w:t>The</w:t>
      </w:r>
      <w:r>
        <w:rPr>
          <w:rStyle w:val="Text111"/>
        </w:rPr>
        <w:bookmarkStart w:id="3896" w:name="idm45965178491440"/>
        <w:t/>
        <w:bookmarkEnd w:id="3896"/>
        <w:bookmarkStart w:id="3897" w:name="idm45965178489616"/>
        <w:t/>
        <w:bookmarkEnd w:id="3897"/>
        <w:bookmarkStart w:id="3898" w:name="idm45965178488544"/>
        <w:t/>
        <w:bookmarkEnd w:id="3898"/>
      </w:r>
      <w:r>
        <w:t xml:space="preserve"> operator </w:t>
      </w:r>
      <w:r>
        <w:rPr>
          <w:rStyle w:val="Text5"/>
        </w:rPr>
        <w:t>in</w:t>
      </w:r>
      <w:r>
        <w:t xml:space="preserve">, the most natural tool for searching, is </w:t>
      </w:r>
      <w:r>
        <w:rPr>
          <w:rStyle w:val="Text0"/>
        </w:rPr>
        <w:t>O(1)</w:t>
      </w:r>
      <w:r>
        <w:t xml:space="preserve"> when the righthand-side operand is a </w:t>
      </w:r>
      <w:r>
        <w:rPr>
          <w:rStyle w:val="Text0"/>
        </w:rPr>
        <w:t>set</w:t>
      </w:r>
      <w:r>
        <w:t xml:space="preserve"> or </w:t>
      </w:r>
      <w:r>
        <w:rPr>
          <w:rStyle w:val="Text0"/>
        </w:rPr>
        <w:t>dict</w:t>
      </w:r>
      <w:r>
        <w:t xml:space="preserve">, but </w:t>
      </w:r>
      <w:r>
        <w:rPr>
          <w:rStyle w:val="Text0"/>
        </w:rPr>
        <w:t>O(</w:t>
      </w:r>
      <w:r>
        <w:rPr>
          <w:rStyle w:val="Text3"/>
        </w:rPr>
        <w:t>N</w:t>
      </w:r>
      <w:r>
        <w:rPr>
          <w:rStyle w:val="Text0"/>
        </w:rPr>
        <w:t>)</w:t>
      </w:r>
      <w:r>
        <w:t xml:space="preserve"> when the righthand-side operand is a string, list, or </w:t>
      </w:r>
      <w:r>
        <w:rPr>
          <w:rStyle w:val="Text0"/>
        </w:rPr>
        <w:t>tuple</w:t>
      </w:r>
      <w:r>
        <w:t xml:space="preserve">. If you must perform many such checks on a container, you’re </w:t>
      </w:r>
      <w:r>
        <w:rPr>
          <w:rStyle w:val="Text4"/>
        </w:rPr>
        <w:t>much</w:t>
      </w:r>
      <w:r>
        <w:t xml:space="preserve"> better off using a </w:t>
      </w:r>
      <w:r>
        <w:rPr>
          <w:rStyle w:val="Text0"/>
        </w:rPr>
        <w:t>set</w:t>
      </w:r>
      <w:r>
        <w:t xml:space="preserve"> or </w:t>
      </w:r>
      <w:r>
        <w:rPr>
          <w:rStyle w:val="Text0"/>
        </w:rPr>
        <w:t>dict</w:t>
      </w:r>
      <w:r>
        <w:t xml:space="preserve">, rather than a list or </w:t>
      </w:r>
      <w:r>
        <w:rPr>
          <w:rStyle w:val="Text0"/>
        </w:rPr>
        <w:t>tuple</w:t>
      </w:r>
      <w:r>
        <w:t xml:space="preserve">, as the container. Python </w:t>
      </w:r>
      <w:r>
        <w:rPr>
          <w:rStyle w:val="Text0"/>
        </w:rPr>
        <w:t>set</w:t>
      </w:r>
      <w:r>
        <w:t xml:space="preserve">s and </w:t>
      </w:r>
      <w:r>
        <w:rPr>
          <w:rStyle w:val="Text0"/>
        </w:rPr>
        <w:t>dict</w:t>
      </w:r>
      <w:r>
        <w:t xml:space="preserve">s are highly optimized for searching and fetching items by key. Building the </w:t>
      </w:r>
      <w:r>
        <w:rPr>
          <w:rStyle w:val="Text0"/>
        </w:rPr>
        <w:t>set</w:t>
      </w:r>
      <w:r>
        <w:t xml:space="preserve"> or </w:t>
      </w:r>
      <w:r>
        <w:rPr>
          <w:rStyle w:val="Text0"/>
        </w:rPr>
        <w:t>dict</w:t>
      </w:r>
      <w:r>
        <w:t xml:space="preserve"> from other containers, however, is </w:t>
      </w:r>
      <w:r>
        <w:rPr>
          <w:rStyle w:val="Text0"/>
        </w:rPr>
        <w:t>O(</w:t>
      </w:r>
      <w:r>
        <w:rPr>
          <w:rStyle w:val="Text3"/>
        </w:rPr>
        <w:t>N</w:t>
      </w:r>
      <w:r>
        <w:rPr>
          <w:rStyle w:val="Text0"/>
        </w:rPr>
        <w:t>)</w:t>
      </w:r>
      <w:r>
        <w:t xml:space="preserve">, so for this crucial optimization to be worthwhile, you must be able to hold on to the </w:t>
      </w:r>
      <w:r>
        <w:rPr>
          <w:rStyle w:val="Text0"/>
        </w:rPr>
        <w:t>set</w:t>
      </w:r>
      <w:r>
        <w:t xml:space="preserve"> or </w:t>
      </w:r>
      <w:r>
        <w:rPr>
          <w:rStyle w:val="Text0"/>
        </w:rPr>
        <w:t>dict</w:t>
      </w:r>
      <w:r>
        <w:t xml:space="preserve"> over several searches, possibly altering it apace as the underlying sequence changes.</w:t>
      </w:r>
    </w:p>
    <w:p>
      <w:pPr>
        <w:pStyle w:val="Normal"/>
      </w:pPr>
      <w:r>
        <w:t xml:space="preserve">The </w:t>
      </w:r>
      <w:r>
        <w:rPr>
          <w:rStyle w:val="Text0"/>
        </w:rPr>
        <w:t>sort</w:t>
      </w:r>
      <w:r>
        <w:t xml:space="preserve"> method of Python lists is also a highly optimized and sophisticated tool. You can rely on </w:t>
      </w:r>
      <w:r>
        <w:rPr>
          <w:rStyle w:val="Text0"/>
        </w:rPr>
        <w:t>sort</w:t>
      </w:r>
      <w:r>
        <w:t xml:space="preserve">’s performance. Most functions and methods in the standard library that perform comparisons accept a </w:t>
      </w:r>
      <w:r>
        <w:rPr>
          <w:rStyle w:val="Text0"/>
        </w:rPr>
        <w:t>key</w:t>
      </w:r>
      <w:r>
        <w:t xml:space="preserve"> argument to determine how, exactly, to compare items. You provide a </w:t>
      </w:r>
      <w:r>
        <w:rPr>
          <w:rStyle w:val="Text0"/>
        </w:rPr>
        <w:t>key</w:t>
      </w:r>
      <w:r>
        <w:t xml:space="preserve"> function, which computes a key value for each element in the list. The list elements are sorted by their key values. For instance, you might write a key function for sorting objects based on an attribute </w:t>
      </w:r>
      <w:r>
        <w:rPr>
          <w:rStyle w:val="Text3"/>
        </w:rPr>
        <w:t>attr</w:t>
      </w:r>
      <w:r>
        <w:t xml:space="preserve"> as </w:t>
      </w:r>
      <w:r>
        <w:rPr>
          <w:rStyle w:val="Text5"/>
        </w:rPr>
        <w:t>lambda</w:t>
      </w:r>
      <w:r>
        <w:t xml:space="preserve"> </w:t>
      </w:r>
      <w:r>
        <w:rPr>
          <w:rStyle w:val="Text0"/>
        </w:rPr>
        <w:t>ob: ob.</w:t>
      </w:r>
      <w:r>
        <w:rPr>
          <w:rStyle w:val="Text3"/>
        </w:rPr>
        <w:t>attr</w:t>
      </w:r>
      <w:r>
        <w:t xml:space="preserve">, or one for sorting </w:t>
      </w:r>
      <w:r>
        <w:rPr>
          <w:rStyle w:val="Text0"/>
        </w:rPr>
        <w:t>dict</w:t>
      </w:r>
      <w:r>
        <w:t xml:space="preserve">s by </w:t>
      </w:r>
      <w:r>
        <w:rPr>
          <w:rStyle w:val="Text0"/>
        </w:rPr>
        <w:t>dict</w:t>
      </w:r>
      <w:r>
        <w:t xml:space="preserve"> key </w:t>
      </w:r>
      <w:r>
        <w:rPr>
          <w:rStyle w:val="Text0"/>
        </w:rPr>
        <w:t>'</w:t>
      </w:r>
      <w:r>
        <w:rPr>
          <w:rStyle w:val="Text3"/>
        </w:rPr>
        <w:t>attr</w:t>
      </w:r>
      <w:r>
        <w:rPr>
          <w:rStyle w:val="Text0"/>
        </w:rPr>
        <w:t>'</w:t>
      </w:r>
      <w:r>
        <w:t xml:space="preserve"> as </w:t>
      </w:r>
      <w:r>
        <w:rPr>
          <w:rStyle w:val="Text5"/>
        </w:rPr>
        <w:t>lambda</w:t>
      </w:r>
      <w:r>
        <w:t xml:space="preserve"> </w:t>
      </w:r>
      <w:r>
        <w:rPr>
          <w:rStyle w:val="Text0"/>
        </w:rPr>
        <w:t>d: d['</w:t>
      </w:r>
      <w:r>
        <w:rPr>
          <w:rStyle w:val="Text3"/>
        </w:rPr>
        <w:t>attr</w:t>
      </w:r>
      <w:r>
        <w:rPr>
          <w:rStyle w:val="Text0"/>
        </w:rPr>
        <w:t>']</w:t>
      </w:r>
      <w:r>
        <w:t xml:space="preserve">. (The </w:t>
      </w:r>
      <w:r>
        <w:rPr>
          <w:rStyle w:val="Text0"/>
        </w:rPr>
        <w:t>attrgetter</w:t>
      </w:r>
      <w:r>
        <w:t xml:space="preserve"> and </w:t>
      </w:r>
      <w:r>
        <w:rPr>
          <w:rStyle w:val="Text0"/>
        </w:rPr>
        <w:t>itemgetter</w:t>
      </w:r>
      <w:r>
        <w:t xml:space="preserve"> methods of the </w:t>
      </w:r>
      <w:r>
        <w:rPr>
          <w:rStyle w:val="Text0"/>
        </w:rPr>
        <w:t>operator</w:t>
      </w:r>
      <w:r>
        <w:t xml:space="preserve"> module are useful alternatives to these simple key functions; they’re clearer and sharper than </w:t>
      </w:r>
      <w:r>
        <w:rPr>
          <w:rStyle w:val="Text5"/>
        </w:rPr>
        <w:t>lambda</w:t>
      </w:r>
      <w:r>
        <w:t xml:space="preserve"> and offer performance gains as well.)</w:t>
      </w:r>
    </w:p>
    <w:p>
      <w:pPr>
        <w:pStyle w:val="Normal"/>
      </w:pPr>
      <w:r>
        <w:t xml:space="preserve">Older versions of Python used a </w:t>
      </w:r>
      <w:r>
        <w:rPr>
          <w:rStyle w:val="Text0"/>
        </w:rPr>
        <w:t>cmp</w:t>
      </w:r>
      <w:r>
        <w:t xml:space="preserve"> function, which would take list elements in pairs </w:t>
      </w:r>
      <w:r>
        <w:rPr>
          <w:rStyle w:val="Text0"/>
        </w:rPr>
        <w:t>(</w:t>
      </w:r>
      <w:r>
        <w:rPr>
          <w:rStyle w:val="Text3"/>
        </w:rPr>
        <w:t>A</w:t>
      </w:r>
      <w:r>
        <w:rPr>
          <w:rStyle w:val="Text0"/>
        </w:rPr>
        <w:t>,</w:t>
      </w:r>
      <w:r>
        <w:t xml:space="preserve"> </w:t>
      </w:r>
      <w:r>
        <w:rPr>
          <w:rStyle w:val="Text3"/>
        </w:rPr>
        <w:t>B</w:t>
      </w:r>
      <w:r>
        <w:rPr>
          <w:rStyle w:val="Text0"/>
        </w:rPr>
        <w:t>)</w:t>
      </w:r>
      <w:r>
        <w:t xml:space="preserve"> and return </w:t>
      </w:r>
      <w:r>
        <w:rPr>
          <w:rStyle w:val="Text0"/>
        </w:rPr>
        <w:t>-1</w:t>
      </w:r>
      <w:r>
        <w:t xml:space="preserve">, </w:t>
      </w:r>
      <w:r>
        <w:rPr>
          <w:rStyle w:val="Text0"/>
        </w:rPr>
        <w:t>0</w:t>
      </w:r>
      <w:r>
        <w:t xml:space="preserve">, or </w:t>
      </w:r>
      <w:r>
        <w:rPr>
          <w:rStyle w:val="Text0"/>
        </w:rPr>
        <w:t>1</w:t>
      </w:r>
      <w:r>
        <w:t xml:space="preserve"> for each pair depending on which of </w:t>
      </w:r>
      <w:r>
        <w:rPr>
          <w:rStyle w:val="Text3"/>
        </w:rPr>
        <w:t>A</w:t>
      </w:r>
      <w:r>
        <w:t xml:space="preserve"> </w:t>
      </w:r>
      <w:r>
        <w:rPr>
          <w:rStyle w:val="Text0"/>
        </w:rPr>
        <w:t>&lt;</w:t>
      </w:r>
      <w:r>
        <w:t xml:space="preserve"> </w:t>
      </w:r>
      <w:r>
        <w:rPr>
          <w:rStyle w:val="Text3"/>
        </w:rPr>
        <w:t>B</w:t>
      </w:r>
      <w:r>
        <w:t xml:space="preserve">, </w:t>
      </w:r>
      <w:r>
        <w:rPr>
          <w:rStyle w:val="Text3"/>
        </w:rPr>
        <w:t>A</w:t>
      </w:r>
      <w:r>
        <w:t xml:space="preserve"> </w:t>
      </w:r>
      <w:r>
        <w:rPr>
          <w:rStyle w:val="Text0"/>
        </w:rPr>
        <w:t>==</w:t>
      </w:r>
      <w:r>
        <w:t xml:space="preserve"> </w:t>
      </w:r>
      <w:r>
        <w:rPr>
          <w:rStyle w:val="Text3"/>
        </w:rPr>
        <w:t>B</w:t>
      </w:r>
      <w:r>
        <w:t xml:space="preserve">, or </w:t>
      </w:r>
      <w:r>
        <w:rPr>
          <w:rStyle w:val="Text3"/>
        </w:rPr>
        <w:t>A</w:t>
      </w:r>
      <w:r>
        <w:t xml:space="preserve"> </w:t>
      </w:r>
      <w:r>
        <w:rPr>
          <w:rStyle w:val="Text0"/>
        </w:rPr>
        <w:t>&gt;</w:t>
      </w:r>
      <w:r>
        <w:t xml:space="preserve"> </w:t>
      </w:r>
      <w:r>
        <w:rPr>
          <w:rStyle w:val="Text3"/>
        </w:rPr>
        <w:t>B</w:t>
      </w:r>
      <w:r>
        <w:t xml:space="preserve"> is true. Sorting using a </w:t>
      </w:r>
      <w:r>
        <w:rPr>
          <w:rStyle w:val="Text0"/>
        </w:rPr>
        <w:t>cmp</w:t>
      </w:r>
      <w:r>
        <w:t xml:space="preserve"> function is very slow, as it may have to compare every element to every other element (potentially </w:t>
      </w:r>
      <w:r>
        <w:rPr>
          <w:rStyle w:val="Text0"/>
        </w:rPr>
        <w:t>O(</w:t>
      </w:r>
      <w:r>
        <w:rPr>
          <w:rStyle w:val="Text3"/>
        </w:rPr>
        <w:t>N</w:t>
      </w:r>
      <w:r>
        <w:rPr>
          <w:rStyle w:val="Text99"/>
        </w:rPr>
        <w:t>2</w:t>
      </w:r>
      <w:r>
        <w:rPr>
          <w:rStyle w:val="Text0"/>
        </w:rPr>
        <w:t>)</w:t>
      </w:r>
      <w:r>
        <w:t xml:space="preserve"> performance). The </w:t>
      </w:r>
      <w:r>
        <w:rPr>
          <w:rStyle w:val="Text0"/>
        </w:rPr>
        <w:t>sort</w:t>
      </w:r>
      <w:r>
        <w:t xml:space="preserve"> function in current Python versions no longer accepts a </w:t>
      </w:r>
      <w:r>
        <w:rPr>
          <w:rStyle w:val="Text0"/>
        </w:rPr>
        <w:t>cmp</w:t>
      </w:r>
      <w:r>
        <w:t xml:space="preserve"> function argument. If you are migrating ancient code and only have a function suitable as a </w:t>
      </w:r>
      <w:r>
        <w:rPr>
          <w:rStyle w:val="Text0"/>
        </w:rPr>
        <w:t>cmp</w:t>
      </w:r>
      <w:r>
        <w:t xml:space="preserve"> argument, you can use </w:t>
      </w:r>
      <w:r>
        <w:rPr>
          <w:rStyle w:val="Text0"/>
        </w:rPr>
        <w:t>functools.cmp_to_key</w:t>
      </w:r>
      <w:r>
        <w:t xml:space="preserve"> to build from it a key function suitable to pass as the new </w:t>
      </w:r>
      <w:r>
        <w:rPr>
          <w:rStyle w:val="Text0"/>
        </w:rPr>
        <w:t>key</w:t>
      </w:r>
      <w:r>
        <w:t xml:space="preserve"> argument.</w:t>
      </w:r>
    </w:p>
    <w:p>
      <w:pPr>
        <w:pStyle w:val="Normal"/>
      </w:pPr>
      <w:r>
        <w:t xml:space="preserve">However, several functions in the module </w:t>
      </w:r>
      <w:r>
        <w:rPr>
          <w:rStyle w:val="Text0"/>
        </w:rPr>
        <w:t>heapq</w:t>
      </w:r>
      <w:r>
        <w:t xml:space="preserve">, covered in </w:t>
      </w:r>
      <w:hyperlink w:anchor="The_heapq_Module__The_heapq_modu">
        <w:r>
          <w:rPr>
            <w:rStyle w:val="Text1"/>
          </w:rPr>
          <w:t>“The heapq Module”</w:t>
        </w:r>
      </w:hyperlink>
      <w:r>
        <w:t xml:space="preserve">, do not accept a </w:t>
      </w:r>
      <w:r>
        <w:rPr>
          <w:rStyle w:val="Text0"/>
        </w:rPr>
        <w:t>key</w:t>
      </w:r>
      <w:r>
        <w:t xml:space="preserve"> argument. In such cases, you can use the DSU idiom, covered in </w:t>
      </w:r>
      <w:hyperlink w:anchor="The_Decorate_Sort_Undecorate_Idi">
        <w:r>
          <w:rPr>
            <w:rStyle w:val="Text1"/>
          </w:rPr>
          <w:t>“The Decorate–Sort–Undecorate Idiom”</w:t>
        </w:r>
      </w:hyperlink>
      <w:r>
        <w:t>. (Heaps are well worth keeping in mind, since in some cases they can save you from having to perform sorting on all of your data.)</w:t>
      </w:r>
    </w:p>
    <w:p>
      <w:bookmarkStart w:id="3899" w:name="Avoid_exec_and_from_____import"/>
      <w:pPr>
        <w:keepNext/>
        <w:pStyle w:val="Heading 2"/>
      </w:pPr>
      <w:r>
        <w:t>Avoid exec and from ... import *</w:t>
      </w:r>
      <w:bookmarkEnd w:id="3899"/>
    </w:p>
    <w:p>
      <w:pPr>
        <w:pStyle w:val="Normal"/>
      </w:pPr>
      <w:r>
        <w:t>Code</w:t>
      </w:r>
      <w:r>
        <w:rPr>
          <w:rStyle w:val="Text111"/>
        </w:rPr>
        <w:bookmarkStart w:id="3900" w:name="idm45965178393136"/>
        <w:t/>
        <w:bookmarkEnd w:id="3900"/>
        <w:bookmarkStart w:id="3901" w:name="idm45965178391968"/>
        <w:t/>
        <w:bookmarkEnd w:id="3901"/>
      </w:r>
      <w:r>
        <w:t xml:space="preserve"> in a function runs faster than code at the top level in a module, because access to a function’s local variables is faster than access to globals. If a function contains an </w:t>
      </w:r>
      <w:r>
        <w:rPr>
          <w:rStyle w:val="Text0"/>
        </w:rPr>
        <w:t>exec</w:t>
      </w:r>
      <w:r>
        <w:t xml:space="preserve"> without explicit </w:t>
      </w:r>
      <w:r>
        <w:rPr>
          <w:rStyle w:val="Text0"/>
        </w:rPr>
        <w:t>dict</w:t>
      </w:r>
      <w:r>
        <w:t xml:space="preserve">s, however, the function slows down. The presence of such an </w:t>
      </w:r>
      <w:r>
        <w:rPr>
          <w:rStyle w:val="Text0"/>
        </w:rPr>
        <w:t>exec</w:t>
      </w:r>
      <w:r>
        <w:t xml:space="preserve"> forces the Python compiler to avoid the modest but important optimization it normally performs regarding access to local variables, since the </w:t>
      </w:r>
      <w:r>
        <w:rPr>
          <w:rStyle w:val="Text0"/>
        </w:rPr>
        <w:t>exec</w:t>
      </w:r>
      <w:r>
        <w:t xml:space="preserve"> might alter the function’s namespace. A </w:t>
      </w:r>
      <w:r>
        <w:rPr>
          <w:rStyle w:val="Text5"/>
        </w:rPr>
        <w:t>from</w:t>
      </w:r>
      <w:r>
        <w:t xml:space="preserve"> statement of the form:</w:t>
      </w:r>
    </w:p>
    <w:p>
      <w:pPr>
        <w:pStyle w:val="Para 037"/>
      </w:pPr>
      <w:r>
        <w:rPr>
          <w:rStyle w:val="Text118"/>
        </w:rPr>
        <w:t xml:space="preserve"/>
        <w:br w:clear="none"/>
      </w:r>
      <w:r>
        <w:t xml:space="preserve">from</w:t>
        <w:br w:clear="none"/>
      </w:r>
      <w:r>
        <w:rPr>
          <w:rStyle w:val="Text29"/>
        </w:rPr>
        <w:t xml:space="preserve"> </w:t>
        <w:br w:clear="none"/>
      </w:r>
      <w:r>
        <w:rPr>
          <w:rStyle w:val="Text75"/>
        </w:rPr>
        <w:t xml:space="preserve">my_module</w:t>
        <w:br w:clear="none"/>
      </w:r>
      <w:r>
        <w:rPr>
          <w:rStyle w:val="Text29"/>
        </w:rPr>
        <w:t xml:space="preserve"> </w:t>
        <w:br w:clear="none"/>
      </w:r>
      <w:r>
        <w:t xml:space="preserve">import</w:t>
        <w:br w:clear="none"/>
      </w:r>
      <w:r>
        <w:rPr>
          <w:rStyle w:val="Text29"/>
        </w:rPr>
        <w:t xml:space="preserve"> </w:t>
        <w:br w:clear="none"/>
      </w:r>
      <w:r>
        <w:rPr>
          <w:rStyle w:val="Text63"/>
        </w:rPr>
        <w:t xml:space="preserve">*</w:t>
        <w:br w:clear="none"/>
      </w:r>
    </w:p>
    <w:p>
      <w:pPr>
        <w:pStyle w:val="Normal"/>
      </w:pPr>
      <w:r>
        <w:t>wastes performance too, since it also can alter a function’s namespace unpredictably, and therefore inhibits Python’s local-variable optimization.</w:t>
      </w:r>
    </w:p>
    <w:p>
      <w:pPr>
        <w:pStyle w:val="Normal"/>
      </w:pPr>
      <w:r>
        <w:rPr>
          <w:rStyle w:val="Text0"/>
        </w:rPr>
        <w:t>exec</w:t>
      </w:r>
      <w:r>
        <w:t xml:space="preserve"> itself is also quite slow, and even more so if you apply it to a string of source code rather than to a code object. By far the best approach—for performance, for correctness, and for clarity—is to avoid </w:t>
      </w:r>
      <w:r>
        <w:rPr>
          <w:rStyle w:val="Text0"/>
        </w:rPr>
        <w:t>exec</w:t>
      </w:r>
      <w:r>
        <w:t xml:space="preserve"> altogether. It’s most often possible to find better (faster, more robust, and clearer) solutions. If you </w:t>
      </w:r>
      <w:r>
        <w:rPr>
          <w:rStyle w:val="Text4"/>
        </w:rPr>
        <w:t>must</w:t>
      </w:r>
      <w:r>
        <w:t xml:space="preserve"> use </w:t>
      </w:r>
      <w:r>
        <w:rPr>
          <w:rStyle w:val="Text0"/>
        </w:rPr>
        <w:t>exec</w:t>
      </w:r>
      <w:r>
        <w:t xml:space="preserve">, </w:t>
      </w:r>
      <w:r>
        <w:rPr>
          <w:rStyle w:val="Text4"/>
        </w:rPr>
        <w:t>always</w:t>
      </w:r>
      <w:r>
        <w:t xml:space="preserve"> use it with explicit </w:t>
      </w:r>
      <w:r>
        <w:rPr>
          <w:rStyle w:val="Text0"/>
        </w:rPr>
        <w:t>dict</w:t>
      </w:r>
      <w:r>
        <w:t xml:space="preserve">s, although avoiding </w:t>
      </w:r>
      <w:r>
        <w:rPr>
          <w:rStyle w:val="Text0"/>
        </w:rPr>
        <w:t>exec</w:t>
      </w:r>
      <w:r>
        <w:t xml:space="preserve"> altogether is </w:t>
      </w:r>
      <w:r>
        <w:rPr>
          <w:rStyle w:val="Text4"/>
        </w:rPr>
        <w:t>far</w:t>
      </w:r>
      <w:r>
        <w:t xml:space="preserve"> better, if at all feasible. If you need to </w:t>
      </w:r>
      <w:r>
        <w:rPr>
          <w:rStyle w:val="Text0"/>
        </w:rPr>
        <w:t>exec</w:t>
      </w:r>
      <w:r>
        <w:t xml:space="preserve"> a dynamically obtained string more than once, </w:t>
      </w:r>
      <w:r>
        <w:rPr>
          <w:rStyle w:val="Text0"/>
        </w:rPr>
        <w:t>compile</w:t>
      </w:r>
      <w:r>
        <w:t xml:space="preserve"> the string just once and then repeatedly </w:t>
      </w:r>
      <w:r>
        <w:rPr>
          <w:rStyle w:val="Text0"/>
        </w:rPr>
        <w:t>exec</w:t>
      </w:r>
      <w:r>
        <w:t xml:space="preserve"> the resulting code object.</w:t>
      </w:r>
    </w:p>
    <w:p>
      <w:pPr>
        <w:pStyle w:val="Normal"/>
      </w:pPr>
      <w:r>
        <w:rPr>
          <w:rStyle w:val="Text0"/>
        </w:rPr>
        <w:t>eval</w:t>
      </w:r>
      <w:r>
        <w:t xml:space="preserve"> works on expressions, not on statements; therefore, while still slow, it avoids some of the worst performance impacts of </w:t>
      </w:r>
      <w:r>
        <w:rPr>
          <w:rStyle w:val="Text0"/>
        </w:rPr>
        <w:t>exec</w:t>
      </w:r>
      <w:r>
        <w:t xml:space="preserve">. With </w:t>
      </w:r>
      <w:r>
        <w:rPr>
          <w:rStyle w:val="Text0"/>
        </w:rPr>
        <w:t>eval</w:t>
      </w:r>
      <w:r>
        <w:t xml:space="preserve">, too, you’re best advised to use explicit </w:t>
      </w:r>
      <w:r>
        <w:rPr>
          <w:rStyle w:val="Text0"/>
        </w:rPr>
        <w:t>dict</w:t>
      </w:r>
      <w:r>
        <w:t xml:space="preserve">s. As with </w:t>
      </w:r>
      <w:r>
        <w:rPr>
          <w:rStyle w:val="Text0"/>
        </w:rPr>
        <w:t>exec</w:t>
      </w:r>
      <w:r>
        <w:t xml:space="preserve">, if you need multiple evaluations of the same dynamically obtained string, </w:t>
      </w:r>
      <w:r>
        <w:rPr>
          <w:rStyle w:val="Text0"/>
        </w:rPr>
        <w:t>compile</w:t>
      </w:r>
      <w:r>
        <w:t xml:space="preserve"> the string once and then repeatedly </w:t>
      </w:r>
      <w:r>
        <w:rPr>
          <w:rStyle w:val="Text0"/>
        </w:rPr>
        <w:t>eval</w:t>
      </w:r>
      <w:r>
        <w:t xml:space="preserve"> the resulting code object. Avoiding </w:t>
      </w:r>
      <w:r>
        <w:rPr>
          <w:rStyle w:val="Text0"/>
        </w:rPr>
        <w:t>eval</w:t>
      </w:r>
      <w:r>
        <w:t xml:space="preserve"> altogether is even better.</w:t>
      </w:r>
    </w:p>
    <w:p>
      <w:pPr>
        <w:pStyle w:val="Normal"/>
      </w:pPr>
      <w:r>
        <w:t xml:space="preserve">See </w:t>
      </w:r>
      <w:hyperlink w:anchor="Dynamic_Execution_and_exec__Pyth">
        <w:r>
          <w:rPr>
            <w:rStyle w:val="Text1"/>
          </w:rPr>
          <w:t>“Dynamic Execution and exec”</w:t>
        </w:r>
      </w:hyperlink>
      <w:r>
        <w:t xml:space="preserve"> for more details and advice about </w:t>
      </w:r>
      <w:r>
        <w:rPr>
          <w:rStyle w:val="Text0"/>
        </w:rPr>
        <w:t>exec</w:t>
      </w:r>
      <w:r>
        <w:t xml:space="preserve">, </w:t>
      </w:r>
      <w:r>
        <w:rPr>
          <w:rStyle w:val="Text0"/>
        </w:rPr>
        <w:t>eval</w:t>
      </w:r>
      <w:r>
        <w:t xml:space="preserve">, and </w:t>
      </w:r>
      <w:r>
        <w:rPr>
          <w:rStyle w:val="Text0"/>
        </w:rPr>
        <w:t>compile</w:t>
      </w:r>
      <w:r>
        <w:t>.</w:t>
      </w:r>
    </w:p>
    <w:p>
      <w:bookmarkStart w:id="3902" w:name="Short_circuiting_of_Boolean_expr"/>
      <w:pPr>
        <w:keepNext/>
        <w:pStyle w:val="Heading 2"/>
      </w:pPr>
      <w:r>
        <w:t>Short-circuiting of Boolean expressions</w:t>
      </w:r>
      <w:bookmarkEnd w:id="3902"/>
    </w:p>
    <w:p>
      <w:pPr>
        <w:pStyle w:val="Normal"/>
      </w:pPr>
      <w:r>
        <w:t>Python</w:t>
      </w:r>
      <w:r>
        <w:rPr>
          <w:rStyle w:val="Text111"/>
        </w:rPr>
        <w:bookmarkStart w:id="3903" w:name="idm45965178340432"/>
        <w:t/>
        <w:bookmarkEnd w:id="3903"/>
      </w:r>
      <w:r>
        <w:t xml:space="preserve"> evaluates Boolean expressions from left to right according to the precedence of the operations </w:t>
      </w:r>
      <w:r>
        <w:rPr>
          <w:rStyle w:val="Text5"/>
        </w:rPr>
        <w:t>not</w:t>
      </w:r>
      <w:r>
        <w:t xml:space="preserve">, </w:t>
      </w:r>
      <w:r>
        <w:rPr>
          <w:rStyle w:val="Text5"/>
        </w:rPr>
        <w:t>and</w:t>
      </w:r>
      <w:r>
        <w:t xml:space="preserve">, and </w:t>
      </w:r>
      <w:r>
        <w:rPr>
          <w:rStyle w:val="Text5"/>
        </w:rPr>
        <w:t>or</w:t>
      </w:r>
      <w:r>
        <w:t xml:space="preserve">. When, from evaluating just the leading terms, Python can determine that the overall expression must be </w:t>
      </w:r>
      <w:r>
        <w:rPr>
          <w:rStyle w:val="Text5"/>
        </w:rPr>
        <w:t>True</w:t>
      </w:r>
      <w:r>
        <w:t xml:space="preserve"> or </w:t>
      </w:r>
      <w:r>
        <w:rPr>
          <w:rStyle w:val="Text5"/>
        </w:rPr>
        <w:t>False</w:t>
      </w:r>
      <w:r>
        <w:t xml:space="preserve">, it skips the rest of the expression. This feature is known as </w:t>
      </w:r>
      <w:r>
        <w:rPr>
          <w:rStyle w:val="Text4"/>
        </w:rPr>
        <w:t>short-circuiting</w:t>
      </w:r>
      <w:r>
        <w:t>, so called because Python bypasses unneeded processing the same way an electrical short bypasses parts of an electrical circuit.</w:t>
      </w:r>
    </w:p>
    <w:p>
      <w:pPr>
        <w:pStyle w:val="Normal"/>
      </w:pPr>
      <w:r>
        <w:t xml:space="preserve">In this example, both conditions must be </w:t>
      </w:r>
      <w:r>
        <w:rPr>
          <w:rStyle w:val="Text5"/>
        </w:rPr>
        <w:t>True</w:t>
      </w:r>
      <w:r>
        <w:t xml:space="preserve"> to continue:</w:t>
      </w:r>
    </w:p>
    <w:p>
      <w:pPr>
        <w:pStyle w:val="Para 014"/>
      </w:pPr>
      <w:r>
        <w:rPr>
          <w:rStyle w:val="Text116"/>
        </w:rPr>
        <w:t xml:space="preserve"/>
        <w:br w:clear="none"/>
      </w:r>
      <w:r>
        <w:rPr>
          <w:rStyle w:val="Text22"/>
        </w:rPr>
        <w:t xml:space="preserve">if</w:t>
        <w:br w:clear="none"/>
      </w:r>
      <w:r>
        <w:rPr>
          <w:rStyle w:val="Text11"/>
        </w:rPr>
        <w:t xml:space="preserve"> </w:t>
        <w:br w:clear="none"/>
      </w:r>
      <w:r>
        <w:rPr>
          <w:rStyle w:val="Text14"/>
        </w:rPr>
        <w:t xml:space="preserve">slow_function</w:t>
        <w:br w:clear="none"/>
      </w:r>
      <w:r>
        <w:rPr>
          <w:rStyle w:val="Text19"/>
        </w:rPr>
        <w:t xml:space="preserve">(</w:t>
        <w:br w:clear="none"/>
        <w:t xml:space="preserve">)</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fast_function</w:t>
        <w:br w:clear="none"/>
      </w:r>
      <w:r>
        <w:rPr>
          <w:rStyle w:val="Text19"/>
        </w:rPr>
        <w:t xml:space="preserve">(</w:t>
        <w:br w:clear="none"/>
        <w:t xml:space="preserve">)</w:t>
        <w:br w:clear="none"/>
        <w:t xml:space="preserve">:</w:t>
        <w:br w:clear="none"/>
      </w:r>
      <w:r>
        <w:rPr>
          <w:rStyle w:val="Text11"/>
        </w:rPr>
        <w:t xml:space="preserve"/>
        <w:br w:clear="none"/>
      </w:r>
      <w:r>
        <w:rPr>
          <w:rStyle w:val="Text6"/>
        </w:rPr>
        <w:t xml:space="preserve">   </w:t>
        <w:br w:clear="none"/>
      </w:r>
      <w:r>
        <w:rPr>
          <w:rStyle w:val="Text11"/>
        </w:rPr>
        <w:t xml:space="preserve"> </w:t>
        <w:br w:clear="none"/>
      </w:r>
      <w:r>
        <w:t xml:space="preserve">#</w:t>
        <w:br w:clear="none"/>
      </w:r>
      <w:r>
        <w:rPr>
          <w:rStyle w:val="Text4"/>
        </w:rPr>
        <w:t xml:space="preserve"> </w:t>
        <w:br w:clear="none"/>
      </w:r>
      <w:r>
        <w:t xml:space="preserve">...</w:t>
        <w:br w:clear="none"/>
      </w:r>
      <w:r>
        <w:rPr>
          <w:rStyle w:val="Text4"/>
        </w:rPr>
        <w:t xml:space="preserve"> </w:t>
        <w:br w:clear="none"/>
      </w:r>
      <w:r>
        <w:t xml:space="preserve">proceed with processing</w:t>
        <w:br w:clear="none"/>
        <w:t xml:space="preserve"> ...</w:t>
        <w:br w:clear="none"/>
      </w:r>
    </w:p>
    <w:p>
      <w:pPr>
        <w:pStyle w:val="Normal"/>
      </w:pPr>
      <w:r>
        <w:t xml:space="preserve">When </w:t>
      </w:r>
      <w:r>
        <w:rPr>
          <w:rStyle w:val="Text0"/>
        </w:rPr>
        <w:t>fast_function</w:t>
      </w:r>
      <w:r>
        <w:t xml:space="preserve"> is going to return </w:t>
      </w:r>
      <w:r>
        <w:rPr>
          <w:rStyle w:val="Text5"/>
        </w:rPr>
        <w:t>False</w:t>
      </w:r>
      <w:r>
        <w:t xml:space="preserve">, it’s faster to evaluate it first, potentially avoiding the call to </w:t>
      </w:r>
      <w:r>
        <w:rPr>
          <w:rStyle w:val="Text0"/>
        </w:rPr>
        <w:t>slow_function</w:t>
      </w:r>
      <w:r>
        <w:t xml:space="preserve"> altogether:</w:t>
      </w:r>
    </w:p>
    <w:p>
      <w:pPr>
        <w:pStyle w:val="Para 014"/>
      </w:pPr>
      <w:r>
        <w:rPr>
          <w:rStyle w:val="Text116"/>
        </w:rPr>
        <w:t xml:space="preserve"/>
        <w:br w:clear="none"/>
      </w:r>
      <w:r>
        <w:rPr>
          <w:rStyle w:val="Text22"/>
        </w:rPr>
        <w:t xml:space="preserve">if</w:t>
        <w:br w:clear="none"/>
      </w:r>
      <w:r>
        <w:rPr>
          <w:rStyle w:val="Text11"/>
        </w:rPr>
        <w:t xml:space="preserve"> </w:t>
        <w:br w:clear="none"/>
      </w:r>
      <w:r>
        <w:rPr>
          <w:rStyle w:val="Text14"/>
        </w:rPr>
        <w:t xml:space="preserve">fast_function</w:t>
        <w:br w:clear="none"/>
      </w:r>
      <w:r>
        <w:rPr>
          <w:rStyle w:val="Text19"/>
        </w:rPr>
        <w:t xml:space="preserve">(</w:t>
        <w:br w:clear="none"/>
        <w:t xml:space="preserve">)</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slow_function</w:t>
        <w:br w:clear="none"/>
      </w:r>
      <w:r>
        <w:rPr>
          <w:rStyle w:val="Text19"/>
        </w:rPr>
        <w:t xml:space="preserve">(</w:t>
        <w:br w:clear="none"/>
        <w:t xml:space="preserve">)</w:t>
        <w:br w:clear="none"/>
        <w:t xml:space="preserve">:</w:t>
        <w:br w:clear="none"/>
      </w:r>
      <w:r>
        <w:rPr>
          <w:rStyle w:val="Text11"/>
        </w:rPr>
        <w:t xml:space="preserve"/>
        <w:br w:clear="none"/>
      </w:r>
      <w:r>
        <w:rPr>
          <w:rStyle w:val="Text6"/>
        </w:rPr>
        <w:t xml:space="preserve">   </w:t>
        <w:br w:clear="none"/>
      </w:r>
      <w:r>
        <w:rPr>
          <w:rStyle w:val="Text11"/>
        </w:rPr>
        <w:t xml:space="preserve"> </w:t>
        <w:br w:clear="none"/>
      </w:r>
      <w:r>
        <w:t xml:space="preserve">#</w:t>
        <w:br w:clear="none"/>
      </w:r>
      <w:r>
        <w:rPr>
          <w:rStyle w:val="Text4"/>
        </w:rPr>
        <w:t xml:space="preserve"> </w:t>
        <w:br w:clear="none"/>
      </w:r>
      <w:r>
        <w:t xml:space="preserve">...</w:t>
        <w:br w:clear="none"/>
      </w:r>
      <w:r>
        <w:rPr>
          <w:rStyle w:val="Text4"/>
        </w:rPr>
        <w:t xml:space="preserve"> </w:t>
        <w:br w:clear="none"/>
      </w:r>
      <w:r>
        <w:t xml:space="preserve">proceed with processing</w:t>
        <w:br w:clear="none"/>
        <w:t xml:space="preserve"> ...</w:t>
        <w:br w:clear="none"/>
      </w:r>
    </w:p>
    <w:p>
      <w:pPr>
        <w:pStyle w:val="Normal"/>
      </w:pPr>
      <w:r>
        <w:t xml:space="preserve">This optimization also applies when the operator is </w:t>
      </w:r>
      <w:r>
        <w:rPr>
          <w:rStyle w:val="Text5"/>
        </w:rPr>
        <w:t>or</w:t>
      </w:r>
      <w:r>
        <w:t xml:space="preserve">, when either case must be </w:t>
      </w:r>
      <w:r>
        <w:rPr>
          <w:rStyle w:val="Text5"/>
        </w:rPr>
        <w:t>True</w:t>
      </w:r>
      <w:r>
        <w:t xml:space="preserve"> to continue: when </w:t>
      </w:r>
      <w:r>
        <w:rPr>
          <w:rStyle w:val="Text0"/>
        </w:rPr>
        <w:t>fast_function</w:t>
      </w:r>
      <w:r>
        <w:t xml:space="preserve"> returns </w:t>
      </w:r>
      <w:r>
        <w:rPr>
          <w:rStyle w:val="Text5"/>
        </w:rPr>
        <w:t>True</w:t>
      </w:r>
      <w:r>
        <w:t xml:space="preserve">, Python skips </w:t>
      </w:r>
      <w:r>
        <w:rPr>
          <w:rStyle w:val="Text0"/>
        </w:rPr>
        <w:t>slow_function</w:t>
      </w:r>
      <w:r>
        <w:t xml:space="preserve"> completely.</w:t>
      </w:r>
    </w:p>
    <w:p>
      <w:pPr>
        <w:pStyle w:val="Normal"/>
      </w:pPr>
      <w:r>
        <w:t>You can optimize these expressions by considering the order of the expressions’ operators and terms, and order them so that Python evaluates the faster subexpressions first.</w:t>
      </w:r>
    </w:p>
    <w:p>
      <w:pPr>
        <w:keepNext/>
        <w:pStyle w:val="Heading 6"/>
        <w:keepLines w:val="on"/>
      </w:pPr>
      <w:r>
        <w:t>Short-Circuiting May Bypass Needed Functions</w:t>
      </w:r>
    </w:p>
    <w:p>
      <w:pPr>
        <w:pStyle w:val="Para 012"/>
        <w:keepLines w:val="on"/>
      </w:pPr>
      <w:r>
        <w:t xml:space="preserve">In the preceding examples, when </w:t>
      </w:r>
      <w:r>
        <w:rPr>
          <w:rStyle w:val="Text0"/>
        </w:rPr>
        <w:t>slow_function</w:t>
      </w:r>
      <w:r>
        <w:t xml:space="preserve"> performs some important “side effect” behavior (such as logging to an audit file, or notifying an administrator of a system condition), short-circuiting may unexpectedly skip that behavior. Take care when including necessary behavior as part of a Boolean expression, and do not overoptimize and remove important functionality.</w:t>
      </w:r>
    </w:p>
    <w:p>
      <w:bookmarkStart w:id="3904" w:name="Short_circuiting_of_iterators__S"/>
      <w:pPr>
        <w:keepNext/>
        <w:pStyle w:val="Heading 2"/>
      </w:pPr>
      <w:r>
        <w:t>Short-circuiting of iterators</w:t>
      </w:r>
      <w:bookmarkEnd w:id="3904"/>
    </w:p>
    <w:p>
      <w:pPr>
        <w:pStyle w:val="Normal"/>
      </w:pPr>
      <w:r>
        <w:t>Similarly</w:t>
      </w:r>
      <w:r>
        <w:rPr>
          <w:rStyle w:val="Text111"/>
        </w:rPr>
        <w:bookmarkStart w:id="3905" w:name="idm45965178239792"/>
        <w:t/>
        <w:bookmarkEnd w:id="3905"/>
      </w:r>
      <w:r>
        <w:t xml:space="preserve"> to short-circuiting in Boolean expressions, you can short-circuit the evaluation of values in an iterator. Python’s built-in functions </w:t>
      </w:r>
      <w:r>
        <w:rPr>
          <w:rStyle w:val="Text0"/>
        </w:rPr>
        <w:t>all</w:t>
      </w:r>
      <w:r>
        <w:t xml:space="preserve">, </w:t>
      </w:r>
      <w:r>
        <w:rPr>
          <w:rStyle w:val="Text0"/>
        </w:rPr>
        <w:t>any</w:t>
      </w:r>
      <w:r>
        <w:t xml:space="preserve">, and </w:t>
      </w:r>
      <w:r>
        <w:rPr>
          <w:rStyle w:val="Text0"/>
        </w:rPr>
        <w:t>next</w:t>
      </w:r>
      <w:r>
        <w:t xml:space="preserve"> return after finding the first item in the iterator that meets the given condition, without generating further values:</w:t>
      </w:r>
    </w:p>
    <w:p>
      <w:pPr>
        <w:pStyle w:val="Para 014"/>
      </w:pPr>
      <w:r>
        <w:rPr>
          <w:rStyle w:val="Text116"/>
        </w:rPr>
        <w:t xml:space="preserve"/>
        <w:br w:clear="none"/>
      </w:r>
      <w:r>
        <w:rPr>
          <w:rStyle w:val="Text21"/>
        </w:rPr>
        <w:t xml:space="preserve">any</w:t>
        <w:br w:clear="none"/>
      </w:r>
      <w:r>
        <w:rPr>
          <w:rStyle w:val="Text19"/>
        </w:rPr>
        <w:t xml:space="preserve">(</w:t>
        <w:br w:clear="none"/>
      </w:r>
      <w:r>
        <w:rPr>
          <w:rStyle w:val="Text14"/>
        </w:rPr>
        <w:t xml:space="preserve">x</w:t>
        <w:br w:clear="none"/>
      </w:r>
      <w:r>
        <w:rPr>
          <w:rStyle w:val="Text28"/>
        </w:rPr>
        <w:t xml:space="preserve">*</w:t>
        <w:br w:clear="none"/>
        <w:t xml:space="preserve">*</w:t>
        <w:br w:clear="none"/>
      </w:r>
      <w:r>
        <w:rPr>
          <w:rStyle w:val="Text35"/>
        </w:rPr>
        <w:t xml:space="preserve">2</w:t>
        <w:br w:clear="none"/>
      </w:r>
      <w:r>
        <w:rPr>
          <w:rStyle w:val="Text11"/>
        </w:rPr>
        <w:t xml:space="preserve"> </w:t>
        <w:br w:clear="none"/>
      </w:r>
      <w:r>
        <w:rPr>
          <w:rStyle w:val="Text28"/>
        </w:rPr>
        <w:t xml:space="preserve">&gt;</w:t>
        <w:br w:clear="none"/>
      </w:r>
      <w:r>
        <w:rPr>
          <w:rStyle w:val="Text11"/>
        </w:rPr>
        <w:t xml:space="preserve"> </w:t>
        <w:br w:clear="none"/>
      </w:r>
      <w:r>
        <w:rPr>
          <w:rStyle w:val="Text35"/>
        </w:rPr>
        <w:t xml:space="preserve">100</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21"/>
        </w:rPr>
        <w:t xml:space="preserve">range</w:t>
        <w:br w:clear="none"/>
      </w:r>
      <w:r>
        <w:rPr>
          <w:rStyle w:val="Text19"/>
        </w:rPr>
        <w:t xml:space="preserve">(</w:t>
        <w:br w:clear="none"/>
      </w:r>
      <w:r>
        <w:rPr>
          <w:rStyle w:val="Text35"/>
        </w:rPr>
        <w:t xml:space="preserve">50</w:t>
        <w:br w:clear="none"/>
      </w:r>
      <w:r>
        <w:rPr>
          <w:rStyle w:val="Text19"/>
        </w:rPr>
        <w:t xml:space="preserve">)</w:t>
        <w:br w:clear="none"/>
        <w:t xml:space="preserve">)</w:t>
        <w:br w:clear="none"/>
      </w:r>
      <w:r>
        <w:rPr>
          <w:rStyle w:val="Text11"/>
        </w:rPr>
        <w:t xml:space="preserve"> </w:t>
        <w:br w:clear="none"/>
        <w:t xml:space="preserve"/>
        <w:br w:clear="none"/>
      </w:r>
      <w:r>
        <w:t xml:space="preserve"># returns</w:t>
        <w:br w:clear="none"/>
      </w:r>
      <w:r>
        <w:rPr>
          <w:rStyle w:val="Text4"/>
        </w:rPr>
        <w:t xml:space="preserve"> </w:t>
        <w:br w:clear="none"/>
      </w:r>
      <w:r>
        <w:t xml:space="preserve">True</w:t>
        <w:br w:clear="none"/>
      </w:r>
      <w:r>
        <w:rPr>
          <w:rStyle w:val="Text4"/>
        </w:rPr>
        <w:t xml:space="preserve"> </w:t>
        <w:br w:clear="none"/>
      </w:r>
      <w:r>
        <w:t xml:space="preserve">once it reaches 10, skips the rest</w:t>
        <w:br w:clear="none"/>
      </w:r>
      <w:r>
        <w:rPr>
          <w:rStyle w:val="Text11"/>
        </w:rPr>
        <w:t xml:space="preserve"/>
        <w:br w:clear="none"/>
        <w:t xml:space="preserve"/>
        <w:br w:clear="none"/>
      </w:r>
      <w:r>
        <w:rPr>
          <w:rStyle w:val="Text14"/>
        </w:rPr>
        <w:t xml:space="preserve">odd_numbers_greater_than_1</w:t>
        <w:br w:clear="none"/>
      </w:r>
      <w:r>
        <w:rPr>
          <w:rStyle w:val="Text11"/>
        </w:rPr>
        <w:t xml:space="preserve"> </w:t>
        <w:br w:clear="none"/>
      </w:r>
      <w:r>
        <w:rPr>
          <w:rStyle w:val="Text28"/>
        </w:rPr>
        <w:t xml:space="preserve">=</w:t>
        <w:br w:clear="none"/>
      </w:r>
      <w:r>
        <w:rPr>
          <w:rStyle w:val="Text11"/>
        </w:rPr>
        <w:t xml:space="preserve"> </w:t>
        <w:br w:clear="none"/>
      </w:r>
      <w:r>
        <w:rPr>
          <w:rStyle w:val="Text21"/>
        </w:rPr>
        <w:t xml:space="preserve">range</w:t>
        <w:br w:clear="none"/>
      </w:r>
      <w:r>
        <w:rPr>
          <w:rStyle w:val="Text19"/>
        </w:rPr>
        <w:t xml:space="preserve">(</w:t>
        <w:br w:clear="none"/>
      </w:r>
      <w:r>
        <w:rPr>
          <w:rStyle w:val="Text35"/>
        </w:rPr>
        <w:t xml:space="preserve">3</w:t>
        <w:br w:clear="none"/>
      </w:r>
      <w:r>
        <w:rPr>
          <w:rStyle w:val="Text19"/>
        </w:rPr>
        <w:t xml:space="preserve">,</w:t>
        <w:br w:clear="none"/>
      </w:r>
      <w:r>
        <w:rPr>
          <w:rStyle w:val="Text11"/>
        </w:rPr>
        <w:t xml:space="preserve"> </w:t>
        <w:br w:clear="none"/>
      </w:r>
      <w:r>
        <w:rPr>
          <w:rStyle w:val="Text35"/>
        </w:rPr>
        <w:t xml:space="preserve">100</w:t>
        <w:br w:clear="none"/>
      </w:r>
      <w:r>
        <w:rPr>
          <w:rStyle w:val="Text19"/>
        </w:rPr>
        <w:t xml:space="preserve">,</w:t>
        <w:br w:clear="none"/>
      </w:r>
      <w:r>
        <w:rPr>
          <w:rStyle w:val="Text11"/>
        </w:rPr>
        <w:t xml:space="preserve"> </w:t>
        <w:br w:clear="none"/>
      </w:r>
      <w:r>
        <w:rPr>
          <w:rStyle w:val="Text35"/>
        </w:rPr>
        <w:t xml:space="preserve">2</w:t>
        <w:br w:clear="none"/>
      </w:r>
      <w:r>
        <w:rPr>
          <w:rStyle w:val="Text19"/>
        </w:rPr>
        <w:t xml:space="preserve">)</w:t>
        <w:br w:clear="none"/>
      </w:r>
      <w:r>
        <w:rPr>
          <w:rStyle w:val="Text11"/>
        </w:rPr>
        <w:t xml:space="preserve"/>
        <w:br w:clear="none"/>
      </w:r>
      <w:r>
        <w:rPr>
          <w:rStyle w:val="Text21"/>
        </w:rPr>
        <w:t xml:space="preserve">all</w:t>
        <w:br w:clear="none"/>
      </w:r>
      <w:r>
        <w:rPr>
          <w:rStyle w:val="Text19"/>
        </w:rPr>
        <w:t xml:space="preserve">(</w:t>
        <w:br w:clear="none"/>
      </w:r>
      <w:r>
        <w:rPr>
          <w:rStyle w:val="Text14"/>
        </w:rPr>
        <w:t xml:space="preserve">is_prime</w:t>
        <w:br w:clear="none"/>
      </w:r>
      <w:r>
        <w:rPr>
          <w:rStyle w:val="Text19"/>
        </w:rPr>
        <w:t xml:space="preserve">(</w:t>
        <w:br w:clear="none"/>
      </w:r>
      <w:r>
        <w:rPr>
          <w:rStyle w:val="Text14"/>
        </w:rPr>
        <w:t xml:space="preserve">x</w:t>
        <w:br w:clear="none"/>
      </w:r>
      <w:r>
        <w:rPr>
          <w:rStyle w:val="Text19"/>
        </w:rPr>
        <w:t xml:space="preserve">)</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x</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odd_numbers_greater_than_1</w:t>
        <w:br w:clear="none"/>
      </w:r>
      <w:r>
        <w:rPr>
          <w:rStyle w:val="Text19"/>
        </w:rPr>
        <w:t xml:space="preserve">)</w:t>
        <w:br w:clear="none"/>
      </w:r>
      <w:r>
        <w:rPr>
          <w:rStyle w:val="Text11"/>
        </w:rPr>
        <w:t xml:space="preserve"> </w:t>
        <w:br w:clear="none"/>
        <w:t xml:space="preserve"/>
        <w:br w:clear="none"/>
      </w:r>
      <w:r>
        <w:t xml:space="preserve"># returns</w:t>
        <w:br w:clear="none"/>
      </w:r>
      <w:r>
        <w:rPr>
          <w:rStyle w:val="Text4"/>
        </w:rPr>
        <w:t xml:space="preserve"> </w:t>
        <w:br w:clear="none"/>
      </w:r>
      <w:r>
        <w:t xml:space="preserve">False</w:t>
        <w:br w:clear="none"/>
        <w:t xml:space="preserve">: 3, 5, and 7 are prime but 9 is not</w:t>
        <w:br w:clear="none"/>
      </w:r>
      <w:r>
        <w:rPr>
          <w:rStyle w:val="Text11"/>
        </w:rPr>
        <w:t xml:space="preserve"/>
        <w:br w:clear="none"/>
        <w:t xml:space="preserve"/>
        <w:br w:clear="none"/>
      </w:r>
      <w:r>
        <w:rPr>
          <w:rStyle w:val="Text21"/>
        </w:rPr>
        <w:t xml:space="preserve">next</w:t>
        <w:br w:clear="none"/>
      </w:r>
      <w:r>
        <w:rPr>
          <w:rStyle w:val="Text19"/>
        </w:rPr>
        <w:t xml:space="preserve">(</w:t>
        <w:br w:clear="none"/>
      </w:r>
      <w:r>
        <w:rPr>
          <w:rStyle w:val="Text14"/>
        </w:rPr>
        <w:t xml:space="preserve">c</w:t>
        <w:br w:clear="none"/>
      </w:r>
      <w:r>
        <w:rPr>
          <w:rStyle w:val="Text11"/>
        </w:rPr>
        <w:t xml:space="preserve"> </w:t>
        <w:br w:clear="none"/>
      </w:r>
      <w:r>
        <w:rPr>
          <w:rStyle w:val="Text22"/>
        </w:rPr>
        <w:t xml:space="preserve">for</w:t>
        <w:br w:clear="none"/>
      </w:r>
      <w:r>
        <w:rPr>
          <w:rStyle w:val="Text11"/>
        </w:rPr>
        <w:t xml:space="preserve"> </w:t>
        <w:br w:clear="none"/>
      </w:r>
      <w:r>
        <w:rPr>
          <w:rStyle w:val="Text14"/>
        </w:rPr>
        <w:t xml:space="preserve">c</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string</w:t>
        <w:br w:clear="none"/>
      </w:r>
      <w:r>
        <w:rPr>
          <w:rStyle w:val="Text28"/>
        </w:rPr>
        <w:t xml:space="preserve">.</w:t>
        <w:br w:clear="none"/>
      </w:r>
      <w:r>
        <w:rPr>
          <w:rStyle w:val="Text14"/>
        </w:rPr>
        <w:t xml:space="preserve">ascii_uppercase</w:t>
        <w:br w:clear="none"/>
      </w:r>
      <w:r>
        <w:rPr>
          <w:rStyle w:val="Text11"/>
        </w:rPr>
        <w:t xml:space="preserve"> </w:t>
        <w:br w:clear="none"/>
      </w:r>
      <w:r>
        <w:rPr>
          <w:rStyle w:val="Text22"/>
        </w:rPr>
        <w:t xml:space="preserve">if</w:t>
        <w:br w:clear="none"/>
      </w:r>
      <w:r>
        <w:rPr>
          <w:rStyle w:val="Text11"/>
        </w:rPr>
        <w:t xml:space="preserve"> </w:t>
        <w:br w:clear="none"/>
      </w:r>
      <w:r>
        <w:rPr>
          <w:rStyle w:val="Text14"/>
        </w:rPr>
        <w:t xml:space="preserve">c</w:t>
        <w:br w:clear="none"/>
      </w:r>
      <w:r>
        <w:rPr>
          <w:rStyle w:val="Text11"/>
        </w:rPr>
        <w:t xml:space="preserve"> </w:t>
        <w:br w:clear="none"/>
      </w:r>
      <w:r>
        <w:rPr>
          <w:rStyle w:val="Text19"/>
        </w:rPr>
        <w:t xml:space="preserve">in</w:t>
        <w:br w:clear="none"/>
      </w:r>
      <w:r>
        <w:rPr>
          <w:rStyle w:val="Text11"/>
        </w:rPr>
        <w:t xml:space="preserve"> </w:t>
        <w:br w:clear="none"/>
      </w:r>
      <w:r>
        <w:rPr>
          <w:rStyle w:val="Text17"/>
        </w:rPr>
        <w:t xml:space="preserve">"</w:t>
        <w:br w:clear="none"/>
        <w:t xml:space="preserve">AEIOU</w:t>
        <w:br w:clear="none"/>
        <w:t xml:space="preserve">"</w:t>
        <w:br w:clear="none"/>
      </w:r>
      <w:r>
        <w:rPr>
          <w:rStyle w:val="Text19"/>
        </w:rPr>
        <w:t xml:space="preserve">)</w:t>
        <w:br w:clear="none"/>
      </w:r>
      <w:r>
        <w:rPr>
          <w:rStyle w:val="Text11"/>
        </w:rPr>
        <w:t xml:space="preserve"/>
        <w:br w:clear="none"/>
      </w:r>
      <w:r>
        <w:t xml:space="preserve"># returns 'A' without checking the remaining characters</w:t>
        <w:br w:clear="none"/>
      </w:r>
    </w:p>
    <w:p>
      <w:pPr>
        <w:pStyle w:val="Normal"/>
      </w:pPr>
      <w:r>
        <w:t>Your code gains an added advantage when the iterator is specifically a generator, as shown in all three of these cases. When the sequence of items is expensive to produce (as might be the case with records fetched from a database, for example), retrieving those items with a generator and short-circuiting to retrieve only the minimum needed can provide significant performance benefits.</w:t>
      </w:r>
    </w:p>
    <w:p>
      <w:bookmarkStart w:id="3906" w:name="Optimizing_loops__Most_of_your_p"/>
      <w:pPr>
        <w:keepNext/>
        <w:pStyle w:val="Heading 2"/>
      </w:pPr>
      <w:r>
        <w:t>Optimizing loops</w:t>
      </w:r>
      <w:bookmarkEnd w:id="3906"/>
    </w:p>
    <w:p>
      <w:pPr>
        <w:pStyle w:val="Normal"/>
      </w:pPr>
      <w:r>
        <w:t>Most</w:t>
      </w:r>
      <w:r>
        <w:rPr>
          <w:rStyle w:val="Text111"/>
        </w:rPr>
        <w:bookmarkStart w:id="3907" w:name="loopcon17"/>
        <w:t/>
        <w:bookmarkEnd w:id="3907"/>
      </w:r>
      <w:r>
        <w:t xml:space="preserve"> of your program’s bottlenecks will be in loops, particularly nested loops, because loop bodies execute repeatedly. Python does not implicitly perform any</w:t>
      </w:r>
      <w:r>
        <w:rPr>
          <w:rStyle w:val="Text111"/>
        </w:rPr>
        <w:bookmarkStart w:id="3908" w:name="idm45965178158928"/>
        <w:t/>
        <w:bookmarkEnd w:id="3908"/>
      </w:r>
      <w:r>
        <w:t xml:space="preserve"> </w:t>
      </w:r>
      <w:r>
        <w:rPr>
          <w:rStyle w:val="Text4"/>
        </w:rPr>
        <w:t>code hoisting</w:t>
      </w:r>
      <w:r>
        <w:t>: if you have any code inside a loop that you could execute just once by hoisting it out of the loop, and the loop is a bottleneck, hoist the code out yourself. Sometimes the presence of code to hoist may not be immediately obvious: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slower</w:t>
        <w:br w:clear="none"/>
      </w:r>
      <w:r>
        <w:rPr>
          <w:rStyle w:val="Text7"/>
        </w:rPr>
        <w:t xml:space="preserve">(</w:t>
        <w:br w:clear="none"/>
      </w:r>
      <w:r>
        <w:t xml:space="preserve">anobject</w:t>
        <w:br w:clear="none"/>
      </w:r>
      <w:r>
        <w:rPr>
          <w:rStyle w:val="Text7"/>
        </w:rPr>
        <w:t xml:space="preserve">,</w:t>
        <w:br w:clear="none"/>
      </w:r>
      <w:r>
        <w:rPr>
          <w:rStyle w:val="Text6"/>
        </w:rPr>
        <w:t xml:space="preserve"> </w:t>
        <w:br w:clear="none"/>
      </w:r>
      <w:r>
        <w:t xml:space="preserve">ahugenumber</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ahugenumber</w:t>
        <w:br w:clear="none"/>
      </w:r>
      <w:r>
        <w:rPr>
          <w:rStyle w:val="Text7"/>
        </w:rPr>
        <w:t xml:space="preserve">)</w:t>
        <w:br w:clear="none"/>
        <w:t xml:space="preserve">:</w:t>
        <w:br w:clear="none"/>
      </w:r>
      <w:r>
        <w:rPr>
          <w:rStyle w:val="Text6"/>
        </w:rPr>
        <w:t xml:space="preserve"/>
        <w:br w:clear="none"/>
        <w:t xml:space="preserve">        </w:t>
        <w:br w:clear="none"/>
      </w:r>
      <w:r>
        <w:t xml:space="preserve">anobject</w:t>
        <w:br w:clear="none"/>
      </w:r>
      <w:r>
        <w:rPr>
          <w:rStyle w:val="Text13"/>
        </w:rPr>
        <w:t xml:space="preserve">.</w:t>
        <w:br w:clear="none"/>
      </w:r>
      <w:r>
        <w:t xml:space="preserve">amethod</w:t>
        <w:br w:clear="none"/>
      </w:r>
      <w:r>
        <w:rPr>
          <w:rStyle w:val="Text7"/>
        </w:rPr>
        <w:t xml:space="preserve">(</w:t>
        <w:br w:clear="none"/>
      </w:r>
      <w:r>
        <w:t xml:space="preserve">i</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faster</w:t>
        <w:br w:clear="none"/>
      </w:r>
      <w:r>
        <w:rPr>
          <w:rStyle w:val="Text7"/>
        </w:rPr>
        <w:t xml:space="preserve">(</w:t>
        <w:br w:clear="none"/>
      </w:r>
      <w:r>
        <w:t xml:space="preserve">anobject</w:t>
        <w:br w:clear="none"/>
      </w:r>
      <w:r>
        <w:rPr>
          <w:rStyle w:val="Text7"/>
        </w:rPr>
        <w:t xml:space="preserve">,</w:t>
        <w:br w:clear="none"/>
      </w:r>
      <w:r>
        <w:rPr>
          <w:rStyle w:val="Text6"/>
        </w:rPr>
        <w:t xml:space="preserve"> </w:t>
        <w:br w:clear="none"/>
      </w:r>
      <w:r>
        <w:t xml:space="preserve">ahugenumber</w:t>
        <w:br w:clear="none"/>
      </w:r>
      <w:r>
        <w:rPr>
          <w:rStyle w:val="Text7"/>
        </w:rPr>
        <w:t xml:space="preserve">)</w:t>
        <w:br w:clear="none"/>
        <w:t xml:space="preserve">:</w:t>
        <w:br w:clear="none"/>
      </w:r>
      <w:r>
        <w:rPr>
          <w:rStyle w:val="Text6"/>
        </w:rPr>
        <w:t xml:space="preserve"/>
        <w:br w:clear="none"/>
        <w:t xml:space="preserve">    </w:t>
        <w:br w:clear="none"/>
      </w:r>
      <w:r>
        <w:t xml:space="preserve">themethod</w:t>
        <w:br w:clear="none"/>
      </w:r>
      <w:r>
        <w:rPr>
          <w:rStyle w:val="Text6"/>
        </w:rPr>
        <w:t xml:space="preserve"> </w:t>
        <w:br w:clear="none"/>
      </w:r>
      <w:r>
        <w:rPr>
          <w:rStyle w:val="Text13"/>
        </w:rPr>
        <w:t xml:space="preserve">=</w:t>
        <w:br w:clear="none"/>
      </w:r>
      <w:r>
        <w:rPr>
          <w:rStyle w:val="Text6"/>
        </w:rPr>
        <w:t xml:space="preserve"> </w:t>
        <w:br w:clear="none"/>
      </w:r>
      <w:r>
        <w:t xml:space="preserve">anobject</w:t>
        <w:br w:clear="none"/>
      </w:r>
      <w:r>
        <w:rPr>
          <w:rStyle w:val="Text13"/>
        </w:rPr>
        <w:t xml:space="preserve">.</w:t>
        <w:br w:clear="none"/>
      </w:r>
      <w:r>
        <w:t xml:space="preserve">amethod</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range</w:t>
        <w:br w:clear="none"/>
      </w:r>
      <w:r>
        <w:rPr>
          <w:rStyle w:val="Text7"/>
        </w:rPr>
        <w:t xml:space="preserve">(</w:t>
        <w:br w:clear="none"/>
      </w:r>
      <w:r>
        <w:t xml:space="preserve">ahugenumber</w:t>
        <w:br w:clear="none"/>
      </w:r>
      <w:r>
        <w:rPr>
          <w:rStyle w:val="Text7"/>
        </w:rPr>
        <w:t xml:space="preserve">)</w:t>
        <w:br w:clear="none"/>
        <w:t xml:space="preserve">:</w:t>
        <w:br w:clear="none"/>
      </w:r>
      <w:r>
        <w:rPr>
          <w:rStyle w:val="Text6"/>
        </w:rPr>
        <w:t xml:space="preserve"/>
        <w:br w:clear="none"/>
        <w:t xml:space="preserve">        </w:t>
        <w:br w:clear="none"/>
      </w:r>
      <w:r>
        <w:t xml:space="preserve">themethod</w:t>
        <w:br w:clear="none"/>
      </w:r>
      <w:r>
        <w:rPr>
          <w:rStyle w:val="Text7"/>
        </w:rPr>
        <w:t xml:space="preserve">(</w:t>
        <w:br w:clear="none"/>
      </w:r>
      <w:r>
        <w:t xml:space="preserve">i</w:t>
        <w:br w:clear="none"/>
      </w:r>
      <w:r>
        <w:rPr>
          <w:rStyle w:val="Text7"/>
        </w:rPr>
        <w:t xml:space="preserve">)</w:t>
        <w:br w:clear="none"/>
      </w:r>
    </w:p>
    <w:p>
      <w:pPr>
        <w:pStyle w:val="Normal"/>
      </w:pPr>
      <w:r>
        <w:t xml:space="preserve">In this case, the code that </w:t>
      </w:r>
      <w:r>
        <w:rPr>
          <w:rStyle w:val="Text0"/>
        </w:rPr>
        <w:t>faster</w:t>
      </w:r>
      <w:r>
        <w:t xml:space="preserve"> hoists out of the loop is the attribute lookup </w:t>
      </w:r>
      <w:r>
        <w:rPr>
          <w:rStyle w:val="Text0"/>
        </w:rPr>
        <w:t>anobject.amethod</w:t>
      </w:r>
      <w:r>
        <w:t xml:space="preserve">. </w:t>
      </w:r>
      <w:r>
        <w:rPr>
          <w:rStyle w:val="Text0"/>
        </w:rPr>
        <w:t>slower</w:t>
      </w:r>
      <w:r>
        <w:t xml:space="preserve"> repeats the lookup every time, while </w:t>
      </w:r>
      <w:r>
        <w:rPr>
          <w:rStyle w:val="Text0"/>
        </w:rPr>
        <w:t>faster</w:t>
      </w:r>
      <w:r>
        <w:t xml:space="preserve"> performs it just once. The two functions are not 100% equivalent: it is (barely) conceivable that executing </w:t>
      </w:r>
      <w:r>
        <w:rPr>
          <w:rStyle w:val="Text0"/>
        </w:rPr>
        <w:t>amethod</w:t>
      </w:r>
      <w:r>
        <w:t xml:space="preserve"> might cause such changes on </w:t>
      </w:r>
      <w:r>
        <w:rPr>
          <w:rStyle w:val="Text0"/>
        </w:rPr>
        <w:t>anobject</w:t>
      </w:r>
      <w:r>
        <w:t xml:space="preserve"> that the next lookup for the same named attribute fetches a different method object. This is part of why Python doesn’t perform such optimizations itself. In practice, such subtle, obscure, and tricky cases happen very rarely; it’s almost invariably safe to perform such optimizations yourself, to squeeze the last drop of performance out of some bottleneck.</w:t>
      </w:r>
    </w:p>
    <w:p>
      <w:pPr>
        <w:pStyle w:val="Normal"/>
      </w:pPr>
      <w:r>
        <w:t>Python is faster with local variables than with global ones. If a loop repeatedly accesses a global whose value does not change between iterations, you can “cache” the value in a local variable, and access that instead. This also applies to built-ins: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slightly_slower</w:t>
        <w:br w:clear="none"/>
      </w:r>
      <w:r>
        <w:rPr>
          <w:rStyle w:val="Text7"/>
        </w:rPr>
        <w:t xml:space="preserve">(</w:t>
        <w:br w:clear="none"/>
      </w:r>
      <w:r>
        <w:t xml:space="preserve">asequence</w:t>
        <w:br w:clear="none"/>
      </w:r>
      <w:r>
        <w:rPr>
          <w:rStyle w:val="Text7"/>
        </w:rPr>
        <w:t xml:space="preserve">,</w:t>
        <w:br w:clear="none"/>
      </w:r>
      <w:r>
        <w:rPr>
          <w:rStyle w:val="Text6"/>
        </w:rPr>
        <w:t xml:space="preserve"> </w:t>
        <w:br w:clear="none"/>
      </w:r>
      <w:r>
        <w:t xml:space="preserve">adict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asequence</w:t>
        <w:br w:clear="none"/>
      </w:r>
      <w:r>
        <w:rPr>
          <w:rStyle w:val="Text7"/>
        </w:rPr>
        <w:t xml:space="preserve">:</w:t>
        <w:br w:clear="none"/>
      </w:r>
      <w:r>
        <w:rPr>
          <w:rStyle w:val="Text6"/>
        </w:rPr>
        <w:t xml:space="preserve"/>
        <w:br w:clear="none"/>
        <w:t xml:space="preserve">        </w:t>
        <w:br w:clear="none"/>
      </w:r>
      <w:r>
        <w:t xml:space="preserve">adict</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hex</w:t>
        <w:br w:clear="none"/>
      </w:r>
      <w:r>
        <w:rPr>
          <w:rStyle w:val="Text7"/>
        </w:rPr>
        <w:t xml:space="preserve">(</w:t>
        <w:br w:clear="none"/>
      </w:r>
      <w:r>
        <w:t xml:space="preserve">x</w:t>
        <w:br w:clear="none"/>
      </w:r>
      <w:r>
        <w:rPr>
          <w:rStyle w:val="Text7"/>
        </w:rPr>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slightly_faster</w:t>
        <w:br w:clear="none"/>
      </w:r>
      <w:r>
        <w:rPr>
          <w:rStyle w:val="Text7"/>
        </w:rPr>
        <w:t xml:space="preserve">(</w:t>
        <w:br w:clear="none"/>
      </w:r>
      <w:r>
        <w:t xml:space="preserve">asequence</w:t>
        <w:br w:clear="none"/>
      </w:r>
      <w:r>
        <w:rPr>
          <w:rStyle w:val="Text7"/>
        </w:rPr>
        <w:t xml:space="preserve">,</w:t>
        <w:br w:clear="none"/>
      </w:r>
      <w:r>
        <w:rPr>
          <w:rStyle w:val="Text6"/>
        </w:rPr>
        <w:t xml:space="preserve"> </w:t>
        <w:br w:clear="none"/>
      </w:r>
      <w:r>
        <w:t xml:space="preserve">adict</w:t>
        <w:br w:clear="none"/>
      </w:r>
      <w:r>
        <w:rPr>
          <w:rStyle w:val="Text7"/>
        </w:rPr>
        <w:t xml:space="preserve">)</w:t>
        <w:br w:clear="none"/>
        <w:t xml:space="preserve">:</w:t>
        <w:br w:clear="none"/>
      </w:r>
      <w:r>
        <w:rPr>
          <w:rStyle w:val="Text6"/>
        </w:rPr>
        <w:t xml:space="preserve"/>
        <w:br w:clear="none"/>
        <w:t xml:space="preserve">    </w:t>
        <w:br w:clear="none"/>
      </w:r>
      <w:r>
        <w:t xml:space="preserve">myhex</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hex</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x</w:t>
        <w:br w:clear="none"/>
      </w:r>
      <w:r>
        <w:rPr>
          <w:rStyle w:val="Text6"/>
        </w:rPr>
        <w:t xml:space="preserve"> </w:t>
        <w:br w:clear="none"/>
      </w:r>
      <w:r>
        <w:rPr>
          <w:rStyle w:val="Text31"/>
        </w:rPr>
        <w:t xml:space="preserve">in</w:t>
        <w:br w:clear="none"/>
      </w:r>
      <w:r>
        <w:rPr>
          <w:rStyle w:val="Text6"/>
        </w:rPr>
        <w:t xml:space="preserve"> </w:t>
        <w:br w:clear="none"/>
      </w:r>
      <w:r>
        <w:t xml:space="preserve">asequence</w:t>
        <w:br w:clear="none"/>
      </w:r>
      <w:r>
        <w:rPr>
          <w:rStyle w:val="Text7"/>
        </w:rPr>
        <w:t xml:space="preserve">:</w:t>
        <w:br w:clear="none"/>
      </w:r>
      <w:r>
        <w:rPr>
          <w:rStyle w:val="Text6"/>
        </w:rPr>
        <w:t xml:space="preserve"/>
        <w:br w:clear="none"/>
        <w:t xml:space="preserve">        </w:t>
        <w:br w:clear="none"/>
      </w:r>
      <w:r>
        <w:t xml:space="preserve">adict</w:t>
        <w:br w:clear="none"/>
      </w:r>
      <w:r>
        <w:rPr>
          <w:rStyle w:val="Text7"/>
        </w:rPr>
        <w:t xml:space="preserve">[</w:t>
        <w:br w:clear="none"/>
      </w:r>
      <w:r>
        <w:t xml:space="preserve">x</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myhex</w:t>
        <w:br w:clear="none"/>
      </w:r>
      <w:r>
        <w:rPr>
          <w:rStyle w:val="Text7"/>
        </w:rPr>
        <w:t xml:space="preserve">(</w:t>
        <w:br w:clear="none"/>
      </w:r>
      <w:r>
        <w:t xml:space="preserve">x</w:t>
        <w:br w:clear="none"/>
      </w:r>
      <w:r>
        <w:rPr>
          <w:rStyle w:val="Text7"/>
        </w:rPr>
        <w:t xml:space="preserve">)</w:t>
        <w:br w:clear="none"/>
      </w:r>
    </w:p>
    <w:p>
      <w:pPr>
        <w:pStyle w:val="Normal"/>
      </w:pPr>
      <w:r>
        <w:t>Here, the speedup is very modest.</w:t>
      </w:r>
    </w:p>
    <w:p>
      <w:pPr>
        <w:pStyle w:val="Normal"/>
      </w:pPr>
      <w:r>
        <w:t xml:space="preserve">Do not cache </w:t>
      </w:r>
      <w:r>
        <w:rPr>
          <w:rStyle w:val="Text5"/>
        </w:rPr>
        <w:t>None</w:t>
      </w:r>
      <w:r>
        <w:t xml:space="preserve">, </w:t>
      </w:r>
      <w:r>
        <w:rPr>
          <w:rStyle w:val="Text5"/>
        </w:rPr>
        <w:t>True</w:t>
      </w:r>
      <w:r>
        <w:t xml:space="preserve">, or </w:t>
      </w:r>
      <w:r>
        <w:rPr>
          <w:rStyle w:val="Text5"/>
        </w:rPr>
        <w:t>False</w:t>
      </w:r>
      <w:r>
        <w:t>. Those constants are keywords: no further optimization is needed.</w:t>
      </w:r>
    </w:p>
    <w:p>
      <w:pPr>
        <w:pStyle w:val="Normal"/>
      </w:pPr>
      <w:r>
        <w:t xml:space="preserve">List comprehensions and generator expressions can be faster than loops, and, sometimes, so can </w:t>
      </w:r>
      <w:r>
        <w:rPr>
          <w:rStyle w:val="Text0"/>
        </w:rPr>
        <w:t>map</w:t>
      </w:r>
      <w:r>
        <w:t xml:space="preserve"> and </w:t>
      </w:r>
      <w:r>
        <w:rPr>
          <w:rStyle w:val="Text0"/>
        </w:rPr>
        <w:t>filter</w:t>
      </w:r>
      <w:r>
        <w:t xml:space="preserve">. For optimization purposes, try changing loops into list comprehensions, generator expressions, or perhaps </w:t>
      </w:r>
      <w:r>
        <w:rPr>
          <w:rStyle w:val="Text0"/>
        </w:rPr>
        <w:t>map</w:t>
      </w:r>
      <w:r>
        <w:t xml:space="preserve"> and </w:t>
      </w:r>
      <w:r>
        <w:rPr>
          <w:rStyle w:val="Text0"/>
        </w:rPr>
        <w:t>filter</w:t>
      </w:r>
      <w:r>
        <w:t xml:space="preserve"> calls, where feasible. The performance advantage of </w:t>
      </w:r>
      <w:r>
        <w:rPr>
          <w:rStyle w:val="Text0"/>
        </w:rPr>
        <w:t>map</w:t>
      </w:r>
      <w:r>
        <w:t xml:space="preserve"> and </w:t>
      </w:r>
      <w:r>
        <w:rPr>
          <w:rStyle w:val="Text0"/>
        </w:rPr>
        <w:t>filter</w:t>
      </w:r>
      <w:r>
        <w:t xml:space="preserve"> is nullified, and worse, if you have to use a </w:t>
      </w:r>
      <w:r>
        <w:rPr>
          <w:rStyle w:val="Text5"/>
        </w:rPr>
        <w:t>lambda</w:t>
      </w:r>
      <w:r>
        <w:t xml:space="preserve"> or an extra level of function call. Only when the argument to </w:t>
      </w:r>
      <w:r>
        <w:rPr>
          <w:rStyle w:val="Text0"/>
        </w:rPr>
        <w:t>map</w:t>
      </w:r>
      <w:r>
        <w:t xml:space="preserve"> or </w:t>
      </w:r>
      <w:r>
        <w:rPr>
          <w:rStyle w:val="Text0"/>
        </w:rPr>
        <w:t>filter</w:t>
      </w:r>
      <w:r>
        <w:t xml:space="preserve"> is a built-in function, or a function you’d have to call anyway even from an explicit loop, list comprehension, or generator expression, do you stand to gain some tiny speedup.</w:t>
      </w:r>
    </w:p>
    <w:p>
      <w:pPr>
        <w:pStyle w:val="Normal"/>
      </w:pPr>
      <w:r>
        <w:t xml:space="preserve">The loops that you can replace most naturally with list comprehensions, or </w:t>
      </w:r>
      <w:r>
        <w:rPr>
          <w:rStyle w:val="Text0"/>
        </w:rPr>
        <w:t>map</w:t>
      </w:r>
      <w:r>
        <w:t xml:space="preserve"> and </w:t>
      </w:r>
      <w:r>
        <w:rPr>
          <w:rStyle w:val="Text0"/>
        </w:rPr>
        <w:t>filter</w:t>
      </w:r>
      <w:r>
        <w:t xml:space="preserve"> calls, are ones that build up a list by repeatedly calling </w:t>
      </w:r>
      <w:r>
        <w:rPr>
          <w:rStyle w:val="Text0"/>
        </w:rPr>
        <w:t>append</w:t>
      </w:r>
      <w:r>
        <w:t xml:space="preserve"> on the list. The following example shows this optimization in a microperformance benchmark script (the example includes a call to the the </w:t>
      </w:r>
      <w:r>
        <w:rPr>
          <w:rStyle w:val="Text0"/>
        </w:rPr>
        <w:t>timeit</w:t>
      </w:r>
      <w:r>
        <w:t xml:space="preserve"> convenience function </w:t>
      </w:r>
      <w:r>
        <w:rPr>
          <w:rStyle w:val="Text0"/>
        </w:rPr>
        <w:t>repeat</w:t>
      </w:r>
      <w:r>
        <w:t xml:space="preserve">, which simply calls </w:t>
      </w:r>
      <w:r>
        <w:rPr>
          <w:rStyle w:val="Text0"/>
        </w:rPr>
        <w:t>timeit.timeit</w:t>
      </w:r>
      <w:r>
        <w:t xml:space="preserve"> the specified number of times):</w:t>
      </w:r>
    </w:p>
    <w:p>
      <w:pPr>
        <w:pStyle w:val="Para 018"/>
      </w:pPr>
      <w:r>
        <w:rPr>
          <w:rStyle w:val="Text104"/>
        </w:rPr>
        <w:t xml:space="preserve"/>
        <w:br w:clear="none"/>
      </w:r>
      <w:r>
        <w:rPr>
          <w:rStyle w:val="Text10"/>
        </w:rPr>
        <w:t xml:space="preserve">import</w:t>
        <w:br w:clear="none"/>
      </w:r>
      <w:r>
        <w:t xml:space="preserve"> </w:t>
        <w:br w:clear="none"/>
      </w:r>
      <w:r>
        <w:rPr>
          <w:rStyle w:val="Text20"/>
        </w:rPr>
        <w:t xml:space="preserve">timeit</w:t>
        <w:br w:clear="none"/>
      </w:r>
      <w:r>
        <w:rPr>
          <w:rStyle w:val="Text63"/>
        </w:rPr>
        <w:t xml:space="preserve">,</w:t>
        <w:br w:clear="none"/>
      </w:r>
      <w:r>
        <w:t xml:space="preserve"> </w:t>
        <w:br w:clear="none"/>
      </w:r>
      <w:r>
        <w:rPr>
          <w:rStyle w:val="Text20"/>
        </w:rPr>
        <w:t xml:space="preserve">operator</w:t>
        <w:br w:clear="none"/>
      </w:r>
      <w:r>
        <w:t xml:space="preserve"/>
        <w:br w:clear="none"/>
        <w:t xml:space="preserve"/>
        <w:br w:clear="none"/>
      </w:r>
      <w:r>
        <w:rPr>
          <w:rStyle w:val="Text10"/>
        </w:rPr>
        <w:t xml:space="preserve">def</w:t>
        <w:br w:clear="none"/>
      </w:r>
      <w:r>
        <w:t xml:space="preserve"> </w:t>
        <w:br w:clear="none"/>
      </w:r>
      <w:r>
        <w:rPr>
          <w:rStyle w:val="Text18"/>
        </w:rPr>
        <w:t xml:space="preserve">slow</w:t>
        <w:br w:clear="none"/>
      </w:r>
      <w:r>
        <w:rPr>
          <w:rStyle w:val="Text7"/>
        </w:rPr>
        <w:t xml:space="preserve">(</w:t>
        <w:br w:clear="none"/>
      </w:r>
      <w:r>
        <w:rPr>
          <w:rStyle w:val="Text9"/>
        </w:rPr>
        <w:t xml:space="preserve">asequence</w:t>
        <w:br w:clear="none"/>
      </w:r>
      <w:r>
        <w:rPr>
          <w:rStyle w:val="Text7"/>
        </w:rPr>
        <w:t xml:space="preserve">)</w:t>
        <w:br w:clear="none"/>
        <w:t xml:space="preserve">:</w:t>
        <w:br w:clear="none"/>
      </w:r>
      <w:r>
        <w:t xml:space="preserve"/>
        <w:br w:clear="none"/>
        <w:t xml:space="preserve">    </w:t>
        <w:br w:clear="none"/>
      </w:r>
      <w:r>
        <w:rPr>
          <w:rStyle w:val="Text9"/>
        </w:rPr>
        <w:t xml:space="preserve">result</w:t>
        <w:br w:clear="none"/>
      </w:r>
      <w:r>
        <w:t xml:space="preserve"> </w:t>
        <w:br w:clear="none"/>
      </w:r>
      <w:r>
        <w:rPr>
          <w:rStyle w:val="Text13"/>
        </w:rPr>
        <w:t xml:space="preserve">=</w:t>
        <w:br w:clear="none"/>
      </w:r>
      <w:r>
        <w:t xml:space="preserve"> </w:t>
        <w:br w:clear="none"/>
      </w:r>
      <w:r>
        <w:rPr>
          <w:rStyle w:val="Text7"/>
        </w:rPr>
        <w:t xml:space="preserve">[</w:t>
        <w:br w:clear="none"/>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9"/>
        </w:rPr>
        <w:t xml:space="preserve">asequence</w:t>
        <w:br w:clear="none"/>
      </w:r>
      <w:r>
        <w:rPr>
          <w:rStyle w:val="Text7"/>
        </w:rPr>
        <w:t xml:space="preserve">:</w:t>
        <w:br w:clear="none"/>
      </w:r>
      <w:r>
        <w:t xml:space="preserve"/>
        <w:br w:clear="none"/>
        <w:t xml:space="preserve">        </w:t>
        <w:br w:clear="none"/>
      </w:r>
      <w:r>
        <w:rPr>
          <w:rStyle w:val="Text9"/>
        </w:rPr>
        <w:t xml:space="preserve">result</w:t>
        <w:br w:clear="none"/>
      </w:r>
      <w:r>
        <w:rPr>
          <w:rStyle w:val="Text13"/>
        </w:rPr>
        <w:t xml:space="preserve">.</w:t>
        <w:br w:clear="none"/>
      </w:r>
      <w:r>
        <w:rPr>
          <w:rStyle w:val="Text9"/>
        </w:rPr>
        <w:t xml:space="preserve">append</w:t>
        <w:br w:clear="none"/>
      </w:r>
      <w:r>
        <w:rPr>
          <w:rStyle w:val="Text7"/>
        </w:rPr>
        <w:t xml:space="preserve">(</w:t>
        <w:br w:clear="none"/>
      </w:r>
      <w:r>
        <w:rPr>
          <w:rStyle w:val="Text13"/>
        </w:rPr>
        <w:t xml:space="preserve">-</w:t>
        <w:br w:clear="none"/>
      </w:r>
      <w:r>
        <w:rPr>
          <w:rStyle w:val="Text9"/>
        </w:rPr>
        <w:t xml:space="preserve">x</w:t>
        <w:br w:clear="none"/>
      </w:r>
      <w:r>
        <w:rPr>
          <w:rStyle w:val="Text7"/>
        </w:rPr>
        <w:t xml:space="preserve">)</w:t>
        <w:br w:clear="none"/>
      </w:r>
      <w:r>
        <w:t xml:space="preserve"/>
        <w:br w:clear="none"/>
        <w:t xml:space="preserve">    </w:t>
        <w:br w:clear="none"/>
      </w:r>
      <w:r>
        <w:rPr>
          <w:rStyle w:val="Text10"/>
        </w:rPr>
        <w:t xml:space="preserve">return</w:t>
        <w:br w:clear="none"/>
      </w:r>
      <w:r>
        <w:t xml:space="preserve"> </w:t>
        <w:br w:clear="none"/>
      </w:r>
      <w:r>
        <w:rPr>
          <w:rStyle w:val="Text9"/>
        </w:rPr>
        <w:t xml:space="preserve">result</w:t>
        <w:br w:clear="none"/>
      </w:r>
      <w:r>
        <w:t xml:space="preserve"/>
        <w:br w:clear="none"/>
        <w:t xml:space="preserve"/>
        <w:br w:clear="none"/>
      </w:r>
      <w:r>
        <w:rPr>
          <w:rStyle w:val="Text10"/>
        </w:rPr>
        <w:t xml:space="preserve">def</w:t>
        <w:br w:clear="none"/>
      </w:r>
      <w:r>
        <w:t xml:space="preserve"> </w:t>
        <w:br w:clear="none"/>
      </w:r>
      <w:r>
        <w:rPr>
          <w:rStyle w:val="Text18"/>
        </w:rPr>
        <w:t xml:space="preserve">middling</w:t>
        <w:br w:clear="none"/>
      </w:r>
      <w:r>
        <w:rPr>
          <w:rStyle w:val="Text7"/>
        </w:rPr>
        <w:t xml:space="preserve">(</w:t>
        <w:br w:clear="none"/>
      </w:r>
      <w:r>
        <w:rPr>
          <w:rStyle w:val="Text9"/>
        </w:rPr>
        <w:t xml:space="preserve">asequence</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16"/>
        </w:rPr>
        <w:t xml:space="preserve">list</w:t>
        <w:br w:clear="none"/>
      </w:r>
      <w:r>
        <w:rPr>
          <w:rStyle w:val="Text7"/>
        </w:rPr>
        <w:t xml:space="preserve">(</w:t>
        <w:br w:clear="none"/>
      </w:r>
      <w:r>
        <w:rPr>
          <w:rStyle w:val="Text16"/>
        </w:rPr>
        <w:t xml:space="preserve">map</w:t>
        <w:br w:clear="none"/>
      </w:r>
      <w:r>
        <w:rPr>
          <w:rStyle w:val="Text7"/>
        </w:rPr>
        <w:t xml:space="preserve">(</w:t>
        <w:br w:clear="none"/>
      </w:r>
      <w:r>
        <w:rPr>
          <w:rStyle w:val="Text9"/>
        </w:rPr>
        <w:t xml:space="preserve">operator</w:t>
        <w:br w:clear="none"/>
      </w:r>
      <w:r>
        <w:rPr>
          <w:rStyle w:val="Text13"/>
        </w:rPr>
        <w:t xml:space="preserve">.</w:t>
        <w:br w:clear="none"/>
      </w:r>
      <w:r>
        <w:rPr>
          <w:rStyle w:val="Text9"/>
        </w:rPr>
        <w:t xml:space="preserve">neg</w:t>
        <w:br w:clear="none"/>
      </w:r>
      <w:r>
        <w:rPr>
          <w:rStyle w:val="Text7"/>
        </w:rPr>
        <w:t xml:space="preserve">,</w:t>
        <w:br w:clear="none"/>
      </w:r>
      <w:r>
        <w:t xml:space="preserve"> </w:t>
        <w:br w:clear="none"/>
      </w:r>
      <w:r>
        <w:rPr>
          <w:rStyle w:val="Text9"/>
        </w:rPr>
        <w:t xml:space="preserve">asequence</w:t>
        <w:br w:clear="none"/>
      </w:r>
      <w:r>
        <w:rPr>
          <w:rStyle w:val="Text7"/>
        </w:rPr>
        <w:t xml:space="preserve">)</w:t>
        <w:br w:clear="none"/>
        <w:t xml:space="preserve">)</w:t>
        <w:br w:clear="none"/>
      </w:r>
      <w:r>
        <w:t xml:space="preserve"/>
        <w:br w:clear="none"/>
        <w:t xml:space="preserve"/>
        <w:br w:clear="none"/>
      </w:r>
      <w:r>
        <w:rPr>
          <w:rStyle w:val="Text10"/>
        </w:rPr>
        <w:t xml:space="preserve">def</w:t>
        <w:br w:clear="none"/>
      </w:r>
      <w:r>
        <w:t xml:space="preserve"> </w:t>
        <w:br w:clear="none"/>
      </w:r>
      <w:r>
        <w:rPr>
          <w:rStyle w:val="Text18"/>
        </w:rPr>
        <w:t xml:space="preserve">fast</w:t>
        <w:br w:clear="none"/>
      </w:r>
      <w:r>
        <w:rPr>
          <w:rStyle w:val="Text7"/>
        </w:rPr>
        <w:t xml:space="preserve">(</w:t>
        <w:br w:clear="none"/>
      </w:r>
      <w:r>
        <w:rPr>
          <w:rStyle w:val="Text9"/>
        </w:rPr>
        <w:t xml:space="preserve">asequence</w:t>
        <w:br w:clear="none"/>
      </w:r>
      <w:r>
        <w:rPr>
          <w:rStyle w:val="Text7"/>
        </w:rPr>
        <w:t xml:space="preserve">)</w:t>
        <w:br w:clear="none"/>
        <w:t xml:space="preserve">:</w:t>
        <w:br w:clear="none"/>
      </w:r>
      <w:r>
        <w:t xml:space="preserve"/>
        <w:br w:clear="none"/>
        <w:t xml:space="preserve">    </w:t>
        <w:br w:clear="none"/>
      </w:r>
      <w:r>
        <w:rPr>
          <w:rStyle w:val="Text10"/>
        </w:rPr>
        <w:t xml:space="preserve">return</w:t>
        <w:br w:clear="none"/>
      </w:r>
      <w:r>
        <w:t xml:space="preserve"> </w:t>
        <w:br w:clear="none"/>
      </w:r>
      <w:r>
        <w:rPr>
          <w:rStyle w:val="Text7"/>
        </w:rPr>
        <w:t xml:space="preserve">[</w:t>
        <w:br w:clear="none"/>
      </w:r>
      <w:r>
        <w:rPr>
          <w:rStyle w:val="Text13"/>
        </w:rPr>
        <w:t xml:space="preserve">-</w:t>
        <w:br w:clear="none"/>
      </w:r>
      <w:r>
        <w:rPr>
          <w:rStyle w:val="Text9"/>
        </w:rPr>
        <w:t xml:space="preserve">x</w:t>
        <w:br w:clear="none"/>
      </w:r>
      <w:r>
        <w:t xml:space="preserve"> </w:t>
        <w:br w:clear="none"/>
      </w:r>
      <w:r>
        <w:rPr>
          <w:rStyle w:val="Text10"/>
        </w:rPr>
        <w:t xml:space="preserve">for</w:t>
        <w:br w:clear="none"/>
      </w:r>
      <w:r>
        <w:t xml:space="preserve"> </w:t>
        <w:br w:clear="none"/>
      </w:r>
      <w:r>
        <w:rPr>
          <w:rStyle w:val="Text9"/>
        </w:rPr>
        <w:t xml:space="preserve">x</w:t>
        <w:br w:clear="none"/>
      </w:r>
      <w:r>
        <w:t xml:space="preserve"> </w:t>
        <w:br w:clear="none"/>
      </w:r>
      <w:r>
        <w:rPr>
          <w:rStyle w:val="Text31"/>
        </w:rPr>
        <w:t xml:space="preserve">in</w:t>
        <w:br w:clear="none"/>
      </w:r>
      <w:r>
        <w:t xml:space="preserve"> </w:t>
        <w:br w:clear="none"/>
      </w:r>
      <w:r>
        <w:rPr>
          <w:rStyle w:val="Text9"/>
        </w:rPr>
        <w:t xml:space="preserve">asequence</w:t>
        <w:br w:clear="none"/>
      </w:r>
      <w:r>
        <w:rPr>
          <w:rStyle w:val="Text7"/>
        </w:rPr>
        <w:t xml:space="preserve">]</w:t>
        <w:br w:clear="none"/>
      </w:r>
      <w:r>
        <w:t xml:space="preserve"/>
        <w:br w:clear="none"/>
        <w:t xml:space="preserve"/>
        <w:br w:clear="none"/>
      </w:r>
      <w:r>
        <w:rPr>
          <w:rStyle w:val="Text10"/>
        </w:rPr>
        <w:t xml:space="preserve">for</w:t>
        <w:br w:clear="none"/>
      </w:r>
      <w:r>
        <w:t xml:space="preserve"> </w:t>
        <w:br w:clear="none"/>
      </w:r>
      <w:r>
        <w:rPr>
          <w:rStyle w:val="Text9"/>
        </w:rPr>
        <w:t xml:space="preserve">afunc</w:t>
        <w:br w:clear="none"/>
      </w:r>
      <w:r>
        <w:t xml:space="preserve"> </w:t>
        <w:br w:clear="none"/>
      </w:r>
      <w:r>
        <w:rPr>
          <w:rStyle w:val="Text31"/>
        </w:rPr>
        <w:t xml:space="preserve">in</w:t>
        <w:br w:clear="none"/>
      </w:r>
      <w:r>
        <w:t xml:space="preserve"> </w:t>
        <w:br w:clear="none"/>
      </w:r>
      <w:r>
        <w:rPr>
          <w:rStyle w:val="Text9"/>
        </w:rPr>
        <w:t xml:space="preserve">slow</w:t>
        <w:br w:clear="none"/>
      </w:r>
      <w:r>
        <w:rPr>
          <w:rStyle w:val="Text7"/>
        </w:rPr>
        <w:t xml:space="preserve">,</w:t>
        <w:br w:clear="none"/>
      </w:r>
      <w:r>
        <w:t xml:space="preserve"> </w:t>
        <w:br w:clear="none"/>
      </w:r>
      <w:r>
        <w:rPr>
          <w:rStyle w:val="Text9"/>
        </w:rPr>
        <w:t xml:space="preserve">middling</w:t>
        <w:br w:clear="none"/>
      </w:r>
      <w:r>
        <w:rPr>
          <w:rStyle w:val="Text7"/>
        </w:rPr>
        <w:t xml:space="preserve">,</w:t>
        <w:br w:clear="none"/>
      </w:r>
      <w:r>
        <w:t xml:space="preserve"> </w:t>
        <w:br w:clear="none"/>
      </w:r>
      <w:r>
        <w:rPr>
          <w:rStyle w:val="Text9"/>
        </w:rPr>
        <w:t xml:space="preserve">fast</w:t>
        <w:br w:clear="none"/>
      </w:r>
      <w:r>
        <w:rPr>
          <w:rStyle w:val="Text7"/>
        </w:rPr>
        <w:t xml:space="preserve">:</w:t>
        <w:br w:clear="none"/>
      </w:r>
      <w:r>
        <w:t xml:space="preserve"/>
        <w:br w:clear="none"/>
        <w:t xml:space="preserve">    </w:t>
        <w:br w:clear="none"/>
      </w:r>
      <w:r>
        <w:rPr>
          <w:rStyle w:val="Text9"/>
        </w:rPr>
        <w:t xml:space="preserve">timing</w:t>
        <w:br w:clear="none"/>
      </w:r>
      <w:r>
        <w:t xml:space="preserve"> </w:t>
        <w:br w:clear="none"/>
      </w:r>
      <w:r>
        <w:rPr>
          <w:rStyle w:val="Text13"/>
        </w:rPr>
        <w:t xml:space="preserve">=</w:t>
        <w:br w:clear="none"/>
      </w:r>
      <w:r>
        <w:t xml:space="preserve"> </w:t>
        <w:br w:clear="none"/>
      </w:r>
      <w:r>
        <w:rPr>
          <w:rStyle w:val="Text9"/>
        </w:rPr>
        <w:t xml:space="preserve">timeit</w:t>
        <w:br w:clear="none"/>
      </w:r>
      <w:r>
        <w:rPr>
          <w:rStyle w:val="Text13"/>
        </w:rPr>
        <w:t xml:space="preserve">.</w:t>
        <w:br w:clear="none"/>
      </w:r>
      <w:r>
        <w:rPr>
          <w:rStyle w:val="Text9"/>
        </w:rPr>
        <w:t xml:space="preserve">repeat</w:t>
        <w:br w:clear="none"/>
      </w:r>
      <w:r>
        <w:rPr>
          <w:rStyle w:val="Text7"/>
        </w:rPr>
        <w:t xml:space="preserve">(</w:t>
        <w:br w:clear="none"/>
      </w:r>
      <w:r>
        <w:rPr>
          <w:rStyle w:val="Text8"/>
        </w:rPr>
        <w:t xml:space="preserve">'</w:t>
        <w:br w:clear="none"/>
        <w:t xml:space="preserve">afunc(big_seq)</w:t>
        <w:br w:clear="none"/>
        <w:t xml:space="preserve">'</w:t>
        <w:br w:clear="none"/>
      </w:r>
      <w:r>
        <w:rPr>
          <w:rStyle w:val="Text7"/>
        </w:rPr>
        <w:t xml:space="preserve">,</w:t>
        <w:br w:clear="none"/>
      </w:r>
      <w:r>
        <w:t xml:space="preserve"/>
        <w:br w:clear="none"/>
        <w:t xml:space="preserve">                           </w:t>
        <w:br w:clear="none"/>
      </w:r>
      <w:r>
        <w:rPr>
          <w:rStyle w:val="Text9"/>
        </w:rPr>
        <w:t xml:space="preserve">setup</w:t>
        <w:br w:clear="none"/>
      </w:r>
      <w:r>
        <w:rPr>
          <w:rStyle w:val="Text13"/>
        </w:rPr>
        <w:t xml:space="preserve">=</w:t>
        <w:br w:clear="none"/>
      </w:r>
      <w:r>
        <w:rPr>
          <w:rStyle w:val="Text8"/>
        </w:rPr>
        <w:t xml:space="preserve">'</w:t>
        <w:br w:clear="none"/>
        <w:t xml:space="preserve">big_seq=range(500*1000)</w:t>
        <w:br w:clear="none"/>
        <w:t xml:space="preserve">'</w:t>
        <w:br w:clear="none"/>
      </w:r>
      <w:r>
        <w:rPr>
          <w:rStyle w:val="Text7"/>
        </w:rPr>
        <w:t xml:space="preserve">,</w:t>
        <w:br w:clear="none"/>
      </w:r>
      <w:r>
        <w:t xml:space="preserve"/>
        <w:br w:clear="none"/>
        <w:t xml:space="preserve">                           </w:t>
        <w:br w:clear="none"/>
      </w:r>
      <w:r>
        <w:rPr>
          <w:rStyle w:val="Text16"/>
        </w:rPr>
        <w:t xml:space="preserve">globals</w:t>
        <w:br w:clear="none"/>
      </w:r>
      <w:r>
        <w:rPr>
          <w:rStyle w:val="Text13"/>
        </w:rPr>
        <w:t xml:space="preserve">=</w:t>
        <w:br w:clear="none"/>
      </w:r>
      <w:r>
        <w:rPr>
          <w:rStyle w:val="Text7"/>
        </w:rPr>
        <w:t xml:space="preserve">{</w:t>
        <w:br w:clear="none"/>
      </w:r>
      <w:r>
        <w:rPr>
          <w:rStyle w:val="Text8"/>
        </w:rPr>
        <w:t xml:space="preserve">'</w:t>
        <w:br w:clear="none"/>
        <w:t xml:space="preserve">afunc</w:t>
        <w:br w:clear="none"/>
        <w:t xml:space="preserve">'</w:t>
        <w:br w:clear="none"/>
      </w:r>
      <w:r>
        <w:rPr>
          <w:rStyle w:val="Text7"/>
        </w:rPr>
        <w:t xml:space="preserve">:</w:t>
        <w:br w:clear="none"/>
      </w:r>
      <w:r>
        <w:t xml:space="preserve"> </w:t>
        <w:br w:clear="none"/>
      </w:r>
      <w:r>
        <w:rPr>
          <w:rStyle w:val="Text9"/>
        </w:rPr>
        <w:t xml:space="preserve">afunc</w:t>
        <w:br w:clear="none"/>
      </w:r>
      <w:r>
        <w:rPr>
          <w:rStyle w:val="Text7"/>
        </w:rPr>
        <w:t xml:space="preserve">}</w:t>
        <w:br w:clear="none"/>
        <w:t xml:space="preserve">,</w:t>
        <w:br w:clear="none"/>
      </w:r>
      <w:r>
        <w:t xml:space="preserve"/>
        <w:br w:clear="none"/>
        <w:t xml:space="preserve">                           </w:t>
        <w:br w:clear="none"/>
      </w:r>
      <w:r>
        <w:rPr>
          <w:rStyle w:val="Text9"/>
        </w:rPr>
        <w:t xml:space="preserve">repeat</w:t>
        <w:br w:clear="none"/>
      </w:r>
      <w:r>
        <w:rPr>
          <w:rStyle w:val="Text13"/>
        </w:rPr>
        <w:t xml:space="preserve">=</w:t>
        <w:br w:clear="none"/>
      </w:r>
      <w:r>
        <w:rPr>
          <w:rStyle w:val="Text27"/>
        </w:rPr>
        <w:t xml:space="preserve">5</w:t>
        <w:br w:clear="none"/>
      </w:r>
      <w:r>
        <w:rPr>
          <w:rStyle w:val="Text7"/>
        </w:rPr>
        <w:t xml:space="preserve">,</w:t>
        <w:br w:clear="none"/>
      </w:r>
      <w:r>
        <w:t xml:space="preserve"/>
        <w:br w:clear="none"/>
        <w:t xml:space="preserve">                           </w:t>
        <w:br w:clear="none"/>
      </w:r>
      <w:r>
        <w:rPr>
          <w:rStyle w:val="Text9"/>
        </w:rPr>
        <w:t xml:space="preserve">number</w:t>
        <w:br w:clear="none"/>
      </w:r>
      <w:r>
        <w:rPr>
          <w:rStyle w:val="Text13"/>
        </w:rPr>
        <w:t xml:space="preserve">=</w:t>
        <w:br w:clear="none"/>
      </w:r>
      <w:r>
        <w:rPr>
          <w:rStyle w:val="Text27"/>
        </w:rPr>
        <w:t xml:space="preserve">100</w:t>
        <w:br w:clear="none"/>
      </w:r>
      <w:r>
        <w:rPr>
          <w:rStyle w:val="Text7"/>
        </w:rPr>
        <w:t xml:space="preserve">)</w:t>
        <w:br w:clear="none"/>
      </w:r>
      <w:r>
        <w:t xml:space="preserve"/>
        <w:br w:clear="none"/>
        <w:t xml:space="preserve">    </w:t>
        <w:br w:clear="none"/>
      </w:r>
      <w:r>
        <w:rPr>
          <w:rStyle w:val="Text10"/>
        </w:rPr>
        <w:t xml:space="preserve">for</w:t>
        <w:br w:clear="none"/>
      </w:r>
      <w:r>
        <w:t xml:space="preserve"> </w:t>
        <w:br w:clear="none"/>
      </w:r>
      <w:r>
        <w:rPr>
          <w:rStyle w:val="Text9"/>
        </w:rPr>
        <w:t xml:space="preserve">t</w:t>
        <w:br w:clear="none"/>
      </w:r>
      <w:r>
        <w:t xml:space="preserve"> </w:t>
        <w:br w:clear="none"/>
      </w:r>
      <w:r>
        <w:rPr>
          <w:rStyle w:val="Text31"/>
        </w:rPr>
        <w:t xml:space="preserve">in</w:t>
        <w:br w:clear="none"/>
      </w:r>
      <w:r>
        <w:t xml:space="preserve"> </w:t>
        <w:br w:clear="none"/>
      </w:r>
      <w:r>
        <w:rPr>
          <w:rStyle w:val="Text9"/>
        </w:rPr>
        <w:t xml:space="preserve">timing</w:t>
        <w:br w:clear="none"/>
      </w:r>
      <w:r>
        <w:rPr>
          <w:rStyle w:val="Text7"/>
        </w:rPr>
        <w:t xml:space="preserve">:</w:t>
        <w:br w:clear="none"/>
      </w:r>
      <w:r>
        <w:t xml:space="preserve"/>
        <w:br w:clear="none"/>
        <w:t xml:space="preserve">        </w:t>
        <w:br w:clear="none"/>
      </w:r>
      <w:r>
        <w:rPr>
          <w:rStyle w:val="Text16"/>
        </w:rPr>
        <w:t xml:space="preserve">print</w:t>
        <w:br w:clear="none"/>
      </w:r>
      <w:r>
        <w:rPr>
          <w:rStyle w:val="Text7"/>
        </w:rPr>
        <w:t xml:space="preserve">(</w:t>
        <w:br w:clear="none"/>
      </w:r>
      <w:r>
        <w:t xml:space="preserve">f</w:t>
        <w:br w:clear="none"/>
      </w:r>
      <w:r>
        <w:rPr>
          <w:rStyle w:val="Text8"/>
        </w:rPr>
        <w:t xml:space="preserve">'</w:t>
        <w:br w:clear="none"/>
      </w:r>
      <w:r>
        <w:rPr>
          <w:rStyle w:val="Text32"/>
        </w:rPr>
        <w:t xml:space="preserve">{</w:t>
        <w:br w:clear="none"/>
      </w:r>
      <w:r>
        <w:rPr>
          <w:rStyle w:val="Text9"/>
        </w:rPr>
        <w:t xml:space="preserve">afunc</w:t>
        <w:br w:clear="none"/>
      </w:r>
      <w:r>
        <w:rPr>
          <w:rStyle w:val="Text13"/>
        </w:rPr>
        <w:t xml:space="preserve">.</w:t>
        <w:br w:clear="none"/>
      </w:r>
      <w:r>
        <w:t xml:space="preserve">__name__</w:t>
        <w:br w:clear="none"/>
      </w:r>
      <w:r>
        <w:rPr>
          <w:rStyle w:val="Text32"/>
        </w:rPr>
        <w:t xml:space="preserve">}</w:t>
        <w:br w:clear="none"/>
      </w:r>
      <w:r>
        <w:rPr>
          <w:rStyle w:val="Text8"/>
        </w:rPr>
        <w:t xml:space="preserve">,</w:t>
        <w:br w:clear="none"/>
      </w:r>
      <w:r>
        <w:rPr>
          <w:rStyle w:val="Text32"/>
        </w:rPr>
        <w:t xml:space="preserve">{</w:t>
        <w:br w:clear="none"/>
      </w:r>
      <w:r>
        <w:rPr>
          <w:rStyle w:val="Text9"/>
        </w:rPr>
        <w:t xml:space="preserve">t</w:t>
        <w:br w:clear="none"/>
      </w:r>
      <w:r>
        <w:rPr>
          <w:rStyle w:val="Text32"/>
        </w:rPr>
        <w:t xml:space="preserve">}</w:t>
        <w:br w:clear="none"/>
      </w:r>
      <w:r>
        <w:rPr>
          <w:rStyle w:val="Text8"/>
        </w:rPr>
        <w:t xml:space="preserve">'</w:t>
        <w:br w:clear="none"/>
      </w:r>
      <w:r>
        <w:rPr>
          <w:rStyle w:val="Text7"/>
        </w:rPr>
        <w:t xml:space="preserve">)</w:t>
        <w:br w:clear="none"/>
      </w:r>
    </w:p>
    <w:p>
      <w:pPr>
        <w:pStyle w:val="Normal"/>
      </w:pPr>
      <w:r>
        <w:t>As we reported in the previous edition of this book (using a different set of test parameters):</w:t>
      </w:r>
    </w:p>
    <w:p>
      <w:pPr>
        <w:pStyle w:val="Para 077"/>
        <w:keepLines w:val="on"/>
      </w:pPr>
      <w:r>
        <w:t xml:space="preserve">Running this example in v2 on an old laptop shows that </w:t>
      </w:r>
      <w:r>
        <w:rPr>
          <w:rStyle w:val="Text0"/>
        </w:rPr>
        <w:t>fast</w:t>
      </w:r>
      <w:r>
        <w:t xml:space="preserve"> takes about 0.36 seconds, </w:t>
      </w:r>
      <w:r>
        <w:rPr>
          <w:rStyle w:val="Text0"/>
        </w:rPr>
        <w:t>middling</w:t>
      </w:r>
      <w:r>
        <w:t xml:space="preserve"> 0.43 seconds, and </w:t>
      </w:r>
      <w:r>
        <w:rPr>
          <w:rStyle w:val="Text0"/>
        </w:rPr>
        <w:t>slow</w:t>
      </w:r>
      <w:r>
        <w:t xml:space="preserve"> 0.77 seconds. In other words, on that machine, </w:t>
      </w:r>
      <w:r>
        <w:rPr>
          <w:rStyle w:val="Text0"/>
        </w:rPr>
        <w:t>slow</w:t>
      </w:r>
      <w:r>
        <w:t xml:space="preserve"> (the loop of </w:t>
      </w:r>
      <w:r>
        <w:rPr>
          <w:rStyle w:val="Text0"/>
        </w:rPr>
        <w:t>append</w:t>
      </w:r>
      <w:r>
        <w:t xml:space="preserve"> method calls) is about 80 percent slower than </w:t>
      </w:r>
      <w:r>
        <w:rPr>
          <w:rStyle w:val="Text0"/>
        </w:rPr>
        <w:t>middling</w:t>
      </w:r>
      <w:r>
        <w:t xml:space="preserve"> (the single </w:t>
      </w:r>
      <w:r>
        <w:rPr>
          <w:rStyle w:val="Text0"/>
        </w:rPr>
        <w:t>map</w:t>
      </w:r>
      <w:r>
        <w:t xml:space="preserve"> call), and </w:t>
      </w:r>
      <w:r>
        <w:rPr>
          <w:rStyle w:val="Text0"/>
        </w:rPr>
        <w:t>middling</w:t>
      </w:r>
      <w:r>
        <w:t xml:space="preserve">, in turn, is about 20 percent slower than </w:t>
      </w:r>
      <w:r>
        <w:rPr>
          <w:rStyle w:val="Text0"/>
        </w:rPr>
        <w:t>fast</w:t>
      </w:r>
      <w:r>
        <w:t xml:space="preserve"> (the list comprehension).</w:t>
      </w:r>
    </w:p>
    <w:p>
      <w:pPr>
        <w:pStyle w:val="Para 113"/>
        <w:keepLines w:val="on"/>
      </w:pPr>
      <w:r>
        <w:t xml:space="preserve">The list comprehension is the most direct way to express the task being microbenchmarked in this example, so, not surprisingly, it’s also fastest—about two times faster than the loop of </w:t>
      </w:r>
      <w:r>
        <w:rPr>
          <w:rStyle w:val="Text0"/>
        </w:rPr>
        <w:t>append</w:t>
      </w:r>
      <w:r>
        <w:t xml:space="preserve"> method calls.</w:t>
      </w:r>
    </w:p>
    <w:p>
      <w:pPr>
        <w:pStyle w:val="Normal"/>
      </w:pPr>
      <w:r>
        <w:t xml:space="preserve">At that time, using Python 2.7, there was a clear advantage to using the </w:t>
      </w:r>
      <w:r>
        <w:rPr>
          <w:rStyle w:val="Text0"/>
        </w:rPr>
        <w:t>middling</w:t>
      </w:r>
      <w:r>
        <w:t xml:space="preserve"> function over </w:t>
      </w:r>
      <w:r>
        <w:rPr>
          <w:rStyle w:val="Text0"/>
        </w:rPr>
        <w:t>slow</w:t>
      </w:r>
      <w:r>
        <w:t xml:space="preserve">, and a modest speed increase resulted from using the </w:t>
      </w:r>
      <w:r>
        <w:rPr>
          <w:rStyle w:val="Text0"/>
        </w:rPr>
        <w:t>fast</w:t>
      </w:r>
      <w:r>
        <w:t xml:space="preserve"> function over </w:t>
      </w:r>
      <w:r>
        <w:rPr>
          <w:rStyle w:val="Text0"/>
        </w:rPr>
        <w:t>middling</w:t>
      </w:r>
      <w:r>
        <w:t xml:space="preserve">. For the versions covered in this edition, the improvement of </w:t>
      </w:r>
      <w:r>
        <w:rPr>
          <w:rStyle w:val="Text0"/>
        </w:rPr>
        <w:t>fast</w:t>
      </w:r>
      <w:r>
        <w:t xml:space="preserve"> over </w:t>
      </w:r>
      <w:r>
        <w:rPr>
          <w:rStyle w:val="Text0"/>
        </w:rPr>
        <w:t>middling</w:t>
      </w:r>
      <w:r>
        <w:t xml:space="preserve"> is much less, if any. Of greater interest is that the </w:t>
      </w:r>
      <w:r>
        <w:rPr>
          <w:rStyle w:val="Text0"/>
        </w:rPr>
        <w:t>slow</w:t>
      </w:r>
      <w:r>
        <w:t xml:space="preserve"> function is now starting to approach the performance of the optimized functions. Also, it is easy to see the progressive performance improvements in successive versions of Python, especially Python 3.11 (see </w:t>
      </w:r>
      <w:hyperlink w:anchor="Figure_17_3__Performance_of_the">
        <w:r>
          <w:rPr>
            <w:rStyle w:val="Text1"/>
          </w:rPr>
          <w:t>Figure 17-3</w:t>
        </w:r>
      </w:hyperlink>
      <w:r>
        <w:t>).</w:t>
      </w:r>
    </w:p>
    <w:p>
      <w:pPr>
        <w:pStyle w:val="Normal"/>
      </w:pPr>
      <w:r>
        <w:t>The clear lesson is that performance tuning and optimization measures should be revisited when upgrading to newer Python versions.</w:t>
      </w:r>
      <w:r>
        <w:rPr>
          <w:rStyle w:val="Text111"/>
        </w:rPr>
        <w:bookmarkStart w:id="3909" w:name="idm45965177722272"/>
        <w:t/>
        <w:bookmarkEnd w:id="3909"/>
      </w:r>
    </w:p>
    <w:p>
      <w:bookmarkStart w:id="3910" w:name="Figure_17_3__Performance_of_the"/>
      <w:pPr>
        <w:pStyle w:val="Para 048"/>
        <w:keepLines w:val="on"/>
      </w:pPr>
      <w:r>
        <w:drawing>
          <wp:inline>
            <wp:extent cx="3251200" cy="2311400"/>
            <wp:effectExtent l="0" r="0" t="0" b="43426"/>
            <wp:docPr id="7" name="pns4_1703.png" descr="Performance of the example on various Python versions"/>
            <wp:cNvGraphicFramePr>
              <a:graphicFrameLocks noChangeAspect="1"/>
            </wp:cNvGraphicFramePr>
            <a:graphic>
              <a:graphicData uri="http://schemas.openxmlformats.org/drawingml/2006/picture">
                <pic:pic>
                  <pic:nvPicPr>
                    <pic:cNvPr id="0" name="pns4_1703.png" descr="Performance of the example on various Python versions"/>
                    <pic:cNvPicPr/>
                  </pic:nvPicPr>
                  <pic:blipFill>
                    <a:blip r:embed="rId10"/>
                    <a:stretch>
                      <a:fillRect/>
                    </a:stretch>
                  </pic:blipFill>
                  <pic:spPr>
                    <a:xfrm>
                      <a:off x="0" y="0"/>
                      <a:ext cx="3251200" cy="2311400"/>
                    </a:xfrm>
                    <a:prstGeom prst="rect">
                      <a:avLst/>
                    </a:prstGeom>
                  </pic:spPr>
                </pic:pic>
              </a:graphicData>
            </a:graphic>
          </wp:inline>
        </w:drawing>
      </w:r>
      <w:r>
        <w:rPr>
          <w:rStyle w:val="Text4"/>
        </w:rPr>
        <w:t xml:space="preserve"> </w:t>
      </w:r>
      <w:r>
        <w:t xml:space="preserve"> </w:t>
      </w:r>
      <w:bookmarkEnd w:id="3910"/>
    </w:p>
    <w:p>
      <w:pPr>
        <w:keepNext/>
        <w:pStyle w:val="Para 075"/>
        <w:keepLines w:val="on"/>
      </w:pPr>
      <w:r>
        <w:rPr>
          <w:rStyle w:val="Text4"/>
        </w:rPr>
        <w:t xml:space="preserve">Figure 17-3. </w:t>
      </w:r>
      <w:r>
        <w:t>Performance of the example on various Python versions</w:t>
      </w:r>
    </w:p>
    <w:p>
      <w:pPr>
        <w:pStyle w:val="Para 076"/>
        <w:keepLines w:val="on"/>
      </w:pPr>
      <w:r>
        <w:t xml:space="preserve"> </w:t>
      </w:r>
    </w:p>
    <w:p>
      <w:bookmarkStart w:id="3911" w:name="Using_multiprocessing_for_heavy"/>
      <w:pPr>
        <w:keepNext/>
        <w:pStyle w:val="Heading 2"/>
      </w:pPr>
      <w:r>
        <w:t>Using multiprocessing for heavy CPU work</w:t>
      </w:r>
      <w:bookmarkEnd w:id="3911"/>
    </w:p>
    <w:p>
      <w:pPr>
        <w:pStyle w:val="Normal"/>
      </w:pPr>
      <w:r>
        <w:t>If</w:t>
      </w:r>
      <w:r>
        <w:rPr>
          <w:rStyle w:val="Text111"/>
        </w:rPr>
        <w:bookmarkStart w:id="3912" w:name="idm45965177717392"/>
        <w:t/>
        <w:bookmarkEnd w:id="3912"/>
        <w:bookmarkStart w:id="3913" w:name="idm45965177716256"/>
        <w:t/>
        <w:bookmarkEnd w:id="3913"/>
      </w:r>
      <w:r>
        <w:t xml:space="preserve"> you have heavily CPU-bound processing that can be done in independent pieces, then one important way to optimize is to use multiprocessing, as described in </w:t>
      </w:r>
      <w:hyperlink w:anchor="Chapter_15__Concurrency__Threads_2">
        <w:r>
          <w:rPr>
            <w:rStyle w:val="Text1"/>
          </w:rPr>
          <w:t>Chapter 15</w:t>
        </w:r>
      </w:hyperlink>
      <w:r>
        <w:t xml:space="preserve">. You should also consider whether using one of the numeric packages described in </w:t>
      </w:r>
      <w:hyperlink w:anchor="Chapter_16__Numeric_Processing_2">
        <w:r>
          <w:rPr>
            <w:rStyle w:val="Text1"/>
          </w:rPr>
          <w:t>Chapter 16</w:t>
        </w:r>
      </w:hyperlink>
      <w:r>
        <w:t>, capable of applying vector processing to large data sets, is applicable.</w:t>
      </w:r>
    </w:p>
    <w:p>
      <w:bookmarkStart w:id="3914" w:name="Optimizing_I_O__If_your_program"/>
      <w:pPr>
        <w:keepNext/>
        <w:pStyle w:val="Heading 2"/>
      </w:pPr>
      <w:r>
        <w:t>Optimizing I/O</w:t>
      </w:r>
      <w:bookmarkEnd w:id="3914"/>
    </w:p>
    <w:p>
      <w:pPr>
        <w:pStyle w:val="Normal"/>
      </w:pPr>
      <w:r>
        <w:t>If</w:t>
      </w:r>
      <w:r>
        <w:rPr>
          <w:rStyle w:val="Text111"/>
        </w:rPr>
        <w:bookmarkStart w:id="3915" w:name="idm45965177710688"/>
        <w:t/>
        <w:bookmarkEnd w:id="3915"/>
        <w:bookmarkStart w:id="3916" w:name="idm45965177709552"/>
        <w:t/>
        <w:bookmarkEnd w:id="3916"/>
      </w:r>
      <w:r>
        <w:t xml:space="preserve"> your program does substantial amounts of I/O, it’s quite likely that performance bottlenecks are due to I/O, rather than to computation. Such programs are said to be I/O-bound, rather than CPU-bound. Your operating system tries to optimize I/O performance, but you can help it in a couple of ways.</w:t>
      </w:r>
    </w:p>
    <w:p>
      <w:pPr>
        <w:pStyle w:val="Normal"/>
      </w:pPr>
      <w:r>
        <w:t xml:space="preserve">From the point of view of a program’s convenience and simplicity, the ideal amount of data to read or write at a time is often small (one character or one line) or very large (an entire file at a time). That’s often fine: Python and your operating system work behind the scenes to let your program use convenient logical chunks for I/O, while arranging for physical I/O operations to use chunk sizes more attuned to performance. Reading and writing a whole file at a time is quite likely to be OK for performance as long as the file is not </w:t>
      </w:r>
      <w:r>
        <w:rPr>
          <w:rStyle w:val="Text4"/>
        </w:rPr>
        <w:t>very</w:t>
      </w:r>
      <w:r>
        <w:t xml:space="preserve"> large. Specifically, file-at-a-time I/O is fine as long as the file’s data fits very comfortably in physical RAM, leaving ample memory available for your program and operating system to perform whatever other tasks they’re doing at the same time. The hard problems of I/O-bound performance come with huge files.</w:t>
      </w:r>
    </w:p>
    <w:p>
      <w:pPr>
        <w:pStyle w:val="Normal"/>
      </w:pPr>
      <w:r>
        <w:t xml:space="preserve">If performance is an issue, </w:t>
      </w:r>
      <w:r>
        <w:rPr>
          <w:rStyle w:val="Text4"/>
        </w:rPr>
        <w:t>never</w:t>
      </w:r>
      <w:r>
        <w:t xml:space="preserve"> use a file’s </w:t>
      </w:r>
      <w:r>
        <w:rPr>
          <w:rStyle w:val="Text0"/>
        </w:rPr>
        <w:t>readline</w:t>
      </w:r>
      <w:r>
        <w:t xml:space="preserve"> method, which is limited in the amount of chunking and buffering it can perform. (Using </w:t>
      </w:r>
      <w:r>
        <w:rPr>
          <w:rStyle w:val="Text0"/>
        </w:rPr>
        <w:t>writelines</w:t>
      </w:r>
      <w:r>
        <w:t>, on the other hand, causes no performance problems when that method is convenient for your program.) When reading a text file, loop directly on the file object to get one line at a time with best performance. If the file isn’t too huge, and so can conveniently fit in memory, time two versions of your program: one looping directly on the file object, the other reading the whole file into memory. Either may prove faster by a little.</w:t>
      </w:r>
    </w:p>
    <w:p>
      <w:pPr>
        <w:pStyle w:val="Normal"/>
      </w:pPr>
      <w:r>
        <w:t xml:space="preserve">For binary files, particularly large binary files whose contents you need just a part of on each given run of your program, the module </w:t>
      </w:r>
      <w:r>
        <w:rPr>
          <w:rStyle w:val="Text0"/>
        </w:rPr>
        <w:t>mmap</w:t>
      </w:r>
      <w:r>
        <w:t xml:space="preserve"> (covered in </w:t>
      </w:r>
      <w:hyperlink w:anchor="The_mmap_Module__The_mmap_module">
        <w:r>
          <w:rPr>
            <w:rStyle w:val="Text1"/>
          </w:rPr>
          <w:t>“The mmap Module”</w:t>
        </w:r>
      </w:hyperlink>
      <w:r>
        <w:t>) can sometimes help keep your program simple and boost performance.</w:t>
      </w:r>
    </w:p>
    <w:p>
      <w:pPr>
        <w:pStyle w:val="Normal"/>
      </w:pPr>
      <w:r>
        <w:t xml:space="preserve">Making an I/O-bound program multithreaded sometimes affords substantial performance gains, if you can arrange your architecture accordingly. Start a few worker threads devoted to I/O, have the computational threads request I/O operations from the I/O threads via </w:t>
      </w:r>
      <w:r>
        <w:rPr>
          <w:rStyle w:val="Text0"/>
        </w:rPr>
        <w:t>Queue</w:t>
      </w:r>
      <w:r>
        <w:t xml:space="preserve"> instances, and post the request for each input operation as soon as you know you’ll eventually need that data. Performance increases only if there are other tasks your computational threads can perform while I/O threads are blocked waiting for data. You get better performance this way only if you can manage to overlap computation and waiting for data by having different threads do the computing and the waiting. (See </w:t>
      </w:r>
      <w:hyperlink w:anchor="Threads_in_Python__Python_suppor">
        <w:r>
          <w:rPr>
            <w:rStyle w:val="Text1"/>
          </w:rPr>
          <w:t>“Threads in Python”</w:t>
        </w:r>
      </w:hyperlink>
      <w:r>
        <w:t xml:space="preserve"> for detailed coverage of Python threading and a suggested architecture.)</w:t>
      </w:r>
    </w:p>
    <w:p>
      <w:pPr>
        <w:pStyle w:val="Normal"/>
      </w:pPr>
      <w:r>
        <w:t xml:space="preserve">On the other hand, a possibly even faster and more scalable approach is to eschew threads in favor of asynchronous (event-driven) architectures, as mentioned in </w:t>
      </w:r>
      <w:hyperlink w:anchor="Chapter_15__Concurrency__Threads_2">
        <w:r>
          <w:rPr>
            <w:rStyle w:val="Text1"/>
          </w:rPr>
          <w:t>Chapter 15</w:t>
        </w:r>
      </w:hyperlink>
      <w:r>
        <w:t>.</w:t>
      </w:r>
    </w:p>
    <w:p>
      <w:bookmarkStart w:id="3917" w:name="1_This_issue_is_related_to__tech"/>
      <w:pPr>
        <w:pStyle w:val="Para 035"/>
      </w:pPr>
      <w:hyperlink w:anchor="1_16">
        <w:r>
          <w:rPr>
            <w:rStyle w:val="Text1"/>
          </w:rPr>
          <w:t>1</w:t>
        </w:r>
      </w:hyperlink>
      <w:r>
        <w:t xml:space="preserve"> This issue is related to “technical debt” and other topics covered in the </w:t>
      </w:r>
      <w:hyperlink r:id="rId511">
        <w:r>
          <w:rPr>
            <w:rStyle w:val="Text1"/>
          </w:rPr>
          <w:t>“‘Good enough’ is good enough”</w:t>
        </w:r>
      </w:hyperlink>
      <w:r>
        <w:t xml:space="preserve"> tech talk by one of this book’s authors (that author’s favorite tech talk out of the many he delivered!), excellently summarized and discussed by Martin Michlmayr on </w:t>
      </w:r>
      <w:hyperlink r:id="rId512">
        <w:r>
          <w:rPr>
            <w:rStyle w:val="Text1"/>
          </w:rPr>
          <w:t>LWN.net</w:t>
        </w:r>
      </w:hyperlink>
      <w:r>
        <w:t>.</w:t>
      </w:r>
      <w:bookmarkEnd w:id="3917"/>
    </w:p>
    <w:p>
      <w:bookmarkStart w:id="3918" w:name="2_The_language_used_in_this_area"/>
      <w:pPr>
        <w:pStyle w:val="Para 015"/>
      </w:pPr>
      <w:hyperlink w:anchor="2_14">
        <w:r>
          <w:rPr>
            <w:rStyle w:val="Text1"/>
          </w:rPr>
          <w:t>2</w:t>
        </w:r>
      </w:hyperlink>
      <w:r>
        <w:t xml:space="preserve"> The language used in this area is confused and confusing: terms like </w:t>
      </w:r>
      <w:r>
        <w:rPr>
          <w:rStyle w:val="Text4"/>
        </w:rPr>
        <w:t>dummies</w:t>
      </w:r>
      <w:r>
        <w:t xml:space="preserve">, </w:t>
      </w:r>
      <w:r>
        <w:rPr>
          <w:rStyle w:val="Text4"/>
        </w:rPr>
        <w:t>fakes</w:t>
      </w:r>
      <w:r>
        <w:t xml:space="preserve">, </w:t>
      </w:r>
      <w:r>
        <w:rPr>
          <w:rStyle w:val="Text4"/>
        </w:rPr>
        <w:t>spies</w:t>
      </w:r>
      <w:r>
        <w:t xml:space="preserve">, </w:t>
      </w:r>
      <w:r>
        <w:rPr>
          <w:rStyle w:val="Text4"/>
        </w:rPr>
        <w:t>mocks</w:t>
      </w:r>
      <w:r>
        <w:t xml:space="preserve">, </w:t>
      </w:r>
      <w:r>
        <w:rPr>
          <w:rStyle w:val="Text4"/>
        </w:rPr>
        <w:t>stubs</w:t>
      </w:r>
      <w:r>
        <w:t xml:space="preserve">, and </w:t>
      </w:r>
      <w:r>
        <w:rPr>
          <w:rStyle w:val="Text4"/>
        </w:rPr>
        <w:t>test doubles</w:t>
      </w:r>
      <w:r>
        <w:t xml:space="preserve"> are utilized by different people to mean slightly different things. For an authoritative approach to terminology and concepts (though not the exact one we use), see the essay </w:t>
      </w:r>
      <w:hyperlink r:id="rId513">
        <w:r>
          <w:rPr>
            <w:rStyle w:val="Text1"/>
          </w:rPr>
          <w:t>“Mocks Aren’t Stubs”</w:t>
        </w:r>
      </w:hyperlink>
      <w:r>
        <w:t xml:space="preserve"> by Martin Fowler.</w:t>
      </w:r>
      <w:bookmarkEnd w:id="3918"/>
    </w:p>
    <w:p>
      <w:bookmarkStart w:id="3919" w:name="3_That_s_partly_because_the_stru"/>
      <w:pPr>
        <w:pStyle w:val="Para 015"/>
      </w:pPr>
      <w:hyperlink w:anchor="3_14">
        <w:r>
          <w:rPr>
            <w:rStyle w:val="Text1"/>
          </w:rPr>
          <w:t>3</w:t>
        </w:r>
      </w:hyperlink>
      <w:r>
        <w:t xml:space="preserve"> That’s partly because the structure of the system tends to mirror the structure of the organization, per </w:t>
      </w:r>
      <w:hyperlink r:id="rId514">
        <w:r>
          <w:rPr>
            <w:rStyle w:val="Text1"/>
          </w:rPr>
          <w:t>Conway’s law</w:t>
        </w:r>
      </w:hyperlink>
      <w:r>
        <w:t>.</w:t>
      </w:r>
      <w:bookmarkEnd w:id="3919"/>
    </w:p>
    <w:p>
      <w:bookmarkStart w:id="3920" w:name="4_However__be_sure_you_know_exac"/>
      <w:pPr>
        <w:pStyle w:val="Para 015"/>
      </w:pPr>
      <w:hyperlink w:anchor="4_8">
        <w:r>
          <w:rPr>
            <w:rStyle w:val="Text1"/>
          </w:rPr>
          <w:t>4</w:t>
        </w:r>
      </w:hyperlink>
      <w:r>
        <w:t xml:space="preserve"> However, be sure you know exactly what you’re using </w:t>
      </w:r>
      <w:r>
        <w:rPr>
          <w:rStyle w:val="Text25"/>
        </w:rPr>
        <w:t>doctest</w:t>
      </w:r>
      <w:r>
        <w:t xml:space="preserve"> for in any given case: to quote Peter Norvig, writing precisely on this subject: “Know what you’re aiming for; if you aim at two targets at once you usually miss them both.”</w:t>
      </w:r>
      <w:bookmarkEnd w:id="3920"/>
    </w:p>
    <w:p>
      <w:bookmarkStart w:id="3921" w:name="5_When_evaluating_assert_a____b"/>
      <w:pPr>
        <w:pStyle w:val="Para 015"/>
      </w:pPr>
      <w:hyperlink w:anchor="5_7">
        <w:r>
          <w:rPr>
            <w:rStyle w:val="Text1"/>
          </w:rPr>
          <w:t>5</w:t>
        </w:r>
      </w:hyperlink>
      <w:r>
        <w:t xml:space="preserve"> When evaluating </w:t>
      </w:r>
      <w:r>
        <w:rPr>
          <w:rStyle w:val="Text25"/>
        </w:rPr>
        <w:t>assert</w:t>
      </w:r>
      <w:r>
        <w:t xml:space="preserve"> </w:t>
      </w:r>
      <w:r>
        <w:rPr>
          <w:rStyle w:val="Text3"/>
        </w:rPr>
        <w:t>a</w:t>
      </w:r>
      <w:r>
        <w:t xml:space="preserve"> </w:t>
      </w:r>
      <w:r>
        <w:rPr>
          <w:rStyle w:val="Text25"/>
        </w:rPr>
        <w:t>==</w:t>
      </w:r>
      <w:r>
        <w:t xml:space="preserve"> </w:t>
      </w:r>
      <w:r>
        <w:rPr>
          <w:rStyle w:val="Text3"/>
        </w:rPr>
        <w:t>b</w:t>
      </w:r>
      <w:r>
        <w:t xml:space="preserve">, </w:t>
      </w:r>
      <w:r>
        <w:rPr>
          <w:rStyle w:val="Text25"/>
        </w:rPr>
        <w:t>pytest</w:t>
      </w:r>
      <w:r>
        <w:t xml:space="preserve"> interprets </w:t>
      </w:r>
      <w:r>
        <w:rPr>
          <w:rStyle w:val="Text3"/>
        </w:rPr>
        <w:t>a</w:t>
      </w:r>
      <w:r>
        <w:t xml:space="preserve"> as the observed value and </w:t>
      </w:r>
      <w:r>
        <w:rPr>
          <w:rStyle w:val="Text3"/>
        </w:rPr>
        <w:t>b</w:t>
      </w:r>
      <w:r>
        <w:t xml:space="preserve"> as the expected value (the reverse of </w:t>
      </w:r>
      <w:r>
        <w:rPr>
          <w:rStyle w:val="Text25"/>
        </w:rPr>
        <w:t>unittest</w:t>
      </w:r>
      <w:r>
        <w:t>).</w:t>
      </w:r>
      <w:bookmarkEnd w:id="3921"/>
    </w:p>
    <w:p>
      <w:bookmarkStart w:id="3922" w:name="6__Oh__but_I_ll_only_be_running"/>
      <w:pPr>
        <w:pStyle w:val="Para 015"/>
      </w:pPr>
      <w:hyperlink w:anchor="6_5">
        <w:r>
          <w:rPr>
            <w:rStyle w:val="Text1"/>
          </w:rPr>
          <w:t>6</w:t>
        </w:r>
      </w:hyperlink>
      <w:r>
        <w:t xml:space="preserve"> “Oh, but I’ll only be running this code for a short time!” is </w:t>
      </w:r>
      <w:r>
        <w:rPr>
          <w:rStyle w:val="Text4"/>
        </w:rPr>
        <w:t>not</w:t>
      </w:r>
      <w:r>
        <w:t xml:space="preserve"> an excuse to get sloppy: the Russian proverb “nothing is more permanent than a temporary solution” is particularly applicable in software. All over the world, plenty of “temporary” code performing crucial tasks is over 50 years old.</w:t>
      </w:r>
      <w:bookmarkEnd w:id="3922"/>
    </w:p>
    <w:p>
      <w:bookmarkStart w:id="3923" w:name="7_A_typical_case_of_the_Pareto_p"/>
      <w:pPr>
        <w:pStyle w:val="Para 015"/>
      </w:pPr>
      <w:hyperlink w:anchor="7_4">
        <w:r>
          <w:rPr>
            <w:rStyle w:val="Text1"/>
          </w:rPr>
          <w:t>7</w:t>
        </w:r>
      </w:hyperlink>
      <w:r>
        <w:t xml:space="preserve"> A typical case of the </w:t>
      </w:r>
      <w:hyperlink r:id="rId515">
        <w:r>
          <w:rPr>
            <w:rStyle w:val="Text1"/>
          </w:rPr>
          <w:t>Pareto principle</w:t>
        </w:r>
      </w:hyperlink>
      <w:r>
        <w:t xml:space="preserve"> in action.</w:t>
      </w:r>
      <w:bookmarkEnd w:id="3923"/>
    </w:p>
    <w:p>
      <w:bookmarkStart w:id="3924" w:name="8_Per_Amdahl_s_law"/>
      <w:pPr>
        <w:pStyle w:val="Para 081"/>
      </w:pPr>
      <w:hyperlink w:anchor="8_3">
        <w:r>
          <w:t>8</w:t>
        </w:r>
      </w:hyperlink>
      <w:r>
        <w:rPr>
          <w:rStyle w:val="Text2"/>
        </w:rPr>
        <w:t xml:space="preserve"> Per </w:t>
      </w:r>
      <w:hyperlink r:id="rId516">
        <w:r>
          <w:t>Amdahl’s law</w:t>
        </w:r>
      </w:hyperlink>
      <w:r>
        <w:rPr>
          <w:rStyle w:val="Text2"/>
        </w:rPr>
        <w:t>.</w:t>
      </w:r>
      <w:bookmarkEnd w:id="3924"/>
    </w:p>
    <w:p>
      <w:bookmarkStart w:id="3925" w:name="9_Using_the_invented_for_Python"/>
      <w:pPr>
        <w:pStyle w:val="Para 015"/>
      </w:pPr>
      <w:hyperlink w:anchor="9_3">
        <w:r>
          <w:rPr>
            <w:rStyle w:val="Text1"/>
          </w:rPr>
          <w:t>9</w:t>
        </w:r>
      </w:hyperlink>
      <w:r>
        <w:t xml:space="preserve"> Using the invented-for-Python </w:t>
      </w:r>
      <w:hyperlink r:id="rId517">
        <w:r>
          <w:rPr>
            <w:rStyle w:val="Text1"/>
          </w:rPr>
          <w:t>adaptive sorting</w:t>
        </w:r>
      </w:hyperlink>
      <w:r>
        <w:t xml:space="preserve"> algorithm </w:t>
      </w:r>
      <w:hyperlink r:id="rId518">
        <w:r>
          <w:rPr>
            <w:rStyle w:val="Text1"/>
          </w:rPr>
          <w:t>Timsort</w:t>
        </w:r>
      </w:hyperlink>
      <w:r>
        <w:t>.</w:t>
      </w:r>
      <w:bookmarkEnd w:id="3925"/>
    </w:p>
    <w:p>
      <w:bookmarkStart w:id="3926" w:name="10_A_once_slower_idiom_may_be_op"/>
      <w:pPr>
        <w:pStyle w:val="Para 015"/>
      </w:pPr>
      <w:hyperlink w:anchor="10_3">
        <w:r>
          <w:rPr>
            <w:rStyle w:val="Text1"/>
          </w:rPr>
          <w:t>10</w:t>
        </w:r>
      </w:hyperlink>
      <w:r>
        <w:t xml:space="preserve"> A once-slower idiom may be optimized in some future version of Python, so it’s worth redoing </w:t>
      </w:r>
      <w:r>
        <w:rPr>
          <w:rStyle w:val="Text25"/>
        </w:rPr>
        <w:t>timeit</w:t>
      </w:r>
      <w:r>
        <w:t xml:space="preserve"> measurements to check for this when you upgrade to newer versions of Python.</w:t>
      </w:r>
      <w:bookmarkEnd w:id="3926"/>
    </w:p>
    <w:p>
      <w:bookmarkStart w:id="3927" w:name="11_Even_though_current_Python_im"/>
      <w:pPr>
        <w:pStyle w:val="Para 015"/>
      </w:pPr>
      <w:hyperlink w:anchor="11_3">
        <w:r>
          <w:rPr>
            <w:rStyle w:val="Text1"/>
          </w:rPr>
          <w:t>11</w:t>
        </w:r>
      </w:hyperlink>
      <w:r>
        <w:t xml:space="preserve"> Even though current Python implementations bend over backward to help reduce the performance hit of this specific, terrible, but common anti-pattern, they can’t catch every occurrence, so don’t count on that!</w:t>
      </w:r>
      <w:bookmarkEnd w:id="3927"/>
    </w:p>
    <w:p>
      <w:bookmarkStart w:id="3928" w:name="Chapter_18__Networking_Basics__C"/>
      <w:bookmarkStart w:id="3929" w:name="Chapter_18__Networking_Basics__C_1"/>
      <w:bookmarkStart w:id="3930" w:name="Top_of_ch18_html"/>
      <w:bookmarkStart w:id="3931" w:name="Chapter_18__Networking_Basics__C_2"/>
      <w:pPr>
        <w:keepNext/>
        <w:pStyle w:val="Heading 1"/>
        <w:pageBreakBefore w:val="on"/>
      </w:pPr>
      <w:r>
        <w:t xml:space="preserve">Chapter 18. </w:t>
        <w:t>Networking Basics</w:t>
      </w:r>
      <w:bookmarkEnd w:id="3928"/>
      <w:bookmarkEnd w:id="3929"/>
      <w:bookmarkEnd w:id="3930"/>
      <w:bookmarkEnd w:id="3931"/>
    </w:p>
    <w:p>
      <w:pPr>
        <w:pStyle w:val="Normal"/>
      </w:pPr>
      <w:r>
        <w:rPr>
          <w:rStyle w:val="Text4"/>
        </w:rPr>
        <w:t>Connection-oriented</w:t>
      </w:r>
      <w:r>
        <w:t xml:space="preserve"> protocols</w:t>
      </w:r>
      <w:r>
        <w:rPr>
          <w:rStyle w:val="Text111"/>
        </w:rPr>
        <w:bookmarkStart w:id="3932" w:name="idm45965177696736"/>
        <w:t/>
        <w:bookmarkEnd w:id="3932"/>
        <w:bookmarkStart w:id="3933" w:name="idm45965177695328"/>
        <w:t/>
        <w:bookmarkEnd w:id="3933"/>
      </w:r>
      <w:r>
        <w:t xml:space="preserve"> work like making a telephone call. You request a connection to a particular</w:t>
      </w:r>
      <w:r>
        <w:rPr>
          <w:rStyle w:val="Text111"/>
        </w:rPr>
        <w:bookmarkStart w:id="3934" w:name="idm45965177694128"/>
        <w:t/>
        <w:bookmarkEnd w:id="3934"/>
      </w:r>
      <w:r>
        <w:t xml:space="preserve"> </w:t>
      </w:r>
      <w:r>
        <w:rPr>
          <w:rStyle w:val="Text4"/>
        </w:rPr>
        <w:t>network endpoint</w:t>
      </w:r>
      <w:r>
        <w:t xml:space="preserve"> (equivalent to dialing somebody’s phone number), and your party either answers or doesn’t. If they do, you can talk to them and hear them talking back (simultaneously, if necessary), and you know that nothing is getting lost. At the end of the conversation you both say goodbye and hang up, so it’s obvious something has gone wrong if that closing event doesn’t occur (for example, if you just suddenly stop hearing the other party). The</w:t>
      </w:r>
      <w:r>
        <w:rPr>
          <w:rStyle w:val="Text111"/>
        </w:rPr>
        <w:bookmarkStart w:id="3935" w:name="idm45965177692448"/>
        <w:t/>
        <w:bookmarkEnd w:id="3935"/>
        <w:bookmarkStart w:id="3936" w:name="idm45965177691376"/>
        <w:t/>
        <w:bookmarkEnd w:id="3936"/>
      </w:r>
      <w:r>
        <w:t xml:space="preserve"> Transmission Control Protocol (TCP) is the main connection-oriented transport protocol of the internet, used by web browsers, secure shells, email, and many other applications.</w:t>
      </w:r>
    </w:p>
    <w:p>
      <w:pPr>
        <w:pStyle w:val="Normal"/>
      </w:pPr>
      <w:r>
        <w:rPr>
          <w:rStyle w:val="Text4"/>
        </w:rPr>
        <w:t>Connectionless</w:t>
      </w:r>
      <w:r>
        <w:t xml:space="preserve"> or </w:t>
      </w:r>
      <w:r>
        <w:rPr>
          <w:rStyle w:val="Text4"/>
        </w:rPr>
        <w:t>datagram</w:t>
      </w:r>
      <w:r>
        <w:t xml:space="preserve"> protocols</w:t>
      </w:r>
      <w:r>
        <w:rPr>
          <w:rStyle w:val="Text111"/>
        </w:rPr>
        <w:bookmarkStart w:id="3937" w:name="idm45965177689152"/>
        <w:t/>
        <w:bookmarkEnd w:id="3937"/>
        <w:bookmarkStart w:id="3938" w:name="idm45965177688048"/>
        <w:t/>
        <w:bookmarkEnd w:id="3938"/>
      </w:r>
      <w:r>
        <w:t xml:space="preserve"> work more like communicating by sending postcards. Mostly, the messages get through, but if anything goes wrong you have to be prepared to cope with the consequences—the protocol doesn’t notify you whether your messages have been received, and messages can arrive out of order. For exchanging short messages and getting answers, datagram protocols have less overhead than connection-oriented ones, as long as the overall service can cope with occasional disruptions. For example, a Domain Name Service (DNS) server may fail to respond: most DNS communication was until recently connectionless. The User Datagram Protocol (UDP)</w:t>
      </w:r>
      <w:r>
        <w:rPr>
          <w:rStyle w:val="Text111"/>
        </w:rPr>
        <w:bookmarkStart w:id="3939" w:name="idm45965177686816"/>
        <w:t/>
        <w:bookmarkEnd w:id="3939"/>
        <w:bookmarkStart w:id="3940" w:name="idm45965177685744"/>
        <w:t/>
        <w:bookmarkEnd w:id="3940"/>
      </w:r>
      <w:r>
        <w:t xml:space="preserve"> is the main connectionless transport protocol for internet communications.</w:t>
      </w:r>
    </w:p>
    <w:p>
      <w:pPr>
        <w:pStyle w:val="Normal"/>
      </w:pPr>
      <w:r>
        <w:t>Nowadays, security is increasingly important: understanding the underlying basis of secure communications helps you ensure that your communications are as secure as they need to be. If this summary dissuades you from trying to implement such technology yourself without a thorough understanding of the issues and risks, it will have served a worthwhile purpose.</w:t>
      </w:r>
    </w:p>
    <w:p>
      <w:pPr>
        <w:pStyle w:val="Normal"/>
      </w:pPr>
      <w:r>
        <w:t>All communications across network interfaces exchange strings of bytes. To communicate text, or indeed most other information, the sender must encode it as bytes, which the receiver must decode. We limit our discussion in this chapter to the case of a single sender and a single receiver.</w:t>
      </w:r>
    </w:p>
    <w:p>
      <w:bookmarkStart w:id="3941" w:name="The_Berkeley_Socket_Interface__M"/>
      <w:pPr>
        <w:keepNext/>
        <w:pStyle w:val="Heading 1"/>
      </w:pPr>
      <w:r>
        <w:t>The Berkeley Socket Interface</w:t>
      </w:r>
      <w:bookmarkEnd w:id="3941"/>
    </w:p>
    <w:p>
      <w:pPr>
        <w:pStyle w:val="Normal"/>
      </w:pPr>
      <w:r>
        <w:t>Most</w:t>
      </w:r>
      <w:r>
        <w:rPr>
          <w:rStyle w:val="Text111"/>
        </w:rPr>
        <w:bookmarkStart w:id="3942" w:name="NBbsocket18"/>
        <w:t/>
        <w:bookmarkEnd w:id="3942"/>
        <w:bookmarkStart w:id="3943" w:name="idm45965177679872"/>
        <w:t/>
        <w:bookmarkEnd w:id="3943"/>
        <w:bookmarkStart w:id="3944" w:name="idm45965177678528"/>
        <w:t/>
        <w:bookmarkEnd w:id="3944"/>
      </w:r>
      <w:r>
        <w:t xml:space="preserve"> networking nowadays uses </w:t>
      </w:r>
      <w:r>
        <w:rPr>
          <w:rStyle w:val="Text4"/>
        </w:rPr>
        <w:t>sockets.</w:t>
      </w:r>
      <w:r>
        <w:t xml:space="preserve"> Sockets give access to pipelines between independent endpoints, using a</w:t>
      </w:r>
      <w:r>
        <w:rPr>
          <w:rStyle w:val="Text111"/>
        </w:rPr>
        <w:bookmarkStart w:id="3945" w:name="idm45965177676608"/>
        <w:t/>
        <w:bookmarkEnd w:id="3945"/>
      </w:r>
      <w:r>
        <w:t xml:space="preserve"> </w:t>
      </w:r>
      <w:r>
        <w:rPr>
          <w:rStyle w:val="Text4"/>
        </w:rPr>
        <w:t>transport layer protocol</w:t>
      </w:r>
      <w:r>
        <w:t xml:space="preserve"> to move information between those endpoints. The socket concept is general enough that the endpoints can be on the same computer, or on different computers networked together, either locally or via a wide area network.</w:t>
      </w:r>
    </w:p>
    <w:p>
      <w:pPr>
        <w:pStyle w:val="Normal"/>
      </w:pPr>
      <w:r>
        <w:t>The most frequently used transport layers today are UDP (for connectionless networking) and TCP (for connection-oriented networking); each is carried over a common Internet Protocol (IP) network layer. This stack of protocols, along with the many application protocols that run over them, is collectively known as</w:t>
      </w:r>
      <w:r>
        <w:rPr>
          <w:rStyle w:val="Text111"/>
        </w:rPr>
        <w:bookmarkStart w:id="3946" w:name="idm45965177674704"/>
        <w:t/>
        <w:bookmarkEnd w:id="3946"/>
      </w:r>
      <w:r>
        <w:t xml:space="preserve"> </w:t>
      </w:r>
      <w:r>
        <w:rPr>
          <w:rStyle w:val="Text4"/>
        </w:rPr>
        <w:t>TCP/IP.</w:t>
      </w:r>
      <w:r>
        <w:t xml:space="preserve"> A good introduction is Gordon McMillan’s (dated but still perfectly valid) </w:t>
      </w:r>
      <w:hyperlink r:id="rId519">
        <w:r>
          <w:rPr>
            <w:rStyle w:val="Text24"/>
          </w:rPr>
          <w:t>Socket Programming HOWTO</w:t>
        </w:r>
      </w:hyperlink>
      <w:r>
        <w:t>.</w:t>
      </w:r>
    </w:p>
    <w:p>
      <w:pPr>
        <w:pStyle w:val="Normal"/>
      </w:pPr>
      <w:r>
        <w:t>The</w:t>
      </w:r>
      <w:r>
        <w:rPr>
          <w:rStyle w:val="Text111"/>
        </w:rPr>
        <w:bookmarkStart w:id="3947" w:name="idm45965177671792"/>
        <w:t/>
        <w:bookmarkEnd w:id="3947"/>
        <w:bookmarkStart w:id="3948" w:name="idm45965177670416"/>
        <w:t/>
        <w:bookmarkEnd w:id="3948"/>
        <w:bookmarkStart w:id="3949" w:name="idm45965177669312"/>
        <w:t/>
        <w:bookmarkEnd w:id="3949"/>
      </w:r>
      <w:r>
        <w:t xml:space="preserve"> two most common socket families are </w:t>
      </w:r>
      <w:r>
        <w:rPr>
          <w:rStyle w:val="Text4"/>
        </w:rPr>
        <w:t>internet sockets</w:t>
      </w:r>
      <w:r>
        <w:t xml:space="preserve"> based on TCP/IP communications (available in two flavors, to accommodate the modern IPv6 and the more traditional IPv4) and </w:t>
      </w:r>
      <w:r>
        <w:rPr>
          <w:rStyle w:val="Text4"/>
        </w:rPr>
        <w:t>Unix sockets</w:t>
      </w:r>
      <w:r>
        <w:t>, though other families are also available. Internet sockets allow communication between any two computers that can exchange IP datagrams; Unix sockets can only communicate between processes on the same Unix machine.</w:t>
      </w:r>
    </w:p>
    <w:p>
      <w:pPr>
        <w:pStyle w:val="Normal"/>
      </w:pPr>
      <w:r>
        <w:t>To support many concurrent internet sockets, the TCP/IP protocol stack uses endpoints identified by an IP address, a</w:t>
      </w:r>
      <w:r>
        <w:rPr>
          <w:rStyle w:val="Text111"/>
        </w:rPr>
        <w:bookmarkStart w:id="3950" w:name="idm45965177666704"/>
        <w:t/>
        <w:bookmarkEnd w:id="3950"/>
      </w:r>
      <w:r>
        <w:t xml:space="preserve"> </w:t>
      </w:r>
      <w:r>
        <w:rPr>
          <w:rStyle w:val="Text4"/>
        </w:rPr>
        <w:t>port number</w:t>
      </w:r>
      <w:r>
        <w:t>, and a protocol. The port numbers allow protocol handling software to distinguish between different endpoints at the same IP address using the same protocol. A connected socket is also associated with a</w:t>
      </w:r>
      <w:r>
        <w:rPr>
          <w:rStyle w:val="Text111"/>
        </w:rPr>
        <w:bookmarkStart w:id="3951" w:name="idm45965177665024"/>
        <w:t/>
        <w:bookmarkEnd w:id="3951"/>
      </w:r>
      <w:r>
        <w:t xml:space="preserve"> </w:t>
      </w:r>
      <w:r>
        <w:rPr>
          <w:rStyle w:val="Text4"/>
        </w:rPr>
        <w:t>remote endpoint</w:t>
      </w:r>
      <w:r>
        <w:t>, the counterparty socket to which it is connected and with which it can communicate.</w:t>
      </w:r>
    </w:p>
    <w:p>
      <w:pPr>
        <w:pStyle w:val="Normal"/>
      </w:pPr>
      <w:r>
        <w:t>Most Unix sockets have names in the Unix filesystem. On Linux platforms, sockets whose names begin with a zero byte live in a name pool maintained by the kernel. These are useful for communicating with a</w:t>
      </w:r>
      <w:r>
        <w:rPr>
          <w:rStyle w:val="Text111"/>
        </w:rPr>
        <w:bookmarkStart w:id="3952" w:name="idm45965177662928"/>
        <w:t/>
        <w:bookmarkEnd w:id="3952"/>
      </w:r>
      <w:r>
        <w:t xml:space="preserve"> </w:t>
      </w:r>
      <w:hyperlink r:id="rId520">
        <w:r>
          <w:rPr>
            <w:rStyle w:val="Text1"/>
          </w:rPr>
          <w:t>chroot-jail process</w:t>
        </w:r>
      </w:hyperlink>
      <w:r>
        <w:t>, for example, where no filesystem is shared between two processes.</w:t>
      </w:r>
    </w:p>
    <w:p>
      <w:pPr>
        <w:pStyle w:val="Normal"/>
      </w:pPr>
      <w:r>
        <w:t>Both internet and Unix sockets support connectionless and connection-oriented networking, so if you write your programs carefully, they can work over either socket family. It is beyond the scope of this book to discuss other socket families, though we should mention that</w:t>
      </w:r>
      <w:r>
        <w:rPr>
          <w:rStyle w:val="Text111"/>
        </w:rPr>
        <w:bookmarkStart w:id="3953" w:name="idm45965177660560"/>
        <w:t/>
        <w:bookmarkEnd w:id="3953"/>
        <w:bookmarkStart w:id="3954" w:name="idm45965177659456"/>
        <w:t/>
        <w:bookmarkEnd w:id="3954"/>
      </w:r>
      <w:r>
        <w:t xml:space="preserve"> </w:t>
      </w:r>
      <w:r>
        <w:rPr>
          <w:rStyle w:val="Text4"/>
        </w:rPr>
        <w:t>raw sockets</w:t>
      </w:r>
      <w:r>
        <w:t>, a subtype of the internet socket family, let you send and receive link layer packets (for example, Ethernet packets) directly. This is useful for some experimental applications and for</w:t>
      </w:r>
      <w:r>
        <w:rPr>
          <w:rStyle w:val="Text111"/>
        </w:rPr>
        <w:bookmarkStart w:id="3955" w:name="idm45965177657504"/>
        <w:t/>
        <w:bookmarkEnd w:id="3955"/>
      </w:r>
      <w:r>
        <w:t xml:space="preserve"> </w:t>
      </w:r>
      <w:hyperlink r:id="rId521">
        <w:r>
          <w:rPr>
            <w:rStyle w:val="Text1"/>
          </w:rPr>
          <w:t>packet sniffing</w:t>
        </w:r>
      </w:hyperlink>
      <w:r>
        <w:t>.</w:t>
      </w:r>
    </w:p>
    <w:p>
      <w:pPr>
        <w:pStyle w:val="Normal"/>
      </w:pPr>
      <w:r>
        <w:t>After creating an internet socket, you can</w:t>
      </w:r>
      <w:r>
        <w:rPr>
          <w:rStyle w:val="Text111"/>
        </w:rPr>
        <w:bookmarkStart w:id="3956" w:name="idm45965177655008"/>
        <w:t/>
        <w:bookmarkEnd w:id="3956"/>
      </w:r>
      <w:r>
        <w:t xml:space="preserve"> associate (</w:t>
      </w:r>
      <w:r>
        <w:rPr>
          <w:rStyle w:val="Text4"/>
        </w:rPr>
        <w:t>bind</w:t>
      </w:r>
      <w:r>
        <w:t xml:space="preserve">) a specific port number with the socket (as long as that port number is not in use by some other socket). This is the strategy many servers use, offering service on so-called </w:t>
      </w:r>
      <w:hyperlink r:id="rId522">
        <w:r>
          <w:rPr>
            <w:rStyle w:val="Text24"/>
          </w:rPr>
          <w:t>well-known port numbers</w:t>
        </w:r>
      </w:hyperlink>
      <w:r>
        <w:t xml:space="preserve"> defined by internet standards as being in the range 1–1,023. On Unix systems, </w:t>
      </w:r>
      <w:r>
        <w:rPr>
          <w:rStyle w:val="Text4"/>
        </w:rPr>
        <w:t>root</w:t>
      </w:r>
      <w:r>
        <w:t xml:space="preserve"> privileges</w:t>
      </w:r>
      <w:r>
        <w:rPr>
          <w:rStyle w:val="Text111"/>
        </w:rPr>
        <w:bookmarkStart w:id="3957" w:name="idm45965177651824"/>
        <w:t/>
        <w:bookmarkEnd w:id="3957"/>
      </w:r>
      <w:r>
        <w:t xml:space="preserve"> are required to gain access to these ports. A typical client is unconcerned with the port number it uses, and so it typically requests an </w:t>
      </w:r>
      <w:r>
        <w:rPr>
          <w:rStyle w:val="Text4"/>
        </w:rPr>
        <w:t>ephemeral port</w:t>
      </w:r>
      <w:r>
        <w:t>, assigned by the protocol driver and guaranteed to be unique on that host. There is no need to bind client ports.</w:t>
      </w:r>
    </w:p>
    <w:p>
      <w:pPr>
        <w:pStyle w:val="Normal"/>
      </w:pPr>
      <w:r>
        <w:t xml:space="preserve">Consider two processes on the same computer, each acting as a client to the same remote server. The full association for their sockets has five components, </w:t>
      </w:r>
      <w:r>
        <w:rPr>
          <w:rStyle w:val="Text0"/>
        </w:rPr>
        <w:t>(local_IP_address, local_port_number, protocol, remote_IP_address, remote_port_number)</w:t>
      </w:r>
      <w:r>
        <w:t>. When packets arrive at the remote server, the destination, source IP address, destination port number, and protocol are the same for both clients. The guarantee of uniqueness for ephemeral port numbers lets the server distinguish between traffic from the two clients. This is how TCP/IP handles multiple conversations between the same two IP addresses.</w:t>
      </w:r>
      <w:hyperlink w:anchor="1_When_you_code_an_application_p">
        <w:r>
          <w:rPr>
            <w:rStyle w:val="Text41"/>
          </w:rPr>
          <w:bookmarkStart w:id="3958" w:name="1_17"/>
          <w:t>1</w:t>
          <w:bookmarkEnd w:id="3958"/>
        </w:r>
      </w:hyperlink>
    </w:p>
    <w:p>
      <w:bookmarkStart w:id="3959" w:name="Socket_Addresses__The_different"/>
      <w:pPr>
        <w:keepNext/>
        <w:pStyle w:val="Heading 2"/>
      </w:pPr>
      <w:r>
        <w:t>Socket Addresses</w:t>
      </w:r>
      <w:bookmarkEnd w:id="3959"/>
    </w:p>
    <w:p>
      <w:pPr>
        <w:pStyle w:val="Normal"/>
      </w:pPr>
      <w:r>
        <w:t>The</w:t>
      </w:r>
      <w:r>
        <w:rPr>
          <w:rStyle w:val="Text111"/>
        </w:rPr>
        <w:bookmarkStart w:id="3960" w:name="idm45965177645168"/>
        <w:t/>
        <w:bookmarkEnd w:id="3960"/>
        <w:bookmarkStart w:id="3961" w:name="idm45965177643792"/>
        <w:t/>
        <w:bookmarkEnd w:id="3961"/>
      </w:r>
      <w:r>
        <w:t xml:space="preserve"> different types of sockets use different address formats:</w:t>
      </w:r>
    </w:p>
    <w:p>
      <w:pPr>
        <w:pStyle w:val="Para 010"/>
      </w:pPr>
      <w:r>
        <w:t xml:space="preserve">Unix socket addresses are strings naming a node in the filesystem (on Linux platforms, bytestrings starting with </w:t>
      </w:r>
      <w:r>
        <w:rPr>
          <w:rStyle w:val="Text0"/>
        </w:rPr>
        <w:t>b'\0'</w:t>
      </w:r>
      <w:r>
        <w:t xml:space="preserve"> and corresponding to names in a kernel table).</w:t>
      </w:r>
    </w:p>
    <w:p>
      <w:pPr>
        <w:pStyle w:val="Para 010"/>
      </w:pPr>
      <w:r>
        <w:t xml:space="preserve">IPv4 socket addresses are </w:t>
      </w:r>
      <w:r>
        <w:rPr>
          <w:rStyle w:val="Text0"/>
        </w:rPr>
        <w:t>(</w:t>
      </w:r>
      <w:r>
        <w:rPr>
          <w:rStyle w:val="Text3"/>
        </w:rPr>
        <w:t>address</w:t>
      </w:r>
      <w:r>
        <w:rPr>
          <w:rStyle w:val="Text0"/>
        </w:rPr>
        <w:t>,</w:t>
      </w:r>
      <w:r>
        <w:t xml:space="preserve"> </w:t>
      </w:r>
      <w:r>
        <w:rPr>
          <w:rStyle w:val="Text3"/>
        </w:rPr>
        <w:t>port</w:t>
      </w:r>
      <w:r>
        <w:rPr>
          <w:rStyle w:val="Text0"/>
        </w:rPr>
        <w:t>)</w:t>
      </w:r>
      <w:r>
        <w:t xml:space="preserve"> pairs. The first item is an IPv4 address, the second a port number in the range 1–65,535.</w:t>
      </w:r>
    </w:p>
    <w:p>
      <w:pPr>
        <w:pStyle w:val="Para 010"/>
      </w:pPr>
      <w:r>
        <w:t xml:space="preserve">IPv6 socket addresses are four-item </w:t>
      </w:r>
      <w:r>
        <w:rPr>
          <w:rStyle w:val="Text0"/>
        </w:rPr>
        <w:t>(</w:t>
      </w:r>
      <w:r>
        <w:rPr>
          <w:rStyle w:val="Text3"/>
        </w:rPr>
        <w:t>address</w:t>
      </w:r>
      <w:r>
        <w:rPr>
          <w:rStyle w:val="Text0"/>
        </w:rPr>
        <w:t>,</w:t>
      </w:r>
      <w:r>
        <w:t xml:space="preserve"> </w:t>
      </w:r>
      <w:r>
        <w:rPr>
          <w:rStyle w:val="Text3"/>
        </w:rPr>
        <w:t>port</w:t>
      </w:r>
      <w:r>
        <w:rPr>
          <w:rStyle w:val="Text0"/>
        </w:rPr>
        <w:t>,</w:t>
      </w:r>
      <w:r>
        <w:t xml:space="preserve"> </w:t>
      </w:r>
      <w:r>
        <w:rPr>
          <w:rStyle w:val="Text3"/>
        </w:rPr>
        <w:t>flowinfo</w:t>
      </w:r>
      <w:r>
        <w:rPr>
          <w:rStyle w:val="Text0"/>
        </w:rPr>
        <w:t>,</w:t>
      </w:r>
      <w:r>
        <w:t xml:space="preserve"> </w:t>
      </w:r>
      <w:r>
        <w:rPr>
          <w:rStyle w:val="Text3"/>
        </w:rPr>
        <w:t>scopeid</w:t>
      </w:r>
      <w:r>
        <w:rPr>
          <w:rStyle w:val="Text0"/>
        </w:rPr>
        <w:t>)</w:t>
      </w:r>
      <w:r>
        <w:t xml:space="preserve"> tuples. When providing an address as an argument, the </w:t>
      </w:r>
      <w:r>
        <w:rPr>
          <w:rStyle w:val="Text3"/>
        </w:rPr>
        <w:t>flowinfo</w:t>
      </w:r>
      <w:r>
        <w:t xml:space="preserve"> and </w:t>
      </w:r>
      <w:r>
        <w:rPr>
          <w:rStyle w:val="Text3"/>
        </w:rPr>
        <w:t>scopeid</w:t>
      </w:r>
      <w:r>
        <w:t xml:space="preserve"> items can generally be omitted, as long as the </w:t>
      </w:r>
      <w:hyperlink r:id="rId523">
        <w:r>
          <w:rPr>
            <w:rStyle w:val="Text1"/>
          </w:rPr>
          <w:t>address scope</w:t>
        </w:r>
      </w:hyperlink>
      <w:r>
        <w:t xml:space="preserve"> is unimportant.</w:t>
      </w:r>
    </w:p>
    <w:p>
      <w:bookmarkStart w:id="3962" w:name="Client_Server_Computing__The_pat"/>
      <w:pPr>
        <w:keepNext/>
        <w:pStyle w:val="Heading 2"/>
      </w:pPr>
      <w:r>
        <w:t>Client/Server Computing</w:t>
      </w:r>
      <w:bookmarkEnd w:id="3962"/>
    </w:p>
    <w:p>
      <w:pPr>
        <w:pStyle w:val="Normal"/>
      </w:pPr>
      <w:r>
        <w:t>The</w:t>
      </w:r>
      <w:r>
        <w:rPr>
          <w:rStyle w:val="Text111"/>
        </w:rPr>
        <w:bookmarkStart w:id="3963" w:name="BSIclserv18"/>
        <w:t/>
        <w:bookmarkEnd w:id="3963"/>
        <w:bookmarkStart w:id="3964" w:name="clsercomp18"/>
        <w:t/>
        <w:bookmarkEnd w:id="3964"/>
      </w:r>
      <w:r>
        <w:t xml:space="preserve"> pattern we discuss hereafter is usually referred to as </w:t>
      </w:r>
      <w:r>
        <w:rPr>
          <w:rStyle w:val="Text4"/>
        </w:rPr>
        <w:t>client/server</w:t>
      </w:r>
      <w:r>
        <w:t xml:space="preserve"> networking, where a </w:t>
      </w:r>
      <w:r>
        <w:rPr>
          <w:rStyle w:val="Text4"/>
        </w:rPr>
        <w:t>server</w:t>
      </w:r>
      <w:r>
        <w:t xml:space="preserve"> listens for traffic on a specific endpoint from </w:t>
      </w:r>
      <w:r>
        <w:rPr>
          <w:rStyle w:val="Text4"/>
        </w:rPr>
        <w:t>clients</w:t>
      </w:r>
      <w:r>
        <w:t xml:space="preserve"> requiring the service. We do not cover</w:t>
      </w:r>
      <w:r>
        <w:rPr>
          <w:rStyle w:val="Text111"/>
        </w:rPr>
        <w:bookmarkStart w:id="3965" w:name="idm45965177620592"/>
        <w:t/>
        <w:bookmarkEnd w:id="3965"/>
      </w:r>
      <w:r>
        <w:t xml:space="preserve"> </w:t>
      </w:r>
      <w:r>
        <w:rPr>
          <w:rStyle w:val="Text4"/>
        </w:rPr>
        <w:t>peer-to-peer</w:t>
      </w:r>
      <w:r>
        <w:t xml:space="preserve"> networking, which, lacking any central server, has to include the ability for peers to discover each other.</w:t>
      </w:r>
    </w:p>
    <w:p>
      <w:pPr>
        <w:pStyle w:val="Normal"/>
      </w:pPr>
      <w:r>
        <w:t>Most, though by no means all, network communication is performed using client/server techniques. The server listens for incoming traffic at a predetermined or advertised network endpoint. In the absence of such input, it does nothing, simply sitting there waiting for input from clients. Communication is somewhat different between connectionless and connection-oriented endpoints.</w:t>
      </w:r>
    </w:p>
    <w:p>
      <w:pPr>
        <w:pStyle w:val="Normal"/>
      </w:pPr>
      <w:r>
        <w:t>In</w:t>
      </w:r>
      <w:r>
        <w:rPr>
          <w:rStyle w:val="Text111"/>
        </w:rPr>
        <w:bookmarkStart w:id="3966" w:name="idm45965177618080"/>
        <w:t/>
        <w:bookmarkEnd w:id="3966"/>
      </w:r>
      <w:r>
        <w:t xml:space="preserve"> connectionless networking, such as via UDP, requests arrive at a server randomly and are dealt with immediately: a response is dispatched to the requester without delay. Each request is handled on its own, usually without reference to any communications that may previously have occurred between the two parties. Connectionless networking is well suited to short-term, stateless interactions such as those required by DNS or network booting.</w:t>
      </w:r>
    </w:p>
    <w:p>
      <w:pPr>
        <w:pStyle w:val="Normal"/>
      </w:pPr>
      <w:r>
        <w:t>In</w:t>
      </w:r>
      <w:r>
        <w:rPr>
          <w:rStyle w:val="Text111"/>
        </w:rPr>
        <w:bookmarkStart w:id="3967" w:name="idm45965177616208"/>
        <w:t/>
        <w:bookmarkEnd w:id="3967"/>
      </w:r>
      <w:r>
        <w:t xml:space="preserve"> connection-oriented networking, the client engages in an initial exchange with the server that effectively establishes a connection across a network pipeline between two processes (sometimes referred to as a</w:t>
      </w:r>
      <w:r>
        <w:rPr>
          <w:rStyle w:val="Text111"/>
        </w:rPr>
        <w:bookmarkStart w:id="3968" w:name="idm45965177614960"/>
        <w:t/>
        <w:bookmarkEnd w:id="3968"/>
      </w:r>
      <w:r>
        <w:t xml:space="preserve"> </w:t>
      </w:r>
      <w:hyperlink r:id="rId524">
        <w:r>
          <w:rPr>
            <w:rStyle w:val="Text24"/>
          </w:rPr>
          <w:t>virtual circuit</w:t>
        </w:r>
      </w:hyperlink>
      <w:r>
        <w:t xml:space="preserve">), across which the processes can communicate until both indicate their willingness to end the connection. In this case, serving needs to use parallelism (via a concurrency mechanism such as threads, processes, or asynchronicity: see </w:t>
      </w:r>
      <w:hyperlink w:anchor="Chapter_15__Concurrency__Threads_2">
        <w:r>
          <w:rPr>
            <w:rStyle w:val="Text1"/>
          </w:rPr>
          <w:t>Chapter 15</w:t>
        </w:r>
      </w:hyperlink>
      <w:r>
        <w:t xml:space="preserve">) to handle each incoming connection asynchronously or simultaneously. Without parallelism, the server would be unable to handle new incoming connections before earlier ones have terminated, since calls to socket methods normally </w:t>
      </w:r>
      <w:r>
        <w:rPr>
          <w:rStyle w:val="Text4"/>
        </w:rPr>
        <w:t>block</w:t>
      </w:r>
      <w:r>
        <w:t xml:space="preserve"> (meaning they pause the thread calling them until they terminate or time out). Connections are the best way to handle lengthy interactions such as mail exchanges, command-line shell interactions, or the transmission of web content, and offer automatic error detection and correction when they use TCP.</w:t>
      </w:r>
    </w:p>
    <w:p>
      <w:bookmarkStart w:id="3969" w:name="Connectionless_client_and_server"/>
      <w:pPr>
        <w:keepNext/>
        <w:pStyle w:val="Heading 2"/>
      </w:pPr>
      <w:r>
        <w:t>Connectionless client and server structures</w:t>
      </w:r>
      <w:bookmarkEnd w:id="3969"/>
    </w:p>
    <w:p>
      <w:pPr>
        <w:pStyle w:val="Normal"/>
      </w:pPr>
      <w:r>
        <w:t>The broad logic flow of a connectionless server proceeds as follows:</w:t>
      </w:r>
    </w:p>
    <w:p>
      <w:pPr>
        <w:pStyle w:val="Para 010"/>
      </w:pPr>
      <w:r>
        <w:t xml:space="preserve">Create a socket of type </w:t>
      </w:r>
      <w:r>
        <w:rPr>
          <w:rStyle w:val="Text0"/>
        </w:rPr>
        <w:t>socket.SOCK_DGRAM</w:t>
      </w:r>
      <w:r>
        <w:t xml:space="preserve"> by calling </w:t>
      </w:r>
      <w:r>
        <w:rPr>
          <w:rStyle w:val="Text0"/>
        </w:rPr>
        <w:t>socket.socket</w:t>
      </w:r>
      <w:r>
        <w:t>.</w:t>
      </w:r>
    </w:p>
    <w:p>
      <w:pPr>
        <w:pStyle w:val="Para 010"/>
      </w:pPr>
      <w:r>
        <w:t xml:space="preserve">Associate the socket with the service endpoint by calling the socket’s </w:t>
      </w:r>
      <w:r>
        <w:rPr>
          <w:rStyle w:val="Text0"/>
        </w:rPr>
        <w:t>bind</w:t>
      </w:r>
      <w:r>
        <w:t xml:space="preserve"> method.</w:t>
      </w:r>
    </w:p>
    <w:p>
      <w:pPr>
        <w:pStyle w:val="Para 010"/>
      </w:pPr>
      <w:r>
        <w:t xml:space="preserve">Repeat the following steps </w:t>
      </w:r>
      <w:r>
        <w:rPr>
          <w:rStyle w:val="Text4"/>
        </w:rPr>
        <w:t>ad infinitum</w:t>
      </w:r>
      <w:r>
        <w:t>:</w:t>
      </w:r>
    </w:p>
    <w:p>
      <w:pPr>
        <w:numPr>
          <w:ilvl w:val="0"/>
          <w:numId w:val="4"/>
        </w:numPr>
        <w:pStyle w:val="Para 010"/>
      </w:pPr>
      <w:r>
        <w:t xml:space="preserve">Request an incoming datagram from a client by calling the socket’s </w:t>
      </w:r>
      <w:r>
        <w:rPr>
          <w:rStyle w:val="Text0"/>
        </w:rPr>
        <w:t>recvfrom</w:t>
      </w:r>
      <w:r>
        <w:t xml:space="preserve"> method; this call blocks until a datagram is received.</w:t>
      </w:r>
    </w:p>
    <w:p>
      <w:pPr>
        <w:numPr>
          <w:ilvl w:val="0"/>
          <w:numId w:val="4"/>
        </w:numPr>
        <w:pStyle w:val="Para 010"/>
      </w:pPr>
      <w:r>
        <w:t>Compute or look up the result.</w:t>
      </w:r>
    </w:p>
    <w:p>
      <w:pPr>
        <w:numPr>
          <w:ilvl w:val="0"/>
          <w:numId w:val="4"/>
        </w:numPr>
        <w:pStyle w:val="Para 010"/>
      </w:pPr>
      <w:r>
        <w:t xml:space="preserve">Send the result back to the client by calling the socket’s </w:t>
      </w:r>
      <w:r>
        <w:rPr>
          <w:rStyle w:val="Text0"/>
        </w:rPr>
        <w:t>sendto</w:t>
      </w:r>
      <w:r>
        <w:t xml:space="preserve"> method.</w:t>
      </w:r>
    </w:p>
    <w:p>
      <w:pPr>
        <w:pStyle w:val="Normal"/>
      </w:pPr>
      <w:r>
        <w:t>The server spends most of its time in step 3a, awaiting input from clients.</w:t>
      </w:r>
    </w:p>
    <w:p>
      <w:pPr>
        <w:pStyle w:val="Normal"/>
      </w:pPr>
      <w:r>
        <w:t>A connectionless client’s interaction with the server proceeds as follows:</w:t>
      </w:r>
    </w:p>
    <w:p>
      <w:pPr>
        <w:pStyle w:val="Para 010"/>
      </w:pPr>
      <w:r>
        <w:t xml:space="preserve">Create a socket of type </w:t>
      </w:r>
      <w:r>
        <w:rPr>
          <w:rStyle w:val="Text0"/>
        </w:rPr>
        <w:t>socket.SOCK_DGRAM</w:t>
      </w:r>
      <w:r>
        <w:t xml:space="preserve"> by calling </w:t>
      </w:r>
      <w:r>
        <w:rPr>
          <w:rStyle w:val="Text0"/>
        </w:rPr>
        <w:t>socket.socket</w:t>
      </w:r>
      <w:r>
        <w:t>.</w:t>
      </w:r>
    </w:p>
    <w:p>
      <w:pPr>
        <w:pStyle w:val="Para 010"/>
      </w:pPr>
      <w:r>
        <w:t xml:space="preserve">Optionally, associate the socket with a specific endpoint by calling the socket’s </w:t>
      </w:r>
      <w:r>
        <w:rPr>
          <w:rStyle w:val="Text0"/>
        </w:rPr>
        <w:t>bind</w:t>
      </w:r>
      <w:r>
        <w:t xml:space="preserve"> method.</w:t>
      </w:r>
    </w:p>
    <w:p>
      <w:pPr>
        <w:pStyle w:val="Para 010"/>
      </w:pPr>
      <w:r>
        <w:t xml:space="preserve">Send a request to the server’s endpoint by calling the socket’s </w:t>
      </w:r>
      <w:r>
        <w:rPr>
          <w:rStyle w:val="Text0"/>
        </w:rPr>
        <w:t>sendto</w:t>
      </w:r>
      <w:r>
        <w:t xml:space="preserve"> method.</w:t>
      </w:r>
    </w:p>
    <w:p>
      <w:pPr>
        <w:pStyle w:val="Para 010"/>
      </w:pPr>
      <w:r>
        <w:t xml:space="preserve">Await the server reply by calling the socket’s </w:t>
      </w:r>
      <w:r>
        <w:rPr>
          <w:rStyle w:val="Text0"/>
        </w:rPr>
        <w:t>recvfrom</w:t>
      </w:r>
      <w:r>
        <w:t xml:space="preserve"> method; this call blocks until the response is received. It’s necessary to apply a </w:t>
      </w:r>
      <w:r>
        <w:rPr>
          <w:rStyle w:val="Text4"/>
        </w:rPr>
        <w:t>timeout</w:t>
      </w:r>
      <w:r>
        <w:t xml:space="preserve"> to this call, to handle the case where a datagram goes missing and the program must either retry or abort the attempt: connectionless sockets don’t guarantee delivery.</w:t>
      </w:r>
    </w:p>
    <w:p>
      <w:pPr>
        <w:pStyle w:val="Para 010"/>
      </w:pPr>
      <w:r>
        <w:t>Use the result in the remainder of the client program’s logic.</w:t>
      </w:r>
    </w:p>
    <w:p>
      <w:pPr>
        <w:pStyle w:val="Normal"/>
      </w:pPr>
      <w:r>
        <w:t xml:space="preserve">A single client program can perform several interactions with the same or multiple servers, depending on the services it needs to use. Many such interactions are hidden from the application programmer inside library code. A typical example is the resolution of a hostname to the appropriate network address, which commonly uses the </w:t>
      </w:r>
      <w:r>
        <w:rPr>
          <w:rStyle w:val="Text0"/>
        </w:rPr>
        <w:t>gethostbyname</w:t>
      </w:r>
      <w:r>
        <w:t xml:space="preserve"> library function (implemented in Python’s </w:t>
      </w:r>
      <w:r>
        <w:rPr>
          <w:rStyle w:val="Text0"/>
        </w:rPr>
        <w:t>socket</w:t>
      </w:r>
      <w:r>
        <w:t xml:space="preserve"> module, discussed shortly). Connectionless interactions normally involve sending a single packet to the server and receiving a single packet in response. The main exceptions involve </w:t>
      </w:r>
      <w:r>
        <w:rPr>
          <w:rStyle w:val="Text4"/>
        </w:rPr>
        <w:t>streaming</w:t>
      </w:r>
      <w:r>
        <w:t xml:space="preserve"> protocols such as the Real-time Transport Protocol (RTP),</w:t>
      </w:r>
      <w:hyperlink w:anchor="2_And_the_relatively_newfangled">
        <w:r>
          <w:rPr>
            <w:rStyle w:val="Text41"/>
          </w:rPr>
          <w:bookmarkStart w:id="3970" w:name="2_15"/>
          <w:t>2</w:t>
          <w:bookmarkEnd w:id="3970"/>
        </w:r>
      </w:hyperlink>
      <w:r>
        <w:t xml:space="preserve"> which are typically layered on top of UDP to minimize latency and delays: in streaming, many datagrams are sent and received.</w:t>
      </w:r>
    </w:p>
    <w:p>
      <w:bookmarkStart w:id="3971" w:name="Connection_oriented_client_and_s"/>
      <w:pPr>
        <w:keepNext/>
        <w:pStyle w:val="Heading 2"/>
      </w:pPr>
      <w:r>
        <w:t>Connection-oriented client and server structures</w:t>
      </w:r>
      <w:bookmarkEnd w:id="3971"/>
    </w:p>
    <w:p>
      <w:pPr>
        <w:pStyle w:val="Normal"/>
      </w:pPr>
      <w:r>
        <w:t>The broad flow of logic of a connection-oriented server is as follows:</w:t>
      </w:r>
    </w:p>
    <w:p>
      <w:pPr>
        <w:pStyle w:val="Para 010"/>
      </w:pPr>
      <w:r>
        <w:t xml:space="preserve">Create a socket of type </w:t>
      </w:r>
      <w:r>
        <w:rPr>
          <w:rStyle w:val="Text0"/>
        </w:rPr>
        <w:t>socket.SOCK_STREAM</w:t>
      </w:r>
      <w:r>
        <w:t xml:space="preserve"> by calling </w:t>
      </w:r>
      <w:r>
        <w:rPr>
          <w:rStyle w:val="Text0"/>
        </w:rPr>
        <w:t>socket.socket</w:t>
      </w:r>
      <w:r>
        <w:t>.</w:t>
      </w:r>
    </w:p>
    <w:p>
      <w:pPr>
        <w:pStyle w:val="Para 010"/>
      </w:pPr>
      <w:r>
        <w:t xml:space="preserve">Associate the socket with the appropriate server endpoint by calling the socket’s </w:t>
      </w:r>
      <w:r>
        <w:rPr>
          <w:rStyle w:val="Text0"/>
        </w:rPr>
        <w:t>bind</w:t>
      </w:r>
      <w:r>
        <w:t xml:space="preserve"> method.</w:t>
      </w:r>
    </w:p>
    <w:p>
      <w:pPr>
        <w:pStyle w:val="Para 010"/>
      </w:pPr>
      <w:r>
        <w:t xml:space="preserve">Start the endpoint listening for connection requests by calling the socket’s </w:t>
      </w:r>
      <w:r>
        <w:rPr>
          <w:rStyle w:val="Text0"/>
        </w:rPr>
        <w:t>listen</w:t>
      </w:r>
      <w:r>
        <w:t xml:space="preserve"> method.</w:t>
      </w:r>
    </w:p>
    <w:p>
      <w:pPr>
        <w:pStyle w:val="Para 010"/>
      </w:pPr>
      <w:r>
        <w:t xml:space="preserve">Repeat the following steps </w:t>
      </w:r>
      <w:r>
        <w:rPr>
          <w:rStyle w:val="Text4"/>
        </w:rPr>
        <w:t>ad infinitum</w:t>
      </w:r>
      <w:r>
        <w:t>:</w:t>
      </w:r>
    </w:p>
    <w:p>
      <w:pPr>
        <w:numPr>
          <w:ilvl w:val="0"/>
          <w:numId w:val="5"/>
        </w:numPr>
        <w:pStyle w:val="Para 010"/>
      </w:pPr>
      <w:r>
        <w:t xml:space="preserve">Await an incoming client connection by calling the socket’s </w:t>
      </w:r>
      <w:r>
        <w:rPr>
          <w:rStyle w:val="Text0"/>
        </w:rPr>
        <w:t>accept</w:t>
      </w:r>
      <w:r>
        <w:t xml:space="preserve"> method; the server process blocks until an incoming connection request is received. When such a request arrives, a new socket object is created whose other endpoint is the client program.</w:t>
      </w:r>
    </w:p>
    <w:p>
      <w:pPr>
        <w:numPr>
          <w:ilvl w:val="0"/>
          <w:numId w:val="5"/>
        </w:numPr>
        <w:pStyle w:val="Para 010"/>
      </w:pPr>
      <w:r>
        <w:t>Create a new control thread or process to handle this specific connection, passing it the newly created socket; the main thread of control then continues by looping back to step 4a.</w:t>
      </w:r>
    </w:p>
    <w:p>
      <w:pPr>
        <w:numPr>
          <w:ilvl w:val="0"/>
          <w:numId w:val="5"/>
        </w:numPr>
        <w:pStyle w:val="Para 010"/>
      </w:pPr>
      <w:r>
        <w:t xml:space="preserve">In the new control thread, interact with the client using the new socket’s </w:t>
      </w:r>
      <w:r>
        <w:rPr>
          <w:rStyle w:val="Text0"/>
        </w:rPr>
        <w:t>recv</w:t>
      </w:r>
      <w:r>
        <w:t xml:space="preserve"> and </w:t>
      </w:r>
      <w:r>
        <w:rPr>
          <w:rStyle w:val="Text0"/>
        </w:rPr>
        <w:t>send</w:t>
      </w:r>
      <w:r>
        <w:t xml:space="preserve"> methods, respectively, to read data from the client and send data to it. The </w:t>
      </w:r>
      <w:r>
        <w:rPr>
          <w:rStyle w:val="Text0"/>
        </w:rPr>
        <w:t>recv</w:t>
      </w:r>
      <w:r>
        <w:t xml:space="preserve"> method blocks until data is available from the client (or the client indicates it wishes to close the connection, in which case </w:t>
      </w:r>
      <w:r>
        <w:rPr>
          <w:rStyle w:val="Text0"/>
        </w:rPr>
        <w:t>recv</w:t>
      </w:r>
      <w:r>
        <w:t xml:space="preserve"> returns an empty result). The </w:t>
      </w:r>
      <w:r>
        <w:rPr>
          <w:rStyle w:val="Text0"/>
        </w:rPr>
        <w:t>send</w:t>
      </w:r>
      <w:r>
        <w:t xml:space="preserve"> method only blocks when the network software has so much data buffered that communication has to pause until the transport layer has emptied some of its buffer memory. When the server wishes to close the connection, it can do so by calling the socket’s </w:t>
      </w:r>
      <w:r>
        <w:rPr>
          <w:rStyle w:val="Text0"/>
        </w:rPr>
        <w:t>close</w:t>
      </w:r>
      <w:r>
        <w:t xml:space="preserve"> method, optionally calling its </w:t>
      </w:r>
      <w:r>
        <w:rPr>
          <w:rStyle w:val="Text0"/>
        </w:rPr>
        <w:t>shutdown</w:t>
      </w:r>
      <w:r>
        <w:t xml:space="preserve"> method first.</w:t>
      </w:r>
    </w:p>
    <w:p>
      <w:pPr>
        <w:pStyle w:val="Normal"/>
      </w:pPr>
      <w:r>
        <w:t>The server spends most of its time in step 4a, awaiting connection requests from clients.</w:t>
      </w:r>
    </w:p>
    <w:p>
      <w:pPr>
        <w:pStyle w:val="Normal"/>
      </w:pPr>
      <w:r>
        <w:t>A connection-oriented client’s overall logic is as follows:</w:t>
      </w:r>
    </w:p>
    <w:p>
      <w:pPr>
        <w:pStyle w:val="Para 010"/>
      </w:pPr>
      <w:r>
        <w:t xml:space="preserve">Create a socket of type </w:t>
      </w:r>
      <w:r>
        <w:rPr>
          <w:rStyle w:val="Text0"/>
        </w:rPr>
        <w:t>socket.SOCK_STREAM</w:t>
      </w:r>
      <w:r>
        <w:t xml:space="preserve"> by calling </w:t>
      </w:r>
      <w:r>
        <w:rPr>
          <w:rStyle w:val="Text0"/>
        </w:rPr>
        <w:t>socket.socket</w:t>
      </w:r>
      <w:r>
        <w:t>.</w:t>
      </w:r>
    </w:p>
    <w:p>
      <w:pPr>
        <w:pStyle w:val="Para 010"/>
      </w:pPr>
      <w:r>
        <w:t xml:space="preserve">Optionally, associate the socket with a specific endpoint by calling the socket’s </w:t>
      </w:r>
      <w:r>
        <w:rPr>
          <w:rStyle w:val="Text0"/>
        </w:rPr>
        <w:t>bind</w:t>
      </w:r>
      <w:r>
        <w:t xml:space="preserve"> method.</w:t>
      </w:r>
    </w:p>
    <w:p>
      <w:pPr>
        <w:pStyle w:val="Para 010"/>
      </w:pPr>
      <w:r>
        <w:t xml:space="preserve">Establish a connection to the server by calling the socket’s </w:t>
      </w:r>
      <w:r>
        <w:rPr>
          <w:rStyle w:val="Text0"/>
        </w:rPr>
        <w:t>connect</w:t>
      </w:r>
      <w:r>
        <w:t xml:space="preserve"> method.</w:t>
      </w:r>
    </w:p>
    <w:p>
      <w:pPr>
        <w:pStyle w:val="Para 010"/>
      </w:pPr>
      <w:r>
        <w:t xml:space="preserve">Interact with the server using the socket’s </w:t>
      </w:r>
      <w:r>
        <w:rPr>
          <w:rStyle w:val="Text0"/>
        </w:rPr>
        <w:t>recv</w:t>
      </w:r>
      <w:r>
        <w:t xml:space="preserve"> and </w:t>
      </w:r>
      <w:r>
        <w:rPr>
          <w:rStyle w:val="Text0"/>
        </w:rPr>
        <w:t>send</w:t>
      </w:r>
      <w:r>
        <w:t xml:space="preserve"> methods, respectively, to read data from the server and send data to it. The </w:t>
      </w:r>
      <w:r>
        <w:rPr>
          <w:rStyle w:val="Text0"/>
        </w:rPr>
        <w:t>recv</w:t>
      </w:r>
      <w:r>
        <w:t xml:space="preserve"> method blocks until data is available from the server (or the server indicates it wishes to close the connection, in which case the </w:t>
      </w:r>
      <w:r>
        <w:rPr>
          <w:rStyle w:val="Text0"/>
        </w:rPr>
        <w:t>recv</w:t>
      </w:r>
      <w:r>
        <w:t xml:space="preserve"> call returns an empty result). The </w:t>
      </w:r>
      <w:r>
        <w:rPr>
          <w:rStyle w:val="Text0"/>
        </w:rPr>
        <w:t>send</w:t>
      </w:r>
      <w:r>
        <w:t xml:space="preserve"> method only blocks when the network software has so much data buffered that communications have to pause until the transport layer has emptied some of its buffer memory. When the client wishes to close the connection, it can do so by calling the socket’s </w:t>
      </w:r>
      <w:r>
        <w:rPr>
          <w:rStyle w:val="Text0"/>
        </w:rPr>
        <w:t>close</w:t>
      </w:r>
      <w:r>
        <w:t xml:space="preserve"> method, optionally calling its </w:t>
      </w:r>
      <w:r>
        <w:rPr>
          <w:rStyle w:val="Text0"/>
        </w:rPr>
        <w:t>shutdown</w:t>
      </w:r>
      <w:r>
        <w:t xml:space="preserve"> method first.</w:t>
      </w:r>
    </w:p>
    <w:p>
      <w:pPr>
        <w:pStyle w:val="Normal"/>
      </w:pPr>
      <w:r>
        <w:t>Connection-oriented interactions tend to be more complex than connectionless ones. Specifically, determining when to read and write data is more complicated, because inputs must be parsed to determine when a transmission from the other end of the socket is complete. The higher-layer protocols used in connection-oriented networking accommodate this determination; sometimes this is done by indicating the data length as a part of the content, sometimes by more sophisticated methods.</w:t>
      </w:r>
      <w:r>
        <w:rPr>
          <w:rStyle w:val="Text111"/>
        </w:rPr>
        <w:bookmarkStart w:id="3972" w:name="idm45965177551280"/>
        <w:t/>
        <w:bookmarkEnd w:id="3972"/>
        <w:bookmarkStart w:id="3973" w:name="idm45965177549904"/>
        <w:t/>
        <w:bookmarkEnd w:id="3973"/>
      </w:r>
    </w:p>
    <w:p>
      <w:bookmarkStart w:id="3974" w:name="The_socket_Module__Python_s_sock"/>
      <w:pPr>
        <w:keepNext/>
        <w:pStyle w:val="Heading 2"/>
      </w:pPr>
      <w:r>
        <w:t>The socket Module</w:t>
      </w:r>
      <w:bookmarkEnd w:id="3974"/>
    </w:p>
    <w:p>
      <w:pPr>
        <w:pStyle w:val="Normal"/>
      </w:pPr>
      <w:r>
        <w:t xml:space="preserve">Python’s </w:t>
      </w:r>
      <w:r>
        <w:rPr>
          <w:rStyle w:val="Text0"/>
        </w:rPr>
        <w:t>socket</w:t>
      </w:r>
      <w:r>
        <w:t xml:space="preserve"> module</w:t>
      </w:r>
      <w:r>
        <w:rPr>
          <w:rStyle w:val="Text111"/>
        </w:rPr>
        <w:bookmarkStart w:id="3975" w:name="BSIsmod18"/>
        <w:t/>
        <w:bookmarkEnd w:id="3975"/>
        <w:bookmarkStart w:id="3976" w:name="socmod18"/>
        <w:t/>
        <w:bookmarkEnd w:id="3976"/>
        <w:bookmarkStart w:id="3977" w:name="idm45965177542720"/>
        <w:t/>
        <w:bookmarkEnd w:id="3977"/>
        <w:bookmarkStart w:id="3978" w:name="iskey18"/>
        <w:t/>
        <w:bookmarkEnd w:id="3978"/>
      </w:r>
      <w:r>
        <w:t xml:space="preserve"> handles networking with the socket interface. There are minor differences between platforms, but the module hides most of them, making it relatively easy to write portable networking applications.</w:t>
      </w:r>
    </w:p>
    <w:p>
      <w:pPr>
        <w:pStyle w:val="Normal"/>
      </w:pPr>
      <w:r>
        <w:t xml:space="preserve">The module defines three exception classes, all subclasses of the built-in exception class </w:t>
      </w:r>
      <w:r>
        <w:rPr>
          <w:rStyle w:val="Text0"/>
        </w:rPr>
        <w:t>OSError</w:t>
      </w:r>
      <w:r>
        <w:t xml:space="preserve"> (see </w:t>
      </w:r>
      <w:hyperlink w:anchor="Table_18_1__socket_module_except">
        <w:r>
          <w:rPr>
            <w:rStyle w:val="Text1"/>
          </w:rPr>
          <w:t>Table 18-1</w:t>
        </w:r>
      </w:hyperlink>
      <w:r>
        <w:t>).</w:t>
      </w:r>
    </w:p>
    <w:tbl>
      <w:tblPr>
        <w:tblW w:type="auto" w:w="0"/>
      </w:tblPr>
      <w:tr>
        <w:tc>
          <w:tcPr>
            <w:tcW w:type="auto" w:w="0"/>
            <w:tcMar>
              <w:left w:type="dxa" w:w="200"/>
              <w:top w:type="dxa" w:w="200"/>
              <w:right w:type="dxa" w:w="200"/>
              <w:bottom w:type="dxa" w:w="200"/>
            </w:tcMar>
          </w:tcPr>
          <w:p>
            <w:bookmarkStart w:id="3979" w:name="Table_18_1__socket_module_except"/>
            <w:pPr>
              <w:pStyle w:val="Para 011"/>
            </w:pPr>
            <w:r>
              <w:rPr>
                <w:rStyle w:val="Text117"/>
              </w:rPr>
              <w:t/>
            </w:r>
            <w:r>
              <w:t xml:space="preserve">Table 18-1. </w:t>
            </w:r>
            <w:r>
              <w:rPr>
                <w:rStyle w:val="Text0"/>
              </w:rPr>
              <w:t>socket</w:t>
            </w:r>
            <w:r>
              <w:t xml:space="preserve"> module exception classes</w:t>
            </w:r>
            <w:bookmarkEnd w:id="3979"/>
          </w:p>
          <w:p>
            <w:pPr>
              <w:pStyle w:val="Para 001"/>
            </w:pPr>
            <w:r>
              <w:t>herror</w:t>
            </w:r>
          </w:p>
        </w:tc>
        <w:tc>
          <w:tcPr>
            <w:tcW w:type="auto" w:w="0"/>
            <w:tcMar>
              <w:left w:type="dxa" w:w="200"/>
              <w:top w:type="dxa" w:w="200"/>
              <w:right w:type="dxa" w:w="200"/>
              <w:bottom w:type="dxa" w:w="200"/>
            </w:tcMar>
          </w:tcPr>
          <w:p>
            <w:pPr>
              <w:pStyle w:val="Para 002"/>
            </w:pPr>
            <w:r>
              <w:t xml:space="preserve">Identifies hostname resolution errors: e.g., </w:t>
            </w:r>
            <w:r>
              <w:rPr>
                <w:rStyle w:val="Text0"/>
              </w:rPr>
              <w:t>socket.gethostbyname</w:t>
            </w:r>
            <w:r>
              <w:t xml:space="preserve"> cannot convert a name to a network address, or </w:t>
            </w:r>
            <w:r>
              <w:rPr>
                <w:rStyle w:val="Text0"/>
              </w:rPr>
              <w:t>socket.gethostbyaddr</w:t>
            </w:r>
            <w:r>
              <w:t xml:space="preserve"> can find no hostname for a network address. The accompanying value is a two-element tuple </w:t>
            </w:r>
            <w:r>
              <w:rPr>
                <w:rStyle w:val="Text0"/>
              </w:rPr>
              <w:t>(</w:t>
            </w:r>
            <w:r>
              <w:rPr>
                <w:rStyle w:val="Text3"/>
              </w:rPr>
              <w:t>h_errno</w:t>
            </w:r>
            <w:r>
              <w:rPr>
                <w:rStyle w:val="Text0"/>
              </w:rPr>
              <w:t>,</w:t>
            </w:r>
            <w:r>
              <w:t xml:space="preserve"> </w:t>
            </w:r>
            <w:r>
              <w:rPr>
                <w:rStyle w:val="Text3"/>
              </w:rPr>
              <w:t>string</w:t>
            </w:r>
            <w:r>
              <w:rPr>
                <w:rStyle w:val="Text0"/>
              </w:rPr>
              <w:t>)</w:t>
            </w:r>
            <w:r>
              <w:t xml:space="preserve">, where </w:t>
            </w:r>
            <w:r>
              <w:rPr>
                <w:rStyle w:val="Text3"/>
              </w:rPr>
              <w:t>h_errno</w:t>
            </w:r>
            <w:r>
              <w:t xml:space="preserve"> is the integer error number from the operating system, and </w:t>
            </w:r>
            <w:r>
              <w:rPr>
                <w:rStyle w:val="Text3"/>
              </w:rPr>
              <w:t>string</w:t>
            </w:r>
            <w:r>
              <w:t xml:space="preserve"> is a description of the error.</w:t>
            </w:r>
          </w:p>
        </w:tc>
      </w:tr>
    </w:tbl>
    <w:tbl>
      <w:tblPr>
        <w:tblW w:type="auto" w:w="0"/>
      </w:tblPr>
      <w:tr>
        <w:tc>
          <w:tcPr>
            <w:tcW w:type="auto" w:w="0"/>
            <w:shd w:val="clear" w:color="auto" w:fill="EEF2F6"/>
            <w:tcMar>
              <w:left w:type="dxa" w:w="200"/>
              <w:top w:type="dxa" w:w="200"/>
              <w:right w:type="dxa" w:w="200"/>
              <w:bottom w:type="dxa" w:w="200"/>
            </w:tcMar>
          </w:tcPr>
          <w:p>
            <w:pPr>
              <w:pStyle w:val="Para 001"/>
            </w:pPr>
            <w:r>
              <w:t>gaierror</w:t>
            </w:r>
          </w:p>
        </w:tc>
        <w:tc>
          <w:tcPr>
            <w:tcW w:type="auto" w:w="0"/>
            <w:shd w:val="clear" w:color="auto" w:fill="EEF2F6"/>
            <w:tcMar>
              <w:left w:type="dxa" w:w="200"/>
              <w:top w:type="dxa" w:w="200"/>
              <w:right w:type="dxa" w:w="200"/>
              <w:bottom w:type="dxa" w:w="200"/>
            </w:tcMar>
          </w:tcPr>
          <w:p>
            <w:pPr>
              <w:pStyle w:val="Para 002"/>
            </w:pPr>
            <w:r>
              <w:t xml:space="preserve">Identifies addressing errors encountered in </w:t>
            </w:r>
            <w:r>
              <w:rPr>
                <w:rStyle w:val="Text0"/>
              </w:rPr>
              <w:t>socket.getaddrinfo</w:t>
            </w:r>
            <w:r>
              <w:t xml:space="preserve"> or </w:t>
            </w:r>
            <w:r>
              <w:rPr>
                <w:rStyle w:val="Text0"/>
              </w:rPr>
              <w:t>socket.getnameinfo</w:t>
            </w:r>
            <w:r>
              <w:t>.</w:t>
            </w:r>
          </w:p>
        </w:tc>
      </w:tr>
    </w:tbl>
    <w:tbl>
      <w:tblPr>
        <w:tblW w:type="auto" w:w="0"/>
      </w:tblPr>
      <w:tr>
        <w:tc>
          <w:tcPr>
            <w:tcW w:type="auto" w:w="0"/>
            <w:tcMar>
              <w:left w:type="dxa" w:w="200"/>
              <w:top w:type="dxa" w:w="200"/>
              <w:right w:type="dxa" w:w="200"/>
              <w:bottom w:type="dxa" w:w="200"/>
            </w:tcMar>
          </w:tcPr>
          <w:p>
            <w:pPr>
              <w:pStyle w:val="Para 001"/>
            </w:pPr>
            <w:r>
              <w:t>timeout</w:t>
            </w:r>
          </w:p>
        </w:tc>
        <w:tc>
          <w:tcPr>
            <w:tcW w:type="auto" w:w="0"/>
            <w:tcMar>
              <w:left w:type="dxa" w:w="200"/>
              <w:top w:type="dxa" w:w="200"/>
              <w:right w:type="dxa" w:w="200"/>
              <w:bottom w:type="dxa" w:w="200"/>
            </w:tcMar>
          </w:tcPr>
          <w:p>
            <w:pPr>
              <w:pStyle w:val="Para 002"/>
            </w:pPr>
            <w:r>
              <w:t xml:space="preserve">Raised when an operation takes longer than the timeout limit (as per </w:t>
            </w:r>
            <w:r>
              <w:rPr>
                <w:rStyle w:val="Text0"/>
              </w:rPr>
              <w:t>socket.setdefaulttimeout</w:t>
            </w:r>
            <w:r>
              <w:t>, overridable on a per-socket basis).</w:t>
            </w:r>
          </w:p>
        </w:tc>
      </w:tr>
    </w:tbl>
    <w:p>
      <w:pPr>
        <w:pStyle w:val="Normal"/>
      </w:pPr>
      <w:r>
        <w:t>The module defines many constants. The most important of these are the address families (</w:t>
      </w:r>
      <w:r>
        <w:rPr>
          <w:rStyle w:val="Text0"/>
        </w:rPr>
        <w:t>AF_*</w:t>
      </w:r>
      <w:r>
        <w:t>) and the socket types (</w:t>
      </w:r>
      <w:r>
        <w:rPr>
          <w:rStyle w:val="Text0"/>
        </w:rPr>
        <w:t>SOCK_*</w:t>
      </w:r>
      <w:r>
        <w:t xml:space="preserve">) listed in </w:t>
      </w:r>
      <w:hyperlink w:anchor="Table_18_2__Important_constants">
        <w:r>
          <w:rPr>
            <w:rStyle w:val="Text1"/>
          </w:rPr>
          <w:t>Table 18-2</w:t>
        </w:r>
      </w:hyperlink>
      <w:r>
        <w:t xml:space="preserve">, members of </w:t>
      </w:r>
      <w:r>
        <w:rPr>
          <w:rStyle w:val="Text0"/>
        </w:rPr>
        <w:t>IntEnum</w:t>
      </w:r>
      <w:r>
        <w:t xml:space="preserve"> collections. The module also defines many other constants used to set socket options, but the documentation does not define them fully: to use them you must be familiar with documentation for the C sockets library and system calls.</w:t>
      </w:r>
    </w:p>
    <w:tbl>
      <w:tblPr>
        <w:tblW w:type="auto" w:w="0"/>
      </w:tblPr>
      <w:tr>
        <w:tc>
          <w:tcPr>
            <w:tcW w:type="auto" w:w="0"/>
            <w:tcMar>
              <w:left w:type="dxa" w:w="200"/>
              <w:top w:type="dxa" w:w="200"/>
              <w:right w:type="dxa" w:w="200"/>
              <w:bottom w:type="dxa" w:w="200"/>
            </w:tcMar>
          </w:tcPr>
          <w:p>
            <w:bookmarkStart w:id="3980" w:name="Table_18_2__Important_constants"/>
            <w:pPr>
              <w:pStyle w:val="Para 011"/>
            </w:pPr>
            <w:r>
              <w:rPr>
                <w:rStyle w:val="Text117"/>
              </w:rPr>
              <w:t/>
            </w:r>
            <w:r>
              <w:t xml:space="preserve">Table 18-2. </w:t>
              <w:t xml:space="preserve">Important constants defined in the </w:t>
            </w:r>
            <w:r>
              <w:rPr>
                <w:rStyle w:val="Text0"/>
              </w:rPr>
              <w:t>socket</w:t>
            </w:r>
            <w:r>
              <w:t xml:space="preserve"> module</w:t>
            </w:r>
            <w:bookmarkEnd w:id="3980"/>
          </w:p>
          <w:p>
            <w:pPr>
              <w:pStyle w:val="Para 001"/>
            </w:pPr>
            <w:r>
              <w:t>AF_BLUETOOTH</w:t>
            </w:r>
          </w:p>
        </w:tc>
        <w:tc>
          <w:tcPr>
            <w:tcW w:type="auto" w:w="0"/>
            <w:tcMar>
              <w:left w:type="dxa" w:w="200"/>
              <w:top w:type="dxa" w:w="200"/>
              <w:right w:type="dxa" w:w="200"/>
              <w:bottom w:type="dxa" w:w="200"/>
            </w:tcMar>
          </w:tcPr>
          <w:p>
            <w:pPr>
              <w:pStyle w:val="Para 002"/>
            </w:pPr>
            <w:r>
              <w:t>Used to create sockets of the Bluetooth address family, used in mobile and Personal Area Network (PAN) applications.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AF_CAN</w:t>
            </w:r>
          </w:p>
        </w:tc>
        <w:tc>
          <w:tcPr>
            <w:tcW w:type="auto" w:w="0"/>
            <w:shd w:val="clear" w:color="auto" w:fill="EEF2F6"/>
            <w:tcMar>
              <w:left w:type="dxa" w:w="200"/>
              <w:top w:type="dxa" w:w="200"/>
              <w:right w:type="dxa" w:w="200"/>
              <w:bottom w:type="dxa" w:w="200"/>
            </w:tcMar>
          </w:tcPr>
          <w:p>
            <w:pPr>
              <w:pStyle w:val="Para 002"/>
            </w:pPr>
            <w:r>
              <w:t>Used to create sockets for the Controller Area Network (CAN) address family, widely used in automation, automotive, and embedded device applications.</w:t>
            </w:r>
          </w:p>
        </w:tc>
      </w:tr>
    </w:tbl>
    <w:tbl>
      <w:tblPr>
        <w:tblW w:type="auto" w:w="0"/>
      </w:tblPr>
      <w:tr>
        <w:tc>
          <w:tcPr>
            <w:tcW w:type="auto" w:w="0"/>
            <w:tcMar>
              <w:left w:type="dxa" w:w="200"/>
              <w:top w:type="dxa" w:w="200"/>
              <w:right w:type="dxa" w:w="200"/>
              <w:bottom w:type="dxa" w:w="200"/>
            </w:tcMar>
          </w:tcPr>
          <w:p>
            <w:pPr>
              <w:pStyle w:val="Para 001"/>
            </w:pPr>
            <w:r>
              <w:t>AF_INET</w:t>
            </w:r>
          </w:p>
        </w:tc>
        <w:tc>
          <w:tcPr>
            <w:tcW w:type="auto" w:w="0"/>
            <w:tcMar>
              <w:left w:type="dxa" w:w="200"/>
              <w:top w:type="dxa" w:w="200"/>
              <w:right w:type="dxa" w:w="200"/>
              <w:bottom w:type="dxa" w:w="200"/>
            </w:tcMar>
          </w:tcPr>
          <w:p>
            <w:pPr>
              <w:pStyle w:val="Para 002"/>
            </w:pPr>
            <w:r>
              <w:t>Used to create sockets of the IPv4 address family.</w:t>
            </w:r>
          </w:p>
        </w:tc>
      </w:tr>
    </w:tbl>
    <w:tbl>
      <w:tblPr>
        <w:tblW w:type="auto" w:w="0"/>
      </w:tblPr>
      <w:tr>
        <w:tc>
          <w:tcPr>
            <w:tcW w:type="auto" w:w="0"/>
            <w:shd w:val="clear" w:color="auto" w:fill="EEF2F6"/>
            <w:tcMar>
              <w:left w:type="dxa" w:w="200"/>
              <w:top w:type="dxa" w:w="200"/>
              <w:right w:type="dxa" w:w="200"/>
              <w:bottom w:type="dxa" w:w="200"/>
            </w:tcMar>
          </w:tcPr>
          <w:p>
            <w:pPr>
              <w:pStyle w:val="Para 001"/>
            </w:pPr>
            <w:r>
              <w:t>AF_INET6</w:t>
            </w:r>
          </w:p>
        </w:tc>
        <w:tc>
          <w:tcPr>
            <w:tcW w:type="auto" w:w="0"/>
            <w:shd w:val="clear" w:color="auto" w:fill="EEF2F6"/>
            <w:tcMar>
              <w:left w:type="dxa" w:w="200"/>
              <w:top w:type="dxa" w:w="200"/>
              <w:right w:type="dxa" w:w="200"/>
              <w:bottom w:type="dxa" w:w="200"/>
            </w:tcMar>
          </w:tcPr>
          <w:p>
            <w:pPr>
              <w:pStyle w:val="Para 002"/>
            </w:pPr>
            <w:r>
              <w:t>Used to create sockets of the IPv6 address family.</w:t>
            </w:r>
          </w:p>
        </w:tc>
      </w:tr>
    </w:tbl>
    <w:tbl>
      <w:tblPr>
        <w:tblW w:type="auto" w:w="0"/>
      </w:tblPr>
      <w:tr>
        <w:tc>
          <w:tcPr>
            <w:tcW w:type="auto" w:w="0"/>
            <w:tcMar>
              <w:left w:type="dxa" w:w="200"/>
              <w:top w:type="dxa" w:w="200"/>
              <w:right w:type="dxa" w:w="200"/>
              <w:bottom w:type="dxa" w:w="200"/>
            </w:tcMar>
          </w:tcPr>
          <w:p>
            <w:pPr>
              <w:pStyle w:val="Para 001"/>
            </w:pPr>
            <w:r>
              <w:t>AF_UNIX</w:t>
            </w:r>
          </w:p>
        </w:tc>
        <w:tc>
          <w:tcPr>
            <w:tcW w:type="auto" w:w="0"/>
            <w:tcMar>
              <w:left w:type="dxa" w:w="200"/>
              <w:top w:type="dxa" w:w="200"/>
              <w:right w:type="dxa" w:w="200"/>
              <w:bottom w:type="dxa" w:w="200"/>
            </w:tcMar>
          </w:tcPr>
          <w:p>
            <w:pPr>
              <w:pStyle w:val="Para 002"/>
            </w:pPr>
            <w:r>
              <w:t>Used to create sockets of the Unix address family. This constant is only defined on platforms that make Unix sockets available.</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SOCK_DGRAM</w:t>
            </w:r>
          </w:p>
        </w:tc>
        <w:tc>
          <w:tcPr>
            <w:tcW w:type="auto" w:w="0"/>
            <w:shd w:val="clear" w:color="auto" w:fill="EEF2F6"/>
            <w:tcMar>
              <w:left w:type="dxa" w:w="200"/>
              <w:top w:type="dxa" w:w="200"/>
              <w:right w:type="dxa" w:w="200"/>
              <w:bottom w:type="dxa" w:w="200"/>
            </w:tcMar>
          </w:tcPr>
          <w:p>
            <w:pPr>
              <w:pStyle w:val="Para 002"/>
            </w:pPr>
            <w:r>
              <w:t>Used to create connectionless sockets, which provide best-effort message delivery without connection capabilities or error detection.</w:t>
            </w:r>
          </w:p>
        </w:tc>
      </w:tr>
    </w:tbl>
    <w:tbl>
      <w:tblPr>
        <w:tblW w:type="auto" w:w="0"/>
      </w:tblPr>
      <w:tr>
        <w:tc>
          <w:tcPr>
            <w:tcW w:type="auto" w:w="0"/>
            <w:tcMar>
              <w:left w:type="dxa" w:w="200"/>
              <w:top w:type="dxa" w:w="200"/>
              <w:right w:type="dxa" w:w="200"/>
              <w:bottom w:type="dxa" w:w="200"/>
            </w:tcMar>
          </w:tcPr>
          <w:p>
            <w:pPr>
              <w:pStyle w:val="Para 001"/>
            </w:pPr>
            <w:r>
              <w:t>SOCK_RAW</w:t>
            </w:r>
          </w:p>
        </w:tc>
        <w:tc>
          <w:tcPr>
            <w:tcW w:type="auto" w:w="0"/>
            <w:tcMar>
              <w:left w:type="dxa" w:w="200"/>
              <w:top w:type="dxa" w:w="200"/>
              <w:right w:type="dxa" w:w="200"/>
              <w:bottom w:type="dxa" w:w="200"/>
            </w:tcMar>
          </w:tcPr>
          <w:p>
            <w:pPr>
              <w:pStyle w:val="Para 002"/>
            </w:pPr>
            <w:r>
              <w:t>Used to create sockets that give direct access to the link layer drivers; typically used to implement lower-level network features.</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SOCK_RDM</w:t>
            </w:r>
          </w:p>
        </w:tc>
        <w:tc>
          <w:tcPr>
            <w:tcW w:type="auto" w:w="0"/>
            <w:shd w:val="clear" w:color="auto" w:fill="EEF2F6"/>
            <w:tcMar>
              <w:left w:type="dxa" w:w="200"/>
              <w:top w:type="dxa" w:w="200"/>
              <w:right w:type="dxa" w:w="200"/>
              <w:bottom w:type="dxa" w:w="200"/>
            </w:tcMar>
          </w:tcPr>
          <w:p>
            <w:pPr>
              <w:pStyle w:val="Para 002"/>
            </w:pPr>
            <w:r>
              <w:t>Used to create reliable connectionless message sockets used in the Transparent Inter Process Communication (TIPC) protocol.</w:t>
            </w:r>
          </w:p>
        </w:tc>
      </w:tr>
    </w:tbl>
    <w:tbl>
      <w:tblPr>
        <w:tblW w:type="auto" w:w="0"/>
      </w:tblPr>
      <w:tr>
        <w:tc>
          <w:tcPr>
            <w:tcW w:type="auto" w:w="0"/>
            <w:tcMar>
              <w:left w:type="dxa" w:w="200"/>
              <w:top w:type="dxa" w:w="200"/>
              <w:right w:type="dxa" w:w="200"/>
              <w:bottom w:type="dxa" w:w="200"/>
            </w:tcMar>
          </w:tcPr>
          <w:p>
            <w:pPr>
              <w:pStyle w:val="Para 001"/>
            </w:pPr>
            <w:r>
              <w:t>SOCK_SEQPACKET</w:t>
            </w:r>
          </w:p>
        </w:tc>
        <w:tc>
          <w:tcPr>
            <w:tcW w:type="auto" w:w="0"/>
            <w:tcMar>
              <w:left w:type="dxa" w:w="200"/>
              <w:top w:type="dxa" w:w="200"/>
              <w:right w:type="dxa" w:w="200"/>
              <w:bottom w:type="dxa" w:w="200"/>
            </w:tcMar>
          </w:tcPr>
          <w:p>
            <w:pPr>
              <w:pStyle w:val="Para 002"/>
            </w:pPr>
            <w:r>
              <w:t>Used to create reliable connection-oriented message sockets used in the TIPC protocol.</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SOCK_STREAM</w:t>
            </w:r>
          </w:p>
        </w:tc>
        <w:tc>
          <w:tcPr>
            <w:tcW w:type="auto" w:w="0"/>
            <w:shd w:val="clear" w:color="auto" w:fill="EEF2F6"/>
            <w:tcMar>
              <w:left w:type="dxa" w:w="200"/>
              <w:top w:type="dxa" w:w="200"/>
              <w:right w:type="dxa" w:w="200"/>
              <w:bottom w:type="dxa" w:w="200"/>
            </w:tcMar>
          </w:tcPr>
          <w:p>
            <w:pPr>
              <w:pStyle w:val="Para 002"/>
            </w:pPr>
            <w:r>
              <w:t>Used to create connection-oriented sockets, which provide full error detection and correction facilities.</w:t>
            </w:r>
          </w:p>
        </w:tc>
      </w:tr>
    </w:tbl>
    <w:p>
      <w:pPr>
        <w:pStyle w:val="Normal"/>
      </w:pPr>
      <w:r>
        <w:t xml:space="preserve">The module defines many functions to create sockets, manipulate address information, and assist with standard representations of data. We do not cover all of them in this book, as the socket module’s </w:t>
      </w:r>
      <w:hyperlink r:id="rId525">
        <w:r>
          <w:rPr>
            <w:rStyle w:val="Text1"/>
          </w:rPr>
          <w:t>documentation</w:t>
        </w:r>
      </w:hyperlink>
      <w:r>
        <w:t xml:space="preserve"> is fairly comprehensive; we deal only with those that are essential in writing networked applications.</w:t>
      </w:r>
    </w:p>
    <w:p>
      <w:pPr>
        <w:pStyle w:val="Normal"/>
      </w:pPr>
      <w:r>
        <w:t xml:space="preserve">The </w:t>
      </w:r>
      <w:r>
        <w:rPr>
          <w:rStyle w:val="Text0"/>
        </w:rPr>
        <w:t>socket</w:t>
      </w:r>
      <w:r>
        <w:t xml:space="preserve"> module contains many functions, most of which are only used in specific situations. For example, when communication takes place between network endpoints, the computers at either end might have architectural differences and represent the same data in different ways, so there are functions to handle translation of a limited number of data types to and from a network-neutral form. </w:t>
      </w:r>
      <w:hyperlink w:anchor="Table_18_3__Useful_functions_of">
        <w:r>
          <w:rPr>
            <w:rStyle w:val="Text1"/>
          </w:rPr>
          <w:t>Table 18-3</w:t>
        </w:r>
      </w:hyperlink>
      <w:r>
        <w:t xml:space="preserve"> lists a few of the more generally applicable functions this module provides.</w:t>
      </w:r>
    </w:p>
    <w:tbl>
      <w:tblPr>
        <w:tblW w:type="auto" w:w="0"/>
      </w:tblPr>
      <w:tr>
        <w:tc>
          <w:tcPr>
            <w:tcW w:type="auto" w:w="0"/>
            <w:tcMar>
              <w:left w:type="dxa" w:w="200"/>
              <w:top w:type="dxa" w:w="200"/>
              <w:right w:type="dxa" w:w="200"/>
              <w:bottom w:type="dxa" w:w="200"/>
            </w:tcMar>
          </w:tcPr>
          <w:p>
            <w:bookmarkStart w:id="3981" w:name="Table_18_3__Useful_functions_of"/>
            <w:pPr>
              <w:pStyle w:val="Para 011"/>
            </w:pPr>
            <w:r>
              <w:rPr>
                <w:rStyle w:val="Text117"/>
              </w:rPr>
              <w:t/>
            </w:r>
            <w:r>
              <w:t xml:space="preserve">Table 18-3. </w:t>
              <w:t xml:space="preserve">Useful functions of the </w:t>
            </w:r>
            <w:r>
              <w:rPr>
                <w:rStyle w:val="Text0"/>
              </w:rPr>
              <w:t>socket</w:t>
            </w:r>
            <w:r>
              <w:t xml:space="preserve"> module</w:t>
            </w:r>
            <w:bookmarkEnd w:id="3981"/>
          </w:p>
          <w:p>
            <w:pPr>
              <w:pStyle w:val="Para 001"/>
            </w:pPr>
            <w:r>
              <w:t>getaddrinfo</w:t>
            </w:r>
          </w:p>
        </w:tc>
        <w:tc>
          <w:tcPr>
            <w:tcW w:type="auto" w:w="0"/>
            <w:tcMar>
              <w:left w:type="dxa" w:w="200"/>
              <w:top w:type="dxa" w:w="200"/>
              <w:right w:type="dxa" w:w="200"/>
              <w:bottom w:type="dxa" w:w="200"/>
            </w:tcMar>
          </w:tcPr>
          <w:p>
            <w:pPr>
              <w:pStyle w:val="Para 002"/>
            </w:pPr>
            <w:r>
              <w:rPr>
                <w:rStyle w:val="Text0"/>
              </w:rPr>
              <w:t>socket.getaddrinfo(</w:t>
            </w:r>
            <w:r>
              <w:rPr>
                <w:rStyle w:val="Text3"/>
              </w:rPr>
              <w:t>host</w:t>
            </w:r>
            <w:r>
              <w:rPr>
                <w:rStyle w:val="Text0"/>
              </w:rPr>
              <w:t>,</w:t>
            </w:r>
            <w:r>
              <w:t xml:space="preserve"> </w:t>
            </w:r>
            <w:r>
              <w:rPr>
                <w:rStyle w:val="Text3"/>
              </w:rPr>
              <w:t>port</w:t>
            </w:r>
            <w:r>
              <w:rPr>
                <w:rStyle w:val="Text0"/>
              </w:rPr>
              <w:t>, family=0, type=0, proto=0, flags=0)</w:t>
              <w:br w:clear="none"/>
            </w:r>
            <w:r>
              <w:t xml:space="preserve"> Takes a </w:t>
            </w:r>
            <w:r>
              <w:rPr>
                <w:rStyle w:val="Text3"/>
              </w:rPr>
              <w:t>host</w:t>
            </w:r>
            <w:r>
              <w:t xml:space="preserve"> and </w:t>
            </w:r>
            <w:r>
              <w:rPr>
                <w:rStyle w:val="Text3"/>
              </w:rPr>
              <w:t>port</w:t>
            </w:r>
            <w:r>
              <w:t xml:space="preserve"> and returns a list of five-item tuples of the form </w:t>
            </w:r>
            <w:r>
              <w:rPr>
                <w:rStyle w:val="Text0"/>
              </w:rPr>
              <w:t>(family, type, proto,</w:t>
            </w:r>
            <w:r>
              <w:t xml:space="preserve"> </w:t>
            </w:r>
            <w:r>
              <w:rPr>
                <w:rStyle w:val="Text3"/>
              </w:rPr>
              <w:t>canonical_name, socket</w:t>
            </w:r>
            <w:r>
              <w:rPr>
                <w:rStyle w:val="Text0"/>
              </w:rPr>
              <w:t>)</w:t>
            </w:r>
            <w:r>
              <w:t xml:space="preserve"> usable to create a socket connection to a specific service. </w:t>
            </w:r>
            <w:r>
              <w:rPr>
                <w:rStyle w:val="Text3"/>
              </w:rPr>
              <w:t>canonical_name</w:t>
            </w:r>
            <w:r>
              <w:t xml:space="preserve"> is an empty string unless the </w:t>
            </w:r>
            <w:r>
              <w:rPr>
                <w:rStyle w:val="Text0"/>
              </w:rPr>
              <w:t>socket.AI_CANONNAME</w:t>
            </w:r>
            <w:r>
              <w:t xml:space="preserve"> bit is set in the </w:t>
            </w:r>
            <w:r>
              <w:rPr>
                <w:rStyle w:val="Text0"/>
              </w:rPr>
              <w:t>flags</w:t>
            </w:r>
            <w:r>
              <w:t xml:space="preserve"> argument. When you pass a hostname rather than an IP address, </w:t>
            </w:r>
            <w:r>
              <w:rPr>
                <w:rStyle w:val="Text0"/>
              </w:rPr>
              <w:t>getaddrinfo</w:t>
            </w:r>
            <w:r>
              <w:t xml:space="preserve"> returns a list of tuples, one per IP address associated with the name.</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getdefa⁠u⁠l⁠t​t⁠i⁠m⁠eout</w:t>
            </w:r>
          </w:p>
        </w:tc>
        <w:tc>
          <w:tcPr>
            <w:tcW w:type="auto" w:w="0"/>
            <w:shd w:val="clear" w:color="auto" w:fill="EEF2F6"/>
            <w:tcMar>
              <w:left w:type="dxa" w:w="200"/>
              <w:top w:type="dxa" w:w="200"/>
              <w:right w:type="dxa" w:w="200"/>
              <w:bottom w:type="dxa" w:w="200"/>
            </w:tcMar>
          </w:tcPr>
          <w:p>
            <w:pPr>
              <w:pStyle w:val="Para 002"/>
            </w:pPr>
            <w:r>
              <w:rPr>
                <w:rStyle w:val="Text0"/>
              </w:rPr>
              <w:t>socket.getdefaulttimeout()</w:t>
              <w:br w:clear="none"/>
            </w:r>
            <w:r>
              <w:t xml:space="preserve"> Returns the default timeout value in seconds for socket operations, or </w:t>
            </w:r>
            <w:r>
              <w:rPr>
                <w:rStyle w:val="Text5"/>
              </w:rPr>
              <w:t>None</w:t>
            </w:r>
            <w:r>
              <w:t xml:space="preserve"> if no value has been set. Some functions let you specify explicit timeouts.</w:t>
            </w:r>
          </w:p>
        </w:tc>
      </w:tr>
    </w:tbl>
    <w:tbl>
      <w:tblPr>
        <w:tblW w:type="auto" w:w="0"/>
      </w:tblPr>
      <w:tr>
        <w:tc>
          <w:tcPr>
            <w:tcW w:type="auto" w:w="0"/>
            <w:tcMar>
              <w:left w:type="dxa" w:w="200"/>
              <w:top w:type="dxa" w:w="200"/>
              <w:right w:type="dxa" w:w="200"/>
              <w:bottom w:type="dxa" w:w="200"/>
            </w:tcMar>
          </w:tcPr>
          <w:p>
            <w:pPr>
              <w:pStyle w:val="Para 001"/>
            </w:pPr>
            <w:r>
              <w:t>getfqdn</w:t>
            </w:r>
          </w:p>
        </w:tc>
        <w:tc>
          <w:tcPr>
            <w:tcW w:type="auto" w:w="0"/>
            <w:tcMar>
              <w:left w:type="dxa" w:w="200"/>
              <w:top w:type="dxa" w:w="200"/>
              <w:right w:type="dxa" w:w="200"/>
              <w:bottom w:type="dxa" w:w="200"/>
            </w:tcMar>
          </w:tcPr>
          <w:p>
            <w:pPr>
              <w:pStyle w:val="Para 002"/>
            </w:pPr>
            <w:r>
              <w:rPr>
                <w:rStyle w:val="Text0"/>
              </w:rPr>
              <w:t>socket.getfqdn([</w:t>
            </w:r>
            <w:r>
              <w:rPr>
                <w:rStyle w:val="Text3"/>
              </w:rPr>
              <w:t>host</w:t>
            </w:r>
            <w:r>
              <w:rPr>
                <w:rStyle w:val="Text0"/>
              </w:rPr>
              <w:t>])</w:t>
              <w:br w:clear="none"/>
            </w:r>
            <w:r>
              <w:t xml:space="preserve"> Returns the fully qualified domain name associated with a hostname or network address (by default, that of the computer on which you call it).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gethostbyaddr</w:t>
            </w:r>
          </w:p>
        </w:tc>
        <w:tc>
          <w:tcPr>
            <w:tcW w:type="auto" w:w="0"/>
            <w:shd w:val="clear" w:color="auto" w:fill="EEF2F6"/>
            <w:tcMar>
              <w:left w:type="dxa" w:w="200"/>
              <w:top w:type="dxa" w:w="200"/>
              <w:right w:type="dxa" w:w="200"/>
              <w:bottom w:type="dxa" w:w="200"/>
            </w:tcMar>
          </w:tcPr>
          <w:p>
            <w:pPr>
              <w:pStyle w:val="Para 002"/>
            </w:pPr>
            <w:r>
              <w:rPr>
                <w:rStyle w:val="Text0"/>
              </w:rPr>
              <w:t>socket.gethostbyaddr(</w:t>
            </w:r>
            <w:r>
              <w:rPr>
                <w:rStyle w:val="Text3"/>
              </w:rPr>
              <w:t>ip_address</w:t>
            </w:r>
            <w:r>
              <w:rPr>
                <w:rStyle w:val="Text0"/>
              </w:rPr>
              <w:t>)</w:t>
              <w:br w:clear="none"/>
            </w:r>
            <w:r>
              <w:t xml:space="preserve"> Takes</w:t>
            </w:r>
            <w:r>
              <w:rPr>
                <w:rStyle w:val="Text111"/>
              </w:rPr>
              <w:bookmarkStart w:id="3982" w:name="idm45965177469712"/>
              <w:t/>
              <w:bookmarkEnd w:id="3982"/>
            </w:r>
            <w:r>
              <w:t xml:space="preserve"> a string containing an IPv4 or IPv6 address and returns a three-item tuple of the form </w:t>
            </w:r>
            <w:r>
              <w:rPr>
                <w:rStyle w:val="Text0"/>
              </w:rPr>
              <w:t>(</w:t>
            </w:r>
            <w:r>
              <w:rPr>
                <w:rStyle w:val="Text3"/>
              </w:rPr>
              <w:t>hostname</w:t>
            </w:r>
            <w:r>
              <w:rPr>
                <w:rStyle w:val="Text0"/>
              </w:rPr>
              <w:t>,</w:t>
            </w:r>
            <w:r>
              <w:t xml:space="preserve"> </w:t>
            </w:r>
            <w:r>
              <w:rPr>
                <w:rStyle w:val="Text3"/>
              </w:rPr>
              <w:t>aliaslist</w:t>
            </w:r>
            <w:r>
              <w:rPr>
                <w:rStyle w:val="Text0"/>
              </w:rPr>
              <w:t>,</w:t>
            </w:r>
            <w:r>
              <w:t xml:space="preserve"> </w:t>
            </w:r>
            <w:r>
              <w:rPr>
                <w:rStyle w:val="Text3"/>
              </w:rPr>
              <w:t>ipaddrlist</w:t>
            </w:r>
            <w:r>
              <w:rPr>
                <w:rStyle w:val="Text0"/>
              </w:rPr>
              <w:t>)</w:t>
            </w:r>
            <w:r>
              <w:t xml:space="preserve">. </w:t>
            </w:r>
            <w:r>
              <w:rPr>
                <w:rStyle w:val="Text3"/>
              </w:rPr>
              <w:t>hostname</w:t>
            </w:r>
            <w:r>
              <w:t xml:space="preserve"> is the canonical name for the IP address, </w:t>
            </w:r>
            <w:r>
              <w:rPr>
                <w:rStyle w:val="Text3"/>
              </w:rPr>
              <w:t>aliaslist</w:t>
            </w:r>
            <w:r>
              <w:t xml:space="preserve"> is a list of alternative names, and </w:t>
            </w:r>
            <w:r>
              <w:rPr>
                <w:rStyle w:val="Text3"/>
              </w:rPr>
              <w:t>ipaddrlist</w:t>
            </w:r>
            <w:r>
              <w:t xml:space="preserve"> is a list of IPv4 and IPv6 addresses.</w:t>
            </w:r>
          </w:p>
        </w:tc>
      </w:tr>
    </w:tbl>
    <w:tbl>
      <w:tblPr>
        <w:tblW w:type="auto" w:w="0"/>
      </w:tblPr>
      <w:tr>
        <w:tc>
          <w:tcPr>
            <w:tcW w:type="auto" w:w="0"/>
            <w:tcMar>
              <w:left w:type="dxa" w:w="200"/>
              <w:top w:type="dxa" w:w="200"/>
              <w:right w:type="dxa" w:w="200"/>
              <w:bottom w:type="dxa" w:w="200"/>
            </w:tcMar>
          </w:tcPr>
          <w:p>
            <w:pPr>
              <w:pStyle w:val="Para 001"/>
            </w:pPr>
            <w:r>
              <w:t>gethostbyname</w:t>
            </w:r>
          </w:p>
        </w:tc>
        <w:tc>
          <w:tcPr>
            <w:tcW w:type="auto" w:w="0"/>
            <w:tcMar>
              <w:left w:type="dxa" w:w="200"/>
              <w:top w:type="dxa" w:w="200"/>
              <w:right w:type="dxa" w:w="200"/>
              <w:bottom w:type="dxa" w:w="200"/>
            </w:tcMar>
          </w:tcPr>
          <w:p>
            <w:pPr>
              <w:pStyle w:val="Para 002"/>
            </w:pPr>
            <w:r>
              <w:rPr>
                <w:rStyle w:val="Text0"/>
              </w:rPr>
              <w:t>socket.gethostbyname(hostname)</w:t>
              <w:br w:clear="none"/>
            </w:r>
            <w:r>
              <w:t xml:space="preserve"> Returns</w:t>
            </w:r>
            <w:r>
              <w:rPr>
                <w:rStyle w:val="Text111"/>
              </w:rPr>
              <w:bookmarkStart w:id="3983" w:name="idm45965177459536"/>
              <w:t/>
              <w:bookmarkEnd w:id="3983"/>
            </w:r>
            <w:r>
              <w:t xml:space="preserve"> a string containing the IPv4 address associated with the given hostname. If called with an IP address, returns that address. This function does not support IPv6: use </w:t>
            </w:r>
            <w:r>
              <w:rPr>
                <w:rStyle w:val="Text0"/>
              </w:rPr>
              <w:t>getaddrinfo</w:t>
            </w:r>
            <w:r>
              <w:t xml:space="preserve"> for IPv6.</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getnameinfo</w:t>
            </w:r>
          </w:p>
        </w:tc>
        <w:tc>
          <w:tcPr>
            <w:tcW w:type="auto" w:w="0"/>
            <w:shd w:val="clear" w:color="auto" w:fill="EEF2F6"/>
            <w:tcMar>
              <w:left w:type="dxa" w:w="200"/>
              <w:top w:type="dxa" w:w="200"/>
              <w:right w:type="dxa" w:w="200"/>
              <w:bottom w:type="dxa" w:w="200"/>
            </w:tcMar>
          </w:tcPr>
          <w:p>
            <w:pPr>
              <w:pStyle w:val="Para 002"/>
            </w:pPr>
            <w:r>
              <w:rPr>
                <w:rStyle w:val="Text0"/>
              </w:rPr>
              <w:t>socket.getnameinfo(</w:t>
            </w:r>
            <w:r>
              <w:rPr>
                <w:rStyle w:val="Text3"/>
              </w:rPr>
              <w:t>sock_addr</w:t>
            </w:r>
            <w:r>
              <w:rPr>
                <w:rStyle w:val="Text0"/>
              </w:rPr>
              <w:t>, flags=0)</w:t>
              <w:br w:clear="none"/>
            </w:r>
            <w:r>
              <w:t xml:space="preserve"> Takes a socket address and returns a </w:t>
            </w:r>
            <w:r>
              <w:rPr>
                <w:rStyle w:val="Text0"/>
              </w:rPr>
              <w:t>(</w:t>
            </w:r>
            <w:r>
              <w:rPr>
                <w:rStyle w:val="Text3"/>
              </w:rPr>
              <w:t>host</w:t>
            </w:r>
            <w:r>
              <w:rPr>
                <w:rStyle w:val="Text0"/>
              </w:rPr>
              <w:t>,</w:t>
            </w:r>
            <w:r>
              <w:t xml:space="preserve"> </w:t>
            </w:r>
            <w:r>
              <w:rPr>
                <w:rStyle w:val="Text3"/>
              </w:rPr>
              <w:t>port</w:t>
            </w:r>
            <w:r>
              <w:rPr>
                <w:rStyle w:val="Text0"/>
              </w:rPr>
              <w:t>)</w:t>
            </w:r>
            <w:r>
              <w:t xml:space="preserve"> pair. Without </w:t>
            </w:r>
            <w:r>
              <w:rPr>
                <w:rStyle w:val="Text0"/>
              </w:rPr>
              <w:t>flags</w:t>
            </w:r>
            <w:r>
              <w:rPr>
                <w:rStyle w:val="Text4"/>
              </w:rPr>
              <w:t>,</w:t>
            </w:r>
            <w:r>
              <w:t xml:space="preserve"> </w:t>
            </w:r>
            <w:r>
              <w:rPr>
                <w:rStyle w:val="Text3"/>
              </w:rPr>
              <w:t>host</w:t>
            </w:r>
            <w:r>
              <w:t xml:space="preserve"> is an IP address and </w:t>
            </w:r>
            <w:r>
              <w:rPr>
                <w:rStyle w:val="Text3"/>
              </w:rPr>
              <w:t>port</w:t>
            </w:r>
            <w:r>
              <w:t xml:space="preserve"> is an </w:t>
            </w:r>
            <w:r>
              <w:rPr>
                <w:rStyle w:val="Text0"/>
              </w:rPr>
              <w:t>int</w:t>
            </w:r>
            <w:r>
              <w:t>.</w:t>
            </w:r>
          </w:p>
        </w:tc>
      </w:tr>
    </w:tbl>
    <w:tbl>
      <w:tblPr>
        <w:tblW w:type="auto" w:w="0"/>
      </w:tblPr>
      <w:tr>
        <w:tc>
          <w:tcPr>
            <w:tcW w:type="auto" w:w="0"/>
            <w:tcMar>
              <w:left w:type="dxa" w:w="200"/>
              <w:top w:type="dxa" w:w="200"/>
              <w:right w:type="dxa" w:w="200"/>
              <w:bottom w:type="dxa" w:w="200"/>
            </w:tcMar>
          </w:tcPr>
          <w:p>
            <w:pPr>
              <w:pStyle w:val="Para 001"/>
            </w:pPr>
            <w:r>
              <w:t>setdefa⁠u⁠l⁠t​t⁠i⁠m⁠eout</w:t>
            </w:r>
          </w:p>
        </w:tc>
        <w:tc>
          <w:tcPr>
            <w:tcW w:type="auto" w:w="0"/>
            <w:tcMar>
              <w:left w:type="dxa" w:w="200"/>
              <w:top w:type="dxa" w:w="200"/>
              <w:right w:type="dxa" w:w="200"/>
              <w:bottom w:type="dxa" w:w="200"/>
            </w:tcMar>
          </w:tcPr>
          <w:p>
            <w:pPr>
              <w:pStyle w:val="Para 002"/>
            </w:pPr>
            <w:r>
              <w:rPr>
                <w:rStyle w:val="Text0"/>
              </w:rPr>
              <w:t>socket.setdefaulttimeout(</w:t>
            </w:r>
            <w:r>
              <w:rPr>
                <w:rStyle w:val="Text3"/>
              </w:rPr>
              <w:t>timeout</w:t>
            </w:r>
            <w:r>
              <w:rPr>
                <w:rStyle w:val="Text0"/>
              </w:rPr>
              <w:t>)</w:t>
              <w:br w:clear="none"/>
            </w:r>
            <w:r>
              <w:t xml:space="preserve"> Sets</w:t>
            </w:r>
            <w:r>
              <w:rPr>
                <w:rStyle w:val="Text111"/>
              </w:rPr>
              <w:bookmarkStart w:id="3984" w:name="idm45965177445376"/>
              <w:t/>
              <w:bookmarkEnd w:id="3984"/>
            </w:r>
            <w:r>
              <w:t xml:space="preserve"> sockets’ default timeout as a value in floating-point seconds. Newly created sockets operate in the mode determined by the </w:t>
            </w:r>
            <w:r>
              <w:rPr>
                <w:rStyle w:val="Text3"/>
              </w:rPr>
              <w:t>timeout</w:t>
            </w:r>
            <w:r>
              <w:t xml:space="preserve"> value, as discussed in the next section. Pass </w:t>
            </w:r>
            <w:r>
              <w:rPr>
                <w:rStyle w:val="Text3"/>
              </w:rPr>
              <w:t>timeout</w:t>
            </w:r>
            <w:r>
              <w:t xml:space="preserve"> as </w:t>
            </w:r>
            <w:r>
              <w:rPr>
                <w:rStyle w:val="Text5"/>
              </w:rPr>
              <w:t>None</w:t>
            </w:r>
            <w:r>
              <w:t xml:space="preserve"> to cancel the implicit use of timeouts on subsequently created sockets.</w:t>
            </w:r>
            <w:r>
              <w:rPr>
                <w:rStyle w:val="Text111"/>
              </w:rPr>
              <w:bookmarkStart w:id="3985" w:name="idm45965177441360"/>
              <w:t/>
              <w:bookmarkEnd w:id="3985"/>
              <w:bookmarkStart w:id="3986" w:name="idm45965177440288"/>
              <w:t/>
              <w:bookmarkEnd w:id="3986"/>
              <w:bookmarkStart w:id="3987" w:name="idm45965177438912"/>
              <w:t/>
              <w:bookmarkEnd w:id="3987"/>
            </w:r>
          </w:p>
        </w:tc>
      </w:tr>
    </w:tbl>
    <w:p>
      <w:bookmarkStart w:id="3988" w:name="Socket_Objects__The_socket_objec"/>
      <w:pPr>
        <w:keepNext/>
        <w:pStyle w:val="Heading 2"/>
      </w:pPr>
      <w:r>
        <w:t>Socket Objects</w:t>
      </w:r>
      <w:bookmarkEnd w:id="3988"/>
    </w:p>
    <w:p>
      <w:pPr>
        <w:pStyle w:val="Normal"/>
      </w:pPr>
      <w:r>
        <w:t>The</w:t>
      </w:r>
      <w:r>
        <w:rPr>
          <w:rStyle w:val="Text111"/>
        </w:rPr>
        <w:bookmarkStart w:id="3989" w:name="BSIsobj18"/>
        <w:t/>
        <w:bookmarkEnd w:id="3989"/>
        <w:bookmarkStart w:id="3990" w:name="sockobj18"/>
        <w:t/>
        <w:bookmarkEnd w:id="3990"/>
      </w:r>
      <w:r>
        <w:t xml:space="preserve"> socket object is the primary means of network communication in Python. A new socket is also created when a </w:t>
      </w:r>
      <w:r>
        <w:rPr>
          <w:rStyle w:val="Text0"/>
        </w:rPr>
        <w:t>SOCK_STREAM</w:t>
      </w:r>
      <w:r>
        <w:t xml:space="preserve"> socket accepts a connection, each such socket being used to communicate with the relevant client.</w:t>
      </w:r>
    </w:p>
    <w:p>
      <w:pPr>
        <w:keepNext/>
        <w:pStyle w:val="Heading 5"/>
        <w:keepLines w:val="on"/>
      </w:pPr>
      <w:r>
        <w:t>Socket Objects and with Statements</w:t>
      </w:r>
    </w:p>
    <w:p>
      <w:pPr>
        <w:pStyle w:val="Para 012"/>
        <w:keepLines w:val="on"/>
      </w:pPr>
      <w:r>
        <w:t>Every socket object</w:t>
      </w:r>
      <w:r>
        <w:rPr>
          <w:rStyle w:val="Text111"/>
        </w:rPr>
        <w:bookmarkStart w:id="3991" w:name="idm45965177429968"/>
        <w:t/>
        <w:bookmarkEnd w:id="3991"/>
      </w:r>
      <w:r>
        <w:t xml:space="preserve"> is a context manager: you can use any socket object in a </w:t>
      </w:r>
      <w:r>
        <w:rPr>
          <w:rStyle w:val="Text5"/>
        </w:rPr>
        <w:t>with</w:t>
      </w:r>
      <w:r>
        <w:t xml:space="preserve"> statement to ensure proper termination of the socket at exit from the statement’s body. For further details, see </w:t>
      </w:r>
      <w:hyperlink w:anchor="The_with_Statement_and_Context_M">
        <w:r>
          <w:rPr>
            <w:rStyle w:val="Text1"/>
          </w:rPr>
          <w:t>“The with Statement and Context Managers”</w:t>
        </w:r>
      </w:hyperlink>
      <w:r>
        <w:t>.</w:t>
      </w:r>
    </w:p>
    <w:p>
      <w:pPr>
        <w:pStyle w:val="Normal"/>
      </w:pPr>
      <w:r>
        <w:t xml:space="preserve">There are several ways to create a socket, as detailed in the next section. Sockets can operate in three different modes, shown in </w:t>
      </w:r>
      <w:hyperlink w:anchor="Table_18_4__Timeout_values_and_t">
        <w:r>
          <w:rPr>
            <w:rStyle w:val="Text1"/>
          </w:rPr>
          <w:t>Table 18-4</w:t>
        </w:r>
      </w:hyperlink>
      <w:r>
        <w:t>, according to the timeout value, which can be set in different ways:</w:t>
      </w:r>
    </w:p>
    <w:p>
      <w:pPr>
        <w:pStyle w:val="Para 010"/>
      </w:pPr>
      <w:r>
        <w:t>By providing the timeout value as an argument on socket creation</w:t>
      </w:r>
    </w:p>
    <w:p>
      <w:pPr>
        <w:pStyle w:val="Para 010"/>
      </w:pPr>
      <w:r>
        <w:t xml:space="preserve">By calling the socket object’s </w:t>
      </w:r>
      <w:r>
        <w:rPr>
          <w:rStyle w:val="Text0"/>
        </w:rPr>
        <w:t>settimeout</w:t>
      </w:r>
      <w:r>
        <w:t xml:space="preserve"> method</w:t>
      </w:r>
    </w:p>
    <w:p>
      <w:pPr>
        <w:pStyle w:val="Para 010"/>
      </w:pPr>
      <w:r>
        <w:t xml:space="preserve">According to the </w:t>
      </w:r>
      <w:r>
        <w:rPr>
          <w:rStyle w:val="Text0"/>
        </w:rPr>
        <w:t>socket</w:t>
      </w:r>
      <w:r>
        <w:t xml:space="preserve"> module’s default timeout value as returned by the </w:t>
      </w:r>
      <w:r>
        <w:rPr>
          <w:rStyle w:val="Text0"/>
        </w:rPr>
        <w:t>socket.getdefaulttimeout</w:t>
      </w:r>
      <w:r>
        <w:t xml:space="preserve"> function</w:t>
      </w:r>
    </w:p>
    <w:p>
      <w:pPr>
        <w:pStyle w:val="Normal"/>
      </w:pPr>
      <w:r>
        <w:t xml:space="preserve">The timeout values to establish each possible mode are listed in </w:t>
      </w:r>
      <w:hyperlink w:anchor="Table_18_4__Timeout_values_and_t">
        <w:r>
          <w:rPr>
            <w:rStyle w:val="Text1"/>
          </w:rPr>
          <w:t>Table 18-4</w:t>
        </w:r>
      </w:hyperlink>
      <w:r>
        <w:t>.</w:t>
      </w:r>
    </w:p>
    <w:tbl>
      <w:tblPr>
        <w:tblW w:type="auto" w:w="0"/>
      </w:tblPr>
      <w:tr>
        <w:tc>
          <w:tcPr>
            <w:tcW w:type="auto" w:w="0"/>
            <w:tcMar>
              <w:left w:type="dxa" w:w="200"/>
              <w:top w:type="dxa" w:w="200"/>
              <w:right w:type="dxa" w:w="200"/>
              <w:bottom w:type="dxa" w:w="200"/>
            </w:tcMar>
          </w:tcPr>
          <w:p>
            <w:bookmarkStart w:id="3992" w:name="Table_18_4__Timeout_values_and_t"/>
            <w:pPr>
              <w:pStyle w:val="Para 011"/>
            </w:pPr>
            <w:r>
              <w:rPr>
                <w:rStyle w:val="Text117"/>
              </w:rPr>
              <w:t/>
            </w:r>
            <w:r>
              <w:t xml:space="preserve">Table 18-4. </w:t>
              <w:t>Timeout values and their associated modes</w:t>
            </w:r>
            <w:bookmarkEnd w:id="3992"/>
          </w:p>
          <w:p>
            <w:pPr>
              <w:pStyle w:val="Para 021"/>
            </w:pPr>
            <w:r>
              <w:t>None</w:t>
            </w:r>
          </w:p>
        </w:tc>
        <w:tc>
          <w:tcPr>
            <w:tcW w:type="auto" w:w="0"/>
            <w:tcMar>
              <w:left w:type="dxa" w:w="200"/>
              <w:top w:type="dxa" w:w="200"/>
              <w:right w:type="dxa" w:w="200"/>
              <w:bottom w:type="dxa" w:w="200"/>
            </w:tcMar>
          </w:tcPr>
          <w:p>
            <w:pPr>
              <w:pStyle w:val="Para 002"/>
            </w:pPr>
            <w:r>
              <w:t xml:space="preserve">Sets </w:t>
            </w:r>
            <w:r>
              <w:rPr>
                <w:rStyle w:val="Text4"/>
              </w:rPr>
              <w:t>blocking</w:t>
            </w:r>
            <w:r>
              <w:t xml:space="preserve"> mode. Each operation suspends the thread (</w:t>
            </w:r>
            <w:r>
              <w:rPr>
                <w:rStyle w:val="Text4"/>
              </w:rPr>
              <w:t>blocks</w:t>
            </w:r>
            <w:r>
              <w:t>) until the operation completes, unless the operating system raises an exception.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0</w:t>
            </w:r>
          </w:p>
        </w:tc>
        <w:tc>
          <w:tcPr>
            <w:tcW w:type="auto" w:w="0"/>
            <w:shd w:val="clear" w:color="auto" w:fill="EEF2F6"/>
            <w:tcMar>
              <w:left w:type="dxa" w:w="200"/>
              <w:top w:type="dxa" w:w="200"/>
              <w:right w:type="dxa" w:w="200"/>
              <w:bottom w:type="dxa" w:w="200"/>
            </w:tcMar>
          </w:tcPr>
          <w:p>
            <w:pPr>
              <w:pStyle w:val="Para 002"/>
            </w:pPr>
            <w:r>
              <w:t xml:space="preserve">Sets </w:t>
            </w:r>
            <w:r>
              <w:rPr>
                <w:rStyle w:val="Text4"/>
              </w:rPr>
              <w:t>nonblocking</w:t>
            </w:r>
            <w:r>
              <w:t xml:space="preserve"> mode. Each operation raises an exception when it cannot be completed immediately, or when an error occurs. Use the </w:t>
            </w:r>
            <w:hyperlink r:id="rId526">
              <w:r>
                <w:rPr>
                  <w:rStyle w:val="Text30"/>
                </w:rPr>
                <w:t>selectors</w:t>
              </w:r>
            </w:hyperlink>
            <w:hyperlink r:id="rId526">
              <w:r>
                <w:rPr>
                  <w:rStyle w:val="Text1"/>
                </w:rPr>
                <w:t xml:space="preserve"> module</w:t>
              </w:r>
            </w:hyperlink>
            <w:r>
              <w:t xml:space="preserve"> to find out whether an operation can be completed immediately.</w:t>
            </w:r>
          </w:p>
        </w:tc>
      </w:tr>
    </w:tbl>
    <w:tbl>
      <w:tblPr>
        <w:tblW w:type="auto" w:w="0"/>
      </w:tblPr>
      <w:tr>
        <w:tc>
          <w:tcPr>
            <w:tcW w:type="auto" w:w="0"/>
            <w:tcMar>
              <w:left w:type="dxa" w:w="200"/>
              <w:top w:type="dxa" w:w="200"/>
              <w:right w:type="dxa" w:w="200"/>
              <w:bottom w:type="dxa" w:w="200"/>
            </w:tcMar>
          </w:tcPr>
          <w:p>
            <w:pPr>
              <w:pStyle w:val="Para 001"/>
            </w:pPr>
            <w:r>
              <w:t>&gt;0.0</w:t>
            </w:r>
          </w:p>
        </w:tc>
        <w:tc>
          <w:tcPr>
            <w:tcW w:type="auto" w:w="0"/>
            <w:tcMar>
              <w:left w:type="dxa" w:w="200"/>
              <w:top w:type="dxa" w:w="200"/>
              <w:right w:type="dxa" w:w="200"/>
              <w:bottom w:type="dxa" w:w="200"/>
            </w:tcMar>
          </w:tcPr>
          <w:p>
            <w:pPr>
              <w:pStyle w:val="Para 002"/>
            </w:pPr>
            <w:r>
              <w:t xml:space="preserve">Sets </w:t>
            </w:r>
            <w:r>
              <w:rPr>
                <w:rStyle w:val="Text4"/>
              </w:rPr>
              <w:t>timeout</w:t>
            </w:r>
            <w:r>
              <w:t xml:space="preserve"> mode. Each operation blocks until complete, or the timeout elapses (in which case it raises a </w:t>
            </w:r>
            <w:r>
              <w:rPr>
                <w:rStyle w:val="Text0"/>
              </w:rPr>
              <w:t>socket.timeout</w:t>
            </w:r>
            <w:r>
              <w:t xml:space="preserve"> exception), or an error occurs.</w:t>
            </w:r>
          </w:p>
        </w:tc>
      </w:tr>
    </w:tbl>
    <w:p>
      <w:pPr>
        <w:pStyle w:val="Normal"/>
      </w:pPr>
      <w:r>
        <w:t xml:space="preserve">Socket objects represent network endpoints. The </w:t>
      </w:r>
      <w:r>
        <w:rPr>
          <w:rStyle w:val="Text0"/>
        </w:rPr>
        <w:t>socket</w:t>
      </w:r>
      <w:r>
        <w:t xml:space="preserve"> module supplies several functions to create a socket (see </w:t>
      </w:r>
      <w:hyperlink w:anchor="Table_18_5__Socket_creation_func">
        <w:r>
          <w:rPr>
            <w:rStyle w:val="Text1"/>
          </w:rPr>
          <w:t>Table 18-5</w:t>
        </w:r>
      </w:hyperlink>
      <w:r>
        <w:t>).</w:t>
      </w:r>
    </w:p>
    <w:tbl>
      <w:tblPr>
        <w:tblW w:type="auto" w:w="0"/>
      </w:tblPr>
      <w:tr>
        <w:tc>
          <w:tcPr>
            <w:tcW w:type="pct" w:w="500"/>
            <w:tcMar>
              <w:left w:type="dxa" w:w="200"/>
              <w:top w:type="dxa" w:w="200"/>
              <w:right w:type="dxa" w:w="200"/>
              <w:bottom w:type="dxa" w:w="200"/>
            </w:tcMar>
          </w:tcPr>
          <w:p>
            <w:bookmarkStart w:id="3993" w:name="Table_18_5__Socket_creation_func"/>
            <w:pPr>
              <w:pStyle w:val="Para 011"/>
            </w:pPr>
            <w:r>
              <w:rPr>
                <w:rStyle w:val="Text117"/>
              </w:rPr>
              <w:t/>
            </w:r>
            <w:r>
              <w:t xml:space="preserve">Table 18-5. </w:t>
              <w:t>Socket creation functions</w:t>
            </w:r>
            <w:bookmarkEnd w:id="3993"/>
          </w:p>
          <w:p>
            <w:pPr>
              <w:pStyle w:val="Para 001"/>
            </w:pPr>
            <w:r>
              <w:t>cre⁠a⁠t⁠e⁠_​c⁠o⁠n⁠n⁠e⁠c⁠t⁠i⁠o⁠n</w:t>
            </w:r>
          </w:p>
        </w:tc>
        <w:tc>
          <w:tcPr>
            <w:tcW w:type="auto" w:w="0"/>
            <w:tcMar>
              <w:left w:type="dxa" w:w="200"/>
              <w:top w:type="dxa" w:w="200"/>
              <w:right w:type="dxa" w:w="200"/>
              <w:bottom w:type="dxa" w:w="200"/>
            </w:tcMar>
          </w:tcPr>
          <w:p>
            <w:pPr>
              <w:pStyle w:val="Para 002"/>
            </w:pPr>
            <w:r>
              <w:rPr>
                <w:rStyle w:val="Text0"/>
              </w:rPr>
              <w:t>create_connection([</w:t>
            </w:r>
            <w:r>
              <w:rPr>
                <w:rStyle w:val="Text3"/>
              </w:rPr>
              <w:t>address</w:t>
            </w:r>
            <w:r>
              <w:rPr>
                <w:rStyle w:val="Text0"/>
              </w:rPr>
              <w:t>[,</w:t>
            </w:r>
            <w:r>
              <w:t xml:space="preserve"> </w:t>
            </w:r>
            <w:r>
              <w:rPr>
                <w:rStyle w:val="Text3"/>
              </w:rPr>
              <w:t>timeout</w:t>
            </w:r>
            <w:r>
              <w:rPr>
                <w:rStyle w:val="Text0"/>
              </w:rPr>
              <w:t>[,</w:t>
            </w:r>
            <w:r>
              <w:t xml:space="preserve"> </w:t>
            </w:r>
            <w:r>
              <w:rPr>
                <w:rStyle w:val="Text3"/>
              </w:rPr>
              <w:t>source_address</w:t>
            </w:r>
            <w:r>
              <w:rPr>
                <w:rStyle w:val="Text0"/>
              </w:rPr>
              <w:t>]]])</w:t>
              <w:br w:clear="none"/>
            </w:r>
            <w:r>
              <w:t xml:space="preserve"> Creates a socket connected to a TCP endpoint at an address (a </w:t>
            </w:r>
            <w:r>
              <w:rPr>
                <w:rStyle w:val="Text0"/>
              </w:rPr>
              <w:t>(</w:t>
            </w:r>
            <w:r>
              <w:rPr>
                <w:rStyle w:val="Text3"/>
              </w:rPr>
              <w:t>host</w:t>
            </w:r>
            <w:r>
              <w:rPr>
                <w:rStyle w:val="Text0"/>
              </w:rPr>
              <w:t>,</w:t>
            </w:r>
            <w:r>
              <w:t xml:space="preserve"> </w:t>
            </w:r>
            <w:r>
              <w:rPr>
                <w:rStyle w:val="Text3"/>
              </w:rPr>
              <w:t>port</w:t>
            </w:r>
            <w:r>
              <w:rPr>
                <w:rStyle w:val="Text0"/>
              </w:rPr>
              <w:t>)</w:t>
            </w:r>
            <w:r>
              <w:t xml:space="preserve"> pair). </w:t>
            </w:r>
            <w:r>
              <w:rPr>
                <w:rStyle w:val="Text3"/>
              </w:rPr>
              <w:t>host</w:t>
            </w:r>
            <w:r>
              <w:t xml:space="preserve"> can either be a numeric network address or a DNS hostname; in the latter case, name resolution is attempted for both </w:t>
            </w:r>
            <w:r>
              <w:rPr>
                <w:rStyle w:val="Text0"/>
              </w:rPr>
              <w:t>AF_INET</w:t>
            </w:r>
            <w:r>
              <w:t xml:space="preserve"> and </w:t>
            </w:r>
            <w:r>
              <w:rPr>
                <w:rStyle w:val="Text0"/>
              </w:rPr>
              <w:t>AF_INET6</w:t>
            </w:r>
            <w:r>
              <w:t xml:space="preserve"> (in unspecified order), then a connection is attempted to each returned address in turn—a convenient way to create client programs able to use either IPv6 or IPv4.</w:t>
              <w:br w:clear="none"/>
              <w:t xml:space="preserve"> The </w:t>
            </w:r>
            <w:r>
              <w:rPr>
                <w:rStyle w:val="Text3"/>
              </w:rPr>
              <w:t>timeout</w:t>
            </w:r>
            <w:r>
              <w:t xml:space="preserve"> argument, if given, specifies the connection timeout in seconds and thereby sets the socket’s mode (see </w:t>
            </w:r>
            <w:hyperlink w:anchor="Table_18_4__Timeout_values_and_t">
              <w:r>
                <w:rPr>
                  <w:rStyle w:val="Text1"/>
                </w:rPr>
                <w:t>Table 18-4</w:t>
              </w:r>
            </w:hyperlink>
            <w:r>
              <w:t xml:space="preserve">); when not present, the </w:t>
            </w:r>
            <w:r>
              <w:rPr>
                <w:rStyle w:val="Text0"/>
              </w:rPr>
              <w:t>socket.getdefaulttimeout</w:t>
            </w:r>
            <w:r>
              <w:t xml:space="preserve"> function is called to determine the value. The </w:t>
            </w:r>
            <w:r>
              <w:rPr>
                <w:rStyle w:val="Text3"/>
              </w:rPr>
              <w:t>source_address</w:t>
            </w:r>
            <w:r>
              <w:t xml:space="preserve"> argument, if given, must also be a </w:t>
            </w:r>
            <w:r>
              <w:rPr>
                <w:rStyle w:val="Text0"/>
              </w:rPr>
              <w:t>(</w:t>
            </w:r>
            <w:r>
              <w:rPr>
                <w:rStyle w:val="Text3"/>
              </w:rPr>
              <w:t>host, port</w:t>
            </w:r>
            <w:r>
              <w:rPr>
                <w:rStyle w:val="Text0"/>
              </w:rPr>
              <w:t>)</w:t>
            </w:r>
            <w:r>
              <w:t xml:space="preserve"> pair that the remote socket gets passed as the connecting endpoint. When </w:t>
            </w:r>
            <w:r>
              <w:rPr>
                <w:rStyle w:val="Text3"/>
              </w:rPr>
              <w:t>host</w:t>
            </w:r>
            <w:r>
              <w:t xml:space="preserve"> is </w:t>
            </w:r>
            <w:r>
              <w:rPr>
                <w:rStyle w:val="Text0"/>
              </w:rPr>
              <w:t>''</w:t>
            </w:r>
            <w:r>
              <w:t xml:space="preserve"> or </w:t>
            </w:r>
            <w:r>
              <w:rPr>
                <w:rStyle w:val="Text3"/>
              </w:rPr>
              <w:t>port</w:t>
            </w:r>
            <w:r>
              <w:t xml:space="preserve"> is </w:t>
            </w:r>
            <w:r>
              <w:rPr>
                <w:rStyle w:val="Text0"/>
              </w:rPr>
              <w:t>0</w:t>
            </w:r>
            <w:r>
              <w:t>, the default OS behavior is used.</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socket</w:t>
            </w:r>
          </w:p>
        </w:tc>
        <w:tc>
          <w:tcPr>
            <w:tcW w:type="auto" w:w="0"/>
            <w:shd w:val="clear" w:color="auto" w:fill="EEF2F6"/>
            <w:tcMar>
              <w:left w:type="dxa" w:w="200"/>
              <w:top w:type="dxa" w:w="200"/>
              <w:right w:type="dxa" w:w="200"/>
              <w:bottom w:type="dxa" w:w="200"/>
            </w:tcMar>
          </w:tcPr>
          <w:p>
            <w:pPr>
              <w:pStyle w:val="Para 002"/>
            </w:pPr>
            <w:r>
              <w:rPr>
                <w:rStyle w:val="Text0"/>
              </w:rPr>
              <w:t>socket(family=AF_INET, type=SOCK_STREAM, proto=0,</w:t>
              <w:br w:clear="none"/>
              <w:t xml:space="preserve"> fileno=</w:t>
            </w:r>
            <w:r>
              <w:rPr>
                <w:rStyle w:val="Text5"/>
              </w:rPr>
              <w:t>None</w:t>
            </w:r>
            <w:r>
              <w:rPr>
                <w:rStyle w:val="Text0"/>
              </w:rPr>
              <w:t>)</w:t>
              <w:br w:clear="none"/>
            </w:r>
            <w:r>
              <w:t xml:space="preserve"> Creates and returns a socket of the appropriate address family and type (by default, a TCP socket on IPv4). Child processes do not inherit the socket thus created. The protocol number </w:t>
            </w:r>
            <w:r>
              <w:rPr>
                <w:rStyle w:val="Text0"/>
              </w:rPr>
              <w:t>proto</w:t>
            </w:r>
            <w:r>
              <w:t xml:space="preserve"> is only used with CAN sockets. When you pass the </w:t>
            </w:r>
            <w:r>
              <w:rPr>
                <w:rStyle w:val="Text0"/>
              </w:rPr>
              <w:t>fileno</w:t>
            </w:r>
            <w:r>
              <w:t xml:space="preserve"> argument, other arguments are ignored: the function returns the socket already associated with the given file descriptor.</w:t>
            </w:r>
          </w:p>
        </w:tc>
      </w:tr>
    </w:tbl>
    <w:tbl>
      <w:tblPr>
        <w:tblW w:type="auto" w:w="0"/>
      </w:tblPr>
      <w:tr>
        <w:tc>
          <w:tcPr>
            <w:tcW w:type="auto" w:w="0"/>
            <w:tcMar>
              <w:left w:type="dxa" w:w="200"/>
              <w:top w:type="dxa" w:w="200"/>
              <w:right w:type="dxa" w:w="200"/>
              <w:bottom w:type="dxa" w:w="200"/>
            </w:tcMar>
          </w:tcPr>
          <w:p>
            <w:pPr>
              <w:pStyle w:val="Para 001"/>
            </w:pPr>
            <w:r>
              <w:t>socketpair</w:t>
            </w:r>
          </w:p>
        </w:tc>
        <w:tc>
          <w:tcPr>
            <w:tcW w:type="auto" w:w="0"/>
            <w:tcMar>
              <w:left w:type="dxa" w:w="200"/>
              <w:top w:type="dxa" w:w="200"/>
              <w:right w:type="dxa" w:w="200"/>
              <w:bottom w:type="dxa" w:w="200"/>
            </w:tcMar>
          </w:tcPr>
          <w:p>
            <w:pPr>
              <w:pStyle w:val="Para 002"/>
            </w:pPr>
            <w:r>
              <w:rPr>
                <w:rStyle w:val="Text0"/>
              </w:rPr>
              <w:t>socketpair([</w:t>
            </w:r>
            <w:r>
              <w:rPr>
                <w:rStyle w:val="Text3"/>
              </w:rPr>
              <w:t>family</w:t>
            </w:r>
            <w:r>
              <w:rPr>
                <w:rStyle w:val="Text0"/>
              </w:rPr>
              <w:t>[,</w:t>
            </w:r>
            <w:r>
              <w:t xml:space="preserve"> </w:t>
            </w:r>
            <w:r>
              <w:rPr>
                <w:rStyle w:val="Text3"/>
              </w:rPr>
              <w:t>type</w:t>
            </w:r>
            <w:r>
              <w:rPr>
                <w:rStyle w:val="Text0"/>
              </w:rPr>
              <w:t>[,</w:t>
            </w:r>
            <w:r>
              <w:t xml:space="preserve"> </w:t>
            </w:r>
            <w:r>
              <w:rPr>
                <w:rStyle w:val="Text3"/>
              </w:rPr>
              <w:t>proto</w:t>
            </w:r>
            <w:r>
              <w:rPr>
                <w:rStyle w:val="Text0"/>
              </w:rPr>
              <w:t>]]])</w:t>
              <w:br w:clear="none"/>
            </w:r>
            <w:r>
              <w:t xml:space="preserve"> Returns a connected pair of sockets of the given address family, socket type, and (for CAN sockets only) protocol. When </w:t>
            </w:r>
            <w:r>
              <w:rPr>
                <w:rStyle w:val="Text3"/>
              </w:rPr>
              <w:t>family</w:t>
            </w:r>
            <w:r>
              <w:t xml:space="preserve"> is not specified, the sockets are of family </w:t>
            </w:r>
            <w:r>
              <w:rPr>
                <w:rStyle w:val="Text0"/>
              </w:rPr>
              <w:t>AF_UNIX</w:t>
            </w:r>
            <w:r>
              <w:t xml:space="preserve"> on platforms where the family is available; otherwise, they are of family </w:t>
            </w:r>
            <w:r>
              <w:rPr>
                <w:rStyle w:val="Text0"/>
              </w:rPr>
              <w:t>AF_INET</w:t>
            </w:r>
            <w:r>
              <w:t xml:space="preserve">. When </w:t>
            </w:r>
            <w:r>
              <w:rPr>
                <w:rStyle w:val="Text3"/>
              </w:rPr>
              <w:t>type</w:t>
            </w:r>
            <w:r>
              <w:t xml:space="preserve"> is not specified, it defaults to </w:t>
            </w:r>
            <w:r>
              <w:rPr>
                <w:rStyle w:val="Text0"/>
              </w:rPr>
              <w:t>SOCK_STREAM</w:t>
            </w:r>
            <w:r>
              <w:t>.</w:t>
            </w:r>
          </w:p>
        </w:tc>
      </w:tr>
    </w:tbl>
    <w:p>
      <w:pPr>
        <w:pStyle w:val="Normal"/>
      </w:pPr>
      <w:r>
        <w:t xml:space="preserve">A socket object </w:t>
      </w:r>
      <w:r>
        <w:rPr>
          <w:rStyle w:val="Text3"/>
        </w:rPr>
        <w:t>s</w:t>
      </w:r>
      <w:r>
        <w:t xml:space="preserve"> provides the methods listed in </w:t>
      </w:r>
      <w:hyperlink w:anchor="Table_18_6__Methods_of_an_instan">
        <w:r>
          <w:rPr>
            <w:rStyle w:val="Text1"/>
          </w:rPr>
          <w:t>Table 18-6</w:t>
        </w:r>
      </w:hyperlink>
      <w:r>
        <w:t xml:space="preserve">. Those dealing with connections or requiring connected sockets work only for </w:t>
      </w:r>
      <w:r>
        <w:rPr>
          <w:rStyle w:val="Text0"/>
        </w:rPr>
        <w:t>SOCK_STREAM</w:t>
      </w:r>
      <w:r>
        <w:t xml:space="preserve"> sockets, while the others work with both </w:t>
      </w:r>
      <w:r>
        <w:rPr>
          <w:rStyle w:val="Text0"/>
        </w:rPr>
        <w:t>SOCK_STREAM</w:t>
      </w:r>
      <w:r>
        <w:t xml:space="preserve"> and </w:t>
      </w:r>
      <w:r>
        <w:rPr>
          <w:rStyle w:val="Text0"/>
        </w:rPr>
        <w:t>SOCK_DGRAM</w:t>
      </w:r>
      <w:r>
        <w:t xml:space="preserve"> sockets. For methods that take a </w:t>
      </w:r>
      <w:r>
        <w:rPr>
          <w:rStyle w:val="Text3"/>
        </w:rPr>
        <w:t>flags</w:t>
      </w:r>
      <w:r>
        <w:t xml:space="preserve"> argument, the exact set of flags available depends on your specific platform (the values available are documented on the Unix manual pages for </w:t>
      </w:r>
      <w:hyperlink r:id="rId527">
        <w:r>
          <w:rPr>
            <w:rStyle w:val="Text30"/>
          </w:rPr>
          <w:t>recv(2)</w:t>
        </w:r>
      </w:hyperlink>
      <w:r>
        <w:t xml:space="preserve"> and </w:t>
      </w:r>
      <w:hyperlink r:id="rId528">
        <w:r>
          <w:rPr>
            <w:rStyle w:val="Text30"/>
          </w:rPr>
          <w:t>send(</w:t>
          <w:t>2</w:t>
          <w:t>)</w:t>
        </w:r>
      </w:hyperlink>
      <w:r>
        <w:t xml:space="preserve"> and in the </w:t>
      </w:r>
      <w:hyperlink r:id="rId529">
        <w:r>
          <w:rPr>
            <w:rStyle w:val="Text1"/>
          </w:rPr>
          <w:t>Windows docs</w:t>
        </w:r>
      </w:hyperlink>
      <w:r>
        <w:t xml:space="preserve">); if omitted, </w:t>
      </w:r>
      <w:r>
        <w:rPr>
          <w:rStyle w:val="Text3"/>
        </w:rPr>
        <w:t>flags</w:t>
      </w:r>
      <w:r>
        <w:t xml:space="preserve"> defaults to </w:t>
      </w:r>
      <w:r>
        <w:rPr>
          <w:rStyle w:val="Text0"/>
        </w:rPr>
        <w:t>0</w:t>
      </w:r>
      <w:r>
        <w:t>.</w:t>
      </w:r>
    </w:p>
    <w:tbl>
      <w:tblPr>
        <w:tblW w:type="auto" w:w="0"/>
      </w:tblPr>
      <w:tr>
        <w:tc>
          <w:tcPr>
            <w:tcW w:type="pct" w:w="1000"/>
            <w:tcMar>
              <w:left w:type="dxa" w:w="200"/>
              <w:top w:type="dxa" w:w="200"/>
              <w:right w:type="dxa" w:w="200"/>
              <w:bottom w:type="dxa" w:w="200"/>
            </w:tcMar>
          </w:tcPr>
          <w:p>
            <w:bookmarkStart w:id="3994" w:name="Table_18_6__Methods_of_an_instan"/>
            <w:pPr>
              <w:pStyle w:val="Para 011"/>
            </w:pPr>
            <w:r>
              <w:rPr>
                <w:rStyle w:val="Text117"/>
              </w:rPr>
              <w:t/>
            </w:r>
            <w:r>
              <w:t xml:space="preserve">Table 18-6. </w:t>
              <w:t xml:space="preserve">Methods of an instance </w:t>
            </w:r>
            <w:r>
              <w:rPr>
                <w:rStyle w:val="Text0"/>
              </w:rPr>
              <w:t>s</w:t>
            </w:r>
            <w:r>
              <w:t xml:space="preserve"> of </w:t>
            </w:r>
            <w:r>
              <w:rPr>
                <w:rStyle w:val="Text0"/>
              </w:rPr>
              <w:t>socket</w:t>
            </w:r>
            <w:bookmarkEnd w:id="3994"/>
          </w:p>
          <w:p>
            <w:pPr>
              <w:pStyle w:val="Para 001"/>
            </w:pPr>
            <w:r>
              <w:t>accept</w:t>
            </w:r>
          </w:p>
        </w:tc>
        <w:tc>
          <w:tcPr>
            <w:tcW w:type="auto" w:w="0"/>
            <w:tcMar>
              <w:left w:type="dxa" w:w="200"/>
              <w:top w:type="dxa" w:w="200"/>
              <w:right w:type="dxa" w:w="200"/>
              <w:bottom w:type="dxa" w:w="200"/>
            </w:tcMar>
          </w:tcPr>
          <w:p>
            <w:pPr>
              <w:pStyle w:val="Para 002"/>
            </w:pPr>
            <w:r>
              <w:rPr>
                <w:rStyle w:val="Text0"/>
              </w:rPr>
              <w:t>accept()</w:t>
              <w:br w:clear="none"/>
            </w:r>
            <w:r>
              <w:t xml:space="preserve"> Blocks until a client establishes a connection to </w:t>
            </w:r>
            <w:r>
              <w:rPr>
                <w:rStyle w:val="Text3"/>
              </w:rPr>
              <w:t>s</w:t>
            </w:r>
            <w:r>
              <w:t xml:space="preserve">, which must have been bound to an address (with a call to </w:t>
            </w:r>
            <w:r>
              <w:rPr>
                <w:rStyle w:val="Text3"/>
              </w:rPr>
              <w:t>s</w:t>
            </w:r>
            <w:r>
              <w:rPr>
                <w:rStyle w:val="Text0"/>
              </w:rPr>
              <w:t>.bind</w:t>
            </w:r>
            <w:r>
              <w:t xml:space="preserve">) and set to listening (with a call to </w:t>
            </w:r>
            <w:r>
              <w:rPr>
                <w:rStyle w:val="Text3"/>
              </w:rPr>
              <w:t>s</w:t>
            </w:r>
            <w:r>
              <w:rPr>
                <w:rStyle w:val="Text0"/>
              </w:rPr>
              <w:t>.listen</w:t>
            </w:r>
            <w:r>
              <w:t xml:space="preserve">). Returns a </w:t>
            </w:r>
            <w:r>
              <w:rPr>
                <w:rStyle w:val="Text4"/>
              </w:rPr>
              <w:t>new</w:t>
            </w:r>
            <w:r>
              <w:t xml:space="preserve"> socket object, which can be used to communicate with the other endpoint of the connection.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bind</w:t>
            </w:r>
          </w:p>
        </w:tc>
        <w:tc>
          <w:tcPr>
            <w:tcW w:type="auto" w:w="0"/>
            <w:shd w:val="clear" w:color="auto" w:fill="EEF2F6"/>
            <w:tcMar>
              <w:left w:type="dxa" w:w="200"/>
              <w:top w:type="dxa" w:w="200"/>
              <w:right w:type="dxa" w:w="200"/>
              <w:bottom w:type="dxa" w:w="200"/>
            </w:tcMar>
          </w:tcPr>
          <w:p>
            <w:pPr>
              <w:pStyle w:val="Para 002"/>
            </w:pPr>
            <w:r>
              <w:rPr>
                <w:rStyle w:val="Text0"/>
              </w:rPr>
              <w:t>bind(</w:t>
            </w:r>
            <w:r>
              <w:rPr>
                <w:rStyle w:val="Text3"/>
              </w:rPr>
              <w:t>address</w:t>
            </w:r>
            <w:r>
              <w:rPr>
                <w:rStyle w:val="Text0"/>
              </w:rPr>
              <w:t>)</w:t>
              <w:br w:clear="none"/>
            </w:r>
            <w:r>
              <w:t xml:space="preserve"> Binds </w:t>
            </w:r>
            <w:r>
              <w:rPr>
                <w:rStyle w:val="Text3"/>
              </w:rPr>
              <w:t>s</w:t>
            </w:r>
            <w:r>
              <w:t xml:space="preserve"> to a specific address. The form of the </w:t>
            </w:r>
            <w:r>
              <w:rPr>
                <w:rStyle w:val="Text3"/>
              </w:rPr>
              <w:t>address</w:t>
            </w:r>
            <w:r>
              <w:t xml:space="preserve"> argument depends on the socket’s address family (see </w:t>
            </w:r>
            <w:hyperlink w:anchor="Socket_Addresses__The_different">
              <w:r>
                <w:rPr>
                  <w:rStyle w:val="Text1"/>
                </w:rPr>
                <w:t>“Socket Addresses”</w:t>
              </w:r>
            </w:hyperlink>
            <w:r>
              <w:t>).</w:t>
            </w:r>
          </w:p>
        </w:tc>
      </w:tr>
    </w:tbl>
    <w:tbl>
      <w:tblPr>
        <w:tblW w:type="auto" w:w="0"/>
      </w:tblPr>
      <w:tr>
        <w:tc>
          <w:tcPr>
            <w:tcW w:type="auto" w:w="0"/>
            <w:tcMar>
              <w:left w:type="dxa" w:w="200"/>
              <w:top w:type="dxa" w:w="200"/>
              <w:right w:type="dxa" w:w="200"/>
              <w:bottom w:type="dxa" w:w="200"/>
            </w:tcMar>
          </w:tcPr>
          <w:p>
            <w:pPr>
              <w:pStyle w:val="Para 001"/>
            </w:pPr>
            <w:r>
              <w:t>close</w:t>
            </w:r>
          </w:p>
        </w:tc>
        <w:tc>
          <w:tcPr>
            <w:tcW w:type="auto" w:w="0"/>
            <w:tcMar>
              <w:left w:type="dxa" w:w="200"/>
              <w:top w:type="dxa" w:w="200"/>
              <w:right w:type="dxa" w:w="200"/>
              <w:bottom w:type="dxa" w:w="200"/>
            </w:tcMar>
          </w:tcPr>
          <w:p>
            <w:pPr>
              <w:pStyle w:val="Para 002"/>
            </w:pPr>
            <w:r>
              <w:rPr>
                <w:rStyle w:val="Text0"/>
              </w:rPr>
              <w:t>close()</w:t>
              <w:br w:clear="none"/>
            </w:r>
            <w:r>
              <w:t xml:space="preserve"> Marks the socket as closed. Calling </w:t>
            </w:r>
            <w:r>
              <w:rPr>
                <w:rStyle w:val="Text3"/>
              </w:rPr>
              <w:t>s</w:t>
            </w:r>
            <w:r>
              <w:rPr>
                <w:rStyle w:val="Text0"/>
              </w:rPr>
              <w:t>.close</w:t>
            </w:r>
            <w:r>
              <w:t xml:space="preserve"> does not necessarily close the connection immediately, depending on whether other references to the socket exist. If immediate closure is required, call the </w:t>
            </w:r>
            <w:r>
              <w:rPr>
                <w:rStyle w:val="Text3"/>
              </w:rPr>
              <w:t>s</w:t>
            </w:r>
            <w:r>
              <w:rPr>
                <w:rStyle w:val="Text0"/>
              </w:rPr>
              <w:t>.shutdown</w:t>
            </w:r>
            <w:r>
              <w:t xml:space="preserve"> method first. The simplest way to ensure a socket is closed in a timely fashion is to use it in a </w:t>
            </w:r>
            <w:r>
              <w:rPr>
                <w:rStyle w:val="Text5"/>
              </w:rPr>
              <w:t>with</w:t>
            </w:r>
            <w:r>
              <w:t xml:space="preserve"> statement, since sockets are context managers.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connect</w:t>
            </w:r>
          </w:p>
        </w:tc>
        <w:tc>
          <w:tcPr>
            <w:tcW w:type="auto" w:w="0"/>
            <w:shd w:val="clear" w:color="auto" w:fill="EEF2F6"/>
            <w:tcMar>
              <w:left w:type="dxa" w:w="200"/>
              <w:top w:type="dxa" w:w="200"/>
              <w:right w:type="dxa" w:w="200"/>
              <w:bottom w:type="dxa" w:w="200"/>
            </w:tcMar>
          </w:tcPr>
          <w:p>
            <w:pPr>
              <w:pStyle w:val="Para 002"/>
            </w:pPr>
            <w:r>
              <w:rPr>
                <w:rStyle w:val="Text0"/>
              </w:rPr>
              <w:t>connect(</w:t>
            </w:r>
            <w:r>
              <w:rPr>
                <w:rStyle w:val="Text3"/>
              </w:rPr>
              <w:t>address</w:t>
            </w:r>
            <w:r>
              <w:rPr>
                <w:rStyle w:val="Text0"/>
              </w:rPr>
              <w:t>)</w:t>
              <w:br w:clear="none"/>
            </w:r>
            <w:r>
              <w:t xml:space="preserve"> Connects to a remote socket at </w:t>
            </w:r>
            <w:r>
              <w:rPr>
                <w:rStyle w:val="Text3"/>
              </w:rPr>
              <w:t>address</w:t>
            </w:r>
            <w:r>
              <w:t xml:space="preserve">. The form of the </w:t>
            </w:r>
            <w:r>
              <w:rPr>
                <w:rStyle w:val="Text3"/>
              </w:rPr>
              <w:t>address</w:t>
            </w:r>
            <w:r>
              <w:t xml:space="preserve"> argument depends on the address family (see </w:t>
            </w:r>
            <w:hyperlink w:anchor="Socket_Addresses__The_different">
              <w:r>
                <w:rPr>
                  <w:rStyle w:val="Text1"/>
                </w:rPr>
                <w:t>“Socket Addresses”</w:t>
              </w:r>
            </w:hyperlink>
            <w:r>
              <w:t>).</w:t>
            </w:r>
          </w:p>
        </w:tc>
      </w:tr>
    </w:tbl>
    <w:tbl>
      <w:tblPr>
        <w:tblW w:type="auto" w:w="0"/>
      </w:tblPr>
      <w:tr>
        <w:tc>
          <w:tcPr>
            <w:tcW w:type="auto" w:w="0"/>
            <w:tcMar>
              <w:left w:type="dxa" w:w="200"/>
              <w:top w:type="dxa" w:w="200"/>
              <w:right w:type="dxa" w:w="200"/>
              <w:bottom w:type="dxa" w:w="200"/>
            </w:tcMar>
          </w:tcPr>
          <w:p>
            <w:pPr>
              <w:pStyle w:val="Para 001"/>
            </w:pPr>
            <w:r>
              <w:t>detach</w:t>
            </w:r>
          </w:p>
        </w:tc>
        <w:tc>
          <w:tcPr>
            <w:tcW w:type="auto" w:w="0"/>
            <w:tcMar>
              <w:left w:type="dxa" w:w="200"/>
              <w:top w:type="dxa" w:w="200"/>
              <w:right w:type="dxa" w:w="200"/>
              <w:bottom w:type="dxa" w:w="200"/>
            </w:tcMar>
          </w:tcPr>
          <w:p>
            <w:pPr>
              <w:pStyle w:val="Para 002"/>
            </w:pPr>
            <w:r>
              <w:rPr>
                <w:rStyle w:val="Text0"/>
              </w:rPr>
              <w:t>detach()</w:t>
              <w:br w:clear="none"/>
            </w:r>
            <w:r>
              <w:t xml:space="preserve"> Puts the socket into closed mode, but allows the socket object to be reused for further connections (by calling </w:t>
            </w:r>
            <w:r>
              <w:rPr>
                <w:rStyle w:val="Text0"/>
              </w:rPr>
              <w:t>connect</w:t>
            </w:r>
            <w:r>
              <w:t xml:space="preserve"> again).</w:t>
            </w:r>
          </w:p>
        </w:tc>
      </w:tr>
    </w:tbl>
    <w:tbl>
      <w:tblPr>
        <w:tblW w:type="auto" w:w="0"/>
      </w:tblPr>
      <w:tr>
        <w:tc>
          <w:tcPr>
            <w:tcW w:type="auto" w:w="0"/>
            <w:shd w:val="clear" w:color="auto" w:fill="EEF2F6"/>
            <w:tcMar>
              <w:left w:type="dxa" w:w="200"/>
              <w:top w:type="dxa" w:w="200"/>
              <w:right w:type="dxa" w:w="200"/>
              <w:bottom w:type="dxa" w:w="200"/>
            </w:tcMar>
          </w:tcPr>
          <w:p>
            <w:pPr>
              <w:pStyle w:val="Para 001"/>
            </w:pPr>
            <w:r>
              <w:t>dup</w:t>
            </w:r>
          </w:p>
        </w:tc>
        <w:tc>
          <w:tcPr>
            <w:tcW w:type="auto" w:w="0"/>
            <w:shd w:val="clear" w:color="auto" w:fill="EEF2F6"/>
            <w:tcMar>
              <w:left w:type="dxa" w:w="200"/>
              <w:top w:type="dxa" w:w="200"/>
              <w:right w:type="dxa" w:w="200"/>
              <w:bottom w:type="dxa" w:w="200"/>
            </w:tcMar>
          </w:tcPr>
          <w:p>
            <w:pPr>
              <w:pStyle w:val="Para 002"/>
            </w:pPr>
            <w:r>
              <w:rPr>
                <w:rStyle w:val="Text0"/>
              </w:rPr>
              <w:t>dup()</w:t>
              <w:br w:clear="none"/>
            </w:r>
            <w:r>
              <w:t xml:space="preserve"> Returns a duplicate of the socket, not inheritable by child processes.</w:t>
            </w:r>
          </w:p>
        </w:tc>
      </w:tr>
    </w:tbl>
    <w:tbl>
      <w:tblPr>
        <w:tblW w:type="auto" w:w="0"/>
      </w:tblPr>
      <w:tr>
        <w:tc>
          <w:tcPr>
            <w:tcW w:type="auto" w:w="0"/>
            <w:tcMar>
              <w:left w:type="dxa" w:w="200"/>
              <w:top w:type="dxa" w:w="200"/>
              <w:right w:type="dxa" w:w="200"/>
              <w:bottom w:type="dxa" w:w="200"/>
            </w:tcMar>
          </w:tcPr>
          <w:p>
            <w:pPr>
              <w:pStyle w:val="Para 001"/>
            </w:pPr>
            <w:r>
              <w:t>fileno</w:t>
            </w:r>
          </w:p>
        </w:tc>
        <w:tc>
          <w:tcPr>
            <w:tcW w:type="auto" w:w="0"/>
            <w:tcMar>
              <w:left w:type="dxa" w:w="200"/>
              <w:top w:type="dxa" w:w="200"/>
              <w:right w:type="dxa" w:w="200"/>
              <w:bottom w:type="dxa" w:w="200"/>
            </w:tcMar>
          </w:tcPr>
          <w:p>
            <w:pPr>
              <w:pStyle w:val="Para 002"/>
            </w:pPr>
            <w:r>
              <w:rPr>
                <w:rStyle w:val="Text0"/>
              </w:rPr>
              <w:t>fileno()</w:t>
              <w:br w:clear="none"/>
            </w:r>
            <w:r>
              <w:t xml:space="preserve"> Returns</w:t>
            </w:r>
            <w:r>
              <w:rPr>
                <w:rStyle w:val="Text111"/>
              </w:rPr>
              <w:bookmarkStart w:id="3995" w:name="idm45965177320720"/>
              <w:t/>
              <w:bookmarkEnd w:id="3995"/>
            </w:r>
            <w:r>
              <w:t xml:space="preserve"> the socket’s file descriptor.</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getblocking</w:t>
            </w:r>
          </w:p>
        </w:tc>
        <w:tc>
          <w:tcPr>
            <w:tcW w:type="auto" w:w="0"/>
            <w:shd w:val="clear" w:color="auto" w:fill="EEF2F6"/>
            <w:tcMar>
              <w:left w:type="dxa" w:w="200"/>
              <w:top w:type="dxa" w:w="200"/>
              <w:right w:type="dxa" w:w="200"/>
              <w:bottom w:type="dxa" w:w="200"/>
            </w:tcMar>
          </w:tcPr>
          <w:p>
            <w:pPr>
              <w:pStyle w:val="Para 002"/>
            </w:pPr>
            <w:r>
              <w:rPr>
                <w:rStyle w:val="Text0"/>
              </w:rPr>
              <w:t>getblocking()</w:t>
              <w:br w:clear="none"/>
            </w:r>
            <w:r>
              <w:t xml:space="preserve"> Returns </w:t>
            </w:r>
            <w:r>
              <w:rPr>
                <w:rStyle w:val="Text5"/>
              </w:rPr>
              <w:t>True</w:t>
            </w:r>
            <w:r>
              <w:t xml:space="preserve"> if the socket is set to be blocking, either with a call to </w:t>
            </w:r>
            <w:r>
              <w:rPr>
                <w:rStyle w:val="Text3"/>
              </w:rPr>
              <w:t>s</w:t>
            </w:r>
            <w:r>
              <w:rPr>
                <w:rStyle w:val="Text0"/>
              </w:rPr>
              <w:t>.setblocking(</w:t>
            </w:r>
            <w:r>
              <w:rPr>
                <w:rStyle w:val="Text5"/>
              </w:rPr>
              <w:t>True</w:t>
            </w:r>
            <w:r>
              <w:rPr>
                <w:rStyle w:val="Text0"/>
              </w:rPr>
              <w:t>)</w:t>
            </w:r>
            <w:r>
              <w:t xml:space="preserve"> or </w:t>
            </w:r>
            <w:r>
              <w:rPr>
                <w:rStyle w:val="Text3"/>
              </w:rPr>
              <w:t>s</w:t>
            </w:r>
            <w:r>
              <w:rPr>
                <w:rStyle w:val="Text0"/>
              </w:rPr>
              <w:t>.settimeout(</w:t>
            </w:r>
            <w:r>
              <w:rPr>
                <w:rStyle w:val="Text5"/>
              </w:rPr>
              <w:t>None</w:t>
            </w:r>
            <w:r>
              <w:rPr>
                <w:rStyle w:val="Text0"/>
              </w:rPr>
              <w:t>)</w:t>
            </w:r>
            <w:r>
              <w:t xml:space="preserve">.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g⁠e⁠t⁠_​i⁠n⁠h⁠e⁠r⁠i⁠t⁠a⁠b⁠l⁠e</w:t>
            </w:r>
          </w:p>
        </w:tc>
        <w:tc>
          <w:tcPr>
            <w:tcW w:type="auto" w:w="0"/>
            <w:tcMar>
              <w:left w:type="dxa" w:w="200"/>
              <w:top w:type="dxa" w:w="200"/>
              <w:right w:type="dxa" w:w="200"/>
              <w:bottom w:type="dxa" w:w="200"/>
            </w:tcMar>
          </w:tcPr>
          <w:p>
            <w:pPr>
              <w:pStyle w:val="Para 002"/>
            </w:pPr>
            <w:r>
              <w:rPr>
                <w:rStyle w:val="Text0"/>
              </w:rPr>
              <w:t>get_inheritable()</w:t>
              <w:br w:clear="none"/>
            </w:r>
            <w:r>
              <w:t xml:space="preserve"> Returns </w:t>
            </w:r>
            <w:r>
              <w:rPr>
                <w:rStyle w:val="Text5"/>
              </w:rPr>
              <w:t>True</w:t>
            </w:r>
            <w:r>
              <w:t xml:space="preserve"> when the socket is able to be inherited by child processes.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getpeername</w:t>
            </w:r>
          </w:p>
        </w:tc>
        <w:tc>
          <w:tcPr>
            <w:tcW w:type="auto" w:w="0"/>
            <w:shd w:val="clear" w:color="auto" w:fill="EEF2F6"/>
            <w:tcMar>
              <w:left w:type="dxa" w:w="200"/>
              <w:top w:type="dxa" w:w="200"/>
              <w:right w:type="dxa" w:w="200"/>
              <w:bottom w:type="dxa" w:w="200"/>
            </w:tcMar>
          </w:tcPr>
          <w:p>
            <w:pPr>
              <w:pStyle w:val="Para 002"/>
            </w:pPr>
            <w:r>
              <w:rPr>
                <w:rStyle w:val="Text0"/>
              </w:rPr>
              <w:t>getpeername()</w:t>
              <w:br w:clear="none"/>
            </w:r>
            <w:r>
              <w:t xml:space="preserve"> Returns the address of the remote endpoint to which this socket is connected.</w:t>
            </w:r>
          </w:p>
        </w:tc>
      </w:tr>
    </w:tbl>
    <w:tbl>
      <w:tblPr>
        <w:tblW w:type="auto" w:w="0"/>
      </w:tblPr>
      <w:tr>
        <w:tc>
          <w:tcPr>
            <w:tcW w:type="auto" w:w="0"/>
            <w:tcMar>
              <w:left w:type="dxa" w:w="200"/>
              <w:top w:type="dxa" w:w="200"/>
              <w:right w:type="dxa" w:w="200"/>
              <w:bottom w:type="dxa" w:w="200"/>
            </w:tcMar>
          </w:tcPr>
          <w:p>
            <w:pPr>
              <w:pStyle w:val="Para 001"/>
            </w:pPr>
            <w:r>
              <w:t>getsockname</w:t>
            </w:r>
          </w:p>
        </w:tc>
        <w:tc>
          <w:tcPr>
            <w:tcW w:type="auto" w:w="0"/>
            <w:tcMar>
              <w:left w:type="dxa" w:w="200"/>
              <w:top w:type="dxa" w:w="200"/>
              <w:right w:type="dxa" w:w="200"/>
              <w:bottom w:type="dxa" w:w="200"/>
            </w:tcMar>
          </w:tcPr>
          <w:p>
            <w:pPr>
              <w:pStyle w:val="Para 002"/>
            </w:pPr>
            <w:r>
              <w:rPr>
                <w:rStyle w:val="Text0"/>
              </w:rPr>
              <w:t>getsockname()</w:t>
              <w:br w:clear="none"/>
            </w:r>
            <w:r>
              <w:t xml:space="preserve"> Returns the address being used by this socket.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gettimeout</w:t>
            </w:r>
          </w:p>
        </w:tc>
        <w:tc>
          <w:tcPr>
            <w:tcW w:type="auto" w:w="0"/>
            <w:shd w:val="clear" w:color="auto" w:fill="EEF2F6"/>
            <w:tcMar>
              <w:left w:type="dxa" w:w="200"/>
              <w:top w:type="dxa" w:w="200"/>
              <w:right w:type="dxa" w:w="200"/>
              <w:bottom w:type="dxa" w:w="200"/>
            </w:tcMar>
          </w:tcPr>
          <w:p>
            <w:pPr>
              <w:pStyle w:val="Para 002"/>
            </w:pPr>
            <w:r>
              <w:rPr>
                <w:rStyle w:val="Text0"/>
              </w:rPr>
              <w:t>gettimeout()</w:t>
              <w:br w:clear="none"/>
            </w:r>
            <w:r>
              <w:t xml:space="preserve"> Returns the timeout associated with this socket.</w:t>
            </w:r>
          </w:p>
        </w:tc>
      </w:tr>
    </w:tbl>
    <w:tbl>
      <w:tblPr>
        <w:tblW w:type="auto" w:w="0"/>
      </w:tblPr>
      <w:tr>
        <w:tc>
          <w:tcPr>
            <w:tcW w:type="auto" w:w="0"/>
            <w:tcMar>
              <w:left w:type="dxa" w:w="200"/>
              <w:top w:type="dxa" w:w="200"/>
              <w:right w:type="dxa" w:w="200"/>
              <w:bottom w:type="dxa" w:w="200"/>
            </w:tcMar>
          </w:tcPr>
          <w:p>
            <w:pPr>
              <w:pStyle w:val="Para 001"/>
            </w:pPr>
            <w:r>
              <w:t>listen</w:t>
            </w:r>
          </w:p>
        </w:tc>
        <w:tc>
          <w:tcPr>
            <w:tcW w:type="auto" w:w="0"/>
            <w:tcMar>
              <w:left w:type="dxa" w:w="200"/>
              <w:top w:type="dxa" w:w="200"/>
              <w:right w:type="dxa" w:w="200"/>
              <w:bottom w:type="dxa" w:w="200"/>
            </w:tcMar>
          </w:tcPr>
          <w:p>
            <w:pPr>
              <w:pStyle w:val="Para 002"/>
            </w:pPr>
            <w:r>
              <w:rPr>
                <w:rStyle w:val="Text0"/>
              </w:rPr>
              <w:t>listen([</w:t>
            </w:r>
            <w:r>
              <w:rPr>
                <w:rStyle w:val="Text3"/>
              </w:rPr>
              <w:t>backlog</w:t>
            </w:r>
            <w:r>
              <w:rPr>
                <w:rStyle w:val="Text0"/>
              </w:rPr>
              <w:t>])</w:t>
              <w:br w:clear="none"/>
            </w:r>
            <w:r>
              <w:t xml:space="preserve"> Starts the socket listening for traffic on its associated endpoint. If given, the integer </w:t>
            </w:r>
            <w:r>
              <w:rPr>
                <w:rStyle w:val="Text3"/>
              </w:rPr>
              <w:t>backlog</w:t>
            </w:r>
            <w:r>
              <w:t xml:space="preserve"> argument determines how many unaccepted connections the operating system allows to queue up before starting to refuse connections.</w:t>
            </w:r>
          </w:p>
        </w:tc>
      </w:tr>
    </w:tbl>
    <w:tbl>
      <w:tblPr>
        <w:tblW w:type="auto" w:w="0"/>
      </w:tblPr>
      <w:tr>
        <w:tc>
          <w:tcPr>
            <w:tcW w:type="auto" w:w="0"/>
            <w:shd w:val="clear" w:color="auto" w:fill="EEF2F6"/>
            <w:tcMar>
              <w:left w:type="dxa" w:w="200"/>
              <w:top w:type="dxa" w:w="200"/>
              <w:right w:type="dxa" w:w="200"/>
              <w:bottom w:type="dxa" w:w="200"/>
            </w:tcMar>
          </w:tcPr>
          <w:p>
            <w:pPr>
              <w:pStyle w:val="Para 001"/>
            </w:pPr>
            <w:r>
              <w:t>makefile</w:t>
            </w:r>
          </w:p>
        </w:tc>
        <w:tc>
          <w:tcPr>
            <w:tcW w:type="auto" w:w="0"/>
            <w:shd w:val="clear" w:color="auto" w:fill="EEF2F6"/>
            <w:tcMar>
              <w:left w:type="dxa" w:w="200"/>
              <w:top w:type="dxa" w:w="200"/>
              <w:right w:type="dxa" w:w="200"/>
              <w:bottom w:type="dxa" w:w="200"/>
            </w:tcMar>
          </w:tcPr>
          <w:p>
            <w:pPr>
              <w:pStyle w:val="Para 002"/>
            </w:pPr>
            <w:r>
              <w:rPr>
                <w:rStyle w:val="Text0"/>
              </w:rPr>
              <w:t>makefile(</w:t>
            </w:r>
            <w:r>
              <w:rPr>
                <w:rStyle w:val="Text3"/>
              </w:rPr>
              <w:t>mode</w:t>
            </w:r>
            <w:r>
              <w:rPr>
                <w:rStyle w:val="Text0"/>
              </w:rPr>
              <w:t>, buffering=</w:t>
            </w:r>
            <w:r>
              <w:rPr>
                <w:rStyle w:val="Text5"/>
              </w:rPr>
              <w:t>None</w:t>
            </w:r>
            <w:r>
              <w:rPr>
                <w:rStyle w:val="Text0"/>
              </w:rPr>
              <w:t>, *, encoding=</w:t>
            </w:r>
            <w:r>
              <w:rPr>
                <w:rStyle w:val="Text5"/>
              </w:rPr>
              <w:t>None</w:t>
            </w:r>
            <w:r>
              <w:rPr>
                <w:rStyle w:val="Text0"/>
              </w:rPr>
              <w:t>, newline=</w:t>
            </w:r>
            <w:r>
              <w:rPr>
                <w:rStyle w:val="Text5"/>
              </w:rPr>
              <w:t>None</w:t>
            </w:r>
            <w:r>
              <w:rPr>
                <w:rStyle w:val="Text0"/>
              </w:rPr>
              <w:t>)</w:t>
              <w:br w:clear="none"/>
            </w:r>
            <w:r>
              <w:t xml:space="preserve"> Returns a file object allowing the socket to be used with file-like operations such as </w:t>
            </w:r>
            <w:r>
              <w:rPr>
                <w:rStyle w:val="Text0"/>
              </w:rPr>
              <w:t>read</w:t>
            </w:r>
            <w:r>
              <w:t xml:space="preserve"> and </w:t>
            </w:r>
            <w:r>
              <w:rPr>
                <w:rStyle w:val="Text0"/>
              </w:rPr>
              <w:t>write</w:t>
            </w:r>
            <w:r>
              <w:t xml:space="preserve">. The arguments are like those for the built-in </w:t>
            </w:r>
            <w:r>
              <w:rPr>
                <w:rStyle w:val="Text0"/>
              </w:rPr>
              <w:t>open</w:t>
            </w:r>
            <w:r>
              <w:t xml:space="preserve"> function (see </w:t>
            </w:r>
            <w:hyperlink w:anchor="Creating_a_File_Object_with_open">
              <w:r>
                <w:rPr>
                  <w:rStyle w:val="Text1"/>
                </w:rPr>
                <w:t>“Creating a File Object with open”</w:t>
              </w:r>
            </w:hyperlink>
            <w:r>
              <w:t xml:space="preserve">). </w:t>
            </w:r>
            <w:r>
              <w:rPr>
                <w:rStyle w:val="Text3"/>
              </w:rPr>
              <w:t>mode</w:t>
            </w:r>
            <w:r>
              <w:t xml:space="preserve"> can be </w:t>
            </w:r>
            <w:r>
              <w:rPr>
                <w:rStyle w:val="Text0"/>
              </w:rPr>
              <w:t>'r'</w:t>
            </w:r>
            <w:r>
              <w:t xml:space="preserve"> or </w:t>
            </w:r>
            <w:r>
              <w:rPr>
                <w:rStyle w:val="Text0"/>
              </w:rPr>
              <w:t>'w'</w:t>
            </w:r>
            <w:r>
              <w:t xml:space="preserve">; </w:t>
            </w:r>
            <w:r>
              <w:rPr>
                <w:rStyle w:val="Text0"/>
              </w:rPr>
              <w:t>'b'</w:t>
            </w:r>
            <w:r>
              <w:t xml:space="preserve"> can be added for binary transmission. The socket must be in blocking mode; if a timeout value is set, unexpected results may be observed if a timeout occurs.</w:t>
            </w:r>
          </w:p>
        </w:tc>
      </w:tr>
    </w:tbl>
    <w:tbl>
      <w:tblPr>
        <w:tblW w:type="auto" w:w="0"/>
      </w:tblPr>
      <w:tr>
        <w:tc>
          <w:tcPr>
            <w:tcW w:type="auto" w:w="0"/>
            <w:tcMar>
              <w:left w:type="dxa" w:w="200"/>
              <w:top w:type="dxa" w:w="200"/>
              <w:right w:type="dxa" w:w="200"/>
              <w:bottom w:type="dxa" w:w="200"/>
            </w:tcMar>
          </w:tcPr>
          <w:p>
            <w:pPr>
              <w:pStyle w:val="Para 001"/>
            </w:pPr>
            <w:r>
              <w:t>recv</w:t>
            </w:r>
          </w:p>
        </w:tc>
        <w:tc>
          <w:tcPr>
            <w:tcW w:type="auto" w:w="0"/>
            <w:tcMar>
              <w:left w:type="dxa" w:w="200"/>
              <w:top w:type="dxa" w:w="200"/>
              <w:right w:type="dxa" w:w="200"/>
              <w:bottom w:type="dxa" w:w="200"/>
            </w:tcMar>
          </w:tcPr>
          <w:p>
            <w:pPr>
              <w:pStyle w:val="Para 002"/>
            </w:pPr>
            <w:r>
              <w:rPr>
                <w:rStyle w:val="Text0"/>
              </w:rPr>
              <w:t>recv(</w:t>
            </w:r>
            <w:r>
              <w:rPr>
                <w:rStyle w:val="Text3"/>
              </w:rPr>
              <w:t>bufsiz</w:t>
            </w:r>
            <w:r>
              <w:rPr>
                <w:rStyle w:val="Text0"/>
              </w:rPr>
              <w:t>[,</w:t>
            </w:r>
            <w:r>
              <w:t xml:space="preserve"> </w:t>
            </w:r>
            <w:r>
              <w:rPr>
                <w:rStyle w:val="Text3"/>
              </w:rPr>
              <w:t>flags</w:t>
            </w:r>
            <w:r>
              <w:rPr>
                <w:rStyle w:val="Text0"/>
              </w:rPr>
              <w:t>])</w:t>
              <w:br w:clear="none"/>
            </w:r>
            <w:r>
              <w:t xml:space="preserve"> Receives and returns a maximum of </w:t>
            </w:r>
            <w:r>
              <w:rPr>
                <w:rStyle w:val="Text3"/>
              </w:rPr>
              <w:t>bufsiz</w:t>
            </w:r>
            <w:r>
              <w:t xml:space="preserve"> bytes of data from the socket </w:t>
            </w:r>
            <w:r>
              <w:rPr>
                <w:rStyle w:val="Text3"/>
              </w:rPr>
              <w:t>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recvfrom</w:t>
            </w:r>
          </w:p>
        </w:tc>
        <w:tc>
          <w:tcPr>
            <w:tcW w:type="auto" w:w="0"/>
            <w:shd w:val="clear" w:color="auto" w:fill="EEF2F6"/>
            <w:tcMar>
              <w:left w:type="dxa" w:w="200"/>
              <w:top w:type="dxa" w:w="200"/>
              <w:right w:type="dxa" w:w="200"/>
              <w:bottom w:type="dxa" w:w="200"/>
            </w:tcMar>
          </w:tcPr>
          <w:p>
            <w:pPr>
              <w:pStyle w:val="Para 002"/>
            </w:pPr>
            <w:r>
              <w:rPr>
                <w:rStyle w:val="Text0"/>
              </w:rPr>
              <w:t>recvfrom(</w:t>
            </w:r>
            <w:r>
              <w:rPr>
                <w:rStyle w:val="Text3"/>
              </w:rPr>
              <w:t>bufsiz</w:t>
            </w:r>
            <w:r>
              <w:rPr>
                <w:rStyle w:val="Text0"/>
              </w:rPr>
              <w:t>[,</w:t>
            </w:r>
            <w:r>
              <w:t xml:space="preserve"> </w:t>
            </w:r>
            <w:r>
              <w:rPr>
                <w:rStyle w:val="Text3"/>
              </w:rPr>
              <w:t>flags</w:t>
            </w:r>
            <w:r>
              <w:rPr>
                <w:rStyle w:val="Text0"/>
              </w:rPr>
              <w:t>])</w:t>
              <w:br w:clear="none"/>
            </w:r>
            <w:r>
              <w:t xml:space="preserve"> Receives a maximum of </w:t>
            </w:r>
            <w:r>
              <w:rPr>
                <w:rStyle w:val="Text3"/>
              </w:rPr>
              <w:t>bufsiz</w:t>
            </w:r>
            <w:r>
              <w:t xml:space="preserve"> bytes of data from </w:t>
            </w:r>
            <w:r>
              <w:rPr>
                <w:rStyle w:val="Text3"/>
              </w:rPr>
              <w:t>s</w:t>
            </w:r>
            <w:r>
              <w:t xml:space="preserve">. Returns a pair </w:t>
            </w:r>
            <w:r>
              <w:rPr>
                <w:rStyle w:val="Text0"/>
              </w:rPr>
              <w:t>(</w:t>
            </w:r>
            <w:r>
              <w:rPr>
                <w:rStyle w:val="Text3"/>
              </w:rPr>
              <w:t>bytes</w:t>
            </w:r>
            <w:r>
              <w:rPr>
                <w:rStyle w:val="Text0"/>
              </w:rPr>
              <w:t>,</w:t>
            </w:r>
            <w:r>
              <w:t xml:space="preserve"> </w:t>
            </w:r>
            <w:r>
              <w:rPr>
                <w:rStyle w:val="Text3"/>
              </w:rPr>
              <w:t>address</w:t>
            </w:r>
            <w:r>
              <w:rPr>
                <w:rStyle w:val="Text0"/>
              </w:rPr>
              <w:t>)</w:t>
            </w:r>
            <w:r>
              <w:t xml:space="preserve">: </w:t>
            </w:r>
            <w:r>
              <w:rPr>
                <w:rStyle w:val="Text3"/>
              </w:rPr>
              <w:t>bytes</w:t>
            </w:r>
            <w:r>
              <w:t xml:space="preserve"> is the received data, </w:t>
            </w:r>
            <w:r>
              <w:rPr>
                <w:rStyle w:val="Text3"/>
              </w:rPr>
              <w:t>address</w:t>
            </w:r>
            <w:r>
              <w:t xml:space="preserve"> the address of the counterparty socket that sent the data.</w:t>
            </w:r>
          </w:p>
        </w:tc>
      </w:tr>
    </w:tbl>
    <w:tbl>
      <w:tblPr>
        <w:tblW w:type="auto" w:w="0"/>
      </w:tblPr>
      <w:tr>
        <w:tc>
          <w:tcPr>
            <w:tcW w:type="auto" w:w="0"/>
            <w:tcMar>
              <w:left w:type="dxa" w:w="200"/>
              <w:top w:type="dxa" w:w="200"/>
              <w:right w:type="dxa" w:w="200"/>
              <w:bottom w:type="dxa" w:w="200"/>
            </w:tcMar>
          </w:tcPr>
          <w:p>
            <w:pPr>
              <w:pStyle w:val="Para 001"/>
            </w:pPr>
            <w:r>
              <w:t>recvfrom_into</w:t>
            </w:r>
          </w:p>
        </w:tc>
        <w:tc>
          <w:tcPr>
            <w:tcW w:type="auto" w:w="0"/>
            <w:tcMar>
              <w:left w:type="dxa" w:w="200"/>
              <w:top w:type="dxa" w:w="200"/>
              <w:right w:type="dxa" w:w="200"/>
              <w:bottom w:type="dxa" w:w="200"/>
            </w:tcMar>
          </w:tcPr>
          <w:p>
            <w:pPr>
              <w:pStyle w:val="Para 002"/>
            </w:pPr>
            <w:r>
              <w:rPr>
                <w:rStyle w:val="Text0"/>
              </w:rPr>
              <w:t>recvfrom_into(</w:t>
            </w:r>
            <w:r>
              <w:rPr>
                <w:rStyle w:val="Text3"/>
              </w:rPr>
              <w:t>buffer</w:t>
            </w:r>
            <w:r>
              <w:rPr>
                <w:rStyle w:val="Text0"/>
              </w:rPr>
              <w:t>[,</w:t>
            </w:r>
            <w:r>
              <w:t xml:space="preserve"> </w:t>
            </w:r>
            <w:r>
              <w:rPr>
                <w:rStyle w:val="Text3"/>
              </w:rPr>
              <w:t>nbytes</w:t>
            </w:r>
            <w:r>
              <w:rPr>
                <w:rStyle w:val="Text0"/>
              </w:rPr>
              <w:t>[,</w:t>
            </w:r>
            <w:r>
              <w:t xml:space="preserve"> </w:t>
            </w:r>
            <w:r>
              <w:rPr>
                <w:rStyle w:val="Text3"/>
              </w:rPr>
              <w:t>flags</w:t>
            </w:r>
            <w:r>
              <w:rPr>
                <w:rStyle w:val="Text0"/>
              </w:rPr>
              <w:t>]])</w:t>
              <w:br w:clear="none"/>
            </w:r>
            <w:r>
              <w:t xml:space="preserve"> Receives a maximum of </w:t>
            </w:r>
            <w:r>
              <w:rPr>
                <w:rStyle w:val="Text3"/>
              </w:rPr>
              <w:t>nbytes</w:t>
            </w:r>
            <w:r>
              <w:t xml:space="preserve"> bytes of data from </w:t>
            </w:r>
            <w:r>
              <w:rPr>
                <w:rStyle w:val="Text3"/>
              </w:rPr>
              <w:t>s</w:t>
            </w:r>
            <w:r>
              <w:t xml:space="preserve">, writing it into the given </w:t>
            </w:r>
            <w:r>
              <w:rPr>
                <w:rStyle w:val="Text3"/>
              </w:rPr>
              <w:t>buffer</w:t>
            </w:r>
            <w:r>
              <w:t xml:space="preserve"> object. If </w:t>
            </w:r>
            <w:r>
              <w:rPr>
                <w:rStyle w:val="Text3"/>
              </w:rPr>
              <w:t>nbytes</w:t>
            </w:r>
            <w:r>
              <w:t xml:space="preserve"> is omitted or 0, </w:t>
            </w:r>
            <w:r>
              <w:rPr>
                <w:rStyle w:val="Text0"/>
              </w:rPr>
              <w:t>len(</w:t>
            </w:r>
            <w:r>
              <w:rPr>
                <w:rStyle w:val="Text3"/>
              </w:rPr>
              <w:t>buffer</w:t>
            </w:r>
            <w:r>
              <w:rPr>
                <w:rStyle w:val="Text0"/>
              </w:rPr>
              <w:t>)</w:t>
            </w:r>
            <w:r>
              <w:t xml:space="preserve"> is used. Returns a pair </w:t>
            </w:r>
            <w:r>
              <w:rPr>
                <w:rStyle w:val="Text0"/>
              </w:rPr>
              <w:t>(</w:t>
            </w:r>
            <w:r>
              <w:rPr>
                <w:rStyle w:val="Text3"/>
              </w:rPr>
              <w:t>nbytes</w:t>
            </w:r>
            <w:r>
              <w:rPr>
                <w:rStyle w:val="Text0"/>
              </w:rPr>
              <w:t>,</w:t>
            </w:r>
            <w:r>
              <w:t xml:space="preserve"> </w:t>
            </w:r>
            <w:r>
              <w:rPr>
                <w:rStyle w:val="Text3"/>
              </w:rPr>
              <w:t>address</w:t>
            </w:r>
            <w:r>
              <w:rPr>
                <w:rStyle w:val="Text0"/>
              </w:rPr>
              <w:t>)</w:t>
            </w:r>
            <w:r>
              <w:t xml:space="preserve">: </w:t>
            </w:r>
            <w:r>
              <w:rPr>
                <w:rStyle w:val="Text3"/>
              </w:rPr>
              <w:t>nbytes</w:t>
            </w:r>
            <w:r>
              <w:t xml:space="preserve"> is the number of bytes received, </w:t>
            </w:r>
            <w:r>
              <w:rPr>
                <w:rStyle w:val="Text3"/>
              </w:rPr>
              <w:t>address</w:t>
            </w:r>
            <w:r>
              <w:t xml:space="preserve"> the address of the counterparty socket that sent the data (*</w:t>
            </w:r>
            <w:r>
              <w:rPr>
                <w:rStyle w:val="Text3"/>
              </w:rPr>
              <w:t>_into</w:t>
            </w:r>
            <w:r>
              <w:t xml:space="preserve"> functions can be faster than “plain” ones allocating new buffers).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recv_into</w:t>
            </w:r>
          </w:p>
        </w:tc>
        <w:tc>
          <w:tcPr>
            <w:tcW w:type="auto" w:w="0"/>
            <w:shd w:val="clear" w:color="auto" w:fill="EEF2F6"/>
            <w:tcMar>
              <w:left w:type="dxa" w:w="200"/>
              <w:top w:type="dxa" w:w="200"/>
              <w:right w:type="dxa" w:w="200"/>
              <w:bottom w:type="dxa" w:w="200"/>
            </w:tcMar>
          </w:tcPr>
          <w:p>
            <w:pPr>
              <w:pStyle w:val="Para 002"/>
            </w:pPr>
            <w:r>
              <w:rPr>
                <w:rStyle w:val="Text0"/>
              </w:rPr>
              <w:t>recv_into(</w:t>
            </w:r>
            <w:r>
              <w:rPr>
                <w:rStyle w:val="Text3"/>
              </w:rPr>
              <w:t>buffer</w:t>
            </w:r>
            <w:r>
              <w:rPr>
                <w:rStyle w:val="Text0"/>
              </w:rPr>
              <w:t>[,</w:t>
            </w:r>
            <w:r>
              <w:t xml:space="preserve"> </w:t>
            </w:r>
            <w:r>
              <w:rPr>
                <w:rStyle w:val="Text3"/>
              </w:rPr>
              <w:t>nbytes</w:t>
            </w:r>
            <w:r>
              <w:rPr>
                <w:rStyle w:val="Text0"/>
              </w:rPr>
              <w:t>[,</w:t>
            </w:r>
            <w:r>
              <w:t xml:space="preserve"> </w:t>
            </w:r>
            <w:r>
              <w:rPr>
                <w:rStyle w:val="Text3"/>
              </w:rPr>
              <w:t>flags</w:t>
            </w:r>
            <w:r>
              <w:rPr>
                <w:rStyle w:val="Text0"/>
              </w:rPr>
              <w:t>]])</w:t>
              <w:br w:clear="none"/>
            </w:r>
            <w:r>
              <w:t xml:space="preserve"> Receives a maximum of </w:t>
            </w:r>
            <w:r>
              <w:rPr>
                <w:rStyle w:val="Text3"/>
              </w:rPr>
              <w:t>nbytes</w:t>
            </w:r>
            <w:r>
              <w:t xml:space="preserve"> bytes of data from </w:t>
            </w:r>
            <w:r>
              <w:rPr>
                <w:rStyle w:val="Text3"/>
              </w:rPr>
              <w:t>s</w:t>
            </w:r>
            <w:r>
              <w:t xml:space="preserve">, writing it into the given </w:t>
            </w:r>
            <w:r>
              <w:rPr>
                <w:rStyle w:val="Text3"/>
              </w:rPr>
              <w:t>buffer</w:t>
            </w:r>
            <w:r>
              <w:t xml:space="preserve"> object. If </w:t>
            </w:r>
            <w:r>
              <w:rPr>
                <w:rStyle w:val="Text3"/>
              </w:rPr>
              <w:t>nbytes</w:t>
            </w:r>
            <w:r>
              <w:t xml:space="preserve"> is omitted or </w:t>
            </w:r>
            <w:r>
              <w:rPr>
                <w:rStyle w:val="Text0"/>
              </w:rPr>
              <w:t>0</w:t>
            </w:r>
            <w:r>
              <w:t xml:space="preserve">, </w:t>
            </w:r>
            <w:r>
              <w:rPr>
                <w:rStyle w:val="Text0"/>
              </w:rPr>
              <w:t>len(</w:t>
            </w:r>
            <w:r>
              <w:rPr>
                <w:rStyle w:val="Text3"/>
              </w:rPr>
              <w:t>buffer</w:t>
            </w:r>
            <w:r>
              <w:rPr>
                <w:rStyle w:val="Text0"/>
              </w:rPr>
              <w:t>)</w:t>
            </w:r>
            <w:r>
              <w:t xml:space="preserve"> is used. Returns the number of bytes received.</w:t>
            </w:r>
          </w:p>
        </w:tc>
      </w:tr>
    </w:tbl>
    <w:tbl>
      <w:tblPr>
        <w:tblW w:type="auto" w:w="0"/>
      </w:tblPr>
      <w:tr>
        <w:tc>
          <w:tcPr>
            <w:tcW w:type="auto" w:w="0"/>
            <w:tcMar>
              <w:left w:type="dxa" w:w="200"/>
              <w:top w:type="dxa" w:w="200"/>
              <w:right w:type="dxa" w:w="200"/>
              <w:bottom w:type="dxa" w:w="200"/>
            </w:tcMar>
          </w:tcPr>
          <w:p>
            <w:pPr>
              <w:pStyle w:val="Para 001"/>
            </w:pPr>
            <w:r>
              <w:t>recvmsg</w:t>
            </w:r>
          </w:p>
        </w:tc>
        <w:tc>
          <w:tcPr>
            <w:tcW w:type="auto" w:w="0"/>
            <w:tcMar>
              <w:left w:type="dxa" w:w="200"/>
              <w:top w:type="dxa" w:w="200"/>
              <w:right w:type="dxa" w:w="200"/>
              <w:bottom w:type="dxa" w:w="200"/>
            </w:tcMar>
          </w:tcPr>
          <w:p>
            <w:pPr>
              <w:pStyle w:val="Para 002"/>
            </w:pPr>
            <w:r>
              <w:rPr>
                <w:rStyle w:val="Text0"/>
              </w:rPr>
              <w:t>recvmsg(</w:t>
            </w:r>
            <w:r>
              <w:rPr>
                <w:rStyle w:val="Text3"/>
              </w:rPr>
              <w:t>bufsiz</w:t>
            </w:r>
            <w:r>
              <w:rPr>
                <w:rStyle w:val="Text0"/>
              </w:rPr>
              <w:t>[,</w:t>
            </w:r>
            <w:r>
              <w:t xml:space="preserve"> </w:t>
            </w:r>
            <w:r>
              <w:rPr>
                <w:rStyle w:val="Text3"/>
              </w:rPr>
              <w:t>ancbufsiz</w:t>
            </w:r>
            <w:r>
              <w:rPr>
                <w:rStyle w:val="Text0"/>
              </w:rPr>
              <w:t>[,</w:t>
            </w:r>
            <w:r>
              <w:t xml:space="preserve"> </w:t>
            </w:r>
            <w:r>
              <w:rPr>
                <w:rStyle w:val="Text3"/>
              </w:rPr>
              <w:t>flags</w:t>
            </w:r>
            <w:r>
              <w:rPr>
                <w:rStyle w:val="Text0"/>
              </w:rPr>
              <w:t>]])</w:t>
              <w:br w:clear="none"/>
            </w:r>
            <w:r>
              <w:t xml:space="preserve"> Receives a maximum of </w:t>
            </w:r>
            <w:r>
              <w:rPr>
                <w:rStyle w:val="Text3"/>
              </w:rPr>
              <w:t>bufsiz</w:t>
            </w:r>
            <w:r>
              <w:t xml:space="preserve"> bytes of data on the socket and a maximum of </w:t>
            </w:r>
            <w:r>
              <w:rPr>
                <w:rStyle w:val="Text3"/>
              </w:rPr>
              <w:t>ancbufsiz</w:t>
            </w:r>
            <w:r>
              <w:t xml:space="preserve"> bytes of ancillary (“out-of-band”) data. Returns a four-item tuple </w:t>
            </w:r>
            <w:r>
              <w:rPr>
                <w:rStyle w:val="Text0"/>
              </w:rPr>
              <w:t>(</w:t>
            </w:r>
            <w:r>
              <w:rPr>
                <w:rStyle w:val="Text3"/>
              </w:rPr>
              <w:t>data</w:t>
            </w:r>
            <w:r>
              <w:rPr>
                <w:rStyle w:val="Text0"/>
              </w:rPr>
              <w:t>,</w:t>
            </w:r>
            <w:r>
              <w:t xml:space="preserve"> </w:t>
            </w:r>
            <w:r>
              <w:rPr>
                <w:rStyle w:val="Text3"/>
              </w:rPr>
              <w:t>ancdata</w:t>
            </w:r>
            <w:r>
              <w:rPr>
                <w:rStyle w:val="Text0"/>
              </w:rPr>
              <w:t>,</w:t>
            </w:r>
            <w:r>
              <w:t xml:space="preserve"> </w:t>
            </w:r>
            <w:r>
              <w:rPr>
                <w:rStyle w:val="Text3"/>
              </w:rPr>
              <w:t>msg_flags</w:t>
            </w:r>
            <w:r>
              <w:rPr>
                <w:rStyle w:val="Text0"/>
              </w:rPr>
              <w:t>,</w:t>
            </w:r>
            <w:r>
              <w:t xml:space="preserve"> </w:t>
            </w:r>
            <w:r>
              <w:rPr>
                <w:rStyle w:val="Text3"/>
              </w:rPr>
              <w:t>address</w:t>
            </w:r>
            <w:r>
              <w:rPr>
                <w:rStyle w:val="Text0"/>
              </w:rPr>
              <w:t>)</w:t>
            </w:r>
            <w:r>
              <w:t xml:space="preserve">, where </w:t>
            </w:r>
            <w:r>
              <w:rPr>
                <w:rStyle w:val="Text3"/>
              </w:rPr>
              <w:t>bytes</w:t>
            </w:r>
            <w:r>
              <w:t xml:space="preserve"> is the received data, </w:t>
            </w:r>
            <w:r>
              <w:rPr>
                <w:rStyle w:val="Text3"/>
              </w:rPr>
              <w:t>ancdata</w:t>
            </w:r>
            <w:r>
              <w:t xml:space="preserve"> is a list of three-item </w:t>
            </w:r>
            <w:r>
              <w:rPr>
                <w:rStyle w:val="Text0"/>
              </w:rPr>
              <w:t>(</w:t>
            </w:r>
            <w:r>
              <w:rPr>
                <w:rStyle w:val="Text3"/>
              </w:rPr>
              <w:t>cmsg_level</w:t>
            </w:r>
            <w:r>
              <w:rPr>
                <w:rStyle w:val="Text0"/>
              </w:rPr>
              <w:t>,</w:t>
            </w:r>
            <w:r>
              <w:t xml:space="preserve"> </w:t>
            </w:r>
            <w:r>
              <w:rPr>
                <w:rStyle w:val="Text3"/>
              </w:rPr>
              <w:t>cmsg_type</w:t>
            </w:r>
            <w:r>
              <w:rPr>
                <w:rStyle w:val="Text0"/>
              </w:rPr>
              <w:t>,</w:t>
            </w:r>
            <w:r>
              <w:t xml:space="preserve"> </w:t>
            </w:r>
            <w:r>
              <w:rPr>
                <w:rStyle w:val="Text3"/>
              </w:rPr>
              <w:t>cmsg_data</w:t>
            </w:r>
            <w:r>
              <w:rPr>
                <w:rStyle w:val="Text0"/>
              </w:rPr>
              <w:t>)</w:t>
            </w:r>
            <w:r>
              <w:t xml:space="preserve"> tuples representing the received ancillary data, </w:t>
            </w:r>
            <w:r>
              <w:rPr>
                <w:rStyle w:val="Text3"/>
              </w:rPr>
              <w:t>msg_flags</w:t>
            </w:r>
            <w:r>
              <w:t xml:space="preserve"> holds any flags received with the message (documented on the Unix manual page for the </w:t>
            </w:r>
            <w:hyperlink r:id="rId527">
              <w:r>
                <w:rPr>
                  <w:rStyle w:val="Text30"/>
                </w:rPr>
                <w:t>recv(2)</w:t>
              </w:r>
            </w:hyperlink>
            <w:r>
              <w:t xml:space="preserve"> system call or in the </w:t>
            </w:r>
            <w:hyperlink r:id="rId529">
              <w:r>
                <w:rPr>
                  <w:rStyle w:val="Text1"/>
                </w:rPr>
                <w:t>Windows docs</w:t>
              </w:r>
            </w:hyperlink>
            <w:r>
              <w:t xml:space="preserve">), and </w:t>
            </w:r>
            <w:r>
              <w:rPr>
                <w:rStyle w:val="Text3"/>
              </w:rPr>
              <w:t>address</w:t>
            </w:r>
            <w:r>
              <w:t xml:space="preserve"> is the address of the counterparty socket that sent the data (if the socket is connected, this value is undefined, but the sender can be determined from the socket).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send</w:t>
            </w:r>
          </w:p>
        </w:tc>
        <w:tc>
          <w:tcPr>
            <w:tcW w:type="auto" w:w="0"/>
            <w:shd w:val="clear" w:color="auto" w:fill="EEF2F6"/>
            <w:tcMar>
              <w:left w:type="dxa" w:w="200"/>
              <w:top w:type="dxa" w:w="200"/>
              <w:right w:type="dxa" w:w="200"/>
              <w:bottom w:type="dxa" w:w="200"/>
            </w:tcMar>
          </w:tcPr>
          <w:p>
            <w:pPr>
              <w:pStyle w:val="Para 002"/>
            </w:pPr>
            <w:r>
              <w:rPr>
                <w:rStyle w:val="Text0"/>
              </w:rPr>
              <w:t>send(</w:t>
            </w:r>
            <w:r>
              <w:rPr>
                <w:rStyle w:val="Text3"/>
              </w:rPr>
              <w:t>bytes</w:t>
            </w:r>
            <w:r>
              <w:rPr>
                <w:rStyle w:val="Text0"/>
              </w:rPr>
              <w:t>[,</w:t>
            </w:r>
            <w:r>
              <w:t xml:space="preserve"> </w:t>
            </w:r>
            <w:r>
              <w:rPr>
                <w:rStyle w:val="Text3"/>
              </w:rPr>
              <w:t>flags</w:t>
            </w:r>
            <w:r>
              <w:rPr>
                <w:rStyle w:val="Text0"/>
              </w:rPr>
              <w:t>])</w:t>
              <w:br w:clear="none"/>
            </w:r>
            <w:r>
              <w:t xml:space="preserve"> Sends the given data </w:t>
            </w:r>
            <w:r>
              <w:rPr>
                <w:rStyle w:val="Text3"/>
              </w:rPr>
              <w:t>bytes</w:t>
            </w:r>
            <w:r>
              <w:t xml:space="preserve"> over the socket, which must already be connected to a remote endpoint. Returns the number of bytes sent, which you should check: the call may not transmit all data, in which case transmission of the remainder will have to be separately requested.</w:t>
            </w:r>
          </w:p>
        </w:tc>
      </w:tr>
    </w:tbl>
    <w:tbl>
      <w:tblPr>
        <w:tblW w:type="auto" w:w="0"/>
      </w:tblPr>
      <w:tr>
        <w:tc>
          <w:tcPr>
            <w:tcW w:type="auto" w:w="0"/>
            <w:tcMar>
              <w:left w:type="dxa" w:w="200"/>
              <w:top w:type="dxa" w:w="200"/>
              <w:right w:type="dxa" w:w="200"/>
              <w:bottom w:type="dxa" w:w="200"/>
            </w:tcMar>
          </w:tcPr>
          <w:p>
            <w:pPr>
              <w:pStyle w:val="Para 001"/>
            </w:pPr>
            <w:r>
              <w:t>sendall</w:t>
            </w:r>
          </w:p>
        </w:tc>
        <w:tc>
          <w:tcPr>
            <w:tcW w:type="auto" w:w="0"/>
            <w:tcMar>
              <w:left w:type="dxa" w:w="200"/>
              <w:top w:type="dxa" w:w="200"/>
              <w:right w:type="dxa" w:w="200"/>
              <w:bottom w:type="dxa" w:w="200"/>
            </w:tcMar>
          </w:tcPr>
          <w:p>
            <w:pPr>
              <w:pStyle w:val="Para 002"/>
            </w:pPr>
            <w:r>
              <w:rPr>
                <w:rStyle w:val="Text0"/>
              </w:rPr>
              <w:t>sendall(</w:t>
            </w:r>
            <w:r>
              <w:rPr>
                <w:rStyle w:val="Text3"/>
              </w:rPr>
              <w:t>bytes</w:t>
            </w:r>
            <w:r>
              <w:rPr>
                <w:rStyle w:val="Text0"/>
              </w:rPr>
              <w:t>[,</w:t>
            </w:r>
            <w:r>
              <w:t xml:space="preserve"> </w:t>
            </w:r>
            <w:r>
              <w:rPr>
                <w:rStyle w:val="Text3"/>
              </w:rPr>
              <w:t>flags</w:t>
            </w:r>
            <w:r>
              <w:rPr>
                <w:rStyle w:val="Text0"/>
              </w:rPr>
              <w:t>])</w:t>
              <w:br w:clear="none"/>
            </w:r>
            <w:r>
              <w:t xml:space="preserve"> Sends all the given data </w:t>
            </w:r>
            <w:r>
              <w:rPr>
                <w:rStyle w:val="Text3"/>
              </w:rPr>
              <w:t>bytes</w:t>
            </w:r>
            <w:r>
              <w:t xml:space="preserve"> over the socket, which must already be connected to a remote endpoint. The socket’s timeout value applies to the transmission of all the data, even if multiple transmissions are needed.</w:t>
            </w:r>
          </w:p>
        </w:tc>
      </w:tr>
    </w:tbl>
    <w:tbl>
      <w:tblPr>
        <w:tblW w:type="auto" w:w="0"/>
      </w:tblPr>
      <w:tr>
        <w:tc>
          <w:tcPr>
            <w:tcW w:type="auto" w:w="0"/>
            <w:shd w:val="clear" w:color="auto" w:fill="EEF2F6"/>
            <w:tcMar>
              <w:left w:type="dxa" w:w="200"/>
              <w:top w:type="dxa" w:w="200"/>
              <w:right w:type="dxa" w:w="200"/>
              <w:bottom w:type="dxa" w:w="200"/>
            </w:tcMar>
          </w:tcPr>
          <w:p>
            <w:pPr>
              <w:pStyle w:val="Para 001"/>
            </w:pPr>
            <w:r>
              <w:t>sendfile</w:t>
            </w:r>
          </w:p>
        </w:tc>
        <w:tc>
          <w:tcPr>
            <w:tcW w:type="auto" w:w="0"/>
            <w:shd w:val="clear" w:color="auto" w:fill="EEF2F6"/>
            <w:tcMar>
              <w:left w:type="dxa" w:w="200"/>
              <w:top w:type="dxa" w:w="200"/>
              <w:right w:type="dxa" w:w="200"/>
              <w:bottom w:type="dxa" w:w="200"/>
            </w:tcMar>
          </w:tcPr>
          <w:p>
            <w:pPr>
              <w:pStyle w:val="Para 002"/>
            </w:pPr>
            <w:r>
              <w:rPr>
                <w:rStyle w:val="Text0"/>
              </w:rPr>
              <w:t>sendfile(</w:t>
            </w:r>
            <w:r>
              <w:rPr>
                <w:rStyle w:val="Text3"/>
              </w:rPr>
              <w:t>file,</w:t>
            </w:r>
            <w:r>
              <w:t xml:space="preserve"> </w:t>
            </w:r>
            <w:r>
              <w:rPr>
                <w:rStyle w:val="Text0"/>
              </w:rPr>
              <w:t>offset=0, count=</w:t>
            </w:r>
            <w:r>
              <w:rPr>
                <w:rStyle w:val="Text5"/>
              </w:rPr>
              <w:t>None</w:t>
            </w:r>
            <w:r>
              <w:rPr>
                <w:rStyle w:val="Text0"/>
              </w:rPr>
              <w:t>)</w:t>
              <w:br w:clear="none"/>
            </w:r>
            <w:r>
              <w:t xml:space="preserve"> Send the contents of file object </w:t>
            </w:r>
            <w:r>
              <w:rPr>
                <w:rStyle w:val="Text3"/>
              </w:rPr>
              <w:t>file</w:t>
            </w:r>
            <w:r>
              <w:t xml:space="preserve"> (which must be open in binary mode) to the connected endpoint. On platforms where </w:t>
            </w:r>
            <w:r>
              <w:rPr>
                <w:rStyle w:val="Text0"/>
              </w:rPr>
              <w:t>os.sendfile</w:t>
            </w:r>
            <w:r>
              <w:t xml:space="preserve"> is available, it’s used; otherwise, the </w:t>
            </w:r>
            <w:r>
              <w:rPr>
                <w:rStyle w:val="Text0"/>
              </w:rPr>
              <w:t>send</w:t>
            </w:r>
            <w:r>
              <w:t xml:space="preserve"> call is used. </w:t>
            </w:r>
            <w:r>
              <w:rPr>
                <w:rStyle w:val="Text0"/>
              </w:rPr>
              <w:t>offset</w:t>
            </w:r>
            <w:r>
              <w:t xml:space="preserve">, if any, determines the starting byte position in the file from which transmission begins; </w:t>
            </w:r>
            <w:r>
              <w:rPr>
                <w:rStyle w:val="Text0"/>
              </w:rPr>
              <w:t>count</w:t>
            </w:r>
            <w:r>
              <w:t xml:space="preserve"> sets the maximum number of bytes to transmit. Returns the total number of bytes transmitted.</w:t>
            </w:r>
          </w:p>
        </w:tc>
      </w:tr>
    </w:tbl>
    <w:tbl>
      <w:tblPr>
        <w:tblW w:type="auto" w:w="0"/>
      </w:tblPr>
      <w:tr>
        <w:tc>
          <w:tcPr>
            <w:tcW w:type="auto" w:w="0"/>
            <w:tcMar>
              <w:left w:type="dxa" w:w="200"/>
              <w:top w:type="dxa" w:w="200"/>
              <w:right w:type="dxa" w:w="200"/>
              <w:bottom w:type="dxa" w:w="200"/>
            </w:tcMar>
          </w:tcPr>
          <w:p>
            <w:pPr>
              <w:pStyle w:val="Para 001"/>
            </w:pPr>
            <w:r>
              <w:t>sendmsg</w:t>
            </w:r>
          </w:p>
        </w:tc>
        <w:tc>
          <w:tcPr>
            <w:tcW w:type="auto" w:w="0"/>
            <w:tcMar>
              <w:left w:type="dxa" w:w="200"/>
              <w:top w:type="dxa" w:w="200"/>
              <w:right w:type="dxa" w:w="200"/>
              <w:bottom w:type="dxa" w:w="200"/>
            </w:tcMar>
          </w:tcPr>
          <w:p>
            <w:pPr>
              <w:pStyle w:val="Para 002"/>
            </w:pPr>
            <w:r>
              <w:rPr>
                <w:rStyle w:val="Text0"/>
              </w:rPr>
              <w:t>sendmsg(</w:t>
            </w:r>
            <w:r>
              <w:rPr>
                <w:rStyle w:val="Text3"/>
              </w:rPr>
              <w:t>buffers</w:t>
            </w:r>
            <w:r>
              <w:rPr>
                <w:rStyle w:val="Text0"/>
              </w:rPr>
              <w:t>[,</w:t>
            </w:r>
            <w:r>
              <w:t xml:space="preserve"> </w:t>
            </w:r>
            <w:r>
              <w:rPr>
                <w:rStyle w:val="Text3"/>
              </w:rPr>
              <w:t>ancdata</w:t>
            </w:r>
            <w:r>
              <w:rPr>
                <w:rStyle w:val="Text0"/>
              </w:rPr>
              <w:t>[,</w:t>
            </w:r>
            <w:r>
              <w:t xml:space="preserve"> </w:t>
            </w:r>
            <w:r>
              <w:rPr>
                <w:rStyle w:val="Text3"/>
              </w:rPr>
              <w:t>flags</w:t>
            </w:r>
            <w:r>
              <w:rPr>
                <w:rStyle w:val="Text0"/>
              </w:rPr>
              <w:t>[,</w:t>
            </w:r>
            <w:r>
              <w:t xml:space="preserve"> </w:t>
            </w:r>
            <w:r>
              <w:rPr>
                <w:rStyle w:val="Text3"/>
              </w:rPr>
              <w:t>address</w:t>
            </w:r>
            <w:r>
              <w:rPr>
                <w:rStyle w:val="Text0"/>
              </w:rPr>
              <w:t>]]])</w:t>
              <w:br w:clear="none"/>
            </w:r>
            <w:r>
              <w:t xml:space="preserve"> Sends normal and ancillary (out-of-band) data to the connected endpoint. </w:t>
            </w:r>
            <w:r>
              <w:rPr>
                <w:rStyle w:val="Text3"/>
              </w:rPr>
              <w:t>buffers</w:t>
            </w:r>
            <w:r>
              <w:t xml:space="preserve"> should be an iterable of bytes-like objects. The </w:t>
            </w:r>
            <w:r>
              <w:rPr>
                <w:rStyle w:val="Text3"/>
              </w:rPr>
              <w:t>ancdata</w:t>
            </w:r>
            <w:r>
              <w:t xml:space="preserve"> argument should be an iterable of </w:t>
            </w:r>
            <w:r>
              <w:rPr>
                <w:rStyle w:val="Text0"/>
              </w:rPr>
              <w:t>(</w:t>
            </w:r>
            <w:r>
              <w:rPr>
                <w:rStyle w:val="Text3"/>
              </w:rPr>
              <w:t>data, ancdata, msg_flags, address</w:t>
            </w:r>
            <w:r>
              <w:rPr>
                <w:rStyle w:val="Text0"/>
              </w:rPr>
              <w:t>)</w:t>
            </w:r>
            <w:r>
              <w:t xml:space="preserve"> tuples representing the ancillary data. </w:t>
            </w:r>
            <w:r>
              <w:rPr>
                <w:rStyle w:val="Text3"/>
              </w:rPr>
              <w:t>msg_flags</w:t>
            </w:r>
            <w:r>
              <w:t xml:space="preserve"> are flags documented on the Unix manual page for the </w:t>
            </w:r>
            <w:r>
              <w:rPr>
                <w:rStyle w:val="Text0"/>
              </w:rPr>
              <w:t>send(2)</w:t>
            </w:r>
            <w:r>
              <w:t xml:space="preserve"> system call or in the </w:t>
            </w:r>
            <w:hyperlink r:id="rId529">
              <w:r>
                <w:rPr>
                  <w:rStyle w:val="Text1"/>
                </w:rPr>
                <w:t>Windows docs</w:t>
              </w:r>
            </w:hyperlink>
            <w:r>
              <w:t xml:space="preserve">. </w:t>
            </w:r>
            <w:r>
              <w:rPr>
                <w:rStyle w:val="Text3"/>
              </w:rPr>
              <w:t>address</w:t>
            </w:r>
            <w:r>
              <w:t xml:space="preserve"> should only be provided for an unconnected socket, and determines the endpoint to which the data is sent.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sendto</w:t>
            </w:r>
          </w:p>
        </w:tc>
        <w:tc>
          <w:tcPr>
            <w:tcW w:type="auto" w:w="0"/>
            <w:shd w:val="clear" w:color="auto" w:fill="EEF2F6"/>
            <w:tcMar>
              <w:left w:type="dxa" w:w="200"/>
              <w:top w:type="dxa" w:w="200"/>
              <w:right w:type="dxa" w:w="200"/>
              <w:bottom w:type="dxa" w:w="200"/>
            </w:tcMar>
          </w:tcPr>
          <w:p>
            <w:pPr>
              <w:pStyle w:val="Para 002"/>
            </w:pPr>
            <w:r>
              <w:rPr>
                <w:rStyle w:val="Text0"/>
              </w:rPr>
              <w:t>sendto(</w:t>
            </w:r>
            <w:r>
              <w:rPr>
                <w:rStyle w:val="Text3"/>
              </w:rPr>
              <w:t>bytes</w:t>
            </w:r>
            <w:r>
              <w:rPr>
                <w:rStyle w:val="Text0"/>
              </w:rPr>
              <w:t>,[</w:t>
            </w:r>
            <w:r>
              <w:rPr>
                <w:rStyle w:val="Text3"/>
              </w:rPr>
              <w:t>flags</w:t>
            </w:r>
            <w:r>
              <w:rPr>
                <w:rStyle w:val="Text0"/>
              </w:rPr>
              <w:t>,]</w:t>
            </w:r>
            <w:r>
              <w:rPr>
                <w:rStyle w:val="Text3"/>
              </w:rPr>
              <w:t>address</w:t>
            </w:r>
            <w:r>
              <w:rPr>
                <w:rStyle w:val="Text0"/>
              </w:rPr>
              <w:t>)</w:t>
              <w:br w:clear="none"/>
            </w:r>
            <w:r>
              <w:t xml:space="preserve"> Transmits the </w:t>
            </w:r>
            <w:r>
              <w:rPr>
                <w:rStyle w:val="Text3"/>
              </w:rPr>
              <w:t>bytes</w:t>
            </w:r>
            <w:r>
              <w:t xml:space="preserve"> (</w:t>
            </w:r>
            <w:r>
              <w:rPr>
                <w:rStyle w:val="Text3"/>
              </w:rPr>
              <w:t>s</w:t>
            </w:r>
            <w:r>
              <w:t xml:space="preserve"> must not be connected) to the given socket address, and returns the number of bytes sent. The optional </w:t>
            </w:r>
            <w:r>
              <w:rPr>
                <w:rStyle w:val="Text3"/>
              </w:rPr>
              <w:t>flags</w:t>
            </w:r>
            <w:r>
              <w:t xml:space="preserve"> argument has the same meaning as for </w:t>
            </w:r>
            <w:r>
              <w:rPr>
                <w:rStyle w:val="Text0"/>
              </w:rPr>
              <w:t>recv</w:t>
            </w:r>
            <w:r>
              <w:t>.</w:t>
            </w:r>
          </w:p>
        </w:tc>
      </w:tr>
    </w:tbl>
    <w:tbl>
      <w:tblPr>
        <w:tblW w:type="auto" w:w="0"/>
      </w:tblPr>
      <w:tr>
        <w:tc>
          <w:tcPr>
            <w:tcW w:type="auto" w:w="0"/>
            <w:tcMar>
              <w:left w:type="dxa" w:w="200"/>
              <w:top w:type="dxa" w:w="200"/>
              <w:right w:type="dxa" w:w="200"/>
              <w:bottom w:type="dxa" w:w="200"/>
            </w:tcMar>
          </w:tcPr>
          <w:p>
            <w:pPr>
              <w:pStyle w:val="Para 001"/>
            </w:pPr>
            <w:r>
              <w:t>setblocking</w:t>
            </w:r>
          </w:p>
        </w:tc>
        <w:tc>
          <w:tcPr>
            <w:tcW w:type="auto" w:w="0"/>
            <w:tcMar>
              <w:left w:type="dxa" w:w="200"/>
              <w:top w:type="dxa" w:w="200"/>
              <w:right w:type="dxa" w:w="200"/>
              <w:bottom w:type="dxa" w:w="200"/>
            </w:tcMar>
          </w:tcPr>
          <w:p>
            <w:pPr>
              <w:pStyle w:val="Para 002"/>
            </w:pPr>
            <w:r>
              <w:rPr>
                <w:rStyle w:val="Text0"/>
              </w:rPr>
              <w:t>setblocking(</w:t>
            </w:r>
            <w:r>
              <w:rPr>
                <w:rStyle w:val="Text3"/>
              </w:rPr>
              <w:t>flag</w:t>
            </w:r>
            <w:r>
              <w:rPr>
                <w:rStyle w:val="Text0"/>
              </w:rPr>
              <w:t>)</w:t>
              <w:br w:clear="none"/>
            </w:r>
            <w:r>
              <w:t xml:space="preserve"> Determines whether </w:t>
            </w:r>
            <w:r>
              <w:rPr>
                <w:rStyle w:val="Text3"/>
              </w:rPr>
              <w:t>s</w:t>
            </w:r>
            <w:r>
              <w:t xml:space="preserve"> operates in blocking mode (see </w:t>
            </w:r>
            <w:hyperlink w:anchor="Socket_Objects__The_socket_objec">
              <w:r>
                <w:rPr>
                  <w:rStyle w:val="Text1"/>
                </w:rPr>
                <w:t>“Socket Objects”</w:t>
              </w:r>
            </w:hyperlink>
            <w:r>
              <w:t xml:space="preserve">), according to the truth value of </w:t>
            </w:r>
            <w:r>
              <w:rPr>
                <w:rStyle w:val="Text3"/>
              </w:rPr>
              <w:t>flag</w:t>
            </w:r>
            <w:r>
              <w:rPr>
                <w:rStyle w:val="Text4"/>
              </w:rPr>
              <w:t>.</w:t>
            </w:r>
            <w:r>
              <w:t xml:space="preserve"> </w:t>
            </w:r>
            <w:r>
              <w:rPr>
                <w:rStyle w:val="Text3"/>
              </w:rPr>
              <w:t>s</w:t>
            </w:r>
            <w:r>
              <w:rPr>
                <w:rStyle w:val="Text0"/>
              </w:rPr>
              <w:t>.setblocking(</w:t>
            </w:r>
            <w:r>
              <w:rPr>
                <w:rStyle w:val="Text5"/>
              </w:rPr>
              <w:t>True</w:t>
            </w:r>
            <w:r>
              <w:rPr>
                <w:rStyle w:val="Text0"/>
              </w:rPr>
              <w:t>)</w:t>
            </w:r>
            <w:r>
              <w:t xml:space="preserve"> works like </w:t>
            </w:r>
            <w:r>
              <w:rPr>
                <w:rStyle w:val="Text3"/>
              </w:rPr>
              <w:t>s</w:t>
            </w:r>
            <w:r>
              <w:rPr>
                <w:rStyle w:val="Text0"/>
              </w:rPr>
              <w:t>.settimeout(</w:t>
            </w:r>
            <w:r>
              <w:rPr>
                <w:rStyle w:val="Text5"/>
              </w:rPr>
              <w:t>None</w:t>
            </w:r>
            <w:r>
              <w:rPr>
                <w:rStyle w:val="Text0"/>
              </w:rPr>
              <w:t>)</w:t>
            </w:r>
            <w:r>
              <w:t xml:space="preserve">; </w:t>
            </w:r>
            <w:r>
              <w:rPr>
                <w:rStyle w:val="Text3"/>
              </w:rPr>
              <w:t>s</w:t>
            </w:r>
            <w:r>
              <w:rPr>
                <w:rStyle w:val="Text0"/>
              </w:rPr>
              <w:t>.set_blocking(</w:t>
            </w:r>
            <w:r>
              <w:rPr>
                <w:rStyle w:val="Text5"/>
              </w:rPr>
              <w:t>False</w:t>
            </w:r>
            <w:r>
              <w:rPr>
                <w:rStyle w:val="Text0"/>
              </w:rPr>
              <w:t>)</w:t>
            </w:r>
            <w:r>
              <w:t xml:space="preserve"> works like </w:t>
            </w:r>
            <w:r>
              <w:rPr>
                <w:rStyle w:val="Text3"/>
              </w:rPr>
              <w:t>s</w:t>
            </w:r>
            <w:r>
              <w:rPr>
                <w:rStyle w:val="Text0"/>
              </w:rPr>
              <w:t>.settimeout(0.0)</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s⁠e⁠t⁠_​i⁠n⁠h⁠e⁠r⁠i⁠t⁠a⁠b⁠l⁠e</w:t>
            </w:r>
          </w:p>
        </w:tc>
        <w:tc>
          <w:tcPr>
            <w:tcW w:type="auto" w:w="0"/>
            <w:shd w:val="clear" w:color="auto" w:fill="EEF2F6"/>
            <w:tcMar>
              <w:left w:type="dxa" w:w="200"/>
              <w:top w:type="dxa" w:w="200"/>
              <w:right w:type="dxa" w:w="200"/>
              <w:bottom w:type="dxa" w:w="200"/>
            </w:tcMar>
          </w:tcPr>
          <w:p>
            <w:pPr>
              <w:pStyle w:val="Para 002"/>
            </w:pPr>
            <w:r>
              <w:rPr>
                <w:rStyle w:val="Text0"/>
              </w:rPr>
              <w:t>set_inheritable(</w:t>
            </w:r>
            <w:r>
              <w:rPr>
                <w:rStyle w:val="Text3"/>
              </w:rPr>
              <w:t>flag</w:t>
            </w:r>
            <w:r>
              <w:rPr>
                <w:rStyle w:val="Text0"/>
              </w:rPr>
              <w:t>)</w:t>
              <w:br w:clear="none"/>
            </w:r>
            <w:r>
              <w:t xml:space="preserve"> Determines whether the socket gets inherited by child processes, according to the truth value of </w:t>
            </w:r>
            <w:r>
              <w:rPr>
                <w:rStyle w:val="Text3"/>
              </w:rPr>
              <w:t>flag</w:t>
            </w:r>
            <w:r>
              <w:t>.</w:t>
            </w:r>
          </w:p>
        </w:tc>
      </w:tr>
    </w:tbl>
    <w:tbl>
      <w:tblPr>
        <w:tblW w:type="auto" w:w="0"/>
      </w:tblPr>
      <w:tr>
        <w:tc>
          <w:tcPr>
            <w:tcW w:type="auto" w:w="0"/>
            <w:tcMar>
              <w:left w:type="dxa" w:w="200"/>
              <w:top w:type="dxa" w:w="200"/>
              <w:right w:type="dxa" w:w="200"/>
              <w:bottom w:type="dxa" w:w="200"/>
            </w:tcMar>
          </w:tcPr>
          <w:p>
            <w:pPr>
              <w:pStyle w:val="Para 001"/>
            </w:pPr>
            <w:r>
              <w:t>settimeout</w:t>
            </w:r>
          </w:p>
        </w:tc>
        <w:tc>
          <w:tcPr>
            <w:tcW w:type="auto" w:w="0"/>
            <w:tcMar>
              <w:left w:type="dxa" w:w="200"/>
              <w:top w:type="dxa" w:w="200"/>
              <w:right w:type="dxa" w:w="200"/>
              <w:bottom w:type="dxa" w:w="200"/>
            </w:tcMar>
          </w:tcPr>
          <w:p>
            <w:pPr>
              <w:pStyle w:val="Para 002"/>
            </w:pPr>
            <w:r>
              <w:rPr>
                <w:rStyle w:val="Text0"/>
              </w:rPr>
              <w:t>settimeout(</w:t>
            </w:r>
            <w:r>
              <w:rPr>
                <w:rStyle w:val="Text3"/>
              </w:rPr>
              <w:t>timeout</w:t>
            </w:r>
            <w:r>
              <w:rPr>
                <w:rStyle w:val="Text0"/>
              </w:rPr>
              <w:t>)</w:t>
              <w:br w:clear="none"/>
            </w:r>
            <w:r>
              <w:t xml:space="preserve"> Establishes the mode of </w:t>
            </w:r>
            <w:r>
              <w:rPr>
                <w:rStyle w:val="Text3"/>
              </w:rPr>
              <w:t>s</w:t>
            </w:r>
            <w:r>
              <w:t xml:space="preserve"> (see </w:t>
            </w:r>
            <w:hyperlink w:anchor="Socket_Objects__The_socket_objec">
              <w:r>
                <w:rPr>
                  <w:rStyle w:val="Text1"/>
                </w:rPr>
                <w:t>“Socket Objects”</w:t>
              </w:r>
            </w:hyperlink>
            <w:r>
              <w:t xml:space="preserve">) according to the value of </w:t>
            </w:r>
            <w:r>
              <w:rPr>
                <w:rStyle w:val="Text3"/>
              </w:rPr>
              <w:t>timeout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shutdown</w:t>
            </w:r>
          </w:p>
        </w:tc>
        <w:tc>
          <w:tcPr>
            <w:tcW w:type="auto" w:w="0"/>
            <w:shd w:val="clear" w:color="auto" w:fill="EEF2F6"/>
            <w:tcMar>
              <w:left w:type="dxa" w:w="200"/>
              <w:top w:type="dxa" w:w="200"/>
              <w:right w:type="dxa" w:w="200"/>
              <w:bottom w:type="dxa" w:w="200"/>
            </w:tcMar>
          </w:tcPr>
          <w:p>
            <w:pPr>
              <w:pStyle w:val="Para 002"/>
            </w:pPr>
            <w:r>
              <w:rPr>
                <w:rStyle w:val="Text0"/>
              </w:rPr>
              <w:t>shutdown(</w:t>
            </w:r>
            <w:r>
              <w:rPr>
                <w:rStyle w:val="Text3"/>
              </w:rPr>
              <w:t>how</w:t>
            </w:r>
            <w:r>
              <w:rPr>
                <w:rStyle w:val="Text0"/>
              </w:rPr>
              <w:t>)</w:t>
              <w:br w:clear="none"/>
            </w:r>
            <w:r>
              <w:t xml:space="preserve"> Shuts down one or both halves of a socket connection according to the value of the </w:t>
            </w:r>
            <w:r>
              <w:rPr>
                <w:rStyle w:val="Text3"/>
              </w:rPr>
              <w:t>how</w:t>
            </w:r>
            <w:r>
              <w:t xml:space="preserve"> argument, as detailed here: </w:t>
            </w:r>
          </w:p>
          <w:p>
            <w:pPr>
              <w:pStyle w:val="Para 024"/>
            </w:pPr>
            <w:r>
              <w:t>socket.SHUT_RD</w:t>
            </w:r>
          </w:p>
          <w:p>
            <w:pPr>
              <w:pStyle w:val="Para 028"/>
            </w:pPr>
            <w:r>
              <w:t xml:space="preserve">No further receive operations can be performed on </w:t>
            </w:r>
            <w:r>
              <w:rPr>
                <w:rStyle w:val="Text3"/>
              </w:rPr>
              <w:t>s</w:t>
            </w:r>
            <w:r>
              <w:t>.</w:t>
            </w:r>
          </w:p>
          <w:p>
            <w:pPr>
              <w:pStyle w:val="Para 024"/>
            </w:pPr>
            <w:r>
              <w:t>socket.SHUT_RDWR</w:t>
            </w:r>
          </w:p>
          <w:p>
            <w:pPr>
              <w:pStyle w:val="Para 028"/>
            </w:pPr>
            <w:r>
              <w:t xml:space="preserve">No further receive or send operations can be performed on </w:t>
            </w:r>
            <w:r>
              <w:rPr>
                <w:rStyle w:val="Text3"/>
              </w:rPr>
              <w:t>s</w:t>
            </w:r>
            <w:r>
              <w:t>.</w:t>
            </w:r>
          </w:p>
          <w:p>
            <w:pPr>
              <w:pStyle w:val="Para 024"/>
            </w:pPr>
            <w:r>
              <w:t>socket.SHUT_WR</w:t>
            </w:r>
          </w:p>
          <w:p>
            <w:pPr>
              <w:pStyle w:val="Para 028"/>
            </w:pPr>
            <w:r>
              <w:t xml:space="preserve">No further send operations can be performed on </w:t>
            </w:r>
            <w:r>
              <w:rPr>
                <w:rStyle w:val="Text3"/>
              </w:rPr>
              <w:t>s</w:t>
            </w:r>
            <w:r>
              <w:t>.</w:t>
            </w:r>
          </w:p>
        </w:tc>
      </w:tr>
    </w:tbl>
    <w:p>
      <w:pPr>
        <w:pStyle w:val="Normal"/>
      </w:pPr>
      <w:r>
        <w:t xml:space="preserve">A socket object </w:t>
      </w:r>
      <w:r>
        <w:rPr>
          <w:rStyle w:val="Text3"/>
        </w:rPr>
        <w:t>s</w:t>
      </w:r>
      <w:r>
        <w:t xml:space="preserve"> also has the attributes </w:t>
      </w:r>
      <w:r>
        <w:rPr>
          <w:rStyle w:val="Text0"/>
        </w:rPr>
        <w:t>family</w:t>
      </w:r>
      <w:r>
        <w:t xml:space="preserve"> (</w:t>
      </w:r>
      <w:r>
        <w:rPr>
          <w:rStyle w:val="Text3"/>
        </w:rPr>
        <w:t>s</w:t>
      </w:r>
      <w:r>
        <w:t xml:space="preserve">’s socket family) and </w:t>
      </w:r>
      <w:r>
        <w:rPr>
          <w:rStyle w:val="Text0"/>
        </w:rPr>
        <w:t>type</w:t>
      </w:r>
      <w:r>
        <w:t xml:space="preserve"> (</w:t>
      </w:r>
      <w:r>
        <w:rPr>
          <w:rStyle w:val="Text3"/>
        </w:rPr>
        <w:t>s</w:t>
      </w:r>
      <w:r>
        <w:t>’s socket type).</w:t>
      </w:r>
      <w:r>
        <w:rPr>
          <w:rStyle w:val="Text111"/>
        </w:rPr>
        <w:bookmarkStart w:id="3996" w:name="idm45965177142256"/>
        <w:t/>
        <w:bookmarkEnd w:id="3996"/>
        <w:bookmarkStart w:id="3997" w:name="idm45965177140880"/>
        <w:t/>
        <w:bookmarkEnd w:id="3997"/>
      </w:r>
    </w:p>
    <w:p>
      <w:bookmarkStart w:id="3998" w:name="A_Connectionless_Socket_Client"/>
      <w:pPr>
        <w:keepNext/>
        <w:pStyle w:val="Heading 2"/>
      </w:pPr>
      <w:r>
        <w:t>A Connectionless Socket Client</w:t>
      </w:r>
      <w:bookmarkEnd w:id="3998"/>
    </w:p>
    <w:p>
      <w:pPr>
        <w:pStyle w:val="Normal"/>
      </w:pPr>
      <w:r>
        <w:t>Consider</w:t>
      </w:r>
      <w:r>
        <w:rPr>
          <w:rStyle w:val="Text111"/>
        </w:rPr>
        <w:bookmarkStart w:id="3999" w:name="idm45965177137920"/>
        <w:t/>
        <w:bookmarkEnd w:id="3999"/>
        <w:bookmarkStart w:id="4000" w:name="idm45965177136272"/>
        <w:t/>
        <w:bookmarkEnd w:id="4000"/>
        <w:bookmarkStart w:id="4001" w:name="idm45965177135152"/>
        <w:t/>
        <w:bookmarkEnd w:id="4001"/>
      </w:r>
      <w:r>
        <w:t xml:space="preserve"> a simplistic packet-echo service, where a client sends text encoded in UTF-8 to a server, which sends the same information back to the client. In a connectionless service, all the client has to do is send each chunk of data to the defined server endpoint: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socket</w:t>
        <w:br w:clear="none"/>
      </w:r>
      <w:r>
        <w:rPr>
          <w:rStyle w:val="Text6"/>
        </w:rPr>
        <w:t xml:space="preserve"/>
        <w:br w:clear="none"/>
        <w:t xml:space="preserve"/>
        <w:br w:clear="none"/>
      </w:r>
      <w:r>
        <w:t xml:space="preserve">UDP_IP</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localhost</w:t>
        <w:br w:clear="none"/>
        <w:t xml:space="preserve">'</w:t>
        <w:br w:clear="none"/>
      </w:r>
      <w:r>
        <w:rPr>
          <w:rStyle w:val="Text6"/>
        </w:rPr>
        <w:t xml:space="preserve"/>
        <w:br w:clear="none"/>
      </w:r>
      <w:r>
        <w:t xml:space="preserve">UDP_PORT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8883</w:t>
        <w:br w:clear="none"/>
      </w:r>
      <w:r>
        <w:rPr>
          <w:rStyle w:val="Text6"/>
        </w:rPr>
        <w:t xml:space="preserve"/>
        <w:br w:clear="none"/>
      </w:r>
      <w:r>
        <w:t xml:space="preserve">MESSAGE</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w:t>
        <w:br w:clear="none"/>
        <w:t xml:space="preserve">This is a bunch of lines, each</w:t>
        <w:br w:clear="none"/>
        <w:t xml:space="preserve"/>
        <w:br w:clear="none"/>
        <w:t xml:space="preserve">of which will be sent in a single</w:t>
        <w:br w:clear="none"/>
        <w:t xml:space="preserve"/>
        <w:br w:clear="none"/>
        <w:t xml:space="preserve">UDP datagram. No error detection</w:t>
        <w:br w:clear="none"/>
        <w:t xml:space="preserve"/>
        <w:br w:clear="none"/>
        <w:t xml:space="preserve">or correction will occur.</w:t>
        <w:br w:clear="none"/>
        <w:t xml:space="preserve"/>
        <w:br w:clear="none"/>
        <w:t xml:space="preserve">Crazy bananas! £€ should go through.</w:t>
        <w:br w:clear="none"/>
        <w:t xml:space="preserve">"""</w:t>
        <w:br w:clear="none"/>
      </w:r>
      <w:r>
        <w:rPr>
          <w:rStyle w:val="Text6"/>
        </w:rPr>
        <w:t xml:space="preserve"/>
        <w:br w:clear="none"/>
        <w:t xml:space="preserve"/>
        <w:br w:clear="none"/>
      </w:r>
      <w:r>
        <w:t xml:space="preserve">server</w:t>
        <w:br w:clear="none"/>
      </w:r>
      <w:r>
        <w:rPr>
          <w:rStyle w:val="Text6"/>
        </w:rPr>
        <w:t xml:space="preserve"> </w:t>
        <w:br w:clear="none"/>
      </w:r>
      <w:r>
        <w:rPr>
          <w:rStyle w:val="Text13"/>
        </w:rPr>
        <w:t xml:space="preserve">=</w:t>
        <w:br w:clear="none"/>
      </w:r>
      <w:r>
        <w:rPr>
          <w:rStyle w:val="Text6"/>
        </w:rPr>
        <w:t xml:space="preserve"> </w:t>
        <w:br w:clear="none"/>
      </w:r>
      <w:r>
        <w:t xml:space="preserve">UDP_IP</w:t>
        <w:br w:clear="none"/>
      </w:r>
      <w:r>
        <w:rPr>
          <w:rStyle w:val="Text7"/>
        </w:rPr>
        <w:t xml:space="preserve">,</w:t>
        <w:br w:clear="none"/>
      </w:r>
      <w:r>
        <w:rPr>
          <w:rStyle w:val="Text6"/>
        </w:rPr>
        <w:t xml:space="preserve"> </w:t>
        <w:br w:clear="none"/>
      </w:r>
      <w:r>
        <w:t xml:space="preserve">UDP_PORT</w:t>
        <w:br w:clear="none"/>
      </w:r>
      <w:r>
        <w:rPr>
          <w:rStyle w:val="Text6"/>
        </w:rPr>
        <w:t xml:space="preserve"/>
        <w:br w:clear="none"/>
      </w:r>
      <w:r>
        <w:t xml:space="preserve">encoding</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utf-8</w:t>
        <w:br w:clear="none"/>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t>
        <w:br w:clear="none"/>
      </w:r>
      <w:r>
        <w:rPr>
          <w:rStyle w:val="Text15"/>
        </w:rPr>
        <w:t xml:space="preserve"># IPv4</w:t>
        <w:br w:clear="none"/>
      </w:r>
      <w:r>
        <w:rPr>
          <w:rStyle w:val="Text6"/>
        </w:rPr>
        <w:t xml:space="preserve"/>
        <w:br w:clear="none"/>
        <w:t xml:space="preserve">                   </w:t>
        <w:br w:clear="none"/>
      </w:r>
      <w:r>
        <w:t xml:space="preserve">socket</w:t>
        <w:br w:clear="none"/>
      </w:r>
      <w:r>
        <w:rPr>
          <w:rStyle w:val="Text13"/>
        </w:rPr>
        <w:t xml:space="preserve">.</w:t>
        <w:br w:clear="none"/>
      </w:r>
      <w:r>
        <w:t xml:space="preserve">SOCK_DGRAM</w:t>
        <w:br w:clear="none"/>
      </w:r>
      <w:r>
        <w:rPr>
          <w:rStyle w:val="Text7"/>
        </w:rPr>
        <w:t xml:space="preserve">,</w:t>
        <w:br w:clear="none"/>
      </w:r>
      <w:r>
        <w:rPr>
          <w:rStyle w:val="Text6"/>
        </w:rPr>
        <w:t xml:space="preserve"> </w:t>
        <w:br w:clear="none"/>
      </w:r>
      <w:r>
        <w:rPr>
          <w:rStyle w:val="Text15"/>
        </w:rPr>
        <w:t xml:space="preserve"># UDP</w:t>
        <w:br w:clear="none"/>
      </w:r>
      <w:r>
        <w:rPr>
          <w:rStyle w:val="Text6"/>
        </w:rPr>
        <w:t xml:space="preserve"/>
        <w:br w:clear="none"/>
        <w:t xml:space="preserve">                  </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sock</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MESSAGE</w:t>
        <w:br w:clear="none"/>
      </w:r>
      <w:r>
        <w:rPr>
          <w:rStyle w:val="Text13"/>
        </w:rPr>
        <w:t xml:space="preserve">.</w:t>
        <w:br w:clear="none"/>
      </w:r>
      <w:r>
        <w:t xml:space="preserve">splitlines</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line</w:t>
        <w:br w:clear="none"/>
      </w:r>
      <w:r>
        <w:rPr>
          <w:rStyle w:val="Text13"/>
        </w:rPr>
        <w:t xml:space="preserve">.</w:t>
        <w:br w:clear="none"/>
      </w:r>
      <w:r>
        <w:t xml:space="preserve">encode</w:t>
        <w:br w:clear="none"/>
      </w:r>
      <w:r>
        <w:rPr>
          <w:rStyle w:val="Text7"/>
        </w:rPr>
        <w:t xml:space="preserve">(</w:t>
        <w:br w:clear="none"/>
      </w:r>
      <w:r>
        <w:t xml:space="preserve">encoding</w:t>
        <w:br w:clear="none"/>
      </w:r>
      <w:r>
        <w:rPr>
          <w:rStyle w:val="Text7"/>
        </w:rPr>
        <w:t xml:space="preserve">)</w:t>
        <w:br w:clear="none"/>
      </w:r>
      <w:r>
        <w:rPr>
          <w:rStyle w:val="Text6"/>
        </w:rPr>
        <w:t xml:space="preserve"/>
        <w:br w:clear="none"/>
        <w:t xml:space="preserve">        </w:t>
        <w:br w:clear="none"/>
      </w:r>
      <w:r>
        <w:t xml:space="preserve">bytes_sent</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sendto</w:t>
        <w:br w:clear="none"/>
      </w:r>
      <w:r>
        <w:rPr>
          <w:rStyle w:val="Text7"/>
        </w:rPr>
        <w:t xml:space="preserve">(</w:t>
        <w:br w:clear="none"/>
      </w:r>
      <w:r>
        <w:t xml:space="preserve">data</w:t>
        <w:br w:clear="none"/>
      </w:r>
      <w:r>
        <w:rPr>
          <w:rStyle w:val="Text7"/>
        </w:rPr>
        <w:t xml:space="preserve">,</w:t>
        <w:br w:clear="none"/>
      </w:r>
      <w:r>
        <w:rPr>
          <w:rStyle w:val="Text6"/>
        </w:rPr>
        <w:t xml:space="preserve"> </w:t>
        <w:br w:clear="none"/>
      </w:r>
      <w:r>
        <w:t xml:space="preserve">server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SENT </w:t>
        <w:br w:clear="none"/>
      </w:r>
      <w:r>
        <w:rPr>
          <w:rStyle w:val="Text32"/>
        </w:rPr>
        <w:t xml:space="preserve">{</w:t>
        <w:br w:clear="none"/>
      </w:r>
      <w:r>
        <w:t xml:space="preserve">data</w:t>
        <w:br w:clear="none"/>
      </w:r>
      <w:r>
        <w:rPr>
          <w:rStyle w:val="Text32"/>
        </w:rPr>
        <w:t xml:space="preserve">!r}</w:t>
        <w:br w:clear="none"/>
      </w:r>
      <w:r>
        <w:rPr>
          <w:rStyle w:val="Text8"/>
        </w:rPr>
        <w:t xml:space="preserve"> (</w:t>
        <w:br w:clear="none"/>
      </w:r>
      <w:r>
        <w:rPr>
          <w:rStyle w:val="Text32"/>
        </w:rPr>
        <w:t xml:space="preserve">{</w:t>
        <w:br w:clear="none"/>
      </w:r>
      <w:r>
        <w:t xml:space="preserve">bytes_sent</w:t>
        <w:br w:clear="none"/>
      </w:r>
      <w:r>
        <w:rPr>
          <w:rStyle w:val="Text32"/>
        </w:rPr>
        <w:t xml:space="preserve">}</w:t>
        <w:br w:clear="none"/>
      </w:r>
      <w:r>
        <w:rPr>
          <w:rStyle w:val="Text8"/>
        </w:rPr>
        <w:t xml:space="preserve"> of </w:t>
        <w:br w:clear="none"/>
      </w:r>
      <w:r>
        <w:rPr>
          <w:rStyle w:val="Text32"/>
        </w:rPr>
        <w:t xml:space="preserve">{</w:t>
        <w:br w:clear="none"/>
      </w:r>
      <w:r>
        <w:rPr>
          <w:rStyle w:val="Text16"/>
        </w:rPr>
        <w:t xml:space="preserve">len</w:t>
        <w:br w:clear="none"/>
      </w:r>
      <w:r>
        <w:rPr>
          <w:rStyle w:val="Text7"/>
        </w:rPr>
        <w:t xml:space="preserve">(</w:t>
        <w:br w:clear="none"/>
      </w:r>
      <w:r>
        <w:t xml:space="preserve">data</w:t>
        <w:br w:clear="none"/>
      </w:r>
      <w:r>
        <w:rPr>
          <w:rStyle w:val="Text7"/>
        </w:rPr>
        <w:t xml:space="preserve">)</w:t>
        <w:br w:clear="none"/>
      </w:r>
      <w:r>
        <w:rPr>
          <w:rStyle w:val="Text32"/>
        </w:rPr>
        <w:t xml:space="preserve">}</w:t>
        <w:br w:clear="none"/>
      </w:r>
      <w:r>
        <w:rPr>
          <w:rStyle w:val="Text8"/>
        </w:rPr>
        <w:t xml:space="preserve">)</w:t>
        <w:br w:clear="none"/>
        <w:t xml:space="preserve">'</w:t>
        <w:br w:clear="none"/>
      </w:r>
      <w:r>
        <w:rPr>
          <w:rStyle w:val="Text6"/>
        </w:rPr>
        <w:t xml:space="preserve"/>
        <w:br w:clear="none"/>
        <w:t xml:space="preserve">		      </w:t>
        <w:br w:clear="none"/>
        <w:t xml:space="preserve">f</w:t>
        <w:br w:clear="none"/>
      </w:r>
      <w:r>
        <w:rPr>
          <w:rStyle w:val="Text8"/>
        </w:rPr>
        <w:t xml:space="preserve">'</w:t>
        <w:br w:clear="none"/>
        <w:t xml:space="preserve"> to </w:t>
        <w:br w:clear="none"/>
      </w:r>
      <w:r>
        <w:rPr>
          <w:rStyle w:val="Text32"/>
        </w:rPr>
        <w:t xml:space="preserve">{</w:t>
        <w:br w:clear="none"/>
      </w:r>
      <w:r>
        <w:t xml:space="preserve">server</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t>
        <w:br w:clear="none"/>
      </w:r>
      <w:r>
        <w:t xml:space="preserve">response</w:t>
        <w:br w:clear="none"/>
      </w:r>
      <w:r>
        <w:rPr>
          <w:rStyle w:val="Text7"/>
        </w:rPr>
        <w:t xml:space="preserve">,</w:t>
        <w:br w:clear="none"/>
      </w:r>
      <w:r>
        <w:rPr>
          <w:rStyle w:val="Text6"/>
        </w:rPr>
        <w:t xml:space="preserve"> </w:t>
        <w:br w:clear="none"/>
      </w:r>
      <w:r>
        <w:t xml:space="preserve">address</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recvfrom</w:t>
        <w:br w:clear="none"/>
      </w:r>
      <w:r>
        <w:rPr>
          <w:rStyle w:val="Text7"/>
        </w:rPr>
        <w:t xml:space="preserve">(</w:t>
        <w:br w:clear="none"/>
      </w:r>
      <w:r>
        <w:rPr>
          <w:rStyle w:val="Text27"/>
        </w:rPr>
        <w:t xml:space="preserve">1024</w:t>
        <w:br w:clear="none"/>
      </w:r>
      <w:r>
        <w:rPr>
          <w:rStyle w:val="Text7"/>
        </w:rPr>
        <w:t xml:space="preserve">)</w:t>
        <w:br w:clear="none"/>
      </w:r>
      <w:r>
        <w:rPr>
          <w:rStyle w:val="Text6"/>
        </w:rPr>
        <w:t xml:space="preserve">  </w:t>
        <w:br w:clear="none"/>
      </w:r>
      <w:r>
        <w:rPr>
          <w:rStyle w:val="Text15"/>
        </w:rPr>
        <w:t xml:space="preserve"># buffer size: 1024</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RCVD </w:t>
        <w:br w:clear="none"/>
      </w:r>
      <w:r>
        <w:rPr>
          <w:rStyle w:val="Text32"/>
        </w:rPr>
        <w:t xml:space="preserve">{</w:t>
        <w:br w:clear="none"/>
      </w:r>
      <w:r>
        <w:t xml:space="preserve">response</w:t>
        <w:br w:clear="none"/>
      </w:r>
      <w:r>
        <w:rPr>
          <w:rStyle w:val="Text13"/>
        </w:rPr>
        <w:t xml:space="preserve">.</w:t>
        <w:br w:clear="none"/>
      </w:r>
      <w:r>
        <w:t xml:space="preserve">decode</w:t>
        <w:br w:clear="none"/>
      </w:r>
      <w:r>
        <w:rPr>
          <w:rStyle w:val="Text7"/>
        </w:rPr>
        <w:t xml:space="preserve">(</w:t>
        <w:br w:clear="none"/>
      </w:r>
      <w:r>
        <w:t xml:space="preserve">encoding</w:t>
        <w:br w:clear="none"/>
      </w:r>
      <w:r>
        <w:rPr>
          <w:rStyle w:val="Text7"/>
        </w:rPr>
        <w:t xml:space="preserve">)</w:t>
        <w:br w:clear="none"/>
      </w:r>
      <w:r>
        <w:rPr>
          <w:rStyle w:val="Text32"/>
        </w:rPr>
        <w:t xml:space="preserve">!r}</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from </w:t>
        <w:br w:clear="none"/>
      </w:r>
      <w:r>
        <w:rPr>
          <w:rStyle w:val="Text32"/>
        </w:rPr>
        <w:t xml:space="preserve">{</w:t>
        <w:br w:clear="none"/>
      </w:r>
      <w:r>
        <w:t xml:space="preserve">address</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rPr>
          <w:rStyle w:val="Text8"/>
        </w:rPr>
        <w:t xml:space="preserve">'</w:t>
        <w:br w:clear="none"/>
        <w:t xml:space="preserve">Disconnected from server</w:t>
        <w:br w:clear="none"/>
        <w:t xml:space="preserve">'</w:t>
        <w:br w:clear="none"/>
      </w:r>
      <w:r>
        <w:rPr>
          <w:rStyle w:val="Text7"/>
        </w:rPr>
        <w:t xml:space="preserve">)</w:t>
        <w:br w:clear="none"/>
      </w:r>
    </w:p>
    <w:p>
      <w:pPr>
        <w:pStyle w:val="Normal"/>
      </w:pPr>
      <w:r>
        <w:t>Note that the server only performs a bytes-oriented echo function. The client, therefore, encodes its Unicode data into bytestrings, and decodes the bytestring responses received from the server back into Unicode text using the same encoding.</w:t>
      </w:r>
    </w:p>
    <w:p>
      <w:bookmarkStart w:id="4002" w:name="A_Connectionless_Socket_Server"/>
      <w:pPr>
        <w:keepNext/>
        <w:pStyle w:val="Heading 2"/>
      </w:pPr>
      <w:r>
        <w:t>A Connectionless Socket Server</w:t>
      </w:r>
      <w:bookmarkEnd w:id="4002"/>
    </w:p>
    <w:p>
      <w:pPr>
        <w:pStyle w:val="Normal"/>
      </w:pPr>
      <w:r>
        <w:t>A</w:t>
      </w:r>
      <w:r>
        <w:rPr>
          <w:rStyle w:val="Text111"/>
        </w:rPr>
        <w:bookmarkStart w:id="4003" w:name="idm45965176941728"/>
        <w:t/>
        <w:bookmarkEnd w:id="4003"/>
        <w:bookmarkStart w:id="4004" w:name="idm45965176946096"/>
        <w:t/>
        <w:bookmarkEnd w:id="4004"/>
        <w:bookmarkStart w:id="4005" w:name="idm45965176944576"/>
        <w:t/>
        <w:bookmarkEnd w:id="4005"/>
      </w:r>
      <w:r>
        <w:t xml:space="preserve"> server for the packet-echo service described in the previous section is also quite simple. It binds to its endpoint, receives packets (datagrams) at that endpoint, and returns to the client sending each datagram a packet with exactly the same data. The server treats all clients equally and does not need to use any kind of concurrency (though this last handy characteristic might not hold for a service where request handling takes more time).</w:t>
      </w:r>
    </w:p>
    <w:p>
      <w:pPr>
        <w:pStyle w:val="Normal"/>
      </w:pPr>
      <w:r>
        <w:t>The following server works, but offers no way to terminate the service other than by interrupting it (typically from the keyboard, with Ctrl-C or Ctrl-Break):</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socket</w:t>
        <w:br w:clear="none"/>
      </w:r>
      <w:r>
        <w:rPr>
          <w:rStyle w:val="Text6"/>
        </w:rPr>
        <w:t xml:space="preserve"/>
        <w:br w:clear="none"/>
        <w:t xml:space="preserve"/>
        <w:br w:clear="none"/>
      </w:r>
      <w:r>
        <w:t xml:space="preserve">UDP_IP</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localhost</w:t>
        <w:br w:clear="none"/>
        <w:t xml:space="preserve">'</w:t>
        <w:br w:clear="none"/>
      </w:r>
      <w:r>
        <w:rPr>
          <w:rStyle w:val="Text6"/>
        </w:rPr>
        <w:t xml:space="preserve"/>
        <w:br w:clear="none"/>
      </w:r>
      <w:r>
        <w:t xml:space="preserve">UDP_PORT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8883</w:t>
        <w:br w:clear="none"/>
      </w:r>
      <w:r>
        <w:rPr>
          <w:rStyle w:val="Text6"/>
        </w:rPr>
        <w:t xml:space="preserve"/>
        <w:br w:clear="none"/>
      </w:r>
      <w:r>
        <w:rPr>
          <w:rStyle w:val="Text39"/>
        </w:rPr>
        <w:t xml:space="preserve">with</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t>
        <w:br w:clear="none"/>
      </w:r>
      <w:r>
        <w:rPr>
          <w:rStyle w:val="Text15"/>
        </w:rPr>
        <w:t xml:space="preserve"># IPv4</w:t>
        <w:br w:clear="none"/>
      </w:r>
      <w:r>
        <w:rPr>
          <w:rStyle w:val="Text6"/>
        </w:rPr>
        <w:t xml:space="preserve"/>
        <w:br w:clear="none"/>
        <w:t xml:space="preserve">                   </w:t>
        <w:br w:clear="none"/>
      </w:r>
      <w:r>
        <w:t xml:space="preserve">socket</w:t>
        <w:br w:clear="none"/>
      </w:r>
      <w:r>
        <w:rPr>
          <w:rStyle w:val="Text13"/>
        </w:rPr>
        <w:t xml:space="preserve">.</w:t>
        <w:br w:clear="none"/>
      </w:r>
      <w:r>
        <w:t xml:space="preserve">SOCK_DGRAM</w:t>
        <w:br w:clear="none"/>
      </w:r>
      <w:r>
        <w:rPr>
          <w:rStyle w:val="Text6"/>
        </w:rPr>
        <w:t xml:space="preserve">  </w:t>
        <w:br w:clear="none"/>
      </w:r>
      <w:r>
        <w:rPr>
          <w:rStyle w:val="Text15"/>
        </w:rPr>
        <w:t xml:space="preserve"># UDP</w:t>
        <w:br w:clear="none"/>
      </w:r>
      <w:r>
        <w:rPr>
          <w:rStyle w:val="Text6"/>
        </w:rPr>
        <w:t xml:space="preserve"/>
        <w:br w:clear="none"/>
        <w:t xml:space="preserve">                   </w:t>
        <w:br w:clear="none"/>
      </w:r>
      <w:r>
        <w:rPr>
          <w:rStyle w:val="Text7"/>
        </w:rPr>
        <w:t xml:space="preserve">)</w:t>
        <w:br w:clear="none"/>
      </w:r>
      <w:r>
        <w:rPr>
          <w:rStyle w:val="Text6"/>
        </w:rPr>
        <w:t xml:space="preserve"> </w:t>
        <w:br w:clear="none"/>
      </w:r>
      <w:r>
        <w:rPr>
          <w:rStyle w:val="Text39"/>
        </w:rPr>
        <w:t xml:space="preserve">as</w:t>
        <w:br w:clear="none"/>
      </w:r>
      <w:r>
        <w:rPr>
          <w:rStyle w:val="Text6"/>
        </w:rPr>
        <w:t xml:space="preserve"> </w:t>
        <w:br w:clear="none"/>
      </w:r>
      <w:r>
        <w:t xml:space="preserve">sock</w:t>
        <w:br w:clear="none"/>
      </w:r>
      <w:r>
        <w:rPr>
          <w:rStyle w:val="Text7"/>
        </w:rPr>
        <w:t xml:space="preserve">:</w:t>
        <w:br w:clear="none"/>
      </w:r>
      <w:r>
        <w:rPr>
          <w:rStyle w:val="Text6"/>
        </w:rPr>
        <w:t xml:space="preserve"/>
        <w:br w:clear="none"/>
        <w:t xml:space="preserve">    </w:t>
        <w:br w:clear="none"/>
      </w:r>
      <w:r>
        <w:t xml:space="preserve">sock</w:t>
        <w:br w:clear="none"/>
      </w:r>
      <w:r>
        <w:rPr>
          <w:rStyle w:val="Text13"/>
        </w:rPr>
        <w:t xml:space="preserve">.</w:t>
        <w:br w:clear="none"/>
      </w:r>
      <w:r>
        <w:t xml:space="preserve">bind</w:t>
        <w:br w:clear="none"/>
      </w:r>
      <w:r>
        <w:rPr>
          <w:rStyle w:val="Text7"/>
        </w:rPr>
        <w:t xml:space="preserve">(</w:t>
        <w:br w:clear="none"/>
        <w:t xml:space="preserve">(</w:t>
        <w:br w:clear="none"/>
      </w:r>
      <w:r>
        <w:t xml:space="preserve">UDP_IP</w:t>
        <w:br w:clear="none"/>
      </w:r>
      <w:r>
        <w:rPr>
          <w:rStyle w:val="Text7"/>
        </w:rPr>
        <w:t xml:space="preserve">,</w:t>
        <w:br w:clear="none"/>
      </w:r>
      <w:r>
        <w:rPr>
          <w:rStyle w:val="Text6"/>
        </w:rPr>
        <w:t xml:space="preserve"> </w:t>
        <w:br w:clear="none"/>
      </w:r>
      <w:r>
        <w:t xml:space="preserve">UDP_PORT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Serving at </w:t>
        <w:br w:clear="none"/>
      </w:r>
      <w:r>
        <w:rPr>
          <w:rStyle w:val="Text32"/>
        </w:rPr>
        <w:t xml:space="preserve">{</w:t>
        <w:br w:clear="none"/>
      </w:r>
      <w:r>
        <w:t xml:space="preserve">UDP_IP</w:t>
        <w:br w:clear="none"/>
      </w:r>
      <w:r>
        <w:rPr>
          <w:rStyle w:val="Text32"/>
        </w:rPr>
        <w:t xml:space="preserve">}</w:t>
        <w:br w:clear="none"/>
      </w:r>
      <w:r>
        <w:rPr>
          <w:rStyle w:val="Text8"/>
        </w:rPr>
        <w:t xml:space="preserve">:</w:t>
        <w:br w:clear="none"/>
      </w:r>
      <w:r>
        <w:rPr>
          <w:rStyle w:val="Text32"/>
        </w:rPr>
        <w:t xml:space="preserve">{</w:t>
        <w:br w:clear="none"/>
      </w:r>
      <w:r>
        <w:t xml:space="preserve">UDP_PORT</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r>
      <w:r>
        <w:rPr>
          <w:rStyle w:val="Text29"/>
        </w:rPr>
        <w:t xml:space="preserve">    </w:t>
        <w:br w:clear="none"/>
      </w:r>
      <w:r>
        <w:rPr>
          <w:rStyle w:val="Text10"/>
        </w:rPr>
        <w:t xml:space="preserve">while</w:t>
        <w:br w:clear="none"/>
      </w:r>
      <w:r>
        <w:rPr>
          <w:rStyle w:val="Text29"/>
        </w:rPr>
        <w:t xml:space="preserve"> </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data</w:t>
        <w:br w:clear="none"/>
      </w:r>
      <w:r>
        <w:rPr>
          <w:rStyle w:val="Text7"/>
        </w:rPr>
        <w:t xml:space="preserve">,</w:t>
        <w:br w:clear="none"/>
      </w:r>
      <w:r>
        <w:rPr>
          <w:rStyle w:val="Text6"/>
        </w:rPr>
        <w:t xml:space="preserve"> </w:t>
        <w:br w:clear="none"/>
      </w:r>
      <w:r>
        <w:t xml:space="preserve">sender_addr</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recvfrom</w:t>
        <w:br w:clear="none"/>
      </w:r>
      <w:r>
        <w:rPr>
          <w:rStyle w:val="Text7"/>
        </w:rPr>
        <w:t xml:space="preserve">(</w:t>
        <w:br w:clear="none"/>
      </w:r>
      <w:r>
        <w:rPr>
          <w:rStyle w:val="Text27"/>
        </w:rPr>
        <w:t xml:space="preserve">1024</w:t>
        <w:br w:clear="none"/>
      </w:r>
      <w:r>
        <w:rPr>
          <w:rStyle w:val="Text7"/>
        </w:rPr>
        <w:t xml:space="preserve">)</w:t>
        <w:br w:clear="none"/>
      </w:r>
      <w:r>
        <w:rPr>
          <w:rStyle w:val="Text6"/>
        </w:rPr>
        <w:t xml:space="preserve">  </w:t>
        <w:br w:clear="none"/>
      </w:r>
      <w:r>
        <w:rPr>
          <w:rStyle w:val="Text15"/>
        </w:rPr>
        <w:t xml:space="preserve"># 1024-byte buffer</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RCVD </w:t>
        <w:br w:clear="none"/>
      </w:r>
      <w:r>
        <w:rPr>
          <w:rStyle w:val="Text32"/>
        </w:rPr>
        <w:t xml:space="preserve">{</w:t>
        <w:br w:clear="none"/>
      </w:r>
      <w:r>
        <w:t xml:space="preserve">data</w:t>
        <w:br w:clear="none"/>
      </w:r>
      <w:r>
        <w:rPr>
          <w:rStyle w:val="Text32"/>
        </w:rPr>
        <w:t xml:space="preserve">!r}</w:t>
        <w:br w:clear="none"/>
      </w:r>
      <w:r>
        <w:rPr>
          <w:rStyle w:val="Text8"/>
        </w:rPr>
        <w:t xml:space="preserve">) from </w:t>
        <w:br w:clear="none"/>
      </w:r>
      <w:r>
        <w:rPr>
          <w:rStyle w:val="Text32"/>
        </w:rPr>
        <w:t xml:space="preserve">{</w:t>
        <w:br w:clear="none"/>
      </w:r>
      <w:r>
        <w:t xml:space="preserve">sender_addr</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t>
        <w:br w:clear="none"/>
      </w:r>
      <w:r>
        <w:t xml:space="preserve">bytes_sent</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sendto</w:t>
        <w:br w:clear="none"/>
      </w:r>
      <w:r>
        <w:rPr>
          <w:rStyle w:val="Text7"/>
        </w:rPr>
        <w:t xml:space="preserve">(</w:t>
        <w:br w:clear="none"/>
      </w:r>
      <w:r>
        <w:t xml:space="preserve">data</w:t>
        <w:br w:clear="none"/>
      </w:r>
      <w:r>
        <w:rPr>
          <w:rStyle w:val="Text7"/>
        </w:rPr>
        <w:t xml:space="preserve">,</w:t>
        <w:br w:clear="none"/>
      </w:r>
      <w:r>
        <w:rPr>
          <w:rStyle w:val="Text6"/>
        </w:rPr>
        <w:t xml:space="preserve"> </w:t>
        <w:br w:clear="none"/>
      </w:r>
      <w:r>
        <w:t xml:space="preserve">sender_addr</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SENT </w:t>
        <w:br w:clear="none"/>
      </w:r>
      <w:r>
        <w:rPr>
          <w:rStyle w:val="Text32"/>
        </w:rPr>
        <w:t xml:space="preserve">{</w:t>
        <w:br w:clear="none"/>
      </w:r>
      <w:r>
        <w:t xml:space="preserve">data</w:t>
        <w:br w:clear="none"/>
      </w:r>
      <w:r>
        <w:rPr>
          <w:rStyle w:val="Text32"/>
        </w:rPr>
        <w:t xml:space="preserve">!r}</w:t>
        <w:br w:clear="none"/>
      </w:r>
      <w:r>
        <w:rPr>
          <w:rStyle w:val="Text8"/>
        </w:rPr>
        <w:t xml:space="preserve"> (</w:t>
        <w:br w:clear="none"/>
      </w:r>
      <w:r>
        <w:rPr>
          <w:rStyle w:val="Text32"/>
        </w:rPr>
        <w:t xml:space="preserve">{</w:t>
        <w:br w:clear="none"/>
      </w:r>
      <w:r>
        <w:t xml:space="preserve">bytes_sent</w:t>
        <w:br w:clear="none"/>
      </w:r>
      <w:r>
        <w:rPr>
          <w:rStyle w:val="Text32"/>
        </w:rPr>
        <w:t xml:space="preserve">}</w:t>
        <w:br w:clear="none"/>
      </w:r>
      <w:r>
        <w:rPr>
          <w:rStyle w:val="Text8"/>
        </w:rPr>
        <w:t xml:space="preserve">/</w:t>
        <w:br w:clear="none"/>
      </w:r>
      <w:r>
        <w:rPr>
          <w:rStyle w:val="Text32"/>
        </w:rPr>
        <w:t xml:space="preserve">{</w:t>
        <w:br w:clear="none"/>
      </w:r>
      <w:r>
        <w:rPr>
          <w:rStyle w:val="Text16"/>
        </w:rPr>
        <w:t xml:space="preserve">len</w:t>
        <w:br w:clear="none"/>
      </w:r>
      <w:r>
        <w:rPr>
          <w:rStyle w:val="Text7"/>
        </w:rPr>
        <w:t xml:space="preserve">(</w:t>
        <w:br w:clear="none"/>
      </w:r>
      <w:r>
        <w:t xml:space="preserve">data</w:t>
        <w:br w:clear="none"/>
      </w:r>
      <w:r>
        <w:rPr>
          <w:rStyle w:val="Text7"/>
        </w:rPr>
        <w:t xml:space="preserve">)</w:t>
        <w:br w:clear="none"/>
      </w:r>
      <w:r>
        <w:rPr>
          <w:rStyle w:val="Text32"/>
        </w:rPr>
        <w:t xml:space="preserve">}</w:t>
        <w:br w:clear="none"/>
      </w:r>
      <w:r>
        <w:rPr>
          <w:rStyle w:val="Text8"/>
        </w:rPr>
        <w:t xml:space="preserve">)</w:t>
        <w:br w:clear="none"/>
        <w:t xml:space="preserve">'</w:t>
        <w:br w:clear="none"/>
      </w:r>
      <w:r>
        <w:rPr>
          <w:rStyle w:val="Text6"/>
        </w:rPr>
        <w:t xml:space="preserve"/>
        <w:br w:clear="none"/>
        <w:t xml:space="preserve">              </w:t>
        <w:br w:clear="none"/>
        <w:t xml:space="preserve">f</w:t>
        <w:br w:clear="none"/>
      </w:r>
      <w:r>
        <w:rPr>
          <w:rStyle w:val="Text8"/>
        </w:rPr>
        <w:t xml:space="preserve">'</w:t>
        <w:br w:clear="none"/>
        <w:t xml:space="preserve"> to </w:t>
        <w:br w:clear="none"/>
      </w:r>
      <w:r>
        <w:rPr>
          <w:rStyle w:val="Text32"/>
        </w:rPr>
        <w:t xml:space="preserve">{</w:t>
        <w:br w:clear="none"/>
      </w:r>
      <w:r>
        <w:t xml:space="preserve">sender_addr</w:t>
        <w:br w:clear="none"/>
      </w:r>
      <w:r>
        <w:rPr>
          <w:rStyle w:val="Text32"/>
        </w:rPr>
        <w:t xml:space="preserve">}</w:t>
        <w:br w:clear="none"/>
      </w:r>
      <w:r>
        <w:rPr>
          <w:rStyle w:val="Text8"/>
        </w:rPr>
        <w:t xml:space="preserve">'</w:t>
        <w:br w:clear="none"/>
      </w:r>
      <w:r>
        <w:rPr>
          <w:rStyle w:val="Text7"/>
        </w:rPr>
        <w:t xml:space="preserve">)</w:t>
        <w:br w:clear="none"/>
      </w:r>
    </w:p>
    <w:p>
      <w:pPr>
        <w:pStyle w:val="Normal"/>
      </w:pPr>
      <w:r>
        <w:t>Neither is there any mechanism to handle dropped packets and similar network problems; this is often acceptable in simple services.</w:t>
      </w:r>
    </w:p>
    <w:p>
      <w:pPr>
        <w:pStyle w:val="Normal"/>
      </w:pPr>
      <w:r>
        <w:t xml:space="preserve">You can run the same programs using IPv6: simply replace the socket type </w:t>
      </w:r>
      <w:r>
        <w:rPr>
          <w:rStyle w:val="Text0"/>
        </w:rPr>
        <w:t>AF_INET</w:t>
      </w:r>
      <w:r>
        <w:t xml:space="preserve"> with </w:t>
      </w:r>
      <w:r>
        <w:rPr>
          <w:rStyle w:val="Text0"/>
        </w:rPr>
        <w:t>AF_INET6</w:t>
      </w:r>
      <w:r>
        <w:t>.</w:t>
      </w:r>
    </w:p>
    <w:p>
      <w:bookmarkStart w:id="4006" w:name="A_Connection_Oriented_Socket_Cli"/>
      <w:pPr>
        <w:keepNext/>
        <w:pStyle w:val="Heading 2"/>
      </w:pPr>
      <w:r>
        <w:t>A Connection-Oriented Socket Client</w:t>
      </w:r>
      <w:bookmarkEnd w:id="4006"/>
    </w:p>
    <w:p>
      <w:pPr>
        <w:pStyle w:val="Normal"/>
      </w:pPr>
      <w:r>
        <w:t>Now</w:t>
      </w:r>
      <w:r>
        <w:rPr>
          <w:rStyle w:val="Text111"/>
        </w:rPr>
        <w:bookmarkStart w:id="4007" w:name="idm45965176777984"/>
        <w:t/>
        <w:bookmarkEnd w:id="4007"/>
        <w:bookmarkStart w:id="4008" w:name="idm45965176776400"/>
        <w:t/>
        <w:bookmarkEnd w:id="4008"/>
        <w:bookmarkStart w:id="4009" w:name="idm45965176774752"/>
        <w:t/>
        <w:bookmarkEnd w:id="4009"/>
      </w:r>
      <w:r>
        <w:t xml:space="preserve"> consider a simplistic connection-oriented “echo-like” protocol: a server lets clients connect to its listening socket, receives arbitrary bytes from them, and sends back to each client the same bytes that client sent to the server, until the client closes the connection. Here’s an example of an elementary test client:</w:t>
      </w:r>
      <w:hyperlink w:anchor="3_This_client_example_isn_t_secu">
        <w:r>
          <w:rPr>
            <w:rStyle w:val="Text41"/>
          </w:rPr>
          <w:bookmarkStart w:id="4010" w:name="3_15"/>
          <w:t>3</w:t>
          <w:bookmarkEnd w:id="4010"/>
        </w:r>
      </w:hyperlink>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socket</w:t>
        <w:br w:clear="none"/>
      </w:r>
      <w:r>
        <w:rPr>
          <w:rStyle w:val="Text6"/>
        </w:rPr>
        <w:t xml:space="preserve"/>
        <w:br w:clear="none"/>
        <w:t xml:space="preserve"/>
        <w:br w:clear="none"/>
      </w:r>
      <w:r>
        <w:t xml:space="preserve">IP_ADDR</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localhost</w:t>
        <w:br w:clear="none"/>
        <w:t xml:space="preserve">'</w:t>
        <w:br w:clear="none"/>
      </w:r>
      <w:r>
        <w:rPr>
          <w:rStyle w:val="Text6"/>
        </w:rPr>
        <w:t xml:space="preserve"/>
        <w:br w:clear="none"/>
      </w:r>
      <w:r>
        <w:t xml:space="preserve">IP_PORT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8881</w:t>
        <w:br w:clear="none"/>
      </w:r>
      <w:r>
        <w:rPr>
          <w:rStyle w:val="Text6"/>
        </w:rPr>
        <w:t xml:space="preserve"/>
        <w:br w:clear="none"/>
      </w:r>
      <w:r>
        <w:t xml:space="preserve">MESSAGE</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w:t>
        <w:br w:clear="none"/>
        <w:t xml:space="preserve">A few lines of text</w:t>
        <w:br w:clear="none"/>
        <w:t xml:space="preserve"/>
        <w:br w:clear="none"/>
        <w:t xml:space="preserve">including non-ASCII characters: €£</w:t>
        <w:br w:clear="none"/>
        <w:t xml:space="preserve"/>
        <w:br w:clear="none"/>
        <w:t xml:space="preserve">to test the operation</w:t>
        <w:br w:clear="none"/>
        <w:t xml:space="preserve"/>
        <w:br w:clear="none"/>
        <w:t xml:space="preserve">of both server</w:t>
        <w:br w:clear="none"/>
        <w:t xml:space="preserve"/>
        <w:br w:clear="none"/>
        <w:t xml:space="preserve">and client.</w:t>
        <w:br w:clear="none"/>
        <w:t xml:space="preserve">"""</w:t>
        <w:br w:clear="none"/>
      </w:r>
      <w:r>
        <w:rPr>
          <w:rStyle w:val="Text6"/>
        </w:rPr>
        <w:t xml:space="preserve"/>
        <w:br w:clear="none"/>
        <w:t xml:space="preserve"/>
        <w:br w:clear="none"/>
      </w:r>
      <w:r>
        <w:t xml:space="preserve">encoding</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utf-8</w:t>
        <w:br w:clear="none"/>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t>
        <w:br w:clear="none"/>
      </w:r>
      <w:r>
        <w:rPr>
          <w:rStyle w:val="Text15"/>
        </w:rPr>
        <w:t xml:space="preserve"># IPv4</w:t>
        <w:br w:clear="none"/>
      </w:r>
      <w:r>
        <w:rPr>
          <w:rStyle w:val="Text6"/>
        </w:rPr>
        <w:t xml:space="preserve"/>
        <w:br w:clear="none"/>
        <w:t xml:space="preserve">                   </w:t>
        <w:br w:clear="none"/>
      </w:r>
      <w:r>
        <w:t xml:space="preserve">socket</w:t>
        <w:br w:clear="none"/>
      </w:r>
      <w:r>
        <w:rPr>
          <w:rStyle w:val="Text13"/>
        </w:rPr>
        <w:t xml:space="preserve">.</w:t>
        <w:br w:clear="none"/>
      </w:r>
      <w:r>
        <w:t xml:space="preserve">SOCK_STREAM</w:t>
        <w:br w:clear="none"/>
      </w:r>
      <w:r>
        <w:rPr>
          <w:rStyle w:val="Text6"/>
        </w:rPr>
        <w:t xml:space="preserve">  </w:t>
        <w:br w:clear="none"/>
      </w:r>
      <w:r>
        <w:rPr>
          <w:rStyle w:val="Text15"/>
        </w:rPr>
        <w:t xml:space="preserve"># TCP</w:t>
        <w:br w:clear="none"/>
      </w:r>
      <w:r>
        <w:rPr>
          <w:rStyle w:val="Text6"/>
        </w:rPr>
        <w:t xml:space="preserve"/>
        <w:br w:clear="none"/>
        <w:t xml:space="preserve">                   </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sock</w:t>
        <w:br w:clear="none"/>
      </w:r>
      <w:r>
        <w:rPr>
          <w:rStyle w:val="Text7"/>
        </w:rPr>
        <w:t xml:space="preserve">:</w:t>
        <w:br w:clear="none"/>
      </w:r>
      <w:r>
        <w:rPr>
          <w:rStyle w:val="Text6"/>
        </w:rPr>
        <w:t xml:space="preserve"/>
        <w:br w:clear="none"/>
        <w:t xml:space="preserve">    </w:t>
        <w:br w:clear="none"/>
      </w:r>
      <w:r>
        <w:t xml:space="preserve">sock</w:t>
        <w:br w:clear="none"/>
      </w:r>
      <w:r>
        <w:rPr>
          <w:rStyle w:val="Text13"/>
        </w:rPr>
        <w:t xml:space="preserve">.</w:t>
        <w:br w:clear="none"/>
      </w:r>
      <w:r>
        <w:t xml:space="preserve">connect</w:t>
        <w:br w:clear="none"/>
      </w:r>
      <w:r>
        <w:rPr>
          <w:rStyle w:val="Text7"/>
        </w:rPr>
        <w:t xml:space="preserve">(</w:t>
        <w:br w:clear="none"/>
        <w:t xml:space="preserve">(</w:t>
        <w:br w:clear="none"/>
      </w:r>
      <w:r>
        <w:t xml:space="preserve">IP_ADDR</w:t>
        <w:br w:clear="none"/>
      </w:r>
      <w:r>
        <w:rPr>
          <w:rStyle w:val="Text7"/>
        </w:rPr>
        <w:t xml:space="preserve">,</w:t>
        <w:br w:clear="none"/>
      </w:r>
      <w:r>
        <w:rPr>
          <w:rStyle w:val="Text6"/>
        </w:rPr>
        <w:t xml:space="preserve"> </w:t>
        <w:br w:clear="none"/>
      </w:r>
      <w:r>
        <w:t xml:space="preserve">IP_PORT</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Connected to server </w:t>
        <w:br w:clear="none"/>
      </w:r>
      <w:r>
        <w:rPr>
          <w:rStyle w:val="Text32"/>
        </w:rPr>
        <w:t xml:space="preserve">{</w:t>
        <w:br w:clear="none"/>
      </w:r>
      <w:r>
        <w:t xml:space="preserve">IP_ADDR</w:t>
        <w:br w:clear="none"/>
      </w:r>
      <w:r>
        <w:rPr>
          <w:rStyle w:val="Text32"/>
        </w:rPr>
        <w:t xml:space="preserve">}</w:t>
        <w:br w:clear="none"/>
      </w:r>
      <w:r>
        <w:rPr>
          <w:rStyle w:val="Text8"/>
        </w:rPr>
        <w:t xml:space="preserve">:</w:t>
        <w:br w:clear="none"/>
      </w:r>
      <w:r>
        <w:rPr>
          <w:rStyle w:val="Text32"/>
        </w:rPr>
        <w:t xml:space="preserve">{</w:t>
        <w:br w:clear="none"/>
      </w:r>
      <w:r>
        <w:t xml:space="preserve">IP_PORT</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line</w:t>
        <w:br w:clear="none"/>
      </w:r>
      <w:r>
        <w:rPr>
          <w:rStyle w:val="Text6"/>
        </w:rPr>
        <w:t xml:space="preserve"> </w:t>
        <w:br w:clear="none"/>
      </w:r>
      <w:r>
        <w:rPr>
          <w:rStyle w:val="Text31"/>
        </w:rPr>
        <w:t xml:space="preserve">in</w:t>
        <w:br w:clear="none"/>
      </w:r>
      <w:r>
        <w:rPr>
          <w:rStyle w:val="Text6"/>
        </w:rPr>
        <w:t xml:space="preserve"> </w:t>
        <w:br w:clear="none"/>
      </w:r>
      <w:r>
        <w:t xml:space="preserve">MESSAGE</w:t>
        <w:br w:clear="none"/>
      </w:r>
      <w:r>
        <w:rPr>
          <w:rStyle w:val="Text13"/>
        </w:rPr>
        <w:t xml:space="preserve">.</w:t>
        <w:br w:clear="none"/>
      </w:r>
      <w:r>
        <w:t xml:space="preserve">splitlines</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data</w:t>
        <w:br w:clear="none"/>
      </w:r>
      <w:r>
        <w:rPr>
          <w:rStyle w:val="Text6"/>
        </w:rPr>
        <w:t xml:space="preserve"> </w:t>
        <w:br w:clear="none"/>
      </w:r>
      <w:r>
        <w:rPr>
          <w:rStyle w:val="Text13"/>
        </w:rPr>
        <w:t xml:space="preserve">=</w:t>
        <w:br w:clear="none"/>
      </w:r>
      <w:r>
        <w:rPr>
          <w:rStyle w:val="Text6"/>
        </w:rPr>
        <w:t xml:space="preserve"> </w:t>
        <w:br w:clear="none"/>
      </w:r>
      <w:r>
        <w:t xml:space="preserve">line</w:t>
        <w:br w:clear="none"/>
      </w:r>
      <w:r>
        <w:rPr>
          <w:rStyle w:val="Text13"/>
        </w:rPr>
        <w:t xml:space="preserve">.</w:t>
        <w:br w:clear="none"/>
      </w:r>
      <w:r>
        <w:t xml:space="preserve">encode</w:t>
        <w:br w:clear="none"/>
      </w:r>
      <w:r>
        <w:rPr>
          <w:rStyle w:val="Text7"/>
        </w:rPr>
        <w:t xml:space="preserve">(</w:t>
        <w:br w:clear="none"/>
      </w:r>
      <w:r>
        <w:t xml:space="preserve">encoding</w:t>
        <w:br w:clear="none"/>
      </w:r>
      <w:r>
        <w:rPr>
          <w:rStyle w:val="Text7"/>
        </w:rPr>
        <w:t xml:space="preserve">)</w:t>
        <w:br w:clear="none"/>
      </w:r>
      <w:r>
        <w:rPr>
          <w:rStyle w:val="Text6"/>
        </w:rPr>
        <w:t xml:space="preserve"/>
        <w:br w:clear="none"/>
        <w:t xml:space="preserve">        </w:t>
        <w:br w:clear="none"/>
      </w:r>
      <w:r>
        <w:t xml:space="preserve">sock</w:t>
        <w:br w:clear="none"/>
      </w:r>
      <w:r>
        <w:rPr>
          <w:rStyle w:val="Text13"/>
        </w:rPr>
        <w:t xml:space="preserve">.</w:t>
        <w:br w:clear="none"/>
      </w:r>
      <w:r>
        <w:t xml:space="preserve">sendall</w:t>
        <w:br w:clear="none"/>
      </w:r>
      <w:r>
        <w:rPr>
          <w:rStyle w:val="Text7"/>
        </w:rPr>
        <w:t xml:space="preserve">(</w:t>
        <w:br w:clear="none"/>
      </w:r>
      <w:r>
        <w:t xml:space="preserve">data</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SENT </w:t>
        <w:br w:clear="none"/>
      </w:r>
      <w:r>
        <w:rPr>
          <w:rStyle w:val="Text32"/>
        </w:rPr>
        <w:t xml:space="preserve">{</w:t>
        <w:br w:clear="none"/>
      </w:r>
      <w:r>
        <w:t xml:space="preserve">data</w:t>
        <w:br w:clear="none"/>
      </w:r>
      <w:r>
        <w:rPr>
          <w:rStyle w:val="Text32"/>
        </w:rPr>
        <w:t xml:space="preserve">!r}</w:t>
        <w:br w:clear="none"/>
      </w:r>
      <w:r>
        <w:rPr>
          <w:rStyle w:val="Text8"/>
        </w:rPr>
        <w:t xml:space="preserve"> (</w:t>
        <w:br w:clear="none"/>
      </w:r>
      <w:r>
        <w:rPr>
          <w:rStyle w:val="Text32"/>
        </w:rPr>
        <w:t xml:space="preserve">{</w:t>
        <w:br w:clear="none"/>
      </w:r>
      <w:r>
        <w:rPr>
          <w:rStyle w:val="Text16"/>
        </w:rPr>
        <w:t xml:space="preserve">len</w:t>
        <w:br w:clear="none"/>
      </w:r>
      <w:r>
        <w:rPr>
          <w:rStyle w:val="Text7"/>
        </w:rPr>
        <w:t xml:space="preserve">(</w:t>
        <w:br w:clear="none"/>
      </w:r>
      <w:r>
        <w:t xml:space="preserve">data</w:t>
        <w:br w:clear="none"/>
      </w:r>
      <w:r>
        <w:rPr>
          <w:rStyle w:val="Text7"/>
        </w:rPr>
        <w:t xml:space="preserve">)</w:t>
        <w:br w:clear="none"/>
      </w:r>
      <w:r>
        <w:rPr>
          <w:rStyle w:val="Text32"/>
        </w:rPr>
        <w:t xml:space="preserve">}</w:t>
        <w:br w:clear="none"/>
      </w:r>
      <w:r>
        <w:rPr>
          <w:rStyle w:val="Text8"/>
        </w:rPr>
        <w:t xml:space="preserve">)</w:t>
        <w:br w:clear="none"/>
        <w:t xml:space="preserve">'</w:t>
        <w:br w:clear="none"/>
      </w:r>
      <w:r>
        <w:rPr>
          <w:rStyle w:val="Text7"/>
        </w:rPr>
        <w:t xml:space="preserve">)</w:t>
        <w:br w:clear="none"/>
      </w:r>
      <w:r>
        <w:rPr>
          <w:rStyle w:val="Text6"/>
        </w:rPr>
        <w:t xml:space="preserve"/>
        <w:br w:clear="none"/>
        <w:t xml:space="preserve">        </w:t>
        <w:br w:clear="none"/>
      </w:r>
      <w:r>
        <w:t xml:space="preserve">response</w:t>
        <w:br w:clear="none"/>
      </w:r>
      <w:r>
        <w:rPr>
          <w:rStyle w:val="Text7"/>
        </w:rPr>
        <w:t xml:space="preserve">,</w:t>
        <w:br w:clear="none"/>
      </w:r>
      <w:r>
        <w:rPr>
          <w:rStyle w:val="Text6"/>
        </w:rPr>
        <w:t xml:space="preserve"> </w:t>
        <w:br w:clear="none"/>
      </w:r>
      <w:r>
        <w:t xml:space="preserve">address</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recvfrom</w:t>
        <w:br w:clear="none"/>
      </w:r>
      <w:r>
        <w:rPr>
          <w:rStyle w:val="Text7"/>
        </w:rPr>
        <w:t xml:space="preserve">(</w:t>
        <w:br w:clear="none"/>
      </w:r>
      <w:r>
        <w:rPr>
          <w:rStyle w:val="Text27"/>
        </w:rPr>
        <w:t xml:space="preserve">1024</w:t>
        <w:br w:clear="none"/>
      </w:r>
      <w:r>
        <w:rPr>
          <w:rStyle w:val="Text7"/>
        </w:rPr>
        <w:t xml:space="preserve">)</w:t>
        <w:br w:clear="none"/>
      </w:r>
      <w:r>
        <w:rPr>
          <w:rStyle w:val="Text6"/>
        </w:rPr>
        <w:t xml:space="preserve">  </w:t>
        <w:br w:clear="none"/>
      </w:r>
      <w:r>
        <w:rPr>
          <w:rStyle w:val="Text15"/>
        </w:rPr>
        <w:t xml:space="preserve"># buffer size: 1024</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RCVD </w:t>
        <w:br w:clear="none"/>
      </w:r>
      <w:r>
        <w:rPr>
          <w:rStyle w:val="Text32"/>
        </w:rPr>
        <w:t xml:space="preserve">{</w:t>
        <w:br w:clear="none"/>
      </w:r>
      <w:r>
        <w:t xml:space="preserve">response</w:t>
        <w:br w:clear="none"/>
      </w:r>
      <w:r>
        <w:rPr>
          <w:rStyle w:val="Text13"/>
        </w:rPr>
        <w:t xml:space="preserve">.</w:t>
        <w:br w:clear="none"/>
      </w:r>
      <w:r>
        <w:t xml:space="preserve">decode</w:t>
        <w:br w:clear="none"/>
      </w:r>
      <w:r>
        <w:rPr>
          <w:rStyle w:val="Text7"/>
        </w:rPr>
        <w:t xml:space="preserve">(</w:t>
        <w:br w:clear="none"/>
      </w:r>
      <w:r>
        <w:t xml:space="preserve">encoding</w:t>
        <w:br w:clear="none"/>
      </w:r>
      <w:r>
        <w:rPr>
          <w:rStyle w:val="Text7"/>
        </w:rPr>
        <w:t xml:space="preserve">)</w:t>
        <w:br w:clear="none"/>
      </w:r>
      <w:r>
        <w:rPr>
          <w:rStyle w:val="Text32"/>
        </w:rPr>
        <w:t xml:space="preserve">!r}</w:t>
        <w:br w:clear="none"/>
      </w:r>
      <w:r>
        <w:rPr>
          <w:rStyle w:val="Text8"/>
        </w:rPr>
        <w:t xml:space="preserve">'</w:t>
        <w:br w:clear="none"/>
      </w:r>
      <w:r>
        <w:rPr>
          <w:rStyle w:val="Text6"/>
        </w:rPr>
        <w:t xml:space="preserve"/>
        <w:br w:clear="none"/>
        <w:t xml:space="preserve">              </w:t>
        <w:br w:clear="none"/>
        <w:t xml:space="preserve">f</w:t>
        <w:br w:clear="none"/>
      </w:r>
      <w:r>
        <w:rPr>
          <w:rStyle w:val="Text8"/>
        </w:rPr>
        <w:t xml:space="preserve">'</w:t>
        <w:br w:clear="none"/>
        <w:t xml:space="preserve"> (</w:t>
        <w:br w:clear="none"/>
      </w:r>
      <w:r>
        <w:rPr>
          <w:rStyle w:val="Text32"/>
        </w:rPr>
        <w:t xml:space="preserve">{</w:t>
        <w:br w:clear="none"/>
      </w:r>
      <w:r>
        <w:rPr>
          <w:rStyle w:val="Text16"/>
        </w:rPr>
        <w:t xml:space="preserve">len</w:t>
        <w:br w:clear="none"/>
      </w:r>
      <w:r>
        <w:rPr>
          <w:rStyle w:val="Text7"/>
        </w:rPr>
        <w:t xml:space="preserve">(</w:t>
        <w:br w:clear="none"/>
      </w:r>
      <w:r>
        <w:t xml:space="preserve">response</w:t>
        <w:br w:clear="none"/>
      </w:r>
      <w:r>
        <w:rPr>
          <w:rStyle w:val="Text7"/>
        </w:rPr>
        <w:t xml:space="preserve">)</w:t>
        <w:br w:clear="none"/>
      </w:r>
      <w:r>
        <w:rPr>
          <w:rStyle w:val="Text32"/>
        </w:rPr>
        <w:t xml:space="preserve">}</w:t>
        <w:br w:clear="none"/>
      </w:r>
      <w:r>
        <w:rPr>
          <w:rStyle w:val="Text8"/>
        </w:rPr>
        <w:t xml:space="preserve">) from </w:t>
        <w:br w:clear="none"/>
      </w:r>
      <w:r>
        <w:rPr>
          <w:rStyle w:val="Text32"/>
        </w:rPr>
        <w:t xml:space="preserve">{</w:t>
        <w:br w:clear="none"/>
      </w:r>
      <w:r>
        <w:t xml:space="preserve">address</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rPr>
          <w:rStyle w:val="Text16"/>
        </w:rPr>
        <w:t xml:space="preserve">print</w:t>
        <w:br w:clear="none"/>
      </w:r>
      <w:r>
        <w:rPr>
          <w:rStyle w:val="Text7"/>
        </w:rPr>
        <w:t xml:space="preserve">(</w:t>
        <w:br w:clear="none"/>
      </w:r>
      <w:r>
        <w:rPr>
          <w:rStyle w:val="Text8"/>
        </w:rPr>
        <w:t xml:space="preserve">'</w:t>
        <w:br w:clear="none"/>
        <w:t xml:space="preserve">Disconnected from server</w:t>
        <w:br w:clear="none"/>
        <w:t xml:space="preserve">'</w:t>
        <w:br w:clear="none"/>
      </w:r>
      <w:r>
        <w:rPr>
          <w:rStyle w:val="Text7"/>
        </w:rPr>
        <w:t xml:space="preserve">)</w:t>
        <w:br w:clear="none"/>
      </w:r>
    </w:p>
    <w:p>
      <w:pPr>
        <w:pStyle w:val="Normal"/>
      </w:pPr>
      <w:r>
        <w:t>Note that the data is text, so it must be encoded with a suitable representation. We chose the usual suspect, UTF-8. The server works in terms of bytes (since it is bytes, aka octets, that travel on the network); the received bytes object gets decoded with UTF-8 back into Unicode text before printing. Any other suitable codec could be used instead: the key point is that text must be encoded before transmission and decoded after reception. The server, working in terms of bytes, does not even need to know which encoding is being used, except maybe for logging purposes.</w:t>
      </w:r>
    </w:p>
    <w:p>
      <w:bookmarkStart w:id="4011" w:name="A_Connection_Oriented_Socket_Ser"/>
      <w:pPr>
        <w:keepNext/>
        <w:pStyle w:val="Heading 2"/>
      </w:pPr>
      <w:r>
        <w:t>A Connection-Oriented Socket Server</w:t>
      </w:r>
      <w:bookmarkEnd w:id="4011"/>
    </w:p>
    <w:p>
      <w:pPr>
        <w:pStyle w:val="Normal"/>
      </w:pPr>
      <w:r>
        <w:t>Here</w:t>
      </w:r>
      <w:r>
        <w:rPr>
          <w:rStyle w:val="Text111"/>
        </w:rPr>
        <w:bookmarkStart w:id="4012" w:name="idm45965176535552"/>
        <w:t/>
        <w:bookmarkEnd w:id="4012"/>
        <w:bookmarkStart w:id="4013" w:name="idm45965176534096"/>
        <w:t/>
        <w:bookmarkEnd w:id="4013"/>
        <w:bookmarkStart w:id="4014" w:name="idm45965176558192"/>
        <w:t/>
        <w:bookmarkEnd w:id="4014"/>
      </w:r>
      <w:r>
        <w:t xml:space="preserve"> is a simplistic server corresponding to the testing client shown in the previous section, using multithreading via </w:t>
      </w:r>
      <w:r>
        <w:rPr>
          <w:rStyle w:val="Text0"/>
        </w:rPr>
        <w:t>concurrent.futures</w:t>
      </w:r>
      <w:r>
        <w:t xml:space="preserve"> (covered in </w:t>
      </w:r>
      <w:hyperlink w:anchor="The_concurrent_futures_Module__T">
        <w:r>
          <w:rPr>
            <w:rStyle w:val="Text1"/>
          </w:rPr>
          <w:t>“The concurrent.futures Module”</w:t>
        </w:r>
      </w:hyperlink>
      <w:r>
        <w:t>):</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concurrent</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socket</w:t>
        <w:br w:clear="none"/>
      </w:r>
      <w:r>
        <w:rPr>
          <w:rStyle w:val="Text6"/>
        </w:rPr>
        <w:t xml:space="preserve"/>
        <w:br w:clear="none"/>
        <w:t xml:space="preserve"/>
        <w:br w:clear="none"/>
      </w:r>
      <w:r>
        <w:t xml:space="preserve">IP_ADDR</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localhost</w:t>
        <w:br w:clear="none"/>
        <w:t xml:space="preserve">'</w:t>
        <w:br w:clear="none"/>
      </w:r>
      <w:r>
        <w:rPr>
          <w:rStyle w:val="Text6"/>
        </w:rPr>
        <w:t xml:space="preserve"/>
        <w:br w:clear="none"/>
      </w:r>
      <w:r>
        <w:t xml:space="preserve">IP_PORT</w:t>
        <w:br w:clear="none"/>
      </w:r>
      <w:r>
        <w:rPr>
          <w:rStyle w:val="Text6"/>
        </w:rPr>
        <w:t xml:space="preserve"> </w:t>
        <w:br w:clear="none"/>
      </w:r>
      <w:r>
        <w:rPr>
          <w:rStyle w:val="Text13"/>
        </w:rPr>
        <w:t xml:space="preserve">=</w:t>
        <w:br w:clear="none"/>
      </w:r>
      <w:r>
        <w:rPr>
          <w:rStyle w:val="Text6"/>
        </w:rPr>
        <w:t xml:space="preserve"> </w:t>
        <w:br w:clear="none"/>
      </w:r>
      <w:r>
        <w:rPr>
          <w:rStyle w:val="Text27"/>
        </w:rPr>
        <w:t xml:space="preserve">8881</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handle</w:t>
        <w:br w:clear="none"/>
      </w:r>
      <w:r>
        <w:rPr>
          <w:rStyle w:val="Text7"/>
        </w:rPr>
        <w:t xml:space="preserve">(</w:t>
        <w:br w:clear="none"/>
      </w:r>
      <w:r>
        <w:t xml:space="preserve">new_sock</w:t>
        <w:br w:clear="none"/>
      </w:r>
      <w:r>
        <w:rPr>
          <w:rStyle w:val="Text7"/>
        </w:rPr>
        <w:t xml:space="preserve">,</w:t>
        <w:br w:clear="none"/>
      </w:r>
      <w:r>
        <w:rPr>
          <w:rStyle w:val="Text6"/>
        </w:rPr>
        <w:t xml:space="preserve"> </w:t>
        <w:br w:clear="none"/>
      </w:r>
      <w:r>
        <w:t xml:space="preserve">address</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8"/>
        </w:rPr>
        <w:t xml:space="preserve">'</w:t>
        <w:br w:clear="none"/>
        <w:t xml:space="preserve">Connected from</w:t>
        <w:br w:clear="none"/>
        <w:t xml:space="preserve">'</w:t>
        <w:br w:clear="none"/>
      </w:r>
      <w:r>
        <w:rPr>
          <w:rStyle w:val="Text7"/>
        </w:rPr>
        <w:t xml:space="preserve">,</w:t>
        <w:br w:clear="none"/>
      </w:r>
      <w:r>
        <w:rPr>
          <w:rStyle w:val="Text6"/>
        </w:rPr>
        <w:t xml:space="preserve"> </w:t>
        <w:br w:clear="none"/>
      </w:r>
      <w:r>
        <w:t xml:space="preserve">address</w:t>
        <w:br w:clear="none"/>
      </w:r>
      <w:r>
        <w:rPr>
          <w:rStyle w:val="Text7"/>
        </w:rPr>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new_sock</w:t>
        <w:br w:clear="none"/>
      </w:r>
      <w:r>
        <w:rPr>
          <w:rStyle w:val="Text7"/>
        </w:rPr>
        <w:t xml:space="preserve">:</w:t>
        <w:br w:clear="none"/>
      </w:r>
      <w:r>
        <w:rPr>
          <w:rStyle w:val="Text6"/>
        </w:rPr>
        <w:t xml:space="preserve"/>
        <w:br w:clear="none"/>
        <w:t xml:space="preserve">        </w:t>
        <w:br w:clear="none"/>
      </w:r>
      <w:r>
        <w:rPr>
          <w:rStyle w:val="Text10"/>
        </w:rPr>
        <w:t xml:space="preserve">while</w:t>
        <w:br w:clear="none"/>
      </w:r>
      <w:r>
        <w:rPr>
          <w:rStyle w:val="Text6"/>
        </w:rPr>
        <w:t xml:space="preserve"> </w:t>
        <w:br w:clear="none"/>
      </w:r>
      <w:r>
        <w:rPr>
          <w:rStyle w:val="Text39"/>
        </w:rPr>
        <w:t xml:space="preserve">True</w:t>
        <w:br w:clear="none"/>
      </w:r>
      <w:r>
        <w:rPr>
          <w:rStyle w:val="Text7"/>
        </w:rPr>
        <w:t xml:space="preserve">:</w:t>
        <w:br w:clear="none"/>
      </w:r>
      <w:r>
        <w:rPr>
          <w:rStyle w:val="Text6"/>
        </w:rPr>
        <w:t xml:space="preserve"/>
        <w:br w:clear="none"/>
        <w:t xml:space="preserve">            </w:t>
        <w:br w:clear="none"/>
      </w:r>
      <w:r>
        <w:t xml:space="preserve">received</w:t>
        <w:br w:clear="none"/>
      </w:r>
      <w:r>
        <w:rPr>
          <w:rStyle w:val="Text6"/>
        </w:rPr>
        <w:t xml:space="preserve"> </w:t>
        <w:br w:clear="none"/>
      </w:r>
      <w:r>
        <w:rPr>
          <w:rStyle w:val="Text13"/>
        </w:rPr>
        <w:t xml:space="preserve">=</w:t>
        <w:br w:clear="none"/>
      </w:r>
      <w:r>
        <w:rPr>
          <w:rStyle w:val="Text6"/>
        </w:rPr>
        <w:t xml:space="preserve"> </w:t>
        <w:br w:clear="none"/>
      </w:r>
      <w:r>
        <w:t xml:space="preserve">new_sock</w:t>
        <w:br w:clear="none"/>
      </w:r>
      <w:r>
        <w:rPr>
          <w:rStyle w:val="Text13"/>
        </w:rPr>
        <w:t xml:space="preserve">.</w:t>
        <w:br w:clear="none"/>
      </w:r>
      <w:r>
        <w:t xml:space="preserve">recv</w:t>
        <w:br w:clear="none"/>
      </w:r>
      <w:r>
        <w:rPr>
          <w:rStyle w:val="Text7"/>
        </w:rPr>
        <w:t xml:space="preserve">(</w:t>
        <w:br w:clear="none"/>
      </w:r>
      <w:r>
        <w:rPr>
          <w:rStyle w:val="Text27"/>
        </w:rPr>
        <w:t xml:space="preserve">1024</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31"/>
        </w:rPr>
        <w:t xml:space="preserve">not</w:t>
        <w:br w:clear="none"/>
      </w:r>
      <w:r>
        <w:rPr>
          <w:rStyle w:val="Text6"/>
        </w:rPr>
        <w:t xml:space="preserve"> </w:t>
        <w:br w:clear="none"/>
      </w:r>
      <w:r>
        <w:t xml:space="preserve">received</w:t>
        <w:br w:clear="none"/>
      </w:r>
      <w:r>
        <w:rPr>
          <w:rStyle w:val="Text7"/>
        </w:rPr>
        <w:t xml:space="preserve">:</w:t>
        <w:br w:clear="none"/>
      </w:r>
      <w:r>
        <w:rPr>
          <w:rStyle w:val="Text6"/>
        </w:rPr>
        <w:t xml:space="preserve"/>
        <w:br w:clear="none"/>
        <w:t xml:space="preserve">                </w:t>
        <w:br w:clear="none"/>
      </w:r>
      <w:r>
        <w:rPr>
          <w:rStyle w:val="Text10"/>
        </w:rPr>
        <w:t xml:space="preserve">break</w:t>
        <w:br w:clear="none"/>
      </w:r>
      <w:r>
        <w:rPr>
          <w:rStyle w:val="Text6"/>
        </w:rPr>
        <w:t xml:space="preserve"/>
        <w:br w:clear="none"/>
        <w:t xml:space="preserve">            </w:t>
        <w:br w:clear="none"/>
      </w:r>
      <w:r>
        <w:t xml:space="preserve">s</w:t>
        <w:br w:clear="none"/>
      </w:r>
      <w:r>
        <w:rPr>
          <w:rStyle w:val="Text6"/>
        </w:rPr>
        <w:t xml:space="preserve"> </w:t>
        <w:br w:clear="none"/>
      </w:r>
      <w:r>
        <w:rPr>
          <w:rStyle w:val="Text13"/>
        </w:rPr>
        <w:t xml:space="preserve">=</w:t>
        <w:br w:clear="none"/>
      </w:r>
      <w:r>
        <w:rPr>
          <w:rStyle w:val="Text6"/>
        </w:rPr>
        <w:t xml:space="preserve"> </w:t>
        <w:br w:clear="none"/>
      </w:r>
      <w:r>
        <w:t xml:space="preserve">received</w:t>
        <w:br w:clear="none"/>
      </w:r>
      <w:r>
        <w:rPr>
          <w:rStyle w:val="Text13"/>
        </w:rPr>
        <w:t xml:space="preserve">.</w:t>
        <w:br w:clear="none"/>
      </w:r>
      <w:r>
        <w:t xml:space="preserve">decode</w:t>
        <w:br w:clear="none"/>
      </w:r>
      <w:r>
        <w:rPr>
          <w:rStyle w:val="Text7"/>
        </w:rPr>
        <w:t xml:space="preserve">(</w:t>
        <w:br w:clear="none"/>
      </w:r>
      <w:r>
        <w:rPr>
          <w:rStyle w:val="Text8"/>
        </w:rPr>
        <w:t xml:space="preserve">'</w:t>
        <w:br w:clear="none"/>
        <w:t xml:space="preserve">utf-8</w:t>
        <w:br w:clear="none"/>
        <w:t xml:space="preserve">'</w:t>
        <w:br w:clear="none"/>
      </w:r>
      <w:r>
        <w:rPr>
          <w:rStyle w:val="Text7"/>
        </w:rPr>
        <w:t xml:space="preserve">,</w:t>
        <w:br w:clear="none"/>
      </w:r>
      <w:r>
        <w:rPr>
          <w:rStyle w:val="Text6"/>
        </w:rPr>
        <w:t xml:space="preserve"> </w:t>
        <w:br w:clear="none"/>
      </w:r>
      <w:r>
        <w:t xml:space="preserve">errors</w:t>
        <w:br w:clear="none"/>
      </w:r>
      <w:r>
        <w:rPr>
          <w:rStyle w:val="Text13"/>
        </w:rPr>
        <w:t xml:space="preserve">=</w:t>
        <w:br w:clear="none"/>
      </w:r>
      <w:r>
        <w:rPr>
          <w:rStyle w:val="Text8"/>
        </w:rPr>
        <w:t xml:space="preserve">'</w:t>
        <w:br w:clear="none"/>
        <w:t xml:space="preserve">replace</w:t>
        <w:br w:clear="none"/>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Recv: </w:t>
        <w:br w:clear="none"/>
      </w:r>
      <w:r>
        <w:rPr>
          <w:rStyle w:val="Text32"/>
        </w:rPr>
        <w:t xml:space="preserve">{</w:t>
        <w:br w:clear="none"/>
      </w:r>
      <w:r>
        <w:t xml:space="preserve">s</w:t>
        <w:br w:clear="none"/>
      </w:r>
      <w:r>
        <w:rPr>
          <w:rStyle w:val="Text32"/>
        </w:rPr>
        <w:t xml:space="preserve">!r}</w:t>
        <w:br w:clear="none"/>
      </w:r>
      <w:r>
        <w:rPr>
          <w:rStyle w:val="Text8"/>
        </w:rPr>
        <w:t xml:space="preserve">'</w:t>
        <w:br w:clear="none"/>
      </w:r>
      <w:r>
        <w:rPr>
          <w:rStyle w:val="Text7"/>
        </w:rPr>
        <w:t xml:space="preserve">)</w:t>
        <w:br w:clear="none"/>
      </w:r>
      <w:r>
        <w:rPr>
          <w:rStyle w:val="Text6"/>
        </w:rPr>
        <w:t xml:space="preserve"/>
        <w:br w:clear="none"/>
        <w:t xml:space="preserve">            </w:t>
        <w:br w:clear="none"/>
      </w:r>
      <w:r>
        <w:t xml:space="preserve">new_sock</w:t>
        <w:br w:clear="none"/>
      </w:r>
      <w:r>
        <w:rPr>
          <w:rStyle w:val="Text13"/>
        </w:rPr>
        <w:t xml:space="preserve">.</w:t>
        <w:br w:clear="none"/>
      </w:r>
      <w:r>
        <w:t xml:space="preserve">sendall</w:t>
        <w:br w:clear="none"/>
      </w:r>
      <w:r>
        <w:rPr>
          <w:rStyle w:val="Text7"/>
        </w:rPr>
        <w:t xml:space="preserve">(</w:t>
        <w:br w:clear="none"/>
      </w:r>
      <w:r>
        <w:t xml:space="preserve">received</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Echo: </w:t>
        <w:br w:clear="none"/>
      </w:r>
      <w:r>
        <w:rPr>
          <w:rStyle w:val="Text32"/>
        </w:rPr>
        <w:t xml:space="preserve">{</w:t>
        <w:br w:clear="none"/>
      </w:r>
      <w:r>
        <w:t xml:space="preserve">s</w:t>
        <w:br w:clear="none"/>
      </w:r>
      <w:r>
        <w:rPr>
          <w:rStyle w:val="Text32"/>
        </w:rPr>
        <w:t xml:space="preserve">!r}</w:t>
        <w:br w:clear="none"/>
      </w:r>
      <w:r>
        <w:rPr>
          <w:rStyle w:val="Text8"/>
        </w:rPr>
        <w:t xml:space="preserve">'</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Disconnected from </w:t>
        <w:br w:clear="none"/>
      </w:r>
      <w:r>
        <w:rPr>
          <w:rStyle w:val="Text32"/>
        </w:rPr>
        <w:t xml:space="preserve">{</w:t>
        <w:br w:clear="none"/>
      </w:r>
      <w:r>
        <w:t xml:space="preserve">address</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br w:clear="none"/>
      </w:r>
      <w:r>
        <w:rPr>
          <w:rStyle w:val="Text10"/>
        </w:rPr>
        <w:t xml:space="preserve">with</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t>
        <w:br w:clear="none"/>
      </w:r>
      <w:r>
        <w:rPr>
          <w:rStyle w:val="Text26"/>
        </w:rPr>
        <w:t xml:space="preserve"># IPv4 </w:t>
        <w:br w:clear="none"/>
      </w:r>
      <w:r>
        <w:rPr>
          <w:rStyle w:val="Text6"/>
        </w:rPr>
        <w:t xml:space="preserve"/>
        <w:br w:clear="none"/>
        <w:t xml:space="preserve">                   </w:t>
        <w:br w:clear="none"/>
      </w:r>
      <w:r>
        <w:t xml:space="preserve">socket</w:t>
        <w:br w:clear="none"/>
      </w:r>
      <w:r>
        <w:rPr>
          <w:rStyle w:val="Text13"/>
        </w:rPr>
        <w:t xml:space="preserve">.</w:t>
        <w:br w:clear="none"/>
      </w:r>
      <w:r>
        <w:t xml:space="preserve">SOCK_STREAM</w:t>
        <w:br w:clear="none"/>
      </w:r>
      <w:r>
        <w:rPr>
          <w:rStyle w:val="Text6"/>
        </w:rPr>
        <w:t xml:space="preserve">  </w:t>
        <w:br w:clear="none"/>
      </w:r>
      <w:r>
        <w:rPr>
          <w:rStyle w:val="Text26"/>
        </w:rPr>
        <w:t xml:space="preserve"># TCP</w:t>
        <w:br w:clear="none"/>
      </w:r>
      <w:r>
        <w:rPr>
          <w:rStyle w:val="Text6"/>
        </w:rPr>
        <w:t xml:space="preserve"/>
        <w:br w:clear="none"/>
        <w:t xml:space="preserve">                   </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servsock</w:t>
        <w:br w:clear="none"/>
      </w:r>
      <w:r>
        <w:rPr>
          <w:rStyle w:val="Text7"/>
        </w:rPr>
        <w:t xml:space="preserve">:</w:t>
        <w:br w:clear="none"/>
      </w:r>
      <w:r>
        <w:rPr>
          <w:rStyle w:val="Text6"/>
        </w:rPr>
        <w:t xml:space="preserve"/>
        <w:br w:clear="none"/>
        <w:t xml:space="preserve">    </w:t>
        <w:br w:clear="none"/>
      </w:r>
      <w:r>
        <w:t xml:space="preserve">servsock</w:t>
        <w:br w:clear="none"/>
      </w:r>
      <w:r>
        <w:rPr>
          <w:rStyle w:val="Text13"/>
        </w:rPr>
        <w:t xml:space="preserve">.</w:t>
        <w:br w:clear="none"/>
      </w:r>
      <w:r>
        <w:t xml:space="preserve">bind</w:t>
        <w:br w:clear="none"/>
      </w:r>
      <w:r>
        <w:rPr>
          <w:rStyle w:val="Text7"/>
        </w:rPr>
        <w:t xml:space="preserve">(</w:t>
        <w:br w:clear="none"/>
        <w:t xml:space="preserve">(</w:t>
        <w:br w:clear="none"/>
      </w:r>
      <w:r>
        <w:t xml:space="preserve">IP_ADDR</w:t>
        <w:br w:clear="none"/>
      </w:r>
      <w:r>
        <w:rPr>
          <w:rStyle w:val="Text7"/>
        </w:rPr>
        <w:t xml:space="preserve">,</w:t>
        <w:br w:clear="none"/>
      </w:r>
      <w:r>
        <w:rPr>
          <w:rStyle w:val="Text6"/>
        </w:rPr>
        <w:t xml:space="preserve"> </w:t>
        <w:br w:clear="none"/>
      </w:r>
      <w:r>
        <w:t xml:space="preserve">IP_PORT</w:t>
        <w:br w:clear="none"/>
      </w:r>
      <w:r>
        <w:rPr>
          <w:rStyle w:val="Text7"/>
        </w:rPr>
        <w:t xml:space="preserve">)</w:t>
        <w:br w:clear="none"/>
        <w:t xml:space="preserve">)</w:t>
        <w:br w:clear="none"/>
      </w:r>
      <w:r>
        <w:rPr>
          <w:rStyle w:val="Text6"/>
        </w:rPr>
        <w:t xml:space="preserve"/>
        <w:br w:clear="none"/>
        <w:t xml:space="preserve">    </w:t>
        <w:br w:clear="none"/>
      </w:r>
      <w:r>
        <w:t xml:space="preserve">servsock</w:t>
        <w:br w:clear="none"/>
      </w:r>
      <w:r>
        <w:rPr>
          <w:rStyle w:val="Text13"/>
        </w:rPr>
        <w:t xml:space="preserve">.</w:t>
        <w:br w:clear="none"/>
      </w:r>
      <w:r>
        <w:t xml:space="preserve">listen</w:t>
        <w:br w:clear="none"/>
      </w:r>
      <w:r>
        <w:rPr>
          <w:rStyle w:val="Text7"/>
        </w:rPr>
        <w:t xml:space="preserve">(</w:t>
        <w:br w:clear="none"/>
      </w:r>
      <w:r>
        <w:rPr>
          <w:rStyle w:val="Text27"/>
        </w:rPr>
        <w:t xml:space="preserve">5</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t xml:space="preserve">Serving at </w:t>
        <w:br w:clear="none"/>
      </w:r>
      <w:r>
        <w:rPr>
          <w:rStyle w:val="Text32"/>
        </w:rPr>
        <w:t xml:space="preserve">{</w:t>
        <w:br w:clear="none"/>
      </w:r>
      <w:r>
        <w:t xml:space="preserve">servsock</w:t>
        <w:br w:clear="none"/>
      </w:r>
      <w:r>
        <w:rPr>
          <w:rStyle w:val="Text13"/>
        </w:rPr>
        <w:t xml:space="preserve">.</w:t>
        <w:br w:clear="none"/>
      </w:r>
      <w:r>
        <w:t xml:space="preserve">getsockname</w:t>
        <w:br w:clear="none"/>
      </w:r>
      <w:r>
        <w:rPr>
          <w:rStyle w:val="Text7"/>
        </w:rPr>
        <w:t xml:space="preserve">(</w:t>
        <w:br w:clear="none"/>
        <w:t xml:space="preserve">)</w:t>
        <w:br w:clear="none"/>
      </w:r>
      <w:r>
        <w:rPr>
          <w:rStyle w:val="Text32"/>
        </w:rPr>
        <w:t xml:space="preserve">}</w:t>
        <w:br w:clear="none"/>
      </w:r>
      <w:r>
        <w:rPr>
          <w:rStyle w:val="Text8"/>
        </w:rPr>
        <w:t xml:space="preserve">'</w:t>
        <w:br w:clear="none"/>
      </w:r>
      <w:r>
        <w:rPr>
          <w:rStyle w:val="Text7"/>
        </w:rPr>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cconcurrent</w:t>
        <w:br w:clear="none"/>
      </w:r>
      <w:r>
        <w:rPr>
          <w:rStyle w:val="Text13"/>
        </w:rPr>
        <w:t xml:space="preserve">.</w:t>
        <w:br w:clear="none"/>
      </w:r>
      <w:r>
        <w:t xml:space="preserve">futures</w:t>
        <w:br w:clear="none"/>
      </w:r>
      <w:r>
        <w:rPr>
          <w:rStyle w:val="Text13"/>
        </w:rPr>
        <w:t xml:space="preserve">.</w:t>
        <w:br w:clear="none"/>
      </w:r>
      <w:r>
        <w:t xml:space="preserve">ThreadPoolExecutor</w:t>
        <w:br w:clear="none"/>
      </w:r>
      <w:r>
        <w:rPr>
          <w:rStyle w:val="Text7"/>
        </w:rPr>
        <w:t xml:space="preserve">(</w:t>
        <w:br w:clear="none"/>
      </w:r>
      <w:r>
        <w:rPr>
          <w:rStyle w:val="Text27"/>
        </w:rPr>
        <w:t xml:space="preserve">20</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e</w:t>
        <w:br w:clear="none"/>
      </w:r>
      <w:r>
        <w:rPr>
          <w:rStyle w:val="Text7"/>
        </w:rPr>
        <w:t xml:space="preserve">:</w:t>
        <w:br w:clear="none"/>
      </w:r>
      <w:r>
        <w:rPr>
          <w:rStyle w:val="Text6"/>
        </w:rPr>
        <w:t xml:space="preserve"/>
        <w:br w:clear="none"/>
        <w:t xml:space="preserve">        </w:t>
        <w:br w:clear="none"/>
      </w:r>
      <w:r>
        <w:rPr>
          <w:rStyle w:val="Text10"/>
        </w:rPr>
        <w:t xml:space="preserve">while</w:t>
        <w:br w:clear="none"/>
      </w:r>
      <w:r>
        <w:rPr>
          <w:rStyle w:val="Text6"/>
        </w:rPr>
        <w:t xml:space="preserve"> </w:t>
        <w:br w:clear="none"/>
      </w:r>
      <w:r>
        <w:rPr>
          <w:rStyle w:val="Text39"/>
        </w:rPr>
        <w:t xml:space="preserve">True</w:t>
        <w:br w:clear="none"/>
      </w:r>
      <w:r>
        <w:rPr>
          <w:rStyle w:val="Text7"/>
        </w:rPr>
        <w:t xml:space="preserve">:</w:t>
        <w:br w:clear="none"/>
      </w:r>
      <w:r>
        <w:rPr>
          <w:rStyle w:val="Text6"/>
        </w:rPr>
        <w:t xml:space="preserve"/>
        <w:br w:clear="none"/>
        <w:t xml:space="preserve">            </w:t>
        <w:br w:clear="none"/>
      </w:r>
      <w:r>
        <w:t xml:space="preserve">new_sock</w:t>
        <w:br w:clear="none"/>
      </w:r>
      <w:r>
        <w:rPr>
          <w:rStyle w:val="Text7"/>
        </w:rPr>
        <w:t xml:space="preserve">,</w:t>
        <w:br w:clear="none"/>
      </w:r>
      <w:r>
        <w:rPr>
          <w:rStyle w:val="Text6"/>
        </w:rPr>
        <w:t xml:space="preserve"> </w:t>
        <w:br w:clear="none"/>
      </w:r>
      <w:r>
        <w:t xml:space="preserve">address</w:t>
        <w:br w:clear="none"/>
      </w:r>
      <w:r>
        <w:rPr>
          <w:rStyle w:val="Text6"/>
        </w:rPr>
        <w:t xml:space="preserve"> </w:t>
        <w:br w:clear="none"/>
      </w:r>
      <w:r>
        <w:rPr>
          <w:rStyle w:val="Text13"/>
        </w:rPr>
        <w:t xml:space="preserve">=</w:t>
        <w:br w:clear="none"/>
      </w:r>
      <w:r>
        <w:rPr>
          <w:rStyle w:val="Text6"/>
        </w:rPr>
        <w:t xml:space="preserve"> </w:t>
        <w:br w:clear="none"/>
      </w:r>
      <w:r>
        <w:t xml:space="preserve">servsock</w:t>
        <w:br w:clear="none"/>
      </w:r>
      <w:r>
        <w:rPr>
          <w:rStyle w:val="Text13"/>
        </w:rPr>
        <w:t xml:space="preserve">.</w:t>
        <w:br w:clear="none"/>
      </w:r>
      <w:r>
        <w:t xml:space="preserve">accept</w:t>
        <w:br w:clear="none"/>
      </w:r>
      <w:r>
        <w:rPr>
          <w:rStyle w:val="Text7"/>
        </w:rPr>
        <w:t xml:space="preserve">(</w:t>
        <w:br w:clear="none"/>
        <w:t xml:space="preserve">)</w:t>
        <w:br w:clear="none"/>
      </w:r>
      <w:r>
        <w:rPr>
          <w:rStyle w:val="Text6"/>
        </w:rPr>
        <w:t xml:space="preserve"/>
        <w:br w:clear="none"/>
        <w:t xml:space="preserve">            </w:t>
        <w:br w:clear="none"/>
      </w:r>
      <w:r>
        <w:t xml:space="preserve">e</w:t>
        <w:br w:clear="none"/>
      </w:r>
      <w:r>
        <w:rPr>
          <w:rStyle w:val="Text13"/>
        </w:rPr>
        <w:t xml:space="preserve">.</w:t>
        <w:br w:clear="none"/>
      </w:r>
      <w:r>
        <w:t xml:space="preserve">submit</w:t>
        <w:br w:clear="none"/>
      </w:r>
      <w:r>
        <w:rPr>
          <w:rStyle w:val="Text7"/>
        </w:rPr>
        <w:t xml:space="preserve">(</w:t>
        <w:br w:clear="none"/>
      </w:r>
      <w:r>
        <w:t xml:space="preserve">handle</w:t>
        <w:br w:clear="none"/>
      </w:r>
      <w:r>
        <w:rPr>
          <w:rStyle w:val="Text7"/>
        </w:rPr>
        <w:t xml:space="preserve">,</w:t>
        <w:br w:clear="none"/>
      </w:r>
      <w:r>
        <w:rPr>
          <w:rStyle w:val="Text6"/>
        </w:rPr>
        <w:t xml:space="preserve"> </w:t>
        <w:br w:clear="none"/>
      </w:r>
      <w:r>
        <w:t xml:space="preserve">new_sock</w:t>
        <w:br w:clear="none"/>
      </w:r>
      <w:r>
        <w:rPr>
          <w:rStyle w:val="Text7"/>
        </w:rPr>
        <w:t xml:space="preserve">,</w:t>
        <w:br w:clear="none"/>
      </w:r>
      <w:r>
        <w:rPr>
          <w:rStyle w:val="Text6"/>
        </w:rPr>
        <w:t xml:space="preserve"> </w:t>
        <w:br w:clear="none"/>
      </w:r>
      <w:r>
        <w:t xml:space="preserve">address</w:t>
        <w:br w:clear="none"/>
      </w:r>
      <w:r>
        <w:rPr>
          <w:rStyle w:val="Text7"/>
        </w:rPr>
        <w:t xml:space="preserve">)</w:t>
        <w:br w:clear="none"/>
      </w:r>
    </w:p>
    <w:p>
      <w:pPr>
        <w:pStyle w:val="Normal"/>
      </w:pPr>
      <w:r>
        <w:t xml:space="preserve">This server has its limits. In particular, it runs only 20 threads, so it cannot simultaneously serve more than 20 clients; any further client trying to connect while 20 others are already being served waits in </w:t>
      </w:r>
      <w:r>
        <w:rPr>
          <w:rStyle w:val="Text0"/>
        </w:rPr>
        <w:t>servsock</w:t>
      </w:r>
      <w:r>
        <w:t>’s listening queue. Should that queue fill up with five clients waiting to be accepted, further clients attempting connection get rejected outright. This server is intended just as an elementary example for demonstration purposes, not as a solid, scalable, or secure system.</w:t>
      </w:r>
    </w:p>
    <w:p>
      <w:pPr>
        <w:pStyle w:val="Normal"/>
      </w:pPr>
      <w:r>
        <w:t xml:space="preserve">As before, the same programs can be run using IPv6 by replacing the socket type </w:t>
      </w:r>
      <w:r>
        <w:rPr>
          <w:rStyle w:val="Text0"/>
        </w:rPr>
        <w:t>AF_INET</w:t>
      </w:r>
      <w:r>
        <w:t xml:space="preserve"> with </w:t>
      </w:r>
      <w:r>
        <w:rPr>
          <w:rStyle w:val="Text0"/>
        </w:rPr>
        <w:t>AF_INET6</w:t>
      </w:r>
      <w:r>
        <w:t>.</w:t>
      </w:r>
      <w:r>
        <w:rPr>
          <w:rStyle w:val="Text111"/>
        </w:rPr>
        <w:bookmarkStart w:id="4015" w:name="idm45965176268944"/>
        <w:t/>
        <w:bookmarkEnd w:id="4015"/>
      </w:r>
    </w:p>
    <w:p>
      <w:bookmarkStart w:id="4016" w:name="Transport_Layer_Security__Transp"/>
      <w:pPr>
        <w:keepNext/>
        <w:pStyle w:val="Heading 1"/>
      </w:pPr>
      <w:r>
        <w:t>Transport Layer Security</w:t>
      </w:r>
      <w:bookmarkEnd w:id="4016"/>
    </w:p>
    <w:p>
      <w:pPr>
        <w:pStyle w:val="Normal"/>
      </w:pPr>
      <w:r>
        <w:t>Transport Layer Security (TLS), the</w:t>
      </w:r>
      <w:r>
        <w:rPr>
          <w:rStyle w:val="Text111"/>
        </w:rPr>
        <w:bookmarkStart w:id="4017" w:name="idm45965176265344"/>
        <w:t/>
        <w:bookmarkEnd w:id="4017"/>
        <w:bookmarkStart w:id="4018" w:name="idm45965176290752"/>
        <w:t/>
        <w:bookmarkEnd w:id="4018"/>
        <w:bookmarkStart w:id="4019" w:name="idm45965176289680"/>
        <w:t/>
        <w:bookmarkEnd w:id="4019"/>
      </w:r>
      <w:r>
        <w:t xml:space="preserve"> successor of</w:t>
      </w:r>
      <w:r>
        <w:rPr>
          <w:rStyle w:val="Text111"/>
        </w:rPr>
        <w:bookmarkStart w:id="4020" w:name="idm45965176288480"/>
        <w:t/>
        <w:bookmarkEnd w:id="4020"/>
        <w:bookmarkStart w:id="4021" w:name="idm45965176287376"/>
        <w:t/>
        <w:bookmarkEnd w:id="4021"/>
      </w:r>
      <w:r>
        <w:t xml:space="preserve"> Secure Sockets Layer (SSL), provides privacy and data integrity over TCP/IP, helping you defend against server impersonation, eavesdropping on the bytes being exchanged, and malicious alteration of those bytes. For an introduction to TLS, we recommend the extensive </w:t>
      </w:r>
      <w:hyperlink r:id="rId530">
        <w:r>
          <w:rPr>
            <w:rStyle w:val="Text1"/>
          </w:rPr>
          <w:t>Wikipedia entry</w:t>
        </w:r>
      </w:hyperlink>
      <w:r>
        <w:t>.</w:t>
      </w:r>
    </w:p>
    <w:p>
      <w:pPr>
        <w:pStyle w:val="Normal"/>
      </w:pPr>
      <w:r>
        <w:t xml:space="preserve">In Python, you can use TLS via the </w:t>
      </w:r>
      <w:r>
        <w:rPr>
          <w:rStyle w:val="Text0"/>
        </w:rPr>
        <w:t>ssl</w:t>
      </w:r>
      <w:r>
        <w:t xml:space="preserve"> module of the standard library. To use </w:t>
      </w:r>
      <w:r>
        <w:rPr>
          <w:rStyle w:val="Text0"/>
        </w:rPr>
        <w:t>ssl</w:t>
      </w:r>
      <w:r>
        <w:t xml:space="preserve"> well, you need a good grasp of its rich </w:t>
      </w:r>
      <w:hyperlink r:id="rId531">
        <w:r>
          <w:rPr>
            <w:rStyle w:val="Text1"/>
          </w:rPr>
          <w:t>online docs</w:t>
        </w:r>
      </w:hyperlink>
      <w:r>
        <w:t xml:space="preserve">, as well as a deep and broad understanding of TLS itself (the Wikipedia article, excellent and vast as it is, can only begin to cover this large, difficult subject). In particular, you must study and thoroughly understand the </w:t>
      </w:r>
      <w:hyperlink r:id="rId532">
        <w:r>
          <w:rPr>
            <w:rStyle w:val="Text1"/>
          </w:rPr>
          <w:t>security considerations section of the online docs</w:t>
        </w:r>
      </w:hyperlink>
      <w:r>
        <w:t>, as well as all the materials found at the many links helpfully offered in that section.</w:t>
      </w:r>
    </w:p>
    <w:p>
      <w:pPr>
        <w:pStyle w:val="Normal"/>
      </w:pPr>
      <w:r>
        <w:t xml:space="preserve">If these warnings make it sound as though a perfect implementation of security precautions is a daunting task, that’s because it </w:t>
      </w:r>
      <w:r>
        <w:rPr>
          <w:rStyle w:val="Text4"/>
        </w:rPr>
        <w:t>is.</w:t>
      </w:r>
      <w:r>
        <w:t xml:space="preserve"> In security, you’re pitting your wits and skills against those of sophisticated attackers who may be more familiar with the nooks and crannies of the problems involved: they specialize in finding workarounds and breaking in, while (usually) your focus is not exclusively on such issues—rather, you’re trying to provide some useful services in your code. It’s risky to see security as an afterthought or a secondary point—it </w:t>
      </w:r>
      <w:r>
        <w:rPr>
          <w:rStyle w:val="Text4"/>
        </w:rPr>
        <w:t>has</w:t>
      </w:r>
      <w:r>
        <w:t xml:space="preserve"> to be front and center throughout, to win said battle of skills and wits.</w:t>
      </w:r>
    </w:p>
    <w:p>
      <w:pPr>
        <w:pStyle w:val="Normal"/>
      </w:pPr>
      <w:r>
        <w:t>That said, we strongly recommend that all readers undertake the study of TLS mentioned above—the better all developers understand security considerations, the better off we all are (except, we guess, the security-breaker wannabes!).</w:t>
      </w:r>
    </w:p>
    <w:p>
      <w:pPr>
        <w:pStyle w:val="Normal"/>
      </w:pPr>
      <w:r>
        <w:t xml:space="preserve">Unless you have acquired a really deep and broad understanding of TLS and Python’s </w:t>
      </w:r>
      <w:r>
        <w:rPr>
          <w:rStyle w:val="Text0"/>
        </w:rPr>
        <w:t>ssl</w:t>
      </w:r>
      <w:r>
        <w:t xml:space="preserve"> module (in which case, you’ll know what exactly to do—better than we possibly could!), we recommend using an </w:t>
      </w:r>
      <w:r>
        <w:rPr>
          <w:rStyle w:val="Text0"/>
        </w:rPr>
        <w:t>SSLContext</w:t>
      </w:r>
      <w:r>
        <w:t xml:space="preserve"> instance to hold all the details of your use of TLS. Build that instance with the </w:t>
      </w:r>
      <w:r>
        <w:rPr>
          <w:rStyle w:val="Text0"/>
        </w:rPr>
        <w:t>ssl.create_default_context</w:t>
      </w:r>
      <w:r>
        <w:t xml:space="preserve"> function, add your certificate if needed (it </w:t>
      </w:r>
      <w:r>
        <w:rPr>
          <w:rStyle w:val="Text4"/>
        </w:rPr>
        <w:t>is</w:t>
      </w:r>
      <w:r>
        <w:t xml:space="preserve"> needed if you’re writing a secure server), then use the instance’s </w:t>
      </w:r>
      <w:r>
        <w:rPr>
          <w:rStyle w:val="Text0"/>
        </w:rPr>
        <w:t>wrap_socket</w:t>
      </w:r>
      <w:r>
        <w:t xml:space="preserve"> method to wrap (almost</w:t>
      </w:r>
      <w:hyperlink w:anchor="4_We_say__almost__because__when">
        <w:r>
          <w:rPr>
            <w:rStyle w:val="Text41"/>
          </w:rPr>
          <w:bookmarkStart w:id="4022" w:name="4_9"/>
          <w:t>4</w:t>
          <w:bookmarkEnd w:id="4022"/>
        </w:r>
      </w:hyperlink>
      <w:r>
        <w:t xml:space="preserve">) every </w:t>
      </w:r>
      <w:r>
        <w:rPr>
          <w:rStyle w:val="Text0"/>
        </w:rPr>
        <w:t>socket.socket</w:t>
      </w:r>
      <w:r>
        <w:t xml:space="preserve"> instance you make into an instance of </w:t>
      </w:r>
      <w:r>
        <w:rPr>
          <w:rStyle w:val="Text0"/>
        </w:rPr>
        <w:t>ssl.SSLSocket</w:t>
      </w:r>
      <w:r>
        <w:t>—behaving almost identically to the socket object it wraps, but nearly transparently adding security checks and validation “on the side.”</w:t>
      </w:r>
    </w:p>
    <w:p>
      <w:pPr>
        <w:pStyle w:val="Normal"/>
      </w:pPr>
      <w:r>
        <w:t xml:space="preserve">The default TLS contexts strike a good compromise between security and broad usability, and we recommend you stick with them (unless you’re knowledgeable enough to fine-tune and tighten security for special needs). If you need to support outdated counterparts that are unable to use the most recent, most secure implementations of TLS, you may feel tempted to learn just enough to relax your security demands. Do that at your own risk—we most definitely </w:t>
      </w:r>
      <w:r>
        <w:rPr>
          <w:rStyle w:val="Text4"/>
        </w:rPr>
        <w:t>don’t</w:t>
      </w:r>
      <w:r>
        <w:t xml:space="preserve"> recommend wandering into such territory!</w:t>
      </w:r>
    </w:p>
    <w:p>
      <w:pPr>
        <w:pStyle w:val="Normal"/>
      </w:pPr>
      <w:r>
        <w:t xml:space="preserve">In the following sections, we cover the minimal subset of </w:t>
      </w:r>
      <w:r>
        <w:rPr>
          <w:rStyle w:val="Text0"/>
        </w:rPr>
        <w:t>ssl</w:t>
      </w:r>
      <w:r>
        <w:t xml:space="preserve"> you need to be familiar with if you just want to follow our recommendations. But even if that is the case, </w:t>
      </w:r>
      <w:r>
        <w:rPr>
          <w:rStyle w:val="Text4"/>
        </w:rPr>
        <w:t>please</w:t>
      </w:r>
      <w:r>
        <w:t xml:space="preserve"> also read up on TLS and </w:t>
      </w:r>
      <w:r>
        <w:rPr>
          <w:rStyle w:val="Text0"/>
        </w:rPr>
        <w:t>ssl</w:t>
      </w:r>
      <w:r>
        <w:t>, just to gain some background knowledge about the intricate issues involved. It may stand you in good stead one day!</w:t>
      </w:r>
    </w:p>
    <w:p>
      <w:bookmarkStart w:id="4023" w:name="SSLContext__The_ssl_module_suppl"/>
      <w:pPr>
        <w:keepNext/>
        <w:pStyle w:val="Heading 1"/>
      </w:pPr>
      <w:r>
        <w:t>SSLContext</w:t>
      </w:r>
      <w:bookmarkEnd w:id="4023"/>
    </w:p>
    <w:p>
      <w:pPr>
        <w:pStyle w:val="Normal"/>
      </w:pPr>
      <w:r>
        <w:t>The</w:t>
      </w:r>
      <w:r>
        <w:rPr>
          <w:rStyle w:val="Text111"/>
        </w:rPr>
        <w:bookmarkStart w:id="4024" w:name="idm45965176198288"/>
        <w:t/>
        <w:bookmarkEnd w:id="4024"/>
        <w:bookmarkStart w:id="4025" w:name="idm45965176197072"/>
        <w:t/>
        <w:bookmarkEnd w:id="4025"/>
        <w:bookmarkStart w:id="4026" w:name="idm45965176196096"/>
        <w:t/>
        <w:bookmarkEnd w:id="4026"/>
        <w:bookmarkStart w:id="4027" w:name="idm45965176195120"/>
        <w:t/>
        <w:bookmarkEnd w:id="4027"/>
      </w:r>
      <w:r>
        <w:t xml:space="preserve"> </w:t>
      </w:r>
      <w:r>
        <w:rPr>
          <w:rStyle w:val="Text0"/>
        </w:rPr>
        <w:t>ssl</w:t>
      </w:r>
      <w:r>
        <w:t xml:space="preserve"> module supplies an </w:t>
      </w:r>
      <w:r>
        <w:rPr>
          <w:rStyle w:val="Text0"/>
        </w:rPr>
        <w:t>ssl.SSLContext</w:t>
      </w:r>
      <w:r>
        <w:t xml:space="preserve"> class, whose instances hold information about TLS configuration (including certificates and private keys) and offer many methods to set, change, check, and use that information. If you know exactly what you’re doing, you can manually instantiate, set up, and use your own </w:t>
      </w:r>
      <w:r>
        <w:rPr>
          <w:rStyle w:val="Text0"/>
        </w:rPr>
        <w:t>SSLContext</w:t>
      </w:r>
      <w:r>
        <w:t xml:space="preserve"> instances for your own specialized purposes.</w:t>
      </w:r>
    </w:p>
    <w:p>
      <w:pPr>
        <w:pStyle w:val="Normal"/>
      </w:pPr>
      <w:r>
        <w:t xml:space="preserve">However, we recommend instead that you instantiate an </w:t>
      </w:r>
      <w:r>
        <w:rPr>
          <w:rStyle w:val="Text0"/>
        </w:rPr>
        <w:t>SSLContext</w:t>
      </w:r>
      <w:r>
        <w:t xml:space="preserve"> using the </w:t>
        <w:t>well-tuned</w:t>
        <w:t xml:space="preserve"> function </w:t>
      </w:r>
      <w:r>
        <w:rPr>
          <w:rStyle w:val="Text0"/>
        </w:rPr>
        <w:t>ssl.create_default_context</w:t>
      </w:r>
      <w:r>
        <w:t xml:space="preserve">, with a single argument: </w:t>
      </w:r>
      <w:r>
        <w:rPr>
          <w:rStyle w:val="Text0"/>
        </w:rPr>
        <w:t>ssl.Purpose.CLIENT_AUTH</w:t>
      </w:r>
      <w:r>
        <w:t xml:space="preserve"> if your code is a server (and thus may need to authenticate clients), or </w:t>
      </w:r>
      <w:r>
        <w:rPr>
          <w:rStyle w:val="Text0"/>
        </w:rPr>
        <w:t>ssl.Purpose.SERVER_AUTH</w:t>
      </w:r>
      <w:r>
        <w:t xml:space="preserve"> if your code is a client (and thus definitely needs to authenticate servers). If your code is both a client to some servers and a server to other clients (as, for example, some internet proxies are), then you’ll need two instances of </w:t>
      </w:r>
      <w:r>
        <w:rPr>
          <w:rStyle w:val="Text0"/>
        </w:rPr>
        <w:t>SSLContext</w:t>
      </w:r>
      <w:r>
        <w:t>, one for each purpose.</w:t>
      </w:r>
    </w:p>
    <w:p>
      <w:pPr>
        <w:pStyle w:val="Normal"/>
      </w:pPr>
      <w:r>
        <w:t xml:space="preserve">For most client-side uses, your </w:t>
      </w:r>
      <w:r>
        <w:rPr>
          <w:rStyle w:val="Text0"/>
        </w:rPr>
        <w:t>SSLContext</w:t>
      </w:r>
      <w:r>
        <w:t xml:space="preserve"> is ready. If you’re coding a server, or a client for one of the rare servers that require TLS authentication of the clients, you need to have a certificate file and a key file (see the </w:t>
      </w:r>
      <w:hyperlink r:id="rId533">
        <w:r>
          <w:rPr>
            <w:rStyle w:val="Text1"/>
          </w:rPr>
          <w:t>online docs</w:t>
        </w:r>
      </w:hyperlink>
      <w:r>
        <w:t xml:space="preserve"> to learn how to obtain these files). Add them to the </w:t>
      </w:r>
      <w:r>
        <w:rPr>
          <w:rStyle w:val="Text0"/>
        </w:rPr>
        <w:t>SSLContext</w:t>
      </w:r>
      <w:r>
        <w:t xml:space="preserve"> instance (so that counterparties can verify your identity) by passing the paths to the certificate and key files to the </w:t>
      </w:r>
      <w:r>
        <w:rPr>
          <w:rStyle w:val="Text0"/>
        </w:rPr>
        <w:t>load_cert_chain</w:t>
      </w:r>
      <w:r>
        <w:t xml:space="preserve"> method with code like the following:</w:t>
      </w:r>
    </w:p>
    <w:p>
      <w:pPr>
        <w:pStyle w:val="Para 007"/>
      </w:pPr>
      <w:r>
        <w:rPr>
          <w:rStyle w:val="Text23"/>
        </w:rPr>
        <w:t xml:space="preserve"/>
        <w:br w:clear="none"/>
      </w:r>
      <w:r>
        <w:t xml:space="preserve">ctx</w:t>
        <w:br w:clear="none"/>
      </w:r>
      <w:r>
        <w:rPr>
          <w:rStyle w:val="Text23"/>
        </w:rPr>
        <w:t xml:space="preserve"> </w:t>
        <w:br w:clear="none"/>
      </w:r>
      <w:r>
        <w:rPr>
          <w:rStyle w:val="Text13"/>
        </w:rPr>
        <w:t xml:space="preserve">=</w:t>
        <w:br w:clear="none"/>
      </w:r>
      <w:r>
        <w:rPr>
          <w:rStyle w:val="Text23"/>
        </w:rPr>
        <w:t xml:space="preserve"> </w:t>
        <w:br w:clear="none"/>
      </w:r>
      <w:r>
        <w:t xml:space="preserve">ssl</w:t>
        <w:br w:clear="none"/>
      </w:r>
      <w:r>
        <w:rPr>
          <w:rStyle w:val="Text13"/>
        </w:rPr>
        <w:t xml:space="preserve">.</w:t>
        <w:br w:clear="none"/>
      </w:r>
      <w:r>
        <w:t xml:space="preserve">create_default_context</w:t>
        <w:br w:clear="none"/>
      </w:r>
      <w:r>
        <w:rPr>
          <w:rStyle w:val="Text7"/>
        </w:rPr>
        <w:t xml:space="preserve">(</w:t>
        <w:br w:clear="none"/>
      </w:r>
      <w:r>
        <w:t xml:space="preserve">ssl</w:t>
        <w:br w:clear="none"/>
      </w:r>
      <w:r>
        <w:rPr>
          <w:rStyle w:val="Text13"/>
        </w:rPr>
        <w:t xml:space="preserve">.</w:t>
        <w:br w:clear="none"/>
      </w:r>
      <w:r>
        <w:t xml:space="preserve">Purpose</w:t>
        <w:br w:clear="none"/>
      </w:r>
      <w:r>
        <w:rPr>
          <w:rStyle w:val="Text13"/>
        </w:rPr>
        <w:t xml:space="preserve">.</w:t>
        <w:br w:clear="none"/>
      </w:r>
      <w:r>
        <w:t xml:space="preserve">CLIENT_AUTH</w:t>
        <w:br w:clear="none"/>
      </w:r>
      <w:r>
        <w:rPr>
          <w:rStyle w:val="Text7"/>
        </w:rPr>
        <w:t xml:space="preserve">)</w:t>
        <w:br w:clear="none"/>
      </w:r>
      <w:r>
        <w:rPr>
          <w:rStyle w:val="Text23"/>
        </w:rPr>
        <w:t xml:space="preserve"/>
        <w:br w:clear="none"/>
      </w:r>
      <w:r>
        <w:t xml:space="preserve">ctx</w:t>
        <w:br w:clear="none"/>
      </w:r>
      <w:r>
        <w:rPr>
          <w:rStyle w:val="Text13"/>
        </w:rPr>
        <w:t xml:space="preserve">.</w:t>
        <w:br w:clear="none"/>
      </w:r>
      <w:r>
        <w:t xml:space="preserve">load_cert_chain</w:t>
        <w:br w:clear="none"/>
      </w:r>
      <w:r>
        <w:rPr>
          <w:rStyle w:val="Text7"/>
        </w:rPr>
        <w:t xml:space="preserve">(</w:t>
        <w:br w:clear="none"/>
      </w:r>
      <w:r>
        <w:t xml:space="preserve">certfile</w:t>
        <w:br w:clear="none"/>
      </w:r>
      <w:r>
        <w:rPr>
          <w:rStyle w:val="Text13"/>
        </w:rPr>
        <w:t xml:space="preserve">=</w:t>
        <w:br w:clear="none"/>
      </w:r>
      <w:r>
        <w:rPr>
          <w:rStyle w:val="Text8"/>
        </w:rPr>
        <w:t xml:space="preserve">'mycert.pem'</w:t>
        <w:br w:clear="none"/>
      </w:r>
      <w:r>
        <w:rPr>
          <w:rStyle w:val="Text7"/>
        </w:rPr>
        <w:t xml:space="preserve">,</w:t>
        <w:br w:clear="none"/>
      </w:r>
      <w:r>
        <w:rPr>
          <w:rStyle w:val="Text23"/>
        </w:rPr>
        <w:t xml:space="preserve"> </w:t>
        <w:br w:clear="none"/>
      </w:r>
      <w:r>
        <w:t xml:space="preserve">keyfile</w:t>
        <w:br w:clear="none"/>
      </w:r>
      <w:r>
        <w:rPr>
          <w:rStyle w:val="Text13"/>
        </w:rPr>
        <w:t xml:space="preserve">=</w:t>
        <w:br w:clear="none"/>
      </w:r>
      <w:r>
        <w:rPr>
          <w:rStyle w:val="Text8"/>
        </w:rPr>
        <w:t xml:space="preserve">'mykey.key'</w:t>
        <w:br w:clear="none"/>
      </w:r>
      <w:r>
        <w:rPr>
          <w:rStyle w:val="Text7"/>
        </w:rPr>
        <w:t xml:space="preserve">)</w:t>
        <w:br w:clear="none"/>
      </w:r>
    </w:p>
    <w:p>
      <w:pPr>
        <w:pStyle w:val="Normal"/>
      </w:pPr>
      <w:r>
        <w:t xml:space="preserve">Once your context instance </w:t>
      </w:r>
      <w:r>
        <w:rPr>
          <w:rStyle w:val="Text3"/>
        </w:rPr>
        <w:t>ctx</w:t>
      </w:r>
      <w:r>
        <w:t xml:space="preserve"> is ready, if you’re coding a client, just call </w:t>
      </w:r>
      <w:r>
        <w:rPr>
          <w:rStyle w:val="Text3"/>
        </w:rPr>
        <w:t>ctx</w:t>
      </w:r>
      <w:r>
        <w:rPr>
          <w:rStyle w:val="Text0"/>
        </w:rPr>
        <w:t>.wrap_socket</w:t>
      </w:r>
      <w:r>
        <w:t xml:space="preserve"> to wrap any socket you’re about to connect to a server, and use the wrapped result (an instance of </w:t>
      </w:r>
      <w:r>
        <w:rPr>
          <w:rStyle w:val="Text0"/>
        </w:rPr>
        <w:t>ssl.SSLSocket</w:t>
      </w:r>
      <w:r>
        <w:t>) instead of the socket you just wrapped. For example:</w:t>
      </w:r>
    </w:p>
    <w:p>
      <w:pPr>
        <w:pStyle w:val="Para 007"/>
      </w:pPr>
      <w:r>
        <w:rPr>
          <w:rStyle w:val="Text23"/>
        </w:rPr>
        <w:t xml:space="preserve"/>
        <w:br w:clear="none"/>
      </w:r>
      <w:r>
        <w:t xml:space="preserve">sock</w:t>
        <w:br w:clear="none"/>
      </w:r>
      <w:r>
        <w:rPr>
          <w:rStyle w:val="Text6"/>
        </w:rPr>
        <w:t xml:space="preserve"> </w:t>
        <w:br w:clear="none"/>
      </w:r>
      <w:r>
        <w:rPr>
          <w:rStyle w:val="Text13"/>
        </w:rPr>
        <w:t xml:space="preserve">=</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br w:clear="none"/>
      </w:r>
      <w:r>
        <w:t xml:space="preserve">sock</w:t>
        <w:br w:clear="none"/>
      </w:r>
      <w:r>
        <w:rPr>
          <w:rStyle w:val="Text6"/>
        </w:rPr>
        <w:t xml:space="preserve"> </w:t>
        <w:br w:clear="none"/>
      </w:r>
      <w:r>
        <w:rPr>
          <w:rStyle w:val="Text13"/>
        </w:rPr>
        <w:t xml:space="preserve">=</w:t>
        <w:br w:clear="none"/>
      </w:r>
      <w:r>
        <w:rPr>
          <w:rStyle w:val="Text6"/>
        </w:rPr>
        <w:t xml:space="preserve"> </w:t>
        <w:br w:clear="none"/>
      </w:r>
      <w:r>
        <w:t xml:space="preserve">ctx</w:t>
        <w:br w:clear="none"/>
      </w:r>
      <w:r>
        <w:rPr>
          <w:rStyle w:val="Text13"/>
        </w:rPr>
        <w:t xml:space="preserve">.</w:t>
        <w:br w:clear="none"/>
      </w:r>
      <w:r>
        <w:t xml:space="preserve">wrap_socket</w:t>
        <w:br w:clear="none"/>
      </w:r>
      <w:r>
        <w:rPr>
          <w:rStyle w:val="Text7"/>
        </w:rPr>
        <w:t xml:space="preserve">(</w:t>
        <w:br w:clear="none"/>
      </w:r>
      <w:r>
        <w:t xml:space="preserve">sock</w:t>
        <w:br w:clear="none"/>
      </w:r>
      <w:r>
        <w:rPr>
          <w:rStyle w:val="Text7"/>
        </w:rPr>
        <w:t xml:space="preserve">,</w:t>
        <w:br w:clear="none"/>
      </w:r>
      <w:r>
        <w:rPr>
          <w:rStyle w:val="Text6"/>
        </w:rPr>
        <w:t xml:space="preserve"> </w:t>
        <w:br w:clear="none"/>
      </w:r>
      <w:r>
        <w:t xml:space="preserve">server_hostname</w:t>
        <w:br w:clear="none"/>
      </w:r>
      <w:r>
        <w:rPr>
          <w:rStyle w:val="Text13"/>
        </w:rPr>
        <w:t xml:space="preserve">=</w:t>
        <w:br w:clear="none"/>
      </w:r>
      <w:r>
        <w:rPr>
          <w:rStyle w:val="Text8"/>
        </w:rPr>
        <w:t xml:space="preserve">'</w:t>
        <w:br w:clear="none"/>
        <w:t xml:space="preserve">www.example.com</w:t>
        <w:br w:clear="none"/>
        <w:t xml:space="preserve">'</w:t>
        <w:br w:clear="none"/>
      </w:r>
      <w:r>
        <w:rPr>
          <w:rStyle w:val="Text7"/>
        </w:rPr>
        <w:t xml:space="preserve">)</w:t>
        <w:br w:clear="none"/>
      </w:r>
      <w:r>
        <w:rPr>
          <w:rStyle w:val="Text6"/>
        </w:rPr>
        <w:t xml:space="preserve"/>
        <w:br w:clear="none"/>
      </w:r>
      <w:r>
        <w:t xml:space="preserve">sock</w:t>
        <w:br w:clear="none"/>
      </w:r>
      <w:r>
        <w:rPr>
          <w:rStyle w:val="Text13"/>
        </w:rPr>
        <w:t xml:space="preserve">.</w:t>
        <w:br w:clear="none"/>
      </w:r>
      <w:r>
        <w:t xml:space="preserve">connect</w:t>
        <w:br w:clear="none"/>
      </w:r>
      <w:r>
        <w:rPr>
          <w:rStyle w:val="Text7"/>
        </w:rPr>
        <w:t xml:space="preserve">(</w:t>
        <w:br w:clear="none"/>
        <w:t xml:space="preserve">(</w:t>
        <w:br w:clear="none"/>
      </w:r>
      <w:r>
        <w:rPr>
          <w:rStyle w:val="Text8"/>
        </w:rPr>
        <w:t xml:space="preserve">'</w:t>
        <w:br w:clear="none"/>
        <w:t xml:space="preserve">www.example.com</w:t>
        <w:br w:clear="none"/>
        <w:t xml:space="preserve">'</w:t>
        <w:br w:clear="none"/>
      </w:r>
      <w:r>
        <w:rPr>
          <w:rStyle w:val="Text7"/>
        </w:rPr>
        <w:t xml:space="preserve">,</w:t>
        <w:br w:clear="none"/>
      </w:r>
      <w:r>
        <w:rPr>
          <w:rStyle w:val="Text6"/>
        </w:rPr>
        <w:t xml:space="preserve"> </w:t>
        <w:br w:clear="none"/>
      </w:r>
      <w:r>
        <w:rPr>
          <w:rStyle w:val="Text27"/>
        </w:rPr>
        <w:t xml:space="preserve">443</w:t>
        <w:br w:clear="none"/>
      </w:r>
      <w:r>
        <w:rPr>
          <w:rStyle w:val="Text7"/>
        </w:rPr>
        <w:t xml:space="preserve">)</w:t>
        <w:br w:clear="none"/>
        <w:t xml:space="preserve">)</w:t>
        <w:br w:clear="none"/>
      </w:r>
      <w:r>
        <w:rPr>
          <w:rStyle w:val="Text6"/>
        </w:rPr>
        <w:t xml:space="preserve">  </w:t>
        <w:br w:clear="none"/>
        <w:t xml:space="preserve"/>
        <w:br w:clear="none"/>
      </w:r>
      <w:r>
        <w:rPr>
          <w:rStyle w:val="Text15"/>
        </w:rPr>
        <w:t xml:space="preserve"># use 'sock' normally from here on</w:t>
        <w:br w:clear="none"/>
      </w:r>
    </w:p>
    <w:p>
      <w:pPr>
        <w:pStyle w:val="Normal"/>
      </w:pPr>
      <w:r>
        <w:t xml:space="preserve">Note that, in the client case, you should also pass </w:t>
      </w:r>
      <w:r>
        <w:rPr>
          <w:rStyle w:val="Text0"/>
        </w:rPr>
        <w:t>wrap_socket</w:t>
      </w:r>
      <w:r>
        <w:t xml:space="preserve"> a </w:t>
      </w:r>
      <w:r>
        <w:rPr>
          <w:rStyle w:val="Text0"/>
        </w:rPr>
        <w:t>server_hostname</w:t>
      </w:r>
      <w:r>
        <w:t xml:space="preserve"> argument corresponding to the server you’re about to connect to; this way, the connection can verify that the identity of the server you end up connecting to is indeed correct, an absolutely crucial security step.</w:t>
      </w:r>
    </w:p>
    <w:p>
      <w:pPr>
        <w:pStyle w:val="Normal"/>
      </w:pPr>
      <w:r>
        <w:t xml:space="preserve">Server-side, </w:t>
      </w:r>
      <w:r>
        <w:rPr>
          <w:rStyle w:val="Text4"/>
        </w:rPr>
        <w:t>don’t</w:t>
      </w:r>
      <w:r>
        <w:t xml:space="preserve"> wrap the socket that you are binding to an address, listening on, or accepting connections on; just wrap the new socket that </w:t>
      </w:r>
      <w:r>
        <w:rPr>
          <w:rStyle w:val="Text0"/>
        </w:rPr>
        <w:t>accept</w:t>
      </w:r>
      <w:r>
        <w:t xml:space="preserve"> returns. For example:</w:t>
      </w:r>
    </w:p>
    <w:p>
      <w:pPr>
        <w:pStyle w:val="Para 007"/>
      </w:pPr>
      <w:r>
        <w:rPr>
          <w:rStyle w:val="Text23"/>
        </w:rPr>
        <w:t xml:space="preserve"/>
        <w:br w:clear="none"/>
      </w:r>
      <w:r>
        <w:t xml:space="preserve">sock</w:t>
        <w:br w:clear="none"/>
      </w:r>
      <w:r>
        <w:rPr>
          <w:rStyle w:val="Text6"/>
        </w:rPr>
        <w:t xml:space="preserve"> </w:t>
        <w:br w:clear="none"/>
      </w:r>
      <w:r>
        <w:rPr>
          <w:rStyle w:val="Text13"/>
        </w:rPr>
        <w:t xml:space="preserve">=</w:t>
        <w:br w:clear="none"/>
      </w:r>
      <w:r>
        <w:rPr>
          <w:rStyle w:val="Text6"/>
        </w:rPr>
        <w:t xml:space="preserve"> </w:t>
        <w:br w:clear="none"/>
      </w:r>
      <w:r>
        <w:t xml:space="preserve">socket</w:t>
        <w:br w:clear="none"/>
      </w:r>
      <w:r>
        <w:rPr>
          <w:rStyle w:val="Text13"/>
        </w:rPr>
        <w:t xml:space="preserve">.</w:t>
        <w:br w:clear="none"/>
      </w:r>
      <w:r>
        <w:t xml:space="preserve">socket</w:t>
        <w:br w:clear="none"/>
      </w:r>
      <w:r>
        <w:rPr>
          <w:rStyle w:val="Text7"/>
        </w:rPr>
        <w:t xml:space="preserve">(</w:t>
        <w:br w:clear="none"/>
      </w:r>
      <w:r>
        <w:t xml:space="preserve">socket</w:t>
        <w:br w:clear="none"/>
      </w:r>
      <w:r>
        <w:rPr>
          <w:rStyle w:val="Text13"/>
        </w:rPr>
        <w:t xml:space="preserve">.</w:t>
        <w:br w:clear="none"/>
      </w:r>
      <w:r>
        <w:t xml:space="preserve">AF_INET</w:t>
        <w:br w:clear="none"/>
      </w:r>
      <w:r>
        <w:rPr>
          <w:rStyle w:val="Text7"/>
        </w:rPr>
        <w:t xml:space="preserve">)</w:t>
        <w:br w:clear="none"/>
      </w:r>
      <w:r>
        <w:rPr>
          <w:rStyle w:val="Text6"/>
        </w:rPr>
        <w:t xml:space="preserve"/>
        <w:br w:clear="none"/>
      </w:r>
      <w:r>
        <w:t xml:space="preserve">sock</w:t>
        <w:br w:clear="none"/>
      </w:r>
      <w:r>
        <w:rPr>
          <w:rStyle w:val="Text13"/>
        </w:rPr>
        <w:t xml:space="preserve">.</w:t>
        <w:br w:clear="none"/>
      </w:r>
      <w:r>
        <w:t xml:space="preserve">bind</w:t>
        <w:br w:clear="none"/>
      </w:r>
      <w:r>
        <w:rPr>
          <w:rStyle w:val="Text7"/>
        </w:rPr>
        <w:t xml:space="preserve">(</w:t>
        <w:br w:clear="none"/>
        <w:t xml:space="preserve">(</w:t>
        <w:br w:clear="none"/>
      </w:r>
      <w:r>
        <w:rPr>
          <w:rStyle w:val="Text8"/>
        </w:rPr>
        <w:t xml:space="preserve">'</w:t>
        <w:br w:clear="none"/>
        <w:t xml:space="preserve">www.example.com</w:t>
        <w:br w:clear="none"/>
        <w:t xml:space="preserve">'</w:t>
        <w:br w:clear="none"/>
      </w:r>
      <w:r>
        <w:rPr>
          <w:rStyle w:val="Text7"/>
        </w:rPr>
        <w:t xml:space="preserve">,</w:t>
        <w:br w:clear="none"/>
      </w:r>
      <w:r>
        <w:rPr>
          <w:rStyle w:val="Text6"/>
        </w:rPr>
        <w:t xml:space="preserve"> </w:t>
        <w:br w:clear="none"/>
      </w:r>
      <w:r>
        <w:rPr>
          <w:rStyle w:val="Text27"/>
        </w:rPr>
        <w:t xml:space="preserve">443</w:t>
        <w:br w:clear="none"/>
      </w:r>
      <w:r>
        <w:rPr>
          <w:rStyle w:val="Text7"/>
        </w:rPr>
        <w:t xml:space="preserve">)</w:t>
        <w:br w:clear="none"/>
        <w:t xml:space="preserve">)</w:t>
        <w:br w:clear="none"/>
      </w:r>
      <w:r>
        <w:rPr>
          <w:rStyle w:val="Text6"/>
        </w:rPr>
        <w:t xml:space="preserve"/>
        <w:br w:clear="none"/>
      </w:r>
      <w:r>
        <w:t xml:space="preserve">sock</w:t>
        <w:br w:clear="none"/>
      </w:r>
      <w:r>
        <w:rPr>
          <w:rStyle w:val="Text13"/>
        </w:rPr>
        <w:t xml:space="preserve">.</w:t>
        <w:br w:clear="none"/>
      </w:r>
      <w:r>
        <w:t xml:space="preserve">listen</w:t>
        <w:br w:clear="none"/>
      </w:r>
      <w:r>
        <w:rPr>
          <w:rStyle w:val="Text7"/>
        </w:rPr>
        <w:t xml:space="preserve">(</w:t>
        <w:br w:clear="none"/>
      </w:r>
      <w:r>
        <w:rPr>
          <w:rStyle w:val="Text27"/>
        </w:rPr>
        <w:t xml:space="preserve">5</w:t>
        <w:br w:clear="none"/>
      </w:r>
      <w:r>
        <w:rPr>
          <w:rStyle w:val="Text7"/>
        </w:rPr>
        <w:t xml:space="preserve">)</w:t>
        <w:br w:clear="none"/>
      </w:r>
      <w:r>
        <w:rPr>
          <w:rStyle w:val="Text6"/>
        </w:rPr>
        <w:t xml:space="preserve"/>
        <w:br w:clear="none"/>
      </w:r>
      <w:r>
        <w:rPr>
          <w:rStyle w:val="Text10"/>
        </w:rPr>
        <w:t xml:space="preserve">while</w:t>
        <w:br w:clear="none"/>
      </w:r>
      <w:r>
        <w:rPr>
          <w:rStyle w:val="Text29"/>
        </w:rPr>
        <w:t xml:space="preserve"> </w:t>
        <w:br w:clear="none"/>
      </w:r>
      <w:r>
        <w:rPr>
          <w:rStyle w:val="Text10"/>
        </w:rPr>
        <w:t xml:space="preserve">True</w:t>
        <w:br w:clear="none"/>
      </w:r>
      <w:r>
        <w:rPr>
          <w:rStyle w:val="Text31"/>
        </w:rPr>
        <w:t xml:space="preserve">:</w:t>
        <w:br w:clear="none"/>
      </w:r>
      <w:r>
        <w:rPr>
          <w:rStyle w:val="Text6"/>
        </w:rPr>
        <w:t xml:space="preserve"/>
        <w:br w:clear="none"/>
        <w:t xml:space="preserve">    </w:t>
        <w:br w:clear="none"/>
      </w:r>
      <w:r>
        <w:t xml:space="preserve">newsock</w:t>
        <w:br w:clear="none"/>
      </w:r>
      <w:r>
        <w:rPr>
          <w:rStyle w:val="Text7"/>
        </w:rPr>
        <w:t xml:space="preserve">,</w:t>
        <w:br w:clear="none"/>
      </w:r>
      <w:r>
        <w:rPr>
          <w:rStyle w:val="Text6"/>
        </w:rPr>
        <w:t xml:space="preserve"> </w:t>
        <w:br w:clear="none"/>
      </w:r>
      <w:r>
        <w:t xml:space="preserve">fromaddr</w:t>
        <w:br w:clear="none"/>
      </w:r>
      <w:r>
        <w:rPr>
          <w:rStyle w:val="Text6"/>
        </w:rPr>
        <w:t xml:space="preserve"> </w:t>
        <w:br w:clear="none"/>
      </w:r>
      <w:r>
        <w:rPr>
          <w:rStyle w:val="Text13"/>
        </w:rPr>
        <w:t xml:space="preserve">=</w:t>
        <w:br w:clear="none"/>
      </w:r>
      <w:r>
        <w:rPr>
          <w:rStyle w:val="Text6"/>
        </w:rPr>
        <w:t xml:space="preserve"> </w:t>
        <w:br w:clear="none"/>
      </w:r>
      <w:r>
        <w:t xml:space="preserve">sock</w:t>
        <w:br w:clear="none"/>
      </w:r>
      <w:r>
        <w:rPr>
          <w:rStyle w:val="Text13"/>
        </w:rPr>
        <w:t xml:space="preserve">.</w:t>
        <w:br w:clear="none"/>
      </w:r>
      <w:r>
        <w:t xml:space="preserve">accept</w:t>
        <w:br w:clear="none"/>
      </w:r>
      <w:r>
        <w:rPr>
          <w:rStyle w:val="Text7"/>
        </w:rPr>
        <w:t xml:space="preserve">(</w:t>
        <w:br w:clear="none"/>
        <w:t xml:space="preserve">)</w:t>
        <w:br w:clear="none"/>
      </w:r>
      <w:r>
        <w:rPr>
          <w:rStyle w:val="Text6"/>
        </w:rPr>
        <w:t xml:space="preserve"/>
        <w:br w:clear="none"/>
        <w:t xml:space="preserve">    </w:t>
        <w:br w:clear="none"/>
      </w:r>
      <w:r>
        <w:t xml:space="preserve">newsock</w:t>
        <w:br w:clear="none"/>
      </w:r>
      <w:r>
        <w:rPr>
          <w:rStyle w:val="Text6"/>
        </w:rPr>
        <w:t xml:space="preserve"> </w:t>
        <w:br w:clear="none"/>
      </w:r>
      <w:r>
        <w:rPr>
          <w:rStyle w:val="Text13"/>
        </w:rPr>
        <w:t xml:space="preserve">=</w:t>
        <w:br w:clear="none"/>
      </w:r>
      <w:r>
        <w:rPr>
          <w:rStyle w:val="Text6"/>
        </w:rPr>
        <w:t xml:space="preserve"> </w:t>
        <w:br w:clear="none"/>
      </w:r>
      <w:r>
        <w:t xml:space="preserve">ctx</w:t>
        <w:br w:clear="none"/>
      </w:r>
      <w:r>
        <w:rPr>
          <w:rStyle w:val="Text13"/>
        </w:rPr>
        <w:t xml:space="preserve">.</w:t>
        <w:br w:clear="none"/>
      </w:r>
      <w:r>
        <w:t xml:space="preserve">wrap_socket</w:t>
        <w:br w:clear="none"/>
      </w:r>
      <w:r>
        <w:rPr>
          <w:rStyle w:val="Text7"/>
        </w:rPr>
        <w:t xml:space="preserve">(</w:t>
        <w:br w:clear="none"/>
      </w:r>
      <w:r>
        <w:t xml:space="preserve">newsock</w:t>
        <w:br w:clear="none"/>
      </w:r>
      <w:r>
        <w:rPr>
          <w:rStyle w:val="Text7"/>
        </w:rPr>
        <w:t xml:space="preserve">,</w:t>
        <w:br w:clear="none"/>
      </w:r>
      <w:r>
        <w:rPr>
          <w:rStyle w:val="Text6"/>
        </w:rPr>
        <w:t xml:space="preserve"> </w:t>
        <w:br w:clear="none"/>
      </w:r>
      <w:r>
        <w:t xml:space="preserve">server_side</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rPr>
          <w:rStyle w:val="Text15"/>
        </w:rPr>
        <w:t xml:space="preserve"># deal with 'newsock' as usual; shut down, then close it, when done</w:t>
        <w:br w:clear="none"/>
      </w:r>
    </w:p>
    <w:p>
      <w:pPr>
        <w:pStyle w:val="Normal"/>
      </w:pPr>
      <w:r>
        <w:t xml:space="preserve">In this case, you need to pass </w:t>
      </w:r>
      <w:r>
        <w:rPr>
          <w:rStyle w:val="Text0"/>
        </w:rPr>
        <w:t>wrap_socket</w:t>
      </w:r>
      <w:r>
        <w:t xml:space="preserve"> the argument </w:t>
      </w:r>
      <w:r>
        <w:rPr>
          <w:rStyle w:val="Text0"/>
        </w:rPr>
        <w:t>server_side=</w:t>
      </w:r>
      <w:r>
        <w:rPr>
          <w:rStyle w:val="Text5"/>
        </w:rPr>
        <w:t>True</w:t>
      </w:r>
      <w:r>
        <w:t xml:space="preserve"> so it knows that you’re on the server side of things.</w:t>
      </w:r>
    </w:p>
    <w:p>
      <w:pPr>
        <w:pStyle w:val="Normal"/>
      </w:pPr>
      <w:r>
        <w:t xml:space="preserve">Again, we recommend consulting the online docs—particularly the </w:t>
      </w:r>
      <w:hyperlink r:id="rId534">
        <w:r>
          <w:rPr>
            <w:rStyle w:val="Text1"/>
          </w:rPr>
          <w:t>examples</w:t>
        </w:r>
      </w:hyperlink>
      <w:r>
        <w:t xml:space="preserve">—for better understanding, even if you stick to just this simple subset of </w:t>
      </w:r>
      <w:r>
        <w:rPr>
          <w:rStyle w:val="Text0"/>
        </w:rPr>
        <w:t>ssl</w:t>
      </w:r>
      <w:r>
        <w:t xml:space="preserve"> operations.</w:t>
      </w:r>
    </w:p>
    <w:p>
      <w:bookmarkStart w:id="4028" w:name="1_When_you_code_an_application_p"/>
      <w:pPr>
        <w:pStyle w:val="Para 035"/>
      </w:pPr>
      <w:hyperlink w:anchor="1_17">
        <w:r>
          <w:rPr>
            <w:rStyle w:val="Text1"/>
          </w:rPr>
          <w:t>1</w:t>
        </w:r>
      </w:hyperlink>
      <w:r>
        <w:t xml:space="preserve"> When you code an application program, you normally use sockets through higher-abstraction layers, such as those covered in </w:t>
      </w:r>
      <w:hyperlink w:anchor="Chapter_19__Client_Side_Network_2">
        <w:r>
          <w:rPr>
            <w:rStyle w:val="Text1"/>
          </w:rPr>
          <w:t>Chapter 19</w:t>
        </w:r>
      </w:hyperlink>
      <w:r>
        <w:t>.</w:t>
      </w:r>
      <w:bookmarkEnd w:id="4028"/>
    </w:p>
    <w:p>
      <w:bookmarkStart w:id="4029" w:name="2_And_the_relatively_newfangled"/>
      <w:pPr>
        <w:pStyle w:val="Para 015"/>
      </w:pPr>
      <w:hyperlink w:anchor="2_15">
        <w:r>
          <w:rPr>
            <w:rStyle w:val="Text1"/>
          </w:rPr>
          <w:t>2</w:t>
        </w:r>
      </w:hyperlink>
      <w:r>
        <w:t xml:space="preserve"> And the relatively newfangled multiplexed connections transport protocol </w:t>
      </w:r>
      <w:hyperlink r:id="rId535">
        <w:r>
          <w:rPr>
            <w:rStyle w:val="Text1"/>
          </w:rPr>
          <w:t>QUIC</w:t>
        </w:r>
      </w:hyperlink>
      <w:r>
        <w:t xml:space="preserve">, supported in Python by third-party </w:t>
      </w:r>
      <w:hyperlink r:id="rId536">
        <w:r>
          <w:rPr>
            <w:rStyle w:val="Text74"/>
          </w:rPr>
          <w:t>aioquic</w:t>
        </w:r>
      </w:hyperlink>
      <w:r>
        <w:t>.</w:t>
      </w:r>
      <w:bookmarkEnd w:id="4029"/>
    </w:p>
    <w:p>
      <w:bookmarkStart w:id="4030" w:name="3_This_client_example_isn_t_secu"/>
      <w:pPr>
        <w:pStyle w:val="Para 015"/>
      </w:pPr>
      <w:hyperlink w:anchor="3_15">
        <w:r>
          <w:rPr>
            <w:rStyle w:val="Text1"/>
          </w:rPr>
          <w:t>3</w:t>
        </w:r>
      </w:hyperlink>
      <w:r>
        <w:t xml:space="preserve"> This client example isn’t secure; see </w:t>
      </w:r>
      <w:hyperlink w:anchor="Transport_Layer_Security__Transp">
        <w:r>
          <w:rPr>
            <w:rStyle w:val="Text1"/>
          </w:rPr>
          <w:t>“Transport Layer Security”</w:t>
        </w:r>
      </w:hyperlink>
      <w:r>
        <w:t xml:space="preserve"> for an introduction to making it secure.</w:t>
      </w:r>
      <w:bookmarkEnd w:id="4030"/>
    </w:p>
    <w:p>
      <w:bookmarkStart w:id="4031" w:name="4_We_say__almost__because__when"/>
      <w:pPr>
        <w:pStyle w:val="Para 015"/>
      </w:pPr>
      <w:hyperlink w:anchor="4_9">
        <w:r>
          <w:rPr>
            <w:rStyle w:val="Text1"/>
          </w:rPr>
          <w:t>4</w:t>
        </w:r>
      </w:hyperlink>
      <w:r>
        <w:t xml:space="preserve"> We say “almost” because, when you code a server, you don’t wrap the socket you bind, listen on, and accept connections from.</w:t>
      </w:r>
      <w:bookmarkEnd w:id="4031"/>
    </w:p>
    <w:p>
      <w:bookmarkStart w:id="4032" w:name="Chapter_19__Client_Side_Network_2"/>
      <w:bookmarkStart w:id="4033" w:name="Chapter_19__Client_Side_Network"/>
      <w:bookmarkStart w:id="4034" w:name="Top_of_ch19_html"/>
      <w:bookmarkStart w:id="4035" w:name="Chapter_19__Client_Side_Network_1"/>
      <w:pPr>
        <w:keepNext/>
        <w:pStyle w:val="Heading 1"/>
        <w:pageBreakBefore w:val="on"/>
      </w:pPr>
      <w:r>
        <w:t xml:space="preserve">Chapter 19. </w:t>
        <w:t xml:space="preserve">Client-Side Network </w:t>
        <w:t>Protocol Modules</w:t>
      </w:r>
      <w:bookmarkEnd w:id="4032"/>
      <w:bookmarkEnd w:id="4033"/>
      <w:bookmarkEnd w:id="4034"/>
      <w:bookmarkEnd w:id="4035"/>
    </w:p>
    <w:p>
      <w:pPr>
        <w:pStyle w:val="Normal"/>
      </w:pPr>
      <w:r>
        <w:t>Python’s standard library</w:t>
      </w:r>
      <w:r>
        <w:rPr>
          <w:rStyle w:val="Text111"/>
        </w:rPr>
        <w:bookmarkStart w:id="4036" w:name="idm45965176005760"/>
        <w:t/>
        <w:bookmarkEnd w:id="4036"/>
      </w:r>
      <w:r>
        <w:t xml:space="preserve"> supplies several modules to simplify the use of internet protocols on both the client and server sides. These days, the</w:t>
      </w:r>
      <w:r>
        <w:rPr>
          <w:rStyle w:val="Text111"/>
        </w:rPr>
        <w:bookmarkStart w:id="4037" w:name="idm45965176004288"/>
        <w:t/>
        <w:bookmarkEnd w:id="4037"/>
        <w:bookmarkStart w:id="4038" w:name="idm45965176003216"/>
        <w:t/>
        <w:bookmarkEnd w:id="4038"/>
      </w:r>
      <w:r>
        <w:t xml:space="preserve"> </w:t>
      </w:r>
      <w:hyperlink r:id="rId80">
        <w:r>
          <w:rPr>
            <w:rStyle w:val="Text1"/>
          </w:rPr>
          <w:t>Python Package Index</w:t>
        </w:r>
      </w:hyperlink>
      <w:r>
        <w:t xml:space="preserve">, best known as </w:t>
      </w:r>
      <w:r>
        <w:rPr>
          <w:rStyle w:val="Text4"/>
        </w:rPr>
        <w:t>PyPI</w:t>
      </w:r>
      <w:r>
        <w:t>, offers many more such packages. Because many of the standard library modules date back to the previous century, you will find that nowadays third-party packages support a wider array of protocols, and several offer better APIs than the standard library’s equivalents. When you need to use a network protocol that’s missing from the standard library, or covered by the standard library in a way you think is not satisfactory, be sure to search PyPI—you’re likely to find better solutions there.</w:t>
      </w:r>
    </w:p>
    <w:p>
      <w:pPr>
        <w:pStyle w:val="Normal"/>
      </w:pPr>
      <w:r>
        <w:t>In this chapter, we cover some standard library packages that allow relatively simple uses of network protocols: these let you code without requiring third-party packages, making your application or library easier to install on other machines. You may therefore come across them when dealing with legacy code, and their simplicity also makes them interesting reading for the Python student. We also mention a few third-party packages covering important network protocols not included in the standard library, but we do not cover third-party packages using asynchronous programming.</w:t>
      </w:r>
    </w:p>
    <w:p>
      <w:pPr>
        <w:pStyle w:val="Normal"/>
      </w:pPr>
      <w:r>
        <w:t xml:space="preserve">For the very frequent use case of HTTP clients and other network resources (such as anonymous FTP sites) best accessed via URLs, the third-party </w:t>
      </w:r>
      <w:hyperlink r:id="rId537">
        <w:r>
          <w:rPr>
            <w:rStyle w:val="Text30"/>
          </w:rPr>
          <w:t>requests</w:t>
        </w:r>
      </w:hyperlink>
      <w:hyperlink r:id="rId537">
        <w:r>
          <w:rPr>
            <w:rStyle w:val="Text1"/>
          </w:rPr>
          <w:t xml:space="preserve"> package</w:t>
        </w:r>
      </w:hyperlink>
      <w:r>
        <w:t xml:space="preserve"> is even recommended in the Python documentation, so we cover that and recommend its use instead of standard library modules.</w:t>
      </w:r>
    </w:p>
    <w:p>
      <w:bookmarkStart w:id="4039" w:name="Email_Protocols__Most_email_toda"/>
      <w:pPr>
        <w:keepNext/>
        <w:pStyle w:val="Heading 1"/>
      </w:pPr>
      <w:r>
        <w:t>Email Protocols</w:t>
      </w:r>
      <w:bookmarkEnd w:id="4039"/>
    </w:p>
    <w:p>
      <w:pPr>
        <w:pStyle w:val="Normal"/>
      </w:pPr>
      <w:r>
        <w:t>Most</w:t>
      </w:r>
      <w:r>
        <w:rPr>
          <w:rStyle w:val="Text111"/>
        </w:rPr>
        <w:bookmarkStart w:id="4040" w:name="NPMemail19"/>
        <w:t/>
        <w:bookmarkEnd w:id="4040"/>
        <w:bookmarkStart w:id="4041" w:name="eprot19"/>
        <w:t/>
        <w:bookmarkEnd w:id="4041"/>
      </w:r>
      <w:r>
        <w:t xml:space="preserve"> email today is </w:t>
      </w:r>
      <w:r>
        <w:rPr>
          <w:rStyle w:val="Text4"/>
        </w:rPr>
        <w:t>sent</w:t>
      </w:r>
      <w:r>
        <w:t xml:space="preserve"> via servers implementing the</w:t>
      </w:r>
      <w:r>
        <w:rPr>
          <w:rStyle w:val="Text111"/>
        </w:rPr>
        <w:bookmarkStart w:id="4042" w:name="idm45965175958144"/>
        <w:t/>
        <w:bookmarkEnd w:id="4042"/>
        <w:bookmarkStart w:id="4043" w:name="idm45965175957136"/>
        <w:t/>
        <w:bookmarkEnd w:id="4043"/>
      </w:r>
      <w:r>
        <w:t xml:space="preserve"> Simple Mail Transport Protocol (SMTP) and </w:t>
      </w:r>
      <w:r>
        <w:rPr>
          <w:rStyle w:val="Text4"/>
        </w:rPr>
        <w:t>received</w:t>
      </w:r>
      <w:r>
        <w:t xml:space="preserve"> via servers and clients using</w:t>
      </w:r>
      <w:r>
        <w:rPr>
          <w:rStyle w:val="Text111"/>
        </w:rPr>
        <w:bookmarkStart w:id="4044" w:name="idm45965175955520"/>
        <w:t/>
        <w:bookmarkEnd w:id="4044"/>
        <w:bookmarkStart w:id="4045" w:name="idm45965175954448"/>
        <w:t/>
        <w:bookmarkEnd w:id="4045"/>
      </w:r>
      <w:r>
        <w:t xml:space="preserve"> Post Office Protocol version 3 (POP3) and/or</w:t>
      </w:r>
      <w:r>
        <w:rPr>
          <w:rStyle w:val="Text111"/>
        </w:rPr>
        <w:bookmarkStart w:id="4046" w:name="idm45965175953248"/>
        <w:t/>
        <w:bookmarkEnd w:id="4046"/>
        <w:bookmarkStart w:id="4047" w:name="idm45965175952176"/>
        <w:t/>
        <w:bookmarkEnd w:id="4047"/>
      </w:r>
      <w:r>
        <w:t xml:space="preserve"> Internet Message Access Protocol version 4 (IMAP4).</w:t>
      </w:r>
      <w:hyperlink w:anchor="1_IMAP4__per_RFC_1730__or_IMAP4r">
        <w:r>
          <w:rPr>
            <w:rStyle w:val="Text41"/>
          </w:rPr>
          <w:bookmarkStart w:id="4048" w:name="1_18"/>
          <w:t>1</w:t>
          <w:bookmarkEnd w:id="4048"/>
        </w:r>
      </w:hyperlink>
      <w:r>
        <w:t xml:space="preserve"> Clients for these protocols are supported by the Python standard library modules </w:t>
      </w:r>
      <w:r>
        <w:rPr>
          <w:rStyle w:val="Text0"/>
        </w:rPr>
        <w:t>smtplib</w:t>
      </w:r>
      <w:r>
        <w:t xml:space="preserve">, </w:t>
      </w:r>
      <w:r>
        <w:rPr>
          <w:rStyle w:val="Text0"/>
        </w:rPr>
        <w:t>poplib</w:t>
      </w:r>
      <w:r>
        <w:t>, and</w:t>
      </w:r>
      <w:r>
        <w:rPr>
          <w:rStyle w:val="Text111"/>
        </w:rPr>
        <w:bookmarkStart w:id="4049" w:name="idm45965175947104"/>
        <w:t/>
        <w:bookmarkEnd w:id="4049"/>
        <w:bookmarkStart w:id="4050" w:name="idm45965175945968"/>
        <w:t/>
        <w:bookmarkEnd w:id="4050"/>
      </w:r>
      <w:r>
        <w:t xml:space="preserve"> </w:t>
      </w:r>
      <w:r>
        <w:rPr>
          <w:rStyle w:val="Text0"/>
        </w:rPr>
        <w:t>imaplib</w:t>
      </w:r>
      <w:r>
        <w:t xml:space="preserve">, respectively, the first two of which we cover in this book. When you need to handle </w:t>
      </w:r>
      <w:r>
        <w:rPr>
          <w:rStyle w:val="Text4"/>
        </w:rPr>
        <w:t>parsing</w:t>
      </w:r>
      <w:r>
        <w:t xml:space="preserve"> or </w:t>
      </w:r>
      <w:r>
        <w:rPr>
          <w:rStyle w:val="Text4"/>
        </w:rPr>
        <w:t>generating</w:t>
      </w:r>
      <w:r>
        <w:t xml:space="preserve"> email messages, use the </w:t>
      </w:r>
      <w:r>
        <w:rPr>
          <w:rStyle w:val="Text0"/>
        </w:rPr>
        <w:t>email</w:t>
      </w:r>
      <w:r>
        <w:t xml:space="preserve"> package, covered in </w:t>
      </w:r>
      <w:hyperlink w:anchor="Chapter_21__Email__MIME__and_Oth_2">
        <w:r>
          <w:rPr>
            <w:rStyle w:val="Text1"/>
          </w:rPr>
          <w:t>Chapter 21</w:t>
        </w:r>
      </w:hyperlink>
      <w:r>
        <w:t>.</w:t>
      </w:r>
    </w:p>
    <w:p>
      <w:pPr>
        <w:pStyle w:val="Normal"/>
      </w:pPr>
      <w:r>
        <w:t xml:space="preserve">If you need to write a client that can connect via either POP3 or IMAP4, a standard recommendation would be to pick IMAP4, since it is more powerful and—according to Python’s own online docs—often more accurately implemented on the server side. Unfortunately, </w:t>
      </w:r>
      <w:r>
        <w:rPr>
          <w:rStyle w:val="Text0"/>
        </w:rPr>
        <w:t>imaplib</w:t>
      </w:r>
      <w:r>
        <w:t xml:space="preserve"> is very complex, and far too vast to cover in this book. If you do choose to go that route, use the </w:t>
      </w:r>
      <w:hyperlink r:id="rId538">
        <w:r>
          <w:rPr>
            <w:rStyle w:val="Text1"/>
          </w:rPr>
          <w:t>online docs</w:t>
        </w:r>
      </w:hyperlink>
      <w:r>
        <w:t xml:space="preserve">, inevitably complemented by the IMAP RFCs, and possibly other related RFCs, such as 5161 and 6855 for capabilities and 2342 for namespaces. Using the RFCs in addition to the online docs for the standard library module can’t be avoided: many of the arguments passed to </w:t>
      </w:r>
      <w:r>
        <w:rPr>
          <w:rStyle w:val="Text0"/>
        </w:rPr>
        <w:t>imaplib</w:t>
      </w:r>
      <w:r>
        <w:t xml:space="preserve"> functions and methods, and results from calling them, are strings with formats that are only documented in the RFCs, not in Python’s own docs. A highly recommended alternative is to use the simpler, higher-abstraction-level third-party package </w:t>
      </w:r>
      <w:hyperlink r:id="rId539">
        <w:r>
          <w:rPr>
            <w:rStyle w:val="Text1"/>
          </w:rPr>
          <w:t>IMAPClient</w:t>
        </w:r>
      </w:hyperlink>
      <w:r>
        <w:t xml:space="preserve">, available with a </w:t>
      </w:r>
      <w:r>
        <w:rPr>
          <w:rStyle w:val="Text5"/>
        </w:rPr>
        <w:t>pip install</w:t>
      </w:r>
      <w:r>
        <w:t xml:space="preserve"> and well documented </w:t>
      </w:r>
      <w:hyperlink r:id="rId540">
        <w:r>
          <w:rPr>
            <w:rStyle w:val="Text1"/>
          </w:rPr>
          <w:t>online</w:t>
        </w:r>
      </w:hyperlink>
      <w:r>
        <w:t>.</w:t>
      </w:r>
    </w:p>
    <w:p>
      <w:bookmarkStart w:id="4051" w:name="The_poplib_Module__The_poplib_mo"/>
      <w:pPr>
        <w:keepNext/>
        <w:pStyle w:val="Heading 2"/>
      </w:pPr>
      <w:r>
        <w:t>The poplib Module</w:t>
      </w:r>
      <w:bookmarkEnd w:id="4051"/>
    </w:p>
    <w:p>
      <w:pPr>
        <w:pStyle w:val="Normal"/>
      </w:pPr>
      <w:r>
        <w:t>The</w:t>
      </w:r>
      <w:r>
        <w:rPr>
          <w:rStyle w:val="Text111"/>
        </w:rPr>
        <w:bookmarkStart w:id="4052" w:name="idm45965175934704"/>
        <w:t/>
        <w:bookmarkEnd w:id="4052"/>
        <w:bookmarkStart w:id="4053" w:name="idm45965175933568"/>
        <w:t/>
        <w:bookmarkEnd w:id="4053"/>
      </w:r>
      <w:r>
        <w:t xml:space="preserve"> </w:t>
      </w:r>
      <w:r>
        <w:rPr>
          <w:rStyle w:val="Text0"/>
        </w:rPr>
        <w:t>poplib</w:t>
      </w:r>
      <w:r>
        <w:t xml:space="preserve"> module supplies a class, </w:t>
      </w:r>
      <w:r>
        <w:rPr>
          <w:rStyle w:val="Text0"/>
        </w:rPr>
        <w:t>POP3</w:t>
      </w:r>
      <w:r>
        <w:t>, to access a POP mailbox.</w:t>
      </w:r>
      <w:hyperlink w:anchor="2_The_specification_of_the_POP_p">
        <w:r>
          <w:rPr>
            <w:rStyle w:val="Text41"/>
          </w:rPr>
          <w:bookmarkStart w:id="4054" w:name="2_16"/>
          <w:t>2</w:t>
          <w:bookmarkEnd w:id="4054"/>
        </w:r>
      </w:hyperlink>
      <w:r>
        <w:t xml:space="preserve"> The constructor has the following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POP3</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POP3(</w:t>
            </w:r>
            <w:r>
              <w:rPr>
                <w:rStyle w:val="Text3"/>
              </w:rPr>
              <w:t>host</w:t>
            </w:r>
            <w:r>
              <w:rPr>
                <w:rStyle w:val="Text0"/>
              </w:rPr>
              <w:t>, port=110)</w:t>
              <w:br w:clear="none"/>
            </w:r>
            <w:r>
              <w:t xml:space="preserve"> Returns an instance </w:t>
            </w:r>
            <w:r>
              <w:rPr>
                <w:rStyle w:val="Text3"/>
              </w:rPr>
              <w:t>p</w:t>
            </w:r>
            <w:r>
              <w:t xml:space="preserve"> of class </w:t>
            </w:r>
            <w:r>
              <w:rPr>
                <w:rStyle w:val="Text0"/>
              </w:rPr>
              <w:t>POP3</w:t>
            </w:r>
            <w:r>
              <w:t xml:space="preserve"> connected to the specified </w:t>
            </w:r>
            <w:r>
              <w:rPr>
                <w:rStyle w:val="Text3"/>
              </w:rPr>
              <w:t>host</w:t>
            </w:r>
            <w:r>
              <w:t xml:space="preserve"> and </w:t>
            </w:r>
            <w:r>
              <w:rPr>
                <w:rStyle w:val="Text0"/>
              </w:rPr>
              <w:t>port</w:t>
            </w:r>
            <w:r>
              <w:t xml:space="preserve">. The class </w:t>
            </w:r>
            <w:r>
              <w:rPr>
                <w:rStyle w:val="Text0"/>
              </w:rPr>
              <w:t>POP3_SSL</w:t>
            </w:r>
            <w:r>
              <w:t xml:space="preserve"> behaves just the same, but connects to the host (by default on port 995) over a secure TLS channel; it’s needed to connect to email servers that demand some minimum security, such as </w:t>
            </w:r>
            <w:r>
              <w:rPr>
                <w:rStyle w:val="Text0"/>
              </w:rPr>
              <w:t>pop.gmail.com</w:t>
            </w:r>
            <w:r>
              <w:t>.</w:t>
            </w:r>
            <w:hyperlink w:anchor="a_To_connect_to_a_Gmail_account">
              <w:r>
                <w:rPr>
                  <w:rStyle w:val="Text41"/>
                </w:rPr>
                <w:bookmarkStart w:id="4055" w:name="a_17"/>
                <w:t>a</w:t>
                <w:bookmarkEnd w:id="4055"/>
              </w:r>
            </w:hyperlink>
          </w:p>
        </w:tc>
      </w:tr>
    </w:tbl>
    <w:tbl>
      <w:tblPr>
        <w:tblW w:type="auto" w:w="0"/>
      </w:tblPr>
      <w:tr>
        <w:tc>
          <w:tcPr>
            <w:tcW w:type="auto" w:w="0"/>
            <w:tcMar>
              <w:left w:type="dxa" w:w="200"/>
              <w:top w:type="dxa" w:w="200"/>
              <w:right w:type="dxa" w:w="200"/>
              <w:bottom w:type="dxa" w:w="200"/>
            </w:tcMar>
            <w:hMerge w:val="restart"/>
          </w:tcPr>
          <w:p>
            <w:bookmarkStart w:id="4056" w:name="a_To_connect_to_a_Gmail_account"/>
            <w:pPr>
              <w:pStyle w:val="Para 036"/>
            </w:pPr>
            <w:hyperlink w:anchor="a_17">
              <w:r>
                <w:rPr>
                  <w:rStyle w:val="Text1"/>
                </w:rPr>
                <w:t>a</w:t>
              </w:r>
            </w:hyperlink>
            <w:r>
              <w:t xml:space="preserve"> To connect to a Gmail account, in particular, you need to configure that account to enable POP, “allow less secure apps,” and avoid two-step verification—things that in general we don’t recommend, as they weaken your email’s security.</w:t>
            </w:r>
            <w:bookmarkEnd w:id="4056"/>
          </w:p>
        </w:tc>
        <w:tc>
          <w:tcPr>
            <w:hMerge w:val="continue"/>
          </w:tcPr>
          <w:p/>
        </w:tc>
      </w:tr>
    </w:tbl>
    <w:p>
      <w:pPr>
        <w:pStyle w:val="Normal"/>
      </w:pPr>
      <w:r>
        <w:t xml:space="preserve">An instance </w:t>
      </w:r>
      <w:r>
        <w:rPr>
          <w:rStyle w:val="Text3"/>
        </w:rPr>
        <w:t>p</w:t>
      </w:r>
      <w:r>
        <w:t xml:space="preserve"> of the class </w:t>
      </w:r>
      <w:r>
        <w:rPr>
          <w:rStyle w:val="Text0"/>
        </w:rPr>
        <w:t>POP3</w:t>
      </w:r>
      <w:r>
        <w:t xml:space="preserve"> supplies many methods; the most frequently used are listed in </w:t>
      </w:r>
      <w:hyperlink w:anchor="Table_19_1__Methods_of_an_instan">
        <w:r>
          <w:rPr>
            <w:rStyle w:val="Text1"/>
          </w:rPr>
          <w:t>Table 19-1</w:t>
        </w:r>
      </w:hyperlink>
      <w:r>
        <w:t xml:space="preserve">. In each case, </w:t>
      </w:r>
      <w:r>
        <w:rPr>
          <w:rStyle w:val="Text3"/>
        </w:rPr>
        <w:t>msgnum</w:t>
      </w:r>
      <w:r>
        <w:t xml:space="preserve">, the identifying number of a message, can be a string containing an integer value or an </w:t>
      </w:r>
      <w:r>
        <w:rPr>
          <w:rStyle w:val="Text0"/>
        </w:rPr>
        <w:t>int</w:t>
      </w:r>
      <w:r>
        <w:t>.</w:t>
      </w:r>
    </w:p>
    <w:tbl>
      <w:tblPr>
        <w:tblW w:type="auto" w:w="0"/>
      </w:tblPr>
      <w:tr>
        <w:tc>
          <w:tcPr>
            <w:tcW w:type="auto" w:w="0"/>
            <w:tcMar>
              <w:left w:type="dxa" w:w="200"/>
              <w:top w:type="dxa" w:w="200"/>
              <w:right w:type="dxa" w:w="200"/>
              <w:bottom w:type="dxa" w:w="200"/>
            </w:tcMar>
          </w:tcPr>
          <w:p>
            <w:bookmarkStart w:id="4057" w:name="Table_19_1__Methods_of_an_instan"/>
            <w:pPr>
              <w:pStyle w:val="Para 011"/>
            </w:pPr>
            <w:r>
              <w:rPr>
                <w:rStyle w:val="Text117"/>
              </w:rPr>
              <w:t/>
            </w:r>
            <w:r>
              <w:t xml:space="preserve">Table 19-1. </w:t>
              <w:t xml:space="preserve">Methods of an instance </w:t>
            </w:r>
            <w:r>
              <w:rPr>
                <w:rStyle w:val="Text0"/>
              </w:rPr>
              <w:t>p</w:t>
            </w:r>
            <w:r>
              <w:t xml:space="preserve"> of </w:t>
            </w:r>
            <w:r>
              <w:rPr>
                <w:rStyle w:val="Text0"/>
              </w:rPr>
              <w:t>POP3</w:t>
            </w:r>
            <w:bookmarkEnd w:id="4057"/>
          </w:p>
          <w:p>
            <w:pPr>
              <w:pStyle w:val="Para 001"/>
            </w:pPr>
            <w:r>
              <w:t>dele</w:t>
            </w:r>
          </w:p>
        </w:tc>
        <w:tc>
          <w:tcPr>
            <w:tcW w:type="auto" w:w="0"/>
            <w:tcMar>
              <w:left w:type="dxa" w:w="200"/>
              <w:top w:type="dxa" w:w="200"/>
              <w:right w:type="dxa" w:w="200"/>
              <w:bottom w:type="dxa" w:w="200"/>
            </w:tcMar>
          </w:tcPr>
          <w:p>
            <w:pPr>
              <w:pStyle w:val="Para 002"/>
            </w:pPr>
            <w:r>
              <w:rPr>
                <w:rStyle w:val="Text3"/>
              </w:rPr>
              <w:t>p</w:t>
            </w:r>
            <w:r>
              <w:rPr>
                <w:rStyle w:val="Text0"/>
              </w:rPr>
              <w:t>.dele(</w:t>
            </w:r>
            <w:r>
              <w:rPr>
                <w:rStyle w:val="Text3"/>
              </w:rPr>
              <w:t>msgnum</w:t>
            </w:r>
            <w:r>
              <w:rPr>
                <w:rStyle w:val="Text0"/>
              </w:rPr>
              <w:t>)</w:t>
              <w:br w:clear="none"/>
            </w:r>
            <w:r>
              <w:t xml:space="preserve"> Marks message </w:t>
            </w:r>
            <w:r>
              <w:rPr>
                <w:rStyle w:val="Text3"/>
              </w:rPr>
              <w:t>msgnum</w:t>
            </w:r>
            <w:r>
              <w:t xml:space="preserve"> for deletion and returns the server response string. The server queues such deletion requests, and executes them only when you terminate this connection by calling </w:t>
            </w:r>
            <w:r>
              <w:rPr>
                <w:rStyle w:val="Text3"/>
              </w:rPr>
              <w:t>p</w:t>
            </w:r>
            <w:r>
              <w:rPr>
                <w:rStyle w:val="Text0"/>
              </w:rPr>
              <w:t>.quit</w:t>
            </w:r>
            <w:r>
              <w:t>.</w:t>
            </w:r>
            <w:hyperlink w:anchor="a_The_standard_states_that_if_di">
              <w:r>
                <w:rPr>
                  <w:rStyle w:val="Text41"/>
                </w:rPr>
                <w:bookmarkStart w:id="4058" w:name="a_18"/>
                <w:t>a</w:t>
                <w:bookmarkEnd w:id="4058"/>
              </w:r>
            </w:hyperlink>
          </w:p>
        </w:tc>
      </w:tr>
    </w:tbl>
    <w:tbl>
      <w:tblPr>
        <w:tblW w:type="auto" w:w="0"/>
      </w:tblPr>
      <w:tr>
        <w:tc>
          <w:tcPr>
            <w:tcW w:type="auto" w:w="0"/>
            <w:shd w:val="clear" w:color="auto" w:fill="EEF2F6"/>
            <w:tcMar>
              <w:left w:type="dxa" w:w="200"/>
              <w:top w:type="dxa" w:w="200"/>
              <w:right w:type="dxa" w:w="200"/>
              <w:bottom w:type="dxa" w:w="200"/>
            </w:tcMar>
          </w:tcPr>
          <w:p>
            <w:pPr>
              <w:pStyle w:val="Para 001"/>
            </w:pPr>
            <w:r>
              <w:t>list</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.list(</w:t>
            </w:r>
            <w:r>
              <w:rPr>
                <w:rStyle w:val="Text3"/>
              </w:rPr>
              <w:t>msgnum</w:t>
            </w:r>
            <w:r>
              <w:rPr>
                <w:rStyle w:val="Text0"/>
              </w:rPr>
              <w:t>=</w:t>
            </w:r>
            <w:r>
              <w:rPr>
                <w:rStyle w:val="Text5"/>
              </w:rPr>
              <w:t>None</w:t>
            </w:r>
            <w:r>
              <w:rPr>
                <w:rStyle w:val="Text0"/>
              </w:rPr>
              <w:t>)</w:t>
              <w:br w:clear="none"/>
            </w:r>
            <w:r>
              <w:t xml:space="preserve"> Returns a three-item tuple </w:t>
            </w:r>
            <w:r>
              <w:rPr>
                <w:rStyle w:val="Text0"/>
              </w:rPr>
              <w:t>(</w:t>
            </w:r>
            <w:r>
              <w:rPr>
                <w:rStyle w:val="Text3"/>
              </w:rPr>
              <w:t>response</w:t>
            </w:r>
            <w:r>
              <w:rPr>
                <w:rStyle w:val="Text0"/>
              </w:rPr>
              <w:t>,</w:t>
            </w:r>
            <w:r>
              <w:t xml:space="preserve"> </w:t>
            </w:r>
            <w:r>
              <w:rPr>
                <w:rStyle w:val="Text3"/>
              </w:rPr>
              <w:t>messages</w:t>
            </w:r>
            <w:r>
              <w:rPr>
                <w:rStyle w:val="Text0"/>
              </w:rPr>
              <w:t>,</w:t>
            </w:r>
            <w:r>
              <w:t xml:space="preserve"> </w:t>
            </w:r>
            <w:r>
              <w:rPr>
                <w:rStyle w:val="Text3"/>
              </w:rPr>
              <w:t>octets</w:t>
            </w:r>
            <w:r>
              <w:rPr>
                <w:rStyle w:val="Text0"/>
              </w:rPr>
              <w:t>)</w:t>
            </w:r>
            <w:r>
              <w:t xml:space="preserve">, where </w:t>
            </w:r>
            <w:r>
              <w:rPr>
                <w:rStyle w:val="Text3"/>
              </w:rPr>
              <w:t>response</w:t>
            </w:r>
            <w:r>
              <w:t xml:space="preserve"> is the server response string; </w:t>
            </w:r>
            <w:r>
              <w:rPr>
                <w:rStyle w:val="Text3"/>
              </w:rPr>
              <w:t>messages</w:t>
            </w:r>
            <w:r>
              <w:t xml:space="preserve"> a list of bytestrings, each of two words </w:t>
            </w:r>
            <w:r>
              <w:rPr>
                <w:rStyle w:val="Text0"/>
              </w:rPr>
              <w:t>b'</w:t>
            </w:r>
            <w:r>
              <w:rPr>
                <w:rStyle w:val="Text3"/>
              </w:rPr>
              <w:t>msgnum</w:t>
            </w:r>
            <w:r>
              <w:t xml:space="preserve"> </w:t>
            </w:r>
            <w:r>
              <w:rPr>
                <w:rStyle w:val="Text3"/>
              </w:rPr>
              <w:t>bytes</w:t>
            </w:r>
            <w:r>
              <w:rPr>
                <w:rStyle w:val="Text0"/>
              </w:rPr>
              <w:t>'</w:t>
            </w:r>
            <w:r>
              <w:t xml:space="preserve">, the message number and length, in bytes, of each message in the mailbox; and </w:t>
            </w:r>
            <w:r>
              <w:rPr>
                <w:rStyle w:val="Text3"/>
              </w:rPr>
              <w:t>octets</w:t>
            </w:r>
            <w:r>
              <w:t xml:space="preserve"> is the length, in bytes, of the total response. When </w:t>
            </w:r>
            <w:r>
              <w:rPr>
                <w:rStyle w:val="Text3"/>
              </w:rPr>
              <w:t>msgnum</w:t>
            </w:r>
            <w:r>
              <w:t xml:space="preserve"> is not </w:t>
            </w:r>
            <w:r>
              <w:rPr>
                <w:rStyle w:val="Text5"/>
              </w:rPr>
              <w:t>None</w:t>
            </w:r>
            <w:r>
              <w:t xml:space="preserve">, </w:t>
            </w:r>
            <w:r>
              <w:rPr>
                <w:rStyle w:val="Text0"/>
              </w:rPr>
              <w:t>list</w:t>
            </w:r>
            <w:r>
              <w:t xml:space="preserve"> returns a string, the response for the given </w:t>
            </w:r>
            <w:r>
              <w:rPr>
                <w:rStyle w:val="Text3"/>
              </w:rPr>
              <w:t>msgnum</w:t>
            </w:r>
            <w:r>
              <w:t>, not a tuple.</w:t>
            </w:r>
          </w:p>
        </w:tc>
      </w:tr>
    </w:tbl>
    <w:tbl>
      <w:tblPr>
        <w:tblW w:type="auto" w:w="0"/>
      </w:tblPr>
      <w:tr>
        <w:tc>
          <w:tcPr>
            <w:tcW w:type="auto" w:w="0"/>
            <w:tcMar>
              <w:left w:type="dxa" w:w="200"/>
              <w:top w:type="dxa" w:w="200"/>
              <w:right w:type="dxa" w:w="200"/>
              <w:bottom w:type="dxa" w:w="200"/>
            </w:tcMar>
          </w:tcPr>
          <w:p>
            <w:pPr>
              <w:pStyle w:val="Para 001"/>
            </w:pPr>
            <w:r>
              <w:t>pass_</w:t>
            </w:r>
          </w:p>
        </w:tc>
        <w:tc>
          <w:tcPr>
            <w:tcW w:type="auto" w:w="0"/>
            <w:tcMar>
              <w:left w:type="dxa" w:w="200"/>
              <w:top w:type="dxa" w:w="200"/>
              <w:right w:type="dxa" w:w="200"/>
              <w:bottom w:type="dxa" w:w="200"/>
            </w:tcMar>
          </w:tcPr>
          <w:p>
            <w:pPr>
              <w:pStyle w:val="Para 002"/>
            </w:pPr>
            <w:r>
              <w:rPr>
                <w:rStyle w:val="Text3"/>
              </w:rPr>
              <w:t>p</w:t>
            </w:r>
            <w:r>
              <w:rPr>
                <w:rStyle w:val="Text0"/>
              </w:rPr>
              <w:t>.pass_(</w:t>
            </w:r>
            <w:r>
              <w:rPr>
                <w:rStyle w:val="Text3"/>
              </w:rPr>
              <w:t>password</w:t>
            </w:r>
            <w:r>
              <w:rPr>
                <w:rStyle w:val="Text0"/>
              </w:rPr>
              <w:t>)</w:t>
              <w:br w:clear="none"/>
            </w:r>
            <w:r>
              <w:t xml:space="preserve"> Sends the password to the server, and returns the server response string. Must be called after </w:t>
            </w:r>
            <w:r>
              <w:rPr>
                <w:rStyle w:val="Text3"/>
              </w:rPr>
              <w:t>p</w:t>
            </w:r>
            <w:r>
              <w:rPr>
                <w:rStyle w:val="Text0"/>
              </w:rPr>
              <w:t>.user</w:t>
            </w:r>
            <w:r>
              <w:t xml:space="preserve">. The trailing underscore in the name is needed because </w:t>
            </w:r>
            <w:r>
              <w:rPr>
                <w:rStyle w:val="Text5"/>
              </w:rPr>
              <w:t>pass</w:t>
            </w:r>
            <w:r>
              <w:t xml:space="preserve"> is a Python keyword.</w:t>
            </w:r>
          </w:p>
        </w:tc>
      </w:tr>
    </w:tbl>
    <w:tbl>
      <w:tblPr>
        <w:tblW w:type="auto" w:w="0"/>
      </w:tblPr>
      <w:tr>
        <w:tc>
          <w:tcPr>
            <w:tcW w:type="auto" w:w="0"/>
            <w:shd w:val="clear" w:color="auto" w:fill="EEF2F6"/>
            <w:tcMar>
              <w:left w:type="dxa" w:w="200"/>
              <w:top w:type="dxa" w:w="200"/>
              <w:right w:type="dxa" w:w="200"/>
              <w:bottom w:type="dxa" w:w="200"/>
            </w:tcMar>
          </w:tcPr>
          <w:p>
            <w:pPr>
              <w:pStyle w:val="Para 001"/>
            </w:pPr>
            <w:r>
              <w:t>quit</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.quit()</w:t>
              <w:br w:clear="none"/>
            </w:r>
            <w:r>
              <w:t xml:space="preserve"> Ends the session and tells the server to perform deletions that were requested by calls to </w:t>
            </w:r>
            <w:r>
              <w:rPr>
                <w:rStyle w:val="Text3"/>
              </w:rPr>
              <w:t>p</w:t>
            </w:r>
            <w:r>
              <w:rPr>
                <w:rStyle w:val="Text0"/>
              </w:rPr>
              <w:t>.dele</w:t>
            </w:r>
            <w:r>
              <w:t>. Returns the server response string.</w:t>
            </w:r>
          </w:p>
        </w:tc>
      </w:tr>
    </w:tbl>
    <w:tbl>
      <w:tblPr>
        <w:tblW w:type="auto" w:w="0"/>
      </w:tblPr>
      <w:tr>
        <w:tc>
          <w:tcPr>
            <w:tcW w:type="auto" w:w="0"/>
            <w:tcMar>
              <w:left w:type="dxa" w:w="200"/>
              <w:top w:type="dxa" w:w="200"/>
              <w:right w:type="dxa" w:w="200"/>
              <w:bottom w:type="dxa" w:w="200"/>
            </w:tcMar>
          </w:tcPr>
          <w:p>
            <w:pPr>
              <w:pStyle w:val="Para 001"/>
            </w:pPr>
            <w:r>
              <w:t>retr</w:t>
            </w:r>
          </w:p>
        </w:tc>
        <w:tc>
          <w:tcPr>
            <w:tcW w:type="auto" w:w="0"/>
            <w:tcMar>
              <w:left w:type="dxa" w:w="200"/>
              <w:top w:type="dxa" w:w="200"/>
              <w:right w:type="dxa" w:w="200"/>
              <w:bottom w:type="dxa" w:w="200"/>
            </w:tcMar>
          </w:tcPr>
          <w:p>
            <w:pPr>
              <w:pStyle w:val="Para 002"/>
            </w:pPr>
            <w:r>
              <w:rPr>
                <w:rStyle w:val="Text3"/>
              </w:rPr>
              <w:t>p</w:t>
            </w:r>
            <w:r>
              <w:rPr>
                <w:rStyle w:val="Text0"/>
              </w:rPr>
              <w:t>.retr(</w:t>
            </w:r>
            <w:r>
              <w:rPr>
                <w:rStyle w:val="Text3"/>
              </w:rPr>
              <w:t>msgnum</w:t>
            </w:r>
            <w:r>
              <w:rPr>
                <w:rStyle w:val="Text0"/>
              </w:rPr>
              <w:t>)</w:t>
              <w:br w:clear="none"/>
            </w:r>
            <w:r>
              <w:t xml:space="preserve"> Returns a three-item tuple </w:t>
            </w:r>
            <w:r>
              <w:rPr>
                <w:rStyle w:val="Text0"/>
              </w:rPr>
              <w:t>(</w:t>
            </w:r>
            <w:r>
              <w:rPr>
                <w:rStyle w:val="Text3"/>
              </w:rPr>
              <w:t>response</w:t>
            </w:r>
            <w:r>
              <w:rPr>
                <w:rStyle w:val="Text0"/>
              </w:rPr>
              <w:t>,</w:t>
            </w:r>
            <w:r>
              <w:t xml:space="preserve"> </w:t>
            </w:r>
            <w:r>
              <w:rPr>
                <w:rStyle w:val="Text3"/>
              </w:rPr>
              <w:t>lines</w:t>
            </w:r>
            <w:r>
              <w:rPr>
                <w:rStyle w:val="Text0"/>
              </w:rPr>
              <w:t>,</w:t>
            </w:r>
            <w:r>
              <w:t xml:space="preserve"> </w:t>
            </w:r>
            <w:r>
              <w:rPr>
                <w:rStyle w:val="Text3"/>
              </w:rPr>
              <w:t>bytes</w:t>
            </w:r>
            <w:r>
              <w:rPr>
                <w:rStyle w:val="Text0"/>
              </w:rPr>
              <w:t>)</w:t>
            </w:r>
            <w:r>
              <w:t xml:space="preserve">, where </w:t>
            </w:r>
            <w:r>
              <w:rPr>
                <w:rStyle w:val="Text3"/>
              </w:rPr>
              <w:t>response</w:t>
            </w:r>
            <w:r>
              <w:t xml:space="preserve"> is the server response string, </w:t>
            </w:r>
            <w:r>
              <w:rPr>
                <w:rStyle w:val="Text3"/>
              </w:rPr>
              <w:t>lines</w:t>
            </w:r>
            <w:r>
              <w:t xml:space="preserve"> is the list of all lines in message </w:t>
            </w:r>
            <w:r>
              <w:rPr>
                <w:rStyle w:val="Text3"/>
              </w:rPr>
              <w:t>msgnum</w:t>
            </w:r>
            <w:r>
              <w:t xml:space="preserve"> as bytestrings, and </w:t>
            </w:r>
            <w:r>
              <w:rPr>
                <w:rStyle w:val="Text3"/>
              </w:rPr>
              <w:t>bytes</w:t>
            </w:r>
            <w:r>
              <w:t xml:space="preserve"> is the total number of bytes in the message.</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s⁠e⁠t⁠_​d⁠e⁠b⁠u⁠g⁠l⁠e⁠v⁠e⁠l</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.set_debuglevel(</w:t>
            </w:r>
            <w:r>
              <w:rPr>
                <w:rStyle w:val="Text3"/>
              </w:rPr>
              <w:t>debug_level</w:t>
            </w:r>
            <w:r>
              <w:rPr>
                <w:rStyle w:val="Text0"/>
              </w:rPr>
              <w:t>)</w:t>
              <w:br w:clear="none"/>
            </w:r>
            <w:r>
              <w:t xml:space="preserve"> Sets the debug level to </w:t>
            </w:r>
            <w:r>
              <w:rPr>
                <w:rStyle w:val="Text3"/>
              </w:rPr>
              <w:t>debug_level</w:t>
            </w:r>
            <w:r>
              <w:t xml:space="preserve">, an </w:t>
            </w:r>
            <w:r>
              <w:rPr>
                <w:rStyle w:val="Text0"/>
              </w:rPr>
              <w:t>int</w:t>
            </w:r>
            <w:r>
              <w:t xml:space="preserve"> with value </w:t>
            </w:r>
            <w:r>
              <w:rPr>
                <w:rStyle w:val="Text0"/>
              </w:rPr>
              <w:t>0</w:t>
            </w:r>
            <w:r>
              <w:t xml:space="preserve"> (the default) for no debugging, </w:t>
            </w:r>
            <w:r>
              <w:rPr>
                <w:rStyle w:val="Text0"/>
              </w:rPr>
              <w:t>1</w:t>
            </w:r>
            <w:r>
              <w:t xml:space="preserve"> for a modest amount of debugging output, or </w:t>
            </w:r>
            <w:r>
              <w:rPr>
                <w:rStyle w:val="Text0"/>
              </w:rPr>
              <w:t>2</w:t>
            </w:r>
            <w:r>
              <w:t xml:space="preserve"> or more for a complete output trace of all control information exchanged with the server.</w:t>
            </w:r>
          </w:p>
        </w:tc>
      </w:tr>
    </w:tbl>
    <w:tbl>
      <w:tblPr>
        <w:tblW w:type="auto" w:w="0"/>
      </w:tblPr>
      <w:tr>
        <w:tc>
          <w:tcPr>
            <w:tcW w:type="auto" w:w="0"/>
            <w:tcMar>
              <w:left w:type="dxa" w:w="200"/>
              <w:top w:type="dxa" w:w="200"/>
              <w:right w:type="dxa" w:w="200"/>
              <w:bottom w:type="dxa" w:w="200"/>
            </w:tcMar>
          </w:tcPr>
          <w:p>
            <w:pPr>
              <w:pStyle w:val="Para 001"/>
            </w:pPr>
            <w:r>
              <w:t>stat</w:t>
            </w:r>
          </w:p>
        </w:tc>
        <w:tc>
          <w:tcPr>
            <w:tcW w:type="auto" w:w="0"/>
            <w:tcMar>
              <w:left w:type="dxa" w:w="200"/>
              <w:top w:type="dxa" w:w="200"/>
              <w:right w:type="dxa" w:w="200"/>
              <w:bottom w:type="dxa" w:w="200"/>
            </w:tcMar>
          </w:tcPr>
          <w:p>
            <w:pPr>
              <w:pStyle w:val="Para 002"/>
            </w:pPr>
            <w:r>
              <w:rPr>
                <w:rStyle w:val="Text3"/>
              </w:rPr>
              <w:t>p</w:t>
            </w:r>
            <w:r>
              <w:rPr>
                <w:rStyle w:val="Text0"/>
              </w:rPr>
              <w:t>.stat()</w:t>
              <w:br w:clear="none"/>
            </w:r>
            <w:r>
              <w:t xml:space="preserve"> Returns a pair </w:t>
            </w:r>
            <w:r>
              <w:rPr>
                <w:rStyle w:val="Text0"/>
              </w:rPr>
              <w:t>(</w:t>
            </w:r>
            <w:r>
              <w:rPr>
                <w:rStyle w:val="Text3"/>
              </w:rPr>
              <w:t>num_msgs</w:t>
            </w:r>
            <w:r>
              <w:rPr>
                <w:rStyle w:val="Text0"/>
              </w:rPr>
              <w:t>,</w:t>
            </w:r>
            <w:r>
              <w:t xml:space="preserve"> </w:t>
            </w:r>
            <w:r>
              <w:rPr>
                <w:rStyle w:val="Text3"/>
              </w:rPr>
              <w:t>bytes</w:t>
            </w:r>
            <w:r>
              <w:rPr>
                <w:rStyle w:val="Text0"/>
              </w:rPr>
              <w:t>)</w:t>
            </w:r>
            <w:r>
              <w:t xml:space="preserve">, where </w:t>
            </w:r>
            <w:r>
              <w:rPr>
                <w:rStyle w:val="Text3"/>
              </w:rPr>
              <w:t>num_msgs</w:t>
            </w:r>
            <w:r>
              <w:t xml:space="preserve"> is the number of messages in the mailbox and </w:t>
            </w:r>
            <w:r>
              <w:rPr>
                <w:rStyle w:val="Text3"/>
              </w:rPr>
              <w:t>bytes</w:t>
            </w:r>
            <w:r>
              <w:t xml:space="preserve"> is the total number of bytes.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top</w:t>
            </w:r>
          </w:p>
        </w:tc>
        <w:tc>
          <w:tcPr>
            <w:tcW w:type="auto" w:w="0"/>
            <w:shd w:val="clear" w:color="auto" w:fill="EEF2F6"/>
            <w:tcMar>
              <w:left w:type="dxa" w:w="200"/>
              <w:top w:type="dxa" w:w="200"/>
              <w:right w:type="dxa" w:w="200"/>
              <w:bottom w:type="dxa" w:w="200"/>
            </w:tcMar>
          </w:tcPr>
          <w:p>
            <w:pPr>
              <w:pStyle w:val="Para 002"/>
            </w:pPr>
            <w:r>
              <w:rPr>
                <w:rStyle w:val="Text3"/>
              </w:rPr>
              <w:t>p</w:t>
            </w:r>
            <w:r>
              <w:rPr>
                <w:rStyle w:val="Text0"/>
              </w:rPr>
              <w:t>.top(</w:t>
            </w:r>
            <w:r>
              <w:rPr>
                <w:rStyle w:val="Text3"/>
              </w:rPr>
              <w:t>msgnum</w:t>
            </w:r>
            <w:r>
              <w:rPr>
                <w:rStyle w:val="Text0"/>
              </w:rPr>
              <w:t>,</w:t>
            </w:r>
            <w:r>
              <w:t xml:space="preserve"> </w:t>
            </w:r>
            <w:r>
              <w:rPr>
                <w:rStyle w:val="Text3"/>
              </w:rPr>
              <w:t>maxlines</w:t>
            </w:r>
            <w:r>
              <w:rPr>
                <w:rStyle w:val="Text0"/>
              </w:rPr>
              <w:t>)</w:t>
              <w:br w:clear="none"/>
            </w:r>
            <w:r>
              <w:t xml:space="preserve"> Like </w:t>
            </w:r>
            <w:r>
              <w:rPr>
                <w:rStyle w:val="Text0"/>
              </w:rPr>
              <w:t>retr</w:t>
            </w:r>
            <w:r>
              <w:t xml:space="preserve">, but returns at most </w:t>
            </w:r>
            <w:r>
              <w:rPr>
                <w:rStyle w:val="Text3"/>
              </w:rPr>
              <w:t>maxlines</w:t>
            </w:r>
            <w:r>
              <w:t xml:space="preserve"> lines from the message’s body (in addition to all the lines from the headers). Can be useful for peeking at the start of long messages.</w:t>
            </w:r>
          </w:p>
        </w:tc>
      </w:tr>
    </w:tbl>
    <w:tbl>
      <w:tblPr>
        <w:tblW w:type="auto" w:w="0"/>
      </w:tblPr>
      <w:tr>
        <w:tc>
          <w:tcPr>
            <w:tcW w:type="auto" w:w="0"/>
            <w:tcMar>
              <w:left w:type="dxa" w:w="200"/>
              <w:top w:type="dxa" w:w="200"/>
              <w:right w:type="dxa" w:w="200"/>
              <w:bottom w:type="dxa" w:w="200"/>
            </w:tcMar>
          </w:tcPr>
          <w:p>
            <w:pPr>
              <w:pStyle w:val="Para 001"/>
            </w:pPr>
            <w:r>
              <w:t>user</w:t>
            </w:r>
          </w:p>
        </w:tc>
        <w:tc>
          <w:tcPr>
            <w:tcW w:type="auto" w:w="0"/>
            <w:tcMar>
              <w:left w:type="dxa" w:w="200"/>
              <w:top w:type="dxa" w:w="200"/>
              <w:right w:type="dxa" w:w="200"/>
              <w:bottom w:type="dxa" w:w="200"/>
            </w:tcMar>
          </w:tcPr>
          <w:p>
            <w:pPr>
              <w:pStyle w:val="Para 002"/>
            </w:pPr>
            <w:r>
              <w:rPr>
                <w:rStyle w:val="Text3"/>
              </w:rPr>
              <w:t>p</w:t>
            </w:r>
            <w:r>
              <w:rPr>
                <w:rStyle w:val="Text0"/>
              </w:rPr>
              <w:t>.user(</w:t>
            </w:r>
            <w:r>
              <w:rPr>
                <w:rStyle w:val="Text3"/>
              </w:rPr>
              <w:t>username</w:t>
            </w:r>
            <w:r>
              <w:rPr>
                <w:rStyle w:val="Text0"/>
              </w:rPr>
              <w:t>)</w:t>
              <w:br w:clear="none"/>
            </w:r>
            <w:r>
              <w:t xml:space="preserve"> Sends the server the username; invariably followed up by a call to </w:t>
            </w:r>
            <w:r>
              <w:rPr>
                <w:rStyle w:val="Text3"/>
              </w:rPr>
              <w:t>p</w:t>
            </w:r>
            <w:r>
              <w:rPr>
                <w:rStyle w:val="Text0"/>
              </w:rPr>
              <w:t>.pass_</w:t>
            </w:r>
            <w:r>
              <w:t>.</w:t>
            </w:r>
          </w:p>
        </w:tc>
      </w:tr>
    </w:tbl>
    <w:tbl>
      <w:tblPr>
        <w:tblW w:type="auto" w:w="0"/>
      </w:tblPr>
      <w:tr>
        <w:tc>
          <w:tcPr>
            <w:tcW w:type="auto" w:w="0"/>
            <w:tcMar>
              <w:left w:type="dxa" w:w="200"/>
              <w:top w:type="dxa" w:w="200"/>
              <w:right w:type="dxa" w:w="200"/>
              <w:bottom w:type="dxa" w:w="200"/>
            </w:tcMar>
            <w:hMerge w:val="restart"/>
          </w:tcPr>
          <w:p>
            <w:bookmarkStart w:id="4059" w:name="a_The_standard_states_that_if_di"/>
            <w:pPr>
              <w:pStyle w:val="Para 036"/>
            </w:pPr>
            <w:hyperlink w:anchor="a_18">
              <w:r>
                <w:rPr>
                  <w:rStyle w:val="Text1"/>
                </w:rPr>
                <w:t>a</w:t>
              </w:r>
            </w:hyperlink>
            <w:r>
              <w:t xml:space="preserve"> The standard states that if disconnection occurs before the </w:t>
            </w:r>
            <w:r>
              <w:rPr>
                <w:rStyle w:val="Text25"/>
              </w:rPr>
              <w:t>quit</w:t>
            </w:r>
            <w:r>
              <w:t xml:space="preserve"> call, the deletions should not be actioned. Despite this, some servers will perform the deletion after any disconnection, planned or unplanned.</w:t>
            </w:r>
            <w:bookmarkEnd w:id="4059"/>
          </w:p>
        </w:tc>
        <w:tc>
          <w:tcPr>
            <w:hMerge w:val="continue"/>
          </w:tcPr>
          <w:p/>
        </w:tc>
      </w:tr>
    </w:tbl>
    <w:p>
      <w:bookmarkStart w:id="4060" w:name="The_smtplib_Module__The_smtplib"/>
      <w:pPr>
        <w:keepNext/>
        <w:pStyle w:val="Heading 2"/>
      </w:pPr>
      <w:r>
        <w:t>The smtplib Module</w:t>
      </w:r>
      <w:bookmarkEnd w:id="4060"/>
    </w:p>
    <w:p>
      <w:pPr>
        <w:pStyle w:val="Normal"/>
      </w:pPr>
      <w:r>
        <w:t>The</w:t>
      </w:r>
      <w:r>
        <w:rPr>
          <w:rStyle w:val="Text111"/>
        </w:rPr>
        <w:bookmarkStart w:id="4061" w:name="idm45965175836960"/>
        <w:t/>
        <w:bookmarkEnd w:id="4061"/>
        <w:bookmarkStart w:id="4062" w:name="idm45965175835824"/>
        <w:t/>
        <w:bookmarkEnd w:id="4062"/>
      </w:r>
      <w:r>
        <w:t xml:space="preserve"> </w:t>
      </w:r>
      <w:r>
        <w:rPr>
          <w:rStyle w:val="Text0"/>
        </w:rPr>
        <w:t>smtplib</w:t>
      </w:r>
      <w:r>
        <w:t xml:space="preserve"> module supplies a class, </w:t>
      </w:r>
      <w:r>
        <w:rPr>
          <w:rStyle w:val="Text0"/>
        </w:rPr>
        <w:t>SMTP</w:t>
      </w:r>
      <w:r>
        <w:t>, to send mail via an SMTP server.</w:t>
      </w:r>
      <w:hyperlink w:anchor="3_The_specification_of_the_SMTP">
        <w:r>
          <w:rPr>
            <w:rStyle w:val="Text41"/>
          </w:rPr>
          <w:bookmarkStart w:id="4063" w:name="3_16"/>
          <w:t>3</w:t>
          <w:bookmarkEnd w:id="4063"/>
        </w:r>
      </w:hyperlink>
      <w:r>
        <w:t xml:space="preserve"> The constructor has the following signature:</w:t>
      </w:r>
    </w:p>
    <w:tbl>
      <w:tblPr>
        <w:tblW w:type="auto" w:w="0"/>
      </w:tblPr>
      <w:tr>
        <w:tc>
          <w:tcPr>
            <w:tcW w:type="auto" w:w="0"/>
            <w:tcMar>
              <w:left w:type="dxa" w:w="200"/>
              <w:top w:type="dxa" w:w="200"/>
              <w:right w:type="dxa" w:w="200"/>
              <w:bottom w:type="dxa" w:w="200"/>
            </w:tcMar>
          </w:tcPr>
          <w:p>
            <w:pPr>
              <w:pStyle w:val="Para 119"/>
            </w:pPr>
            <w:r>
              <w:t/>
            </w:r>
          </w:p>
          <w:p>
            <w:pPr>
              <w:pStyle w:val="Para 001"/>
            </w:pPr>
            <w:r>
              <w:t>SMTP</w:t>
            </w:r>
          </w:p>
        </w:tc>
        <w:tc>
          <w:tcPr>
            <w:tcW w:type="auto" w:w="0"/>
            <w:tcMar>
              <w:left w:type="dxa" w:w="200"/>
              <w:top w:type="dxa" w:w="200"/>
              <w:right w:type="dxa" w:w="200"/>
              <w:bottom w:type="dxa" w:w="200"/>
            </w:tcMar>
          </w:tcPr>
          <w:p>
            <w:pPr>
              <w:pStyle w:val="Para 002"/>
            </w:pPr>
            <w:r>
              <w:rPr>
                <w:rStyle w:val="Text0"/>
              </w:rPr>
              <w:t>class SMTP([</w:t>
            </w:r>
            <w:r>
              <w:rPr>
                <w:rStyle w:val="Text3"/>
              </w:rPr>
              <w:t>host</w:t>
            </w:r>
            <w:r>
              <w:rPr>
                <w:rStyle w:val="Text0"/>
              </w:rPr>
              <w:t>, port=25])</w:t>
              <w:br w:clear="none"/>
            </w:r>
            <w:r>
              <w:t xml:space="preserve"> Returns an instance </w:t>
            </w:r>
            <w:r>
              <w:rPr>
                <w:rStyle w:val="Text3"/>
              </w:rPr>
              <w:t>s</w:t>
            </w:r>
            <w:r>
              <w:t xml:space="preserve"> of the class </w:t>
            </w:r>
            <w:r>
              <w:rPr>
                <w:rStyle w:val="Text0"/>
              </w:rPr>
              <w:t>SMTP</w:t>
            </w:r>
            <w:r>
              <w:t xml:space="preserve">. When </w:t>
            </w:r>
            <w:r>
              <w:rPr>
                <w:rStyle w:val="Text3"/>
              </w:rPr>
              <w:t>host</w:t>
            </w:r>
            <w:r>
              <w:t xml:space="preserve"> (and optionally </w:t>
            </w:r>
            <w:r>
              <w:rPr>
                <w:rStyle w:val="Text0"/>
              </w:rPr>
              <w:t>port</w:t>
            </w:r>
            <w:r>
              <w:t xml:space="preserve">) is given, implicitly calls </w:t>
            </w:r>
            <w:r>
              <w:rPr>
                <w:rStyle w:val="Text3"/>
              </w:rPr>
              <w:t>s</w:t>
            </w:r>
            <w:r>
              <w:rPr>
                <w:rStyle w:val="Text0"/>
              </w:rPr>
              <w:t>.connect(</w:t>
            </w:r>
            <w:r>
              <w:rPr>
                <w:rStyle w:val="Text3"/>
              </w:rPr>
              <w:t>host</w:t>
            </w:r>
            <w:r>
              <w:rPr>
                <w:rStyle w:val="Text0"/>
              </w:rPr>
              <w:t>,</w:t>
            </w:r>
            <w:r>
              <w:t xml:space="preserve"> </w:t>
            </w:r>
            <w:r>
              <w:rPr>
                <w:rStyle w:val="Text0"/>
              </w:rPr>
              <w:t>port)</w:t>
            </w:r>
            <w:r>
              <w:t xml:space="preserve">. The class </w:t>
            </w:r>
            <w:r>
              <w:rPr>
                <w:rStyle w:val="Text0"/>
              </w:rPr>
              <w:t>SMTP_SSL</w:t>
            </w:r>
            <w:r>
              <w:t xml:space="preserve"> behaves just the same, but connects to the host (by default on port 465) over a secure TLS channel; it’s needed to connect to email servers that demand some minimum security, such as </w:t>
            </w:r>
            <w:r>
              <w:rPr>
                <w:rStyle w:val="Text0"/>
              </w:rPr>
              <w:t>smtp.gmail.com</w:t>
            </w:r>
            <w:r>
              <w:t>.</w:t>
            </w:r>
          </w:p>
        </w:tc>
      </w:tr>
    </w:tbl>
    <w:p>
      <w:pPr>
        <w:pStyle w:val="Normal"/>
      </w:pPr>
      <w:r>
        <w:t xml:space="preserve">An instance </w:t>
      </w:r>
      <w:r>
        <w:rPr>
          <w:rStyle w:val="Text3"/>
        </w:rPr>
        <w:t>s</w:t>
      </w:r>
      <w:r>
        <w:t xml:space="preserve"> of the class </w:t>
      </w:r>
      <w:r>
        <w:rPr>
          <w:rStyle w:val="Text0"/>
        </w:rPr>
        <w:t>SMTP</w:t>
      </w:r>
      <w:r>
        <w:t xml:space="preserve"> supplies many methods. The most frequently used of these are listed in </w:t>
      </w:r>
      <w:hyperlink w:anchor="Table_19_2__Methods_of_an_instan">
        <w:r>
          <w:rPr>
            <w:rStyle w:val="Text1"/>
          </w:rPr>
          <w:t>Table 19-2</w:t>
        </w:r>
      </w:hyperlink>
      <w:r>
        <w:t>.</w:t>
      </w:r>
    </w:p>
    <w:tbl>
      <w:tblPr>
        <w:tblW w:type="auto" w:w="0"/>
      </w:tblPr>
      <w:tr>
        <w:tc>
          <w:tcPr>
            <w:tcW w:type="auto" w:w="0"/>
            <w:tcMar>
              <w:left w:type="dxa" w:w="200"/>
              <w:top w:type="dxa" w:w="200"/>
              <w:right w:type="dxa" w:w="200"/>
              <w:bottom w:type="dxa" w:w="200"/>
            </w:tcMar>
          </w:tcPr>
          <w:p>
            <w:bookmarkStart w:id="4064" w:name="Table_19_2__Methods_of_an_instan"/>
            <w:pPr>
              <w:pStyle w:val="Para 011"/>
            </w:pPr>
            <w:r>
              <w:rPr>
                <w:rStyle w:val="Text117"/>
              </w:rPr>
              <w:t/>
            </w:r>
            <w:r>
              <w:t xml:space="preserve">Table 19-2. </w:t>
              <w:t xml:space="preserve">Methods of an instance </w:t>
            </w:r>
            <w:r>
              <w:rPr>
                <w:rStyle w:val="Text0"/>
              </w:rPr>
              <w:t>s</w:t>
            </w:r>
            <w:r>
              <w:t xml:space="preserve"> of </w:t>
            </w:r>
            <w:r>
              <w:rPr>
                <w:rStyle w:val="Text0"/>
              </w:rPr>
              <w:t>SMTP</w:t>
            </w:r>
            <w:bookmarkEnd w:id="4064"/>
          </w:p>
          <w:p>
            <w:pPr>
              <w:pStyle w:val="Para 001"/>
            </w:pPr>
            <w:r>
              <w:t>connect</w:t>
            </w:r>
          </w:p>
        </w:tc>
        <w:tc>
          <w:tcPr>
            <w:tcW w:type="auto" w:w="0"/>
            <w:tcMar>
              <w:left w:type="dxa" w:w="200"/>
              <w:top w:type="dxa" w:w="200"/>
              <w:right w:type="dxa" w:w="200"/>
              <w:bottom w:type="dxa" w:w="200"/>
            </w:tcMar>
          </w:tcPr>
          <w:p>
            <w:pPr>
              <w:pStyle w:val="Para 002"/>
            </w:pPr>
            <w:r>
              <w:rPr>
                <w:rStyle w:val="Text3"/>
              </w:rPr>
              <w:t>s</w:t>
            </w:r>
            <w:r>
              <w:rPr>
                <w:rStyle w:val="Text0"/>
              </w:rPr>
              <w:t>.connect(host=127.0.0.1, port=25)</w:t>
              <w:br w:clear="none"/>
            </w:r>
            <w:r>
              <w:t xml:space="preserve"> Connects to an SMTP server on the given </w:t>
            </w:r>
            <w:r>
              <w:rPr>
                <w:rStyle w:val="Text0"/>
              </w:rPr>
              <w:t>host</w:t>
            </w:r>
            <w:r>
              <w:t xml:space="preserve"> (by default, the local host) and </w:t>
            </w:r>
            <w:r>
              <w:rPr>
                <w:rStyle w:val="Text0"/>
              </w:rPr>
              <w:t>port</w:t>
            </w:r>
            <w:r>
              <w:t xml:space="preserve"> (port </w:t>
            </w:r>
            <w:r>
              <w:rPr>
                <w:rStyle w:val="Text0"/>
              </w:rPr>
              <w:t>25</w:t>
            </w:r>
            <w:r>
              <w:t xml:space="preserve"> is the default port for the SMTP service; </w:t>
            </w:r>
            <w:r>
              <w:rPr>
                <w:rStyle w:val="Text0"/>
              </w:rPr>
              <w:t>465</w:t>
            </w:r>
            <w:r>
              <w:t xml:space="preserve"> is the default port for the more secure “SMTP over TLS”).</w:t>
            </w:r>
          </w:p>
        </w:tc>
      </w:tr>
    </w:tbl>
    <w:tbl>
      <w:tblPr>
        <w:tblW w:type="auto" w:w="0"/>
      </w:tblPr>
      <w:tr>
        <w:tc>
          <w:tcPr>
            <w:tcW w:type="auto" w:w="0"/>
            <w:shd w:val="clear" w:color="auto" w:fill="EEF2F6"/>
            <w:tcMar>
              <w:left w:type="dxa" w:w="200"/>
              <w:top w:type="dxa" w:w="200"/>
              <w:right w:type="dxa" w:w="200"/>
              <w:bottom w:type="dxa" w:w="200"/>
            </w:tcMar>
          </w:tcPr>
          <w:p>
            <w:pPr>
              <w:pStyle w:val="Para 001"/>
            </w:pPr>
            <w:r>
              <w:t>login</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.login(</w:t>
            </w:r>
            <w:r>
              <w:rPr>
                <w:rStyle w:val="Text3"/>
              </w:rPr>
              <w:t>user</w:t>
            </w:r>
            <w:r>
              <w:rPr>
                <w:rStyle w:val="Text0"/>
              </w:rPr>
              <w:t>,</w:t>
            </w:r>
            <w:r>
              <w:t xml:space="preserve"> </w:t>
            </w:r>
            <w:r>
              <w:rPr>
                <w:rStyle w:val="Text3"/>
              </w:rPr>
              <w:t>password</w:t>
            </w:r>
            <w:r>
              <w:rPr>
                <w:rStyle w:val="Text0"/>
              </w:rPr>
              <w:t>)</w:t>
              <w:br w:clear="none"/>
            </w:r>
            <w:r>
              <w:t xml:space="preserve"> Logs in to the server with the given </w:t>
            </w:r>
            <w:r>
              <w:rPr>
                <w:rStyle w:val="Text3"/>
              </w:rPr>
              <w:t>user</w:t>
            </w:r>
            <w:r>
              <w:t xml:space="preserve"> and </w:t>
            </w:r>
            <w:r>
              <w:rPr>
                <w:rStyle w:val="Text3"/>
              </w:rPr>
              <w:t>password</w:t>
            </w:r>
            <w:r>
              <w:t>. Needed only if the SMTP server requires authentication (as just about all do).</w:t>
            </w:r>
          </w:p>
        </w:tc>
      </w:tr>
    </w:tbl>
    <w:tbl>
      <w:tblPr>
        <w:tblW w:type="auto" w:w="0"/>
      </w:tblPr>
      <w:tr>
        <w:tc>
          <w:tcPr>
            <w:tcW w:type="auto" w:w="0"/>
            <w:tcMar>
              <w:left w:type="dxa" w:w="200"/>
              <w:top w:type="dxa" w:w="200"/>
              <w:right w:type="dxa" w:w="200"/>
              <w:bottom w:type="dxa" w:w="200"/>
            </w:tcMar>
          </w:tcPr>
          <w:p>
            <w:pPr>
              <w:pStyle w:val="Para 001"/>
            </w:pPr>
            <w:r>
              <w:t>quit</w:t>
            </w:r>
          </w:p>
        </w:tc>
        <w:tc>
          <w:tcPr>
            <w:tcW w:type="auto" w:w="0"/>
            <w:tcMar>
              <w:left w:type="dxa" w:w="200"/>
              <w:top w:type="dxa" w:w="200"/>
              <w:right w:type="dxa" w:w="200"/>
              <w:bottom w:type="dxa" w:w="200"/>
            </w:tcMar>
          </w:tcPr>
          <w:p>
            <w:pPr>
              <w:pStyle w:val="Para 002"/>
            </w:pPr>
            <w:r>
              <w:rPr>
                <w:rStyle w:val="Text3"/>
              </w:rPr>
              <w:t>s</w:t>
            </w:r>
            <w:r>
              <w:rPr>
                <w:rStyle w:val="Text0"/>
              </w:rPr>
              <w:t>.quit()</w:t>
              <w:br w:clear="none"/>
            </w:r>
            <w:r>
              <w:t xml:space="preserve"> Terminates the SMTP session.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sendmail</w:t>
            </w:r>
          </w:p>
        </w:tc>
        <w:tc>
          <w:tcPr>
            <w:tcW w:type="auto" w:w="0"/>
            <w:shd w:val="clear" w:color="auto" w:fill="EEF2F6"/>
            <w:tcMar>
              <w:left w:type="dxa" w:w="200"/>
              <w:top w:type="dxa" w:w="200"/>
              <w:right w:type="dxa" w:w="200"/>
              <w:bottom w:type="dxa" w:w="200"/>
            </w:tcMar>
          </w:tcPr>
          <w:p>
            <w:pPr>
              <w:pStyle w:val="Para 002"/>
            </w:pPr>
            <w:r>
              <w:rPr>
                <w:rStyle w:val="Text3"/>
              </w:rPr>
              <w:t>s</w:t>
            </w:r>
            <w:r>
              <w:rPr>
                <w:rStyle w:val="Text0"/>
              </w:rPr>
              <w:t>.sendmail(</w:t>
            </w:r>
            <w:r>
              <w:rPr>
                <w:rStyle w:val="Text3"/>
              </w:rPr>
              <w:t>from_addr</w:t>
            </w:r>
            <w:r>
              <w:rPr>
                <w:rStyle w:val="Text0"/>
              </w:rPr>
              <w:t>,</w:t>
            </w:r>
            <w:r>
              <w:t xml:space="preserve"> </w:t>
            </w:r>
            <w:r>
              <w:rPr>
                <w:rStyle w:val="Text3"/>
              </w:rPr>
              <w:t>to_addrs</w:t>
            </w:r>
            <w:r>
              <w:rPr>
                <w:rStyle w:val="Text0"/>
              </w:rPr>
              <w:t>,</w:t>
            </w:r>
            <w:r>
              <w:t xml:space="preserve"> </w:t>
            </w:r>
            <w:r>
              <w:rPr>
                <w:rStyle w:val="Text3"/>
              </w:rPr>
              <w:t>msg_string</w:t>
            </w:r>
            <w:r>
              <w:rPr>
                <w:rStyle w:val="Text0"/>
              </w:rPr>
              <w:t>)</w:t>
              <w:br w:clear="none"/>
            </w:r>
            <w:r>
              <w:t xml:space="preserve"> Sends mail message </w:t>
            </w:r>
            <w:r>
              <w:rPr>
                <w:rStyle w:val="Text3"/>
              </w:rPr>
              <w:t>msg_string</w:t>
            </w:r>
            <w:r>
              <w:t xml:space="preserve"> from the sender whose address is in string </w:t>
            </w:r>
            <w:r>
              <w:rPr>
                <w:rStyle w:val="Text3"/>
              </w:rPr>
              <w:t>from_addr</w:t>
            </w:r>
            <w:r>
              <w:t xml:space="preserve"> to each of the recipients in the list </w:t>
            </w:r>
            <w:r>
              <w:rPr>
                <w:rStyle w:val="Text3"/>
              </w:rPr>
              <w:t>to_addrs</w:t>
            </w:r>
            <w:r>
              <w:t>.</w:t>
            </w:r>
            <w:hyperlink w:anchor="a_While_the_standard_places_no_l">
              <w:r>
                <w:rPr>
                  <w:rStyle w:val="Text41"/>
                </w:rPr>
                <w:bookmarkStart w:id="4065" w:name="a_19"/>
                <w:t>a</w:t>
                <w:bookmarkEnd w:id="4065"/>
              </w:r>
            </w:hyperlink>
            <w:r>
              <w:t xml:space="preserve"> </w:t>
            </w:r>
            <w:r>
              <w:rPr>
                <w:rStyle w:val="Text3"/>
              </w:rPr>
              <w:t>msg_string</w:t>
            </w:r>
            <w:r>
              <w:t xml:space="preserve"> must be a complete RFC 822 message in a single multiline bytestring: the headers, an empty line for separation, then the body. The mail transport mechanism uses only </w:t>
            </w:r>
            <w:r>
              <w:rPr>
                <w:rStyle w:val="Text3"/>
              </w:rPr>
              <w:t>from_addr</w:t>
            </w:r>
            <w:r>
              <w:t xml:space="preserve"> and </w:t>
            </w:r>
            <w:r>
              <w:rPr>
                <w:rStyle w:val="Text3"/>
              </w:rPr>
              <w:t>to_addrs</w:t>
            </w:r>
            <w:r>
              <w:t xml:space="preserve"> to determine routing, ignoring any headers in </w:t>
            </w:r>
            <w:r>
              <w:rPr>
                <w:rStyle w:val="Text3"/>
              </w:rPr>
              <w:t>msg_string</w:t>
            </w:r>
            <w:r>
              <w:t>.</w:t>
            </w:r>
            <w:hyperlink w:anchor="b_This_allows_email_systems_to_i">
              <w:r>
                <w:rPr>
                  <w:rStyle w:val="Text41"/>
                </w:rPr>
                <w:bookmarkStart w:id="4066" w:name="b_3"/>
                <w:t>b</w:t>
                <w:bookmarkEnd w:id="4066"/>
              </w:r>
            </w:hyperlink>
            <w:r>
              <w:t xml:space="preserve"> To prepare RFC 822–compliant messages, use the package </w:t>
            </w:r>
            <w:r>
              <w:rPr>
                <w:rStyle w:val="Text0"/>
              </w:rPr>
              <w:t>email</w:t>
            </w:r>
            <w:r>
              <w:t xml:space="preserve">, covered in </w:t>
            </w:r>
            <w:hyperlink w:anchor="MIME_and_Email_Format_Handling">
              <w:r>
                <w:rPr>
                  <w:rStyle w:val="Text1"/>
                </w:rPr>
                <w:t>“MIME and Email Format Handling”</w:t>
              </w:r>
            </w:hyperlink>
            <w:r>
              <w:t>.</w:t>
            </w:r>
          </w:p>
        </w:tc>
      </w:tr>
    </w:tbl>
    <w:tbl>
      <w:tblPr>
        <w:tblW w:type="auto" w:w="0"/>
      </w:tblPr>
      <w:tr>
        <w:tc>
          <w:tcPr>
            <w:tcW w:type="auto" w:w="0"/>
            <w:tcMar>
              <w:left w:type="dxa" w:w="200"/>
              <w:top w:type="dxa" w:w="200"/>
              <w:right w:type="dxa" w:w="200"/>
              <w:bottom w:type="dxa" w:w="200"/>
            </w:tcMar>
          </w:tcPr>
          <w:p>
            <w:pPr>
              <w:pStyle w:val="Para 001"/>
            </w:pPr>
            <w:r>
              <w:t>send_message</w:t>
            </w:r>
          </w:p>
        </w:tc>
        <w:tc>
          <w:tcPr>
            <w:tcW w:type="auto" w:w="0"/>
            <w:tcMar>
              <w:left w:type="dxa" w:w="200"/>
              <w:top w:type="dxa" w:w="200"/>
              <w:right w:type="dxa" w:w="200"/>
              <w:bottom w:type="dxa" w:w="200"/>
            </w:tcMar>
          </w:tcPr>
          <w:p>
            <w:pPr>
              <w:pStyle w:val="Para 002"/>
            </w:pPr>
            <w:r>
              <w:rPr>
                <w:rStyle w:val="Text3"/>
              </w:rPr>
              <w:t>s.</w:t>
            </w:r>
            <w:r>
              <w:rPr>
                <w:rStyle w:val="Text0"/>
              </w:rPr>
              <w:t>send_message(</w:t>
            </w:r>
            <w:r>
              <w:rPr>
                <w:rStyle w:val="Text3"/>
              </w:rPr>
              <w:t>msg,</w:t>
            </w:r>
            <w:r>
              <w:t xml:space="preserve"> </w:t>
            </w:r>
            <w:r>
              <w:rPr>
                <w:rStyle w:val="Text0"/>
              </w:rPr>
              <w:t>from_addr=</w:t>
            </w:r>
            <w:r>
              <w:rPr>
                <w:rStyle w:val="Text5"/>
              </w:rPr>
              <w:t>None</w:t>
            </w:r>
            <w:r>
              <w:rPr>
                <w:rStyle w:val="Text0"/>
              </w:rPr>
              <w:t>, to_addrs=</w:t>
            </w:r>
            <w:r>
              <w:rPr>
                <w:rStyle w:val="Text5"/>
              </w:rPr>
              <w:t>None</w:t>
            </w:r>
            <w:r>
              <w:rPr>
                <w:rStyle w:val="Text0"/>
              </w:rPr>
              <w:t>)</w:t>
              <w:br w:clear="none"/>
            </w:r>
            <w:r>
              <w:t xml:space="preserve"> A convenience function taking an </w:t>
            </w:r>
            <w:r>
              <w:rPr>
                <w:rStyle w:val="Text0"/>
              </w:rPr>
              <w:t>email.message.Message</w:t>
            </w:r>
            <w:r>
              <w:t xml:space="preserve"> object as its first argument. If either or both of </w:t>
            </w:r>
            <w:r>
              <w:rPr>
                <w:rStyle w:val="Text0"/>
              </w:rPr>
              <w:t>from_addr</w:t>
            </w:r>
            <w:r>
              <w:t xml:space="preserve"> and </w:t>
            </w:r>
            <w:r>
              <w:rPr>
                <w:rStyle w:val="Text0"/>
              </w:rPr>
              <w:t>to_addrs</w:t>
            </w:r>
            <w:r>
              <w:t xml:space="preserve"> are </w:t>
            </w:r>
            <w:r>
              <w:rPr>
                <w:rStyle w:val="Text5"/>
              </w:rPr>
              <w:t>None</w:t>
            </w:r>
            <w:r>
              <w:t>, they are extracted from the message instead.</w:t>
            </w:r>
            <w:r>
              <w:rPr>
                <w:rStyle w:val="Text111"/>
              </w:rPr>
              <w:bookmarkStart w:id="4067" w:name="idm45965175772160"/>
              <w:t/>
              <w:bookmarkEnd w:id="4067"/>
              <w:bookmarkStart w:id="4068" w:name="idm45965175770816"/>
              <w:t/>
              <w:bookmarkEnd w:id="4068"/>
            </w:r>
          </w:p>
        </w:tc>
      </w:tr>
    </w:tbl>
    <w:tbl>
      <w:tblPr>
        <w:tblW w:type="auto" w:w="0"/>
      </w:tblPr>
      <w:tr>
        <w:tc>
          <w:tcPr>
            <w:tcW w:type="auto" w:w="0"/>
            <w:tcMar>
              <w:left w:type="dxa" w:w="200"/>
              <w:top w:type="dxa" w:w="200"/>
              <w:right w:type="dxa" w:w="200"/>
              <w:bottom w:type="dxa" w:w="200"/>
            </w:tcMar>
            <w:hMerge w:val="restart"/>
          </w:tcPr>
          <w:p>
            <w:bookmarkStart w:id="4069" w:name="a_While_the_standard_places_no_l"/>
            <w:pPr>
              <w:pStyle w:val="Para 036"/>
            </w:pPr>
            <w:hyperlink w:anchor="a_19">
              <w:r>
                <w:rPr>
                  <w:rStyle w:val="Text1"/>
                </w:rPr>
                <w:t>a</w:t>
              </w:r>
            </w:hyperlink>
            <w:r>
              <w:t xml:space="preserve"> While the standard places no limits on the number of recipients in </w:t>
            </w:r>
            <w:r>
              <w:rPr>
                <w:rStyle w:val="Text3"/>
              </w:rPr>
              <w:t>from_addr</w:t>
            </w:r>
            <w:r>
              <w:t>, individual mail servers may well do so, often making it advisable to batch messages with a maximum number of recipients in each one.</w:t>
            </w:r>
            <w:bookmarkEnd w:id="4069"/>
          </w:p>
          <w:p>
            <w:bookmarkStart w:id="4070" w:name="b_This_allows_email_systems_to_i"/>
            <w:pPr>
              <w:pStyle w:val="Para 062"/>
            </w:pPr>
            <w:hyperlink w:anchor="b_3">
              <w:r>
                <w:rPr>
                  <w:rStyle w:val="Text1"/>
                </w:rPr>
                <w:t>b</w:t>
              </w:r>
            </w:hyperlink>
            <w:r>
              <w:t xml:space="preserve"> This allows email systems to implement Bcc (blind copy) emails, for example, as the routing does not depend on the message envelope.</w:t>
            </w:r>
            <w:bookmarkEnd w:id="4070"/>
          </w:p>
        </w:tc>
        <w:tc>
          <w:tcPr>
            <w:hMerge w:val="continue"/>
          </w:tcPr>
          <w:p/>
        </w:tc>
      </w:tr>
    </w:tbl>
    <w:p>
      <w:bookmarkStart w:id="4071" w:name="HTTP_and_URL_Clients__Most_of_th"/>
      <w:pPr>
        <w:keepNext/>
        <w:pStyle w:val="Heading 1"/>
      </w:pPr>
      <w:r>
        <w:t>HTTP and URL Clients</w:t>
      </w:r>
      <w:bookmarkEnd w:id="4071"/>
    </w:p>
    <w:p>
      <w:pPr>
        <w:pStyle w:val="Normal"/>
      </w:pPr>
      <w:r>
        <w:t>Most</w:t>
      </w:r>
      <w:r>
        <w:rPr>
          <w:rStyle w:val="Text111"/>
        </w:rPr>
        <w:bookmarkStart w:id="4072" w:name="NPMhttp19"/>
        <w:t/>
        <w:bookmarkEnd w:id="4072"/>
      </w:r>
      <w:r>
        <w:t xml:space="preserve"> of the time, your code uses the HTTP and FTP protocols through the higher-abstraction URL layer, supported by the modules and packages covered in the following sections. Python’s standard library also offers lower-level, protocol-specific modules that are less often used: for FTP clients, </w:t>
      </w:r>
      <w:r>
        <w:rPr>
          <w:rStyle w:val="Text111"/>
        </w:rPr>
        <w:bookmarkStart w:id="4073" w:name="idm45965175765280"/>
        <w:t/>
        <w:bookmarkEnd w:id="4073"/>
        <w:bookmarkStart w:id="4074" w:name="idm45965175764176"/>
        <w:t/>
        <w:bookmarkEnd w:id="4074"/>
      </w:r>
      <w:hyperlink r:id="rId541">
        <w:r>
          <w:rPr>
            <w:rStyle w:val="Text1"/>
          </w:rPr>
          <w:t>ftplib</w:t>
        </w:r>
      </w:hyperlink>
      <w:r>
        <w:t xml:space="preserve">; for HTTP clients, </w:t>
      </w:r>
      <w:r>
        <w:rPr>
          <w:rStyle w:val="Text0"/>
        </w:rPr>
        <w:t>http.client</w:t>
      </w:r>
      <w:r>
        <w:t xml:space="preserve"> (we cover HTTP servers in </w:t>
      </w:r>
      <w:hyperlink w:anchor="Chapter_20__Serving_HTTP__When_a_2">
        <w:r>
          <w:rPr>
            <w:rStyle w:val="Text1"/>
          </w:rPr>
          <w:t>Chapter 20</w:t>
        </w:r>
      </w:hyperlink>
      <w:r>
        <w:t>). If you need to write an FTP server, look at the third-party module</w:t>
      </w:r>
      <w:r>
        <w:rPr>
          <w:rStyle w:val="Text111"/>
        </w:rPr>
        <w:bookmarkStart w:id="4075" w:name="idm45965175760464"/>
        <w:t/>
        <w:bookmarkEnd w:id="4075"/>
      </w:r>
      <w:r>
        <w:t xml:space="preserve"> </w:t>
      </w:r>
      <w:hyperlink r:id="rId542">
        <w:r>
          <w:rPr>
            <w:rStyle w:val="Text1"/>
          </w:rPr>
          <w:t>pyftpdlib</w:t>
        </w:r>
      </w:hyperlink>
      <w:r>
        <w:t xml:space="preserve">. Implementations of the newer </w:t>
      </w:r>
      <w:hyperlink r:id="rId543">
        <w:r>
          <w:rPr>
            <w:rStyle w:val="Text1"/>
          </w:rPr>
          <w:t>HTTP/2</w:t>
        </w:r>
      </w:hyperlink>
      <w:r>
        <w:t xml:space="preserve"> may not be fully mature, but your best bet as of this writing is the third-party module</w:t>
      </w:r>
      <w:r>
        <w:rPr>
          <w:rStyle w:val="Text111"/>
        </w:rPr>
        <w:bookmarkStart w:id="4076" w:name="idm45965175757632"/>
        <w:t/>
        <w:bookmarkEnd w:id="4076"/>
      </w:r>
      <w:r>
        <w:t xml:space="preserve"> </w:t>
      </w:r>
      <w:hyperlink r:id="rId544">
        <w:r>
          <w:rPr>
            <w:rStyle w:val="Text1"/>
          </w:rPr>
          <w:t>HTTPX</w:t>
        </w:r>
      </w:hyperlink>
      <w:r>
        <w:t>. We do not cover any of these lower-level modules in this book: we focus on higher-abstraction, URL-level access throughout the following sections.</w:t>
      </w:r>
    </w:p>
    <w:p>
      <w:bookmarkStart w:id="4077" w:name="URL_Access__A_URL_is_a_type_of_u"/>
      <w:pPr>
        <w:keepNext/>
        <w:pStyle w:val="Heading 2"/>
      </w:pPr>
      <w:r>
        <w:t>URL Access</w:t>
      </w:r>
      <w:bookmarkEnd w:id="4077"/>
    </w:p>
    <w:p>
      <w:pPr>
        <w:pStyle w:val="Normal"/>
      </w:pPr>
      <w:r>
        <w:t>A URL is a type of</w:t>
      </w:r>
      <w:r>
        <w:rPr>
          <w:rStyle w:val="Text111"/>
        </w:rPr>
        <w:bookmarkStart w:id="4078" w:name="idm45965175753920"/>
        <w:t/>
        <w:bookmarkEnd w:id="4078"/>
        <w:bookmarkStart w:id="4079" w:name="idm45965175752432"/>
        <w:t/>
        <w:bookmarkEnd w:id="4079"/>
      </w:r>
      <w:r>
        <w:t xml:space="preserve"> uniform resource identifier (URI). A URI is a string that </w:t>
      </w:r>
      <w:r>
        <w:rPr>
          <w:rStyle w:val="Text4"/>
        </w:rPr>
        <w:t>identifies</w:t>
      </w:r>
      <w:r>
        <w:t xml:space="preserve"> a resource (but does not necessarily </w:t>
      </w:r>
      <w:r>
        <w:rPr>
          <w:rStyle w:val="Text4"/>
        </w:rPr>
        <w:t>locate</w:t>
      </w:r>
      <w:r>
        <w:t xml:space="preserve"> it), while a</w:t>
      </w:r>
      <w:r>
        <w:rPr>
          <w:rStyle w:val="Text111"/>
        </w:rPr>
        <w:bookmarkStart w:id="4080" w:name="idm45965175750272"/>
        <w:t/>
        <w:bookmarkEnd w:id="4080"/>
        <w:bookmarkStart w:id="4081" w:name="idm45965175749072"/>
        <w:t/>
        <w:bookmarkEnd w:id="4081"/>
      </w:r>
      <w:r>
        <w:t xml:space="preserve"> URL </w:t>
      </w:r>
      <w:r>
        <w:rPr>
          <w:rStyle w:val="Text4"/>
        </w:rPr>
        <w:t>locates</w:t>
      </w:r>
      <w:r>
        <w:t xml:space="preserve"> a resource on the internet. A URL is a string composed of several parts (some optional), called </w:t>
      </w:r>
      <w:r>
        <w:rPr>
          <w:rStyle w:val="Text4"/>
        </w:rPr>
        <w:t>components</w:t>
      </w:r>
      <w:r>
        <w:t xml:space="preserve">: the </w:t>
      </w:r>
      <w:r>
        <w:rPr>
          <w:rStyle w:val="Text4"/>
        </w:rPr>
        <w:t>scheme, location, path, query</w:t>
      </w:r>
      <w:r>
        <w:t xml:space="preserve">, and </w:t>
      </w:r>
      <w:r>
        <w:rPr>
          <w:rStyle w:val="Text4"/>
        </w:rPr>
        <w:t>fragment.</w:t>
      </w:r>
      <w:r>
        <w:t xml:space="preserve"> (The second component is sometimes also known as a</w:t>
      </w:r>
      <w:r>
        <w:rPr>
          <w:rStyle w:val="Text111"/>
        </w:rPr>
        <w:bookmarkStart w:id="4082" w:name="idm45965175745920"/>
        <w:t/>
        <w:bookmarkEnd w:id="4082"/>
      </w:r>
      <w:r>
        <w:t xml:space="preserve"> </w:t>
      </w:r>
      <w:r>
        <w:rPr>
          <w:rStyle w:val="Text4"/>
        </w:rPr>
        <w:t>net location</w:t>
      </w:r>
      <w:r>
        <w:t xml:space="preserve">, or </w:t>
      </w:r>
      <w:r>
        <w:rPr>
          <w:rStyle w:val="Text4"/>
        </w:rPr>
        <w:t>netloc</w:t>
      </w:r>
      <w:r>
        <w:t xml:space="preserve"> for short.) A URL with all parts looks like:</w:t>
      </w:r>
    </w:p>
    <w:p>
      <w:pPr>
        <w:pStyle w:val="Para 042"/>
      </w:pPr>
      <w:r>
        <w:rPr>
          <w:rStyle w:val="Text55"/>
        </w:rPr>
        <w:t xml:space="preserve"/>
        <w:br w:clear="none"/>
      </w:r>
      <w:r>
        <w:t xml:space="preserve">scheme://lo.ca.ti.on/pa/th?qu=ery#fragment</w:t>
        <w:br w:clear="none"/>
      </w:r>
    </w:p>
    <w:p>
      <w:pPr>
        <w:pStyle w:val="Normal"/>
      </w:pPr>
      <w:r>
        <w:t xml:space="preserve">In </w:t>
      </w:r>
      <w:r>
        <w:rPr>
          <w:rStyle w:val="Text4"/>
        </w:rPr>
        <w:t>https://www.python.org/community/awards/psf-awards/#october-2016</w:t>
      </w:r>
      <w:r>
        <w:t xml:space="preserve">, for example, the scheme is </w:t>
      </w:r>
      <w:r>
        <w:rPr>
          <w:rStyle w:val="Text4"/>
        </w:rPr>
        <w:t>http</w:t>
      </w:r>
      <w:r>
        <w:t xml:space="preserve">, the location is </w:t>
      </w:r>
      <w:r>
        <w:rPr>
          <w:rStyle w:val="Text4"/>
        </w:rPr>
        <w:t>www.python.org</w:t>
      </w:r>
      <w:r>
        <w:t xml:space="preserve">, the path is </w:t>
      </w:r>
      <w:r>
        <w:rPr>
          <w:rStyle w:val="Text4"/>
        </w:rPr>
        <w:t>/community/awards/psf-awards/</w:t>
      </w:r>
      <w:r>
        <w:t xml:space="preserve">, there is no query, and the fragment is </w:t>
      </w:r>
      <w:r>
        <w:rPr>
          <w:rStyle w:val="Text4"/>
        </w:rPr>
        <w:t>#october-2016.</w:t>
      </w:r>
      <w:r>
        <w:t xml:space="preserve"> (Most schemes default to a </w:t>
      </w:r>
      <w:r>
        <w:rPr>
          <w:rStyle w:val="Text4"/>
        </w:rPr>
        <w:t>well-known port</w:t>
      </w:r>
      <w:r>
        <w:t xml:space="preserve"> when the port is not explicitly specified; for example, 80 is the well-known port for the HTTP scheme.) Some punctuation is part of one of the components it separates; other punctuation characters are just separators, not part of any component. Omitting punctuation implies missing components. For example, in </w:t>
      </w:r>
      <w:r>
        <w:rPr>
          <w:rStyle w:val="Text4"/>
        </w:rPr>
        <w:t>mailto:me@you.com</w:t>
      </w:r>
      <w:r>
        <w:t xml:space="preserve">, the scheme is </w:t>
      </w:r>
      <w:r>
        <w:rPr>
          <w:rStyle w:val="Text4"/>
        </w:rPr>
        <w:t>mailto</w:t>
      </w:r>
      <w:r>
        <w:t xml:space="preserve">, the path is </w:t>
      </w:r>
      <w:r>
        <w:rPr>
          <w:rStyle w:val="Text4"/>
        </w:rPr>
        <w:t>me@you.com</w:t>
      </w:r>
      <w:r>
        <w:t xml:space="preserve"> (</w:t>
      </w:r>
      <w:r>
        <w:rPr>
          <w:rStyle w:val="Text4"/>
        </w:rPr>
        <w:t>mailto:me@you.com</w:t>
      </w:r>
      <w:r>
        <w:t xml:space="preserve">), and there is no location, query, or fragment. No // means the URI has no location, no </w:t>
      </w:r>
      <w:r>
        <w:rPr>
          <w:rStyle w:val="Text0"/>
        </w:rPr>
        <w:t>?</w:t>
      </w:r>
      <w:r>
        <w:t xml:space="preserve"> means it has no query, and no </w:t>
      </w:r>
      <w:r>
        <w:rPr>
          <w:rStyle w:val="Text0"/>
        </w:rPr>
        <w:t>#</w:t>
      </w:r>
      <w:r>
        <w:t xml:space="preserve"> means it has no fragment.</w:t>
      </w:r>
    </w:p>
    <w:p>
      <w:pPr>
        <w:pStyle w:val="Normal"/>
      </w:pPr>
      <w:r>
        <w:t>If the location ends with a colon followed by a number, this denotes a TCP port for the endpoint. Otherwise, the connection uses the well-known port associated with the scheme (e.g., port 80 for HTTP).</w:t>
      </w:r>
    </w:p>
    <w:p>
      <w:bookmarkStart w:id="4083" w:name="The_urllib_Package__The_urllib_p"/>
      <w:pPr>
        <w:keepNext/>
        <w:pStyle w:val="Heading 2"/>
      </w:pPr>
      <w:r>
        <w:t>The urllib Package</w:t>
      </w:r>
      <w:bookmarkEnd w:id="4083"/>
    </w:p>
    <w:p>
      <w:pPr>
        <w:pStyle w:val="Normal"/>
      </w:pPr>
      <w:r>
        <w:t>The</w:t>
      </w:r>
      <w:r>
        <w:rPr>
          <w:rStyle w:val="Text111"/>
        </w:rPr>
        <w:bookmarkStart w:id="4084" w:name="urlibpckg19"/>
        <w:t/>
        <w:bookmarkEnd w:id="4084"/>
        <w:bookmarkStart w:id="4085" w:name="idm45965175732000"/>
        <w:t/>
        <w:bookmarkEnd w:id="4085"/>
      </w:r>
      <w:r>
        <w:t xml:space="preserve"> </w:t>
      </w:r>
      <w:r>
        <w:rPr>
          <w:rStyle w:val="Text0"/>
        </w:rPr>
        <w:t>urllib</w:t>
      </w:r>
      <w:r>
        <w:t xml:space="preserve"> package supplies several modules for parsing and utilizing URL strings and associated resources. In addition to the </w:t>
      </w:r>
      <w:r>
        <w:rPr>
          <w:rStyle w:val="Text0"/>
        </w:rPr>
        <w:t>urllib.parse</w:t>
      </w:r>
      <w:r>
        <w:t xml:space="preserve"> and </w:t>
      </w:r>
      <w:r>
        <w:rPr>
          <w:rStyle w:val="Text0"/>
        </w:rPr>
        <w:t>urllib.request</w:t>
      </w:r>
      <w:r>
        <w:t xml:space="preserve"> modules described here, these include the module </w:t>
      </w:r>
      <w:r>
        <w:rPr>
          <w:rStyle w:val="Text0"/>
        </w:rPr>
        <w:t>urllib.robotparser</w:t>
      </w:r>
      <w:r>
        <w:t xml:space="preserve"> (for the specific purpose of parsing a site’s </w:t>
      </w:r>
      <w:r>
        <w:rPr>
          <w:rStyle w:val="Text4"/>
        </w:rPr>
        <w:t>robots.txt</w:t>
      </w:r>
      <w:r>
        <w:t xml:space="preserve"> file as per </w:t>
      </w:r>
      <w:hyperlink r:id="rId545">
        <w:r>
          <w:rPr>
            <w:rStyle w:val="Text1"/>
          </w:rPr>
          <w:t>RFC 9309</w:t>
        </w:r>
      </w:hyperlink>
      <w:r>
        <w:t xml:space="preserve">) and the module </w:t>
      </w:r>
      <w:r>
        <w:rPr>
          <w:rStyle w:val="Text0"/>
        </w:rPr>
        <w:t>urllib.error</w:t>
      </w:r>
      <w:r>
        <w:t xml:space="preserve">, containing all exception types raised by other </w:t>
      </w:r>
      <w:r>
        <w:rPr>
          <w:rStyle w:val="Text0"/>
        </w:rPr>
        <w:t>urllib</w:t>
      </w:r>
      <w:r>
        <w:t xml:space="preserve"> modules.</w:t>
      </w:r>
    </w:p>
    <w:p>
      <w:bookmarkStart w:id="4086" w:name="The_urllib_parse_module__The_url"/>
      <w:pPr>
        <w:keepNext/>
        <w:pStyle w:val="Heading 2"/>
      </w:pPr>
      <w:r>
        <w:t>The urllib.parse module</w:t>
      </w:r>
      <w:bookmarkEnd w:id="4086"/>
    </w:p>
    <w:p>
      <w:pPr>
        <w:pStyle w:val="Normal"/>
      </w:pPr>
      <w:r>
        <w:t xml:space="preserve">The </w:t>
      </w:r>
      <w:r>
        <w:rPr>
          <w:rStyle w:val="Text0"/>
        </w:rPr>
        <w:t>urllib.parse</w:t>
      </w:r>
      <w:r>
        <w:t xml:space="preserve"> module supplies functions for analyzing and synthesizing URL strings, and is typically imported with </w:t>
      </w:r>
      <w:r>
        <w:rPr>
          <w:rStyle w:val="Text5"/>
        </w:rPr>
        <w:t>from</w:t>
      </w:r>
      <w:r>
        <w:t xml:space="preserve"> </w:t>
      </w:r>
      <w:r>
        <w:rPr>
          <w:rStyle w:val="Text0"/>
        </w:rPr>
        <w:t>urllib</w:t>
      </w:r>
      <w:r>
        <w:t xml:space="preserve"> </w:t>
      </w:r>
      <w:r>
        <w:rPr>
          <w:rStyle w:val="Text5"/>
        </w:rPr>
        <w:t>import</w:t>
      </w:r>
      <w:r>
        <w:t xml:space="preserve"> </w:t>
      </w:r>
      <w:r>
        <w:rPr>
          <w:rStyle w:val="Text0"/>
        </w:rPr>
        <w:t>parse</w:t>
      </w:r>
      <w:r>
        <w:t xml:space="preserve"> </w:t>
      </w:r>
      <w:r>
        <w:rPr>
          <w:rStyle w:val="Text5"/>
        </w:rPr>
        <w:t>as</w:t>
      </w:r>
      <w:r>
        <w:t xml:space="preserve"> </w:t>
      </w:r>
      <w:r>
        <w:rPr>
          <w:rStyle w:val="Text0"/>
        </w:rPr>
        <w:t>urlparse</w:t>
      </w:r>
      <w:r>
        <w:t xml:space="preserve">. Its most frequently used functions are listed in </w:t>
      </w:r>
      <w:hyperlink w:anchor="Table_19_3__Useful_functions_of">
        <w:r>
          <w:rPr>
            <w:rStyle w:val="Text1"/>
          </w:rPr>
          <w:t>Table 19-3</w:t>
        </w:r>
      </w:hyperlink>
      <w:r>
        <w:t>.</w:t>
      </w:r>
    </w:p>
    <w:tbl>
      <w:tblPr>
        <w:tblW w:type="auto" w:w="0"/>
      </w:tblPr>
      <w:tr>
        <w:tc>
          <w:tcPr>
            <w:tcW w:type="auto" w:w="0"/>
            <w:tcMar>
              <w:left w:type="dxa" w:w="200"/>
              <w:top w:type="dxa" w:w="200"/>
              <w:right w:type="dxa" w:w="200"/>
              <w:bottom w:type="dxa" w:w="200"/>
            </w:tcMar>
          </w:tcPr>
          <w:p>
            <w:bookmarkStart w:id="4087" w:name="Table_19_3__Useful_functions_of"/>
            <w:pPr>
              <w:pStyle w:val="Para 011"/>
            </w:pPr>
            <w:r>
              <w:rPr>
                <w:rStyle w:val="Text117"/>
              </w:rPr>
              <w:t/>
            </w:r>
            <w:r>
              <w:t xml:space="preserve">Table 19-3. </w:t>
              <w:t xml:space="preserve">Useful functions of the </w:t>
            </w:r>
            <w:r>
              <w:rPr>
                <w:rStyle w:val="Text0"/>
              </w:rPr>
              <w:t>urllib.parse</w:t>
            </w:r>
            <w:r>
              <w:t xml:space="preserve"> module</w:t>
            </w:r>
            <w:bookmarkEnd w:id="4087"/>
          </w:p>
          <w:p>
            <w:pPr>
              <w:pStyle w:val="Para 001"/>
            </w:pPr>
            <w:r>
              <w:t>urljoin</w:t>
            </w:r>
          </w:p>
        </w:tc>
        <w:tc>
          <w:tcPr>
            <w:tcW w:type="auto" w:w="0"/>
            <w:tcMar>
              <w:left w:type="dxa" w:w="200"/>
              <w:top w:type="dxa" w:w="200"/>
              <w:right w:type="dxa" w:w="200"/>
              <w:bottom w:type="dxa" w:w="200"/>
            </w:tcMar>
          </w:tcPr>
          <w:p>
            <w:pPr>
              <w:pStyle w:val="Para 002"/>
            </w:pPr>
            <w:r>
              <w:rPr>
                <w:rStyle w:val="Text0"/>
              </w:rPr>
              <w:t>urljoin(</w:t>
            </w:r>
            <w:r>
              <w:rPr>
                <w:rStyle w:val="Text3"/>
              </w:rPr>
              <w:t>base_url_string</w:t>
            </w:r>
            <w:r>
              <w:rPr>
                <w:rStyle w:val="Text0"/>
              </w:rPr>
              <w:t>,</w:t>
            </w:r>
            <w:r>
              <w:t xml:space="preserve"> </w:t>
            </w:r>
            <w:r>
              <w:rPr>
                <w:rStyle w:val="Text3"/>
              </w:rPr>
              <w:t>relative_url_string</w:t>
            </w:r>
            <w:r>
              <w:rPr>
                <w:rStyle w:val="Text0"/>
              </w:rPr>
              <w:t>)</w:t>
              <w:br w:clear="none"/>
            </w:r>
            <w:r>
              <w:t xml:space="preserve"> Returns</w:t>
            </w:r>
            <w:r>
              <w:rPr>
                <w:rStyle w:val="Text111"/>
              </w:rPr>
              <w:bookmarkStart w:id="4088" w:name="idm45965175709568"/>
              <w:t/>
              <w:bookmarkEnd w:id="4088"/>
            </w:r>
            <w:r>
              <w:t xml:space="preserve"> a URL string </w:t>
            </w:r>
            <w:r>
              <w:rPr>
                <w:rStyle w:val="Text3"/>
              </w:rPr>
              <w:t>u</w:t>
            </w:r>
            <w:r>
              <w:t xml:space="preserve">, obtained by joining </w:t>
            </w:r>
            <w:r>
              <w:rPr>
                <w:rStyle w:val="Text3"/>
              </w:rPr>
              <w:t>relative_url_string</w:t>
            </w:r>
            <w:r>
              <w:t xml:space="preserve">, which may be relative, with </w:t>
            </w:r>
            <w:r>
              <w:rPr>
                <w:rStyle w:val="Text3"/>
              </w:rPr>
              <w:t>base_url_string</w:t>
            </w:r>
            <w:r>
              <w:t xml:space="preserve">. The joining procedure that </w:t>
            </w:r>
            <w:r>
              <w:rPr>
                <w:rStyle w:val="Text0"/>
              </w:rPr>
              <w:t>urljoin</w:t>
            </w:r>
            <w:r>
              <w:t xml:space="preserve"> performs to obtain its result may be summarized as follows: </w:t>
            </w:r>
          </w:p>
          <w:p>
            <w:pPr>
              <w:pStyle w:val="Para 003"/>
            </w:pPr>
            <w:r>
              <w:t xml:space="preserve">When either of the argument strings is empty, </w:t>
            </w:r>
            <w:r>
              <w:rPr>
                <w:rStyle w:val="Text3"/>
              </w:rPr>
              <w:t>u</w:t>
            </w:r>
            <w:r>
              <w:t xml:space="preserve"> is the other argument.</w:t>
            </w:r>
          </w:p>
          <w:p>
            <w:pPr>
              <w:pStyle w:val="Para 003"/>
            </w:pPr>
            <w:r>
              <w:t xml:space="preserve">When </w:t>
            </w:r>
            <w:r>
              <w:rPr>
                <w:rStyle w:val="Text3"/>
              </w:rPr>
              <w:t>relative_url_string</w:t>
            </w:r>
            <w:r>
              <w:t xml:space="preserve"> explicitly specifies a scheme that is different from that of </w:t>
            </w:r>
            <w:r>
              <w:rPr>
                <w:rStyle w:val="Text3"/>
              </w:rPr>
              <w:t>base_url_string</w:t>
            </w:r>
            <w:r>
              <w:rPr>
                <w:rStyle w:val="Text4"/>
              </w:rPr>
              <w:t>,</w:t>
            </w:r>
            <w:r>
              <w:t xml:space="preserve"> </w:t>
            </w:r>
            <w:r>
              <w:rPr>
                <w:rStyle w:val="Text3"/>
              </w:rPr>
              <w:t>u</w:t>
            </w:r>
            <w:r>
              <w:t xml:space="preserve"> is </w:t>
            </w:r>
            <w:r>
              <w:rPr>
                <w:rStyle w:val="Text3"/>
              </w:rPr>
              <w:t>relative_url_string</w:t>
            </w:r>
            <w:r>
              <w:t xml:space="preserve">. Otherwise, </w:t>
            </w:r>
            <w:r>
              <w:rPr>
                <w:rStyle w:val="Text3"/>
              </w:rPr>
              <w:t>u</w:t>
            </w:r>
            <w:r>
              <w:t xml:space="preserve">’s scheme is that of </w:t>
            </w:r>
            <w:r>
              <w:rPr>
                <w:rStyle w:val="Text3"/>
              </w:rPr>
              <w:t>base_url_string</w:t>
            </w:r>
            <w:r>
              <w:t>.</w:t>
            </w:r>
          </w:p>
          <w:p>
            <w:pPr>
              <w:pStyle w:val="Para 003"/>
            </w:pPr>
            <w:r>
              <w:t xml:space="preserve">When the scheme does not allow relative URLs (e.g., </w:t>
            </w:r>
            <w:r>
              <w:rPr>
                <w:rStyle w:val="Text0"/>
              </w:rPr>
              <w:t>mailto</w:t>
            </w:r>
            <w:r>
              <w:t xml:space="preserve">), or when </w:t>
            </w:r>
            <w:r>
              <w:rPr>
                <w:rStyle w:val="Text3"/>
              </w:rPr>
              <w:t>relative_url_string</w:t>
            </w:r>
            <w:r>
              <w:t xml:space="preserve"> explicitly specifies a location (even when it is the same as the location of </w:t>
            </w:r>
            <w:r>
              <w:rPr>
                <w:rStyle w:val="Text3"/>
              </w:rPr>
              <w:t>base_url_string</w:t>
            </w:r>
            <w:r>
              <w:t xml:space="preserve">), all other components of </w:t>
            </w:r>
            <w:r>
              <w:rPr>
                <w:rStyle w:val="Text3"/>
              </w:rPr>
              <w:t>u</w:t>
            </w:r>
            <w:r>
              <w:t xml:space="preserve"> are those of </w:t>
            </w:r>
            <w:r>
              <w:rPr>
                <w:rStyle w:val="Text3"/>
              </w:rPr>
              <w:t>relative_url_string</w:t>
            </w:r>
            <w:r>
              <w:t xml:space="preserve">. Otherwise, </w:t>
            </w:r>
            <w:r>
              <w:rPr>
                <w:rStyle w:val="Text3"/>
              </w:rPr>
              <w:t>u</w:t>
            </w:r>
            <w:r>
              <w:t xml:space="preserve">’s location is that of </w:t>
            </w:r>
            <w:r>
              <w:rPr>
                <w:rStyle w:val="Text3"/>
              </w:rPr>
              <w:t>base_url_string</w:t>
            </w:r>
            <w:r>
              <w:t>.</w:t>
            </w:r>
          </w:p>
          <w:p>
            <w:pPr>
              <w:pStyle w:val="Para 003"/>
            </w:pPr>
            <w:r>
              <w:rPr>
                <w:rStyle w:val="Text3"/>
              </w:rPr>
              <w:t>u</w:t>
            </w:r>
            <w:r>
              <w:t xml:space="preserve">’s path is obtained by joining the paths of </w:t>
            </w:r>
            <w:r>
              <w:rPr>
                <w:rStyle w:val="Text3"/>
              </w:rPr>
              <w:t>base_url_string</w:t>
            </w:r>
            <w:r>
              <w:t xml:space="preserve"> and </w:t>
            </w:r>
            <w:r>
              <w:rPr>
                <w:rStyle w:val="Text3"/>
              </w:rPr>
              <w:t>relative_url_string</w:t>
            </w:r>
            <w:r>
              <w:t xml:space="preserve"> according to standard syntax for absolute and relative URL paths.</w:t>
            </w:r>
            <w:hyperlink w:anchor="a_Per_RFC_1808">
              <w:r>
                <w:rPr>
                  <w:rStyle w:val="Text41"/>
                </w:rPr>
                <w:bookmarkStart w:id="4089" w:name="a_20"/>
                <w:t>a</w:t>
                <w:bookmarkEnd w:id="4089"/>
              </w:r>
            </w:hyperlink>
            <w:r>
              <w:t xml:space="preserve"> For example:</w:t>
            </w:r>
          </w:p>
          <w:p>
            <w:pPr>
              <w:pStyle w:val="Para 044"/>
            </w:pPr>
            <w:r>
              <w:rPr>
                <w:rStyle w:val="Text23"/>
              </w:rPr>
              <w:t xml:space="preserve"/>
              <w:br w:clear="none"/>
            </w:r>
            <w:r>
              <w:rPr>
                <w:rStyle w:val="Text9"/>
              </w:rPr>
              <w:t xml:space="preserve">urlparse</w:t>
              <w:br w:clear="none"/>
            </w:r>
            <w:r>
              <w:rPr>
                <w:rStyle w:val="Text13"/>
              </w:rPr>
              <w:t xml:space="preserve">.</w:t>
              <w:br w:clear="none"/>
            </w:r>
            <w:r>
              <w:rPr>
                <w:rStyle w:val="Text9"/>
              </w:rPr>
              <w:t xml:space="preserve">urljoin</w:t>
              <w:br w:clear="none"/>
            </w:r>
            <w:r>
              <w:rPr>
                <w:rStyle w:val="Text7"/>
              </w:rPr>
              <w:t xml:space="preserve">(</w:t>
              <w:br w:clear="none"/>
            </w:r>
            <w:r>
              <w:rPr>
                <w:rStyle w:val="Text6"/>
              </w:rPr>
              <w:t xml:space="preserve"/>
              <w:br w:clear="none"/>
              <w:t xml:space="preserve">  </w:t>
              <w:br w:clear="none"/>
            </w:r>
            <w:r>
              <w:t xml:space="preserve">'</w:t>
              <w:br w:clear="none"/>
              <w:t xml:space="preserve">http://host.com/some/path/here</w:t>
              <w:br w:clear="none"/>
              <w:t xml:space="preserve">'</w:t>
              <w:br w:clear="none"/>
            </w:r>
            <w:r>
              <w:rPr>
                <w:rStyle w:val="Text7"/>
              </w:rPr>
              <w:t xml:space="preserve">,</w:t>
              <w:br w:clear="none"/>
            </w:r>
            <w:r>
              <w:t xml:space="preserve">'</w:t>
              <w:br w:clear="none"/>
              <w:t xml:space="preserve">../other/path</w:t>
              <w:br w:clear="none"/>
              <w:t xml:space="preserve">'</w:t>
              <w:br w:clear="none"/>
            </w:r>
            <w:r>
              <w:rPr>
                <w:rStyle w:val="Text7"/>
              </w:rPr>
              <w:t xml:space="preserve">)</w:t>
              <w:br w:clear="none"/>
            </w:r>
            <w:r>
              <w:rPr>
                <w:rStyle w:val="Text6"/>
              </w:rPr>
              <w:t xml:space="preserve"/>
              <w:br w:clear="none"/>
            </w:r>
            <w:r>
              <w:rPr>
                <w:rStyle w:val="Text15"/>
              </w:rPr>
              <w:t xml:space="preserve"># Result is: 'http://host.com/some/other/path'</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urlsplit</w:t>
            </w:r>
          </w:p>
        </w:tc>
        <w:tc>
          <w:tcPr>
            <w:tcW w:type="auto" w:w="0"/>
            <w:shd w:val="clear" w:color="auto" w:fill="EEF2F6"/>
            <w:tcMar>
              <w:left w:type="dxa" w:w="200"/>
              <w:top w:type="dxa" w:w="200"/>
              <w:right w:type="dxa" w:w="200"/>
              <w:bottom w:type="dxa" w:w="200"/>
            </w:tcMar>
          </w:tcPr>
          <w:p>
            <w:pPr>
              <w:pStyle w:val="Para 002"/>
            </w:pPr>
            <w:r>
              <w:rPr>
                <w:rStyle w:val="Text0"/>
              </w:rPr>
              <w:t>urlsplit(</w:t>
            </w:r>
            <w:r>
              <w:rPr>
                <w:rStyle w:val="Text3"/>
              </w:rPr>
              <w:t>url_string</w:t>
            </w:r>
            <w:r>
              <w:rPr>
                <w:rStyle w:val="Text0"/>
              </w:rPr>
              <w:t>, default_scheme='', allow_fragments=</w:t>
            </w:r>
            <w:r>
              <w:rPr>
                <w:rStyle w:val="Text5"/>
              </w:rPr>
              <w:t>True</w:t>
            </w:r>
            <w:r>
              <w:rPr>
                <w:rStyle w:val="Text0"/>
              </w:rPr>
              <w:t>)</w:t>
              <w:br w:clear="none"/>
            </w:r>
            <w:r>
              <w:t xml:space="preserve"> Analyzes</w:t>
            </w:r>
            <w:r>
              <w:rPr>
                <w:rStyle w:val="Text111"/>
              </w:rPr>
              <w:bookmarkStart w:id="4090" w:name="idm45965175668864"/>
              <w:t/>
              <w:bookmarkEnd w:id="4090"/>
            </w:r>
            <w:r>
              <w:t xml:space="preserve"> </w:t>
            </w:r>
            <w:r>
              <w:rPr>
                <w:rStyle w:val="Text3"/>
              </w:rPr>
              <w:t>url_string</w:t>
            </w:r>
            <w:r>
              <w:t xml:space="preserve"> and returns a tuple (actually an instance of </w:t>
            </w:r>
            <w:r>
              <w:rPr>
                <w:rStyle w:val="Text0"/>
              </w:rPr>
              <w:t>SplitResult</w:t>
            </w:r>
            <w:r>
              <w:t xml:space="preserve">, which you can treat as a tuple or use with named attributes) with five string items: </w:t>
            </w:r>
            <w:r>
              <w:rPr>
                <w:rStyle w:val="Text3"/>
              </w:rPr>
              <w:t>scheme</w:t>
            </w:r>
            <w:r>
              <w:t xml:space="preserve">, </w:t>
            </w:r>
            <w:r>
              <w:rPr>
                <w:rStyle w:val="Text3"/>
              </w:rPr>
              <w:t>netloc</w:t>
            </w:r>
            <w:r>
              <w:t xml:space="preserve">, </w:t>
            </w:r>
            <w:r>
              <w:rPr>
                <w:rStyle w:val="Text3"/>
              </w:rPr>
              <w:t>path</w:t>
            </w:r>
            <w:r>
              <w:t xml:space="preserve">, </w:t>
            </w:r>
            <w:r>
              <w:rPr>
                <w:rStyle w:val="Text3"/>
              </w:rPr>
              <w:t>query</w:t>
            </w:r>
            <w:r>
              <w:t xml:space="preserve">, and </w:t>
            </w:r>
            <w:r>
              <w:rPr>
                <w:rStyle w:val="Text3"/>
              </w:rPr>
              <w:t>fragment</w:t>
            </w:r>
            <w:r>
              <w:rPr>
                <w:rStyle w:val="Text4"/>
              </w:rPr>
              <w:t>.</w:t>
            </w:r>
            <w:r>
              <w:t xml:space="preserve"> </w:t>
            </w:r>
            <w:r>
              <w:rPr>
                <w:rStyle w:val="Text3"/>
              </w:rPr>
              <w:t>default_scheme</w:t>
            </w:r>
            <w:r>
              <w:t xml:space="preserve"> is the first item when the </w:t>
            </w:r>
            <w:r>
              <w:rPr>
                <w:rStyle w:val="Text3"/>
              </w:rPr>
              <w:t>url_string</w:t>
            </w:r>
            <w:r>
              <w:t xml:space="preserve"> lacks an explicit scheme. When </w:t>
            </w:r>
            <w:r>
              <w:rPr>
                <w:rStyle w:val="Text0"/>
              </w:rPr>
              <w:t>allow_fragments</w:t>
            </w:r>
            <w:r>
              <w:t xml:space="preserve"> is </w:t>
            </w:r>
            <w:r>
              <w:rPr>
                <w:rStyle w:val="Text5"/>
              </w:rPr>
              <w:t>False</w:t>
            </w:r>
            <w:r>
              <w:t xml:space="preserve">, the tuple’s last item is always </w:t>
            </w:r>
            <w:r>
              <w:rPr>
                <w:rStyle w:val="Text0"/>
              </w:rPr>
              <w:t>''</w:t>
            </w:r>
            <w:r>
              <w:t xml:space="preserve">, whether or not </w:t>
            </w:r>
            <w:r>
              <w:rPr>
                <w:rStyle w:val="Text3"/>
              </w:rPr>
              <w:t>url_string</w:t>
            </w:r>
            <w:r>
              <w:t xml:space="preserve"> has a fragment. Items corresponding to missing parts are also </w:t>
            </w:r>
            <w:r>
              <w:rPr>
                <w:rStyle w:val="Text0"/>
              </w:rPr>
              <w:t>''</w:t>
            </w:r>
            <w:r>
              <w:t xml:space="preserve">. For example: </w:t>
            </w:r>
          </w:p>
          <w:p>
            <w:pPr>
              <w:pStyle w:val="Para 058"/>
            </w:pPr>
            <w:r>
              <w:rPr>
                <w:rStyle w:val="Text116"/>
              </w:rPr>
              <w:t xml:space="preserve"/>
              <w:br w:clear="none"/>
            </w:r>
            <w:r>
              <w:rPr>
                <w:rStyle w:val="Text14"/>
              </w:rPr>
              <w:t xml:space="preserve">urlparse</w:t>
              <w:br w:clear="none"/>
            </w:r>
            <w:r>
              <w:rPr>
                <w:rStyle w:val="Text28"/>
              </w:rPr>
              <w:t xml:space="preserve">.</w:t>
              <w:br w:clear="none"/>
            </w:r>
            <w:r>
              <w:rPr>
                <w:rStyle w:val="Text14"/>
              </w:rPr>
              <w:t xml:space="preserve">urlsplit</w:t>
              <w:br w:clear="none"/>
            </w:r>
            <w:r>
              <w:rPr>
                <w:rStyle w:val="Text19"/>
              </w:rPr>
              <w:t xml:space="preserve">(</w:t>
              <w:br w:clear="none"/>
            </w:r>
            <w:r>
              <w:rPr>
                <w:rStyle w:val="Text11"/>
              </w:rPr>
              <w:t xml:space="preserve"/>
              <w:br w:clear="none"/>
              <w:t xml:space="preserve">  </w:t>
              <w:br w:clear="none"/>
            </w:r>
            <w:r>
              <w:rPr>
                <w:rStyle w:val="Text17"/>
              </w:rPr>
              <w:t xml:space="preserve">'</w:t>
              <w:br w:clear="none"/>
              <w:t xml:space="preserve">http://www.python.org:80/faq.cgi?src=file</w:t>
              <w:br w:clear="none"/>
              <w:t xml:space="preserve">'</w:t>
              <w:br w:clear="none"/>
            </w:r>
            <w:r>
              <w:rPr>
                <w:rStyle w:val="Text19"/>
              </w:rPr>
              <w:t xml:space="preserve">)</w:t>
              <w:br w:clear="none"/>
            </w:r>
            <w:r>
              <w:rPr>
                <w:rStyle w:val="Text11"/>
              </w:rPr>
              <w:t xml:space="preserve"/>
              <w:br w:clear="none"/>
            </w:r>
            <w:r>
              <w:t xml:space="preserve"># Result is:</w:t>
              <w:br w:clear="none"/>
            </w:r>
            <w:r>
              <w:rPr>
                <w:rStyle w:val="Text11"/>
              </w:rPr>
              <w:t xml:space="preserve"/>
              <w:br w:clear="none"/>
            </w:r>
            <w:r>
              <w:t xml:space="preserve"># 'http','www.python.org:80','/faq.cgi','src=file',''</w:t>
              <w:br w:clear="none"/>
            </w:r>
          </w:p>
        </w:tc>
      </w:tr>
    </w:tbl>
    <w:tbl>
      <w:tblPr>
        <w:tblW w:type="auto" w:w="0"/>
      </w:tblPr>
      <w:tr>
        <w:tc>
          <w:tcPr>
            <w:tcW w:type="auto" w:w="0"/>
            <w:tcMar>
              <w:left w:type="dxa" w:w="200"/>
              <w:top w:type="dxa" w:w="200"/>
              <w:right w:type="dxa" w:w="200"/>
              <w:bottom w:type="dxa" w:w="200"/>
            </w:tcMar>
          </w:tcPr>
          <w:p>
            <w:pPr>
              <w:pStyle w:val="Para 001"/>
            </w:pPr>
            <w:r>
              <w:t>urlunsplit</w:t>
            </w:r>
          </w:p>
        </w:tc>
        <w:tc>
          <w:tcPr>
            <w:tcW w:type="auto" w:w="0"/>
            <w:tcMar>
              <w:left w:type="dxa" w:w="200"/>
              <w:top w:type="dxa" w:w="200"/>
              <w:right w:type="dxa" w:w="200"/>
              <w:bottom w:type="dxa" w:w="200"/>
            </w:tcMar>
          </w:tcPr>
          <w:p>
            <w:pPr>
              <w:pStyle w:val="Para 002"/>
            </w:pPr>
            <w:r>
              <w:rPr>
                <w:rStyle w:val="Text0"/>
              </w:rPr>
              <w:t>urlunsplit(</w:t>
            </w:r>
            <w:r>
              <w:rPr>
                <w:rStyle w:val="Text3"/>
              </w:rPr>
              <w:t>url_tuple</w:t>
            </w:r>
            <w:r>
              <w:rPr>
                <w:rStyle w:val="Text0"/>
              </w:rPr>
              <w:t>)</w:t>
              <w:br w:clear="none"/>
            </w:r>
            <w:r>
              <w:t xml:space="preserve"> </w:t>
            </w:r>
            <w:r>
              <w:rPr>
                <w:rStyle w:val="Text3"/>
              </w:rPr>
              <w:t>url_tuple</w:t>
            </w:r>
            <w:r>
              <w:t xml:space="preserve"> is</w:t>
            </w:r>
            <w:r>
              <w:rPr>
                <w:rStyle w:val="Text111"/>
              </w:rPr>
              <w:bookmarkStart w:id="4091" w:name="idm45965175618112"/>
              <w:t/>
              <w:bookmarkEnd w:id="4091"/>
            </w:r>
            <w:r>
              <w:t xml:space="preserve"> any iterable with exactly five items, all strings. Any return value from a </w:t>
            </w:r>
            <w:r>
              <w:rPr>
                <w:rStyle w:val="Text0"/>
              </w:rPr>
              <w:t>urlsplit</w:t>
            </w:r>
            <w:r>
              <w:t xml:space="preserve"> call is an acceptable argument for </w:t>
            </w:r>
            <w:r>
              <w:rPr>
                <w:rStyle w:val="Text0"/>
              </w:rPr>
              <w:t>urlunsplit</w:t>
            </w:r>
            <w:r>
              <w:t xml:space="preserve">. </w:t>
            </w:r>
            <w:r>
              <w:rPr>
                <w:rStyle w:val="Text0"/>
              </w:rPr>
              <w:t>urlunsplit</w:t>
            </w:r>
            <w:r>
              <w:t xml:space="preserve"> returns a URL string with the given components and the needed separators, but with no redundant separators (e.g., there is no </w:t>
            </w:r>
            <w:r>
              <w:rPr>
                <w:rStyle w:val="Text0"/>
              </w:rPr>
              <w:t>#</w:t>
            </w:r>
            <w:r>
              <w:t xml:space="preserve"> in the result when the fragment, </w:t>
            </w:r>
            <w:r>
              <w:rPr>
                <w:rStyle w:val="Text3"/>
              </w:rPr>
              <w:t>url_tuple</w:t>
            </w:r>
            <w:r>
              <w:t xml:space="preserve">’s last item, is </w:t>
            </w:r>
            <w:r>
              <w:rPr>
                <w:rStyle w:val="Text0"/>
              </w:rPr>
              <w:t>''</w:t>
            </w:r>
            <w:r>
              <w:t xml:space="preserve"> ). For example: </w:t>
            </w:r>
          </w:p>
          <w:p>
            <w:pPr>
              <w:pStyle w:val="Para 054"/>
            </w:pPr>
            <w:r>
              <w:rPr>
                <w:rStyle w:val="Text116"/>
              </w:rPr>
              <w:t xml:space="preserve"/>
              <w:br w:clear="none"/>
            </w:r>
            <w:r>
              <w:rPr>
                <w:rStyle w:val="Text14"/>
              </w:rPr>
              <w:t xml:space="preserve">urlparse</w:t>
              <w:br w:clear="none"/>
            </w:r>
            <w:r>
              <w:rPr>
                <w:rStyle w:val="Text28"/>
              </w:rPr>
              <w:t xml:space="preserve">.</w:t>
              <w:br w:clear="none"/>
            </w:r>
            <w:r>
              <w:rPr>
                <w:rStyle w:val="Text14"/>
              </w:rPr>
              <w:t xml:space="preserve">urlunsplit</w:t>
              <w:br w:clear="none"/>
            </w:r>
            <w:r>
              <w:rPr>
                <w:rStyle w:val="Text19"/>
              </w:rPr>
              <w:t xml:space="preserve">(</w:t>
              <w:br w:clear="none"/>
              <w:t xml:space="preserve">(</w:t>
              <w:br w:clear="none"/>
            </w:r>
            <w:r>
              <w:rPr>
                <w:rStyle w:val="Text11"/>
              </w:rPr>
              <w:t xml:space="preserve"/>
              <w:br w:clear="none"/>
              <w:t xml:space="preserve">  </w:t>
              <w:br w:clear="none"/>
            </w:r>
            <w:r>
              <w:rPr>
                <w:rStyle w:val="Text17"/>
              </w:rPr>
              <w:t xml:space="preserve">'</w:t>
              <w:br w:clear="none"/>
              <w:t xml:space="preserve">http</w:t>
              <w:br w:clear="none"/>
              <w:t xml:space="preserve">'</w:t>
              <w:br w:clear="none"/>
            </w:r>
            <w:r>
              <w:rPr>
                <w:rStyle w:val="Text19"/>
              </w:rPr>
              <w:t xml:space="preserve">,</w:t>
              <w:br w:clear="none"/>
            </w:r>
            <w:r>
              <w:rPr>
                <w:rStyle w:val="Text17"/>
              </w:rPr>
              <w:t xml:space="preserve">'</w:t>
              <w:br w:clear="none"/>
              <w:t xml:space="preserve">www.python.org</w:t>
              <w:br w:clear="none"/>
              <w:t xml:space="preserve">'</w:t>
              <w:br w:clear="none"/>
            </w:r>
            <w:r>
              <w:rPr>
                <w:rStyle w:val="Text19"/>
              </w:rPr>
              <w:t xml:space="preserve">,</w:t>
              <w:br w:clear="none"/>
            </w:r>
            <w:r>
              <w:rPr>
                <w:rStyle w:val="Text17"/>
              </w:rPr>
              <w:t xml:space="preserve">'</w:t>
              <w:br w:clear="none"/>
              <w:t xml:space="preserve">/faq.cgi</w:t>
              <w:br w:clear="none"/>
              <w:t xml:space="preserve">'</w:t>
              <w:br w:clear="none"/>
            </w:r>
            <w:r>
              <w:rPr>
                <w:rStyle w:val="Text19"/>
              </w:rPr>
              <w:t xml:space="preserve">,</w:t>
              <w:br w:clear="none"/>
            </w:r>
            <w:r>
              <w:rPr>
                <w:rStyle w:val="Text17"/>
              </w:rPr>
              <w:t xml:space="preserve">'</w:t>
              <w:br w:clear="none"/>
              <w:t xml:space="preserve">src=fie</w:t>
              <w:br w:clear="none"/>
              <w:t xml:space="preserve">'</w:t>
              <w:br w:clear="none"/>
            </w:r>
            <w:r>
              <w:rPr>
                <w:rStyle w:val="Text19"/>
              </w:rPr>
              <w:t xml:space="preserve">,</w:t>
              <w:br w:clear="none"/>
            </w:r>
            <w:r>
              <w:rPr>
                <w:rStyle w:val="Text17"/>
              </w:rPr>
              <w:t xml:space="preserve">'</w:t>
              <w:br w:clear="none"/>
              <w:t xml:space="preserve">'</w:t>
              <w:br w:clear="none"/>
            </w:r>
            <w:r>
              <w:rPr>
                <w:rStyle w:val="Text19"/>
              </w:rPr>
              <w:t xml:space="preserve">)</w:t>
              <w:br w:clear="none"/>
              <w:t xml:space="preserve">)</w:t>
              <w:br w:clear="none"/>
            </w:r>
            <w:r>
              <w:rPr>
                <w:rStyle w:val="Text11"/>
              </w:rPr>
              <w:t xml:space="preserve"/>
              <w:br w:clear="none"/>
            </w:r>
            <w:r>
              <w:t xml:space="preserve"># Result is: 'http://www.python.org/faq.cgi?src=fie'</w:t>
              <w:br w:clear="none"/>
            </w:r>
          </w:p>
          <w:p>
            <w:pPr>
              <w:pStyle w:val="Para 022"/>
            </w:pPr>
            <w:r>
              <w:rPr>
                <w:rStyle w:val="Text0"/>
              </w:rPr>
              <w:t>urlunsplit(urlsplit(</w:t>
            </w:r>
            <w:r>
              <w:rPr>
                <w:rStyle w:val="Text3"/>
              </w:rPr>
              <w:t>x</w:t>
            </w:r>
            <w:r>
              <w:rPr>
                <w:rStyle w:val="Text0"/>
              </w:rPr>
              <w:t>))</w:t>
            </w:r>
            <w:r>
              <w:t xml:space="preserve"> returns a normalized form of URL string </w:t>
            </w:r>
            <w:r>
              <w:rPr>
                <w:rStyle w:val="Text3"/>
              </w:rPr>
              <w:t>x</w:t>
            </w:r>
            <w:r>
              <w:t xml:space="preserve">, which is not necessarily equal to </w:t>
            </w:r>
            <w:r>
              <w:rPr>
                <w:rStyle w:val="Text3"/>
              </w:rPr>
              <w:t>x</w:t>
            </w:r>
            <w:r>
              <w:t xml:space="preserve"> because </w:t>
            </w:r>
            <w:r>
              <w:rPr>
                <w:rStyle w:val="Text3"/>
              </w:rPr>
              <w:t>x</w:t>
            </w:r>
            <w:r>
              <w:t xml:space="preserve"> need not be normalized. For example: </w:t>
            </w:r>
          </w:p>
          <w:p>
            <w:pPr>
              <w:pStyle w:val="Para 054"/>
            </w:pPr>
            <w:r>
              <w:rPr>
                <w:rStyle w:val="Text116"/>
              </w:rPr>
              <w:t xml:space="preserve"/>
              <w:br w:clear="none"/>
            </w:r>
            <w:r>
              <w:rPr>
                <w:rStyle w:val="Text14"/>
              </w:rPr>
              <w:t xml:space="preserve">urlparse</w:t>
              <w:br w:clear="none"/>
            </w:r>
            <w:r>
              <w:rPr>
                <w:rStyle w:val="Text28"/>
              </w:rPr>
              <w:t xml:space="preserve">.</w:t>
              <w:br w:clear="none"/>
            </w:r>
            <w:r>
              <w:rPr>
                <w:rStyle w:val="Text14"/>
              </w:rPr>
              <w:t xml:space="preserve">urlsplit</w:t>
              <w:br w:clear="none"/>
            </w:r>
            <w:r>
              <w:rPr>
                <w:rStyle w:val="Text19"/>
              </w:rPr>
              <w:t xml:space="preserve">(</w:t>
              <w:br w:clear="none"/>
            </w:r>
            <w:r>
              <w:rPr>
                <w:rStyle w:val="Text17"/>
              </w:rPr>
              <w:t xml:space="preserve">'</w:t>
              <w:br w:clear="none"/>
              <w:t xml:space="preserve">http://a.com/path/a?</w:t>
              <w:br w:clear="none"/>
              <w:t xml:space="preserve">'</w:t>
              <w:br w:clear="none"/>
            </w:r>
            <w:r>
              <w:rPr>
                <w:rStyle w:val="Text19"/>
              </w:rPr>
              <w:t xml:space="preserve">)</w:t>
              <w:br w:clear="none"/>
              <w:t xml:space="preserve">)</w:t>
              <w:br w:clear="none"/>
            </w:r>
            <w:r>
              <w:rPr>
                <w:rStyle w:val="Text11"/>
              </w:rPr>
              <w:t xml:space="preserve"/>
              <w:br w:clear="none"/>
            </w:r>
            <w:r>
              <w:t xml:space="preserve"># Result is: 'http://a.com/path/a'</w:t>
              <w:br w:clear="none"/>
            </w:r>
          </w:p>
          <w:p>
            <w:pPr>
              <w:pStyle w:val="Para 022"/>
            </w:pPr>
            <w:r>
              <w:t xml:space="preserve"> In this case, the normalization ensures that redundant separators, such as the trailing </w:t>
            </w:r>
            <w:r>
              <w:rPr>
                <w:rStyle w:val="Text0"/>
              </w:rPr>
              <w:t>?</w:t>
            </w:r>
            <w:r>
              <w:t xml:space="preserve"> in the argument to </w:t>
            </w:r>
            <w:r>
              <w:rPr>
                <w:rStyle w:val="Text0"/>
              </w:rPr>
              <w:t>urlsplit</w:t>
            </w:r>
            <w:r>
              <w:t>, are not present in the result.</w:t>
            </w:r>
          </w:p>
        </w:tc>
      </w:tr>
    </w:tbl>
    <w:tbl>
      <w:tblPr>
        <w:tblW w:type="auto" w:w="0"/>
      </w:tblPr>
      <w:tr>
        <w:tc>
          <w:tcPr>
            <w:tcW w:type="auto" w:w="0"/>
            <w:tcMar>
              <w:left w:type="dxa" w:w="200"/>
              <w:top w:type="dxa" w:w="200"/>
              <w:right w:type="dxa" w:w="200"/>
              <w:bottom w:type="dxa" w:w="200"/>
            </w:tcMar>
            <w:hMerge w:val="restart"/>
          </w:tcPr>
          <w:p>
            <w:bookmarkStart w:id="4092" w:name="a_Per_RFC_1808"/>
            <w:pPr>
              <w:pStyle w:val="Para 114"/>
            </w:pPr>
            <w:hyperlink w:anchor="a_20">
              <w:r>
                <w:t>a</w:t>
              </w:r>
            </w:hyperlink>
            <w:r>
              <w:rPr>
                <w:rStyle w:val="Text2"/>
              </w:rPr>
              <w:t xml:space="preserve"> Per </w:t>
            </w:r>
            <w:hyperlink r:id="rId546">
              <w:r>
                <w:t>RFC 1808</w:t>
              </w:r>
            </w:hyperlink>
            <w:r>
              <w:rPr>
                <w:rStyle w:val="Text2"/>
              </w:rPr>
              <w:t>.</w:t>
            </w:r>
            <w:bookmarkEnd w:id="4092"/>
          </w:p>
        </w:tc>
        <w:tc>
          <w:tcPr>
            <w:hMerge w:val="continue"/>
          </w:tcPr>
          <w:p/>
        </w:tc>
      </w:tr>
    </w:tbl>
    <w:p>
      <w:bookmarkStart w:id="4093" w:name="The_urllib_request_module__The_u"/>
      <w:pPr>
        <w:keepNext/>
        <w:pStyle w:val="Heading 2"/>
      </w:pPr>
      <w:r>
        <w:t>The urllib.request module</w:t>
      </w:r>
      <w:bookmarkEnd w:id="4093"/>
    </w:p>
    <w:p>
      <w:pPr>
        <w:pStyle w:val="Normal"/>
      </w:pPr>
      <w:r>
        <w:t xml:space="preserve">The </w:t>
      </w:r>
      <w:r>
        <w:rPr>
          <w:rStyle w:val="Text0"/>
        </w:rPr>
        <w:t>urllib.request</w:t>
      </w:r>
      <w:r>
        <w:t xml:space="preserve"> module supplies functions for accessing data resources over standard internet protocols, the most commonly used of which are listed in </w:t>
      </w:r>
      <w:hyperlink w:anchor="Table_19_4__Useful_functions_of">
        <w:r>
          <w:rPr>
            <w:rStyle w:val="Text1"/>
          </w:rPr>
          <w:t>Table 19-4</w:t>
        </w:r>
      </w:hyperlink>
      <w:r>
        <w:t>. (The examples in the table assume you’ve imported the module.)</w:t>
      </w:r>
    </w:p>
    <w:tbl>
      <w:tblPr>
        <w:tblW w:type="auto" w:w="0"/>
      </w:tblPr>
      <w:tr>
        <w:tc>
          <w:tcPr>
            <w:tcW w:type="pct" w:w="500"/>
            <w:tcMar>
              <w:left w:type="dxa" w:w="200"/>
              <w:top w:type="dxa" w:w="200"/>
              <w:right w:type="dxa" w:w="200"/>
              <w:bottom w:type="dxa" w:w="200"/>
            </w:tcMar>
          </w:tcPr>
          <w:p>
            <w:bookmarkStart w:id="4094" w:name="Table_19_4__Useful_functions_of"/>
            <w:pPr>
              <w:pStyle w:val="Para 011"/>
            </w:pPr>
            <w:r>
              <w:rPr>
                <w:rStyle w:val="Text117"/>
              </w:rPr>
              <w:t/>
            </w:r>
            <w:r>
              <w:t xml:space="preserve">Table 19-4. </w:t>
              <w:t xml:space="preserve">Useful functions of the </w:t>
            </w:r>
            <w:r>
              <w:rPr>
                <w:rStyle w:val="Text0"/>
              </w:rPr>
              <w:t>urllib.request</w:t>
            </w:r>
            <w:r>
              <w:t xml:space="preserve"> module</w:t>
            </w:r>
            <w:bookmarkEnd w:id="4094"/>
          </w:p>
          <w:p>
            <w:pPr>
              <w:pStyle w:val="Para 001"/>
            </w:pPr>
            <w:r>
              <w:t>urlopen</w:t>
            </w:r>
          </w:p>
        </w:tc>
        <w:tc>
          <w:tcPr>
            <w:tcW w:type="auto" w:w="0"/>
            <w:tcMar>
              <w:left w:type="dxa" w:w="200"/>
              <w:top w:type="dxa" w:w="200"/>
              <w:right w:type="dxa" w:w="200"/>
              <w:bottom w:type="dxa" w:w="200"/>
            </w:tcMar>
          </w:tcPr>
          <w:p>
            <w:pPr>
              <w:pStyle w:val="Para 002"/>
            </w:pPr>
            <w:r>
              <w:rPr>
                <w:rStyle w:val="Text0"/>
              </w:rPr>
              <w:t>urlopen(</w:t>
            </w:r>
            <w:r>
              <w:rPr>
                <w:rStyle w:val="Text3"/>
              </w:rPr>
              <w:t>url</w:t>
            </w:r>
            <w:r>
              <w:rPr>
                <w:rStyle w:val="Text0"/>
              </w:rPr>
              <w:t>, data=</w:t>
            </w:r>
            <w:r>
              <w:rPr>
                <w:rStyle w:val="Text5"/>
              </w:rPr>
              <w:t>None</w:t>
            </w:r>
            <w:r>
              <w:rPr>
                <w:rStyle w:val="Text3"/>
              </w:rPr>
              <w:t>,</w:t>
            </w:r>
            <w:r>
              <w:t xml:space="preserve"> </w:t>
            </w:r>
            <w:r>
              <w:rPr>
                <w:rStyle w:val="Text0"/>
              </w:rPr>
              <w:t>timeout</w:t>
            </w:r>
            <w:r>
              <w:rPr>
                <w:rStyle w:val="Text3"/>
              </w:rPr>
              <w:t>,</w:t>
            </w:r>
            <w:r>
              <w:t xml:space="preserve"> </w:t>
            </w:r>
            <w:r>
              <w:rPr>
                <w:rStyle w:val="Text0"/>
              </w:rPr>
              <w:t>context=</w:t>
            </w:r>
            <w:r>
              <w:rPr>
                <w:rStyle w:val="Text5"/>
              </w:rPr>
              <w:t>None</w:t>
            </w:r>
            <w:r>
              <w:rPr>
                <w:rStyle w:val="Text0"/>
              </w:rPr>
              <w:t>)</w:t>
              <w:br w:clear="none"/>
            </w:r>
            <w:r>
              <w:t xml:space="preserve"> Returns</w:t>
            </w:r>
            <w:r>
              <w:rPr>
                <w:rStyle w:val="Text111"/>
              </w:rPr>
              <w:bookmarkStart w:id="4095" w:name="idm45965175492960"/>
              <w:t/>
              <w:bookmarkEnd w:id="4095"/>
            </w:r>
            <w:r>
              <w:t xml:space="preserve"> a response object whose type depends on the scheme in </w:t>
            </w:r>
            <w:r>
              <w:rPr>
                <w:rStyle w:val="Text3"/>
              </w:rPr>
              <w:t>url</w:t>
            </w:r>
            <w:r>
              <w:t xml:space="preserve">: </w:t>
            </w:r>
          </w:p>
          <w:p>
            <w:pPr>
              <w:pStyle w:val="Para 003"/>
            </w:pPr>
            <w:r>
              <w:t xml:space="preserve">HTTP and HTTPS URLs return an </w:t>
            </w:r>
            <w:r>
              <w:rPr>
                <w:rStyle w:val="Text0"/>
              </w:rPr>
              <w:t>http.client.HTTPResponse</w:t>
            </w:r>
            <w:r>
              <w:t xml:space="preserve"> object (with the </w:t>
            </w:r>
            <w:r>
              <w:rPr>
                <w:rStyle w:val="Text0"/>
              </w:rPr>
              <w:t>msg</w:t>
            </w:r>
            <w:r>
              <w:t xml:space="preserve"> attribute modified to contain the same data as the </w:t>
            </w:r>
            <w:r>
              <w:rPr>
                <w:rStyle w:val="Text0"/>
              </w:rPr>
              <w:t>reason</w:t>
            </w:r>
            <w:r>
              <w:t xml:space="preserve"> attribute; for details, see the </w:t>
            </w:r>
            <w:hyperlink r:id="rId547">
              <w:r>
                <w:rPr>
                  <w:rStyle w:val="Text1"/>
                </w:rPr>
                <w:t>online docs</w:t>
              </w:r>
            </w:hyperlink>
            <w:r>
              <w:t xml:space="preserve">). Your code can use this object like an iterable, and as a context manager in a </w:t>
            </w:r>
            <w:r>
              <w:rPr>
                <w:rStyle w:val="Text5"/>
              </w:rPr>
              <w:t>with</w:t>
            </w:r>
            <w:r>
              <w:t xml:space="preserve"> statement.</w:t>
            </w:r>
          </w:p>
          <w:p>
            <w:pPr>
              <w:pStyle w:val="Para 003"/>
            </w:pPr>
            <w:r>
              <w:t xml:space="preserve">FTP, file, and data URLs return a </w:t>
            </w:r>
            <w:r>
              <w:rPr>
                <w:rStyle w:val="Text0"/>
              </w:rPr>
              <w:t>urllib.response.addinfourl</w:t>
            </w:r>
            <w:r>
              <w:t xml:space="preserve"> object.</w:t>
              <w:br w:clear="none"/>
              <w:t xml:space="preserve"> </w:t>
            </w:r>
            <w:r>
              <w:rPr>
                <w:rStyle w:val="Text3"/>
              </w:rPr>
              <w:t>url</w:t>
            </w:r>
            <w:r>
              <w:t xml:space="preserve"> is the string or </w:t>
            </w:r>
            <w:r>
              <w:rPr>
                <w:rStyle w:val="Text0"/>
              </w:rPr>
              <w:t>urllib.request.Request</w:t>
            </w:r>
            <w:r>
              <w:t xml:space="preserve"> object for the URL to open. </w:t>
            </w:r>
            <w:r>
              <w:rPr>
                <w:rStyle w:val="Text3"/>
              </w:rPr>
              <w:t>data</w:t>
            </w:r>
            <w:r>
              <w:t xml:space="preserve"> is an optional </w:t>
            </w:r>
            <w:r>
              <w:rPr>
                <w:rStyle w:val="Text0"/>
              </w:rPr>
              <w:t>bytes</w:t>
            </w:r>
            <w:r>
              <w:t xml:space="preserve"> object, file-like object, or iterable of bytes, encoding additional data to send to the URL following </w:t>
            </w:r>
            <w:r>
              <w:rPr>
                <w:rStyle w:val="Text3"/>
              </w:rPr>
              <w:t>application/x-www-form-urlencoded</w:t>
            </w:r>
            <w:r>
              <w:t xml:space="preserve"> format. </w:t>
            </w:r>
            <w:r>
              <w:rPr>
                <w:rStyle w:val="Text3"/>
              </w:rPr>
              <w:t>timeout</w:t>
            </w:r>
            <w:r>
              <w:t xml:space="preserve"> is an optional argument for specifying, in seconds, a timeout for blocking operations of the URL opening process, applicable only for HTTP, HTTPS, and FTP URLs. When </w:t>
            </w:r>
            <w:r>
              <w:rPr>
                <w:rStyle w:val="Text3"/>
              </w:rPr>
              <w:t>context</w:t>
            </w:r>
            <w:r>
              <w:t xml:space="preserve"> is given, it must contain an </w:t>
            </w:r>
            <w:r>
              <w:rPr>
                <w:rStyle w:val="Text0"/>
              </w:rPr>
              <w:t>ssl.SSLContext</w:t>
            </w:r>
            <w:r>
              <w:t xml:space="preserve"> object specifying SSL options; </w:t>
            </w:r>
            <w:r>
              <w:rPr>
                <w:rStyle w:val="Text3"/>
              </w:rPr>
              <w:t>context</w:t>
            </w:r>
            <w:r>
              <w:t xml:space="preserve"> replaces the deprecated </w:t>
            </w:r>
            <w:r>
              <w:rPr>
                <w:rStyle w:val="Text3"/>
              </w:rPr>
              <w:t>cafile</w:t>
            </w:r>
            <w:r>
              <w:t xml:space="preserve">, </w:t>
            </w:r>
            <w:r>
              <w:rPr>
                <w:rStyle w:val="Text3"/>
              </w:rPr>
              <w:t>capath</w:t>
            </w:r>
            <w:r>
              <w:t xml:space="preserve">, and </w:t>
            </w:r>
            <w:r>
              <w:rPr>
                <w:rStyle w:val="Text3"/>
              </w:rPr>
              <w:t>cadefault</w:t>
            </w:r>
            <w:r>
              <w:t xml:space="preserve"> arguments. The following example downloads a file from an HTTPS URL and extracts it into a local </w:t>
            </w:r>
            <w:r>
              <w:rPr>
                <w:rStyle w:val="Text0"/>
              </w:rPr>
              <w:t>bytes</w:t>
            </w:r>
            <w:r>
              <w:t xml:space="preserve"> object, </w:t>
            </w:r>
            <w:r>
              <w:rPr>
                <w:rStyle w:val="Text0"/>
              </w:rPr>
              <w:t>unicode_db</w:t>
            </w:r>
            <w:r>
              <w:t>:</w:t>
            </w:r>
          </w:p>
          <w:p>
            <w:pPr>
              <w:pStyle w:val="Para 025"/>
            </w:pPr>
            <w:r>
              <w:rPr>
                <w:rStyle w:val="Text23"/>
              </w:rPr>
              <w:t xml:space="preserve"/>
              <w:br w:clear="none"/>
            </w:r>
            <w:r>
              <w:t xml:space="preserve">unicode_url</w:t>
              <w:br w:clear="none"/>
            </w:r>
            <w:r>
              <w:rPr>
                <w:rStyle w:val="Text6"/>
              </w:rPr>
              <w:t xml:space="preserve"> </w:t>
              <w:br w:clear="none"/>
            </w:r>
            <w:r>
              <w:rPr>
                <w:rStyle w:val="Text13"/>
              </w:rPr>
              <w:t xml:space="preserve">=</w:t>
              <w:br w:clear="none"/>
            </w:r>
            <w:r>
              <w:rPr>
                <w:rStyle w:val="Text6"/>
              </w:rPr>
              <w:t xml:space="preserve"> </w:t>
              <w:br w:clear="none"/>
            </w:r>
            <w:r>
              <w:rPr>
                <w:rStyle w:val="Text7"/>
              </w:rPr>
              <w:t xml:space="preserve">(</w:t>
              <w:br w:clear="none"/>
            </w:r>
            <w:r>
              <w:rPr>
                <w:rStyle w:val="Text8"/>
              </w:rPr>
              <w:t xml:space="preserve">"</w:t>
              <w:br w:clear="none"/>
            </w:r>
            <w:hyperlink r:id="rId548">
              <w:r>
                <w:rPr>
                  <w:rStyle w:val="Text76"/>
                </w:rPr>
                <w:t xml:space="preserve">https://www.unicode.org/Public</w:t>
                <w:br w:clear="none"/>
              </w:r>
            </w:hyperlink>
            <w:r>
              <w:rPr>
                <w:rStyle w:val="Text8"/>
              </w:rPr>
              <w:t xml:space="preserve">"</w:t>
              <w:br w:clear="none"/>
            </w:r>
            <w:r>
              <w:rPr>
                <w:rStyle w:val="Text6"/>
              </w:rPr>
              <w:t xml:space="preserve"/>
              <w:br w:clear="none"/>
              <w:t xml:space="preserve">               </w:t>
              <w:br w:clear="none"/>
            </w:r>
            <w:r>
              <w:rPr>
                <w:rStyle w:val="Text8"/>
              </w:rPr>
              <w:t xml:space="preserve">"</w:t>
              <w:br w:clear="none"/>
              <w:t xml:space="preserve">/14.0.0/ucd/UnicodeData.txt</w:t>
              <w:br w:clear="none"/>
              <w:t xml:space="preserve">"</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t xml:space="preserve">urllib</w:t>
              <w:br w:clear="none"/>
            </w:r>
            <w:r>
              <w:rPr>
                <w:rStyle w:val="Text13"/>
              </w:rPr>
              <w:t xml:space="preserve">.</w:t>
              <w:br w:clear="none"/>
            </w:r>
            <w:r>
              <w:t xml:space="preserve">request</w:t>
              <w:br w:clear="none"/>
            </w:r>
            <w:r>
              <w:rPr>
                <w:rStyle w:val="Text13"/>
              </w:rPr>
              <w:t xml:space="preserve">.</w:t>
              <w:br w:clear="none"/>
            </w:r>
            <w:r>
              <w:t xml:space="preserve">urlopen</w:t>
              <w:br w:clear="none"/>
            </w:r>
            <w:r>
              <w:rPr>
                <w:rStyle w:val="Text7"/>
              </w:rPr>
              <w:t xml:space="preserve">(</w:t>
              <w:br w:clear="none"/>
            </w:r>
            <w:r>
              <w:t xml:space="preserve">unicode_url</w:t>
              <w:br w:clear="none"/>
            </w:r>
            <w:r>
              <w:rPr>
                <w:rStyle w:val="Text6"/>
              </w:rPr>
              <w:t xml:space="preserve"> </w:t>
              <w:br w:clear="none"/>
              <w:t xml:space="preserve"/>
              <w:br w:clear="none"/>
              <w:t xml:space="preserve">     </w:t>
              <w:br w:clear="none"/>
            </w:r>
            <w:r>
              <w:rPr>
                <w:rStyle w:val="Text7"/>
              </w:rPr>
              <w:t xml:space="preserve">)</w:t>
              <w:br w:clear="none"/>
            </w:r>
            <w:r>
              <w:rPr>
                <w:rStyle w:val="Text10"/>
              </w:rPr>
              <w:t xml:space="preserve">as</w:t>
              <w:br w:clear="none"/>
            </w:r>
            <w:r>
              <w:rPr>
                <w:rStyle w:val="Text6"/>
              </w:rPr>
              <w:t xml:space="preserve"> </w:t>
              <w:br w:clear="none"/>
            </w:r>
            <w:r>
              <w:t xml:space="preserve">url_response</w:t>
              <w:br w:clear="none"/>
            </w:r>
            <w:r>
              <w:rPr>
                <w:rStyle w:val="Text7"/>
              </w:rPr>
              <w:t xml:space="preserve">:</w:t>
              <w:br w:clear="none"/>
            </w:r>
            <w:r>
              <w:rPr>
                <w:rStyle w:val="Text6"/>
              </w:rPr>
              <w:t xml:space="preserve"/>
              <w:br w:clear="none"/>
              <w:t xml:space="preserve">    </w:t>
              <w:br w:clear="none"/>
            </w:r>
            <w:r>
              <w:t xml:space="preserve">unicode_db</w:t>
              <w:br w:clear="none"/>
            </w:r>
            <w:r>
              <w:rPr>
                <w:rStyle w:val="Text6"/>
              </w:rPr>
              <w:t xml:space="preserve"> </w:t>
              <w:br w:clear="none"/>
            </w:r>
            <w:r>
              <w:rPr>
                <w:rStyle w:val="Text13"/>
              </w:rPr>
              <w:t xml:space="preserve">=</w:t>
              <w:br w:clear="none"/>
            </w:r>
            <w:r>
              <w:rPr>
                <w:rStyle w:val="Text6"/>
              </w:rPr>
              <w:t xml:space="preserve"> </w:t>
              <w:br w:clear="none"/>
            </w:r>
            <w:r>
              <w:t xml:space="preserve">url_response</w:t>
              <w:br w:clear="none"/>
            </w:r>
            <w:r>
              <w:rPr>
                <w:rStyle w:val="Text13"/>
              </w:rPr>
              <w:t xml:space="preserve">.</w:t>
              <w:br w:clear="none"/>
            </w:r>
            <w:r>
              <w:t xml:space="preserve">read</w:t>
              <w:br w:clear="none"/>
            </w:r>
            <w:r>
              <w:rPr>
                <w:rStyle w:val="Text7"/>
              </w:rPr>
              <w:t xml:space="preserve">(</w:t>
              <w:br w:clear="none"/>
              <w:t xml:space="preserve">)</w:t>
              <w:br w:clear="none"/>
            </w:r>
          </w:p>
        </w:tc>
      </w:tr>
    </w:tbl>
    <w:tbl>
      <w:tblPr>
        <w:tblW w:type="auto" w:w="0"/>
      </w:tblPr>
      <w:tr>
        <w:tc>
          <w:tcPr>
            <w:tcW w:type="auto" w:w="0"/>
            <w:shd w:val="clear" w:color="auto" w:fill="EEF2F6"/>
            <w:tcMar>
              <w:left w:type="dxa" w:w="200"/>
              <w:top w:type="dxa" w:w="200"/>
              <w:right w:type="dxa" w:w="200"/>
              <w:bottom w:type="dxa" w:w="200"/>
            </w:tcMar>
          </w:tcPr>
          <w:p>
            <w:pPr>
              <w:pStyle w:val="Para 001"/>
            </w:pPr>
            <w:r>
              <w:t>u⁠r⁠l​r⁠e⁠t⁠r⁠i⁠e⁠v⁠e</w:t>
            </w:r>
          </w:p>
        </w:tc>
        <w:tc>
          <w:tcPr>
            <w:tcW w:type="auto" w:w="0"/>
            <w:shd w:val="clear" w:color="auto" w:fill="EEF2F6"/>
            <w:tcMar>
              <w:left w:type="dxa" w:w="200"/>
              <w:top w:type="dxa" w:w="200"/>
              <w:right w:type="dxa" w:w="200"/>
              <w:bottom w:type="dxa" w:w="200"/>
            </w:tcMar>
          </w:tcPr>
          <w:p>
            <w:pPr>
              <w:pStyle w:val="Para 002"/>
            </w:pPr>
            <w:r>
              <w:rPr>
                <w:rStyle w:val="Text0"/>
              </w:rPr>
              <w:t>urlretrieve(</w:t>
            </w:r>
            <w:r>
              <w:rPr>
                <w:rStyle w:val="Text3"/>
              </w:rPr>
              <w:t>url_string</w:t>
            </w:r>
            <w:r>
              <w:rPr>
                <w:rStyle w:val="Text0"/>
              </w:rPr>
              <w:t>, filename=</w:t>
            </w:r>
            <w:r>
              <w:rPr>
                <w:rStyle w:val="Text5"/>
              </w:rPr>
              <w:t>None</w:t>
            </w:r>
            <w:r>
              <w:rPr>
                <w:rStyle w:val="Text0"/>
              </w:rPr>
              <w:t>, report_hook=</w:t>
            </w:r>
            <w:r>
              <w:rPr>
                <w:rStyle w:val="Text5"/>
              </w:rPr>
              <w:t>None</w:t>
            </w:r>
            <w:r>
              <w:rPr>
                <w:rStyle w:val="Text0"/>
              </w:rPr>
              <w:t>, data=</w:t>
            </w:r>
            <w:r>
              <w:rPr>
                <w:rStyle w:val="Text5"/>
              </w:rPr>
              <w:t>None</w:t>
            </w:r>
            <w:r>
              <w:rPr>
                <w:rStyle w:val="Text0"/>
              </w:rPr>
              <w:t>)</w:t>
              <w:br w:clear="none"/>
            </w:r>
            <w:r>
              <w:t xml:space="preserve"> A</w:t>
            </w:r>
            <w:r>
              <w:rPr>
                <w:rStyle w:val="Text111"/>
              </w:rPr>
              <w:bookmarkStart w:id="4096" w:name="idm45965175437968"/>
              <w:t/>
              <w:bookmarkEnd w:id="4096"/>
            </w:r>
            <w:r>
              <w:t xml:space="preserve"> compatibility function to support migration from Python 2 legacy code. </w:t>
            </w:r>
            <w:r>
              <w:rPr>
                <w:rStyle w:val="Text3"/>
              </w:rPr>
              <w:t>url_string</w:t>
            </w:r>
            <w:r>
              <w:t xml:space="preserve"> gives the URL of the resource to download. </w:t>
            </w:r>
            <w:r>
              <w:rPr>
                <w:rStyle w:val="Text0"/>
              </w:rPr>
              <w:t>filename</w:t>
            </w:r>
            <w:r>
              <w:t xml:space="preserve"> is an optional string naming the local file in which to store the data retrieved from the URL. </w:t>
            </w:r>
            <w:r>
              <w:rPr>
                <w:rStyle w:val="Text0"/>
              </w:rPr>
              <w:t>report_hook</w:t>
            </w:r>
            <w:r>
              <w:t xml:space="preserve"> is a callable to support progress reporting during downloading, called once as each block of data is retrieved. </w:t>
            </w:r>
            <w:r>
              <w:rPr>
                <w:rStyle w:val="Text0"/>
              </w:rPr>
              <w:t>data</w:t>
            </w:r>
            <w:r>
              <w:t xml:space="preserve"> is similar to the </w:t>
            </w:r>
            <w:r>
              <w:rPr>
                <w:rStyle w:val="Text0"/>
              </w:rPr>
              <w:t>data</w:t>
            </w:r>
            <w:r>
              <w:t xml:space="preserve"> argument for </w:t>
            </w:r>
            <w:r>
              <w:rPr>
                <w:rStyle w:val="Text0"/>
              </w:rPr>
              <w:t>urlopen</w:t>
            </w:r>
            <w:r>
              <w:t xml:space="preserve">. In its simplest form, </w:t>
            </w:r>
            <w:r>
              <w:rPr>
                <w:rStyle w:val="Text0"/>
              </w:rPr>
              <w:t>urlretrieve</w:t>
            </w:r>
            <w:r>
              <w:t xml:space="preserve"> is equivalent to: </w:t>
            </w:r>
          </w:p>
          <w:p>
            <w:pPr>
              <w:pStyle w:val="Para 029"/>
            </w:pPr>
            <w:r>
              <w:rPr>
                <w:rStyle w:val="Text23"/>
              </w:rPr>
              <w:t xml:space="preserve"/>
              <w:br w:clear="none"/>
            </w:r>
            <w:r>
              <w:rPr>
                <w:rStyle w:val="Text10"/>
              </w:rPr>
              <w:t xml:space="preserve">def</w:t>
              <w:br w:clear="none"/>
            </w:r>
            <w:r>
              <w:rPr>
                <w:rStyle w:val="Text6"/>
              </w:rPr>
              <w:t xml:space="preserve"> </w:t>
              <w:br w:clear="none"/>
            </w:r>
            <w:r>
              <w:rPr>
                <w:rStyle w:val="Text18"/>
              </w:rPr>
              <w:t xml:space="preserve">urlretrieve</w:t>
              <w:br w:clear="none"/>
            </w:r>
            <w:r>
              <w:rPr>
                <w:rStyle w:val="Text7"/>
              </w:rPr>
              <w:t xml:space="preserve">(</w:t>
              <w:br w:clear="none"/>
            </w:r>
            <w:r>
              <w:t xml:space="preserve">url</w:t>
              <w:br w:clear="none"/>
            </w:r>
            <w:r>
              <w:rPr>
                <w:rStyle w:val="Text7"/>
              </w:rPr>
              <w:t xml:space="preserve">,</w:t>
              <w:br w:clear="none"/>
            </w:r>
            <w:r>
              <w:rPr>
                <w:rStyle w:val="Text6"/>
              </w:rPr>
              <w:t xml:space="preserve"> </w:t>
              <w:br w:clear="none"/>
            </w:r>
            <w:r>
              <w:t xml:space="preserve">filename</w:t>
              <w:br w:clear="none"/>
            </w:r>
            <w:r>
              <w:rPr>
                <w:rStyle w:val="Text13"/>
              </w:rPr>
              <w:t xml:space="preserve">=</w:t>
              <w:br w:clear="none"/>
            </w:r>
            <w:r>
              <w:rPr>
                <w:rStyle w:val="Text10"/>
              </w:rPr>
              <w:t xml:space="preserve">None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filename</w:t>
              <w:br w:clear="none"/>
            </w:r>
            <w:r>
              <w:rPr>
                <w:rStyle w:val="Text6"/>
              </w:rPr>
              <w:t xml:space="preserve"> </w:t>
              <w:br w:clear="none"/>
            </w:r>
            <w:r>
              <w:rPr>
                <w:rStyle w:val="Text31"/>
              </w:rPr>
              <w:t xml:space="preserve">is</w:t>
              <w:br w:clear="none"/>
            </w:r>
            <w:r>
              <w:rPr>
                <w:rStyle w:val="Text6"/>
              </w:rPr>
              <w:t xml:space="preserve"> </w:t>
              <w:br w:clear="none"/>
            </w:r>
            <w:r>
              <w:rPr>
                <w:rStyle w:val="Text10"/>
              </w:rPr>
              <w:t xml:space="preserve">None</w:t>
              <w:br w:clear="none"/>
            </w:r>
            <w:r>
              <w:rPr>
                <w:rStyle w:val="Text7"/>
              </w:rPr>
              <w:t xml:space="preserve">:</w:t>
              <w:br w:clear="none"/>
            </w:r>
            <w:r>
              <w:rPr>
                <w:rStyle w:val="Text6"/>
              </w:rPr>
              <w:t xml:space="preserve"/>
              <w:br w:clear="none"/>
              <w:t xml:space="preserve">        </w:t>
              <w:br w:clear="none"/>
            </w:r>
            <w:r>
              <w:t xml:space="preserve">filename</w:t>
              <w:br w:clear="none"/>
            </w:r>
            <w:r>
              <w:rPr>
                <w:rStyle w:val="Text6"/>
              </w:rPr>
              <w:t xml:space="preserve"> </w:t>
              <w:br w:clear="none"/>
            </w:r>
            <w:r>
              <w:rPr>
                <w:rStyle w:val="Text13"/>
              </w:rPr>
              <w:t xml:space="preserve">=</w:t>
              <w:br w:clear="none"/>
            </w:r>
            <w:r>
              <w:rPr>
                <w:rStyle w:val="Text6"/>
              </w:rPr>
              <w:t xml:space="preserve"> </w:t>
              <w:br w:clear="none"/>
            </w:r>
            <w:r>
              <w:rPr>
                <w:rStyle w:val="Text28"/>
              </w:rPr>
              <w:t xml:space="preserve">.</w:t>
              <w:br w:clear="none"/>
              <w:t xml:space="preserve">.</w:t>
              <w:br w:clear="none"/>
              <w:t xml:space="preserve">.</w:t>
              <w:br w:clear="none"/>
            </w:r>
            <w:r>
              <w:rPr>
                <w:rStyle w:val="Text4"/>
              </w:rPr>
              <w:t xml:space="preserve">parse filename from url...</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urllib</w:t>
              <w:br w:clear="none"/>
            </w:r>
            <w:r>
              <w:rPr>
                <w:rStyle w:val="Text13"/>
              </w:rPr>
              <w:t xml:space="preserve">.</w:t>
              <w:br w:clear="none"/>
            </w:r>
            <w:r>
              <w:t xml:space="preserve">request</w:t>
              <w:br w:clear="none"/>
            </w:r>
            <w:r>
              <w:rPr>
                <w:rStyle w:val="Text13"/>
              </w:rPr>
              <w:t xml:space="preserve">.</w:t>
              <w:br w:clear="none"/>
            </w:r>
            <w:r>
              <w:t xml:space="preserve">urlopen</w:t>
              <w:br w:clear="none"/>
            </w:r>
            <w:r>
              <w:rPr>
                <w:rStyle w:val="Text7"/>
              </w:rPr>
              <w:t xml:space="preserve">(</w:t>
              <w:br w:clear="none"/>
            </w:r>
            <w:r>
              <w:t xml:space="preserve">url</w:t>
              <w:br w:clear="none"/>
            </w:r>
            <w:r>
              <w:rPr>
                <w:rStyle w:val="Text6"/>
              </w:rPr>
              <w:t xml:space="preserve"> </w:t>
              <w:br w:clear="none"/>
              <w:t xml:space="preserve"/>
              <w:br w:clear="none"/>
              <w:t xml:space="preserve">         </w:t>
              <w:br w:clear="none"/>
            </w:r>
            <w:r>
              <w:rPr>
                <w:rStyle w:val="Text7"/>
              </w:rPr>
              <w:t xml:space="preserve">)</w:t>
              <w:br w:clear="none"/>
            </w:r>
            <w:r>
              <w:rPr>
                <w:rStyle w:val="Text10"/>
              </w:rPr>
              <w:t xml:space="preserve">as</w:t>
              <w:br w:clear="none"/>
            </w:r>
            <w:r>
              <w:rPr>
                <w:rStyle w:val="Text6"/>
              </w:rPr>
              <w:t xml:space="preserve"> </w:t>
              <w:br w:clear="none"/>
            </w:r>
            <w:r>
              <w:t xml:space="preserve">url_response</w:t>
              <w:br w:clear="none"/>
            </w:r>
            <w:r>
              <w:rPr>
                <w:rStyle w:val="Text7"/>
              </w:rPr>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t xml:space="preserve">filename</w:t>
              <w:br w:clear="none"/>
            </w:r>
            <w:r>
              <w:rPr>
                <w:rStyle w:val="Text7"/>
              </w:rPr>
              <w:t xml:space="preserve">,</w:t>
              <w:br w:clear="none"/>
            </w:r>
            <w:r>
              <w:rPr>
                <w:rStyle w:val="Text6"/>
              </w:rPr>
              <w:t xml:space="preserve"> </w:t>
              <w:br w:clear="none"/>
            </w:r>
            <w:r>
              <w:rPr>
                <w:rStyle w:val="Text8"/>
              </w:rPr>
              <w:t xml:space="preserve">"</w:t>
              <w:br w:clear="none"/>
              <w:t xml:space="preserve">wb</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save_file</w:t>
              <w:br w:clear="none"/>
            </w:r>
            <w:r>
              <w:rPr>
                <w:rStyle w:val="Text7"/>
              </w:rPr>
              <w:t xml:space="preserve">:</w:t>
              <w:br w:clear="none"/>
            </w:r>
            <w:r>
              <w:rPr>
                <w:rStyle w:val="Text6"/>
              </w:rPr>
              <w:t xml:space="preserve"/>
              <w:br w:clear="none"/>
              <w:t xml:space="preserve">            </w:t>
              <w:br w:clear="none"/>
            </w:r>
            <w:r>
              <w:t xml:space="preserve">save_file</w:t>
              <w:br w:clear="none"/>
            </w:r>
            <w:r>
              <w:rPr>
                <w:rStyle w:val="Text13"/>
              </w:rPr>
              <w:t xml:space="preserve">.</w:t>
              <w:br w:clear="none"/>
            </w:r>
            <w:r>
              <w:t xml:space="preserve">write</w:t>
              <w:br w:clear="none"/>
            </w:r>
            <w:r>
              <w:rPr>
                <w:rStyle w:val="Text7"/>
              </w:rPr>
              <w:t xml:space="preserve">(</w:t>
              <w:br w:clear="none"/>
            </w:r>
            <w:r>
              <w:t xml:space="preserve">url_response</w:t>
              <w:br w:clear="none"/>
            </w:r>
            <w:r>
              <w:rPr>
                <w:rStyle w:val="Text13"/>
              </w:rPr>
              <w:t xml:space="preserve">.</w:t>
              <w:br w:clear="none"/>
            </w:r>
            <w:r>
              <w:t xml:space="preserve">read</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filename</w:t>
              <w:br w:clear="none"/>
            </w:r>
            <w:r>
              <w:rPr>
                <w:rStyle w:val="Text7"/>
              </w:rPr>
              <w:t xml:space="preserve">,</w:t>
              <w:br w:clear="none"/>
            </w:r>
            <w:r>
              <w:rPr>
                <w:rStyle w:val="Text6"/>
              </w:rPr>
              <w:t xml:space="preserve"> </w:t>
              <w:br w:clear="none"/>
            </w:r>
            <w:r>
              <w:t xml:space="preserve">url_response</w:t>
              <w:br w:clear="none"/>
            </w:r>
            <w:r>
              <w:rPr>
                <w:rStyle w:val="Text13"/>
              </w:rPr>
              <w:t xml:space="preserve">.</w:t>
              <w:br w:clear="none"/>
            </w:r>
            <w:r>
              <w:t xml:space="preserve">info</w:t>
              <w:br w:clear="none"/>
            </w:r>
            <w:r>
              <w:rPr>
                <w:rStyle w:val="Text7"/>
              </w:rPr>
              <w:t xml:space="preserve">(</w:t>
              <w:br w:clear="none"/>
              <w:t xml:space="preserve">)</w:t>
              <w:br w:clear="none"/>
            </w:r>
          </w:p>
          <w:p>
            <w:pPr>
              <w:pStyle w:val="Para 022"/>
            </w:pPr>
            <w:r>
              <w:t xml:space="preserve"> Since this function was developed for Python 2 compatibility, you may still see it in existing codebases. New code should use </w:t>
            </w:r>
            <w:r>
              <w:rPr>
                <w:rStyle w:val="Text0"/>
              </w:rPr>
              <w:t>urlopen</w:t>
            </w:r>
            <w:r>
              <w:t>.</w:t>
            </w:r>
          </w:p>
        </w:tc>
      </w:tr>
    </w:tbl>
    <w:p>
      <w:pPr>
        <w:pStyle w:val="Normal"/>
      </w:pPr>
      <w:r>
        <w:t xml:space="preserve">For full coverage of </w:t>
      </w:r>
      <w:r>
        <w:rPr>
          <w:rStyle w:val="Text0"/>
        </w:rPr>
        <w:t>urllib.request</w:t>
      </w:r>
      <w:r>
        <w:t xml:space="preserve"> see the </w:t>
      </w:r>
      <w:hyperlink r:id="rId549">
        <w:r>
          <w:rPr>
            <w:rStyle w:val="Text1"/>
          </w:rPr>
          <w:t>online docs</w:t>
        </w:r>
      </w:hyperlink>
      <w:r>
        <w:t xml:space="preserve"> and Michael Foord’s </w:t>
      </w:r>
      <w:hyperlink r:id="rId550">
        <w:r>
          <w:rPr>
            <w:rStyle w:val="Text1"/>
          </w:rPr>
          <w:t>HOWTO</w:t>
        </w:r>
      </w:hyperlink>
      <w:r>
        <w:t xml:space="preserve">, which includes examples on downloading files given a URL. There’s a short example using </w:t>
      </w:r>
      <w:r>
        <w:rPr>
          <w:rStyle w:val="Text0"/>
        </w:rPr>
        <w:t>urllib.request</w:t>
      </w:r>
      <w:r>
        <w:t xml:space="preserve"> in </w:t>
      </w:r>
      <w:hyperlink w:anchor="An_HTML_Parsing_Example_with_Bea">
        <w:r>
          <w:rPr>
            <w:rStyle w:val="Text1"/>
          </w:rPr>
          <w:t>“An HTML Parsing Example with BeautifulSoup”</w:t>
        </w:r>
      </w:hyperlink>
      <w:r>
        <w:t>.</w:t>
      </w:r>
      <w:r>
        <w:rPr>
          <w:rStyle w:val="Text111"/>
        </w:rPr>
        <w:bookmarkStart w:id="4097" w:name="idm45965175352352"/>
        <w:t/>
        <w:bookmarkEnd w:id="4097"/>
      </w:r>
    </w:p>
    <w:p>
      <w:bookmarkStart w:id="4098" w:name="The_Third_Party_requests_Package"/>
      <w:pPr>
        <w:keepNext/>
        <w:pStyle w:val="Heading 2"/>
      </w:pPr>
      <w:r>
        <w:t>The Third-Party requests Package</w:t>
      </w:r>
      <w:bookmarkEnd w:id="4098"/>
    </w:p>
    <w:p>
      <w:pPr>
        <w:pStyle w:val="Normal"/>
      </w:pPr>
      <w:r>
        <w:t>The</w:t>
      </w:r>
      <w:r>
        <w:rPr>
          <w:rStyle w:val="Text111"/>
        </w:rPr>
        <w:bookmarkStart w:id="4099" w:name="reqpack19"/>
        <w:t/>
        <w:bookmarkEnd w:id="4099"/>
      </w:r>
      <w:r>
        <w:t xml:space="preserve"> third-party </w:t>
      </w:r>
      <w:hyperlink r:id="rId551">
        <w:r>
          <w:rPr>
            <w:rStyle w:val="Text30"/>
          </w:rPr>
          <w:t>requests</w:t>
        </w:r>
      </w:hyperlink>
      <w:hyperlink r:id="rId551">
        <w:r>
          <w:rPr>
            <w:rStyle w:val="Text1"/>
          </w:rPr>
          <w:t xml:space="preserve"> package</w:t>
        </w:r>
      </w:hyperlink>
      <w:r>
        <w:t xml:space="preserve"> (very well documented </w:t>
      </w:r>
      <w:hyperlink r:id="rId552">
        <w:r>
          <w:rPr>
            <w:rStyle w:val="Text1"/>
          </w:rPr>
          <w:t>online</w:t>
        </w:r>
      </w:hyperlink>
      <w:r>
        <w:t xml:space="preserve">) is how we recommend you access HTTP URLs. As usual for third-party packages, it’s best installed with a simple </w:t>
      </w:r>
      <w:r>
        <w:rPr>
          <w:rStyle w:val="Text5"/>
        </w:rPr>
        <w:t>pip install requests</w:t>
      </w:r>
      <w:r>
        <w:t>. In this section, we summarize how best to use it for reasonably simple cases.</w:t>
      </w:r>
    </w:p>
    <w:p>
      <w:pPr>
        <w:pStyle w:val="Normal"/>
      </w:pPr>
      <w:r>
        <w:t xml:space="preserve">Natively, </w:t>
      </w:r>
      <w:r>
        <w:rPr>
          <w:rStyle w:val="Text0"/>
        </w:rPr>
        <w:t>requests</w:t>
      </w:r>
      <w:r>
        <w:t xml:space="preserve"> only supports the HTTP and HTTPS transport protocols; to access URLs using other protocols, you need to install other third-party packages (known as</w:t>
      </w:r>
      <w:r>
        <w:rPr>
          <w:rStyle w:val="Text111"/>
        </w:rPr>
        <w:bookmarkStart w:id="4100" w:name="idm45965175343168"/>
        <w:t/>
        <w:bookmarkEnd w:id="4100"/>
      </w:r>
      <w:r>
        <w:t xml:space="preserve"> </w:t>
      </w:r>
      <w:r>
        <w:rPr>
          <w:rStyle w:val="Text4"/>
        </w:rPr>
        <w:t>protocol adapters</w:t>
      </w:r>
      <w:r>
        <w:t xml:space="preserve">), such as </w:t>
      </w:r>
      <w:hyperlink r:id="rId553">
        <w:r>
          <w:rPr>
            <w:rStyle w:val="Text1"/>
          </w:rPr>
          <w:t>requests-ftp</w:t>
        </w:r>
      </w:hyperlink>
      <w:r>
        <w:t xml:space="preserve"> for FTP URLs, or others supplied as part of the rich </w:t>
      </w:r>
      <w:hyperlink r:id="rId554">
        <w:r>
          <w:rPr>
            <w:rStyle w:val="Text1"/>
          </w:rPr>
          <w:t>requests-toolbelt</w:t>
        </w:r>
      </w:hyperlink>
      <w:r>
        <w:t xml:space="preserve"> package of </w:t>
      </w:r>
      <w:r>
        <w:rPr>
          <w:rStyle w:val="Text0"/>
        </w:rPr>
        <w:t>requests</w:t>
      </w:r>
      <w:r>
        <w:t xml:space="preserve"> utilities.</w:t>
      </w:r>
    </w:p>
    <w:p>
      <w:pPr>
        <w:pStyle w:val="Normal"/>
      </w:pPr>
      <w:r>
        <w:t xml:space="preserve">The </w:t>
      </w:r>
      <w:r>
        <w:rPr>
          <w:rStyle w:val="Text0"/>
        </w:rPr>
        <w:t>requests</w:t>
      </w:r>
      <w:r>
        <w:t xml:space="preserve"> package’s functionality hinges mostly on three classes it supplies: </w:t>
      </w:r>
      <w:r>
        <w:rPr>
          <w:rStyle w:val="Text0"/>
        </w:rPr>
        <w:t>Request</w:t>
      </w:r>
      <w:r>
        <w:t xml:space="preserve">, modeling an HTTP request to be sent to a server; </w:t>
      </w:r>
      <w:r>
        <w:rPr>
          <w:rStyle w:val="Text0"/>
        </w:rPr>
        <w:t>Response</w:t>
      </w:r>
      <w:r>
        <w:t xml:space="preserve">, modeling a server’s HTTP response to a request; and </w:t>
      </w:r>
      <w:r>
        <w:rPr>
          <w:rStyle w:val="Text0"/>
        </w:rPr>
        <w:t>Session</w:t>
      </w:r>
      <w:r>
        <w:t xml:space="preserve">, offering continuity across a sequence of requests, also known as a </w:t>
      </w:r>
      <w:r>
        <w:rPr>
          <w:rStyle w:val="Text4"/>
        </w:rPr>
        <w:t>session.</w:t>
      </w:r>
      <w:r>
        <w:t xml:space="preserve"> For the common use case of a single request/response interaction, you don’t need continuity, so you may often just ignore </w:t>
      </w:r>
      <w:r>
        <w:rPr>
          <w:rStyle w:val="Text0"/>
        </w:rPr>
        <w:t>Session</w:t>
      </w:r>
      <w:r>
        <w:t>.</w:t>
      </w:r>
    </w:p>
    <w:p>
      <w:bookmarkStart w:id="4101" w:name="Sending_requests__Typically__you"/>
      <w:pPr>
        <w:keepNext/>
        <w:pStyle w:val="Heading 2"/>
      </w:pPr>
      <w:r>
        <w:t>Sending requests</w:t>
      </w:r>
      <w:bookmarkEnd w:id="4101"/>
    </w:p>
    <w:p>
      <w:pPr>
        <w:pStyle w:val="Normal"/>
      </w:pPr>
      <w:r>
        <w:t xml:space="preserve">Typically, you don’t need to explicitly consider the </w:t>
      </w:r>
      <w:r>
        <w:rPr>
          <w:rStyle w:val="Text0"/>
        </w:rPr>
        <w:t>Request</w:t>
      </w:r>
      <w:r>
        <w:t xml:space="preserve"> class: rather, you call the utility function </w:t>
      </w:r>
      <w:r>
        <w:rPr>
          <w:rStyle w:val="Text0"/>
        </w:rPr>
        <w:t>request</w:t>
      </w:r>
      <w:r>
        <w:t xml:space="preserve">, which internally prepares and sends the </w:t>
      </w:r>
      <w:r>
        <w:rPr>
          <w:rStyle w:val="Text0"/>
        </w:rPr>
        <w:t>Request</w:t>
      </w:r>
      <w:r>
        <w:t xml:space="preserve"> and returns the </w:t>
      </w:r>
      <w:r>
        <w:rPr>
          <w:rStyle w:val="Text0"/>
        </w:rPr>
        <w:t>Response</w:t>
      </w:r>
      <w:r>
        <w:t xml:space="preserve"> instance. </w:t>
      </w:r>
      <w:r>
        <w:rPr>
          <w:rStyle w:val="Text0"/>
        </w:rPr>
        <w:t>request</w:t>
      </w:r>
      <w:r>
        <w:t xml:space="preserve"> has two mandatory positional arguments, both </w:t>
      </w:r>
      <w:r>
        <w:rPr>
          <w:rStyle w:val="Text0"/>
        </w:rPr>
        <w:t>str</w:t>
      </w:r>
      <w:r>
        <w:t xml:space="preserve">s: </w:t>
      </w:r>
      <w:r>
        <w:rPr>
          <w:rStyle w:val="Text0"/>
        </w:rPr>
        <w:t>method</w:t>
      </w:r>
      <w:r>
        <w:t xml:space="preserve">, the HTTP method to use, and </w:t>
      </w:r>
      <w:r>
        <w:rPr>
          <w:rStyle w:val="Text0"/>
        </w:rPr>
        <w:t>url</w:t>
      </w:r>
      <w:r>
        <w:t xml:space="preserve">, the URL to address. Then, many optional named parameters may follow (in the next section, we cover the most commonly used named parameters to the </w:t>
      </w:r>
      <w:r>
        <w:rPr>
          <w:rStyle w:val="Text0"/>
        </w:rPr>
        <w:t>request</w:t>
      </w:r>
      <w:r>
        <w:t xml:space="preserve"> function).</w:t>
      </w:r>
    </w:p>
    <w:p>
      <w:pPr>
        <w:pStyle w:val="Normal"/>
      </w:pPr>
      <w:r>
        <w:t xml:space="preserve">For further convenience, the </w:t>
      </w:r>
      <w:r>
        <w:rPr>
          <w:rStyle w:val="Text0"/>
        </w:rPr>
        <w:t>requests</w:t>
      </w:r>
      <w:r>
        <w:t xml:space="preserve"> module also supplies functions whose names are those of the HTTP methods </w:t>
      </w:r>
      <w:r>
        <w:rPr>
          <w:rStyle w:val="Text0"/>
        </w:rPr>
        <w:t>delete</w:t>
      </w:r>
      <w:r>
        <w:t xml:space="preserve">, </w:t>
      </w:r>
      <w:r>
        <w:rPr>
          <w:rStyle w:val="Text0"/>
        </w:rPr>
        <w:t>get</w:t>
      </w:r>
      <w:r>
        <w:t xml:space="preserve">, </w:t>
      </w:r>
      <w:r>
        <w:rPr>
          <w:rStyle w:val="Text0"/>
        </w:rPr>
        <w:t>head</w:t>
      </w:r>
      <w:r>
        <w:t xml:space="preserve">, </w:t>
      </w:r>
      <w:r>
        <w:rPr>
          <w:rStyle w:val="Text0"/>
        </w:rPr>
        <w:t>options</w:t>
      </w:r>
      <w:r>
        <w:t xml:space="preserve">, </w:t>
      </w:r>
      <w:r>
        <w:rPr>
          <w:rStyle w:val="Text0"/>
        </w:rPr>
        <w:t>patch</w:t>
      </w:r>
      <w:r>
        <w:t xml:space="preserve">, </w:t>
      </w:r>
      <w:r>
        <w:rPr>
          <w:rStyle w:val="Text0"/>
        </w:rPr>
        <w:t>post</w:t>
      </w:r>
      <w:r>
        <w:t xml:space="preserve">, and </w:t>
      </w:r>
      <w:r>
        <w:rPr>
          <w:rStyle w:val="Text0"/>
        </w:rPr>
        <w:t>put</w:t>
      </w:r>
      <w:r>
        <w:t xml:space="preserve">; each takes a single mandatory positional argument, </w:t>
      </w:r>
      <w:r>
        <w:rPr>
          <w:rStyle w:val="Text0"/>
        </w:rPr>
        <w:t>url</w:t>
      </w:r>
      <w:r>
        <w:t xml:space="preserve">, then the same optional named arguments as the function </w:t>
      </w:r>
      <w:r>
        <w:rPr>
          <w:rStyle w:val="Text0"/>
        </w:rPr>
        <w:t>request</w:t>
      </w:r>
      <w:r>
        <w:t>.</w:t>
      </w:r>
    </w:p>
    <w:p>
      <w:pPr>
        <w:pStyle w:val="Normal"/>
      </w:pPr>
      <w:r>
        <w:t xml:space="preserve">When you want some continuity across multiple requests, call </w:t>
      </w:r>
      <w:r>
        <w:rPr>
          <w:rStyle w:val="Text0"/>
        </w:rPr>
        <w:t>Session</w:t>
      </w:r>
      <w:r>
        <w:t xml:space="preserve"> to make an instance </w:t>
      </w:r>
      <w:r>
        <w:rPr>
          <w:rStyle w:val="Text3"/>
        </w:rPr>
        <w:t>s</w:t>
      </w:r>
      <w:r>
        <w:t xml:space="preserve">, then use </w:t>
      </w:r>
      <w:r>
        <w:rPr>
          <w:rStyle w:val="Text3"/>
        </w:rPr>
        <w:t>s</w:t>
      </w:r>
      <w:r>
        <w:t xml:space="preserve">’s methods </w:t>
      </w:r>
      <w:r>
        <w:rPr>
          <w:rStyle w:val="Text0"/>
        </w:rPr>
        <w:t>request</w:t>
      </w:r>
      <w:r>
        <w:t xml:space="preserve">, </w:t>
      </w:r>
      <w:r>
        <w:rPr>
          <w:rStyle w:val="Text0"/>
        </w:rPr>
        <w:t>get</w:t>
      </w:r>
      <w:r>
        <w:t xml:space="preserve">, </w:t>
      </w:r>
      <w:r>
        <w:rPr>
          <w:rStyle w:val="Text0"/>
        </w:rPr>
        <w:t>post</w:t>
      </w:r>
      <w:r>
        <w:t xml:space="preserve">, and so on, which are just like the functions with the same names directly supplied by the </w:t>
      </w:r>
      <w:r>
        <w:rPr>
          <w:rStyle w:val="Text0"/>
        </w:rPr>
        <w:t>requests</w:t>
      </w:r>
      <w:r>
        <w:t xml:space="preserve"> module (however, </w:t>
      </w:r>
      <w:r>
        <w:rPr>
          <w:rStyle w:val="Text3"/>
        </w:rPr>
        <w:t>s</w:t>
      </w:r>
      <w:r>
        <w:t xml:space="preserve">’s methods merge </w:t>
      </w:r>
      <w:r>
        <w:rPr>
          <w:rStyle w:val="Text3"/>
        </w:rPr>
        <w:t>s</w:t>
      </w:r>
      <w:r>
        <w:t xml:space="preserve">’s settings with the optional named parameters to prepare each request to send to the given </w:t>
      </w:r>
      <w:r>
        <w:rPr>
          <w:rStyle w:val="Text0"/>
        </w:rPr>
        <w:t>url</w:t>
      </w:r>
      <w:r>
        <w:t>).</w:t>
      </w:r>
    </w:p>
    <w:p>
      <w:bookmarkStart w:id="4102" w:name="request_s_optional_named_paramet"/>
      <w:pPr>
        <w:keepNext/>
        <w:pStyle w:val="Heading 2"/>
      </w:pPr>
      <w:r>
        <w:t>request’s optional named parameters</w:t>
      </w:r>
      <w:bookmarkEnd w:id="4102"/>
    </w:p>
    <w:p>
      <w:pPr>
        <w:pStyle w:val="Normal"/>
      </w:pPr>
      <w:r>
        <w:t xml:space="preserve">The function </w:t>
      </w:r>
      <w:r>
        <w:rPr>
          <w:rStyle w:val="Text0"/>
        </w:rPr>
        <w:t>request</w:t>
      </w:r>
      <w:r>
        <w:t xml:space="preserve"> (just like the functions </w:t>
      </w:r>
      <w:r>
        <w:rPr>
          <w:rStyle w:val="Text0"/>
        </w:rPr>
        <w:t>get</w:t>
      </w:r>
      <w:r>
        <w:t xml:space="preserve">, </w:t>
      </w:r>
      <w:r>
        <w:rPr>
          <w:rStyle w:val="Text0"/>
        </w:rPr>
        <w:t>post</w:t>
      </w:r>
      <w:r>
        <w:t xml:space="preserve">, and so on, and methods with the same names on an instance </w:t>
      </w:r>
      <w:r>
        <w:rPr>
          <w:rStyle w:val="Text3"/>
        </w:rPr>
        <w:t>s</w:t>
      </w:r>
      <w:r>
        <w:t xml:space="preserve"> of class </w:t>
      </w:r>
      <w:r>
        <w:rPr>
          <w:rStyle w:val="Text0"/>
        </w:rPr>
        <w:t>Session</w:t>
      </w:r>
      <w:r>
        <w:t xml:space="preserve">) accepts many optional named parameters. Refer to the </w:t>
      </w:r>
      <w:r>
        <w:rPr>
          <w:rStyle w:val="Text0"/>
        </w:rPr>
        <w:t>requests</w:t>
      </w:r>
      <w:r>
        <w:t xml:space="preserve"> package’s excellent </w:t>
      </w:r>
      <w:hyperlink r:id="rId555">
        <w:r>
          <w:rPr>
            <w:rStyle w:val="Text1"/>
          </w:rPr>
          <w:t>online docs</w:t>
        </w:r>
      </w:hyperlink>
      <w:r>
        <w:t xml:space="preserve"> for the full set if you need advanced functionality such as control over proxies, authentication, special treatment of redirection, streaming, cookies, and so on. </w:t>
      </w:r>
      <w:hyperlink w:anchor="Table_19_5__Named_parameters_acc">
        <w:r>
          <w:rPr>
            <w:rStyle w:val="Text1"/>
          </w:rPr>
          <w:t>Table 19-5</w:t>
        </w:r>
      </w:hyperlink>
      <w:r>
        <w:t xml:space="preserve"> lists the most frequently used named parameters.</w:t>
      </w:r>
    </w:p>
    <w:tbl>
      <w:tblPr>
        <w:tblW w:type="auto" w:w="0"/>
      </w:tblPr>
      <w:tr>
        <w:tc>
          <w:tcPr>
            <w:tcW w:type="auto" w:w="0"/>
            <w:tcMar>
              <w:left w:type="dxa" w:w="200"/>
              <w:top w:type="dxa" w:w="200"/>
              <w:right w:type="dxa" w:w="200"/>
              <w:bottom w:type="dxa" w:w="200"/>
            </w:tcMar>
          </w:tcPr>
          <w:p>
            <w:bookmarkStart w:id="4103" w:name="Table_19_5__Named_parameters_acc"/>
            <w:pPr>
              <w:pStyle w:val="Para 011"/>
            </w:pPr>
            <w:r>
              <w:rPr>
                <w:rStyle w:val="Text117"/>
              </w:rPr>
              <w:t/>
            </w:r>
            <w:r>
              <w:t xml:space="preserve">Table 19-5. </w:t>
              <w:t xml:space="preserve">Named parameters accepted by the </w:t>
            </w:r>
            <w:r>
              <w:rPr>
                <w:rStyle w:val="Text0"/>
              </w:rPr>
              <w:t>request</w:t>
            </w:r>
            <w:r>
              <w:t xml:space="preserve"> function</w:t>
            </w:r>
            <w:bookmarkEnd w:id="4103"/>
          </w:p>
          <w:p>
            <w:pPr>
              <w:pStyle w:val="Para 001"/>
            </w:pPr>
            <w:r>
              <w:t>data</w:t>
            </w:r>
          </w:p>
        </w:tc>
        <w:tc>
          <w:tcPr>
            <w:tcW w:type="auto" w:w="0"/>
            <w:tcMar>
              <w:left w:type="dxa" w:w="200"/>
              <w:top w:type="dxa" w:w="200"/>
              <w:right w:type="dxa" w:w="200"/>
              <w:bottom w:type="dxa" w:w="200"/>
            </w:tcMar>
          </w:tcPr>
          <w:p>
            <w:pPr>
              <w:pStyle w:val="Para 002"/>
            </w:pPr>
            <w:r>
              <w:t xml:space="preserve">A </w:t>
            </w:r>
            <w:r>
              <w:rPr>
                <w:rStyle w:val="Text0"/>
              </w:rPr>
              <w:t>dict</w:t>
            </w:r>
            <w:r>
              <w:t>, a sequence of key/value pairs, a bytestring, or a file-like object to use as the body of the request</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files</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dict</w:t>
            </w:r>
            <w:r>
              <w:t xml:space="preserve"> with names as keys and file-like objects or </w:t>
            </w:r>
            <w:r>
              <w:rPr>
                <w:rStyle w:val="Text4"/>
              </w:rPr>
              <w:t>file tuples</w:t>
            </w:r>
            <w:r>
              <w:t xml:space="preserve"> as values, used with the POST method to specify a multipart-encoding file upload (we cover the format of values for </w:t>
            </w:r>
            <w:r>
              <w:rPr>
                <w:rStyle w:val="Text0"/>
              </w:rPr>
              <w:t>files</w:t>
            </w:r>
            <w:r>
              <w:t xml:space="preserve"> in the next section)</w:t>
            </w:r>
          </w:p>
        </w:tc>
      </w:tr>
    </w:tbl>
    <w:tbl>
      <w:tblPr>
        <w:tblW w:type="auto" w:w="0"/>
      </w:tblPr>
      <w:tr>
        <w:tc>
          <w:tcPr>
            <w:tcW w:type="auto" w:w="0"/>
            <w:tcMar>
              <w:left w:type="dxa" w:w="200"/>
              <w:top w:type="dxa" w:w="200"/>
              <w:right w:type="dxa" w:w="200"/>
              <w:bottom w:type="dxa" w:w="200"/>
            </w:tcMar>
          </w:tcPr>
          <w:p>
            <w:pPr>
              <w:pStyle w:val="Para 001"/>
            </w:pPr>
            <w:r>
              <w:t>headers</w:t>
            </w:r>
          </w:p>
        </w:tc>
        <w:tc>
          <w:tcPr>
            <w:tcW w:type="auto" w:w="0"/>
            <w:tcMar>
              <w:left w:type="dxa" w:w="200"/>
              <w:top w:type="dxa" w:w="200"/>
              <w:right w:type="dxa" w:w="200"/>
              <w:bottom w:type="dxa" w:w="200"/>
            </w:tcMar>
          </w:tcPr>
          <w:p>
            <w:pPr>
              <w:pStyle w:val="Para 002"/>
            </w:pPr>
            <w:r>
              <w:t xml:space="preserve">A </w:t>
            </w:r>
            <w:r>
              <w:rPr>
                <w:rStyle w:val="Text0"/>
              </w:rPr>
              <w:t>dict</w:t>
            </w:r>
            <w:r>
              <w:t xml:space="preserve"> of HTTP headers to send in the request</w:t>
            </w:r>
          </w:p>
        </w:tc>
      </w:tr>
    </w:tbl>
    <w:tbl>
      <w:tblPr>
        <w:tblW w:type="auto" w:w="0"/>
      </w:tblPr>
      <w:tr>
        <w:tc>
          <w:tcPr>
            <w:tcW w:type="auto" w:w="0"/>
            <w:shd w:val="clear" w:color="auto" w:fill="EEF2F6"/>
            <w:tcMar>
              <w:left w:type="dxa" w:w="200"/>
              <w:top w:type="dxa" w:w="200"/>
              <w:right w:type="dxa" w:w="200"/>
              <w:bottom w:type="dxa" w:w="200"/>
            </w:tcMar>
          </w:tcPr>
          <w:p>
            <w:pPr>
              <w:pStyle w:val="Para 001"/>
            </w:pPr>
            <w:r>
              <w:t>json</w:t>
            </w:r>
          </w:p>
        </w:tc>
        <w:tc>
          <w:tcPr>
            <w:tcW w:type="auto" w:w="0"/>
            <w:shd w:val="clear" w:color="auto" w:fill="EEF2F6"/>
            <w:tcMar>
              <w:left w:type="dxa" w:w="200"/>
              <w:top w:type="dxa" w:w="200"/>
              <w:right w:type="dxa" w:w="200"/>
              <w:bottom w:type="dxa" w:w="200"/>
            </w:tcMar>
          </w:tcPr>
          <w:p>
            <w:pPr>
              <w:pStyle w:val="Para 002"/>
            </w:pPr>
            <w:r>
              <w:t xml:space="preserve">Python data (usually a </w:t>
            </w:r>
            <w:r>
              <w:rPr>
                <w:rStyle w:val="Text0"/>
              </w:rPr>
              <w:t>dict</w:t>
            </w:r>
            <w:r>
              <w:t>) to encode as JSON as the body of the request</w:t>
            </w:r>
          </w:p>
        </w:tc>
      </w:tr>
    </w:tbl>
    <w:tbl>
      <w:tblPr>
        <w:tblW w:type="auto" w:w="0"/>
      </w:tblPr>
      <w:tr>
        <w:tc>
          <w:tcPr>
            <w:tcW w:type="auto" w:w="0"/>
            <w:tcMar>
              <w:left w:type="dxa" w:w="200"/>
              <w:top w:type="dxa" w:w="200"/>
              <w:right w:type="dxa" w:w="200"/>
              <w:bottom w:type="dxa" w:w="200"/>
            </w:tcMar>
          </w:tcPr>
          <w:p>
            <w:pPr>
              <w:pStyle w:val="Para 001"/>
            </w:pPr>
            <w:r>
              <w:t>params</w:t>
            </w:r>
          </w:p>
        </w:tc>
        <w:tc>
          <w:tcPr>
            <w:tcW w:type="auto" w:w="0"/>
            <w:tcMar>
              <w:left w:type="dxa" w:w="200"/>
              <w:top w:type="dxa" w:w="200"/>
              <w:right w:type="dxa" w:w="200"/>
              <w:bottom w:type="dxa" w:w="200"/>
            </w:tcMar>
          </w:tcPr>
          <w:p>
            <w:pPr>
              <w:pStyle w:val="Para 002"/>
            </w:pPr>
            <w:r>
              <w:t xml:space="preserve">A </w:t>
            </w:r>
            <w:r>
              <w:rPr>
                <w:rStyle w:val="Text0"/>
              </w:rPr>
              <w:t>dict</w:t>
            </w:r>
            <w:r>
              <w:t xml:space="preserve"> of </w:t>
            </w:r>
            <w:r>
              <w:rPr>
                <w:rStyle w:val="Text0"/>
              </w:rPr>
              <w:t>(</w:t>
            </w:r>
            <w:r>
              <w:rPr>
                <w:rStyle w:val="Text3"/>
              </w:rPr>
              <w:t>name</w:t>
            </w:r>
            <w:r>
              <w:rPr>
                <w:rStyle w:val="Text0"/>
              </w:rPr>
              <w:t>,</w:t>
            </w:r>
            <w:r>
              <w:t xml:space="preserve"> </w:t>
            </w:r>
            <w:r>
              <w:rPr>
                <w:rStyle w:val="Text3"/>
              </w:rPr>
              <w:t>value</w:t>
            </w:r>
            <w:r>
              <w:rPr>
                <w:rStyle w:val="Text0"/>
              </w:rPr>
              <w:t>)</w:t>
            </w:r>
            <w:r>
              <w:t xml:space="preserve"> items, or a bytestring to send as the query string with the request</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timeout</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float</w:t>
            </w:r>
            <w:r>
              <w:t xml:space="preserve"> number of seconds, the maximum time to wait for the response before raising an exception</w:t>
            </w:r>
          </w:p>
        </w:tc>
      </w:tr>
    </w:tbl>
    <w:p>
      <w:pPr>
        <w:pStyle w:val="Normal"/>
      </w:pPr>
      <w:r>
        <w:rPr>
          <w:rStyle w:val="Text0"/>
        </w:rPr>
        <w:t>data</w:t>
      </w:r>
      <w:r>
        <w:t xml:space="preserve">, </w:t>
      </w:r>
      <w:r>
        <w:rPr>
          <w:rStyle w:val="Text0"/>
        </w:rPr>
        <w:t>json</w:t>
      </w:r>
      <w:r>
        <w:t xml:space="preserve">, and </w:t>
      </w:r>
      <w:r>
        <w:rPr>
          <w:rStyle w:val="Text0"/>
        </w:rPr>
        <w:t>files</w:t>
      </w:r>
      <w:r>
        <w:t xml:space="preserve"> are mutually incompatible ways to specify a body for the request; you should normally use at most one of them, and only for HTTP methods that do use a body (namely PATCH, POST, and PUT). The one exception is that you can have both a </w:t>
      </w:r>
      <w:r>
        <w:rPr>
          <w:rStyle w:val="Text0"/>
        </w:rPr>
        <w:t>data</w:t>
      </w:r>
      <w:r>
        <w:t xml:space="preserve"> argument passing a </w:t>
      </w:r>
      <w:r>
        <w:rPr>
          <w:rStyle w:val="Text0"/>
        </w:rPr>
        <w:t>dict</w:t>
      </w:r>
      <w:r>
        <w:t xml:space="preserve"> and a </w:t>
      </w:r>
      <w:r>
        <w:rPr>
          <w:rStyle w:val="Text0"/>
        </w:rPr>
        <w:t>files</w:t>
      </w:r>
      <w:r>
        <w:t xml:space="preserve"> argument. That is very common usage: in this case, both the key/value pairs in the </w:t>
      </w:r>
      <w:r>
        <w:rPr>
          <w:rStyle w:val="Text0"/>
        </w:rPr>
        <w:t>dict</w:t>
      </w:r>
      <w:r>
        <w:t xml:space="preserve"> and the files form the body of the request as a single </w:t>
      </w:r>
      <w:r>
        <w:rPr>
          <w:rStyle w:val="Text4"/>
        </w:rPr>
        <w:t>multipart/form-data</w:t>
      </w:r>
      <w:r>
        <w:t xml:space="preserve"> whole.</w:t>
      </w:r>
      <w:hyperlink w:anchor="4_According_to_RFC_2388">
        <w:r>
          <w:rPr>
            <w:rStyle w:val="Text41"/>
          </w:rPr>
          <w:bookmarkStart w:id="4104" w:name="4_10"/>
          <w:t>4</w:t>
          <w:bookmarkEnd w:id="4104"/>
        </w:r>
      </w:hyperlink>
    </w:p>
    <w:p>
      <w:bookmarkStart w:id="4105" w:name="The_files_argument__and_other_wa"/>
      <w:pPr>
        <w:keepNext/>
        <w:pStyle w:val="Heading 2"/>
      </w:pPr>
      <w:r>
        <w:t>The files argument (and other ways to specify the request’s body)</w:t>
      </w:r>
      <w:bookmarkEnd w:id="4105"/>
    </w:p>
    <w:p>
      <w:pPr>
        <w:pStyle w:val="Normal"/>
      </w:pPr>
      <w:r>
        <w:t xml:space="preserve">When you specify the request’s body with </w:t>
      </w:r>
      <w:r>
        <w:rPr>
          <w:rStyle w:val="Text0"/>
        </w:rPr>
        <w:t>json</w:t>
      </w:r>
      <w:r>
        <w:t xml:space="preserve"> or </w:t>
      </w:r>
      <w:r>
        <w:rPr>
          <w:rStyle w:val="Text0"/>
        </w:rPr>
        <w:t>data</w:t>
      </w:r>
      <w:r>
        <w:t xml:space="preserve"> (passing a bytestring or a file-like object, which must be open for reading, usually in binary mode), the resulting bytes are directly used as the request’s body. When you specify it with </w:t>
      </w:r>
      <w:r>
        <w:rPr>
          <w:rStyle w:val="Text0"/>
        </w:rPr>
        <w:t>data</w:t>
      </w:r>
      <w:r>
        <w:t xml:space="preserve"> (passing a </w:t>
      </w:r>
      <w:r>
        <w:rPr>
          <w:rStyle w:val="Text0"/>
        </w:rPr>
        <w:t>dict</w:t>
      </w:r>
      <w:r>
        <w:t xml:space="preserve"> or a sequence of key/value pairs), the body is built as a </w:t>
      </w:r>
      <w:r>
        <w:rPr>
          <w:rStyle w:val="Text4"/>
        </w:rPr>
        <w:t>form</w:t>
      </w:r>
      <w:r>
        <w:t xml:space="preserve">, from the key/value pairs formatted in </w:t>
      </w:r>
      <w:r>
        <w:rPr>
          <w:rStyle w:val="Text4"/>
        </w:rPr>
        <w:t>application/x-www-form-urlencoded</w:t>
      </w:r>
      <w:r>
        <w:t xml:space="preserve"> format, according to the relevant </w:t>
      </w:r>
      <w:hyperlink r:id="rId556">
        <w:r>
          <w:rPr>
            <w:rStyle w:val="Text1"/>
          </w:rPr>
          <w:t>web standard</w:t>
        </w:r>
      </w:hyperlink>
      <w:r>
        <w:t>.</w:t>
      </w:r>
    </w:p>
    <w:p>
      <w:pPr>
        <w:pStyle w:val="Normal"/>
      </w:pPr>
      <w:r>
        <w:t xml:space="preserve">When you specify the request’s body with </w:t>
      </w:r>
      <w:r>
        <w:rPr>
          <w:rStyle w:val="Text0"/>
        </w:rPr>
        <w:t>files</w:t>
      </w:r>
      <w:r>
        <w:t xml:space="preserve">, the body is also built as a form, in this case with the format set to </w:t>
      </w:r>
      <w:r>
        <w:rPr>
          <w:rStyle w:val="Text4"/>
        </w:rPr>
        <w:t>multipart/form-data</w:t>
      </w:r>
      <w:r>
        <w:t xml:space="preserve"> (the only way to upload files in a PATCH, POST, or PUT HTTP request). Each file you’re uploading is formatted into its own part of the form; if, in addition, you want the form to give to the server further nonfile parameters, then in addition to </w:t>
      </w:r>
      <w:r>
        <w:rPr>
          <w:rStyle w:val="Text0"/>
        </w:rPr>
        <w:t>files</w:t>
      </w:r>
      <w:r>
        <w:t xml:space="preserve">, you need to pass a </w:t>
      </w:r>
      <w:r>
        <w:rPr>
          <w:rStyle w:val="Text0"/>
        </w:rPr>
        <w:t>data</w:t>
      </w:r>
      <w:r>
        <w:t xml:space="preserve"> argument with a </w:t>
      </w:r>
      <w:r>
        <w:rPr>
          <w:rStyle w:val="Text0"/>
        </w:rPr>
        <w:t>dict</w:t>
      </w:r>
      <w:r>
        <w:t xml:space="preserve"> value (or a sequence of key/value pairs) for the further parameters. Those parameters get encoded into a supplementary part of the multipart form.</w:t>
      </w:r>
    </w:p>
    <w:p>
      <w:pPr>
        <w:pStyle w:val="Normal"/>
      </w:pPr>
      <w:r>
        <w:t xml:space="preserve">For flexibility, the value of the </w:t>
      </w:r>
      <w:r>
        <w:rPr>
          <w:rStyle w:val="Text0"/>
        </w:rPr>
        <w:t>files</w:t>
      </w:r>
      <w:r>
        <w:t xml:space="preserve"> argument can be a </w:t>
      </w:r>
      <w:r>
        <w:rPr>
          <w:rStyle w:val="Text0"/>
        </w:rPr>
        <w:t>dict</w:t>
      </w:r>
      <w:r>
        <w:t xml:space="preserve"> (its items are taken as a sequence of </w:t>
      </w:r>
      <w:r>
        <w:rPr>
          <w:rStyle w:val="Text0"/>
        </w:rPr>
        <w:t>(</w:t>
      </w:r>
      <w:r>
        <w:rPr>
          <w:rStyle w:val="Text3"/>
        </w:rPr>
        <w:t>name</w:t>
      </w:r>
      <w:r>
        <w:rPr>
          <w:rStyle w:val="Text0"/>
        </w:rPr>
        <w:t>,</w:t>
      </w:r>
      <w:r>
        <w:t xml:space="preserve"> </w:t>
      </w:r>
      <w:r>
        <w:rPr>
          <w:rStyle w:val="Text3"/>
        </w:rPr>
        <w:t>value</w:t>
      </w:r>
      <w:r>
        <w:rPr>
          <w:rStyle w:val="Text0"/>
        </w:rPr>
        <w:t>)</w:t>
      </w:r>
      <w:r>
        <w:t xml:space="preserve"> pairs), or a sequence of </w:t>
      </w:r>
      <w:r>
        <w:rPr>
          <w:rStyle w:val="Text0"/>
        </w:rPr>
        <w:t>(</w:t>
      </w:r>
      <w:r>
        <w:rPr>
          <w:rStyle w:val="Text3"/>
        </w:rPr>
        <w:t>name</w:t>
      </w:r>
      <w:r>
        <w:rPr>
          <w:rStyle w:val="Text0"/>
        </w:rPr>
        <w:t>,</w:t>
      </w:r>
      <w:r>
        <w:t xml:space="preserve"> </w:t>
      </w:r>
      <w:r>
        <w:rPr>
          <w:rStyle w:val="Text3"/>
        </w:rPr>
        <w:t>value</w:t>
      </w:r>
      <w:r>
        <w:rPr>
          <w:rStyle w:val="Text0"/>
        </w:rPr>
        <w:t>)</w:t>
      </w:r>
      <w:r>
        <w:t xml:space="preserve"> pairs (order is maintained in the resulting request body).</w:t>
      </w:r>
    </w:p>
    <w:p>
      <w:pPr>
        <w:pStyle w:val="Normal"/>
      </w:pPr>
      <w:r>
        <w:t xml:space="preserve">Either way, each value in a </w:t>
      </w:r>
      <w:r>
        <w:rPr>
          <w:rStyle w:val="Text0"/>
        </w:rPr>
        <w:t>(</w:t>
      </w:r>
      <w:r>
        <w:rPr>
          <w:rStyle w:val="Text3"/>
        </w:rPr>
        <w:t>name</w:t>
      </w:r>
      <w:r>
        <w:rPr>
          <w:rStyle w:val="Text0"/>
        </w:rPr>
        <w:t>,</w:t>
      </w:r>
      <w:r>
        <w:t xml:space="preserve"> </w:t>
      </w:r>
      <w:r>
        <w:rPr>
          <w:rStyle w:val="Text3"/>
        </w:rPr>
        <w:t>value</w:t>
      </w:r>
      <w:r>
        <w:rPr>
          <w:rStyle w:val="Text0"/>
        </w:rPr>
        <w:t>)</w:t>
      </w:r>
      <w:r>
        <w:t xml:space="preserve"> pair can be a </w:t>
      </w:r>
      <w:r>
        <w:rPr>
          <w:rStyle w:val="Text0"/>
        </w:rPr>
        <w:t>str</w:t>
      </w:r>
      <w:r>
        <w:t xml:space="preserve"> (or, better,</w:t>
      </w:r>
      <w:hyperlink w:anchor="5_As_it_gives_you_complete__expl">
        <w:r>
          <w:rPr>
            <w:rStyle w:val="Text41"/>
          </w:rPr>
          <w:bookmarkStart w:id="4106" w:name="5_8"/>
          <w:t>5</w:t>
          <w:bookmarkEnd w:id="4106"/>
        </w:r>
      </w:hyperlink>
      <w:r>
        <w:t xml:space="preserve"> a </w:t>
      </w:r>
      <w:r>
        <w:rPr>
          <w:rStyle w:val="Text0"/>
        </w:rPr>
        <w:t>bytes</w:t>
      </w:r>
      <w:r>
        <w:t xml:space="preserve"> or </w:t>
      </w:r>
      <w:r>
        <w:rPr>
          <w:rStyle w:val="Text0"/>
        </w:rPr>
        <w:t>bytearray</w:t>
      </w:r>
      <w:r>
        <w:t xml:space="preserve">) to be used directly as the uploaded file’s contents, or a file-like object open for reading (then, </w:t>
      </w:r>
      <w:r>
        <w:rPr>
          <w:rStyle w:val="Text0"/>
        </w:rPr>
        <w:t>requests</w:t>
      </w:r>
      <w:r>
        <w:t xml:space="preserve"> calls </w:t>
      </w:r>
      <w:r>
        <w:rPr>
          <w:rStyle w:val="Text0"/>
        </w:rPr>
        <w:t>.read()</w:t>
      </w:r>
      <w:r>
        <w:t xml:space="preserve"> on it and uses the result as the uploaded file’s contents; we strongly urge that in such cases you open the file in binary mode to avoid any ambiguity regarding content length). When any of these conditions apply, </w:t>
      </w:r>
      <w:r>
        <w:rPr>
          <w:rStyle w:val="Text0"/>
        </w:rPr>
        <w:t>requests</w:t>
      </w:r>
      <w:r>
        <w:t xml:space="preserve"> uses the </w:t>
      </w:r>
      <w:r>
        <w:rPr>
          <w:rStyle w:val="Text3"/>
        </w:rPr>
        <w:t>name</w:t>
      </w:r>
      <w:r>
        <w:t xml:space="preserve"> part of the pair (e.g., the key into the </w:t>
      </w:r>
      <w:r>
        <w:rPr>
          <w:rStyle w:val="Text0"/>
        </w:rPr>
        <w:t>dict</w:t>
      </w:r>
      <w:r>
        <w:t>) as the file’s name (unless it can improve on that because the open file object is able to reveal its underlying filename), takes its best guess at a content type, and uses minimal headers for the file’s form part.</w:t>
      </w:r>
    </w:p>
    <w:p>
      <w:pPr>
        <w:pStyle w:val="Normal"/>
      </w:pPr>
      <w:r>
        <w:t xml:space="preserve">Alternatively, the value in each </w:t>
      </w:r>
      <w:r>
        <w:rPr>
          <w:rStyle w:val="Text0"/>
        </w:rPr>
        <w:t>(</w:t>
      </w:r>
      <w:r>
        <w:rPr>
          <w:rStyle w:val="Text3"/>
        </w:rPr>
        <w:t>name</w:t>
      </w:r>
      <w:r>
        <w:rPr>
          <w:rStyle w:val="Text0"/>
        </w:rPr>
        <w:t>,</w:t>
      </w:r>
      <w:r>
        <w:t xml:space="preserve"> </w:t>
      </w:r>
      <w:r>
        <w:rPr>
          <w:rStyle w:val="Text3"/>
        </w:rPr>
        <w:t>value</w:t>
      </w:r>
      <w:r>
        <w:rPr>
          <w:rStyle w:val="Text0"/>
        </w:rPr>
        <w:t>)</w:t>
      </w:r>
      <w:r>
        <w:t xml:space="preserve"> pair can be a tuple with two to four items, </w:t>
      </w:r>
      <w:r>
        <w:rPr>
          <w:rStyle w:val="Text0"/>
        </w:rPr>
        <w:t>(</w:t>
      </w:r>
      <w:r>
        <w:rPr>
          <w:rStyle w:val="Text3"/>
        </w:rPr>
        <w:t>fn</w:t>
      </w:r>
      <w:r>
        <w:rPr>
          <w:rStyle w:val="Text0"/>
        </w:rPr>
        <w:t>,</w:t>
      </w:r>
      <w:r>
        <w:t xml:space="preserve"> </w:t>
      </w:r>
      <w:r>
        <w:rPr>
          <w:rStyle w:val="Text3"/>
        </w:rPr>
        <w:t>fp</w:t>
      </w:r>
      <w:r>
        <w:rPr>
          <w:rStyle w:val="Text0"/>
        </w:rPr>
        <w:t>[,</w:t>
      </w:r>
      <w:r>
        <w:t xml:space="preserve"> </w:t>
      </w:r>
      <w:r>
        <w:rPr>
          <w:rStyle w:val="Text3"/>
        </w:rPr>
        <w:t>ft</w:t>
      </w:r>
      <w:r>
        <w:rPr>
          <w:rStyle w:val="Text0"/>
        </w:rPr>
        <w:t>[,</w:t>
      </w:r>
      <w:r>
        <w:t xml:space="preserve"> </w:t>
      </w:r>
      <w:r>
        <w:rPr>
          <w:rStyle w:val="Text3"/>
        </w:rPr>
        <w:t>fh</w:t>
      </w:r>
      <w:r>
        <w:rPr>
          <w:rStyle w:val="Text0"/>
        </w:rPr>
        <w:t>]])</w:t>
      </w:r>
      <w:r>
        <w:t xml:space="preserve"> (using square brackets as metasyntax to indicate optional parts). In this case, </w:t>
      </w:r>
      <w:r>
        <w:rPr>
          <w:rStyle w:val="Text3"/>
        </w:rPr>
        <w:t>fn</w:t>
      </w:r>
      <w:r>
        <w:t xml:space="preserve"> is the file’s name, </w:t>
      </w:r>
      <w:r>
        <w:rPr>
          <w:rStyle w:val="Text3"/>
        </w:rPr>
        <w:t>fp</w:t>
      </w:r>
      <w:r>
        <w:t xml:space="preserve"> provides the contents (in just the same way as in the previous paragraph), optional </w:t>
      </w:r>
      <w:r>
        <w:rPr>
          <w:rStyle w:val="Text3"/>
        </w:rPr>
        <w:t>ft</w:t>
      </w:r>
      <w:r>
        <w:t xml:space="preserve"> provides the content type (if missing, </w:t>
      </w:r>
      <w:r>
        <w:rPr>
          <w:rStyle w:val="Text0"/>
        </w:rPr>
        <w:t>requests</w:t>
      </w:r>
      <w:r>
        <w:t xml:space="preserve"> guesses it, as in the previous paragraph), and the optional </w:t>
      </w:r>
      <w:r>
        <w:rPr>
          <w:rStyle w:val="Text0"/>
        </w:rPr>
        <w:t>dict</w:t>
      </w:r>
      <w:r>
        <w:t xml:space="preserve"> </w:t>
      </w:r>
      <w:r>
        <w:rPr>
          <w:rStyle w:val="Text3"/>
        </w:rPr>
        <w:t>fh</w:t>
      </w:r>
      <w:r>
        <w:t xml:space="preserve"> provides extra headers for the file’s form part.</w:t>
      </w:r>
    </w:p>
    <w:p>
      <w:bookmarkStart w:id="4107" w:name="How_to_interpret_requests_exampl"/>
      <w:pPr>
        <w:keepNext/>
        <w:pStyle w:val="Heading 2"/>
      </w:pPr>
      <w:r>
        <w:t>How to interpret requests examples</w:t>
      </w:r>
      <w:bookmarkEnd w:id="4107"/>
    </w:p>
    <w:p>
      <w:pPr>
        <w:pStyle w:val="Normal"/>
      </w:pPr>
      <w:r>
        <w:t xml:space="preserve">In practical applications, you don’t usually need to consider the internal instance </w:t>
      </w:r>
      <w:r>
        <w:rPr>
          <w:rStyle w:val="Text3"/>
        </w:rPr>
        <w:t>r</w:t>
      </w:r>
      <w:r>
        <w:t xml:space="preserve"> of the class </w:t>
      </w:r>
      <w:r>
        <w:rPr>
          <w:rStyle w:val="Text0"/>
        </w:rPr>
        <w:t>requests.Request</w:t>
      </w:r>
      <w:r>
        <w:t xml:space="preserve">, which functions like </w:t>
      </w:r>
      <w:r>
        <w:rPr>
          <w:rStyle w:val="Text0"/>
        </w:rPr>
        <w:t>requests.post</w:t>
      </w:r>
      <w:r>
        <w:t xml:space="preserve"> is building, preparing, and then sending on your behalf. However, to understand exactly what </w:t>
      </w:r>
      <w:r>
        <w:rPr>
          <w:rStyle w:val="Text0"/>
        </w:rPr>
        <w:t>requests</w:t>
      </w:r>
      <w:r>
        <w:t xml:space="preserve"> is doing, working at a lower level of abstraction (building, preparing, and examining </w:t>
      </w:r>
      <w:r>
        <w:rPr>
          <w:rStyle w:val="Text3"/>
        </w:rPr>
        <w:t>r</w:t>
      </w:r>
      <w:r>
        <w:t xml:space="preserve">—no need to send it!) is instructive. For example, after importing </w:t>
      </w:r>
      <w:r>
        <w:rPr>
          <w:rStyle w:val="Text0"/>
        </w:rPr>
        <w:t>requests</w:t>
      </w:r>
      <w:r>
        <w:t xml:space="preserve">, passing </w:t>
      </w:r>
      <w:r>
        <w:rPr>
          <w:rStyle w:val="Text0"/>
        </w:rPr>
        <w:t>data</w:t>
      </w:r>
      <w:r>
        <w:t xml:space="preserve"> as in the following example:</w:t>
      </w:r>
    </w:p>
    <w:p>
      <w:pPr>
        <w:pStyle w:val="Para 007"/>
      </w:pPr>
      <w:r>
        <w:rPr>
          <w:rStyle w:val="Text23"/>
        </w:rPr>
        <w:t xml:space="preserve"/>
        <w:br w:clear="none"/>
      </w:r>
      <w:r>
        <w:t xml:space="preserve">r</w:t>
        <w:br w:clear="none"/>
      </w:r>
      <w:r>
        <w:rPr>
          <w:rStyle w:val="Text23"/>
        </w:rPr>
        <w:t xml:space="preserve"> </w:t>
        <w:br w:clear="none"/>
      </w:r>
      <w:r>
        <w:rPr>
          <w:rStyle w:val="Text13"/>
        </w:rPr>
        <w:t xml:space="preserve">=</w:t>
        <w:br w:clear="none"/>
      </w:r>
      <w:r>
        <w:rPr>
          <w:rStyle w:val="Text23"/>
        </w:rPr>
        <w:t xml:space="preserve"> </w:t>
        <w:br w:clear="none"/>
      </w:r>
      <w:r>
        <w:t xml:space="preserve">requests</w:t>
        <w:br w:clear="none"/>
      </w:r>
      <w:r>
        <w:rPr>
          <w:rStyle w:val="Text13"/>
        </w:rPr>
        <w:t xml:space="preserve">.</w:t>
        <w:br w:clear="none"/>
      </w:r>
      <w:r>
        <w:t xml:space="preserve">Request</w:t>
        <w:br w:clear="none"/>
      </w:r>
      <w:r>
        <w:rPr>
          <w:rStyle w:val="Text7"/>
        </w:rPr>
        <w:t xml:space="preserve">(</w:t>
        <w:br w:clear="none"/>
      </w:r>
      <w:r>
        <w:rPr>
          <w:rStyle w:val="Text8"/>
        </w:rPr>
        <w:t xml:space="preserve">'GET'</w:t>
        <w:br w:clear="none"/>
      </w:r>
      <w:r>
        <w:rPr>
          <w:rStyle w:val="Text7"/>
        </w:rPr>
        <w:t xml:space="preserve">,</w:t>
        <w:br w:clear="none"/>
      </w:r>
      <w:r>
        <w:rPr>
          <w:rStyle w:val="Text23"/>
        </w:rPr>
        <w:t xml:space="preserve"> </w:t>
        <w:br w:clear="none"/>
      </w:r>
      <w:r>
        <w:rPr>
          <w:rStyle w:val="Text8"/>
        </w:rPr>
        <w:t xml:space="preserve">'http://www.example.com'</w:t>
        <w:br w:clear="none"/>
      </w:r>
      <w:r>
        <w:rPr>
          <w:rStyle w:val="Text7"/>
        </w:rPr>
        <w:t xml:space="preserve">,</w:t>
        <w:br w:clear="none"/>
      </w:r>
      <w:r>
        <w:rPr>
          <w:rStyle w:val="Text23"/>
        </w:rPr>
        <w:t xml:space="preserve"/>
        <w:br w:clear="none"/>
        <w:t xml:space="preserve">    </w:t>
        <w:br w:clear="none"/>
      </w:r>
      <w:r>
        <w:t xml:space="preserve">data</w:t>
        <w:br w:clear="none"/>
      </w:r>
      <w:r>
        <w:rPr>
          <w:rStyle w:val="Text13"/>
        </w:rPr>
        <w:t xml:space="preserve">=</w:t>
        <w:br w:clear="none"/>
      </w:r>
      <w:r>
        <w:rPr>
          <w:rStyle w:val="Text7"/>
        </w:rPr>
        <w:t xml:space="preserve">{</w:t>
        <w:br w:clear="none"/>
      </w:r>
      <w:r>
        <w:rPr>
          <w:rStyle w:val="Text8"/>
        </w:rPr>
        <w:t xml:space="preserve">'foo'</w:t>
        <w:br w:clear="none"/>
      </w:r>
      <w:r>
        <w:rPr>
          <w:rStyle w:val="Text7"/>
        </w:rPr>
        <w:t xml:space="preserve">:</w:t>
        <w:br w:clear="none"/>
      </w:r>
      <w:r>
        <w:rPr>
          <w:rStyle w:val="Text23"/>
        </w:rPr>
        <w:t xml:space="preserve"> </w:t>
        <w:br w:clear="none"/>
      </w:r>
      <w:r>
        <w:rPr>
          <w:rStyle w:val="Text8"/>
        </w:rPr>
        <w:t xml:space="preserve">'bar'</w:t>
        <w:br w:clear="none"/>
      </w:r>
      <w:r>
        <w:rPr>
          <w:rStyle w:val="Text7"/>
        </w:rPr>
        <w:t xml:space="preserve">},</w:t>
        <w:br w:clear="none"/>
      </w:r>
      <w:r>
        <w:rPr>
          <w:rStyle w:val="Text23"/>
        </w:rPr>
        <w:t xml:space="preserve"> </w:t>
        <w:br w:clear="none"/>
      </w:r>
      <w:r>
        <w:t xml:space="preserve">params</w:t>
        <w:br w:clear="none"/>
      </w:r>
      <w:r>
        <w:rPr>
          <w:rStyle w:val="Text13"/>
        </w:rPr>
        <w:t xml:space="preserve">=</w:t>
        <w:br w:clear="none"/>
      </w:r>
      <w:r>
        <w:rPr>
          <w:rStyle w:val="Text7"/>
        </w:rPr>
        <w:t xml:space="preserve">{</w:t>
        <w:br w:clear="none"/>
      </w:r>
      <w:r>
        <w:rPr>
          <w:rStyle w:val="Text8"/>
        </w:rPr>
        <w:t xml:space="preserve">'fie'</w:t>
        <w:br w:clear="none"/>
      </w:r>
      <w:r>
        <w:rPr>
          <w:rStyle w:val="Text7"/>
        </w:rPr>
        <w:t xml:space="preserve">:</w:t>
        <w:br w:clear="none"/>
      </w:r>
      <w:r>
        <w:rPr>
          <w:rStyle w:val="Text23"/>
        </w:rPr>
        <w:t xml:space="preserve"> </w:t>
        <w:br w:clear="none"/>
      </w:r>
      <w:r>
        <w:rPr>
          <w:rStyle w:val="Text8"/>
        </w:rPr>
        <w:t xml:space="preserve">'foo'</w:t>
        <w:br w:clear="none"/>
      </w:r>
      <w:r>
        <w:rPr>
          <w:rStyle w:val="Text7"/>
        </w:rPr>
        <w:t xml:space="preserve">})</w:t>
        <w:br w:clear="none"/>
      </w:r>
      <w:r>
        <w:rPr>
          <w:rStyle w:val="Text23"/>
        </w:rPr>
        <w:t xml:space="preserve"/>
        <w:br w:clear="none"/>
      </w:r>
      <w:r>
        <w:t xml:space="preserve">p</w:t>
        <w:br w:clear="none"/>
      </w:r>
      <w:r>
        <w:rPr>
          <w:rStyle w:val="Text23"/>
        </w:rPr>
        <w:t xml:space="preserve"> </w:t>
        <w:br w:clear="none"/>
      </w:r>
      <w:r>
        <w:rPr>
          <w:rStyle w:val="Text13"/>
        </w:rPr>
        <w:t xml:space="preserve">=</w:t>
        <w:br w:clear="none"/>
      </w:r>
      <w:r>
        <w:rPr>
          <w:rStyle w:val="Text23"/>
        </w:rPr>
        <w:t xml:space="preserve"> </w:t>
        <w:br w:clear="none"/>
      </w:r>
      <w:r>
        <w:t xml:space="preserve">r</w:t>
        <w:br w:clear="none"/>
      </w:r>
      <w:r>
        <w:rPr>
          <w:rStyle w:val="Text13"/>
        </w:rPr>
        <w:t xml:space="preserve">.</w:t>
        <w:br w:clear="none"/>
      </w:r>
      <w:r>
        <w:t xml:space="preserve">prepare</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t xml:space="preserve">p</w:t>
        <w:br w:clear="none"/>
      </w:r>
      <w:r>
        <w:rPr>
          <w:rStyle w:val="Text13"/>
        </w:rPr>
        <w:t xml:space="preserve">.</w:t>
        <w:br w:clear="none"/>
      </w:r>
      <w:r>
        <w:t xml:space="preserve">url</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t xml:space="preserve">p</w:t>
        <w:br w:clear="none"/>
      </w:r>
      <w:r>
        <w:rPr>
          <w:rStyle w:val="Text13"/>
        </w:rPr>
        <w:t xml:space="preserve">.</w:t>
        <w:br w:clear="none"/>
      </w:r>
      <w:r>
        <w:t xml:space="preserve">headers</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t xml:space="preserve">p</w:t>
        <w:br w:clear="none"/>
      </w:r>
      <w:r>
        <w:rPr>
          <w:rStyle w:val="Text13"/>
        </w:rPr>
        <w:t xml:space="preserve">.</w:t>
        <w:br w:clear="none"/>
      </w:r>
      <w:r>
        <w:t xml:space="preserve">body</w:t>
        <w:br w:clear="none"/>
      </w:r>
      <w:r>
        <w:rPr>
          <w:rStyle w:val="Text7"/>
        </w:rPr>
        <w:t xml:space="preserve">)</w:t>
        <w:br w:clear="none"/>
      </w:r>
    </w:p>
    <w:p>
      <w:pPr>
        <w:pStyle w:val="Normal"/>
      </w:pPr>
      <w:r>
        <w:t xml:space="preserve">prints out (splitting the </w:t>
      </w:r>
      <w:r>
        <w:rPr>
          <w:rStyle w:val="Text3"/>
        </w:rPr>
        <w:t>p</w:t>
      </w:r>
      <w:r>
        <w:rPr>
          <w:rStyle w:val="Text0"/>
        </w:rPr>
        <w:t>.headers</w:t>
      </w:r>
      <w:r>
        <w:t xml:space="preserve"> </w:t>
      </w:r>
      <w:r>
        <w:rPr>
          <w:rStyle w:val="Text0"/>
        </w:rPr>
        <w:t>dict</w:t>
      </w:r>
      <w:r>
        <w:t>’s printout for readability):</w:t>
      </w:r>
    </w:p>
    <w:p>
      <w:pPr>
        <w:pStyle w:val="Para 008"/>
      </w:pPr>
      <w:r>
        <w:rPr>
          <w:rStyle w:val="Text48"/>
        </w:rPr>
        <w:t xml:space="preserve"/>
        <w:br w:clear="none"/>
      </w:r>
      <w:r>
        <w:t xml:space="preserve">http://www.example.com/?fie=foo</w:t>
        <w:br w:clear="none"/>
      </w:r>
      <w:r>
        <w:rPr>
          <w:rStyle w:val="Text48"/>
        </w:rPr>
        <w:t xml:space="preserve"/>
        <w:br w:clear="none"/>
      </w:r>
      <w:r>
        <w:t xml:space="preserve">{'Content-Length': '7',</w:t>
        <w:br w:clear="none"/>
      </w:r>
      <w:r>
        <w:rPr>
          <w:rStyle w:val="Text48"/>
        </w:rPr>
        <w:t xml:space="preserve"/>
        <w:br w:clear="none"/>
      </w:r>
      <w:r>
        <w:t xml:space="preserve"> 'Content-Type': 'application/x-www-form-urlencoded'}</w:t>
        <w:br w:clear="none"/>
      </w:r>
      <w:r>
        <w:rPr>
          <w:rStyle w:val="Text48"/>
        </w:rPr>
        <w:t xml:space="preserve"/>
        <w:br w:clear="none"/>
      </w:r>
      <w:r>
        <w:t xml:space="preserve">foo=bar</w:t>
        <w:br w:clear="none"/>
      </w:r>
    </w:p>
    <w:p>
      <w:pPr>
        <w:pStyle w:val="Normal"/>
      </w:pPr>
      <w:r>
        <w:t xml:space="preserve">Similarly, when passing </w:t>
      </w:r>
      <w:r>
        <w:rPr>
          <w:rStyle w:val="Text0"/>
        </w:rPr>
        <w:t>files</w:t>
      </w:r>
      <w:r>
        <w:t>:</w:t>
      </w:r>
    </w:p>
    <w:p>
      <w:pPr>
        <w:pStyle w:val="Para 020"/>
      </w:pPr>
      <w:r>
        <w:rPr>
          <w:rStyle w:val="Text23"/>
        </w:rPr>
        <w:t xml:space="preserve"/>
        <w:br w:clear="none"/>
      </w:r>
      <w:r>
        <w:rPr>
          <w:rStyle w:val="Text9"/>
        </w:rPr>
        <w:t xml:space="preserve">r</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requests</w:t>
        <w:br w:clear="none"/>
      </w:r>
      <w:r>
        <w:rPr>
          <w:rStyle w:val="Text13"/>
        </w:rPr>
        <w:t xml:space="preserve">.</w:t>
        <w:br w:clear="none"/>
      </w:r>
      <w:r>
        <w:rPr>
          <w:rStyle w:val="Text9"/>
        </w:rPr>
        <w:t xml:space="preserve">Request</w:t>
        <w:br w:clear="none"/>
      </w:r>
      <w:r>
        <w:rPr>
          <w:rStyle w:val="Text7"/>
        </w:rPr>
        <w:t xml:space="preserve">(</w:t>
        <w:br w:clear="none"/>
      </w:r>
      <w:r>
        <w:t xml:space="preserve">'POST'</w:t>
        <w:br w:clear="none"/>
      </w:r>
      <w:r>
        <w:rPr>
          <w:rStyle w:val="Text7"/>
        </w:rPr>
        <w:t xml:space="preserve">,</w:t>
        <w:br w:clear="none"/>
      </w:r>
      <w:r>
        <w:rPr>
          <w:rStyle w:val="Text23"/>
        </w:rPr>
        <w:t xml:space="preserve"> </w:t>
        <w:br w:clear="none"/>
      </w:r>
      <w:r>
        <w:t xml:space="preserve">'http://www.example.com'</w:t>
        <w:br w:clear="none"/>
      </w:r>
      <w:r>
        <w:rPr>
          <w:rStyle w:val="Text7"/>
        </w:rPr>
        <w:t xml:space="preserve">,</w:t>
        <w:br w:clear="none"/>
      </w:r>
      <w:r>
        <w:rPr>
          <w:rStyle w:val="Text23"/>
        </w:rPr>
        <w:t xml:space="preserve"/>
        <w:br w:clear="none"/>
        <w:t xml:space="preserve">    </w:t>
        <w:br w:clear="none"/>
      </w:r>
      <w:r>
        <w:rPr>
          <w:rStyle w:val="Text9"/>
        </w:rPr>
        <w:t xml:space="preserve">data</w:t>
        <w:br w:clear="none"/>
      </w:r>
      <w:r>
        <w:rPr>
          <w:rStyle w:val="Text13"/>
        </w:rPr>
        <w:t xml:space="preserve">=</w:t>
        <w:br w:clear="none"/>
      </w:r>
      <w:r>
        <w:rPr>
          <w:rStyle w:val="Text7"/>
        </w:rPr>
        <w:t xml:space="preserve">{</w:t>
        <w:br w:clear="none"/>
      </w:r>
      <w:r>
        <w:t xml:space="preserve">'foo'</w:t>
        <w:br w:clear="none"/>
      </w:r>
      <w:r>
        <w:rPr>
          <w:rStyle w:val="Text7"/>
        </w:rPr>
        <w:t xml:space="preserve">:</w:t>
        <w:br w:clear="none"/>
      </w:r>
      <w:r>
        <w:rPr>
          <w:rStyle w:val="Text23"/>
        </w:rPr>
        <w:t xml:space="preserve"> </w:t>
        <w:br w:clear="none"/>
      </w:r>
      <w:r>
        <w:t xml:space="preserve">'bar'</w:t>
        <w:br w:clear="none"/>
      </w:r>
      <w:r>
        <w:rPr>
          <w:rStyle w:val="Text7"/>
        </w:rPr>
        <w:t xml:space="preserve">},</w:t>
        <w:br w:clear="none"/>
      </w:r>
      <w:r>
        <w:rPr>
          <w:rStyle w:val="Text23"/>
        </w:rPr>
        <w:t xml:space="preserve"> </w:t>
        <w:br w:clear="none"/>
      </w:r>
      <w:r>
        <w:rPr>
          <w:rStyle w:val="Text9"/>
        </w:rPr>
        <w:t xml:space="preserve">files</w:t>
        <w:br w:clear="none"/>
      </w:r>
      <w:r>
        <w:rPr>
          <w:rStyle w:val="Text13"/>
        </w:rPr>
        <w:t xml:space="preserve">=</w:t>
        <w:br w:clear="none"/>
      </w:r>
      <w:r>
        <w:rPr>
          <w:rStyle w:val="Text7"/>
        </w:rPr>
        <w:t xml:space="preserve">{</w:t>
        <w:br w:clear="none"/>
      </w:r>
      <w:r>
        <w:t xml:space="preserve">'fie'</w:t>
        <w:br w:clear="none"/>
      </w:r>
      <w:r>
        <w:rPr>
          <w:rStyle w:val="Text7"/>
        </w:rPr>
        <w:t xml:space="preserve">:</w:t>
        <w:br w:clear="none"/>
      </w:r>
      <w:r>
        <w:rPr>
          <w:rStyle w:val="Text23"/>
        </w:rPr>
        <w:t xml:space="preserve"> </w:t>
        <w:br w:clear="none"/>
      </w:r>
      <w:r>
        <w:t xml:space="preserve">'foo'</w:t>
        <w:br w:clear="none"/>
      </w:r>
      <w:r>
        <w:rPr>
          <w:rStyle w:val="Text7"/>
        </w:rPr>
        <w:t xml:space="preserve">})</w:t>
        <w:br w:clear="none"/>
      </w:r>
      <w:r>
        <w:rPr>
          <w:rStyle w:val="Text23"/>
        </w:rPr>
        <w:t xml:space="preserve"/>
        <w:br w:clear="none"/>
      </w:r>
      <w:r>
        <w:rPr>
          <w:rStyle w:val="Text9"/>
        </w:rPr>
        <w:t xml:space="preserve">p</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r</w:t>
        <w:br w:clear="none"/>
      </w:r>
      <w:r>
        <w:rPr>
          <w:rStyle w:val="Text13"/>
        </w:rPr>
        <w:t xml:space="preserve">.</w:t>
        <w:br w:clear="none"/>
      </w:r>
      <w:r>
        <w:rPr>
          <w:rStyle w:val="Text9"/>
        </w:rPr>
        <w:t xml:space="preserve">prepare</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rPr>
          <w:rStyle w:val="Text9"/>
        </w:rPr>
        <w:t xml:space="preserve">p</w:t>
        <w:br w:clear="none"/>
      </w:r>
      <w:r>
        <w:rPr>
          <w:rStyle w:val="Text13"/>
        </w:rPr>
        <w:t xml:space="preserve">.</w:t>
        <w:br w:clear="none"/>
      </w:r>
      <w:r>
        <w:rPr>
          <w:rStyle w:val="Text9"/>
        </w:rPr>
        <w:t xml:space="preserve">headers</w:t>
        <w:br w:clear="none"/>
      </w:r>
      <w:r>
        <w:rPr>
          <w:rStyle w:val="Text7"/>
        </w:rPr>
        <w:t xml:space="preserve">)</w:t>
        <w:br w:clear="none"/>
      </w:r>
      <w:r>
        <w:rPr>
          <w:rStyle w:val="Text23"/>
        </w:rPr>
        <w:t xml:space="preserve"/>
        <w:br w:clear="none"/>
      </w:r>
      <w:r>
        <w:rPr>
          <w:rStyle w:val="Text16"/>
        </w:rPr>
        <w:t xml:space="preserve">print</w:t>
        <w:br w:clear="none"/>
      </w:r>
      <w:r>
        <w:rPr>
          <w:rStyle w:val="Text7"/>
        </w:rPr>
        <w:t xml:space="preserve">(</w:t>
        <w:br w:clear="none"/>
      </w:r>
      <w:r>
        <w:rPr>
          <w:rStyle w:val="Text9"/>
        </w:rPr>
        <w:t xml:space="preserve">p</w:t>
        <w:br w:clear="none"/>
      </w:r>
      <w:r>
        <w:rPr>
          <w:rStyle w:val="Text13"/>
        </w:rPr>
        <w:t xml:space="preserve">.</w:t>
        <w:br w:clear="none"/>
      </w:r>
      <w:r>
        <w:rPr>
          <w:rStyle w:val="Text9"/>
        </w:rPr>
        <w:t xml:space="preserve">body</w:t>
        <w:br w:clear="none"/>
      </w:r>
      <w:r>
        <w:rPr>
          <w:rStyle w:val="Text7"/>
        </w:rPr>
        <w:t xml:space="preserve">)</w:t>
        <w:br w:clear="none"/>
      </w:r>
    </w:p>
    <w:p>
      <w:pPr>
        <w:pStyle w:val="Normal"/>
      </w:pPr>
      <w:r>
        <w:t>this prints out (with several lines split for readability):</w:t>
      </w:r>
    </w:p>
    <w:p>
      <w:pPr>
        <w:pStyle w:val="Para 008"/>
      </w:pPr>
      <w:r>
        <w:rPr>
          <w:rStyle w:val="Text48"/>
        </w:rPr>
        <w:t xml:space="preserve"/>
        <w:br w:clear="none"/>
      </w:r>
      <w:r>
        <w:t xml:space="preserve">{'Content-Length': '228',</w:t>
        <w:br w:clear="none"/>
      </w:r>
      <w:r>
        <w:rPr>
          <w:rStyle w:val="Text48"/>
        </w:rPr>
        <w:t xml:space="preserve"/>
        <w:br w:clear="none"/>
      </w:r>
      <w:r>
        <w:t xml:space="preserve"> 'Content-Type': 'multipart/form-data; boundary=dfd600d8aa58496270'}</w:t>
        <w:br w:clear="none"/>
      </w:r>
      <w:r>
        <w:rPr>
          <w:rStyle w:val="Text48"/>
        </w:rPr>
        <w:t xml:space="preserve"/>
        <w:br w:clear="none"/>
      </w:r>
      <w:r>
        <w:t xml:space="preserve">b'--dfd600d8aa58496270\r\nContent-Disposition: form-data;</w:t>
        <w:br w:clear="none"/>
      </w:r>
      <w:r>
        <w:rPr>
          <w:rStyle w:val="Text48"/>
        </w:rPr>
        <w:t xml:space="preserve"/>
        <w:br w:clear="none"/>
      </w:r>
      <w:r>
        <w:t xml:space="preserve">="foo"\r\n\r\nbar\r\n--dfd600d8aa584962709b936134b1cfce\r\n</w:t>
        <w:br w:clear="none"/>
      </w:r>
      <w:r>
        <w:rPr>
          <w:rStyle w:val="Text48"/>
        </w:rPr>
        <w:t xml:space="preserve"/>
        <w:br w:clear="none"/>
      </w:r>
      <w:r>
        <w:t xml:space="preserve">Content-Disposition: form-data; name="fie" filename="fie"\r\n\r\nfoo\r\n</w:t>
        <w:br w:clear="none"/>
      </w:r>
      <w:r>
        <w:rPr>
          <w:rStyle w:val="Text48"/>
        </w:rPr>
        <w:t xml:space="preserve"/>
        <w:br w:clear="none"/>
      </w:r>
      <w:r>
        <w:t xml:space="preserve">--dfd600d8aa584962709b936134b1cfce--\r\n'</w:t>
        <w:br w:clear="none"/>
      </w:r>
    </w:p>
    <w:p>
      <w:pPr>
        <w:pStyle w:val="Normal"/>
      </w:pPr>
      <w:r>
        <w:t>Happy interactive exploring!</w:t>
      </w:r>
    </w:p>
    <w:p>
      <w:bookmarkStart w:id="4108" w:name="The_Response_class__The_one_clas"/>
      <w:pPr>
        <w:keepNext/>
        <w:pStyle w:val="Heading 2"/>
      </w:pPr>
      <w:r>
        <w:t>The Response class</w:t>
      </w:r>
      <w:bookmarkEnd w:id="4108"/>
    </w:p>
    <w:p>
      <w:pPr>
        <w:pStyle w:val="Normal"/>
      </w:pPr>
      <w:r>
        <w:t>The</w:t>
      </w:r>
      <w:r>
        <w:rPr>
          <w:rStyle w:val="Text111"/>
        </w:rPr>
        <w:bookmarkStart w:id="4109" w:name="idm45965175072192"/>
        <w:t/>
        <w:bookmarkEnd w:id="4109"/>
      </w:r>
      <w:r>
        <w:t xml:space="preserve"> one class from the </w:t>
      </w:r>
      <w:r>
        <w:rPr>
          <w:rStyle w:val="Text0"/>
        </w:rPr>
        <w:t>requests</w:t>
      </w:r>
      <w:r>
        <w:t xml:space="preserve"> module that you always have to consider is </w:t>
      </w:r>
      <w:r>
        <w:rPr>
          <w:rStyle w:val="Text0"/>
        </w:rPr>
        <w:t>Response</w:t>
      </w:r>
      <w:r>
        <w:t xml:space="preserve">: every request, once sent to the server (typically, that’s done implicitly by methods such as </w:t>
      </w:r>
      <w:r>
        <w:rPr>
          <w:rStyle w:val="Text0"/>
        </w:rPr>
        <w:t>get</w:t>
      </w:r>
      <w:r>
        <w:t xml:space="preserve">), returns an instance </w:t>
      </w:r>
      <w:r>
        <w:rPr>
          <w:rStyle w:val="Text3"/>
        </w:rPr>
        <w:t>r</w:t>
      </w:r>
      <w:r>
        <w:t xml:space="preserve"> of </w:t>
      </w:r>
      <w:r>
        <w:rPr>
          <w:rStyle w:val="Text0"/>
        </w:rPr>
        <w:t>requests.Response</w:t>
      </w:r>
      <w:r>
        <w:t>.</w:t>
      </w:r>
    </w:p>
    <w:p>
      <w:pPr>
        <w:pStyle w:val="Normal"/>
      </w:pPr>
      <w:r>
        <w:t xml:space="preserve">The first thing you usually want to do is to check </w:t>
      </w:r>
      <w:r>
        <w:rPr>
          <w:rStyle w:val="Text3"/>
        </w:rPr>
        <w:t>r</w:t>
      </w:r>
      <w:r>
        <w:rPr>
          <w:rStyle w:val="Text0"/>
        </w:rPr>
        <w:t>.status_code</w:t>
      </w:r>
      <w:r>
        <w:t xml:space="preserve">, an </w:t>
      </w:r>
      <w:r>
        <w:rPr>
          <w:rStyle w:val="Text0"/>
        </w:rPr>
        <w:t>int</w:t>
      </w:r>
      <w:r>
        <w:t xml:space="preserve"> that tells you how the request went, in typical “HTTPese”: </w:t>
      </w:r>
      <w:r>
        <w:rPr>
          <w:rStyle w:val="Text0"/>
        </w:rPr>
        <w:t>200</w:t>
      </w:r>
      <w:r>
        <w:t xml:space="preserve"> means “everything’s fine,” </w:t>
      </w:r>
      <w:r>
        <w:rPr>
          <w:rStyle w:val="Text0"/>
        </w:rPr>
        <w:t>404</w:t>
      </w:r>
      <w:r>
        <w:t xml:space="preserve"> means “not found,” and so on. If you’d rather just get an exception for status codes indicating some kind of error, call </w:t>
      </w:r>
      <w:r>
        <w:rPr>
          <w:rStyle w:val="Text3"/>
        </w:rPr>
        <w:t>r</w:t>
      </w:r>
      <w:r>
        <w:rPr>
          <w:rStyle w:val="Text0"/>
        </w:rPr>
        <w:t>.raise_for_status</w:t>
      </w:r>
      <w:r>
        <w:t xml:space="preserve">; that does nothing if the request went fine, but raises </w:t>
      </w:r>
      <w:r>
        <w:rPr>
          <w:rStyle w:val="Text0"/>
        </w:rPr>
        <w:t>requests.exceptions.HTTPError</w:t>
      </w:r>
      <w:r>
        <w:t xml:space="preserve"> otherwise. (Other exceptions, not corresponding to any specific HTTP status code, can and do get raised without requiring any such explicit call: e.g., </w:t>
      </w:r>
      <w:r>
        <w:rPr>
          <w:rStyle w:val="Text0"/>
        </w:rPr>
        <w:t>ConnectionError</w:t>
      </w:r>
      <w:r>
        <w:t xml:space="preserve"> for any kind of network problem, or </w:t>
      </w:r>
      <w:r>
        <w:rPr>
          <w:rStyle w:val="Text0"/>
        </w:rPr>
        <w:t>TimeoutError</w:t>
      </w:r>
      <w:r>
        <w:t xml:space="preserve"> for a timeout.)</w:t>
      </w:r>
    </w:p>
    <w:p>
      <w:pPr>
        <w:pStyle w:val="Normal"/>
      </w:pPr>
      <w:r>
        <w:t xml:space="preserve">Next, you may want to check the response’s HTTP headers: for that, use </w:t>
      </w:r>
      <w:r>
        <w:rPr>
          <w:rStyle w:val="Text3"/>
        </w:rPr>
        <w:t>r</w:t>
      </w:r>
      <w:r>
        <w:rPr>
          <w:rStyle w:val="Text0"/>
        </w:rPr>
        <w:t>.headers</w:t>
      </w:r>
      <w:r>
        <w:t xml:space="preserve">, a </w:t>
      </w:r>
      <w:r>
        <w:rPr>
          <w:rStyle w:val="Text0"/>
        </w:rPr>
        <w:t>dict</w:t>
      </w:r>
      <w:r>
        <w:t xml:space="preserve"> (with the special feature of having case-insensitive string-only keys indicating the header names as listed, e.g., in </w:t>
      </w:r>
      <w:hyperlink r:id="rId557">
        <w:r>
          <w:rPr>
            <w:rStyle w:val="Text1"/>
          </w:rPr>
          <w:t>Wikipedia</w:t>
        </w:r>
      </w:hyperlink>
      <w:r>
        <w:t xml:space="preserve">, per the HTTP specs). Most headers can be safely ignored, but sometimes you’d rather check. For example, you can verify whether the response specifies which natural language its body is written in, via </w:t>
      </w:r>
      <w:r>
        <w:rPr>
          <w:rStyle w:val="Text3"/>
        </w:rPr>
        <w:t>r</w:t>
      </w:r>
      <w:r>
        <w:rPr>
          <w:rStyle w:val="Text0"/>
        </w:rPr>
        <w:t>.headers.get('content-language')</w:t>
      </w:r>
      <w:r>
        <w:t>, to offer different presentation choices, such as the option to use some kind of language translation service to make the response more usable for the user.</w:t>
      </w:r>
    </w:p>
    <w:p>
      <w:pPr>
        <w:pStyle w:val="Normal"/>
      </w:pPr>
      <w:r>
        <w:t xml:space="preserve">You don’t usually need to make specific status or header checks for redirects: by default, </w:t>
      </w:r>
      <w:r>
        <w:rPr>
          <w:rStyle w:val="Text0"/>
        </w:rPr>
        <w:t>requests</w:t>
      </w:r>
      <w:r>
        <w:t xml:space="preserve"> automatically follows redirects for all methods except HEAD (you can explicitly pass the </w:t>
      </w:r>
      <w:r>
        <w:rPr>
          <w:rStyle w:val="Text0"/>
        </w:rPr>
        <w:t>allow_redirection</w:t>
      </w:r>
      <w:r>
        <w:t xml:space="preserve"> named parameter in the request to alter that behavior). If you allow redirects, you may want to check </w:t>
      </w:r>
      <w:r>
        <w:rPr>
          <w:rStyle w:val="Text3"/>
        </w:rPr>
        <w:t>r</w:t>
      </w:r>
      <w:r>
        <w:rPr>
          <w:rStyle w:val="Text0"/>
        </w:rPr>
        <w:t>.history</w:t>
      </w:r>
      <w:r>
        <w:t xml:space="preserve">, a list of all </w:t>
      </w:r>
      <w:r>
        <w:rPr>
          <w:rStyle w:val="Text0"/>
        </w:rPr>
        <w:t>Response</w:t>
      </w:r>
      <w:r>
        <w:t xml:space="preserve"> instances accumulated along the way, oldest to newest, up to but excluding </w:t>
      </w:r>
      <w:r>
        <w:rPr>
          <w:rStyle w:val="Text3"/>
        </w:rPr>
        <w:t>r</w:t>
      </w:r>
      <w:r>
        <w:t xml:space="preserve"> itself (</w:t>
      </w:r>
      <w:r>
        <w:rPr>
          <w:rStyle w:val="Text3"/>
        </w:rPr>
        <w:t>r</w:t>
      </w:r>
      <w:r>
        <w:rPr>
          <w:rStyle w:val="Text0"/>
        </w:rPr>
        <w:t>.history</w:t>
      </w:r>
      <w:r>
        <w:t xml:space="preserve"> is empty if there have been no redirects).</w:t>
      </w:r>
    </w:p>
    <w:p>
      <w:pPr>
        <w:pStyle w:val="Normal"/>
      </w:pPr>
      <w:r>
        <w:t xml:space="preserve">Most often, maybe after checking status and headers, you want to use the response’s body. In simple cases, just access the response’s body as a bytestring, </w:t>
      </w:r>
      <w:r>
        <w:rPr>
          <w:rStyle w:val="Text3"/>
        </w:rPr>
        <w:t>r</w:t>
      </w:r>
      <w:r>
        <w:rPr>
          <w:rStyle w:val="Text0"/>
        </w:rPr>
        <w:t>.content</w:t>
      </w:r>
      <w:r>
        <w:t xml:space="preserve">, or decode it as JSON (once you’ve checked that’s how it’s encoded, e.g., via </w:t>
      </w:r>
      <w:r>
        <w:rPr>
          <w:rStyle w:val="Text3"/>
        </w:rPr>
        <w:t>r</w:t>
      </w:r>
      <w:r>
        <w:rPr>
          <w:rStyle w:val="Text0"/>
        </w:rPr>
        <w:t>.headers.get('content-type')</w:t>
      </w:r>
      <w:r>
        <w:t xml:space="preserve">) by calling </w:t>
      </w:r>
      <w:r>
        <w:rPr>
          <w:rStyle w:val="Text3"/>
        </w:rPr>
        <w:t>r</w:t>
      </w:r>
      <w:r>
        <w:rPr>
          <w:rStyle w:val="Text0"/>
        </w:rPr>
        <w:t>.json</w:t>
      </w:r>
      <w:r>
        <w:t>.</w:t>
      </w:r>
    </w:p>
    <w:p>
      <w:pPr>
        <w:pStyle w:val="Normal"/>
      </w:pPr>
      <w:r>
        <w:t xml:space="preserve">Often, you’d rather access the response’s body as (Unicode) text, with the property </w:t>
      </w:r>
      <w:r>
        <w:rPr>
          <w:rStyle w:val="Text3"/>
        </w:rPr>
        <w:t>r</w:t>
      </w:r>
      <w:r>
        <w:rPr>
          <w:rStyle w:val="Text0"/>
        </w:rPr>
        <w:t>.text</w:t>
      </w:r>
      <w:r>
        <w:t xml:space="preserve">. The latter gets decoded (from the octets that actually make up the response’s body) with the codec </w:t>
      </w:r>
      <w:r>
        <w:rPr>
          <w:rStyle w:val="Text0"/>
        </w:rPr>
        <w:t>requests</w:t>
      </w:r>
      <w:r>
        <w:t xml:space="preserve"> thinks is best, based on the Content-Type header and a cursory examination of the body itself. You can check what codec has been used (or is about to be used) via the attribute </w:t>
      </w:r>
      <w:r>
        <w:rPr>
          <w:rStyle w:val="Text3"/>
        </w:rPr>
        <w:t>r</w:t>
      </w:r>
      <w:r>
        <w:rPr>
          <w:rStyle w:val="Text0"/>
        </w:rPr>
        <w:t>.encoding</w:t>
      </w:r>
      <w:r>
        <w:t xml:space="preserve">; its value will be the name of a codec registered with the </w:t>
      </w:r>
      <w:r>
        <w:rPr>
          <w:rStyle w:val="Text0"/>
        </w:rPr>
        <w:t>codecs</w:t>
      </w:r>
      <w:r>
        <w:t xml:space="preserve"> module, covered in </w:t>
      </w:r>
      <w:hyperlink w:anchor="The_codecs_Module__The_mapping_o">
        <w:r>
          <w:rPr>
            <w:rStyle w:val="Text1"/>
          </w:rPr>
          <w:t>“The codecs Module”</w:t>
        </w:r>
      </w:hyperlink>
      <w:r>
        <w:t xml:space="preserve">. You can even </w:t>
      </w:r>
      <w:r>
        <w:rPr>
          <w:rStyle w:val="Text4"/>
        </w:rPr>
        <w:t>override</w:t>
      </w:r>
      <w:r>
        <w:t xml:space="preserve"> the choice of codec to use by </w:t>
      </w:r>
      <w:r>
        <w:rPr>
          <w:rStyle w:val="Text4"/>
        </w:rPr>
        <w:t>assigning</w:t>
      </w:r>
      <w:r>
        <w:t xml:space="preserve"> to </w:t>
      </w:r>
      <w:r>
        <w:rPr>
          <w:rStyle w:val="Text3"/>
        </w:rPr>
        <w:t>r</w:t>
      </w:r>
      <w:r>
        <w:rPr>
          <w:rStyle w:val="Text0"/>
        </w:rPr>
        <w:t>.encoding</w:t>
      </w:r>
      <w:r>
        <w:t xml:space="preserve"> the name of the codec you choose.</w:t>
      </w:r>
    </w:p>
    <w:p>
      <w:pPr>
        <w:pStyle w:val="Normal"/>
      </w:pPr>
      <w:r>
        <w:t xml:space="preserve">We do not cover other advanced issues, such as streaming, in this book; see the </w:t>
      </w:r>
      <w:r>
        <w:rPr>
          <w:rStyle w:val="Text0"/>
        </w:rPr>
        <w:t>requests</w:t>
      </w:r>
      <w:r>
        <w:t xml:space="preserve"> package’s </w:t>
      </w:r>
      <w:hyperlink r:id="rId558">
        <w:r>
          <w:rPr>
            <w:rStyle w:val="Text1"/>
          </w:rPr>
          <w:t>online docs</w:t>
        </w:r>
      </w:hyperlink>
      <w:r>
        <w:t xml:space="preserve"> for further information.</w:t>
      </w:r>
      <w:r>
        <w:rPr>
          <w:rStyle w:val="Text111"/>
        </w:rPr>
        <w:bookmarkStart w:id="4110" w:name="idm45965175019264"/>
        <w:t/>
        <w:bookmarkEnd w:id="4110"/>
        <w:bookmarkStart w:id="4111" w:name="idm45965175017888"/>
        <w:t/>
        <w:bookmarkEnd w:id="4111"/>
      </w:r>
    </w:p>
    <w:p>
      <w:bookmarkStart w:id="4112" w:name="Other_Network_Protocols__Many__m"/>
      <w:pPr>
        <w:keepNext/>
        <w:pStyle w:val="Heading 1"/>
      </w:pPr>
      <w:r>
        <w:t>Other Network Protocols</w:t>
      </w:r>
      <w:bookmarkEnd w:id="4112"/>
    </w:p>
    <w:p>
      <w:pPr>
        <w:pStyle w:val="Normal"/>
      </w:pPr>
      <w:r>
        <w:t xml:space="preserve">Many, </w:t>
      </w:r>
      <w:r>
        <w:rPr>
          <w:rStyle w:val="Text4"/>
        </w:rPr>
        <w:t>many</w:t>
      </w:r>
      <w:r>
        <w:t xml:space="preserve"> other network protocols</w:t>
      </w:r>
      <w:r>
        <w:rPr>
          <w:rStyle w:val="Text111"/>
        </w:rPr>
        <w:bookmarkStart w:id="4113" w:name="idm45965175014384"/>
        <w:t/>
        <w:bookmarkEnd w:id="4113"/>
      </w:r>
      <w:r>
        <w:t xml:space="preserve"> are in use—a few are best supported by Python’s standard library, but for most of them you’ll find better and more recent third-party modules on </w:t>
      </w:r>
      <w:hyperlink r:id="rId80">
        <w:r>
          <w:rPr>
            <w:rStyle w:val="Text1"/>
          </w:rPr>
          <w:t>PyPI</w:t>
        </w:r>
      </w:hyperlink>
      <w:r>
        <w:t>.</w:t>
      </w:r>
    </w:p>
    <w:p>
      <w:pPr>
        <w:pStyle w:val="Normal"/>
      </w:pPr>
      <w:r>
        <w:t>To connect as if you were logging in to another machine (or a separate login session on your own node), you can use the</w:t>
      </w:r>
      <w:r>
        <w:rPr>
          <w:rStyle w:val="Text111"/>
        </w:rPr>
        <w:bookmarkStart w:id="4114" w:name="idm45965175011232"/>
        <w:t/>
        <w:bookmarkEnd w:id="4114"/>
        <w:bookmarkStart w:id="4115" w:name="idm45965175010256"/>
        <w:t/>
        <w:bookmarkEnd w:id="4115"/>
      </w:r>
      <w:r>
        <w:t xml:space="preserve"> </w:t>
      </w:r>
      <w:hyperlink r:id="rId559">
        <w:r>
          <w:rPr>
            <w:rStyle w:val="Text1"/>
          </w:rPr>
          <w:t>Secure Shell (SSH)</w:t>
        </w:r>
      </w:hyperlink>
      <w:r>
        <w:t xml:space="preserve"> protocol, supported by the third-party module</w:t>
      </w:r>
      <w:r>
        <w:rPr>
          <w:rStyle w:val="Text111"/>
        </w:rPr>
        <w:bookmarkStart w:id="4116" w:name="idm45965175008272"/>
        <w:t/>
        <w:bookmarkEnd w:id="4116"/>
      </w:r>
      <w:r>
        <w:t xml:space="preserve"> </w:t>
      </w:r>
      <w:hyperlink r:id="rId560">
        <w:r>
          <w:rPr>
            <w:rStyle w:val="Text30"/>
          </w:rPr>
          <w:t>paramiko</w:t>
        </w:r>
      </w:hyperlink>
      <w:r>
        <w:t xml:space="preserve"> or the higher abstraction layer wrapper around it, the third-party module</w:t>
      </w:r>
      <w:r>
        <w:rPr>
          <w:rStyle w:val="Text111"/>
        </w:rPr>
        <w:bookmarkStart w:id="4117" w:name="idm45965175005888"/>
        <w:t/>
        <w:bookmarkEnd w:id="4117"/>
      </w:r>
      <w:r>
        <w:t xml:space="preserve"> </w:t>
      </w:r>
      <w:hyperlink r:id="rId561">
        <w:r>
          <w:rPr>
            <w:rStyle w:val="Text30"/>
          </w:rPr>
          <w:t>spur</w:t>
        </w:r>
      </w:hyperlink>
      <w:r>
        <w:t xml:space="preserve">. (You can also, with some likely security risks, still use classic </w:t>
      </w:r>
      <w:hyperlink r:id="rId562">
        <w:r>
          <w:rPr>
            <w:rStyle w:val="Text1"/>
          </w:rPr>
          <w:t>Telnet</w:t>
        </w:r>
      </w:hyperlink>
      <w:r>
        <w:t>, supported by the</w:t>
      </w:r>
      <w:r>
        <w:rPr>
          <w:rStyle w:val="Text111"/>
        </w:rPr>
        <w:bookmarkStart w:id="4118" w:name="idm45965175002784"/>
        <w:t/>
        <w:bookmarkEnd w:id="4118"/>
        <w:bookmarkStart w:id="4119" w:name="idm45965175001648"/>
        <w:t/>
        <w:bookmarkEnd w:id="4119"/>
      </w:r>
      <w:r>
        <w:t xml:space="preserve"> standard library module </w:t>
      </w:r>
      <w:hyperlink r:id="rId563">
        <w:r>
          <w:rPr>
            <w:rStyle w:val="Text30"/>
          </w:rPr>
          <w:t>telnetlib</w:t>
        </w:r>
      </w:hyperlink>
      <w:r>
        <w:t>.)</w:t>
      </w:r>
    </w:p>
    <w:p>
      <w:pPr>
        <w:pStyle w:val="Normal"/>
      </w:pPr>
      <w:r>
        <w:t>Other network protocols include, among many others:</w:t>
      </w:r>
    </w:p>
    <w:p>
      <w:pPr>
        <w:pStyle w:val="Para 010"/>
      </w:pPr>
      <w:hyperlink r:id="rId564">
        <w:r>
          <w:rPr>
            <w:rStyle w:val="Text1"/>
          </w:rPr>
          <w:t>NNTP</w:t>
        </w:r>
      </w:hyperlink>
      <w:r>
        <w:t>, to</w:t>
      </w:r>
      <w:r>
        <w:rPr>
          <w:rStyle w:val="Text111"/>
        </w:rPr>
        <w:bookmarkStart w:id="4120" w:name="idm45965174996800"/>
        <w:t/>
        <w:bookmarkEnd w:id="4120"/>
        <w:bookmarkStart w:id="4121" w:name="idm45965174995696"/>
        <w:t/>
        <w:bookmarkEnd w:id="4121"/>
      </w:r>
      <w:r>
        <w:t xml:space="preserve"> access Usenet News servers, supported by the standard library module </w:t>
      </w:r>
      <w:r>
        <w:rPr>
          <w:rStyle w:val="Text0"/>
        </w:rPr>
        <w:t>nntplib</w:t>
      </w:r>
    </w:p>
    <w:p>
      <w:pPr>
        <w:pStyle w:val="Para 010"/>
      </w:pPr>
      <w:hyperlink r:id="rId565">
        <w:r>
          <w:rPr>
            <w:rStyle w:val="Text1"/>
          </w:rPr>
          <w:t>XML-RPC</w:t>
        </w:r>
      </w:hyperlink>
      <w:r>
        <w:t>, for</w:t>
      </w:r>
      <w:r>
        <w:rPr>
          <w:rStyle w:val="Text111"/>
        </w:rPr>
        <w:bookmarkStart w:id="4122" w:name="idm45965174992464"/>
        <w:t/>
        <w:bookmarkEnd w:id="4122"/>
        <w:bookmarkStart w:id="4123" w:name="idm45965174991360"/>
        <w:t/>
        <w:bookmarkEnd w:id="4123"/>
      </w:r>
      <w:r>
        <w:t xml:space="preserve"> a rudimentary remote procedure call functionality, supported by </w:t>
      </w:r>
      <w:hyperlink r:id="rId566">
        <w:r>
          <w:rPr>
            <w:rStyle w:val="Text30"/>
          </w:rPr>
          <w:t>xmlrpc.client</w:t>
        </w:r>
      </w:hyperlink>
    </w:p>
    <w:p>
      <w:pPr>
        <w:pStyle w:val="Para 010"/>
      </w:pPr>
      <w:hyperlink r:id="rId567">
        <w:r>
          <w:rPr>
            <w:rStyle w:val="Text1"/>
          </w:rPr>
          <w:t>gRPC</w:t>
        </w:r>
      </w:hyperlink>
      <w:r>
        <w:t>, for</w:t>
      </w:r>
      <w:r>
        <w:rPr>
          <w:rStyle w:val="Text111"/>
        </w:rPr>
        <w:bookmarkStart w:id="4124" w:name="idm45965174987520"/>
        <w:t/>
        <w:bookmarkEnd w:id="4124"/>
      </w:r>
      <w:r>
        <w:t xml:space="preserve"> a more modern remote procedure functionality, supported by third-party</w:t>
      </w:r>
      <w:r>
        <w:rPr>
          <w:rStyle w:val="Text111"/>
        </w:rPr>
        <w:bookmarkStart w:id="4125" w:name="idm45965174986256"/>
        <w:t/>
        <w:bookmarkEnd w:id="4125"/>
      </w:r>
      <w:r>
        <w:t xml:space="preserve"> module </w:t>
      </w:r>
      <w:hyperlink r:id="rId568">
        <w:r>
          <w:rPr>
            <w:rStyle w:val="Text30"/>
          </w:rPr>
          <w:t>grpcio</w:t>
        </w:r>
      </w:hyperlink>
    </w:p>
    <w:p>
      <w:pPr>
        <w:pStyle w:val="Para 010"/>
      </w:pPr>
      <w:hyperlink r:id="rId569">
        <w:r>
          <w:rPr>
            <w:rStyle w:val="Text1"/>
          </w:rPr>
          <w:t>NTP</w:t>
        </w:r>
      </w:hyperlink>
      <w:r>
        <w:t>, to</w:t>
      </w:r>
      <w:r>
        <w:rPr>
          <w:rStyle w:val="Text111"/>
        </w:rPr>
        <w:bookmarkStart w:id="4126" w:name="idm45965174982528"/>
        <w:t/>
        <w:bookmarkEnd w:id="4126"/>
        <w:bookmarkStart w:id="4127" w:name="idm45965174981104"/>
        <w:t/>
        <w:bookmarkEnd w:id="4127"/>
        <w:bookmarkStart w:id="4128" w:name="idm45965174979984"/>
        <w:t/>
        <w:bookmarkEnd w:id="4128"/>
        <w:bookmarkStart w:id="4129" w:name="idm45965174978880"/>
        <w:t/>
        <w:bookmarkEnd w:id="4129"/>
      </w:r>
      <w:r>
        <w:t xml:space="preserve"> get precise time off the network, supported by third-party module </w:t>
      </w:r>
      <w:hyperlink r:id="rId570">
        <w:r>
          <w:rPr>
            <w:rStyle w:val="Text30"/>
          </w:rPr>
          <w:t>ntplib</w:t>
        </w:r>
      </w:hyperlink>
    </w:p>
    <w:p>
      <w:pPr>
        <w:pStyle w:val="Para 010"/>
      </w:pPr>
      <w:hyperlink r:id="rId571">
        <w:r>
          <w:rPr>
            <w:rStyle w:val="Text1"/>
          </w:rPr>
          <w:t>SNMP</w:t>
        </w:r>
      </w:hyperlink>
      <w:r>
        <w:t>, for</w:t>
      </w:r>
      <w:r>
        <w:rPr>
          <w:rStyle w:val="Text111"/>
        </w:rPr>
        <w:bookmarkStart w:id="4130" w:name="idm45965174975168"/>
        <w:t/>
        <w:bookmarkEnd w:id="4130"/>
        <w:bookmarkStart w:id="4131" w:name="idm45965174973936"/>
        <w:t/>
        <w:bookmarkEnd w:id="4131"/>
      </w:r>
      <w:r>
        <w:t xml:space="preserve"> network management, supported by third-party module</w:t>
      </w:r>
      <w:r>
        <w:rPr>
          <w:rStyle w:val="Text111"/>
        </w:rPr>
        <w:bookmarkStart w:id="4132" w:name="idm45965174972672"/>
        <w:t/>
        <w:bookmarkEnd w:id="4132"/>
      </w:r>
      <w:r>
        <w:t xml:space="preserve"> </w:t>
      </w:r>
      <w:hyperlink r:id="rId572">
        <w:r>
          <w:rPr>
            <w:rStyle w:val="Text30"/>
          </w:rPr>
          <w:t>pysnmp</w:t>
        </w:r>
      </w:hyperlink>
    </w:p>
    <w:p>
      <w:pPr>
        <w:pStyle w:val="Normal"/>
      </w:pPr>
      <w:r>
        <w:t>No single book (not even this one!) could possibly cover all these protocols and their supporting modules. Rather, our best suggestion in the matter is a strategic one: whenever you decide that your application needs to interact with some other system via a certain networking protocol, don’t rush to implement your own modules to support that protocol. Instead, search and ask around, and you’re likely to find excellent existing Python modules (third-party or standard-library ones) supporting that protocol.</w:t>
      </w:r>
      <w:hyperlink w:anchor="6_Even_more_importantly__if_you">
        <w:r>
          <w:rPr>
            <w:rStyle w:val="Text41"/>
          </w:rPr>
          <w:bookmarkStart w:id="4133" w:name="6_6"/>
          <w:t>6</w:t>
          <w:bookmarkEnd w:id="4133"/>
        </w:r>
      </w:hyperlink>
    </w:p>
    <w:p>
      <w:pPr>
        <w:pStyle w:val="Normal"/>
      </w:pPr>
      <w:r>
        <w:t>Should</w:t>
      </w:r>
      <w:r>
        <w:rPr>
          <w:rStyle w:val="Text111"/>
        </w:rPr>
        <w:bookmarkStart w:id="4134" w:name="idm45965174968688"/>
        <w:t/>
        <w:bookmarkEnd w:id="4134"/>
        <w:bookmarkStart w:id="4135" w:name="idm45965174967280"/>
        <w:t/>
        <w:bookmarkEnd w:id="4135"/>
      </w:r>
      <w:r>
        <w:t xml:space="preserve"> you find some bug or missing feature in such modules, open a bug or feature request (and, ideally, supply a patch or pull request that would fix the problem and satisfy your application’s needs). In other words, become an active member of the open source community, rather than just a passive user: you will be welcome there, scratch your own itch, and help many others in the process. “Give forward,” since you cannot “give back” to all the awesome people who contributed to give you most of the tools you’re using!</w:t>
      </w:r>
    </w:p>
    <w:p>
      <w:bookmarkStart w:id="4136" w:name="1_IMAP4__per_RFC_1730__or_IMAP4r"/>
      <w:pPr>
        <w:pStyle w:val="Para 035"/>
      </w:pPr>
      <w:hyperlink w:anchor="1_18">
        <w:r>
          <w:rPr>
            <w:rStyle w:val="Text1"/>
          </w:rPr>
          <w:t>1</w:t>
        </w:r>
      </w:hyperlink>
      <w:r>
        <w:t xml:space="preserve"> IMAP4, per </w:t>
      </w:r>
      <w:hyperlink r:id="rId573">
        <w:r>
          <w:rPr>
            <w:rStyle w:val="Text1"/>
          </w:rPr>
          <w:t>RFC 1730</w:t>
        </w:r>
      </w:hyperlink>
      <w:r>
        <w:t xml:space="preserve">; or IMAP4rev1, per </w:t>
      </w:r>
      <w:hyperlink r:id="rId574">
        <w:r>
          <w:rPr>
            <w:rStyle w:val="Text1"/>
          </w:rPr>
          <w:t>RFC 2060</w:t>
        </w:r>
      </w:hyperlink>
      <w:r>
        <w:t>.</w:t>
      </w:r>
      <w:bookmarkEnd w:id="4136"/>
    </w:p>
    <w:p>
      <w:bookmarkStart w:id="4137" w:name="2_The_specification_of_the_POP_p"/>
      <w:pPr>
        <w:pStyle w:val="Para 015"/>
      </w:pPr>
      <w:hyperlink w:anchor="2_16">
        <w:r>
          <w:rPr>
            <w:rStyle w:val="Text1"/>
          </w:rPr>
          <w:t>2</w:t>
        </w:r>
      </w:hyperlink>
      <w:r>
        <w:t xml:space="preserve"> The specification of the POP protocol can be found in </w:t>
      </w:r>
      <w:hyperlink r:id="rId575">
        <w:r>
          <w:rPr>
            <w:rStyle w:val="Text1"/>
          </w:rPr>
          <w:t>RFC 1939</w:t>
        </w:r>
      </w:hyperlink>
      <w:r>
        <w:t>.</w:t>
      </w:r>
      <w:bookmarkEnd w:id="4137"/>
    </w:p>
    <w:p>
      <w:bookmarkStart w:id="4138" w:name="3_The_specification_of_the_SMTP"/>
      <w:pPr>
        <w:pStyle w:val="Para 015"/>
      </w:pPr>
      <w:hyperlink w:anchor="3_16">
        <w:r>
          <w:rPr>
            <w:rStyle w:val="Text1"/>
          </w:rPr>
          <w:t>3</w:t>
        </w:r>
      </w:hyperlink>
      <w:r>
        <w:t xml:space="preserve"> The specification of the SMTP protocol can be found in </w:t>
      </w:r>
      <w:hyperlink r:id="rId576">
        <w:r>
          <w:rPr>
            <w:rStyle w:val="Text1"/>
          </w:rPr>
          <w:t>RFC 2821</w:t>
        </w:r>
      </w:hyperlink>
      <w:r>
        <w:t>.</w:t>
      </w:r>
      <w:bookmarkEnd w:id="4138"/>
    </w:p>
    <w:p>
      <w:bookmarkStart w:id="4139" w:name="4_According_to_RFC_2388"/>
      <w:pPr>
        <w:pStyle w:val="Para 015"/>
      </w:pPr>
      <w:hyperlink w:anchor="4_10">
        <w:r>
          <w:rPr>
            <w:rStyle w:val="Text1"/>
          </w:rPr>
          <w:t>4</w:t>
        </w:r>
      </w:hyperlink>
      <w:r>
        <w:t xml:space="preserve"> According to </w:t>
      </w:r>
      <w:hyperlink r:id="rId577">
        <w:r>
          <w:rPr>
            <w:rStyle w:val="Text1"/>
          </w:rPr>
          <w:t>RFC 2388</w:t>
        </w:r>
      </w:hyperlink>
      <w:r>
        <w:t>.</w:t>
      </w:r>
      <w:bookmarkEnd w:id="4139"/>
    </w:p>
    <w:p>
      <w:bookmarkStart w:id="4140" w:name="5_As_it_gives_you_complete__expl"/>
      <w:pPr>
        <w:pStyle w:val="Para 015"/>
      </w:pPr>
      <w:hyperlink w:anchor="5_8">
        <w:r>
          <w:rPr>
            <w:rStyle w:val="Text1"/>
          </w:rPr>
          <w:t>5</w:t>
        </w:r>
      </w:hyperlink>
      <w:r>
        <w:t xml:space="preserve"> As it gives you complete, explicit control of exactly what octets are uploaded.</w:t>
      </w:r>
      <w:bookmarkEnd w:id="4140"/>
    </w:p>
    <w:p>
      <w:bookmarkStart w:id="4141" w:name="6_Even_more_importantly__if_you"/>
      <w:pPr>
        <w:pStyle w:val="Para 015"/>
      </w:pPr>
      <w:hyperlink w:anchor="6_6">
        <w:r>
          <w:rPr>
            <w:rStyle w:val="Text1"/>
          </w:rPr>
          <w:t>6</w:t>
        </w:r>
      </w:hyperlink>
      <w:r>
        <w:t xml:space="preserve"> Even more importantly, if you think you need to invent a brand-new protocol and implement it on top of sockets, think again, and search carefully: it’s far more likely that one or more of the huge number of existing internet protocols meets your needs just fine!</w:t>
      </w:r>
      <w:bookmarkEnd w:id="4141"/>
    </w:p>
    <w:p>
      <w:bookmarkStart w:id="4142" w:name="Chapter_20__Serving_HTTP__When_a_2"/>
      <w:bookmarkStart w:id="4143" w:name="Top_of_ch20_html"/>
      <w:bookmarkStart w:id="4144" w:name="Chapter_20__Serving_HTTP__When_a"/>
      <w:bookmarkStart w:id="4145" w:name="Chapter_20__Serving_HTTP__When_a_1"/>
      <w:pPr>
        <w:keepNext/>
        <w:pStyle w:val="Heading 1"/>
        <w:pageBreakBefore w:val="on"/>
      </w:pPr>
      <w:r>
        <w:t xml:space="preserve">Chapter 20. </w:t>
        <w:t>Serving HTTP</w:t>
      </w:r>
      <w:bookmarkEnd w:id="4142"/>
      <w:bookmarkEnd w:id="4143"/>
      <w:bookmarkEnd w:id="4144"/>
      <w:bookmarkEnd w:id="4145"/>
    </w:p>
    <w:p>
      <w:pPr>
        <w:pStyle w:val="Normal"/>
      </w:pPr>
      <w:r>
        <w:t>When</w:t>
      </w:r>
      <w:r>
        <w:rPr>
          <w:rStyle w:val="Text111"/>
        </w:rPr>
        <w:bookmarkStart w:id="4146" w:name="idm45965174963872"/>
        <w:t/>
        <w:bookmarkEnd w:id="4146"/>
      </w:r>
      <w:r>
        <w:t xml:space="preserve"> a browser (or any other web client) requests a page from a server, the server may return either static or dynamic content. Serving dynamic content involves server-side web programs generating and delivering content on the fly, often based on information stored in a database.</w:t>
      </w:r>
    </w:p>
    <w:p>
      <w:pPr>
        <w:pStyle w:val="Normal"/>
      </w:pPr>
      <w:r>
        <w:t>In</w:t>
      </w:r>
      <w:r>
        <w:rPr>
          <w:rStyle w:val="Text111"/>
        </w:rPr>
        <w:bookmarkStart w:id="4147" w:name="idm45965174961952"/>
        <w:t/>
        <w:bookmarkEnd w:id="4147"/>
        <w:bookmarkStart w:id="4148" w:name="idm45965174960848"/>
        <w:t/>
        <w:bookmarkEnd w:id="4148"/>
      </w:r>
      <w:r>
        <w:t xml:space="preserve"> the early history of the web, the standard for server-side programming was the </w:t>
      </w:r>
      <w:r>
        <w:rPr>
          <w:rStyle w:val="Text4"/>
        </w:rPr>
        <w:t>Common Gateway Interface</w:t>
      </w:r>
      <w:r>
        <w:t xml:space="preserve"> (CGI), which required the server to run a separate program each time a client requested dynamic content. Process startup time, interpreter initialization, connection to databases, and script initialization add up to measurable overhead; CGI did not scale well.</w:t>
      </w:r>
    </w:p>
    <w:p>
      <w:pPr>
        <w:pStyle w:val="Normal"/>
      </w:pPr>
      <w:r>
        <w:t xml:space="preserve">Nowadays, web servers support many server-specific ways to reduce overhead, serving dynamic content from processes that can serve for several hits rather than starting up a new process per hit. Therefore, we do not cover CGI in this book. To maintain existing CGI programs, or better yet, port them to more modern approaches, consult the online docs (especially </w:t>
      </w:r>
      <w:hyperlink r:id="rId578">
        <w:r>
          <w:rPr>
            <w:rStyle w:val="Text1"/>
          </w:rPr>
          <w:t>PEP 594</w:t>
        </w:r>
      </w:hyperlink>
      <w:r>
        <w:t xml:space="preserve"> for recommendations) and check out the standard library modules </w:t>
      </w:r>
      <w:hyperlink r:id="rId579">
        <w:r>
          <w:rPr>
            <w:rStyle w:val="Text30"/>
          </w:rPr>
          <w:t>cgi</w:t>
        </w:r>
      </w:hyperlink>
      <w:r>
        <w:t xml:space="preserve"> (deprecated as of 3.11) and </w:t>
      </w:r>
      <w:hyperlink r:id="rId580">
        <w:r>
          <w:rPr>
            <w:rStyle w:val="Text30"/>
          </w:rPr>
          <w:t>http.cookies</w:t>
        </w:r>
      </w:hyperlink>
      <w:r>
        <w:t>.</w:t>
      </w:r>
      <w:hyperlink w:anchor="1_One_historical_legacy_is_that">
        <w:r>
          <w:rPr>
            <w:rStyle w:val="Text41"/>
          </w:rPr>
          <w:bookmarkStart w:id="4149" w:name="1_19"/>
          <w:t>1</w:t>
          <w:bookmarkEnd w:id="4149"/>
        </w:r>
      </w:hyperlink>
    </w:p>
    <w:p>
      <w:pPr>
        <w:pStyle w:val="Normal"/>
      </w:pPr>
      <w:r>
        <w:t>HTTP</w:t>
      </w:r>
      <w:r>
        <w:rPr>
          <w:rStyle w:val="Text111"/>
        </w:rPr>
        <w:bookmarkStart w:id="4150" w:name="idm45965174953920"/>
        <w:t/>
        <w:bookmarkEnd w:id="4150"/>
        <w:bookmarkStart w:id="4151" w:name="idm45965174952720"/>
        <w:t/>
        <w:bookmarkEnd w:id="4151"/>
      </w:r>
      <w:r>
        <w:t xml:space="preserve"> has become even more fundamental to distributed systems design with the emergence of systems based on </w:t>
      </w:r>
      <w:hyperlink r:id="rId581">
        <w:r>
          <w:rPr>
            <w:rStyle w:val="Text1"/>
          </w:rPr>
          <w:t>microservices</w:t>
        </w:r>
      </w:hyperlink>
      <w:r>
        <w:t>, offering a convenient way to transport between processes the JSON content that is frequently used. There are thousands of publicly available HTTP data APIs on the internet. While HTTP’s principles remain almost unchanged since its inception in the mid-1990s, it has been significantly enhanced over the years to extend its capabilities.</w:t>
      </w:r>
      <w:hyperlink w:anchor="2_More_advanced_versions_of_HTTP">
        <w:r>
          <w:rPr>
            <w:rStyle w:val="Text41"/>
          </w:rPr>
          <w:bookmarkStart w:id="4152" w:name="2_17"/>
          <w:t>2</w:t>
          <w:bookmarkEnd w:id="4152"/>
        </w:r>
      </w:hyperlink>
      <w:r>
        <w:t xml:space="preserve"> For a thorough grounding with excellent reference materials we recommend </w:t>
      </w:r>
      <w:hyperlink r:id="rId582">
        <w:r>
          <w:rPr>
            <w:rStyle w:val="Text24"/>
          </w:rPr>
          <w:t>HTTP: The Definitive Guide</w:t>
        </w:r>
      </w:hyperlink>
      <w:r>
        <w:t xml:space="preserve"> by David Gourley et al. (O’Reilly).</w:t>
      </w:r>
    </w:p>
    <w:p>
      <w:bookmarkStart w:id="4153" w:name="http_server__Python_s_standard_l"/>
      <w:pPr>
        <w:keepNext/>
        <w:pStyle w:val="Heading 1"/>
      </w:pPr>
      <w:r>
        <w:t>http.server</w:t>
      </w:r>
      <w:bookmarkEnd w:id="4153"/>
    </w:p>
    <w:p>
      <w:pPr>
        <w:pStyle w:val="Normal"/>
      </w:pPr>
      <w:r>
        <w:t>Python’s</w:t>
      </w:r>
      <w:r>
        <w:rPr>
          <w:rStyle w:val="Text111"/>
        </w:rPr>
        <w:bookmarkStart w:id="4154" w:name="idm45965174945760"/>
        <w:t/>
        <w:bookmarkEnd w:id="4154"/>
        <w:bookmarkStart w:id="4155" w:name="idm45965174944624"/>
        <w:t/>
        <w:bookmarkEnd w:id="4155"/>
        <w:bookmarkStart w:id="4156" w:name="idm45965174943184"/>
        <w:t/>
        <w:bookmarkEnd w:id="4156"/>
      </w:r>
      <w:r>
        <w:t xml:space="preserve"> standard library includes a module containing the server and handler classes to implement a simple HTTP server.</w:t>
      </w:r>
    </w:p>
    <w:p>
      <w:pPr>
        <w:pStyle w:val="Normal"/>
      </w:pPr>
      <w:r>
        <w:t>You can run this server from the command line by just entering:</w:t>
      </w:r>
    </w:p>
    <w:p>
      <w:pPr>
        <w:pStyle w:val="Para 008"/>
      </w:pPr>
      <w:r>
        <w:rPr>
          <w:rStyle w:val="Text48"/>
        </w:rPr>
        <w:t xml:space="preserve"/>
        <w:br w:clear="none"/>
        <w:t xml:space="preserve">$ </w:t>
        <w:br w:clear="none"/>
      </w:r>
      <w:r>
        <w:t xml:space="preserve">python -m http.server</w:t>
        <w:br w:clear="none"/>
      </w:r>
      <w:r>
        <w:rPr>
          <w:rStyle w:val="Text48"/>
        </w:rPr>
        <w:t xml:space="preserve"> </w:t>
        <w:br w:clear="none"/>
      </w:r>
      <w:r>
        <w:rPr>
          <w:rStyle w:val="Text79"/>
        </w:rPr>
        <w:t xml:space="preserve">port_number</w:t>
        <w:br w:clear="none"/>
      </w:r>
    </w:p>
    <w:p>
      <w:pPr>
        <w:pStyle w:val="Normal"/>
      </w:pPr>
      <w:r>
        <w:t xml:space="preserve">By default, the server listens on all interfaces and provides access to the files in the current directory. One author uses this as a simple means for file transfer: start up a Python </w:t>
      </w:r>
      <w:r>
        <w:rPr>
          <w:rStyle w:val="Text0"/>
        </w:rPr>
        <w:t>http.server</w:t>
      </w:r>
      <w:r>
        <w:t xml:space="preserve"> in the file directory on the source system, and then copy files to the destination using a utility such as </w:t>
      </w:r>
      <w:r>
        <w:rPr>
          <w:rStyle w:val="Text0"/>
        </w:rPr>
        <w:t>wget</w:t>
      </w:r>
      <w:r>
        <w:t xml:space="preserve"> or </w:t>
      </w:r>
      <w:r>
        <w:rPr>
          <w:rStyle w:val="Text0"/>
        </w:rPr>
        <w:t>curl</w:t>
      </w:r>
      <w:r>
        <w:t>.</w:t>
      </w:r>
    </w:p>
    <w:p>
      <w:pPr>
        <w:pStyle w:val="Normal"/>
      </w:pPr>
      <w:r>
        <w:rPr>
          <w:rStyle w:val="Text0"/>
        </w:rPr>
        <w:t>http.server</w:t>
      </w:r>
      <w:r>
        <w:t xml:space="preserve"> has very limited security features. You can find further information on </w:t>
      </w:r>
      <w:r>
        <w:rPr>
          <w:rStyle w:val="Text0"/>
        </w:rPr>
        <w:t>http.server</w:t>
      </w:r>
      <w:r>
        <w:t xml:space="preserve"> in the </w:t>
      </w:r>
      <w:hyperlink r:id="rId583">
        <w:r>
          <w:rPr>
            <w:rStyle w:val="Text1"/>
          </w:rPr>
          <w:t>online docs</w:t>
        </w:r>
      </w:hyperlink>
      <w:r>
        <w:t>. For production use, we recommend that you use one of the frameworks mentioned in the following sections.</w:t>
      </w:r>
    </w:p>
    <w:p>
      <w:bookmarkStart w:id="4157" w:name="WSGI__Python_s_Web_Server_Gatewa"/>
      <w:pPr>
        <w:keepNext/>
        <w:pStyle w:val="Heading 1"/>
      </w:pPr>
      <w:r>
        <w:t>WSGI</w:t>
      </w:r>
      <w:bookmarkEnd w:id="4157"/>
    </w:p>
    <w:p>
      <w:pPr>
        <w:pStyle w:val="Normal"/>
      </w:pPr>
      <w:r>
        <w:t xml:space="preserve">Python’s </w:t>
      </w:r>
      <w:r>
        <w:rPr>
          <w:rStyle w:val="Text4"/>
        </w:rPr>
        <w:t>Web Server Gateway Interface</w:t>
      </w:r>
      <w:r>
        <w:t xml:space="preserve"> (WSGI)</w:t>
      </w:r>
      <w:r>
        <w:rPr>
          <w:rStyle w:val="Text111"/>
        </w:rPr>
        <w:bookmarkStart w:id="4158" w:name="websgi20"/>
        <w:t/>
        <w:bookmarkEnd w:id="4158"/>
        <w:bookmarkStart w:id="4159" w:name="idm45965174929728"/>
        <w:t/>
        <w:bookmarkEnd w:id="4159"/>
        <w:bookmarkStart w:id="4160" w:name="wsgi20"/>
        <w:t/>
        <w:bookmarkEnd w:id="4160"/>
      </w:r>
      <w:r>
        <w:t xml:space="preserve"> is the standard way for all modern Python web development frameworks to interface with underlying web servers or gateways. WSGI is not meant for direct use by your application programs; rather, you code your programs using any one of many higher-abstraction frameworks, and the framework, in turn, uses WSGI to talk to the web server.</w:t>
      </w:r>
    </w:p>
    <w:p>
      <w:pPr>
        <w:pStyle w:val="Normal"/>
      </w:pPr>
      <w:r>
        <w:t>You need to care about the details of WSGI only if you’re implementing the WSGI interface for a web server that doesn’t already provide it (should any such server exist), or if you’re building a new Python web framework.</w:t>
      </w:r>
      <w:hyperlink w:anchor="3_Please_don_t__As_Titus_Brown_o">
        <w:r>
          <w:rPr>
            <w:rStyle w:val="Text41"/>
          </w:rPr>
          <w:bookmarkStart w:id="4161" w:name="3_17"/>
          <w:t>3</w:t>
          <w:bookmarkEnd w:id="4161"/>
        </w:r>
      </w:hyperlink>
      <w:r>
        <w:t xml:space="preserve"> In that case, study the WSGI </w:t>
      </w:r>
      <w:hyperlink r:id="rId584">
        <w:r>
          <w:rPr>
            <w:rStyle w:val="Text1"/>
          </w:rPr>
          <w:t>PEP</w:t>
        </w:r>
      </w:hyperlink>
      <w:r>
        <w:t xml:space="preserve">, the docs for the standard library package </w:t>
      </w:r>
      <w:hyperlink r:id="rId585">
        <w:r>
          <w:rPr>
            <w:rStyle w:val="Text30"/>
          </w:rPr>
          <w:t>wsgiref</w:t>
        </w:r>
      </w:hyperlink>
      <w:r>
        <w:t xml:space="preserve">, and the </w:t>
      </w:r>
      <w:hyperlink r:id="rId586">
        <w:r>
          <w:rPr>
            <w:rStyle w:val="Text1"/>
          </w:rPr>
          <w:t>archive</w:t>
        </w:r>
      </w:hyperlink>
      <w:r>
        <w:t xml:space="preserve"> of </w:t>
      </w:r>
      <w:hyperlink r:id="rId587">
        <w:r>
          <w:rPr>
            <w:rStyle w:val="Text1"/>
          </w:rPr>
          <w:t>WSGI.org</w:t>
        </w:r>
      </w:hyperlink>
      <w:r>
        <w:t>.</w:t>
      </w:r>
    </w:p>
    <w:p>
      <w:pPr>
        <w:pStyle w:val="Normal"/>
      </w:pPr>
      <w:r>
        <w:t xml:space="preserve">A few WSGI concepts may be important to you if you use lightweight frameworks (i.e., ones that match WSGI closely). WSGI is an </w:t>
      </w:r>
      <w:r>
        <w:rPr>
          <w:rStyle w:val="Text4"/>
        </w:rPr>
        <w:t>interface</w:t>
      </w:r>
      <w:r>
        <w:t xml:space="preserve">, and that interface has two sides: the </w:t>
      </w:r>
      <w:r>
        <w:rPr>
          <w:rStyle w:val="Text4"/>
        </w:rPr>
        <w:t>web server/gateway</w:t>
      </w:r>
      <w:r>
        <w:t xml:space="preserve"> side, and the </w:t>
      </w:r>
      <w:r>
        <w:rPr>
          <w:rStyle w:val="Text4"/>
        </w:rPr>
        <w:t>application/framework</w:t>
      </w:r>
      <w:r>
        <w:t xml:space="preserve"> side.</w:t>
      </w:r>
    </w:p>
    <w:p>
      <w:pPr>
        <w:pStyle w:val="Normal"/>
      </w:pPr>
      <w:r>
        <w:t xml:space="preserve">The framework side’s job is to provide a </w:t>
      </w:r>
      <w:r>
        <w:rPr>
          <w:rStyle w:val="Text4"/>
        </w:rPr>
        <w:t>WSGI application</w:t>
      </w:r>
      <w:r>
        <w:t xml:space="preserve"> object, a callable object (often the instance of a class with a </w:t>
      </w:r>
      <w:r>
        <w:rPr>
          <w:rStyle w:val="Text0"/>
        </w:rPr>
        <w:t>__call__</w:t>
      </w:r>
      <w:r>
        <w:t xml:space="preserve"> special method, but that’s an implementation detail) respecting conventions in the PEP, and to connect the application object to the server by whatever means the specific server documents (often a few lines of code, or configuration files, or just a convention such as naming the WSGI application object </w:t>
      </w:r>
      <w:r>
        <w:rPr>
          <w:rStyle w:val="Text0"/>
        </w:rPr>
        <w:t>application</w:t>
      </w:r>
      <w:r>
        <w:t xml:space="preserve"> as a top-level attribute in a module). The server calls the application object for each incoming HTTP request, and the application object responds appropriately so that the server can form the outgoing HTTP response and send it on—all according to said conventions. A framework, even a lightweight one, shields you from such details (except that you may have to instantiate and connect the application object, depending on the specific server).</w:t>
      </w:r>
    </w:p>
    <w:p>
      <w:bookmarkStart w:id="4162" w:name="WSGI_Servers__An_extensive_list"/>
      <w:pPr>
        <w:keepNext/>
        <w:pStyle w:val="Heading 2"/>
      </w:pPr>
      <w:r>
        <w:t>WSGI Servers</w:t>
      </w:r>
      <w:bookmarkEnd w:id="4162"/>
    </w:p>
    <w:p>
      <w:pPr>
        <w:pStyle w:val="Normal"/>
      </w:pPr>
      <w:r>
        <w:t xml:space="preserve">An extensive list of servers and adapters you can use to run WSGI frameworks and applications (for development and testing, in production web setups, or both) is available </w:t>
      </w:r>
      <w:hyperlink r:id="rId588">
        <w:r>
          <w:rPr>
            <w:rStyle w:val="Text1"/>
          </w:rPr>
          <w:t>online</w:t>
        </w:r>
      </w:hyperlink>
      <w:r>
        <w:t xml:space="preserve">—extensive, but just partial. For example, it does not mention that Google App Engine’s Python runtime is also a WSGI server, ready to dispatch WSGI apps as directed by the </w:t>
      </w:r>
      <w:r>
        <w:rPr>
          <w:rStyle w:val="Text4"/>
        </w:rPr>
        <w:t>app.yaml</w:t>
      </w:r>
      <w:r>
        <w:t xml:space="preserve"> configuration file.</w:t>
      </w:r>
    </w:p>
    <w:p>
      <w:pPr>
        <w:pStyle w:val="Normal"/>
      </w:pPr>
      <w:r>
        <w:t>If you’re looking for a WSGI server to use for development, or to deploy in production behind, say, an Nginx-based load balancer, you should be happy, at least on Unix-like systems, with</w:t>
      </w:r>
      <w:r>
        <w:rPr>
          <w:rStyle w:val="Text111"/>
        </w:rPr>
        <w:bookmarkStart w:id="4163" w:name="idm45965174914592"/>
        <w:t/>
        <w:bookmarkEnd w:id="4163"/>
      </w:r>
      <w:r>
        <w:t xml:space="preserve"> </w:t>
      </w:r>
      <w:hyperlink r:id="rId589">
        <w:r>
          <w:rPr>
            <w:rStyle w:val="Text1"/>
          </w:rPr>
          <w:t>Gunicorn</w:t>
        </w:r>
      </w:hyperlink>
      <w:r>
        <w:t>: pure Python goodness, supporting nothing but WSGI, very lightweight. A worthy (also pure Python and WSGI-only) alternative, currently with better Windows support, is</w:t>
      </w:r>
      <w:r>
        <w:rPr>
          <w:rStyle w:val="Text111"/>
        </w:rPr>
        <w:bookmarkStart w:id="4164" w:name="idm45965174912640"/>
        <w:t/>
        <w:bookmarkEnd w:id="4164"/>
      </w:r>
      <w:r>
        <w:t xml:space="preserve"> </w:t>
      </w:r>
      <w:hyperlink r:id="rId590">
        <w:r>
          <w:rPr>
            <w:rStyle w:val="Text1"/>
          </w:rPr>
          <w:t>Waitress</w:t>
        </w:r>
      </w:hyperlink>
      <w:r>
        <w:t>. If you need richer features (such as support for Perl and Ruby as well as Python, and many other forms of extensibility), consider the bigger, more complex</w:t>
      </w:r>
      <w:r>
        <w:rPr>
          <w:rStyle w:val="Text111"/>
        </w:rPr>
        <w:bookmarkStart w:id="4165" w:name="idm45965174910688"/>
        <w:t/>
        <w:bookmarkEnd w:id="4165"/>
      </w:r>
      <w:r>
        <w:t xml:space="preserve"> </w:t>
      </w:r>
      <w:hyperlink r:id="rId591">
        <w:r>
          <w:rPr>
            <w:rStyle w:val="Text1"/>
          </w:rPr>
          <w:t>uWSGI</w:t>
        </w:r>
      </w:hyperlink>
      <w:r>
        <w:t>.</w:t>
      </w:r>
      <w:hyperlink w:anchor="4_Installing_uWSGI_on_Windows_cu">
        <w:r>
          <w:rPr>
            <w:rStyle w:val="Text41"/>
          </w:rPr>
          <w:bookmarkStart w:id="4166" w:name="4_11"/>
          <w:t>4</w:t>
          <w:bookmarkEnd w:id="4166"/>
        </w:r>
      </w:hyperlink>
    </w:p>
    <w:p>
      <w:pPr>
        <w:pStyle w:val="Normal"/>
      </w:pPr>
      <w:r>
        <w:t>WSGI also has the concept of</w:t>
      </w:r>
      <w:r>
        <w:rPr>
          <w:rStyle w:val="Text111"/>
        </w:rPr>
        <w:bookmarkStart w:id="4167" w:name="idm45965174907488"/>
        <w:t/>
        <w:bookmarkEnd w:id="4167"/>
      </w:r>
      <w:r>
        <w:t xml:space="preserve"> </w:t>
      </w:r>
      <w:r>
        <w:rPr>
          <w:rStyle w:val="Text4"/>
        </w:rPr>
        <w:t>middleware</w:t>
      </w:r>
      <w:r>
        <w:t>, a subsystem that implements both the server and application sides of WSGI. A middleware object “wraps” a WSGI application; can selectively alter requests, environments, and responses; and presents itself to the server as “the application.” Multiple layers of wrappers are allowed and common, forming a “stack” of middleware offering services to the actual application-level code. If you want to write a cross-framework middleware component, then you may, indeed, need to become a WSGI expert.</w:t>
      </w:r>
    </w:p>
    <w:p>
      <w:bookmarkStart w:id="4168" w:name="ASGI__If_you_re_into_asynchronou"/>
      <w:pPr>
        <w:keepNext/>
        <w:pStyle w:val="Heading 2"/>
      </w:pPr>
      <w:r>
        <w:t>ASGI</w:t>
      </w:r>
      <w:bookmarkEnd w:id="4168"/>
    </w:p>
    <w:p>
      <w:pPr>
        <w:pStyle w:val="Normal"/>
      </w:pPr>
      <w:r>
        <w:t>If you’re into</w:t>
      </w:r>
      <w:r>
        <w:rPr>
          <w:rStyle w:val="Text111"/>
        </w:rPr>
        <w:bookmarkStart w:id="4169" w:name="idm45965174903312"/>
        <w:t/>
        <w:bookmarkEnd w:id="4169"/>
        <w:bookmarkStart w:id="4170" w:name="idm45965174902112"/>
        <w:t/>
        <w:bookmarkEnd w:id="4170"/>
        <w:bookmarkStart w:id="4171" w:name="idm45965174900912"/>
        <w:t/>
        <w:bookmarkEnd w:id="4171"/>
      </w:r>
      <w:r>
        <w:t xml:space="preserve"> asynchronous Python (which we don’t cover in this book), you should definitely investigate </w:t>
      </w:r>
      <w:hyperlink r:id="rId592">
        <w:r>
          <w:rPr>
            <w:rStyle w:val="Text1"/>
          </w:rPr>
          <w:t>ASGI</w:t>
        </w:r>
      </w:hyperlink>
      <w:r>
        <w:t>, which sets out to do pretty much what</w:t>
      </w:r>
      <w:r>
        <w:rPr>
          <w:rStyle w:val="Text111"/>
        </w:rPr>
        <w:bookmarkStart w:id="4172" w:name="idm45965174898848"/>
        <w:t/>
        <w:bookmarkEnd w:id="4172"/>
        <w:bookmarkStart w:id="4173" w:name="idm45965174897472"/>
        <w:t/>
        <w:bookmarkEnd w:id="4173"/>
      </w:r>
      <w:r>
        <w:t xml:space="preserve"> WSGI does, but asynchronously. As is usually the case for asynchronous programs in a networking environment, it can offer greatly improved performance, albeit (arguably) with some increase in cognitive load for the developer.</w:t>
      </w:r>
    </w:p>
    <w:p>
      <w:bookmarkStart w:id="4174" w:name="Python_Web_Frameworks__For_a_sur"/>
      <w:pPr>
        <w:keepNext/>
        <w:pStyle w:val="Heading 1"/>
      </w:pPr>
      <w:r>
        <w:t>Python Web Frameworks</w:t>
      </w:r>
      <w:bookmarkEnd w:id="4174"/>
    </w:p>
    <w:p>
      <w:pPr>
        <w:pStyle w:val="Normal"/>
      </w:pPr>
      <w:r>
        <w:t>For</w:t>
      </w:r>
      <w:r>
        <w:rPr>
          <w:rStyle w:val="Text111"/>
        </w:rPr>
        <w:bookmarkStart w:id="4175" w:name="WPSSpwebframe20"/>
        <w:t/>
        <w:bookmarkEnd w:id="4175"/>
      </w:r>
      <w:r>
        <w:t xml:space="preserve"> a survey of Python web frameworks, see the Python </w:t>
      </w:r>
      <w:hyperlink r:id="rId593">
        <w:r>
          <w:rPr>
            <w:rStyle w:val="Text1"/>
          </w:rPr>
          <w:t>wiki page</w:t>
        </w:r>
      </w:hyperlink>
      <w:r>
        <w:t xml:space="preserve">. It’s authoritative since it’s on the official </w:t>
      </w:r>
      <w:hyperlink r:id="rId401">
        <w:r>
          <w:rPr>
            <w:rStyle w:val="Text1"/>
          </w:rPr>
          <w:t>Python.org</w:t>
        </w:r>
      </w:hyperlink>
      <w:r>
        <w:t xml:space="preserve"> website, and it’s community curated, so it stays up-to-date as time goes by. The wiki lists and points to dozens of frameworks</w:t>
      </w:r>
      <w:hyperlink w:anchor="5_Since_Python_has_fewer_than_40">
        <w:r>
          <w:rPr>
            <w:rStyle w:val="Text41"/>
          </w:rPr>
          <w:bookmarkStart w:id="4176" w:name="5_9"/>
          <w:t>5</w:t>
          <w:bookmarkEnd w:id="4176"/>
        </w:r>
      </w:hyperlink>
      <w:r>
        <w:t xml:space="preserve"> that it identifies as “active,” plus many more it identifies as “discontinued/inactive.” In addition, it points to separate wiki pages about Python content management systems, web servers, and web components and libraries thereof.</w:t>
      </w:r>
    </w:p>
    <w:p>
      <w:bookmarkStart w:id="4177" w:name="_Full_Stack__Versus__Lightweight"/>
      <w:pPr>
        <w:keepNext/>
        <w:pStyle w:val="Heading 2"/>
      </w:pPr>
      <w:r>
        <w:t>“Full-Stack” Versus “Lightweight” Frameworks</w:t>
      </w:r>
      <w:bookmarkEnd w:id="4177"/>
    </w:p>
    <w:p>
      <w:pPr>
        <w:pStyle w:val="Normal"/>
      </w:pPr>
      <w:r>
        <w:t>Roughly speaking, Python web frameworks can be classified as being either</w:t>
      </w:r>
      <w:r>
        <w:rPr>
          <w:rStyle w:val="Text111"/>
        </w:rPr>
        <w:bookmarkStart w:id="4178" w:name="idm45965174887808"/>
        <w:t/>
        <w:bookmarkEnd w:id="4178"/>
      </w:r>
      <w:r>
        <w:t xml:space="preserve"> </w:t>
      </w:r>
      <w:r>
        <w:rPr>
          <w:rStyle w:val="Text4"/>
        </w:rPr>
        <w:t>full-stack</w:t>
      </w:r>
      <w:r>
        <w:t xml:space="preserve"> (trying to supply all the functionality you may need to build a web application) or</w:t>
      </w:r>
      <w:r>
        <w:rPr>
          <w:rStyle w:val="Text111"/>
        </w:rPr>
        <w:bookmarkStart w:id="4179" w:name="lightframe20"/>
        <w:t/>
        <w:bookmarkEnd w:id="4179"/>
      </w:r>
      <w:r>
        <w:t xml:space="preserve"> </w:t>
      </w:r>
      <w:r>
        <w:rPr>
          <w:rStyle w:val="Text4"/>
        </w:rPr>
        <w:t>lightweight</w:t>
      </w:r>
      <w:r>
        <w:t xml:space="preserve"> (supplying just a handy interface to web serving itself, and letting you pick and choose your own favorite components for tasks such as interfacing to databases and templating). Of course, like all taxonomies, this one is imprecise and incomplete, and requires value judgments; however, it’s one way to start making sense of the many Python web frameworks.</w:t>
      </w:r>
    </w:p>
    <w:p>
      <w:pPr>
        <w:pStyle w:val="Normal"/>
      </w:pPr>
      <w:r>
        <w:t>In this book, we do not thoroughly cover any full-stack frameworks—each is far too complex. Nevertheless, one of them might be the best approach for your specific applications, so we do mention a few of the most popular ones, and recommend that you check out their websites.</w:t>
      </w:r>
    </w:p>
    <w:p>
      <w:bookmarkStart w:id="4180" w:name="A_Few_Popular_Full_Stack_Framewo"/>
      <w:pPr>
        <w:keepNext/>
        <w:pStyle w:val="Heading 2"/>
      </w:pPr>
      <w:r>
        <w:t>A Few Popular Full-Stack Frameworks</w:t>
      </w:r>
      <w:bookmarkEnd w:id="4180"/>
    </w:p>
    <w:p>
      <w:pPr>
        <w:pStyle w:val="Normal"/>
      </w:pPr>
      <w:r>
        <w:t>By far the most popular full-stack framework is</w:t>
      </w:r>
      <w:r>
        <w:rPr>
          <w:rStyle w:val="Text111"/>
        </w:rPr>
        <w:bookmarkStart w:id="4181" w:name="idm45965174881488"/>
        <w:t/>
        <w:bookmarkEnd w:id="4181"/>
      </w:r>
      <w:r>
        <w:t xml:space="preserve"> </w:t>
      </w:r>
      <w:hyperlink r:id="rId594">
        <w:r>
          <w:rPr>
            <w:rStyle w:val="Text1"/>
          </w:rPr>
          <w:t>Django</w:t>
        </w:r>
      </w:hyperlink>
      <w:r>
        <w:t xml:space="preserve">, which is sprawling and extensible. Django’s so-called </w:t>
      </w:r>
      <w:r>
        <w:rPr>
          <w:rStyle w:val="Text4"/>
        </w:rPr>
        <w:t>applications</w:t>
      </w:r>
      <w:r>
        <w:t xml:space="preserve"> are in fact reusable subsystems, while what’s normally called “an application” Django calls a </w:t>
      </w:r>
      <w:r>
        <w:rPr>
          <w:rStyle w:val="Text4"/>
        </w:rPr>
        <w:t>project</w:t>
      </w:r>
      <w:r>
        <w:t>. Django requires its own unique mindset, but offers enormous power and functionality in return.</w:t>
      </w:r>
    </w:p>
    <w:p>
      <w:pPr>
        <w:pStyle w:val="Normal"/>
      </w:pPr>
      <w:r>
        <w:t>An excellent alternative is</w:t>
      </w:r>
      <w:r>
        <w:rPr>
          <w:rStyle w:val="Text111"/>
        </w:rPr>
        <w:bookmarkStart w:id="4182" w:name="idm45965174877664"/>
        <w:t/>
        <w:bookmarkEnd w:id="4182"/>
      </w:r>
      <w:r>
        <w:t xml:space="preserve"> </w:t>
      </w:r>
      <w:hyperlink r:id="rId595">
        <w:r>
          <w:rPr>
            <w:rStyle w:val="Text1"/>
          </w:rPr>
          <w:t>web2py</w:t>
        </w:r>
      </w:hyperlink>
      <w:r>
        <w:t>: it’s just about as powerful, easier to learn, and well known for its dedication to backward compatibility (if it keeps up its great track record, any web2py application you code today will keep working far into the future). web2py also has outstanding documentation.</w:t>
      </w:r>
    </w:p>
    <w:p>
      <w:pPr>
        <w:pStyle w:val="Normal"/>
      </w:pPr>
      <w:r>
        <w:t>A third worthy contender is</w:t>
      </w:r>
      <w:r>
        <w:rPr>
          <w:rStyle w:val="Text111"/>
        </w:rPr>
        <w:bookmarkStart w:id="4183" w:name="idm45965174875248"/>
        <w:t/>
        <w:bookmarkEnd w:id="4183"/>
      </w:r>
      <w:r>
        <w:t xml:space="preserve"> </w:t>
      </w:r>
      <w:hyperlink r:id="rId596">
        <w:r>
          <w:rPr>
            <w:rStyle w:val="Text1"/>
          </w:rPr>
          <w:t>TurboGears</w:t>
        </w:r>
      </w:hyperlink>
      <w:r>
        <w:t>, which starts out as a lightweight framework but achieves “full-stack” status by fully integrating other, independent third-party projects for the various other functionalities needed in most web apps, such as database interfacing and templating, rather than designing its own. Another somewhat philosophically similar “light but rich” framework is</w:t>
      </w:r>
      <w:r>
        <w:rPr>
          <w:rStyle w:val="Text111"/>
        </w:rPr>
        <w:bookmarkStart w:id="4184" w:name="idm45965174873296"/>
        <w:t/>
        <w:bookmarkEnd w:id="4184"/>
      </w:r>
      <w:r>
        <w:t xml:space="preserve"> </w:t>
      </w:r>
      <w:hyperlink r:id="rId597">
        <w:r>
          <w:rPr>
            <w:rStyle w:val="Text1"/>
          </w:rPr>
          <w:t>Pyramid</w:t>
        </w:r>
      </w:hyperlink>
      <w:r>
        <w:t>.</w:t>
      </w:r>
    </w:p>
    <w:p>
      <w:bookmarkStart w:id="4185" w:name="Considerations_When_Using_Lightw"/>
      <w:pPr>
        <w:keepNext/>
        <w:pStyle w:val="Heading 2"/>
      </w:pPr>
      <w:r>
        <w:t>Considerations When Using Lightweight Frameworks</w:t>
      </w:r>
      <w:bookmarkEnd w:id="4185"/>
    </w:p>
    <w:p>
      <w:pPr>
        <w:pStyle w:val="Normal"/>
      </w:pPr>
      <w:r>
        <w:t>Whenever you use a lightweight framework, if you need any database, templating, or other functionality not strictly related to HTTP, you’ll be picking and choosing separate components for that purpose. However, the lighter in weight your framework, the more components you will need to understand and integrate, for purposes such as authenticating a user or maintaining state across web requests by a given user. Many WSGI middleware packages can help you with such tasks. Some excellent ones are quite focused—for</w:t>
      </w:r>
      <w:r>
        <w:rPr>
          <w:rStyle w:val="Text111"/>
        </w:rPr>
        <w:bookmarkStart w:id="4186" w:name="idm45965174869344"/>
        <w:t/>
        <w:bookmarkEnd w:id="4186"/>
      </w:r>
      <w:r>
        <w:t xml:space="preserve"> example, </w:t>
      </w:r>
      <w:hyperlink r:id="rId598">
        <w:r>
          <w:rPr>
            <w:rStyle w:val="Text1"/>
          </w:rPr>
          <w:t>Oso</w:t>
        </w:r>
      </w:hyperlink>
      <w:r>
        <w:t xml:space="preserve"> for access control, </w:t>
      </w:r>
      <w:hyperlink r:id="rId599">
        <w:r>
          <w:rPr>
            <w:rStyle w:val="Text1"/>
          </w:rPr>
          <w:t>Beaker</w:t>
        </w:r>
      </w:hyperlink>
      <w:r>
        <w:t xml:space="preserve"> </w:t>
      </w:r>
      <w:r>
        <w:rPr>
          <w:rStyle w:val="Text111"/>
        </w:rPr>
        <w:bookmarkStart w:id="4187" w:name="idm45965174866672"/>
        <w:t/>
        <w:bookmarkEnd w:id="4187"/>
      </w:r>
      <w:r>
        <w:t>for maintaining state in the form of lightweight sessions of any one of several kinds, and so forth.</w:t>
      </w:r>
    </w:p>
    <w:p>
      <w:pPr>
        <w:pStyle w:val="Normal"/>
      </w:pPr>
      <w:r>
        <w:t>However, when we (the authors of this book) require good WSGI middleware for just about any purpose, we almost invariably first check</w:t>
      </w:r>
      <w:r>
        <w:rPr>
          <w:rStyle w:val="Text111"/>
        </w:rPr>
        <w:bookmarkStart w:id="4188" w:name="idm45965174864736"/>
        <w:t/>
        <w:bookmarkEnd w:id="4188"/>
      </w:r>
      <w:r>
        <w:t xml:space="preserve"> </w:t>
      </w:r>
      <w:hyperlink r:id="rId600">
        <w:r>
          <w:rPr>
            <w:rStyle w:val="Text1"/>
          </w:rPr>
          <w:t>Werkzeug</w:t>
        </w:r>
      </w:hyperlink>
      <w:r>
        <w:t>, a collection of such components that’s amazing in breadth and quality. We don’t cover Werkzeug in this book (just as we don’t cover other middleware), but we recommend it highly (Werkzeug is also the foundation on which Flask—our favorite lightweight framework, which we do cover later in this chapter—is built).</w:t>
      </w:r>
    </w:p>
    <w:p>
      <w:pPr>
        <w:pStyle w:val="Normal"/>
      </w:pPr>
      <w:r>
        <w:t>You may notice that properly using lightweight frameworks requires you to understand HTTP (in other words, to know what you’re doing), while a full-stack framework tries to lead you by the hand and have you do the right thing without really needing to understand how or why it is right—at the cost of time and resources, and of accepting the full-stack framework’s conceptual map and mindset. The authors of this book are enthusiasts of the knowledge-heavy, resources-light approach of lightweight frameworks, but we acknowledge that there are many situations where the rich, heavy, all-embracing full-stack frameworks are more appropriate. To each their own!</w:t>
      </w:r>
    </w:p>
    <w:p>
      <w:bookmarkStart w:id="4189" w:name="A_Few_Popular_Lightweight_Framew"/>
      <w:pPr>
        <w:keepNext/>
        <w:pStyle w:val="Heading 2"/>
      </w:pPr>
      <w:r>
        <w:t>A Few Popular Lightweight Frameworks</w:t>
      </w:r>
      <w:bookmarkEnd w:id="4189"/>
    </w:p>
    <w:p>
      <w:pPr>
        <w:pStyle w:val="Normal"/>
      </w:pPr>
      <w:r>
        <w:t>As mentioned, Python has multiple frameworks, including many lightweight ones. We cover two of the latter here: the popular, general-purpose Flask, and API-centric FastAPI.</w:t>
      </w:r>
    </w:p>
    <w:p>
      <w:bookmarkStart w:id="4190" w:name="Flask__The_most_popular_Python_l"/>
      <w:pPr>
        <w:keepNext/>
        <w:pStyle w:val="Heading 2"/>
      </w:pPr>
      <w:r>
        <w:t>Flask</w:t>
      </w:r>
      <w:bookmarkEnd w:id="4190"/>
    </w:p>
    <w:p>
      <w:pPr>
        <w:pStyle w:val="Normal"/>
      </w:pPr>
      <w:r>
        <w:t>The most popular Python lightweight framework is</w:t>
      </w:r>
      <w:r>
        <w:rPr>
          <w:rStyle w:val="Text111"/>
        </w:rPr>
        <w:bookmarkStart w:id="4191" w:name="flask20"/>
        <w:t/>
        <w:bookmarkEnd w:id="4191"/>
      </w:r>
      <w:r>
        <w:t xml:space="preserve"> </w:t>
      </w:r>
      <w:hyperlink r:id="rId601">
        <w:r>
          <w:rPr>
            <w:rStyle w:val="Text1"/>
          </w:rPr>
          <w:t>Flask</w:t>
        </w:r>
      </w:hyperlink>
      <w:r>
        <w:t xml:space="preserve">, a third-party </w:t>
      </w:r>
      <w:r>
        <w:rPr>
          <w:rStyle w:val="Text0"/>
        </w:rPr>
        <w:t>pip</w:t>
      </w:r>
      <w:r>
        <w:t xml:space="preserve">-installable package. Although lightweight, it includes a development server and debugger, and it explicitly relies on other well-chosen packages such as Werkzeug for middleware and </w:t>
      </w:r>
      <w:hyperlink r:id="rId602">
        <w:r>
          <w:rPr>
            <w:rStyle w:val="Text1"/>
          </w:rPr>
          <w:t>Jinja</w:t>
        </w:r>
      </w:hyperlink>
      <w:r>
        <w:t xml:space="preserve"> for templating (both packages were originally authored by Armin Ronacher, the author of Flask).</w:t>
      </w:r>
    </w:p>
    <w:p>
      <w:pPr>
        <w:pStyle w:val="Normal"/>
      </w:pPr>
      <w:r>
        <w:t xml:space="preserve">In addition to the project website (which includes rich, detailed docs), look at the </w:t>
      </w:r>
      <w:hyperlink r:id="rId603">
        <w:r>
          <w:rPr>
            <w:rStyle w:val="Text1"/>
          </w:rPr>
          <w:t>sources on GitHub</w:t>
        </w:r>
      </w:hyperlink>
      <w:r>
        <w:t xml:space="preserve"> and the </w:t>
      </w:r>
      <w:hyperlink r:id="rId604">
        <w:r>
          <w:rPr>
            <w:rStyle w:val="Text1"/>
          </w:rPr>
          <w:t>PyPI entry</w:t>
        </w:r>
      </w:hyperlink>
      <w:r>
        <w:t xml:space="preserve">. If you want to run Flask on Google App Engine (locally on your computer, or on Google’s servers at </w:t>
      </w:r>
      <w:hyperlink r:id="rId605">
        <w:r>
          <w:rPr>
            <w:rStyle w:val="Text24"/>
          </w:rPr>
          <w:t>appspot.com</w:t>
        </w:r>
      </w:hyperlink>
      <w:r>
        <w:t xml:space="preserve">), Dough Mahugh’s </w:t>
      </w:r>
      <w:hyperlink r:id="rId606">
        <w:r>
          <w:rPr>
            <w:rStyle w:val="Text1"/>
          </w:rPr>
          <w:t>Medium article</w:t>
        </w:r>
      </w:hyperlink>
      <w:r>
        <w:t xml:space="preserve"> can be quite handy.</w:t>
      </w:r>
    </w:p>
    <w:p>
      <w:pPr>
        <w:pStyle w:val="Normal"/>
      </w:pPr>
      <w:r>
        <w:t xml:space="preserve">We also highly recommend Miguel Grinberg’s book </w:t>
      </w:r>
      <w:hyperlink r:id="rId607">
        <w:r>
          <w:rPr>
            <w:rStyle w:val="Text24"/>
          </w:rPr>
          <w:t>Flask Web Development</w:t>
        </w:r>
      </w:hyperlink>
      <w:r>
        <w:t xml:space="preserve"> (O’Reilly): although the second edition is rather dated (almost four years old at the time of this writing), it still provides an excellent foundation, on top of which you’ll have a far easier time learning the latest new additions.</w:t>
      </w:r>
    </w:p>
    <w:p>
      <w:pPr>
        <w:pStyle w:val="Normal"/>
      </w:pPr>
      <w:r>
        <w:t xml:space="preserve">The main class supplied by the </w:t>
      </w:r>
      <w:r>
        <w:rPr>
          <w:rStyle w:val="Text0"/>
        </w:rPr>
        <w:t>flask</w:t>
      </w:r>
      <w:r>
        <w:t xml:space="preserve"> package is named </w:t>
      </w:r>
      <w:r>
        <w:rPr>
          <w:rStyle w:val="Text0"/>
        </w:rPr>
        <w:t>Flask</w:t>
      </w:r>
      <w:r>
        <w:t xml:space="preserve">. An instance of </w:t>
      </w:r>
      <w:r>
        <w:rPr>
          <w:rStyle w:val="Text0"/>
        </w:rPr>
        <w:t>flask.Flask</w:t>
      </w:r>
      <w:r>
        <w:t xml:space="preserve">, besides being a WSGI application itself, also wraps a WSGI application as its </w:t>
      </w:r>
      <w:r>
        <w:rPr>
          <w:rStyle w:val="Text0"/>
        </w:rPr>
        <w:t>wsgi_app</w:t>
      </w:r>
      <w:r>
        <w:t xml:space="preserve"> property. When you need to further wrap the WSGI app in some WSGI middleware, use the idiom:</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flask</w:t>
        <w:br w:clear="none"/>
      </w:r>
      <w:r>
        <w:rPr>
          <w:rStyle w:val="Text6"/>
        </w:rPr>
        <w:t xml:space="preserve"/>
        <w:br w:clear="none"/>
        <w:t xml:space="preserve"/>
        <w:br w:clear="none"/>
      </w:r>
      <w:r>
        <w:t xml:space="preserve">app</w:t>
        <w:br w:clear="none"/>
      </w:r>
      <w:r>
        <w:rPr>
          <w:rStyle w:val="Text6"/>
        </w:rPr>
        <w:t xml:space="preserve"> </w:t>
        <w:br w:clear="none"/>
      </w:r>
      <w:r>
        <w:rPr>
          <w:rStyle w:val="Text13"/>
        </w:rPr>
        <w:t xml:space="preserve">=</w:t>
        <w:br w:clear="none"/>
      </w:r>
      <w:r>
        <w:rPr>
          <w:rStyle w:val="Text6"/>
        </w:rPr>
        <w:t xml:space="preserve"> </w:t>
        <w:br w:clear="none"/>
      </w:r>
      <w:r>
        <w:t xml:space="preserve">flask</w:t>
        <w:br w:clear="none"/>
      </w:r>
      <w:r>
        <w:rPr>
          <w:rStyle w:val="Text13"/>
        </w:rPr>
        <w:t xml:space="preserve">.</w:t>
        <w:br w:clear="none"/>
      </w:r>
      <w:r>
        <w:t xml:space="preserve">Flask</w:t>
        <w:br w:clear="none"/>
      </w:r>
      <w:r>
        <w:rPr>
          <w:rStyle w:val="Text7"/>
        </w:rPr>
        <w:t xml:space="preserve">(</w:t>
        <w:br w:clear="none"/>
      </w:r>
      <w:r>
        <w:rPr>
          <w:rStyle w:val="Text6"/>
        </w:rPr>
        <w:t xml:space="preserve">__name__</w:t>
        <w:br w:clear="none"/>
      </w:r>
      <w:r>
        <w:rPr>
          <w:rStyle w:val="Text7"/>
        </w:rPr>
        <w:t xml:space="preserve">)</w:t>
        <w:br w:clear="none"/>
      </w:r>
      <w:r>
        <w:rPr>
          <w:rStyle w:val="Text6"/>
        </w:rPr>
        <w:t xml:space="preserve"/>
        <w:br w:clear="none"/>
      </w:r>
      <w:r>
        <w:t xml:space="preserve">app</w:t>
        <w:br w:clear="none"/>
      </w:r>
      <w:r>
        <w:rPr>
          <w:rStyle w:val="Text13"/>
        </w:rPr>
        <w:t xml:space="preserve">.</w:t>
        <w:br w:clear="none"/>
      </w:r>
      <w:r>
        <w:t xml:space="preserve">wsgi_app</w:t>
        <w:br w:clear="none"/>
      </w:r>
      <w:r>
        <w:rPr>
          <w:rStyle w:val="Text6"/>
        </w:rPr>
        <w:t xml:space="preserve"> </w:t>
        <w:br w:clear="none"/>
      </w:r>
      <w:r>
        <w:rPr>
          <w:rStyle w:val="Text13"/>
        </w:rPr>
        <w:t xml:space="preserve">=</w:t>
        <w:br w:clear="none"/>
      </w:r>
      <w:r>
        <w:rPr>
          <w:rStyle w:val="Text6"/>
        </w:rPr>
        <w:t xml:space="preserve"> </w:t>
        <w:br w:clear="none"/>
      </w:r>
      <w:r>
        <w:rPr>
          <w:rStyle w:val="Text4"/>
        </w:rPr>
        <w:t xml:space="preserve">some_middleware</w:t>
        <w:br w:clear="none"/>
      </w:r>
      <w:r>
        <w:rPr>
          <w:rStyle w:val="Text7"/>
        </w:rPr>
        <w:t xml:space="preserve">(</w:t>
        <w:br w:clear="none"/>
      </w:r>
      <w:r>
        <w:t xml:space="preserve">app</w:t>
        <w:br w:clear="none"/>
      </w:r>
      <w:r>
        <w:rPr>
          <w:rStyle w:val="Text13"/>
        </w:rPr>
        <w:t xml:space="preserve">.</w:t>
        <w:br w:clear="none"/>
      </w:r>
      <w:r>
        <w:t xml:space="preserve">wsgi_app</w:t>
        <w:br w:clear="none"/>
      </w:r>
      <w:r>
        <w:rPr>
          <w:rStyle w:val="Text7"/>
        </w:rPr>
        <w:t xml:space="preserve">)</w:t>
        <w:br w:clear="none"/>
      </w:r>
    </w:p>
    <w:p>
      <w:pPr>
        <w:pStyle w:val="Normal"/>
      </w:pPr>
      <w:r>
        <w:t xml:space="preserve">When you instantiate </w:t>
      </w:r>
      <w:r>
        <w:rPr>
          <w:rStyle w:val="Text0"/>
        </w:rPr>
        <w:t>flask.Flask</w:t>
      </w:r>
      <w:r>
        <w:t xml:space="preserve">, always pass it as the first argument the application name (often just the </w:t>
      </w:r>
      <w:r>
        <w:rPr>
          <w:rStyle w:val="Text0"/>
        </w:rPr>
        <w:t>__name__</w:t>
      </w:r>
      <w:r>
        <w:t xml:space="preserve"> special variable of the module where you instantiate it; if you instantiate it from within a package, usually in </w:t>
      </w:r>
      <w:r>
        <w:rPr>
          <w:rStyle w:val="Text4"/>
        </w:rPr>
        <w:t>__init__.py</w:t>
      </w:r>
      <w:r>
        <w:t xml:space="preserve">, </w:t>
      </w:r>
      <w:r>
        <w:rPr>
          <w:rStyle w:val="Text0"/>
        </w:rPr>
        <w:t>__name__.partition('.')[0]</w:t>
      </w:r>
      <w:r>
        <w:t xml:space="preserve"> works). Optionally, you can also pass named parameters such as </w:t>
      </w:r>
      <w:r>
        <w:rPr>
          <w:rStyle w:val="Text0"/>
        </w:rPr>
        <w:t>static_folder</w:t>
      </w:r>
      <w:r>
        <w:t xml:space="preserve"> and </w:t>
      </w:r>
      <w:r>
        <w:rPr>
          <w:rStyle w:val="Text0"/>
        </w:rPr>
        <w:t>template_folder</w:t>
      </w:r>
      <w:r>
        <w:t xml:space="preserve"> to customize where static files and Jinja templates are found; however, that’s rarely needed—the default values (subfolders named </w:t>
      </w:r>
      <w:r>
        <w:rPr>
          <w:rStyle w:val="Text4"/>
        </w:rPr>
        <w:t>static</w:t>
      </w:r>
      <w:r>
        <w:t xml:space="preserve"> and </w:t>
      </w:r>
      <w:r>
        <w:rPr>
          <w:rStyle w:val="Text4"/>
        </w:rPr>
        <w:t>templates</w:t>
      </w:r>
      <w:r>
        <w:t xml:space="preserve">, respectively, located in the same folder as the Python script that instantiates </w:t>
      </w:r>
      <w:r>
        <w:rPr>
          <w:rStyle w:val="Text0"/>
        </w:rPr>
        <w:t>flask.Flask</w:t>
      </w:r>
      <w:r>
        <w:t>) make perfect sense.</w:t>
      </w:r>
    </w:p>
    <w:p>
      <w:pPr>
        <w:pStyle w:val="Normal"/>
      </w:pPr>
      <w:r>
        <w:t xml:space="preserve">An instance </w:t>
      </w:r>
      <w:r>
        <w:rPr>
          <w:rStyle w:val="Text3"/>
        </w:rPr>
        <w:t>app</w:t>
      </w:r>
      <w:r>
        <w:t xml:space="preserve"> of </w:t>
      </w:r>
      <w:r>
        <w:rPr>
          <w:rStyle w:val="Text0"/>
        </w:rPr>
        <w:t>flask.Flask</w:t>
      </w:r>
      <w:r>
        <w:t xml:space="preserve"> supplies more than 100 methods and properties, many of them decorators to bind functions to </w:t>
      </w:r>
      <w:r>
        <w:rPr>
          <w:rStyle w:val="Text3"/>
        </w:rPr>
        <w:t>app</w:t>
      </w:r>
      <w:r>
        <w:t xml:space="preserve"> in various roles, such as </w:t>
      </w:r>
      <w:r>
        <w:rPr>
          <w:rStyle w:val="Text4"/>
        </w:rPr>
        <w:t>view functions</w:t>
      </w:r>
      <w:r>
        <w:t xml:space="preserve"> (serving HTTP verbs on a URL) or </w:t>
      </w:r>
      <w:r>
        <w:rPr>
          <w:rStyle w:val="Text4"/>
        </w:rPr>
        <w:t>hooks</w:t>
      </w:r>
      <w:r>
        <w:t xml:space="preserve"> (letting you alter a request before it’s processed or a response after it’s built, handling errors, and so forth).</w:t>
      </w:r>
    </w:p>
    <w:p>
      <w:pPr>
        <w:pStyle w:val="Normal"/>
      </w:pPr>
      <w:r>
        <w:rPr>
          <w:rStyle w:val="Text0"/>
        </w:rPr>
        <w:t>flask.Flask</w:t>
      </w:r>
      <w:r>
        <w:t xml:space="preserve"> takes just a few parameters at instantiation (and the ones it takes are not ones that you usually need to compute in your code), and it supplies decorators you’ll want to use as you define, for example, view functions. Thus, the normal pattern in </w:t>
      </w:r>
      <w:r>
        <w:rPr>
          <w:rStyle w:val="Text0"/>
        </w:rPr>
        <w:t>flask</w:t>
      </w:r>
      <w:r>
        <w:t xml:space="preserve"> is to instantiate </w:t>
      </w:r>
      <w:r>
        <w:rPr>
          <w:rStyle w:val="Text3"/>
        </w:rPr>
        <w:t>app</w:t>
      </w:r>
      <w:r>
        <w:t xml:space="preserve"> early in your main script, just as your application is starting up, so that the app’s decorators, and other methods and properties, are available as you </w:t>
      </w:r>
      <w:r>
        <w:rPr>
          <w:rStyle w:val="Text5"/>
        </w:rPr>
        <w:t>def</w:t>
      </w:r>
      <w:r>
        <w:t xml:space="preserve"> view functions and so on.</w:t>
      </w:r>
    </w:p>
    <w:p>
      <w:pPr>
        <w:pStyle w:val="Normal"/>
      </w:pPr>
      <w:r>
        <w:t xml:space="preserve">Since there is a single global </w:t>
      </w:r>
      <w:r>
        <w:rPr>
          <w:rStyle w:val="Text3"/>
        </w:rPr>
        <w:t>app</w:t>
      </w:r>
      <w:r>
        <w:t xml:space="preserve"> object, you may wonder how thread-safe it can be to access, mutate, and rebind </w:t>
      </w:r>
      <w:r>
        <w:rPr>
          <w:rStyle w:val="Text3"/>
        </w:rPr>
        <w:t>app</w:t>
      </w:r>
      <w:r>
        <w:t xml:space="preserve">’s properties and attributes. Not to worry: the names you see are actually just proxies to actual objects living in the </w:t>
      </w:r>
      <w:r>
        <w:rPr>
          <w:rStyle w:val="Text4"/>
        </w:rPr>
        <w:t>context</w:t>
      </w:r>
      <w:r>
        <w:t xml:space="preserve"> of a specific request, in a specific thread or </w:t>
      </w:r>
      <w:hyperlink r:id="rId608">
        <w:r>
          <w:rPr>
            <w:rStyle w:val="Text1"/>
          </w:rPr>
          <w:t>greenlet</w:t>
        </w:r>
      </w:hyperlink>
      <w:r>
        <w:t>. Never type-check those properties (their types are in fact obscure proxy types), and you’ll be fine.</w:t>
      </w:r>
    </w:p>
    <w:p>
      <w:pPr>
        <w:pStyle w:val="Normal"/>
      </w:pPr>
      <w:r>
        <w:t xml:space="preserve">Flask also supplies many other utility functions and classes; often, the latter subclass or wrap classes from other packages to add seamless, convenient Flask integration. For example, Flask’s </w:t>
      </w:r>
      <w:r>
        <w:rPr>
          <w:rStyle w:val="Text0"/>
        </w:rPr>
        <w:t>Request</w:t>
      </w:r>
      <w:r>
        <w:t xml:space="preserve"> and </w:t>
      </w:r>
      <w:r>
        <w:rPr>
          <w:rStyle w:val="Text0"/>
        </w:rPr>
        <w:t>Response</w:t>
      </w:r>
      <w:r>
        <w:t xml:space="preserve"> classes add just a little handy functionality by subclassing the corresponding Werkzeug classes.</w:t>
      </w:r>
    </w:p>
    <w:p>
      <w:bookmarkStart w:id="4192" w:name="Flask_request_objects__The_class"/>
      <w:pPr>
        <w:keepNext/>
        <w:pStyle w:val="Heading 4"/>
      </w:pPr>
      <w:r>
        <w:t>Flask request objects</w:t>
      </w:r>
      <w:bookmarkEnd w:id="4192"/>
    </w:p>
    <w:p>
      <w:pPr>
        <w:pStyle w:val="Normal"/>
      </w:pPr>
      <w:r>
        <w:t xml:space="preserve">The class </w:t>
      </w:r>
      <w:r>
        <w:rPr>
          <w:rStyle w:val="Text0"/>
        </w:rPr>
        <w:t>flask.Request</w:t>
      </w:r>
      <w:r>
        <w:t xml:space="preserve"> supplies a large number of </w:t>
      </w:r>
      <w:hyperlink r:id="rId609">
        <w:r>
          <w:rPr>
            <w:rStyle w:val="Text1"/>
          </w:rPr>
          <w:t>thoroughly documented properties</w:t>
        </w:r>
      </w:hyperlink>
      <w:r>
        <w:t xml:space="preserve">. </w:t>
      </w:r>
      <w:hyperlink w:anchor="Table_20_1__Useful_properties_of">
        <w:r>
          <w:rPr>
            <w:rStyle w:val="Text1"/>
          </w:rPr>
          <w:t>Table 20-1</w:t>
        </w:r>
      </w:hyperlink>
      <w:r>
        <w:t xml:space="preserve"> lists the ones you’ll be using most often.</w:t>
      </w:r>
    </w:p>
    <w:tbl>
      <w:tblPr>
        <w:tblW w:type="auto" w:w="0"/>
      </w:tblPr>
      <w:tr>
        <w:tc>
          <w:tcPr>
            <w:tcW w:type="auto" w:w="0"/>
            <w:tcMar>
              <w:left w:type="dxa" w:w="200"/>
              <w:top w:type="dxa" w:w="200"/>
              <w:right w:type="dxa" w:w="200"/>
              <w:bottom w:type="dxa" w:w="200"/>
            </w:tcMar>
          </w:tcPr>
          <w:p>
            <w:bookmarkStart w:id="4193" w:name="Table_20_1__Useful_properties_of"/>
            <w:pPr>
              <w:pStyle w:val="Para 011"/>
            </w:pPr>
            <w:r>
              <w:rPr>
                <w:rStyle w:val="Text117"/>
              </w:rPr>
              <w:t/>
            </w:r>
            <w:r>
              <w:t xml:space="preserve">Table 20-1. </w:t>
              <w:t xml:space="preserve">Useful properties of </w:t>
            </w:r>
            <w:r>
              <w:rPr>
                <w:rStyle w:val="Text0"/>
              </w:rPr>
              <w:t>flask.Request</w:t>
            </w:r>
            <w:bookmarkEnd w:id="4193"/>
          </w:p>
          <w:p>
            <w:pPr>
              <w:pStyle w:val="Para 001"/>
            </w:pPr>
            <w:r>
              <w:t>args</w:t>
            </w:r>
          </w:p>
        </w:tc>
        <w:tc>
          <w:tcPr>
            <w:tcW w:type="auto" w:w="0"/>
            <w:tcMar>
              <w:left w:type="dxa" w:w="200"/>
              <w:top w:type="dxa" w:w="200"/>
              <w:right w:type="dxa" w:w="200"/>
              <w:bottom w:type="dxa" w:w="200"/>
            </w:tcMar>
          </w:tcPr>
          <w:p>
            <w:pPr>
              <w:pStyle w:val="Para 002"/>
            </w:pPr>
            <w:r>
              <w:t xml:space="preserve">A </w:t>
            </w:r>
            <w:r>
              <w:rPr>
                <w:rStyle w:val="Text0"/>
              </w:rPr>
              <w:t>MultiDict</w:t>
            </w:r>
            <w:r>
              <w:t xml:space="preserve"> of the request’s query arguments</w:t>
            </w:r>
          </w:p>
        </w:tc>
      </w:tr>
    </w:tbl>
    <w:tbl>
      <w:tblPr>
        <w:tblW w:type="auto" w:w="0"/>
      </w:tblPr>
      <w:tr>
        <w:tc>
          <w:tcPr>
            <w:tcW w:type="auto" w:w="0"/>
            <w:shd w:val="clear" w:color="auto" w:fill="EEF2F6"/>
            <w:tcMar>
              <w:left w:type="dxa" w:w="200"/>
              <w:top w:type="dxa" w:w="200"/>
              <w:right w:type="dxa" w:w="200"/>
              <w:bottom w:type="dxa" w:w="200"/>
            </w:tcMar>
          </w:tcPr>
          <w:p>
            <w:pPr>
              <w:pStyle w:val="Para 001"/>
            </w:pPr>
            <w:r>
              <w:t>cookies</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dict</w:t>
            </w:r>
            <w:r>
              <w:t xml:space="preserve"> with the cookies from the request</w:t>
            </w:r>
          </w:p>
        </w:tc>
      </w:tr>
    </w:tbl>
    <w:tbl>
      <w:tblPr>
        <w:tblW w:type="auto" w:w="0"/>
      </w:tblPr>
      <w:tr>
        <w:tc>
          <w:tcPr>
            <w:tcW w:type="auto" w:w="0"/>
            <w:tcMar>
              <w:left w:type="dxa" w:w="200"/>
              <w:top w:type="dxa" w:w="200"/>
              <w:right w:type="dxa" w:w="200"/>
              <w:bottom w:type="dxa" w:w="200"/>
            </w:tcMar>
          </w:tcPr>
          <w:p>
            <w:pPr>
              <w:pStyle w:val="Para 001"/>
            </w:pPr>
            <w:r>
              <w:t>data</w:t>
            </w:r>
          </w:p>
        </w:tc>
        <w:tc>
          <w:tcPr>
            <w:tcW w:type="auto" w:w="0"/>
            <w:tcMar>
              <w:left w:type="dxa" w:w="200"/>
              <w:top w:type="dxa" w:w="200"/>
              <w:right w:type="dxa" w:w="200"/>
              <w:bottom w:type="dxa" w:w="200"/>
            </w:tcMar>
          </w:tcPr>
          <w:p>
            <w:pPr>
              <w:pStyle w:val="Para 002"/>
            </w:pPr>
            <w:r>
              <w:t xml:space="preserve">A </w:t>
            </w:r>
            <w:r>
              <w:rPr>
                <w:rStyle w:val="Text0"/>
              </w:rPr>
              <w:t>bytes</w:t>
            </w:r>
            <w:r>
              <w:t xml:space="preserve"> string, the request’s body (typically for POST and PUT requests)</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files</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MultiDict</w:t>
            </w:r>
            <w:r>
              <w:t xml:space="preserve"> of uploaded files in the request, mapping the files’ names to file-like objects containing each file’s data</w:t>
            </w:r>
          </w:p>
        </w:tc>
      </w:tr>
    </w:tbl>
    <w:tbl>
      <w:tblPr>
        <w:tblW w:type="auto" w:w="0"/>
      </w:tblPr>
      <w:tr>
        <w:tc>
          <w:tcPr>
            <w:tcW w:type="auto" w:w="0"/>
            <w:tcMar>
              <w:left w:type="dxa" w:w="200"/>
              <w:top w:type="dxa" w:w="200"/>
              <w:right w:type="dxa" w:w="200"/>
              <w:bottom w:type="dxa" w:w="200"/>
            </w:tcMar>
          </w:tcPr>
          <w:p>
            <w:pPr>
              <w:pStyle w:val="Para 001"/>
            </w:pPr>
            <w:r>
              <w:t>form</w:t>
            </w:r>
          </w:p>
        </w:tc>
        <w:tc>
          <w:tcPr>
            <w:tcW w:type="auto" w:w="0"/>
            <w:tcMar>
              <w:left w:type="dxa" w:w="200"/>
              <w:top w:type="dxa" w:w="200"/>
              <w:right w:type="dxa" w:w="200"/>
              <w:bottom w:type="dxa" w:w="200"/>
            </w:tcMar>
          </w:tcPr>
          <w:p>
            <w:pPr>
              <w:pStyle w:val="Para 002"/>
            </w:pPr>
            <w:r>
              <w:t xml:space="preserve">A </w:t>
            </w:r>
            <w:r>
              <w:rPr>
                <w:rStyle w:val="Text0"/>
              </w:rPr>
              <w:t>MultiDict</w:t>
            </w:r>
            <w:r>
              <w:t xml:space="preserve"> with the request’s form fields, provided in the request’s body</w:t>
            </w:r>
          </w:p>
        </w:tc>
      </w:tr>
    </w:tbl>
    <w:tbl>
      <w:tblPr>
        <w:tblW w:type="auto" w:w="0"/>
      </w:tblPr>
      <w:tr>
        <w:tc>
          <w:tcPr>
            <w:tcW w:type="auto" w:w="0"/>
            <w:shd w:val="clear" w:color="auto" w:fill="EEF2F6"/>
            <w:tcMar>
              <w:left w:type="dxa" w:w="200"/>
              <w:top w:type="dxa" w:w="200"/>
              <w:right w:type="dxa" w:w="200"/>
              <w:bottom w:type="dxa" w:w="200"/>
            </w:tcMar>
          </w:tcPr>
          <w:p>
            <w:pPr>
              <w:pStyle w:val="Para 001"/>
            </w:pPr>
            <w:r>
              <w:t>headers</w:t>
            </w:r>
          </w:p>
        </w:tc>
        <w:tc>
          <w:tcPr>
            <w:tcW w:type="auto" w:w="0"/>
            <w:shd w:val="clear" w:color="auto" w:fill="EEF2F6"/>
            <w:tcMar>
              <w:left w:type="dxa" w:w="200"/>
              <w:top w:type="dxa" w:w="200"/>
              <w:right w:type="dxa" w:w="200"/>
              <w:bottom w:type="dxa" w:w="200"/>
            </w:tcMar>
          </w:tcPr>
          <w:p>
            <w:pPr>
              <w:pStyle w:val="Para 002"/>
            </w:pPr>
            <w:r>
              <w:t xml:space="preserve">A </w:t>
            </w:r>
            <w:r>
              <w:rPr>
                <w:rStyle w:val="Text0"/>
              </w:rPr>
              <w:t>MultiDict</w:t>
            </w:r>
            <w:r>
              <w:t xml:space="preserve"> with the request’s headers</w:t>
            </w:r>
          </w:p>
        </w:tc>
      </w:tr>
    </w:tbl>
    <w:tbl>
      <w:tblPr>
        <w:tblW w:type="auto" w:w="0"/>
      </w:tblPr>
      <w:tr>
        <w:tc>
          <w:tcPr>
            <w:tcW w:type="auto" w:w="0"/>
            <w:tcMar>
              <w:left w:type="dxa" w:w="200"/>
              <w:top w:type="dxa" w:w="200"/>
              <w:right w:type="dxa" w:w="200"/>
              <w:bottom w:type="dxa" w:w="200"/>
            </w:tcMar>
          </w:tcPr>
          <w:p>
            <w:pPr>
              <w:pStyle w:val="Para 001"/>
            </w:pPr>
            <w:r>
              <w:t>values</w:t>
            </w:r>
          </w:p>
        </w:tc>
        <w:tc>
          <w:tcPr>
            <w:tcW w:type="auto" w:w="0"/>
            <w:tcMar>
              <w:left w:type="dxa" w:w="200"/>
              <w:top w:type="dxa" w:w="200"/>
              <w:right w:type="dxa" w:w="200"/>
              <w:bottom w:type="dxa" w:w="200"/>
            </w:tcMar>
          </w:tcPr>
          <w:p>
            <w:pPr>
              <w:pStyle w:val="Para 002"/>
            </w:pPr>
            <w:r>
              <w:t xml:space="preserve">A </w:t>
            </w:r>
            <w:r>
              <w:rPr>
                <w:rStyle w:val="Text0"/>
              </w:rPr>
              <w:t>MultiDict</w:t>
            </w:r>
            <w:r>
              <w:t xml:space="preserve"> combining the </w:t>
            </w:r>
            <w:r>
              <w:rPr>
                <w:rStyle w:val="Text0"/>
              </w:rPr>
              <w:t>args</w:t>
            </w:r>
            <w:r>
              <w:t xml:space="preserve"> and </w:t>
            </w:r>
            <w:r>
              <w:rPr>
                <w:rStyle w:val="Text0"/>
              </w:rPr>
              <w:t>form</w:t>
            </w:r>
            <w:r>
              <w:t xml:space="preserve"> properties</w:t>
            </w:r>
          </w:p>
        </w:tc>
      </w:tr>
    </w:tbl>
    <w:p>
      <w:pPr>
        <w:pStyle w:val="Normal"/>
      </w:pPr>
      <w:r>
        <w:t xml:space="preserve">A </w:t>
      </w:r>
      <w:r>
        <w:rPr>
          <w:rStyle w:val="Text0"/>
        </w:rPr>
        <w:t>MultiDict</w:t>
      </w:r>
      <w:r>
        <w:t xml:space="preserve"> is like a </w:t>
      </w:r>
      <w:r>
        <w:rPr>
          <w:rStyle w:val="Text0"/>
        </w:rPr>
        <w:t>dict</w:t>
      </w:r>
      <w:r>
        <w:t xml:space="preserve">, except that it can have multiple values for a key. Indexing and </w:t>
      </w:r>
      <w:r>
        <w:rPr>
          <w:rStyle w:val="Text0"/>
        </w:rPr>
        <w:t>get</w:t>
      </w:r>
      <w:r>
        <w:t xml:space="preserve"> on a </w:t>
      </w:r>
      <w:r>
        <w:rPr>
          <w:rStyle w:val="Text0"/>
        </w:rPr>
        <w:t>MultiDict</w:t>
      </w:r>
      <w:r>
        <w:t xml:space="preserve"> instance </w:t>
      </w:r>
      <w:r>
        <w:rPr>
          <w:rStyle w:val="Text3"/>
        </w:rPr>
        <w:t>m</w:t>
      </w:r>
      <w:r>
        <w:t xml:space="preserve"> return an arbitrary one of the values; to get the list of values for a key (an empty list, if the key is not in </w:t>
      </w:r>
      <w:r>
        <w:rPr>
          <w:rStyle w:val="Text3"/>
        </w:rPr>
        <w:t>m</w:t>
      </w:r>
      <w:r>
        <w:t xml:space="preserve">), call </w:t>
      </w:r>
      <w:r>
        <w:rPr>
          <w:rStyle w:val="Text3"/>
        </w:rPr>
        <w:t>m</w:t>
      </w:r>
      <w:r>
        <w:rPr>
          <w:rStyle w:val="Text0"/>
        </w:rPr>
        <w:t>.getlist(</w:t>
      </w:r>
      <w:r>
        <w:rPr>
          <w:rStyle w:val="Text3"/>
        </w:rPr>
        <w:t>key</w:t>
      </w:r>
      <w:r>
        <w:rPr>
          <w:rStyle w:val="Text0"/>
        </w:rPr>
        <w:t>)</w:t>
      </w:r>
      <w:r>
        <w:t>.</w:t>
      </w:r>
    </w:p>
    <w:p>
      <w:bookmarkStart w:id="4194" w:name="Flask_response_objects__Often__a"/>
      <w:pPr>
        <w:keepNext/>
        <w:pStyle w:val="Heading 4"/>
      </w:pPr>
      <w:r>
        <w:t>Flask response objects</w:t>
      </w:r>
      <w:bookmarkEnd w:id="4194"/>
    </w:p>
    <w:p>
      <w:pPr>
        <w:pStyle w:val="Normal"/>
      </w:pPr>
      <w:r>
        <w:t xml:space="preserve">Often, a Flask view function can just return a string (which becomes the response’s body): Flask transparently wraps an instance </w:t>
      </w:r>
      <w:r>
        <w:rPr>
          <w:rStyle w:val="Text3"/>
        </w:rPr>
        <w:t>r</w:t>
      </w:r>
      <w:r>
        <w:t xml:space="preserve"> of </w:t>
      </w:r>
      <w:r>
        <w:rPr>
          <w:rStyle w:val="Text0"/>
        </w:rPr>
        <w:t>flask.Response</w:t>
      </w:r>
      <w:r>
        <w:t xml:space="preserve"> around the string, so you don’t have to worry about the response class. However, sometimes you want to alter the response’s headers; in this case, in the view function, call </w:t>
      </w:r>
      <w:r>
        <w:rPr>
          <w:rStyle w:val="Text3"/>
        </w:rPr>
        <w:t>r</w:t>
      </w:r>
      <w:r>
        <w:t xml:space="preserve"> </w:t>
      </w:r>
      <w:r>
        <w:rPr>
          <w:rStyle w:val="Text0"/>
        </w:rPr>
        <w:t>= flask.make_response(</w:t>
      </w:r>
      <w:r>
        <w:rPr>
          <w:rStyle w:val="Text3"/>
        </w:rPr>
        <w:t>astring</w:t>
      </w:r>
      <w:r>
        <w:rPr>
          <w:rStyle w:val="Text0"/>
        </w:rPr>
        <w:t>)</w:t>
      </w:r>
      <w:r>
        <w:t xml:space="preserve">, alter </w:t>
      </w:r>
      <w:r>
        <w:rPr>
          <w:rStyle w:val="Text3"/>
        </w:rPr>
        <w:t>r</w:t>
      </w:r>
      <w:r>
        <w:rPr>
          <w:rStyle w:val="Text0"/>
        </w:rPr>
        <w:t>.headers</w:t>
      </w:r>
      <w:r>
        <w:t xml:space="preserve"> as you want, then </w:t>
      </w:r>
      <w:r>
        <w:rPr>
          <w:rStyle w:val="Text0"/>
        </w:rPr>
        <w:t>return</w:t>
      </w:r>
      <w:r>
        <w:t xml:space="preserve"> </w:t>
      </w:r>
      <w:r>
        <w:rPr>
          <w:rStyle w:val="Text3"/>
        </w:rPr>
        <w:t>r</w:t>
      </w:r>
      <w:r>
        <w:t xml:space="preserve">. (To set a cookie, don’t use </w:t>
      </w:r>
      <w:r>
        <w:rPr>
          <w:rStyle w:val="Text3"/>
        </w:rPr>
        <w:t>r</w:t>
      </w:r>
      <w:r>
        <w:rPr>
          <w:rStyle w:val="Text0"/>
        </w:rPr>
        <w:t>.headers</w:t>
      </w:r>
      <w:r>
        <w:t xml:space="preserve">; rather, call </w:t>
      </w:r>
      <w:hyperlink r:id="rId610">
        <w:r>
          <w:rPr>
            <w:rStyle w:val="Text114"/>
          </w:rPr>
          <w:t>r</w:t>
        </w:r>
      </w:hyperlink>
      <w:hyperlink r:id="rId610">
        <w:r>
          <w:rPr>
            <w:rStyle w:val="Text30"/>
          </w:rPr>
          <w:t>.set_cookie</w:t>
        </w:r>
      </w:hyperlink>
      <w:r>
        <w:t>.)</w:t>
      </w:r>
    </w:p>
    <w:p>
      <w:pPr>
        <w:pStyle w:val="Normal"/>
      </w:pPr>
      <w:r>
        <w:t xml:space="preserve">Some of Flask’s built-in integrations with other systems don’t require subclassing: for example, the templating integration implicitly injects into the Jinja context the Flask globals </w:t>
      </w:r>
      <w:r>
        <w:rPr>
          <w:rStyle w:val="Text0"/>
        </w:rPr>
        <w:t>config</w:t>
      </w:r>
      <w:r>
        <w:t xml:space="preserve">, </w:t>
      </w:r>
      <w:r>
        <w:rPr>
          <w:rStyle w:val="Text0"/>
        </w:rPr>
        <w:t>request</w:t>
      </w:r>
      <w:r>
        <w:t xml:space="preserve">, </w:t>
      </w:r>
      <w:r>
        <w:rPr>
          <w:rStyle w:val="Text0"/>
        </w:rPr>
        <w:t>session</w:t>
      </w:r>
      <w:r>
        <w:t xml:space="preserve">, and </w:t>
      </w:r>
      <w:r>
        <w:rPr>
          <w:rStyle w:val="Text0"/>
        </w:rPr>
        <w:t>g</w:t>
      </w:r>
      <w:r>
        <w:t xml:space="preserve"> (the latter being the handy “globals catch-all” object </w:t>
      </w:r>
      <w:r>
        <w:rPr>
          <w:rStyle w:val="Text0"/>
        </w:rPr>
        <w:t>flask.g</w:t>
      </w:r>
      <w:r>
        <w:t xml:space="preserve">, a proxy in application context, in which your code can store whatever you want to “stash” for the duration of the request being served) and the functions </w:t>
      </w:r>
      <w:r>
        <w:rPr>
          <w:rStyle w:val="Text0"/>
        </w:rPr>
        <w:t>url_for</w:t>
      </w:r>
      <w:r>
        <w:t xml:space="preserve"> (to translate an endpoint to the corresponding URL, same as </w:t>
      </w:r>
      <w:r>
        <w:rPr>
          <w:rStyle w:val="Text0"/>
        </w:rPr>
        <w:t>flask.url_for</w:t>
      </w:r>
      <w:r>
        <w:t xml:space="preserve">) and </w:t>
      </w:r>
      <w:r>
        <w:rPr>
          <w:rStyle w:val="Text0"/>
        </w:rPr>
        <w:t>get_flashed_messages</w:t>
      </w:r>
      <w:r>
        <w:t xml:space="preserve"> (to support </w:t>
      </w:r>
      <w:r>
        <w:rPr>
          <w:rStyle w:val="Text4"/>
        </w:rPr>
        <w:t>flashed messages</w:t>
      </w:r>
      <w:r>
        <w:t xml:space="preserve">, which we do not cover in this book; same as </w:t>
      </w:r>
      <w:r>
        <w:rPr>
          <w:rStyle w:val="Text0"/>
        </w:rPr>
        <w:t>flask.get_flashed_messages</w:t>
      </w:r>
      <w:r>
        <w:t>). Flask also provides convenient ways for your code to inject more filters, functions, and values into the Jinja context, without any subclassing.</w:t>
      </w:r>
    </w:p>
    <w:p>
      <w:pPr>
        <w:pStyle w:val="Normal"/>
      </w:pPr>
      <w:r>
        <w:t xml:space="preserve">Most of the officially recognized or approved Flask </w:t>
      </w:r>
      <w:hyperlink r:id="rId611">
        <w:r>
          <w:rPr>
            <w:rStyle w:val="Text1"/>
          </w:rPr>
          <w:t>extensions</w:t>
        </w:r>
      </w:hyperlink>
      <w:r>
        <w:t xml:space="preserve"> (hundreds are available from PyPI at the time of this writing) adopt similar approaches, supplying classes and utility functions to seamlessly integrate other popular subsystems with your Flask applications.</w:t>
      </w:r>
    </w:p>
    <w:p>
      <w:pPr>
        <w:pStyle w:val="Normal"/>
      </w:pPr>
      <w:r>
        <w:t xml:space="preserve">In addition, Flask introduces other features, such as </w:t>
      </w:r>
      <w:hyperlink r:id="rId612">
        <w:r>
          <w:rPr>
            <w:rStyle w:val="Text24"/>
          </w:rPr>
          <w:t>signals</w:t>
        </w:r>
      </w:hyperlink>
      <w:r>
        <w:t xml:space="preserve"> to provide looser dynamic coupling in a “pub/sub” pattern and </w:t>
      </w:r>
      <w:hyperlink r:id="rId613">
        <w:r>
          <w:rPr>
            <w:rStyle w:val="Text24"/>
          </w:rPr>
          <w:t>blueprints</w:t>
        </w:r>
      </w:hyperlink>
      <w:r>
        <w:t>, offering a substantial subset of a Flask application’s functionality to ease refactoring large applications in highly modular, flexible ways. We do not cover these advanced concepts in this book.</w:t>
      </w:r>
    </w:p>
    <w:p>
      <w:pPr>
        <w:pStyle w:val="Normal"/>
      </w:pPr>
      <w:hyperlink w:anchor="Example_20_1__A_Flask_example">
        <w:r>
          <w:rPr>
            <w:rStyle w:val="Text1"/>
          </w:rPr>
          <w:t>Example 20-1</w:t>
        </w:r>
      </w:hyperlink>
      <w:r>
        <w:t xml:space="preserve"> shows a simple Flask example. (After using </w:t>
      </w:r>
      <w:r>
        <w:rPr>
          <w:rStyle w:val="Text0"/>
        </w:rPr>
        <w:t>pip</w:t>
      </w:r>
      <w:r>
        <w:t xml:space="preserve"> to install Flask, run the example using the command </w:t>
      </w:r>
      <w:r>
        <w:rPr>
          <w:rStyle w:val="Text5"/>
        </w:rPr>
        <w:t>flask --app flask_example run</w:t>
      </w:r>
      <w:r>
        <w:t>.)</w:t>
      </w:r>
    </w:p>
    <w:p>
      <w:bookmarkStart w:id="4195" w:name="Example_20_1__A_Flask_example"/>
      <w:pPr>
        <w:keepNext/>
        <w:pStyle w:val="Heading 4"/>
      </w:pPr>
      <w:r>
        <w:t xml:space="preserve">Example 20-1. </w:t>
        <w:t>A Flask example</w:t>
      </w:r>
      <w:bookmarkEnd w:id="4195"/>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datetime</w:t>
        <w:br w:clear="none"/>
      </w:r>
      <w:r>
        <w:rPr>
          <w:rStyle w:val="Text13"/>
        </w:rPr>
        <w:t xml:space="preserve">,</w:t>
        <w:br w:clear="none"/>
      </w:r>
      <w:r>
        <w:rPr>
          <w:rStyle w:val="Text6"/>
        </w:rPr>
        <w:t xml:space="preserve"> </w:t>
        <w:br w:clear="none"/>
      </w:r>
      <w:r>
        <w:rPr>
          <w:rStyle w:val="Text20"/>
        </w:rPr>
        <w:t xml:space="preserve">flask</w:t>
        <w:br w:clear="none"/>
      </w:r>
      <w:r>
        <w:rPr>
          <w:rStyle w:val="Text6"/>
        </w:rPr>
        <w:t xml:space="preserve"/>
        <w:br w:clear="none"/>
      </w:r>
      <w:r>
        <w:rPr>
          <w:rStyle w:val="Text9"/>
        </w:rPr>
        <w:t xml:space="preserve">app</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flask</w:t>
        <w:br w:clear="none"/>
      </w:r>
      <w:r>
        <w:rPr>
          <w:rStyle w:val="Text13"/>
        </w:rPr>
        <w:t xml:space="preserve">.</w:t>
        <w:br w:clear="none"/>
      </w:r>
      <w:r>
        <w:rPr>
          <w:rStyle w:val="Text9"/>
        </w:rPr>
        <w:t xml:space="preserve">Flask</w:t>
        <w:br w:clear="none"/>
      </w:r>
      <w:r>
        <w:rPr>
          <w:rStyle w:val="Text7"/>
        </w:rPr>
        <w:t xml:space="preserve">(</w:t>
        <w:br w:clear="none"/>
      </w:r>
      <w:r>
        <w:rPr>
          <w:rStyle w:val="Text6"/>
        </w:rPr>
        <w:t xml:space="preserve">__name__</w:t>
        <w:br w:clear="none"/>
      </w:r>
      <w:r>
        <w:rPr>
          <w:rStyle w:val="Text7"/>
        </w:rPr>
        <w:t xml:space="preserve">)</w:t>
        <w:br w:clear="none"/>
      </w:r>
      <w:r>
        <w:rPr>
          <w:rStyle w:val="Text6"/>
        </w:rPr>
        <w:t xml:space="preserve"/>
        <w:br w:clear="none"/>
        <w:t xml:space="preserve"/>
        <w:br w:clear="none"/>
      </w:r>
      <w:r>
        <w:rPr>
          <w:rStyle w:val="Text15"/>
        </w:rPr>
        <w:t xml:space="preserve"># secret key for cryptographic components such as encoding session cookies;</w:t>
        <w:br w:clear="none"/>
      </w:r>
      <w:r>
        <w:rPr>
          <w:rStyle w:val="Text6"/>
        </w:rPr>
        <w:t xml:space="preserve"/>
        <w:br w:clear="none"/>
      </w:r>
      <w:r>
        <w:rPr>
          <w:rStyle w:val="Text15"/>
        </w:rPr>
        <w:t xml:space="preserve"># for production use, use secrets.token_bytes()</w:t>
        <w:br w:clear="none"/>
      </w:r>
      <w:r>
        <w:rPr>
          <w:rStyle w:val="Text6"/>
        </w:rPr>
        <w:t xml:space="preserve"/>
        <w:br w:clear="none"/>
      </w:r>
      <w:r>
        <w:rPr>
          <w:rStyle w:val="Text9"/>
        </w:rPr>
        <w:t xml:space="preserve">app</w:t>
        <w:br w:clear="none"/>
      </w:r>
      <w:r>
        <w:rPr>
          <w:rStyle w:val="Text13"/>
        </w:rPr>
        <w:t xml:space="preserve">.</w:t>
        <w:br w:clear="none"/>
      </w:r>
      <w:r>
        <w:rPr>
          <w:rStyle w:val="Text9"/>
        </w:rPr>
        <w:t xml:space="preserve">secret_key</w:t>
        <w:br w:clear="none"/>
      </w:r>
      <w:r>
        <w:rPr>
          <w:rStyle w:val="Text6"/>
        </w:rPr>
        <w:t xml:space="preserve"> </w:t>
        <w:br w:clear="none"/>
      </w:r>
      <w:r>
        <w:rPr>
          <w:rStyle w:val="Text13"/>
        </w:rPr>
        <w:t xml:space="preserve">=</w:t>
        <w:br w:clear="none"/>
      </w:r>
      <w:r>
        <w:rPr>
          <w:rStyle w:val="Text6"/>
        </w:rPr>
        <w:t xml:space="preserve"> </w:t>
        <w:br w:clear="none"/>
        <w:t xml:space="preserve">b</w:t>
        <w:br w:clear="none"/>
      </w:r>
      <w:r>
        <w:rPr>
          <w:rStyle w:val="Text37"/>
        </w:rPr>
        <w:t xml:space="preserve">'</w:t>
        <w:br w:clear="none"/>
        <w:t xml:space="preserve">\xc5</w:t>
        <w:br w:clear="none"/>
        <w:t xml:space="preserve">\x8f</w:t>
        <w:br w:clear="none"/>
        <w:t xml:space="preserve">\xbc</w:t>
        <w:br w:clear="none"/>
        <w:t xml:space="preserve">\xa2</w:t>
        <w:br w:clear="none"/>
        <w:t xml:space="preserve">\x1d</w:t>
        <w:br w:clear="none"/>
        <w:t xml:space="preserve">\xeb</w:t>
        <w:br w:clear="none"/>
        <w:t xml:space="preserve">\xb3</w:t>
        <w:br w:clear="none"/>
        <w:t xml:space="preserve">\x94</w:t>
        <w:br w:clear="none"/>
        <w:t xml:space="preserve">;:d</w:t>
        <w:br w:clear="none"/>
        <w:t xml:space="preserve">\x03</w:t>
        <w:br w:clear="none"/>
        <w:t xml:space="preserve">'</w:t>
        <w:br w:clear="none"/>
      </w:r>
      <w:r>
        <w:rPr>
          <w:rStyle w:val="Text6"/>
        </w:rPr>
        <w:t xml:space="preserve"/>
        <w:br w:clear="none"/>
        <w:t xml:space="preserve"/>
        <w:br w:clear="none"/>
      </w:r>
      <w:r>
        <w:rPr>
          <w:rStyle w:val="Text44"/>
        </w:rPr>
        <w:t xml:space="preserve">@app</w:t>
        <w:br w:clear="none"/>
      </w:r>
      <w:r>
        <w:rPr>
          <w:rStyle w:val="Text13"/>
        </w:rPr>
        <w:t xml:space="preserve">.</w:t>
        <w:br w:clear="none"/>
      </w:r>
      <w:r>
        <w:rPr>
          <w:rStyle w:val="Text9"/>
        </w:rPr>
        <w:t xml:space="preserve">route</w:t>
        <w:br w:clear="none"/>
      </w:r>
      <w:r>
        <w:rPr>
          <w:rStyle w:val="Text7"/>
        </w:rPr>
        <w:t xml:space="preserve">(</w:t>
        <w:br w:clear="none"/>
      </w:r>
      <w:r>
        <w:t xml:space="preserve">'</w:t>
        <w:br w:clear="none"/>
        <w:t xml:space="preserve">/</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greet</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9"/>
        </w:rPr>
        <w:t xml:space="preserve">lastvisit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flask</w:t>
        <w:br w:clear="none"/>
      </w:r>
      <w:r>
        <w:rPr>
          <w:rStyle w:val="Text13"/>
        </w:rPr>
        <w:t xml:space="preserve">.</w:t>
        <w:br w:clear="none"/>
      </w:r>
      <w:r>
        <w:rPr>
          <w:rStyle w:val="Text9"/>
        </w:rPr>
        <w:t xml:space="preserve">session</w:t>
        <w:br w:clear="none"/>
      </w:r>
      <w:r>
        <w:rPr>
          <w:rStyle w:val="Text13"/>
        </w:rPr>
        <w:t xml:space="preserve">.</w:t>
        <w:br w:clear="none"/>
      </w:r>
      <w:r>
        <w:rPr>
          <w:rStyle w:val="Text9"/>
        </w:rPr>
        <w:t xml:space="preserve">get</w:t>
        <w:br w:clear="none"/>
      </w:r>
      <w:r>
        <w:rPr>
          <w:rStyle w:val="Text7"/>
        </w:rPr>
        <w:t xml:space="preserve">(</w:t>
        <w:br w:clear="none"/>
      </w:r>
      <w:r>
        <w:t xml:space="preserve">'</w:t>
        <w:br w:clear="none"/>
        <w:t xml:space="preserve">lastvisit</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now</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datetime</w:t>
        <w:br w:clear="none"/>
      </w:r>
      <w:r>
        <w:rPr>
          <w:rStyle w:val="Text13"/>
        </w:rPr>
        <w:t xml:space="preserve">.</w:t>
        <w:br w:clear="none"/>
      </w:r>
      <w:r>
        <w:rPr>
          <w:rStyle w:val="Text9"/>
        </w:rPr>
        <w:t xml:space="preserve">datetime</w:t>
        <w:br w:clear="none"/>
      </w:r>
      <w:r>
        <w:rPr>
          <w:rStyle w:val="Text13"/>
        </w:rPr>
        <w:t xml:space="preserve">.</w:t>
        <w:br w:clear="none"/>
      </w:r>
      <w:r>
        <w:rPr>
          <w:rStyle w:val="Text9"/>
        </w:rPr>
        <w:t xml:space="preserve">now</w:t>
        <w:br w:clear="none"/>
      </w:r>
      <w:r>
        <w:rPr>
          <w:rStyle w:val="Text7"/>
        </w:rPr>
        <w:t xml:space="preserve">(</w:t>
        <w:br w:clear="none"/>
        <w:t xml:space="preserve">)</w:t>
        <w:br w:clear="none"/>
      </w:r>
      <w:r>
        <w:rPr>
          <w:rStyle w:val="Text6"/>
        </w:rPr>
        <w:t xml:space="preserve"/>
        <w:br w:clear="none"/>
        <w:t xml:space="preserve">    </w:t>
        <w:br w:clear="none"/>
      </w:r>
      <w:r>
        <w:rPr>
          <w:rStyle w:val="Text9"/>
        </w:rPr>
        <w:t xml:space="preserve">newvisit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now</w:t>
        <w:br w:clear="none"/>
      </w:r>
      <w:r>
        <w:rPr>
          <w:rStyle w:val="Text13"/>
        </w:rPr>
        <w:t xml:space="preserve">.</w:t>
        <w:br w:clear="none"/>
      </w:r>
      <w:r>
        <w:rPr>
          <w:rStyle w:val="Text9"/>
        </w:rPr>
        <w:t xml:space="preserve">ctime</w:t>
        <w:br w:clear="none"/>
      </w:r>
      <w:r>
        <w:rPr>
          <w:rStyle w:val="Text7"/>
        </w:rPr>
        <w:t xml:space="preserve">(</w:t>
        <w:br w:clear="none"/>
        <w:t xml:space="preserve">)</w:t>
        <w:br w:clear="none"/>
      </w:r>
      <w:r>
        <w:rPr>
          <w:rStyle w:val="Text6"/>
        </w:rPr>
        <w:t xml:space="preserve"/>
        <w:br w:clear="none"/>
        <w:t xml:space="preserve">    </w:t>
        <w:br w:clear="none"/>
      </w:r>
      <w:r>
        <w:rPr>
          <w:rStyle w:val="Text9"/>
        </w:rPr>
        <w:t xml:space="preserve">template</w:t>
        <w:br w:clear="none"/>
      </w:r>
      <w:r>
        <w:rPr>
          <w:rStyle w:val="Text6"/>
        </w:rPr>
        <w:t xml:space="preserve"> </w:t>
        <w:br w:clear="none"/>
      </w:r>
      <w:r>
        <w:rPr>
          <w:rStyle w:val="Text13"/>
        </w:rPr>
        <w:t xml:space="preserve">=</w:t>
        <w:br w:clear="none"/>
      </w:r>
      <w:r>
        <w:rPr>
          <w:rStyle w:val="Text6"/>
        </w:rPr>
        <w:t xml:space="preserve"> </w:t>
        <w:br w:clear="none"/>
      </w:r>
      <w:r>
        <w:t xml:space="preserve">'''</w:t>
        <w:br w:clear="none"/>
        <w:t xml:space="preserve"/>
        <w:br w:clear="none"/>
        <w:t xml:space="preserve">      &lt;html&gt;&lt;head&gt;&lt;title&gt;Hello, visitor!&lt;/title&gt;</w:t>
        <w:br w:clear="none"/>
        <w:t xml:space="preserve"/>
        <w:br w:clear="none"/>
        <w:t xml:space="preserve">      &lt;/head&gt;&lt;body&gt;</w:t>
        <w:br w:clear="none"/>
        <w:t xml:space="preserve"/>
        <w:br w:clear="none"/>
        <w:t xml:space="preserve">      </w:t>
        <w:br w:clear="none"/>
        <w:t xml:space="preserve">{</w:t>
        <w:br w:clear="none"/>
      </w:r>
      <w:r>
        <w:rPr>
          <w:rStyle w:val="Text32"/>
        </w:rPr>
        <w:t xml:space="preserve">% i</w:t>
        <w:br w:clear="none"/>
      </w:r>
      <w:r>
        <w:t xml:space="preserve">f lastvisit </w:t>
        <w:br w:clear="none"/>
        <w:t xml:space="preserve">%</w:t>
        <w:br w:clear="none"/>
        <w:t xml:space="preserve">}</w:t>
        <w:br w:clear="none"/>
        <w:t xml:space="preserve"/>
        <w:br w:clear="none"/>
        <w:t xml:space="preserve">        &lt;p&gt;Welcome back to this site!&lt;/p&gt;</w:t>
        <w:br w:clear="none"/>
        <w:t xml:space="preserve"/>
        <w:br w:clear="none"/>
        <w:t xml:space="preserve">        &lt;p&gt;You last visited on </w:t>
        <w:br w:clear="none"/>
        <w:t xml:space="preserve">{{</w:t>
        <w:br w:clear="none"/>
        <w:t xml:space="preserve">lastvisit}} UTC&lt;/p&gt;</w:t>
        <w:br w:clear="none"/>
        <w:t xml:space="preserve"/>
        <w:br w:clear="none"/>
        <w:t xml:space="preserve">        &lt;p&gt;This visit on </w:t>
        <w:br w:clear="none"/>
        <w:t xml:space="preserve">{{</w:t>
        <w:br w:clear="none"/>
        <w:t xml:space="preserve">newvisit}} UTC&lt;/p&gt;</w:t>
        <w:br w:clear="none"/>
        <w:t xml:space="preserve"/>
        <w:br w:clear="none"/>
        <w:t xml:space="preserve">      </w:t>
        <w:br w:clear="none"/>
        <w:t xml:space="preserve">{</w:t>
        <w:br w:clear="none"/>
      </w:r>
      <w:r>
        <w:rPr>
          <w:rStyle w:val="Text32"/>
        </w:rPr>
        <w:t xml:space="preserve">% e</w:t>
        <w:br w:clear="none"/>
      </w:r>
      <w:r>
        <w:t xml:space="preserve">lse </w:t>
        <w:br w:clear="none"/>
        <w:t xml:space="preserve">%</w:t>
        <w:br w:clear="none"/>
        <w:t xml:space="preserve">}</w:t>
        <w:br w:clear="none"/>
        <w:t xml:space="preserve"/>
        <w:br w:clear="none"/>
        <w:t xml:space="preserve">        &lt;p&gt;Welcome to this site on your first visit!&lt;/p&gt;</w:t>
        <w:br w:clear="none"/>
        <w:t xml:space="preserve"/>
        <w:br w:clear="none"/>
        <w:t xml:space="preserve">        &lt;p&gt;This visit on </w:t>
        <w:br w:clear="none"/>
        <w:t xml:space="preserve">{{</w:t>
        <w:br w:clear="none"/>
        <w:t xml:space="preserve">newvisit}} UTC&lt;/p&gt;</w:t>
        <w:br w:clear="none"/>
        <w:t xml:space="preserve"/>
        <w:br w:clear="none"/>
        <w:t xml:space="preserve">        &lt;p&gt;Please Refresh the web page to proceed&lt;/p&gt;</w:t>
        <w:br w:clear="none"/>
        <w:t xml:space="preserve"/>
        <w:br w:clear="none"/>
        <w:t xml:space="preserve">      </w:t>
        <w:br w:clear="none"/>
        <w:t xml:space="preserve">{</w:t>
        <w:br w:clear="none"/>
      </w:r>
      <w:r>
        <w:rPr>
          <w:rStyle w:val="Text32"/>
        </w:rPr>
        <w:t xml:space="preserve">% e</w:t>
        <w:br w:clear="none"/>
      </w:r>
      <w:r>
        <w:t xml:space="preserve">ndif </w:t>
        <w:br w:clear="none"/>
        <w:t xml:space="preserve">%</w:t>
        <w:br w:clear="none"/>
        <w:t xml:space="preserve">}</w:t>
        <w:br w:clear="none"/>
        <w:t xml:space="preserve"/>
        <w:br w:clear="none"/>
        <w:t xml:space="preserve">      &lt;/body&gt;&lt;/html&gt;</w:t>
        <w:br w:clear="none"/>
        <w:t xml:space="preserve">'''</w:t>
        <w:br w:clear="none"/>
      </w:r>
      <w:r>
        <w:rPr>
          <w:rStyle w:val="Text6"/>
        </w:rPr>
        <w:t xml:space="preserve"/>
        <w:br w:clear="none"/>
        <w:t xml:space="preserve">    </w:t>
        <w:br w:clear="none"/>
      </w:r>
      <w:r>
        <w:rPr>
          <w:rStyle w:val="Text9"/>
        </w:rPr>
        <w:t xml:space="preserve">flask</w:t>
        <w:br w:clear="none"/>
      </w:r>
      <w:r>
        <w:rPr>
          <w:rStyle w:val="Text13"/>
        </w:rPr>
        <w:t xml:space="preserve">.</w:t>
        <w:br w:clear="none"/>
      </w:r>
      <w:r>
        <w:rPr>
          <w:rStyle w:val="Text9"/>
        </w:rPr>
        <w:t xml:space="preserve">session</w:t>
        <w:br w:clear="none"/>
      </w:r>
      <w:r>
        <w:rPr>
          <w:rStyle w:val="Text7"/>
        </w:rPr>
        <w:t xml:space="preserve">[</w:t>
        <w:br w:clear="none"/>
      </w:r>
      <w:r>
        <w:t xml:space="preserve">'</w:t>
        <w:br w:clear="none"/>
        <w:t xml:space="preserve">lastvisit</w:t>
        <w:br w:clear="none"/>
        <w:t xml:space="preserve">'</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newvisit</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9"/>
        </w:rPr>
        <w:t xml:space="preserve">flask</w:t>
        <w:br w:clear="none"/>
      </w:r>
      <w:r>
        <w:rPr>
          <w:rStyle w:val="Text13"/>
        </w:rPr>
        <w:t xml:space="preserve">.</w:t>
        <w:br w:clear="none"/>
      </w:r>
      <w:r>
        <w:rPr>
          <w:rStyle w:val="Text9"/>
        </w:rPr>
        <w:t xml:space="preserve">render_template_string</w:t>
        <w:br w:clear="none"/>
      </w:r>
      <w:r>
        <w:rPr>
          <w:rStyle w:val="Text7"/>
        </w:rPr>
        <w:t xml:space="preserve">(</w:t>
        <w:br w:clear="none"/>
      </w:r>
      <w:r>
        <w:rPr>
          <w:rStyle w:val="Text6"/>
        </w:rPr>
        <w:t xml:space="preserve"/>
        <w:br w:clear="none"/>
        <w:t xml:space="preserve">      </w:t>
        <w:br w:clear="none"/>
      </w:r>
      <w:r>
        <w:rPr>
          <w:rStyle w:val="Text9"/>
        </w:rPr>
        <w:t xml:space="preserve">template</w:t>
        <w:br w:clear="none"/>
      </w:r>
      <w:r>
        <w:rPr>
          <w:rStyle w:val="Text7"/>
        </w:rPr>
        <w:t xml:space="preserve">,</w:t>
        <w:br w:clear="none"/>
      </w:r>
      <w:r>
        <w:rPr>
          <w:rStyle w:val="Text6"/>
        </w:rPr>
        <w:t xml:space="preserve"> </w:t>
        <w:br w:clear="none"/>
      </w:r>
      <w:r>
        <w:rPr>
          <w:rStyle w:val="Text9"/>
        </w:rPr>
        <w:t xml:space="preserve">newvisit</w:t>
        <w:br w:clear="none"/>
      </w:r>
      <w:r>
        <w:rPr>
          <w:rStyle w:val="Text13"/>
        </w:rPr>
        <w:t xml:space="preserve">=</w:t>
        <w:br w:clear="none"/>
      </w:r>
      <w:r>
        <w:rPr>
          <w:rStyle w:val="Text9"/>
        </w:rPr>
        <w:t xml:space="preserve">newvisit</w:t>
        <w:br w:clear="none"/>
      </w:r>
      <w:r>
        <w:rPr>
          <w:rStyle w:val="Text7"/>
        </w:rPr>
        <w:t xml:space="preserve">,</w:t>
        <w:br w:clear="none"/>
      </w:r>
      <w:r>
        <w:rPr>
          <w:rStyle w:val="Text6"/>
        </w:rPr>
        <w:t xml:space="preserve"> </w:t>
        <w:br w:clear="none"/>
      </w:r>
      <w:r>
        <w:rPr>
          <w:rStyle w:val="Text9"/>
        </w:rPr>
        <w:t xml:space="preserve">lastvisit</w:t>
        <w:br w:clear="none"/>
      </w:r>
      <w:r>
        <w:rPr>
          <w:rStyle w:val="Text13"/>
        </w:rPr>
        <w:t xml:space="preserve">=</w:t>
        <w:br w:clear="none"/>
      </w:r>
      <w:r>
        <w:rPr>
          <w:rStyle w:val="Text9"/>
        </w:rPr>
        <w:t xml:space="preserve">lastvisit</w:t>
        <w:br w:clear="none"/>
      </w:r>
      <w:r>
        <w:rPr>
          <w:rStyle w:val="Text7"/>
        </w:rPr>
        <w:t xml:space="preserve">)</w:t>
        <w:br w:clear="none"/>
      </w:r>
    </w:p>
    <w:p>
      <w:pPr>
        <w:pStyle w:val="Normal"/>
      </w:pPr>
      <w:r>
        <w:t xml:space="preserve">This example shows how to use just a few of the many building blocks that Flask offers—the </w:t>
      </w:r>
      <w:r>
        <w:rPr>
          <w:rStyle w:val="Text0"/>
        </w:rPr>
        <w:t>Flask</w:t>
      </w:r>
      <w:r>
        <w:t xml:space="preserve"> class, a view function, and rendering the response (in this case, using </w:t>
      </w:r>
      <w:r>
        <w:rPr>
          <w:rStyle w:val="Text0"/>
        </w:rPr>
        <w:t>render_template_string</w:t>
      </w:r>
      <w:r>
        <w:t xml:space="preserve"> on a Jinja template; in real life, templates are usually kept in separate files rendered with </w:t>
      </w:r>
      <w:r>
        <w:rPr>
          <w:rStyle w:val="Text0"/>
        </w:rPr>
        <w:t>render_template</w:t>
      </w:r>
      <w:r>
        <w:t xml:space="preserve">). The example also shows how to maintain continuity of state among multiple interactions with the server from the same browser, with the handy </w:t>
      </w:r>
      <w:r>
        <w:rPr>
          <w:rStyle w:val="Text0"/>
        </w:rPr>
        <w:t>flask.session</w:t>
      </w:r>
      <w:r>
        <w:t xml:space="preserve"> variable. (It could alternatively have put together the HTML response in Python code instead of using Jinja, and used a cookie directly instead of the session; however, real-world Flask apps do tend to use Jinja and sessions by preference.)</w:t>
      </w:r>
    </w:p>
    <w:p>
      <w:pPr>
        <w:pStyle w:val="Normal"/>
      </w:pPr>
      <w:r>
        <w:t xml:space="preserve">If this app had multiple view functions, it might want to set </w:t>
      </w:r>
      <w:r>
        <w:rPr>
          <w:rStyle w:val="Text0"/>
        </w:rPr>
        <w:t>lastvisit</w:t>
      </w:r>
      <w:r>
        <w:t xml:space="preserve"> in the session to whatever URL had triggered the request. Here’s how to code and decorate a hook function to execute after each request:</w:t>
      </w:r>
    </w:p>
    <w:p>
      <w:pPr>
        <w:pStyle w:val="Para 007"/>
      </w:pPr>
      <w:r>
        <w:rPr>
          <w:rStyle w:val="Text23"/>
        </w:rPr>
        <w:t xml:space="preserve"/>
        <w:br w:clear="none"/>
      </w:r>
      <w:r>
        <w:rPr>
          <w:rStyle w:val="Text44"/>
        </w:rPr>
        <w:t xml:space="preserve">@app</w:t>
        <w:br w:clear="none"/>
      </w:r>
      <w:r>
        <w:rPr>
          <w:rStyle w:val="Text13"/>
        </w:rPr>
        <w:t xml:space="preserve">.</w:t>
        <w:br w:clear="none"/>
      </w:r>
      <w:r>
        <w:t xml:space="preserve">after_request</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set_lastvisit</w:t>
        <w:br w:clear="none"/>
      </w:r>
      <w:r>
        <w:rPr>
          <w:rStyle w:val="Text7"/>
        </w:rPr>
        <w:t xml:space="preserve">(</w:t>
        <w:br w:clear="none"/>
      </w:r>
      <w:r>
        <w:t xml:space="preserve">response</w:t>
        <w:br w:clear="none"/>
      </w:r>
      <w:r>
        <w:rPr>
          <w:rStyle w:val="Text7"/>
        </w:rPr>
        <w:t xml:space="preserve">)</w:t>
        <w:br w:clear="none"/>
        <w:t xml:space="preserve">:</w:t>
        <w:br w:clear="none"/>
      </w:r>
      <w:r>
        <w:rPr>
          <w:rStyle w:val="Text6"/>
        </w:rPr>
        <w:t xml:space="preserve"/>
        <w:br w:clear="none"/>
        <w:t xml:space="preserve">    </w:t>
        <w:br w:clear="none"/>
      </w:r>
      <w:r>
        <w:t xml:space="preserve">now</w:t>
        <w:br w:clear="none"/>
      </w:r>
      <w:r>
        <w:rPr>
          <w:rStyle w:val="Text6"/>
        </w:rPr>
        <w:t xml:space="preserve"> </w:t>
        <w:br w:clear="none"/>
      </w:r>
      <w:r>
        <w:rPr>
          <w:rStyle w:val="Text13"/>
        </w:rPr>
        <w:t xml:space="preserve">=</w:t>
        <w:br w:clear="none"/>
      </w:r>
      <w:r>
        <w:rPr>
          <w:rStyle w:val="Text6"/>
        </w:rPr>
        <w:t xml:space="preserve"> </w:t>
        <w:br w:clear="none"/>
      </w:r>
      <w:r>
        <w:t xml:space="preserve">datetime</w:t>
        <w:br w:clear="none"/>
      </w:r>
      <w:r>
        <w:rPr>
          <w:rStyle w:val="Text13"/>
        </w:rPr>
        <w:t xml:space="preserve">.</w:t>
        <w:br w:clear="none"/>
      </w:r>
      <w:r>
        <w:t xml:space="preserve">datetime</w:t>
        <w:br w:clear="none"/>
      </w:r>
      <w:r>
        <w:rPr>
          <w:rStyle w:val="Text13"/>
        </w:rPr>
        <w:t xml:space="preserve">.</w:t>
        <w:br w:clear="none"/>
      </w:r>
      <w:r>
        <w:t xml:space="preserve">now</w:t>
        <w:br w:clear="none"/>
      </w:r>
      <w:r>
        <w:rPr>
          <w:rStyle w:val="Text7"/>
        </w:rPr>
        <w:t xml:space="preserve">(</w:t>
        <w:br w:clear="none"/>
        <w:t xml:space="preserve">)</w:t>
        <w:br w:clear="none"/>
      </w:r>
      <w:r>
        <w:rPr>
          <w:rStyle w:val="Text6"/>
        </w:rPr>
        <w:t xml:space="preserve"/>
        <w:br w:clear="none"/>
        <w:t xml:space="preserve">    </w:t>
        <w:br w:clear="none"/>
      </w:r>
      <w:r>
        <w:t xml:space="preserve">flask</w:t>
        <w:br w:clear="none"/>
      </w:r>
      <w:r>
        <w:rPr>
          <w:rStyle w:val="Text13"/>
        </w:rPr>
        <w:t xml:space="preserve">.</w:t>
        <w:br w:clear="none"/>
      </w:r>
      <w:r>
        <w:t xml:space="preserve">session</w:t>
        <w:br w:clear="none"/>
      </w:r>
      <w:r>
        <w:rPr>
          <w:rStyle w:val="Text7"/>
        </w:rPr>
        <w:t xml:space="preserve">[</w:t>
        <w:br w:clear="none"/>
      </w:r>
      <w:r>
        <w:rPr>
          <w:rStyle w:val="Text8"/>
        </w:rPr>
        <w:t xml:space="preserve">'</w:t>
        <w:br w:clear="none"/>
        <w:t xml:space="preserve">lastvisit</w:t>
        <w:br w:clear="none"/>
        <w:t xml:space="preserve">'</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t xml:space="preserve">now</w:t>
        <w:br w:clear="none"/>
      </w:r>
      <w:r>
        <w:rPr>
          <w:rStyle w:val="Text13"/>
        </w:rPr>
        <w:t xml:space="preserve">.</w:t>
        <w:br w:clear="none"/>
      </w:r>
      <w:r>
        <w:t xml:space="preserve">ctime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response</w:t>
        <w:br w:clear="none"/>
      </w:r>
    </w:p>
    <w:p>
      <w:pPr>
        <w:pStyle w:val="Normal"/>
      </w:pPr>
      <w:r>
        <w:t xml:space="preserve">You can now remove the </w:t>
      </w:r>
      <w:r>
        <w:rPr>
          <w:rStyle w:val="Text0"/>
        </w:rPr>
        <w:t>flask.session['lastvisit'] = newvisit</w:t>
      </w:r>
      <w:r>
        <w:t xml:space="preserve"> statement from the view function </w:t>
      </w:r>
      <w:r>
        <w:rPr>
          <w:rStyle w:val="Text0"/>
        </w:rPr>
        <w:t>greet</w:t>
      </w:r>
      <w:r>
        <w:t>, and the app will keep working fine.</w:t>
      </w:r>
      <w:r>
        <w:rPr>
          <w:rStyle w:val="Text111"/>
        </w:rPr>
        <w:bookmarkStart w:id="4196" w:name="idm45965174463552"/>
        <w:t/>
        <w:bookmarkEnd w:id="4196"/>
      </w:r>
    </w:p>
    <w:p>
      <w:bookmarkStart w:id="4197" w:name="FastAPI__FastAPI_is_of_a_more_re"/>
      <w:pPr>
        <w:keepNext/>
        <w:pStyle w:val="Heading 2"/>
      </w:pPr>
      <w:r>
        <w:t>FastAPI</w:t>
      </w:r>
      <w:bookmarkEnd w:id="4197"/>
    </w:p>
    <w:p>
      <w:pPr>
        <w:pStyle w:val="Normal"/>
      </w:pPr>
      <w:hyperlink r:id="rId614">
        <w:r>
          <w:rPr>
            <w:rStyle w:val="Text1"/>
          </w:rPr>
          <w:t>FastAPI</w:t>
        </w:r>
      </w:hyperlink>
      <w:r>
        <w:t xml:space="preserve"> is</w:t>
      </w:r>
      <w:r>
        <w:rPr>
          <w:rStyle w:val="Text111"/>
        </w:rPr>
        <w:bookmarkStart w:id="4198" w:name="fastapi20"/>
        <w:t/>
        <w:bookmarkEnd w:id="4198"/>
      </w:r>
      <w:r>
        <w:t xml:space="preserve"> of a more recent design than Flask or Django. While both of the latter have very usable extensions to provide API services, FastAPI aims squarely at producing HTTP-based APIs, as its name suggests. It’s also perfectly capable of producing dynamic web pages intended for browser consumption, making it a versatile server. FastAPI’s </w:t>
      </w:r>
      <w:hyperlink r:id="rId614">
        <w:r>
          <w:rPr>
            <w:rStyle w:val="Text1"/>
          </w:rPr>
          <w:t>home page</w:t>
        </w:r>
      </w:hyperlink>
      <w:r>
        <w:t xml:space="preserve"> provides simple, short examples showing how it works and highlighting the advantages, backed up by very thorough and detailed reference documentation.</w:t>
      </w:r>
    </w:p>
    <w:p>
      <w:pPr>
        <w:pStyle w:val="Normal"/>
      </w:pPr>
      <w:r>
        <w:t xml:space="preserve">As type annotations (covered in </w:t>
      </w:r>
      <w:hyperlink w:anchor="Chapter_5__Type_Annotations__Ann_2">
        <w:r>
          <w:rPr>
            <w:rStyle w:val="Text1"/>
          </w:rPr>
          <w:t>Chapter 5</w:t>
        </w:r>
      </w:hyperlink>
      <w:r>
        <w:t>) entered the Python language, they found wider use than originally intended in tools like</w:t>
      </w:r>
      <w:r>
        <w:rPr>
          <w:rStyle w:val="Text111"/>
        </w:rPr>
        <w:bookmarkStart w:id="4199" w:name="idm45965174455952"/>
        <w:t/>
        <w:bookmarkEnd w:id="4199"/>
      </w:r>
      <w:r>
        <w:t xml:space="preserve"> </w:t>
      </w:r>
      <w:hyperlink r:id="rId615">
        <w:r>
          <w:rPr>
            <w:rStyle w:val="Text30"/>
          </w:rPr>
          <w:t>pydantic</w:t>
        </w:r>
      </w:hyperlink>
      <w:r>
        <w:t>, which uses them to perform runtime parsing and validation. The FastAPI server exploits this support for clean data structures, demonstrating great potential to improve web coding productivity through built-in and tailored conversion and validation of inputs.</w:t>
      </w:r>
    </w:p>
    <w:p>
      <w:pPr>
        <w:pStyle w:val="Normal"/>
      </w:pPr>
      <w:r>
        <w:t>FastAPI also relies on</w:t>
      </w:r>
      <w:r>
        <w:rPr>
          <w:rStyle w:val="Text111"/>
        </w:rPr>
        <w:bookmarkStart w:id="4200" w:name="idm45965174422592"/>
        <w:t/>
        <w:bookmarkEnd w:id="4200"/>
      </w:r>
      <w:r>
        <w:t xml:space="preserve"> </w:t>
      </w:r>
      <w:hyperlink r:id="rId616">
        <w:r>
          <w:rPr>
            <w:rStyle w:val="Text1"/>
          </w:rPr>
          <w:t>Starlette</w:t>
        </w:r>
      </w:hyperlink>
      <w:r>
        <w:t>, a high-performance asynchronous web framework, which in turn uses an ASGI server such as</w:t>
      </w:r>
      <w:r>
        <w:rPr>
          <w:rStyle w:val="Text111"/>
        </w:rPr>
        <w:bookmarkStart w:id="4201" w:name="idm45965174420752"/>
        <w:t/>
        <w:bookmarkEnd w:id="4201"/>
      </w:r>
      <w:r>
        <w:t xml:space="preserve"> </w:t>
      </w:r>
      <w:hyperlink r:id="rId617">
        <w:r>
          <w:rPr>
            <w:rStyle w:val="Text1"/>
          </w:rPr>
          <w:t>Uvicorn</w:t>
        </w:r>
      </w:hyperlink>
      <w:r>
        <w:t xml:space="preserve"> or</w:t>
      </w:r>
      <w:r>
        <w:rPr>
          <w:rStyle w:val="Text111"/>
        </w:rPr>
        <w:bookmarkStart w:id="4202" w:name="idm45965174419024"/>
        <w:t/>
        <w:bookmarkEnd w:id="4202"/>
      </w:r>
      <w:r>
        <w:t xml:space="preserve"> </w:t>
      </w:r>
      <w:hyperlink r:id="rId618">
        <w:r>
          <w:rPr>
            <w:rStyle w:val="Text1"/>
          </w:rPr>
          <w:t>Hypercorn</w:t>
        </w:r>
      </w:hyperlink>
      <w:r>
        <w:t>. You don’t need to use async techniques directly to take advantage of FastAPI. You can write your application in more traditional Python style, though it might perform even faster if you do switch to the async style.</w:t>
      </w:r>
    </w:p>
    <w:p>
      <w:pPr>
        <w:pStyle w:val="Normal"/>
      </w:pPr>
      <w:r>
        <w:t>FastAPI’s ability to provide type-accurate APIs (and automatically generated documentation for them) aligned with the types indicated by your annotations means it can provide automatic parsing of incoming data and conversion on both input and output.</w:t>
      </w:r>
    </w:p>
    <w:p>
      <w:pPr>
        <w:pStyle w:val="Normal"/>
      </w:pPr>
      <w:r>
        <w:t xml:space="preserve">Consider the sample code shown in </w:t>
      </w:r>
      <w:hyperlink w:anchor="Example_20_2__models_py__pydanti">
        <w:r>
          <w:rPr>
            <w:rStyle w:val="Text1"/>
          </w:rPr>
          <w:t>Example 20-2</w:t>
        </w:r>
      </w:hyperlink>
      <w:r>
        <w:t xml:space="preserve">, which defines a simple model for both </w:t>
      </w:r>
      <w:r>
        <w:rPr>
          <w:rStyle w:val="Text0"/>
        </w:rPr>
        <w:t>pydantic</w:t>
      </w:r>
      <w:r>
        <w:t xml:space="preserve"> and </w:t>
      </w:r>
      <w:r>
        <w:rPr>
          <w:rStyle w:val="Text0"/>
        </w:rPr>
        <w:t>mongoengine</w:t>
      </w:r>
      <w:r>
        <w:t xml:space="preserve">. Each has four fields: </w:t>
      </w:r>
      <w:r>
        <w:rPr>
          <w:rStyle w:val="Text0"/>
        </w:rPr>
        <w:t>name</w:t>
      </w:r>
      <w:r>
        <w:t xml:space="preserve"> and </w:t>
      </w:r>
      <w:r>
        <w:rPr>
          <w:rStyle w:val="Text0"/>
        </w:rPr>
        <w:t>description</w:t>
      </w:r>
      <w:r>
        <w:t xml:space="preserve"> are strings, </w:t>
      </w:r>
      <w:r>
        <w:rPr>
          <w:rStyle w:val="Text0"/>
        </w:rPr>
        <w:t>price</w:t>
      </w:r>
      <w:r>
        <w:t xml:space="preserve"> and </w:t>
      </w:r>
      <w:r>
        <w:rPr>
          <w:rStyle w:val="Text0"/>
        </w:rPr>
        <w:t>tax</w:t>
      </w:r>
      <w:r>
        <w:t xml:space="preserve"> are decimal. Values are required for the </w:t>
      </w:r>
      <w:r>
        <w:rPr>
          <w:rStyle w:val="Text0"/>
        </w:rPr>
        <w:t>name</w:t>
      </w:r>
      <w:r>
        <w:t xml:space="preserve"> and </w:t>
      </w:r>
      <w:r>
        <w:rPr>
          <w:rStyle w:val="Text0"/>
        </w:rPr>
        <w:t>price</w:t>
      </w:r>
      <w:r>
        <w:t xml:space="preserve"> fields, but </w:t>
      </w:r>
      <w:r>
        <w:rPr>
          <w:rStyle w:val="Text0"/>
        </w:rPr>
        <w:t>description</w:t>
      </w:r>
      <w:r>
        <w:t xml:space="preserve"> and </w:t>
      </w:r>
      <w:r>
        <w:rPr>
          <w:rStyle w:val="Text0"/>
        </w:rPr>
        <w:t>tax</w:t>
      </w:r>
      <w:r>
        <w:t xml:space="preserve"> are optional. </w:t>
      </w:r>
      <w:r>
        <w:rPr>
          <w:rStyle w:val="Text0"/>
        </w:rPr>
        <w:t>pydantic</w:t>
      </w:r>
      <w:r>
        <w:t xml:space="preserve"> establishes a default value of </w:t>
      </w:r>
      <w:r>
        <w:rPr>
          <w:rStyle w:val="Text5"/>
        </w:rPr>
        <w:t>None</w:t>
      </w:r>
      <w:r>
        <w:t xml:space="preserve"> for the latter two fields; </w:t>
      </w:r>
      <w:r>
        <w:rPr>
          <w:rStyle w:val="Text0"/>
        </w:rPr>
        <w:t>mongoengine</w:t>
      </w:r>
      <w:r>
        <w:t xml:space="preserve"> does not store a value for fields whose value is </w:t>
      </w:r>
      <w:r>
        <w:rPr>
          <w:rStyle w:val="Text5"/>
        </w:rPr>
        <w:t>None</w:t>
      </w:r>
      <w:r>
        <w:t>.</w:t>
      </w:r>
    </w:p>
    <w:p>
      <w:bookmarkStart w:id="4203" w:name="Example_20_2__models_py__pydanti"/>
      <w:pPr>
        <w:keepNext/>
        <w:pStyle w:val="Heading 4"/>
      </w:pPr>
      <w:r>
        <w:t xml:space="preserve">Example 20-2. </w:t>
        <w:t xml:space="preserve">models.py: </w:t>
      </w:r>
      <w:r>
        <w:rPr>
          <w:rStyle w:val="Text0"/>
        </w:rPr>
        <w:t>pydantic</w:t>
      </w:r>
      <w:r>
        <w:t xml:space="preserve"> and </w:t>
      </w:r>
      <w:r>
        <w:rPr>
          <w:rStyle w:val="Text0"/>
        </w:rPr>
        <w:t>mongoengine</w:t>
      </w:r>
      <w:r>
        <w:t xml:space="preserve"> data models</w:t>
      </w:r>
      <w:bookmarkEnd w:id="4203"/>
    </w:p>
    <w:p>
      <w:pPr>
        <w:pStyle w:val="Para 007"/>
      </w:pPr>
      <w:r>
        <w:rPr>
          <w:rStyle w:val="Text23"/>
        </w:rPr>
        <w:t xml:space="preserve"/>
        <w:br w:clear="none"/>
      </w:r>
      <w:r>
        <w:rPr>
          <w:rStyle w:val="Text10"/>
        </w:rPr>
        <w:t xml:space="preserve">from</w:t>
        <w:br w:clear="none"/>
      </w:r>
      <w:r>
        <w:rPr>
          <w:rStyle w:val="Text6"/>
        </w:rPr>
        <w:t xml:space="preserve"> </w:t>
        <w:br w:clear="none"/>
      </w:r>
      <w:r>
        <w:rPr>
          <w:rStyle w:val="Text20"/>
        </w:rPr>
        <w:t xml:space="preserve">decimal</w:t>
        <w:br w:clear="none"/>
      </w:r>
      <w:r>
        <w:rPr>
          <w:rStyle w:val="Text6"/>
        </w:rPr>
        <w:t xml:space="preserve"> </w:t>
        <w:br w:clear="none"/>
      </w:r>
      <w:r>
        <w:rPr>
          <w:rStyle w:val="Text10"/>
        </w:rPr>
        <w:t xml:space="preserve">import</w:t>
        <w:br w:clear="none"/>
      </w:r>
      <w:r>
        <w:rPr>
          <w:rStyle w:val="Text6"/>
        </w:rPr>
        <w:t xml:space="preserve"> </w:t>
        <w:br w:clear="none"/>
      </w:r>
      <w:r>
        <w:t xml:space="preserve">Decimal</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pydantic</w:t>
        <w:br w:clear="none"/>
      </w:r>
      <w:r>
        <w:rPr>
          <w:rStyle w:val="Text6"/>
        </w:rPr>
        <w:t xml:space="preserve"> </w:t>
        <w:br w:clear="none"/>
      </w:r>
      <w:r>
        <w:rPr>
          <w:rStyle w:val="Text10"/>
        </w:rPr>
        <w:t xml:space="preserve">import</w:t>
        <w:br w:clear="none"/>
      </w:r>
      <w:r>
        <w:rPr>
          <w:rStyle w:val="Text6"/>
        </w:rPr>
        <w:t xml:space="preserve"> </w:t>
        <w:br w:clear="none"/>
      </w:r>
      <w:r>
        <w:t xml:space="preserve">BaseModel</w:t>
        <w:br w:clear="none"/>
      </w:r>
      <w:r>
        <w:rPr>
          <w:rStyle w:val="Text7"/>
        </w:rPr>
        <w:t xml:space="preserve">,</w:t>
        <w:br w:clear="none"/>
      </w:r>
      <w:r>
        <w:rPr>
          <w:rStyle w:val="Text6"/>
        </w:rPr>
        <w:t xml:space="preserve"> </w:t>
        <w:br w:clear="none"/>
      </w:r>
      <w:r>
        <w:t xml:space="preserve">Field</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mongoengine</w:t>
        <w:br w:clear="none"/>
      </w:r>
      <w:r>
        <w:rPr>
          <w:rStyle w:val="Text6"/>
        </w:rPr>
        <w:t xml:space="preserve"> </w:t>
        <w:br w:clear="none"/>
      </w:r>
      <w:r>
        <w:rPr>
          <w:rStyle w:val="Text10"/>
        </w:rPr>
        <w:t xml:space="preserve">import</w:t>
        <w:br w:clear="none"/>
      </w:r>
      <w:r>
        <w:rPr>
          <w:rStyle w:val="Text6"/>
        </w:rPr>
        <w:t xml:space="preserve"> </w:t>
        <w:br w:clear="none"/>
      </w:r>
      <w:r>
        <w:t xml:space="preserve">Document</w:t>
        <w:br w:clear="none"/>
      </w:r>
      <w:r>
        <w:rPr>
          <w:rStyle w:val="Text7"/>
        </w:rPr>
        <w:t xml:space="preserve">,</w:t>
        <w:br w:clear="none"/>
      </w:r>
      <w:r>
        <w:rPr>
          <w:rStyle w:val="Text6"/>
        </w:rPr>
        <w:t xml:space="preserve"> </w:t>
        <w:br w:clear="none"/>
      </w:r>
      <w:r>
        <w:t xml:space="preserve">StringField</w:t>
        <w:br w:clear="none"/>
      </w:r>
      <w:r>
        <w:rPr>
          <w:rStyle w:val="Text7"/>
        </w:rPr>
        <w:t xml:space="preserve">,</w:t>
        <w:br w:clear="none"/>
      </w:r>
      <w:r>
        <w:rPr>
          <w:rStyle w:val="Text6"/>
        </w:rPr>
        <w:t xml:space="preserve"> </w:t>
        <w:br w:clear="none"/>
      </w:r>
      <w:r>
        <w:t xml:space="preserve">DecimalField</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typing</w:t>
        <w:br w:clear="none"/>
      </w:r>
      <w:r>
        <w:rPr>
          <w:rStyle w:val="Text6"/>
        </w:rPr>
        <w:t xml:space="preserve"> </w:t>
        <w:br w:clear="none"/>
      </w:r>
      <w:r>
        <w:rPr>
          <w:rStyle w:val="Text10"/>
        </w:rPr>
        <w:t xml:space="preserve">import</w:t>
        <w:br w:clear="none"/>
      </w:r>
      <w:r>
        <w:rPr>
          <w:rStyle w:val="Text6"/>
        </w:rPr>
        <w:t xml:space="preserve"> </w:t>
        <w:br w:clear="none"/>
      </w:r>
      <w:r>
        <w:t xml:space="preserve">Optional</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PItem</w:t>
        <w:br w:clear="none"/>
      </w:r>
      <w:r>
        <w:rPr>
          <w:rStyle w:val="Text7"/>
        </w:rPr>
        <w:t xml:space="preserve">(</w:t>
        <w:br w:clear="none"/>
      </w:r>
      <w:r>
        <w:t xml:space="preserve">BaseModel</w:t>
        <w:br w:clear="none"/>
      </w:r>
      <w:r>
        <w:rPr>
          <w:rStyle w:val="Text7"/>
        </w:rPr>
        <w:t xml:space="preserve">)</w:t>
        <w:br w:clear="none"/>
        <w:t xml:space="preserve">:</w:t>
        <w:br w:clear="none"/>
      </w:r>
      <w:r>
        <w:rPr>
          <w:rStyle w:val="Text6"/>
        </w:rPr>
        <w:t xml:space="preserve"/>
        <w:br w:clear="none"/>
        <w:t xml:space="preserve">    </w:t>
        <w:br w:clear="none"/>
      </w:r>
      <w:r>
        <w:rPr>
          <w:rStyle w:val="Text8"/>
        </w:rPr>
        <w:t xml:space="preserve">"</w:t>
        <w:br w:clear="none"/>
        <w:t xml:space="preserve">pydantic typed data class.</w:t>
        <w:br w:clear="none"/>
        <w:t xml:space="preserve">"</w:t>
        <w:br w:clear="none"/>
      </w:r>
      <w:r>
        <w:rPr>
          <w:rStyle w:val="Text6"/>
        </w:rPr>
        <w:t xml:space="preserve"/>
        <w:br w:clear="none"/>
        <w:t xml:space="preserve">    </w:t>
        <w:br w:clear="none"/>
      </w:r>
      <w:r>
        <w:t xml:space="preserve">name</w:t>
        <w:br w:clear="none"/>
      </w:r>
      <w:r>
        <w:rPr>
          <w:rStyle w:val="Text7"/>
        </w:rPr>
        <w:t xml:space="preserve">:</w:t>
        <w:br w:clear="none"/>
      </w:r>
      <w:r>
        <w:rPr>
          <w:rStyle w:val="Text6"/>
        </w:rPr>
        <w:t xml:space="preserve"> </w:t>
        <w:br w:clear="none"/>
      </w:r>
      <w:r>
        <w:rPr>
          <w:rStyle w:val="Text16"/>
        </w:rPr>
        <w:t xml:space="preserve">str</w:t>
        <w:br w:clear="none"/>
      </w:r>
      <w:r>
        <w:rPr>
          <w:rStyle w:val="Text6"/>
        </w:rPr>
        <w:t xml:space="preserve"/>
        <w:br w:clear="none"/>
        <w:t xml:space="preserve">    </w:t>
        <w:br w:clear="none"/>
      </w:r>
      <w:r>
        <w:t xml:space="preserve">price</w:t>
        <w:br w:clear="none"/>
      </w:r>
      <w:r>
        <w:rPr>
          <w:rStyle w:val="Text7"/>
        </w:rPr>
        <w:t xml:space="preserve">:</w:t>
        <w:br w:clear="none"/>
      </w:r>
      <w:r>
        <w:rPr>
          <w:rStyle w:val="Text6"/>
        </w:rPr>
        <w:t xml:space="preserve"> </w:t>
        <w:br w:clear="none"/>
      </w:r>
      <w:r>
        <w:t xml:space="preserve">Decimal</w:t>
        <w:br w:clear="none"/>
      </w:r>
      <w:r>
        <w:rPr>
          <w:rStyle w:val="Text6"/>
        </w:rPr>
        <w:t xml:space="preserve"/>
        <w:br w:clear="none"/>
        <w:t xml:space="preserve">    </w:t>
        <w:br w:clear="none"/>
      </w:r>
      <w:r>
        <w:t xml:space="preserve">description</w:t>
        <w:br w:clear="none"/>
      </w:r>
      <w:r>
        <w:rPr>
          <w:rStyle w:val="Text7"/>
        </w:rPr>
        <w:t xml:space="preserve">:</w:t>
        <w:br w:clear="none"/>
      </w:r>
      <w:r>
        <w:rPr>
          <w:rStyle w:val="Text6"/>
        </w:rPr>
        <w:t xml:space="preserve"> </w:t>
        <w:br w:clear="none"/>
      </w:r>
      <w:r>
        <w:t xml:space="preserve">Optional</w:t>
        <w:br w:clear="none"/>
      </w:r>
      <w:r>
        <w:rPr>
          <w:rStyle w:val="Text7"/>
        </w:rPr>
        <w:t xml:space="preserve">[</w:t>
        <w:br w:clear="none"/>
      </w:r>
      <w:r>
        <w:rPr>
          <w:rStyle w:val="Text16"/>
        </w:rPr>
        <w:t xml:space="preserve">str</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None</w:t>
        <w:br w:clear="none"/>
      </w:r>
      <w:r>
        <w:rPr>
          <w:rStyle w:val="Text6"/>
        </w:rPr>
        <w:t xml:space="preserve"/>
        <w:br w:clear="none"/>
        <w:t xml:space="preserve">    </w:t>
        <w:br w:clear="none"/>
      </w:r>
      <w:r>
        <w:t xml:space="preserve">tax</w:t>
        <w:br w:clear="none"/>
      </w:r>
      <w:r>
        <w:rPr>
          <w:rStyle w:val="Text7"/>
        </w:rPr>
        <w:t xml:space="preserve">:</w:t>
        <w:br w:clear="none"/>
      </w:r>
      <w:r>
        <w:rPr>
          <w:rStyle w:val="Text6"/>
        </w:rPr>
        <w:t xml:space="preserve"> </w:t>
        <w:br w:clear="none"/>
      </w:r>
      <w:r>
        <w:t xml:space="preserve">Optional</w:t>
        <w:br w:clear="none"/>
      </w:r>
      <w:r>
        <w:rPr>
          <w:rStyle w:val="Text7"/>
        </w:rPr>
        <w:t xml:space="preserve">[</w:t>
        <w:br w:clear="none"/>
      </w:r>
      <w:r>
        <w:t xml:space="preserve">Decimal</w:t>
        <w:br w:clear="none"/>
      </w:r>
      <w:r>
        <w:rPr>
          <w:rStyle w:val="Text7"/>
        </w:rPr>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10"/>
        </w:rPr>
        <w:t xml:space="preserve">None</w:t>
        <w:br w:clear="none"/>
      </w:r>
      <w:r>
        <w:rPr>
          <w:rStyle w:val="Text6"/>
        </w:rPr>
        <w:t xml:space="preserve"/>
        <w:br w:clear="none"/>
        <w:t xml:space="preserve"/>
        <w:br w:clear="none"/>
      </w:r>
      <w:r>
        <w:rPr>
          <w:rStyle w:val="Text10"/>
        </w:rPr>
        <w:t xml:space="preserve">class</w:t>
        <w:br w:clear="none"/>
      </w:r>
      <w:r>
        <w:rPr>
          <w:rStyle w:val="Text6"/>
        </w:rPr>
        <w:t xml:space="preserve"> </w:t>
        <w:br w:clear="none"/>
      </w:r>
      <w:r>
        <w:rPr>
          <w:rStyle w:val="Text33"/>
        </w:rPr>
        <w:t xml:space="preserve">MItem</w:t>
        <w:br w:clear="none"/>
      </w:r>
      <w:r>
        <w:rPr>
          <w:rStyle w:val="Text7"/>
        </w:rPr>
        <w:t xml:space="preserve">(</w:t>
        <w:br w:clear="none"/>
      </w:r>
      <w:r>
        <w:t xml:space="preserve">Document</w:t>
        <w:br w:clear="none"/>
      </w:r>
      <w:r>
        <w:rPr>
          <w:rStyle w:val="Text7"/>
        </w:rPr>
        <w:t xml:space="preserve">)</w:t>
        <w:br w:clear="none"/>
        <w:t xml:space="preserve">:</w:t>
        <w:br w:clear="none"/>
      </w:r>
      <w:r>
        <w:rPr>
          <w:rStyle w:val="Text6"/>
        </w:rPr>
        <w:t xml:space="preserve"/>
        <w:br w:clear="none"/>
        <w:t xml:space="preserve">    </w:t>
        <w:br w:clear="none"/>
      </w:r>
      <w:r>
        <w:rPr>
          <w:rStyle w:val="Text8"/>
        </w:rPr>
        <w:t xml:space="preserve">"</w:t>
        <w:br w:clear="none"/>
        <w:t xml:space="preserve">mongoengine document.</w:t>
        <w:br w:clear="none"/>
        <w:t xml:space="preserve">"</w:t>
        <w:br w:clear="none"/>
      </w:r>
      <w:r>
        <w:rPr>
          <w:rStyle w:val="Text6"/>
        </w:rPr>
        <w:t xml:space="preserve"/>
        <w:br w:clear="none"/>
        <w:t xml:space="preserve">    </w:t>
        <w:br w:clear="none"/>
      </w:r>
      <w:r>
        <w:t xml:space="preserve">name</w:t>
        <w:br w:clear="none"/>
      </w:r>
      <w:r>
        <w:rPr>
          <w:rStyle w:val="Text6"/>
        </w:rPr>
        <w:t xml:space="preserve"> </w:t>
        <w:br w:clear="none"/>
      </w:r>
      <w:r>
        <w:rPr>
          <w:rStyle w:val="Text13"/>
        </w:rPr>
        <w:t xml:space="preserve">=</w:t>
        <w:br w:clear="none"/>
      </w:r>
      <w:r>
        <w:rPr>
          <w:rStyle w:val="Text6"/>
        </w:rPr>
        <w:t xml:space="preserve"> </w:t>
        <w:br w:clear="none"/>
      </w:r>
      <w:r>
        <w:t xml:space="preserve">StringField</w:t>
        <w:br w:clear="none"/>
      </w:r>
      <w:r>
        <w:rPr>
          <w:rStyle w:val="Text7"/>
        </w:rPr>
        <w:t xml:space="preserve">(</w:t>
        <w:br w:clear="none"/>
      </w:r>
      <w:r>
        <w:t xml:space="preserve">primary_key</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price</w:t>
        <w:br w:clear="none"/>
      </w:r>
      <w:r>
        <w:rPr>
          <w:rStyle w:val="Text6"/>
        </w:rPr>
        <w:t xml:space="preserve"> </w:t>
        <w:br w:clear="none"/>
      </w:r>
      <w:r>
        <w:rPr>
          <w:rStyle w:val="Text13"/>
        </w:rPr>
        <w:t xml:space="preserve">=</w:t>
        <w:br w:clear="none"/>
      </w:r>
      <w:r>
        <w:rPr>
          <w:rStyle w:val="Text6"/>
        </w:rPr>
        <w:t xml:space="preserve"> </w:t>
        <w:br w:clear="none"/>
      </w:r>
      <w:r>
        <w:t xml:space="preserve">DecimalField</w:t>
        <w:br w:clear="none"/>
      </w:r>
      <w:r>
        <w:rPr>
          <w:rStyle w:val="Text7"/>
        </w:rPr>
        <w:t xml:space="preserve">(</w:t>
        <w:br w:clear="none"/>
        <w:t xml:space="preserve">)</w:t>
        <w:br w:clear="none"/>
      </w:r>
      <w:r>
        <w:rPr>
          <w:rStyle w:val="Text6"/>
        </w:rPr>
        <w:t xml:space="preserve"/>
        <w:br w:clear="none"/>
        <w:t xml:space="preserve">    </w:t>
        <w:br w:clear="none"/>
      </w:r>
      <w:r>
        <w:t xml:space="preserve">description</w:t>
        <w:br w:clear="none"/>
      </w:r>
      <w:r>
        <w:rPr>
          <w:rStyle w:val="Text6"/>
        </w:rPr>
        <w:t xml:space="preserve"> </w:t>
        <w:br w:clear="none"/>
      </w:r>
      <w:r>
        <w:rPr>
          <w:rStyle w:val="Text13"/>
        </w:rPr>
        <w:t xml:space="preserve">=</w:t>
        <w:br w:clear="none"/>
      </w:r>
      <w:r>
        <w:rPr>
          <w:rStyle w:val="Text6"/>
        </w:rPr>
        <w:t xml:space="preserve"> </w:t>
        <w:br w:clear="none"/>
      </w:r>
      <w:r>
        <w:t xml:space="preserve">StringField</w:t>
        <w:br w:clear="none"/>
      </w:r>
      <w:r>
        <w:rPr>
          <w:rStyle w:val="Text7"/>
        </w:rPr>
        <w:t xml:space="preserve">(</w:t>
        <w:br w:clear="none"/>
      </w:r>
      <w:r>
        <w:t xml:space="preserve">required</w:t>
        <w:br w:clear="none"/>
      </w:r>
      <w:r>
        <w:rPr>
          <w:rStyle w:val="Text13"/>
        </w:rPr>
        <w:t xml:space="preserve">=</w:t>
        <w:br w:clear="none"/>
      </w:r>
      <w:r>
        <w:rPr>
          <w:rStyle w:val="Text10"/>
        </w:rPr>
        <w:t xml:space="preserve">False</w:t>
        <w:br w:clear="none"/>
      </w:r>
      <w:r>
        <w:rPr>
          <w:rStyle w:val="Text7"/>
        </w:rPr>
        <w:t xml:space="preserve">)</w:t>
        <w:br w:clear="none"/>
      </w:r>
      <w:r>
        <w:rPr>
          <w:rStyle w:val="Text6"/>
        </w:rPr>
        <w:t xml:space="preserve"/>
        <w:br w:clear="none"/>
        <w:t xml:space="preserve">    </w:t>
        <w:br w:clear="none"/>
      </w:r>
      <w:r>
        <w:t xml:space="preserve">tax</w:t>
        <w:br w:clear="none"/>
      </w:r>
      <w:r>
        <w:rPr>
          <w:rStyle w:val="Text6"/>
        </w:rPr>
        <w:t xml:space="preserve"> </w:t>
        <w:br w:clear="none"/>
      </w:r>
      <w:r>
        <w:rPr>
          <w:rStyle w:val="Text13"/>
        </w:rPr>
        <w:t xml:space="preserve">=</w:t>
        <w:br w:clear="none"/>
      </w:r>
      <w:r>
        <w:rPr>
          <w:rStyle w:val="Text6"/>
        </w:rPr>
        <w:t xml:space="preserve"> </w:t>
        <w:br w:clear="none"/>
      </w:r>
      <w:r>
        <w:t xml:space="preserve">DecimalField</w:t>
        <w:br w:clear="none"/>
      </w:r>
      <w:r>
        <w:rPr>
          <w:rStyle w:val="Text7"/>
        </w:rPr>
        <w:t xml:space="preserve">(</w:t>
        <w:br w:clear="none"/>
      </w:r>
      <w:r>
        <w:t xml:space="preserve">required</w:t>
        <w:br w:clear="none"/>
      </w:r>
      <w:r>
        <w:rPr>
          <w:rStyle w:val="Text13"/>
        </w:rPr>
        <w:t xml:space="preserve">=</w:t>
        <w:br w:clear="none"/>
      </w:r>
      <w:r>
        <w:rPr>
          <w:rStyle w:val="Text10"/>
        </w:rPr>
        <w:t xml:space="preserve">False</w:t>
        <w:br w:clear="none"/>
      </w:r>
      <w:r>
        <w:rPr>
          <w:rStyle w:val="Text7"/>
        </w:rPr>
        <w:t xml:space="preserve">)</w:t>
        <w:br w:clear="none"/>
      </w:r>
    </w:p>
    <w:p>
      <w:pPr>
        <w:pStyle w:val="Normal"/>
      </w:pPr>
      <w:r>
        <w:t xml:space="preserve">Suppose you wanted to accept such data through a web form or as JSON, and be able to retrieve the data as JSON or display it in HTML. The skeletal </w:t>
      </w:r>
      <w:hyperlink w:anchor="Example_20_3__server_py__FastAPI">
        <w:r>
          <w:rPr>
            <w:rStyle w:val="Text1"/>
          </w:rPr>
          <w:t>Example 20-3</w:t>
        </w:r>
      </w:hyperlink>
      <w:r>
        <w:t xml:space="preserve"> (offering no facilities to maintain existing data) shows you how you might do this with FastAPI. This example uses the Uvicorn HTTP server, but makes no attempt to explicitly use Python’s async features. As with Flask, the program begins by creating an application object </w:t>
      </w:r>
      <w:r>
        <w:rPr>
          <w:rStyle w:val="Text0"/>
        </w:rPr>
        <w:t>app</w:t>
      </w:r>
      <w:r>
        <w:t xml:space="preserve">. This object has decorator methods for each HTTP method, but the </w:t>
      </w:r>
      <w:r>
        <w:rPr>
          <w:rStyle w:val="Text0"/>
        </w:rPr>
        <w:t>app.route</w:t>
      </w:r>
      <w:r>
        <w:t xml:space="preserve"> decorator (while available) is eschewed in favor of </w:t>
      </w:r>
      <w:r>
        <w:rPr>
          <w:rStyle w:val="Text0"/>
        </w:rPr>
        <w:t>app.get</w:t>
      </w:r>
      <w:r>
        <w:t xml:space="preserve"> for HTTP GET, </w:t>
      </w:r>
      <w:r>
        <w:rPr>
          <w:rStyle w:val="Text0"/>
        </w:rPr>
        <w:t>app.post</w:t>
      </w:r>
      <w:r>
        <w:t xml:space="preserve"> for HTTP POST, and the like, and those determine which view function handles requests to the paths for different HTTP methods.</w:t>
      </w:r>
    </w:p>
    <w:p>
      <w:bookmarkStart w:id="4204" w:name="Example_20_3__server_py__FastAPI"/>
      <w:pPr>
        <w:keepNext/>
        <w:pStyle w:val="Heading 4"/>
      </w:pPr>
      <w:r>
        <w:t xml:space="preserve">Example 20-3. </w:t>
        <w:t>server.py: FastAPI sample code to accept and display item data</w:t>
      </w:r>
      <w:bookmarkEnd w:id="4204"/>
    </w:p>
    <w:p>
      <w:pPr>
        <w:pStyle w:val="Para 007"/>
      </w:pPr>
      <w:r>
        <w:rPr>
          <w:rStyle w:val="Text23"/>
        </w:rPr>
        <w:t xml:space="preserve"/>
        <w:br w:clear="none"/>
      </w:r>
      <w:r>
        <w:rPr>
          <w:rStyle w:val="Text10"/>
        </w:rPr>
        <w:t xml:space="preserve">from</w:t>
        <w:br w:clear="none"/>
      </w:r>
      <w:r>
        <w:rPr>
          <w:rStyle w:val="Text6"/>
        </w:rPr>
        <w:t xml:space="preserve"> </w:t>
        <w:br w:clear="none"/>
      </w:r>
      <w:r>
        <w:rPr>
          <w:rStyle w:val="Text20"/>
        </w:rPr>
        <w:t xml:space="preserve">decimal</w:t>
        <w:br w:clear="none"/>
      </w:r>
      <w:r>
        <w:rPr>
          <w:rStyle w:val="Text6"/>
        </w:rPr>
        <w:t xml:space="preserve"> </w:t>
        <w:br w:clear="none"/>
      </w:r>
      <w:r>
        <w:rPr>
          <w:rStyle w:val="Text10"/>
        </w:rPr>
        <w:t xml:space="preserve">import</w:t>
        <w:br w:clear="none"/>
      </w:r>
      <w:r>
        <w:rPr>
          <w:rStyle w:val="Text6"/>
        </w:rPr>
        <w:t xml:space="preserve"> </w:t>
        <w:br w:clear="none"/>
      </w:r>
      <w:r>
        <w:t xml:space="preserve">Decimal</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fastapi</w:t>
        <w:br w:clear="none"/>
      </w:r>
      <w:r>
        <w:rPr>
          <w:rStyle w:val="Text6"/>
        </w:rPr>
        <w:t xml:space="preserve"> </w:t>
        <w:br w:clear="none"/>
      </w:r>
      <w:r>
        <w:rPr>
          <w:rStyle w:val="Text10"/>
        </w:rPr>
        <w:t xml:space="preserve">import</w:t>
        <w:br w:clear="none"/>
      </w:r>
      <w:r>
        <w:rPr>
          <w:rStyle w:val="Text6"/>
        </w:rPr>
        <w:t xml:space="preserve"> </w:t>
        <w:br w:clear="none"/>
      </w:r>
      <w:r>
        <w:t xml:space="preserve">FastAPI</w:t>
        <w:br w:clear="none"/>
      </w:r>
      <w:r>
        <w:rPr>
          <w:rStyle w:val="Text7"/>
        </w:rPr>
        <w:t xml:space="preserve">,</w:t>
        <w:br w:clear="none"/>
      </w:r>
      <w:r>
        <w:rPr>
          <w:rStyle w:val="Text6"/>
        </w:rPr>
        <w:t xml:space="preserve"> </w:t>
        <w:br w:clear="none"/>
      </w:r>
      <w:r>
        <w:t xml:space="preserve">Form</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fastapi</w:t>
        <w:br w:clear="none"/>
        <w:t xml:space="preserve">.</w:t>
        <w:br w:clear="none"/>
        <w:t xml:space="preserve">responses</w:t>
        <w:br w:clear="none"/>
      </w:r>
      <w:r>
        <w:rPr>
          <w:rStyle w:val="Text6"/>
        </w:rPr>
        <w:t xml:space="preserve"> </w:t>
        <w:br w:clear="none"/>
      </w:r>
      <w:r>
        <w:rPr>
          <w:rStyle w:val="Text10"/>
        </w:rPr>
        <w:t xml:space="preserve">import</w:t>
        <w:br w:clear="none"/>
      </w:r>
      <w:r>
        <w:rPr>
          <w:rStyle w:val="Text6"/>
        </w:rPr>
        <w:t xml:space="preserve"> </w:t>
        <w:br w:clear="none"/>
      </w:r>
      <w:r>
        <w:t xml:space="preserve">HTMLResponse</w:t>
        <w:br w:clear="none"/>
      </w:r>
      <w:r>
        <w:rPr>
          <w:rStyle w:val="Text7"/>
        </w:rPr>
        <w:t xml:space="preserve">,</w:t>
        <w:br w:clear="none"/>
      </w:r>
      <w:r>
        <w:rPr>
          <w:rStyle w:val="Text6"/>
        </w:rPr>
        <w:t xml:space="preserve"> </w:t>
        <w:br w:clear="none"/>
      </w:r>
      <w:r>
        <w:t xml:space="preserve">FileResponse</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mongoengine</w:t>
        <w:br w:clear="none"/>
      </w:r>
      <w:r>
        <w:rPr>
          <w:rStyle w:val="Text6"/>
        </w:rPr>
        <w:t xml:space="preserve"> </w:t>
        <w:br w:clear="none"/>
      </w:r>
      <w:r>
        <w:rPr>
          <w:rStyle w:val="Text10"/>
        </w:rPr>
        <w:t xml:space="preserve">import</w:t>
        <w:br w:clear="none"/>
      </w:r>
      <w:r>
        <w:rPr>
          <w:rStyle w:val="Text6"/>
        </w:rPr>
        <w:t xml:space="preserve"> </w:t>
        <w:br w:clear="none"/>
      </w:r>
      <w:r>
        <w:t xml:space="preserve">connect</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mongoengine</w:t>
        <w:br w:clear="none"/>
        <w:t xml:space="preserve">.</w:t>
        <w:br w:clear="none"/>
        <w:t xml:space="preserve">errors</w:t>
        <w:br w:clear="none"/>
      </w:r>
      <w:r>
        <w:rPr>
          <w:rStyle w:val="Text6"/>
        </w:rPr>
        <w:t xml:space="preserve"> </w:t>
        <w:br w:clear="none"/>
      </w:r>
      <w:r>
        <w:rPr>
          <w:rStyle w:val="Text10"/>
        </w:rPr>
        <w:t xml:space="preserve">import</w:t>
        <w:br w:clear="none"/>
      </w:r>
      <w:r>
        <w:rPr>
          <w:rStyle w:val="Text6"/>
        </w:rPr>
        <w:t xml:space="preserve"> </w:t>
        <w:br w:clear="none"/>
      </w:r>
      <w:r>
        <w:t xml:space="preserve">NotUniqueError</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typing</w:t>
        <w:br w:clear="none"/>
      </w:r>
      <w:r>
        <w:rPr>
          <w:rStyle w:val="Text6"/>
        </w:rPr>
        <w:t xml:space="preserve"> </w:t>
        <w:br w:clear="none"/>
      </w:r>
      <w:r>
        <w:rPr>
          <w:rStyle w:val="Text10"/>
        </w:rPr>
        <w:t xml:space="preserve">import</w:t>
        <w:br w:clear="none"/>
      </w:r>
      <w:r>
        <w:rPr>
          <w:rStyle w:val="Text6"/>
        </w:rPr>
        <w:t xml:space="preserve"> </w:t>
        <w:br w:clear="none"/>
      </w:r>
      <w:r>
        <w:t xml:space="preserve">Optional</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json</w:t>
        <w:br w:clear="none"/>
      </w:r>
      <w:r>
        <w:rPr>
          <w:rStyle w:val="Text6"/>
        </w:rPr>
        <w:t xml:space="preserve"/>
        <w:br w:clear="none"/>
      </w:r>
      <w:r>
        <w:rPr>
          <w:rStyle w:val="Text10"/>
        </w:rPr>
        <w:t xml:space="preserve">import</w:t>
        <w:br w:clear="none"/>
      </w:r>
      <w:r>
        <w:rPr>
          <w:rStyle w:val="Text6"/>
        </w:rPr>
        <w:t xml:space="preserve"> </w:t>
        <w:br w:clear="none"/>
      </w:r>
      <w:r>
        <w:rPr>
          <w:rStyle w:val="Text20"/>
        </w:rPr>
        <w:t xml:space="preserve">uvicorn</w:t>
        <w:br w:clear="none"/>
      </w:r>
      <w:r>
        <w:rPr>
          <w:rStyle w:val="Text6"/>
        </w:rPr>
        <w:t xml:space="preserve"/>
        <w:br w:clear="none"/>
      </w:r>
      <w:r>
        <w:rPr>
          <w:rStyle w:val="Text10"/>
        </w:rPr>
        <w:t xml:space="preserve">from</w:t>
        <w:br w:clear="none"/>
      </w:r>
      <w:r>
        <w:rPr>
          <w:rStyle w:val="Text6"/>
        </w:rPr>
        <w:t xml:space="preserve"> </w:t>
        <w:br w:clear="none"/>
      </w:r>
      <w:r>
        <w:rPr>
          <w:rStyle w:val="Text20"/>
        </w:rPr>
        <w:t xml:space="preserve">models</w:t>
        <w:br w:clear="none"/>
      </w:r>
      <w:r>
        <w:rPr>
          <w:rStyle w:val="Text6"/>
        </w:rPr>
        <w:t xml:space="preserve"> </w:t>
        <w:br w:clear="none"/>
      </w:r>
      <w:r>
        <w:rPr>
          <w:rStyle w:val="Text10"/>
        </w:rPr>
        <w:t xml:space="preserve">import</w:t>
        <w:br w:clear="none"/>
      </w:r>
      <w:r>
        <w:rPr>
          <w:rStyle w:val="Text6"/>
        </w:rPr>
        <w:t xml:space="preserve"> </w:t>
        <w:br w:clear="none"/>
      </w:r>
      <w:r>
        <w:t xml:space="preserve">PItem</w:t>
        <w:br w:clear="none"/>
      </w:r>
      <w:r>
        <w:rPr>
          <w:rStyle w:val="Text7"/>
        </w:rPr>
        <w:t xml:space="preserve">,</w:t>
        <w:br w:clear="none"/>
      </w:r>
      <w:r>
        <w:rPr>
          <w:rStyle w:val="Text6"/>
        </w:rPr>
        <w:t xml:space="preserve"> </w:t>
        <w:br w:clear="none"/>
      </w:r>
      <w:r>
        <w:t xml:space="preserve">MItem</w:t>
        <w:br w:clear="none"/>
      </w:r>
      <w:r>
        <w:rPr>
          <w:rStyle w:val="Text6"/>
        </w:rPr>
        <w:t xml:space="preserve"/>
        <w:br w:clear="none"/>
        <w:t xml:space="preserve"/>
        <w:br w:clear="none"/>
      </w:r>
      <w:r>
        <w:t xml:space="preserve">DATABASE_URI</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mongodb://localhost:27017</w:t>
        <w:br w:clear="none"/>
        <w:t xml:space="preserve">"</w:t>
        <w:br w:clear="none"/>
      </w:r>
      <w:r>
        <w:rPr>
          <w:rStyle w:val="Text6"/>
        </w:rPr>
        <w:t xml:space="preserve"/>
        <w:br w:clear="none"/>
      </w:r>
      <w:r>
        <w:t xml:space="preserve">db</w:t>
        <w:br w:clear="none"/>
      </w:r>
      <w:r>
        <w:rPr>
          <w:rStyle w:val="Text13"/>
        </w:rPr>
        <w:t xml:space="preserve">=</w:t>
        <w:br w:clear="none"/>
      </w:r>
      <w:r>
        <w:t xml:space="preserve">DATABASE_URI</w:t>
        <w:br w:clear="none"/>
      </w:r>
      <w:r>
        <w:rPr>
          <w:rStyle w:val="Text13"/>
        </w:rPr>
        <w:t xml:space="preserve">+</w:t>
        <w:br w:clear="none"/>
      </w:r>
      <w:r>
        <w:rPr>
          <w:rStyle w:val="Text8"/>
        </w:rPr>
        <w:t xml:space="preserve">"</w:t>
        <w:br w:clear="none"/>
        <w:t xml:space="preserve">/mydatabase</w:t>
        <w:br w:clear="none"/>
        <w:t xml:space="preserve">"</w:t>
        <w:br w:clear="none"/>
      </w:r>
      <w:r>
        <w:rPr>
          <w:rStyle w:val="Text6"/>
        </w:rPr>
        <w:t xml:space="preserve"/>
        <w:br w:clear="none"/>
      </w:r>
      <w:r>
        <w:t xml:space="preserve">connect</w:t>
        <w:br w:clear="none"/>
      </w:r>
      <w:r>
        <w:rPr>
          <w:rStyle w:val="Text7"/>
        </w:rPr>
        <w:t xml:space="preserve">(</w:t>
        <w:br w:clear="none"/>
      </w:r>
      <w:r>
        <w:t xml:space="preserve">host</w:t>
        <w:br w:clear="none"/>
      </w:r>
      <w:r>
        <w:rPr>
          <w:rStyle w:val="Text13"/>
        </w:rPr>
        <w:t xml:space="preserve">=</w:t>
        <w:br w:clear="none"/>
      </w:r>
      <w:r>
        <w:t xml:space="preserve">db</w:t>
        <w:br w:clear="none"/>
      </w:r>
      <w:r>
        <w:rPr>
          <w:rStyle w:val="Text7"/>
        </w:rPr>
        <w:t xml:space="preserve">)</w:t>
        <w:br w:clear="none"/>
      </w:r>
      <w:r>
        <w:rPr>
          <w:rStyle w:val="Text6"/>
        </w:rPr>
        <w:t xml:space="preserve"/>
        <w:br w:clear="none"/>
      </w:r>
      <w:r>
        <w:t xml:space="preserve">app</w:t>
        <w:br w:clear="none"/>
      </w:r>
      <w:r>
        <w:rPr>
          <w:rStyle w:val="Text6"/>
        </w:rPr>
        <w:t xml:space="preserve"> </w:t>
        <w:br w:clear="none"/>
      </w:r>
      <w:r>
        <w:rPr>
          <w:rStyle w:val="Text13"/>
        </w:rPr>
        <w:t xml:space="preserve">=</w:t>
        <w:br w:clear="none"/>
      </w:r>
      <w:r>
        <w:rPr>
          <w:rStyle w:val="Text6"/>
        </w:rPr>
        <w:t xml:space="preserve"> </w:t>
        <w:br w:clear="none"/>
      </w:r>
      <w:r>
        <w:t xml:space="preserve">FastAPI</w:t>
        <w:br w:clear="none"/>
      </w:r>
      <w:r>
        <w:rPr>
          <w:rStyle w:val="Text7"/>
        </w:rPr>
        <w:t xml:space="preserve">(</w:t>
        <w:br w:clear="none"/>
        <w:t xml:space="preserve">)</w:t>
        <w:br w:clear="none"/>
      </w:r>
      <w:r>
        <w:rPr>
          <w:rStyle w:val="Text6"/>
        </w:rPr>
        <w:t xml:space="preserve"/>
        <w:br w:clear="none"/>
        <w:t xml:space="preserve"/>
        <w:br w:clear="none"/>
      </w:r>
      <w:r>
        <w:rPr>
          <w:rStyle w:val="Text10"/>
        </w:rPr>
        <w:t xml:space="preserve">def</w:t>
        <w:br w:clear="none"/>
      </w:r>
      <w:r>
        <w:rPr>
          <w:rStyle w:val="Text6"/>
        </w:rPr>
        <w:t xml:space="preserve"> </w:t>
        <w:br w:clear="none"/>
      </w:r>
      <w:r>
        <w:rPr>
          <w:rStyle w:val="Text18"/>
        </w:rPr>
        <w:t xml:space="preserve">save</w:t>
        <w:br w:clear="none"/>
      </w:r>
      <w:r>
        <w:rPr>
          <w:rStyle w:val="Text7"/>
        </w:rPr>
        <w:t xml:space="preserve">(</w:t>
        <w:br w:clear="none"/>
      </w:r>
      <w:r>
        <w:t xml:space="preserve">item</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try</w:t>
        <w:br w:clear="none"/>
      </w:r>
      <w:r>
        <w:rPr>
          <w:rStyle w:val="Text7"/>
        </w:rPr>
        <w:t xml:space="preserve">:</w:t>
        <w:br w:clear="none"/>
      </w:r>
      <w:r>
        <w:rPr>
          <w:rStyle w:val="Text6"/>
        </w:rPr>
        <w:t xml:space="preserve"/>
        <w:br w:clear="none"/>
        <w:t xml:space="preserve">        </w:t>
        <w:br w:clear="none"/>
      </w:r>
      <w:r>
        <w:rPr>
          <w:rStyle w:val="Text39"/>
        </w:rPr>
        <w:t xml:space="preserve">return</w:t>
        <w:br w:clear="none"/>
      </w:r>
      <w:r>
        <w:rPr>
          <w:rStyle w:val="Text6"/>
        </w:rPr>
        <w:t xml:space="preserve"> </w:t>
        <w:br w:clear="none"/>
      </w:r>
      <w:r>
        <w:t xml:space="preserve">item</w:t>
        <w:br w:clear="none"/>
      </w:r>
      <w:r>
        <w:rPr>
          <w:rStyle w:val="Text13"/>
        </w:rPr>
        <w:t xml:space="preserve">.</w:t>
        <w:br w:clear="none"/>
      </w:r>
      <w:r>
        <w:t xml:space="preserve">save</w:t>
        <w:br w:clear="none"/>
      </w:r>
      <w:r>
        <w:rPr>
          <w:rStyle w:val="Text7"/>
        </w:rPr>
        <w:t xml:space="preserve">(</w:t>
        <w:br w:clear="none"/>
      </w:r>
      <w:r>
        <w:t xml:space="preserve">force_insert</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rPr>
          <w:rStyle w:val="Text10"/>
        </w:rPr>
        <w:t xml:space="preserve">except</w:t>
        <w:br w:clear="none"/>
      </w:r>
      <w:r>
        <w:rPr>
          <w:rStyle w:val="Text6"/>
        </w:rPr>
        <w:t xml:space="preserve"> </w:t>
        <w:br w:clear="none"/>
      </w:r>
      <w:r>
        <w:t xml:space="preserve">NotUniqueError</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0"/>
        </w:rPr>
        <w:t xml:space="preserve">None</w:t>
        <w:br w:clear="none"/>
      </w:r>
      <w:r>
        <w:rPr>
          <w:rStyle w:val="Text6"/>
        </w:rPr>
        <w:t xml:space="preserve"/>
        <w:br w:clear="none"/>
        <w:t xml:space="preserve"/>
        <w:br w:clear="none"/>
      </w:r>
      <w:r>
        <w:rPr>
          <w:rStyle w:val="Text44"/>
        </w:rPr>
        <w:t xml:space="preserve">@app</w:t>
        <w:br w:clear="none"/>
      </w:r>
      <w:r>
        <w:rPr>
          <w:rStyle w:val="Text13"/>
        </w:rPr>
        <w:t xml:space="preserve">.</w:t>
        <w:br w:clear="none"/>
      </w:r>
      <w:r>
        <w:t xml:space="preserve">get</w:t>
        <w:br w:clear="none"/>
      </w:r>
      <w:r>
        <w:rPr>
          <w:rStyle w:val="Text7"/>
        </w:rPr>
        <w:t xml:space="preserve">(</w:t>
        <w:br w:clear="none"/>
      </w:r>
      <w:r>
        <w:rPr>
          <w:rStyle w:val="Text8"/>
        </w:rPr>
        <w:t xml:space="preserve">'</w:t>
        <w:br w:clear="none"/>
        <w:t xml:space="preserve">/</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home_page</w:t>
        <w:br w:clear="none"/>
      </w:r>
      <w:r>
        <w:rPr>
          <w:rStyle w:val="Text7"/>
        </w:rPr>
        <w:t xml:space="preserve">(</w:t>
        <w:br w:clear="none"/>
        <w:t xml:space="preserve">)</w:t>
        <w:br w:clear="none"/>
        <w:t xml:space="preserve">:</w:t>
        <w:br w:clear="none"/>
      </w:r>
      <w:r>
        <w:rPr>
          <w:rStyle w:val="Text6"/>
        </w:rPr>
        <w:t xml:space="preserve"/>
        <w:br w:clear="none"/>
        <w:t xml:space="preserve">    </w:t>
        <w:br w:clear="none"/>
      </w:r>
      <w:r>
        <w:rPr>
          <w:rStyle w:val="Text8"/>
        </w:rPr>
        <w:t xml:space="preserve">"</w:t>
        <w:br w:clear="none"/>
        <w:t xml:space="preserve">View function to display a simple form.</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FileResponse</w:t>
        <w:br w:clear="none"/>
      </w:r>
      <w:r>
        <w:rPr>
          <w:rStyle w:val="Text7"/>
        </w:rPr>
        <w:t xml:space="preserve">(</w:t>
        <w:br w:clear="none"/>
      </w:r>
      <w:r>
        <w:rPr>
          <w:rStyle w:val="Text8"/>
        </w:rPr>
        <w:t xml:space="preserve">"</w:t>
        <w:br w:clear="none"/>
        <w:t xml:space="preserve">index.html</w:t>
        <w:br w:clear="none"/>
        <w:t xml:space="preserve">"</w:t>
        <w:br w:clear="none"/>
      </w:r>
      <w:r>
        <w:rPr>
          <w:rStyle w:val="Text7"/>
        </w:rPr>
        <w:t xml:space="preserve">)</w:t>
        <w:br w:clear="none"/>
      </w:r>
      <w:r>
        <w:rPr>
          <w:rStyle w:val="Text6"/>
        </w:rPr>
        <w:t xml:space="preserve"/>
        <w:br w:clear="none"/>
        <w:t xml:space="preserve"/>
        <w:br w:clear="none"/>
      </w:r>
      <w:r>
        <w:rPr>
          <w:rStyle w:val="Text44"/>
        </w:rPr>
        <w:t xml:space="preserve">@app</w:t>
        <w:br w:clear="none"/>
      </w:r>
      <w:r>
        <w:rPr>
          <w:rStyle w:val="Text13"/>
        </w:rPr>
        <w:t xml:space="preserve">.</w:t>
        <w:br w:clear="none"/>
      </w:r>
      <w:r>
        <w:t xml:space="preserve">post</w:t>
        <w:br w:clear="none"/>
      </w:r>
      <w:r>
        <w:rPr>
          <w:rStyle w:val="Text7"/>
        </w:rPr>
        <w:t xml:space="preserve">(</w:t>
        <w:br w:clear="none"/>
      </w:r>
      <w:r>
        <w:rPr>
          <w:rStyle w:val="Text8"/>
        </w:rPr>
        <w:t xml:space="preserve">"</w:t>
        <w:br w:clear="none"/>
        <w:t xml:space="preserve">/items/new/form/</w:t>
        <w:br w:clear="none"/>
        <w:t xml:space="preserve">"</w:t>
        <w:br w:clear="none"/>
      </w:r>
      <w:r>
        <w:rPr>
          <w:rStyle w:val="Text7"/>
        </w:rPr>
        <w:t xml:space="preserve">,</w:t>
        <w:br w:clear="none"/>
      </w:r>
      <w:r>
        <w:rPr>
          <w:rStyle w:val="Text6"/>
        </w:rPr>
        <w:t xml:space="preserve"> </w:t>
        <w:br w:clear="none"/>
      </w:r>
      <w:r>
        <w:t xml:space="preserve">response_class</w:t>
        <w:br w:clear="none"/>
      </w:r>
      <w:r>
        <w:rPr>
          <w:rStyle w:val="Text13"/>
        </w:rPr>
        <w:t xml:space="preserve">=</w:t>
        <w:br w:clear="none"/>
      </w:r>
      <w:r>
        <w:t xml:space="preserve">HTMLResponse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create_item_from_form</w:t>
        <w:br w:clear="none"/>
      </w:r>
      <w:r>
        <w:rPr>
          <w:rStyle w:val="Text7"/>
        </w:rPr>
        <w:t xml:space="preserve">(</w:t>
        <w:br w:clear="none"/>
      </w:r>
      <w:r>
        <w:t xml:space="preserve">name</w:t>
        <w:br w:clear="none"/>
      </w:r>
      <w:r>
        <w:rPr>
          <w:rStyle w:val="Text7"/>
        </w:rPr>
        <w:t xml:space="preserve">:</w:t>
        <w:br w:clear="none"/>
      </w:r>
      <w:r>
        <w:rPr>
          <w:rStyle w:val="Text6"/>
        </w:rPr>
        <w:t xml:space="preserve"> </w:t>
        <w:br w:clear="none"/>
      </w:r>
      <w:r>
        <w:rPr>
          <w:rStyle w:val="Text16"/>
        </w:rPr>
        <w:t xml:space="preserve">str</w:t>
        <w:br w:clear="none"/>
      </w:r>
      <w:r>
        <w:rPr>
          <w:rStyle w:val="Text13"/>
        </w:rPr>
        <w:t xml:space="preserve">=</w:t>
        <w:br w:clear="none"/>
      </w:r>
      <w:r>
        <w:t xml:space="preserve">Form</w:t>
        <w:br w:clear="none"/>
      </w:r>
      <w:r>
        <w:rPr>
          <w:rStyle w:val="Text7"/>
        </w:rPr>
        <w:t xml:space="preserve">(</w:t>
        <w:br w:clear="none"/>
      </w:r>
      <w:r>
        <w:rPr>
          <w:rStyle w:val="Text13"/>
        </w:rPr>
        <w:t xml:space="preserve">.</w:t>
        <w:br w:clear="none"/>
        <w:t xml:space="preserve">.</w:t>
        <w:br w:clear="none"/>
        <w:t xml:space="preserve">.</w:t>
        <w:br w:clear="none"/>
      </w:r>
      <w:r>
        <w:rPr>
          <w:rStyle w:val="Text7"/>
        </w:rPr>
        <w:t xml:space="preserve">)</w:t>
        <w:br w:clear="none"/>
        <w:t xml:space="preserve">,</w:t>
        <w:br w:clear="none"/>
      </w:r>
      <w:r>
        <w:rPr>
          <w:rStyle w:val="Text6"/>
        </w:rPr>
        <w:t xml:space="preserve"/>
        <w:br w:clear="none"/>
        <w:t xml:space="preserve">                          </w:t>
        <w:br w:clear="none"/>
      </w:r>
      <w:r>
        <w:t xml:space="preserve">price</w:t>
        <w:br w:clear="none"/>
      </w:r>
      <w:r>
        <w:rPr>
          <w:rStyle w:val="Text7"/>
        </w:rPr>
        <w:t xml:space="preserve">:</w:t>
        <w:br w:clear="none"/>
      </w:r>
      <w:r>
        <w:rPr>
          <w:rStyle w:val="Text6"/>
        </w:rPr>
        <w:t xml:space="preserve"> </w:t>
        <w:br w:clear="none"/>
      </w:r>
      <w:r>
        <w:t xml:space="preserve">Decimal</w:t>
        <w:br w:clear="none"/>
      </w:r>
      <w:r>
        <w:rPr>
          <w:rStyle w:val="Text13"/>
        </w:rPr>
        <w:t xml:space="preserve">=</w:t>
        <w:br w:clear="none"/>
      </w:r>
      <w:r>
        <w:t xml:space="preserve">Form</w:t>
        <w:br w:clear="none"/>
      </w:r>
      <w:r>
        <w:rPr>
          <w:rStyle w:val="Text7"/>
        </w:rPr>
        <w:t xml:space="preserve">(</w:t>
        <w:br w:clear="none"/>
      </w:r>
      <w:r>
        <w:rPr>
          <w:rStyle w:val="Text13"/>
        </w:rPr>
        <w:t xml:space="preserve">.</w:t>
        <w:br w:clear="none"/>
        <w:t xml:space="preserve">.</w:t>
        <w:br w:clear="none"/>
        <w:t xml:space="preserve">.</w:t>
        <w:br w:clear="none"/>
      </w:r>
      <w:r>
        <w:rPr>
          <w:rStyle w:val="Text7"/>
        </w:rPr>
        <w:t xml:space="preserve">)</w:t>
        <w:br w:clear="none"/>
        <w:t xml:space="preserve">,</w:t>
        <w:br w:clear="none"/>
      </w:r>
      <w:r>
        <w:rPr>
          <w:rStyle w:val="Text6"/>
        </w:rPr>
        <w:t xml:space="preserve"/>
        <w:br w:clear="none"/>
        <w:t xml:space="preserve">                          </w:t>
        <w:br w:clear="none"/>
      </w:r>
      <w:r>
        <w:t xml:space="preserve">description</w:t>
        <w:br w:clear="none"/>
      </w:r>
      <w:r>
        <w:rPr>
          <w:rStyle w:val="Text7"/>
        </w:rPr>
        <w:t xml:space="preserve">:</w:t>
        <w:br w:clear="none"/>
      </w:r>
      <w:r>
        <w:rPr>
          <w:rStyle w:val="Text6"/>
        </w:rPr>
        <w:t xml:space="preserve"> </w:t>
        <w:br w:clear="none"/>
      </w:r>
      <w:r>
        <w:t xml:space="preserve">Optional</w:t>
        <w:br w:clear="none"/>
      </w:r>
      <w:r>
        <w:rPr>
          <w:rStyle w:val="Text7"/>
        </w:rPr>
        <w:t xml:space="preserve">[</w:t>
        <w:br w:clear="none"/>
      </w:r>
      <w:r>
        <w:rPr>
          <w:rStyle w:val="Text16"/>
        </w:rPr>
        <w:t xml:space="preserve">str</w:t>
        <w:br w:clear="none"/>
      </w:r>
      <w:r>
        <w:rPr>
          <w:rStyle w:val="Text7"/>
        </w:rPr>
        <w:t xml:space="preserve">]</w:t>
        <w:br w:clear="none"/>
      </w:r>
      <w:r>
        <w:rPr>
          <w:rStyle w:val="Text13"/>
        </w:rPr>
        <w:t xml:space="preserve">=</w:t>
        <w:br w:clear="none"/>
      </w:r>
      <w:r>
        <w:t xml:space="preserve">Form</w:t>
        <w:br w:clear="none"/>
      </w:r>
      <w:r>
        <w:rPr>
          <w:rStyle w:val="Text7"/>
        </w:rPr>
        <w:t xml:space="preserve">(</w:t>
        <w:br w:clear="none"/>
      </w:r>
      <w:r>
        <w:rPr>
          <w:rStyle w:val="Text8"/>
        </w:rPr>
        <w:t xml:space="preserve">"</w:t>
        <w:br w:clear="none"/>
        <w:t xml:space="preserve">"</w:t>
        <w:br w:clear="none"/>
      </w:r>
      <w:r>
        <w:rPr>
          <w:rStyle w:val="Text7"/>
        </w:rPr>
        <w:t xml:space="preserve">)</w:t>
        <w:br w:clear="none"/>
        <w:t xml:space="preserve">,</w:t>
        <w:br w:clear="none"/>
      </w:r>
      <w:r>
        <w:rPr>
          <w:rStyle w:val="Text6"/>
        </w:rPr>
        <w:t xml:space="preserve"/>
        <w:br w:clear="none"/>
        <w:t xml:space="preserve">                          </w:t>
        <w:br w:clear="none"/>
      </w:r>
      <w:r>
        <w:t xml:space="preserve">tax</w:t>
        <w:br w:clear="none"/>
      </w:r>
      <w:r>
        <w:rPr>
          <w:rStyle w:val="Text7"/>
        </w:rPr>
        <w:t xml:space="preserve">:</w:t>
        <w:br w:clear="none"/>
      </w:r>
      <w:r>
        <w:rPr>
          <w:rStyle w:val="Text6"/>
        </w:rPr>
        <w:t xml:space="preserve"> </w:t>
        <w:br w:clear="none"/>
      </w:r>
      <w:r>
        <w:t xml:space="preserve">Optional</w:t>
        <w:br w:clear="none"/>
      </w:r>
      <w:r>
        <w:rPr>
          <w:rStyle w:val="Text7"/>
        </w:rPr>
        <w:t xml:space="preserve">[</w:t>
        <w:br w:clear="none"/>
      </w:r>
      <w:r>
        <w:t xml:space="preserve">Decimal</w:t>
        <w:br w:clear="none"/>
      </w:r>
      <w:r>
        <w:rPr>
          <w:rStyle w:val="Text7"/>
        </w:rPr>
        <w:t xml:space="preserve">]</w:t>
        <w:br w:clear="none"/>
      </w:r>
      <w:r>
        <w:rPr>
          <w:rStyle w:val="Text13"/>
        </w:rPr>
        <w:t xml:space="preserve">=</w:t>
        <w:br w:clear="none"/>
      </w:r>
      <w:r>
        <w:t xml:space="preserve">Form</w:t>
        <w:br w:clear="none"/>
      </w:r>
      <w:r>
        <w:rPr>
          <w:rStyle w:val="Text7"/>
        </w:rPr>
        <w:t xml:space="preserve">(</w:t>
        <w:br w:clear="none"/>
      </w:r>
      <w:r>
        <w:t xml:space="preserve">Decimal</w:t>
        <w:br w:clear="none"/>
      </w:r>
      <w:r>
        <w:rPr>
          <w:rStyle w:val="Text7"/>
        </w:rPr>
        <w:t xml:space="preserve">(</w:t>
        <w:br w:clear="none"/>
      </w:r>
      <w:r>
        <w:rPr>
          <w:rStyle w:val="Text8"/>
        </w:rPr>
        <w:t xml:space="preserve">"</w:t>
        <w:br w:clear="none"/>
        <w:t xml:space="preserve">0.0</w:t>
        <w:br w:clear="none"/>
        <w:t xml:space="preserve">"</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8"/>
        </w:rPr>
        <w:t xml:space="preserve">"</w:t>
        <w:br w:clear="none"/>
        <w:t xml:space="preserve">View function to accept form data and create an item.</w:t>
        <w:br w:clear="none"/>
        <w:t xml:space="preserve">"</w:t>
        <w:br w:clear="none"/>
      </w:r>
      <w:r>
        <w:rPr>
          <w:rStyle w:val="Text6"/>
        </w:rPr>
        <w:t xml:space="preserve"/>
        <w:br w:clear="none"/>
        <w:t xml:space="preserve">    </w:t>
        <w:br w:clear="none"/>
      </w:r>
      <w:r>
        <w:t xml:space="preserve">mongoitem</w:t>
        <w:br w:clear="none"/>
      </w:r>
      <w:r>
        <w:rPr>
          <w:rStyle w:val="Text6"/>
        </w:rPr>
        <w:t xml:space="preserve"> </w:t>
        <w:br w:clear="none"/>
      </w:r>
      <w:r>
        <w:rPr>
          <w:rStyle w:val="Text13"/>
        </w:rPr>
        <w:t xml:space="preserve">=</w:t>
        <w:br w:clear="none"/>
      </w:r>
      <w:r>
        <w:rPr>
          <w:rStyle w:val="Text6"/>
        </w:rPr>
        <w:t xml:space="preserve"> </w:t>
        <w:br w:clear="none"/>
      </w:r>
      <w:r>
        <w:t xml:space="preserve">MItem</w:t>
        <w:br w:clear="none"/>
      </w:r>
      <w:r>
        <w:rPr>
          <w:rStyle w:val="Text7"/>
        </w:rPr>
        <w:t xml:space="preserve">(</w:t>
        <w:br w:clear="none"/>
      </w:r>
      <w:r>
        <w:t xml:space="preserve">name</w:t>
        <w:br w:clear="none"/>
      </w:r>
      <w:r>
        <w:rPr>
          <w:rStyle w:val="Text13"/>
        </w:rPr>
        <w:t xml:space="preserve">=</w:t>
        <w:br w:clear="none"/>
      </w:r>
      <w:r>
        <w:t xml:space="preserve">name</w:t>
        <w:br w:clear="none"/>
      </w:r>
      <w:r>
        <w:rPr>
          <w:rStyle w:val="Text7"/>
        </w:rPr>
        <w:t xml:space="preserve">,</w:t>
        <w:br w:clear="none"/>
      </w:r>
      <w:r>
        <w:rPr>
          <w:rStyle w:val="Text6"/>
        </w:rPr>
        <w:t xml:space="preserve"> </w:t>
        <w:br w:clear="none"/>
      </w:r>
      <w:r>
        <w:t xml:space="preserve">price</w:t>
        <w:br w:clear="none"/>
      </w:r>
      <w:r>
        <w:rPr>
          <w:rStyle w:val="Text13"/>
        </w:rPr>
        <w:t xml:space="preserve">=</w:t>
        <w:br w:clear="none"/>
      </w:r>
      <w:r>
        <w:t xml:space="preserve">price</w:t>
        <w:br w:clear="none"/>
      </w:r>
      <w:r>
        <w:rPr>
          <w:rStyle w:val="Text7"/>
        </w:rPr>
        <w:t xml:space="preserve">,</w:t>
        <w:br w:clear="none"/>
      </w:r>
      <w:r>
        <w:rPr>
          <w:rStyle w:val="Text6"/>
        </w:rPr>
        <w:t xml:space="preserve"> </w:t>
        <w:br w:clear="none"/>
      </w:r>
      <w:r>
        <w:t xml:space="preserve">description</w:t>
        <w:br w:clear="none"/>
      </w:r>
      <w:r>
        <w:rPr>
          <w:rStyle w:val="Text13"/>
        </w:rPr>
        <w:t xml:space="preserve">=</w:t>
        <w:br w:clear="none"/>
      </w:r>
      <w:r>
        <w:t xml:space="preserve">description</w:t>
        <w:br w:clear="none"/>
      </w:r>
      <w:r>
        <w:rPr>
          <w:rStyle w:val="Text7"/>
        </w:rPr>
        <w:t xml:space="preserve">,</w:t>
        <w:br w:clear="none"/>
      </w:r>
      <w:r>
        <w:rPr>
          <w:rStyle w:val="Text6"/>
        </w:rPr>
        <w:t xml:space="preserve"> </w:t>
        <w:br w:clear="none"/>
        <w:t xml:space="preserve"/>
        <w:br w:clear="none"/>
        <w:t xml:space="preserve">                      </w:t>
        <w:br w:clear="none"/>
      </w:r>
      <w:r>
        <w:t xml:space="preserve">tax</w:t>
        <w:br w:clear="none"/>
      </w:r>
      <w:r>
        <w:rPr>
          <w:rStyle w:val="Text13"/>
        </w:rPr>
        <w:t xml:space="preserve">=</w:t>
        <w:br w:clear="none"/>
      </w:r>
      <w:r>
        <w:t xml:space="preserve">tax</w:t>
        <w:br w:clear="none"/>
      </w:r>
      <w:r>
        <w:rPr>
          <w:rStyle w:val="Text7"/>
        </w:rPr>
        <w:t xml:space="preserve">)</w:t>
        <w:br w:clear="none"/>
      </w:r>
      <w:r>
        <w:rPr>
          <w:rStyle w:val="Text6"/>
        </w:rPr>
        <w:t xml:space="preserve"/>
        <w:br w:clear="none"/>
        <w:t xml:space="preserve">    </w:t>
        <w:br w:clear="none"/>
      </w:r>
      <w:r>
        <w:t xml:space="preserve">value</w:t>
        <w:br w:clear="none"/>
      </w:r>
      <w:r>
        <w:rPr>
          <w:rStyle w:val="Text6"/>
        </w:rPr>
        <w:t xml:space="preserve"> </w:t>
        <w:br w:clear="none"/>
      </w:r>
      <w:r>
        <w:rPr>
          <w:rStyle w:val="Text13"/>
        </w:rPr>
        <w:t xml:space="preserve">=</w:t>
        <w:br w:clear="none"/>
      </w:r>
      <w:r>
        <w:rPr>
          <w:rStyle w:val="Text6"/>
        </w:rPr>
        <w:t xml:space="preserve"> </w:t>
        <w:br w:clear="none"/>
      </w:r>
      <w:r>
        <w:t xml:space="preserve">save</w:t>
        <w:br w:clear="none"/>
      </w:r>
      <w:r>
        <w:rPr>
          <w:rStyle w:val="Text7"/>
        </w:rPr>
        <w:t xml:space="preserve">(</w:t>
        <w:br w:clear="none"/>
      </w:r>
      <w:r>
        <w:t xml:space="preserve">mongoitem</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value</w:t>
        <w:br w:clear="none"/>
      </w:r>
      <w:r>
        <w:rPr>
          <w:rStyle w:val="Text7"/>
        </w:rPr>
        <w:t xml:space="preserve">:</w:t>
        <w:br w:clear="none"/>
      </w:r>
      <w:r>
        <w:rPr>
          <w:rStyle w:val="Text6"/>
        </w:rPr>
        <w:t xml:space="preserve"/>
        <w:br w:clear="none"/>
        <w:t xml:space="preserve">        </w:t>
        <w:br w:clear="none"/>
      </w:r>
      <w:r>
        <w:t xml:space="preserve">body</w:t>
        <w:br w:clear="none"/>
      </w:r>
      <w:r>
        <w:rPr>
          <w:rStyle w:val="Text6"/>
        </w:rPr>
        <w:t xml:space="preserve"> </w:t>
        <w:br w:clear="none"/>
      </w:r>
      <w:r>
        <w:rPr>
          <w:rStyle w:val="Text13"/>
        </w:rPr>
        <w:t xml:space="preserve">=</w:t>
        <w:br w:clear="none"/>
      </w:r>
      <w:r>
        <w:rPr>
          <w:rStyle w:val="Text6"/>
        </w:rPr>
        <w:t xml:space="preserve"> </w:t>
        <w:br w:clear="none"/>
        <w:t xml:space="preserve">f</w:t>
        <w:br w:clear="none"/>
      </w:r>
      <w:r>
        <w:rPr>
          <w:rStyle w:val="Text8"/>
        </w:rPr>
        <w:t xml:space="preserve">"</w:t>
        <w:br w:clear="none"/>
        <w:t xml:space="preserve">Item(</w:t>
        <w:br w:clear="none"/>
      </w:r>
      <w:r>
        <w:rPr>
          <w:rStyle w:val="Text32"/>
        </w:rPr>
        <w:t xml:space="preserve">{</w:t>
        <w:br w:clear="none"/>
      </w:r>
      <w:r>
        <w:t xml:space="preserve">name</w:t>
        <w:br w:clear="none"/>
      </w:r>
      <w:r>
        <w:rPr>
          <w:rStyle w:val="Text32"/>
        </w:rPr>
        <w:t xml:space="preserve">!r}</w:t>
        <w:br w:clear="none"/>
      </w:r>
      <w:r>
        <w:rPr>
          <w:rStyle w:val="Text8"/>
        </w:rPr>
        <w:t xml:space="preserve">, </w:t>
        <w:br w:clear="none"/>
      </w:r>
      <w:r>
        <w:rPr>
          <w:rStyle w:val="Text32"/>
        </w:rPr>
        <w:t xml:space="preserve">{</w:t>
        <w:br w:clear="none"/>
      </w:r>
      <w:r>
        <w:t xml:space="preserve">price</w:t>
        <w:br w:clear="none"/>
      </w:r>
      <w:r>
        <w:rPr>
          <w:rStyle w:val="Text32"/>
        </w:rPr>
        <w:t xml:space="preserve">!r}</w:t>
        <w:br w:clear="none"/>
      </w:r>
      <w:r>
        <w:rPr>
          <w:rStyle w:val="Text8"/>
        </w:rPr>
        <w:t xml:space="preserve">, </w:t>
        <w:br w:clear="none"/>
      </w:r>
      <w:r>
        <w:rPr>
          <w:rStyle w:val="Text32"/>
        </w:rPr>
        <w:t xml:space="preserve">{</w:t>
        <w:br w:clear="none"/>
      </w:r>
      <w:r>
        <w:t xml:space="preserve">description</w:t>
        <w:br w:clear="none"/>
      </w:r>
      <w:r>
        <w:rPr>
          <w:rStyle w:val="Text32"/>
        </w:rPr>
        <w:t xml:space="preserve">!r}</w:t>
        <w:br w:clear="none"/>
      </w:r>
      <w:r>
        <w:rPr>
          <w:rStyle w:val="Text8"/>
        </w:rPr>
        <w:t xml:space="preserve">, </w:t>
        <w:br w:clear="none"/>
      </w:r>
      <w:r>
        <w:rPr>
          <w:rStyle w:val="Text32"/>
        </w:rPr>
        <w:t xml:space="preserve">{</w:t>
        <w:br w:clear="none"/>
      </w:r>
      <w:r>
        <w:t xml:space="preserve">tax</w:t>
        <w:br w:clear="none"/>
      </w:r>
      <w:r>
        <w:rPr>
          <w:rStyle w:val="Text32"/>
        </w:rPr>
        <w:t xml:space="preserve">!r}</w:t>
        <w:br w:clear="none"/>
      </w:r>
      <w:r>
        <w:rPr>
          <w:rStyle w:val="Text8"/>
        </w:rPr>
        <w:t xml:space="preserve">)</w:t>
        <w:br w:clear="none"/>
        <w:t xml:space="preserve">"</w:t>
        <w:br w:clear="none"/>
      </w:r>
      <w:r>
        <w:rPr>
          <w:rStyle w:val="Text6"/>
        </w:rPr>
        <w:t xml:space="preserve"/>
        <w:br w:clear="none"/>
        <w:t xml:space="preserve">    </w:t>
        <w:br w:clear="none"/>
      </w:r>
      <w:r>
        <w:rPr>
          <w:rStyle w:val="Text10"/>
        </w:rPr>
        <w:t xml:space="preserve">else</w:t>
        <w:br w:clear="none"/>
      </w:r>
      <w:r>
        <w:rPr>
          <w:rStyle w:val="Text7"/>
        </w:rPr>
        <w:t xml:space="preserve">:</w:t>
        <w:br w:clear="none"/>
      </w:r>
      <w:r>
        <w:rPr>
          <w:rStyle w:val="Text6"/>
        </w:rPr>
        <w:t xml:space="preserve"/>
        <w:br w:clear="none"/>
        <w:t xml:space="preserve">        </w:t>
        <w:br w:clear="none"/>
      </w:r>
      <w:r>
        <w:t xml:space="preserve">body</w:t>
        <w:br w:clear="none"/>
      </w:r>
      <w:r>
        <w:rPr>
          <w:rStyle w:val="Text6"/>
        </w:rPr>
        <w:t xml:space="preserve"> </w:t>
        <w:br w:clear="none"/>
      </w:r>
      <w:r>
        <w:rPr>
          <w:rStyle w:val="Text13"/>
        </w:rPr>
        <w:t xml:space="preserve">=</w:t>
        <w:br w:clear="none"/>
      </w:r>
      <w:r>
        <w:rPr>
          <w:rStyle w:val="Text6"/>
        </w:rPr>
        <w:t xml:space="preserve"> </w:t>
        <w:br w:clear="none"/>
        <w:t xml:space="preserve">f</w:t>
        <w:br w:clear="none"/>
      </w:r>
      <w:r>
        <w:rPr>
          <w:rStyle w:val="Text8"/>
        </w:rPr>
        <w:t xml:space="preserve">"</w:t>
        <w:br w:clear="none"/>
        <w:t xml:space="preserve">Item </w:t>
        <w:br w:clear="none"/>
      </w:r>
      <w:r>
        <w:rPr>
          <w:rStyle w:val="Text32"/>
        </w:rPr>
        <w:t xml:space="preserve">{</w:t>
        <w:br w:clear="none"/>
      </w:r>
      <w:r>
        <w:t xml:space="preserve">name</w:t>
        <w:br w:clear="none"/>
      </w:r>
      <w:r>
        <w:rPr>
          <w:rStyle w:val="Text32"/>
        </w:rPr>
        <w:t xml:space="preserve">!r}</w:t>
        <w:br w:clear="none"/>
      </w:r>
      <w:r>
        <w:rPr>
          <w:rStyle w:val="Text8"/>
        </w:rPr>
        <w:t xml:space="preserve"> already present.</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t xml:space="preserve">f</w:t>
        <w:br w:clear="none"/>
      </w:r>
      <w:r>
        <w:rPr>
          <w:rStyle w:val="Text8"/>
        </w:rPr>
        <w:t xml:space="preserve">"""</w:t>
        <w:br w:clear="none"/>
        <w:t xml:space="preserve">&lt;html&gt;&lt;body&gt;&lt;h2&gt;</w:t>
        <w:br w:clear="none"/>
      </w:r>
      <w:r>
        <w:rPr>
          <w:rStyle w:val="Text32"/>
        </w:rPr>
        <w:t xml:space="preserve">{</w:t>
        <w:br w:clear="none"/>
      </w:r>
      <w:r>
        <w:t xml:space="preserve">body</w:t>
        <w:br w:clear="none"/>
      </w:r>
      <w:r>
        <w:rPr>
          <w:rStyle w:val="Text32"/>
        </w:rPr>
        <w:t xml:space="preserve">}</w:t>
        <w:br w:clear="none"/>
      </w:r>
      <w:r>
        <w:rPr>
          <w:rStyle w:val="Text8"/>
        </w:rPr>
        <w:t xml:space="preserve">&lt;/h2&gt;&lt;/body&gt;&lt;/html&gt;</w:t>
        <w:br w:clear="none"/>
        <w:t xml:space="preserve">"""</w:t>
        <w:br w:clear="none"/>
      </w:r>
      <w:r>
        <w:rPr>
          <w:rStyle w:val="Text6"/>
        </w:rPr>
        <w:t xml:space="preserve"/>
        <w:br w:clear="none"/>
        <w:t xml:space="preserve"/>
        <w:br w:clear="none"/>
      </w:r>
      <w:r>
        <w:rPr>
          <w:rStyle w:val="Text44"/>
        </w:rPr>
        <w:t xml:space="preserve">@app</w:t>
        <w:br w:clear="none"/>
      </w:r>
      <w:r>
        <w:rPr>
          <w:rStyle w:val="Text13"/>
        </w:rPr>
        <w:t xml:space="preserve">.</w:t>
        <w:br w:clear="none"/>
      </w:r>
      <w:r>
        <w:t xml:space="preserve">post</w:t>
        <w:br w:clear="none"/>
      </w:r>
      <w:r>
        <w:rPr>
          <w:rStyle w:val="Text7"/>
        </w:rPr>
        <w:t xml:space="preserve">(</w:t>
        <w:br w:clear="none"/>
      </w:r>
      <w:r>
        <w:rPr>
          <w:rStyle w:val="Text8"/>
        </w:rPr>
        <w:t xml:space="preserve">"</w:t>
        <w:br w:clear="none"/>
        <w:t xml:space="preserve">/items/new/</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create_item_from_json</w:t>
        <w:br w:clear="none"/>
      </w:r>
      <w:r>
        <w:rPr>
          <w:rStyle w:val="Text7"/>
        </w:rPr>
        <w:t xml:space="preserve">(</w:t>
        <w:br w:clear="none"/>
      </w:r>
      <w:r>
        <w:t xml:space="preserve">item</w:t>
        <w:br w:clear="none"/>
      </w:r>
      <w:r>
        <w:rPr>
          <w:rStyle w:val="Text7"/>
        </w:rPr>
        <w:t xml:space="preserve">:</w:t>
        <w:br w:clear="none"/>
      </w:r>
      <w:r>
        <w:rPr>
          <w:rStyle w:val="Text6"/>
        </w:rPr>
        <w:t xml:space="preserve"> </w:t>
        <w:br w:clear="none"/>
      </w:r>
      <w:r>
        <w:t xml:space="preserve">PItem</w:t>
        <w:br w:clear="none"/>
      </w:r>
      <w:r>
        <w:rPr>
          <w:rStyle w:val="Text7"/>
        </w:rPr>
        <w:t xml:space="preserve">)</w:t>
        <w:br w:clear="none"/>
        <w:t xml:space="preserve">:</w:t>
        <w:br w:clear="none"/>
      </w:r>
      <w:r>
        <w:rPr>
          <w:rStyle w:val="Text6"/>
        </w:rPr>
        <w:t xml:space="preserve"/>
        <w:br w:clear="none"/>
        <w:t xml:space="preserve">    </w:t>
        <w:br w:clear="none"/>
      </w:r>
      <w:r>
        <w:rPr>
          <w:rStyle w:val="Text8"/>
        </w:rPr>
        <w:t xml:space="preserve">"</w:t>
        <w:br w:clear="none"/>
        <w:t xml:space="preserve">View function to accept JSON data and create an item.</w:t>
        <w:br w:clear="none"/>
        <w:t xml:space="preserve">"</w:t>
        <w:br w:clear="none"/>
      </w:r>
      <w:r>
        <w:rPr>
          <w:rStyle w:val="Text6"/>
        </w:rPr>
        <w:t xml:space="preserve"/>
        <w:br w:clear="none"/>
        <w:t xml:space="preserve">    </w:t>
        <w:br w:clear="none"/>
      </w:r>
      <w:r>
        <w:t xml:space="preserve">mongoitem</w:t>
        <w:br w:clear="none"/>
      </w:r>
      <w:r>
        <w:rPr>
          <w:rStyle w:val="Text6"/>
        </w:rPr>
        <w:t xml:space="preserve"> </w:t>
        <w:br w:clear="none"/>
      </w:r>
      <w:r>
        <w:rPr>
          <w:rStyle w:val="Text13"/>
        </w:rPr>
        <w:t xml:space="preserve">=</w:t>
        <w:br w:clear="none"/>
      </w:r>
      <w:r>
        <w:rPr>
          <w:rStyle w:val="Text6"/>
        </w:rPr>
        <w:t xml:space="preserve"> </w:t>
        <w:br w:clear="none"/>
      </w:r>
      <w:r>
        <w:t xml:space="preserve">MItem</w:t>
        <w:br w:clear="none"/>
      </w:r>
      <w:r>
        <w:rPr>
          <w:rStyle w:val="Text7"/>
        </w:rPr>
        <w:t xml:space="preserve">(</w:t>
        <w:br w:clear="none"/>
      </w:r>
      <w:r>
        <w:rPr>
          <w:rStyle w:val="Text13"/>
        </w:rPr>
        <w:t xml:space="preserve">*</w:t>
        <w:br w:clear="none"/>
        <w:t xml:space="preserve">*</w:t>
        <w:br w:clear="none"/>
      </w:r>
      <w:r>
        <w:t xml:space="preserve">item</w:t>
        <w:br w:clear="none"/>
      </w:r>
      <w:r>
        <w:rPr>
          <w:rStyle w:val="Text13"/>
        </w:rPr>
        <w:t xml:space="preserve">.</w:t>
        <w:br w:clear="none"/>
      </w:r>
      <w:r>
        <w:t xml:space="preserve">dict</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value</w:t>
        <w:br w:clear="none"/>
      </w:r>
      <w:r>
        <w:rPr>
          <w:rStyle w:val="Text6"/>
        </w:rPr>
        <w:t xml:space="preserve"> </w:t>
        <w:br w:clear="none"/>
      </w:r>
      <w:r>
        <w:rPr>
          <w:rStyle w:val="Text13"/>
        </w:rPr>
        <w:t xml:space="preserve">=</w:t>
        <w:br w:clear="none"/>
      </w:r>
      <w:r>
        <w:rPr>
          <w:rStyle w:val="Text6"/>
        </w:rPr>
        <w:t xml:space="preserve"> </w:t>
        <w:br w:clear="none"/>
      </w:r>
      <w:r>
        <w:t xml:space="preserve">save</w:t>
        <w:br w:clear="none"/>
      </w:r>
      <w:r>
        <w:rPr>
          <w:rStyle w:val="Text7"/>
        </w:rPr>
        <w:t xml:space="preserve">(</w:t>
        <w:br w:clear="none"/>
      </w:r>
      <w:r>
        <w:t xml:space="preserve">mongoitem</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31"/>
        </w:rPr>
        <w:t xml:space="preserve">not</w:t>
        <w:br w:clear="none"/>
      </w:r>
      <w:r>
        <w:rPr>
          <w:rStyle w:val="Text6"/>
        </w:rPr>
        <w:t xml:space="preserve"> </w:t>
        <w:br w:clear="none"/>
      </w:r>
      <w:r>
        <w:t xml:space="preserve">value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t xml:space="preserve">f</w:t>
        <w:br w:clear="none"/>
      </w:r>
      <w:r>
        <w:rPr>
          <w:rStyle w:val="Text8"/>
        </w:rPr>
        <w:t xml:space="preserve">"</w:t>
        <w:br w:clear="none"/>
        <w:t xml:space="preserve">Primary key </w:t>
        <w:br w:clear="none"/>
      </w:r>
      <w:r>
        <w:rPr>
          <w:rStyle w:val="Text32"/>
        </w:rPr>
        <w:t xml:space="preserve">{</w:t>
        <w:br w:clear="none"/>
      </w:r>
      <w:r>
        <w:t xml:space="preserve">item</w:t>
        <w:br w:clear="none"/>
      </w:r>
      <w:r>
        <w:rPr>
          <w:rStyle w:val="Text13"/>
        </w:rPr>
        <w:t xml:space="preserve">.</w:t>
        <w:br w:clear="none"/>
      </w:r>
      <w:r>
        <w:t xml:space="preserve">name</w:t>
        <w:br w:clear="none"/>
      </w:r>
      <w:r>
        <w:rPr>
          <w:rStyle w:val="Text32"/>
        </w:rPr>
        <w:t xml:space="preserve">!r}</w:t>
        <w:br w:clear="none"/>
      </w:r>
      <w:r>
        <w:rPr>
          <w:rStyle w:val="Text8"/>
        </w:rPr>
        <w:t xml:space="preserve"> already present</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item</w:t>
        <w:br w:clear="none"/>
      </w:r>
      <w:r>
        <w:rPr>
          <w:rStyle w:val="Text13"/>
        </w:rPr>
        <w:t xml:space="preserve">.</w:t>
        <w:br w:clear="none"/>
      </w:r>
      <w:r>
        <w:t xml:space="preserve">dict</w:t>
        <w:br w:clear="none"/>
      </w:r>
      <w:r>
        <w:rPr>
          <w:rStyle w:val="Text7"/>
        </w:rPr>
        <w:t xml:space="preserve">(</w:t>
        <w:br w:clear="none"/>
        <w:t xml:space="preserve">)</w:t>
        <w:br w:clear="none"/>
      </w:r>
      <w:r>
        <w:rPr>
          <w:rStyle w:val="Text6"/>
        </w:rPr>
        <w:t xml:space="preserve"/>
        <w:br w:clear="none"/>
        <w:t xml:space="preserve"/>
        <w:br w:clear="none"/>
      </w:r>
      <w:r>
        <w:rPr>
          <w:rStyle w:val="Text44"/>
        </w:rPr>
        <w:t xml:space="preserve">@app</w:t>
        <w:br w:clear="none"/>
      </w:r>
      <w:r>
        <w:rPr>
          <w:rStyle w:val="Text13"/>
        </w:rPr>
        <w:t xml:space="preserve">.</w:t>
        <w:br w:clear="none"/>
      </w:r>
      <w:r>
        <w:t xml:space="preserve">get</w:t>
        <w:br w:clear="none"/>
      </w:r>
      <w:r>
        <w:rPr>
          <w:rStyle w:val="Text7"/>
        </w:rPr>
        <w:t xml:space="preserve">(</w:t>
        <w:br w:clear="none"/>
      </w:r>
      <w:r>
        <w:rPr>
          <w:rStyle w:val="Text8"/>
        </w:rPr>
        <w:t xml:space="preserve">"</w:t>
        <w:br w:clear="none"/>
        <w:t xml:space="preserve">/items/</w:t>
        <w:br w:clear="none"/>
      </w:r>
      <w:r>
        <w:rPr>
          <w:rStyle w:val="Text32"/>
        </w:rPr>
        <w:t xml:space="preserve">{name}</w:t>
        <w:br w:clear="none"/>
      </w:r>
      <w:r>
        <w:rPr>
          <w:rStyle w:val="Text8"/>
        </w:rPr>
        <w:t xml:space="preserve">/</w:t>
        <w:br w:clear="none"/>
        <w:t xml:space="preserve">"</w:t>
        <w:br w:clear="none"/>
      </w:r>
      <w:r>
        <w:rPr>
          <w:rStyle w:val="Text7"/>
        </w:rPr>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retrieve_item</w:t>
        <w:br w:clear="none"/>
      </w:r>
      <w:r>
        <w:rPr>
          <w:rStyle w:val="Text7"/>
        </w:rPr>
        <w:t xml:space="preserve">(</w:t>
        <w:br w:clear="none"/>
      </w:r>
      <w:r>
        <w:t xml:space="preserve">name</w:t>
        <w:br w:clear="none"/>
      </w:r>
      <w:r>
        <w:rPr>
          <w:rStyle w:val="Text7"/>
        </w:rPr>
        <w:t xml:space="preserve">:</w:t>
        <w:br w:clear="none"/>
      </w:r>
      <w:r>
        <w:rPr>
          <w:rStyle w:val="Text6"/>
        </w:rPr>
        <w:t xml:space="preserve"> </w:t>
        <w:br w:clear="none"/>
      </w:r>
      <w:r>
        <w:rPr>
          <w:rStyle w:val="Text16"/>
        </w:rPr>
        <w:t xml:space="preserve">str</w:t>
        <w:br w:clear="none"/>
      </w:r>
      <w:r>
        <w:rPr>
          <w:rStyle w:val="Text7"/>
        </w:rPr>
        <w:t xml:space="preserve">)</w:t>
        <w:br w:clear="none"/>
        <w:t xml:space="preserve">:</w:t>
        <w:br w:clear="none"/>
      </w:r>
      <w:r>
        <w:rPr>
          <w:rStyle w:val="Text6"/>
        </w:rPr>
        <w:t xml:space="preserve"/>
        <w:br w:clear="none"/>
        <w:t xml:space="preserve">    </w:t>
        <w:br w:clear="none"/>
      </w:r>
      <w:r>
        <w:rPr>
          <w:rStyle w:val="Text8"/>
        </w:rPr>
        <w:t xml:space="preserve">"</w:t>
        <w:br w:clear="none"/>
        <w:t xml:space="preserve">View function to return the JSON contents of an item.</w:t>
        <w:br w:clear="none"/>
        <w:t xml:space="preserve">"</w:t>
        <w:br w:clear="none"/>
      </w:r>
      <w:r>
        <w:rPr>
          <w:rStyle w:val="Text6"/>
        </w:rPr>
        <w:t xml:space="preserve"/>
        <w:br w:clear="none"/>
        <w:t xml:space="preserve">    </w:t>
        <w:br w:clear="none"/>
      </w:r>
      <w:r>
        <w:t xml:space="preserve">m_item</w:t>
        <w:br w:clear="none"/>
      </w:r>
      <w:r>
        <w:rPr>
          <w:rStyle w:val="Text6"/>
        </w:rPr>
        <w:t xml:space="preserve"> </w:t>
        <w:br w:clear="none"/>
      </w:r>
      <w:r>
        <w:rPr>
          <w:rStyle w:val="Text13"/>
        </w:rPr>
        <w:t xml:space="preserve">=</w:t>
        <w:br w:clear="none"/>
      </w:r>
      <w:r>
        <w:rPr>
          <w:rStyle w:val="Text6"/>
        </w:rPr>
        <w:t xml:space="preserve"> </w:t>
        <w:br w:clear="none"/>
      </w:r>
      <w:r>
        <w:t xml:space="preserve">MItem</w:t>
        <w:br w:clear="none"/>
      </w:r>
      <w:r>
        <w:rPr>
          <w:rStyle w:val="Text13"/>
        </w:rPr>
        <w:t xml:space="preserve">.</w:t>
        <w:br w:clear="none"/>
      </w:r>
      <w:r>
        <w:t xml:space="preserve">objects</w:t>
        <w:br w:clear="none"/>
      </w:r>
      <w:r>
        <w:rPr>
          <w:rStyle w:val="Text7"/>
        </w:rPr>
        <w:t xml:space="preserve">(</w:t>
        <w:br w:clear="none"/>
      </w:r>
      <w:r>
        <w:t xml:space="preserve">name</w:t>
        <w:br w:clear="none"/>
      </w:r>
      <w:r>
        <w:rPr>
          <w:rStyle w:val="Text13"/>
        </w:rPr>
        <w:t xml:space="preserve">=</w:t>
        <w:br w:clear="none"/>
      </w:r>
      <w:r>
        <w:t xml:space="preserve">name</w:t>
        <w:br w:clear="none"/>
      </w:r>
      <w:r>
        <w:rPr>
          <w:rStyle w:val="Text7"/>
        </w:rPr>
        <w:t xml:space="preserve">)</w:t>
        <w:br w:clear="none"/>
      </w:r>
      <w:r>
        <w:rPr>
          <w:rStyle w:val="Text13"/>
        </w:rPr>
        <w:t xml:space="preserve">.</w:t>
        <w:br w:clear="none"/>
      </w:r>
      <w:r>
        <w:t xml:space="preserve">get</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json</w:t>
        <w:br w:clear="none"/>
      </w:r>
      <w:r>
        <w:rPr>
          <w:rStyle w:val="Text13"/>
        </w:rPr>
        <w:t xml:space="preserve">.</w:t>
        <w:br w:clear="none"/>
      </w:r>
      <w:r>
        <w:t xml:space="preserve">loads</w:t>
        <w:br w:clear="none"/>
      </w:r>
      <w:r>
        <w:rPr>
          <w:rStyle w:val="Text7"/>
        </w:rPr>
        <w:t xml:space="preserve">(</w:t>
        <w:br w:clear="none"/>
      </w:r>
      <w:r>
        <w:t xml:space="preserve">m_item</w:t>
        <w:br w:clear="none"/>
      </w:r>
      <w:r>
        <w:rPr>
          <w:rStyle w:val="Text13"/>
        </w:rPr>
        <w:t xml:space="preserve">.</w:t>
        <w:br w:clear="none"/>
      </w:r>
      <w:r>
        <w:t xml:space="preserve">to_json</w:t>
        <w:br w:clear="none"/>
      </w:r>
      <w:r>
        <w:rPr>
          <w:rStyle w:val="Text7"/>
        </w:rPr>
        <w:t xml:space="preserve">(</w:t>
        <w:br w:clear="none"/>
        <w:t xml:space="preserve">)</w:t>
        <w:br w:clear="none"/>
        <w:t xml:space="preserve">)</w:t>
        <w:br w:clear="none"/>
      </w:r>
      <w:r>
        <w:rPr>
          <w:rStyle w:val="Text6"/>
        </w:rPr>
        <w:t xml:space="preserve"/>
        <w:br w:clear="none"/>
        <w:t xml:space="preserve"/>
        <w:br w:clear="none"/>
      </w:r>
      <w:r>
        <w:rPr>
          <w:rStyle w:val="Text10"/>
        </w:rPr>
        <w:t xml:space="preserve">if</w:t>
        <w:br w:clear="none"/>
      </w:r>
      <w:r>
        <w:rPr>
          <w:rStyle w:val="Text6"/>
        </w:rPr>
        <w:t xml:space="preserve"> </w:t>
        <w:br w:clear="none"/>
        <w:t xml:space="preserve">__name__</w:t>
        <w:br w:clear="none"/>
        <w:t xml:space="preserve"> </w:t>
        <w:br w:clear="none"/>
      </w:r>
      <w:r>
        <w:rPr>
          <w:rStyle w:val="Text13"/>
        </w:rPr>
        <w:t xml:space="preserve">==</w:t>
        <w:br w:clear="none"/>
      </w:r>
      <w:r>
        <w:rPr>
          <w:rStyle w:val="Text6"/>
        </w:rPr>
        <w:t xml:space="preserve"> </w:t>
        <w:br w:clear="none"/>
      </w:r>
      <w:r>
        <w:rPr>
          <w:rStyle w:val="Text8"/>
        </w:rPr>
        <w:t xml:space="preserve">"</w:t>
        <w:br w:clear="none"/>
        <w:t xml:space="preserve">__main__</w:t>
        <w:br w:clear="none"/>
        <w:t xml:space="preserve">"</w:t>
        <w:br w:clear="none"/>
      </w:r>
      <w:r>
        <w:rPr>
          <w:rStyle w:val="Text7"/>
        </w:rPr>
        <w:t xml:space="preserve">:</w:t>
        <w:br w:clear="none"/>
      </w:r>
      <w:r>
        <w:rPr>
          <w:rStyle w:val="Text6"/>
        </w:rPr>
        <w:t xml:space="preserve"/>
        <w:br w:clear="none"/>
        <w:t xml:space="preserve">    </w:t>
        <w:br w:clear="none"/>
      </w:r>
      <w:r>
        <w:rPr>
          <w:rStyle w:val="Text26"/>
        </w:rPr>
        <w:t xml:space="preserve"># host as "localhost" or "127.0.0.1" allows only local apps to access the</w:t>
        <w:br w:clear="none"/>
      </w:r>
      <w:r>
        <w:rPr>
          <w:rStyle w:val="Text6"/>
        </w:rPr>
        <w:t xml:space="preserve"/>
        <w:br w:clear="none"/>
        <w:t xml:space="preserve">    </w:t>
        <w:br w:clear="none"/>
      </w:r>
      <w:r>
        <w:rPr>
          <w:rStyle w:val="Text26"/>
        </w:rPr>
        <w:t xml:space="preserve"># web page. Using "0.0.0.0" will accept access from apps on other hosts,</w:t>
        <w:br w:clear="none"/>
      </w:r>
      <w:r>
        <w:rPr>
          <w:rStyle w:val="Text6"/>
        </w:rPr>
        <w:t xml:space="preserve"/>
        <w:br w:clear="none"/>
        <w:t xml:space="preserve">    </w:t>
        <w:br w:clear="none"/>
      </w:r>
      <w:r>
        <w:rPr>
          <w:rStyle w:val="Text26"/>
        </w:rPr>
        <w:t xml:space="preserve"># but this can raise security concerns, and is generally not recommended.</w:t>
        <w:br w:clear="none"/>
      </w:r>
      <w:r>
        <w:rPr>
          <w:rStyle w:val="Text6"/>
        </w:rPr>
        <w:t xml:space="preserve"/>
        <w:br w:clear="none"/>
        <w:t xml:space="preserve">    </w:t>
        <w:br w:clear="none"/>
      </w:r>
      <w:r>
        <w:t xml:space="preserve">uvicorn</w:t>
        <w:br w:clear="none"/>
      </w:r>
      <w:r>
        <w:rPr>
          <w:rStyle w:val="Text13"/>
        </w:rPr>
        <w:t xml:space="preserve">.</w:t>
        <w:br w:clear="none"/>
      </w:r>
      <w:r>
        <w:t xml:space="preserve">run</w:t>
        <w:br w:clear="none"/>
      </w:r>
      <w:r>
        <w:rPr>
          <w:rStyle w:val="Text7"/>
        </w:rPr>
        <w:t xml:space="preserve">(</w:t>
        <w:br w:clear="none"/>
      </w:r>
      <w:r>
        <w:rPr>
          <w:rStyle w:val="Text8"/>
        </w:rPr>
        <w:t xml:space="preserve">"</w:t>
        <w:br w:clear="none"/>
        <w:t xml:space="preserve">__main__:app</w:t>
        <w:br w:clear="none"/>
        <w:t xml:space="preserve">"</w:t>
        <w:br w:clear="none"/>
      </w:r>
      <w:r>
        <w:rPr>
          <w:rStyle w:val="Text7"/>
        </w:rPr>
        <w:t xml:space="preserve">,</w:t>
        <w:br w:clear="none"/>
      </w:r>
      <w:r>
        <w:rPr>
          <w:rStyle w:val="Text6"/>
        </w:rPr>
        <w:t xml:space="preserve"> </w:t>
        <w:br w:clear="none"/>
      </w:r>
      <w:r>
        <w:t xml:space="preserve">host</w:t>
        <w:br w:clear="none"/>
      </w:r>
      <w:r>
        <w:rPr>
          <w:rStyle w:val="Text13"/>
        </w:rPr>
        <w:t xml:space="preserve">=</w:t>
        <w:br w:clear="none"/>
      </w:r>
      <w:r>
        <w:rPr>
          <w:rStyle w:val="Text8"/>
        </w:rPr>
        <w:t xml:space="preserve">"</w:t>
        <w:br w:clear="none"/>
        <w:t xml:space="preserve">127.0.0.1</w:t>
        <w:br w:clear="none"/>
        <w:t xml:space="preserve">"</w:t>
        <w:br w:clear="none"/>
      </w:r>
      <w:r>
        <w:rPr>
          <w:rStyle w:val="Text7"/>
        </w:rPr>
        <w:t xml:space="preserve">,</w:t>
        <w:br w:clear="none"/>
      </w:r>
      <w:r>
        <w:rPr>
          <w:rStyle w:val="Text6"/>
        </w:rPr>
        <w:t xml:space="preserve"> </w:t>
        <w:br w:clear="none"/>
      </w:r>
      <w:r>
        <w:t xml:space="preserve">port</w:t>
        <w:br w:clear="none"/>
      </w:r>
      <w:r>
        <w:rPr>
          <w:rStyle w:val="Text13"/>
        </w:rPr>
        <w:t xml:space="preserve">=</w:t>
        <w:br w:clear="none"/>
      </w:r>
      <w:r>
        <w:rPr>
          <w:rStyle w:val="Text27"/>
        </w:rPr>
        <w:t xml:space="preserve">8000</w:t>
        <w:br w:clear="none"/>
      </w:r>
      <w:r>
        <w:rPr>
          <w:rStyle w:val="Text7"/>
        </w:rPr>
        <w:t xml:space="preserve">,</w:t>
        <w:br w:clear="none"/>
      </w:r>
      <w:r>
        <w:rPr>
          <w:rStyle w:val="Text6"/>
        </w:rPr>
        <w:t xml:space="preserve"> </w:t>
        <w:br w:clear="none"/>
      </w:r>
      <w:r>
        <w:t xml:space="preserve">reload</w:t>
        <w:br w:clear="none"/>
      </w:r>
      <w:r>
        <w:rPr>
          <w:rStyle w:val="Text13"/>
        </w:rPr>
        <w:t xml:space="preserve">=</w:t>
        <w:br w:clear="none"/>
      </w:r>
      <w:r>
        <w:rPr>
          <w:rStyle w:val="Text39"/>
        </w:rPr>
        <w:t xml:space="preserve">True</w:t>
        <w:br w:clear="none"/>
      </w:r>
      <w:r>
        <w:rPr>
          <w:rStyle w:val="Text7"/>
        </w:rPr>
        <w:t xml:space="preserve">)</w:t>
        <w:br w:clear="none"/>
      </w:r>
    </w:p>
    <w:p>
      <w:pPr>
        <w:pStyle w:val="Normal"/>
      </w:pPr>
      <w:r>
        <w:t xml:space="preserve">The </w:t>
      </w:r>
      <w:r>
        <w:rPr>
          <w:rStyle w:val="Text0"/>
        </w:rPr>
        <w:t>home_page</w:t>
      </w:r>
      <w:r>
        <w:t xml:space="preserve"> function, which takes no arguments, simply renders a minimal HTML home page containing a form from the </w:t>
      </w:r>
      <w:r>
        <w:rPr>
          <w:rStyle w:val="Text4"/>
        </w:rPr>
        <w:t>index.html</w:t>
      </w:r>
      <w:r>
        <w:t xml:space="preserve"> file, shown in </w:t>
      </w:r>
      <w:hyperlink w:anchor="Example_20_4__The_index_html_fil">
        <w:r>
          <w:rPr>
            <w:rStyle w:val="Text1"/>
          </w:rPr>
          <w:t>Example 20-4</w:t>
        </w:r>
      </w:hyperlink>
      <w:r>
        <w:t xml:space="preserve">. The form posts to the </w:t>
      </w:r>
      <w:r>
        <w:rPr>
          <w:rStyle w:val="Text4"/>
        </w:rPr>
        <w:t>/items/new/form/</w:t>
      </w:r>
      <w:r>
        <w:t xml:space="preserve"> endpoint, which triggers a call to the </w:t>
      </w:r>
      <w:r>
        <w:rPr>
          <w:rStyle w:val="Text0"/>
        </w:rPr>
        <w:t>create_item_from_form</w:t>
      </w:r>
      <w:r>
        <w:t xml:space="preserve"> function, which is declared in the routing decorator as producing an HTML response rather than the default JSON.</w:t>
      </w:r>
    </w:p>
    <w:p>
      <w:bookmarkStart w:id="4205" w:name="Example_20_4__The_index_html_fil"/>
      <w:pPr>
        <w:keepNext/>
        <w:pStyle w:val="Heading 4"/>
      </w:pPr>
      <w:r>
        <w:t xml:space="preserve">Example 20-4. </w:t>
        <w:t>The index.html file</w:t>
      </w:r>
      <w:bookmarkEnd w:id="4205"/>
    </w:p>
    <w:p>
      <w:pPr>
        <w:pStyle w:val="Para 115"/>
      </w:pPr>
      <w:r>
        <w:rPr>
          <w:rStyle w:val="Text23"/>
        </w:rPr>
        <w:t xml:space="preserve"/>
        <w:br w:clear="none"/>
      </w:r>
      <w:r>
        <w:rPr>
          <w:rStyle w:val="Text85"/>
        </w:rPr>
        <w:t xml:space="preserve">&lt;!DOCTYPE html&gt;</w:t>
        <w:br w:clear="none"/>
      </w:r>
      <w:r>
        <w:rPr>
          <w:rStyle w:val="Text23"/>
        </w:rPr>
        <w:t xml:space="preserve"/>
        <w:br w:clear="none"/>
      </w:r>
      <w:r>
        <w:rPr>
          <w:rStyle w:val="Text7"/>
        </w:rPr>
        <w:t xml:space="preserve">&lt;</w:t>
        <w:br w:clear="none"/>
      </w:r>
      <w:r>
        <w:t xml:space="preserve">html</w:t>
        <w:br w:clear="none"/>
      </w:r>
      <w:r>
        <w:rPr>
          <w:rStyle w:val="Text23"/>
        </w:rPr>
        <w:t xml:space="preserve"> </w:t>
        <w:br w:clear="none"/>
      </w:r>
      <w:r>
        <w:t xml:space="preserve">lang</w:t>
        <w:br w:clear="none"/>
      </w:r>
      <w:r>
        <w:rPr>
          <w:rStyle w:val="Text13"/>
        </w:rPr>
        <w:t xml:space="preserve">=</w:t>
        <w:br w:clear="none"/>
      </w:r>
      <w:r>
        <w:rPr>
          <w:rStyle w:val="Text8"/>
        </w:rPr>
        <w:t xml:space="preserve">"en"</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body</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h2</w:t>
        <w:br w:clear="none"/>
      </w:r>
      <w:r>
        <w:rPr>
          <w:rStyle w:val="Text7"/>
        </w:rPr>
        <w:t xml:space="preserve">&gt;</w:t>
        <w:br w:clear="none"/>
      </w:r>
      <w:r>
        <w:rPr>
          <w:rStyle w:val="Text23"/>
        </w:rPr>
        <w:t xml:space="preserve">FastAPI Demonstrator</w:t>
        <w:br w:clear="none"/>
      </w:r>
      <w:r>
        <w:rPr>
          <w:rStyle w:val="Text7"/>
        </w:rPr>
        <w:t xml:space="preserve">&lt;/</w:t>
        <w:br w:clear="none"/>
      </w:r>
      <w:r>
        <w:t xml:space="preserve">h2</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form</w:t>
        <w:br w:clear="none"/>
      </w:r>
      <w:r>
        <w:rPr>
          <w:rStyle w:val="Text23"/>
        </w:rPr>
        <w:t xml:space="preserve"> </w:t>
        <w:br w:clear="none"/>
      </w:r>
      <w:r>
        <w:t xml:space="preserve">method</w:t>
        <w:br w:clear="none"/>
      </w:r>
      <w:r>
        <w:rPr>
          <w:rStyle w:val="Text13"/>
        </w:rPr>
        <w:t xml:space="preserve">=</w:t>
        <w:br w:clear="none"/>
      </w:r>
      <w:r>
        <w:rPr>
          <w:rStyle w:val="Text8"/>
        </w:rPr>
        <w:t xml:space="preserve">"POST"</w:t>
        <w:br w:clear="none"/>
      </w:r>
      <w:r>
        <w:rPr>
          <w:rStyle w:val="Text23"/>
        </w:rPr>
        <w:t xml:space="preserve"> </w:t>
        <w:br w:clear="none"/>
      </w:r>
      <w:r>
        <w:t xml:space="preserve">action</w:t>
        <w:br w:clear="none"/>
      </w:r>
      <w:r>
        <w:rPr>
          <w:rStyle w:val="Text13"/>
        </w:rPr>
        <w:t xml:space="preserve">=</w:t>
        <w:br w:clear="none"/>
      </w:r>
      <w:r>
        <w:rPr>
          <w:rStyle w:val="Text8"/>
        </w:rPr>
        <w:t xml:space="preserve">"/items/new/form/"</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table</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tr</w:t>
        <w:br w:clear="none"/>
      </w:r>
      <w:r>
        <w:rPr>
          <w:rStyle w:val="Text7"/>
        </w:rPr>
        <w:t xml:space="preserve">&gt;&lt;</w:t>
        <w:br w:clear="none"/>
      </w:r>
      <w:r>
        <w:t xml:space="preserve">td</w:t>
        <w:br w:clear="none"/>
      </w:r>
      <w:r>
        <w:rPr>
          <w:rStyle w:val="Text7"/>
        </w:rPr>
        <w:t xml:space="preserve">&gt;</w:t>
        <w:br w:clear="none"/>
      </w:r>
      <w:r>
        <w:rPr>
          <w:rStyle w:val="Text23"/>
        </w:rPr>
        <w:t xml:space="preserve">Name</w:t>
        <w:br w:clear="none"/>
      </w:r>
      <w:r>
        <w:rPr>
          <w:rStyle w:val="Text7"/>
        </w:rPr>
        <w:t xml:space="preserve">&lt;/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input</w:t>
        <w:br w:clear="none"/>
      </w:r>
      <w:r>
        <w:rPr>
          <w:rStyle w:val="Text23"/>
        </w:rPr>
        <w:t xml:space="preserve"> </w:t>
        <w:br w:clear="none"/>
      </w:r>
      <w:r>
        <w:t xml:space="preserve">name</w:t>
        <w:br w:clear="none"/>
      </w:r>
      <w:r>
        <w:rPr>
          <w:rStyle w:val="Text13"/>
        </w:rPr>
        <w:t xml:space="preserve">=</w:t>
        <w:br w:clear="none"/>
      </w:r>
      <w:r>
        <w:rPr>
          <w:rStyle w:val="Text8"/>
        </w:rPr>
        <w:t xml:space="preserve">"name"</w:t>
        <w:br w:clear="none"/>
      </w:r>
      <w:r>
        <w:rPr>
          <w:rStyle w:val="Text7"/>
        </w:rPr>
        <w:t xml:space="preserve">&gt;&lt;/</w:t>
        <w:br w:clear="none"/>
      </w:r>
      <w:r>
        <w:t xml:space="preserve">td</w:t>
        <w:br w:clear="none"/>
      </w:r>
      <w:r>
        <w:rPr>
          <w:rStyle w:val="Text7"/>
        </w:rPr>
        <w:t xml:space="preserve">&gt;&lt;/</w:t>
        <w:br w:clear="none"/>
      </w:r>
      <w:r>
        <w:t xml:space="preserve">tr</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tr</w:t>
        <w:br w:clear="none"/>
      </w:r>
      <w:r>
        <w:rPr>
          <w:rStyle w:val="Text7"/>
        </w:rPr>
        <w:t xml:space="preserve">&gt;&lt;</w:t>
        <w:br w:clear="none"/>
      </w:r>
      <w:r>
        <w:t xml:space="preserve">td</w:t>
        <w:br w:clear="none"/>
      </w:r>
      <w:r>
        <w:rPr>
          <w:rStyle w:val="Text7"/>
        </w:rPr>
        <w:t xml:space="preserve">&gt;</w:t>
        <w:br w:clear="none"/>
      </w:r>
      <w:r>
        <w:rPr>
          <w:rStyle w:val="Text23"/>
        </w:rPr>
        <w:t xml:space="preserve">Price</w:t>
        <w:br w:clear="none"/>
      </w:r>
      <w:r>
        <w:rPr>
          <w:rStyle w:val="Text7"/>
        </w:rPr>
        <w:t xml:space="preserve">&lt;/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input</w:t>
        <w:br w:clear="none"/>
      </w:r>
      <w:r>
        <w:rPr>
          <w:rStyle w:val="Text23"/>
        </w:rPr>
        <w:t xml:space="preserve"> </w:t>
        <w:br w:clear="none"/>
      </w:r>
      <w:r>
        <w:t xml:space="preserve">name</w:t>
        <w:br w:clear="none"/>
      </w:r>
      <w:r>
        <w:rPr>
          <w:rStyle w:val="Text13"/>
        </w:rPr>
        <w:t xml:space="preserve">=</w:t>
        <w:br w:clear="none"/>
      </w:r>
      <w:r>
        <w:rPr>
          <w:rStyle w:val="Text8"/>
        </w:rPr>
        <w:t xml:space="preserve">"price"</w:t>
        <w:br w:clear="none"/>
      </w:r>
      <w:r>
        <w:rPr>
          <w:rStyle w:val="Text7"/>
        </w:rPr>
        <w:t xml:space="preserve">&gt;&lt;/</w:t>
        <w:br w:clear="none"/>
      </w:r>
      <w:r>
        <w:t xml:space="preserve">td</w:t>
        <w:br w:clear="none"/>
      </w:r>
      <w:r>
        <w:rPr>
          <w:rStyle w:val="Text7"/>
        </w:rPr>
        <w:t xml:space="preserve">&gt;&lt;/</w:t>
        <w:br w:clear="none"/>
      </w:r>
      <w:r>
        <w:t xml:space="preserve">tr</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tr</w:t>
        <w:br w:clear="none"/>
      </w:r>
      <w:r>
        <w:rPr>
          <w:rStyle w:val="Text7"/>
        </w:rPr>
        <w:t xml:space="preserve">&gt;&lt;</w:t>
        <w:br w:clear="none"/>
      </w:r>
      <w:r>
        <w:t xml:space="preserve">td</w:t>
        <w:br w:clear="none"/>
      </w:r>
      <w:r>
        <w:rPr>
          <w:rStyle w:val="Text7"/>
        </w:rPr>
        <w:t xml:space="preserve">&gt;</w:t>
        <w:br w:clear="none"/>
      </w:r>
      <w:r>
        <w:rPr>
          <w:rStyle w:val="Text23"/>
        </w:rPr>
        <w:t xml:space="preserve">Description</w:t>
        <w:br w:clear="none"/>
      </w:r>
      <w:r>
        <w:rPr>
          <w:rStyle w:val="Text7"/>
        </w:rPr>
        <w:t xml:space="preserve">&lt;/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input</w:t>
        <w:br w:clear="none"/>
      </w:r>
      <w:r>
        <w:rPr>
          <w:rStyle w:val="Text23"/>
        </w:rPr>
        <w:t xml:space="preserve"> </w:t>
        <w:br w:clear="none"/>
      </w:r>
      <w:r>
        <w:t xml:space="preserve">name</w:t>
        <w:br w:clear="none"/>
      </w:r>
      <w:r>
        <w:rPr>
          <w:rStyle w:val="Text13"/>
        </w:rPr>
        <w:t xml:space="preserve">=</w:t>
        <w:br w:clear="none"/>
      </w:r>
      <w:r>
        <w:rPr>
          <w:rStyle w:val="Text8"/>
        </w:rPr>
        <w:t xml:space="preserve">"description"</w:t>
        <w:br w:clear="none"/>
      </w:r>
      <w:r>
        <w:rPr>
          <w:rStyle w:val="Text7"/>
        </w:rPr>
        <w:t xml:space="preserve">&gt;&lt;/</w:t>
        <w:br w:clear="none"/>
      </w:r>
      <w:r>
        <w:t xml:space="preserve">td</w:t>
        <w:br w:clear="none"/>
      </w:r>
      <w:r>
        <w:rPr>
          <w:rStyle w:val="Text7"/>
        </w:rPr>
        <w:t xml:space="preserve">&gt;&lt;/</w:t>
        <w:br w:clear="none"/>
      </w:r>
      <w:r>
        <w:t xml:space="preserve">tr</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tr</w:t>
        <w:br w:clear="none"/>
      </w:r>
      <w:r>
        <w:rPr>
          <w:rStyle w:val="Text7"/>
        </w:rPr>
        <w:t xml:space="preserve">&gt;&lt;</w:t>
        <w:br w:clear="none"/>
      </w:r>
      <w:r>
        <w:t xml:space="preserve">td</w:t>
        <w:br w:clear="none"/>
      </w:r>
      <w:r>
        <w:rPr>
          <w:rStyle w:val="Text7"/>
        </w:rPr>
        <w:t xml:space="preserve">&gt;</w:t>
        <w:br w:clear="none"/>
      </w:r>
      <w:r>
        <w:rPr>
          <w:rStyle w:val="Text23"/>
        </w:rPr>
        <w:t xml:space="preserve">Tax</w:t>
        <w:br w:clear="none"/>
      </w:r>
      <w:r>
        <w:rPr>
          <w:rStyle w:val="Text7"/>
        </w:rPr>
        <w:t xml:space="preserve">&lt;/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input</w:t>
        <w:br w:clear="none"/>
      </w:r>
      <w:r>
        <w:rPr>
          <w:rStyle w:val="Text23"/>
        </w:rPr>
        <w:t xml:space="preserve"> </w:t>
        <w:br w:clear="none"/>
      </w:r>
      <w:r>
        <w:t xml:space="preserve">name</w:t>
        <w:br w:clear="none"/>
      </w:r>
      <w:r>
        <w:rPr>
          <w:rStyle w:val="Text13"/>
        </w:rPr>
        <w:t xml:space="preserve">=</w:t>
        <w:br w:clear="none"/>
      </w:r>
      <w:r>
        <w:rPr>
          <w:rStyle w:val="Text8"/>
        </w:rPr>
        <w:t xml:space="preserve">"tax"</w:t>
        <w:br w:clear="none"/>
      </w:r>
      <w:r>
        <w:rPr>
          <w:rStyle w:val="Text7"/>
        </w:rPr>
        <w:t xml:space="preserve">&gt;&lt;/</w:t>
        <w:br w:clear="none"/>
      </w:r>
      <w:r>
        <w:t xml:space="preserve">td</w:t>
        <w:br w:clear="none"/>
      </w:r>
      <w:r>
        <w:rPr>
          <w:rStyle w:val="Text7"/>
        </w:rPr>
        <w:t xml:space="preserve">&gt;&lt;/</w:t>
        <w:br w:clear="none"/>
      </w:r>
      <w:r>
        <w:t xml:space="preserve">tr</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tr</w:t>
        <w:br w:clear="none"/>
      </w:r>
      <w:r>
        <w:rPr>
          <w:rStyle w:val="Text7"/>
        </w:rPr>
        <w:t xml:space="preserve">&gt;&lt;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td</w:t>
        <w:br w:clear="none"/>
      </w:r>
      <w:r>
        <w:rPr>
          <w:rStyle w:val="Text7"/>
        </w:rPr>
        <w:t xml:space="preserve">&gt;&lt;</w:t>
        <w:br w:clear="none"/>
      </w:r>
      <w:r>
        <w:t xml:space="preserve">input</w:t>
        <w:br w:clear="none"/>
      </w:r>
      <w:r>
        <w:rPr>
          <w:rStyle w:val="Text23"/>
        </w:rPr>
        <w:t xml:space="preserve"> </w:t>
        <w:br w:clear="none"/>
      </w:r>
      <w:r>
        <w:t xml:space="preserve">type</w:t>
        <w:br w:clear="none"/>
      </w:r>
      <w:r>
        <w:rPr>
          <w:rStyle w:val="Text13"/>
        </w:rPr>
        <w:t xml:space="preserve">=</w:t>
        <w:br w:clear="none"/>
      </w:r>
      <w:r>
        <w:rPr>
          <w:rStyle w:val="Text8"/>
        </w:rPr>
        <w:t xml:space="preserve">"submit"</w:t>
        <w:br w:clear="none"/>
      </w:r>
      <w:r>
        <w:rPr>
          <w:rStyle w:val="Text7"/>
        </w:rPr>
        <w:t xml:space="preserve">&gt;&lt;/</w:t>
        <w:br w:clear="none"/>
      </w:r>
      <w:r>
        <w:t xml:space="preserve">td</w:t>
        <w:br w:clear="none"/>
      </w:r>
      <w:r>
        <w:rPr>
          <w:rStyle w:val="Text7"/>
        </w:rPr>
        <w:t xml:space="preserve">&gt;&lt;/</w:t>
        <w:br w:clear="none"/>
      </w:r>
      <w:r>
        <w:t xml:space="preserve">tr</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table</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form</w:t>
        <w:br w:clear="none"/>
      </w:r>
      <w:r>
        <w:rPr>
          <w:rStyle w:val="Text7"/>
        </w:rPr>
        <w:t xml:space="preserve">&gt;</w:t>
        <w:br w:clear="none"/>
      </w:r>
      <w:r>
        <w:rPr>
          <w:rStyle w:val="Text23"/>
        </w:rPr>
        <w:t xml:space="preserve"/>
        <w:br w:clear="none"/>
        <w:t xml:space="preserve">  </w:t>
        <w:br w:clear="none"/>
      </w:r>
      <w:r>
        <w:rPr>
          <w:rStyle w:val="Text7"/>
        </w:rPr>
        <w:t xml:space="preserve">&lt;/</w:t>
        <w:br w:clear="none"/>
      </w:r>
      <w:r>
        <w:t xml:space="preserve">body</w:t>
        <w:br w:clear="none"/>
      </w:r>
      <w:r>
        <w:rPr>
          <w:rStyle w:val="Text7"/>
        </w:rPr>
        <w:t xml:space="preserve">&gt;</w:t>
        <w:br w:clear="none"/>
      </w:r>
      <w:r>
        <w:rPr>
          <w:rStyle w:val="Text23"/>
        </w:rPr>
        <w:t xml:space="preserve"/>
        <w:br w:clear="none"/>
      </w:r>
      <w:r>
        <w:rPr>
          <w:rStyle w:val="Text7"/>
        </w:rPr>
        <w:t xml:space="preserve">&lt;/</w:t>
        <w:br w:clear="none"/>
      </w:r>
      <w:r>
        <w:t xml:space="preserve">html</w:t>
        <w:br w:clear="none"/>
      </w:r>
      <w:r>
        <w:rPr>
          <w:rStyle w:val="Text7"/>
        </w:rPr>
        <w:t xml:space="preserve">&gt;</w:t>
        <w:br w:clear="none"/>
      </w:r>
    </w:p>
    <w:p>
      <w:pPr>
        <w:pStyle w:val="Normal"/>
      </w:pPr>
      <w:r>
        <w:t xml:space="preserve">The form, shown in </w:t>
      </w:r>
      <w:hyperlink w:anchor="Figure_20_1__Input_form_for_Fast">
        <w:r>
          <w:rPr>
            <w:rStyle w:val="Text1"/>
          </w:rPr>
          <w:t>Figure 20-1</w:t>
        </w:r>
      </w:hyperlink>
      <w:r>
        <w:t xml:space="preserve">, is handled by the </w:t>
      </w:r>
      <w:r>
        <w:rPr>
          <w:rStyle w:val="Text0"/>
        </w:rPr>
        <w:t>create_item_from_form</w:t>
      </w:r>
      <w:r>
        <w:t xml:space="preserve"> function, whose signature takes an argument for each form field, with annotations defining each as a form field. Note that the signature defines its own default values for </w:t>
      </w:r>
      <w:r>
        <w:rPr>
          <w:rStyle w:val="Text0"/>
        </w:rPr>
        <w:t>description</w:t>
      </w:r>
      <w:r>
        <w:t xml:space="preserve"> and </w:t>
      </w:r>
      <w:r>
        <w:rPr>
          <w:rStyle w:val="Text0"/>
        </w:rPr>
        <w:t>tax</w:t>
      </w:r>
      <w:r>
        <w:t xml:space="preserve">. The function creates an </w:t>
      </w:r>
      <w:r>
        <w:rPr>
          <w:rStyle w:val="Text0"/>
        </w:rPr>
        <w:t>MItem</w:t>
      </w:r>
      <w:r>
        <w:t xml:space="preserve"> object from the form data and tries to save it in the database. The </w:t>
      </w:r>
      <w:r>
        <w:rPr>
          <w:rStyle w:val="Text0"/>
        </w:rPr>
        <w:t>save</w:t>
      </w:r>
      <w:r>
        <w:t xml:space="preserve"> function forces insertions, inhibiting the update of an existing record, and reports failure by returning </w:t>
      </w:r>
      <w:r>
        <w:rPr>
          <w:rStyle w:val="Text5"/>
        </w:rPr>
        <w:t>None</w:t>
      </w:r>
      <w:r>
        <w:t>; the return value is used to formulate a simple HTML reply. In a production application, a templating engine such as Jinja would typically be used to render the response.</w:t>
      </w:r>
    </w:p>
    <w:p>
      <w:bookmarkStart w:id="4206" w:name="Figure_20_1__Input_form_for_Fast"/>
      <w:pPr>
        <w:pStyle w:val="Para 048"/>
        <w:keepLines w:val="on"/>
      </w:pPr>
      <w:r>
        <w:drawing>
          <wp:inline>
            <wp:extent cx="2120900" cy="1511300"/>
            <wp:effectExtent l="0" r="0" t="0" b="43426"/>
            <wp:docPr id="8" name="pns4_2001.png" descr="Input form for FastAPI Demonstrator"/>
            <wp:cNvGraphicFramePr>
              <a:graphicFrameLocks noChangeAspect="1"/>
            </wp:cNvGraphicFramePr>
            <a:graphic>
              <a:graphicData uri="http://schemas.openxmlformats.org/drawingml/2006/picture">
                <pic:pic>
                  <pic:nvPicPr>
                    <pic:cNvPr id="0" name="pns4_2001.png" descr="Input form for FastAPI Demonstrator"/>
                    <pic:cNvPicPr/>
                  </pic:nvPicPr>
                  <pic:blipFill>
                    <a:blip r:embed="rId11"/>
                    <a:stretch>
                      <a:fillRect/>
                    </a:stretch>
                  </pic:blipFill>
                  <pic:spPr>
                    <a:xfrm>
                      <a:off x="0" y="0"/>
                      <a:ext cx="2120900" cy="1511300"/>
                    </a:xfrm>
                    <a:prstGeom prst="rect">
                      <a:avLst/>
                    </a:prstGeom>
                  </pic:spPr>
                </pic:pic>
              </a:graphicData>
            </a:graphic>
          </wp:inline>
        </w:drawing>
      </w:r>
      <w:r>
        <w:rPr>
          <w:lang w:bidi="en" w:val="en" w:eastAsia="en"/>
        </w:rPr>
        <w:t xml:space="preserve"> </w:t>
      </w:r>
      <w:bookmarkEnd w:id="4206"/>
    </w:p>
    <w:p>
      <w:pPr>
        <w:keepNext/>
        <w:pStyle w:val="Para 067"/>
        <w:keepLines w:val="on"/>
      </w:pPr>
      <w:r>
        <w:t xml:space="preserve">Figure 20-1. </w:t>
        <w:t>Input form for FastAPI Demonstrator</w:t>
      </w:r>
    </w:p>
    <w:p>
      <w:pPr>
        <w:pStyle w:val="Normal"/>
      </w:pPr>
      <w:r>
        <w:t xml:space="preserve">The </w:t>
      </w:r>
      <w:r>
        <w:rPr>
          <w:rStyle w:val="Text0"/>
        </w:rPr>
        <w:t>create_item_from_json</w:t>
      </w:r>
      <w:r>
        <w:t xml:space="preserve"> function, routed from the </w:t>
      </w:r>
      <w:r>
        <w:rPr>
          <w:rStyle w:val="Text4"/>
        </w:rPr>
        <w:t>/items/new/</w:t>
      </w:r>
      <w:r>
        <w:t xml:space="preserve"> endpoint, takes JSON input from a POST request. Its signature accepts a </w:t>
      </w:r>
      <w:r>
        <w:rPr>
          <w:rStyle w:val="Text0"/>
        </w:rPr>
        <w:t>pydantic</w:t>
      </w:r>
      <w:r>
        <w:t xml:space="preserve"> record, so in this case, FastAPI will use </w:t>
      </w:r>
      <w:r>
        <w:rPr>
          <w:rStyle w:val="Text0"/>
        </w:rPr>
        <w:t>pydantic</w:t>
      </w:r>
      <w:r>
        <w:t xml:space="preserve">’s validation to determine whether the input is acceptable. The function returns a Python dictionary, which FastAPI automatically converts to a JSON response. This can easily be tested with a simple client, shown in </w:t>
      </w:r>
      <w:hyperlink w:anchor="Example_20_5__FastAPI_test_clien">
        <w:r>
          <w:rPr>
            <w:rStyle w:val="Text1"/>
          </w:rPr>
          <w:t>Example 20-5</w:t>
        </w:r>
      </w:hyperlink>
      <w:r>
        <w:t>.</w:t>
      </w:r>
    </w:p>
    <w:p>
      <w:bookmarkStart w:id="4207" w:name="Example_20_5__FastAPI_test_clien"/>
      <w:pPr>
        <w:keepNext/>
        <w:pStyle w:val="Heading 4"/>
      </w:pPr>
      <w:r>
        <w:t xml:space="preserve">Example 20-5. </w:t>
        <w:t>FastAPI test client</w:t>
      </w:r>
      <w:bookmarkEnd w:id="4207"/>
    </w:p>
    <w:p>
      <w:pPr>
        <w:pStyle w:val="Para 020"/>
      </w:pPr>
      <w:r>
        <w:rPr>
          <w:rStyle w:val="Text23"/>
        </w:rPr>
        <w:t xml:space="preserve"/>
        <w:br w:clear="none"/>
      </w:r>
      <w:r>
        <w:rPr>
          <w:rStyle w:val="Text10"/>
        </w:rPr>
        <w:t xml:space="preserve">import</w:t>
        <w:br w:clear="none"/>
      </w:r>
      <w:r>
        <w:rPr>
          <w:rStyle w:val="Text6"/>
        </w:rPr>
        <w:t xml:space="preserve"> </w:t>
        <w:br w:clear="none"/>
      </w:r>
      <w:r>
        <w:rPr>
          <w:rStyle w:val="Text20"/>
        </w:rPr>
        <w:t xml:space="preserve">requests</w:t>
        <w:br w:clear="none"/>
      </w:r>
      <w:r>
        <w:rPr>
          <w:rStyle w:val="Text13"/>
        </w:rPr>
        <w:t xml:space="preserve">,</w:t>
        <w:br w:clear="none"/>
      </w:r>
      <w:r>
        <w:rPr>
          <w:rStyle w:val="Text6"/>
        </w:rPr>
        <w:t xml:space="preserve"> </w:t>
        <w:br w:clear="none"/>
      </w:r>
      <w:r>
        <w:rPr>
          <w:rStyle w:val="Text20"/>
        </w:rPr>
        <w:t xml:space="preserve">json</w:t>
        <w:br w:clear="none"/>
      </w:r>
      <w:r>
        <w:rPr>
          <w:rStyle w:val="Text6"/>
        </w:rPr>
        <w:t xml:space="preserve"/>
        <w:br w:clear="none"/>
        <w:t xml:space="preserve"/>
        <w:br w:clear="none"/>
      </w:r>
      <w:r>
        <w:rPr>
          <w:rStyle w:val="Text9"/>
        </w:rP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requests</w:t>
        <w:br w:clear="none"/>
      </w:r>
      <w:r>
        <w:rPr>
          <w:rStyle w:val="Text13"/>
        </w:rPr>
        <w:t xml:space="preserve">.</w:t>
        <w:br w:clear="none"/>
      </w:r>
      <w:r>
        <w:rPr>
          <w:rStyle w:val="Text9"/>
        </w:rPr>
        <w:t xml:space="preserve">post</w:t>
        <w:br w:clear="none"/>
      </w:r>
      <w:r>
        <w:rPr>
          <w:rStyle w:val="Text7"/>
        </w:rPr>
        <w:t xml:space="preserve">(</w:t>
        <w:br w:clear="none"/>
      </w:r>
      <w:r>
        <w:t xml:space="preserve">'</w:t>
        <w:br w:clear="none"/>
        <w:t xml:space="preserve">http://localhost:8000/items/new/</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json</w:t>
        <w:br w:clear="none"/>
      </w:r>
      <w:r>
        <w:rPr>
          <w:rStyle w:val="Text13"/>
        </w:rPr>
        <w:t xml:space="preserve">=</w:t>
        <w:br w:clear="none"/>
      </w:r>
      <w:r>
        <w:rPr>
          <w:rStyle w:val="Text7"/>
        </w:rPr>
        <w:t xml:space="preserve">{</w:t>
        <w:br w:clear="none"/>
      </w:r>
      <w:r>
        <w:t xml:space="preserve">"</w:t>
        <w:br w:clear="none"/>
        <w:t xml:space="preserve">name</w:t>
        <w:br w:clear="none"/>
        <w:t xml:space="preserve">"</w:t>
        <w:br w:clear="none"/>
      </w:r>
      <w:r>
        <w:rPr>
          <w:rStyle w:val="Text7"/>
        </w:rPr>
        <w:t xml:space="preserve">:</w:t>
        <w:br w:clear="none"/>
      </w:r>
      <w:r>
        <w:rPr>
          <w:rStyle w:val="Text6"/>
        </w:rPr>
        <w:t xml:space="preserve"> </w:t>
        <w:br w:clear="none"/>
      </w:r>
      <w:r>
        <w:t xml:space="preserve">"</w:t>
        <w:br w:clear="none"/>
        <w:t xml:space="preserve">Item1</w:t>
        <w:br w:clear="none"/>
        <w:t xml:space="preserve">"</w:t>
        <w:br w:clear="none"/>
      </w:r>
      <w:r>
        <w:rPr>
          <w:rStyle w:val="Text7"/>
        </w:rPr>
        <w:t xml:space="preserve">,</w:t>
        <w:br w:clear="none"/>
      </w:r>
      <w:r>
        <w:rPr>
          <w:rStyle w:val="Text6"/>
        </w:rPr>
        <w:t xml:space="preserve"/>
        <w:br w:clear="none"/>
        <w:t xml:space="preserve">                             </w:t>
        <w:br w:clear="none"/>
      </w:r>
      <w:r>
        <w:t xml:space="preserve">"</w:t>
        <w:br w:clear="none"/>
        <w:t xml:space="preserve">price</w:t>
        <w:br w:clear="none"/>
        <w:t xml:space="preserve">"</w:t>
        <w:br w:clear="none"/>
      </w:r>
      <w:r>
        <w:rPr>
          <w:rStyle w:val="Text7"/>
        </w:rPr>
        <w:t xml:space="preserve">:</w:t>
        <w:br w:clear="none"/>
      </w:r>
      <w:r>
        <w:rPr>
          <w:rStyle w:val="Text6"/>
        </w:rPr>
        <w:t xml:space="preserve"> </w:t>
        <w:br w:clear="none"/>
      </w:r>
      <w:r>
        <w:rPr>
          <w:rStyle w:val="Text27"/>
        </w:rPr>
        <w:t xml:space="preserve">12.34</w:t>
        <w:br w:clear="none"/>
      </w:r>
      <w:r>
        <w:rPr>
          <w:rStyle w:val="Text7"/>
        </w:rPr>
        <w:t xml:space="preserve">,</w:t>
        <w:br w:clear="none"/>
      </w:r>
      <w:r>
        <w:rPr>
          <w:rStyle w:val="Text6"/>
        </w:rPr>
        <w:t xml:space="preserve"/>
        <w:br w:clear="none"/>
        <w:t xml:space="preserve">                             </w:t>
        <w:br w:clear="none"/>
      </w:r>
      <w:r>
        <w:t xml:space="preserve">"</w:t>
        <w:br w:clear="none"/>
        <w:t xml:space="preserve">description</w:t>
        <w:br w:clear="none"/>
        <w:t xml:space="preserve">"</w:t>
        <w:br w:clear="none"/>
      </w:r>
      <w:r>
        <w:rPr>
          <w:rStyle w:val="Text7"/>
        </w:rPr>
        <w:t xml:space="preserve">:</w:t>
        <w:br w:clear="none"/>
      </w:r>
      <w:r>
        <w:rPr>
          <w:rStyle w:val="Text6"/>
        </w:rPr>
        <w:t xml:space="preserve"> </w:t>
        <w:br w:clear="none"/>
      </w:r>
      <w:r>
        <w:t xml:space="preserve">"</w:t>
        <w:br w:clear="none"/>
        <w:t xml:space="preserve">Rusty old bucket</w:t>
        <w:br w:clear="none"/>
        <w:t xml:space="preserve">"</w:t>
        <w:br w:clear="none"/>
      </w:r>
      <w:r>
        <w:rPr>
          <w:rStyle w:val="Text7"/>
        </w:rPr>
        <w:t xml:space="preserve">}</w:t>
        <w:br w:clear="none"/>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9"/>
        </w:rPr>
        <w:t xml:space="preserve">result</w:t>
        <w:br w:clear="none"/>
      </w:r>
      <w:r>
        <w:rPr>
          <w:rStyle w:val="Text13"/>
        </w:rPr>
        <w:t xml:space="preserve">.</w:t>
        <w:br w:clear="none"/>
      </w:r>
      <w:r>
        <w:rPr>
          <w:rStyle w:val="Text9"/>
        </w:rPr>
        <w:t xml:space="preserve">status_code</w:t>
        <w:br w:clear="none"/>
      </w:r>
      <w:r>
        <w:rPr>
          <w:rStyle w:val="Text7"/>
        </w:rPr>
        <w:t xml:space="preserve">,</w:t>
        <w:br w:clear="none"/>
      </w:r>
      <w:r>
        <w:rPr>
          <w:rStyle w:val="Text6"/>
        </w:rPr>
        <w:t xml:space="preserve"> </w:t>
        <w:br w:clear="none"/>
      </w:r>
      <w:r>
        <w:rPr>
          <w:rStyle w:val="Text9"/>
        </w:rPr>
        <w:t xml:space="preserve">result</w:t>
        <w:br w:clear="none"/>
      </w:r>
      <w:r>
        <w:rPr>
          <w:rStyle w:val="Text13"/>
        </w:rPr>
        <w:t xml:space="preserve">.</w:t>
        <w:br w:clear="none"/>
      </w:r>
      <w:r>
        <w:rPr>
          <w:rStyle w:val="Text9"/>
        </w:rPr>
        <w:t xml:space="preserve">json</w:t>
        <w:br w:clear="none"/>
      </w:r>
      <w:r>
        <w:rPr>
          <w:rStyle w:val="Text7"/>
        </w:rPr>
        <w:t xml:space="preserve">(</w:t>
        <w:br w:clear="none"/>
        <w:t xml:space="preserve">)</w:t>
        <w:br w:clear="none"/>
        <w:t xml:space="preserve">)</w:t>
        <w:br w:clear="none"/>
      </w:r>
      <w:r>
        <w:rPr>
          <w:rStyle w:val="Text6"/>
        </w:rPr>
        <w:t xml:space="preserve"/>
        <w:br w:clear="none"/>
      </w:r>
      <w:r>
        <w:rPr>
          <w:rStyle w:val="Text9"/>
        </w:rP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requests</w:t>
        <w:br w:clear="none"/>
      </w:r>
      <w:r>
        <w:rPr>
          <w:rStyle w:val="Text13"/>
        </w:rPr>
        <w:t xml:space="preserve">.</w:t>
        <w:br w:clear="none"/>
      </w:r>
      <w:r>
        <w:rPr>
          <w:rStyle w:val="Text9"/>
        </w:rPr>
        <w:t xml:space="preserve">get</w:t>
        <w:br w:clear="none"/>
      </w:r>
      <w:r>
        <w:rPr>
          <w:rStyle w:val="Text7"/>
        </w:rPr>
        <w:t xml:space="preserve">(</w:t>
        <w:br w:clear="none"/>
      </w:r>
      <w:r>
        <w:t xml:space="preserve">'</w:t>
        <w:br w:clear="none"/>
        <w:t xml:space="preserve">http://localhost:8000/items/Item1/</w:t>
        <w:br w:clear="none"/>
        <w:t xml:space="preserve">'</w:t>
        <w:br w:clear="none"/>
      </w:r>
      <w:r>
        <w:rPr>
          <w:rStyle w:val="Text7"/>
        </w:rPr>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9"/>
        </w:rPr>
        <w:t xml:space="preserve">result</w:t>
        <w:br w:clear="none"/>
      </w:r>
      <w:r>
        <w:rPr>
          <w:rStyle w:val="Text13"/>
        </w:rPr>
        <w:t xml:space="preserve">.</w:t>
        <w:br w:clear="none"/>
      </w:r>
      <w:r>
        <w:rPr>
          <w:rStyle w:val="Text9"/>
        </w:rPr>
        <w:t xml:space="preserve">status_code</w:t>
        <w:br w:clear="none"/>
      </w:r>
      <w:r>
        <w:rPr>
          <w:rStyle w:val="Text7"/>
        </w:rPr>
        <w:t xml:space="preserve">,</w:t>
        <w:br w:clear="none"/>
      </w:r>
      <w:r>
        <w:rPr>
          <w:rStyle w:val="Text6"/>
        </w:rPr>
        <w:t xml:space="preserve"> </w:t>
        <w:br w:clear="none"/>
      </w:r>
      <w:r>
        <w:rPr>
          <w:rStyle w:val="Text9"/>
        </w:rPr>
        <w:t xml:space="preserve">result</w:t>
        <w:br w:clear="none"/>
      </w:r>
      <w:r>
        <w:rPr>
          <w:rStyle w:val="Text13"/>
        </w:rPr>
        <w:t xml:space="preserve">.</w:t>
        <w:br w:clear="none"/>
      </w:r>
      <w:r>
        <w:rPr>
          <w:rStyle w:val="Text9"/>
        </w:rPr>
        <w:t xml:space="preserve">json</w:t>
        <w:br w:clear="none"/>
      </w:r>
      <w:r>
        <w:rPr>
          <w:rStyle w:val="Text7"/>
        </w:rPr>
        <w:t xml:space="preserve">(</w:t>
        <w:br w:clear="none"/>
        <w:t xml:space="preserve">)</w:t>
        <w:br w:clear="none"/>
        <w:t xml:space="preserve">)</w:t>
        <w:br w:clear="none"/>
      </w:r>
      <w:r>
        <w:rPr>
          <w:rStyle w:val="Text6"/>
        </w:rPr>
        <w:t xml:space="preserve"/>
        <w:br w:clear="none"/>
      </w:r>
      <w:r>
        <w:rPr>
          <w:rStyle w:val="Text9"/>
        </w:rPr>
        <w:t xml:space="preserve">result</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requests</w:t>
        <w:br w:clear="none"/>
      </w:r>
      <w:r>
        <w:rPr>
          <w:rStyle w:val="Text13"/>
        </w:rPr>
        <w:t xml:space="preserve">.</w:t>
        <w:br w:clear="none"/>
      </w:r>
      <w:r>
        <w:rPr>
          <w:rStyle w:val="Text9"/>
        </w:rPr>
        <w:t xml:space="preserve">post</w:t>
        <w:br w:clear="none"/>
      </w:r>
      <w:r>
        <w:rPr>
          <w:rStyle w:val="Text7"/>
        </w:rPr>
        <w:t xml:space="preserve">(</w:t>
        <w:br w:clear="none"/>
      </w:r>
      <w:r>
        <w:t xml:space="preserve">'</w:t>
        <w:br w:clear="none"/>
        <w:t xml:space="preserve">http://localhost:8000/items/new/</w:t>
        <w:br w:clear="none"/>
        <w:t xml:space="preserve">'</w:t>
        <w:br w:clear="none"/>
      </w:r>
      <w:r>
        <w:rPr>
          <w:rStyle w:val="Text7"/>
        </w:rPr>
        <w:t xml:space="preserve">,</w:t>
        <w:br w:clear="none"/>
      </w:r>
      <w:r>
        <w:rPr>
          <w:rStyle w:val="Text6"/>
        </w:rPr>
        <w:t xml:space="preserve"/>
        <w:br w:clear="none"/>
        <w:t xml:space="preserve">                       </w:t>
        <w:br w:clear="none"/>
      </w:r>
      <w:r>
        <w:rPr>
          <w:rStyle w:val="Text9"/>
        </w:rPr>
        <w:t xml:space="preserve">json</w:t>
        <w:br w:clear="none"/>
      </w:r>
      <w:r>
        <w:rPr>
          <w:rStyle w:val="Text13"/>
        </w:rPr>
        <w:t xml:space="preserve">=</w:t>
        <w:br w:clear="none"/>
      </w:r>
      <w:r>
        <w:rPr>
          <w:rStyle w:val="Text7"/>
        </w:rPr>
        <w:t xml:space="preserve">{</w:t>
        <w:br w:clear="none"/>
      </w:r>
      <w:r>
        <w:t xml:space="preserve">"</w:t>
        <w:br w:clear="none"/>
        <w:t xml:space="preserve">name</w:t>
        <w:br w:clear="none"/>
        <w:t xml:space="preserve">"</w:t>
        <w:br w:clear="none"/>
      </w:r>
      <w:r>
        <w:rPr>
          <w:rStyle w:val="Text7"/>
        </w:rPr>
        <w:t xml:space="preserve">:</w:t>
        <w:br w:clear="none"/>
      </w:r>
      <w:r>
        <w:rPr>
          <w:rStyle w:val="Text6"/>
        </w:rPr>
        <w:t xml:space="preserve"> </w:t>
        <w:br w:clear="none"/>
      </w:r>
      <w:r>
        <w:t xml:space="preserve">"</w:t>
        <w:br w:clear="none"/>
        <w:t xml:space="preserve">Item2</w:t>
        <w:br w:clear="none"/>
        <w:t xml:space="preserve">"</w:t>
        <w:br w:clear="none"/>
      </w:r>
      <w:r>
        <w:rPr>
          <w:rStyle w:val="Text7"/>
        </w:rPr>
        <w:t xml:space="preserve">,</w:t>
        <w:br w:clear="none"/>
      </w:r>
      <w:r>
        <w:rPr>
          <w:rStyle w:val="Text6"/>
        </w:rPr>
        <w:t xml:space="preserve"/>
        <w:br w:clear="none"/>
        <w:t xml:space="preserve">                             </w:t>
        <w:br w:clear="none"/>
      </w:r>
      <w:r>
        <w:t xml:space="preserve">"</w:t>
        <w:br w:clear="none"/>
        <w:t xml:space="preserve">price</w:t>
        <w:br w:clear="none"/>
        <w:t xml:space="preserve">"</w:t>
        <w:br w:clear="none"/>
      </w:r>
      <w:r>
        <w:rPr>
          <w:rStyle w:val="Text7"/>
        </w:rPr>
        <w:t xml:space="preserve">:</w:t>
        <w:br w:clear="none"/>
      </w:r>
      <w:r>
        <w:rPr>
          <w:rStyle w:val="Text6"/>
        </w:rPr>
        <w:t xml:space="preserve"> </w:t>
        <w:br w:clear="none"/>
      </w:r>
      <w:r>
        <w:t xml:space="preserve">"</w:t>
        <w:br w:clear="none"/>
        <w:t xml:space="preserve">Not a number</w:t>
        <w:br w:clear="none"/>
        <w:t xml:space="preserve">"</w:t>
        <w:br w:clear="none"/>
      </w:r>
      <w:r>
        <w:rPr>
          <w:rStyle w:val="Text7"/>
        </w:rPr>
        <w:t xml:space="preserve">}</w:t>
        <w:br w:clear="none"/>
        <w:t xml:space="preserve">)</w:t>
        <w:br w:clear="none"/>
      </w:r>
      <w:r>
        <w:rPr>
          <w:rStyle w:val="Text6"/>
        </w:rPr>
        <w:t xml:space="preserve"/>
        <w:br w:clear="none"/>
      </w:r>
      <w:r>
        <w:rPr>
          <w:rStyle w:val="Text16"/>
        </w:rPr>
        <w:t xml:space="preserve">print</w:t>
        <w:br w:clear="none"/>
      </w:r>
      <w:r>
        <w:rPr>
          <w:rStyle w:val="Text7"/>
        </w:rPr>
        <w:t xml:space="preserve">(</w:t>
        <w:br w:clear="none"/>
      </w:r>
      <w:r>
        <w:rPr>
          <w:rStyle w:val="Text9"/>
        </w:rPr>
        <w:t xml:space="preserve">result</w:t>
        <w:br w:clear="none"/>
      </w:r>
      <w:r>
        <w:rPr>
          <w:rStyle w:val="Text13"/>
        </w:rPr>
        <w:t xml:space="preserve">.</w:t>
        <w:br w:clear="none"/>
      </w:r>
      <w:r>
        <w:rPr>
          <w:rStyle w:val="Text9"/>
        </w:rPr>
        <w:t xml:space="preserve">status_code</w:t>
        <w:br w:clear="none"/>
      </w:r>
      <w:r>
        <w:rPr>
          <w:rStyle w:val="Text7"/>
        </w:rPr>
        <w:t xml:space="preserve">,</w:t>
        <w:br w:clear="none"/>
      </w:r>
      <w:r>
        <w:rPr>
          <w:rStyle w:val="Text6"/>
        </w:rPr>
        <w:t xml:space="preserve"> </w:t>
        <w:br w:clear="none"/>
      </w:r>
      <w:r>
        <w:rPr>
          <w:rStyle w:val="Text9"/>
        </w:rPr>
        <w:t xml:space="preserve">result</w:t>
        <w:br w:clear="none"/>
      </w:r>
      <w:r>
        <w:rPr>
          <w:rStyle w:val="Text13"/>
        </w:rPr>
        <w:t xml:space="preserve">.</w:t>
        <w:br w:clear="none"/>
      </w:r>
      <w:r>
        <w:rPr>
          <w:rStyle w:val="Text9"/>
        </w:rPr>
        <w:t xml:space="preserve">json</w:t>
        <w:br w:clear="none"/>
      </w:r>
      <w:r>
        <w:rPr>
          <w:rStyle w:val="Text7"/>
        </w:rPr>
        <w:t xml:space="preserve">(</w:t>
        <w:br w:clear="none"/>
        <w:t xml:space="preserve">)</w:t>
        <w:br w:clear="none"/>
        <w:t xml:space="preserve">)</w:t>
        <w:br w:clear="none"/>
      </w:r>
    </w:p>
    <w:p>
      <w:pPr>
        <w:pStyle w:val="Normal"/>
      </w:pPr>
      <w:r>
        <w:t>The results of running this program are as follows:</w:t>
      </w:r>
    </w:p>
    <w:p>
      <w:pPr>
        <w:pStyle w:val="Para 008"/>
      </w:pPr>
      <w:r>
        <w:rPr>
          <w:rStyle w:val="Text48"/>
        </w:rPr>
        <w:t xml:space="preserve"/>
        <w:br w:clear="none"/>
      </w:r>
      <w:r>
        <w:t xml:space="preserve">200 {'name': 'Item1', 'price': 12.34, 'description': 'Rusty old</w:t>
        <w:br w:clear="none"/>
      </w:r>
      <w:r>
        <w:rPr>
          <w:rStyle w:val="Text48"/>
        </w:rPr>
        <w:t xml:space="preserve"/>
        <w:br w:clear="none"/>
      </w:r>
      <w:r>
        <w:t xml:space="preserve">bucket'&gt; 'tax': None}</w:t>
        <w:br w:clear="none"/>
      </w:r>
      <w:r>
        <w:rPr>
          <w:rStyle w:val="Text48"/>
        </w:rPr>
        <w:t xml:space="preserve"/>
        <w:br w:clear="none"/>
      </w:r>
      <w:r>
        <w:t xml:space="preserve">200 {'_id': 'Item1', 'price': 12.34, 'description': 'Rusty old bucket'}</w:t>
        <w:br w:clear="none"/>
      </w:r>
      <w:r>
        <w:rPr>
          <w:rStyle w:val="Text48"/>
        </w:rPr>
        <w:t xml:space="preserve"/>
        <w:br w:clear="none"/>
      </w:r>
      <w:r>
        <w:t xml:space="preserve">422 {'detail': [{'loc': ['body', 'price'], 'msg': 'value is not a valid</w:t>
        <w:br w:clear="none"/>
      </w:r>
      <w:r>
        <w:rPr>
          <w:rStyle w:val="Text48"/>
        </w:rPr>
        <w:t xml:space="preserve"/>
        <w:br w:clear="none"/>
      </w:r>
      <w:r>
        <w:t xml:space="preserve">decimal', 'type': 'type_error.decimal'}]}</w:t>
        <w:br w:clear="none"/>
      </w:r>
    </w:p>
    <w:p>
      <w:pPr>
        <w:pStyle w:val="Normal"/>
      </w:pPr>
      <w:r>
        <w:t xml:space="preserve">The first POST request to </w:t>
      </w:r>
      <w:r>
        <w:rPr>
          <w:rStyle w:val="Text4"/>
        </w:rPr>
        <w:t>/items/new/</w:t>
      </w:r>
      <w:r>
        <w:t xml:space="preserve"> sees the server returning the same data it was presented with, confirming that it has been saved in the database. Note that the </w:t>
      </w:r>
      <w:r>
        <w:rPr>
          <w:rStyle w:val="Text0"/>
        </w:rPr>
        <w:t>tax</w:t>
      </w:r>
      <w:r>
        <w:t xml:space="preserve"> field was not supplied, so the </w:t>
      </w:r>
      <w:r>
        <w:rPr>
          <w:rStyle w:val="Text0"/>
        </w:rPr>
        <w:t>pydantic</w:t>
      </w:r>
      <w:r>
        <w:t xml:space="preserve"> default value is used here. The second line shows the output from retrieving the newly stored item (</w:t>
      </w:r>
      <w:r>
        <w:rPr>
          <w:rStyle w:val="Text0"/>
        </w:rPr>
        <w:t>mongoengine</w:t>
      </w:r>
      <w:r>
        <w:t xml:space="preserve"> identifies the primary key using the name </w:t>
      </w:r>
      <w:r>
        <w:rPr>
          <w:rStyle w:val="Text0"/>
        </w:rPr>
        <w:t>_id</w:t>
      </w:r>
      <w:r>
        <w:t xml:space="preserve">). The third line shows an error message, generated by the attempt to store a nonnumeric value in the </w:t>
      </w:r>
      <w:r>
        <w:rPr>
          <w:rStyle w:val="Text0"/>
        </w:rPr>
        <w:t>price</w:t>
      </w:r>
      <w:r>
        <w:t xml:space="preserve"> field.</w:t>
      </w:r>
    </w:p>
    <w:p>
      <w:pPr>
        <w:pStyle w:val="Normal"/>
      </w:pPr>
      <w:r>
        <w:t xml:space="preserve">Finally, the </w:t>
      </w:r>
      <w:r>
        <w:rPr>
          <w:rStyle w:val="Text0"/>
        </w:rPr>
        <w:t>retrieve_item</w:t>
      </w:r>
      <w:r>
        <w:t xml:space="preserve"> view function, routed from URLs such as </w:t>
      </w:r>
      <w:r>
        <w:rPr>
          <w:rStyle w:val="Text4"/>
        </w:rPr>
        <w:t>/items/Item1/</w:t>
      </w:r>
      <w:r>
        <w:t xml:space="preserve">, extracts the key as the second path element and returns the JSON representation of the given item. It looks up the given key in </w:t>
      </w:r>
      <w:r>
        <w:rPr>
          <w:rStyle w:val="Text0"/>
        </w:rPr>
        <w:t>mongoengine</w:t>
      </w:r>
      <w:r>
        <w:t xml:space="preserve"> and converts the returned record to a dictionary that is rendered as JSON by FastAPI.</w:t>
      </w:r>
      <w:r>
        <w:rPr>
          <w:rStyle w:val="Text111"/>
        </w:rPr>
        <w:bookmarkStart w:id="4208" w:name="idm45965173352112"/>
        <w:t/>
        <w:bookmarkEnd w:id="4208"/>
        <w:bookmarkStart w:id="4209" w:name="idm45965173350736"/>
        <w:t/>
        <w:bookmarkEnd w:id="4209"/>
        <w:bookmarkStart w:id="4210" w:name="idm45965173322032"/>
        <w:t/>
        <w:bookmarkEnd w:id="4210"/>
      </w:r>
    </w:p>
    <w:p>
      <w:bookmarkStart w:id="4211" w:name="1_One_historical_legacy_is_that"/>
      <w:pPr>
        <w:pStyle w:val="Para 035"/>
      </w:pPr>
      <w:hyperlink w:anchor="1_19">
        <w:r>
          <w:rPr>
            <w:rStyle w:val="Text1"/>
          </w:rPr>
          <w:t>1</w:t>
        </w:r>
      </w:hyperlink>
      <w:r>
        <w:t xml:space="preserve"> One historical legacy is that, in CGI, a server provided the CGI script with information about the HTTP request to be served mostly via the operating system’s environment (in Python, that’s </w:t>
      </w:r>
      <w:r>
        <w:rPr>
          <w:rStyle w:val="Text25"/>
        </w:rPr>
        <w:t>os.environ</w:t>
      </w:r>
      <w:r>
        <w:t>); to this day, interfaces between web servers and application frameworks rely on “an environment” that’s essentially a dictionary and generalizes and speeds up the same fundamental idea.</w:t>
      </w:r>
      <w:bookmarkEnd w:id="4211"/>
    </w:p>
    <w:p>
      <w:bookmarkStart w:id="4212" w:name="2_More_advanced_versions_of_HTTP"/>
      <w:pPr>
        <w:pStyle w:val="Para 015"/>
      </w:pPr>
      <w:hyperlink w:anchor="2_17">
        <w:r>
          <w:rPr>
            <w:rStyle w:val="Text1"/>
          </w:rPr>
          <w:t>2</w:t>
        </w:r>
      </w:hyperlink>
      <w:r>
        <w:t xml:space="preserve"> More </w:t>
      </w:r>
      <w:hyperlink r:id="rId619">
        <w:r>
          <w:rPr>
            <w:rStyle w:val="Text1"/>
          </w:rPr>
          <w:t>advanced versions of HTTP exist</w:t>
        </w:r>
      </w:hyperlink>
      <w:r>
        <w:t>, but we do not cover them in this book.</w:t>
      </w:r>
      <w:bookmarkEnd w:id="4212"/>
    </w:p>
    <w:p>
      <w:bookmarkStart w:id="4213" w:name="3_Please_don_t__As_Titus_Brown_o"/>
      <w:pPr>
        <w:pStyle w:val="Para 015"/>
      </w:pPr>
      <w:hyperlink w:anchor="3_17">
        <w:r>
          <w:rPr>
            <w:rStyle w:val="Text1"/>
          </w:rPr>
          <w:t>3</w:t>
        </w:r>
      </w:hyperlink>
      <w:r>
        <w:t xml:space="preserve"> Please don’t. As Titus Brown once pointed out, Python is (in)famous for having more web frameworks than keywords. One of this book’s authors once showed Guido how to easily fix that problem when he was first designing Python 3—just add a few hundred new keywords—but, for some reason, Guido was not very receptive to this suggestion.</w:t>
      </w:r>
      <w:bookmarkEnd w:id="4213"/>
    </w:p>
    <w:p>
      <w:bookmarkStart w:id="4214" w:name="4_Installing_uWSGI_on_Windows_cu"/>
      <w:pPr>
        <w:pStyle w:val="Para 015"/>
      </w:pPr>
      <w:hyperlink w:anchor="4_11">
        <w:r>
          <w:rPr>
            <w:rStyle w:val="Text1"/>
          </w:rPr>
          <w:t>4</w:t>
        </w:r>
      </w:hyperlink>
      <w:r>
        <w:t xml:space="preserve"> Installing uWSGI on Windows currently requires compiling it with Cygwin.</w:t>
      </w:r>
      <w:bookmarkEnd w:id="4214"/>
    </w:p>
    <w:p>
      <w:bookmarkStart w:id="4215" w:name="5_Since_Python_has_fewer_than_40"/>
      <w:pPr>
        <w:pStyle w:val="Para 015"/>
      </w:pPr>
      <w:hyperlink w:anchor="5_9">
        <w:r>
          <w:rPr>
            <w:rStyle w:val="Text1"/>
          </w:rPr>
          <w:t>5</w:t>
        </w:r>
      </w:hyperlink>
      <w:r>
        <w:t xml:space="preserve"> Since Python has fewer than 40 keywords, you can see why Titus Brown once pointed out that Python has more web frameworks than keywords.</w:t>
      </w:r>
      <w:bookmarkEnd w:id="4215"/>
    </w:p>
    <w:p>
      <w:bookmarkStart w:id="4216" w:name="Chapter_21__Email__MIME__and_Oth_1"/>
      <w:bookmarkStart w:id="4217" w:name="Top_of_ch21_html"/>
      <w:bookmarkStart w:id="4218" w:name="Chapter_21__Email__MIME__and_Oth"/>
      <w:bookmarkStart w:id="4219" w:name="Chapter_21__Email__MIME__and_Oth_2"/>
      <w:pPr>
        <w:keepNext/>
        <w:pStyle w:val="Heading 1"/>
        <w:pageBreakBefore w:val="on"/>
      </w:pPr>
      <w:r>
        <w:t xml:space="preserve">Chapter 21. </w:t>
        <w:t xml:space="preserve">Email, MIME, and Other </w:t>
        <w:t>Network Encodings</w:t>
      </w:r>
      <w:bookmarkEnd w:id="4216"/>
      <w:bookmarkEnd w:id="4217"/>
      <w:bookmarkEnd w:id="4218"/>
      <w:bookmarkEnd w:id="4219"/>
    </w:p>
    <w:p>
      <w:pPr>
        <w:pStyle w:val="Normal"/>
      </w:pPr>
      <w:r>
        <w:t xml:space="preserve">What travels on a network are streams of bytes, also known in networking jargon as </w:t>
      </w:r>
      <w:r>
        <w:rPr>
          <w:rStyle w:val="Text4"/>
        </w:rPr>
        <w:t>octets.</w:t>
      </w:r>
      <w:r>
        <w:t xml:space="preserve"> Bytes can, of course, represent text, via any of several possible encodings. However, what you want to send over the network often has more structure than just a stream of text or bytes. The</w:t>
      </w:r>
      <w:r>
        <w:rPr>
          <w:rStyle w:val="Text111"/>
        </w:rPr>
        <w:bookmarkStart w:id="4220" w:name="idm45965173318208"/>
        <w:t/>
        <w:bookmarkEnd w:id="4220"/>
        <w:bookmarkStart w:id="4221" w:name="idm45965173317232"/>
        <w:t/>
        <w:bookmarkEnd w:id="4221"/>
      </w:r>
      <w:r>
        <w:t xml:space="preserve"> Multipurpose Internet Mail Extensions (</w:t>
      </w:r>
      <w:hyperlink r:id="rId620">
        <w:r>
          <w:rPr>
            <w:rStyle w:val="Text1"/>
          </w:rPr>
          <w:t>MIME</w:t>
        </w:r>
      </w:hyperlink>
      <w:r>
        <w:t xml:space="preserve">) and other encoding standards bridge the gap, by specifying how to represent structured data as bytes or text. While often originally designed for email, such encodings are also used on the web and in many other networked systems. Python supports such encodings through various library modules, such as </w:t>
      </w:r>
      <w:r>
        <w:rPr>
          <w:rStyle w:val="Text0"/>
        </w:rPr>
        <w:t>base64</w:t>
      </w:r>
      <w:r>
        <w:t xml:space="preserve">, </w:t>
      </w:r>
      <w:r>
        <w:rPr>
          <w:rStyle w:val="Text0"/>
        </w:rPr>
        <w:t>quopri</w:t>
      </w:r>
      <w:r>
        <w:t xml:space="preserve">, and </w:t>
      </w:r>
      <w:r>
        <w:rPr>
          <w:rStyle w:val="Text0"/>
        </w:rPr>
        <w:t>uu</w:t>
      </w:r>
      <w:r>
        <w:t xml:space="preserve"> (covered in </w:t>
      </w:r>
      <w:hyperlink w:anchor="Encoding_Binary_Data_as_ASCII_Te">
        <w:r>
          <w:rPr>
            <w:rStyle w:val="Text1"/>
          </w:rPr>
          <w:t>“Encoding Binary Data as ASCII Text”</w:t>
        </w:r>
      </w:hyperlink>
      <w:r>
        <w:t xml:space="preserve">), and the modules of the </w:t>
      </w:r>
      <w:r>
        <w:rPr>
          <w:rStyle w:val="Text0"/>
        </w:rPr>
        <w:t>email</w:t>
      </w:r>
      <w:r>
        <w:t xml:space="preserve"> package (covered in the following section). These encodings allow us, for example, to seamlessly create messages in one encoding containing attachments in another, avoiding many awkward tasks along the way.</w:t>
      </w:r>
    </w:p>
    <w:p>
      <w:bookmarkStart w:id="4222" w:name="MIME_and_Email_Format_Handling"/>
      <w:pPr>
        <w:keepNext/>
        <w:pStyle w:val="Heading 1"/>
      </w:pPr>
      <w:r>
        <w:t>MIME and Email Format Handling</w:t>
      </w:r>
      <w:bookmarkEnd w:id="4222"/>
    </w:p>
    <w:p>
      <w:pPr>
        <w:pStyle w:val="Normal"/>
      </w:pPr>
      <w:r>
        <w:t>The</w:t>
      </w:r>
      <w:r>
        <w:rPr>
          <w:rStyle w:val="Text111"/>
        </w:rPr>
        <w:bookmarkStart w:id="4223" w:name="NEmime21"/>
        <w:t/>
        <w:bookmarkEnd w:id="4223"/>
        <w:bookmarkStart w:id="4224" w:name="idm45965173308496"/>
        <w:t/>
        <w:bookmarkEnd w:id="4224"/>
      </w:r>
      <w:r>
        <w:t xml:space="preserve"> </w:t>
      </w:r>
      <w:r>
        <w:rPr>
          <w:rStyle w:val="Text0"/>
        </w:rPr>
        <w:t>email</w:t>
      </w:r>
      <w:r>
        <w:t xml:space="preserve"> package handles parsing, generation, and manipulation of MIME files such as email messages, Network News Transfer Protocol (NNTP)</w:t>
      </w:r>
      <w:r>
        <w:rPr>
          <w:rStyle w:val="Text111"/>
        </w:rPr>
        <w:bookmarkStart w:id="4225" w:name="idm45965173306288"/>
        <w:t/>
        <w:bookmarkEnd w:id="4225"/>
        <w:bookmarkStart w:id="4226" w:name="idm45965173305312"/>
        <w:t/>
        <w:bookmarkEnd w:id="4226"/>
      </w:r>
      <w:r>
        <w:t xml:space="preserve"> posts, HTTP interactions, and so on. The Python standard library also contains other modules that handle some parts of these jobs. However, the </w:t>
      </w:r>
      <w:r>
        <w:rPr>
          <w:rStyle w:val="Text0"/>
        </w:rPr>
        <w:t>email</w:t>
      </w:r>
      <w:r>
        <w:t xml:space="preserve"> package offers a complete and systematic approach to these important tasks. We suggest you use </w:t>
      </w:r>
      <w:r>
        <w:rPr>
          <w:rStyle w:val="Text0"/>
        </w:rPr>
        <w:t>email</w:t>
      </w:r>
      <w:r>
        <w:t xml:space="preserve">, not the older modules that partially overlap with parts of </w:t>
      </w:r>
      <w:r>
        <w:rPr>
          <w:rStyle w:val="Text0"/>
        </w:rPr>
        <w:t>email</w:t>
      </w:r>
      <w:r>
        <w:t xml:space="preserve">’s functionality. </w:t>
      </w:r>
      <w:r>
        <w:rPr>
          <w:rStyle w:val="Text0"/>
        </w:rPr>
        <w:t>email</w:t>
      </w:r>
      <w:r>
        <w:t xml:space="preserve">, despite its name, need have nothing to do with receiving or sending email; for such tasks, see the modules </w:t>
      </w:r>
      <w:r>
        <w:rPr>
          <w:rStyle w:val="Text0"/>
        </w:rPr>
        <w:t>imaplib</w:t>
      </w:r>
      <w:r>
        <w:t xml:space="preserve">, </w:t>
      </w:r>
      <w:r>
        <w:rPr>
          <w:rStyle w:val="Text0"/>
        </w:rPr>
        <w:t>poplib</w:t>
      </w:r>
      <w:r>
        <w:t xml:space="preserve">, and </w:t>
      </w:r>
      <w:r>
        <w:rPr>
          <w:rStyle w:val="Text0"/>
        </w:rPr>
        <w:t>smtplib</w:t>
      </w:r>
      <w:r>
        <w:t xml:space="preserve">, covered in </w:t>
      </w:r>
      <w:hyperlink w:anchor="Email_Protocols__Most_email_toda">
        <w:r>
          <w:rPr>
            <w:rStyle w:val="Text1"/>
          </w:rPr>
          <w:t>“Email Protocols”</w:t>
        </w:r>
      </w:hyperlink>
      <w:r>
        <w:t xml:space="preserve">. Rather, </w:t>
      </w:r>
      <w:r>
        <w:rPr>
          <w:rStyle w:val="Text0"/>
        </w:rPr>
        <w:t>email</w:t>
      </w:r>
      <w:r>
        <w:t xml:space="preserve"> deals with handling MIME messages (which may or may not be mail) after you receive them, or constructing them properly before you send them.</w:t>
      </w:r>
    </w:p>
    <w:p>
      <w:bookmarkStart w:id="4227" w:name="Functions_in_the_email_Package"/>
      <w:pPr>
        <w:keepNext/>
        <w:pStyle w:val="Heading 2"/>
      </w:pPr>
      <w:r>
        <w:t>Functions in the email Package</w:t>
      </w:r>
      <w:bookmarkEnd w:id="4227"/>
    </w:p>
    <w:p>
      <w:pPr>
        <w:pStyle w:val="Normal"/>
      </w:pPr>
      <w:r>
        <w:t>The</w:t>
      </w:r>
      <w:r>
        <w:rPr>
          <w:rStyle w:val="Text111"/>
        </w:rPr>
        <w:bookmarkStart w:id="4228" w:name="idm45965173296320"/>
        <w:t/>
        <w:bookmarkEnd w:id="4228"/>
        <w:bookmarkStart w:id="4229" w:name="idm45965173295104"/>
        <w:t/>
        <w:bookmarkEnd w:id="4229"/>
      </w:r>
      <w:r>
        <w:t xml:space="preserve"> </w:t>
      </w:r>
      <w:r>
        <w:rPr>
          <w:rStyle w:val="Text0"/>
        </w:rPr>
        <w:t>email</w:t>
      </w:r>
      <w:r>
        <w:t xml:space="preserve"> package supplies four factory functions that return an instance </w:t>
      </w:r>
      <w:r>
        <w:rPr>
          <w:rStyle w:val="Text3"/>
        </w:rPr>
        <w:t>m</w:t>
      </w:r>
      <w:r>
        <w:t xml:space="preserve"> of the class </w:t>
      </w:r>
      <w:r>
        <w:rPr>
          <w:rStyle w:val="Text0"/>
        </w:rPr>
        <w:t>email.message.Message</w:t>
      </w:r>
      <w:r>
        <w:t xml:space="preserve"> from a string or file (see </w:t>
      </w:r>
      <w:hyperlink w:anchor="Table_21_1__email_factory_functi">
        <w:r>
          <w:rPr>
            <w:rStyle w:val="Text1"/>
          </w:rPr>
          <w:t>Table 21-1</w:t>
        </w:r>
      </w:hyperlink>
      <w:r>
        <w:t xml:space="preserve">). These functions rely on the class </w:t>
      </w:r>
      <w:r>
        <w:rPr>
          <w:rStyle w:val="Text0"/>
        </w:rPr>
        <w:t>email.parser.Parser</w:t>
      </w:r>
      <w:r>
        <w:t xml:space="preserve">, but the factory functions are handier and simpler. Therefore, we do not cover the </w:t>
      </w:r>
      <w:r>
        <w:rPr>
          <w:rStyle w:val="Text0"/>
        </w:rPr>
        <w:t>email.parser</w:t>
      </w:r>
      <w:r>
        <w:t xml:space="preserve"> module further in this book.</w:t>
      </w:r>
    </w:p>
    <w:tbl>
      <w:tblPr>
        <w:tblW w:type="auto" w:w="0"/>
      </w:tblPr>
      <w:tr>
        <w:tc>
          <w:tcPr>
            <w:tcW w:type="auto" w:w="0"/>
            <w:tcMar>
              <w:left w:type="dxa" w:w="200"/>
              <w:top w:type="dxa" w:w="200"/>
              <w:right w:type="dxa" w:w="200"/>
              <w:bottom w:type="dxa" w:w="200"/>
            </w:tcMar>
          </w:tcPr>
          <w:p>
            <w:bookmarkStart w:id="4230" w:name="Table_21_1__email_factory_functi"/>
            <w:pPr>
              <w:pStyle w:val="Para 011"/>
            </w:pPr>
            <w:r>
              <w:rPr>
                <w:rStyle w:val="Text117"/>
              </w:rPr>
              <w:t/>
            </w:r>
            <w:r>
              <w:t xml:space="preserve">Table 21-1. </w:t>
            </w:r>
            <w:r>
              <w:rPr>
                <w:rStyle w:val="Text0"/>
              </w:rPr>
              <w:t>email</w:t>
            </w:r>
            <w:r>
              <w:t xml:space="preserve"> factory functions that build message objects from strings or files</w:t>
            </w:r>
            <w:bookmarkEnd w:id="4230"/>
          </w:p>
          <w:p>
            <w:pPr>
              <w:pStyle w:val="Para 001"/>
            </w:pPr>
            <w:r>
              <w:t>m⁠e⁠s⁠s⁠a⁠g⁠e⁠_⁠f⁠r⁠o⁠m⁠_⁠b⁠i⁠n⁠a⁠r⁠y⁠_​f⁠i⁠l⁠e</w:t>
            </w:r>
          </w:p>
        </w:tc>
        <w:tc>
          <w:tcPr>
            <w:tcW w:type="auto" w:w="0"/>
            <w:tcMar>
              <w:left w:type="dxa" w:w="200"/>
              <w:top w:type="dxa" w:w="200"/>
              <w:right w:type="dxa" w:w="200"/>
              <w:bottom w:type="dxa" w:w="200"/>
            </w:tcMar>
          </w:tcPr>
          <w:p>
            <w:pPr>
              <w:pStyle w:val="Para 002"/>
            </w:pPr>
            <w:r>
              <w:rPr>
                <w:rStyle w:val="Text0"/>
              </w:rPr>
              <w:t>message_from_binary_file(</w:t>
            </w:r>
            <w:r>
              <w:rPr>
                <w:rStyle w:val="Text3"/>
              </w:rPr>
              <w:t>f</w:t>
            </w:r>
            <w:r>
              <w:rPr>
                <w:rStyle w:val="Text0"/>
              </w:rPr>
              <w:t>)</w:t>
              <w:br w:clear="none"/>
            </w:r>
            <w:r>
              <w:t xml:space="preserve"> Builds </w:t>
            </w:r>
            <w:r>
              <w:rPr>
                <w:rStyle w:val="Text3"/>
              </w:rPr>
              <w:t>m</w:t>
            </w:r>
            <w:r>
              <w:t xml:space="preserve"> by parsing the contents of binary file-like object </w:t>
            </w:r>
            <w:r>
              <w:rPr>
                <w:rStyle w:val="Text3"/>
              </w:rPr>
              <w:t>f</w:t>
            </w:r>
            <w:r>
              <w:t>, which must be open for reading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message_from_bytes</w:t>
            </w:r>
          </w:p>
        </w:tc>
        <w:tc>
          <w:tcPr>
            <w:tcW w:type="auto" w:w="0"/>
            <w:shd w:val="clear" w:color="auto" w:fill="EEF2F6"/>
            <w:tcMar>
              <w:left w:type="dxa" w:w="200"/>
              <w:top w:type="dxa" w:w="200"/>
              <w:right w:type="dxa" w:w="200"/>
              <w:bottom w:type="dxa" w:w="200"/>
            </w:tcMar>
          </w:tcPr>
          <w:p>
            <w:pPr>
              <w:pStyle w:val="Para 002"/>
            </w:pPr>
            <w:r>
              <w:rPr>
                <w:rStyle w:val="Text0"/>
              </w:rPr>
              <w:t>message_from_bytes(</w:t>
            </w:r>
            <w:r>
              <w:rPr>
                <w:rStyle w:val="Text3"/>
              </w:rPr>
              <w:t>s</w:t>
            </w:r>
            <w:r>
              <w:rPr>
                <w:rStyle w:val="Text0"/>
              </w:rPr>
              <w:t>)</w:t>
              <w:br w:clear="none"/>
            </w:r>
            <w:r>
              <w:t xml:space="preserve"> Builds </w:t>
            </w:r>
            <w:r>
              <w:rPr>
                <w:rStyle w:val="Text3"/>
              </w:rPr>
              <w:t>m</w:t>
            </w:r>
            <w:r>
              <w:t xml:space="preserve"> by parsing bytestring </w:t>
            </w:r>
            <w:r>
              <w:rPr>
                <w:rStyle w:val="Text3"/>
              </w:rPr>
              <w:t>s</w:t>
            </w:r>
          </w:p>
        </w:tc>
      </w:tr>
    </w:tbl>
    <w:tbl>
      <w:tblPr>
        <w:tblW w:type="auto" w:w="0"/>
      </w:tblPr>
      <w:tr>
        <w:tc>
          <w:tcPr>
            <w:tcW w:type="auto" w:w="0"/>
            <w:tcMar>
              <w:left w:type="dxa" w:w="200"/>
              <w:top w:type="dxa" w:w="200"/>
              <w:right w:type="dxa" w:w="200"/>
              <w:bottom w:type="dxa" w:w="200"/>
            </w:tcMar>
          </w:tcPr>
          <w:p>
            <w:pPr>
              <w:pStyle w:val="Para 001"/>
            </w:pPr>
            <w:r>
              <w:t>message_from_file</w:t>
            </w:r>
          </w:p>
        </w:tc>
        <w:tc>
          <w:tcPr>
            <w:tcW w:type="auto" w:w="0"/>
            <w:tcMar>
              <w:left w:type="dxa" w:w="200"/>
              <w:top w:type="dxa" w:w="200"/>
              <w:right w:type="dxa" w:w="200"/>
              <w:bottom w:type="dxa" w:w="200"/>
            </w:tcMar>
          </w:tcPr>
          <w:p>
            <w:pPr>
              <w:pStyle w:val="Para 002"/>
            </w:pPr>
            <w:r>
              <w:rPr>
                <w:rStyle w:val="Text0"/>
              </w:rPr>
              <w:t>message_from_file(</w:t>
            </w:r>
            <w:r>
              <w:rPr>
                <w:rStyle w:val="Text3"/>
              </w:rPr>
              <w:t>f</w:t>
            </w:r>
            <w:r>
              <w:rPr>
                <w:rStyle w:val="Text0"/>
              </w:rPr>
              <w:t>)</w:t>
              <w:br w:clear="none"/>
            </w:r>
            <w:r>
              <w:t xml:space="preserve"> Builds </w:t>
            </w:r>
            <w:r>
              <w:rPr>
                <w:rStyle w:val="Text3"/>
              </w:rPr>
              <w:t>m</w:t>
            </w:r>
            <w:r>
              <w:t xml:space="preserve"> by parsing the contents of text file-like object </w:t>
            </w:r>
            <w:r>
              <w:rPr>
                <w:rStyle w:val="Text3"/>
              </w:rPr>
              <w:t>f</w:t>
            </w:r>
            <w:r>
              <w:t>, which must be open for reading</w:t>
            </w:r>
          </w:p>
        </w:tc>
      </w:tr>
    </w:tbl>
    <w:tbl>
      <w:tblPr>
        <w:tblW w:type="auto" w:w="0"/>
      </w:tblPr>
      <w:tr>
        <w:tc>
          <w:tcPr>
            <w:tcW w:type="auto" w:w="0"/>
            <w:shd w:val="clear" w:color="auto" w:fill="EEF2F6"/>
            <w:tcMar>
              <w:left w:type="dxa" w:w="200"/>
              <w:top w:type="dxa" w:w="200"/>
              <w:right w:type="dxa" w:w="200"/>
              <w:bottom w:type="dxa" w:w="200"/>
            </w:tcMar>
          </w:tcPr>
          <w:p>
            <w:pPr>
              <w:pStyle w:val="Para 001"/>
            </w:pPr>
            <w:r>
              <w:t>message_from_string</w:t>
            </w:r>
          </w:p>
        </w:tc>
        <w:tc>
          <w:tcPr>
            <w:tcW w:type="auto" w:w="0"/>
            <w:shd w:val="clear" w:color="auto" w:fill="EEF2F6"/>
            <w:tcMar>
              <w:left w:type="dxa" w:w="200"/>
              <w:top w:type="dxa" w:w="200"/>
              <w:right w:type="dxa" w:w="200"/>
              <w:bottom w:type="dxa" w:w="200"/>
            </w:tcMar>
          </w:tcPr>
          <w:p>
            <w:pPr>
              <w:pStyle w:val="Para 002"/>
            </w:pPr>
            <w:r>
              <w:rPr>
                <w:rStyle w:val="Text0"/>
              </w:rPr>
              <w:t>message_from_string(</w:t>
            </w:r>
            <w:r>
              <w:rPr>
                <w:rStyle w:val="Text3"/>
              </w:rPr>
              <w:t>s</w:t>
            </w:r>
            <w:r>
              <w:rPr>
                <w:rStyle w:val="Text0"/>
              </w:rPr>
              <w:t>)</w:t>
              <w:br w:clear="none"/>
            </w:r>
            <w:r>
              <w:t xml:space="preserve"> Builds </w:t>
            </w:r>
            <w:r>
              <w:rPr>
                <w:rStyle w:val="Text3"/>
              </w:rPr>
              <w:t>m</w:t>
            </w:r>
            <w:r>
              <w:t xml:space="preserve"> by parsing string </w:t>
            </w:r>
            <w:r>
              <w:rPr>
                <w:rStyle w:val="Text3"/>
              </w:rPr>
              <w:t>s</w:t>
            </w:r>
          </w:p>
        </w:tc>
      </w:tr>
    </w:tbl>
    <w:p>
      <w:bookmarkStart w:id="4231" w:name="The_email_message_Module__The_em"/>
      <w:pPr>
        <w:keepNext/>
        <w:pStyle w:val="Heading 2"/>
      </w:pPr>
      <w:r>
        <w:t>The email.message Module</w:t>
      </w:r>
      <w:bookmarkEnd w:id="4231"/>
    </w:p>
    <w:p>
      <w:pPr>
        <w:pStyle w:val="Normal"/>
      </w:pPr>
      <w:r>
        <w:t>The</w:t>
      </w:r>
      <w:r>
        <w:rPr>
          <w:rStyle w:val="Text111"/>
        </w:rPr>
        <w:bookmarkStart w:id="4232" w:name="EPmesmod21"/>
        <w:t/>
        <w:bookmarkEnd w:id="4232"/>
      </w:r>
      <w:r>
        <w:t xml:space="preserve"> </w:t>
      </w:r>
      <w:r>
        <w:rPr>
          <w:rStyle w:val="Text0"/>
        </w:rPr>
        <w:t>email.message</w:t>
      </w:r>
      <w:r>
        <w:t xml:space="preserve"> module supplies the class </w:t>
      </w:r>
      <w:r>
        <w:rPr>
          <w:rStyle w:val="Text0"/>
        </w:rPr>
        <w:t>Message</w:t>
      </w:r>
      <w:r>
        <w:t xml:space="preserve">. All parts of the </w:t>
      </w:r>
      <w:r>
        <w:rPr>
          <w:rStyle w:val="Text0"/>
        </w:rPr>
        <w:t>email</w:t>
      </w:r>
      <w:r>
        <w:t xml:space="preserve"> package make, modify, or use instances of </w:t>
      </w:r>
      <w:r>
        <w:rPr>
          <w:rStyle w:val="Text0"/>
        </w:rPr>
        <w:t>Message</w:t>
      </w:r>
      <w:r>
        <w:t xml:space="preserve">. An instance </w:t>
      </w:r>
      <w:r>
        <w:rPr>
          <w:rStyle w:val="Text3"/>
        </w:rPr>
        <w:t>m</w:t>
      </w:r>
      <w:r>
        <w:t xml:space="preserve"> of </w:t>
      </w:r>
      <w:r>
        <w:rPr>
          <w:rStyle w:val="Text0"/>
        </w:rPr>
        <w:t>Message</w:t>
      </w:r>
      <w:r>
        <w:t xml:space="preserve"> models a MIME message, including</w:t>
      </w:r>
      <w:r>
        <w:rPr>
          <w:rStyle w:val="Text111"/>
        </w:rPr>
        <w:bookmarkStart w:id="4233" w:name="idm45965173260912"/>
        <w:t/>
        <w:bookmarkEnd w:id="4233"/>
        <w:bookmarkStart w:id="4234" w:name="idm45965173259808"/>
        <w:t/>
        <w:bookmarkEnd w:id="4234"/>
      </w:r>
      <w:r>
        <w:t xml:space="preserve"> </w:t>
      </w:r>
      <w:r>
        <w:rPr>
          <w:rStyle w:val="Text4"/>
        </w:rPr>
        <w:t>headers</w:t>
      </w:r>
      <w:r>
        <w:t xml:space="preserve"> and a </w:t>
      </w:r>
      <w:r>
        <w:rPr>
          <w:rStyle w:val="Text4"/>
        </w:rPr>
        <w:t>payload</w:t>
      </w:r>
      <w:r>
        <w:t xml:space="preserve"> (data content). </w:t>
      </w:r>
      <w:r>
        <w:rPr>
          <w:rStyle w:val="Text3"/>
        </w:rPr>
        <w:t>m</w:t>
      </w:r>
      <w:r>
        <w:t xml:space="preserve"> is a mapping, with header names as keys, and header value strings as values.</w:t>
      </w:r>
    </w:p>
    <w:p>
      <w:pPr>
        <w:pStyle w:val="Normal"/>
      </w:pPr>
      <w:r>
        <w:t xml:space="preserve">To create an initially empty </w:t>
      </w:r>
      <w:r>
        <w:rPr>
          <w:rStyle w:val="Text3"/>
        </w:rPr>
        <w:t>m</w:t>
      </w:r>
      <w:r>
        <w:t xml:space="preserve">, call </w:t>
      </w:r>
      <w:r>
        <w:rPr>
          <w:rStyle w:val="Text0"/>
        </w:rPr>
        <w:t>Message</w:t>
      </w:r>
      <w:r>
        <w:t xml:space="preserve"> with no arguments. More often, you create </w:t>
      </w:r>
      <w:r>
        <w:rPr>
          <w:rStyle w:val="Text3"/>
        </w:rPr>
        <w:t>m</w:t>
      </w:r>
      <w:r>
        <w:t xml:space="preserve"> by parsing via one of the factory functions in </w:t>
      </w:r>
      <w:hyperlink w:anchor="Table_21_1__email_factory_functi">
        <w:r>
          <w:rPr>
            <w:rStyle w:val="Text1"/>
          </w:rPr>
          <w:t>Table 21-1</w:t>
        </w:r>
      </w:hyperlink>
      <w:r>
        <w:t xml:space="preserve">, or other indirect means such as the classes covered in </w:t>
      </w:r>
      <w:hyperlink w:anchor="Creating_Messages__The_subpackag">
        <w:r>
          <w:rPr>
            <w:rStyle w:val="Text1"/>
          </w:rPr>
          <w:t>“Creating Messages”</w:t>
        </w:r>
      </w:hyperlink>
      <w:r>
        <w:t xml:space="preserve">. </w:t>
      </w:r>
      <w:r>
        <w:rPr>
          <w:rStyle w:val="Text3"/>
        </w:rPr>
        <w:t>m</w:t>
      </w:r>
      <w:r>
        <w:t xml:space="preserve">’s payload can be a string, a single other instance of </w:t>
      </w:r>
      <w:r>
        <w:rPr>
          <w:rStyle w:val="Text0"/>
        </w:rPr>
        <w:t>Message</w:t>
      </w:r>
      <w:r>
        <w:t>, or a</w:t>
      </w:r>
      <w:r>
        <w:rPr>
          <w:rStyle w:val="Text111"/>
        </w:rPr>
        <w:bookmarkStart w:id="4235" w:name="idm45965173250544"/>
        <w:t/>
        <w:bookmarkEnd w:id="4235"/>
      </w:r>
      <w:r>
        <w:t xml:space="preserve"> </w:t>
      </w:r>
      <w:r>
        <w:rPr>
          <w:rStyle w:val="Text4"/>
        </w:rPr>
        <w:t>multipart message</w:t>
      </w:r>
      <w:r>
        <w:t xml:space="preserve"> (a recursively nested list of other </w:t>
      </w:r>
      <w:r>
        <w:rPr>
          <w:rStyle w:val="Text0"/>
        </w:rPr>
        <w:t>Message</w:t>
      </w:r>
      <w:r>
        <w:t xml:space="preserve"> instances).</w:t>
      </w:r>
    </w:p>
    <w:p>
      <w:pPr>
        <w:pStyle w:val="Normal"/>
      </w:pPr>
      <w:r>
        <w:t xml:space="preserve">You can set arbitrary headers on email messages you’re building. Several internet RFCs specify headers for a wide variety of purposes. The main applicable RFC is </w:t>
      </w:r>
      <w:hyperlink r:id="rId621">
        <w:r>
          <w:rPr>
            <w:rStyle w:val="Text1"/>
          </w:rPr>
          <w:t>RFC 2822</w:t>
        </w:r>
      </w:hyperlink>
      <w:r>
        <w:t xml:space="preserve">; you can find a summary of many other RFCs about headers in nonnormative </w:t>
      </w:r>
      <w:hyperlink r:id="rId622">
        <w:r>
          <w:rPr>
            <w:rStyle w:val="Text1"/>
          </w:rPr>
          <w:t>RFC 2076</w:t>
        </w:r>
      </w:hyperlink>
      <w:r>
        <w:t>.</w:t>
      </w:r>
    </w:p>
    <w:p>
      <w:pPr>
        <w:pStyle w:val="Normal"/>
      </w:pPr>
      <w:r>
        <w:t xml:space="preserve">To make </w:t>
      </w:r>
      <w:r>
        <w:rPr>
          <w:rStyle w:val="Text3"/>
        </w:rPr>
        <w:t>m</w:t>
      </w:r>
      <w:r>
        <w:t xml:space="preserve"> more convenient, its semantics as a mapping are different from those of a </w:t>
      </w:r>
      <w:r>
        <w:rPr>
          <w:rStyle w:val="Text0"/>
        </w:rPr>
        <w:t>dict</w:t>
      </w:r>
      <w:r>
        <w:t xml:space="preserve">. </w:t>
      </w:r>
      <w:r>
        <w:rPr>
          <w:rStyle w:val="Text3"/>
        </w:rPr>
        <w:t>m</w:t>
      </w:r>
      <w:r>
        <w:t xml:space="preserve">’s keys are case insensitive. </w:t>
      </w:r>
      <w:r>
        <w:rPr>
          <w:rStyle w:val="Text3"/>
        </w:rPr>
        <w:t>m</w:t>
      </w:r>
      <w:r>
        <w:t xml:space="preserve"> keeps headers in the order in which you add them, and the methods </w:t>
      </w:r>
      <w:r>
        <w:rPr>
          <w:rStyle w:val="Text0"/>
        </w:rPr>
        <w:t>keys</w:t>
      </w:r>
      <w:r>
        <w:t xml:space="preserve">, </w:t>
      </w:r>
      <w:r>
        <w:rPr>
          <w:rStyle w:val="Text0"/>
        </w:rPr>
        <w:t>values</w:t>
      </w:r>
      <w:r>
        <w:t xml:space="preserve">, and </w:t>
      </w:r>
      <w:r>
        <w:rPr>
          <w:rStyle w:val="Text0"/>
        </w:rPr>
        <w:t>items</w:t>
      </w:r>
      <w:r>
        <w:t xml:space="preserve"> return lists (not views!) of headers in that order. </w:t>
      </w:r>
      <w:r>
        <w:rPr>
          <w:rStyle w:val="Text3"/>
        </w:rPr>
        <w:t>m</w:t>
      </w:r>
      <w:r>
        <w:t xml:space="preserve"> can have more than one header named </w:t>
      </w:r>
      <w:r>
        <w:rPr>
          <w:rStyle w:val="Text3"/>
        </w:rPr>
        <w:t>key</w:t>
      </w:r>
      <w:r>
        <w:t xml:space="preserve">: </w:t>
      </w:r>
      <w:r>
        <w:rPr>
          <w:rStyle w:val="Text3"/>
        </w:rPr>
        <w:t>m</w:t>
      </w:r>
      <w:r>
        <w:rPr>
          <w:rStyle w:val="Text0"/>
        </w:rPr>
        <w:t>[</w:t>
      </w:r>
      <w:r>
        <w:rPr>
          <w:rStyle w:val="Text3"/>
        </w:rPr>
        <w:t>key</w:t>
      </w:r>
      <w:r>
        <w:rPr>
          <w:rStyle w:val="Text0"/>
        </w:rPr>
        <w:t>]</w:t>
      </w:r>
      <w:r>
        <w:t xml:space="preserve"> returns an arbitrary such header (or </w:t>
      </w:r>
      <w:r>
        <w:rPr>
          <w:rStyle w:val="Text5"/>
        </w:rPr>
        <w:t>None</w:t>
      </w:r>
      <w:r>
        <w:t xml:space="preserve"> when the header is missing), and </w:t>
      </w:r>
      <w:r>
        <w:rPr>
          <w:rStyle w:val="Text5"/>
        </w:rPr>
        <w:t>del</w:t>
      </w:r>
      <w:r>
        <w:t xml:space="preserve"> </w:t>
      </w:r>
      <w:r>
        <w:rPr>
          <w:rStyle w:val="Text3"/>
        </w:rPr>
        <w:t>m</w:t>
      </w:r>
      <w:r>
        <w:rPr>
          <w:rStyle w:val="Text0"/>
        </w:rPr>
        <w:t>[</w:t>
      </w:r>
      <w:r>
        <w:rPr>
          <w:rStyle w:val="Text3"/>
        </w:rPr>
        <w:t>key</w:t>
      </w:r>
      <w:r>
        <w:rPr>
          <w:rStyle w:val="Text0"/>
        </w:rPr>
        <w:t>]</w:t>
      </w:r>
      <w:r>
        <w:t xml:space="preserve"> deletes all of them (it’s not an error if the header is missing).</w:t>
      </w:r>
    </w:p>
    <w:p>
      <w:pPr>
        <w:pStyle w:val="Normal"/>
      </w:pPr>
      <w:r>
        <w:t xml:space="preserve">To get a list of all headers with a certain name, call </w:t>
      </w:r>
      <w:r>
        <w:rPr>
          <w:rStyle w:val="Text3"/>
        </w:rPr>
        <w:t>m</w:t>
      </w:r>
      <w:r>
        <w:rPr>
          <w:rStyle w:val="Text0"/>
        </w:rPr>
        <w:t>.get_all(</w:t>
      </w:r>
      <w:r>
        <w:rPr>
          <w:rStyle w:val="Text3"/>
        </w:rPr>
        <w:t>key</w:t>
      </w:r>
      <w:r>
        <w:rPr>
          <w:rStyle w:val="Text0"/>
        </w:rPr>
        <w:t>)</w:t>
      </w:r>
      <w:r>
        <w:t xml:space="preserve">. </w:t>
      </w:r>
      <w:r>
        <w:rPr>
          <w:rStyle w:val="Text0"/>
        </w:rPr>
        <w:t>len(</w:t>
      </w:r>
      <w:r>
        <w:rPr>
          <w:rStyle w:val="Text3"/>
        </w:rPr>
        <w:t>m</w:t>
      </w:r>
      <w:r>
        <w:rPr>
          <w:rStyle w:val="Text0"/>
        </w:rPr>
        <w:t>)</w:t>
      </w:r>
      <w:r>
        <w:t xml:space="preserve"> returns the total number of headers, counting duplicates, not just the number of distinct header names. When there is no header named </w:t>
      </w:r>
      <w:r>
        <w:rPr>
          <w:rStyle w:val="Text3"/>
        </w:rPr>
        <w:t>key</w:t>
      </w:r>
      <w:r>
        <w:rPr>
          <w:rStyle w:val="Text4"/>
        </w:rPr>
        <w:t>,</w:t>
      </w:r>
      <w:r>
        <w:t xml:space="preserve"> </w:t>
      </w:r>
      <w:r>
        <w:rPr>
          <w:rStyle w:val="Text3"/>
        </w:rPr>
        <w:t>m</w:t>
      </w:r>
      <w:r>
        <w:rPr>
          <w:rStyle w:val="Text0"/>
        </w:rPr>
        <w:t>[</w:t>
      </w:r>
      <w:r>
        <w:rPr>
          <w:rStyle w:val="Text3"/>
        </w:rPr>
        <w:t>key</w:t>
      </w:r>
      <w:r>
        <w:rPr>
          <w:rStyle w:val="Text0"/>
        </w:rPr>
        <w:t>]</w:t>
      </w:r>
      <w:r>
        <w:t xml:space="preserve"> returns </w:t>
      </w:r>
      <w:r>
        <w:rPr>
          <w:rStyle w:val="Text5"/>
        </w:rPr>
        <w:t>None</w:t>
      </w:r>
      <w:r>
        <w:t xml:space="preserve"> and does not raise </w:t>
      </w:r>
      <w:r>
        <w:rPr>
          <w:rStyle w:val="Text0"/>
        </w:rPr>
        <w:t>KeyError</w:t>
      </w:r>
      <w:r>
        <w:t xml:space="preserve"> (i.e., it behaves like </w:t>
      </w:r>
      <w:r>
        <w:rPr>
          <w:rStyle w:val="Text3"/>
        </w:rPr>
        <w:t>m</w:t>
      </w:r>
      <w:r>
        <w:rPr>
          <w:rStyle w:val="Text0"/>
        </w:rPr>
        <w:t>.get(</w:t>
      </w:r>
      <w:r>
        <w:rPr>
          <w:rStyle w:val="Text3"/>
        </w:rPr>
        <w:t>key</w:t>
      </w:r>
      <w:r>
        <w:rPr>
          <w:rStyle w:val="Text0"/>
        </w:rPr>
        <w:t>))</w:t>
      </w:r>
      <w:r>
        <w:t xml:space="preserve">: </w:t>
      </w:r>
      <w:r>
        <w:rPr>
          <w:rStyle w:val="Text5"/>
        </w:rPr>
        <w:t>del</w:t>
      </w:r>
      <w:r>
        <w:t xml:space="preserve"> </w:t>
      </w:r>
      <w:r>
        <w:rPr>
          <w:rStyle w:val="Text3"/>
        </w:rPr>
        <w:t>m</w:t>
      </w:r>
      <w:r>
        <w:rPr>
          <w:rStyle w:val="Text0"/>
        </w:rPr>
        <w:t>[</w:t>
      </w:r>
      <w:r>
        <w:rPr>
          <w:rStyle w:val="Text3"/>
        </w:rPr>
        <w:t>key</w:t>
      </w:r>
      <w:r>
        <w:rPr>
          <w:rStyle w:val="Text0"/>
        </w:rPr>
        <w:t>]</w:t>
      </w:r>
      <w:r>
        <w:t xml:space="preserve"> does nothing in this case, and </w:t>
      </w:r>
      <w:r>
        <w:rPr>
          <w:rStyle w:val="Text3"/>
        </w:rPr>
        <w:t>m</w:t>
      </w:r>
      <w:r>
        <w:rPr>
          <w:rStyle w:val="Text0"/>
        </w:rPr>
        <w:t>.get_all(</w:t>
      </w:r>
      <w:r>
        <w:rPr>
          <w:rStyle w:val="Text3"/>
        </w:rPr>
        <w:t>key</w:t>
      </w:r>
      <w:r>
        <w:rPr>
          <w:rStyle w:val="Text0"/>
        </w:rPr>
        <w:t>)</w:t>
      </w:r>
      <w:r>
        <w:t xml:space="preserve"> returns </w:t>
      </w:r>
      <w:r>
        <w:rPr>
          <w:rStyle w:val="Text5"/>
        </w:rPr>
        <w:t>None</w:t>
      </w:r>
      <w:r>
        <w:t xml:space="preserve">. You can loop directly on </w:t>
      </w:r>
      <w:r>
        <w:rPr>
          <w:rStyle w:val="Text3"/>
        </w:rPr>
        <w:t>m</w:t>
      </w:r>
      <w:r>
        <w:t xml:space="preserve">: it’s just like looping on </w:t>
      </w:r>
      <w:r>
        <w:rPr>
          <w:rStyle w:val="Text3"/>
        </w:rPr>
        <w:t>m</w:t>
      </w:r>
      <w:r>
        <w:rPr>
          <w:rStyle w:val="Text0"/>
        </w:rPr>
        <w:t>.keys()</w:t>
      </w:r>
      <w:r>
        <w:t xml:space="preserve"> instead.</w:t>
      </w:r>
    </w:p>
    <w:p>
      <w:pPr>
        <w:pStyle w:val="Normal"/>
      </w:pPr>
      <w:r>
        <w:t xml:space="preserve">An instance </w:t>
      </w:r>
      <w:r>
        <w:rPr>
          <w:rStyle w:val="Text3"/>
        </w:rPr>
        <w:t>m</w:t>
      </w:r>
      <w:r>
        <w:t xml:space="preserve"> of </w:t>
      </w:r>
      <w:r>
        <w:rPr>
          <w:rStyle w:val="Text0"/>
        </w:rPr>
        <w:t>Message</w:t>
      </w:r>
      <w:r>
        <w:t xml:space="preserve"> supplies various attributes and methods that deal with </w:t>
      </w:r>
      <w:r>
        <w:rPr>
          <w:rStyle w:val="Text3"/>
        </w:rPr>
        <w:t>m</w:t>
      </w:r>
      <w:r>
        <w:t xml:space="preserve">’s headers and payload, listed in </w:t>
      </w:r>
      <w:hyperlink w:anchor="Table_21_2__Attributes_and_metho">
        <w:r>
          <w:rPr>
            <w:rStyle w:val="Text1"/>
          </w:rPr>
          <w:t>Table 21-2</w:t>
        </w:r>
      </w:hyperlink>
      <w:r>
        <w:t>.</w:t>
      </w:r>
    </w:p>
    <w:tbl>
      <w:tblPr>
        <w:tblW w:type="auto" w:w="0"/>
      </w:tblPr>
      <w:tr>
        <w:tc>
          <w:tcPr>
            <w:tcW w:type="auto" w:w="0"/>
            <w:tcMar>
              <w:left w:type="dxa" w:w="200"/>
              <w:top w:type="dxa" w:w="200"/>
              <w:right w:type="dxa" w:w="200"/>
              <w:bottom w:type="dxa" w:w="200"/>
            </w:tcMar>
          </w:tcPr>
          <w:p>
            <w:bookmarkStart w:id="4236" w:name="Table_21_2__Attributes_and_metho"/>
            <w:pPr>
              <w:pStyle w:val="Para 011"/>
            </w:pPr>
            <w:r>
              <w:rPr>
                <w:rStyle w:val="Text117"/>
              </w:rPr>
              <w:t/>
            </w:r>
            <w:r>
              <w:t xml:space="preserve">Table 21-2. </w:t>
              <w:t xml:space="preserve">Attributes and methods of an instance </w:t>
            </w:r>
            <w:r>
              <w:rPr>
                <w:rStyle w:val="Text3"/>
              </w:rPr>
              <w:t>m</w:t>
            </w:r>
            <w:r>
              <w:t xml:space="preserve"> of </w:t>
            </w:r>
            <w:r>
              <w:rPr>
                <w:rStyle w:val="Text0"/>
              </w:rPr>
              <w:t>Message</w:t>
            </w:r>
            <w:bookmarkEnd w:id="4236"/>
          </w:p>
          <w:p>
            <w:pPr>
              <w:pStyle w:val="Para 001"/>
            </w:pPr>
            <w:r>
              <w:t>add_header</w:t>
            </w:r>
          </w:p>
        </w:tc>
        <w:tc>
          <w:tcPr>
            <w:tcW w:type="auto" w:w="0"/>
            <w:tcMar>
              <w:left w:type="dxa" w:w="200"/>
              <w:top w:type="dxa" w:w="200"/>
              <w:right w:type="dxa" w:w="200"/>
              <w:bottom w:type="dxa" w:w="200"/>
            </w:tcMar>
          </w:tcPr>
          <w:p>
            <w:pPr>
              <w:pStyle w:val="Para 002"/>
            </w:pPr>
            <w:r>
              <w:rPr>
                <w:rStyle w:val="Text3"/>
              </w:rPr>
              <w:t>m</w:t>
            </w:r>
            <w:r>
              <w:rPr>
                <w:rStyle w:val="Text0"/>
              </w:rPr>
              <w:t>.add_header(_</w:t>
            </w:r>
            <w:r>
              <w:rPr>
                <w:rStyle w:val="Text3"/>
              </w:rPr>
              <w:t>name</w:t>
            </w:r>
            <w:r>
              <w:rPr>
                <w:rStyle w:val="Text0"/>
              </w:rPr>
              <w:t>,</w:t>
            </w:r>
            <w:r>
              <w:t xml:space="preserve"> </w:t>
            </w:r>
            <w:r>
              <w:rPr>
                <w:rStyle w:val="Text3"/>
              </w:rPr>
              <w:t>_value</w:t>
            </w:r>
            <w:r>
              <w:rPr>
                <w:rStyle w:val="Text0"/>
              </w:rPr>
              <w:t>,</w:t>
            </w:r>
            <w:r>
              <w:t xml:space="preserve"> </w:t>
            </w:r>
            <w:r>
              <w:rPr>
                <w:rStyle w:val="Text3"/>
              </w:rPr>
              <w:t>**_params</w:t>
            </w:r>
            <w:r>
              <w:rPr>
                <w:rStyle w:val="Text0"/>
              </w:rPr>
              <w:t>)</w:t>
              <w:br w:clear="none"/>
            </w:r>
            <w:r>
              <w:t xml:space="preserve"> Like </w:t>
            </w:r>
            <w:r>
              <w:rPr>
                <w:rStyle w:val="Text3"/>
              </w:rPr>
              <w:t>m</w:t>
            </w:r>
            <w:r>
              <w:rPr>
                <w:rStyle w:val="Text0"/>
              </w:rPr>
              <w:t>[_</w:t>
            </w:r>
            <w:r>
              <w:rPr>
                <w:rStyle w:val="Text3"/>
              </w:rPr>
              <w:t>name</w:t>
            </w:r>
            <w:r>
              <w:rPr>
                <w:rStyle w:val="Text0"/>
              </w:rPr>
              <w:t>]=_</w:t>
            </w:r>
            <w:r>
              <w:rPr>
                <w:rStyle w:val="Text3"/>
              </w:rPr>
              <w:t>value</w:t>
            </w:r>
            <w:r>
              <w:t xml:space="preserve">, but you can also supply header parameters as named arguments. For each named argument </w:t>
            </w:r>
            <w:r>
              <w:rPr>
                <w:rStyle w:val="Text3"/>
              </w:rPr>
              <w:t>pname</w:t>
            </w:r>
            <w:r>
              <w:rPr>
                <w:rStyle w:val="Text0"/>
              </w:rPr>
              <w:t>=</w:t>
            </w:r>
            <w:r>
              <w:rPr>
                <w:rStyle w:val="Text3"/>
              </w:rPr>
              <w:t>pvalue</w:t>
            </w:r>
            <w:r>
              <w:t xml:space="preserve">, </w:t>
            </w:r>
            <w:r>
              <w:rPr>
                <w:rStyle w:val="Text0"/>
              </w:rPr>
              <w:t>add_header</w:t>
            </w:r>
            <w:r>
              <w:t xml:space="preserve"> changes any underscores in </w:t>
            </w:r>
            <w:r>
              <w:rPr>
                <w:rStyle w:val="Text3"/>
              </w:rPr>
              <w:t>pname</w:t>
            </w:r>
            <w:r>
              <w:t xml:space="preserve"> to dashes, then appends to the header’s value a string of the form:</w:t>
              <w:br w:clear="none"/>
              <w:t xml:space="preserve"> </w:t>
            </w:r>
            <w:r>
              <w:rPr>
                <w:rStyle w:val="Text0"/>
              </w:rPr>
              <w:t>;</w:t>
            </w:r>
            <w:r>
              <w:t xml:space="preserve"> </w:t>
            </w:r>
            <w:r>
              <w:rPr>
                <w:rStyle w:val="Text3"/>
              </w:rPr>
              <w:t>pname</w:t>
            </w:r>
            <w:r>
              <w:rPr>
                <w:rStyle w:val="Text0"/>
              </w:rPr>
              <w:t>="</w:t>
            </w:r>
            <w:r>
              <w:rPr>
                <w:rStyle w:val="Text3"/>
              </w:rPr>
              <w:t>pvalue</w:t>
            </w:r>
            <w:r>
              <w:rPr>
                <w:rStyle w:val="Text0"/>
              </w:rPr>
              <w:t>"</w:t>
              <w:br w:clear="none"/>
            </w:r>
            <w:r>
              <w:t xml:space="preserve"> When </w:t>
            </w:r>
            <w:r>
              <w:rPr>
                <w:rStyle w:val="Text3"/>
              </w:rPr>
              <w:t>pvalue</w:t>
            </w:r>
            <w:r>
              <w:t xml:space="preserve"> is </w:t>
            </w:r>
            <w:r>
              <w:rPr>
                <w:rStyle w:val="Text5"/>
              </w:rPr>
              <w:t>None</w:t>
            </w:r>
            <w:r>
              <w:t xml:space="preserve">, </w:t>
            </w:r>
            <w:r>
              <w:rPr>
                <w:rStyle w:val="Text0"/>
              </w:rPr>
              <w:t>add_header</w:t>
            </w:r>
            <w:r>
              <w:t xml:space="preserve"> appends only a string of the form:</w:t>
              <w:br w:clear="none"/>
              <w:t xml:space="preserve"> </w:t>
            </w:r>
            <w:r>
              <w:rPr>
                <w:rStyle w:val="Text0"/>
              </w:rPr>
              <w:t>;</w:t>
            </w:r>
            <w:r>
              <w:t xml:space="preserve"> </w:t>
            </w:r>
            <w:r>
              <w:rPr>
                <w:rStyle w:val="Text3"/>
              </w:rPr>
              <w:t>pname</w:t>
              <w:br w:clear="none"/>
            </w:r>
            <w:r>
              <w:t xml:space="preserve"> When a parameter’s value contains non-ASCII characters, specify it as a tuple with three items, (</w:t>
            </w:r>
            <w:r>
              <w:rPr>
                <w:rStyle w:val="Text3"/>
              </w:rPr>
              <w:t>CHARSET</w:t>
            </w:r>
            <w:r>
              <w:rPr>
                <w:rStyle w:val="Text0"/>
              </w:rPr>
              <w:t>,</w:t>
            </w:r>
            <w:r>
              <w:t xml:space="preserve"> </w:t>
            </w:r>
            <w:r>
              <w:rPr>
                <w:rStyle w:val="Text3"/>
              </w:rPr>
              <w:t>LANGUAGE</w:t>
            </w:r>
            <w:r>
              <w:rPr>
                <w:rStyle w:val="Text0"/>
              </w:rPr>
              <w:t>,</w:t>
            </w:r>
            <w:r>
              <w:t xml:space="preserve"> </w:t>
            </w:r>
            <w:r>
              <w:rPr>
                <w:rStyle w:val="Text3"/>
              </w:rPr>
              <w:t>VALUE</w:t>
            </w:r>
            <w:r>
              <w:t xml:space="preserve">). </w:t>
            </w:r>
            <w:r>
              <w:rPr>
                <w:rStyle w:val="Text3"/>
              </w:rPr>
              <w:t>CHARSET</w:t>
            </w:r>
            <w:r>
              <w:t xml:space="preserve"> names the encoding to use for the value. </w:t>
            </w:r>
            <w:r>
              <w:rPr>
                <w:rStyle w:val="Text3"/>
              </w:rPr>
              <w:t>LANGUAGE</w:t>
            </w:r>
            <w:r>
              <w:t xml:space="preserve"> is usually </w:t>
            </w:r>
            <w:r>
              <w:rPr>
                <w:rStyle w:val="Text5"/>
              </w:rPr>
              <w:t>None</w:t>
            </w:r>
            <w:r>
              <w:t xml:space="preserve"> or </w:t>
            </w:r>
            <w:r>
              <w:rPr>
                <w:rStyle w:val="Text0"/>
              </w:rPr>
              <w:t>''</w:t>
            </w:r>
            <w:r>
              <w:t xml:space="preserve"> but can be set any language value per </w:t>
            </w:r>
            <w:hyperlink r:id="rId623">
              <w:r>
                <w:rPr>
                  <w:rStyle w:val="Text1"/>
                </w:rPr>
                <w:t>RFC 2231</w:t>
              </w:r>
            </w:hyperlink>
            <w:r>
              <w:t xml:space="preserve">; </w:t>
            </w:r>
            <w:r>
              <w:rPr>
                <w:rStyle w:val="Text3"/>
              </w:rPr>
              <w:t>VALUE</w:t>
            </w:r>
            <w:r>
              <w:t xml:space="preserve"> is the string value containing non-ASCII characters.</w:t>
            </w:r>
          </w:p>
        </w:tc>
      </w:tr>
    </w:tbl>
    <w:tbl>
      <w:tblPr>
        <w:tblW w:type="auto" w:w="0"/>
      </w:tblPr>
      <w:tr>
        <w:tc>
          <w:tcPr>
            <w:tcW w:type="auto" w:w="0"/>
            <w:shd w:val="clear" w:color="auto" w:fill="EEF2F6"/>
            <w:tcMar>
              <w:left w:type="dxa" w:w="200"/>
              <w:top w:type="dxa" w:w="200"/>
              <w:right w:type="dxa" w:w="200"/>
              <w:bottom w:type="dxa" w:w="200"/>
            </w:tcMar>
          </w:tcPr>
          <w:p>
            <w:pPr>
              <w:pStyle w:val="Para 001"/>
            </w:pPr>
            <w:r>
              <w:t>as_string</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.as_string(unixfrom=</w:t>
            </w:r>
            <w:r>
              <w:rPr>
                <w:rStyle w:val="Text5"/>
              </w:rPr>
              <w:t>False</w:t>
            </w:r>
            <w:r>
              <w:rPr>
                <w:rStyle w:val="Text0"/>
              </w:rPr>
              <w:t>)</w:t>
              <w:br w:clear="none"/>
            </w:r>
            <w:r>
              <w:t xml:space="preserve"> Returns the entire message as a string. When </w:t>
            </w:r>
            <w:r>
              <w:rPr>
                <w:rStyle w:val="Text0"/>
              </w:rPr>
              <w:t>unixfrom</w:t>
            </w:r>
            <w:r>
              <w:t xml:space="preserve"> is true, also includes a first line, normally starting with </w:t>
            </w:r>
            <w:r>
              <w:rPr>
                <w:rStyle w:val="Text0"/>
              </w:rPr>
              <w:t>'From '</w:t>
            </w:r>
            <w:r>
              <w:t xml:space="preserve">, known as the </w:t>
            </w:r>
            <w:r>
              <w:rPr>
                <w:rStyle w:val="Text4"/>
              </w:rPr>
              <w:t>envelope header</w:t>
            </w:r>
            <w:r>
              <w:t xml:space="preserve"> of the message.</w:t>
            </w:r>
          </w:p>
        </w:tc>
      </w:tr>
    </w:tbl>
    <w:tbl>
      <w:tblPr>
        <w:tblW w:type="auto" w:w="0"/>
      </w:tblPr>
      <w:tr>
        <w:tc>
          <w:tcPr>
            <w:tcW w:type="auto" w:w="0"/>
            <w:tcMar>
              <w:left w:type="dxa" w:w="200"/>
              <w:top w:type="dxa" w:w="200"/>
              <w:right w:type="dxa" w:w="200"/>
              <w:bottom w:type="dxa" w:w="200"/>
            </w:tcMar>
          </w:tcPr>
          <w:p>
            <w:pPr>
              <w:pStyle w:val="Para 001"/>
            </w:pPr>
            <w:r>
              <w:t>attach</w:t>
            </w:r>
          </w:p>
        </w:tc>
        <w:tc>
          <w:tcPr>
            <w:tcW w:type="auto" w:w="0"/>
            <w:tcMar>
              <w:left w:type="dxa" w:w="200"/>
              <w:top w:type="dxa" w:w="200"/>
              <w:right w:type="dxa" w:w="200"/>
              <w:bottom w:type="dxa" w:w="200"/>
            </w:tcMar>
          </w:tcPr>
          <w:p>
            <w:pPr>
              <w:pStyle w:val="Para 002"/>
            </w:pPr>
            <w:r>
              <w:rPr>
                <w:rStyle w:val="Text3"/>
              </w:rPr>
              <w:t>m</w:t>
            </w:r>
            <w:r>
              <w:rPr>
                <w:rStyle w:val="Text0"/>
              </w:rPr>
              <w:t>.attach(</w:t>
            </w:r>
            <w:r>
              <w:rPr>
                <w:rStyle w:val="Text3"/>
              </w:rPr>
              <w:t>payload</w:t>
            </w:r>
            <w:r>
              <w:rPr>
                <w:rStyle w:val="Text0"/>
              </w:rPr>
              <w:t>)</w:t>
              <w:br w:clear="none"/>
            </w:r>
            <w:r>
              <w:t xml:space="preserve"> Adds </w:t>
            </w:r>
            <w:r>
              <w:rPr>
                <w:rStyle w:val="Text3"/>
              </w:rPr>
              <w:t>payload</w:t>
            </w:r>
            <w:r>
              <w:t xml:space="preserve">, a message, to </w:t>
            </w:r>
            <w:r>
              <w:rPr>
                <w:rStyle w:val="Text3"/>
              </w:rPr>
              <w:t>m</w:t>
            </w:r>
            <w:r>
              <w:t xml:space="preserve">’s payload. When </w:t>
            </w:r>
            <w:r>
              <w:rPr>
                <w:rStyle w:val="Text3"/>
              </w:rPr>
              <w:t>m</w:t>
            </w:r>
            <w:r>
              <w:t xml:space="preserve">’s payload is </w:t>
            </w:r>
            <w:r>
              <w:rPr>
                <w:rStyle w:val="Text5"/>
              </w:rPr>
              <w:t>None</w:t>
            </w:r>
            <w:r>
              <w:t xml:space="preserve">, </w:t>
            </w:r>
            <w:r>
              <w:rPr>
                <w:rStyle w:val="Text3"/>
              </w:rPr>
              <w:t>m</w:t>
            </w:r>
            <w:r>
              <w:t xml:space="preserve">’s payload is now the single-item list </w:t>
            </w:r>
            <w:r>
              <w:rPr>
                <w:rStyle w:val="Text0"/>
              </w:rPr>
              <w:t>[</w:t>
            </w:r>
            <w:r>
              <w:rPr>
                <w:rStyle w:val="Text3"/>
              </w:rPr>
              <w:t>payload</w:t>
            </w:r>
            <w:r>
              <w:rPr>
                <w:rStyle w:val="Text0"/>
              </w:rPr>
              <w:t>]</w:t>
            </w:r>
            <w:r>
              <w:t xml:space="preserve">. When </w:t>
            </w:r>
            <w:r>
              <w:rPr>
                <w:rStyle w:val="Text3"/>
              </w:rPr>
              <w:t>m</w:t>
            </w:r>
            <w:r>
              <w:t xml:space="preserve">’s payload is a list of messages, appends </w:t>
            </w:r>
            <w:r>
              <w:rPr>
                <w:rStyle w:val="Text3"/>
              </w:rPr>
              <w:t>payload</w:t>
            </w:r>
            <w:r>
              <w:t xml:space="preserve"> to the list. When </w:t>
            </w:r>
            <w:r>
              <w:rPr>
                <w:rStyle w:val="Text3"/>
              </w:rPr>
              <w:t>m</w:t>
            </w:r>
            <w:r>
              <w:t xml:space="preserve">’s payload is anything else, </w:t>
            </w:r>
            <w:r>
              <w:rPr>
                <w:rStyle w:val="Text3"/>
              </w:rPr>
              <w:t>m</w:t>
            </w:r>
            <w:r>
              <w:rPr>
                <w:rStyle w:val="Text0"/>
              </w:rPr>
              <w:t>.attach(</w:t>
            </w:r>
            <w:r>
              <w:rPr>
                <w:rStyle w:val="Text3"/>
              </w:rPr>
              <w:t>payload</w:t>
            </w:r>
            <w:r>
              <w:rPr>
                <w:rStyle w:val="Text0"/>
              </w:rPr>
              <w:t>)</w:t>
            </w:r>
            <w:r>
              <w:t xml:space="preserve"> raises </w:t>
            </w:r>
            <w:r>
              <w:rPr>
                <w:rStyle w:val="Text0"/>
              </w:rPr>
              <w:t>MultipartConversionError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epilogue</w:t>
            </w:r>
          </w:p>
        </w:tc>
        <w:tc>
          <w:tcPr>
            <w:tcW w:type="auto" w:w="0"/>
            <w:shd w:val="clear" w:color="auto" w:fill="EEF2F6"/>
            <w:tcMar>
              <w:left w:type="dxa" w:w="200"/>
              <w:top w:type="dxa" w:w="200"/>
              <w:right w:type="dxa" w:w="200"/>
              <w:bottom w:type="dxa" w:w="200"/>
            </w:tcMar>
          </w:tcPr>
          <w:p>
            <w:pPr>
              <w:pStyle w:val="Para 002"/>
            </w:pPr>
            <w:r>
              <w:t xml:space="preserve">The attribute </w:t>
            </w:r>
            <w:r>
              <w:rPr>
                <w:rStyle w:val="Text3"/>
              </w:rPr>
              <w:t>m</w:t>
            </w:r>
            <w:r>
              <w:rPr>
                <w:rStyle w:val="Text0"/>
              </w:rPr>
              <w:t>.epilogue</w:t>
            </w:r>
            <w:r>
              <w:t xml:space="preserve"> can be </w:t>
            </w:r>
            <w:r>
              <w:rPr>
                <w:rStyle w:val="Text5"/>
              </w:rPr>
              <w:t>None</w:t>
            </w:r>
            <w:r>
              <w:t xml:space="preserve">, or a string that becomes part of the message’s string form after the last boundary line. Mail programs normally don’t display this text. </w:t>
            </w:r>
            <w:r>
              <w:rPr>
                <w:rStyle w:val="Text0"/>
              </w:rPr>
              <w:t>epilogue</w:t>
            </w:r>
            <w:r>
              <w:t xml:space="preserve"> is a normal attribute of </w:t>
            </w:r>
            <w:r>
              <w:rPr>
                <w:rStyle w:val="Text3"/>
              </w:rPr>
              <w:t>m</w:t>
            </w:r>
            <w:r>
              <w:t xml:space="preserve">: your program can access it when you’re handling any </w:t>
            </w:r>
            <w:r>
              <w:rPr>
                <w:rStyle w:val="Text3"/>
              </w:rPr>
              <w:t>m</w:t>
            </w:r>
            <w:r>
              <w:t xml:space="preserve">, and bind it when you’re building or modifying </w:t>
            </w:r>
            <w:r>
              <w:rPr>
                <w:rStyle w:val="Text3"/>
              </w:rPr>
              <w:t>m</w:t>
            </w:r>
            <w:r>
              <w:t>.</w:t>
            </w:r>
          </w:p>
        </w:tc>
      </w:tr>
    </w:tbl>
    <w:tbl>
      <w:tblPr>
        <w:tblW w:type="auto" w:w="0"/>
      </w:tblPr>
      <w:tr>
        <w:tc>
          <w:tcPr>
            <w:tcW w:type="auto" w:w="0"/>
            <w:tcMar>
              <w:left w:type="dxa" w:w="200"/>
              <w:top w:type="dxa" w:w="200"/>
              <w:right w:type="dxa" w:w="200"/>
              <w:bottom w:type="dxa" w:w="200"/>
            </w:tcMar>
          </w:tcPr>
          <w:p>
            <w:pPr>
              <w:pStyle w:val="Para 001"/>
            </w:pPr>
            <w:r>
              <w:t>get_all</w:t>
            </w:r>
          </w:p>
        </w:tc>
        <w:tc>
          <w:tcPr>
            <w:tcW w:type="auto" w:w="0"/>
            <w:tcMar>
              <w:left w:type="dxa" w:w="200"/>
              <w:top w:type="dxa" w:w="200"/>
              <w:right w:type="dxa" w:w="200"/>
              <w:bottom w:type="dxa" w:w="200"/>
            </w:tcMar>
          </w:tcPr>
          <w:p>
            <w:pPr>
              <w:pStyle w:val="Para 002"/>
            </w:pPr>
            <w:r>
              <w:rPr>
                <w:rStyle w:val="Text3"/>
              </w:rPr>
              <w:t>m</w:t>
            </w:r>
            <w:r>
              <w:rPr>
                <w:rStyle w:val="Text0"/>
              </w:rPr>
              <w:t>.get_all(</w:t>
            </w:r>
            <w:r>
              <w:rPr>
                <w:rStyle w:val="Text3"/>
              </w:rPr>
              <w:t>name</w:t>
            </w:r>
            <w:r>
              <w:rPr>
                <w:rStyle w:val="Text0"/>
              </w:rPr>
              <w:t>, default=</w:t>
            </w:r>
            <w:r>
              <w:rPr>
                <w:rStyle w:val="Text5"/>
              </w:rPr>
              <w:t>None</w:t>
            </w:r>
            <w:r>
              <w:rPr>
                <w:rStyle w:val="Text0"/>
              </w:rPr>
              <w:t>)</w:t>
              <w:br w:clear="none"/>
            </w:r>
            <w:r>
              <w:t xml:space="preserve"> Returns a list with all values of headers named </w:t>
            </w:r>
            <w:r>
              <w:rPr>
                <w:rStyle w:val="Text3"/>
              </w:rPr>
              <w:t>name</w:t>
            </w:r>
            <w:r>
              <w:t xml:space="preserve"> in the order in which the headers are added to </w:t>
            </w:r>
            <w:r>
              <w:rPr>
                <w:rStyle w:val="Text3"/>
              </w:rPr>
              <w:t>m</w:t>
            </w:r>
            <w:r>
              <w:t xml:space="preserve">. When </w:t>
            </w:r>
            <w:r>
              <w:rPr>
                <w:rStyle w:val="Text3"/>
              </w:rPr>
              <w:t>m</w:t>
            </w:r>
            <w:r>
              <w:t xml:space="preserve"> has no header named </w:t>
            </w:r>
            <w:r>
              <w:rPr>
                <w:rStyle w:val="Text3"/>
              </w:rPr>
              <w:t>name</w:t>
            </w:r>
            <w:r>
              <w:t xml:space="preserve">, </w:t>
            </w:r>
            <w:r>
              <w:rPr>
                <w:rStyle w:val="Text0"/>
              </w:rPr>
              <w:t>get_all</w:t>
            </w:r>
            <w:r>
              <w:t xml:space="preserve"> returns </w:t>
            </w:r>
            <w:r>
              <w:rPr>
                <w:rStyle w:val="Text0"/>
              </w:rPr>
              <w:t>default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get_boundary</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.get_boundary(default=</w:t>
            </w:r>
            <w:r>
              <w:rPr>
                <w:rStyle w:val="Text5"/>
              </w:rPr>
              <w:t>None</w:t>
            </w:r>
            <w:r>
              <w:rPr>
                <w:rStyle w:val="Text0"/>
              </w:rPr>
              <w:t>)</w:t>
              <w:br w:clear="none"/>
            </w:r>
            <w:r>
              <w:t xml:space="preserve"> Returns the string value of the </w:t>
            </w:r>
            <w:r>
              <w:rPr>
                <w:rStyle w:val="Text0"/>
              </w:rPr>
              <w:t>boundary</w:t>
            </w:r>
            <w:r>
              <w:t xml:space="preserve"> parameter of </w:t>
            </w:r>
            <w:r>
              <w:rPr>
                <w:rStyle w:val="Text3"/>
              </w:rPr>
              <w:t>m</w:t>
            </w:r>
            <w:r>
              <w:t xml:space="preserve">’s Content-Type header. When </w:t>
            </w:r>
            <w:r>
              <w:rPr>
                <w:rStyle w:val="Text3"/>
              </w:rPr>
              <w:t>m</w:t>
            </w:r>
            <w:r>
              <w:t xml:space="preserve"> has no Content-Type header, or the header has no </w:t>
            </w:r>
            <w:r>
              <w:rPr>
                <w:rStyle w:val="Text0"/>
              </w:rPr>
              <w:t>boundary</w:t>
            </w:r>
            <w:r>
              <w:t xml:space="preserve"> parameter, </w:t>
            </w:r>
            <w:r>
              <w:rPr>
                <w:rStyle w:val="Text0"/>
              </w:rPr>
              <w:t>get_boundary</w:t>
            </w:r>
            <w:r>
              <w:t xml:space="preserve"> returns </w:t>
            </w:r>
            <w:r>
              <w:rPr>
                <w:rStyle w:val="Text0"/>
              </w:rPr>
              <w:t>default</w:t>
            </w:r>
            <w:r>
              <w:t>.</w:t>
            </w:r>
          </w:p>
        </w:tc>
      </w:tr>
    </w:tbl>
    <w:tbl>
      <w:tblPr>
        <w:tblW w:type="auto" w:w="0"/>
      </w:tblPr>
      <w:tr>
        <w:tc>
          <w:tcPr>
            <w:tcW w:type="auto" w:w="0"/>
            <w:tcMar>
              <w:left w:type="dxa" w:w="200"/>
              <w:top w:type="dxa" w:w="200"/>
              <w:right w:type="dxa" w:w="200"/>
              <w:bottom w:type="dxa" w:w="200"/>
            </w:tcMar>
          </w:tcPr>
          <w:p>
            <w:pPr>
              <w:pStyle w:val="Para 001"/>
            </w:pPr>
            <w:r>
              <w:t>get_charsets</w:t>
            </w:r>
          </w:p>
        </w:tc>
        <w:tc>
          <w:tcPr>
            <w:tcW w:type="auto" w:w="0"/>
            <w:tcMar>
              <w:left w:type="dxa" w:w="200"/>
              <w:top w:type="dxa" w:w="200"/>
              <w:right w:type="dxa" w:w="200"/>
              <w:bottom w:type="dxa" w:w="200"/>
            </w:tcMar>
          </w:tcPr>
          <w:p>
            <w:pPr>
              <w:pStyle w:val="Para 002"/>
            </w:pPr>
            <w:r>
              <w:rPr>
                <w:rStyle w:val="Text3"/>
              </w:rPr>
              <w:t>m</w:t>
            </w:r>
            <w:r>
              <w:rPr>
                <w:rStyle w:val="Text0"/>
              </w:rPr>
              <w:t>.get_charsets(default=</w:t>
            </w:r>
            <w:r>
              <w:rPr>
                <w:rStyle w:val="Text5"/>
              </w:rPr>
              <w:t>None</w:t>
            </w:r>
            <w:r>
              <w:rPr>
                <w:rStyle w:val="Text0"/>
              </w:rPr>
              <w:t>)</w:t>
              <w:br w:clear="none"/>
            </w:r>
            <w:r>
              <w:t xml:space="preserve"> Returns the list </w:t>
            </w:r>
            <w:r>
              <w:rPr>
                <w:rStyle w:val="Text3"/>
              </w:rPr>
              <w:t>L</w:t>
            </w:r>
            <w:r>
              <w:t xml:space="preserve"> of string values of parameter </w:t>
            </w:r>
            <w:r>
              <w:rPr>
                <w:rStyle w:val="Text0"/>
              </w:rPr>
              <w:t>charset</w:t>
            </w:r>
            <w:r>
              <w:t xml:space="preserve"> of </w:t>
            </w:r>
            <w:r>
              <w:rPr>
                <w:rStyle w:val="Text3"/>
              </w:rPr>
              <w:t>m</w:t>
            </w:r>
            <w:r>
              <w:t xml:space="preserve">’s Content-Type header. When </w:t>
            </w:r>
            <w:r>
              <w:rPr>
                <w:rStyle w:val="Text3"/>
              </w:rPr>
              <w:t>m</w:t>
            </w:r>
            <w:r>
              <w:t xml:space="preserve"> is multipart, </w:t>
            </w:r>
            <w:r>
              <w:rPr>
                <w:rStyle w:val="Text3"/>
              </w:rPr>
              <w:t>L</w:t>
            </w:r>
            <w:r>
              <w:t xml:space="preserve"> has one item per part; otherwise, </w:t>
            </w:r>
            <w:r>
              <w:rPr>
                <w:rStyle w:val="Text3"/>
              </w:rPr>
              <w:t>L</w:t>
            </w:r>
            <w:r>
              <w:t xml:space="preserve"> has length </w:t>
            </w:r>
            <w:r>
              <w:rPr>
                <w:rStyle w:val="Text0"/>
              </w:rPr>
              <w:t>1</w:t>
            </w:r>
            <w:r>
              <w:t xml:space="preserve">. For parts that have no Content-Type header, no </w:t>
            </w:r>
            <w:r>
              <w:rPr>
                <w:rStyle w:val="Text0"/>
              </w:rPr>
              <w:t>charset</w:t>
            </w:r>
            <w:r>
              <w:t xml:space="preserve"> parameter, or a main type different from </w:t>
            </w:r>
            <w:r>
              <w:rPr>
                <w:rStyle w:val="Text0"/>
              </w:rPr>
              <w:t>'text'</w:t>
            </w:r>
            <w:r>
              <w:t xml:space="preserve">, the corresponding item in </w:t>
            </w:r>
            <w:r>
              <w:rPr>
                <w:rStyle w:val="Text3"/>
              </w:rPr>
              <w:t>L</w:t>
            </w:r>
            <w:r>
              <w:t xml:space="preserve"> is </w:t>
            </w:r>
            <w:r>
              <w:rPr>
                <w:rStyle w:val="Text0"/>
              </w:rPr>
              <w:t>default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g⁠e⁠t⁠_⁠c⁠o⁠n⁠t⁠e⁠n⁠t⁠_​m⁠a⁠i⁠n⁠t⁠y⁠p⁠e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.get_content_maintype(default=</w:t>
            </w:r>
            <w:r>
              <w:rPr>
                <w:rStyle w:val="Text5"/>
              </w:rPr>
              <w:t>None</w:t>
            </w:r>
            <w:r>
              <w:rPr>
                <w:rStyle w:val="Text0"/>
              </w:rPr>
              <w:t>)</w:t>
              <w:br w:clear="none"/>
            </w:r>
            <w:r>
              <w:t xml:space="preserve"> Returns </w:t>
            </w:r>
            <w:r>
              <w:rPr>
                <w:rStyle w:val="Text3"/>
              </w:rPr>
              <w:t>m</w:t>
            </w:r>
            <w:r>
              <w:t xml:space="preserve">’s main content type: a lowercase string </w:t>
            </w:r>
            <w:r>
              <w:rPr>
                <w:rStyle w:val="Text0"/>
              </w:rPr>
              <w:t>'</w:t>
            </w:r>
            <w:r>
              <w:rPr>
                <w:rStyle w:val="Text3"/>
              </w:rPr>
              <w:t>maintype</w:t>
            </w:r>
            <w:r>
              <w:rPr>
                <w:rStyle w:val="Text0"/>
              </w:rPr>
              <w:t>'</w:t>
            </w:r>
            <w:r>
              <w:t xml:space="preserve"> taken from header Content-Type. For example, when Content-Type is </w:t>
            </w:r>
            <w:r>
              <w:rPr>
                <w:rStyle w:val="Text0"/>
              </w:rPr>
              <w:t>'Text/Html'</w:t>
            </w:r>
            <w:r>
              <w:t xml:space="preserve">, </w:t>
            </w:r>
            <w:r>
              <w:rPr>
                <w:rStyle w:val="Text0"/>
              </w:rPr>
              <w:t>get_content_maintype</w:t>
            </w:r>
            <w:r>
              <w:t xml:space="preserve"> returns </w:t>
            </w:r>
            <w:r>
              <w:rPr>
                <w:rStyle w:val="Text0"/>
              </w:rPr>
              <w:t>'text'</w:t>
            </w:r>
            <w:r>
              <w:t xml:space="preserve">. When </w:t>
            </w:r>
            <w:r>
              <w:rPr>
                <w:rStyle w:val="Text3"/>
              </w:rPr>
              <w:t>m</w:t>
            </w:r>
            <w:r>
              <w:t xml:space="preserve"> has no Content-Type header, </w:t>
            </w:r>
            <w:r>
              <w:rPr>
                <w:rStyle w:val="Text0"/>
              </w:rPr>
              <w:t>get_content_maintype</w:t>
            </w:r>
            <w:r>
              <w:t xml:space="preserve"> returns </w:t>
            </w:r>
            <w:r>
              <w:rPr>
                <w:rStyle w:val="Text0"/>
              </w:rPr>
              <w:t>default</w:t>
            </w:r>
            <w:r>
              <w:t>.</w:t>
            </w:r>
          </w:p>
        </w:tc>
      </w:tr>
    </w:tbl>
    <w:tbl>
      <w:tblPr>
        <w:tblW w:type="auto" w:w="0"/>
      </w:tblPr>
      <w:tr>
        <w:tc>
          <w:tcPr>
            <w:tcW w:type="auto" w:w="0"/>
            <w:tcMar>
              <w:left w:type="dxa" w:w="200"/>
              <w:top w:type="dxa" w:w="200"/>
              <w:right w:type="dxa" w:w="200"/>
              <w:bottom w:type="dxa" w:w="200"/>
            </w:tcMar>
          </w:tcPr>
          <w:p>
            <w:pPr>
              <w:pStyle w:val="Para 001"/>
            </w:pPr>
            <w:r>
              <w:t>g⁠e⁠t⁠_⁠c⁠o⁠n⁠t⁠e⁠n⁠t⁠_​s⁠u⁠b⁠t⁠y⁠p⁠e</w:t>
            </w:r>
          </w:p>
        </w:tc>
        <w:tc>
          <w:tcPr>
            <w:tcW w:type="auto" w:w="0"/>
            <w:tcMar>
              <w:left w:type="dxa" w:w="200"/>
              <w:top w:type="dxa" w:w="200"/>
              <w:right w:type="dxa" w:w="200"/>
              <w:bottom w:type="dxa" w:w="200"/>
            </w:tcMar>
          </w:tcPr>
          <w:p>
            <w:pPr>
              <w:pStyle w:val="Para 002"/>
            </w:pPr>
            <w:r>
              <w:rPr>
                <w:rStyle w:val="Text3"/>
              </w:rPr>
              <w:t>m</w:t>
            </w:r>
            <w:r>
              <w:rPr>
                <w:rStyle w:val="Text0"/>
              </w:rPr>
              <w:t>.get_content_subtype(default=</w:t>
            </w:r>
            <w:r>
              <w:rPr>
                <w:rStyle w:val="Text5"/>
              </w:rPr>
              <w:t>None</w:t>
            </w:r>
            <w:r>
              <w:rPr>
                <w:rStyle w:val="Text0"/>
              </w:rPr>
              <w:t>)</w:t>
              <w:br w:clear="none"/>
            </w:r>
            <w:r>
              <w:t xml:space="preserve"> Returns </w:t>
            </w:r>
            <w:r>
              <w:rPr>
                <w:rStyle w:val="Text3"/>
              </w:rPr>
              <w:t>m</w:t>
            </w:r>
            <w:r>
              <w:t xml:space="preserve">’s content subtype: a lowercase string </w:t>
            </w:r>
            <w:r>
              <w:rPr>
                <w:rStyle w:val="Text0"/>
              </w:rPr>
              <w:t>'</w:t>
            </w:r>
            <w:r>
              <w:rPr>
                <w:rStyle w:val="Text3"/>
              </w:rPr>
              <w:t>subtype</w:t>
            </w:r>
            <w:r>
              <w:rPr>
                <w:rStyle w:val="Text0"/>
              </w:rPr>
              <w:t>'</w:t>
            </w:r>
            <w:r>
              <w:t xml:space="preserve"> taken from header Content-Type. For example, when Content-Type is </w:t>
            </w:r>
            <w:r>
              <w:rPr>
                <w:rStyle w:val="Text0"/>
              </w:rPr>
              <w:t>'Text/Html'</w:t>
            </w:r>
            <w:r>
              <w:t xml:space="preserve">, </w:t>
            </w:r>
            <w:r>
              <w:rPr>
                <w:rStyle w:val="Text0"/>
              </w:rPr>
              <w:t>get_content_subtype</w:t>
            </w:r>
            <w:r>
              <w:t xml:space="preserve"> returns </w:t>
            </w:r>
            <w:r>
              <w:rPr>
                <w:rStyle w:val="Text0"/>
              </w:rPr>
              <w:t>'html'</w:t>
            </w:r>
            <w:r>
              <w:t xml:space="preserve">. When </w:t>
            </w:r>
            <w:r>
              <w:rPr>
                <w:rStyle w:val="Text3"/>
              </w:rPr>
              <w:t>m</w:t>
            </w:r>
            <w:r>
              <w:t xml:space="preserve"> has no Content-Type header, </w:t>
            </w:r>
            <w:r>
              <w:rPr>
                <w:rStyle w:val="Text0"/>
              </w:rPr>
              <w:t>get_content_subtype</w:t>
            </w:r>
            <w:r>
              <w:t xml:space="preserve"> returns </w:t>
            </w:r>
            <w:r>
              <w:rPr>
                <w:rStyle w:val="Text0"/>
              </w:rPr>
              <w:t>default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g⁠e⁠t⁠_⁠c⁠o⁠n⁠t⁠e⁠n⁠t⁠_​t⁠y⁠p⁠e</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.get_content_type(default=</w:t>
            </w:r>
            <w:r>
              <w:rPr>
                <w:rStyle w:val="Text5"/>
              </w:rPr>
              <w:t>None</w:t>
            </w:r>
            <w:r>
              <w:rPr>
                <w:rStyle w:val="Text0"/>
              </w:rPr>
              <w:t>)</w:t>
              <w:br w:clear="none"/>
            </w:r>
            <w:r>
              <w:t xml:space="preserve"> Returns </w:t>
            </w:r>
            <w:r>
              <w:rPr>
                <w:rStyle w:val="Text3"/>
              </w:rPr>
              <w:t>m</w:t>
            </w:r>
            <w:r>
              <w:t xml:space="preserve">’s content type: a lowercase string </w:t>
            </w:r>
            <w:r>
              <w:rPr>
                <w:rStyle w:val="Text0"/>
              </w:rPr>
              <w:t>'</w:t>
            </w:r>
            <w:r>
              <w:rPr>
                <w:rStyle w:val="Text3"/>
              </w:rPr>
              <w:t>maintype/subtype</w:t>
            </w:r>
            <w:r>
              <w:rPr>
                <w:rStyle w:val="Text0"/>
              </w:rPr>
              <w:t>'</w:t>
            </w:r>
            <w:r>
              <w:t xml:space="preserve"> taken from header Content-Type. For example, when Content-Type is </w:t>
            </w:r>
            <w:r>
              <w:rPr>
                <w:rStyle w:val="Text0"/>
              </w:rPr>
              <w:t>'Text/Html'</w:t>
            </w:r>
            <w:r>
              <w:t xml:space="preserve">, </w:t>
            </w:r>
            <w:r>
              <w:rPr>
                <w:rStyle w:val="Text0"/>
              </w:rPr>
              <w:t>get_content_type</w:t>
            </w:r>
            <w:r>
              <w:t xml:space="preserve"> returns </w:t>
            </w:r>
            <w:r>
              <w:rPr>
                <w:rStyle w:val="Text0"/>
              </w:rPr>
              <w:t>'text/html'</w:t>
            </w:r>
            <w:r>
              <w:t xml:space="preserve">. When </w:t>
            </w:r>
            <w:r>
              <w:rPr>
                <w:rStyle w:val="Text3"/>
              </w:rPr>
              <w:t>m</w:t>
            </w:r>
            <w:r>
              <w:t xml:space="preserve"> has no Content-Type header, </w:t>
            </w:r>
            <w:r>
              <w:rPr>
                <w:rStyle w:val="Text0"/>
              </w:rPr>
              <w:t>get_content_type</w:t>
            </w:r>
            <w:r>
              <w:t xml:space="preserve"> returns </w:t>
            </w:r>
            <w:r>
              <w:rPr>
                <w:rStyle w:val="Text0"/>
              </w:rPr>
              <w:t>default</w:t>
            </w:r>
            <w:r>
              <w:t>.</w:t>
            </w:r>
          </w:p>
        </w:tc>
      </w:tr>
    </w:tbl>
    <w:tbl>
      <w:tblPr>
        <w:tblW w:type="auto" w:w="0"/>
      </w:tblPr>
      <w:tr>
        <w:tc>
          <w:tcPr>
            <w:tcW w:type="auto" w:w="0"/>
            <w:tcMar>
              <w:left w:type="dxa" w:w="200"/>
              <w:top w:type="dxa" w:w="200"/>
              <w:right w:type="dxa" w:w="200"/>
              <w:bottom w:type="dxa" w:w="200"/>
            </w:tcMar>
          </w:tcPr>
          <w:p>
            <w:pPr>
              <w:pStyle w:val="Para 001"/>
            </w:pPr>
            <w:r>
              <w:t>get_filename</w:t>
            </w:r>
          </w:p>
        </w:tc>
        <w:tc>
          <w:tcPr>
            <w:tcW w:type="auto" w:w="0"/>
            <w:tcMar>
              <w:left w:type="dxa" w:w="200"/>
              <w:top w:type="dxa" w:w="200"/>
              <w:right w:type="dxa" w:w="200"/>
              <w:bottom w:type="dxa" w:w="200"/>
            </w:tcMar>
          </w:tcPr>
          <w:p>
            <w:pPr>
              <w:pStyle w:val="Para 002"/>
            </w:pPr>
            <w:r>
              <w:rPr>
                <w:rStyle w:val="Text3"/>
              </w:rPr>
              <w:t>m</w:t>
            </w:r>
            <w:r>
              <w:rPr>
                <w:rStyle w:val="Text0"/>
              </w:rPr>
              <w:t>.get_filename(default=</w:t>
            </w:r>
            <w:r>
              <w:rPr>
                <w:rStyle w:val="Text5"/>
              </w:rPr>
              <w:t>None</w:t>
            </w:r>
            <w:r>
              <w:rPr>
                <w:rStyle w:val="Text0"/>
              </w:rPr>
              <w:t>)</w:t>
              <w:br w:clear="none"/>
            </w:r>
            <w:r>
              <w:t xml:space="preserve"> Returns the string value of the </w:t>
            </w:r>
            <w:r>
              <w:rPr>
                <w:rStyle w:val="Text0"/>
              </w:rPr>
              <w:t>filename</w:t>
            </w:r>
            <w:r>
              <w:t xml:space="preserve"> parameter of </w:t>
            </w:r>
            <w:r>
              <w:rPr>
                <w:rStyle w:val="Text3"/>
              </w:rPr>
              <w:t>m</w:t>
            </w:r>
            <w:r>
              <w:t xml:space="preserve">’s Content-Disposition header. When </w:t>
            </w:r>
            <w:r>
              <w:rPr>
                <w:rStyle w:val="Text3"/>
              </w:rPr>
              <w:t>m</w:t>
            </w:r>
            <w:r>
              <w:t xml:space="preserve"> has no Content-Disposition header, or the header has no </w:t>
            </w:r>
            <w:r>
              <w:rPr>
                <w:rStyle w:val="Text0"/>
              </w:rPr>
              <w:t>filename</w:t>
            </w:r>
            <w:r>
              <w:t xml:space="preserve"> parameter, </w:t>
            </w:r>
            <w:r>
              <w:rPr>
                <w:rStyle w:val="Text0"/>
              </w:rPr>
              <w:t>get_filename</w:t>
            </w:r>
            <w:r>
              <w:t xml:space="preserve"> returns </w:t>
            </w:r>
            <w:r>
              <w:rPr>
                <w:rStyle w:val="Text0"/>
              </w:rPr>
              <w:t>default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get_param</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.get_param(</w:t>
            </w:r>
            <w:r>
              <w:rPr>
                <w:rStyle w:val="Text3"/>
              </w:rPr>
              <w:t>param</w:t>
            </w:r>
            <w:r>
              <w:rPr>
                <w:rStyle w:val="Text0"/>
              </w:rPr>
              <w:t>,</w:t>
            </w:r>
            <w:r>
              <w:t xml:space="preserve"> </w:t>
            </w:r>
            <w:r>
              <w:rPr>
                <w:rStyle w:val="Text3"/>
              </w:rPr>
              <w:t>d</w:t>
            </w:r>
            <w:r>
              <w:rPr>
                <w:rStyle w:val="Text0"/>
              </w:rPr>
              <w:t>efault=</w:t>
            </w:r>
            <w:r>
              <w:rPr>
                <w:rStyle w:val="Text5"/>
              </w:rPr>
              <w:t>None</w:t>
            </w:r>
            <w:r>
              <w:rPr>
                <w:rStyle w:val="Text0"/>
              </w:rPr>
              <w:t>, header='Content-Type')</w:t>
              <w:br w:clear="none"/>
            </w:r>
            <w:r>
              <w:t xml:space="preserve"> Returns the string value of parameter </w:t>
            </w:r>
            <w:r>
              <w:rPr>
                <w:rStyle w:val="Text3"/>
              </w:rPr>
              <w:t>param</w:t>
            </w:r>
            <w:r>
              <w:t xml:space="preserve"> of </w:t>
            </w:r>
            <w:r>
              <w:rPr>
                <w:rStyle w:val="Text3"/>
              </w:rPr>
              <w:t>m</w:t>
            </w:r>
            <w:r>
              <w:t xml:space="preserve">’s header </w:t>
            </w:r>
            <w:r>
              <w:rPr>
                <w:rStyle w:val="Text0"/>
              </w:rPr>
              <w:t>header</w:t>
            </w:r>
            <w:r>
              <w:t xml:space="preserve">. Returns </w:t>
            </w:r>
            <w:r>
              <w:rPr>
                <w:rStyle w:val="Text0"/>
              </w:rPr>
              <w:t>''</w:t>
            </w:r>
            <w:r>
              <w:t xml:space="preserve"> for a parameter specified just by name (without a value). When </w:t>
            </w:r>
            <w:r>
              <w:rPr>
                <w:rStyle w:val="Text3"/>
              </w:rPr>
              <w:t>m</w:t>
            </w:r>
            <w:r>
              <w:t xml:space="preserve"> has no header </w:t>
            </w:r>
            <w:r>
              <w:rPr>
                <w:rStyle w:val="Text0"/>
              </w:rPr>
              <w:t>header</w:t>
            </w:r>
            <w:r>
              <w:t xml:space="preserve">, or the header has no parameter named </w:t>
            </w:r>
            <w:r>
              <w:rPr>
                <w:rStyle w:val="Text3"/>
              </w:rPr>
              <w:t>param</w:t>
            </w:r>
            <w:r>
              <w:t xml:space="preserve">, </w:t>
            </w:r>
            <w:r>
              <w:rPr>
                <w:rStyle w:val="Text0"/>
              </w:rPr>
              <w:t>get_param</w:t>
            </w:r>
            <w:r>
              <w:t xml:space="preserve"> returns </w:t>
            </w:r>
            <w:r>
              <w:rPr>
                <w:rStyle w:val="Text0"/>
              </w:rPr>
              <w:t>default</w:t>
            </w:r>
            <w:r>
              <w:t>.</w:t>
            </w:r>
          </w:p>
        </w:tc>
      </w:tr>
    </w:tbl>
    <w:tbl>
      <w:tblPr>
        <w:tblW w:type="auto" w:w="0"/>
      </w:tblPr>
      <w:tr>
        <w:tc>
          <w:tcPr>
            <w:tcW w:type="auto" w:w="0"/>
            <w:tcMar>
              <w:left w:type="dxa" w:w="200"/>
              <w:top w:type="dxa" w:w="200"/>
              <w:right w:type="dxa" w:w="200"/>
              <w:bottom w:type="dxa" w:w="200"/>
            </w:tcMar>
          </w:tcPr>
          <w:p>
            <w:pPr>
              <w:pStyle w:val="Para 001"/>
            </w:pPr>
            <w:r>
              <w:t>get_params</w:t>
            </w:r>
          </w:p>
        </w:tc>
        <w:tc>
          <w:tcPr>
            <w:tcW w:type="auto" w:w="0"/>
            <w:tcMar>
              <w:left w:type="dxa" w:w="200"/>
              <w:top w:type="dxa" w:w="200"/>
              <w:right w:type="dxa" w:w="200"/>
              <w:bottom w:type="dxa" w:w="200"/>
            </w:tcMar>
          </w:tcPr>
          <w:p>
            <w:pPr>
              <w:pStyle w:val="Para 002"/>
            </w:pPr>
            <w:r>
              <w:rPr>
                <w:rStyle w:val="Text3"/>
              </w:rPr>
              <w:t>m</w:t>
            </w:r>
            <w:r>
              <w:rPr>
                <w:rStyle w:val="Text0"/>
              </w:rPr>
              <w:t>.get_params(default=</w:t>
            </w:r>
            <w:r>
              <w:rPr>
                <w:rStyle w:val="Text5"/>
              </w:rPr>
              <w:t>None</w:t>
            </w:r>
            <w:r>
              <w:rPr>
                <w:rStyle w:val="Text0"/>
              </w:rPr>
              <w:t>, header='Content-Type')</w:t>
              <w:br w:clear="none"/>
            </w:r>
            <w:r>
              <w:t xml:space="preserve"> Returns the parameters of </w:t>
            </w:r>
            <w:r>
              <w:rPr>
                <w:rStyle w:val="Text3"/>
              </w:rPr>
              <w:t>m</w:t>
            </w:r>
            <w:r>
              <w:t xml:space="preserve">’s header </w:t>
            </w:r>
            <w:r>
              <w:rPr>
                <w:rStyle w:val="Text0"/>
              </w:rPr>
              <w:t>header</w:t>
            </w:r>
            <w:r>
              <w:t xml:space="preserve">, a list of pairs of strings that give each parameter’s name and value. Uses </w:t>
            </w:r>
            <w:r>
              <w:rPr>
                <w:rStyle w:val="Text0"/>
              </w:rPr>
              <w:t>''</w:t>
            </w:r>
            <w:r>
              <w:t xml:space="preserve"> as the value for parameters specified just by name (without a value). When </w:t>
            </w:r>
            <w:r>
              <w:rPr>
                <w:rStyle w:val="Text3"/>
              </w:rPr>
              <w:t>m</w:t>
            </w:r>
            <w:r>
              <w:t xml:space="preserve"> has no header </w:t>
            </w:r>
            <w:r>
              <w:rPr>
                <w:rStyle w:val="Text0"/>
              </w:rPr>
              <w:t>header</w:t>
            </w:r>
            <w:r>
              <w:t xml:space="preserve">, </w:t>
            </w:r>
            <w:r>
              <w:rPr>
                <w:rStyle w:val="Text0"/>
              </w:rPr>
              <w:t>get_params</w:t>
            </w:r>
            <w:r>
              <w:t xml:space="preserve"> returns </w:t>
            </w:r>
            <w:r>
              <w:rPr>
                <w:rStyle w:val="Text0"/>
              </w:rPr>
              <w:t>default</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get_payload</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.get_payload(i=</w:t>
            </w:r>
            <w:r>
              <w:rPr>
                <w:rStyle w:val="Text5"/>
              </w:rPr>
              <w:t>None</w:t>
            </w:r>
            <w:r>
              <w:rPr>
                <w:rStyle w:val="Text0"/>
              </w:rPr>
              <w:t>, decode=</w:t>
            </w:r>
            <w:r>
              <w:rPr>
                <w:rStyle w:val="Text5"/>
              </w:rPr>
              <w:t>False</w:t>
            </w:r>
            <w:r>
              <w:rPr>
                <w:rStyle w:val="Text0"/>
              </w:rPr>
              <w:t>)</w:t>
              <w:br w:clear="none"/>
            </w:r>
            <w:r>
              <w:t xml:space="preserve"> Returns </w:t>
            </w:r>
            <w:r>
              <w:rPr>
                <w:rStyle w:val="Text3"/>
              </w:rPr>
              <w:t>m</w:t>
            </w:r>
            <w:r>
              <w:t xml:space="preserve">’s payload. When </w:t>
            </w:r>
            <w:r>
              <w:rPr>
                <w:rStyle w:val="Text3"/>
              </w:rPr>
              <w:t>m</w:t>
            </w:r>
            <w:r>
              <w:rPr>
                <w:rStyle w:val="Text0"/>
              </w:rPr>
              <w:t>.is_multipart</w:t>
            </w:r>
            <w:r>
              <w:t xml:space="preserve"> is </w:t>
            </w:r>
            <w:r>
              <w:rPr>
                <w:rStyle w:val="Text5"/>
              </w:rPr>
              <w:t>False</w:t>
            </w:r>
            <w:r>
              <w:t xml:space="preserve">, </w:t>
            </w:r>
            <w:r>
              <w:rPr>
                <w:rStyle w:val="Text0"/>
              </w:rPr>
              <w:t>i</w:t>
            </w:r>
            <w:r>
              <w:t xml:space="preserve"> must be </w:t>
            </w:r>
            <w:r>
              <w:rPr>
                <w:rStyle w:val="Text5"/>
              </w:rPr>
              <w:t>None</w:t>
            </w:r>
            <w:r>
              <w:t xml:space="preserve">, and </w:t>
            </w:r>
            <w:r>
              <w:rPr>
                <w:rStyle w:val="Text3"/>
              </w:rPr>
              <w:t>m</w:t>
            </w:r>
            <w:r>
              <w:rPr>
                <w:rStyle w:val="Text0"/>
              </w:rPr>
              <w:t>.get_payload</w:t>
            </w:r>
            <w:r>
              <w:t xml:space="preserve"> returns </w:t>
            </w:r>
            <w:r>
              <w:rPr>
                <w:rStyle w:val="Text3"/>
              </w:rPr>
              <w:t>m</w:t>
            </w:r>
            <w:r>
              <w:t xml:space="preserve">’s entire payload, a string or </w:t>
            </w:r>
            <w:r>
              <w:rPr>
                <w:rStyle w:val="Text0"/>
              </w:rPr>
              <w:t>Message</w:t>
            </w:r>
            <w:r>
              <w:t xml:space="preserve"> instance. If </w:t>
            </w:r>
            <w:r>
              <w:rPr>
                <w:rStyle w:val="Text0"/>
              </w:rPr>
              <w:t>decode</w:t>
            </w:r>
            <w:r>
              <w:t xml:space="preserve"> is true and the value of header Content-Transfer-Encoding is either </w:t>
            </w:r>
            <w:r>
              <w:rPr>
                <w:rStyle w:val="Text0"/>
              </w:rPr>
              <w:t>'quoted-printable'</w:t>
            </w:r>
            <w:r>
              <w:t xml:space="preserve"> or </w:t>
            </w:r>
            <w:r>
              <w:rPr>
                <w:rStyle w:val="Text0"/>
              </w:rPr>
              <w:t>'base64'</w:t>
            </w:r>
            <w:r>
              <w:t xml:space="preserve">, </w:t>
            </w:r>
            <w:r>
              <w:rPr>
                <w:rStyle w:val="Text3"/>
              </w:rPr>
              <w:t>m</w:t>
            </w:r>
            <w:r>
              <w:rPr>
                <w:rStyle w:val="Text0"/>
              </w:rPr>
              <w:t>.get_payload</w:t>
            </w:r>
            <w:r>
              <w:t xml:space="preserve"> also decodes the payload. If </w:t>
            </w:r>
            <w:r>
              <w:rPr>
                <w:rStyle w:val="Text0"/>
              </w:rPr>
              <w:t>decode</w:t>
            </w:r>
            <w:r>
              <w:t xml:space="preserve"> is false, or header Content-Transfer-Encoding is missing or has other values, </w:t>
            </w:r>
            <w:r>
              <w:rPr>
                <w:rStyle w:val="Text3"/>
              </w:rPr>
              <w:t>m</w:t>
            </w:r>
            <w:r>
              <w:rPr>
                <w:rStyle w:val="Text0"/>
              </w:rPr>
              <w:t>.get_payload</w:t>
            </w:r>
            <w:r>
              <w:t xml:space="preserve"> returns the payload unchanged.</w:t>
              <w:br w:clear="none"/>
              <w:t xml:space="preserve"> When </w:t>
            </w:r>
            <w:r>
              <w:rPr>
                <w:rStyle w:val="Text3"/>
              </w:rPr>
              <w:t>m</w:t>
            </w:r>
            <w:r>
              <w:rPr>
                <w:rStyle w:val="Text0"/>
              </w:rPr>
              <w:t>.is_multipart</w:t>
            </w:r>
            <w:r>
              <w:t xml:space="preserve"> is </w:t>
            </w:r>
            <w:r>
              <w:rPr>
                <w:rStyle w:val="Text5"/>
              </w:rPr>
              <w:t>True</w:t>
            </w:r>
            <w:r>
              <w:t xml:space="preserve">, </w:t>
            </w:r>
            <w:r>
              <w:rPr>
                <w:rStyle w:val="Text0"/>
              </w:rPr>
              <w:t>decode</w:t>
            </w:r>
            <w:r>
              <w:t xml:space="preserve"> must be false. When </w:t>
            </w:r>
            <w:r>
              <w:rPr>
                <w:rStyle w:val="Text0"/>
              </w:rPr>
              <w:t>i</w:t>
            </w:r>
            <w:r>
              <w:t xml:space="preserve"> is </w:t>
            </w:r>
            <w:r>
              <w:rPr>
                <w:rStyle w:val="Text5"/>
              </w:rPr>
              <w:t>None</w:t>
            </w:r>
            <w:r>
              <w:t xml:space="preserve">, </w:t>
            </w:r>
            <w:r>
              <w:rPr>
                <w:rStyle w:val="Text3"/>
              </w:rPr>
              <w:t>m</w:t>
            </w:r>
            <w:r>
              <w:rPr>
                <w:rStyle w:val="Text0"/>
              </w:rPr>
              <w:t>.get_payload</w:t>
            </w:r>
            <w:r>
              <w:t xml:space="preserve"> returns </w:t>
            </w:r>
            <w:r>
              <w:rPr>
                <w:rStyle w:val="Text3"/>
              </w:rPr>
              <w:t>m</w:t>
            </w:r>
            <w:r>
              <w:t xml:space="preserve">’s payload as a list. Otherwise, </w:t>
            </w:r>
            <w:r>
              <w:rPr>
                <w:rStyle w:val="Text3"/>
              </w:rPr>
              <w:t>m</w:t>
            </w:r>
            <w:r>
              <w:rPr>
                <w:rStyle w:val="Text0"/>
              </w:rPr>
              <w:t>.get_payload(</w:t>
            </w:r>
            <w:r>
              <w:rPr>
                <w:rStyle w:val="Text3"/>
              </w:rPr>
              <w:t>i</w:t>
            </w:r>
            <w:r>
              <w:rPr>
                <w:rStyle w:val="Text0"/>
              </w:rPr>
              <w:t>)</w:t>
            </w:r>
            <w:r>
              <w:t xml:space="preserve"> returns the </w:t>
            </w:r>
            <w:r>
              <w:rPr>
                <w:rStyle w:val="Text3"/>
              </w:rPr>
              <w:t>i</w:t>
            </w:r>
            <w:r>
              <w:t xml:space="preserve">th item of the payload, or raises </w:t>
            </w:r>
            <w:r>
              <w:rPr>
                <w:rStyle w:val="Text0"/>
              </w:rPr>
              <w:t>TypeError</w:t>
            </w:r>
            <w:r>
              <w:t xml:space="preserve"> if </w:t>
            </w:r>
            <w:r>
              <w:rPr>
                <w:rStyle w:val="Text3"/>
              </w:rPr>
              <w:t>i</w:t>
            </w:r>
            <w:r>
              <w:t xml:space="preserve"> </w:t>
            </w:r>
            <w:r>
              <w:rPr>
                <w:rStyle w:val="Text0"/>
              </w:rPr>
              <w:t>&lt; 0</w:t>
            </w:r>
            <w:r>
              <w:t xml:space="preserve"> or </w:t>
            </w:r>
            <w:r>
              <w:rPr>
                <w:rStyle w:val="Text0"/>
              </w:rPr>
              <w:t>i</w:t>
            </w:r>
            <w:r>
              <w:t xml:space="preserve"> is too large.</w:t>
            </w:r>
          </w:p>
        </w:tc>
      </w:tr>
    </w:tbl>
    <w:tbl>
      <w:tblPr>
        <w:tblW w:type="auto" w:w="0"/>
      </w:tblPr>
      <w:tr>
        <w:tc>
          <w:tcPr>
            <w:tcW w:type="auto" w:w="0"/>
            <w:tcMar>
              <w:left w:type="dxa" w:w="200"/>
              <w:top w:type="dxa" w:w="200"/>
              <w:right w:type="dxa" w:w="200"/>
              <w:bottom w:type="dxa" w:w="200"/>
            </w:tcMar>
          </w:tcPr>
          <w:p>
            <w:pPr>
              <w:pStyle w:val="Para 001"/>
            </w:pPr>
            <w:r>
              <w:t>get_unixfrom</w:t>
            </w:r>
          </w:p>
        </w:tc>
        <w:tc>
          <w:tcPr>
            <w:tcW w:type="auto" w:w="0"/>
            <w:tcMar>
              <w:left w:type="dxa" w:w="200"/>
              <w:top w:type="dxa" w:w="200"/>
              <w:right w:type="dxa" w:w="200"/>
              <w:bottom w:type="dxa" w:w="200"/>
            </w:tcMar>
          </w:tcPr>
          <w:p>
            <w:pPr>
              <w:pStyle w:val="Para 002"/>
            </w:pPr>
            <w:r>
              <w:rPr>
                <w:rStyle w:val="Text3"/>
              </w:rPr>
              <w:t>m</w:t>
            </w:r>
            <w:r>
              <w:rPr>
                <w:rStyle w:val="Text0"/>
              </w:rPr>
              <w:t>.get_unixfrom()</w:t>
              <w:br w:clear="none"/>
            </w:r>
            <w:r>
              <w:t xml:space="preserve"> Returns the envelope header string for </w:t>
            </w:r>
            <w:r>
              <w:rPr>
                <w:rStyle w:val="Text3"/>
              </w:rPr>
              <w:t>m</w:t>
            </w:r>
            <w:r>
              <w:t xml:space="preserve">, or </w:t>
            </w:r>
            <w:r>
              <w:rPr>
                <w:rStyle w:val="Text5"/>
              </w:rPr>
              <w:t>None</w:t>
            </w:r>
            <w:r>
              <w:t xml:space="preserve"> when </w:t>
            </w:r>
            <w:r>
              <w:rPr>
                <w:rStyle w:val="Text3"/>
              </w:rPr>
              <w:t>m</w:t>
            </w:r>
            <w:r>
              <w:t xml:space="preserve"> has no envelope header.</w:t>
            </w:r>
          </w:p>
        </w:tc>
      </w:tr>
    </w:tbl>
    <w:tbl>
      <w:tblPr>
        <w:tblW w:type="auto" w:w="0"/>
      </w:tblPr>
      <w:tr>
        <w:tc>
          <w:tcPr>
            <w:tcW w:type="auto" w:w="0"/>
            <w:shd w:val="clear" w:color="auto" w:fill="EEF2F6"/>
            <w:tcMar>
              <w:left w:type="dxa" w:w="200"/>
              <w:top w:type="dxa" w:w="200"/>
              <w:right w:type="dxa" w:w="200"/>
              <w:bottom w:type="dxa" w:w="200"/>
            </w:tcMar>
          </w:tcPr>
          <w:p>
            <w:pPr>
              <w:pStyle w:val="Para 001"/>
            </w:pPr>
            <w:r>
              <w:t>is_multipart</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.is_multipart()</w:t>
              <w:br w:clear="none"/>
            </w:r>
            <w:r>
              <w:t xml:space="preserve"> Returns </w:t>
            </w:r>
            <w:r>
              <w:rPr>
                <w:rStyle w:val="Text5"/>
              </w:rPr>
              <w:t>True</w:t>
            </w:r>
            <w:r>
              <w:t xml:space="preserve"> when </w:t>
            </w:r>
            <w:r>
              <w:rPr>
                <w:rStyle w:val="Text3"/>
              </w:rPr>
              <w:t>m</w:t>
            </w:r>
            <w:r>
              <w:t xml:space="preserve">’s payload is a list; otherwise, returns </w:t>
            </w:r>
            <w:r>
              <w:rPr>
                <w:rStyle w:val="Text5"/>
              </w:rPr>
              <w:t>False</w:t>
            </w:r>
            <w:r>
              <w:t>.</w:t>
            </w:r>
          </w:p>
        </w:tc>
      </w:tr>
    </w:tbl>
    <w:tbl>
      <w:tblPr>
        <w:tblW w:type="auto" w:w="0"/>
      </w:tblPr>
      <w:tr>
        <w:tc>
          <w:tcPr>
            <w:tcW w:type="auto" w:w="0"/>
            <w:tcMar>
              <w:left w:type="dxa" w:w="200"/>
              <w:top w:type="dxa" w:w="200"/>
              <w:right w:type="dxa" w:w="200"/>
              <w:bottom w:type="dxa" w:w="200"/>
            </w:tcMar>
          </w:tcPr>
          <w:p>
            <w:pPr>
              <w:pStyle w:val="Para 001"/>
            </w:pPr>
            <w:r>
              <w:t>preamble</w:t>
            </w:r>
          </w:p>
        </w:tc>
        <w:tc>
          <w:tcPr>
            <w:tcW w:type="auto" w:w="0"/>
            <w:tcMar>
              <w:left w:type="dxa" w:w="200"/>
              <w:top w:type="dxa" w:w="200"/>
              <w:right w:type="dxa" w:w="200"/>
              <w:bottom w:type="dxa" w:w="200"/>
            </w:tcMar>
          </w:tcPr>
          <w:p>
            <w:pPr>
              <w:pStyle w:val="Para 002"/>
            </w:pPr>
            <w:r>
              <w:t xml:space="preserve">Attribute </w:t>
            </w:r>
            <w:r>
              <w:rPr>
                <w:rStyle w:val="Text3"/>
              </w:rPr>
              <w:t>m</w:t>
            </w:r>
            <w:r>
              <w:rPr>
                <w:rStyle w:val="Text0"/>
              </w:rPr>
              <w:t>.preamble</w:t>
            </w:r>
            <w:r>
              <w:t xml:space="preserve"> can be </w:t>
            </w:r>
            <w:r>
              <w:rPr>
                <w:rStyle w:val="Text5"/>
              </w:rPr>
              <w:t>None</w:t>
            </w:r>
            <w:r>
              <w:t xml:space="preserve">, or a string that becomes part of the message’s string form before the first boundary line. A mail program shows this text only if it doesn’t support multipart messages, so you can use this attribute to alert the user that your message is multipart and a different mail program is needed to view it. </w:t>
            </w:r>
            <w:r>
              <w:rPr>
                <w:rStyle w:val="Text0"/>
              </w:rPr>
              <w:t>preamble</w:t>
            </w:r>
            <w:r>
              <w:t xml:space="preserve"> is a normal attribute of </w:t>
            </w:r>
            <w:r>
              <w:rPr>
                <w:rStyle w:val="Text3"/>
              </w:rPr>
              <w:t>m</w:t>
            </w:r>
            <w:r>
              <w:t xml:space="preserve">: your program can access it when you’re handling an </w:t>
            </w:r>
            <w:r>
              <w:rPr>
                <w:rStyle w:val="Text3"/>
              </w:rPr>
              <w:t>m</w:t>
            </w:r>
            <w:r>
              <w:t xml:space="preserve"> that is built by whatever means, and bind, rebind, or unbind it when you’re building or modifying </w:t>
            </w:r>
            <w:r>
              <w:rPr>
                <w:rStyle w:val="Text3"/>
              </w:rPr>
              <w:t>m</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set_boundary</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.set_boundary(</w:t>
            </w:r>
            <w:r>
              <w:rPr>
                <w:rStyle w:val="Text3"/>
              </w:rPr>
              <w:t>boundary</w:t>
            </w:r>
            <w:r>
              <w:rPr>
                <w:rStyle w:val="Text0"/>
              </w:rPr>
              <w:t>)</w:t>
              <w:br w:clear="none"/>
            </w:r>
            <w:r>
              <w:t xml:space="preserve"> Sets the </w:t>
            </w:r>
            <w:r>
              <w:rPr>
                <w:rStyle w:val="Text0"/>
              </w:rPr>
              <w:t>boundary</w:t>
            </w:r>
            <w:r>
              <w:t xml:space="preserve"> parameter of </w:t>
            </w:r>
            <w:r>
              <w:rPr>
                <w:rStyle w:val="Text3"/>
              </w:rPr>
              <w:t>m</w:t>
            </w:r>
            <w:r>
              <w:t xml:space="preserve">’s Content-Type header to </w:t>
            </w:r>
            <w:r>
              <w:rPr>
                <w:rStyle w:val="Text3"/>
              </w:rPr>
              <w:t>boundary</w:t>
            </w:r>
            <w:r>
              <w:rPr>
                <w:rStyle w:val="Text4"/>
              </w:rPr>
              <w:t>.</w:t>
            </w:r>
            <w:r>
              <w:t xml:space="preserve"> When </w:t>
            </w:r>
            <w:r>
              <w:rPr>
                <w:rStyle w:val="Text3"/>
              </w:rPr>
              <w:t>m</w:t>
            </w:r>
            <w:r>
              <w:t xml:space="preserve"> has no Content-Type header, raises </w:t>
            </w:r>
            <w:r>
              <w:rPr>
                <w:rStyle w:val="Text0"/>
              </w:rPr>
              <w:t>HeaderParseError</w:t>
            </w:r>
            <w:r>
              <w:t>.</w:t>
            </w:r>
          </w:p>
        </w:tc>
      </w:tr>
    </w:tbl>
    <w:tbl>
      <w:tblPr>
        <w:tblW w:type="auto" w:w="0"/>
      </w:tblPr>
      <w:tr>
        <w:tc>
          <w:tcPr>
            <w:tcW w:type="auto" w:w="0"/>
            <w:tcMar>
              <w:left w:type="dxa" w:w="200"/>
              <w:top w:type="dxa" w:w="200"/>
              <w:right w:type="dxa" w:w="200"/>
              <w:bottom w:type="dxa" w:w="200"/>
            </w:tcMar>
          </w:tcPr>
          <w:p>
            <w:pPr>
              <w:pStyle w:val="Para 001"/>
            </w:pPr>
            <w:r>
              <w:t>set_payload</w:t>
            </w:r>
          </w:p>
        </w:tc>
        <w:tc>
          <w:tcPr>
            <w:tcW w:type="auto" w:w="0"/>
            <w:tcMar>
              <w:left w:type="dxa" w:w="200"/>
              <w:top w:type="dxa" w:w="200"/>
              <w:right w:type="dxa" w:w="200"/>
              <w:bottom w:type="dxa" w:w="200"/>
            </w:tcMar>
          </w:tcPr>
          <w:p>
            <w:pPr>
              <w:pStyle w:val="Para 002"/>
            </w:pPr>
            <w:r>
              <w:rPr>
                <w:rStyle w:val="Text3"/>
              </w:rPr>
              <w:t>m</w:t>
            </w:r>
            <w:r>
              <w:rPr>
                <w:rStyle w:val="Text0"/>
              </w:rPr>
              <w:t>.set_payload(</w:t>
            </w:r>
            <w:r>
              <w:rPr>
                <w:rStyle w:val="Text3"/>
              </w:rPr>
              <w:t>payload</w:t>
            </w:r>
            <w:r>
              <w:rPr>
                <w:rStyle w:val="Text0"/>
              </w:rPr>
              <w:t>)</w:t>
              <w:br w:clear="none"/>
            </w:r>
            <w:r>
              <w:t xml:space="preserve"> Sets </w:t>
            </w:r>
            <w:r>
              <w:rPr>
                <w:rStyle w:val="Text3"/>
              </w:rPr>
              <w:t>m</w:t>
            </w:r>
            <w:r>
              <w:t xml:space="preserve">’s payload to </w:t>
            </w:r>
            <w:r>
              <w:rPr>
                <w:rStyle w:val="Text3"/>
              </w:rPr>
              <w:t>payload</w:t>
            </w:r>
            <w:r>
              <w:t xml:space="preserve">, which must be a string, or a list of </w:t>
            </w:r>
            <w:r>
              <w:rPr>
                <w:rStyle w:val="Text0"/>
              </w:rPr>
              <w:t>Message</w:t>
            </w:r>
            <w:r>
              <w:t xml:space="preserve"> instances, as appropriate to </w:t>
            </w:r>
            <w:r>
              <w:rPr>
                <w:rStyle w:val="Text3"/>
              </w:rPr>
              <w:t>m</w:t>
            </w:r>
            <w:r>
              <w:t>’s Content-Type.</w:t>
            </w:r>
          </w:p>
        </w:tc>
      </w:tr>
    </w:tbl>
    <w:tbl>
      <w:tblPr>
        <w:tblW w:type="auto" w:w="0"/>
      </w:tblPr>
      <w:tr>
        <w:tc>
          <w:tcPr>
            <w:tcW w:type="auto" w:w="0"/>
            <w:shd w:val="clear" w:color="auto" w:fill="EEF2F6"/>
            <w:tcMar>
              <w:left w:type="dxa" w:w="200"/>
              <w:top w:type="dxa" w:w="200"/>
              <w:right w:type="dxa" w:w="200"/>
              <w:bottom w:type="dxa" w:w="200"/>
            </w:tcMar>
          </w:tcPr>
          <w:p>
            <w:pPr>
              <w:pStyle w:val="Para 001"/>
            </w:pPr>
            <w:r>
              <w:t>set_unixfrom</w:t>
            </w:r>
          </w:p>
        </w:tc>
        <w:tc>
          <w:tcPr>
            <w:tcW w:type="auto" w:w="0"/>
            <w:shd w:val="clear" w:color="auto" w:fill="EEF2F6"/>
            <w:tcMar>
              <w:left w:type="dxa" w:w="200"/>
              <w:top w:type="dxa" w:w="200"/>
              <w:right w:type="dxa" w:w="200"/>
              <w:bottom w:type="dxa" w:w="200"/>
            </w:tcMar>
          </w:tcPr>
          <w:p>
            <w:pPr>
              <w:pStyle w:val="Para 002"/>
            </w:pPr>
            <w:r>
              <w:rPr>
                <w:rStyle w:val="Text3"/>
              </w:rPr>
              <w:t>m</w:t>
            </w:r>
            <w:r>
              <w:rPr>
                <w:rStyle w:val="Text0"/>
              </w:rPr>
              <w:t>.set_unixfrom(</w:t>
            </w:r>
            <w:r>
              <w:rPr>
                <w:rStyle w:val="Text3"/>
              </w:rPr>
              <w:t>unixfrom</w:t>
            </w:r>
            <w:r>
              <w:rPr>
                <w:rStyle w:val="Text0"/>
              </w:rPr>
              <w:t>)</w:t>
              <w:br w:clear="none"/>
            </w:r>
            <w:r>
              <w:t xml:space="preserve"> Sets the envelope header string for </w:t>
            </w:r>
            <w:r>
              <w:rPr>
                <w:rStyle w:val="Text3"/>
              </w:rPr>
              <w:t>m</w:t>
            </w:r>
            <w:r>
              <w:rPr>
                <w:rStyle w:val="Text4"/>
              </w:rPr>
              <w:t>.</w:t>
            </w:r>
            <w:r>
              <w:t xml:space="preserve"> </w:t>
            </w:r>
            <w:r>
              <w:rPr>
                <w:rStyle w:val="Text3"/>
              </w:rPr>
              <w:t>unixfrom</w:t>
            </w:r>
            <w:r>
              <w:t xml:space="preserve"> is the entire envelope header line, including the leading </w:t>
            </w:r>
            <w:r>
              <w:rPr>
                <w:rStyle w:val="Text0"/>
              </w:rPr>
              <w:t>'From '</w:t>
            </w:r>
            <w:r>
              <w:t xml:space="preserve"> but </w:t>
            </w:r>
            <w:r>
              <w:rPr>
                <w:rStyle w:val="Text3"/>
              </w:rPr>
              <w:t>not</w:t>
            </w:r>
            <w:r>
              <w:t xml:space="preserve"> including the trailing </w:t>
            </w:r>
            <w:r>
              <w:rPr>
                <w:rStyle w:val="Text0"/>
              </w:rPr>
              <w:t>'\n'</w:t>
            </w:r>
            <w:r>
              <w:t>.</w:t>
            </w:r>
          </w:p>
        </w:tc>
      </w:tr>
    </w:tbl>
    <w:tbl>
      <w:tblPr>
        <w:tblW w:type="auto" w:w="0"/>
      </w:tblPr>
      <w:tr>
        <w:tc>
          <w:tcPr>
            <w:tcW w:type="auto" w:w="0"/>
            <w:tcMar>
              <w:left w:type="dxa" w:w="200"/>
              <w:top w:type="dxa" w:w="200"/>
              <w:right w:type="dxa" w:w="200"/>
              <w:bottom w:type="dxa" w:w="200"/>
            </w:tcMar>
          </w:tcPr>
          <w:p>
            <w:pPr>
              <w:pStyle w:val="Para 001"/>
            </w:pPr>
            <w:r>
              <w:t>walk</w:t>
            </w:r>
          </w:p>
        </w:tc>
        <w:tc>
          <w:tcPr>
            <w:tcW w:type="auto" w:w="0"/>
            <w:tcMar>
              <w:left w:type="dxa" w:w="200"/>
              <w:top w:type="dxa" w:w="200"/>
              <w:right w:type="dxa" w:w="200"/>
              <w:bottom w:type="dxa" w:w="200"/>
            </w:tcMar>
          </w:tcPr>
          <w:p>
            <w:pPr>
              <w:pStyle w:val="Para 002"/>
            </w:pPr>
            <w:r>
              <w:rPr>
                <w:rStyle w:val="Text3"/>
              </w:rPr>
              <w:t>m</w:t>
            </w:r>
            <w:r>
              <w:rPr>
                <w:rStyle w:val="Text0"/>
              </w:rPr>
              <w:t>.walk()</w:t>
              <w:br w:clear="none"/>
            </w:r>
            <w:r>
              <w:t xml:space="preserve"> Returns an iterator on all parts and subparts of </w:t>
            </w:r>
            <w:r>
              <w:rPr>
                <w:rStyle w:val="Text3"/>
              </w:rPr>
              <w:t>m</w:t>
            </w:r>
            <w:r>
              <w:t xml:space="preserve"> to walk the tree of parts, depth-first (see </w:t>
            </w:r>
            <w:hyperlink w:anchor="Recursion__Python_supports_recur">
              <w:r>
                <w:rPr>
                  <w:rStyle w:val="Text1"/>
                </w:rPr>
                <w:t>“Recursion”</w:t>
              </w:r>
            </w:hyperlink>
            <w:r>
              <w:t>).</w:t>
            </w:r>
            <w:r>
              <w:rPr>
                <w:rStyle w:val="Text111"/>
              </w:rPr>
              <w:bookmarkStart w:id="4237" w:name="idm45965172986768"/>
              <w:t/>
              <w:bookmarkEnd w:id="4237"/>
            </w:r>
          </w:p>
        </w:tc>
      </w:tr>
    </w:tbl>
    <w:p>
      <w:bookmarkStart w:id="4238" w:name="The_email_Generator_Module__The"/>
      <w:pPr>
        <w:keepNext/>
        <w:pStyle w:val="Heading 2"/>
      </w:pPr>
      <w:r>
        <w:t>The email.Generator Module</w:t>
      </w:r>
      <w:bookmarkEnd w:id="4238"/>
    </w:p>
    <w:p>
      <w:pPr>
        <w:pStyle w:val="Normal"/>
      </w:pPr>
      <w:r>
        <w:t>The</w:t>
      </w:r>
      <w:r>
        <w:rPr>
          <w:rStyle w:val="Text111"/>
        </w:rPr>
        <w:bookmarkStart w:id="4239" w:name="idm45965172984000"/>
        <w:t/>
        <w:bookmarkEnd w:id="4239"/>
      </w:r>
      <w:r>
        <w:t xml:space="preserve"> </w:t>
      </w:r>
      <w:r>
        <w:rPr>
          <w:rStyle w:val="Text0"/>
        </w:rPr>
        <w:t>email.Generator</w:t>
      </w:r>
      <w:r>
        <w:t xml:space="preserve"> module supplies the class </w:t>
      </w:r>
      <w:r>
        <w:rPr>
          <w:rStyle w:val="Text0"/>
        </w:rPr>
        <w:t>Generator</w:t>
      </w:r>
      <w:r>
        <w:t xml:space="preserve">, which you can use to generate the textual form of a message </w:t>
      </w:r>
      <w:r>
        <w:rPr>
          <w:rStyle w:val="Text3"/>
        </w:rPr>
        <w:t>m</w:t>
      </w:r>
      <w:r>
        <w:rPr>
          <w:rStyle w:val="Text4"/>
        </w:rPr>
        <w:t>.</w:t>
      </w:r>
      <w:r>
        <w:t xml:space="preserve"> </w:t>
      </w:r>
      <w:r>
        <w:rPr>
          <w:rStyle w:val="Text3"/>
        </w:rPr>
        <w:t>m</w:t>
      </w:r>
      <w:r>
        <w:rPr>
          <w:rStyle w:val="Text0"/>
        </w:rPr>
        <w:t>.as_string()</w:t>
      </w:r>
      <w:r>
        <w:t xml:space="preserve"> and </w:t>
      </w:r>
      <w:r>
        <w:rPr>
          <w:rStyle w:val="Text0"/>
        </w:rPr>
        <w:t>str(</w:t>
      </w:r>
      <w:r>
        <w:rPr>
          <w:rStyle w:val="Text3"/>
        </w:rPr>
        <w:t>m</w:t>
      </w:r>
      <w:r>
        <w:rPr>
          <w:rStyle w:val="Text0"/>
        </w:rPr>
        <w:t>)</w:t>
      </w:r>
      <w:r>
        <w:t xml:space="preserve"> may be enough, but </w:t>
      </w:r>
      <w:r>
        <w:rPr>
          <w:rStyle w:val="Text0"/>
        </w:rPr>
        <w:t>Generator</w:t>
      </w:r>
      <w:r>
        <w:t xml:space="preserve"> gives more flexibility. Instantiate the </w:t>
      </w:r>
      <w:r>
        <w:rPr>
          <w:rStyle w:val="Text0"/>
        </w:rPr>
        <w:t>Generator</w:t>
      </w:r>
      <w:r>
        <w:t xml:space="preserve"> class with a mandatory argument, </w:t>
      </w:r>
      <w:r>
        <w:rPr>
          <w:rStyle w:val="Text3"/>
        </w:rPr>
        <w:t>outfp</w:t>
      </w:r>
      <w:r>
        <w:t>, and two optional arguments:</w:t>
      </w:r>
    </w:p>
    <w:tbl>
      <w:tblPr>
        <w:tblW w:type="auto" w:w="0"/>
      </w:tblPr>
      <w:tr>
        <w:tc>
          <w:tcPr>
            <w:tcW w:type="auto" w:w="0"/>
            <w:tcMar>
              <w:left w:type="dxa" w:w="200"/>
              <w:top w:type="dxa" w:w="200"/>
              <w:right w:type="dxa" w:w="200"/>
              <w:bottom w:type="dxa" w:w="200"/>
            </w:tcMar>
          </w:tcPr>
          <w:p>
            <w:pPr>
              <w:pStyle w:val="Para 119"/>
            </w:pPr>
            <w:r>
              <w:t/>
            </w:r>
          </w:p>
          <w:p>
            <w:pPr>
              <w:pStyle w:val="Para 001"/>
            </w:pPr>
            <w:r>
              <w:t>Generator</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Generator(</w:t>
            </w:r>
            <w:r>
              <w:rPr>
                <w:rStyle w:val="Text3"/>
              </w:rPr>
              <w:t>outfp</w:t>
            </w:r>
            <w:r>
              <w:rPr>
                <w:rStyle w:val="Text0"/>
              </w:rPr>
              <w:t>, mangle_from_=</w:t>
            </w:r>
            <w:r>
              <w:rPr>
                <w:rStyle w:val="Text5"/>
              </w:rPr>
              <w:t>False</w:t>
            </w:r>
            <w:r>
              <w:rPr>
                <w:rStyle w:val="Text0"/>
              </w:rPr>
              <w:t>, maxheaderlen=78)</w:t>
              <w:br w:clear="none"/>
            </w:r>
            <w:r>
              <w:t xml:space="preserve"> </w:t>
            </w:r>
            <w:r>
              <w:rPr>
                <w:rStyle w:val="Text3"/>
              </w:rPr>
              <w:t>outfp</w:t>
            </w:r>
            <w:r>
              <w:t xml:space="preserve"> is a file or file-like object that supplies the method </w:t>
            </w:r>
            <w:r>
              <w:rPr>
                <w:rStyle w:val="Text0"/>
              </w:rPr>
              <w:t>write</w:t>
            </w:r>
            <w:r>
              <w:t xml:space="preserve">. When </w:t>
            </w:r>
            <w:r>
              <w:rPr>
                <w:rStyle w:val="Text0"/>
              </w:rPr>
              <w:t>mangle_from_</w:t>
            </w:r>
            <w:r>
              <w:t xml:space="preserve"> is true, </w:t>
            </w:r>
            <w:r>
              <w:rPr>
                <w:rStyle w:val="Text3"/>
              </w:rPr>
              <w:t>g</w:t>
            </w:r>
            <w:r>
              <w:t xml:space="preserve"> prepends a greater-than sign (</w:t>
            </w:r>
            <w:r>
              <w:rPr>
                <w:rStyle w:val="Text0"/>
              </w:rPr>
              <w:t>&gt;</w:t>
            </w:r>
            <w:r>
              <w:t xml:space="preserve">) to any line in the payload that starts with </w:t>
            </w:r>
            <w:r>
              <w:rPr>
                <w:rStyle w:val="Text0"/>
              </w:rPr>
              <w:t>'From '</w:t>
            </w:r>
            <w:r>
              <w:t xml:space="preserve">, to make the message’s textual form easier to parse. </w:t>
            </w:r>
            <w:r>
              <w:rPr>
                <w:rStyle w:val="Text3"/>
              </w:rPr>
              <w:t>g</w:t>
            </w:r>
            <w:r>
              <w:t xml:space="preserve"> wraps each header line, at semicolons, into physical lines of no more than </w:t>
            </w:r>
            <w:r>
              <w:rPr>
                <w:rStyle w:val="Text0"/>
              </w:rPr>
              <w:t>maxheaderlen</w:t>
            </w:r>
            <w:r>
              <w:t xml:space="preserve"> characters. To use </w:t>
            </w:r>
            <w:r>
              <w:rPr>
                <w:rStyle w:val="Text3"/>
              </w:rPr>
              <w:t>g</w:t>
            </w:r>
            <w:r>
              <w:t xml:space="preserve">, call </w:t>
            </w:r>
            <w:r>
              <w:rPr>
                <w:rStyle w:val="Text3"/>
              </w:rPr>
              <w:t>g</w:t>
            </w:r>
            <w:r>
              <w:rPr>
                <w:rStyle w:val="Text0"/>
              </w:rPr>
              <w:t>.flatten</w:t>
            </w:r>
            <w:r>
              <w:t xml:space="preserve">; for example: </w:t>
            </w:r>
          </w:p>
          <w:p>
            <w:pPr>
              <w:pStyle w:val="Para 025"/>
            </w:pPr>
            <w:r>
              <w:rPr>
                <w:rStyle w:val="Text23"/>
              </w:rPr>
              <w:t xml:space="preserve"/>
              <w:br w:clear="none"/>
            </w:r>
            <w:r>
              <w:rPr>
                <w:rStyle w:val="Text4"/>
              </w:rPr>
              <w:t xml:space="preserve">g</w:t>
              <w:br w:clear="none"/>
            </w:r>
            <w:r>
              <w:rPr>
                <w:rStyle w:val="Text13"/>
              </w:rPr>
              <w:t xml:space="preserve">.</w:t>
              <w:br w:clear="none"/>
            </w:r>
            <w:r>
              <w:t xml:space="preserve">flatten</w:t>
              <w:br w:clear="none"/>
            </w:r>
            <w:r>
              <w:rPr>
                <w:rStyle w:val="Text7"/>
              </w:rPr>
              <w:t xml:space="preserve">(</w:t>
              <w:br w:clear="none"/>
            </w:r>
            <w:r>
              <w:rPr>
                <w:rStyle w:val="Text4"/>
              </w:rPr>
              <w:t xml:space="preserve">m</w:t>
              <w:br w:clear="none"/>
            </w:r>
            <w:r>
              <w:rPr>
                <w:rStyle w:val="Text7"/>
              </w:rPr>
              <w:t xml:space="preserve">,</w:t>
              <w:br w:clear="none"/>
            </w:r>
            <w:r>
              <w:rPr>
                <w:rStyle w:val="Text6"/>
              </w:rPr>
              <w:t xml:space="preserve"> </w:t>
              <w:br w:clear="none"/>
            </w:r>
            <w:r>
              <w:t xml:space="preserve">unixfrom</w:t>
              <w:br w:clear="none"/>
            </w:r>
            <w:r>
              <w:rPr>
                <w:rStyle w:val="Text13"/>
              </w:rPr>
              <w:t xml:space="preserve">=</w:t>
              <w:br w:clear="none"/>
            </w:r>
            <w:r>
              <w:rPr>
                <w:rStyle w:val="Text10"/>
              </w:rPr>
              <w:t xml:space="preserve">False</w:t>
              <w:br w:clear="none"/>
            </w:r>
            <w:r>
              <w:rPr>
                <w:rStyle w:val="Text7"/>
              </w:rPr>
              <w:t xml:space="preserve">)</w:t>
              <w:br w:clear="none"/>
            </w:r>
          </w:p>
          <w:p>
            <w:pPr>
              <w:pStyle w:val="Para 022"/>
            </w:pPr>
            <w:r>
              <w:t xml:space="preserve"> This emits </w:t>
            </w:r>
            <w:r>
              <w:rPr>
                <w:rStyle w:val="Text3"/>
              </w:rPr>
              <w:t>m</w:t>
            </w:r>
            <w:r>
              <w:t xml:space="preserve"> as text to </w:t>
            </w:r>
            <w:r>
              <w:rPr>
                <w:rStyle w:val="Text3"/>
              </w:rPr>
              <w:t>outfp</w:t>
            </w:r>
            <w:r>
              <w:t xml:space="preserve">, like (but consuming less memory than): </w:t>
            </w:r>
          </w:p>
          <w:p>
            <w:pPr>
              <w:pStyle w:val="Para 051"/>
            </w:pPr>
            <w:r>
              <w:rPr>
                <w:rStyle w:val="Text116"/>
              </w:rPr>
              <w:t xml:space="preserve"/>
              <w:br w:clear="none"/>
            </w:r>
            <w:r>
              <w:t xml:space="preserve">outfp</w:t>
              <w:br w:clear="none"/>
            </w:r>
            <w:r>
              <w:rPr>
                <w:rStyle w:val="Text28"/>
              </w:rPr>
              <w:t xml:space="preserve">.</w:t>
              <w:br w:clear="none"/>
            </w:r>
            <w:r>
              <w:rPr>
                <w:rStyle w:val="Text4"/>
              </w:rPr>
              <w:t xml:space="preserve">write</w:t>
              <w:br w:clear="none"/>
            </w:r>
            <w:r>
              <w:rPr>
                <w:rStyle w:val="Text19"/>
              </w:rPr>
              <w:t xml:space="preserve">(</w:t>
              <w:br w:clear="none"/>
            </w:r>
            <w:r>
              <w:t xml:space="preserve">m</w:t>
              <w:br w:clear="none"/>
            </w:r>
            <w:r>
              <w:rPr>
                <w:rStyle w:val="Text28"/>
              </w:rPr>
              <w:t xml:space="preserve">.</w:t>
              <w:br w:clear="none"/>
            </w:r>
            <w:r>
              <w:rPr>
                <w:rStyle w:val="Text4"/>
              </w:rPr>
              <w:t xml:space="preserve">as_string</w:t>
              <w:br w:clear="none"/>
            </w:r>
            <w:r>
              <w:rPr>
                <w:rStyle w:val="Text19"/>
              </w:rPr>
              <w:t xml:space="preserve">(</w:t>
              <w:br w:clear="none"/>
            </w:r>
            <w:r>
              <w:t xml:space="preserve">unixfrom</w:t>
              <w:br w:clear="none"/>
            </w:r>
            <w:r>
              <w:rPr>
                <w:rStyle w:val="Text19"/>
              </w:rPr>
              <w:t xml:space="preserve">)</w:t>
              <w:br w:clear="none"/>
              <w:t xml:space="preserve">)</w:t>
              <w:br w:clear="none"/>
            </w:r>
          </w:p>
          <w:p>
            <w:pPr>
              <w:pStyle w:val="Para 022"/>
            </w:pPr>
            <w:r>
              <w:t xml:space="preserve"> .</w:t>
            </w:r>
          </w:p>
        </w:tc>
      </w:tr>
    </w:tbl>
    <w:p>
      <w:bookmarkStart w:id="4240" w:name="Creating_Messages__The_subpackag"/>
      <w:pPr>
        <w:keepNext/>
        <w:pStyle w:val="Heading 2"/>
      </w:pPr>
      <w:r>
        <w:t>Creating Messages</w:t>
      </w:r>
      <w:bookmarkEnd w:id="4240"/>
    </w:p>
    <w:p>
      <w:pPr>
        <w:pStyle w:val="Normal"/>
      </w:pPr>
      <w:r>
        <w:t>The</w:t>
      </w:r>
      <w:r>
        <w:rPr>
          <w:rStyle w:val="Text111"/>
        </w:rPr>
        <w:bookmarkStart w:id="4241" w:name="idm45965172913616"/>
        <w:t/>
        <w:bookmarkEnd w:id="4241"/>
      </w:r>
      <w:r>
        <w:t xml:space="preserve"> subpackage </w:t>
      </w:r>
      <w:r>
        <w:rPr>
          <w:rStyle w:val="Text0"/>
        </w:rPr>
        <w:t>email.mime</w:t>
      </w:r>
      <w:r>
        <w:t xml:space="preserve"> supplies various modules, each with a subclass of </w:t>
      </w:r>
      <w:r>
        <w:rPr>
          <w:rStyle w:val="Text0"/>
        </w:rPr>
        <w:t>Message</w:t>
      </w:r>
      <w:r>
        <w:t xml:space="preserve"> named like the module. The modules’ names are lowercase (e.g., </w:t>
      </w:r>
      <w:r>
        <w:rPr>
          <w:rStyle w:val="Text0"/>
        </w:rPr>
        <w:t>email.mime.text</w:t>
      </w:r>
      <w:r>
        <w:t xml:space="preserve">), while the class names are in mixed case. These classes, listed in </w:t>
      </w:r>
      <w:hyperlink w:anchor="Table_21_3__Classes_supplied_by">
        <w:r>
          <w:rPr>
            <w:rStyle w:val="Text1"/>
          </w:rPr>
          <w:t>Table 21-3</w:t>
        </w:r>
      </w:hyperlink>
      <w:r>
        <w:t xml:space="preserve">, help you create </w:t>
      </w:r>
      <w:r>
        <w:rPr>
          <w:rStyle w:val="Text0"/>
        </w:rPr>
        <w:t>Message</w:t>
      </w:r>
      <w:r>
        <w:t xml:space="preserve"> instances of different MIME types.</w:t>
      </w:r>
    </w:p>
    <w:tbl>
      <w:tblPr>
        <w:tblW w:type="auto" w:w="0"/>
      </w:tblPr>
      <w:tr>
        <w:tc>
          <w:tcPr>
            <w:tcW w:type="auto" w:w="0"/>
            <w:tcMar>
              <w:left w:type="dxa" w:w="200"/>
              <w:top w:type="dxa" w:w="200"/>
              <w:right w:type="dxa" w:w="200"/>
              <w:bottom w:type="dxa" w:w="200"/>
            </w:tcMar>
          </w:tcPr>
          <w:p>
            <w:bookmarkStart w:id="4242" w:name="Table_21_3__Classes_supplied_by"/>
            <w:pPr>
              <w:pStyle w:val="Para 011"/>
            </w:pPr>
            <w:r>
              <w:rPr>
                <w:rStyle w:val="Text117"/>
              </w:rPr>
              <w:t/>
            </w:r>
            <w:r>
              <w:t xml:space="preserve">Table 21-3. </w:t>
              <w:t xml:space="preserve">Classes supplied by </w:t>
            </w:r>
            <w:r>
              <w:rPr>
                <w:rStyle w:val="Text0"/>
              </w:rPr>
              <w:t>email.mime</w:t>
            </w:r>
            <w:bookmarkEnd w:id="4242"/>
          </w:p>
          <w:p>
            <w:pPr>
              <w:pStyle w:val="Para 001"/>
            </w:pPr>
            <w:r>
              <w:t>MIMEAudio</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MIMEAudio(_</w:t>
            </w:r>
            <w:r>
              <w:rPr>
                <w:rStyle w:val="Text3"/>
              </w:rPr>
              <w:t>audiodata</w:t>
            </w:r>
            <w:r>
              <w:rPr>
                <w:rStyle w:val="Text0"/>
              </w:rPr>
              <w:t>, _subtype=</w:t>
            </w:r>
            <w:r>
              <w:rPr>
                <w:rStyle w:val="Text5"/>
              </w:rPr>
              <w:t>None</w:t>
            </w:r>
            <w:r>
              <w:rPr>
                <w:rStyle w:val="Text0"/>
              </w:rPr>
              <w:t>, _encoder=</w:t>
            </w:r>
            <w:r>
              <w:rPr>
                <w:rStyle w:val="Text5"/>
              </w:rPr>
              <w:t>None</w:t>
            </w:r>
            <w:r>
              <w:rPr>
                <w:rStyle w:val="Text0"/>
              </w:rPr>
              <w:t>, **_</w:t>
            </w:r>
            <w:r>
              <w:rPr>
                <w:rStyle w:val="Text3"/>
              </w:rPr>
              <w:t>params</w:t>
            </w:r>
            <w:r>
              <w:rPr>
                <w:rStyle w:val="Text0"/>
              </w:rPr>
              <w:t>)</w:t>
              <w:br w:clear="none"/>
            </w:r>
            <w:r>
              <w:t xml:space="preserve"> Creates MIME message objects of major type ‘audio’. </w:t>
            </w:r>
            <w:r>
              <w:rPr>
                <w:rStyle w:val="Text3"/>
              </w:rPr>
              <w:t>_audiodata</w:t>
            </w:r>
            <w:r>
              <w:t xml:space="preserve"> is a bytestring of audio data to pack in a message of MIME type </w:t>
            </w:r>
            <w:r>
              <w:rPr>
                <w:rStyle w:val="Text0"/>
              </w:rPr>
              <w:t>'audio/_subtype'</w:t>
            </w:r>
            <w:r>
              <w:t xml:space="preserve">. When </w:t>
            </w:r>
            <w:r>
              <w:rPr>
                <w:rStyle w:val="Text0"/>
              </w:rPr>
              <w:t>_subtype</w:t>
            </w:r>
            <w:r>
              <w:t xml:space="preserve"> is </w:t>
            </w:r>
            <w:r>
              <w:rPr>
                <w:rStyle w:val="Text5"/>
              </w:rPr>
              <w:t>None</w:t>
            </w:r>
            <w:r>
              <w:t xml:space="preserve">, </w:t>
            </w:r>
            <w:r>
              <w:rPr>
                <w:rStyle w:val="Text3"/>
              </w:rPr>
              <w:t>_audiodata</w:t>
            </w:r>
            <w:r>
              <w:t xml:space="preserve"> must be parsable by standard Python library module </w:t>
            </w:r>
            <w:r>
              <w:rPr>
                <w:rStyle w:val="Text0"/>
              </w:rPr>
              <w:t>sndhdr</w:t>
            </w:r>
            <w:r>
              <w:t xml:space="preserve"> to determine the subtype; otherwise, </w:t>
            </w:r>
            <w:r>
              <w:rPr>
                <w:rStyle w:val="Text0"/>
              </w:rPr>
              <w:t>MIMEAudio</w:t>
            </w:r>
            <w:r>
              <w:t xml:space="preserve"> raises </w:t>
            </w:r>
            <w:r>
              <w:rPr>
                <w:rStyle w:val="Text0"/>
              </w:rPr>
              <w:t>TypeError</w:t>
            </w:r>
            <w:r>
              <w:t xml:space="preserve">. </w:t>
            </w:r>
            <w:r>
              <w:rPr>
                <w:rStyle w:val="Text34"/>
              </w:rPr>
              <w:t>3.11+</w:t>
            </w:r>
            <w:r>
              <w:t xml:space="preserve"> Since </w:t>
            </w:r>
            <w:r>
              <w:rPr>
                <w:rStyle w:val="Text0"/>
              </w:rPr>
              <w:t>sndhdr</w:t>
            </w:r>
            <w:r>
              <w:t xml:space="preserve"> is deprecated, you should always specify the </w:t>
            </w:r>
            <w:r>
              <w:rPr>
                <w:rStyle w:val="Text0"/>
              </w:rPr>
              <w:t>_subtype</w:t>
            </w:r>
            <w:r>
              <w:t xml:space="preserve">. When </w:t>
            </w:r>
            <w:r>
              <w:rPr>
                <w:rStyle w:val="Text0"/>
              </w:rPr>
              <w:t>_encoder</w:t>
            </w:r>
            <w:r>
              <w:t xml:space="preserve"> is </w:t>
            </w:r>
            <w:r>
              <w:rPr>
                <w:rStyle w:val="Text5"/>
              </w:rPr>
              <w:t>None</w:t>
            </w:r>
            <w:r>
              <w:t xml:space="preserve">, </w:t>
            </w:r>
            <w:r>
              <w:rPr>
                <w:rStyle w:val="Text0"/>
              </w:rPr>
              <w:t>MIMEAudio</w:t>
            </w:r>
            <w:r>
              <w:t xml:space="preserve"> encodes data as Base64, which is usually optimal. Otherwise, </w:t>
            </w:r>
            <w:r>
              <w:rPr>
                <w:rStyle w:val="Text0"/>
              </w:rPr>
              <w:t>_encoder</w:t>
            </w:r>
            <w:r>
              <w:t xml:space="preserve"> must be callable with one parameter, </w:t>
            </w:r>
            <w:r>
              <w:rPr>
                <w:rStyle w:val="Text3"/>
              </w:rPr>
              <w:t>m</w:t>
            </w:r>
            <w:r>
              <w:t xml:space="preserve">, which is the message being constructed; </w:t>
            </w:r>
            <w:r>
              <w:rPr>
                <w:rStyle w:val="Text0"/>
              </w:rPr>
              <w:t>_encoder</w:t>
            </w:r>
            <w:r>
              <w:t xml:space="preserve"> must then call </w:t>
            </w:r>
            <w:r>
              <w:rPr>
                <w:rStyle w:val="Text3"/>
              </w:rPr>
              <w:t>m</w:t>
            </w:r>
            <w:r>
              <w:rPr>
                <w:rStyle w:val="Text0"/>
              </w:rPr>
              <w:t>.get_payload</w:t>
            </w:r>
            <w:r>
              <w:t xml:space="preserve"> to get the payload, encode the payload, put the encoded form back by calling </w:t>
            </w:r>
            <w:r>
              <w:rPr>
                <w:rStyle w:val="Text3"/>
              </w:rPr>
              <w:t>m</w:t>
            </w:r>
            <w:r>
              <w:rPr>
                <w:rStyle w:val="Text0"/>
              </w:rPr>
              <w:t>.set_payload</w:t>
            </w:r>
            <w:r>
              <w:t xml:space="preserve">, and set </w:t>
            </w:r>
            <w:r>
              <w:rPr>
                <w:rStyle w:val="Text3"/>
              </w:rPr>
              <w:t>m</w:t>
            </w:r>
            <w:r>
              <w:t xml:space="preserve">’s Content-Transfer-Encoding header. </w:t>
            </w:r>
            <w:r>
              <w:rPr>
                <w:rStyle w:val="Text0"/>
              </w:rPr>
              <w:t>MIMEAudio</w:t>
            </w:r>
            <w:r>
              <w:t xml:space="preserve"> passes the </w:t>
            </w:r>
            <w:r>
              <w:rPr>
                <w:rStyle w:val="Text3"/>
              </w:rPr>
              <w:t>_params</w:t>
            </w:r>
            <w:r>
              <w:t xml:space="preserve"> dictionary of named argument names and values to </w:t>
            </w:r>
            <w:r>
              <w:rPr>
                <w:rStyle w:val="Text3"/>
              </w:rPr>
              <w:t>m</w:t>
            </w:r>
            <w:r>
              <w:rPr>
                <w:rStyle w:val="Text0"/>
              </w:rPr>
              <w:t>.add_header</w:t>
            </w:r>
            <w:r>
              <w:t xml:space="preserve"> to construct </w:t>
            </w:r>
            <w:r>
              <w:rPr>
                <w:rStyle w:val="Text3"/>
              </w:rPr>
              <w:t>m</w:t>
            </w:r>
            <w:r>
              <w:t>’s Content-Type header.</w:t>
            </w:r>
          </w:p>
        </w:tc>
      </w:tr>
    </w:tbl>
    <w:tbl>
      <w:tblPr>
        <w:tblW w:type="auto" w:w="0"/>
      </w:tblPr>
      <w:tr>
        <w:tc>
          <w:tcPr>
            <w:tcW w:type="auto" w:w="0"/>
            <w:shd w:val="clear" w:color="auto" w:fill="EEF2F6"/>
            <w:tcMar>
              <w:left w:type="dxa" w:w="200"/>
              <w:top w:type="dxa" w:w="200"/>
              <w:right w:type="dxa" w:w="200"/>
              <w:bottom w:type="dxa" w:w="200"/>
            </w:tcMar>
          </w:tcPr>
          <w:p>
            <w:pPr>
              <w:pStyle w:val="Para 001"/>
            </w:pPr>
            <w:r>
              <w:t>MIMEBase</w:t>
            </w:r>
          </w:p>
        </w:tc>
        <w:tc>
          <w:tcPr>
            <w:tcW w:type="auto" w:w="0"/>
            <w:shd w:val="clear" w:color="auto" w:fill="EEF2F6"/>
            <w:tcMar>
              <w:left w:type="dxa" w:w="200"/>
              <w:top w:type="dxa" w:w="200"/>
              <w:right w:type="dxa" w:w="200"/>
              <w:bottom w:type="dxa" w:w="200"/>
            </w:tcMar>
          </w:tcPr>
          <w:p>
            <w:pPr>
              <w:pStyle w:val="Para 002"/>
            </w:pPr>
            <w:r>
              <w:rPr>
                <w:rStyle w:val="Text5"/>
              </w:rPr>
              <w:t>class</w:t>
            </w:r>
            <w:r>
              <w:t xml:space="preserve"> </w:t>
            </w:r>
            <w:r>
              <w:rPr>
                <w:rStyle w:val="Text0"/>
              </w:rPr>
              <w:t>MIMEBase(_</w:t>
            </w:r>
            <w:r>
              <w:rPr>
                <w:rStyle w:val="Text3"/>
              </w:rPr>
              <w:t>maintype</w:t>
            </w:r>
            <w:r>
              <w:rPr>
                <w:rStyle w:val="Text0"/>
              </w:rPr>
              <w:t>,</w:t>
            </w:r>
            <w:r>
              <w:t xml:space="preserve"> </w:t>
            </w:r>
            <w:r>
              <w:rPr>
                <w:rStyle w:val="Text3"/>
              </w:rPr>
              <w:t>_subtype</w:t>
            </w:r>
            <w:r>
              <w:rPr>
                <w:rStyle w:val="Text0"/>
              </w:rPr>
              <w:t>, **_</w:t>
            </w:r>
            <w:r>
              <w:rPr>
                <w:rStyle w:val="Text3"/>
              </w:rPr>
              <w:t>params</w:t>
            </w:r>
            <w:r>
              <w:rPr>
                <w:rStyle w:val="Text0"/>
              </w:rPr>
              <w:t>)</w:t>
              <w:br w:clear="none"/>
            </w:r>
            <w:r>
              <w:t xml:space="preserve"> Base class of all MIME classes; extends </w:t>
            </w:r>
            <w:r>
              <w:rPr>
                <w:rStyle w:val="Text0"/>
              </w:rPr>
              <w:t>Message</w:t>
            </w:r>
            <w:r>
              <w:t xml:space="preserve">. Instantiating: </w:t>
            </w:r>
          </w:p>
          <w:p>
            <w:pPr>
              <w:pStyle w:val="Para 053"/>
            </w:pPr>
            <w:r>
              <w:rPr>
                <w:rStyle w:val="Text116"/>
              </w:rPr>
              <w:t xml:space="preserve"/>
              <w:br w:clear="none"/>
            </w:r>
            <w:r>
              <w:t xml:space="preserve">m</w:t>
              <w:br w:clear="none"/>
            </w:r>
            <w:r>
              <w:rPr>
                <w:rStyle w:val="Text11"/>
              </w:rPr>
              <w:t xml:space="preserve"> </w:t>
              <w:br w:clear="none"/>
            </w:r>
            <w:r>
              <w:rPr>
                <w:rStyle w:val="Text28"/>
              </w:rPr>
              <w:t xml:space="preserve">=</w:t>
              <w:br w:clear="none"/>
            </w:r>
            <w:r>
              <w:rPr>
                <w:rStyle w:val="Text11"/>
              </w:rPr>
              <w:t xml:space="preserve"> </w:t>
              <w:br w:clear="none"/>
            </w:r>
            <w:r>
              <w:rPr>
                <w:rStyle w:val="Text4"/>
              </w:rPr>
              <w:t xml:space="preserve">MIMEBase</w:t>
              <w:br w:clear="none"/>
            </w:r>
            <w:r>
              <w:rPr>
                <w:rStyle w:val="Text19"/>
              </w:rPr>
              <w:t xml:space="preserve">(</w:t>
              <w:br w:clear="none"/>
            </w:r>
            <w:r>
              <w:t xml:space="preserve">mainsub</w:t>
              <w:br w:clear="none"/>
            </w:r>
            <w:r>
              <w:rPr>
                <w:rStyle w:val="Text19"/>
              </w:rPr>
              <w:t xml:space="preserve">,</w:t>
              <w:br w:clear="none"/>
            </w:r>
            <w:r>
              <w:rPr>
                <w:rStyle w:val="Text11"/>
              </w:rPr>
              <w:t xml:space="preserve"> </w:t>
              <w:br w:clear="none"/>
            </w:r>
            <w:r>
              <w:rPr>
                <w:rStyle w:val="Text28"/>
              </w:rPr>
              <w:t xml:space="preserve">*</w:t>
              <w:br w:clear="none"/>
              <w:t xml:space="preserve">*</w:t>
              <w:br w:clear="none"/>
            </w:r>
            <w:r>
              <w:t xml:space="preserve">params</w:t>
              <w:br w:clear="none"/>
            </w:r>
            <w:r>
              <w:rPr>
                <w:rStyle w:val="Text19"/>
              </w:rPr>
              <w:t xml:space="preserve">)</w:t>
              <w:br w:clear="none"/>
            </w:r>
          </w:p>
          <w:p>
            <w:pPr>
              <w:pStyle w:val="Para 022"/>
            </w:pPr>
            <w:r>
              <w:t xml:space="preserve"> is equivalent to the longer and slightly less convenient idiom: </w:t>
            </w:r>
          </w:p>
          <w:p>
            <w:pPr>
              <w:pStyle w:val="Para 045"/>
            </w:pPr>
            <w:r>
              <w:rPr>
                <w:rStyle w:val="Text23"/>
              </w:rPr>
              <w:t xml:space="preserve"/>
              <w:br w:clear="none"/>
            </w:r>
            <w:r>
              <w:rPr>
                <w:rStyle w:val="Text14"/>
              </w:rPr>
              <w:t xml:space="preserve">m</w:t>
              <w:br w:clear="none"/>
            </w:r>
            <w:r>
              <w:rPr>
                <w:rStyle w:val="Text6"/>
              </w:rPr>
              <w:t xml:space="preserve"> </w:t>
              <w:br w:clear="none"/>
            </w:r>
            <w:r>
              <w:rPr>
                <w:rStyle w:val="Text13"/>
              </w:rPr>
              <w:t xml:space="preserve">=</w:t>
              <w:br w:clear="none"/>
            </w:r>
            <w:r>
              <w:rPr>
                <w:rStyle w:val="Text6"/>
              </w:rPr>
              <w:t xml:space="preserve"> </w:t>
              <w:br w:clear="none"/>
            </w:r>
            <w:r>
              <w:rPr>
                <w:rStyle w:val="Text9"/>
              </w:rPr>
              <w:t xml:space="preserve">Message</w:t>
              <w:br w:clear="none"/>
            </w:r>
            <w:r>
              <w:rPr>
                <w:rStyle w:val="Text7"/>
              </w:rPr>
              <w:t xml:space="preserve">(</w:t>
              <w:br w:clear="none"/>
              <w:t xml:space="preserve">)</w:t>
              <w:br w:clear="none"/>
            </w:r>
            <w:r>
              <w:rPr>
                <w:rStyle w:val="Text6"/>
              </w:rPr>
              <w:t xml:space="preserve"/>
              <w:br w:clear="none"/>
            </w:r>
            <w:r>
              <w:rPr>
                <w:rStyle w:val="Text14"/>
              </w:rPr>
              <w:t xml:space="preserve">m</w:t>
              <w:br w:clear="none"/>
            </w:r>
            <w:r>
              <w:rPr>
                <w:rStyle w:val="Text13"/>
              </w:rPr>
              <w:t xml:space="preserve">.</w:t>
              <w:br w:clear="none"/>
            </w:r>
            <w:r>
              <w:rPr>
                <w:rStyle w:val="Text9"/>
              </w:rPr>
              <w:t xml:space="preserve">add_header</w:t>
              <w:br w:clear="none"/>
            </w:r>
            <w:r>
              <w:rPr>
                <w:rStyle w:val="Text7"/>
              </w:rPr>
              <w:t xml:space="preserve">(</w:t>
              <w:br w:clear="none"/>
            </w:r>
            <w:r>
              <w:t xml:space="preserve">'</w:t>
              <w:br w:clear="none"/>
              <w:t xml:space="preserve">Content-Type</w:t>
              <w:br w:clear="none"/>
              <w:t xml:space="preserve">'</w:t>
              <w:br w:clear="none"/>
            </w:r>
            <w:r>
              <w:rPr>
                <w:rStyle w:val="Text7"/>
              </w:rPr>
              <w:t xml:space="preserve">,</w:t>
              <w:br w:clear="none"/>
            </w:r>
            <w:r>
              <w:rPr>
                <w:rStyle w:val="Text6"/>
              </w:rPr>
              <w:t xml:space="preserve"> </w:t>
              <w:br w:clear="none"/>
              <w:t xml:space="preserve">f</w:t>
              <w:br w:clear="none"/>
            </w:r>
            <w:r>
              <w:t xml:space="preserve">'</w:t>
              <w:br w:clear="none"/>
            </w:r>
            <w:r>
              <w:rPr>
                <w:rStyle w:val="Text32"/>
              </w:rPr>
              <w:t xml:space="preserve">{</w:t>
              <w:br w:clear="none"/>
            </w:r>
            <w:r>
              <w:rPr>
                <w:rStyle w:val="Text14"/>
              </w:rPr>
              <w:t xml:space="preserve">main</w:t>
              <w:br w:clear="none"/>
            </w:r>
            <w:r>
              <w:rPr>
                <w:rStyle w:val="Text32"/>
              </w:rPr>
              <w:t xml:space="preserve">}</w:t>
              <w:br w:clear="none"/>
            </w:r>
            <w:r>
              <w:t xml:space="preserve">/</w:t>
              <w:br w:clear="none"/>
            </w:r>
            <w:r>
              <w:rPr>
                <w:rStyle w:val="Text32"/>
              </w:rPr>
              <w:t xml:space="preserve">{</w:t>
              <w:br w:clear="none"/>
            </w:r>
            <w:r>
              <w:rPr>
                <w:rStyle w:val="Text14"/>
              </w:rPr>
              <w:t xml:space="preserve">sub</w:t>
              <w:br w:clear="none"/>
            </w:r>
            <w:r>
              <w:rPr>
                <w:rStyle w:val="Text32"/>
              </w:rPr>
              <w:t xml:space="preserve">}</w:t>
              <w:br w:clear="none"/>
            </w:r>
            <w:r>
              <w:t xml:space="preserve">'</w:t>
              <w:br w:clear="none"/>
            </w:r>
            <w:r>
              <w:rPr>
                <w:rStyle w:val="Text7"/>
              </w:rPr>
              <w:t xml:space="preserve">,</w:t>
              <w:br w:clear="none"/>
            </w:r>
            <w:r>
              <w:rPr>
                <w:rStyle w:val="Text6"/>
              </w:rPr>
              <w:t xml:space="preserve"> </w:t>
              <w:br w:clear="none"/>
              <w:t xml:space="preserve"/>
              <w:br w:clear="none"/>
              <w:t xml:space="preserve">             </w:t>
              <w:br w:clear="none"/>
            </w:r>
            <w:r>
              <w:rPr>
                <w:rStyle w:val="Text13"/>
              </w:rPr>
              <w:t xml:space="preserve">*</w:t>
              <w:br w:clear="none"/>
              <w:t xml:space="preserve">*</w:t>
              <w:br w:clear="none"/>
            </w:r>
            <w:r>
              <w:rPr>
                <w:rStyle w:val="Text14"/>
              </w:rPr>
              <w:t xml:space="preserve">params</w:t>
              <w:br w:clear="none"/>
            </w:r>
            <w:r>
              <w:rPr>
                <w:rStyle w:val="Text7"/>
              </w:rPr>
              <w:t xml:space="preserve">)</w:t>
              <w:br w:clear="none"/>
            </w:r>
            <w:r>
              <w:rPr>
                <w:rStyle w:val="Text6"/>
              </w:rPr>
              <w:t xml:space="preserve"/>
              <w:br w:clear="none"/>
            </w:r>
            <w:r>
              <w:rPr>
                <w:rStyle w:val="Text14"/>
              </w:rPr>
              <w:t xml:space="preserve">m</w:t>
              <w:br w:clear="none"/>
            </w:r>
            <w:r>
              <w:rPr>
                <w:rStyle w:val="Text13"/>
              </w:rPr>
              <w:t xml:space="preserve">.</w:t>
              <w:br w:clear="none"/>
            </w:r>
            <w:r>
              <w:rPr>
                <w:rStyle w:val="Text9"/>
              </w:rPr>
              <w:t xml:space="preserve">add_header</w:t>
              <w:br w:clear="none"/>
            </w:r>
            <w:r>
              <w:rPr>
                <w:rStyle w:val="Text7"/>
              </w:rPr>
              <w:t xml:space="preserve">(</w:t>
              <w:br w:clear="none"/>
            </w:r>
            <w:r>
              <w:t xml:space="preserve">'</w:t>
              <w:br w:clear="none"/>
              <w:t xml:space="preserve">Mime-Version</w:t>
              <w:br w:clear="none"/>
              <w:t xml:space="preserve">'</w:t>
              <w:br w:clear="none"/>
            </w:r>
            <w:r>
              <w:rPr>
                <w:rStyle w:val="Text7"/>
              </w:rPr>
              <w:t xml:space="preserve">,</w:t>
              <w:br w:clear="none"/>
            </w:r>
            <w:r>
              <w:rPr>
                <w:rStyle w:val="Text6"/>
              </w:rPr>
              <w:t xml:space="preserve"> </w:t>
              <w:br w:clear="none"/>
            </w:r>
            <w:r>
              <w:t xml:space="preserve">'</w:t>
              <w:br w:clear="none"/>
              <w:t xml:space="preserve">1.0</w:t>
              <w:br w:clear="none"/>
              <w:t xml:space="preserve">'</w:t>
              <w:br w:clear="none"/>
            </w:r>
            <w:r>
              <w:rPr>
                <w:rStyle w:val="Text7"/>
              </w:rPr>
              <w:t xml:space="preserve">)</w:t>
              <w:br w:clear="none"/>
            </w:r>
          </w:p>
        </w:tc>
      </w:tr>
    </w:tbl>
    <w:tbl>
      <w:tblPr>
        <w:tblW w:type="auto" w:w="0"/>
      </w:tblPr>
      <w:tr>
        <w:tc>
          <w:tcPr>
            <w:tcW w:type="auto" w:w="0"/>
            <w:tcMar>
              <w:left w:type="dxa" w:w="200"/>
              <w:top w:type="dxa" w:w="200"/>
              <w:right w:type="dxa" w:w="200"/>
              <w:bottom w:type="dxa" w:w="200"/>
            </w:tcMar>
          </w:tcPr>
          <w:p>
            <w:pPr>
              <w:pStyle w:val="Para 001"/>
            </w:pPr>
            <w:r>
              <w:t>MIMEImage</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MIMEImage(_</w:t>
            </w:r>
            <w:r>
              <w:rPr>
                <w:rStyle w:val="Text3"/>
              </w:rPr>
              <w:t>imagedata</w:t>
            </w:r>
            <w:r>
              <w:rPr>
                <w:rStyle w:val="Text0"/>
              </w:rPr>
              <w:t>, _subtype=</w:t>
            </w:r>
            <w:r>
              <w:rPr>
                <w:rStyle w:val="Text5"/>
              </w:rPr>
              <w:t>None</w:t>
            </w:r>
            <w:r>
              <w:rPr>
                <w:rStyle w:val="Text0"/>
              </w:rPr>
              <w:t>, _encoder=</w:t>
            </w:r>
            <w:r>
              <w:rPr>
                <w:rStyle w:val="Text5"/>
              </w:rPr>
              <w:t>None</w:t>
            </w:r>
            <w:r>
              <w:rPr>
                <w:rStyle w:val="Text0"/>
              </w:rPr>
              <w:t>, **</w:t>
            </w:r>
            <w:r>
              <w:rPr>
                <w:rStyle w:val="Text3"/>
              </w:rPr>
              <w:t>_params</w:t>
            </w:r>
            <w:r>
              <w:rPr>
                <w:rStyle w:val="Text0"/>
              </w:rPr>
              <w:t>)</w:t>
              <w:br w:clear="none"/>
            </w:r>
            <w:r>
              <w:t xml:space="preserve"> Like </w:t>
            </w:r>
            <w:r>
              <w:rPr>
                <w:rStyle w:val="Text0"/>
              </w:rPr>
              <w:t>MIMEAudio</w:t>
            </w:r>
            <w:r>
              <w:t xml:space="preserve">, but with main type </w:t>
            </w:r>
            <w:r>
              <w:rPr>
                <w:rStyle w:val="Text0"/>
              </w:rPr>
              <w:t>'image'</w:t>
            </w:r>
            <w:r>
              <w:t xml:space="preserve">; uses standard Python module </w:t>
            </w:r>
            <w:r>
              <w:rPr>
                <w:rStyle w:val="Text0"/>
              </w:rPr>
              <w:t>imghdr</w:t>
            </w:r>
            <w:r>
              <w:t xml:space="preserve"> to determine the subtype, if needed. </w:t>
            </w:r>
            <w:r>
              <w:rPr>
                <w:rStyle w:val="Text34"/>
              </w:rPr>
              <w:t>3.11+</w:t>
            </w:r>
            <w:r>
              <w:t xml:space="preserve"> Since </w:t>
            </w:r>
            <w:r>
              <w:rPr>
                <w:rStyle w:val="Text0"/>
              </w:rPr>
              <w:t>imghdr</w:t>
            </w:r>
            <w:r>
              <w:t xml:space="preserve"> is deprecated, you should always specify the </w:t>
            </w:r>
            <w:r>
              <w:rPr>
                <w:rStyle w:val="Text0"/>
              </w:rPr>
              <w:t>_subtype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MIMEMessage</w:t>
            </w:r>
          </w:p>
        </w:tc>
        <w:tc>
          <w:tcPr>
            <w:tcW w:type="auto" w:w="0"/>
            <w:shd w:val="clear" w:color="auto" w:fill="EEF2F6"/>
            <w:tcMar>
              <w:left w:type="dxa" w:w="200"/>
              <w:top w:type="dxa" w:w="200"/>
              <w:right w:type="dxa" w:w="200"/>
              <w:bottom w:type="dxa" w:w="200"/>
            </w:tcMar>
          </w:tcPr>
          <w:p>
            <w:pPr>
              <w:pStyle w:val="Para 002"/>
            </w:pPr>
            <w:r>
              <w:rPr>
                <w:rStyle w:val="Text5"/>
              </w:rPr>
              <w:t>class</w:t>
            </w:r>
            <w:r>
              <w:t xml:space="preserve"> </w:t>
            </w:r>
            <w:r>
              <w:rPr>
                <w:rStyle w:val="Text0"/>
              </w:rPr>
              <w:t>MIMEMessage(</w:t>
            </w:r>
            <w:r>
              <w:rPr>
                <w:rStyle w:val="Text3"/>
              </w:rPr>
              <w:t>msg</w:t>
            </w:r>
            <w:r>
              <w:rPr>
                <w:rStyle w:val="Text0"/>
              </w:rPr>
              <w:t>, _subtype='rfc822')</w:t>
              <w:br w:clear="none"/>
            </w:r>
            <w:r>
              <w:t xml:space="preserve"> Packs </w:t>
            </w:r>
            <w:r>
              <w:rPr>
                <w:rStyle w:val="Text3"/>
              </w:rPr>
              <w:t>msg</w:t>
            </w:r>
            <w:r>
              <w:t xml:space="preserve">, which must be an instance of </w:t>
            </w:r>
            <w:r>
              <w:rPr>
                <w:rStyle w:val="Text0"/>
              </w:rPr>
              <w:t>Message</w:t>
            </w:r>
            <w:r>
              <w:t xml:space="preserve"> (or a subclass), as the payload of a message of MIME type </w:t>
            </w:r>
            <w:r>
              <w:rPr>
                <w:rStyle w:val="Text0"/>
              </w:rPr>
              <w:t>'message/_subtype'</w:t>
            </w:r>
            <w:r>
              <w:t>.</w:t>
            </w:r>
          </w:p>
        </w:tc>
      </w:tr>
    </w:tbl>
    <w:tbl>
      <w:tblPr>
        <w:tblW w:type="auto" w:w="0"/>
      </w:tblPr>
      <w:tr>
        <w:tc>
          <w:tcPr>
            <w:tcW w:type="auto" w:w="0"/>
            <w:tcMar>
              <w:left w:type="dxa" w:w="200"/>
              <w:top w:type="dxa" w:w="200"/>
              <w:right w:type="dxa" w:w="200"/>
              <w:bottom w:type="dxa" w:w="200"/>
            </w:tcMar>
          </w:tcPr>
          <w:p>
            <w:pPr>
              <w:pStyle w:val="Para 001"/>
            </w:pPr>
            <w:r>
              <w:t>MIMEText</w:t>
            </w:r>
          </w:p>
        </w:tc>
        <w:tc>
          <w:tcPr>
            <w:tcW w:type="auto" w:w="0"/>
            <w:tcMar>
              <w:left w:type="dxa" w:w="200"/>
              <w:top w:type="dxa" w:w="200"/>
              <w:right w:type="dxa" w:w="200"/>
              <w:bottom w:type="dxa" w:w="200"/>
            </w:tcMar>
          </w:tcPr>
          <w:p>
            <w:pPr>
              <w:pStyle w:val="Para 002"/>
            </w:pPr>
            <w:r>
              <w:rPr>
                <w:rStyle w:val="Text5"/>
              </w:rPr>
              <w:t>class</w:t>
            </w:r>
            <w:r>
              <w:t xml:space="preserve"> </w:t>
            </w:r>
            <w:r>
              <w:rPr>
                <w:rStyle w:val="Text0"/>
              </w:rPr>
              <w:t>MIMEText(_</w:t>
            </w:r>
            <w:r>
              <w:rPr>
                <w:rStyle w:val="Text3"/>
              </w:rPr>
              <w:t>text</w:t>
            </w:r>
            <w:r>
              <w:rPr>
                <w:rStyle w:val="Text0"/>
              </w:rPr>
              <w:t>, _subtype='plain', _charset='us-ascii', _encoder=</w:t>
            </w:r>
            <w:r>
              <w:rPr>
                <w:rStyle w:val="Text5"/>
              </w:rPr>
              <w:t>None</w:t>
            </w:r>
            <w:r>
              <w:rPr>
                <w:rStyle w:val="Text0"/>
              </w:rPr>
              <w:t>)</w:t>
              <w:br w:clear="none"/>
            </w:r>
            <w:r>
              <w:t xml:space="preserve"> Packs text string </w:t>
            </w:r>
            <w:r>
              <w:rPr>
                <w:rStyle w:val="Text3"/>
              </w:rPr>
              <w:t>_text</w:t>
            </w:r>
            <w:r>
              <w:t xml:space="preserve"> as the payload of a message of MIME type </w:t>
            </w:r>
            <w:r>
              <w:rPr>
                <w:rStyle w:val="Text0"/>
              </w:rPr>
              <w:t>'text/_subtype'</w:t>
            </w:r>
            <w:r>
              <w:t xml:space="preserve"> with the given </w:t>
            </w:r>
            <w:r>
              <w:rPr>
                <w:rStyle w:val="Text0"/>
              </w:rPr>
              <w:t>_charset</w:t>
            </w:r>
            <w:r>
              <w:t xml:space="preserve">. When </w:t>
            </w:r>
            <w:r>
              <w:rPr>
                <w:rStyle w:val="Text0"/>
              </w:rPr>
              <w:t>_encoder</w:t>
            </w:r>
            <w:r>
              <w:t xml:space="preserve"> is </w:t>
            </w:r>
            <w:r>
              <w:rPr>
                <w:rStyle w:val="Text5"/>
              </w:rPr>
              <w:t>None</w:t>
            </w:r>
            <w:r>
              <w:t xml:space="preserve">, </w:t>
            </w:r>
            <w:r>
              <w:rPr>
                <w:rStyle w:val="Text0"/>
              </w:rPr>
              <w:t>MIMEText</w:t>
            </w:r>
            <w:r>
              <w:t xml:space="preserve"> does not encode the text, which is generally the best choice. Otherwise, </w:t>
            </w:r>
            <w:r>
              <w:rPr>
                <w:rStyle w:val="Text0"/>
              </w:rPr>
              <w:t>_encoder</w:t>
            </w:r>
            <w:r>
              <w:t xml:space="preserve"> must be callable with one parameter, </w:t>
            </w:r>
            <w:r>
              <w:rPr>
                <w:rStyle w:val="Text3"/>
              </w:rPr>
              <w:t>m</w:t>
            </w:r>
            <w:r>
              <w:t xml:space="preserve">, which is the message being constructed; </w:t>
            </w:r>
            <w:r>
              <w:rPr>
                <w:rStyle w:val="Text0"/>
              </w:rPr>
              <w:t>_encoder</w:t>
            </w:r>
            <w:r>
              <w:t xml:space="preserve"> must then call </w:t>
            </w:r>
            <w:r>
              <w:rPr>
                <w:rStyle w:val="Text3"/>
              </w:rPr>
              <w:t>m</w:t>
            </w:r>
            <w:r>
              <w:rPr>
                <w:rStyle w:val="Text0"/>
              </w:rPr>
              <w:t>.get_payload</w:t>
            </w:r>
            <w:r>
              <w:t xml:space="preserve"> to get the payload, encode the payload, put the encoded form back by calling </w:t>
            </w:r>
            <w:r>
              <w:rPr>
                <w:rStyle w:val="Text3"/>
              </w:rPr>
              <w:t>m</w:t>
            </w:r>
            <w:r>
              <w:rPr>
                <w:rStyle w:val="Text0"/>
              </w:rPr>
              <w:t>.set_payload</w:t>
            </w:r>
            <w:r>
              <w:t xml:space="preserve">, and set </w:t>
            </w:r>
            <w:r>
              <w:rPr>
                <w:rStyle w:val="Text3"/>
              </w:rPr>
              <w:t>m</w:t>
            </w:r>
            <w:r>
              <w:t>’s Content-Transfer-Encoding header appropriately.</w:t>
            </w:r>
          </w:p>
        </w:tc>
      </w:tr>
    </w:tbl>
    <w:p>
      <w:bookmarkStart w:id="4243" w:name="The_email_encoders_Module__The_e"/>
      <w:pPr>
        <w:keepNext/>
        <w:pStyle w:val="Heading 2"/>
      </w:pPr>
      <w:r>
        <w:t>The email.encoders Module</w:t>
      </w:r>
      <w:bookmarkEnd w:id="4243"/>
    </w:p>
    <w:p>
      <w:pPr>
        <w:pStyle w:val="Normal"/>
      </w:pPr>
      <w:r>
        <w:t>The</w:t>
      </w:r>
      <w:r>
        <w:rPr>
          <w:rStyle w:val="Text111"/>
        </w:rPr>
        <w:bookmarkStart w:id="4244" w:name="idm45965172720496"/>
        <w:t/>
        <w:bookmarkEnd w:id="4244"/>
      </w:r>
      <w:r>
        <w:t xml:space="preserve"> </w:t>
      </w:r>
      <w:r>
        <w:rPr>
          <w:rStyle w:val="Text0"/>
        </w:rPr>
        <w:t>email.encoders</w:t>
      </w:r>
      <w:r>
        <w:t xml:space="preserve"> module supplies functions that take a</w:t>
      </w:r>
      <w:r>
        <w:rPr>
          <w:rStyle w:val="Text111"/>
        </w:rPr>
        <w:bookmarkStart w:id="4245" w:name="idm45965172718240"/>
        <w:t/>
        <w:bookmarkEnd w:id="4245"/>
      </w:r>
      <w:r>
        <w:t xml:space="preserve"> </w:t>
      </w:r>
      <w:r>
        <w:rPr>
          <w:rStyle w:val="Text4"/>
        </w:rPr>
        <w:t>nonmultipart</w:t>
      </w:r>
      <w:r>
        <w:t xml:space="preserve"> message </w:t>
      </w:r>
      <w:r>
        <w:rPr>
          <w:rStyle w:val="Text3"/>
        </w:rPr>
        <w:t>m</w:t>
      </w:r>
      <w:r>
        <w:t xml:space="preserve"> as their only argument, encode </w:t>
      </w:r>
      <w:r>
        <w:rPr>
          <w:rStyle w:val="Text3"/>
        </w:rPr>
        <w:t>m</w:t>
      </w:r>
      <w:r>
        <w:t xml:space="preserve">’s payload, and set </w:t>
      </w:r>
      <w:r>
        <w:rPr>
          <w:rStyle w:val="Text3"/>
        </w:rPr>
        <w:t>m</w:t>
      </w:r>
      <w:r>
        <w:t xml:space="preserve">’s headers appropriately. These functions are listed in </w:t>
      </w:r>
      <w:hyperlink w:anchor="Table_21_4__Functions_of_the_ema">
        <w:r>
          <w:rPr>
            <w:rStyle w:val="Text1"/>
          </w:rPr>
          <w:t>Table 21-4</w:t>
        </w:r>
      </w:hyperlink>
      <w:r>
        <w:t>.</w:t>
      </w:r>
    </w:p>
    <w:tbl>
      <w:tblPr>
        <w:tblW w:type="auto" w:w="0"/>
      </w:tblPr>
      <w:tr>
        <w:tc>
          <w:tcPr>
            <w:tcW w:type="auto" w:w="0"/>
            <w:tcMar>
              <w:left w:type="dxa" w:w="200"/>
              <w:top w:type="dxa" w:w="200"/>
              <w:right w:type="dxa" w:w="200"/>
              <w:bottom w:type="dxa" w:w="200"/>
            </w:tcMar>
          </w:tcPr>
          <w:p>
            <w:bookmarkStart w:id="4246" w:name="Table_21_4__Functions_of_the_ema"/>
            <w:pPr>
              <w:pStyle w:val="Para 011"/>
            </w:pPr>
            <w:r>
              <w:rPr>
                <w:rStyle w:val="Text117"/>
              </w:rPr>
              <w:t/>
            </w:r>
            <w:r>
              <w:t xml:space="preserve">Table 21-4. </w:t>
              <w:t xml:space="preserve">Functions of the </w:t>
            </w:r>
            <w:r>
              <w:rPr>
                <w:rStyle w:val="Text0"/>
              </w:rPr>
              <w:t>email.encoders</w:t>
            </w:r>
            <w:r>
              <w:t xml:space="preserve"> module</w:t>
            </w:r>
            <w:bookmarkEnd w:id="4246"/>
          </w:p>
          <w:p>
            <w:pPr>
              <w:pStyle w:val="Para 001"/>
            </w:pPr>
            <w:r>
              <w:t>encode_base64</w:t>
            </w:r>
          </w:p>
        </w:tc>
        <w:tc>
          <w:tcPr>
            <w:tcW w:type="auto" w:w="0"/>
            <w:tcMar>
              <w:left w:type="dxa" w:w="200"/>
              <w:top w:type="dxa" w:w="200"/>
              <w:right w:type="dxa" w:w="200"/>
              <w:bottom w:type="dxa" w:w="200"/>
            </w:tcMar>
          </w:tcPr>
          <w:p>
            <w:pPr>
              <w:pStyle w:val="Para 002"/>
            </w:pPr>
            <w:r>
              <w:rPr>
                <w:rStyle w:val="Text0"/>
              </w:rPr>
              <w:t>encode_base64(</w:t>
            </w:r>
            <w:r>
              <w:rPr>
                <w:rStyle w:val="Text3"/>
              </w:rPr>
              <w:t>m</w:t>
            </w:r>
            <w:r>
              <w:rPr>
                <w:rStyle w:val="Text0"/>
              </w:rPr>
              <w:t>)</w:t>
              <w:br w:clear="none"/>
            </w:r>
            <w:r>
              <w:t xml:space="preserve"> Uses Base64 encoding, usually optimal for arbitrary binary data (see </w:t>
            </w:r>
            <w:hyperlink w:anchor="The_base64_Module__The_base64_mo">
              <w:r>
                <w:rPr>
                  <w:rStyle w:val="Text1"/>
                </w:rPr>
                <w:t>“The base64 Module”</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encode_noop</w:t>
            </w:r>
          </w:p>
        </w:tc>
        <w:tc>
          <w:tcPr>
            <w:tcW w:type="auto" w:w="0"/>
            <w:shd w:val="clear" w:color="auto" w:fill="EEF2F6"/>
            <w:tcMar>
              <w:left w:type="dxa" w:w="200"/>
              <w:top w:type="dxa" w:w="200"/>
              <w:right w:type="dxa" w:w="200"/>
              <w:bottom w:type="dxa" w:w="200"/>
            </w:tcMar>
          </w:tcPr>
          <w:p>
            <w:pPr>
              <w:pStyle w:val="Para 002"/>
            </w:pPr>
            <w:r>
              <w:rPr>
                <w:rStyle w:val="Text0"/>
              </w:rPr>
              <w:t>encode_noop(</w:t>
            </w:r>
            <w:r>
              <w:rPr>
                <w:rStyle w:val="Text3"/>
              </w:rPr>
              <w:t>m</w:t>
            </w:r>
            <w:r>
              <w:rPr>
                <w:rStyle w:val="Text0"/>
              </w:rPr>
              <w:t>)</w:t>
              <w:br w:clear="none"/>
            </w:r>
            <w:r>
              <w:t xml:space="preserve"> Does nothing to </w:t>
            </w:r>
            <w:r>
              <w:rPr>
                <w:rStyle w:val="Text3"/>
              </w:rPr>
              <w:t>m</w:t>
            </w:r>
            <w:r>
              <w:t>’s payload and headers.</w:t>
            </w:r>
          </w:p>
        </w:tc>
      </w:tr>
    </w:tbl>
    <w:tbl>
      <w:tblPr>
        <w:tblW w:type="auto" w:w="0"/>
      </w:tblPr>
      <w:tr>
        <w:tc>
          <w:tcPr>
            <w:tcW w:type="auto" w:w="0"/>
            <w:tcMar>
              <w:left w:type="dxa" w:w="200"/>
              <w:top w:type="dxa" w:w="200"/>
              <w:right w:type="dxa" w:w="200"/>
              <w:bottom w:type="dxa" w:w="200"/>
            </w:tcMar>
          </w:tcPr>
          <w:p>
            <w:pPr>
              <w:pStyle w:val="Para 001"/>
            </w:pPr>
            <w:r>
              <w:t>encode_quopri</w:t>
            </w:r>
          </w:p>
        </w:tc>
        <w:tc>
          <w:tcPr>
            <w:tcW w:type="auto" w:w="0"/>
            <w:tcMar>
              <w:left w:type="dxa" w:w="200"/>
              <w:top w:type="dxa" w:w="200"/>
              <w:right w:type="dxa" w:w="200"/>
              <w:bottom w:type="dxa" w:w="200"/>
            </w:tcMar>
          </w:tcPr>
          <w:p>
            <w:pPr>
              <w:pStyle w:val="Para 002"/>
            </w:pPr>
            <w:r>
              <w:rPr>
                <w:rStyle w:val="Text0"/>
              </w:rPr>
              <w:t>encode_quopri(</w:t>
            </w:r>
            <w:r>
              <w:rPr>
                <w:rStyle w:val="Text3"/>
              </w:rPr>
              <w:t>m</w:t>
            </w:r>
            <w:r>
              <w:rPr>
                <w:rStyle w:val="Text0"/>
              </w:rPr>
              <w:t>)</w:t>
              <w:br w:clear="none"/>
            </w:r>
            <w:r>
              <w:t xml:space="preserve"> Uses Quoted Printable encoding, usually optimal for text that is almost but not fully ASCII (see </w:t>
            </w:r>
            <w:hyperlink w:anchor="The_quopri_Module__The_quopri_mo">
              <w:r>
                <w:rPr>
                  <w:rStyle w:val="Text1"/>
                </w:rPr>
                <w:t>“The quopri Module”</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encode_7or8bit</w:t>
            </w:r>
          </w:p>
        </w:tc>
        <w:tc>
          <w:tcPr>
            <w:tcW w:type="auto" w:w="0"/>
            <w:shd w:val="clear" w:color="auto" w:fill="EEF2F6"/>
            <w:tcMar>
              <w:left w:type="dxa" w:w="200"/>
              <w:top w:type="dxa" w:w="200"/>
              <w:right w:type="dxa" w:w="200"/>
              <w:bottom w:type="dxa" w:w="200"/>
            </w:tcMar>
          </w:tcPr>
          <w:p>
            <w:pPr>
              <w:pStyle w:val="Para 002"/>
            </w:pPr>
            <w:r>
              <w:rPr>
                <w:rStyle w:val="Text0"/>
              </w:rPr>
              <w:t>encode_7or8bit(</w:t>
            </w:r>
            <w:r>
              <w:rPr>
                <w:rStyle w:val="Text3"/>
              </w:rPr>
              <w:t>m</w:t>
            </w:r>
            <w:r>
              <w:rPr>
                <w:rStyle w:val="Text0"/>
              </w:rPr>
              <w:t>)</w:t>
              <w:br w:clear="none"/>
            </w:r>
            <w:r>
              <w:t xml:space="preserve"> Does nothing to </w:t>
            </w:r>
            <w:r>
              <w:rPr>
                <w:rStyle w:val="Text3"/>
              </w:rPr>
              <w:t>m</w:t>
            </w:r>
            <w:r>
              <w:t xml:space="preserve">’s payload, but sets the header Content-Transfer-Encoding to </w:t>
            </w:r>
            <w:r>
              <w:rPr>
                <w:rStyle w:val="Text0"/>
              </w:rPr>
              <w:t>'8bit'</w:t>
            </w:r>
            <w:r>
              <w:t xml:space="preserve"> when any byte of </w:t>
            </w:r>
            <w:r>
              <w:rPr>
                <w:rStyle w:val="Text3"/>
              </w:rPr>
              <w:t>m</w:t>
            </w:r>
            <w:r>
              <w:t xml:space="preserve">’s payload has the high bit set; otherwise, sets it to </w:t>
            </w:r>
            <w:r>
              <w:rPr>
                <w:rStyle w:val="Text0"/>
              </w:rPr>
              <w:t>'7bit'</w:t>
            </w:r>
            <w:r>
              <w:t>.</w:t>
            </w:r>
          </w:p>
        </w:tc>
      </w:tr>
    </w:tbl>
    <w:p>
      <w:bookmarkStart w:id="4247" w:name="The_email_utils_Module__The_emai"/>
      <w:pPr>
        <w:keepNext/>
        <w:pStyle w:val="Heading 2"/>
      </w:pPr>
      <w:r>
        <w:t>The email.utils Module</w:t>
      </w:r>
      <w:bookmarkEnd w:id="4247"/>
    </w:p>
    <w:p>
      <w:pPr>
        <w:pStyle w:val="Normal"/>
      </w:pPr>
      <w:r>
        <w:t>The</w:t>
      </w:r>
      <w:r>
        <w:rPr>
          <w:rStyle w:val="Text111"/>
        </w:rPr>
        <w:bookmarkStart w:id="4248" w:name="idm45965172690928"/>
        <w:t/>
        <w:bookmarkEnd w:id="4248"/>
      </w:r>
      <w:r>
        <w:t xml:space="preserve"> </w:t>
      </w:r>
      <w:r>
        <w:rPr>
          <w:rStyle w:val="Text0"/>
        </w:rPr>
        <w:t>email.utils</w:t>
      </w:r>
      <w:r>
        <w:t xml:space="preserve"> module supplies several functions for email processing, listed in </w:t>
      </w:r>
      <w:hyperlink w:anchor="Table_21_5__Functions_of_the_ema">
        <w:r>
          <w:rPr>
            <w:rStyle w:val="Text1"/>
          </w:rPr>
          <w:t>Table 21-5</w:t>
        </w:r>
      </w:hyperlink>
      <w:r>
        <w:t>.</w:t>
      </w:r>
    </w:p>
    <w:tbl>
      <w:tblPr>
        <w:tblW w:type="auto" w:w="0"/>
      </w:tblPr>
      <w:tr>
        <w:tc>
          <w:tcPr>
            <w:tcW w:type="pct" w:w="1000"/>
            <w:tcMar>
              <w:left w:type="dxa" w:w="200"/>
              <w:top w:type="dxa" w:w="200"/>
              <w:right w:type="dxa" w:w="200"/>
              <w:bottom w:type="dxa" w:w="200"/>
            </w:tcMar>
          </w:tcPr>
          <w:p>
            <w:bookmarkStart w:id="4249" w:name="Table_21_5__Functions_of_the_ema"/>
            <w:pPr>
              <w:pStyle w:val="Para 011"/>
            </w:pPr>
            <w:r>
              <w:rPr>
                <w:rStyle w:val="Text117"/>
              </w:rPr>
              <w:t/>
            </w:r>
            <w:r>
              <w:t xml:space="preserve">Table 21-5. </w:t>
              <w:t xml:space="preserve">Functions of the </w:t>
            </w:r>
            <w:r>
              <w:rPr>
                <w:rStyle w:val="Text0"/>
              </w:rPr>
              <w:t>email.utils</w:t>
            </w:r>
            <w:r>
              <w:t xml:space="preserve"> module</w:t>
            </w:r>
            <w:bookmarkEnd w:id="4249"/>
          </w:p>
          <w:p>
            <w:pPr>
              <w:pStyle w:val="Para 001"/>
            </w:pPr>
            <w:r>
              <w:t>formataddr</w:t>
            </w:r>
          </w:p>
        </w:tc>
        <w:tc>
          <w:tcPr>
            <w:tcW w:type="auto" w:w="0"/>
            <w:tcMar>
              <w:left w:type="dxa" w:w="200"/>
              <w:top w:type="dxa" w:w="200"/>
              <w:right w:type="dxa" w:w="200"/>
              <w:bottom w:type="dxa" w:w="200"/>
            </w:tcMar>
          </w:tcPr>
          <w:p>
            <w:pPr>
              <w:pStyle w:val="Para 002"/>
            </w:pPr>
            <w:r>
              <w:rPr>
                <w:rStyle w:val="Text0"/>
              </w:rPr>
              <w:t>formataddr(</w:t>
            </w:r>
            <w:r>
              <w:rPr>
                <w:rStyle w:val="Text3"/>
              </w:rPr>
              <w:t>pair</w:t>
            </w:r>
            <w:r>
              <w:rPr>
                <w:rStyle w:val="Text0"/>
              </w:rPr>
              <w:t>)</w:t>
              <w:br w:clear="none"/>
            </w:r>
            <w:r>
              <w:t xml:space="preserve"> Takes a pair of strings </w:t>
            </w:r>
            <w:r>
              <w:rPr>
                <w:rStyle w:val="Text0"/>
              </w:rPr>
              <w:t>(</w:t>
            </w:r>
            <w:r>
              <w:rPr>
                <w:rStyle w:val="Text3"/>
              </w:rPr>
              <w:t>realname</w:t>
            </w:r>
            <w:r>
              <w:rPr>
                <w:rStyle w:val="Text0"/>
              </w:rPr>
              <w:t>,</w:t>
            </w:r>
            <w:r>
              <w:t xml:space="preserve"> </w:t>
            </w:r>
            <w:r>
              <w:rPr>
                <w:rStyle w:val="Text3"/>
              </w:rPr>
              <w:t>email_address</w:t>
            </w:r>
            <w:r>
              <w:rPr>
                <w:rStyle w:val="Text0"/>
              </w:rPr>
              <w:t>)</w:t>
            </w:r>
            <w:r>
              <w:t xml:space="preserve"> and returns a string </w:t>
            </w:r>
            <w:r>
              <w:rPr>
                <w:rStyle w:val="Text3"/>
              </w:rPr>
              <w:t>s</w:t>
            </w:r>
            <w:r>
              <w:t xml:space="preserve"> with the address to insert in header fields such as </w:t>
            </w:r>
            <w:r>
              <w:rPr>
                <w:rStyle w:val="Text0"/>
              </w:rPr>
              <w:t>To</w:t>
            </w:r>
            <w:r>
              <w:t xml:space="preserve"> and </w:t>
            </w:r>
            <w:r>
              <w:rPr>
                <w:rStyle w:val="Text0"/>
              </w:rPr>
              <w:t>Cc</w:t>
            </w:r>
            <w:r>
              <w:t xml:space="preserve">. When </w:t>
            </w:r>
            <w:r>
              <w:rPr>
                <w:rStyle w:val="Text3"/>
              </w:rPr>
              <w:t>realname</w:t>
            </w:r>
            <w:r>
              <w:t xml:space="preserve"> is false (e.g., the empty string, </w:t>
            </w:r>
            <w:r>
              <w:rPr>
                <w:rStyle w:val="Text0"/>
              </w:rPr>
              <w:t>''</w:t>
            </w:r>
            <w:r>
              <w:t xml:space="preserve">), </w:t>
            </w:r>
            <w:r>
              <w:rPr>
                <w:rStyle w:val="Text0"/>
              </w:rPr>
              <w:t>formataddr</w:t>
            </w:r>
            <w:r>
              <w:t xml:space="preserve"> returns </w:t>
            </w:r>
            <w:r>
              <w:rPr>
                <w:rStyle w:val="Text3"/>
              </w:rPr>
              <w:t>email_address</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formatdate</w:t>
            </w:r>
          </w:p>
        </w:tc>
        <w:tc>
          <w:tcPr>
            <w:tcW w:type="auto" w:w="0"/>
            <w:shd w:val="clear" w:color="auto" w:fill="EEF2F6"/>
            <w:tcMar>
              <w:left w:type="dxa" w:w="200"/>
              <w:top w:type="dxa" w:w="200"/>
              <w:right w:type="dxa" w:w="200"/>
              <w:bottom w:type="dxa" w:w="200"/>
            </w:tcMar>
          </w:tcPr>
          <w:p>
            <w:pPr>
              <w:pStyle w:val="Para 002"/>
            </w:pPr>
            <w:r>
              <w:rPr>
                <w:rStyle w:val="Text0"/>
              </w:rPr>
              <w:t>formatdate(timeval=</w:t>
            </w:r>
            <w:r>
              <w:rPr>
                <w:rStyle w:val="Text5"/>
              </w:rPr>
              <w:t>None</w:t>
            </w:r>
            <w:r>
              <w:rPr>
                <w:rStyle w:val="Text0"/>
              </w:rPr>
              <w:t>, localtime=</w:t>
            </w:r>
            <w:r>
              <w:rPr>
                <w:rStyle w:val="Text5"/>
              </w:rPr>
              <w:t>False</w:t>
            </w:r>
            <w:r>
              <w:rPr>
                <w:rStyle w:val="Text0"/>
              </w:rPr>
              <w:t>)</w:t>
              <w:br w:clear="none"/>
            </w:r>
            <w:r>
              <w:t xml:space="preserve"> Returns a string with the time instant formatted as specified by RFC 2822. </w:t>
            </w:r>
            <w:r>
              <w:rPr>
                <w:rStyle w:val="Text0"/>
              </w:rPr>
              <w:t>timeval</w:t>
            </w:r>
            <w:r>
              <w:t xml:space="preserve"> is a number of seconds since the epoch. When </w:t>
            </w:r>
            <w:r>
              <w:rPr>
                <w:rStyle w:val="Text0"/>
              </w:rPr>
              <w:t>timeval</w:t>
            </w:r>
            <w:r>
              <w:t xml:space="preserve"> is </w:t>
            </w:r>
            <w:r>
              <w:rPr>
                <w:rStyle w:val="Text5"/>
              </w:rPr>
              <w:t>None</w:t>
            </w:r>
            <w:r>
              <w:t xml:space="preserve">, </w:t>
            </w:r>
            <w:r>
              <w:rPr>
                <w:rStyle w:val="Text0"/>
              </w:rPr>
              <w:t>formatdate</w:t>
            </w:r>
            <w:r>
              <w:t xml:space="preserve"> uses the current time. When </w:t>
            </w:r>
            <w:r>
              <w:rPr>
                <w:rStyle w:val="Text0"/>
              </w:rPr>
              <w:t>localtime</w:t>
            </w:r>
            <w:r>
              <w:t xml:space="preserve"> is </w:t>
            </w:r>
            <w:r>
              <w:rPr>
                <w:rStyle w:val="Text5"/>
              </w:rPr>
              <w:t>True</w:t>
            </w:r>
            <w:r>
              <w:t xml:space="preserve">, </w:t>
            </w:r>
            <w:r>
              <w:rPr>
                <w:rStyle w:val="Text0"/>
              </w:rPr>
              <w:t>formatdate</w:t>
            </w:r>
            <w:r>
              <w:t xml:space="preserve"> uses the local</w:t>
            </w:r>
            <w:r>
              <w:rPr>
                <w:rStyle w:val="Text111"/>
              </w:rPr>
              <w:bookmarkStart w:id="4250" w:name="idm45965172665328"/>
              <w:t/>
              <w:bookmarkEnd w:id="4250"/>
            </w:r>
            <w:r>
              <w:t xml:space="preserve"> time zone; otherwise, it uses UTC.</w:t>
            </w:r>
          </w:p>
        </w:tc>
      </w:tr>
    </w:tbl>
    <w:tbl>
      <w:tblPr>
        <w:tblW w:type="auto" w:w="0"/>
      </w:tblPr>
      <w:tr>
        <w:tc>
          <w:tcPr>
            <w:tcW w:type="auto" w:w="0"/>
            <w:tcMar>
              <w:left w:type="dxa" w:w="200"/>
              <w:top w:type="dxa" w:w="200"/>
              <w:right w:type="dxa" w:w="200"/>
              <w:bottom w:type="dxa" w:w="200"/>
            </w:tcMar>
          </w:tcPr>
          <w:p>
            <w:pPr>
              <w:pStyle w:val="Para 001"/>
            </w:pPr>
            <w:r>
              <w:t>getaddresses</w:t>
            </w:r>
          </w:p>
        </w:tc>
        <w:tc>
          <w:tcPr>
            <w:tcW w:type="auto" w:w="0"/>
            <w:tcMar>
              <w:left w:type="dxa" w:w="200"/>
              <w:top w:type="dxa" w:w="200"/>
              <w:right w:type="dxa" w:w="200"/>
              <w:bottom w:type="dxa" w:w="200"/>
            </w:tcMar>
          </w:tcPr>
          <w:p>
            <w:pPr>
              <w:pStyle w:val="Para 002"/>
            </w:pPr>
            <w:r>
              <w:rPr>
                <w:rStyle w:val="Text0"/>
              </w:rPr>
              <w:t>getaddresses(</w:t>
            </w:r>
            <w:r>
              <w:rPr>
                <w:rStyle w:val="Text3"/>
              </w:rPr>
              <w:t>L</w:t>
            </w:r>
            <w:r>
              <w:rPr>
                <w:rStyle w:val="Text0"/>
              </w:rPr>
              <w:t>)</w:t>
              <w:br w:clear="none"/>
            </w:r>
            <w:r>
              <w:t xml:space="preserve"> Parses each item of </w:t>
            </w:r>
            <w:r>
              <w:rPr>
                <w:rStyle w:val="Text3"/>
              </w:rPr>
              <w:t>L</w:t>
            </w:r>
            <w:r>
              <w:t xml:space="preserve">, a list of address strings as used in header fields such as </w:t>
            </w:r>
            <w:r>
              <w:rPr>
                <w:rStyle w:val="Text0"/>
              </w:rPr>
              <w:t>To</w:t>
            </w:r>
            <w:r>
              <w:t xml:space="preserve"> and </w:t>
            </w:r>
            <w:r>
              <w:rPr>
                <w:rStyle w:val="Text0"/>
              </w:rPr>
              <w:t>Cc</w:t>
            </w:r>
            <w:r>
              <w:t xml:space="preserve">, and returns a list of pairs of strings </w:t>
            </w:r>
            <w:r>
              <w:rPr>
                <w:rStyle w:val="Text0"/>
              </w:rPr>
              <w:t>(</w:t>
            </w:r>
            <w:r>
              <w:rPr>
                <w:rStyle w:val="Text3"/>
              </w:rPr>
              <w:t>name</w:t>
            </w:r>
            <w:r>
              <w:rPr>
                <w:rStyle w:val="Text0"/>
              </w:rPr>
              <w:t>,</w:t>
            </w:r>
            <w:r>
              <w:t xml:space="preserve"> </w:t>
            </w:r>
            <w:r>
              <w:rPr>
                <w:rStyle w:val="Text3"/>
              </w:rPr>
              <w:t>address</w:t>
            </w:r>
            <w:r>
              <w:rPr>
                <w:rStyle w:val="Text0"/>
              </w:rPr>
              <w:t>)</w:t>
            </w:r>
            <w:r>
              <w:t xml:space="preserve">. When </w:t>
            </w:r>
            <w:r>
              <w:rPr>
                <w:rStyle w:val="Text0"/>
              </w:rPr>
              <w:t>getaddresses</w:t>
            </w:r>
            <w:r>
              <w:t xml:space="preserve"> cannot parse an item of </w:t>
            </w:r>
            <w:r>
              <w:rPr>
                <w:rStyle w:val="Text3"/>
              </w:rPr>
              <w:t>L</w:t>
            </w:r>
            <w:r>
              <w:t xml:space="preserve"> as an email address, it sets </w:t>
            </w:r>
            <w:r>
              <w:rPr>
                <w:rStyle w:val="Text0"/>
              </w:rPr>
              <w:t>('', '')</w:t>
            </w:r>
            <w:r>
              <w:t xml:space="preserve"> as the corresponding item in the list.</w:t>
            </w:r>
          </w:p>
        </w:tc>
      </w:tr>
    </w:tbl>
    <w:tbl>
      <w:tblPr>
        <w:tblW w:type="auto" w:w="0"/>
      </w:tblPr>
      <w:tr>
        <w:tc>
          <w:tcPr>
            <w:tcW w:type="auto" w:w="0"/>
            <w:shd w:val="clear" w:color="auto" w:fill="EEF2F6"/>
            <w:tcMar>
              <w:left w:type="dxa" w:w="200"/>
              <w:top w:type="dxa" w:w="200"/>
              <w:right w:type="dxa" w:w="200"/>
              <w:bottom w:type="dxa" w:w="200"/>
            </w:tcMar>
          </w:tcPr>
          <w:p>
            <w:pPr>
              <w:pStyle w:val="Para 001"/>
            </w:pPr>
            <w:r>
              <w:t>mktime_tz</w:t>
            </w:r>
          </w:p>
        </w:tc>
        <w:tc>
          <w:tcPr>
            <w:tcW w:type="auto" w:w="0"/>
            <w:shd w:val="clear" w:color="auto" w:fill="EEF2F6"/>
            <w:tcMar>
              <w:left w:type="dxa" w:w="200"/>
              <w:top w:type="dxa" w:w="200"/>
              <w:right w:type="dxa" w:w="200"/>
              <w:bottom w:type="dxa" w:w="200"/>
            </w:tcMar>
          </w:tcPr>
          <w:p>
            <w:pPr>
              <w:pStyle w:val="Para 002"/>
            </w:pPr>
            <w:r>
              <w:rPr>
                <w:rStyle w:val="Text0"/>
              </w:rPr>
              <w:t>mktime_tz(</w:t>
            </w:r>
            <w:r>
              <w:rPr>
                <w:rStyle w:val="Text3"/>
              </w:rPr>
              <w:t>t</w:t>
            </w:r>
            <w:r>
              <w:rPr>
                <w:rStyle w:val="Text0"/>
              </w:rPr>
              <w:t>)</w:t>
              <w:br w:clear="none"/>
            </w:r>
            <w:r>
              <w:t xml:space="preserve"> Returns a </w:t>
            </w:r>
            <w:r>
              <w:rPr>
                <w:rStyle w:val="Text0"/>
              </w:rPr>
              <w:t>float</w:t>
            </w:r>
            <w:r>
              <w:t xml:space="preserve"> representing the number of seconds since the epoch, in UTC, corresponding to the instant that </w:t>
            </w:r>
            <w:r>
              <w:rPr>
                <w:rStyle w:val="Text3"/>
              </w:rPr>
              <w:t>t</w:t>
            </w:r>
            <w:r>
              <w:t xml:space="preserve"> denotes. </w:t>
            </w:r>
            <w:r>
              <w:rPr>
                <w:rStyle w:val="Text3"/>
              </w:rPr>
              <w:t>t</w:t>
            </w:r>
            <w:r>
              <w:t xml:space="preserve"> is a tuple with 10 items. The first nine items of </w:t>
            </w:r>
            <w:r>
              <w:rPr>
                <w:rStyle w:val="Text3"/>
              </w:rPr>
              <w:t>t</w:t>
            </w:r>
            <w:r>
              <w:t xml:space="preserve"> are in the same format used in the module </w:t>
            </w:r>
            <w:r>
              <w:rPr>
                <w:rStyle w:val="Text0"/>
              </w:rPr>
              <w:t>time</w:t>
            </w:r>
            <w:r>
              <w:t xml:space="preserve">, covered in </w:t>
            </w:r>
            <w:hyperlink w:anchor="The_time_Module__The_time_module">
              <w:r>
                <w:rPr>
                  <w:rStyle w:val="Text1"/>
                </w:rPr>
                <w:t>“The time Module”</w:t>
              </w:r>
            </w:hyperlink>
            <w:r>
              <w:t xml:space="preserve">. </w:t>
            </w:r>
            <w:r>
              <w:rPr>
                <w:rStyle w:val="Text3"/>
              </w:rPr>
              <w:t>t</w:t>
            </w:r>
            <w:r>
              <w:rPr>
                <w:rStyle w:val="Text0"/>
              </w:rPr>
              <w:t>[-1]</w:t>
            </w:r>
            <w:r>
              <w:t xml:space="preserve"> is a time zone as an offset in seconds from UTC (with the opposite sign from </w:t>
            </w:r>
            <w:r>
              <w:rPr>
                <w:rStyle w:val="Text0"/>
              </w:rPr>
              <w:t>time.timezone</w:t>
            </w:r>
            <w:r>
              <w:t xml:space="preserve">, as specified by RFC 2822). When </w:t>
            </w:r>
            <w:r>
              <w:rPr>
                <w:rStyle w:val="Text3"/>
              </w:rPr>
              <w:t>t</w:t>
            </w:r>
            <w:r>
              <w:rPr>
                <w:rStyle w:val="Text0"/>
              </w:rPr>
              <w:t>[-1]</w:t>
            </w:r>
            <w:r>
              <w:t xml:space="preserve"> is </w:t>
            </w:r>
            <w:r>
              <w:rPr>
                <w:rStyle w:val="Text5"/>
              </w:rPr>
              <w:t>None</w:t>
            </w:r>
            <w:r>
              <w:t xml:space="preserve">, </w:t>
            </w:r>
            <w:r>
              <w:rPr>
                <w:rStyle w:val="Text0"/>
              </w:rPr>
              <w:t>mktime_tz</w:t>
            </w:r>
            <w:r>
              <w:t xml:space="preserve"> uses the local time zone.</w:t>
            </w:r>
          </w:p>
        </w:tc>
      </w:tr>
    </w:tbl>
    <w:tbl>
      <w:tblPr>
        <w:tblW w:type="auto" w:w="0"/>
      </w:tblPr>
      <w:tr>
        <w:tc>
          <w:tcPr>
            <w:tcW w:type="auto" w:w="0"/>
            <w:tcMar>
              <w:left w:type="dxa" w:w="200"/>
              <w:top w:type="dxa" w:w="200"/>
              <w:right w:type="dxa" w:w="200"/>
              <w:bottom w:type="dxa" w:w="200"/>
            </w:tcMar>
          </w:tcPr>
          <w:p>
            <w:pPr>
              <w:pStyle w:val="Para 001"/>
            </w:pPr>
            <w:r>
              <w:t>parseaddr</w:t>
            </w:r>
          </w:p>
        </w:tc>
        <w:tc>
          <w:tcPr>
            <w:tcW w:type="auto" w:w="0"/>
            <w:tcMar>
              <w:left w:type="dxa" w:w="200"/>
              <w:top w:type="dxa" w:w="200"/>
              <w:right w:type="dxa" w:w="200"/>
              <w:bottom w:type="dxa" w:w="200"/>
            </w:tcMar>
          </w:tcPr>
          <w:p>
            <w:pPr>
              <w:pStyle w:val="Para 002"/>
            </w:pPr>
            <w:r>
              <w:rPr>
                <w:rStyle w:val="Text0"/>
              </w:rPr>
              <w:t>parseaddr(</w:t>
            </w:r>
            <w:r>
              <w:rPr>
                <w:rStyle w:val="Text3"/>
              </w:rPr>
              <w:t>s</w:t>
            </w:r>
            <w:r>
              <w:rPr>
                <w:rStyle w:val="Text0"/>
              </w:rPr>
              <w:t>)</w:t>
              <w:br w:clear="none"/>
            </w:r>
            <w:r>
              <w:t xml:space="preserve"> Parses string </w:t>
            </w:r>
            <w:r>
              <w:rPr>
                <w:rStyle w:val="Text3"/>
              </w:rPr>
              <w:t>s</w:t>
            </w:r>
            <w:r>
              <w:t xml:space="preserve">, which contains an address as typically specified in header fields such as </w:t>
            </w:r>
            <w:r>
              <w:rPr>
                <w:rStyle w:val="Text0"/>
              </w:rPr>
              <w:t>To</w:t>
            </w:r>
            <w:r>
              <w:t xml:space="preserve"> and </w:t>
            </w:r>
            <w:r>
              <w:rPr>
                <w:rStyle w:val="Text0"/>
              </w:rPr>
              <w:t>Cc</w:t>
            </w:r>
            <w:r>
              <w:t xml:space="preserve">, and returns a pair of strings </w:t>
            </w:r>
            <w:r>
              <w:rPr>
                <w:rStyle w:val="Text0"/>
              </w:rPr>
              <w:t>(</w:t>
            </w:r>
            <w:r>
              <w:rPr>
                <w:rStyle w:val="Text3"/>
              </w:rPr>
              <w:t>realname</w:t>
            </w:r>
            <w:r>
              <w:rPr>
                <w:rStyle w:val="Text0"/>
              </w:rPr>
              <w:t>,</w:t>
            </w:r>
            <w:r>
              <w:t xml:space="preserve"> </w:t>
            </w:r>
            <w:r>
              <w:rPr>
                <w:rStyle w:val="Text3"/>
              </w:rPr>
              <w:t>address</w:t>
            </w:r>
            <w:r>
              <w:rPr>
                <w:rStyle w:val="Text0"/>
              </w:rPr>
              <w:t>)</w:t>
            </w:r>
            <w:r>
              <w:t xml:space="preserve">. When </w:t>
            </w:r>
            <w:r>
              <w:rPr>
                <w:rStyle w:val="Text0"/>
              </w:rPr>
              <w:t>parseaddr</w:t>
            </w:r>
            <w:r>
              <w:t xml:space="preserve"> cannot parse </w:t>
            </w:r>
            <w:r>
              <w:rPr>
                <w:rStyle w:val="Text3"/>
              </w:rPr>
              <w:t>s</w:t>
            </w:r>
            <w:r>
              <w:t xml:space="preserve"> as an address, it returns </w:t>
            </w:r>
            <w:r>
              <w:rPr>
                <w:rStyle w:val="Text0"/>
              </w:rPr>
              <w:t>('', '')</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parsedate</w:t>
            </w:r>
          </w:p>
        </w:tc>
        <w:tc>
          <w:tcPr>
            <w:tcW w:type="auto" w:w="0"/>
            <w:shd w:val="clear" w:color="auto" w:fill="EEF2F6"/>
            <w:tcMar>
              <w:left w:type="dxa" w:w="200"/>
              <w:top w:type="dxa" w:w="200"/>
              <w:right w:type="dxa" w:w="200"/>
              <w:bottom w:type="dxa" w:w="200"/>
            </w:tcMar>
          </w:tcPr>
          <w:p>
            <w:pPr>
              <w:pStyle w:val="Para 002"/>
            </w:pPr>
            <w:r>
              <w:rPr>
                <w:rStyle w:val="Text0"/>
              </w:rPr>
              <w:t>parsedate(</w:t>
            </w:r>
            <w:r>
              <w:rPr>
                <w:rStyle w:val="Text3"/>
              </w:rPr>
              <w:t>s</w:t>
            </w:r>
            <w:r>
              <w:rPr>
                <w:rStyle w:val="Text0"/>
              </w:rPr>
              <w:t>)</w:t>
              <w:br w:clear="none"/>
            </w:r>
            <w:r>
              <w:t xml:space="preserve"> Parses string </w:t>
            </w:r>
            <w:r>
              <w:rPr>
                <w:rStyle w:val="Text3"/>
              </w:rPr>
              <w:t>s</w:t>
            </w:r>
            <w:r>
              <w:t xml:space="preserve"> as per the rules in RFC 2822 and returns a tuple </w:t>
            </w:r>
            <w:r>
              <w:rPr>
                <w:rStyle w:val="Text3"/>
              </w:rPr>
              <w:t>t</w:t>
            </w:r>
            <w:r>
              <w:t xml:space="preserve"> with nine items, as used in the module </w:t>
            </w:r>
            <w:r>
              <w:rPr>
                <w:rStyle w:val="Text0"/>
              </w:rPr>
              <w:t>time</w:t>
            </w:r>
            <w:r>
              <w:t xml:space="preserve">, covered in </w:t>
            </w:r>
            <w:hyperlink w:anchor="The_time_Module__The_time_module">
              <w:r>
                <w:rPr>
                  <w:rStyle w:val="Text1"/>
                </w:rPr>
                <w:t>“The time Module”</w:t>
              </w:r>
            </w:hyperlink>
            <w:r>
              <w:t xml:space="preserve"> (the items </w:t>
            </w:r>
            <w:r>
              <w:rPr>
                <w:rStyle w:val="Text3"/>
              </w:rPr>
              <w:t>t</w:t>
            </w:r>
            <w:r>
              <w:rPr>
                <w:rStyle w:val="Text0"/>
              </w:rPr>
              <w:t>[-3:]</w:t>
            </w:r>
            <w:r>
              <w:t xml:space="preserve"> are not meaningful). </w:t>
            </w:r>
            <w:r>
              <w:rPr>
                <w:rStyle w:val="Text0"/>
              </w:rPr>
              <w:t>parsedate</w:t>
            </w:r>
            <w:r>
              <w:t xml:space="preserve"> also attempts to parse some erroneous variations on RFC 2822 that commonly encountered mailers use. When </w:t>
            </w:r>
            <w:r>
              <w:rPr>
                <w:rStyle w:val="Text0"/>
              </w:rPr>
              <w:t>parsedate</w:t>
            </w:r>
            <w:r>
              <w:t xml:space="preserve"> cannot parse </w:t>
            </w:r>
            <w:r>
              <w:rPr>
                <w:rStyle w:val="Text3"/>
              </w:rPr>
              <w:t>s</w:t>
            </w:r>
            <w:r>
              <w:t xml:space="preserve">, it returns </w:t>
            </w:r>
            <w:r>
              <w:rPr>
                <w:rStyle w:val="Text0"/>
              </w:rPr>
              <w:t>None</w:t>
            </w:r>
            <w:r>
              <w:t>.</w:t>
            </w:r>
          </w:p>
        </w:tc>
      </w:tr>
    </w:tbl>
    <w:tbl>
      <w:tblPr>
        <w:tblW w:type="auto" w:w="0"/>
      </w:tblPr>
      <w:tr>
        <w:tc>
          <w:tcPr>
            <w:tcW w:type="auto" w:w="0"/>
            <w:tcMar>
              <w:left w:type="dxa" w:w="200"/>
              <w:top w:type="dxa" w:w="200"/>
              <w:right w:type="dxa" w:w="200"/>
              <w:bottom w:type="dxa" w:w="200"/>
            </w:tcMar>
          </w:tcPr>
          <w:p>
            <w:pPr>
              <w:pStyle w:val="Para 001"/>
            </w:pPr>
            <w:r>
              <w:t>parsed⁠a⁠t⁠e⁠_​t⁠z</w:t>
            </w:r>
          </w:p>
        </w:tc>
        <w:tc>
          <w:tcPr>
            <w:tcW w:type="auto" w:w="0"/>
            <w:tcMar>
              <w:left w:type="dxa" w:w="200"/>
              <w:top w:type="dxa" w:w="200"/>
              <w:right w:type="dxa" w:w="200"/>
              <w:bottom w:type="dxa" w:w="200"/>
            </w:tcMar>
          </w:tcPr>
          <w:p>
            <w:pPr>
              <w:pStyle w:val="Para 002"/>
            </w:pPr>
            <w:r>
              <w:rPr>
                <w:rStyle w:val="Text0"/>
              </w:rPr>
              <w:t>parsedate_tz(</w:t>
            </w:r>
            <w:r>
              <w:rPr>
                <w:rStyle w:val="Text3"/>
              </w:rPr>
              <w:t>s</w:t>
            </w:r>
            <w:r>
              <w:rPr>
                <w:rStyle w:val="Text0"/>
              </w:rPr>
              <w:t>)</w:t>
              <w:br w:clear="none"/>
            </w:r>
            <w:r>
              <w:t xml:space="preserve"> Like </w:t>
            </w:r>
            <w:r>
              <w:rPr>
                <w:rStyle w:val="Text0"/>
              </w:rPr>
              <w:t>parsedate</w:t>
            </w:r>
            <w:r>
              <w:t xml:space="preserve">, but returns a tuple </w:t>
            </w:r>
            <w:r>
              <w:rPr>
                <w:rStyle w:val="Text3"/>
              </w:rPr>
              <w:t>t</w:t>
            </w:r>
            <w:r>
              <w:t xml:space="preserve"> with 10 items, where </w:t>
            </w:r>
            <w:r>
              <w:rPr>
                <w:rStyle w:val="Text3"/>
              </w:rPr>
              <w:t>t</w:t>
            </w:r>
            <w:r>
              <w:rPr>
                <w:rStyle w:val="Text0"/>
              </w:rPr>
              <w:t>[-1]</w:t>
            </w:r>
            <w:r>
              <w:t xml:space="preserve"> is </w:t>
            </w:r>
            <w:r>
              <w:rPr>
                <w:rStyle w:val="Text3"/>
              </w:rPr>
              <w:t>s</w:t>
            </w:r>
            <w:r>
              <w:t xml:space="preserve">’s time zone as an offset in seconds from UTC (with the opposite sign from </w:t>
            </w:r>
            <w:r>
              <w:rPr>
                <w:rStyle w:val="Text0"/>
              </w:rPr>
              <w:t>time.timezone</w:t>
            </w:r>
            <w:r>
              <w:t xml:space="preserve">, as specified by RFC 2822), like in the argument that </w:t>
            </w:r>
            <w:r>
              <w:rPr>
                <w:rStyle w:val="Text0"/>
              </w:rPr>
              <w:t>mktime_tz</w:t>
            </w:r>
            <w:r>
              <w:t xml:space="preserve"> accepts. Items </w:t>
            </w:r>
            <w:r>
              <w:rPr>
                <w:rStyle w:val="Text3"/>
              </w:rPr>
              <w:t>t</w:t>
            </w:r>
            <w:r>
              <w:rPr>
                <w:rStyle w:val="Text0"/>
              </w:rPr>
              <w:t>[-4:-1]</w:t>
            </w:r>
            <w:r>
              <w:t xml:space="preserve"> are not meaningful. When </w:t>
            </w:r>
            <w:r>
              <w:rPr>
                <w:rStyle w:val="Text3"/>
              </w:rPr>
              <w:t>s</w:t>
            </w:r>
            <w:r>
              <w:t xml:space="preserve"> has no time zone, </w:t>
            </w:r>
            <w:r>
              <w:rPr>
                <w:rStyle w:val="Text3"/>
              </w:rPr>
              <w:t>t</w:t>
            </w:r>
            <w:r>
              <w:rPr>
                <w:rStyle w:val="Text0"/>
              </w:rPr>
              <w:t>[-1]</w:t>
            </w:r>
            <w:r>
              <w:t xml:space="preserve"> is </w:t>
            </w:r>
            <w:r>
              <w:rPr>
                <w:rStyle w:val="Text5"/>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quote</w:t>
            </w:r>
          </w:p>
        </w:tc>
        <w:tc>
          <w:tcPr>
            <w:tcW w:type="auto" w:w="0"/>
            <w:shd w:val="clear" w:color="auto" w:fill="EEF2F6"/>
            <w:tcMar>
              <w:left w:type="dxa" w:w="200"/>
              <w:top w:type="dxa" w:w="200"/>
              <w:right w:type="dxa" w:w="200"/>
              <w:bottom w:type="dxa" w:w="200"/>
            </w:tcMar>
          </w:tcPr>
          <w:p>
            <w:pPr>
              <w:pStyle w:val="Para 002"/>
            </w:pPr>
            <w:r>
              <w:rPr>
                <w:rStyle w:val="Text0"/>
              </w:rPr>
              <w:t>quote(</w:t>
            </w:r>
            <w:r>
              <w:rPr>
                <w:rStyle w:val="Text3"/>
              </w:rPr>
              <w:t>s</w:t>
            </w:r>
            <w:r>
              <w:rPr>
                <w:rStyle w:val="Text0"/>
              </w:rPr>
              <w:t>)</w:t>
              <w:br w:clear="none"/>
            </w:r>
            <w:r>
              <w:t xml:space="preserve"> Returns a copy of string </w:t>
            </w:r>
            <w:r>
              <w:rPr>
                <w:rStyle w:val="Text3"/>
              </w:rPr>
              <w:t>s</w:t>
            </w:r>
            <w:r>
              <w:t>, where each double quote (</w:t>
            </w:r>
            <w:r>
              <w:rPr>
                <w:rStyle w:val="Text0"/>
              </w:rPr>
              <w:t>"</w:t>
            </w:r>
            <w:r>
              <w:t xml:space="preserve">) becomes </w:t>
            </w:r>
            <w:r>
              <w:rPr>
                <w:rStyle w:val="Text0"/>
              </w:rPr>
              <w:t>'\"'</w:t>
            </w:r>
            <w:r>
              <w:t>, and each existing backslash is repeated.</w:t>
            </w:r>
          </w:p>
        </w:tc>
      </w:tr>
    </w:tbl>
    <w:tbl>
      <w:tblPr>
        <w:tblW w:type="auto" w:w="0"/>
      </w:tblPr>
      <w:tr>
        <w:tc>
          <w:tcPr>
            <w:tcW w:type="auto" w:w="0"/>
            <w:tcMar>
              <w:left w:type="dxa" w:w="200"/>
              <w:top w:type="dxa" w:w="200"/>
              <w:right w:type="dxa" w:w="200"/>
              <w:bottom w:type="dxa" w:w="200"/>
            </w:tcMar>
          </w:tcPr>
          <w:p>
            <w:pPr>
              <w:pStyle w:val="Para 001"/>
            </w:pPr>
            <w:r>
              <w:t>unquote</w:t>
            </w:r>
          </w:p>
        </w:tc>
        <w:tc>
          <w:tcPr>
            <w:tcW w:type="auto" w:w="0"/>
            <w:tcMar>
              <w:left w:type="dxa" w:w="200"/>
              <w:top w:type="dxa" w:w="200"/>
              <w:right w:type="dxa" w:w="200"/>
              <w:bottom w:type="dxa" w:w="200"/>
            </w:tcMar>
          </w:tcPr>
          <w:p>
            <w:pPr>
              <w:pStyle w:val="Para 002"/>
            </w:pPr>
            <w:r>
              <w:rPr>
                <w:rStyle w:val="Text0"/>
              </w:rPr>
              <w:t>unquote(</w:t>
            </w:r>
            <w:r>
              <w:rPr>
                <w:rStyle w:val="Text3"/>
              </w:rPr>
              <w:t>s</w:t>
            </w:r>
            <w:r>
              <w:rPr>
                <w:rStyle w:val="Text0"/>
              </w:rPr>
              <w:t>)</w:t>
              <w:br w:clear="none"/>
            </w:r>
            <w:r>
              <w:t xml:space="preserve"> Returns a copy of string </w:t>
            </w:r>
            <w:r>
              <w:rPr>
                <w:rStyle w:val="Text3"/>
              </w:rPr>
              <w:t>s</w:t>
            </w:r>
            <w:r>
              <w:t xml:space="preserve"> where leading and trailing double-quote characters (</w:t>
            </w:r>
            <w:r>
              <w:rPr>
                <w:rStyle w:val="Text0"/>
              </w:rPr>
              <w:t>"</w:t>
            </w:r>
            <w:r>
              <w:t>) and angle brackets (</w:t>
            </w:r>
            <w:r>
              <w:rPr>
                <w:rStyle w:val="Text0"/>
              </w:rPr>
              <w:t>&lt;&gt;</w:t>
            </w:r>
            <w:r>
              <w:t xml:space="preserve">) are removed if they surround the rest of </w:t>
            </w:r>
            <w:r>
              <w:rPr>
                <w:rStyle w:val="Text3"/>
              </w:rPr>
              <w:t>s</w:t>
            </w:r>
            <w:r>
              <w:t>.</w:t>
            </w:r>
          </w:p>
        </w:tc>
      </w:tr>
    </w:tbl>
    <w:p>
      <w:bookmarkStart w:id="4251" w:name="Example_Uses_of_the_email_Packag"/>
      <w:pPr>
        <w:keepNext/>
        <w:pStyle w:val="Heading 2"/>
      </w:pPr>
      <w:r>
        <w:t>Example Uses of the email Package</w:t>
      </w:r>
      <w:bookmarkEnd w:id="4251"/>
    </w:p>
    <w:p>
      <w:pPr>
        <w:pStyle w:val="Normal"/>
      </w:pPr>
      <w:r>
        <w:t>The</w:t>
      </w:r>
      <w:r>
        <w:rPr>
          <w:rStyle w:val="Text111"/>
        </w:rPr>
        <w:bookmarkStart w:id="4252" w:name="idm45965172593072"/>
        <w:t/>
        <w:bookmarkEnd w:id="4252"/>
      </w:r>
      <w:r>
        <w:t xml:space="preserve"> </w:t>
      </w:r>
      <w:r>
        <w:rPr>
          <w:rStyle w:val="Text0"/>
        </w:rPr>
        <w:t>email</w:t>
      </w:r>
      <w:r>
        <w:t xml:space="preserve"> package helps you both in reading and composing email and email-like messages (but it’s not involved in receiving and transmitting such messages: those tasks belong to separate modules covered in </w:t>
      </w:r>
      <w:hyperlink w:anchor="Chapter_19__Client_Side_Network_2">
        <w:r>
          <w:rPr>
            <w:rStyle w:val="Text1"/>
          </w:rPr>
          <w:t>Chapter 19</w:t>
        </w:r>
      </w:hyperlink>
      <w:r>
        <w:t xml:space="preserve">). Here is an example of how to use </w:t>
      </w:r>
      <w:r>
        <w:rPr>
          <w:rStyle w:val="Text0"/>
        </w:rPr>
        <w:t>email</w:t>
      </w:r>
      <w:r>
        <w:t xml:space="preserve"> to read a possibly multipart message and unpack each part into a file in a given directory:</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pathlib</w:t>
        <w:br w:clear="none"/>
      </w:r>
      <w:r>
        <w:rPr>
          <w:rStyle w:val="Text13"/>
        </w:rPr>
        <w:t xml:space="preserve">,</w:t>
        <w:br w:clear="none"/>
      </w:r>
      <w:r>
        <w:rPr>
          <w:rStyle w:val="Text6"/>
        </w:rPr>
        <w:t xml:space="preserve"> </w:t>
        <w:br w:clear="none"/>
      </w:r>
      <w:r>
        <w:rPr>
          <w:rStyle w:val="Text20"/>
        </w:rPr>
        <w:t xml:space="preserve">email</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unpack_mail</w:t>
        <w:br w:clear="none"/>
      </w:r>
      <w:r>
        <w:rPr>
          <w:rStyle w:val="Text7"/>
        </w:rPr>
        <w:t xml:space="preserve">(</w:t>
        <w:br w:clear="none"/>
      </w:r>
      <w:r>
        <w:t xml:space="preserve">mail_file</w:t>
        <w:br w:clear="none"/>
      </w:r>
      <w:r>
        <w:rPr>
          <w:rStyle w:val="Text7"/>
        </w:rPr>
        <w:t xml:space="preserve">,</w:t>
        <w:br w:clear="none"/>
      </w:r>
      <w:r>
        <w:rPr>
          <w:rStyle w:val="Text6"/>
        </w:rPr>
        <w:t xml:space="preserve"> </w:t>
        <w:br w:clear="none"/>
      </w:r>
      <w:r>
        <w:t xml:space="preserve">dest_dir</w:t>
        <w:br w:clear="none"/>
      </w:r>
      <w:r>
        <w:rPr>
          <w:rStyle w:val="Text7"/>
        </w:rPr>
        <w:t xml:space="preserve">)</w:t>
        <w:br w:clear="none"/>
        <w:t xml:space="preserve">:</w:t>
        <w:br w:clear="none"/>
      </w:r>
      <w:r>
        <w:rPr>
          <w:rStyle w:val="Text6"/>
        </w:rPr>
        <w:t xml:space="preserve"/>
        <w:br w:clear="none"/>
        <w:t xml:space="preserve">    </w:t>
        <w:br w:clear="none"/>
      </w:r>
      <w:r>
        <w:rPr>
          <w:rStyle w:val="Text17"/>
        </w:rPr>
        <w:t xml:space="preserve">'''Given file object mail_file, open for reading, and dest_dir,</w:t>
        <w:br w:clear="none"/>
      </w:r>
      <w:r>
        <w:rPr>
          <w:rStyle w:val="Text8"/>
        </w:rPr>
        <w:t xml:space="preserve"/>
        <w:br w:clear="none"/>
        <w:t xml:space="preserve">       </w:t>
        <w:br w:clear="none"/>
      </w:r>
      <w:r>
        <w:rPr>
          <w:rStyle w:val="Text17"/>
        </w:rPr>
        <w:t xml:space="preserve">a string that is a path to an existing, writable directory,</w:t>
        <w:br w:clear="none"/>
      </w:r>
      <w:r>
        <w:rPr>
          <w:rStyle w:val="Text8"/>
        </w:rPr>
        <w:t xml:space="preserve"/>
        <w:br w:clear="none"/>
        <w:t xml:space="preserve">       </w:t>
        <w:br w:clear="none"/>
      </w:r>
      <w:r>
        <w:rPr>
          <w:rStyle w:val="Text17"/>
        </w:rPr>
        <w:t xml:space="preserve">unpack each part of the mail message from mail_file to a</w:t>
        <w:br w:clear="none"/>
      </w:r>
      <w:r>
        <w:rPr>
          <w:rStyle w:val="Text8"/>
        </w:rPr>
        <w:t xml:space="preserve"/>
        <w:br w:clear="none"/>
        <w:t xml:space="preserve">       </w:t>
        <w:br w:clear="none"/>
      </w:r>
      <w:r>
        <w:rPr>
          <w:rStyle w:val="Text17"/>
        </w:rPr>
        <w:t xml:space="preserve">file within dest_dir.</w:t>
        <w:br w:clear="none"/>
      </w:r>
      <w:r>
        <w:rPr>
          <w:rStyle w:val="Text8"/>
        </w:rPr>
        <w:t xml:space="preserve"/>
        <w:br w:clear="none"/>
        <w:t xml:space="preserve">    </w:t>
        <w:br w:clear="none"/>
      </w:r>
      <w:r>
        <w:rPr>
          <w:rStyle w:val="Text17"/>
        </w:rPr>
        <w:t xml:space="preserve">'''</w:t>
        <w:br w:clear="none"/>
      </w:r>
      <w:r>
        <w:rPr>
          <w:rStyle w:val="Text6"/>
        </w:rPr>
        <w:t xml:space="preserve"/>
        <w:br w:clear="none"/>
        <w:t xml:space="preserve">    </w:t>
        <w:br w:clear="none"/>
      </w:r>
      <w:r>
        <w:t xml:space="preserve">dest_dir_path</w:t>
        <w:br w:clear="none"/>
      </w:r>
      <w:r>
        <w:rPr>
          <w:rStyle w:val="Text6"/>
        </w:rPr>
        <w:t xml:space="preserve"> </w:t>
        <w:br w:clear="none"/>
      </w:r>
      <w:r>
        <w:rPr>
          <w:rStyle w:val="Text13"/>
        </w:rPr>
        <w:t xml:space="preserve">=</w:t>
        <w:br w:clear="none"/>
      </w:r>
      <w:r>
        <w:rPr>
          <w:rStyle w:val="Text6"/>
        </w:rPr>
        <w:t xml:space="preserve"> </w:t>
        <w:br w:clear="none"/>
      </w:r>
      <w:r>
        <w:t xml:space="preserve">pathlib</w:t>
        <w:br w:clear="none"/>
      </w:r>
      <w:r>
        <w:rPr>
          <w:rStyle w:val="Text13"/>
        </w:rPr>
        <w:t xml:space="preserve">.</w:t>
        <w:br w:clear="none"/>
      </w:r>
      <w:r>
        <w:t xml:space="preserve">Path</w:t>
        <w:br w:clear="none"/>
      </w:r>
      <w:r>
        <w:rPr>
          <w:rStyle w:val="Text7"/>
        </w:rPr>
        <w:t xml:space="preserve">(</w:t>
        <w:br w:clear="none"/>
      </w:r>
      <w:r>
        <w:t xml:space="preserve">dest_dir</w:t>
        <w:br w:clear="none"/>
      </w:r>
      <w:r>
        <w:rPr>
          <w:rStyle w:val="Text7"/>
        </w:rPr>
        <w:t xml:space="preserve">)</w:t>
        <w:br w:clear="none"/>
      </w:r>
      <w:r>
        <w:rPr>
          <w:rStyle w:val="Text6"/>
        </w:rPr>
        <w:t xml:space="preserve"/>
        <w:br w:clear="none"/>
        <w:t xml:space="preserve">    </w:t>
        <w:br w:clear="none"/>
      </w:r>
      <w:r>
        <w:rPr>
          <w:rStyle w:val="Text10"/>
        </w:rPr>
        <w:t xml:space="preserve">with</w:t>
        <w:br w:clear="none"/>
      </w:r>
      <w:r>
        <w:rPr>
          <w:rStyle w:val="Text6"/>
        </w:rPr>
        <w:t xml:space="preserve"> </w:t>
        <w:br w:clear="none"/>
      </w:r>
      <w:r>
        <w:t xml:space="preserve">mail_file</w:t>
        <w:br w:clear="none"/>
      </w:r>
      <w:r>
        <w:rPr>
          <w:rStyle w:val="Text7"/>
        </w:rPr>
        <w:t xml:space="preserve">:</w:t>
        <w:br w:clear="none"/>
      </w:r>
      <w:r>
        <w:rPr>
          <w:rStyle w:val="Text6"/>
        </w:rPr>
        <w:t xml:space="preserve"/>
        <w:br w:clear="none"/>
        <w:t xml:space="preserve">        </w:t>
        <w:br w:clear="none"/>
      </w:r>
      <w:r>
        <w:t xml:space="preserve">msg</w:t>
        <w:br w:clear="none"/>
      </w:r>
      <w:r>
        <w:rPr>
          <w:rStyle w:val="Text6"/>
        </w:rPr>
        <w:t xml:space="preserve"> </w:t>
        <w:br w:clear="none"/>
      </w:r>
      <w:r>
        <w:rPr>
          <w:rStyle w:val="Text13"/>
        </w:rPr>
        <w:t xml:space="preserve">=</w:t>
        <w:br w:clear="none"/>
      </w:r>
      <w:r>
        <w:rPr>
          <w:rStyle w:val="Text6"/>
        </w:rPr>
        <w:t xml:space="preserve"> </w:t>
        <w:br w:clear="none"/>
      </w:r>
      <w:r>
        <w:t xml:space="preserve">email</w:t>
        <w:br w:clear="none"/>
      </w:r>
      <w:r>
        <w:rPr>
          <w:rStyle w:val="Text13"/>
        </w:rPr>
        <w:t xml:space="preserve">.</w:t>
        <w:br w:clear="none"/>
      </w:r>
      <w:r>
        <w:t xml:space="preserve">message_from_file</w:t>
        <w:br w:clear="none"/>
      </w:r>
      <w:r>
        <w:rPr>
          <w:rStyle w:val="Text7"/>
        </w:rPr>
        <w:t xml:space="preserve">(</w:t>
        <w:br w:clear="none"/>
      </w:r>
      <w:r>
        <w:t xml:space="preserve">mail_file</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part_number</w:t>
        <w:br w:clear="none"/>
      </w:r>
      <w:r>
        <w:rPr>
          <w:rStyle w:val="Text7"/>
        </w:rPr>
        <w:t xml:space="preserve">,</w:t>
        <w:br w:clear="none"/>
      </w:r>
      <w:r>
        <w:rPr>
          <w:rStyle w:val="Text6"/>
        </w:rPr>
        <w:t xml:space="preserve"> </w:t>
        <w:br w:clear="none"/>
      </w:r>
      <w:r>
        <w:t xml:space="preserve">part</w:t>
        <w:br w:clear="none"/>
      </w:r>
      <w:r>
        <w:rPr>
          <w:rStyle w:val="Text6"/>
        </w:rPr>
        <w:t xml:space="preserve"> </w:t>
        <w:br w:clear="none"/>
      </w:r>
      <w:r>
        <w:rPr>
          <w:rStyle w:val="Text31"/>
        </w:rPr>
        <w:t xml:space="preserve">in</w:t>
        <w:br w:clear="none"/>
      </w:r>
      <w:r>
        <w:rPr>
          <w:rStyle w:val="Text6"/>
        </w:rPr>
        <w:t xml:space="preserve"> </w:t>
        <w:br w:clear="none"/>
      </w:r>
      <w:r>
        <w:rPr>
          <w:rStyle w:val="Text16"/>
        </w:rPr>
        <w:t xml:space="preserve">enumerate</w:t>
        <w:br w:clear="none"/>
      </w:r>
      <w:r>
        <w:rPr>
          <w:rStyle w:val="Text7"/>
        </w:rPr>
        <w:t xml:space="preserve">(</w:t>
        <w:br w:clear="none"/>
      </w:r>
      <w:r>
        <w:t xml:space="preserve">msg</w:t>
        <w:br w:clear="none"/>
      </w:r>
      <w:r>
        <w:rPr>
          <w:rStyle w:val="Text13"/>
        </w:rPr>
        <w:t xml:space="preserve">.</w:t>
        <w:br w:clear="none"/>
      </w:r>
      <w:r>
        <w:t xml:space="preserve">walk</w:t>
        <w:br w:clear="none"/>
      </w:r>
      <w:r>
        <w:rPr>
          <w:rStyle w:val="Text7"/>
        </w:rPr>
        <w:t xml:space="preserve">(</w:t>
        <w:br w:clear="none"/>
        <w:t xml:space="preserve">)</w:t>
        <w:br w:clear="none"/>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part</w:t>
        <w:br w:clear="none"/>
      </w:r>
      <w:r>
        <w:rPr>
          <w:rStyle w:val="Text13"/>
        </w:rPr>
        <w:t xml:space="preserve">.</w:t>
        <w:br w:clear="none"/>
      </w:r>
      <w:r>
        <w:t xml:space="preserve">get_content_maintype</w:t>
        <w:br w:clear="none"/>
      </w:r>
      <w:r>
        <w:rPr>
          <w:rStyle w:val="Text7"/>
        </w:rPr>
        <w:t xml:space="preserve">(</w:t>
        <w:br w:clear="none"/>
        <w:t xml:space="preserve">)</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multipart</w:t>
        <w:br w:clear="none"/>
        <w:t xml:space="preserve">'</w:t>
        <w:br w:clear="none"/>
      </w:r>
      <w:r>
        <w:rPr>
          <w:rStyle w:val="Text7"/>
        </w:rPr>
        <w:t xml:space="preserve">:</w:t>
        <w:br w:clear="none"/>
      </w:r>
      <w:r>
        <w:rPr>
          <w:rStyle w:val="Text6"/>
        </w:rPr>
        <w:t xml:space="preserve"/>
        <w:br w:clear="none"/>
        <w:t xml:space="preserve">            </w:t>
        <w:br w:clear="none"/>
      </w:r>
      <w:r>
        <w:rPr>
          <w:rStyle w:val="Text15"/>
        </w:rPr>
        <w:t xml:space="preserve"># we get each specific part later in the loop,</w:t>
        <w:br w:clear="none"/>
      </w:r>
      <w:r>
        <w:rPr>
          <w:rStyle w:val="Text6"/>
        </w:rPr>
        <w:t xml:space="preserve"/>
        <w:br w:clear="none"/>
        <w:t xml:space="preserve">            </w:t>
        <w:br w:clear="none"/>
      </w:r>
      <w:r>
        <w:rPr>
          <w:rStyle w:val="Text15"/>
        </w:rPr>
        <w:t xml:space="preserve"># so, nothing to do for the 'multipart' itself</w:t>
        <w:br w:clear="none"/>
      </w:r>
      <w:r>
        <w:rPr>
          <w:rStyle w:val="Text6"/>
        </w:rPr>
        <w:t xml:space="preserve"/>
        <w:br w:clear="none"/>
      </w:r>
      <w:r>
        <w:rPr>
          <w:rStyle w:val="Text29"/>
        </w:rPr>
        <w:t xml:space="preserve">           </w:t>
        <w:br w:clear="none"/>
      </w:r>
      <w:r>
        <w:rPr>
          <w:rStyle w:val="Text6"/>
        </w:rPr>
        <w:t xml:space="preserve"> </w:t>
        <w:br w:clear="none"/>
      </w:r>
      <w:r>
        <w:rPr>
          <w:rStyle w:val="Text10"/>
        </w:rPr>
        <w:t xml:space="preserve">continue</w:t>
        <w:br w:clear="none"/>
      </w:r>
      <w:r>
        <w:rPr>
          <w:rStyle w:val="Text6"/>
        </w:rPr>
        <w:t xml:space="preserve"/>
        <w:br w:clear="none"/>
        <w:t xml:space="preserve">        </w:t>
        <w:br w:clear="none"/>
      </w:r>
      <w:r>
        <w:t xml:space="preserve">dest</w:t>
        <w:br w:clear="none"/>
      </w:r>
      <w:r>
        <w:rPr>
          <w:rStyle w:val="Text6"/>
        </w:rPr>
        <w:t xml:space="preserve"> </w:t>
        <w:br w:clear="none"/>
      </w:r>
      <w:r>
        <w:rPr>
          <w:rStyle w:val="Text13"/>
        </w:rPr>
        <w:t xml:space="preserve">=</w:t>
        <w:br w:clear="none"/>
      </w:r>
      <w:r>
        <w:rPr>
          <w:rStyle w:val="Text6"/>
        </w:rPr>
        <w:t xml:space="preserve"> </w:t>
        <w:br w:clear="none"/>
      </w:r>
      <w:r>
        <w:t xml:space="preserve">part</w:t>
        <w:br w:clear="none"/>
      </w:r>
      <w:r>
        <w:rPr>
          <w:rStyle w:val="Text13"/>
        </w:rPr>
        <w:t xml:space="preserve">.</w:t>
        <w:br w:clear="none"/>
      </w:r>
      <w:r>
        <w:t xml:space="preserve">get_filename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dest</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t>
        <w:br w:clear="none"/>
      </w:r>
      <w:r>
        <w:t xml:space="preserve">dest</w:t>
        <w:br w:clear="none"/>
      </w:r>
      <w:r>
        <w:rPr>
          <w:rStyle w:val="Text6"/>
        </w:rPr>
        <w:t xml:space="preserve"> </w:t>
        <w:br w:clear="none"/>
      </w:r>
      <w:r>
        <w:rPr>
          <w:rStyle w:val="Text13"/>
        </w:rPr>
        <w:t xml:space="preserve">=</w:t>
        <w:br w:clear="none"/>
      </w:r>
      <w:r>
        <w:rPr>
          <w:rStyle w:val="Text6"/>
        </w:rPr>
        <w:t xml:space="preserve"> </w:t>
        <w:br w:clear="none"/>
      </w:r>
      <w:r>
        <w:t xml:space="preserve">part</w:t>
        <w:br w:clear="none"/>
      </w:r>
      <w:r>
        <w:rPr>
          <w:rStyle w:val="Text13"/>
        </w:rPr>
        <w:t xml:space="preserve">.</w:t>
        <w:br w:clear="none"/>
      </w:r>
      <w:r>
        <w:t xml:space="preserve">get_param</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dest</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7"/>
        </w:rPr>
        <w:t xml:space="preserve">:</w:t>
        <w:br w:clear="none"/>
      </w:r>
      <w:r>
        <w:rPr>
          <w:rStyle w:val="Text6"/>
        </w:rPr>
        <w:t xml:space="preserve"> </w:t>
        <w:br w:clear="none"/>
      </w:r>
      <w:r>
        <w:t xml:space="preserve">dest</w:t>
        <w:br w:clear="none"/>
      </w:r>
      <w:r>
        <w:rPr>
          <w:rStyle w:val="Text6"/>
        </w:rPr>
        <w:t xml:space="preserve"> </w:t>
        <w:br w:clear="none"/>
      </w:r>
      <w:r>
        <w:rPr>
          <w:rStyle w:val="Text13"/>
        </w:rPr>
        <w:t xml:space="preserve">=</w:t>
        <w:br w:clear="none"/>
      </w:r>
      <w:r>
        <w:rPr>
          <w:rStyle w:val="Text6"/>
        </w:rPr>
        <w:t xml:space="preserve"> </w:t>
        <w:br w:clear="none"/>
        <w:t xml:space="preserve">f</w:t>
        <w:br w:clear="none"/>
      </w:r>
      <w:r>
        <w:rPr>
          <w:rStyle w:val="Text8"/>
        </w:rPr>
        <w:t xml:space="preserve">'</w:t>
        <w:br w:clear="none"/>
        <w:t xml:space="preserve">part-</w:t>
        <w:br w:clear="none"/>
      </w:r>
      <w:r>
        <w:rPr>
          <w:rStyle w:val="Text32"/>
        </w:rPr>
        <w:t xml:space="preserve">{</w:t>
        <w:br w:clear="none"/>
      </w:r>
      <w:r>
        <w:t xml:space="preserve">part_number</w:t>
        <w:br w:clear="none"/>
      </w:r>
      <w:r>
        <w:rPr>
          <w:rStyle w:val="Text32"/>
        </w:rPr>
        <w:t xml:space="preserve">}</w:t>
        <w:br w:clear="none"/>
      </w:r>
      <w:r>
        <w:rPr>
          <w:rStyle w:val="Text8"/>
        </w:rPr>
        <w:t xml:space="preserve">'</w:t>
        <w:br w:clear="none"/>
      </w:r>
      <w:r>
        <w:rPr>
          <w:rStyle w:val="Text6"/>
        </w:rPr>
        <w:t xml:space="preserve"/>
        <w:br w:clear="none"/>
        <w:t xml:space="preserve">        </w:t>
        <w:br w:clear="none"/>
      </w:r>
      <w:r>
        <w:rPr>
          <w:rStyle w:val="Text15"/>
        </w:rPr>
        <w:t xml:space="preserve"># in real life, make sure that dest is a reasonable filename</w:t>
        <w:br w:clear="none"/>
      </w:r>
      <w:r>
        <w:rPr>
          <w:rStyle w:val="Text6"/>
        </w:rPr>
        <w:t xml:space="preserve"/>
        <w:br w:clear="none"/>
        <w:t xml:space="preserve">        </w:t>
        <w:br w:clear="none"/>
      </w:r>
      <w:r>
        <w:rPr>
          <w:rStyle w:val="Text15"/>
        </w:rPr>
        <w:t xml:space="preserve"># for your OS; otherwise, mangle that name until it is</w:t>
        <w:br w:clear="none"/>
      </w:r>
      <w:r>
        <w:rPr>
          <w:rStyle w:val="Text6"/>
        </w:rPr>
        <w:t xml:space="preserve"/>
        <w:br w:clear="none"/>
        <w:t xml:space="preserve">        </w:t>
        <w:br w:clear="none"/>
      </w:r>
      <w:r>
        <w:t xml:space="preserve">part_payload</w:t>
        <w:br w:clear="none"/>
      </w:r>
      <w:r>
        <w:rPr>
          <w:rStyle w:val="Text6"/>
        </w:rPr>
        <w:t xml:space="preserve"> </w:t>
        <w:br w:clear="none"/>
      </w:r>
      <w:r>
        <w:rPr>
          <w:rStyle w:val="Text13"/>
        </w:rPr>
        <w:t xml:space="preserve">=</w:t>
        <w:br w:clear="none"/>
      </w:r>
      <w:r>
        <w:rPr>
          <w:rStyle w:val="Text6"/>
        </w:rPr>
        <w:t xml:space="preserve"> </w:t>
        <w:br w:clear="none"/>
      </w:r>
      <w:r>
        <w:t xml:space="preserve">part</w:t>
        <w:br w:clear="none"/>
      </w:r>
      <w:r>
        <w:rPr>
          <w:rStyle w:val="Text13"/>
        </w:rPr>
        <w:t xml:space="preserve">.</w:t>
        <w:br w:clear="none"/>
      </w:r>
      <w:r>
        <w:t xml:space="preserve">get_payload</w:t>
        <w:br w:clear="none"/>
      </w:r>
      <w:r>
        <w:rPr>
          <w:rStyle w:val="Text7"/>
        </w:rPr>
        <w:t xml:space="preserve">(</w:t>
        <w:br w:clear="none"/>
      </w:r>
      <w:r>
        <w:t xml:space="preserve">decode</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rPr>
          <w:rStyle w:val="Text7"/>
        </w:rPr>
        <w:t xml:space="preserve">(</w:t>
        <w:br w:clear="none"/>
      </w:r>
      <w:r>
        <w:t xml:space="preserve">dest_dir_path</w:t>
        <w:br w:clear="none"/>
      </w:r>
      <w:r>
        <w:rPr>
          <w:rStyle w:val="Text6"/>
        </w:rPr>
        <w:t xml:space="preserve"> </w:t>
        <w:br w:clear="none"/>
      </w:r>
      <w:r>
        <w:rPr>
          <w:rStyle w:val="Text13"/>
        </w:rPr>
        <w:t xml:space="preserve">/</w:t>
        <w:br w:clear="none"/>
      </w:r>
      <w:r>
        <w:rPr>
          <w:rStyle w:val="Text6"/>
        </w:rPr>
        <w:t xml:space="preserve"> </w:t>
        <w:br w:clear="none"/>
      </w:r>
      <w:r>
        <w:t xml:space="preserve">dest</w:t>
        <w:br w:clear="none"/>
      </w:r>
      <w:r>
        <w:rPr>
          <w:rStyle w:val="Text7"/>
        </w:rPr>
        <w:t xml:space="preserve">)</w:t>
        <w:br w:clear="none"/>
      </w:r>
      <w:r>
        <w:rPr>
          <w:rStyle w:val="Text13"/>
        </w:rPr>
        <w:t xml:space="preserve">.</w:t>
        <w:br w:clear="none"/>
      </w:r>
      <w:r>
        <w:t xml:space="preserve">write_text</w:t>
        <w:br w:clear="none"/>
      </w:r>
      <w:r>
        <w:rPr>
          <w:rStyle w:val="Text7"/>
        </w:rPr>
        <w:t xml:space="preserve">(</w:t>
        <w:br w:clear="none"/>
      </w:r>
      <w:r>
        <w:t xml:space="preserve">part_payload</w:t>
        <w:br w:clear="none"/>
      </w:r>
      <w:r>
        <w:rPr>
          <w:rStyle w:val="Text7"/>
        </w:rPr>
        <w:t xml:space="preserve">)</w:t>
        <w:br w:clear="none"/>
      </w:r>
    </w:p>
    <w:p>
      <w:pPr>
        <w:pStyle w:val="Normal"/>
      </w:pPr>
      <w:r>
        <w:t>And here is an example that performs roughly the reverse task, packaging all files that are directly under a given source directory into a single file suitable for</w:t>
      </w:r>
      <w:r>
        <w:rPr>
          <w:rStyle w:val="Text111"/>
        </w:rPr>
        <w:bookmarkStart w:id="4253" w:name="idm45965172412944"/>
        <w:t/>
        <w:bookmarkEnd w:id="4253"/>
      </w:r>
      <w:r>
        <w:t xml:space="preserve"> mailing:</w:t>
      </w:r>
    </w:p>
    <w:p>
      <w:pPr>
        <w:pStyle w:val="Para 043"/>
      </w:pPr>
      <w:r>
        <w:rPr>
          <w:rStyle w:val="Text116"/>
        </w:rPr>
        <w:t xml:space="preserve"/>
        <w:br w:clear="none"/>
      </w:r>
      <w:r>
        <w:rPr>
          <w:rStyle w:val="Text22"/>
        </w:rPr>
        <w:t xml:space="preserve">def</w:t>
        <w:br w:clear="none"/>
      </w:r>
      <w:r>
        <w:rPr>
          <w:rStyle w:val="Text11"/>
        </w:rPr>
        <w:t xml:space="preserve"> </w:t>
        <w:br w:clear="none"/>
      </w:r>
      <w:r>
        <w:rPr>
          <w:rStyle w:val="Text42"/>
        </w:rPr>
        <w:t xml:space="preserve">pack_mail</w:t>
        <w:br w:clear="none"/>
      </w:r>
      <w:r>
        <w:rPr>
          <w:rStyle w:val="Text19"/>
        </w:rPr>
        <w:t xml:space="preserve">(</w:t>
        <w:br w:clear="none"/>
      </w:r>
      <w:r>
        <w:rPr>
          <w:rStyle w:val="Text14"/>
        </w:rPr>
        <w:t xml:space="preserve">source_dir</w:t>
        <w:br w:clear="none"/>
      </w:r>
      <w:r>
        <w:rPr>
          <w:rStyle w:val="Text19"/>
        </w:rPr>
        <w:t xml:space="preserve">,</w:t>
        <w:br w:clear="none"/>
      </w:r>
      <w:r>
        <w:rPr>
          <w:rStyle w:val="Text11"/>
        </w:rPr>
        <w:t xml:space="preserve"> </w:t>
        <w:br w:clear="none"/>
      </w:r>
      <w:r>
        <w:rPr>
          <w:rStyle w:val="Text28"/>
        </w:rPr>
        <w:t xml:space="preserve">*</w:t>
        <w:br w:clear="none"/>
        <w:t xml:space="preserve">*</w:t>
        <w:br w:clear="none"/>
      </w:r>
      <w:r>
        <w:rPr>
          <w:rStyle w:val="Text14"/>
        </w:rPr>
        <w:t xml:space="preserve">headers</w:t>
        <w:br w:clear="none"/>
      </w:r>
      <w:r>
        <w:rPr>
          <w:rStyle w:val="Text19"/>
        </w:rPr>
        <w:t xml:space="preserve">)</w:t>
        <w:br w:clear="none"/>
        <w:t xml:space="preserve">:</w:t>
        <w:br w:clear="none"/>
      </w:r>
      <w:r>
        <w:rPr>
          <w:rStyle w:val="Text11"/>
        </w:rPr>
        <w:t xml:space="preserve"/>
        <w:br w:clear="none"/>
        <w:t xml:space="preserve">     </w:t>
        <w:br w:clear="none"/>
      </w:r>
      <w:r>
        <w:t xml:space="preserve">'''Given source_dir, a string that is a path to an existing,</w:t>
        <w:br w:clear="none"/>
      </w:r>
      <w:r>
        <w:rPr>
          <w:rStyle w:val="Text4"/>
        </w:rPr>
        <w:t xml:space="preserve"/>
        <w:br w:clear="none"/>
        <w:t xml:space="preserve">        </w:t>
        <w:br w:clear="none"/>
      </w:r>
      <w:r>
        <w:t xml:space="preserve">readable directory, and arbitrary header name/value pairs</w:t>
        <w:br w:clear="none"/>
      </w:r>
      <w:r>
        <w:rPr>
          <w:rStyle w:val="Text4"/>
        </w:rPr>
        <w:t xml:space="preserve"/>
        <w:br w:clear="none"/>
        <w:t xml:space="preserve">        </w:t>
        <w:br w:clear="none"/>
      </w:r>
      <w:r>
        <w:t xml:space="preserve">passed in as named arguments, packs all the files directly</w:t>
        <w:br w:clear="none"/>
      </w:r>
      <w:r>
        <w:rPr>
          <w:rStyle w:val="Text4"/>
        </w:rPr>
        <w:t xml:space="preserve"/>
        <w:br w:clear="none"/>
        <w:t xml:space="preserve">        </w:t>
        <w:br w:clear="none"/>
      </w:r>
      <w:r>
        <w:t xml:space="preserve">under source_dir (assumed to be plain text files) into a</w:t>
        <w:br w:clear="none"/>
      </w:r>
      <w:r>
        <w:rPr>
          <w:rStyle w:val="Text4"/>
        </w:rPr>
        <w:t xml:space="preserve"/>
        <w:br w:clear="none"/>
        <w:t xml:space="preserve">        </w:t>
        <w:br w:clear="none"/>
      </w:r>
      <w:r>
        <w:t xml:space="preserve">mail message returned as a MIME-formatted string.</w:t>
        <w:br w:clear="none"/>
      </w:r>
      <w:r>
        <w:rPr>
          <w:rStyle w:val="Text4"/>
        </w:rPr>
        <w:t xml:space="preserve"/>
        <w:br w:clear="none"/>
        <w:t xml:space="preserve">     </w:t>
        <w:br w:clear="none"/>
      </w:r>
      <w:r>
        <w:t xml:space="preserve">'''</w:t>
        <w:br w:clear="none"/>
      </w:r>
      <w:r>
        <w:rPr>
          <w:rStyle w:val="Text11"/>
        </w:rPr>
        <w:t xml:space="preserve"/>
        <w:br w:clear="none"/>
        <w:t xml:space="preserve">     </w:t>
        <w:br w:clear="none"/>
      </w:r>
      <w:r>
        <w:rPr>
          <w:rStyle w:val="Text14"/>
        </w:rPr>
        <w:t xml:space="preserve">source_dir_path</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pathlib</w:t>
        <w:br w:clear="none"/>
      </w:r>
      <w:r>
        <w:rPr>
          <w:rStyle w:val="Text28"/>
        </w:rPr>
        <w:t xml:space="preserve">.</w:t>
        <w:br w:clear="none"/>
      </w:r>
      <w:r>
        <w:rPr>
          <w:rStyle w:val="Text14"/>
        </w:rPr>
        <w:t xml:space="preserve">Path</w:t>
        <w:br w:clear="none"/>
      </w:r>
      <w:r>
        <w:rPr>
          <w:rStyle w:val="Text19"/>
        </w:rPr>
        <w:t xml:space="preserve">(</w:t>
        <w:br w:clear="none"/>
      </w:r>
      <w:r>
        <w:rPr>
          <w:rStyle w:val="Text14"/>
        </w:rPr>
        <w:t xml:space="preserve">source_dir</w:t>
        <w:br w:clear="none"/>
      </w:r>
      <w:r>
        <w:rPr>
          <w:rStyle w:val="Text19"/>
        </w:rPr>
        <w:t xml:space="preserve">)</w:t>
        <w:br w:clear="none"/>
      </w:r>
      <w:r>
        <w:rPr>
          <w:rStyle w:val="Text11"/>
        </w:rPr>
        <w:t xml:space="preserve"/>
        <w:br w:clear="none"/>
        <w:t xml:space="preserve">     </w:t>
        <w:br w:clear="none"/>
      </w:r>
      <w:r>
        <w:rPr>
          <w:rStyle w:val="Text14"/>
        </w:rPr>
        <w:t xml:space="preserve">msg</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email</w:t>
        <w:br w:clear="none"/>
      </w:r>
      <w:r>
        <w:rPr>
          <w:rStyle w:val="Text28"/>
        </w:rPr>
        <w:t xml:space="preserve">.</w:t>
        <w:br w:clear="none"/>
      </w:r>
      <w:r>
        <w:rPr>
          <w:rStyle w:val="Text14"/>
        </w:rPr>
        <w:t xml:space="preserve">message</w:t>
        <w:br w:clear="none"/>
      </w:r>
      <w:r>
        <w:rPr>
          <w:rStyle w:val="Text28"/>
        </w:rPr>
        <w:t xml:space="preserve">.</w:t>
        <w:br w:clear="none"/>
      </w:r>
      <w:r>
        <w:rPr>
          <w:rStyle w:val="Text14"/>
        </w:rPr>
        <w:t xml:space="preserve">Message</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name</w:t>
        <w:br w:clear="none"/>
      </w:r>
      <w:r>
        <w:rPr>
          <w:rStyle w:val="Text19"/>
        </w:rPr>
        <w:t xml:space="preserve">,</w:t>
        <w:br w:clear="none"/>
      </w:r>
      <w:r>
        <w:rPr>
          <w:rStyle w:val="Text11"/>
        </w:rPr>
        <w:t xml:space="preserve"> </w:t>
        <w:br w:clear="none"/>
      </w:r>
      <w:r>
        <w:rPr>
          <w:rStyle w:val="Text14"/>
        </w:rPr>
        <w:t xml:space="preserve">value</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headers</w:t>
        <w:br w:clear="none"/>
      </w:r>
      <w:r>
        <w:rPr>
          <w:rStyle w:val="Text28"/>
        </w:rPr>
        <w:t xml:space="preserve">.</w:t>
        <w:br w:clear="none"/>
      </w:r>
      <w:r>
        <w:rPr>
          <w:rStyle w:val="Text14"/>
        </w:rPr>
        <w:t xml:space="preserve">items</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14"/>
        </w:rPr>
        <w:t xml:space="preserve">msg</w:t>
        <w:br w:clear="none"/>
      </w:r>
      <w:r>
        <w:rPr>
          <w:rStyle w:val="Text19"/>
        </w:rPr>
        <w:t xml:space="preserve">[</w:t>
        <w:br w:clear="none"/>
      </w:r>
      <w:r>
        <w:rPr>
          <w:rStyle w:val="Text14"/>
        </w:rPr>
        <w:t xml:space="preserve">name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value</w:t>
        <w:br w:clear="none"/>
      </w:r>
      <w:r>
        <w:rPr>
          <w:rStyle w:val="Text11"/>
        </w:rPr>
        <w:t xml:space="preserve"/>
        <w:br w:clear="none"/>
        <w:t xml:space="preserve">     </w:t>
        <w:br w:clear="none"/>
      </w:r>
      <w:r>
        <w:rPr>
          <w:rStyle w:val="Text14"/>
        </w:rPr>
        <w:t xml:space="preserve">msg</w:t>
        <w:br w:clear="none"/>
      </w:r>
      <w:r>
        <w:rPr>
          <w:rStyle w:val="Text19"/>
        </w:rPr>
        <w:t xml:space="preserve">[</w:t>
        <w:br w:clear="none"/>
      </w:r>
      <w:r>
        <w:rPr>
          <w:rStyle w:val="Text4"/>
        </w:rPr>
        <w:t xml:space="preserve">'</w:t>
        <w:br w:clear="none"/>
        <w:t xml:space="preserve">Content-type</w:t>
        <w:br w:clear="none"/>
        <w:t xml:space="preserve">'</w:t>
        <w:br w:clear="none"/>
      </w:r>
      <w:r>
        <w:rPr>
          <w:rStyle w:val="Text19"/>
        </w:rPr>
        <w:t xml:space="preserve">]</w:t>
        <w:br w:clear="none"/>
      </w:r>
      <w:r>
        <w:rPr>
          <w:rStyle w:val="Text11"/>
        </w:rPr>
        <w:t xml:space="preserve"> </w:t>
        <w:br w:clear="none"/>
      </w:r>
      <w:r>
        <w:rPr>
          <w:rStyle w:val="Text28"/>
        </w:rPr>
        <w:t xml:space="preserve">=</w:t>
        <w:br w:clear="none"/>
      </w:r>
      <w:r>
        <w:rPr>
          <w:rStyle w:val="Text11"/>
        </w:rPr>
        <w:t xml:space="preserve"> </w:t>
        <w:br w:clear="none"/>
      </w:r>
      <w:r>
        <w:rPr>
          <w:rStyle w:val="Text4"/>
        </w:rPr>
        <w:t xml:space="preserve">'</w:t>
        <w:br w:clear="none"/>
        <w:t xml:space="preserve">multipart/mixed</w:t>
        <w:br w:clear="none"/>
        <w:t xml:space="preserve">'</w:t>
        <w:br w:clear="none"/>
      </w:r>
      <w:r>
        <w:rPr>
          <w:rStyle w:val="Text11"/>
        </w:rPr>
        <w:t xml:space="preserve"/>
        <w:br w:clear="none"/>
        <w:t xml:space="preserve">     </w:t>
        <w:br w:clear="none"/>
      </w:r>
      <w:r>
        <w:rPr>
          <w:rStyle w:val="Text14"/>
        </w:rPr>
        <w:t xml:space="preserve">filepaths</w:t>
        <w:br w:clear="none"/>
      </w:r>
      <w:r>
        <w:rPr>
          <w:rStyle w:val="Text11"/>
        </w:rPr>
        <w:t xml:space="preserve"> </w:t>
        <w:br w:clear="none"/>
      </w:r>
      <w:r>
        <w:rPr>
          <w:rStyle w:val="Text28"/>
        </w:rPr>
        <w:t xml:space="preserve">=</w:t>
        <w:br w:clear="none"/>
      </w:r>
      <w:r>
        <w:rPr>
          <w:rStyle w:val="Text11"/>
        </w:rPr>
        <w:t xml:space="preserve"> </w:t>
        <w:br w:clear="none"/>
      </w:r>
      <w:r>
        <w:rPr>
          <w:rStyle w:val="Text19"/>
        </w:rPr>
        <w:t xml:space="preserve">[</w:t>
        <w:br w:clear="none"/>
      </w:r>
      <w:r>
        <w:rPr>
          <w:rStyle w:val="Text14"/>
        </w:rPr>
        <w:t xml:space="preserve">path</w:t>
        <w:br w:clear="none"/>
      </w:r>
      <w:r>
        <w:rPr>
          <w:rStyle w:val="Text11"/>
        </w:rPr>
        <w:t xml:space="preserve"> </w:t>
        <w:br w:clear="none"/>
      </w:r>
      <w:r>
        <w:rPr>
          <w:rStyle w:val="Text80"/>
        </w:rPr>
        <w:t xml:space="preserve">for</w:t>
        <w:br w:clear="none"/>
      </w:r>
      <w:r>
        <w:rPr>
          <w:rStyle w:val="Text11"/>
        </w:rPr>
        <w:t xml:space="preserve"> </w:t>
        <w:br w:clear="none"/>
      </w:r>
      <w:r>
        <w:rPr>
          <w:rStyle w:val="Text14"/>
        </w:rPr>
        <w:t xml:space="preserve">path</w:t>
        <w:br w:clear="none"/>
      </w:r>
      <w:r>
        <w:rPr>
          <w:rStyle w:val="Text11"/>
        </w:rPr>
        <w:t xml:space="preserve"> </w:t>
        <w:br w:clear="none"/>
      </w:r>
      <w:r>
        <w:rPr>
          <w:rStyle w:val="Text19"/>
        </w:rPr>
        <w:t xml:space="preserve">in</w:t>
        <w:br w:clear="none"/>
      </w:r>
      <w:r>
        <w:rPr>
          <w:rStyle w:val="Text11"/>
        </w:rPr>
        <w:t xml:space="preserve"> </w:t>
        <w:br w:clear="none"/>
      </w:r>
      <w:r>
        <w:rPr>
          <w:rStyle w:val="Text14"/>
        </w:rPr>
        <w:t xml:space="preserve">source_dir_path</w:t>
        <w:br w:clear="none"/>
      </w:r>
      <w:r>
        <w:rPr>
          <w:rStyle w:val="Text28"/>
        </w:rPr>
        <w:t xml:space="preserve">.</w:t>
        <w:br w:clear="none"/>
      </w:r>
      <w:r>
        <w:rPr>
          <w:rStyle w:val="Text14"/>
        </w:rPr>
        <w:t xml:space="preserve">iterdir</w:t>
        <w:br w:clear="none"/>
      </w:r>
      <w:r>
        <w:rPr>
          <w:rStyle w:val="Text19"/>
        </w:rPr>
        <w:t xml:space="preserve">(</w:t>
        <w:br w:clear="none"/>
        <w:t xml:space="preserve">)</w:t>
        <w:br w:clear="none"/>
      </w:r>
      <w:r>
        <w:rPr>
          <w:rStyle w:val="Text11"/>
        </w:rPr>
        <w:t xml:space="preserve"> </w:t>
        <w:br w:clear="none"/>
        <w:t xml:space="preserve"/>
        <w:br w:clear="none"/>
        <w:t xml:space="preserve">                  </w:t>
        <w:br w:clear="none"/>
      </w:r>
      <w:r>
        <w:rPr>
          <w:rStyle w:val="Text80"/>
        </w:rPr>
        <w:t xml:space="preserve">if</w:t>
        <w:br w:clear="none"/>
      </w:r>
      <w:r>
        <w:rPr>
          <w:rStyle w:val="Text11"/>
        </w:rPr>
        <w:t xml:space="preserve"> </w:t>
        <w:br w:clear="none"/>
      </w:r>
      <w:r>
        <w:rPr>
          <w:rStyle w:val="Text14"/>
        </w:rPr>
        <w:t xml:space="preserve">path</w:t>
        <w:br w:clear="none"/>
      </w:r>
      <w:r>
        <w:rPr>
          <w:rStyle w:val="Text28"/>
        </w:rPr>
        <w:t xml:space="preserve">.</w:t>
        <w:br w:clear="none"/>
      </w:r>
      <w:r>
        <w:rPr>
          <w:rStyle w:val="Text14"/>
        </w:rPr>
        <w:t xml:space="preserve">is_file</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22"/>
        </w:rPr>
        <w:t xml:space="preserve">for</w:t>
        <w:br w:clear="none"/>
      </w:r>
      <w:r>
        <w:rPr>
          <w:rStyle w:val="Text11"/>
        </w:rPr>
        <w:t xml:space="preserve"> </w:t>
        <w:br w:clear="none"/>
      </w:r>
      <w:r>
        <w:rPr>
          <w:rStyle w:val="Text14"/>
        </w:rPr>
        <w:t xml:space="preserve">filepath</w:t>
        <w:br w:clear="none"/>
      </w:r>
      <w:r>
        <w:rPr>
          <w:rStyle w:val="Text11"/>
        </w:rPr>
        <w:t xml:space="preserve"> </w:t>
        <w:br w:clear="none"/>
      </w:r>
      <w:r>
        <w:rPr>
          <w:rStyle w:val="Text51"/>
        </w:rPr>
        <w:t xml:space="preserve">in</w:t>
        <w:br w:clear="none"/>
      </w:r>
      <w:r>
        <w:rPr>
          <w:rStyle w:val="Text11"/>
        </w:rPr>
        <w:t xml:space="preserve"> </w:t>
        <w:br w:clear="none"/>
      </w:r>
      <w:r>
        <w:rPr>
          <w:rStyle w:val="Text14"/>
        </w:rPr>
        <w:t xml:space="preserve">filepaths</w:t>
        <w:br w:clear="none"/>
      </w:r>
      <w:r>
        <w:rPr>
          <w:rStyle w:val="Text19"/>
        </w:rPr>
        <w:t xml:space="preserve">:</w:t>
        <w:br w:clear="none"/>
      </w:r>
      <w:r>
        <w:rPr>
          <w:rStyle w:val="Text11"/>
        </w:rPr>
        <w:t xml:space="preserve"/>
        <w:br w:clear="none"/>
        <w:t xml:space="preserve">         </w:t>
        <w:br w:clear="none"/>
      </w:r>
      <w:r>
        <w:rPr>
          <w:rStyle w:val="Text14"/>
        </w:rPr>
        <w:t xml:space="preserve">m</w:t>
        <w:br w:clear="none"/>
      </w:r>
      <w:r>
        <w:rPr>
          <w:rStyle w:val="Text11"/>
        </w:rPr>
        <w:t xml:space="preserve"> </w:t>
        <w:br w:clear="none"/>
      </w:r>
      <w:r>
        <w:rPr>
          <w:rStyle w:val="Text28"/>
        </w:rPr>
        <w:t xml:space="preserve">=</w:t>
        <w:br w:clear="none"/>
      </w:r>
      <w:r>
        <w:rPr>
          <w:rStyle w:val="Text11"/>
        </w:rPr>
        <w:t xml:space="preserve"> </w:t>
        <w:br w:clear="none"/>
      </w:r>
      <w:r>
        <w:rPr>
          <w:rStyle w:val="Text14"/>
        </w:rPr>
        <w:t xml:space="preserve">email</w:t>
        <w:br w:clear="none"/>
      </w:r>
      <w:r>
        <w:rPr>
          <w:rStyle w:val="Text28"/>
        </w:rPr>
        <w:t xml:space="preserve">.</w:t>
        <w:br w:clear="none"/>
      </w:r>
      <w:r>
        <w:rPr>
          <w:rStyle w:val="Text14"/>
        </w:rPr>
        <w:t xml:space="preserve">message</w:t>
        <w:br w:clear="none"/>
      </w:r>
      <w:r>
        <w:rPr>
          <w:rStyle w:val="Text28"/>
        </w:rPr>
        <w:t xml:space="preserve">.</w:t>
        <w:br w:clear="none"/>
      </w:r>
      <w:r>
        <w:rPr>
          <w:rStyle w:val="Text14"/>
        </w:rPr>
        <w:t xml:space="preserve">Message</w:t>
        <w:br w:clear="none"/>
      </w:r>
      <w:r>
        <w:rPr>
          <w:rStyle w:val="Text19"/>
        </w:rPr>
        <w:t xml:space="preserve">(</w:t>
        <w:br w:clear="none"/>
        <w:t xml:space="preserve">)</w:t>
        <w:br w:clear="none"/>
      </w:r>
      <w:r>
        <w:rPr>
          <w:rStyle w:val="Text11"/>
        </w:rPr>
        <w:t xml:space="preserve"/>
        <w:br w:clear="none"/>
        <w:t xml:space="preserve">         </w:t>
        <w:br w:clear="none"/>
      </w:r>
      <w:r>
        <w:rPr>
          <w:rStyle w:val="Text14"/>
        </w:rPr>
        <w:t xml:space="preserve">m</w:t>
        <w:br w:clear="none"/>
      </w:r>
      <w:r>
        <w:rPr>
          <w:rStyle w:val="Text28"/>
        </w:rPr>
        <w:t xml:space="preserve">.</w:t>
        <w:br w:clear="none"/>
      </w:r>
      <w:r>
        <w:rPr>
          <w:rStyle w:val="Text14"/>
        </w:rPr>
        <w:t xml:space="preserve">add_header</w:t>
        <w:br w:clear="none"/>
      </w:r>
      <w:r>
        <w:rPr>
          <w:rStyle w:val="Text19"/>
        </w:rPr>
        <w:t xml:space="preserve">(</w:t>
        <w:br w:clear="none"/>
      </w:r>
      <w:r>
        <w:rPr>
          <w:rStyle w:val="Text4"/>
        </w:rPr>
        <w:t xml:space="preserve">'</w:t>
        <w:br w:clear="none"/>
        <w:t xml:space="preserve">Content-type</w:t>
        <w:br w:clear="none"/>
        <w:t xml:space="preserve">'</w:t>
        <w:br w:clear="none"/>
      </w:r>
      <w:r>
        <w:rPr>
          <w:rStyle w:val="Text19"/>
        </w:rPr>
        <w:t xml:space="preserve">,</w:t>
        <w:br w:clear="none"/>
      </w:r>
      <w:r>
        <w:rPr>
          <w:rStyle w:val="Text11"/>
        </w:rPr>
        <w:t xml:space="preserve"> </w:t>
        <w:br w:clear="none"/>
      </w:r>
      <w:r>
        <w:rPr>
          <w:rStyle w:val="Text4"/>
        </w:rPr>
        <w:t xml:space="preserve">'</w:t>
        <w:br w:clear="none"/>
        <w:t xml:space="preserve">text/plain</w:t>
        <w:br w:clear="none"/>
        <w:t xml:space="preserve">'</w:t>
        <w:br w:clear="none"/>
      </w:r>
      <w:r>
        <w:rPr>
          <w:rStyle w:val="Text19"/>
        </w:rPr>
        <w:t xml:space="preserve">,</w:t>
        <w:br w:clear="none"/>
      </w:r>
      <w:r>
        <w:rPr>
          <w:rStyle w:val="Text11"/>
        </w:rPr>
        <w:t xml:space="preserve"> </w:t>
        <w:br w:clear="none"/>
      </w:r>
      <w:r>
        <w:rPr>
          <w:rStyle w:val="Text14"/>
        </w:rPr>
        <w:t xml:space="preserve">name</w:t>
        <w:br w:clear="none"/>
      </w:r>
      <w:r>
        <w:rPr>
          <w:rStyle w:val="Text28"/>
        </w:rPr>
        <w:t xml:space="preserve">=</w:t>
        <w:br w:clear="none"/>
      </w:r>
      <w:r>
        <w:rPr>
          <w:rStyle w:val="Text14"/>
        </w:rPr>
        <w:t xml:space="preserve">filename</w:t>
        <w:br w:clear="none"/>
      </w:r>
      <w:r>
        <w:rPr>
          <w:rStyle w:val="Text19"/>
        </w:rPr>
        <w:t xml:space="preserve">)</w:t>
        <w:br w:clear="none"/>
      </w:r>
      <w:r>
        <w:rPr>
          <w:rStyle w:val="Text11"/>
        </w:rPr>
        <w:t xml:space="preserve"/>
        <w:br w:clear="none"/>
        <w:t xml:space="preserve">         </w:t>
        <w:br w:clear="none"/>
      </w:r>
      <w:r>
        <w:rPr>
          <w:rStyle w:val="Text14"/>
        </w:rPr>
        <w:t xml:space="preserve">m</w:t>
        <w:br w:clear="none"/>
      </w:r>
      <w:r>
        <w:rPr>
          <w:rStyle w:val="Text28"/>
        </w:rPr>
        <w:t xml:space="preserve">.</w:t>
        <w:br w:clear="none"/>
      </w:r>
      <w:r>
        <w:rPr>
          <w:rStyle w:val="Text14"/>
        </w:rPr>
        <w:t xml:space="preserve">set_payload</w:t>
        <w:br w:clear="none"/>
      </w:r>
      <w:r>
        <w:rPr>
          <w:rStyle w:val="Text19"/>
        </w:rPr>
        <w:t xml:space="preserve">(</w:t>
        <w:br w:clear="none"/>
      </w:r>
      <w:r>
        <w:rPr>
          <w:rStyle w:val="Text14"/>
        </w:rPr>
        <w:t xml:space="preserve">filepath</w:t>
        <w:br w:clear="none"/>
      </w:r>
      <w:r>
        <w:rPr>
          <w:rStyle w:val="Text28"/>
        </w:rPr>
        <w:t xml:space="preserve">.</w:t>
        <w:br w:clear="none"/>
      </w:r>
      <w:r>
        <w:rPr>
          <w:rStyle w:val="Text14"/>
        </w:rPr>
        <w:t xml:space="preserve">read_text</w:t>
        <w:br w:clear="none"/>
      </w:r>
      <w:r>
        <w:rPr>
          <w:rStyle w:val="Text19"/>
        </w:rPr>
        <w:t xml:space="preserve">(</w:t>
        <w:br w:clear="none"/>
        <w:t xml:space="preserve">)</w:t>
        <w:br w:clear="none"/>
        <w:t xml:space="preserve">)</w:t>
        <w:br w:clear="none"/>
      </w:r>
      <w:r>
        <w:rPr>
          <w:rStyle w:val="Text11"/>
        </w:rPr>
        <w:t xml:space="preserve"/>
        <w:br w:clear="none"/>
        <w:t xml:space="preserve">         </w:t>
        <w:br w:clear="none"/>
      </w:r>
      <w:r>
        <w:rPr>
          <w:rStyle w:val="Text14"/>
        </w:rPr>
        <w:t xml:space="preserve">msg</w:t>
        <w:br w:clear="none"/>
      </w:r>
      <w:r>
        <w:rPr>
          <w:rStyle w:val="Text28"/>
        </w:rPr>
        <w:t xml:space="preserve">.</w:t>
        <w:br w:clear="none"/>
      </w:r>
      <w:r>
        <w:rPr>
          <w:rStyle w:val="Text14"/>
        </w:rPr>
        <w:t xml:space="preserve">attach</w:t>
        <w:br w:clear="none"/>
      </w:r>
      <w:r>
        <w:rPr>
          <w:rStyle w:val="Text19"/>
        </w:rPr>
        <w:t xml:space="preserve">(</w:t>
        <w:br w:clear="none"/>
      </w:r>
      <w:r>
        <w:rPr>
          <w:rStyle w:val="Text14"/>
        </w:rPr>
        <w:t xml:space="preserve">m</w:t>
        <w:br w:clear="none"/>
      </w:r>
      <w:r>
        <w:rPr>
          <w:rStyle w:val="Text19"/>
        </w:rPr>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msg</w:t>
        <w:br w:clear="none"/>
      </w:r>
      <w:r>
        <w:rPr>
          <w:rStyle w:val="Text28"/>
        </w:rPr>
        <w:t xml:space="preserve">.</w:t>
        <w:br w:clear="none"/>
      </w:r>
      <w:r>
        <w:rPr>
          <w:rStyle w:val="Text14"/>
        </w:rPr>
        <w:t xml:space="preserve">as_string</w:t>
        <w:br w:clear="none"/>
      </w:r>
      <w:r>
        <w:rPr>
          <w:rStyle w:val="Text19"/>
        </w:rPr>
        <w:t xml:space="preserve">(</w:t>
        <w:br w:clear="none"/>
        <w:t xml:space="preserve">)</w:t>
        <w:br w:clear="none"/>
      </w:r>
    </w:p>
    <w:p>
      <w:bookmarkStart w:id="4254" w:name="Encoding_Binary_Data_as_ASCII_Te"/>
      <w:pPr>
        <w:keepNext/>
        <w:pStyle w:val="Heading 1"/>
      </w:pPr>
      <w:r>
        <w:t>Encoding Binary Data as ASCII Text</w:t>
      </w:r>
      <w:bookmarkEnd w:id="4254"/>
    </w:p>
    <w:p>
      <w:pPr>
        <w:pStyle w:val="Normal"/>
      </w:pPr>
      <w:r>
        <w:t>Several</w:t>
      </w:r>
      <w:r>
        <w:rPr>
          <w:rStyle w:val="Text111"/>
        </w:rPr>
        <w:bookmarkStart w:id="4255" w:name="NEbinary21"/>
        <w:t/>
        <w:bookmarkEnd w:id="4255"/>
        <w:bookmarkStart w:id="4256" w:name="enbin21"/>
        <w:t/>
        <w:bookmarkEnd w:id="4256"/>
        <w:bookmarkStart w:id="4257" w:name="ascii21"/>
        <w:t/>
        <w:bookmarkEnd w:id="4257"/>
        <w:bookmarkStart w:id="4258" w:name="binaryencode21"/>
        <w:t/>
        <w:bookmarkEnd w:id="4258"/>
      </w:r>
      <w:r>
        <w:t xml:space="preserve"> kinds of media (e.g., email messages) can contain only ASCII text. When you want to transmit arbitrary binary data via such media, you need to encode the data as ASCII text strings. The Python standard library supplies modules that support the standard encodings known as Base64, Quoted Printable, and Unix-to-Unix, described in the following sections.</w:t>
      </w:r>
    </w:p>
    <w:p>
      <w:bookmarkStart w:id="4259" w:name="The_base64_Module__The_base64_mo"/>
      <w:pPr>
        <w:keepNext/>
        <w:pStyle w:val="Heading 2"/>
      </w:pPr>
      <w:r>
        <w:t>The base64 Module</w:t>
      </w:r>
      <w:bookmarkEnd w:id="4259"/>
    </w:p>
    <w:p>
      <w:pPr>
        <w:pStyle w:val="Normal"/>
      </w:pPr>
      <w:r>
        <w:t>The</w:t>
      </w:r>
      <w:r>
        <w:rPr>
          <w:rStyle w:val="Text111"/>
        </w:rPr>
        <w:bookmarkStart w:id="4260" w:name="base64mod21"/>
        <w:t/>
        <w:bookmarkEnd w:id="4260"/>
        <w:bookmarkStart w:id="4261" w:name="idm45965172233248"/>
        <w:t/>
        <w:bookmarkEnd w:id="4261"/>
      </w:r>
      <w:r>
        <w:t xml:space="preserve"> </w:t>
      </w:r>
      <w:r>
        <w:rPr>
          <w:rStyle w:val="Text0"/>
        </w:rPr>
        <w:t>base64</w:t>
      </w:r>
      <w:r>
        <w:t xml:space="preserve"> module supports the encodings specified in </w:t>
      </w:r>
      <w:hyperlink r:id="rId624">
        <w:r>
          <w:rPr>
            <w:rStyle w:val="Text1"/>
          </w:rPr>
          <w:t>RFC 3548</w:t>
        </w:r>
      </w:hyperlink>
      <w:r>
        <w:t xml:space="preserve"> as Base16, Base32, and Base64. Each of these encodings is a compact way to represent arbitrary binary data as ASCII text, without any attempt to produce human-readable results. </w:t>
      </w:r>
      <w:r>
        <w:rPr>
          <w:rStyle w:val="Text0"/>
        </w:rPr>
        <w:t>base64</w:t>
      </w:r>
      <w:r>
        <w:t xml:space="preserve"> supplies 10 functions: 6 for Base64, plus 2 each for Base32 and Base16. The six Base64 functions are listed in </w:t>
      </w:r>
      <w:hyperlink w:anchor="Table_21_6__Base64_functions_of">
        <w:r>
          <w:rPr>
            <w:rStyle w:val="Text1"/>
          </w:rPr>
          <w:t>Table 21-6</w:t>
        </w:r>
      </w:hyperlink>
      <w:r>
        <w:t>.</w:t>
      </w:r>
    </w:p>
    <w:tbl>
      <w:tblPr>
        <w:tblW w:type="auto" w:w="0"/>
      </w:tblPr>
      <w:tr>
        <w:tc>
          <w:tcPr>
            <w:tcW w:type="auto" w:w="0"/>
            <w:tcMar>
              <w:left w:type="dxa" w:w="200"/>
              <w:top w:type="dxa" w:w="200"/>
              <w:right w:type="dxa" w:w="200"/>
              <w:bottom w:type="dxa" w:w="200"/>
            </w:tcMar>
          </w:tcPr>
          <w:p>
            <w:bookmarkStart w:id="4262" w:name="Table_21_6__Base64_functions_of"/>
            <w:pPr>
              <w:pStyle w:val="Para 011"/>
            </w:pPr>
            <w:r>
              <w:rPr>
                <w:rStyle w:val="Text117"/>
              </w:rPr>
              <w:t/>
            </w:r>
            <w:r>
              <w:t xml:space="preserve">Table 21-6. </w:t>
              <w:t xml:space="preserve">Base64 functions of the </w:t>
            </w:r>
            <w:r>
              <w:rPr>
                <w:rStyle w:val="Text0"/>
              </w:rPr>
              <w:t>base64</w:t>
            </w:r>
            <w:r>
              <w:t xml:space="preserve"> module</w:t>
            </w:r>
            <w:bookmarkEnd w:id="4262"/>
          </w:p>
          <w:p>
            <w:pPr>
              <w:pStyle w:val="Para 001"/>
            </w:pPr>
            <w:r>
              <w:t>b64decode</w:t>
            </w:r>
          </w:p>
        </w:tc>
        <w:tc>
          <w:tcPr>
            <w:tcW w:type="auto" w:w="0"/>
            <w:tcMar>
              <w:left w:type="dxa" w:w="200"/>
              <w:top w:type="dxa" w:w="200"/>
              <w:right w:type="dxa" w:w="200"/>
              <w:bottom w:type="dxa" w:w="200"/>
            </w:tcMar>
          </w:tcPr>
          <w:p>
            <w:pPr>
              <w:pStyle w:val="Para 002"/>
            </w:pPr>
            <w:r>
              <w:rPr>
                <w:rStyle w:val="Text0"/>
              </w:rPr>
              <w:t>b64decode(</w:t>
            </w:r>
            <w:r>
              <w:rPr>
                <w:rStyle w:val="Text3"/>
              </w:rPr>
              <w:t>s</w:t>
            </w:r>
            <w:r>
              <w:rPr>
                <w:rStyle w:val="Text0"/>
              </w:rPr>
              <w:t>, altchars=</w:t>
            </w:r>
            <w:r>
              <w:rPr>
                <w:rStyle w:val="Text5"/>
              </w:rPr>
              <w:t>None</w:t>
            </w:r>
            <w:r>
              <w:rPr>
                <w:rStyle w:val="Text0"/>
              </w:rPr>
              <w:t>, validate=</w:t>
            </w:r>
            <w:r>
              <w:rPr>
                <w:rStyle w:val="Text5"/>
              </w:rPr>
              <w:t>False</w:t>
            </w:r>
            <w:r>
              <w:rPr>
                <w:rStyle w:val="Text0"/>
              </w:rPr>
              <w:t>)</w:t>
              <w:br w:clear="none"/>
            </w:r>
            <w:r>
              <w:t xml:space="preserve"> Decodes</w:t>
            </w:r>
            <w:r>
              <w:rPr>
                <w:rStyle w:val="Text111"/>
              </w:rPr>
              <w:bookmarkStart w:id="4263" w:name="idm45965172165376"/>
              <w:t/>
              <w:bookmarkEnd w:id="4263"/>
            </w:r>
            <w:r>
              <w:t xml:space="preserve"> B64-encoded bytestring </w:t>
            </w:r>
            <w:r>
              <w:rPr>
                <w:rStyle w:val="Text3"/>
              </w:rPr>
              <w:t>s</w:t>
            </w:r>
            <w:r>
              <w:t xml:space="preserve">, and returns the decoded bytestring. </w:t>
            </w:r>
            <w:r>
              <w:rPr>
                <w:rStyle w:val="Text0"/>
              </w:rPr>
              <w:t>altchars</w:t>
            </w:r>
            <w:r>
              <w:t xml:space="preserve">, if not </w:t>
            </w:r>
            <w:r>
              <w:rPr>
                <w:rStyle w:val="Text5"/>
              </w:rPr>
              <w:t>None</w:t>
            </w:r>
            <w:r>
              <w:t xml:space="preserve">, must be a bytestring of at least two characters (extra characters are ignored) specifying the two nonstandard characters to use instead of </w:t>
            </w:r>
            <w:r>
              <w:rPr>
                <w:rStyle w:val="Text0"/>
              </w:rPr>
              <w:t>+</w:t>
            </w:r>
            <w:r>
              <w:t xml:space="preserve"> and </w:t>
            </w:r>
            <w:r>
              <w:rPr>
                <w:rStyle w:val="Text0"/>
              </w:rPr>
              <w:t>/</w:t>
            </w:r>
            <w:r>
              <w:t xml:space="preserve"> (potentially useful to decode URL-safe or filesystem-safe B64-encoded strings). When </w:t>
            </w:r>
            <w:r>
              <w:rPr>
                <w:rStyle w:val="Text0"/>
              </w:rPr>
              <w:t>validate</w:t>
            </w:r>
            <w:r>
              <w:t xml:space="preserve"> is </w:t>
            </w:r>
            <w:r>
              <w:rPr>
                <w:rStyle w:val="Text5"/>
              </w:rPr>
              <w:t>True</w:t>
            </w:r>
            <w:r>
              <w:t xml:space="preserve">, the call raises an exception if </w:t>
            </w:r>
            <w:r>
              <w:rPr>
                <w:rStyle w:val="Text3"/>
              </w:rPr>
              <w:t>s</w:t>
            </w:r>
            <w:r>
              <w:t xml:space="preserve"> contains any bytes that are not valid in B64-encoded strings (by default, such bytes are just ignored and skipped). Also raises an exception when </w:t>
            </w:r>
            <w:r>
              <w:rPr>
                <w:rStyle w:val="Text3"/>
              </w:rPr>
              <w:t>s</w:t>
            </w:r>
            <w:r>
              <w:t xml:space="preserve"> is improperly padded according to the Base64 standard.</w:t>
            </w:r>
          </w:p>
        </w:tc>
      </w:tr>
    </w:tbl>
    <w:tbl>
      <w:tblPr>
        <w:tblW w:type="auto" w:w="0"/>
      </w:tblPr>
      <w:tr>
        <w:tc>
          <w:tcPr>
            <w:tcW w:type="auto" w:w="0"/>
            <w:shd w:val="clear" w:color="auto" w:fill="EEF2F6"/>
            <w:tcMar>
              <w:left w:type="dxa" w:w="200"/>
              <w:top w:type="dxa" w:w="200"/>
              <w:right w:type="dxa" w:w="200"/>
              <w:bottom w:type="dxa" w:w="200"/>
            </w:tcMar>
          </w:tcPr>
          <w:p>
            <w:pPr>
              <w:pStyle w:val="Para 001"/>
            </w:pPr>
            <w:r>
              <w:t>b64encode</w:t>
            </w:r>
          </w:p>
        </w:tc>
        <w:tc>
          <w:tcPr>
            <w:tcW w:type="auto" w:w="0"/>
            <w:shd w:val="clear" w:color="auto" w:fill="EEF2F6"/>
            <w:tcMar>
              <w:left w:type="dxa" w:w="200"/>
              <w:top w:type="dxa" w:w="200"/>
              <w:right w:type="dxa" w:w="200"/>
              <w:bottom w:type="dxa" w:w="200"/>
            </w:tcMar>
          </w:tcPr>
          <w:p>
            <w:pPr>
              <w:pStyle w:val="Para 002"/>
            </w:pPr>
            <w:r>
              <w:rPr>
                <w:rStyle w:val="Text0"/>
              </w:rPr>
              <w:t>b64encode(</w:t>
            </w:r>
            <w:r>
              <w:rPr>
                <w:rStyle w:val="Text3"/>
              </w:rPr>
              <w:t>s</w:t>
            </w:r>
            <w:r>
              <w:rPr>
                <w:rStyle w:val="Text0"/>
              </w:rPr>
              <w:t>, altchars=</w:t>
            </w:r>
            <w:r>
              <w:rPr>
                <w:rStyle w:val="Text5"/>
              </w:rPr>
              <w:t>None</w:t>
            </w:r>
            <w:r>
              <w:rPr>
                <w:rStyle w:val="Text0"/>
              </w:rPr>
              <w:t>)</w:t>
              <w:br w:clear="none"/>
            </w:r>
            <w:r>
              <w:t xml:space="preserve"> Encodes</w:t>
            </w:r>
            <w:r>
              <w:rPr>
                <w:rStyle w:val="Text111"/>
              </w:rPr>
              <w:bookmarkStart w:id="4264" w:name="idm45965172153920"/>
              <w:t/>
              <w:bookmarkEnd w:id="4264"/>
            </w:r>
            <w:r>
              <w:t xml:space="preserve"> bytestring </w:t>
            </w:r>
            <w:r>
              <w:rPr>
                <w:rStyle w:val="Text3"/>
              </w:rPr>
              <w:t>s</w:t>
            </w:r>
            <w:r>
              <w:t xml:space="preserve"> and returns the bytestring with the corresponding B64-encoded data. </w:t>
            </w:r>
            <w:r>
              <w:rPr>
                <w:rStyle w:val="Text0"/>
              </w:rPr>
              <w:t>altchars</w:t>
            </w:r>
            <w:r>
              <w:t xml:space="preserve">, if not </w:t>
            </w:r>
            <w:r>
              <w:rPr>
                <w:rStyle w:val="Text5"/>
              </w:rPr>
              <w:t>None</w:t>
            </w:r>
            <w:r>
              <w:t xml:space="preserve">, must be a bytestring of at least two characters (extra characters are ignored) specifying the two nonstandard characters to use instead of </w:t>
            </w:r>
            <w:r>
              <w:rPr>
                <w:rStyle w:val="Text0"/>
              </w:rPr>
              <w:t>+</w:t>
            </w:r>
            <w:r>
              <w:t xml:space="preserve"> and </w:t>
            </w:r>
            <w:r>
              <w:rPr>
                <w:rStyle w:val="Text0"/>
              </w:rPr>
              <w:t>/</w:t>
            </w:r>
            <w:r>
              <w:t xml:space="preserve"> (potentially useful to make URL-safe or filesystem-safe B64-encoded strings).</w:t>
            </w:r>
          </w:p>
        </w:tc>
      </w:tr>
    </w:tbl>
    <w:tbl>
      <w:tblPr>
        <w:tblW w:type="auto" w:w="0"/>
      </w:tblPr>
      <w:tr>
        <w:tc>
          <w:tcPr>
            <w:tcW w:type="auto" w:w="0"/>
            <w:tcMar>
              <w:left w:type="dxa" w:w="200"/>
              <w:top w:type="dxa" w:w="200"/>
              <w:right w:type="dxa" w:w="200"/>
              <w:bottom w:type="dxa" w:w="200"/>
            </w:tcMar>
          </w:tcPr>
          <w:p>
            <w:pPr>
              <w:pStyle w:val="Para 001"/>
            </w:pPr>
            <w:r>
              <w:t>standa⁠r⁠d⁠_​b⁠6⁠4⁠decode</w:t>
            </w:r>
          </w:p>
        </w:tc>
        <w:tc>
          <w:tcPr>
            <w:tcW w:type="auto" w:w="0"/>
            <w:tcMar>
              <w:left w:type="dxa" w:w="200"/>
              <w:top w:type="dxa" w:w="200"/>
              <w:right w:type="dxa" w:w="200"/>
              <w:bottom w:type="dxa" w:w="200"/>
            </w:tcMar>
          </w:tcPr>
          <w:p>
            <w:pPr>
              <w:pStyle w:val="Para 001"/>
            </w:pPr>
            <w:r>
              <w:t>standard_b64decode(</w:t>
            </w:r>
            <w:r>
              <w:rPr>
                <w:rStyle w:val="Text3"/>
              </w:rPr>
              <w:t>s</w:t>
            </w:r>
            <w:r>
              <w:t>)</w:t>
              <w:br w:clear="none"/>
            </w:r>
            <w:r>
              <w:rPr>
                <w:rStyle w:val="Text12"/>
              </w:rPr>
              <w:t xml:space="preserve"> Like </w:t>
            </w:r>
            <w:r>
              <w:t>b64decode(</w:t>
            </w:r>
            <w:r>
              <w:rPr>
                <w:rStyle w:val="Text3"/>
              </w:rPr>
              <w:t>s</w:t>
            </w:r>
            <w:r>
              <w:t>)</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standa⁠r⁠d⁠_​b⁠6⁠4⁠encode</w:t>
            </w:r>
          </w:p>
        </w:tc>
        <w:tc>
          <w:tcPr>
            <w:tcW w:type="auto" w:w="0"/>
            <w:shd w:val="clear" w:color="auto" w:fill="EEF2F6"/>
            <w:tcMar>
              <w:left w:type="dxa" w:w="200"/>
              <w:top w:type="dxa" w:w="200"/>
              <w:right w:type="dxa" w:w="200"/>
              <w:bottom w:type="dxa" w:w="200"/>
            </w:tcMar>
          </w:tcPr>
          <w:p>
            <w:pPr>
              <w:pStyle w:val="Para 001"/>
            </w:pPr>
            <w:r>
              <w:t>standard_b64encode(</w:t>
            </w:r>
            <w:r>
              <w:rPr>
                <w:rStyle w:val="Text3"/>
              </w:rPr>
              <w:t>s</w:t>
            </w:r>
            <w:r>
              <w:t>)</w:t>
              <w:br w:clear="none"/>
            </w:r>
            <w:r>
              <w:rPr>
                <w:rStyle w:val="Text12"/>
              </w:rPr>
              <w:t xml:space="preserve"> Like </w:t>
            </w:r>
            <w:r>
              <w:t>b64encode(</w:t>
            </w:r>
            <w:r>
              <w:rPr>
                <w:rStyle w:val="Text3"/>
              </w:rPr>
              <w:t>s</w:t>
            </w:r>
            <w:r>
              <w:t>)</w:t>
            </w:r>
            <w:r>
              <w:rPr>
                <w:rStyle w:val="Text12"/>
              </w:rPr>
              <w:t>.</w:t>
            </w:r>
          </w:p>
        </w:tc>
      </w:tr>
    </w:tbl>
    <w:tbl>
      <w:tblPr>
        <w:tblW w:type="auto" w:w="0"/>
      </w:tblPr>
      <w:tr>
        <w:tc>
          <w:tcPr>
            <w:tcW w:type="auto" w:w="0"/>
            <w:tcMar>
              <w:left w:type="dxa" w:w="200"/>
              <w:top w:type="dxa" w:w="200"/>
              <w:right w:type="dxa" w:w="200"/>
              <w:bottom w:type="dxa" w:w="200"/>
            </w:tcMar>
          </w:tcPr>
          <w:p>
            <w:pPr>
              <w:pStyle w:val="Para 001"/>
            </w:pPr>
            <w:r>
              <w:t>urlsa⁠f⁠e⁠_​b⁠6⁠4⁠decode</w:t>
            </w:r>
          </w:p>
        </w:tc>
        <w:tc>
          <w:tcPr>
            <w:tcW w:type="auto" w:w="0"/>
            <w:tcMar>
              <w:left w:type="dxa" w:w="200"/>
              <w:top w:type="dxa" w:w="200"/>
              <w:right w:type="dxa" w:w="200"/>
              <w:bottom w:type="dxa" w:w="200"/>
            </w:tcMar>
          </w:tcPr>
          <w:p>
            <w:pPr>
              <w:pStyle w:val="Para 001"/>
            </w:pPr>
            <w:r>
              <w:t>urlsafe_b64decode(</w:t>
            </w:r>
            <w:r>
              <w:rPr>
                <w:rStyle w:val="Text3"/>
              </w:rPr>
              <w:t>s</w:t>
            </w:r>
            <w:r>
              <w:t>)</w:t>
              <w:br w:clear="none"/>
            </w:r>
            <w:r>
              <w:rPr>
                <w:rStyle w:val="Text12"/>
              </w:rPr>
              <w:t xml:space="preserve"> Like </w:t>
            </w:r>
            <w:r>
              <w:t>b64decode(</w:t>
            </w:r>
            <w:r>
              <w:rPr>
                <w:rStyle w:val="Text3"/>
              </w:rPr>
              <w:t>s</w:t>
            </w:r>
            <w:r>
              <w:t>, '-_')</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urlsa⁠f⁠e⁠_​b⁠6⁠4⁠encode</w:t>
            </w:r>
          </w:p>
        </w:tc>
        <w:tc>
          <w:tcPr>
            <w:tcW w:type="auto" w:w="0"/>
            <w:shd w:val="clear" w:color="auto" w:fill="EEF2F6"/>
            <w:tcMar>
              <w:left w:type="dxa" w:w="200"/>
              <w:top w:type="dxa" w:w="200"/>
              <w:right w:type="dxa" w:w="200"/>
              <w:bottom w:type="dxa" w:w="200"/>
            </w:tcMar>
          </w:tcPr>
          <w:p>
            <w:pPr>
              <w:pStyle w:val="Para 001"/>
            </w:pPr>
            <w:r>
              <w:t>urlsafe_b64encode(</w:t>
            </w:r>
            <w:r>
              <w:rPr>
                <w:rStyle w:val="Text3"/>
              </w:rPr>
              <w:t>s</w:t>
            </w:r>
            <w:r>
              <w:t>)</w:t>
              <w:br w:clear="none"/>
            </w:r>
            <w:r>
              <w:rPr>
                <w:rStyle w:val="Text12"/>
              </w:rPr>
              <w:t xml:space="preserve"> Like </w:t>
            </w:r>
            <w:r>
              <w:t>b64encode(</w:t>
            </w:r>
            <w:r>
              <w:rPr>
                <w:rStyle w:val="Text3"/>
              </w:rPr>
              <w:t>s</w:t>
            </w:r>
            <w:r>
              <w:t>, '-_')</w:t>
            </w:r>
            <w:r>
              <w:rPr>
                <w:rStyle w:val="Text12"/>
              </w:rPr>
              <w:t>.</w:t>
            </w:r>
          </w:p>
        </w:tc>
      </w:tr>
    </w:tbl>
    <w:p>
      <w:pPr>
        <w:pStyle w:val="Normal"/>
      </w:pPr>
      <w:r>
        <w:t xml:space="preserve">The four Base16 and Base32 functions are listed in </w:t>
      </w:r>
      <w:hyperlink w:anchor="Table_21_7__Base16_and_Base32_fu">
        <w:r>
          <w:rPr>
            <w:rStyle w:val="Text1"/>
          </w:rPr>
          <w:t>Table 21-7</w:t>
        </w:r>
      </w:hyperlink>
      <w:r>
        <w:t>.</w:t>
      </w:r>
    </w:p>
    <w:tbl>
      <w:tblPr>
        <w:tblW w:type="auto" w:w="0"/>
      </w:tblPr>
      <w:tr>
        <w:tc>
          <w:tcPr>
            <w:tcW w:type="auto" w:w="0"/>
            <w:tcMar>
              <w:left w:type="dxa" w:w="200"/>
              <w:top w:type="dxa" w:w="200"/>
              <w:right w:type="dxa" w:w="200"/>
              <w:bottom w:type="dxa" w:w="200"/>
            </w:tcMar>
          </w:tcPr>
          <w:p>
            <w:bookmarkStart w:id="4265" w:name="Table_21_7__Base16_and_Base32_fu"/>
            <w:pPr>
              <w:pStyle w:val="Para 011"/>
            </w:pPr>
            <w:r>
              <w:rPr>
                <w:rStyle w:val="Text117"/>
              </w:rPr>
              <w:t/>
            </w:r>
            <w:r>
              <w:t xml:space="preserve">Table 21-7. </w:t>
              <w:t xml:space="preserve">Base16 and Base32 functions of the </w:t>
            </w:r>
            <w:r>
              <w:rPr>
                <w:rStyle w:val="Text0"/>
              </w:rPr>
              <w:t>base64</w:t>
            </w:r>
            <w:r>
              <w:t xml:space="preserve"> module</w:t>
            </w:r>
            <w:bookmarkEnd w:id="4265"/>
          </w:p>
          <w:p>
            <w:pPr>
              <w:pStyle w:val="Para 001"/>
            </w:pPr>
            <w:r>
              <w:t>b16decode</w:t>
            </w:r>
          </w:p>
        </w:tc>
        <w:tc>
          <w:tcPr>
            <w:tcW w:type="auto" w:w="0"/>
            <w:tcMar>
              <w:left w:type="dxa" w:w="200"/>
              <w:top w:type="dxa" w:w="200"/>
              <w:right w:type="dxa" w:w="200"/>
              <w:bottom w:type="dxa" w:w="200"/>
            </w:tcMar>
          </w:tcPr>
          <w:p>
            <w:pPr>
              <w:pStyle w:val="Para 002"/>
            </w:pPr>
            <w:r>
              <w:rPr>
                <w:rStyle w:val="Text0"/>
              </w:rPr>
              <w:t>b16decode(</w:t>
            </w:r>
            <w:r>
              <w:rPr>
                <w:rStyle w:val="Text3"/>
              </w:rPr>
              <w:t>s</w:t>
            </w:r>
            <w:r>
              <w:rPr>
                <w:rStyle w:val="Text0"/>
              </w:rPr>
              <w:t>, casefold=</w:t>
            </w:r>
            <w:r>
              <w:rPr>
                <w:rStyle w:val="Text5"/>
              </w:rPr>
              <w:t>False</w:t>
            </w:r>
            <w:r>
              <w:rPr>
                <w:rStyle w:val="Text0"/>
              </w:rPr>
              <w:t>)</w:t>
              <w:br w:clear="none"/>
            </w:r>
            <w:r>
              <w:t xml:space="preserve"> Decodes B16-encoded bytestring </w:t>
            </w:r>
            <w:r>
              <w:rPr>
                <w:rStyle w:val="Text3"/>
              </w:rPr>
              <w:t>s</w:t>
            </w:r>
            <w:r>
              <w:t xml:space="preserve">, and returns the decoded bytestring. When </w:t>
            </w:r>
            <w:r>
              <w:rPr>
                <w:rStyle w:val="Text0"/>
              </w:rPr>
              <w:t>casefold</w:t>
            </w:r>
            <w:r>
              <w:t xml:space="preserve"> is </w:t>
            </w:r>
            <w:r>
              <w:rPr>
                <w:rStyle w:val="Text5"/>
              </w:rPr>
              <w:t>True</w:t>
            </w:r>
            <w:r>
              <w:t xml:space="preserve">, lowercase characters in </w:t>
            </w:r>
            <w:r>
              <w:rPr>
                <w:rStyle w:val="Text3"/>
              </w:rPr>
              <w:t>s</w:t>
            </w:r>
            <w:r>
              <w:t xml:space="preserve"> are treated like their uppercase equivalents; by default, when lowercase characters are present, the call raises an exception.</w:t>
            </w:r>
          </w:p>
        </w:tc>
      </w:tr>
    </w:tbl>
    <w:tbl>
      <w:tblPr>
        <w:tblW w:type="auto" w:w="0"/>
      </w:tblPr>
      <w:tr>
        <w:tc>
          <w:tcPr>
            <w:tcW w:type="auto" w:w="0"/>
            <w:shd w:val="clear" w:color="auto" w:fill="EEF2F6"/>
            <w:tcMar>
              <w:left w:type="dxa" w:w="200"/>
              <w:top w:type="dxa" w:w="200"/>
              <w:right w:type="dxa" w:w="200"/>
              <w:bottom w:type="dxa" w:w="200"/>
            </w:tcMar>
          </w:tcPr>
          <w:p>
            <w:pPr>
              <w:pStyle w:val="Para 001"/>
            </w:pPr>
            <w:r>
              <w:t>b16encode</w:t>
            </w:r>
          </w:p>
        </w:tc>
        <w:tc>
          <w:tcPr>
            <w:tcW w:type="auto" w:w="0"/>
            <w:shd w:val="clear" w:color="auto" w:fill="EEF2F6"/>
            <w:tcMar>
              <w:left w:type="dxa" w:w="200"/>
              <w:top w:type="dxa" w:w="200"/>
              <w:right w:type="dxa" w:w="200"/>
              <w:bottom w:type="dxa" w:w="200"/>
            </w:tcMar>
          </w:tcPr>
          <w:p>
            <w:pPr>
              <w:pStyle w:val="Para 002"/>
            </w:pPr>
            <w:r>
              <w:rPr>
                <w:rStyle w:val="Text0"/>
              </w:rPr>
              <w:t>b16encode(</w:t>
            </w:r>
            <w:r>
              <w:rPr>
                <w:rStyle w:val="Text3"/>
              </w:rPr>
              <w:t>s</w:t>
            </w:r>
            <w:r>
              <w:rPr>
                <w:rStyle w:val="Text0"/>
              </w:rPr>
              <w:t>)</w:t>
              <w:br w:clear="none"/>
            </w:r>
            <w:r>
              <w:t xml:space="preserve"> Encodes bytestring </w:t>
            </w:r>
            <w:r>
              <w:rPr>
                <w:rStyle w:val="Text3"/>
              </w:rPr>
              <w:t>s</w:t>
            </w:r>
            <w:r>
              <w:t>, and returns the bytestring with the corresponding B16-encoded data.</w:t>
            </w:r>
          </w:p>
        </w:tc>
      </w:tr>
    </w:tbl>
    <w:tbl>
      <w:tblPr>
        <w:tblW w:type="auto" w:w="0"/>
      </w:tblPr>
      <w:tr>
        <w:tc>
          <w:tcPr>
            <w:tcW w:type="auto" w:w="0"/>
            <w:tcMar>
              <w:left w:type="dxa" w:w="200"/>
              <w:top w:type="dxa" w:w="200"/>
              <w:right w:type="dxa" w:w="200"/>
              <w:bottom w:type="dxa" w:w="200"/>
            </w:tcMar>
          </w:tcPr>
          <w:p>
            <w:pPr>
              <w:pStyle w:val="Para 001"/>
            </w:pPr>
            <w:r>
              <w:t>b32decode</w:t>
            </w:r>
          </w:p>
        </w:tc>
        <w:tc>
          <w:tcPr>
            <w:tcW w:type="auto" w:w="0"/>
            <w:tcMar>
              <w:left w:type="dxa" w:w="200"/>
              <w:top w:type="dxa" w:w="200"/>
              <w:right w:type="dxa" w:w="200"/>
              <w:bottom w:type="dxa" w:w="200"/>
            </w:tcMar>
          </w:tcPr>
          <w:p>
            <w:pPr>
              <w:pStyle w:val="Para 002"/>
            </w:pPr>
            <w:r>
              <w:rPr>
                <w:rStyle w:val="Text0"/>
              </w:rPr>
              <w:t>b32decode(</w:t>
            </w:r>
            <w:r>
              <w:rPr>
                <w:rStyle w:val="Text3"/>
              </w:rPr>
              <w:t>s</w:t>
            </w:r>
            <w:r>
              <w:rPr>
                <w:rStyle w:val="Text0"/>
              </w:rPr>
              <w:t>, casefold=</w:t>
            </w:r>
            <w:r>
              <w:rPr>
                <w:rStyle w:val="Text5"/>
              </w:rPr>
              <w:t>False</w:t>
            </w:r>
            <w:r>
              <w:rPr>
                <w:rStyle w:val="Text0"/>
              </w:rPr>
              <w:t>, map01=</w:t>
            </w:r>
            <w:r>
              <w:rPr>
                <w:rStyle w:val="Text5"/>
              </w:rPr>
              <w:t>None</w:t>
            </w:r>
            <w:r>
              <w:rPr>
                <w:rStyle w:val="Text0"/>
              </w:rPr>
              <w:t>)</w:t>
              <w:br w:clear="none"/>
            </w:r>
            <w:r>
              <w:t xml:space="preserve"> Decodes B32-encoded bytestring </w:t>
            </w:r>
            <w:r>
              <w:rPr>
                <w:rStyle w:val="Text3"/>
              </w:rPr>
              <w:t>s</w:t>
            </w:r>
            <w:r>
              <w:t xml:space="preserve">, and returns the decoded bytestring. When </w:t>
            </w:r>
            <w:r>
              <w:rPr>
                <w:rStyle w:val="Text0"/>
              </w:rPr>
              <w:t>casefold</w:t>
            </w:r>
            <w:r>
              <w:t xml:space="preserve"> is </w:t>
            </w:r>
            <w:r>
              <w:rPr>
                <w:rStyle w:val="Text5"/>
              </w:rPr>
              <w:t>True</w:t>
            </w:r>
            <w:r>
              <w:t xml:space="preserve">, lowercase characters in </w:t>
            </w:r>
            <w:r>
              <w:rPr>
                <w:rStyle w:val="Text3"/>
              </w:rPr>
              <w:t>s</w:t>
            </w:r>
            <w:r>
              <w:t xml:space="preserve"> are treated like their uppercase equivalents; by default, when lowercase characters are present, the call raises an exception. When </w:t>
            </w:r>
            <w:r>
              <w:rPr>
                <w:rStyle w:val="Text0"/>
              </w:rPr>
              <w:t>map01</w:t>
            </w:r>
            <w:r>
              <w:t xml:space="preserve"> is </w:t>
            </w:r>
            <w:r>
              <w:rPr>
                <w:rStyle w:val="Text5"/>
              </w:rPr>
              <w:t>None</w:t>
            </w:r>
            <w:r>
              <w:t xml:space="preserve">, characters </w:t>
            </w:r>
            <w:r>
              <w:rPr>
                <w:rStyle w:val="Text0"/>
              </w:rPr>
              <w:t>0</w:t>
            </w:r>
            <w:r>
              <w:t xml:space="preserve"> and </w:t>
            </w:r>
            <w:r>
              <w:rPr>
                <w:rStyle w:val="Text0"/>
              </w:rPr>
              <w:t>1</w:t>
            </w:r>
            <w:r>
              <w:t xml:space="preserve"> are not allowed in the input; when not </w:t>
            </w:r>
            <w:r>
              <w:rPr>
                <w:rStyle w:val="Text5"/>
              </w:rPr>
              <w:t>None</w:t>
            </w:r>
            <w:r>
              <w:t xml:space="preserve">, it must be a single-character bytestring specifying what </w:t>
            </w:r>
            <w:r>
              <w:rPr>
                <w:rStyle w:val="Text0"/>
              </w:rPr>
              <w:t>1</w:t>
            </w:r>
            <w:r>
              <w:t xml:space="preserve"> is mapped to (lowercase </w:t>
            </w:r>
            <w:r>
              <w:rPr>
                <w:rStyle w:val="Text0"/>
              </w:rPr>
              <w:t>'l'</w:t>
            </w:r>
            <w:r>
              <w:t xml:space="preserve"> or uppercase </w:t>
            </w:r>
            <w:r>
              <w:rPr>
                <w:rStyle w:val="Text0"/>
              </w:rPr>
              <w:t>'L'</w:t>
            </w:r>
            <w:r>
              <w:t xml:space="preserve">); </w:t>
            </w:r>
            <w:r>
              <w:rPr>
                <w:rStyle w:val="Text0"/>
              </w:rPr>
              <w:t>0</w:t>
            </w:r>
            <w:r>
              <w:t xml:space="preserve"> is then always mapped to uppercase </w:t>
            </w:r>
            <w:r>
              <w:rPr>
                <w:rStyle w:val="Text0"/>
              </w:rPr>
              <w:t>'O'</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b32encode</w:t>
            </w:r>
          </w:p>
        </w:tc>
        <w:tc>
          <w:tcPr>
            <w:tcW w:type="auto" w:w="0"/>
            <w:shd w:val="clear" w:color="auto" w:fill="EEF2F6"/>
            <w:tcMar>
              <w:left w:type="dxa" w:w="200"/>
              <w:top w:type="dxa" w:w="200"/>
              <w:right w:type="dxa" w:w="200"/>
              <w:bottom w:type="dxa" w:w="200"/>
            </w:tcMar>
          </w:tcPr>
          <w:p>
            <w:pPr>
              <w:pStyle w:val="Para 002"/>
            </w:pPr>
            <w:r>
              <w:rPr>
                <w:rStyle w:val="Text0"/>
              </w:rPr>
              <w:t>b32encode(</w:t>
            </w:r>
            <w:r>
              <w:rPr>
                <w:rStyle w:val="Text3"/>
              </w:rPr>
              <w:t>s</w:t>
            </w:r>
            <w:r>
              <w:rPr>
                <w:rStyle w:val="Text0"/>
              </w:rPr>
              <w:t>)</w:t>
              <w:br w:clear="none"/>
            </w:r>
            <w:r>
              <w:t xml:space="preserve"> Encodes bytestring </w:t>
            </w:r>
            <w:r>
              <w:rPr>
                <w:rStyle w:val="Text3"/>
              </w:rPr>
              <w:t>s</w:t>
            </w:r>
            <w:r>
              <w:t xml:space="preserve"> and returns the bytestring with the corresponding B32-encoded data.</w:t>
            </w:r>
          </w:p>
        </w:tc>
      </w:tr>
    </w:tbl>
    <w:p>
      <w:pPr>
        <w:pStyle w:val="Normal"/>
      </w:pPr>
      <w:r>
        <w:t xml:space="preserve">The module also supplies functions to encode and decode the nonstandard but popular encodings Base85 and Ascii85, which, while not codified in RFCs or compatible with each other, can offer space savings of 15% by using larger alphabets for encoded bytestrings. See the </w:t>
      </w:r>
      <w:hyperlink r:id="rId625">
        <w:r>
          <w:rPr>
            <w:rStyle w:val="Text1"/>
          </w:rPr>
          <w:t>online docs</w:t>
        </w:r>
      </w:hyperlink>
      <w:r>
        <w:t xml:space="preserve"> for details on those functions.</w:t>
      </w:r>
      <w:r>
        <w:rPr>
          <w:rStyle w:val="Text111"/>
        </w:rPr>
        <w:bookmarkStart w:id="4266" w:name="idm45965172099408"/>
        <w:t/>
        <w:bookmarkEnd w:id="4266"/>
      </w:r>
    </w:p>
    <w:p>
      <w:bookmarkStart w:id="4267" w:name="The_quopri_Module__The_quopri_mo"/>
      <w:pPr>
        <w:keepNext/>
        <w:pStyle w:val="Heading 2"/>
      </w:pPr>
      <w:r>
        <w:t>The quopri Module</w:t>
      </w:r>
      <w:bookmarkEnd w:id="4267"/>
    </w:p>
    <w:p>
      <w:pPr>
        <w:pStyle w:val="Normal"/>
      </w:pPr>
      <w:r>
        <w:t>The</w:t>
      </w:r>
      <w:r>
        <w:rPr>
          <w:rStyle w:val="Text111"/>
        </w:rPr>
        <w:bookmarkStart w:id="4268" w:name="idm45965172096080"/>
        <w:t/>
        <w:bookmarkEnd w:id="4268"/>
        <w:bookmarkStart w:id="4269" w:name="idm45965172094976"/>
        <w:t/>
        <w:bookmarkEnd w:id="4269"/>
      </w:r>
      <w:r>
        <w:t xml:space="preserve"> </w:t>
      </w:r>
      <w:r>
        <w:rPr>
          <w:rStyle w:val="Text0"/>
        </w:rPr>
        <w:t>quopri</w:t>
      </w:r>
      <w:r>
        <w:t xml:space="preserve"> module supports the encoding specified in RFC 1521 as</w:t>
      </w:r>
      <w:r>
        <w:rPr>
          <w:rStyle w:val="Text111"/>
        </w:rPr>
        <w:bookmarkStart w:id="4270" w:name="idm45965172092688"/>
        <w:t/>
        <w:bookmarkEnd w:id="4270"/>
      </w:r>
      <w:r>
        <w:t xml:space="preserve"> </w:t>
      </w:r>
      <w:r>
        <w:rPr>
          <w:rStyle w:val="Text4"/>
        </w:rPr>
        <w:t>Quoted Printable</w:t>
      </w:r>
      <w:r>
        <w:t xml:space="preserve"> (QP). QP can represent any binary data as ASCII text, but it’s mainly intended for data that is mostly text, with a small amount of characters with the high bit set (i.e., characters outside the ASCII range). For such data, QP produces results that are both compact and human-readable. The </w:t>
      </w:r>
      <w:r>
        <w:rPr>
          <w:rStyle w:val="Text0"/>
        </w:rPr>
        <w:t>quopri</w:t>
      </w:r>
      <w:r>
        <w:t xml:space="preserve"> module supplies four functions, listed in </w:t>
      </w:r>
      <w:hyperlink w:anchor="Table_21_8__Functions_of_the_quo">
        <w:r>
          <w:rPr>
            <w:rStyle w:val="Text1"/>
          </w:rPr>
          <w:t>Table 21-8</w:t>
        </w:r>
      </w:hyperlink>
      <w:r>
        <w:t>.</w:t>
      </w:r>
    </w:p>
    <w:tbl>
      <w:tblPr>
        <w:tblW w:type="auto" w:w="0"/>
      </w:tblPr>
      <w:tr>
        <w:tc>
          <w:tcPr>
            <w:tcW w:type="auto" w:w="0"/>
            <w:tcMar>
              <w:left w:type="dxa" w:w="200"/>
              <w:top w:type="dxa" w:w="200"/>
              <w:right w:type="dxa" w:w="200"/>
              <w:bottom w:type="dxa" w:w="200"/>
            </w:tcMar>
          </w:tcPr>
          <w:p>
            <w:bookmarkStart w:id="4271" w:name="Table_21_8__Functions_of_the_quo"/>
            <w:pPr>
              <w:pStyle w:val="Para 011"/>
            </w:pPr>
            <w:r>
              <w:rPr>
                <w:rStyle w:val="Text117"/>
              </w:rPr>
              <w:t/>
            </w:r>
            <w:r>
              <w:t xml:space="preserve">Table 21-8. </w:t>
              <w:t xml:space="preserve">Functions of the </w:t>
            </w:r>
            <w:r>
              <w:rPr>
                <w:rStyle w:val="Text0"/>
              </w:rPr>
              <w:t>quopri</w:t>
            </w:r>
            <w:r>
              <w:t xml:space="preserve"> module</w:t>
            </w:r>
            <w:bookmarkEnd w:id="4271"/>
          </w:p>
          <w:p>
            <w:pPr>
              <w:pStyle w:val="Para 001"/>
            </w:pPr>
            <w:r>
              <w:t>decode</w:t>
            </w:r>
          </w:p>
        </w:tc>
        <w:tc>
          <w:tcPr>
            <w:tcW w:type="auto" w:w="0"/>
            <w:tcMar>
              <w:left w:type="dxa" w:w="200"/>
              <w:top w:type="dxa" w:w="200"/>
              <w:right w:type="dxa" w:w="200"/>
              <w:bottom w:type="dxa" w:w="200"/>
            </w:tcMar>
          </w:tcPr>
          <w:p>
            <w:pPr>
              <w:pStyle w:val="Para 002"/>
            </w:pPr>
            <w:r>
              <w:rPr>
                <w:rStyle w:val="Text0"/>
              </w:rPr>
              <w:t>decode(</w:t>
            </w:r>
            <w:r>
              <w:rPr>
                <w:rStyle w:val="Text3"/>
              </w:rPr>
              <w:t>infile</w:t>
            </w:r>
            <w:r>
              <w:rPr>
                <w:rStyle w:val="Text0"/>
              </w:rPr>
              <w:t>,</w:t>
            </w:r>
            <w:r>
              <w:t xml:space="preserve"> </w:t>
            </w:r>
            <w:r>
              <w:rPr>
                <w:rStyle w:val="Text3"/>
              </w:rPr>
              <w:t>outfile</w:t>
            </w:r>
            <w:r>
              <w:rPr>
                <w:rStyle w:val="Text0"/>
              </w:rPr>
              <w:t>, header=</w:t>
            </w:r>
            <w:r>
              <w:rPr>
                <w:rStyle w:val="Text5"/>
              </w:rPr>
              <w:t>False</w:t>
            </w:r>
            <w:r>
              <w:rPr>
                <w:rStyle w:val="Text0"/>
              </w:rPr>
              <w:t>)</w:t>
              <w:br w:clear="none"/>
            </w:r>
            <w:r>
              <w:t xml:space="preserve"> Reads the binary file-like object </w:t>
            </w:r>
            <w:r>
              <w:rPr>
                <w:rStyle w:val="Text3"/>
              </w:rPr>
              <w:t>infile</w:t>
            </w:r>
            <w:r>
              <w:t xml:space="preserve"> by calling </w:t>
            </w:r>
            <w:r>
              <w:rPr>
                <w:rStyle w:val="Text3"/>
              </w:rPr>
              <w:t>infile</w:t>
            </w:r>
            <w:r>
              <w:rPr>
                <w:rStyle w:val="Text0"/>
              </w:rPr>
              <w:t>.readline</w:t>
            </w:r>
            <w:r>
              <w:t xml:space="preserve"> until end-of-file (i.e., until a call to </w:t>
            </w:r>
            <w:r>
              <w:rPr>
                <w:rStyle w:val="Text3"/>
              </w:rPr>
              <w:t>infile</w:t>
            </w:r>
            <w:r>
              <w:rPr>
                <w:rStyle w:val="Text0"/>
              </w:rPr>
              <w:t>.readline</w:t>
            </w:r>
            <w:r>
              <w:t xml:space="preserve"> returns an empty string), decodes the QP-encoded ASCII text thus read, and writes the results to binary file-like object </w:t>
            </w:r>
            <w:r>
              <w:rPr>
                <w:rStyle w:val="Text3"/>
              </w:rPr>
              <w:t>outfile</w:t>
            </w:r>
            <w:r>
              <w:rPr>
                <w:rStyle w:val="Text4"/>
              </w:rPr>
              <w:t>.</w:t>
            </w:r>
            <w:r>
              <w:t xml:space="preserve"> When </w:t>
            </w:r>
            <w:r>
              <w:rPr>
                <w:rStyle w:val="Text0"/>
              </w:rPr>
              <w:t>header</w:t>
            </w:r>
            <w:r>
              <w:t xml:space="preserve"> is true, </w:t>
            </w:r>
            <w:r>
              <w:rPr>
                <w:rStyle w:val="Text0"/>
              </w:rPr>
              <w:t>decode</w:t>
            </w:r>
            <w:r>
              <w:t xml:space="preserve"> also turns </w:t>
            </w:r>
            <w:r>
              <w:rPr>
                <w:rStyle w:val="Text0"/>
              </w:rPr>
              <w:t>_</w:t>
            </w:r>
            <w:r>
              <w:t xml:space="preserve"> (underscores) into spaces (per RFC 1522).</w:t>
            </w:r>
          </w:p>
        </w:tc>
      </w:tr>
    </w:tbl>
    <w:tbl>
      <w:tblPr>
        <w:tblW w:type="auto" w:w="0"/>
      </w:tblPr>
      <w:tr>
        <w:tc>
          <w:tcPr>
            <w:tcW w:type="auto" w:w="0"/>
            <w:shd w:val="clear" w:color="auto" w:fill="EEF2F6"/>
            <w:tcMar>
              <w:left w:type="dxa" w:w="200"/>
              <w:top w:type="dxa" w:w="200"/>
              <w:right w:type="dxa" w:w="200"/>
              <w:bottom w:type="dxa" w:w="200"/>
            </w:tcMar>
          </w:tcPr>
          <w:p>
            <w:pPr>
              <w:pStyle w:val="Para 001"/>
            </w:pPr>
            <w:r>
              <w:t>decodestring</w:t>
            </w:r>
          </w:p>
        </w:tc>
        <w:tc>
          <w:tcPr>
            <w:tcW w:type="auto" w:w="0"/>
            <w:shd w:val="clear" w:color="auto" w:fill="EEF2F6"/>
            <w:tcMar>
              <w:left w:type="dxa" w:w="200"/>
              <w:top w:type="dxa" w:w="200"/>
              <w:right w:type="dxa" w:w="200"/>
              <w:bottom w:type="dxa" w:w="200"/>
            </w:tcMar>
          </w:tcPr>
          <w:p>
            <w:pPr>
              <w:pStyle w:val="Para 002"/>
            </w:pPr>
            <w:r>
              <w:rPr>
                <w:rStyle w:val="Text0"/>
              </w:rPr>
              <w:t>decodestring(</w:t>
            </w:r>
            <w:r>
              <w:rPr>
                <w:rStyle w:val="Text3"/>
              </w:rPr>
              <w:t>s</w:t>
            </w:r>
            <w:r>
              <w:rPr>
                <w:rStyle w:val="Text0"/>
              </w:rPr>
              <w:t>, header=</w:t>
            </w:r>
            <w:r>
              <w:rPr>
                <w:rStyle w:val="Text5"/>
              </w:rPr>
              <w:t>False</w:t>
            </w:r>
            <w:r>
              <w:rPr>
                <w:rStyle w:val="Text0"/>
              </w:rPr>
              <w:t>)</w:t>
              <w:br w:clear="none"/>
            </w:r>
            <w:r>
              <w:t xml:space="preserve"> Decodes bytestring </w:t>
            </w:r>
            <w:r>
              <w:rPr>
                <w:rStyle w:val="Text3"/>
              </w:rPr>
              <w:t>s</w:t>
            </w:r>
            <w:r>
              <w:t xml:space="preserve">, QP-encoded ASCII text, and returns the bytestring with the decoded data. When </w:t>
            </w:r>
            <w:r>
              <w:rPr>
                <w:rStyle w:val="Text0"/>
              </w:rPr>
              <w:t>header</w:t>
            </w:r>
            <w:r>
              <w:t xml:space="preserve"> is true, </w:t>
            </w:r>
            <w:r>
              <w:rPr>
                <w:rStyle w:val="Text0"/>
              </w:rPr>
              <w:t>decodestring</w:t>
            </w:r>
            <w:r>
              <w:t xml:space="preserve"> also turns </w:t>
            </w:r>
            <w:r>
              <w:rPr>
                <w:rStyle w:val="Text0"/>
              </w:rPr>
              <w:t>_</w:t>
            </w:r>
            <w:r>
              <w:t xml:space="preserve"> (underscores) into spaces.</w:t>
            </w:r>
          </w:p>
        </w:tc>
      </w:tr>
    </w:tbl>
    <w:tbl>
      <w:tblPr>
        <w:tblW w:type="auto" w:w="0"/>
      </w:tblPr>
      <w:tr>
        <w:tc>
          <w:tcPr>
            <w:tcW w:type="auto" w:w="0"/>
            <w:tcMar>
              <w:left w:type="dxa" w:w="200"/>
              <w:top w:type="dxa" w:w="200"/>
              <w:right w:type="dxa" w:w="200"/>
              <w:bottom w:type="dxa" w:w="200"/>
            </w:tcMar>
          </w:tcPr>
          <w:p>
            <w:pPr>
              <w:pStyle w:val="Para 001"/>
            </w:pPr>
            <w:r>
              <w:t>encode</w:t>
            </w:r>
          </w:p>
        </w:tc>
        <w:tc>
          <w:tcPr>
            <w:tcW w:type="auto" w:w="0"/>
            <w:tcMar>
              <w:left w:type="dxa" w:w="200"/>
              <w:top w:type="dxa" w:w="200"/>
              <w:right w:type="dxa" w:w="200"/>
              <w:bottom w:type="dxa" w:w="200"/>
            </w:tcMar>
          </w:tcPr>
          <w:p>
            <w:pPr>
              <w:pStyle w:val="Para 002"/>
            </w:pPr>
            <w:r>
              <w:rPr>
                <w:rStyle w:val="Text0"/>
              </w:rPr>
              <w:t>encode(</w:t>
            </w:r>
            <w:r>
              <w:rPr>
                <w:rStyle w:val="Text3"/>
              </w:rPr>
              <w:t>infile</w:t>
            </w:r>
            <w:r>
              <w:rPr>
                <w:rStyle w:val="Text0"/>
              </w:rPr>
              <w:t>,</w:t>
            </w:r>
            <w:r>
              <w:t xml:space="preserve"> </w:t>
            </w:r>
            <w:r>
              <w:rPr>
                <w:rStyle w:val="Text3"/>
              </w:rPr>
              <w:t>outfile</w:t>
            </w:r>
            <w:r>
              <w:rPr>
                <w:rStyle w:val="Text0"/>
              </w:rPr>
              <w:t>,</w:t>
            </w:r>
            <w:r>
              <w:t xml:space="preserve"> </w:t>
            </w:r>
            <w:r>
              <w:rPr>
                <w:rStyle w:val="Text3"/>
              </w:rPr>
              <w:t>quotetabs</w:t>
            </w:r>
            <w:r>
              <w:rPr>
                <w:rStyle w:val="Text0"/>
              </w:rPr>
              <w:t>, header=</w:t>
            </w:r>
            <w:r>
              <w:rPr>
                <w:rStyle w:val="Text5"/>
              </w:rPr>
              <w:t>False</w:t>
            </w:r>
            <w:r>
              <w:rPr>
                <w:rStyle w:val="Text0"/>
              </w:rPr>
              <w:t>)</w:t>
              <w:br w:clear="none"/>
            </w:r>
            <w:r>
              <w:t xml:space="preserve"> Reads binary file-like object </w:t>
            </w:r>
            <w:r>
              <w:rPr>
                <w:rStyle w:val="Text3"/>
              </w:rPr>
              <w:t>infile</w:t>
            </w:r>
            <w:r>
              <w:t xml:space="preserve"> by calling </w:t>
            </w:r>
            <w:r>
              <w:rPr>
                <w:rStyle w:val="Text3"/>
              </w:rPr>
              <w:t>infile</w:t>
            </w:r>
            <w:r>
              <w:rPr>
                <w:rStyle w:val="Text0"/>
              </w:rPr>
              <w:t>.readline</w:t>
            </w:r>
            <w:r>
              <w:t xml:space="preserve"> until end-of-file (i.e., until a call to </w:t>
            </w:r>
            <w:r>
              <w:rPr>
                <w:rStyle w:val="Text3"/>
              </w:rPr>
              <w:t>infile</w:t>
            </w:r>
            <w:r>
              <w:rPr>
                <w:rStyle w:val="Text0"/>
              </w:rPr>
              <w:t>.readline</w:t>
            </w:r>
            <w:r>
              <w:t xml:space="preserve"> returns an empty string), encodes the data thus read in QP, and writes the encoded ASCII text to binary file-like object </w:t>
            </w:r>
            <w:r>
              <w:rPr>
                <w:rStyle w:val="Text3"/>
              </w:rPr>
              <w:t>outfile</w:t>
            </w:r>
            <w:r>
              <w:rPr>
                <w:rStyle w:val="Text4"/>
              </w:rPr>
              <w:t>.</w:t>
            </w:r>
            <w:r>
              <w:t xml:space="preserve"> When </w:t>
            </w:r>
            <w:r>
              <w:rPr>
                <w:rStyle w:val="Text3"/>
              </w:rPr>
              <w:t>quotetabs</w:t>
            </w:r>
            <w:r>
              <w:t xml:space="preserve"> is true, </w:t>
            </w:r>
            <w:r>
              <w:rPr>
                <w:rStyle w:val="Text0"/>
              </w:rPr>
              <w:t>encode</w:t>
            </w:r>
            <w:r>
              <w:t xml:space="preserve"> also encodes spaces and tabs. When </w:t>
            </w:r>
            <w:r>
              <w:rPr>
                <w:rStyle w:val="Text0"/>
              </w:rPr>
              <w:t>header</w:t>
            </w:r>
            <w:r>
              <w:t xml:space="preserve"> is true, </w:t>
            </w:r>
            <w:r>
              <w:rPr>
                <w:rStyle w:val="Text0"/>
              </w:rPr>
              <w:t>encode</w:t>
            </w:r>
            <w:r>
              <w:t xml:space="preserve"> encodes spaces as </w:t>
            </w:r>
            <w:r>
              <w:rPr>
                <w:rStyle w:val="Text0"/>
              </w:rPr>
              <w:t>_</w:t>
            </w:r>
            <w:r>
              <w:t xml:space="preserve"> (underscores).</w:t>
            </w:r>
          </w:p>
        </w:tc>
      </w:tr>
    </w:tbl>
    <w:tbl>
      <w:tblPr>
        <w:tblW w:type="auto" w:w="0"/>
      </w:tblPr>
      <w:tr>
        <w:tc>
          <w:tcPr>
            <w:tcW w:type="auto" w:w="0"/>
            <w:shd w:val="clear" w:color="auto" w:fill="EEF2F6"/>
            <w:tcMar>
              <w:left w:type="dxa" w:w="200"/>
              <w:top w:type="dxa" w:w="200"/>
              <w:right w:type="dxa" w:w="200"/>
              <w:bottom w:type="dxa" w:w="200"/>
            </w:tcMar>
          </w:tcPr>
          <w:p>
            <w:pPr>
              <w:pStyle w:val="Para 001"/>
            </w:pPr>
            <w:r>
              <w:t>encodestring</w:t>
            </w:r>
          </w:p>
        </w:tc>
        <w:tc>
          <w:tcPr>
            <w:tcW w:type="auto" w:w="0"/>
            <w:shd w:val="clear" w:color="auto" w:fill="EEF2F6"/>
            <w:tcMar>
              <w:left w:type="dxa" w:w="200"/>
              <w:top w:type="dxa" w:w="200"/>
              <w:right w:type="dxa" w:w="200"/>
              <w:bottom w:type="dxa" w:w="200"/>
            </w:tcMar>
          </w:tcPr>
          <w:p>
            <w:pPr>
              <w:pStyle w:val="Para 002"/>
            </w:pPr>
            <w:r>
              <w:rPr>
                <w:rStyle w:val="Text0"/>
              </w:rPr>
              <w:t>encodestring(</w:t>
            </w:r>
            <w:r>
              <w:rPr>
                <w:rStyle w:val="Text3"/>
              </w:rPr>
              <w:t>s</w:t>
            </w:r>
            <w:r>
              <w:rPr>
                <w:rStyle w:val="Text0"/>
              </w:rPr>
              <w:t>, quotetabs=</w:t>
            </w:r>
            <w:r>
              <w:rPr>
                <w:rStyle w:val="Text5"/>
              </w:rPr>
              <w:t>False</w:t>
            </w:r>
            <w:r>
              <w:rPr>
                <w:rStyle w:val="Text0"/>
              </w:rPr>
              <w:t>, header=</w:t>
            </w:r>
            <w:r>
              <w:rPr>
                <w:rStyle w:val="Text5"/>
              </w:rPr>
              <w:t>False</w:t>
            </w:r>
            <w:r>
              <w:rPr>
                <w:rStyle w:val="Text0"/>
              </w:rPr>
              <w:t>)</w:t>
              <w:br w:clear="none"/>
            </w:r>
            <w:r>
              <w:t xml:space="preserve"> Encodes bytestring </w:t>
            </w:r>
            <w:r>
              <w:rPr>
                <w:rStyle w:val="Text3"/>
              </w:rPr>
              <w:t>s</w:t>
            </w:r>
            <w:r>
              <w:t xml:space="preserve">, which contains arbitrary bytes, and returns a bytestring with QP-encoded ASCII text. When </w:t>
            </w:r>
            <w:r>
              <w:rPr>
                <w:rStyle w:val="Text0"/>
              </w:rPr>
              <w:t>quotetabs</w:t>
            </w:r>
            <w:r>
              <w:t xml:space="preserve"> is true, </w:t>
            </w:r>
            <w:r>
              <w:rPr>
                <w:rStyle w:val="Text0"/>
              </w:rPr>
              <w:t>encodestring</w:t>
            </w:r>
            <w:r>
              <w:t xml:space="preserve"> also encodes spaces and tabs. When </w:t>
            </w:r>
            <w:r>
              <w:rPr>
                <w:rStyle w:val="Text0"/>
              </w:rPr>
              <w:t>header</w:t>
            </w:r>
            <w:r>
              <w:t xml:space="preserve"> is true, </w:t>
            </w:r>
            <w:r>
              <w:rPr>
                <w:rStyle w:val="Text0"/>
              </w:rPr>
              <w:t>encodestring</w:t>
            </w:r>
            <w:r>
              <w:t xml:space="preserve"> encodes spaces as </w:t>
            </w:r>
            <w:r>
              <w:rPr>
                <w:rStyle w:val="Text0"/>
              </w:rPr>
              <w:t>_</w:t>
            </w:r>
            <w:r>
              <w:t xml:space="preserve"> (underscores).</w:t>
            </w:r>
          </w:p>
        </w:tc>
      </w:tr>
    </w:tbl>
    <w:p>
      <w:bookmarkStart w:id="4272" w:name="The_uu_Module__The_uu_module1_su"/>
      <w:pPr>
        <w:keepNext/>
        <w:pStyle w:val="Heading 2"/>
      </w:pPr>
      <w:r>
        <w:t>The uu Module</w:t>
      </w:r>
      <w:bookmarkEnd w:id="4272"/>
    </w:p>
    <w:p>
      <w:pPr>
        <w:pStyle w:val="Normal"/>
      </w:pPr>
      <w:r>
        <w:t>The</w:t>
      </w:r>
      <w:r>
        <w:rPr>
          <w:rStyle w:val="Text111"/>
        </w:rPr>
        <w:bookmarkStart w:id="4273" w:name="idm45965172043312"/>
        <w:t/>
        <w:bookmarkEnd w:id="4273"/>
        <w:bookmarkStart w:id="4274" w:name="idm45965172041792"/>
        <w:t/>
        <w:bookmarkEnd w:id="4274"/>
      </w:r>
      <w:r>
        <w:t xml:space="preserve"> </w:t>
      </w:r>
      <w:r>
        <w:rPr>
          <w:rStyle w:val="Text0"/>
        </w:rPr>
        <w:t>uu</w:t>
      </w:r>
      <w:r>
        <w:t xml:space="preserve"> module</w:t>
      </w:r>
      <w:hyperlink w:anchor="1_Deprecated_in_Python_3_11__to">
        <w:r>
          <w:rPr>
            <w:rStyle w:val="Text41"/>
          </w:rPr>
          <w:bookmarkStart w:id="4275" w:name="1_20"/>
          <w:t>1</w:t>
          <w:bookmarkEnd w:id="4275"/>
        </w:r>
      </w:hyperlink>
      <w:r>
        <w:t xml:space="preserve"> supports the classic </w:t>
      </w:r>
      <w:r>
        <w:rPr>
          <w:rStyle w:val="Text4"/>
        </w:rPr>
        <w:t>Unix-to-Unix</w:t>
      </w:r>
      <w:r>
        <w:t xml:space="preserve"> (UU) encoding, as implemented by the Unix programs </w:t>
      </w:r>
      <w:r>
        <w:rPr>
          <w:rStyle w:val="Text4"/>
        </w:rPr>
        <w:t>uuencode</w:t>
      </w:r>
      <w:r>
        <w:t xml:space="preserve"> and </w:t>
      </w:r>
      <w:r>
        <w:rPr>
          <w:rStyle w:val="Text4"/>
        </w:rPr>
        <w:t>uudecode</w:t>
      </w:r>
      <w:r>
        <w:t xml:space="preserve">. UU starts encoded data with a </w:t>
      </w:r>
      <w:r>
        <w:rPr>
          <w:rStyle w:val="Text0"/>
        </w:rPr>
        <w:t>begin</w:t>
      </w:r>
      <w:r>
        <w:t xml:space="preserve"> line, which includes the filename and permissions of the file being encoded, and ends it with an </w:t>
      </w:r>
      <w:r>
        <w:rPr>
          <w:rStyle w:val="Text0"/>
        </w:rPr>
        <w:t>end</w:t>
      </w:r>
      <w:r>
        <w:t xml:space="preserve"> line. Therefore, UU encoding lets you embed encoded data in otherwise unstructured text, while Base64 encoding (discussed in </w:t>
      </w:r>
      <w:hyperlink w:anchor="The_base64_Module__The_base64_mo">
        <w:r>
          <w:rPr>
            <w:rStyle w:val="Text1"/>
          </w:rPr>
          <w:t>“The base64 Module”</w:t>
        </w:r>
      </w:hyperlink>
      <w:r>
        <w:t xml:space="preserve">) relies on the existence of other indications of where the encoded data starts and finishes. The </w:t>
      </w:r>
      <w:r>
        <w:rPr>
          <w:rStyle w:val="Text0"/>
        </w:rPr>
        <w:t>uu</w:t>
      </w:r>
      <w:r>
        <w:t xml:space="preserve"> module supplies two functions, listed in </w:t>
      </w:r>
      <w:hyperlink w:anchor="Table_21_9__Functions_of_the_uu">
        <w:r>
          <w:rPr>
            <w:rStyle w:val="Text1"/>
          </w:rPr>
          <w:t>Table 21-9</w:t>
        </w:r>
      </w:hyperlink>
      <w:r>
        <w:t>.</w:t>
      </w:r>
    </w:p>
    <w:tbl>
      <w:tblPr>
        <w:tblW w:type="auto" w:w="0"/>
      </w:tblPr>
      <w:tr>
        <w:tc>
          <w:tcPr>
            <w:tcW w:type="auto" w:w="0"/>
            <w:tcMar>
              <w:left w:type="dxa" w:w="200"/>
              <w:top w:type="dxa" w:w="200"/>
              <w:right w:type="dxa" w:w="200"/>
              <w:bottom w:type="dxa" w:w="200"/>
            </w:tcMar>
          </w:tcPr>
          <w:p>
            <w:bookmarkStart w:id="4276" w:name="Table_21_9__Functions_of_the_uu"/>
            <w:pPr>
              <w:pStyle w:val="Para 011"/>
            </w:pPr>
            <w:r>
              <w:rPr>
                <w:rStyle w:val="Text117"/>
              </w:rPr>
              <w:t/>
            </w:r>
            <w:r>
              <w:t xml:space="preserve">Table 21-9. </w:t>
              <w:t xml:space="preserve">Functions of the </w:t>
            </w:r>
            <w:r>
              <w:rPr>
                <w:rStyle w:val="Text0"/>
              </w:rPr>
              <w:t>uu</w:t>
            </w:r>
            <w:r>
              <w:t xml:space="preserve"> module</w:t>
            </w:r>
            <w:bookmarkEnd w:id="4276"/>
          </w:p>
          <w:p>
            <w:pPr>
              <w:pStyle w:val="Para 001"/>
            </w:pPr>
            <w:r>
              <w:t>decode</w:t>
            </w:r>
          </w:p>
        </w:tc>
        <w:tc>
          <w:tcPr>
            <w:tcW w:type="auto" w:w="0"/>
            <w:tcMar>
              <w:left w:type="dxa" w:w="200"/>
              <w:top w:type="dxa" w:w="200"/>
              <w:right w:type="dxa" w:w="200"/>
              <w:bottom w:type="dxa" w:w="200"/>
            </w:tcMar>
          </w:tcPr>
          <w:p>
            <w:pPr>
              <w:pStyle w:val="Para 002"/>
            </w:pPr>
            <w:r>
              <w:rPr>
                <w:rStyle w:val="Text0"/>
              </w:rPr>
              <w:t>decode(</w:t>
            </w:r>
            <w:r>
              <w:rPr>
                <w:rStyle w:val="Text3"/>
              </w:rPr>
              <w:t>infile</w:t>
            </w:r>
            <w:r>
              <w:rPr>
                <w:rStyle w:val="Text0"/>
              </w:rPr>
              <w:t>, outfile=</w:t>
            </w:r>
            <w:r>
              <w:rPr>
                <w:rStyle w:val="Text5"/>
              </w:rPr>
              <w:t>None</w:t>
            </w:r>
            <w:r>
              <w:rPr>
                <w:rStyle w:val="Text0"/>
              </w:rPr>
              <w:t>, mode=</w:t>
            </w:r>
            <w:r>
              <w:rPr>
                <w:rStyle w:val="Text5"/>
              </w:rPr>
              <w:t>None</w:t>
            </w:r>
            <w:r>
              <w:rPr>
                <w:rStyle w:val="Text0"/>
              </w:rPr>
              <w:t>)</w:t>
              <w:br w:clear="none"/>
            </w:r>
            <w:r>
              <w:t xml:space="preserve"> Reads the file-like object </w:t>
            </w:r>
            <w:r>
              <w:rPr>
                <w:rStyle w:val="Text3"/>
              </w:rPr>
              <w:t>infile</w:t>
            </w:r>
            <w:r>
              <w:t xml:space="preserve"> by calling </w:t>
            </w:r>
            <w:r>
              <w:rPr>
                <w:rStyle w:val="Text3"/>
              </w:rPr>
              <w:t>infile</w:t>
            </w:r>
            <w:r>
              <w:rPr>
                <w:rStyle w:val="Text0"/>
              </w:rPr>
              <w:t>.readline</w:t>
            </w:r>
            <w:r>
              <w:t xml:space="preserve"> until end-of-file (i.e., until a call to </w:t>
            </w:r>
            <w:r>
              <w:rPr>
                <w:rStyle w:val="Text3"/>
              </w:rPr>
              <w:t>infile</w:t>
            </w:r>
            <w:r>
              <w:rPr>
                <w:rStyle w:val="Text0"/>
              </w:rPr>
              <w:t>.readline</w:t>
            </w:r>
            <w:r>
              <w:t xml:space="preserve"> returns an empty string) or until a terminator line (the string </w:t>
            </w:r>
            <w:r>
              <w:rPr>
                <w:rStyle w:val="Text0"/>
              </w:rPr>
              <w:t>'end'</w:t>
            </w:r>
            <w:r>
              <w:t xml:space="preserve"> surrounded by any amount of whitespace). </w:t>
            </w:r>
            <w:r>
              <w:rPr>
                <w:rStyle w:val="Text0"/>
              </w:rPr>
              <w:t>decode</w:t>
            </w:r>
            <w:r>
              <w:t xml:space="preserve"> decodes the UU-encoded text thus read and writes the decoded data to the file-like object </w:t>
            </w:r>
            <w:r>
              <w:rPr>
                <w:rStyle w:val="Text0"/>
              </w:rPr>
              <w:t>outfile</w:t>
            </w:r>
            <w:r>
              <w:t xml:space="preserve">. When </w:t>
            </w:r>
            <w:r>
              <w:rPr>
                <w:rStyle w:val="Text0"/>
              </w:rPr>
              <w:t>outfile</w:t>
            </w:r>
            <w:r>
              <w:t xml:space="preserve"> is </w:t>
            </w:r>
            <w:r>
              <w:rPr>
                <w:rStyle w:val="Text5"/>
              </w:rPr>
              <w:t>None</w:t>
            </w:r>
            <w:r>
              <w:t xml:space="preserve">, </w:t>
            </w:r>
            <w:r>
              <w:rPr>
                <w:rStyle w:val="Text0"/>
              </w:rPr>
              <w:t>decode</w:t>
            </w:r>
            <w:r>
              <w:t xml:space="preserve"> creates the file specified in the UU-format </w:t>
            </w:r>
            <w:r>
              <w:rPr>
                <w:rStyle w:val="Text0"/>
              </w:rPr>
              <w:t>begin</w:t>
            </w:r>
            <w:r>
              <w:t xml:space="preserve"> line, with the permission bits given by </w:t>
            </w:r>
            <w:r>
              <w:rPr>
                <w:rStyle w:val="Text0"/>
              </w:rPr>
              <w:t>mode</w:t>
            </w:r>
            <w:r>
              <w:t xml:space="preserve"> (the permission bits specified in the </w:t>
            </w:r>
            <w:r>
              <w:rPr>
                <w:rStyle w:val="Text0"/>
              </w:rPr>
              <w:t>begin</w:t>
            </w:r>
            <w:r>
              <w:t xml:space="preserve"> line, when </w:t>
            </w:r>
            <w:r>
              <w:rPr>
                <w:rStyle w:val="Text0"/>
              </w:rPr>
              <w:t>mode</w:t>
            </w:r>
            <w:r>
              <w:t xml:space="preserve"> is </w:t>
            </w:r>
            <w:r>
              <w:rPr>
                <w:rStyle w:val="Text5"/>
              </w:rPr>
              <w:t>None</w:t>
            </w:r>
            <w:r>
              <w:t xml:space="preserve">). In this case, </w:t>
            </w:r>
            <w:r>
              <w:rPr>
                <w:rStyle w:val="Text0"/>
              </w:rPr>
              <w:t>decode</w:t>
            </w:r>
            <w:r>
              <w:t xml:space="preserve"> raises an exception if the file already exists.</w:t>
            </w:r>
          </w:p>
        </w:tc>
      </w:tr>
    </w:tbl>
    <w:tbl>
      <w:tblPr>
        <w:tblW w:type="auto" w:w="0"/>
      </w:tblPr>
      <w:tr>
        <w:tc>
          <w:tcPr>
            <w:tcW w:type="auto" w:w="0"/>
            <w:shd w:val="clear" w:color="auto" w:fill="EEF2F6"/>
            <w:tcMar>
              <w:left w:type="dxa" w:w="200"/>
              <w:top w:type="dxa" w:w="200"/>
              <w:right w:type="dxa" w:w="200"/>
              <w:bottom w:type="dxa" w:w="200"/>
            </w:tcMar>
          </w:tcPr>
          <w:p>
            <w:pPr>
              <w:pStyle w:val="Para 001"/>
            </w:pPr>
            <w:r>
              <w:t>encode</w:t>
            </w:r>
          </w:p>
        </w:tc>
        <w:tc>
          <w:tcPr>
            <w:tcW w:type="auto" w:w="0"/>
            <w:shd w:val="clear" w:color="auto" w:fill="EEF2F6"/>
            <w:tcMar>
              <w:left w:type="dxa" w:w="200"/>
              <w:top w:type="dxa" w:w="200"/>
              <w:right w:type="dxa" w:w="200"/>
              <w:bottom w:type="dxa" w:w="200"/>
            </w:tcMar>
          </w:tcPr>
          <w:p>
            <w:pPr>
              <w:pStyle w:val="Para 002"/>
            </w:pPr>
            <w:r>
              <w:rPr>
                <w:rStyle w:val="Text0"/>
              </w:rPr>
              <w:t>encode(</w:t>
            </w:r>
            <w:r>
              <w:rPr>
                <w:rStyle w:val="Text3"/>
              </w:rPr>
              <w:t>infile</w:t>
            </w:r>
            <w:r>
              <w:rPr>
                <w:rStyle w:val="Text0"/>
              </w:rPr>
              <w:t>,</w:t>
            </w:r>
            <w:r>
              <w:t xml:space="preserve"> </w:t>
            </w:r>
            <w:r>
              <w:rPr>
                <w:rStyle w:val="Text3"/>
              </w:rPr>
              <w:t>outfile</w:t>
            </w:r>
            <w:r>
              <w:rPr>
                <w:rStyle w:val="Text0"/>
              </w:rPr>
              <w:t>, name='-', mode=0o666)</w:t>
              <w:br w:clear="none"/>
            </w:r>
            <w:r>
              <w:t xml:space="preserve"> Reads the file-like object </w:t>
            </w:r>
            <w:r>
              <w:rPr>
                <w:rStyle w:val="Text3"/>
              </w:rPr>
              <w:t>infile</w:t>
            </w:r>
            <w:r>
              <w:t xml:space="preserve"> by calling </w:t>
            </w:r>
            <w:r>
              <w:rPr>
                <w:rStyle w:val="Text3"/>
              </w:rPr>
              <w:t>infile</w:t>
            </w:r>
            <w:r>
              <w:rPr>
                <w:rStyle w:val="Text0"/>
              </w:rPr>
              <w:t>.read</w:t>
            </w:r>
            <w:r>
              <w:t xml:space="preserve"> (45 bytes at a time, which is the amount of data that UU encodes into 60 characters in each output line) until end-of-file (i.e., until a call to </w:t>
            </w:r>
            <w:r>
              <w:rPr>
                <w:rStyle w:val="Text3"/>
              </w:rPr>
              <w:t>infile</w:t>
            </w:r>
            <w:r>
              <w:rPr>
                <w:rStyle w:val="Text0"/>
              </w:rPr>
              <w:t>.read</w:t>
            </w:r>
            <w:r>
              <w:t xml:space="preserve"> returns an empty string). It encodes the data thus read in UU and writes the encoded text to file-like object </w:t>
            </w:r>
            <w:r>
              <w:rPr>
                <w:rStyle w:val="Text3"/>
              </w:rPr>
              <w:t>outfile</w:t>
            </w:r>
            <w:r>
              <w:t xml:space="preserve">. </w:t>
            </w:r>
            <w:r>
              <w:rPr>
                <w:rStyle w:val="Text0"/>
              </w:rPr>
              <w:t>encode</w:t>
            </w:r>
            <w:r>
              <w:t xml:space="preserve"> also writes a UU-format </w:t>
            </w:r>
            <w:r>
              <w:rPr>
                <w:rStyle w:val="Text0"/>
              </w:rPr>
              <w:t>begin</w:t>
            </w:r>
            <w:r>
              <w:t xml:space="preserve"> line before the text and a UU-format </w:t>
            </w:r>
            <w:r>
              <w:rPr>
                <w:rStyle w:val="Text0"/>
              </w:rPr>
              <w:t>end</w:t>
            </w:r>
            <w:r>
              <w:t xml:space="preserve"> line after the text. In the </w:t>
            </w:r>
            <w:r>
              <w:rPr>
                <w:rStyle w:val="Text0"/>
              </w:rPr>
              <w:t>begin</w:t>
            </w:r>
            <w:r>
              <w:t xml:space="preserve"> line, </w:t>
            </w:r>
            <w:r>
              <w:rPr>
                <w:rStyle w:val="Text0"/>
              </w:rPr>
              <w:t>encode</w:t>
            </w:r>
            <w:r>
              <w:t xml:space="preserve"> specifies the filename as </w:t>
            </w:r>
            <w:r>
              <w:rPr>
                <w:rStyle w:val="Text0"/>
              </w:rPr>
              <w:t>name</w:t>
            </w:r>
            <w:r>
              <w:t xml:space="preserve"> and the mode as </w:t>
            </w:r>
            <w:r>
              <w:rPr>
                <w:rStyle w:val="Text0"/>
              </w:rPr>
              <w:t>mode</w:t>
            </w:r>
            <w:r>
              <w:t>.</w:t>
            </w:r>
            <w:r>
              <w:rPr>
                <w:rStyle w:val="Text111"/>
              </w:rPr>
              <w:bookmarkStart w:id="4277" w:name="idm45965171999440"/>
              <w:t/>
              <w:bookmarkEnd w:id="4277"/>
              <w:bookmarkStart w:id="4278" w:name="idm45965171998032"/>
              <w:t/>
              <w:bookmarkEnd w:id="4278"/>
              <w:bookmarkStart w:id="4279" w:name="idm45965171996656"/>
              <w:t/>
              <w:bookmarkEnd w:id="4279"/>
              <w:bookmarkStart w:id="4280" w:name="idm45965171995280"/>
              <w:t/>
              <w:bookmarkEnd w:id="4280"/>
            </w:r>
          </w:p>
        </w:tc>
      </w:tr>
    </w:tbl>
    <w:p>
      <w:bookmarkStart w:id="4281" w:name="1_Deprecated_in_Python_3_11__to"/>
      <w:pPr>
        <w:pStyle w:val="Para 035"/>
      </w:pPr>
      <w:hyperlink w:anchor="1_20">
        <w:r>
          <w:rPr>
            <w:rStyle w:val="Text1"/>
          </w:rPr>
          <w:t>1</w:t>
        </w:r>
      </w:hyperlink>
      <w:r>
        <w:t xml:space="preserve"> Deprecated in Python 3.11, to be removed in Python 3.13; the online docs direct users to update existing code to use the </w:t>
      </w:r>
      <w:r>
        <w:rPr>
          <w:rStyle w:val="Text25"/>
        </w:rPr>
        <w:t>base64</w:t>
      </w:r>
      <w:r>
        <w:t xml:space="preserve"> module for data content and MIME headers for metadata.</w:t>
      </w:r>
      <w:bookmarkEnd w:id="4281"/>
    </w:p>
    <w:p>
      <w:bookmarkStart w:id="4282" w:name="Chapter_22__Structured_Text__HTM_1"/>
      <w:bookmarkStart w:id="4283" w:name="Chapter_22__Structured_Text__HTM_2"/>
      <w:bookmarkStart w:id="4284" w:name="Chapter_22__Structured_Text__HTM"/>
      <w:bookmarkStart w:id="4285" w:name="Top_of_ch22_html"/>
      <w:pPr>
        <w:keepNext/>
        <w:pStyle w:val="Heading 1"/>
        <w:pageBreakBefore w:val="on"/>
      </w:pPr>
      <w:r>
        <w:t xml:space="preserve">Chapter 22. </w:t>
        <w:t>Structured Text: HTML</w:t>
      </w:r>
      <w:bookmarkEnd w:id="4282"/>
      <w:bookmarkEnd w:id="4283"/>
      <w:bookmarkEnd w:id="4284"/>
      <w:bookmarkEnd w:id="4285"/>
    </w:p>
    <w:p>
      <w:pPr>
        <w:pStyle w:val="Normal"/>
      </w:pPr>
      <w:r>
        <w:t>Most</w:t>
      </w:r>
      <w:r>
        <w:rPr>
          <w:rStyle w:val="Text111"/>
        </w:rPr>
        <w:bookmarkStart w:id="4286" w:name="idm45965171991312"/>
        <w:t/>
        <w:bookmarkEnd w:id="4286"/>
      </w:r>
      <w:r>
        <w:t xml:space="preserve"> documents on the web use</w:t>
      </w:r>
      <w:r>
        <w:rPr>
          <w:rStyle w:val="Text111"/>
        </w:rPr>
        <w:bookmarkStart w:id="4287" w:name="idm45965171989568"/>
        <w:t/>
        <w:bookmarkEnd w:id="4287"/>
        <w:bookmarkStart w:id="4288" w:name="idm45965171988416"/>
        <w:t/>
        <w:bookmarkEnd w:id="4288"/>
      </w:r>
      <w:r>
        <w:t xml:space="preserve"> HTML, the HyperText Markup Language. </w:t>
      </w:r>
      <w:r>
        <w:rPr>
          <w:rStyle w:val="Text4"/>
        </w:rPr>
        <w:t>Markup</w:t>
      </w:r>
      <w:r>
        <w:rPr>
          <w:rStyle w:val="Text105"/>
        </w:rPr>
        <w:bookmarkStart w:id="4289" w:name="idm45965171986880"/>
        <w:t/>
        <w:bookmarkEnd w:id="4289"/>
      </w:r>
      <w:r>
        <w:t xml:space="preserve"> is the insertion of special tokens, known as</w:t>
      </w:r>
      <w:r>
        <w:rPr>
          <w:rStyle w:val="Text111"/>
        </w:rPr>
        <w:bookmarkStart w:id="4290" w:name="idm45965171985552"/>
        <w:t/>
        <w:bookmarkEnd w:id="4290"/>
      </w:r>
      <w:r>
        <w:t xml:space="preserve"> </w:t>
      </w:r>
      <w:r>
        <w:rPr>
          <w:rStyle w:val="Text4"/>
        </w:rPr>
        <w:t>tags</w:t>
      </w:r>
      <w:r>
        <w:t>, in a text document, to structure the text. HTML is, in theory, an application of the large, general standard known as SGML, the</w:t>
      </w:r>
      <w:r>
        <w:rPr>
          <w:rStyle w:val="Text111"/>
        </w:rPr>
        <w:bookmarkStart w:id="4291" w:name="idm45965171983904"/>
        <w:t/>
        <w:bookmarkEnd w:id="4291"/>
        <w:bookmarkStart w:id="4292" w:name="idm45965171982704"/>
        <w:t/>
        <w:bookmarkEnd w:id="4292"/>
      </w:r>
      <w:r>
        <w:t xml:space="preserve"> </w:t>
      </w:r>
      <w:hyperlink r:id="rId626">
        <w:r>
          <w:rPr>
            <w:rStyle w:val="Text1"/>
          </w:rPr>
          <w:t>Standard Generalized Markup Language</w:t>
        </w:r>
      </w:hyperlink>
      <w:r>
        <w:t>. In practice, many documents on the web use HTML in sloppy or incorrect ways.</w:t>
      </w:r>
    </w:p>
    <w:p>
      <w:pPr>
        <w:pStyle w:val="Normal"/>
      </w:pPr>
      <w:r>
        <w:t>HTML was designed for presenting documents in a browser. As web content evolved, users realized it lacked the capability for</w:t>
      </w:r>
      <w:r>
        <w:rPr>
          <w:rStyle w:val="Text111"/>
        </w:rPr>
        <w:bookmarkStart w:id="4293" w:name="idm45965171980048"/>
        <w:t/>
        <w:bookmarkEnd w:id="4293"/>
      </w:r>
      <w:r>
        <w:t xml:space="preserve"> </w:t>
      </w:r>
      <w:r>
        <w:rPr>
          <w:rStyle w:val="Text4"/>
        </w:rPr>
        <w:t>semantic markup</w:t>
      </w:r>
      <w:r>
        <w:t>, in which the markup indicates the meaning of the delineated text rather than simply its appearance. Complete, precise extraction of the information in an HTML document often turns out to be unfeasible. A more rigorous standard called</w:t>
      </w:r>
      <w:r>
        <w:rPr>
          <w:rStyle w:val="Text111"/>
        </w:rPr>
        <w:bookmarkStart w:id="4294" w:name="idm45965171978368"/>
        <w:t/>
        <w:bookmarkEnd w:id="4294"/>
        <w:bookmarkStart w:id="4295" w:name="idm45965171977296"/>
        <w:t/>
        <w:bookmarkEnd w:id="4295"/>
        <w:bookmarkStart w:id="4296" w:name="idm45965171976176"/>
        <w:t/>
        <w:bookmarkEnd w:id="4296"/>
        <w:bookmarkStart w:id="4297" w:name="idm45965171975040"/>
        <w:t/>
        <w:bookmarkEnd w:id="4297"/>
      </w:r>
      <w:r>
        <w:t xml:space="preserve"> XHTML attempted to remedy these shortcomings. XHTML is similar to traditional HTML, but it is defined in terms of XML, the eXtensible Markup Language, and more precisely than HTML. You can handle well-formed XHTML with the tools covered in </w:t>
      </w:r>
      <w:hyperlink w:anchor="Chapter_23__Structured_Text__XML_2">
        <w:r>
          <w:rPr>
            <w:rStyle w:val="Text1"/>
          </w:rPr>
          <w:t>Chapter 23</w:t>
        </w:r>
      </w:hyperlink>
      <w:r>
        <w:t>. However, as of this writing, XHTML has not enjoyed overwhelming success, getting scooped instead by the more pragmatic HTML5.</w:t>
      </w:r>
    </w:p>
    <w:p>
      <w:pPr>
        <w:pStyle w:val="Normal"/>
      </w:pPr>
      <w:r>
        <w:t>Despite the difficulties, it’s often possible to extract at least some useful information from HTML documents (a task known as</w:t>
      </w:r>
      <w:r>
        <w:rPr>
          <w:rStyle w:val="Text111"/>
        </w:rPr>
        <w:bookmarkStart w:id="4298" w:name="idm45965171972048"/>
        <w:t/>
        <w:bookmarkEnd w:id="4298"/>
        <w:bookmarkStart w:id="4299" w:name="idm45965171971008"/>
        <w:t/>
        <w:bookmarkEnd w:id="4299"/>
        <w:bookmarkStart w:id="4300" w:name="idm45965171970000"/>
        <w:t/>
        <w:bookmarkEnd w:id="4300"/>
      </w:r>
      <w:r>
        <w:t xml:space="preserve"> </w:t>
      </w:r>
      <w:r>
        <w:rPr>
          <w:rStyle w:val="Text4"/>
        </w:rPr>
        <w:t>web scraping</w:t>
      </w:r>
      <w:r>
        <w:t xml:space="preserve">, </w:t>
      </w:r>
      <w:r>
        <w:rPr>
          <w:rStyle w:val="Text4"/>
        </w:rPr>
        <w:t>spidering</w:t>
      </w:r>
      <w:r>
        <w:t xml:space="preserve">, or just </w:t>
      </w:r>
      <w:r>
        <w:rPr>
          <w:rStyle w:val="Text4"/>
        </w:rPr>
        <w:t>scraping</w:t>
      </w:r>
      <w:r>
        <w:t xml:space="preserve">). Python’s standard library tries to help, supplying the </w:t>
      </w:r>
      <w:r>
        <w:rPr>
          <w:rStyle w:val="Text0"/>
        </w:rPr>
        <w:t>html</w:t>
      </w:r>
      <w:r>
        <w:t xml:space="preserve"> package for the task of parsing HTML documents, whether for the purpose of presenting the documents or, more typically, as part of an attempt to extract information from them. However, when you’re dealing with somewhat-broken web pages (which is almost always the case!), the third-party module </w:t>
      </w:r>
      <w:hyperlink r:id="rId627">
        <w:r>
          <w:rPr>
            <w:rStyle w:val="Text30"/>
          </w:rPr>
          <w:t>BeautifulSoup</w:t>
        </w:r>
      </w:hyperlink>
      <w:r>
        <w:t xml:space="preserve"> usually offers your last, best hope. In this book, for pragmatic reasons, we mostly cover </w:t>
      </w:r>
      <w:r>
        <w:rPr>
          <w:rStyle w:val="Text0"/>
        </w:rPr>
        <w:t>BeautifulSoup</w:t>
      </w:r>
      <w:r>
        <w:t xml:space="preserve">, ignoring the standard library modules competing with it. The reader looking for alternatives should also investigate the increasingly popular </w:t>
      </w:r>
      <w:hyperlink r:id="rId628">
        <w:r>
          <w:rPr>
            <w:rStyle w:val="Text30"/>
          </w:rPr>
          <w:t>scrapy</w:t>
        </w:r>
      </w:hyperlink>
      <w:hyperlink r:id="rId628">
        <w:r>
          <w:rPr>
            <w:rStyle w:val="Text1"/>
          </w:rPr>
          <w:t xml:space="preserve"> package</w:t>
        </w:r>
      </w:hyperlink>
      <w:r>
        <w:t>.</w:t>
      </w:r>
    </w:p>
    <w:p>
      <w:pPr>
        <w:pStyle w:val="Normal"/>
      </w:pPr>
      <w:r>
        <w:t xml:space="preserve">Generating HTML and embedding Python in HTML are also reasonably frequent tasks. The standard Python library doesn’t support HTML generation or embedding, but you can use Python string formatting, and third-party modules can also help. </w:t>
      </w:r>
      <w:r>
        <w:rPr>
          <w:rStyle w:val="Text0"/>
        </w:rPr>
        <w:t>BeautifulSoup</w:t>
      </w:r>
      <w:r>
        <w:t xml:space="preserve"> lets you alter an HTML tree (so, in particular, you can build one up programmatically, even “from scratch”); an often preferable alternative approach is </w:t>
      </w:r>
      <w:r>
        <w:rPr>
          <w:rStyle w:val="Text4"/>
        </w:rPr>
        <w:t>templating</w:t>
      </w:r>
      <w:r>
        <w:t xml:space="preserve">, supported, for example, by the third-party module </w:t>
      </w:r>
      <w:hyperlink r:id="rId629">
        <w:r>
          <w:rPr>
            <w:rStyle w:val="Text30"/>
          </w:rPr>
          <w:t>jinja2</w:t>
        </w:r>
      </w:hyperlink>
      <w:r>
        <w:t xml:space="preserve">, whose bare essentials we cover in </w:t>
      </w:r>
      <w:hyperlink w:anchor="The_jinja2_Package__For_serious">
        <w:r>
          <w:rPr>
            <w:rStyle w:val="Text1"/>
          </w:rPr>
          <w:t>“The jinja2 Package”</w:t>
        </w:r>
      </w:hyperlink>
      <w:r>
        <w:t>.</w:t>
      </w:r>
    </w:p>
    <w:p>
      <w:bookmarkStart w:id="4301" w:name="The_html_entities_Module__The_ht"/>
      <w:pPr>
        <w:keepNext/>
        <w:pStyle w:val="Heading 1"/>
      </w:pPr>
      <w:r>
        <w:t>The html.entities Module</w:t>
      </w:r>
      <w:bookmarkEnd w:id="4301"/>
    </w:p>
    <w:p>
      <w:pPr>
        <w:pStyle w:val="Normal"/>
      </w:pPr>
      <w:r>
        <w:t>The</w:t>
      </w:r>
      <w:r>
        <w:rPr>
          <w:rStyle w:val="Text111"/>
        </w:rPr>
        <w:bookmarkStart w:id="4302" w:name="idm45965171957840"/>
        <w:t/>
        <w:bookmarkEnd w:id="4302"/>
        <w:bookmarkStart w:id="4303" w:name="idm45965171956416"/>
        <w:t/>
        <w:bookmarkEnd w:id="4303"/>
        <w:bookmarkStart w:id="4304" w:name="idm45965171955312"/>
        <w:t/>
        <w:bookmarkEnd w:id="4304"/>
      </w:r>
      <w:r>
        <w:t xml:space="preserve"> </w:t>
      </w:r>
      <w:r>
        <w:rPr>
          <w:rStyle w:val="Text0"/>
        </w:rPr>
        <w:t>html.entities</w:t>
      </w:r>
      <w:r>
        <w:t xml:space="preserve"> module in Python’s standard library supplies a few attributes, all of them mappings (see </w:t>
      </w:r>
      <w:hyperlink w:anchor="Table_22_1__Attributes_of_html_e">
        <w:r>
          <w:rPr>
            <w:rStyle w:val="Text1"/>
          </w:rPr>
          <w:t>Table 22-1</w:t>
        </w:r>
      </w:hyperlink>
      <w:r>
        <w:t xml:space="preserve">). They come in handy whatever general approach you’re using to parse, edit, or generate HTML, including the </w:t>
      </w:r>
      <w:r>
        <w:rPr>
          <w:rStyle w:val="Text0"/>
        </w:rPr>
        <w:t>BeautifulSoup</w:t>
      </w:r>
      <w:r>
        <w:t xml:space="preserve"> package covered in the following section.</w:t>
      </w:r>
    </w:p>
    <w:tbl>
      <w:tblPr>
        <w:tblW w:type="auto" w:w="0"/>
      </w:tblPr>
      <w:tr>
        <w:tc>
          <w:tcPr>
            <w:tcW w:type="auto" w:w="0"/>
            <w:tcMar>
              <w:left w:type="dxa" w:w="200"/>
              <w:top w:type="dxa" w:w="200"/>
              <w:right w:type="dxa" w:w="200"/>
              <w:bottom w:type="dxa" w:w="200"/>
            </w:tcMar>
          </w:tcPr>
          <w:p>
            <w:bookmarkStart w:id="4305" w:name="Table_22_1__Attributes_of_html_e"/>
            <w:pPr>
              <w:pStyle w:val="Para 011"/>
            </w:pPr>
            <w:r>
              <w:rPr>
                <w:rStyle w:val="Text117"/>
              </w:rPr>
              <w:t/>
            </w:r>
            <w:r>
              <w:t xml:space="preserve">Table 22-1. </w:t>
              <w:t xml:space="preserve">Attributes of </w:t>
            </w:r>
            <w:r>
              <w:rPr>
                <w:rStyle w:val="Text0"/>
              </w:rPr>
              <w:t>html.entities</w:t>
            </w:r>
            <w:bookmarkEnd w:id="4305"/>
          </w:p>
          <w:p>
            <w:pPr>
              <w:pStyle w:val="Para 001"/>
            </w:pPr>
            <w:r>
              <w:t>codepoi⁠n⁠t⁠2​n⁠a⁠m⁠e</w:t>
            </w:r>
          </w:p>
        </w:tc>
        <w:tc>
          <w:tcPr>
            <w:tcW w:type="auto" w:w="0"/>
            <w:tcMar>
              <w:left w:type="dxa" w:w="200"/>
              <w:top w:type="dxa" w:w="200"/>
              <w:right w:type="dxa" w:w="200"/>
              <w:bottom w:type="dxa" w:w="200"/>
            </w:tcMar>
          </w:tcPr>
          <w:p>
            <w:pPr>
              <w:pStyle w:val="Para 002"/>
            </w:pPr>
            <w:r>
              <w:t xml:space="preserve">A mapping from Unicode codepoints to HTML entity names. For example, </w:t>
            </w:r>
            <w:r>
              <w:rPr>
                <w:rStyle w:val="Text0"/>
              </w:rPr>
              <w:t>entities.codepoint2name[228]</w:t>
            </w:r>
            <w:r>
              <w:t xml:space="preserve"> is </w:t>
            </w:r>
            <w:r>
              <w:rPr>
                <w:rStyle w:val="Text0"/>
              </w:rPr>
              <w:t>'auml'</w:t>
            </w:r>
            <w:r>
              <w:t xml:space="preserve">, since Unicode character 228, </w:t>
            </w:r>
            <w:r>
              <w:rPr>
                <w:rStyle w:val="Text0"/>
              </w:rPr>
              <w:t>ä</w:t>
            </w:r>
            <w:r>
              <w:t xml:space="preserve">, “lowercase a with diaeresis,” is encoded in HTML as </w:t>
            </w:r>
            <w:r>
              <w:rPr>
                <w:rStyle w:val="Text0"/>
              </w:rPr>
              <w:t>'&amp;auml;'</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entitydefs</w:t>
            </w:r>
          </w:p>
        </w:tc>
        <w:tc>
          <w:tcPr>
            <w:tcW w:type="auto" w:w="0"/>
            <w:shd w:val="clear" w:color="auto" w:fill="EEF2F6"/>
            <w:tcMar>
              <w:left w:type="dxa" w:w="200"/>
              <w:top w:type="dxa" w:w="200"/>
              <w:right w:type="dxa" w:w="200"/>
              <w:bottom w:type="dxa" w:w="200"/>
            </w:tcMar>
          </w:tcPr>
          <w:p>
            <w:pPr>
              <w:pStyle w:val="Para 002"/>
            </w:pPr>
            <w:r>
              <w:t xml:space="preserve">A mapping from HTML entity names to Unicode equivalent single-character strings. For example, </w:t>
            </w:r>
            <w:r>
              <w:rPr>
                <w:rStyle w:val="Text0"/>
              </w:rPr>
              <w:t>entities.entitydefs['auml']</w:t>
            </w:r>
            <w:r>
              <w:t xml:space="preserve"> is </w:t>
            </w:r>
            <w:r>
              <w:rPr>
                <w:rStyle w:val="Text0"/>
              </w:rPr>
              <w:t>'ä'</w:t>
            </w:r>
            <w:r>
              <w:t xml:space="preserve">, and </w:t>
            </w:r>
            <w:r>
              <w:rPr>
                <w:rStyle w:val="Text0"/>
              </w:rPr>
              <w:t>entities.entitydefs['sigma']</w:t>
            </w:r>
            <w:r>
              <w:t xml:space="preserve"> is </w:t>
            </w:r>
            <w:r>
              <w:rPr>
                <w:rStyle w:val="Text0"/>
              </w:rPr>
              <w:t>'σ'</w:t>
            </w:r>
            <w:r>
              <w:t>.</w:t>
            </w:r>
          </w:p>
        </w:tc>
      </w:tr>
    </w:tbl>
    <w:tbl>
      <w:tblPr>
        <w:tblW w:type="auto" w:w="0"/>
      </w:tblPr>
      <w:tr>
        <w:tc>
          <w:tcPr>
            <w:tcW w:type="auto" w:w="0"/>
            <w:tcMar>
              <w:left w:type="dxa" w:w="200"/>
              <w:top w:type="dxa" w:w="200"/>
              <w:right w:type="dxa" w:w="200"/>
              <w:bottom w:type="dxa" w:w="200"/>
            </w:tcMar>
          </w:tcPr>
          <w:p>
            <w:pPr>
              <w:pStyle w:val="Para 001"/>
            </w:pPr>
            <w:r>
              <w:t>html5</w:t>
            </w:r>
          </w:p>
        </w:tc>
        <w:tc>
          <w:tcPr>
            <w:tcW w:type="auto" w:w="0"/>
            <w:tcMar>
              <w:left w:type="dxa" w:w="200"/>
              <w:top w:type="dxa" w:w="200"/>
              <w:right w:type="dxa" w:w="200"/>
              <w:bottom w:type="dxa" w:w="200"/>
            </w:tcMar>
          </w:tcPr>
          <w:p>
            <w:pPr>
              <w:pStyle w:val="Para 002"/>
            </w:pPr>
            <w:r>
              <w:t xml:space="preserve">A mapping from HTML5 named character references to equivalent single-character strings. For example, </w:t>
            </w:r>
            <w:r>
              <w:rPr>
                <w:rStyle w:val="Text0"/>
              </w:rPr>
              <w:t>entities.html5['gt;']</w:t>
            </w:r>
            <w:r>
              <w:t xml:space="preserve"> is </w:t>
            </w:r>
            <w:r>
              <w:rPr>
                <w:rStyle w:val="Text0"/>
              </w:rPr>
              <w:t>'&gt;'</w:t>
            </w:r>
            <w:r>
              <w:t xml:space="preserve">. The trailing semicolon in the key </w:t>
            </w:r>
            <w:r>
              <w:rPr>
                <w:rStyle w:val="Text4"/>
              </w:rPr>
              <w:t>does</w:t>
            </w:r>
            <w:r>
              <w:t xml:space="preserve"> matter—a few, but far from all, HTML5 named character references can optionally be spelled without a trailing semicolon, and in those cases both keys (with and without the trailing semicolon) are present in </w:t>
            </w:r>
            <w:r>
              <w:rPr>
                <w:rStyle w:val="Text0"/>
              </w:rPr>
              <w:t>entities.html5</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name2codepoint</w:t>
            </w:r>
          </w:p>
        </w:tc>
        <w:tc>
          <w:tcPr>
            <w:tcW w:type="auto" w:w="0"/>
            <w:shd w:val="clear" w:color="auto" w:fill="EEF2F6"/>
            <w:tcMar>
              <w:left w:type="dxa" w:w="200"/>
              <w:top w:type="dxa" w:w="200"/>
              <w:right w:type="dxa" w:w="200"/>
              <w:bottom w:type="dxa" w:w="200"/>
            </w:tcMar>
          </w:tcPr>
          <w:p>
            <w:pPr>
              <w:pStyle w:val="Para 002"/>
            </w:pPr>
            <w:r>
              <w:t xml:space="preserve">A mapping from HTML entity names to Unicode codepoints. For example, </w:t>
            </w:r>
            <w:r>
              <w:rPr>
                <w:rStyle w:val="Text0"/>
              </w:rPr>
              <w:t>entities.name2codepoint['auml']</w:t>
            </w:r>
            <w:r>
              <w:t xml:space="preserve"> is </w:t>
            </w:r>
            <w:r>
              <w:rPr>
                <w:rStyle w:val="Text0"/>
              </w:rPr>
              <w:t>228</w:t>
            </w:r>
            <w:r>
              <w:t>.</w:t>
            </w:r>
          </w:p>
        </w:tc>
      </w:tr>
    </w:tbl>
    <w:p>
      <w:bookmarkStart w:id="4306" w:name="The_BeautifulSoup_Third_Party_Pa"/>
      <w:pPr>
        <w:keepNext/>
        <w:pStyle w:val="Heading 1"/>
      </w:pPr>
      <w:r>
        <w:t>The BeautifulSoup Third-Party Package</w:t>
      </w:r>
      <w:bookmarkEnd w:id="4306"/>
    </w:p>
    <w:p>
      <w:pPr>
        <w:pStyle w:val="Normal"/>
      </w:pPr>
      <w:hyperlink r:id="rId630">
        <w:r>
          <w:rPr>
            <w:rStyle w:val="Text30"/>
          </w:rPr>
          <w:t>BeautifulSoup</w:t>
        </w:r>
      </w:hyperlink>
      <w:r>
        <w:t xml:space="preserve"> lets</w:t>
      </w:r>
      <w:r>
        <w:rPr>
          <w:rStyle w:val="Text111"/>
        </w:rPr>
        <w:bookmarkStart w:id="4307" w:name="STbsoup22"/>
        <w:t/>
        <w:bookmarkEnd w:id="4307"/>
        <w:bookmarkStart w:id="4308" w:name="idm45965171925904"/>
        <w:t/>
        <w:bookmarkEnd w:id="4308"/>
      </w:r>
      <w:r>
        <w:t xml:space="preserve"> you parse HTML even if it’s rather badly formed. It uses simple heuristics to compensate for typical HTML brokenness, and succeeds at this hard task surprisingly well in most cases. The current major version of </w:t>
      </w:r>
      <w:r>
        <w:rPr>
          <w:rStyle w:val="Text0"/>
        </w:rPr>
        <w:t>BeautifulSoup</w:t>
      </w:r>
      <w:r>
        <w:t xml:space="preserve"> is version 4, also known as </w:t>
      </w:r>
      <w:r>
        <w:rPr>
          <w:rStyle w:val="Text0"/>
        </w:rPr>
        <w:t>bs4</w:t>
      </w:r>
      <w:r>
        <w:t xml:space="preserve">. In this book, we specifically cover version 4.10; as of this writing, that’s the latest stable version of </w:t>
      </w:r>
      <w:r>
        <w:rPr>
          <w:rStyle w:val="Text0"/>
        </w:rPr>
        <w:t>bs4</w:t>
      </w:r>
      <w:r>
        <w:t>.</w:t>
      </w:r>
    </w:p>
    <w:p>
      <w:pPr>
        <w:keepNext/>
        <w:pStyle w:val="Heading 5"/>
        <w:keepLines w:val="on"/>
      </w:pPr>
      <w:r>
        <w:t>Installing Versus Importing BeautifulSoup</w:t>
      </w:r>
    </w:p>
    <w:p>
      <w:pPr>
        <w:pStyle w:val="Para 012"/>
        <w:keepLines w:val="on"/>
      </w:pPr>
      <w:r>
        <w:rPr>
          <w:rStyle w:val="Text0"/>
        </w:rPr>
        <w:t>BeautifulSoup</w:t>
      </w:r>
      <w:r>
        <w:rPr>
          <w:rStyle w:val="Text111"/>
        </w:rPr>
        <w:bookmarkStart w:id="4309" w:name="idm45965171920416"/>
        <w:t/>
        <w:bookmarkEnd w:id="4309"/>
      </w:r>
      <w:r>
        <w:t xml:space="preserve"> is one of those annoying modules whose packaging requires you to use different names inside and outside Python. You install the module by running </w:t>
      </w:r>
      <w:r>
        <w:rPr>
          <w:rStyle w:val="Text5"/>
        </w:rPr>
        <w:t>pip install beautifulsoup4</w:t>
      </w:r>
      <w:r>
        <w:t xml:space="preserve"> at a shell command prompt, but when you import it in your Python code, you use </w:t>
      </w:r>
      <w:r>
        <w:rPr>
          <w:rStyle w:val="Text5"/>
        </w:rPr>
        <w:t>import</w:t>
      </w:r>
      <w:r>
        <w:t xml:space="preserve"> </w:t>
      </w:r>
      <w:r>
        <w:rPr>
          <w:rStyle w:val="Text0"/>
        </w:rPr>
        <w:t>bs4</w:t>
      </w:r>
      <w:r>
        <w:t>.</w:t>
      </w:r>
    </w:p>
    <w:p>
      <w:bookmarkStart w:id="4310" w:name="The_BeautifulSoup_Class__The_bs4"/>
      <w:pPr>
        <w:keepNext/>
        <w:pStyle w:val="Heading 2"/>
      </w:pPr>
      <w:r>
        <w:t>The BeautifulSoup Class</w:t>
      </w:r>
      <w:bookmarkEnd w:id="4310"/>
    </w:p>
    <w:p>
      <w:pPr>
        <w:pStyle w:val="Normal"/>
      </w:pPr>
      <w:r>
        <w:t>The</w:t>
      </w:r>
      <w:r>
        <w:rPr>
          <w:rStyle w:val="Text111"/>
        </w:rPr>
        <w:bookmarkStart w:id="4311" w:name="idm45965171914048"/>
        <w:t/>
        <w:bookmarkEnd w:id="4311"/>
      </w:r>
      <w:r>
        <w:t xml:space="preserve"> </w:t>
      </w:r>
      <w:r>
        <w:rPr>
          <w:rStyle w:val="Text0"/>
        </w:rPr>
        <w:t>bs4</w:t>
      </w:r>
      <w:r>
        <w:t xml:space="preserve"> module supplies the </w:t>
      </w:r>
      <w:r>
        <w:rPr>
          <w:rStyle w:val="Text0"/>
        </w:rPr>
        <w:t>BeautifulSoup</w:t>
      </w:r>
      <w:r>
        <w:t xml:space="preserve"> class, which you instantiate by calling it with one or two arguments: first, </w:t>
      </w:r>
      <w:r>
        <w:rPr>
          <w:rStyle w:val="Text0"/>
        </w:rPr>
        <w:t>htmltext</w:t>
      </w:r>
      <w:r>
        <w:t xml:space="preserve">—either a file-like object (which is read to get the HTML text to parse) or a string (which is the text to parse)—and second, an optional </w:t>
      </w:r>
      <w:r>
        <w:rPr>
          <w:rStyle w:val="Text0"/>
        </w:rPr>
        <w:t>parser</w:t>
      </w:r>
      <w:r>
        <w:t xml:space="preserve"> argument.</w:t>
      </w:r>
    </w:p>
    <w:p>
      <w:bookmarkStart w:id="4312" w:name="Which_parser_BeautifulSoup_uses"/>
      <w:pPr>
        <w:keepNext/>
        <w:pStyle w:val="Heading 2"/>
      </w:pPr>
      <w:r>
        <w:t>Which parser BeautifulSoup uses</w:t>
      </w:r>
      <w:bookmarkEnd w:id="4312"/>
    </w:p>
    <w:p>
      <w:pPr>
        <w:pStyle w:val="Normal"/>
      </w:pPr>
      <w:r>
        <w:t xml:space="preserve">If you don’t pass a </w:t>
      </w:r>
      <w:r>
        <w:rPr>
          <w:rStyle w:val="Text0"/>
        </w:rPr>
        <w:t>parser</w:t>
      </w:r>
      <w:r>
        <w:t xml:space="preserve"> argument, </w:t>
      </w:r>
      <w:r>
        <w:rPr>
          <w:rStyle w:val="Text0"/>
        </w:rPr>
        <w:t>BeautifulSoup</w:t>
      </w:r>
      <w:r>
        <w:t xml:space="preserve"> “sniffs around” to pick the best parser (but you may get a </w:t>
      </w:r>
      <w:r>
        <w:rPr>
          <w:rStyle w:val="Text0"/>
        </w:rPr>
        <w:t>GuessedAtParserWarning</w:t>
      </w:r>
      <w:r>
        <w:t xml:space="preserve"> warning in this case). If you haven’t installed any other parser, </w:t>
      </w:r>
      <w:r>
        <w:rPr>
          <w:rStyle w:val="Text0"/>
        </w:rPr>
        <w:t>BeautifulSoup</w:t>
      </w:r>
      <w:r>
        <w:t xml:space="preserve"> defaults to</w:t>
      </w:r>
      <w:r>
        <w:rPr>
          <w:rStyle w:val="Text111"/>
        </w:rPr>
        <w:bookmarkStart w:id="4313" w:name="idm45965171904304"/>
        <w:t/>
        <w:bookmarkEnd w:id="4313"/>
      </w:r>
      <w:r>
        <w:t xml:space="preserve"> </w:t>
      </w:r>
      <w:r>
        <w:rPr>
          <w:rStyle w:val="Text0"/>
        </w:rPr>
        <w:t>html.parser</w:t>
      </w:r>
      <w:r>
        <w:t xml:space="preserve"> from the Python standard library; if you have other parsers installed, </w:t>
      </w:r>
      <w:r>
        <w:rPr>
          <w:rStyle w:val="Text0"/>
        </w:rPr>
        <w:t>BeautifulSoup</w:t>
      </w:r>
      <w:r>
        <w:t xml:space="preserve"> defaults to one of them (</w:t>
      </w:r>
      <w:r>
        <w:rPr>
          <w:rStyle w:val="Text0"/>
        </w:rPr>
        <w:t>lxml</w:t>
      </w:r>
      <w:r>
        <w:t xml:space="preserve"> is currently the preferred one). Unless specified otherwise, the following examples use the default Python </w:t>
      </w:r>
      <w:r>
        <w:rPr>
          <w:rStyle w:val="Text0"/>
        </w:rPr>
        <w:t>html.parser</w:t>
      </w:r>
      <w:r>
        <w:t xml:space="preserve">. To get more control and to avoid the differences between parsers mentioned in the </w:t>
      </w:r>
      <w:r>
        <w:rPr>
          <w:rStyle w:val="Text0"/>
        </w:rPr>
        <w:t>BeautifulSoup</w:t>
      </w:r>
      <w:r>
        <w:t xml:space="preserve"> </w:t>
      </w:r>
      <w:hyperlink r:id="rId631">
        <w:r>
          <w:rPr>
            <w:rStyle w:val="Text1"/>
          </w:rPr>
          <w:t>documentation</w:t>
        </w:r>
      </w:hyperlink>
      <w:r>
        <w:t xml:space="preserve">, pass the name of the parser library to use as the second argument as you instantiate </w:t>
      </w:r>
      <w:r>
        <w:rPr>
          <w:rStyle w:val="Text0"/>
        </w:rPr>
        <w:t>BeautifulSoup</w:t>
      </w:r>
      <w:r>
        <w:t>.</w:t>
      </w:r>
      <w:hyperlink w:anchor="1_The_BeautifulSoup_documentatio">
        <w:r>
          <w:rPr>
            <w:rStyle w:val="Text41"/>
          </w:rPr>
          <w:bookmarkStart w:id="4314" w:name="1_21"/>
          <w:t>1</w:t>
          <w:bookmarkEnd w:id="4314"/>
        </w:r>
      </w:hyperlink>
    </w:p>
    <w:p>
      <w:pPr>
        <w:pStyle w:val="Normal"/>
      </w:pPr>
      <w:r>
        <w:t xml:space="preserve">For example, if you have installed the third-party package </w:t>
      </w:r>
      <w:r>
        <w:rPr>
          <w:rStyle w:val="Text0"/>
        </w:rPr>
        <w:t>html5lib</w:t>
      </w:r>
      <w:r>
        <w:t xml:space="preserve"> (to parse HTML in the same way as all major browsers do, albeit slowly), you may call:</w:t>
      </w:r>
    </w:p>
    <w:p>
      <w:pPr>
        <w:pStyle w:val="Para 007"/>
      </w:pPr>
      <w:r>
        <w:rPr>
          <w:rStyle w:val="Text23"/>
        </w:rPr>
        <w:t xml:space="preserve"/>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t xml:space="preserve">thedoc</w:t>
        <w:br w:clear="none"/>
      </w:r>
      <w:r>
        <w:rPr>
          <w:rStyle w:val="Text7"/>
        </w:rPr>
        <w:t xml:space="preserve">,</w:t>
        <w:br w:clear="none"/>
      </w:r>
      <w:r>
        <w:rPr>
          <w:rStyle w:val="Text23"/>
        </w:rPr>
        <w:t xml:space="preserve"> </w:t>
        <w:br w:clear="none"/>
      </w:r>
      <w:r>
        <w:rPr>
          <w:rStyle w:val="Text8"/>
        </w:rPr>
        <w:t xml:space="preserve">'html5lib'</w:t>
        <w:br w:clear="none"/>
      </w:r>
      <w:r>
        <w:rPr>
          <w:rStyle w:val="Text7"/>
        </w:rPr>
        <w:t xml:space="preserve">)</w:t>
        <w:br w:clear="none"/>
      </w:r>
    </w:p>
    <w:p>
      <w:pPr>
        <w:pStyle w:val="Normal"/>
      </w:pPr>
      <w:r>
        <w:t xml:space="preserve">When you pass </w:t>
      </w:r>
      <w:r>
        <w:rPr>
          <w:rStyle w:val="Text0"/>
        </w:rPr>
        <w:t>'xml'</w:t>
      </w:r>
      <w:r>
        <w:t xml:space="preserve"> as the second argument, you must already have the third-party package </w:t>
      </w:r>
      <w:r>
        <w:rPr>
          <w:rStyle w:val="Text0"/>
        </w:rPr>
        <w:t>lxml</w:t>
      </w:r>
      <w:r>
        <w:t xml:space="preserve"> installed. </w:t>
      </w:r>
      <w:r>
        <w:rPr>
          <w:rStyle w:val="Text0"/>
        </w:rPr>
        <w:t>BeautifulSoup</w:t>
      </w:r>
      <w:r>
        <w:t xml:space="preserve"> then parses the document as XML, rather than as HTML. In this case, the attribute </w:t>
      </w:r>
      <w:r>
        <w:rPr>
          <w:rStyle w:val="Text0"/>
        </w:rPr>
        <w:t>is_xml</w:t>
      </w:r>
      <w:r>
        <w:t xml:space="preserve"> of </w:t>
      </w:r>
      <w:r>
        <w:rPr>
          <w:rStyle w:val="Text0"/>
        </w:rPr>
        <w:t>soup</w:t>
      </w:r>
      <w:r>
        <w:t xml:space="preserve"> is </w:t>
      </w:r>
      <w:r>
        <w:rPr>
          <w:rStyle w:val="Text5"/>
        </w:rPr>
        <w:t>True</w:t>
      </w:r>
      <w:r>
        <w:t xml:space="preserve">; otherwise, </w:t>
      </w:r>
      <w:r>
        <w:rPr>
          <w:rStyle w:val="Text0"/>
        </w:rPr>
        <w:t>soup.is_xml</w:t>
      </w:r>
      <w:r>
        <w:t xml:space="preserve"> is </w:t>
      </w:r>
      <w:r>
        <w:rPr>
          <w:rStyle w:val="Text5"/>
        </w:rPr>
        <w:t>False</w:t>
      </w:r>
      <w:r>
        <w:t xml:space="preserve">. You can also use </w:t>
      </w:r>
      <w:r>
        <w:rPr>
          <w:rStyle w:val="Text0"/>
        </w:rPr>
        <w:t>lxml</w:t>
      </w:r>
      <w:r>
        <w:t xml:space="preserve"> to parse HTML, if you pass </w:t>
      </w:r>
      <w:r>
        <w:rPr>
          <w:rStyle w:val="Text0"/>
        </w:rPr>
        <w:t>'lxml'</w:t>
      </w:r>
      <w:r>
        <w:t xml:space="preserve"> as the second argument. More generally, you may need to install the appropriate parser library depending on the second argument you choose to pass to a call to </w:t>
      </w:r>
      <w:r>
        <w:rPr>
          <w:rStyle w:val="Text0"/>
        </w:rPr>
        <w:t>bs4.BeautifulSoup</w:t>
      </w:r>
      <w:r>
        <w:t xml:space="preserve">; </w:t>
      </w:r>
      <w:r>
        <w:rPr>
          <w:rStyle w:val="Text0"/>
        </w:rPr>
        <w:t>BeautifulSoup</w:t>
      </w:r>
      <w:r>
        <w:t xml:space="preserve"> reminds you with a warning message if you don’t.</w:t>
      </w:r>
    </w:p>
    <w:p>
      <w:pPr>
        <w:pStyle w:val="Normal"/>
      </w:pPr>
      <w:r>
        <w:t>Here’s an example of using different parsers on the same string:</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import</w:t>
        <w:br w:clear="none"/>
      </w:r>
      <w:r>
        <w:rPr>
          <w:rStyle w:val="Text6"/>
        </w:rPr>
        <w:t xml:space="preserve"> </w:t>
        <w:br w:clear="none"/>
      </w:r>
      <w:r>
        <w:rPr>
          <w:rStyle w:val="Text20"/>
        </w:rPr>
        <w:t xml:space="preserve">bs4</w:t>
        <w:br w:clear="none"/>
      </w:r>
      <w:r>
        <w:rPr>
          <w:rStyle w:val="Text13"/>
        </w:rPr>
        <w:t xml:space="preserve">,</w:t>
        <w:br w:clear="none"/>
      </w:r>
      <w:r>
        <w:rPr>
          <w:rStyle w:val="Text6"/>
        </w:rPr>
        <w:t xml:space="preserve"> </w:t>
        <w:br w:clear="none"/>
      </w:r>
      <w:r>
        <w:rPr>
          <w:rStyle w:val="Text20"/>
        </w:rPr>
        <w:t xml:space="preserve">lxml</w:t>
        <w:br w:clear="none"/>
      </w:r>
      <w:r>
        <w:rPr>
          <w:rStyle w:val="Text13"/>
        </w:rPr>
        <w:t xml:space="preserve">,</w:t>
        <w:br w:clear="none"/>
      </w:r>
      <w:r>
        <w:rPr>
          <w:rStyle w:val="Text6"/>
        </w:rPr>
        <w:t xml:space="preserve"> </w:t>
        <w:br w:clear="none"/>
      </w:r>
      <w:r>
        <w:rPr>
          <w:rStyle w:val="Text20"/>
        </w:rPr>
        <w:t xml:space="preserve">html5lib</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sh</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&lt;p&gt;hello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html.parser</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sx</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&lt;p&gt;hello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xml</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sl</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&lt;p&gt;hello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lxml</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t xml:space="preserve">s5</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&lt;p&gt;hello</w:t>
        <w:br w:clear="none"/>
        <w:t xml:space="preserve">'</w:t>
        <w:br w:clear="none"/>
      </w:r>
      <w:r>
        <w:rPr>
          <w:rStyle w:val="Text7"/>
        </w:rPr>
        <w:t xml:space="preserve">,</w:t>
        <w:br w:clear="none"/>
      </w:r>
      <w:r>
        <w:rPr>
          <w:rStyle w:val="Text6"/>
        </w:rPr>
        <w:t xml:space="preserve"> </w:t>
        <w:br w:clear="none"/>
      </w:r>
      <w:r>
        <w:rPr>
          <w:rStyle w:val="Text8"/>
        </w:rPr>
        <w:t xml:space="preserve">'</w:t>
        <w:br w:clear="none"/>
        <w:t xml:space="preserve">html5lib</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0"/>
        </w:rPr>
        <w:t xml:space="preserve">for</w:t>
        <w:br w:clear="none"/>
      </w:r>
      <w:r>
        <w:rPr>
          <w:rStyle w:val="Text6"/>
        </w:rPr>
        <w:t xml:space="preserve"> </w:t>
        <w:br w:clear="none"/>
      </w:r>
      <w:r>
        <w:t xml:space="preserve">s</w:t>
        <w:br w:clear="none"/>
      </w:r>
      <w:r>
        <w:rPr>
          <w:rStyle w:val="Text6"/>
        </w:rPr>
        <w:t xml:space="preserve"> </w:t>
        <w:br w:clear="none"/>
      </w:r>
      <w:r>
        <w:rPr>
          <w:rStyle w:val="Text31"/>
        </w:rPr>
        <w:t xml:space="preserve">in</w:t>
        <w:br w:clear="none"/>
      </w:r>
      <w:r>
        <w:rPr>
          <w:rStyle w:val="Text6"/>
        </w:rPr>
        <w:t xml:space="preserve"> </w:t>
        <w:br w:clear="none"/>
      </w:r>
      <w:r>
        <w:rPr>
          <w:rStyle w:val="Text7"/>
        </w:rPr>
        <w:t xml:space="preserve">[</w:t>
        <w:br w:clear="none"/>
      </w:r>
      <w:r>
        <w:t xml:space="preserve">sh</w:t>
        <w:br w:clear="none"/>
      </w:r>
      <w:r>
        <w:rPr>
          <w:rStyle w:val="Text7"/>
        </w:rPr>
        <w:t xml:space="preserve">,</w:t>
        <w:br w:clear="none"/>
      </w:r>
      <w:r>
        <w:rPr>
          <w:rStyle w:val="Text6"/>
        </w:rPr>
        <w:t xml:space="preserve"> </w:t>
        <w:br w:clear="none"/>
      </w:r>
      <w:r>
        <w:t xml:space="preserve">sx</w:t>
        <w:br w:clear="none"/>
      </w:r>
      <w:r>
        <w:rPr>
          <w:rStyle w:val="Text7"/>
        </w:rPr>
        <w:t xml:space="preserve">,</w:t>
        <w:br w:clear="none"/>
      </w:r>
      <w:r>
        <w:rPr>
          <w:rStyle w:val="Text6"/>
        </w:rPr>
        <w:t xml:space="preserve"> </w:t>
        <w:br w:clear="none"/>
      </w:r>
      <w:r>
        <w:t xml:space="preserve">sl</w:t>
        <w:br w:clear="none"/>
      </w:r>
      <w:r>
        <w:rPr>
          <w:rStyle w:val="Text7"/>
        </w:rPr>
        <w:t xml:space="preserve">,</w:t>
        <w:br w:clear="none"/>
      </w:r>
      <w:r>
        <w:rPr>
          <w:rStyle w:val="Text6"/>
        </w:rPr>
        <w:t xml:space="preserve"> </w:t>
        <w:br w:clear="none"/>
      </w:r>
      <w:r>
        <w:t xml:space="preserve">s5</w:t>
        <w:br w:clear="none"/>
      </w:r>
      <w:r>
        <w:rPr>
          <w:rStyle w:val="Text7"/>
        </w:rPr>
        <w:t xml:space="preserve">]</w:t>
        <w:br w:clear="none"/>
        <w:t xml:space="preserve">:</w:t>
        <w:br w:clear="none"/>
      </w:r>
      <w:r>
        <w:rPr>
          <w:rStyle w:val="Text6"/>
        </w:rPr>
        <w:t xml:space="preserve"/>
        <w:br w:clear="none"/>
      </w:r>
      <w:r>
        <w:rPr>
          <w:rStyle w:val="Text13"/>
        </w:rPr>
        <w:t xml:space="preserve">.</w:t>
        <w:br w:clear="none"/>
        <w:t xml:space="preserve">.</w:t>
        <w:br w:clear="none"/>
        <w:t xml:space="preserve">.</w:t>
        <w:br w:clear="none"/>
      </w:r>
      <w:r>
        <w:rPr>
          <w:rStyle w:val="Text6"/>
        </w:rPr>
        <w:t xml:space="preserve">   </w:t>
        <w:br w:clear="none"/>
      </w:r>
      <w:r>
        <w:rPr>
          <w:rStyle w:val="Text16"/>
        </w:rPr>
        <w:t xml:space="preserve">print</w:t>
        <w:br w:clear="none"/>
      </w:r>
      <w:r>
        <w:rPr>
          <w:rStyle w:val="Text7"/>
        </w:rPr>
        <w:t xml:space="preserve">(</w:t>
        <w:br w:clear="none"/>
      </w:r>
      <w:r>
        <w:t xml:space="preserve">s</w:t>
        <w:br w:clear="none"/>
      </w:r>
      <w:r>
        <w:rPr>
          <w:rStyle w:val="Text7"/>
        </w:rPr>
        <w:t xml:space="preserve">,</w:t>
        <w:br w:clear="none"/>
      </w:r>
      <w:r>
        <w:rPr>
          <w:rStyle w:val="Text6"/>
        </w:rPr>
        <w:t xml:space="preserve"> </w:t>
        <w:br w:clear="none"/>
      </w:r>
      <w:r>
        <w:t xml:space="preserve">s</w:t>
        <w:br w:clear="none"/>
      </w:r>
      <w:r>
        <w:rPr>
          <w:rStyle w:val="Text13"/>
        </w:rPr>
        <w:t xml:space="preserve">.</w:t>
        <w:br w:clear="none"/>
      </w:r>
      <w:r>
        <w:t xml:space="preserve">is_xml</w:t>
        <w:br w:clear="none"/>
      </w:r>
      <w:r>
        <w:rPr>
          <w:rStyle w:val="Text7"/>
        </w:rPr>
        <w:t xml:space="preserve">)</w:t>
        <w:br w:clear="none"/>
      </w:r>
      <w:r>
        <w:rPr>
          <w:rStyle w:val="Text6"/>
        </w:rPr>
        <w:t xml:space="preserve"/>
        <w:br w:clear="none"/>
      </w:r>
      <w:r>
        <w:rPr>
          <w:rStyle w:val="Text13"/>
        </w:rPr>
        <w:t xml:space="preserve">.</w:t>
        <w:br w:clear="none"/>
        <w:t xml:space="preserve">.</w:t>
        <w:br w:clear="none"/>
        <w:t xml:space="preserve">.</w:t>
        <w:br w:clear="none"/>
      </w:r>
    </w:p>
    <w:p>
      <w:pPr>
        <w:pStyle w:val="Para 008"/>
      </w:pPr>
      <w:r>
        <w:rPr>
          <w:rStyle w:val="Text48"/>
        </w:rPr>
        <w:t xml:space="preserve"/>
        <w:br w:clear="none"/>
      </w:r>
      <w:r>
        <w:t xml:space="preserve">&lt;p&gt;hello&lt;/p&gt; False</w:t>
        <w:br w:clear="none"/>
      </w:r>
      <w:r>
        <w:rPr>
          <w:rStyle w:val="Text48"/>
        </w:rPr>
        <w:t xml:space="preserve"/>
        <w:br w:clear="none"/>
      </w:r>
      <w:r>
        <w:t xml:space="preserve">&lt;?xml version="1.0" encoding="utf-8"?&gt;</w:t>
        <w:br w:clear="none"/>
      </w:r>
      <w:r>
        <w:rPr>
          <w:rStyle w:val="Text48"/>
        </w:rPr>
        <w:t xml:space="preserve"/>
        <w:br w:clear="none"/>
      </w:r>
      <w:r>
        <w:t xml:space="preserve">&lt;p&gt;hello&lt;/p&gt; True</w:t>
        <w:br w:clear="none"/>
      </w:r>
      <w:r>
        <w:rPr>
          <w:rStyle w:val="Text48"/>
        </w:rPr>
        <w:t xml:space="preserve"/>
        <w:br w:clear="none"/>
      </w:r>
      <w:r>
        <w:t xml:space="preserve">&lt;html&gt;&lt;body&gt;&lt;p&gt;hello&lt;/p&gt;&lt;/body&gt;&lt;/html&gt; False</w:t>
        <w:br w:clear="none"/>
      </w:r>
      <w:r>
        <w:rPr>
          <w:rStyle w:val="Text48"/>
        </w:rPr>
        <w:t xml:space="preserve"/>
        <w:br w:clear="none"/>
      </w:r>
      <w:r>
        <w:t xml:space="preserve">&lt;html&gt;&lt;head&gt;&lt;/head&gt;&lt;body&gt;&lt;p&gt;hello&lt;/p&gt;&lt;/body&gt;&lt;/html&gt; False</w:t>
        <w:br w:clear="none"/>
      </w:r>
    </w:p>
    <w:p>
      <w:pPr>
        <w:keepNext/>
        <w:pStyle w:val="Heading 5"/>
        <w:keepLines w:val="on"/>
      </w:pPr>
      <w:r>
        <w:t>Differences between parsers in fixing invalid HTML input</w:t>
      </w:r>
    </w:p>
    <w:p>
      <w:pPr>
        <w:pStyle w:val="Para 012"/>
        <w:keepLines w:val="on"/>
      </w:pPr>
      <w:r>
        <w:t xml:space="preserve">In the preceding example, </w:t>
      </w:r>
      <w:r>
        <w:rPr>
          <w:rStyle w:val="Text0"/>
        </w:rPr>
        <w:t>'html.parser'</w:t>
      </w:r>
      <w:r>
        <w:t xml:space="preserve"> simply inserts the end tag </w:t>
      </w:r>
      <w:r>
        <w:rPr>
          <w:rStyle w:val="Text0"/>
        </w:rPr>
        <w:t>&lt;/p&gt;</w:t>
      </w:r>
      <w:r>
        <w:t xml:space="preserve">, missing from the input. Other parsers vary in the degree to which they repair invalid HTML input by adding required tags, such as </w:t>
      </w:r>
      <w:r>
        <w:rPr>
          <w:rStyle w:val="Text0"/>
        </w:rPr>
        <w:t>&lt;html&gt;</w:t>
      </w:r>
      <w:r>
        <w:t xml:space="preserve">, </w:t>
      </w:r>
      <w:r>
        <w:rPr>
          <w:rStyle w:val="Text0"/>
        </w:rPr>
        <w:t>&lt;head&gt;</w:t>
      </w:r>
      <w:r>
        <w:t xml:space="preserve">, and </w:t>
      </w:r>
      <w:r>
        <w:rPr>
          <w:rStyle w:val="Text0"/>
        </w:rPr>
        <w:t>&lt;body&gt;</w:t>
      </w:r>
      <w:r>
        <w:t>, as you can see in the example.</w:t>
      </w:r>
    </w:p>
    <w:p>
      <w:bookmarkStart w:id="4315" w:name="BeautifulSoup__Unicode__and_enco"/>
      <w:pPr>
        <w:keepNext/>
        <w:pStyle w:val="Heading 2"/>
      </w:pPr>
      <w:r>
        <w:t>BeautifulSoup, Unicode, and encoding</w:t>
      </w:r>
      <w:bookmarkEnd w:id="4315"/>
    </w:p>
    <w:p>
      <w:pPr>
        <w:pStyle w:val="Normal"/>
      </w:pPr>
      <w:r>
        <w:rPr>
          <w:rStyle w:val="Text0"/>
        </w:rPr>
        <w:t>BeautifulSoup</w:t>
      </w:r>
      <w:r>
        <w:rPr>
          <w:rStyle w:val="Text111"/>
        </w:rPr>
        <w:bookmarkStart w:id="4316" w:name="idm45965171736496"/>
        <w:t/>
        <w:bookmarkEnd w:id="4316"/>
      </w:r>
      <w:r>
        <w:t xml:space="preserve"> uses Unicode, deducing or guessing the encoding</w:t>
      </w:r>
      <w:hyperlink w:anchor="2_As_explained_in_the_BeautifulS">
        <w:r>
          <w:rPr>
            <w:rStyle w:val="Text41"/>
          </w:rPr>
          <w:bookmarkStart w:id="4317" w:name="2_18"/>
          <w:t>2</w:t>
          <w:bookmarkEnd w:id="4317"/>
        </w:r>
      </w:hyperlink>
      <w:r>
        <w:t xml:space="preserve"> when the input is a bytestring or binary file. For output, the </w:t>
      </w:r>
      <w:r>
        <w:rPr>
          <w:rStyle w:val="Text0"/>
        </w:rPr>
        <w:t>prettify</w:t>
      </w:r>
      <w:r>
        <w:t xml:space="preserve"> method returns a </w:t>
      </w:r>
      <w:r>
        <w:rPr>
          <w:rStyle w:val="Text0"/>
        </w:rPr>
        <w:t>str</w:t>
      </w:r>
      <w:r>
        <w:t xml:space="preserve"> representation of the tree, including tags and their attributes. </w:t>
      </w:r>
      <w:r>
        <w:rPr>
          <w:rStyle w:val="Text0"/>
        </w:rPr>
        <w:t>prettify</w:t>
      </w:r>
      <w:r>
        <w:t xml:space="preserve"> formats the string with whitespace and newlines added to indent elements, displaying the nesting structure. To have it instead return a </w:t>
      </w:r>
      <w:r>
        <w:rPr>
          <w:rStyle w:val="Text0"/>
        </w:rPr>
        <w:t>bytes</w:t>
      </w:r>
      <w:r>
        <w:t xml:space="preserve"> object (a bytestring) in a given encoding, pass it the encoding name as an argument. If you don’t want the result to be “prettified,” use the </w:t>
      </w:r>
      <w:r>
        <w:rPr>
          <w:rStyle w:val="Text0"/>
        </w:rPr>
        <w:t>encode</w:t>
      </w:r>
      <w:r>
        <w:t xml:space="preserve"> method to get a bytestring, and the </w:t>
      </w:r>
      <w:r>
        <w:rPr>
          <w:rStyle w:val="Text0"/>
        </w:rPr>
        <w:t>decode</w:t>
      </w:r>
      <w:r>
        <w:t xml:space="preserve"> method to get a Unicode string. For example: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'&lt;p&gt;hello'</w:t>
        <w:br w:clear="none"/>
      </w:r>
      <w:r>
        <w:rPr>
          <w:rStyle w:val="Text7"/>
        </w:rPr>
        <w:t xml:space="preserve">,</w:t>
        <w:br w:clear="none"/>
      </w:r>
      <w:r>
        <w:rPr>
          <w:rStyle w:val="Text23"/>
        </w:rPr>
        <w:t xml:space="preserve"> </w:t>
        <w:br w:clear="none"/>
      </w:r>
      <w:r>
        <w:rPr>
          <w:rStyle w:val="Text8"/>
        </w:rPr>
        <w:t xml:space="preserve">'html.parser'</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w:t>
        <w:br w:clear="none"/>
      </w:r>
      <w:r>
        <w:rPr>
          <w:rStyle w:val="Text13"/>
        </w:rPr>
        <w:t xml:space="preserve">.</w:t>
        <w:br w:clear="none"/>
      </w:r>
      <w:r>
        <w:t xml:space="preserve">prettify</w:t>
        <w:br w:clear="none"/>
      </w:r>
      <w:r>
        <w:rPr>
          <w:rStyle w:val="Text7"/>
        </w:rPr>
        <w:t xml:space="preserve">())</w:t>
        <w:br w:clear="none"/>
      </w:r>
    </w:p>
    <w:p>
      <w:pPr>
        <w:pStyle w:val="Para 008"/>
      </w:pPr>
      <w:r>
        <w:rPr>
          <w:rStyle w:val="Text48"/>
        </w:rPr>
        <w:t xml:space="preserve"/>
        <w:br w:clear="none"/>
      </w:r>
      <w:r>
        <w:t xml:space="preserve">&lt;p&gt;</w:t>
        <w:br w:clear="none"/>
      </w:r>
      <w:r>
        <w:rPr>
          <w:rStyle w:val="Text48"/>
        </w:rPr>
        <w:t xml:space="preserve"/>
        <w:br w:clear="none"/>
      </w:r>
      <w:r>
        <w:t xml:space="preserve"> hello</w:t>
        <w:br w:clear="none"/>
      </w:r>
      <w:r>
        <w:rPr>
          <w:rStyle w:val="Text48"/>
        </w:rPr>
        <w:t xml:space="preserve"/>
        <w:br w:clear="none"/>
      </w:r>
      <w:r>
        <w:t xml:space="preserve">&lt;/p&gt;</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w:t>
        <w:br w:clear="none"/>
      </w:r>
      <w:r>
        <w:rPr>
          <w:rStyle w:val="Text13"/>
        </w:rPr>
        <w:t xml:space="preserve">.</w:t>
        <w:br w:clear="none"/>
      </w:r>
      <w:r>
        <w:t xml:space="preserve">decode</w:t>
        <w:br w:clear="none"/>
      </w:r>
      <w:r>
        <w:rPr>
          <w:rStyle w:val="Text7"/>
        </w:rPr>
        <w:t xml:space="preserve">())</w:t>
        <w:br w:clear="none"/>
      </w:r>
    </w:p>
    <w:p>
      <w:pPr>
        <w:pStyle w:val="Para 008"/>
      </w:pPr>
      <w:r>
        <w:rPr>
          <w:rStyle w:val="Text48"/>
        </w:rPr>
        <w:t xml:space="preserve"/>
        <w:br w:clear="none"/>
      </w:r>
      <w:r>
        <w:t xml:space="preserve">&lt;p&gt;hello&lt;/p&gt;</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w:t>
        <w:br w:clear="none"/>
      </w:r>
      <w:r>
        <w:rPr>
          <w:rStyle w:val="Text13"/>
        </w:rPr>
        <w:t xml:space="preserve">.</w:t>
        <w:br w:clear="none"/>
      </w:r>
      <w:r>
        <w:t xml:space="preserve">encode</w:t>
        <w:br w:clear="none"/>
      </w:r>
      <w:r>
        <w:rPr>
          <w:rStyle w:val="Text7"/>
        </w:rPr>
        <w:t xml:space="preserve">())</w:t>
        <w:br w:clear="none"/>
      </w:r>
    </w:p>
    <w:p>
      <w:pPr>
        <w:pStyle w:val="Para 008"/>
      </w:pPr>
      <w:r>
        <w:rPr>
          <w:rStyle w:val="Text48"/>
        </w:rPr>
        <w:t xml:space="preserve"/>
        <w:br w:clear="none"/>
      </w:r>
      <w:r>
        <w:t xml:space="preserve">b'&lt;p&gt;hello&lt;/p&gt;'</w:t>
        <w:br w:clear="none"/>
      </w:r>
    </w:p>
    <w:p>
      <w:bookmarkStart w:id="4318" w:name="The_Navigable_Classes_of_bs4__An"/>
      <w:pPr>
        <w:keepNext/>
        <w:pStyle w:val="Heading 2"/>
      </w:pPr>
      <w:r>
        <w:t>The Navigable Classes of bs4</w:t>
      </w:r>
      <w:bookmarkEnd w:id="4318"/>
    </w:p>
    <w:p>
      <w:pPr>
        <w:pStyle w:val="Normal"/>
      </w:pPr>
      <w:r>
        <w:t>An</w:t>
      </w:r>
      <w:r>
        <w:rPr>
          <w:rStyle w:val="Text111"/>
        </w:rPr>
        <w:bookmarkStart w:id="4319" w:name="BSPnavigable22"/>
        <w:t/>
        <w:bookmarkEnd w:id="4319"/>
      </w:r>
      <w:r>
        <w:t xml:space="preserve"> instance </w:t>
      </w:r>
      <w:r>
        <w:rPr>
          <w:rStyle w:val="Text3"/>
        </w:rPr>
        <w:t>b</w:t>
      </w:r>
      <w:r>
        <w:t xml:space="preserve"> of class </w:t>
      </w:r>
      <w:r>
        <w:rPr>
          <w:rStyle w:val="Text0"/>
        </w:rPr>
        <w:t>BeautifulSoup</w:t>
      </w:r>
      <w:r>
        <w:t xml:space="preserve"> supplies attributes and methods to “navigate” the parsed HTML tree, returning instances of</w:t>
      </w:r>
      <w:r>
        <w:rPr>
          <w:rStyle w:val="Text111"/>
        </w:rPr>
        <w:bookmarkStart w:id="4320" w:name="navclass22"/>
        <w:t/>
        <w:bookmarkEnd w:id="4320"/>
      </w:r>
      <w:r>
        <w:t xml:space="preserve"> </w:t>
      </w:r>
      <w:r>
        <w:rPr>
          <w:rStyle w:val="Text4"/>
        </w:rPr>
        <w:t>navigable classes</w:t>
      </w:r>
      <w:r>
        <w:t xml:space="preserve"> </w:t>
      </w:r>
      <w:r>
        <w:rPr>
          <w:rStyle w:val="Text0"/>
        </w:rPr>
        <w:t>Tag</w:t>
      </w:r>
      <w:r>
        <w:t xml:space="preserve"> and </w:t>
      </w:r>
      <w:r>
        <w:rPr>
          <w:rStyle w:val="Text0"/>
        </w:rPr>
        <w:t>NavigableString</w:t>
      </w:r>
      <w:r>
        <w:t xml:space="preserve">, along with subclasses of </w:t>
      </w:r>
      <w:r>
        <w:rPr>
          <w:rStyle w:val="Text0"/>
        </w:rPr>
        <w:t>NavigableString</w:t>
      </w:r>
      <w:r>
        <w:t xml:space="preserve"> (</w:t>
      </w:r>
      <w:r>
        <w:rPr>
          <w:rStyle w:val="Text0"/>
        </w:rPr>
        <w:t>CData</w:t>
      </w:r>
      <w:r>
        <w:t xml:space="preserve">, </w:t>
      </w:r>
      <w:r>
        <w:rPr>
          <w:rStyle w:val="Text0"/>
        </w:rPr>
        <w:t>Comment</w:t>
      </w:r>
      <w:r>
        <w:t xml:space="preserve">, </w:t>
      </w:r>
      <w:r>
        <w:rPr>
          <w:rStyle w:val="Text0"/>
        </w:rPr>
        <w:t>Declaration</w:t>
      </w:r>
      <w:r>
        <w:t xml:space="preserve">, </w:t>
      </w:r>
      <w:r>
        <w:rPr>
          <w:rStyle w:val="Text0"/>
        </w:rPr>
        <w:t>Doctype</w:t>
      </w:r>
      <w:r>
        <w:t xml:space="preserve">, and </w:t>
      </w:r>
      <w:r>
        <w:rPr>
          <w:rStyle w:val="Text0"/>
        </w:rPr>
        <w:t>ProcessingInstruction</w:t>
      </w:r>
      <w:r>
        <w:t>, differing only in how they are emitted when you output them).</w:t>
      </w:r>
    </w:p>
    <w:p>
      <w:pPr>
        <w:pStyle w:val="Normal"/>
      </w:pPr>
      <w:r>
        <w:t xml:space="preserve">Each instance of a navigable class lets you keep navigating—i.e., dig for more information—with pretty much the same set of navigational attributes and search methods as </w:t>
      </w:r>
      <w:r>
        <w:rPr>
          <w:rStyle w:val="Text3"/>
        </w:rPr>
        <w:t>b</w:t>
      </w:r>
      <w:r>
        <w:t xml:space="preserve"> itself. There are differences: instances of </w:t>
      </w:r>
      <w:r>
        <w:rPr>
          <w:rStyle w:val="Text0"/>
        </w:rPr>
        <w:t>Tag</w:t>
      </w:r>
      <w:r>
        <w:t xml:space="preserve"> can have HTML attributes and child nodes in the HTML tree, while instances of </w:t>
      </w:r>
      <w:r>
        <w:rPr>
          <w:rStyle w:val="Text0"/>
        </w:rPr>
        <w:t>NavigableString</w:t>
      </w:r>
      <w:r>
        <w:t xml:space="preserve"> cannot (instances of </w:t>
      </w:r>
      <w:r>
        <w:rPr>
          <w:rStyle w:val="Text0"/>
        </w:rPr>
        <w:t>NavigableString</w:t>
      </w:r>
      <w:r>
        <w:t xml:space="preserve"> always have one text string, a parent </w:t>
      </w:r>
      <w:r>
        <w:rPr>
          <w:rStyle w:val="Text0"/>
        </w:rPr>
        <w:t>Tag</w:t>
      </w:r>
      <w:r>
        <w:t>, and zero or more siblings, i.e., other children of the same parent tag).</w:t>
      </w:r>
    </w:p>
    <w:p>
      <w:pPr>
        <w:keepNext/>
        <w:pStyle w:val="Heading 5"/>
        <w:keepLines w:val="on"/>
      </w:pPr>
      <w:r>
        <w:t>Navigable Class Terminology</w:t>
      </w:r>
    </w:p>
    <w:p>
      <w:pPr>
        <w:pStyle w:val="Para 012"/>
        <w:keepLines w:val="on"/>
      </w:pPr>
      <w:r>
        <w:t xml:space="preserve">When we say “instances of </w:t>
      </w:r>
      <w:r>
        <w:rPr>
          <w:rStyle w:val="Text0"/>
        </w:rPr>
        <w:t>NavigableString</w:t>
      </w:r>
      <w:r>
        <w:t xml:space="preserve">,” we include instances of any of its subclasses; when we say “instances of </w:t>
      </w:r>
      <w:r>
        <w:rPr>
          <w:rStyle w:val="Text0"/>
        </w:rPr>
        <w:t>Tag</w:t>
      </w:r>
      <w:r>
        <w:t xml:space="preserve">,” we include instances of </w:t>
      </w:r>
      <w:r>
        <w:rPr>
          <w:rStyle w:val="Text0"/>
        </w:rPr>
        <w:t>BeautifulSoup</w:t>
      </w:r>
      <w:r>
        <w:t xml:space="preserve"> since the latter is a subclass of </w:t>
      </w:r>
      <w:r>
        <w:rPr>
          <w:rStyle w:val="Text0"/>
        </w:rPr>
        <w:t>Tag</w:t>
      </w:r>
      <w:r>
        <w:t xml:space="preserve">. Instances of navigable classes are also known as the </w:t>
      </w:r>
      <w:r>
        <w:rPr>
          <w:rStyle w:val="Text4"/>
        </w:rPr>
        <w:t>elements</w:t>
      </w:r>
      <w:r>
        <w:t xml:space="preserve"> or </w:t>
      </w:r>
      <w:r>
        <w:rPr>
          <w:rStyle w:val="Text4"/>
        </w:rPr>
        <w:t>nodes</w:t>
      </w:r>
      <w:r>
        <w:t xml:space="preserve"> of the tree.</w:t>
      </w:r>
    </w:p>
    <w:p>
      <w:pPr>
        <w:pStyle w:val="Normal"/>
      </w:pPr>
      <w:r>
        <w:t xml:space="preserve">All instances of navigable classes have attribute </w:t>
      </w:r>
      <w:r>
        <w:rPr>
          <w:rStyle w:val="Text0"/>
        </w:rPr>
        <w:t>name</w:t>
      </w:r>
      <w:r>
        <w:t xml:space="preserve">: it’s the tag string for </w:t>
      </w:r>
      <w:r>
        <w:rPr>
          <w:rStyle w:val="Text0"/>
        </w:rPr>
        <w:t>Tag</w:t>
      </w:r>
      <w:r>
        <w:t xml:space="preserve"> instances, </w:t>
      </w:r>
      <w:r>
        <w:rPr>
          <w:rStyle w:val="Text0"/>
        </w:rPr>
        <w:t>'[document]'</w:t>
      </w:r>
      <w:r>
        <w:t xml:space="preserve"> for </w:t>
      </w:r>
      <w:r>
        <w:rPr>
          <w:rStyle w:val="Text0"/>
        </w:rPr>
        <w:t>BeautifulSoup</w:t>
      </w:r>
      <w:r>
        <w:t xml:space="preserve"> instances, and </w:t>
      </w:r>
      <w:r>
        <w:rPr>
          <w:rStyle w:val="Text5"/>
        </w:rPr>
        <w:t>None</w:t>
      </w:r>
      <w:r>
        <w:t xml:space="preserve"> for instances of </w:t>
      </w:r>
      <w:r>
        <w:rPr>
          <w:rStyle w:val="Text0"/>
        </w:rPr>
        <w:t>NavigableString</w:t>
      </w:r>
      <w:r>
        <w:t>.</w:t>
      </w:r>
    </w:p>
    <w:p>
      <w:pPr>
        <w:pStyle w:val="Normal"/>
      </w:pPr>
      <w:r>
        <w:t xml:space="preserve">Instances of </w:t>
      </w:r>
      <w:r>
        <w:rPr>
          <w:rStyle w:val="Text0"/>
        </w:rPr>
        <w:t>Tag</w:t>
      </w:r>
      <w:r>
        <w:t xml:space="preserve"> let you access their HTML attributes by indexing, or you can get them all as a </w:t>
      </w:r>
      <w:r>
        <w:rPr>
          <w:rStyle w:val="Text0"/>
        </w:rPr>
        <w:t>dict</w:t>
      </w:r>
      <w:r>
        <w:t xml:space="preserve"> via the </w:t>
      </w:r>
      <w:r>
        <w:rPr>
          <w:rStyle w:val="Text0"/>
        </w:rPr>
        <w:t>.attrs</w:t>
      </w:r>
      <w:r>
        <w:t xml:space="preserve"> Python attribute of the instance.</w:t>
      </w:r>
    </w:p>
    <w:p>
      <w:bookmarkStart w:id="4321" w:name="Indexing_instances_of_Tag__When"/>
      <w:pPr>
        <w:keepNext/>
        <w:pStyle w:val="Heading 2"/>
      </w:pPr>
      <w:r>
        <w:t>Indexing instances of Tag</w:t>
      </w:r>
      <w:bookmarkEnd w:id="4321"/>
    </w:p>
    <w:p>
      <w:pPr>
        <w:pStyle w:val="Normal"/>
      </w:pPr>
      <w:r>
        <w:t xml:space="preserve">When </w:t>
      </w:r>
      <w:r>
        <w:rPr>
          <w:rStyle w:val="Text3"/>
        </w:rPr>
        <w:t>t</w:t>
      </w:r>
      <w:r>
        <w:t xml:space="preserve"> is an instance of </w:t>
      </w:r>
      <w:r>
        <w:rPr>
          <w:rStyle w:val="Text0"/>
        </w:rPr>
        <w:t>Tag</w:t>
      </w:r>
      <w:r>
        <w:t xml:space="preserve">, </w:t>
      </w:r>
      <w:r>
        <w:rPr>
          <w:rStyle w:val="Text3"/>
        </w:rPr>
        <w:t>t</w:t>
      </w:r>
      <w:r>
        <w:rPr>
          <w:rStyle w:val="Text0"/>
        </w:rPr>
        <w:t>['foo']</w:t>
      </w:r>
      <w:r>
        <w:t xml:space="preserve"> looks for an HTML attribute named </w:t>
      </w:r>
      <w:r>
        <w:rPr>
          <w:rStyle w:val="Text0"/>
        </w:rPr>
        <w:t>foo</w:t>
      </w:r>
      <w:r>
        <w:t xml:space="preserve"> within </w:t>
      </w:r>
      <w:r>
        <w:rPr>
          <w:rStyle w:val="Text3"/>
        </w:rPr>
        <w:t>t</w:t>
      </w:r>
      <w:r>
        <w:t xml:space="preserve">’s HTML attributes and returns the string for the </w:t>
      </w:r>
      <w:r>
        <w:rPr>
          <w:rStyle w:val="Text0"/>
        </w:rPr>
        <w:t>foo</w:t>
      </w:r>
      <w:r>
        <w:t xml:space="preserve"> attribute. When </w:t>
      </w:r>
      <w:r>
        <w:rPr>
          <w:rStyle w:val="Text3"/>
        </w:rPr>
        <w:t>t</w:t>
      </w:r>
      <w:r>
        <w:t xml:space="preserve"> has no HTML attribute named </w:t>
      </w:r>
      <w:r>
        <w:rPr>
          <w:rStyle w:val="Text0"/>
        </w:rPr>
        <w:t>foo</w:t>
      </w:r>
      <w:r>
        <w:t xml:space="preserve">, </w:t>
      </w:r>
      <w:r>
        <w:rPr>
          <w:rStyle w:val="Text3"/>
        </w:rPr>
        <w:t>t</w:t>
      </w:r>
      <w:r>
        <w:rPr>
          <w:rStyle w:val="Text0"/>
        </w:rPr>
        <w:t>['foo']</w:t>
      </w:r>
      <w:r>
        <w:t xml:space="preserve"> raises a </w:t>
      </w:r>
      <w:r>
        <w:rPr>
          <w:rStyle w:val="Text0"/>
        </w:rPr>
        <w:t>KeyError</w:t>
      </w:r>
      <w:r>
        <w:t xml:space="preserve"> exception; just like on a </w:t>
      </w:r>
      <w:r>
        <w:rPr>
          <w:rStyle w:val="Text0"/>
        </w:rPr>
        <w:t>dict</w:t>
      </w:r>
      <w:r>
        <w:t xml:space="preserve">, call </w:t>
      </w:r>
      <w:r>
        <w:rPr>
          <w:rStyle w:val="Text3"/>
        </w:rPr>
        <w:t>t</w:t>
      </w:r>
      <w:r>
        <w:rPr>
          <w:rStyle w:val="Text0"/>
        </w:rPr>
        <w:t>.get('foo', default=</w:t>
      </w:r>
      <w:r>
        <w:rPr>
          <w:rStyle w:val="Text5"/>
        </w:rPr>
        <w:t>None</w:t>
      </w:r>
      <w:r>
        <w:rPr>
          <w:rStyle w:val="Text0"/>
        </w:rPr>
        <w:t>)</w:t>
      </w:r>
      <w:r>
        <w:t xml:space="preserve"> to get the value of the </w:t>
      </w:r>
      <w:r>
        <w:rPr>
          <w:rStyle w:val="Text0"/>
        </w:rPr>
        <w:t>default</w:t>
      </w:r>
      <w:r>
        <w:t xml:space="preserve"> argument instead of an exception.</w:t>
      </w:r>
    </w:p>
    <w:p>
      <w:pPr>
        <w:pStyle w:val="Normal"/>
      </w:pPr>
      <w:r>
        <w:t xml:space="preserve">A few attributes, such as </w:t>
      </w:r>
      <w:r>
        <w:rPr>
          <w:rStyle w:val="Text0"/>
        </w:rPr>
        <w:t>class</w:t>
      </w:r>
      <w:r>
        <w:t xml:space="preserve">, are defined in the HTML standard as being able to have multiple values (e.g., </w:t>
      </w:r>
      <w:r>
        <w:rPr>
          <w:rStyle w:val="Text0"/>
        </w:rPr>
        <w:t>&lt;body class="foo bar"&gt;...&lt;/body&gt;</w:t>
      </w:r>
      <w:r>
        <w:t xml:space="preserve">). In these cases, the indexing returns a </w:t>
      </w:r>
      <w:r>
        <w:rPr>
          <w:rStyle w:val="Text0"/>
        </w:rPr>
        <w:t>list</w:t>
      </w:r>
      <w:r>
        <w:t xml:space="preserve"> of values—for example, </w:t>
      </w:r>
      <w:r>
        <w:rPr>
          <w:rStyle w:val="Text0"/>
        </w:rPr>
        <w:t>soup.body['class']</w:t>
      </w:r>
      <w:r>
        <w:t xml:space="preserve"> would be </w:t>
      </w:r>
      <w:r>
        <w:rPr>
          <w:rStyle w:val="Text0"/>
        </w:rPr>
        <w:t>['foo', 'bar']</w:t>
      </w:r>
      <w:r>
        <w:t xml:space="preserve"> (again, you get a </w:t>
      </w:r>
      <w:r>
        <w:rPr>
          <w:rStyle w:val="Text0"/>
        </w:rPr>
        <w:t>KeyError</w:t>
      </w:r>
      <w:r>
        <w:t xml:space="preserve"> exception when the attribute isn’t present at all; use the </w:t>
      </w:r>
      <w:r>
        <w:rPr>
          <w:rStyle w:val="Text0"/>
        </w:rPr>
        <w:t>get</w:t>
      </w:r>
      <w:r>
        <w:t xml:space="preserve"> method, instead of indexing, to get a default value instead).</w:t>
      </w:r>
    </w:p>
    <w:p>
      <w:pPr>
        <w:pStyle w:val="Normal"/>
      </w:pPr>
      <w:r>
        <w:t xml:space="preserve">To get a </w:t>
      </w:r>
      <w:r>
        <w:rPr>
          <w:rStyle w:val="Text0"/>
        </w:rPr>
        <w:t>dict</w:t>
      </w:r>
      <w:r>
        <w:t xml:space="preserve"> that maps attribute names to values (or, in a few cases defined in the HTML standard, </w:t>
      </w:r>
      <w:r>
        <w:rPr>
          <w:rStyle w:val="Text0"/>
        </w:rPr>
        <w:t>list</w:t>
      </w:r>
      <w:r>
        <w:t xml:space="preserve">s of values), use the attribute </w:t>
      </w:r>
      <w:r>
        <w:rPr>
          <w:rStyle w:val="Text3"/>
        </w:rPr>
        <w:t>t</w:t>
      </w:r>
      <w:r>
        <w:rPr>
          <w:rStyle w:val="Text0"/>
        </w:rPr>
        <w:t>.attrs</w:t>
      </w:r>
      <w:r>
        <w:t>:</w:t>
      </w:r>
    </w:p>
    <w:p>
      <w:pPr>
        <w:pStyle w:val="Para 020"/>
      </w:pP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23"/>
        </w:rPr>
        <w:t xml:space="preserve"> </w:t>
        <w:br w:clear="none"/>
      </w:r>
      <w:r>
        <w:rPr>
          <w:rStyle w:val="Text13"/>
        </w:rPr>
        <w:t xml:space="preserve">=</w:t>
        <w:br w:clear="none"/>
      </w:r>
      <w:r>
        <w:rPr>
          <w:rStyle w:val="Text23"/>
        </w:rPr>
        <w:t xml:space="preserve"> </w:t>
        <w:br w:clear="none"/>
      </w:r>
      <w:r>
        <w:rPr>
          <w:rStyle w:val="Text9"/>
        </w:rPr>
        <w:t xml:space="preserve">bs4</w:t>
        <w:br w:clear="none"/>
      </w:r>
      <w:r>
        <w:rPr>
          <w:rStyle w:val="Text13"/>
        </w:rPr>
        <w:t xml:space="preserve">.</w:t>
        <w:br w:clear="none"/>
      </w:r>
      <w:r>
        <w:rPr>
          <w:rStyle w:val="Text9"/>
        </w:rPr>
        <w:t xml:space="preserve">BeautifulSoup</w:t>
        <w:br w:clear="none"/>
      </w:r>
      <w:r>
        <w:rPr>
          <w:rStyle w:val="Text7"/>
        </w:rPr>
        <w:t xml:space="preserve">(</w:t>
        <w:br w:clear="none"/>
      </w:r>
      <w:r>
        <w:t xml:space="preserve">'&lt;p foo="bar" class="ic"&gt;baz'</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13"/>
        </w:rPr>
        <w:t xml:space="preserve">.</w:t>
        <w:br w:clear="none"/>
      </w:r>
      <w:r>
        <w:rPr>
          <w:rStyle w:val="Text9"/>
        </w:rPr>
        <w:t xml:space="preserve">get</w:t>
        <w:br w:clear="none"/>
      </w:r>
      <w:r>
        <w:rPr>
          <w:rStyle w:val="Text7"/>
        </w:rPr>
        <w:t xml:space="preserve">(</w:t>
        <w:br w:clear="none"/>
      </w:r>
      <w:r>
        <w:t xml:space="preserve">'foo'</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9"/>
        </w:rPr>
        <w:t xml:space="preserve">s</w:t>
        <w:br w:clear="none"/>
      </w:r>
      <w:r>
        <w:rPr>
          <w:rStyle w:val="Text13"/>
        </w:rPr>
        <w:t xml:space="preserve">.</w:t>
        <w:br w:clear="none"/>
      </w:r>
      <w:r>
        <w:rPr>
          <w:rStyle w:val="Text9"/>
        </w:rPr>
        <w:t xml:space="preserve">p</w:t>
        <w:br w:clear="none"/>
      </w:r>
      <w:r>
        <w:rPr>
          <w:rStyle w:val="Text13"/>
        </w:rPr>
        <w:t xml:space="preserve">.</w:t>
        <w:br w:clear="none"/>
      </w:r>
      <w:r>
        <w:rPr>
          <w:rStyle w:val="Text9"/>
        </w:rPr>
        <w:t xml:space="preserve">get</w:t>
        <w:br w:clear="none"/>
      </w:r>
      <w:r>
        <w:rPr>
          <w:rStyle w:val="Text7"/>
        </w:rPr>
        <w:t xml:space="preserve">(</w:t>
        <w:br w:clear="none"/>
      </w:r>
      <w:r>
        <w:t xml:space="preserve">'foo'</w:t>
        <w:br w:clear="none"/>
      </w:r>
      <w:r>
        <w:rPr>
          <w:rStyle w:val="Text7"/>
        </w:rPr>
        <w:t xml:space="preserve">)</w:t>
        <w:br w:clear="none"/>
      </w:r>
    </w:p>
    <w:p>
      <w:pPr>
        <w:pStyle w:val="Para 008"/>
      </w:pPr>
      <w:r>
        <w:rPr>
          <w:rStyle w:val="Text48"/>
        </w:rPr>
        <w:t xml:space="preserve"/>
        <w:br w:clear="none"/>
      </w:r>
      <w:r>
        <w:t xml:space="preserve">'bar'</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w:t>
        <w:br w:clear="none"/>
      </w:r>
      <w:r>
        <w:rPr>
          <w:rStyle w:val="Text13"/>
        </w:rPr>
        <w:t xml:space="preserve">.</w:t>
        <w:br w:clear="none"/>
      </w:r>
      <w:r>
        <w:t xml:space="preserve">p</w:t>
        <w:br w:clear="none"/>
      </w:r>
      <w:r>
        <w:rPr>
          <w:rStyle w:val="Text13"/>
        </w:rPr>
        <w:t xml:space="preserve">.</w:t>
        <w:br w:clear="none"/>
      </w:r>
      <w:r>
        <w:t xml:space="preserve">attrs</w:t>
        <w:br w:clear="none"/>
      </w:r>
    </w:p>
    <w:p>
      <w:pPr>
        <w:pStyle w:val="Para 008"/>
      </w:pPr>
      <w:r>
        <w:rPr>
          <w:rStyle w:val="Text48"/>
        </w:rPr>
        <w:t xml:space="preserve"/>
        <w:br w:clear="none"/>
      </w:r>
      <w:r>
        <w:t xml:space="preserve">{'foo': 'bar', 'class': ['ic']}</w:t>
        <w:br w:clear="none"/>
      </w:r>
    </w:p>
    <w:p>
      <w:pPr>
        <w:keepNext/>
        <w:pStyle w:val="Heading 5"/>
        <w:keepLines w:val="on"/>
      </w:pPr>
      <w:r>
        <w:t>How to Check if a Tag Instance Has a Certain Attribute</w:t>
      </w:r>
    </w:p>
    <w:p>
      <w:pPr>
        <w:pStyle w:val="Para 012"/>
        <w:keepLines w:val="on"/>
      </w:pPr>
      <w:r>
        <w:t xml:space="preserve">To check if a </w:t>
      </w:r>
      <w:r>
        <w:rPr>
          <w:rStyle w:val="Text0"/>
        </w:rPr>
        <w:t>Tag</w:t>
      </w:r>
      <w:r>
        <w:t xml:space="preserve"> instance </w:t>
      </w:r>
      <w:r>
        <w:rPr>
          <w:rStyle w:val="Text3"/>
        </w:rPr>
        <w:t>t</w:t>
      </w:r>
      <w:r>
        <w:t xml:space="preserve">’s HTML attributes include one named </w:t>
      </w:r>
      <w:r>
        <w:rPr>
          <w:rStyle w:val="Text0"/>
        </w:rPr>
        <w:t>'foo'</w:t>
      </w:r>
      <w:r>
        <w:t xml:space="preserve">, </w:t>
      </w:r>
      <w:r>
        <w:rPr>
          <w:rStyle w:val="Text4"/>
        </w:rPr>
        <w:t>don’t</w:t>
      </w:r>
      <w:r>
        <w:t xml:space="preserve"> use </w:t>
      </w:r>
      <w:r>
        <w:rPr>
          <w:rStyle w:val="Text0"/>
        </w:rPr>
        <w:t>if 'foo' in</w:t>
      </w:r>
      <w:r>
        <w:t xml:space="preserve"> </w:t>
      </w:r>
      <w:r>
        <w:rPr>
          <w:rStyle w:val="Text3"/>
        </w:rPr>
        <w:t>t</w:t>
      </w:r>
      <w:r>
        <w:t xml:space="preserve">:—the </w:t>
      </w:r>
      <w:r>
        <w:rPr>
          <w:rStyle w:val="Text0"/>
        </w:rPr>
        <w:t>in</w:t>
      </w:r>
      <w:r>
        <w:t xml:space="preserve"> operator on </w:t>
      </w:r>
      <w:r>
        <w:rPr>
          <w:rStyle w:val="Text0"/>
        </w:rPr>
        <w:t>Tag</w:t>
      </w:r>
      <w:r>
        <w:t xml:space="preserve"> instances looks among the </w:t>
      </w:r>
      <w:r>
        <w:rPr>
          <w:rStyle w:val="Text0"/>
        </w:rPr>
        <w:t>Tag</w:t>
      </w:r>
      <w:r>
        <w:t xml:space="preserve">’s </w:t>
      </w:r>
      <w:r>
        <w:rPr>
          <w:rStyle w:val="Text4"/>
        </w:rPr>
        <w:t>children</w:t>
      </w:r>
      <w:r>
        <w:t xml:space="preserve">, </w:t>
      </w:r>
      <w:r>
        <w:rPr>
          <w:rStyle w:val="Text4"/>
        </w:rPr>
        <w:t>not</w:t>
      </w:r>
      <w:r>
        <w:t xml:space="preserve"> its </w:t>
      </w:r>
      <w:r>
        <w:rPr>
          <w:rStyle w:val="Text4"/>
        </w:rPr>
        <w:t>attributes</w:t>
      </w:r>
      <w:r>
        <w:t xml:space="preserve">. Rather, use </w:t>
      </w:r>
      <w:r>
        <w:rPr>
          <w:rStyle w:val="Text0"/>
        </w:rPr>
        <w:t>if 'foo' in</w:t>
      </w:r>
      <w:r>
        <w:t xml:space="preserve"> </w:t>
      </w:r>
      <w:r>
        <w:rPr>
          <w:rStyle w:val="Text3"/>
        </w:rPr>
        <w:t>t</w:t>
      </w:r>
      <w:r>
        <w:rPr>
          <w:rStyle w:val="Text0"/>
        </w:rPr>
        <w:t>.attrs:</w:t>
      </w:r>
      <w:r>
        <w:t xml:space="preserve"> or, better, </w:t>
      </w:r>
      <w:r>
        <w:rPr>
          <w:rStyle w:val="Text0"/>
        </w:rPr>
        <w:t>if</w:t>
      </w:r>
      <w:r>
        <w:t xml:space="preserve"> </w:t>
      </w:r>
      <w:r>
        <w:rPr>
          <w:rStyle w:val="Text3"/>
        </w:rPr>
        <w:t>t</w:t>
      </w:r>
      <w:r>
        <w:rPr>
          <w:rStyle w:val="Text0"/>
        </w:rPr>
        <w:t>.has_attr('foo'):</w:t>
      </w:r>
      <w:r>
        <w:t>.</w:t>
      </w:r>
    </w:p>
    <w:p>
      <w:bookmarkStart w:id="4322" w:name="Getting_an_actual_string__When_y"/>
      <w:pPr>
        <w:keepNext/>
        <w:pStyle w:val="Heading 2"/>
      </w:pPr>
      <w:r>
        <w:t>Getting an actual string</w:t>
      </w:r>
      <w:bookmarkEnd w:id="4322"/>
    </w:p>
    <w:p>
      <w:pPr>
        <w:pStyle w:val="Normal"/>
      </w:pPr>
      <w:r>
        <w:t xml:space="preserve">When you have an instance of </w:t>
      </w:r>
      <w:r>
        <w:rPr>
          <w:rStyle w:val="Text0"/>
        </w:rPr>
        <w:t>NavigableString</w:t>
      </w:r>
      <w:r>
        <w:t xml:space="preserve">, you often want to access the actual text string it contains. When you have an instance of </w:t>
      </w:r>
      <w:r>
        <w:rPr>
          <w:rStyle w:val="Text0"/>
        </w:rPr>
        <w:t>Tag</w:t>
      </w:r>
      <w:r>
        <w:t>, you may want to access the unique string it contains, or, should it contain more than one, all of them—perhaps with their text stripped of any whitespace surrounding it. Here’s how you can best accomplish these tasks.</w:t>
      </w:r>
    </w:p>
    <w:p>
      <w:pPr>
        <w:pStyle w:val="Normal"/>
      </w:pPr>
      <w:r>
        <w:t xml:space="preserve">When you have a </w:t>
      </w:r>
      <w:r>
        <w:rPr>
          <w:rStyle w:val="Text0"/>
        </w:rPr>
        <w:t>NavigableString</w:t>
      </w:r>
      <w:r>
        <w:t xml:space="preserve"> instance </w:t>
      </w:r>
      <w:r>
        <w:rPr>
          <w:rStyle w:val="Text3"/>
        </w:rPr>
        <w:t>s</w:t>
      </w:r>
      <w:r>
        <w:t xml:space="preserve"> and you need to stash or process its text somewhere, without further navigation on it, call </w:t>
      </w:r>
      <w:r>
        <w:rPr>
          <w:rStyle w:val="Text0"/>
        </w:rPr>
        <w:t>str(</w:t>
      </w:r>
      <w:r>
        <w:rPr>
          <w:rStyle w:val="Text3"/>
        </w:rPr>
        <w:t>s</w:t>
      </w:r>
      <w:r>
        <w:rPr>
          <w:rStyle w:val="Text0"/>
        </w:rPr>
        <w:t>)</w:t>
      </w:r>
      <w:r>
        <w:t xml:space="preserve">. Or, use </w:t>
      </w:r>
      <w:r>
        <w:rPr>
          <w:rStyle w:val="Text3"/>
        </w:rPr>
        <w:t>s</w:t>
      </w:r>
      <w:r>
        <w:rPr>
          <w:rStyle w:val="Text0"/>
        </w:rPr>
        <w:t>.encode(codec='utf8')</w:t>
      </w:r>
      <w:r>
        <w:t xml:space="preserve"> to get a bytestring, or </w:t>
      </w:r>
      <w:r>
        <w:rPr>
          <w:rStyle w:val="Text3"/>
        </w:rPr>
        <w:t>s</w:t>
      </w:r>
      <w:r>
        <w:rPr>
          <w:rStyle w:val="Text0"/>
        </w:rPr>
        <w:t>.decode()</w:t>
      </w:r>
      <w:r>
        <w:t xml:space="preserve"> to get a text string (i.e., Unicode). These give you the actual string, without references to the </w:t>
      </w:r>
      <w:r>
        <w:rPr>
          <w:rStyle w:val="Text0"/>
        </w:rPr>
        <w:t>BeautifulSoup</w:t>
      </w:r>
      <w:r>
        <w:t xml:space="preserve"> tree that would impede garbage collection (</w:t>
      </w:r>
      <w:r>
        <w:rPr>
          <w:rStyle w:val="Text3"/>
        </w:rPr>
        <w:t>s</w:t>
      </w:r>
      <w:r>
        <w:t xml:space="preserve"> supports all methods of Unicode strings, so call those directly if they do all that you need).</w:t>
      </w:r>
    </w:p>
    <w:p>
      <w:pPr>
        <w:pStyle w:val="Normal"/>
      </w:pPr>
      <w:r>
        <w:t xml:space="preserve">Given an instance </w:t>
      </w:r>
      <w:r>
        <w:rPr>
          <w:rStyle w:val="Text3"/>
        </w:rPr>
        <w:t>t</w:t>
      </w:r>
      <w:r>
        <w:t xml:space="preserve"> of </w:t>
      </w:r>
      <w:r>
        <w:rPr>
          <w:rStyle w:val="Text0"/>
        </w:rPr>
        <w:t>Tag</w:t>
      </w:r>
      <w:r>
        <w:t xml:space="preserve"> containing a single </w:t>
      </w:r>
      <w:r>
        <w:rPr>
          <w:rStyle w:val="Text0"/>
        </w:rPr>
        <w:t>NavigableString</w:t>
      </w:r>
      <w:r>
        <w:t xml:space="preserve"> instance </w:t>
      </w:r>
      <w:r>
        <w:rPr>
          <w:rStyle w:val="Text3"/>
        </w:rPr>
        <w:t>s</w:t>
      </w:r>
      <w:r>
        <w:t xml:space="preserve">, you can use </w:t>
      </w:r>
      <w:r>
        <w:rPr>
          <w:rStyle w:val="Text3"/>
        </w:rPr>
        <w:t>t</w:t>
      </w:r>
      <w:r>
        <w:rPr>
          <w:rStyle w:val="Text0"/>
        </w:rPr>
        <w:t>.string</w:t>
      </w:r>
      <w:r>
        <w:t xml:space="preserve"> to fetch </w:t>
      </w:r>
      <w:r>
        <w:rPr>
          <w:rStyle w:val="Text3"/>
        </w:rPr>
        <w:t>s</w:t>
      </w:r>
      <w:r>
        <w:t xml:space="preserve"> (or, to just get the text you want from </w:t>
      </w:r>
      <w:r>
        <w:rPr>
          <w:rStyle w:val="Text3"/>
        </w:rPr>
        <w:t>s</w:t>
      </w:r>
      <w:r>
        <w:t xml:space="preserve">, use </w:t>
      </w:r>
      <w:r>
        <w:rPr>
          <w:rStyle w:val="Text3"/>
        </w:rPr>
        <w:t>t</w:t>
      </w:r>
      <w:r>
        <w:rPr>
          <w:rStyle w:val="Text0"/>
        </w:rPr>
        <w:t>.string.decode()</w:t>
      </w:r>
      <w:r>
        <w:t xml:space="preserve">). </w:t>
      </w:r>
      <w:r>
        <w:rPr>
          <w:rStyle w:val="Text3"/>
        </w:rPr>
        <w:t>t</w:t>
      </w:r>
      <w:r>
        <w:rPr>
          <w:rStyle w:val="Text0"/>
        </w:rPr>
        <w:t>.string</w:t>
      </w:r>
      <w:r>
        <w:t xml:space="preserve"> only works when </w:t>
      </w:r>
      <w:r>
        <w:rPr>
          <w:rStyle w:val="Text3"/>
        </w:rPr>
        <w:t>t</w:t>
      </w:r>
      <w:r>
        <w:t xml:space="preserve"> has a single child that’s a </w:t>
      </w:r>
      <w:r>
        <w:rPr>
          <w:rStyle w:val="Text0"/>
        </w:rPr>
        <w:t>NavigableString</w:t>
      </w:r>
      <w:r>
        <w:t xml:space="preserve">, or a single child that’s a </w:t>
      </w:r>
      <w:r>
        <w:rPr>
          <w:rStyle w:val="Text0"/>
        </w:rPr>
        <w:t>Tag</w:t>
      </w:r>
      <w:r>
        <w:t xml:space="preserve"> whose only child is a </w:t>
      </w:r>
      <w:r>
        <w:rPr>
          <w:rStyle w:val="Text0"/>
        </w:rPr>
        <w:t>NavigableString</w:t>
      </w:r>
      <w:r>
        <w:t xml:space="preserve">; otherwise, </w:t>
      </w:r>
      <w:r>
        <w:rPr>
          <w:rStyle w:val="Text3"/>
        </w:rPr>
        <w:t>t</w:t>
      </w:r>
      <w:r>
        <w:rPr>
          <w:rStyle w:val="Text0"/>
        </w:rPr>
        <w:t>.string</w:t>
      </w:r>
      <w:r>
        <w:t xml:space="preserve"> is </w:t>
      </w:r>
      <w:r>
        <w:rPr>
          <w:rStyle w:val="Text5"/>
        </w:rPr>
        <w:t>None</w:t>
      </w:r>
      <w:r>
        <w:t>.</w:t>
      </w:r>
    </w:p>
    <w:p>
      <w:pPr>
        <w:pStyle w:val="Normal"/>
      </w:pPr>
      <w:r>
        <w:t xml:space="preserve">As an iterator on </w:t>
      </w:r>
      <w:r>
        <w:rPr>
          <w:rStyle w:val="Text4"/>
        </w:rPr>
        <w:t>all</w:t>
      </w:r>
      <w:r>
        <w:t xml:space="preserve"> contained (navigable) strings, use </w:t>
      </w:r>
      <w:r>
        <w:rPr>
          <w:rStyle w:val="Text3"/>
        </w:rPr>
        <w:t>t</w:t>
      </w:r>
      <w:r>
        <w:rPr>
          <w:rStyle w:val="Text0"/>
        </w:rPr>
        <w:t>.strings</w:t>
      </w:r>
      <w:r>
        <w:t xml:space="preserve">. You can use </w:t>
      </w:r>
      <w:r>
        <w:rPr>
          <w:rStyle w:val="Text0"/>
        </w:rPr>
        <w:t>''.join(</w:t>
      </w:r>
      <w:r>
        <w:rPr>
          <w:rStyle w:val="Text3"/>
        </w:rPr>
        <w:t>t</w:t>
      </w:r>
      <w:r>
        <w:rPr>
          <w:rStyle w:val="Text0"/>
        </w:rPr>
        <w:t>.strings)</w:t>
      </w:r>
      <w:r>
        <w:t xml:space="preserve"> to get all the strings concatenated into one, in a single step. To ignore whitespace around each contained string, use the iterator </w:t>
      </w:r>
      <w:r>
        <w:rPr>
          <w:rStyle w:val="Text3"/>
        </w:rPr>
        <w:t>t</w:t>
      </w:r>
      <w:r>
        <w:rPr>
          <w:rStyle w:val="Text0"/>
        </w:rPr>
        <w:t>.stripped_strings</w:t>
      </w:r>
      <w:r>
        <w:t xml:space="preserve"> (which also skips all-whitespace strings).</w:t>
      </w:r>
    </w:p>
    <w:p>
      <w:pPr>
        <w:pStyle w:val="Normal"/>
      </w:pPr>
      <w:r>
        <w:t xml:space="preserve">Alternatively, call </w:t>
      </w:r>
      <w:r>
        <w:rPr>
          <w:rStyle w:val="Text3"/>
        </w:rPr>
        <w:t>t</w:t>
      </w:r>
      <w:r>
        <w:rPr>
          <w:rStyle w:val="Text0"/>
        </w:rPr>
        <w:t>.get_text()</w:t>
      </w:r>
      <w:r>
        <w:t xml:space="preserve">: this returns a single (Unicode) string with all the text in </w:t>
      </w:r>
      <w:r>
        <w:rPr>
          <w:rStyle w:val="Text3"/>
        </w:rPr>
        <w:t>t</w:t>
      </w:r>
      <w:r>
        <w:t xml:space="preserve">’s descendants, in tree order (equivalent to accessing the attribute </w:t>
      </w:r>
      <w:r>
        <w:rPr>
          <w:rStyle w:val="Text3"/>
        </w:rPr>
        <w:t>t</w:t>
      </w:r>
      <w:r>
        <w:rPr>
          <w:rStyle w:val="Text0"/>
        </w:rPr>
        <w:t>.text</w:t>
      </w:r>
      <w:r>
        <w:t xml:space="preserve">). You can optionally pass, as the only positional argument, a string to use as separator. The default is the empty string, </w:t>
      </w:r>
      <w:r>
        <w:rPr>
          <w:rStyle w:val="Text0"/>
        </w:rPr>
        <w:t>''</w:t>
      </w:r>
      <w:r>
        <w:t xml:space="preserve">. Pass the named parameter </w:t>
      </w:r>
      <w:r>
        <w:rPr>
          <w:rStyle w:val="Text0"/>
        </w:rPr>
        <w:t>strip=</w:t>
      </w:r>
      <w:r>
        <w:rPr>
          <w:rStyle w:val="Text5"/>
        </w:rPr>
        <w:t>True</w:t>
      </w:r>
      <w:r>
        <w:t xml:space="preserve"> to have each string stripped of surrounding whitespace and all-whitespace strings skipped.</w:t>
      </w:r>
    </w:p>
    <w:p>
      <w:pPr>
        <w:pStyle w:val="Normal"/>
      </w:pPr>
      <w:r>
        <w:t>The following examples demonstrate these methods for getting strings from within tags:</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'&lt;p&gt;Plain &lt;b&gt;bold&lt;/b&gt;&lt;/p&gt;'</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p</w:t>
        <w:br w:clear="none"/>
      </w:r>
      <w:r>
        <w:rPr>
          <w:rStyle w:val="Text13"/>
        </w:rPr>
        <w:t xml:space="preserve">.</w:t>
        <w:br w:clear="none"/>
      </w:r>
      <w:r>
        <w:t xml:space="preserve">string</w:t>
        <w:br w:clear="none"/>
      </w:r>
      <w:r>
        <w:rPr>
          <w:rStyle w:val="Text7"/>
        </w:rPr>
        <w:t xml:space="preserve">)</w:t>
        <w:br w:clear="none"/>
      </w:r>
    </w:p>
    <w:p>
      <w:pPr>
        <w:pStyle w:val="Para 008"/>
      </w:pPr>
      <w:r>
        <w:rPr>
          <w:rStyle w:val="Text48"/>
        </w:rPr>
        <w:t xml:space="preserve"/>
        <w:br w:clear="none"/>
      </w:r>
      <w:r>
        <w:t xml:space="preserve">None</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p</w:t>
        <w:br w:clear="none"/>
      </w:r>
      <w:r>
        <w:rPr>
          <w:rStyle w:val="Text13"/>
        </w:rPr>
        <w:t xml:space="preserve">.</w:t>
        <w:br w:clear="none"/>
      </w:r>
      <w:r>
        <w:t xml:space="preserve">b</w:t>
        <w:br w:clear="none"/>
      </w:r>
      <w:r>
        <w:rPr>
          <w:rStyle w:val="Text13"/>
        </w:rPr>
        <w:t xml:space="preserve">.</w:t>
        <w:br w:clear="none"/>
      </w:r>
      <w:r>
        <w:t xml:space="preserve">string</w:t>
        <w:br w:clear="none"/>
      </w:r>
      <w:r>
        <w:rPr>
          <w:rStyle w:val="Text7"/>
        </w:rPr>
        <w:t xml:space="preserve">)</w:t>
        <w:br w:clear="none"/>
      </w:r>
    </w:p>
    <w:p>
      <w:pPr>
        <w:pStyle w:val="Para 008"/>
      </w:pPr>
      <w:r>
        <w:rPr>
          <w:rStyle w:val="Text48"/>
        </w:rPr>
        <w:t xml:space="preserve"/>
        <w:br w:clear="none"/>
      </w:r>
      <w:r>
        <w:t xml:space="preserve">bold</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rPr>
          <w:rStyle w:val="Text8"/>
        </w:rPr>
        <w:t xml:space="preserve">''</w:t>
        <w:br w:clear="none"/>
      </w:r>
      <w:r>
        <w:rPr>
          <w:rStyle w:val="Text13"/>
        </w:rPr>
        <w:t xml:space="preserve">.</w:t>
        <w:br w:clear="none"/>
      </w:r>
      <w:r>
        <w:t xml:space="preserve">join</w:t>
        <w:br w:clear="none"/>
      </w:r>
      <w:r>
        <w:rPr>
          <w:rStyle w:val="Text7"/>
        </w:rPr>
        <w:t xml:space="preserve">(</w:t>
        <w:br w:clear="none"/>
      </w:r>
      <w:r>
        <w:t xml:space="preserve">soup</w:t>
        <w:br w:clear="none"/>
      </w:r>
      <w:r>
        <w:rPr>
          <w:rStyle w:val="Text13"/>
        </w:rPr>
        <w:t xml:space="preserve">.</w:t>
        <w:br w:clear="none"/>
      </w:r>
      <w:r>
        <w:t xml:space="preserve">strings</w:t>
        <w:br w:clear="none"/>
      </w:r>
      <w:r>
        <w:rPr>
          <w:rStyle w:val="Text7"/>
        </w:rPr>
        <w:t xml:space="preserve">))</w:t>
        <w:br w:clear="none"/>
      </w:r>
    </w:p>
    <w:p>
      <w:pPr>
        <w:pStyle w:val="Para 008"/>
      </w:pPr>
      <w:r>
        <w:rPr>
          <w:rStyle w:val="Text48"/>
        </w:rPr>
        <w:t xml:space="preserve"/>
        <w:br w:clear="none"/>
      </w:r>
      <w:r>
        <w:t xml:space="preserve">Plain bold</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get_text</w:t>
        <w:br w:clear="none"/>
      </w:r>
      <w:r>
        <w:rPr>
          <w:rStyle w:val="Text7"/>
        </w:rPr>
        <w:t xml:space="preserve">())</w:t>
        <w:br w:clear="none"/>
      </w:r>
    </w:p>
    <w:p>
      <w:pPr>
        <w:pStyle w:val="Para 008"/>
      </w:pPr>
      <w:r>
        <w:rPr>
          <w:rStyle w:val="Text48"/>
        </w:rPr>
        <w:t xml:space="preserve"/>
        <w:br w:clear="none"/>
      </w:r>
      <w:r>
        <w:t xml:space="preserve">Plain bold</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text</w:t>
        <w:br w:clear="none"/>
      </w:r>
      <w:r>
        <w:rPr>
          <w:rStyle w:val="Text7"/>
        </w:rPr>
        <w:t xml:space="preserve">)</w:t>
        <w:br w:clear="none"/>
      </w:r>
    </w:p>
    <w:p>
      <w:pPr>
        <w:pStyle w:val="Para 008"/>
      </w:pPr>
      <w:r>
        <w:rPr>
          <w:rStyle w:val="Text48"/>
        </w:rPr>
        <w:t xml:space="preserve"/>
        <w:br w:clear="none"/>
      </w:r>
      <w:r>
        <w:t xml:space="preserve">Plain bold</w:t>
        <w:br w:clear="none"/>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get_text</w:t>
        <w:br w:clear="none"/>
      </w:r>
      <w:r>
        <w:rPr>
          <w:rStyle w:val="Text7"/>
        </w:rPr>
        <w:t xml:space="preserve">(</w:t>
        <w:br w:clear="none"/>
      </w:r>
      <w:r>
        <w:t xml:space="preserve">strip</w:t>
        <w:br w:clear="none"/>
      </w:r>
      <w:r>
        <w:rPr>
          <w:rStyle w:val="Text13"/>
        </w:rPr>
        <w:t xml:space="preserve">=</w:t>
        <w:br w:clear="none"/>
      </w:r>
      <w:r>
        <w:rPr>
          <w:rStyle w:val="Text39"/>
        </w:rPr>
        <w:t xml:space="preserve">True</w:t>
        <w:br w:clear="none"/>
      </w:r>
      <w:r>
        <w:rPr>
          <w:rStyle w:val="Text7"/>
        </w:rPr>
        <w:t xml:space="preserve">))</w:t>
        <w:br w:clear="none"/>
      </w:r>
    </w:p>
    <w:p>
      <w:pPr>
        <w:pStyle w:val="Para 008"/>
      </w:pPr>
      <w:r>
        <w:rPr>
          <w:rStyle w:val="Text48"/>
        </w:rPr>
        <w:t xml:space="preserve"/>
        <w:br w:clear="none"/>
      </w:r>
      <w:r>
        <w:t xml:space="preserve">Plainbold</w:t>
        <w:br w:clear="none"/>
      </w:r>
    </w:p>
    <w:p>
      <w:bookmarkStart w:id="4323" w:name="Attribute_references_on_instance"/>
      <w:pPr>
        <w:keepNext/>
        <w:pStyle w:val="Heading 2"/>
      </w:pPr>
      <w:r>
        <w:t>Attribute references on instances of BeautifulSoup and Tag</w:t>
      </w:r>
      <w:bookmarkEnd w:id="4323"/>
    </w:p>
    <w:p>
      <w:pPr>
        <w:pStyle w:val="Normal"/>
      </w:pPr>
      <w:r>
        <w:t xml:space="preserve">The simplest, most elegant way to navigate down an HTML tree or subtree in </w:t>
      </w:r>
      <w:r>
        <w:rPr>
          <w:rStyle w:val="Text0"/>
        </w:rPr>
        <w:t>bs4</w:t>
      </w:r>
      <w:r>
        <w:t xml:space="preserve"> is to use Python’s attribute reference syntax (as long as each tag you name is unique, or you care only about the first tag so named at each level of descent).</w:t>
      </w:r>
    </w:p>
    <w:p>
      <w:pPr>
        <w:pStyle w:val="Normal"/>
      </w:pPr>
      <w:r>
        <w:t xml:space="preserve">Given any instance </w:t>
      </w:r>
      <w:r>
        <w:rPr>
          <w:rStyle w:val="Text3"/>
        </w:rPr>
        <w:t>t</w:t>
      </w:r>
      <w:r>
        <w:t xml:space="preserve"> of </w:t>
      </w:r>
      <w:r>
        <w:rPr>
          <w:rStyle w:val="Text0"/>
        </w:rPr>
        <w:t>Tag</w:t>
      </w:r>
      <w:r>
        <w:t xml:space="preserve">, a construct like </w:t>
      </w:r>
      <w:r>
        <w:rPr>
          <w:rStyle w:val="Text3"/>
        </w:rPr>
        <w:t>t</w:t>
      </w:r>
      <w:r>
        <w:rPr>
          <w:rStyle w:val="Text0"/>
        </w:rPr>
        <w:t>.foo.bar</w:t>
      </w:r>
      <w:r>
        <w:t xml:space="preserve"> looks for the first tag </w:t>
      </w:r>
      <w:r>
        <w:rPr>
          <w:rStyle w:val="Text0"/>
        </w:rPr>
        <w:t>foo</w:t>
      </w:r>
      <w:r>
        <w:t xml:space="preserve"> within </w:t>
      </w:r>
      <w:r>
        <w:rPr>
          <w:rStyle w:val="Text3"/>
        </w:rPr>
        <w:t>t</w:t>
      </w:r>
      <w:r>
        <w:t xml:space="preserve">’s descendants and gets a </w:t>
      </w:r>
      <w:r>
        <w:rPr>
          <w:rStyle w:val="Text0"/>
        </w:rPr>
        <w:t>Tag</w:t>
      </w:r>
      <w:r>
        <w:t xml:space="preserve"> instance </w:t>
      </w:r>
      <w:r>
        <w:rPr>
          <w:rStyle w:val="Text3"/>
        </w:rPr>
        <w:t>ti</w:t>
      </w:r>
      <w:r>
        <w:t xml:space="preserve"> for it, then looks for the first tag </w:t>
      </w:r>
      <w:r>
        <w:rPr>
          <w:rStyle w:val="Text0"/>
        </w:rPr>
        <w:t>bar</w:t>
      </w:r>
      <w:r>
        <w:t xml:space="preserve"> within </w:t>
      </w:r>
      <w:r>
        <w:rPr>
          <w:rStyle w:val="Text3"/>
        </w:rPr>
        <w:t>ti</w:t>
      </w:r>
      <w:r>
        <w:t xml:space="preserve">’s descendants and returns a </w:t>
      </w:r>
      <w:r>
        <w:rPr>
          <w:rStyle w:val="Text0"/>
        </w:rPr>
        <w:t>Tag</w:t>
      </w:r>
      <w:r>
        <w:t xml:space="preserve"> instance for the </w:t>
      </w:r>
      <w:r>
        <w:rPr>
          <w:rStyle w:val="Text0"/>
        </w:rPr>
        <w:t>bar</w:t>
      </w:r>
      <w:r>
        <w:t xml:space="preserve"> tag.</w:t>
      </w:r>
    </w:p>
    <w:p>
      <w:pPr>
        <w:pStyle w:val="Normal"/>
      </w:pPr>
      <w:r>
        <w:t xml:space="preserve">It’s a concise, elegant way to navigate down the tree, when you know there’s a single occurrence of a certain tag within a navigable instance’s descendants, or when the first occurrence of several is all you care about. But beware: if any level of lookup doesn’t find the tag it’s looking for, the attribute reference’s value is </w:t>
      </w:r>
      <w:r>
        <w:rPr>
          <w:rStyle w:val="Text5"/>
        </w:rPr>
        <w:t>None</w:t>
      </w:r>
      <w:r>
        <w:t xml:space="preserve">, and then any further attribute reference raises </w:t>
      </w:r>
      <w:r>
        <w:rPr>
          <w:rStyle w:val="Text0"/>
        </w:rPr>
        <w:t>AttributeError</w:t>
      </w:r>
      <w:r>
        <w:t>.</w:t>
      </w:r>
    </w:p>
    <w:p>
      <w:pPr>
        <w:keepNext/>
        <w:pStyle w:val="Heading 6"/>
        <w:keepLines w:val="on"/>
      </w:pPr>
      <w:r>
        <w:t>Beware of Typos in Attribute References on Tag Instances</w:t>
      </w:r>
    </w:p>
    <w:p>
      <w:pPr>
        <w:pStyle w:val="Para 012"/>
        <w:keepLines w:val="on"/>
      </w:pPr>
      <w:r>
        <w:t xml:space="preserve">Due to this </w:t>
      </w:r>
      <w:r>
        <w:rPr>
          <w:rStyle w:val="Text0"/>
        </w:rPr>
        <w:t>BeautifulSoup</w:t>
      </w:r>
      <w:r>
        <w:t xml:space="preserve"> behavior, any typo you make in an attribute reference on a </w:t>
      </w:r>
      <w:r>
        <w:rPr>
          <w:rStyle w:val="Text0"/>
        </w:rPr>
        <w:t>Tag</w:t>
      </w:r>
      <w:r>
        <w:t xml:space="preserve"> instance gives a value of </w:t>
      </w:r>
      <w:r>
        <w:rPr>
          <w:rStyle w:val="Text5"/>
        </w:rPr>
        <w:t>None</w:t>
      </w:r>
      <w:r>
        <w:t xml:space="preserve">, not an </w:t>
      </w:r>
      <w:r>
        <w:rPr>
          <w:rStyle w:val="Text0"/>
        </w:rPr>
        <w:t>AttributeError</w:t>
      </w:r>
      <w:r>
        <w:t xml:space="preserve"> exception—so, be especially careful!</w:t>
      </w:r>
    </w:p>
    <w:p>
      <w:pPr>
        <w:pStyle w:val="Normal"/>
      </w:pPr>
      <w:r>
        <w:rPr>
          <w:rStyle w:val="Text0"/>
        </w:rPr>
        <w:t>bs4</w:t>
      </w:r>
      <w:r>
        <w:t xml:space="preserve"> also offers more general ways to navigate down, up, and sideways along the tree. In particular, each navigable class instance has attributes that identify a single “relative” or, in plural form, an iterator over all relatives of that ilk.</w:t>
      </w:r>
    </w:p>
    <w:p>
      <w:bookmarkStart w:id="4324" w:name="contents__children__and_descenda"/>
      <w:pPr>
        <w:keepNext/>
        <w:pStyle w:val="Heading 2"/>
      </w:pPr>
      <w:r>
        <w:t>contents, children, and descendants</w:t>
      </w:r>
      <w:bookmarkEnd w:id="4324"/>
    </w:p>
    <w:p>
      <w:pPr>
        <w:pStyle w:val="Normal"/>
      </w:pPr>
      <w:r>
        <w:t xml:space="preserve">Given an instance </w:t>
      </w:r>
      <w:r>
        <w:rPr>
          <w:rStyle w:val="Text3"/>
        </w:rPr>
        <w:t>t</w:t>
      </w:r>
      <w:r>
        <w:t xml:space="preserve"> of </w:t>
      </w:r>
      <w:r>
        <w:rPr>
          <w:rStyle w:val="Text0"/>
        </w:rPr>
        <w:t>Tag</w:t>
      </w:r>
      <w:r>
        <w:t xml:space="preserve">, you can get a list of all of its children as </w:t>
      </w:r>
      <w:r>
        <w:rPr>
          <w:rStyle w:val="Text3"/>
        </w:rPr>
        <w:t>t</w:t>
      </w:r>
      <w:r>
        <w:rPr>
          <w:rStyle w:val="Text0"/>
        </w:rPr>
        <w:t>.contents</w:t>
      </w:r>
      <w:r>
        <w:t xml:space="preserve">, or an iterator on all children as </w:t>
      </w:r>
      <w:r>
        <w:rPr>
          <w:rStyle w:val="Text3"/>
        </w:rPr>
        <w:t>t</w:t>
      </w:r>
      <w:r>
        <w:rPr>
          <w:rStyle w:val="Text0"/>
        </w:rPr>
        <w:t>.children</w:t>
      </w:r>
      <w:r>
        <w:t xml:space="preserve">. For an iterator on all </w:t>
      </w:r>
      <w:r>
        <w:rPr>
          <w:rStyle w:val="Text4"/>
        </w:rPr>
        <w:t>descendants</w:t>
      </w:r>
      <w:r>
        <w:t xml:space="preserve"> (children, children of children, and so on), use </w:t>
      </w:r>
      <w:r>
        <w:rPr>
          <w:rStyle w:val="Text3"/>
        </w:rPr>
        <w:t>t</w:t>
      </w:r>
      <w:r>
        <w:rPr>
          <w:rStyle w:val="Text0"/>
        </w:rPr>
        <w:t>.descendants</w:t>
      </w:r>
      <w:r>
        <w:t>:</w:t>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t xml:space="preserve">soup</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&lt;p&gt;Plain &lt;b&gt;bold&lt;/b&gt;&lt;/p&gt;</w:t>
        <w:br w:clear="none"/>
        <w:t xml:space="preserve">'</w:t>
        <w:br w:clear="none"/>
      </w:r>
      <w:r>
        <w:rPr>
          <w:rStyle w:val="Text7"/>
        </w:rPr>
        <w:t xml:space="preserve">)</w:t>
        <w:br w:clear="none"/>
      </w:r>
      <w:r>
        <w:rPr>
          <w:rStyle w:val="Text6"/>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list</w:t>
        <w:br w:clear="none"/>
      </w:r>
      <w:r>
        <w:rPr>
          <w:rStyle w:val="Text7"/>
        </w:rPr>
        <w:t xml:space="preserve">(</w:t>
        <w:br w:clear="none"/>
      </w:r>
      <w:r>
        <w:t xml:space="preserve">t</w:t>
        <w:br w:clear="none"/>
      </w:r>
      <w:r>
        <w:rPr>
          <w:rStyle w:val="Text13"/>
        </w:rPr>
        <w:t xml:space="preserve">.</w:t>
        <w:br w:clear="none"/>
      </w:r>
      <w:r>
        <w:t xml:space="preserve">name</w:t>
        <w:br w:clear="none"/>
      </w:r>
      <w:r>
        <w:rPr>
          <w:rStyle w:val="Text6"/>
        </w:rPr>
        <w:t xml:space="preserve"> </w:t>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soup</w:t>
        <w:br w:clear="none"/>
      </w:r>
      <w:r>
        <w:rPr>
          <w:rStyle w:val="Text13"/>
        </w:rPr>
        <w:t xml:space="preserve">.</w:t>
        <w:br w:clear="none"/>
      </w:r>
      <w:r>
        <w:t xml:space="preserve">p</w:t>
        <w:br w:clear="none"/>
      </w:r>
      <w:r>
        <w:rPr>
          <w:rStyle w:val="Text13"/>
        </w:rPr>
        <w:t xml:space="preserve">.</w:t>
        <w:br w:clear="none"/>
      </w:r>
      <w:r>
        <w:t xml:space="preserve">children</w:t>
        <w:br w:clear="none"/>
      </w:r>
      <w:r>
        <w:rPr>
          <w:rStyle w:val="Text7"/>
        </w:rPr>
        <w:t xml:space="preserve">)</w:t>
        <w:br w:clear="none"/>
      </w:r>
    </w:p>
    <w:p>
      <w:pPr>
        <w:pStyle w:val="Para 008"/>
      </w:pPr>
      <w:r>
        <w:rPr>
          <w:rStyle w:val="Text48"/>
        </w:rPr>
        <w:t xml:space="preserve"/>
        <w:br w:clear="none"/>
      </w:r>
      <w:r>
        <w:t xml:space="preserve">[None, 'b']</w:t>
        <w:br w:clear="none"/>
      </w:r>
    </w:p>
    <w:p>
      <w:pPr>
        <w:pStyle w:val="Para 007"/>
      </w:pPr>
      <w:r>
        <w:rPr>
          <w:rStyle w:val="Text23"/>
        </w:rPr>
        <w:t xml:space="preserve"/>
        <w:br w:clear="none"/>
      </w:r>
      <w:r>
        <w:rPr>
          <w:rStyle w:val="Text13"/>
        </w:rPr>
        <w:t xml:space="preserve">&gt;&gt;</w:t>
        <w:br w:clear="none"/>
        <w:t xml:space="preserve">&gt;</w:t>
        <w:br w:clear="none"/>
      </w:r>
      <w:r>
        <w:rPr>
          <w:rStyle w:val="Text6"/>
        </w:rPr>
        <w:t xml:space="preserve"> </w:t>
        <w:br w:clear="none"/>
      </w:r>
      <w:r>
        <w:rPr>
          <w:rStyle w:val="Text16"/>
        </w:rPr>
        <w:t xml:space="preserve">list</w:t>
        <w:br w:clear="none"/>
      </w:r>
      <w:r>
        <w:rPr>
          <w:rStyle w:val="Text7"/>
        </w:rPr>
        <w:t xml:space="preserve">(</w:t>
        <w:br w:clear="none"/>
      </w:r>
      <w:r>
        <w:t xml:space="preserve">t</w:t>
        <w:br w:clear="none"/>
      </w:r>
      <w:r>
        <w:rPr>
          <w:rStyle w:val="Text13"/>
        </w:rPr>
        <w:t xml:space="preserve">.</w:t>
        <w:br w:clear="none"/>
      </w:r>
      <w:r>
        <w:t xml:space="preserve">name</w:t>
        <w:br w:clear="none"/>
      </w:r>
      <w:r>
        <w:rPr>
          <w:rStyle w:val="Text6"/>
        </w:rPr>
        <w:t xml:space="preserve"> </w:t>
        <w:br w:clear="none"/>
      </w:r>
      <w:r>
        <w:rPr>
          <w:rStyle w:val="Text10"/>
        </w:rPr>
        <w:t xml:space="preserve">for</w:t>
        <w:br w:clear="none"/>
      </w:r>
      <w:r>
        <w:rPr>
          <w:rStyle w:val="Text6"/>
        </w:rPr>
        <w:t xml:space="preserve"> </w:t>
        <w:br w:clear="none"/>
      </w:r>
      <w:r>
        <w:t xml:space="preserve">t</w:t>
        <w:br w:clear="none"/>
      </w:r>
      <w:r>
        <w:rPr>
          <w:rStyle w:val="Text6"/>
        </w:rPr>
        <w:t xml:space="preserve"> </w:t>
        <w:br w:clear="none"/>
      </w:r>
      <w:r>
        <w:rPr>
          <w:rStyle w:val="Text31"/>
        </w:rPr>
        <w:t xml:space="preserve">in</w:t>
        <w:br w:clear="none"/>
      </w:r>
      <w:r>
        <w:rPr>
          <w:rStyle w:val="Text6"/>
        </w:rPr>
        <w:t xml:space="preserve"> </w:t>
        <w:br w:clear="none"/>
      </w:r>
      <w:r>
        <w:t xml:space="preserve">soup</w:t>
        <w:br w:clear="none"/>
      </w:r>
      <w:r>
        <w:rPr>
          <w:rStyle w:val="Text13"/>
        </w:rPr>
        <w:t xml:space="preserve">.</w:t>
        <w:br w:clear="none"/>
      </w:r>
      <w:r>
        <w:t xml:space="preserve">p</w:t>
        <w:br w:clear="none"/>
      </w:r>
      <w:r>
        <w:rPr>
          <w:rStyle w:val="Text13"/>
        </w:rPr>
        <w:t xml:space="preserve">.</w:t>
        <w:br w:clear="none"/>
      </w:r>
      <w:r>
        <w:t xml:space="preserve">descendants</w:t>
        <w:br w:clear="none"/>
      </w:r>
      <w:r>
        <w:rPr>
          <w:rStyle w:val="Text7"/>
        </w:rPr>
        <w:t xml:space="preserve">)</w:t>
        <w:br w:clear="none"/>
      </w:r>
    </w:p>
    <w:p>
      <w:pPr>
        <w:pStyle w:val="Para 008"/>
      </w:pPr>
      <w:r>
        <w:rPr>
          <w:rStyle w:val="Text48"/>
        </w:rPr>
        <w:t xml:space="preserve"/>
        <w:br w:clear="none"/>
      </w:r>
      <w:r>
        <w:t xml:space="preserve">[None, 'b', None]</w:t>
        <w:br w:clear="none"/>
      </w:r>
    </w:p>
    <w:p>
      <w:pPr>
        <w:pStyle w:val="Normal"/>
      </w:pPr>
      <w:r>
        <w:t xml:space="preserve">The </w:t>
      </w:r>
      <w:r>
        <w:rPr>
          <w:rStyle w:val="Text0"/>
        </w:rPr>
        <w:t>names</w:t>
      </w:r>
      <w:r>
        <w:t xml:space="preserve"> that are </w:t>
      </w:r>
      <w:r>
        <w:rPr>
          <w:rStyle w:val="Text5"/>
        </w:rPr>
        <w:t>None</w:t>
      </w:r>
      <w:r>
        <w:t xml:space="preserve"> correspond to the </w:t>
      </w:r>
      <w:r>
        <w:rPr>
          <w:rStyle w:val="Text0"/>
        </w:rPr>
        <w:t>NavigableString</w:t>
      </w:r>
      <w:r>
        <w:t xml:space="preserve"> nodes; only the first one of them is a </w:t>
      </w:r>
      <w:r>
        <w:rPr>
          <w:rStyle w:val="Text4"/>
        </w:rPr>
        <w:t>child</w:t>
      </w:r>
      <w:r>
        <w:t xml:space="preserve"> of the </w:t>
      </w:r>
      <w:r>
        <w:rPr>
          <w:rStyle w:val="Text0"/>
        </w:rPr>
        <w:t>p</w:t>
      </w:r>
      <w:r>
        <w:t xml:space="preserve"> tag, but both are </w:t>
      </w:r>
      <w:r>
        <w:rPr>
          <w:rStyle w:val="Text4"/>
        </w:rPr>
        <w:t>descendants</w:t>
      </w:r>
      <w:r>
        <w:t xml:space="preserve"> of that tag.</w:t>
      </w:r>
    </w:p>
    <w:p>
      <w:bookmarkStart w:id="4325" w:name="parent_and_parents__Given_an_ins"/>
      <w:pPr>
        <w:keepNext/>
        <w:pStyle w:val="Heading 2"/>
      </w:pPr>
      <w:r>
        <w:t>parent and parents</w:t>
      </w:r>
      <w:bookmarkEnd w:id="4325"/>
    </w:p>
    <w:p>
      <w:pPr>
        <w:pStyle w:val="Normal"/>
      </w:pPr>
      <w:r>
        <w:t xml:space="preserve">Given an instance </w:t>
      </w:r>
      <w:r>
        <w:rPr>
          <w:rStyle w:val="Text3"/>
        </w:rPr>
        <w:t>n</w:t>
      </w:r>
      <w:r>
        <w:t xml:space="preserve"> of any navigable class, its parent node is </w:t>
      </w:r>
      <w:r>
        <w:rPr>
          <w:rStyle w:val="Text3"/>
        </w:rPr>
        <w:t>n</w:t>
      </w:r>
      <w:r>
        <w:rPr>
          <w:rStyle w:val="Text0"/>
        </w:rPr>
        <w:t>.parent</w:t>
      </w:r>
      <w:r>
        <w:t>:</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'&lt;p&gt;Plain &lt;b&gt;bold&lt;/b&gt;&lt;/p&gt;'</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parent</w:t>
        <w:br w:clear="none"/>
      </w:r>
      <w:r>
        <w:rPr>
          <w:rStyle w:val="Text13"/>
        </w:rPr>
        <w:t xml:space="preserve">.</w:t>
        <w:br w:clear="none"/>
      </w:r>
      <w:r>
        <w:t xml:space="preserve">name</w:t>
        <w:br w:clear="none"/>
      </w:r>
    </w:p>
    <w:p>
      <w:pPr>
        <w:pStyle w:val="Para 008"/>
      </w:pPr>
      <w:r>
        <w:rPr>
          <w:rStyle w:val="Text48"/>
        </w:rPr>
        <w:t xml:space="preserve"/>
        <w:br w:clear="none"/>
      </w:r>
      <w:r>
        <w:t xml:space="preserve">'p'</w:t>
        <w:br w:clear="none"/>
      </w:r>
    </w:p>
    <w:p>
      <w:pPr>
        <w:pStyle w:val="Normal"/>
      </w:pPr>
      <w:r>
        <w:t xml:space="preserve">An iterator on all ancestors, going upwards in the tree, is </w:t>
      </w:r>
      <w:r>
        <w:rPr>
          <w:rStyle w:val="Text3"/>
        </w:rPr>
        <w:t>n</w:t>
      </w:r>
      <w:r>
        <w:rPr>
          <w:rStyle w:val="Text0"/>
        </w:rPr>
        <w:t>.parents</w:t>
      </w:r>
      <w:r>
        <w:t xml:space="preserve">. This includes instances of </w:t>
      </w:r>
      <w:r>
        <w:rPr>
          <w:rStyle w:val="Text0"/>
        </w:rPr>
        <w:t>NavigableString</w:t>
      </w:r>
      <w:r>
        <w:t xml:space="preserve">, since they have parents, too. An instance </w:t>
      </w:r>
      <w:r>
        <w:rPr>
          <w:rStyle w:val="Text3"/>
        </w:rPr>
        <w:t>b</w:t>
      </w:r>
      <w:r>
        <w:t xml:space="preserve"> of </w:t>
      </w:r>
      <w:r>
        <w:rPr>
          <w:rStyle w:val="Text0"/>
        </w:rPr>
        <w:t>BeautifulSoup</w:t>
      </w:r>
      <w:r>
        <w:t xml:space="preserve"> has </w:t>
      </w:r>
      <w:r>
        <w:rPr>
          <w:rStyle w:val="Text3"/>
        </w:rPr>
        <w:t>b</w:t>
      </w:r>
      <w:r>
        <w:rPr>
          <w:rStyle w:val="Text0"/>
        </w:rPr>
        <w:t>.parent</w:t>
      </w:r>
      <w:r>
        <w:t xml:space="preserve"> </w:t>
      </w:r>
      <w:r>
        <w:rPr>
          <w:rStyle w:val="Text5"/>
        </w:rPr>
        <w:t>None</w:t>
      </w:r>
      <w:r>
        <w:t xml:space="preserve">, and </w:t>
      </w:r>
      <w:r>
        <w:rPr>
          <w:rStyle w:val="Text3"/>
        </w:rPr>
        <w:t>b</w:t>
      </w:r>
      <w:r>
        <w:rPr>
          <w:rStyle w:val="Text0"/>
        </w:rPr>
        <w:t>.parents</w:t>
      </w:r>
      <w:r>
        <w:t xml:space="preserve"> is an empty iterator.</w:t>
      </w:r>
    </w:p>
    <w:p>
      <w:bookmarkStart w:id="4326" w:name="next_sibling__previous_sibling"/>
      <w:pPr>
        <w:keepNext/>
        <w:pStyle w:val="Heading 2"/>
      </w:pPr>
      <w:r>
        <w:t>next_sibling, previous_sibling, next_siblings, and previous_siblings</w:t>
      </w:r>
      <w:bookmarkEnd w:id="4326"/>
    </w:p>
    <w:p>
      <w:pPr>
        <w:pStyle w:val="Normal"/>
      </w:pPr>
      <w:r>
        <w:t xml:space="preserve">Given an instance </w:t>
      </w:r>
      <w:r>
        <w:rPr>
          <w:rStyle w:val="Text3"/>
        </w:rPr>
        <w:t>n</w:t>
      </w:r>
      <w:r>
        <w:t xml:space="preserve"> of any navigable class, its sibling node to the immediate left is </w:t>
      </w:r>
      <w:r>
        <w:rPr>
          <w:rStyle w:val="Text3"/>
        </w:rPr>
        <w:t>n</w:t>
      </w:r>
      <w:r>
        <w:rPr>
          <w:rStyle w:val="Text0"/>
        </w:rPr>
        <w:t>.previous_sibling</w:t>
      </w:r>
      <w:r>
        <w:t xml:space="preserve">, and the one to the immediate right is </w:t>
      </w:r>
      <w:r>
        <w:rPr>
          <w:rStyle w:val="Text3"/>
        </w:rPr>
        <w:t>n</w:t>
      </w:r>
      <w:r>
        <w:rPr>
          <w:rStyle w:val="Text0"/>
        </w:rPr>
        <w:t>.next_sibling</w:t>
      </w:r>
      <w:r>
        <w:t xml:space="preserve">; either or both can be </w:t>
      </w:r>
      <w:r>
        <w:rPr>
          <w:rStyle w:val="Text5"/>
        </w:rPr>
        <w:t>None</w:t>
      </w:r>
      <w:r>
        <w:t xml:space="preserve"> if </w:t>
      </w:r>
      <w:r>
        <w:rPr>
          <w:rStyle w:val="Text3"/>
        </w:rPr>
        <w:t>n</w:t>
      </w:r>
      <w:r>
        <w:t xml:space="preserve"> has no such sibling. An iterator on all left siblings, going leftward in the tree, is </w:t>
      </w:r>
      <w:r>
        <w:rPr>
          <w:rStyle w:val="Text3"/>
        </w:rPr>
        <w:t>n</w:t>
      </w:r>
      <w:r>
        <w:rPr>
          <w:rStyle w:val="Text0"/>
        </w:rPr>
        <w:t>.previous_siblings</w:t>
      </w:r>
      <w:r>
        <w:t xml:space="preserve">; an iterator on all right siblings, going rightward in the tree, is </w:t>
      </w:r>
      <w:r>
        <w:rPr>
          <w:rStyle w:val="Text3"/>
        </w:rPr>
        <w:t>n</w:t>
      </w:r>
      <w:r>
        <w:rPr>
          <w:rStyle w:val="Text0"/>
        </w:rPr>
        <w:t>.next_siblings</w:t>
      </w:r>
      <w:r>
        <w:t xml:space="preserve"> (either or both iterators can be empty). This includes instances of </w:t>
      </w:r>
      <w:r>
        <w:rPr>
          <w:rStyle w:val="Text0"/>
        </w:rPr>
        <w:t>NavigableString</w:t>
      </w:r>
      <w:r>
        <w:t xml:space="preserve">, since they have siblings, too. For an instance </w:t>
      </w:r>
      <w:r>
        <w:rPr>
          <w:rStyle w:val="Text3"/>
        </w:rPr>
        <w:t>b</w:t>
      </w:r>
      <w:r>
        <w:t xml:space="preserve"> of </w:t>
      </w:r>
      <w:r>
        <w:rPr>
          <w:rStyle w:val="Text0"/>
        </w:rPr>
        <w:t>BeautifulSoup</w:t>
      </w:r>
      <w:r>
        <w:t xml:space="preserve">, </w:t>
      </w:r>
      <w:r>
        <w:rPr>
          <w:rStyle w:val="Text3"/>
        </w:rPr>
        <w:t>b</w:t>
      </w:r>
      <w:r>
        <w:rPr>
          <w:rStyle w:val="Text0"/>
        </w:rPr>
        <w:t>.previous_sibling</w:t>
      </w:r>
      <w:r>
        <w:t xml:space="preserve"> and </w:t>
      </w:r>
      <w:r>
        <w:rPr>
          <w:rStyle w:val="Text3"/>
        </w:rPr>
        <w:t>b</w:t>
      </w:r>
      <w:r>
        <w:rPr>
          <w:rStyle w:val="Text0"/>
        </w:rPr>
        <w:t>.next_sibling</w:t>
      </w:r>
      <w:r>
        <w:t xml:space="preserve"> are both </w:t>
      </w:r>
      <w:r>
        <w:rPr>
          <w:rStyle w:val="Text5"/>
        </w:rPr>
        <w:t>None</w:t>
      </w:r>
      <w:r>
        <w:t>, and both of its sibling iterators are empty:</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'&lt;p&gt;Plain &lt;b&gt;bold&lt;/b&gt;&lt;/p&gt;'</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previous_sibling</w:t>
        <w:br w:clear="none"/>
      </w:r>
      <w:r>
        <w:rPr>
          <w:rStyle w:val="Text7"/>
        </w:rPr>
        <w:t xml:space="preserve">,</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next_sibling</w:t>
        <w:br w:clear="none"/>
      </w:r>
    </w:p>
    <w:p>
      <w:pPr>
        <w:pStyle w:val="Para 008"/>
      </w:pPr>
      <w:r>
        <w:rPr>
          <w:rStyle w:val="Text48"/>
        </w:rPr>
        <w:t xml:space="preserve"/>
        <w:br w:clear="none"/>
      </w:r>
      <w:r>
        <w:t xml:space="preserve">('Plain ', None)</w:t>
        <w:br w:clear="none"/>
      </w:r>
    </w:p>
    <w:p>
      <w:bookmarkStart w:id="4327" w:name="next_element__previous_element"/>
      <w:pPr>
        <w:keepNext/>
        <w:pStyle w:val="Heading 2"/>
      </w:pPr>
      <w:r>
        <w:t>next_element, previous_element, next_elements, and previous_elements</w:t>
      </w:r>
      <w:bookmarkEnd w:id="4327"/>
    </w:p>
    <w:p>
      <w:pPr>
        <w:pStyle w:val="Normal"/>
      </w:pPr>
      <w:r>
        <w:t xml:space="preserve">Given an instance </w:t>
      </w:r>
      <w:r>
        <w:rPr>
          <w:rStyle w:val="Text3"/>
        </w:rPr>
        <w:t>n</w:t>
      </w:r>
      <w:r>
        <w:t xml:space="preserve"> of any navigable class, the node parsed just before it is </w:t>
      </w:r>
      <w:r>
        <w:rPr>
          <w:rStyle w:val="Text3"/>
        </w:rPr>
        <w:t>n</w:t>
      </w:r>
      <w:r>
        <w:rPr>
          <w:rStyle w:val="Text0"/>
        </w:rPr>
        <w:t>.previous_element</w:t>
      </w:r>
      <w:r>
        <w:t xml:space="preserve">, and the one parsed just after it is </w:t>
      </w:r>
      <w:r>
        <w:rPr>
          <w:rStyle w:val="Text3"/>
        </w:rPr>
        <w:t>n</w:t>
      </w:r>
      <w:r>
        <w:rPr>
          <w:rStyle w:val="Text0"/>
        </w:rPr>
        <w:t>.next_element</w:t>
      </w:r>
      <w:r>
        <w:t xml:space="preserve">; either or both can be </w:t>
      </w:r>
      <w:r>
        <w:rPr>
          <w:rStyle w:val="Text5"/>
        </w:rPr>
        <w:t>None</w:t>
      </w:r>
      <w:r>
        <w:t xml:space="preserve"> when </w:t>
      </w:r>
      <w:r>
        <w:rPr>
          <w:rStyle w:val="Text3"/>
        </w:rPr>
        <w:t>n</w:t>
      </w:r>
      <w:r>
        <w:t xml:space="preserve"> is the first or last node parsed, respectively. An iterator on all previous elements, going backward in the tree, is </w:t>
      </w:r>
      <w:r>
        <w:rPr>
          <w:rStyle w:val="Text3"/>
        </w:rPr>
        <w:t>n</w:t>
      </w:r>
      <w:r>
        <w:rPr>
          <w:rStyle w:val="Text0"/>
        </w:rPr>
        <w:t>.previous_elements</w:t>
      </w:r>
      <w:r>
        <w:t xml:space="preserve">; an iterator on all following elements, going forward in the tree, is </w:t>
      </w:r>
      <w:r>
        <w:rPr>
          <w:rStyle w:val="Text3"/>
        </w:rPr>
        <w:t>n</w:t>
      </w:r>
      <w:r>
        <w:rPr>
          <w:rStyle w:val="Text0"/>
        </w:rPr>
        <w:t>.next_elements</w:t>
      </w:r>
      <w:r>
        <w:t xml:space="preserve"> (either or both iterators can be empty). Instances of </w:t>
      </w:r>
      <w:r>
        <w:rPr>
          <w:rStyle w:val="Text0"/>
        </w:rPr>
        <w:t>NavigableString</w:t>
      </w:r>
      <w:r>
        <w:t xml:space="preserve"> have such attributes, too. For an instance </w:t>
      </w:r>
      <w:r>
        <w:rPr>
          <w:rStyle w:val="Text3"/>
        </w:rPr>
        <w:t>b</w:t>
      </w:r>
      <w:r>
        <w:t xml:space="preserve"> of </w:t>
      </w:r>
      <w:r>
        <w:rPr>
          <w:rStyle w:val="Text0"/>
        </w:rPr>
        <w:t>BeautifulSoup</w:t>
      </w:r>
      <w:r>
        <w:t xml:space="preserve">, </w:t>
      </w:r>
      <w:r>
        <w:rPr>
          <w:rStyle w:val="Text3"/>
        </w:rPr>
        <w:t>b</w:t>
      </w:r>
      <w:r>
        <w:rPr>
          <w:rStyle w:val="Text0"/>
        </w:rPr>
        <w:t>.previous_element</w:t>
      </w:r>
      <w:r>
        <w:t xml:space="preserve"> and </w:t>
      </w:r>
      <w:r>
        <w:rPr>
          <w:rStyle w:val="Text3"/>
        </w:rPr>
        <w:t>b</w:t>
      </w:r>
      <w:r>
        <w:rPr>
          <w:rStyle w:val="Text0"/>
        </w:rPr>
        <w:t>.next_element</w:t>
      </w:r>
      <w:r>
        <w:t xml:space="preserve"> are both </w:t>
      </w:r>
      <w:r>
        <w:rPr>
          <w:rStyle w:val="Text5"/>
        </w:rPr>
        <w:t>None</w:t>
      </w:r>
      <w:r>
        <w:t>, and both of its element iterators are empty:</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'&lt;p&gt;Plain &lt;b&gt;bold&lt;/b&gt;&lt;/p&gt;'</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previous_element</w:t>
        <w:br w:clear="none"/>
      </w:r>
      <w:r>
        <w:rPr>
          <w:rStyle w:val="Text7"/>
        </w:rPr>
        <w:t xml:space="preserve">,</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next_element</w:t>
        <w:br w:clear="none"/>
      </w:r>
    </w:p>
    <w:p>
      <w:pPr>
        <w:pStyle w:val="Para 008"/>
      </w:pPr>
      <w:r>
        <w:rPr>
          <w:rStyle w:val="Text48"/>
        </w:rPr>
        <w:t xml:space="preserve"/>
        <w:br w:clear="none"/>
      </w:r>
      <w:r>
        <w:t xml:space="preserve">('Plain ', 'bold')</w:t>
        <w:br w:clear="none"/>
      </w:r>
    </w:p>
    <w:p>
      <w:pPr>
        <w:pStyle w:val="Normal"/>
      </w:pPr>
      <w:r>
        <w:t xml:space="preserve">As shown in the previous example, the </w:t>
      </w:r>
      <w:r>
        <w:rPr>
          <w:rStyle w:val="Text0"/>
        </w:rPr>
        <w:t>b</w:t>
      </w:r>
      <w:r>
        <w:t xml:space="preserve"> tag has no </w:t>
      </w:r>
      <w:r>
        <w:rPr>
          <w:rStyle w:val="Text0"/>
        </w:rPr>
        <w:t>next_sibling</w:t>
      </w:r>
      <w:r>
        <w:t xml:space="preserve"> (since it’s the last child of its parent); however, it does have a </w:t>
      </w:r>
      <w:r>
        <w:rPr>
          <w:rStyle w:val="Text0"/>
        </w:rPr>
        <w:t>next_element</w:t>
      </w:r>
      <w:r>
        <w:t xml:space="preserve"> (the node parsed just after it, which in this case is the </w:t>
      </w:r>
      <w:r>
        <w:rPr>
          <w:rStyle w:val="Text0"/>
        </w:rPr>
        <w:t>'bold'</w:t>
      </w:r>
      <w:r>
        <w:t xml:space="preserve"> string it contains).</w:t>
      </w:r>
      <w:r>
        <w:rPr>
          <w:rStyle w:val="Text111"/>
        </w:rPr>
        <w:bookmarkStart w:id="4328" w:name="idm45965170907472"/>
        <w:t/>
        <w:bookmarkEnd w:id="4328"/>
        <w:bookmarkStart w:id="4329" w:name="idm45965170906064"/>
        <w:t/>
        <w:bookmarkEnd w:id="4329"/>
      </w:r>
    </w:p>
    <w:p>
      <w:bookmarkStart w:id="4330" w:name="bs4_find____Methods__aka_Search"/>
      <w:pPr>
        <w:keepNext/>
        <w:pStyle w:val="Heading 2"/>
      </w:pPr>
      <w:r>
        <w:t>bs4 find… Methods (aka Search Methods)</w:t>
      </w:r>
      <w:bookmarkEnd w:id="4330"/>
    </w:p>
    <w:p>
      <w:pPr>
        <w:pStyle w:val="Normal"/>
      </w:pPr>
      <w:r>
        <w:t xml:space="preserve">Each navigable class in </w:t>
      </w:r>
      <w:r>
        <w:rPr>
          <w:rStyle w:val="Text0"/>
        </w:rPr>
        <w:t>bs4</w:t>
      </w:r>
      <w:r>
        <w:t xml:space="preserve"> offers several methods whose names start with</w:t>
      </w:r>
      <w:r>
        <w:rPr>
          <w:rStyle w:val="Text111"/>
        </w:rPr>
        <w:bookmarkStart w:id="4331" w:name="idm45965170902160"/>
        <w:t/>
        <w:bookmarkEnd w:id="4331"/>
      </w:r>
      <w:r>
        <w:t xml:space="preserve"> </w:t>
      </w:r>
      <w:r>
        <w:rPr>
          <w:rStyle w:val="Text0"/>
        </w:rPr>
        <w:t>find</w:t>
      </w:r>
      <w:r>
        <w:t>, known as</w:t>
      </w:r>
      <w:r>
        <w:rPr>
          <w:rStyle w:val="Text111"/>
        </w:rPr>
        <w:bookmarkStart w:id="4332" w:name="BSPsearch22"/>
        <w:t/>
        <w:bookmarkEnd w:id="4332"/>
        <w:bookmarkStart w:id="4333" w:name="searmeth22"/>
        <w:t/>
        <w:bookmarkEnd w:id="4333"/>
      </w:r>
      <w:r>
        <w:t xml:space="preserve"> </w:t>
      </w:r>
      <w:r>
        <w:rPr>
          <w:rStyle w:val="Text4"/>
        </w:rPr>
        <w:t>search methods</w:t>
      </w:r>
      <w:r>
        <w:t>, to locate tree nodes that satisfy specified conditions.</w:t>
      </w:r>
    </w:p>
    <w:p>
      <w:pPr>
        <w:pStyle w:val="Normal"/>
      </w:pPr>
      <w:r>
        <w:t xml:space="preserve">Search methods come in pairs—one method of each pair walks all the relevant parts of the tree and returns a list of nodes satisfying the conditions, while the other one stops and returns a single node satisfying all the conditions as soon as it finds it (or </w:t>
      </w:r>
      <w:r>
        <w:rPr>
          <w:rStyle w:val="Text5"/>
        </w:rPr>
        <w:t>None</w:t>
      </w:r>
      <w:r>
        <w:t xml:space="preserve"> when it finds no such node). Calling the latter method is therefore like calling the former one with argument </w:t>
      </w:r>
      <w:r>
        <w:rPr>
          <w:rStyle w:val="Text0"/>
        </w:rPr>
        <w:t>limit=1</w:t>
      </w:r>
      <w:r>
        <w:t>, then indexing the resulting one-item list to get its single item, but faster and more elegant.</w:t>
      </w:r>
    </w:p>
    <w:p>
      <w:pPr>
        <w:pStyle w:val="Normal"/>
      </w:pPr>
      <w:r>
        <w:t xml:space="preserve">So, for example, for any </w:t>
      </w:r>
      <w:r>
        <w:rPr>
          <w:rStyle w:val="Text0"/>
        </w:rPr>
        <w:t>Tag</w:t>
      </w:r>
      <w:r>
        <w:t xml:space="preserve"> instance </w:t>
      </w:r>
      <w:r>
        <w:rPr>
          <w:rStyle w:val="Text3"/>
        </w:rPr>
        <w:t>t</w:t>
      </w:r>
      <w:r>
        <w:t xml:space="preserve"> and any group of positional and named arguments represented by </w:t>
      </w:r>
      <w:r>
        <w:rPr>
          <w:rStyle w:val="Text0"/>
        </w:rPr>
        <w:t>...</w:t>
      </w:r>
      <w:r>
        <w:t>, the following equivalence always holds:</w:t>
      </w:r>
    </w:p>
    <w:p>
      <w:pPr>
        <w:pStyle w:val="Para 007"/>
      </w:pPr>
      <w:r>
        <w:rPr>
          <w:rStyle w:val="Text23"/>
        </w:rPr>
        <w:t xml:space="preserve"/>
        <w:br w:clear="none"/>
      </w:r>
      <w:r>
        <w:t xml:space="preserve">just_one</w:t>
        <w:br w:clear="none"/>
      </w:r>
      <w:r>
        <w:rPr>
          <w:rStyle w:val="Text6"/>
        </w:rPr>
        <w:t xml:space="preserve"> </w:t>
        <w:br w:clear="none"/>
      </w:r>
      <w:r>
        <w:rPr>
          <w:rStyle w:val="Text13"/>
        </w:rPr>
        <w:t xml:space="preserve">=</w:t>
        <w:br w:clear="none"/>
      </w:r>
      <w:r>
        <w:rPr>
          <w:rStyle w:val="Text6"/>
        </w:rPr>
        <w:t xml:space="preserve"> </w:t>
        <w:br w:clear="none"/>
      </w:r>
      <w:r>
        <w:rPr>
          <w:rStyle w:val="Text4"/>
        </w:rPr>
        <w:t xml:space="preserve">t</w:t>
        <w:br w:clear="none"/>
      </w:r>
      <w:r>
        <w:rPr>
          <w:rStyle w:val="Text13"/>
        </w:rPr>
        <w:t xml:space="preserve">.</w:t>
        <w:br w:clear="none"/>
      </w:r>
      <w:r>
        <w:t xml:space="preserve">find</w:t>
        <w:br w:clear="none"/>
      </w:r>
      <w:r>
        <w:rPr>
          <w:rStyle w:val="Text7"/>
        </w:rPr>
        <w:t xml:space="preserve">(</w:t>
        <w:br w:clear="none"/>
      </w:r>
      <w:r>
        <w:rPr>
          <w:rStyle w:val="Text13"/>
        </w:rPr>
        <w:t xml:space="preserve">.</w:t>
        <w:br w:clear="none"/>
        <w:t xml:space="preserve">.</w:t>
        <w:br w:clear="none"/>
        <w:t xml:space="preserve">.</w:t>
        <w:br w:clear="none"/>
      </w:r>
      <w:r>
        <w:rPr>
          <w:rStyle w:val="Text7"/>
        </w:rPr>
        <w:t xml:space="preserve">)</w:t>
        <w:br w:clear="none"/>
      </w:r>
      <w:r>
        <w:rPr>
          <w:rStyle w:val="Text6"/>
        </w:rPr>
        <w:t xml:space="preserve"/>
        <w:br w:clear="none"/>
      </w:r>
      <w:r>
        <w:t xml:space="preserve">other_way_list</w:t>
        <w:br w:clear="none"/>
      </w:r>
      <w:r>
        <w:rPr>
          <w:rStyle w:val="Text6"/>
        </w:rPr>
        <w:t xml:space="preserve"> </w:t>
        <w:br w:clear="none"/>
      </w:r>
      <w:r>
        <w:rPr>
          <w:rStyle w:val="Text13"/>
        </w:rPr>
        <w:t xml:space="preserve">=</w:t>
        <w:br w:clear="none"/>
      </w:r>
      <w:r>
        <w:rPr>
          <w:rStyle w:val="Text6"/>
        </w:rPr>
        <w:t xml:space="preserve"> </w:t>
        <w:br w:clear="none"/>
      </w:r>
      <w:r>
        <w:rPr>
          <w:rStyle w:val="Text4"/>
        </w:rPr>
        <w:t xml:space="preserve">t</w:t>
        <w:br w:clear="none"/>
      </w:r>
      <w:r>
        <w:rPr>
          <w:rStyle w:val="Text13"/>
        </w:rPr>
        <w:t xml:space="preserve">.</w:t>
        <w:br w:clear="none"/>
      </w:r>
      <w:r>
        <w:t xml:space="preserve">find_all</w:t>
        <w:br w:clear="none"/>
      </w:r>
      <w:r>
        <w:rPr>
          <w:rStyle w:val="Text7"/>
        </w:rPr>
        <w:t xml:space="preserve">(</w:t>
        <w:br w:clear="none"/>
      </w:r>
      <w:r>
        <w:rPr>
          <w:rStyle w:val="Text13"/>
        </w:rPr>
        <w:t xml:space="preserve">.</w:t>
        <w:br w:clear="none"/>
        <w:t xml:space="preserve">.</w:t>
        <w:br w:clear="none"/>
        <w:t xml:space="preserve">.</w:t>
        <w:br w:clear="none"/>
      </w:r>
      <w:r>
        <w:rPr>
          <w:rStyle w:val="Text7"/>
        </w:rPr>
        <w:t xml:space="preserve">,</w:t>
        <w:br w:clear="none"/>
      </w:r>
      <w:r>
        <w:rPr>
          <w:rStyle w:val="Text6"/>
        </w:rPr>
        <w:t xml:space="preserve"> </w:t>
        <w:br w:clear="none"/>
      </w:r>
      <w:r>
        <w:t xml:space="preserve">limit</w:t>
        <w:br w:clear="none"/>
      </w:r>
      <w:r>
        <w:rPr>
          <w:rStyle w:val="Text13"/>
        </w:rPr>
        <w:t xml:space="preserve">=</w:t>
        <w:br w:clear="none"/>
      </w:r>
      <w:r>
        <w:rPr>
          <w:rStyle w:val="Text27"/>
        </w:rPr>
        <w:t xml:space="preserve">1</w:t>
        <w:br w:clear="none"/>
      </w:r>
      <w:r>
        <w:rPr>
          <w:rStyle w:val="Text7"/>
        </w:rPr>
        <w:t xml:space="preserve">)</w:t>
        <w:br w:clear="none"/>
      </w:r>
      <w:r>
        <w:rPr>
          <w:rStyle w:val="Text6"/>
        </w:rPr>
        <w:t xml:space="preserve"/>
        <w:br w:clear="none"/>
      </w:r>
      <w:r>
        <w:t xml:space="preserve">other_way</w:t>
        <w:br w:clear="none"/>
      </w:r>
      <w:r>
        <w:rPr>
          <w:rStyle w:val="Text6"/>
        </w:rPr>
        <w:t xml:space="preserve"> </w:t>
        <w:br w:clear="none"/>
      </w:r>
      <w:r>
        <w:rPr>
          <w:rStyle w:val="Text13"/>
        </w:rPr>
        <w:t xml:space="preserve">=</w:t>
        <w:br w:clear="none"/>
      </w:r>
      <w:r>
        <w:rPr>
          <w:rStyle w:val="Text6"/>
        </w:rPr>
        <w:t xml:space="preserve"> </w:t>
        <w:br w:clear="none"/>
      </w:r>
      <w:r>
        <w:t xml:space="preserve">other_way_list</w:t>
        <w:br w:clear="none"/>
      </w:r>
      <w:r>
        <w:rPr>
          <w:rStyle w:val="Text7"/>
        </w:rPr>
        <w:t xml:space="preserve">[</w:t>
        <w:br w:clear="none"/>
      </w:r>
      <w:r>
        <w:rPr>
          <w:rStyle w:val="Text27"/>
        </w:rPr>
        <w:t xml:space="preserve">0</w:t>
        <w:br w:clear="none"/>
      </w:r>
      <w:r>
        <w:rPr>
          <w:rStyle w:val="Text7"/>
        </w:rPr>
        <w:t xml:space="preserve">]</w:t>
        <w:br w:clear="none"/>
      </w:r>
      <w:r>
        <w:rPr>
          <w:rStyle w:val="Text6"/>
        </w:rPr>
        <w:t xml:space="preserve"> </w:t>
        <w:br w:clear="none"/>
      </w:r>
      <w:r>
        <w:rPr>
          <w:rStyle w:val="Text10"/>
        </w:rPr>
        <w:t xml:space="preserve">if</w:t>
        <w:br w:clear="none"/>
      </w:r>
      <w:r>
        <w:rPr>
          <w:rStyle w:val="Text6"/>
        </w:rPr>
        <w:t xml:space="preserve"> </w:t>
        <w:br w:clear="none"/>
      </w:r>
      <w:r>
        <w:t xml:space="preserve">other_way_list</w:t>
        <w:br w:clear="none"/>
      </w:r>
      <w:r>
        <w:rPr>
          <w:rStyle w:val="Text6"/>
        </w:rPr>
        <w:t xml:space="preserve"> </w:t>
        <w:br w:clear="none"/>
      </w:r>
      <w:r>
        <w:rPr>
          <w:rStyle w:val="Text10"/>
        </w:rPr>
        <w:t xml:space="preserve">else</w:t>
        <w:br w:clear="none"/>
      </w:r>
      <w:r>
        <w:rPr>
          <w:rStyle w:val="Text29"/>
        </w:rPr>
        <w:t xml:space="preserve"> </w:t>
        <w:br w:clear="none"/>
      </w:r>
      <w:r>
        <w:rPr>
          <w:rStyle w:val="Text10"/>
        </w:rPr>
        <w:t xml:space="preserve">None</w:t>
        <w:br w:clear="none"/>
      </w:r>
      <w:r>
        <w:rPr>
          <w:rStyle w:val="Text6"/>
        </w:rPr>
        <w:t xml:space="preserve"/>
        <w:br w:clear="none"/>
      </w:r>
      <w:r>
        <w:rPr>
          <w:rStyle w:val="Text10"/>
        </w:rPr>
        <w:t xml:space="preserve">assert</w:t>
        <w:br w:clear="none"/>
      </w:r>
      <w:r>
        <w:rPr>
          <w:rStyle w:val="Text6"/>
        </w:rPr>
        <w:t xml:space="preserve"> </w:t>
        <w:br w:clear="none"/>
      </w:r>
      <w:r>
        <w:t xml:space="preserve">just_one</w:t>
        <w:br w:clear="none"/>
      </w:r>
      <w:r>
        <w:rPr>
          <w:rStyle w:val="Text6"/>
        </w:rPr>
        <w:t xml:space="preserve"> </w:t>
        <w:br w:clear="none"/>
      </w:r>
      <w:r>
        <w:rPr>
          <w:rStyle w:val="Text13"/>
        </w:rPr>
        <w:t xml:space="preserve">==</w:t>
        <w:br w:clear="none"/>
      </w:r>
      <w:r>
        <w:rPr>
          <w:rStyle w:val="Text6"/>
        </w:rPr>
        <w:t xml:space="preserve"> </w:t>
        <w:br w:clear="none"/>
      </w:r>
      <w:r>
        <w:t xml:space="preserve">other_way</w:t>
        <w:br w:clear="none"/>
      </w:r>
    </w:p>
    <w:p>
      <w:pPr>
        <w:pStyle w:val="Normal"/>
      </w:pPr>
      <w:r>
        <w:t xml:space="preserve">The method pairs are listed in </w:t>
      </w:r>
      <w:hyperlink w:anchor="Table_22_2__bs4_find____method_p">
        <w:r>
          <w:rPr>
            <w:rStyle w:val="Text1"/>
          </w:rPr>
          <w:t>Table 22-2</w:t>
        </w:r>
      </w:hyperlink>
      <w:r>
        <w:t>.</w:t>
      </w:r>
    </w:p>
    <w:tbl>
      <w:tblPr>
        <w:tblW w:type="auto" w:w="0"/>
      </w:tblPr>
      <w:tr>
        <w:tc>
          <w:tcPr>
            <w:tcW w:type="auto" w:w="0"/>
            <w:tcMar>
              <w:left w:type="dxa" w:w="200"/>
              <w:top w:type="dxa" w:w="200"/>
              <w:right w:type="dxa" w:w="200"/>
              <w:bottom w:type="dxa" w:w="200"/>
            </w:tcMar>
          </w:tcPr>
          <w:p>
            <w:bookmarkStart w:id="4334" w:name="Table_22_2__bs4_find____method_p"/>
            <w:pPr>
              <w:pStyle w:val="Para 011"/>
            </w:pPr>
            <w:r>
              <w:rPr>
                <w:rStyle w:val="Text117"/>
              </w:rPr>
              <w:t/>
            </w:r>
            <w:r>
              <w:t xml:space="preserve">Table 22-2. </w:t>
            </w:r>
            <w:r>
              <w:rPr>
                <w:rStyle w:val="Text0"/>
              </w:rPr>
              <w:t>bs4</w:t>
            </w:r>
            <w:r>
              <w:t xml:space="preserve"> </w:t>
            </w:r>
            <w:r>
              <w:rPr>
                <w:rStyle w:val="Text0"/>
              </w:rPr>
              <w:t>find...</w:t>
            </w:r>
            <w:r>
              <w:t xml:space="preserve"> method pairs</w:t>
            </w:r>
            <w:bookmarkEnd w:id="4334"/>
          </w:p>
          <w:p>
            <w:pPr>
              <w:pStyle w:val="Para 001"/>
            </w:pPr>
            <w:r>
              <w:t>find</w:t>
            </w:r>
            <w:r>
              <w:rPr>
                <w:rStyle w:val="Text12"/>
              </w:rPr>
              <w:t>,</w:t>
              <w:br w:clear="none"/>
              <w:t xml:space="preserve"> </w:t>
            </w:r>
            <w:r>
              <w:t>find_all</w:t>
            </w:r>
          </w:p>
        </w:tc>
        <w:tc>
          <w:tcPr>
            <w:tcW w:type="auto" w:w="0"/>
            <w:tcMar>
              <w:left w:type="dxa" w:w="200"/>
              <w:top w:type="dxa" w:w="200"/>
              <w:right w:type="dxa" w:w="200"/>
              <w:bottom w:type="dxa" w:w="200"/>
            </w:tcMar>
          </w:tcPr>
          <w:p>
            <w:pPr>
              <w:pStyle w:val="Para 002"/>
            </w:pPr>
            <w:r>
              <w:rPr>
                <w:rStyle w:val="Text3"/>
              </w:rPr>
              <w:t>b</w:t>
            </w:r>
            <w:r>
              <w:rPr>
                <w:rStyle w:val="Text0"/>
              </w:rPr>
              <w:t>.find(...)</w:t>
            </w:r>
            <w:r>
              <w:t>,</w:t>
              <w:br w:clear="none"/>
              <w:t xml:space="preserve"> </w:t>
            </w:r>
            <w:r>
              <w:rPr>
                <w:rStyle w:val="Text3"/>
              </w:rPr>
              <w:t>b</w:t>
            </w:r>
            <w:r>
              <w:rPr>
                <w:rStyle w:val="Text0"/>
              </w:rPr>
              <w:t>.find_all(...)</w:t>
              <w:br w:clear="none"/>
            </w:r>
            <w:r>
              <w:t xml:space="preserve"> Searches the </w:t>
            </w:r>
            <w:r>
              <w:rPr>
                <w:rStyle w:val="Text4"/>
              </w:rPr>
              <w:t>descendants</w:t>
            </w:r>
            <w:r>
              <w:t xml:space="preserve"> of </w:t>
            </w:r>
            <w:r>
              <w:rPr>
                <w:rStyle w:val="Text3"/>
              </w:rPr>
              <w:t>b</w:t>
            </w:r>
            <w:r>
              <w:t xml:space="preserve"> or, when you pass named argument </w:t>
            </w:r>
            <w:r>
              <w:rPr>
                <w:rStyle w:val="Text0"/>
              </w:rPr>
              <w:t>recursive=</w:t>
            </w:r>
            <w:r>
              <w:rPr>
                <w:rStyle w:val="Text5"/>
              </w:rPr>
              <w:t>False</w:t>
            </w:r>
            <w:r>
              <w:t xml:space="preserve"> (available only for these two methods, not for other search methods), </w:t>
            </w:r>
            <w:r>
              <w:rPr>
                <w:rStyle w:val="Text3"/>
              </w:rPr>
              <w:t>b</w:t>
            </w:r>
            <w:r>
              <w:t xml:space="preserve">’s </w:t>
            </w:r>
            <w:r>
              <w:rPr>
                <w:rStyle w:val="Text4"/>
              </w:rPr>
              <w:t>children</w:t>
            </w:r>
            <w:r>
              <w:t xml:space="preserve"> only. These methods are not available on </w:t>
            </w:r>
            <w:r>
              <w:rPr>
                <w:rStyle w:val="Text0"/>
              </w:rPr>
              <w:t>NavigableString</w:t>
            </w:r>
            <w:r>
              <w:t xml:space="preserve"> instances, since they have no descendants; all other search methods are available on </w:t>
            </w:r>
            <w:r>
              <w:rPr>
                <w:rStyle w:val="Text0"/>
              </w:rPr>
              <w:t>Tag</w:t>
            </w:r>
            <w:r>
              <w:t xml:space="preserve"> and </w:t>
            </w:r>
            <w:r>
              <w:rPr>
                <w:rStyle w:val="Text0"/>
              </w:rPr>
              <w:t>NavigableString</w:t>
            </w:r>
            <w:r>
              <w:t xml:space="preserve"> instances.</w:t>
              <w:br w:clear="none"/>
              <w:t xml:space="preserve"> Since </w:t>
            </w:r>
            <w:r>
              <w:rPr>
                <w:rStyle w:val="Text0"/>
              </w:rPr>
              <w:t>find_all</w:t>
            </w:r>
            <w:r>
              <w:t xml:space="preserve"> is frequently needed, </w:t>
            </w:r>
            <w:r>
              <w:rPr>
                <w:rStyle w:val="Text0"/>
              </w:rPr>
              <w:t>bs4</w:t>
            </w:r>
            <w:r>
              <w:t xml:space="preserve"> offers an elegant shortcut: calling a tag is like calling its </w:t>
            </w:r>
            <w:r>
              <w:rPr>
                <w:rStyle w:val="Text0"/>
              </w:rPr>
              <w:t>find_all</w:t>
            </w:r>
            <w:r>
              <w:t xml:space="preserve"> method. In other words, when </w:t>
            </w:r>
            <w:r>
              <w:rPr>
                <w:rStyle w:val="Text3"/>
              </w:rPr>
              <w:t>b</w:t>
            </w:r>
            <w:r>
              <w:t xml:space="preserve"> is a </w:t>
            </w:r>
            <w:r>
              <w:rPr>
                <w:rStyle w:val="Text0"/>
              </w:rPr>
              <w:t>Tag</w:t>
            </w:r>
            <w:r>
              <w:t xml:space="preserve">, </w:t>
            </w:r>
            <w:r>
              <w:rPr>
                <w:rStyle w:val="Text3"/>
              </w:rPr>
              <w:t>b</w:t>
            </w:r>
            <w:r>
              <w:rPr>
                <w:rStyle w:val="Text0"/>
              </w:rPr>
              <w:t>(...)</w:t>
            </w:r>
            <w:r>
              <w:t xml:space="preserve"> is the same as </w:t>
            </w:r>
            <w:r>
              <w:rPr>
                <w:rStyle w:val="Text3"/>
              </w:rPr>
              <w:t>b</w:t>
            </w:r>
            <w:r>
              <w:rPr>
                <w:rStyle w:val="Text0"/>
              </w:rPr>
              <w:t>.find_all(...)</w:t>
            </w:r>
            <w:r>
              <w:t>.</w:t>
              <w:br w:clear="none"/>
              <w:t xml:space="preserve"> Another shortcut, already mentioned in </w:t>
            </w:r>
            <w:hyperlink w:anchor="Attribute_references_on_instance">
              <w:r>
                <w:rPr>
                  <w:rStyle w:val="Text1"/>
                </w:rPr>
                <w:t>“Attribute references on instances of BeautifulSoup and Tag”</w:t>
              </w:r>
            </w:hyperlink>
            <w:r>
              <w:t xml:space="preserve">, is that </w:t>
            </w:r>
            <w:r>
              <w:rPr>
                <w:rStyle w:val="Text3"/>
              </w:rPr>
              <w:t>b</w:t>
            </w:r>
            <w:r>
              <w:rPr>
                <w:rStyle w:val="Text0"/>
              </w:rPr>
              <w:t>.foo.bar</w:t>
            </w:r>
            <w:r>
              <w:t xml:space="preserve"> is like </w:t>
            </w:r>
            <w:r>
              <w:rPr>
                <w:rStyle w:val="Text3"/>
              </w:rPr>
              <w:t>b</w:t>
            </w:r>
            <w:r>
              <w:rPr>
                <w:rStyle w:val="Text0"/>
              </w:rPr>
              <w:t>.find('foo').find('bar')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find_next</w:t>
            </w:r>
            <w:r>
              <w:rPr>
                <w:rStyle w:val="Text12"/>
              </w:rPr>
              <w:t>,</w:t>
              <w:br w:clear="none"/>
              <w:t xml:space="preserve"> </w:t>
            </w:r>
            <w:r>
              <w:t>find_all_next</w:t>
            </w:r>
          </w:p>
        </w:tc>
        <w:tc>
          <w:tcPr>
            <w:tcW w:type="auto" w:w="0"/>
            <w:shd w:val="clear" w:color="auto" w:fill="EEF2F6"/>
            <w:tcMar>
              <w:left w:type="dxa" w:w="200"/>
              <w:top w:type="dxa" w:w="200"/>
              <w:right w:type="dxa" w:w="200"/>
              <w:bottom w:type="dxa" w:w="200"/>
            </w:tcMar>
          </w:tcPr>
          <w:p>
            <w:pPr>
              <w:pStyle w:val="Para 001"/>
            </w:pPr>
            <w:r>
              <w:rPr>
                <w:rStyle w:val="Text3"/>
              </w:rPr>
              <w:t>b</w:t>
            </w:r>
            <w:r>
              <w:t>.find_next(...)</w:t>
            </w:r>
            <w:r>
              <w:rPr>
                <w:rStyle w:val="Text12"/>
              </w:rPr>
              <w:t>,</w:t>
              <w:br w:clear="none"/>
              <w:t xml:space="preserve"> </w:t>
            </w:r>
            <w:r>
              <w:rPr>
                <w:rStyle w:val="Text3"/>
              </w:rPr>
              <w:t>b</w:t>
            </w:r>
            <w:r>
              <w:t>.find_all_next(...)</w:t>
              <w:br w:clear="none"/>
            </w:r>
            <w:r>
              <w:rPr>
                <w:rStyle w:val="Text12"/>
              </w:rPr>
              <w:t xml:space="preserve"> Searches the </w:t>
            </w:r>
            <w:r>
              <w:t>next_elements</w:t>
            </w:r>
            <w:r>
              <w:rPr>
                <w:rStyle w:val="Text12"/>
              </w:rPr>
              <w:t xml:space="preserve"> of </w:t>
            </w:r>
            <w:r>
              <w:rPr>
                <w:rStyle w:val="Text3"/>
              </w:rPr>
              <w:t>b</w:t>
            </w:r>
            <w:r>
              <w:rPr>
                <w:rStyle w:val="Text12"/>
              </w:rPr>
              <w:t>.</w:t>
            </w:r>
          </w:p>
        </w:tc>
      </w:tr>
    </w:tbl>
    <w:tbl>
      <w:tblPr>
        <w:tblW w:type="auto" w:w="0"/>
      </w:tblPr>
      <w:tr>
        <w:tc>
          <w:tcPr>
            <w:tcW w:type="auto" w:w="0"/>
            <w:tcMar>
              <w:left w:type="dxa" w:w="200"/>
              <w:top w:type="dxa" w:w="200"/>
              <w:right w:type="dxa" w:w="200"/>
              <w:bottom w:type="dxa" w:w="200"/>
            </w:tcMar>
          </w:tcPr>
          <w:p>
            <w:pPr>
              <w:pStyle w:val="Para 001"/>
            </w:pPr>
            <w:r>
              <w:t>f⁠i⁠n⁠d⁠_⁠n⁠e⁠x⁠t⁠_​s⁠i⁠b⁠l⁠i⁠n⁠g</w:t>
            </w:r>
            <w:r>
              <w:rPr>
                <w:rStyle w:val="Text12"/>
              </w:rPr>
              <w:t>,</w:t>
              <w:br w:clear="none"/>
              <w:t xml:space="preserve"> </w:t>
            </w:r>
            <w:r>
              <w:t>f⁠i⁠n⁠d⁠_⁠n⁠e⁠x⁠t⁠_​s⁠i⁠b⁠l⁠i⁠n⁠g⁠s</w:t>
            </w:r>
          </w:p>
        </w:tc>
        <w:tc>
          <w:tcPr>
            <w:tcW w:type="auto" w:w="0"/>
            <w:tcMar>
              <w:left w:type="dxa" w:w="200"/>
              <w:top w:type="dxa" w:w="200"/>
              <w:right w:type="dxa" w:w="200"/>
              <w:bottom w:type="dxa" w:w="200"/>
            </w:tcMar>
          </w:tcPr>
          <w:p>
            <w:pPr>
              <w:pStyle w:val="Para 001"/>
            </w:pPr>
            <w:r>
              <w:rPr>
                <w:rStyle w:val="Text3"/>
              </w:rPr>
              <w:t>b</w:t>
            </w:r>
            <w:r>
              <w:t>.find_next_sibling(...)</w:t>
            </w:r>
            <w:r>
              <w:rPr>
                <w:rStyle w:val="Text12"/>
              </w:rPr>
              <w:t>,</w:t>
              <w:br w:clear="none"/>
              <w:t xml:space="preserve"> </w:t>
            </w:r>
            <w:r>
              <w:rPr>
                <w:rStyle w:val="Text3"/>
              </w:rPr>
              <w:t>b</w:t>
            </w:r>
            <w:r>
              <w:t>.find_next_siblings(...)</w:t>
              <w:br w:clear="none"/>
            </w:r>
            <w:r>
              <w:rPr>
                <w:rStyle w:val="Text12"/>
              </w:rPr>
              <w:t xml:space="preserve"> Searches the </w:t>
            </w:r>
            <w:r>
              <w:t>next_siblings</w:t>
            </w:r>
            <w:r>
              <w:rPr>
                <w:rStyle w:val="Text12"/>
              </w:rPr>
              <w:t xml:space="preserve"> of </w:t>
            </w:r>
            <w:r>
              <w:rPr>
                <w:rStyle w:val="Text3"/>
              </w:rPr>
              <w:t>b</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find_parent</w:t>
            </w:r>
            <w:r>
              <w:rPr>
                <w:rStyle w:val="Text12"/>
              </w:rPr>
              <w:t>,</w:t>
              <w:br w:clear="none"/>
              <w:t xml:space="preserve"> </w:t>
            </w:r>
            <w:r>
              <w:t>find_parents</w:t>
            </w:r>
          </w:p>
        </w:tc>
        <w:tc>
          <w:tcPr>
            <w:tcW w:type="auto" w:w="0"/>
            <w:shd w:val="clear" w:color="auto" w:fill="EEF2F6"/>
            <w:tcMar>
              <w:left w:type="dxa" w:w="200"/>
              <w:top w:type="dxa" w:w="200"/>
              <w:right w:type="dxa" w:w="200"/>
              <w:bottom w:type="dxa" w:w="200"/>
            </w:tcMar>
          </w:tcPr>
          <w:p>
            <w:pPr>
              <w:pStyle w:val="Para 001"/>
            </w:pPr>
            <w:r>
              <w:rPr>
                <w:rStyle w:val="Text3"/>
              </w:rPr>
              <w:t>b</w:t>
            </w:r>
            <w:r>
              <w:t>.find_parent(...)</w:t>
            </w:r>
            <w:r>
              <w:rPr>
                <w:rStyle w:val="Text12"/>
              </w:rPr>
              <w:t>,</w:t>
              <w:br w:clear="none"/>
              <w:t xml:space="preserve"> </w:t>
            </w:r>
            <w:r>
              <w:rPr>
                <w:rStyle w:val="Text3"/>
              </w:rPr>
              <w:t>b</w:t>
            </w:r>
            <w:r>
              <w:t>.find_parents(...)</w:t>
              <w:br w:clear="none"/>
            </w:r>
            <w:r>
              <w:rPr>
                <w:rStyle w:val="Text12"/>
              </w:rPr>
              <w:t xml:space="preserve"> Searches the </w:t>
            </w:r>
            <w:r>
              <w:t>parents</w:t>
            </w:r>
            <w:r>
              <w:rPr>
                <w:rStyle w:val="Text12"/>
              </w:rPr>
              <w:t xml:space="preserve"> of </w:t>
            </w:r>
            <w:r>
              <w:rPr>
                <w:rStyle w:val="Text3"/>
              </w:rPr>
              <w:t>b</w:t>
            </w:r>
            <w:r>
              <w:rPr>
                <w:rStyle w:val="Text12"/>
              </w:rPr>
              <w:t>.</w:t>
            </w:r>
          </w:p>
        </w:tc>
      </w:tr>
    </w:tbl>
    <w:tbl>
      <w:tblPr>
        <w:tblW w:type="auto" w:w="0"/>
      </w:tblPr>
      <w:tr>
        <w:tc>
          <w:tcPr>
            <w:tcW w:type="auto" w:w="0"/>
            <w:tcMar>
              <w:left w:type="dxa" w:w="200"/>
              <w:top w:type="dxa" w:w="200"/>
              <w:right w:type="dxa" w:w="200"/>
              <w:bottom w:type="dxa" w:w="200"/>
            </w:tcMar>
          </w:tcPr>
          <w:p>
            <w:pPr>
              <w:pStyle w:val="Para 001"/>
            </w:pPr>
            <w:r>
              <w:t>find_previous</w:t>
            </w:r>
            <w:r>
              <w:rPr>
                <w:rStyle w:val="Text12"/>
              </w:rPr>
              <w:t>,</w:t>
              <w:br w:clear="none"/>
              <w:t xml:space="preserve"> </w:t>
            </w:r>
            <w:r>
              <w:t>f⁠i⁠n⁠d⁠_⁠a⁠l⁠l⁠_​p⁠r⁠e⁠v⁠i⁠o⁠u⁠s</w:t>
            </w:r>
          </w:p>
        </w:tc>
        <w:tc>
          <w:tcPr>
            <w:tcW w:type="auto" w:w="0"/>
            <w:tcMar>
              <w:left w:type="dxa" w:w="200"/>
              <w:top w:type="dxa" w:w="200"/>
              <w:right w:type="dxa" w:w="200"/>
              <w:bottom w:type="dxa" w:w="200"/>
            </w:tcMar>
          </w:tcPr>
          <w:p>
            <w:pPr>
              <w:pStyle w:val="Para 001"/>
            </w:pPr>
            <w:r>
              <w:rPr>
                <w:rStyle w:val="Text3"/>
              </w:rPr>
              <w:t>b</w:t>
            </w:r>
            <w:r>
              <w:t>.find_previous(...)</w:t>
            </w:r>
            <w:r>
              <w:rPr>
                <w:rStyle w:val="Text12"/>
              </w:rPr>
              <w:t>,</w:t>
              <w:br w:clear="none"/>
              <w:t xml:space="preserve"> </w:t>
            </w:r>
            <w:r>
              <w:rPr>
                <w:rStyle w:val="Text3"/>
              </w:rPr>
              <w:t>b</w:t>
            </w:r>
            <w:r>
              <w:t>.find_all_previous(...)</w:t>
              <w:br w:clear="none"/>
            </w:r>
            <w:r>
              <w:rPr>
                <w:rStyle w:val="Text12"/>
              </w:rPr>
              <w:t xml:space="preserve"> Searches the </w:t>
            </w:r>
            <w:r>
              <w:t>previous_elements</w:t>
            </w:r>
            <w:r>
              <w:rPr>
                <w:rStyle w:val="Text12"/>
              </w:rPr>
              <w:t xml:space="preserve"> of </w:t>
            </w:r>
            <w:r>
              <w:rPr>
                <w:rStyle w:val="Text3"/>
              </w:rPr>
              <w:t>b</w:t>
            </w:r>
            <w:r>
              <w:rPr>
                <w:rStyle w:val="Text12"/>
              </w:rP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find_previ⁠o⁠u⁠s⁠_​s⁠i⁠b⁠l⁠ing</w:t>
            </w:r>
            <w:r>
              <w:rPr>
                <w:rStyle w:val="Text12"/>
              </w:rPr>
              <w:t>,</w:t>
              <w:br w:clear="none"/>
              <w:t xml:space="preserve"> </w:t>
            </w:r>
            <w:r>
              <w:t>find_previ⁠o⁠u⁠s⁠_​s⁠i⁠b⁠lings</w:t>
            </w:r>
          </w:p>
        </w:tc>
        <w:tc>
          <w:tcPr>
            <w:tcW w:type="auto" w:w="0"/>
            <w:shd w:val="clear" w:color="auto" w:fill="EEF2F6"/>
            <w:tcMar>
              <w:left w:type="dxa" w:w="200"/>
              <w:top w:type="dxa" w:w="200"/>
              <w:right w:type="dxa" w:w="200"/>
              <w:bottom w:type="dxa" w:w="200"/>
            </w:tcMar>
          </w:tcPr>
          <w:p>
            <w:pPr>
              <w:pStyle w:val="Para 001"/>
            </w:pPr>
            <w:r>
              <w:rPr>
                <w:rStyle w:val="Text3"/>
              </w:rPr>
              <w:t>b</w:t>
            </w:r>
            <w:r>
              <w:t>.find_previous_sibling(...)</w:t>
            </w:r>
            <w:r>
              <w:rPr>
                <w:rStyle w:val="Text12"/>
              </w:rPr>
              <w:t xml:space="preserve">, </w:t>
            </w:r>
            <w:r>
              <w:rPr>
                <w:rStyle w:val="Text3"/>
              </w:rPr>
              <w:t>b</w:t>
            </w:r>
            <w:r>
              <w:t>.find_previous_siblings(...)</w:t>
              <w:br w:clear="none"/>
            </w:r>
            <w:r>
              <w:rPr>
                <w:rStyle w:val="Text12"/>
              </w:rPr>
              <w:t xml:space="preserve"> Searches the </w:t>
            </w:r>
            <w:r>
              <w:t>previous_siblings</w:t>
            </w:r>
            <w:r>
              <w:rPr>
                <w:rStyle w:val="Text12"/>
              </w:rPr>
              <w:t xml:space="preserve"> of </w:t>
            </w:r>
            <w:r>
              <w:rPr>
                <w:rStyle w:val="Text3"/>
              </w:rPr>
              <w:t>b</w:t>
            </w:r>
            <w:r>
              <w:rPr>
                <w:rStyle w:val="Text12"/>
              </w:rPr>
              <w:t>.</w:t>
            </w:r>
          </w:p>
        </w:tc>
      </w:tr>
    </w:tbl>
    <w:p>
      <w:bookmarkStart w:id="4335" w:name="Arguments_of_search_methods__Eac"/>
      <w:pPr>
        <w:keepNext/>
        <w:pStyle w:val="Heading 2"/>
      </w:pPr>
      <w:r>
        <w:t>Arguments of search methods</w:t>
      </w:r>
      <w:bookmarkEnd w:id="4335"/>
    </w:p>
    <w:p>
      <w:pPr>
        <w:pStyle w:val="Normal"/>
      </w:pPr>
      <w:r>
        <w:t xml:space="preserve">Each search method has three optional arguments: </w:t>
      </w:r>
      <w:r>
        <w:rPr>
          <w:rStyle w:val="Text3"/>
        </w:rPr>
        <w:t>name</w:t>
      </w:r>
      <w:r>
        <w:rPr>
          <w:rStyle w:val="Text4"/>
        </w:rPr>
        <w:t>,</w:t>
      </w:r>
      <w:r>
        <w:t xml:space="preserve"> </w:t>
      </w:r>
      <w:r>
        <w:rPr>
          <w:rStyle w:val="Text3"/>
        </w:rPr>
        <w:t>attrs</w:t>
      </w:r>
      <w:r>
        <w:t xml:space="preserve">, and </w:t>
      </w:r>
      <w:r>
        <w:rPr>
          <w:rStyle w:val="Text3"/>
        </w:rPr>
        <w:t>string</w:t>
      </w:r>
      <w:r>
        <w:rPr>
          <w:rStyle w:val="Text4"/>
        </w:rPr>
        <w:t>.</w:t>
      </w:r>
      <w:r>
        <w:t xml:space="preserve"> </w:t>
      </w:r>
      <w:r>
        <w:rPr>
          <w:rStyle w:val="Text3"/>
        </w:rPr>
        <w:t>name</w:t>
      </w:r>
      <w:r>
        <w:t xml:space="preserve"> and </w:t>
      </w:r>
      <w:r>
        <w:rPr>
          <w:rStyle w:val="Text3"/>
        </w:rPr>
        <w:t>string</w:t>
      </w:r>
      <w:r>
        <w:t xml:space="preserve"> are </w:t>
      </w:r>
      <w:r>
        <w:rPr>
          <w:rStyle w:val="Text4"/>
        </w:rPr>
        <w:t>filters</w:t>
      </w:r>
      <w:r>
        <w:t xml:space="preserve">, as described in the following subsection; </w:t>
      </w:r>
      <w:r>
        <w:rPr>
          <w:rStyle w:val="Text3"/>
        </w:rPr>
        <w:t>attrs</w:t>
      </w:r>
      <w:r>
        <w:t xml:space="preserve"> is a </w:t>
      </w:r>
      <w:r>
        <w:rPr>
          <w:rStyle w:val="Text0"/>
        </w:rPr>
        <w:t>dict</w:t>
      </w:r>
      <w:r>
        <w:t xml:space="preserve">, as described later in this section. In addition, as mentioned in </w:t>
      </w:r>
      <w:hyperlink w:anchor="Table_22_2__bs4_find____method_p">
        <w:r>
          <w:rPr>
            <w:rStyle w:val="Text1"/>
          </w:rPr>
          <w:t>Table 22-2</w:t>
        </w:r>
      </w:hyperlink>
      <w:r>
        <w:t xml:space="preserve">, </w:t>
      </w:r>
      <w:r>
        <w:rPr>
          <w:rStyle w:val="Text0"/>
        </w:rPr>
        <w:t>find</w:t>
      </w:r>
      <w:r>
        <w:t xml:space="preserve"> and </w:t>
      </w:r>
      <w:r>
        <w:rPr>
          <w:rStyle w:val="Text0"/>
        </w:rPr>
        <w:t>find_all</w:t>
      </w:r>
      <w:r>
        <w:t xml:space="preserve"> only (not the other search methods) can optionally be called with the named argument </w:t>
      </w:r>
      <w:r>
        <w:rPr>
          <w:rStyle w:val="Text0"/>
        </w:rPr>
        <w:t>recursive=</w:t>
      </w:r>
      <w:r>
        <w:rPr>
          <w:rStyle w:val="Text5"/>
        </w:rPr>
        <w:t>False</w:t>
      </w:r>
      <w:r>
        <w:t>, to limit the search to children, rather than all descendants.</w:t>
      </w:r>
    </w:p>
    <w:p>
      <w:pPr>
        <w:pStyle w:val="Normal"/>
      </w:pPr>
      <w:r>
        <w:t xml:space="preserve">Any search method returning a </w:t>
      </w:r>
      <w:r>
        <w:rPr>
          <w:rStyle w:val="Text0"/>
        </w:rPr>
        <w:t>list</w:t>
      </w:r>
      <w:r>
        <w:t xml:space="preserve"> (i.e., one whose name is plural or starts with </w:t>
      </w:r>
      <w:r>
        <w:rPr>
          <w:rStyle w:val="Text0"/>
        </w:rPr>
        <w:t>find_all</w:t>
      </w:r>
      <w:r>
        <w:t xml:space="preserve">) can optionally take the named argument </w:t>
      </w:r>
      <w:r>
        <w:rPr>
          <w:rStyle w:val="Text0"/>
        </w:rPr>
        <w:t>limit</w:t>
      </w:r>
      <w:r>
        <w:t xml:space="preserve">: its value, if any, is an integer, putting an upper bound on the length of the </w:t>
      </w:r>
      <w:r>
        <w:rPr>
          <w:rStyle w:val="Text0"/>
        </w:rPr>
        <w:t>list</w:t>
      </w:r>
      <w:r>
        <w:t xml:space="preserve"> it returns (when you pass </w:t>
      </w:r>
      <w:r>
        <w:rPr>
          <w:rStyle w:val="Text0"/>
        </w:rPr>
        <w:t>limit</w:t>
      </w:r>
      <w:r>
        <w:t xml:space="preserve">, the returned </w:t>
      </w:r>
      <w:r>
        <w:rPr>
          <w:rStyle w:val="Text0"/>
        </w:rPr>
        <w:t>list</w:t>
      </w:r>
      <w:r>
        <w:t xml:space="preserve"> result is truncated if necessary).</w:t>
      </w:r>
    </w:p>
    <w:p>
      <w:pPr>
        <w:pStyle w:val="Normal"/>
      </w:pPr>
      <w:r>
        <w:t>After these optional arguments, each search method can optionally have any number of arbitrary named arguments: the argument name can be any identifier (except the name of one of the search method’s specific arguments), while the value is a filter.</w:t>
      </w:r>
    </w:p>
    <w:p>
      <w:bookmarkStart w:id="4336" w:name="Filters__A_filter_is_applied_aga"/>
      <w:pPr>
        <w:keepNext/>
        <w:pStyle w:val="Heading 4"/>
      </w:pPr>
      <w:r>
        <w:t>Filters</w:t>
      </w:r>
      <w:bookmarkEnd w:id="4336"/>
    </w:p>
    <w:p>
      <w:pPr>
        <w:pStyle w:val="Normal"/>
      </w:pPr>
      <w:r>
        <w:t xml:space="preserve">A </w:t>
      </w:r>
      <w:r>
        <w:rPr>
          <w:rStyle w:val="Text4"/>
        </w:rPr>
        <w:t>filter</w:t>
      </w:r>
      <w:r>
        <w:t xml:space="preserve"> is applied against a </w:t>
      </w:r>
      <w:r>
        <w:rPr>
          <w:rStyle w:val="Text4"/>
        </w:rPr>
        <w:t>target</w:t>
      </w:r>
      <w:r>
        <w:t xml:space="preserve"> that can be a tag’s name (when passed as the </w:t>
      </w:r>
      <w:r>
        <w:rPr>
          <w:rStyle w:val="Text3"/>
        </w:rPr>
        <w:t>name</w:t>
      </w:r>
      <w:r>
        <w:t xml:space="preserve"> argument), a </w:t>
      </w:r>
      <w:r>
        <w:rPr>
          <w:rStyle w:val="Text0"/>
        </w:rPr>
        <w:t>Tag</w:t>
      </w:r>
      <w:r>
        <w:t xml:space="preserve">’s </w:t>
      </w:r>
      <w:r>
        <w:rPr>
          <w:rStyle w:val="Text0"/>
        </w:rPr>
        <w:t>string</w:t>
      </w:r>
      <w:r>
        <w:t xml:space="preserve"> or a </w:t>
      </w:r>
      <w:r>
        <w:rPr>
          <w:rStyle w:val="Text0"/>
        </w:rPr>
        <w:t>NavigableString</w:t>
      </w:r>
      <w:r>
        <w:t xml:space="preserve">’s textual content (when passed as the </w:t>
      </w:r>
      <w:r>
        <w:rPr>
          <w:rStyle w:val="Text3"/>
        </w:rPr>
        <w:t>string</w:t>
      </w:r>
      <w:r>
        <w:t xml:space="preserve"> argument), or a </w:t>
      </w:r>
      <w:r>
        <w:rPr>
          <w:rStyle w:val="Text0"/>
        </w:rPr>
        <w:t>Tag</w:t>
      </w:r>
      <w:r>
        <w:t xml:space="preserve">’s attribute (when passed as the value of a named argument, or in the </w:t>
      </w:r>
      <w:r>
        <w:rPr>
          <w:rStyle w:val="Text3"/>
        </w:rPr>
        <w:t>attrs</w:t>
      </w:r>
      <w:r>
        <w:t xml:space="preserve"> argument). Each filter can be:</w:t>
      </w:r>
    </w:p>
    <w:p>
      <w:pPr>
        <w:pStyle w:val="Para 023"/>
      </w:pPr>
      <w:r>
        <w:t>A Unicode string</w:t>
      </w:r>
    </w:p>
    <w:p>
      <w:pPr>
        <w:pStyle w:val="Para 016"/>
      </w:pPr>
      <w:r>
        <w:t>The filter succeeds when the string exactly equals the target.</w:t>
      </w:r>
    </w:p>
    <w:p>
      <w:pPr>
        <w:pStyle w:val="Para 023"/>
      </w:pPr>
      <w:r>
        <w:t>A bytestring</w:t>
      </w:r>
    </w:p>
    <w:p>
      <w:pPr>
        <w:pStyle w:val="Para 016"/>
      </w:pPr>
      <w:r>
        <w:t xml:space="preserve">It’s decoded to Unicode using </w:t>
      </w:r>
      <w:r>
        <w:rPr>
          <w:rStyle w:val="Text0"/>
        </w:rPr>
        <w:t>utf-8</w:t>
      </w:r>
      <w:r>
        <w:t>, and the filter succeeds when the resulting Unicode string exactly equals the target.</w:t>
      </w:r>
    </w:p>
    <w:p>
      <w:pPr>
        <w:pStyle w:val="Para 023"/>
      </w:pPr>
      <w:r>
        <w:t xml:space="preserve">A regular expression object (as produced by </w:t>
      </w:r>
      <w:r>
        <w:rPr>
          <w:rStyle w:val="Text0"/>
        </w:rPr>
        <w:t>re.compile</w:t>
      </w:r>
      <w:r>
        <w:t xml:space="preserve">, covered in </w:t>
      </w:r>
      <w:hyperlink w:anchor="Regular_Expressions_and_the_re_M">
        <w:r>
          <w:rPr>
            <w:rStyle w:val="Text1"/>
          </w:rPr>
          <w:t>“Regular Expressions and the re Module”</w:t>
        </w:r>
      </w:hyperlink>
      <w:r>
        <w:t>)</w:t>
      </w:r>
    </w:p>
    <w:p>
      <w:pPr>
        <w:pStyle w:val="Para 016"/>
      </w:pPr>
      <w:r>
        <w:t xml:space="preserve">The filter succeeds when the </w:t>
      </w:r>
      <w:r>
        <w:rPr>
          <w:rStyle w:val="Text0"/>
        </w:rPr>
        <w:t>search</w:t>
      </w:r>
      <w:r>
        <w:t xml:space="preserve"> method of the RE, called with the target as the argument, succeeds.</w:t>
      </w:r>
    </w:p>
    <w:p>
      <w:pPr>
        <w:pStyle w:val="Para 023"/>
      </w:pPr>
      <w:r>
        <w:t>A list of strings</w:t>
      </w:r>
    </w:p>
    <w:p>
      <w:pPr>
        <w:pStyle w:val="Para 016"/>
      </w:pPr>
      <w:r>
        <w:t xml:space="preserve">The filter succeeds if any of the strings exactly equals the target (if any of the strings are bytestrings, they’re decoded to Unicode using </w:t>
      </w:r>
      <w:r>
        <w:rPr>
          <w:rStyle w:val="Text0"/>
        </w:rPr>
        <w:t>utf-8</w:t>
      </w:r>
      <w:r>
        <w:t>).</w:t>
      </w:r>
    </w:p>
    <w:p>
      <w:pPr>
        <w:pStyle w:val="Para 023"/>
      </w:pPr>
      <w:r>
        <w:t>A function object</w:t>
      </w:r>
    </w:p>
    <w:p>
      <w:pPr>
        <w:pStyle w:val="Para 016"/>
      </w:pPr>
      <w:r>
        <w:t xml:space="preserve">The filter succeeds when the function, called with the </w:t>
      </w:r>
      <w:r>
        <w:rPr>
          <w:rStyle w:val="Text0"/>
        </w:rPr>
        <w:t>Tag</w:t>
      </w:r>
      <w:r>
        <w:t xml:space="preserve"> or </w:t>
      </w:r>
      <w:r>
        <w:rPr>
          <w:rStyle w:val="Text0"/>
        </w:rPr>
        <w:t>NavigableString</w:t>
      </w:r>
      <w:r>
        <w:t xml:space="preserve"> instance as the argument, returns </w:t>
      </w:r>
      <w:r>
        <w:rPr>
          <w:rStyle w:val="Text0"/>
        </w:rPr>
        <w:t>True</w:t>
      </w:r>
      <w:r>
        <w:t>.</w:t>
      </w:r>
    </w:p>
    <w:p>
      <w:pPr>
        <w:pStyle w:val="Para 079"/>
      </w:pPr>
      <w:r>
        <w:t>True</w:t>
      </w:r>
    </w:p>
    <w:p>
      <w:pPr>
        <w:pStyle w:val="Para 016"/>
      </w:pPr>
      <w:r>
        <w:t>The filter always succeeds.</w:t>
      </w:r>
    </w:p>
    <w:p>
      <w:pPr>
        <w:pStyle w:val="Normal"/>
      </w:pPr>
      <w:r>
        <w:t>As a synonym of “the filter succeeds,” we also say “the target matches the filter.”</w:t>
      </w:r>
    </w:p>
    <w:p>
      <w:pPr>
        <w:pStyle w:val="Normal"/>
      </w:pPr>
      <w:r>
        <w:t xml:space="preserve">Each search method finds all relevant nodes that match all of its filters (that is, it implicitly performs a logical </w:t>
      </w:r>
      <w:r>
        <w:rPr>
          <w:rStyle w:val="Text5"/>
        </w:rPr>
        <w:t>and</w:t>
      </w:r>
      <w:r>
        <w:t xml:space="preserve"> operation on its filters on each candidate node). (Don’t confuse this logic with that of a specific filter having a </w:t>
      </w:r>
      <w:r>
        <w:rPr>
          <w:rStyle w:val="Text0"/>
        </w:rPr>
        <w:t>list</w:t>
      </w:r>
      <w:r>
        <w:t xml:space="preserve"> as an argument value. That one filter matches when any of the items in the </w:t>
      </w:r>
      <w:r>
        <w:rPr>
          <w:rStyle w:val="Text0"/>
        </w:rPr>
        <w:t>list</w:t>
      </w:r>
      <w:r>
        <w:t xml:space="preserve"> do; that is, the filter implicitly performs a logical </w:t>
      </w:r>
      <w:r>
        <w:rPr>
          <w:rStyle w:val="Text5"/>
        </w:rPr>
        <w:t>or</w:t>
      </w:r>
      <w:r>
        <w:t xml:space="preserve"> operation on the items of the </w:t>
      </w:r>
      <w:r>
        <w:rPr>
          <w:rStyle w:val="Text0"/>
        </w:rPr>
        <w:t>list</w:t>
      </w:r>
      <w:r>
        <w:t xml:space="preserve"> that is its argument value.)</w:t>
      </w:r>
    </w:p>
    <w:p>
      <w:bookmarkStart w:id="4337" w:name="name__To_look_for_Tags_whose_nam"/>
      <w:pPr>
        <w:keepNext/>
        <w:pStyle w:val="Heading 4"/>
      </w:pPr>
      <w:r>
        <w:t>name</w:t>
      </w:r>
      <w:bookmarkEnd w:id="4337"/>
    </w:p>
    <w:p>
      <w:pPr>
        <w:pStyle w:val="Normal"/>
      </w:pPr>
      <w:r>
        <w:t xml:space="preserve">To look for </w:t>
      </w:r>
      <w:r>
        <w:rPr>
          <w:rStyle w:val="Text0"/>
        </w:rPr>
        <w:t>Tags</w:t>
      </w:r>
      <w:r>
        <w:t xml:space="preserve"> whose </w:t>
      </w:r>
      <w:r>
        <w:rPr>
          <w:rStyle w:val="Text0"/>
        </w:rPr>
        <w:t>name</w:t>
      </w:r>
      <w:r>
        <w:t xml:space="preserve"> matches a filter, pass the filter as the first positional argument to the search method, or pass it as </w:t>
      </w:r>
      <w:r>
        <w:rPr>
          <w:rStyle w:val="Text0"/>
        </w:rPr>
        <w:t>name=</w:t>
      </w:r>
      <w:r>
        <w:rPr>
          <w:rStyle w:val="Text3"/>
        </w:rPr>
        <w:t>filter</w:t>
      </w:r>
      <w:r>
        <w:t>:</w:t>
      </w:r>
    </w:p>
    <w:p>
      <w:pPr>
        <w:pStyle w:val="Para 014"/>
      </w:pPr>
      <w:r>
        <w:rPr>
          <w:rStyle w:val="Text116"/>
        </w:rPr>
        <w:t xml:space="preserve"/>
        <w:br w:clear="none"/>
      </w:r>
      <w:r>
        <w:t xml:space="preserve"># return all instances of Tag 'b' in the document</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7"/>
        </w:rPr>
        <w:t xml:space="preserve">'</w:t>
        <w:br w:clear="none"/>
        <w:t xml:space="preserve">b</w:t>
        <w:br w:clear="none"/>
        <w:t xml:space="preserve">'</w:t>
        <w:br w:clear="none"/>
      </w:r>
      <w:r>
        <w:rPr>
          <w:rStyle w:val="Text19"/>
        </w:rPr>
        <w:t xml:space="preserve">)</w:t>
        <w:br w:clear="none"/>
      </w:r>
      <w:r>
        <w:rPr>
          <w:rStyle w:val="Text11"/>
        </w:rPr>
        <w:t xml:space="preserve"> </w:t>
        <w:br w:clear="none"/>
      </w:r>
      <w:r>
        <w:t xml:space="preserve"># or soup.find_all(name='b')</w:t>
        <w:br w:clear="none"/>
      </w:r>
      <w:r>
        <w:rPr>
          <w:rStyle w:val="Text11"/>
        </w:rPr>
        <w:t xml:space="preserve"/>
        <w:br w:clear="none"/>
        <w:t xml:space="preserve"/>
        <w:br w:clear="none"/>
      </w:r>
      <w:r>
        <w:t xml:space="preserve"># return all instances of Tags 'b' and 'bah' in the document</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t xml:space="preserve">[</w:t>
        <w:br w:clear="none"/>
      </w:r>
      <w:r>
        <w:rPr>
          <w:rStyle w:val="Text17"/>
        </w:rPr>
        <w:t xml:space="preserve">'</w:t>
        <w:br w:clear="none"/>
        <w:t xml:space="preserve">b</w:t>
        <w:br w:clear="none"/>
        <w:t xml:space="preserve">'</w:t>
        <w:br w:clear="none"/>
      </w:r>
      <w:r>
        <w:rPr>
          <w:rStyle w:val="Text19"/>
        </w:rPr>
        <w:t xml:space="preserve">,</w:t>
        <w:br w:clear="none"/>
      </w:r>
      <w:r>
        <w:rPr>
          <w:rStyle w:val="Text11"/>
        </w:rPr>
        <w:t xml:space="preserve"> </w:t>
        <w:br w:clear="none"/>
      </w:r>
      <w:r>
        <w:rPr>
          <w:rStyle w:val="Text17"/>
        </w:rPr>
        <w:t xml:space="preserve">'</w:t>
        <w:br w:clear="none"/>
        <w:t xml:space="preserve">bah</w:t>
        <w:br w:clear="none"/>
        <w:t xml:space="preserve">'</w:t>
        <w:br w:clear="none"/>
      </w:r>
      <w:r>
        <w:rPr>
          <w:rStyle w:val="Text19"/>
        </w:rPr>
        <w:t xml:space="preserve">]</w:t>
        <w:br w:clear="none"/>
        <w:t xml:space="preserve">)</w:t>
        <w:br w:clear="none"/>
      </w:r>
      <w:r>
        <w:rPr>
          <w:rStyle w:val="Text11"/>
        </w:rPr>
        <w:t xml:space="preserve"/>
        <w:br w:clear="none"/>
        <w:t xml:space="preserve"/>
        <w:br w:clear="none"/>
      </w:r>
      <w:r>
        <w:t xml:space="preserve"># return all instances of Tags starting with 'b' in the document</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4"/>
        </w:rPr>
        <w:t xml:space="preserve">re</w:t>
        <w:br w:clear="none"/>
      </w:r>
      <w:r>
        <w:rPr>
          <w:rStyle w:val="Text28"/>
        </w:rPr>
        <w:t xml:space="preserve">.</w:t>
        <w:br w:clear="none"/>
      </w:r>
      <w:r>
        <w:rPr>
          <w:rStyle w:val="Text14"/>
        </w:rPr>
        <w:t xml:space="preserve">compile</w:t>
        <w:br w:clear="none"/>
      </w:r>
      <w:r>
        <w:rPr>
          <w:rStyle w:val="Text19"/>
        </w:rPr>
        <w:t xml:space="preserve">(</w:t>
        <w:br w:clear="none"/>
      </w:r>
      <w:r>
        <w:rPr>
          <w:rStyle w:val="Text11"/>
        </w:rPr>
        <w:t xml:space="preserve">r</w:t>
        <w:br w:clear="none"/>
      </w:r>
      <w:r>
        <w:rPr>
          <w:rStyle w:val="Text17"/>
        </w:rPr>
        <w:t xml:space="preserve">'</w:t>
        <w:br w:clear="none"/>
        <w:t xml:space="preserve">^b</w:t>
        <w:br w:clear="none"/>
        <w:t xml:space="preserve">'</w:t>
        <w:br w:clear="none"/>
      </w:r>
      <w:r>
        <w:rPr>
          <w:rStyle w:val="Text19"/>
        </w:rPr>
        <w:t xml:space="preserve">)</w:t>
        <w:br w:clear="none"/>
        <w:t xml:space="preserve">)</w:t>
        <w:br w:clear="none"/>
      </w:r>
      <w:r>
        <w:rPr>
          <w:rStyle w:val="Text11"/>
        </w:rPr>
        <w:t xml:space="preserve"/>
        <w:br w:clear="none"/>
        <w:t xml:space="preserve"/>
        <w:br w:clear="none"/>
      </w:r>
      <w:r>
        <w:t xml:space="preserve"># return all instances of Tags including string 'bah' in the document</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4"/>
        </w:rPr>
        <w:t xml:space="preserve">re</w:t>
        <w:br w:clear="none"/>
      </w:r>
      <w:r>
        <w:rPr>
          <w:rStyle w:val="Text28"/>
        </w:rPr>
        <w:t xml:space="preserve">.</w:t>
        <w:br w:clear="none"/>
      </w:r>
      <w:r>
        <w:rPr>
          <w:rStyle w:val="Text14"/>
        </w:rPr>
        <w:t xml:space="preserve">compile</w:t>
        <w:br w:clear="none"/>
      </w:r>
      <w:r>
        <w:rPr>
          <w:rStyle w:val="Text19"/>
        </w:rPr>
        <w:t xml:space="preserve">(</w:t>
        <w:br w:clear="none"/>
      </w:r>
      <w:r>
        <w:rPr>
          <w:rStyle w:val="Text11"/>
        </w:rPr>
        <w:t xml:space="preserve">r</w:t>
        <w:br w:clear="none"/>
      </w:r>
      <w:r>
        <w:rPr>
          <w:rStyle w:val="Text17"/>
        </w:rPr>
        <w:t xml:space="preserve">'</w:t>
        <w:br w:clear="none"/>
        <w:t xml:space="preserve">bah</w:t>
        <w:br w:clear="none"/>
        <w:t xml:space="preserve">'</w:t>
        <w:br w:clear="none"/>
      </w:r>
      <w:r>
        <w:rPr>
          <w:rStyle w:val="Text19"/>
        </w:rPr>
        <w:t xml:space="preserve">)</w:t>
        <w:br w:clear="none"/>
        <w:t xml:space="preserve">)</w:t>
        <w:br w:clear="none"/>
      </w:r>
      <w:r>
        <w:rPr>
          <w:rStyle w:val="Text11"/>
        </w:rPr>
        <w:t xml:space="preserve"/>
        <w:br w:clear="none"/>
        <w:t xml:space="preserve"/>
        <w:br w:clear="none"/>
      </w:r>
      <w:r>
        <w:t xml:space="preserve"># return all instances of Tags whose parent's name is 'foo'</w:t>
        <w:br w:clear="none"/>
      </w:r>
      <w:r>
        <w:rPr>
          <w:rStyle w:val="Text11"/>
        </w:rPr>
        <w:t xml:space="preserve"/>
        <w:br w:clear="none"/>
      </w:r>
      <w:r>
        <w:rPr>
          <w:rStyle w:val="Text22"/>
        </w:rPr>
        <w:t xml:space="preserve">def</w:t>
        <w:br w:clear="none"/>
      </w:r>
      <w:r>
        <w:rPr>
          <w:rStyle w:val="Text11"/>
        </w:rPr>
        <w:t xml:space="preserve"> </w:t>
        <w:br w:clear="none"/>
      </w:r>
      <w:r>
        <w:rPr>
          <w:rStyle w:val="Text42"/>
        </w:rPr>
        <w:t xml:space="preserve">child_of_foo</w:t>
        <w:br w:clear="none"/>
      </w:r>
      <w:r>
        <w:rPr>
          <w:rStyle w:val="Text19"/>
        </w:rPr>
        <w:t xml:space="preserve">(</w:t>
        <w:br w:clear="none"/>
      </w:r>
      <w:r>
        <w:rPr>
          <w:rStyle w:val="Text14"/>
        </w:rPr>
        <w:t xml:space="preserve">tag</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tag</w:t>
        <w:br w:clear="none"/>
      </w:r>
      <w:r>
        <w:rPr>
          <w:rStyle w:val="Text28"/>
        </w:rPr>
        <w:t xml:space="preserve">.</w:t>
        <w:br w:clear="none"/>
      </w:r>
      <w:r>
        <w:rPr>
          <w:rStyle w:val="Text14"/>
        </w:rPr>
        <w:t xml:space="preserve">parent</w:t>
        <w:br w:clear="none"/>
      </w:r>
      <w:r>
        <w:rPr>
          <w:rStyle w:val="Text28"/>
        </w:rPr>
        <w:t xml:space="preserve">.</w:t>
        <w:br w:clear="none"/>
      </w:r>
      <w:r>
        <w:rPr>
          <w:rStyle w:val="Text14"/>
        </w:rPr>
        <w:t xml:space="preserve">name</w:t>
        <w:br w:clear="none"/>
      </w:r>
      <w:r>
        <w:rPr>
          <w:rStyle w:val="Text11"/>
        </w:rPr>
        <w:t xml:space="preserve"> </w:t>
        <w:br w:clear="none"/>
      </w:r>
      <w:r>
        <w:rPr>
          <w:rStyle w:val="Text28"/>
        </w:rPr>
        <w:t xml:space="preserve">==</w:t>
        <w:br w:clear="none"/>
      </w:r>
      <w:r>
        <w:rPr>
          <w:rStyle w:val="Text11"/>
        </w:rPr>
        <w:t xml:space="preserve"> </w:t>
        <w:br w:clear="none"/>
      </w:r>
      <w:r>
        <w:rPr>
          <w:rStyle w:val="Text17"/>
        </w:rPr>
        <w:t xml:space="preserve">'</w:t>
        <w:br w:clear="none"/>
        <w:t xml:space="preserve">foo</w:t>
        <w:br w:clear="none"/>
        <w:t xml:space="preserve">'</w:t>
        <w:br w:clear="none"/>
      </w:r>
      <w:r>
        <w:rPr>
          <w:rStyle w:val="Text11"/>
        </w:rPr>
        <w:t xml:space="preserve"/>
        <w:br w:clear="none"/>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4"/>
        </w:rPr>
        <w:t xml:space="preserve">child_of_foo</w:t>
        <w:br w:clear="none"/>
      </w:r>
      <w:r>
        <w:rPr>
          <w:rStyle w:val="Text19"/>
        </w:rPr>
        <w:t xml:space="preserve">)</w:t>
        <w:br w:clear="none"/>
      </w:r>
    </w:p>
    <w:p>
      <w:bookmarkStart w:id="4338" w:name="string__To_look_for_Tag_nodes_wh"/>
      <w:pPr>
        <w:keepNext/>
        <w:pStyle w:val="Heading 4"/>
      </w:pPr>
      <w:r>
        <w:t>string</w:t>
      </w:r>
      <w:bookmarkEnd w:id="4338"/>
    </w:p>
    <w:p>
      <w:pPr>
        <w:pStyle w:val="Normal"/>
      </w:pPr>
      <w:r>
        <w:t xml:space="preserve">To look for </w:t>
      </w:r>
      <w:r>
        <w:rPr>
          <w:rStyle w:val="Text0"/>
        </w:rPr>
        <w:t>Tag</w:t>
      </w:r>
      <w:r>
        <w:t xml:space="preserve"> nodes whose </w:t>
      </w:r>
      <w:r>
        <w:rPr>
          <w:rStyle w:val="Text0"/>
        </w:rPr>
        <w:t>.string</w:t>
      </w:r>
      <w:r>
        <w:t xml:space="preserve">’s text matches a filter, or </w:t>
      </w:r>
      <w:r>
        <w:rPr>
          <w:rStyle w:val="Text0"/>
        </w:rPr>
        <w:t>NavigableString</w:t>
      </w:r>
      <w:r>
        <w:t xml:space="preserve"> nodes whose text matches a filter, pass the filter as </w:t>
      </w:r>
      <w:r>
        <w:rPr>
          <w:rStyle w:val="Text0"/>
        </w:rPr>
        <w:t>string=</w:t>
      </w:r>
      <w:r>
        <w:rPr>
          <w:rStyle w:val="Text3"/>
        </w:rPr>
        <w:t>filter</w:t>
      </w:r>
      <w:r>
        <w:t>:</w:t>
      </w:r>
    </w:p>
    <w:p>
      <w:pPr>
        <w:pStyle w:val="Para 014"/>
      </w:pPr>
      <w:r>
        <w:rPr>
          <w:rStyle w:val="Text116"/>
        </w:rPr>
        <w:t xml:space="preserve"/>
        <w:br w:clear="none"/>
      </w:r>
      <w:r>
        <w:t xml:space="preserve"># return all instances of NavigableString whose text is 'foo'</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4"/>
        </w:rPr>
        <w:t xml:space="preserve">string</w:t>
        <w:br w:clear="none"/>
      </w:r>
      <w:r>
        <w:rPr>
          <w:rStyle w:val="Text28"/>
        </w:rPr>
        <w:t xml:space="preserve">=</w:t>
        <w:br w:clear="none"/>
      </w:r>
      <w:r>
        <w:rPr>
          <w:rStyle w:val="Text17"/>
        </w:rPr>
        <w:t xml:space="preserve">'</w:t>
        <w:br w:clear="none"/>
        <w:t xml:space="preserve">foo</w:t>
        <w:br w:clear="none"/>
        <w:t xml:space="preserve">'</w:t>
        <w:br w:clear="none"/>
      </w:r>
      <w:r>
        <w:rPr>
          <w:rStyle w:val="Text19"/>
        </w:rPr>
        <w:t xml:space="preserve">)</w:t>
        <w:br w:clear="none"/>
      </w:r>
      <w:r>
        <w:rPr>
          <w:rStyle w:val="Text11"/>
        </w:rPr>
        <w:t xml:space="preserve"/>
        <w:br w:clear="none"/>
        <w:t xml:space="preserve"/>
        <w:br w:clear="none"/>
      </w:r>
      <w:r>
        <w:t xml:space="preserve"># return all instances of Tag 'b' whose .string's text is 'foo'</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7"/>
        </w:rPr>
        <w:t xml:space="preserve">'</w:t>
        <w:br w:clear="none"/>
        <w:t xml:space="preserve">b</w:t>
        <w:br w:clear="none"/>
        <w:t xml:space="preserve">'</w:t>
        <w:br w:clear="none"/>
      </w:r>
      <w:r>
        <w:rPr>
          <w:rStyle w:val="Text19"/>
        </w:rPr>
        <w:t xml:space="preserve">,</w:t>
        <w:br w:clear="none"/>
      </w:r>
      <w:r>
        <w:rPr>
          <w:rStyle w:val="Text11"/>
        </w:rPr>
        <w:t xml:space="preserve"> </w:t>
        <w:br w:clear="none"/>
      </w:r>
      <w:r>
        <w:rPr>
          <w:rStyle w:val="Text14"/>
        </w:rPr>
        <w:t xml:space="preserve">string</w:t>
        <w:br w:clear="none"/>
      </w:r>
      <w:r>
        <w:rPr>
          <w:rStyle w:val="Text28"/>
        </w:rPr>
        <w:t xml:space="preserve">=</w:t>
        <w:br w:clear="none"/>
      </w:r>
      <w:r>
        <w:rPr>
          <w:rStyle w:val="Text17"/>
        </w:rPr>
        <w:t xml:space="preserve">'</w:t>
        <w:br w:clear="none"/>
        <w:t xml:space="preserve">foo</w:t>
        <w:br w:clear="none"/>
        <w:t xml:space="preserve">'</w:t>
        <w:br w:clear="none"/>
      </w:r>
      <w:r>
        <w:rPr>
          <w:rStyle w:val="Text19"/>
        </w:rPr>
        <w:t xml:space="preserve">)</w:t>
        <w:br w:clear="none"/>
      </w:r>
    </w:p>
    <w:p>
      <w:bookmarkStart w:id="4339" w:name="attrs__To_look_for_Tag_nodes_tha"/>
      <w:pPr>
        <w:keepNext/>
        <w:pStyle w:val="Heading 4"/>
      </w:pPr>
      <w:r>
        <w:t>attrs</w:t>
      </w:r>
      <w:bookmarkEnd w:id="4339"/>
    </w:p>
    <w:p>
      <w:pPr>
        <w:pStyle w:val="Normal"/>
      </w:pPr>
      <w:r>
        <w:t xml:space="preserve">To look for </w:t>
      </w:r>
      <w:r>
        <w:rPr>
          <w:rStyle w:val="Text0"/>
        </w:rPr>
        <w:t>Tag</w:t>
      </w:r>
      <w:r>
        <w:t xml:space="preserve"> nodes that have attributes whose values match filters, use a </w:t>
      </w:r>
      <w:r>
        <w:rPr>
          <w:rStyle w:val="Text0"/>
        </w:rPr>
        <w:t>dict</w:t>
      </w:r>
      <w:r>
        <w:t xml:space="preserve"> </w:t>
      </w:r>
      <w:r>
        <w:rPr>
          <w:rStyle w:val="Text3"/>
        </w:rPr>
        <w:t>d</w:t>
      </w:r>
      <w:r>
        <w:t xml:space="preserve"> with attribute names as keys, and filters as the corresponding values. Then, pass </w:t>
      </w:r>
      <w:r>
        <w:rPr>
          <w:rStyle w:val="Text3"/>
        </w:rPr>
        <w:t>d</w:t>
      </w:r>
      <w:r>
        <w:t xml:space="preserve"> as the second positional argument to the search method, or pass </w:t>
      </w:r>
      <w:r>
        <w:rPr>
          <w:rStyle w:val="Text0"/>
        </w:rPr>
        <w:t>attrs=</w:t>
      </w:r>
      <w:r>
        <w:rPr>
          <w:rStyle w:val="Text3"/>
        </w:rPr>
        <w:t>d</w:t>
      </w:r>
      <w:r>
        <w:t>.</w:t>
      </w:r>
    </w:p>
    <w:p>
      <w:pPr>
        <w:pStyle w:val="Normal"/>
      </w:pPr>
      <w:r>
        <w:t xml:space="preserve">As a special case, you can use, as a value in </w:t>
      </w:r>
      <w:r>
        <w:rPr>
          <w:rStyle w:val="Text3"/>
        </w:rPr>
        <w:t>d</w:t>
      </w:r>
      <w:r>
        <w:t xml:space="preserve">, </w:t>
      </w:r>
      <w:r>
        <w:rPr>
          <w:rStyle w:val="Text5"/>
        </w:rPr>
        <w:t>None</w:t>
      </w:r>
      <w:r>
        <w:t xml:space="preserve"> instead of a filter; this matches nodes that </w:t>
      </w:r>
      <w:r>
        <w:rPr>
          <w:rStyle w:val="Text4"/>
        </w:rPr>
        <w:t>lack</w:t>
      </w:r>
      <w:r>
        <w:t xml:space="preserve"> the corresponding attribute.</w:t>
      </w:r>
    </w:p>
    <w:p>
      <w:pPr>
        <w:pStyle w:val="Normal"/>
      </w:pPr>
      <w:r>
        <w:t xml:space="preserve">As a separate special case, if the value </w:t>
      </w:r>
      <w:r>
        <w:rPr>
          <w:rStyle w:val="Text3"/>
        </w:rPr>
        <w:t>f</w:t>
      </w:r>
      <w:r>
        <w:t xml:space="preserve"> of </w:t>
      </w:r>
      <w:r>
        <w:rPr>
          <w:rStyle w:val="Text0"/>
        </w:rPr>
        <w:t>attrs</w:t>
      </w:r>
      <w:r>
        <w:t xml:space="preserve"> is not a </w:t>
      </w:r>
      <w:r>
        <w:rPr>
          <w:rStyle w:val="Text0"/>
        </w:rPr>
        <w:t>dict</w:t>
      </w:r>
      <w:r>
        <w:t xml:space="preserve">, but a filter, that is equivalent to having </w:t>
      </w:r>
      <w:r>
        <w:rPr>
          <w:rStyle w:val="Text0"/>
        </w:rPr>
        <w:t>attrs={'class':</w:t>
      </w:r>
      <w:r>
        <w:t xml:space="preserve"> </w:t>
      </w:r>
      <w:r>
        <w:rPr>
          <w:rStyle w:val="Text3"/>
        </w:rPr>
        <w:t>f</w:t>
      </w:r>
      <w:r>
        <w:rPr>
          <w:rStyle w:val="Text0"/>
        </w:rPr>
        <w:t>}</w:t>
      </w:r>
      <w:r>
        <w:t>. (This convenient shortcut helps because looking for tags with a certain CSS class is a frequent task.)</w:t>
      </w:r>
    </w:p>
    <w:p>
      <w:pPr>
        <w:pStyle w:val="Normal"/>
      </w:pPr>
      <w:r>
        <w:t xml:space="preserve">You cannot apply both special cases at once: to search for tags without any CSS class, you must explicitly pass </w:t>
      </w:r>
      <w:r>
        <w:rPr>
          <w:rStyle w:val="Text0"/>
        </w:rPr>
        <w:t>attrs={'class':</w:t>
      </w:r>
      <w:r>
        <w:t xml:space="preserve"> </w:t>
      </w:r>
      <w:r>
        <w:rPr>
          <w:rStyle w:val="Text5"/>
        </w:rPr>
        <w:t>None</w:t>
      </w:r>
      <w:r>
        <w:rPr>
          <w:rStyle w:val="Text0"/>
        </w:rPr>
        <w:t>}</w:t>
      </w:r>
      <w:r>
        <w:t xml:space="preserve"> (i.e., use the first special case, but not at the same time as the second one):</w:t>
      </w:r>
    </w:p>
    <w:p>
      <w:pPr>
        <w:pStyle w:val="Para 014"/>
      </w:pPr>
      <w:r>
        <w:rPr>
          <w:rStyle w:val="Text116"/>
        </w:rPr>
        <w:t xml:space="preserve"/>
        <w:br w:clear="none"/>
      </w:r>
      <w:r>
        <w:t xml:space="preserve"># return all instances of Tag 'b' w/an attribute 'foo' and no 'bar'</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7"/>
        </w:rPr>
        <w:t xml:space="preserve">'</w:t>
        <w:br w:clear="none"/>
        <w:t xml:space="preserve">b</w:t>
        <w:br w:clear="none"/>
        <w:t xml:space="preserve">'</w:t>
        <w:br w:clear="none"/>
      </w:r>
      <w:r>
        <w:rPr>
          <w:rStyle w:val="Text19"/>
        </w:rPr>
        <w:t xml:space="preserve">,</w:t>
        <w:br w:clear="none"/>
      </w:r>
      <w:r>
        <w:rPr>
          <w:rStyle w:val="Text11"/>
        </w:rPr>
        <w:t xml:space="preserve"> </w:t>
        <w:br w:clear="none"/>
      </w:r>
      <w:r>
        <w:rPr>
          <w:rStyle w:val="Text19"/>
        </w:rPr>
        <w:t xml:space="preserve">{</w:t>
        <w:br w:clear="none"/>
      </w:r>
      <w:r>
        <w:rPr>
          <w:rStyle w:val="Text17"/>
        </w:rPr>
        <w:t xml:space="preserve">'</w:t>
        <w:br w:clear="none"/>
        <w:t xml:space="preserve">foo</w:t>
        <w:br w:clear="none"/>
        <w:t xml:space="preserve">'</w:t>
        <w:br w:clear="none"/>
      </w:r>
      <w:r>
        <w:rPr>
          <w:rStyle w:val="Text19"/>
        </w:rPr>
        <w:t xml:space="preserve">:</w:t>
        <w:br w:clear="none"/>
      </w:r>
      <w:r>
        <w:rPr>
          <w:rStyle w:val="Text11"/>
        </w:rPr>
        <w:t xml:space="preserve"> </w:t>
        <w:br w:clear="none"/>
      </w:r>
      <w:r>
        <w:rPr>
          <w:rStyle w:val="Text22"/>
        </w:rPr>
        <w:t xml:space="preserve">True</w:t>
        <w:br w:clear="none"/>
      </w:r>
      <w:r>
        <w:rPr>
          <w:rStyle w:val="Text19"/>
        </w:rPr>
        <w:t xml:space="preserve">,</w:t>
        <w:br w:clear="none"/>
      </w:r>
      <w:r>
        <w:rPr>
          <w:rStyle w:val="Text11"/>
        </w:rPr>
        <w:t xml:space="preserve"> </w:t>
        <w:br w:clear="none"/>
      </w:r>
      <w:r>
        <w:rPr>
          <w:rStyle w:val="Text17"/>
        </w:rPr>
        <w:t xml:space="preserve">'</w:t>
        <w:br w:clear="none"/>
        <w:t xml:space="preserve">bar</w:t>
        <w:br w:clear="none"/>
        <w:t xml:space="preserve">'</w:t>
        <w:br w:clear="none"/>
      </w:r>
      <w:r>
        <w:rPr>
          <w:rStyle w:val="Text19"/>
        </w:rPr>
        <w:t xml:space="preserve">:</w:t>
        <w:br w:clear="none"/>
      </w:r>
      <w:r>
        <w:rPr>
          <w:rStyle w:val="Text11"/>
        </w:rPr>
        <w:t xml:space="preserve"> </w:t>
        <w:br w:clear="none"/>
      </w:r>
      <w:r>
        <w:rPr>
          <w:rStyle w:val="Text22"/>
        </w:rPr>
        <w:t xml:space="preserve">None</w:t>
        <w:br w:clear="none"/>
      </w:r>
      <w:r>
        <w:rPr>
          <w:rStyle w:val="Text19"/>
        </w:rPr>
        <w:t xml:space="preserve">}</w:t>
        <w:br w:clear="none"/>
        <w:t xml:space="preserve">)</w:t>
        <w:br w:clear="none"/>
      </w:r>
    </w:p>
    <w:p>
      <w:pPr>
        <w:keepNext/>
        <w:pStyle w:val="Heading 5"/>
        <w:keepLines w:val="on"/>
      </w:pPr>
      <w:r>
        <w:t>Matching Tags with Multiple CSS Classes</w:t>
      </w:r>
    </w:p>
    <w:p>
      <w:pPr>
        <w:pStyle w:val="Para 012"/>
        <w:keepLines w:val="on"/>
      </w:pPr>
      <w:r>
        <w:t xml:space="preserve">Unlike most attributes, a tag’s </w:t>
      </w:r>
      <w:r>
        <w:rPr>
          <w:rStyle w:val="Text0"/>
        </w:rPr>
        <w:t>'class'</w:t>
      </w:r>
      <w:r>
        <w:t xml:space="preserve"> attribute can have multiple values. These are shown in HTML as a space-separated string (e.g., </w:t>
      </w:r>
      <w:r>
        <w:rPr>
          <w:rStyle w:val="Text0"/>
        </w:rPr>
        <w:t>'&lt;p class='foo bar baz'&gt;...'</w:t>
      </w:r>
      <w:r>
        <w:t xml:space="preserve">), and in </w:t>
      </w:r>
      <w:r>
        <w:rPr>
          <w:rStyle w:val="Text0"/>
        </w:rPr>
        <w:t>bs4</w:t>
      </w:r>
      <w:r>
        <w:t xml:space="preserve"> as a list of strings (e.g., </w:t>
      </w:r>
      <w:r>
        <w:rPr>
          <w:rStyle w:val="Text3"/>
        </w:rPr>
        <w:t>t</w:t>
      </w:r>
      <w:r>
        <w:rPr>
          <w:rStyle w:val="Text0"/>
        </w:rPr>
        <w:t>['class']</w:t>
      </w:r>
      <w:r>
        <w:t xml:space="preserve"> being </w:t>
      </w:r>
      <w:r>
        <w:rPr>
          <w:rStyle w:val="Text0"/>
        </w:rPr>
        <w:t>['foo', 'bar', 'baz']</w:t>
      </w:r>
      <w:r>
        <w:t>).</w:t>
      </w:r>
    </w:p>
    <w:p>
      <w:pPr>
        <w:pStyle w:val="Para 012"/>
        <w:keepLines w:val="on"/>
      </w:pPr>
      <w:r>
        <w:t xml:space="preserve">When you filter by CSS class in any search method, the filter matches a tag if it matches </w:t>
      </w:r>
      <w:r>
        <w:rPr>
          <w:rStyle w:val="Text4"/>
        </w:rPr>
        <w:t>any</w:t>
      </w:r>
      <w:r>
        <w:t xml:space="preserve"> of the multiple CSS classes of such a tag.</w:t>
      </w:r>
    </w:p>
    <w:p>
      <w:pPr>
        <w:pStyle w:val="Para 012"/>
        <w:keepLines w:val="on"/>
      </w:pPr>
      <w:r>
        <w:t xml:space="preserve">To match tags by multiple CSS classes, you can write a custom function and pass it as the filter to the search method; or, if you don’t need other added functionality of search methods, you can eschew search methods and instead use the method </w:t>
      </w:r>
      <w:r>
        <w:rPr>
          <w:rStyle w:val="Text3"/>
        </w:rPr>
        <w:t>t</w:t>
      </w:r>
      <w:r>
        <w:rPr>
          <w:rStyle w:val="Text0"/>
        </w:rPr>
        <w:t>.select</w:t>
      </w:r>
      <w:r>
        <w:t>, covered in the following section, and go with the syntax of CSS selectors.</w:t>
      </w:r>
    </w:p>
    <w:p>
      <w:bookmarkStart w:id="4340" w:name="Other_named_arguments__Named_arg"/>
      <w:pPr>
        <w:keepNext/>
        <w:pStyle w:val="Heading 4"/>
      </w:pPr>
      <w:r>
        <w:t>Other named arguments</w:t>
      </w:r>
      <w:bookmarkEnd w:id="4340"/>
    </w:p>
    <w:p>
      <w:pPr>
        <w:pStyle w:val="Normal"/>
      </w:pPr>
      <w:r>
        <w:t xml:space="preserve">Named arguments, beyond those whose names are known to the search method, are taken to augment the constraints, if any, specified in </w:t>
      </w:r>
      <w:r>
        <w:rPr>
          <w:rStyle w:val="Text0"/>
        </w:rPr>
        <w:t>attrs</w:t>
      </w:r>
      <w:r>
        <w:t xml:space="preserve">. For example, calling a search method with </w:t>
      </w:r>
      <w:r>
        <w:rPr>
          <w:rStyle w:val="Text3"/>
        </w:rPr>
        <w:t>foo</w:t>
      </w:r>
      <w:r>
        <w:rPr>
          <w:rStyle w:val="Text0"/>
        </w:rPr>
        <w:t>=</w:t>
      </w:r>
      <w:r>
        <w:rPr>
          <w:rStyle w:val="Text3"/>
        </w:rPr>
        <w:t>bar</w:t>
      </w:r>
      <w:r>
        <w:t xml:space="preserve"> is like calling</w:t>
      </w:r>
      <w:r>
        <w:rPr>
          <w:rStyle w:val="Text111"/>
        </w:rPr>
        <w:bookmarkStart w:id="4341" w:name="idm45965170437840"/>
        <w:t/>
        <w:bookmarkEnd w:id="4341"/>
        <w:bookmarkStart w:id="4342" w:name="idm45965170436528"/>
        <w:t/>
        <w:bookmarkEnd w:id="4342"/>
      </w:r>
      <w:r>
        <w:t xml:space="preserve"> it with </w:t>
      </w:r>
      <w:r>
        <w:rPr>
          <w:rStyle w:val="Text0"/>
        </w:rPr>
        <w:t>attrs={'</w:t>
      </w:r>
      <w:r>
        <w:rPr>
          <w:rStyle w:val="Text3"/>
        </w:rPr>
        <w:t>foo</w:t>
      </w:r>
      <w:r>
        <w:rPr>
          <w:rStyle w:val="Text0"/>
        </w:rPr>
        <w:t>':</w:t>
      </w:r>
      <w:r>
        <w:t xml:space="preserve"> </w:t>
      </w:r>
      <w:r>
        <w:rPr>
          <w:rStyle w:val="Text3"/>
        </w:rPr>
        <w:t>bar</w:t>
      </w:r>
      <w:r>
        <w:rPr>
          <w:rStyle w:val="Text0"/>
        </w:rPr>
        <w:t>}</w:t>
      </w:r>
      <w:r>
        <w:t>.</w:t>
      </w:r>
    </w:p>
    <w:p>
      <w:bookmarkStart w:id="4343" w:name="bs4_CSS_Selectors__bs4_tags_supp"/>
      <w:pPr>
        <w:keepNext/>
        <w:pStyle w:val="Heading 2"/>
      </w:pPr>
      <w:r>
        <w:t>bs4 CSS Selectors</w:t>
      </w:r>
      <w:bookmarkEnd w:id="4343"/>
    </w:p>
    <w:p>
      <w:pPr>
        <w:pStyle w:val="Normal"/>
      </w:pPr>
      <w:r>
        <w:rPr>
          <w:rStyle w:val="Text0"/>
        </w:rPr>
        <w:t>bs4</w:t>
      </w:r>
      <w:r>
        <w:t xml:space="preserve"> tags</w:t>
      </w:r>
      <w:r>
        <w:rPr>
          <w:rStyle w:val="Text111"/>
        </w:rPr>
        <w:bookmarkStart w:id="4344" w:name="idm45965170429520"/>
        <w:t/>
        <w:bookmarkEnd w:id="4344"/>
        <w:bookmarkStart w:id="4345" w:name="idm45965170428112"/>
        <w:t/>
        <w:bookmarkEnd w:id="4345"/>
      </w:r>
      <w:r>
        <w:t xml:space="preserve"> supply the methods </w:t>
      </w:r>
      <w:r>
        <w:rPr>
          <w:rStyle w:val="Text0"/>
        </w:rPr>
        <w:t>select</w:t>
      </w:r>
      <w:r>
        <w:t xml:space="preserve"> and </w:t>
      </w:r>
      <w:r>
        <w:rPr>
          <w:rStyle w:val="Text0"/>
        </w:rPr>
        <w:t>select_one</w:t>
      </w:r>
      <w:r>
        <w:t xml:space="preserve">, roughly equivalent to </w:t>
      </w:r>
      <w:r>
        <w:rPr>
          <w:rStyle w:val="Text0"/>
        </w:rPr>
        <w:t>find_all</w:t>
      </w:r>
      <w:r>
        <w:t xml:space="preserve"> and </w:t>
      </w:r>
      <w:r>
        <w:rPr>
          <w:rStyle w:val="Text0"/>
        </w:rPr>
        <w:t>find</w:t>
      </w:r>
      <w:r>
        <w:t xml:space="preserve"> but accepting as the single argument a string that is a </w:t>
      </w:r>
      <w:hyperlink r:id="rId632">
        <w:r>
          <w:rPr>
            <w:rStyle w:val="Text1"/>
          </w:rPr>
          <w:t>CSS selector</w:t>
        </w:r>
      </w:hyperlink>
      <w:r>
        <w:t xml:space="preserve"> and returning, respectively, the list of </w:t>
      </w:r>
      <w:r>
        <w:rPr>
          <w:rStyle w:val="Text0"/>
        </w:rPr>
        <w:t>Tag</w:t>
      </w:r>
      <w:r>
        <w:t xml:space="preserve"> nodes satisfying that selector or the first such </w:t>
      </w:r>
      <w:r>
        <w:rPr>
          <w:rStyle w:val="Text0"/>
        </w:rPr>
        <w:t>Tag</w:t>
      </w:r>
      <w:r>
        <w:t xml:space="preserve"> node. For example:</w:t>
      </w:r>
    </w:p>
    <w:p>
      <w:pPr>
        <w:pStyle w:val="Para 014"/>
      </w:pPr>
      <w:r>
        <w:rPr>
          <w:rStyle w:val="Text116"/>
        </w:rPr>
        <w:t xml:space="preserve"/>
        <w:br w:clear="none"/>
      </w:r>
      <w:r>
        <w:rPr>
          <w:rStyle w:val="Text22"/>
        </w:rPr>
        <w:t xml:space="preserve">def</w:t>
        <w:br w:clear="none"/>
      </w:r>
      <w:r>
        <w:rPr>
          <w:rStyle w:val="Text11"/>
        </w:rPr>
        <w:t xml:space="preserve"> </w:t>
        <w:br w:clear="none"/>
      </w:r>
      <w:r>
        <w:rPr>
          <w:rStyle w:val="Text42"/>
        </w:rPr>
        <w:t xml:space="preserve">foo_child_of_bar</w:t>
        <w:br w:clear="none"/>
      </w:r>
      <w:r>
        <w:rPr>
          <w:rStyle w:val="Text19"/>
        </w:rPr>
        <w:t xml:space="preserve">(</w:t>
        <w:br w:clear="none"/>
      </w:r>
      <w:r>
        <w:rPr>
          <w:rStyle w:val="Text14"/>
        </w:rPr>
        <w:t xml:space="preserve">t</w:t>
        <w:br w:clear="none"/>
      </w:r>
      <w:r>
        <w:rPr>
          <w:rStyle w:val="Text19"/>
        </w:rPr>
        <w:t xml:space="preserve">)</w:t>
        <w:br w:clear="none"/>
        <w:t xml:space="preserve">:</w:t>
        <w:br w:clear="none"/>
      </w:r>
      <w:r>
        <w:rPr>
          <w:rStyle w:val="Text11"/>
        </w:rPr>
        <w:t xml:space="preserve"/>
        <w:br w:clear="none"/>
        <w:t xml:space="preserve">    </w:t>
        <w:br w:clear="none"/>
      </w:r>
      <w:r>
        <w:rPr>
          <w:rStyle w:val="Text22"/>
        </w:rPr>
        <w:t xml:space="preserve">return</w:t>
        <w:br w:clear="none"/>
      </w:r>
      <w:r>
        <w:rPr>
          <w:rStyle w:val="Text11"/>
        </w:rPr>
        <w:t xml:space="preserve"> </w:t>
        <w:br w:clear="none"/>
      </w:r>
      <w:r>
        <w:rPr>
          <w:rStyle w:val="Text14"/>
        </w:rPr>
        <w:t xml:space="preserve">t</w:t>
        <w:br w:clear="none"/>
      </w:r>
      <w:r>
        <w:rPr>
          <w:rStyle w:val="Text28"/>
        </w:rPr>
        <w:t xml:space="preserve">.</w:t>
        <w:br w:clear="none"/>
      </w:r>
      <w:r>
        <w:rPr>
          <w:rStyle w:val="Text14"/>
        </w:rPr>
        <w:t xml:space="preserve">name</w:t>
        <w:br w:clear="none"/>
      </w:r>
      <w:r>
        <w:rPr>
          <w:rStyle w:val="Text28"/>
        </w:rPr>
        <w:t xml:space="preserve">==</w:t>
        <w:br w:clear="none"/>
      </w:r>
      <w:r>
        <w:rPr>
          <w:rStyle w:val="Text17"/>
        </w:rPr>
        <w:t xml:space="preserve">'</w:t>
        <w:br w:clear="none"/>
        <w:t xml:space="preserve">foo</w:t>
        <w:br w:clear="none"/>
        <w:t xml:space="preserve">'</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t</w:t>
        <w:br w:clear="none"/>
      </w:r>
      <w:r>
        <w:rPr>
          <w:rStyle w:val="Text28"/>
        </w:rPr>
        <w:t xml:space="preserve">.</w:t>
        <w:br w:clear="none"/>
      </w:r>
      <w:r>
        <w:rPr>
          <w:rStyle w:val="Text14"/>
        </w:rPr>
        <w:t xml:space="preserve">parent</w:t>
        <w:br w:clear="none"/>
      </w:r>
      <w:r>
        <w:rPr>
          <w:rStyle w:val="Text11"/>
        </w:rPr>
        <w:t xml:space="preserve"> </w:t>
        <w:br w:clear="none"/>
      </w:r>
      <w:r>
        <w:rPr>
          <w:rStyle w:val="Text51"/>
        </w:rPr>
        <w:t xml:space="preserve">and</w:t>
        <w:br w:clear="none"/>
      </w:r>
      <w:r>
        <w:rPr>
          <w:rStyle w:val="Text11"/>
        </w:rPr>
        <w:t xml:space="preserve"> </w:t>
        <w:br w:clear="none"/>
      </w:r>
      <w:r>
        <w:rPr>
          <w:rStyle w:val="Text14"/>
        </w:rPr>
        <w:t xml:space="preserve">t</w:t>
        <w:br w:clear="none"/>
      </w:r>
      <w:r>
        <w:rPr>
          <w:rStyle w:val="Text28"/>
        </w:rPr>
        <w:t xml:space="preserve">.</w:t>
        <w:br w:clear="none"/>
      </w:r>
      <w:r>
        <w:rPr>
          <w:rStyle w:val="Text14"/>
        </w:rPr>
        <w:t xml:space="preserve">parent</w:t>
        <w:br w:clear="none"/>
      </w:r>
      <w:r>
        <w:rPr>
          <w:rStyle w:val="Text28"/>
        </w:rPr>
        <w:t xml:space="preserve">.</w:t>
        <w:br w:clear="none"/>
      </w:r>
      <w:r>
        <w:rPr>
          <w:rStyle w:val="Text14"/>
        </w:rPr>
        <w:t xml:space="preserve">name</w:t>
        <w:br w:clear="none"/>
      </w:r>
      <w:r>
        <w:rPr>
          <w:rStyle w:val="Text28"/>
        </w:rPr>
        <w:t xml:space="preserve">==</w:t>
        <w:br w:clear="none"/>
      </w:r>
      <w:r>
        <w:rPr>
          <w:rStyle w:val="Text17"/>
        </w:rPr>
        <w:t xml:space="preserve">'</w:t>
        <w:br w:clear="none"/>
        <w:t xml:space="preserve">bar</w:t>
        <w:br w:clear="none"/>
        <w:t xml:space="preserve">'</w:t>
        <w:br w:clear="none"/>
      </w:r>
      <w:r>
        <w:rPr>
          <w:rStyle w:val="Text11"/>
        </w:rPr>
        <w:t xml:space="preserve"/>
        <w:br w:clear="none"/>
        <w:t xml:space="preserve"/>
        <w:br w:clear="none"/>
      </w:r>
      <w:r>
        <w:t xml:space="preserve"># return tags with name 'foo' children of tags with name 'bar'</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find_all</w:t>
        <w:br w:clear="none"/>
      </w:r>
      <w:r>
        <w:rPr>
          <w:rStyle w:val="Text19"/>
        </w:rPr>
        <w:t xml:space="preserve">(</w:t>
        <w:br w:clear="none"/>
      </w:r>
      <w:r>
        <w:rPr>
          <w:rStyle w:val="Text14"/>
        </w:rPr>
        <w:t xml:space="preserve">foo_child_of_bar</w:t>
        <w:br w:clear="none"/>
      </w:r>
      <w:r>
        <w:rPr>
          <w:rStyle w:val="Text19"/>
        </w:rPr>
        <w:t xml:space="preserve">)</w:t>
        <w:br w:clear="none"/>
      </w:r>
      <w:r>
        <w:rPr>
          <w:rStyle w:val="Text11"/>
        </w:rPr>
        <w:t xml:space="preserve"/>
        <w:br w:clear="none"/>
        <w:t xml:space="preserve"/>
        <w:br w:clear="none"/>
      </w:r>
      <w:r>
        <w:t xml:space="preserve"># equivalent to using find_all(), with no custom filter function needed</w:t>
        <w:br w:clear="none"/>
      </w:r>
      <w:r>
        <w:rPr>
          <w:rStyle w:val="Text11"/>
        </w:rPr>
        <w:t xml:space="preserve"/>
        <w:br w:clear="none"/>
      </w:r>
      <w:r>
        <w:rPr>
          <w:rStyle w:val="Text14"/>
        </w:rPr>
        <w:t xml:space="preserve">soup</w:t>
        <w:br w:clear="none"/>
      </w:r>
      <w:r>
        <w:rPr>
          <w:rStyle w:val="Text28"/>
        </w:rPr>
        <w:t xml:space="preserve">.</w:t>
        <w:br w:clear="none"/>
      </w:r>
      <w:r>
        <w:rPr>
          <w:rStyle w:val="Text14"/>
        </w:rPr>
        <w:t xml:space="preserve">select</w:t>
        <w:br w:clear="none"/>
      </w:r>
      <w:r>
        <w:rPr>
          <w:rStyle w:val="Text19"/>
        </w:rPr>
        <w:t xml:space="preserve">(</w:t>
        <w:br w:clear="none"/>
      </w:r>
      <w:r>
        <w:rPr>
          <w:rStyle w:val="Text17"/>
        </w:rPr>
        <w:t xml:space="preserve">'</w:t>
        <w:br w:clear="none"/>
        <w:t xml:space="preserve">bar &gt; foo</w:t>
        <w:br w:clear="none"/>
        <w:t xml:space="preserve">'</w:t>
        <w:br w:clear="none"/>
      </w:r>
      <w:r>
        <w:rPr>
          <w:rStyle w:val="Text19"/>
        </w:rPr>
        <w:t xml:space="preserve">)</w:t>
        <w:br w:clear="none"/>
      </w:r>
    </w:p>
    <w:p>
      <w:pPr>
        <w:pStyle w:val="Normal"/>
      </w:pPr>
      <w:r>
        <w:rPr>
          <w:rStyle w:val="Text0"/>
        </w:rPr>
        <w:t>bs4</w:t>
      </w:r>
      <w:r>
        <w:t xml:space="preserve"> supports only a subset of the rich CSS selector functionality, and we do not cover CSS selectors further in this book. (For complete coverage of CSS, we recommend O’Reilly’s </w:t>
      </w:r>
      <w:hyperlink r:id="rId633">
        <w:r>
          <w:rPr>
            <w:rStyle w:val="Text24"/>
          </w:rPr>
          <w:t>CSS: The Definitive Guide</w:t>
        </w:r>
      </w:hyperlink>
      <w:r>
        <w:t xml:space="preserve">, by Eric Meyer and Estelle Weyl.) In most cases, the search methods covered in the previous section are better choices; however, in a few special cases, calling </w:t>
      </w:r>
      <w:r>
        <w:rPr>
          <w:rStyle w:val="Text0"/>
        </w:rPr>
        <w:t>select</w:t>
      </w:r>
      <w:r>
        <w:t xml:space="preserve"> can save you the (small) trouble of writing a custom filter function.</w:t>
      </w:r>
    </w:p>
    <w:p>
      <w:bookmarkStart w:id="4346" w:name="An_HTML_Parsing_Example_with_Bea"/>
      <w:pPr>
        <w:keepNext/>
        <w:pStyle w:val="Heading 2"/>
      </w:pPr>
      <w:r>
        <w:t>An HTML Parsing Example with BeautifulSoup</w:t>
      </w:r>
      <w:bookmarkEnd w:id="4346"/>
    </w:p>
    <w:p>
      <w:pPr>
        <w:pStyle w:val="Normal"/>
      </w:pPr>
      <w:r>
        <w:t>The</w:t>
      </w:r>
      <w:r>
        <w:rPr>
          <w:rStyle w:val="Text111"/>
        </w:rPr>
        <w:bookmarkStart w:id="4347" w:name="idm45965170373184"/>
        <w:t/>
        <w:bookmarkEnd w:id="4347"/>
      </w:r>
      <w:r>
        <w:t xml:space="preserve"> following example uses </w:t>
      </w:r>
      <w:r>
        <w:rPr>
          <w:rStyle w:val="Text0"/>
        </w:rPr>
        <w:t>bs4</w:t>
      </w:r>
      <w:r>
        <w:t xml:space="preserve"> to perform a typical task: fetch a page from the web, parse it, and output the HTTP hyperlinks in the page:</w:t>
      </w:r>
    </w:p>
    <w:p>
      <w:pPr>
        <w:pStyle w:val="Para 007"/>
      </w:pPr>
      <w:r>
        <w:rPr>
          <w:rStyle w:val="Text23"/>
        </w:rPr>
        <w:t xml:space="preserve"/>
        <w:br w:clear="none"/>
      </w:r>
      <w:r>
        <w:rPr>
          <w:rStyle w:val="Text10"/>
        </w:rPr>
        <w:t xml:space="preserve">import</w:t>
        <w:br w:clear="none"/>
      </w:r>
      <w:r>
        <w:rPr>
          <w:rStyle w:val="Text6"/>
        </w:rPr>
        <w:t xml:space="preserve"> </w:t>
        <w:br w:clear="none"/>
      </w:r>
      <w:r>
        <w:rPr>
          <w:rStyle w:val="Text20"/>
        </w:rPr>
        <w:t xml:space="preserve">urllib</w:t>
        <w:br w:clear="none"/>
        <w:t xml:space="preserve">.</w:t>
        <w:br w:clear="none"/>
        <w:t xml:space="preserve">request</w:t>
        <w:br w:clear="none"/>
      </w:r>
      <w:r>
        <w:rPr>
          <w:rStyle w:val="Text13"/>
        </w:rPr>
        <w:t xml:space="preserve">,</w:t>
        <w:br w:clear="none"/>
      </w:r>
      <w:r>
        <w:rPr>
          <w:rStyle w:val="Text6"/>
        </w:rPr>
        <w:t xml:space="preserve"> </w:t>
        <w:br w:clear="none"/>
      </w:r>
      <w:r>
        <w:rPr>
          <w:rStyle w:val="Text20"/>
        </w:rPr>
        <w:t xml:space="preserve">urllib</w:t>
        <w:br w:clear="none"/>
        <w:t xml:space="preserve">.</w:t>
        <w:br w:clear="none"/>
        <w:t xml:space="preserve">parse</w:t>
        <w:br w:clear="none"/>
      </w:r>
      <w:r>
        <w:rPr>
          <w:rStyle w:val="Text13"/>
        </w:rPr>
        <w:t xml:space="preserve">,</w:t>
        <w:br w:clear="none"/>
      </w:r>
      <w:r>
        <w:rPr>
          <w:rStyle w:val="Text6"/>
        </w:rPr>
        <w:t xml:space="preserve"> </w:t>
        <w:br w:clear="none"/>
      </w:r>
      <w:r>
        <w:rPr>
          <w:rStyle w:val="Text20"/>
        </w:rPr>
        <w:t xml:space="preserve">bs4</w:t>
        <w:br w:clear="none"/>
      </w:r>
      <w:r>
        <w:rPr>
          <w:rStyle w:val="Text6"/>
        </w:rPr>
        <w:t xml:space="preserve"/>
        <w:br w:clear="none"/>
        <w:t xml:space="preserve"/>
        <w:br w:clear="none"/>
      </w:r>
      <w:r>
        <w:t xml:space="preserve">f</w:t>
        <w:br w:clear="none"/>
      </w:r>
      <w:r>
        <w:rPr>
          <w:rStyle w:val="Text6"/>
        </w:rPr>
        <w:t xml:space="preserve"> </w:t>
        <w:br w:clear="none"/>
      </w:r>
      <w:r>
        <w:rPr>
          <w:rStyle w:val="Text13"/>
        </w:rPr>
        <w:t xml:space="preserve">=</w:t>
        <w:br w:clear="none"/>
      </w:r>
      <w:r>
        <w:rPr>
          <w:rStyle w:val="Text6"/>
        </w:rPr>
        <w:t xml:space="preserve"> </w:t>
        <w:br w:clear="none"/>
      </w:r>
      <w:r>
        <w:t xml:space="preserve">urllib</w:t>
        <w:br w:clear="none"/>
      </w:r>
      <w:r>
        <w:rPr>
          <w:rStyle w:val="Text13"/>
        </w:rPr>
        <w:t xml:space="preserve">.</w:t>
        <w:br w:clear="none"/>
      </w:r>
      <w:r>
        <w:t xml:space="preserve">request</w:t>
        <w:br w:clear="none"/>
      </w:r>
      <w:r>
        <w:rPr>
          <w:rStyle w:val="Text13"/>
        </w:rPr>
        <w:t xml:space="preserve">.</w:t>
        <w:br w:clear="none"/>
      </w:r>
      <w:r>
        <w:t xml:space="preserve">urlopen</w:t>
        <w:br w:clear="none"/>
      </w:r>
      <w:r>
        <w:rPr>
          <w:rStyle w:val="Text7"/>
        </w:rPr>
        <w:t xml:space="preserve">(</w:t>
        <w:br w:clear="none"/>
      </w:r>
      <w:r>
        <w:rPr>
          <w:rStyle w:val="Text8"/>
        </w:rPr>
        <w:t xml:space="preserve">'</w:t>
        <w:br w:clear="none"/>
        <w:t xml:space="preserve">http://www.python.org</w:t>
        <w:br w:clear="none"/>
        <w:t xml:space="preserve">'</w:t>
        <w:br w:clear="none"/>
      </w:r>
      <w:r>
        <w:rPr>
          <w:rStyle w:val="Text7"/>
        </w:rPr>
        <w:t xml:space="preserve">)</w:t>
        <w:br w:clear="none"/>
      </w:r>
      <w:r>
        <w:rPr>
          <w:rStyle w:val="Text6"/>
        </w:rPr>
        <w:t xml:space="preserve"/>
        <w:br w:clear="none"/>
      </w:r>
      <w:r>
        <w:t xml:space="preserve">b</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t xml:space="preserve">f</w:t>
        <w:br w:clear="none"/>
      </w:r>
      <w:r>
        <w:rPr>
          <w:rStyle w:val="Text7"/>
        </w:rPr>
        <w:t xml:space="preserve">)</w:t>
        <w:br w:clear="none"/>
      </w:r>
      <w:r>
        <w:rPr>
          <w:rStyle w:val="Text6"/>
        </w:rPr>
        <w:t xml:space="preserve"/>
        <w:br w:clear="none"/>
        <w:t xml:space="preserve"/>
        <w:br w:clear="none"/>
      </w:r>
      <w:r>
        <w:t xml:space="preserve">seen</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set</w:t>
        <w:br w:clear="none"/>
      </w:r>
      <w:r>
        <w:rPr>
          <w:rStyle w:val="Text7"/>
        </w:rPr>
        <w:t xml:space="preserve">(</w:t>
        <w:br w:clear="none"/>
        <w:t xml:space="preserve">)</w:t>
        <w:br w:clear="none"/>
      </w:r>
      <w:r>
        <w:rPr>
          <w:rStyle w:val="Text6"/>
        </w:rPr>
        <w:t xml:space="preserve"/>
        <w:br w:clear="none"/>
      </w:r>
      <w:r>
        <w:rPr>
          <w:rStyle w:val="Text10"/>
        </w:rPr>
        <w:t xml:space="preserve">for</w:t>
        <w:br w:clear="none"/>
      </w:r>
      <w:r>
        <w:rPr>
          <w:rStyle w:val="Text6"/>
        </w:rPr>
        <w:t xml:space="preserve"> </w:t>
        <w:br w:clear="none"/>
      </w:r>
      <w:r>
        <w:t xml:space="preserve">anchor</w:t>
        <w:br w:clear="none"/>
      </w:r>
      <w:r>
        <w:rPr>
          <w:rStyle w:val="Text6"/>
        </w:rPr>
        <w:t xml:space="preserve"> </w:t>
        <w:br w:clear="none"/>
      </w:r>
      <w:r>
        <w:rPr>
          <w:rStyle w:val="Text31"/>
        </w:rPr>
        <w:t xml:space="preserve">in</w:t>
        <w:br w:clear="none"/>
      </w:r>
      <w:r>
        <w:rPr>
          <w:rStyle w:val="Text6"/>
        </w:rPr>
        <w:t xml:space="preserve"> </w:t>
        <w:br w:clear="none"/>
      </w:r>
      <w:r>
        <w:t xml:space="preserve">b</w:t>
        <w:br w:clear="none"/>
      </w:r>
      <w:r>
        <w:rPr>
          <w:rStyle w:val="Text7"/>
        </w:rPr>
        <w:t xml:space="preserve">(</w:t>
        <w:br w:clear="none"/>
      </w:r>
      <w:r>
        <w:rPr>
          <w:rStyle w:val="Text8"/>
        </w:rPr>
        <w:t xml:space="preserve">'</w:t>
        <w:br w:clear="none"/>
        <w:t xml:space="preserve">a</w:t>
        <w:br w:clear="none"/>
        <w:t xml:space="preserve">'</w:t>
        <w:br w:clear="none"/>
      </w:r>
      <w:r>
        <w:rPr>
          <w:rStyle w:val="Text7"/>
        </w:rPr>
        <w:t xml:space="preserve">)</w:t>
        <w:br w:clear="none"/>
        <w:t xml:space="preserve">:</w:t>
        <w:br w:clear="none"/>
      </w:r>
      <w:r>
        <w:rPr>
          <w:rStyle w:val="Text6"/>
        </w:rPr>
        <w:t xml:space="preserve"/>
        <w:br w:clear="none"/>
        <w:t xml:space="preserve">    </w:t>
        <w:br w:clear="none"/>
      </w:r>
      <w:r>
        <w:t xml:space="preserve">url</w:t>
        <w:br w:clear="none"/>
      </w:r>
      <w:r>
        <w:rPr>
          <w:rStyle w:val="Text6"/>
        </w:rPr>
        <w:t xml:space="preserve"> </w:t>
        <w:br w:clear="none"/>
      </w:r>
      <w:r>
        <w:rPr>
          <w:rStyle w:val="Text13"/>
        </w:rPr>
        <w:t xml:space="preserve">=</w:t>
        <w:br w:clear="none"/>
      </w:r>
      <w:r>
        <w:rPr>
          <w:rStyle w:val="Text6"/>
        </w:rPr>
        <w:t xml:space="preserve"> </w:t>
        <w:br w:clear="none"/>
      </w:r>
      <w:r>
        <w:t xml:space="preserve">anchor</w:t>
        <w:br w:clear="none"/>
      </w:r>
      <w:r>
        <w:rPr>
          <w:rStyle w:val="Text13"/>
        </w:rPr>
        <w:t xml:space="preserve">.</w:t>
        <w:br w:clear="none"/>
      </w:r>
      <w:r>
        <w:t xml:space="preserve">get</w:t>
        <w:br w:clear="none"/>
      </w:r>
      <w:r>
        <w:rPr>
          <w:rStyle w:val="Text7"/>
        </w:rPr>
        <w:t xml:space="preserve">(</w:t>
        <w:br w:clear="none"/>
      </w:r>
      <w:r>
        <w:rPr>
          <w:rStyle w:val="Text8"/>
        </w:rPr>
        <w:t xml:space="preserve">'</w:t>
        <w:br w:clear="none"/>
        <w:t xml:space="preserve">href</w:t>
        <w:br w:clear="none"/>
        <w:t xml:space="preserve">'</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url</w:t>
        <w:br w:clear="none"/>
      </w:r>
      <w:r>
        <w:rPr>
          <w:rStyle w:val="Text6"/>
        </w:rPr>
        <w:t xml:space="preserve"> </w:t>
        <w:br w:clear="none"/>
      </w:r>
      <w:r>
        <w:rPr>
          <w:rStyle w:val="Text31"/>
        </w:rPr>
        <w:t xml:space="preserve">is</w:t>
        <w:br w:clear="none"/>
      </w:r>
      <w:r>
        <w:rPr>
          <w:rStyle w:val="Text29"/>
        </w:rPr>
        <w:t xml:space="preserve"> </w:t>
        <w:br w:clear="none"/>
      </w:r>
      <w:r>
        <w:rPr>
          <w:rStyle w:val="Text10"/>
        </w:rPr>
        <w:t xml:space="preserve">None</w:t>
        <w:br w:clear="none"/>
      </w:r>
      <w:r>
        <w:rPr>
          <w:rStyle w:val="Text29"/>
        </w:rPr>
        <w:t xml:space="preserve"> </w:t>
        <w:br w:clear="none"/>
      </w:r>
      <w:r>
        <w:rPr>
          <w:rStyle w:val="Text31"/>
        </w:rPr>
        <w:t xml:space="preserve">or</w:t>
        <w:br w:clear="none"/>
      </w:r>
      <w:r>
        <w:rPr>
          <w:rStyle w:val="Text6"/>
        </w:rPr>
        <w:t xml:space="preserve"> </w:t>
        <w:br w:clear="none"/>
      </w:r>
      <w:r>
        <w:t xml:space="preserve">url</w:t>
        <w:br w:clear="none"/>
      </w:r>
      <w:r>
        <w:rPr>
          <w:rStyle w:val="Text6"/>
        </w:rPr>
        <w:t xml:space="preserve"> </w:t>
        <w:br w:clear="none"/>
      </w:r>
      <w:r>
        <w:rPr>
          <w:rStyle w:val="Text31"/>
        </w:rPr>
        <w:t xml:space="preserve">in</w:t>
        <w:br w:clear="none"/>
      </w:r>
      <w:r>
        <w:rPr>
          <w:rStyle w:val="Text6"/>
        </w:rPr>
        <w:t xml:space="preserve"> </w:t>
        <w:br w:clear="none"/>
      </w:r>
      <w:r>
        <w:t xml:space="preserve">seen</w:t>
        <w:br w:clear="none"/>
      </w:r>
      <w:r>
        <w:rPr>
          <w:rStyle w:val="Text7"/>
        </w:rPr>
        <w:t xml:space="preserve">:</w:t>
        <w:br w:clear="none"/>
      </w:r>
      <w:r>
        <w:rPr>
          <w:rStyle w:val="Text6"/>
        </w:rPr>
        <w:t xml:space="preserve"/>
        <w:br w:clear="none"/>
        <w:t xml:space="preserve">        </w:t>
        <w:br w:clear="none"/>
      </w:r>
      <w:r>
        <w:rPr>
          <w:rStyle w:val="Text10"/>
        </w:rPr>
        <w:t xml:space="preserve">continue</w:t>
        <w:br w:clear="none"/>
      </w:r>
      <w:r>
        <w:rPr>
          <w:rStyle w:val="Text6"/>
        </w:rPr>
        <w:t xml:space="preserve"/>
        <w:br w:clear="none"/>
        <w:t xml:space="preserve">    </w:t>
        <w:br w:clear="none"/>
      </w:r>
      <w:r>
        <w:t xml:space="preserve">seen</w:t>
        <w:br w:clear="none"/>
      </w:r>
      <w:r>
        <w:rPr>
          <w:rStyle w:val="Text13"/>
        </w:rPr>
        <w:t xml:space="preserve">.</w:t>
        <w:br w:clear="none"/>
      </w:r>
      <w:r>
        <w:t xml:space="preserve">add</w:t>
        <w:br w:clear="none"/>
      </w:r>
      <w:r>
        <w:rPr>
          <w:rStyle w:val="Text7"/>
        </w:rPr>
        <w:t xml:space="preserve">(</w:t>
        <w:br w:clear="none"/>
      </w:r>
      <w:r>
        <w:t xml:space="preserve">url</w:t>
        <w:br w:clear="none"/>
      </w:r>
      <w:r>
        <w:rPr>
          <w:rStyle w:val="Text7"/>
        </w:rPr>
        <w:t xml:space="preserve">)</w:t>
        <w:br w:clear="none"/>
      </w:r>
      <w:r>
        <w:rPr>
          <w:rStyle w:val="Text6"/>
        </w:rPr>
        <w:t xml:space="preserve"/>
        <w:br w:clear="none"/>
        <w:t xml:space="preserve">    </w:t>
        <w:br w:clear="none"/>
      </w:r>
      <w:r>
        <w:t xml:space="preserve">pieces</w:t>
        <w:br w:clear="none"/>
      </w:r>
      <w:r>
        <w:rPr>
          <w:rStyle w:val="Text6"/>
        </w:rPr>
        <w:t xml:space="preserve"> </w:t>
        <w:br w:clear="none"/>
      </w:r>
      <w:r>
        <w:rPr>
          <w:rStyle w:val="Text13"/>
        </w:rPr>
        <w:t xml:space="preserve">=</w:t>
        <w:br w:clear="none"/>
      </w:r>
      <w:r>
        <w:rPr>
          <w:rStyle w:val="Text6"/>
        </w:rPr>
        <w:t xml:space="preserve"> </w:t>
        <w:br w:clear="none"/>
      </w:r>
      <w:r>
        <w:t xml:space="preserve">urllib</w:t>
        <w:br w:clear="none"/>
      </w:r>
      <w:r>
        <w:rPr>
          <w:rStyle w:val="Text13"/>
        </w:rPr>
        <w:t xml:space="preserve">.</w:t>
        <w:br w:clear="none"/>
      </w:r>
      <w:r>
        <w:t xml:space="preserve">parse</w:t>
        <w:br w:clear="none"/>
      </w:r>
      <w:r>
        <w:rPr>
          <w:rStyle w:val="Text13"/>
        </w:rPr>
        <w:t xml:space="preserve">.</w:t>
        <w:br w:clear="none"/>
      </w:r>
      <w:r>
        <w:t xml:space="preserve">urlparse</w:t>
        <w:br w:clear="none"/>
      </w:r>
      <w:r>
        <w:rPr>
          <w:rStyle w:val="Text7"/>
        </w:rPr>
        <w:t xml:space="preserve">(</w:t>
        <w:br w:clear="none"/>
      </w:r>
      <w:r>
        <w:t xml:space="preserve">url</w:t>
        <w:br w:clear="none"/>
      </w:r>
      <w:r>
        <w:rPr>
          <w:rStyle w:val="Text7"/>
        </w:rPr>
        <w:t xml:space="preserve">)</w:t>
        <w:br w:clear="none"/>
      </w:r>
      <w:r>
        <w:rPr>
          <w:rStyle w:val="Text6"/>
        </w:rPr>
        <w:t xml:space="preserve"/>
        <w:br w:clear="none"/>
        <w:t xml:space="preserve">    </w:t>
        <w:br w:clear="none"/>
      </w:r>
      <w:r>
        <w:rPr>
          <w:rStyle w:val="Text10"/>
        </w:rPr>
        <w:t xml:space="preserve">if</w:t>
        <w:br w:clear="none"/>
      </w:r>
      <w:r>
        <w:rPr>
          <w:rStyle w:val="Text6"/>
        </w:rPr>
        <w:t xml:space="preserve"> </w:t>
        <w:br w:clear="none"/>
      </w:r>
      <w:r>
        <w:t xml:space="preserve">pieces</w:t>
        <w:br w:clear="none"/>
      </w:r>
      <w:r>
        <w:rPr>
          <w:rStyle w:val="Text7"/>
        </w:rPr>
        <w:t xml:space="preserve">[</w:t>
        <w:br w:clear="none"/>
      </w:r>
      <w:r>
        <w:rPr>
          <w:rStyle w:val="Text27"/>
        </w:rPr>
        <w:t xml:space="preserve">0</w:t>
        <w:br w:clear="none"/>
      </w:r>
      <w:r>
        <w:rPr>
          <w:rStyle w:val="Text7"/>
        </w:rPr>
        <w:t xml:space="preserve">]</w:t>
        <w:br w:clear="none"/>
      </w:r>
      <w:r>
        <w:rPr>
          <w:rStyle w:val="Text13"/>
        </w:rPr>
        <w:t xml:space="preserve">.</w:t>
        <w:br w:clear="none"/>
      </w:r>
      <w:r>
        <w:t xml:space="preserve">startswith</w:t>
        <w:br w:clear="none"/>
      </w:r>
      <w:r>
        <w:rPr>
          <w:rStyle w:val="Text7"/>
        </w:rPr>
        <w:t xml:space="preserve">(</w:t>
        <w:br w:clear="none"/>
      </w:r>
      <w:r>
        <w:rPr>
          <w:rStyle w:val="Text8"/>
        </w:rPr>
        <w:t xml:space="preserve">'</w:t>
        <w:br w:clear="none"/>
        <w:t xml:space="preserve">http</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urllib</w:t>
        <w:br w:clear="none"/>
      </w:r>
      <w:r>
        <w:rPr>
          <w:rStyle w:val="Text13"/>
        </w:rPr>
        <w:t xml:space="preserve">.</w:t>
        <w:br w:clear="none"/>
      </w:r>
      <w:r>
        <w:t xml:space="preserve">parse</w:t>
        <w:br w:clear="none"/>
      </w:r>
      <w:r>
        <w:rPr>
          <w:rStyle w:val="Text13"/>
        </w:rPr>
        <w:t xml:space="preserve">.</w:t>
        <w:br w:clear="none"/>
      </w:r>
      <w:r>
        <w:t xml:space="preserve">urlunparse</w:t>
        <w:br w:clear="none"/>
      </w:r>
      <w:r>
        <w:rPr>
          <w:rStyle w:val="Text7"/>
        </w:rPr>
        <w:t xml:space="preserve">(</w:t>
        <w:br w:clear="none"/>
      </w:r>
      <w:r>
        <w:t xml:space="preserve">pieces</w:t>
        <w:br w:clear="none"/>
      </w:r>
      <w:r>
        <w:rPr>
          <w:rStyle w:val="Text7"/>
        </w:rPr>
        <w:t xml:space="preserve">)</w:t>
        <w:br w:clear="none"/>
        <w:t xml:space="preserve">)</w:t>
        <w:br w:clear="none"/>
      </w:r>
    </w:p>
    <w:p>
      <w:pPr>
        <w:pStyle w:val="Normal"/>
      </w:pPr>
      <w:r>
        <w:t xml:space="preserve">We first call the instance of class </w:t>
      </w:r>
      <w:r>
        <w:rPr>
          <w:rStyle w:val="Text0"/>
        </w:rPr>
        <w:t>bs4.BeautifulSoup</w:t>
      </w:r>
      <w:r>
        <w:t xml:space="preserve"> (equivalent to calling its </w:t>
      </w:r>
      <w:r>
        <w:rPr>
          <w:rStyle w:val="Text0"/>
        </w:rPr>
        <w:t>find_all</w:t>
      </w:r>
      <w:r>
        <w:t xml:space="preserve"> method) to obtain all instances of a certain tag (here, tag </w:t>
      </w:r>
      <w:r>
        <w:rPr>
          <w:rStyle w:val="Text0"/>
        </w:rPr>
        <w:t>'&lt;a&gt;'</w:t>
      </w:r>
      <w:r>
        <w:t xml:space="preserve">), then the </w:t>
      </w:r>
      <w:r>
        <w:rPr>
          <w:rStyle w:val="Text0"/>
        </w:rPr>
        <w:t>get</w:t>
      </w:r>
      <w:r>
        <w:t xml:space="preserve"> method of instances of the tag in question to obtain the value of an attribute (here, </w:t>
      </w:r>
      <w:r>
        <w:rPr>
          <w:rStyle w:val="Text0"/>
        </w:rPr>
        <w:t>'href'</w:t>
      </w:r>
      <w:r>
        <w:t xml:space="preserve">), or </w:t>
      </w:r>
      <w:r>
        <w:rPr>
          <w:rStyle w:val="Text5"/>
        </w:rPr>
        <w:t>None</w:t>
      </w:r>
      <w:r>
        <w:t xml:space="preserve"> when that attribute is missing.</w:t>
      </w:r>
      <w:r>
        <w:rPr>
          <w:rStyle w:val="Text111"/>
        </w:rPr>
        <w:bookmarkStart w:id="4348" w:name="idm45965170228224"/>
        <w:t/>
        <w:bookmarkEnd w:id="4348"/>
      </w:r>
    </w:p>
    <w:p>
      <w:bookmarkStart w:id="4349" w:name="Generating_HTML__Python_does_not"/>
      <w:pPr>
        <w:keepNext/>
        <w:pStyle w:val="Heading 1"/>
      </w:pPr>
      <w:r>
        <w:t>Generating HTML</w:t>
      </w:r>
      <w:bookmarkEnd w:id="4349"/>
    </w:p>
    <w:p>
      <w:pPr>
        <w:pStyle w:val="Normal"/>
      </w:pPr>
      <w:r>
        <w:t>Python</w:t>
      </w:r>
      <w:r>
        <w:rPr>
          <w:rStyle w:val="Text111"/>
        </w:rPr>
        <w:bookmarkStart w:id="4350" w:name="STgenhtml22"/>
        <w:t/>
        <w:bookmarkEnd w:id="4350"/>
        <w:bookmarkStart w:id="4351" w:name="htmlgen22"/>
        <w:t/>
        <w:bookmarkEnd w:id="4351"/>
        <w:bookmarkStart w:id="4352" w:name="hypegen22"/>
        <w:t/>
        <w:bookmarkEnd w:id="4352"/>
      </w:r>
      <w:r>
        <w:t xml:space="preserve"> does not come with tools specifically meant to generate HTML, nor with ones that let you embed Python code directly within HTML pages. Development and maintenance are eased by separating logic and presentation issues through </w:t>
      </w:r>
      <w:r>
        <w:rPr>
          <w:rStyle w:val="Text4"/>
        </w:rPr>
        <w:t>templating</w:t>
      </w:r>
      <w:r>
        <w:t xml:space="preserve">, covered in </w:t>
      </w:r>
      <w:hyperlink w:anchor="Templating__To_generate_HTML__th">
        <w:r>
          <w:rPr>
            <w:rStyle w:val="Text1"/>
          </w:rPr>
          <w:t>“Templating”</w:t>
        </w:r>
      </w:hyperlink>
      <w:r>
        <w:t xml:space="preserve">. An alternative is to use </w:t>
      </w:r>
      <w:r>
        <w:rPr>
          <w:rStyle w:val="Text0"/>
        </w:rPr>
        <w:t>bs4</w:t>
      </w:r>
      <w:r>
        <w:t xml:space="preserve"> to create HTML documents in your Python code by gradually altering very minimal initial documents. Since these alterations rely on </w:t>
      </w:r>
      <w:r>
        <w:rPr>
          <w:rStyle w:val="Text0"/>
        </w:rPr>
        <w:t>bs4</w:t>
      </w:r>
      <w:r>
        <w:t xml:space="preserve"> </w:t>
      </w:r>
      <w:r>
        <w:rPr>
          <w:rStyle w:val="Text4"/>
        </w:rPr>
        <w:t>parsing</w:t>
      </w:r>
      <w:r>
        <w:t xml:space="preserve"> some HTML, using different parsers affects the output, as mentioned in </w:t>
      </w:r>
      <w:hyperlink w:anchor="Which_parser_BeautifulSoup_uses">
        <w:r>
          <w:rPr>
            <w:rStyle w:val="Text1"/>
          </w:rPr>
          <w:t>“Which parser BeautifulSoup uses”</w:t>
        </w:r>
      </w:hyperlink>
      <w:r>
        <w:t>.</w:t>
      </w:r>
    </w:p>
    <w:p>
      <w:bookmarkStart w:id="4353" w:name="Editing_and_Creating_HTML_with_b"/>
      <w:pPr>
        <w:keepNext/>
        <w:pStyle w:val="Heading 2"/>
      </w:pPr>
      <w:r>
        <w:t>Editing and Creating HTML with bs4</w:t>
      </w:r>
      <w:bookmarkEnd w:id="4353"/>
    </w:p>
    <w:p>
      <w:pPr>
        <w:pStyle w:val="Normal"/>
      </w:pPr>
      <w:r>
        <w:t>You</w:t>
      </w:r>
      <w:r>
        <w:rPr>
          <w:rStyle w:val="Text111"/>
        </w:rPr>
        <w:bookmarkStart w:id="4354" w:name="BSPcrehtml22"/>
        <w:t/>
        <w:bookmarkEnd w:id="4354"/>
      </w:r>
      <w:r>
        <w:t xml:space="preserve"> have various options for editing an instance </w:t>
      </w:r>
      <w:r>
        <w:rPr>
          <w:rStyle w:val="Text3"/>
        </w:rPr>
        <w:t>t</w:t>
      </w:r>
      <w:r>
        <w:t xml:space="preserve"> of </w:t>
      </w:r>
      <w:r>
        <w:rPr>
          <w:rStyle w:val="Text0"/>
        </w:rPr>
        <w:t>Tag</w:t>
      </w:r>
      <w:r>
        <w:t xml:space="preserve">. You can alter the tag name by assigning to </w:t>
      </w:r>
      <w:r>
        <w:rPr>
          <w:rStyle w:val="Text3"/>
        </w:rPr>
        <w:t>t</w:t>
      </w:r>
      <w:r>
        <w:rPr>
          <w:rStyle w:val="Text0"/>
        </w:rPr>
        <w:t>.name</w:t>
      </w:r>
      <w:r>
        <w:t xml:space="preserve">, and you can alter </w:t>
      </w:r>
      <w:r>
        <w:rPr>
          <w:rStyle w:val="Text3"/>
        </w:rPr>
        <w:t>t</w:t>
      </w:r>
      <w:r>
        <w:t xml:space="preserve">’s attributes by treating </w:t>
      </w:r>
      <w:r>
        <w:rPr>
          <w:rStyle w:val="Text3"/>
        </w:rPr>
        <w:t>t</w:t>
      </w:r>
      <w:r>
        <w:t xml:space="preserve"> as a mapping: assign to an indexing to add or change an attribute, or delete the indexing to remove an attribute (for example, </w:t>
      </w:r>
      <w:r>
        <w:rPr>
          <w:rStyle w:val="Text5"/>
        </w:rPr>
        <w:t>del</w:t>
      </w:r>
      <w:r>
        <w:t xml:space="preserve"> </w:t>
      </w:r>
      <w:r>
        <w:rPr>
          <w:rStyle w:val="Text3"/>
        </w:rPr>
        <w:t>t</w:t>
      </w:r>
      <w:r>
        <w:rPr>
          <w:rStyle w:val="Text0"/>
        </w:rPr>
        <w:t>['foo']</w:t>
      </w:r>
      <w:r>
        <w:t xml:space="preserve"> removes the attribute </w:t>
      </w:r>
      <w:r>
        <w:rPr>
          <w:rStyle w:val="Text0"/>
        </w:rPr>
        <w:t>foo</w:t>
      </w:r>
      <w:r>
        <w:t xml:space="preserve">). If you assign some </w:t>
      </w:r>
      <w:r>
        <w:rPr>
          <w:rStyle w:val="Text0"/>
        </w:rPr>
        <w:t>str</w:t>
      </w:r>
      <w:r>
        <w:t xml:space="preserve"> to </w:t>
      </w:r>
      <w:r>
        <w:rPr>
          <w:rStyle w:val="Text3"/>
        </w:rPr>
        <w:t>t</w:t>
      </w:r>
      <w:r>
        <w:rPr>
          <w:rStyle w:val="Text0"/>
        </w:rPr>
        <w:t>.string</w:t>
      </w:r>
      <w:r>
        <w:t xml:space="preserve">, all previous </w:t>
      </w:r>
      <w:r>
        <w:rPr>
          <w:rStyle w:val="Text3"/>
        </w:rPr>
        <w:t>t</w:t>
      </w:r>
      <w:r>
        <w:rPr>
          <w:rStyle w:val="Text0"/>
        </w:rPr>
        <w:t>.contents</w:t>
      </w:r>
      <w:r>
        <w:t xml:space="preserve"> (</w:t>
      </w:r>
      <w:r>
        <w:rPr>
          <w:rStyle w:val="Text0"/>
        </w:rPr>
        <w:t>Tag</w:t>
      </w:r>
      <w:r>
        <w:t xml:space="preserve">s and/or strings—the whole subtree of </w:t>
      </w:r>
      <w:r>
        <w:rPr>
          <w:rStyle w:val="Text3"/>
        </w:rPr>
        <w:t>t</w:t>
      </w:r>
      <w:r>
        <w:t xml:space="preserve">’s descendants) are discarded and replaced with a new </w:t>
      </w:r>
      <w:r>
        <w:rPr>
          <w:rStyle w:val="Text0"/>
        </w:rPr>
        <w:t>NavigableString</w:t>
      </w:r>
      <w:r>
        <w:t xml:space="preserve"> instance with that </w:t>
      </w:r>
      <w:r>
        <w:rPr>
          <w:rStyle w:val="Text0"/>
        </w:rPr>
        <w:t>str</w:t>
      </w:r>
      <w:r>
        <w:t xml:space="preserve"> as its textual content.</w:t>
      </w:r>
    </w:p>
    <w:p>
      <w:pPr>
        <w:pStyle w:val="Normal"/>
      </w:pPr>
      <w:r>
        <w:t xml:space="preserve">Given an instance </w:t>
      </w:r>
      <w:r>
        <w:rPr>
          <w:rStyle w:val="Text3"/>
        </w:rPr>
        <w:t>s</w:t>
      </w:r>
      <w:r>
        <w:t xml:space="preserve"> of </w:t>
      </w:r>
      <w:r>
        <w:rPr>
          <w:rStyle w:val="Text0"/>
        </w:rPr>
        <w:t>NavigableString</w:t>
      </w:r>
      <w:r>
        <w:t xml:space="preserve">, you can replace its textual content: calling </w:t>
      </w:r>
      <w:r>
        <w:rPr>
          <w:rStyle w:val="Text3"/>
        </w:rPr>
        <w:t>s</w:t>
      </w:r>
      <w:r>
        <w:rPr>
          <w:rStyle w:val="Text0"/>
        </w:rPr>
        <w:t>.replace_with('other')</w:t>
      </w:r>
      <w:r>
        <w:t xml:space="preserve"> replaces </w:t>
      </w:r>
      <w:r>
        <w:rPr>
          <w:rStyle w:val="Text3"/>
        </w:rPr>
        <w:t>s</w:t>
      </w:r>
      <w:r>
        <w:t xml:space="preserve">’s text with </w:t>
      </w:r>
      <w:r>
        <w:rPr>
          <w:rStyle w:val="Text0"/>
        </w:rPr>
        <w:t>'other'</w:t>
      </w:r>
      <w:r>
        <w:t>.</w:t>
      </w:r>
    </w:p>
    <w:p>
      <w:bookmarkStart w:id="4355" w:name="Building_and_adding_new_nodes__A"/>
      <w:pPr>
        <w:keepNext/>
        <w:pStyle w:val="Heading 2"/>
      </w:pPr>
      <w:r>
        <w:t>Building and adding new nodes</w:t>
      </w:r>
      <w:bookmarkEnd w:id="4355"/>
    </w:p>
    <w:p>
      <w:pPr>
        <w:pStyle w:val="Normal"/>
      </w:pPr>
      <w:r>
        <w:t>Altering existing nodes is important, but creating new ones and adding them to the tree is crucial for building an HTML document from scratch.</w:t>
      </w:r>
    </w:p>
    <w:p>
      <w:pPr>
        <w:pStyle w:val="Normal"/>
      </w:pPr>
      <w:r>
        <w:t xml:space="preserve">To create a new </w:t>
      </w:r>
      <w:r>
        <w:rPr>
          <w:rStyle w:val="Text0"/>
        </w:rPr>
        <w:t>NavigableString</w:t>
      </w:r>
      <w:r>
        <w:t xml:space="preserve"> instance, call the class with the text content as the single argument:</w:t>
      </w:r>
    </w:p>
    <w:p>
      <w:pPr>
        <w:pStyle w:val="Para 007"/>
      </w:pPr>
      <w:r>
        <w:rPr>
          <w:rStyle w:val="Text23"/>
        </w:rPr>
        <w:t xml:space="preserve"/>
        <w:br w:clear="none"/>
      </w:r>
      <w:r>
        <w:t xml:space="preserve">s</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NavigableString</w:t>
        <w:br w:clear="none"/>
      </w:r>
      <w:r>
        <w:rPr>
          <w:rStyle w:val="Text7"/>
        </w:rPr>
        <w:t xml:space="preserve">(</w:t>
        <w:br w:clear="none"/>
      </w:r>
      <w:r>
        <w:rPr>
          <w:rStyle w:val="Text8"/>
        </w:rPr>
        <w:t xml:space="preserve">' some text '</w:t>
        <w:br w:clear="none"/>
      </w:r>
      <w:r>
        <w:rPr>
          <w:rStyle w:val="Text7"/>
        </w:rPr>
        <w:t xml:space="preserve">)</w:t>
        <w:br w:clear="none"/>
      </w:r>
    </w:p>
    <w:p>
      <w:pPr>
        <w:pStyle w:val="Normal"/>
      </w:pPr>
      <w:r>
        <w:t xml:space="preserve">To create a new </w:t>
      </w:r>
      <w:r>
        <w:rPr>
          <w:rStyle w:val="Text0"/>
        </w:rPr>
        <w:t>Tag</w:t>
      </w:r>
      <w:r>
        <w:t xml:space="preserve"> instance, call the </w:t>
      </w:r>
      <w:r>
        <w:rPr>
          <w:rStyle w:val="Text0"/>
        </w:rPr>
        <w:t>new_tag</w:t>
      </w:r>
      <w:r>
        <w:t xml:space="preserve"> method of a </w:t>
      </w:r>
      <w:r>
        <w:rPr>
          <w:rStyle w:val="Text0"/>
        </w:rPr>
        <w:t>BeautifulSoup</w:t>
      </w:r>
      <w:r>
        <w:t xml:space="preserve"> instance, with the tag name as the single positional argument and (optionally) named arguments for attributes:</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t</w:t>
        <w:br w:clear="none"/>
      </w:r>
      <w:r>
        <w:rPr>
          <w:rStyle w:val="Text23"/>
        </w:rPr>
        <w:t xml:space="preserve"> </w:t>
        <w:br w:clear="none"/>
      </w:r>
      <w:r>
        <w:rPr>
          <w:rStyle w:val="Text13"/>
        </w:rPr>
        <w:t xml:space="preserve">=</w:t>
        <w:br w:clear="none"/>
      </w:r>
      <w:r>
        <w:rPr>
          <w:rStyle w:val="Text23"/>
        </w:rPr>
        <w:t xml:space="preserve"> </w:t>
        <w:br w:clear="none"/>
      </w:r>
      <w:r>
        <w:t xml:space="preserve">soup</w:t>
        <w:br w:clear="none"/>
      </w:r>
      <w:r>
        <w:rPr>
          <w:rStyle w:val="Text13"/>
        </w:rPr>
        <w:t xml:space="preserve">.</w:t>
        <w:br w:clear="none"/>
      </w:r>
      <w:r>
        <w:t xml:space="preserve">new_tag</w:t>
        <w:br w:clear="none"/>
      </w:r>
      <w:r>
        <w:rPr>
          <w:rStyle w:val="Text7"/>
        </w:rPr>
        <w:t xml:space="preserve">(</w:t>
        <w:br w:clear="none"/>
      </w:r>
      <w:r>
        <w:rPr>
          <w:rStyle w:val="Text8"/>
        </w:rPr>
        <w:t xml:space="preserve">'foo'</w:t>
        <w:br w:clear="none"/>
      </w:r>
      <w:r>
        <w:rPr>
          <w:rStyle w:val="Text7"/>
        </w:rPr>
        <w:t xml:space="preserve">,</w:t>
        <w:br w:clear="none"/>
      </w:r>
      <w:r>
        <w:rPr>
          <w:rStyle w:val="Text23"/>
        </w:rPr>
        <w:t xml:space="preserve"> </w:t>
        <w:br w:clear="none"/>
      </w:r>
      <w:r>
        <w:t xml:space="preserve">bar</w:t>
        <w:br w:clear="none"/>
      </w:r>
      <w:r>
        <w:rPr>
          <w:rStyle w:val="Text13"/>
        </w:rPr>
        <w:t xml:space="preserve">=</w:t>
        <w:br w:clear="none"/>
      </w:r>
      <w:r>
        <w:rPr>
          <w:rStyle w:val="Text8"/>
        </w:rPr>
        <w:t xml:space="preserve">'baz'</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t</w:t>
        <w:br w:clear="none"/>
      </w:r>
      <w:r>
        <w:rPr>
          <w:rStyle w:val="Text7"/>
        </w:rPr>
        <w:t xml:space="preserve">)</w:t>
        <w:br w:clear="none"/>
      </w:r>
    </w:p>
    <w:p>
      <w:pPr>
        <w:pStyle w:val="Para 008"/>
      </w:pPr>
      <w:r>
        <w:rPr>
          <w:rStyle w:val="Text48"/>
        </w:rPr>
        <w:t xml:space="preserve"/>
        <w:br w:clear="none"/>
      </w:r>
      <w:r>
        <w:t xml:space="preserve">&lt;foo bar="baz"&gt;&lt;/foo&gt;</w:t>
        <w:br w:clear="none"/>
      </w:r>
    </w:p>
    <w:p>
      <w:pPr>
        <w:pStyle w:val="Normal"/>
      </w:pPr>
      <w:r>
        <w:t xml:space="preserve">To add a node to the children of a </w:t>
      </w:r>
      <w:r>
        <w:rPr>
          <w:rStyle w:val="Text0"/>
        </w:rPr>
        <w:t>Tag</w:t>
      </w:r>
      <w:r>
        <w:t xml:space="preserve">, use the </w:t>
      </w:r>
      <w:r>
        <w:rPr>
          <w:rStyle w:val="Text0"/>
        </w:rPr>
        <w:t>Tag</w:t>
      </w:r>
      <w:r>
        <w:t xml:space="preserve">’s </w:t>
      </w:r>
      <w:r>
        <w:rPr>
          <w:rStyle w:val="Text0"/>
        </w:rPr>
        <w:t>append</w:t>
      </w:r>
      <w:r>
        <w:t xml:space="preserve"> method. This adds the node after any existing children:</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t</w:t>
        <w:br w:clear="none"/>
      </w:r>
      <w:r>
        <w:rPr>
          <w:rStyle w:val="Text13"/>
        </w:rPr>
        <w:t xml:space="preserve">.</w:t>
        <w:br w:clear="none"/>
      </w:r>
      <w:r>
        <w:t xml:space="preserve">append</w:t>
        <w:br w:clear="none"/>
      </w:r>
      <w:r>
        <w:rPr>
          <w:rStyle w:val="Text7"/>
        </w:rPr>
        <w:t xml:space="preserve">(</w:t>
        <w:br w:clear="none"/>
      </w:r>
      <w:r>
        <w:t xml:space="preserve">s</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t</w:t>
        <w:br w:clear="none"/>
      </w:r>
      <w:r>
        <w:rPr>
          <w:rStyle w:val="Text7"/>
        </w:rPr>
        <w:t xml:space="preserve">)</w:t>
        <w:br w:clear="none"/>
      </w:r>
    </w:p>
    <w:p>
      <w:pPr>
        <w:pStyle w:val="Para 008"/>
      </w:pPr>
      <w:r>
        <w:rPr>
          <w:rStyle w:val="Text48"/>
        </w:rPr>
        <w:t xml:space="preserve"/>
        <w:br w:clear="none"/>
      </w:r>
      <w:r>
        <w:t xml:space="preserve">&lt;foo bar="baz"&gt; some text &lt;/foo&gt;</w:t>
        <w:br w:clear="none"/>
      </w:r>
    </w:p>
    <w:p>
      <w:pPr>
        <w:pStyle w:val="Normal"/>
      </w:pPr>
      <w:r>
        <w:t xml:space="preserve">If you want the new node to go elsewhere than at the end, at a certain index among </w:t>
      </w:r>
      <w:r>
        <w:rPr>
          <w:rStyle w:val="Text3"/>
        </w:rPr>
        <w:t>t</w:t>
      </w:r>
      <w:r>
        <w:t xml:space="preserve">’s children, call </w:t>
      </w:r>
      <w:r>
        <w:rPr>
          <w:rStyle w:val="Text3"/>
        </w:rPr>
        <w:t>t</w:t>
      </w:r>
      <w:r>
        <w:rPr>
          <w:rStyle w:val="Text0"/>
        </w:rPr>
        <w:t>.insert(</w:t>
      </w:r>
      <w:r>
        <w:rPr>
          <w:rStyle w:val="Text3"/>
        </w:rPr>
        <w:t>n, s</w:t>
      </w:r>
      <w:r>
        <w:rPr>
          <w:rStyle w:val="Text0"/>
        </w:rPr>
        <w:t>)</w:t>
      </w:r>
      <w:r>
        <w:t xml:space="preserve"> to put </w:t>
      </w:r>
      <w:r>
        <w:rPr>
          <w:rStyle w:val="Text3"/>
        </w:rPr>
        <w:t>s</w:t>
      </w:r>
      <w:r>
        <w:t xml:space="preserve"> at index </w:t>
      </w:r>
      <w:r>
        <w:rPr>
          <w:rStyle w:val="Text3"/>
        </w:rPr>
        <w:t>n</w:t>
      </w:r>
      <w:r>
        <w:t xml:space="preserve"> in </w:t>
      </w:r>
      <w:r>
        <w:rPr>
          <w:rStyle w:val="Text3"/>
        </w:rPr>
        <w:t>t</w:t>
      </w:r>
      <w:r>
        <w:rPr>
          <w:rStyle w:val="Text0"/>
        </w:rPr>
        <w:t>.contents</w:t>
      </w:r>
      <w:r>
        <w:t xml:space="preserve"> (</w:t>
      </w:r>
      <w:r>
        <w:rPr>
          <w:rStyle w:val="Text3"/>
        </w:rPr>
        <w:t>t</w:t>
      </w:r>
      <w:r>
        <w:rPr>
          <w:rStyle w:val="Text0"/>
        </w:rPr>
        <w:t>.append</w:t>
      </w:r>
      <w:r>
        <w:t xml:space="preserve"> and </w:t>
      </w:r>
      <w:r>
        <w:rPr>
          <w:rStyle w:val="Text3"/>
        </w:rPr>
        <w:t>t</w:t>
      </w:r>
      <w:r>
        <w:rPr>
          <w:rStyle w:val="Text0"/>
        </w:rPr>
        <w:t>.insert</w:t>
      </w:r>
      <w:r>
        <w:t xml:space="preserve"> work as if </w:t>
      </w:r>
      <w:r>
        <w:rPr>
          <w:rStyle w:val="Text3"/>
        </w:rPr>
        <w:t>t</w:t>
      </w:r>
      <w:r>
        <w:t xml:space="preserve"> is a list of its children).</w:t>
      </w:r>
    </w:p>
    <w:p>
      <w:pPr>
        <w:pStyle w:val="Normal"/>
      </w:pPr>
      <w:r>
        <w:t xml:space="preserve">If you have a navigable element </w:t>
      </w:r>
      <w:r>
        <w:rPr>
          <w:rStyle w:val="Text3"/>
        </w:rPr>
        <w:t>b</w:t>
      </w:r>
      <w:r>
        <w:t xml:space="preserve"> and want to add a new node </w:t>
      </w:r>
      <w:r>
        <w:rPr>
          <w:rStyle w:val="Text3"/>
        </w:rPr>
        <w:t>x</w:t>
      </w:r>
      <w:r>
        <w:t xml:space="preserve"> as </w:t>
      </w:r>
      <w:r>
        <w:rPr>
          <w:rStyle w:val="Text3"/>
        </w:rPr>
        <w:t>b</w:t>
      </w:r>
      <w:r>
        <w:t xml:space="preserve">’s </w:t>
      </w:r>
      <w:r>
        <w:rPr>
          <w:rStyle w:val="Text0"/>
        </w:rPr>
        <w:t>previous_sibling</w:t>
      </w:r>
      <w:r>
        <w:t xml:space="preserve">, call </w:t>
      </w:r>
      <w:r>
        <w:rPr>
          <w:rStyle w:val="Text3"/>
        </w:rPr>
        <w:t>b</w:t>
      </w:r>
      <w:r>
        <w:rPr>
          <w:rStyle w:val="Text0"/>
        </w:rPr>
        <w:t>.insert_before(</w:t>
      </w:r>
      <w:r>
        <w:rPr>
          <w:rStyle w:val="Text3"/>
        </w:rPr>
        <w:t>x</w:t>
      </w:r>
      <w:r>
        <w:rPr>
          <w:rStyle w:val="Text0"/>
        </w:rPr>
        <w:t>)</w:t>
      </w:r>
      <w:r>
        <w:t xml:space="preserve">. If instead you want </w:t>
      </w:r>
      <w:r>
        <w:rPr>
          <w:rStyle w:val="Text3"/>
        </w:rPr>
        <w:t>x</w:t>
      </w:r>
      <w:r>
        <w:t xml:space="preserve"> to become </w:t>
      </w:r>
      <w:r>
        <w:rPr>
          <w:rStyle w:val="Text3"/>
        </w:rPr>
        <w:t>b</w:t>
      </w:r>
      <w:r>
        <w:t xml:space="preserve">’s </w:t>
      </w:r>
      <w:r>
        <w:rPr>
          <w:rStyle w:val="Text0"/>
        </w:rPr>
        <w:t>next_sibling</w:t>
      </w:r>
      <w:r>
        <w:t xml:space="preserve">, call </w:t>
      </w:r>
      <w:r>
        <w:rPr>
          <w:rStyle w:val="Text3"/>
        </w:rPr>
        <w:t>b</w:t>
      </w:r>
      <w:r>
        <w:rPr>
          <w:rStyle w:val="Text0"/>
        </w:rPr>
        <w:t>.insert_after(</w:t>
      </w:r>
      <w:r>
        <w:rPr>
          <w:rStyle w:val="Text3"/>
        </w:rPr>
        <w:t>x</w:t>
      </w:r>
      <w:r>
        <w:rPr>
          <w:rStyle w:val="Text0"/>
        </w:rPr>
        <w:t>)</w:t>
      </w:r>
      <w:r>
        <w:t>.</w:t>
      </w:r>
    </w:p>
    <w:p>
      <w:pPr>
        <w:pStyle w:val="Normal"/>
      </w:pPr>
      <w:r>
        <w:t xml:space="preserve">If you want to wrap a new parent node </w:t>
      </w:r>
      <w:r>
        <w:rPr>
          <w:rStyle w:val="Text3"/>
        </w:rPr>
        <w:t>t</w:t>
      </w:r>
      <w:r>
        <w:t xml:space="preserve"> around </w:t>
      </w:r>
      <w:r>
        <w:rPr>
          <w:rStyle w:val="Text3"/>
        </w:rPr>
        <w:t>b</w:t>
      </w:r>
      <w:r>
        <w:t xml:space="preserve">, call </w:t>
      </w:r>
      <w:r>
        <w:rPr>
          <w:rStyle w:val="Text3"/>
        </w:rPr>
        <w:t>b</w:t>
      </w:r>
      <w:r>
        <w:rPr>
          <w:rStyle w:val="Text0"/>
        </w:rPr>
        <w:t>.wrap(</w:t>
      </w:r>
      <w:r>
        <w:rPr>
          <w:rStyle w:val="Text3"/>
        </w:rPr>
        <w:t>t</w:t>
      </w:r>
      <w:r>
        <w:rPr>
          <w:rStyle w:val="Text0"/>
        </w:rPr>
        <w:t>)</w:t>
      </w:r>
      <w:r>
        <w:t xml:space="preserve"> (which also returns the newly wrapped tag). For example:</w:t>
      </w:r>
    </w:p>
    <w:p>
      <w:pPr>
        <w:pStyle w:val="Para 007"/>
      </w:pP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t</w:t>
        <w:br w:clear="none"/>
      </w:r>
      <w:r>
        <w:rPr>
          <w:rStyle w:val="Text13"/>
        </w:rPr>
        <w:t xml:space="preserve">.</w:t>
        <w:br w:clear="none"/>
      </w:r>
      <w:r>
        <w:t xml:space="preserve">string</w:t>
        <w:br w:clear="none"/>
      </w:r>
      <w:r>
        <w:rPr>
          <w:rStyle w:val="Text13"/>
        </w:rPr>
        <w:t xml:space="preserve">.</w:t>
        <w:br w:clear="none"/>
      </w:r>
      <w:r>
        <w:t xml:space="preserve">wrap</w:t>
        <w:br w:clear="none"/>
      </w:r>
      <w:r>
        <w:rPr>
          <w:rStyle w:val="Text7"/>
        </w:rPr>
        <w:t xml:space="preserve">(</w:t>
        <w:br w:clear="none"/>
      </w:r>
      <w:r>
        <w:t xml:space="preserve">soup</w:t>
        <w:br w:clear="none"/>
      </w:r>
      <w:r>
        <w:rPr>
          <w:rStyle w:val="Text13"/>
        </w:rPr>
        <w:t xml:space="preserve">.</w:t>
        <w:br w:clear="none"/>
      </w:r>
      <w:r>
        <w:t xml:space="preserve">new_tag</w:t>
        <w:br w:clear="none"/>
      </w:r>
      <w:r>
        <w:rPr>
          <w:rStyle w:val="Text7"/>
        </w:rPr>
        <w:t xml:space="preserve">(</w:t>
        <w:br w:clear="none"/>
      </w:r>
      <w:r>
        <w:rPr>
          <w:rStyle w:val="Text8"/>
        </w:rPr>
        <w:t xml:space="preserve">'moo'</w:t>
        <w:br w:clear="none"/>
      </w:r>
      <w:r>
        <w:rPr>
          <w:rStyle w:val="Text7"/>
        </w:rPr>
        <w:t xml:space="preserve">,</w:t>
        <w:br w:clear="none"/>
      </w:r>
      <w:r>
        <w:rPr>
          <w:rStyle w:val="Text23"/>
        </w:rPr>
        <w:t xml:space="preserve"> </w:t>
        <w:br w:clear="none"/>
      </w:r>
      <w:r>
        <w:rPr>
          <w:rStyle w:val="Text16"/>
        </w:rPr>
        <w:t xml:space="preserve">zip</w:t>
        <w:br w:clear="none"/>
      </w:r>
      <w:r>
        <w:rPr>
          <w:rStyle w:val="Text13"/>
        </w:rPr>
        <w:t xml:space="preserve">=</w:t>
        <w:br w:clear="none"/>
      </w:r>
      <w:r>
        <w:rPr>
          <w:rStyle w:val="Text8"/>
        </w:rPr>
        <w:t xml:space="preserve">'zaap'</w:t>
        <w:br w:clear="none"/>
      </w:r>
      <w:r>
        <w:rPr>
          <w:rStyle w:val="Text7"/>
        </w:rPr>
        <w:t xml:space="preserve">)))</w:t>
        <w:br w:clear="none"/>
      </w:r>
    </w:p>
    <w:p>
      <w:pPr>
        <w:pStyle w:val="Para 008"/>
      </w:pPr>
      <w:r>
        <w:rPr>
          <w:rStyle w:val="Text48"/>
        </w:rPr>
        <w:t xml:space="preserve"/>
        <w:br w:clear="none"/>
      </w:r>
      <w:r>
        <w:t xml:space="preserve">&lt;moo zip="zaap"&gt; some text &lt;/moo&gt;</w:t>
        <w:br w:clear="none"/>
      </w:r>
    </w:p>
    <w:p>
      <w:pPr>
        <w:pStyle w:val="Para 049"/>
      </w:pPr>
      <w:r>
        <w:rPr>
          <w:rStyle w:val="Text23"/>
        </w:rPr>
        <w:t xml:space="preserve"/>
        <w:br w:clear="none"/>
      </w:r>
      <w:r>
        <w:rPr>
          <w:rStyle w:val="Text13"/>
        </w:rPr>
        <w:t xml:space="preserve">&gt;&gt;&gt;</w:t>
        <w:br w:clear="none"/>
      </w:r>
      <w:r>
        <w:rPr>
          <w:rStyle w:val="Text23"/>
        </w:rPr>
        <w:t xml:space="preserve"> </w:t>
        <w:br w:clear="none"/>
      </w:r>
      <w:r>
        <w:t xml:space="preserve">print</w:t>
        <w:br w:clear="none"/>
      </w:r>
      <w:r>
        <w:rPr>
          <w:rStyle w:val="Text7"/>
        </w:rPr>
        <w:t xml:space="preserve">(</w:t>
        <w:br w:clear="none"/>
      </w:r>
      <w:r>
        <w:rPr>
          <w:rStyle w:val="Text9"/>
        </w:rPr>
        <w:t xml:space="preserve">t</w:t>
        <w:br w:clear="none"/>
      </w:r>
      <w:r>
        <w:rPr>
          <w:rStyle w:val="Text7"/>
        </w:rPr>
        <w:t xml:space="preserve">)</w:t>
        <w:br w:clear="none"/>
      </w:r>
    </w:p>
    <w:p>
      <w:pPr>
        <w:pStyle w:val="Para 008"/>
      </w:pPr>
      <w:r>
        <w:rPr>
          <w:rStyle w:val="Text48"/>
        </w:rPr>
        <w:t xml:space="preserve"/>
        <w:br w:clear="none"/>
      </w:r>
      <w:r>
        <w:t xml:space="preserve">&lt;foo bar="baz"&gt;&lt;moo zip="zaap"&gt; some text &lt;/moo&gt;&lt;/foo&gt;</w:t>
        <w:br w:clear="none"/>
      </w:r>
    </w:p>
    <w:p>
      <w:bookmarkStart w:id="4356" w:name="Replacing_and_removing_nodes__Yo"/>
      <w:pPr>
        <w:keepNext/>
        <w:pStyle w:val="Heading 2"/>
      </w:pPr>
      <w:r>
        <w:t>Replacing and removing nodes</w:t>
      </w:r>
      <w:bookmarkEnd w:id="4356"/>
    </w:p>
    <w:p>
      <w:pPr>
        <w:pStyle w:val="Normal"/>
      </w:pPr>
      <w:r>
        <w:t xml:space="preserve">You can call </w:t>
      </w:r>
      <w:r>
        <w:rPr>
          <w:rStyle w:val="Text3"/>
        </w:rPr>
        <w:t>t</w:t>
      </w:r>
      <w:r>
        <w:rPr>
          <w:rStyle w:val="Text0"/>
        </w:rPr>
        <w:t>.replace_with</w:t>
      </w:r>
      <w:r>
        <w:t xml:space="preserve"> on any tag </w:t>
      </w:r>
      <w:r>
        <w:rPr>
          <w:rStyle w:val="Text3"/>
        </w:rPr>
        <w:t>t</w:t>
      </w:r>
      <w:r>
        <w:t xml:space="preserve">: the call replaces </w:t>
      </w:r>
      <w:r>
        <w:rPr>
          <w:rStyle w:val="Text3"/>
        </w:rPr>
        <w:t>t</w:t>
      </w:r>
      <w:r>
        <w:t xml:space="preserve">, and all its previous contents, with the argument, and returns </w:t>
      </w:r>
      <w:r>
        <w:rPr>
          <w:rStyle w:val="Text3"/>
        </w:rPr>
        <w:t>t</w:t>
      </w:r>
      <w:r>
        <w:t xml:space="preserve"> with its original contents. For example: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23"/>
        </w:rPr>
        <w:t xml:space="preserve"> </w:t>
        <w:br w:clear="none"/>
      </w:r>
      <w:r>
        <w:rPr>
          <w:rStyle w:val="Text13"/>
        </w:rPr>
        <w:t xml:space="preserve">=</w:t>
        <w:br w:clear="none"/>
      </w:r>
      <w:r>
        <w:rPr>
          <w:rStyle w:val="Text23"/>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8"/>
        </w:rPr>
        <w:t xml:space="preserve">'&lt;p&gt;first &lt;b&gt;second&lt;/b&gt; &lt;i&gt;third&lt;/i&gt;&lt;/p&gt;'</w:t>
        <w:br w:clear="none"/>
      </w:r>
      <w:r>
        <w:rPr>
          <w:rStyle w:val="Text7"/>
        </w:rPr>
        <w:t xml:space="preserve">,</w:t>
        <w:br w:clear="none"/>
      </w:r>
      <w:r>
        <w:rPr>
          <w:rStyle w:val="Text23"/>
        </w:rPr>
        <w:t xml:space="preserve"> </w:t>
        <w:br w:clear="none"/>
      </w:r>
      <w:r>
        <w:rPr>
          <w:rStyle w:val="Text8"/>
        </w:rPr>
        <w:t xml:space="preserve">'lxml'</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i</w:t>
        <w:br w:clear="none"/>
      </w:r>
      <w:r>
        <w:rPr>
          <w:rStyle w:val="Text23"/>
        </w:rPr>
        <w:t xml:space="preserve"> </w:t>
        <w:br w:clear="none"/>
      </w:r>
      <w:r>
        <w:rPr>
          <w:rStyle w:val="Text13"/>
        </w:rPr>
        <w:t xml:space="preserve">=</w:t>
        <w:br w:clear="none"/>
      </w:r>
      <w:r>
        <w:rPr>
          <w:rStyle w:val="Text23"/>
        </w:rPr>
        <w:t xml:space="preserve"> </w:t>
        <w:br w:clear="none"/>
      </w:r>
      <w:r>
        <w:t xml:space="preserve">soup</w:t>
        <w:br w:clear="none"/>
      </w:r>
      <w:r>
        <w:rPr>
          <w:rStyle w:val="Text13"/>
        </w:rPr>
        <w:t xml:space="preserve">.</w:t>
        <w:br w:clear="none"/>
      </w:r>
      <w:r>
        <w:t xml:space="preserve">i</w:t>
        <w:br w:clear="none"/>
      </w:r>
      <w:r>
        <w:rPr>
          <w:rStyle w:val="Text13"/>
        </w:rPr>
        <w:t xml:space="preserve">.</w:t>
        <w:br w:clear="none"/>
      </w:r>
      <w:r>
        <w:t xml:space="preserve">replace_with</w:t>
        <w:br w:clear="none"/>
      </w:r>
      <w:r>
        <w:rPr>
          <w:rStyle w:val="Text7"/>
        </w:rPr>
        <w:t xml:space="preserve">(</w:t>
        <w:br w:clear="none"/>
      </w:r>
      <w:r>
        <w:rPr>
          <w:rStyle w:val="Text8"/>
        </w:rPr>
        <w:t xml:space="preserve">'last'</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t xml:space="preserve">soup</w:t>
        <w:br w:clear="none"/>
      </w:r>
      <w:r>
        <w:rPr>
          <w:rStyle w:val="Text13"/>
        </w:rPr>
        <w:t xml:space="preserve">.</w:t>
        <w:br w:clear="none"/>
      </w:r>
      <w:r>
        <w:t xml:space="preserve">b</w:t>
        <w:br w:clear="none"/>
      </w:r>
      <w:r>
        <w:rPr>
          <w:rStyle w:val="Text13"/>
        </w:rPr>
        <w:t xml:space="preserve">.</w:t>
        <w:br w:clear="none"/>
      </w:r>
      <w:r>
        <w:t xml:space="preserve">append</w:t>
        <w:br w:clear="none"/>
      </w:r>
      <w:r>
        <w:rPr>
          <w:rStyle w:val="Text7"/>
        </w:rPr>
        <w:t xml:space="preserve">(</w:t>
        <w:br w:clear="none"/>
      </w:r>
      <w:r>
        <w:t xml:space="preserve">i</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7"/>
        </w:rPr>
        <w:t xml:space="preserve">)</w:t>
        <w:br w:clear="none"/>
      </w:r>
    </w:p>
    <w:p>
      <w:pPr>
        <w:pStyle w:val="Para 008"/>
      </w:pPr>
      <w:r>
        <w:rPr>
          <w:rStyle w:val="Text48"/>
        </w:rPr>
        <w:t xml:space="preserve"/>
        <w:br w:clear="none"/>
      </w:r>
      <w:r>
        <w:t xml:space="preserve">&lt;html&gt;&lt;body&gt;&lt;p&gt;first &lt;b&gt;second&lt;i&gt;third&lt;/i&gt;&lt;/b&gt; last&lt;/p&gt;&lt;/body&gt;&lt;/html&gt;</w:t>
        <w:br w:clear="none"/>
      </w:r>
    </w:p>
    <w:p>
      <w:pPr>
        <w:pStyle w:val="Normal"/>
      </w:pPr>
      <w:r>
        <w:t xml:space="preserve">You can call </w:t>
      </w:r>
      <w:r>
        <w:rPr>
          <w:rStyle w:val="Text3"/>
        </w:rPr>
        <w:t>t</w:t>
      </w:r>
      <w:r>
        <w:rPr>
          <w:rStyle w:val="Text0"/>
        </w:rPr>
        <w:t>.unwrap</w:t>
      </w:r>
      <w:r>
        <w:t xml:space="preserve"> on any tag </w:t>
      </w:r>
      <w:r>
        <w:rPr>
          <w:rStyle w:val="Text3"/>
        </w:rPr>
        <w:t>t</w:t>
      </w:r>
      <w:r>
        <w:t xml:space="preserve">: the call replaces </w:t>
      </w:r>
      <w:r>
        <w:rPr>
          <w:rStyle w:val="Text3"/>
        </w:rPr>
        <w:t>t</w:t>
      </w:r>
      <w:r>
        <w:t xml:space="preserve"> with its contents, and returns </w:t>
      </w:r>
      <w:r>
        <w:rPr>
          <w:rStyle w:val="Text3"/>
        </w:rPr>
        <w:t>t</w:t>
      </w:r>
      <w:r>
        <w:t xml:space="preserve"> “emptied” (that is, without contents). For example:</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empty_i</w:t>
        <w:br w:clear="none"/>
      </w:r>
      <w:r>
        <w:rPr>
          <w:rStyle w:val="Text23"/>
        </w:rPr>
        <w:t xml:space="preserve"> </w:t>
        <w:br w:clear="none"/>
      </w:r>
      <w:r>
        <w:rPr>
          <w:rStyle w:val="Text13"/>
        </w:rPr>
        <w:t xml:space="preserve">=</w:t>
        <w:br w:clear="none"/>
      </w:r>
      <w:r>
        <w:rPr>
          <w:rStyle w:val="Text23"/>
        </w:rPr>
        <w:t xml:space="preserve"> </w:t>
        <w:br w:clear="none"/>
      </w:r>
      <w:r>
        <w:t xml:space="preserve">soup</w:t>
        <w:br w:clear="none"/>
      </w:r>
      <w:r>
        <w:rPr>
          <w:rStyle w:val="Text13"/>
        </w:rPr>
        <w:t xml:space="preserve">.</w:t>
        <w:br w:clear="none"/>
      </w:r>
      <w:r>
        <w:t xml:space="preserve">i</w:t>
        <w:br w:clear="none"/>
      </w:r>
      <w:r>
        <w:rPr>
          <w:rStyle w:val="Text13"/>
        </w:rPr>
        <w:t xml:space="preserve">.</w:t>
        <w:br w:clear="none"/>
      </w:r>
      <w:r>
        <w:t xml:space="preserve">unwrap</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soup</w:t>
        <w:br w:clear="none"/>
      </w:r>
      <w:r>
        <w:rPr>
          <w:rStyle w:val="Text13"/>
        </w:rPr>
        <w:t xml:space="preserve">.</w:t>
        <w:br w:clear="none"/>
      </w:r>
      <w:r>
        <w:t xml:space="preserve">b</w:t>
        <w:br w:clear="none"/>
      </w:r>
      <w:r>
        <w:rPr>
          <w:rStyle w:val="Text13"/>
        </w:rPr>
        <w:t xml:space="preserve">.</w:t>
        <w:br w:clear="none"/>
      </w:r>
      <w:r>
        <w:t xml:space="preserve">wrap</w:t>
        <w:br w:clear="none"/>
      </w:r>
      <w:r>
        <w:rPr>
          <w:rStyle w:val="Text7"/>
        </w:rPr>
        <w:t xml:space="preserve">(</w:t>
        <w:br w:clear="none"/>
      </w:r>
      <w:r>
        <w:t xml:space="preserve">empty_i</w:t>
        <w:br w:clear="none"/>
      </w:r>
      <w:r>
        <w:rPr>
          <w:rStyle w:val="Text7"/>
        </w:rPr>
        <w:t xml:space="preserve">))</w:t>
        <w:br w:clear="none"/>
      </w:r>
    </w:p>
    <w:p>
      <w:pPr>
        <w:pStyle w:val="Para 008"/>
      </w:pPr>
      <w:r>
        <w:rPr>
          <w:rStyle w:val="Text48"/>
        </w:rPr>
        <w:t xml:space="preserve"/>
        <w:br w:clear="none"/>
      </w:r>
      <w:r>
        <w:t xml:space="preserve">&lt;i&gt;&lt;b&gt;secondthird&lt;/b&gt;&lt;/i&gt;</w:t>
        <w:br w:clear="none"/>
      </w:r>
    </w:p>
    <w:p>
      <w:pPr>
        <w:pStyle w:val="Para 049"/>
      </w:pPr>
      <w:r>
        <w:rPr>
          <w:rStyle w:val="Text23"/>
        </w:rPr>
        <w:t xml:space="preserve"/>
        <w:br w:clear="none"/>
      </w:r>
      <w:r>
        <w:rPr>
          <w:rStyle w:val="Text13"/>
        </w:rPr>
        <w:t xml:space="preserve">&gt;&gt;&gt;</w:t>
        <w:br w:clear="none"/>
      </w:r>
      <w:r>
        <w:rPr>
          <w:rStyle w:val="Text23"/>
        </w:rPr>
        <w:t xml:space="preserve"> </w:t>
        <w:br w:clear="none"/>
      </w:r>
      <w:r>
        <w:t xml:space="preserve">print</w:t>
        <w:br w:clear="none"/>
      </w:r>
      <w:r>
        <w:rPr>
          <w:rStyle w:val="Text7"/>
        </w:rPr>
        <w:t xml:space="preserve">(</w:t>
        <w:br w:clear="none"/>
      </w:r>
      <w:r>
        <w:rPr>
          <w:rStyle w:val="Text9"/>
        </w:rPr>
        <w:t xml:space="preserve">soup</w:t>
        <w:br w:clear="none"/>
      </w:r>
      <w:r>
        <w:rPr>
          <w:rStyle w:val="Text7"/>
        </w:rPr>
        <w:t xml:space="preserve">)</w:t>
        <w:br w:clear="none"/>
      </w:r>
    </w:p>
    <w:p>
      <w:pPr>
        <w:pStyle w:val="Para 008"/>
      </w:pPr>
      <w:r>
        <w:rPr>
          <w:rStyle w:val="Text48"/>
        </w:rPr>
        <w:t xml:space="preserve"/>
        <w:br w:clear="none"/>
      </w:r>
      <w:r>
        <w:t xml:space="preserve">&lt;html&gt;&lt;body&gt;&lt;p&gt;first &lt;i&gt;&lt;b&gt;secondthird&lt;/b&gt;&lt;/i&gt; last&lt;/p&gt;&lt;/body&gt;&lt;/html&gt;</w:t>
        <w:br w:clear="none"/>
      </w:r>
    </w:p>
    <w:p>
      <w:pPr>
        <w:pStyle w:val="Normal"/>
      </w:pPr>
      <w:r>
        <w:rPr>
          <w:rStyle w:val="Text3"/>
        </w:rPr>
        <w:t>t</w:t>
      </w:r>
      <w:r>
        <w:rPr>
          <w:rStyle w:val="Text0"/>
        </w:rPr>
        <w:t>.clear</w:t>
      </w:r>
      <w:r>
        <w:t xml:space="preserve"> removes </w:t>
      </w:r>
      <w:r>
        <w:rPr>
          <w:rStyle w:val="Text3"/>
        </w:rPr>
        <w:t>t</w:t>
      </w:r>
      <w:r>
        <w:t xml:space="preserve">’s contents, destroys them, and leaves </w:t>
      </w:r>
      <w:r>
        <w:rPr>
          <w:rStyle w:val="Text3"/>
        </w:rPr>
        <w:t>t</w:t>
      </w:r>
      <w:r>
        <w:t xml:space="preserve"> empty (but still in its original place in the tree). </w:t>
      </w:r>
      <w:r>
        <w:rPr>
          <w:rStyle w:val="Text3"/>
        </w:rPr>
        <w:t>t</w:t>
      </w:r>
      <w:r>
        <w:rPr>
          <w:rStyle w:val="Text0"/>
        </w:rPr>
        <w:t>.decompose</w:t>
      </w:r>
      <w:r>
        <w:t xml:space="preserve"> removes and destroys both </w:t>
      </w:r>
      <w:r>
        <w:rPr>
          <w:rStyle w:val="Text3"/>
        </w:rPr>
        <w:t>t</w:t>
      </w:r>
      <w:r>
        <w:t xml:space="preserve"> itself, and its contents:</w:t>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remove everything between &lt;i&gt; and &lt;/i&gt; but leave tags</w:t>
        <w:br w:clear="none"/>
      </w:r>
      <w:r>
        <w:rPr>
          <w:rStyle w:val="Text4"/>
        </w:rPr>
        <w:t xml:space="preserve">	</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soup</w:t>
        <w:br w:clear="none"/>
      </w:r>
      <w:r>
        <w:rPr>
          <w:rStyle w:val="Text28"/>
        </w:rPr>
        <w:t xml:space="preserve">.</w:t>
        <w:br w:clear="none"/>
      </w:r>
      <w:r>
        <w:rPr>
          <w:rStyle w:val="Text14"/>
        </w:rPr>
        <w:t xml:space="preserve">i</w:t>
        <w:br w:clear="none"/>
      </w:r>
      <w:r>
        <w:rPr>
          <w:rStyle w:val="Text28"/>
        </w:rPr>
        <w:t xml:space="preserve">.</w:t>
        <w:br w:clear="none"/>
      </w:r>
      <w:r>
        <w:rPr>
          <w:rStyle w:val="Text14"/>
        </w:rPr>
        <w:t xml:space="preserve">clear</w:t>
        <w:br w:clear="none"/>
      </w:r>
      <w:r>
        <w:rPr>
          <w:rStyle w:val="Text19"/>
        </w:rPr>
        <w:t xml:space="preserve">(</w:t>
        <w:br w:clear="none"/>
        <w:t xml:space="preserve">)</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21"/>
        </w:rPr>
        <w:t xml:space="preserve">print</w:t>
        <w:br w:clear="none"/>
      </w:r>
      <w:r>
        <w:rPr>
          <w:rStyle w:val="Text19"/>
        </w:rPr>
        <w:t xml:space="preserve">(</w:t>
        <w:br w:clear="none"/>
      </w:r>
      <w:r>
        <w:rPr>
          <w:rStyle w:val="Text14"/>
        </w:rPr>
        <w:t xml:space="preserve">soup</w:t>
        <w:br w:clear="none"/>
      </w:r>
      <w:r>
        <w:rPr>
          <w:rStyle w:val="Text19"/>
        </w:rPr>
        <w:t xml:space="preserve">)</w:t>
        <w:br w:clear="none"/>
      </w:r>
    </w:p>
    <w:p>
      <w:pPr>
        <w:pStyle w:val="Para 008"/>
      </w:pPr>
      <w:r>
        <w:rPr>
          <w:rStyle w:val="Text48"/>
        </w:rPr>
        <w:t xml:space="preserve"/>
        <w:br w:clear="none"/>
      </w:r>
      <w:r>
        <w:t xml:space="preserve">&lt;html&gt;&lt;body&gt;&lt;p&gt;first &lt;i&gt;&lt;/i&gt; last&lt;/p&gt;&lt;/body&gt;&lt;/html&gt;</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remove everything between &lt;p&gt; and &lt;/p&gt; incl. tags</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soup</w:t>
        <w:br w:clear="none"/>
      </w:r>
      <w:r>
        <w:rPr>
          <w:rStyle w:val="Text28"/>
        </w:rPr>
        <w:t xml:space="preserve">.</w:t>
        <w:br w:clear="none"/>
      </w:r>
      <w:r>
        <w:rPr>
          <w:rStyle w:val="Text14"/>
        </w:rPr>
        <w:t xml:space="preserve">p</w:t>
        <w:br w:clear="none"/>
      </w:r>
      <w:r>
        <w:rPr>
          <w:rStyle w:val="Text28"/>
        </w:rPr>
        <w:t xml:space="preserve">.</w:t>
        <w:br w:clear="none"/>
      </w:r>
      <w:r>
        <w:rPr>
          <w:rStyle w:val="Text14"/>
        </w:rPr>
        <w:t xml:space="preserve">decompose</w:t>
        <w:br w:clear="none"/>
      </w:r>
      <w:r>
        <w:rPr>
          <w:rStyle w:val="Text19"/>
        </w:rPr>
        <w:t xml:space="preserve">(</w:t>
        <w:br w:clear="none"/>
        <w:t xml:space="preserve">)</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21"/>
        </w:rPr>
        <w:t xml:space="preserve">print</w:t>
        <w:br w:clear="none"/>
      </w:r>
      <w:r>
        <w:rPr>
          <w:rStyle w:val="Text19"/>
        </w:rPr>
        <w:t xml:space="preserve">(</w:t>
        <w:br w:clear="none"/>
      </w:r>
      <w:r>
        <w:rPr>
          <w:rStyle w:val="Text14"/>
        </w:rPr>
        <w:t xml:space="preserve">soup</w:t>
        <w:br w:clear="none"/>
      </w:r>
      <w:r>
        <w:rPr>
          <w:rStyle w:val="Text19"/>
        </w:rPr>
        <w:t xml:space="preserve">)</w:t>
        <w:br w:clear="none"/>
      </w:r>
    </w:p>
    <w:p>
      <w:pPr>
        <w:pStyle w:val="Para 008"/>
      </w:pPr>
      <w:r>
        <w:rPr>
          <w:rStyle w:val="Text48"/>
        </w:rPr>
        <w:t xml:space="preserve"/>
        <w:br w:clear="none"/>
      </w:r>
      <w:r>
        <w:t xml:space="preserve">&lt;html&gt;&lt;body&gt;&lt;/body&gt;&lt;/html&gt;</w:t>
        <w:br w:clear="none"/>
      </w:r>
    </w:p>
    <w:p>
      <w:pPr>
        <w:pStyle w:val="Para 014"/>
      </w:pPr>
      <w:r>
        <w:rPr>
          <w:rStyle w:val="Text116"/>
        </w:rPr>
        <w:t xml:space="preserve"/>
        <w:br w:clear="none"/>
      </w:r>
      <w:r>
        <w:rPr>
          <w:rStyle w:val="Text28"/>
        </w:rPr>
        <w:t xml:space="preserve">&gt;&gt;</w:t>
        <w:br w:clear="none"/>
        <w:t xml:space="preserve">&gt;</w:t>
        <w:br w:clear="none"/>
      </w:r>
      <w:r>
        <w:rPr>
          <w:rStyle w:val="Text11"/>
        </w:rPr>
        <w:t xml:space="preserve"> </w:t>
        <w:br w:clear="none"/>
      </w:r>
      <w:r>
        <w:t xml:space="preserve"># remove &lt;body&gt; and &lt;/body&gt;</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14"/>
        </w:rPr>
        <w:t xml:space="preserve">soup</w:t>
        <w:br w:clear="none"/>
      </w:r>
      <w:r>
        <w:rPr>
          <w:rStyle w:val="Text28"/>
        </w:rPr>
        <w:t xml:space="preserve">.</w:t>
        <w:br w:clear="none"/>
      </w:r>
      <w:r>
        <w:rPr>
          <w:rStyle w:val="Text14"/>
        </w:rPr>
        <w:t xml:space="preserve">body</w:t>
        <w:br w:clear="none"/>
      </w:r>
      <w:r>
        <w:rPr>
          <w:rStyle w:val="Text28"/>
        </w:rPr>
        <w:t xml:space="preserve">.</w:t>
        <w:br w:clear="none"/>
      </w:r>
      <w:r>
        <w:rPr>
          <w:rStyle w:val="Text14"/>
        </w:rPr>
        <w:t xml:space="preserve">decompose</w:t>
        <w:br w:clear="none"/>
      </w:r>
      <w:r>
        <w:rPr>
          <w:rStyle w:val="Text19"/>
        </w:rPr>
        <w:t xml:space="preserve">(</w:t>
        <w:br w:clear="none"/>
        <w:t xml:space="preserve">)</w:t>
        <w:br w:clear="none"/>
      </w:r>
      <w:r>
        <w:rPr>
          <w:rStyle w:val="Text11"/>
        </w:rPr>
        <w:t xml:space="preserve"/>
        <w:br w:clear="none"/>
      </w:r>
      <w:r>
        <w:rPr>
          <w:rStyle w:val="Text28"/>
        </w:rPr>
        <w:t xml:space="preserve">&gt;&gt;</w:t>
        <w:br w:clear="none"/>
        <w:t xml:space="preserve">&gt;</w:t>
        <w:br w:clear="none"/>
      </w:r>
      <w:r>
        <w:rPr>
          <w:rStyle w:val="Text11"/>
        </w:rPr>
        <w:t xml:space="preserve"> </w:t>
        <w:br w:clear="none"/>
      </w:r>
      <w:r>
        <w:rPr>
          <w:rStyle w:val="Text21"/>
        </w:rPr>
        <w:t xml:space="preserve">print</w:t>
        <w:br w:clear="none"/>
      </w:r>
      <w:r>
        <w:rPr>
          <w:rStyle w:val="Text19"/>
        </w:rPr>
        <w:t xml:space="preserve">(</w:t>
        <w:br w:clear="none"/>
      </w:r>
      <w:r>
        <w:rPr>
          <w:rStyle w:val="Text14"/>
        </w:rPr>
        <w:t xml:space="preserve">soup</w:t>
        <w:br w:clear="none"/>
      </w:r>
      <w:r>
        <w:rPr>
          <w:rStyle w:val="Text19"/>
        </w:rPr>
        <w:t xml:space="preserve">)</w:t>
        <w:br w:clear="none"/>
      </w:r>
    </w:p>
    <w:p>
      <w:pPr>
        <w:pStyle w:val="Para 008"/>
      </w:pPr>
      <w:r>
        <w:rPr>
          <w:rStyle w:val="Text48"/>
        </w:rPr>
        <w:t xml:space="preserve"/>
        <w:br w:clear="none"/>
      </w:r>
      <w:r>
        <w:t xml:space="preserve">&lt;html&gt;&lt;/html&gt;</w:t>
        <w:br w:clear="none"/>
      </w:r>
    </w:p>
    <w:p>
      <w:pPr>
        <w:pStyle w:val="Normal"/>
      </w:pPr>
      <w:r>
        <w:t xml:space="preserve">Lastly, </w:t>
      </w:r>
      <w:r>
        <w:rPr>
          <w:rStyle w:val="Text3"/>
        </w:rPr>
        <w:t>t</w:t>
      </w:r>
      <w:r>
        <w:rPr>
          <w:rStyle w:val="Text0"/>
        </w:rPr>
        <w:t>.extract</w:t>
      </w:r>
      <w:r>
        <w:t xml:space="preserve"> extracts and returns </w:t>
      </w:r>
      <w:r>
        <w:rPr>
          <w:rStyle w:val="Text3"/>
        </w:rPr>
        <w:t>t</w:t>
      </w:r>
      <w:r>
        <w:t xml:space="preserve"> and its contents, but does not destroy anything.</w:t>
      </w:r>
      <w:r>
        <w:rPr>
          <w:rStyle w:val="Text111"/>
        </w:rPr>
        <w:bookmarkStart w:id="4357" w:name="idm45965169670640"/>
        <w:t/>
        <w:bookmarkEnd w:id="4357"/>
      </w:r>
    </w:p>
    <w:p>
      <w:bookmarkStart w:id="4358" w:name="Building_HTML_with_bs4__Here_s_a"/>
      <w:pPr>
        <w:keepNext/>
        <w:pStyle w:val="Heading 2"/>
      </w:pPr>
      <w:r>
        <w:t>Building HTML with bs4</w:t>
      </w:r>
      <w:bookmarkEnd w:id="4358"/>
    </w:p>
    <w:p>
      <w:pPr>
        <w:pStyle w:val="Normal"/>
      </w:pPr>
      <w:r>
        <w:t>Here’s</w:t>
      </w:r>
      <w:r>
        <w:rPr>
          <w:rStyle w:val="Text111"/>
        </w:rPr>
        <w:bookmarkStart w:id="4359" w:name="idm45965169667520"/>
        <w:t/>
        <w:bookmarkEnd w:id="4359"/>
      </w:r>
      <w:r>
        <w:t xml:space="preserve"> an example of how to use </w:t>
      </w:r>
      <w:r>
        <w:rPr>
          <w:rStyle w:val="Text0"/>
        </w:rPr>
        <w:t>bs4</w:t>
      </w:r>
      <w:r>
        <w:t>’s methods to generate HTML. Specifically, the following function takes a sequence of “rows” (sequences) and returns a string that’s an HTML table to display their values:</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mktable_with_bs4</w:t>
        <w:br w:clear="none"/>
      </w:r>
      <w:r>
        <w:rPr>
          <w:rStyle w:val="Text7"/>
        </w:rPr>
        <w:t xml:space="preserve">(</w:t>
        <w:br w:clear="none"/>
      </w:r>
      <w:r>
        <w:t xml:space="preserve">seq_of_rows</w:t>
        <w:br w:clear="none"/>
      </w:r>
      <w:r>
        <w:rPr>
          <w:rStyle w:val="Text7"/>
        </w:rPr>
        <w:t xml:space="preserve">)</w:t>
        <w:br w:clear="none"/>
        <w:t xml:space="preserve">:</w:t>
        <w:br w:clear="none"/>
      </w:r>
      <w:r>
        <w:rPr>
          <w:rStyle w:val="Text6"/>
        </w:rPr>
        <w:t xml:space="preserve"/>
        <w:br w:clear="none"/>
        <w:t xml:space="preserve">    </w:t>
        <w:br w:clear="none"/>
      </w:r>
      <w:r>
        <w:t xml:space="preserve">tabsoup</w:t>
        <w:br w:clear="none"/>
      </w:r>
      <w:r>
        <w:rPr>
          <w:rStyle w:val="Text6"/>
        </w:rPr>
        <w:t xml:space="preserve"> </w:t>
        <w:br w:clear="none"/>
      </w:r>
      <w:r>
        <w:rPr>
          <w:rStyle w:val="Text13"/>
        </w:rPr>
        <w:t xml:space="preserve">=</w:t>
        <w:br w:clear="none"/>
      </w:r>
      <w:r>
        <w:rPr>
          <w:rStyle w:val="Text6"/>
        </w:rPr>
        <w:t xml:space="preserve"> </w:t>
        <w:br w:clear="none"/>
      </w:r>
      <w:r>
        <w:t xml:space="preserve">bs4</w:t>
        <w:br w:clear="none"/>
      </w:r>
      <w:r>
        <w:rPr>
          <w:rStyle w:val="Text13"/>
        </w:rPr>
        <w:t xml:space="preserve">.</w:t>
        <w:br w:clear="none"/>
      </w:r>
      <w:r>
        <w:t xml:space="preserve">BeautifulSoup</w:t>
        <w:br w:clear="none"/>
      </w:r>
      <w:r>
        <w:rPr>
          <w:rStyle w:val="Text7"/>
        </w:rPr>
        <w:t xml:space="preserve">(</w:t>
        <w:br w:clear="none"/>
      </w:r>
      <w:r>
        <w:rPr>
          <w:rStyle w:val="Text8"/>
        </w:rPr>
        <w:t xml:space="preserve">'</w:t>
        <w:br w:clear="none"/>
        <w:t xml:space="preserve">&lt;table&gt;</w:t>
        <w:br w:clear="none"/>
        <w:t xml:space="preserve">'</w:t>
        <w:br w:clear="none"/>
      </w:r>
      <w:r>
        <w:rPr>
          <w:rStyle w:val="Text7"/>
        </w:rPr>
        <w:t xml:space="preserve">)</w:t>
        <w:br w:clear="none"/>
      </w:r>
      <w:r>
        <w:rPr>
          <w:rStyle w:val="Text6"/>
        </w:rPr>
        <w:t xml:space="preserve"/>
        <w:br w:clear="none"/>
        <w:t xml:space="preserve">    </w:t>
        <w:br w:clear="none"/>
      </w:r>
      <w:r>
        <w:t xml:space="preserve">tab</w:t>
        <w:br w:clear="none"/>
      </w:r>
      <w:r>
        <w:rPr>
          <w:rStyle w:val="Text6"/>
        </w:rPr>
        <w:t xml:space="preserve"> </w:t>
        <w:br w:clear="none"/>
      </w:r>
      <w:r>
        <w:rPr>
          <w:rStyle w:val="Text13"/>
        </w:rPr>
        <w:t xml:space="preserve">=</w:t>
        <w:br w:clear="none"/>
      </w:r>
      <w:r>
        <w:rPr>
          <w:rStyle w:val="Text6"/>
        </w:rPr>
        <w:t xml:space="preserve"> </w:t>
        <w:br w:clear="none"/>
      </w:r>
      <w:r>
        <w:t xml:space="preserve">tabsoup</w:t>
        <w:br w:clear="none"/>
      </w:r>
      <w:r>
        <w:rPr>
          <w:rStyle w:val="Text13"/>
        </w:rPr>
        <w:t xml:space="preserve">.</w:t>
        <w:br w:clear="none"/>
      </w:r>
      <w:r>
        <w:t xml:space="preserve">table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row</w:t>
        <w:br w:clear="none"/>
      </w:r>
      <w:r>
        <w:rPr>
          <w:rStyle w:val="Text6"/>
        </w:rPr>
        <w:t xml:space="preserve"> </w:t>
        <w:br w:clear="none"/>
      </w:r>
      <w:r>
        <w:rPr>
          <w:rStyle w:val="Text31"/>
        </w:rPr>
        <w:t xml:space="preserve">in</w:t>
        <w:br w:clear="none"/>
      </w:r>
      <w:r>
        <w:rPr>
          <w:rStyle w:val="Text6"/>
        </w:rPr>
        <w:t xml:space="preserve"> </w:t>
        <w:br w:clear="none"/>
      </w:r>
      <w:r>
        <w:t xml:space="preserve">seq_of_rows</w:t>
        <w:br w:clear="none"/>
      </w:r>
      <w:r>
        <w:rPr>
          <w:rStyle w:val="Text7"/>
        </w:rPr>
        <w:t xml:space="preserve">:</w:t>
        <w:br w:clear="none"/>
      </w:r>
      <w:r>
        <w:rPr>
          <w:rStyle w:val="Text6"/>
        </w:rPr>
        <w:t xml:space="preserve"/>
        <w:br w:clear="none"/>
        <w:t xml:space="preserve">        </w:t>
        <w:br w:clear="none"/>
      </w:r>
      <w:r>
        <w:t xml:space="preserve">tr</w:t>
        <w:br w:clear="none"/>
      </w:r>
      <w:r>
        <w:rPr>
          <w:rStyle w:val="Text6"/>
        </w:rPr>
        <w:t xml:space="preserve"> </w:t>
        <w:br w:clear="none"/>
      </w:r>
      <w:r>
        <w:rPr>
          <w:rStyle w:val="Text13"/>
        </w:rPr>
        <w:t xml:space="preserve">=</w:t>
        <w:br w:clear="none"/>
      </w:r>
      <w:r>
        <w:rPr>
          <w:rStyle w:val="Text6"/>
        </w:rPr>
        <w:t xml:space="preserve"> </w:t>
        <w:br w:clear="none"/>
      </w:r>
      <w:r>
        <w:t xml:space="preserve">tabsoup</w:t>
        <w:br w:clear="none"/>
      </w:r>
      <w:r>
        <w:rPr>
          <w:rStyle w:val="Text13"/>
        </w:rPr>
        <w:t xml:space="preserve">.</w:t>
        <w:br w:clear="none"/>
      </w:r>
      <w:r>
        <w:t xml:space="preserve">new_tag</w:t>
        <w:br w:clear="none"/>
      </w:r>
      <w:r>
        <w:rPr>
          <w:rStyle w:val="Text7"/>
        </w:rPr>
        <w:t xml:space="preserve">(</w:t>
        <w:br w:clear="none"/>
      </w:r>
      <w:r>
        <w:rPr>
          <w:rStyle w:val="Text8"/>
        </w:rPr>
        <w:t xml:space="preserve">'</w:t>
        <w:br w:clear="none"/>
        <w:t xml:space="preserve">tr</w:t>
        <w:br w:clear="none"/>
        <w:t xml:space="preserve">'</w:t>
        <w:br w:clear="none"/>
      </w:r>
      <w:r>
        <w:rPr>
          <w:rStyle w:val="Text7"/>
        </w:rPr>
        <w:t xml:space="preserve">)</w:t>
        <w:br w:clear="none"/>
      </w:r>
      <w:r>
        <w:rPr>
          <w:rStyle w:val="Text6"/>
        </w:rPr>
        <w:t xml:space="preserve"/>
        <w:br w:clear="none"/>
        <w:t xml:space="preserve">        </w:t>
        <w:br w:clear="none"/>
      </w:r>
      <w:r>
        <w:t xml:space="preserve">tab</w:t>
        <w:br w:clear="none"/>
      </w:r>
      <w:r>
        <w:rPr>
          <w:rStyle w:val="Text13"/>
        </w:rPr>
        <w:t xml:space="preserve">.</w:t>
        <w:br w:clear="none"/>
      </w:r>
      <w:r>
        <w:t xml:space="preserve">append</w:t>
        <w:br w:clear="none"/>
      </w:r>
      <w:r>
        <w:rPr>
          <w:rStyle w:val="Text7"/>
        </w:rPr>
        <w:t xml:space="preserve">(</w:t>
        <w:br w:clear="none"/>
      </w:r>
      <w:r>
        <w:t xml:space="preserve">tr</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item</w:t>
        <w:br w:clear="none"/>
      </w:r>
      <w:r>
        <w:rPr>
          <w:rStyle w:val="Text6"/>
        </w:rPr>
        <w:t xml:space="preserve"> </w:t>
        <w:br w:clear="none"/>
      </w:r>
      <w:r>
        <w:rPr>
          <w:rStyle w:val="Text31"/>
        </w:rPr>
        <w:t xml:space="preserve">in</w:t>
        <w:br w:clear="none"/>
      </w:r>
      <w:r>
        <w:rPr>
          <w:rStyle w:val="Text6"/>
        </w:rPr>
        <w:t xml:space="preserve"> </w:t>
        <w:br w:clear="none"/>
      </w:r>
      <w:r>
        <w:t xml:space="preserve">row</w:t>
        <w:br w:clear="none"/>
      </w:r>
      <w:r>
        <w:rPr>
          <w:rStyle w:val="Text7"/>
        </w:rPr>
        <w:t xml:space="preserve">:</w:t>
        <w:br w:clear="none"/>
      </w:r>
      <w:r>
        <w:rPr>
          <w:rStyle w:val="Text6"/>
        </w:rPr>
        <w:t xml:space="preserve"/>
        <w:br w:clear="none"/>
        <w:t xml:space="preserve">            </w:t>
        <w:br w:clear="none"/>
      </w:r>
      <w:r>
        <w:t xml:space="preserve">td</w:t>
        <w:br w:clear="none"/>
      </w:r>
      <w:r>
        <w:rPr>
          <w:rStyle w:val="Text6"/>
        </w:rPr>
        <w:t xml:space="preserve"> </w:t>
        <w:br w:clear="none"/>
      </w:r>
      <w:r>
        <w:rPr>
          <w:rStyle w:val="Text13"/>
        </w:rPr>
        <w:t xml:space="preserve">=</w:t>
        <w:br w:clear="none"/>
      </w:r>
      <w:r>
        <w:rPr>
          <w:rStyle w:val="Text6"/>
        </w:rPr>
        <w:t xml:space="preserve"> </w:t>
        <w:br w:clear="none"/>
      </w:r>
      <w:r>
        <w:t xml:space="preserve">tabsoup</w:t>
        <w:br w:clear="none"/>
      </w:r>
      <w:r>
        <w:rPr>
          <w:rStyle w:val="Text13"/>
        </w:rPr>
        <w:t xml:space="preserve">.</w:t>
        <w:br w:clear="none"/>
      </w:r>
      <w:r>
        <w:t xml:space="preserve">new_tag</w:t>
        <w:br w:clear="none"/>
      </w:r>
      <w:r>
        <w:rPr>
          <w:rStyle w:val="Text7"/>
        </w:rPr>
        <w:t xml:space="preserve">(</w:t>
        <w:br w:clear="none"/>
      </w:r>
      <w:r>
        <w:rPr>
          <w:rStyle w:val="Text8"/>
        </w:rPr>
        <w:t xml:space="preserve">'</w:t>
        <w:br w:clear="none"/>
        <w:t xml:space="preserve">td</w:t>
        <w:br w:clear="none"/>
        <w:t xml:space="preserve">'</w:t>
        <w:br w:clear="none"/>
      </w:r>
      <w:r>
        <w:rPr>
          <w:rStyle w:val="Text7"/>
        </w:rPr>
        <w:t xml:space="preserve">)</w:t>
        <w:br w:clear="none"/>
      </w:r>
      <w:r>
        <w:rPr>
          <w:rStyle w:val="Text6"/>
        </w:rPr>
        <w:t xml:space="preserve"/>
        <w:br w:clear="none"/>
        <w:t xml:space="preserve">            </w:t>
        <w:br w:clear="none"/>
      </w:r>
      <w:r>
        <w:t xml:space="preserve">tr</w:t>
        <w:br w:clear="none"/>
      </w:r>
      <w:r>
        <w:rPr>
          <w:rStyle w:val="Text13"/>
        </w:rPr>
        <w:t xml:space="preserve">.</w:t>
        <w:br w:clear="none"/>
      </w:r>
      <w:r>
        <w:t xml:space="preserve">append</w:t>
        <w:br w:clear="none"/>
      </w:r>
      <w:r>
        <w:rPr>
          <w:rStyle w:val="Text7"/>
        </w:rPr>
        <w:t xml:space="preserve">(</w:t>
        <w:br w:clear="none"/>
      </w:r>
      <w:r>
        <w:t xml:space="preserve">td</w:t>
        <w:br w:clear="none"/>
      </w:r>
      <w:r>
        <w:rPr>
          <w:rStyle w:val="Text7"/>
        </w:rPr>
        <w:t xml:space="preserve">)</w:t>
        <w:br w:clear="none"/>
      </w:r>
      <w:r>
        <w:rPr>
          <w:rStyle w:val="Text6"/>
        </w:rPr>
        <w:t xml:space="preserve"/>
        <w:br w:clear="none"/>
        <w:t xml:space="preserve">            </w:t>
        <w:br w:clear="none"/>
      </w:r>
      <w:r>
        <w:t xml:space="preserve">td</w:t>
        <w:br w:clear="none"/>
      </w:r>
      <w:r>
        <w:rPr>
          <w:rStyle w:val="Text13"/>
        </w:rPr>
        <w:t xml:space="preserve">.</w:t>
        <w:br w:clear="none"/>
      </w:r>
      <w:r>
        <w:t xml:space="preserve">string</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str</w:t>
        <w:br w:clear="none"/>
      </w:r>
      <w:r>
        <w:rPr>
          <w:rStyle w:val="Text7"/>
        </w:rPr>
        <w:t xml:space="preserve">(</w:t>
        <w:br w:clear="none"/>
      </w:r>
      <w:r>
        <w:t xml:space="preserve">item</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tab</w:t>
        <w:br w:clear="none"/>
      </w:r>
    </w:p>
    <w:p>
      <w:pPr>
        <w:pStyle w:val="Normal"/>
      </w:pPr>
      <w:r>
        <w:t>Here is an example using the function we just defined:</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example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'foo'</w:t>
        <w:br w:clear="none"/>
      </w:r>
      <w:r>
        <w:rPr>
          <w:rStyle w:val="Text7"/>
        </w:rPr>
        <w:t xml:space="preserve">,</w:t>
        <w:br w:clear="none"/>
      </w:r>
      <w:r>
        <w:rPr>
          <w:rStyle w:val="Text23"/>
        </w:rPr>
        <w:t xml:space="preserve"> </w:t>
        <w:br w:clear="none"/>
      </w:r>
      <w:r>
        <w:rPr>
          <w:rStyle w:val="Text8"/>
        </w:rPr>
        <w:t xml:space="preserve">'g&gt;h'</w:t>
        <w:br w:clear="none"/>
      </w:r>
      <w:r>
        <w:rPr>
          <w:rStyle w:val="Text7"/>
        </w:rPr>
        <w:t xml:space="preserve">,</w:t>
        <w:br w:clear="none"/>
      </w:r>
      <w:r>
        <w:rPr>
          <w:rStyle w:val="Text23"/>
        </w:rPr>
        <w:t xml:space="preserve"> </w:t>
        <w:br w:clear="none"/>
      </w:r>
      <w:r>
        <w:rPr>
          <w:rStyle w:val="Text8"/>
        </w:rPr>
        <w:t xml:space="preserve">'g&amp;h'</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'zip'</w:t>
        <w:br w:clear="none"/>
      </w:r>
      <w:r>
        <w:rPr>
          <w:rStyle w:val="Text7"/>
        </w:rPr>
        <w:t xml:space="preserve">,</w:t>
        <w:br w:clear="none"/>
      </w:r>
      <w:r>
        <w:rPr>
          <w:rStyle w:val="Text23"/>
        </w:rPr>
        <w:t xml:space="preserve"> </w:t>
        <w:br w:clear="none"/>
      </w:r>
      <w:r>
        <w:rPr>
          <w:rStyle w:val="Text8"/>
        </w:rPr>
        <w:t xml:space="preserve">'zap'</w:t>
        <w:br w:clear="none"/>
      </w:r>
      <w:r>
        <w:rPr>
          <w:rStyle w:val="Text7"/>
        </w:rPr>
        <w:t xml:space="preserve">,</w:t>
        <w:br w:clear="none"/>
      </w:r>
      <w:r>
        <w:rPr>
          <w:rStyle w:val="Text23"/>
        </w:rPr>
        <w:t xml:space="preserve"> </w:t>
        <w:br w:clear="none"/>
      </w:r>
      <w:r>
        <w:rPr>
          <w:rStyle w:val="Text8"/>
        </w:rPr>
        <w:t xml:space="preserve">'zop'</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mktable_with_bs4</w:t>
        <w:br w:clear="none"/>
      </w:r>
      <w:r>
        <w:rPr>
          <w:rStyle w:val="Text7"/>
        </w:rPr>
        <w:t xml:space="preserve">(</w:t>
        <w:br w:clear="none"/>
      </w:r>
      <w:r>
        <w:t xml:space="preserve">example</w:t>
        <w:br w:clear="none"/>
      </w:r>
      <w:r>
        <w:rPr>
          <w:rStyle w:val="Text7"/>
        </w:rPr>
        <w:t xml:space="preserve">))</w:t>
        <w:br w:clear="none"/>
      </w:r>
    </w:p>
    <w:p>
      <w:pPr>
        <w:pStyle w:val="Para 008"/>
      </w:pPr>
      <w:r>
        <w:rPr>
          <w:rStyle w:val="Text48"/>
        </w:rPr>
        <w:t xml:space="preserve"/>
        <w:br w:clear="none"/>
      </w:r>
      <w:r>
        <w:t xml:space="preserve">&lt;table&gt;&lt;tr&gt;&lt;td&gt;foo&lt;/td&gt;&lt;td&gt;g&amp;gt;h&lt;/td&gt;&lt;td&gt;g&amp;amp;h&lt;/td&gt;&lt;/tr&gt;</w:t>
        <w:br w:clear="none"/>
      </w:r>
      <w:r>
        <w:rPr>
          <w:rStyle w:val="Text48"/>
        </w:rPr>
        <w:t xml:space="preserve"/>
        <w:br w:clear="none"/>
      </w:r>
      <w:r>
        <w:t xml:space="preserve">&lt;tr&gt;&lt;td&gt;zip&lt;/td&gt;&lt;td&gt;zap&lt;/td&gt;&lt;td&gt;zop&lt;/td&gt;&lt;/tr&gt;&lt;/table&gt;</w:t>
        <w:br w:clear="none"/>
      </w:r>
    </w:p>
    <w:p>
      <w:pPr>
        <w:pStyle w:val="Normal"/>
      </w:pPr>
      <w:r>
        <w:t xml:space="preserve">Note that </w:t>
      </w:r>
      <w:r>
        <w:rPr>
          <w:rStyle w:val="Text0"/>
        </w:rPr>
        <w:t>bs4</w:t>
      </w:r>
      <w:r>
        <w:t xml:space="preserve"> automatically converts markup characters such as </w:t>
      </w:r>
      <w:r>
        <w:rPr>
          <w:rStyle w:val="Text0"/>
        </w:rPr>
        <w:t>&lt;</w:t>
      </w:r>
      <w:r>
        <w:t xml:space="preserve">, </w:t>
      </w:r>
      <w:r>
        <w:rPr>
          <w:rStyle w:val="Text0"/>
        </w:rPr>
        <w:t>&gt;</w:t>
      </w:r>
      <w:r>
        <w:t xml:space="preserve">, and </w:t>
      </w:r>
      <w:r>
        <w:rPr>
          <w:rStyle w:val="Text0"/>
        </w:rPr>
        <w:t>&amp;</w:t>
      </w:r>
      <w:r>
        <w:t xml:space="preserve"> to their corresponding HTML entities; for example, </w:t>
      </w:r>
      <w:r>
        <w:rPr>
          <w:rStyle w:val="Text0"/>
        </w:rPr>
        <w:t>'g&gt;h'</w:t>
      </w:r>
      <w:r>
        <w:t xml:space="preserve"> renders as </w:t>
      </w:r>
      <w:r>
        <w:rPr>
          <w:rStyle w:val="Text0"/>
        </w:rPr>
        <w:t>'g&amp;gt;h'</w:t>
      </w:r>
      <w:r>
        <w:t>.</w:t>
      </w:r>
    </w:p>
    <w:p>
      <w:bookmarkStart w:id="4360" w:name="Templating__To_generate_HTML__th"/>
      <w:pPr>
        <w:keepNext/>
        <w:pStyle w:val="Heading 2"/>
      </w:pPr>
      <w:r>
        <w:t>Templating</w:t>
      </w:r>
      <w:bookmarkEnd w:id="4360"/>
    </w:p>
    <w:p>
      <w:pPr>
        <w:pStyle w:val="Normal"/>
      </w:pPr>
      <w:r>
        <w:t>To</w:t>
      </w:r>
      <w:r>
        <w:rPr>
          <w:rStyle w:val="Text111"/>
        </w:rPr>
        <w:bookmarkStart w:id="4361" w:name="temp22"/>
        <w:t/>
        <w:bookmarkEnd w:id="4361"/>
      </w:r>
      <w:r>
        <w:t xml:space="preserve"> generate HTML, the best approach is often </w:t>
      </w:r>
      <w:r>
        <w:rPr>
          <w:rStyle w:val="Text4"/>
        </w:rPr>
        <w:t>templating</w:t>
      </w:r>
      <w:r>
        <w:t xml:space="preserve">. You start with a </w:t>
      </w:r>
      <w:r>
        <w:rPr>
          <w:rStyle w:val="Text4"/>
        </w:rPr>
        <w:t>template</w:t>
      </w:r>
      <w:r>
        <w:t>—a</w:t>
        <w:t xml:space="preserve"> text string (often read from a file, database, etc.) that is almost valid HTML, but includes markers, known as</w:t>
      </w:r>
      <w:r>
        <w:rPr>
          <w:rStyle w:val="Text111"/>
        </w:rPr>
        <w:bookmarkStart w:id="4362" w:name="idm45965169453776"/>
        <w:t/>
        <w:bookmarkEnd w:id="4362"/>
      </w:r>
      <w:r>
        <w:t xml:space="preserve"> </w:t>
      </w:r>
      <w:r>
        <w:rPr>
          <w:rStyle w:val="Text4"/>
        </w:rPr>
        <w:t>placeholders</w:t>
      </w:r>
      <w:r>
        <w:t>, where dynamically generated text must be inserted—and your program generates the needed text and substitutes it into the template.</w:t>
      </w:r>
    </w:p>
    <w:p>
      <w:pPr>
        <w:pStyle w:val="Normal"/>
      </w:pPr>
      <w:r>
        <w:t xml:space="preserve">In the simplest case, you can use markers of the form </w:t>
      </w:r>
      <w:r>
        <w:rPr>
          <w:rStyle w:val="Text0"/>
        </w:rPr>
        <w:t>{</w:t>
      </w:r>
      <w:r>
        <w:rPr>
          <w:rStyle w:val="Text3"/>
        </w:rPr>
        <w:t>name</w:t>
      </w:r>
      <w:r>
        <w:rPr>
          <w:rStyle w:val="Text0"/>
        </w:rPr>
        <w:t>}</w:t>
      </w:r>
      <w:r>
        <w:t xml:space="preserve">. Set the dynamically generated text as the value for key </w:t>
      </w:r>
      <w:r>
        <w:rPr>
          <w:rStyle w:val="Text0"/>
        </w:rPr>
        <w:t>'</w:t>
      </w:r>
      <w:r>
        <w:rPr>
          <w:rStyle w:val="Text3"/>
        </w:rPr>
        <w:t>name</w:t>
      </w:r>
      <w:r>
        <w:rPr>
          <w:rStyle w:val="Text0"/>
        </w:rPr>
        <w:t>'</w:t>
      </w:r>
      <w:r>
        <w:t xml:space="preserve"> in some dictionary </w:t>
      </w:r>
      <w:r>
        <w:rPr>
          <w:rStyle w:val="Text3"/>
        </w:rPr>
        <w:t>d</w:t>
      </w:r>
      <w:r>
        <w:rPr>
          <w:rStyle w:val="Text4"/>
        </w:rPr>
        <w:t>.</w:t>
      </w:r>
      <w:r>
        <w:t xml:space="preserve"> The Python string formatting method </w:t>
      </w:r>
      <w:r>
        <w:rPr>
          <w:rStyle w:val="Text0"/>
        </w:rPr>
        <w:t>.format</w:t>
      </w:r>
      <w:r>
        <w:t xml:space="preserve"> (covered in </w:t>
      </w:r>
      <w:hyperlink w:anchor="String_Formatting__Python_provid">
        <w:r>
          <w:rPr>
            <w:rStyle w:val="Text1"/>
          </w:rPr>
          <w:t>“String Formatting”</w:t>
        </w:r>
      </w:hyperlink>
      <w:r>
        <w:t xml:space="preserve">) lets you do the rest: when </w:t>
      </w:r>
      <w:r>
        <w:rPr>
          <w:rStyle w:val="Text3"/>
        </w:rPr>
        <w:t>t</w:t>
      </w:r>
      <w:r>
        <w:t xml:space="preserve"> is the template string, </w:t>
      </w:r>
      <w:r>
        <w:rPr>
          <w:rStyle w:val="Text3"/>
        </w:rPr>
        <w:t>t</w:t>
      </w:r>
      <w:r>
        <w:rPr>
          <w:rStyle w:val="Text0"/>
        </w:rPr>
        <w:t>.format(</w:t>
      </w:r>
      <w:r>
        <w:rPr>
          <w:rStyle w:val="Text3"/>
        </w:rPr>
        <w:t>d</w:t>
      </w:r>
      <w:r>
        <w:rPr>
          <w:rStyle w:val="Text0"/>
        </w:rPr>
        <w:t>)</w:t>
      </w:r>
      <w:r>
        <w:t xml:space="preserve"> is a copy of the template with all values properly substituted.</w:t>
      </w:r>
    </w:p>
    <w:p>
      <w:pPr>
        <w:pStyle w:val="Normal"/>
      </w:pPr>
      <w:r>
        <w:t xml:space="preserve">In general, beyond substituting placeholders, you’ll also want to use conditionals, perform loops, and deal with other advanced formatting and presentation tasks; in the spirit of separating “business logic” from “presentation issues,” you’d prefer it if all of the latter were part of your templating. This is where dedicated third-party templating packages come in. There are many of them, but all of this book’s authors, having used and </w:t>
      </w:r>
      <w:hyperlink r:id="rId634">
        <w:r>
          <w:rPr>
            <w:rStyle w:val="Text1"/>
          </w:rPr>
          <w:t>authored</w:t>
        </w:r>
      </w:hyperlink>
      <w:r>
        <w:t xml:space="preserve"> some in the past, currently prefer </w:t>
      </w:r>
      <w:hyperlink r:id="rId635">
        <w:r>
          <w:rPr>
            <w:rStyle w:val="Text30"/>
          </w:rPr>
          <w:t>jinja2</w:t>
        </w:r>
      </w:hyperlink>
      <w:r>
        <w:t>, covered next.</w:t>
      </w:r>
    </w:p>
    <w:p>
      <w:bookmarkStart w:id="4363" w:name="The_jinja2_Package__For_serious"/>
      <w:pPr>
        <w:keepNext/>
        <w:pStyle w:val="Heading 2"/>
      </w:pPr>
      <w:r>
        <w:t>The jinja2 Package</w:t>
      </w:r>
      <w:bookmarkEnd w:id="4363"/>
    </w:p>
    <w:p>
      <w:pPr>
        <w:pStyle w:val="Normal"/>
      </w:pPr>
      <w:r>
        <w:t>For</w:t>
      </w:r>
      <w:r>
        <w:rPr>
          <w:rStyle w:val="Text111"/>
        </w:rPr>
        <w:bookmarkStart w:id="4364" w:name="jinja22"/>
        <w:t/>
        <w:bookmarkEnd w:id="4364"/>
      </w:r>
      <w:r>
        <w:t xml:space="preserve"> serious templating tasks, we recommend </w:t>
      </w:r>
      <w:r>
        <w:rPr>
          <w:rStyle w:val="Text0"/>
        </w:rPr>
        <w:t>jinja2</w:t>
      </w:r>
      <w:r>
        <w:t xml:space="preserve"> (available on </w:t>
      </w:r>
      <w:hyperlink r:id="rId636">
        <w:r>
          <w:rPr>
            <w:rStyle w:val="Text1"/>
          </w:rPr>
          <w:t>PyPI</w:t>
        </w:r>
      </w:hyperlink>
      <w:r>
        <w:t xml:space="preserve">, like other third-party Python packages, so, easily installable with </w:t>
      </w:r>
      <w:r>
        <w:rPr>
          <w:rStyle w:val="Text5"/>
        </w:rPr>
        <w:t>pip install jinja2</w:t>
      </w:r>
      <w:r>
        <w:t>).</w:t>
      </w:r>
    </w:p>
    <w:p>
      <w:pPr>
        <w:pStyle w:val="Normal"/>
      </w:pPr>
      <w:r>
        <w:t xml:space="preserve">The </w:t>
      </w:r>
      <w:hyperlink r:id="rId637">
        <w:r>
          <w:rPr>
            <w:rStyle w:val="Text30"/>
          </w:rPr>
          <w:t>jinja2</w:t>
        </w:r>
      </w:hyperlink>
      <w:hyperlink r:id="rId637">
        <w:r>
          <w:rPr>
            <w:rStyle w:val="Text1"/>
          </w:rPr>
          <w:t xml:space="preserve"> docs</w:t>
        </w:r>
      </w:hyperlink>
      <w:r>
        <w:t xml:space="preserve"> are excellent and thorough, covering the templating language itself (conceptually modeled on Python, but with many differences to support embedding it in HTML, and the peculiar needs specific to presentation issues); the API your Python code uses to connect to </w:t>
      </w:r>
      <w:r>
        <w:rPr>
          <w:rStyle w:val="Text0"/>
        </w:rPr>
        <w:t>jinja2</w:t>
      </w:r>
      <w:r>
        <w:t>, and expand or extend it if necessary; as well as other issues, from installation to internationalization, from sandboxing code to porting from other templating engines—not to mention, precious tips and tricks.</w:t>
      </w:r>
    </w:p>
    <w:p>
      <w:pPr>
        <w:pStyle w:val="Normal"/>
      </w:pPr>
      <w:r>
        <w:t xml:space="preserve">In this section, we cover only a tiny subset of </w:t>
      </w:r>
      <w:r>
        <w:rPr>
          <w:rStyle w:val="Text0"/>
        </w:rPr>
        <w:t>jinja2</w:t>
      </w:r>
      <w:r>
        <w:t xml:space="preserve">’s power, just what you need to get started after installing it. We earnestly recommend studying </w:t>
      </w:r>
      <w:r>
        <w:rPr>
          <w:rStyle w:val="Text0"/>
        </w:rPr>
        <w:t>jinja2</w:t>
      </w:r>
      <w:r>
        <w:t>’s docs to get the huge amount of extra, useful information they effectively convey.</w:t>
      </w:r>
    </w:p>
    <w:p>
      <w:bookmarkStart w:id="4365" w:name="The_jinja2_Environment_class__Wh"/>
      <w:pPr>
        <w:keepNext/>
        <w:pStyle w:val="Heading 2"/>
      </w:pPr>
      <w:r>
        <w:t>The jinja2.Environment class</w:t>
      </w:r>
      <w:bookmarkEnd w:id="4365"/>
    </w:p>
    <w:p>
      <w:pPr>
        <w:pStyle w:val="Normal"/>
      </w:pPr>
      <w:r>
        <w:t xml:space="preserve">When you use </w:t>
      </w:r>
      <w:r>
        <w:rPr>
          <w:rStyle w:val="Text0"/>
        </w:rPr>
        <w:t>jinja2</w:t>
      </w:r>
      <w:r>
        <w:t xml:space="preserve">, there’s always an </w:t>
      </w:r>
      <w:r>
        <w:rPr>
          <w:rStyle w:val="Text0"/>
        </w:rPr>
        <w:t>Environment</w:t>
      </w:r>
      <w:r>
        <w:t xml:space="preserve"> instance involved—in a few cases you could let it default to a generic “shared environment,” but that’s not recommended. Only in very advanced usage, when you’re getting templates from different sources (or with different templating language syntax), would you ever define multiple environments—usually, you instantiate a single </w:t>
      </w:r>
      <w:r>
        <w:rPr>
          <w:rStyle w:val="Text0"/>
        </w:rPr>
        <w:t>Environment</w:t>
      </w:r>
      <w:r>
        <w:t xml:space="preserve"> instance </w:t>
      </w:r>
      <w:r>
        <w:rPr>
          <w:rStyle w:val="Text3"/>
        </w:rPr>
        <w:t>env</w:t>
      </w:r>
      <w:r>
        <w:t>, good for all the templates you need to render.</w:t>
      </w:r>
    </w:p>
    <w:p>
      <w:pPr>
        <w:pStyle w:val="Normal"/>
      </w:pPr>
      <w:r>
        <w:t xml:space="preserve">You can customize </w:t>
      </w:r>
      <w:r>
        <w:rPr>
          <w:rStyle w:val="Text3"/>
        </w:rPr>
        <w:t>env</w:t>
      </w:r>
      <w:r>
        <w:t xml:space="preserve"> in many ways as you build it, by passing named arguments to its constructor (including altering crucial aspects of templating language syntax, such as which delimiters start and end blocks, variables, comments, etc.). The one named argument you’ll almost always pass in real-life use is </w:t>
      </w:r>
      <w:r>
        <w:rPr>
          <w:rStyle w:val="Text0"/>
        </w:rPr>
        <w:t>loader</w:t>
      </w:r>
      <w:r>
        <w:t xml:space="preserve"> (the others are rarely set).</w:t>
      </w:r>
    </w:p>
    <w:p>
      <w:pPr>
        <w:pStyle w:val="Normal"/>
      </w:pPr>
      <w:r>
        <w:t xml:space="preserve">An environment’s </w:t>
      </w:r>
      <w:r>
        <w:rPr>
          <w:rStyle w:val="Text0"/>
        </w:rPr>
        <w:t>loader</w:t>
      </w:r>
      <w:r>
        <w:t xml:space="preserve"> specifies where to load templates from, on request—usually some directory in a filesystem, or perhaps some database (you’d have to code a custom subclass of </w:t>
      </w:r>
      <w:r>
        <w:rPr>
          <w:rStyle w:val="Text0"/>
        </w:rPr>
        <w:t>jinja2.Loader</w:t>
      </w:r>
      <w:r>
        <w:t xml:space="preserve"> for the latter purpose), but there are other possibilities. You need a </w:t>
      </w:r>
      <w:r>
        <w:rPr>
          <w:rStyle w:val="Text0"/>
        </w:rPr>
        <w:t>loader</w:t>
      </w:r>
      <w:r>
        <w:t xml:space="preserve"> to let templates enjoy some of </w:t>
      </w:r>
      <w:r>
        <w:rPr>
          <w:rStyle w:val="Text0"/>
        </w:rPr>
        <w:t>jinja2</w:t>
      </w:r>
      <w:r>
        <w:t xml:space="preserve">’s most powerful features, such as </w:t>
      </w:r>
      <w:hyperlink r:id="rId638">
        <w:r>
          <w:rPr>
            <w:rStyle w:val="Text24"/>
          </w:rPr>
          <w:t>template inheritance</w:t>
        </w:r>
      </w:hyperlink>
      <w:r>
        <w:t>.</w:t>
      </w:r>
    </w:p>
    <w:p>
      <w:pPr>
        <w:pStyle w:val="Normal"/>
      </w:pPr>
      <w:r>
        <w:t xml:space="preserve">You can equip </w:t>
      </w:r>
      <w:r>
        <w:rPr>
          <w:rStyle w:val="Text3"/>
        </w:rPr>
        <w:t>env</w:t>
      </w:r>
      <w:r>
        <w:t xml:space="preserve">, as you instantiate it, with custom </w:t>
      </w:r>
      <w:hyperlink r:id="rId639">
        <w:r>
          <w:rPr>
            <w:rStyle w:val="Text1"/>
          </w:rPr>
          <w:t>filters</w:t>
        </w:r>
      </w:hyperlink>
      <w:r>
        <w:t xml:space="preserve">, </w:t>
      </w:r>
      <w:hyperlink r:id="rId640">
        <w:r>
          <w:rPr>
            <w:rStyle w:val="Text1"/>
          </w:rPr>
          <w:t>tests</w:t>
        </w:r>
      </w:hyperlink>
      <w:r>
        <w:t xml:space="preserve">, </w:t>
      </w:r>
      <w:hyperlink r:id="rId641">
        <w:r>
          <w:rPr>
            <w:rStyle w:val="Text1"/>
          </w:rPr>
          <w:t>extensions</w:t>
        </w:r>
      </w:hyperlink>
      <w:r>
        <w:t>, and so on (each of those can also be added later).</w:t>
      </w:r>
    </w:p>
    <w:p>
      <w:pPr>
        <w:pStyle w:val="Normal"/>
      </w:pPr>
      <w:r>
        <w:t xml:space="preserve">In the examples presented later, we assume </w:t>
      </w:r>
      <w:r>
        <w:rPr>
          <w:rStyle w:val="Text3"/>
        </w:rPr>
        <w:t>env</w:t>
      </w:r>
      <w:r>
        <w:t xml:space="preserve"> was instantiated with nothing but </w:t>
      </w:r>
      <w:r>
        <w:rPr>
          <w:rStyle w:val="Text0"/>
        </w:rPr>
        <w:t>loader=jinja2.FileSystemLoader('</w:t>
      </w:r>
      <w:r>
        <w:rPr>
          <w:rStyle w:val="Text3"/>
        </w:rPr>
        <w:t>/path/to/templates</w:t>
      </w:r>
      <w:r>
        <w:rPr>
          <w:rStyle w:val="Text0"/>
        </w:rPr>
        <w:t>')</w:t>
      </w:r>
      <w:r>
        <w:t xml:space="preserve">, and not further enriched—in fact, for simplicity, we won’t even make use of the </w:t>
      </w:r>
      <w:r>
        <w:rPr>
          <w:rStyle w:val="Text0"/>
        </w:rPr>
        <w:t>loader</w:t>
      </w:r>
      <w:r>
        <w:t xml:space="preserve"> argument.</w:t>
      </w:r>
    </w:p>
    <w:p>
      <w:pPr>
        <w:pStyle w:val="Normal"/>
      </w:pPr>
      <w:r>
        <w:rPr>
          <w:rStyle w:val="Text3"/>
        </w:rPr>
        <w:t>env</w:t>
      </w:r>
      <w:r>
        <w:rPr>
          <w:rStyle w:val="Text0"/>
        </w:rPr>
        <w:t>.get_template(</w:t>
      </w:r>
      <w:r>
        <w:rPr>
          <w:rStyle w:val="Text3"/>
        </w:rPr>
        <w:t>name</w:t>
      </w:r>
      <w:r>
        <w:rPr>
          <w:rStyle w:val="Text0"/>
        </w:rPr>
        <w:t>)</w:t>
      </w:r>
      <w:r>
        <w:t xml:space="preserve"> fetches, compiles, and returns an instance of </w:t>
      </w:r>
      <w:r>
        <w:rPr>
          <w:rStyle w:val="Text0"/>
        </w:rPr>
        <w:t>jinja2.Template</w:t>
      </w:r>
      <w:r>
        <w:t xml:space="preserve"> based on what </w:t>
      </w:r>
      <w:r>
        <w:rPr>
          <w:rStyle w:val="Text0"/>
        </w:rPr>
        <w:t>env.loader(</w:t>
      </w:r>
      <w:r>
        <w:rPr>
          <w:rStyle w:val="Text3"/>
        </w:rPr>
        <w:t>name</w:t>
      </w:r>
      <w:r>
        <w:rPr>
          <w:rStyle w:val="Text0"/>
        </w:rPr>
        <w:t>)</w:t>
      </w:r>
      <w:r>
        <w:t xml:space="preserve"> returns. In the examples at the end of this section, for simplicity, we’ll instead use the rarely warranted </w:t>
      </w:r>
      <w:r>
        <w:rPr>
          <w:rStyle w:val="Text0"/>
        </w:rPr>
        <w:t>env.from_string(</w:t>
      </w:r>
      <w:r>
        <w:rPr>
          <w:rStyle w:val="Text3"/>
        </w:rPr>
        <w:t>s</w:t>
      </w:r>
      <w:r>
        <w:rPr>
          <w:rStyle w:val="Text0"/>
        </w:rPr>
        <w:t>)</w:t>
      </w:r>
      <w:r>
        <w:t xml:space="preserve"> to build an instance of </w:t>
      </w:r>
      <w:r>
        <w:rPr>
          <w:rStyle w:val="Text0"/>
        </w:rPr>
        <w:t>jinja2.Template</w:t>
      </w:r>
      <w:r>
        <w:t xml:space="preserve"> from string </w:t>
      </w:r>
      <w:r>
        <w:rPr>
          <w:rStyle w:val="Text3"/>
        </w:rPr>
        <w:t>s</w:t>
      </w:r>
      <w:r>
        <w:t>.</w:t>
      </w:r>
    </w:p>
    <w:p>
      <w:bookmarkStart w:id="4366" w:name="The_jinja2_Template_class__An_in"/>
      <w:pPr>
        <w:keepNext/>
        <w:pStyle w:val="Heading 2"/>
      </w:pPr>
      <w:r>
        <w:t>The jinja2.Template class</w:t>
      </w:r>
      <w:bookmarkEnd w:id="4366"/>
    </w:p>
    <w:p>
      <w:pPr>
        <w:pStyle w:val="Normal"/>
      </w:pPr>
      <w:r>
        <w:t xml:space="preserve">An instance </w:t>
      </w:r>
      <w:r>
        <w:rPr>
          <w:rStyle w:val="Text3"/>
        </w:rPr>
        <w:t>t</w:t>
      </w:r>
      <w:r>
        <w:t xml:space="preserve"> of </w:t>
      </w:r>
      <w:r>
        <w:rPr>
          <w:rStyle w:val="Text0"/>
        </w:rPr>
        <w:t>jinja2.Template</w:t>
      </w:r>
      <w:r>
        <w:t xml:space="preserve"> has many attributes and methods, but the one you’ll be using almost exclusively in real life is:</w:t>
      </w:r>
    </w:p>
    <w:tbl>
      <w:tblPr>
        <w:tblW w:type="auto" w:w="0"/>
      </w:tblPr>
      <w:tr>
        <w:tc>
          <w:tcPr>
            <w:tcW w:type="auto" w:w="0"/>
            <w:tcMar>
              <w:left w:type="dxa" w:w="200"/>
              <w:top w:type="dxa" w:w="200"/>
              <w:right w:type="dxa" w:w="200"/>
              <w:bottom w:type="dxa" w:w="200"/>
            </w:tcMar>
          </w:tcPr>
          <w:p>
            <w:pPr>
              <w:pStyle w:val="Para 119"/>
            </w:pPr>
            <w:r>
              <w:t/>
            </w:r>
          </w:p>
          <w:p>
            <w:pPr>
              <w:pStyle w:val="Para 001"/>
            </w:pPr>
            <w:r>
              <w:t>render</w:t>
            </w:r>
          </w:p>
        </w:tc>
        <w:tc>
          <w:tcPr>
            <w:tcW w:type="auto" w:w="0"/>
            <w:tcMar>
              <w:left w:type="dxa" w:w="200"/>
              <w:top w:type="dxa" w:w="200"/>
              <w:right w:type="dxa" w:w="200"/>
              <w:bottom w:type="dxa" w:w="200"/>
            </w:tcMar>
          </w:tcPr>
          <w:p>
            <w:pPr>
              <w:pStyle w:val="Para 002"/>
            </w:pPr>
            <w:r>
              <w:rPr>
                <w:rStyle w:val="Text3"/>
              </w:rPr>
              <w:t>t</w:t>
            </w:r>
            <w:r>
              <w:rPr>
                <w:rStyle w:val="Text0"/>
              </w:rPr>
              <w:t>.render(...</w:t>
            </w:r>
            <w:r>
              <w:rPr>
                <w:rStyle w:val="Text3"/>
              </w:rPr>
              <w:t>context</w:t>
            </w:r>
            <w:r>
              <w:rPr>
                <w:rStyle w:val="Text0"/>
              </w:rPr>
              <w:t>...)</w:t>
              <w:br w:clear="none"/>
            </w:r>
            <w:r>
              <w:t xml:space="preserve"> The </w:t>
            </w:r>
            <w:r>
              <w:rPr>
                <w:rStyle w:val="Text3"/>
              </w:rPr>
              <w:t>context</w:t>
            </w:r>
            <w:r>
              <w:t xml:space="preserve"> argument(s) are the same you might pass to a </w:t>
            </w:r>
            <w:r>
              <w:rPr>
                <w:rStyle w:val="Text0"/>
              </w:rPr>
              <w:t>dict</w:t>
            </w:r>
            <w:r>
              <w:t xml:space="preserve"> constructor—a mapping instance, and/or named arguments enriching and potentially overriding the mapping’s key-to-value connections.</w:t>
              <w:br w:clear="none"/>
              <w:t xml:space="preserve"> </w:t>
            </w:r>
            <w:r>
              <w:rPr>
                <w:rStyle w:val="Text3"/>
              </w:rPr>
              <w:t>t</w:t>
            </w:r>
            <w:r>
              <w:rPr>
                <w:rStyle w:val="Text0"/>
              </w:rPr>
              <w:t>.render(</w:t>
            </w:r>
            <w:r>
              <w:rPr>
                <w:rStyle w:val="Text3"/>
              </w:rPr>
              <w:t>context</w:t>
            </w:r>
            <w:r>
              <w:rPr>
                <w:rStyle w:val="Text0"/>
              </w:rPr>
              <w:t>)</w:t>
            </w:r>
            <w:r>
              <w:t xml:space="preserve"> returns a (Unicode) string resulting from the </w:t>
            </w:r>
            <w:r>
              <w:rPr>
                <w:rStyle w:val="Text3"/>
              </w:rPr>
              <w:t>context</w:t>
            </w:r>
            <w:r>
              <w:t xml:space="preserve"> arguments applied to the template </w:t>
            </w:r>
            <w:r>
              <w:rPr>
                <w:rStyle w:val="Text3"/>
              </w:rPr>
              <w:t>t</w:t>
            </w:r>
            <w:r>
              <w:t>.</w:t>
            </w:r>
          </w:p>
        </w:tc>
      </w:tr>
    </w:tbl>
    <w:p>
      <w:bookmarkStart w:id="4367" w:name="Building_HTML_with_jinja2__Here"/>
      <w:pPr>
        <w:keepNext/>
        <w:pStyle w:val="Heading 2"/>
      </w:pPr>
      <w:r>
        <w:t>Building HTML with jinja2</w:t>
      </w:r>
      <w:bookmarkEnd w:id="4367"/>
    </w:p>
    <w:p>
      <w:pPr>
        <w:pStyle w:val="Normal"/>
      </w:pPr>
      <w:r>
        <w:t xml:space="preserve">Here’s an example of how to use a </w:t>
      </w:r>
      <w:r>
        <w:rPr>
          <w:rStyle w:val="Text0"/>
        </w:rPr>
        <w:t>jinja2</w:t>
      </w:r>
      <w:r>
        <w:t xml:space="preserve"> template to generate HTML. Specifically, just like in </w:t>
      </w:r>
      <w:hyperlink w:anchor="Building_HTML_with_bs4__Here_s_a">
        <w:r>
          <w:rPr>
            <w:rStyle w:val="Text1"/>
          </w:rPr>
          <w:t>“Building HTML with bs4”</w:t>
        </w:r>
      </w:hyperlink>
      <w:r>
        <w:t>, the following function takes a sequence of “rows” (sequences) and returns an HTML table to display their values:</w:t>
      </w:r>
    </w:p>
    <w:p>
      <w:pPr>
        <w:pStyle w:val="Para 007"/>
      </w:pPr>
      <w:r>
        <w:rPr>
          <w:rStyle w:val="Text23"/>
        </w:rPr>
        <w:t xml:space="preserve"/>
        <w:br w:clear="none"/>
      </w:r>
      <w:r>
        <w:t xml:space="preserve">TABLE_TEMPLATE</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w:t>
        <w:br w:clear="none"/>
        <w:t xml:space="preserve">&lt;table&gt;</w:t>
        <w:br w:clear="none"/>
        <w:t xml:space="preserve"/>
        <w:br w:clear="none"/>
        <w:t xml:space="preserve">{</w:t>
        <w:br w:clear="none"/>
      </w:r>
      <w:r>
        <w:rPr>
          <w:rStyle w:val="Text32"/>
        </w:rPr>
        <w:t xml:space="preserve">% f</w:t>
        <w:br w:clear="none"/>
      </w:r>
      <w:r>
        <w:rPr>
          <w:rStyle w:val="Text8"/>
        </w:rPr>
        <w:t xml:space="preserve">or s in s_of_s </w:t>
        <w:br w:clear="none"/>
        <w:t xml:space="preserve">%</w:t>
        <w:br w:clear="none"/>
        <w:t xml:space="preserve">}</w:t>
        <w:br w:clear="none"/>
        <w:t xml:space="preserve"/>
        <w:br w:clear="none"/>
        <w:t xml:space="preserve">  &lt;tr&gt;</w:t>
        <w:br w:clear="none"/>
        <w:t xml:space="preserve"/>
        <w:br w:clear="none"/>
        <w:t xml:space="preserve">  </w:t>
        <w:br w:clear="none"/>
        <w:t xml:space="preserve">{</w:t>
        <w:br w:clear="none"/>
      </w:r>
      <w:r>
        <w:rPr>
          <w:rStyle w:val="Text32"/>
        </w:rPr>
        <w:t xml:space="preserve">% f</w:t>
        <w:br w:clear="none"/>
      </w:r>
      <w:r>
        <w:rPr>
          <w:rStyle w:val="Text8"/>
        </w:rPr>
        <w:t xml:space="preserve">or item in s </w:t>
        <w:br w:clear="none"/>
        <w:t xml:space="preserve">%</w:t>
        <w:br w:clear="none"/>
        <w:t xml:space="preserve">}</w:t>
        <w:br w:clear="none"/>
        <w:t xml:space="preserve"/>
        <w:br w:clear="none"/>
        <w:t xml:space="preserve">    &lt;td&gt;</w:t>
        <w:br w:clear="none"/>
        <w:t xml:space="preserve">{{</w:t>
        <w:br w:clear="none"/>
        <w:t xml:space="preserve">item}}&lt;/td&gt;</w:t>
        <w:br w:clear="none"/>
        <w:t xml:space="preserve"/>
        <w:br w:clear="none"/>
        <w:t xml:space="preserve">  </w:t>
        <w:br w:clear="none"/>
        <w:t xml:space="preserve">{</w:t>
        <w:br w:clear="none"/>
      </w:r>
      <w:r>
        <w:rPr>
          <w:rStyle w:val="Text32"/>
        </w:rPr>
        <w:t xml:space="preserve">% e</w:t>
        <w:br w:clear="none"/>
      </w:r>
      <w:r>
        <w:rPr>
          <w:rStyle w:val="Text8"/>
        </w:rPr>
        <w:t xml:space="preserve">ndfor </w:t>
        <w:br w:clear="none"/>
        <w:t xml:space="preserve">%</w:t>
        <w:br w:clear="none"/>
        <w:t xml:space="preserve">}</w:t>
        <w:br w:clear="none"/>
        <w:t xml:space="preserve"/>
        <w:br w:clear="none"/>
        <w:t xml:space="preserve">  &lt;/tr&gt;</w:t>
        <w:br w:clear="none"/>
        <w:t xml:space="preserve"/>
        <w:br w:clear="none"/>
        <w:t xml:space="preserve">{</w:t>
        <w:br w:clear="none"/>
      </w:r>
      <w:r>
        <w:rPr>
          <w:rStyle w:val="Text32"/>
        </w:rPr>
        <w:t xml:space="preserve">% e</w:t>
        <w:br w:clear="none"/>
      </w:r>
      <w:r>
        <w:rPr>
          <w:rStyle w:val="Text8"/>
        </w:rPr>
        <w:t xml:space="preserve">ndfor </w:t>
        <w:br w:clear="none"/>
        <w:t xml:space="preserve">%</w:t>
        <w:br w:clear="none"/>
        <w:t xml:space="preserve">}</w:t>
        <w:br w:clear="none"/>
        <w:t xml:space="preserve"/>
        <w:br w:clear="none"/>
        <w:t xml:space="preserve">&lt;/table&gt;</w:t>
        <w:br w:clear="none"/>
        <w:t xml:space="preserve">'''</w:t>
        <w:br w:clear="none"/>
      </w:r>
      <w:r>
        <w:rPr>
          <w:rStyle w:val="Text6"/>
        </w:rPr>
        <w:t xml:space="preserve"/>
        <w:br w:clear="none"/>
      </w:r>
      <w:r>
        <w:rPr>
          <w:rStyle w:val="Text10"/>
        </w:rPr>
        <w:t xml:space="preserve">def</w:t>
        <w:br w:clear="none"/>
      </w:r>
      <w:r>
        <w:rPr>
          <w:rStyle w:val="Text6"/>
        </w:rPr>
        <w:t xml:space="preserve"> </w:t>
        <w:br w:clear="none"/>
      </w:r>
      <w:r>
        <w:rPr>
          <w:rStyle w:val="Text18"/>
        </w:rPr>
        <w:t xml:space="preserve">mktable_with_jinja2</w:t>
        <w:br w:clear="none"/>
      </w:r>
      <w:r>
        <w:rPr>
          <w:rStyle w:val="Text7"/>
        </w:rPr>
        <w:t xml:space="preserve">(</w:t>
        <w:br w:clear="none"/>
      </w:r>
      <w:r>
        <w:t xml:space="preserve">s_of_s</w:t>
        <w:br w:clear="none"/>
      </w:r>
      <w:r>
        <w:rPr>
          <w:rStyle w:val="Text7"/>
        </w:rPr>
        <w:t xml:space="preserve">)</w:t>
        <w:br w:clear="none"/>
        <w:t xml:space="preserve">:</w:t>
        <w:br w:clear="none"/>
      </w:r>
      <w:r>
        <w:rPr>
          <w:rStyle w:val="Text6"/>
        </w:rPr>
        <w:t xml:space="preserve"/>
        <w:br w:clear="none"/>
        <w:t xml:space="preserve">    </w:t>
        <w:br w:clear="none"/>
      </w:r>
      <w:r>
        <w:t xml:space="preserve">env</w:t>
        <w:br w:clear="none"/>
      </w:r>
      <w:r>
        <w:rPr>
          <w:rStyle w:val="Text6"/>
        </w:rPr>
        <w:t xml:space="preserve"> </w:t>
        <w:br w:clear="none"/>
      </w:r>
      <w:r>
        <w:rPr>
          <w:rStyle w:val="Text13"/>
        </w:rPr>
        <w:t xml:space="preserve">=</w:t>
        <w:br w:clear="none"/>
      </w:r>
      <w:r>
        <w:rPr>
          <w:rStyle w:val="Text6"/>
        </w:rPr>
        <w:t xml:space="preserve"> </w:t>
        <w:br w:clear="none"/>
      </w:r>
      <w:r>
        <w:t xml:space="preserve">jinja2</w:t>
        <w:br w:clear="none"/>
      </w:r>
      <w:r>
        <w:rPr>
          <w:rStyle w:val="Text13"/>
        </w:rPr>
        <w:t xml:space="preserve">.</w:t>
        <w:br w:clear="none"/>
      </w:r>
      <w:r>
        <w:t xml:space="preserve">Environment</w:t>
        <w:br w:clear="none"/>
      </w:r>
      <w:r>
        <w:rPr>
          <w:rStyle w:val="Text7"/>
        </w:rPr>
        <w:t xml:space="preserve">(</w:t>
        <w:br w:clear="none"/>
      </w:r>
      <w:r>
        <w:rPr>
          <w:rStyle w:val="Text6"/>
        </w:rPr>
        <w:t xml:space="preserve"/>
        <w:br w:clear="none"/>
        <w:t xml:space="preserve">        </w:t>
        <w:br w:clear="none"/>
      </w:r>
      <w:r>
        <w:t xml:space="preserve">trim_blocks</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lstrip_blocks</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autoescape</w:t>
        <w:br w:clear="none"/>
      </w:r>
      <w:r>
        <w:rPr>
          <w:rStyle w:val="Text13"/>
        </w:rPr>
        <w:t xml:space="preserve">=</w:t>
        <w:br w:clear="none"/>
      </w:r>
      <w:r>
        <w:rPr>
          <w:rStyle w:val="Text10"/>
        </w:rPr>
        <w:t xml:space="preserve">True</w:t>
        <w:br w:clear="none"/>
      </w:r>
      <w:r>
        <w:rPr>
          <w:rStyle w:val="Text7"/>
        </w:rPr>
        <w:t xml:space="preserve">)</w:t>
        <w:br w:clear="none"/>
      </w:r>
      <w:r>
        <w:rPr>
          <w:rStyle w:val="Text6"/>
        </w:rPr>
        <w:t xml:space="preserve"/>
        <w:br w:clear="none"/>
        <w:t xml:space="preserve">    </w:t>
        <w:br w:clear="none"/>
      </w:r>
      <w:r>
        <w:t xml:space="preserve">t</w:t>
        <w:br w:clear="none"/>
      </w:r>
      <w:r>
        <w:rPr>
          <w:rStyle w:val="Text6"/>
        </w:rPr>
        <w:t xml:space="preserve"> </w:t>
        <w:br w:clear="none"/>
      </w:r>
      <w:r>
        <w:rPr>
          <w:rStyle w:val="Text13"/>
        </w:rPr>
        <w:t xml:space="preserve">=</w:t>
        <w:br w:clear="none"/>
      </w:r>
      <w:r>
        <w:rPr>
          <w:rStyle w:val="Text6"/>
        </w:rPr>
        <w:t xml:space="preserve"> </w:t>
        <w:br w:clear="none"/>
      </w:r>
      <w:r>
        <w:t xml:space="preserve">env</w:t>
        <w:br w:clear="none"/>
      </w:r>
      <w:r>
        <w:rPr>
          <w:rStyle w:val="Text13"/>
        </w:rPr>
        <w:t xml:space="preserve">.</w:t>
        <w:br w:clear="none"/>
      </w:r>
      <w:r>
        <w:t xml:space="preserve">from_string</w:t>
        <w:br w:clear="none"/>
      </w:r>
      <w:r>
        <w:rPr>
          <w:rStyle w:val="Text7"/>
        </w:rPr>
        <w:t xml:space="preserve">(</w:t>
        <w:br w:clear="none"/>
      </w:r>
      <w:r>
        <w:t xml:space="preserve">TABLE_TEMPLATE</w:t>
        <w:br w:clear="none"/>
      </w:r>
      <w:r>
        <w:rPr>
          <w:rStyle w:val="Text7"/>
        </w:rPr>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t xml:space="preserve">t</w:t>
        <w:br w:clear="none"/>
      </w:r>
      <w:r>
        <w:rPr>
          <w:rStyle w:val="Text13"/>
        </w:rPr>
        <w:t xml:space="preserve">.</w:t>
        <w:br w:clear="none"/>
      </w:r>
      <w:r>
        <w:t xml:space="preserve">render</w:t>
        <w:br w:clear="none"/>
      </w:r>
      <w:r>
        <w:rPr>
          <w:rStyle w:val="Text7"/>
        </w:rPr>
        <w:t xml:space="preserve">(</w:t>
        <w:br w:clear="none"/>
      </w:r>
      <w:r>
        <w:t xml:space="preserve">s_of_s</w:t>
        <w:br w:clear="none"/>
      </w:r>
      <w:r>
        <w:rPr>
          <w:rStyle w:val="Text13"/>
        </w:rPr>
        <w:t xml:space="preserve">=</w:t>
        <w:br w:clear="none"/>
      </w:r>
      <w:r>
        <w:t xml:space="preserve">s_of_s</w:t>
        <w:br w:clear="none"/>
      </w:r>
      <w:r>
        <w:rPr>
          <w:rStyle w:val="Text7"/>
        </w:rPr>
        <w:t xml:space="preserve">)</w:t>
        <w:br w:clear="none"/>
      </w:r>
    </w:p>
    <w:p>
      <w:pPr>
        <w:pStyle w:val="Normal"/>
      </w:pPr>
      <w:r>
        <w:t xml:space="preserve">The function builds the environment with option </w:t>
      </w:r>
      <w:r>
        <w:rPr>
          <w:rStyle w:val="Text0"/>
        </w:rPr>
        <w:t>autoescape=</w:t>
      </w:r>
      <w:r>
        <w:rPr>
          <w:rStyle w:val="Text5"/>
        </w:rPr>
        <w:t>True</w:t>
      </w:r>
      <w:r>
        <w:t xml:space="preserve">, to automatically “escape” strings containing markup characters such as </w:t>
      </w:r>
      <w:r>
        <w:rPr>
          <w:rStyle w:val="Text0"/>
        </w:rPr>
        <w:t>&lt;</w:t>
      </w:r>
      <w:r>
        <w:t xml:space="preserve">, </w:t>
      </w:r>
      <w:r>
        <w:rPr>
          <w:rStyle w:val="Text0"/>
        </w:rPr>
        <w:t>&gt;</w:t>
      </w:r>
      <w:r>
        <w:t xml:space="preserve">, and </w:t>
      </w:r>
      <w:r>
        <w:rPr>
          <w:rStyle w:val="Text0"/>
        </w:rPr>
        <w:t>&amp;</w:t>
      </w:r>
      <w:r>
        <w:t xml:space="preserve">; for example, with </w:t>
      </w:r>
      <w:r>
        <w:rPr>
          <w:rStyle w:val="Text0"/>
        </w:rPr>
        <w:t>autoescape=</w:t>
      </w:r>
      <w:r>
        <w:rPr>
          <w:rStyle w:val="Text5"/>
        </w:rPr>
        <w:t>True</w:t>
      </w:r>
      <w:r>
        <w:t xml:space="preserve">, </w:t>
      </w:r>
      <w:r>
        <w:rPr>
          <w:rStyle w:val="Text0"/>
        </w:rPr>
        <w:t>'g&gt;h'</w:t>
      </w:r>
      <w:r>
        <w:t xml:space="preserve"> renders as </w:t>
      </w:r>
      <w:r>
        <w:rPr>
          <w:rStyle w:val="Text0"/>
        </w:rPr>
        <w:t>'g&amp;gt;h'</w:t>
      </w:r>
      <w:r>
        <w:t>.</w:t>
      </w:r>
    </w:p>
    <w:p>
      <w:pPr>
        <w:pStyle w:val="Normal"/>
      </w:pPr>
      <w:r>
        <w:t xml:space="preserve">The options </w:t>
      </w:r>
      <w:r>
        <w:rPr>
          <w:rStyle w:val="Text0"/>
        </w:rPr>
        <w:t>trim_blocks=</w:t>
      </w:r>
      <w:r>
        <w:rPr>
          <w:rStyle w:val="Text5"/>
        </w:rPr>
        <w:t>True</w:t>
      </w:r>
      <w:r>
        <w:t xml:space="preserve"> and </w:t>
      </w:r>
      <w:r>
        <w:rPr>
          <w:rStyle w:val="Text0"/>
        </w:rPr>
        <w:t>lstrip_blocks=</w:t>
      </w:r>
      <w:r>
        <w:rPr>
          <w:rStyle w:val="Text5"/>
        </w:rPr>
        <w:t>True</w:t>
      </w:r>
      <w:r>
        <w:t xml:space="preserve"> are purely cosmetic, just to ensure that both the template string and the rendered HTML string can be nicely formatted; of course, when a browser renders HTML, it does not matter whether the HTML text itself is nicely formatted.</w:t>
      </w:r>
    </w:p>
    <w:p>
      <w:pPr>
        <w:pStyle w:val="Normal"/>
      </w:pPr>
      <w:r>
        <w:t xml:space="preserve">Normally, you would always build the environment with the </w:t>
      </w:r>
      <w:r>
        <w:rPr>
          <w:rStyle w:val="Text0"/>
        </w:rPr>
        <w:t>loader</w:t>
      </w:r>
      <w:r>
        <w:t xml:space="preserve"> argument and have it load templates from files or other storage with method calls such as </w:t>
      </w:r>
      <w:r>
        <w:rPr>
          <w:rStyle w:val="Text3"/>
        </w:rPr>
        <w:t>t</w:t>
      </w:r>
      <w:r>
        <w:t xml:space="preserve"> </w:t>
      </w:r>
      <w:r>
        <w:rPr>
          <w:rStyle w:val="Text0"/>
        </w:rPr>
        <w:t>=</w:t>
      </w:r>
      <w:r>
        <w:t xml:space="preserve"> </w:t>
      </w:r>
      <w:r>
        <w:rPr>
          <w:rStyle w:val="Text3"/>
        </w:rPr>
        <w:t>env</w:t>
      </w:r>
      <w:r>
        <w:rPr>
          <w:rStyle w:val="Text0"/>
        </w:rPr>
        <w:t>.get_template(</w:t>
      </w:r>
      <w:r>
        <w:rPr>
          <w:rStyle w:val="Text3"/>
        </w:rPr>
        <w:t>template_name</w:t>
      </w:r>
      <w:r>
        <w:rPr>
          <w:rStyle w:val="Text0"/>
        </w:rPr>
        <w:t>)</w:t>
      </w:r>
      <w:r>
        <w:t xml:space="preserve">. In this example, just to present everything in one place, we omit the loader and build the template from a string by calling the method </w:t>
      </w:r>
      <w:r>
        <w:rPr>
          <w:rStyle w:val="Text3"/>
        </w:rPr>
        <w:t>env</w:t>
      </w:r>
      <w:r>
        <w:rPr>
          <w:rStyle w:val="Text0"/>
        </w:rPr>
        <w:t>.from_string</w:t>
      </w:r>
      <w:r>
        <w:t xml:space="preserve"> instead. Note that </w:t>
      </w:r>
      <w:r>
        <w:rPr>
          <w:rStyle w:val="Text0"/>
        </w:rPr>
        <w:t>jinja2</w:t>
      </w:r>
      <w:r>
        <w:t xml:space="preserve"> is not HTML- or XML-specific, so its use alone does not guarantee the validity of the generated content, which you should carefully check if standards conformance is a requirement.</w:t>
      </w:r>
    </w:p>
    <w:p>
      <w:pPr>
        <w:pStyle w:val="Normal"/>
      </w:pPr>
      <w:r>
        <w:t xml:space="preserve">The example uses only the two most common features out of the many dozens that the </w:t>
      </w:r>
      <w:r>
        <w:rPr>
          <w:rStyle w:val="Text0"/>
        </w:rPr>
        <w:t>jinja2</w:t>
      </w:r>
      <w:r>
        <w:t xml:space="preserve"> templating language offers: </w:t>
      </w:r>
      <w:r>
        <w:rPr>
          <w:rStyle w:val="Text4"/>
        </w:rPr>
        <w:t>loops</w:t>
      </w:r>
      <w:r>
        <w:t xml:space="preserve"> (that is, blocks enclosed in </w:t>
      </w:r>
      <w:r>
        <w:rPr>
          <w:rStyle w:val="Text0"/>
        </w:rPr>
        <w:t>{% for ... %}</w:t>
      </w:r>
      <w:r>
        <w:t xml:space="preserve"> and </w:t>
      </w:r>
      <w:r>
        <w:rPr>
          <w:rStyle w:val="Text0"/>
        </w:rPr>
        <w:t>{% endfor %}</w:t>
      </w:r>
      <w:r>
        <w:t xml:space="preserve">) and </w:t>
      </w:r>
      <w:r>
        <w:rPr>
          <w:rStyle w:val="Text4"/>
        </w:rPr>
        <w:t>parameter substitution</w:t>
      </w:r>
      <w:r>
        <w:t xml:space="preserve"> (inline expressions enclosed in </w:t>
      </w:r>
      <w:r>
        <w:rPr>
          <w:rStyle w:val="Text0"/>
        </w:rPr>
        <w:t>{{</w:t>
      </w:r>
      <w:r>
        <w:t xml:space="preserve"> and </w:t>
      </w:r>
      <w:r>
        <w:rPr>
          <w:rStyle w:val="Text0"/>
        </w:rPr>
        <w:t>}}</w:t>
      </w:r>
      <w:r>
        <w:t>).</w:t>
      </w:r>
    </w:p>
    <w:p>
      <w:pPr>
        <w:pStyle w:val="Normal"/>
      </w:pPr>
      <w:r>
        <w:t>Here is an example use of the function we just</w:t>
      </w:r>
      <w:r>
        <w:rPr>
          <w:rStyle w:val="Text111"/>
        </w:rPr>
        <w:bookmarkStart w:id="4368" w:name="idm45965169243712"/>
        <w:t/>
        <w:bookmarkEnd w:id="4368"/>
        <w:bookmarkStart w:id="4369" w:name="idm45965169242336"/>
        <w:t/>
        <w:bookmarkEnd w:id="4369"/>
        <w:bookmarkStart w:id="4370" w:name="idm45965169240960"/>
        <w:t/>
        <w:bookmarkEnd w:id="4370"/>
        <w:bookmarkStart w:id="4371" w:name="idm45965169239584"/>
        <w:t/>
        <w:bookmarkEnd w:id="4371"/>
        <w:bookmarkStart w:id="4372" w:name="idm45965169238208"/>
        <w:t/>
        <w:bookmarkEnd w:id="4372"/>
      </w:r>
      <w:r>
        <w:t xml:space="preserve"> defined:</w:t>
      </w:r>
    </w:p>
    <w:p>
      <w:pPr>
        <w:pStyle w:val="Para 007"/>
      </w:pPr>
      <w:r>
        <w:rPr>
          <w:rStyle w:val="Text23"/>
        </w:rPr>
        <w:t xml:space="preserve"/>
        <w:br w:clear="none"/>
      </w:r>
      <w:r>
        <w:rPr>
          <w:rStyle w:val="Text13"/>
        </w:rPr>
        <w:t xml:space="preserve">&gt;&gt;&gt;</w:t>
        <w:br w:clear="none"/>
      </w:r>
      <w:r>
        <w:rPr>
          <w:rStyle w:val="Text23"/>
        </w:rPr>
        <w:t xml:space="preserve"> </w:t>
        <w:br w:clear="none"/>
      </w:r>
      <w:r>
        <w:t xml:space="preserve">example</w:t>
        <w:br w:clear="none"/>
      </w:r>
      <w:r>
        <w:rPr>
          <w:rStyle w:val="Text23"/>
        </w:rPr>
        <w:t xml:space="preserve"> </w:t>
        <w:br w:clear="none"/>
      </w:r>
      <w:r>
        <w:rPr>
          <w:rStyle w:val="Text13"/>
        </w:rPr>
        <w:t xml:space="preserve">=</w:t>
        <w:br w:clear="none"/>
      </w:r>
      <w:r>
        <w:rPr>
          <w:rStyle w:val="Text23"/>
        </w:rPr>
        <w:t xml:space="preserve"> </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'foo'</w:t>
        <w:br w:clear="none"/>
      </w:r>
      <w:r>
        <w:rPr>
          <w:rStyle w:val="Text7"/>
        </w:rPr>
        <w:t xml:space="preserve">,</w:t>
        <w:br w:clear="none"/>
      </w:r>
      <w:r>
        <w:rPr>
          <w:rStyle w:val="Text23"/>
        </w:rPr>
        <w:t xml:space="preserve"> </w:t>
        <w:br w:clear="none"/>
      </w:r>
      <w:r>
        <w:rPr>
          <w:rStyle w:val="Text8"/>
        </w:rPr>
        <w:t xml:space="preserve">'g&gt;h'</w:t>
        <w:br w:clear="none"/>
      </w:r>
      <w:r>
        <w:rPr>
          <w:rStyle w:val="Text7"/>
        </w:rPr>
        <w:t xml:space="preserve">,</w:t>
        <w:br w:clear="none"/>
      </w:r>
      <w:r>
        <w:rPr>
          <w:rStyle w:val="Text23"/>
        </w:rPr>
        <w:t xml:space="preserve"> </w:t>
        <w:br w:clear="none"/>
      </w:r>
      <w:r>
        <w:rPr>
          <w:rStyle w:val="Text8"/>
        </w:rPr>
        <w:t xml:space="preserve">'g&amp;h'</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8"/>
        </w:rPr>
        <w:t xml:space="preserve">'zip'</w:t>
        <w:br w:clear="none"/>
      </w:r>
      <w:r>
        <w:rPr>
          <w:rStyle w:val="Text7"/>
        </w:rPr>
        <w:t xml:space="preserve">,</w:t>
        <w:br w:clear="none"/>
      </w:r>
      <w:r>
        <w:rPr>
          <w:rStyle w:val="Text23"/>
        </w:rPr>
        <w:t xml:space="preserve"> </w:t>
        <w:br w:clear="none"/>
      </w:r>
      <w:r>
        <w:rPr>
          <w:rStyle w:val="Text8"/>
        </w:rPr>
        <w:t xml:space="preserve">'zap'</w:t>
        <w:br w:clear="none"/>
      </w:r>
      <w:r>
        <w:rPr>
          <w:rStyle w:val="Text7"/>
        </w:rPr>
        <w:t xml:space="preserve">,</w:t>
        <w:br w:clear="none"/>
      </w:r>
      <w:r>
        <w:rPr>
          <w:rStyle w:val="Text23"/>
        </w:rPr>
        <w:t xml:space="preserve"> </w:t>
        <w:br w:clear="none"/>
      </w:r>
      <w:r>
        <w:rPr>
          <w:rStyle w:val="Text8"/>
        </w:rPr>
        <w:t xml:space="preserve">'zop'</w:t>
        <w:br w:clear="none"/>
      </w:r>
      <w:r>
        <w:rPr>
          <w:rStyle w:val="Text7"/>
        </w:rPr>
        <w:t xml:space="preserve">),</w:t>
        <w:br w:clear="none"/>
      </w:r>
      <w:r>
        <w:rPr>
          <w:rStyle w:val="Text23"/>
        </w:rPr>
        <w:t xml:space="preserve"/>
        <w:br w:clear="none"/>
      </w:r>
      <w:r>
        <w:rPr>
          <w:rStyle w:val="Text13"/>
        </w:rPr>
        <w:t xml:space="preserve">...</w:t>
        <w:br w:clear="none"/>
      </w:r>
      <w:r>
        <w:rPr>
          <w:rStyle w:val="Text23"/>
        </w:rPr>
        <w:t xml:space="preserve"> </w:t>
        <w:br w:clear="none"/>
      </w:r>
      <w:r>
        <w:rPr>
          <w:rStyle w:val="Text7"/>
        </w:rPr>
        <w:t xml:space="preserve">)</w:t>
        <w:br w:clear="none"/>
      </w:r>
      <w:r>
        <w:rPr>
          <w:rStyle w:val="Text23"/>
        </w:rPr>
        <w:t xml:space="preserve"/>
        <w:br w:clear="none"/>
      </w:r>
      <w:r>
        <w:rPr>
          <w:rStyle w:val="Text13"/>
        </w:rPr>
        <w:t xml:space="preserve">&gt;&gt;&gt;</w:t>
        <w:br w:clear="none"/>
      </w:r>
      <w:r>
        <w:rPr>
          <w:rStyle w:val="Text23"/>
        </w:rPr>
        <w:t xml:space="preserve"> </w:t>
        <w:br w:clear="none"/>
      </w:r>
      <w:r>
        <w:rPr>
          <w:rStyle w:val="Text16"/>
        </w:rPr>
        <w:t xml:space="preserve">print</w:t>
        <w:br w:clear="none"/>
      </w:r>
      <w:r>
        <w:rPr>
          <w:rStyle w:val="Text7"/>
        </w:rPr>
        <w:t xml:space="preserve">(</w:t>
        <w:br w:clear="none"/>
      </w:r>
      <w:r>
        <w:t xml:space="preserve">mktable_with_jinja2</w:t>
        <w:br w:clear="none"/>
      </w:r>
      <w:r>
        <w:rPr>
          <w:rStyle w:val="Text7"/>
        </w:rPr>
        <w:t xml:space="preserve">(</w:t>
        <w:br w:clear="none"/>
      </w:r>
      <w:r>
        <w:t xml:space="preserve">example</w:t>
        <w:br w:clear="none"/>
      </w:r>
      <w:r>
        <w:rPr>
          <w:rStyle w:val="Text7"/>
        </w:rPr>
        <w:t xml:space="preserve">))</w:t>
        <w:br w:clear="none"/>
      </w:r>
    </w:p>
    <w:p>
      <w:pPr>
        <w:pStyle w:val="Para 008"/>
      </w:pPr>
      <w:r>
        <w:rPr>
          <w:rStyle w:val="Text48"/>
        </w:rPr>
        <w:t xml:space="preserve"/>
        <w:br w:clear="none"/>
      </w:r>
      <w:r>
        <w:t xml:space="preserve">&lt;table&gt;</w:t>
        <w:br w:clear="none"/>
      </w:r>
      <w:r>
        <w:rPr>
          <w:rStyle w:val="Text48"/>
        </w:rPr>
        <w:t xml:space="preserve"/>
        <w:br w:clear="none"/>
      </w:r>
      <w:r>
        <w:t xml:space="preserve">  &lt;tr&gt;</w:t>
        <w:br w:clear="none"/>
      </w:r>
      <w:r>
        <w:rPr>
          <w:rStyle w:val="Text48"/>
        </w:rPr>
        <w:t xml:space="preserve"/>
        <w:br w:clear="none"/>
      </w:r>
      <w:r>
        <w:t xml:space="preserve">    &lt;td&gt;foo&lt;/td&gt;</w:t>
        <w:br w:clear="none"/>
      </w:r>
      <w:r>
        <w:rPr>
          <w:rStyle w:val="Text48"/>
        </w:rPr>
        <w:t xml:space="preserve"/>
        <w:br w:clear="none"/>
      </w:r>
      <w:r>
        <w:t xml:space="preserve">    &lt;td&gt;g&amp;gt;h&lt;/td&gt;</w:t>
        <w:br w:clear="none"/>
      </w:r>
      <w:r>
        <w:rPr>
          <w:rStyle w:val="Text48"/>
        </w:rPr>
        <w:t xml:space="preserve"/>
        <w:br w:clear="none"/>
      </w:r>
      <w:r>
        <w:t xml:space="preserve">    &lt;td&gt;g&amp;amp;h&lt;/td&gt;</w:t>
        <w:br w:clear="none"/>
      </w:r>
      <w:r>
        <w:rPr>
          <w:rStyle w:val="Text48"/>
        </w:rPr>
        <w:t xml:space="preserve"/>
        <w:br w:clear="none"/>
      </w:r>
      <w:r>
        <w:t xml:space="preserve">  &lt;/tr&gt;</w:t>
        <w:br w:clear="none"/>
      </w:r>
      <w:r>
        <w:rPr>
          <w:rStyle w:val="Text48"/>
        </w:rPr>
        <w:t xml:space="preserve"/>
        <w:br w:clear="none"/>
      </w:r>
      <w:r>
        <w:t xml:space="preserve">  &lt;tr&gt;</w:t>
        <w:br w:clear="none"/>
      </w:r>
      <w:r>
        <w:rPr>
          <w:rStyle w:val="Text48"/>
        </w:rPr>
        <w:t xml:space="preserve"/>
        <w:br w:clear="none"/>
      </w:r>
      <w:r>
        <w:t xml:space="preserve">    &lt;td&gt;zip&lt;/td&gt;</w:t>
        <w:br w:clear="none"/>
      </w:r>
      <w:r>
        <w:rPr>
          <w:rStyle w:val="Text48"/>
        </w:rPr>
        <w:t xml:space="preserve"/>
        <w:br w:clear="none"/>
      </w:r>
      <w:r>
        <w:t xml:space="preserve">    &lt;td&gt;zap&lt;/td&gt;</w:t>
        <w:br w:clear="none"/>
      </w:r>
      <w:r>
        <w:rPr>
          <w:rStyle w:val="Text48"/>
        </w:rPr>
        <w:t xml:space="preserve"/>
        <w:br w:clear="none"/>
      </w:r>
      <w:r>
        <w:t xml:space="preserve">    &lt;td&gt;zop&lt;/td&gt;</w:t>
        <w:br w:clear="none"/>
      </w:r>
      <w:r>
        <w:rPr>
          <w:rStyle w:val="Text48"/>
        </w:rPr>
        <w:t xml:space="preserve"/>
        <w:br w:clear="none"/>
      </w:r>
      <w:r>
        <w:t xml:space="preserve">  &lt;/tr&gt;</w:t>
        <w:br w:clear="none"/>
      </w:r>
      <w:r>
        <w:rPr>
          <w:rStyle w:val="Text48"/>
        </w:rPr>
        <w:t xml:space="preserve"/>
        <w:br w:clear="none"/>
      </w:r>
      <w:r>
        <w:t xml:space="preserve">&lt;/table&gt;</w:t>
        <w:br w:clear="none"/>
      </w:r>
    </w:p>
    <w:p>
      <w:bookmarkStart w:id="4373" w:name="1_The_BeautifulSoup_documentatio"/>
      <w:pPr>
        <w:pStyle w:val="Para 035"/>
      </w:pPr>
      <w:hyperlink w:anchor="1_21">
        <w:r>
          <w:rPr>
            <w:rStyle w:val="Text1"/>
          </w:rPr>
          <w:t>1</w:t>
        </w:r>
      </w:hyperlink>
      <w:r>
        <w:t xml:space="preserve"> The </w:t>
      </w:r>
      <w:r>
        <w:rPr>
          <w:rStyle w:val="Text25"/>
        </w:rPr>
        <w:t>BeautifulSoup</w:t>
      </w:r>
      <w:r>
        <w:t xml:space="preserve"> </w:t>
      </w:r>
      <w:hyperlink r:id="rId642">
        <w:r>
          <w:rPr>
            <w:rStyle w:val="Text1"/>
          </w:rPr>
          <w:t>documentation</w:t>
        </w:r>
      </w:hyperlink>
      <w:r>
        <w:t xml:space="preserve"> provides detailed information about installing various parsers.</w:t>
      </w:r>
      <w:bookmarkEnd w:id="4373"/>
    </w:p>
    <w:p>
      <w:bookmarkStart w:id="4374" w:name="2_As_explained_in_the_BeautifulS"/>
      <w:pPr>
        <w:pStyle w:val="Para 015"/>
      </w:pPr>
      <w:hyperlink w:anchor="2_18">
        <w:r>
          <w:rPr>
            <w:rStyle w:val="Text1"/>
          </w:rPr>
          <w:t>2</w:t>
        </w:r>
      </w:hyperlink>
      <w:r>
        <w:t xml:space="preserve"> As explained in the </w:t>
      </w:r>
      <w:r>
        <w:rPr>
          <w:rStyle w:val="Text25"/>
        </w:rPr>
        <w:t>BeautifulSoup</w:t>
      </w:r>
      <w:r>
        <w:t xml:space="preserve"> </w:t>
      </w:r>
      <w:hyperlink r:id="rId643">
        <w:r>
          <w:rPr>
            <w:rStyle w:val="Text1"/>
          </w:rPr>
          <w:t>documentation</w:t>
        </w:r>
      </w:hyperlink>
      <w:r>
        <w:t xml:space="preserve">, which also shows various ways to guide, or completely override, </w:t>
      </w:r>
      <w:r>
        <w:rPr>
          <w:rStyle w:val="Text25"/>
        </w:rPr>
        <w:t>BeautifulSoup</w:t>
      </w:r>
      <w:r>
        <w:t>’s guesses about encoding.</w:t>
      </w:r>
      <w:bookmarkEnd w:id="4374"/>
    </w:p>
    <w:p>
      <w:bookmarkStart w:id="4375" w:name="Chapter_23__Structured_Text__XML_1"/>
      <w:bookmarkStart w:id="4376" w:name="Top_of_ch23_html"/>
      <w:bookmarkStart w:id="4377" w:name="Chapter_23__Structured_Text__XML"/>
      <w:bookmarkStart w:id="4378" w:name="Chapter_23__Structured_Text__XML_2"/>
      <w:pPr>
        <w:keepNext/>
        <w:pStyle w:val="Heading 1"/>
        <w:pageBreakBefore w:val="on"/>
      </w:pPr>
      <w:r>
        <w:t xml:space="preserve">Chapter 23. </w:t>
        <w:t>Structured Text: XML</w:t>
      </w:r>
      <w:bookmarkEnd w:id="4375"/>
      <w:bookmarkEnd w:id="4376"/>
      <w:bookmarkEnd w:id="4377"/>
      <w:bookmarkEnd w:id="4378"/>
    </w:p>
    <w:p>
      <w:pPr>
        <w:pStyle w:val="Normal"/>
      </w:pPr>
      <w:r>
        <w:t>XML, the</w:t>
      </w:r>
      <w:r>
        <w:rPr>
          <w:rStyle w:val="Text111"/>
        </w:rPr>
        <w:bookmarkStart w:id="4379" w:name="idm45965169203584"/>
        <w:t/>
        <w:bookmarkEnd w:id="4379"/>
        <w:bookmarkStart w:id="4380" w:name="idm45965169202480"/>
        <w:t/>
        <w:bookmarkEnd w:id="4380"/>
        <w:bookmarkStart w:id="4381" w:name="idm45965169201408"/>
        <w:t/>
        <w:bookmarkEnd w:id="4381"/>
      </w:r>
      <w:r>
        <w:t xml:space="preserve"> </w:t>
      </w:r>
      <w:r>
        <w:rPr>
          <w:rStyle w:val="Text4"/>
        </w:rPr>
        <w:t>eXtensible Markup Language</w:t>
      </w:r>
      <w:r>
        <w:t>, is a widely used data interchange format. On top of XML itself, the XML community (in good part within the World Wide Web Consortium, or W3C) has standardized many other technologies, such as schema languages, namespaces, XPath, XLink, XPointer, and XSLT.</w:t>
      </w:r>
    </w:p>
    <w:p>
      <w:pPr>
        <w:pStyle w:val="Normal"/>
      </w:pPr>
      <w:r>
        <w:t>Industry consortia have additionally defined industry-specific markup languages on top of XML for data exchange among applications in their respective fields. XML, XML-based markup languages, and other XML-related technologies are often used for inter-application, cross-language, cross-platform data interchange in specific fields.</w:t>
      </w:r>
    </w:p>
    <w:p>
      <w:pPr>
        <w:pStyle w:val="Normal"/>
      </w:pPr>
      <w:r>
        <w:t xml:space="preserve">Python’s standard library, for historical reasons, has multiple modules supporting XML under the </w:t>
      </w:r>
      <w:r>
        <w:rPr>
          <w:rStyle w:val="Text0"/>
        </w:rPr>
        <w:t>xml</w:t>
      </w:r>
      <w:r>
        <w:t xml:space="preserve"> package, with overlapping functionality; this book does not cover them all, but interested readers can find details in the </w:t>
      </w:r>
      <w:hyperlink r:id="rId644">
        <w:r>
          <w:rPr>
            <w:rStyle w:val="Text1"/>
          </w:rPr>
          <w:t>online documentation</w:t>
        </w:r>
      </w:hyperlink>
      <w:r>
        <w:t>.</w:t>
      </w:r>
    </w:p>
    <w:p>
      <w:pPr>
        <w:pStyle w:val="Normal"/>
      </w:pPr>
      <w:r>
        <w:t xml:space="preserve">This book (and, specifically, this chapter) covers only the most Pythonic approach to XML processing: </w:t>
      </w:r>
      <w:r>
        <w:rPr>
          <w:rStyle w:val="Text0"/>
        </w:rPr>
        <w:t>ElementTree</w:t>
      </w:r>
      <w:r>
        <w:t xml:space="preserve">, created by the </w:t>
      </w:r>
      <w:hyperlink r:id="rId645">
        <w:r>
          <w:rPr>
            <w:rStyle w:val="Text1"/>
          </w:rPr>
          <w:t>deeply missed Fredrik Lundh</w:t>
        </w:r>
      </w:hyperlink>
      <w:r>
        <w:t>, best known as “the effbot.”</w:t>
      </w:r>
      <w:hyperlink w:anchor="1_Alex_is_far_too_modest_to_ment">
        <w:r>
          <w:rPr>
            <w:rStyle w:val="Text41"/>
          </w:rPr>
          <w:bookmarkStart w:id="4382" w:name="1_22"/>
          <w:t>1</w:t>
          <w:bookmarkEnd w:id="4382"/>
        </w:r>
      </w:hyperlink>
      <w:r>
        <w:t xml:space="preserve"> Its elegance, speed, generality, multiple implementations, and Pythonic architecture make this the package of choice for Python XML applications. For tutorials and complete details on the </w:t>
      </w:r>
      <w:r>
        <w:rPr>
          <w:rStyle w:val="Text0"/>
        </w:rPr>
        <w:t>xml.etree.ElementTree</w:t>
      </w:r>
      <w:r>
        <w:t xml:space="preserve"> module beyond what this chapter provides, see the </w:t>
      </w:r>
      <w:hyperlink r:id="rId646">
        <w:r>
          <w:rPr>
            <w:rStyle w:val="Text1"/>
          </w:rPr>
          <w:t>online docs</w:t>
        </w:r>
      </w:hyperlink>
      <w:r>
        <w:t xml:space="preserve">. This book takes for granted some elementary </w:t>
        <w:t>knowledge</w:t>
        <w:t xml:space="preserve"> of XML itself; if you need to learn more about XML, we recommend </w:t>
      </w:r>
      <w:hyperlink r:id="rId647">
        <w:r>
          <w:rPr>
            <w:rStyle w:val="Text24"/>
          </w:rPr>
          <w:t>XML in a Nutshell</w:t>
        </w:r>
      </w:hyperlink>
      <w:r>
        <w:t xml:space="preserve"> by Elliotte Rusty Harold and W. Scott Means (O’Reilly).</w:t>
      </w:r>
    </w:p>
    <w:p>
      <w:pPr>
        <w:pStyle w:val="Normal"/>
      </w:pPr>
      <w:r>
        <w:t xml:space="preserve">Parsing XML from untrusted sources puts your application at risk of many possible attacks. We do not cover this issue specifically, but the </w:t>
      </w:r>
      <w:hyperlink r:id="rId648">
        <w:r>
          <w:rPr>
            <w:rStyle w:val="Text1"/>
          </w:rPr>
          <w:t>online documentation</w:t>
        </w:r>
      </w:hyperlink>
      <w:r>
        <w:t xml:space="preserve"> recommends third-party modules to help safeguard your application if you do have to parse XML from sources you can’t fully trust. In particular, if you need an </w:t>
      </w:r>
      <w:r>
        <w:rPr>
          <w:rStyle w:val="Text0"/>
        </w:rPr>
        <w:t>ElementTree</w:t>
      </w:r>
      <w:r>
        <w:t xml:space="preserve"> implementation with safeguards against parsing untrusted sources, consider </w:t>
      </w:r>
      <w:hyperlink r:id="rId649">
        <w:r>
          <w:rPr>
            <w:rStyle w:val="Text30"/>
          </w:rPr>
          <w:t>defusedxml.ElementTree</w:t>
        </w:r>
      </w:hyperlink>
      <w:r>
        <w:t>.</w:t>
      </w:r>
    </w:p>
    <w:p>
      <w:bookmarkStart w:id="4383" w:name="ElementTree__Python_and_third_pa"/>
      <w:pPr>
        <w:keepNext/>
        <w:pStyle w:val="Heading 1"/>
      </w:pPr>
      <w:r>
        <w:t>ElementTree</w:t>
      </w:r>
      <w:bookmarkEnd w:id="4383"/>
    </w:p>
    <w:p>
      <w:pPr>
        <w:pStyle w:val="Normal"/>
      </w:pPr>
      <w:r>
        <w:t>Python</w:t>
      </w:r>
      <w:r>
        <w:rPr>
          <w:rStyle w:val="Text111"/>
        </w:rPr>
        <w:bookmarkStart w:id="4384" w:name="STxmleltree23"/>
        <w:t/>
        <w:bookmarkEnd w:id="4384"/>
        <w:bookmarkStart w:id="4385" w:name="idm45965169150336"/>
        <w:t/>
        <w:bookmarkEnd w:id="4385"/>
      </w:r>
      <w:r>
        <w:t xml:space="preserve"> and third-party add-ons offer several alternative implementations of the </w:t>
      </w:r>
      <w:r>
        <w:rPr>
          <w:rStyle w:val="Text0"/>
        </w:rPr>
        <w:t>ElementTree</w:t>
      </w:r>
      <w:r>
        <w:t xml:space="preserve"> functionality; the one you can always rely on in the</w:t>
      </w:r>
      <w:r>
        <w:rPr>
          <w:rStyle w:val="Text111"/>
        </w:rPr>
        <w:bookmarkStart w:id="4386" w:name="idm45965169148144"/>
        <w:t/>
        <w:bookmarkEnd w:id="4386"/>
        <w:bookmarkStart w:id="4387" w:name="idm45965169147072"/>
        <w:t/>
        <w:bookmarkEnd w:id="4387"/>
      </w:r>
      <w:r>
        <w:t xml:space="preserve"> standard library is the module </w:t>
      </w:r>
      <w:r>
        <w:rPr>
          <w:rStyle w:val="Text0"/>
        </w:rPr>
        <w:t>xml.etree.ElementTree</w:t>
      </w:r>
      <w:r>
        <w:t xml:space="preserve">. Just importing </w:t>
      </w:r>
      <w:r>
        <w:rPr>
          <w:rStyle w:val="Text0"/>
        </w:rPr>
        <w:t>xml.etree.ElementTree</w:t>
      </w:r>
      <w:r>
        <w:t xml:space="preserve"> gets you the fastest implementation available in your Python installation’s standard library. The third-party package </w:t>
      </w:r>
      <w:r>
        <w:rPr>
          <w:rStyle w:val="Text0"/>
        </w:rPr>
        <w:t>defusedxml</w:t>
      </w:r>
      <w:r>
        <w:t xml:space="preserve">, mentioned in this chapter’s introduction, offers slightly slower but safer implementations if you ever need to parse XML from untrusted sources; another third-party package, </w:t>
      </w:r>
      <w:hyperlink r:id="rId650">
        <w:r>
          <w:rPr>
            <w:rStyle w:val="Text30"/>
          </w:rPr>
          <w:t>lxml</w:t>
        </w:r>
      </w:hyperlink>
      <w:r>
        <w:t xml:space="preserve">, gets you faster performance, and some extra functionality, via </w:t>
      </w:r>
      <w:hyperlink r:id="rId651">
        <w:r>
          <w:rPr>
            <w:rStyle w:val="Text30"/>
          </w:rPr>
          <w:t>lxml.etree</w:t>
        </w:r>
      </w:hyperlink>
      <w:r>
        <w:t>.</w:t>
      </w:r>
    </w:p>
    <w:p>
      <w:pPr>
        <w:pStyle w:val="Normal"/>
      </w:pPr>
      <w:r>
        <w:t xml:space="preserve">Traditionally, you get whatever available implementation of </w:t>
      </w:r>
      <w:r>
        <w:rPr>
          <w:rStyle w:val="Text0"/>
        </w:rPr>
        <w:t>ElementTree</w:t>
      </w:r>
      <w:r>
        <w:t xml:space="preserve"> you prefer using a </w:t>
      </w:r>
      <w:r>
        <w:rPr>
          <w:rStyle w:val="Text5"/>
        </w:rPr>
        <w:t>from</w:t>
      </w:r>
      <w:r>
        <w:rPr>
          <w:rStyle w:val="Text0"/>
        </w:rPr>
        <w:t>...</w:t>
      </w:r>
      <w:r>
        <w:rPr>
          <w:rStyle w:val="Text5"/>
        </w:rPr>
        <w:t>import</w:t>
      </w:r>
      <w:r>
        <w:rPr>
          <w:rStyle w:val="Text0"/>
        </w:rPr>
        <w:t>...</w:t>
      </w:r>
      <w:r>
        <w:rPr>
          <w:rStyle w:val="Text5"/>
        </w:rPr>
        <w:t>as</w:t>
      </w:r>
      <w:r>
        <w:t xml:space="preserve"> statement such as this:</w:t>
      </w:r>
    </w:p>
    <w:p>
      <w:pPr>
        <w:pStyle w:val="Para 007"/>
      </w:pPr>
      <w:r>
        <w:rPr>
          <w:rStyle w:val="Text23"/>
        </w:rPr>
        <w:t xml:space="preserve"/>
        <w:br w:clear="none"/>
      </w:r>
      <w:r>
        <w:rPr>
          <w:rStyle w:val="Text10"/>
        </w:rPr>
        <w:t xml:space="preserve">from</w:t>
        <w:br w:clear="none"/>
      </w:r>
      <w:r>
        <w:rPr>
          <w:rStyle w:val="Text6"/>
        </w:rPr>
        <w:t xml:space="preserve"> </w:t>
        <w:br w:clear="none"/>
      </w:r>
      <w:r>
        <w:rPr>
          <w:rStyle w:val="Text20"/>
        </w:rPr>
        <w:t xml:space="preserve">xml</w:t>
        <w:br w:clear="none"/>
        <w:t xml:space="preserve">.</w:t>
        <w:br w:clear="none"/>
        <w:t xml:space="preserve">etree</w:t>
        <w:br w:clear="none"/>
      </w:r>
      <w:r>
        <w:rPr>
          <w:rStyle w:val="Text6"/>
        </w:rPr>
        <w:t xml:space="preserve"> </w:t>
        <w:br w:clear="none"/>
      </w:r>
      <w:r>
        <w:rPr>
          <w:rStyle w:val="Text10"/>
        </w:rPr>
        <w:t xml:space="preserve">import</w:t>
        <w:br w:clear="none"/>
      </w:r>
      <w:r>
        <w:rPr>
          <w:rStyle w:val="Text6"/>
        </w:rPr>
        <w:t xml:space="preserve"> </w:t>
        <w:br w:clear="none"/>
      </w:r>
      <w:r>
        <w:t xml:space="preserve">ElementTree</w:t>
        <w:br w:clear="none"/>
      </w:r>
      <w:r>
        <w:rPr>
          <w:rStyle w:val="Text6"/>
        </w:rPr>
        <w:t xml:space="preserve"> </w:t>
        <w:br w:clear="none"/>
      </w:r>
      <w:r>
        <w:rPr>
          <w:rStyle w:val="Text10"/>
        </w:rPr>
        <w:t xml:space="preserve">as</w:t>
        <w:br w:clear="none"/>
      </w:r>
      <w:r>
        <w:rPr>
          <w:rStyle w:val="Text6"/>
        </w:rPr>
        <w:t xml:space="preserve"> </w:t>
        <w:br w:clear="none"/>
      </w:r>
      <w:r>
        <w:t xml:space="preserve">et</w:t>
        <w:br w:clear="none"/>
      </w:r>
    </w:p>
    <w:p>
      <w:pPr>
        <w:pStyle w:val="Normal"/>
      </w:pPr>
      <w:r>
        <w:t xml:space="preserve">Or this, which tries to import </w:t>
      </w:r>
      <w:r>
        <w:rPr>
          <w:rStyle w:val="Text0"/>
        </w:rPr>
        <w:t>lxml</w:t>
      </w:r>
      <w:r>
        <w:t xml:space="preserve"> and, if unable, falls back to the version provided in the standard library:</w:t>
      </w:r>
    </w:p>
    <w:p>
      <w:pPr>
        <w:pStyle w:val="Para 037"/>
      </w:pPr>
      <w:r>
        <w:rPr>
          <w:rStyle w:val="Text118"/>
        </w:rPr>
        <w:t xml:space="preserve"/>
        <w:br w:clear="none"/>
      </w:r>
      <w:r>
        <w:t xml:space="preserve">try</w:t>
        <w:br w:clear="none"/>
      </w:r>
      <w:r>
        <w:rPr>
          <w:rStyle w:val="Text31"/>
        </w:rPr>
        <w:t xml:space="preserve">:</w:t>
        <w:br w:clear="none"/>
      </w:r>
      <w:r>
        <w:rPr>
          <w:rStyle w:val="Text29"/>
        </w:rPr>
        <w:t xml:space="preserve"/>
        <w:br w:clear="none"/>
        <w:t xml:space="preserve">    </w:t>
        <w:br w:clear="none"/>
      </w:r>
      <w:r>
        <w:t xml:space="preserve">from</w:t>
        <w:br w:clear="none"/>
      </w:r>
      <w:r>
        <w:rPr>
          <w:rStyle w:val="Text29"/>
        </w:rPr>
        <w:t xml:space="preserve"> </w:t>
        <w:br w:clear="none"/>
      </w:r>
      <w:r>
        <w:rPr>
          <w:rStyle w:val="Text54"/>
        </w:rPr>
        <w:t xml:space="preserve">lxml</w:t>
        <w:br w:clear="none"/>
      </w:r>
      <w:r>
        <w:rPr>
          <w:rStyle w:val="Text29"/>
        </w:rPr>
        <w:t xml:space="preserve"> </w:t>
        <w:br w:clear="none"/>
      </w:r>
      <w:r>
        <w:t xml:space="preserve">import</w:t>
        <w:br w:clear="none"/>
      </w:r>
      <w:r>
        <w:rPr>
          <w:rStyle w:val="Text29"/>
        </w:rPr>
        <w:t xml:space="preserve"> </w:t>
        <w:br w:clear="none"/>
      </w:r>
      <w:r>
        <w:rPr>
          <w:rStyle w:val="Text38"/>
        </w:rPr>
        <w:t xml:space="preserve">etree</w:t>
        <w:br w:clear="none"/>
      </w:r>
      <w:r>
        <w:rPr>
          <w:rStyle w:val="Text29"/>
        </w:rPr>
        <w:t xml:space="preserve"> </w:t>
        <w:br w:clear="none"/>
      </w:r>
      <w:r>
        <w:t xml:space="preserve">as</w:t>
        <w:br w:clear="none"/>
      </w:r>
      <w:r>
        <w:rPr>
          <w:rStyle w:val="Text29"/>
        </w:rPr>
        <w:t xml:space="preserve"> </w:t>
        <w:br w:clear="none"/>
      </w:r>
      <w:r>
        <w:rPr>
          <w:rStyle w:val="Text38"/>
        </w:rPr>
        <w:t xml:space="preserve">et</w:t>
        <w:br w:clear="none"/>
      </w:r>
      <w:r>
        <w:rPr>
          <w:rStyle w:val="Text29"/>
        </w:rPr>
        <w:t xml:space="preserve"/>
        <w:br w:clear="none"/>
      </w:r>
      <w:r>
        <w:t xml:space="preserve">except</w:t>
        <w:br w:clear="none"/>
      </w:r>
      <w:r>
        <w:rPr>
          <w:rStyle w:val="Text29"/>
        </w:rPr>
        <w:t xml:space="preserve"> </w:t>
        <w:br w:clear="none"/>
      </w:r>
      <w:r>
        <w:rPr>
          <w:rStyle w:val="Text57"/>
        </w:rPr>
        <w:t xml:space="preserve">ImportError</w:t>
        <w:br w:clear="none"/>
      </w:r>
      <w:r>
        <w:rPr>
          <w:rStyle w:val="Text31"/>
        </w:rPr>
        <w:t xml:space="preserve">:</w:t>
        <w:br w:clear="none"/>
      </w:r>
      <w:r>
        <w:rPr>
          <w:rStyle w:val="Text29"/>
        </w:rPr>
        <w:t xml:space="preserve"/>
        <w:br w:clear="none"/>
        <w:t xml:space="preserve">    </w:t>
        <w:br w:clear="none"/>
      </w:r>
      <w:r>
        <w:t xml:space="preserve">from</w:t>
        <w:br w:clear="none"/>
      </w:r>
      <w:r>
        <w:rPr>
          <w:rStyle w:val="Text29"/>
        </w:rPr>
        <w:t xml:space="preserve"> </w:t>
        <w:br w:clear="none"/>
      </w:r>
      <w:r>
        <w:rPr>
          <w:rStyle w:val="Text54"/>
        </w:rPr>
        <w:t xml:space="preserve">xml</w:t>
        <w:br w:clear="none"/>
        <w:t xml:space="preserve">.</w:t>
        <w:br w:clear="none"/>
        <w:t xml:space="preserve">etree</w:t>
        <w:br w:clear="none"/>
      </w:r>
      <w:r>
        <w:rPr>
          <w:rStyle w:val="Text29"/>
        </w:rPr>
        <w:t xml:space="preserve"> </w:t>
        <w:br w:clear="none"/>
      </w:r>
      <w:r>
        <w:t xml:space="preserve">import</w:t>
        <w:br w:clear="none"/>
      </w:r>
      <w:r>
        <w:rPr>
          <w:rStyle w:val="Text29"/>
        </w:rPr>
        <w:t xml:space="preserve"> </w:t>
        <w:br w:clear="none"/>
      </w:r>
      <w:r>
        <w:rPr>
          <w:rStyle w:val="Text38"/>
        </w:rPr>
        <w:t xml:space="preserve">ElementTree</w:t>
        <w:br w:clear="none"/>
      </w:r>
      <w:r>
        <w:rPr>
          <w:rStyle w:val="Text29"/>
        </w:rPr>
        <w:t xml:space="preserve"> </w:t>
        <w:br w:clear="none"/>
      </w:r>
      <w:r>
        <w:t xml:space="preserve">as</w:t>
        <w:br w:clear="none"/>
      </w:r>
      <w:r>
        <w:rPr>
          <w:rStyle w:val="Text29"/>
        </w:rPr>
        <w:t xml:space="preserve"> </w:t>
        <w:br w:clear="none"/>
      </w:r>
      <w:r>
        <w:rPr>
          <w:rStyle w:val="Text38"/>
        </w:rPr>
        <w:t xml:space="preserve">et</w:t>
        <w:br w:clear="none"/>
      </w:r>
    </w:p>
    <w:p>
      <w:pPr>
        <w:pStyle w:val="Normal"/>
      </w:pPr>
      <w:r>
        <w:t xml:space="preserve">Once you succeed in importing an implementation, use it as </w:t>
      </w:r>
      <w:r>
        <w:rPr>
          <w:rStyle w:val="Text0"/>
        </w:rPr>
        <w:t>et</w:t>
      </w:r>
      <w:r>
        <w:t xml:space="preserve"> (some prefer the uppercase variant, </w:t>
      </w:r>
      <w:r>
        <w:rPr>
          <w:rStyle w:val="Text0"/>
        </w:rPr>
        <w:t>ET</w:t>
      </w:r>
      <w:r>
        <w:t>) in the rest of your code.</w:t>
      </w:r>
    </w:p>
    <w:p>
      <w:pPr>
        <w:pStyle w:val="Normal"/>
      </w:pPr>
      <w:r>
        <w:rPr>
          <w:rStyle w:val="Text0"/>
        </w:rPr>
        <w:t>ElementTree</w:t>
      </w:r>
      <w:r>
        <w:t xml:space="preserve"> supplies one fundamental class representing a </w:t>
      </w:r>
      <w:r>
        <w:rPr>
          <w:rStyle w:val="Text4"/>
        </w:rPr>
        <w:t>node</w:t>
      </w:r>
      <w:r>
        <w:t xml:space="preserve"> within the </w:t>
      </w:r>
      <w:r>
        <w:rPr>
          <w:rStyle w:val="Text4"/>
        </w:rPr>
        <w:t>tree</w:t>
      </w:r>
      <w:r>
        <w:t xml:space="preserve"> that naturally maps an XML document: the class </w:t>
      </w:r>
      <w:r>
        <w:rPr>
          <w:rStyle w:val="Text0"/>
        </w:rPr>
        <w:t>Element</w:t>
      </w:r>
      <w:r>
        <w:t xml:space="preserve">. </w:t>
      </w:r>
      <w:r>
        <w:rPr>
          <w:rStyle w:val="Text0"/>
        </w:rPr>
        <w:t>ElementTree</w:t>
      </w:r>
      <w:r>
        <w:t xml:space="preserve"> also supplies other important classes, chiefly the one representing the whole tree, with methods for input and output and many convenience classes equivalent to ones on its </w:t>
      </w:r>
      <w:r>
        <w:rPr>
          <w:rStyle w:val="Text0"/>
        </w:rPr>
        <w:t>Element</w:t>
      </w:r>
      <w:r>
        <w:t xml:space="preserve"> </w:t>
      </w:r>
      <w:r>
        <w:rPr>
          <w:rStyle w:val="Text4"/>
        </w:rPr>
        <w:t>root</w:t>
      </w:r>
      <w:r>
        <w:t xml:space="preserve">—that’s the class </w:t>
      </w:r>
      <w:r>
        <w:rPr>
          <w:rStyle w:val="Text0"/>
        </w:rPr>
        <w:t>ElementTree</w:t>
      </w:r>
      <w:r>
        <w:t xml:space="preserve">. In addition, the </w:t>
      </w:r>
      <w:r>
        <w:rPr>
          <w:rStyle w:val="Text0"/>
        </w:rPr>
        <w:t>ElementTree</w:t>
      </w:r>
      <w:r>
        <w:t xml:space="preserve"> module supplies several utility functions, and auxiliary classes of lesser importance.</w:t>
      </w:r>
    </w:p>
    <w:p>
      <w:bookmarkStart w:id="4388" w:name="The_Element_Class__The_Element_c"/>
      <w:pPr>
        <w:keepNext/>
        <w:pStyle w:val="Heading 2"/>
      </w:pPr>
      <w:r>
        <w:t>The Element Class</w:t>
      </w:r>
      <w:bookmarkEnd w:id="4388"/>
    </w:p>
    <w:p>
      <w:pPr>
        <w:pStyle w:val="Normal"/>
      </w:pPr>
      <w:r>
        <w:t>The</w:t>
      </w:r>
      <w:r>
        <w:rPr>
          <w:rStyle w:val="Text111"/>
        </w:rPr>
        <w:bookmarkStart w:id="4389" w:name="ETelclass23"/>
        <w:t/>
        <w:bookmarkEnd w:id="4389"/>
      </w:r>
      <w:r>
        <w:t xml:space="preserve"> </w:t>
      </w:r>
      <w:r>
        <w:rPr>
          <w:rStyle w:val="Text0"/>
        </w:rPr>
        <w:t>Element</w:t>
      </w:r>
      <w:r>
        <w:t xml:space="preserve"> class represents a node in the tree that maps an XML document, and it’s the core of the whole </w:t>
      </w:r>
      <w:r>
        <w:rPr>
          <w:rStyle w:val="Text0"/>
        </w:rPr>
        <w:t>ElementTree</w:t>
      </w:r>
      <w:r>
        <w:t xml:space="preserve"> ecosystem. Each element is a bit like a mapping, with </w:t>
      </w:r>
      <w:r>
        <w:rPr>
          <w:rStyle w:val="Text4"/>
        </w:rPr>
        <w:t>attributes</w:t>
      </w:r>
      <w:r>
        <w:t xml:space="preserve"> that map string keys to string values, and also a bit like a sequence, with </w:t>
      </w:r>
      <w:r>
        <w:rPr>
          <w:rStyle w:val="Text4"/>
        </w:rPr>
        <w:t>children</w:t>
      </w:r>
      <w:r>
        <w:t xml:space="preserve"> that are other elements (sometimes referred to as the element’s “subelements”). In addition, each element offers a few extra attributes and methods. Each </w:t>
      </w:r>
      <w:r>
        <w:rPr>
          <w:rStyle w:val="Text0"/>
        </w:rPr>
        <w:t>Element</w:t>
      </w:r>
      <w:r>
        <w:t xml:space="preserve"> instance </w:t>
      </w:r>
      <w:r>
        <w:rPr>
          <w:rStyle w:val="Text3"/>
        </w:rPr>
        <w:t>e</w:t>
      </w:r>
      <w:r>
        <w:t xml:space="preserve"> has four data attributes or properties, detailed in </w:t>
      </w:r>
      <w:hyperlink w:anchor="Table_23_1__Attributes_of_an_Ele">
        <w:r>
          <w:rPr>
            <w:rStyle w:val="Text1"/>
          </w:rPr>
          <w:t>Table 23-1</w:t>
        </w:r>
      </w:hyperlink>
      <w:r>
        <w:t>.</w:t>
      </w:r>
    </w:p>
    <w:tbl>
      <w:tblPr>
        <w:tblW w:type="auto" w:w="0"/>
      </w:tblPr>
      <w:tr>
        <w:tc>
          <w:tcPr>
            <w:tcW w:type="auto" w:w="0"/>
            <w:tcMar>
              <w:left w:type="dxa" w:w="200"/>
              <w:top w:type="dxa" w:w="200"/>
              <w:right w:type="dxa" w:w="200"/>
              <w:bottom w:type="dxa" w:w="200"/>
            </w:tcMar>
          </w:tcPr>
          <w:p>
            <w:bookmarkStart w:id="4390" w:name="Table_23_1__Attributes_of_an_Ele"/>
            <w:pPr>
              <w:pStyle w:val="Para 011"/>
            </w:pPr>
            <w:r>
              <w:rPr>
                <w:rStyle w:val="Text117"/>
              </w:rPr>
              <w:t/>
            </w:r>
            <w:r>
              <w:t xml:space="preserve">Table 23-1. </w:t>
              <w:t xml:space="preserve">Attributes of an </w:t>
            </w:r>
            <w:r>
              <w:rPr>
                <w:rStyle w:val="Text0"/>
              </w:rPr>
              <w:t>Element</w:t>
            </w:r>
            <w:r>
              <w:t xml:space="preserve"> instance </w:t>
            </w:r>
            <w:r>
              <w:rPr>
                <w:rStyle w:val="Text0"/>
              </w:rPr>
              <w:t>e</w:t>
            </w:r>
            <w:bookmarkEnd w:id="4390"/>
          </w:p>
          <w:p>
            <w:pPr>
              <w:pStyle w:val="Para 001"/>
            </w:pPr>
            <w:r>
              <w:t>attrib</w:t>
            </w:r>
          </w:p>
        </w:tc>
        <w:tc>
          <w:tcPr>
            <w:tcW w:type="auto" w:w="0"/>
            <w:tcMar>
              <w:left w:type="dxa" w:w="200"/>
              <w:top w:type="dxa" w:w="200"/>
              <w:right w:type="dxa" w:w="200"/>
              <w:bottom w:type="dxa" w:w="200"/>
            </w:tcMar>
          </w:tcPr>
          <w:p>
            <w:pPr>
              <w:pStyle w:val="Para 002"/>
            </w:pPr>
            <w:r>
              <w:t xml:space="preserve">A </w:t>
            </w:r>
            <w:r>
              <w:rPr>
                <w:rStyle w:val="Text0"/>
              </w:rPr>
              <w:t>dict</w:t>
            </w:r>
            <w:r>
              <w:t xml:space="preserve"> containing all of the XML node’s attributes, with strings, the attributes’ names, as its keys (and, usually, strings as corresponding values as well). For example, parsing the XML fragment </w:t>
            </w:r>
            <w:r>
              <w:rPr>
                <w:rStyle w:val="Text0"/>
              </w:rPr>
              <w:t>&lt;a x="y"&gt;b&lt;/a&gt;c</w:t>
            </w:r>
            <w:r>
              <w:t xml:space="preserve">, you get an </w:t>
            </w:r>
            <w:r>
              <w:rPr>
                <w:rStyle w:val="Text3"/>
              </w:rPr>
              <w:t>e</w:t>
            </w:r>
            <w:r>
              <w:t xml:space="preserve"> whose </w:t>
            </w:r>
            <w:r>
              <w:rPr>
                <w:rStyle w:val="Text3"/>
              </w:rPr>
              <w:t>e</w:t>
            </w:r>
            <w:r>
              <w:rPr>
                <w:rStyle w:val="Text0"/>
              </w:rPr>
              <w:t>.attrib</w:t>
            </w:r>
            <w:r>
              <w:t xml:space="preserve"> is </w:t>
            </w:r>
            <w:r>
              <w:rPr>
                <w:rStyle w:val="Text0"/>
              </w:rPr>
              <w:t>{'x': 'y'}</w:t>
            </w:r>
            <w:r>
              <w:t xml:space="preserve">. </w:t>
            </w:r>
          </w:p>
          <w:p>
            <w:pPr>
              <w:keepNext/>
              <w:pStyle w:val="Para 050"/>
              <w:keepLines w:val="on"/>
            </w:pPr>
            <w:r>
              <w:t>Avoid Accessing attrib on Element Instances</w:t>
            </w:r>
          </w:p>
          <w:p>
            <w:pPr>
              <w:pStyle w:val="Para 041"/>
              <w:keepLines w:val="on"/>
            </w:pPr>
            <w:r>
              <w:t xml:space="preserve">It’s normally best to avoid accessing </w:t>
            </w:r>
            <w:r>
              <w:rPr>
                <w:rStyle w:val="Text3"/>
              </w:rPr>
              <w:t>e</w:t>
            </w:r>
            <w:r>
              <w:rPr>
                <w:rStyle w:val="Text0"/>
              </w:rPr>
              <w:t>.attrib</w:t>
            </w:r>
            <w:r>
              <w:t xml:space="preserve"> when possible, because the implementation might need to build it on the fly when you access it. </w:t>
            </w:r>
            <w:r>
              <w:rPr>
                <w:rStyle w:val="Text3"/>
              </w:rPr>
              <w:t>e</w:t>
            </w:r>
            <w:r>
              <w:t xml:space="preserve"> itself offers some typical mapping methods (listed in </w:t>
            </w:r>
            <w:hyperlink w:anchor="Table_23_2__Mapping_like_methods">
              <w:r>
                <w:rPr>
                  <w:rStyle w:val="Text1"/>
                </w:rPr>
                <w:t>Table 23-2</w:t>
              </w:r>
            </w:hyperlink>
            <w:r>
              <w:t xml:space="preserve">) that you might otherwise want to call on </w:t>
            </w:r>
            <w:r>
              <w:rPr>
                <w:rStyle w:val="Text3"/>
              </w:rPr>
              <w:t>e</w:t>
            </w:r>
            <w:r>
              <w:rPr>
                <w:rStyle w:val="Text0"/>
              </w:rPr>
              <w:t>.attrib</w:t>
            </w:r>
            <w:r>
              <w:t xml:space="preserve">; going through </w:t>
            </w:r>
            <w:r>
              <w:rPr>
                <w:rStyle w:val="Text3"/>
              </w:rPr>
              <w:t>e</w:t>
            </w:r>
            <w:r>
              <w:t xml:space="preserve">’s own methods allows an implementation to optimize things for you, compared to the performance you’d get via the actual </w:t>
            </w:r>
            <w:r>
              <w:rPr>
                <w:rStyle w:val="Text0"/>
              </w:rPr>
              <w:t>dict</w:t>
            </w:r>
            <w:r>
              <w:t xml:space="preserve"> </w:t>
            </w:r>
            <w:r>
              <w:rPr>
                <w:rStyle w:val="Text3"/>
              </w:rPr>
              <w:t>e</w:t>
            </w:r>
            <w:r>
              <w:rPr>
                <w:rStyle w:val="Text0"/>
              </w:rPr>
              <w:t>.attrib</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tag</w:t>
            </w:r>
          </w:p>
        </w:tc>
        <w:tc>
          <w:tcPr>
            <w:tcW w:type="auto" w:w="0"/>
            <w:shd w:val="clear" w:color="auto" w:fill="EEF2F6"/>
            <w:tcMar>
              <w:left w:type="dxa" w:w="200"/>
              <w:top w:type="dxa" w:w="200"/>
              <w:right w:type="dxa" w:w="200"/>
              <w:bottom w:type="dxa" w:w="200"/>
            </w:tcMar>
          </w:tcPr>
          <w:p>
            <w:pPr>
              <w:pStyle w:val="Para 002"/>
            </w:pPr>
            <w:r>
              <w:t xml:space="preserve">The XML tag of the node: a string, sometimes also known as the element’s </w:t>
            </w:r>
            <w:r>
              <w:rPr>
                <w:rStyle w:val="Text4"/>
              </w:rPr>
              <w:t>type</w:t>
            </w:r>
            <w:r>
              <w:t xml:space="preserve">. For example, parsing the XML fragment </w:t>
            </w:r>
            <w:r>
              <w:rPr>
                <w:rStyle w:val="Text0"/>
              </w:rPr>
              <w:t>&lt;a x="y"&gt;b&lt;/a&gt;c</w:t>
            </w:r>
            <w:r>
              <w:t xml:space="preserve">, you get an </w:t>
            </w:r>
            <w:r>
              <w:rPr>
                <w:rStyle w:val="Text3"/>
              </w:rPr>
              <w:t>e</w:t>
            </w:r>
            <w:r>
              <w:t xml:space="preserve"> with </w:t>
            </w:r>
            <w:r>
              <w:rPr>
                <w:rStyle w:val="Text3"/>
              </w:rPr>
              <w:t>e</w:t>
            </w:r>
            <w:r>
              <w:rPr>
                <w:rStyle w:val="Text0"/>
              </w:rPr>
              <w:t>.tag</w:t>
            </w:r>
            <w:r>
              <w:t xml:space="preserve"> set to </w:t>
            </w:r>
            <w:r>
              <w:rPr>
                <w:rStyle w:val="Text0"/>
              </w:rPr>
              <w:t>'a'</w:t>
            </w:r>
            <w:r>
              <w:t>.</w:t>
            </w:r>
          </w:p>
        </w:tc>
      </w:tr>
    </w:tbl>
    <w:tbl>
      <w:tblPr>
        <w:tblW w:type="auto" w:w="0"/>
      </w:tblPr>
      <w:tr>
        <w:tc>
          <w:tcPr>
            <w:tcW w:type="auto" w:w="0"/>
            <w:tcMar>
              <w:left w:type="dxa" w:w="200"/>
              <w:top w:type="dxa" w:w="200"/>
              <w:right w:type="dxa" w:w="200"/>
              <w:bottom w:type="dxa" w:w="200"/>
            </w:tcMar>
          </w:tcPr>
          <w:p>
            <w:pPr>
              <w:pStyle w:val="Para 001"/>
            </w:pPr>
            <w:r>
              <w:t>tail</w:t>
            </w:r>
          </w:p>
        </w:tc>
        <w:tc>
          <w:tcPr>
            <w:tcW w:type="auto" w:w="0"/>
            <w:tcMar>
              <w:left w:type="dxa" w:w="200"/>
              <w:top w:type="dxa" w:w="200"/>
              <w:right w:type="dxa" w:w="200"/>
              <w:bottom w:type="dxa" w:w="200"/>
            </w:tcMar>
          </w:tcPr>
          <w:p>
            <w:pPr>
              <w:pStyle w:val="Para 002"/>
            </w:pPr>
            <w:r>
              <w:t xml:space="preserve">Arbitrary data (a string) immediately “following” the element. For example, parsing the XML fragment </w:t>
            </w:r>
            <w:r>
              <w:rPr>
                <w:rStyle w:val="Text0"/>
              </w:rPr>
              <w:t>&lt;a x="y"&gt;b&lt;/a&gt;c</w:t>
            </w:r>
            <w:r>
              <w:t xml:space="preserve">, you get an </w:t>
            </w:r>
            <w:r>
              <w:rPr>
                <w:rStyle w:val="Text3"/>
              </w:rPr>
              <w:t>e</w:t>
            </w:r>
            <w:r>
              <w:t xml:space="preserve"> with </w:t>
            </w:r>
            <w:r>
              <w:rPr>
                <w:rStyle w:val="Text3"/>
              </w:rPr>
              <w:t>e</w:t>
            </w:r>
            <w:r>
              <w:rPr>
                <w:rStyle w:val="Text0"/>
              </w:rPr>
              <w:t>.tail</w:t>
            </w:r>
            <w:r>
              <w:t xml:space="preserve"> set to </w:t>
            </w:r>
            <w:r>
              <w:rPr>
                <w:rStyle w:val="Text0"/>
              </w:rPr>
              <w:t>'c'</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text</w:t>
            </w:r>
          </w:p>
        </w:tc>
        <w:tc>
          <w:tcPr>
            <w:tcW w:type="auto" w:w="0"/>
            <w:shd w:val="clear" w:color="auto" w:fill="EEF2F6"/>
            <w:tcMar>
              <w:left w:type="dxa" w:w="200"/>
              <w:top w:type="dxa" w:w="200"/>
              <w:right w:type="dxa" w:w="200"/>
              <w:bottom w:type="dxa" w:w="200"/>
            </w:tcMar>
          </w:tcPr>
          <w:p>
            <w:pPr>
              <w:pStyle w:val="Para 002"/>
            </w:pPr>
            <w:r>
              <w:t xml:space="preserve">Arbitrary data (a string) directly “within” the element. For example, parsing the XML fragment </w:t>
            </w:r>
            <w:r>
              <w:rPr>
                <w:rStyle w:val="Text0"/>
              </w:rPr>
              <w:t>&lt;a x="y"&gt;b&lt;/a&gt;c</w:t>
            </w:r>
            <w:r>
              <w:t xml:space="preserve">, you get an </w:t>
            </w:r>
            <w:r>
              <w:rPr>
                <w:rStyle w:val="Text3"/>
              </w:rPr>
              <w:t>e</w:t>
            </w:r>
            <w:r>
              <w:t xml:space="preserve"> with </w:t>
            </w:r>
            <w:r>
              <w:rPr>
                <w:rStyle w:val="Text3"/>
              </w:rPr>
              <w:t>e</w:t>
            </w:r>
            <w:r>
              <w:rPr>
                <w:rStyle w:val="Text0"/>
              </w:rPr>
              <w:t>.text</w:t>
            </w:r>
            <w:r>
              <w:t xml:space="preserve"> set to </w:t>
            </w:r>
            <w:r>
              <w:rPr>
                <w:rStyle w:val="Text0"/>
              </w:rPr>
              <w:t>'b'</w:t>
            </w:r>
            <w:r>
              <w:t>.</w:t>
            </w:r>
          </w:p>
        </w:tc>
      </w:tr>
    </w:tbl>
    <w:p>
      <w:pPr>
        <w:pStyle w:val="Normal"/>
      </w:pPr>
      <w:r>
        <w:rPr>
          <w:rStyle w:val="Text3"/>
        </w:rPr>
        <w:t>e</w:t>
      </w:r>
      <w:r>
        <w:t xml:space="preserve"> has some methods that are mapping-like and avoid the need to explicitly ask for the </w:t>
      </w:r>
      <w:r>
        <w:rPr>
          <w:rStyle w:val="Text3"/>
        </w:rPr>
        <w:t>e</w:t>
      </w:r>
      <w:r>
        <w:rPr>
          <w:rStyle w:val="Text0"/>
        </w:rPr>
        <w:t>.attrib dict</w:t>
      </w:r>
      <w:r>
        <w:t xml:space="preserve">. These are listed in </w:t>
      </w:r>
      <w:hyperlink w:anchor="Table_23_2__Mapping_like_methods">
        <w:r>
          <w:rPr>
            <w:rStyle w:val="Text1"/>
          </w:rPr>
          <w:t>Table 23-2</w:t>
        </w:r>
      </w:hyperlink>
      <w:r>
        <w:t>.</w:t>
      </w:r>
    </w:p>
    <w:tbl>
      <w:tblPr>
        <w:tblW w:type="auto" w:w="0"/>
      </w:tblPr>
      <w:tr>
        <w:tc>
          <w:tcPr>
            <w:tcW w:type="auto" w:w="0"/>
            <w:tcMar>
              <w:left w:type="dxa" w:w="200"/>
              <w:top w:type="dxa" w:w="200"/>
              <w:right w:type="dxa" w:w="200"/>
              <w:bottom w:type="dxa" w:w="200"/>
            </w:tcMar>
          </w:tcPr>
          <w:p>
            <w:bookmarkStart w:id="4391" w:name="Table_23_2__Mapping_like_methods"/>
            <w:pPr>
              <w:pStyle w:val="Para 011"/>
            </w:pPr>
            <w:r>
              <w:rPr>
                <w:rStyle w:val="Text117"/>
              </w:rPr>
              <w:t/>
            </w:r>
            <w:r>
              <w:t xml:space="preserve">Table 23-2. </w:t>
              <w:t xml:space="preserve">Mapping-like methods of an </w:t>
            </w:r>
            <w:r>
              <w:rPr>
                <w:rStyle w:val="Text0"/>
              </w:rPr>
              <w:t>Element</w:t>
            </w:r>
            <w:r>
              <w:t xml:space="preserve"> instance </w:t>
            </w:r>
            <w:r>
              <w:rPr>
                <w:rStyle w:val="Text0"/>
              </w:rPr>
              <w:t>e</w:t>
            </w:r>
            <w:bookmarkEnd w:id="4391"/>
          </w:p>
          <w:p>
            <w:pPr>
              <w:pStyle w:val="Para 001"/>
            </w:pPr>
            <w:r>
              <w:t>clear</w:t>
            </w:r>
          </w:p>
        </w:tc>
        <w:tc>
          <w:tcPr>
            <w:tcW w:type="auto" w:w="0"/>
            <w:tcMar>
              <w:left w:type="dxa" w:w="200"/>
              <w:top w:type="dxa" w:w="200"/>
              <w:right w:type="dxa" w:w="200"/>
              <w:bottom w:type="dxa" w:w="200"/>
            </w:tcMar>
          </w:tcPr>
          <w:p>
            <w:pPr>
              <w:pStyle w:val="Para 002"/>
            </w:pPr>
            <w:r>
              <w:rPr>
                <w:rStyle w:val="Text3"/>
              </w:rPr>
              <w:t>e</w:t>
            </w:r>
            <w:r>
              <w:rPr>
                <w:rStyle w:val="Text0"/>
              </w:rPr>
              <w:t>.clear()</w:t>
              <w:br w:clear="none"/>
            </w:r>
            <w:r>
              <w:t xml:space="preserve"> Leaves </w:t>
            </w:r>
            <w:r>
              <w:rPr>
                <w:rStyle w:val="Text3"/>
              </w:rPr>
              <w:t>e</w:t>
            </w:r>
            <w:r>
              <w:t xml:space="preserve"> “empty,” except for its </w:t>
            </w:r>
            <w:r>
              <w:rPr>
                <w:rStyle w:val="Text0"/>
              </w:rPr>
              <w:t>tag</w:t>
            </w:r>
            <w:r>
              <w:t xml:space="preserve">, removing all attributes and children, and setting </w:t>
            </w:r>
            <w:r>
              <w:rPr>
                <w:rStyle w:val="Text0"/>
              </w:rPr>
              <w:t>text</w:t>
            </w:r>
            <w:r>
              <w:t xml:space="preserve"> and </w:t>
            </w:r>
            <w:r>
              <w:rPr>
                <w:rStyle w:val="Text0"/>
              </w:rPr>
              <w:t>tail</w:t>
            </w:r>
            <w:r>
              <w:t xml:space="preserve"> to </w:t>
            </w:r>
            <w:r>
              <w:rPr>
                <w:rStyle w:val="Text5"/>
              </w:rPr>
              <w:t>None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get</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.get(</w:t>
            </w:r>
            <w:r>
              <w:rPr>
                <w:rStyle w:val="Text3"/>
              </w:rPr>
              <w:t>key</w:t>
            </w:r>
            <w:r>
              <w:rPr>
                <w:rStyle w:val="Text0"/>
              </w:rPr>
              <w:t>, default=</w:t>
            </w:r>
            <w:r>
              <w:rPr>
                <w:rStyle w:val="Text5"/>
              </w:rPr>
              <w:t>None</w:t>
            </w:r>
            <w:r>
              <w:rPr>
                <w:rStyle w:val="Text0"/>
              </w:rPr>
              <w:t>)</w:t>
              <w:br w:clear="none"/>
            </w:r>
            <w:r>
              <w:t xml:space="preserve"> Like </w:t>
            </w:r>
            <w:r>
              <w:rPr>
                <w:rStyle w:val="Text3"/>
              </w:rPr>
              <w:t>e</w:t>
            </w:r>
            <w:r>
              <w:rPr>
                <w:rStyle w:val="Text0"/>
              </w:rPr>
              <w:t>.attrib.get(</w:t>
            </w:r>
            <w:r>
              <w:rPr>
                <w:rStyle w:val="Text3"/>
              </w:rPr>
              <w:t>key</w:t>
            </w:r>
            <w:r>
              <w:rPr>
                <w:rStyle w:val="Text0"/>
              </w:rPr>
              <w:t>,</w:t>
            </w:r>
            <w:r>
              <w:t xml:space="preserve"> </w:t>
            </w:r>
            <w:r>
              <w:rPr>
                <w:rStyle w:val="Text3"/>
              </w:rPr>
              <w:t>default</w:t>
            </w:r>
            <w:r>
              <w:rPr>
                <w:rStyle w:val="Text0"/>
              </w:rPr>
              <w:t>)</w:t>
            </w:r>
            <w:r>
              <w:t xml:space="preserve">, but potentially much faster. You cannot use </w:t>
            </w:r>
            <w:r>
              <w:rPr>
                <w:rStyle w:val="Text3"/>
              </w:rPr>
              <w:t>e</w:t>
            </w:r>
            <w:r>
              <w:rPr>
                <w:rStyle w:val="Text0"/>
              </w:rPr>
              <w:t>[</w:t>
            </w:r>
            <w:r>
              <w:rPr>
                <w:rStyle w:val="Text3"/>
              </w:rPr>
              <w:t>key</w:t>
            </w:r>
            <w:r>
              <w:rPr>
                <w:rStyle w:val="Text0"/>
              </w:rPr>
              <w:t>]</w:t>
            </w:r>
            <w:r>
              <w:t xml:space="preserve">, since indexing on </w:t>
            </w:r>
            <w:r>
              <w:rPr>
                <w:rStyle w:val="Text3"/>
              </w:rPr>
              <w:t>e</w:t>
            </w:r>
            <w:r>
              <w:t xml:space="preserve"> is used to access children, not attributes.</w:t>
            </w:r>
          </w:p>
        </w:tc>
      </w:tr>
    </w:tbl>
    <w:tbl>
      <w:tblPr>
        <w:tblW w:type="auto" w:w="0"/>
      </w:tblPr>
      <w:tr>
        <w:tc>
          <w:tcPr>
            <w:tcW w:type="auto" w:w="0"/>
            <w:tcMar>
              <w:left w:type="dxa" w:w="200"/>
              <w:top w:type="dxa" w:w="200"/>
              <w:right w:type="dxa" w:w="200"/>
              <w:bottom w:type="dxa" w:w="200"/>
            </w:tcMar>
          </w:tcPr>
          <w:p>
            <w:pPr>
              <w:pStyle w:val="Para 001"/>
            </w:pPr>
            <w:r>
              <w:t>items</w:t>
            </w:r>
          </w:p>
        </w:tc>
        <w:tc>
          <w:tcPr>
            <w:tcW w:type="auto" w:w="0"/>
            <w:tcMar>
              <w:left w:type="dxa" w:w="200"/>
              <w:top w:type="dxa" w:w="200"/>
              <w:right w:type="dxa" w:w="200"/>
              <w:bottom w:type="dxa" w:w="200"/>
            </w:tcMar>
          </w:tcPr>
          <w:p>
            <w:pPr>
              <w:pStyle w:val="Para 002"/>
            </w:pPr>
            <w:r>
              <w:rPr>
                <w:rStyle w:val="Text3"/>
              </w:rPr>
              <w:t>e</w:t>
            </w:r>
            <w:r>
              <w:rPr>
                <w:rStyle w:val="Text0"/>
              </w:rPr>
              <w:t>.items()</w:t>
              <w:br w:clear="none"/>
            </w:r>
            <w:r>
              <w:t xml:space="preserve"> Returns the list of </w:t>
            </w:r>
            <w:r>
              <w:rPr>
                <w:rStyle w:val="Text0"/>
              </w:rPr>
              <w:t>(</w:t>
            </w:r>
            <w:r>
              <w:rPr>
                <w:rStyle w:val="Text3"/>
              </w:rPr>
              <w:t>name</w:t>
            </w:r>
            <w:r>
              <w:rPr>
                <w:rStyle w:val="Text0"/>
              </w:rPr>
              <w:t>,</w:t>
            </w:r>
            <w:r>
              <w:t xml:space="preserve"> </w:t>
            </w:r>
            <w:r>
              <w:rPr>
                <w:rStyle w:val="Text3"/>
              </w:rPr>
              <w:t>value</w:t>
            </w:r>
            <w:r>
              <w:rPr>
                <w:rStyle w:val="Text0"/>
              </w:rPr>
              <w:t>)</w:t>
            </w:r>
            <w:r>
              <w:t xml:space="preserve"> tuples for all attributes, in arbitrary order.</w:t>
            </w:r>
          </w:p>
        </w:tc>
      </w:tr>
    </w:tbl>
    <w:tbl>
      <w:tblPr>
        <w:tblW w:type="auto" w:w="0"/>
      </w:tblPr>
      <w:tr>
        <w:tc>
          <w:tcPr>
            <w:tcW w:type="auto" w:w="0"/>
            <w:shd w:val="clear" w:color="auto" w:fill="EEF2F6"/>
            <w:tcMar>
              <w:left w:type="dxa" w:w="200"/>
              <w:top w:type="dxa" w:w="200"/>
              <w:right w:type="dxa" w:w="200"/>
              <w:bottom w:type="dxa" w:w="200"/>
            </w:tcMar>
          </w:tcPr>
          <w:p>
            <w:pPr>
              <w:pStyle w:val="Para 001"/>
            </w:pPr>
            <w:r>
              <w:t>keys</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.keys()</w:t>
              <w:br w:clear="none"/>
            </w:r>
            <w:r>
              <w:t xml:space="preserve"> Returns the list of all attribute names, in arbitrary order.</w:t>
            </w:r>
          </w:p>
        </w:tc>
      </w:tr>
    </w:tbl>
    <w:tbl>
      <w:tblPr>
        <w:tblW w:type="auto" w:w="0"/>
      </w:tblPr>
      <w:tr>
        <w:tc>
          <w:tcPr>
            <w:tcW w:type="auto" w:w="0"/>
            <w:tcMar>
              <w:left w:type="dxa" w:w="200"/>
              <w:top w:type="dxa" w:w="200"/>
              <w:right w:type="dxa" w:w="200"/>
              <w:bottom w:type="dxa" w:w="200"/>
            </w:tcMar>
          </w:tcPr>
          <w:p>
            <w:pPr>
              <w:pStyle w:val="Para 001"/>
            </w:pPr>
            <w:r>
              <w:t>set</w:t>
            </w:r>
          </w:p>
        </w:tc>
        <w:tc>
          <w:tcPr>
            <w:tcW w:type="auto" w:w="0"/>
            <w:tcMar>
              <w:left w:type="dxa" w:w="200"/>
              <w:top w:type="dxa" w:w="200"/>
              <w:right w:type="dxa" w:w="200"/>
              <w:bottom w:type="dxa" w:w="200"/>
            </w:tcMar>
          </w:tcPr>
          <w:p>
            <w:pPr>
              <w:pStyle w:val="Para 002"/>
            </w:pPr>
            <w:r>
              <w:rPr>
                <w:rStyle w:val="Text3"/>
              </w:rPr>
              <w:t>e</w:t>
            </w:r>
            <w:r>
              <w:rPr>
                <w:rStyle w:val="Text0"/>
              </w:rPr>
              <w:t>.set(</w:t>
            </w:r>
            <w:r>
              <w:rPr>
                <w:rStyle w:val="Text3"/>
              </w:rPr>
              <w:t>key</w:t>
            </w:r>
            <w:r>
              <w:rPr>
                <w:rStyle w:val="Text0"/>
              </w:rPr>
              <w:t>,</w:t>
            </w:r>
            <w:r>
              <w:t xml:space="preserve"> </w:t>
            </w:r>
            <w:r>
              <w:rPr>
                <w:rStyle w:val="Text3"/>
              </w:rPr>
              <w:t>value</w:t>
            </w:r>
            <w:r>
              <w:rPr>
                <w:rStyle w:val="Text0"/>
              </w:rPr>
              <w:t>)</w:t>
              <w:br w:clear="none"/>
            </w:r>
            <w:r>
              <w:t xml:space="preserve"> Sets the value of the attribute named </w:t>
            </w:r>
            <w:r>
              <w:rPr>
                <w:rStyle w:val="Text3"/>
              </w:rPr>
              <w:t>key</w:t>
            </w:r>
            <w:r>
              <w:t xml:space="preserve"> to </w:t>
            </w:r>
            <w:r>
              <w:rPr>
                <w:rStyle w:val="Text3"/>
              </w:rPr>
              <w:t>value</w:t>
            </w:r>
            <w:r>
              <w:t>.</w:t>
            </w:r>
          </w:p>
        </w:tc>
      </w:tr>
    </w:tbl>
    <w:p>
      <w:pPr>
        <w:pStyle w:val="Normal"/>
      </w:pPr>
      <w:r>
        <w:t xml:space="preserve">The other methods of </w:t>
      </w:r>
      <w:r>
        <w:rPr>
          <w:rStyle w:val="Text3"/>
        </w:rPr>
        <w:t>e</w:t>
      </w:r>
      <w:r>
        <w:t xml:space="preserve"> (including methods for indexing with the </w:t>
      </w:r>
      <w:r>
        <w:rPr>
          <w:rStyle w:val="Text3"/>
        </w:rPr>
        <w:t>e</w:t>
      </w:r>
      <w:r>
        <w:rPr>
          <w:rStyle w:val="Text0"/>
        </w:rPr>
        <w:t>[i]</w:t>
      </w:r>
      <w:r>
        <w:t xml:space="preserve"> syntax and for getting the length, as in </w:t>
      </w:r>
      <w:r>
        <w:rPr>
          <w:rStyle w:val="Text0"/>
        </w:rPr>
        <w:t>len(</w:t>
      </w:r>
      <w:r>
        <w:rPr>
          <w:rStyle w:val="Text3"/>
        </w:rPr>
        <w:t>e</w:t>
      </w:r>
      <w:r>
        <w:rPr>
          <w:rStyle w:val="Text0"/>
        </w:rPr>
        <w:t>)</w:t>
      </w:r>
      <w:r>
        <w:t xml:space="preserve">) deal with all of </w:t>
      </w:r>
      <w:r>
        <w:rPr>
          <w:rStyle w:val="Text3"/>
        </w:rPr>
        <w:t>e</w:t>
      </w:r>
      <w:r>
        <w:t xml:space="preserve">’s children as a sequence, or in some cases—indicated in the rest of this section—with all descendants (elements in the subtree rooted at </w:t>
      </w:r>
      <w:r>
        <w:rPr>
          <w:rStyle w:val="Text3"/>
        </w:rPr>
        <w:t>e</w:t>
      </w:r>
      <w:r>
        <w:t xml:space="preserve">, also known as subelements of </w:t>
      </w:r>
      <w:r>
        <w:rPr>
          <w:rStyle w:val="Text3"/>
        </w:rPr>
        <w:t>e</w:t>
      </w:r>
      <w:r>
        <w:t>).</w:t>
      </w:r>
    </w:p>
    <w:p>
      <w:pPr>
        <w:keepNext/>
        <w:pStyle w:val="Heading 6"/>
        <w:keepLines w:val="on"/>
      </w:pPr>
      <w:r>
        <w:t>Don’t Rely on Implicit bool Conversion of an Element</w:t>
      </w:r>
    </w:p>
    <w:p>
      <w:pPr>
        <w:pStyle w:val="Para 012"/>
        <w:keepLines w:val="on"/>
      </w:pPr>
      <w:r>
        <w:t xml:space="preserve">In all versions up through Python 3.11, an </w:t>
      </w:r>
      <w:r>
        <w:rPr>
          <w:rStyle w:val="Text0"/>
        </w:rPr>
        <w:t>Element</w:t>
      </w:r>
      <w:r>
        <w:t xml:space="preserve"> instance </w:t>
      </w:r>
      <w:r>
        <w:rPr>
          <w:rStyle w:val="Text3"/>
        </w:rPr>
        <w:t>e</w:t>
      </w:r>
      <w:r>
        <w:t xml:space="preserve"> evaluates as false if </w:t>
      </w:r>
      <w:r>
        <w:rPr>
          <w:rStyle w:val="Text3"/>
        </w:rPr>
        <w:t>e</w:t>
      </w:r>
      <w:r>
        <w:t xml:space="preserve"> has no children, following the normal rule for Python containers’ implicit </w:t>
      </w:r>
      <w:r>
        <w:rPr>
          <w:rStyle w:val="Text0"/>
        </w:rPr>
        <w:t>bool</w:t>
      </w:r>
      <w:r>
        <w:t xml:space="preserve"> conversion. However, it is documented that this behavior may change in some future version of Python. For future compatibility, if you want to check whether </w:t>
      </w:r>
      <w:r>
        <w:rPr>
          <w:rStyle w:val="Text3"/>
        </w:rPr>
        <w:t>e</w:t>
      </w:r>
      <w:r>
        <w:t xml:space="preserve"> has no children, explicitly check </w:t>
      </w:r>
      <w:r>
        <w:rPr>
          <w:rStyle w:val="Text5"/>
        </w:rPr>
        <w:t>if</w:t>
      </w:r>
      <w:r>
        <w:t xml:space="preserve"> </w:t>
      </w:r>
      <w:r>
        <w:rPr>
          <w:rStyle w:val="Text0"/>
        </w:rPr>
        <w:t>len(</w:t>
      </w:r>
      <w:r>
        <w:rPr>
          <w:rStyle w:val="Text3"/>
        </w:rPr>
        <w:t>e</w:t>
      </w:r>
      <w:r>
        <w:rPr>
          <w:rStyle w:val="Text0"/>
        </w:rPr>
        <w:t>) == 0:</w:t>
      </w:r>
      <w:r>
        <w:t xml:space="preserve"> instead of using the normal Python idiom </w:t>
      </w:r>
      <w:r>
        <w:rPr>
          <w:rStyle w:val="Text5"/>
        </w:rPr>
        <w:t>if</w:t>
      </w:r>
      <w:r>
        <w:t xml:space="preserve"> </w:t>
      </w:r>
      <w:r>
        <w:rPr>
          <w:rStyle w:val="Text5"/>
        </w:rPr>
        <w:t>not</w:t>
      </w:r>
      <w:r>
        <w:t xml:space="preserve"> </w:t>
      </w:r>
      <w:r>
        <w:rPr>
          <w:rStyle w:val="Text3"/>
        </w:rPr>
        <w:t>e</w:t>
      </w:r>
      <w:r>
        <w:rPr>
          <w:rStyle w:val="Text0"/>
        </w:rPr>
        <w:t>:</w:t>
      </w:r>
      <w:r>
        <w:t>.</w:t>
      </w:r>
    </w:p>
    <w:p>
      <w:pPr>
        <w:pStyle w:val="Normal"/>
      </w:pPr>
      <w:r>
        <w:t xml:space="preserve">The named methods of </w:t>
      </w:r>
      <w:r>
        <w:rPr>
          <w:rStyle w:val="Text3"/>
        </w:rPr>
        <w:t>e</w:t>
      </w:r>
      <w:r>
        <w:t xml:space="preserve"> dealing with children or descendants are listed in </w:t>
      </w:r>
      <w:hyperlink w:anchor="Table_23_3__Methods_of_an_Elemen">
        <w:r>
          <w:rPr>
            <w:rStyle w:val="Text1"/>
          </w:rPr>
          <w:t>Table 23-3</w:t>
        </w:r>
      </w:hyperlink>
      <w:r>
        <w:t xml:space="preserve"> (we do not cover XPath in this book: see the </w:t>
      </w:r>
      <w:hyperlink r:id="rId652">
        <w:r>
          <w:rPr>
            <w:rStyle w:val="Text1"/>
          </w:rPr>
          <w:t>online docs</w:t>
        </w:r>
      </w:hyperlink>
      <w:r>
        <w:t xml:space="preserve"> for information on that topic). Many of the following methods take an optional argument </w:t>
      </w:r>
      <w:r>
        <w:rPr>
          <w:rStyle w:val="Text0"/>
        </w:rPr>
        <w:t>namespaces</w:t>
      </w:r>
      <w:r>
        <w:t xml:space="preserve">, defaulting to </w:t>
      </w:r>
      <w:r>
        <w:rPr>
          <w:rStyle w:val="Text5"/>
        </w:rPr>
        <w:t>None</w:t>
      </w:r>
      <w:r>
        <w:t xml:space="preserve">. When present, </w:t>
      </w:r>
      <w:r>
        <w:rPr>
          <w:rStyle w:val="Text0"/>
        </w:rPr>
        <w:t>namespaces</w:t>
      </w:r>
      <w:r>
        <w:t xml:space="preserve"> is a mapping with XML namespace prefixes as keys and corresponding XML namespace full names as values.</w:t>
      </w:r>
    </w:p>
    <w:tbl>
      <w:tblPr>
        <w:tblW w:type="auto" w:w="0"/>
      </w:tblPr>
      <w:tr>
        <w:tc>
          <w:tcPr>
            <w:tcW w:type="auto" w:w="0"/>
            <w:tcMar>
              <w:left w:type="dxa" w:w="200"/>
              <w:top w:type="dxa" w:w="200"/>
              <w:right w:type="dxa" w:w="200"/>
              <w:bottom w:type="dxa" w:w="200"/>
            </w:tcMar>
          </w:tcPr>
          <w:p>
            <w:bookmarkStart w:id="4392" w:name="Table_23_3__Methods_of_an_Elemen"/>
            <w:pPr>
              <w:pStyle w:val="Para 011"/>
            </w:pPr>
            <w:r>
              <w:rPr>
                <w:rStyle w:val="Text117"/>
              </w:rPr>
              <w:t/>
            </w:r>
            <w:r>
              <w:t xml:space="preserve">Table 23-3. </w:t>
              <w:t xml:space="preserve">Methods of an </w:t>
            </w:r>
            <w:r>
              <w:rPr>
                <w:rStyle w:val="Text0"/>
              </w:rPr>
              <w:t>Element</w:t>
            </w:r>
            <w:r>
              <w:t xml:space="preserve"> instance </w:t>
            </w:r>
            <w:r>
              <w:rPr>
                <w:rStyle w:val="Text0"/>
              </w:rPr>
              <w:t>e</w:t>
            </w:r>
            <w:r>
              <w:t xml:space="preserve"> dealing with children or descendants</w:t>
            </w:r>
            <w:bookmarkEnd w:id="4392"/>
          </w:p>
          <w:p>
            <w:pPr>
              <w:pStyle w:val="Para 001"/>
            </w:pPr>
            <w:r>
              <w:t>append</w:t>
            </w:r>
          </w:p>
        </w:tc>
        <w:tc>
          <w:tcPr>
            <w:tcW w:type="auto" w:w="0"/>
            <w:tcMar>
              <w:left w:type="dxa" w:w="200"/>
              <w:top w:type="dxa" w:w="200"/>
              <w:right w:type="dxa" w:w="200"/>
              <w:bottom w:type="dxa" w:w="200"/>
            </w:tcMar>
          </w:tcPr>
          <w:p>
            <w:pPr>
              <w:pStyle w:val="Para 002"/>
            </w:pPr>
            <w:r>
              <w:rPr>
                <w:rStyle w:val="Text3"/>
              </w:rPr>
              <w:t>e</w:t>
            </w:r>
            <w:r>
              <w:rPr>
                <w:rStyle w:val="Text0"/>
              </w:rPr>
              <w:t>.append(</w:t>
            </w:r>
            <w:r>
              <w:rPr>
                <w:rStyle w:val="Text3"/>
              </w:rPr>
              <w:t>se</w:t>
            </w:r>
            <w:r>
              <w:rPr>
                <w:rStyle w:val="Text0"/>
              </w:rPr>
              <w:t>)</w:t>
              <w:br w:clear="none"/>
            </w:r>
            <w:r>
              <w:t xml:space="preserve"> Adds subelement </w:t>
            </w:r>
            <w:r>
              <w:rPr>
                <w:rStyle w:val="Text3"/>
              </w:rPr>
              <w:t>se</w:t>
            </w:r>
            <w:r>
              <w:t xml:space="preserve"> (which must be an </w:t>
            </w:r>
            <w:r>
              <w:rPr>
                <w:rStyle w:val="Text0"/>
              </w:rPr>
              <w:t>Element</w:t>
            </w:r>
            <w:r>
              <w:t xml:space="preserve">) at the end of </w:t>
            </w:r>
            <w:r>
              <w:rPr>
                <w:rStyle w:val="Text3"/>
              </w:rPr>
              <w:t>e</w:t>
            </w:r>
            <w:r>
              <w:t>’s children.</w:t>
            </w:r>
          </w:p>
        </w:tc>
      </w:tr>
    </w:tbl>
    <w:tbl>
      <w:tblPr>
        <w:tblW w:type="auto" w:w="0"/>
      </w:tblPr>
      <w:tr>
        <w:tc>
          <w:tcPr>
            <w:tcW w:type="auto" w:w="0"/>
            <w:shd w:val="clear" w:color="auto" w:fill="EEF2F6"/>
            <w:tcMar>
              <w:left w:type="dxa" w:w="200"/>
              <w:top w:type="dxa" w:w="200"/>
              <w:right w:type="dxa" w:w="200"/>
              <w:bottom w:type="dxa" w:w="200"/>
            </w:tcMar>
          </w:tcPr>
          <w:p>
            <w:pPr>
              <w:pStyle w:val="Para 001"/>
            </w:pPr>
            <w:r>
              <w:t>extend</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.extend(</w:t>
            </w:r>
            <w:r>
              <w:rPr>
                <w:rStyle w:val="Text3"/>
              </w:rPr>
              <w:t>ses</w:t>
            </w:r>
            <w:r>
              <w:rPr>
                <w:rStyle w:val="Text0"/>
              </w:rPr>
              <w:t>)</w:t>
              <w:br w:clear="none"/>
            </w:r>
            <w:r>
              <w:t xml:space="preserve"> Adds each item of iterable </w:t>
            </w:r>
            <w:r>
              <w:rPr>
                <w:rStyle w:val="Text3"/>
              </w:rPr>
              <w:t>ses</w:t>
            </w:r>
            <w:r>
              <w:t xml:space="preserve"> (every item must be an </w:t>
            </w:r>
            <w:r>
              <w:rPr>
                <w:rStyle w:val="Text0"/>
              </w:rPr>
              <w:t>Element</w:t>
            </w:r>
            <w:r>
              <w:t xml:space="preserve">) at the end of </w:t>
            </w:r>
            <w:r>
              <w:rPr>
                <w:rStyle w:val="Text3"/>
              </w:rPr>
              <w:t>e</w:t>
            </w:r>
            <w:r>
              <w:t>’s children.</w:t>
            </w:r>
          </w:p>
        </w:tc>
      </w:tr>
    </w:tbl>
    <w:tbl>
      <w:tblPr>
        <w:tblW w:type="auto" w:w="0"/>
      </w:tblPr>
      <w:tr>
        <w:tc>
          <w:tcPr>
            <w:tcW w:type="auto" w:w="0"/>
            <w:tcMar>
              <w:left w:type="dxa" w:w="200"/>
              <w:top w:type="dxa" w:w="200"/>
              <w:right w:type="dxa" w:w="200"/>
              <w:bottom w:type="dxa" w:w="200"/>
            </w:tcMar>
          </w:tcPr>
          <w:p>
            <w:pPr>
              <w:pStyle w:val="Para 001"/>
            </w:pPr>
            <w:r>
              <w:t>find</w:t>
            </w:r>
          </w:p>
        </w:tc>
        <w:tc>
          <w:tcPr>
            <w:tcW w:type="auto" w:w="0"/>
            <w:tcMar>
              <w:left w:type="dxa" w:w="200"/>
              <w:top w:type="dxa" w:w="200"/>
              <w:right w:type="dxa" w:w="200"/>
              <w:bottom w:type="dxa" w:w="200"/>
            </w:tcMar>
          </w:tcPr>
          <w:p>
            <w:pPr>
              <w:pStyle w:val="Para 002"/>
            </w:pPr>
            <w:r>
              <w:rPr>
                <w:rStyle w:val="Text3"/>
              </w:rPr>
              <w:t>e</w:t>
            </w:r>
            <w:r>
              <w:rPr>
                <w:rStyle w:val="Text0"/>
              </w:rPr>
              <w:t>.find(</w:t>
            </w:r>
            <w:r>
              <w:rPr>
                <w:rStyle w:val="Text3"/>
              </w:rPr>
              <w:t>match</w:t>
            </w:r>
            <w:r>
              <w:rPr>
                <w:rStyle w:val="Text0"/>
              </w:rPr>
              <w:t>,</w:t>
            </w:r>
            <w:r>
              <w:t xml:space="preserve"> </w:t>
            </w:r>
            <w:r>
              <w:rPr>
                <w:rStyle w:val="Text0"/>
              </w:rPr>
              <w:t>namespaces=</w:t>
            </w:r>
            <w:r>
              <w:rPr>
                <w:rStyle w:val="Text5"/>
              </w:rPr>
              <w:t>None</w:t>
            </w:r>
            <w:r>
              <w:rPr>
                <w:rStyle w:val="Text0"/>
              </w:rPr>
              <w:t>)</w:t>
              <w:br w:clear="none"/>
            </w:r>
            <w:r>
              <w:t xml:space="preserve"> Returns</w:t>
            </w:r>
            <w:r>
              <w:rPr>
                <w:rStyle w:val="Text111"/>
              </w:rPr>
              <w:bookmarkStart w:id="4393" w:name="idm45965168917104"/>
              <w:t/>
              <w:bookmarkEnd w:id="4393"/>
            </w:r>
            <w:r>
              <w:t xml:space="preserve"> the first descendant matching </w:t>
            </w:r>
            <w:r>
              <w:rPr>
                <w:rStyle w:val="Text3"/>
              </w:rPr>
              <w:t>match</w:t>
            </w:r>
            <w:r>
              <w:t xml:space="preserve">, which may be a tag name or an XPath expression within the subset supported by the current implementation of </w:t>
            </w:r>
            <w:r>
              <w:rPr>
                <w:rStyle w:val="Text0"/>
              </w:rPr>
              <w:t>ElementTree</w:t>
            </w:r>
            <w:r>
              <w:t xml:space="preserve">. Returns </w:t>
            </w:r>
            <w:r>
              <w:rPr>
                <w:rStyle w:val="Text5"/>
              </w:rPr>
              <w:t>None</w:t>
            </w:r>
            <w:r>
              <w:t xml:space="preserve"> if no descendant matches </w:t>
            </w:r>
            <w:r>
              <w:rPr>
                <w:rStyle w:val="Text3"/>
              </w:rPr>
              <w:t>match.</w:t>
            </w:r>
          </w:p>
        </w:tc>
      </w:tr>
    </w:tbl>
    <w:tbl>
      <w:tblPr>
        <w:tblW w:type="auto" w:w="0"/>
      </w:tblPr>
      <w:tr>
        <w:tc>
          <w:tcPr>
            <w:tcW w:type="auto" w:w="0"/>
            <w:shd w:val="clear" w:color="auto" w:fill="EEF2F6"/>
            <w:tcMar>
              <w:left w:type="dxa" w:w="200"/>
              <w:top w:type="dxa" w:w="200"/>
              <w:right w:type="dxa" w:w="200"/>
              <w:bottom w:type="dxa" w:w="200"/>
            </w:tcMar>
          </w:tcPr>
          <w:p>
            <w:pPr>
              <w:pStyle w:val="Para 001"/>
            </w:pPr>
            <w:r>
              <w:t>findall</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.findall(</w:t>
            </w:r>
            <w:r>
              <w:rPr>
                <w:rStyle w:val="Text3"/>
              </w:rPr>
              <w:t>match</w:t>
            </w:r>
            <w:r>
              <w:rPr>
                <w:rStyle w:val="Text0"/>
              </w:rPr>
              <w:t>, namespaces=</w:t>
            </w:r>
            <w:r>
              <w:rPr>
                <w:rStyle w:val="Text5"/>
              </w:rPr>
              <w:t>None</w:t>
            </w:r>
            <w:r>
              <w:rPr>
                <w:rStyle w:val="Text0"/>
              </w:rPr>
              <w:t>)</w:t>
              <w:br w:clear="none"/>
            </w:r>
            <w:r>
              <w:t xml:space="preserve"> Returns the list of all descendants matching </w:t>
            </w:r>
            <w:r>
              <w:rPr>
                <w:rStyle w:val="Text3"/>
              </w:rPr>
              <w:t>match</w:t>
            </w:r>
            <w:r>
              <w:t xml:space="preserve">, which may be a tag name or an XPath expression within the subset supported by the current implementation of </w:t>
            </w:r>
            <w:r>
              <w:rPr>
                <w:rStyle w:val="Text0"/>
              </w:rPr>
              <w:t>ElementTree</w:t>
            </w:r>
            <w:r>
              <w:t xml:space="preserve">. Returns </w:t>
            </w:r>
            <w:r>
              <w:rPr>
                <w:rStyle w:val="Text0"/>
              </w:rPr>
              <w:t>[]</w:t>
            </w:r>
            <w:r>
              <w:t xml:space="preserve"> if no descendants match </w:t>
            </w:r>
            <w:r>
              <w:rPr>
                <w:rStyle w:val="Text3"/>
              </w:rPr>
              <w:t>match</w:t>
            </w:r>
            <w:r>
              <w:t>.</w:t>
            </w:r>
          </w:p>
        </w:tc>
      </w:tr>
    </w:tbl>
    <w:tbl>
      <w:tblPr>
        <w:tblW w:type="auto" w:w="0"/>
      </w:tblPr>
      <w:tr>
        <w:tc>
          <w:tcPr>
            <w:tcW w:type="auto" w:w="0"/>
            <w:tcMar>
              <w:left w:type="dxa" w:w="200"/>
              <w:top w:type="dxa" w:w="200"/>
              <w:right w:type="dxa" w:w="200"/>
              <w:bottom w:type="dxa" w:w="200"/>
            </w:tcMar>
          </w:tcPr>
          <w:p>
            <w:pPr>
              <w:pStyle w:val="Para 001"/>
            </w:pPr>
            <w:r>
              <w:t>findtext</w:t>
            </w:r>
          </w:p>
        </w:tc>
        <w:tc>
          <w:tcPr>
            <w:tcW w:type="auto" w:w="0"/>
            <w:tcMar>
              <w:left w:type="dxa" w:w="200"/>
              <w:top w:type="dxa" w:w="200"/>
              <w:right w:type="dxa" w:w="200"/>
              <w:bottom w:type="dxa" w:w="200"/>
            </w:tcMar>
          </w:tcPr>
          <w:p>
            <w:pPr>
              <w:pStyle w:val="Para 002"/>
            </w:pPr>
            <w:r>
              <w:rPr>
                <w:rStyle w:val="Text3"/>
              </w:rPr>
              <w:t>e</w:t>
            </w:r>
            <w:r>
              <w:rPr>
                <w:rStyle w:val="Text0"/>
              </w:rPr>
              <w:t>.findtext(</w:t>
            </w:r>
            <w:r>
              <w:rPr>
                <w:rStyle w:val="Text3"/>
              </w:rPr>
              <w:t>match</w:t>
            </w:r>
            <w:r>
              <w:rPr>
                <w:rStyle w:val="Text0"/>
              </w:rPr>
              <w:t>, default=</w:t>
            </w:r>
            <w:r>
              <w:rPr>
                <w:rStyle w:val="Text5"/>
              </w:rPr>
              <w:t>None</w:t>
            </w:r>
            <w:r>
              <w:rPr>
                <w:rStyle w:val="Text0"/>
              </w:rPr>
              <w:t>, namespaces=</w:t>
            </w:r>
            <w:r>
              <w:rPr>
                <w:rStyle w:val="Text5"/>
              </w:rPr>
              <w:t>None</w:t>
            </w:r>
            <w:r>
              <w:rPr>
                <w:rStyle w:val="Text0"/>
              </w:rPr>
              <w:t>)</w:t>
              <w:br w:clear="none"/>
            </w:r>
            <w:r>
              <w:t xml:space="preserve"> Returns the </w:t>
            </w:r>
            <w:r>
              <w:rPr>
                <w:rStyle w:val="Text0"/>
              </w:rPr>
              <w:t>text</w:t>
            </w:r>
            <w:r>
              <w:t xml:space="preserve"> of the first descendant matching </w:t>
            </w:r>
            <w:r>
              <w:rPr>
                <w:rStyle w:val="Text3"/>
              </w:rPr>
              <w:t>match</w:t>
            </w:r>
            <w:r>
              <w:t xml:space="preserve">, which may be a tag name or an XPath expression within the subset supported by the current implementation of </w:t>
            </w:r>
            <w:r>
              <w:rPr>
                <w:rStyle w:val="Text0"/>
              </w:rPr>
              <w:t>ElementTree</w:t>
            </w:r>
            <w:r>
              <w:t xml:space="preserve">. The result may be an empty string, </w:t>
            </w:r>
            <w:r>
              <w:rPr>
                <w:rStyle w:val="Text0"/>
              </w:rPr>
              <w:t>''</w:t>
            </w:r>
            <w:r>
              <w:t xml:space="preserve">, if the first descendant matching </w:t>
            </w:r>
            <w:r>
              <w:rPr>
                <w:rStyle w:val="Text3"/>
              </w:rPr>
              <w:t>match</w:t>
            </w:r>
            <w:r>
              <w:t xml:space="preserve"> has no </w:t>
            </w:r>
            <w:r>
              <w:rPr>
                <w:rStyle w:val="Text0"/>
              </w:rPr>
              <w:t>text</w:t>
            </w:r>
            <w:r>
              <w:t xml:space="preserve">. Returns </w:t>
            </w:r>
            <w:r>
              <w:rPr>
                <w:rStyle w:val="Text0"/>
              </w:rPr>
              <w:t>default</w:t>
            </w:r>
            <w:r>
              <w:t xml:space="preserve"> if no descendant matches </w:t>
            </w:r>
            <w:r>
              <w:rPr>
                <w:rStyle w:val="Text3"/>
              </w:rPr>
              <w:t>match</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insert</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.insert(</w:t>
            </w:r>
            <w:r>
              <w:rPr>
                <w:rStyle w:val="Text3"/>
              </w:rPr>
              <w:t>index</w:t>
            </w:r>
            <w:r>
              <w:rPr>
                <w:rStyle w:val="Text0"/>
              </w:rPr>
              <w:t>,</w:t>
            </w:r>
            <w:r>
              <w:t xml:space="preserve"> </w:t>
            </w:r>
            <w:r>
              <w:rPr>
                <w:rStyle w:val="Text3"/>
              </w:rPr>
              <w:t>se</w:t>
            </w:r>
            <w:r>
              <w:rPr>
                <w:rStyle w:val="Text0"/>
              </w:rPr>
              <w:t>)</w:t>
              <w:br w:clear="none"/>
            </w:r>
            <w:r>
              <w:t xml:space="preserve"> Adds subelement </w:t>
            </w:r>
            <w:r>
              <w:rPr>
                <w:rStyle w:val="Text3"/>
              </w:rPr>
              <w:t>se</w:t>
            </w:r>
            <w:r>
              <w:t xml:space="preserve"> (which must be an </w:t>
            </w:r>
            <w:r>
              <w:rPr>
                <w:rStyle w:val="Text0"/>
              </w:rPr>
              <w:t>Element</w:t>
            </w:r>
            <w:r>
              <w:t xml:space="preserve">) at index </w:t>
            </w:r>
            <w:r>
              <w:rPr>
                <w:rStyle w:val="Text3"/>
              </w:rPr>
              <w:t>index</w:t>
            </w:r>
            <w:r>
              <w:t xml:space="preserve"> within the sequence of </w:t>
            </w:r>
            <w:r>
              <w:rPr>
                <w:rStyle w:val="Text3"/>
              </w:rPr>
              <w:t>e</w:t>
            </w:r>
            <w:r>
              <w:t>’s children.</w:t>
            </w:r>
          </w:p>
        </w:tc>
      </w:tr>
    </w:tbl>
    <w:tbl>
      <w:tblPr>
        <w:tblW w:type="auto" w:w="0"/>
      </w:tblPr>
      <w:tr>
        <w:tc>
          <w:tcPr>
            <w:tcW w:type="auto" w:w="0"/>
            <w:tcMar>
              <w:left w:type="dxa" w:w="200"/>
              <w:top w:type="dxa" w:w="200"/>
              <w:right w:type="dxa" w:w="200"/>
              <w:bottom w:type="dxa" w:w="200"/>
            </w:tcMar>
          </w:tcPr>
          <w:p>
            <w:pPr>
              <w:pStyle w:val="Para 001"/>
            </w:pPr>
            <w:r>
              <w:t>iter</w:t>
            </w:r>
          </w:p>
        </w:tc>
        <w:tc>
          <w:tcPr>
            <w:tcW w:type="auto" w:w="0"/>
            <w:tcMar>
              <w:left w:type="dxa" w:w="200"/>
              <w:top w:type="dxa" w:w="200"/>
              <w:right w:type="dxa" w:w="200"/>
              <w:bottom w:type="dxa" w:w="200"/>
            </w:tcMar>
          </w:tcPr>
          <w:p>
            <w:pPr>
              <w:pStyle w:val="Para 002"/>
            </w:pPr>
            <w:r>
              <w:rPr>
                <w:rStyle w:val="Text3"/>
              </w:rPr>
              <w:t>e</w:t>
            </w:r>
            <w:r>
              <w:rPr>
                <w:rStyle w:val="Text0"/>
              </w:rPr>
              <w:t>.iter(</w:t>
            </w:r>
            <w:r>
              <w:rPr>
                <w:rStyle w:val="Text3"/>
              </w:rPr>
              <w:t>tag</w:t>
            </w:r>
            <w:r>
              <w:rPr>
                <w:rStyle w:val="Text0"/>
              </w:rPr>
              <w:t>='*')</w:t>
              <w:br w:clear="none"/>
            </w:r>
            <w:r>
              <w:t xml:space="preserve"> Returns an iterator walking in depth-first order over all of </w:t>
            </w:r>
            <w:r>
              <w:rPr>
                <w:rStyle w:val="Text3"/>
              </w:rPr>
              <w:t>e</w:t>
            </w:r>
            <w:r>
              <w:t xml:space="preserve">’s descendants. When </w:t>
            </w:r>
            <w:r>
              <w:rPr>
                <w:rStyle w:val="Text3"/>
              </w:rPr>
              <w:t>tag</w:t>
            </w:r>
            <w:r>
              <w:t xml:space="preserve"> is not </w:t>
            </w:r>
            <w:r>
              <w:rPr>
                <w:rStyle w:val="Text0"/>
              </w:rPr>
              <w:t>'*'</w:t>
            </w:r>
            <w:r>
              <w:t xml:space="preserve">, only yields subelements whose </w:t>
            </w:r>
            <w:r>
              <w:rPr>
                <w:rStyle w:val="Text0"/>
              </w:rPr>
              <w:t>tag</w:t>
            </w:r>
            <w:r>
              <w:t xml:space="preserve"> equals </w:t>
            </w:r>
            <w:r>
              <w:rPr>
                <w:rStyle w:val="Text3"/>
              </w:rPr>
              <w:t>tag.</w:t>
            </w:r>
            <w:r>
              <w:t xml:space="preserve"> Don’t modify the subtree rooted at </w:t>
            </w:r>
            <w:r>
              <w:rPr>
                <w:rStyle w:val="Text3"/>
              </w:rPr>
              <w:t>e</w:t>
            </w:r>
            <w:r>
              <w:t xml:space="preserve"> while you’re looping on </w:t>
            </w:r>
            <w:r>
              <w:rPr>
                <w:rStyle w:val="Text3"/>
              </w:rPr>
              <w:t>e</w:t>
            </w:r>
            <w:r>
              <w:rPr>
                <w:rStyle w:val="Text0"/>
              </w:rPr>
              <w:t>.iter</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iterfind</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.iterfind(</w:t>
            </w:r>
            <w:r>
              <w:rPr>
                <w:rStyle w:val="Text3"/>
              </w:rPr>
              <w:t>match</w:t>
            </w:r>
            <w:r>
              <w:rPr>
                <w:rStyle w:val="Text0"/>
              </w:rPr>
              <w:t>, namespaces=</w:t>
            </w:r>
            <w:r>
              <w:rPr>
                <w:rStyle w:val="Text5"/>
              </w:rPr>
              <w:t>None</w:t>
            </w:r>
            <w:r>
              <w:rPr>
                <w:rStyle w:val="Text0"/>
              </w:rPr>
              <w:t>)</w:t>
              <w:br w:clear="none"/>
            </w:r>
            <w:r>
              <w:t xml:space="preserve"> Returns an iterator over all descendants, in depth-first order, matching </w:t>
            </w:r>
            <w:r>
              <w:rPr>
                <w:rStyle w:val="Text3"/>
              </w:rPr>
              <w:t>match</w:t>
            </w:r>
            <w:r>
              <w:t xml:space="preserve">, which may be a tag name or an XPath expression within the subset supported by the current implementation of </w:t>
            </w:r>
            <w:r>
              <w:rPr>
                <w:rStyle w:val="Text0"/>
              </w:rPr>
              <w:t>ElementTree</w:t>
            </w:r>
            <w:r>
              <w:t xml:space="preserve">. The resulting iterator is empty when no descendants match </w:t>
            </w:r>
            <w:r>
              <w:rPr>
                <w:rStyle w:val="Text3"/>
              </w:rPr>
              <w:t>match</w:t>
            </w:r>
            <w:r>
              <w:t>.</w:t>
            </w:r>
          </w:p>
        </w:tc>
      </w:tr>
    </w:tbl>
    <w:tbl>
      <w:tblPr>
        <w:tblW w:type="auto" w:w="0"/>
      </w:tblPr>
      <w:tr>
        <w:tc>
          <w:tcPr>
            <w:tcW w:type="auto" w:w="0"/>
            <w:tcMar>
              <w:left w:type="dxa" w:w="200"/>
              <w:top w:type="dxa" w:w="200"/>
              <w:right w:type="dxa" w:w="200"/>
              <w:bottom w:type="dxa" w:w="200"/>
            </w:tcMar>
          </w:tcPr>
          <w:p>
            <w:pPr>
              <w:pStyle w:val="Para 001"/>
            </w:pPr>
            <w:r>
              <w:t>itertext</w:t>
            </w:r>
          </w:p>
        </w:tc>
        <w:tc>
          <w:tcPr>
            <w:tcW w:type="auto" w:w="0"/>
            <w:tcMar>
              <w:left w:type="dxa" w:w="200"/>
              <w:top w:type="dxa" w:w="200"/>
              <w:right w:type="dxa" w:w="200"/>
              <w:bottom w:type="dxa" w:w="200"/>
            </w:tcMar>
          </w:tcPr>
          <w:p>
            <w:pPr>
              <w:pStyle w:val="Para 002"/>
            </w:pPr>
            <w:r>
              <w:rPr>
                <w:rStyle w:val="Text3"/>
              </w:rPr>
              <w:t>e</w:t>
            </w:r>
            <w:r>
              <w:rPr>
                <w:rStyle w:val="Text0"/>
              </w:rPr>
              <w:t>.itertext(</w:t>
            </w:r>
            <w:r>
              <w:rPr>
                <w:rStyle w:val="Text3"/>
              </w:rPr>
              <w:t>match</w:t>
            </w:r>
            <w:r>
              <w:rPr>
                <w:rStyle w:val="Text0"/>
              </w:rPr>
              <w:t>, namespaces=</w:t>
            </w:r>
            <w:r>
              <w:rPr>
                <w:rStyle w:val="Text5"/>
              </w:rPr>
              <w:t>None</w:t>
            </w:r>
            <w:r>
              <w:rPr>
                <w:rStyle w:val="Text0"/>
              </w:rPr>
              <w:t>)</w:t>
              <w:br w:clear="none"/>
            </w:r>
            <w:r>
              <w:t xml:space="preserve"> Returns an iterator over the </w:t>
            </w:r>
            <w:r>
              <w:rPr>
                <w:rStyle w:val="Text0"/>
              </w:rPr>
              <w:t>text</w:t>
            </w:r>
            <w:r>
              <w:t xml:space="preserve"> (not the </w:t>
            </w:r>
            <w:r>
              <w:rPr>
                <w:rStyle w:val="Text0"/>
              </w:rPr>
              <w:t>tail</w:t>
            </w:r>
            <w:r>
              <w:t xml:space="preserve">) attribute of all descendants, in depth-first order, matching </w:t>
            </w:r>
            <w:r>
              <w:rPr>
                <w:rStyle w:val="Text3"/>
              </w:rPr>
              <w:t>match</w:t>
            </w:r>
            <w:r>
              <w:t xml:space="preserve">, which may be a tag name or an XPath expression within the subset supported by the current implementation of </w:t>
            </w:r>
            <w:r>
              <w:rPr>
                <w:rStyle w:val="Text0"/>
              </w:rPr>
              <w:t>ElementTree</w:t>
            </w:r>
            <w:r>
              <w:t xml:space="preserve">. The resulting iterator is empty when no descendants match </w:t>
            </w:r>
            <w:r>
              <w:rPr>
                <w:rStyle w:val="Text3"/>
              </w:rPr>
              <w:t>match</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remove</w:t>
            </w:r>
          </w:p>
        </w:tc>
        <w:tc>
          <w:tcPr>
            <w:tcW w:type="auto" w:w="0"/>
            <w:shd w:val="clear" w:color="auto" w:fill="EEF2F6"/>
            <w:tcMar>
              <w:left w:type="dxa" w:w="200"/>
              <w:top w:type="dxa" w:w="200"/>
              <w:right w:type="dxa" w:w="200"/>
              <w:bottom w:type="dxa" w:w="200"/>
            </w:tcMar>
          </w:tcPr>
          <w:p>
            <w:pPr>
              <w:pStyle w:val="Para 002"/>
            </w:pPr>
            <w:r>
              <w:rPr>
                <w:rStyle w:val="Text3"/>
              </w:rPr>
              <w:t>e</w:t>
            </w:r>
            <w:r>
              <w:rPr>
                <w:rStyle w:val="Text0"/>
              </w:rPr>
              <w:t>.remove(</w:t>
            </w:r>
            <w:r>
              <w:rPr>
                <w:rStyle w:val="Text3"/>
              </w:rPr>
              <w:t>se</w:t>
            </w:r>
            <w:r>
              <w:rPr>
                <w:rStyle w:val="Text0"/>
              </w:rPr>
              <w:t>)</w:t>
              <w:br w:clear="none"/>
            </w:r>
            <w:r>
              <w:t xml:space="preserve"> Removes the descendant that </w:t>
            </w:r>
            <w:r>
              <w:rPr>
                <w:rStyle w:val="Text5"/>
              </w:rPr>
              <w:t>is</w:t>
            </w:r>
            <w:r>
              <w:t xml:space="preserve"> element </w:t>
            </w:r>
            <w:r>
              <w:rPr>
                <w:rStyle w:val="Text3"/>
              </w:rPr>
              <w:t>se</w:t>
            </w:r>
            <w:r>
              <w:t xml:space="preserve"> (as covered in </w:t>
            </w:r>
            <w:hyperlink w:anchor="Table_3_4__Operator_precedence_i">
              <w:r>
                <w:rPr>
                  <w:rStyle w:val="Text1"/>
                </w:rPr>
                <w:t>Table 3-4</w:t>
              </w:r>
            </w:hyperlink>
            <w:r>
              <w:t>).</w:t>
            </w:r>
            <w:r>
              <w:rPr>
                <w:rStyle w:val="Text111"/>
              </w:rPr>
              <w:bookmarkStart w:id="4394" w:name="idm45965168855472"/>
              <w:t/>
              <w:bookmarkEnd w:id="4394"/>
            </w:r>
          </w:p>
        </w:tc>
      </w:tr>
    </w:tbl>
    <w:p>
      <w:bookmarkStart w:id="4395" w:name="The_ElementTree_Class__The_Eleme"/>
      <w:pPr>
        <w:keepNext/>
        <w:pStyle w:val="Heading 2"/>
      </w:pPr>
      <w:r>
        <w:t>The ElementTree Class</w:t>
      </w:r>
      <w:bookmarkEnd w:id="4395"/>
    </w:p>
    <w:p>
      <w:pPr>
        <w:pStyle w:val="Normal"/>
      </w:pPr>
      <w:r>
        <w:t>The</w:t>
      </w:r>
      <w:r>
        <w:rPr>
          <w:rStyle w:val="Text111"/>
        </w:rPr>
        <w:bookmarkStart w:id="4396" w:name="idm45965168852224"/>
        <w:t/>
        <w:bookmarkEnd w:id="4396"/>
      </w:r>
      <w:r>
        <w:t xml:space="preserve"> </w:t>
      </w:r>
      <w:r>
        <w:rPr>
          <w:rStyle w:val="Text0"/>
        </w:rPr>
        <w:t>ElementTree</w:t>
      </w:r>
      <w:r>
        <w:t xml:space="preserve"> class represents a tree that maps an XML document. The core added value of an instance </w:t>
      </w:r>
      <w:r>
        <w:rPr>
          <w:rStyle w:val="Text3"/>
        </w:rPr>
        <w:t>et</w:t>
      </w:r>
      <w:r>
        <w:t xml:space="preserve"> of </w:t>
      </w:r>
      <w:r>
        <w:rPr>
          <w:rStyle w:val="Text0"/>
        </w:rPr>
        <w:t>ElementTree</w:t>
      </w:r>
      <w:r>
        <w:t xml:space="preserve"> is to have methods for wholesale parsing (input) and writing (output) of a whole tree. These methods are described in </w:t>
      </w:r>
      <w:hyperlink w:anchor="Table_23_4__ElementTree_instance">
        <w:r>
          <w:rPr>
            <w:rStyle w:val="Text1"/>
          </w:rPr>
          <w:t>Table 23-4</w:t>
        </w:r>
      </w:hyperlink>
      <w:r>
        <w:t>.</w:t>
      </w:r>
    </w:p>
    <w:tbl>
      <w:tblPr>
        <w:tblW w:type="auto" w:w="0"/>
      </w:tblPr>
      <w:tr>
        <w:tc>
          <w:tcPr>
            <w:tcW w:type="auto" w:w="0"/>
            <w:tcMar>
              <w:left w:type="dxa" w:w="200"/>
              <w:top w:type="dxa" w:w="200"/>
              <w:right w:type="dxa" w:w="200"/>
              <w:bottom w:type="dxa" w:w="200"/>
            </w:tcMar>
          </w:tcPr>
          <w:p>
            <w:bookmarkStart w:id="4397" w:name="Table_23_4__ElementTree_instance"/>
            <w:pPr>
              <w:pStyle w:val="Para 011"/>
            </w:pPr>
            <w:r>
              <w:rPr>
                <w:rStyle w:val="Text117"/>
              </w:rPr>
              <w:t/>
            </w:r>
            <w:r>
              <w:t xml:space="preserve">Table 23-4. </w:t>
            </w:r>
            <w:r>
              <w:rPr>
                <w:rStyle w:val="Text0"/>
              </w:rPr>
              <w:t>ElementTree</w:t>
            </w:r>
            <w:r>
              <w:t xml:space="preserve"> instance parsing and writing methods</w:t>
            </w:r>
            <w:bookmarkEnd w:id="4397"/>
          </w:p>
          <w:p>
            <w:pPr>
              <w:pStyle w:val="Para 001"/>
            </w:pPr>
            <w:r>
              <w:t>parse</w:t>
            </w:r>
          </w:p>
        </w:tc>
        <w:tc>
          <w:tcPr>
            <w:tcW w:type="auto" w:w="0"/>
            <w:tcMar>
              <w:left w:type="dxa" w:w="200"/>
              <w:top w:type="dxa" w:w="200"/>
              <w:right w:type="dxa" w:w="200"/>
              <w:bottom w:type="dxa" w:w="200"/>
            </w:tcMar>
          </w:tcPr>
          <w:p>
            <w:pPr>
              <w:pStyle w:val="Para 002"/>
            </w:pPr>
            <w:r>
              <w:rPr>
                <w:rStyle w:val="Text3"/>
              </w:rPr>
              <w:t>et</w:t>
            </w:r>
            <w:r>
              <w:rPr>
                <w:rStyle w:val="Text0"/>
              </w:rPr>
              <w:t>.parse(</w:t>
            </w:r>
            <w:r>
              <w:rPr>
                <w:rStyle w:val="Text3"/>
              </w:rPr>
              <w:t>source</w:t>
            </w:r>
            <w:r>
              <w:rPr>
                <w:rStyle w:val="Text0"/>
              </w:rPr>
              <w:t>, parser=</w:t>
            </w:r>
            <w:r>
              <w:rPr>
                <w:rStyle w:val="Text5"/>
              </w:rPr>
              <w:t>None</w:t>
            </w:r>
            <w:r>
              <w:rPr>
                <w:rStyle w:val="Text0"/>
              </w:rPr>
              <w:t>)</w:t>
              <w:br w:clear="none"/>
            </w:r>
            <w:r>
              <w:t xml:space="preserve"> </w:t>
            </w:r>
            <w:r>
              <w:rPr>
                <w:rStyle w:val="Text3"/>
              </w:rPr>
              <w:t>source</w:t>
            </w:r>
            <w:r>
              <w:t xml:space="preserve"> can be a file open for reading, or the name of a file to open and read (to parse a string, wrap it in </w:t>
            </w:r>
            <w:r>
              <w:rPr>
                <w:rStyle w:val="Text0"/>
              </w:rPr>
              <w:t>io.StringIO</w:t>
            </w:r>
            <w:r>
              <w:t xml:space="preserve">, covered in </w:t>
            </w:r>
            <w:hyperlink w:anchor="In_Memory_Files__io_StringIO_and">
              <w:r>
                <w:rPr>
                  <w:rStyle w:val="Text1"/>
                </w:rPr>
                <w:t>“In-Memory Files: io.StringIO and io.BytesIO”</w:t>
              </w:r>
            </w:hyperlink>
            <w:r>
              <w:t xml:space="preserve">), containing XML text. </w:t>
            </w:r>
            <w:r>
              <w:rPr>
                <w:rStyle w:val="Text3"/>
              </w:rPr>
              <w:t>et</w:t>
            </w:r>
            <w:r>
              <w:rPr>
                <w:rStyle w:val="Text0"/>
              </w:rPr>
              <w:t>.parse</w:t>
            </w:r>
            <w:r>
              <w:t xml:space="preserve"> parses that text, builds its tree of </w:t>
            </w:r>
            <w:r>
              <w:rPr>
                <w:rStyle w:val="Text0"/>
              </w:rPr>
              <w:t>Element</w:t>
            </w:r>
            <w:r>
              <w:t xml:space="preserve">s as the new content of </w:t>
            </w:r>
            <w:r>
              <w:rPr>
                <w:rStyle w:val="Text3"/>
              </w:rPr>
              <w:t>et</w:t>
            </w:r>
            <w:r>
              <w:t xml:space="preserve"> (discarding the previous content of </w:t>
            </w:r>
            <w:r>
              <w:rPr>
                <w:rStyle w:val="Text3"/>
              </w:rPr>
              <w:t>et</w:t>
            </w:r>
            <w:r>
              <w:t xml:space="preserve">, if any), and returns the root element of the tree. </w:t>
            </w:r>
            <w:r>
              <w:rPr>
                <w:rStyle w:val="Text0"/>
              </w:rPr>
              <w:t>parser</w:t>
            </w:r>
            <w:r>
              <w:t xml:space="preserve"> is an optional parser instance; by default, </w:t>
            </w:r>
            <w:r>
              <w:rPr>
                <w:rStyle w:val="Text3"/>
              </w:rPr>
              <w:t>et</w:t>
            </w:r>
            <w:r>
              <w:rPr>
                <w:rStyle w:val="Text0"/>
              </w:rPr>
              <w:t>.parse</w:t>
            </w:r>
            <w:r>
              <w:t xml:space="preserve"> uses an instance of class </w:t>
            </w:r>
            <w:r>
              <w:rPr>
                <w:rStyle w:val="Text0"/>
              </w:rPr>
              <w:t>XMLParser</w:t>
            </w:r>
            <w:r>
              <w:t xml:space="preserve"> supplied by the </w:t>
            </w:r>
            <w:r>
              <w:rPr>
                <w:rStyle w:val="Text0"/>
              </w:rPr>
              <w:t>ElementTree</w:t>
            </w:r>
            <w:r>
              <w:t xml:space="preserve"> module (this book does not cover </w:t>
            </w:r>
            <w:r>
              <w:rPr>
                <w:rStyle w:val="Text0"/>
              </w:rPr>
              <w:t>XMLParser</w:t>
            </w:r>
            <w:r>
              <w:t xml:space="preserve">; see the </w:t>
            </w:r>
            <w:hyperlink r:id="rId653">
              <w:r>
                <w:rPr>
                  <w:rStyle w:val="Text1"/>
                </w:rPr>
                <w:t>online docs</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write</w:t>
            </w:r>
          </w:p>
        </w:tc>
        <w:tc>
          <w:tcPr>
            <w:tcW w:type="auto" w:w="0"/>
            <w:shd w:val="clear" w:color="auto" w:fill="EEF2F6"/>
            <w:tcMar>
              <w:left w:type="dxa" w:w="200"/>
              <w:top w:type="dxa" w:w="200"/>
              <w:right w:type="dxa" w:w="200"/>
              <w:bottom w:type="dxa" w:w="200"/>
            </w:tcMar>
          </w:tcPr>
          <w:p>
            <w:pPr>
              <w:pStyle w:val="Para 002"/>
            </w:pPr>
            <w:r>
              <w:rPr>
                <w:rStyle w:val="Text3"/>
              </w:rPr>
              <w:t>et</w:t>
            </w:r>
            <w:r>
              <w:rPr>
                <w:rStyle w:val="Text0"/>
              </w:rPr>
              <w:t>.write(</w:t>
            </w:r>
            <w:r>
              <w:rPr>
                <w:rStyle w:val="Text3"/>
              </w:rPr>
              <w:t>file</w:t>
            </w:r>
            <w:r>
              <w:rPr>
                <w:rStyle w:val="Text0"/>
              </w:rPr>
              <w:t>, encoding='us-ascii', xml_declaration=</w:t>
            </w:r>
            <w:r>
              <w:rPr>
                <w:rStyle w:val="Text5"/>
              </w:rPr>
              <w:t>None</w:t>
            </w:r>
            <w:r>
              <w:rPr>
                <w:rStyle w:val="Text0"/>
              </w:rPr>
              <w:t>, default_namespace=</w:t>
            </w:r>
            <w:r>
              <w:rPr>
                <w:rStyle w:val="Text5"/>
              </w:rPr>
              <w:t>None</w:t>
            </w:r>
            <w:r>
              <w:rPr>
                <w:rStyle w:val="Text0"/>
              </w:rPr>
              <w:t>, method='xml', short_empty_elements=True)</w:t>
              <w:br w:clear="none"/>
            </w:r>
            <w:r>
              <w:t xml:space="preserve"> </w:t>
            </w:r>
            <w:r>
              <w:rPr>
                <w:rStyle w:val="Text3"/>
              </w:rPr>
              <w:t>file</w:t>
            </w:r>
            <w:r>
              <w:t xml:space="preserve"> can be a file open for writing, or the name of a file to open and write (to write into a string, pass as </w:t>
            </w:r>
            <w:r>
              <w:rPr>
                <w:rStyle w:val="Text3"/>
              </w:rPr>
              <w:t>file</w:t>
            </w:r>
            <w:r>
              <w:t xml:space="preserve"> an instance of </w:t>
            </w:r>
            <w:r>
              <w:rPr>
                <w:rStyle w:val="Text0"/>
              </w:rPr>
              <w:t>io.StringIO</w:t>
            </w:r>
            <w:r>
              <w:t xml:space="preserve">, covered in </w:t>
            </w:r>
            <w:hyperlink w:anchor="In_Memory_Files__io_StringIO_and">
              <w:r>
                <w:rPr>
                  <w:rStyle w:val="Text1"/>
                </w:rPr>
                <w:t>“In-Memory Files: io.StringIO and io.BytesIO”</w:t>
              </w:r>
            </w:hyperlink>
            <w:r>
              <w:t xml:space="preserve">). </w:t>
            </w:r>
            <w:r>
              <w:rPr>
                <w:rStyle w:val="Text3"/>
              </w:rPr>
              <w:t>et</w:t>
            </w:r>
            <w:r>
              <w:rPr>
                <w:rStyle w:val="Text0"/>
              </w:rPr>
              <w:t>.write</w:t>
            </w:r>
            <w:r>
              <w:t xml:space="preserve"> writes into that file the text representing the XML document for the tree that is the content of </w:t>
            </w:r>
            <w:r>
              <w:rPr>
                <w:rStyle w:val="Text3"/>
              </w:rPr>
              <w:t>et</w:t>
            </w:r>
            <w:r>
              <w:t>.</w:t>
            </w:r>
          </w:p>
        </w:tc>
      </w:tr>
    </w:tbl>
    <w:tbl>
      <w:tblPr>
        <w:tblW w:type="auto" w:w="0"/>
      </w:tblPr>
      <w:tr>
        <w:tc>
          <w:tcPr>
            <w:tcW w:type="auto" w:w="0"/>
            <w:tcMar>
              <w:left w:type="dxa" w:w="200"/>
              <w:top w:type="dxa" w:w="200"/>
              <w:right w:type="dxa" w:w="200"/>
              <w:bottom w:type="dxa" w:w="200"/>
            </w:tcMar>
          </w:tcPr>
          <w:p>
            <w:pPr>
              <w:pStyle w:val="Para 052"/>
            </w:pPr>
            <w:r>
              <w:rPr>
                <w:rStyle w:val="Text50"/>
              </w:rPr>
              <w:t>write</w:t>
              <w:br w:clear="none"/>
            </w:r>
            <w:r>
              <w:rPr>
                <w:rStyle w:val="Text4"/>
              </w:rPr>
              <w:t xml:space="preserve"> </w:t>
            </w:r>
            <w:r>
              <w:t>(cont.)</w:t>
            </w:r>
          </w:p>
        </w:tc>
        <w:tc>
          <w:tcPr>
            <w:tcW w:type="auto" w:w="0"/>
            <w:tcMar>
              <w:left w:type="dxa" w:w="200"/>
              <w:top w:type="dxa" w:w="200"/>
              <w:right w:type="dxa" w:w="200"/>
              <w:bottom w:type="dxa" w:w="200"/>
            </w:tcMar>
          </w:tcPr>
          <w:p>
            <w:pPr>
              <w:pStyle w:val="Para 002"/>
            </w:pPr>
            <w:r>
              <w:rPr>
                <w:rStyle w:val="Text3"/>
              </w:rPr>
              <w:t>encoding</w:t>
            </w:r>
            <w:r>
              <w:t xml:space="preserve"> should be spelled according to the </w:t>
            </w:r>
            <w:hyperlink r:id="rId654">
              <w:r>
                <w:rPr>
                  <w:rStyle w:val="Text1"/>
                </w:rPr>
                <w:t>standard</w:t>
              </w:r>
            </w:hyperlink>
            <w:r>
              <w:t xml:space="preserve">, not by using common “nicknames”—for example, </w:t>
            </w:r>
            <w:r>
              <w:rPr>
                <w:rStyle w:val="Text0"/>
              </w:rPr>
              <w:t>'iso-8859-1'</w:t>
            </w:r>
            <w:r>
              <w:t xml:space="preserve">, not </w:t>
            </w:r>
            <w:r>
              <w:rPr>
                <w:rStyle w:val="Text0"/>
              </w:rPr>
              <w:t>'latin-1'</w:t>
            </w:r>
            <w:r>
              <w:t xml:space="preserve">, even though Python itself accepts both spellings for this encoding, and similarly </w:t>
            </w:r>
            <w:r>
              <w:rPr>
                <w:rStyle w:val="Text0"/>
              </w:rPr>
              <w:t>'utf-8'</w:t>
            </w:r>
            <w:r>
              <w:t xml:space="preserve">, with the dash, not </w:t>
            </w:r>
            <w:r>
              <w:rPr>
                <w:rStyle w:val="Text0"/>
              </w:rPr>
              <w:t>'utf8'</w:t>
            </w:r>
            <w:r>
              <w:t xml:space="preserve">, without it. The best choice often is to pass </w:t>
            </w:r>
            <w:r>
              <w:rPr>
                <w:rStyle w:val="Text0"/>
              </w:rPr>
              <w:t>encoding</w:t>
            </w:r>
            <w:r>
              <w:t xml:space="preserve"> as </w:t>
            </w:r>
            <w:r>
              <w:rPr>
                <w:rStyle w:val="Text0"/>
              </w:rPr>
              <w:t>'unicode'</w:t>
            </w:r>
            <w:r>
              <w:t xml:space="preserve">. This outputs text (Unicode) strings, when </w:t>
            </w:r>
            <w:r>
              <w:rPr>
                <w:rStyle w:val="Text3"/>
              </w:rPr>
              <w:t>file</w:t>
            </w:r>
            <w:r>
              <w:rPr>
                <w:rStyle w:val="Text0"/>
              </w:rPr>
              <w:t>.write</w:t>
            </w:r>
            <w:r>
              <w:t xml:space="preserve"> accepts such strings; otherwise, </w:t>
            </w:r>
            <w:r>
              <w:rPr>
                <w:rStyle w:val="Text3"/>
              </w:rPr>
              <w:t>file</w:t>
            </w:r>
            <w:r>
              <w:rPr>
                <w:rStyle w:val="Text0"/>
              </w:rPr>
              <w:t>.write</w:t>
            </w:r>
            <w:r>
              <w:t xml:space="preserve"> must accept bytestrings, and that will be the type of strings that </w:t>
            </w:r>
            <w:r>
              <w:rPr>
                <w:rStyle w:val="Text3"/>
              </w:rPr>
              <w:t>et</w:t>
            </w:r>
            <w:r>
              <w:rPr>
                <w:rStyle w:val="Text0"/>
              </w:rPr>
              <w:t>.write</w:t>
            </w:r>
            <w:r>
              <w:t xml:space="preserve"> outputs, using XML character references for characters not in the encoding—for example, with the default US-ASCII encoding, “e with an acute accent,” </w:t>
            </w:r>
            <w:r>
              <w:rPr>
                <w:rStyle w:val="Text0"/>
              </w:rPr>
              <w:t>é</w:t>
            </w:r>
            <w:r>
              <w:t xml:space="preserve">, is output as </w:t>
            </w:r>
            <w:r>
              <w:rPr>
                <w:rStyle w:val="Text0"/>
              </w:rPr>
              <w:t>&amp;#233;</w:t>
            </w:r>
            <w:r>
              <w:t>.</w:t>
              <w:br w:clear="none"/>
              <w:t xml:space="preserve"> You can pass </w:t>
            </w:r>
            <w:r>
              <w:rPr>
                <w:rStyle w:val="Text0"/>
              </w:rPr>
              <w:t>xml_declaration</w:t>
            </w:r>
            <w:r>
              <w:t xml:space="preserve"> as </w:t>
            </w:r>
            <w:r>
              <w:rPr>
                <w:rStyle w:val="Text5"/>
              </w:rPr>
              <w:t>False</w:t>
            </w:r>
            <w:r>
              <w:t xml:space="preserve"> to not have the declaration in the resulting text, or as </w:t>
            </w:r>
            <w:r>
              <w:rPr>
                <w:rStyle w:val="Text5"/>
              </w:rPr>
              <w:t>True</w:t>
            </w:r>
            <w:r>
              <w:t xml:space="preserve"> to have it; the default is to have the declaration in the result only when </w:t>
            </w:r>
            <w:r>
              <w:rPr>
                <w:rStyle w:val="Text0"/>
              </w:rPr>
              <w:t>encoding</w:t>
            </w:r>
            <w:r>
              <w:t xml:space="preserve"> is not one of </w:t>
            </w:r>
            <w:r>
              <w:rPr>
                <w:rStyle w:val="Text0"/>
              </w:rPr>
              <w:t>'us-ascii'</w:t>
            </w:r>
            <w:r>
              <w:t xml:space="preserve">, </w:t>
            </w:r>
            <w:r>
              <w:rPr>
                <w:rStyle w:val="Text0"/>
              </w:rPr>
              <w:t>'utf-8'</w:t>
            </w:r>
            <w:r>
              <w:t xml:space="preserve">, or </w:t>
            </w:r>
            <w:r>
              <w:rPr>
                <w:rStyle w:val="Text0"/>
              </w:rPr>
              <w:t>'unicode'</w:t>
            </w:r>
            <w:r>
              <w:t>.</w:t>
              <w:br w:clear="none"/>
              <w:t xml:space="preserve"> You can optionally pass </w:t>
            </w:r>
            <w:r>
              <w:rPr>
                <w:rStyle w:val="Text0"/>
              </w:rPr>
              <w:t>default_namespace</w:t>
            </w:r>
            <w:r>
              <w:t xml:space="preserve"> to set the default namespace for </w:t>
            </w:r>
            <w:r>
              <w:rPr>
                <w:rStyle w:val="Text0"/>
              </w:rPr>
              <w:t>xmlns</w:t>
            </w:r>
            <w:r>
              <w:t xml:space="preserve"> constructs.</w:t>
              <w:br w:clear="none"/>
              <w:t xml:space="preserve"> You can pass </w:t>
            </w:r>
            <w:r>
              <w:rPr>
                <w:rStyle w:val="Text0"/>
              </w:rPr>
              <w:t>method</w:t>
            </w:r>
            <w:r>
              <w:t xml:space="preserve"> as </w:t>
            </w:r>
            <w:r>
              <w:rPr>
                <w:rStyle w:val="Text0"/>
              </w:rPr>
              <w:t>'text'</w:t>
            </w:r>
            <w:r>
              <w:t xml:space="preserve"> to output only the </w:t>
            </w:r>
            <w:r>
              <w:rPr>
                <w:rStyle w:val="Text0"/>
              </w:rPr>
              <w:t>text</w:t>
            </w:r>
            <w:r>
              <w:t xml:space="preserve"> and </w:t>
            </w:r>
            <w:r>
              <w:rPr>
                <w:rStyle w:val="Text0"/>
              </w:rPr>
              <w:t>tail</w:t>
            </w:r>
            <w:r>
              <w:t xml:space="preserve"> of each node (no tags). You can pass </w:t>
            </w:r>
            <w:r>
              <w:rPr>
                <w:rStyle w:val="Text0"/>
              </w:rPr>
              <w:t>method</w:t>
            </w:r>
            <w:r>
              <w:t xml:space="preserve"> as </w:t>
            </w:r>
            <w:r>
              <w:rPr>
                <w:rStyle w:val="Text0"/>
              </w:rPr>
              <w:t>'html'</w:t>
            </w:r>
            <w:r>
              <w:t xml:space="preserve"> to output the document in HTML format (which, for example, omits end tags not needed in HTML, such as </w:t>
            </w:r>
            <w:r>
              <w:rPr>
                <w:rStyle w:val="Text0"/>
              </w:rPr>
              <w:t>&lt;/br&gt;</w:t>
            </w:r>
            <w:r>
              <w:t xml:space="preserve">). The default is </w:t>
            </w:r>
            <w:r>
              <w:rPr>
                <w:rStyle w:val="Text0"/>
              </w:rPr>
              <w:t>'xml'</w:t>
            </w:r>
            <w:r>
              <w:t>, to output in XML format.</w:t>
              <w:br w:clear="none"/>
              <w:t xml:space="preserve"> You can optionally (only by name, not positionally) pass </w:t>
            </w:r>
            <w:r>
              <w:rPr>
                <w:rStyle w:val="Text0"/>
              </w:rPr>
              <w:t>short_empty_elements</w:t>
            </w:r>
            <w:r>
              <w:t xml:space="preserve"> as </w:t>
            </w:r>
            <w:r>
              <w:rPr>
                <w:rStyle w:val="Text5"/>
              </w:rPr>
              <w:t>False</w:t>
            </w:r>
            <w:r>
              <w:t xml:space="preserve"> to always use explicit start and end tags, even for elements that have no text or subelements; the default is to use the XML short form for such empty elements. For example, an empty element with tag </w:t>
            </w:r>
            <w:r>
              <w:rPr>
                <w:rStyle w:val="Text0"/>
              </w:rPr>
              <w:t>a</w:t>
            </w:r>
            <w:r>
              <w:t xml:space="preserve"> is output as </w:t>
            </w:r>
            <w:r>
              <w:rPr>
                <w:rStyle w:val="Text0"/>
              </w:rPr>
              <w:t>&lt;a/&gt;</w:t>
            </w:r>
            <w:r>
              <w:t xml:space="preserve"> by default, or as </w:t>
            </w:r>
            <w:r>
              <w:rPr>
                <w:rStyle w:val="Text0"/>
              </w:rPr>
              <w:t>&lt;a&gt;&lt;/a&gt;</w:t>
            </w:r>
            <w:r>
              <w:t xml:space="preserve"> if you pass </w:t>
            </w:r>
            <w:r>
              <w:rPr>
                <w:rStyle w:val="Text0"/>
              </w:rPr>
              <w:t>short_empty_elements</w:t>
            </w:r>
            <w:r>
              <w:t xml:space="preserve"> as </w:t>
            </w:r>
            <w:r>
              <w:rPr>
                <w:rStyle w:val="Text5"/>
              </w:rPr>
              <w:t>False</w:t>
            </w:r>
            <w:r>
              <w:t>.</w:t>
            </w:r>
          </w:p>
        </w:tc>
      </w:tr>
    </w:tbl>
    <w:p>
      <w:pPr>
        <w:pStyle w:val="Normal"/>
      </w:pPr>
      <w:r>
        <w:t xml:space="preserve">In addition, an instance </w:t>
      </w:r>
      <w:r>
        <w:rPr>
          <w:rStyle w:val="Text3"/>
        </w:rPr>
        <w:t>et</w:t>
      </w:r>
      <w:r>
        <w:t xml:space="preserve"> of </w:t>
      </w:r>
      <w:r>
        <w:rPr>
          <w:rStyle w:val="Text0"/>
        </w:rPr>
        <w:t>ElementTree</w:t>
      </w:r>
      <w:r>
        <w:t xml:space="preserve"> supplies the method </w:t>
      </w:r>
      <w:r>
        <w:rPr>
          <w:rStyle w:val="Text0"/>
        </w:rPr>
        <w:t>getroot</w:t>
      </w:r>
      <w:r>
        <w:t xml:space="preserve"> (to return the root of the tree) and the convenience methods </w:t>
      </w:r>
      <w:r>
        <w:rPr>
          <w:rStyle w:val="Text0"/>
        </w:rPr>
        <w:t>find</w:t>
      </w:r>
      <w:r>
        <w:t xml:space="preserve">, </w:t>
      </w:r>
      <w:r>
        <w:rPr>
          <w:rStyle w:val="Text0"/>
        </w:rPr>
        <w:t>findall</w:t>
      </w:r>
      <w:r>
        <w:t xml:space="preserve">, </w:t>
      </w:r>
      <w:r>
        <w:rPr>
          <w:rStyle w:val="Text0"/>
        </w:rPr>
        <w:t>findtext</w:t>
      </w:r>
      <w:r>
        <w:t xml:space="preserve">, </w:t>
      </w:r>
      <w:r>
        <w:rPr>
          <w:rStyle w:val="Text0"/>
        </w:rPr>
        <w:t>iter</w:t>
      </w:r>
      <w:r>
        <w:t xml:space="preserve">, and </w:t>
      </w:r>
      <w:r>
        <w:rPr>
          <w:rStyle w:val="Text0"/>
        </w:rPr>
        <w:t>iterfind</w:t>
      </w:r>
      <w:r>
        <w:t xml:space="preserve">, each exactly equivalent to calling the same method on the root of the tree—that is, on the result of </w:t>
      </w:r>
      <w:r>
        <w:rPr>
          <w:rStyle w:val="Text3"/>
        </w:rPr>
        <w:t>et</w:t>
      </w:r>
      <w:r>
        <w:rPr>
          <w:rStyle w:val="Text0"/>
        </w:rPr>
        <w:t>.getroot</w:t>
      </w:r>
      <w:r>
        <w:t>.</w:t>
      </w:r>
    </w:p>
    <w:p>
      <w:bookmarkStart w:id="4398" w:name="Functions_in_the_ElementTree_Mod"/>
      <w:pPr>
        <w:keepNext/>
        <w:pStyle w:val="Heading 2"/>
      </w:pPr>
      <w:r>
        <w:t>Functions in the ElementTree Module</w:t>
      </w:r>
      <w:bookmarkEnd w:id="4398"/>
    </w:p>
    <w:p>
      <w:pPr>
        <w:pStyle w:val="Normal"/>
      </w:pPr>
      <w:r>
        <w:t>The</w:t>
      </w:r>
      <w:r>
        <w:rPr>
          <w:rStyle w:val="Text111"/>
        </w:rPr>
        <w:bookmarkStart w:id="4399" w:name="ETfunc23"/>
        <w:t/>
        <w:bookmarkEnd w:id="4399"/>
      </w:r>
      <w:r>
        <w:t xml:space="preserve"> </w:t>
      </w:r>
      <w:r>
        <w:rPr>
          <w:rStyle w:val="Text0"/>
        </w:rPr>
        <w:t>ElementTree</w:t>
      </w:r>
      <w:r>
        <w:t xml:space="preserve"> module also supplies several functions, described in </w:t>
      </w:r>
      <w:hyperlink w:anchor="Table_23_5__ElementTree_function">
        <w:r>
          <w:rPr>
            <w:rStyle w:val="Text1"/>
          </w:rPr>
          <w:t>Table 23-5</w:t>
        </w:r>
      </w:hyperlink>
      <w:r>
        <w:t>.</w:t>
      </w:r>
    </w:p>
    <w:tbl>
      <w:tblPr>
        <w:tblW w:type="auto" w:w="0"/>
      </w:tblPr>
      <w:tr>
        <w:tc>
          <w:tcPr>
            <w:tcW w:type="auto" w:w="0"/>
            <w:tcMar>
              <w:left w:type="dxa" w:w="200"/>
              <w:top w:type="dxa" w:w="200"/>
              <w:right w:type="dxa" w:w="200"/>
              <w:bottom w:type="dxa" w:w="200"/>
            </w:tcMar>
          </w:tcPr>
          <w:p>
            <w:bookmarkStart w:id="4400" w:name="Table_23_5__ElementTree_function"/>
            <w:pPr>
              <w:pStyle w:val="Para 011"/>
            </w:pPr>
            <w:r>
              <w:rPr>
                <w:rStyle w:val="Text117"/>
              </w:rPr>
              <w:t/>
            </w:r>
            <w:r>
              <w:t xml:space="preserve">Table 23-5. </w:t>
            </w:r>
            <w:r>
              <w:rPr>
                <w:rStyle w:val="Text0"/>
              </w:rPr>
              <w:t>ElementTree</w:t>
            </w:r>
            <w:r>
              <w:t xml:space="preserve"> functions</w:t>
            </w:r>
            <w:bookmarkEnd w:id="4400"/>
          </w:p>
          <w:p>
            <w:pPr>
              <w:pStyle w:val="Para 001"/>
            </w:pPr>
            <w:r>
              <w:t>Comment</w:t>
            </w:r>
          </w:p>
        </w:tc>
        <w:tc>
          <w:tcPr>
            <w:tcW w:type="auto" w:w="0"/>
            <w:tcMar>
              <w:left w:type="dxa" w:w="200"/>
              <w:top w:type="dxa" w:w="200"/>
              <w:right w:type="dxa" w:w="200"/>
              <w:bottom w:type="dxa" w:w="200"/>
            </w:tcMar>
          </w:tcPr>
          <w:p>
            <w:pPr>
              <w:pStyle w:val="Para 002"/>
            </w:pPr>
            <w:r>
              <w:rPr>
                <w:rStyle w:val="Text0"/>
              </w:rPr>
              <w:t>Comment(text=</w:t>
            </w:r>
            <w:r>
              <w:rPr>
                <w:rStyle w:val="Text5"/>
              </w:rPr>
              <w:t>None</w:t>
            </w:r>
            <w:r>
              <w:rPr>
                <w:rStyle w:val="Text0"/>
              </w:rPr>
              <w:t>)</w:t>
              <w:br w:clear="none"/>
            </w:r>
            <w:r>
              <w:t xml:space="preserve"> Returns an </w:t>
            </w:r>
            <w:r>
              <w:rPr>
                <w:rStyle w:val="Text0"/>
              </w:rPr>
              <w:t>Element</w:t>
            </w:r>
            <w:r>
              <w:t xml:space="preserve"> that, once inserted as a node in an </w:t>
            </w:r>
            <w:r>
              <w:rPr>
                <w:rStyle w:val="Text0"/>
              </w:rPr>
              <w:t>ElementTree</w:t>
            </w:r>
            <w:r>
              <w:t xml:space="preserve">, will be output as an XML comment with the given </w:t>
            </w:r>
            <w:r>
              <w:rPr>
                <w:rStyle w:val="Text0"/>
              </w:rPr>
              <w:t>text</w:t>
            </w:r>
            <w:r>
              <w:t xml:space="preserve"> string enclosed between </w:t>
            </w:r>
            <w:r>
              <w:rPr>
                <w:rStyle w:val="Text0"/>
              </w:rPr>
              <w:t>'&lt;!--'</w:t>
            </w:r>
            <w:r>
              <w:t xml:space="preserve"> and </w:t>
            </w:r>
            <w:r>
              <w:rPr>
                <w:rStyle w:val="Text0"/>
              </w:rPr>
              <w:t>'--&gt;'</w:t>
            </w:r>
            <w:r>
              <w:t xml:space="preserve">. </w:t>
            </w:r>
            <w:r>
              <w:rPr>
                <w:rStyle w:val="Text0"/>
              </w:rPr>
              <w:t>XMLParser</w:t>
            </w:r>
            <w:r>
              <w:t xml:space="preserve"> skips XML comments in any document it parses, so this function is the only way to insert comment nodes.</w:t>
            </w:r>
          </w:p>
        </w:tc>
      </w:tr>
    </w:tbl>
    <w:tbl>
      <w:tblPr>
        <w:tblW w:type="auto" w:w="0"/>
      </w:tblPr>
      <w:tr>
        <w:tc>
          <w:tcPr>
            <w:tcW w:type="auto" w:w="0"/>
            <w:shd w:val="clear" w:color="auto" w:fill="EEF2F6"/>
            <w:tcMar>
              <w:left w:type="dxa" w:w="200"/>
              <w:top w:type="dxa" w:w="200"/>
              <w:right w:type="dxa" w:w="200"/>
              <w:bottom w:type="dxa" w:w="200"/>
            </w:tcMar>
          </w:tcPr>
          <w:p>
            <w:pPr>
              <w:pStyle w:val="Para 001"/>
            </w:pPr>
            <w:r>
              <w:t>dump</w:t>
            </w:r>
          </w:p>
        </w:tc>
        <w:tc>
          <w:tcPr>
            <w:tcW w:type="auto" w:w="0"/>
            <w:shd w:val="clear" w:color="auto" w:fill="EEF2F6"/>
            <w:tcMar>
              <w:left w:type="dxa" w:w="200"/>
              <w:top w:type="dxa" w:w="200"/>
              <w:right w:type="dxa" w:w="200"/>
              <w:bottom w:type="dxa" w:w="200"/>
            </w:tcMar>
          </w:tcPr>
          <w:p>
            <w:pPr>
              <w:pStyle w:val="Para 002"/>
            </w:pPr>
            <w:r>
              <w:rPr>
                <w:rStyle w:val="Text0"/>
              </w:rPr>
              <w:t>dump(</w:t>
            </w:r>
            <w:r>
              <w:rPr>
                <w:rStyle w:val="Text3"/>
              </w:rPr>
              <w:t>e</w:t>
            </w:r>
            <w:r>
              <w:rPr>
                <w:rStyle w:val="Text0"/>
              </w:rPr>
              <w:t>)</w:t>
              <w:br w:clear="none"/>
            </w:r>
            <w:r>
              <w:t xml:space="preserve"> Writes </w:t>
            </w:r>
            <w:r>
              <w:rPr>
                <w:rStyle w:val="Text0"/>
              </w:rPr>
              <w:t>e</w:t>
            </w:r>
            <w:r>
              <w:t xml:space="preserve">, which can be an </w:t>
            </w:r>
            <w:r>
              <w:rPr>
                <w:rStyle w:val="Text0"/>
              </w:rPr>
              <w:t>Element</w:t>
            </w:r>
            <w:r>
              <w:t xml:space="preserve"> or an </w:t>
            </w:r>
            <w:r>
              <w:rPr>
                <w:rStyle w:val="Text0"/>
              </w:rPr>
              <w:t>ElementTree</w:t>
            </w:r>
            <w:r>
              <w:t xml:space="preserve">, as XML to </w:t>
            </w:r>
            <w:r>
              <w:rPr>
                <w:rStyle w:val="Text0"/>
              </w:rPr>
              <w:t>sys.stdout</w:t>
            </w:r>
            <w:r>
              <w:t>. This function is meant only for debugging purposes.</w:t>
            </w:r>
          </w:p>
        </w:tc>
      </w:tr>
    </w:tbl>
    <w:tbl>
      <w:tblPr>
        <w:tblW w:type="auto" w:w="0"/>
      </w:tblPr>
      <w:tr>
        <w:tc>
          <w:tcPr>
            <w:tcW w:type="auto" w:w="0"/>
            <w:tcMar>
              <w:left w:type="dxa" w:w="200"/>
              <w:top w:type="dxa" w:w="200"/>
              <w:right w:type="dxa" w:w="200"/>
              <w:bottom w:type="dxa" w:w="200"/>
            </w:tcMar>
          </w:tcPr>
          <w:p>
            <w:pPr>
              <w:pStyle w:val="Para 001"/>
            </w:pPr>
            <w:r>
              <w:t>fromstring</w:t>
            </w:r>
          </w:p>
        </w:tc>
        <w:tc>
          <w:tcPr>
            <w:tcW w:type="auto" w:w="0"/>
            <w:tcMar>
              <w:left w:type="dxa" w:w="200"/>
              <w:top w:type="dxa" w:w="200"/>
              <w:right w:type="dxa" w:w="200"/>
              <w:bottom w:type="dxa" w:w="200"/>
            </w:tcMar>
          </w:tcPr>
          <w:p>
            <w:pPr>
              <w:pStyle w:val="Para 002"/>
            </w:pPr>
            <w:r>
              <w:rPr>
                <w:rStyle w:val="Text0"/>
              </w:rPr>
              <w:t>fromstring(</w:t>
            </w:r>
            <w:r>
              <w:rPr>
                <w:rStyle w:val="Text3"/>
              </w:rPr>
              <w:t>text</w:t>
            </w:r>
            <w:r>
              <w:rPr>
                <w:rStyle w:val="Text0"/>
              </w:rPr>
              <w:t>, parser=</w:t>
            </w:r>
            <w:r>
              <w:rPr>
                <w:rStyle w:val="Text5"/>
              </w:rPr>
              <w:t>None</w:t>
            </w:r>
            <w:r>
              <w:rPr>
                <w:rStyle w:val="Text0"/>
              </w:rPr>
              <w:t>)</w:t>
              <w:br w:clear="none"/>
            </w:r>
            <w:r>
              <w:t xml:space="preserve"> Parses XML from the </w:t>
            </w:r>
            <w:r>
              <w:rPr>
                <w:rStyle w:val="Text3"/>
              </w:rPr>
              <w:t>text</w:t>
            </w:r>
            <w:r>
              <w:t xml:space="preserve"> string and returns an </w:t>
            </w:r>
            <w:r>
              <w:rPr>
                <w:rStyle w:val="Text0"/>
              </w:rPr>
              <w:t>Element</w:t>
            </w:r>
            <w:r>
              <w:t>, just like the XML function just covered.</w:t>
            </w:r>
          </w:p>
        </w:tc>
      </w:tr>
    </w:tbl>
    <w:tbl>
      <w:tblPr>
        <w:tblW w:type="auto" w:w="0"/>
      </w:tblPr>
      <w:tr>
        <w:tc>
          <w:tcPr>
            <w:tcW w:type="auto" w:w="0"/>
            <w:shd w:val="clear" w:color="auto" w:fill="EEF2F6"/>
            <w:tcMar>
              <w:left w:type="dxa" w:w="200"/>
              <w:top w:type="dxa" w:w="200"/>
              <w:right w:type="dxa" w:w="200"/>
              <w:bottom w:type="dxa" w:w="200"/>
            </w:tcMar>
          </w:tcPr>
          <w:p>
            <w:pPr>
              <w:pStyle w:val="Para 001"/>
            </w:pPr>
            <w:r>
              <w:t>fromstringlist</w:t>
            </w:r>
          </w:p>
        </w:tc>
        <w:tc>
          <w:tcPr>
            <w:tcW w:type="auto" w:w="0"/>
            <w:shd w:val="clear" w:color="auto" w:fill="EEF2F6"/>
            <w:tcMar>
              <w:left w:type="dxa" w:w="200"/>
              <w:top w:type="dxa" w:w="200"/>
              <w:right w:type="dxa" w:w="200"/>
              <w:bottom w:type="dxa" w:w="200"/>
            </w:tcMar>
          </w:tcPr>
          <w:p>
            <w:pPr>
              <w:pStyle w:val="Para 002"/>
            </w:pPr>
            <w:r>
              <w:rPr>
                <w:rStyle w:val="Text0"/>
              </w:rPr>
              <w:t>fromstringlist(</w:t>
            </w:r>
            <w:r>
              <w:rPr>
                <w:rStyle w:val="Text3"/>
              </w:rPr>
              <w:t>sequence</w:t>
            </w:r>
            <w:r>
              <w:rPr>
                <w:rStyle w:val="Text0"/>
              </w:rPr>
              <w:t>, parser=</w:t>
            </w:r>
            <w:r>
              <w:rPr>
                <w:rStyle w:val="Text5"/>
              </w:rPr>
              <w:t>None</w:t>
            </w:r>
            <w:r>
              <w:rPr>
                <w:rStyle w:val="Text0"/>
              </w:rPr>
              <w:t>)</w:t>
              <w:br w:clear="none"/>
            </w:r>
            <w:r>
              <w:t xml:space="preserve"> Just like </w:t>
            </w:r>
            <w:r>
              <w:rPr>
                <w:rStyle w:val="Text0"/>
              </w:rPr>
              <w:t>fromstring(''.join(</w:t>
            </w:r>
            <w:r>
              <w:rPr>
                <w:rStyle w:val="Text3"/>
              </w:rPr>
              <w:t>sequence</w:t>
            </w:r>
            <w:r>
              <w:rPr>
                <w:rStyle w:val="Text0"/>
              </w:rPr>
              <w:t>))</w:t>
            </w:r>
            <w:r>
              <w:t xml:space="preserve">, but can be a bit faster by avoiding the </w:t>
            </w:r>
            <w:r>
              <w:rPr>
                <w:rStyle w:val="Text0"/>
              </w:rPr>
              <w:t>join</w:t>
            </w:r>
            <w:r>
              <w:t>.</w:t>
            </w:r>
          </w:p>
        </w:tc>
      </w:tr>
    </w:tbl>
    <w:tbl>
      <w:tblPr>
        <w:tblW w:type="auto" w:w="0"/>
      </w:tblPr>
      <w:tr>
        <w:tc>
          <w:tcPr>
            <w:tcW w:type="auto" w:w="0"/>
            <w:tcMar>
              <w:left w:type="dxa" w:w="200"/>
              <w:top w:type="dxa" w:w="200"/>
              <w:right w:type="dxa" w:w="200"/>
              <w:bottom w:type="dxa" w:w="200"/>
            </w:tcMar>
          </w:tcPr>
          <w:p>
            <w:pPr>
              <w:pStyle w:val="Para 001"/>
            </w:pPr>
            <w:r>
              <w:t>iselement</w:t>
            </w:r>
          </w:p>
        </w:tc>
        <w:tc>
          <w:tcPr>
            <w:tcW w:type="auto" w:w="0"/>
            <w:tcMar>
              <w:left w:type="dxa" w:w="200"/>
              <w:top w:type="dxa" w:w="200"/>
              <w:right w:type="dxa" w:w="200"/>
              <w:bottom w:type="dxa" w:w="200"/>
            </w:tcMar>
          </w:tcPr>
          <w:p>
            <w:pPr>
              <w:pStyle w:val="Para 002"/>
            </w:pPr>
            <w:r>
              <w:rPr>
                <w:rStyle w:val="Text0"/>
              </w:rPr>
              <w:t>iselement(</w:t>
            </w:r>
            <w:r>
              <w:rPr>
                <w:rStyle w:val="Text3"/>
              </w:rPr>
              <w:t>e</w:t>
            </w:r>
            <w:r>
              <w:rPr>
                <w:rStyle w:val="Text0"/>
              </w:rPr>
              <w:t>)</w:t>
              <w:br w:clear="none"/>
            </w:r>
            <w:r>
              <w:t xml:space="preserve"> Returns </w:t>
            </w:r>
            <w:r>
              <w:rPr>
                <w:rStyle w:val="Text5"/>
              </w:rPr>
              <w:t>True</w:t>
            </w:r>
            <w:r>
              <w:t xml:space="preserve"> if </w:t>
            </w:r>
            <w:r>
              <w:rPr>
                <w:rStyle w:val="Text3"/>
              </w:rPr>
              <w:t>e</w:t>
            </w:r>
            <w:r>
              <w:t xml:space="preserve"> is an </w:t>
            </w:r>
            <w:r>
              <w:rPr>
                <w:rStyle w:val="Text0"/>
              </w:rPr>
              <w:t>Element</w:t>
            </w:r>
            <w:r>
              <w:t xml:space="preserve">; otherwise, returns </w:t>
            </w:r>
            <w:r>
              <w:rPr>
                <w:rStyle w:val="Text5"/>
              </w:rPr>
              <w:t>False</w:t>
            </w: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iterparse</w:t>
            </w:r>
          </w:p>
        </w:tc>
        <w:tc>
          <w:tcPr>
            <w:tcW w:type="auto" w:w="0"/>
            <w:shd w:val="clear" w:color="auto" w:fill="EEF2F6"/>
            <w:tcMar>
              <w:left w:type="dxa" w:w="200"/>
              <w:top w:type="dxa" w:w="200"/>
              <w:right w:type="dxa" w:w="200"/>
              <w:bottom w:type="dxa" w:w="200"/>
            </w:tcMar>
          </w:tcPr>
          <w:p>
            <w:pPr>
              <w:pStyle w:val="Para 002"/>
            </w:pPr>
            <w:r>
              <w:rPr>
                <w:rStyle w:val="Text0"/>
              </w:rPr>
              <w:t>iterparse(</w:t>
            </w:r>
            <w:r>
              <w:rPr>
                <w:rStyle w:val="Text3"/>
              </w:rPr>
              <w:t>source</w:t>
            </w:r>
            <w:r>
              <w:rPr>
                <w:rStyle w:val="Text0"/>
              </w:rPr>
              <w:t>, events=['end'], parser=</w:t>
            </w:r>
            <w:r>
              <w:rPr>
                <w:rStyle w:val="Text5"/>
              </w:rPr>
              <w:t>None</w:t>
            </w:r>
            <w:r>
              <w:rPr>
                <w:rStyle w:val="Text0"/>
              </w:rPr>
              <w:t>)</w:t>
              <w:br w:clear="none"/>
            </w:r>
            <w:r>
              <w:t xml:space="preserve"> Parses an XML document and incrementally builds the corresponding </w:t>
            </w:r>
            <w:r>
              <w:rPr>
                <w:rStyle w:val="Text0"/>
              </w:rPr>
              <w:t>ElementTree</w:t>
            </w:r>
            <w:r>
              <w:t xml:space="preserve">. </w:t>
            </w:r>
            <w:r>
              <w:rPr>
                <w:rStyle w:val="Text3"/>
              </w:rPr>
              <w:t>source</w:t>
            </w:r>
            <w:r>
              <w:t xml:space="preserve"> can be a file open for reading, or the name of a file to open and read, containing an XML document as text. </w:t>
            </w:r>
            <w:r>
              <w:rPr>
                <w:rStyle w:val="Text0"/>
              </w:rPr>
              <w:t>iterparse</w:t>
            </w:r>
            <w:r>
              <w:t xml:space="preserve"> returns an iterator yielding two-item tuples </w:t>
            </w:r>
            <w:r>
              <w:rPr>
                <w:rStyle w:val="Text0"/>
              </w:rPr>
              <w:t>(</w:t>
            </w:r>
            <w:r>
              <w:rPr>
                <w:rStyle w:val="Text3"/>
              </w:rPr>
              <w:t>event</w:t>
            </w:r>
            <w:r>
              <w:rPr>
                <w:rStyle w:val="Text0"/>
              </w:rPr>
              <w:t>,</w:t>
            </w:r>
            <w:r>
              <w:t xml:space="preserve"> </w:t>
            </w:r>
            <w:r>
              <w:rPr>
                <w:rStyle w:val="Text3"/>
              </w:rPr>
              <w:t>element</w:t>
            </w:r>
            <w:r>
              <w:rPr>
                <w:rStyle w:val="Text0"/>
              </w:rPr>
              <w:t>)</w:t>
            </w:r>
            <w:r>
              <w:t xml:space="preserve">, where </w:t>
            </w:r>
            <w:r>
              <w:rPr>
                <w:rStyle w:val="Text3"/>
              </w:rPr>
              <w:t>event</w:t>
            </w:r>
            <w:r>
              <w:t xml:space="preserve"> is one of the strings listed in the argument </w:t>
            </w:r>
            <w:r>
              <w:rPr>
                <w:rStyle w:val="Text0"/>
              </w:rPr>
              <w:t>events</w:t>
            </w:r>
            <w:r>
              <w:t xml:space="preserve"> (each string must be </w:t>
            </w:r>
            <w:r>
              <w:rPr>
                <w:rStyle w:val="Text0"/>
              </w:rPr>
              <w:t>'start'</w:t>
            </w:r>
            <w:r>
              <w:t xml:space="preserve">, </w:t>
            </w:r>
            <w:r>
              <w:rPr>
                <w:rStyle w:val="Text0"/>
              </w:rPr>
              <w:t>'end'</w:t>
            </w:r>
            <w:r>
              <w:t xml:space="preserve">, </w:t>
            </w:r>
            <w:r>
              <w:rPr>
                <w:rStyle w:val="Text0"/>
              </w:rPr>
              <w:t>'start-ns'</w:t>
            </w:r>
            <w:r>
              <w:t xml:space="preserve">, or </w:t>
            </w:r>
            <w:r>
              <w:rPr>
                <w:rStyle w:val="Text0"/>
              </w:rPr>
              <w:t>'end-ns'</w:t>
            </w:r>
            <w:r>
              <w:t xml:space="preserve">), as the parsing progresses. </w:t>
            </w:r>
            <w:r>
              <w:rPr>
                <w:rStyle w:val="Text3"/>
              </w:rPr>
              <w:t>element</w:t>
            </w:r>
            <w:r>
              <w:t xml:space="preserve"> is an </w:t>
            </w:r>
            <w:r>
              <w:rPr>
                <w:rStyle w:val="Text0"/>
              </w:rPr>
              <w:t>Element</w:t>
            </w:r>
            <w:r>
              <w:t xml:space="preserve"> for events </w:t>
            </w:r>
            <w:r>
              <w:rPr>
                <w:rStyle w:val="Text0"/>
              </w:rPr>
              <w:t>'start'</w:t>
            </w:r>
            <w:r>
              <w:t xml:space="preserve"> and </w:t>
            </w:r>
            <w:r>
              <w:rPr>
                <w:rStyle w:val="Text0"/>
              </w:rPr>
              <w:t>'end'</w:t>
            </w:r>
            <w:r>
              <w:t xml:space="preserve">, </w:t>
            </w:r>
            <w:r>
              <w:rPr>
                <w:rStyle w:val="Text5"/>
              </w:rPr>
              <w:t>None</w:t>
            </w:r>
            <w:r>
              <w:t xml:space="preserve"> for event </w:t>
            </w:r>
            <w:r>
              <w:rPr>
                <w:rStyle w:val="Text0"/>
              </w:rPr>
              <w:t>'end-ns'</w:t>
            </w:r>
            <w:r>
              <w:t xml:space="preserve">, and a tuple of two strings </w:t>
            </w:r>
            <w:r>
              <w:rPr>
                <w:rStyle w:val="Text0"/>
              </w:rPr>
              <w:t>(</w:t>
            </w:r>
            <w:r>
              <w:rPr>
                <w:rStyle w:val="Text3"/>
              </w:rPr>
              <w:t>namespace_prefix</w:t>
            </w:r>
            <w:r>
              <w:rPr>
                <w:rStyle w:val="Text0"/>
              </w:rPr>
              <w:t>,</w:t>
            </w:r>
            <w:r>
              <w:t xml:space="preserve"> </w:t>
            </w:r>
            <w:r>
              <w:rPr>
                <w:rStyle w:val="Text3"/>
              </w:rPr>
              <w:t>namespace_uri</w:t>
            </w:r>
            <w:r>
              <w:rPr>
                <w:rStyle w:val="Text0"/>
              </w:rPr>
              <w:t>)</w:t>
            </w:r>
            <w:r>
              <w:t xml:space="preserve"> for event </w:t>
            </w:r>
            <w:r>
              <w:rPr>
                <w:rStyle w:val="Text0"/>
              </w:rPr>
              <w:t>'start-ns'</w:t>
            </w:r>
            <w:r>
              <w:t xml:space="preserve">. </w:t>
            </w:r>
            <w:r>
              <w:rPr>
                <w:rStyle w:val="Text0"/>
              </w:rPr>
              <w:t>parser</w:t>
            </w:r>
            <w:r>
              <w:t xml:space="preserve"> is an optional parser instance; by default, </w:t>
            </w:r>
            <w:r>
              <w:rPr>
                <w:rStyle w:val="Text0"/>
              </w:rPr>
              <w:t>iterparse</w:t>
            </w:r>
            <w:r>
              <w:t xml:space="preserve"> uses an instance of the class </w:t>
            </w:r>
            <w:r>
              <w:rPr>
                <w:rStyle w:val="Text0"/>
              </w:rPr>
              <w:t>XMLParser</w:t>
            </w:r>
            <w:r>
              <w:t xml:space="preserve"> supplied by the </w:t>
            </w:r>
            <w:r>
              <w:rPr>
                <w:rStyle w:val="Text0"/>
              </w:rPr>
              <w:t>ElementTree</w:t>
            </w:r>
            <w:r>
              <w:t xml:space="preserve"> module (see the </w:t>
            </w:r>
            <w:hyperlink r:id="rId655">
              <w:r>
                <w:rPr>
                  <w:rStyle w:val="Text1"/>
                </w:rPr>
                <w:t>online docs</w:t>
              </w:r>
            </w:hyperlink>
            <w:r>
              <w:t xml:space="preserve"> for details on the </w:t>
            </w:r>
            <w:r>
              <w:rPr>
                <w:rStyle w:val="Text0"/>
              </w:rPr>
              <w:t>XMLParser</w:t>
            </w:r>
            <w:r>
              <w:t xml:space="preserve"> class).</w:t>
              <w:br w:clear="none"/>
              <w:t xml:space="preserve"> The purpose of </w:t>
            </w:r>
            <w:r>
              <w:rPr>
                <w:rStyle w:val="Text0"/>
              </w:rPr>
              <w:t>iterparse</w:t>
            </w:r>
            <w:r>
              <w:t xml:space="preserve"> is to let you iteratively parse a large XML document, without holding all of the resulting </w:t>
            </w:r>
            <w:r>
              <w:rPr>
                <w:rStyle w:val="Text0"/>
              </w:rPr>
              <w:t>ElementTree</w:t>
            </w:r>
            <w:r>
              <w:t xml:space="preserve"> in memory at once, whenever feasible. We cover </w:t>
            </w:r>
            <w:r>
              <w:rPr>
                <w:rStyle w:val="Text0"/>
              </w:rPr>
              <w:t>iterparse</w:t>
            </w:r>
            <w:r>
              <w:t xml:space="preserve"> in more detail in </w:t>
            </w:r>
            <w:hyperlink w:anchor="Parsing_XML_Iteratively__For_tas">
              <w:r>
                <w:rPr>
                  <w:rStyle w:val="Text1"/>
                </w:rPr>
                <w:t>“Parsing XML Iteratively”</w:t>
              </w:r>
            </w:hyperlink>
            <w:r>
              <w:t>.</w:t>
            </w:r>
          </w:p>
        </w:tc>
      </w:tr>
    </w:tbl>
    <w:tbl>
      <w:tblPr>
        <w:tblW w:type="auto" w:w="0"/>
      </w:tblPr>
      <w:tr>
        <w:tc>
          <w:tcPr>
            <w:tcW w:type="auto" w:w="0"/>
            <w:tcMar>
              <w:left w:type="dxa" w:w="200"/>
              <w:top w:type="dxa" w:w="200"/>
              <w:right w:type="dxa" w:w="200"/>
              <w:bottom w:type="dxa" w:w="200"/>
            </w:tcMar>
          </w:tcPr>
          <w:p>
            <w:pPr>
              <w:pStyle w:val="Para 001"/>
            </w:pPr>
            <w:r>
              <w:t>parse</w:t>
            </w:r>
          </w:p>
        </w:tc>
        <w:tc>
          <w:tcPr>
            <w:tcW w:type="auto" w:w="0"/>
            <w:tcMar>
              <w:left w:type="dxa" w:w="200"/>
              <w:top w:type="dxa" w:w="200"/>
              <w:right w:type="dxa" w:w="200"/>
              <w:bottom w:type="dxa" w:w="200"/>
            </w:tcMar>
          </w:tcPr>
          <w:p>
            <w:pPr>
              <w:pStyle w:val="Para 002"/>
            </w:pPr>
            <w:r>
              <w:rPr>
                <w:rStyle w:val="Text0"/>
              </w:rPr>
              <w:t>parse(</w:t>
            </w:r>
            <w:r>
              <w:rPr>
                <w:rStyle w:val="Text3"/>
              </w:rPr>
              <w:t>source</w:t>
            </w:r>
            <w:r>
              <w:rPr>
                <w:rStyle w:val="Text0"/>
              </w:rPr>
              <w:t>, parser=</w:t>
            </w:r>
            <w:r>
              <w:rPr>
                <w:rStyle w:val="Text5"/>
              </w:rPr>
              <w:t>None</w:t>
            </w:r>
            <w:r>
              <w:rPr>
                <w:rStyle w:val="Text0"/>
              </w:rPr>
              <w:t>)</w:t>
              <w:br w:clear="none"/>
            </w:r>
            <w:r>
              <w:t xml:space="preserve"> Just like the </w:t>
            </w:r>
            <w:r>
              <w:rPr>
                <w:rStyle w:val="Text0"/>
              </w:rPr>
              <w:t>parse</w:t>
            </w:r>
            <w:r>
              <w:t xml:space="preserve"> method of </w:t>
            </w:r>
            <w:r>
              <w:rPr>
                <w:rStyle w:val="Text0"/>
              </w:rPr>
              <w:t>ElementTree</w:t>
            </w:r>
            <w:r>
              <w:t xml:space="preserve">, covered in </w:t>
            </w:r>
            <w:hyperlink w:anchor="Table_23_4__ElementTree_instance">
              <w:r>
                <w:rPr>
                  <w:rStyle w:val="Text1"/>
                </w:rPr>
                <w:t>Table 23-4</w:t>
              </w:r>
            </w:hyperlink>
            <w:r>
              <w:t xml:space="preserve">, except that it returns the </w:t>
            </w:r>
            <w:r>
              <w:rPr>
                <w:rStyle w:val="Text0"/>
              </w:rPr>
              <w:t>ElementTree</w:t>
            </w:r>
            <w:r>
              <w:t xml:space="preserve"> instance it creates.</w:t>
            </w:r>
          </w:p>
        </w:tc>
      </w:tr>
    </w:tbl>
    <w:tbl>
      <w:tblPr>
        <w:tblW w:type="auto" w:w="0"/>
      </w:tblPr>
      <w:tr>
        <w:tc>
          <w:tcPr>
            <w:tcW w:type="auto" w:w="0"/>
            <w:shd w:val="clear" w:color="auto" w:fill="EEF2F6"/>
            <w:tcMar>
              <w:left w:type="dxa" w:w="200"/>
              <w:top w:type="dxa" w:w="200"/>
              <w:right w:type="dxa" w:w="200"/>
              <w:bottom w:type="dxa" w:w="200"/>
            </w:tcMar>
          </w:tcPr>
          <w:p>
            <w:pPr>
              <w:pStyle w:val="Para 001"/>
            </w:pPr>
            <w:r>
              <w:t>P⁠r⁠o⁠c⁠e⁠s⁠s⁠i⁠n⁠g​I⁠n⁠s⁠t⁠r⁠u⁠c⁠t⁠i⁠o⁠n</w:t>
            </w:r>
          </w:p>
        </w:tc>
        <w:tc>
          <w:tcPr>
            <w:tcW w:type="auto" w:w="0"/>
            <w:shd w:val="clear" w:color="auto" w:fill="EEF2F6"/>
            <w:tcMar>
              <w:left w:type="dxa" w:w="200"/>
              <w:top w:type="dxa" w:w="200"/>
              <w:right w:type="dxa" w:w="200"/>
              <w:bottom w:type="dxa" w:w="200"/>
            </w:tcMar>
          </w:tcPr>
          <w:p>
            <w:pPr>
              <w:pStyle w:val="Para 002"/>
            </w:pPr>
            <w:r>
              <w:rPr>
                <w:rStyle w:val="Text0"/>
              </w:rPr>
              <w:t>ProcessingInstruction(</w:t>
            </w:r>
            <w:r>
              <w:rPr>
                <w:rStyle w:val="Text3"/>
              </w:rPr>
              <w:t>target</w:t>
            </w:r>
            <w:r>
              <w:rPr>
                <w:rStyle w:val="Text0"/>
              </w:rPr>
              <w:t>, text=</w:t>
            </w:r>
            <w:r>
              <w:rPr>
                <w:rStyle w:val="Text5"/>
              </w:rPr>
              <w:t>None</w:t>
            </w:r>
            <w:r>
              <w:rPr>
                <w:rStyle w:val="Text0"/>
              </w:rPr>
              <w:t>)</w:t>
              <w:br w:clear="none"/>
            </w:r>
            <w:r>
              <w:t xml:space="preserve"> Returns an </w:t>
            </w:r>
            <w:r>
              <w:rPr>
                <w:rStyle w:val="Text0"/>
              </w:rPr>
              <w:t>Element</w:t>
            </w:r>
            <w:r>
              <w:t xml:space="preserve"> that, once inserted as a node in an </w:t>
            </w:r>
            <w:r>
              <w:rPr>
                <w:rStyle w:val="Text0"/>
              </w:rPr>
              <w:t>ElementTree</w:t>
            </w:r>
            <w:r>
              <w:t xml:space="preserve">, will be output as an XML processing instruction with the given </w:t>
            </w:r>
            <w:r>
              <w:rPr>
                <w:rStyle w:val="Text3"/>
              </w:rPr>
              <w:t>target</w:t>
            </w:r>
            <w:r>
              <w:t xml:space="preserve"> and </w:t>
            </w:r>
            <w:r>
              <w:rPr>
                <w:rStyle w:val="Text0"/>
              </w:rPr>
              <w:t>text</w:t>
            </w:r>
            <w:r>
              <w:t xml:space="preserve"> strings enclosed between </w:t>
            </w:r>
            <w:r>
              <w:rPr>
                <w:rStyle w:val="Text0"/>
              </w:rPr>
              <w:t>'&lt;?'</w:t>
            </w:r>
            <w:r>
              <w:t xml:space="preserve"> and </w:t>
            </w:r>
            <w:r>
              <w:rPr>
                <w:rStyle w:val="Text0"/>
              </w:rPr>
              <w:t>'?&gt;'</w:t>
            </w:r>
            <w:r>
              <w:t xml:space="preserve">. </w:t>
            </w:r>
            <w:r>
              <w:rPr>
                <w:rStyle w:val="Text0"/>
              </w:rPr>
              <w:t>XMLParser</w:t>
            </w:r>
            <w:r>
              <w:t xml:space="preserve"> skips XML processing instructions in any document it parses, so this function is the only way to insert processing instruction nodes.</w:t>
            </w:r>
          </w:p>
        </w:tc>
      </w:tr>
    </w:tbl>
    <w:tbl>
      <w:tblPr>
        <w:tblW w:type="auto" w:w="0"/>
      </w:tblPr>
      <w:tr>
        <w:tc>
          <w:tcPr>
            <w:tcW w:type="auto" w:w="0"/>
            <w:tcMar>
              <w:left w:type="dxa" w:w="200"/>
              <w:top w:type="dxa" w:w="200"/>
              <w:right w:type="dxa" w:w="200"/>
              <w:bottom w:type="dxa" w:w="200"/>
            </w:tcMar>
          </w:tcPr>
          <w:p>
            <w:pPr>
              <w:pStyle w:val="Para 001"/>
            </w:pPr>
            <w:r>
              <w:t>r⁠e⁠g⁠i⁠s⁠t⁠e⁠r⁠_​n⁠a⁠m⁠e⁠s⁠p⁠a⁠c⁠e</w:t>
            </w:r>
          </w:p>
        </w:tc>
        <w:tc>
          <w:tcPr>
            <w:tcW w:type="auto" w:w="0"/>
            <w:tcMar>
              <w:left w:type="dxa" w:w="200"/>
              <w:top w:type="dxa" w:w="200"/>
              <w:right w:type="dxa" w:w="200"/>
              <w:bottom w:type="dxa" w:w="200"/>
            </w:tcMar>
          </w:tcPr>
          <w:p>
            <w:pPr>
              <w:pStyle w:val="Para 002"/>
            </w:pPr>
            <w:r>
              <w:rPr>
                <w:rStyle w:val="Text0"/>
              </w:rPr>
              <w:t>register_namespace(</w:t>
            </w:r>
            <w:r>
              <w:rPr>
                <w:rStyle w:val="Text3"/>
              </w:rPr>
              <w:t>prefix</w:t>
            </w:r>
            <w:r>
              <w:rPr>
                <w:rStyle w:val="Text0"/>
              </w:rPr>
              <w:t>,</w:t>
            </w:r>
            <w:r>
              <w:t xml:space="preserve"> </w:t>
            </w:r>
            <w:r>
              <w:rPr>
                <w:rStyle w:val="Text3"/>
              </w:rPr>
              <w:t>uri</w:t>
            </w:r>
            <w:r>
              <w:rPr>
                <w:rStyle w:val="Text0"/>
              </w:rPr>
              <w:t>)</w:t>
              <w:br w:clear="none"/>
            </w:r>
            <w:r>
              <w:t xml:space="preserve"> Registers the string </w:t>
            </w:r>
            <w:r>
              <w:rPr>
                <w:rStyle w:val="Text3"/>
              </w:rPr>
              <w:t>prefix</w:t>
            </w:r>
            <w:r>
              <w:t xml:space="preserve"> as the namespace prefix for the string </w:t>
            </w:r>
            <w:r>
              <w:rPr>
                <w:rStyle w:val="Text3"/>
              </w:rPr>
              <w:t>uri</w:t>
            </w:r>
            <w:r>
              <w:t>; elements in the namespace get serialized with this prefix.</w:t>
            </w:r>
          </w:p>
        </w:tc>
      </w:tr>
    </w:tbl>
    <w:tbl>
      <w:tblPr>
        <w:tblW w:type="auto" w:w="0"/>
      </w:tblPr>
      <w:tr>
        <w:tc>
          <w:tcPr>
            <w:tcW w:type="auto" w:w="0"/>
            <w:shd w:val="clear" w:color="auto" w:fill="EEF2F6"/>
            <w:tcMar>
              <w:left w:type="dxa" w:w="200"/>
              <w:top w:type="dxa" w:w="200"/>
              <w:right w:type="dxa" w:w="200"/>
              <w:bottom w:type="dxa" w:w="200"/>
            </w:tcMar>
          </w:tcPr>
          <w:p>
            <w:pPr>
              <w:pStyle w:val="Para 001"/>
            </w:pPr>
            <w:r>
              <w:t>SubElement</w:t>
            </w:r>
          </w:p>
        </w:tc>
        <w:tc>
          <w:tcPr>
            <w:tcW w:type="auto" w:w="0"/>
            <w:shd w:val="clear" w:color="auto" w:fill="EEF2F6"/>
            <w:tcMar>
              <w:left w:type="dxa" w:w="200"/>
              <w:top w:type="dxa" w:w="200"/>
              <w:right w:type="dxa" w:w="200"/>
              <w:bottom w:type="dxa" w:w="200"/>
            </w:tcMar>
          </w:tcPr>
          <w:p>
            <w:pPr>
              <w:pStyle w:val="Para 002"/>
            </w:pPr>
            <w:r>
              <w:rPr>
                <w:rStyle w:val="Text0"/>
              </w:rPr>
              <w:t>SubElement(</w:t>
            </w:r>
            <w:r>
              <w:rPr>
                <w:rStyle w:val="Text3"/>
              </w:rPr>
              <w:t>parent</w:t>
            </w:r>
            <w:r>
              <w:rPr>
                <w:rStyle w:val="Text0"/>
              </w:rPr>
              <w:t>,</w:t>
            </w:r>
            <w:r>
              <w:t xml:space="preserve"> </w:t>
            </w:r>
            <w:r>
              <w:rPr>
                <w:rStyle w:val="Text3"/>
              </w:rPr>
              <w:t>tag</w:t>
            </w:r>
            <w:r>
              <w:rPr>
                <w:rStyle w:val="Text0"/>
              </w:rPr>
              <w:t>, attrib={}, **</w:t>
            </w:r>
            <w:r>
              <w:rPr>
                <w:rStyle w:val="Text3"/>
              </w:rPr>
              <w:t>extra</w:t>
            </w:r>
            <w:r>
              <w:rPr>
                <w:rStyle w:val="Text0"/>
              </w:rPr>
              <w:t>)</w:t>
              <w:br w:clear="none"/>
            </w:r>
            <w:r>
              <w:t xml:space="preserve"> Creates an </w:t>
            </w:r>
            <w:r>
              <w:rPr>
                <w:rStyle w:val="Text0"/>
              </w:rPr>
              <w:t>Element</w:t>
            </w:r>
            <w:r>
              <w:t xml:space="preserve"> with the given </w:t>
            </w:r>
            <w:r>
              <w:rPr>
                <w:rStyle w:val="Text3"/>
              </w:rPr>
              <w:t>tag</w:t>
            </w:r>
            <w:r>
              <w:t xml:space="preserve">, attributes from </w:t>
            </w:r>
            <w:r>
              <w:rPr>
                <w:rStyle w:val="Text0"/>
              </w:rPr>
              <w:t>dict</w:t>
            </w:r>
            <w:r>
              <w:t xml:space="preserve"> </w:t>
            </w:r>
            <w:r>
              <w:rPr>
                <w:rStyle w:val="Text0"/>
              </w:rPr>
              <w:t>attrib</w:t>
            </w:r>
            <w:r>
              <w:t xml:space="preserve">, and others passed as named arguments in </w:t>
            </w:r>
            <w:r>
              <w:rPr>
                <w:rStyle w:val="Text3"/>
              </w:rPr>
              <w:t>extra</w:t>
            </w:r>
            <w:r>
              <w:t xml:space="preserve">, and appends it as the rightmost child of </w:t>
            </w:r>
            <w:r>
              <w:rPr>
                <w:rStyle w:val="Text0"/>
              </w:rPr>
              <w:t>Element</w:t>
            </w:r>
            <w:r>
              <w:t xml:space="preserve"> </w:t>
            </w:r>
            <w:r>
              <w:rPr>
                <w:rStyle w:val="Text3"/>
              </w:rPr>
              <w:t>parent</w:t>
            </w:r>
            <w:r>
              <w:t xml:space="preserve">; returns the </w:t>
            </w:r>
            <w:r>
              <w:rPr>
                <w:rStyle w:val="Text0"/>
              </w:rPr>
              <w:t>Element</w:t>
            </w:r>
            <w:r>
              <w:t xml:space="preserve"> it has created.</w:t>
            </w:r>
          </w:p>
        </w:tc>
      </w:tr>
    </w:tbl>
    <w:tbl>
      <w:tblPr>
        <w:tblW w:type="auto" w:w="0"/>
      </w:tblPr>
      <w:tr>
        <w:tc>
          <w:tcPr>
            <w:tcW w:type="auto" w:w="0"/>
            <w:tcMar>
              <w:left w:type="dxa" w:w="200"/>
              <w:top w:type="dxa" w:w="200"/>
              <w:right w:type="dxa" w:w="200"/>
              <w:bottom w:type="dxa" w:w="200"/>
            </w:tcMar>
          </w:tcPr>
          <w:p>
            <w:pPr>
              <w:pStyle w:val="Para 001"/>
            </w:pPr>
            <w:r>
              <w:t>tostring</w:t>
            </w:r>
          </w:p>
        </w:tc>
        <w:tc>
          <w:tcPr>
            <w:tcW w:type="auto" w:w="0"/>
            <w:tcMar>
              <w:left w:type="dxa" w:w="200"/>
              <w:top w:type="dxa" w:w="200"/>
              <w:right w:type="dxa" w:w="200"/>
              <w:bottom w:type="dxa" w:w="200"/>
            </w:tcMar>
          </w:tcPr>
          <w:p>
            <w:pPr>
              <w:pStyle w:val="Para 002"/>
            </w:pPr>
            <w:r>
              <w:rPr>
                <w:rStyle w:val="Text0"/>
              </w:rPr>
              <w:t>tostring(</w:t>
            </w:r>
            <w:r>
              <w:rPr>
                <w:rStyle w:val="Text3"/>
              </w:rPr>
              <w:t>e</w:t>
            </w:r>
            <w:r>
              <w:rPr>
                <w:rStyle w:val="Text0"/>
              </w:rPr>
              <w:t>, encoding='us-ascii, method='xml', short_empty_elements=</w:t>
            </w:r>
            <w:r>
              <w:rPr>
                <w:rStyle w:val="Text5"/>
              </w:rPr>
              <w:t>True</w:t>
            </w:r>
            <w:r>
              <w:rPr>
                <w:rStyle w:val="Text0"/>
              </w:rPr>
              <w:t>)</w:t>
              <w:br w:clear="none"/>
            </w:r>
            <w:r>
              <w:t xml:space="preserve"> Returns a string with the XML representation of the subtree rooted at </w:t>
            </w:r>
            <w:r>
              <w:rPr>
                <w:rStyle w:val="Text0"/>
              </w:rPr>
              <w:t>Element</w:t>
            </w:r>
            <w:r>
              <w:t xml:space="preserve"> </w:t>
            </w:r>
            <w:r>
              <w:rPr>
                <w:rStyle w:val="Text3"/>
              </w:rPr>
              <w:t>e</w:t>
            </w:r>
            <w:r>
              <w:t xml:space="preserve">. Arguments have the same meaning as for the </w:t>
            </w:r>
            <w:r>
              <w:rPr>
                <w:rStyle w:val="Text0"/>
              </w:rPr>
              <w:t>write</w:t>
            </w:r>
            <w:r>
              <w:t xml:space="preserve"> method of </w:t>
            </w:r>
            <w:r>
              <w:rPr>
                <w:rStyle w:val="Text0"/>
              </w:rPr>
              <w:t>ElementTree</w:t>
            </w:r>
            <w:r>
              <w:t xml:space="preserve">, covered in </w:t>
            </w:r>
            <w:hyperlink w:anchor="Table_23_4__ElementTree_instance">
              <w:r>
                <w:rPr>
                  <w:rStyle w:val="Text1"/>
                </w:rPr>
                <w:t>Table 23-4</w:t>
              </w:r>
            </w:hyperlink>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tostringlist</w:t>
            </w:r>
          </w:p>
        </w:tc>
        <w:tc>
          <w:tcPr>
            <w:tcW w:type="auto" w:w="0"/>
            <w:shd w:val="clear" w:color="auto" w:fill="EEF2F6"/>
            <w:tcMar>
              <w:left w:type="dxa" w:w="200"/>
              <w:top w:type="dxa" w:w="200"/>
              <w:right w:type="dxa" w:w="200"/>
              <w:bottom w:type="dxa" w:w="200"/>
            </w:tcMar>
          </w:tcPr>
          <w:p>
            <w:pPr>
              <w:pStyle w:val="Para 002"/>
            </w:pPr>
            <w:r>
              <w:rPr>
                <w:rStyle w:val="Text0"/>
              </w:rPr>
              <w:t>tostringlist(</w:t>
            </w:r>
            <w:r>
              <w:rPr>
                <w:rStyle w:val="Text3"/>
              </w:rPr>
              <w:t>e,</w:t>
            </w:r>
            <w:r>
              <w:t xml:space="preserve"> </w:t>
            </w:r>
            <w:r>
              <w:rPr>
                <w:rStyle w:val="Text0"/>
              </w:rPr>
              <w:t>encoding='us-ascii', method='xml', short_empty_elements=</w:t>
            </w:r>
            <w:r>
              <w:rPr>
                <w:rStyle w:val="Text5"/>
              </w:rPr>
              <w:t>True</w:t>
            </w:r>
            <w:r>
              <w:rPr>
                <w:rStyle w:val="Text0"/>
              </w:rPr>
              <w:t>)</w:t>
              <w:br w:clear="none"/>
            </w:r>
            <w:r>
              <w:t xml:space="preserve"> Returns a list of strings with the XML representation of the subtree rooted at </w:t>
            </w:r>
            <w:r>
              <w:rPr>
                <w:rStyle w:val="Text0"/>
              </w:rPr>
              <w:t>Element</w:t>
            </w:r>
            <w:r>
              <w:t xml:space="preserve"> </w:t>
            </w:r>
            <w:r>
              <w:rPr>
                <w:rStyle w:val="Text3"/>
              </w:rPr>
              <w:t>e</w:t>
            </w:r>
            <w:r>
              <w:t xml:space="preserve">. Arguments have the same meaning as for the </w:t>
            </w:r>
            <w:r>
              <w:rPr>
                <w:rStyle w:val="Text0"/>
              </w:rPr>
              <w:t>write</w:t>
            </w:r>
            <w:r>
              <w:t xml:space="preserve"> method of </w:t>
            </w:r>
            <w:r>
              <w:rPr>
                <w:rStyle w:val="Text0"/>
              </w:rPr>
              <w:t>ElementTree</w:t>
            </w:r>
            <w:r>
              <w:t xml:space="preserve">, covered in </w:t>
            </w:r>
            <w:hyperlink w:anchor="Table_23_4__ElementTree_instance">
              <w:r>
                <w:rPr>
                  <w:rStyle w:val="Text1"/>
                </w:rPr>
                <w:t>Table 23-4</w:t>
              </w:r>
            </w:hyperlink>
            <w:r>
              <w:t>.</w:t>
            </w:r>
          </w:p>
        </w:tc>
      </w:tr>
    </w:tbl>
    <w:tbl>
      <w:tblPr>
        <w:tblW w:type="auto" w:w="0"/>
      </w:tblPr>
      <w:tr>
        <w:tc>
          <w:tcPr>
            <w:tcW w:type="auto" w:w="0"/>
            <w:tcMar>
              <w:left w:type="dxa" w:w="200"/>
              <w:top w:type="dxa" w:w="200"/>
              <w:right w:type="dxa" w:w="200"/>
              <w:bottom w:type="dxa" w:w="200"/>
            </w:tcMar>
          </w:tcPr>
          <w:p>
            <w:pPr>
              <w:pStyle w:val="Para 001"/>
            </w:pPr>
            <w:r>
              <w:t>XML</w:t>
            </w:r>
          </w:p>
        </w:tc>
        <w:tc>
          <w:tcPr>
            <w:tcW w:type="auto" w:w="0"/>
            <w:tcMar>
              <w:left w:type="dxa" w:w="200"/>
              <w:top w:type="dxa" w:w="200"/>
              <w:right w:type="dxa" w:w="200"/>
              <w:bottom w:type="dxa" w:w="200"/>
            </w:tcMar>
          </w:tcPr>
          <w:p>
            <w:pPr>
              <w:pStyle w:val="Para 002"/>
            </w:pPr>
            <w:r>
              <w:rPr>
                <w:rStyle w:val="Text0"/>
              </w:rPr>
              <w:t>XML(</w:t>
            </w:r>
            <w:r>
              <w:rPr>
                <w:rStyle w:val="Text3"/>
              </w:rPr>
              <w:t>text</w:t>
            </w:r>
            <w:r>
              <w:rPr>
                <w:rStyle w:val="Text0"/>
              </w:rPr>
              <w:t>, parser=</w:t>
            </w:r>
            <w:r>
              <w:rPr>
                <w:rStyle w:val="Text5"/>
              </w:rPr>
              <w:t>None</w:t>
            </w:r>
            <w:r>
              <w:rPr>
                <w:rStyle w:val="Text0"/>
              </w:rPr>
              <w:t>)</w:t>
              <w:br w:clear="none"/>
            </w:r>
            <w:r>
              <w:t xml:space="preserve"> Parses XML from the </w:t>
            </w:r>
            <w:r>
              <w:rPr>
                <w:rStyle w:val="Text3"/>
              </w:rPr>
              <w:t>text</w:t>
            </w:r>
            <w:r>
              <w:t xml:space="preserve"> string and returns an </w:t>
            </w:r>
            <w:r>
              <w:rPr>
                <w:rStyle w:val="Text0"/>
              </w:rPr>
              <w:t>Element</w:t>
            </w:r>
            <w:r>
              <w:t xml:space="preserve">. </w:t>
            </w:r>
            <w:r>
              <w:rPr>
                <w:rStyle w:val="Text0"/>
              </w:rPr>
              <w:t>parser</w:t>
            </w:r>
            <w:r>
              <w:t xml:space="preserve"> is an optional parser instance; by default, </w:t>
            </w:r>
            <w:r>
              <w:rPr>
                <w:rStyle w:val="Text0"/>
              </w:rPr>
              <w:t>XML</w:t>
            </w:r>
            <w:r>
              <w:t xml:space="preserve"> uses an instance of the class </w:t>
            </w:r>
            <w:r>
              <w:rPr>
                <w:rStyle w:val="Text0"/>
              </w:rPr>
              <w:t>XMLParser</w:t>
            </w:r>
            <w:r>
              <w:t xml:space="preserve"> supplied by the </w:t>
            </w:r>
            <w:r>
              <w:rPr>
                <w:rStyle w:val="Text0"/>
              </w:rPr>
              <w:t>ElementTree</w:t>
            </w:r>
            <w:r>
              <w:t xml:space="preserve"> module (this book does not cover the </w:t>
            </w:r>
            <w:r>
              <w:rPr>
                <w:rStyle w:val="Text0"/>
              </w:rPr>
              <w:t>XMLParser</w:t>
            </w:r>
            <w:r>
              <w:t xml:space="preserve"> class; see the </w:t>
            </w:r>
            <w:hyperlink r:id="rId655">
              <w:r>
                <w:rPr>
                  <w:rStyle w:val="Text1"/>
                </w:rPr>
                <w:t>online docs</w:t>
              </w:r>
            </w:hyperlink>
            <w:r>
              <w:t xml:space="preserve"> for details).</w:t>
            </w:r>
          </w:p>
        </w:tc>
      </w:tr>
    </w:tbl>
    <w:tbl>
      <w:tblPr>
        <w:tblW w:type="auto" w:w="0"/>
      </w:tblPr>
      <w:tr>
        <w:tc>
          <w:tcPr>
            <w:tcW w:type="auto" w:w="0"/>
            <w:shd w:val="clear" w:color="auto" w:fill="EEF2F6"/>
            <w:tcMar>
              <w:left w:type="dxa" w:w="200"/>
              <w:top w:type="dxa" w:w="200"/>
              <w:right w:type="dxa" w:w="200"/>
              <w:bottom w:type="dxa" w:w="200"/>
            </w:tcMar>
          </w:tcPr>
          <w:p>
            <w:pPr>
              <w:pStyle w:val="Para 001"/>
            </w:pPr>
            <w:r>
              <w:t>XMLID</w:t>
            </w:r>
          </w:p>
        </w:tc>
        <w:tc>
          <w:tcPr>
            <w:tcW w:type="auto" w:w="0"/>
            <w:shd w:val="clear" w:color="auto" w:fill="EEF2F6"/>
            <w:tcMar>
              <w:left w:type="dxa" w:w="200"/>
              <w:top w:type="dxa" w:w="200"/>
              <w:right w:type="dxa" w:w="200"/>
              <w:bottom w:type="dxa" w:w="200"/>
            </w:tcMar>
          </w:tcPr>
          <w:p>
            <w:pPr>
              <w:pStyle w:val="Para 002"/>
            </w:pPr>
            <w:r>
              <w:rPr>
                <w:rStyle w:val="Text0"/>
              </w:rPr>
              <w:t>XMLID(</w:t>
            </w:r>
            <w:r>
              <w:rPr>
                <w:rStyle w:val="Text3"/>
              </w:rPr>
              <w:t>text</w:t>
            </w:r>
            <w:r>
              <w:rPr>
                <w:rStyle w:val="Text0"/>
              </w:rPr>
              <w:t>, parser=</w:t>
            </w:r>
            <w:r>
              <w:rPr>
                <w:rStyle w:val="Text5"/>
              </w:rPr>
              <w:t>None</w:t>
            </w:r>
            <w:r>
              <w:rPr>
                <w:rStyle w:val="Text0"/>
              </w:rPr>
              <w:t>)</w:t>
              <w:br w:clear="none"/>
            </w:r>
            <w:r>
              <w:t xml:space="preserve"> Parses XML from the </w:t>
            </w:r>
            <w:r>
              <w:rPr>
                <w:rStyle w:val="Text3"/>
              </w:rPr>
              <w:t>text</w:t>
            </w:r>
            <w:r>
              <w:t xml:space="preserve"> string and returns a tuple with two items: an </w:t>
            </w:r>
            <w:r>
              <w:rPr>
                <w:rStyle w:val="Text0"/>
              </w:rPr>
              <w:t>Element</w:t>
            </w:r>
            <w:r>
              <w:t xml:space="preserve"> and a </w:t>
            </w:r>
            <w:r>
              <w:rPr>
                <w:rStyle w:val="Text0"/>
              </w:rPr>
              <w:t>dict</w:t>
            </w:r>
            <w:r>
              <w:t xml:space="preserve"> mapping </w:t>
            </w:r>
            <w:r>
              <w:rPr>
                <w:rStyle w:val="Text0"/>
              </w:rPr>
              <w:t>id</w:t>
            </w:r>
            <w:r>
              <w:t xml:space="preserve"> attributes to the only </w:t>
            </w:r>
            <w:r>
              <w:rPr>
                <w:rStyle w:val="Text0"/>
              </w:rPr>
              <w:t>Element</w:t>
            </w:r>
            <w:r>
              <w:t xml:space="preserve"> having each (XML forbids duplicate </w:t>
            </w:r>
            <w:r>
              <w:rPr>
                <w:rStyle w:val="Text0"/>
              </w:rPr>
              <w:t>id</w:t>
            </w:r>
            <w:r>
              <w:t xml:space="preserve">s). </w:t>
            </w:r>
            <w:r>
              <w:rPr>
                <w:rStyle w:val="Text0"/>
              </w:rPr>
              <w:t>parser</w:t>
            </w:r>
            <w:r>
              <w:t xml:space="preserve"> is an optional parser instance; by default, </w:t>
            </w:r>
            <w:r>
              <w:rPr>
                <w:rStyle w:val="Text0"/>
              </w:rPr>
              <w:t>XMLID</w:t>
            </w:r>
            <w:r>
              <w:t xml:space="preserve"> uses an instance of the class </w:t>
            </w:r>
            <w:r>
              <w:rPr>
                <w:rStyle w:val="Text0"/>
              </w:rPr>
              <w:t>XMLParser</w:t>
            </w:r>
            <w:r>
              <w:t xml:space="preserve"> supplied by the </w:t>
            </w:r>
            <w:r>
              <w:rPr>
                <w:rStyle w:val="Text0"/>
              </w:rPr>
              <w:t>ElementTree</w:t>
            </w:r>
            <w:r>
              <w:t xml:space="preserve"> module (this book does not cover the </w:t>
            </w:r>
            <w:r>
              <w:rPr>
                <w:rStyle w:val="Text0"/>
              </w:rPr>
              <w:t>XMLParser</w:t>
            </w:r>
            <w:r>
              <w:t xml:space="preserve"> class; see the </w:t>
            </w:r>
            <w:hyperlink r:id="rId655">
              <w:r>
                <w:rPr>
                  <w:rStyle w:val="Text1"/>
                </w:rPr>
                <w:t>online docs</w:t>
              </w:r>
            </w:hyperlink>
            <w:r>
              <w:t xml:space="preserve"> for details).</w:t>
            </w:r>
          </w:p>
        </w:tc>
      </w:tr>
    </w:tbl>
    <w:p>
      <w:pPr>
        <w:pStyle w:val="Normal"/>
      </w:pPr>
      <w:r>
        <w:t xml:space="preserve">The </w:t>
      </w:r>
      <w:r>
        <w:rPr>
          <w:rStyle w:val="Text0"/>
        </w:rPr>
        <w:t>ElementTree</w:t>
      </w:r>
      <w:r>
        <w:t xml:space="preserve"> module also supplies the classes </w:t>
      </w:r>
      <w:r>
        <w:rPr>
          <w:rStyle w:val="Text0"/>
        </w:rPr>
        <w:t>QName</w:t>
      </w:r>
      <w:r>
        <w:t xml:space="preserve">, </w:t>
      </w:r>
      <w:r>
        <w:rPr>
          <w:rStyle w:val="Text0"/>
        </w:rPr>
        <w:t>TreeBuilder</w:t>
      </w:r>
      <w:r>
        <w:t xml:space="preserve">, and </w:t>
      </w:r>
      <w:r>
        <w:rPr>
          <w:rStyle w:val="Text0"/>
        </w:rPr>
        <w:t>XMLParser</w:t>
      </w:r>
      <w:r>
        <w:t xml:space="preserve">, which we do not cover in this book, and the class </w:t>
      </w:r>
      <w:r>
        <w:rPr>
          <w:rStyle w:val="Text0"/>
        </w:rPr>
        <w:t>XMLPullParser</w:t>
      </w:r>
      <w:r>
        <w:t xml:space="preserve">, covered in </w:t>
      </w:r>
      <w:hyperlink w:anchor="Parsing_XML_Iteratively__For_tas">
        <w:r>
          <w:rPr>
            <w:rStyle w:val="Text1"/>
          </w:rPr>
          <w:t>“Parsing XML Iteratively”</w:t>
        </w:r>
      </w:hyperlink>
      <w:r>
        <w:t>.</w:t>
      </w:r>
      <w:r>
        <w:rPr>
          <w:rStyle w:val="Text111"/>
        </w:rPr>
        <w:bookmarkStart w:id="4401" w:name="idm45965168636640"/>
        <w:t/>
        <w:bookmarkEnd w:id="4401"/>
        <w:bookmarkStart w:id="4402" w:name="idm45965168635264"/>
        <w:t/>
        <w:bookmarkEnd w:id="4402"/>
      </w:r>
    </w:p>
    <w:p>
      <w:bookmarkStart w:id="4403" w:name="Parsing_XML_with_ElementTree_par"/>
      <w:pPr>
        <w:keepNext/>
        <w:pStyle w:val="Heading 1"/>
      </w:pPr>
      <w:r>
        <w:t>Parsing XML with ElementTree.parse</w:t>
      </w:r>
      <w:bookmarkEnd w:id="4403"/>
    </w:p>
    <w:p>
      <w:pPr>
        <w:pStyle w:val="Normal"/>
      </w:pPr>
      <w:r>
        <w:t>In</w:t>
      </w:r>
      <w:r>
        <w:rPr>
          <w:rStyle w:val="Text111"/>
        </w:rPr>
        <w:bookmarkStart w:id="4404" w:name="STxmlpars23"/>
        <w:t/>
        <w:bookmarkEnd w:id="4404"/>
        <w:bookmarkStart w:id="4405" w:name="ETpars23"/>
        <w:t/>
        <w:bookmarkEnd w:id="4405"/>
      </w:r>
      <w:r>
        <w:t xml:space="preserve"> everyday use, the most common way to make an </w:t>
      </w:r>
      <w:r>
        <w:rPr>
          <w:rStyle w:val="Text0"/>
        </w:rPr>
        <w:t>ElementTree</w:t>
      </w:r>
      <w:r>
        <w:t xml:space="preserve"> instance is by parsing it from a file or file-like object, usually with the module function </w:t>
      </w:r>
      <w:r>
        <w:rPr>
          <w:rStyle w:val="Text0"/>
        </w:rPr>
        <w:t>parse</w:t>
      </w:r>
      <w:r>
        <w:t xml:space="preserve"> or with the method </w:t>
      </w:r>
      <w:r>
        <w:rPr>
          <w:rStyle w:val="Text0"/>
        </w:rPr>
        <w:t>parse</w:t>
      </w:r>
      <w:r>
        <w:t xml:space="preserve"> of instances of the class </w:t>
      </w:r>
      <w:r>
        <w:rPr>
          <w:rStyle w:val="Text0"/>
        </w:rPr>
        <w:t>ElementTree</w:t>
      </w:r>
      <w:r>
        <w:t>.</w:t>
      </w:r>
    </w:p>
    <w:p>
      <w:pPr>
        <w:pStyle w:val="Normal"/>
      </w:pPr>
      <w:r>
        <w:t xml:space="preserve">For the examples in the remainder of this chapter, we use the simple XML file found at </w:t>
      </w:r>
      <w:hyperlink r:id="rId656">
        <w:r>
          <w:rPr>
            <w:rStyle w:val="Text24"/>
          </w:rPr>
          <w:t>http://www.w3schools.com/xml/simple.xml</w:t>
        </w:r>
      </w:hyperlink>
      <w:r>
        <w:t xml:space="preserve">; its root tag is </w:t>
      </w:r>
      <w:r>
        <w:rPr>
          <w:rStyle w:val="Text0"/>
        </w:rPr>
        <w:t>'breakfast_menu'</w:t>
      </w:r>
      <w:r>
        <w:t xml:space="preserve">, and the root’s children are elements with the tag </w:t>
      </w:r>
      <w:r>
        <w:rPr>
          <w:rStyle w:val="Text0"/>
        </w:rPr>
        <w:t>'food'</w:t>
      </w:r>
      <w:r>
        <w:t xml:space="preserve">. Each </w:t>
      </w:r>
      <w:r>
        <w:rPr>
          <w:rStyle w:val="Text0"/>
        </w:rPr>
        <w:t>'food'</w:t>
      </w:r>
      <w:r>
        <w:t xml:space="preserve"> element has a child with the tag </w:t>
      </w:r>
      <w:r>
        <w:rPr>
          <w:rStyle w:val="Text0"/>
        </w:rPr>
        <w:t>'name'</w:t>
      </w:r>
      <w:r>
        <w:t xml:space="preserve">, whose text is the food’s name, and a child with the tag </w:t>
      </w:r>
      <w:r>
        <w:rPr>
          <w:rStyle w:val="Text0"/>
        </w:rPr>
        <w:t>'calories'</w:t>
      </w:r>
      <w:r>
        <w:t>, whose text is the string representation of the integer number of calories in a portion of that food. In other words, a simplified representation of that XML file’s content of interest to the examples is:</w:t>
      </w:r>
    </w:p>
    <w:p>
      <w:pPr>
        <w:pStyle w:val="Para 116"/>
      </w:pPr>
      <w:r>
        <w:rPr>
          <w:rStyle w:val="Text118"/>
        </w:rPr>
        <w:t xml:space="preserve"/>
        <w:br w:clear="none"/>
      </w:r>
      <w:r>
        <w:t xml:space="preserve">&lt;breakfast_menu</w:t>
        <w:br w:clear="none"/>
        <w:t xml:space="preserve">&gt;</w:t>
        <w:br w:clear="none"/>
      </w:r>
      <w:r>
        <w:rPr>
          <w:rStyle w:val="Text68"/>
        </w:rPr>
        <w:t xml:space="preserve"/>
        <w:br w:clear="none"/>
      </w:r>
      <w:r>
        <w:rPr>
          <w:rStyle w:val="Text83"/>
        </w:rPr>
        <w:t xml:space="preserve">  </w:t>
        <w:br w:clear="none"/>
      </w:r>
      <w:r>
        <w:t xml:space="preserve">&lt;food</w:t>
        <w:br w:clear="none"/>
        <w:t xml:space="preserve">&gt;</w:t>
        <w:br w:clear="none"/>
      </w:r>
      <w:r>
        <w:rPr>
          <w:rStyle w:val="Text68"/>
        </w:rPr>
        <w:t xml:space="preserve"/>
        <w:br w:clear="none"/>
        <w:t xml:space="preserve">    </w:t>
        <w:br w:clear="none"/>
      </w:r>
      <w:r>
        <w:t xml:space="preserve">&lt;name</w:t>
        <w:br w:clear="none"/>
        <w:t xml:space="preserve">&gt;</w:t>
        <w:br w:clear="none"/>
      </w:r>
      <w:r>
        <w:rPr>
          <w:rStyle w:val="Text29"/>
        </w:rPr>
        <w:t xml:space="preserve">Belgian</w:t>
        <w:br w:clear="none"/>
      </w:r>
      <w:r>
        <w:rPr>
          <w:rStyle w:val="Text68"/>
        </w:rPr>
        <w:t xml:space="preserve"> </w:t>
        <w:br w:clear="none"/>
      </w:r>
      <w:r>
        <w:rPr>
          <w:rStyle w:val="Text29"/>
        </w:rPr>
        <w:t xml:space="preserve">Waffles</w:t>
        <w:br w:clear="none"/>
      </w:r>
      <w:r>
        <w:t xml:space="preserve">&lt;/name&gt;</w:t>
        <w:br w:clear="none"/>
      </w:r>
      <w:r>
        <w:rPr>
          <w:rStyle w:val="Text68"/>
        </w:rPr>
        <w:t xml:space="preserve"/>
        <w:br w:clear="none"/>
        <w:t xml:space="preserve">    </w:t>
        <w:br w:clear="none"/>
      </w:r>
      <w:r>
        <w:t xml:space="preserve">&lt;calories</w:t>
        <w:br w:clear="none"/>
        <w:t xml:space="preserve">&gt;</w:t>
        <w:br w:clear="none"/>
      </w:r>
      <w:r>
        <w:rPr>
          <w:rStyle w:val="Text29"/>
        </w:rPr>
        <w:t xml:space="preserve">650</w:t>
        <w:br w:clear="none"/>
      </w:r>
      <w:r>
        <w:t xml:space="preserve">&lt;/calories&gt;</w:t>
        <w:br w:clear="none"/>
      </w:r>
      <w:r>
        <w:rPr>
          <w:rStyle w:val="Text68"/>
        </w:rPr>
        <w:t xml:space="preserve"/>
        <w:br w:clear="none"/>
      </w:r>
      <w:r>
        <w:rPr>
          <w:rStyle w:val="Text83"/>
        </w:rPr>
        <w:t xml:space="preserve">  </w:t>
        <w:br w:clear="none"/>
      </w:r>
      <w:r>
        <w:t xml:space="preserve">&lt;/food&gt;</w:t>
        <w:br w:clear="none"/>
      </w:r>
      <w:r>
        <w:rPr>
          <w:rStyle w:val="Text68"/>
        </w:rPr>
        <w:t xml:space="preserve"/>
        <w:br w:clear="none"/>
      </w:r>
      <w:r>
        <w:rPr>
          <w:rStyle w:val="Text83"/>
        </w:rPr>
        <w:t xml:space="preserve">  </w:t>
        <w:br w:clear="none"/>
      </w:r>
      <w:r>
        <w:t xml:space="preserve">&lt;food</w:t>
        <w:br w:clear="none"/>
        <w:t xml:space="preserve">&gt;</w:t>
        <w:br w:clear="none"/>
      </w:r>
      <w:r>
        <w:rPr>
          <w:rStyle w:val="Text68"/>
        </w:rPr>
        <w:t xml:space="preserve"/>
        <w:br w:clear="none"/>
        <w:t xml:space="preserve">    </w:t>
        <w:br w:clear="none"/>
      </w:r>
      <w:r>
        <w:t xml:space="preserve">&lt;name</w:t>
        <w:br w:clear="none"/>
        <w:t xml:space="preserve">&gt;</w:t>
        <w:br w:clear="none"/>
      </w:r>
      <w:r>
        <w:rPr>
          <w:rStyle w:val="Text29"/>
        </w:rPr>
        <w:t xml:space="preserve">Strawberry</w:t>
        <w:br w:clear="none"/>
      </w:r>
      <w:r>
        <w:rPr>
          <w:rStyle w:val="Text68"/>
        </w:rPr>
        <w:t xml:space="preserve"> </w:t>
        <w:br w:clear="none"/>
      </w:r>
      <w:r>
        <w:rPr>
          <w:rStyle w:val="Text29"/>
        </w:rPr>
        <w:t xml:space="preserve">Belgian</w:t>
        <w:br w:clear="none"/>
      </w:r>
      <w:r>
        <w:rPr>
          <w:rStyle w:val="Text68"/>
        </w:rPr>
        <w:t xml:space="preserve"> </w:t>
        <w:br w:clear="none"/>
      </w:r>
      <w:r>
        <w:rPr>
          <w:rStyle w:val="Text29"/>
        </w:rPr>
        <w:t xml:space="preserve">Waffles</w:t>
        <w:br w:clear="none"/>
      </w:r>
      <w:r>
        <w:t xml:space="preserve">&lt;/name&gt;</w:t>
        <w:br w:clear="none"/>
      </w:r>
      <w:r>
        <w:rPr>
          <w:rStyle w:val="Text68"/>
        </w:rPr>
        <w:t xml:space="preserve"/>
        <w:br w:clear="none"/>
        <w:t xml:space="preserve">    </w:t>
        <w:br w:clear="none"/>
      </w:r>
      <w:r>
        <w:t xml:space="preserve">&lt;calories</w:t>
        <w:br w:clear="none"/>
        <w:t xml:space="preserve">&gt;</w:t>
        <w:br w:clear="none"/>
      </w:r>
      <w:r>
        <w:rPr>
          <w:rStyle w:val="Text29"/>
        </w:rPr>
        <w:t xml:space="preserve">900</w:t>
        <w:br w:clear="none"/>
      </w:r>
      <w:r>
        <w:t xml:space="preserve">&lt;/calories&gt;</w:t>
        <w:br w:clear="none"/>
      </w:r>
      <w:r>
        <w:rPr>
          <w:rStyle w:val="Text68"/>
        </w:rPr>
        <w:t xml:space="preserve"/>
        <w:br w:clear="none"/>
      </w:r>
      <w:r>
        <w:rPr>
          <w:rStyle w:val="Text83"/>
        </w:rPr>
        <w:t xml:space="preserve">  </w:t>
        <w:br w:clear="none"/>
      </w:r>
      <w:r>
        <w:t xml:space="preserve">&lt;/food&gt;</w:t>
        <w:br w:clear="none"/>
      </w:r>
      <w:r>
        <w:rPr>
          <w:rStyle w:val="Text68"/>
        </w:rPr>
        <w:t xml:space="preserve"/>
        <w:br w:clear="none"/>
      </w:r>
      <w:r>
        <w:rPr>
          <w:rStyle w:val="Text83"/>
        </w:rPr>
        <w:t xml:space="preserve">  </w:t>
        <w:br w:clear="none"/>
      </w:r>
      <w:r>
        <w:t xml:space="preserve">&lt;food</w:t>
        <w:br w:clear="none"/>
        <w:t xml:space="preserve">&gt;</w:t>
        <w:br w:clear="none"/>
      </w:r>
      <w:r>
        <w:rPr>
          <w:rStyle w:val="Text68"/>
        </w:rPr>
        <w:t xml:space="preserve"/>
        <w:br w:clear="none"/>
        <w:t xml:space="preserve">    </w:t>
        <w:br w:clear="none"/>
      </w:r>
      <w:r>
        <w:t xml:space="preserve">&lt;name</w:t>
        <w:br w:clear="none"/>
        <w:t xml:space="preserve">&gt;</w:t>
        <w:br w:clear="none"/>
      </w:r>
      <w:r>
        <w:rPr>
          <w:rStyle w:val="Text29"/>
        </w:rPr>
        <w:t xml:space="preserve">Berry-Berry</w:t>
        <w:br w:clear="none"/>
      </w:r>
      <w:r>
        <w:rPr>
          <w:rStyle w:val="Text68"/>
        </w:rPr>
        <w:t xml:space="preserve"> </w:t>
        <w:br w:clear="none"/>
      </w:r>
      <w:r>
        <w:rPr>
          <w:rStyle w:val="Text29"/>
        </w:rPr>
        <w:t xml:space="preserve">Belgian</w:t>
        <w:br w:clear="none"/>
      </w:r>
      <w:r>
        <w:rPr>
          <w:rStyle w:val="Text68"/>
        </w:rPr>
        <w:t xml:space="preserve"> </w:t>
        <w:br w:clear="none"/>
      </w:r>
      <w:r>
        <w:rPr>
          <w:rStyle w:val="Text29"/>
        </w:rPr>
        <w:t xml:space="preserve">Waffles</w:t>
        <w:br w:clear="none"/>
      </w:r>
      <w:r>
        <w:t xml:space="preserve">&lt;/name&gt;</w:t>
        <w:br w:clear="none"/>
      </w:r>
      <w:r>
        <w:rPr>
          <w:rStyle w:val="Text68"/>
        </w:rPr>
        <w:t xml:space="preserve"/>
        <w:br w:clear="none"/>
        <w:t xml:space="preserve">    </w:t>
        <w:br w:clear="none"/>
      </w:r>
      <w:r>
        <w:t xml:space="preserve">&lt;calories</w:t>
        <w:br w:clear="none"/>
        <w:t xml:space="preserve">&gt;</w:t>
        <w:br w:clear="none"/>
      </w:r>
      <w:r>
        <w:rPr>
          <w:rStyle w:val="Text29"/>
        </w:rPr>
        <w:t xml:space="preserve">900</w:t>
        <w:br w:clear="none"/>
      </w:r>
      <w:r>
        <w:t xml:space="preserve">&lt;/calories&gt;</w:t>
        <w:br w:clear="none"/>
      </w:r>
      <w:r>
        <w:rPr>
          <w:rStyle w:val="Text68"/>
        </w:rPr>
        <w:t xml:space="preserve"/>
        <w:br w:clear="none"/>
      </w:r>
      <w:r>
        <w:rPr>
          <w:rStyle w:val="Text83"/>
        </w:rPr>
        <w:t xml:space="preserve">  </w:t>
        <w:br w:clear="none"/>
      </w:r>
      <w:r>
        <w:t xml:space="preserve">&lt;/food&gt;</w:t>
        <w:br w:clear="none"/>
      </w:r>
      <w:r>
        <w:rPr>
          <w:rStyle w:val="Text68"/>
        </w:rPr>
        <w:t xml:space="preserve"/>
        <w:br w:clear="none"/>
      </w:r>
      <w:r>
        <w:rPr>
          <w:rStyle w:val="Text83"/>
        </w:rPr>
        <w:t xml:space="preserve">  </w:t>
        <w:br w:clear="none"/>
      </w:r>
      <w:r>
        <w:t xml:space="preserve">&lt;food</w:t>
        <w:br w:clear="none"/>
        <w:t xml:space="preserve">&gt;</w:t>
        <w:br w:clear="none"/>
      </w:r>
      <w:r>
        <w:rPr>
          <w:rStyle w:val="Text68"/>
        </w:rPr>
        <w:t xml:space="preserve"/>
        <w:br w:clear="none"/>
        <w:t xml:space="preserve">    </w:t>
        <w:br w:clear="none"/>
      </w:r>
      <w:r>
        <w:t xml:space="preserve">&lt;name</w:t>
        <w:br w:clear="none"/>
        <w:t xml:space="preserve">&gt;</w:t>
        <w:br w:clear="none"/>
      </w:r>
      <w:r>
        <w:rPr>
          <w:rStyle w:val="Text29"/>
        </w:rPr>
        <w:t xml:space="preserve">French</w:t>
        <w:br w:clear="none"/>
      </w:r>
      <w:r>
        <w:rPr>
          <w:rStyle w:val="Text68"/>
        </w:rPr>
        <w:t xml:space="preserve"> </w:t>
        <w:br w:clear="none"/>
      </w:r>
      <w:r>
        <w:rPr>
          <w:rStyle w:val="Text29"/>
        </w:rPr>
        <w:t xml:space="preserve">Toast</w:t>
        <w:br w:clear="none"/>
      </w:r>
      <w:r>
        <w:t xml:space="preserve">&lt;/name&gt;</w:t>
        <w:br w:clear="none"/>
      </w:r>
      <w:r>
        <w:rPr>
          <w:rStyle w:val="Text68"/>
        </w:rPr>
        <w:t xml:space="preserve"/>
        <w:br w:clear="none"/>
        <w:t xml:space="preserve">    </w:t>
        <w:br w:clear="none"/>
      </w:r>
      <w:r>
        <w:t xml:space="preserve">&lt;calories</w:t>
        <w:br w:clear="none"/>
        <w:t xml:space="preserve">&gt;</w:t>
        <w:br w:clear="none"/>
      </w:r>
      <w:r>
        <w:rPr>
          <w:rStyle w:val="Text29"/>
        </w:rPr>
        <w:t xml:space="preserve">600</w:t>
        <w:br w:clear="none"/>
      </w:r>
      <w:r>
        <w:t xml:space="preserve">&lt;/calories&gt;</w:t>
        <w:br w:clear="none"/>
      </w:r>
      <w:r>
        <w:rPr>
          <w:rStyle w:val="Text68"/>
        </w:rPr>
        <w:t xml:space="preserve"/>
        <w:br w:clear="none"/>
      </w:r>
      <w:r>
        <w:rPr>
          <w:rStyle w:val="Text83"/>
        </w:rPr>
        <w:t xml:space="preserve">  </w:t>
        <w:br w:clear="none"/>
      </w:r>
      <w:r>
        <w:t xml:space="preserve">&lt;/food&gt;</w:t>
        <w:br w:clear="none"/>
      </w:r>
      <w:r>
        <w:rPr>
          <w:rStyle w:val="Text68"/>
        </w:rPr>
        <w:t xml:space="preserve"/>
        <w:br w:clear="none"/>
      </w:r>
      <w:r>
        <w:rPr>
          <w:rStyle w:val="Text83"/>
        </w:rPr>
        <w:t xml:space="preserve">  </w:t>
        <w:br w:clear="none"/>
      </w:r>
      <w:r>
        <w:t xml:space="preserve">&lt;food</w:t>
        <w:br w:clear="none"/>
        <w:t xml:space="preserve">&gt;</w:t>
        <w:br w:clear="none"/>
      </w:r>
      <w:r>
        <w:rPr>
          <w:rStyle w:val="Text68"/>
        </w:rPr>
        <w:t xml:space="preserve"/>
        <w:br w:clear="none"/>
        <w:t xml:space="preserve">    </w:t>
        <w:br w:clear="none"/>
      </w:r>
      <w:r>
        <w:t xml:space="preserve">&lt;name</w:t>
        <w:br w:clear="none"/>
        <w:t xml:space="preserve">&gt;</w:t>
        <w:br w:clear="none"/>
      </w:r>
      <w:r>
        <w:rPr>
          <w:rStyle w:val="Text29"/>
        </w:rPr>
        <w:t xml:space="preserve">Homestyle</w:t>
        <w:br w:clear="none"/>
      </w:r>
      <w:r>
        <w:rPr>
          <w:rStyle w:val="Text68"/>
        </w:rPr>
        <w:t xml:space="preserve"> </w:t>
        <w:br w:clear="none"/>
      </w:r>
      <w:r>
        <w:rPr>
          <w:rStyle w:val="Text29"/>
        </w:rPr>
        <w:t xml:space="preserve">Breakfast</w:t>
        <w:br w:clear="none"/>
      </w:r>
      <w:r>
        <w:t xml:space="preserve">&lt;/name&gt;</w:t>
        <w:br w:clear="none"/>
      </w:r>
      <w:r>
        <w:rPr>
          <w:rStyle w:val="Text68"/>
        </w:rPr>
        <w:t xml:space="preserve"/>
        <w:br w:clear="none"/>
        <w:t xml:space="preserve">    </w:t>
        <w:br w:clear="none"/>
      </w:r>
      <w:r>
        <w:t xml:space="preserve">&lt;calories</w:t>
        <w:br w:clear="none"/>
        <w:t xml:space="preserve">&gt;</w:t>
        <w:br w:clear="none"/>
      </w:r>
      <w:r>
        <w:rPr>
          <w:rStyle w:val="Text29"/>
        </w:rPr>
        <w:t xml:space="preserve">950</w:t>
        <w:br w:clear="none"/>
      </w:r>
      <w:r>
        <w:t xml:space="preserve">&lt;/calories&gt;</w:t>
        <w:br w:clear="none"/>
      </w:r>
      <w:r>
        <w:rPr>
          <w:rStyle w:val="Text68"/>
        </w:rPr>
        <w:t xml:space="preserve"/>
        <w:br w:clear="none"/>
      </w:r>
      <w:r>
        <w:rPr>
          <w:rStyle w:val="Text83"/>
        </w:rPr>
        <w:t xml:space="preserve">  </w:t>
        <w:br w:clear="none"/>
      </w:r>
      <w:r>
        <w:t xml:space="preserve">&lt;/food&gt;</w:t>
        <w:br w:clear="none"/>
      </w:r>
      <w:r>
        <w:rPr>
          <w:rStyle w:val="Text68"/>
        </w:rPr>
        <w:t xml:space="preserve"/>
        <w:br w:clear="none"/>
      </w:r>
      <w:r>
        <w:t xml:space="preserve">&lt;/breakfast_menu&gt;</w:t>
        <w:br w:clear="none"/>
      </w:r>
    </w:p>
    <w:p>
      <w:pPr>
        <w:pStyle w:val="Normal"/>
      </w:pPr>
      <w:r>
        <w:t xml:space="preserve">Since the XML document lives at a WWW URL, you start by obtaining a file-like object with that content, and passing it to </w:t>
      </w:r>
      <w:r>
        <w:rPr>
          <w:rStyle w:val="Text0"/>
        </w:rPr>
        <w:t>parse</w:t>
      </w:r>
      <w:r>
        <w:t xml:space="preserve">; the simplest way uses the </w:t>
      </w:r>
      <w:r>
        <w:rPr>
          <w:rStyle w:val="Text0"/>
        </w:rPr>
        <w:t>urllib.request</w:t>
      </w:r>
      <w:r>
        <w:t xml:space="preserve"> module:</w:t>
      </w:r>
    </w:p>
    <w:p>
      <w:pPr>
        <w:pStyle w:val="Para 007"/>
      </w:pPr>
      <w:r>
        <w:rPr>
          <w:rStyle w:val="Text23"/>
        </w:rPr>
        <w:t xml:space="preserve"/>
        <w:br w:clear="none"/>
      </w:r>
      <w:r>
        <w:rPr>
          <w:rStyle w:val="Text10"/>
        </w:rPr>
        <w:t xml:space="preserve">from</w:t>
        <w:br w:clear="none"/>
      </w:r>
      <w:r>
        <w:rPr>
          <w:rStyle w:val="Text29"/>
        </w:rPr>
        <w:t xml:space="preserve"> </w:t>
        <w:br w:clear="none"/>
      </w:r>
      <w:r>
        <w:rPr>
          <w:rStyle w:val="Text54"/>
        </w:rPr>
        <w:t xml:space="preserve">urllib</w:t>
        <w:br w:clear="none"/>
      </w:r>
      <w:r>
        <w:rPr>
          <w:rStyle w:val="Text29"/>
        </w:rPr>
        <w:t xml:space="preserve"> </w:t>
        <w:br w:clear="none"/>
      </w:r>
      <w:r>
        <w:rPr>
          <w:rStyle w:val="Text10"/>
        </w:rPr>
        <w:t xml:space="preserve">import</w:t>
        <w:br w:clear="none"/>
      </w:r>
      <w:r>
        <w:rPr>
          <w:rStyle w:val="Text6"/>
        </w:rPr>
        <w:t xml:space="preserve"> </w:t>
        <w:br w:clear="none"/>
      </w:r>
      <w:r>
        <w:t xml:space="preserve">request</w:t>
        <w:br w:clear="none"/>
      </w:r>
      <w:r>
        <w:rPr>
          <w:rStyle w:val="Text6"/>
        </w:rPr>
        <w:t xml:space="preserve"/>
        <w:br w:clear="none"/>
      </w:r>
      <w:r>
        <w:rPr>
          <w:rStyle w:val="Text10"/>
        </w:rPr>
        <w:t xml:space="preserve">from</w:t>
        <w:br w:clear="none"/>
      </w:r>
      <w:r>
        <w:rPr>
          <w:rStyle w:val="Text29"/>
        </w:rPr>
        <w:t xml:space="preserve"> </w:t>
        <w:br w:clear="none"/>
      </w:r>
      <w:r>
        <w:rPr>
          <w:rStyle w:val="Text54"/>
        </w:rPr>
        <w:t xml:space="preserve">xml</w:t>
        <w:br w:clear="none"/>
        <w:t xml:space="preserve">.</w:t>
        <w:br w:clear="none"/>
        <w:t xml:space="preserve">etree</w:t>
        <w:br w:clear="none"/>
      </w:r>
      <w:r>
        <w:rPr>
          <w:rStyle w:val="Text29"/>
        </w:rPr>
        <w:t xml:space="preserve"> </w:t>
        <w:br w:clear="none"/>
      </w:r>
      <w:r>
        <w:rPr>
          <w:rStyle w:val="Text10"/>
        </w:rPr>
        <w:t xml:space="preserve">import</w:t>
        <w:br w:clear="none"/>
      </w:r>
      <w:r>
        <w:rPr>
          <w:rStyle w:val="Text6"/>
        </w:rPr>
        <w:t xml:space="preserve"> </w:t>
        <w:br w:clear="none"/>
      </w:r>
      <w:r>
        <w:t xml:space="preserve">ElementTree</w:t>
        <w:br w:clear="none"/>
      </w:r>
      <w:r>
        <w:rPr>
          <w:rStyle w:val="Text6"/>
        </w:rPr>
        <w:t xml:space="preserve"> </w:t>
        <w:br w:clear="none"/>
      </w:r>
      <w:r>
        <w:rPr>
          <w:rStyle w:val="Text10"/>
        </w:rPr>
        <w:t xml:space="preserve">as</w:t>
        <w:br w:clear="none"/>
      </w:r>
      <w:r>
        <w:rPr>
          <w:rStyle w:val="Text6"/>
        </w:rPr>
        <w:t xml:space="preserve"> </w:t>
        <w:br w:clear="none"/>
      </w:r>
      <w:r>
        <w:t xml:space="preserve">et</w:t>
        <w:br w:clear="none"/>
      </w:r>
      <w:r>
        <w:rPr>
          <w:rStyle w:val="Text6"/>
        </w:rPr>
        <w:t xml:space="preserve"/>
        <w:br w:clear="none"/>
      </w:r>
      <w:r>
        <w:t xml:space="preserve">content</w:t>
        <w:br w:clear="none"/>
      </w:r>
      <w:r>
        <w:rPr>
          <w:rStyle w:val="Text6"/>
        </w:rPr>
        <w:t xml:space="preserve"> </w:t>
        <w:br w:clear="none"/>
      </w:r>
      <w:r>
        <w:rPr>
          <w:rStyle w:val="Text13"/>
        </w:rPr>
        <w:t xml:space="preserve">=</w:t>
        <w:br w:clear="none"/>
      </w:r>
      <w:r>
        <w:rPr>
          <w:rStyle w:val="Text6"/>
        </w:rPr>
        <w:t xml:space="preserve"> </w:t>
        <w:br w:clear="none"/>
      </w:r>
      <w:r>
        <w:t xml:space="preserve">request</w:t>
        <w:br w:clear="none"/>
      </w:r>
      <w:r>
        <w:rPr>
          <w:rStyle w:val="Text13"/>
        </w:rPr>
        <w:t xml:space="preserve">.</w:t>
        <w:br w:clear="none"/>
      </w:r>
      <w:r>
        <w:t xml:space="preserve">urlopen</w:t>
        <w:br w:clear="none"/>
      </w:r>
      <w:r>
        <w:rPr>
          <w:rStyle w:val="Text7"/>
        </w:rPr>
        <w:t xml:space="preserve">(</w:t>
        <w:br w:clear="none"/>
      </w:r>
      <w:r>
        <w:rPr>
          <w:rStyle w:val="Text8"/>
        </w:rPr>
        <w:t xml:space="preserve">'</w:t>
        <w:br w:clear="none"/>
        <w:t xml:space="preserve">http://www.w3schools.com/xml/simple.xml</w:t>
        <w:br w:clear="none"/>
        <w:t xml:space="preserve">'</w:t>
        <w:br w:clear="none"/>
      </w:r>
      <w:r>
        <w:rPr>
          <w:rStyle w:val="Text7"/>
        </w:rPr>
        <w:t xml:space="preserve">)</w:t>
        <w:br w:clear="none"/>
      </w:r>
      <w:r>
        <w:rPr>
          <w:rStyle w:val="Text6"/>
        </w:rPr>
        <w:t xml:space="preserve"/>
        <w:br w:clear="none"/>
      </w:r>
      <w:r>
        <w:t xml:space="preserve">tree</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parse</w:t>
        <w:br w:clear="none"/>
      </w:r>
      <w:r>
        <w:rPr>
          <w:rStyle w:val="Text7"/>
        </w:rPr>
        <w:t xml:space="preserve">(</w:t>
        <w:br w:clear="none"/>
      </w:r>
      <w:r>
        <w:t xml:space="preserve">content</w:t>
        <w:br w:clear="none"/>
      </w:r>
      <w:r>
        <w:rPr>
          <w:rStyle w:val="Text7"/>
        </w:rPr>
        <w:t xml:space="preserve">)</w:t>
        <w:br w:clear="none"/>
      </w:r>
    </w:p>
    <w:p>
      <w:bookmarkStart w:id="4406" w:name="Selecting_Elements_from_an_Eleme"/>
      <w:pPr>
        <w:keepNext/>
        <w:pStyle w:val="Heading 2"/>
      </w:pPr>
      <w:r>
        <w:t>Selecting Elements from an ElementTree</w:t>
      </w:r>
      <w:bookmarkEnd w:id="4406"/>
    </w:p>
    <w:p>
      <w:pPr>
        <w:pStyle w:val="Normal"/>
      </w:pPr>
      <w:r>
        <w:t>Let’s say that we want to print on standard output the calories and names of the various foods, in order of increasing calories, with ties broken alphabetically. Here’s the code for this task:</w:t>
      </w:r>
    </w:p>
    <w:p>
      <w:pPr>
        <w:pStyle w:val="Para 007"/>
      </w:pPr>
      <w:r>
        <w:rPr>
          <w:rStyle w:val="Text23"/>
        </w:rPr>
        <w:t xml:space="preserve"/>
        <w:br w:clear="none"/>
      </w:r>
      <w:r>
        <w:rPr>
          <w:rStyle w:val="Text10"/>
        </w:rPr>
        <w:t xml:space="preserve">def</w:t>
        <w:br w:clear="none"/>
      </w:r>
      <w:r>
        <w:rPr>
          <w:rStyle w:val="Text6"/>
        </w:rPr>
        <w:t xml:space="preserve"> </w:t>
        <w:br w:clear="none"/>
      </w:r>
      <w:r>
        <w:rPr>
          <w:rStyle w:val="Text18"/>
        </w:rPr>
        <w:t xml:space="preserve">bycal_and_name</w:t>
        <w:br w:clear="none"/>
      </w:r>
      <w:r>
        <w:rPr>
          <w:rStyle w:val="Text7"/>
        </w:rPr>
        <w:t xml:space="preserve">(</w:t>
        <w:br w:clear="none"/>
      </w:r>
      <w:r>
        <w:t xml:space="preserve">e</w:t>
        <w:br w:clear="none"/>
      </w:r>
      <w:r>
        <w:rPr>
          <w:rStyle w:val="Text7"/>
        </w:rPr>
        <w:t xml:space="preserve">)</w:t>
        <w:br w:clear="none"/>
        <w:t xml:space="preserve">:</w:t>
        <w:br w:clear="none"/>
      </w:r>
      <w:r>
        <w:rPr>
          <w:rStyle w:val="Text6"/>
        </w:rPr>
        <w:t xml:space="preserve"/>
        <w:br w:clear="none"/>
        <w:t xml:space="preserve">    </w:t>
        <w:br w:clear="none"/>
      </w:r>
      <w:r>
        <w:rPr>
          <w:rStyle w:val="Text10"/>
        </w:rPr>
        <w:t xml:space="preserve">return</w:t>
        <w:br w:clear="none"/>
      </w:r>
      <w:r>
        <w:rPr>
          <w:rStyle w:val="Text6"/>
        </w:rPr>
        <w:t xml:space="preserve"> </w:t>
        <w:br w:clear="none"/>
      </w:r>
      <w:r>
        <w:rPr>
          <w:rStyle w:val="Text16"/>
        </w:rPr>
        <w:t xml:space="preserve">int</w:t>
        <w:br w:clear="none"/>
      </w:r>
      <w:r>
        <w:rPr>
          <w:rStyle w:val="Text7"/>
        </w:rPr>
        <w:t xml:space="preserve">(</w:t>
        <w:br w:clear="none"/>
      </w:r>
      <w:r>
        <w:t xml:space="preserve">e</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calories</w:t>
        <w:br w:clear="none"/>
        <w:t xml:space="preserve">'</w:t>
        <w:br w:clear="none"/>
      </w:r>
      <w:r>
        <w:rPr>
          <w:rStyle w:val="Text7"/>
        </w:rPr>
        <w:t xml:space="preserve">)</w:t>
        <w:br w:clear="none"/>
      </w:r>
      <w:r>
        <w:rPr>
          <w:rStyle w:val="Text13"/>
        </w:rPr>
        <w:t xml:space="preserve">.</w:t>
        <w:br w:clear="none"/>
      </w:r>
      <w:r>
        <w:t xml:space="preserve">text</w:t>
        <w:br w:clear="none"/>
      </w:r>
      <w:r>
        <w:rPr>
          <w:rStyle w:val="Text7"/>
        </w:rPr>
        <w:t xml:space="preserve">)</w:t>
        <w:br w:clear="none"/>
        <w:t xml:space="preserve">,</w:t>
        <w:br w:clear="none"/>
      </w:r>
      <w:r>
        <w:rPr>
          <w:rStyle w:val="Text6"/>
        </w:rPr>
        <w:t xml:space="preserve"> </w:t>
        <w:br w:clear="none"/>
      </w:r>
      <w:r>
        <w:t xml:space="preserve">e</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13"/>
        </w:rPr>
        <w:t xml:space="preserve">.</w:t>
        <w:br w:clear="none"/>
      </w:r>
      <w:r>
        <w:t xml:space="preserve">text</w:t>
        <w:br w:clear="none"/>
      </w:r>
      <w:r>
        <w:rPr>
          <w:rStyle w:val="Text6"/>
        </w:rPr>
        <w:t xml:space="preserve"/>
        <w:br w:clear="none"/>
        <w:t xml:space="preserve"/>
        <w:br w:clear="none"/>
      </w:r>
      <w:r>
        <w:rPr>
          <w:rStyle w:val="Text10"/>
        </w:rPr>
        <w:t xml:space="preserve">for</w:t>
        <w:br w:clear="none"/>
      </w:r>
      <w:r>
        <w:rPr>
          <w:rStyle w:val="Text29"/>
        </w:rPr>
        <w:t xml:space="preserve"> </w:t>
        <w:br w:clear="none"/>
      </w:r>
      <w:r>
        <w:rPr>
          <w:rStyle w:val="Text37"/>
        </w:rPr>
        <w:t xml:space="preserve">e</w:t>
        <w:br w:clear="none"/>
      </w:r>
      <w:r>
        <w:rPr>
          <w:rStyle w:val="Text29"/>
        </w:rPr>
        <w:t xml:space="preserve"> </w:t>
        <w:br w:clear="none"/>
      </w:r>
      <w:r>
        <w:rPr>
          <w:rStyle w:val="Text31"/>
        </w:rPr>
        <w:t xml:space="preserve">in</w:t>
        <w:br w:clear="none"/>
      </w:r>
      <w:r>
        <w:rPr>
          <w:rStyle w:val="Text6"/>
        </w:rPr>
        <w:t xml:space="preserve"> </w:t>
        <w:br w:clear="none"/>
      </w:r>
      <w:r>
        <w:rPr>
          <w:rStyle w:val="Text16"/>
        </w:rPr>
        <w:t xml:space="preserve">sorted</w:t>
        <w:br w:clear="none"/>
      </w:r>
      <w:r>
        <w:rPr>
          <w:rStyle w:val="Text7"/>
        </w:rPr>
        <w:t xml:space="preserve">(</w:t>
        <w:br w:clear="none"/>
      </w:r>
      <w:r>
        <w:t xml:space="preserve">tree</w:t>
        <w:br w:clear="none"/>
      </w:r>
      <w:r>
        <w:rPr>
          <w:rStyle w:val="Text13"/>
        </w:rPr>
        <w:t xml:space="preserve">.</w:t>
        <w:br w:clear="none"/>
      </w:r>
      <w:r>
        <w:t xml:space="preserve">findall</w:t>
        <w:br w:clear="none"/>
      </w:r>
      <w:r>
        <w:rPr>
          <w:rStyle w:val="Text7"/>
        </w:rPr>
        <w:t xml:space="preserve">(</w:t>
        <w:br w:clear="none"/>
      </w:r>
      <w:r>
        <w:rPr>
          <w:rStyle w:val="Text8"/>
        </w:rPr>
        <w:t xml:space="preserve">'</w:t>
        <w:br w:clear="none"/>
        <w:t xml:space="preserve">food</w:t>
        <w:br w:clear="none"/>
        <w:t xml:space="preserve">'</w:t>
        <w:br w:clear="none"/>
      </w:r>
      <w:r>
        <w:rPr>
          <w:rStyle w:val="Text7"/>
        </w:rPr>
        <w:t xml:space="preserve">)</w:t>
        <w:br w:clear="none"/>
        <w:t xml:space="preserve">,</w:t>
        <w:br w:clear="none"/>
      </w:r>
      <w:r>
        <w:rPr>
          <w:rStyle w:val="Text6"/>
        </w:rPr>
        <w:t xml:space="preserve"> </w:t>
        <w:br w:clear="none"/>
      </w:r>
      <w:r>
        <w:t xml:space="preserve">key</w:t>
        <w:br w:clear="none"/>
      </w:r>
      <w:r>
        <w:rPr>
          <w:rStyle w:val="Text13"/>
        </w:rPr>
        <w:t xml:space="preserve">=</w:t>
        <w:br w:clear="none"/>
      </w:r>
      <w:r>
        <w:t xml:space="preserve">bycal_and_name</w:t>
        <w:br w:clear="none"/>
      </w:r>
      <w:r>
        <w:rPr>
          <w:rStyle w:val="Text7"/>
        </w:rPr>
        <w:t xml:space="preserve">)</w:t>
        <w:br w:clear="none"/>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rPr>
          <w:rStyle w:val="Text6"/>
        </w:rPr>
        <w:t xml:space="preserve">f</w:t>
        <w:br w:clear="none"/>
      </w:r>
      <w:r>
        <w:rPr>
          <w:rStyle w:val="Text8"/>
        </w:rPr>
        <w:t xml:space="preserve">"</w:t>
        <w:br w:clear="none"/>
      </w:r>
      <w:r>
        <w:rPr>
          <w:rStyle w:val="Text32"/>
        </w:rPr>
        <w:t xml:space="preserve">{</w:t>
        <w:br w:clear="none"/>
      </w:r>
      <w:r>
        <w:t xml:space="preserve">e</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calories</w:t>
        <w:br w:clear="none"/>
        <w:t xml:space="preserve">'</w:t>
        <w:br w:clear="none"/>
      </w:r>
      <w:r>
        <w:rPr>
          <w:rStyle w:val="Text7"/>
        </w:rPr>
        <w:t xml:space="preserve">)</w:t>
        <w:br w:clear="none"/>
      </w:r>
      <w:r>
        <w:rPr>
          <w:rStyle w:val="Text13"/>
        </w:rPr>
        <w:t xml:space="preserve">.</w:t>
        <w:br w:clear="none"/>
      </w:r>
      <w:r>
        <w:t xml:space="preserve">text</w:t>
        <w:br w:clear="none"/>
      </w:r>
      <w:r>
        <w:rPr>
          <w:rStyle w:val="Text32"/>
        </w:rPr>
        <w:t xml:space="preserve">}</w:t>
        <w:br w:clear="none"/>
      </w:r>
      <w:r>
        <w:rPr>
          <w:rStyle w:val="Text8"/>
        </w:rPr>
        <w:t xml:space="preserve"> </w:t>
        <w:br w:clear="none"/>
      </w:r>
      <w:r>
        <w:rPr>
          <w:rStyle w:val="Text32"/>
        </w:rPr>
        <w:t xml:space="preserve">{</w:t>
        <w:br w:clear="none"/>
      </w:r>
      <w:r>
        <w:t xml:space="preserve">e</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13"/>
        </w:rPr>
        <w:t xml:space="preserve">.</w:t>
        <w:br w:clear="none"/>
      </w:r>
      <w:r>
        <w:t xml:space="preserve">text</w:t>
        <w:br w:clear="none"/>
      </w:r>
      <w:r>
        <w:rPr>
          <w:rStyle w:val="Text32"/>
        </w:rPr>
        <w:t xml:space="preserve">}</w:t>
        <w:br w:clear="none"/>
      </w:r>
      <w:r>
        <w:rPr>
          <w:rStyle w:val="Text8"/>
        </w:rPr>
        <w:t xml:space="preserve">"</w:t>
        <w:br w:clear="none"/>
      </w:r>
      <w:r>
        <w:rPr>
          <w:rStyle w:val="Text7"/>
        </w:rPr>
        <w:t xml:space="preserve">)</w:t>
        <w:br w:clear="none"/>
      </w:r>
    </w:p>
    <w:p>
      <w:pPr>
        <w:pStyle w:val="Normal"/>
      </w:pPr>
      <w:r>
        <w:t>When run, this prints:</w:t>
      </w:r>
    </w:p>
    <w:p>
      <w:pPr>
        <w:pStyle w:val="Para 008"/>
      </w:pPr>
      <w:r>
        <w:rPr>
          <w:rStyle w:val="Text48"/>
        </w:rPr>
        <w:t xml:space="preserve"/>
        <w:br w:clear="none"/>
      </w:r>
      <w:r>
        <w:t xml:space="preserve">600 French Toast</w:t>
        <w:br w:clear="none"/>
      </w:r>
      <w:r>
        <w:rPr>
          <w:rStyle w:val="Text48"/>
        </w:rPr>
        <w:t xml:space="preserve"/>
        <w:br w:clear="none"/>
      </w:r>
      <w:r>
        <w:t xml:space="preserve">650 Belgian Waffles</w:t>
        <w:br w:clear="none"/>
      </w:r>
      <w:r>
        <w:rPr>
          <w:rStyle w:val="Text48"/>
        </w:rPr>
        <w:t xml:space="preserve"/>
        <w:br w:clear="none"/>
      </w:r>
      <w:r>
        <w:t xml:space="preserve">900 Berry-Berry Belgian Waffles</w:t>
        <w:br w:clear="none"/>
      </w:r>
      <w:r>
        <w:rPr>
          <w:rStyle w:val="Text48"/>
        </w:rPr>
        <w:t xml:space="preserve"/>
        <w:br w:clear="none"/>
      </w:r>
      <w:r>
        <w:t xml:space="preserve">900 Strawberry Belgian Waffles</w:t>
        <w:br w:clear="none"/>
      </w:r>
      <w:r>
        <w:rPr>
          <w:rStyle w:val="Text48"/>
        </w:rPr>
        <w:t xml:space="preserve"/>
        <w:br w:clear="none"/>
      </w:r>
      <w:r>
        <w:t xml:space="preserve">950 Homestyle Breakfast</w:t>
        <w:br w:clear="none"/>
      </w:r>
    </w:p>
    <w:p>
      <w:bookmarkStart w:id="4407" w:name="Editing_an_ElementTree__Once_an"/>
      <w:pPr>
        <w:keepNext/>
        <w:pStyle w:val="Heading 2"/>
      </w:pPr>
      <w:r>
        <w:t>Editing an ElementTree</w:t>
      </w:r>
      <w:bookmarkEnd w:id="4407"/>
    </w:p>
    <w:p>
      <w:pPr>
        <w:pStyle w:val="Normal"/>
      </w:pPr>
      <w:r>
        <w:t xml:space="preserve">Once an </w:t>
      </w:r>
      <w:r>
        <w:rPr>
          <w:rStyle w:val="Text0"/>
        </w:rPr>
        <w:t>ElementTree</w:t>
      </w:r>
      <w:r>
        <w:t xml:space="preserve"> is built (be that via parsing, or otherwise), you can “edit” it—inserting, deleting, and/or altering nodes (elements)—via various methods of the </w:t>
      </w:r>
      <w:r>
        <w:rPr>
          <w:rStyle w:val="Text0"/>
        </w:rPr>
        <w:t>ElementTree</w:t>
      </w:r>
      <w:r>
        <w:t xml:space="preserve"> and </w:t>
      </w:r>
      <w:r>
        <w:rPr>
          <w:rStyle w:val="Text0"/>
        </w:rPr>
        <w:t>Element</w:t>
      </w:r>
      <w:r>
        <w:t xml:space="preserve"> classes, and module functions. For example, suppose our program is reliably informed that a new food has been added to the menu—buttered toast, two slices of white bread toasted and buttered, 180 calories—while any food whose name contains “berry,” case insensitive, has been removed. The “editing the tree” part for these specs can be coded as follows:</w:t>
      </w:r>
    </w:p>
    <w:p>
      <w:pPr>
        <w:pStyle w:val="Para 007"/>
      </w:pPr>
      <w:r>
        <w:rPr>
          <w:rStyle w:val="Text23"/>
        </w:rPr>
        <w:t xml:space="preserve"/>
        <w:br w:clear="none"/>
      </w:r>
      <w:r>
        <w:rPr>
          <w:rStyle w:val="Text15"/>
        </w:rPr>
        <w:t xml:space="preserve"># add Buttered Toast to the menu</w:t>
        <w:br w:clear="none"/>
      </w:r>
      <w:r>
        <w:rPr>
          <w:rStyle w:val="Text6"/>
        </w:rPr>
        <w:t xml:space="preserve"/>
        <w:br w:clear="none"/>
      </w:r>
      <w:r>
        <w:t xml:space="preserve">menu</w:t>
        <w:br w:clear="none"/>
      </w:r>
      <w:r>
        <w:rPr>
          <w:rStyle w:val="Text6"/>
        </w:rPr>
        <w:t xml:space="preserve"> </w:t>
        <w:br w:clear="none"/>
      </w:r>
      <w:r>
        <w:rPr>
          <w:rStyle w:val="Text13"/>
        </w:rPr>
        <w:t xml:space="preserve">=</w:t>
        <w:br w:clear="none"/>
      </w:r>
      <w:r>
        <w:rPr>
          <w:rStyle w:val="Text6"/>
        </w:rPr>
        <w:t xml:space="preserve"> </w:t>
        <w:br w:clear="none"/>
      </w:r>
      <w:r>
        <w:t xml:space="preserve">tree</w:t>
        <w:br w:clear="none"/>
      </w:r>
      <w:r>
        <w:rPr>
          <w:rStyle w:val="Text13"/>
        </w:rPr>
        <w:t xml:space="preserve">.</w:t>
        <w:br w:clear="none"/>
      </w:r>
      <w:r>
        <w:t xml:space="preserve">getroot</w:t>
        <w:br w:clear="none"/>
      </w:r>
      <w:r>
        <w:rPr>
          <w:rStyle w:val="Text7"/>
        </w:rPr>
        <w:t xml:space="preserve">(</w:t>
        <w:br w:clear="none"/>
        <w:t xml:space="preserve">)</w:t>
        <w:br w:clear="none"/>
      </w:r>
      <w:r>
        <w:rPr>
          <w:rStyle w:val="Text6"/>
        </w:rPr>
        <w:t xml:space="preserve"/>
        <w:br w:clear="none"/>
      </w:r>
      <w:r>
        <w:t xml:space="preserve">toast</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menu</w:t>
        <w:br w:clear="none"/>
      </w:r>
      <w:r>
        <w:rPr>
          <w:rStyle w:val="Text7"/>
        </w:rPr>
        <w:t xml:space="preserve">,</w:t>
        <w:br w:clear="none"/>
      </w:r>
      <w:r>
        <w:rPr>
          <w:rStyle w:val="Text6"/>
        </w:rPr>
        <w:t xml:space="preserve"> </w:t>
        <w:br w:clear="none"/>
      </w:r>
      <w:r>
        <w:rPr>
          <w:rStyle w:val="Text8"/>
        </w:rPr>
        <w:t xml:space="preserve">'</w:t>
        <w:br w:clear="none"/>
        <w:t xml:space="preserve">food</w:t>
        <w:br w:clear="none"/>
        <w:t xml:space="preserve">'</w:t>
        <w:br w:clear="none"/>
      </w:r>
      <w:r>
        <w:rPr>
          <w:rStyle w:val="Text7"/>
        </w:rPr>
        <w:t xml:space="preserve">)</w:t>
        <w:br w:clear="none"/>
      </w:r>
      <w:r>
        <w:rPr>
          <w:rStyle w:val="Text6"/>
        </w:rPr>
        <w:t xml:space="preserve"/>
        <w:br w:clear="none"/>
      </w:r>
      <w:r>
        <w:t xml:space="preserve">tcals</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toast</w:t>
        <w:br w:clear="none"/>
      </w:r>
      <w:r>
        <w:rPr>
          <w:rStyle w:val="Text7"/>
        </w:rPr>
        <w:t xml:space="preserve">,</w:t>
        <w:br w:clear="none"/>
      </w:r>
      <w:r>
        <w:rPr>
          <w:rStyle w:val="Text6"/>
        </w:rPr>
        <w:t xml:space="preserve"> </w:t>
        <w:br w:clear="none"/>
      </w:r>
      <w:r>
        <w:rPr>
          <w:rStyle w:val="Text8"/>
        </w:rPr>
        <w:t xml:space="preserve">'</w:t>
        <w:br w:clear="none"/>
        <w:t xml:space="preserve">calories</w:t>
        <w:br w:clear="none"/>
        <w:t xml:space="preserve">'</w:t>
        <w:br w:clear="none"/>
      </w:r>
      <w:r>
        <w:rPr>
          <w:rStyle w:val="Text7"/>
        </w:rPr>
        <w:t xml:space="preserve">)</w:t>
        <w:br w:clear="none"/>
      </w:r>
      <w:r>
        <w:rPr>
          <w:rStyle w:val="Text6"/>
        </w:rPr>
        <w:t xml:space="preserve"/>
        <w:br w:clear="none"/>
      </w:r>
      <w:r>
        <w:t xml:space="preserve">tcals</w:t>
        <w:br w:clear="none"/>
      </w:r>
      <w:r>
        <w:rPr>
          <w:rStyle w:val="Text13"/>
        </w:rPr>
        <w:t xml:space="preserve">.</w:t>
        <w:br w:clear="none"/>
      </w:r>
      <w:r>
        <w:t xml:space="preserve">text</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180</w:t>
        <w:br w:clear="none"/>
        <w:t xml:space="preserve">'</w:t>
        <w:br w:clear="none"/>
      </w:r>
      <w:r>
        <w:rPr>
          <w:rStyle w:val="Text6"/>
        </w:rPr>
        <w:t xml:space="preserve"/>
        <w:br w:clear="none"/>
      </w:r>
      <w:r>
        <w:t xml:space="preserve">tname</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toast</w:t>
        <w:br w:clear="none"/>
      </w:r>
      <w:r>
        <w:rPr>
          <w:rStyle w:val="Text7"/>
        </w:rPr>
        <w:t xml:space="preserve">,</w:t>
        <w:br w:clear="none"/>
      </w:r>
      <w:r>
        <w:rPr>
          <w:rStyle w:val="Text6"/>
        </w:rPr>
        <w:t xml:space="preserve"> </w:t>
        <w:br w:clear="none"/>
      </w:r>
      <w:r>
        <w:rPr>
          <w:rStyle w:val="Text8"/>
        </w:rPr>
        <w:t xml:space="preserve">'</w:t>
        <w:br w:clear="none"/>
        <w:t xml:space="preserve">name</w:t>
        <w:br w:clear="none"/>
        <w:t xml:space="preserve">'</w:t>
        <w:br w:clear="none"/>
      </w:r>
      <w:r>
        <w:rPr>
          <w:rStyle w:val="Text7"/>
        </w:rPr>
        <w:t xml:space="preserve">)</w:t>
        <w:br w:clear="none"/>
      </w:r>
      <w:r>
        <w:rPr>
          <w:rStyle w:val="Text6"/>
        </w:rPr>
        <w:t xml:space="preserve"/>
        <w:br w:clear="none"/>
      </w:r>
      <w:r>
        <w:t xml:space="preserve">tname</w:t>
        <w:br w:clear="none"/>
      </w:r>
      <w:r>
        <w:rPr>
          <w:rStyle w:val="Text13"/>
        </w:rPr>
        <w:t xml:space="preserve">.</w:t>
        <w:br w:clear="none"/>
      </w:r>
      <w:r>
        <w:t xml:space="preserve">text</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Buttered Toast</w:t>
        <w:br w:clear="none"/>
        <w:t xml:space="preserve">'</w:t>
        <w:br w:clear="none"/>
      </w:r>
      <w:r>
        <w:rPr>
          <w:rStyle w:val="Text6"/>
        </w:rPr>
        <w:t xml:space="preserve"/>
        <w:br w:clear="none"/>
      </w:r>
      <w:r>
        <w:rPr>
          <w:rStyle w:val="Text15"/>
        </w:rPr>
        <w:t xml:space="preserve"># remove anything related to 'berry' from the menu</w:t>
        <w:br w:clear="none"/>
      </w:r>
      <w:r>
        <w:rPr>
          <w:rStyle w:val="Text6"/>
        </w:rPr>
        <w:t xml:space="preserve"/>
        <w:br w:clear="none"/>
      </w:r>
      <w:r>
        <w:rPr>
          <w:rStyle w:val="Text10"/>
        </w:rPr>
        <w:t xml:space="preserve">for</w:t>
        <w:br w:clear="none"/>
      </w:r>
      <w:r>
        <w:rPr>
          <w:rStyle w:val="Text29"/>
        </w:rPr>
        <w:t xml:space="preserve"> </w:t>
        <w:br w:clear="none"/>
      </w:r>
      <w:r>
        <w:rPr>
          <w:rStyle w:val="Text37"/>
        </w:rPr>
        <w:t xml:space="preserve">e</w:t>
        <w:br w:clear="none"/>
      </w:r>
      <w:r>
        <w:rPr>
          <w:rStyle w:val="Text29"/>
        </w:rPr>
        <w:t xml:space="preserve"> </w:t>
        <w:br w:clear="none"/>
      </w:r>
      <w:r>
        <w:rPr>
          <w:rStyle w:val="Text31"/>
        </w:rPr>
        <w:t xml:space="preserve">in</w:t>
        <w:br w:clear="none"/>
      </w:r>
      <w:r>
        <w:rPr>
          <w:rStyle w:val="Text6"/>
        </w:rPr>
        <w:t xml:space="preserve"> </w:t>
        <w:br w:clear="none"/>
      </w:r>
      <w:r>
        <w:t xml:space="preserve">menu</w:t>
        <w:br w:clear="none"/>
      </w:r>
      <w:r>
        <w:rPr>
          <w:rStyle w:val="Text13"/>
        </w:rPr>
        <w:t xml:space="preserve">.</w:t>
        <w:br w:clear="none"/>
      </w:r>
      <w:r>
        <w:t xml:space="preserve">findall</w:t>
        <w:br w:clear="none"/>
      </w:r>
      <w:r>
        <w:rPr>
          <w:rStyle w:val="Text7"/>
        </w:rPr>
        <w:t xml:space="preserve">(</w:t>
        <w:br w:clear="none"/>
      </w:r>
      <w:r>
        <w:rPr>
          <w:rStyle w:val="Text8"/>
        </w:rPr>
        <w:t xml:space="preserve">'</w:t>
        <w:br w:clear="none"/>
        <w:t xml:space="preserve">food</w:t>
        <w:br w:clear="none"/>
        <w:t xml:space="preserve">'</w:t>
        <w:br w:clear="none"/>
      </w:r>
      <w:r>
        <w:rPr>
          <w:rStyle w:val="Text7"/>
        </w:rPr>
        <w:t xml:space="preserve">)</w:t>
        <w:br w:clear="none"/>
        <w:t xml:space="preserve">:</w:t>
        <w:br w:clear="none"/>
      </w:r>
      <w:r>
        <w:rPr>
          <w:rStyle w:val="Text6"/>
        </w:rPr>
        <w:t xml:space="preserve"/>
        <w:br w:clear="none"/>
        <w:t xml:space="preserve">    </w:t>
        <w:br w:clear="none"/>
      </w:r>
      <w:r>
        <w:t xml:space="preserve">name</w:t>
        <w:br w:clear="none"/>
      </w:r>
      <w:r>
        <w:rPr>
          <w:rStyle w:val="Text6"/>
        </w:rPr>
        <w:t xml:space="preserve"> </w:t>
        <w:br w:clear="none"/>
      </w:r>
      <w:r>
        <w:rPr>
          <w:rStyle w:val="Text13"/>
        </w:rPr>
        <w:t xml:space="preserve">=</w:t>
        <w:br w:clear="none"/>
      </w:r>
      <w:r>
        <w:rPr>
          <w:rStyle w:val="Text6"/>
        </w:rPr>
        <w:t xml:space="preserve"> </w:t>
        <w:br w:clear="none"/>
      </w:r>
      <w:r>
        <w:t xml:space="preserve">e</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13"/>
        </w:rPr>
        <w:t xml:space="preserve">.</w:t>
        <w:br w:clear="none"/>
      </w:r>
      <w:r>
        <w:t xml:space="preserve">text</w:t>
        <w:br w:clear="none"/>
      </w:r>
      <w:r>
        <w:rPr>
          <w:rStyle w:val="Text6"/>
        </w:rPr>
        <w:t xml:space="preserve"/>
        <w:br w:clear="none"/>
        <w:t xml:space="preserve">    </w:t>
        <w:br w:clear="none"/>
      </w:r>
      <w:r>
        <w:rPr>
          <w:rStyle w:val="Text10"/>
        </w:rPr>
        <w:t xml:space="preserve">if</w:t>
        <w:br w:clear="none"/>
      </w:r>
      <w:r>
        <w:rPr>
          <w:rStyle w:val="Text6"/>
        </w:rPr>
        <w:t xml:space="preserve"> </w:t>
        <w:br w:clear="none"/>
      </w:r>
      <w:r>
        <w:rPr>
          <w:rStyle w:val="Text8"/>
        </w:rPr>
        <w:t xml:space="preserve">'</w:t>
        <w:br w:clear="none"/>
        <w:t xml:space="preserve">berry</w:t>
        <w:br w:clear="none"/>
        <w:t xml:space="preserve">'</w:t>
        <w:br w:clear="none"/>
      </w:r>
      <w:r>
        <w:rPr>
          <w:rStyle w:val="Text6"/>
        </w:rPr>
        <w:t xml:space="preserve"> </w:t>
        <w:br w:clear="none"/>
      </w:r>
      <w:r>
        <w:rPr>
          <w:rStyle w:val="Text31"/>
        </w:rPr>
        <w:t xml:space="preserve">in</w:t>
        <w:br w:clear="none"/>
      </w:r>
      <w:r>
        <w:rPr>
          <w:rStyle w:val="Text6"/>
        </w:rPr>
        <w:t xml:space="preserve"> </w:t>
        <w:br w:clear="none"/>
      </w:r>
      <w:r>
        <w:t xml:space="preserve">name</w:t>
        <w:br w:clear="none"/>
      </w:r>
      <w:r>
        <w:rPr>
          <w:rStyle w:val="Text13"/>
        </w:rPr>
        <w:t xml:space="preserve">.</w:t>
        <w:br w:clear="none"/>
      </w:r>
      <w:r>
        <w:t xml:space="preserve">lower</w:t>
        <w:br w:clear="none"/>
      </w:r>
      <w:r>
        <w:rPr>
          <w:rStyle w:val="Text7"/>
        </w:rPr>
        <w:t xml:space="preserve">(</w:t>
        <w:br w:clear="none"/>
        <w:t xml:space="preserve">)</w:t>
        <w:br w:clear="none"/>
        <w:t xml:space="preserve">:</w:t>
        <w:br w:clear="none"/>
      </w:r>
      <w:r>
        <w:rPr>
          <w:rStyle w:val="Text6"/>
        </w:rPr>
        <w:t xml:space="preserve"/>
        <w:br w:clear="none"/>
        <w:t xml:space="preserve">        </w:t>
        <w:br w:clear="none"/>
      </w:r>
      <w:r>
        <w:t xml:space="preserve">menu</w:t>
        <w:br w:clear="none"/>
      </w:r>
      <w:r>
        <w:rPr>
          <w:rStyle w:val="Text13"/>
        </w:rPr>
        <w:t xml:space="preserve">.</w:t>
        <w:br w:clear="none"/>
      </w:r>
      <w:r>
        <w:t xml:space="preserve">remove</w:t>
        <w:br w:clear="none"/>
      </w:r>
      <w:r>
        <w:rPr>
          <w:rStyle w:val="Text7"/>
        </w:rPr>
        <w:t xml:space="preserve">(</w:t>
        <w:br w:clear="none"/>
      </w:r>
      <w:r>
        <w:t xml:space="preserve">e</w:t>
        <w:br w:clear="none"/>
      </w:r>
      <w:r>
        <w:rPr>
          <w:rStyle w:val="Text7"/>
        </w:rPr>
        <w:t xml:space="preserve">)</w:t>
        <w:br w:clear="none"/>
      </w:r>
    </w:p>
    <w:p>
      <w:pPr>
        <w:pStyle w:val="Normal"/>
      </w:pPr>
      <w:r>
        <w:t>Once we insert these “editing” steps between the code parsing the tree and the code selectively printing from it, the latter prints:</w:t>
      </w:r>
    </w:p>
    <w:p>
      <w:pPr>
        <w:pStyle w:val="Para 008"/>
      </w:pPr>
      <w:r>
        <w:rPr>
          <w:rStyle w:val="Text48"/>
        </w:rPr>
        <w:t xml:space="preserve"/>
        <w:br w:clear="none"/>
      </w:r>
      <w:r>
        <w:t xml:space="preserve">180 Buttered Toast</w:t>
        <w:br w:clear="none"/>
      </w:r>
      <w:r>
        <w:rPr>
          <w:rStyle w:val="Text48"/>
        </w:rPr>
        <w:t xml:space="preserve"/>
        <w:br w:clear="none"/>
      </w:r>
      <w:r>
        <w:t xml:space="preserve">600 French Toast</w:t>
        <w:br w:clear="none"/>
      </w:r>
      <w:r>
        <w:rPr>
          <w:rStyle w:val="Text48"/>
        </w:rPr>
        <w:t xml:space="preserve"/>
        <w:br w:clear="none"/>
      </w:r>
      <w:r>
        <w:t xml:space="preserve">650 Belgian Waffles</w:t>
        <w:br w:clear="none"/>
      </w:r>
      <w:r>
        <w:rPr>
          <w:rStyle w:val="Text48"/>
        </w:rPr>
        <w:t xml:space="preserve"/>
        <w:br w:clear="none"/>
      </w:r>
      <w:r>
        <w:t xml:space="preserve">950 Homestyle Breakfast</w:t>
        <w:br w:clear="none"/>
      </w:r>
    </w:p>
    <w:p>
      <w:pPr>
        <w:pStyle w:val="Normal"/>
      </w:pPr>
      <w:r>
        <w:t xml:space="preserve">The ease of editing an </w:t>
      </w:r>
      <w:r>
        <w:rPr>
          <w:rStyle w:val="Text0"/>
        </w:rPr>
        <w:t>ElementTree</w:t>
      </w:r>
      <w:r>
        <w:t xml:space="preserve"> can sometimes be a crucial consideration, making it worth your while to keep it all in memory.</w:t>
      </w:r>
      <w:r>
        <w:rPr>
          <w:rStyle w:val="Text111"/>
        </w:rPr>
        <w:bookmarkStart w:id="4408" w:name="idm45965163483520"/>
        <w:t/>
        <w:bookmarkEnd w:id="4408"/>
        <w:bookmarkStart w:id="4409" w:name="idm45965163482144"/>
        <w:t/>
        <w:bookmarkEnd w:id="4409"/>
      </w:r>
    </w:p>
    <w:p>
      <w:bookmarkStart w:id="4410" w:name="Building_an_ElementTree_from_Scr"/>
      <w:pPr>
        <w:keepNext/>
        <w:pStyle w:val="Heading 1"/>
      </w:pPr>
      <w:r>
        <w:t>Building an ElementTree from Scratch</w:t>
      </w:r>
      <w:bookmarkEnd w:id="4410"/>
    </w:p>
    <w:p>
      <w:pPr>
        <w:pStyle w:val="Normal"/>
      </w:pPr>
      <w:r>
        <w:t>Sometimes, your</w:t>
      </w:r>
      <w:r>
        <w:rPr>
          <w:rStyle w:val="Text111"/>
        </w:rPr>
        <w:bookmarkStart w:id="4411" w:name="idm45965163478864"/>
        <w:t/>
        <w:bookmarkEnd w:id="4411"/>
        <w:bookmarkStart w:id="4412" w:name="idm45965163477248"/>
        <w:t/>
        <w:bookmarkEnd w:id="4412"/>
      </w:r>
      <w:r>
        <w:t xml:space="preserve"> task doesn’t start from an existing XML document: rather, you need to make an XML document from data your code gets from a different source, such as a CSV file or some kind of database.</w:t>
      </w:r>
    </w:p>
    <w:p>
      <w:pPr>
        <w:pStyle w:val="Normal"/>
      </w:pPr>
      <w:r>
        <w:t xml:space="preserve">The code for such tasks is similar to the code we showed for editing an existing </w:t>
      </w:r>
      <w:r>
        <w:rPr>
          <w:rStyle w:val="Text0"/>
        </w:rPr>
        <w:t>ElementTree</w:t>
      </w:r>
      <w:r>
        <w:t>—just add a little snippet to build an initially empty tree.</w:t>
      </w:r>
    </w:p>
    <w:p>
      <w:pPr>
        <w:pStyle w:val="Normal"/>
      </w:pPr>
      <w:r>
        <w:t xml:space="preserve">For example, suppose you have a CSV file, </w:t>
      </w:r>
      <w:r>
        <w:rPr>
          <w:rStyle w:val="Text4"/>
        </w:rPr>
        <w:t>menu.csv</w:t>
      </w:r>
      <w:r>
        <w:t xml:space="preserve">, whose two comma-separated columns are the calories and names of various foods, one food per row. Your task is to build an XML file, </w:t>
      </w:r>
      <w:r>
        <w:rPr>
          <w:rStyle w:val="Text4"/>
        </w:rPr>
        <w:t>menu.xml</w:t>
      </w:r>
      <w:r>
        <w:t>, similar to the one we parsed in the previous examples. Here’s one way you could do that:</w:t>
      </w:r>
    </w:p>
    <w:p>
      <w:pPr>
        <w:pStyle w:val="Para 007"/>
      </w:pPr>
      <w:r>
        <w:rPr>
          <w:rStyle w:val="Text23"/>
        </w:rPr>
        <w:t xml:space="preserve"/>
        <w:br w:clear="none"/>
      </w:r>
      <w:r>
        <w:rPr>
          <w:rStyle w:val="Text39"/>
        </w:rPr>
        <w:t xml:space="preserve">import</w:t>
        <w:br w:clear="none"/>
      </w:r>
      <w:r>
        <w:rPr>
          <w:rStyle w:val="Text6"/>
        </w:rPr>
        <w:t xml:space="preserve"> </w:t>
        <w:br w:clear="none"/>
      </w:r>
      <w:r>
        <w:rPr>
          <w:rStyle w:val="Text20"/>
        </w:rPr>
        <w:t xml:space="preserve">csv</w:t>
        <w:br w:clear="none"/>
      </w:r>
      <w:r>
        <w:rPr>
          <w:rStyle w:val="Text6"/>
        </w:rPr>
        <w:t xml:space="preserve"/>
        <w:br w:clear="none"/>
      </w:r>
      <w:r>
        <w:rPr>
          <w:rStyle w:val="Text10"/>
        </w:rPr>
        <w:t xml:space="preserve">from</w:t>
        <w:br w:clear="none"/>
      </w:r>
      <w:r>
        <w:rPr>
          <w:rStyle w:val="Text29"/>
        </w:rPr>
        <w:t xml:space="preserve"> </w:t>
        <w:br w:clear="none"/>
      </w:r>
      <w:r>
        <w:rPr>
          <w:rStyle w:val="Text54"/>
        </w:rPr>
        <w:t xml:space="preserve">xml</w:t>
        <w:br w:clear="none"/>
        <w:t xml:space="preserve">.</w:t>
        <w:br w:clear="none"/>
        <w:t xml:space="preserve">etree</w:t>
        <w:br w:clear="none"/>
      </w:r>
      <w:r>
        <w:rPr>
          <w:rStyle w:val="Text29"/>
        </w:rPr>
        <w:t xml:space="preserve"> </w:t>
        <w:br w:clear="none"/>
      </w:r>
      <w:r>
        <w:rPr>
          <w:rStyle w:val="Text10"/>
        </w:rPr>
        <w:t xml:space="preserve">import</w:t>
        <w:br w:clear="none"/>
      </w:r>
      <w:r>
        <w:rPr>
          <w:rStyle w:val="Text6"/>
        </w:rPr>
        <w:t xml:space="preserve"> </w:t>
        <w:br w:clear="none"/>
      </w:r>
      <w:r>
        <w:t xml:space="preserve">ElementTree</w:t>
        <w:br w:clear="none"/>
      </w:r>
      <w:r>
        <w:rPr>
          <w:rStyle w:val="Text6"/>
        </w:rPr>
        <w:t xml:space="preserve"> </w:t>
        <w:br w:clear="none"/>
      </w:r>
      <w:r>
        <w:rPr>
          <w:rStyle w:val="Text10"/>
        </w:rPr>
        <w:t xml:space="preserve">as</w:t>
        <w:br w:clear="none"/>
      </w:r>
      <w:r>
        <w:rPr>
          <w:rStyle w:val="Text6"/>
        </w:rPr>
        <w:t xml:space="preserve"> </w:t>
        <w:br w:clear="none"/>
      </w:r>
      <w:r>
        <w:t xml:space="preserve">et</w:t>
        <w:br w:clear="none"/>
      </w:r>
      <w:r>
        <w:rPr>
          <w:rStyle w:val="Text6"/>
        </w:rPr>
        <w:t xml:space="preserve"/>
        <w:br w:clear="none"/>
        <w:t xml:space="preserve"/>
        <w:br w:clear="none"/>
      </w:r>
      <w:r>
        <w:t xml:space="preserve">menu</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Element</w:t>
        <w:br w:clear="none"/>
      </w:r>
      <w:r>
        <w:rPr>
          <w:rStyle w:val="Text7"/>
        </w:rPr>
        <w:t xml:space="preserve">(</w:t>
        <w:br w:clear="none"/>
      </w:r>
      <w:r>
        <w:rPr>
          <w:rStyle w:val="Text8"/>
        </w:rPr>
        <w:t xml:space="preserve">'</w:t>
        <w:br w:clear="none"/>
        <w:t xml:space="preserve">menu</w:t>
        <w:br w:clear="none"/>
        <w:t xml:space="preserve">'</w:t>
        <w:br w:clear="none"/>
      </w:r>
      <w:r>
        <w:rPr>
          <w:rStyle w:val="Text7"/>
        </w:rPr>
        <w:t xml:space="preserve">)</w:t>
        <w:br w:clear="none"/>
      </w:r>
      <w:r>
        <w:rPr>
          <w:rStyle w:val="Text6"/>
        </w:rPr>
        <w:t xml:space="preserve"/>
        <w:br w:clear="none"/>
      </w:r>
      <w:r>
        <w:t xml:space="preserve">tree</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ElementTree</w:t>
        <w:br w:clear="none"/>
      </w:r>
      <w:r>
        <w:rPr>
          <w:rStyle w:val="Text7"/>
        </w:rPr>
        <w:t xml:space="preserve">(</w:t>
        <w:br w:clear="none"/>
      </w:r>
      <w:r>
        <w:t xml:space="preserve">menu</w:t>
        <w:br w:clear="none"/>
      </w:r>
      <w:r>
        <w:rPr>
          <w:rStyle w:val="Text7"/>
        </w:rPr>
        <w:t xml:space="preserve">)</w:t>
        <w:br w:clear="none"/>
      </w:r>
      <w:r>
        <w:rPr>
          <w:rStyle w:val="Text6"/>
        </w:rPr>
        <w:t xml:space="preserve"/>
        <w:br w:clear="none"/>
      </w:r>
      <w:r>
        <w:rPr>
          <w:rStyle w:val="Text10"/>
        </w:rPr>
        <w:t xml:space="preserve">with</w:t>
        <w:br w:clear="none"/>
      </w:r>
      <w:r>
        <w:rPr>
          <w:rStyle w:val="Text6"/>
        </w:rPr>
        <w:t xml:space="preserve"> </w:t>
        <w:br w:clear="none"/>
      </w:r>
      <w:r>
        <w:rPr>
          <w:rStyle w:val="Text16"/>
        </w:rPr>
        <w:t xml:space="preserve">open</w:t>
        <w:br w:clear="none"/>
      </w:r>
      <w:r>
        <w:rPr>
          <w:rStyle w:val="Text7"/>
        </w:rPr>
        <w:t xml:space="preserve">(</w:t>
        <w:br w:clear="none"/>
      </w:r>
      <w:r>
        <w:rPr>
          <w:rStyle w:val="Text8"/>
        </w:rPr>
        <w:t xml:space="preserve">'</w:t>
        <w:br w:clear="none"/>
        <w:t xml:space="preserve">menu.csv</w:t>
        <w:br w:clear="none"/>
        <w:t xml:space="preserve">'</w:t>
        <w:br w:clear="none"/>
      </w:r>
      <w:r>
        <w:rPr>
          <w:rStyle w:val="Text7"/>
        </w:rPr>
        <w:t xml:space="preserve">)</w:t>
        <w:br w:clear="none"/>
      </w:r>
      <w:r>
        <w:rPr>
          <w:rStyle w:val="Text6"/>
        </w:rPr>
        <w:t xml:space="preserve"> </w:t>
        <w:br w:clear="none"/>
      </w:r>
      <w:r>
        <w:rPr>
          <w:rStyle w:val="Text10"/>
        </w:rPr>
        <w:t xml:space="preserve">as</w:t>
        <w:br w:clear="none"/>
      </w:r>
      <w:r>
        <w:rPr>
          <w:rStyle w:val="Text6"/>
        </w:rPr>
        <w:t xml:space="preserve"> </w:t>
        <w:br w:clear="none"/>
      </w:r>
      <w:r>
        <w:t xml:space="preserve">f</w:t>
        <w:br w:clear="none"/>
      </w:r>
      <w:r>
        <w:rPr>
          <w:rStyle w:val="Text7"/>
        </w:rPr>
        <w:t xml:space="preserve">:</w:t>
        <w:br w:clear="none"/>
      </w:r>
      <w:r>
        <w:rPr>
          <w:rStyle w:val="Text6"/>
        </w:rPr>
        <w:t xml:space="preserve"/>
        <w:br w:clear="none"/>
        <w:t xml:space="preserve">    </w:t>
        <w:br w:clear="none"/>
      </w:r>
      <w:r>
        <w:t xml:space="preserve">r</w:t>
        <w:br w:clear="none"/>
      </w:r>
      <w:r>
        <w:rPr>
          <w:rStyle w:val="Text6"/>
        </w:rPr>
        <w:t xml:space="preserve"> </w:t>
        <w:br w:clear="none"/>
      </w:r>
      <w:r>
        <w:rPr>
          <w:rStyle w:val="Text13"/>
        </w:rPr>
        <w:t xml:space="preserve">=</w:t>
        <w:br w:clear="none"/>
      </w:r>
      <w:r>
        <w:rPr>
          <w:rStyle w:val="Text6"/>
        </w:rPr>
        <w:t xml:space="preserve"> </w:t>
        <w:br w:clear="none"/>
      </w:r>
      <w:r>
        <w:t xml:space="preserve">csv</w:t>
        <w:br w:clear="none"/>
      </w:r>
      <w:r>
        <w:rPr>
          <w:rStyle w:val="Text13"/>
        </w:rPr>
        <w:t xml:space="preserve">.</w:t>
        <w:br w:clear="none"/>
      </w:r>
      <w:r>
        <w:t xml:space="preserve">reader</w:t>
        <w:br w:clear="none"/>
      </w:r>
      <w:r>
        <w:rPr>
          <w:rStyle w:val="Text7"/>
        </w:rPr>
        <w:t xml:space="preserve">(</w:t>
        <w:br w:clear="none"/>
      </w:r>
      <w:r>
        <w:t xml:space="preserve">f</w:t>
        <w:br w:clear="none"/>
      </w:r>
      <w:r>
        <w:rPr>
          <w:rStyle w:val="Text7"/>
        </w:rPr>
        <w:t xml:space="preserve">)</w:t>
        <w:br w:clear="none"/>
      </w:r>
      <w:r>
        <w:rPr>
          <w:rStyle w:val="Text6"/>
        </w:rPr>
        <w:t xml:space="preserve"/>
        <w:br w:clear="none"/>
        <w:t xml:space="preserve">    </w:t>
        <w:br w:clear="none"/>
      </w:r>
      <w:r>
        <w:rPr>
          <w:rStyle w:val="Text10"/>
        </w:rPr>
        <w:t xml:space="preserve">for</w:t>
        <w:br w:clear="none"/>
      </w:r>
      <w:r>
        <w:rPr>
          <w:rStyle w:val="Text6"/>
        </w:rPr>
        <w:t xml:space="preserve"> </w:t>
        <w:br w:clear="none"/>
      </w:r>
      <w:r>
        <w:t xml:space="preserve">calories</w:t>
        <w:br w:clear="none"/>
      </w:r>
      <w:r>
        <w:rPr>
          <w:rStyle w:val="Text7"/>
        </w:rPr>
        <w:t xml:space="preserve">,</w:t>
        <w:br w:clear="none"/>
      </w:r>
      <w:r>
        <w:rPr>
          <w:rStyle w:val="Text6"/>
        </w:rPr>
        <w:t xml:space="preserve"> </w:t>
        <w:br w:clear="none"/>
      </w:r>
      <w:r>
        <w:t xml:space="preserve">namestr</w:t>
        <w:br w:clear="none"/>
      </w:r>
      <w:r>
        <w:rPr>
          <w:rStyle w:val="Text6"/>
        </w:rPr>
        <w:t xml:space="preserve"> </w:t>
        <w:br w:clear="none"/>
      </w:r>
      <w:r>
        <w:rPr>
          <w:rStyle w:val="Text31"/>
        </w:rPr>
        <w:t xml:space="preserve">in</w:t>
        <w:br w:clear="none"/>
      </w:r>
      <w:r>
        <w:rPr>
          <w:rStyle w:val="Text6"/>
        </w:rPr>
        <w:t xml:space="preserve"> </w:t>
        <w:br w:clear="none"/>
      </w:r>
      <w:r>
        <w:t xml:space="preserve">r</w:t>
        <w:br w:clear="none"/>
      </w:r>
      <w:r>
        <w:rPr>
          <w:rStyle w:val="Text7"/>
        </w:rPr>
        <w:t xml:space="preserve">:</w:t>
        <w:br w:clear="none"/>
      </w:r>
      <w:r>
        <w:rPr>
          <w:rStyle w:val="Text6"/>
        </w:rPr>
        <w:t xml:space="preserve"/>
        <w:br w:clear="none"/>
        <w:t xml:space="preserve">        </w:t>
        <w:br w:clear="none"/>
      </w:r>
      <w:r>
        <w:t xml:space="preserve">food</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menu</w:t>
        <w:br w:clear="none"/>
      </w:r>
      <w:r>
        <w:rPr>
          <w:rStyle w:val="Text7"/>
        </w:rPr>
        <w:t xml:space="preserve">,</w:t>
        <w:br w:clear="none"/>
      </w:r>
      <w:r>
        <w:rPr>
          <w:rStyle w:val="Text6"/>
        </w:rPr>
        <w:t xml:space="preserve"> </w:t>
        <w:br w:clear="none"/>
      </w:r>
      <w:r>
        <w:rPr>
          <w:rStyle w:val="Text8"/>
        </w:rPr>
        <w:t xml:space="preserve">'</w:t>
        <w:br w:clear="none"/>
        <w:t xml:space="preserve">food</w:t>
        <w:br w:clear="none"/>
        <w:t xml:space="preserve">'</w:t>
        <w:br w:clear="none"/>
      </w:r>
      <w:r>
        <w:rPr>
          <w:rStyle w:val="Text7"/>
        </w:rPr>
        <w:t xml:space="preserve">)</w:t>
        <w:br w:clear="none"/>
      </w:r>
      <w:r>
        <w:rPr>
          <w:rStyle w:val="Text6"/>
        </w:rPr>
        <w:t xml:space="preserve"/>
        <w:br w:clear="none"/>
        <w:t xml:space="preserve">        </w:t>
        <w:br w:clear="none"/>
      </w:r>
      <w:r>
        <w:t xml:space="preserve">cals</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food</w:t>
        <w:br w:clear="none"/>
      </w:r>
      <w:r>
        <w:rPr>
          <w:rStyle w:val="Text7"/>
        </w:rPr>
        <w:t xml:space="preserve">,</w:t>
        <w:br w:clear="none"/>
      </w:r>
      <w:r>
        <w:rPr>
          <w:rStyle w:val="Text6"/>
        </w:rPr>
        <w:t xml:space="preserve"> </w:t>
        <w:br w:clear="none"/>
      </w:r>
      <w:r>
        <w:rPr>
          <w:rStyle w:val="Text8"/>
        </w:rPr>
        <w:t xml:space="preserve">'</w:t>
        <w:br w:clear="none"/>
        <w:t xml:space="preserve">calories</w:t>
        <w:br w:clear="none"/>
        <w:t xml:space="preserve">'</w:t>
        <w:br w:clear="none"/>
      </w:r>
      <w:r>
        <w:rPr>
          <w:rStyle w:val="Text7"/>
        </w:rPr>
        <w:t xml:space="preserve">)</w:t>
        <w:br w:clear="none"/>
      </w:r>
      <w:r>
        <w:rPr>
          <w:rStyle w:val="Text6"/>
        </w:rPr>
        <w:t xml:space="preserve"/>
        <w:br w:clear="none"/>
        <w:t xml:space="preserve">        </w:t>
        <w:br w:clear="none"/>
      </w:r>
      <w:r>
        <w:t xml:space="preserve">cals</w:t>
        <w:br w:clear="none"/>
      </w:r>
      <w:r>
        <w:rPr>
          <w:rStyle w:val="Text13"/>
        </w:rPr>
        <w:t xml:space="preserve">.</w:t>
        <w:br w:clear="none"/>
      </w:r>
      <w:r>
        <w:t xml:space="preserve">text</w:t>
        <w:br w:clear="none"/>
      </w:r>
      <w:r>
        <w:rPr>
          <w:rStyle w:val="Text6"/>
        </w:rPr>
        <w:t xml:space="preserve"> </w:t>
        <w:br w:clear="none"/>
      </w:r>
      <w:r>
        <w:rPr>
          <w:rStyle w:val="Text13"/>
        </w:rPr>
        <w:t xml:space="preserve">=</w:t>
        <w:br w:clear="none"/>
      </w:r>
      <w:r>
        <w:rPr>
          <w:rStyle w:val="Text6"/>
        </w:rPr>
        <w:t xml:space="preserve"> </w:t>
        <w:br w:clear="none"/>
      </w:r>
      <w:r>
        <w:t xml:space="preserve">calories</w:t>
        <w:br w:clear="none"/>
      </w:r>
      <w:r>
        <w:rPr>
          <w:rStyle w:val="Text6"/>
        </w:rPr>
        <w:t xml:space="preserve"/>
        <w:br w:clear="none"/>
        <w:t xml:space="preserve">        </w:t>
        <w:br w:clear="none"/>
      </w:r>
      <w:r>
        <w:t xml:space="preserve">name</w:t>
        <w:br w:clear="none"/>
      </w:r>
      <w:r>
        <w:rPr>
          <w:rStyle w:val="Text6"/>
        </w:rPr>
        <w:t xml:space="preserve"> </w:t>
        <w:br w:clear="none"/>
      </w:r>
      <w:r>
        <w:rPr>
          <w:rStyle w:val="Text13"/>
        </w:rPr>
        <w:t xml:space="preserve">=</w:t>
        <w:br w:clear="none"/>
      </w:r>
      <w:r>
        <w:rPr>
          <w:rStyle w:val="Text6"/>
        </w:rPr>
        <w:t xml:space="preserve"> </w:t>
        <w:br w:clear="none"/>
      </w:r>
      <w:r>
        <w:t xml:space="preserve">et</w:t>
        <w:br w:clear="none"/>
      </w:r>
      <w:r>
        <w:rPr>
          <w:rStyle w:val="Text13"/>
        </w:rPr>
        <w:t xml:space="preserve">.</w:t>
        <w:br w:clear="none"/>
      </w:r>
      <w:r>
        <w:t xml:space="preserve">SubElement</w:t>
        <w:br w:clear="none"/>
      </w:r>
      <w:r>
        <w:rPr>
          <w:rStyle w:val="Text7"/>
        </w:rPr>
        <w:t xml:space="preserve">(</w:t>
        <w:br w:clear="none"/>
      </w:r>
      <w:r>
        <w:t xml:space="preserve">food</w:t>
        <w:br w:clear="none"/>
      </w:r>
      <w:r>
        <w:rPr>
          <w:rStyle w:val="Text7"/>
        </w:rPr>
        <w:t xml:space="preserve">,</w:t>
        <w:br w:clear="none"/>
      </w:r>
      <w:r>
        <w:rPr>
          <w:rStyle w:val="Text6"/>
        </w:rPr>
        <w:t xml:space="preserve"> </w:t>
        <w:br w:clear="none"/>
      </w:r>
      <w:r>
        <w:rPr>
          <w:rStyle w:val="Text8"/>
        </w:rPr>
        <w:t xml:space="preserve">'</w:t>
        <w:br w:clear="none"/>
        <w:t xml:space="preserve">name</w:t>
        <w:br w:clear="none"/>
        <w:t xml:space="preserve">'</w:t>
        <w:br w:clear="none"/>
      </w:r>
      <w:r>
        <w:rPr>
          <w:rStyle w:val="Text7"/>
        </w:rPr>
        <w:t xml:space="preserve">)</w:t>
        <w:br w:clear="none"/>
      </w:r>
      <w:r>
        <w:rPr>
          <w:rStyle w:val="Text6"/>
        </w:rPr>
        <w:t xml:space="preserve"/>
        <w:br w:clear="none"/>
        <w:t xml:space="preserve">        </w:t>
        <w:br w:clear="none"/>
      </w:r>
      <w:r>
        <w:t xml:space="preserve">name</w:t>
        <w:br w:clear="none"/>
      </w:r>
      <w:r>
        <w:rPr>
          <w:rStyle w:val="Text13"/>
        </w:rPr>
        <w:t xml:space="preserve">.</w:t>
        <w:br w:clear="none"/>
      </w:r>
      <w:r>
        <w:t xml:space="preserve">text</w:t>
        <w:br w:clear="none"/>
      </w:r>
      <w:r>
        <w:rPr>
          <w:rStyle w:val="Text6"/>
        </w:rPr>
        <w:t xml:space="preserve"> </w:t>
        <w:br w:clear="none"/>
      </w:r>
      <w:r>
        <w:rPr>
          <w:rStyle w:val="Text13"/>
        </w:rPr>
        <w:t xml:space="preserve">=</w:t>
        <w:br w:clear="none"/>
      </w:r>
      <w:r>
        <w:rPr>
          <w:rStyle w:val="Text6"/>
        </w:rPr>
        <w:t xml:space="preserve"> </w:t>
        <w:br w:clear="none"/>
      </w:r>
      <w:r>
        <w:t xml:space="preserve">namestr</w:t>
        <w:br w:clear="none"/>
      </w:r>
      <w:r>
        <w:rPr>
          <w:rStyle w:val="Text6"/>
        </w:rPr>
        <w:t xml:space="preserve"/>
        <w:br w:clear="none"/>
        <w:t xml:space="preserve"/>
        <w:br w:clear="none"/>
      </w:r>
      <w:r>
        <w:t xml:space="preserve">tree</w:t>
        <w:br w:clear="none"/>
      </w:r>
      <w:r>
        <w:rPr>
          <w:rStyle w:val="Text13"/>
        </w:rPr>
        <w:t xml:space="preserve">.</w:t>
        <w:br w:clear="none"/>
      </w:r>
      <w:r>
        <w:t xml:space="preserve">write</w:t>
        <w:br w:clear="none"/>
      </w:r>
      <w:r>
        <w:rPr>
          <w:rStyle w:val="Text7"/>
        </w:rPr>
        <w:t xml:space="preserve">(</w:t>
        <w:br w:clear="none"/>
      </w:r>
      <w:r>
        <w:rPr>
          <w:rStyle w:val="Text8"/>
        </w:rPr>
        <w:t xml:space="preserve">'</w:t>
        <w:br w:clear="none"/>
        <w:t xml:space="preserve">menu.xml</w:t>
        <w:br w:clear="none"/>
        <w:t xml:space="preserve">'</w:t>
        <w:br w:clear="none"/>
      </w:r>
      <w:r>
        <w:rPr>
          <w:rStyle w:val="Text7"/>
        </w:rPr>
        <w:t xml:space="preserve">)</w:t>
        <w:br w:clear="none"/>
      </w:r>
    </w:p>
    <w:p>
      <w:bookmarkStart w:id="4413" w:name="Parsing_XML_Iteratively__For_tas"/>
      <w:pPr>
        <w:keepNext/>
        <w:pStyle w:val="Heading 1"/>
      </w:pPr>
      <w:r>
        <w:t>Parsing XML Iteratively</w:t>
      </w:r>
      <w:bookmarkEnd w:id="4413"/>
    </w:p>
    <w:p>
      <w:pPr>
        <w:pStyle w:val="Normal"/>
      </w:pPr>
      <w:r>
        <w:t>For</w:t>
      </w:r>
      <w:r>
        <w:rPr>
          <w:rStyle w:val="Text111"/>
        </w:rPr>
        <w:bookmarkStart w:id="4414" w:name="idm45965163284208"/>
        <w:t/>
        <w:bookmarkEnd w:id="4414"/>
      </w:r>
      <w:r>
        <w:t xml:space="preserve"> tasks focused on selecting elements from an existing XML document, sometimes you don’t need to build the whole </w:t>
      </w:r>
      <w:r>
        <w:rPr>
          <w:rStyle w:val="Text0"/>
        </w:rPr>
        <w:t>ElementTree</w:t>
      </w:r>
      <w:r>
        <w:t xml:space="preserve"> in memory—a consideration that’s particularly important if the XML document is very large (not the case for the tiny example document we’ve been dealing with, but stretch your imagination and visualize a similar menu-focused document that lists millions of different foods).</w:t>
      </w:r>
    </w:p>
    <w:p>
      <w:pPr>
        <w:pStyle w:val="Normal"/>
      </w:pPr>
      <w:r>
        <w:t xml:space="preserve">Suppose we have such a large document, and we want to print on standard output the calories and names of the 10 lowest-calorie foods, in order of increasing calories, with ties broken alphabetically. Our </w:t>
      </w:r>
      <w:r>
        <w:rPr>
          <w:rStyle w:val="Text4"/>
        </w:rPr>
        <w:t>menu.xml</w:t>
      </w:r>
      <w:r>
        <w:t xml:space="preserve"> file, which for simplicity’s sake we’ll assume is now a local file, lists millions of foods, so we’d rather not keep it all in memory (obviously, we don’t need complete access to all of it at once).</w:t>
      </w:r>
    </w:p>
    <w:p>
      <w:pPr>
        <w:pStyle w:val="Normal"/>
      </w:pPr>
      <w:r>
        <w:t>The following code represents a naive attempt to parse without building the whole structure in memory:</w:t>
      </w:r>
    </w:p>
    <w:p>
      <w:pPr>
        <w:pStyle w:val="Para 007"/>
      </w:pPr>
      <w:r>
        <w:rPr>
          <w:rStyle w:val="Text23"/>
        </w:rPr>
        <w:t xml:space="preserve"/>
        <w:br w:clear="none"/>
      </w:r>
      <w:r>
        <w:rPr>
          <w:rStyle w:val="Text39"/>
        </w:rPr>
        <w:t xml:space="preserve">import</w:t>
        <w:br w:clear="none"/>
      </w:r>
      <w:r>
        <w:rPr>
          <w:rStyle w:val="Text6"/>
        </w:rPr>
        <w:t xml:space="preserve"> </w:t>
        <w:br w:clear="none"/>
      </w:r>
      <w:r>
        <w:rPr>
          <w:rStyle w:val="Text20"/>
        </w:rPr>
        <w:t xml:space="preserve">heapq</w:t>
        <w:br w:clear="none"/>
      </w:r>
      <w:r>
        <w:rPr>
          <w:rStyle w:val="Text6"/>
        </w:rPr>
        <w:t xml:space="preserve"/>
        <w:br w:clear="none"/>
      </w:r>
      <w:r>
        <w:rPr>
          <w:rStyle w:val="Text10"/>
        </w:rPr>
        <w:t xml:space="preserve">from</w:t>
        <w:br w:clear="none"/>
      </w:r>
      <w:r>
        <w:rPr>
          <w:rStyle w:val="Text29"/>
        </w:rPr>
        <w:t xml:space="preserve"> </w:t>
        <w:br w:clear="none"/>
      </w:r>
      <w:r>
        <w:rPr>
          <w:rStyle w:val="Text54"/>
        </w:rPr>
        <w:t xml:space="preserve">xml</w:t>
        <w:br w:clear="none"/>
        <w:t xml:space="preserve">.</w:t>
        <w:br w:clear="none"/>
        <w:t xml:space="preserve">etree</w:t>
        <w:br w:clear="none"/>
      </w:r>
      <w:r>
        <w:rPr>
          <w:rStyle w:val="Text29"/>
        </w:rPr>
        <w:t xml:space="preserve"> </w:t>
        <w:br w:clear="none"/>
      </w:r>
      <w:r>
        <w:rPr>
          <w:rStyle w:val="Text10"/>
        </w:rPr>
        <w:t xml:space="preserve">import</w:t>
        <w:br w:clear="none"/>
      </w:r>
      <w:r>
        <w:rPr>
          <w:rStyle w:val="Text6"/>
        </w:rPr>
        <w:t xml:space="preserve"> </w:t>
        <w:br w:clear="none"/>
      </w:r>
      <w:r>
        <w:t xml:space="preserve">ElementTree</w:t>
        <w:br w:clear="none"/>
      </w:r>
      <w:r>
        <w:rPr>
          <w:rStyle w:val="Text6"/>
        </w:rPr>
        <w:t xml:space="preserve"> </w:t>
        <w:br w:clear="none"/>
      </w:r>
      <w:r>
        <w:rPr>
          <w:rStyle w:val="Text10"/>
        </w:rPr>
        <w:t xml:space="preserve">as</w:t>
        <w:br w:clear="none"/>
      </w:r>
      <w:r>
        <w:rPr>
          <w:rStyle w:val="Text6"/>
        </w:rPr>
        <w:t xml:space="preserve"> </w:t>
        <w:br w:clear="none"/>
      </w:r>
      <w:r>
        <w:t xml:space="preserve">et</w:t>
        <w:br w:clear="none"/>
      </w:r>
      <w:r>
        <w:rPr>
          <w:rStyle w:val="Text6"/>
        </w:rPr>
        <w:t xml:space="preserve"/>
        <w:br w:clear="none"/>
        <w:t xml:space="preserve"/>
        <w:br w:clear="none"/>
      </w:r>
      <w:r>
        <w:rPr>
          <w:rStyle w:val="Text39"/>
        </w:rPr>
        <w:t xml:space="preserve">def</w:t>
        <w:br w:clear="none"/>
      </w:r>
      <w:r>
        <w:rPr>
          <w:rStyle w:val="Text6"/>
        </w:rPr>
        <w:t xml:space="preserve"> </w:t>
        <w:br w:clear="none"/>
      </w:r>
      <w:r>
        <w:rPr>
          <w:rStyle w:val="Text18"/>
        </w:rPr>
        <w:t xml:space="preserve">cals_and_name</w:t>
        <w:br w:clear="none"/>
      </w:r>
      <w:r>
        <w:rPr>
          <w:rStyle w:val="Text7"/>
        </w:rPr>
        <w:t xml:space="preserve">(</w:t>
        <w:br w:clear="none"/>
        <w:t xml:space="preserve">)</w:t>
        <w:br w:clear="none"/>
        <w:t xml:space="preserve">:</w:t>
        <w:br w:clear="none"/>
      </w:r>
      <w:r>
        <w:rPr>
          <w:rStyle w:val="Text6"/>
        </w:rPr>
        <w:t xml:space="preserve"/>
        <w:br w:clear="none"/>
      </w:r>
      <w:r>
        <w:rPr>
          <w:rStyle w:val="Text11"/>
        </w:rPr>
        <w:t xml:space="preserve">    </w:t>
        <w:br w:clear="none"/>
      </w:r>
      <w:r>
        <w:rPr>
          <w:rStyle w:val="Text15"/>
        </w:rPr>
        <w:t xml:space="preserve"># generator for (calories, name) pairs</w:t>
        <w:br w:clear="none"/>
      </w:r>
      <w:r>
        <w:rPr>
          <w:rStyle w:val="Text6"/>
        </w:rPr>
        <w:t xml:space="preserve"/>
        <w:br w:clear="none"/>
      </w:r>
      <w:r>
        <w:rPr>
          <w:rStyle w:val="Text29"/>
        </w:rPr>
        <w:t xml:space="preserve">    </w:t>
        <w:br w:clear="none"/>
      </w:r>
      <w:r>
        <w:rPr>
          <w:rStyle w:val="Text10"/>
        </w:rPr>
        <w:t xml:space="preserve">for</w:t>
        <w:br w:clear="none"/>
      </w:r>
      <w:r>
        <w:rPr>
          <w:rStyle w:val="Text6"/>
        </w:rPr>
        <w:t xml:space="preserve"> </w:t>
        <w:br w:clear="none"/>
      </w:r>
      <w:r>
        <w:t xml:space="preserve">_</w:t>
        <w:br w:clear="none"/>
      </w:r>
      <w:r>
        <w:rPr>
          <w:rStyle w:val="Text7"/>
        </w:rPr>
        <w:t xml:space="preserve">,</w:t>
        <w:br w:clear="none"/>
      </w:r>
      <w:r>
        <w:rPr>
          <w:rStyle w:val="Text6"/>
        </w:rPr>
        <w:t xml:space="preserve"> </w:t>
        <w:br w:clear="none"/>
      </w:r>
      <w:r>
        <w:t xml:space="preserve">elem</w:t>
        <w:br w:clear="none"/>
      </w:r>
      <w:r>
        <w:rPr>
          <w:rStyle w:val="Text6"/>
        </w:rPr>
        <w:t xml:space="preserve"> </w:t>
        <w:br w:clear="none"/>
      </w:r>
      <w:r>
        <w:rPr>
          <w:rStyle w:val="Text31"/>
        </w:rPr>
        <w:t xml:space="preserve">in</w:t>
        <w:br w:clear="none"/>
      </w:r>
      <w:r>
        <w:rPr>
          <w:rStyle w:val="Text6"/>
        </w:rPr>
        <w:t xml:space="preserve"> </w:t>
        <w:br w:clear="none"/>
      </w:r>
      <w:r>
        <w:t xml:space="preserve">et</w:t>
        <w:br w:clear="none"/>
      </w:r>
      <w:r>
        <w:rPr>
          <w:rStyle w:val="Text13"/>
        </w:rPr>
        <w:t xml:space="preserve">.</w:t>
        <w:br w:clear="none"/>
      </w:r>
      <w:r>
        <w:t xml:space="preserve">iterparse</w:t>
        <w:br w:clear="none"/>
      </w:r>
      <w:r>
        <w:rPr>
          <w:rStyle w:val="Text7"/>
        </w:rPr>
        <w:t xml:space="preserve">(</w:t>
        <w:br w:clear="none"/>
      </w:r>
      <w:r>
        <w:rPr>
          <w:rStyle w:val="Text8"/>
        </w:rPr>
        <w:t xml:space="preserve">'</w:t>
        <w:br w:clear="none"/>
        <w:t xml:space="preserve">menu.xml</w:t>
        <w:br w:clear="none"/>
        <w:t xml:space="preserve">'</w:t>
        <w:br w:clear="none"/>
      </w:r>
      <w:r>
        <w:rPr>
          <w:rStyle w:val="Text7"/>
        </w:rPr>
        <w:t xml:space="preserve">)</w:t>
        <w:br w:clear="none"/>
        <w:t xml:space="preserve">:</w:t>
        <w:br w:clear="none"/>
      </w:r>
      <w:r>
        <w:rPr>
          <w:rStyle w:val="Text6"/>
        </w:rPr>
        <w:t xml:space="preserve"/>
        <w:br w:clear="none"/>
        <w:t xml:space="preserve">    </w:t>
        <w:br w:clear="none"/>
      </w:r>
      <w:r>
        <w:rPr>
          <w:rStyle w:val="Text29"/>
        </w:rPr>
        <w:t xml:space="preserve">    </w:t>
        <w:br w:clear="none"/>
      </w:r>
      <w:r>
        <w:rPr>
          <w:rStyle w:val="Text10"/>
        </w:rPr>
        <w:t xml:space="preserve">if</w:t>
        <w:br w:clear="none"/>
      </w:r>
      <w:r>
        <w:rPr>
          <w:rStyle w:val="Text6"/>
        </w:rPr>
        <w:t xml:space="preserve"> </w:t>
        <w:br w:clear="none"/>
      </w:r>
      <w:r>
        <w:t xml:space="preserve">elem</w:t>
        <w:br w:clear="none"/>
      </w:r>
      <w:r>
        <w:rPr>
          <w:rStyle w:val="Text13"/>
        </w:rPr>
        <w:t xml:space="preserve">.</w:t>
        <w:br w:clear="none"/>
      </w:r>
      <w:r>
        <w:t xml:space="preserve">tag</w:t>
        <w:br w:clear="none"/>
      </w:r>
      <w:r>
        <w:rPr>
          <w:rStyle w:val="Text6"/>
        </w:rPr>
        <w:t xml:space="preserve"> </w:t>
        <w:br w:clear="none"/>
      </w:r>
      <w:r>
        <w:rPr>
          <w:rStyle w:val="Text13"/>
        </w:rPr>
        <w:t xml:space="preserve">!=</w:t>
        <w:br w:clear="none"/>
      </w:r>
      <w:r>
        <w:rPr>
          <w:rStyle w:val="Text6"/>
        </w:rPr>
        <w:t xml:space="preserve"> </w:t>
        <w:br w:clear="none"/>
      </w:r>
      <w:r>
        <w:rPr>
          <w:rStyle w:val="Text8"/>
        </w:rPr>
        <w:t xml:space="preserve">'</w:t>
        <w:br w:clear="none"/>
        <w:t xml:space="preserve">food</w:t>
        <w:br w:clear="none"/>
        <w:t xml:space="preserve">'</w:t>
        <w:br w:clear="none"/>
      </w:r>
      <w:r>
        <w:rPr>
          <w:rStyle w:val="Text7"/>
        </w:rPr>
        <w:t xml:space="preserve">:</w:t>
        <w:br w:clear="none"/>
      </w:r>
      <w:r>
        <w:rPr>
          <w:rStyle w:val="Text6"/>
        </w:rPr>
        <w:t xml:space="preserve"/>
        <w:br w:clear="none"/>
        <w:t xml:space="preserve">        </w:t>
        <w:br w:clear="none"/>
      </w:r>
      <w:r>
        <w:rPr>
          <w:rStyle w:val="Text29"/>
        </w:rPr>
        <w:t xml:space="preserve">    </w:t>
        <w:br w:clear="none"/>
      </w:r>
      <w:r>
        <w:rPr>
          <w:rStyle w:val="Text10"/>
        </w:rPr>
        <w:t xml:space="preserve">continue</w:t>
        <w:br w:clear="none"/>
      </w:r>
      <w:r>
        <w:rPr>
          <w:rStyle w:val="Text6"/>
        </w:rPr>
        <w:t xml:space="preserve"/>
        <w:br w:clear="none"/>
      </w:r>
      <w:r>
        <w:rPr>
          <w:rStyle w:val="Text29"/>
        </w:rPr>
        <w:t xml:space="preserve">   </w:t>
        <w:br w:clear="none"/>
      </w:r>
      <w:r>
        <w:rPr>
          <w:rStyle w:val="Text6"/>
        </w:rPr>
        <w:t xml:space="preserve">     </w:t>
        <w:br w:clear="none"/>
      </w:r>
      <w:r>
        <w:rPr>
          <w:rStyle w:val="Text15"/>
        </w:rPr>
        <w:t xml:space="preserve"># just finished parsing a food, get calories and name</w:t>
        <w:br w:clear="none"/>
      </w:r>
      <w:r>
        <w:rPr>
          <w:rStyle w:val="Text6"/>
        </w:rPr>
        <w:t xml:space="preserve"/>
        <w:br w:clear="none"/>
      </w:r>
      <w:r>
        <w:rPr>
          <w:rStyle w:val="Text29"/>
        </w:rPr>
        <w:t xml:space="preserve">   </w:t>
        <w:br w:clear="none"/>
      </w:r>
      <w:r>
        <w:rPr>
          <w:rStyle w:val="Text6"/>
        </w:rPr>
        <w:t xml:space="preserve">     </w:t>
        <w:br w:clear="none"/>
      </w:r>
      <w:r>
        <w:t xml:space="preserve">cals</w:t>
        <w:br w:clear="none"/>
      </w:r>
      <w:r>
        <w:rPr>
          <w:rStyle w:val="Text6"/>
        </w:rPr>
        <w:t xml:space="preserve"> </w:t>
        <w:br w:clear="none"/>
      </w:r>
      <w:r>
        <w:rPr>
          <w:rStyle w:val="Text13"/>
        </w:rPr>
        <w:t xml:space="preserve">=</w:t>
        <w:br w:clear="none"/>
      </w:r>
      <w:r>
        <w:rPr>
          <w:rStyle w:val="Text6"/>
        </w:rPr>
        <w:t xml:space="preserve"> </w:t>
        <w:br w:clear="none"/>
      </w:r>
      <w:r>
        <w:rPr>
          <w:rStyle w:val="Text16"/>
        </w:rPr>
        <w:t xml:space="preserve">int</w:t>
        <w:br w:clear="none"/>
      </w:r>
      <w:r>
        <w:rPr>
          <w:rStyle w:val="Text7"/>
        </w:rPr>
        <w:t xml:space="preserve">(</w:t>
        <w:br w:clear="none"/>
      </w:r>
      <w:r>
        <w:t xml:space="preserve">elem</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calories</w:t>
        <w:br w:clear="none"/>
        <w:t xml:space="preserve">'</w:t>
        <w:br w:clear="none"/>
      </w:r>
      <w:r>
        <w:rPr>
          <w:rStyle w:val="Text7"/>
        </w:rPr>
        <w:t xml:space="preserve">)</w:t>
        <w:br w:clear="none"/>
      </w:r>
      <w:r>
        <w:rPr>
          <w:rStyle w:val="Text13"/>
        </w:rPr>
        <w:t xml:space="preserve">.</w:t>
        <w:br w:clear="none"/>
      </w:r>
      <w:r>
        <w:t xml:space="preserve">text</w:t>
        <w:br w:clear="none"/>
      </w:r>
      <w:r>
        <w:rPr>
          <w:rStyle w:val="Text7"/>
        </w:rPr>
        <w:t xml:space="preserve">)</w:t>
        <w:br w:clear="none"/>
      </w:r>
      <w:r>
        <w:rPr>
          <w:rStyle w:val="Text6"/>
        </w:rPr>
        <w:t xml:space="preserve"/>
        <w:br w:clear="none"/>
        <w:t xml:space="preserve">    </w:t>
        <w:br w:clear="none"/>
      </w:r>
      <w:r>
        <w:rPr>
          <w:rStyle w:val="Text29"/>
        </w:rPr>
        <w:t xml:space="preserve">    </w:t>
        <w:br w:clear="none"/>
      </w:r>
      <w:r>
        <w:t xml:space="preserve">name</w:t>
        <w:br w:clear="none"/>
      </w:r>
      <w:r>
        <w:rPr>
          <w:rStyle w:val="Text6"/>
        </w:rPr>
        <w:t xml:space="preserve"> </w:t>
        <w:br w:clear="none"/>
      </w:r>
      <w:r>
        <w:rPr>
          <w:rStyle w:val="Text13"/>
        </w:rPr>
        <w:t xml:space="preserve">=</w:t>
        <w:br w:clear="none"/>
      </w:r>
      <w:r>
        <w:rPr>
          <w:rStyle w:val="Text6"/>
        </w:rPr>
        <w:t xml:space="preserve"> </w:t>
        <w:br w:clear="none"/>
      </w:r>
      <w:r>
        <w:t xml:space="preserve">elem</w:t>
        <w:br w:clear="none"/>
      </w:r>
      <w:r>
        <w:rPr>
          <w:rStyle w:val="Text13"/>
        </w:rPr>
        <w:t xml:space="preserve">.</w:t>
        <w:br w:clear="none"/>
      </w:r>
      <w:r>
        <w:t xml:space="preserve">find</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13"/>
        </w:rPr>
        <w:t xml:space="preserve">.</w:t>
        <w:br w:clear="none"/>
      </w:r>
      <w:r>
        <w:t xml:space="preserve">text</w:t>
        <w:br w:clear="none"/>
      </w:r>
      <w:r>
        <w:rPr>
          <w:rStyle w:val="Text6"/>
        </w:rPr>
        <w:t xml:space="preserve"/>
        <w:br w:clear="none"/>
        <w:t xml:space="preserve">        </w:t>
        <w:br w:clear="none"/>
      </w:r>
      <w:r>
        <w:rPr>
          <w:rStyle w:val="Text10"/>
        </w:rPr>
        <w:t xml:space="preserve">yield</w:t>
        <w:br w:clear="none"/>
      </w:r>
      <w:r>
        <w:rPr>
          <w:rStyle w:val="Text6"/>
        </w:rPr>
        <w:t xml:space="preserve"> </w:t>
        <w:br w:clear="none"/>
      </w:r>
      <w:r>
        <w:rPr>
          <w:rStyle w:val="Text7"/>
        </w:rPr>
        <w:t xml:space="preserve">(</w:t>
        <w:br w:clear="none"/>
      </w:r>
      <w:r>
        <w:t xml:space="preserve">cals</w:t>
        <w:br w:clear="none"/>
      </w:r>
      <w:r>
        <w:rPr>
          <w:rStyle w:val="Text7"/>
        </w:rPr>
        <w:t xml:space="preserve">,</w:t>
        <w:br w:clear="none"/>
      </w:r>
      <w:r>
        <w:rPr>
          <w:rStyle w:val="Text6"/>
        </w:rPr>
        <w:t xml:space="preserve"> </w:t>
        <w:br w:clear="none"/>
      </w:r>
      <w:r>
        <w:t xml:space="preserve">name</w:t>
        <w:br w:clear="none"/>
      </w:r>
      <w:r>
        <w:rPr>
          <w:rStyle w:val="Text7"/>
        </w:rPr>
        <w:t xml:space="preserve">)</w:t>
        <w:br w:clear="none"/>
      </w:r>
      <w:r>
        <w:rPr>
          <w:rStyle w:val="Text6"/>
        </w:rPr>
        <w:t xml:space="preserve"/>
        <w:br w:clear="none"/>
        <w:t xml:space="preserve"/>
        <w:br w:clear="none"/>
      </w:r>
      <w:r>
        <w:t xml:space="preserve">lowest10</w:t>
        <w:br w:clear="none"/>
      </w:r>
      <w:r>
        <w:rPr>
          <w:rStyle w:val="Text6"/>
        </w:rPr>
        <w:t xml:space="preserve"> </w:t>
        <w:br w:clear="none"/>
      </w:r>
      <w:r>
        <w:rPr>
          <w:rStyle w:val="Text13"/>
        </w:rPr>
        <w:t xml:space="preserve">=</w:t>
        <w:br w:clear="none"/>
      </w:r>
      <w:r>
        <w:rPr>
          <w:rStyle w:val="Text6"/>
        </w:rPr>
        <w:t xml:space="preserve"> </w:t>
        <w:br w:clear="none"/>
      </w:r>
      <w:r>
        <w:t xml:space="preserve">heapq</w:t>
        <w:br w:clear="none"/>
      </w:r>
      <w:r>
        <w:rPr>
          <w:rStyle w:val="Text13"/>
        </w:rPr>
        <w:t xml:space="preserve">.</w:t>
        <w:br w:clear="none"/>
      </w:r>
      <w:r>
        <w:t xml:space="preserve">nsmallest</w:t>
        <w:br w:clear="none"/>
      </w:r>
      <w:r>
        <w:rPr>
          <w:rStyle w:val="Text7"/>
        </w:rPr>
        <w:t xml:space="preserve">(</w:t>
        <w:br w:clear="none"/>
      </w:r>
      <w:r>
        <w:rPr>
          <w:rStyle w:val="Text27"/>
        </w:rPr>
        <w:t xml:space="preserve">10</w:t>
        <w:br w:clear="none"/>
      </w:r>
      <w:r>
        <w:rPr>
          <w:rStyle w:val="Text7"/>
        </w:rPr>
        <w:t xml:space="preserve">,</w:t>
        <w:br w:clear="none"/>
      </w:r>
      <w:r>
        <w:rPr>
          <w:rStyle w:val="Text6"/>
        </w:rPr>
        <w:t xml:space="preserve"> </w:t>
        <w:br w:clear="none"/>
      </w:r>
      <w:r>
        <w:t xml:space="preserve">cals_and_name</w:t>
        <w:br w:clear="none"/>
      </w:r>
      <w:r>
        <w:rPr>
          <w:rStyle w:val="Text7"/>
        </w:rPr>
        <w:t xml:space="preserve">(</w:t>
        <w:br w:clear="none"/>
        <w:t xml:space="preserve">)</w:t>
        <w:br w:clear="none"/>
        <w:t xml:space="preserve">)</w:t>
        <w:br w:clear="none"/>
      </w:r>
      <w:r>
        <w:rPr>
          <w:rStyle w:val="Text6"/>
        </w:rPr>
        <w:t xml:space="preserve"/>
        <w:br w:clear="none"/>
        <w:t xml:space="preserve"/>
        <w:br w:clear="none"/>
      </w:r>
      <w:r>
        <w:rPr>
          <w:rStyle w:val="Text10"/>
        </w:rPr>
        <w:t xml:space="preserve">for</w:t>
        <w:br w:clear="none"/>
      </w:r>
      <w:r>
        <w:rPr>
          <w:rStyle w:val="Text6"/>
        </w:rPr>
        <w:t xml:space="preserve"> </w:t>
        <w:br w:clear="none"/>
      </w:r>
      <w:r>
        <w:t xml:space="preserve">cals</w:t>
        <w:br w:clear="none"/>
      </w:r>
      <w:r>
        <w:rPr>
          <w:rStyle w:val="Text7"/>
        </w:rPr>
        <w:t xml:space="preserve">,</w:t>
        <w:br w:clear="none"/>
      </w:r>
      <w:r>
        <w:rPr>
          <w:rStyle w:val="Text6"/>
        </w:rPr>
        <w:t xml:space="preserve"> </w:t>
        <w:br w:clear="none"/>
      </w:r>
      <w:r>
        <w:t xml:space="preserve">name</w:t>
        <w:br w:clear="none"/>
      </w:r>
      <w:r>
        <w:rPr>
          <w:rStyle w:val="Text6"/>
        </w:rPr>
        <w:t xml:space="preserve"> </w:t>
        <w:br w:clear="none"/>
      </w:r>
      <w:r>
        <w:rPr>
          <w:rStyle w:val="Text31"/>
        </w:rPr>
        <w:t xml:space="preserve">in</w:t>
        <w:br w:clear="none"/>
      </w:r>
      <w:r>
        <w:rPr>
          <w:rStyle w:val="Text6"/>
        </w:rPr>
        <w:t xml:space="preserve"> </w:t>
        <w:br w:clear="none"/>
      </w:r>
      <w:r>
        <w:t xml:space="preserve">lowest10</w:t>
        <w:br w:clear="none"/>
      </w:r>
      <w:r>
        <w:rPr>
          <w:rStyle w:val="Text7"/>
        </w:rPr>
        <w:t xml:space="preserve">:</w:t>
        <w:br w:clear="none"/>
      </w:r>
      <w:r>
        <w:rPr>
          <w:rStyle w:val="Text6"/>
        </w:rPr>
        <w:t xml:space="preserve"/>
        <w:br w:clear="none"/>
        <w:t xml:space="preserve">    </w:t>
        <w:br w:clear="none"/>
      </w:r>
      <w:r>
        <w:rPr>
          <w:rStyle w:val="Text16"/>
        </w:rPr>
        <w:t xml:space="preserve">print</w:t>
        <w:br w:clear="none"/>
      </w:r>
      <w:r>
        <w:rPr>
          <w:rStyle w:val="Text7"/>
        </w:rPr>
        <w:t xml:space="preserve">(</w:t>
        <w:br w:clear="none"/>
      </w:r>
      <w:r>
        <w:t xml:space="preserve">cals</w:t>
        <w:br w:clear="none"/>
      </w:r>
      <w:r>
        <w:rPr>
          <w:rStyle w:val="Text7"/>
        </w:rPr>
        <w:t xml:space="preserve">,</w:t>
        <w:br w:clear="none"/>
      </w:r>
      <w:r>
        <w:rPr>
          <w:rStyle w:val="Text6"/>
        </w:rPr>
        <w:t xml:space="preserve"> </w:t>
        <w:br w:clear="none"/>
      </w:r>
      <w:r>
        <w:t xml:space="preserve">name</w:t>
        <w:br w:clear="none"/>
      </w:r>
      <w:r>
        <w:rPr>
          <w:rStyle w:val="Text7"/>
        </w:rPr>
        <w:t xml:space="preserve">)</w:t>
        <w:br w:clear="none"/>
      </w:r>
    </w:p>
    <w:p>
      <w:pPr>
        <w:pStyle w:val="Normal"/>
      </w:pPr>
      <w:r>
        <w:t xml:space="preserve">This approach does indeed work, but unfortunately it consumes just about as much memory as an approach based on a full </w:t>
      </w:r>
      <w:r>
        <w:rPr>
          <w:rStyle w:val="Text0"/>
        </w:rPr>
        <w:t>et.parse</w:t>
      </w:r>
      <w:r>
        <w:t xml:space="preserve"> would! This is because </w:t>
      </w:r>
      <w:r>
        <w:rPr>
          <w:rStyle w:val="Text0"/>
        </w:rPr>
        <w:t>iterparse</w:t>
      </w:r>
      <w:r>
        <w:t xml:space="preserve"> builds up a whole </w:t>
      </w:r>
      <w:r>
        <w:rPr>
          <w:rStyle w:val="Text0"/>
        </w:rPr>
        <w:t>ElementTree</w:t>
      </w:r>
      <w:r>
        <w:t xml:space="preserve"> in memory, even though it only communicates back events such as (and by default only) </w:t>
      </w:r>
      <w:r>
        <w:rPr>
          <w:rStyle w:val="Text0"/>
        </w:rPr>
        <w:t>'end'</w:t>
      </w:r>
      <w:r>
        <w:t>, meaning “I just finished parsing this element.”</w:t>
      </w:r>
    </w:p>
    <w:p>
      <w:pPr>
        <w:pStyle w:val="Normal"/>
      </w:pPr>
      <w:r>
        <w:t xml:space="preserve">To actually save memory, we can at least toss all the contents of each element as soon as we’re done processing it—that is, right after the </w:t>
      </w:r>
      <w:r>
        <w:rPr>
          <w:rStyle w:val="Text5"/>
        </w:rPr>
        <w:t>yield</w:t>
      </w:r>
      <w:r>
        <w:t xml:space="preserve">, we can add </w:t>
      </w:r>
      <w:r>
        <w:rPr>
          <w:rStyle w:val="Text0"/>
        </w:rPr>
        <w:t>elem.clear()</w:t>
      </w:r>
      <w:r>
        <w:t xml:space="preserve"> to make the just-processed element empty.</w:t>
      </w:r>
    </w:p>
    <w:p>
      <w:pPr>
        <w:pStyle w:val="Normal"/>
      </w:pPr>
      <w:r>
        <w:t xml:space="preserve">This approach would indeed save some memory—but not all of it, because the tree’s root would still end up with a huge list of empty child nodes. To be really frugal in memory consumption, we need to get </w:t>
      </w:r>
      <w:r>
        <w:rPr>
          <w:rStyle w:val="Text0"/>
        </w:rPr>
        <w:t>'start'</w:t>
      </w:r>
      <w:r>
        <w:t xml:space="preserve"> events as well, so we can get hold of the root of the </w:t>
      </w:r>
      <w:r>
        <w:rPr>
          <w:rStyle w:val="Text0"/>
        </w:rPr>
        <w:t>ElementTree</w:t>
      </w:r>
      <w:r>
        <w:t xml:space="preserve"> being built and remove each element from it as it’s used, rather than just clearing the element. That is, we want to change the generator into:</w:t>
      </w:r>
    </w:p>
    <w:p>
      <w:pPr>
        <w:pStyle w:val="Para 018"/>
      </w:pPr>
      <w:r>
        <w:rPr>
          <w:rStyle w:val="Text104"/>
        </w:rPr>
        <w:t xml:space="preserve"/>
        <w:br w:clear="none"/>
      </w:r>
      <w:r>
        <w:rPr>
          <w:rStyle w:val="Text39"/>
        </w:rPr>
        <w:t xml:space="preserve">def</w:t>
        <w:br w:clear="none"/>
      </w:r>
      <w:r>
        <w:t xml:space="preserve"> </w:t>
        <w:br w:clear="none"/>
      </w:r>
      <w:r>
        <w:rPr>
          <w:rStyle w:val="Text18"/>
        </w:rPr>
        <w:t xml:space="preserve">cals_and_name</w:t>
        <w:br w:clear="none"/>
      </w:r>
      <w:r>
        <w:rPr>
          <w:rStyle w:val="Text7"/>
        </w:rPr>
        <w:t xml:space="preserve">(</w:t>
        <w:br w:clear="none"/>
        <w:t xml:space="preserve">)</w:t>
        <w:br w:clear="none"/>
        <w:t xml:space="preserve">:</w:t>
        <w:br w:clear="none"/>
      </w:r>
      <w:r>
        <w:t xml:space="preserve"/>
        <w:br w:clear="none"/>
      </w:r>
      <w:r>
        <w:rPr>
          <w:rStyle w:val="Text4"/>
        </w:rPr>
        <w:t xml:space="preserve">    </w:t>
        <w:br w:clear="none"/>
      </w:r>
      <w:r>
        <w:rPr>
          <w:rStyle w:val="Text15"/>
        </w:rPr>
        <w:t xml:space="preserve"># memory-thrifty generator for (calories, name) pairs</w:t>
        <w:br w:clear="none"/>
      </w:r>
      <w:r>
        <w:t xml:space="preserve"/>
        <w:br w:clear="none"/>
        <w:t xml:space="preserve">    </w:t>
        <w:br w:clear="none"/>
      </w:r>
      <w:r>
        <w:rPr>
          <w:rStyle w:val="Text9"/>
        </w:rPr>
        <w:t xml:space="preserve">root</w:t>
        <w:br w:clear="none"/>
      </w:r>
      <w:r>
        <w:t xml:space="preserve"> </w:t>
        <w:br w:clear="none"/>
      </w:r>
      <w:r>
        <w:rPr>
          <w:rStyle w:val="Text13"/>
        </w:rPr>
        <w:t xml:space="preserve">=</w:t>
        <w:br w:clear="none"/>
      </w:r>
      <w:r>
        <w:t xml:space="preserve"> </w:t>
        <w:br w:clear="none"/>
      </w:r>
      <w:r>
        <w:rPr>
          <w:rStyle w:val="Text10"/>
        </w:rPr>
        <w:t xml:space="preserve">None</w:t>
        <w:br w:clear="none"/>
      </w:r>
      <w:r>
        <w:t xml:space="preserve"/>
        <w:br w:clear="none"/>
        <w:t xml:space="preserve">    </w:t>
        <w:br w:clear="none"/>
      </w:r>
      <w:r>
        <w:rPr>
          <w:rStyle w:val="Text10"/>
        </w:rPr>
        <w:t xml:space="preserve">for</w:t>
        <w:br w:clear="none"/>
      </w:r>
      <w:r>
        <w:t xml:space="preserve"> </w:t>
        <w:br w:clear="none"/>
      </w:r>
      <w:r>
        <w:rPr>
          <w:rStyle w:val="Text9"/>
        </w:rPr>
        <w:t xml:space="preserve">event</w:t>
        <w:br w:clear="none"/>
      </w:r>
      <w:r>
        <w:rPr>
          <w:rStyle w:val="Text7"/>
        </w:rPr>
        <w:t xml:space="preserve">,</w:t>
        <w:br w:clear="none"/>
      </w:r>
      <w:r>
        <w:t xml:space="preserve"> </w:t>
        <w:br w:clear="none"/>
      </w:r>
      <w:r>
        <w:rPr>
          <w:rStyle w:val="Text9"/>
        </w:rPr>
        <w:t xml:space="preserve">elem</w:t>
        <w:br w:clear="none"/>
      </w:r>
      <w:r>
        <w:t xml:space="preserve"> </w:t>
        <w:br w:clear="none"/>
      </w:r>
      <w:r>
        <w:rPr>
          <w:rStyle w:val="Text31"/>
        </w:rPr>
        <w:t xml:space="preserve">in</w:t>
        <w:br w:clear="none"/>
      </w:r>
      <w:r>
        <w:t xml:space="preserve"> </w:t>
        <w:br w:clear="none"/>
      </w:r>
      <w:r>
        <w:rPr>
          <w:rStyle w:val="Text9"/>
        </w:rPr>
        <w:t xml:space="preserve">et</w:t>
        <w:br w:clear="none"/>
      </w:r>
      <w:r>
        <w:rPr>
          <w:rStyle w:val="Text13"/>
        </w:rPr>
        <w:t xml:space="preserve">.</w:t>
        <w:br w:clear="none"/>
      </w:r>
      <w:r>
        <w:rPr>
          <w:rStyle w:val="Text9"/>
        </w:rPr>
        <w:t xml:space="preserve">iterparse</w:t>
        <w:br w:clear="none"/>
      </w:r>
      <w:r>
        <w:rPr>
          <w:rStyle w:val="Text7"/>
        </w:rPr>
        <w:t xml:space="preserve">(</w:t>
        <w:br w:clear="none"/>
      </w:r>
      <w:r>
        <w:rPr>
          <w:rStyle w:val="Text8"/>
        </w:rPr>
        <w:t xml:space="preserve">'</w:t>
        <w:br w:clear="none"/>
        <w:t xml:space="preserve">menu.xml</w:t>
        <w:br w:clear="none"/>
        <w:t xml:space="preserve">'</w:t>
        <w:br w:clear="none"/>
      </w:r>
      <w:r>
        <w:rPr>
          <w:rStyle w:val="Text7"/>
        </w:rPr>
        <w:t xml:space="preserve">,</w:t>
        <w:br w:clear="none"/>
      </w:r>
      <w:r>
        <w:t xml:space="preserve"> </w:t>
        <w:br w:clear="none"/>
      </w:r>
      <w:r>
        <w:rPr>
          <w:rStyle w:val="Text7"/>
        </w:rPr>
        <w:t xml:space="preserve">[</w:t>
        <w:br w:clear="none"/>
      </w:r>
      <w:r>
        <w:rPr>
          <w:rStyle w:val="Text8"/>
        </w:rPr>
        <w:t xml:space="preserve">'</w:t>
        <w:br w:clear="none"/>
        <w:t xml:space="preserve">start</w:t>
        <w:br w:clear="none"/>
        <w:t xml:space="preserve">'</w:t>
        <w:br w:clear="none"/>
      </w:r>
      <w:r>
        <w:rPr>
          <w:rStyle w:val="Text7"/>
        </w:rPr>
        <w:t xml:space="preserve">,</w:t>
        <w:br w:clear="none"/>
      </w:r>
      <w:r>
        <w:t xml:space="preserve"> </w:t>
        <w:br w:clear="none"/>
      </w:r>
      <w:r>
        <w:rPr>
          <w:rStyle w:val="Text8"/>
        </w:rPr>
        <w:t xml:space="preserve">'</w:t>
        <w:br w:clear="none"/>
        <w:t xml:space="preserve">end</w:t>
        <w:br w:clear="none"/>
        <w:t xml:space="preserve">'</w:t>
        <w:br w:clear="none"/>
      </w:r>
      <w:r>
        <w:rPr>
          <w:rStyle w:val="Text7"/>
        </w:rPr>
        <w:t xml:space="preserve">]</w:t>
        <w:br w:clear="none"/>
        <w:t xml:space="preserve">)</w:t>
        <w:br w:clear="none"/>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event</w:t>
        <w:br w:clear="none"/>
      </w:r>
      <w:r>
        <w:t xml:space="preserve"> </w:t>
        <w:br w:clear="none"/>
      </w:r>
      <w:r>
        <w:rPr>
          <w:rStyle w:val="Text13"/>
        </w:rPr>
        <w:t xml:space="preserve">==</w:t>
        <w:br w:clear="none"/>
      </w:r>
      <w:r>
        <w:t xml:space="preserve"> </w:t>
        <w:br w:clear="none"/>
      </w:r>
      <w:r>
        <w:rPr>
          <w:rStyle w:val="Text8"/>
        </w:rPr>
        <w:t xml:space="preserve">'</w:t>
        <w:br w:clear="none"/>
        <w:t xml:space="preserve">start</w:t>
        <w:br w:clear="none"/>
        <w:t xml:space="preserve">'</w:t>
        <w:br w:clear="none"/>
      </w:r>
      <w:r>
        <w:rPr>
          <w:rStyle w:val="Text7"/>
        </w:rPr>
        <w:t xml:space="preserve">:</w:t>
        <w:br w:clear="none"/>
      </w:r>
      <w:r>
        <w:t xml:space="preserve"/>
        <w:br w:clear="none"/>
        <w:t xml:space="preserve">            </w:t>
        <w:br w:clear="none"/>
      </w:r>
      <w:r>
        <w:rPr>
          <w:rStyle w:val="Text10"/>
        </w:rPr>
        <w:t xml:space="preserve">if</w:t>
        <w:br w:clear="none"/>
      </w:r>
      <w:r>
        <w:t xml:space="preserve"> </w:t>
        <w:br w:clear="none"/>
      </w:r>
      <w:r>
        <w:rPr>
          <w:rStyle w:val="Text9"/>
        </w:rPr>
        <w:t xml:space="preserve">root</w:t>
        <w:br w:clear="none"/>
      </w:r>
      <w:r>
        <w:t xml:space="preserve"> </w:t>
        <w:br w:clear="none"/>
      </w:r>
      <w:r>
        <w:rPr>
          <w:rStyle w:val="Text31"/>
        </w:rPr>
        <w:t xml:space="preserve">is</w:t>
        <w:br w:clear="none"/>
      </w:r>
      <w:r>
        <w:rPr>
          <w:rStyle w:val="Text37"/>
        </w:rPr>
        <w:t xml:space="preserve"> </w:t>
        <w:br w:clear="none"/>
      </w:r>
      <w:r>
        <w:rPr>
          <w:rStyle w:val="Text10"/>
        </w:rPr>
        <w:t xml:space="preserve">None</w:t>
        <w:br w:clear="none"/>
      </w:r>
      <w:r>
        <w:rPr>
          <w:rStyle w:val="Text7"/>
        </w:rPr>
        <w:t xml:space="preserve">:</w:t>
        <w:br w:clear="none"/>
      </w:r>
      <w:r>
        <w:t xml:space="preserve"/>
        <w:br w:clear="none"/>
        <w:t xml:space="preserve">                </w:t>
        <w:br w:clear="none"/>
      </w:r>
      <w:r>
        <w:rPr>
          <w:rStyle w:val="Text9"/>
        </w:rPr>
        <w:t xml:space="preserve">root</w:t>
        <w:br w:clear="none"/>
      </w:r>
      <w:r>
        <w:t xml:space="preserve"> </w:t>
        <w:br w:clear="none"/>
      </w:r>
      <w:r>
        <w:rPr>
          <w:rStyle w:val="Text13"/>
        </w:rPr>
        <w:t xml:space="preserve">=</w:t>
        <w:br w:clear="none"/>
      </w:r>
      <w:r>
        <w:t xml:space="preserve"> </w:t>
        <w:br w:clear="none"/>
      </w:r>
      <w:r>
        <w:rPr>
          <w:rStyle w:val="Text9"/>
        </w:rPr>
        <w:t xml:space="preserve">elem</w:t>
        <w:br w:clear="none"/>
      </w:r>
      <w:r>
        <w:t xml:space="preserve"/>
        <w:br w:clear="none"/>
        <w:t xml:space="preserve">    </w:t>
        <w:br w:clear="none"/>
      </w:r>
      <w:r>
        <w:rPr>
          <w:rStyle w:val="Text37"/>
        </w:rPr>
        <w:t xml:space="preserve">        </w:t>
        <w:br w:clear="none"/>
      </w:r>
      <w:r>
        <w:rPr>
          <w:rStyle w:val="Text10"/>
        </w:rPr>
        <w:t xml:space="preserve">continue</w:t>
        <w:br w:clear="none"/>
      </w:r>
      <w:r>
        <w:t xml:space="preserve"/>
        <w:br w:clear="none"/>
        <w:t xml:space="preserve">        </w:t>
        <w:br w:clear="none"/>
      </w:r>
      <w:r>
        <w:rPr>
          <w:rStyle w:val="Text10"/>
        </w:rPr>
        <w:t xml:space="preserve">if</w:t>
        <w:br w:clear="none"/>
      </w:r>
      <w:r>
        <w:t xml:space="preserve"> </w:t>
        <w:br w:clear="none"/>
      </w:r>
      <w:r>
        <w:rPr>
          <w:rStyle w:val="Text9"/>
        </w:rPr>
        <w:t xml:space="preserve">elem</w:t>
        <w:br w:clear="none"/>
      </w:r>
      <w:r>
        <w:rPr>
          <w:rStyle w:val="Text13"/>
        </w:rPr>
        <w:t xml:space="preserve">.</w:t>
        <w:br w:clear="none"/>
      </w:r>
      <w:r>
        <w:rPr>
          <w:rStyle w:val="Text9"/>
        </w:rPr>
        <w:t xml:space="preserve">tag</w:t>
        <w:br w:clear="none"/>
      </w:r>
      <w:r>
        <w:t xml:space="preserve"> </w:t>
        <w:br w:clear="none"/>
      </w:r>
      <w:r>
        <w:rPr>
          <w:rStyle w:val="Text13"/>
        </w:rPr>
        <w:t xml:space="preserve">!=</w:t>
        <w:br w:clear="none"/>
      </w:r>
      <w:r>
        <w:t xml:space="preserve"> </w:t>
        <w:br w:clear="none"/>
      </w:r>
      <w:r>
        <w:rPr>
          <w:rStyle w:val="Text8"/>
        </w:rPr>
        <w:t xml:space="preserve">'</w:t>
        <w:br w:clear="none"/>
        <w:t xml:space="preserve">food</w:t>
        <w:br w:clear="none"/>
        <w:t xml:space="preserve">'</w:t>
        <w:br w:clear="none"/>
      </w:r>
      <w:r>
        <w:rPr>
          <w:rStyle w:val="Text7"/>
        </w:rPr>
        <w:t xml:space="preserve">:</w:t>
        <w:br w:clear="none"/>
      </w:r>
      <w:r>
        <w:t xml:space="preserve"/>
        <w:br w:clear="none"/>
        <w:t xml:space="preserve">            </w:t>
        <w:br w:clear="none"/>
      </w:r>
      <w:r>
        <w:rPr>
          <w:rStyle w:val="Text10"/>
        </w:rPr>
        <w:t xml:space="preserve">continue</w:t>
        <w:br w:clear="none"/>
      </w:r>
      <w:r>
        <w:t xml:space="preserve"/>
        <w:br w:clear="none"/>
        <w:t xml:space="preserve">        </w:t>
        <w:br w:clear="none"/>
      </w:r>
      <w:r>
        <w:rPr>
          <w:rStyle w:val="Text15"/>
        </w:rPr>
        <w:t xml:space="preserve"># just finished parsing a food, get calories and name</w:t>
        <w:br w:clear="none"/>
      </w:r>
      <w:r>
        <w:t xml:space="preserve"/>
        <w:br w:clear="none"/>
        <w:t xml:space="preserve">        </w:t>
        <w:br w:clear="none"/>
      </w:r>
      <w:r>
        <w:rPr>
          <w:rStyle w:val="Text9"/>
        </w:rPr>
        <w:t xml:space="preserve">cals</w:t>
        <w:br w:clear="none"/>
      </w:r>
      <w:r>
        <w:t xml:space="preserve"> </w:t>
        <w:br w:clear="none"/>
      </w:r>
      <w:r>
        <w:rPr>
          <w:rStyle w:val="Text13"/>
        </w:rPr>
        <w:t xml:space="preserve">=</w:t>
        <w:br w:clear="none"/>
      </w:r>
      <w:r>
        <w:t xml:space="preserve"> </w:t>
        <w:br w:clear="none"/>
      </w:r>
      <w:r>
        <w:rPr>
          <w:rStyle w:val="Text16"/>
        </w:rPr>
        <w:t xml:space="preserve">int</w:t>
        <w:br w:clear="none"/>
      </w:r>
      <w:r>
        <w:rPr>
          <w:rStyle w:val="Text7"/>
        </w:rPr>
        <w:t xml:space="preserve">(</w:t>
        <w:br w:clear="none"/>
      </w:r>
      <w:r>
        <w:rPr>
          <w:rStyle w:val="Text9"/>
        </w:rPr>
        <w:t xml:space="preserve">elem</w:t>
        <w:br w:clear="none"/>
      </w:r>
      <w:r>
        <w:rPr>
          <w:rStyle w:val="Text13"/>
        </w:rPr>
        <w:t xml:space="preserve">.</w:t>
        <w:br w:clear="none"/>
      </w:r>
      <w:r>
        <w:rPr>
          <w:rStyle w:val="Text9"/>
        </w:rPr>
        <w:t xml:space="preserve">find</w:t>
        <w:br w:clear="none"/>
      </w:r>
      <w:r>
        <w:rPr>
          <w:rStyle w:val="Text7"/>
        </w:rPr>
        <w:t xml:space="preserve">(</w:t>
        <w:br w:clear="none"/>
      </w:r>
      <w:r>
        <w:rPr>
          <w:rStyle w:val="Text8"/>
        </w:rPr>
        <w:t xml:space="preserve">'</w:t>
        <w:br w:clear="none"/>
        <w:t xml:space="preserve">calories</w:t>
        <w:br w:clear="none"/>
        <w:t xml:space="preserve">'</w:t>
        <w:br w:clear="none"/>
      </w:r>
      <w:r>
        <w:rPr>
          <w:rStyle w:val="Text7"/>
        </w:rPr>
        <w:t xml:space="preserve">)</w:t>
        <w:br w:clear="none"/>
      </w:r>
      <w:r>
        <w:rPr>
          <w:rStyle w:val="Text13"/>
        </w:rPr>
        <w:t xml:space="preserve">.</w:t>
        <w:br w:clear="none"/>
      </w:r>
      <w:r>
        <w:rPr>
          <w:rStyle w:val="Text9"/>
        </w:rPr>
        <w:t xml:space="preserve">text</w:t>
        <w:br w:clear="none"/>
      </w:r>
      <w:r>
        <w:rPr>
          <w:rStyle w:val="Text7"/>
        </w:rPr>
        <w:t xml:space="preserve">)</w:t>
        <w:br w:clear="none"/>
      </w:r>
      <w:r>
        <w:t xml:space="preserve"/>
        <w:br w:clear="none"/>
        <w:t xml:space="preserve">        </w:t>
        <w:br w:clear="none"/>
      </w:r>
      <w:r>
        <w:rPr>
          <w:rStyle w:val="Text9"/>
        </w:rPr>
        <w:t xml:space="preserve">name</w:t>
        <w:br w:clear="none"/>
      </w:r>
      <w:r>
        <w:t xml:space="preserve"> </w:t>
        <w:br w:clear="none"/>
      </w:r>
      <w:r>
        <w:rPr>
          <w:rStyle w:val="Text13"/>
        </w:rPr>
        <w:t xml:space="preserve">=</w:t>
        <w:br w:clear="none"/>
      </w:r>
      <w:r>
        <w:t xml:space="preserve"> </w:t>
        <w:br w:clear="none"/>
      </w:r>
      <w:r>
        <w:rPr>
          <w:rStyle w:val="Text9"/>
        </w:rPr>
        <w:t xml:space="preserve">elem</w:t>
        <w:br w:clear="none"/>
      </w:r>
      <w:r>
        <w:rPr>
          <w:rStyle w:val="Text13"/>
        </w:rPr>
        <w:t xml:space="preserve">.</w:t>
        <w:br w:clear="none"/>
      </w:r>
      <w:r>
        <w:rPr>
          <w:rStyle w:val="Text9"/>
        </w:rPr>
        <w:t xml:space="preserve">find</w:t>
        <w:br w:clear="none"/>
      </w:r>
      <w:r>
        <w:rPr>
          <w:rStyle w:val="Text7"/>
        </w:rPr>
        <w:t xml:space="preserve">(</w:t>
        <w:br w:clear="none"/>
      </w:r>
      <w:r>
        <w:rPr>
          <w:rStyle w:val="Text8"/>
        </w:rPr>
        <w:t xml:space="preserve">'</w:t>
        <w:br w:clear="none"/>
        <w:t xml:space="preserve">name</w:t>
        <w:br w:clear="none"/>
        <w:t xml:space="preserve">'</w:t>
        <w:br w:clear="none"/>
      </w:r>
      <w:r>
        <w:rPr>
          <w:rStyle w:val="Text7"/>
        </w:rPr>
        <w:t xml:space="preserve">)</w:t>
        <w:br w:clear="none"/>
      </w:r>
      <w:r>
        <w:rPr>
          <w:rStyle w:val="Text13"/>
        </w:rPr>
        <w:t xml:space="preserve">.</w:t>
        <w:br w:clear="none"/>
      </w:r>
      <w:r>
        <w:rPr>
          <w:rStyle w:val="Text9"/>
        </w:rPr>
        <w:t xml:space="preserve">text</w:t>
        <w:br w:clear="none"/>
      </w:r>
      <w:r>
        <w:t xml:space="preserve"/>
        <w:br w:clear="none"/>
        <w:t xml:space="preserve">        </w:t>
        <w:br w:clear="none"/>
      </w:r>
      <w:r>
        <w:rPr>
          <w:rStyle w:val="Text10"/>
        </w:rPr>
        <w:t xml:space="preserve">yield</w:t>
        <w:br w:clear="none"/>
      </w:r>
      <w:r>
        <w:t xml:space="preserve"> </w:t>
        <w:br w:clear="none"/>
      </w:r>
      <w:r>
        <w:rPr>
          <w:rStyle w:val="Text7"/>
        </w:rPr>
        <w:t xml:space="preserve">(</w:t>
        <w:br w:clear="none"/>
      </w:r>
      <w:r>
        <w:rPr>
          <w:rStyle w:val="Text9"/>
        </w:rPr>
        <w:t xml:space="preserve">cals</w:t>
        <w:br w:clear="none"/>
      </w:r>
      <w:r>
        <w:rPr>
          <w:rStyle w:val="Text7"/>
        </w:rPr>
        <w:t xml:space="preserve">,</w:t>
        <w:br w:clear="none"/>
      </w:r>
      <w:r>
        <w:t xml:space="preserve"> </w:t>
        <w:br w:clear="none"/>
      </w:r>
      <w:r>
        <w:rPr>
          <w:rStyle w:val="Text9"/>
        </w:rPr>
        <w:t xml:space="preserve">name</w:t>
        <w:br w:clear="none"/>
      </w:r>
      <w:r>
        <w:rPr>
          <w:rStyle w:val="Text7"/>
        </w:rPr>
        <w:t xml:space="preserve">)</w:t>
        <w:br w:clear="none"/>
      </w:r>
      <w:r>
        <w:t xml:space="preserve"/>
        <w:br w:clear="none"/>
        <w:t xml:space="preserve">        </w:t>
        <w:br w:clear="none"/>
      </w:r>
      <w:r>
        <w:rPr>
          <w:rStyle w:val="Text9"/>
        </w:rPr>
        <w:t xml:space="preserve">root</w:t>
        <w:br w:clear="none"/>
      </w:r>
      <w:r>
        <w:rPr>
          <w:rStyle w:val="Text13"/>
        </w:rPr>
        <w:t xml:space="preserve">.</w:t>
        <w:br w:clear="none"/>
      </w:r>
      <w:r>
        <w:rPr>
          <w:rStyle w:val="Text9"/>
        </w:rPr>
        <w:t xml:space="preserve">remove</w:t>
        <w:br w:clear="none"/>
      </w:r>
      <w:r>
        <w:rPr>
          <w:rStyle w:val="Text7"/>
        </w:rPr>
        <w:t xml:space="preserve">(</w:t>
        <w:br w:clear="none"/>
      </w:r>
      <w:r>
        <w:rPr>
          <w:rStyle w:val="Text9"/>
        </w:rPr>
        <w:t xml:space="preserve">elem</w:t>
        <w:br w:clear="none"/>
      </w:r>
      <w:r>
        <w:rPr>
          <w:rStyle w:val="Text7"/>
        </w:rPr>
        <w:t xml:space="preserve">)</w:t>
        <w:br w:clear="none"/>
      </w:r>
    </w:p>
    <w:p>
      <w:pPr>
        <w:pStyle w:val="Normal"/>
      </w:pPr>
      <w:r>
        <w:t>This approach saves as much memory as feasible, and still gets the task done!</w:t>
      </w:r>
    </w:p>
    <w:p>
      <w:pPr>
        <w:keepNext/>
        <w:pStyle w:val="Heading 5"/>
        <w:keepLines w:val="on"/>
      </w:pPr>
      <w:r>
        <w:t>Parsing XML Within an Asynchronous Loop</w:t>
      </w:r>
    </w:p>
    <w:p>
      <w:pPr>
        <w:pStyle w:val="Para 012"/>
        <w:keepLines w:val="on"/>
      </w:pPr>
      <w:r>
        <w:t xml:space="preserve">While </w:t>
      </w:r>
      <w:r>
        <w:rPr>
          <w:rStyle w:val="Text0"/>
        </w:rPr>
        <w:t>iterparse</w:t>
      </w:r>
      <w:r>
        <w:t xml:space="preserve">, used correctly, can save memory, it’s still not good enough to use within an asynchronous loop. That’s because </w:t>
      </w:r>
      <w:r>
        <w:rPr>
          <w:rStyle w:val="Text0"/>
        </w:rPr>
        <w:t>iterparse</w:t>
      </w:r>
      <w:r>
        <w:t xml:space="preserve"> makes blocking </w:t>
      </w:r>
      <w:r>
        <w:rPr>
          <w:rStyle w:val="Text0"/>
        </w:rPr>
        <w:t>read</w:t>
      </w:r>
      <w:r>
        <w:t xml:space="preserve"> calls to the file object passed as its first argument: such blocking calls are a no-no in async processing.</w:t>
      </w:r>
    </w:p>
    <w:p>
      <w:pPr>
        <w:pStyle w:val="Para 012"/>
        <w:keepLines w:val="on"/>
      </w:pPr>
      <w:r>
        <w:rPr>
          <w:rStyle w:val="Text0"/>
        </w:rPr>
        <w:t>ElementTree</w:t>
      </w:r>
      <w:r>
        <w:t xml:space="preserve"> offers the class </w:t>
      </w:r>
      <w:r>
        <w:rPr>
          <w:rStyle w:val="Text0"/>
        </w:rPr>
        <w:t>XMLPullParser</w:t>
      </w:r>
      <w:r>
        <w:t xml:space="preserve"> to help with this issue; see the </w:t>
      </w:r>
      <w:hyperlink r:id="rId657">
        <w:r>
          <w:rPr>
            <w:rStyle w:val="Text1"/>
          </w:rPr>
          <w:t>online docs</w:t>
        </w:r>
      </w:hyperlink>
      <w:r>
        <w:t xml:space="preserve"> for the class’s usage pattern.</w:t>
      </w:r>
    </w:p>
    <w:p>
      <w:bookmarkStart w:id="4415" w:name="1_Alex_is_far_too_modest_to_ment"/>
      <w:pPr>
        <w:pStyle w:val="Para 035"/>
      </w:pPr>
      <w:hyperlink w:anchor="1_22">
        <w:r>
          <w:rPr>
            <w:rStyle w:val="Text1"/>
          </w:rPr>
          <w:t>1</w:t>
        </w:r>
      </w:hyperlink>
      <w:r>
        <w:t xml:space="preserve"> Alex is far too modest to mention it, but from around 1995 to 2005 both he and Fredrik were, along with Tim Peters, </w:t>
      </w:r>
      <w:r>
        <w:rPr>
          <w:rStyle w:val="Text4"/>
        </w:rPr>
        <w:t>the</w:t>
      </w:r>
      <w:r>
        <w:t xml:space="preserve"> Python bots. Known as such for their encyclopedic and detailed knowledge of the language, the effbot, the martellibot, and the timbot have created software and documentation that are of immense value to millions of people.</w:t>
      </w:r>
      <w:bookmarkEnd w:id="4415"/>
    </w:p>
    <w:p>
      <w:bookmarkStart w:id="4416" w:name="Top_of_ch24_html"/>
      <w:bookmarkStart w:id="4417" w:name="Chapter_24__Packaging_Programs_a"/>
      <w:bookmarkStart w:id="4418" w:name="Chapter_24__Packaging_Programs_a_1"/>
      <w:bookmarkStart w:id="4419" w:name="Chapter_24__Packaging_Programs_a_2"/>
      <w:pPr>
        <w:keepNext/>
        <w:pStyle w:val="Heading 1"/>
        <w:pageBreakBefore w:val="on"/>
      </w:pPr>
      <w:r>
        <w:t xml:space="preserve">Chapter 24. </w:t>
        <w:t>Packaging Programs and Extensions</w:t>
      </w:r>
      <w:bookmarkEnd w:id="4416"/>
      <w:bookmarkEnd w:id="4417"/>
      <w:bookmarkEnd w:id="4418"/>
      <w:bookmarkEnd w:id="4419"/>
    </w:p>
    <w:p>
      <w:pPr>
        <w:pStyle w:val="Para 077"/>
      </w:pPr>
      <w:r>
        <w:t>In this chapter, abridged for print publication, we describe the packaging ecosystem’s development. We provide additional material in the</w:t>
      </w:r>
      <w:r>
        <w:rPr>
          <w:rStyle w:val="Text111"/>
        </w:rPr>
        <w:bookmarkStart w:id="4420" w:name="idm45965162961552"/>
        <w:t/>
        <w:bookmarkEnd w:id="4420"/>
        <w:bookmarkStart w:id="4421" w:name="idm45965162960336"/>
        <w:t/>
        <w:bookmarkEnd w:id="4421"/>
      </w:r>
      <w:r>
        <w:t xml:space="preserve"> </w:t>
      </w:r>
      <w:hyperlink r:id="rId188">
        <w:r>
          <w:rPr>
            <w:rStyle w:val="Text1"/>
          </w:rPr>
          <w:t>online version of this chapter</w:t>
        </w:r>
      </w:hyperlink>
      <w:r>
        <w:t>, available in the</w:t>
      </w:r>
      <w:r>
        <w:rPr>
          <w:rStyle w:val="Text111"/>
        </w:rPr>
        <w:bookmarkStart w:id="4422" w:name="idm45965162958608"/>
        <w:t/>
        <w:bookmarkEnd w:id="4422"/>
      </w:r>
      <w:r>
        <w:t xml:space="preserve"> GitHub repository for this book. Among other topics (see </w:t>
      </w:r>
      <w:hyperlink w:anchor="Online_Material__As_mentioned_at">
        <w:r>
          <w:rPr>
            <w:rStyle w:val="Text1"/>
          </w:rPr>
          <w:t>“Online Material”</w:t>
        </w:r>
      </w:hyperlink>
      <w:r>
        <w:t xml:space="preserve"> for a complete list), in the online version we describe </w:t>
      </w:r>
      <w:r>
        <w:rPr>
          <w:rStyle w:val="Text71"/>
        </w:rPr>
        <w:t>poetry</w:t>
      </w:r>
      <w:r>
        <w:t xml:space="preserve">, a modern standards-compliant Python build system, and compare it with the more traditional </w:t>
      </w:r>
      <w:r>
        <w:rPr>
          <w:rStyle w:val="Text71"/>
        </w:rPr>
        <w:t>setuptools</w:t>
      </w:r>
      <w:r>
        <w:t xml:space="preserve"> approach.</w:t>
      </w:r>
    </w:p>
    <w:p>
      <w:pPr>
        <w:pStyle w:val="Normal"/>
      </w:pPr>
      <w:r>
        <w:t>Suppose</w:t>
      </w:r>
      <w:r>
        <w:rPr>
          <w:rStyle w:val="Text111"/>
        </w:rPr>
        <w:bookmarkStart w:id="4423" w:name="pacprog24"/>
        <w:t/>
        <w:bookmarkEnd w:id="4423"/>
        <w:bookmarkStart w:id="4424" w:name="EMpack24"/>
        <w:t/>
        <w:bookmarkEnd w:id="4424"/>
      </w:r>
      <w:r>
        <w:t xml:space="preserve"> you have some Python code that you need to deliver to other people and groups. It works on your machine, but now you have the added complication of making it work for other people. This involves packaging your code in a suitable format and making it available to its intended audience.</w:t>
      </w:r>
    </w:p>
    <w:p>
      <w:pPr>
        <w:pStyle w:val="Normal"/>
      </w:pPr>
      <w:r>
        <w:t xml:space="preserve">The quality and diversity of the Python packaging ecosystem have greatly improved since the last edition, and its documentation is both better organized and much more complete. These improvements are based on careful work to specify a Python source tree format independent of any specific build system in </w:t>
      </w:r>
      <w:hyperlink r:id="rId658">
        <w:r>
          <w:rPr>
            <w:rStyle w:val="Text1"/>
          </w:rPr>
          <w:t>PEP 517</w:t>
        </w:r>
      </w:hyperlink>
      <w:r>
        <w:t xml:space="preserve">, “A Build-System Independent Format for Source Trees,” and the minimum build system requirements in </w:t>
      </w:r>
      <w:hyperlink r:id="rId659">
        <w:r>
          <w:rPr>
            <w:rStyle w:val="Text1"/>
          </w:rPr>
          <w:t>PEP 518</w:t>
        </w:r>
      </w:hyperlink>
      <w:r>
        <w:t xml:space="preserve">, “Specifying Minimum Build System Requirements for Python Projects.” The “Rationale” section of the latter document concisely describes why these changes were required, the most significant being removal of the need to run the </w:t>
      </w:r>
      <w:r>
        <w:rPr>
          <w:rStyle w:val="Text4"/>
        </w:rPr>
        <w:t>setup.py</w:t>
      </w:r>
      <w:r>
        <w:t xml:space="preserve"> file to discover (presumably by observing tracebacks) the build’s requirements.</w:t>
      </w:r>
    </w:p>
    <w:p>
      <w:pPr>
        <w:pStyle w:val="Normal"/>
      </w:pPr>
      <w:r>
        <w:t xml:space="preserve">The major purpose of PEP 517 is to specify the format of build definitions in a file called </w:t>
      </w:r>
      <w:r>
        <w:rPr>
          <w:rStyle w:val="Text4"/>
        </w:rPr>
        <w:t>pyproject.toml</w:t>
      </w:r>
      <w:r>
        <w:t>. The file is organized into sections called</w:t>
      </w:r>
      <w:r>
        <w:rPr>
          <w:rStyle w:val="Text111"/>
        </w:rPr>
        <w:bookmarkStart w:id="4425" w:name="idm45965162887664"/>
        <w:t/>
        <w:bookmarkEnd w:id="4425"/>
      </w:r>
      <w:r>
        <w:t xml:space="preserve"> </w:t>
      </w:r>
      <w:r>
        <w:rPr>
          <w:rStyle w:val="Text4"/>
        </w:rPr>
        <w:t>tables</w:t>
      </w:r>
      <w:r>
        <w:t xml:space="preserve">, each with a header comprising the table’s name in brackets, much like a config file. Each table contains values for various parameters, consisting of a name, an equals sign, and a value. </w:t>
      </w:r>
      <w:r>
        <w:rPr>
          <w:rStyle w:val="Text34"/>
        </w:rPr>
        <w:t>3.11+</w:t>
      </w:r>
      <w:r>
        <w:t xml:space="preserve"> Python includes the</w:t>
      </w:r>
      <w:r>
        <w:rPr>
          <w:rStyle w:val="Text111"/>
        </w:rPr>
        <w:bookmarkStart w:id="4426" w:name="idm45965162885552"/>
        <w:t/>
        <w:bookmarkEnd w:id="4426"/>
        <w:bookmarkStart w:id="4427" w:name="idm45965162884576"/>
        <w:t/>
        <w:bookmarkEnd w:id="4427"/>
      </w:r>
      <w:r>
        <w:t xml:space="preserve"> </w:t>
      </w:r>
      <w:hyperlink r:id="rId660">
        <w:r>
          <w:rPr>
            <w:rStyle w:val="Text30"/>
          </w:rPr>
          <w:t>tomllib</w:t>
        </w:r>
      </w:hyperlink>
      <w:r>
        <w:t xml:space="preserve"> module for extracting these definitions, with </w:t>
      </w:r>
      <w:r>
        <w:rPr>
          <w:rStyle w:val="Text0"/>
        </w:rPr>
        <w:t>load</w:t>
      </w:r>
      <w:r>
        <w:t xml:space="preserve"> and </w:t>
      </w:r>
      <w:r>
        <w:rPr>
          <w:rStyle w:val="Text0"/>
        </w:rPr>
        <w:t>loads</w:t>
      </w:r>
      <w:r>
        <w:t xml:space="preserve"> methods similar to those in the </w:t>
      </w:r>
      <w:r>
        <w:rPr>
          <w:rStyle w:val="Text0"/>
        </w:rPr>
        <w:t>json</w:t>
      </w:r>
      <w:r>
        <w:t xml:space="preserve"> module.</w:t>
      </w:r>
      <w:hyperlink w:anchor="1_Users_of_older_versions_can_in">
        <w:r>
          <w:rPr>
            <w:rStyle w:val="Text41"/>
          </w:rPr>
          <w:bookmarkStart w:id="4428" w:name="1_23"/>
          <w:t>1</w:t>
          <w:bookmarkEnd w:id="4428"/>
        </w:r>
      </w:hyperlink>
    </w:p>
    <w:p>
      <w:pPr>
        <w:pStyle w:val="Normal"/>
      </w:pPr>
      <w:r>
        <w:t xml:space="preserve">Although more and more tools in the Python ecosystem are using these modern standards, you should still expect to continue to encounter the more traditional </w:t>
      </w:r>
      <w:r>
        <w:rPr>
          <w:rStyle w:val="Text0"/>
        </w:rPr>
        <w:t>setuptools</w:t>
      </w:r>
      <w:r>
        <w:t xml:space="preserve">-based build system (which is itself </w:t>
      </w:r>
      <w:hyperlink r:id="rId661">
        <w:r>
          <w:rPr>
            <w:rStyle w:val="Text1"/>
          </w:rPr>
          <w:t>transitioning</w:t>
        </w:r>
      </w:hyperlink>
      <w:r>
        <w:t xml:space="preserve"> to the </w:t>
      </w:r>
      <w:r>
        <w:rPr>
          <w:rStyle w:val="Text4"/>
        </w:rPr>
        <w:t>pyproject.toml</w:t>
      </w:r>
      <w:r>
        <w:t xml:space="preserve"> base recommended in PEP 517). For an excellent survey of packaging tools available, see the </w:t>
      </w:r>
      <w:hyperlink r:id="rId662">
        <w:r>
          <w:rPr>
            <w:rStyle w:val="Text1"/>
          </w:rPr>
          <w:t>list</w:t>
        </w:r>
      </w:hyperlink>
      <w:r>
        <w:t xml:space="preserve"> maintained by the</w:t>
      </w:r>
      <w:r>
        <w:rPr>
          <w:rStyle w:val="Text111"/>
        </w:rPr>
        <w:bookmarkStart w:id="4429" w:name="idm45965162876288"/>
        <w:t/>
        <w:bookmarkEnd w:id="4429"/>
        <w:bookmarkStart w:id="4430" w:name="idm45965162875312"/>
        <w:t/>
        <w:bookmarkEnd w:id="4430"/>
      </w:r>
      <w:r>
        <w:t xml:space="preserve"> Python Packaging Authority (PyPA).</w:t>
      </w:r>
    </w:p>
    <w:p>
      <w:pPr>
        <w:pStyle w:val="Normal"/>
      </w:pPr>
      <w:r>
        <w:t xml:space="preserve">To explain packaging, we first describe its development, then we discuss </w:t>
      </w:r>
      <w:r>
        <w:rPr>
          <w:rStyle w:val="Text0"/>
        </w:rPr>
        <w:t>poetry</w:t>
      </w:r>
      <w:r>
        <w:t xml:space="preserve"> and </w:t>
      </w:r>
      <w:r>
        <w:rPr>
          <w:rStyle w:val="Text0"/>
        </w:rPr>
        <w:t>setuptools</w:t>
      </w:r>
      <w:r>
        <w:t>. Other PEP 517-compliant build tools worth mentioning include</w:t>
      </w:r>
      <w:r>
        <w:rPr>
          <w:rStyle w:val="Text111"/>
        </w:rPr>
        <w:bookmarkStart w:id="4431" w:name="idm45965162872352"/>
        <w:t/>
        <w:bookmarkEnd w:id="4431"/>
        <w:bookmarkStart w:id="4432" w:name="idm45965162871376"/>
        <w:t/>
        <w:bookmarkEnd w:id="4432"/>
      </w:r>
      <w:r>
        <w:t xml:space="preserve"> </w:t>
      </w:r>
      <w:hyperlink r:id="rId663">
        <w:r>
          <w:rPr>
            <w:rStyle w:val="Text30"/>
          </w:rPr>
          <w:t>flit</w:t>
        </w:r>
      </w:hyperlink>
      <w:r>
        <w:t xml:space="preserve"> and </w:t>
      </w:r>
      <w:hyperlink r:id="rId664">
        <w:r>
          <w:rPr>
            <w:rStyle w:val="Text30"/>
          </w:rPr>
          <w:t>hatch</w:t>
        </w:r>
      </w:hyperlink>
      <w:r>
        <w:t xml:space="preserve">, and you should expect their number to grow as interoperability continues to improve. For distributing relatively simple pure Python packages, we also introduce the standard library module </w:t>
      </w:r>
      <w:r>
        <w:rPr>
          <w:rStyle w:val="Text0"/>
        </w:rPr>
        <w:t>zipapp</w:t>
      </w:r>
      <w:r>
        <w:t>, and we complete the chapter with a short section explaining how to access data bundled as part of a package.</w:t>
      </w:r>
    </w:p>
    <w:p>
      <w:bookmarkStart w:id="4433" w:name="What_We_Don_t_Cover_in_This_Chap"/>
      <w:pPr>
        <w:keepNext/>
        <w:pStyle w:val="Heading 1"/>
      </w:pPr>
      <w:r>
        <w:t>What We Don’t Cover in This Chapter</w:t>
      </w:r>
      <w:bookmarkEnd w:id="4433"/>
    </w:p>
    <w:p>
      <w:pPr>
        <w:pStyle w:val="Normal"/>
      </w:pPr>
      <w:r>
        <w:t>Apart from the PyPA-sanctioned methods, there are many other possible ways of distributing Python code—far too many to cover in a single chapter. We do not cover the following packaging and distribution topics, which may well be of interest to those wishing to distribute Python code:</w:t>
      </w:r>
    </w:p>
    <w:p>
      <w:pPr>
        <w:pStyle w:val="Para 010"/>
      </w:pPr>
      <w:r>
        <w:t xml:space="preserve">Using </w:t>
      </w:r>
      <w:hyperlink r:id="rId665">
        <w:r>
          <w:rPr>
            <w:rStyle w:val="Text30"/>
          </w:rPr>
          <w:t>conda</w:t>
        </w:r>
      </w:hyperlink>
    </w:p>
    <w:p>
      <w:pPr>
        <w:pStyle w:val="Para 010"/>
      </w:pPr>
      <w:r>
        <w:t xml:space="preserve">Using </w:t>
      </w:r>
      <w:hyperlink r:id="rId666">
        <w:r>
          <w:rPr>
            <w:rStyle w:val="Text1"/>
          </w:rPr>
          <w:t>Docker</w:t>
        </w:r>
      </w:hyperlink>
    </w:p>
    <w:p>
      <w:pPr>
        <w:pStyle w:val="Para 010"/>
      </w:pPr>
      <w:r>
        <w:t>Various methods of creating binary executable files from Python code, such as the following (these tools can be tricky to set up for complex projects, but they repay the effort by widening the potential audience for an application):</w:t>
      </w:r>
    </w:p>
    <w:p>
      <w:pPr>
        <w:numPr>
          <w:ilvl w:val="0"/>
          <w:numId w:val="6"/>
        </w:numPr>
        <w:pStyle w:val="Para 010"/>
      </w:pPr>
      <w:hyperlink r:id="rId667">
        <w:r>
          <w:rPr>
            <w:rStyle w:val="Text1"/>
          </w:rPr>
          <w:t>PyInstaller</w:t>
        </w:r>
      </w:hyperlink>
      <w:r>
        <w:t>, which takes a Python application and bundles all the required dependencies (including the Python interpreter and necessary extension libraries) into a single executable program that can be distributed as a standalone application. Versions exist for Windows, macOS, and Linux, though each architecture can only produce its own executable.</w:t>
      </w:r>
    </w:p>
    <w:p>
      <w:pPr>
        <w:numPr>
          <w:ilvl w:val="0"/>
          <w:numId w:val="6"/>
        </w:numPr>
        <w:pStyle w:val="Para 010"/>
      </w:pPr>
      <w:hyperlink r:id="rId668">
        <w:r>
          <w:rPr>
            <w:rStyle w:val="Text1"/>
          </w:rPr>
          <w:t>PyOxidizer</w:t>
        </w:r>
      </w:hyperlink>
      <w:r>
        <w:t>, the main tool in a utility set of the same name, which not only allows the creation of standalone executables but can also create Windows and macOS installers and other artifacts.</w:t>
      </w:r>
    </w:p>
    <w:p>
      <w:pPr>
        <w:numPr>
          <w:ilvl w:val="0"/>
          <w:numId w:val="6"/>
        </w:numPr>
        <w:pStyle w:val="Para 010"/>
      </w:pPr>
      <w:hyperlink r:id="rId669">
        <w:r>
          <w:rPr>
            <w:rStyle w:val="Text1"/>
          </w:rPr>
          <w:t>cx_Freeze</w:t>
        </w:r>
      </w:hyperlink>
      <w:r>
        <w:t>, which creates a folder containing a Python interpreter, extension libraries, and a ZIP file of the Python code. You can convert this into either a Windows installer or a macOS disk image.</w:t>
      </w:r>
    </w:p>
    <w:p>
      <w:bookmarkStart w:id="4434" w:name="A_Brief_History_of_Python_Packag"/>
      <w:pPr>
        <w:keepNext/>
        <w:pStyle w:val="Heading 1"/>
      </w:pPr>
      <w:r>
        <w:t>A Brief History of Python Packaging</w:t>
      </w:r>
      <w:bookmarkEnd w:id="4434"/>
    </w:p>
    <w:p>
      <w:pPr>
        <w:pStyle w:val="Normal"/>
      </w:pPr>
      <w:r>
        <w:t xml:space="preserve">Before the advent of virtual environments, maintaining multiple Python projects and avoiding conflicts between their different dependency requirements was a complex business involving careful management of </w:t>
      </w:r>
      <w:r>
        <w:rPr>
          <w:rStyle w:val="Text0"/>
        </w:rPr>
        <w:t>sys.path</w:t>
      </w:r>
      <w:r>
        <w:t xml:space="preserve"> and the </w:t>
      </w:r>
      <w:r>
        <w:rPr>
          <w:rStyle w:val="Text0"/>
        </w:rPr>
        <w:t>PYTHONPATH</w:t>
      </w:r>
      <w:r>
        <w:t xml:space="preserve"> environment variable. If different projects required the same dependency in two different versions, no single Python environment could support both. Nowadays, each virtual environment (see </w:t>
      </w:r>
      <w:hyperlink w:anchor="Python_Environments__A_typical_P">
        <w:r>
          <w:rPr>
            <w:rStyle w:val="Text1"/>
          </w:rPr>
          <w:t>“Python Environments”</w:t>
        </w:r>
      </w:hyperlink>
      <w:r>
        <w:t xml:space="preserve"> for a refresher on this topic) has its own </w:t>
      </w:r>
      <w:r>
        <w:rPr>
          <w:rStyle w:val="Text4"/>
        </w:rPr>
        <w:t>site_packages</w:t>
      </w:r>
      <w:r>
        <w:t xml:space="preserve"> directory into which third-party and local packages and modules can be installed in a number of convenient ways, making it largely unnecessary to think about the mechanism.</w:t>
      </w:r>
      <w:hyperlink w:anchor="2_Be_aware_that_some_packages_ar">
        <w:r>
          <w:rPr>
            <w:rStyle w:val="Text41"/>
          </w:rPr>
          <w:bookmarkStart w:id="4435" w:name="2_19"/>
          <w:t>2</w:t>
          <w:bookmarkEnd w:id="4435"/>
        </w:r>
      </w:hyperlink>
    </w:p>
    <w:p>
      <w:pPr>
        <w:pStyle w:val="Normal"/>
      </w:pPr>
      <w:r>
        <w:t xml:space="preserve">When the Python Package Index was conceived in 2003, no such features were available, and there was no uniform way to package and distribute Python code. Developers had to carefully adapt their environment to each different project they worked on. This changed with the development of the </w:t>
      </w:r>
      <w:r>
        <w:rPr>
          <w:rStyle w:val="Text0"/>
        </w:rPr>
        <w:t>distutils</w:t>
      </w:r>
      <w:r>
        <w:t xml:space="preserve"> standard library package, soon leveraged by the third-party </w:t>
      </w:r>
      <w:r>
        <w:rPr>
          <w:rStyle w:val="Text0"/>
        </w:rPr>
        <w:t>setuptools</w:t>
      </w:r>
      <w:r>
        <w:t xml:space="preserve"> package and its </w:t>
      </w:r>
      <w:r>
        <w:rPr>
          <w:rStyle w:val="Text0"/>
        </w:rPr>
        <w:t>easy_install</w:t>
      </w:r>
      <w:r>
        <w:t xml:space="preserve"> utility. The now-obsolete platform-independent </w:t>
      </w:r>
      <w:r>
        <w:rPr>
          <w:rStyle w:val="Text4"/>
        </w:rPr>
        <w:t>egg</w:t>
      </w:r>
      <w:r>
        <w:t xml:space="preserve"> packaging format was the first definition of a single-file format for Python package distribution, allowing easy download and installation of eggs from network sources. Installing a package used a </w:t>
      </w:r>
      <w:r>
        <w:rPr>
          <w:rStyle w:val="Text4"/>
        </w:rPr>
        <w:t>setup.py</w:t>
      </w:r>
      <w:r>
        <w:t xml:space="preserve"> component, whose execution would integrate the package’s code into an existing Python environment using the features of </w:t>
      </w:r>
      <w:r>
        <w:rPr>
          <w:rStyle w:val="Text0"/>
        </w:rPr>
        <w:t>setuptools</w:t>
      </w:r>
      <w:r>
        <w:t xml:space="preserve">. Requiring a third-party (i.e., not part of the standard distribution) module such as </w:t>
      </w:r>
      <w:r>
        <w:rPr>
          <w:rStyle w:val="Text0"/>
        </w:rPr>
        <w:t>setuptools</w:t>
      </w:r>
      <w:r>
        <w:t xml:space="preserve"> was clearly not a fully satisfactory solution.</w:t>
      </w:r>
    </w:p>
    <w:p>
      <w:pPr>
        <w:pStyle w:val="Normal"/>
      </w:pPr>
      <w:r>
        <w:t xml:space="preserve">In parallel with these developments came the creation of the </w:t>
      </w:r>
      <w:r>
        <w:rPr>
          <w:rStyle w:val="Text0"/>
        </w:rPr>
        <w:t>virtualenv</w:t>
      </w:r>
      <w:r>
        <w:t xml:space="preserve"> package, vastly simplifying project management for the average Python programmer by offering clean separation between the Python environments used by different projects. Shortly after this, the </w:t>
      </w:r>
      <w:r>
        <w:rPr>
          <w:rStyle w:val="Text0"/>
        </w:rPr>
        <w:t>pip</w:t>
      </w:r>
      <w:r>
        <w:t xml:space="preserve"> utility, again largely based on the ideas behind </w:t>
      </w:r>
      <w:r>
        <w:rPr>
          <w:rStyle w:val="Text0"/>
        </w:rPr>
        <w:t>setuptools</w:t>
      </w:r>
      <w:r>
        <w:t xml:space="preserve">, was introduced. Using source trees rather than eggs as its distribution format, </w:t>
      </w:r>
      <w:r>
        <w:rPr>
          <w:rStyle w:val="Text0"/>
        </w:rPr>
        <w:t>pip</w:t>
      </w:r>
      <w:r>
        <w:t xml:space="preserve"> could not only install packages but uninstall them as well. It could also list the contents of a virtual environment and accept a versioned list of the project’s dependencies, by convention in a file named </w:t>
      </w:r>
      <w:r>
        <w:rPr>
          <w:rStyle w:val="Text4"/>
        </w:rPr>
        <w:t>requirements.txt</w:t>
      </w:r>
      <w:r>
        <w:t>.</w:t>
      </w:r>
    </w:p>
    <w:p>
      <w:pPr>
        <w:pStyle w:val="Normal"/>
      </w:pPr>
      <w:r>
        <w:rPr>
          <w:rStyle w:val="Text0"/>
        </w:rPr>
        <w:t>setuptools</w:t>
      </w:r>
      <w:r>
        <w:t xml:space="preserve"> development was somewhat idiosyncratic and not responsive to community needs, so a fork named </w:t>
      </w:r>
      <w:r>
        <w:rPr>
          <w:rStyle w:val="Text0"/>
        </w:rPr>
        <w:t>distribute</w:t>
      </w:r>
      <w:r>
        <w:t xml:space="preserve"> was created as a drop-in replacement (it installed under the </w:t>
      </w:r>
      <w:r>
        <w:rPr>
          <w:rStyle w:val="Text0"/>
        </w:rPr>
        <w:t>setuptools</w:t>
      </w:r>
      <w:r>
        <w:t xml:space="preserve"> name), to allow development work to proceed along more collaborative lines. This was eventually merged back into the </w:t>
      </w:r>
      <w:r>
        <w:rPr>
          <w:rStyle w:val="Text0"/>
        </w:rPr>
        <w:t>setuptools</w:t>
      </w:r>
      <w:r>
        <w:t xml:space="preserve"> codebase, which is nowadays controlled by the PyPA: the ability to do this affirmed the value of Python’s open source licensing policy.</w:t>
      </w:r>
    </w:p>
    <w:p>
      <w:pPr>
        <w:pStyle w:val="Normal"/>
      </w:pPr>
      <w:r>
        <w:rPr>
          <w:rStyle w:val="Text34"/>
        </w:rPr>
        <w:t>-3.11</w:t>
      </w:r>
      <w:r>
        <w:t xml:space="preserve"> The </w:t>
      </w:r>
      <w:r>
        <w:rPr>
          <w:rStyle w:val="Text0"/>
        </w:rPr>
        <w:t>distutils</w:t>
      </w:r>
      <w:r>
        <w:t xml:space="preserve"> package was originally designed as a standard library component to help with installing extension modules (particularly those written in compiled languages, covered in </w:t>
      </w:r>
      <w:hyperlink r:id="rId24">
        <w:r>
          <w:rPr>
            <w:rStyle w:val="Text1"/>
          </w:rPr>
          <w:t>Chapter 25</w:t>
        </w:r>
      </w:hyperlink>
      <w:r>
        <w:t xml:space="preserve">). Although it currently remains in the standard library, it has been deprecated and is scheduled for removal from version 3.12, when it will likely be incorporated into </w:t>
      </w:r>
      <w:r>
        <w:rPr>
          <w:rStyle w:val="Text0"/>
        </w:rPr>
        <w:t>setuptools</w:t>
      </w:r>
      <w:r>
        <w:t>. A number of other tools have emerged that conform to PEPs 517 and 518. In this chapter we’ll look at different ways to install additional functionality into a Python environment.</w:t>
      </w:r>
    </w:p>
    <w:p>
      <w:pPr>
        <w:pStyle w:val="Normal"/>
      </w:pPr>
      <w:r>
        <w:t xml:space="preserve">With the acceptance of </w:t>
      </w:r>
      <w:hyperlink r:id="rId670">
        <w:r>
          <w:rPr>
            <w:rStyle w:val="Text1"/>
          </w:rPr>
          <w:t>PEP 425</w:t>
        </w:r>
      </w:hyperlink>
      <w:r>
        <w:t xml:space="preserve">, “Compatibility Tags for Built Distributions,” and </w:t>
      </w:r>
      <w:hyperlink r:id="rId671">
        <w:r>
          <w:rPr>
            <w:rStyle w:val="Text1"/>
          </w:rPr>
          <w:t>PEP 427</w:t>
        </w:r>
      </w:hyperlink>
      <w:r>
        <w:t xml:space="preserve">, “The Wheel Binary Package Format,” Python finally had a specification for a binary distribution format (the </w:t>
      </w:r>
      <w:r>
        <w:rPr>
          <w:rStyle w:val="Text4"/>
        </w:rPr>
        <w:t>wheel</w:t>
      </w:r>
      <w:r>
        <w:t xml:space="preserve">, whose definition has </w:t>
      </w:r>
      <w:hyperlink r:id="rId672">
        <w:r>
          <w:rPr>
            <w:rStyle w:val="Text1"/>
          </w:rPr>
          <w:t>since been updated</w:t>
        </w:r>
      </w:hyperlink>
      <w:r>
        <w:t>) that would allow the distribution of compiled extension packages for different architectures, falling back to installing from source when no appropriate binary wheel is available.</w:t>
      </w:r>
    </w:p>
    <w:p>
      <w:pPr>
        <w:pStyle w:val="Normal"/>
      </w:pPr>
      <w:hyperlink r:id="rId673">
        <w:r>
          <w:rPr>
            <w:rStyle w:val="Text1"/>
          </w:rPr>
          <w:t>PEP 453</w:t>
        </w:r>
      </w:hyperlink>
      <w:r>
        <w:t xml:space="preserve">, “Explicit Bootstrapping of pip in Python Installations,” determined that the </w:t>
      </w:r>
      <w:r>
        <w:rPr>
          <w:rStyle w:val="Text0"/>
        </w:rPr>
        <w:t>pip</w:t>
      </w:r>
      <w:r>
        <w:t xml:space="preserve"> utility should become the preferred way to install packages in Python, and established a process whereby it could be updated independently of Python to allow new deployment features to be delivered without waiting for new language releases.</w:t>
      </w:r>
    </w:p>
    <w:p>
      <w:pPr>
        <w:pStyle w:val="Normal"/>
      </w:pPr>
      <w:r>
        <w:t xml:space="preserve">These developments and many others that have rationalized the Python ecosystem are due to a lot of hard work by the PyPA, to whom Python’s ruling “Steering Council” has delegated most matters relating to packaging and distribution. For a more in-depth and advanced explanation of the material in this chapter, see the </w:t>
      </w:r>
      <w:hyperlink r:id="rId96">
        <w:r>
          <w:rPr>
            <w:rStyle w:val="Text1"/>
          </w:rPr>
          <w:t>“Python Packaging User Guide”</w:t>
        </w:r>
      </w:hyperlink>
      <w:r>
        <w:t>, which offers sound advice and useful instruction to anyone who wants to make their Python software widely available.</w:t>
      </w:r>
    </w:p>
    <w:p>
      <w:bookmarkStart w:id="4436" w:name="Online_Material__As_mentioned_at"/>
      <w:pPr>
        <w:keepNext/>
        <w:pStyle w:val="Heading 1"/>
      </w:pPr>
      <w:r>
        <w:t>Online Material</w:t>
      </w:r>
      <w:bookmarkEnd w:id="4436"/>
    </w:p>
    <w:p>
      <w:pPr>
        <w:pStyle w:val="Normal"/>
      </w:pPr>
      <w:r>
        <w:t xml:space="preserve">As mentioned at the start of the chapter, the </w:t>
      </w:r>
      <w:hyperlink r:id="rId188">
        <w:r>
          <w:rPr>
            <w:rStyle w:val="Text1"/>
          </w:rPr>
          <w:t>online version of this chapter</w:t>
        </w:r>
      </w:hyperlink>
      <w:r>
        <w:t xml:space="preserve"> contains additional material. The topics covered are:</w:t>
      </w:r>
    </w:p>
    <w:p>
      <w:pPr>
        <w:pStyle w:val="Para 010"/>
      </w:pPr>
      <w:r>
        <w:t>The build process</w:t>
      </w:r>
    </w:p>
    <w:p>
      <w:pPr>
        <w:pStyle w:val="Para 010"/>
      </w:pPr>
      <w:r>
        <w:t>Entry points</w:t>
      </w:r>
    </w:p>
    <w:p>
      <w:pPr>
        <w:pStyle w:val="Para 010"/>
      </w:pPr>
      <w:r>
        <w:t>Distribution formats</w:t>
      </w:r>
    </w:p>
    <w:p>
      <w:pPr>
        <w:pStyle w:val="Para 065"/>
      </w:pPr>
      <w:r>
        <w:t>poetry</w:t>
      </w:r>
    </w:p>
    <w:p>
      <w:pPr>
        <w:pStyle w:val="Para 065"/>
      </w:pPr>
      <w:r>
        <w:t>setuptools</w:t>
      </w:r>
    </w:p>
    <w:p>
      <w:pPr>
        <w:pStyle w:val="Para 010"/>
      </w:pPr>
      <w:r>
        <w:t>Distributing your package</w:t>
      </w:r>
    </w:p>
    <w:p>
      <w:pPr>
        <w:pStyle w:val="Para 065"/>
      </w:pPr>
      <w:r>
        <w:t>zipapp</w:t>
      </w:r>
    </w:p>
    <w:p>
      <w:pPr>
        <w:pStyle w:val="Para 010"/>
      </w:pPr>
      <w:r>
        <w:t>Accessing data included with your code</w:t>
      </w:r>
      <w:r>
        <w:rPr>
          <w:rStyle w:val="Text111"/>
        </w:rPr>
        <w:bookmarkStart w:id="4437" w:name="idm45965162823312"/>
        <w:t/>
        <w:bookmarkEnd w:id="4437"/>
        <w:bookmarkStart w:id="4438" w:name="idm45965162822096"/>
        <w:t/>
        <w:bookmarkEnd w:id="4438"/>
      </w:r>
    </w:p>
    <w:p>
      <w:bookmarkStart w:id="4439" w:name="1_Users_of_older_versions_can_in"/>
      <w:pPr>
        <w:pStyle w:val="Para 035"/>
      </w:pPr>
      <w:hyperlink w:anchor="1_23">
        <w:r>
          <w:rPr>
            <w:rStyle w:val="Text1"/>
          </w:rPr>
          <w:t>1</w:t>
        </w:r>
      </w:hyperlink>
      <w:r>
        <w:t xml:space="preserve"> Users of older versions can install the library from PyPI with </w:t>
      </w:r>
      <w:r>
        <w:rPr>
          <w:rStyle w:val="Text5"/>
        </w:rPr>
        <w:t>pip install toml</w:t>
      </w:r>
      <w:r>
        <w:t>.</w:t>
      </w:r>
      <w:bookmarkEnd w:id="4439"/>
    </w:p>
    <w:p>
      <w:bookmarkStart w:id="4440" w:name="2_Be_aware_that_some_packages_ar"/>
      <w:pPr>
        <w:pStyle w:val="Para 015"/>
      </w:pPr>
      <w:hyperlink w:anchor="2_19">
        <w:r>
          <w:rPr>
            <w:rStyle w:val="Text1"/>
          </w:rPr>
          <w:t>2</w:t>
        </w:r>
      </w:hyperlink>
      <w:r>
        <w:t xml:space="preserve"> Be aware that some packages are less than friendly to virtual environments. Happily, these are few and far between.</w:t>
      </w:r>
      <w:bookmarkEnd w:id="4440"/>
    </w:p>
    <w:p>
      <w:bookmarkStart w:id="4441" w:name="Top_of_ch25_html"/>
      <w:bookmarkStart w:id="4442" w:name="Chapter_25__Extending_and_Embedd_1"/>
      <w:bookmarkStart w:id="4443" w:name="Chapter_25__Extending_and_Embedd"/>
      <w:bookmarkStart w:id="4444" w:name="Chapter_25__Extending_and_Embedd_2"/>
      <w:pPr>
        <w:keepNext/>
        <w:pStyle w:val="Heading 1"/>
        <w:pageBreakBefore w:val="on"/>
      </w:pPr>
      <w:r>
        <w:t xml:space="preserve">Chapter 25. </w:t>
        <w:t>Extending and Embedding Classic Python</w:t>
      </w:r>
      <w:bookmarkEnd w:id="4441"/>
      <w:bookmarkEnd w:id="4442"/>
      <w:bookmarkEnd w:id="4443"/>
      <w:bookmarkEnd w:id="4444"/>
    </w:p>
    <w:p>
      <w:pPr>
        <w:pStyle w:val="Para 077"/>
      </w:pPr>
      <w:r>
        <w:t xml:space="preserve">The content of this chapter has been abbreviated for the print edition of this book. The full content is </w:t>
      </w:r>
      <w:hyperlink r:id="rId24">
        <w:r>
          <w:rPr>
            <w:rStyle w:val="Text1"/>
          </w:rPr>
          <w:t>available online</w:t>
        </w:r>
      </w:hyperlink>
      <w:r>
        <w:t xml:space="preserve">, as described in </w:t>
      </w:r>
      <w:hyperlink w:anchor="Online_Material___This_Chapter_A">
        <w:r>
          <w:rPr>
            <w:rStyle w:val="Text1"/>
          </w:rPr>
          <w:t>“Online Material”</w:t>
        </w:r>
      </w:hyperlink>
      <w:r>
        <w:t>.</w:t>
      </w:r>
    </w:p>
    <w:p>
      <w:pPr>
        <w:pStyle w:val="Normal"/>
      </w:pPr>
      <w:r>
        <w:t>CPython</w:t>
      </w:r>
      <w:r>
        <w:rPr>
          <w:rStyle w:val="Text111"/>
        </w:rPr>
        <w:bookmarkStart w:id="4445" w:name="Pextend25"/>
        <w:t/>
        <w:bookmarkEnd w:id="4445"/>
        <w:bookmarkStart w:id="4446" w:name="idm45965162815088"/>
        <w:t/>
        <w:bookmarkEnd w:id="4446"/>
        <w:bookmarkStart w:id="4447" w:name="idm45965162814112"/>
        <w:t/>
        <w:bookmarkEnd w:id="4447"/>
      </w:r>
      <w:r>
        <w:t xml:space="preserve"> runs on a portable, C-coded virtual machine. Python’s built-in objects—such as numbers, sequences, dictionaries, sets, and files—are coded in C, as are several modules in Python’s standard library. Modern platforms support dynamically loaded libraries, with file extensions such as .</w:t>
      </w:r>
      <w:r>
        <w:rPr>
          <w:rStyle w:val="Text4"/>
        </w:rPr>
        <w:t>dll</w:t>
      </w:r>
      <w:r>
        <w:t xml:space="preserve"> on Windows, .</w:t>
      </w:r>
      <w:r>
        <w:rPr>
          <w:rStyle w:val="Text4"/>
        </w:rPr>
        <w:t>so</w:t>
      </w:r>
      <w:r>
        <w:t xml:space="preserve"> on Linux, and .</w:t>
      </w:r>
      <w:r>
        <w:rPr>
          <w:rStyle w:val="Text4"/>
        </w:rPr>
        <w:t>dylib</w:t>
      </w:r>
      <w:r>
        <w:t xml:space="preserve"> on Mac: building Python produces such binary files. You can code your own extension modules for Python in C (or any language that can produce C-callable libraries), using the</w:t>
      </w:r>
      <w:r>
        <w:rPr>
          <w:rStyle w:val="Text111"/>
        </w:rPr>
        <w:bookmarkStart w:id="4448" w:name="idm45965162811856"/>
        <w:t/>
        <w:bookmarkEnd w:id="4448"/>
      </w:r>
      <w:r>
        <w:t xml:space="preserve"> Python C API covered in this chapter. With this API, you can produce and deploy dynamic libraries that Python scripts and interactive sessions can later use with the </w:t>
      </w:r>
      <w:r>
        <w:rPr>
          <w:rStyle w:val="Text5"/>
        </w:rPr>
        <w:t>import</w:t>
      </w:r>
      <w:r>
        <w:t xml:space="preserve"> statement, covered in </w:t>
      </w:r>
      <w:hyperlink w:anchor="The_import_Statement__The_Python">
        <w:r>
          <w:rPr>
            <w:rStyle w:val="Text1"/>
          </w:rPr>
          <w:t>“The import Statement”</w:t>
        </w:r>
      </w:hyperlink>
      <w:r>
        <w:t>.</w:t>
      </w:r>
    </w:p>
    <w:p>
      <w:pPr>
        <w:pStyle w:val="Normal"/>
      </w:pPr>
      <w:r>
        <w:rPr>
          <w:rStyle w:val="Text4"/>
        </w:rPr>
        <w:t>Extending</w:t>
      </w:r>
      <w:r>
        <w:t xml:space="preserve"> Python means building modules that Python code can </w:t>
      </w:r>
      <w:r>
        <w:rPr>
          <w:rStyle w:val="Text5"/>
        </w:rPr>
        <w:t>import</w:t>
      </w:r>
      <w:r>
        <w:t xml:space="preserve"> to access the features the modules supply. </w:t>
      </w:r>
      <w:r>
        <w:rPr>
          <w:rStyle w:val="Text4"/>
        </w:rPr>
        <w:t>Embedding</w:t>
      </w:r>
      <w:r>
        <w:t xml:space="preserve"> Python means executing Python code from an application coded in another language. For such execution to be useful, Python code must in turn be able to access some of your application’s functionality. In practice, therefore, embedding implies some extending, as well as a few embedding-specific operations. The three main reasons for wishing to extend Python can be summarized as follows:</w:t>
      </w:r>
    </w:p>
    <w:p>
      <w:pPr>
        <w:pStyle w:val="Para 010"/>
      </w:pPr>
      <w:r>
        <w:t>Reimplementing some functionality (originally coded in Python) in a lower-level language, hoping to get better performance</w:t>
      </w:r>
    </w:p>
    <w:p>
      <w:pPr>
        <w:pStyle w:val="Para 010"/>
      </w:pPr>
      <w:r>
        <w:t>Letting Python code access some existing functionality supplied by libraries coded in (or, at any rate, callable from) lower-level languages</w:t>
      </w:r>
    </w:p>
    <w:p>
      <w:pPr>
        <w:pStyle w:val="Para 010"/>
      </w:pPr>
      <w:r>
        <w:t>Letting Python code access some existing functionality of an application that is in the process of embedding Python as the application’s scripting language</w:t>
      </w:r>
    </w:p>
    <w:p>
      <w:pPr>
        <w:pStyle w:val="Normal"/>
      </w:pPr>
      <w:r>
        <w:t xml:space="preserve">Embedding and extending are covered in Python’s online documentation; there, you can find an in-depth </w:t>
      </w:r>
      <w:hyperlink r:id="rId674">
        <w:r>
          <w:rPr>
            <w:rStyle w:val="Text1"/>
          </w:rPr>
          <w:t>tutorial</w:t>
        </w:r>
      </w:hyperlink>
      <w:r>
        <w:t xml:space="preserve"> and an extensive </w:t>
      </w:r>
      <w:hyperlink r:id="rId675">
        <w:r>
          <w:rPr>
            <w:rStyle w:val="Text1"/>
          </w:rPr>
          <w:t>reference manual</w:t>
        </w:r>
      </w:hyperlink>
      <w:r>
        <w:t>. Many details are best studied in Python’s extensively documented C sources. Download Python’s source distribution and study the sources of Python’s core, C-coded extension modules, and the example extensions supplied for this purpose.</w:t>
      </w:r>
    </w:p>
    <w:p>
      <w:bookmarkStart w:id="4449" w:name="Online_Material___This_Chapter_A"/>
      <w:pPr>
        <w:keepNext/>
        <w:pStyle w:val="Heading 1"/>
      </w:pPr>
      <w:r>
        <w:t>Online Material</w:t>
      </w:r>
      <w:bookmarkEnd w:id="4449"/>
    </w:p>
    <w:p>
      <w:pPr>
        <w:pStyle w:val="0 Block"/>
        <w:keepLines w:val="on"/>
      </w:pPr>
    </w:p>
    <w:p>
      <w:pPr>
        <w:keepNext/>
        <w:pStyle w:val="Heading 5"/>
        <w:keepLines w:val="on"/>
      </w:pPr>
      <w:r>
        <w:t>This Chapter Assumes Some Knowledge of C</w:t>
      </w:r>
    </w:p>
    <w:p>
      <w:pPr>
        <w:pStyle w:val="Para 012"/>
        <w:keepLines w:val="on"/>
      </w:pPr>
      <w:r>
        <w:t>Although we include some non-C extension options, to extend or embed Python using the C API you must know the C and/or C++ programming languages. We do not cover C and C++ in this book, but there are many print and online resources that you can consult to learn them. Most of the online content of this chapter assumes that you have at least some knowledge of C.</w:t>
      </w:r>
    </w:p>
    <w:p>
      <w:pPr>
        <w:pStyle w:val="Normal"/>
      </w:pPr>
      <w:r>
        <w:t>In the</w:t>
      </w:r>
      <w:r>
        <w:rPr>
          <w:rStyle w:val="Text111"/>
        </w:rPr>
        <w:bookmarkStart w:id="4450" w:name="idm45965162799840"/>
        <w:t/>
        <w:bookmarkEnd w:id="4450"/>
      </w:r>
      <w:r>
        <w:t xml:space="preserve"> </w:t>
      </w:r>
      <w:hyperlink r:id="rId24">
        <w:r>
          <w:rPr>
            <w:rStyle w:val="Text1"/>
          </w:rPr>
          <w:t>online version of this chapter</w:t>
        </w:r>
      </w:hyperlink>
      <w:r>
        <w:t>, you will find the following sections:</w:t>
      </w:r>
    </w:p>
    <w:p>
      <w:pPr>
        <w:pStyle w:val="Para 023"/>
      </w:pPr>
      <w:r>
        <w:t>“Extending Python with Python’s C API”</w:t>
      </w:r>
    </w:p>
    <w:p>
      <w:pPr>
        <w:pStyle w:val="Normal"/>
      </w:pPr>
      <w:r>
        <w:t>Includes reference tables and examples for creating C-coded Python extension modules that you can import into your Python programs, showing how to code and build such modules. This section includes two complete examples:</w:t>
      </w:r>
    </w:p>
    <w:p>
      <w:pPr>
        <w:pStyle w:val="Para 010"/>
      </w:pPr>
      <w:r>
        <w:t xml:space="preserve">An extension implementing custom methods for manipulating </w:t>
      </w:r>
      <w:r>
        <w:rPr>
          <w:rStyle w:val="Text0"/>
        </w:rPr>
        <w:t>dict</w:t>
      </w:r>
      <w:r>
        <w:t>s</w:t>
      </w:r>
    </w:p>
    <w:p>
      <w:pPr>
        <w:pStyle w:val="Para 010"/>
      </w:pPr>
      <w:r>
        <w:t>An extension defining a custom type</w:t>
      </w:r>
    </w:p>
    <w:p>
      <w:pPr>
        <w:pStyle w:val="Para 023"/>
      </w:pPr>
      <w:r>
        <w:t>“Extending Python Without Python’s C API”</w:t>
      </w:r>
    </w:p>
    <w:p>
      <w:pPr>
        <w:pStyle w:val="Para 016"/>
      </w:pPr>
      <w:r>
        <w:rPr>
          <w:rStyle w:val="Text115"/>
        </w:rPr>
        <w:bookmarkStart w:id="4451" w:name="idm45965162792832"/>
        <w:t/>
        <w:bookmarkEnd w:id="4451"/>
      </w:r>
      <w:r>
        <w:t>Discusses (or, at least, mentions and links to) several utilities and libraries that support creating Python extensions that do not directly require C or C++ programming,</w:t>
      </w:r>
      <w:hyperlink w:anchor="1_There_are_many_other_such_tool">
        <w:r>
          <w:rPr>
            <w:rStyle w:val="Text95"/>
          </w:rPr>
          <w:bookmarkStart w:id="4452" w:name="1_24"/>
          <w:t>1</w:t>
          <w:bookmarkEnd w:id="4452"/>
        </w:r>
      </w:hyperlink>
      <w:r>
        <w:t xml:space="preserve"> including the third-party tools </w:t>
      </w:r>
      <w:hyperlink r:id="rId676">
        <w:r>
          <w:rPr>
            <w:rStyle w:val="Text43"/>
          </w:rPr>
          <w:t>F2PY</w:t>
        </w:r>
      </w:hyperlink>
      <w:r>
        <w:t xml:space="preserve">, </w:t>
      </w:r>
      <w:hyperlink r:id="rId677">
        <w:r>
          <w:rPr>
            <w:rStyle w:val="Text43"/>
          </w:rPr>
          <w:t>SIP</w:t>
        </w:r>
      </w:hyperlink>
      <w:r>
        <w:t xml:space="preserve">, </w:t>
      </w:r>
      <w:hyperlink r:id="rId678">
        <w:r>
          <w:rPr>
            <w:rStyle w:val="Text43"/>
          </w:rPr>
          <w:t>CLIF</w:t>
        </w:r>
      </w:hyperlink>
      <w:r>
        <w:t xml:space="preserve">, </w:t>
      </w:r>
      <w:hyperlink r:id="rId679">
        <w:r>
          <w:rPr>
            <w:rStyle w:val="Text30"/>
          </w:rPr>
          <w:t>cppyy</w:t>
        </w:r>
      </w:hyperlink>
      <w:r>
        <w:t xml:space="preserve">, </w:t>
      </w:r>
      <w:hyperlink r:id="rId680">
        <w:r>
          <w:rPr>
            <w:rStyle w:val="Text30"/>
          </w:rPr>
          <w:t>pybind11</w:t>
        </w:r>
      </w:hyperlink>
      <w:r>
        <w:t xml:space="preserve">, </w:t>
      </w:r>
      <w:r>
        <w:rPr>
          <w:rStyle w:val="Text115"/>
        </w:rPr>
        <w:bookmarkStart w:id="4453" w:name="idm45965162785072"/>
        <w:t/>
        <w:bookmarkEnd w:id="4453"/>
      </w:r>
      <w:hyperlink r:id="rId681">
        <w:r>
          <w:rPr>
            <w:rStyle w:val="Text43"/>
          </w:rPr>
          <w:t>Cython</w:t>
        </w:r>
      </w:hyperlink>
      <w:r>
        <w:t xml:space="preserve">, </w:t>
      </w:r>
      <w:hyperlink r:id="rId682">
        <w:r>
          <w:rPr>
            <w:rStyle w:val="Text43"/>
          </w:rPr>
          <w:t>CFFI</w:t>
        </w:r>
      </w:hyperlink>
      <w:r>
        <w:t xml:space="preserve">, and </w:t>
      </w:r>
      <w:hyperlink r:id="rId683">
        <w:r>
          <w:rPr>
            <w:rStyle w:val="Text43"/>
          </w:rPr>
          <w:t>HPy</w:t>
        </w:r>
      </w:hyperlink>
      <w:r>
        <w:t>, and</w:t>
      </w:r>
      <w:r>
        <w:rPr>
          <w:rStyle w:val="Text115"/>
        </w:rPr>
        <w:bookmarkStart w:id="4454" w:name="idm45965162781504"/>
        <w:t/>
        <w:bookmarkEnd w:id="4454"/>
        <w:bookmarkStart w:id="4455" w:name="idm45965162780528"/>
        <w:t/>
        <w:bookmarkEnd w:id="4455"/>
      </w:r>
      <w:r>
        <w:t xml:space="preserve"> standard library module </w:t>
      </w:r>
      <w:hyperlink r:id="rId684">
        <w:r>
          <w:rPr>
            <w:rStyle w:val="Text30"/>
          </w:rPr>
          <w:t>ctypes</w:t>
        </w:r>
      </w:hyperlink>
      <w:r>
        <w:t>. This section includes a complete example on how to create an extension using Cython.</w:t>
      </w:r>
    </w:p>
    <w:p>
      <w:pPr>
        <w:pStyle w:val="Para 023"/>
      </w:pPr>
      <w:r>
        <w:t>“Embedding Python”</w:t>
      </w:r>
    </w:p>
    <w:p>
      <w:pPr>
        <w:pStyle w:val="Para 016"/>
      </w:pPr>
      <w:r>
        <w:t>Includes reference tables and a conceptual overview of embedding a Python interpreter within a larger application, using Python’s C API for embedding.</w:t>
      </w:r>
      <w:r>
        <w:rPr>
          <w:rStyle w:val="Text115"/>
        </w:rPr>
        <w:bookmarkStart w:id="4456" w:name="idm45965162777440"/>
        <w:t/>
        <w:bookmarkEnd w:id="4456"/>
      </w:r>
    </w:p>
    <w:p>
      <w:bookmarkStart w:id="4457" w:name="1_There_are_many_other_such_tool"/>
      <w:pPr>
        <w:pStyle w:val="Para 035"/>
      </w:pPr>
      <w:hyperlink w:anchor="1_24">
        <w:r>
          <w:rPr>
            <w:rStyle w:val="Text1"/>
          </w:rPr>
          <w:t>1</w:t>
        </w:r>
      </w:hyperlink>
      <w:r>
        <w:t xml:space="preserve"> There are many other such tools, but we tried to pick just the most popular and promising ones.</w:t>
      </w:r>
      <w:bookmarkEnd w:id="4457"/>
    </w:p>
    <w:p>
      <w:bookmarkStart w:id="4458" w:name="Chapter_26__v3_7_to_v3_n_Migrati"/>
      <w:bookmarkStart w:id="4459" w:name="Chapter_26__v3_7_to_v3_n_Migrati_1"/>
      <w:bookmarkStart w:id="4460" w:name="Top_of_ch26_html"/>
      <w:bookmarkStart w:id="4461" w:name="Chapter_26__v3_7_to_v3_n_Migrati_2"/>
      <w:pPr>
        <w:keepNext/>
        <w:pStyle w:val="Heading 1"/>
        <w:pageBreakBefore w:val="on"/>
      </w:pPr>
      <w:r>
        <w:t xml:space="preserve">Chapter 26. </w:t>
        <w:t>v3.7 to v3.n Migration</w:t>
      </w:r>
      <w:bookmarkEnd w:id="4458"/>
      <w:bookmarkEnd w:id="4459"/>
      <w:bookmarkEnd w:id="4460"/>
      <w:bookmarkEnd w:id="4461"/>
    </w:p>
    <w:p>
      <w:pPr>
        <w:pStyle w:val="Normal"/>
      </w:pPr>
      <w:r>
        <w:t>This</w:t>
      </w:r>
      <w:r>
        <w:rPr>
          <w:rStyle w:val="Text111"/>
        </w:rPr>
        <w:bookmarkStart w:id="4462" w:name="Pmig26"/>
        <w:t/>
        <w:bookmarkEnd w:id="4462"/>
        <w:bookmarkStart w:id="4463" w:name="mig26"/>
        <w:t/>
        <w:bookmarkEnd w:id="4463"/>
      </w:r>
      <w:r>
        <w:t xml:space="preserve"> book spans several versions of Python and covers some substantial (and still evolving!) new features, including:</w:t>
      </w:r>
    </w:p>
    <w:p>
      <w:pPr>
        <w:pStyle w:val="Para 010"/>
      </w:pPr>
      <w:r>
        <w:t xml:space="preserve">Order-preserving </w:t>
      </w:r>
      <w:r>
        <w:rPr>
          <w:rStyle w:val="Text0"/>
        </w:rPr>
        <w:t>dict</w:t>
      </w:r>
      <w:r>
        <w:t>s</w:t>
      </w:r>
    </w:p>
    <w:p>
      <w:pPr>
        <w:pStyle w:val="Para 010"/>
      </w:pPr>
      <w:r>
        <w:t>Type annotations</w:t>
      </w:r>
    </w:p>
    <w:p>
      <w:pPr>
        <w:pStyle w:val="Para 010"/>
      </w:pPr>
      <w:r>
        <w:rPr>
          <w:rStyle w:val="Text0"/>
        </w:rPr>
        <w:t>:=</w:t>
      </w:r>
      <w:r>
        <w:t xml:space="preserve"> assignment expressions (informally called “the walrus operator”)</w:t>
      </w:r>
    </w:p>
    <w:p>
      <w:pPr>
        <w:pStyle w:val="Para 010"/>
      </w:pPr>
      <w:r>
        <w:t>Structural pattern matching</w:t>
      </w:r>
    </w:p>
    <w:p>
      <w:pPr>
        <w:pStyle w:val="Normal"/>
      </w:pPr>
      <w:r>
        <w:t>Individual developers may be able to install each new Python version as it is released, and solve compatibility issues as they go. But for Python developers working in a corporate environment or maintaining a shared library, migrating from one version to the next involves deliberation and planning.</w:t>
      </w:r>
      <w:r>
        <w:rPr>
          <w:rStyle w:val="Text111"/>
        </w:rPr>
        <w:bookmarkStart w:id="4464" w:name="idm45965162765104"/>
        <w:t/>
        <w:bookmarkEnd w:id="4464"/>
        <w:bookmarkStart w:id="4465" w:name="idm45965162763408"/>
        <w:t/>
        <w:bookmarkEnd w:id="4465"/>
        <w:bookmarkStart w:id="4466" w:name="idm45965162762032"/>
        <w:t/>
        <w:bookmarkEnd w:id="4466"/>
        <w:bookmarkStart w:id="4467" w:name="idm45965162760656"/>
        <w:t/>
        <w:bookmarkEnd w:id="4467"/>
        <w:bookmarkStart w:id="4468" w:name="idm45965162759184"/>
        <w:t/>
        <w:bookmarkEnd w:id="4468"/>
        <w:bookmarkStart w:id="4469" w:name="idm45965162757808"/>
        <w:t/>
        <w:bookmarkEnd w:id="4469"/>
        <w:bookmarkStart w:id="4470" w:name="idm45965162756464"/>
        <w:t/>
        <w:bookmarkEnd w:id="4470"/>
        <w:bookmarkStart w:id="4471" w:name="idm45965162755120"/>
        <w:t/>
        <w:bookmarkEnd w:id="4471"/>
        <w:bookmarkStart w:id="4472" w:name="idm45965162753712"/>
        <w:t/>
        <w:bookmarkEnd w:id="4472"/>
        <w:bookmarkStart w:id="4473" w:name="idm45965162752368"/>
        <w:t/>
        <w:bookmarkEnd w:id="4473"/>
        <w:bookmarkStart w:id="4474" w:name="idm45965162750960"/>
        <w:t/>
        <w:bookmarkEnd w:id="4474"/>
        <w:bookmarkStart w:id="4475" w:name="idm45965162749616"/>
        <w:t/>
        <w:bookmarkEnd w:id="4475"/>
        <w:bookmarkStart w:id="4476" w:name="idm45965162748272"/>
        <w:t/>
        <w:bookmarkEnd w:id="4476"/>
        <w:bookmarkStart w:id="4477" w:name="idm45965162746928"/>
        <w:t/>
        <w:bookmarkEnd w:id="4477"/>
        <w:bookmarkStart w:id="4478" w:name="idm45965162745552"/>
        <w:t/>
        <w:bookmarkEnd w:id="4478"/>
        <w:bookmarkStart w:id="4479" w:name="idm45965162744240"/>
        <w:t/>
        <w:bookmarkEnd w:id="4479"/>
        <w:bookmarkStart w:id="4480" w:name="idm45965162742864"/>
        <w:t/>
        <w:bookmarkEnd w:id="4480"/>
        <w:bookmarkStart w:id="4481" w:name="idm45965162741520"/>
        <w:t/>
        <w:bookmarkEnd w:id="4481"/>
        <w:bookmarkStart w:id="4482" w:name="idm45965162740176"/>
        <w:t/>
        <w:bookmarkEnd w:id="4482"/>
        <w:bookmarkStart w:id="4483" w:name="idm45965162738864"/>
        <w:t/>
        <w:bookmarkEnd w:id="4483"/>
        <w:bookmarkStart w:id="4484" w:name="idm45965162737488"/>
        <w:t/>
        <w:bookmarkEnd w:id="4484"/>
        <w:bookmarkStart w:id="4485" w:name="idm45965162736144"/>
        <w:t/>
        <w:bookmarkEnd w:id="4485"/>
        <w:bookmarkStart w:id="4486" w:name="idm45965162734768"/>
        <w:t/>
        <w:bookmarkEnd w:id="4486"/>
        <w:bookmarkStart w:id="4487" w:name="idm45965162733392"/>
        <w:t/>
        <w:bookmarkEnd w:id="4487"/>
        <w:bookmarkStart w:id="4488" w:name="idm45965162732016"/>
        <w:t/>
        <w:bookmarkEnd w:id="4488"/>
        <w:bookmarkStart w:id="4489" w:name="idm45965162730640"/>
        <w:t/>
        <w:bookmarkEnd w:id="4489"/>
        <w:bookmarkStart w:id="4490" w:name="idm45965162729264"/>
        <w:t/>
        <w:bookmarkEnd w:id="4490"/>
      </w:r>
    </w:p>
    <w:p>
      <w:pPr>
        <w:pStyle w:val="Normal"/>
      </w:pPr>
      <w:r>
        <w:t>This chapter deals with the changing shape of the Python language, as seen from a Python programmer’s viewpoint. (There have been many changes in Python internals as well, including to the Python C API, but those are beyond the scope of this chapter: for details, see the “What’s New in Python 3.</w:t>
      </w:r>
      <w:r>
        <w:rPr>
          <w:rStyle w:val="Text4"/>
        </w:rPr>
        <w:t>n</w:t>
      </w:r>
      <w:r>
        <w:t>” sections of each release’s online documentation.)</w:t>
      </w:r>
    </w:p>
    <w:p>
      <w:bookmarkStart w:id="4491" w:name="Significant_Changes_in_Python_Th"/>
      <w:pPr>
        <w:keepNext/>
        <w:pStyle w:val="Heading 1"/>
      </w:pPr>
      <w:r>
        <w:t>Significant Changes in Python Through 3.11</w:t>
      </w:r>
      <w:bookmarkEnd w:id="4491"/>
    </w:p>
    <w:p>
      <w:pPr>
        <w:pStyle w:val="Normal"/>
      </w:pPr>
      <w:r>
        <w:t>Most</w:t>
      </w:r>
      <w:r>
        <w:rPr>
          <w:rStyle w:val="Text111"/>
        </w:rPr>
        <w:bookmarkStart w:id="4492" w:name="Pchange26"/>
        <w:t/>
        <w:bookmarkEnd w:id="4492"/>
        <w:bookmarkStart w:id="4493" w:name="sigch26"/>
        <w:t/>
        <w:bookmarkEnd w:id="4493"/>
        <w:bookmarkStart w:id="4494" w:name="idm45965162721824"/>
        <w:t/>
        <w:bookmarkEnd w:id="4494"/>
        <w:bookmarkStart w:id="4495" w:name="idm45965162720720"/>
        <w:t/>
        <w:bookmarkEnd w:id="4495"/>
        <w:bookmarkStart w:id="4496" w:name="Rnew26"/>
        <w:t/>
        <w:bookmarkEnd w:id="4496"/>
      </w:r>
      <w:r>
        <w:t xml:space="preserve"> releases have a handful of significant new features and improvements that characterize that release, and it is useful to have these in mind as high-level reasons for targeting a particular release. </w:t>
      </w:r>
      <w:hyperlink w:anchor="Table_26_1__Significant_changes">
        <w:r>
          <w:rPr>
            <w:rStyle w:val="Text1"/>
          </w:rPr>
          <w:t>Table 26-1</w:t>
        </w:r>
      </w:hyperlink>
      <w:r>
        <w:t xml:space="preserve"> details only major new features and breaking changes in versions 3.6–3.11</w:t>
      </w:r>
      <w:hyperlink w:anchor="1_While_Python_3_6_is_outside_th">
        <w:r>
          <w:rPr>
            <w:rStyle w:val="Text41"/>
          </w:rPr>
          <w:bookmarkStart w:id="4497" w:name="1_25"/>
          <w:t>1</w:t>
          <w:bookmarkEnd w:id="4497"/>
        </w:r>
      </w:hyperlink>
      <w:r>
        <w:t xml:space="preserve"> that are likely to affect many Python programs; see the </w:t>
      </w:r>
      <w:hyperlink w:anchor="Appendix__New_Features_and_Chang_2">
        <w:r>
          <w:rPr>
            <w:rStyle w:val="Text1"/>
          </w:rPr>
          <w:t>Appendix</w:t>
        </w:r>
      </w:hyperlink>
      <w:r>
        <w:t xml:space="preserve"> for a more complete</w:t>
      </w:r>
      <w:r>
        <w:rPr>
          <w:rStyle w:val="Text111"/>
        </w:rPr>
        <w:bookmarkStart w:id="4498" w:name="brch26"/>
        <w:t/>
        <w:bookmarkEnd w:id="4498"/>
      </w:r>
      <w:r>
        <w:t xml:space="preserve"> list.</w:t>
      </w:r>
    </w:p>
    <w:tbl>
      <w:tblPr>
        <w:tblW w:type="auto" w:w="0"/>
      </w:tblPr>
      <w:tr>
        <w:tc>
          <w:tcPr>
            <w:tcW w:type="auto" w:w="0"/>
            <w:tcMar>
              <w:left w:type="dxa" w:w="200"/>
              <w:top w:type="dxa" w:w="200"/>
              <w:right w:type="dxa" w:w="200"/>
              <w:bottom w:type="dxa" w:w="200"/>
            </w:tcMar>
            <w:vAlign w:val="center"/>
          </w:tcPr>
          <w:p>
            <w:bookmarkStart w:id="4499" w:name="Table_26_1__Significant_changes"/>
            <w:pPr>
              <w:pStyle w:val="Para 011"/>
            </w:pPr>
            <w:r>
              <w:rPr>
                <w:rStyle w:val="Text117"/>
              </w:rPr>
              <w:t/>
            </w:r>
            <w:r>
              <w:t xml:space="preserve">Table 26-1. </w:t>
              <w:t>Significant changes in recent Python releases</w:t>
            </w:r>
            <w:bookmarkEnd w:id="4499"/>
          </w:p>
          <w:p>
            <w:pPr>
              <w:pStyle w:val="Para 013"/>
            </w:pPr>
            <w:r>
              <w:t>Version</w:t>
            </w:r>
          </w:p>
        </w:tc>
        <w:tc>
          <w:tcPr>
            <w:tcW w:type="auto" w:w="0"/>
            <w:tcMar>
              <w:left w:type="dxa" w:w="200"/>
              <w:top w:type="dxa" w:w="200"/>
              <w:right w:type="dxa" w:w="200"/>
              <w:bottom w:type="dxa" w:w="200"/>
            </w:tcMar>
            <w:vAlign w:val="center"/>
          </w:tcPr>
          <w:p>
            <w:pPr>
              <w:pStyle w:val="Para 013"/>
            </w:pPr>
            <w:r>
              <w:t>New features</w:t>
            </w:r>
          </w:p>
        </w:tc>
        <w:tc>
          <w:tcPr>
            <w:tcW w:type="auto" w:w="0"/>
            <w:tcMar>
              <w:left w:type="dxa" w:w="200"/>
              <w:top w:type="dxa" w:w="200"/>
              <w:right w:type="dxa" w:w="200"/>
              <w:bottom w:type="dxa" w:w="200"/>
            </w:tcMar>
            <w:vAlign w:val="center"/>
          </w:tcPr>
          <w:p>
            <w:pPr>
              <w:pStyle w:val="Para 013"/>
            </w:pPr>
            <w:r>
              <w:t>Breaking changes</w:t>
            </w:r>
          </w:p>
        </w:tc>
      </w:tr>
    </w:tbl>
    <w:tbl>
      <w:tblPr>
        <w:tblW w:type="auto" w:w="0"/>
      </w:tblPr>
      <w:tr>
        <w:tc>
          <w:tcPr>
            <w:tcW w:type="auto" w:w="0"/>
            <w:tcMar>
              <w:left w:type="dxa" w:w="200"/>
              <w:top w:type="dxa" w:w="200"/>
              <w:right w:type="dxa" w:w="200"/>
              <w:bottom w:type="dxa" w:w="200"/>
            </w:tcMar>
          </w:tcPr>
          <w:p>
            <w:pPr>
              <w:pStyle w:val="Para 002"/>
            </w:pPr>
            <w:r>
              <w:t>3.6</w:t>
            </w:r>
          </w:p>
        </w:tc>
        <w:tc>
          <w:tcPr>
            <w:tcW w:type="auto" w:w="0"/>
            <w:tcMar>
              <w:left w:type="dxa" w:w="200"/>
              <w:top w:type="dxa" w:w="200"/>
              <w:right w:type="dxa" w:w="200"/>
              <w:bottom w:type="dxa" w:w="200"/>
            </w:tcMar>
          </w:tcPr>
          <w:p>
            <w:pPr>
              <w:pStyle w:val="Para 003"/>
            </w:pPr>
            <w:r>
              <w:rPr>
                <w:rStyle w:val="Text0"/>
              </w:rPr>
              <w:t>dict</w:t>
            </w:r>
            <w:r>
              <w:t>s preserve order (as an implementation detail of CPython)</w:t>
            </w:r>
          </w:p>
          <w:p>
            <w:pPr>
              <w:pStyle w:val="Para 003"/>
            </w:pPr>
            <w:r>
              <w:t>F-strings added</w:t>
            </w:r>
          </w:p>
          <w:p>
            <w:pPr>
              <w:pStyle w:val="Para 003"/>
            </w:pPr>
            <w:r>
              <w:rPr>
                <w:rStyle w:val="Text0"/>
              </w:rPr>
              <w:t>_</w:t>
            </w:r>
            <w:r>
              <w:t xml:space="preserve"> in numeric literals supported</w:t>
            </w:r>
          </w:p>
          <w:p>
            <w:pPr>
              <w:pStyle w:val="Para 003"/>
            </w:pPr>
            <w:r>
              <w:t xml:space="preserve">Annotations can be used for types, which can be checked with external tools such as </w:t>
            </w:r>
            <w:r>
              <w:rPr>
                <w:rStyle w:val="Text0"/>
              </w:rPr>
              <w:t>mypy</w:t>
            </w:r>
          </w:p>
          <w:p>
            <w:pPr>
              <w:pStyle w:val="Para 066"/>
            </w:pPr>
            <w:r>
              <w:rPr>
                <w:rStyle w:val="Text50"/>
              </w:rPr>
              <w:t>asyncio</w:t>
            </w:r>
            <w:r>
              <w:rPr>
                <w:rStyle w:val="Text4"/>
              </w:rPr>
              <w:t xml:space="preserve"> is no longer a provisional module</w:t>
              <w:br w:clear="none"/>
              <w:t xml:space="preserve"> </w:t>
              <w:br w:clear="none"/>
              <w:t xml:space="preserve"> </w:t>
            </w:r>
            <w:r>
              <w:t>Initial release: December 2016</w:t>
              <w:br w:clear="none"/>
            </w:r>
            <w:r>
              <w:rPr>
                <w:rStyle w:val="Text4"/>
              </w:rPr>
              <w:t xml:space="preserve"> </w:t>
            </w:r>
            <w:r>
              <w:t>End of support: December 2021</w:t>
            </w:r>
          </w:p>
        </w:tc>
        <w:tc>
          <w:tcPr>
            <w:tcW w:type="auto" w:w="0"/>
            <w:tcMar>
              <w:left w:type="dxa" w:w="200"/>
              <w:top w:type="dxa" w:w="200"/>
              <w:right w:type="dxa" w:w="200"/>
              <w:bottom w:type="dxa" w:w="200"/>
            </w:tcMar>
          </w:tcPr>
          <w:p>
            <w:pPr>
              <w:pStyle w:val="Para 003"/>
            </w:pPr>
            <w:r>
              <w:t xml:space="preserve">Unknown escapes of </w:t>
            </w:r>
            <w:r>
              <w:rPr>
                <w:rStyle w:val="Text0"/>
              </w:rPr>
              <w:t>\</w:t>
            </w:r>
            <w:r>
              <w:t xml:space="preserve"> and an ASCII letter no longer supported in pattern arguments to most </w:t>
            </w:r>
            <w:r>
              <w:rPr>
                <w:rStyle w:val="Text0"/>
              </w:rPr>
              <w:t>re</w:t>
            </w:r>
            <w:r>
              <w:t xml:space="preserve"> functions (still permitted in </w:t>
            </w:r>
            <w:r>
              <w:rPr>
                <w:rStyle w:val="Text0"/>
              </w:rPr>
              <w:t>re.sub()</w:t>
            </w:r>
            <w:r>
              <w:t xml:space="preserve"> only)</w:t>
            </w:r>
          </w:p>
        </w:tc>
      </w:tr>
    </w:tbl>
    <w:tbl>
      <w:tblPr>
        <w:tblW w:type="auto" w:w="0"/>
      </w:tblPr>
      <w:tr>
        <w:tc>
          <w:tcPr>
            <w:tcW w:type="auto" w:w="0"/>
            <w:shd w:val="clear" w:color="auto" w:fill="EEF2F6"/>
            <w:tcMar>
              <w:left w:type="dxa" w:w="200"/>
              <w:top w:type="dxa" w:w="200"/>
              <w:right w:type="dxa" w:w="200"/>
              <w:bottom w:type="dxa" w:w="200"/>
            </w:tcMar>
          </w:tcPr>
          <w:p>
            <w:pPr>
              <w:pStyle w:val="Para 002"/>
            </w:pPr>
            <w:r>
              <w:t>3.7</w:t>
            </w:r>
          </w:p>
        </w:tc>
        <w:tc>
          <w:tcPr>
            <w:tcW w:type="auto" w:w="0"/>
            <w:shd w:val="clear" w:color="auto" w:fill="EEF2F6"/>
            <w:tcMar>
              <w:left w:type="dxa" w:w="200"/>
              <w:top w:type="dxa" w:w="200"/>
              <w:right w:type="dxa" w:w="200"/>
              <w:bottom w:type="dxa" w:w="200"/>
            </w:tcMar>
          </w:tcPr>
          <w:p>
            <w:pPr>
              <w:pStyle w:val="Para 003"/>
            </w:pPr>
            <w:r>
              <w:rPr>
                <w:rStyle w:val="Text0"/>
              </w:rPr>
              <w:t>dict</w:t>
            </w:r>
            <w:r>
              <w:t>s preserve order (as a formal language guarantee)</w:t>
            </w:r>
          </w:p>
          <w:p>
            <w:pPr>
              <w:pStyle w:val="Para 003"/>
            </w:pPr>
            <w:r>
              <w:rPr>
                <w:rStyle w:val="Text0"/>
              </w:rPr>
              <w:t>dataclasses</w:t>
            </w:r>
            <w:r>
              <w:t xml:space="preserve"> module added</w:t>
            </w:r>
          </w:p>
          <w:p>
            <w:pPr>
              <w:pStyle w:val="Para 066"/>
            </w:pPr>
            <w:r>
              <w:rPr>
                <w:rStyle w:val="Text50"/>
              </w:rPr>
              <w:t>breakpoint()</w:t>
            </w:r>
            <w:r>
              <w:rPr>
                <w:rStyle w:val="Text4"/>
              </w:rPr>
              <w:t xml:space="preserve"> function added</w:t>
              <w:br w:clear="none"/>
              <w:t xml:space="preserve"> </w:t>
              <w:br w:clear="none"/>
              <w:t xml:space="preserve"> </w:t>
            </w:r>
            <w:r>
              <w:t>Initial release: June 2018</w:t>
              <w:br w:clear="none"/>
            </w:r>
            <w:r>
              <w:rPr>
                <w:rStyle w:val="Text4"/>
              </w:rPr>
              <w:t xml:space="preserve"> </w:t>
            </w:r>
            <w:r>
              <w:t>Planned end of support: June 2023</w:t>
            </w:r>
          </w:p>
        </w:tc>
        <w:tc>
          <w:tcPr>
            <w:tcW w:type="auto" w:w="0"/>
            <w:shd w:val="clear" w:color="auto" w:fill="EEF2F6"/>
            <w:tcMar>
              <w:left w:type="dxa" w:w="200"/>
              <w:top w:type="dxa" w:w="200"/>
              <w:right w:type="dxa" w:w="200"/>
              <w:bottom w:type="dxa" w:w="200"/>
            </w:tcMar>
          </w:tcPr>
          <w:p>
            <w:pPr>
              <w:pStyle w:val="Para 003"/>
            </w:pPr>
            <w:r>
              <w:t xml:space="preserve">Unknown escapes of </w:t>
            </w:r>
            <w:r>
              <w:rPr>
                <w:rStyle w:val="Text0"/>
              </w:rPr>
              <w:t>\</w:t>
            </w:r>
            <w:r>
              <w:t xml:space="preserve"> and an ASCII letter no longer supported in pattern arguments to </w:t>
            </w:r>
            <w:r>
              <w:rPr>
                <w:rStyle w:val="Text0"/>
              </w:rPr>
              <w:t>re.sub()</w:t>
            </w:r>
          </w:p>
          <w:p>
            <w:pPr>
              <w:pStyle w:val="Para 003"/>
            </w:pPr>
            <w:r>
              <w:t xml:space="preserve">Named arguments no longer supported in </w:t>
            </w:r>
            <w:r>
              <w:rPr>
                <w:rStyle w:val="Text0"/>
              </w:rPr>
              <w:t>bool()</w:t>
            </w:r>
            <w:r>
              <w:t xml:space="preserve">, </w:t>
            </w:r>
            <w:r>
              <w:rPr>
                <w:rStyle w:val="Text0"/>
              </w:rPr>
              <w:t>float()</w:t>
            </w:r>
            <w:r>
              <w:t xml:space="preserve">, </w:t>
            </w:r>
            <w:r>
              <w:rPr>
                <w:rStyle w:val="Text0"/>
              </w:rPr>
              <w:t>list()</w:t>
            </w:r>
            <w:r>
              <w:t xml:space="preserve">, and </w:t>
            </w:r>
            <w:r>
              <w:rPr>
                <w:rStyle w:val="Text0"/>
              </w:rPr>
              <w:t>tuple()</w:t>
            </w:r>
          </w:p>
          <w:p>
            <w:pPr>
              <w:pStyle w:val="Para 003"/>
            </w:pPr>
            <w:r>
              <w:t xml:space="preserve">Leading named argument in </w:t>
            </w:r>
            <w:r>
              <w:rPr>
                <w:rStyle w:val="Text0"/>
              </w:rPr>
              <w:t>int()</w:t>
            </w:r>
            <w:r>
              <w:t xml:space="preserve"> no longer supported</w:t>
            </w:r>
          </w:p>
        </w:tc>
      </w:tr>
    </w:tbl>
    <w:tbl>
      <w:tblPr>
        <w:tblW w:type="auto" w:w="0"/>
      </w:tblPr>
      <w:tr>
        <w:tc>
          <w:tcPr>
            <w:tcW w:type="auto" w:w="0"/>
            <w:tcMar>
              <w:left w:type="dxa" w:w="200"/>
              <w:top w:type="dxa" w:w="200"/>
              <w:right w:type="dxa" w:w="200"/>
              <w:bottom w:type="dxa" w:w="200"/>
            </w:tcMar>
          </w:tcPr>
          <w:p>
            <w:pPr>
              <w:pStyle w:val="Para 002"/>
            </w:pPr>
            <w:r>
              <w:t>3.8</w:t>
            </w:r>
          </w:p>
        </w:tc>
        <w:tc>
          <w:tcPr>
            <w:tcW w:type="auto" w:w="0"/>
            <w:tcMar>
              <w:left w:type="dxa" w:w="200"/>
              <w:top w:type="dxa" w:w="200"/>
              <w:right w:type="dxa" w:w="200"/>
              <w:bottom w:type="dxa" w:w="200"/>
            </w:tcMar>
          </w:tcPr>
          <w:p>
            <w:pPr>
              <w:pStyle w:val="Para 003"/>
            </w:pPr>
            <w:r>
              <w:t>Assignment expressions (</w:t>
            </w:r>
            <w:r>
              <w:rPr>
                <w:rStyle w:val="Text0"/>
              </w:rPr>
              <w:t>:=</w:t>
            </w:r>
            <w:r>
              <w:t xml:space="preserve"> , aka the walrus operator) added</w:t>
            </w:r>
          </w:p>
          <w:p>
            <w:pPr>
              <w:pStyle w:val="Para 003"/>
            </w:pPr>
            <w:r>
              <w:rPr>
                <w:rStyle w:val="Text0"/>
              </w:rPr>
              <w:t>/</w:t>
            </w:r>
            <w:r>
              <w:t xml:space="preserve"> and </w:t>
            </w:r>
            <w:r>
              <w:rPr>
                <w:rStyle w:val="Text0"/>
              </w:rPr>
              <w:t>*</w:t>
            </w:r>
            <w:r>
              <w:t xml:space="preserve"> in function argument lists to indicate positional-only and named-only arguments</w:t>
            </w:r>
          </w:p>
          <w:p>
            <w:pPr>
              <w:pStyle w:val="Para 003"/>
            </w:pPr>
            <w:r>
              <w:t xml:space="preserve">Trailing </w:t>
            </w:r>
            <w:r>
              <w:rPr>
                <w:rStyle w:val="Text0"/>
              </w:rPr>
              <w:t>=</w:t>
            </w:r>
            <w:r>
              <w:t xml:space="preserve"> for debugging in f-strings (</w:t>
            </w:r>
            <w:r>
              <w:rPr>
                <w:rStyle w:val="Text0"/>
              </w:rPr>
              <w:t>f'{x=}'</w:t>
            </w:r>
            <w:r>
              <w:t xml:space="preserve"> short form for </w:t>
            </w:r>
            <w:r>
              <w:rPr>
                <w:rStyle w:val="Text0"/>
              </w:rPr>
              <w:t>f'x={x!r}'</w:t>
            </w:r>
            <w:r>
              <w:t>)</w:t>
            </w:r>
          </w:p>
          <w:p>
            <w:pPr>
              <w:pStyle w:val="Para 066"/>
            </w:pPr>
            <w:r>
              <w:rPr>
                <w:rStyle w:val="Text4"/>
              </w:rPr>
              <w:t>Typing classes added (</w:t>
            </w:r>
            <w:r>
              <w:rPr>
                <w:rStyle w:val="Text50"/>
              </w:rPr>
              <w:t>Literal</w:t>
            </w:r>
            <w:r>
              <w:rPr>
                <w:rStyle w:val="Text4"/>
              </w:rPr>
              <w:t xml:space="preserve">, </w:t>
            </w:r>
            <w:r>
              <w:rPr>
                <w:rStyle w:val="Text50"/>
              </w:rPr>
              <w:t>TypedDict</w:t>
            </w:r>
            <w:r>
              <w:rPr>
                <w:rStyle w:val="Text4"/>
              </w:rPr>
              <w:t xml:space="preserve">, </w:t>
            </w:r>
            <w:r>
              <w:rPr>
                <w:rStyle w:val="Text50"/>
              </w:rPr>
              <w:t>Final</w:t>
            </w:r>
            <w:r>
              <w:rPr>
                <w:rStyle w:val="Text4"/>
              </w:rPr>
              <w:t xml:space="preserve">, </w:t>
            </w:r>
            <w:r>
              <w:rPr>
                <w:rStyle w:val="Text50"/>
              </w:rPr>
              <w:t>Protocol</w:t>
            </w:r>
            <w:r>
              <w:rPr>
                <w:rStyle w:val="Text4"/>
              </w:rPr>
              <w:t>)</w:t>
              <w:br w:clear="none"/>
              <w:t xml:space="preserve"> </w:t>
              <w:br w:clear="none"/>
              <w:t xml:space="preserve"> </w:t>
            </w:r>
            <w:r>
              <w:t>Initial release: October 2019</w:t>
              <w:br w:clear="none"/>
            </w:r>
            <w:r>
              <w:rPr>
                <w:rStyle w:val="Text4"/>
              </w:rPr>
              <w:t xml:space="preserve"> </w:t>
            </w:r>
            <w:r>
              <w:t>Planned end of support: October 2024</w:t>
            </w:r>
          </w:p>
        </w:tc>
        <w:tc>
          <w:tcPr>
            <w:tcW w:type="auto" w:w="0"/>
            <w:tcMar>
              <w:left w:type="dxa" w:w="200"/>
              <w:top w:type="dxa" w:w="200"/>
              <w:right w:type="dxa" w:w="200"/>
              <w:bottom w:type="dxa" w:w="200"/>
            </w:tcMar>
          </w:tcPr>
          <w:p>
            <w:pPr>
              <w:pStyle w:val="Para 024"/>
            </w:pPr>
            <w:r>
              <w:t>time.clock()</w:t>
            </w:r>
            <w:r>
              <w:rPr>
                <w:rStyle w:val="Text12"/>
              </w:rPr>
              <w:t xml:space="preserve"> removed; use </w:t>
            </w:r>
            <w:r>
              <w:t>time.perf_counter()</w:t>
            </w:r>
          </w:p>
          <w:p>
            <w:pPr>
              <w:pStyle w:val="Para 003"/>
            </w:pPr>
            <w:r>
              <w:rPr>
                <w:rStyle w:val="Text0"/>
              </w:rPr>
              <w:t>pyvenv</w:t>
            </w:r>
            <w:r>
              <w:t xml:space="preserve"> script removed; use </w:t>
            </w:r>
            <w:r>
              <w:rPr>
                <w:rStyle w:val="Text5"/>
              </w:rPr>
              <w:t>python -m venv</w:t>
            </w:r>
          </w:p>
          <w:p>
            <w:pPr>
              <w:pStyle w:val="Para 003"/>
            </w:pPr>
            <w:r>
              <w:rPr>
                <w:rStyle w:val="Text5"/>
              </w:rPr>
              <w:t>yield</w:t>
            </w:r>
            <w:r>
              <w:t xml:space="preserve"> and </w:t>
            </w:r>
            <w:r>
              <w:rPr>
                <w:rStyle w:val="Text5"/>
              </w:rPr>
              <w:t>yield from</w:t>
            </w:r>
            <w:r>
              <w:t xml:space="preserve"> no longer allowed in comprehensions or genexps</w:t>
            </w:r>
          </w:p>
          <w:p>
            <w:pPr>
              <w:pStyle w:val="Para 003"/>
            </w:pPr>
            <w:r>
              <w:rPr>
                <w:rStyle w:val="Text0"/>
              </w:rPr>
              <w:t>SyntaxWarning</w:t>
            </w:r>
            <w:r>
              <w:t xml:space="preserve">s on </w:t>
            </w:r>
            <w:r>
              <w:rPr>
                <w:rStyle w:val="Text5"/>
              </w:rPr>
              <w:t>is</w:t>
            </w:r>
            <w:r>
              <w:t xml:space="preserve"> and </w:t>
            </w:r>
            <w:r>
              <w:rPr>
                <w:rStyle w:val="Text5"/>
              </w:rPr>
              <w:t>is not</w:t>
            </w:r>
            <w:r>
              <w:t xml:space="preserve"> tests against </w:t>
            </w:r>
            <w:r>
              <w:rPr>
                <w:rStyle w:val="Text0"/>
              </w:rPr>
              <w:t>str</w:t>
            </w:r>
            <w:r>
              <w:t xml:space="preserve"> and </w:t>
            </w:r>
            <w:r>
              <w:rPr>
                <w:rStyle w:val="Text0"/>
              </w:rPr>
              <w:t>int</w:t>
            </w:r>
            <w:r>
              <w:t xml:space="preserve"> literals added</w:t>
            </w:r>
          </w:p>
        </w:tc>
      </w:tr>
    </w:tbl>
    <w:tbl>
      <w:tblPr>
        <w:tblW w:type="auto" w:w="0"/>
      </w:tblPr>
      <w:tr>
        <w:tc>
          <w:tcPr>
            <w:tcW w:type="auto" w:w="0"/>
            <w:shd w:val="clear" w:color="auto" w:fill="EEF2F6"/>
            <w:tcMar>
              <w:left w:type="dxa" w:w="200"/>
              <w:top w:type="dxa" w:w="200"/>
              <w:right w:type="dxa" w:w="200"/>
              <w:bottom w:type="dxa" w:w="200"/>
            </w:tcMar>
          </w:tcPr>
          <w:p>
            <w:pPr>
              <w:pStyle w:val="Para 002"/>
            </w:pPr>
            <w:r>
              <w:t>3.9</w:t>
            </w:r>
          </w:p>
        </w:tc>
        <w:tc>
          <w:tcPr>
            <w:tcW w:type="auto" w:w="0"/>
            <w:shd w:val="clear" w:color="auto" w:fill="EEF2F6"/>
            <w:tcMar>
              <w:left w:type="dxa" w:w="200"/>
              <w:top w:type="dxa" w:w="200"/>
              <w:right w:type="dxa" w:w="200"/>
              <w:bottom w:type="dxa" w:w="200"/>
            </w:tcMar>
          </w:tcPr>
          <w:p>
            <w:pPr>
              <w:pStyle w:val="Para 003"/>
            </w:pPr>
            <w:r>
              <w:t xml:space="preserve">Union operators </w:t>
            </w:r>
            <w:r>
              <w:rPr>
                <w:rStyle w:val="Text0"/>
              </w:rPr>
              <w:t>|</w:t>
            </w:r>
            <w:r>
              <w:t xml:space="preserve"> and </w:t>
            </w:r>
            <w:r>
              <w:rPr>
                <w:rStyle w:val="Text0"/>
              </w:rPr>
              <w:t>|=</w:t>
            </w:r>
            <w:r>
              <w:t xml:space="preserve"> on </w:t>
            </w:r>
            <w:r>
              <w:rPr>
                <w:rStyle w:val="Text0"/>
              </w:rPr>
              <w:t>dict</w:t>
            </w:r>
            <w:r>
              <w:t>s supported</w:t>
            </w:r>
          </w:p>
          <w:p>
            <w:pPr>
              <w:pStyle w:val="Para 024"/>
            </w:pPr>
            <w:r>
              <w:t>str.removeprefix()</w:t>
            </w:r>
            <w:r>
              <w:rPr>
                <w:rStyle w:val="Text12"/>
              </w:rPr>
              <w:t xml:space="preserve"> and </w:t>
            </w:r>
            <w:r>
              <w:t>str.removesuffix()</w:t>
            </w:r>
            <w:r>
              <w:rPr>
                <w:rStyle w:val="Text12"/>
              </w:rPr>
              <w:t xml:space="preserve"> methods added</w:t>
            </w:r>
          </w:p>
          <w:p>
            <w:pPr>
              <w:pStyle w:val="Para 003"/>
            </w:pPr>
            <w:r>
              <w:rPr>
                <w:rStyle w:val="Text0"/>
              </w:rPr>
              <w:t>zoneinfo</w:t>
            </w:r>
            <w:r>
              <w:t xml:space="preserve"> module added for IANA time zone support (to replace third-party </w:t>
            </w:r>
            <w:r>
              <w:rPr>
                <w:rStyle w:val="Text0"/>
              </w:rPr>
              <w:t>pytz</w:t>
            </w:r>
            <w:r>
              <w:t xml:space="preserve"> module)</w:t>
            </w:r>
          </w:p>
          <w:p>
            <w:pPr>
              <w:pStyle w:val="Para 003"/>
            </w:pPr>
            <w:r>
              <w:t>Type hints can now use built-in types in generics (</w:t>
            </w:r>
            <w:r>
              <w:rPr>
                <w:rStyle w:val="Text0"/>
              </w:rPr>
              <w:t>list[int]</w:t>
            </w:r>
            <w:r>
              <w:t xml:space="preserve"> instead of </w:t>
            </w:r>
            <w:r>
              <w:rPr>
                <w:rStyle w:val="Text0"/>
              </w:rPr>
              <w:t>List[int]</w:t>
            </w:r>
            <w:r>
              <w:t>)</w:t>
              <w:br w:clear="none"/>
              <w:t xml:space="preserve"> </w:t>
              <w:br w:clear="none"/>
              <w:t xml:space="preserve"> </w:t>
            </w:r>
            <w:r>
              <w:rPr>
                <w:rStyle w:val="Text4"/>
              </w:rPr>
              <w:t>Initial release: October 2020</w:t>
              <w:br w:clear="none"/>
            </w:r>
            <w:r>
              <w:t xml:space="preserve"> </w:t>
            </w:r>
            <w:r>
              <w:rPr>
                <w:rStyle w:val="Text4"/>
              </w:rPr>
              <w:t>Planned end of support: October 2025</w:t>
            </w:r>
          </w:p>
        </w:tc>
        <w:tc>
          <w:tcPr>
            <w:tcW w:type="auto" w:w="0"/>
            <w:shd w:val="clear" w:color="auto" w:fill="EEF2F6"/>
            <w:tcMar>
              <w:left w:type="dxa" w:w="200"/>
              <w:top w:type="dxa" w:w="200"/>
              <w:right w:type="dxa" w:w="200"/>
              <w:bottom w:type="dxa" w:w="200"/>
            </w:tcMar>
          </w:tcPr>
          <w:p>
            <w:pPr>
              <w:pStyle w:val="Para 024"/>
            </w:pPr>
            <w:r>
              <w:t>array.array.tostring()</w:t>
            </w:r>
            <w:r>
              <w:rPr>
                <w:rStyle w:val="Text12"/>
              </w:rPr>
              <w:t xml:space="preserve"> and </w:t>
            </w:r>
            <w:r>
              <w:t>fromstring()</w:t>
            </w:r>
            <w:r>
              <w:rPr>
                <w:rStyle w:val="Text12"/>
              </w:rPr>
              <w:t xml:space="preserve"> removed</w:t>
            </w:r>
          </w:p>
          <w:p>
            <w:pPr>
              <w:pStyle w:val="Para 024"/>
            </w:pPr>
            <w:r>
              <w:t>threading.Thread.isAlive()</w:t>
            </w:r>
            <w:r>
              <w:rPr>
                <w:rStyle w:val="Text12"/>
              </w:rPr>
              <w:t xml:space="preserve"> removed (use </w:t>
            </w:r>
            <w:r>
              <w:t>is_alive()</w:t>
            </w:r>
            <w:r>
              <w:rPr>
                <w:rStyle w:val="Text12"/>
              </w:rPr>
              <w:t xml:space="preserve"> instead)</w:t>
            </w:r>
          </w:p>
          <w:p>
            <w:pPr>
              <w:pStyle w:val="Para 024"/>
            </w:pPr>
            <w:r>
              <w:t>ElementTree</w:t>
            </w:r>
            <w:r>
              <w:rPr>
                <w:rStyle w:val="Text12"/>
              </w:rPr>
              <w:t xml:space="preserve"> and </w:t>
            </w:r>
            <w:r>
              <w:t>Element</w:t>
            </w:r>
            <w:r>
              <w:rPr>
                <w:rStyle w:val="Text12"/>
              </w:rPr>
              <w:t xml:space="preserve">’s </w:t>
            </w:r>
            <w:r>
              <w:t>getchildren()</w:t>
            </w:r>
            <w:r>
              <w:rPr>
                <w:rStyle w:val="Text12"/>
              </w:rPr>
              <w:t xml:space="preserve"> and </w:t>
            </w:r>
            <w:r>
              <w:t>getiterator()</w:t>
            </w:r>
            <w:r>
              <w:rPr>
                <w:rStyle w:val="Text12"/>
              </w:rPr>
              <w:t xml:space="preserve"> removed</w:t>
            </w:r>
          </w:p>
          <w:p>
            <w:pPr>
              <w:pStyle w:val="Para 024"/>
            </w:pPr>
            <w:r>
              <w:t>base64.encodestring()</w:t>
            </w:r>
            <w:r>
              <w:rPr>
                <w:rStyle w:val="Text12"/>
              </w:rPr>
              <w:t xml:space="preserve"> and </w:t>
            </w:r>
            <w:r>
              <w:t>decodestring()</w:t>
            </w:r>
            <w:r>
              <w:rPr>
                <w:rStyle w:val="Text12"/>
              </w:rPr>
              <w:t xml:space="preserve"> removed (use </w:t>
            </w:r>
            <w:r>
              <w:t>encodebytes()</w:t>
            </w:r>
            <w:r>
              <w:rPr>
                <w:rStyle w:val="Text12"/>
              </w:rPr>
              <w:t xml:space="preserve"> and </w:t>
            </w:r>
            <w:r>
              <w:t>decodebytes()</w:t>
            </w:r>
            <w:r>
              <w:rPr>
                <w:rStyle w:val="Text12"/>
              </w:rPr>
              <w:t xml:space="preserve"> instead)</w:t>
            </w:r>
          </w:p>
          <w:p>
            <w:pPr>
              <w:pStyle w:val="Para 024"/>
            </w:pPr>
            <w:r>
              <w:t>fractions.gcd()</w:t>
            </w:r>
            <w:r>
              <w:rPr>
                <w:rStyle w:val="Text12"/>
              </w:rPr>
              <w:t xml:space="preserve"> removed (use </w:t>
            </w:r>
            <w:r>
              <w:t>math.gcd()</w:t>
            </w:r>
            <w:r>
              <w:rPr>
                <w:rStyle w:val="Text12"/>
              </w:rPr>
              <w:t xml:space="preserve"> instead)</w:t>
            </w:r>
          </w:p>
          <w:p>
            <w:pPr>
              <w:pStyle w:val="Para 024"/>
            </w:pPr>
            <w:r>
              <w:t>typing.NamedTuple._fields</w:t>
            </w:r>
            <w:r>
              <w:rPr>
                <w:rStyle w:val="Text12"/>
              </w:rPr>
              <w:t xml:space="preserve"> removed (use </w:t>
            </w:r>
            <w:r>
              <w:t>__annotations__</w:t>
            </w:r>
            <w:r>
              <w:rPr>
                <w:rStyle w:val="Text12"/>
              </w:rPr>
              <w:t xml:space="preserve"> instead)</w:t>
            </w:r>
          </w:p>
        </w:tc>
      </w:tr>
    </w:tbl>
    <w:tbl>
      <w:tblPr>
        <w:tblW w:type="auto" w:w="0"/>
      </w:tblPr>
      <w:tr>
        <w:tc>
          <w:tcPr>
            <w:tcW w:type="auto" w:w="0"/>
            <w:tcMar>
              <w:left w:type="dxa" w:w="200"/>
              <w:top w:type="dxa" w:w="200"/>
              <w:right w:type="dxa" w:w="200"/>
              <w:bottom w:type="dxa" w:w="200"/>
            </w:tcMar>
          </w:tcPr>
          <w:p>
            <w:pPr>
              <w:pStyle w:val="Para 002"/>
            </w:pPr>
            <w:r>
              <w:t>3.10</w:t>
            </w:r>
          </w:p>
        </w:tc>
        <w:tc>
          <w:tcPr>
            <w:tcW w:type="auto" w:w="0"/>
            <w:tcMar>
              <w:left w:type="dxa" w:w="200"/>
              <w:top w:type="dxa" w:w="200"/>
              <w:right w:type="dxa" w:w="200"/>
              <w:bottom w:type="dxa" w:w="200"/>
            </w:tcMar>
          </w:tcPr>
          <w:p>
            <w:pPr>
              <w:pStyle w:val="Para 003"/>
            </w:pPr>
            <w:r>
              <w:rPr>
                <w:rStyle w:val="Text5"/>
              </w:rPr>
              <w:t>match</w:t>
            </w:r>
            <w:r>
              <w:t>/</w:t>
            </w:r>
            <w:r>
              <w:rPr>
                <w:rStyle w:val="Text5"/>
              </w:rPr>
              <w:t>case</w:t>
            </w:r>
            <w:r>
              <w:t xml:space="preserve"> structural pattern matching supported</w:t>
            </w:r>
          </w:p>
          <w:p>
            <w:pPr>
              <w:pStyle w:val="Para 003"/>
            </w:pPr>
            <w:r>
              <w:t xml:space="preserve">Writing union types as </w:t>
            </w:r>
            <w:r>
              <w:rPr>
                <w:rStyle w:val="Text0"/>
              </w:rPr>
              <w:t>X | Y</w:t>
            </w:r>
            <w:r>
              <w:t xml:space="preserve"> (in type annotations and as second argument to </w:t>
            </w:r>
            <w:r>
              <w:rPr>
                <w:rStyle w:val="Text0"/>
              </w:rPr>
              <w:t>isinstance()</w:t>
            </w:r>
            <w:r>
              <w:t>) allowed</w:t>
            </w:r>
          </w:p>
          <w:p>
            <w:pPr>
              <w:pStyle w:val="Para 003"/>
            </w:pPr>
            <w:r>
              <w:t xml:space="preserve">Optional </w:t>
            </w:r>
            <w:r>
              <w:rPr>
                <w:rStyle w:val="Text0"/>
              </w:rPr>
              <w:t>strict</w:t>
            </w:r>
            <w:r>
              <w:t xml:space="preserve"> argument added to </w:t>
            </w:r>
            <w:r>
              <w:rPr>
                <w:rStyle w:val="Text0"/>
              </w:rPr>
              <w:t>zip()</w:t>
            </w:r>
            <w:r>
              <w:t xml:space="preserve"> built-in to detect sequences of differing lengths</w:t>
            </w:r>
          </w:p>
          <w:p>
            <w:pPr>
              <w:pStyle w:val="Para 003"/>
            </w:pPr>
            <w:r>
              <w:t xml:space="preserve">Parenthesized context managers now officially supported; e.g., </w:t>
            </w:r>
            <w:r>
              <w:rPr>
                <w:rStyle w:val="Text5"/>
              </w:rPr>
              <w:t>with</w:t>
            </w:r>
            <w:r>
              <w:rPr>
                <w:rStyle w:val="Text0"/>
              </w:rPr>
              <w:t>(</w:t>
            </w:r>
            <w:r>
              <w:rPr>
                <w:rStyle w:val="Text3"/>
              </w:rPr>
              <w:t>ctxmgr</w:t>
            </w:r>
            <w:r>
              <w:rPr>
                <w:rStyle w:val="Text0"/>
              </w:rPr>
              <w:t>,</w:t>
            </w:r>
            <w:r>
              <w:t xml:space="preserve"> </w:t>
            </w:r>
            <w:r>
              <w:rPr>
                <w:rStyle w:val="Text3"/>
              </w:rPr>
              <w:t>ctxmgr</w:t>
            </w:r>
            <w:r>
              <w:rPr>
                <w:rStyle w:val="Text0"/>
              </w:rPr>
              <w:t>, ...):</w:t>
              <w:br w:clear="none"/>
            </w:r>
            <w:r>
              <w:t xml:space="preserve"> </w:t>
              <w:br w:clear="none"/>
              <w:t xml:space="preserve"> </w:t>
            </w:r>
            <w:r>
              <w:rPr>
                <w:rStyle w:val="Text4"/>
              </w:rPr>
              <w:t>Initial release: October 2021</w:t>
              <w:br w:clear="none"/>
            </w:r>
            <w:r>
              <w:t xml:space="preserve"> </w:t>
            </w:r>
            <w:r>
              <w:rPr>
                <w:rStyle w:val="Text4"/>
              </w:rPr>
              <w:t>Planned end of support: October 2026</w:t>
            </w:r>
          </w:p>
        </w:tc>
        <w:tc>
          <w:tcPr>
            <w:tcW w:type="auto" w:w="0"/>
            <w:tcMar>
              <w:left w:type="dxa" w:w="200"/>
              <w:top w:type="dxa" w:w="200"/>
              <w:right w:type="dxa" w:w="200"/>
              <w:bottom w:type="dxa" w:w="200"/>
            </w:tcMar>
          </w:tcPr>
          <w:p>
            <w:pPr>
              <w:pStyle w:val="Para 003"/>
            </w:pPr>
            <w:r>
              <w:t xml:space="preserve">Importing ABCs from </w:t>
            </w:r>
            <w:r>
              <w:rPr>
                <w:rStyle w:val="Text0"/>
              </w:rPr>
              <w:t>collections</w:t>
            </w:r>
            <w:r>
              <w:t xml:space="preserve"> removed (must now import from </w:t>
            </w:r>
            <w:r>
              <w:rPr>
                <w:rStyle w:val="Text0"/>
              </w:rPr>
              <w:t>collections.abc</w:t>
            </w:r>
            <w:r>
              <w:t>)</w:t>
            </w:r>
          </w:p>
          <w:p>
            <w:pPr>
              <w:pStyle w:val="Para 003"/>
            </w:pPr>
            <w:r>
              <w:rPr>
                <w:rStyle w:val="Text0"/>
              </w:rPr>
              <w:t>loop</w:t>
            </w:r>
            <w:r>
              <w:t xml:space="preserve"> parameter removed from most of </w:t>
            </w:r>
            <w:r>
              <w:rPr>
                <w:rStyle w:val="Text0"/>
              </w:rPr>
              <w:t>asyncio</w:t>
            </w:r>
            <w:r>
              <w:t>’s high-level API</w:t>
            </w:r>
          </w:p>
        </w:tc>
      </w:tr>
    </w:tbl>
    <w:tbl>
      <w:tblPr>
        <w:tblW w:type="auto" w:w="0"/>
      </w:tblPr>
      <w:tr>
        <w:tc>
          <w:tcPr>
            <w:tcW w:type="auto" w:w="0"/>
            <w:shd w:val="clear" w:color="auto" w:fill="EEF2F6"/>
            <w:tcMar>
              <w:left w:type="dxa" w:w="200"/>
              <w:top w:type="dxa" w:w="200"/>
              <w:right w:type="dxa" w:w="200"/>
              <w:bottom w:type="dxa" w:w="200"/>
            </w:tcMar>
          </w:tcPr>
          <w:p>
            <w:pPr>
              <w:pStyle w:val="Para 002"/>
            </w:pPr>
            <w:r>
              <w:t>3.11</w:t>
            </w:r>
          </w:p>
        </w:tc>
        <w:tc>
          <w:tcPr>
            <w:tcW w:type="auto" w:w="0"/>
            <w:shd w:val="clear" w:color="auto" w:fill="EEF2F6"/>
            <w:tcMar>
              <w:left w:type="dxa" w:w="200"/>
              <w:top w:type="dxa" w:w="200"/>
              <w:right w:type="dxa" w:w="200"/>
              <w:bottom w:type="dxa" w:w="200"/>
            </w:tcMar>
          </w:tcPr>
          <w:p>
            <w:pPr>
              <w:pStyle w:val="Para 003"/>
            </w:pPr>
            <w:r>
              <w:t>Improved error messages</w:t>
            </w:r>
          </w:p>
          <w:p>
            <w:pPr>
              <w:pStyle w:val="Para 003"/>
            </w:pPr>
            <w:r>
              <w:t>General performance boost</w:t>
            </w:r>
          </w:p>
          <w:p>
            <w:pPr>
              <w:pStyle w:val="Para 003"/>
            </w:pPr>
            <w:r>
              <w:t xml:space="preserve">Exception groups and </w:t>
            </w:r>
            <w:r>
              <w:rPr>
                <w:rStyle w:val="Text0"/>
              </w:rPr>
              <w:t>except*</w:t>
            </w:r>
            <w:r>
              <w:t xml:space="preserve"> added</w:t>
            </w:r>
          </w:p>
          <w:p>
            <w:pPr>
              <w:pStyle w:val="Para 003"/>
            </w:pPr>
            <w:r>
              <w:t>Typing classes added (</w:t>
            </w:r>
            <w:r>
              <w:rPr>
                <w:rStyle w:val="Text0"/>
              </w:rPr>
              <w:t>Never</w:t>
            </w:r>
            <w:r>
              <w:t xml:space="preserve">, </w:t>
            </w:r>
            <w:r>
              <w:rPr>
                <w:rStyle w:val="Text0"/>
              </w:rPr>
              <w:t>Self</w:t>
            </w:r>
            <w:r>
              <w:t>)</w:t>
            </w:r>
          </w:p>
          <w:p>
            <w:pPr>
              <w:pStyle w:val="Para 066"/>
            </w:pPr>
            <w:r>
              <w:rPr>
                <w:rStyle w:val="Text50"/>
              </w:rPr>
              <w:t>tomllib</w:t>
            </w:r>
            <w:r>
              <w:rPr>
                <w:rStyle w:val="Text4"/>
              </w:rPr>
              <w:t xml:space="preserve"> TOML parser added to stdlib</w:t>
              <w:br w:clear="none"/>
              <w:t xml:space="preserve"> </w:t>
              <w:br w:clear="none"/>
              <w:t xml:space="preserve"> </w:t>
            </w:r>
            <w:r>
              <w:t>Initial release: October 2022</w:t>
              <w:br w:clear="none"/>
            </w:r>
            <w:r>
              <w:rPr>
                <w:rStyle w:val="Text4"/>
              </w:rPr>
              <w:t xml:space="preserve"> </w:t>
            </w:r>
            <w:r>
              <w:t>Planned end of support: October 2027 (est.)</w:t>
            </w:r>
          </w:p>
        </w:tc>
        <w:tc>
          <w:tcPr>
            <w:tcW w:type="auto" w:w="0"/>
            <w:shd w:val="clear" w:color="auto" w:fill="EEF2F6"/>
            <w:tcMar>
              <w:left w:type="dxa" w:w="200"/>
              <w:top w:type="dxa" w:w="200"/>
              <w:right w:type="dxa" w:w="200"/>
              <w:bottom w:type="dxa" w:w="200"/>
            </w:tcMar>
          </w:tcPr>
          <w:p>
            <w:pPr>
              <w:pStyle w:val="Para 003"/>
            </w:pPr>
            <w:r>
              <w:rPr>
                <w:rStyle w:val="Text0"/>
              </w:rPr>
              <w:t>binhex</w:t>
            </w:r>
            <w:r>
              <w:t xml:space="preserve"> module removed</w:t>
            </w:r>
          </w:p>
          <w:p>
            <w:pPr>
              <w:pStyle w:val="Para 003"/>
            </w:pPr>
            <w:r>
              <w:rPr>
                <w:rStyle w:val="Text0"/>
              </w:rPr>
              <w:t>int</w:t>
            </w:r>
            <w:r>
              <w:t xml:space="preserve"> to </w:t>
            </w:r>
            <w:r>
              <w:rPr>
                <w:rStyle w:val="Text0"/>
              </w:rPr>
              <w:t>str</w:t>
            </w:r>
            <w:r>
              <w:t xml:space="preserve"> conversion restricted to 4,300 digits</w:t>
            </w:r>
            <w:r>
              <w:rPr>
                <w:rStyle w:val="Text111"/>
              </w:rPr>
              <w:bookmarkStart w:id="4500" w:name="idm45965162607984"/>
              <w:t/>
              <w:bookmarkEnd w:id="4500"/>
              <w:bookmarkStart w:id="4501" w:name="idm45965162606608"/>
              <w:t/>
              <w:bookmarkEnd w:id="4501"/>
              <w:bookmarkStart w:id="4502" w:name="idm45965162605232"/>
              <w:t/>
              <w:bookmarkEnd w:id="4502"/>
              <w:bookmarkStart w:id="4503" w:name="idm45965162603856"/>
              <w:t/>
              <w:bookmarkEnd w:id="4503"/>
            </w:r>
          </w:p>
        </w:tc>
      </w:tr>
    </w:tbl>
    <w:p>
      <w:bookmarkStart w:id="4504" w:name="Planning_a_Python_Version_Upgrad"/>
      <w:pPr>
        <w:keepNext/>
        <w:pStyle w:val="Heading 1"/>
      </w:pPr>
      <w:r>
        <w:t>Planning a Python Version Upgrade</w:t>
      </w:r>
      <w:bookmarkEnd w:id="4504"/>
    </w:p>
    <w:p>
      <w:pPr>
        <w:pStyle w:val="Normal"/>
      </w:pPr>
      <w:r>
        <w:t>Why</w:t>
      </w:r>
      <w:r>
        <w:rPr>
          <w:rStyle w:val="Text111"/>
        </w:rPr>
        <w:bookmarkStart w:id="4505" w:name="Pupgrade26"/>
        <w:t/>
        <w:bookmarkEnd w:id="4505"/>
        <w:bookmarkStart w:id="4506" w:name="upgrad26"/>
        <w:t/>
        <w:bookmarkEnd w:id="4506"/>
      </w:r>
      <w:r>
        <w:t xml:space="preserve"> upgrade in the first place? If you have a stable, running application, and a stable deployment environment, a reasonable decision might be to leave it alone. But version upgrades do come with benefits:</w:t>
      </w:r>
    </w:p>
    <w:p>
      <w:pPr>
        <w:pStyle w:val="Para 010"/>
      </w:pPr>
      <w:r>
        <w:t>New versions usually introduce new features, which may allow you to simplify code.</w:t>
      </w:r>
    </w:p>
    <w:p>
      <w:pPr>
        <w:pStyle w:val="Para 010"/>
      </w:pPr>
      <w:r>
        <w:t>Updated versions include bug fixes and refactorings, which can improve system stability and performance.</w:t>
      </w:r>
    </w:p>
    <w:p>
      <w:pPr>
        <w:pStyle w:val="Para 010"/>
      </w:pPr>
      <w:r>
        <w:t>Security vulnerabilities identified in an older version may be fixed in a new version.</w:t>
      </w:r>
      <w:hyperlink w:anchor="2_When_this_happens__it_is_usual">
        <w:r>
          <w:rPr>
            <w:rStyle w:val="Text41"/>
          </w:rPr>
          <w:bookmarkStart w:id="4507" w:name="2_20"/>
          <w:t>2</w:t>
          <w:bookmarkEnd w:id="4507"/>
        </w:r>
      </w:hyperlink>
    </w:p>
    <w:p>
      <w:pPr>
        <w:pStyle w:val="Normal"/>
      </w:pPr>
      <w:r>
        <w:t>Eventually, old Python versions fall out of support, and projects running on older versions become difficult to staff and more costly to maintain. Upgrading might then become a necessity.</w:t>
      </w:r>
    </w:p>
    <w:p>
      <w:bookmarkStart w:id="4508" w:name="Choosing_a_Target_Version__Befor"/>
      <w:pPr>
        <w:keepNext/>
        <w:pStyle w:val="Heading 2"/>
      </w:pPr>
      <w:r>
        <w:t>Choosing a Target Version</w:t>
      </w:r>
      <w:bookmarkEnd w:id="4508"/>
    </w:p>
    <w:p>
      <w:pPr>
        <w:pStyle w:val="Normal"/>
      </w:pPr>
      <w:r>
        <w:t>Before deciding which version to migrate to, sometimes you have to figure out first, “What version am I running now?” You may be unpleasantly surprised to find old software running unsupported Python versions lurking in your company’s systems. Often this happens when those systems depend on some third-party package that is itself behind in version upgrades, or does not have an upgrade available. The situation is even more dire when such a system is critical in some way for company operations. You may be able to isolate the lagging package behind a remote-access API, allowing that package to run on the old version while permitting your own code to safely upgrade. The presence of systems with these upgrade constraints must be made visible to senior management, so they can be advised of the risks and trade-offs of retaining, upgrading, isolating, or replacing.</w:t>
      </w:r>
    </w:p>
    <w:p>
      <w:pPr>
        <w:pStyle w:val="Normal"/>
      </w:pPr>
      <w:r>
        <w:t xml:space="preserve">The choice of target version often defaults to “whatever version is the most current.” This is a reasonable choice, as it is usually the most cost-effective option with respect to the investment involved in doing the upgrade: the most recent release will have the longest support period moving forward. A more conservative position might be “whatever version is the most current, minus 1.” You can be reasonably sure that version </w:t>
      </w:r>
      <w:r>
        <w:rPr>
          <w:rStyle w:val="Text4"/>
        </w:rPr>
        <w:t>N</w:t>
      </w:r>
      <w:r>
        <w:t>–1 has undergone some period of in-production testing at other companies, and someone else has shaken out most of the bugs.</w:t>
      </w:r>
    </w:p>
    <w:p>
      <w:bookmarkStart w:id="4509" w:name="Scoping_the_Work__After_you_have"/>
      <w:pPr>
        <w:keepNext/>
        <w:pStyle w:val="Heading 2"/>
      </w:pPr>
      <w:r>
        <w:t>Scoping the Work</w:t>
      </w:r>
      <w:bookmarkEnd w:id="4509"/>
    </w:p>
    <w:p>
      <w:pPr>
        <w:pStyle w:val="Normal"/>
      </w:pPr>
      <w:r>
        <w:t xml:space="preserve">After you have selected your target version of Python, identify all the breaking changes in the versions after the version your software is currently using, up to and including the target version (see the </w:t>
      </w:r>
      <w:hyperlink w:anchor="Appendix__New_Features_and_Chang_2">
        <w:r>
          <w:rPr>
            <w:rStyle w:val="Text1"/>
          </w:rPr>
          <w:t>Appendix</w:t>
        </w:r>
      </w:hyperlink>
      <w:r>
        <w:t xml:space="preserve"> for a detailed table of features and breaking changes by version; additional details can be found in the “What’s New in Python 3.</w:t>
      </w:r>
      <w:r>
        <w:rPr>
          <w:rStyle w:val="Text4"/>
        </w:rPr>
        <w:t>n</w:t>
      </w:r>
      <w:r>
        <w:t xml:space="preserve">” sections of the </w:t>
      </w:r>
      <w:hyperlink r:id="rId685">
        <w:r>
          <w:rPr>
            <w:rStyle w:val="Text1"/>
          </w:rPr>
          <w:t>online docs</w:t>
        </w:r>
      </w:hyperlink>
      <w:r>
        <w:t xml:space="preserve">). Breaking changes are usually documented with a compatible form that will work with both your current version and the target version. Document and communicate the source changes that development teams will need to make before upgrading. (There may be significantly more work than expected involved in moving directly to the selected target version, if a lot of your code is affected by breaking changes or compatibility issues with related software. You may even end up revisiting the choice of target version or considering smaller steps. Perhaps you’ll decide on upgrading to </w:t>
      </w:r>
      <w:r>
        <w:rPr>
          <w:rStyle w:val="Text4"/>
        </w:rPr>
        <w:t>target</w:t>
      </w:r>
      <w:r>
        <w:t xml:space="preserve">–1 as a first step and deferring the task of the upgrade to </w:t>
      </w:r>
      <w:r>
        <w:rPr>
          <w:rStyle w:val="Text4"/>
        </w:rPr>
        <w:t>target</w:t>
      </w:r>
      <w:r>
        <w:t xml:space="preserve"> or </w:t>
      </w:r>
      <w:r>
        <w:rPr>
          <w:rStyle w:val="Text4"/>
        </w:rPr>
        <w:t>target</w:t>
      </w:r>
      <w:r>
        <w:t>+1 for a subsequent upgrade project.)</w:t>
      </w:r>
    </w:p>
    <w:p>
      <w:pPr>
        <w:pStyle w:val="Normal"/>
      </w:pPr>
      <w:r>
        <w:t>Identify any third-party or open source libraries that your codebase uses, and ensure that they are compatible with (or have plans to be compatible with) the target Python version. Even if your own codebase is ready for upgrading to the target, an external library that lags behind may hold up your upgrade project. If necessary, you may be able to isolate such a library in a separate runtime environment (using virtual machines or container technologies), if that library offers a remote access programming interface.</w:t>
      </w:r>
    </w:p>
    <w:p>
      <w:pPr>
        <w:pStyle w:val="Normal"/>
      </w:pPr>
      <w:r>
        <w:t>Make the target Python version available in development environments, and optionally in deployment environments, so that developers can confirm that their upgrade changes are complete and correct.</w:t>
      </w:r>
    </w:p>
    <w:p>
      <w:bookmarkStart w:id="4510" w:name="Applying_the_Code_Changes__Once"/>
      <w:pPr>
        <w:keepNext/>
        <w:pStyle w:val="Heading 2"/>
      </w:pPr>
      <w:r>
        <w:t>Applying the Code Changes</w:t>
      </w:r>
      <w:bookmarkEnd w:id="4510"/>
    </w:p>
    <w:p>
      <w:pPr>
        <w:pStyle w:val="Normal"/>
      </w:pPr>
      <w:r>
        <w:t xml:space="preserve">Once you have decided on your target version and identified all the breaking changes, you’ll need to make changes in your codebase to make it compatible with the target version. Your goal, ideally, is to have the code in a form that is compatible with both the current </w:t>
      </w:r>
      <w:r>
        <w:rPr>
          <w:rStyle w:val="Text4"/>
        </w:rPr>
        <w:t>and</w:t>
      </w:r>
      <w:r>
        <w:t xml:space="preserve"> target Python versions.</w:t>
      </w:r>
    </w:p>
    <w:p>
      <w:pPr>
        <w:keepNext/>
        <w:pStyle w:val="Heading 5"/>
        <w:keepLines w:val="on"/>
      </w:pPr>
      <w:r>
        <w:t>Imports from __future__</w:t>
      </w:r>
    </w:p>
    <w:p>
      <w:pPr>
        <w:pStyle w:val="Para 012"/>
        <w:keepLines w:val="on"/>
      </w:pPr>
      <w:r>
        <w:rPr>
          <w:rStyle w:val="Text0"/>
        </w:rPr>
        <w:t>__future__</w:t>
      </w:r>
      <w:r>
        <w:t xml:space="preserve"> is</w:t>
      </w:r>
      <w:r>
        <w:rPr>
          <w:rStyle w:val="Text111"/>
        </w:rPr>
        <w:bookmarkStart w:id="4511" w:name="idm45965162578560"/>
        <w:t/>
        <w:bookmarkEnd w:id="4511"/>
        <w:bookmarkStart w:id="4512" w:name="idm45965162577424"/>
        <w:t/>
        <w:bookmarkEnd w:id="4512"/>
      </w:r>
      <w:r>
        <w:t xml:space="preserve"> a standard library module containing a variety of features, documented in the </w:t>
      </w:r>
      <w:hyperlink r:id="rId686">
        <w:r>
          <w:rPr>
            <w:rStyle w:val="Text1"/>
          </w:rPr>
          <w:t>online docs</w:t>
        </w:r>
      </w:hyperlink>
      <w:r>
        <w:t xml:space="preserve">, to ease migration between versions. It is unlike any other module, because importing features can affect the syntax, not just the semantics, of your program. Such imports </w:t>
      </w:r>
      <w:r>
        <w:rPr>
          <w:rStyle w:val="Text4"/>
        </w:rPr>
        <w:t>must</w:t>
      </w:r>
      <w:r>
        <w:t xml:space="preserve"> be the initial executable statements of your code.</w:t>
      </w:r>
    </w:p>
    <w:p>
      <w:pPr>
        <w:pStyle w:val="Para 012"/>
        <w:keepLines w:val="on"/>
      </w:pPr>
      <w:r>
        <w:t>Each “future feature” is activated using the statement:</w:t>
      </w:r>
    </w:p>
    <w:p>
      <w:pPr>
        <w:pStyle w:val="Para 117"/>
        <w:keepLines w:val="on"/>
      </w:pPr>
      <w:r>
        <w:rPr>
          <w:rStyle w:val="Text118"/>
        </w:rPr>
        <w:t xml:space="preserve"/>
        <w:br w:clear="none"/>
      </w:r>
      <w:r>
        <w:t xml:space="preserve">from</w:t>
        <w:br w:clear="none"/>
      </w:r>
      <w:r>
        <w:rPr>
          <w:rStyle w:val="Text29"/>
        </w:rPr>
        <w:t xml:space="preserve"> </w:t>
        <w:br w:clear="none"/>
      </w:r>
      <w:r>
        <w:rPr>
          <w:rStyle w:val="Text54"/>
        </w:rPr>
        <w:t xml:space="preserve">__future__</w:t>
        <w:br w:clear="none"/>
      </w:r>
      <w:r>
        <w:rPr>
          <w:rStyle w:val="Text29"/>
        </w:rPr>
        <w:t xml:space="preserve"> </w:t>
        <w:br w:clear="none"/>
      </w:r>
      <w:r>
        <w:t xml:space="preserve">import</w:t>
        <w:br w:clear="none"/>
      </w:r>
      <w:r>
        <w:rPr>
          <w:rStyle w:val="Text29"/>
        </w:rPr>
        <w:t xml:space="preserve"> </w:t>
        <w:br w:clear="none"/>
      </w:r>
      <w:r>
        <w:rPr>
          <w:rStyle w:val="Text69"/>
        </w:rPr>
        <w:t xml:space="preserve">feature</w:t>
        <w:br w:clear="none"/>
      </w:r>
    </w:p>
    <w:p>
      <w:pPr>
        <w:pStyle w:val="Para 012"/>
        <w:keepLines w:val="on"/>
      </w:pPr>
      <w:r>
        <w:t xml:space="preserve">where </w:t>
      </w:r>
      <w:r>
        <w:rPr>
          <w:rStyle w:val="Text3"/>
        </w:rPr>
        <w:t>feature</w:t>
      </w:r>
      <w:r>
        <w:t xml:space="preserve"> is the name of the feature you want to use.</w:t>
      </w:r>
    </w:p>
    <w:p>
      <w:pPr>
        <w:pStyle w:val="Para 012"/>
        <w:keepLines w:val="on"/>
      </w:pPr>
      <w:r>
        <w:t>In the span of versions this book covers, the only future feature you might consider using is:</w:t>
      </w:r>
    </w:p>
    <w:p>
      <w:pPr>
        <w:pStyle w:val="Para 070"/>
        <w:keepLines w:val="on"/>
      </w:pPr>
      <w:r>
        <w:rPr>
          <w:rStyle w:val="Text23"/>
        </w:rPr>
        <w:t xml:space="preserve"/>
        <w:br w:clear="none"/>
      </w:r>
      <w:r>
        <w:rPr>
          <w:rStyle w:val="Text10"/>
        </w:rPr>
        <w:t xml:space="preserve">from</w:t>
        <w:br w:clear="none"/>
      </w:r>
      <w:r>
        <w:rPr>
          <w:rStyle w:val="Text6"/>
        </w:rPr>
        <w:t xml:space="preserve"> </w:t>
        <w:br w:clear="none"/>
      </w:r>
      <w:r>
        <w:rPr>
          <w:rStyle w:val="Text20"/>
        </w:rPr>
        <w:t xml:space="preserve">__future__</w:t>
        <w:br w:clear="none"/>
      </w:r>
      <w:r>
        <w:rPr>
          <w:rStyle w:val="Text6"/>
        </w:rPr>
        <w:t xml:space="preserve"> </w:t>
        <w:br w:clear="none"/>
      </w:r>
      <w:r>
        <w:rPr>
          <w:rStyle w:val="Text10"/>
        </w:rPr>
        <w:t xml:space="preserve">import</w:t>
        <w:br w:clear="none"/>
      </w:r>
      <w:r>
        <w:rPr>
          <w:rStyle w:val="Text6"/>
        </w:rPr>
        <w:t xml:space="preserve"> </w:t>
        <w:br w:clear="none"/>
      </w:r>
      <w:r>
        <w:t xml:space="preserve">annotations</w:t>
        <w:br w:clear="none"/>
      </w:r>
    </w:p>
    <w:p>
      <w:pPr>
        <w:pStyle w:val="Para 012"/>
        <w:keepLines w:val="on"/>
      </w:pPr>
      <w:r>
        <w:t xml:space="preserve">which permits references to as-yet-undefined types without enclosing them in quotes (as covered in </w:t>
      </w:r>
      <w:hyperlink w:anchor="Chapter_5__Type_Annotations__Ann_2">
        <w:r>
          <w:rPr>
            <w:rStyle w:val="Text1"/>
          </w:rPr>
          <w:t>Chapter 5</w:t>
        </w:r>
      </w:hyperlink>
      <w:r>
        <w:t xml:space="preserve">). If your current version is Python 3.7 or later, then adding this </w:t>
      </w:r>
      <w:r>
        <w:rPr>
          <w:rStyle w:val="Text0"/>
        </w:rPr>
        <w:t>__future__</w:t>
      </w:r>
      <w:r>
        <w:t xml:space="preserve"> import will permit use of the unquoted types in type annotations, so you don’t have to redo them later.</w:t>
      </w:r>
    </w:p>
    <w:p>
      <w:pPr>
        <w:pStyle w:val="Normal"/>
      </w:pPr>
      <w:r>
        <w:t xml:space="preserve">Begin by reviewing libraries that are shared across multiple projects. Removing the blocking changes from these libraries will be a crucial first step, since you will be unable to deploy any dependent applications on the target version until this is done. Once a library is compatible with both versions, it can be deployed for use in the migration project. Moving forward, the library code must maintain compatibility with both the current Python version and the target version: shared libraries will likely be the </w:t>
      </w:r>
      <w:r>
        <w:rPr>
          <w:rStyle w:val="Text4"/>
        </w:rPr>
        <w:t>last</w:t>
      </w:r>
      <w:r>
        <w:t xml:space="preserve"> projects that will be able to utilize any new features of the target version.</w:t>
      </w:r>
    </w:p>
    <w:p>
      <w:pPr>
        <w:pStyle w:val="Normal"/>
      </w:pPr>
      <w:r>
        <w:t>Standalone applications will have earlier opportunities to use the new features in the target version. Once the application has removed all code affected by breaking changes, commit it to your source control system as a cross-version-compatible snapshot. Afterwards, you may add new features to the application code and deploy it into environments that support the target version.</w:t>
      </w:r>
    </w:p>
    <w:p>
      <w:pPr>
        <w:pStyle w:val="Normal"/>
      </w:pPr>
      <w:r>
        <w:t xml:space="preserve">If version compatibility changes affect type annotations, you can use </w:t>
      </w:r>
      <w:r>
        <w:rPr>
          <w:rStyle w:val="Text4"/>
        </w:rPr>
        <w:t>.pyi</w:t>
      </w:r>
      <w:r>
        <w:t xml:space="preserve"> stub files to isolate version-dependent typing from your source code.</w:t>
      </w:r>
    </w:p>
    <w:p>
      <w:bookmarkStart w:id="4513" w:name="Upgrade_Automation_Using_pyupgra"/>
      <w:pPr>
        <w:keepNext/>
        <w:pStyle w:val="Heading 2"/>
      </w:pPr>
      <w:r>
        <w:t>Upgrade Automation Using pyupgrade</w:t>
      </w:r>
      <w:bookmarkEnd w:id="4513"/>
    </w:p>
    <w:p>
      <w:pPr>
        <w:pStyle w:val="Normal"/>
      </w:pPr>
      <w:r>
        <w:t>You</w:t>
      </w:r>
      <w:r>
        <w:rPr>
          <w:rStyle w:val="Text111"/>
        </w:rPr>
        <w:bookmarkStart w:id="4514" w:name="idm45965162527328"/>
        <w:t/>
        <w:bookmarkEnd w:id="4514"/>
      </w:r>
      <w:r>
        <w:t xml:space="preserve"> may be able to automate much of the toil in upgrading your code using automation tools such as the </w:t>
      </w:r>
      <w:hyperlink r:id="rId687">
        <w:r>
          <w:rPr>
            <w:rStyle w:val="Text30"/>
          </w:rPr>
          <w:t>pyupgrade</w:t>
        </w:r>
      </w:hyperlink>
      <w:hyperlink r:id="rId687">
        <w:r>
          <w:rPr>
            <w:rStyle w:val="Text1"/>
          </w:rPr>
          <w:t xml:space="preserve"> package</w:t>
        </w:r>
      </w:hyperlink>
      <w:r>
        <w:t xml:space="preserve">. </w:t>
      </w:r>
      <w:r>
        <w:rPr>
          <w:rStyle w:val="Text0"/>
        </w:rPr>
        <w:t>pyupgrade</w:t>
      </w:r>
      <w:r>
        <w:t xml:space="preserve"> analyzes the</w:t>
      </w:r>
      <w:r>
        <w:rPr>
          <w:rStyle w:val="Text111"/>
        </w:rPr>
        <w:bookmarkStart w:id="4515" w:name="idm45965162505504"/>
        <w:t/>
        <w:bookmarkEnd w:id="4515"/>
        <w:bookmarkStart w:id="4516" w:name="idm45965162504496"/>
        <w:t/>
        <w:bookmarkEnd w:id="4516"/>
      </w:r>
      <w:r>
        <w:t xml:space="preserve"> abstract syntax tree (AST) returned by Python’s </w:t>
      </w:r>
      <w:r>
        <w:rPr>
          <w:rStyle w:val="Text0"/>
        </w:rPr>
        <w:t>ast.parse</w:t>
      </w:r>
      <w:r>
        <w:t xml:space="preserve"> function to locate issues and make corrections to your source code. You can select a specific target Python version using command-line switches.</w:t>
      </w:r>
    </w:p>
    <w:p>
      <w:pPr>
        <w:pStyle w:val="Normal"/>
      </w:pPr>
      <w:r>
        <w:t>Whenever</w:t>
      </w:r>
      <w:r>
        <w:rPr>
          <w:rStyle w:val="Text111"/>
        </w:rPr>
        <w:bookmarkStart w:id="4517" w:name="idm45965162502128"/>
        <w:t/>
        <w:bookmarkEnd w:id="4517"/>
        <w:bookmarkStart w:id="4518" w:name="idm45965162501024"/>
        <w:t/>
        <w:bookmarkEnd w:id="4518"/>
      </w:r>
      <w:r>
        <w:t xml:space="preserve"> you use automatic code conversion, review the output of the conversion process. A dynamic language like Python makes it impossible to perform a perfect translation; while testing helps, it can’t pick up all imperfections.</w:t>
      </w:r>
    </w:p>
    <w:p>
      <w:bookmarkStart w:id="4519" w:name="Multiversion_Testing__Make_sure"/>
      <w:pPr>
        <w:keepNext/>
        <w:pStyle w:val="Heading 2"/>
      </w:pPr>
      <w:r>
        <w:t>Multiversion Testing</w:t>
      </w:r>
      <w:bookmarkEnd w:id="4519"/>
    </w:p>
    <w:p>
      <w:pPr>
        <w:pStyle w:val="Normal"/>
      </w:pPr>
      <w:r>
        <w:t>Make</w:t>
      </w:r>
      <w:r>
        <w:rPr>
          <w:rStyle w:val="Text111"/>
        </w:rPr>
        <w:bookmarkStart w:id="4520" w:name="idm45965162497936"/>
        <w:t/>
        <w:bookmarkEnd w:id="4520"/>
        <w:bookmarkStart w:id="4521" w:name="idm45965162496528"/>
        <w:t/>
        <w:bookmarkEnd w:id="4521"/>
      </w:r>
      <w:r>
        <w:t xml:space="preserve"> sure that your tests cover as much of your project as possible, so that inter-version errors are likely to be picked up during testing. Aim for at least 80% testing coverage; much more than 90% can be difficult to achieve, so don’t spend too much effort trying to reach a too-ambitious standard. (</w:t>
      </w:r>
      <w:r>
        <w:rPr>
          <w:rStyle w:val="Text4"/>
        </w:rPr>
        <w:t>Mocks</w:t>
      </w:r>
      <w:r>
        <w:t xml:space="preserve">, mentioned in </w:t>
      </w:r>
      <w:hyperlink w:anchor="Unit_Testing_and_System_Testing">
        <w:r>
          <w:rPr>
            <w:rStyle w:val="Text1"/>
          </w:rPr>
          <w:t>“Unit Testing and System Testing”</w:t>
        </w:r>
      </w:hyperlink>
      <w:r>
        <w:t>, can help you increase the breadth of your unit testing coverage, if not the depth.)</w:t>
      </w:r>
    </w:p>
    <w:p>
      <w:pPr>
        <w:pStyle w:val="Normal"/>
      </w:pPr>
      <w:r>
        <w:t xml:space="preserve">The </w:t>
      </w:r>
      <w:hyperlink r:id="rId688">
        <w:r>
          <w:rPr>
            <w:rStyle w:val="Text1"/>
          </w:rPr>
          <w:t>tox package</w:t>
        </w:r>
      </w:hyperlink>
      <w:r>
        <w:t xml:space="preserve"> is useful to help you manage and test </w:t>
        <w:t>multiversion</w:t>
        <w:t xml:space="preserve"> code. It lets you test your code under a number of different virtual environments, and it supports multiple CPython versions, as well as PyPy.</w:t>
      </w:r>
    </w:p>
    <w:p>
      <w:bookmarkStart w:id="4522" w:name="Use_a_Controlled_Deployment_Proc"/>
      <w:pPr>
        <w:keepNext/>
        <w:pStyle w:val="Heading 2"/>
      </w:pPr>
      <w:r>
        <w:t>Use a Controlled Deployment Process</w:t>
      </w:r>
      <w:bookmarkEnd w:id="4522"/>
    </w:p>
    <w:p>
      <w:pPr>
        <w:pStyle w:val="Normal"/>
      </w:pPr>
      <w:r>
        <w:t>Make</w:t>
      </w:r>
      <w:r>
        <w:rPr>
          <w:rStyle w:val="Text111"/>
        </w:rPr>
        <w:bookmarkStart w:id="4523" w:name="idm45965162490208"/>
        <w:t/>
        <w:bookmarkEnd w:id="4523"/>
        <w:bookmarkStart w:id="4524" w:name="idm45965162489072"/>
        <w:t/>
        <w:bookmarkEnd w:id="4524"/>
      </w:r>
      <w:r>
        <w:t xml:space="preserve"> the target Python version available in deployment environments, with an application environment setting to indicate whether an application should run using the current or target Python version. Continuously track, and periodically report, the completion percentage to your management team.</w:t>
      </w:r>
    </w:p>
    <w:p>
      <w:bookmarkStart w:id="4525" w:name="How_Often_Should_You_Upgrade___T"/>
      <w:pPr>
        <w:keepNext/>
        <w:pStyle w:val="Heading 2"/>
      </w:pPr>
      <w:r>
        <w:t>How Often Should You Upgrade?</w:t>
      </w:r>
      <w:bookmarkEnd w:id="4525"/>
    </w:p>
    <w:p>
      <w:pPr>
        <w:pStyle w:val="Normal"/>
      </w:pPr>
      <w:r>
        <w:t>The PSF releases Python on a minor-release-per-year cadence, with each version enjoying five years of support after release. If you apply a latest-release-minus-1 strategy, it provides you with a stable, proven version to migrate to, with a four-year support horizon (in case a future upgrade needs to be deferred). Given the four-year time window, doing upgrades to the latest release minus 1 every year or two should provide a reasonable balance of periodic upgrade cost and platform stability.</w:t>
      </w:r>
      <w:r>
        <w:rPr>
          <w:rStyle w:val="Text111"/>
        </w:rPr>
        <w:bookmarkStart w:id="4526" w:name="idm45965162486000"/>
        <w:t/>
        <w:bookmarkEnd w:id="4526"/>
        <w:bookmarkStart w:id="4527" w:name="idm45965162484624"/>
        <w:t/>
        <w:bookmarkEnd w:id="4527"/>
      </w:r>
    </w:p>
    <w:p>
      <w:bookmarkStart w:id="4528" w:name="Summary__Maintaining_the_version"/>
      <w:pPr>
        <w:keepNext/>
        <w:pStyle w:val="Heading 1"/>
      </w:pPr>
      <w:r>
        <w:t>Summary</w:t>
      </w:r>
      <w:bookmarkEnd w:id="4528"/>
    </w:p>
    <w:p>
      <w:pPr>
        <w:pStyle w:val="Normal"/>
      </w:pPr>
      <w:r>
        <w:t>Maintaining the version currency of the software that your organization’s systems depend on is an ongoing habit of proper “software hygiene,” in Python just like in any other development stack. By performing regular upgrades of just one or two versions at a time, you can keep this work at a steady and manageable level, and it will become a recognized and valued activity in your organization.</w:t>
      </w:r>
      <w:r>
        <w:rPr>
          <w:rStyle w:val="Text111"/>
        </w:rPr>
        <w:bookmarkStart w:id="4529" w:name="idm45965162481520"/>
        <w:t/>
        <w:bookmarkEnd w:id="4529"/>
        <w:bookmarkStart w:id="4530" w:name="idm45965162480144"/>
        <w:t/>
        <w:bookmarkEnd w:id="4530"/>
      </w:r>
    </w:p>
    <w:p>
      <w:bookmarkStart w:id="4531" w:name="1_While_Python_3_6_is_outside_th"/>
      <w:pPr>
        <w:pStyle w:val="Para 035"/>
      </w:pPr>
      <w:hyperlink w:anchor="1_25">
        <w:r>
          <w:rPr>
            <w:rStyle w:val="Text1"/>
          </w:rPr>
          <w:t>1</w:t>
        </w:r>
      </w:hyperlink>
      <w:r>
        <w:t xml:space="preserve"> While Python 3.6 is outside the range of versions covered in this book, it introduced some significant new features, and we include it here for historical context.</w:t>
      </w:r>
      <w:bookmarkEnd w:id="4531"/>
    </w:p>
    <w:p>
      <w:bookmarkStart w:id="4532" w:name="2_When_this_happens__it_is_usual"/>
      <w:pPr>
        <w:pStyle w:val="Para 015"/>
      </w:pPr>
      <w:hyperlink w:anchor="2_20">
        <w:r>
          <w:rPr>
            <w:rStyle w:val="Text1"/>
          </w:rPr>
          <w:t>2</w:t>
        </w:r>
      </w:hyperlink>
      <w:r>
        <w:t xml:space="preserve"> When this happens, it is usually an “all hands on deck” emergency situation to do the upgrade in a hurry. These events are the very ones you are trying to avoid, or at least minimize, by implementing a steady and ongoing Python version upgrade program.</w:t>
      </w:r>
      <w:bookmarkEnd w:id="4532"/>
    </w:p>
    <w:p>
      <w:bookmarkStart w:id="4533" w:name="Top_of_app01_html"/>
      <w:bookmarkStart w:id="4534" w:name="Appendix__New_Features_and_Chang_2"/>
      <w:bookmarkStart w:id="4535" w:name="Appendix__New_Features_and_Chang_1"/>
      <w:bookmarkStart w:id="4536" w:name="Appendix__New_Features_and_Chang"/>
      <w:pPr>
        <w:keepNext/>
        <w:pStyle w:val="Heading 1"/>
        <w:pageBreakBefore w:val="on"/>
      </w:pPr>
      <w:r>
        <w:t xml:space="preserve">Appendix. </w:t>
        <w:t>New Features and Changes in Python 3.7 Through 3.11</w:t>
      </w:r>
      <w:bookmarkEnd w:id="4533"/>
      <w:bookmarkEnd w:id="4534"/>
      <w:bookmarkEnd w:id="4535"/>
      <w:bookmarkEnd w:id="4536"/>
    </w:p>
    <w:p>
      <w:pPr>
        <w:pStyle w:val="Normal"/>
      </w:pPr>
      <w:r>
        <w:t>The</w:t>
      </w:r>
      <w:r>
        <w:rPr>
          <w:rStyle w:val="Text111"/>
        </w:rPr>
        <w:bookmarkStart w:id="4537" w:name="sigch27"/>
        <w:t/>
        <w:bookmarkEnd w:id="4537"/>
        <w:bookmarkStart w:id="4538" w:name="updt27"/>
        <w:t/>
        <w:bookmarkEnd w:id="4538"/>
        <w:bookmarkStart w:id="4539" w:name="Psigch27"/>
        <w:t/>
        <w:bookmarkEnd w:id="4539"/>
        <w:bookmarkStart w:id="4540" w:name="Rnewfeat27"/>
        <w:t/>
        <w:bookmarkEnd w:id="4540"/>
        <w:bookmarkStart w:id="4541" w:name="nfvers27"/>
        <w:t/>
        <w:bookmarkEnd w:id="4541"/>
      </w:r>
      <w:r>
        <w:t xml:space="preserve"> following tables enumerate language and standard library changes in Python versions 3.7 through 3.11 that are most likely to be found in Python code. Use these tables to plan your upgrade strategy, as constrained by your exposure to breaking changes in your codebase.</w:t>
      </w:r>
    </w:p>
    <w:p>
      <w:pPr>
        <w:keepNext/>
        <w:pStyle w:val="Heading 5"/>
        <w:keepLines w:val="on"/>
      </w:pPr>
      <w:r>
        <w:t>Settings for Online Reading</w:t>
      </w:r>
    </w:p>
    <w:p>
      <w:pPr>
        <w:pStyle w:val="Para 012"/>
        <w:keepLines w:val="on"/>
      </w:pPr>
      <w:r>
        <w:t xml:space="preserve">To better view these tables you may need to reduce the font size in the settings of your device or content viewer. </w:t>
      </w:r>
    </w:p>
    <w:p>
      <w:pPr>
        <w:pStyle w:val="Normal"/>
      </w:pPr>
      <w:r>
        <w:t>The following types of changes are considered to be</w:t>
      </w:r>
      <w:r>
        <w:rPr>
          <w:rStyle w:val="Text111"/>
        </w:rPr>
        <w:bookmarkStart w:id="4542" w:name="idm45965162466416"/>
        <w:t/>
        <w:bookmarkEnd w:id="4542"/>
      </w:r>
      <w:r>
        <w:t xml:space="preserve"> “breaking” and are marked with a </w:t>
      </w:r>
      <w:r>
        <w:rPr>
          <w:rStyle w:val="Text37"/>
        </w:rPr>
        <w:t>!</w:t>
      </w:r>
      <w:r>
        <w:t xml:space="preserve"> symbol in the last column:</w:t>
      </w:r>
    </w:p>
    <w:p>
      <w:pPr>
        <w:pStyle w:val="Para 010"/>
      </w:pPr>
      <w:r>
        <w:t>Introduces new keywords or built-ins (which may clash with names used in existing Python source code)</w:t>
      </w:r>
    </w:p>
    <w:p>
      <w:pPr>
        <w:pStyle w:val="Para 010"/>
      </w:pPr>
      <w:r>
        <w:t>Removes a method from a stdlib module or built-in type</w:t>
      </w:r>
    </w:p>
    <w:p>
      <w:pPr>
        <w:pStyle w:val="Para 010"/>
      </w:pPr>
      <w:r>
        <w:t>Changes a built-in or stdlib method signature in a way that is not backward-compatible (such as removing a parameter, or renaming a named parameter)</w:t>
      </w:r>
    </w:p>
    <w:p>
      <w:pPr>
        <w:pStyle w:val="Normal"/>
      </w:pPr>
      <w:r>
        <w:t xml:space="preserve">New warnings (including </w:t>
      </w:r>
      <w:r>
        <w:rPr>
          <w:rStyle w:val="Text0"/>
        </w:rPr>
        <w:t>DeprecatedWarning</w:t>
      </w:r>
      <w:r>
        <w:t xml:space="preserve">) are also shown as “breaking,” but marked with a </w:t>
      </w:r>
      <w:r>
        <w:rPr>
          <w:rStyle w:val="Text37"/>
        </w:rPr>
        <w:t>*</w:t>
      </w:r>
      <w:r>
        <w:t xml:space="preserve"> symbol in the last column.</w:t>
      </w:r>
    </w:p>
    <w:p>
      <w:pPr>
        <w:pStyle w:val="Normal"/>
      </w:pPr>
      <w:r>
        <w:t xml:space="preserve">Also see the table of proposed deprecations and removals from the standard library (“dead batteries”) in </w:t>
      </w:r>
      <w:hyperlink r:id="rId689">
        <w:r>
          <w:rPr>
            <w:rStyle w:val="Text1"/>
          </w:rPr>
          <w:t>PEP 594</w:t>
        </w:r>
      </w:hyperlink>
      <w:r>
        <w:t>, which lists modules that are slated for deprecation or removal, the versions in which these changes are scheduled to be made (beginning with Python 3.12), and recommended replacements.</w:t>
      </w:r>
    </w:p>
    <w:p>
      <w:bookmarkStart w:id="4543" w:name="Python_3_7__The_following_table"/>
      <w:pPr>
        <w:keepNext/>
        <w:pStyle w:val="Heading 1"/>
      </w:pPr>
      <w:r>
        <w:t>Python 3.7</w:t>
      </w:r>
      <w:bookmarkEnd w:id="4543"/>
    </w:p>
    <w:p>
      <w:pPr>
        <w:pStyle w:val="Normal"/>
      </w:pPr>
      <w:r>
        <w:t xml:space="preserve">The following table summarizes changes in Python version 3.7. For further details, see “What’s New in Python 3.7” in the </w:t>
      </w:r>
      <w:hyperlink r:id="rId690">
        <w:r>
          <w:rPr>
            <w:rStyle w:val="Text1"/>
          </w:rPr>
          <w:t>online docs</w:t>
        </w:r>
      </w:hyperlink>
      <w:r>
        <w:t>.</w:t>
      </w:r>
    </w:p>
    <w:tbl>
      <w:tblPr>
        <w:tblW w:type="auto" w:w="0"/>
      </w:tblPr>
      <w:tr>
        <w:tc>
          <w:tcPr>
            <w:tcW w:type="auto" w:w="0"/>
            <w:tcMar>
              <w:left w:type="dxa" w:w="200"/>
              <w:top w:type="dxa" w:w="200"/>
              <w:right w:type="dxa" w:w="200"/>
              <w:bottom w:type="dxa" w:w="200"/>
            </w:tcMar>
            <w:vAlign w:val="center"/>
          </w:tcPr>
          <w:p>
            <w:pPr>
              <w:pStyle w:val="Para 119"/>
            </w:pPr>
            <w:r>
              <w:t/>
            </w:r>
          </w:p>
          <w:p>
            <w:pPr>
              <w:pStyle w:val="Para 013"/>
            </w:pPr>
            <w:r>
              <w:t>Python 3.7</w:t>
            </w:r>
          </w:p>
        </w:tc>
        <w:tc>
          <w:tcPr>
            <w:tcW w:type="auto" w:w="0"/>
            <w:tcMar>
              <w:left w:type="dxa" w:w="200"/>
              <w:top w:type="dxa" w:w="200"/>
              <w:right w:type="dxa" w:w="200"/>
              <w:bottom w:type="dxa" w:w="200"/>
            </w:tcMar>
            <w:vAlign w:val="center"/>
          </w:tcPr>
          <w:p>
            <w:pPr>
              <w:pStyle w:val="Para 013"/>
            </w:pPr>
            <w:r>
              <w:t>Added</w:t>
            </w:r>
          </w:p>
        </w:tc>
        <w:tc>
          <w:tcPr>
            <w:tcW w:type="auto" w:w="0"/>
            <w:tcMar>
              <w:left w:type="dxa" w:w="200"/>
              <w:top w:type="dxa" w:w="200"/>
              <w:right w:type="dxa" w:w="200"/>
              <w:bottom w:type="dxa" w:w="200"/>
            </w:tcMar>
            <w:vAlign w:val="center"/>
          </w:tcPr>
          <w:p>
            <w:pPr>
              <w:pStyle w:val="Para 013"/>
            </w:pPr>
            <w:r>
              <w:t>Deprecated</w:t>
            </w:r>
          </w:p>
        </w:tc>
        <w:tc>
          <w:tcPr>
            <w:tcW w:type="auto" w:w="0"/>
            <w:tcMar>
              <w:left w:type="dxa" w:w="200"/>
              <w:top w:type="dxa" w:w="200"/>
              <w:right w:type="dxa" w:w="200"/>
              <w:bottom w:type="dxa" w:w="200"/>
            </w:tcMar>
            <w:vAlign w:val="center"/>
          </w:tcPr>
          <w:p>
            <w:pPr>
              <w:pStyle w:val="Para 013"/>
            </w:pPr>
            <w:r>
              <w:t>Removed</w:t>
            </w:r>
          </w:p>
        </w:tc>
        <w:tc>
          <w:tcPr>
            <w:tcW w:type="auto" w:w="0"/>
            <w:tcMar>
              <w:left w:type="dxa" w:w="200"/>
              <w:top w:type="dxa" w:w="200"/>
              <w:right w:type="dxa" w:w="200"/>
              <w:bottom w:type="dxa" w:w="200"/>
            </w:tcMar>
            <w:vAlign w:val="center"/>
          </w:tcPr>
          <w:p>
            <w:pPr>
              <w:pStyle w:val="Para 013"/>
            </w:pPr>
            <w:r>
              <w:t>Breaking change</w:t>
            </w:r>
          </w:p>
        </w:tc>
      </w:tr>
    </w:tbl>
    <w:tbl>
      <w:tblPr>
        <w:tblW w:type="auto" w:w="0"/>
      </w:tblPr>
      <w:tr>
        <w:tc>
          <w:tcPr>
            <w:tcW w:type="auto" w:w="0"/>
            <w:tcMar>
              <w:left w:type="dxa" w:w="200"/>
              <w:top w:type="dxa" w:w="200"/>
              <w:right w:type="dxa" w:w="200"/>
              <w:bottom w:type="dxa" w:w="200"/>
            </w:tcMar>
          </w:tcPr>
          <w:p>
            <w:pPr>
              <w:pStyle w:val="Para 002"/>
            </w:pPr>
            <w:r>
              <w:t>Functions accept &gt; 255 arguments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argparse.ArgumentParser.parse_intermixed_args()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ast.literal_eval()</w:t>
            </w:r>
            <w:r>
              <w:t xml:space="preserve"> no longer evaluates addition and subtraction</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5"/>
              </w:rPr>
              <w:t>async</w:t>
            </w:r>
            <w:r>
              <w:t xml:space="preserve"> and </w:t>
            </w:r>
            <w:r>
              <w:rPr>
                <w:rStyle w:val="Text5"/>
              </w:rPr>
              <w:t>await</w:t>
            </w:r>
            <w:r>
              <w:t xml:space="preserve"> become reserved language keywords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asyncio.all_tasks()</w:t>
            </w:r>
            <w:r>
              <w:rPr>
                <w:rStyle w:val="Text12"/>
              </w:rPr>
              <w:t>,</w:t>
              <w:br w:clear="none"/>
              <w:t xml:space="preserve"> </w:t>
            </w:r>
            <w:r>
              <w:t>asyncio.create_task()</w:t>
            </w:r>
            <w:r>
              <w:rPr>
                <w:rStyle w:val="Text12"/>
              </w:rPr>
              <w:t>,</w:t>
              <w:br w:clear="none"/>
              <w:t xml:space="preserve"> </w:t>
            </w:r>
            <w:r>
              <w:t>asyncio.current_task()</w:t>
            </w:r>
            <w:r>
              <w:rPr>
                <w:rStyle w:val="Text12"/>
              </w:rPr>
              <w:t>,</w:t>
              <w:br w:clear="none"/>
              <w:t xml:space="preserve"> </w:t>
            </w:r>
            <w:r>
              <w:t>asyncio.get_running_loop()</w:t>
            </w:r>
            <w:r>
              <w:rPr>
                <w:rStyle w:val="Text12"/>
              </w:rPr>
              <w:t>,</w:t>
              <w:br w:clear="none"/>
              <w:t xml:space="preserve"> </w:t>
            </w:r>
            <w:r>
              <w:t>asyncio.Future.get_loop()</w:t>
            </w:r>
            <w:r>
              <w:rPr>
                <w:rStyle w:val="Text12"/>
              </w:rPr>
              <w:t>,</w:t>
              <w:br w:clear="none"/>
              <w:t xml:space="preserve"> </w:t>
            </w:r>
            <w:r>
              <w:t>asyncio.Handle.cancelled()</w:t>
            </w:r>
            <w:r>
              <w:rPr>
                <w:rStyle w:val="Text12"/>
              </w:rPr>
              <w:t>,</w:t>
              <w:br w:clear="none"/>
              <w:t xml:space="preserve"> </w:t>
            </w:r>
            <w:r>
              <w:t>asyncio.loop.sock_recv_into()</w:t>
            </w:r>
            <w:r>
              <w:rPr>
                <w:rStyle w:val="Text12"/>
              </w:rPr>
              <w:t>,</w:t>
              <w:br w:clear="none"/>
              <w:t xml:space="preserve"> </w:t>
            </w:r>
            <w:r>
              <w:t>asyncio.loop.sock_sendfile()</w:t>
            </w:r>
            <w:r>
              <w:rPr>
                <w:rStyle w:val="Text12"/>
              </w:rPr>
              <w:t>,</w:t>
              <w:br w:clear="none"/>
              <w:t xml:space="preserve"> </w:t>
            </w:r>
            <w:r>
              <w:t>asyncio.loop.start_tls()</w:t>
            </w:r>
            <w:r>
              <w:rPr>
                <w:rStyle w:val="Text12"/>
              </w:rPr>
              <w:t>,</w:t>
              <w:br w:clear="none"/>
              <w:t xml:space="preserve"> </w:t>
            </w:r>
            <w:r>
              <w:t>asyncio.ReadTransport.is_reading()</w:t>
            </w:r>
            <w:r>
              <w:rPr>
                <w:rStyle w:val="Text12"/>
              </w:rPr>
              <w:t>,</w:t>
              <w:br w:clear="none"/>
              <w:t xml:space="preserve"> </w:t>
            </w:r>
            <w:r>
              <w:t>asyncio.Server.is_serving()</w:t>
            </w:r>
            <w:r>
              <w:rPr>
                <w:rStyle w:val="Text12"/>
              </w:rPr>
              <w:t>,</w:t>
              <w:br w:clear="none"/>
              <w:t xml:space="preserve"> </w:t>
            </w:r>
            <w:r>
              <w:t>asyncio.Server.get_loop()</w:t>
            </w:r>
            <w:r>
              <w:rPr>
                <w:rStyle w:val="Text12"/>
              </w:rPr>
              <w:t>,</w:t>
              <w:br w:clear="none"/>
              <w:t xml:space="preserve"> </w:t>
            </w:r>
            <w:r>
              <w:t>asyncio.Task.get_loop()</w:t>
            </w:r>
            <w:r>
              <w:rPr>
                <w:rStyle w:val="Text12"/>
              </w:rPr>
              <w:t>,</w:t>
              <w:br w:clear="none"/>
              <w:t xml:space="preserve"> </w:t>
            </w:r>
            <w:r>
              <w:t>asyncio.run()</w:t>
            </w:r>
            <w:r>
              <w:rPr>
                <w:rStyle w:val="Text12"/>
              </w:rPr>
              <w:t xml:space="preserve"> (provisional)</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asyncio.Server</w:t>
            </w:r>
            <w:r>
              <w:t xml:space="preserve"> is an async context manager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asyncio.loop.call_soon()</w:t>
            </w:r>
            <w:r>
              <w:rPr>
                <w:rStyle w:val="Text12"/>
              </w:rPr>
              <w:t>,</w:t>
              <w:br w:clear="none"/>
              <w:t xml:space="preserve"> </w:t>
            </w:r>
            <w:r>
              <w:t>asyncio.loop.call_soon_threadsafe()</w:t>
            </w:r>
            <w:r>
              <w:rPr>
                <w:rStyle w:val="Text12"/>
              </w:rPr>
              <w:t>,</w:t>
              <w:br w:clear="none"/>
              <w:t xml:space="preserve"> </w:t>
            </w:r>
            <w:r>
              <w:t>asyncio.loop.call_later()</w:t>
            </w:r>
            <w:r>
              <w:rPr>
                <w:rStyle w:val="Text12"/>
              </w:rPr>
              <w:t>,</w:t>
              <w:br w:clear="none"/>
              <w:t xml:space="preserve"> </w:t>
            </w:r>
            <w:r>
              <w:t>asyncio.loop.call_at()</w:t>
            </w:r>
            <w:r>
              <w:rPr>
                <w:rStyle w:val="Text12"/>
              </w:rPr>
              <w:t>, and</w:t>
              <w:br w:clear="none"/>
              <w:t xml:space="preserve"> </w:t>
            </w:r>
            <w:r>
              <w:t>asyncio.Future.add_done_callback()</w:t>
            </w:r>
            <w:r>
              <w:rPr>
                <w:rStyle w:val="Text12"/>
              </w:rPr>
              <w:t xml:space="preserve"> all accept optional named </w:t>
            </w:r>
            <w:r>
              <w:t>context</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asyncio.loop.create_server()</w:t>
            </w:r>
            <w:r>
              <w:rPr>
                <w:rStyle w:val="Text12"/>
              </w:rPr>
              <w:t>,</w:t>
              <w:br w:clear="none"/>
              <w:t xml:space="preserve"> </w:t>
            </w:r>
            <w:r>
              <w:t>asyncio.loop.create_unix_server()</w:t>
            </w:r>
            <w:r>
              <w:rPr>
                <w:rStyle w:val="Text12"/>
              </w:rPr>
              <w:t>,</w:t>
              <w:br w:clear="none"/>
              <w:t xml:space="preserve"> </w:t>
            </w:r>
            <w:r>
              <w:t>asyncio.Server.start_serving()</w:t>
            </w:r>
            <w:r>
              <w:rPr>
                <w:rStyle w:val="Text12"/>
              </w:rPr>
              <w:t>,</w:t>
              <w:br w:clear="none"/>
              <w:t xml:space="preserve"> and </w:t>
            </w:r>
            <w:r>
              <w:t>asyncio.Server.serve_forever()</w:t>
            </w:r>
            <w:r>
              <w:rPr>
                <w:rStyle w:val="Text12"/>
              </w:rPr>
              <w:t xml:space="preserve"> all accept optional named </w:t>
            </w:r>
            <w:r>
              <w:t>start_serving</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asyncio.Task.current_task()</w:t>
            </w:r>
            <w:r>
              <w:rPr>
                <w:rStyle w:val="Text12"/>
              </w:rPr>
              <w:t xml:space="preserve"> and</w:t>
              <w:br w:clear="none"/>
              <w:t xml:space="preserve"> </w:t>
            </w:r>
            <w:r>
              <w:t>asyncio.Task.all_tasks()</w:t>
            </w:r>
            <w:r>
              <w:rPr>
                <w:rStyle w:val="Text12"/>
              </w:rPr>
              <w:t xml:space="preserve"> are deprecated; use </w:t>
            </w:r>
            <w:r>
              <w:t>asyncio.current_task()</w:t>
            </w:r>
            <w:r>
              <w:rPr>
                <w:rStyle w:val="Text12"/>
              </w:rPr>
              <w:t xml:space="preserve"> and</w:t>
              <w:br w:clear="none"/>
              <w:t xml:space="preserve"> </w:t>
            </w:r>
            <w:r>
              <w:t>asyncio.all_tasks()</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binascii.b2a_uu()</w:t>
            </w:r>
            <w:r>
              <w:rPr>
                <w:rStyle w:val="Text12"/>
              </w:rPr>
              <w:t xml:space="preserve"> accepts named </w:t>
            </w:r>
            <w:r>
              <w:t>backtick</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bool()</w:t>
            </w:r>
            <w:r>
              <w:t xml:space="preserve"> constructor no longer accepts a named argument (positional only)</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breakpoint()</w:t>
            </w:r>
            <w:r>
              <w:t xml:space="preserve"> built-in function</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bytearray.isascii()</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bytes.isascii()</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collections.namedtuple</w:t>
            </w:r>
            <w:r>
              <w:t xml:space="preserve"> supports default values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concurrent.Futures.ProcessPoolExecutor</w:t>
            </w:r>
            <w:r>
              <w:rPr>
                <w:rStyle w:val="Text12"/>
              </w:rPr>
              <w:t xml:space="preserve"> and </w:t>
            </w:r>
            <w:r>
              <w:t>concurrent.Futures.ThreadPoolExecutor</w:t>
            </w:r>
            <w:r>
              <w:rPr>
                <w:rStyle w:val="Text12"/>
              </w:rPr>
              <w:t xml:space="preserve"> constructors accept optional </w:t>
            </w:r>
            <w:r>
              <w:t>initializer</w:t>
            </w:r>
            <w:r>
              <w:rPr>
                <w:rStyle w:val="Text12"/>
              </w:rPr>
              <w:t xml:space="preserve"> and</w:t>
              <w:br w:clear="none"/>
              <w:t xml:space="preserve"> </w:t>
            </w:r>
            <w:r>
              <w:t>initargs</w:t>
            </w:r>
            <w:r>
              <w:rPr>
                <w:rStyle w:val="Text12"/>
              </w:rPr>
              <w:t xml:space="preserve"> arguments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contextlib.AbstractAsyncContextManager</w:t>
            </w:r>
            <w:r>
              <w:rPr>
                <w:rStyle w:val="Text12"/>
              </w:rPr>
              <w:t>,</w:t>
              <w:br w:clear="none"/>
              <w:t xml:space="preserve"> </w:t>
            </w:r>
            <w:r>
              <w:t>contextlib.asynccontextmanager()</w:t>
            </w:r>
            <w:r>
              <w:rPr>
                <w:rStyle w:val="Text12"/>
              </w:rPr>
              <w:t>,</w:t>
              <w:br w:clear="none"/>
              <w:t xml:space="preserve"> </w:t>
            </w:r>
            <w:r>
              <w:t>contextlib.AsyncExitStack</w:t>
            </w:r>
            <w:r>
              <w:rPr>
                <w:rStyle w:val="Text12"/>
              </w:rPr>
              <w:t>,</w:t>
              <w:br w:clear="none"/>
              <w:t xml:space="preserve"> </w:t>
            </w:r>
            <w:r>
              <w:t>contextlib.nullcontext()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contextvars</w:t>
            </w:r>
            <w:r>
              <w:t xml:space="preserve"> module (similar to thread-local vars, with </w:t>
            </w:r>
            <w:r>
              <w:rPr>
                <w:rStyle w:val="Text0"/>
              </w:rPr>
              <w:t>asyncio</w:t>
            </w:r>
            <w:r>
              <w:t xml:space="preserve"> support)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dataclasses</w:t>
            </w:r>
            <w:r>
              <w:rPr>
                <w:rStyle w:val="Text12"/>
              </w:rPr>
              <w:t xml:space="preserve"> module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datetime.datetime.fromisoformat()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DeprecationWarning</w:t>
            </w:r>
            <w:r>
              <w:t xml:space="preserve"> shown by default in </w:t>
            </w:r>
            <w:r>
              <w:rPr>
                <w:rStyle w:val="Text0"/>
              </w:rPr>
              <w:t>__main__</w:t>
            </w:r>
            <w:r>
              <w:t xml:space="preserve"> module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dict</w:t>
            </w:r>
            <w:r>
              <w:t xml:space="preserve"> maintaining insertion order now guaranteed; </w:t>
            </w:r>
            <w:r>
              <w:rPr>
                <w:rStyle w:val="Text0"/>
              </w:rPr>
              <w:t>dict.popitem()</w:t>
            </w:r>
            <w:r>
              <w:t xml:space="preserve"> returns items in LIFO order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__dir__()</w:t>
            </w:r>
            <w:r>
              <w:t xml:space="preserve"> at module level</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dis.dis()</w:t>
            </w:r>
            <w:r>
              <w:t xml:space="preserve"> method accepts named </w:t>
            </w:r>
            <w:r>
              <w:rPr>
                <w:rStyle w:val="Text0"/>
              </w:rPr>
              <w:t>depth</w:t>
            </w:r>
            <w: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float()</w:t>
            </w:r>
            <w:r>
              <w:t xml:space="preserve"> constructor no longer accepts a named argument (positional only)</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fpectl</w:t>
            </w:r>
            <w:r>
              <w:t xml:space="preserve"> module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5"/>
              </w:rPr>
              <w:t>from</w:t>
            </w:r>
            <w:r>
              <w:t xml:space="preserve"> </w:t>
            </w:r>
            <w:r>
              <w:rPr>
                <w:rStyle w:val="Text0"/>
              </w:rPr>
              <w:t>__future__</w:t>
            </w:r>
            <w:r>
              <w:t xml:space="preserve"> </w:t>
            </w:r>
            <w:r>
              <w:rPr>
                <w:rStyle w:val="Text5"/>
              </w:rPr>
              <w:t>import</w:t>
            </w:r>
            <w:r>
              <w:t xml:space="preserve"> </w:t>
            </w:r>
            <w:r>
              <w:rPr>
                <w:rStyle w:val="Text0"/>
              </w:rPr>
              <w:t>annotations</w:t>
            </w:r>
            <w:r>
              <w:t xml:space="preserve"> enables referencing as-yet-undefined types in type annotations without enclosing in quotes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gc.freeze()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__getattr__()</w:t>
            </w:r>
            <w:r>
              <w:t xml:space="preserve"> at module level</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hmac.digest()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http.client.HTTPConnection</w:t>
            </w:r>
            <w:r>
              <w:rPr>
                <w:rStyle w:val="Text12"/>
              </w:rPr>
              <w:t xml:space="preserve"> and</w:t>
              <w:br w:clear="none"/>
              <w:t xml:space="preserve"> </w:t>
            </w:r>
            <w:r>
              <w:t>http.client.HTTPSConnection</w:t>
            </w:r>
            <w:r>
              <w:rPr>
                <w:rStyle w:val="Text12"/>
              </w:rPr>
              <w:t xml:space="preserve"> constructors accept optional </w:t>
            </w:r>
            <w:r>
              <w:t>blocksize</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http.server.ThreadingHTTPServer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importlib.abc.ResourceReader</w:t>
            </w:r>
            <w:r>
              <w:rPr>
                <w:rStyle w:val="Text12"/>
              </w:rPr>
              <w:t>,</w:t>
              <w:br w:clear="none"/>
              <w:t xml:space="preserve"> </w:t>
            </w:r>
            <w:r>
              <w:t>importlib.resources</w:t>
            </w:r>
            <w:r>
              <w:rPr>
                <w:rStyle w:val="Text12"/>
              </w:rPr>
              <w:t xml:space="preserve"> module,</w:t>
              <w:br w:clear="none"/>
              <w:t xml:space="preserve"> </w:t>
            </w:r>
            <w:r>
              <w:t>importlib.source_hash()</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int()</w:t>
            </w:r>
            <w:r>
              <w:t xml:space="preserve"> constructor no longer accepts a named </w:t>
            </w:r>
            <w:r>
              <w:rPr>
                <w:rStyle w:val="Text4"/>
              </w:rPr>
              <w:t>x</w:t>
            </w:r>
            <w:r>
              <w:t xml:space="preserve"> argument (positional only; named </w:t>
            </w:r>
            <w:r>
              <w:rPr>
                <w:rStyle w:val="Text0"/>
              </w:rPr>
              <w:t>base</w:t>
            </w:r>
            <w:r>
              <w:t xml:space="preserve"> argument is still supported)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io.TextIOWrapper.reconfigure()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ipaddress.IPv*Network.subnet_of()</w:t>
            </w:r>
            <w:r>
              <w:rPr>
                <w:rStyle w:val="Text12"/>
              </w:rPr>
              <w:t>,</w:t>
              <w:br w:clear="none"/>
              <w:t xml:space="preserve"> </w:t>
            </w:r>
            <w:r>
              <w:t>ipaddress.IPv*Network.supernet_of()</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list()</w:t>
            </w:r>
            <w:r>
              <w:t xml:space="preserve"> constructor no longer accepts a named argument (positional only)</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logging.StreamHandler.setStream()</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math.remainder()</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multiprocessing.Process.close()</w:t>
            </w:r>
            <w:r>
              <w:rPr>
                <w:rStyle w:val="Text12"/>
              </w:rPr>
              <w:t>,</w:t>
              <w:br w:clear="none"/>
              <w:t xml:space="preserve"> </w:t>
            </w:r>
            <w:r>
              <w:t>multiprocessing.Process.kill()</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ntpath.splitunc()</w:t>
            </w:r>
            <w:r>
              <w:rPr>
                <w:rStyle w:val="Text12"/>
              </w:rPr>
              <w:t xml:space="preserve"> removed;</w:t>
              <w:br w:clear="none"/>
              <w:t xml:space="preserve"> use </w:t>
            </w:r>
            <w:r>
              <w:t>ntpath.splitdrive()</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os.preadv()</w:t>
            </w:r>
            <w:r>
              <w:rPr>
                <w:rStyle w:val="Text12"/>
              </w:rPr>
              <w:t xml:space="preserve">, </w:t>
            </w:r>
            <w:r>
              <w:t>os.pwritev()</w:t>
            </w:r>
            <w:r>
              <w:rPr>
                <w:rStyle w:val="Text12"/>
              </w:rPr>
              <w:t>,</w:t>
              <w:br w:clear="none"/>
              <w:t xml:space="preserve"> </w:t>
            </w:r>
            <w:r>
              <w:t>os.register_at_fork()</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os.stat_float_times()</w:t>
            </w:r>
            <w:r>
              <w:t xml:space="preserve"> removed</w:t>
              <w:br w:clear="none"/>
              <w:t xml:space="preserve"> (compatibility function with Python 2; all timestamps in </w:t>
            </w:r>
            <w:r>
              <w:rPr>
                <w:rStyle w:val="Text0"/>
              </w:rPr>
              <w:t>stat</w:t>
            </w:r>
            <w:r>
              <w:t xml:space="preserve"> result are </w:t>
            </w:r>
            <w:r>
              <w:rPr>
                <w:rStyle w:val="Text0"/>
              </w:rPr>
              <w:t>float</w:t>
            </w:r>
            <w:r>
              <w:t>s in Python 3)</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pathlib.Path.is_mount()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pdb.set_trace()</w:t>
            </w:r>
            <w:r>
              <w:t xml:space="preserve"> accepts named </w:t>
            </w:r>
            <w:r>
              <w:rPr>
                <w:rStyle w:val="Text0"/>
              </w:rPr>
              <w:t>header</w:t>
            </w:r>
            <w: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plist.Dict</w:t>
            </w:r>
            <w:r>
              <w:rPr>
                <w:rStyle w:val="Text12"/>
              </w:rPr>
              <w:t>,</w:t>
              <w:br w:clear="none"/>
              <w:t xml:space="preserve"> </w:t>
            </w:r>
            <w:r>
              <w:t>plist.Plist</w:t>
            </w:r>
            <w:r>
              <w:rPr>
                <w:rStyle w:val="Text12"/>
              </w:rPr>
              <w:t>, and</w:t>
              <w:br w:clear="none"/>
              <w:t xml:space="preserve"> </w:t>
            </w:r>
            <w:r>
              <w:t>plist._InternalDict</w:t>
            </w:r>
            <w:r>
              <w:rPr>
                <w:rStyle w:val="Text12"/>
              </w:rPr>
              <w:t xml:space="preserv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queue.SimpleQueue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re</w:t>
            </w:r>
            <w:r>
              <w:t xml:space="preserve"> compiled expressions and match objects can be copied with </w:t>
            </w:r>
            <w:r>
              <w:rPr>
                <w:rStyle w:val="Text0"/>
              </w:rPr>
              <w:t>copy.copy</w:t>
            </w:r>
            <w:r>
              <w:t xml:space="preserve"> and </w:t>
            </w:r>
            <w:r>
              <w:rPr>
                <w:rStyle w:val="Text0"/>
              </w:rPr>
              <w:t>copy.deepcopy</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re.sub()</w:t>
            </w:r>
            <w:r>
              <w:t xml:space="preserve"> no longer supports unknown escapes of </w:t>
            </w:r>
            <w:r>
              <w:rPr>
                <w:rStyle w:val="Text0"/>
              </w:rPr>
              <w:t>\</w:t>
            </w:r>
            <w:r>
              <w:t xml:space="preserve"> and an ASCII letter</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socket.close()</w:t>
            </w:r>
            <w:r>
              <w:rPr>
                <w:rStyle w:val="Text12"/>
              </w:rPr>
              <w:t xml:space="preserve">, </w:t>
            </w:r>
            <w:r>
              <w:t>socket.getblocking()</w:t>
            </w:r>
            <w:r>
              <w:rPr>
                <w:rStyle w:val="Text12"/>
              </w:rPr>
              <w:t>,</w:t>
              <w:br w:clear="none"/>
              <w:t xml:space="preserve"> </w:t>
            </w:r>
            <w:r>
              <w:t>socket.TCP_CONGESTION</w:t>
            </w:r>
            <w:r>
              <w:rPr>
                <w:rStyle w:val="Text12"/>
              </w:rPr>
              <w:t>,</w:t>
              <w:br w:clear="none"/>
              <w:t xml:space="preserve"> </w:t>
            </w:r>
            <w:r>
              <w:t>socket.TCP_USER_TIMEOUT</w:t>
            </w:r>
            <w:r>
              <w:rPr>
                <w:rStyle w:val="Text12"/>
              </w:rPr>
              <w:t>,</w:t>
              <w:br w:clear="none"/>
              <w:t xml:space="preserve"> </w:t>
            </w:r>
            <w:r>
              <w:t>socket.TCP_NOTSENT_LOWAT</w:t>
            </w:r>
            <w:r>
              <w:rPr>
                <w:rStyle w:val="Text12"/>
              </w:rPr>
              <w:t xml:space="preserve"> (Linux platforms only)</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sqlite3.Connection.backup()</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StopIteration</w:t>
            </w:r>
            <w:r>
              <w:t xml:space="preserve"> handling in generators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str.isascii()</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subprocess.run()</w:t>
            </w:r>
            <w:r>
              <w:rPr>
                <w:rStyle w:val="Text12"/>
              </w:rPr>
              <w:t xml:space="preserve"> named argument </w:t>
            </w:r>
            <w:r>
              <w:t>capture_output=</w:t>
            </w:r>
            <w:r>
              <w:rPr>
                <w:rStyle w:val="Text5"/>
              </w:rPr>
              <w:t>True</w:t>
            </w:r>
            <w:r>
              <w:rPr>
                <w:rStyle w:val="Text12"/>
              </w:rPr>
              <w:t xml:space="preserve"> for simplified </w:t>
            </w:r>
            <w:r>
              <w:t>stdin</w:t>
            </w:r>
            <w:r>
              <w:rPr>
                <w:rStyle w:val="Text12"/>
              </w:rPr>
              <w:t>/</w:t>
            </w:r>
            <w:r>
              <w:t>stdout</w:t>
            </w:r>
            <w:r>
              <w:rPr>
                <w:rStyle w:val="Text12"/>
              </w:rPr>
              <w:t xml:space="preserve"> capture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subprocess.run()</w:t>
            </w:r>
            <w:r>
              <w:rPr>
                <w:rStyle w:val="Text12"/>
              </w:rPr>
              <w:t xml:space="preserve"> and</w:t>
              <w:br w:clear="none"/>
              <w:t xml:space="preserve"> </w:t>
            </w:r>
            <w:r>
              <w:t>subprocess.Popen()</w:t>
            </w:r>
            <w:r>
              <w:rPr>
                <w:rStyle w:val="Text12"/>
              </w:rPr>
              <w:t xml:space="preserve"> named argument </w:t>
            </w:r>
            <w:r>
              <w:t>text</w:t>
            </w:r>
            <w:r>
              <w:rPr>
                <w:rStyle w:val="Text12"/>
              </w:rPr>
              <w:t>,</w:t>
              <w:br w:clear="none"/>
              <w:t xml:space="preserve"> alias for </w:t>
            </w:r>
            <w:r>
              <w:t>universal_newlines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subprocess.run()</w:t>
            </w:r>
            <w:r>
              <w:rPr>
                <w:rStyle w:val="Text12"/>
              </w:rPr>
              <w:t xml:space="preserve">, </w:t>
            </w:r>
            <w:r>
              <w:t>subprocess.call()</w:t>
            </w:r>
            <w:r>
              <w:rPr>
                <w:rStyle w:val="Text12"/>
              </w:rPr>
              <w:t>,</w:t>
              <w:br w:clear="none"/>
              <w:t xml:space="preserve"> and </w:t>
            </w:r>
            <w:r>
              <w:t>subprocess.Popen()</w:t>
            </w:r>
            <w:r>
              <w:rPr>
                <w:rStyle w:val="Text12"/>
              </w:rPr>
              <w:t xml:space="preserve"> improved</w:t>
              <w:br w:clear="none"/>
              <w:t xml:space="preserve"> </w:t>
            </w:r>
            <w:r>
              <w:t>KeyboardInterrupt</w:t>
            </w:r>
            <w:r>
              <w:rPr>
                <w:rStyle w:val="Text12"/>
              </w:rPr>
              <w:t xml:space="preserve"> handling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sys.breakpointhook()</w:t>
            </w:r>
            <w:r>
              <w:rPr>
                <w:rStyle w:val="Text12"/>
              </w:rPr>
              <w:t>,</w:t>
              <w:br w:clear="none"/>
              <w:t xml:space="preserve"> </w:t>
            </w:r>
            <w:r>
              <w:t>sys.getandroidapilevel()</w:t>
            </w:r>
            <w:r>
              <w:rPr>
                <w:rStyle w:val="Text12"/>
              </w:rPr>
              <w:t>,</w:t>
              <w:br w:clear="none"/>
              <w:t xml:space="preserve"> </w:t>
            </w:r>
            <w:r>
              <w:t>sys.get_coroutine_origin_tracking_depth()</w:t>
            </w:r>
            <w:r>
              <w:rPr>
                <w:rStyle w:val="Text12"/>
              </w:rPr>
              <w:t>,</w:t>
              <w:br w:clear="none"/>
              <w:t xml:space="preserve"> </w:t>
            </w:r>
            <w:r>
              <w:t>sys.set_coroutine_origin_tracking_depth()</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time.clock_gettime_ns()</w:t>
            </w:r>
            <w:r>
              <w:rPr>
                <w:rStyle w:val="Text12"/>
              </w:rPr>
              <w:t>,</w:t>
              <w:br w:clear="none"/>
              <w:t xml:space="preserve"> </w:t>
            </w:r>
            <w:r>
              <w:t>time.clock_settime_ns()</w:t>
            </w:r>
            <w:r>
              <w:rPr>
                <w:rStyle w:val="Text12"/>
              </w:rPr>
              <w:t>,</w:t>
              <w:br w:clear="none"/>
              <w:t xml:space="preserve"> </w:t>
            </w:r>
            <w:r>
              <w:t>time.monotonic_ns()</w:t>
            </w:r>
            <w:r>
              <w:rPr>
                <w:rStyle w:val="Text12"/>
              </w:rPr>
              <w:t>,</w:t>
              <w:br w:clear="none"/>
              <w:t xml:space="preserve"> </w:t>
            </w:r>
            <w:r>
              <w:t>time.perf_counter_ns()</w:t>
            </w:r>
            <w:r>
              <w:rPr>
                <w:rStyle w:val="Text12"/>
              </w:rPr>
              <w:t>,</w:t>
              <w:br w:clear="none"/>
              <w:t xml:space="preserve"> </w:t>
            </w:r>
            <w:r>
              <w:t>time.process_time_ns()</w:t>
            </w:r>
            <w:r>
              <w:rPr>
                <w:rStyle w:val="Text12"/>
              </w:rPr>
              <w:t xml:space="preserve">, </w:t>
            </w:r>
            <w:r>
              <w:t>time.time_ns()</w:t>
            </w:r>
            <w:r>
              <w:rPr>
                <w:rStyle w:val="Text12"/>
              </w:rPr>
              <w:t>,</w:t>
              <w:br w:clear="none"/>
              <w:t xml:space="preserve"> </w:t>
            </w:r>
            <w:r>
              <w:t>time.CLOCK_BOOTTIME</w:t>
            </w:r>
            <w:r>
              <w:rPr>
                <w:rStyle w:val="Text12"/>
              </w:rPr>
              <w:t xml:space="preserve">, </w:t>
            </w:r>
            <w:r>
              <w:t>time.CLOCK_PROF</w:t>
            </w:r>
            <w:r>
              <w:rPr>
                <w:rStyle w:val="Text12"/>
              </w:rPr>
              <w:t>,</w:t>
              <w:br w:clear="none"/>
              <w:t xml:space="preserve"> </w:t>
            </w:r>
            <w:r>
              <w:t>time.CLOCK_UPTIME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time.thread_time()</w:t>
            </w:r>
            <w:r>
              <w:rPr>
                <w:rStyle w:val="Text12"/>
              </w:rPr>
              <w:t xml:space="preserve"> and </w:t>
            </w:r>
            <w:r>
              <w:t>time.thread_time_ns()</w:t>
            </w:r>
            <w:r>
              <w:rPr>
                <w:rStyle w:val="Text12"/>
              </w:rPr>
              <w:t xml:space="preserve"> for per-thread CPU timing</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tkinter.ttk.Spinbox</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tuple()</w:t>
            </w:r>
            <w:r>
              <w:t xml:space="preserve"> constructor no longer accepts a named argument (positional only)</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types.ClassMethodDescriptorType</w:t>
            </w:r>
            <w:r>
              <w:rPr>
                <w:rStyle w:val="Text12"/>
              </w:rPr>
              <w:t xml:space="preserve">, </w:t>
            </w:r>
            <w:r>
              <w:t>types.MethodDescriptorType</w:t>
            </w:r>
            <w:r>
              <w:rPr>
                <w:rStyle w:val="Text12"/>
              </w:rPr>
              <w:t>,</w:t>
              <w:br w:clear="none"/>
              <w:t xml:space="preserve"> </w:t>
            </w:r>
            <w:r>
              <w:t>types.MethodWrapperType</w:t>
            </w:r>
            <w:r>
              <w:rPr>
                <w:rStyle w:val="Text12"/>
              </w:rPr>
              <w:t>,</w:t>
              <w:br w:clear="none"/>
              <w:t xml:space="preserve"> </w:t>
            </w:r>
            <w:r>
              <w:t>types.WrapperDescriptorType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types.resolve_bases()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uuid.UUID.is_safe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5"/>
              </w:rPr>
              <w:t>yield</w:t>
            </w:r>
            <w:r>
              <w:t xml:space="preserve"> and </w:t>
            </w:r>
            <w:r>
              <w:rPr>
                <w:rStyle w:val="Text5"/>
              </w:rPr>
              <w:t>yield</w:t>
            </w:r>
            <w:r>
              <w:t xml:space="preserve"> </w:t>
            </w:r>
            <w:r>
              <w:rPr>
                <w:rStyle w:val="Text5"/>
              </w:rPr>
              <w:t>from</w:t>
            </w:r>
            <w:r>
              <w:t xml:space="preserve"> in comprehensions or generator expressions are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zipfile.ZipFile</w:t>
            </w:r>
            <w:r>
              <w:t xml:space="preserve"> constructor accepts named</w:t>
              <w:br w:clear="none"/>
              <w:t xml:space="preserve"> </w:t>
            </w:r>
            <w:r>
              <w:rPr>
                <w:rStyle w:val="Text0"/>
              </w:rPr>
              <w:t>compresslevel</w:t>
            </w:r>
            <w: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p>
      <w:bookmarkStart w:id="4544" w:name="Python_3_8__The_following_table"/>
      <w:pPr>
        <w:keepNext/>
        <w:pStyle w:val="Heading 1"/>
      </w:pPr>
      <w:r>
        <w:t>Python 3.8</w:t>
      </w:r>
      <w:bookmarkEnd w:id="4544"/>
    </w:p>
    <w:p>
      <w:pPr>
        <w:pStyle w:val="Normal"/>
      </w:pPr>
      <w:r>
        <w:t xml:space="preserve">The following table summarizes changes in Python version 3.8. For further details, see “What’s New in Python 3.8” in the </w:t>
      </w:r>
      <w:hyperlink r:id="rId691">
        <w:r>
          <w:rPr>
            <w:rStyle w:val="Text1"/>
          </w:rPr>
          <w:t>online docs</w:t>
        </w:r>
      </w:hyperlink>
      <w:r>
        <w:t>.</w:t>
      </w:r>
    </w:p>
    <w:tbl>
      <w:tblPr>
        <w:tblW w:type="auto" w:w="0"/>
      </w:tblPr>
      <w:tr>
        <w:tc>
          <w:tcPr>
            <w:tcW w:type="auto" w:w="0"/>
            <w:tcMar>
              <w:left w:type="dxa" w:w="200"/>
              <w:top w:type="dxa" w:w="200"/>
              <w:right w:type="dxa" w:w="200"/>
              <w:bottom w:type="dxa" w:w="200"/>
            </w:tcMar>
            <w:vAlign w:val="center"/>
          </w:tcPr>
          <w:p>
            <w:pPr>
              <w:pStyle w:val="Para 119"/>
            </w:pPr>
            <w:r>
              <w:t/>
            </w:r>
          </w:p>
          <w:p>
            <w:pPr>
              <w:pStyle w:val="Para 013"/>
            </w:pPr>
            <w:r>
              <w:t>Python 3.8</w:t>
            </w:r>
          </w:p>
        </w:tc>
        <w:tc>
          <w:tcPr>
            <w:tcW w:type="auto" w:w="0"/>
            <w:tcMar>
              <w:left w:type="dxa" w:w="200"/>
              <w:top w:type="dxa" w:w="200"/>
              <w:right w:type="dxa" w:w="200"/>
              <w:bottom w:type="dxa" w:w="200"/>
            </w:tcMar>
            <w:vAlign w:val="center"/>
          </w:tcPr>
          <w:p>
            <w:pPr>
              <w:pStyle w:val="Para 013"/>
            </w:pPr>
            <w:r>
              <w:t>Added</w:t>
            </w:r>
          </w:p>
        </w:tc>
        <w:tc>
          <w:tcPr>
            <w:tcW w:type="auto" w:w="0"/>
            <w:tcMar>
              <w:left w:type="dxa" w:w="200"/>
              <w:top w:type="dxa" w:w="200"/>
              <w:right w:type="dxa" w:w="200"/>
              <w:bottom w:type="dxa" w:w="200"/>
            </w:tcMar>
            <w:vAlign w:val="center"/>
          </w:tcPr>
          <w:p>
            <w:pPr>
              <w:pStyle w:val="Para 013"/>
            </w:pPr>
            <w:r>
              <w:t>Deprecated</w:t>
            </w:r>
          </w:p>
        </w:tc>
        <w:tc>
          <w:tcPr>
            <w:tcW w:type="auto" w:w="0"/>
            <w:tcMar>
              <w:left w:type="dxa" w:w="200"/>
              <w:top w:type="dxa" w:w="200"/>
              <w:right w:type="dxa" w:w="200"/>
              <w:bottom w:type="dxa" w:w="200"/>
            </w:tcMar>
            <w:vAlign w:val="center"/>
          </w:tcPr>
          <w:p>
            <w:pPr>
              <w:pStyle w:val="Para 013"/>
            </w:pPr>
            <w:r>
              <w:t>Removed</w:t>
            </w:r>
          </w:p>
        </w:tc>
        <w:tc>
          <w:tcPr>
            <w:tcW w:type="auto" w:w="0"/>
            <w:tcMar>
              <w:left w:type="dxa" w:w="200"/>
              <w:top w:type="dxa" w:w="200"/>
              <w:right w:type="dxa" w:w="200"/>
              <w:bottom w:type="dxa" w:w="200"/>
            </w:tcMar>
            <w:vAlign w:val="center"/>
          </w:tcPr>
          <w:p>
            <w:pPr>
              <w:pStyle w:val="Para 013"/>
            </w:pPr>
            <w:r>
              <w:t>Breaking change</w:t>
            </w:r>
          </w:p>
        </w:tc>
      </w:tr>
    </w:tbl>
    <w:tbl>
      <w:tblPr>
        <w:tblW w:type="auto" w:w="0"/>
      </w:tblPr>
      <w:tr>
        <w:tc>
          <w:tcPr>
            <w:tcW w:type="auto" w:w="0"/>
            <w:tcMar>
              <w:left w:type="dxa" w:w="200"/>
              <w:top w:type="dxa" w:w="200"/>
              <w:right w:type="dxa" w:w="200"/>
              <w:bottom w:type="dxa" w:w="200"/>
            </w:tcMar>
          </w:tcPr>
          <w:p>
            <w:pPr>
              <w:pStyle w:val="Para 002"/>
            </w:pPr>
            <w:r>
              <w:t>Assignment expressions (</w:t>
            </w:r>
            <w:r>
              <w:rPr>
                <w:rStyle w:val="Text0"/>
              </w:rPr>
              <w:t>:=</w:t>
            </w:r>
            <w:r>
              <w:t xml:space="preserve"> “walrus” operator)</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Positional-only and named-only parameters</w:t>
              <w:br w:clear="none"/>
              <w:t xml:space="preserve"> (</w:t>
            </w:r>
            <w:r>
              <w:rPr>
                <w:rStyle w:val="Text0"/>
              </w:rPr>
              <w:t>/</w:t>
            </w:r>
            <w:r>
              <w:t xml:space="preserve"> and </w:t>
            </w:r>
            <w:r>
              <w:rPr>
                <w:rStyle w:val="Text0"/>
              </w:rPr>
              <w:t>*</w:t>
            </w:r>
            <w:r>
              <w:t xml:space="preserve"> arg separators)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xml:space="preserve">F-string trailing </w:t>
            </w:r>
            <w:r>
              <w:rPr>
                <w:rStyle w:val="Text0"/>
              </w:rPr>
              <w:t>=</w:t>
            </w:r>
            <w:r>
              <w:t xml:space="preserve"> for debugging</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5"/>
              </w:rPr>
              <w:t>is</w:t>
            </w:r>
            <w:r>
              <w:t xml:space="preserve"> and </w:t>
            </w:r>
            <w:r>
              <w:rPr>
                <w:rStyle w:val="Text5"/>
              </w:rPr>
              <w:t>is not</w:t>
            </w:r>
            <w:r>
              <w:t xml:space="preserve"> tests against </w:t>
            </w:r>
            <w:r>
              <w:rPr>
                <w:rStyle w:val="Text0"/>
              </w:rPr>
              <w:t>str</w:t>
            </w:r>
            <w:r>
              <w:t xml:space="preserve"> and </w:t>
            </w:r>
            <w:r>
              <w:rPr>
                <w:rStyle w:val="Text0"/>
              </w:rPr>
              <w:t>int</w:t>
            </w:r>
            <w:r>
              <w:t xml:space="preserve"> literals emit </w:t>
            </w:r>
            <w:r>
              <w:rPr>
                <w:rStyle w:val="Text0"/>
              </w:rPr>
              <w:t>SyntaxWarning</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ast</w:t>
            </w:r>
            <w:r>
              <w:rPr>
                <w:rStyle w:val="Text12"/>
              </w:rPr>
              <w:t xml:space="preserve"> AST nodes </w:t>
            </w:r>
            <w:r>
              <w:t>end_lineno</w:t>
            </w:r>
            <w:r>
              <w:rPr>
                <w:rStyle w:val="Text12"/>
              </w:rPr>
              <w:t xml:space="preserve"> and</w:t>
              <w:br w:clear="none"/>
              <w:t xml:space="preserve"> </w:t>
            </w:r>
            <w:r>
              <w:t>end_col_offset</w:t>
            </w:r>
            <w:r>
              <w:rPr>
                <w:rStyle w:val="Text12"/>
              </w:rPr>
              <w:t xml:space="preserve"> attributes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ast.get_source_segment()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ast.parse()</w:t>
            </w:r>
            <w:r>
              <w:rPr>
                <w:rStyle w:val="Text12"/>
              </w:rPr>
              <w:t xml:space="preserve"> accepts named arguments</w:t>
              <w:br w:clear="none"/>
              <w:t xml:space="preserve"> </w:t>
            </w:r>
            <w:r>
              <w:t>type_comments</w:t>
            </w:r>
            <w:r>
              <w:rPr>
                <w:rStyle w:val="Text12"/>
              </w:rPr>
              <w:t xml:space="preserve">, </w:t>
            </w:r>
            <w:r>
              <w:t>mode</w:t>
            </w:r>
            <w:r>
              <w:rPr>
                <w:rStyle w:val="Text12"/>
              </w:rPr>
              <w:t xml:space="preserve">, and </w:t>
            </w:r>
            <w:r>
              <w:t>feature_version</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5"/>
              </w:rPr>
              <w:t>async</w:t>
            </w:r>
            <w:r>
              <w:t xml:space="preserve"> REPL can be run using </w:t>
            </w:r>
            <w:r>
              <w:rPr>
                <w:rStyle w:val="Text5"/>
              </w:rPr>
              <w:t>python -m asyncio</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asyncio</w:t>
            </w:r>
            <w:r>
              <w:t xml:space="preserve"> tasks can be named</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asyncio.coroutine</w:t>
            </w:r>
            <w:r>
              <w:t xml:space="preserve"> decorator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asyncio.run()</w:t>
            </w:r>
            <w:r>
              <w:t xml:space="preserve"> to execute a coroutine directly</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asyncio.Task.get_coro()</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bool.as_integer_ratio()</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collections.namedtuple._asdict()</w:t>
            </w:r>
            <w:r>
              <w:rPr>
                <w:rStyle w:val="Text12"/>
              </w:rPr>
              <w:t xml:space="preserve"> returns </w:t>
            </w:r>
            <w:r>
              <w:t>dict</w:t>
            </w:r>
            <w:r>
              <w:rPr>
                <w:rStyle w:val="Text12"/>
              </w:rPr>
              <w:t xml:space="preserve"> instead of </w:t>
            </w:r>
            <w:r>
              <w:t>OrderedDict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5"/>
              </w:rPr>
              <w:t>continue</w:t>
            </w:r>
            <w:r>
              <w:t xml:space="preserve"> permitted in </w:t>
            </w:r>
            <w:r>
              <w:rPr>
                <w:rStyle w:val="Text5"/>
              </w:rPr>
              <w:t>finally</w:t>
            </w:r>
            <w:r>
              <w:t xml:space="preserve"> block</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cgi.parse_qs</w:t>
            </w:r>
            <w:r>
              <w:rPr>
                <w:rStyle w:val="Text12"/>
              </w:rPr>
              <w:t xml:space="preserve">, </w:t>
            </w:r>
            <w:r>
              <w:t>cgi.parse_qsl</w:t>
            </w:r>
            <w:r>
              <w:rPr>
                <w:rStyle w:val="Text12"/>
              </w:rPr>
              <w:t xml:space="preserve">, and </w:t>
            </w:r>
            <w:r>
              <w:t>cgi.escape</w:t>
            </w:r>
            <w:r>
              <w:rPr>
                <w:rStyle w:val="Text12"/>
              </w:rPr>
              <w:t xml:space="preserve"> removed;</w:t>
              <w:br w:clear="none"/>
              <w:t xml:space="preserve"> import from </w:t>
            </w:r>
            <w:r>
              <w:t>urllib.parse</w:t>
            </w:r>
            <w:r>
              <w:rPr>
                <w:rStyle w:val="Text12"/>
              </w:rPr>
              <w:t xml:space="preserve"> and </w:t>
            </w:r>
            <w:r>
              <w:t>html</w:t>
            </w:r>
            <w:r>
              <w:rPr>
                <w:rStyle w:val="Text12"/>
              </w:rPr>
              <w:t xml:space="preserve"> modules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csv.DictReader</w:t>
            </w:r>
            <w:r>
              <w:rPr>
                <w:rStyle w:val="Text12"/>
              </w:rPr>
              <w:t xml:space="preserve"> returns </w:t>
            </w:r>
            <w:r>
              <w:t>dict</w:t>
            </w:r>
            <w:r>
              <w:rPr>
                <w:rStyle w:val="Text12"/>
              </w:rPr>
              <w:t>s</w:t>
              <w:br w:clear="none"/>
              <w:t xml:space="preserve"> instead of </w:t>
            </w:r>
            <w:r>
              <w:t>OrderedDict</w:t>
            </w:r>
            <w:r>
              <w:rPr>
                <w:rStyle w:val="Text12"/>
              </w:rPr>
              <w:t>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datetime.date.fromisocalendar()</w:t>
            </w:r>
            <w:r>
              <w:rPr>
                <w:rStyle w:val="Text12"/>
              </w:rPr>
              <w:t>,</w:t>
              <w:br w:clear="none"/>
              <w:t xml:space="preserve"> </w:t>
            </w:r>
            <w:r>
              <w:t>datetime.datetime.fromisocalendar()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dict</w:t>
            </w:r>
            <w:r>
              <w:t xml:space="preserve"> comprehensions compute key first, value second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dict</w:t>
            </w:r>
            <w:r>
              <w:rPr>
                <w:rStyle w:val="Text12"/>
              </w:rPr>
              <w:t xml:space="preserve"> and </w:t>
            </w:r>
            <w:r>
              <w:t>dictviews</w:t>
            </w:r>
            <w:r>
              <w:rPr>
                <w:rStyle w:val="Text12"/>
              </w:rPr>
              <w:t xml:space="preserve"> returned from </w:t>
            </w:r>
            <w:r>
              <w:t>dict.keys()</w:t>
            </w:r>
            <w:r>
              <w:rPr>
                <w:rStyle w:val="Text12"/>
              </w:rPr>
              <w:t xml:space="preserve">, </w:t>
            </w:r>
            <w:r>
              <w:t>dict.values()</w:t>
            </w:r>
            <w:r>
              <w:rPr>
                <w:rStyle w:val="Text12"/>
              </w:rPr>
              <w:t xml:space="preserve"> and </w:t>
            </w:r>
            <w:r>
              <w:t>dict.items()</w:t>
            </w:r>
            <w:r>
              <w:rPr>
                <w:rStyle w:val="Text12"/>
              </w:rPr>
              <w:t xml:space="preserve"> now iterable with </w:t>
            </w:r>
            <w:r>
              <w:t>reversed()</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fractions.Fraction.as_integer_ratio()</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functools.cached_property()</w:t>
            </w:r>
            <w:r>
              <w:t xml:space="preserve"> decorator</w:t>
              <w:br w:clear="none"/>
              <w:t xml:space="preserve"> (see cautionary notes </w:t>
            </w:r>
            <w:hyperlink r:id="rId692">
              <w:r>
                <w:rPr>
                  <w:rStyle w:val="Text1"/>
                </w:rPr>
                <w:t>here</w:t>
              </w:r>
            </w:hyperlink>
            <w:r>
              <w:t xml:space="preserve"> and </w:t>
            </w:r>
            <w:hyperlink r:id="rId693">
              <w:r>
                <w:rPr>
                  <w:rStyle w:val="Text1"/>
                </w:rPr>
                <w:t>here</w:t>
              </w:r>
            </w:hyperlink>
            <w:r>
              <w: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functools.lru_cache</w:t>
            </w:r>
            <w:r>
              <w:t xml:space="preserve"> can be used as a decorator without </w:t>
            </w:r>
            <w:r>
              <w:rPr>
                <w:rStyle w:val="Text0"/>
              </w:rP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functools.singledispatchmethod</w:t>
            </w:r>
            <w:r>
              <w:rPr>
                <w:rStyle w:val="Text12"/>
              </w:rPr>
              <w:t xml:space="preserve"> decorator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gettext.pgettext()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importlib.metadata</w:t>
            </w:r>
            <w:r>
              <w:rPr>
                <w:rStyle w:val="Text12"/>
              </w:rPr>
              <w:t xml:space="preserve"> module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int.as_integer_ratio()</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itertools.accumulate()</w:t>
            </w:r>
            <w:r>
              <w:rPr>
                <w:rStyle w:val="Text12"/>
              </w:rPr>
              <w:t xml:space="preserve"> accepts named</w:t>
              <w:br w:clear="none"/>
              <w:t xml:space="preserve"> </w:t>
            </w:r>
            <w:r>
              <w:t>initial</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macpath</w:t>
            </w:r>
            <w:r>
              <w:t xml:space="preserve"> module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math.comb()</w:t>
            </w:r>
            <w:r>
              <w:rPr>
                <w:rStyle w:val="Text12"/>
              </w:rPr>
              <w:t xml:space="preserve">, </w:t>
            </w:r>
            <w:r>
              <w:t>math.dist()</w:t>
            </w:r>
            <w:r>
              <w:rPr>
                <w:rStyle w:val="Text12"/>
              </w:rPr>
              <w:t xml:space="preserve">, </w:t>
            </w:r>
            <w:r>
              <w:t>math.isqrt()</w:t>
            </w:r>
            <w:r>
              <w:rPr>
                <w:rStyle w:val="Text12"/>
              </w:rPr>
              <w:t xml:space="preserve">, </w:t>
            </w:r>
            <w:r>
              <w:t>math.perm()</w:t>
            </w:r>
            <w:r>
              <w:rPr>
                <w:rStyle w:val="Text12"/>
              </w:rPr>
              <w:t>,</w:t>
            </w:r>
            <w:r>
              <w:t xml:space="preserve"> math.prod()</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math.hypot()</w:t>
            </w:r>
            <w:r>
              <w:t xml:space="preserve"> added support for &gt; 2 dimensions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multiprocessing.shared_memory</w:t>
            </w:r>
            <w:r>
              <w:rPr>
                <w:rStyle w:val="Text12"/>
              </w:rPr>
              <w:t xml:space="preserve"> module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namedtuple._asdict()</w:t>
            </w:r>
            <w:r>
              <w:rPr>
                <w:rStyle w:val="Text12"/>
              </w:rPr>
              <w:t xml:space="preserve"> returns </w:t>
            </w:r>
            <w:r>
              <w:t>dict</w:t>
            </w:r>
            <w:r>
              <w:rPr>
                <w:rStyle w:val="Text12"/>
              </w:rPr>
              <w:t xml:space="preserve"> instead of </w:t>
            </w:r>
            <w:r>
              <w:t>OrderedDict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os.add_dll_directory()</w:t>
            </w:r>
            <w:r>
              <w:rPr>
                <w:rStyle w:val="Text12"/>
              </w:rPr>
              <w:t xml:space="preserve"> on Windows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os.memfd_create()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pathlib.Path.link_to()</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platform.popen()</w:t>
            </w:r>
            <w:r>
              <w:rPr>
                <w:rStyle w:val="Text12"/>
              </w:rPr>
              <w:t xml:space="preserve"> removed; use </w:t>
            </w:r>
            <w:r>
              <w:t>os.popen()</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pprint.pp()</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pyvenv</w:t>
            </w:r>
            <w:r>
              <w:t xml:space="preserve"> script removed; use </w:t>
            </w:r>
            <w:r>
              <w:rPr>
                <w:rStyle w:val="Text5"/>
              </w:rPr>
              <w:t>python -m venv</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re</w:t>
            </w:r>
            <w:r>
              <w:t xml:space="preserve"> regular expression patterns support </w:t>
            </w:r>
            <w:r>
              <w:rPr>
                <w:rStyle w:val="Text0"/>
              </w:rPr>
              <w:t>\N{</w:t>
            </w:r>
            <w:r>
              <w:rPr>
                <w:rStyle w:val="Text3"/>
              </w:rPr>
              <w:t>name</w:t>
            </w:r>
            <w:r>
              <w:rPr>
                <w:rStyle w:val="Text0"/>
              </w:rPr>
              <w:t>}</w:t>
            </w:r>
            <w:r>
              <w:t xml:space="preserve"> escapes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shlex.join()</w:t>
            </w:r>
            <w:r>
              <w:rPr>
                <w:rStyle w:val="Text12"/>
              </w:rPr>
              <w:t xml:space="preserve"> (inverse of </w:t>
            </w:r>
            <w:r>
              <w:t>shlex.split()</w:t>
            </w:r>
            <w:r>
              <w:rPr>
                <w:rStyle w:val="Text12"/>
              </w:rP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shutil.copytree()</w:t>
            </w:r>
            <w:r>
              <w:rPr>
                <w:rStyle w:val="Text12"/>
              </w:rPr>
              <w:t xml:space="preserve"> accepts named </w:t>
            </w:r>
            <w:r>
              <w:t>dirs_exist_ok</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__slots__</w:t>
            </w:r>
            <w:r>
              <w:rPr>
                <w:rStyle w:val="Text12"/>
              </w:rPr>
              <w:t xml:space="preserve"> accepts a </w:t>
            </w:r>
            <w:r>
              <w:t>dict</w:t>
            </w:r>
            <w:r>
              <w:rPr>
                <w:rStyle w:val="Text12"/>
              </w:rPr>
              <w:t xml:space="preserve"> of </w:t>
            </w:r>
            <w:r>
              <w:t>{</w:t>
            </w:r>
            <w:r>
              <w:rPr>
                <w:rStyle w:val="Text3"/>
              </w:rPr>
              <w:t>name</w:t>
            </w:r>
            <w:r>
              <w:t>:</w:t>
            </w:r>
            <w:r>
              <w:rPr>
                <w:rStyle w:val="Text12"/>
              </w:rPr>
              <w:t xml:space="preserve"> </w:t>
            </w:r>
            <w:r>
              <w:rPr>
                <w:rStyle w:val="Text3"/>
              </w:rPr>
              <w:t>docstring</w:t>
            </w:r>
            <w: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socket.create_server()</w:t>
            </w:r>
            <w:r>
              <w:rPr>
                <w:rStyle w:val="Text12"/>
              </w:rPr>
              <w:t>,</w:t>
              <w:br w:clear="none"/>
              <w:t xml:space="preserve"> </w:t>
            </w:r>
            <w:r>
              <w:t>socket.has_dualstack_ipv6()</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socket.if_nameindex()</w:t>
            </w:r>
            <w:r>
              <w:rPr>
                <w:rStyle w:val="Text12"/>
              </w:rPr>
              <w:t xml:space="preserve">, </w:t>
            </w:r>
            <w:r>
              <w:t>socket.if_nametoindex()</w:t>
            </w:r>
            <w:r>
              <w:rPr>
                <w:rStyle w:val="Text12"/>
              </w:rPr>
              <w:t xml:space="preserve">, and </w:t>
            </w:r>
            <w:r>
              <w:t>socket.if_indextoname()</w:t>
              <w:br w:clear="none"/>
            </w:r>
            <w:r>
              <w:rPr>
                <w:rStyle w:val="Text12"/>
              </w:rPr>
              <w:t xml:space="preserve"> are all supported on Windows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sqlite3</w:t>
            </w:r>
            <w:r>
              <w:t xml:space="preserve"> </w:t>
            </w:r>
            <w:r>
              <w:rPr>
                <w:rStyle w:val="Text0"/>
              </w:rPr>
              <w:t>Cache</w:t>
            </w:r>
            <w:r>
              <w:t xml:space="preserve"> and </w:t>
            </w:r>
            <w:r>
              <w:rPr>
                <w:rStyle w:val="Text0"/>
              </w:rPr>
              <w:t>Statement</w:t>
            </w:r>
            <w:r>
              <w:t xml:space="preserve"> objects no longer user-visible</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ssl.post_handshake_auth()</w:t>
            </w:r>
            <w:r>
              <w:rPr>
                <w:rStyle w:val="Text12"/>
              </w:rPr>
              <w:t>,</w:t>
              <w:br w:clear="none"/>
              <w:t xml:space="preserve"> </w:t>
            </w:r>
            <w:r>
              <w:t>ssl.verify_client_post_handshake()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statistics.fmean()</w:t>
            </w:r>
            <w:r>
              <w:rPr>
                <w:rStyle w:val="Text12"/>
              </w:rPr>
              <w:t>,</w:t>
              <w:br w:clear="none"/>
              <w:t xml:space="preserve"> </w:t>
            </w:r>
            <w:r>
              <w:t>statistics.geometric_mean()</w:t>
            </w:r>
            <w:r>
              <w:rPr>
                <w:rStyle w:val="Text12"/>
              </w:rPr>
              <w:t>,</w:t>
              <w:br w:clear="none"/>
              <w:t xml:space="preserve"> </w:t>
            </w:r>
            <w:r>
              <w:t>statistics.multimode()</w:t>
            </w:r>
            <w:r>
              <w:rPr>
                <w:rStyle w:val="Text12"/>
              </w:rPr>
              <w:t>,</w:t>
              <w:br w:clear="none"/>
              <w:t xml:space="preserve"> </w:t>
            </w:r>
            <w:r>
              <w:t>statistics.NormalDist</w:t>
            </w:r>
            <w:r>
              <w:rPr>
                <w:rStyle w:val="Text12"/>
              </w:rPr>
              <w:t>,</w:t>
              <w:br w:clear="none"/>
              <w:t xml:space="preserve"> </w:t>
            </w:r>
            <w:r>
              <w:t>statistics.quantiles()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sys.get_coroutine_wrapper()</w:t>
            </w:r>
            <w:r>
              <w:rPr>
                <w:rStyle w:val="Text12"/>
              </w:rPr>
              <w:t xml:space="preserve"> and</w:t>
              <w:br w:clear="none"/>
              <w:t xml:space="preserve"> </w:t>
            </w:r>
            <w:r>
              <w:t>sys.set_coroutine_wrapper()</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sys.unraisablehook()</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tarfile.filemode()</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threading.excepthook()</w:t>
            </w:r>
            <w:r>
              <w:rPr>
                <w:rStyle w:val="Text12"/>
              </w:rPr>
              <w:t>,</w:t>
              <w:br w:clear="none"/>
              <w:t xml:space="preserve"> </w:t>
            </w:r>
            <w:r>
              <w:t>threading.get_native_id()</w:t>
            </w:r>
            <w:r>
              <w:rPr>
                <w:rStyle w:val="Text12"/>
              </w:rPr>
              <w:t>,</w:t>
              <w:br w:clear="none"/>
              <w:t xml:space="preserve"> </w:t>
            </w:r>
            <w:r>
              <w:t>threading.Thread.native_id</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time.clock()</w:t>
            </w:r>
            <w:r>
              <w:rPr>
                <w:rStyle w:val="Text12"/>
              </w:rPr>
              <w:t xml:space="preserve"> removed;</w:t>
              <w:br w:clear="none"/>
              <w:t xml:space="preserve"> use </w:t>
            </w:r>
            <w:r>
              <w:t>time.perf_counter()</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tkinter.Canvas.moveto()</w:t>
            </w:r>
            <w:r>
              <w:rPr>
                <w:rStyle w:val="Text12"/>
              </w:rPr>
              <w:t>,</w:t>
              <w:br w:clear="none"/>
              <w:t xml:space="preserve"> </w:t>
            </w:r>
            <w:r>
              <w:t>tkinter.PhotoImage.transparency_get()</w:t>
            </w:r>
            <w:r>
              <w:rPr>
                <w:rStyle w:val="Text12"/>
              </w:rPr>
              <w:t>,</w:t>
              <w:br w:clear="none"/>
              <w:t xml:space="preserve"> </w:t>
            </w:r>
            <w:r>
              <w:t>tkinter.PhotoImage.transparency_set()</w:t>
            </w:r>
            <w:r>
              <w:rPr>
                <w:rStyle w:val="Text12"/>
              </w:rPr>
              <w:t>,</w:t>
              <w:br w:clear="none"/>
              <w:t xml:space="preserve"> </w:t>
            </w:r>
            <w:r>
              <w:t>tkinter.Spinbox.selection_from()</w:t>
            </w:r>
            <w:r>
              <w:rPr>
                <w:rStyle w:val="Text12"/>
              </w:rPr>
              <w:t>,</w:t>
              <w:br w:clear="none"/>
              <w:t xml:space="preserve"> </w:t>
            </w:r>
            <w:r>
              <w:t>tkinter.Spinbox.selection_present()</w:t>
            </w:r>
            <w:r>
              <w:rPr>
                <w:rStyle w:val="Text12"/>
              </w:rPr>
              <w:t>,</w:t>
              <w:br w:clear="none"/>
              <w:t xml:space="preserve"> </w:t>
            </w:r>
            <w:r>
              <w:t>tkinter.Spinbox.selection_range()</w:t>
            </w:r>
            <w:r>
              <w:rPr>
                <w:rStyle w:val="Text12"/>
              </w:rPr>
              <w:t>,</w:t>
              <w:br w:clear="none"/>
              <w:t xml:space="preserve"> </w:t>
            </w:r>
            <w:r>
              <w:t>tkinter.Spinbox.selection_to()</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typing.Final</w:t>
            </w:r>
            <w:r>
              <w:rPr>
                <w:rStyle w:val="Text12"/>
              </w:rPr>
              <w:t xml:space="preserve">, </w:t>
            </w:r>
            <w:r>
              <w:t>typing.get_args()</w:t>
            </w:r>
            <w:r>
              <w:rPr>
                <w:rStyle w:val="Text12"/>
              </w:rPr>
              <w:t>,</w:t>
              <w:br w:clear="none"/>
              <w:t xml:space="preserve"> </w:t>
            </w:r>
            <w:r>
              <w:t>typing.get_origin()</w:t>
            </w:r>
            <w:r>
              <w:rPr>
                <w:rStyle w:val="Text12"/>
              </w:rPr>
              <w:t xml:space="preserve">, </w:t>
            </w:r>
            <w:r>
              <w:t>typing.Literal</w:t>
            </w:r>
            <w:r>
              <w:rPr>
                <w:rStyle w:val="Text12"/>
              </w:rPr>
              <w:t>,</w:t>
              <w:br w:clear="none"/>
              <w:t xml:space="preserve"> </w:t>
            </w:r>
            <w:r>
              <w:t>typing.Protocol</w:t>
            </w:r>
            <w:r>
              <w:rPr>
                <w:rStyle w:val="Text12"/>
              </w:rPr>
              <w:t xml:space="preserve">, </w:t>
            </w:r>
            <w:r>
              <w:t>typing.SupportsIndex</w:t>
            </w:r>
            <w:r>
              <w:rPr>
                <w:rStyle w:val="Text12"/>
              </w:rPr>
              <w:t xml:space="preserve">, </w:t>
            </w:r>
            <w:r>
              <w:t>typing.TypedDict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typing.NamedTuple._field_types</w:t>
            </w:r>
            <w:r>
              <w:rPr>
                <w:rStyle w:val="Text12"/>
              </w:rPr>
              <w:t xml:space="preserv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unicodedata.is_normalized()</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unittest</w:t>
            </w:r>
            <w:r>
              <w:t xml:space="preserve"> supports coroutines as test cases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unittest.addClassCleanup()</w:t>
            </w:r>
            <w:r>
              <w:rPr>
                <w:rStyle w:val="Text12"/>
              </w:rPr>
              <w:t xml:space="preserve">, </w:t>
            </w:r>
            <w:r>
              <w:t>unittest. addModuleCleanup()</w:t>
            </w:r>
            <w:r>
              <w:rPr>
                <w:rStyle w:val="Text12"/>
              </w:rPr>
              <w:t xml:space="preserve">, </w:t>
            </w:r>
            <w:r>
              <w:t>unittest.AsyncMock</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xml.etree.Element.getchildren()</w:t>
            </w:r>
            <w:r>
              <w:rPr>
                <w:rStyle w:val="Text12"/>
              </w:rPr>
              <w:t xml:space="preserve">, </w:t>
            </w:r>
            <w:r>
              <w:t>xml.etree.Element.getiterator()</w:t>
            </w:r>
            <w:r>
              <w:rPr>
                <w:rStyle w:val="Text12"/>
              </w:rPr>
              <w:t>,</w:t>
              <w:br w:clear="none"/>
              <w:t xml:space="preserve"> </w:t>
            </w:r>
            <w:r>
              <w:t>xml.etree.ElementTree.getchildren()</w:t>
            </w:r>
            <w:r>
              <w:rPr>
                <w:rStyle w:val="Text12"/>
              </w:rPr>
              <w:t>, and</w:t>
              <w:br w:clear="none"/>
              <w:t xml:space="preserve"> </w:t>
            </w:r>
            <w:r>
              <w:t>xml.etree.ElementTree.getiterator()</w:t>
            </w:r>
            <w:r>
              <w:rPr>
                <w:rStyle w:val="Text12"/>
              </w:rPr>
              <w:t xml:space="preserv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XMLParser.doctype()</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xmlrpc.client.ServerProxy</w:t>
            </w:r>
            <w:r>
              <w:rPr>
                <w:rStyle w:val="Text12"/>
              </w:rPr>
              <w:t xml:space="preserve"> accepts named </w:t>
            </w:r>
            <w:r>
              <w:t>headers</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5"/>
              </w:rPr>
              <w:t>yield</w:t>
            </w:r>
            <w:r>
              <w:t xml:space="preserve"> and </w:t>
            </w:r>
            <w:r>
              <w:rPr>
                <w:rStyle w:val="Text5"/>
              </w:rPr>
              <w:t>return</w:t>
            </w:r>
            <w:r>
              <w:t xml:space="preserve"> unpacking no longer requires enclosing parentheses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5"/>
              </w:rPr>
              <w:t>yield</w:t>
            </w:r>
            <w:r>
              <w:t xml:space="preserve"> and </w:t>
            </w:r>
            <w:r>
              <w:rPr>
                <w:rStyle w:val="Text5"/>
              </w:rPr>
              <w:t>yield</w:t>
            </w:r>
            <w:r>
              <w:t xml:space="preserve"> </w:t>
            </w:r>
            <w:r>
              <w:rPr>
                <w:rStyle w:val="Text5"/>
              </w:rPr>
              <w:t>from</w:t>
            </w:r>
            <w:r>
              <w:t xml:space="preserve"> no longer allowed in comprehensions or generator expressions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p>
      <w:bookmarkStart w:id="4545" w:name="Python_3_9__The_following_table"/>
      <w:pPr>
        <w:keepNext/>
        <w:pStyle w:val="Heading 1"/>
      </w:pPr>
      <w:r>
        <w:t>Python 3.9</w:t>
      </w:r>
      <w:bookmarkEnd w:id="4545"/>
    </w:p>
    <w:p>
      <w:pPr>
        <w:pStyle w:val="Normal"/>
      </w:pPr>
      <w:r>
        <w:t xml:space="preserve">The following table summarizes changes in Python version 3.9. For further details, see “What’s New in Python 3.9” in the </w:t>
      </w:r>
      <w:hyperlink r:id="rId694">
        <w:r>
          <w:rPr>
            <w:rStyle w:val="Text1"/>
          </w:rPr>
          <w:t>online docs</w:t>
        </w:r>
      </w:hyperlink>
      <w:r>
        <w:t>.</w:t>
      </w:r>
    </w:p>
    <w:tbl>
      <w:tblPr>
        <w:tblW w:type="auto" w:w="0"/>
      </w:tblPr>
      <w:tr>
        <w:tc>
          <w:tcPr>
            <w:tcW w:type="auto" w:w="0"/>
            <w:tcMar>
              <w:left w:type="dxa" w:w="200"/>
              <w:top w:type="dxa" w:w="200"/>
              <w:right w:type="dxa" w:w="200"/>
              <w:bottom w:type="dxa" w:w="200"/>
            </w:tcMar>
            <w:vAlign w:val="center"/>
          </w:tcPr>
          <w:p>
            <w:pPr>
              <w:pStyle w:val="Para 119"/>
            </w:pPr>
            <w:r>
              <w:t/>
            </w:r>
          </w:p>
          <w:p>
            <w:pPr>
              <w:pStyle w:val="Para 013"/>
            </w:pPr>
            <w:r>
              <w:t>Python 3.9</w:t>
            </w:r>
          </w:p>
        </w:tc>
        <w:tc>
          <w:tcPr>
            <w:tcW w:type="auto" w:w="0"/>
            <w:tcMar>
              <w:left w:type="dxa" w:w="200"/>
              <w:top w:type="dxa" w:w="200"/>
              <w:right w:type="dxa" w:w="200"/>
              <w:bottom w:type="dxa" w:w="200"/>
            </w:tcMar>
            <w:vAlign w:val="center"/>
          </w:tcPr>
          <w:p>
            <w:pPr>
              <w:pStyle w:val="Para 013"/>
            </w:pPr>
            <w:r>
              <w:t>Added</w:t>
            </w:r>
          </w:p>
        </w:tc>
        <w:tc>
          <w:tcPr>
            <w:tcW w:type="auto" w:w="0"/>
            <w:tcMar>
              <w:left w:type="dxa" w:w="200"/>
              <w:top w:type="dxa" w:w="200"/>
              <w:right w:type="dxa" w:w="200"/>
              <w:bottom w:type="dxa" w:w="200"/>
            </w:tcMar>
            <w:vAlign w:val="center"/>
          </w:tcPr>
          <w:p>
            <w:pPr>
              <w:pStyle w:val="Para 013"/>
            </w:pPr>
            <w:r>
              <w:t>Deprecated</w:t>
            </w:r>
          </w:p>
        </w:tc>
        <w:tc>
          <w:tcPr>
            <w:tcW w:type="auto" w:w="0"/>
            <w:tcMar>
              <w:left w:type="dxa" w:w="200"/>
              <w:top w:type="dxa" w:w="200"/>
              <w:right w:type="dxa" w:w="200"/>
              <w:bottom w:type="dxa" w:w="200"/>
            </w:tcMar>
            <w:vAlign w:val="center"/>
          </w:tcPr>
          <w:p>
            <w:pPr>
              <w:pStyle w:val="Para 013"/>
            </w:pPr>
            <w:r>
              <w:t>Removed</w:t>
            </w:r>
          </w:p>
        </w:tc>
        <w:tc>
          <w:tcPr>
            <w:tcW w:type="auto" w:w="0"/>
            <w:tcMar>
              <w:left w:type="dxa" w:w="200"/>
              <w:top w:type="dxa" w:w="200"/>
              <w:right w:type="dxa" w:w="200"/>
              <w:bottom w:type="dxa" w:w="200"/>
            </w:tcMar>
            <w:vAlign w:val="center"/>
          </w:tcPr>
          <w:p>
            <w:pPr>
              <w:pStyle w:val="Para 013"/>
            </w:pPr>
            <w:r>
              <w:t>Breaking change</w:t>
            </w:r>
          </w:p>
        </w:tc>
      </w:tr>
    </w:tbl>
    <w:tbl>
      <w:tblPr>
        <w:tblW w:type="auto" w:w="0"/>
      </w:tblPr>
      <w:tr>
        <w:tc>
          <w:tcPr>
            <w:tcW w:type="auto" w:w="0"/>
            <w:tcMar>
              <w:left w:type="dxa" w:w="200"/>
              <w:top w:type="dxa" w:w="200"/>
              <w:right w:type="dxa" w:w="200"/>
              <w:bottom w:type="dxa" w:w="200"/>
            </w:tcMar>
          </w:tcPr>
          <w:p>
            <w:pPr>
              <w:pStyle w:val="Para 002"/>
            </w:pPr>
            <w:r>
              <w:t xml:space="preserve">Type annotations can now use built-in types in generics (e.g., </w:t>
            </w:r>
            <w:r>
              <w:rPr>
                <w:rStyle w:val="Text0"/>
              </w:rPr>
              <w:t>list[int]</w:t>
            </w:r>
            <w:r>
              <w:t xml:space="preserve"> instead of </w:t>
            </w:r>
            <w:r>
              <w:rPr>
                <w:rStyle w:val="Text0"/>
              </w:rPr>
              <w:t>List[int]</w:t>
            </w:r>
            <w: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array.array.tostring()</w:t>
            </w:r>
            <w:r>
              <w:rPr>
                <w:rStyle w:val="Text12"/>
              </w:rPr>
              <w:t xml:space="preserve"> and</w:t>
              <w:br w:clear="none"/>
              <w:t xml:space="preserve"> </w:t>
            </w:r>
            <w:r>
              <w:t>array.array.fromstring()</w:t>
            </w:r>
            <w:r>
              <w:rPr>
                <w:rStyle w:val="Text12"/>
              </w:rPr>
              <w:t xml:space="preserve"> removed;</w:t>
              <w:br w:clear="none"/>
              <w:t xml:space="preserve"> use </w:t>
            </w:r>
            <w:r>
              <w:t>tobytes()</w:t>
            </w:r>
            <w:r>
              <w:rPr>
                <w:rStyle w:val="Text12"/>
              </w:rPr>
              <w:t xml:space="preserve"> and </w:t>
            </w:r>
            <w:r>
              <w:t>frombytes()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ast.unparse()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asyncio.loop.create_datagram_endpoint()</w:t>
            </w:r>
            <w:r>
              <w:rPr>
                <w:rStyle w:val="Text12"/>
              </w:rPr>
              <w:t xml:space="preserve"> argument </w:t>
            </w:r>
            <w:r>
              <w:t>reuse_address</w:t>
            </w:r>
            <w:r>
              <w:rPr>
                <w:rStyle w:val="Text12"/>
              </w:rPr>
              <w:t xml:space="preserve"> disabled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asyncio.PidfdChild Watcher</w:t>
            </w:r>
            <w:r>
              <w:rPr>
                <w:rStyle w:val="Text12"/>
              </w:rPr>
              <w:t>,</w:t>
              <w:br w:clear="none"/>
              <w:t xml:space="preserve"> </w:t>
            </w:r>
            <w:r>
              <w:t>asyncio.shutdown_default_executor()</w:t>
            </w:r>
            <w:r>
              <w:rPr>
                <w:rStyle w:val="Text12"/>
              </w:rPr>
              <w:t>,</w:t>
              <w:br w:clear="none"/>
              <w:t xml:space="preserve"> </w:t>
            </w:r>
            <w:r>
              <w:t>asyncio.to_thread()</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asyncio.Task.all_asks</w:t>
            </w:r>
            <w:r>
              <w:rPr>
                <w:rStyle w:val="Text12"/>
              </w:rPr>
              <w:t xml:space="preserve"> removed;</w:t>
              <w:br w:clear="none"/>
              <w:t xml:space="preserve"> use </w:t>
            </w:r>
            <w:r>
              <w:t>asyncio.all_tasks()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asyncio.Task.current_task</w:t>
            </w:r>
            <w:r>
              <w:rPr>
                <w:rStyle w:val="Text12"/>
              </w:rPr>
              <w:t xml:space="preserve"> removed;</w:t>
              <w:br w:clear="none"/>
              <w:t xml:space="preserve"> use </w:t>
            </w:r>
            <w:r>
              <w:t>asyncio.current_task()</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base64.encodestring()</w:t>
            </w:r>
            <w:r>
              <w:rPr>
                <w:rStyle w:val="Text12"/>
              </w:rPr>
              <w:t xml:space="preserve"> and </w:t>
            </w:r>
            <w:r>
              <w:t>base64.decodestring()</w:t>
            </w:r>
            <w:r>
              <w:rPr>
                <w:rStyle w:val="Text12"/>
              </w:rPr>
              <w:t xml:space="preserve"> removed; use </w:t>
            </w:r>
            <w:r>
              <w:t>base64.encodebytes()</w:t>
            </w:r>
            <w:r>
              <w:rPr>
                <w:rStyle w:val="Text12"/>
              </w:rPr>
              <w:t xml:space="preserve"> and </w:t>
            </w:r>
            <w:r>
              <w:t>base64.decodebytes()</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concurrent.futures.Executor.shutdown()</w:t>
            </w:r>
            <w:r>
              <w:rPr>
                <w:rStyle w:val="Text12"/>
              </w:rPr>
              <w:t xml:space="preserve"> accepts named </w:t>
            </w:r>
            <w:r>
              <w:t>cancel_futures</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curses.get_escdelay()</w:t>
            </w:r>
            <w:r>
              <w:rPr>
                <w:rStyle w:val="Text12"/>
              </w:rPr>
              <w:t>,</w:t>
              <w:br w:clear="none"/>
              <w:t xml:space="preserve"> </w:t>
            </w:r>
            <w:r>
              <w:t>curses.get_tabsize()</w:t>
            </w:r>
            <w:r>
              <w:rPr>
                <w:rStyle w:val="Text12"/>
              </w:rPr>
              <w:t>,</w:t>
              <w:br w:clear="none"/>
              <w:t xml:space="preserve"> </w:t>
            </w:r>
            <w:r>
              <w:t>curses.set_escdelay()</w:t>
            </w:r>
            <w:r>
              <w:rPr>
                <w:rStyle w:val="Text12"/>
              </w:rPr>
              <w:t>,</w:t>
              <w:br w:clear="none"/>
              <w:t xml:space="preserve"> </w:t>
            </w:r>
            <w:r>
              <w:t>curses.set_tabsize()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dict</w:t>
            </w:r>
            <w:r>
              <w:t xml:space="preserve"> supports union operators </w:t>
            </w:r>
            <w:r>
              <w:rPr>
                <w:rStyle w:val="Text0"/>
              </w:rPr>
              <w:t>|</w:t>
            </w:r>
            <w:r>
              <w:t xml:space="preserve"> and </w:t>
            </w:r>
            <w:r>
              <w:rPr>
                <w:rStyle w:val="Text0"/>
              </w:rP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fcntl.F_OFD_GETLK</w:t>
            </w:r>
            <w:r>
              <w:rPr>
                <w:rStyle w:val="Text12"/>
              </w:rPr>
              <w:t>,</w:t>
              <w:br w:clear="none"/>
              <w:t xml:space="preserve"> </w:t>
            </w:r>
            <w:r>
              <w:t>fcntl.F_OFD_SETLK</w:t>
            </w:r>
            <w:r>
              <w:rPr>
                <w:rStyle w:val="Text12"/>
              </w:rPr>
              <w:t>,</w:t>
              <w:br w:clear="none"/>
              <w:t xml:space="preserve"> </w:t>
            </w:r>
            <w:r>
              <w:t>fcntl.F_OFD_SETKLW</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fractions.gcd()</w:t>
            </w:r>
            <w:r>
              <w:rPr>
                <w:rStyle w:val="Text12"/>
              </w:rPr>
              <w:t xml:space="preserve"> removed; use </w:t>
            </w:r>
            <w:r>
              <w:t>math.gcd()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functools.cache()</w:t>
              <w:br w:clear="none"/>
            </w:r>
            <w:r>
              <w:t xml:space="preserve"> (lightweight/faster version of </w:t>
            </w:r>
            <w:r>
              <w:rPr>
                <w:rStyle w:val="Text0"/>
              </w:rPr>
              <w:t>lru_cache</w:t>
            </w:r>
            <w:r>
              <w: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gc.is_finalized()</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graphlib</w:t>
            </w:r>
            <w:r>
              <w:rPr>
                <w:rStyle w:val="Text12"/>
              </w:rPr>
              <w:t xml:space="preserve"> module with </w:t>
            </w:r>
            <w:r>
              <w:t>TopologicalSorter</w:t>
            </w:r>
            <w:r>
              <w:rPr>
                <w:rStyle w:val="Text12"/>
              </w:rPr>
              <w:t xml:space="preserve"> class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html.parser.HTMLParser.unescape()</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imaplib.IMAP4.unselect()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importlib.resources.files()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inspect.BoundArguments.arguments</w:t>
            </w:r>
            <w:r>
              <w:rPr>
                <w:rStyle w:val="Text12"/>
              </w:rPr>
              <w:t xml:space="preserve"> returns </w:t>
            </w:r>
            <w:r>
              <w:t>dict</w:t>
            </w:r>
            <w:r>
              <w:rPr>
                <w:rStyle w:val="Text12"/>
              </w:rPr>
              <w:t xml:space="preserve"> instead of </w:t>
            </w:r>
            <w:r>
              <w:t>OrderedDict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ipaddress</w:t>
            </w:r>
            <w:r>
              <w:t xml:space="preserve"> module does not accept leading zeros in IPv4 address strings</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logging.getLogger('root')</w:t>
            </w:r>
            <w:r>
              <w:rPr>
                <w:rStyle w:val="Text12"/>
              </w:rPr>
              <w:t xml:space="preserve"> returns the root logger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math.gcd()</w:t>
            </w:r>
            <w:r>
              <w:t xml:space="preserve"> accepts multiple arguments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math.lcm()</w:t>
            </w:r>
            <w:r>
              <w:rPr>
                <w:rStyle w:val="Text12"/>
              </w:rPr>
              <w:t xml:space="preserve">, </w:t>
            </w:r>
            <w:r>
              <w:t>math.nextafter()</w:t>
            </w:r>
            <w:r>
              <w:rPr>
                <w:rStyle w:val="Text12"/>
              </w:rPr>
              <w:t xml:space="preserve">, </w:t>
            </w:r>
            <w:r>
              <w:t>math.ulp()</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multiprocessing.SimpleQueue.close()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nntplib.NNTP.xpath()</w:t>
            </w:r>
            <w:r>
              <w:rPr>
                <w:rStyle w:val="Text12"/>
              </w:rPr>
              <w:t xml:space="preserve"> and</w:t>
              <w:br w:clear="none"/>
              <w:t xml:space="preserve"> </w:t>
            </w:r>
            <w:r>
              <w:t>nntplib.xgtitle()</w:t>
            </w:r>
            <w:r>
              <w:rPr>
                <w:rStyle w:val="Text12"/>
              </w:rPr>
              <w:t xml:space="preserv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os.pidfd_open()</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os.unsetenv()</w:t>
            </w:r>
            <w:r>
              <w:t xml:space="preserve"> available on Windows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os.waitstatus_to_exitcode()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parser</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pathlib.Path.readlink()</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plistlib</w:t>
            </w:r>
            <w:r>
              <w:t xml:space="preserve"> API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pprint</w:t>
            </w:r>
            <w:r>
              <w:rPr>
                <w:rStyle w:val="Text12"/>
              </w:rPr>
              <w:t xml:space="preserve"> supports </w:t>
            </w:r>
            <w:r>
              <w:t>types.SimpleNamespace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random.choices()</w:t>
            </w:r>
            <w:r>
              <w:rPr>
                <w:rStyle w:val="Text12"/>
              </w:rPr>
              <w:t xml:space="preserve"> with </w:t>
            </w:r>
            <w:r>
              <w:t>weights</w:t>
            </w:r>
            <w:r>
              <w:rPr>
                <w:rStyle w:val="Text12"/>
              </w:rPr>
              <w:t xml:space="preserve"> argument raises </w:t>
            </w:r>
            <w:r>
              <w:t>ValueError</w:t>
            </w:r>
            <w:r>
              <w:rPr>
                <w:rStyle w:val="Text12"/>
              </w:rPr>
              <w:t xml:space="preserve"> if </w:t>
            </w:r>
            <w:r>
              <w:t>weights</w:t>
            </w:r>
            <w:r>
              <w:rPr>
                <w:rStyle w:val="Text12"/>
              </w:rPr>
              <w:t xml:space="preserve"> are all </w:t>
            </w:r>
            <w:r>
              <w:t>0</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random.Random.randbytes()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socket.CAN_RAW_JOIN_FILTERS</w:t>
            </w:r>
            <w:r>
              <w:rPr>
                <w:rStyle w:val="Text12"/>
              </w:rPr>
              <w:t xml:space="preserve">, </w:t>
            </w:r>
            <w:r>
              <w:t>socket.send_fds()</w:t>
            </w:r>
            <w:r>
              <w:rPr>
                <w:rStyle w:val="Text12"/>
              </w:rPr>
              <w:t>,</w:t>
            </w:r>
            <w:r>
              <w:t xml:space="preserve"> socket.recv_fds()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str.removeprefix()</w:t>
            </w:r>
            <w:r>
              <w:rPr>
                <w:rStyle w:val="Text12"/>
              </w:rPr>
              <w:t>,</w:t>
              <w:br w:clear="none"/>
              <w:t xml:space="preserve"> </w:t>
            </w:r>
            <w:r>
              <w:t>str.removesuffix()</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symbol</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sys.callstats()</w:t>
            </w:r>
            <w:r>
              <w:rPr>
                <w:rStyle w:val="Text12"/>
              </w:rPr>
              <w:t xml:space="preserve">, </w:t>
            </w:r>
            <w:r>
              <w:t>sys.getcheckinterval()</w:t>
            </w:r>
            <w:r>
              <w:rPr>
                <w:rStyle w:val="Text12"/>
              </w:rPr>
              <w:t xml:space="preserve">, </w:t>
            </w:r>
            <w:r>
              <w:t>sys.getcounts()</w:t>
            </w:r>
            <w:r>
              <w:rPr>
                <w:rStyle w:val="Text12"/>
              </w:rPr>
              <w:t>, and</w:t>
              <w:br w:clear="none"/>
              <w:t xml:space="preserve"> </w:t>
            </w:r>
            <w:r>
              <w:t>sys.setcheckinterval()</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sys.getcheckinterval()</w:t>
            </w:r>
            <w:r>
              <w:rPr>
                <w:rStyle w:val="Text12"/>
              </w:rPr>
              <w:t xml:space="preserve"> and</w:t>
              <w:br w:clear="none"/>
              <w:t xml:space="preserve"> </w:t>
            </w:r>
            <w:r>
              <w:t>sys.setcheckinterval()</w:t>
            </w:r>
            <w:r>
              <w:rPr>
                <w:rStyle w:val="Text12"/>
              </w:rPr>
              <w:t xml:space="preserve"> removed;</w:t>
              <w:br w:clear="none"/>
              <w:t xml:space="preserve"> use </w:t>
            </w:r>
            <w:r>
              <w:t>sys.getswitchinterval()</w:t>
            </w:r>
            <w:r>
              <w:rPr>
                <w:rStyle w:val="Text12"/>
              </w:rPr>
              <w:t xml:space="preserve"> and</w:t>
              <w:br w:clear="none"/>
              <w:t xml:space="preserve"> </w:t>
            </w:r>
            <w:r>
              <w:t>sys.setswitchinterval()</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sys.platlibdir</w:t>
            </w:r>
            <w:r>
              <w:rPr>
                <w:rStyle w:val="Text12"/>
              </w:rPr>
              <w:t xml:space="preserve"> attribute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threading.Thread.isAlive()</w:t>
            </w:r>
            <w:r>
              <w:rPr>
                <w:rStyle w:val="Text12"/>
              </w:rPr>
              <w:t xml:space="preserve"> removed;</w:t>
              <w:br w:clear="none"/>
              <w:t xml:space="preserve"> use </w:t>
            </w:r>
            <w:r>
              <w:t>threading.Thread.is_alive()</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tracemalloc.reset_peak()</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typing.Annotated</w:t>
            </w:r>
            <w:r>
              <w:rPr>
                <w:rStyle w:val="Text12"/>
              </w:rPr>
              <w:t xml:space="preserve"> type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typing.Literal</w:t>
            </w:r>
            <w:r>
              <w:t xml:space="preserve"> deduplicates values;</w:t>
              <w:br w:clear="none"/>
              <w:t xml:space="preserve"> equality matching is order independent (3.9.1)</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typing.NamedTuple._field_types</w:t>
            </w:r>
            <w:r>
              <w:rPr>
                <w:rStyle w:val="Text12"/>
              </w:rPr>
              <w:t xml:space="preserve"> removed;</w:t>
              <w:br w:clear="none"/>
              <w:t xml:space="preserve"> use </w:t>
            </w:r>
            <w:r>
              <w:t>__annotations__</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urllib.parse.parse_qs()</w:t>
            </w:r>
            <w:r>
              <w:t xml:space="preserve"> and</w:t>
              <w:br w:clear="none"/>
              <w:t xml:space="preserve"> </w:t>
            </w:r>
            <w:r>
              <w:rPr>
                <w:rStyle w:val="Text0"/>
              </w:rPr>
              <w:t>urllib.parse.parse_qsl()</w:t>
            </w:r>
            <w:r>
              <w:t xml:space="preserve"> accept </w:t>
            </w:r>
            <w:r>
              <w:rPr>
                <w:rStyle w:val="Text0"/>
              </w:rPr>
              <w:t>;</w:t>
            </w:r>
            <w:r>
              <w:t xml:space="preserve"> or </w:t>
            </w:r>
            <w:r>
              <w:rPr>
                <w:rStyle w:val="Text0"/>
              </w:rPr>
              <w:t>&amp;</w:t>
            </w:r>
            <w:r>
              <w:t xml:space="preserve"> query parameter separator, but not both (3.9.2)</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urllib.parse.urlparse()</w:t>
            </w:r>
            <w:r>
              <w:t xml:space="preserve"> changed handling of numeric paths; a string like </w:t>
            </w:r>
            <w:r>
              <w:rPr>
                <w:rStyle w:val="Text0"/>
              </w:rPr>
              <w:t>'path:80'</w:t>
            </w:r>
            <w:r>
              <w:t xml:space="preserve"> is no longer parsed as a path but as a scheme (</w:t>
            </w:r>
            <w:r>
              <w:rPr>
                <w:rStyle w:val="Text0"/>
              </w:rPr>
              <w:t>'path'</w:t>
            </w:r>
            <w:r>
              <w:t>) and a path (</w:t>
            </w:r>
            <w:r>
              <w:rPr>
                <w:rStyle w:val="Text0"/>
              </w:rPr>
              <w:t>'80'</w:t>
            </w: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rPr>
                <w:rStyle w:val="Text5"/>
              </w:rPr>
              <w:t>with</w:t>
            </w:r>
            <w:r>
              <w:rPr>
                <w:rStyle w:val="Text12"/>
              </w:rPr>
              <w:t xml:space="preserve"> </w:t>
            </w:r>
            <w:r>
              <w:t>(</w:t>
            </w:r>
            <w:r>
              <w:rPr>
                <w:rStyle w:val="Text5"/>
              </w:rPr>
              <w:t>await</w:t>
            </w:r>
            <w:r>
              <w:rPr>
                <w:rStyle w:val="Text12"/>
              </w:rPr>
              <w:t xml:space="preserve"> </w:t>
            </w:r>
            <w:r>
              <w:t>asyncio.Condition)</w:t>
            </w:r>
            <w:r>
              <w:rPr>
                <w:rStyle w:val="Text12"/>
              </w:rPr>
              <w:t xml:space="preserve"> and</w:t>
              <w:br w:clear="none"/>
              <w:t xml:space="preserve"> </w:t>
            </w:r>
            <w:r>
              <w:rPr>
                <w:rStyle w:val="Text5"/>
              </w:rPr>
              <w:t>with</w:t>
            </w:r>
            <w:r>
              <w:rPr>
                <w:rStyle w:val="Text12"/>
              </w:rPr>
              <w:t xml:space="preserve"> </w:t>
            </w:r>
            <w:r>
              <w:t>(</w:t>
            </w:r>
            <w:r>
              <w:rPr>
                <w:rStyle w:val="Text5"/>
              </w:rPr>
              <w:t>yield from</w:t>
            </w:r>
            <w:r>
              <w:rPr>
                <w:rStyle w:val="Text12"/>
              </w:rPr>
              <w:t xml:space="preserve"> </w:t>
            </w:r>
            <w:r>
              <w:t>asyncio.Condition)</w:t>
            </w:r>
            <w:r>
              <w:rPr>
                <w:rStyle w:val="Text12"/>
              </w:rPr>
              <w:t xml:space="preserve"> removed;</w:t>
              <w:br w:clear="none"/>
              <w:t xml:space="preserve"> use </w:t>
            </w:r>
            <w:r>
              <w:rPr>
                <w:rStyle w:val="Text5"/>
              </w:rPr>
              <w:t>async with</w:t>
            </w:r>
            <w:r>
              <w:rPr>
                <w:rStyle w:val="Text12"/>
              </w:rPr>
              <w:t xml:space="preserve"> </w:t>
            </w:r>
            <w:r>
              <w:t>condition</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21"/>
            </w:pPr>
            <w:r>
              <w:t>with</w:t>
            </w:r>
            <w:r>
              <w:rPr>
                <w:rStyle w:val="Text124"/>
              </w:rPr>
              <w:bookmarkStart w:id="4546" w:name="idm45965161568368"/>
              <w:t/>
              <w:bookmarkEnd w:id="4546"/>
            </w:r>
            <w:r>
              <w:rPr>
                <w:rStyle w:val="Text60"/>
              </w:rPr>
              <w:t xml:space="preserve"> </w:t>
            </w:r>
            <w:r>
              <w:rPr>
                <w:rStyle w:val="Text72"/>
              </w:rPr>
              <w:t>(</w:t>
            </w:r>
            <w:r>
              <w:t>await</w:t>
            </w:r>
            <w:r>
              <w:rPr>
                <w:rStyle w:val="Text60"/>
              </w:rPr>
              <w:t xml:space="preserve"> </w:t>
            </w:r>
            <w:r>
              <w:rPr>
                <w:rStyle w:val="Text72"/>
              </w:rPr>
              <w:t>asyncio.lock)</w:t>
            </w:r>
            <w:r>
              <w:rPr>
                <w:rStyle w:val="Text60"/>
              </w:rPr>
              <w:t xml:space="preserve"> and</w:t>
              <w:br w:clear="none"/>
              <w:t xml:space="preserve"> </w:t>
            </w:r>
            <w:r>
              <w:t>with</w:t>
            </w:r>
            <w:r>
              <w:rPr>
                <w:rStyle w:val="Text60"/>
              </w:rPr>
              <w:t xml:space="preserve"> </w:t>
            </w:r>
            <w:r>
              <w:rPr>
                <w:rStyle w:val="Text72"/>
              </w:rPr>
              <w:t>(</w:t>
            </w:r>
            <w:r>
              <w:t>yield from</w:t>
            </w:r>
            <w:r>
              <w:rPr>
                <w:rStyle w:val="Text60"/>
              </w:rPr>
              <w:t xml:space="preserve"> </w:t>
            </w:r>
            <w:r>
              <w:rPr>
                <w:rStyle w:val="Text72"/>
              </w:rPr>
              <w:t>asyncio.lock)</w:t>
            </w:r>
            <w:r>
              <w:rPr>
                <w:rStyle w:val="Text60"/>
              </w:rPr>
              <w:t xml:space="preserve"> removed;</w:t>
              <w:br w:clear="none"/>
              <w:t xml:space="preserve"> use </w:t>
            </w:r>
            <w:r>
              <w:t>async with</w:t>
            </w:r>
            <w:r>
              <w:rPr>
                <w:rStyle w:val="Text60"/>
              </w:rPr>
              <w:t xml:space="preserve"> </w:t>
            </w:r>
            <w:r>
              <w:rPr>
                <w:rStyle w:val="Text72"/>
              </w:rPr>
              <w:t>lock</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rPr>
                <w:rStyle w:val="Text5"/>
              </w:rPr>
              <w:t>with</w:t>
            </w:r>
            <w:r>
              <w:rPr>
                <w:rStyle w:val="Text12"/>
              </w:rPr>
              <w:t xml:space="preserve"> </w:t>
            </w:r>
            <w:r>
              <w:t>(</w:t>
            </w:r>
            <w:r>
              <w:rPr>
                <w:rStyle w:val="Text5"/>
              </w:rPr>
              <w:t>await</w:t>
            </w:r>
            <w:r>
              <w:rPr>
                <w:rStyle w:val="Text12"/>
              </w:rPr>
              <w:t xml:space="preserve"> </w:t>
            </w:r>
            <w:r>
              <w:t>asyncio.Semaphore)</w:t>
            </w:r>
            <w:r>
              <w:rPr>
                <w:rStyle w:val="Text12"/>
              </w:rPr>
              <w:t xml:space="preserve"> and </w:t>
            </w:r>
            <w:r>
              <w:rPr>
                <w:rStyle w:val="Text5"/>
              </w:rPr>
              <w:t>with</w:t>
            </w:r>
            <w:r>
              <w:rPr>
                <w:rStyle w:val="Text12"/>
              </w:rPr>
              <w:t xml:space="preserve"> </w:t>
            </w:r>
            <w:r>
              <w:t>(</w:t>
            </w:r>
            <w:r>
              <w:rPr>
                <w:rStyle w:val="Text5"/>
              </w:rPr>
              <w:t>yield from</w:t>
            </w:r>
            <w:r>
              <w:rPr>
                <w:rStyle w:val="Text12"/>
              </w:rPr>
              <w:t xml:space="preserve"> </w:t>
            </w:r>
            <w:r>
              <w:t>asyncio.Semaphore)</w:t>
            </w:r>
            <w:r>
              <w:rPr>
                <w:rStyle w:val="Text12"/>
              </w:rPr>
              <w:t xml:space="preserve"> removed; use </w:t>
            </w:r>
            <w:r>
              <w:rPr>
                <w:rStyle w:val="Text5"/>
              </w:rPr>
              <w:t>async with</w:t>
            </w:r>
            <w:r>
              <w:rPr>
                <w:rStyle w:val="Text12"/>
              </w:rPr>
              <w:t xml:space="preserve"> </w:t>
            </w:r>
            <w:r>
              <w:t>semaphore</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xml.etree.Element.getchildren()</w:t>
            </w:r>
            <w:r>
              <w:rPr>
                <w:rStyle w:val="Text12"/>
              </w:rPr>
              <w:t>,</w:t>
              <w:br w:clear="none"/>
              <w:t xml:space="preserve"> </w:t>
            </w:r>
            <w:r>
              <w:t>xml.etree.Element.getiterator()</w:t>
            </w:r>
            <w:r>
              <w:rPr>
                <w:rStyle w:val="Text12"/>
              </w:rPr>
              <w:t>,</w:t>
              <w:br w:clear="none"/>
              <w:t xml:space="preserve"> </w:t>
            </w:r>
            <w:r>
              <w:t>xml.etree.ElementTree.getchildren()</w:t>
            </w:r>
            <w:r>
              <w:rPr>
                <w:rStyle w:val="Text12"/>
              </w:rPr>
              <w:t>, and</w:t>
              <w:br w:clear="none"/>
              <w:t xml:space="preserve"> </w:t>
            </w:r>
            <w:r>
              <w:t>xml.etree.ElementTree.getiterator()</w:t>
            </w:r>
            <w:r>
              <w:rPr>
                <w:rStyle w:val="Text12"/>
              </w:rPr>
              <w:t xml:space="preserv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zoneinfo</w:t>
            </w:r>
            <w:r>
              <w:t xml:space="preserve"> module for IANA time zone support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p>
      <w:bookmarkStart w:id="4547" w:name="Python_3_10__The_following_table"/>
      <w:pPr>
        <w:keepNext/>
        <w:pStyle w:val="Heading 1"/>
      </w:pPr>
      <w:r>
        <w:t>Python 3.10</w:t>
      </w:r>
      <w:bookmarkEnd w:id="4547"/>
    </w:p>
    <w:p>
      <w:pPr>
        <w:pStyle w:val="Normal"/>
      </w:pPr>
      <w:r>
        <w:t xml:space="preserve">The following table summarizes changes in Python version 3.10. For further details, see “What’s New in Python 3.10” in the </w:t>
      </w:r>
      <w:hyperlink r:id="rId695">
        <w:r>
          <w:rPr>
            <w:rStyle w:val="Text1"/>
          </w:rPr>
          <w:t>online docs</w:t>
        </w:r>
      </w:hyperlink>
      <w:r>
        <w:t>.</w:t>
      </w:r>
    </w:p>
    <w:tbl>
      <w:tblPr>
        <w:tblW w:type="auto" w:w="0"/>
      </w:tblPr>
      <w:tr>
        <w:tc>
          <w:tcPr>
            <w:tcW w:type="auto" w:w="0"/>
            <w:tcMar>
              <w:left w:type="dxa" w:w="200"/>
              <w:top w:type="dxa" w:w="200"/>
              <w:right w:type="dxa" w:w="200"/>
              <w:bottom w:type="dxa" w:w="200"/>
            </w:tcMar>
            <w:vAlign w:val="center"/>
          </w:tcPr>
          <w:p>
            <w:pPr>
              <w:pStyle w:val="Para 119"/>
            </w:pPr>
            <w:r>
              <w:t/>
            </w:r>
          </w:p>
          <w:p>
            <w:pPr>
              <w:pStyle w:val="Para 013"/>
            </w:pPr>
            <w:r>
              <w:t>Python 3.10</w:t>
            </w:r>
          </w:p>
        </w:tc>
        <w:tc>
          <w:tcPr>
            <w:tcW w:type="auto" w:w="0"/>
            <w:tcMar>
              <w:left w:type="dxa" w:w="200"/>
              <w:top w:type="dxa" w:w="200"/>
              <w:right w:type="dxa" w:w="200"/>
              <w:bottom w:type="dxa" w:w="200"/>
            </w:tcMar>
            <w:vAlign w:val="center"/>
          </w:tcPr>
          <w:p>
            <w:pPr>
              <w:pStyle w:val="Para 013"/>
            </w:pPr>
            <w:r>
              <w:t>Added</w:t>
            </w:r>
          </w:p>
        </w:tc>
        <w:tc>
          <w:tcPr>
            <w:tcW w:type="auto" w:w="0"/>
            <w:tcMar>
              <w:left w:type="dxa" w:w="200"/>
              <w:top w:type="dxa" w:w="200"/>
              <w:right w:type="dxa" w:w="200"/>
              <w:bottom w:type="dxa" w:w="200"/>
            </w:tcMar>
            <w:vAlign w:val="center"/>
          </w:tcPr>
          <w:p>
            <w:pPr>
              <w:pStyle w:val="Para 013"/>
            </w:pPr>
            <w:r>
              <w:t>Deprecated</w:t>
            </w:r>
          </w:p>
        </w:tc>
        <w:tc>
          <w:tcPr>
            <w:tcW w:type="auto" w:w="0"/>
            <w:tcMar>
              <w:left w:type="dxa" w:w="200"/>
              <w:top w:type="dxa" w:w="200"/>
              <w:right w:type="dxa" w:w="200"/>
              <w:bottom w:type="dxa" w:w="200"/>
            </w:tcMar>
            <w:vAlign w:val="center"/>
          </w:tcPr>
          <w:p>
            <w:pPr>
              <w:pStyle w:val="Para 013"/>
            </w:pPr>
            <w:r>
              <w:t>Removed</w:t>
            </w:r>
          </w:p>
        </w:tc>
        <w:tc>
          <w:tcPr>
            <w:tcW w:type="auto" w:w="0"/>
            <w:tcMar>
              <w:left w:type="dxa" w:w="200"/>
              <w:top w:type="dxa" w:w="200"/>
              <w:right w:type="dxa" w:w="200"/>
              <w:bottom w:type="dxa" w:w="200"/>
            </w:tcMar>
            <w:vAlign w:val="center"/>
          </w:tcPr>
          <w:p>
            <w:pPr>
              <w:pStyle w:val="Para 013"/>
            </w:pPr>
            <w:r>
              <w:t>Breaking change</w:t>
            </w:r>
          </w:p>
        </w:tc>
      </w:tr>
    </w:tbl>
    <w:tbl>
      <w:tblPr>
        <w:tblW w:type="auto" w:w="0"/>
      </w:tblPr>
      <w:tr>
        <w:tc>
          <w:tcPr>
            <w:tcW w:type="auto" w:w="0"/>
            <w:tcMar>
              <w:left w:type="dxa" w:w="200"/>
              <w:top w:type="dxa" w:w="200"/>
              <w:right w:type="dxa" w:w="200"/>
              <w:bottom w:type="dxa" w:w="200"/>
            </w:tcMar>
          </w:tcPr>
          <w:p>
            <w:pPr>
              <w:pStyle w:val="Para 002"/>
            </w:pPr>
            <w:r>
              <w:t>Building requires OpenSSL 1.1.1 or newer</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Debugging improved with precise line numbers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xml:space="preserve">Structural pattern matching using </w:t>
            </w:r>
            <w:r>
              <w:rPr>
                <w:rStyle w:val="Text5"/>
              </w:rPr>
              <w:t>match</w:t>
            </w:r>
            <w:r>
              <w:t xml:space="preserve">, </w:t>
            </w:r>
            <w:r>
              <w:rPr>
                <w:rStyle w:val="Text5"/>
              </w:rPr>
              <w:t>case</w:t>
            </w:r>
            <w:r>
              <w:t>,</w:t>
              <w:br w:clear="none"/>
              <w:t xml:space="preserve"> and </w:t>
            </w:r>
            <w:r>
              <w:rPr>
                <w:rStyle w:val="Text5"/>
              </w:rPr>
              <w:t>_</w:t>
            </w:r>
            <w:r>
              <w:t xml:space="preserve"> soft keywords</w:t>
            </w:r>
            <w:hyperlink w:anchor="a_Since_these_are_defined_as_sof">
              <w:r>
                <w:rPr>
                  <w:rStyle w:val="Text41"/>
                </w:rPr>
                <w:bookmarkStart w:id="4548" w:name="a_21"/>
                <w:t>a</w:t>
                <w:bookmarkEnd w:id="4548"/>
              </w:r>
            </w:hyperlink>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aiter()</w:t>
            </w:r>
            <w:r>
              <w:t xml:space="preserve"> and </w:t>
            </w:r>
            <w:r>
              <w:rPr>
                <w:rStyle w:val="Text0"/>
              </w:rPr>
              <w:t>anext()</w:t>
            </w:r>
            <w:r>
              <w:t xml:space="preserve"> built-ins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array.array.index()</w:t>
            </w:r>
            <w:r>
              <w:t xml:space="preserve"> accepts optional arguments </w:t>
            </w:r>
            <w:r>
              <w:rPr>
                <w:rStyle w:val="Text0"/>
              </w:rPr>
              <w:t>start</w:t>
            </w:r>
            <w:r>
              <w:t xml:space="preserve"> and </w:t>
            </w:r>
            <w:r>
              <w:rPr>
                <w:rStyle w:val="Text0"/>
              </w:rPr>
              <w:t>stop</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ast.literal_eval(</w:t>
            </w:r>
            <w:r>
              <w:rPr>
                <w:rStyle w:val="Text3"/>
              </w:rPr>
              <w:t>s</w:t>
            </w:r>
            <w:r>
              <w:rPr>
                <w:rStyle w:val="Text0"/>
              </w:rPr>
              <w:t>)</w:t>
            </w:r>
            <w:r>
              <w:t xml:space="preserve"> strips leading spaces and tabs from input string </w:t>
            </w:r>
            <w:r>
              <w:rPr>
                <w:rStyle w:val="Text4"/>
              </w:rPr>
              <w:t>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asynchat</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asyncio</w:t>
            </w:r>
            <w:r>
              <w:t xml:space="preserve"> functions remove </w:t>
            </w:r>
            <w:r>
              <w:rPr>
                <w:rStyle w:val="Text0"/>
              </w:rPr>
              <w:t>loop</w:t>
            </w:r>
            <w:r>
              <w:t xml:space="preserve"> parameter</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asyncio.connect_accepted_socket()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asyncore</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base64.b32hexdecode</w:t>
            </w:r>
            <w:r>
              <w:rPr>
                <w:rStyle w:val="Text12"/>
              </w:rPr>
              <w:t>,</w:t>
              <w:br w:clear="none"/>
              <w:t xml:space="preserve"> </w:t>
            </w:r>
            <w:r>
              <w:t>base64.b32hexencode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bdb.clearBreakpoints()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bisect.bisect</w:t>
            </w:r>
            <w:r>
              <w:rPr>
                <w:rStyle w:val="Text12"/>
              </w:rPr>
              <w:t xml:space="preserve">, </w:t>
            </w:r>
            <w:r>
              <w:t>bisect.bisect_left</w:t>
            </w:r>
            <w:r>
              <w:rPr>
                <w:rStyle w:val="Text12"/>
              </w:rPr>
              <w:t xml:space="preserve">, </w:t>
            </w:r>
            <w:r>
              <w:t>bisect.bisect_right</w:t>
            </w:r>
            <w:r>
              <w:rPr>
                <w:rStyle w:val="Text12"/>
              </w:rPr>
              <w:t xml:space="preserve">, </w:t>
            </w:r>
            <w:r>
              <w:t>bisect.insort</w:t>
            </w:r>
            <w:r>
              <w:rPr>
                <w:rStyle w:val="Text12"/>
              </w:rPr>
              <w:t>,</w:t>
            </w:r>
            <w:r>
              <w:t xml:space="preserve"> bisect.insort_left</w:t>
            </w:r>
            <w:r>
              <w:rPr>
                <w:rStyle w:val="Text12"/>
              </w:rPr>
              <w:t xml:space="preserve">, and </w:t>
            </w:r>
            <w:r>
              <w:t>bisect.insert_right</w:t>
            </w:r>
            <w:r>
              <w:rPr>
                <w:rStyle w:val="Text12"/>
              </w:rPr>
              <w:t xml:space="preserve"> all accept optional </w:t>
            </w:r>
            <w:r>
              <w:t>key</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cgi.log</w:t>
            </w:r>
            <w:r>
              <w:t xml:space="preserv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codecs.unregister()</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collections</w:t>
            </w:r>
            <w:r>
              <w:t xml:space="preserve"> module compatibility definitions of ABCs removed; use </w:t>
            </w:r>
            <w:r>
              <w:rPr>
                <w:rStyle w:val="Text0"/>
              </w:rPr>
              <w:t>collections.abc</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collections.Counter.total()</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contextlib.aclosing()</w:t>
            </w:r>
            <w:r>
              <w:rPr>
                <w:rStyle w:val="Text12"/>
              </w:rPr>
              <w:t xml:space="preserve"> decorator,</w:t>
              <w:br w:clear="none"/>
              <w:t xml:space="preserve"> </w:t>
            </w:r>
            <w:r>
              <w:t>contextlib.AsyncContextDecorator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curses.has_extended_color_support()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dataclasses.dataclass()</w:t>
            </w:r>
            <w:r>
              <w:t xml:space="preserve"> decorator accepts optional </w:t>
            </w:r>
            <w:r>
              <w:rPr>
                <w:rStyle w:val="Text0"/>
              </w:rPr>
              <w:t>slots</w:t>
            </w:r>
            <w: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dataclasses.KW_ONLY</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distutils</w:t>
            </w:r>
            <w:r>
              <w:t xml:space="preserve"> deprecated, to be removed in Python 3.12</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enum.StrEnum</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fileinput.input()</w:t>
            </w:r>
            <w:r>
              <w:rPr>
                <w:rStyle w:val="Text12"/>
              </w:rPr>
              <w:t xml:space="preserve"> and </w:t>
            </w:r>
            <w:r>
              <w:t>fileinput.FileInput</w:t>
            </w:r>
            <w:r>
              <w:rPr>
                <w:rStyle w:val="Text12"/>
              </w:rPr>
              <w:t xml:space="preserve"> accept optional </w:t>
            </w:r>
            <w:r>
              <w:t>encoding</w:t>
            </w:r>
            <w:r>
              <w:rPr>
                <w:rStyle w:val="Text12"/>
              </w:rPr>
              <w:t xml:space="preserve"> and </w:t>
            </w:r>
            <w:r>
              <w:t>errors</w:t>
            </w:r>
            <w:r>
              <w:rPr>
                <w:rStyle w:val="Text12"/>
              </w:rPr>
              <w:t xml:space="preserve"> arguments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formatter</w:t>
            </w:r>
            <w:r>
              <w:t xml:space="preserve"> module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glob.glob()</w:t>
            </w:r>
            <w:r>
              <w:t xml:space="preserve"> and </w:t>
            </w:r>
            <w:r>
              <w:rPr>
                <w:rStyle w:val="Text0"/>
              </w:rPr>
              <w:t>glob.iglob()</w:t>
            </w:r>
            <w:r>
              <w:t xml:space="preserve"> accept optional </w:t>
            </w:r>
            <w:r>
              <w:rPr>
                <w:rStyle w:val="Text0"/>
              </w:rPr>
              <w:t>root_dir</w:t>
            </w:r>
            <w:r>
              <w:t xml:space="preserve"> and </w:t>
            </w:r>
            <w:r>
              <w:rPr>
                <w:rStyle w:val="Text0"/>
              </w:rPr>
              <w:t>dir_fd</w:t>
            </w:r>
            <w:r>
              <w:t xml:space="preserve"> arguments to specify root search directory</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importlib.metadata.package_distributions()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inspect.get_annotations()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int.bit_count()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isinstance(obj, (atype, btype))</w:t>
            </w:r>
            <w:r>
              <w:rPr>
                <w:rStyle w:val="Text12"/>
              </w:rPr>
              <w:t xml:space="preserve"> can be written </w:t>
            </w:r>
            <w:r>
              <w:t>isinstance(obj, atype|btype)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issubclass(cls, (atype, btype))</w:t>
            </w:r>
            <w:r>
              <w:rPr>
                <w:rStyle w:val="Text12"/>
              </w:rPr>
              <w:t xml:space="preserve"> can be written </w:t>
            </w:r>
            <w:r>
              <w:t>issubclass(cls, atype|btype)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itertools.pairwise()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os.eventfd()</w:t>
            </w:r>
            <w:r>
              <w:rPr>
                <w:rStyle w:val="Text12"/>
              </w:rPr>
              <w:t xml:space="preserve">, </w:t>
            </w:r>
            <w:r>
              <w:t>os.splice()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os.path.realpath()</w:t>
            </w:r>
            <w:r>
              <w:t xml:space="preserve"> accepts optional </w:t>
            </w:r>
            <w:r>
              <w:rPr>
                <w:rStyle w:val="Text0"/>
              </w:rPr>
              <w:t>strict</w:t>
            </w:r>
            <w: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os.EVTONLY</w:t>
            </w:r>
            <w:r>
              <w:rPr>
                <w:rStyle w:val="Text12"/>
              </w:rPr>
              <w:t xml:space="preserve">, </w:t>
            </w:r>
            <w:r>
              <w:t>os.O_FSYNC</w:t>
            </w:r>
            <w:r>
              <w:rPr>
                <w:rStyle w:val="Text12"/>
              </w:rPr>
              <w:t xml:space="preserve">, </w:t>
            </w:r>
            <w:r>
              <w:t>os.O_SYMLINK</w:t>
            </w:r>
            <w:r>
              <w:rPr>
                <w:rStyle w:val="Text12"/>
              </w:rPr>
              <w:t>,</w:t>
              <w:br w:clear="none"/>
              <w:t xml:space="preserve"> and </w:t>
            </w:r>
            <w:r>
              <w:t>os.O_NOFOLLOW_ANY</w:t>
            </w:r>
            <w:r>
              <w:rPr>
                <w:rStyle w:val="Text12"/>
              </w:rPr>
              <w:t xml:space="preserve"> all added on macOS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parser</w:t>
            </w:r>
            <w:r>
              <w:t xml:space="preserve"> module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pathlib.Path.chmod()</w:t>
            </w:r>
            <w:r>
              <w:rPr>
                <w:rStyle w:val="Text12"/>
              </w:rPr>
              <w:t xml:space="preserve"> and</w:t>
              <w:br w:clear="none"/>
              <w:t xml:space="preserve"> </w:t>
            </w:r>
            <w:r>
              <w:t>pathlib.Path.stat()</w:t>
            </w:r>
            <w:r>
              <w:rPr>
                <w:rStyle w:val="Text12"/>
              </w:rPr>
              <w:t xml:space="preserve"> accept optional</w:t>
              <w:br w:clear="none"/>
              <w:t xml:space="preserve"> </w:t>
            </w:r>
            <w:r>
              <w:t>follow_symlinks</w:t>
            </w:r>
            <w:r>
              <w:rPr>
                <w:rStyle w:val="Text12"/>
              </w:rPr>
              <w:t xml:space="preserve"> keyword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pathlib.Path.hardlink_to()</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pathlib.Path.link_to()</w:t>
            </w:r>
            <w:r>
              <w:rPr>
                <w:rStyle w:val="Text12"/>
              </w:rPr>
              <w:t xml:space="preserve"> deprecated;</w:t>
              <w:br w:clear="none"/>
              <w:t xml:space="preserve"> use </w:t>
            </w:r>
            <w:r>
              <w:t>hardlink_to()</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platform.freedesktop_os_release()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pprint.pprint()</w:t>
            </w:r>
            <w:r>
              <w:t xml:space="preserve"> accepts optional</w:t>
              <w:br w:clear="none"/>
              <w:t xml:space="preserve"> </w:t>
            </w:r>
            <w:r>
              <w:rPr>
                <w:rStyle w:val="Text0"/>
              </w:rPr>
              <w:t>underscore_numbers</w:t>
            </w:r>
            <w:r>
              <w:t xml:space="preserve"> keyword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smtpd</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ssl.get_server_certificate</w:t>
            </w:r>
            <w:r>
              <w:rPr>
                <w:rStyle w:val="Text12"/>
              </w:rPr>
              <w:t xml:space="preserve"> accepts optional </w:t>
            </w:r>
            <w:r>
              <w:t>timeout</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statistics.correlation()</w:t>
            </w:r>
            <w:r>
              <w:rPr>
                <w:rStyle w:val="Text12"/>
              </w:rPr>
              <w:t>,</w:t>
              <w:br w:clear="none"/>
              <w:t xml:space="preserve"> </w:t>
            </w:r>
            <w:r>
              <w:t>statistics.covariance()</w:t>
            </w:r>
            <w:r>
              <w:rPr>
                <w:rStyle w:val="Text12"/>
              </w:rPr>
              <w:t>,</w:t>
              <w:br w:clear="none"/>
              <w:t xml:space="preserve"> </w:t>
            </w:r>
            <w:r>
              <w:t>statistics.linear_regression()</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SyntaxError.end_line_no</w:t>
            </w:r>
            <w:r>
              <w:rPr>
                <w:rStyle w:val="Text12"/>
              </w:rPr>
              <w:t xml:space="preserve"> and</w:t>
              <w:br w:clear="none"/>
              <w:t xml:space="preserve"> </w:t>
            </w:r>
            <w:r>
              <w:t>SyntaxError.end_offset</w:t>
            </w:r>
            <w:r>
              <w:rPr>
                <w:rStyle w:val="Text12"/>
              </w:rPr>
              <w:t xml:space="preserve"> attributes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sys.flags.warn_default_encoding</w:t>
              <w:br w:clear="none"/>
            </w:r>
            <w:r>
              <w:rPr>
                <w:rStyle w:val="Text12"/>
              </w:rPr>
              <w:t xml:space="preserve"> to emit </w:t>
            </w:r>
            <w:r>
              <w:t>EncodingWarning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sys.orig_argv</w:t>
            </w:r>
            <w:r>
              <w:rPr>
                <w:rStyle w:val="Text12"/>
              </w:rPr>
              <w:t xml:space="preserve"> and </w:t>
            </w:r>
            <w:r>
              <w:t>sys.stdlib_module_names</w:t>
            </w:r>
            <w:r>
              <w:rPr>
                <w:rStyle w:val="Text12"/>
              </w:rPr>
              <w:t xml:space="preserve"> attributes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threading.__excepthook__</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threading.getprofile()</w:t>
            </w:r>
            <w:r>
              <w:rPr>
                <w:rStyle w:val="Text12"/>
              </w:rPr>
              <w:t>,</w:t>
              <w:br w:clear="none"/>
              <w:t xml:space="preserve"> </w:t>
            </w:r>
            <w:r>
              <w:t>threading.gettrace()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threading.Thread</w:t>
            </w:r>
            <w:r>
              <w:rPr>
                <w:rStyle w:val="Text12"/>
              </w:rPr>
              <w:t xml:space="preserve"> appends</w:t>
              <w:br w:clear="none"/>
              <w:t xml:space="preserve"> </w:t>
            </w:r>
            <w:r>
              <w:t>'(&lt;target.__name__&gt;)'</w:t>
            </w:r>
            <w:r>
              <w:rPr>
                <w:rStyle w:val="Text12"/>
              </w:rPr>
              <w:t xml:space="preserve"> to generated thread names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traceback.format_exception()</w:t>
            </w:r>
            <w:r>
              <w:rPr>
                <w:rStyle w:val="Text12"/>
              </w:rPr>
              <w:t>,</w:t>
              <w:br w:clear="none"/>
              <w:t xml:space="preserve"> </w:t>
            </w:r>
            <w:r>
              <w:t>traceback.format_exception_only()</w:t>
            </w:r>
            <w:r>
              <w:rPr>
                <w:rStyle w:val="Text12"/>
              </w:rPr>
              <w:t>,</w:t>
              <w:br w:clear="none"/>
              <w:t xml:space="preserve"> and </w:t>
            </w:r>
            <w:r>
              <w:t>traceback.print_exception()</w:t>
            </w:r>
            <w:r>
              <w:rPr>
                <w:rStyle w:val="Text12"/>
              </w:rPr>
              <w:t xml:space="preserve"> signature changes</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types.EllipsisType</w:t>
            </w:r>
            <w:r>
              <w:rPr>
                <w:rStyle w:val="Text12"/>
              </w:rPr>
              <w:t>,</w:t>
            </w:r>
            <w:r>
              <w:t xml:space="preserve"> types.NoneType</w:t>
            </w:r>
            <w:r>
              <w:rPr>
                <w:rStyle w:val="Text12"/>
              </w:rPr>
              <w:t xml:space="preserve">, </w:t>
            </w:r>
            <w:r>
              <w:t>types.NotImplementedType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typing</w:t>
            </w:r>
            <w:r>
              <w:t xml:space="preserve"> module includes parameter specification variables for specifying </w:t>
            </w:r>
            <w:r>
              <w:rPr>
                <w:rStyle w:val="Text0"/>
              </w:rPr>
              <w:t>Callable</w:t>
            </w:r>
            <w:r>
              <w:t xml:space="preserve"> types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typing.io</w:t>
            </w:r>
            <w:r>
              <w:t xml:space="preserve"> module deprecated; use </w:t>
            </w:r>
            <w:r>
              <w:rPr>
                <w:rStyle w:val="Text0"/>
              </w:rPr>
              <w:t>typing</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typing.is_typeddict()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typing.Literal</w:t>
            </w:r>
            <w:r>
              <w:t xml:space="preserve"> deduplicates values;</w:t>
              <w:br w:clear="none"/>
              <w:t xml:space="preserve"> equality matching is order-independent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typing.Optional[X]</w:t>
            </w:r>
            <w:r>
              <w:rPr>
                <w:rStyle w:val="Text12"/>
              </w:rPr>
              <w:t xml:space="preserve"> can be written as </w:t>
            </w:r>
            <w:r>
              <w:t>X | None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typing.re</w:t>
            </w:r>
            <w:r>
              <w:t xml:space="preserve"> module deprecated; use </w:t>
            </w:r>
            <w:r>
              <w:rPr>
                <w:rStyle w:val="Text0"/>
              </w:rPr>
              <w:t>typing</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typing.TypeAlias</w:t>
            </w:r>
            <w:r>
              <w:t xml:space="preserve"> for defining explicit type aliases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typing.TypeGuard</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typing.Union[X, Y]</w:t>
            </w:r>
            <w:r>
              <w:rPr>
                <w:rStyle w:val="Text12"/>
              </w:rPr>
              <w:t xml:space="preserve"> can use </w:t>
            </w:r>
            <w:r>
              <w:t>|</w:t>
            </w:r>
            <w:r>
              <w:rPr>
                <w:rStyle w:val="Text12"/>
              </w:rPr>
              <w:t xml:space="preserve"> operator as </w:t>
            </w:r>
            <w:r>
              <w:t>X | Y</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unittest.assertNoLogs()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urllib.parse.parse_qs()</w:t>
            </w:r>
            <w:r>
              <w:t xml:space="preserve"> and</w:t>
              <w:br w:clear="none"/>
              <w:t xml:space="preserve"> </w:t>
            </w:r>
            <w:r>
              <w:rPr>
                <w:rStyle w:val="Text0"/>
              </w:rPr>
              <w:t>urllib.parse.parse_qsl()</w:t>
            </w:r>
            <w:r>
              <w:t xml:space="preserve"> accept </w:t>
            </w:r>
            <w:r>
              <w:rPr>
                <w:rStyle w:val="Text0"/>
              </w:rPr>
              <w:t>;</w:t>
            </w:r>
            <w:r>
              <w:t xml:space="preserve"> or </w:t>
            </w:r>
            <w:r>
              <w:rPr>
                <w:rStyle w:val="Text0"/>
              </w:rPr>
              <w:t>&amp;</w:t>
            </w:r>
            <w:r>
              <w:t xml:space="preserve"> query parameter separator, but not both</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5"/>
              </w:rPr>
              <w:t>with</w:t>
            </w:r>
            <w:r>
              <w:t xml:space="preserve"> statement accepts parenthesized context managers: </w:t>
            </w:r>
            <w:r>
              <w:rPr>
                <w:rStyle w:val="Text5"/>
              </w:rPr>
              <w:t>with</w:t>
            </w:r>
            <w:r>
              <w:rPr>
                <w:rStyle w:val="Text0"/>
              </w:rPr>
              <w:t>(ctxmgr, ctxmgr,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xml.sax.handler.LexicalHandler</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zip</w:t>
            </w:r>
            <w:r>
              <w:t xml:space="preserve"> built-in accepts optional </w:t>
            </w:r>
            <w:r>
              <w:rPr>
                <w:rStyle w:val="Text0"/>
              </w:rPr>
              <w:t>strict</w:t>
            </w:r>
            <w:r>
              <w:t xml:space="preserve"> named argument for length-checking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zipimport.find_spec()</w:t>
            </w:r>
            <w:r>
              <w:rPr>
                <w:rStyle w:val="Text12"/>
              </w:rPr>
              <w:t>,</w:t>
              <w:br w:clear="none"/>
              <w:t xml:space="preserve"> </w:t>
            </w:r>
            <w:r>
              <w:t>zipimport.zipimporter.create_module()</w:t>
            </w:r>
            <w:r>
              <w:rPr>
                <w:rStyle w:val="Text12"/>
              </w:rPr>
              <w:t>,</w:t>
              <w:br w:clear="none"/>
              <w:t xml:space="preserve"> </w:t>
            </w:r>
            <w:r>
              <w:t>zipimport.zipimporter.exec_module()</w:t>
            </w:r>
            <w:r>
              <w:rPr>
                <w:rStyle w:val="Text12"/>
              </w:rPr>
              <w:t>,</w:t>
              <w:br w:clear="none"/>
              <w:t xml:space="preserve"> </w:t>
            </w:r>
            <w:r>
              <w:t>zipimport.zipimporter.invalidate_caches()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hMerge w:val="restart"/>
          </w:tcPr>
          <w:p>
            <w:bookmarkStart w:id="4549" w:name="a_Since_these_are_defined_as_sof"/>
            <w:pPr>
              <w:pStyle w:val="Para 036"/>
            </w:pPr>
            <w:hyperlink w:anchor="a_21">
              <w:r>
                <w:rPr>
                  <w:rStyle w:val="Text1"/>
                </w:rPr>
                <w:t>a</w:t>
              </w:r>
            </w:hyperlink>
            <w:r>
              <w:t xml:space="preserve"> Since these are defined as </w:t>
            </w:r>
            <w:r>
              <w:rPr>
                <w:rStyle w:val="Text4"/>
              </w:rPr>
              <w:t>soft</w:t>
            </w:r>
            <w:r>
              <w:t xml:space="preserve"> keywords, they do not break existing code using those same names.</w:t>
            </w:r>
            <w:bookmarkEnd w:id="4549"/>
          </w:p>
        </w:tc>
        <w:tc>
          <w:tcPr>
            <w:hMerge w:val="continue"/>
          </w:tcPr>
          <w:p/>
        </w:tc>
        <w:tc>
          <w:tcPr>
            <w:hMerge w:val="continue"/>
          </w:tcPr>
          <w:p/>
        </w:tc>
        <w:tc>
          <w:tcPr>
            <w:hMerge w:val="continue"/>
          </w:tcPr>
          <w:p/>
        </w:tc>
        <w:tc>
          <w:tcPr>
            <w:hMerge w:val="continue"/>
          </w:tcPr>
          <w:p/>
        </w:tc>
      </w:tr>
    </w:tbl>
    <w:p>
      <w:bookmarkStart w:id="4550" w:name="Python_3_11__The_following_table"/>
      <w:pPr>
        <w:keepNext/>
        <w:pStyle w:val="Heading 1"/>
      </w:pPr>
      <w:r>
        <w:t>Python 3.11</w:t>
      </w:r>
      <w:bookmarkEnd w:id="4550"/>
    </w:p>
    <w:p>
      <w:pPr>
        <w:pStyle w:val="Normal"/>
      </w:pPr>
      <w:r>
        <w:t xml:space="preserve">The following table summarizes changes in Python version 3.11. For further details, see “What’s New in Python 3.11” in the </w:t>
      </w:r>
      <w:hyperlink r:id="rId696">
        <w:r>
          <w:rPr>
            <w:rStyle w:val="Text1"/>
          </w:rPr>
          <w:t>online docs</w:t>
        </w:r>
      </w:hyperlink>
      <w:r>
        <w:t>.</w:t>
      </w:r>
    </w:p>
    <w:tbl>
      <w:tblPr>
        <w:tblW w:type="auto" w:w="0"/>
      </w:tblPr>
      <w:tr>
        <w:tc>
          <w:tcPr>
            <w:tcW w:type="auto" w:w="0"/>
            <w:tcMar>
              <w:left w:type="dxa" w:w="200"/>
              <w:top w:type="dxa" w:w="200"/>
              <w:right w:type="dxa" w:w="200"/>
              <w:bottom w:type="dxa" w:w="200"/>
            </w:tcMar>
            <w:vAlign w:val="center"/>
          </w:tcPr>
          <w:p>
            <w:pPr>
              <w:pStyle w:val="Para 119"/>
            </w:pPr>
            <w:r>
              <w:t/>
            </w:r>
          </w:p>
          <w:p>
            <w:pPr>
              <w:pStyle w:val="Para 013"/>
            </w:pPr>
            <w:r>
              <w:t>Python 3.11</w:t>
            </w:r>
          </w:p>
        </w:tc>
        <w:tc>
          <w:tcPr>
            <w:tcW w:type="auto" w:w="0"/>
            <w:tcMar>
              <w:left w:type="dxa" w:w="200"/>
              <w:top w:type="dxa" w:w="200"/>
              <w:right w:type="dxa" w:w="200"/>
              <w:bottom w:type="dxa" w:w="200"/>
            </w:tcMar>
            <w:vAlign w:val="center"/>
          </w:tcPr>
          <w:p>
            <w:pPr>
              <w:pStyle w:val="Para 013"/>
            </w:pPr>
            <w:r>
              <w:t>Added</w:t>
            </w:r>
          </w:p>
        </w:tc>
        <w:tc>
          <w:tcPr>
            <w:tcW w:type="auto" w:w="0"/>
            <w:tcMar>
              <w:left w:type="dxa" w:w="200"/>
              <w:top w:type="dxa" w:w="200"/>
              <w:right w:type="dxa" w:w="200"/>
              <w:bottom w:type="dxa" w:w="200"/>
            </w:tcMar>
            <w:vAlign w:val="center"/>
          </w:tcPr>
          <w:p>
            <w:pPr>
              <w:pStyle w:val="Para 013"/>
            </w:pPr>
            <w:r>
              <w:t>Deprecated</w:t>
            </w:r>
          </w:p>
        </w:tc>
        <w:tc>
          <w:tcPr>
            <w:tcW w:type="auto" w:w="0"/>
            <w:tcMar>
              <w:left w:type="dxa" w:w="200"/>
              <w:top w:type="dxa" w:w="200"/>
              <w:right w:type="dxa" w:w="200"/>
              <w:bottom w:type="dxa" w:w="200"/>
            </w:tcMar>
            <w:vAlign w:val="center"/>
          </w:tcPr>
          <w:p>
            <w:pPr>
              <w:pStyle w:val="Para 013"/>
            </w:pPr>
            <w:r>
              <w:t>Removed</w:t>
            </w:r>
          </w:p>
        </w:tc>
        <w:tc>
          <w:tcPr>
            <w:tcW w:type="auto" w:w="0"/>
            <w:tcMar>
              <w:left w:type="dxa" w:w="200"/>
              <w:top w:type="dxa" w:w="200"/>
              <w:right w:type="dxa" w:w="200"/>
              <w:bottom w:type="dxa" w:w="200"/>
            </w:tcMar>
            <w:vAlign w:val="center"/>
          </w:tcPr>
          <w:p>
            <w:pPr>
              <w:pStyle w:val="Para 013"/>
            </w:pPr>
            <w:r>
              <w:t>Breaking change</w:t>
            </w:r>
          </w:p>
        </w:tc>
      </w:tr>
    </w:tbl>
    <w:tbl>
      <w:tblPr>
        <w:tblW w:type="auto" w:w="0"/>
      </w:tblPr>
      <w:tr>
        <w:tc>
          <w:tcPr>
            <w:tcW w:type="auto" w:w="0"/>
            <w:tcMar>
              <w:left w:type="dxa" w:w="200"/>
              <w:top w:type="dxa" w:w="200"/>
              <w:right w:type="dxa" w:w="200"/>
              <w:bottom w:type="dxa" w:w="200"/>
            </w:tcMar>
          </w:tcPr>
          <w:p>
            <w:pPr>
              <w:pStyle w:val="Para 002"/>
            </w:pPr>
            <w:r>
              <w:rPr>
                <w:rStyle w:val="Text37"/>
              </w:rPr>
              <w:t>Security patch released in Python 3.11.0 and backported to versions 3.7–3.10:</w:t>
              <w:br w:clear="none"/>
            </w:r>
            <w:r>
              <w:t xml:space="preserve"> </w:t>
            </w:r>
            <w:r>
              <w:rPr>
                <w:rStyle w:val="Text0"/>
              </w:rPr>
              <w:t>int</w:t>
            </w:r>
            <w:r>
              <w:t xml:space="preserve"> conversion to </w:t>
            </w:r>
            <w:r>
              <w:rPr>
                <w:rStyle w:val="Text0"/>
              </w:rPr>
              <w:t>str</w:t>
            </w:r>
            <w:r>
              <w:t xml:space="preserve"> and </w:t>
            </w:r>
            <w:r>
              <w:rPr>
                <w:rStyle w:val="Text0"/>
              </w:rPr>
              <w:t>str</w:t>
            </w:r>
            <w:r>
              <w:t xml:space="preserve"> conversion to</w:t>
              <w:br w:clear="none"/>
              <w:t xml:space="preserve"> </w:t>
            </w:r>
            <w:r>
              <w:rPr>
                <w:rStyle w:val="Text0"/>
              </w:rPr>
              <w:t>int</w:t>
            </w:r>
            <w:r>
              <w:t xml:space="preserve"> in bases other than 2, 4, 8, 16, or 32 raises</w:t>
              <w:br w:clear="none"/>
              <w:t xml:space="preserve"> </w:t>
            </w:r>
            <w:r>
              <w:rPr>
                <w:rStyle w:val="Text0"/>
              </w:rPr>
              <w:t>ValueError</w:t>
            </w:r>
            <w:r>
              <w:t xml:space="preserve"> if the resulting string &gt; 4,300 digits (addresses </w:t>
            </w:r>
            <w:hyperlink r:id="rId697">
              <w:r>
                <w:rPr>
                  <w:rStyle w:val="Text1"/>
                </w:rPr>
                <w:t>CVE-2020-10735</w:t>
              </w:r>
            </w:hyperlink>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t>General performance improvements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Improved error messages</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xml:space="preserve">New syntax: </w:t>
            </w:r>
            <w:r>
              <w:rPr>
                <w:rStyle w:val="Text5"/>
              </w:rPr>
              <w:t>for</w:t>
            </w:r>
            <w:r>
              <w:t xml:space="preserve"> </w:t>
            </w:r>
            <w:r>
              <w:rPr>
                <w:rStyle w:val="Text3"/>
              </w:rPr>
              <w:t>x</w:t>
            </w:r>
            <w:r>
              <w:t xml:space="preserve"> </w:t>
            </w:r>
            <w:r>
              <w:rPr>
                <w:rStyle w:val="Text5"/>
              </w:rPr>
              <w:t>in</w:t>
            </w:r>
            <w:r>
              <w:t xml:space="preserve"> </w:t>
            </w:r>
            <w:r>
              <w:rPr>
                <w:rStyle w:val="Text0"/>
              </w:rPr>
              <w:t>*</w:t>
            </w:r>
            <w:r>
              <w:rPr>
                <w:rStyle w:val="Text3"/>
              </w:rPr>
              <w:t>values</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aifc</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asynchat</w:t>
            </w:r>
            <w:r>
              <w:t xml:space="preserve"> and </w:t>
            </w:r>
            <w:r>
              <w:rPr>
                <w:rStyle w:val="Text0"/>
              </w:rPr>
              <w:t>asyncore</w:t>
            </w:r>
            <w:r>
              <w:t xml:space="preserve"> modules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asyncio.Barrier</w:t>
            </w:r>
            <w:r>
              <w:rPr>
                <w:rStyle w:val="Text12"/>
              </w:rPr>
              <w:t>,</w:t>
              <w:br w:clear="none"/>
              <w:t xml:space="preserve"> </w:t>
            </w:r>
            <w:r>
              <w:t>asyncio.start_tls()</w:t>
            </w:r>
            <w:r>
              <w:rPr>
                <w:rStyle w:val="Text12"/>
              </w:rPr>
              <w:t>,</w:t>
              <w:br w:clear="none"/>
              <w:t xml:space="preserve"> </w:t>
            </w:r>
            <w:r>
              <w:t>asyncio.TaskGroup</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asyncio.coroutine</w:t>
            </w:r>
            <w:r>
              <w:t xml:space="preserve"> decorator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asyncio.loop.create_datagram_endpoint()</w:t>
            </w:r>
            <w:r>
              <w:rPr>
                <w:rStyle w:val="Text12"/>
              </w:rPr>
              <w:t xml:space="preserve"> argument </w:t>
            </w:r>
            <w:r>
              <w:t>reuse_address</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asyncio.TimeoutError</w:t>
            </w:r>
            <w:r>
              <w:rPr>
                <w:rStyle w:val="Text12"/>
              </w:rPr>
              <w:t xml:space="preserve"> deprecated;</w:t>
              <w:br w:clear="none"/>
              <w:t xml:space="preserve"> use </w:t>
            </w:r>
            <w:r>
              <w:t>TimeoutError</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audioop</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BaseException.add_note()</w:t>
            </w:r>
            <w:r>
              <w:rPr>
                <w:rStyle w:val="Text12"/>
              </w:rPr>
              <w:t>,</w:t>
              <w:br w:clear="none"/>
              <w:t xml:space="preserve"> </w:t>
            </w:r>
            <w:r>
              <w:t>BaseException.__notes__</w:t>
            </w:r>
            <w:r>
              <w:rPr>
                <w:rStyle w:val="Text12"/>
              </w:rPr>
              <w:t xml:space="preserve"> attribute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binascii.a2b_hqx()</w:t>
            </w:r>
            <w:r>
              <w:rPr>
                <w:rStyle w:val="Text12"/>
              </w:rPr>
              <w:t>,</w:t>
              <w:br w:clear="none"/>
              <w:t xml:space="preserve"> </w:t>
            </w:r>
            <w:r>
              <w:t>binascii.b2a_hqx()</w:t>
            </w:r>
            <w:r>
              <w:rPr>
                <w:rStyle w:val="Text12"/>
              </w:rPr>
              <w:t>,</w:t>
              <w:br w:clear="none"/>
              <w:t xml:space="preserve"> </w:t>
            </w:r>
            <w:r>
              <w:t>binascii.rlecode_hqx()</w:t>
            </w:r>
            <w:r>
              <w:rPr>
                <w:rStyle w:val="Text12"/>
              </w:rPr>
              <w:t>, and</w:t>
              <w:br w:clear="none"/>
              <w:t xml:space="preserve"> </w:t>
            </w:r>
            <w:r>
              <w:t>binascii.rledecode_hqx()</w:t>
            </w:r>
            <w:r>
              <w:rPr>
                <w:rStyle w:val="Text12"/>
              </w:rPr>
              <w:t xml:space="preserve">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binhex</w:t>
            </w:r>
            <w:r>
              <w:t xml:space="preserve"> module removed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X</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cgi</w:t>
            </w:r>
            <w:r>
              <w:t xml:space="preserve"> and </w:t>
            </w:r>
            <w:r>
              <w:rPr>
                <w:rStyle w:val="Text0"/>
              </w:rPr>
              <w:t>cgitb</w:t>
            </w:r>
            <w:r>
              <w:t xml:space="preserve"> modules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chunk</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concurrent.futures.ProcessPoolExecutor()</w:t>
            </w:r>
            <w:r>
              <w:rPr>
                <w:rStyle w:val="Text12"/>
              </w:rPr>
              <w:t xml:space="preserve"> </w:t>
            </w:r>
            <w:r>
              <w:t>max_tasks_per_child</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concurrent.futures.TimeoutError</w:t>
            </w:r>
            <w:r>
              <w:rPr>
                <w:rStyle w:val="Text12"/>
              </w:rPr>
              <w:t xml:space="preserve"> deprecated; use built-in </w:t>
            </w:r>
            <w:r>
              <w:t>TimeoutError</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contextlib.chdir</w:t>
            </w:r>
            <w:r>
              <w:t xml:space="preserve"> context manager</w:t>
              <w:br w:clear="none"/>
              <w:t xml:space="preserve"> (change current working dir and then restore it)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crypt</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dataclasses</w:t>
            </w:r>
            <w:r>
              <w:t xml:space="preserve"> check for mutable defaults disallows any value that is not hashable (formerly allowed any value that was not a </w:t>
            </w:r>
            <w:r>
              <w:rPr>
                <w:rStyle w:val="Text0"/>
              </w:rPr>
              <w:t>dict</w:t>
            </w:r>
            <w:r>
              <w:t xml:space="preserve">, </w:t>
            </w:r>
            <w:r>
              <w:rPr>
                <w:rStyle w:val="Text0"/>
              </w:rPr>
              <w:t>list</w:t>
            </w:r>
            <w:r>
              <w:t xml:space="preserve">, or </w:t>
            </w:r>
            <w:r>
              <w:rPr>
                <w:rStyle w:val="Text0"/>
              </w:rPr>
              <w:t>set</w:t>
            </w: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datetime.UTC</w:t>
            </w:r>
            <w:r>
              <w:rPr>
                <w:rStyle w:val="Text12"/>
              </w:rPr>
              <w:t xml:space="preserve"> as a convenience alias for</w:t>
              <w:br w:clear="none"/>
              <w:t xml:space="preserve"> </w:t>
            </w:r>
            <w:r>
              <w:t>datetime.timezone.utc</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rPr>
                <w:rStyle w:val="Text0"/>
              </w:rPr>
              <w:t>enum.Enum</w:t>
            </w:r>
            <w:r>
              <w:t xml:space="preserve"> </w:t>
            </w:r>
            <w:r>
              <w:rPr>
                <w:rStyle w:val="Text0"/>
              </w:rPr>
              <w:t>str()</w:t>
            </w:r>
            <w:r>
              <w:t xml:space="preserve"> output just gives name</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enum.EnumCheck</w:t>
            </w:r>
            <w:r>
              <w:rPr>
                <w:rStyle w:val="Text12"/>
              </w:rPr>
              <w:t xml:space="preserve">, </w:t>
            </w:r>
            <w:r>
              <w:t>enum.FlagBoundary</w:t>
            </w:r>
            <w:r>
              <w:rPr>
                <w:rStyle w:val="Text12"/>
              </w:rPr>
              <w:t>,</w:t>
            </w:r>
            <w:r>
              <w:t xml:space="preserve"> enum.global_enum()</w:t>
            </w:r>
            <w:r>
              <w:rPr>
                <w:rStyle w:val="Text12"/>
              </w:rPr>
              <w:t xml:space="preserve"> decorator,</w:t>
              <w:br w:clear="none"/>
              <w:t xml:space="preserve"> </w:t>
            </w:r>
            <w:r>
              <w:t>enum.member()</w:t>
            </w:r>
            <w:r>
              <w:rPr>
                <w:rStyle w:val="Text12"/>
              </w:rPr>
              <w:t xml:space="preserve"> decorator, </w:t>
            </w:r>
            <w:r>
              <w:t>enum.nonmember()</w:t>
            </w:r>
            <w:r>
              <w:rPr>
                <w:rStyle w:val="Text12"/>
              </w:rPr>
              <w:t xml:space="preserve"> decorator,</w:t>
            </w:r>
            <w:r>
              <w:t xml:space="preserve"> enum.property</w:t>
            </w:r>
            <w:r>
              <w:rPr>
                <w:rStyle w:val="Text12"/>
              </w:rPr>
              <w:t xml:space="preserve">, </w:t>
            </w:r>
            <w:r>
              <w:t xml:space="preserve"> enum.ReprEnum</w:t>
            </w:r>
            <w:r>
              <w:rPr>
                <w:rStyle w:val="Text12"/>
              </w:rPr>
              <w:t>,</w:t>
            </w:r>
            <w:r>
              <w:t xml:space="preserve"> enum.StrEnum</w:t>
            </w:r>
            <w:r>
              <w:rPr>
                <w:rStyle w:val="Text12"/>
              </w:rPr>
              <w:t>, and</w:t>
            </w:r>
            <w:r>
              <w:t xml:space="preserve"> </w:t>
            </w:r>
            <w:r>
              <w:rPr>
                <w:rStyle w:val="Text12"/>
              </w:rPr>
              <w:t xml:space="preserve"> </w:t>
            </w:r>
            <w:r>
              <w:t>enum.verify()</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ExceptionGroup</w:t>
            </w:r>
            <w:r>
              <w:rPr>
                <w:rStyle w:val="Text12"/>
              </w:rPr>
              <w:t xml:space="preserve">s and </w:t>
            </w:r>
            <w:r>
              <w:t>except*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fractions.Fraction</w:t>
            </w:r>
            <w:r>
              <w:t xml:space="preserve"> initialization from string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gettext.l*gettext()</w:t>
            </w:r>
            <w:r>
              <w:rPr>
                <w:rStyle w:val="Text12"/>
              </w:rPr>
              <w:t xml:space="preserve"> methods removed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glob.glob()</w:t>
            </w:r>
            <w:r>
              <w:rPr>
                <w:rStyle w:val="Text12"/>
              </w:rPr>
              <w:t xml:space="preserve"> and </w:t>
            </w:r>
            <w:r>
              <w:t>glob.iglob()</w:t>
            </w:r>
            <w:r>
              <w:rPr>
                <w:rStyle w:val="Text12"/>
              </w:rPr>
              <w:t xml:space="preserve"> accept optional </w:t>
            </w:r>
            <w:r>
              <w:t>include_hidden</w:t>
            </w:r>
            <w:r>
              <w:rPr>
                <w:rStyle w:val="Text12"/>
              </w:rPr>
              <w:t xml:space="preserve"> argument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hashlib.file_digest()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imghdr</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inspect.formatargspec()</w:t>
            </w:r>
            <w:r>
              <w:rPr>
                <w:rStyle w:val="Text12"/>
              </w:rPr>
              <w:t xml:space="preserve"> and </w:t>
            </w:r>
            <w:r>
              <w:t>inspect.getargspec()</w:t>
            </w:r>
            <w:r>
              <w:rPr>
                <w:rStyle w:val="Text12"/>
              </w:rPr>
              <w:t xml:space="preserve"> removed; use </w:t>
            </w:r>
            <w:r>
              <w:t>inspect.signature()</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X</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inspect.getmembers_static()</w:t>
            </w:r>
            <w:r>
              <w:rPr>
                <w:rStyle w:val="Text12"/>
              </w:rPr>
              <w:t>,</w:t>
              <w:br w:clear="none"/>
              <w:t xml:space="preserve"> </w:t>
            </w:r>
            <w:r>
              <w:t>inspect.ismethodwrapper()</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locale.getdefaultlocale()</w:t>
            </w:r>
            <w:r>
              <w:rPr>
                <w:rStyle w:val="Text12"/>
              </w:rPr>
              <w:t xml:space="preserve"> and </w:t>
            </w:r>
            <w:r>
              <w:t>locale.resetlocale()</w:t>
            </w:r>
            <w:r>
              <w:rPr>
                <w:rStyle w:val="Text12"/>
              </w:rPr>
              <w:t xml:space="preserv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1"/>
            </w:pPr>
            <w:r>
              <w:t>locale.getencoding()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logging.getLevelNamesMapping()</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mailcap</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math.cbrt()</w:t>
            </w:r>
            <w:r>
              <w:t xml:space="preserve"> (cube root),</w:t>
              <w:br w:clear="none"/>
              <w:t xml:space="preserve"> </w:t>
            </w:r>
            <w:r>
              <w:rPr>
                <w:rStyle w:val="Text0"/>
              </w:rPr>
              <w:t>math.exp2()</w:t>
            </w:r>
            <w:r>
              <w:t xml:space="preserve"> (computes 2ⁿ)</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msilib</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nis</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nntplib</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operator.call</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ossaudiodev</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pipes</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re</w:t>
            </w:r>
            <w:r>
              <w:t xml:space="preserve"> pattern syntax supports </w:t>
            </w:r>
            <w:r>
              <w:rPr>
                <w:rStyle w:val="Text0"/>
              </w:rPr>
              <w:t>*+</w:t>
            </w:r>
            <w:r>
              <w:t xml:space="preserve">, </w:t>
            </w:r>
            <w:r>
              <w:rPr>
                <w:rStyle w:val="Text0"/>
              </w:rPr>
              <w:t>++</w:t>
            </w:r>
            <w:r>
              <w:t xml:space="preserve">, </w:t>
            </w:r>
            <w:r>
              <w:rPr>
                <w:rStyle w:val="Text0"/>
              </w:rPr>
              <w:t>?+</w:t>
            </w:r>
            <w:r>
              <w:t xml:space="preserve">, and </w:t>
            </w:r>
            <w:r>
              <w:rPr>
                <w:rStyle w:val="Text0"/>
              </w:rPr>
              <w:t>{m,n}+</w:t>
            </w:r>
            <w:r>
              <w:t xml:space="preserve"> possessive quantifiers, and </w:t>
            </w:r>
            <w:r>
              <w:rPr>
                <w:rStyle w:val="Text0"/>
              </w:rPr>
              <w:t>(?&gt;...)</w:t>
            </w:r>
            <w:r>
              <w:t xml:space="preserve"> atomic grouping</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re.template()</w:t>
            </w:r>
            <w:r>
              <w:rPr>
                <w:rStyle w:val="Text12"/>
              </w:rPr>
              <w:t xml:space="preserv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smtpd</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sndhdr</w:t>
            </w:r>
            <w:r>
              <w:t xml:space="preserve"> module deprecated</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spwd</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sqlite3.Connection.blobopen()</w:t>
            </w:r>
            <w:r>
              <w:rPr>
                <w:rStyle w:val="Text12"/>
              </w:rPr>
              <w:t xml:space="preserve">, </w:t>
            </w:r>
            <w:r>
              <w:t>sqlite3.Connection.create_window_function()</w:t>
            </w:r>
            <w:r>
              <w:rPr>
                <w:rStyle w:val="Text12"/>
              </w:rPr>
              <w:t>,</w:t>
              <w:br w:clear="none"/>
              <w:t xml:space="preserve"> </w:t>
            </w:r>
            <w:r>
              <w:t>sqlite3.Connection.</w:t>
              <w:t>deserialize()</w:t>
            </w:r>
            <w:r>
              <w:rPr>
                <w:rStyle w:val="Text12"/>
              </w:rPr>
              <w:t>,</w:t>
              <w:br w:clear="none"/>
              <w:t xml:space="preserve"> </w:t>
            </w:r>
            <w:r>
              <w:t>sqlite3.Connection.getlimit()</w:t>
            </w:r>
            <w:r>
              <w:rPr>
                <w:rStyle w:val="Text12"/>
              </w:rPr>
              <w:t>,</w:t>
              <w:br w:clear="none"/>
              <w:t xml:space="preserve"> </w:t>
            </w:r>
            <w:r>
              <w:t>sqlite3.Connection.serialize()</w:t>
            </w:r>
            <w:r>
              <w:rPr>
                <w:rStyle w:val="Text12"/>
              </w:rPr>
              <w:t>,</w:t>
              <w:br w:clear="none"/>
              <w:t xml:space="preserve"> </w:t>
            </w:r>
            <w:r>
              <w:t>sqlite3.Connection.setlimit()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sre_compile</w:t>
            </w:r>
            <w:r>
              <w:rPr>
                <w:rStyle w:val="Text12"/>
              </w:rPr>
              <w:t xml:space="preserve">, </w:t>
            </w:r>
            <w:r>
              <w:t>sre_constants</w:t>
            </w:r>
            <w:r>
              <w:rPr>
                <w:rStyle w:val="Text12"/>
              </w:rPr>
              <w:t xml:space="preserve">, and </w:t>
            </w:r>
            <w:r>
              <w:t>sre_parse</w:t>
            </w:r>
            <w:r>
              <w:rPr>
                <w:rStyle w:val="Text12"/>
              </w:rPr>
              <w:t xml:space="preserv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statistics.fmean()</w:t>
            </w:r>
            <w:r>
              <w:rPr>
                <w:rStyle w:val="Text12"/>
              </w:rPr>
              <w:t xml:space="preserve"> optional </w:t>
            </w:r>
            <w:r>
              <w:t>weights</w:t>
            </w:r>
            <w:r>
              <w:rPr>
                <w:rStyle w:val="Text12"/>
              </w:rPr>
              <w:t xml:space="preserve"> argument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sunau</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sys.exception()</w:t>
              <w:br w:clear="none"/>
            </w:r>
            <w:r>
              <w:rPr>
                <w:rStyle w:val="Text12"/>
              </w:rPr>
              <w:t xml:space="preserve"> (equivalent to </w:t>
            </w:r>
            <w:r>
              <w:t>sys.exc_info()[1]</w:t>
            </w:r>
            <w:r>
              <w:rPr>
                <w:rStyle w:val="Text12"/>
              </w:rPr>
              <w:t>)</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telnetlib</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time.nanosleep()</w:t>
            </w:r>
            <w:r>
              <w:t xml:space="preserve"> (Unix-like systems only)</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tomllib</w:t>
            </w:r>
            <w:r>
              <w:t xml:space="preserve"> TOML parser module</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typing.assert_never()</w:t>
            </w:r>
            <w:r>
              <w:rPr>
                <w:rStyle w:val="Text12"/>
              </w:rPr>
              <w:t>,</w:t>
              <w:br w:clear="none"/>
              <w:t xml:space="preserve"> </w:t>
            </w:r>
            <w:r>
              <w:t>typing.assert_type()</w:t>
            </w:r>
            <w:r>
              <w:rPr>
                <w:rStyle w:val="Text12"/>
              </w:rPr>
              <w:t>,</w:t>
              <w:br w:clear="none"/>
              <w:t xml:space="preserve"> </w:t>
            </w:r>
            <w:r>
              <w:t>typing.LiteralString</w:t>
            </w:r>
            <w:r>
              <w:rPr>
                <w:rStyle w:val="Text12"/>
              </w:rPr>
              <w:t xml:space="preserve">, </w:t>
            </w:r>
            <w:r>
              <w:t>typing.Never</w:t>
            </w:r>
            <w:r>
              <w:rPr>
                <w:rStyle w:val="Text12"/>
              </w:rPr>
              <w:t>,</w:t>
              <w:br w:clear="none"/>
              <w:t xml:space="preserve"> </w:t>
            </w:r>
            <w:r>
              <w:t>typing.reveal_type()</w:t>
            </w:r>
            <w:r>
              <w:rPr>
                <w:rStyle w:val="Text12"/>
              </w:rPr>
              <w:t xml:space="preserve">, </w:t>
            </w:r>
            <w:r>
              <w:t>typing.Self</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typing.Text</w:t>
            </w:r>
            <w:r>
              <w:t xml:space="preserve"> deprecated; use </w:t>
            </w:r>
            <w:r>
              <w:rPr>
                <w:rStyle w:val="Text0"/>
              </w:rPr>
              <w:t>str</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1"/>
            </w:pPr>
            <w:r>
              <w:t>typing.TypedDict</w:t>
            </w:r>
            <w:r>
              <w:rPr>
                <w:rStyle w:val="Text12"/>
              </w:rPr>
              <w:t xml:space="preserve"> items can be marked as </w:t>
            </w:r>
            <w:r>
              <w:t>Required</w:t>
            </w:r>
            <w:r>
              <w:rPr>
                <w:rStyle w:val="Text12"/>
              </w:rPr>
              <w:t xml:space="preserve"> or </w:t>
            </w:r>
            <w:r>
              <w:t>NotRequired</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typing.TypedDict(a=int, b=str)</w:t>
            </w:r>
            <w:r>
              <w:rPr>
                <w:rStyle w:val="Text12"/>
              </w:rPr>
              <w:t xml:space="preserve"> form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unicodedata</w:t>
            </w:r>
            <w:r>
              <w:t xml:space="preserve"> updated to Unicode 14.0.0</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unittest.enterModuleContext()</w:t>
            </w:r>
            <w:r>
              <w:rPr>
                <w:rStyle w:val="Text12"/>
              </w:rPr>
              <w:t>,</w:t>
              <w:br w:clear="none"/>
              <w:t xml:space="preserve"> </w:t>
            </w:r>
            <w:r>
              <w:t>unittest.IsolatedAsyncioTestCase.enterAsyncContext()</w:t>
            </w:r>
            <w:r>
              <w:rPr>
                <w:rStyle w:val="Text12"/>
              </w:rPr>
              <w:t>,</w:t>
              <w:br w:clear="none"/>
              <w:t xml:space="preserve"> </w:t>
            </w:r>
            <w:r>
              <w:t>unittest.TestCase.enterClassContext()</w:t>
            </w:r>
            <w:r>
              <w:rPr>
                <w:rStyle w:val="Text12"/>
              </w:rPr>
              <w:t>,</w:t>
              <w:br w:clear="none"/>
              <w:t xml:space="preserve"> </w:t>
            </w:r>
            <w:r>
              <w:t>unittest.TestCase.enterContext()</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1"/>
            </w:pPr>
            <w:r>
              <w:t>unittest.findTestCases()</w:t>
            </w:r>
            <w:r>
              <w:rPr>
                <w:rStyle w:val="Text12"/>
              </w:rPr>
              <w:t>,</w:t>
              <w:br w:clear="none"/>
              <w:t xml:space="preserve"> </w:t>
            </w:r>
            <w:r>
              <w:t>unittest.getTestCaseName()</w:t>
            </w:r>
            <w:r>
              <w:rPr>
                <w:rStyle w:val="Text12"/>
              </w:rPr>
              <w:t>,</w:t>
              <w:br w:clear="none"/>
              <w:t xml:space="preserve"> and </w:t>
            </w:r>
            <w:r>
              <w:t>unittest.makeSuite()</w:t>
            </w:r>
            <w:r>
              <w:rPr>
                <w:rStyle w:val="Text12"/>
              </w:rPr>
              <w:t xml:space="preserve"> deprecated;</w:t>
              <w:br w:clear="none"/>
              <w:t xml:space="preserve"> use methods of </w:t>
            </w:r>
            <w:r>
              <w:t>unittest.TestLoader</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uu</w:t>
            </w:r>
            <w:r>
              <w:t xml:space="preserve"> module deprecated</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5"/>
              </w:rPr>
              <w:t>with</w:t>
            </w:r>
            <w:r>
              <w:t xml:space="preserve"> statement now raises </w:t>
            </w:r>
            <w:r>
              <w:rPr>
                <w:rStyle w:val="Text0"/>
              </w:rPr>
              <w:t>TypeError</w:t>
            </w:r>
            <w:r>
              <w:t xml:space="preserve"> instead of </w:t>
            </w:r>
            <w:r>
              <w:rPr>
                <w:rStyle w:val="Text0"/>
              </w:rPr>
              <w:t>AttributeError</w:t>
            </w:r>
            <w:r>
              <w:t xml:space="preserve"> for objects that do not support the context manager protocol</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6"/>
            </w:pPr>
            <w:r>
              <w:t>!</w:t>
            </w:r>
          </w:p>
        </w:tc>
      </w:tr>
    </w:tbl>
    <w:tbl>
      <w:tblPr>
        <w:tblW w:type="auto" w:w="0"/>
      </w:tblPr>
      <w:tr>
        <w:tc>
          <w:tcPr>
            <w:tcW w:type="auto" w:w="0"/>
            <w:shd w:val="clear" w:color="auto" w:fill="EEF2F6"/>
            <w:tcMar>
              <w:left w:type="dxa" w:w="200"/>
              <w:top w:type="dxa" w:w="200"/>
              <w:right w:type="dxa" w:w="200"/>
              <w:bottom w:type="dxa" w:w="200"/>
            </w:tcMar>
          </w:tcPr>
          <w:p>
            <w:pPr>
              <w:pStyle w:val="Para 002"/>
            </w:pPr>
            <w:r>
              <w:rPr>
                <w:rStyle w:val="Text0"/>
              </w:rPr>
              <w:t>xdrlib</w:t>
            </w:r>
            <w:r>
              <w:t xml:space="preserve"> module deprecated</w:t>
            </w:r>
          </w:p>
        </w:tc>
        <w:tc>
          <w:tcPr>
            <w:tcW w:type="auto" w:w="0"/>
            <w:shd w:val="clear" w:color="auto" w:fill="EEF2F6"/>
            <w:tcMar>
              <w:left w:type="dxa" w:w="200"/>
              <w:top w:type="dxa" w:w="200"/>
              <w:right w:type="dxa" w:w="200"/>
              <w:bottom w:type="dxa" w:w="200"/>
            </w:tcMar>
          </w:tcPr>
          <w:p>
            <w:pPr>
              <w:pStyle w:val="Para 017"/>
            </w:pPr>
            <w:r>
              <w:t/>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17"/>
            </w:pPr>
            <w:r>
              <w:t/>
            </w:r>
          </w:p>
        </w:tc>
        <w:tc>
          <w:tcPr>
            <w:tcW w:type="auto" w:w="0"/>
            <w:shd w:val="clear" w:color="auto" w:fill="EEF2F6"/>
            <w:tcMar>
              <w:left w:type="dxa" w:w="200"/>
              <w:top w:type="dxa" w:w="200"/>
              <w:right w:type="dxa" w:w="200"/>
              <w:bottom w:type="dxa" w:w="200"/>
            </w:tcMar>
          </w:tcPr>
          <w:p>
            <w:pPr>
              <w:pStyle w:val="Para 006"/>
            </w:pPr>
            <w:r>
              <w:t>*</w:t>
            </w:r>
          </w:p>
        </w:tc>
      </w:tr>
    </w:tbl>
    <w:tbl>
      <w:tblPr>
        <w:tblW w:type="auto" w:w="0"/>
      </w:tblPr>
      <w:tr>
        <w:tc>
          <w:tcPr>
            <w:tcW w:type="auto" w:w="0"/>
            <w:tcMar>
              <w:left w:type="dxa" w:w="200"/>
              <w:top w:type="dxa" w:w="200"/>
              <w:right w:type="dxa" w:w="200"/>
              <w:bottom w:type="dxa" w:w="200"/>
            </w:tcMar>
          </w:tcPr>
          <w:p>
            <w:pPr>
              <w:pStyle w:val="Para 002"/>
            </w:pPr>
            <w:r>
              <w:rPr>
                <w:rStyle w:val="Text0"/>
              </w:rPr>
              <w:t>z</w:t>
            </w:r>
            <w:r>
              <w:t xml:space="preserve"> string format specifier added, for negative sign of values close to zero</w:t>
            </w:r>
          </w:p>
        </w:tc>
        <w:tc>
          <w:tcPr>
            <w:tcW w:type="auto" w:w="0"/>
            <w:tcMar>
              <w:left w:type="dxa" w:w="200"/>
              <w:top w:type="dxa" w:w="200"/>
              <w:right w:type="dxa" w:w="200"/>
              <w:bottom w:type="dxa" w:w="200"/>
            </w:tcMar>
          </w:tcPr>
          <w:p>
            <w:pPr>
              <w:pStyle w:val="Para 006"/>
            </w:pPr>
            <w:r>
              <w:t>+</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1"/>
            </w:pPr>
            <w:r>
              <w:t>zipfile.ZipFile.mkdir()</w:t>
            </w:r>
            <w:r>
              <w:rPr>
                <w:rStyle w:val="Text12"/>
              </w:rPr>
              <w:t xml:space="preserve"> added</w:t>
            </w:r>
            <w:r>
              <w:rPr>
                <w:rStyle w:val="Text115"/>
              </w:rPr>
              <w:bookmarkStart w:id="4551" w:name="idm45965160902960"/>
              <w:t/>
              <w:bookmarkEnd w:id="4551"/>
              <w:bookmarkStart w:id="4552" w:name="idm45965160901552"/>
              <w:t/>
              <w:bookmarkEnd w:id="4552"/>
              <w:bookmarkStart w:id="4553" w:name="idm45965160900176"/>
              <w:t/>
              <w:bookmarkEnd w:id="4553"/>
              <w:bookmarkStart w:id="4554" w:name="idm45965160898800"/>
              <w:t/>
              <w:bookmarkEnd w:id="4554"/>
              <w:bookmarkStart w:id="4555" w:name="idm45965160897424"/>
              <w:t/>
              <w:bookmarkEnd w:id="4555"/>
            </w:r>
          </w:p>
        </w:tc>
        <w:tc>
          <w:tcPr>
            <w:tcW w:type="auto" w:w="0"/>
            <w:shd w:val="clear" w:color="auto" w:fill="EEF2F6"/>
            <w:tcMar>
              <w:left w:type="dxa" w:w="200"/>
              <w:top w:type="dxa" w:w="200"/>
              <w:right w:type="dxa" w:w="200"/>
              <w:bottom w:type="dxa" w:w="200"/>
            </w:tcMar>
          </w:tcPr>
          <w:p>
            <w:pPr>
              <w:pStyle w:val="Para 006"/>
            </w:pPr>
            <w:r>
              <w:t>+</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52"/>
            </w:pPr>
            <w:r>
              <w:t>Add your own notes here:</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tbl>
      <w:tblPr>
        <w:tblW w:type="auto" w:w="0"/>
      </w:tblPr>
      <w:tr>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c>
          <w:tcPr>
            <w:tcW w:type="auto" w:w="0"/>
            <w:shd w:val="clear" w:color="auto" w:fill="EEF2F6"/>
            <w:tcMar>
              <w:left w:type="dxa" w:w="200"/>
              <w:top w:type="dxa" w:w="200"/>
              <w:right w:type="dxa" w:w="200"/>
              <w:bottom w:type="dxa" w:w="200"/>
            </w:tcMar>
          </w:tcPr>
          <w:p>
            <w:pPr>
              <w:pStyle w:val="Para 002"/>
            </w:pPr>
            <w:r>
              <w:t/>
            </w:r>
          </w:p>
        </w:tc>
      </w:tr>
    </w:tbl>
    <w:tbl>
      <w:tblPr>
        <w:tblW w:type="auto" w:w="0"/>
      </w:tblPr>
      <w:tr>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c>
          <w:tcPr>
            <w:tcW w:type="auto" w:w="0"/>
            <w:tcMar>
              <w:left w:type="dxa" w:w="200"/>
              <w:top w:type="dxa" w:w="200"/>
              <w:right w:type="dxa" w:w="200"/>
              <w:bottom w:type="dxa" w:w="200"/>
            </w:tcMar>
          </w:tcPr>
          <w:p>
            <w:pPr>
              <w:pStyle w:val="Para 002"/>
            </w:pPr>
            <w:r>
              <w:t/>
            </w:r>
          </w:p>
        </w:tc>
      </w:tr>
    </w:tbl>
    <w:p>
      <w:bookmarkStart w:id="4556" w:name="Top_of_ix01_html"/>
      <w:bookmarkStart w:id="4557" w:name="IndexSymbols___exclamation_point_1"/>
      <w:bookmarkStart w:id="4558" w:name="IndexSymbols___exclamation_point_2"/>
      <w:bookmarkStart w:id="4559" w:name="IndexSymbols___exclamation_point"/>
      <w:pPr>
        <w:keepNext/>
        <w:pStyle w:val="Para 118"/>
        <w:pageBreakBefore w:val="on"/>
      </w:pPr>
      <w:r>
        <w:t>Index</w:t>
      </w:r>
      <w:bookmarkEnd w:id="4556"/>
      <w:bookmarkEnd w:id="4557"/>
      <w:bookmarkEnd w:id="4558"/>
      <w:bookmarkEnd w:id="4559"/>
    </w:p>
    <w:p>
      <w:pPr>
        <w:keepNext/>
        <w:pStyle w:val="Heading 3"/>
      </w:pPr>
      <w:r>
        <w:t>Symbols</w:t>
      </w:r>
    </w:p>
    <w:p>
      <w:pPr>
        <w:pStyle w:val="Para 003"/>
      </w:pPr>
      <w:r>
        <w:t>! (exclamation point)</w:t>
        <w:t xml:space="preserve">, </w:t>
      </w:r>
      <w:hyperlink w:anchor="idm45965284326464">
        <w:r>
          <w:rPr>
            <w:rStyle w:val="Text1"/>
          </w:rPr>
          <w:t>Identifiers</w:t>
        </w:r>
      </w:hyperlink>
    </w:p>
    <w:p>
      <w:pPr>
        <w:pStyle w:val="Para 003"/>
      </w:pPr>
      <w:r>
        <w:t>!= (not equal to operator)</w:t>
        <w:t xml:space="preserve">, </w:t>
      </w:r>
      <w:hyperlink w:anchor="idm45965276198400">
        <w:r>
          <w:rPr>
            <w:rStyle w:val="Text1"/>
          </w:rPr>
          <w:t>Comparisons</w:t>
        </w:r>
      </w:hyperlink>
    </w:p>
    <w:p>
      <w:pPr>
        <w:pStyle w:val="Para 003"/>
      </w:pPr>
      <w:r>
        <w:t>!a format marker</w:t>
        <w:t xml:space="preserve">, </w:t>
      </w:r>
      <w:hyperlink w:anchor="idm45965211376528">
        <w:r>
          <w:rPr>
            <w:rStyle w:val="Text1"/>
          </w:rPr>
          <w:t>Value Conversion</w:t>
        </w:r>
      </w:hyperlink>
    </w:p>
    <w:p>
      <w:pPr>
        <w:pStyle w:val="Para 003"/>
      </w:pPr>
      <w:r>
        <w:t>!r format marker</w:t>
        <w:t xml:space="preserve">, </w:t>
      </w:r>
      <w:hyperlink w:anchor="idm45965211377632">
        <w:r>
          <w:rPr>
            <w:rStyle w:val="Text1"/>
          </w:rPr>
          <w:t>Value Conversion</w:t>
        </w:r>
      </w:hyperlink>
    </w:p>
    <w:p>
      <w:pPr>
        <w:pStyle w:val="Para 003"/>
      </w:pPr>
      <w:r>
        <w:t>!s format marker</w:t>
        <w:t xml:space="preserve">, </w:t>
      </w:r>
      <w:hyperlink w:anchor="idm45965211378736">
        <w:r>
          <w:rPr>
            <w:rStyle w:val="Text1"/>
          </w:rPr>
          <w:t>Value Conversion</w:t>
        </w:r>
      </w:hyperlink>
    </w:p>
    <w:p>
      <w:pPr>
        <w:pStyle w:val="Para 003"/>
      </w:pPr>
      <w:r>
        <w:t>" (double quote)</w:t>
        <w:t xml:space="preserve">, </w:t>
      </w:r>
      <w:hyperlink w:anchor="idm45965276505744">
        <w:r>
          <w:rPr>
            <w:rStyle w:val="Text1"/>
          </w:rPr>
          <w:t>Delimiters</w:t>
        </w:r>
      </w:hyperlink>
      <w:r>
        <w:t xml:space="preserve">, </w:t>
      </w:r>
      <w:hyperlink w:anchor="idm45965282815552">
        <w:r>
          <w:rPr>
            <w:rStyle w:val="Text1"/>
          </w:rPr>
          <w:t>Strings</w:t>
        </w:r>
      </w:hyperlink>
    </w:p>
    <w:p>
      <w:pPr>
        <w:pStyle w:val="Para 003"/>
      </w:pPr>
      <w:r>
        <w:t>""" (triple double quotes)</w:t>
        <w:t xml:space="preserve">, </w:t>
      </w:r>
      <w:hyperlink w:anchor="idm45965276713072">
        <w:r>
          <w:rPr>
            <w:rStyle w:val="Text1"/>
          </w:rPr>
          <w:t>Strings</w:t>
        </w:r>
      </w:hyperlink>
    </w:p>
    <w:p>
      <w:pPr>
        <w:pStyle w:val="Para 004"/>
      </w:pPr>
      <w:r>
        <w:rPr>
          <w:rStyle w:val="Text2"/>
        </w:rPr>
        <w:t># (hash sign)</w:t>
        <w:t xml:space="preserve">, </w:t>
      </w:r>
      <w:hyperlink w:anchor="idm45965274423728">
        <w:r>
          <w:t>Lines and Indentation</w:t>
        </w:r>
      </w:hyperlink>
      <w:r>
        <w:rPr>
          <w:rStyle w:val="Text2"/>
        </w:rPr>
        <w:t xml:space="preserve">, </w:t>
      </w:r>
      <w:hyperlink w:anchor="idm45965276504640">
        <w:r>
          <w:t>Delimiters</w:t>
        </w:r>
      </w:hyperlink>
    </w:p>
    <w:p>
      <w:pPr>
        <w:pStyle w:val="Para 003"/>
      </w:pPr>
      <w:r>
        <w:t># (radix indicator) (f-strings)</w:t>
        <w:t xml:space="preserve">, </w:t>
      </w:r>
      <w:hyperlink w:anchor="idm45965210845536">
        <w:r>
          <w:rPr>
            <w:rStyle w:val="Text1"/>
          </w:rPr>
          <w:t>Radix indicator (#)</w:t>
        </w:r>
      </w:hyperlink>
    </w:p>
    <w:p>
      <w:pPr>
        <w:pStyle w:val="Para 004"/>
      </w:pPr>
      <w:r>
        <w:rPr>
          <w:rStyle w:val="Text2"/>
        </w:rPr>
        <w:t>#! (shebang)</w:t>
        <w:t xml:space="preserve">, </w:t>
      </w:r>
      <w:hyperlink w:anchor="idm45965278464112">
        <w:r>
          <w:t>Running Python Programs</w:t>
        </w:r>
      </w:hyperlink>
      <w:r>
        <w:rPr>
          <w:rStyle w:val="Text2"/>
        </w:rPr>
        <w:t xml:space="preserve">, </w:t>
      </w:r>
      <w:hyperlink w:anchor="idm45965284069056">
        <w:r>
          <w:t>Character Sets</w:t>
        </w:r>
      </w:hyperlink>
    </w:p>
    <w:p>
      <w:pPr>
        <w:pStyle w:val="Para 004"/>
      </w:pPr>
      <w:r>
        <w:rPr>
          <w:rStyle w:val="Text2"/>
        </w:rPr>
        <w:t>$ (dollar sign)</w:t>
        <w:t xml:space="preserve">, </w:t>
      </w:r>
      <w:hyperlink w:anchor="idm45965284328672">
        <w:r>
          <w:t>Identifiers</w:t>
        </w:r>
      </w:hyperlink>
      <w:r>
        <w:rPr>
          <w:rStyle w:val="Text2"/>
        </w:rPr>
        <w:t xml:space="preserve">, </w:t>
      </w:r>
      <w:hyperlink w:anchor="idm45965282198400">
        <w:r>
          <w:t>Delimiters</w:t>
        </w:r>
      </w:hyperlink>
    </w:p>
    <w:p>
      <w:pPr>
        <w:pStyle w:val="Para 003"/>
      </w:pPr>
      <w:r>
        <w:t>% (percent sign)</w:t>
      </w:r>
    </w:p>
    <w:p>
      <w:pPr>
        <w:pStyle w:val="Para 003"/>
      </w:pPr>
      <w:r>
        <w:t>legacy string format operator</w:t>
        <w:t xml:space="preserve">, </w:t>
      </w:r>
      <w:hyperlink w:anchor="idm45965209753920">
        <w:r>
          <w:rPr>
            <w:rStyle w:val="Text1"/>
          </w:rPr>
          <w:t>Legacy String Formatting with %</w:t>
        </w:r>
      </w:hyperlink>
    </w:p>
    <w:p>
      <w:pPr>
        <w:pStyle w:val="Para 003"/>
      </w:pPr>
      <w:r>
        <w:t>log message placeholder</w:t>
        <w:t xml:space="preserve">, </w:t>
      </w:r>
      <w:hyperlink w:anchor="idm45965255439360">
        <w:r>
          <w:rPr>
            <w:rStyle w:val="Text1"/>
          </w:rPr>
          <w:t>The logging module</w:t>
        </w:r>
      </w:hyperlink>
    </w:p>
    <w:p>
      <w:pPr>
        <w:pStyle w:val="Para 003"/>
      </w:pPr>
      <w:r>
        <w:t>modulus division operator</w:t>
        <w:t xml:space="preserve">, </w:t>
      </w:r>
      <w:hyperlink w:anchor="idm45965276261040">
        <w:r>
          <w:rPr>
            <w:rStyle w:val="Text1"/>
          </w:rPr>
          <w:t>Division</w:t>
        </w:r>
      </w:hyperlink>
    </w:p>
    <w:p>
      <w:pPr>
        <w:pStyle w:val="Para 003"/>
      </w:pPr>
      <w:r>
        <w:t>SQL statement placeholder</w:t>
        <w:t xml:space="preserve">, </w:t>
      </w:r>
      <w:hyperlink w:anchor="idm45965197920432">
        <w:r>
          <w:rPr>
            <w:rStyle w:val="Text1"/>
          </w:rPr>
          <w:t>Parameter Style</w:t>
        </w:r>
      </w:hyperlink>
    </w:p>
    <w:p>
      <w:pPr>
        <w:pStyle w:val="Para 004"/>
      </w:pPr>
      <w:r>
        <w:rPr>
          <w:rStyle w:val="Text2"/>
        </w:rPr>
        <w:t>%= character</w:t>
        <w:t xml:space="preserve">, </w:t>
      </w:r>
      <w:hyperlink w:anchor="idm45965276517312">
        <w:r>
          <w:t>Delimiters</w:t>
        </w:r>
      </w:hyperlink>
      <w:r>
        <w:rPr>
          <w:rStyle w:val="Text2"/>
        </w:rPr>
        <w:t xml:space="preserve">, </w:t>
      </w:r>
      <w:hyperlink w:anchor="idm45965283328688">
        <w:r>
          <w:t>Augmented assignment</w:t>
        </w:r>
      </w:hyperlink>
    </w:p>
    <w:p>
      <w:pPr>
        <w:pStyle w:val="Para 004"/>
      </w:pPr>
      <w:r>
        <w:rPr>
          <w:rStyle w:val="Text2"/>
        </w:rPr>
        <w:t>%a format marker</w:t>
        <w:t xml:space="preserve">, </w:t>
      </w:r>
      <w:hyperlink w:anchor="idm45965209472048">
        <w:r>
          <w:t>Format Specifier Syntax</w:t>
        </w:r>
      </w:hyperlink>
    </w:p>
    <w:p>
      <w:pPr>
        <w:pStyle w:val="Para 004"/>
      </w:pPr>
      <w:r>
        <w:rPr>
          <w:rStyle w:val="Text2"/>
        </w:rPr>
        <w:t>%r format marker</w:t>
        <w:t xml:space="preserve">, </w:t>
      </w:r>
      <w:hyperlink w:anchor="idm45965209473152">
        <w:r>
          <w:t>Format Specifier Syntax</w:t>
        </w:r>
      </w:hyperlink>
    </w:p>
    <w:p>
      <w:pPr>
        <w:pStyle w:val="Para 004"/>
      </w:pPr>
      <w:r>
        <w:rPr>
          <w:rStyle w:val="Text2"/>
        </w:rPr>
        <w:t>%s character</w:t>
        <w:t xml:space="preserve">, </w:t>
      </w:r>
      <w:hyperlink w:anchor="idm45965197737728">
        <w:r>
          <w:t>Parameter Style</w:t>
        </w:r>
      </w:hyperlink>
    </w:p>
    <w:p>
      <w:pPr>
        <w:pStyle w:val="Para 004"/>
      </w:pPr>
      <w:r>
        <w:rPr>
          <w:rStyle w:val="Text2"/>
        </w:rPr>
        <w:t>%s format marder</w:t>
        <w:t xml:space="preserve">, </w:t>
      </w:r>
      <w:hyperlink w:anchor="idm45965209470944">
        <w:r>
          <w:t>Format Specifier Syntax</w:t>
        </w:r>
      </w:hyperlink>
    </w:p>
    <w:p>
      <w:pPr>
        <w:pStyle w:val="Para 003"/>
      </w:pPr>
      <w:r>
        <w:t>&amp; (bitwise AND operator)</w:t>
        <w:t xml:space="preserve">, </w:t>
      </w:r>
      <w:hyperlink w:anchor="idm45965275219840">
        <w:r>
          <w:rPr>
            <w:rStyle w:val="Text1"/>
          </w:rPr>
          <w:t>Expressions and Operators</w:t>
        </w:r>
      </w:hyperlink>
    </w:p>
    <w:p>
      <w:pPr>
        <w:pStyle w:val="Para 004"/>
      </w:pPr>
      <w:r>
        <w:rPr>
          <w:rStyle w:val="Text2"/>
        </w:rPr>
        <w:t>&amp;= character</w:t>
        <w:t xml:space="preserve">, </w:t>
      </w:r>
      <w:hyperlink w:anchor="idm45965276516208">
        <w:r>
          <w:t>Delimiters</w:t>
        </w:r>
      </w:hyperlink>
      <w:r>
        <w:rPr>
          <w:rStyle w:val="Text2"/>
        </w:rPr>
        <w:t xml:space="preserve">, </w:t>
      </w:r>
      <w:hyperlink w:anchor="idm45965283323168">
        <w:r>
          <w:t>Augmented assignment</w:t>
        </w:r>
      </w:hyperlink>
    </w:p>
    <w:p>
      <w:pPr>
        <w:pStyle w:val="Para 003"/>
      </w:pPr>
      <w:r>
        <w:t>' (single quote)</w:t>
        <w:t xml:space="preserve">, </w:t>
      </w:r>
      <w:hyperlink w:anchor="idm45965276506880">
        <w:r>
          <w:rPr>
            <w:rStyle w:val="Text1"/>
          </w:rPr>
          <w:t>Delimiters</w:t>
        </w:r>
      </w:hyperlink>
      <w:r>
        <w:t xml:space="preserve">, </w:t>
      </w:r>
      <w:hyperlink w:anchor="idm45965282816688">
        <w:r>
          <w:rPr>
            <w:rStyle w:val="Text1"/>
          </w:rPr>
          <w:t>Strings</w:t>
        </w:r>
      </w:hyperlink>
    </w:p>
    <w:p>
      <w:pPr>
        <w:pStyle w:val="Para 003"/>
      </w:pPr>
      <w:r>
        <w:t>''' (triple single quotes)</w:t>
        <w:t xml:space="preserve">, </w:t>
      </w:r>
      <w:hyperlink w:anchor="idm45965276715536">
        <w:r>
          <w:rPr>
            <w:rStyle w:val="Text1"/>
          </w:rPr>
          <w:t>Strings</w:t>
        </w:r>
      </w:hyperlink>
    </w:p>
    <w:p>
      <w:pPr>
        <w:pStyle w:val="Para 003"/>
      </w:pPr>
      <w:r>
        <w:t>'&lt;' (align left)</w:t>
        <w:t xml:space="preserve">, </w:t>
      </w:r>
      <w:hyperlink w:anchor="idm45965211253808">
        <w:r>
          <w:rPr>
            <w:rStyle w:val="Text1"/>
          </w:rPr>
          <w:t>Fill and alignment</w:t>
        </w:r>
      </w:hyperlink>
    </w:p>
    <w:p>
      <w:pPr>
        <w:pStyle w:val="Para 003"/>
      </w:pPr>
      <w:r>
        <w:t>'=' (add fill characters)</w:t>
        <w:t xml:space="preserve">, </w:t>
      </w:r>
      <w:hyperlink w:anchor="idm45965211236752">
        <w:r>
          <w:rPr>
            <w:rStyle w:val="Text1"/>
          </w:rPr>
          <w:t>Fill and alignment</w:t>
        </w:r>
      </w:hyperlink>
    </w:p>
    <w:p>
      <w:pPr>
        <w:pStyle w:val="Para 003"/>
      </w:pPr>
      <w:r>
        <w:t>'&gt;' (align right)</w:t>
        <w:t xml:space="preserve">, </w:t>
      </w:r>
      <w:hyperlink w:anchor="idm45965211247328">
        <w:r>
          <w:rPr>
            <w:rStyle w:val="Text1"/>
          </w:rPr>
          <w:t>Fill and alignment</w:t>
        </w:r>
      </w:hyperlink>
    </w:p>
    <w:p>
      <w:pPr>
        <w:pStyle w:val="Para 003"/>
      </w:pPr>
      <w:r>
        <w:t>'^' (align center)</w:t>
        <w:t xml:space="preserve">, </w:t>
      </w:r>
      <w:hyperlink w:anchor="idm45965211241904">
        <w:r>
          <w:rPr>
            <w:rStyle w:val="Text1"/>
          </w:rPr>
          <w:t>Fill and alignment</w:t>
        </w:r>
      </w:hyperlink>
    </w:p>
    <w:p>
      <w:pPr>
        <w:pStyle w:val="Para 003"/>
      </w:pPr>
      <w:r>
        <w:t>() (parentheses)</w:t>
      </w:r>
    </w:p>
    <w:p>
      <w:pPr>
        <w:pStyle w:val="Para 004"/>
      </w:pPr>
      <w:r>
        <w:rPr>
          <w:rStyle w:val="Text2"/>
        </w:rPr>
        <w:t>function calls</w:t>
        <w:t xml:space="preserve">, </w:t>
      </w:r>
      <w:hyperlink w:anchor="idm45965263260208">
        <w:r>
          <w:t>Calling Functions</w:t>
        </w:r>
      </w:hyperlink>
    </w:p>
    <w:p>
      <w:pPr>
        <w:pStyle w:val="Para 003"/>
      </w:pPr>
      <w:r>
        <w:t>in generator expressions</w:t>
        <w:t xml:space="preserve">, </w:t>
      </w:r>
      <w:hyperlink w:anchor="idm45965259207840">
        <w:r>
          <w:rPr>
            <w:rStyle w:val="Text1"/>
          </w:rPr>
          <w:t>Generator expressions</w:t>
        </w:r>
      </w:hyperlink>
    </w:p>
    <w:p>
      <w:pPr>
        <w:pStyle w:val="Para 003"/>
      </w:pPr>
      <w:r>
        <w:t>lines and indentation</w:t>
        <w:t xml:space="preserve">, </w:t>
      </w:r>
      <w:hyperlink w:anchor="idm45965274408576">
        <w:r>
          <w:rPr>
            <w:rStyle w:val="Text1"/>
          </w:rPr>
          <w:t>Lines and Indentation</w:t>
        </w:r>
      </w:hyperlink>
    </w:p>
    <w:p>
      <w:pPr>
        <w:pStyle w:val="Para 003"/>
      </w:pPr>
      <w:r>
        <w:t>* (asterisk)</w:t>
      </w:r>
    </w:p>
    <w:p>
      <w:pPr>
        <w:pStyle w:val="Para 003"/>
      </w:pPr>
      <w:r>
        <w:t>argument collector parameters</w:t>
        <w:t xml:space="preserve">, </w:t>
      </w:r>
      <w:hyperlink w:anchor="idm45965262232000">
        <w:r>
          <w:rPr>
            <w:rStyle w:val="Text1"/>
          </w:rPr>
          <w:t>Argument collector parameters</w:t>
        </w:r>
      </w:hyperlink>
    </w:p>
    <w:p>
      <w:pPr>
        <w:pStyle w:val="Para 003"/>
      </w:pPr>
      <w:r>
        <w:t>concatenation and repetition</w:t>
        <w:t xml:space="preserve">, </w:t>
      </w:r>
      <w:hyperlink w:anchor="idm45965276121920">
        <w:r>
          <w:rPr>
            <w:rStyle w:val="Text1"/>
          </w:rPr>
          <w:t>Concatenation and repetition</w:t>
        </w:r>
      </w:hyperlink>
    </w:p>
    <w:p>
      <w:pPr>
        <w:pStyle w:val="Para 003"/>
      </w:pPr>
      <w:r>
        <w:t>extended unpacking</w:t>
        <w:t xml:space="preserve">, </w:t>
      </w:r>
      <w:hyperlink w:anchor="idm45965258478416">
        <w:r>
          <w:rPr>
            <w:rStyle w:val="Text1"/>
          </w:rPr>
          <w:t>Plain assignment</w:t>
        </w:r>
      </w:hyperlink>
    </w:p>
    <w:p>
      <w:pPr>
        <w:pStyle w:val="Para 003"/>
      </w:pPr>
      <w:r>
        <w:t>in fnmatch module</w:t>
        <w:t xml:space="preserve">, </w:t>
      </w:r>
      <w:hyperlink w:anchor="idm45965202357504">
        <w:r>
          <w:rPr>
            <w:rStyle w:val="Text1"/>
          </w:rPr>
          <w:t>The fnmatch Module</w:t>
        </w:r>
      </w:hyperlink>
    </w:p>
    <w:p>
      <w:pPr>
        <w:pStyle w:val="Para 003"/>
      </w:pPr>
      <w:r>
        <w:t>import statement</w:t>
        <w:t xml:space="preserve">, </w:t>
      </w:r>
      <w:hyperlink w:anchor="idm45965254450768">
        <w:r>
          <w:rPr>
            <w:rStyle w:val="Text1"/>
          </w:rPr>
          <w:t>from...import *</w:t>
        </w:r>
      </w:hyperlink>
    </w:p>
    <w:p>
      <w:pPr>
        <w:pStyle w:val="Para 003"/>
      </w:pPr>
      <w:r>
        <w:t>** (double star) operator</w:t>
      </w:r>
    </w:p>
    <w:p>
      <w:pPr>
        <w:pStyle w:val="Para 003"/>
      </w:pPr>
      <w:r>
        <w:t>dict unpacking</w:t>
        <w:t xml:space="preserve">, </w:t>
      </w:r>
      <w:hyperlink w:anchor="idm45965258223264">
        <w:r>
          <w:rPr>
            <w:rStyle w:val="Text1"/>
          </w:rPr>
          <w:t>Dictionaries</w:t>
        </w:r>
      </w:hyperlink>
    </w:p>
    <w:p>
      <w:pPr>
        <w:pStyle w:val="Para 003"/>
      </w:pPr>
      <w:r>
        <w:t>exponentiation operator</w:t>
        <w:t xml:space="preserve">, </w:t>
      </w:r>
      <w:hyperlink w:anchor="idm45965276229328">
        <w:r>
          <w:rPr>
            <w:rStyle w:val="Text1"/>
          </w:rPr>
          <w:t>Exponentiation</w:t>
        </w:r>
      </w:hyperlink>
    </w:p>
    <w:p>
      <w:pPr>
        <w:pStyle w:val="Para 004"/>
      </w:pPr>
      <w:r>
        <w:rPr>
          <w:rStyle w:val="Text2"/>
        </w:rPr>
        <w:t>glob recursive wildcard</w:t>
        <w:t xml:space="preserve">, </w:t>
      </w:r>
      <w:hyperlink w:anchor="idm45965203307024">
        <w:r>
          <w:t>The pathlib Module</w:t>
        </w:r>
      </w:hyperlink>
      <w:r>
        <w:rPr>
          <w:rStyle w:val="Text2"/>
        </w:rPr>
        <w:t xml:space="preserve">, </w:t>
      </w:r>
      <w:hyperlink w:anchor="idm45965202290688">
        <w:r>
          <w:t>The glob Module</w:t>
        </w:r>
      </w:hyperlink>
    </w:p>
    <w:p>
      <w:pPr>
        <w:pStyle w:val="Para 004"/>
      </w:pPr>
      <w:r>
        <w:rPr>
          <w:rStyle w:val="Text2"/>
        </w:rPr>
        <w:t>kwargs</w:t>
        <w:t xml:space="preserve">, </w:t>
      </w:r>
      <w:hyperlink w:anchor="idm45965262238592">
        <w:r>
          <w:t>Argument collector parameters</w:t>
        </w:r>
      </w:hyperlink>
      <w:r>
        <w:rPr>
          <w:rStyle w:val="Text2"/>
        </w:rPr>
        <w:t xml:space="preserve">, </w:t>
      </w:r>
      <w:hyperlink w:anchor="idm45965270468768">
        <w:r>
          <w:t>Positional and named arguments</w:t>
        </w:r>
      </w:hyperlink>
    </w:p>
    <w:p>
      <w:pPr>
        <w:pStyle w:val="Para 004"/>
      </w:pPr>
      <w:r>
        <w:rPr>
          <w:rStyle w:val="Text2"/>
        </w:rPr>
        <w:t>kwds</w:t>
        <w:t xml:space="preserve">, </w:t>
      </w:r>
      <w:hyperlink w:anchor="idm45965263644832">
        <w:r>
          <w:t>Argument collector parameters</w:t>
        </w:r>
      </w:hyperlink>
      <w:r>
        <w:rPr>
          <w:rStyle w:val="Text2"/>
        </w:rPr>
        <w:t xml:space="preserve">, </w:t>
      </w:r>
      <w:hyperlink w:anchor="idm45965270442928">
        <w:r>
          <w:t>“Keyword-only” parameters</w:t>
        </w:r>
      </w:hyperlink>
    </w:p>
    <w:p>
      <w:pPr>
        <w:pStyle w:val="Para 003"/>
      </w:pPr>
      <w:r>
        <w:t>mapping pattern (structural pattern matching)</w:t>
        <w:t xml:space="preserve">, </w:t>
      </w:r>
      <w:hyperlink w:anchor="idm45965279425680">
        <w:r>
          <w:rPr>
            <w:rStyle w:val="Text1"/>
          </w:rPr>
          <w:t>Mapping patterns</w:t>
        </w:r>
      </w:hyperlink>
    </w:p>
    <w:p>
      <w:pPr>
        <w:pStyle w:val="Para 004"/>
      </w:pPr>
      <w:r>
        <w:rPr>
          <w:rStyle w:val="Text2"/>
        </w:rPr>
        <w:t>metaclass arguments</w:t>
        <w:t xml:space="preserve">, </w:t>
      </w:r>
      <w:hyperlink w:anchor="idm45965271960352">
        <w:r>
          <w:t>The class Statement</w:t>
        </w:r>
      </w:hyperlink>
      <w:r>
        <w:rPr>
          <w:rStyle w:val="Text2"/>
        </w:rPr>
        <w:t xml:space="preserve">, </w:t>
      </w:r>
      <w:hyperlink w:anchor="idm45965273343040">
        <w:r>
          <w:t>Dynamic class definition using the type built-in function</w:t>
        </w:r>
      </w:hyperlink>
    </w:p>
    <w:p>
      <w:pPr>
        <w:pStyle w:val="Para 004"/>
      </w:pPr>
      <w:r>
        <w:rPr>
          <w:rStyle w:val="Text2"/>
        </w:rPr>
        <w:t>named argument collector</w:t>
        <w:t xml:space="preserve">, </w:t>
      </w:r>
      <w:hyperlink w:anchor="dstarname03">
        <w:r>
          <w:t>Named argument collector</w:t>
        </w:r>
      </w:hyperlink>
      <w:r>
        <w:rPr>
          <w:rStyle w:val="Text2"/>
        </w:rPr>
        <w:t>-</w:t>
      </w:r>
      <w:hyperlink w:anchor="idm45965263529664">
        <w:r>
          <w:t>Argument collector parameters</w:t>
        </w:r>
      </w:hyperlink>
    </w:p>
    <w:p>
      <w:pPr>
        <w:pStyle w:val="Para 004"/>
      </w:pPr>
      <w:r>
        <w:rPr>
          <w:rStyle w:val="Text2"/>
        </w:rPr>
        <w:t>**= character</w:t>
        <w:t xml:space="preserve">, </w:t>
      </w:r>
      <w:hyperlink w:anchor="idm45965276511792">
        <w:r>
          <w:t>Delimiters</w:t>
        </w:r>
      </w:hyperlink>
      <w:r>
        <w:rPr>
          <w:rStyle w:val="Text2"/>
        </w:rPr>
        <w:t xml:space="preserve">, </w:t>
      </w:r>
      <w:hyperlink w:anchor="idm45965283327584">
        <w:r>
          <w:t>Augmented assignment</w:t>
        </w:r>
      </w:hyperlink>
    </w:p>
    <w:p>
      <w:pPr>
        <w:pStyle w:val="Para 004"/>
      </w:pPr>
      <w:r>
        <w:rPr>
          <w:rStyle w:val="Text2"/>
        </w:rPr>
        <w:t>*= character</w:t>
        <w:t xml:space="preserve">, </w:t>
      </w:r>
      <w:hyperlink w:anchor="idm45965276520624">
        <w:r>
          <w:t>Delimiters</w:t>
        </w:r>
      </w:hyperlink>
      <w:r>
        <w:rPr>
          <w:rStyle w:val="Text2"/>
        </w:rPr>
        <w:t xml:space="preserve">, </w:t>
      </w:r>
      <w:hyperlink w:anchor="idm45965283332000">
        <w:r>
          <w:t>Augmented assignment</w:t>
        </w:r>
      </w:hyperlink>
    </w:p>
    <w:p>
      <w:pPr>
        <w:pStyle w:val="Para 004"/>
      </w:pPr>
      <w:r>
        <w:rPr>
          <w:rStyle w:val="Text2"/>
        </w:rPr>
        <w:t>*args</w:t>
        <w:t xml:space="preserve">, </w:t>
      </w:r>
      <w:hyperlink w:anchor="idm45965262228224">
        <w:r>
          <w:t>Argument collector parameters</w:t>
        </w:r>
      </w:hyperlink>
    </w:p>
    <w:p>
      <w:pPr>
        <w:pStyle w:val="Para 004"/>
      </w:pPr>
      <w:r>
        <w:rPr>
          <w:rStyle w:val="Text2"/>
        </w:rPr>
        <w:t>*seq</w:t>
        <w:t xml:space="preserve">, </w:t>
      </w:r>
      <w:hyperlink w:anchor="idm45965262839808">
        <w:r>
          <w:t>Positional and named arguments</w:t>
        </w:r>
      </w:hyperlink>
    </w:p>
    <w:p>
      <w:pPr>
        <w:pStyle w:val="Para 004"/>
      </w:pPr>
      <w:r>
        <w:rPr>
          <w:rStyle w:val="Text2"/>
        </w:rPr>
        <w:t>+ (plus sign)</w:t>
        <w:t xml:space="preserve">, </w:t>
      </w:r>
      <w:hyperlink w:anchor="idm45965276126672">
        <w:r>
          <w:t>Concatenation and repetition</w:t>
        </w:r>
      </w:hyperlink>
    </w:p>
    <w:p>
      <w:pPr>
        <w:pStyle w:val="Para 004"/>
      </w:pPr>
      <w:r>
        <w:rPr>
          <w:rStyle w:val="Text2"/>
        </w:rPr>
        <w:t>+= character</w:t>
        <w:t xml:space="preserve">, </w:t>
      </w:r>
      <w:hyperlink w:anchor="idm45965276522832">
        <w:r>
          <w:t>Delimiters</w:t>
        </w:r>
      </w:hyperlink>
      <w:r>
        <w:rPr>
          <w:rStyle w:val="Text2"/>
        </w:rPr>
        <w:t xml:space="preserve">, </w:t>
      </w:r>
      <w:hyperlink w:anchor="idm45965283334240">
        <w:r>
          <w:t>Augmented assignment</w:t>
        </w:r>
      </w:hyperlink>
    </w:p>
    <w:p>
      <w:pPr>
        <w:pStyle w:val="Para 003"/>
      </w:pPr>
      <w:r>
        <w:t>, (comma)</w:t>
      </w:r>
    </w:p>
    <w:p>
      <w:pPr>
        <w:pStyle w:val="Para 003"/>
      </w:pPr>
      <w:r>
        <w:t>in delete statements</w:t>
        <w:t xml:space="preserve">, </w:t>
      </w:r>
      <w:hyperlink w:anchor="idm45965283232512">
        <w:r>
          <w:rPr>
            <w:rStyle w:val="Text1"/>
          </w:rPr>
          <w:t>del Statements</w:t>
        </w:r>
      </w:hyperlink>
    </w:p>
    <w:p>
      <w:pPr>
        <w:pStyle w:val="Para 003"/>
      </w:pPr>
      <w:r>
        <w:t>delimiters</w:t>
        <w:t xml:space="preserve">, </w:t>
      </w:r>
      <w:hyperlink w:anchor="idm45965276530544">
        <w:r>
          <w:rPr>
            <w:rStyle w:val="Text1"/>
          </w:rPr>
          <w:t>Delimiters</w:t>
        </w:r>
      </w:hyperlink>
    </w:p>
    <w:p>
      <w:pPr>
        <w:pStyle w:val="Para 003"/>
      </w:pPr>
      <w:r>
        <w:t>in dictionaries</w:t>
        <w:t xml:space="preserve">, </w:t>
      </w:r>
      <w:hyperlink w:anchor="idm45965269497264">
        <w:r>
          <w:rPr>
            <w:rStyle w:val="Text1"/>
          </w:rPr>
          <w:t>Dictionaries</w:t>
        </w:r>
      </w:hyperlink>
    </w:p>
    <w:p>
      <w:pPr>
        <w:pStyle w:val="Para 003"/>
      </w:pPr>
      <w:r>
        <w:t>in global statements</w:t>
        <w:t xml:space="preserve">, </w:t>
      </w:r>
      <w:hyperlink w:anchor="idm45965270147808">
        <w:r>
          <w:rPr>
            <w:rStyle w:val="Text1"/>
          </w:rPr>
          <w:t>The global statement</w:t>
        </w:r>
      </w:hyperlink>
    </w:p>
    <w:p>
      <w:pPr>
        <w:pStyle w:val="Para 003"/>
      </w:pPr>
      <w:r>
        <w:t>in lists</w:t>
        <w:t xml:space="preserve">, </w:t>
      </w:r>
      <w:hyperlink w:anchor="idm45965265587520">
        <w:r>
          <w:rPr>
            <w:rStyle w:val="Text1"/>
          </w:rPr>
          <w:t>Lists</w:t>
        </w:r>
      </w:hyperlink>
    </w:p>
    <w:p>
      <w:pPr>
        <w:pStyle w:val="Para 003"/>
      </w:pPr>
      <w:r>
        <w:t>in tuples</w:t>
        <w:t xml:space="preserve">, </w:t>
      </w:r>
      <w:hyperlink w:anchor="idm45965264100896">
        <w:r>
          <w:rPr>
            <w:rStyle w:val="Text1"/>
          </w:rPr>
          <w:t>Tuples</w:t>
        </w:r>
      </w:hyperlink>
    </w:p>
    <w:p>
      <w:pPr>
        <w:pStyle w:val="Para 004"/>
      </w:pPr>
      <w:r>
        <w:rPr>
          <w:rStyle w:val="Text2"/>
        </w:rPr>
        <w:t>-= operator</w:t>
        <w:t xml:space="preserve">, </w:t>
      </w:r>
      <w:hyperlink w:anchor="idm45965276521728">
        <w:r>
          <w:t>Delimiters</w:t>
        </w:r>
      </w:hyperlink>
      <w:r>
        <w:rPr>
          <w:rStyle w:val="Text2"/>
        </w:rPr>
        <w:t xml:space="preserve">, </w:t>
      </w:r>
      <w:hyperlink w:anchor="idm45965283333104">
        <w:r>
          <w:t>Augmented assignment</w:t>
        </w:r>
      </w:hyperlink>
    </w:p>
    <w:p>
      <w:pPr>
        <w:pStyle w:val="Para 003"/>
      </w:pPr>
      <w:r>
        <w:t>. (period)</w:t>
      </w:r>
    </w:p>
    <w:p>
      <w:pPr>
        <w:pStyle w:val="Para 003"/>
      </w:pPr>
      <w:r>
        <w:t>floating-point numbers</w:t>
        <w:t xml:space="preserve">, </w:t>
      </w:r>
      <w:hyperlink w:anchor="idm45965282712784">
        <w:r>
          <w:rPr>
            <w:rStyle w:val="Text1"/>
          </w:rPr>
          <w:t>Floating-point numbers</w:t>
        </w:r>
      </w:hyperlink>
    </w:p>
    <w:p>
      <w:pPr>
        <w:pStyle w:val="Para 004"/>
      </w:pPr>
      <w:r>
        <w:rPr>
          <w:rStyle w:val="Text2"/>
        </w:rPr>
        <w:t>import statement</w:t>
        <w:t xml:space="preserve">, </w:t>
      </w:r>
      <w:hyperlink w:anchor="idm45965255002752">
        <w:r>
          <w:t>The import Statement</w:t>
        </w:r>
      </w:hyperlink>
    </w:p>
    <w:p>
      <w:pPr>
        <w:pStyle w:val="Para 004"/>
      </w:pPr>
      <w:r>
        <w:rPr>
          <w:rStyle w:val="Text2"/>
        </w:rPr>
        <w:t>object attributes</w:t>
        <w:t xml:space="preserve">, </w:t>
      </w:r>
      <w:hyperlink w:anchor="idm45965258688720">
        <w:r>
          <w:t>Object attributes and items</w:t>
        </w:r>
      </w:hyperlink>
    </w:p>
    <w:p>
      <w:pPr>
        <w:pStyle w:val="Para 003"/>
      </w:pPr>
      <w:r>
        <w:t>treatment by glob module</w:t>
        <w:t xml:space="preserve">, </w:t>
      </w:r>
      <w:hyperlink w:anchor="idm45965202289344">
        <w:r>
          <w:rPr>
            <w:rStyle w:val="Text1"/>
          </w:rPr>
          <w:t>The glob Module</w:t>
        </w:r>
      </w:hyperlink>
    </w:p>
    <w:p>
      <w:pPr>
        <w:pStyle w:val="Para 004"/>
      </w:pPr>
      <w:r>
        <w:rPr>
          <w:rStyle w:val="Text2"/>
        </w:rPr>
        <w:t>... (ellipsis)</w:t>
        <w:t xml:space="preserve">, </w:t>
      </w:r>
      <w:hyperlink w:anchor="idm45965278337536">
        <w:r>
          <w:t>Interactive Sessions</w:t>
        </w:r>
      </w:hyperlink>
      <w:r>
        <w:rPr>
          <w:rStyle w:val="Text2"/>
        </w:rPr>
        <w:t xml:space="preserve">, </w:t>
      </w:r>
      <w:hyperlink w:anchor="idm45965279251440">
        <w:r>
          <w:t>Ellipsis (...)</w:t>
        </w:r>
      </w:hyperlink>
    </w:p>
    <w:p>
      <w:pPr>
        <w:pStyle w:val="Para 004"/>
      </w:pPr>
      <w:r>
        <w:rPr>
          <w:rStyle w:val="Text2"/>
        </w:rPr>
        <w:t>.pyi stub files</w:t>
        <w:t xml:space="preserve">, </w:t>
      </w:r>
      <w:hyperlink w:anchor="idm45965260708032">
        <w:r>
          <w:t>Using .pyi Stub Files</w:t>
        </w:r>
      </w:hyperlink>
    </w:p>
    <w:p>
      <w:pPr>
        <w:pStyle w:val="Para 003"/>
      </w:pPr>
      <w:r>
        <w:t>/ (positional-only marker)</w:t>
        <w:t xml:space="preserve">, </w:t>
      </w:r>
      <w:hyperlink w:anchor="idm45965262603888">
        <w:r>
          <w:rPr>
            <w:rStyle w:val="Text1"/>
          </w:rPr>
          <w:t>Positional-only marker</w:t>
        </w:r>
      </w:hyperlink>
    </w:p>
    <w:p>
      <w:pPr>
        <w:pStyle w:val="Para 003"/>
      </w:pPr>
      <w:r>
        <w:t>/ (slash)</w:t>
      </w:r>
    </w:p>
    <w:p>
      <w:pPr>
        <w:pStyle w:val="Para 003"/>
      </w:pPr>
      <w:r>
        <w:t>in arithmetic operations</w:t>
        <w:t xml:space="preserve">, </w:t>
      </w:r>
      <w:hyperlink w:anchor="idm45965276262656">
        <w:r>
          <w:rPr>
            <w:rStyle w:val="Text1"/>
          </w:rPr>
          <w:t>Division</w:t>
        </w:r>
      </w:hyperlink>
    </w:p>
    <w:p>
      <w:pPr>
        <w:pStyle w:val="Para 004"/>
      </w:pPr>
      <w:r>
        <w:rPr>
          <w:rStyle w:val="Text2"/>
        </w:rPr>
        <w:t>in file paths</w:t>
        <w:t xml:space="preserve">, </w:t>
      </w:r>
      <w:hyperlink w:anchor="idm45965283005072">
        <w:r>
          <w:t>Command-Line Syntax and Options</w:t>
        </w:r>
      </w:hyperlink>
    </w:p>
    <w:p>
      <w:pPr>
        <w:pStyle w:val="Para 003"/>
      </w:pPr>
      <w:r>
        <w:t>in glob module</w:t>
        <w:t xml:space="preserve">, </w:t>
      </w:r>
      <w:hyperlink w:anchor="idm45965202286656">
        <w:r>
          <w:rPr>
            <w:rStyle w:val="Text1"/>
          </w:rPr>
          <w:t>The glob Module</w:t>
        </w:r>
      </w:hyperlink>
    </w:p>
    <w:p>
      <w:pPr>
        <w:pStyle w:val="Para 003"/>
      </w:pPr>
      <w:r>
        <w:t>pathlib.Path join operator</w:t>
        <w:t xml:space="preserve">, </w:t>
      </w:r>
      <w:hyperlink w:anchor="idm45965202599616">
        <w:r>
          <w:rPr>
            <w:rStyle w:val="Text1"/>
          </w:rPr>
          <w:t>The pathlib Module</w:t>
        </w:r>
      </w:hyperlink>
    </w:p>
    <w:p>
      <w:pPr>
        <w:pStyle w:val="Para 003"/>
      </w:pPr>
      <w:r>
        <w:t>// (floor division operator)</w:t>
        <w:t xml:space="preserve">, </w:t>
      </w:r>
      <w:hyperlink w:anchor="idm45965276252944">
        <w:r>
          <w:rPr>
            <w:rStyle w:val="Text1"/>
          </w:rPr>
          <w:t>Division</w:t>
        </w:r>
      </w:hyperlink>
    </w:p>
    <w:p>
      <w:pPr>
        <w:pStyle w:val="Para 004"/>
      </w:pPr>
      <w:r>
        <w:rPr>
          <w:rStyle w:val="Text2"/>
        </w:rPr>
        <w:t>//= character</w:t>
        <w:t xml:space="preserve">, </w:t>
      </w:r>
      <w:hyperlink w:anchor="idm45965276518416">
        <w:r>
          <w:t>Delimiters</w:t>
        </w:r>
      </w:hyperlink>
      <w:r>
        <w:rPr>
          <w:rStyle w:val="Text2"/>
        </w:rPr>
        <w:t xml:space="preserve">, </w:t>
      </w:r>
      <w:hyperlink w:anchor="idm45965283329792">
        <w:r>
          <w:t>Augmented assignment</w:t>
        </w:r>
      </w:hyperlink>
    </w:p>
    <w:p>
      <w:pPr>
        <w:pStyle w:val="Para 004"/>
      </w:pPr>
      <w:r>
        <w:rPr>
          <w:rStyle w:val="Text2"/>
        </w:rPr>
        <w:t>/= character</w:t>
        <w:t xml:space="preserve">, </w:t>
      </w:r>
      <w:hyperlink w:anchor="idm45965276519520">
        <w:r>
          <w:t>Delimiters</w:t>
        </w:r>
      </w:hyperlink>
      <w:r>
        <w:rPr>
          <w:rStyle w:val="Text2"/>
        </w:rPr>
        <w:t xml:space="preserve">, </w:t>
      </w:r>
      <w:hyperlink w:anchor="idm45965283330896">
        <w:r>
          <w:t>Augmented assignment</w:t>
        </w:r>
      </w:hyperlink>
    </w:p>
    <w:p>
      <w:pPr>
        <w:pStyle w:val="Para 003"/>
      </w:pPr>
      <w:r>
        <w:t>0 (leading zero indicator) (f-strings)</w:t>
        <w:t xml:space="preserve">, </w:t>
      </w:r>
      <w:hyperlink w:anchor="idm45965210816176">
        <w:r>
          <w:rPr>
            <w:rStyle w:val="Text1"/>
          </w:rPr>
          <w:t>Leading zero indicator (0)</w:t>
        </w:r>
      </w:hyperlink>
    </w:p>
    <w:p>
      <w:pPr>
        <w:pStyle w:val="Para 004"/>
      </w:pPr>
      <w:r>
        <w:rPr>
          <w:rStyle w:val="Text2"/>
        </w:rPr>
        <w:t>: (colon)</w:t>
        <w:t xml:space="preserve">, </w:t>
      </w:r>
      <w:hyperlink w:anchor="idm45965276529168">
        <w:r>
          <w:t>Delimiters</w:t>
        </w:r>
      </w:hyperlink>
      <w:r>
        <w:rPr>
          <w:rStyle w:val="Text2"/>
        </w:rPr>
        <w:t xml:space="preserve">, </w:t>
      </w:r>
      <w:hyperlink w:anchor="idm45965281960016">
        <w:r>
          <w:t>Compound statements</w:t>
        </w:r>
      </w:hyperlink>
      <w:r>
        <w:rPr>
          <w:rStyle w:val="Text2"/>
        </w:rPr>
        <w:t xml:space="preserve">, </w:t>
      </w:r>
      <w:hyperlink w:anchor="idm45965269500016">
        <w:r>
          <w:t>Dictionaries</w:t>
        </w:r>
      </w:hyperlink>
    </w:p>
    <w:p>
      <w:pPr>
        <w:pStyle w:val="Para 003"/>
      </w:pPr>
      <w:r>
        <w:t>:= (assignment operator)</w:t>
      </w:r>
    </w:p>
    <w:p>
      <w:pPr>
        <w:pStyle w:val="Para 003"/>
      </w:pPr>
      <w:r>
        <w:t>assignment expressions</w:t>
        <w:t xml:space="preserve">, </w:t>
      </w:r>
      <w:hyperlink w:anchor="idm45965274989760">
        <w:r>
          <w:rPr>
            <w:rStyle w:val="Text1"/>
          </w:rPr>
          <w:t>Assignment Expressions</w:t>
        </w:r>
      </w:hyperlink>
    </w:p>
    <w:p>
      <w:pPr>
        <w:pStyle w:val="Para 003"/>
      </w:pPr>
      <w:r>
        <w:t>regular expressions and</w:t>
        <w:t xml:space="preserve">, </w:t>
      </w:r>
      <w:hyperlink w:anchor="idm45965206879824">
        <w:r>
          <w:rPr>
            <w:rStyle w:val="Text1"/>
          </w:rPr>
          <w:t>REs and the := Operator</w:t>
        </w:r>
      </w:hyperlink>
    </w:p>
    <w:p>
      <w:pPr>
        <w:pStyle w:val="Para 003"/>
      </w:pPr>
      <w:r>
        <w:t>simple statements</w:t>
        <w:t xml:space="preserve">, </w:t>
      </w:r>
      <w:hyperlink w:anchor="idm45965281975776">
        <w:r>
          <w:rPr>
            <w:rStyle w:val="Text1"/>
          </w:rPr>
          <w:t>Simple statements</w:t>
        </w:r>
      </w:hyperlink>
    </w:p>
    <w:p>
      <w:pPr>
        <w:pStyle w:val="Para 003"/>
      </w:pPr>
      <w:r>
        <w:t>; (semicolon)</w:t>
      </w:r>
    </w:p>
    <w:p>
      <w:pPr>
        <w:pStyle w:val="Para 003"/>
      </w:pPr>
      <w:r>
        <w:t>in simple statements</w:t>
        <w:t xml:space="preserve">, </w:t>
      </w:r>
      <w:hyperlink w:anchor="idm45965281993792">
        <w:r>
          <w:rPr>
            <w:rStyle w:val="Text1"/>
          </w:rPr>
          <w:t>Simple statements</w:t>
        </w:r>
      </w:hyperlink>
    </w:p>
    <w:p>
      <w:pPr>
        <w:pStyle w:val="Para 003"/>
      </w:pPr>
      <w:r>
        <w:t>lines and indentation</w:t>
        <w:t xml:space="preserve">, </w:t>
      </w:r>
      <w:hyperlink w:anchor="idm45965274416176">
        <w:r>
          <w:rPr>
            <w:rStyle w:val="Text1"/>
          </w:rPr>
          <w:t>Lines and Indentation</w:t>
        </w:r>
      </w:hyperlink>
    </w:p>
    <w:p>
      <w:pPr>
        <w:pStyle w:val="Para 003"/>
      </w:pPr>
      <w:r>
        <w:t>&lt; (less than symbol)</w:t>
      </w:r>
    </w:p>
    <w:p>
      <w:pPr>
        <w:pStyle w:val="Para 003"/>
      </w:pPr>
      <w:r>
        <w:t>alignment indicator (f-strings)</w:t>
        <w:t xml:space="preserve">, </w:t>
      </w:r>
      <w:hyperlink w:anchor="idm45965211251856">
        <w:r>
          <w:rPr>
            <w:rStyle w:val="Text1"/>
          </w:rPr>
          <w:t>Fill and alignment</w:t>
        </w:r>
      </w:hyperlink>
    </w:p>
    <w:p>
      <w:pPr>
        <w:pStyle w:val="Para 003"/>
      </w:pPr>
      <w:r>
        <w:t>comparisons</w:t>
        <w:t xml:space="preserve">, </w:t>
      </w:r>
      <w:hyperlink w:anchor="idm45965276191616">
        <w:r>
          <w:rPr>
            <w:rStyle w:val="Text1"/>
          </w:rPr>
          <w:t>Comparisons</w:t>
        </w:r>
      </w:hyperlink>
    </w:p>
    <w:p>
      <w:pPr>
        <w:pStyle w:val="Para 003"/>
      </w:pPr>
      <w:r>
        <w:t>&lt; (little-endian byte order)</w:t>
        <w:t xml:space="preserve">, </w:t>
      </w:r>
      <w:hyperlink w:anchor="idm45965205429072">
        <w:r>
          <w:rPr>
            <w:rStyle w:val="Text1"/>
          </w:rPr>
          <w:t>The struct Module</w:t>
        </w:r>
      </w:hyperlink>
    </w:p>
    <w:p>
      <w:pPr>
        <w:pStyle w:val="Para 004"/>
      </w:pPr>
      <w:r>
        <w:rPr>
          <w:rStyle w:val="Text2"/>
        </w:rPr>
        <w:t>&lt;&lt;= character</w:t>
        <w:t xml:space="preserve">, </w:t>
      </w:r>
      <w:hyperlink w:anchor="idm45965283324272">
        <w:r>
          <w:t>Augmented assignment</w:t>
        </w:r>
      </w:hyperlink>
    </w:p>
    <w:p>
      <w:pPr>
        <w:pStyle w:val="Para 003"/>
      </w:pPr>
      <w:r>
        <w:t>&lt;= (less than or equal to operator)</w:t>
        <w:t xml:space="preserve">, </w:t>
      </w:r>
      <w:hyperlink w:anchor="idm45965276190240">
        <w:r>
          <w:rPr>
            <w:rStyle w:val="Text1"/>
          </w:rPr>
          <w:t>Comparisons</w:t>
        </w:r>
      </w:hyperlink>
    </w:p>
    <w:p>
      <w:pPr>
        <w:pStyle w:val="Para 003"/>
      </w:pPr>
      <w:r>
        <w:t>= (equal sign)</w:t>
      </w:r>
    </w:p>
    <w:p>
      <w:pPr>
        <w:pStyle w:val="Para 003"/>
      </w:pPr>
      <w:r>
        <w:t>alignment indicator (f-strings)</w:t>
        <w:t xml:space="preserve">, </w:t>
      </w:r>
      <w:hyperlink w:anchor="idm45965211234432">
        <w:r>
          <w:rPr>
            <w:rStyle w:val="Text1"/>
          </w:rPr>
          <w:t>Fill and alignment</w:t>
        </w:r>
      </w:hyperlink>
    </w:p>
    <w:p>
      <w:pPr>
        <w:pStyle w:val="Para 003"/>
      </w:pPr>
      <w:r>
        <w:t>assignment statements</w:t>
        <w:t xml:space="preserve">, </w:t>
      </w:r>
      <w:hyperlink w:anchor="idm45965281971680">
        <w:r>
          <w:rPr>
            <w:rStyle w:val="Text1"/>
          </w:rPr>
          <w:t>Simple statements</w:t>
        </w:r>
      </w:hyperlink>
    </w:p>
    <w:p>
      <w:pPr>
        <w:pStyle w:val="Para 003"/>
      </w:pPr>
      <w:r>
        <w:t>delimiters</w:t>
        <w:t xml:space="preserve">, </w:t>
      </w:r>
      <w:hyperlink w:anchor="idm45965276526960">
        <w:r>
          <w:rPr>
            <w:rStyle w:val="Text1"/>
          </w:rPr>
          <w:t>Delimiters</w:t>
        </w:r>
      </w:hyperlink>
    </w:p>
    <w:p>
      <w:pPr>
        <w:pStyle w:val="Para 003"/>
      </w:pPr>
      <w:r>
        <w:t>in plain assignment</w:t>
        <w:t xml:space="preserve">, </w:t>
      </w:r>
      <w:hyperlink w:anchor="idm45965258560688">
        <w:r>
          <w:rPr>
            <w:rStyle w:val="Text1"/>
          </w:rPr>
          <w:t>Plain assignment</w:t>
        </w:r>
      </w:hyperlink>
    </w:p>
    <w:p>
      <w:pPr>
        <w:pStyle w:val="Para 003"/>
      </w:pPr>
      <w:r>
        <w:t>struct format strings</w:t>
        <w:t xml:space="preserve">, </w:t>
      </w:r>
      <w:hyperlink w:anchor="idm45965205433696">
        <w:r>
          <w:rPr>
            <w:rStyle w:val="Text1"/>
          </w:rPr>
          <w:t>The struct Module</w:t>
        </w:r>
      </w:hyperlink>
    </w:p>
    <w:p>
      <w:pPr>
        <w:pStyle w:val="Para 004"/>
      </w:pPr>
      <w:r>
        <w:rPr>
          <w:rStyle w:val="Text2"/>
        </w:rPr>
        <w:t>== (equal to operator)</w:t>
        <w:t xml:space="preserve">, </w:t>
      </w:r>
      <w:hyperlink w:anchor="idm45965276201456">
        <w:r>
          <w:t>Comparisons</w:t>
        </w:r>
      </w:hyperlink>
      <w:r>
        <w:rPr>
          <w:rStyle w:val="Text2"/>
        </w:rPr>
        <w:t xml:space="preserve">, </w:t>
      </w:r>
      <w:hyperlink w:anchor="idm45965188002928">
        <w:r>
          <w:t>Floating-Point Values</w:t>
        </w:r>
      </w:hyperlink>
    </w:p>
    <w:p>
      <w:pPr>
        <w:pStyle w:val="Para 003"/>
      </w:pPr>
      <w:r>
        <w:t>&gt; (greater than symbol)</w:t>
      </w:r>
    </w:p>
    <w:p>
      <w:pPr>
        <w:pStyle w:val="Para 003"/>
      </w:pPr>
      <w:r>
        <w:t>alignment indicator (f-strings)</w:t>
        <w:t xml:space="preserve">, </w:t>
      </w:r>
      <w:hyperlink w:anchor="idm45965211245088">
        <w:r>
          <w:rPr>
            <w:rStyle w:val="Text1"/>
          </w:rPr>
          <w:t>Fill and alignment</w:t>
        </w:r>
      </w:hyperlink>
    </w:p>
    <w:p>
      <w:pPr>
        <w:pStyle w:val="Para 003"/>
      </w:pPr>
      <w:r>
        <w:t>comparison operator</w:t>
        <w:t xml:space="preserve">, </w:t>
      </w:r>
      <w:hyperlink w:anchor="idm45965276189120">
        <w:r>
          <w:rPr>
            <w:rStyle w:val="Text1"/>
          </w:rPr>
          <w:t>Comparisons</w:t>
        </w:r>
      </w:hyperlink>
    </w:p>
    <w:p>
      <w:pPr>
        <w:pStyle w:val="Para 003"/>
      </w:pPr>
      <w:r>
        <w:t>&gt;, ! (big endian/network standard byte order)</w:t>
        <w:t xml:space="preserve">, </w:t>
      </w:r>
      <w:hyperlink w:anchor="idm45965205424336">
        <w:r>
          <w:rPr>
            <w:rStyle w:val="Text1"/>
          </w:rPr>
          <w:t>The struct Module</w:t>
        </w:r>
      </w:hyperlink>
    </w:p>
    <w:p>
      <w:pPr>
        <w:pStyle w:val="Para 003"/>
      </w:pPr>
      <w:r>
        <w:t>&gt;= (greater than or equal to operator)</w:t>
        <w:t xml:space="preserve">, </w:t>
      </w:r>
      <w:hyperlink w:anchor="idm45965276187744">
        <w:r>
          <w:rPr>
            <w:rStyle w:val="Text1"/>
          </w:rPr>
          <w:t>Comparisons</w:t>
        </w:r>
      </w:hyperlink>
    </w:p>
    <w:p>
      <w:pPr>
        <w:pStyle w:val="Para 004"/>
      </w:pPr>
      <w:r>
        <w:rPr>
          <w:rStyle w:val="Text2"/>
        </w:rPr>
        <w:t>&gt;&gt;= operator</w:t>
        <w:t xml:space="preserve">, </w:t>
      </w:r>
      <w:hyperlink w:anchor="idm45965276512896">
        <w:r>
          <w:t>Delimiters</w:t>
        </w:r>
      </w:hyperlink>
      <w:r>
        <w:rPr>
          <w:rStyle w:val="Text2"/>
        </w:rPr>
        <w:t xml:space="preserve">, </w:t>
      </w:r>
      <w:hyperlink w:anchor="idm45965283325376">
        <w:r>
          <w:t>Augmented assignment</w:t>
        </w:r>
      </w:hyperlink>
    </w:p>
    <w:p>
      <w:pPr>
        <w:pStyle w:val="Para 004"/>
      </w:pPr>
      <w:r>
        <w:rPr>
          <w:rStyle w:val="Text2"/>
        </w:rPr>
        <w:t>? (question mark)</w:t>
        <w:t xml:space="preserve">, </w:t>
      </w:r>
      <w:hyperlink w:anchor="idm45965208980528">
        <w:r>
          <w:t>Pattern String Syntax</w:t>
        </w:r>
      </w:hyperlink>
      <w:r>
        <w:rPr>
          <w:rStyle w:val="Text2"/>
        </w:rPr>
        <w:t xml:space="preserve">, </w:t>
      </w:r>
      <w:hyperlink w:anchor="idm45965202358608">
        <w:r>
          <w:t>The fnmatch Module</w:t>
        </w:r>
      </w:hyperlink>
    </w:p>
    <w:p>
      <w:pPr>
        <w:pStyle w:val="Para 003"/>
      </w:pPr>
      <w:r>
        <w:t>@ (commercial at sign)</w:t>
      </w:r>
    </w:p>
    <w:p>
      <w:pPr>
        <w:pStyle w:val="Para 004"/>
      </w:pPr>
      <w:r>
        <w:rPr>
          <w:rStyle w:val="Text2"/>
        </w:rPr>
        <w:t>decorators</w:t>
        <w:t xml:space="preserve">, </w:t>
      </w:r>
      <w:hyperlink w:anchor="CASdecorat04">
        <w:r>
          <w:t>Decorators</w:t>
        </w:r>
      </w:hyperlink>
      <w:r>
        <w:rPr>
          <w:rStyle w:val="Text2"/>
        </w:rPr>
        <w:t>-</w:t>
      </w:r>
      <w:hyperlink w:anchor="idm45965280982960">
        <w:r>
          <w:t>Decorators</w:t>
        </w:r>
      </w:hyperlink>
    </w:p>
    <w:p>
      <w:pPr>
        <w:pStyle w:val="Para 003"/>
      </w:pPr>
      <w:r>
        <w:t>matrix multiplication</w:t>
        <w:t xml:space="preserve">, </w:t>
      </w:r>
      <w:hyperlink w:anchor="idm45965186834592">
        <w:r>
          <w:rPr>
            <w:rStyle w:val="Text1"/>
          </w:rPr>
          <w:t>The operator Module</w:t>
        </w:r>
      </w:hyperlink>
    </w:p>
    <w:p>
      <w:pPr>
        <w:pStyle w:val="Para 003"/>
      </w:pPr>
      <w:r>
        <w:t>struct format strings</w:t>
        <w:t xml:space="preserve">, </w:t>
      </w:r>
      <w:hyperlink w:anchor="idm45965205442784">
        <w:r>
          <w:rPr>
            <w:rStyle w:val="Text1"/>
          </w:rPr>
          <w:t>The struct Module</w:t>
        </w:r>
      </w:hyperlink>
    </w:p>
    <w:p>
      <w:pPr>
        <w:pStyle w:val="Para 003"/>
      </w:pPr>
      <w:r>
        <w:t>@= (matrix multiplication assignment operator)</w:t>
        <w:t xml:space="preserve">, </w:t>
      </w:r>
      <w:hyperlink w:anchor="idm45965283296800">
        <w:r>
          <w:rPr>
            <w:rStyle w:val="Text1"/>
          </w:rPr>
          <w:t>Augmented assignment</w:t>
        </w:r>
      </w:hyperlink>
    </w:p>
    <w:p>
      <w:pPr>
        <w:pStyle w:val="Para 003"/>
      </w:pPr>
      <w:r>
        <w:t>\" (double quote escaped)</w:t>
        <w:t xml:space="preserve">, </w:t>
      </w:r>
      <w:hyperlink w:anchor="idm45965276654208">
        <w:r>
          <w:rPr>
            <w:rStyle w:val="Text1"/>
          </w:rPr>
          <w:t>Strings</w:t>
        </w:r>
      </w:hyperlink>
    </w:p>
    <w:p>
      <w:pPr>
        <w:pStyle w:val="Para 003"/>
      </w:pPr>
      <w:r>
        <w:t>\' (single quote escaped)</w:t>
        <w:t xml:space="preserve">, </w:t>
      </w:r>
      <w:hyperlink w:anchor="idm45965276656704">
        <w:r>
          <w:rPr>
            <w:rStyle w:val="Text1"/>
          </w:rPr>
          <w:t>Strings</w:t>
        </w:r>
      </w:hyperlink>
    </w:p>
    <w:p>
      <w:pPr>
        <w:pStyle w:val="Para 003"/>
      </w:pPr>
      <w:r>
        <w:t>\&lt;newline&gt; (ignore end of line)</w:t>
        <w:t xml:space="preserve">, </w:t>
      </w:r>
      <w:hyperlink w:anchor="idm45965276669312">
        <w:r>
          <w:rPr>
            <w:rStyle w:val="Text1"/>
          </w:rPr>
          <w:t>Strings</w:t>
        </w:r>
      </w:hyperlink>
    </w:p>
    <w:p>
      <w:pPr>
        <w:pStyle w:val="Para 003"/>
      </w:pPr>
      <w:r>
        <w:t>\a (bell)</w:t>
        <w:t xml:space="preserve">, </w:t>
      </w:r>
      <w:hyperlink w:anchor="idm45965276651968">
        <w:r>
          <w:rPr>
            <w:rStyle w:val="Text1"/>
          </w:rPr>
          <w:t>Strings</w:t>
        </w:r>
      </w:hyperlink>
    </w:p>
    <w:p>
      <w:pPr>
        <w:pStyle w:val="Para 003"/>
      </w:pPr>
      <w:r>
        <w:t>\b (backspace)</w:t>
        <w:t xml:space="preserve">, </w:t>
      </w:r>
      <w:hyperlink w:anchor="idm45965276650864">
        <w:r>
          <w:rPr>
            <w:rStyle w:val="Text1"/>
          </w:rPr>
          <w:t>Strings</w:t>
        </w:r>
      </w:hyperlink>
    </w:p>
    <w:p>
      <w:pPr>
        <w:pStyle w:val="Para 003"/>
      </w:pPr>
      <w:r>
        <w:t>\DDD (octal value escape sequence in strings)</w:t>
        <w:t xml:space="preserve">, </w:t>
      </w:r>
      <w:hyperlink w:anchor="idm45965278998608">
        <w:r>
          <w:rPr>
            <w:rStyle w:val="Text1"/>
          </w:rPr>
          <w:t>Strings</w:t>
        </w:r>
      </w:hyperlink>
    </w:p>
    <w:p>
      <w:pPr>
        <w:pStyle w:val="Para 003"/>
      </w:pPr>
      <w:r>
        <w:t>\f (form feed)</w:t>
        <w:t xml:space="preserve">, </w:t>
      </w:r>
      <w:hyperlink w:anchor="idm45965279009648">
        <w:r>
          <w:rPr>
            <w:rStyle w:val="Text1"/>
          </w:rPr>
          <w:t>Strings</w:t>
        </w:r>
      </w:hyperlink>
    </w:p>
    <w:p>
      <w:pPr>
        <w:pStyle w:val="Para 003"/>
      </w:pPr>
      <w:r>
        <w:t>\n (newline)</w:t>
        <w:t xml:space="preserve">, </w:t>
      </w:r>
      <w:hyperlink w:anchor="idm45965279007440">
        <w:r>
          <w:rPr>
            <w:rStyle w:val="Text1"/>
          </w:rPr>
          <w:t>Strings</w:t>
        </w:r>
      </w:hyperlink>
    </w:p>
    <w:p>
      <w:pPr>
        <w:pStyle w:val="Para 003"/>
      </w:pPr>
      <w:r>
        <w:t>\N{name} (Unicode character)</w:t>
        <w:t xml:space="preserve">, </w:t>
      </w:r>
      <w:hyperlink w:anchor="idm45965278993968">
        <w:r>
          <w:rPr>
            <w:rStyle w:val="Text1"/>
          </w:rPr>
          <w:t>Strings</w:t>
        </w:r>
      </w:hyperlink>
    </w:p>
    <w:p>
      <w:pPr>
        <w:pStyle w:val="Para 003"/>
      </w:pPr>
      <w:r>
        <w:t>\r (carriage return)</w:t>
        <w:t xml:space="preserve">, </w:t>
      </w:r>
      <w:hyperlink w:anchor="idm45965279005232">
        <w:r>
          <w:rPr>
            <w:rStyle w:val="Text1"/>
          </w:rPr>
          <w:t>Strings</w:t>
        </w:r>
      </w:hyperlink>
    </w:p>
    <w:p>
      <w:pPr>
        <w:pStyle w:val="Para 003"/>
      </w:pPr>
      <w:r>
        <w:t>\t (tab)</w:t>
        <w:t xml:space="preserve">, </w:t>
      </w:r>
      <w:hyperlink w:anchor="idm45965279003024">
        <w:r>
          <w:rPr>
            <w:rStyle w:val="Text1"/>
          </w:rPr>
          <w:t>Strings</w:t>
        </w:r>
      </w:hyperlink>
    </w:p>
    <w:p>
      <w:pPr>
        <w:pStyle w:val="Para 003"/>
      </w:pPr>
      <w:r>
        <w:t>\U (eight hex digits)</w:t>
        <w:t xml:space="preserve">, </w:t>
      </w:r>
      <w:hyperlink w:anchor="idm45965278927712">
        <w:r>
          <w:rPr>
            <w:rStyle w:val="Text1"/>
          </w:rPr>
          <w:t>Strings</w:t>
        </w:r>
      </w:hyperlink>
    </w:p>
    <w:p>
      <w:pPr>
        <w:pStyle w:val="Para 003"/>
      </w:pPr>
      <w:r>
        <w:t>\u (four hex digits)</w:t>
        <w:t xml:space="preserve">, </w:t>
      </w:r>
      <w:hyperlink w:anchor="idm45965278928816">
        <w:r>
          <w:rPr>
            <w:rStyle w:val="Text1"/>
          </w:rPr>
          <w:t>Strings</w:t>
        </w:r>
      </w:hyperlink>
    </w:p>
    <w:p>
      <w:pPr>
        <w:pStyle w:val="Para 003"/>
      </w:pPr>
      <w:r>
        <w:t>\v (vertical tab)</w:t>
        <w:t xml:space="preserve">, </w:t>
      </w:r>
      <w:hyperlink w:anchor="idm45965279000816">
        <w:r>
          <w:rPr>
            <w:rStyle w:val="Text1"/>
          </w:rPr>
          <w:t>Strings</w:t>
        </w:r>
      </w:hyperlink>
    </w:p>
    <w:p>
      <w:pPr>
        <w:pStyle w:val="Para 003"/>
      </w:pPr>
      <w:r>
        <w:t>\x XX (hexadecimal escape sequence)</w:t>
        <w:t xml:space="preserve">, </w:t>
      </w:r>
      <w:hyperlink w:anchor="idm45965278995088">
        <w:r>
          <w:rPr>
            <w:rStyle w:val="Text1"/>
          </w:rPr>
          <w:t>Strings</w:t>
        </w:r>
      </w:hyperlink>
    </w:p>
    <w:p>
      <w:pPr>
        <w:pStyle w:val="Para 003"/>
      </w:pPr>
      <w:r>
        <w:t>\\ (backslash escaped)</w:t>
        <w:t xml:space="preserve">, </w:t>
      </w:r>
      <w:hyperlink w:anchor="idm45965276667056">
        <w:r>
          <w:rPr>
            <w:rStyle w:val="Text1"/>
          </w:rPr>
          <w:t>Strings</w:t>
        </w:r>
      </w:hyperlink>
    </w:p>
    <w:p>
      <w:pPr>
        <w:pStyle w:val="Para 003"/>
      </w:pPr>
      <w:r>
        <w:t>^ (alignment indicator) (f-strings)</w:t>
        <w:t xml:space="preserve">, </w:t>
      </w:r>
      <w:hyperlink w:anchor="idm45965211239664">
        <w:r>
          <w:rPr>
            <w:rStyle w:val="Text1"/>
          </w:rPr>
          <w:t>Fill and alignment</w:t>
        </w:r>
      </w:hyperlink>
    </w:p>
    <w:p>
      <w:pPr>
        <w:pStyle w:val="Para 004"/>
      </w:pPr>
      <w:r>
        <w:rPr>
          <w:rStyle w:val="Text2"/>
        </w:rPr>
        <w:t>^= character</w:t>
        <w:t xml:space="preserve">, </w:t>
      </w:r>
      <w:hyperlink w:anchor="idm45965276514000">
        <w:r>
          <w:t>Delimiters</w:t>
        </w:r>
      </w:hyperlink>
      <w:r>
        <w:rPr>
          <w:rStyle w:val="Text2"/>
        </w:rPr>
        <w:t xml:space="preserve">, </w:t>
      </w:r>
      <w:hyperlink w:anchor="idm45965283322064">
        <w:r>
          <w:t>Augmented assignment</w:t>
        </w:r>
      </w:hyperlink>
    </w:p>
    <w:p>
      <w:pPr>
        <w:pStyle w:val="Para 003"/>
      </w:pPr>
      <w:r>
        <w:t>_ (underscore)</w:t>
      </w:r>
    </w:p>
    <w:p>
      <w:pPr>
        <w:pStyle w:val="Para 004"/>
      </w:pPr>
      <w:r>
        <w:rPr>
          <w:rStyle w:val="Text2"/>
        </w:rPr>
        <w:t>with gettext module</w:t>
        <w:t xml:space="preserve">, </w:t>
      </w:r>
      <w:hyperlink w:anchor="idm45965200811408">
        <w:r>
          <w:t>Using gettext for localization</w:t>
        </w:r>
      </w:hyperlink>
    </w:p>
    <w:p>
      <w:pPr>
        <w:pStyle w:val="Para 004"/>
      </w:pPr>
      <w:r>
        <w:rPr>
          <w:rStyle w:val="Text2"/>
        </w:rPr>
        <w:t>in identifiers</w:t>
        <w:t xml:space="preserve">, </w:t>
      </w:r>
      <w:hyperlink w:anchor="idm45965274345744">
        <w:r>
          <w:t>Identifiers</w:t>
        </w:r>
      </w:hyperlink>
      <w:r>
        <w:rPr>
          <w:rStyle w:val="Text2"/>
        </w:rPr>
        <w:t xml:space="preserve">, </w:t>
      </w:r>
      <w:hyperlink w:anchor="idm45965271622336">
        <w:r>
          <w:t>Class-private variables</w:t>
        </w:r>
      </w:hyperlink>
    </w:p>
    <w:p>
      <w:pPr>
        <w:pStyle w:val="Para 003"/>
      </w:pPr>
      <w:r>
        <w:t>in interactive interpreter</w:t>
        <w:t xml:space="preserve">, </w:t>
      </w:r>
      <w:hyperlink w:anchor="idm45965276609440">
        <w:r>
          <w:rPr>
            <w:rStyle w:val="Text1"/>
          </w:rPr>
          <w:t>Identifiers</w:t>
        </w:r>
      </w:hyperlink>
    </w:p>
    <w:p>
      <w:pPr>
        <w:pStyle w:val="Para 003"/>
      </w:pPr>
      <w:r>
        <w:t>module-private variables</w:t>
        <w:t xml:space="preserve">, </w:t>
      </w:r>
      <w:hyperlink w:anchor="idm45965254608928">
        <w:r>
          <w:rPr>
            <w:rStyle w:val="Text1"/>
          </w:rPr>
          <w:t>Module-private variables</w:t>
        </w:r>
      </w:hyperlink>
    </w:p>
    <w:p>
      <w:pPr>
        <w:pStyle w:val="Para 004"/>
      </w:pPr>
      <w:r>
        <w:rPr>
          <w:rStyle w:val="Text2"/>
        </w:rPr>
        <w:t>numeric literals</w:t>
        <w:t xml:space="preserve">, </w:t>
      </w:r>
      <w:hyperlink w:anchor="idm45965282862704">
        <w:r>
          <w:t>Underscores in numeric literals</w:t>
        </w:r>
      </w:hyperlink>
    </w:p>
    <w:p>
      <w:pPr>
        <w:pStyle w:val="Para 003"/>
      </w:pPr>
      <w:r>
        <w:t>simple statements</w:t>
        <w:t xml:space="preserve">, </w:t>
      </w:r>
      <w:hyperlink w:anchor="idm45965281982016">
        <w:r>
          <w:rPr>
            <w:rStyle w:val="Text1"/>
          </w:rPr>
          <w:t>Simple statements</w:t>
        </w:r>
      </w:hyperlink>
    </w:p>
    <w:p>
      <w:pPr>
        <w:pStyle w:val="Para 004"/>
      </w:pPr>
      <w:r>
        <w:rPr>
          <w:rStyle w:val="Text2"/>
        </w:rPr>
        <w:t>wildcard pattern</w:t>
        <w:t xml:space="preserve">, </w:t>
      </w:r>
      <w:hyperlink w:anchor="idm45965263875392">
        <w:r>
          <w:t>The wildcard pattern</w:t>
        </w:r>
      </w:hyperlink>
    </w:p>
    <w:p>
      <w:pPr>
        <w:pStyle w:val="Para 003"/>
      </w:pPr>
      <w:r>
        <w:t>_getframe function (sys module)</w:t>
        <w:t xml:space="preserve">, </w:t>
      </w:r>
      <w:hyperlink w:anchor="idm45965194259024">
        <w:r>
          <w:rPr>
            <w:rStyle w:val="Text1"/>
          </w:rPr>
          <w:t>The Frame Type</w:t>
        </w:r>
      </w:hyperlink>
    </w:p>
    <w:p>
      <w:pPr>
        <w:pStyle w:val="Para 004"/>
      </w:pPr>
      <w:r>
        <w:rPr>
          <w:rStyle w:val="Text2"/>
        </w:rPr>
        <w:t>__ (double underscore)</w:t>
        <w:t xml:space="preserve">, </w:t>
      </w:r>
      <w:hyperlink w:anchor="idm45965272038624">
        <w:r>
          <w:t>Python Classes</w:t>
        </w:r>
      </w:hyperlink>
      <w:r>
        <w:rPr>
          <w:rStyle w:val="Text2"/>
        </w:rPr>
        <w:t xml:space="preserve">, </w:t>
      </w:r>
      <w:hyperlink w:anchor="idm45965271648592">
        <w:r>
          <w:t>Class-private variables</w:t>
        </w:r>
      </w:hyperlink>
      <w:r>
        <w:rPr>
          <w:rStyle w:val="Text2"/>
        </w:rPr>
        <w:t xml:space="preserve">, </w:t>
      </w:r>
      <w:hyperlink w:anchor="idm45965265064160">
        <w:r>
          <w:t>Special Methods</w:t>
        </w:r>
      </w:hyperlink>
    </w:p>
    <w:p>
      <w:pPr>
        <w:pStyle w:val="Para 004"/>
      </w:pPr>
      <w:r>
        <w:rPr>
          <w:rStyle w:val="Text2"/>
        </w:rPr>
        <w:t>__abs__ (numeric special method)</w:t>
        <w:t xml:space="preserve">, </w:t>
      </w:r>
      <w:hyperlink w:anchor="idm45965281602208">
        <w:r>
          <w:t>Special Methods for Numeric Objects</w:t>
        </w:r>
      </w:hyperlink>
    </w:p>
    <w:p>
      <w:pPr>
        <w:pStyle w:val="Para 004"/>
      </w:pPr>
      <w:r>
        <w:rPr>
          <w:rStyle w:val="Text2"/>
        </w:rPr>
        <w:t>__add__ (numeric special method)</w:t>
        <w:t xml:space="preserve">, </w:t>
      </w:r>
      <w:hyperlink w:anchor="idm45965264590560">
        <w:r>
          <w:t>Sequences</w:t>
        </w:r>
      </w:hyperlink>
      <w:r>
        <w:rPr>
          <w:rStyle w:val="Text2"/>
        </w:rPr>
        <w:t xml:space="preserve">, </w:t>
      </w:r>
      <w:hyperlink w:anchor="idm45965281578912">
        <w:r>
          <w:t>Special Methods for Numeric Objects</w:t>
        </w:r>
      </w:hyperlink>
    </w:p>
    <w:p>
      <w:pPr>
        <w:pStyle w:val="Para 004"/>
      </w:pPr>
      <w:r>
        <w:rPr>
          <w:rStyle w:val="Text2"/>
        </w:rPr>
        <w:t>__and__ (numeric special method)</w:t>
        <w:t xml:space="preserve">, </w:t>
      </w:r>
      <w:hyperlink w:anchor="idm45965281549392">
        <w:r>
          <w:t>Special Methods for Numeric Objects</w:t>
        </w:r>
      </w:hyperlink>
    </w:p>
    <w:p>
      <w:pPr>
        <w:pStyle w:val="Para 004"/>
      </w:pPr>
      <w:r>
        <w:rPr>
          <w:rStyle w:val="Text2"/>
        </w:rPr>
        <w:t>__annotations__</w:t>
        <w:t xml:space="preserve">, </w:t>
      </w:r>
      <w:hyperlink w:anchor="idm45965268605392">
        <w:r>
          <w:t>Type Annotation Syntax</w:t>
        </w:r>
      </w:hyperlink>
      <w:r>
        <w:rPr>
          <w:rStyle w:val="Text2"/>
        </w:rPr>
        <w:t xml:space="preserve">, </w:t>
      </w:r>
      <w:hyperlink w:anchor="idm45965261358368">
        <w:r>
          <w:t>TypedDict</w:t>
        </w:r>
      </w:hyperlink>
      <w:r>
        <w:rPr>
          <w:rStyle w:val="Text2"/>
        </w:rPr>
        <w:t xml:space="preserve">, </w:t>
      </w:r>
      <w:hyperlink w:anchor="idm45965261017888">
        <w:r>
          <w:t>Using Type Annotations at Runtime</w:t>
        </w:r>
      </w:hyperlink>
    </w:p>
    <w:p>
      <w:pPr>
        <w:pStyle w:val="Para 004"/>
      </w:pPr>
      <w:r>
        <w:rPr>
          <w:rStyle w:val="Text2"/>
        </w:rPr>
        <w:t>__bool__ (special method)</w:t>
        <w:t xml:space="preserve">, </w:t>
      </w:r>
      <w:hyperlink w:anchor="idm45965264983232">
        <w:r>
          <w:t>General-Purpose Special Methods</w:t>
        </w:r>
      </w:hyperlink>
    </w:p>
    <w:p>
      <w:pPr>
        <w:pStyle w:val="Para 003"/>
      </w:pPr>
      <w:r>
        <w:t>__builtins__ dictionary</w:t>
        <w:t xml:space="preserve">, </w:t>
      </w:r>
      <w:hyperlink w:anchor="idm45965254718272">
        <w:r>
          <w:rPr>
            <w:rStyle w:val="Text1"/>
          </w:rPr>
          <w:t>Python built-ins</w:t>
        </w:r>
      </w:hyperlink>
    </w:p>
    <w:p>
      <w:pPr>
        <w:pStyle w:val="Para 004"/>
      </w:pPr>
      <w:r>
        <w:rPr>
          <w:rStyle w:val="Text2"/>
        </w:rPr>
        <w:t>__bytes__ (special method)</w:t>
        <w:t xml:space="preserve">, </w:t>
      </w:r>
      <w:hyperlink w:anchor="idm45965265031504">
        <w:r>
          <w:t>General-Purpose Special Methods</w:t>
        </w:r>
      </w:hyperlink>
    </w:p>
    <w:p>
      <w:pPr>
        <w:pStyle w:val="Para 004"/>
      </w:pPr>
      <w:r>
        <w:rPr>
          <w:rStyle w:val="Text2"/>
        </w:rPr>
        <w:t>__call__ (special method)</w:t>
        <w:t xml:space="preserve">, </w:t>
      </w:r>
      <w:hyperlink w:anchor="idm45965264991584">
        <w:r>
          <w:t>General-Purpose Special Methods</w:t>
        </w:r>
      </w:hyperlink>
      <w:r>
        <w:rPr>
          <w:rStyle w:val="Text2"/>
        </w:rPr>
        <w:t xml:space="preserve">, </w:t>
      </w:r>
      <w:hyperlink w:anchor="idm45965264954048">
        <w:r>
          <w:t>General-Purpose Special Methods</w:t>
        </w:r>
      </w:hyperlink>
      <w:r>
        <w:rPr>
          <w:rStyle w:val="Text2"/>
        </w:rPr>
        <w:t xml:space="preserve">, </w:t>
      </w:r>
      <w:hyperlink w:anchor="idm45965281836928">
        <w:r>
          <w:t>ABCs in the collections module</w:t>
        </w:r>
      </w:hyperlink>
    </w:p>
    <w:p>
      <w:pPr>
        <w:pStyle w:val="Para 003"/>
      </w:pPr>
      <w:r>
        <w:t>__code__ attribute (function or method object)</w:t>
        <w:t xml:space="preserve">, </w:t>
      </w:r>
      <w:hyperlink w:anchor="idm45965194306208">
        <w:r>
          <w:rPr>
            <w:rStyle w:val="Text1"/>
          </w:rPr>
          <w:t>The Code Object Type</w:t>
        </w:r>
      </w:hyperlink>
    </w:p>
    <w:p>
      <w:pPr>
        <w:pStyle w:val="Para 003"/>
      </w:pPr>
      <w:r>
        <w:t>__complex__ (numeric special method)</w:t>
        <w:t xml:space="preserve">, </w:t>
      </w:r>
      <w:hyperlink w:anchor="idm45965281529920">
        <w:r>
          <w:rPr>
            <w:rStyle w:val="Text1"/>
          </w:rPr>
          <w:t>Special Methods for Numeric Objects</w:t>
        </w:r>
      </w:hyperlink>
    </w:p>
    <w:p>
      <w:pPr>
        <w:pStyle w:val="Para 004"/>
      </w:pPr>
      <w:r>
        <w:rPr>
          <w:rStyle w:val="Text2"/>
        </w:rPr>
        <w:t>__contains__ (container method)</w:t>
        <w:t xml:space="preserve">, </w:t>
      </w:r>
      <w:hyperlink w:anchor="idm45965264349136">
        <w:r>
          <w:t>Container methods</w:t>
        </w:r>
      </w:hyperlink>
      <w:r>
        <w:rPr>
          <w:rStyle w:val="Text2"/>
        </w:rPr>
        <w:t xml:space="preserve">, </w:t>
      </w:r>
      <w:hyperlink w:anchor="idm45965281835760">
        <w:r>
          <w:t>ABCs in the collections module</w:t>
        </w:r>
      </w:hyperlink>
    </w:p>
    <w:p>
      <w:pPr>
        <w:pStyle w:val="Para 003"/>
      </w:pPr>
      <w:r>
        <w:t>__debug__ variable</w:t>
        <w:t xml:space="preserve">, </w:t>
      </w:r>
      <w:hyperlink w:anchor="idm45965255096656">
        <w:r>
          <w:rPr>
            <w:rStyle w:val="Text1"/>
          </w:rPr>
          <w:t>The assert Statement</w:t>
        </w:r>
      </w:hyperlink>
    </w:p>
    <w:p>
      <w:pPr>
        <w:pStyle w:val="Para 004"/>
      </w:pPr>
      <w:r>
        <w:rPr>
          <w:rStyle w:val="Text2"/>
        </w:rPr>
        <w:t>__delattr__ (special method)</w:t>
        <w:t xml:space="preserve">, </w:t>
      </w:r>
      <w:hyperlink w:anchor="idm45965264999984">
        <w:r>
          <w:t>General-Purpose Special Methods</w:t>
        </w:r>
      </w:hyperlink>
      <w:r>
        <w:rPr>
          <w:rStyle w:val="Text2"/>
        </w:rPr>
        <w:t xml:space="preserve">, </w:t>
      </w:r>
      <w:hyperlink w:anchor="idm45965264914624">
        <w:r>
          <w:t>General-Purpose Special Methods</w:t>
        </w:r>
      </w:hyperlink>
    </w:p>
    <w:p>
      <w:pPr>
        <w:pStyle w:val="Para 003"/>
      </w:pPr>
      <w:r>
        <w:t>__delete__ (descriptor method)</w:t>
        <w:t xml:space="preserve">, </w:t>
      </w:r>
      <w:hyperlink w:anchor="idm45965271603568">
        <w:r>
          <w:rPr>
            <w:rStyle w:val="Text1"/>
          </w:rPr>
          <w:t>Descriptors</w:t>
        </w:r>
      </w:hyperlink>
    </w:p>
    <w:p>
      <w:pPr>
        <w:pStyle w:val="Para 003"/>
      </w:pPr>
      <w:r>
        <w:t>__delitem__ (container method)</w:t>
        <w:t xml:space="preserve">, </w:t>
      </w:r>
      <w:hyperlink w:anchor="idm45965264300416">
        <w:r>
          <w:rPr>
            <w:rStyle w:val="Text1"/>
          </w:rPr>
          <w:t>Container methods</w:t>
        </w:r>
      </w:hyperlink>
    </w:p>
    <w:p>
      <w:pPr>
        <w:pStyle w:val="Para 004"/>
      </w:pPr>
      <w:r>
        <w:rPr>
          <w:rStyle w:val="Text2"/>
        </w:rPr>
        <w:t xml:space="preserve"> __del__ (special method)</w:t>
        <w:t xml:space="preserve">, </w:t>
      </w:r>
      <w:hyperlink w:anchor="idm45965265039472">
        <w:r>
          <w:t>General-Purpose Special Methods</w:t>
        </w:r>
      </w:hyperlink>
      <w:r>
        <w:rPr>
          <w:rStyle w:val="Text2"/>
        </w:rPr>
        <w:t xml:space="preserve">, </w:t>
      </w:r>
      <w:hyperlink w:anchor="idm45965264942976">
        <w:r>
          <w:t>General-Purpose Special Methods</w:t>
        </w:r>
      </w:hyperlink>
    </w:p>
    <w:p>
      <w:pPr>
        <w:pStyle w:val="Para 004"/>
      </w:pPr>
      <w:r>
        <w:rPr>
          <w:rStyle w:val="Text2"/>
        </w:rPr>
        <w:t>__dir__ (special method)</w:t>
        <w:t xml:space="preserve">, </w:t>
      </w:r>
      <w:hyperlink w:anchor="idm45965264899616">
        <w:r>
          <w:t>General-Purpose Special Methods</w:t>
        </w:r>
      </w:hyperlink>
    </w:p>
    <w:p>
      <w:pPr>
        <w:pStyle w:val="Para 003"/>
      </w:pPr>
      <w:r>
        <w:t>__divmod__ (numeric special method)</w:t>
        <w:t xml:space="preserve">, </w:t>
      </w:r>
      <w:hyperlink w:anchor="idm45965281520944">
        <w:r>
          <w:rPr>
            <w:rStyle w:val="Text1"/>
          </w:rPr>
          <w:t>Special Methods for Numeric Objects</w:t>
        </w:r>
      </w:hyperlink>
    </w:p>
    <w:p>
      <w:pPr>
        <w:pStyle w:val="Para 004"/>
      </w:pPr>
      <w:r>
        <w:rPr>
          <w:rStyle w:val="Text2"/>
        </w:rPr>
        <w:t>__doc__ attribute</w:t>
        <w:t xml:space="preserve">, </w:t>
      </w:r>
      <w:hyperlink w:anchor="idm45965271613024">
        <w:r>
          <w:t>Class documentation strings</w:t>
        </w:r>
      </w:hyperlink>
      <w:r>
        <w:rPr>
          <w:rStyle w:val="Text2"/>
        </w:rPr>
        <w:t xml:space="preserve">, </w:t>
      </w:r>
      <w:hyperlink w:anchor="idm45965254632048">
        <w:r>
          <w:t>Module documentation strings</w:t>
        </w:r>
      </w:hyperlink>
    </w:p>
    <w:p>
      <w:pPr>
        <w:pStyle w:val="Para 004"/>
      </w:pPr>
      <w:r>
        <w:rPr>
          <w:rStyle w:val="Text2"/>
        </w:rPr>
        <w:t>__eq__ (special method)</w:t>
        <w:t xml:space="preserve">, </w:t>
      </w:r>
      <w:hyperlink w:anchor="idm45965265020064">
        <w:r>
          <w:t>General-Purpose Special Methods</w:t>
        </w:r>
      </w:hyperlink>
      <w:r>
        <w:rPr>
          <w:rStyle w:val="Text2"/>
        </w:rPr>
        <w:t xml:space="preserve">, </w:t>
      </w:r>
      <w:hyperlink w:anchor="idm45965264870944">
        <w:r>
          <w:t>General-Purpose Special Methods</w:t>
        </w:r>
      </w:hyperlink>
    </w:p>
    <w:p>
      <w:pPr>
        <w:pStyle w:val="Para 003"/>
      </w:pPr>
      <w:r>
        <w:t>__float__ (numeric special method)</w:t>
        <w:t xml:space="preserve">, </w:t>
      </w:r>
      <w:hyperlink w:anchor="idm45965281528848">
        <w:r>
          <w:rPr>
            <w:rStyle w:val="Text1"/>
          </w:rPr>
          <w:t>Special Methods for Numeric Objects</w:t>
        </w:r>
      </w:hyperlink>
    </w:p>
    <w:p>
      <w:pPr>
        <w:pStyle w:val="Para 003"/>
      </w:pPr>
      <w:r>
        <w:t>__floordiv__ (numeric special method)</w:t>
        <w:t xml:space="preserve">, </w:t>
      </w:r>
      <w:hyperlink w:anchor="idm45965281503200">
        <w:r>
          <w:rPr>
            <w:rStyle w:val="Text1"/>
          </w:rPr>
          <w:t>Special Methods for Numeric Objects</w:t>
        </w:r>
      </w:hyperlink>
    </w:p>
    <w:p>
      <w:pPr>
        <w:pStyle w:val="Para 004"/>
      </w:pPr>
      <w:r>
        <w:rPr>
          <w:rStyle w:val="Text2"/>
        </w:rPr>
        <w:t>__format__ (special method)</w:t>
        <w:t xml:space="preserve">, </w:t>
      </w:r>
      <w:hyperlink w:anchor="idm45965265032576">
        <w:r>
          <w:t>General-Purpose Special Methods</w:t>
        </w:r>
      </w:hyperlink>
      <w:r>
        <w:rPr>
          <w:rStyle w:val="Text2"/>
        </w:rPr>
        <w:t xml:space="preserve">, </w:t>
      </w:r>
      <w:hyperlink w:anchor="idm45965264836336">
        <w:r>
          <w:t>General-Purpose Special Methods</w:t>
        </w:r>
      </w:hyperlink>
    </w:p>
    <w:p>
      <w:pPr>
        <w:pStyle w:val="Para 004"/>
      </w:pPr>
      <w:r>
        <w:rPr>
          <w:rStyle w:val="Text2"/>
        </w:rPr>
        <w:t>__future__ module</w:t>
        <w:t xml:space="preserve">, </w:t>
      </w:r>
      <w:hyperlink w:anchor="idm45965162578560">
        <w:r>
          <w:t>Applying the Code Changes</w:t>
        </w:r>
      </w:hyperlink>
    </w:p>
    <w:p>
      <w:pPr>
        <w:pStyle w:val="Para 004"/>
      </w:pPr>
      <w:r>
        <w:rPr>
          <w:rStyle w:val="Text2"/>
        </w:rPr>
        <w:t>__getattribute__ (special method)</w:t>
        <w:t xml:space="preserve">, </w:t>
      </w:r>
      <w:hyperlink w:anchor="idm45965265289664">
        <w:r>
          <w:t>__getattribute__</w:t>
        </w:r>
      </w:hyperlink>
      <w:r>
        <w:rPr>
          <w:rStyle w:val="Text2"/>
        </w:rPr>
        <w:t xml:space="preserve">, </w:t>
      </w:r>
      <w:hyperlink w:anchor="idm45965265001056">
        <w:r>
          <w:t>General-Purpose Special Methods</w:t>
        </w:r>
      </w:hyperlink>
      <w:r>
        <w:rPr>
          <w:rStyle w:val="Text2"/>
        </w:rPr>
        <w:t xml:space="preserve">, </w:t>
      </w:r>
      <w:hyperlink w:anchor="idm45965264805440">
        <w:r>
          <w:t>General-Purpose Special Methods</w:t>
        </w:r>
      </w:hyperlink>
    </w:p>
    <w:p>
      <w:pPr>
        <w:pStyle w:val="Para 004"/>
      </w:pPr>
      <w:r>
        <w:rPr>
          <w:rStyle w:val="Text2"/>
        </w:rPr>
        <w:t>__getattr__ (special method)</w:t>
        <w:t xml:space="preserve">, </w:t>
      </w:r>
      <w:hyperlink w:anchor="idm45965264997744">
        <w:r>
          <w:t>General-Purpose Special Methods</w:t>
        </w:r>
      </w:hyperlink>
      <w:r>
        <w:rPr>
          <w:rStyle w:val="Text2"/>
        </w:rPr>
        <w:t xml:space="preserve">, </w:t>
      </w:r>
      <w:hyperlink w:anchor="idm45965264822528">
        <w:r>
          <w:t>General-Purpose Special Methods</w:t>
        </w:r>
      </w:hyperlink>
      <w:r>
        <w:rPr>
          <w:rStyle w:val="Text2"/>
        </w:rPr>
        <w:t xml:space="preserve">, </w:t>
      </w:r>
      <w:hyperlink w:anchor="idm45965254893088">
        <w:r>
          <w:t>Attributes of module objects</w:t>
        </w:r>
      </w:hyperlink>
    </w:p>
    <w:p>
      <w:pPr>
        <w:pStyle w:val="Para 003"/>
      </w:pPr>
      <w:r>
        <w:t>__getitem__ (container method)</w:t>
        <w:t xml:space="preserve">, </w:t>
      </w:r>
      <w:hyperlink w:anchor="idm45965264270768">
        <w:r>
          <w:rPr>
            <w:rStyle w:val="Text1"/>
          </w:rPr>
          <w:t>Container methods</w:t>
        </w:r>
      </w:hyperlink>
    </w:p>
    <w:p>
      <w:pPr>
        <w:pStyle w:val="Para 003"/>
      </w:pPr>
      <w:r>
        <w:t>__get__ (descriptor method)</w:t>
        <w:t xml:space="preserve">, </w:t>
      </w:r>
      <w:hyperlink w:anchor="idm45965271601424">
        <w:r>
          <w:rPr>
            <w:rStyle w:val="Text1"/>
          </w:rPr>
          <w:t>Descriptors</w:t>
        </w:r>
      </w:hyperlink>
    </w:p>
    <w:p>
      <w:pPr>
        <w:pStyle w:val="Para 004"/>
      </w:pPr>
      <w:r>
        <w:rPr>
          <w:rStyle w:val="Text2"/>
        </w:rPr>
        <w:t>__ge__ (special method)</w:t>
        <w:t xml:space="preserve">, </w:t>
      </w:r>
      <w:hyperlink w:anchor="idm45965265018960">
        <w:r>
          <w:t>General-Purpose Special Methods</w:t>
        </w:r>
      </w:hyperlink>
      <w:r>
        <w:rPr>
          <w:rStyle w:val="Text2"/>
        </w:rPr>
        <w:t xml:space="preserve">, </w:t>
      </w:r>
      <w:hyperlink w:anchor="idm45965264869840">
        <w:r>
          <w:t>General-Purpose Special Methods</w:t>
        </w:r>
      </w:hyperlink>
    </w:p>
    <w:p>
      <w:pPr>
        <w:pStyle w:val="Para 004"/>
      </w:pPr>
      <w:r>
        <w:rPr>
          <w:rStyle w:val="Text2"/>
        </w:rPr>
        <w:t>__gt__ (special method)</w:t>
        <w:t xml:space="preserve">, </w:t>
      </w:r>
      <w:hyperlink w:anchor="idm45965265017856">
        <w:r>
          <w:t>General-Purpose Special Methods</w:t>
        </w:r>
      </w:hyperlink>
      <w:r>
        <w:rPr>
          <w:rStyle w:val="Text2"/>
        </w:rPr>
        <w:t xml:space="preserve">, </w:t>
      </w:r>
      <w:hyperlink w:anchor="idm45965264868736">
        <w:r>
          <w:t>General-Purpose Special Methods</w:t>
        </w:r>
      </w:hyperlink>
    </w:p>
    <w:p>
      <w:pPr>
        <w:pStyle w:val="Para 004"/>
      </w:pPr>
      <w:r>
        <w:rPr>
          <w:rStyle w:val="Text2"/>
        </w:rPr>
        <w:t>__hash__ (special method)</w:t>
        <w:t xml:space="preserve">, </w:t>
      </w:r>
      <w:hyperlink w:anchor="idm45965265011200">
        <w:r>
          <w:t>General-Purpose Special Methods</w:t>
        </w:r>
      </w:hyperlink>
      <w:r>
        <w:rPr>
          <w:rStyle w:val="Text2"/>
        </w:rPr>
        <w:t xml:space="preserve">, </w:t>
      </w:r>
      <w:hyperlink w:anchor="idm45965264786736">
        <w:r>
          <w:t>General-Purpose Special Methods</w:t>
        </w:r>
      </w:hyperlink>
      <w:r>
        <w:rPr>
          <w:rStyle w:val="Text2"/>
        </w:rPr>
        <w:t xml:space="preserve">, </w:t>
      </w:r>
      <w:hyperlink w:anchor="idm45965281834640">
        <w:r>
          <w:t>ABCs in the collections module</w:t>
        </w:r>
      </w:hyperlink>
    </w:p>
    <w:p>
      <w:pPr>
        <w:pStyle w:val="Para 004"/>
      </w:pPr>
      <w:r>
        <w:rPr>
          <w:rStyle w:val="Text2"/>
        </w:rPr>
        <w:t xml:space="preserve"> __ident</w:t>
        <w:t xml:space="preserve">, </w:t>
      </w:r>
      <w:hyperlink w:anchor="idm45965271626368">
        <w:r>
          <w:t>Class-private variables</w:t>
        </w:r>
      </w:hyperlink>
    </w:p>
    <w:p>
      <w:pPr>
        <w:pStyle w:val="Para 004"/>
      </w:pPr>
      <w:r>
        <w:rPr>
          <w:rStyle w:val="Text2"/>
        </w:rPr>
        <w:t>__import__ (built-in function)</w:t>
        <w:t xml:space="preserve">, </w:t>
      </w:r>
      <w:hyperlink w:anchor="idm45965254242432">
        <w:r>
          <w:t>Built-in Modules</w:t>
        </w:r>
      </w:hyperlink>
      <w:r>
        <w:rPr>
          <w:rStyle w:val="Text2"/>
        </w:rPr>
        <w:t xml:space="preserve">, </w:t>
      </w:r>
      <w:hyperlink w:anchor="idm45965217521312">
        <w:r>
          <w:t>Rebinding __import__</w:t>
        </w:r>
      </w:hyperlink>
    </w:p>
    <w:p>
      <w:pPr>
        <w:pStyle w:val="Para 003"/>
      </w:pPr>
      <w:r>
        <w:t>__index__ (numeric special method)</w:t>
        <w:t xml:space="preserve">, </w:t>
      </w:r>
      <w:hyperlink w:anchor="idm45965281415536">
        <w:r>
          <w:rPr>
            <w:rStyle w:val="Text1"/>
          </w:rPr>
          <w:t>Special Methods for Numeric Objects</w:t>
        </w:r>
      </w:hyperlink>
    </w:p>
    <w:p>
      <w:pPr>
        <w:pStyle w:val="Para 004"/>
      </w:pPr>
      <w:r>
        <w:rPr>
          <w:rStyle w:val="Text2"/>
        </w:rPr>
        <w:t>__init__ (special method)</w:t>
        <w:t xml:space="preserve">, </w:t>
      </w:r>
      <w:hyperlink w:anchor="idm45965271340144">
        <w:r>
          <w:t>__init__</w:t>
        </w:r>
      </w:hyperlink>
      <w:r>
        <w:rPr>
          <w:rStyle w:val="Text2"/>
        </w:rPr>
        <w:t xml:space="preserve">, </w:t>
      </w:r>
      <w:hyperlink w:anchor="idm45965265040592">
        <w:r>
          <w:t>General-Purpose Special Methods</w:t>
        </w:r>
      </w:hyperlink>
      <w:r>
        <w:rPr>
          <w:rStyle w:val="Text2"/>
        </w:rPr>
        <w:t xml:space="preserve">, </w:t>
      </w:r>
      <w:hyperlink w:anchor="idm45965264740912">
        <w:r>
          <w:t>General-Purpose Special Methods</w:t>
        </w:r>
      </w:hyperlink>
    </w:p>
    <w:p>
      <w:pPr>
        <w:pStyle w:val="Para 004"/>
      </w:pPr>
      <w:r>
        <w:rPr>
          <w:rStyle w:val="Text2"/>
        </w:rPr>
        <w:t>__int__ (numeric special method)</w:t>
        <w:t xml:space="preserve">, </w:t>
      </w:r>
      <w:hyperlink w:anchor="idm45965281530992">
        <w:r>
          <w:t>Special Methods for Numeric Objects</w:t>
        </w:r>
      </w:hyperlink>
    </w:p>
    <w:p>
      <w:pPr>
        <w:pStyle w:val="Para 003"/>
      </w:pPr>
      <w:r>
        <w:t>__invert__ (numeric special method)</w:t>
        <w:t xml:space="preserve">, </w:t>
      </w:r>
      <w:hyperlink w:anchor="idm45965281605600">
        <w:r>
          <w:rPr>
            <w:rStyle w:val="Text1"/>
          </w:rPr>
          <w:t>Special Methods for Numeric Objects</w:t>
        </w:r>
      </w:hyperlink>
    </w:p>
    <w:p>
      <w:pPr>
        <w:pStyle w:val="Para 004"/>
      </w:pPr>
      <w:r>
        <w:rPr>
          <w:rStyle w:val="Text2"/>
        </w:rPr>
        <w:t>__iter__ (container method)</w:t>
        <w:t xml:space="preserve">, </w:t>
      </w:r>
      <w:hyperlink w:anchor="idm45965264261264">
        <w:r>
          <w:t>Container methods</w:t>
        </w:r>
      </w:hyperlink>
      <w:r>
        <w:rPr>
          <w:rStyle w:val="Text2"/>
        </w:rPr>
        <w:t xml:space="preserve">, </w:t>
      </w:r>
      <w:hyperlink w:anchor="idm45965281833520">
        <w:r>
          <w:t>ABCs in the collections module</w:t>
        </w:r>
      </w:hyperlink>
    </w:p>
    <w:p>
      <w:pPr>
        <w:pStyle w:val="Para 004"/>
      </w:pPr>
      <w:r>
        <w:rPr>
          <w:rStyle w:val="Text2"/>
        </w:rPr>
        <w:t>__len__ (container method)</w:t>
        <w:t xml:space="preserve">, </w:t>
      </w:r>
      <w:hyperlink w:anchor="idm45965264242000">
        <w:r>
          <w:t>Container methods</w:t>
        </w:r>
      </w:hyperlink>
      <w:r>
        <w:rPr>
          <w:rStyle w:val="Text2"/>
        </w:rPr>
        <w:t xml:space="preserve">, </w:t>
      </w:r>
      <w:hyperlink w:anchor="idm45965281832400">
        <w:r>
          <w:t>ABCs in the collections module</w:t>
        </w:r>
      </w:hyperlink>
    </w:p>
    <w:p>
      <w:pPr>
        <w:pStyle w:val="Para 004"/>
      </w:pPr>
      <w:r>
        <w:rPr>
          <w:rStyle w:val="Text2"/>
        </w:rPr>
        <w:t>__le__ (special method)</w:t>
        <w:t xml:space="preserve">, </w:t>
      </w:r>
      <w:hyperlink w:anchor="idm45965265016752">
        <w:r>
          <w:t>General-Purpose Special Methods</w:t>
        </w:r>
      </w:hyperlink>
      <w:r>
        <w:rPr>
          <w:rStyle w:val="Text2"/>
        </w:rPr>
        <w:t xml:space="preserve">, </w:t>
      </w:r>
      <w:hyperlink w:anchor="idm45965264867632">
        <w:r>
          <w:t>General-Purpose Special Methods</w:t>
        </w:r>
      </w:hyperlink>
    </w:p>
    <w:p>
      <w:pPr>
        <w:pStyle w:val="Para 003"/>
      </w:pPr>
      <w:r>
        <w:t>__lshift__ (numeric special method)</w:t>
        <w:t xml:space="preserve">, </w:t>
      </w:r>
      <w:hyperlink w:anchor="idm45965281546128">
        <w:r>
          <w:rPr>
            <w:rStyle w:val="Text1"/>
          </w:rPr>
          <w:t>Special Methods for Numeric Objects</w:t>
        </w:r>
      </w:hyperlink>
    </w:p>
    <w:p>
      <w:pPr>
        <w:pStyle w:val="Para 004"/>
      </w:pPr>
      <w:r>
        <w:rPr>
          <w:rStyle w:val="Text2"/>
        </w:rPr>
        <w:t>__lt__ (special method)</w:t>
        <w:t xml:space="preserve">, </w:t>
      </w:r>
      <w:hyperlink w:anchor="idm45965265022272">
        <w:r>
          <w:t>General-Purpose Special Methods</w:t>
        </w:r>
      </w:hyperlink>
      <w:r>
        <w:rPr>
          <w:rStyle w:val="Text2"/>
        </w:rPr>
        <w:t xml:space="preserve">, </w:t>
      </w:r>
      <w:hyperlink w:anchor="idm45965264866528">
        <w:r>
          <w:t>General-Purpose Special Methods</w:t>
        </w:r>
      </w:hyperlink>
    </w:p>
    <w:p>
      <w:pPr>
        <w:pStyle w:val="Para 003"/>
      </w:pPr>
      <w:r>
        <w:t>__matmul__ (numeric special method)</w:t>
        <w:t xml:space="preserve">, </w:t>
      </w:r>
      <w:hyperlink w:anchor="idm45965281395904">
        <w:r>
          <w:rPr>
            <w:rStyle w:val="Text1"/>
          </w:rPr>
          <w:t>Special Methods for Numeric Objects</w:t>
        </w:r>
      </w:hyperlink>
    </w:p>
    <w:p>
      <w:pPr>
        <w:pStyle w:val="Para 003"/>
      </w:pPr>
      <w:r>
        <w:t>__missing__ (dict type)</w:t>
        <w:t xml:space="preserve">, </w:t>
      </w:r>
      <w:hyperlink w:anchor="idm45965277802256">
        <w:r>
          <w:rPr>
            <w:rStyle w:val="Text1"/>
          </w:rPr>
          <w:t>defaultdict</w:t>
        </w:r>
      </w:hyperlink>
    </w:p>
    <w:p>
      <w:pPr>
        <w:pStyle w:val="Para 004"/>
      </w:pPr>
      <w:r>
        <w:rPr>
          <w:rStyle w:val="Text2"/>
        </w:rPr>
        <w:t>__mod__ (numeric special method)</w:t>
        <w:t xml:space="preserve">, </w:t>
      </w:r>
      <w:hyperlink w:anchor="idm45965281575600">
        <w:r>
          <w:t>Special Methods for Numeric Objects</w:t>
        </w:r>
      </w:hyperlink>
    </w:p>
    <w:p>
      <w:pPr>
        <w:pStyle w:val="Para 004"/>
      </w:pPr>
      <w:r>
        <w:rPr>
          <w:rStyle w:val="Text2"/>
        </w:rPr>
        <w:t>__mul__ (numeric special method)</w:t>
        <w:t xml:space="preserve">, </w:t>
      </w:r>
      <w:hyperlink w:anchor="idm45965264589440">
        <w:r>
          <w:t>Sequences</w:t>
        </w:r>
      </w:hyperlink>
      <w:r>
        <w:rPr>
          <w:rStyle w:val="Text2"/>
        </w:rPr>
        <w:t xml:space="preserve">, </w:t>
      </w:r>
      <w:hyperlink w:anchor="idm45965281576720">
        <w:r>
          <w:t>Special Methods for Numeric Objects</w:t>
        </w:r>
      </w:hyperlink>
    </w:p>
    <w:p>
      <w:pPr>
        <w:pStyle w:val="Para 004"/>
      </w:pPr>
      <w:r>
        <w:rPr>
          <w:rStyle w:val="Text2"/>
        </w:rPr>
        <w:t>__neg__ (numeric special method)</w:t>
        <w:t xml:space="preserve">, </w:t>
      </w:r>
      <w:hyperlink w:anchor="idm45965281600064">
        <w:r>
          <w:t>Special Methods for Numeric Objects</w:t>
        </w:r>
      </w:hyperlink>
    </w:p>
    <w:p>
      <w:pPr>
        <w:pStyle w:val="Para 004"/>
      </w:pPr>
      <w:r>
        <w:rPr>
          <w:rStyle w:val="Text2"/>
        </w:rPr>
        <w:t xml:space="preserve"> __new__ (special method)</w:t>
        <w:t xml:space="preserve">, </w:t>
      </w:r>
      <w:hyperlink w:anchor="idm45965265041664">
        <w:r>
          <w:t>General-Purpose Special Methods</w:t>
        </w:r>
      </w:hyperlink>
      <w:r>
        <w:rPr>
          <w:rStyle w:val="Text2"/>
        </w:rPr>
        <w:t xml:space="preserve">, </w:t>
      </w:r>
      <w:hyperlink w:anchor="idm45965264693824">
        <w:r>
          <w:t>General-Purpose Special Methods</w:t>
        </w:r>
      </w:hyperlink>
    </w:p>
    <w:p>
      <w:pPr>
        <w:pStyle w:val="Para 004"/>
      </w:pPr>
      <w:r>
        <w:rPr>
          <w:rStyle w:val="Text2"/>
        </w:rPr>
        <w:t>__ne__ (special method)</w:t>
        <w:t xml:space="preserve">, </w:t>
      </w:r>
      <w:hyperlink w:anchor="idm45965265021168">
        <w:r>
          <w:t>General-Purpose Special Methods</w:t>
        </w:r>
      </w:hyperlink>
      <w:r>
        <w:rPr>
          <w:rStyle w:val="Text2"/>
        </w:rPr>
        <w:t xml:space="preserve">, </w:t>
      </w:r>
      <w:hyperlink w:anchor="idm45965264865424">
        <w:r>
          <w:t>General-Purpose Special Methods</w:t>
        </w:r>
      </w:hyperlink>
    </w:p>
    <w:p>
      <w:pPr>
        <w:pStyle w:val="Para 004"/>
      </w:pPr>
      <w:r>
        <w:rPr>
          <w:rStyle w:val="Text2"/>
        </w:rPr>
        <w:t>__or__ (numeric special method)</w:t>
        <w:t xml:space="preserve">, </w:t>
      </w:r>
      <w:hyperlink w:anchor="idm45965281547248">
        <w:r>
          <w:t>Special Methods for Numeric Objects</w:t>
        </w:r>
      </w:hyperlink>
    </w:p>
    <w:p>
      <w:pPr>
        <w:pStyle w:val="Para 004"/>
      </w:pPr>
      <w:r>
        <w:rPr>
          <w:rStyle w:val="Text2"/>
        </w:rPr>
        <w:t>__pos__ (numeric special method)</w:t>
        <w:t xml:space="preserve">, </w:t>
      </w:r>
      <w:hyperlink w:anchor="idm45965281601136">
        <w:r>
          <w:t>Special Methods for Numeric Objects</w:t>
        </w:r>
      </w:hyperlink>
    </w:p>
    <w:p>
      <w:pPr>
        <w:pStyle w:val="Para 004"/>
      </w:pPr>
      <w:r>
        <w:rPr>
          <w:rStyle w:val="Text2"/>
        </w:rPr>
        <w:t>__pow__ (numeric special method)</w:t>
        <w:t xml:space="preserve">, </w:t>
      </w:r>
      <w:hyperlink w:anchor="idm45965281382256">
        <w:r>
          <w:t>Special Methods for Numeric Objects</w:t>
        </w:r>
      </w:hyperlink>
    </w:p>
    <w:p>
      <w:pPr>
        <w:pStyle w:val="Para 004"/>
      </w:pPr>
      <w:r>
        <w:rPr>
          <w:rStyle w:val="Text2"/>
        </w:rPr>
        <w:t>__repr__ (special method)</w:t>
        <w:t xml:space="preserve">, </w:t>
      </w:r>
      <w:hyperlink w:anchor="idm45965264685968">
        <w:r>
          <w:t>General-Purpose Special Methods</w:t>
        </w:r>
      </w:hyperlink>
    </w:p>
    <w:p>
      <w:pPr>
        <w:pStyle w:val="Para 003"/>
      </w:pPr>
      <w:r>
        <w:t>__rshift__ (numeric special method)</w:t>
        <w:t xml:space="preserve">, </w:t>
      </w:r>
      <w:hyperlink w:anchor="idm45965281550464">
        <w:r>
          <w:rPr>
            <w:rStyle w:val="Text1"/>
          </w:rPr>
          <w:t>Special Methods for Numeric Objects</w:t>
        </w:r>
      </w:hyperlink>
    </w:p>
    <w:p>
      <w:pPr>
        <w:pStyle w:val="Para 004"/>
      </w:pPr>
      <w:r>
        <w:rPr>
          <w:rStyle w:val="Text2"/>
        </w:rPr>
        <w:t>__setattr__ (special method)</w:t>
        <w:t xml:space="preserve">, </w:t>
      </w:r>
      <w:hyperlink w:anchor="idm45965264998864">
        <w:r>
          <w:t>General-Purpose Special Methods</w:t>
        </w:r>
      </w:hyperlink>
      <w:r>
        <w:rPr>
          <w:rStyle w:val="Text2"/>
        </w:rPr>
        <w:t xml:space="preserve">, </w:t>
      </w:r>
      <w:hyperlink w:anchor="idm45965264670800">
        <w:r>
          <w:t>General-Purpose Special Methods</w:t>
        </w:r>
      </w:hyperlink>
    </w:p>
    <w:p>
      <w:pPr>
        <w:pStyle w:val="Para 003"/>
      </w:pPr>
      <w:r>
        <w:t>__setitem__ (container method)</w:t>
        <w:t xml:space="preserve">, </w:t>
      </w:r>
      <w:hyperlink w:anchor="idm45965264226864">
        <w:r>
          <w:rPr>
            <w:rStyle w:val="Text1"/>
          </w:rPr>
          <w:t>Container methods</w:t>
        </w:r>
      </w:hyperlink>
    </w:p>
    <w:p>
      <w:pPr>
        <w:pStyle w:val="Para 003"/>
      </w:pPr>
      <w:r>
        <w:t>__set__ (descriptor method)</w:t>
        <w:t xml:space="preserve">, </w:t>
      </w:r>
      <w:hyperlink w:anchor="idm45965271602496">
        <w:r>
          <w:rPr>
            <w:rStyle w:val="Text1"/>
          </w:rPr>
          <w:t>Descriptors</w:t>
        </w:r>
      </w:hyperlink>
    </w:p>
    <w:p>
      <w:pPr>
        <w:pStyle w:val="Para 003"/>
      </w:pPr>
      <w:r>
        <w:t>__slots__ attribute</w:t>
        <w:t xml:space="preserve">, </w:t>
      </w:r>
      <w:hyperlink w:anchor="idm45965265422480">
        <w:r>
          <w:rPr>
            <w:rStyle w:val="Text1"/>
          </w:rPr>
          <w:t>__slots__</w:t>
        </w:r>
      </w:hyperlink>
    </w:p>
    <w:p>
      <w:pPr>
        <w:pStyle w:val="Para 004"/>
      </w:pPr>
      <w:r>
        <w:rPr>
          <w:rStyle w:val="Text2"/>
        </w:rPr>
        <w:t>__str__ (special method)</w:t>
        <w:t xml:space="preserve">, </w:t>
      </w:r>
      <w:hyperlink w:anchor="idm45965265033648">
        <w:r>
          <w:t>General-Purpose Special Methods</w:t>
        </w:r>
      </w:hyperlink>
      <w:r>
        <w:rPr>
          <w:rStyle w:val="Text2"/>
        </w:rPr>
        <w:t xml:space="preserve">, </w:t>
      </w:r>
      <w:hyperlink w:anchor="idm45965264638592">
        <w:r>
          <w:t>General-Purpose Special Methods</w:t>
        </w:r>
      </w:hyperlink>
    </w:p>
    <w:p>
      <w:pPr>
        <w:pStyle w:val="Para 004"/>
      </w:pPr>
      <w:r>
        <w:rPr>
          <w:rStyle w:val="Text2"/>
        </w:rPr>
        <w:t>__sub__ (numeric special method)</w:t>
        <w:t xml:space="preserve">, </w:t>
      </w:r>
      <w:hyperlink w:anchor="idm45965281577840">
        <w:r>
          <w:t>Special Methods for Numeric Objects</w:t>
        </w:r>
      </w:hyperlink>
    </w:p>
    <w:p>
      <w:pPr>
        <w:pStyle w:val="Para 003"/>
      </w:pPr>
      <w:r>
        <w:t>__truediv__ (numeric special method)</w:t>
        <w:t xml:space="preserve">, </w:t>
      </w:r>
      <w:hyperlink w:anchor="idm45965281502128">
        <w:r>
          <w:rPr>
            <w:rStyle w:val="Text1"/>
          </w:rPr>
          <w:t>Special Methods for Numeric Objects</w:t>
        </w:r>
      </w:hyperlink>
    </w:p>
    <w:p>
      <w:pPr>
        <w:pStyle w:val="Para 004"/>
      </w:pPr>
      <w:r>
        <w:rPr>
          <w:rStyle w:val="Text2"/>
        </w:rPr>
        <w:t>__xor__ (numeric special method)</w:t>
        <w:t xml:space="preserve">, </w:t>
      </w:r>
      <w:hyperlink w:anchor="idm45965281548320">
        <w:r>
          <w:t>Special Methods for Numeric Objects</w:t>
        </w:r>
      </w:hyperlink>
    </w:p>
    <w:p>
      <w:pPr>
        <w:pStyle w:val="Para 003"/>
      </w:pPr>
      <w:r>
        <w:t>\ (backslash)</w:t>
      </w:r>
    </w:p>
    <w:p>
      <w:pPr>
        <w:pStyle w:val="Para 003"/>
      </w:pPr>
      <w:r>
        <w:t>lines and indentation</w:t>
        <w:t xml:space="preserve">, </w:t>
      </w:r>
      <w:hyperlink w:anchor="idm45965274412576">
        <w:r>
          <w:rPr>
            <w:rStyle w:val="Text1"/>
          </w:rPr>
          <w:t>Lines and Indentation</w:t>
        </w:r>
      </w:hyperlink>
    </w:p>
    <w:p>
      <w:pPr>
        <w:pStyle w:val="Para 004"/>
      </w:pPr>
      <w:r>
        <w:rPr>
          <w:rStyle w:val="Text2"/>
        </w:rPr>
        <w:t>re module</w:t>
        <w:t xml:space="preserve">, </w:t>
      </w:r>
      <w:hyperlink w:anchor="idm45965209052192">
        <w:r>
          <w:t>Pattern String Syntax</w:t>
        </w:r>
      </w:hyperlink>
    </w:p>
    <w:p>
      <w:pPr>
        <w:pStyle w:val="Para 003"/>
      </w:pPr>
      <w:r>
        <w:t>special meaning of in tokens</w:t>
        <w:t xml:space="preserve">, </w:t>
      </w:r>
      <w:hyperlink w:anchor="idm45965276502192">
        <w:r>
          <w:rPr>
            <w:rStyle w:val="Text1"/>
          </w:rPr>
          <w:t>Delimiters</w:t>
        </w:r>
      </w:hyperlink>
    </w:p>
    <w:p>
      <w:pPr>
        <w:pStyle w:val="Para 004"/>
      </w:pPr>
      <w:r>
        <w:rPr>
          <w:rStyle w:val="Text2"/>
        </w:rPr>
        <w:t>strings</w:t>
        <w:t xml:space="preserve">, </w:t>
      </w:r>
      <w:hyperlink w:anchor="slashbackstring03">
        <w:r>
          <w:t>Strings</w:t>
        </w:r>
      </w:hyperlink>
      <w:r>
        <w:rPr>
          <w:rStyle w:val="Text2"/>
        </w:rPr>
        <w:t>-</w:t>
      </w:r>
      <w:hyperlink w:anchor="idm45965278936080">
        <w:r>
          <w:t>Strings</w:t>
        </w:r>
      </w:hyperlink>
    </w:p>
    <w:p>
      <w:pPr>
        <w:pStyle w:val="Para 003"/>
      </w:pPr>
      <w:r>
        <w:t>{} (braces)</w:t>
      </w:r>
    </w:p>
    <w:p>
      <w:pPr>
        <w:pStyle w:val="Para 003"/>
      </w:pPr>
      <w:r>
        <w:t>command-line syntax and options</w:t>
        <w:t xml:space="preserve">, </w:t>
      </w:r>
      <w:hyperlink w:anchor="idm45965283011968">
        <w:r>
          <w:rPr>
            <w:rStyle w:val="Text1"/>
          </w:rPr>
          <w:t>Command-Line Syntax and Options</w:t>
        </w:r>
      </w:hyperlink>
    </w:p>
    <w:p>
      <w:pPr>
        <w:pStyle w:val="Para 003"/>
      </w:pPr>
      <w:r>
        <w:t>delimiters</w:t>
        <w:t xml:space="preserve">, </w:t>
      </w:r>
      <w:hyperlink w:anchor="idm45965276533296">
        <w:r>
          <w:rPr>
            <w:rStyle w:val="Text1"/>
          </w:rPr>
          <w:t>Delimiters</w:t>
        </w:r>
      </w:hyperlink>
    </w:p>
    <w:p>
      <w:pPr>
        <w:pStyle w:val="Para 003"/>
      </w:pPr>
      <w:r>
        <w:t>in dictionaries</w:t>
        <w:t xml:space="preserve">, </w:t>
      </w:r>
      <w:hyperlink w:anchor="idm45965269493968">
        <w:r>
          <w:rPr>
            <w:rStyle w:val="Text1"/>
          </w:rPr>
          <w:t>Dictionaries</w:t>
        </w:r>
      </w:hyperlink>
    </w:p>
    <w:p>
      <w:pPr>
        <w:pStyle w:val="Para 003"/>
      </w:pPr>
      <w:r>
        <w:t>lines and indentation</w:t>
        <w:t xml:space="preserve">, </w:t>
      </w:r>
      <w:hyperlink w:anchor="idm45965274402800">
        <w:r>
          <w:rPr>
            <w:rStyle w:val="Text1"/>
          </w:rPr>
          <w:t>Lines and Indentation</w:t>
        </w:r>
      </w:hyperlink>
    </w:p>
    <w:p>
      <w:pPr>
        <w:pStyle w:val="Para 003"/>
      </w:pPr>
      <w:r>
        <w:t>in sets</w:t>
        <w:t xml:space="preserve">, </w:t>
      </w:r>
      <w:hyperlink w:anchor="idm45965269569888">
        <w:r>
          <w:rPr>
            <w:rStyle w:val="Text1"/>
          </w:rPr>
          <w:t>Sets</w:t>
        </w:r>
      </w:hyperlink>
    </w:p>
    <w:p>
      <w:pPr>
        <w:pStyle w:val="Para 004"/>
      </w:pPr>
      <w:r>
        <w:rPr>
          <w:rStyle w:val="Text2"/>
        </w:rPr>
        <w:t>| (vertical bar)</w:t>
        <w:t xml:space="preserve">, </w:t>
      </w:r>
      <w:hyperlink w:anchor="idm45965283008672">
        <w:r>
          <w:t>Command-Line Syntax and Options</w:t>
        </w:r>
      </w:hyperlink>
      <w:r>
        <w:rPr>
          <w:rStyle w:val="Text2"/>
        </w:rPr>
        <w:t xml:space="preserve">, </w:t>
      </w:r>
      <w:hyperlink w:anchor="idm45965258181792">
        <w:r>
          <w:t>Dictionaries</w:t>
        </w:r>
      </w:hyperlink>
    </w:p>
    <w:p>
      <w:pPr>
        <w:pStyle w:val="Para 004"/>
      </w:pPr>
      <w:r>
        <w:rPr>
          <w:rStyle w:val="Text2"/>
        </w:rPr>
        <w:t>|= character</w:t>
        <w:t xml:space="preserve">, </w:t>
      </w:r>
      <w:hyperlink w:anchor="idm45965276515104">
        <w:r>
          <w:t>Delimiters</w:t>
        </w:r>
      </w:hyperlink>
      <w:r>
        <w:rPr>
          <w:rStyle w:val="Text2"/>
        </w:rPr>
        <w:t xml:space="preserve">, </w:t>
      </w:r>
      <w:hyperlink w:anchor="idm45965283326480">
        <w:r>
          <w:t>Augmented assignment</w:t>
        </w:r>
      </w:hyperlink>
    </w:p>
    <w:p>
      <w:pPr>
        <w:pStyle w:val="Para 003"/>
      </w:pPr>
      <w:r>
        <w:t>[] (brackets)</w:t>
      </w:r>
    </w:p>
    <w:p>
      <w:pPr>
        <w:pStyle w:val="Para 004"/>
      </w:pPr>
      <w:r>
        <w:rPr>
          <w:rStyle w:val="Text2"/>
        </w:rPr>
        <w:t>command line syntax</w:t>
        <w:t xml:space="preserve">, </w:t>
      </w:r>
      <w:hyperlink w:anchor="idm45965282985088">
        <w:r>
          <w:t>Command-Line Syntax and Options</w:t>
        </w:r>
      </w:hyperlink>
    </w:p>
    <w:p>
      <w:pPr>
        <w:pStyle w:val="Para 004"/>
      </w:pPr>
      <w:r>
        <w:rPr>
          <w:rStyle w:val="Text2"/>
        </w:rPr>
        <w:t>in-place list operations</w:t>
        <w:t xml:space="preserve">, </w:t>
      </w:r>
      <w:hyperlink w:anchor="idm45965280102944">
        <w:r>
          <w:t>In-place operations on a list</w:t>
        </w:r>
      </w:hyperlink>
    </w:p>
    <w:p>
      <w:pPr>
        <w:pStyle w:val="Para 003"/>
      </w:pPr>
      <w:r>
        <w:t>indexing a dictionary</w:t>
        <w:t xml:space="preserve">, </w:t>
      </w:r>
      <w:hyperlink w:anchor="idm45965283655104">
        <w:r>
          <w:rPr>
            <w:rStyle w:val="Text1"/>
          </w:rPr>
          <w:t>Indexing a Dictionary</w:t>
        </w:r>
      </w:hyperlink>
    </w:p>
    <w:p>
      <w:pPr>
        <w:pStyle w:val="Para 003"/>
      </w:pPr>
      <w:r>
        <w:t>lines and indentation</w:t>
        <w:t xml:space="preserve">, </w:t>
      </w:r>
      <w:hyperlink w:anchor="idm45965274405824">
        <w:r>
          <w:rPr>
            <w:rStyle w:val="Text1"/>
          </w:rPr>
          <w:t>Lines and Indentation</w:t>
        </w:r>
      </w:hyperlink>
    </w:p>
    <w:p>
      <w:pPr>
        <w:pStyle w:val="Para 003"/>
      </w:pPr>
      <w:r>
        <w:t>in lists</w:t>
        <w:t xml:space="preserve">, </w:t>
      </w:r>
      <w:hyperlink w:anchor="idm45965265610096">
        <w:r>
          <w:rPr>
            <w:rStyle w:val="Text1"/>
          </w:rPr>
          <w:t>Lists</w:t>
        </w:r>
      </w:hyperlink>
    </w:p>
    <w:p>
      <w:pPr>
        <w:pStyle w:val="Para 003"/>
      </w:pPr>
      <w:r>
        <w:t>slicing a sequence</w:t>
        <w:t xml:space="preserve">, </w:t>
      </w:r>
      <w:hyperlink w:anchor="idm45965279953072">
        <w:r>
          <w:rPr>
            <w:rStyle w:val="Text1"/>
          </w:rPr>
          <w:t>Slicing a sequence</w:t>
        </w:r>
      </w:hyperlink>
    </w:p>
    <w:p>
      <w:pPr>
        <w:pStyle w:val="Para 004"/>
      </w:pPr>
      <w:r>
        <w:rPr>
          <w:rStyle w:val="Text2"/>
        </w:rPr>
        <w:t>~ (tilde)</w:t>
        <w:t xml:space="preserve">, </w:t>
      </w:r>
      <w:hyperlink w:anchor="idm45965283144208">
        <w:r>
          <w:t>Expressions and Operators</w:t>
        </w:r>
      </w:hyperlink>
    </w:p>
    <w:p>
      <w:pPr>
        <w:pStyle w:val="Para 003"/>
      </w:pPr>
      <w:r>
        <w:t>· (middle dot)</w:t>
        <w:t xml:space="preserve">, </w:t>
      </w:r>
      <w:hyperlink w:anchor="idm45965284338720">
        <w:r>
          <w:rPr>
            <w:rStyle w:val="Text1"/>
          </w:rPr>
          <w:t>Identifiers</w:t>
        </w:r>
      </w:hyperlink>
    </w:p>
    <w:p>
      <w:pPr>
        <w:pStyle w:val="Para 004"/>
      </w:pPr>
      <w:r>
        <w:rPr>
          <w:rStyle w:val="Text2"/>
        </w:rPr>
        <w:t>˃˃˃ (prompt)</w:t>
        <w:t xml:space="preserve">, </w:t>
      </w:r>
      <w:hyperlink w:anchor="idm45965278341696">
        <w:r>
          <w:t>Interactive Sessions</w:t>
        </w:r>
      </w:hyperlink>
      <w:r>
        <w:rPr>
          <w:rStyle w:val="Text2"/>
        </w:rPr>
        <w:t xml:space="preserve">, </w:t>
      </w:r>
      <w:hyperlink w:anchor="idm45965281985344">
        <w:r>
          <w:t>Simple statements</w:t>
        </w:r>
      </w:hyperlink>
    </w:p>
    <w:p>
      <w:pPr>
        <w:keepNext/>
        <w:pStyle w:val="Heading 3"/>
      </w:pPr>
      <w:r>
        <w:t>A</w:t>
      </w:r>
    </w:p>
    <w:p>
      <w:pPr>
        <w:pStyle w:val="Para 004"/>
      </w:pPr>
      <w:r>
        <w:rPr>
          <w:rStyle w:val="Text2"/>
        </w:rPr>
        <w:t>abc module</w:t>
        <w:t xml:space="preserve">, </w:t>
      </w:r>
      <w:hyperlink w:anchor="idm45965264203008">
        <w:r>
          <w:t>The abc module</w:t>
        </w:r>
      </w:hyperlink>
    </w:p>
    <w:p>
      <w:pPr>
        <w:pStyle w:val="Para 003"/>
      </w:pPr>
      <w:r>
        <w:t>abort (threading module)</w:t>
        <w:t xml:space="preserve">, </w:t>
      </w:r>
      <w:hyperlink w:anchor="idm45965192423344">
        <w:r>
          <w:rPr>
            <w:rStyle w:val="Text1"/>
          </w:rPr>
          <w:t>Barrier objects</w:t>
        </w:r>
      </w:hyperlink>
    </w:p>
    <w:p>
      <w:pPr>
        <w:pStyle w:val="Para 003"/>
      </w:pPr>
      <w:r>
        <w:t>abs (built-in function)</w:t>
        <w:t xml:space="preserve">, </w:t>
      </w:r>
      <w:hyperlink w:anchor="idm45965216358192">
        <w:r>
          <w:rPr>
            <w:rStyle w:val="Text1"/>
          </w:rPr>
          <w:t>Built-in Functions</w:t>
        </w:r>
      </w:hyperlink>
    </w:p>
    <w:p>
      <w:pPr>
        <w:pStyle w:val="Para 004"/>
      </w:pPr>
      <w:r>
        <w:rPr>
          <w:rStyle w:val="Text2"/>
        </w:rPr>
        <w:t>absolute imports</w:t>
        <w:t xml:space="preserve">, </w:t>
      </w:r>
      <w:hyperlink w:anchor="idm45965217193600">
        <w:r>
          <w:t>Absolute Versus Relative Imports</w:t>
        </w:r>
      </w:hyperlink>
    </w:p>
    <w:p>
      <w:pPr>
        <w:pStyle w:val="Para 003"/>
      </w:pPr>
      <w:r>
        <w:t>abspath (os.path module)</w:t>
        <w:t xml:space="preserve">, </w:t>
      </w:r>
      <w:hyperlink w:anchor="idm45965203844560">
        <w:r>
          <w:rPr>
            <w:rStyle w:val="Text1"/>
          </w:rPr>
          <w:t>The os.path Module</w:t>
        </w:r>
      </w:hyperlink>
    </w:p>
    <w:p>
      <w:pPr>
        <w:pStyle w:val="Para 004"/>
      </w:pPr>
      <w:r>
        <w:rPr>
          <w:rStyle w:val="Text2"/>
        </w:rPr>
        <w:t>abstract base classes (ABCs)</w:t>
        <w:t xml:space="preserve">, </w:t>
      </w:r>
      <w:hyperlink w:anchor="abc04">
        <w:r>
          <w:t>Abstract Base Classes</w:t>
        </w:r>
      </w:hyperlink>
      <w:r>
        <w:rPr>
          <w:rStyle w:val="Text2"/>
        </w:rPr>
        <w:t>-</w:t>
      </w:r>
      <w:hyperlink w:anchor="idm45965281629312">
        <w:r>
          <w:t>ABCs in the numbers module</w:t>
        </w:r>
      </w:hyperlink>
      <w:r>
        <w:rPr>
          <w:rStyle w:val="Text2"/>
        </w:rPr>
        <w:t xml:space="preserve">, </w:t>
      </w:r>
      <w:hyperlink w:anchor="idm45965268430096">
        <w:r>
          <w:t>Abstract Base Classes</w:t>
        </w:r>
      </w:hyperlink>
    </w:p>
    <w:p>
      <w:pPr>
        <w:pStyle w:val="Para 004"/>
      </w:pPr>
      <w:r>
        <w:rPr>
          <w:rStyle w:val="Text2"/>
        </w:rPr>
        <w:t>abstract syntax tree (AST)</w:t>
        <w:t xml:space="preserve">, </w:t>
      </w:r>
      <w:hyperlink w:anchor="idm45965162505504">
        <w:r>
          <w:t>Upgrade Automation Using pyupgrade</w:t>
        </w:r>
      </w:hyperlink>
    </w:p>
    <w:p>
      <w:pPr>
        <w:pStyle w:val="Para 004"/>
      </w:pPr>
      <w:r>
        <w:rPr>
          <w:rStyle w:val="Text2"/>
        </w:rPr>
        <w:t>access (os module)</w:t>
        <w:t xml:space="preserve">, </w:t>
      </w:r>
      <w:hyperlink w:anchor="idm45965204409696">
        <w:r>
          <w:t>File and directory functions of the os module</w:t>
        </w:r>
      </w:hyperlink>
    </w:p>
    <w:p>
      <w:pPr>
        <w:pStyle w:val="Para 003"/>
      </w:pPr>
      <w:r>
        <w:t>accumulate (itertools module)</w:t>
        <w:t xml:space="preserve">, </w:t>
      </w:r>
      <w:hyperlink w:anchor="idm45965213821680">
        <w:r>
          <w:rPr>
            <w:rStyle w:val="Text1"/>
          </w:rPr>
          <w:t>The itertools Module</w:t>
        </w:r>
      </w:hyperlink>
    </w:p>
    <w:p>
      <w:pPr>
        <w:pStyle w:val="Para 004"/>
      </w:pPr>
      <w:r>
        <w:rPr>
          <w:rStyle w:val="Text2"/>
        </w:rPr>
        <w:t>acquire (threading module)</w:t>
        <w:t xml:space="preserve">, </w:t>
      </w:r>
      <w:hyperlink w:anchor="idm45965193353472">
        <w:r>
          <w:t>Lock and RLock objects</w:t>
        </w:r>
      </w:hyperlink>
      <w:r>
        <w:rPr>
          <w:rStyle w:val="Text2"/>
        </w:rPr>
        <w:t xml:space="preserve">, </w:t>
      </w:r>
      <w:hyperlink w:anchor="idm45965193077056">
        <w:r>
          <w:t>Condition objects</w:t>
        </w:r>
      </w:hyperlink>
      <w:r>
        <w:rPr>
          <w:rStyle w:val="Text2"/>
        </w:rPr>
        <w:t xml:space="preserve">, </w:t>
      </w:r>
      <w:hyperlink w:anchor="idm45965192678112">
        <w:r>
          <w:t>Semaphore and BoundedSemaphore objects</w:t>
        </w:r>
      </w:hyperlink>
    </w:p>
    <w:p>
      <w:pPr>
        <w:pStyle w:val="Para 003"/>
      </w:pPr>
      <w:r>
        <w:t>add (set method)</w:t>
        <w:t xml:space="preserve">, </w:t>
      </w:r>
      <w:hyperlink w:anchor="idm45965278527216">
        <w:r>
          <w:rPr>
            <w:rStyle w:val="Text1"/>
          </w:rPr>
          <w:t>Set Methods</w:t>
        </w:r>
      </w:hyperlink>
    </w:p>
    <w:p>
      <w:pPr>
        <w:pStyle w:val="Para 003"/>
      </w:pPr>
      <w:r>
        <w:t>add fill characters ('=')</w:t>
        <w:t xml:space="preserve">, </w:t>
      </w:r>
      <w:hyperlink w:anchor="idm45965211235552">
        <w:r>
          <w:rPr>
            <w:rStyle w:val="Text1"/>
          </w:rPr>
          <w:t>Fill and alignment</w:t>
        </w:r>
      </w:hyperlink>
    </w:p>
    <w:p>
      <w:pPr>
        <w:pStyle w:val="Para 003"/>
      </w:pPr>
      <w:r>
        <w:t>addCleanup (unittest.TestCase class)</w:t>
        <w:t xml:space="preserve">, </w:t>
      </w:r>
      <w:hyperlink w:anchor="idm45965182896480">
        <w:r>
          <w:rPr>
            <w:rStyle w:val="Text1"/>
          </w:rPr>
          <w:t>The TestCase class</w:t>
        </w:r>
      </w:hyperlink>
    </w:p>
    <w:p>
      <w:pPr>
        <w:pStyle w:val="Para 003"/>
      </w:pPr>
      <w:r>
        <w:t>add_history (readline module)</w:t>
        <w:t xml:space="preserve">, </w:t>
      </w:r>
      <w:hyperlink w:anchor="idm45965201658576">
        <w:r>
          <w:rPr>
            <w:rStyle w:val="Text1"/>
          </w:rPr>
          <w:t>The readline Module</w:t>
        </w:r>
      </w:hyperlink>
    </w:p>
    <w:p>
      <w:pPr>
        <w:pStyle w:val="Para 004"/>
      </w:pPr>
      <w:r>
        <w:rPr>
          <w:rStyle w:val="Text2"/>
        </w:rPr>
        <w:t>algorithms</w:t>
        <w:t xml:space="preserve">, </w:t>
      </w:r>
      <w:hyperlink w:anchor="algo17">
        <w:r>
          <w:t>Large-Scale Optimization</w:t>
        </w:r>
      </w:hyperlink>
      <w:r>
        <w:rPr>
          <w:rStyle w:val="Text2"/>
        </w:rPr>
        <w:t>-</w:t>
      </w:r>
      <w:hyperlink w:anchor="idm45965180708288">
        <w:r>
          <w:t>Summary of big-O times for operations on Python built-in types</w:t>
        </w:r>
      </w:hyperlink>
    </w:p>
    <w:p>
      <w:pPr>
        <w:pStyle w:val="Para 003"/>
      </w:pPr>
      <w:r>
        <w:t>align center ('^')</w:t>
        <w:t xml:space="preserve">, </w:t>
      </w:r>
      <w:hyperlink w:anchor="idm45965211240768">
        <w:r>
          <w:rPr>
            <w:rStyle w:val="Text1"/>
          </w:rPr>
          <w:t>Fill and alignment</w:t>
        </w:r>
      </w:hyperlink>
    </w:p>
    <w:p>
      <w:pPr>
        <w:pStyle w:val="Para 003"/>
      </w:pPr>
      <w:r>
        <w:t>align left ('&lt;')</w:t>
        <w:t xml:space="preserve">, </w:t>
      </w:r>
      <w:hyperlink w:anchor="idm45965211252832">
        <w:r>
          <w:rPr>
            <w:rStyle w:val="Text1"/>
          </w:rPr>
          <w:t>Fill and alignment</w:t>
        </w:r>
      </w:hyperlink>
    </w:p>
    <w:p>
      <w:pPr>
        <w:pStyle w:val="Para 003"/>
      </w:pPr>
      <w:r>
        <w:t>align right ('&gt;')</w:t>
        <w:t xml:space="preserve">, </w:t>
      </w:r>
      <w:hyperlink w:anchor="idm45965211246192">
        <w:r>
          <w:rPr>
            <w:rStyle w:val="Text1"/>
          </w:rPr>
          <w:t>Fill and alignment</w:t>
        </w:r>
      </w:hyperlink>
    </w:p>
    <w:p>
      <w:pPr>
        <w:pStyle w:val="Para 003"/>
      </w:pPr>
      <w:r>
        <w:t>alignment indicators</w:t>
        <w:t xml:space="preserve">, </w:t>
      </w:r>
      <w:hyperlink w:anchor="idm45965211285280">
        <w:r>
          <w:rPr>
            <w:rStyle w:val="Text1"/>
          </w:rPr>
          <w:t>Fill and alignment</w:t>
        </w:r>
      </w:hyperlink>
    </w:p>
    <w:p>
      <w:pPr>
        <w:pStyle w:val="Para 003"/>
      </w:pPr>
      <w:r>
        <w:t>all (built-in function)</w:t>
        <w:t xml:space="preserve">, </w:t>
      </w:r>
      <w:hyperlink w:anchor="idm45965216338400">
        <w:r>
          <w:rPr>
            <w:rStyle w:val="Text1"/>
          </w:rPr>
          <w:t>Built-in Functions</w:t>
        </w:r>
      </w:hyperlink>
    </w:p>
    <w:p>
      <w:pPr>
        <w:pStyle w:val="Para 004"/>
      </w:pPr>
      <w:r>
        <w:rPr>
          <w:rStyle w:val="Text2"/>
        </w:rPr>
        <w:t>Anaconda</w:t>
        <w:t xml:space="preserve">, </w:t>
      </w:r>
      <w:hyperlink w:anchor="idm45965284202672">
        <w:r>
          <w:t>Anaconda and Miniconda</w:t>
        </w:r>
      </w:hyperlink>
      <w:r>
        <w:rPr>
          <w:rStyle w:val="Text2"/>
        </w:rPr>
        <w:t xml:space="preserve">, </w:t>
      </w:r>
      <w:hyperlink w:anchor="idm45965216845264">
        <w:r>
          <w:t>Other Environment Management Solutions</w:t>
        </w:r>
      </w:hyperlink>
      <w:r>
        <w:rPr>
          <w:rStyle w:val="Text2"/>
        </w:rPr>
        <w:t xml:space="preserve">, </w:t>
      </w:r>
      <w:hyperlink w:anchor="idm45965183848384">
        <w:r>
          <w:t>Additional numeric packages</w:t>
        </w:r>
      </w:hyperlink>
    </w:p>
    <w:p>
      <w:pPr>
        <w:pStyle w:val="Para 004"/>
      </w:pPr>
      <w:r>
        <w:rPr>
          <w:rStyle w:val="Text2"/>
        </w:rPr>
        <w:t>anchoring</w:t>
        <w:t xml:space="preserve">, </w:t>
      </w:r>
      <w:hyperlink w:anchor="idm45965208171696">
        <w:r>
          <w:t>Anchoring at String Start and End</w:t>
        </w:r>
      </w:hyperlink>
    </w:p>
    <w:p>
      <w:pPr>
        <w:pStyle w:val="Para 004"/>
      </w:pPr>
      <w:r>
        <w:rPr>
          <w:rStyle w:val="Text2"/>
        </w:rPr>
        <w:t>and keyword</w:t>
        <w:t xml:space="preserve">, </w:t>
      </w:r>
      <w:hyperlink w:anchor="and03">
        <w:r>
          <w:t>Expressions and Operators</w:t>
        </w:r>
      </w:hyperlink>
      <w:r>
        <w:rPr>
          <w:rStyle w:val="Text2"/>
        </w:rPr>
        <w:t>-</w:t>
      </w:r>
      <w:hyperlink w:anchor="idm45965275132880">
        <w:r>
          <w:t>Expressions and Operators</w:t>
        </w:r>
      </w:hyperlink>
    </w:p>
    <w:p>
      <w:pPr>
        <w:pStyle w:val="Para 004"/>
      </w:pPr>
      <w:r>
        <w:rPr>
          <w:rStyle w:val="Text2"/>
        </w:rPr>
        <w:t>annotations</w:t>
        <w:t xml:space="preserve">, </w:t>
      </w:r>
      <w:hyperlink w:anchor="idm45965263358000">
        <w:r>
          <w:t>Function Annotations</w:t>
        </w:r>
      </w:hyperlink>
    </w:p>
    <w:p>
      <w:pPr>
        <w:pStyle w:val="Para 003"/>
      </w:pPr>
      <w:r>
        <w:t>any (built-in function)</w:t>
        <w:t xml:space="preserve">, </w:t>
      </w:r>
      <w:hyperlink w:anchor="idm45965216292096">
        <w:r>
          <w:rPr>
            <w:rStyle w:val="Text1"/>
          </w:rPr>
          <w:t>Built-in Functions</w:t>
        </w:r>
      </w:hyperlink>
    </w:p>
    <w:p>
      <w:pPr>
        <w:pStyle w:val="Para 003"/>
      </w:pPr>
      <w:r>
        <w:t>Any (typing module)</w:t>
        <w:t xml:space="preserve">, </w:t>
      </w:r>
      <w:hyperlink w:anchor="idm45965268558496">
        <w:r>
          <w:rPr>
            <w:rStyle w:val="Text1"/>
          </w:rPr>
          <w:t>Types</w:t>
        </w:r>
      </w:hyperlink>
    </w:p>
    <w:p>
      <w:pPr>
        <w:pStyle w:val="Para 003"/>
      </w:pPr>
      <w:r>
        <w:t>append method</w:t>
      </w:r>
    </w:p>
    <w:p>
      <w:pPr>
        <w:pStyle w:val="Para 003"/>
      </w:pPr>
      <w:r>
        <w:t>collections.deque</w:t>
        <w:t xml:space="preserve">, </w:t>
      </w:r>
      <w:hyperlink w:anchor="idm45965277738912">
        <w:r>
          <w:rPr>
            <w:rStyle w:val="Text1"/>
          </w:rPr>
          <w:t>deque</w:t>
        </w:r>
      </w:hyperlink>
    </w:p>
    <w:p>
      <w:pPr>
        <w:pStyle w:val="Para 004"/>
      </w:pPr>
      <w:r>
        <w:rPr>
          <w:rStyle w:val="Text2"/>
        </w:rPr>
        <w:t>list</w:t>
        <w:t xml:space="preserve">, </w:t>
      </w:r>
      <w:hyperlink w:anchor="idm45965280065184">
        <w:r>
          <w:t>List methods</w:t>
        </w:r>
      </w:hyperlink>
    </w:p>
    <w:p>
      <w:pPr>
        <w:pStyle w:val="Para 003"/>
      </w:pPr>
      <w:r>
        <w:t>appendleft (collections.deque)</w:t>
        <w:t xml:space="preserve">, </w:t>
      </w:r>
      <w:hyperlink w:anchor="idm45965277732080">
        <w:r>
          <w:rPr>
            <w:rStyle w:val="Text1"/>
          </w:rPr>
          <w:t>deque</w:t>
        </w:r>
      </w:hyperlink>
    </w:p>
    <w:p>
      <w:pPr>
        <w:pStyle w:val="Para 004"/>
      </w:pPr>
      <w:r>
        <w:rPr>
          <w:rStyle w:val="Text2"/>
        </w:rPr>
        <w:t>archived files</w:t>
        <w:t xml:space="preserve">, </w:t>
      </w:r>
      <w:hyperlink w:anchor="archfile11">
        <w:r>
          <w:t>Archived and Compressed Files</w:t>
        </w:r>
      </w:hyperlink>
      <w:r>
        <w:rPr>
          <w:rStyle w:val="Text2"/>
        </w:rPr>
        <w:t>-</w:t>
      </w:r>
      <w:hyperlink w:anchor="idm45965204534480">
        <w:r>
          <w:t>The ZipInfo class</w:t>
        </w:r>
      </w:hyperlink>
    </w:p>
    <w:p>
      <w:pPr>
        <w:pStyle w:val="Para 004"/>
      </w:pPr>
      <w:r>
        <w:rPr>
          <w:rStyle w:val="Text2"/>
        </w:rPr>
        <w:t>argparse module</w:t>
        <w:t xml:space="preserve">, </w:t>
      </w:r>
      <w:hyperlink w:anchor="idm45965214113824">
        <w:r>
          <w:t>The argparse Module</w:t>
        </w:r>
      </w:hyperlink>
    </w:p>
    <w:p>
      <w:pPr>
        <w:pStyle w:val="Para 003"/>
      </w:pPr>
      <w:r>
        <w:t>argument collector parameters</w:t>
        <w:t xml:space="preserve">, </w:t>
      </w:r>
      <w:hyperlink w:anchor="idm45965262279280">
        <w:r>
          <w:rPr>
            <w:rStyle w:val="Text1"/>
          </w:rPr>
          <w:t>Argument collector parameters</w:t>
        </w:r>
      </w:hyperlink>
    </w:p>
    <w:p>
      <w:pPr>
        <w:pStyle w:val="Para 004"/>
      </w:pPr>
      <w:r>
        <w:rPr>
          <w:rStyle w:val="Text2"/>
        </w:rPr>
        <w:t>arguments</w:t>
        <w:t xml:space="preserve">, </w:t>
      </w:r>
      <w:hyperlink w:anchor="idm45965262708576">
        <w:r>
          <w:t>Defining Functions: The def Statement</w:t>
        </w:r>
      </w:hyperlink>
      <w:r>
        <w:rPr>
          <w:rStyle w:val="Text2"/>
        </w:rPr>
        <w:t xml:space="preserve">, </w:t>
      </w:r>
      <w:hyperlink w:anchor="arg03">
        <w:r>
          <w:t>Positional and named arguments</w:t>
        </w:r>
      </w:hyperlink>
      <w:r>
        <w:rPr>
          <w:rStyle w:val="Text2"/>
        </w:rPr>
        <w:t>-</w:t>
      </w:r>
      <w:hyperlink w:anchor="idm45965270172640">
        <w:r>
          <w:t>The semantics of argument passing</w:t>
        </w:r>
      </w:hyperlink>
    </w:p>
    <w:p>
      <w:pPr>
        <w:pStyle w:val="Para 003"/>
      </w:pPr>
      <w:r>
        <w:t>argv (sys module)</w:t>
        <w:t xml:space="preserve">, </w:t>
      </w:r>
      <w:hyperlink w:anchor="idm45965215140064">
        <w:r>
          <w:rPr>
            <w:rStyle w:val="Text1"/>
          </w:rPr>
          <w:t>The sys Module</w:t>
        </w:r>
      </w:hyperlink>
    </w:p>
    <w:p>
      <w:pPr>
        <w:pStyle w:val="Para 003"/>
      </w:pPr>
      <w:r>
        <w:t>arithmetic context</w:t>
        <w:t xml:space="preserve">, </w:t>
      </w:r>
      <w:hyperlink w:anchor="idm45965185984304">
        <w:r>
          <w:rPr>
            <w:rStyle w:val="Text1"/>
          </w:rPr>
          <w:t>The decimal Module</w:t>
        </w:r>
      </w:hyperlink>
    </w:p>
    <w:p>
      <w:pPr>
        <w:pStyle w:val="Para 003"/>
      </w:pPr>
      <w:r>
        <w:t>arithmetic operations</w:t>
        <w:t xml:space="preserve">, </w:t>
      </w:r>
      <w:hyperlink w:anchor="idm45965276269488">
        <w:r>
          <w:rPr>
            <w:rStyle w:val="Text1"/>
          </w:rPr>
          <w:t>Arithmetic Operations</w:t>
        </w:r>
      </w:hyperlink>
    </w:p>
    <w:p>
      <w:pPr>
        <w:pStyle w:val="Para 003"/>
      </w:pPr>
      <w:r>
        <w:t>Array class (multiprocessing module)</w:t>
        <w:t xml:space="preserve">, </w:t>
      </w:r>
      <w:hyperlink w:anchor="idm45965191473072">
        <w:r>
          <w:rPr>
            <w:rStyle w:val="Text1"/>
          </w:rPr>
          <w:t>The Array class</w:t>
        </w:r>
      </w:hyperlink>
    </w:p>
    <w:p>
      <w:pPr>
        <w:pStyle w:val="Para 003"/>
      </w:pPr>
      <w:r>
        <w:t>array module</w:t>
      </w:r>
    </w:p>
    <w:p>
      <w:pPr>
        <w:pStyle w:val="Para 004"/>
      </w:pPr>
      <w:r>
        <w:rPr>
          <w:rStyle w:val="Text2"/>
        </w:rPr>
        <w:t>array type</w:t>
        <w:t xml:space="preserve">, </w:t>
      </w:r>
      <w:hyperlink w:anchor="idm45965185540464">
        <w:r>
          <w:t>The array Module</w:t>
        </w:r>
      </w:hyperlink>
    </w:p>
    <w:p>
      <w:pPr>
        <w:pStyle w:val="Para 003"/>
      </w:pPr>
      <w:r>
        <w:t>methods and properties of array objects</w:t>
        <w:t xml:space="preserve">, </w:t>
      </w:r>
      <w:hyperlink w:anchor="idm45965185440112">
        <w:r>
          <w:rPr>
            <w:rStyle w:val="Text1"/>
          </w:rPr>
          <w:t>The array Module</w:t>
        </w:r>
      </w:hyperlink>
    </w:p>
    <w:p>
      <w:pPr>
        <w:pStyle w:val="Para 003"/>
      </w:pPr>
      <w:r>
        <w:t>type codes for</w:t>
        <w:t xml:space="preserve">, </w:t>
      </w:r>
      <w:hyperlink w:anchor="idm45965185513632">
        <w:r>
          <w:rPr>
            <w:rStyle w:val="Text1"/>
          </w:rPr>
          <w:t>The array Module</w:t>
        </w:r>
      </w:hyperlink>
    </w:p>
    <w:p>
      <w:pPr>
        <w:pStyle w:val="Para 004"/>
      </w:pPr>
      <w:r>
        <w:rPr>
          <w:rStyle w:val="Text2"/>
        </w:rPr>
        <w:t>array processing</w:t>
        <w:t xml:space="preserve">, </w:t>
      </w:r>
      <w:hyperlink w:anchor="arpro16">
        <w:r>
          <w:t>Array Processing</w:t>
        </w:r>
      </w:hyperlink>
      <w:r>
        <w:rPr>
          <w:rStyle w:val="Text2"/>
        </w:rPr>
        <w:t>-</w:t>
      </w:r>
      <w:hyperlink w:anchor="idm45965183833216">
        <w:r>
          <w:t>Additional numeric packages</w:t>
        </w:r>
      </w:hyperlink>
    </w:p>
    <w:p>
      <w:pPr>
        <w:pStyle w:val="Para 004"/>
      </w:pPr>
      <w:r>
        <w:rPr>
          <w:rStyle w:val="Text2"/>
        </w:rPr>
        <w:t>as (file opening)</w:t>
        <w:t xml:space="preserve">, </w:t>
      </w:r>
      <w:hyperlink w:anchor="idm45965206291392">
        <w:r>
          <w:t>Creating a File Object with open</w:t>
        </w:r>
      </w:hyperlink>
    </w:p>
    <w:p>
      <w:pPr>
        <w:pStyle w:val="Para 003"/>
      </w:pPr>
      <w:r>
        <w:t>as (import statement)</w:t>
        <w:t xml:space="preserve">, </w:t>
      </w:r>
      <w:hyperlink w:anchor="idm45965254599600">
        <w:r>
          <w:rPr>
            <w:rStyle w:val="Text1"/>
          </w:rPr>
          <w:t>The from Statement</w:t>
        </w:r>
      </w:hyperlink>
    </w:p>
    <w:p>
      <w:pPr>
        <w:pStyle w:val="Para 003"/>
      </w:pPr>
      <w:r>
        <w:t>as (match statement)</w:t>
        <w:t xml:space="preserve">, </w:t>
      </w:r>
      <w:hyperlink w:anchor="idm45965275279552">
        <w:r>
          <w:rPr>
            <w:rStyle w:val="Text1"/>
          </w:rPr>
          <w:t>as patterns</w:t>
        </w:r>
      </w:hyperlink>
    </w:p>
    <w:p>
      <w:pPr>
        <w:pStyle w:val="Para 004"/>
      </w:pPr>
      <w:r>
        <w:rPr>
          <w:rStyle w:val="Text2"/>
        </w:rPr>
        <w:t>as (with statement)</w:t>
        <w:t xml:space="preserve">, </w:t>
      </w:r>
      <w:hyperlink w:anchor="idm45965259810592">
        <w:r>
          <w:t>The with Statement and Context Managers</w:t>
        </w:r>
      </w:hyperlink>
      <w:r>
        <w:rPr>
          <w:rStyle w:val="Text2"/>
        </w:rPr>
        <w:t xml:space="preserve">, </w:t>
      </w:r>
      <w:hyperlink w:anchor="idm45965206292432">
        <w:r>
          <w:t>Creating a File Object with open</w:t>
        </w:r>
      </w:hyperlink>
    </w:p>
    <w:p>
      <w:pPr>
        <w:pStyle w:val="Para 003"/>
      </w:pPr>
      <w:r>
        <w:t>as patterns</w:t>
        <w:t xml:space="preserve">, </w:t>
      </w:r>
      <w:hyperlink w:anchor="idm45965275245376">
        <w:r>
          <w:rPr>
            <w:rStyle w:val="Text1"/>
          </w:rPr>
          <w:t>as patterns</w:t>
        </w:r>
      </w:hyperlink>
    </w:p>
    <w:p>
      <w:pPr>
        <w:pStyle w:val="Para 003"/>
      </w:pPr>
      <w:r>
        <w:t>ascii (built-in function)</w:t>
        <w:t xml:space="preserve">, </w:t>
      </w:r>
      <w:hyperlink w:anchor="idm45965216220784">
        <w:r>
          <w:rPr>
            <w:rStyle w:val="Text1"/>
          </w:rPr>
          <w:t>Built-in Functions</w:t>
        </w:r>
      </w:hyperlink>
    </w:p>
    <w:p>
      <w:pPr>
        <w:pStyle w:val="Para 004"/>
      </w:pPr>
      <w:r>
        <w:rPr>
          <w:rStyle w:val="Text2"/>
        </w:rPr>
        <w:t>ASCII characters</w:t>
        <w:t xml:space="preserve">, </w:t>
      </w:r>
      <w:hyperlink w:anchor="idm45965274379632">
        <w:r>
          <w:t>Character Sets</w:t>
        </w:r>
      </w:hyperlink>
      <w:r>
        <w:rPr>
          <w:rStyle w:val="Text2"/>
        </w:rPr>
        <w:t xml:space="preserve">, </w:t>
      </w:r>
      <w:hyperlink w:anchor="ascii21">
        <w:r>
          <w:t>Encoding Binary Data as ASCII Text</w:t>
        </w:r>
      </w:hyperlink>
      <w:r>
        <w:rPr>
          <w:rStyle w:val="Text2"/>
        </w:rPr>
        <w:t>-</w:t>
      </w:r>
      <w:hyperlink w:anchor="idm45965171998032">
        <w:r>
          <w:t>The uu Module</w:t>
        </w:r>
      </w:hyperlink>
    </w:p>
    <w:p>
      <w:pPr>
        <w:pStyle w:val="Para 003"/>
      </w:pPr>
      <w:r>
        <w:t>asctime (time module)</w:t>
        <w:t xml:space="preserve">, </w:t>
      </w:r>
      <w:hyperlink w:anchor="idm45965196834896">
        <w:r>
          <w:rPr>
            <w:rStyle w:val="Text1"/>
          </w:rPr>
          <w:t>The time Module</w:t>
        </w:r>
      </w:hyperlink>
    </w:p>
    <w:p>
      <w:pPr>
        <w:pStyle w:val="Para 003"/>
      </w:pPr>
      <w:r>
        <w:t>ASGI (Asynchronous Server Gateway Interface)</w:t>
        <w:t xml:space="preserve">, </w:t>
      </w:r>
      <w:hyperlink w:anchor="idm45965174902112">
        <w:r>
          <w:rPr>
            <w:rStyle w:val="Text1"/>
          </w:rPr>
          <w:t>ASGI</w:t>
        </w:r>
      </w:hyperlink>
    </w:p>
    <w:p>
      <w:pPr>
        <w:pStyle w:val="Para 004"/>
      </w:pPr>
      <w:r>
        <w:rPr>
          <w:rStyle w:val="Text2"/>
        </w:rPr>
        <w:t>assert statement</w:t>
        <w:t xml:space="preserve">, </w:t>
      </w:r>
      <w:hyperlink w:anchor="idm45965255159808">
        <w:r>
          <w:t>The assert Statement</w:t>
        </w:r>
      </w:hyperlink>
      <w:r>
        <w:rPr>
          <w:rStyle w:val="Text2"/>
        </w:rPr>
        <w:t xml:space="preserve">, </w:t>
      </w:r>
      <w:hyperlink w:anchor="idm45965182656240">
        <w:r>
          <w:t>Testing with pytest</w:t>
        </w:r>
      </w:hyperlink>
    </w:p>
    <w:p>
      <w:pPr>
        <w:pStyle w:val="Para 003"/>
      </w:pPr>
      <w:r>
        <w:t>assertEqual (unittest.TestCase class)</w:t>
        <w:t xml:space="preserve">, </w:t>
      </w:r>
      <w:hyperlink w:anchor="idm45965183126480">
        <w:r>
          <w:rPr>
            <w:rStyle w:val="Text1"/>
          </w:rPr>
          <w:t>The TestCase class</w:t>
        </w:r>
      </w:hyperlink>
    </w:p>
    <w:p>
      <w:pPr>
        <w:pStyle w:val="Para 003"/>
      </w:pPr>
      <w:r>
        <w:t>assertRaises (unittest.TestCase class)</w:t>
        <w:t xml:space="preserve">, </w:t>
      </w:r>
      <w:hyperlink w:anchor="idm45965183091312">
        <w:r>
          <w:rPr>
            <w:rStyle w:val="Text1"/>
          </w:rPr>
          <w:t>The TestCase class</w:t>
        </w:r>
      </w:hyperlink>
    </w:p>
    <w:p>
      <w:pPr>
        <w:pStyle w:val="Para 003"/>
      </w:pPr>
      <w:r>
        <w:t>assignment expressions</w:t>
        <w:t xml:space="preserve">, </w:t>
      </w:r>
      <w:hyperlink w:anchor="idm45965274990992">
        <w:r>
          <w:rPr>
            <w:rStyle w:val="Text1"/>
          </w:rPr>
          <w:t>Assignment Expressions</w:t>
        </w:r>
      </w:hyperlink>
    </w:p>
    <w:p>
      <w:pPr>
        <w:pStyle w:val="Para 003"/>
      </w:pPr>
      <w:r>
        <w:t>assignment operator (:=)</w:t>
      </w:r>
    </w:p>
    <w:p>
      <w:pPr>
        <w:pStyle w:val="Para 003"/>
      </w:pPr>
      <w:r>
        <w:t>assignment expressions</w:t>
        <w:t xml:space="preserve">, </w:t>
      </w:r>
      <w:hyperlink w:anchor="idm45965274988368">
        <w:r>
          <w:rPr>
            <w:rStyle w:val="Text1"/>
          </w:rPr>
          <w:t>Assignment Expressions</w:t>
        </w:r>
      </w:hyperlink>
    </w:p>
    <w:p>
      <w:pPr>
        <w:pStyle w:val="Para 003"/>
      </w:pPr>
      <w:r>
        <w:t>regular expressions and</w:t>
        <w:t xml:space="preserve">, </w:t>
      </w:r>
      <w:hyperlink w:anchor="idm45965206877072">
        <w:r>
          <w:rPr>
            <w:rStyle w:val="Text1"/>
          </w:rPr>
          <w:t>REs and the := Operator</w:t>
        </w:r>
      </w:hyperlink>
    </w:p>
    <w:p>
      <w:pPr>
        <w:pStyle w:val="Para 003"/>
      </w:pPr>
      <w:r>
        <w:t>simple statements</w:t>
        <w:t xml:space="preserve">, </w:t>
      </w:r>
      <w:hyperlink w:anchor="idm45965281973024">
        <w:r>
          <w:rPr>
            <w:rStyle w:val="Text1"/>
          </w:rPr>
          <w:t>Simple statements</w:t>
        </w:r>
      </w:hyperlink>
    </w:p>
    <w:p>
      <w:pPr>
        <w:pStyle w:val="Para 004"/>
      </w:pPr>
      <w:r>
        <w:rPr>
          <w:rStyle w:val="Text2"/>
        </w:rPr>
        <w:t>assignment statements</w:t>
        <w:t xml:space="preserve">, </w:t>
      </w:r>
      <w:hyperlink w:anchor="idm45965281978832">
        <w:r>
          <w:t>Simple statements</w:t>
        </w:r>
      </w:hyperlink>
      <w:r>
        <w:rPr>
          <w:rStyle w:val="Text2"/>
        </w:rPr>
        <w:t xml:space="preserve">, </w:t>
      </w:r>
      <w:hyperlink w:anchor="assstate03">
        <w:r>
          <w:t>Assignment Statements</w:t>
        </w:r>
      </w:hyperlink>
      <w:r>
        <w:rPr>
          <w:rStyle w:val="Text2"/>
        </w:rPr>
        <w:t>-</w:t>
      </w:r>
      <w:hyperlink w:anchor="idm45965283251120">
        <w:r>
          <w:t>Augmented assignment</w:t>
        </w:r>
      </w:hyperlink>
      <w:r>
        <w:rPr>
          <w:rStyle w:val="Text2"/>
        </w:rPr>
        <w:t xml:space="preserve">, </w:t>
      </w:r>
      <w:hyperlink w:anchor="idm45965214664544">
        <w:r>
          <w:t>The copy Module</w:t>
        </w:r>
      </w:hyperlink>
    </w:p>
    <w:p>
      <w:pPr>
        <w:pStyle w:val="Para 004"/>
      </w:pPr>
      <w:r>
        <w:rPr>
          <w:rStyle w:val="Text2"/>
        </w:rPr>
        <w:t>AST (abstract syntax tree)</w:t>
        <w:t xml:space="preserve">, </w:t>
      </w:r>
      <w:hyperlink w:anchor="idm45965162504496">
        <w:r>
          <w:t>Upgrade Automation Using pyupgrade</w:t>
        </w:r>
      </w:hyperlink>
    </w:p>
    <w:p>
      <w:pPr>
        <w:pStyle w:val="Para 004"/>
      </w:pPr>
      <w:r>
        <w:rPr>
          <w:rStyle w:val="Text2"/>
        </w:rPr>
        <w:t>ast module</w:t>
        <w:t xml:space="preserve">, </w:t>
      </w:r>
      <w:hyperlink w:anchor="idm45965201824176">
        <w:r>
          <w:t>Standard Input</w:t>
        </w:r>
      </w:hyperlink>
    </w:p>
    <w:p>
      <w:pPr>
        <w:pStyle w:val="Para 003"/>
      </w:pPr>
      <w:r>
        <w:t>ast.literal_eval function</w:t>
        <w:t xml:space="preserve">, </w:t>
      </w:r>
      <w:hyperlink w:anchor="idm45965201873168">
        <w:r>
          <w:rPr>
            <w:rStyle w:val="Text1"/>
          </w:rPr>
          <w:t>Standard Input</w:t>
        </w:r>
      </w:hyperlink>
    </w:p>
    <w:p>
      <w:pPr>
        <w:pStyle w:val="Para 003"/>
      </w:pPr>
      <w:r>
        <w:t>asterisk (*)</w:t>
      </w:r>
    </w:p>
    <w:p>
      <w:pPr>
        <w:pStyle w:val="Para 003"/>
      </w:pPr>
      <w:r>
        <w:t>argument collector parameters</w:t>
        <w:t xml:space="preserve">, </w:t>
      </w:r>
      <w:hyperlink w:anchor="idm45965262233376">
        <w:r>
          <w:rPr>
            <w:rStyle w:val="Text1"/>
          </w:rPr>
          <w:t>Argument collector parameters</w:t>
        </w:r>
      </w:hyperlink>
    </w:p>
    <w:p>
      <w:pPr>
        <w:pStyle w:val="Para 003"/>
      </w:pPr>
      <w:r>
        <w:t>concatenation and repetition</w:t>
        <w:t xml:space="preserve">, </w:t>
      </w:r>
      <w:hyperlink w:anchor="idm45965276120528">
        <w:r>
          <w:rPr>
            <w:rStyle w:val="Text1"/>
          </w:rPr>
          <w:t>Concatenation and repetition</w:t>
        </w:r>
      </w:hyperlink>
    </w:p>
    <w:p>
      <w:pPr>
        <w:pStyle w:val="Para 003"/>
      </w:pPr>
      <w:r>
        <w:t>extended unpacking</w:t>
        <w:t xml:space="preserve">, </w:t>
      </w:r>
      <w:hyperlink w:anchor="idm45965258477040">
        <w:r>
          <w:rPr>
            <w:rStyle w:val="Text1"/>
          </w:rPr>
          <w:t>Plain assignment</w:t>
        </w:r>
      </w:hyperlink>
    </w:p>
    <w:p>
      <w:pPr>
        <w:pStyle w:val="Para 003"/>
      </w:pPr>
      <w:r>
        <w:t>in fnmatch module</w:t>
        <w:t xml:space="preserve">, </w:t>
      </w:r>
      <w:hyperlink w:anchor="idm45965202355856">
        <w:r>
          <w:rPr>
            <w:rStyle w:val="Text1"/>
          </w:rPr>
          <w:t>The fnmatch Module</w:t>
        </w:r>
      </w:hyperlink>
    </w:p>
    <w:p>
      <w:pPr>
        <w:pStyle w:val="Para 003"/>
      </w:pPr>
      <w:r>
        <w:t>import statement</w:t>
        <w:t xml:space="preserve">, </w:t>
      </w:r>
      <w:hyperlink w:anchor="idm45965254452112">
        <w:r>
          <w:rPr>
            <w:rStyle w:val="Text1"/>
          </w:rPr>
          <w:t>from...import *</w:t>
        </w:r>
      </w:hyperlink>
    </w:p>
    <w:p>
      <w:pPr>
        <w:pStyle w:val="Para 003"/>
      </w:pPr>
      <w:r>
        <w:t>astimezone (datetime.datetime class)</w:t>
        <w:t xml:space="preserve">, </w:t>
      </w:r>
      <w:hyperlink w:anchor="idm45965196077936">
        <w:r>
          <w:rPr>
            <w:rStyle w:val="Text1"/>
          </w:rPr>
          <w:t>The datetime Class</w:t>
        </w:r>
      </w:hyperlink>
    </w:p>
    <w:p>
      <w:pPr>
        <w:pStyle w:val="Para 004"/>
      </w:pPr>
      <w:r>
        <w:rPr>
          <w:rStyle w:val="Text2"/>
        </w:rPr>
        <w:t>async keyword</w:t>
        <w:t xml:space="preserve">, </w:t>
      </w:r>
      <w:hyperlink w:anchor="idm45965193640656">
        <w:r>
          <w:t>Concurrency: Threads and Processes</w:t>
        </w:r>
      </w:hyperlink>
    </w:p>
    <w:p>
      <w:pPr>
        <w:pStyle w:val="Para 004"/>
      </w:pPr>
      <w:r>
        <w:rPr>
          <w:rStyle w:val="Text2"/>
        </w:rPr>
        <w:t xml:space="preserve"> asynchronous (async) programming</w:t>
        <w:t xml:space="preserve">, </w:t>
      </w:r>
      <w:hyperlink w:anchor="idm45965193643840">
        <w:r>
          <w:t>Concurrency: Threads and Processes</w:t>
        </w:r>
      </w:hyperlink>
      <w:r>
        <w:rPr>
          <w:rStyle w:val="Text2"/>
        </w:rPr>
        <w:t xml:space="preserve">, </w:t>
      </w:r>
      <w:hyperlink w:anchor="idm45965174903312">
        <w:r>
          <w:t>ASGI</w:t>
        </w:r>
      </w:hyperlink>
    </w:p>
    <w:p>
      <w:pPr>
        <w:pStyle w:val="Para 003"/>
      </w:pPr>
      <w:r>
        <w:t>Asynchronous Server Gateway Interface (ASGI)</w:t>
        <w:t xml:space="preserve">, </w:t>
      </w:r>
      <w:hyperlink w:anchor="idm45965174900912">
        <w:r>
          <w:rPr>
            <w:rStyle w:val="Text1"/>
          </w:rPr>
          <w:t>ASGI</w:t>
        </w:r>
      </w:hyperlink>
    </w:p>
    <w:p>
      <w:pPr>
        <w:pStyle w:val="Para 004"/>
      </w:pPr>
      <w:r>
        <w:rPr>
          <w:rStyle w:val="Text2"/>
        </w:rPr>
        <w:t>AsyncResult class</w:t>
        <w:t xml:space="preserve">, </w:t>
      </w:r>
      <w:hyperlink w:anchor="idm45965190784272">
        <w:r>
          <w:t>The AsyncResult class</w:t>
        </w:r>
      </w:hyperlink>
    </w:p>
    <w:p>
      <w:pPr>
        <w:pStyle w:val="Para 003"/>
      </w:pPr>
      <w:r>
        <w:t>as_integer_ratio (float method)</w:t>
        <w:t xml:space="preserve">, </w:t>
      </w:r>
      <w:hyperlink w:anchor="idm45965282679856">
        <w:r>
          <w:rPr>
            <w:rStyle w:val="Text1"/>
          </w:rPr>
          <w:t>Floating-point numbers</w:t>
        </w:r>
      </w:hyperlink>
    </w:p>
    <w:p>
      <w:pPr>
        <w:pStyle w:val="Para 003"/>
      </w:pPr>
      <w:r>
        <w:t>as_integer_ratio (int method)</w:t>
        <w:t xml:space="preserve">, </w:t>
      </w:r>
      <w:hyperlink w:anchor="idm45965282774400">
        <w:r>
          <w:rPr>
            <w:rStyle w:val="Text1"/>
          </w:rPr>
          <w:t>Integer numbers</w:t>
        </w:r>
      </w:hyperlink>
    </w:p>
    <w:p>
      <w:pPr>
        <w:pStyle w:val="Para 003"/>
      </w:pPr>
      <w:r>
        <w:t>at sign (@)</w:t>
      </w:r>
    </w:p>
    <w:p>
      <w:pPr>
        <w:pStyle w:val="Para 004"/>
      </w:pPr>
      <w:r>
        <w:rPr>
          <w:rStyle w:val="Text2"/>
        </w:rPr>
        <w:t>decorators</w:t>
        <w:t xml:space="preserve">, </w:t>
      </w:r>
      <w:hyperlink w:anchor="ASdec04">
        <w:r>
          <w:t>Decorators</w:t>
        </w:r>
      </w:hyperlink>
      <w:r>
        <w:rPr>
          <w:rStyle w:val="Text2"/>
        </w:rPr>
        <w:t>-</w:t>
      </w:r>
      <w:hyperlink w:anchor="idm45965280981584">
        <w:r>
          <w:t>Decorators</w:t>
        </w:r>
      </w:hyperlink>
    </w:p>
    <w:p>
      <w:pPr>
        <w:pStyle w:val="Para 003"/>
      </w:pPr>
      <w:r>
        <w:t>delimiters</w:t>
        <w:t xml:space="preserve">, </w:t>
      </w:r>
      <w:hyperlink w:anchor="idm45965276524208">
        <w:r>
          <w:rPr>
            <w:rStyle w:val="Text1"/>
          </w:rPr>
          <w:t>Delimiters</w:t>
        </w:r>
      </w:hyperlink>
    </w:p>
    <w:p>
      <w:pPr>
        <w:pStyle w:val="Para 003"/>
      </w:pPr>
      <w:r>
        <w:t>matrix multiplication</w:t>
        <w:t xml:space="preserve">, </w:t>
      </w:r>
      <w:hyperlink w:anchor="idm45965186836000">
        <w:r>
          <w:rPr>
            <w:rStyle w:val="Text1"/>
          </w:rPr>
          <w:t>The operator Module</w:t>
        </w:r>
      </w:hyperlink>
    </w:p>
    <w:p>
      <w:pPr>
        <w:pStyle w:val="Para 003"/>
      </w:pPr>
      <w:r>
        <w:t>matrix multiplication assignment operator</w:t>
        <w:t xml:space="preserve">, </w:t>
      </w:r>
      <w:hyperlink w:anchor="idm45965283295728">
        <w:r>
          <w:rPr>
            <w:rStyle w:val="Text1"/>
          </w:rPr>
          <w:t>Augmented assignment</w:t>
        </w:r>
      </w:hyperlink>
    </w:p>
    <w:p>
      <w:pPr>
        <w:pStyle w:val="Para 003"/>
      </w:pPr>
      <w:r>
        <w:t>struct format strings</w:t>
        <w:t xml:space="preserve">, </w:t>
      </w:r>
      <w:hyperlink w:anchor="idm45965205441408">
        <w:r>
          <w:rPr>
            <w:rStyle w:val="Text1"/>
          </w:rPr>
          <w:t>The struct Module</w:t>
        </w:r>
      </w:hyperlink>
    </w:p>
    <w:p>
      <w:pPr>
        <w:pStyle w:val="Para 004"/>
      </w:pPr>
      <w:r>
        <w:rPr>
          <w:rStyle w:val="Text2"/>
        </w:rPr>
        <w:t>atexit module</w:t>
        <w:t xml:space="preserve">, </w:t>
      </w:r>
      <w:hyperlink w:anchor="idm45965194896800">
        <w:r>
          <w:t>Termination Functions</w:t>
        </w:r>
      </w:hyperlink>
    </w:p>
    <w:p>
      <w:pPr>
        <w:pStyle w:val="Para 004"/>
      </w:pPr>
      <w:r>
        <w:rPr>
          <w:rStyle w:val="Text2"/>
        </w:rPr>
        <w:t>atomic actions</w:t>
        <w:t xml:space="preserve">, </w:t>
      </w:r>
      <w:hyperlink w:anchor="idm45965193586800">
        <w:r>
          <w:t>Threads in Python</w:t>
        </w:r>
      </w:hyperlink>
    </w:p>
    <w:p>
      <w:pPr>
        <w:pStyle w:val="Para 003"/>
      </w:pPr>
      <w:r>
        <w:t>attrgetter (operator module)</w:t>
        <w:t xml:space="preserve">, </w:t>
      </w:r>
      <w:hyperlink w:anchor="idm45965186553824">
        <w:r>
          <w:rPr>
            <w:rStyle w:val="Text1"/>
          </w:rPr>
          <w:t>The operator Module</w:t>
        </w:r>
      </w:hyperlink>
    </w:p>
    <w:p>
      <w:pPr>
        <w:pStyle w:val="Para 003"/>
      </w:pPr>
      <w:r>
        <w:t>attributes</w:t>
      </w:r>
    </w:p>
    <w:p>
      <w:pPr>
        <w:pStyle w:val="Para 004"/>
      </w:pPr>
      <w:r>
        <w:rPr>
          <w:rStyle w:val="Text2"/>
        </w:rPr>
        <w:t>attribute reference basics</w:t>
        <w:t xml:space="preserve">, </w:t>
      </w:r>
      <w:hyperlink w:anchor="ATrefbas04">
        <w:r>
          <w:t>Attribute Reference Basics</w:t>
        </w:r>
      </w:hyperlink>
      <w:r>
        <w:rPr>
          <w:rStyle w:val="Text2"/>
        </w:rPr>
        <w:t>-</w:t>
      </w:r>
      <w:hyperlink w:anchor="idm45965266432928">
        <w:r>
          <w:t>Setting an attribute</w:t>
        </w:r>
      </w:hyperlink>
    </w:p>
    <w:p>
      <w:pPr>
        <w:pStyle w:val="Para 003"/>
      </w:pPr>
      <w:r>
        <w:t>attribute reference special methods</w:t>
        <w:t xml:space="preserve">, </w:t>
      </w:r>
      <w:hyperlink w:anchor="idm45965265005168">
        <w:r>
          <w:rPr>
            <w:rStyle w:val="Text1"/>
          </w:rPr>
          <w:t>General-Purpose Special Methods</w:t>
        </w:r>
      </w:hyperlink>
    </w:p>
    <w:p>
      <w:pPr>
        <w:pStyle w:val="Para 003"/>
      </w:pPr>
      <w:r>
        <w:t>attribute references</w:t>
        <w:t xml:space="preserve">, </w:t>
      </w:r>
      <w:hyperlink w:anchor="idm45965258616976">
        <w:r>
          <w:rPr>
            <w:rStyle w:val="Text1"/>
          </w:rPr>
          <w:t>Plain assignment</w:t>
        </w:r>
      </w:hyperlink>
    </w:p>
    <w:p>
      <w:pPr>
        <w:pStyle w:val="Para 004"/>
      </w:pPr>
      <w:r>
        <w:rPr>
          <w:rStyle w:val="Text2"/>
        </w:rPr>
        <w:t>denoting</w:t>
        <w:t xml:space="preserve">, </w:t>
      </w:r>
      <w:hyperlink w:anchor="idm45965258690672">
        <w:r>
          <w:t>Object attributes and items</w:t>
        </w:r>
      </w:hyperlink>
    </w:p>
    <w:p>
      <w:pPr>
        <w:pStyle w:val="Para 004"/>
      </w:pPr>
      <w:r>
        <w:rPr>
          <w:rStyle w:val="Text2"/>
        </w:rPr>
        <w:t>of instance objects</w:t>
        <w:t xml:space="preserve">, </w:t>
      </w:r>
      <w:hyperlink w:anchor="idm45965271273856">
        <w:r>
          <w:t>Attributes of instance objects</w:t>
        </w:r>
      </w:hyperlink>
    </w:p>
    <w:p>
      <w:pPr>
        <w:pStyle w:val="Para 003"/>
      </w:pPr>
      <w:r>
        <w:t>mutability</w:t>
        <w:t xml:space="preserve">, </w:t>
      </w:r>
      <w:hyperlink w:anchor="idm45965281940384">
        <w:r>
          <w:rPr>
            <w:rStyle w:val="Text1"/>
          </w:rPr>
          <w:t>Data Types</w:t>
        </w:r>
      </w:hyperlink>
    </w:p>
    <w:p>
      <w:pPr>
        <w:pStyle w:val="Para 004"/>
      </w:pPr>
      <w:r>
        <w:rPr>
          <w:rStyle w:val="Text2"/>
        </w:rPr>
        <w:t>of file objects</w:t>
        <w:t xml:space="preserve">, </w:t>
      </w:r>
      <w:hyperlink w:anchor="Afile11">
        <w:r>
          <w:t>Attributes and Methods of File Objects</w:t>
        </w:r>
      </w:hyperlink>
      <w:r>
        <w:rPr>
          <w:rStyle w:val="Text2"/>
        </w:rPr>
        <w:t>-</w:t>
      </w:r>
      <w:hyperlink w:anchor="idm45965206015072">
        <w:r>
          <w:t>Attributes and Methods of File Objects</w:t>
        </w:r>
      </w:hyperlink>
    </w:p>
    <w:p>
      <w:pPr>
        <w:pStyle w:val="Para 003"/>
      </w:pPr>
      <w:r>
        <w:t>special attributes of package objects</w:t>
        <w:t xml:space="preserve">, </w:t>
      </w:r>
      <w:hyperlink w:anchor="idm45965217219152">
        <w:r>
          <w:rPr>
            <w:rStyle w:val="Text1"/>
          </w:rPr>
          <w:t>Special Attributes of Package Objects</w:t>
        </w:r>
      </w:hyperlink>
    </w:p>
    <w:p>
      <w:pPr>
        <w:pStyle w:val="Para 004"/>
      </w:pPr>
      <w:r>
        <w:rPr>
          <w:rStyle w:val="Text2"/>
        </w:rPr>
        <w:t>specifying</w:t>
        <w:t xml:space="preserve">, </w:t>
      </w:r>
      <w:hyperlink w:anchor="idm45965271922736">
        <w:r>
          <w:t>Attributes of class objects</w:t>
        </w:r>
      </w:hyperlink>
    </w:p>
    <w:p>
      <w:pPr>
        <w:pStyle w:val="Para 003"/>
      </w:pPr>
      <w:r>
        <w:t>audit (sys module)</w:t>
        <w:t xml:space="preserve">, </w:t>
      </w:r>
      <w:hyperlink w:anchor="idm45965215130224">
        <w:r>
          <w:rPr>
            <w:rStyle w:val="Text1"/>
          </w:rPr>
          <w:t>The sys Module</w:t>
        </w:r>
      </w:hyperlink>
    </w:p>
    <w:p>
      <w:pPr>
        <w:pStyle w:val="Para 003"/>
      </w:pPr>
      <w:r>
        <w:t>augmented assignment</w:t>
        <w:t xml:space="preserve">, </w:t>
      </w:r>
      <w:hyperlink w:anchor="idm45965283343504">
        <w:r>
          <w:rPr>
            <w:rStyle w:val="Text1"/>
          </w:rPr>
          <w:t>Augmented assignment</w:t>
        </w:r>
      </w:hyperlink>
    </w:p>
    <w:p>
      <w:pPr>
        <w:pStyle w:val="Para 003"/>
      </w:pPr>
      <w:r>
        <w:t>augmented operators</w:t>
        <w:t xml:space="preserve">, </w:t>
      </w:r>
      <w:hyperlink w:anchor="idm45965283336608">
        <w:r>
          <w:rPr>
            <w:rStyle w:val="Text1"/>
          </w:rPr>
          <w:t>Augmented assignment</w:t>
        </w:r>
      </w:hyperlink>
    </w:p>
    <w:p>
      <w:pPr>
        <w:pStyle w:val="Para 004"/>
      </w:pPr>
      <w:r>
        <w:rPr>
          <w:rStyle w:val="Text2"/>
        </w:rPr>
        <w:t>automatic code conversion</w:t>
        <w:t xml:space="preserve">, </w:t>
      </w:r>
      <w:hyperlink w:anchor="idm45965162502128">
        <w:r>
          <w:t>Upgrade Automation Using pyupgrade</w:t>
        </w:r>
      </w:hyperlink>
    </w:p>
    <w:p>
      <w:pPr>
        <w:pStyle w:val="Para 003"/>
      </w:pPr>
      <w:r>
        <w:t>available_timezones (zoneinfo module)</w:t>
        <w:t xml:space="preserve">, </w:t>
      </w:r>
      <w:hyperlink w:anchor="idm45965195432672">
        <w:r>
          <w:rPr>
            <w:rStyle w:val="Text1"/>
          </w:rPr>
          <w:t>The zoneinfo Module</w:t>
        </w:r>
      </w:hyperlink>
    </w:p>
    <w:p>
      <w:pPr>
        <w:pStyle w:val="Para 004"/>
      </w:pPr>
      <w:r>
        <w:rPr>
          <w:rStyle w:val="Text2"/>
        </w:rPr>
        <w:t>await keyword</w:t>
        <w:t xml:space="preserve">, </w:t>
      </w:r>
      <w:hyperlink w:anchor="idm45965193641760">
        <w:r>
          <w:t>Concurrency: Threads and Processes</w:t>
        </w:r>
      </w:hyperlink>
      <w:r>
        <w:rPr>
          <w:rStyle w:val="Text2"/>
        </w:rPr>
        <w:t xml:space="preserve">, </w:t>
      </w:r>
      <w:hyperlink w:anchor="idm45965161568368">
        <w:r>
          <w:t>Python 3.9</w:t>
        </w:r>
      </w:hyperlink>
    </w:p>
    <w:p>
      <w:pPr>
        <w:pStyle w:val="Para 003"/>
      </w:pPr>
      <w:r>
        <w:t>aware</w:t>
        <w:t xml:space="preserve">, </w:t>
      </w:r>
      <w:hyperlink w:anchor="idm45965196609984">
        <w:r>
          <w:rPr>
            <w:rStyle w:val="Text1"/>
          </w:rPr>
          <w:t>The datetime Module</w:t>
        </w:r>
      </w:hyperlink>
      <w:r>
        <w:t xml:space="preserve"> (</w:t>
        <w:t>see</w:t>
        <w:t xml:space="preserve"> also datetime module)</w:t>
      </w:r>
    </w:p>
    <w:p>
      <w:pPr>
        <w:keepNext/>
        <w:pStyle w:val="Heading 3"/>
      </w:pPr>
      <w:r>
        <w:t>B</w:t>
      </w:r>
    </w:p>
    <w:p>
      <w:pPr>
        <w:pStyle w:val="Para 003"/>
      </w:pPr>
      <w:r>
        <w:t>b64decode (base64 module)</w:t>
        <w:t xml:space="preserve">, </w:t>
      </w:r>
      <w:hyperlink w:anchor="idm45965172165376">
        <w:r>
          <w:rPr>
            <w:rStyle w:val="Text1"/>
          </w:rPr>
          <w:t>The base64 Module</w:t>
        </w:r>
      </w:hyperlink>
    </w:p>
    <w:p>
      <w:pPr>
        <w:pStyle w:val="Para 003"/>
      </w:pPr>
      <w:r>
        <w:t>b64encode (base64 module)</w:t>
        <w:t xml:space="preserve">, </w:t>
      </w:r>
      <w:hyperlink w:anchor="idm45965172153920">
        <w:r>
          <w:rPr>
            <w:rStyle w:val="Text1"/>
          </w:rPr>
          <w:t>The base64 Module</w:t>
        </w:r>
      </w:hyperlink>
    </w:p>
    <w:p>
      <w:pPr>
        <w:pStyle w:val="Para 003"/>
      </w:pPr>
      <w:r>
        <w:t>backslash (\)</w:t>
      </w:r>
    </w:p>
    <w:p>
      <w:pPr>
        <w:pStyle w:val="Para 003"/>
      </w:pPr>
      <w:r>
        <w:t>lines and indentation</w:t>
        <w:t xml:space="preserve">, </w:t>
      </w:r>
      <w:hyperlink w:anchor="idm45965274413952">
        <w:r>
          <w:rPr>
            <w:rStyle w:val="Text1"/>
          </w:rPr>
          <w:t>Lines and Indentation</w:t>
        </w:r>
      </w:hyperlink>
    </w:p>
    <w:p>
      <w:pPr>
        <w:pStyle w:val="Para 003"/>
      </w:pPr>
      <w:r>
        <w:t>special meaning of in tokens</w:t>
        <w:t xml:space="preserve">, </w:t>
      </w:r>
      <w:hyperlink w:anchor="idm45965276503536">
        <w:r>
          <w:rPr>
            <w:rStyle w:val="Text1"/>
          </w:rPr>
          <w:t>Delimiters</w:t>
        </w:r>
      </w:hyperlink>
    </w:p>
    <w:p>
      <w:pPr>
        <w:pStyle w:val="Para 004"/>
      </w:pPr>
      <w:r>
        <w:rPr>
          <w:rStyle w:val="Text2"/>
        </w:rPr>
        <w:t>strings</w:t>
        <w:t xml:space="preserve">, </w:t>
      </w:r>
      <w:hyperlink w:anchor="backstringa03">
        <w:r>
          <w:t>Strings</w:t>
        </w:r>
      </w:hyperlink>
      <w:r>
        <w:rPr>
          <w:rStyle w:val="Text2"/>
        </w:rPr>
        <w:t>-</w:t>
      </w:r>
      <w:hyperlink w:anchor="idm45965278937456">
        <w:r>
          <w:t>Strings</w:t>
        </w:r>
      </w:hyperlink>
    </w:p>
    <w:p>
      <w:pPr>
        <w:pStyle w:val="Para 003"/>
      </w:pPr>
      <w:r>
        <w:t>backslash escaped (\\)</w:t>
        <w:t xml:space="preserve">, </w:t>
      </w:r>
      <w:hyperlink w:anchor="idm45965276665952">
        <w:r>
          <w:rPr>
            <w:rStyle w:val="Text1"/>
          </w:rPr>
          <w:t>Strings</w:t>
        </w:r>
      </w:hyperlink>
    </w:p>
    <w:p>
      <w:pPr>
        <w:pStyle w:val="Para 003"/>
      </w:pPr>
      <w:r>
        <w:t>backspace (\b)</w:t>
        <w:t xml:space="preserve">, </w:t>
      </w:r>
      <w:hyperlink w:anchor="idm45965279010752">
        <w:r>
          <w:rPr>
            <w:rStyle w:val="Text1"/>
          </w:rPr>
          <w:t>Strings</w:t>
        </w:r>
      </w:hyperlink>
    </w:p>
    <w:p>
      <w:pPr>
        <w:pStyle w:val="Para 004"/>
      </w:pPr>
      <w:r>
        <w:rPr>
          <w:rStyle w:val="Text2"/>
        </w:rPr>
        <w:t>backward compatibility</w:t>
        <w:t xml:space="preserve">, </w:t>
      </w:r>
      <w:hyperlink w:anchor="idm45965283887008">
        <w:r>
          <w:t>Python Development and Versions</w:t>
        </w:r>
      </w:hyperlink>
    </w:p>
    <w:p>
      <w:pPr>
        <w:pStyle w:val="Para 003"/>
      </w:pPr>
      <w:r>
        <w:t>bare excepts</w:t>
        <w:t xml:space="preserve">, </w:t>
      </w:r>
      <w:hyperlink w:anchor="idm45965260498608">
        <w:r>
          <w:rPr>
            <w:rStyle w:val="Text1"/>
          </w:rPr>
          <w:t>try/except</w:t>
        </w:r>
      </w:hyperlink>
    </w:p>
    <w:p>
      <w:pPr>
        <w:pStyle w:val="Para 003"/>
      </w:pPr>
      <w:r>
        <w:t>Barrier (threading module)</w:t>
        <w:t xml:space="preserve">, </w:t>
      </w:r>
      <w:hyperlink w:anchor="idm45965192432608">
        <w:r>
          <w:rPr>
            <w:rStyle w:val="Text1"/>
          </w:rPr>
          <w:t>Barrier objects</w:t>
        </w:r>
      </w:hyperlink>
    </w:p>
    <w:p>
      <w:pPr>
        <w:pStyle w:val="Para 003"/>
      </w:pPr>
      <w:r>
        <w:t>Barrier objects</w:t>
        <w:t xml:space="preserve">, </w:t>
      </w:r>
      <w:hyperlink w:anchor="idm45965192486192">
        <w:r>
          <w:rPr>
            <w:rStyle w:val="Text1"/>
          </w:rPr>
          <w:t>Barrier objects</w:t>
        </w:r>
      </w:hyperlink>
    </w:p>
    <w:p>
      <w:pPr>
        <w:pStyle w:val="Para 004"/>
      </w:pPr>
      <w:r>
        <w:rPr>
          <w:rStyle w:val="Text2"/>
        </w:rPr>
        <w:t>base-classes</w:t>
        <w:t xml:space="preserve">, </w:t>
      </w:r>
      <w:hyperlink w:anchor="idm45965271991248">
        <w:r>
          <w:t>The class Statement</w:t>
        </w:r>
      </w:hyperlink>
    </w:p>
    <w:p>
      <w:pPr>
        <w:pStyle w:val="Para 004"/>
      </w:pPr>
      <w:r>
        <w:rPr>
          <w:rStyle w:val="Text2"/>
        </w:rPr>
        <w:t>base64 module</w:t>
        <w:t xml:space="preserve">, </w:t>
      </w:r>
      <w:hyperlink w:anchor="base64mod21">
        <w:r>
          <w:t>The base64 Module</w:t>
        </w:r>
      </w:hyperlink>
      <w:r>
        <w:rPr>
          <w:rStyle w:val="Text2"/>
        </w:rPr>
        <w:t>-</w:t>
      </w:r>
      <w:hyperlink w:anchor="idm45965172099408">
        <w:r>
          <w:t>The base64 Module</w:t>
        </w:r>
      </w:hyperlink>
    </w:p>
    <w:p>
      <w:pPr>
        <w:pStyle w:val="Para 003"/>
      </w:pPr>
      <w:r>
        <w:t>basename (os.path module)</w:t>
        <w:t xml:space="preserve">, </w:t>
      </w:r>
      <w:hyperlink w:anchor="idm45965203834624">
        <w:r>
          <w:rPr>
            <w:rStyle w:val="Text1"/>
          </w:rPr>
          <w:t>The os.path Module</w:t>
        </w:r>
      </w:hyperlink>
    </w:p>
    <w:p>
      <w:pPr>
        <w:pStyle w:val="Para 003"/>
      </w:pPr>
      <w:r>
        <w:t>BDD (behavior-driven development)</w:t>
        <w:t xml:space="preserve">, </w:t>
      </w:r>
      <w:hyperlink w:anchor="idm45965183789520">
        <w:r>
          <w:rPr>
            <w:rStyle w:val="Text1"/>
          </w:rPr>
          <w:t>Unit Testing and System Testing</w:t>
        </w:r>
      </w:hyperlink>
    </w:p>
    <w:p>
      <w:pPr>
        <w:pStyle w:val="Para 003"/>
      </w:pPr>
      <w:r>
        <w:t>BDFL (Benevolent Dictator for Life)</w:t>
        <w:t xml:space="preserve">, </w:t>
      </w:r>
      <w:hyperlink w:anchor="idm45965258714976">
        <w:r>
          <w:rPr>
            <w:rStyle w:val="Text1"/>
          </w:rPr>
          <w:t>Python Development and Versions</w:t>
        </w:r>
      </w:hyperlink>
    </w:p>
    <w:p>
      <w:pPr>
        <w:pStyle w:val="Para 004"/>
      </w:pPr>
      <w:r>
        <w:rPr>
          <w:rStyle w:val="Text2"/>
        </w:rPr>
        <w:t>Beaker</w:t>
        <w:t xml:space="preserve">, </w:t>
      </w:r>
      <w:hyperlink w:anchor="idm45965174866672">
        <w:r>
          <w:t>Considerations When Using Lightweight Frameworks</w:t>
        </w:r>
      </w:hyperlink>
    </w:p>
    <w:p>
      <w:pPr>
        <w:pStyle w:val="Para 003"/>
      </w:pPr>
      <w:r>
        <w:t>BeautifulSoup package</w:t>
      </w:r>
    </w:p>
    <w:p>
      <w:pPr>
        <w:pStyle w:val="Para 004"/>
      </w:pPr>
      <w:r>
        <w:rPr>
          <w:rStyle w:val="Text2"/>
        </w:rPr>
        <w:t>BeautifulSoup class</w:t>
        <w:t xml:space="preserve">, </w:t>
      </w:r>
      <w:hyperlink w:anchor="idm45965171914048">
        <w:r>
          <w:t>The BeautifulSoup Class</w:t>
        </w:r>
      </w:hyperlink>
    </w:p>
    <w:p>
      <w:pPr>
        <w:pStyle w:val="Para 004"/>
      </w:pPr>
      <w:r>
        <w:rPr>
          <w:rStyle w:val="Text2"/>
        </w:rPr>
        <w:t>benefits of</w:t>
        <w:t xml:space="preserve">, </w:t>
      </w:r>
      <w:hyperlink w:anchor="idm45965171925904">
        <w:r>
          <w:t>The BeautifulSoup Third-Party Package</w:t>
        </w:r>
      </w:hyperlink>
    </w:p>
    <w:p>
      <w:pPr>
        <w:pStyle w:val="Para 004"/>
      </w:pPr>
      <w:r>
        <w:rPr>
          <w:rStyle w:val="Text2"/>
        </w:rPr>
        <w:t>building HTML with</w:t>
        <w:t xml:space="preserve">, </w:t>
      </w:r>
      <w:hyperlink w:anchor="idm45965169667520">
        <w:r>
          <w:t>Building HTML with bs4</w:t>
        </w:r>
      </w:hyperlink>
    </w:p>
    <w:p>
      <w:pPr>
        <w:pStyle w:val="Para 004"/>
      </w:pPr>
      <w:r>
        <w:rPr>
          <w:rStyle w:val="Text2"/>
        </w:rPr>
        <w:t>CSS selectors</w:t>
        <w:t xml:space="preserve">, </w:t>
      </w:r>
      <w:hyperlink w:anchor="idm45965170429520">
        <w:r>
          <w:t>bs4 CSS Selectors</w:t>
        </w:r>
      </w:hyperlink>
    </w:p>
    <w:p>
      <w:pPr>
        <w:pStyle w:val="Para 004"/>
      </w:pPr>
      <w:r>
        <w:rPr>
          <w:rStyle w:val="Text2"/>
        </w:rPr>
        <w:t>editing and creating HTML with</w:t>
        <w:t xml:space="preserve">, </w:t>
      </w:r>
      <w:hyperlink w:anchor="BSPcrehtml22">
        <w:r>
          <w:t>Editing and Creating HTML with bs4</w:t>
        </w:r>
      </w:hyperlink>
      <w:r>
        <w:rPr>
          <w:rStyle w:val="Text2"/>
        </w:rPr>
        <w:t>-</w:t>
      </w:r>
      <w:hyperlink w:anchor="idm45965169670640">
        <w:r>
          <w:t>Replacing and removing nodes</w:t>
        </w:r>
      </w:hyperlink>
    </w:p>
    <w:p>
      <w:pPr>
        <w:pStyle w:val="Para 004"/>
      </w:pPr>
      <w:r>
        <w:rPr>
          <w:rStyle w:val="Text2"/>
        </w:rPr>
        <w:t>installing versus importing</w:t>
        <w:t xml:space="preserve">, </w:t>
      </w:r>
      <w:hyperlink w:anchor="idm45965171920416">
        <w:r>
          <w:t>The BeautifulSoup Third-Party Package</w:t>
        </w:r>
      </w:hyperlink>
    </w:p>
    <w:p>
      <w:pPr>
        <w:pStyle w:val="Para 004"/>
      </w:pPr>
      <w:r>
        <w:rPr>
          <w:rStyle w:val="Text2"/>
        </w:rPr>
        <w:t>navigable classes of</w:t>
        <w:t xml:space="preserve">, </w:t>
      </w:r>
      <w:hyperlink w:anchor="BSPnavigable22">
        <w:r>
          <w:t>The Navigable Classes of bs4</w:t>
        </w:r>
      </w:hyperlink>
      <w:r>
        <w:rPr>
          <w:rStyle w:val="Text2"/>
        </w:rPr>
        <w:t>-</w:t>
      </w:r>
      <w:hyperlink w:anchor="idm45965170906064">
        <w:r>
          <w:t>next_element, previous_element, next_elements, and previous_elements</w:t>
        </w:r>
      </w:hyperlink>
    </w:p>
    <w:p>
      <w:pPr>
        <w:pStyle w:val="Para 004"/>
      </w:pPr>
      <w:r>
        <w:rPr>
          <w:rStyle w:val="Text2"/>
        </w:rPr>
        <w:t>parsing example</w:t>
        <w:t xml:space="preserve">, </w:t>
      </w:r>
      <w:hyperlink w:anchor="idm45965170373184">
        <w:r>
          <w:t>An HTML Parsing Example with BeautifulSoup</w:t>
        </w:r>
      </w:hyperlink>
    </w:p>
    <w:p>
      <w:pPr>
        <w:pStyle w:val="Para 004"/>
      </w:pPr>
      <w:r>
        <w:rPr>
          <w:rStyle w:val="Text2"/>
        </w:rPr>
        <w:t>search methods</w:t>
        <w:t xml:space="preserve">, </w:t>
      </w:r>
      <w:hyperlink w:anchor="BSPsearch22">
        <w:r>
          <w:t>bs4 find… Methods (aka Search Methods)</w:t>
        </w:r>
      </w:hyperlink>
      <w:r>
        <w:rPr>
          <w:rStyle w:val="Text2"/>
        </w:rPr>
        <w:t>-</w:t>
      </w:r>
      <w:hyperlink w:anchor="idm45965170436528">
        <w:r>
          <w:t>Other named arguments</w:t>
        </w:r>
      </w:hyperlink>
    </w:p>
    <w:p>
      <w:pPr>
        <w:pStyle w:val="Para 003"/>
      </w:pPr>
      <w:r>
        <w:t>behavior-driven development (BDD)</w:t>
        <w:t xml:space="preserve">, </w:t>
      </w:r>
      <w:hyperlink w:anchor="idm45965183790624">
        <w:r>
          <w:rPr>
            <w:rStyle w:val="Text1"/>
          </w:rPr>
          <w:t>Unit Testing and System Testing</w:t>
        </w:r>
      </w:hyperlink>
    </w:p>
    <w:p>
      <w:pPr>
        <w:pStyle w:val="Para 003"/>
      </w:pPr>
      <w:r>
        <w:t>bell (\a)</w:t>
        <w:t xml:space="preserve">, </w:t>
      </w:r>
      <w:hyperlink w:anchor="idm45965276649760">
        <w:r>
          <w:rPr>
            <w:rStyle w:val="Text1"/>
          </w:rPr>
          <w:t>Strings</w:t>
        </w:r>
      </w:hyperlink>
    </w:p>
    <w:p>
      <w:pPr>
        <w:pStyle w:val="Para 003"/>
      </w:pPr>
      <w:r>
        <w:t>benchmarking</w:t>
        <w:t xml:space="preserve">, </w:t>
      </w:r>
      <w:hyperlink w:anchor="idm45965181063712">
        <w:r>
          <w:rPr>
            <w:rStyle w:val="Text1"/>
          </w:rPr>
          <w:t>Benchmarking</w:t>
        </w:r>
      </w:hyperlink>
    </w:p>
    <w:p>
      <w:pPr>
        <w:pStyle w:val="Para 003"/>
      </w:pPr>
      <w:r>
        <w:t>Benevolent Dictator for Life (BDFL)</w:t>
        <w:t xml:space="preserve">, </w:t>
      </w:r>
      <w:hyperlink w:anchor="idm45965283898656">
        <w:r>
          <w:rPr>
            <w:rStyle w:val="Text1"/>
          </w:rPr>
          <w:t>Python Development and Versions</w:t>
        </w:r>
      </w:hyperlink>
    </w:p>
    <w:p>
      <w:pPr>
        <w:pStyle w:val="Para 003"/>
      </w:pPr>
      <w:r>
        <w:t>Berkeley DB library</w:t>
        <w:t xml:space="preserve">, </w:t>
      </w:r>
      <w:hyperlink w:anchor="idm45965198581872">
        <w:r>
          <w:rPr>
            <w:rStyle w:val="Text1"/>
          </w:rPr>
          <w:t>DBM Modules</w:t>
        </w:r>
      </w:hyperlink>
    </w:p>
    <w:p>
      <w:pPr>
        <w:pStyle w:val="Para 003"/>
      </w:pPr>
      <w:r>
        <w:t>Berkeley socket interface</w:t>
      </w:r>
    </w:p>
    <w:p>
      <w:pPr>
        <w:pStyle w:val="Para 004"/>
      </w:pPr>
      <w:r>
        <w:rPr>
          <w:rStyle w:val="Text2"/>
        </w:rPr>
        <w:t>client/server computing</w:t>
        <w:t xml:space="preserve">, </w:t>
      </w:r>
      <w:hyperlink w:anchor="BSIclserv18">
        <w:r>
          <w:t>Client/Server Computing</w:t>
        </w:r>
      </w:hyperlink>
      <w:r>
        <w:rPr>
          <w:rStyle w:val="Text2"/>
        </w:rPr>
        <w:t>-</w:t>
      </w:r>
      <w:hyperlink w:anchor="idm45965177551280">
        <w:r>
          <w:t>Connection-oriented client and server structures</w:t>
        </w:r>
      </w:hyperlink>
    </w:p>
    <w:p>
      <w:pPr>
        <w:pStyle w:val="Para 004"/>
      </w:pPr>
      <w:r>
        <w:rPr>
          <w:rStyle w:val="Text2"/>
        </w:rPr>
        <w:t>networking using sockets</w:t>
        <w:t xml:space="preserve">, </w:t>
      </w:r>
      <w:hyperlink w:anchor="idm45965177679872">
        <w:r>
          <w:t>The Berkeley Socket Interface</w:t>
        </w:r>
      </w:hyperlink>
    </w:p>
    <w:p>
      <w:pPr>
        <w:pStyle w:val="Para 003"/>
      </w:pPr>
      <w:r>
        <w:t>socket addresses</w:t>
        <w:t xml:space="preserve">, </w:t>
      </w:r>
      <w:hyperlink w:anchor="idm45965177645168">
        <w:r>
          <w:rPr>
            <w:rStyle w:val="Text1"/>
          </w:rPr>
          <w:t>Socket Addresses</w:t>
        </w:r>
      </w:hyperlink>
    </w:p>
    <w:p>
      <w:pPr>
        <w:pStyle w:val="Para 003"/>
      </w:pPr>
      <w:r>
        <w:t>socket clients</w:t>
      </w:r>
    </w:p>
    <w:p>
      <w:pPr>
        <w:pStyle w:val="Para 004"/>
      </w:pPr>
      <w:r>
        <w:rPr>
          <w:rStyle w:val="Text2"/>
        </w:rPr>
        <w:t>connection-oriented</w:t>
        <w:t xml:space="preserve">, </w:t>
      </w:r>
      <w:hyperlink w:anchor="idm45965176777984">
        <w:r>
          <w:t>A Connection-Oriented Socket Client</w:t>
        </w:r>
      </w:hyperlink>
    </w:p>
    <w:p>
      <w:pPr>
        <w:pStyle w:val="Para 004"/>
      </w:pPr>
      <w:r>
        <w:rPr>
          <w:rStyle w:val="Text2"/>
        </w:rPr>
        <w:t>connectionless</w:t>
        <w:t xml:space="preserve">, </w:t>
      </w:r>
      <w:hyperlink w:anchor="idm45965177137920">
        <w:r>
          <w:t>A Connectionless Socket Client</w:t>
        </w:r>
      </w:hyperlink>
    </w:p>
    <w:p>
      <w:pPr>
        <w:pStyle w:val="Para 004"/>
      </w:pPr>
      <w:r>
        <w:rPr>
          <w:rStyle w:val="Text2"/>
        </w:rPr>
        <w:t>socket module</w:t>
        <w:t xml:space="preserve">, </w:t>
      </w:r>
      <w:hyperlink w:anchor="BSIsmod18">
        <w:r>
          <w:t>The socket Module</w:t>
        </w:r>
      </w:hyperlink>
      <w:r>
        <w:rPr>
          <w:rStyle w:val="Text2"/>
        </w:rPr>
        <w:t>-</w:t>
      </w:r>
      <w:hyperlink w:anchor="idm45965177441360">
        <w:r>
          <w:t>The socket Module</w:t>
        </w:r>
      </w:hyperlink>
    </w:p>
    <w:p>
      <w:pPr>
        <w:pStyle w:val="Para 004"/>
      </w:pPr>
      <w:r>
        <w:rPr>
          <w:rStyle w:val="Text2"/>
        </w:rPr>
        <w:t>socket objects</w:t>
        <w:t xml:space="preserve">, </w:t>
      </w:r>
      <w:hyperlink w:anchor="BSIsobj18">
        <w:r>
          <w:t>Socket Objects</w:t>
        </w:r>
      </w:hyperlink>
      <w:r>
        <w:rPr>
          <w:rStyle w:val="Text2"/>
        </w:rPr>
        <w:t>-</w:t>
      </w:r>
      <w:hyperlink w:anchor="idm45965177142256">
        <w:r>
          <w:t>Socket Objects</w:t>
        </w:r>
      </w:hyperlink>
    </w:p>
    <w:p>
      <w:pPr>
        <w:pStyle w:val="Para 003"/>
      </w:pPr>
      <w:r>
        <w:t>socket servers</w:t>
      </w:r>
    </w:p>
    <w:p>
      <w:pPr>
        <w:pStyle w:val="Para 004"/>
      </w:pPr>
      <w:r>
        <w:rPr>
          <w:rStyle w:val="Text2"/>
        </w:rPr>
        <w:t>connection-oriented</w:t>
        <w:t xml:space="preserve">, </w:t>
      </w:r>
      <w:hyperlink w:anchor="idm45965176535552">
        <w:r>
          <w:t>A Connection-Oriented Socket Server</w:t>
        </w:r>
      </w:hyperlink>
    </w:p>
    <w:p>
      <w:pPr>
        <w:pStyle w:val="Para 004"/>
      </w:pPr>
      <w:r>
        <w:rPr>
          <w:rStyle w:val="Text2"/>
        </w:rPr>
        <w:t>connectionless</w:t>
        <w:t xml:space="preserve">, </w:t>
      </w:r>
      <w:hyperlink w:anchor="idm45965176946096">
        <w:r>
          <w:t>A Connectionless Socket Server</w:t>
        </w:r>
      </w:hyperlink>
    </w:p>
    <w:p>
      <w:pPr>
        <w:pStyle w:val="Para 003"/>
      </w:pPr>
      <w:r>
        <w:t>big endian/network standard byte order (&gt;, !)</w:t>
        <w:t xml:space="preserve">, </w:t>
      </w:r>
      <w:hyperlink w:anchor="idm45965205423232">
        <w:r>
          <w:rPr>
            <w:rStyle w:val="Text1"/>
          </w:rPr>
          <w:t>The struct Module</w:t>
        </w:r>
      </w:hyperlink>
    </w:p>
    <w:p>
      <w:pPr>
        <w:pStyle w:val="Para 004"/>
      </w:pPr>
      <w:r>
        <w:rPr>
          <w:rStyle w:val="Text2"/>
        </w:rPr>
        <w:t>big-O notation</w:t>
        <w:t xml:space="preserve">, </w:t>
      </w:r>
      <w:hyperlink w:anchor="bigonot17">
        <w:r>
          <w:t>Large-Scale Optimization</w:t>
        </w:r>
      </w:hyperlink>
      <w:r>
        <w:rPr>
          <w:rStyle w:val="Text2"/>
        </w:rPr>
        <w:t>-</w:t>
      </w:r>
      <w:hyperlink w:anchor="idm45965180706944">
        <w:r>
          <w:t>Summary of big-O times for operations on Python built-in types</w:t>
        </w:r>
      </w:hyperlink>
    </w:p>
    <w:p>
      <w:pPr>
        <w:pStyle w:val="Para 004"/>
      </w:pPr>
      <w:r>
        <w:rPr>
          <w:rStyle w:val="Text2"/>
        </w:rPr>
        <w:t>operations on Python built-in types</w:t>
        <w:t xml:space="preserve">, </w:t>
      </w:r>
      <w:hyperlink w:anchor="idm45965180760672">
        <w:r>
          <w:t>Summary of big-O times for operations on Python built-in types</w:t>
        </w:r>
      </w:hyperlink>
    </w:p>
    <w:p>
      <w:pPr>
        <w:pStyle w:val="Para 003"/>
      </w:pPr>
      <w:r>
        <w:t>bin function (built-in)</w:t>
        <w:t xml:space="preserve">, </w:t>
      </w:r>
      <w:hyperlink w:anchor="idm45965216189392">
        <w:r>
          <w:rPr>
            <w:rStyle w:val="Text1"/>
          </w:rPr>
          <w:t>Built-in Functions</w:t>
        </w:r>
      </w:hyperlink>
    </w:p>
    <w:p>
      <w:pPr>
        <w:pStyle w:val="Para 004"/>
      </w:pPr>
      <w:r>
        <w:rPr>
          <w:rStyle w:val="Text2"/>
        </w:rPr>
        <w:t>binary data, encoding as ASCII text</w:t>
        <w:t xml:space="preserve">, </w:t>
      </w:r>
      <w:hyperlink w:anchor="binaryencode21">
        <w:r>
          <w:t>Encoding Binary Data as ASCII Text</w:t>
        </w:r>
      </w:hyperlink>
      <w:r>
        <w:rPr>
          <w:rStyle w:val="Text2"/>
        </w:rPr>
        <w:t>-</w:t>
      </w:r>
      <w:hyperlink w:anchor="idm45965171999440">
        <w:r>
          <w:t>The uu Module</w:t>
        </w:r>
      </w:hyperlink>
    </w:p>
    <w:p>
      <w:pPr>
        <w:pStyle w:val="Para 003"/>
      </w:pPr>
      <w:r>
        <w:t>binary literals</w:t>
        <w:t xml:space="preserve">, </w:t>
      </w:r>
      <w:hyperlink w:anchor="idm45965281899808">
        <w:r>
          <w:rPr>
            <w:rStyle w:val="Text1"/>
          </w:rPr>
          <w:t>Integer numbers</w:t>
        </w:r>
      </w:hyperlink>
    </w:p>
    <w:p>
      <w:pPr>
        <w:pStyle w:val="Para 004"/>
      </w:pPr>
      <w:r>
        <w:rPr>
          <w:rStyle w:val="Text2"/>
        </w:rPr>
        <w:t>binary mode</w:t>
        <w:t xml:space="preserve">, </w:t>
      </w:r>
      <w:hyperlink w:anchor="idm45965206245856">
        <w:r>
          <w:t>Binary and text modes</w:t>
        </w:r>
      </w:hyperlink>
    </w:p>
    <w:p>
      <w:pPr>
        <w:pStyle w:val="Para 003"/>
      </w:pPr>
      <w:r>
        <w:t>binding</w:t>
      </w:r>
    </w:p>
    <w:p>
      <w:pPr>
        <w:pStyle w:val="Para 004"/>
      </w:pPr>
      <w:r>
        <w:rPr>
          <w:rStyle w:val="Text2"/>
        </w:rPr>
        <w:t>attributes</w:t>
        <w:t xml:space="preserve">, </w:t>
      </w:r>
      <w:hyperlink w:anchor="idm45965265003792">
        <w:r>
          <w:t>General-Purpose Special Methods</w:t>
        </w:r>
      </w:hyperlink>
    </w:p>
    <w:p>
      <w:pPr>
        <w:pStyle w:val="Para 004"/>
      </w:pPr>
      <w:r>
        <w:rPr>
          <w:rStyle w:val="Text2"/>
        </w:rPr>
        <w:t>port numbers</w:t>
        <w:t xml:space="preserve">, </w:t>
      </w:r>
      <w:hyperlink w:anchor="idm45965177655008">
        <w:r>
          <w:t>The Berkeley Socket Interface</w:t>
        </w:r>
      </w:hyperlink>
    </w:p>
    <w:p>
      <w:pPr>
        <w:pStyle w:val="Para 003"/>
      </w:pPr>
      <w:r>
        <w:t>unbinding with del</w:t>
        <w:t xml:space="preserve">, </w:t>
      </w:r>
      <w:hyperlink w:anchor="idm45965283243280">
        <w:r>
          <w:rPr>
            <w:rStyle w:val="Text1"/>
          </w:rPr>
          <w:t>del Statements</w:t>
        </w:r>
      </w:hyperlink>
    </w:p>
    <w:p>
      <w:pPr>
        <w:pStyle w:val="Para 004"/>
      </w:pPr>
      <w:r>
        <w:rPr>
          <w:rStyle w:val="Text2"/>
        </w:rPr>
        <w:t>variables</w:t>
        <w:t xml:space="preserve">, </w:t>
      </w:r>
      <w:hyperlink w:anchor="binding03">
        <w:r>
          <w:t>Variables</w:t>
        </w:r>
      </w:hyperlink>
      <w:r>
        <w:rPr>
          <w:rStyle w:val="Text2"/>
        </w:rPr>
        <w:t>-</w:t>
      </w:r>
      <w:hyperlink w:anchor="idm45965258568640">
        <w:r>
          <w:t>Plain assignment</w:t>
        </w:r>
      </w:hyperlink>
    </w:p>
    <w:p>
      <w:pPr>
        <w:pStyle w:val="Para 003"/>
      </w:pPr>
      <w:r>
        <w:t>bitwise AND operator (&amp;)</w:t>
        <w:t xml:space="preserve">, </w:t>
      </w:r>
      <w:hyperlink w:anchor="idm45965275218736">
        <w:r>
          <w:rPr>
            <w:rStyle w:val="Text1"/>
          </w:rPr>
          <w:t>Expressions and Operators</w:t>
        </w:r>
      </w:hyperlink>
    </w:p>
    <w:p>
      <w:pPr>
        <w:pStyle w:val="Para 003"/>
      </w:pPr>
      <w:r>
        <w:t>bitwise operations on integers</w:t>
        <w:t xml:space="preserve">, </w:t>
      </w:r>
      <w:hyperlink w:anchor="idm45965276174864">
        <w:r>
          <w:rPr>
            <w:rStyle w:val="Text1"/>
          </w:rPr>
          <w:t>Bitwise Operations on Integers</w:t>
        </w:r>
      </w:hyperlink>
    </w:p>
    <w:p>
      <w:pPr>
        <w:pStyle w:val="Para 003"/>
      </w:pPr>
      <w:r>
        <w:t>bit_count (int method)</w:t>
        <w:t xml:space="preserve">, </w:t>
      </w:r>
      <w:hyperlink w:anchor="idm45965282765312">
        <w:r>
          <w:rPr>
            <w:rStyle w:val="Text1"/>
          </w:rPr>
          <w:t>Integer numbers</w:t>
        </w:r>
      </w:hyperlink>
    </w:p>
    <w:p>
      <w:pPr>
        <w:pStyle w:val="Para 003"/>
      </w:pPr>
      <w:r>
        <w:t>bit_length (int method)</w:t>
        <w:t xml:space="preserve">, </w:t>
      </w:r>
      <w:hyperlink w:anchor="idm45965282759472">
        <w:r>
          <w:rPr>
            <w:rStyle w:val="Text1"/>
          </w:rPr>
          <w:t>Integer numbers</w:t>
        </w:r>
      </w:hyperlink>
    </w:p>
    <w:p>
      <w:pPr>
        <w:pStyle w:val="Para 004"/>
      </w:pPr>
      <w:r>
        <w:rPr>
          <w:rStyle w:val="Text2"/>
        </w:rPr>
        <w:t>black tool</w:t>
        <w:t xml:space="preserve">, </w:t>
      </w:r>
      <w:hyperlink w:anchor="idm45965278248592">
        <w:r>
          <w:t>Typographic Conventions</w:t>
        </w:r>
      </w:hyperlink>
      <w:r>
        <w:rPr>
          <w:rStyle w:val="Text2"/>
        </w:rPr>
        <w:t xml:space="preserve">, </w:t>
      </w:r>
      <w:hyperlink w:anchor="idm45965276439424">
        <w:r>
          <w:t>Tools for Checking Python Programs</w:t>
        </w:r>
      </w:hyperlink>
      <w:r>
        <w:rPr>
          <w:rStyle w:val="Text2"/>
        </w:rPr>
        <w:t xml:space="preserve">, </w:t>
      </w:r>
      <w:hyperlink w:anchor="idm45965276780128">
        <w:r>
          <w:t>Strings</w:t>
        </w:r>
      </w:hyperlink>
    </w:p>
    <w:p>
      <w:pPr>
        <w:pStyle w:val="Para 004"/>
      </w:pPr>
      <w:r>
        <w:rPr>
          <w:rStyle w:val="Text2"/>
        </w:rPr>
        <w:t>black-box testing</w:t>
        <w:t xml:space="preserve">, </w:t>
      </w:r>
      <w:hyperlink w:anchor="idm45965183796640">
        <w:r>
          <w:t>Unit Testing and System Testing</w:t>
        </w:r>
      </w:hyperlink>
    </w:p>
    <w:p>
      <w:pPr>
        <w:pStyle w:val="Para 004"/>
      </w:pPr>
      <w:r>
        <w:rPr>
          <w:rStyle w:val="Text2"/>
        </w:rPr>
        <w:t>blank lines</w:t>
        <w:t xml:space="preserve">, </w:t>
      </w:r>
      <w:hyperlink w:anchor="idm45965274421088">
        <w:r>
          <w:t>Lines and Indentation</w:t>
        </w:r>
      </w:hyperlink>
    </w:p>
    <w:p>
      <w:pPr>
        <w:pStyle w:val="Para 004"/>
      </w:pPr>
      <w:r>
        <w:rPr>
          <w:rStyle w:val="Text2"/>
        </w:rPr>
        <w:t>block structure</w:t>
        <w:t xml:space="preserve">, </w:t>
      </w:r>
      <w:hyperlink w:anchor="idm45965274396992">
        <w:r>
          <w:t>Lines and Indentation</w:t>
        </w:r>
      </w:hyperlink>
    </w:p>
    <w:p>
      <w:pPr>
        <w:pStyle w:val="Para 004"/>
      </w:pPr>
      <w:r>
        <w:rPr>
          <w:rStyle w:val="Text2"/>
        </w:rPr>
        <w:t>blocks</w:t>
        <w:t xml:space="preserve">, </w:t>
      </w:r>
      <w:hyperlink w:anchor="idm45965281955136">
        <w:r>
          <w:t>Compound statements</w:t>
        </w:r>
      </w:hyperlink>
      <w:r>
        <w:rPr>
          <w:rStyle w:val="Text2"/>
        </w:rPr>
        <w:t xml:space="preserve">, </w:t>
      </w:r>
      <w:hyperlink w:anchor="idm45965282380192">
        <w:r>
          <w:t>The if Statement</w:t>
        </w:r>
      </w:hyperlink>
    </w:p>
    <w:p>
      <w:pPr>
        <w:pStyle w:val="Para 004"/>
      </w:pPr>
      <w:r>
        <w:rPr>
          <w:rStyle w:val="Text2"/>
        </w:rPr>
        <w:t>blue tool</w:t>
        <w:t xml:space="preserve">, </w:t>
      </w:r>
      <w:hyperlink w:anchor="idm45965276438320">
        <w:r>
          <w:t>Tools for Checking Python Programs</w:t>
        </w:r>
      </w:hyperlink>
      <w:r>
        <w:rPr>
          <w:rStyle w:val="Text2"/>
        </w:rPr>
        <w:t xml:space="preserve">, </w:t>
      </w:r>
      <w:hyperlink w:anchor="idm45965276778272">
        <w:r>
          <w:t>Strings</w:t>
        </w:r>
      </w:hyperlink>
    </w:p>
    <w:p>
      <w:pPr>
        <w:pStyle w:val="Para 004"/>
      </w:pPr>
      <w:r>
        <w:rPr>
          <w:rStyle w:val="Text2"/>
        </w:rPr>
        <w:t>bodies</w:t>
        <w:t xml:space="preserve">, </w:t>
      </w:r>
      <w:hyperlink w:anchor="idm45965281956960">
        <w:r>
          <w:t>Compound statements</w:t>
        </w:r>
      </w:hyperlink>
    </w:p>
    <w:p>
      <w:pPr>
        <w:pStyle w:val="Para 004"/>
      </w:pPr>
      <w:r>
        <w:rPr>
          <w:rStyle w:val="Text2"/>
        </w:rPr>
        <w:t>bool (built-in type)</w:t>
        <w:t xml:space="preserve">, </w:t>
      </w:r>
      <w:hyperlink w:anchor="idm45965279161392">
        <w:r>
          <w:t>Boolean Values</w:t>
        </w:r>
      </w:hyperlink>
      <w:r>
        <w:rPr>
          <w:rStyle w:val="Text2"/>
        </w:rPr>
        <w:t xml:space="preserve">, </w:t>
      </w:r>
      <w:hyperlink w:anchor="idm45965216776192">
        <w:r>
          <w:t>Built-in Types</w:t>
        </w:r>
      </w:hyperlink>
    </w:p>
    <w:p>
      <w:pPr>
        <w:pStyle w:val="Para 004"/>
      </w:pPr>
      <w:r>
        <w:rPr>
          <w:rStyle w:val="Text2"/>
        </w:rPr>
        <w:t>Boolean expressions</w:t>
        <w:t xml:space="preserve">, </w:t>
      </w:r>
      <w:hyperlink w:anchor="idm45965178340432">
        <w:r>
          <w:t>Short-circuiting of Boolean expressions</w:t>
        </w:r>
      </w:hyperlink>
    </w:p>
    <w:p>
      <w:pPr>
        <w:pStyle w:val="Para 004"/>
      </w:pPr>
      <w:r>
        <w:rPr>
          <w:rStyle w:val="Text2"/>
        </w:rPr>
        <w:t>Boolean values</w:t>
        <w:t xml:space="preserve">, </w:t>
      </w:r>
      <w:hyperlink w:anchor="idm45965279168816">
        <w:r>
          <w:t>Boolean Values</w:t>
        </w:r>
      </w:hyperlink>
      <w:r>
        <w:rPr>
          <w:rStyle w:val="Text2"/>
        </w:rPr>
        <w:t xml:space="preserve">, </w:t>
      </w:r>
      <w:hyperlink w:anchor="idm45965265023504">
        <w:r>
          <w:t>General-Purpose Special Methods</w:t>
        </w:r>
      </w:hyperlink>
    </w:p>
    <w:p>
      <w:pPr>
        <w:pStyle w:val="Para 003"/>
      </w:pPr>
      <w:r>
        <w:t>bottlenecks</w:t>
        <w:t xml:space="preserve">, </w:t>
      </w:r>
      <w:hyperlink w:anchor="idm45965181082304">
        <w:r>
          <w:rPr>
            <w:rStyle w:val="Text1"/>
          </w:rPr>
          <w:t>Optimization</w:t>
        </w:r>
      </w:hyperlink>
    </w:p>
    <w:p>
      <w:pPr>
        <w:pStyle w:val="Para 004"/>
      </w:pPr>
      <w:r>
        <w:rPr>
          <w:rStyle w:val="Text2"/>
        </w:rPr>
        <w:t>bound methods</w:t>
        <w:t xml:space="preserve">, </w:t>
      </w:r>
      <w:hyperlink w:anchor="bmeth04">
        <w:r>
          <w:t>Bound and Unbound Methods</w:t>
        </w:r>
      </w:hyperlink>
      <w:r>
        <w:rPr>
          <w:rStyle w:val="Text2"/>
        </w:rPr>
        <w:t>-</w:t>
      </w:r>
      <w:hyperlink w:anchor="idm45965266012336">
        <w:r>
          <w:t>Bound and Unbound Methods</w:t>
        </w:r>
      </w:hyperlink>
      <w:r>
        <w:rPr>
          <w:rStyle w:val="Text2"/>
        </w:rPr>
        <w:t xml:space="preserve">, </w:t>
      </w:r>
      <w:hyperlink w:anchor="idm45965273263664">
        <w:r>
          <w:t>Class methods</w:t>
        </w:r>
      </w:hyperlink>
      <w:r>
        <w:rPr>
          <w:rStyle w:val="Text2"/>
        </w:rPr>
        <w:t xml:space="preserve">, </w:t>
      </w:r>
      <w:hyperlink w:anchor="idm45965264946912">
        <w:r>
          <w:t>General-Purpose Special Methods</w:t>
        </w:r>
      </w:hyperlink>
    </w:p>
    <w:p>
      <w:pPr>
        <w:pStyle w:val="Para 003"/>
      </w:pPr>
      <w:r>
        <w:t>bounded iterables</w:t>
        <w:t xml:space="preserve">, </w:t>
      </w:r>
      <w:hyperlink w:anchor="idm45965282831984">
        <w:r>
          <w:rPr>
            <w:rStyle w:val="Text1"/>
          </w:rPr>
          <w:t>Iterables</w:t>
        </w:r>
      </w:hyperlink>
    </w:p>
    <w:p>
      <w:pPr>
        <w:pStyle w:val="Para 004"/>
      </w:pPr>
      <w:r>
        <w:rPr>
          <w:rStyle w:val="Text2"/>
        </w:rPr>
        <w:t>BoundedSemaphore (threading module)</w:t>
        <w:t xml:space="preserve">, </w:t>
      </w:r>
      <w:hyperlink w:anchor="idm45965192686064">
        <w:r>
          <w:t>Semaphore and BoundedSemaphore objects</w:t>
        </w:r>
      </w:hyperlink>
    </w:p>
    <w:p>
      <w:pPr>
        <w:pStyle w:val="Para 004"/>
      </w:pPr>
      <w:r>
        <w:rPr>
          <w:rStyle w:val="Text2"/>
        </w:rPr>
        <w:t>BoundedSemaphore objects</w:t>
        <w:t xml:space="preserve">, </w:t>
      </w:r>
      <w:hyperlink w:anchor="idm45965192760864">
        <w:r>
          <w:t>Semaphore and BoundedSemaphore objects</w:t>
        </w:r>
      </w:hyperlink>
    </w:p>
    <w:p>
      <w:pPr>
        <w:pStyle w:val="Para 003"/>
      </w:pPr>
      <w:r>
        <w:t>braces ({})</w:t>
      </w:r>
    </w:p>
    <w:p>
      <w:pPr>
        <w:pStyle w:val="Para 003"/>
      </w:pPr>
      <w:r>
        <w:t>command-line syntax and options</w:t>
        <w:t xml:space="preserve">, </w:t>
      </w:r>
      <w:hyperlink w:anchor="idm45965282982624">
        <w:r>
          <w:rPr>
            <w:rStyle w:val="Text1"/>
          </w:rPr>
          <w:t>Command-Line Syntax and Options</w:t>
        </w:r>
      </w:hyperlink>
    </w:p>
    <w:p>
      <w:pPr>
        <w:pStyle w:val="Para 003"/>
      </w:pPr>
      <w:r>
        <w:t>delimiters</w:t>
        <w:t xml:space="preserve">, </w:t>
      </w:r>
      <w:hyperlink w:anchor="idm45965276531920">
        <w:r>
          <w:rPr>
            <w:rStyle w:val="Text1"/>
          </w:rPr>
          <w:t>Delimiters</w:t>
        </w:r>
      </w:hyperlink>
    </w:p>
    <w:p>
      <w:pPr>
        <w:pStyle w:val="Para 003"/>
      </w:pPr>
      <w:r>
        <w:t>in dictionaries</w:t>
        <w:t xml:space="preserve">, </w:t>
      </w:r>
      <w:hyperlink w:anchor="idm45965269495616">
        <w:r>
          <w:rPr>
            <w:rStyle w:val="Text1"/>
          </w:rPr>
          <w:t>Dictionaries</w:t>
        </w:r>
      </w:hyperlink>
    </w:p>
    <w:p>
      <w:pPr>
        <w:pStyle w:val="Para 003"/>
      </w:pPr>
      <w:r>
        <w:t>lines and indentation</w:t>
        <w:t xml:space="preserve">, </w:t>
      </w:r>
      <w:hyperlink w:anchor="idm45965274404176">
        <w:r>
          <w:rPr>
            <w:rStyle w:val="Text1"/>
          </w:rPr>
          <w:t>Lines and Indentation</w:t>
        </w:r>
      </w:hyperlink>
    </w:p>
    <w:p>
      <w:pPr>
        <w:pStyle w:val="Para 003"/>
      </w:pPr>
      <w:r>
        <w:t>in sets</w:t>
        <w:t xml:space="preserve">, </w:t>
      </w:r>
      <w:hyperlink w:anchor="idm45965269568208">
        <w:r>
          <w:rPr>
            <w:rStyle w:val="Text1"/>
          </w:rPr>
          <w:t>Sets</w:t>
        </w:r>
      </w:hyperlink>
    </w:p>
    <w:p>
      <w:pPr>
        <w:pStyle w:val="Para 003"/>
      </w:pPr>
      <w:r>
        <w:t>brackets ([])</w:t>
      </w:r>
    </w:p>
    <w:p>
      <w:pPr>
        <w:pStyle w:val="Para 004"/>
      </w:pPr>
      <w:r>
        <w:rPr>
          <w:rStyle w:val="Text2"/>
        </w:rPr>
        <w:t>command line syntax</w:t>
        <w:t xml:space="preserve">, </w:t>
      </w:r>
      <w:hyperlink w:anchor="idm45965282986336">
        <w:r>
          <w:t>Command-Line Syntax and Options</w:t>
        </w:r>
      </w:hyperlink>
    </w:p>
    <w:p>
      <w:pPr>
        <w:pStyle w:val="Para 004"/>
      </w:pPr>
      <w:r>
        <w:rPr>
          <w:rStyle w:val="Text2"/>
        </w:rPr>
        <w:t>in-place list operations</w:t>
        <w:t xml:space="preserve">, </w:t>
      </w:r>
      <w:hyperlink w:anchor="idm45965280101328">
        <w:r>
          <w:t>In-place operations on a list</w:t>
        </w:r>
      </w:hyperlink>
    </w:p>
    <w:p>
      <w:pPr>
        <w:pStyle w:val="Para 003"/>
      </w:pPr>
      <w:r>
        <w:t>indexing a dictionary</w:t>
        <w:t xml:space="preserve">, </w:t>
      </w:r>
      <w:hyperlink w:anchor="idm45965283653424">
        <w:r>
          <w:rPr>
            <w:rStyle w:val="Text1"/>
          </w:rPr>
          <w:t>Indexing a Dictionary</w:t>
        </w:r>
      </w:hyperlink>
    </w:p>
    <w:p>
      <w:pPr>
        <w:pStyle w:val="Para 003"/>
      </w:pPr>
      <w:r>
        <w:t>lines and indentation</w:t>
        <w:t xml:space="preserve">, </w:t>
      </w:r>
      <w:hyperlink w:anchor="idm45965274407200">
        <w:r>
          <w:rPr>
            <w:rStyle w:val="Text1"/>
          </w:rPr>
          <w:t>Lines and Indentation</w:t>
        </w:r>
      </w:hyperlink>
    </w:p>
    <w:p>
      <w:pPr>
        <w:pStyle w:val="Para 003"/>
      </w:pPr>
      <w:r>
        <w:t>in lists</w:t>
        <w:t xml:space="preserve">, </w:t>
      </w:r>
      <w:hyperlink w:anchor="idm45965265611744">
        <w:r>
          <w:rPr>
            <w:rStyle w:val="Text1"/>
          </w:rPr>
          <w:t>Lists</w:t>
        </w:r>
      </w:hyperlink>
    </w:p>
    <w:p>
      <w:pPr>
        <w:pStyle w:val="Para 003"/>
      </w:pPr>
      <w:r>
        <w:t>slicing a sequence</w:t>
        <w:t xml:space="preserve">, </w:t>
      </w:r>
      <w:hyperlink w:anchor="idm45965279951568">
        <w:r>
          <w:rPr>
            <w:rStyle w:val="Text1"/>
          </w:rPr>
          <w:t>Slicing a sequence</w:t>
        </w:r>
      </w:hyperlink>
    </w:p>
    <w:p>
      <w:pPr>
        <w:pStyle w:val="Para 003"/>
      </w:pPr>
      <w:r>
        <w:t>break (pdb module)</w:t>
        <w:t xml:space="preserve">, </w:t>
      </w:r>
      <w:hyperlink w:anchor="idm45965181608176">
        <w:r>
          <w:rPr>
            <w:rStyle w:val="Text1"/>
          </w:rPr>
          <w:t>The pdb Module</w:t>
        </w:r>
      </w:hyperlink>
    </w:p>
    <w:p>
      <w:pPr>
        <w:pStyle w:val="Para 003"/>
      </w:pPr>
      <w:r>
        <w:t>break keyword</w:t>
      </w:r>
    </w:p>
    <w:p>
      <w:pPr>
        <w:pStyle w:val="Para 004"/>
      </w:pPr>
      <w:r>
        <w:rPr>
          <w:rStyle w:val="Text2"/>
        </w:rPr>
        <w:t>break statement</w:t>
        <w:t xml:space="preserve">, </w:t>
      </w:r>
      <w:hyperlink w:anchor="idm45965271068064">
        <w:r>
          <w:t>The break Statement</w:t>
        </w:r>
      </w:hyperlink>
    </w:p>
    <w:p>
      <w:pPr>
        <w:pStyle w:val="Para 004"/>
      </w:pPr>
      <w:r>
        <w:rPr>
          <w:rStyle w:val="Text2"/>
        </w:rPr>
        <w:t>in else clauses</w:t>
        <w:t xml:space="preserve">, </w:t>
      </w:r>
      <w:hyperlink w:anchor="idm45965270769584">
        <w:r>
          <w:t>The else Clause on Loop Statements</w:t>
        </w:r>
      </w:hyperlink>
    </w:p>
    <w:p>
      <w:pPr>
        <w:pStyle w:val="Para 003"/>
      </w:pPr>
      <w:r>
        <w:t>in for statements</w:t>
        <w:t xml:space="preserve">, </w:t>
      </w:r>
      <w:hyperlink w:anchor="idm45965274549136">
        <w:r>
          <w:rPr>
            <w:rStyle w:val="Text1"/>
          </w:rPr>
          <w:t>The for Statement</w:t>
        </w:r>
      </w:hyperlink>
    </w:p>
    <w:p>
      <w:pPr>
        <w:pStyle w:val="Para 003"/>
      </w:pPr>
      <w:r>
        <w:t>in generators</w:t>
        <w:t xml:space="preserve">, </w:t>
      </w:r>
      <w:hyperlink w:anchor="idm45965259378448">
        <w:r>
          <w:rPr>
            <w:rStyle w:val="Text1"/>
          </w:rPr>
          <w:t>Generators</w:t>
        </w:r>
      </w:hyperlink>
    </w:p>
    <w:p>
      <w:pPr>
        <w:pStyle w:val="Para 003"/>
      </w:pPr>
      <w:r>
        <w:t>in try/except</w:t>
        <w:t xml:space="preserve">, </w:t>
      </w:r>
      <w:hyperlink w:anchor="idm45965260380432">
        <w:r>
          <w:rPr>
            <w:rStyle w:val="Text1"/>
          </w:rPr>
          <w:t>try/except</w:t>
        </w:r>
      </w:hyperlink>
    </w:p>
    <w:p>
      <w:pPr>
        <w:pStyle w:val="Para 003"/>
      </w:pPr>
      <w:r>
        <w:t>in while statements</w:t>
        <w:t xml:space="preserve">, </w:t>
      </w:r>
      <w:hyperlink w:anchor="idm45965274663072">
        <w:r>
          <w:rPr>
            <w:rStyle w:val="Text1"/>
          </w:rPr>
          <w:t>The while Statement</w:t>
        </w:r>
      </w:hyperlink>
    </w:p>
    <w:p>
      <w:pPr>
        <w:pStyle w:val="Para 003"/>
      </w:pPr>
      <w:r>
        <w:t>breakpoint (built-in function)</w:t>
        <w:t xml:space="preserve">, </w:t>
      </w:r>
      <w:hyperlink w:anchor="idm45965216183440">
        <w:r>
          <w:rPr>
            <w:rStyle w:val="Text1"/>
          </w:rPr>
          <w:t>Built-in Functions</w:t>
        </w:r>
      </w:hyperlink>
    </w:p>
    <w:p>
      <w:pPr>
        <w:pStyle w:val="Para 003"/>
      </w:pPr>
      <w:r>
        <w:t>broken (threading module)</w:t>
        <w:t xml:space="preserve">, </w:t>
      </w:r>
      <w:hyperlink w:anchor="idm45965192413872">
        <w:r>
          <w:rPr>
            <w:rStyle w:val="Text1"/>
          </w:rPr>
          <w:t>Barrier objects</w:t>
        </w:r>
      </w:hyperlink>
    </w:p>
    <w:p>
      <w:pPr>
        <w:pStyle w:val="Para 004"/>
      </w:pPr>
      <w:r>
        <w:rPr>
          <w:rStyle w:val="Text2"/>
        </w:rPr>
        <w:t>browsers, running Python in</w:t>
        <w:t xml:space="preserve">, </w:t>
      </w:r>
      <w:hyperlink w:anchor="browrun02">
        <w:r>
          <w:t>Running Python in the Browser</w:t>
        </w:r>
      </w:hyperlink>
      <w:r>
        <w:rPr>
          <w:rStyle w:val="Text2"/>
        </w:rPr>
        <w:t>-</w:t>
      </w:r>
      <w:hyperlink w:anchor="idm45965273976416">
        <w:r>
          <w:t>Jupyter</w:t>
        </w:r>
      </w:hyperlink>
    </w:p>
    <w:p>
      <w:pPr>
        <w:pStyle w:val="Para 003"/>
      </w:pPr>
      <w:r>
        <w:t>bs4 module</w:t>
        <w:t xml:space="preserve"> (</w:t>
        <w:t>see</w:t>
        <w:t xml:space="preserve"> BeautifulSoup package)</w:t>
      </w:r>
    </w:p>
    <w:p>
      <w:pPr>
        <w:pStyle w:val="Para 003"/>
      </w:pPr>
      <w:r>
        <w:t>bsddb3 package</w:t>
        <w:t xml:space="preserve">, </w:t>
      </w:r>
      <w:hyperlink w:anchor="idm45965198580144">
        <w:r>
          <w:rPr>
            <w:rStyle w:val="Text1"/>
          </w:rPr>
          <w:t>DBM Modules</w:t>
        </w:r>
      </w:hyperlink>
    </w:p>
    <w:p>
      <w:pPr>
        <w:pStyle w:val="Para 004"/>
      </w:pPr>
      <w:r>
        <w:rPr>
          <w:rStyle w:val="Text2"/>
        </w:rPr>
        <w:t>buffering</w:t>
        <w:t xml:space="preserve">, </w:t>
      </w:r>
      <w:hyperlink w:anchor="idm45965206448048">
        <w:r>
          <w:t>File and Text Operations</w:t>
        </w:r>
      </w:hyperlink>
      <w:r>
        <w:rPr>
          <w:rStyle w:val="Text2"/>
        </w:rPr>
        <w:t xml:space="preserve">, </w:t>
      </w:r>
      <w:hyperlink w:anchor="idm45965206224416">
        <w:r>
          <w:t>Buffering</w:t>
        </w:r>
      </w:hyperlink>
    </w:p>
    <w:p>
      <w:pPr>
        <w:pStyle w:val="Para 004"/>
      </w:pPr>
      <w:r>
        <w:rPr>
          <w:rStyle w:val="Text2"/>
        </w:rPr>
        <w:t>bugs, fixing</w:t>
        <w:t xml:space="preserve">, </w:t>
      </w:r>
      <w:hyperlink w:anchor="idm45965183772512">
        <w:r>
          <w:t>Unit Testing and System Testing</w:t>
        </w:r>
      </w:hyperlink>
    </w:p>
    <w:p>
      <w:pPr>
        <w:pStyle w:val="Para 003"/>
      </w:pPr>
      <w:r>
        <w:t>built-ins</w:t>
      </w:r>
    </w:p>
    <w:p>
      <w:pPr>
        <w:pStyle w:val="Para 004"/>
      </w:pPr>
      <w:r>
        <w:rPr>
          <w:rStyle w:val="Text2"/>
        </w:rPr>
        <w:t>core built-ins</w:t>
        <w:t xml:space="preserve">, </w:t>
      </w:r>
      <w:hyperlink w:anchor="BIOTcore08">
        <w:r>
          <w:t>Built-in Types</w:t>
        </w:r>
      </w:hyperlink>
      <w:r>
        <w:rPr>
          <w:rStyle w:val="Text2"/>
        </w:rPr>
        <w:t>-</w:t>
      </w:r>
      <w:hyperlink w:anchor="idm45965216398144">
        <w:r>
          <w:t>Built-in Types</w:t>
        </w:r>
      </w:hyperlink>
    </w:p>
    <w:p>
      <w:pPr>
        <w:pStyle w:val="Para 004"/>
      </w:pPr>
      <w:r>
        <w:rPr>
          <w:rStyle w:val="Text2"/>
        </w:rPr>
        <w:t>definition of built-in</w:t>
        <w:t xml:space="preserve">, </w:t>
      </w:r>
      <w:hyperlink w:anchor="idm45965216821568">
        <w:r>
          <w:t>Core Built-ins and Standard Library Modules</w:t>
        </w:r>
      </w:hyperlink>
    </w:p>
    <w:p>
      <w:pPr>
        <w:pStyle w:val="Para 004"/>
      </w:pPr>
      <w:r>
        <w:rPr>
          <w:rStyle w:val="Text2"/>
        </w:rPr>
        <w:t>functions</w:t>
        <w:t xml:space="preserve">, </w:t>
      </w:r>
      <w:hyperlink w:anchor="BIfunct08">
        <w:r>
          <w:t>Built-in Functions</w:t>
        </w:r>
      </w:hyperlink>
      <w:r>
        <w:rPr>
          <w:rStyle w:val="Text2"/>
        </w:rPr>
        <w:t>-</w:t>
      </w:r>
      <w:hyperlink w:anchor="idm45965215157776">
        <w:r>
          <w:t>Built-in Functions</w:t>
        </w:r>
      </w:hyperlink>
    </w:p>
    <w:p>
      <w:pPr>
        <w:pStyle w:val="Para 004"/>
      </w:pPr>
      <w:r>
        <w:rPr>
          <w:rStyle w:val="Text2"/>
        </w:rPr>
        <w:t>hiding</w:t>
        <w:t xml:space="preserve">, </w:t>
      </w:r>
      <w:hyperlink w:anchor="idm45965216385552">
        <w:r>
          <w:t>Built-in Functions</w:t>
        </w:r>
      </w:hyperlink>
    </w:p>
    <w:p>
      <w:pPr>
        <w:pStyle w:val="Para 004"/>
      </w:pPr>
      <w:r>
        <w:rPr>
          <w:rStyle w:val="Text2"/>
        </w:rPr>
        <w:t>inheritance from types</w:t>
        <w:t xml:space="preserve">, </w:t>
      </w:r>
      <w:hyperlink w:anchor="idm45965265129664">
        <w:r>
          <w:t>Inheritance from Built-in Types</w:t>
        </w:r>
      </w:hyperlink>
    </w:p>
    <w:p>
      <w:pPr>
        <w:pStyle w:val="Para 003"/>
      </w:pPr>
      <w:r>
        <w:t>bytearray (built-in type)</w:t>
        <w:t xml:space="preserve">, </w:t>
      </w:r>
      <w:hyperlink w:anchor="idm45965216755168">
        <w:r>
          <w:rPr>
            <w:rStyle w:val="Text1"/>
          </w:rPr>
          <w:t>Built-in Types</w:t>
        </w:r>
      </w:hyperlink>
    </w:p>
    <w:p>
      <w:pPr>
        <w:pStyle w:val="Para 003"/>
      </w:pPr>
      <w:r>
        <w:t>bytearray objects</w:t>
        <w:t xml:space="preserve">, </w:t>
      </w:r>
      <w:hyperlink w:anchor="idm45965264147632">
        <w:r>
          <w:rPr>
            <w:rStyle w:val="Text1"/>
          </w:rPr>
          <w:t>bytearray objects</w:t>
        </w:r>
      </w:hyperlink>
    </w:p>
    <w:p>
      <w:pPr>
        <w:pStyle w:val="Para 003"/>
      </w:pPr>
      <w:r>
        <w:t>bytes (built-in type)</w:t>
        <w:t xml:space="preserve">, </w:t>
      </w:r>
      <w:hyperlink w:anchor="idm45965216734304">
        <w:r>
          <w:rPr>
            <w:rStyle w:val="Text1"/>
          </w:rPr>
          <w:t>Built-in Types</w:t>
        </w:r>
      </w:hyperlink>
    </w:p>
    <w:p>
      <w:pPr>
        <w:pStyle w:val="Para 003"/>
      </w:pPr>
      <w:r>
        <w:t>bytes objects</w:t>
        <w:t xml:space="preserve">, </w:t>
      </w:r>
      <w:hyperlink w:anchor="idm45965278884608">
        <w:r>
          <w:rPr>
            <w:rStyle w:val="Text1"/>
          </w:rPr>
          <w:t>bytes objects</w:t>
        </w:r>
      </w:hyperlink>
    </w:p>
    <w:p>
      <w:pPr>
        <w:pStyle w:val="Para 004"/>
      </w:pPr>
      <w:r>
        <w:rPr>
          <w:rStyle w:val="Text2"/>
        </w:rPr>
        <w:t>bytes type</w:t>
        <w:t xml:space="preserve">, </w:t>
      </w:r>
      <w:hyperlink w:anchor="idm45965212844128">
        <w:r>
          <w:t>Strings and Things</w:t>
        </w:r>
      </w:hyperlink>
    </w:p>
    <w:p>
      <w:pPr>
        <w:pStyle w:val="Para 004"/>
      </w:pPr>
      <w:r>
        <w:rPr>
          <w:rStyle w:val="Text2"/>
        </w:rPr>
        <w:t>BytesIO class (io module)</w:t>
        <w:t xml:space="preserve">, </w:t>
      </w:r>
      <w:hyperlink w:anchor="idm45965205270352">
        <w:r>
          <w:t>In-Memory Files: io.StringIO and io.BytesIO</w:t>
        </w:r>
      </w:hyperlink>
    </w:p>
    <w:p>
      <w:pPr>
        <w:pStyle w:val="Para 003"/>
      </w:pPr>
      <w:r>
        <w:t>bytestring/byte string</w:t>
        <w:t xml:space="preserve">, </w:t>
      </w:r>
      <w:hyperlink w:anchor="idm45965212842176">
        <w:r>
          <w:rPr>
            <w:rStyle w:val="Text1"/>
          </w:rPr>
          <w:t>Strings and Things</w:t>
        </w:r>
      </w:hyperlink>
    </w:p>
    <w:p>
      <w:pPr>
        <w:pStyle w:val="Para 003"/>
      </w:pPr>
      <w:r>
        <w:t>bzip2 file compression</w:t>
        <w:t xml:space="preserve">, </w:t>
      </w:r>
      <w:hyperlink w:anchor="idm45965206435248">
        <w:r>
          <w:rPr>
            <w:rStyle w:val="Text1"/>
          </w:rPr>
          <w:t>File and Text Operations</w:t>
        </w:r>
      </w:hyperlink>
    </w:p>
    <w:p>
      <w:pPr>
        <w:keepNext/>
        <w:pStyle w:val="Heading 3"/>
      </w:pPr>
      <w:r>
        <w:t>C</w:t>
      </w:r>
    </w:p>
    <w:p>
      <w:pPr>
        <w:pStyle w:val="Para 004"/>
      </w:pPr>
      <w:r>
        <w:rPr>
          <w:rStyle w:val="Text2"/>
        </w:rPr>
        <w:t>C API</w:t>
        <w:t xml:space="preserve">, </w:t>
      </w:r>
      <w:hyperlink w:anchor="idm45965162811856">
        <w:r>
          <w:t>Extending and Embedding Classic Python</w:t>
        </w:r>
      </w:hyperlink>
    </w:p>
    <w:p>
      <w:pPr>
        <w:pStyle w:val="Para 003"/>
      </w:pPr>
      <w:r>
        <w:t>cache (functools module)</w:t>
        <w:t xml:space="preserve">, </w:t>
      </w:r>
      <w:hyperlink w:anchor="idm45965277657072">
        <w:r>
          <w:rPr>
            <w:rStyle w:val="Text1"/>
          </w:rPr>
          <w:t>The functools Module</w:t>
        </w:r>
      </w:hyperlink>
    </w:p>
    <w:p>
      <w:pPr>
        <w:pStyle w:val="Para 003"/>
      </w:pPr>
      <w:r>
        <w:t>cached_property (functools module)</w:t>
        <w:t xml:space="preserve">, </w:t>
      </w:r>
      <w:hyperlink w:anchor="idm45965277671088">
        <w:r>
          <w:rPr>
            <w:rStyle w:val="Text1"/>
          </w:rPr>
          <w:t>The functools Module</w:t>
        </w:r>
      </w:hyperlink>
    </w:p>
    <w:p>
      <w:pPr>
        <w:pStyle w:val="Para 003"/>
      </w:pPr>
      <w:r>
        <w:t>caching</w:t>
        <w:t xml:space="preserve">, </w:t>
      </w:r>
      <w:hyperlink w:anchor="idm45965180431888">
        <w:r>
          <w:rPr>
            <w:rStyle w:val="Text1"/>
          </w:rPr>
          <w:t>Memoizing</w:t>
        </w:r>
      </w:hyperlink>
    </w:p>
    <w:p>
      <w:pPr>
        <w:pStyle w:val="Para 003"/>
      </w:pPr>
      <w:r>
        <w:t>calcsize (struct module)</w:t>
        <w:t xml:space="preserve">, </w:t>
      </w:r>
      <w:hyperlink w:anchor="idm45965205348864">
        <w:r>
          <w:rPr>
            <w:rStyle w:val="Text1"/>
          </w:rPr>
          <w:t>The struct Module</w:t>
        </w:r>
      </w:hyperlink>
    </w:p>
    <w:p>
      <w:pPr>
        <w:pStyle w:val="Para 004"/>
      </w:pPr>
      <w:r>
        <w:rPr>
          <w:rStyle w:val="Text2"/>
        </w:rPr>
        <w:t>calendar module</w:t>
        <w:t xml:space="preserve">, </w:t>
      </w:r>
      <w:hyperlink w:anchor="idm45965195043472">
        <w:r>
          <w:t>The calendar Module</w:t>
        </w:r>
      </w:hyperlink>
    </w:p>
    <w:p>
      <w:pPr>
        <w:pStyle w:val="Para 003"/>
      </w:pPr>
      <w:r>
        <w:t>callable (built-in function)</w:t>
        <w:t xml:space="preserve">, </w:t>
      </w:r>
      <w:hyperlink w:anchor="idm45965216177136">
        <w:r>
          <w:rPr>
            <w:rStyle w:val="Text1"/>
          </w:rPr>
          <w:t>Built-in Functions</w:t>
        </w:r>
      </w:hyperlink>
    </w:p>
    <w:p>
      <w:pPr>
        <w:pStyle w:val="Para 003"/>
      </w:pPr>
      <w:r>
        <w:t>Callable (typing module)</w:t>
        <w:t xml:space="preserve">, </w:t>
      </w:r>
      <w:hyperlink w:anchor="idm45965268545040">
        <w:r>
          <w:rPr>
            <w:rStyle w:val="Text1"/>
          </w:rPr>
          <w:t>Types</w:t>
        </w:r>
      </w:hyperlink>
    </w:p>
    <w:p>
      <w:pPr>
        <w:pStyle w:val="Para 004"/>
      </w:pPr>
      <w:r>
        <w:rPr>
          <w:rStyle w:val="Text2"/>
        </w:rPr>
        <w:t>callable attributes</w:t>
        <w:t xml:space="preserve">, </w:t>
      </w:r>
      <w:hyperlink w:anchor="idm45965258666608">
        <w:r>
          <w:t>Object attributes and items</w:t>
        </w:r>
      </w:hyperlink>
    </w:p>
    <w:p>
      <w:pPr>
        <w:pStyle w:val="Para 004"/>
      </w:pPr>
      <w:r>
        <w:rPr>
          <w:rStyle w:val="Text2"/>
        </w:rPr>
        <w:t>callable instances</w:t>
        <w:t xml:space="preserve">, </w:t>
      </w:r>
      <w:hyperlink w:anchor="idm45965264992848">
        <w:r>
          <w:t>General-Purpose Special Methods</w:t>
        </w:r>
      </w:hyperlink>
    </w:p>
    <w:p>
      <w:pPr>
        <w:pStyle w:val="Para 003"/>
      </w:pPr>
      <w:r>
        <w:t>callables</w:t>
        <w:t xml:space="preserve">, </w:t>
      </w:r>
      <w:hyperlink w:anchor="idm45965279209984">
        <w:r>
          <w:rPr>
            <w:rStyle w:val="Text1"/>
          </w:rPr>
          <w:t>Callables</w:t>
        </w:r>
      </w:hyperlink>
    </w:p>
    <w:p>
      <w:pPr>
        <w:pStyle w:val="Para 003"/>
      </w:pPr>
      <w:r>
        <w:t>cancel (threading module)</w:t>
        <w:t xml:space="preserve">, </w:t>
      </w:r>
      <w:hyperlink w:anchor="idm45965192627984">
        <w:r>
          <w:rPr>
            <w:rStyle w:val="Text1"/>
          </w:rPr>
          <w:t>Timer objects</w:t>
        </w:r>
      </w:hyperlink>
    </w:p>
    <w:p>
      <w:pPr>
        <w:pStyle w:val="Para 003"/>
      </w:pPr>
      <w:r>
        <w:t>capitalize method (string method)</w:t>
        <w:t xml:space="preserve">, </w:t>
      </w:r>
      <w:hyperlink w:anchor="idm45965212788592">
        <w:r>
          <w:rPr>
            <w:rStyle w:val="Text1"/>
          </w:rPr>
          <w:t>Methods of String Objects</w:t>
        </w:r>
      </w:hyperlink>
    </w:p>
    <w:p>
      <w:pPr>
        <w:pStyle w:val="Para 003"/>
      </w:pPr>
      <w:r>
        <w:t>capture patterns</w:t>
        <w:t xml:space="preserve">, </w:t>
      </w:r>
      <w:hyperlink w:anchor="idm45965263808672">
        <w:r>
          <w:rPr>
            <w:rStyle w:val="Text1"/>
          </w:rPr>
          <w:t>Capture patterns</w:t>
        </w:r>
      </w:hyperlink>
    </w:p>
    <w:p>
      <w:pPr>
        <w:pStyle w:val="Para 003"/>
      </w:pPr>
      <w:r>
        <w:t>carriage return (\r)</w:t>
        <w:t xml:space="preserve">, </w:t>
      </w:r>
      <w:hyperlink w:anchor="idm45965279004128">
        <w:r>
          <w:rPr>
            <w:rStyle w:val="Text1"/>
          </w:rPr>
          <w:t>Strings</w:t>
        </w:r>
      </w:hyperlink>
    </w:p>
    <w:p>
      <w:pPr>
        <w:pStyle w:val="Para 003"/>
      </w:pPr>
      <w:r>
        <w:t>case</w:t>
      </w:r>
    </w:p>
    <w:p>
      <w:pPr>
        <w:pStyle w:val="Para 003"/>
      </w:pPr>
      <w:r>
        <w:t>in class names</w:t>
        <w:t xml:space="preserve">, </w:t>
      </w:r>
      <w:hyperlink w:anchor="idm45965276623216">
        <w:r>
          <w:rPr>
            <w:rStyle w:val="Text1"/>
          </w:rPr>
          <w:t>Identifiers</w:t>
        </w:r>
      </w:hyperlink>
    </w:p>
    <w:p>
      <w:pPr>
        <w:pStyle w:val="Para 003"/>
      </w:pPr>
      <w:r>
        <w:t>in identifier names</w:t>
        <w:t xml:space="preserve">, </w:t>
      </w:r>
      <w:hyperlink w:anchor="idm45965284334336">
        <w:r>
          <w:rPr>
            <w:rStyle w:val="Text1"/>
          </w:rPr>
          <w:t>Identifiers</w:t>
        </w:r>
      </w:hyperlink>
    </w:p>
    <w:p>
      <w:pPr>
        <w:pStyle w:val="Para 004"/>
      </w:pPr>
      <w:r>
        <w:rPr>
          <w:rStyle w:val="Text2"/>
        </w:rPr>
        <w:t>case clauses</w:t>
        <w:t xml:space="preserve">, </w:t>
      </w:r>
      <w:hyperlink w:anchor="idm45965282208912">
        <w:r>
          <w:t>The match Statement</w:t>
        </w:r>
      </w:hyperlink>
      <w:r>
        <w:rPr>
          <w:rStyle w:val="Text2"/>
        </w:rPr>
        <w:t xml:space="preserve">, </w:t>
      </w:r>
      <w:hyperlink w:anchor="idm45965272414416">
        <w:r>
          <w:t>Guards</w:t>
        </w:r>
      </w:hyperlink>
    </w:p>
    <w:p>
      <w:pPr>
        <w:pStyle w:val="Para 004"/>
      </w:pPr>
      <w:r>
        <w:rPr>
          <w:rStyle w:val="Text2"/>
        </w:rPr>
        <w:t>case soft keyword</w:t>
        <w:t xml:space="preserve">, </w:t>
      </w:r>
      <w:hyperlink w:anchor="idm45965276551376">
        <w:r>
          <w:t>Keywords</w:t>
        </w:r>
      </w:hyperlink>
      <w:r>
        <w:rPr>
          <w:rStyle w:val="Text2"/>
        </w:rPr>
        <w:t xml:space="preserve">, </w:t>
      </w:r>
      <w:hyperlink w:anchor="idm45965263983584">
        <w:r>
          <w:t>The match Statement</w:t>
        </w:r>
      </w:hyperlink>
    </w:p>
    <w:p>
      <w:pPr>
        <w:pStyle w:val="Para 004"/>
      </w:pPr>
      <w:r>
        <w:rPr>
          <w:rStyle w:val="Text2"/>
        </w:rPr>
        <w:t>casefold (str method)</w:t>
        <w:t xml:space="preserve">, </w:t>
      </w:r>
      <w:hyperlink w:anchor="idm45965212781264">
        <w:r>
          <w:t>Methods of String Objects</w:t>
        </w:r>
      </w:hyperlink>
    </w:p>
    <w:p>
      <w:pPr>
        <w:pStyle w:val="Para 004"/>
      </w:pPr>
      <w:r>
        <w:rPr>
          <w:rStyle w:val="Text2"/>
        </w:rPr>
        <w:t>cast (typing module)</w:t>
        <w:t xml:space="preserve">, </w:t>
      </w:r>
      <w:hyperlink w:anchor="idm45965268109008">
        <w:r>
          <w:t>Utilities and Decorators</w:t>
        </w:r>
      </w:hyperlink>
    </w:p>
    <w:p>
      <w:pPr>
        <w:pStyle w:val="Para 004"/>
      </w:pPr>
      <w:r>
        <w:rPr>
          <w:rStyle w:val="Text2"/>
        </w:rPr>
        <w:t>center (string method)</w:t>
        <w:t xml:space="preserve">, </w:t>
      </w:r>
      <w:hyperlink w:anchor="idm45965212770240">
        <w:r>
          <w:t>Methods of String Objects</w:t>
        </w:r>
      </w:hyperlink>
    </w:p>
    <w:p>
      <w:pPr>
        <w:pStyle w:val="Para 004"/>
      </w:pPr>
      <w:r>
        <w:rPr>
          <w:rStyle w:val="Text2"/>
        </w:rPr>
        <w:t>CFFI</w:t>
        <w:t xml:space="preserve">, </w:t>
      </w:r>
      <w:hyperlink w:anchor="idm45965262200400">
        <w:r>
          <w:t>The Python Standard Library and Extension Modules</w:t>
        </w:r>
      </w:hyperlink>
      <w:r>
        <w:rPr>
          <w:rStyle w:val="Text2"/>
        </w:rPr>
        <w:t xml:space="preserve">, </w:t>
      </w:r>
      <w:hyperlink w:anchor="idm45965162792832">
        <w:r>
          <w:t>Online Material</w:t>
        </w:r>
      </w:hyperlink>
    </w:p>
    <w:p>
      <w:pPr>
        <w:pStyle w:val="Para 003"/>
      </w:pPr>
      <w:r>
        <w:t>CGI (Common Gateway Interface)</w:t>
        <w:t xml:space="preserve">, </w:t>
      </w:r>
      <w:hyperlink w:anchor="idm45965174960848">
        <w:r>
          <w:rPr>
            <w:rStyle w:val="Text1"/>
          </w:rPr>
          <w:t>Serving HTTP</w:t>
        </w:r>
      </w:hyperlink>
    </w:p>
    <w:p>
      <w:pPr>
        <w:pStyle w:val="Para 003"/>
      </w:pPr>
      <w:r>
        <w:t>chain (itertools module)</w:t>
        <w:t xml:space="preserve">, </w:t>
      </w:r>
      <w:hyperlink w:anchor="idm45965213811856">
        <w:r>
          <w:rPr>
            <w:rStyle w:val="Text1"/>
          </w:rPr>
          <w:t>The itertools Module</w:t>
        </w:r>
      </w:hyperlink>
    </w:p>
    <w:p>
      <w:pPr>
        <w:pStyle w:val="Para 003"/>
      </w:pPr>
      <w:r>
        <w:t>chain.from_iterable (itertools module)</w:t>
        <w:t xml:space="preserve">, </w:t>
      </w:r>
      <w:hyperlink w:anchor="idm45965213791856">
        <w:r>
          <w:rPr>
            <w:rStyle w:val="Text1"/>
          </w:rPr>
          <w:t>The itertools Module</w:t>
        </w:r>
      </w:hyperlink>
    </w:p>
    <w:p>
      <w:pPr>
        <w:pStyle w:val="Para 003"/>
      </w:pPr>
      <w:r>
        <w:t>ChainMap class (collections module)</w:t>
        <w:t xml:space="preserve">, </w:t>
      </w:r>
      <w:hyperlink w:anchor="idm45965214521232">
        <w:r>
          <w:rPr>
            <w:rStyle w:val="Text1"/>
          </w:rPr>
          <w:t>ChainMap</w:t>
        </w:r>
      </w:hyperlink>
    </w:p>
    <w:p>
      <w:pPr>
        <w:pStyle w:val="Para 004"/>
      </w:pPr>
      <w:r>
        <w:rPr>
          <w:rStyle w:val="Text2"/>
        </w:rPr>
        <w:t>character sets</w:t>
        <w:t xml:space="preserve">, </w:t>
      </w:r>
      <w:hyperlink w:anchor="idm45965274382096">
        <w:r>
          <w:t>Character Sets</w:t>
        </w:r>
      </w:hyperlink>
      <w:r>
        <w:rPr>
          <w:rStyle w:val="Text2"/>
        </w:rPr>
        <w:t xml:space="preserve">, </w:t>
      </w:r>
      <w:hyperlink w:anchor="idm45965208672064">
        <w:r>
          <w:t>Sets of Characters</w:t>
        </w:r>
      </w:hyperlink>
    </w:p>
    <w:p>
      <w:pPr>
        <w:pStyle w:val="Para 004"/>
      </w:pPr>
      <w:r>
        <w:rPr>
          <w:rStyle w:val="Text2"/>
        </w:rPr>
        <w:t>chdir (contextlib module)</w:t>
        <w:t xml:space="preserve">, </w:t>
      </w:r>
      <w:hyperlink w:anchor="idm45965257230448">
        <w:r>
          <w:t>The with Statement and Context Managers</w:t>
        </w:r>
      </w:hyperlink>
    </w:p>
    <w:p>
      <w:pPr>
        <w:pStyle w:val="Para 004"/>
      </w:pPr>
      <w:r>
        <w:rPr>
          <w:rStyle w:val="Text2"/>
        </w:rPr>
        <w:t>chdir (os module)</w:t>
        <w:t xml:space="preserve">, </w:t>
      </w:r>
      <w:hyperlink w:anchor="idm45965204383456">
        <w:r>
          <w:t>File and directory functions of the os module</w:t>
        </w:r>
      </w:hyperlink>
    </w:p>
    <w:p>
      <w:pPr>
        <w:pStyle w:val="Para 004"/>
      </w:pPr>
      <w:r>
        <w:rPr>
          <w:rStyle w:val="Text2"/>
        </w:rPr>
        <w:t>checkpointing</w:t>
        <w:t xml:space="preserve">, </w:t>
      </w:r>
      <w:hyperlink w:anchor="idm45965255470720">
        <w:r>
          <w:t>Handling Errors in Large Programs</w:t>
        </w:r>
      </w:hyperlink>
    </w:p>
    <w:p>
      <w:pPr>
        <w:pStyle w:val="Para 004"/>
      </w:pPr>
      <w:r>
        <w:rPr>
          <w:rStyle w:val="Text2"/>
        </w:rPr>
        <w:t>chmod (os module)</w:t>
        <w:t xml:space="preserve">, </w:t>
      </w:r>
      <w:hyperlink w:anchor="idm45965204371888">
        <w:r>
          <w:t>File and directory functions of the os module</w:t>
        </w:r>
      </w:hyperlink>
    </w:p>
    <w:p>
      <w:pPr>
        <w:pStyle w:val="Para 003"/>
      </w:pPr>
      <w:r>
        <w:t>chmod (pathlib.Path class)</w:t>
        <w:t xml:space="preserve">, </w:t>
      </w:r>
      <w:hyperlink w:anchor="idm45965203346400">
        <w:r>
          <w:rPr>
            <w:rStyle w:val="Text1"/>
          </w:rPr>
          <w:t>The pathlib Module</w:t>
        </w:r>
      </w:hyperlink>
    </w:p>
    <w:p>
      <w:pPr>
        <w:pStyle w:val="Para 003"/>
      </w:pPr>
      <w:r>
        <w:t>choice (random module)</w:t>
        <w:t xml:space="preserve">, </w:t>
      </w:r>
      <w:hyperlink w:anchor="idm45965186443680">
        <w:r>
          <w:rPr>
            <w:rStyle w:val="Text1"/>
          </w:rPr>
          <w:t>The random Module</w:t>
        </w:r>
      </w:hyperlink>
    </w:p>
    <w:p>
      <w:pPr>
        <w:pStyle w:val="Para 004"/>
      </w:pPr>
      <w:r>
        <w:rPr>
          <w:rStyle w:val="Text2"/>
        </w:rPr>
        <w:t>choice (secrets module)</w:t>
        <w:t xml:space="preserve">, </w:t>
      </w:r>
      <w:hyperlink w:anchor="idm45965186290656">
        <w:r>
          <w:t>Crypto-Quality Random Numbers: The secrets Module</w:t>
        </w:r>
      </w:hyperlink>
    </w:p>
    <w:p>
      <w:pPr>
        <w:pStyle w:val="Para 003"/>
      </w:pPr>
      <w:r>
        <w:t>chr (built-in function)</w:t>
        <w:t xml:space="preserve">, </w:t>
      </w:r>
      <w:hyperlink w:anchor="idm45965216167952">
        <w:r>
          <w:rPr>
            <w:rStyle w:val="Text1"/>
          </w:rPr>
          <w:t>Built-in Functions</w:t>
        </w:r>
      </w:hyperlink>
    </w:p>
    <w:p>
      <w:pPr>
        <w:pStyle w:val="Para 004"/>
      </w:pPr>
      <w:r>
        <w:rPr>
          <w:rStyle w:val="Text2"/>
        </w:rPr>
        <w:t>chroot-jail process</w:t>
        <w:t xml:space="preserve">, </w:t>
      </w:r>
      <w:hyperlink w:anchor="idm45965177662928">
        <w:r>
          <w:t>The Berkeley Socket Interface</w:t>
        </w:r>
      </w:hyperlink>
    </w:p>
    <w:p>
      <w:pPr>
        <w:pStyle w:val="Para 003"/>
      </w:pPr>
      <w:r>
        <w:t>circular imports</w:t>
        <w:t xml:space="preserve">, </w:t>
      </w:r>
      <w:hyperlink w:anchor="idm45965254142496">
        <w:r>
          <w:rPr>
            <w:rStyle w:val="Text1"/>
          </w:rPr>
          <w:t>Circular Imports</w:t>
        </w:r>
      </w:hyperlink>
    </w:p>
    <w:p>
      <w:pPr>
        <w:pStyle w:val="Para 003"/>
      </w:pPr>
      <w:r>
        <w:t>class names</w:t>
        <w:t xml:space="preserve">, </w:t>
      </w:r>
      <w:hyperlink w:anchor="idm45965258396304">
        <w:r>
          <w:rPr>
            <w:rStyle w:val="Text1"/>
          </w:rPr>
          <w:t>Identifiers</w:t>
        </w:r>
      </w:hyperlink>
    </w:p>
    <w:p>
      <w:pPr>
        <w:pStyle w:val="Para 003"/>
      </w:pPr>
      <w:r>
        <w:t>class patterns</w:t>
        <w:t xml:space="preserve">, </w:t>
      </w:r>
      <w:hyperlink w:anchor="idm45965279357568">
        <w:r>
          <w:rPr>
            <w:rStyle w:val="Text1"/>
          </w:rPr>
          <w:t>Class patterns</w:t>
        </w:r>
      </w:hyperlink>
      <w:r>
        <w:t xml:space="preserve"> (</w:t>
        <w:t>see</w:t>
        <w:t xml:space="preserve"> also match)</w:t>
      </w:r>
    </w:p>
    <w:p>
      <w:pPr>
        <w:pStyle w:val="Para 004"/>
      </w:pPr>
      <w:r>
        <w:rPr>
          <w:rStyle w:val="Text2"/>
        </w:rPr>
        <w:t>class statements</w:t>
        <w:t xml:space="preserve">, </w:t>
      </w:r>
      <w:hyperlink w:anchor="idm45965272022672">
        <w:r>
          <w:t>The class Statement</w:t>
        </w:r>
      </w:hyperlink>
    </w:p>
    <w:p>
      <w:pPr>
        <w:pStyle w:val="Para 003"/>
      </w:pPr>
      <w:r>
        <w:t>class-private variables</w:t>
        <w:t xml:space="preserve">, </w:t>
      </w:r>
      <w:hyperlink w:anchor="idm45965271651328">
        <w:r>
          <w:rPr>
            <w:rStyle w:val="Text1"/>
          </w:rPr>
          <w:t>Class-private variables</w:t>
        </w:r>
      </w:hyperlink>
    </w:p>
    <w:p>
      <w:pPr>
        <w:pStyle w:val="Para 004"/>
      </w:pPr>
      <w:r>
        <w:rPr>
          <w:rStyle w:val="Text2"/>
        </w:rPr>
        <w:t>classes</w:t>
        <w:t xml:space="preserve">, </w:t>
      </w:r>
      <w:hyperlink w:anchor="idm45965272324192">
        <w:r>
          <w:t>Configuring classes for positional matching</w:t>
        </w:r>
      </w:hyperlink>
      <w:r>
        <w:rPr>
          <w:rStyle w:val="Text2"/>
        </w:rPr>
        <w:t xml:space="preserve">, </w:t>
      </w:r>
      <w:hyperlink w:anchor="classes04">
        <w:r>
          <w:t>Classes and Instances</w:t>
        </w:r>
      </w:hyperlink>
      <w:r>
        <w:rPr>
          <w:rStyle w:val="Text2"/>
        </w:rPr>
        <w:t>-</w:t>
      </w:r>
      <w:hyperlink w:anchor="idm45965265089632">
        <w:r>
          <w:t>Inheritance from Built-in Types</w:t>
        </w:r>
      </w:hyperlink>
    </w:p>
    <w:p>
      <w:pPr>
        <w:pStyle w:val="Para 003"/>
      </w:pPr>
      <w:r>
        <w:t>attribute reference basics</w:t>
        <w:t xml:space="preserve">, </w:t>
      </w:r>
      <w:hyperlink w:anchor="idm45965266744464">
        <w:r>
          <w:rPr>
            <w:rStyle w:val="Text1"/>
          </w:rPr>
          <w:t>Attribute Reference Basics</w:t>
        </w:r>
      </w:hyperlink>
    </w:p>
    <w:p>
      <w:pPr>
        <w:pStyle w:val="Para 003"/>
      </w:pPr>
      <w:r>
        <w:t>bound and unbound methods</w:t>
        <w:t xml:space="preserve">, </w:t>
      </w:r>
      <w:hyperlink w:anchor="idm45965266429376">
        <w:r>
          <w:rPr>
            <w:rStyle w:val="Text1"/>
          </w:rPr>
          <w:t>Bound and Unbound Methods</w:t>
        </w:r>
      </w:hyperlink>
    </w:p>
    <w:p>
      <w:pPr>
        <w:pStyle w:val="Para 004"/>
      </w:pPr>
      <w:r>
        <w:rPr>
          <w:rStyle w:val="Text2"/>
        </w:rPr>
        <w:t>class body</w:t>
        <w:t xml:space="preserve">, </w:t>
      </w:r>
      <w:hyperlink w:anchor="idm45965271928096">
        <w:r>
          <w:t>The Class Body</w:t>
        </w:r>
      </w:hyperlink>
    </w:p>
    <w:p>
      <w:pPr>
        <w:pStyle w:val="Para 004"/>
      </w:pPr>
      <w:r>
        <w:rPr>
          <w:rStyle w:val="Text2"/>
        </w:rPr>
        <w:t>class statements</w:t>
        <w:t xml:space="preserve">, </w:t>
      </w:r>
      <w:hyperlink w:anchor="idm45965272024080">
        <w:r>
          <w:t>The class Statement</w:t>
        </w:r>
      </w:hyperlink>
    </w:p>
    <w:p>
      <w:pPr>
        <w:pStyle w:val="Para 003"/>
      </w:pPr>
      <w:r>
        <w:t>class-level methods</w:t>
        <w:t xml:space="preserve">, </w:t>
      </w:r>
      <w:hyperlink w:anchor="idm45965276836528">
        <w:r>
          <w:rPr>
            <w:rStyle w:val="Text1"/>
          </w:rPr>
          <w:t>Class-Level Methods</w:t>
        </w:r>
      </w:hyperlink>
    </w:p>
    <w:p>
      <w:pPr>
        <w:pStyle w:val="Para 004"/>
      </w:pPr>
      <w:r>
        <w:rPr>
          <w:rStyle w:val="Text2"/>
        </w:rPr>
        <w:t>configuring for positional matching</w:t>
        <w:t xml:space="preserve">, </w:t>
      </w:r>
      <w:hyperlink w:anchor="idm45965272325536">
        <w:r>
          <w:t>Configuring classes for positional matching</w:t>
        </w:r>
      </w:hyperlink>
    </w:p>
    <w:p>
      <w:pPr>
        <w:pStyle w:val="Para 003"/>
      </w:pPr>
      <w:r>
        <w:t>descriptors</w:t>
        <w:t xml:space="preserve">, </w:t>
      </w:r>
      <w:hyperlink w:anchor="idm45965271606656">
        <w:r>
          <w:rPr>
            <w:rStyle w:val="Text1"/>
          </w:rPr>
          <w:t>Descriptors</w:t>
        </w:r>
      </w:hyperlink>
    </w:p>
    <w:p>
      <w:pPr>
        <w:pStyle w:val="Para 003"/>
      </w:pPr>
      <w:r>
        <w:t>inheritance</w:t>
        <w:t xml:space="preserve">, </w:t>
      </w:r>
      <w:hyperlink w:anchor="idm45965266009504">
        <w:r>
          <w:rPr>
            <w:rStyle w:val="Text1"/>
          </w:rPr>
          <w:t>Inheritance</w:t>
        </w:r>
      </w:hyperlink>
    </w:p>
    <w:p>
      <w:pPr>
        <w:pStyle w:val="Para 003"/>
      </w:pPr>
      <w:r>
        <w:t>inheritance from built-in types</w:t>
        <w:t xml:space="preserve">, </w:t>
      </w:r>
      <w:hyperlink w:anchor="idm45965265132384">
        <w:r>
          <w:rPr>
            <w:rStyle w:val="Text1"/>
          </w:rPr>
          <w:t>Inheritance from Built-in Types</w:t>
        </w:r>
      </w:hyperlink>
    </w:p>
    <w:p>
      <w:pPr>
        <w:pStyle w:val="Para 003"/>
      </w:pPr>
      <w:r>
        <w:t>instances</w:t>
        <w:t xml:space="preserve">, </w:t>
      </w:r>
      <w:hyperlink w:anchor="idm45965271383648">
        <w:r>
          <w:rPr>
            <w:rStyle w:val="Text1"/>
          </w:rPr>
          <w:t>Instances</w:t>
        </w:r>
      </w:hyperlink>
    </w:p>
    <w:p>
      <w:pPr>
        <w:pStyle w:val="Para 003"/>
      </w:pPr>
      <w:r>
        <w:t>per instance methods</w:t>
        <w:t xml:space="preserve">, </w:t>
      </w:r>
      <w:hyperlink w:anchor="idm45965265186096">
        <w:r>
          <w:rPr>
            <w:rStyle w:val="Text1"/>
          </w:rPr>
          <w:t>Per Instance Methods</w:t>
        </w:r>
      </w:hyperlink>
    </w:p>
    <w:p>
      <w:pPr>
        <w:pStyle w:val="Para 003"/>
      </w:pPr>
      <w:r>
        <w:t>properties</w:t>
        <w:t xml:space="preserve">, </w:t>
      </w:r>
      <w:hyperlink w:anchor="idm45965273131776">
        <w:r>
          <w:rPr>
            <w:rStyle w:val="Text1"/>
          </w:rPr>
          <w:t>Properties</w:t>
        </w:r>
      </w:hyperlink>
    </w:p>
    <w:p>
      <w:pPr>
        <w:pStyle w:val="Para 003"/>
      </w:pPr>
      <w:r>
        <w:t>__getattribute__ (special method)</w:t>
        <w:t xml:space="preserve">, </w:t>
      </w:r>
      <w:hyperlink w:anchor="idm45965265291040">
        <w:r>
          <w:rPr>
            <w:rStyle w:val="Text1"/>
          </w:rPr>
          <w:t>__getattribute__</w:t>
        </w:r>
      </w:hyperlink>
    </w:p>
    <w:p>
      <w:pPr>
        <w:pStyle w:val="Para 003"/>
      </w:pPr>
      <w:r>
        <w:t>__slots__ attribute</w:t>
        <w:t xml:space="preserve">, </w:t>
      </w:r>
      <w:hyperlink w:anchor="idm45965265424272">
        <w:r>
          <w:rPr>
            <w:rStyle w:val="Text1"/>
          </w:rPr>
          <w:t>__slots__</w:t>
        </w:r>
      </w:hyperlink>
    </w:p>
    <w:p>
      <w:pPr>
        <w:pStyle w:val="Para 003"/>
      </w:pPr>
      <w:r>
        <w:t>CLDR (Common Locale Data Repository)</w:t>
        <w:t xml:space="preserve">, </w:t>
      </w:r>
      <w:hyperlink w:anchor="idm45965200592208">
        <w:r>
          <w:rPr>
            <w:rStyle w:val="Text1"/>
          </w:rPr>
          <w:t>More Internationalization Resources</w:t>
        </w:r>
      </w:hyperlink>
    </w:p>
    <w:p>
      <w:pPr>
        <w:pStyle w:val="Para 003"/>
      </w:pPr>
      <w:r>
        <w:t>cleanup handlers</w:t>
        <w:t xml:space="preserve">, </w:t>
      </w:r>
      <w:hyperlink w:anchor="idm45965260250768">
        <w:r>
          <w:rPr>
            <w:rStyle w:val="Text1"/>
          </w:rPr>
          <w:t>try/finally</w:t>
        </w:r>
      </w:hyperlink>
    </w:p>
    <w:p>
      <w:pPr>
        <w:pStyle w:val="Para 003"/>
      </w:pPr>
      <w:r>
        <w:t>clear (threading module)</w:t>
        <w:t xml:space="preserve">, </w:t>
      </w:r>
      <w:hyperlink w:anchor="idm45965192913008">
        <w:r>
          <w:rPr>
            <w:rStyle w:val="Text1"/>
          </w:rPr>
          <w:t>Event objects</w:t>
        </w:r>
      </w:hyperlink>
    </w:p>
    <w:p>
      <w:pPr>
        <w:pStyle w:val="Para 003"/>
      </w:pPr>
      <w:r>
        <w:t>clear method</w:t>
      </w:r>
    </w:p>
    <w:p>
      <w:pPr>
        <w:pStyle w:val="Para 003"/>
      </w:pPr>
      <w:r>
        <w:t>collections.deque</w:t>
        <w:t xml:space="preserve">, </w:t>
      </w:r>
      <w:hyperlink w:anchor="idm45965277726064">
        <w:r>
          <w:rPr>
            <w:rStyle w:val="Text1"/>
          </w:rPr>
          <w:t>deque</w:t>
        </w:r>
      </w:hyperlink>
    </w:p>
    <w:p>
      <w:pPr>
        <w:pStyle w:val="Para 004"/>
      </w:pPr>
      <w:r>
        <w:rPr>
          <w:rStyle w:val="Text2"/>
        </w:rPr>
        <w:t>dict type</w:t>
        <w:t xml:space="preserve">, </w:t>
      </w:r>
      <w:hyperlink w:anchor="idm45965283466640">
        <w:r>
          <w:t>Dictionary Methods</w:t>
        </w:r>
      </w:hyperlink>
    </w:p>
    <w:p>
      <w:pPr>
        <w:pStyle w:val="Para 004"/>
      </w:pPr>
      <w:r>
        <w:rPr>
          <w:rStyle w:val="Text2"/>
        </w:rPr>
        <w:t>list type</w:t>
        <w:t xml:space="preserve">, </w:t>
      </w:r>
      <w:hyperlink w:anchor="idm45965278821808">
        <w:r>
          <w:t>List methods</w:t>
        </w:r>
      </w:hyperlink>
    </w:p>
    <w:p>
      <w:pPr>
        <w:pStyle w:val="Para 004"/>
      </w:pPr>
      <w:r>
        <w:rPr>
          <w:rStyle w:val="Text2"/>
        </w:rPr>
        <w:t>set type</w:t>
        <w:t xml:space="preserve">, </w:t>
      </w:r>
      <w:hyperlink w:anchor="idm45965278519760">
        <w:r>
          <w:t>Set Methods</w:t>
        </w:r>
      </w:hyperlink>
    </w:p>
    <w:p>
      <w:pPr>
        <w:pStyle w:val="Para 004"/>
      </w:pPr>
      <w:r>
        <w:rPr>
          <w:rStyle w:val="Text2"/>
        </w:rPr>
        <w:t>client codes</w:t>
        <w:t xml:space="preserve">, </w:t>
      </w:r>
      <w:hyperlink w:anchor="idm45965205946464">
        <w:r>
          <w:t>File-Like Objects and Polymorphism</w:t>
        </w:r>
      </w:hyperlink>
    </w:p>
    <w:p>
      <w:pPr>
        <w:pStyle w:val="Para 003"/>
      </w:pPr>
      <w:r>
        <w:t>client-side network modules</w:t>
        <w:t xml:space="preserve"> (</w:t>
        <w:t>see</w:t>
        <w:t xml:space="preserve"> network protocol modules)</w:t>
      </w:r>
    </w:p>
    <w:p>
      <w:pPr>
        <w:pStyle w:val="Para 004"/>
      </w:pPr>
      <w:r>
        <w:rPr>
          <w:rStyle w:val="Text2"/>
        </w:rPr>
        <w:t>client/server computing</w:t>
        <w:t xml:space="preserve">, </w:t>
      </w:r>
      <w:hyperlink w:anchor="clsercomp18">
        <w:r>
          <w:t>Client/Server Computing</w:t>
        </w:r>
      </w:hyperlink>
      <w:r>
        <w:rPr>
          <w:rStyle w:val="Text2"/>
        </w:rPr>
        <w:t>-</w:t>
      </w:r>
      <w:hyperlink w:anchor="idm45965177549904">
        <w:r>
          <w:t>Connection-oriented client and server structures</w:t>
        </w:r>
      </w:hyperlink>
    </w:p>
    <w:p>
      <w:pPr>
        <w:pStyle w:val="Para 004"/>
      </w:pPr>
      <w:r>
        <w:rPr>
          <w:rStyle w:val="Text2"/>
        </w:rPr>
        <w:t>close (file method)</w:t>
        <w:t xml:space="preserve">, </w:t>
      </w:r>
      <w:hyperlink w:anchor="idm45965206170624">
        <w:r>
          <w:t>Attributes and Methods of File Objects</w:t>
        </w:r>
      </w:hyperlink>
    </w:p>
    <w:p>
      <w:pPr>
        <w:pStyle w:val="Para 003"/>
      </w:pPr>
      <w:r>
        <w:t>close (fileinput module)</w:t>
        <w:t xml:space="preserve">, </w:t>
      </w:r>
      <w:hyperlink w:anchor="idm45965205615296">
        <w:r>
          <w:rPr>
            <w:rStyle w:val="Text1"/>
          </w:rPr>
          <w:t>The fileinput Module</w:t>
        </w:r>
      </w:hyperlink>
    </w:p>
    <w:p>
      <w:pPr>
        <w:pStyle w:val="Para 004"/>
      </w:pPr>
      <w:r>
        <w:rPr>
          <w:rStyle w:val="Text2"/>
        </w:rPr>
        <w:t>closing (contextlib module)</w:t>
        <w:t xml:space="preserve">, </w:t>
      </w:r>
      <w:hyperlink w:anchor="idm45965257222464">
        <w:r>
          <w:t>The with Statement and Context Managers</w:t>
        </w:r>
      </w:hyperlink>
    </w:p>
    <w:p>
      <w:pPr>
        <w:pStyle w:val="Para 004"/>
      </w:pPr>
      <w:r>
        <w:rPr>
          <w:rStyle w:val="Text2"/>
        </w:rPr>
        <w:t>closures</w:t>
        <w:t xml:space="preserve">, </w:t>
      </w:r>
      <w:hyperlink w:anchor="idm45965269911792">
        <w:r>
          <w:t>Nested functions and nested scopes</w:t>
        </w:r>
      </w:hyperlink>
    </w:p>
    <w:p>
      <w:pPr>
        <w:pStyle w:val="Para 004"/>
      </w:pPr>
      <w:r>
        <w:rPr>
          <w:rStyle w:val="Text2"/>
        </w:rPr>
        <w:t>cmath module</w:t>
        <w:t xml:space="preserve">, </w:t>
      </w:r>
      <w:hyperlink w:anchor="cmathmod16">
        <w:r>
          <w:t>The math and cmath Modules</w:t>
        </w:r>
      </w:hyperlink>
      <w:r>
        <w:rPr>
          <w:rStyle w:val="Text2"/>
        </w:rPr>
        <w:t>-</w:t>
      </w:r>
      <w:hyperlink w:anchor="idm45965186887696">
        <w:r>
          <w:t>The math and cmath Modules</w:t>
        </w:r>
      </w:hyperlink>
    </w:p>
    <w:p>
      <w:pPr>
        <w:pStyle w:val="Para 004"/>
      </w:pPr>
      <w:r>
        <w:rPr>
          <w:rStyle w:val="Text2"/>
        </w:rPr>
        <w:t>code conversion</w:t>
        <w:t xml:space="preserve">, </w:t>
      </w:r>
      <w:hyperlink w:anchor="idm45965162501024">
        <w:r>
          <w:t>Upgrade Automation Using pyupgrade</w:t>
        </w:r>
      </w:hyperlink>
    </w:p>
    <w:p>
      <w:pPr>
        <w:pStyle w:val="Para 003"/>
      </w:pPr>
      <w:r>
        <w:t>code examples, obtaining and using</w:t>
        <w:t xml:space="preserve">, </w:t>
      </w:r>
      <w:hyperlink w:anchor="idm45965283820064">
        <w:r>
          <w:rPr>
            <w:rStyle w:val="Text1"/>
          </w:rPr>
          <w:t>Using Code Examples</w:t>
        </w:r>
      </w:hyperlink>
    </w:p>
    <w:p>
      <w:pPr>
        <w:pStyle w:val="Para 004"/>
      </w:pPr>
      <w:r>
        <w:rPr>
          <w:rStyle w:val="Text2"/>
        </w:rPr>
        <w:t>code hosting</w:t>
        <w:t xml:space="preserve">, </w:t>
      </w:r>
      <w:hyperlink w:anchor="idm45965178158928">
        <w:r>
          <w:t>Optimizing loops</w:t>
        </w:r>
      </w:hyperlink>
    </w:p>
    <w:p>
      <w:pPr>
        <w:pStyle w:val="Para 004"/>
      </w:pPr>
      <w:r>
        <w:rPr>
          <w:rStyle w:val="Text2"/>
        </w:rPr>
        <w:t>code objects</w:t>
        <w:t xml:space="preserve">, </w:t>
      </w:r>
      <w:hyperlink w:anchor="idm45965194703920">
        <w:r>
          <w:t>compile and Code Objects</w:t>
        </w:r>
      </w:hyperlink>
      <w:r>
        <w:rPr>
          <w:rStyle w:val="Text2"/>
        </w:rPr>
        <w:t xml:space="preserve">, </w:t>
      </w:r>
      <w:hyperlink w:anchor="idm45965194307312">
        <w:r>
          <w:t>The Code Object Type</w:t>
        </w:r>
      </w:hyperlink>
    </w:p>
    <w:p>
      <w:pPr>
        <w:pStyle w:val="Para 004"/>
      </w:pPr>
      <w:r>
        <w:rPr>
          <w:rStyle w:val="Text2"/>
        </w:rPr>
        <w:t>code, untrusted</w:t>
        <w:t xml:space="preserve">, </w:t>
      </w:r>
      <w:hyperlink w:anchor="idm45965194377792">
        <w:r>
          <w:t>Never exec or eval Untrusted Code</w:t>
        </w:r>
      </w:hyperlink>
    </w:p>
    <w:p>
      <w:pPr>
        <w:pStyle w:val="Para 004"/>
      </w:pPr>
      <w:r>
        <w:rPr>
          <w:rStyle w:val="Text2"/>
        </w:rPr>
        <w:t>codecs module</w:t>
        <w:t xml:space="preserve">, </w:t>
      </w:r>
      <w:hyperlink w:anchor="idm45965209326816">
        <w:r>
          <w:t>The codecs Module</w:t>
        </w:r>
      </w:hyperlink>
    </w:p>
    <w:p>
      <w:pPr>
        <w:pStyle w:val="Para 003"/>
      </w:pPr>
      <w:r>
        <w:t>coding directive comments</w:t>
        <w:t xml:space="preserve">, </w:t>
      </w:r>
      <w:hyperlink w:anchor="idm45965284074320">
        <w:r>
          <w:rPr>
            <w:rStyle w:val="Text1"/>
          </w:rPr>
          <w:t>Character Sets</w:t>
        </w:r>
      </w:hyperlink>
    </w:p>
    <w:p>
      <w:pPr>
        <w:pStyle w:val="Para 003"/>
      </w:pPr>
      <w:r>
        <w:t>collect (gc module)</w:t>
        <w:t xml:space="preserve">, </w:t>
      </w:r>
      <w:hyperlink w:anchor="idm45965194163344">
        <w:r>
          <w:rPr>
            <w:rStyle w:val="Text1"/>
          </w:rPr>
          <w:t>The gc Module</w:t>
        </w:r>
      </w:hyperlink>
    </w:p>
    <w:p>
      <w:pPr>
        <w:pStyle w:val="Para 004"/>
      </w:pPr>
      <w:r>
        <w:rPr>
          <w:rStyle w:val="Text2"/>
        </w:rPr>
        <w:t>collections module</w:t>
        <w:t xml:space="preserve">, </w:t>
      </w:r>
      <w:hyperlink w:anchor="idm45965281841488">
        <w:r>
          <w:t>ABCs in the collections module</w:t>
        </w:r>
      </w:hyperlink>
      <w:r>
        <w:rPr>
          <w:rStyle w:val="Text2"/>
        </w:rPr>
        <w:t xml:space="preserve">, </w:t>
      </w:r>
      <w:hyperlink w:anchor="colmod08">
        <w:r>
          <w:t>The collections Module</w:t>
        </w:r>
      </w:hyperlink>
      <w:r>
        <w:rPr>
          <w:rStyle w:val="Text2"/>
        </w:rPr>
        <w:t>-</w:t>
      </w:r>
      <w:hyperlink w:anchor="idm45965277693424">
        <w:r>
          <w:t>deque</w:t>
        </w:r>
      </w:hyperlink>
    </w:p>
    <w:p>
      <w:pPr>
        <w:pStyle w:val="Para 004"/>
      </w:pPr>
      <w:r>
        <w:rPr>
          <w:rStyle w:val="Text2"/>
        </w:rPr>
        <w:t>colon (:)</w:t>
        <w:t xml:space="preserve">, </w:t>
      </w:r>
      <w:hyperlink w:anchor="idm45965276528064">
        <w:r>
          <w:t>Delimiters</w:t>
        </w:r>
      </w:hyperlink>
      <w:r>
        <w:rPr>
          <w:rStyle w:val="Text2"/>
        </w:rPr>
        <w:t xml:space="preserve">, </w:t>
      </w:r>
      <w:hyperlink w:anchor="idm45965281958912">
        <w:r>
          <w:t>Compound statements</w:t>
        </w:r>
      </w:hyperlink>
      <w:r>
        <w:rPr>
          <w:rStyle w:val="Text2"/>
        </w:rPr>
        <w:t xml:space="preserve">, </w:t>
      </w:r>
      <w:hyperlink w:anchor="idm45965269501504">
        <w:r>
          <w:t>Dictionaries</w:t>
        </w:r>
      </w:hyperlink>
    </w:p>
    <w:p>
      <w:pPr>
        <w:pStyle w:val="Para 003"/>
      </w:pPr>
      <w:r>
        <w:t>colorama package</w:t>
        <w:t xml:space="preserve">, </w:t>
      </w:r>
      <w:hyperlink w:anchor="idm45965201543136">
        <w:r>
          <w:rPr>
            <w:rStyle w:val="Text1"/>
          </w:rPr>
          <w:t>Console I/O</w:t>
        </w:r>
      </w:hyperlink>
    </w:p>
    <w:p>
      <w:pPr>
        <w:pStyle w:val="Para 003"/>
      </w:pPr>
      <w:r>
        <w:t>colored text</w:t>
        <w:t xml:space="preserve">, </w:t>
      </w:r>
      <w:hyperlink w:anchor="idm45965201544416">
        <w:r>
          <w:rPr>
            <w:rStyle w:val="Text1"/>
          </w:rPr>
          <w:t>Console I/O</w:t>
        </w:r>
      </w:hyperlink>
    </w:p>
    <w:p>
      <w:pPr>
        <w:pStyle w:val="Para 004"/>
      </w:pPr>
      <w:r>
        <w:rPr>
          <w:rStyle w:val="Text2"/>
        </w:rPr>
        <w:t>comb (math module)</w:t>
        <w:t xml:space="preserve">, </w:t>
      </w:r>
      <w:hyperlink w:anchor="idm45965187375808">
        <w:r>
          <w:t>The math and cmath Modules</w:t>
        </w:r>
      </w:hyperlink>
    </w:p>
    <w:p>
      <w:pPr>
        <w:pStyle w:val="Para 003"/>
      </w:pPr>
      <w:r>
        <w:t>combinatorial generators</w:t>
        <w:t xml:space="preserve">, </w:t>
      </w:r>
      <w:hyperlink w:anchor="idm45965213847360">
        <w:r>
          <w:rPr>
            <w:rStyle w:val="Text1"/>
          </w:rPr>
          <w:t>The itertools Module</w:t>
        </w:r>
      </w:hyperlink>
    </w:p>
    <w:p>
      <w:pPr>
        <w:pStyle w:val="Para 003"/>
      </w:pPr>
      <w:r>
        <w:t>combine (datetime.datetime class)</w:t>
        <w:t xml:space="preserve">, </w:t>
      </w:r>
      <w:hyperlink w:anchor="idm45965196206928">
        <w:r>
          <w:rPr>
            <w:rStyle w:val="Text1"/>
          </w:rPr>
          <w:t>The datetime Class</w:t>
        </w:r>
      </w:hyperlink>
    </w:p>
    <w:p>
      <w:pPr>
        <w:pStyle w:val="Para 003"/>
      </w:pPr>
      <w:r>
        <w:t>comma (,)</w:t>
      </w:r>
    </w:p>
    <w:p>
      <w:pPr>
        <w:pStyle w:val="Para 003"/>
      </w:pPr>
      <w:r>
        <w:t>in delete statements</w:t>
        <w:t xml:space="preserve">, </w:t>
      </w:r>
      <w:hyperlink w:anchor="idm45965283234128">
        <w:r>
          <w:rPr>
            <w:rStyle w:val="Text1"/>
          </w:rPr>
          <w:t>del Statements</w:t>
        </w:r>
      </w:hyperlink>
    </w:p>
    <w:p>
      <w:pPr>
        <w:pStyle w:val="Para 003"/>
      </w:pPr>
      <w:r>
        <w:t>in dictionaries</w:t>
        <w:t xml:space="preserve">, </w:t>
      </w:r>
      <w:hyperlink w:anchor="idm45965269498912">
        <w:r>
          <w:rPr>
            <w:rStyle w:val="Text1"/>
          </w:rPr>
          <w:t>Dictionaries</w:t>
        </w:r>
      </w:hyperlink>
    </w:p>
    <w:p>
      <w:pPr>
        <w:pStyle w:val="Para 003"/>
      </w:pPr>
      <w:r>
        <w:t>in global statements</w:t>
        <w:t xml:space="preserve">, </w:t>
      </w:r>
      <w:hyperlink w:anchor="idm45965270149392">
        <w:r>
          <w:rPr>
            <w:rStyle w:val="Text1"/>
          </w:rPr>
          <w:t>The global statement</w:t>
        </w:r>
      </w:hyperlink>
    </w:p>
    <w:p>
      <w:pPr>
        <w:pStyle w:val="Para 003"/>
      </w:pPr>
      <w:r>
        <w:t>in lists</w:t>
        <w:t xml:space="preserve">, </w:t>
      </w:r>
      <w:hyperlink w:anchor="idm45965265589168">
        <w:r>
          <w:rPr>
            <w:rStyle w:val="Text1"/>
          </w:rPr>
          <w:t>Lists</w:t>
        </w:r>
      </w:hyperlink>
    </w:p>
    <w:p>
      <w:pPr>
        <w:pStyle w:val="Para 003"/>
      </w:pPr>
      <w:r>
        <w:t>in tuples</w:t>
        <w:t xml:space="preserve">, </w:t>
      </w:r>
      <w:hyperlink w:anchor="idm45965264102544">
        <w:r>
          <w:rPr>
            <w:rStyle w:val="Text1"/>
          </w:rPr>
          <w:t>Tuples</w:t>
        </w:r>
      </w:hyperlink>
    </w:p>
    <w:p>
      <w:pPr>
        <w:pStyle w:val="Para 004"/>
      </w:pPr>
      <w:r>
        <w:rPr>
          <w:rStyle w:val="Text2"/>
        </w:rPr>
        <w:t>command-line options</w:t>
        <w:t xml:space="preserve">, </w:t>
      </w:r>
      <w:hyperlink w:anchor="clinesyn02">
        <w:r>
          <w:t>Command-Line Syntax and Options</w:t>
        </w:r>
      </w:hyperlink>
      <w:r>
        <w:rPr>
          <w:rStyle w:val="Text2"/>
        </w:rPr>
        <w:t>-</w:t>
      </w:r>
      <w:hyperlink w:anchor="idm45965265747360">
        <w:r>
          <w:t>Command-Line Syntax and Options</w:t>
        </w:r>
      </w:hyperlink>
    </w:p>
    <w:p>
      <w:pPr>
        <w:pStyle w:val="Para 003"/>
      </w:pPr>
      <w:r>
        <w:t>parsing (argparse module)</w:t>
        <w:t xml:space="preserve">, </w:t>
      </w:r>
      <w:hyperlink w:anchor="idm45965214112592">
        <w:r>
          <w:rPr>
            <w:rStyle w:val="Text1"/>
          </w:rPr>
          <w:t>The argparse Module</w:t>
        </w:r>
      </w:hyperlink>
    </w:p>
    <w:p>
      <w:pPr>
        <w:pStyle w:val="Para 004"/>
      </w:pPr>
      <w:r>
        <w:rPr>
          <w:rStyle w:val="Text2"/>
        </w:rPr>
        <w:t>commands (executing system)</w:t>
        <w:t xml:space="preserve">, </w:t>
      </w:r>
      <w:hyperlink w:anchor="idm45965188801728">
        <w:r>
          <w:t>Running Other Programs with the os Module</w:t>
        </w:r>
      </w:hyperlink>
    </w:p>
    <w:p>
      <w:pPr>
        <w:pStyle w:val="Para 003"/>
      </w:pPr>
      <w:r>
        <w:t>comments and questions</w:t>
        <w:t xml:space="preserve">, </w:t>
      </w:r>
      <w:hyperlink w:anchor="idm45965252641456">
        <w:r>
          <w:rPr>
            <w:rStyle w:val="Text1"/>
          </w:rPr>
          <w:t>How to Contact Us</w:t>
        </w:r>
      </w:hyperlink>
    </w:p>
    <w:p>
      <w:pPr>
        <w:pStyle w:val="Para 003"/>
      </w:pPr>
      <w:r>
        <w:t>Common Gateway Interface (CGI)</w:t>
        <w:t xml:space="preserve">, </w:t>
      </w:r>
      <w:hyperlink w:anchor="idm45965174961952">
        <w:r>
          <w:rPr>
            <w:rStyle w:val="Text1"/>
          </w:rPr>
          <w:t>Serving HTTP</w:t>
        </w:r>
      </w:hyperlink>
    </w:p>
    <w:p>
      <w:pPr>
        <w:pStyle w:val="Para 003"/>
      </w:pPr>
      <w:r>
        <w:t>Common Locale Data Repository (CLDR)</w:t>
        <w:t xml:space="preserve">, </w:t>
      </w:r>
      <w:hyperlink w:anchor="idm45965200593312">
        <w:r>
          <w:rPr>
            <w:rStyle w:val="Text1"/>
          </w:rPr>
          <w:t>More Internationalization Resources</w:t>
        </w:r>
      </w:hyperlink>
    </w:p>
    <w:p>
      <w:pPr>
        <w:pStyle w:val="Para 003"/>
      </w:pPr>
      <w:r>
        <w:t>commonpath (os.path module)</w:t>
        <w:t xml:space="preserve">, </w:t>
      </w:r>
      <w:hyperlink w:anchor="idm45965203826976">
        <w:r>
          <w:rPr>
            <w:rStyle w:val="Text1"/>
          </w:rPr>
          <w:t>The os.path Module</w:t>
        </w:r>
      </w:hyperlink>
    </w:p>
    <w:p>
      <w:pPr>
        <w:pStyle w:val="Para 003"/>
      </w:pPr>
      <w:r>
        <w:t>commonprefix (os.path module)</w:t>
        <w:t xml:space="preserve">, </w:t>
      </w:r>
      <w:hyperlink w:anchor="idm45965203820736">
        <w:r>
          <w:rPr>
            <w:rStyle w:val="Text1"/>
          </w:rPr>
          <w:t>The os.path Module</w:t>
        </w:r>
      </w:hyperlink>
    </w:p>
    <w:p>
      <w:pPr>
        <w:pStyle w:val="Para 003"/>
      </w:pPr>
      <w:r>
        <w:t>comparison</w:t>
      </w:r>
    </w:p>
    <w:p>
      <w:pPr>
        <w:pStyle w:val="Para 003"/>
      </w:pPr>
      <w:r>
        <w:t>comparison chaining</w:t>
        <w:t xml:space="preserve">, </w:t>
      </w:r>
      <w:hyperlink w:anchor="idm45965275128480">
        <w:r>
          <w:rPr>
            <w:rStyle w:val="Text1"/>
          </w:rPr>
          <w:t>Comparison Chaining</w:t>
        </w:r>
      </w:hyperlink>
    </w:p>
    <w:p>
      <w:pPr>
        <w:pStyle w:val="Para 003"/>
      </w:pPr>
      <w:r>
        <w:t>comparison operators</w:t>
        <w:t xml:space="preserve">, </w:t>
      </w:r>
      <w:hyperlink w:anchor="idm45965276203312">
        <w:r>
          <w:rPr>
            <w:rStyle w:val="Text1"/>
          </w:rPr>
          <w:t>Comparisons</w:t>
        </w:r>
      </w:hyperlink>
    </w:p>
    <w:p>
      <w:pPr>
        <w:pStyle w:val="Para 003"/>
      </w:pPr>
      <w:r>
        <w:t>lexicographic comparison</w:t>
        <w:t xml:space="preserve">, </w:t>
      </w:r>
      <w:hyperlink w:anchor="idm45965264582304">
        <w:r>
          <w:rPr>
            <w:rStyle w:val="Text1"/>
          </w:rPr>
          <w:t>Sequences</w:t>
        </w:r>
      </w:hyperlink>
    </w:p>
    <w:p>
      <w:pPr>
        <w:pStyle w:val="Para 004"/>
      </w:pPr>
      <w:r>
        <w:rPr>
          <w:rStyle w:val="Text2"/>
        </w:rPr>
        <w:t>special methods for</w:t>
        <w:t xml:space="preserve">, </w:t>
      </w:r>
      <w:hyperlink w:anchor="idm45965265026672">
        <w:r>
          <w:t>General-Purpose Special Methods</w:t>
        </w:r>
      </w:hyperlink>
    </w:p>
    <w:p>
      <w:pPr>
        <w:pStyle w:val="Para 004"/>
      </w:pPr>
      <w:r>
        <w:rPr>
          <w:rStyle w:val="Text2"/>
        </w:rPr>
        <w:t>compile (built-in function)</w:t>
        <w:t xml:space="preserve">, </w:t>
      </w:r>
      <w:hyperlink w:anchor="idm45965216158144">
        <w:r>
          <w:t>Built-in Functions</w:t>
        </w:r>
      </w:hyperlink>
      <w:r>
        <w:rPr>
          <w:rStyle w:val="Text2"/>
        </w:rPr>
        <w:t xml:space="preserve">, </w:t>
      </w:r>
      <w:hyperlink w:anchor="idm45965194704992">
        <w:r>
          <w:t>compile and Code Objects</w:t>
        </w:r>
      </w:hyperlink>
    </w:p>
    <w:p>
      <w:pPr>
        <w:pStyle w:val="Para 004"/>
      </w:pPr>
      <w:r>
        <w:rPr>
          <w:rStyle w:val="Text2"/>
        </w:rPr>
        <w:t>compile (re module)</w:t>
        <w:t xml:space="preserve">, </w:t>
      </w:r>
      <w:hyperlink w:anchor="idm45965206891552">
        <w:r>
          <w:t>Functions of the re Module</w:t>
        </w:r>
      </w:hyperlink>
    </w:p>
    <w:p>
      <w:pPr>
        <w:pStyle w:val="Para 003"/>
      </w:pPr>
      <w:r>
        <w:t>complex (built-in type)</w:t>
        <w:t xml:space="preserve">, </w:t>
      </w:r>
      <w:hyperlink w:anchor="idm45965216729568">
        <w:r>
          <w:rPr>
            <w:rStyle w:val="Text1"/>
          </w:rPr>
          <w:t>Built-in Types</w:t>
        </w:r>
      </w:hyperlink>
    </w:p>
    <w:p>
      <w:pPr>
        <w:pStyle w:val="Para 003"/>
      </w:pPr>
      <w:r>
        <w:t>complex numbers</w:t>
        <w:t xml:space="preserve">, </w:t>
      </w:r>
      <w:hyperlink w:anchor="idm45965282901440">
        <w:r>
          <w:rPr>
            <w:rStyle w:val="Text1"/>
          </w:rPr>
          <w:t>Complex numbers</w:t>
        </w:r>
      </w:hyperlink>
    </w:p>
    <w:p>
      <w:pPr>
        <w:pStyle w:val="Para 003"/>
      </w:pPr>
      <w:r>
        <w:t>compound statements</w:t>
        <w:t xml:space="preserve">, </w:t>
      </w:r>
      <w:hyperlink w:anchor="idm45965281964272">
        <w:r>
          <w:rPr>
            <w:rStyle w:val="Text1"/>
          </w:rPr>
          <w:t>Compound statements</w:t>
        </w:r>
      </w:hyperlink>
    </w:p>
    <w:p>
      <w:pPr>
        <w:pStyle w:val="Para 003"/>
      </w:pPr>
      <w:r>
        <w:t>compress (itertools module)</w:t>
        <w:t xml:space="preserve">, </w:t>
      </w:r>
      <w:hyperlink w:anchor="idm45965213748736">
        <w:r>
          <w:rPr>
            <w:rStyle w:val="Text1"/>
          </w:rPr>
          <w:t>The itertools Module</w:t>
        </w:r>
      </w:hyperlink>
    </w:p>
    <w:p>
      <w:pPr>
        <w:pStyle w:val="Para 004"/>
      </w:pPr>
      <w:r>
        <w:rPr>
          <w:rStyle w:val="Text2"/>
        </w:rPr>
        <w:t>compressed files</w:t>
        <w:t xml:space="preserve">, </w:t>
      </w:r>
      <w:hyperlink w:anchor="comfile11">
        <w:r>
          <w:t>Archived and Compressed Files</w:t>
        </w:r>
      </w:hyperlink>
      <w:r>
        <w:rPr>
          <w:rStyle w:val="Text2"/>
        </w:rPr>
        <w:t>-</w:t>
      </w:r>
      <w:hyperlink w:anchor="idm45965204533104">
        <w:r>
          <w:t>The ZipInfo class</w:t>
        </w:r>
      </w:hyperlink>
    </w:p>
    <w:p>
      <w:pPr>
        <w:pStyle w:val="Para 004"/>
      </w:pPr>
      <w:r>
        <w:rPr>
          <w:rStyle w:val="Text2"/>
        </w:rPr>
        <w:t>concatenation</w:t>
        <w:t xml:space="preserve">, </w:t>
      </w:r>
      <w:hyperlink w:anchor="idm45965276129424">
        <w:r>
          <w:t>Concatenation and repetition</w:t>
        </w:r>
      </w:hyperlink>
    </w:p>
    <w:p>
      <w:pPr>
        <w:pStyle w:val="Para 004"/>
      </w:pPr>
      <w:r>
        <w:rPr>
          <w:rStyle w:val="Text2"/>
        </w:rPr>
        <w:t>concrete classes</w:t>
        <w:t xml:space="preserve">, </w:t>
      </w:r>
      <w:hyperlink w:anchor="idm45965264211584">
        <w:r>
          <w:t>Abstract Base Classes</w:t>
        </w:r>
      </w:hyperlink>
    </w:p>
    <w:p>
      <w:pPr>
        <w:pStyle w:val="Para 003"/>
      </w:pPr>
      <w:r>
        <w:t>concurrency</w:t>
        <w:t xml:space="preserve"> (</w:t>
        <w:t>see</w:t>
        <w:t xml:space="preserve"> threads and processes)</w:t>
      </w:r>
    </w:p>
    <w:p>
      <w:pPr>
        <w:pStyle w:val="Para 004"/>
      </w:pPr>
      <w:r>
        <w:rPr>
          <w:rStyle w:val="Text2"/>
        </w:rPr>
        <w:t>concurrent.futures module</w:t>
        <w:t xml:space="preserve">, </w:t>
      </w:r>
      <w:hyperlink w:anchor="conmod15">
        <w:r>
          <w:t>The concurrent.futures Module</w:t>
        </w:r>
      </w:hyperlink>
      <w:r>
        <w:rPr>
          <w:rStyle w:val="Text2"/>
        </w:rPr>
        <w:t>-</w:t>
      </w:r>
      <w:hyperlink w:anchor="idm45965190381792">
        <w:r>
          <w:t>The concurrent.futures Module</w:t>
        </w:r>
      </w:hyperlink>
    </w:p>
    <w:p>
      <w:pPr>
        <w:pStyle w:val="Para 004"/>
      </w:pPr>
      <w:r>
        <w:rPr>
          <w:rStyle w:val="Text2"/>
        </w:rPr>
        <w:t>conda package management system</w:t>
        <w:t xml:space="preserve">, </w:t>
      </w:r>
      <w:hyperlink w:anchor="idm45965216851744">
        <w:r>
          <w:t>Other Environment Management Solutions</w:t>
        </w:r>
      </w:hyperlink>
    </w:p>
    <w:p>
      <w:pPr>
        <w:pStyle w:val="Para 003"/>
      </w:pPr>
      <w:r>
        <w:t>Condition (threading module)</w:t>
        <w:t xml:space="preserve">, </w:t>
      </w:r>
      <w:hyperlink w:anchor="idm45965193090448">
        <w:r>
          <w:rPr>
            <w:rStyle w:val="Text1"/>
          </w:rPr>
          <w:t>Condition objects</w:t>
        </w:r>
      </w:hyperlink>
    </w:p>
    <w:p>
      <w:pPr>
        <w:pStyle w:val="Para 003"/>
      </w:pPr>
      <w:r>
        <w:t>Condition objects</w:t>
        <w:t xml:space="preserve">, </w:t>
      </w:r>
      <w:hyperlink w:anchor="idm45965193103568">
        <w:r>
          <w:rPr>
            <w:rStyle w:val="Text1"/>
          </w:rPr>
          <w:t>Condition objects</w:t>
        </w:r>
      </w:hyperlink>
    </w:p>
    <w:p>
      <w:pPr>
        <w:pStyle w:val="Para 004"/>
      </w:pPr>
      <w:r>
        <w:rPr>
          <w:rStyle w:val="Text2"/>
        </w:rPr>
        <w:t>conditional operator</w:t>
        <w:t xml:space="preserve">, </w:t>
      </w:r>
      <w:hyperlink w:anchor="idm45965275013504">
        <w:r>
          <w:t>The conditional operator</w:t>
        </w:r>
      </w:hyperlink>
    </w:p>
    <w:p>
      <w:pPr>
        <w:pStyle w:val="Para 004"/>
      </w:pPr>
      <w:r>
        <w:rPr>
          <w:rStyle w:val="Text2"/>
        </w:rPr>
        <w:t>conferences</w:t>
        <w:t xml:space="preserve">, </w:t>
      </w:r>
      <w:hyperlink w:anchor="idm45965284027712">
        <w:r>
          <w:t>Python conferences</w:t>
        </w:r>
      </w:hyperlink>
    </w:p>
    <w:p>
      <w:pPr>
        <w:pStyle w:val="Para 004"/>
      </w:pPr>
      <w:r>
        <w:rPr>
          <w:rStyle w:val="Text2"/>
        </w:rPr>
        <w:t>conjugate</w:t>
        <w:t xml:space="preserve">, </w:t>
      </w:r>
      <w:hyperlink w:anchor="idm45965282870480">
        <w:r>
          <w:t>Complex numbers</w:t>
        </w:r>
      </w:hyperlink>
    </w:p>
    <w:p>
      <w:pPr>
        <w:pStyle w:val="Para 003"/>
      </w:pPr>
      <w:r>
        <w:t>connect function (DBAPI-compliant modules)</w:t>
        <w:t xml:space="preserve">, </w:t>
      </w:r>
      <w:hyperlink w:anchor="idm45965197650704">
        <w:r>
          <w:rPr>
            <w:rStyle w:val="Text1"/>
          </w:rPr>
          <w:t>The connect Function</w:t>
        </w:r>
      </w:hyperlink>
    </w:p>
    <w:p>
      <w:pPr>
        <w:pStyle w:val="Para 003"/>
      </w:pPr>
      <w:r>
        <w:t>connection objects (DBAPI-compliant modules)</w:t>
        <w:t xml:space="preserve">, </w:t>
      </w:r>
      <w:hyperlink w:anchor="idm45965197635136">
        <w:r>
          <w:rPr>
            <w:rStyle w:val="Text1"/>
          </w:rPr>
          <w:t>Connection Objects</w:t>
        </w:r>
      </w:hyperlink>
    </w:p>
    <w:p>
      <w:pPr>
        <w:pStyle w:val="Para 004"/>
      </w:pPr>
      <w:r>
        <w:rPr>
          <w:rStyle w:val="Text2"/>
        </w:rPr>
        <w:t>connection-oriented protocols</w:t>
        <w:t xml:space="preserve">, </w:t>
      </w:r>
      <w:hyperlink w:anchor="idm45965177695328">
        <w:r>
          <w:t>Networking Basics</w:t>
        </w:r>
      </w:hyperlink>
      <w:r>
        <w:rPr>
          <w:rStyle w:val="Text2"/>
        </w:rPr>
        <w:t xml:space="preserve">, </w:t>
      </w:r>
      <w:hyperlink w:anchor="idm45965177616208">
        <w:r>
          <w:t>Client/Server Computing</w:t>
        </w:r>
      </w:hyperlink>
    </w:p>
    <w:p>
      <w:pPr>
        <w:pStyle w:val="Para 003"/>
      </w:pPr>
      <w:r>
        <w:t>connection-oriented socket clients</w:t>
        <w:t xml:space="preserve">, </w:t>
      </w:r>
      <w:hyperlink w:anchor="idm45965176774752">
        <w:r>
          <w:rPr>
            <w:rStyle w:val="Text1"/>
          </w:rPr>
          <w:t>A Connection-Oriented Socket Client</w:t>
        </w:r>
      </w:hyperlink>
    </w:p>
    <w:p>
      <w:pPr>
        <w:pStyle w:val="Para 003"/>
      </w:pPr>
      <w:r>
        <w:t>connection-oriented socket servers</w:t>
        <w:t xml:space="preserve">, </w:t>
      </w:r>
      <w:hyperlink w:anchor="idm45965176558192">
        <w:r>
          <w:rPr>
            <w:rStyle w:val="Text1"/>
          </w:rPr>
          <w:t>A Connection-Oriented Socket Server</w:t>
        </w:r>
      </w:hyperlink>
    </w:p>
    <w:p>
      <w:pPr>
        <w:pStyle w:val="Para 004"/>
      </w:pPr>
      <w:r>
        <w:rPr>
          <w:rStyle w:val="Text2"/>
        </w:rPr>
        <w:t>connectionless protocols</w:t>
        <w:t xml:space="preserve">, </w:t>
      </w:r>
      <w:hyperlink w:anchor="idm45965177689152">
        <w:r>
          <w:t>Networking Basics</w:t>
        </w:r>
      </w:hyperlink>
      <w:r>
        <w:rPr>
          <w:rStyle w:val="Text2"/>
        </w:rPr>
        <w:t xml:space="preserve">, </w:t>
      </w:r>
      <w:hyperlink w:anchor="idm45965177618080">
        <w:r>
          <w:t>Client/Server Computing</w:t>
        </w:r>
      </w:hyperlink>
    </w:p>
    <w:p>
      <w:pPr>
        <w:pStyle w:val="Para 003"/>
      </w:pPr>
      <w:r>
        <w:t>connectionless socket clients</w:t>
        <w:t xml:space="preserve">, </w:t>
      </w:r>
      <w:hyperlink w:anchor="idm45965177136272">
        <w:r>
          <w:rPr>
            <w:rStyle w:val="Text1"/>
          </w:rPr>
          <w:t>A Connectionless Socket Client</w:t>
        </w:r>
      </w:hyperlink>
    </w:p>
    <w:p>
      <w:pPr>
        <w:pStyle w:val="Para 003"/>
      </w:pPr>
      <w:r>
        <w:t>connectionless socket servers</w:t>
        <w:t xml:space="preserve">, </w:t>
      </w:r>
      <w:hyperlink w:anchor="idm45965176941728">
        <w:r>
          <w:rPr>
            <w:rStyle w:val="Text1"/>
          </w:rPr>
          <w:t>A Connectionless Socket Server</w:t>
        </w:r>
      </w:hyperlink>
    </w:p>
    <w:p>
      <w:pPr>
        <w:pStyle w:val="Para 003"/>
      </w:pPr>
      <w:r>
        <w:t>console I/O</w:t>
        <w:t xml:space="preserve">, </w:t>
      </w:r>
      <w:hyperlink w:anchor="idm45965201549296">
        <w:r>
          <w:rPr>
            <w:rStyle w:val="Text1"/>
          </w:rPr>
          <w:t>Console I/O</w:t>
        </w:r>
      </w:hyperlink>
    </w:p>
    <w:p>
      <w:pPr>
        <w:pStyle w:val="Para 003"/>
      </w:pPr>
      <w:r>
        <w:t>constant time performance (O(1))</w:t>
        <w:t xml:space="preserve">, </w:t>
      </w:r>
      <w:hyperlink w:anchor="idm45965181045312">
        <w:r>
          <w:rPr>
            <w:rStyle w:val="Text1"/>
          </w:rPr>
          <w:t>Large-Scale Optimization</w:t>
        </w:r>
      </w:hyperlink>
    </w:p>
    <w:p>
      <w:pPr>
        <w:pStyle w:val="Para 003"/>
      </w:pPr>
      <w:r>
        <w:t>containers</w:t>
      </w:r>
    </w:p>
    <w:p>
      <w:pPr>
        <w:pStyle w:val="Para 004"/>
      </w:pPr>
      <w:r>
        <w:rPr>
          <w:rStyle w:val="Text2"/>
        </w:rPr>
        <w:t>indexing and</w:t>
        <w:t xml:space="preserve">, </w:t>
      </w:r>
      <w:hyperlink w:anchor="idm45965258601600">
        <w:r>
          <w:t>Plain assignment</w:t>
        </w:r>
      </w:hyperlink>
    </w:p>
    <w:p>
      <w:pPr>
        <w:pStyle w:val="Para 004"/>
      </w:pPr>
      <w:r>
        <w:rPr>
          <w:rStyle w:val="Text2"/>
        </w:rPr>
        <w:t>object attributes and</w:t>
        <w:t xml:space="preserve">, </w:t>
      </w:r>
      <w:hyperlink w:anchor="idm45965258674160">
        <w:r>
          <w:t>Object attributes and items</w:t>
        </w:r>
      </w:hyperlink>
    </w:p>
    <w:p>
      <w:pPr>
        <w:pStyle w:val="Para 004"/>
      </w:pPr>
      <w:r>
        <w:rPr>
          <w:rStyle w:val="Text2"/>
        </w:rPr>
        <w:t>special methods for</w:t>
        <w:t xml:space="preserve">, </w:t>
      </w:r>
      <w:hyperlink w:anchor="Cspecial04">
        <w:r>
          <w:t>Special Methods for Containers</w:t>
        </w:r>
      </w:hyperlink>
      <w:r>
        <w:rPr>
          <w:rStyle w:val="Text2"/>
        </w:rPr>
        <w:t>-</w:t>
      </w:r>
      <w:hyperlink w:anchor="idm45965264218784">
        <w:r>
          <w:t>Container methods</w:t>
        </w:r>
      </w:hyperlink>
    </w:p>
    <w:p>
      <w:pPr>
        <w:pStyle w:val="Para 004"/>
      </w:pPr>
      <w:r>
        <w:rPr>
          <w:rStyle w:val="Text2"/>
        </w:rPr>
        <w:t>context managers</w:t>
        <w:t xml:space="preserve">, </w:t>
      </w:r>
      <w:hyperlink w:anchor="idm45965260219264">
        <w:r>
          <w:t>try/finally</w:t>
        </w:r>
      </w:hyperlink>
      <w:r>
        <w:rPr>
          <w:rStyle w:val="Text2"/>
        </w:rPr>
        <w:t xml:space="preserve">, </w:t>
      </w:r>
      <w:hyperlink w:anchor="conman06">
        <w:r>
          <w:t>The with Statement and Context Managers</w:t>
        </w:r>
      </w:hyperlink>
      <w:r>
        <w:rPr>
          <w:rStyle w:val="Text2"/>
        </w:rPr>
        <w:t>-</w:t>
      </w:r>
      <w:hyperlink w:anchor="idm45965257157328">
        <w:r>
          <w:t>The with Statement and Context Managers</w:t>
        </w:r>
      </w:hyperlink>
    </w:p>
    <w:p>
      <w:pPr>
        <w:pStyle w:val="Para 004"/>
      </w:pPr>
      <w:r>
        <w:rPr>
          <w:rStyle w:val="Text2"/>
        </w:rPr>
        <w:t>contextlib module</w:t>
        <w:t xml:space="preserve">, </w:t>
      </w:r>
      <w:hyperlink w:anchor="idm45965257346176">
        <w:r>
          <w:t>The with Statement and Context Managers</w:t>
        </w:r>
      </w:hyperlink>
    </w:p>
    <w:p>
      <w:pPr>
        <w:pStyle w:val="Para 004"/>
      </w:pPr>
      <w:r>
        <w:rPr>
          <w:rStyle w:val="Text2"/>
        </w:rPr>
        <w:t>contextmanager (contextlib module)</w:t>
        <w:t xml:space="preserve">, </w:t>
      </w:r>
      <w:hyperlink w:anchor="idm45965257214384">
        <w:r>
          <w:t>The with Statement and Context Managers</w:t>
        </w:r>
      </w:hyperlink>
    </w:p>
    <w:p>
      <w:pPr>
        <w:pStyle w:val="Para 004"/>
      </w:pPr>
      <w:r>
        <w:rPr>
          <w:rStyle w:val="Text2"/>
        </w:rPr>
        <w:t>continuation lines</w:t>
        <w:t xml:space="preserve">, </w:t>
      </w:r>
      <w:hyperlink w:anchor="idm45965274399136">
        <w:r>
          <w:t>Lines and Indentation</w:t>
        </w:r>
      </w:hyperlink>
    </w:p>
    <w:p>
      <w:pPr>
        <w:pStyle w:val="Para 004"/>
      </w:pPr>
      <w:r>
        <w:rPr>
          <w:rStyle w:val="Text2"/>
        </w:rPr>
        <w:t>continue statements</w:t>
        <w:t xml:space="preserve">, </w:t>
      </w:r>
      <w:hyperlink w:anchor="idm45965270987264">
        <w:r>
          <w:t>The continue Statement</w:t>
        </w:r>
      </w:hyperlink>
    </w:p>
    <w:p>
      <w:pPr>
        <w:pStyle w:val="Para 003"/>
      </w:pPr>
      <w:r>
        <w:t>control characters</w:t>
        <w:t xml:space="preserve">, </w:t>
      </w:r>
      <w:hyperlink w:anchor="idm45965282196192">
        <w:r>
          <w:rPr>
            <w:rStyle w:val="Text1"/>
          </w:rPr>
          <w:t>Delimiters</w:t>
        </w:r>
      </w:hyperlink>
    </w:p>
    <w:p>
      <w:pPr>
        <w:pStyle w:val="Para 004"/>
      </w:pPr>
      <w:r>
        <w:rPr>
          <w:rStyle w:val="Text2"/>
        </w:rPr>
        <w:t>control flow statements</w:t>
        <w:t xml:space="preserve">, </w:t>
      </w:r>
      <w:hyperlink w:anchor="conflo03">
        <w:r>
          <w:t>Control Flow Statements</w:t>
        </w:r>
      </w:hyperlink>
      <w:r>
        <w:rPr>
          <w:rStyle w:val="Text2"/>
        </w:rPr>
        <w:t>-</w:t>
      </w:r>
      <w:hyperlink w:anchor="idm45965270595952">
        <w:r>
          <w:t>The with Statement</w:t>
        </w:r>
      </w:hyperlink>
    </w:p>
    <w:p>
      <w:pPr>
        <w:pStyle w:val="Para 004"/>
      </w:pPr>
      <w:r>
        <w:rPr>
          <w:rStyle w:val="Text2"/>
        </w:rPr>
        <w:t>break</w:t>
        <w:t xml:space="preserve">, </w:t>
      </w:r>
      <w:hyperlink w:anchor="idm45965271069824">
        <w:r>
          <w:t>The break Statement</w:t>
        </w:r>
      </w:hyperlink>
    </w:p>
    <w:p>
      <w:pPr>
        <w:pStyle w:val="Para 004"/>
      </w:pPr>
      <w:r>
        <w:rPr>
          <w:rStyle w:val="Text2"/>
        </w:rPr>
        <w:t>continue</w:t>
        <w:t xml:space="preserve">, </w:t>
      </w:r>
      <w:hyperlink w:anchor="idm45965270988672">
        <w:r>
          <w:t>The continue Statement</w:t>
        </w:r>
      </w:hyperlink>
    </w:p>
    <w:p>
      <w:pPr>
        <w:pStyle w:val="Para 004"/>
      </w:pPr>
      <w:r>
        <w:rPr>
          <w:rStyle w:val="Text2"/>
        </w:rPr>
        <w:t>else clause</w:t>
        <w:t xml:space="preserve">, </w:t>
      </w:r>
      <w:hyperlink w:anchor="idm45965282459984">
        <w:r>
          <w:t>The if Statement</w:t>
        </w:r>
      </w:hyperlink>
      <w:r>
        <w:rPr>
          <w:rStyle w:val="Text2"/>
        </w:rPr>
        <w:t xml:space="preserve">, </w:t>
      </w:r>
      <w:hyperlink w:anchor="idm45965274665424">
        <w:r>
          <w:t>The while Statement</w:t>
        </w:r>
      </w:hyperlink>
      <w:r>
        <w:rPr>
          <w:rStyle w:val="Text2"/>
        </w:rPr>
        <w:t xml:space="preserve">, </w:t>
      </w:r>
      <w:hyperlink w:anchor="idm45965270807712">
        <w:r>
          <w:t>The else Clause on Loop Statements</w:t>
        </w:r>
      </w:hyperlink>
      <w:r>
        <w:rPr>
          <w:rStyle w:val="Text2"/>
        </w:rPr>
        <w:t xml:space="preserve">, </w:t>
      </w:r>
      <w:hyperlink w:anchor="idm45965260387808">
        <w:r>
          <w:t>try/except</w:t>
        </w:r>
      </w:hyperlink>
    </w:p>
    <w:p>
      <w:pPr>
        <w:pStyle w:val="Para 004"/>
      </w:pPr>
      <w:r>
        <w:rPr>
          <w:rStyle w:val="Text2"/>
        </w:rPr>
        <w:t>for statement</w:t>
        <w:t xml:space="preserve">, </w:t>
      </w:r>
      <w:hyperlink w:anchor="idm45965274590576">
        <w:r>
          <w:t>The for Statement</w:t>
        </w:r>
      </w:hyperlink>
    </w:p>
    <w:p>
      <w:pPr>
        <w:pStyle w:val="Para 004"/>
      </w:pPr>
      <w:r>
        <w:rPr>
          <w:rStyle w:val="Text2"/>
        </w:rPr>
        <w:t>if</w:t>
        <w:t xml:space="preserve">, </w:t>
      </w:r>
      <w:hyperlink w:anchor="idm45965282467648">
        <w:r>
          <w:t>The if Statement</w:t>
        </w:r>
      </w:hyperlink>
    </w:p>
    <w:p>
      <w:pPr>
        <w:pStyle w:val="Para 004"/>
      </w:pPr>
      <w:r>
        <w:rPr>
          <w:rStyle w:val="Text2"/>
        </w:rPr>
        <w:t>match</w:t>
        <w:t xml:space="preserve">, </w:t>
      </w:r>
      <w:hyperlink w:anchor="idm45965282224320">
        <w:r>
          <w:t>The match Statement</w:t>
        </w:r>
      </w:hyperlink>
    </w:p>
    <w:p>
      <w:pPr>
        <w:pStyle w:val="Para 004"/>
      </w:pPr>
      <w:r>
        <w:rPr>
          <w:rStyle w:val="Text2"/>
        </w:rPr>
        <w:t>pass</w:t>
        <w:t xml:space="preserve">, </w:t>
      </w:r>
      <w:hyperlink w:anchor="idm45965270732704">
        <w:r>
          <w:t>The pass Statement</w:t>
        </w:r>
      </w:hyperlink>
    </w:p>
    <w:p>
      <w:pPr>
        <w:pStyle w:val="Para 004"/>
      </w:pPr>
      <w:r>
        <w:rPr>
          <w:rStyle w:val="Text2"/>
        </w:rPr>
        <w:t>try and raise</w:t>
        <w:t xml:space="preserve">, </w:t>
      </w:r>
      <w:hyperlink w:anchor="idm45965270648416">
        <w:r>
          <w:t>The try and raise Statements</w:t>
        </w:r>
      </w:hyperlink>
    </w:p>
    <w:p>
      <w:pPr>
        <w:pStyle w:val="Para 004"/>
      </w:pPr>
      <w:r>
        <w:rPr>
          <w:rStyle w:val="Text2"/>
        </w:rPr>
        <w:t>while</w:t>
        <w:t xml:space="preserve">, </w:t>
      </w:r>
      <w:hyperlink w:anchor="idm45965274701504">
        <w:r>
          <w:t>The while Statement</w:t>
        </w:r>
      </w:hyperlink>
    </w:p>
    <w:p>
      <w:pPr>
        <w:pStyle w:val="Para 004"/>
      </w:pPr>
      <w:r>
        <w:rPr>
          <w:rStyle w:val="Text2"/>
        </w:rPr>
        <w:t>with</w:t>
        <w:t xml:space="preserve">, </w:t>
      </w:r>
      <w:hyperlink w:anchor="idm45965270603904">
        <w:r>
          <w:t>The with Statement</w:t>
        </w:r>
      </w:hyperlink>
    </w:p>
    <w:p>
      <w:pPr>
        <w:pStyle w:val="Para 004"/>
      </w:pPr>
      <w:r>
        <w:rPr>
          <w:rStyle w:val="Text2"/>
        </w:rPr>
        <w:t>controlled deployment</w:t>
        <w:t xml:space="preserve">, </w:t>
      </w:r>
      <w:hyperlink w:anchor="idm45965162489072">
        <w:r>
          <w:t>Use a Controlled Deployment Process</w:t>
        </w:r>
      </w:hyperlink>
    </w:p>
    <w:p>
      <w:pPr>
        <w:pStyle w:val="Para 003"/>
      </w:pPr>
      <w:r>
        <w:t>copy function</w:t>
      </w:r>
    </w:p>
    <w:p>
      <w:pPr>
        <w:pStyle w:val="Para 004"/>
      </w:pPr>
      <w:r>
        <w:rPr>
          <w:rStyle w:val="Text2"/>
        </w:rPr>
        <w:t>copy module</w:t>
        <w:t xml:space="preserve">, </w:t>
      </w:r>
      <w:hyperlink w:anchor="idm45965214625552">
        <w:r>
          <w:t>The copy Module</w:t>
        </w:r>
      </w:hyperlink>
    </w:p>
    <w:p>
      <w:pPr>
        <w:pStyle w:val="Para 004"/>
      </w:pPr>
      <w:r>
        <w:rPr>
          <w:rStyle w:val="Text2"/>
        </w:rPr>
        <w:t>shutil module</w:t>
        <w:t xml:space="preserve">, </w:t>
      </w:r>
      <w:hyperlink w:anchor="idm45965202229776">
        <w:r>
          <w:t>The shutil Module</w:t>
        </w:r>
      </w:hyperlink>
    </w:p>
    <w:p>
      <w:pPr>
        <w:pStyle w:val="Para 003"/>
      </w:pPr>
      <w:r>
        <w:t>copy method</w:t>
      </w:r>
    </w:p>
    <w:p>
      <w:pPr>
        <w:pStyle w:val="Para 004"/>
      </w:pPr>
      <w:r>
        <w:rPr>
          <w:rStyle w:val="Text2"/>
        </w:rPr>
        <w:t>dict type</w:t>
        <w:t xml:space="preserve">, </w:t>
      </w:r>
      <w:hyperlink w:anchor="idm45965283502144">
        <w:r>
          <w:t>Dictionary Methods</w:t>
        </w:r>
      </w:hyperlink>
    </w:p>
    <w:p>
      <w:pPr>
        <w:pStyle w:val="Para 004"/>
      </w:pPr>
      <w:r>
        <w:rPr>
          <w:rStyle w:val="Text2"/>
        </w:rPr>
        <w:t>set type</w:t>
        <w:t xml:space="preserve">, </w:t>
      </w:r>
      <w:hyperlink w:anchor="idm45965278601312">
        <w:r>
          <w:t>Set Methods</w:t>
        </w:r>
      </w:hyperlink>
    </w:p>
    <w:p>
      <w:pPr>
        <w:pStyle w:val="Para 004"/>
      </w:pPr>
      <w:r>
        <w:rPr>
          <w:rStyle w:val="Text2"/>
        </w:rPr>
        <w:t>copy module</w:t>
        <w:t xml:space="preserve">, </w:t>
      </w:r>
      <w:hyperlink w:anchor="idm45965214667520">
        <w:r>
          <w:t>The copy Module</w:t>
        </w:r>
      </w:hyperlink>
    </w:p>
    <w:p>
      <w:pPr>
        <w:pStyle w:val="Para 003"/>
      </w:pPr>
      <w:r>
        <w:t>copyfile function (shutil module)</w:t>
        <w:t xml:space="preserve">, </w:t>
      </w:r>
      <w:hyperlink w:anchor="idm45965202211504">
        <w:r>
          <w:rPr>
            <w:rStyle w:val="Text1"/>
          </w:rPr>
          <w:t>The shutil Module</w:t>
        </w:r>
      </w:hyperlink>
    </w:p>
    <w:p>
      <w:pPr>
        <w:pStyle w:val="Para 003"/>
      </w:pPr>
      <w:r>
        <w:t>copyfileobj function (shutil module)</w:t>
        <w:t xml:space="preserve">, </w:t>
      </w:r>
      <w:hyperlink w:anchor="idm45965202204112">
        <w:r>
          <w:rPr>
            <w:rStyle w:val="Text1"/>
          </w:rPr>
          <w:t>The shutil Module</w:t>
        </w:r>
      </w:hyperlink>
    </w:p>
    <w:p>
      <w:pPr>
        <w:pStyle w:val="Para 003"/>
      </w:pPr>
      <w:r>
        <w:t>copymode function (shutil module)</w:t>
        <w:t xml:space="preserve">, </w:t>
      </w:r>
      <w:hyperlink w:anchor="idm45965202193552">
        <w:r>
          <w:rPr>
            <w:rStyle w:val="Text1"/>
          </w:rPr>
          <w:t>The shutil Module</w:t>
        </w:r>
      </w:hyperlink>
    </w:p>
    <w:p>
      <w:pPr>
        <w:pStyle w:val="Para 004"/>
      </w:pPr>
      <w:r>
        <w:rPr>
          <w:rStyle w:val="Text2"/>
        </w:rPr>
        <w:t>copyreg module</w:t>
        <w:t xml:space="preserve">, </w:t>
      </w:r>
      <w:hyperlink w:anchor="idm45965199248816">
        <w:r>
          <w:t>Pickling customization with the copyreg module</w:t>
        </w:r>
      </w:hyperlink>
    </w:p>
    <w:p>
      <w:pPr>
        <w:pStyle w:val="Para 004"/>
      </w:pPr>
      <w:r>
        <w:rPr>
          <w:rStyle w:val="Text2"/>
        </w:rPr>
        <w:t>copysign (math module)</w:t>
        <w:t xml:space="preserve">, </w:t>
      </w:r>
      <w:hyperlink w:anchor="idm45965187353248">
        <w:r>
          <w:t>The math and cmath Modules</w:t>
        </w:r>
      </w:hyperlink>
    </w:p>
    <w:p>
      <w:pPr>
        <w:pStyle w:val="Para 003"/>
      </w:pPr>
      <w:r>
        <w:t>copystat function (shutil module)</w:t>
        <w:t xml:space="preserve">, </w:t>
      </w:r>
      <w:hyperlink w:anchor="idm45965202183552">
        <w:r>
          <w:rPr>
            <w:rStyle w:val="Text1"/>
          </w:rPr>
          <w:t>The shutil Module</w:t>
        </w:r>
      </w:hyperlink>
    </w:p>
    <w:p>
      <w:pPr>
        <w:pStyle w:val="Para 003"/>
      </w:pPr>
      <w:r>
        <w:t>copytree function (shutil module)</w:t>
        <w:t xml:space="preserve">, </w:t>
      </w:r>
      <w:hyperlink w:anchor="idm45965202170656">
        <w:r>
          <w:rPr>
            <w:rStyle w:val="Text1"/>
          </w:rPr>
          <w:t>The shutil Module</w:t>
        </w:r>
      </w:hyperlink>
    </w:p>
    <w:p>
      <w:pPr>
        <w:pStyle w:val="Para 004"/>
      </w:pPr>
      <w:r>
        <w:rPr>
          <w:rStyle w:val="Text2"/>
        </w:rPr>
        <w:t>coroutines</w:t>
        <w:t xml:space="preserve">, </w:t>
      </w:r>
      <w:hyperlink w:anchor="idm45965259256896">
        <w:r>
          <w:t>Generators as near-coroutines</w:t>
        </w:r>
      </w:hyperlink>
    </w:p>
    <w:p>
      <w:pPr>
        <w:pStyle w:val="Para 004"/>
      </w:pPr>
      <w:r>
        <w:rPr>
          <w:rStyle w:val="Text2"/>
        </w:rPr>
        <w:t>cos (math module)</w:t>
        <w:t xml:space="preserve">, </w:t>
      </w:r>
      <w:hyperlink w:anchor="idm45965187483120">
        <w:r>
          <w:t>The math and cmath Modules</w:t>
        </w:r>
      </w:hyperlink>
    </w:p>
    <w:p>
      <w:pPr>
        <w:pStyle w:val="Para 003"/>
      </w:pPr>
      <w:r>
        <w:t>count (itertools module)</w:t>
        <w:t xml:space="preserve">, </w:t>
      </w:r>
      <w:hyperlink w:anchor="idm45965213701808">
        <w:r>
          <w:rPr>
            <w:rStyle w:val="Text1"/>
          </w:rPr>
          <w:t>The itertools Module</w:t>
        </w:r>
      </w:hyperlink>
    </w:p>
    <w:p>
      <w:pPr>
        <w:pStyle w:val="Para 004"/>
      </w:pPr>
      <w:r>
        <w:rPr>
          <w:rStyle w:val="Text2"/>
        </w:rPr>
        <w:t>count (string method)</w:t>
        <w:t xml:space="preserve">, </w:t>
      </w:r>
      <w:hyperlink w:anchor="idm45965212754272">
        <w:r>
          <w:t>Methods of String Objects</w:t>
        </w:r>
      </w:hyperlink>
    </w:p>
    <w:p>
      <w:pPr>
        <w:pStyle w:val="Para 003"/>
      </w:pPr>
      <w:r>
        <w:t>count method</w:t>
      </w:r>
    </w:p>
    <w:p>
      <w:pPr>
        <w:pStyle w:val="Para 004"/>
      </w:pPr>
      <w:r>
        <w:rPr>
          <w:rStyle w:val="Text2"/>
        </w:rPr>
        <w:t>list type</w:t>
        <w:t xml:space="preserve">, </w:t>
      </w:r>
      <w:hyperlink w:anchor="idm45965280081056">
        <w:r>
          <w:t>List methods</w:t>
        </w:r>
      </w:hyperlink>
    </w:p>
    <w:p>
      <w:pPr>
        <w:pStyle w:val="Para 003"/>
      </w:pPr>
      <w:r>
        <w:t>sequence type</w:t>
        <w:t xml:space="preserve">, </w:t>
      </w:r>
      <w:hyperlink w:anchor="idm45965264575488">
        <w:r>
          <w:rPr>
            <w:rStyle w:val="Text1"/>
          </w:rPr>
          <w:t>Sequences</w:t>
        </w:r>
      </w:hyperlink>
    </w:p>
    <w:p>
      <w:pPr>
        <w:pStyle w:val="Para 004"/>
      </w:pPr>
      <w:r>
        <w:rPr>
          <w:rStyle w:val="Text2"/>
        </w:rPr>
        <w:t>str and bytes types</w:t>
        <w:t xml:space="preserve">, </w:t>
      </w:r>
      <w:hyperlink w:anchor="idm45965212477104">
        <w:r>
          <w:t>Methods of String Objects</w:t>
        </w:r>
      </w:hyperlink>
    </w:p>
    <w:p>
      <w:pPr>
        <w:pStyle w:val="Para 003"/>
      </w:pPr>
      <w:r>
        <w:t>tuple type</w:t>
        <w:t xml:space="preserve">, </w:t>
      </w:r>
      <w:hyperlink w:anchor="idm45965280338752">
        <w:r>
          <w:rPr>
            <w:rStyle w:val="Text1"/>
          </w:rPr>
          <w:t>Tuples</w:t>
        </w:r>
      </w:hyperlink>
    </w:p>
    <w:p>
      <w:pPr>
        <w:pStyle w:val="Para 003"/>
      </w:pPr>
      <w:r>
        <w:t>Counter class (collections module)</w:t>
        <w:t xml:space="preserve">, </w:t>
      </w:r>
      <w:hyperlink w:anchor="idm45965214279392">
        <w:r>
          <w:rPr>
            <w:rStyle w:val="Text1"/>
          </w:rPr>
          <w:t>Counter</w:t>
        </w:r>
      </w:hyperlink>
    </w:p>
    <w:p>
      <w:pPr>
        <w:pStyle w:val="Para 004"/>
      </w:pPr>
      <w:r>
        <w:rPr>
          <w:rStyle w:val="Text2"/>
        </w:rPr>
        <w:t>counting semaphores</w:t>
        <w:t xml:space="preserve">, </w:t>
      </w:r>
      <w:hyperlink w:anchor="idm45965192741936">
        <w:r>
          <w:t>Semaphore and BoundedSemaphore objects</w:t>
        </w:r>
      </w:hyperlink>
    </w:p>
    <w:p>
      <w:pPr>
        <w:pStyle w:val="Para 003"/>
      </w:pPr>
      <w:r>
        <w:t>cProfile module</w:t>
        <w:t xml:space="preserve">, </w:t>
      </w:r>
      <w:hyperlink w:anchor="idm45965180696064">
        <w:r>
          <w:rPr>
            <w:rStyle w:val="Text1"/>
          </w:rPr>
          <w:t>Profiling</w:t>
        </w:r>
      </w:hyperlink>
    </w:p>
    <w:p>
      <w:pPr>
        <w:pStyle w:val="Para 004"/>
      </w:pPr>
      <w:r>
        <w:rPr>
          <w:rStyle w:val="Text2"/>
        </w:rPr>
        <w:t>CPU-bound programs</w:t>
        <w:t xml:space="preserve">, </w:t>
      </w:r>
      <w:hyperlink w:anchor="idm45965193599808">
        <w:r>
          <w:t>Concurrency: Threads and Processes</w:t>
        </w:r>
      </w:hyperlink>
      <w:r>
        <w:rPr>
          <w:rStyle w:val="Text2"/>
        </w:rPr>
        <w:t xml:space="preserve">, </w:t>
      </w:r>
      <w:hyperlink w:anchor="idm45965177717392">
        <w:r>
          <w:t>Using multiprocessing for heavy CPU work</w:t>
        </w:r>
      </w:hyperlink>
    </w:p>
    <w:p>
      <w:pPr>
        <w:pStyle w:val="Para 004"/>
      </w:pPr>
      <w:r>
        <w:rPr>
          <w:rStyle w:val="Text2"/>
        </w:rPr>
        <w:t>CPython (Classic Python)</w:t>
        <w:t xml:space="preserve">, </w:t>
      </w:r>
      <w:hyperlink w:anchor="cpy01">
        <w:r>
          <w:t>CPython</w:t>
        </w:r>
      </w:hyperlink>
      <w:r>
        <w:rPr>
          <w:rStyle w:val="Text2"/>
        </w:rPr>
        <w:t>-</w:t>
      </w:r>
      <w:hyperlink w:anchor="idm45965264045392">
        <w:r>
          <w:t>Choosing Between CPython, PyPy, and Other Implementations</w:t>
        </w:r>
      </w:hyperlink>
      <w:r>
        <w:rPr>
          <w:rStyle w:val="Text2"/>
        </w:rPr>
        <w:t xml:space="preserve">, </w:t>
      </w:r>
      <w:hyperlink w:anchor="idm45965162814112">
        <w:r>
          <w:t>Extending and Embedding Classic Python</w:t>
        </w:r>
      </w:hyperlink>
    </w:p>
    <w:p>
      <w:pPr>
        <w:pStyle w:val="Para 004"/>
      </w:pPr>
      <w:r>
        <w:rPr>
          <w:rStyle w:val="Text2"/>
        </w:rPr>
        <w:t>cryptography applications</w:t>
        <w:t xml:space="preserve">, </w:t>
      </w:r>
      <w:hyperlink w:anchor="idm45965186312832">
        <w:r>
          <w:t>Crypto-Quality Random Numbers: The secrets Module</w:t>
        </w:r>
      </w:hyperlink>
    </w:p>
    <w:p>
      <w:pPr>
        <w:pStyle w:val="Para 004"/>
      </w:pPr>
      <w:r>
        <w:rPr>
          <w:rStyle w:val="Text2"/>
        </w:rPr>
        <w:t>CSS selectors</w:t>
        <w:t xml:space="preserve">, </w:t>
      </w:r>
      <w:hyperlink w:anchor="idm45965170428112">
        <w:r>
          <w:t>bs4 CSS Selectors</w:t>
        </w:r>
      </w:hyperlink>
    </w:p>
    <w:p>
      <w:pPr>
        <w:pStyle w:val="Para 004"/>
      </w:pPr>
      <w:r>
        <w:rPr>
          <w:rStyle w:val="Text2"/>
        </w:rPr>
        <w:t>csv module</w:t>
        <w:t xml:space="preserve">, </w:t>
      </w:r>
      <w:hyperlink w:anchor="csvmod12">
        <w:r>
          <w:t>The csv Module</w:t>
        </w:r>
      </w:hyperlink>
      <w:r>
        <w:rPr>
          <w:rStyle w:val="Text2"/>
        </w:rPr>
        <w:t>-</w:t>
      </w:r>
      <w:hyperlink w:anchor="idm45965200380592">
        <w:r>
          <w:t>A csv example</w:t>
        </w:r>
      </w:hyperlink>
    </w:p>
    <w:p>
      <w:pPr>
        <w:pStyle w:val="Para 003"/>
      </w:pPr>
      <w:r>
        <w:t>ctime (datetime.datetime class)</w:t>
        <w:t xml:space="preserve">, </w:t>
      </w:r>
      <w:hyperlink w:anchor="idm45965196061248">
        <w:r>
          <w:rPr>
            <w:rStyle w:val="Text1"/>
          </w:rPr>
          <w:t>The datetime Class</w:t>
        </w:r>
      </w:hyperlink>
    </w:p>
    <w:p>
      <w:pPr>
        <w:pStyle w:val="Para 004"/>
      </w:pPr>
      <w:r>
        <w:rPr>
          <w:rStyle w:val="Text2"/>
        </w:rPr>
        <w:t>ctypes module</w:t>
        <w:t xml:space="preserve">, </w:t>
      </w:r>
      <w:hyperlink w:anchor="idm45965262201664">
        <w:r>
          <w:t>The Python Standard Library and Extension Modules</w:t>
        </w:r>
      </w:hyperlink>
      <w:r>
        <w:rPr>
          <w:rStyle w:val="Text2"/>
        </w:rPr>
        <w:t xml:space="preserve">, </w:t>
      </w:r>
      <w:hyperlink w:anchor="idm45965191545680">
        <w:r>
          <w:t>The Value class</w:t>
        </w:r>
      </w:hyperlink>
      <w:r>
        <w:rPr>
          <w:rStyle w:val="Text2"/>
        </w:rPr>
        <w:t xml:space="preserve">, </w:t>
      </w:r>
      <w:hyperlink w:anchor="idm45965191456736">
        <w:r>
          <w:t>The Array class</w:t>
        </w:r>
      </w:hyperlink>
      <w:r>
        <w:rPr>
          <w:rStyle w:val="Text2"/>
        </w:rPr>
        <w:t xml:space="preserve">, </w:t>
      </w:r>
      <w:hyperlink w:anchor="idm45965162781504">
        <w:r>
          <w:t>Online Material</w:t>
        </w:r>
      </w:hyperlink>
    </w:p>
    <w:p>
      <w:pPr>
        <w:pStyle w:val="Para 003"/>
      </w:pPr>
      <w:r>
        <w:t>cultural conventions</w:t>
        <w:t xml:space="preserve">, </w:t>
      </w:r>
      <w:hyperlink w:anchor="idm45965201403488">
        <w:r>
          <w:rPr>
            <w:rStyle w:val="Text1"/>
          </w:rPr>
          <w:t>Internationalization</w:t>
        </w:r>
      </w:hyperlink>
    </w:p>
    <w:p>
      <w:pPr>
        <w:pStyle w:val="Para 004"/>
      </w:pPr>
      <w:r>
        <w:rPr>
          <w:rStyle w:val="Text2"/>
        </w:rPr>
        <w:t>curdir (os module)</w:t>
        <w:t xml:space="preserve">, </w:t>
      </w:r>
      <w:hyperlink w:anchor="idm45965204489040">
        <w:r>
          <w:t>Path-string attributes of the os module</w:t>
        </w:r>
      </w:hyperlink>
    </w:p>
    <w:p>
      <w:pPr>
        <w:pStyle w:val="Para 003"/>
      </w:pPr>
      <w:r>
        <w:t>currency (locale module)</w:t>
        <w:t xml:space="preserve">, </w:t>
      </w:r>
      <w:hyperlink w:anchor="idm45965201323664">
        <w:r>
          <w:rPr>
            <w:rStyle w:val="Text1"/>
          </w:rPr>
          <w:t>The locale Module</w:t>
        </w:r>
      </w:hyperlink>
    </w:p>
    <w:p>
      <w:pPr>
        <w:pStyle w:val="Para 004"/>
      </w:pPr>
      <w:r>
        <w:rPr>
          <w:rStyle w:val="Text2"/>
        </w:rPr>
        <w:t>currency values</w:t>
        <w:t xml:space="preserve">, </w:t>
      </w:r>
      <w:hyperlink w:anchor="curval11">
        <w:r>
          <w:t>The locale Module</w:t>
        </w:r>
      </w:hyperlink>
      <w:r>
        <w:rPr>
          <w:rStyle w:val="Text2"/>
        </w:rPr>
        <w:t>-</w:t>
      </w:r>
      <w:hyperlink w:anchor="idm45965200940976">
        <w:r>
          <w:t>The locale Module</w:t>
        </w:r>
      </w:hyperlink>
      <w:r>
        <w:rPr>
          <w:rStyle w:val="Text2"/>
        </w:rPr>
        <w:t xml:space="preserve">, </w:t>
      </w:r>
      <w:hyperlink w:anchor="idm45965185582880">
        <w:r>
          <w:t>The decimal Module</w:t>
        </w:r>
      </w:hyperlink>
    </w:p>
    <w:p>
      <w:pPr>
        <w:pStyle w:val="Para 003"/>
      </w:pPr>
      <w:r>
        <w:t>currentframe (inspect module)</w:t>
        <w:t xml:space="preserve">, </w:t>
      </w:r>
      <w:hyperlink w:anchor="idm45965182406736">
        <w:r>
          <w:rPr>
            <w:rStyle w:val="Text1"/>
          </w:rPr>
          <w:t>The inspect Module</w:t>
        </w:r>
      </w:hyperlink>
    </w:p>
    <w:p>
      <w:pPr>
        <w:pStyle w:val="Para 003"/>
      </w:pPr>
      <w:r>
        <w:t>curses module</w:t>
        <w:t xml:space="preserve">, </w:t>
      </w:r>
      <w:hyperlink w:anchor="idm45965201538112">
        <w:r>
          <w:rPr>
            <w:rStyle w:val="Text1"/>
          </w:rPr>
          <w:t>curses</w:t>
        </w:r>
      </w:hyperlink>
    </w:p>
    <w:p>
      <w:pPr>
        <w:pStyle w:val="Para 003"/>
      </w:pPr>
      <w:r>
        <w:t>cursor objects (DBAPI-compliant)</w:t>
        <w:t xml:space="preserve">, </w:t>
      </w:r>
      <w:hyperlink w:anchor="idm45965197598576">
        <w:r>
          <w:rPr>
            <w:rStyle w:val="Text1"/>
          </w:rPr>
          <w:t>Cursor Objects</w:t>
        </w:r>
      </w:hyperlink>
    </w:p>
    <w:p>
      <w:pPr>
        <w:pStyle w:val="Para 004"/>
      </w:pPr>
      <w:r>
        <w:rPr>
          <w:rStyle w:val="Text2"/>
        </w:rPr>
        <w:t>custom exception classes</w:t>
        <w:t xml:space="preserve">, </w:t>
      </w:r>
      <w:hyperlink w:anchor="custexc06">
        <w:r>
          <w:t>Custom Exception Classes</w:t>
        </w:r>
      </w:hyperlink>
      <w:r>
        <w:rPr>
          <w:rStyle w:val="Text2"/>
        </w:rPr>
        <w:t>-</w:t>
      </w:r>
      <w:hyperlink w:anchor="idm45965256225184">
        <w:r>
          <w:t>Other Exceptions Used in the Standard Library</w:t>
        </w:r>
      </w:hyperlink>
    </w:p>
    <w:p>
      <w:pPr>
        <w:pStyle w:val="Para 003"/>
      </w:pPr>
      <w:r>
        <w:t>custom importers</w:t>
        <w:t xml:space="preserve">, </w:t>
      </w:r>
      <w:hyperlink w:anchor="idm45965217525776">
        <w:r>
          <w:rPr>
            <w:rStyle w:val="Text1"/>
          </w:rPr>
          <w:t>Custom Importers</w:t>
        </w:r>
      </w:hyperlink>
    </w:p>
    <w:p>
      <w:pPr>
        <w:pStyle w:val="Para 003"/>
      </w:pPr>
      <w:r>
        <w:t>custom types</w:t>
      </w:r>
    </w:p>
    <w:p>
      <w:pPr>
        <w:pStyle w:val="Para 003"/>
      </w:pPr>
      <w:r>
        <w:t>base classes for defining</w:t>
        <w:t xml:space="preserve">, </w:t>
      </w:r>
      <w:hyperlink w:anchor="idm45965267764320">
        <w:r>
          <w:rPr>
            <w:rStyle w:val="Text1"/>
          </w:rPr>
          <w:t>Defining Custom Types</w:t>
        </w:r>
      </w:hyperlink>
    </w:p>
    <w:p>
      <w:pPr>
        <w:pStyle w:val="Para 003"/>
      </w:pPr>
      <w:r>
        <w:t>generics and TypeVars</w:t>
        <w:t xml:space="preserve">, </w:t>
      </w:r>
      <w:hyperlink w:anchor="idm45965267738928">
        <w:r>
          <w:rPr>
            <w:rStyle w:val="Text1"/>
          </w:rPr>
          <w:t>Generics and TypeVars</w:t>
        </w:r>
      </w:hyperlink>
    </w:p>
    <w:p>
      <w:pPr>
        <w:pStyle w:val="Para 003"/>
      </w:pPr>
      <w:r>
        <w:t>NamedTuple</w:t>
        <w:t xml:space="preserve">, </w:t>
      </w:r>
      <w:hyperlink w:anchor="idm45965267164752">
        <w:r>
          <w:rPr>
            <w:rStyle w:val="Text1"/>
          </w:rPr>
          <w:t>NamedTuple</w:t>
        </w:r>
      </w:hyperlink>
    </w:p>
    <w:p>
      <w:pPr>
        <w:pStyle w:val="Para 003"/>
      </w:pPr>
      <w:r>
        <w:t>NamedTuple versus TypedDict</w:t>
        <w:t xml:space="preserve">, </w:t>
      </w:r>
      <w:hyperlink w:anchor="idm45965261361504">
        <w:r>
          <w:rPr>
            <w:rStyle w:val="Text1"/>
          </w:rPr>
          <w:t>TypedDict</w:t>
        </w:r>
      </w:hyperlink>
    </w:p>
    <w:p>
      <w:pPr>
        <w:pStyle w:val="Para 003"/>
      </w:pPr>
      <w:r>
        <w:t>NewType</w:t>
        <w:t xml:space="preserve">, </w:t>
      </w:r>
      <w:hyperlink w:anchor="idm45965261227536">
        <w:r>
          <w:rPr>
            <w:rStyle w:val="Text1"/>
          </w:rPr>
          <w:t>NewType</w:t>
        </w:r>
      </w:hyperlink>
    </w:p>
    <w:p>
      <w:pPr>
        <w:pStyle w:val="Para 003"/>
      </w:pPr>
      <w:r>
        <w:t>restricting TypeVar to specific types</w:t>
        <w:t xml:space="preserve">, </w:t>
      </w:r>
      <w:hyperlink w:anchor="idm45965267220064">
        <w:r>
          <w:rPr>
            <w:rStyle w:val="Text1"/>
          </w:rPr>
          <w:t>Restricting TypeVar to specific types</w:t>
        </w:r>
      </w:hyperlink>
    </w:p>
    <w:p>
      <w:pPr>
        <w:pStyle w:val="Para 003"/>
      </w:pPr>
      <w:r>
        <w:t>TypeAlias</w:t>
        <w:t xml:space="preserve">, </w:t>
      </w:r>
      <w:hyperlink w:anchor="idm45965261303120">
        <w:r>
          <w:rPr>
            <w:rStyle w:val="Text1"/>
          </w:rPr>
          <w:t>TypeAlias</w:t>
        </w:r>
      </w:hyperlink>
    </w:p>
    <w:p>
      <w:pPr>
        <w:pStyle w:val="Para 004"/>
      </w:pPr>
      <w:r>
        <w:rPr>
          <w:rStyle w:val="Text2"/>
        </w:rPr>
        <w:t>TypedDict</w:t>
        <w:t xml:space="preserve">, </w:t>
      </w:r>
      <w:hyperlink w:anchor="CTtypeddict05">
        <w:r>
          <w:t>TypedDict</w:t>
        </w:r>
      </w:hyperlink>
      <w:r>
        <w:rPr>
          <w:rStyle w:val="Text2"/>
        </w:rPr>
        <w:t>-</w:t>
      </w:r>
      <w:hyperlink w:anchor="idm45965261365888">
        <w:r>
          <w:t>TypedDict</w:t>
        </w:r>
      </w:hyperlink>
    </w:p>
    <w:p>
      <w:pPr>
        <w:pStyle w:val="Para 003"/>
      </w:pPr>
      <w:r>
        <w:t>customizing execution</w:t>
        <w:t xml:space="preserve"> (</w:t>
        <w:t>see</w:t>
        <w:t xml:space="preserve"> execution, customizing)</w:t>
      </w:r>
    </w:p>
    <w:p>
      <w:pPr>
        <w:pStyle w:val="Para 003"/>
      </w:pPr>
      <w:r>
        <w:t>cwd (pathlib.Path class)</w:t>
        <w:t xml:space="preserve">, </w:t>
      </w:r>
      <w:hyperlink w:anchor="idm45965203333456">
        <w:r>
          <w:rPr>
            <w:rStyle w:val="Text1"/>
          </w:rPr>
          <w:t>The pathlib Module</w:t>
        </w:r>
      </w:hyperlink>
    </w:p>
    <w:p>
      <w:pPr>
        <w:pStyle w:val="Para 003"/>
      </w:pPr>
      <w:r>
        <w:t>cycle (itertools module)</w:t>
        <w:t xml:space="preserve">, </w:t>
      </w:r>
      <w:hyperlink w:anchor="idm45965213650128">
        <w:r>
          <w:rPr>
            <w:rStyle w:val="Text1"/>
          </w:rPr>
          <w:t>The itertools Module</w:t>
        </w:r>
      </w:hyperlink>
    </w:p>
    <w:p>
      <w:pPr>
        <w:pStyle w:val="Para 003"/>
      </w:pPr>
      <w:r>
        <w:t>cyclic garbage loops</w:t>
        <w:t xml:space="preserve">, </w:t>
      </w:r>
      <w:hyperlink w:anchor="idm45965194178976">
        <w:r>
          <w:rPr>
            <w:rStyle w:val="Text1"/>
          </w:rPr>
          <w:t>The gc Module</w:t>
        </w:r>
      </w:hyperlink>
    </w:p>
    <w:p>
      <w:pPr>
        <w:pStyle w:val="Para 004"/>
      </w:pPr>
      <w:r>
        <w:rPr>
          <w:rStyle w:val="Text2"/>
        </w:rPr>
        <w:t>Cython</w:t>
        <w:t xml:space="preserve">, </w:t>
      </w:r>
      <w:hyperlink w:anchor="idm45965262202896">
        <w:r>
          <w:t>The Python Standard Library and Extension Modules</w:t>
        </w:r>
      </w:hyperlink>
      <w:r>
        <w:rPr>
          <w:rStyle w:val="Text2"/>
        </w:rPr>
        <w:t xml:space="preserve">, </w:t>
      </w:r>
      <w:hyperlink w:anchor="idm45965255071200">
        <w:r>
          <w:t>Modules and Packages</w:t>
        </w:r>
      </w:hyperlink>
      <w:r>
        <w:rPr>
          <w:rStyle w:val="Text2"/>
        </w:rPr>
        <w:t xml:space="preserve">, </w:t>
      </w:r>
      <w:hyperlink w:anchor="idm45965162785072">
        <w:r>
          <w:t>Online Material</w:t>
        </w:r>
      </w:hyperlink>
    </w:p>
    <w:p>
      <w:pPr>
        <w:keepNext/>
        <w:pStyle w:val="Heading 3"/>
      </w:pPr>
      <w:r>
        <w:t>D</w:t>
      </w:r>
    </w:p>
    <w:p>
      <w:pPr>
        <w:pStyle w:val="Para 004"/>
      </w:pPr>
      <w:r>
        <w:rPr>
          <w:rStyle w:val="Text2"/>
        </w:rPr>
        <w:t>data descriptors</w:t>
        <w:t xml:space="preserve">, </w:t>
      </w:r>
      <w:hyperlink w:anchor="idm45965271452960">
        <w:r>
          <w:t>Overriding and nonoverriding descriptors</w:t>
        </w:r>
      </w:hyperlink>
    </w:p>
    <w:p>
      <w:pPr>
        <w:pStyle w:val="Para 003"/>
      </w:pPr>
      <w:r>
        <w:t>data interchange</w:t>
        <w:t xml:space="preserve">, </w:t>
      </w:r>
      <w:hyperlink w:anchor="idm45965200535808">
        <w:r>
          <w:rPr>
            <w:rStyle w:val="Text1"/>
          </w:rPr>
          <w:t>Serialization</w:t>
        </w:r>
      </w:hyperlink>
    </w:p>
    <w:p>
      <w:pPr>
        <w:pStyle w:val="Para 003"/>
      </w:pPr>
      <w:r>
        <w:t>data types</w:t>
        <w:t xml:space="preserve">, </w:t>
      </w:r>
      <w:hyperlink w:anchor="dtypes03">
        <w:r>
          <w:rPr>
            <w:rStyle w:val="Text1"/>
          </w:rPr>
          <w:t>Data Types</w:t>
        </w:r>
      </w:hyperlink>
      <w:r>
        <w:t>-</w:t>
      </w:r>
      <w:hyperlink w:anchor="idm45965279092448">
        <w:r>
          <w:rPr>
            <w:rStyle w:val="Text1"/>
          </w:rPr>
          <w:t>Boolean Values</w:t>
        </w:r>
      </w:hyperlink>
      <w:r>
        <w:t xml:space="preserve"> (</w:t>
        <w:t>see</w:t>
        <w:t xml:space="preserve"> also lists; strings)</w:t>
      </w:r>
    </w:p>
    <w:p>
      <w:pPr>
        <w:pStyle w:val="Para 003"/>
      </w:pPr>
      <w:r>
        <w:t>Boolean values</w:t>
        <w:t xml:space="preserve">, </w:t>
      </w:r>
      <w:hyperlink w:anchor="idm45965279170224">
        <w:r>
          <w:rPr>
            <w:rStyle w:val="Text1"/>
          </w:rPr>
          <w:t>Boolean Values</w:t>
        </w:r>
      </w:hyperlink>
    </w:p>
    <w:p>
      <w:pPr>
        <w:pStyle w:val="Para 003"/>
      </w:pPr>
      <w:r>
        <w:t>callables</w:t>
        <w:t xml:space="preserve">, </w:t>
      </w:r>
      <w:hyperlink w:anchor="idm45965279211328">
        <w:r>
          <w:rPr>
            <w:rStyle w:val="Text1"/>
          </w:rPr>
          <w:t>Callables</w:t>
        </w:r>
      </w:hyperlink>
    </w:p>
    <w:p>
      <w:pPr>
        <w:pStyle w:val="Para 003"/>
      </w:pPr>
      <w:r>
        <w:t>dictionaries</w:t>
        <w:t xml:space="preserve">, </w:t>
      </w:r>
      <w:hyperlink w:anchor="idm45965269534688">
        <w:r>
          <w:rPr>
            <w:rStyle w:val="Text1"/>
          </w:rPr>
          <w:t>Dictionaries</w:t>
        </w:r>
      </w:hyperlink>
    </w:p>
    <w:p>
      <w:pPr>
        <w:pStyle w:val="Para 003"/>
      </w:pPr>
      <w:r>
        <w:t>Ellipsis (…)</w:t>
        <w:t xml:space="preserve">, </w:t>
      </w:r>
      <w:hyperlink w:anchor="idm45965279254336">
        <w:r>
          <w:rPr>
            <w:rStyle w:val="Text1"/>
          </w:rPr>
          <w:t>Ellipsis (...)</w:t>
        </w:r>
      </w:hyperlink>
    </w:p>
    <w:p>
      <w:pPr>
        <w:pStyle w:val="Para 003"/>
      </w:pPr>
      <w:r>
        <w:t>frozensets</w:t>
        <w:t xml:space="preserve">, </w:t>
      </w:r>
      <w:hyperlink w:anchor="idm45965269574672">
        <w:r>
          <w:rPr>
            <w:rStyle w:val="Text1"/>
          </w:rPr>
          <w:t>Sets</w:t>
        </w:r>
      </w:hyperlink>
    </w:p>
    <w:p>
      <w:pPr>
        <w:pStyle w:val="Para 003"/>
      </w:pPr>
      <w:r>
        <w:t>None</w:t>
        <w:t xml:space="preserve">, </w:t>
      </w:r>
      <w:hyperlink w:anchor="idm45965279294496">
        <w:r>
          <w:rPr>
            <w:rStyle w:val="Text1"/>
          </w:rPr>
          <w:t>None</w:t>
        </w:r>
      </w:hyperlink>
    </w:p>
    <w:p>
      <w:pPr>
        <w:pStyle w:val="Para 003"/>
      </w:pPr>
      <w:r>
        <w:t>numbers</w:t>
        <w:t xml:space="preserve">, </w:t>
      </w:r>
      <w:hyperlink w:anchor="idm45965281913408">
        <w:r>
          <w:rPr>
            <w:rStyle w:val="Text1"/>
          </w:rPr>
          <w:t>Numbers</w:t>
        </w:r>
      </w:hyperlink>
    </w:p>
    <w:p>
      <w:pPr>
        <w:pStyle w:val="Para 003"/>
      </w:pPr>
      <w:r>
        <w:t>sequences</w:t>
        <w:t xml:space="preserve">, </w:t>
      </w:r>
      <w:hyperlink w:anchor="idm45965282843760">
        <w:r>
          <w:rPr>
            <w:rStyle w:val="Text1"/>
          </w:rPr>
          <w:t>Sequences</w:t>
        </w:r>
      </w:hyperlink>
    </w:p>
    <w:p>
      <w:pPr>
        <w:pStyle w:val="Para 003"/>
      </w:pPr>
      <w:r>
        <w:t>sets</w:t>
        <w:t xml:space="preserve">, </w:t>
      </w:r>
      <w:hyperlink w:anchor="idm45965265505952">
        <w:r>
          <w:rPr>
            <w:rStyle w:val="Text1"/>
          </w:rPr>
          <w:t>Sets</w:t>
        </w:r>
      </w:hyperlink>
    </w:p>
    <w:p>
      <w:pPr>
        <w:pStyle w:val="Para 004"/>
      </w:pPr>
      <w:r>
        <w:rPr>
          <w:rStyle w:val="Text2"/>
        </w:rPr>
        <w:t>tuples</w:t>
        <w:t xml:space="preserve">, </w:t>
      </w:r>
      <w:hyperlink w:anchor="idm45965264106272">
        <w:r>
          <w:t>Tuples</w:t>
        </w:r>
      </w:hyperlink>
      <w:r>
        <w:rPr>
          <w:rStyle w:val="Text2"/>
        </w:rPr>
        <w:t xml:space="preserve">, </w:t>
      </w:r>
      <w:hyperlink w:anchor="idm45965280340256">
        <w:r>
          <w:t>Tuples</w:t>
        </w:r>
      </w:hyperlink>
      <w:r>
        <w:rPr>
          <w:rStyle w:val="Text2"/>
        </w:rPr>
        <w:t xml:space="preserve">, </w:t>
      </w:r>
      <w:hyperlink w:anchor="idm45965196904944">
        <w:r>
          <w:t>The time Module</w:t>
        </w:r>
      </w:hyperlink>
    </w:p>
    <w:p>
      <w:pPr>
        <w:pStyle w:val="Para 003"/>
      </w:pPr>
      <w:r>
        <w:t>Database API 2.0 standard (DBAPI)</w:t>
      </w:r>
    </w:p>
    <w:p>
      <w:pPr>
        <w:pStyle w:val="Para 004"/>
      </w:pPr>
      <w:r>
        <w:rPr>
          <w:rStyle w:val="Text2"/>
        </w:rPr>
        <w:t>connect function</w:t>
        <w:t xml:space="preserve">, </w:t>
      </w:r>
      <w:hyperlink w:anchor="idm45965197652080">
        <w:r>
          <w:t>The connect Function</w:t>
        </w:r>
      </w:hyperlink>
    </w:p>
    <w:p>
      <w:pPr>
        <w:pStyle w:val="Para 003"/>
      </w:pPr>
      <w:r>
        <w:t>connection objects</w:t>
        <w:t xml:space="preserve">, </w:t>
      </w:r>
      <w:hyperlink w:anchor="idm45965197633936">
        <w:r>
          <w:rPr>
            <w:rStyle w:val="Text1"/>
          </w:rPr>
          <w:t>Connection Objects</w:t>
        </w:r>
      </w:hyperlink>
    </w:p>
    <w:p>
      <w:pPr>
        <w:pStyle w:val="Para 003"/>
      </w:pPr>
      <w:r>
        <w:t>cursor objects</w:t>
        <w:t xml:space="preserve">, </w:t>
      </w:r>
      <w:hyperlink w:anchor="idm45965197599952">
        <w:r>
          <w:rPr>
            <w:rStyle w:val="Text1"/>
          </w:rPr>
          <w:t>Cursor Objects</w:t>
        </w:r>
      </w:hyperlink>
    </w:p>
    <w:p>
      <w:pPr>
        <w:pStyle w:val="Para 004"/>
      </w:pPr>
      <w:r>
        <w:rPr>
          <w:rStyle w:val="Text2"/>
        </w:rPr>
        <w:t>DBAPI-compliant modules</w:t>
        <w:t xml:space="preserve">, </w:t>
      </w:r>
      <w:hyperlink w:anchor="DBAPIcommod12">
        <w:r>
          <w:t>DBAPI-Compliant Modules</w:t>
        </w:r>
      </w:hyperlink>
      <w:r>
        <w:rPr>
          <w:rStyle w:val="Text2"/>
        </w:rPr>
        <w:t>-</w:t>
      </w:r>
      <w:hyperlink w:anchor="idm45965197143568">
        <w:r>
          <w:t>A sqlite3 example</w:t>
        </w:r>
      </w:hyperlink>
    </w:p>
    <w:p>
      <w:pPr>
        <w:pStyle w:val="Para 003"/>
      </w:pPr>
      <w:r>
        <w:t>exception classes</w:t>
        <w:t xml:space="preserve">, </w:t>
      </w:r>
      <w:hyperlink w:anchor="idm45965198048960">
        <w:r>
          <w:rPr>
            <w:rStyle w:val="Text1"/>
          </w:rPr>
          <w:t>Exception Classes</w:t>
        </w:r>
      </w:hyperlink>
    </w:p>
    <w:p>
      <w:pPr>
        <w:pStyle w:val="Para 003"/>
      </w:pPr>
      <w:r>
        <w:t>factory functions</w:t>
        <w:t xml:space="preserve">, </w:t>
      </w:r>
      <w:hyperlink w:anchor="idm45965197733008">
        <w:r>
          <w:rPr>
            <w:rStyle w:val="Text1"/>
          </w:rPr>
          <w:t>Factory Functions</w:t>
        </w:r>
      </w:hyperlink>
    </w:p>
    <w:p>
      <w:pPr>
        <w:pStyle w:val="Para 003"/>
      </w:pPr>
      <w:r>
        <w:t>importing DBAPI-compliant modules</w:t>
        <w:t xml:space="preserve">, </w:t>
      </w:r>
      <w:hyperlink w:anchor="idm45965198122640">
        <w:r>
          <w:rPr>
            <w:rStyle w:val="Text1"/>
          </w:rPr>
          <w:t>The Python Database API (DBAPI)</w:t>
        </w:r>
      </w:hyperlink>
    </w:p>
    <w:p>
      <w:pPr>
        <w:pStyle w:val="Para 003"/>
      </w:pPr>
      <w:r>
        <w:t>parameter style</w:t>
        <w:t xml:space="preserve">, </w:t>
      </w:r>
      <w:hyperlink w:anchor="idm45965197994544">
        <w:r>
          <w:rPr>
            <w:rStyle w:val="Text1"/>
          </w:rPr>
          <w:t>Parameter Style</w:t>
        </w:r>
      </w:hyperlink>
    </w:p>
    <w:p>
      <w:pPr>
        <w:pStyle w:val="Para 003"/>
      </w:pPr>
      <w:r>
        <w:t>SQLite</w:t>
        <w:t xml:space="preserve">, </w:t>
      </w:r>
      <w:hyperlink w:anchor="idm45965197431632">
        <w:r>
          <w:rPr>
            <w:rStyle w:val="Text1"/>
          </w:rPr>
          <w:t>SQLite</w:t>
        </w:r>
      </w:hyperlink>
    </w:p>
    <w:p>
      <w:pPr>
        <w:pStyle w:val="Para 003"/>
      </w:pPr>
      <w:r>
        <w:t>thread safety</w:t>
        <w:t xml:space="preserve">, </w:t>
      </w:r>
      <w:hyperlink w:anchor="idm45965198026128">
        <w:r>
          <w:rPr>
            <w:rStyle w:val="Text1"/>
          </w:rPr>
          <w:t>Thread Safety</w:t>
        </w:r>
      </w:hyperlink>
    </w:p>
    <w:p>
      <w:pPr>
        <w:pStyle w:val="Para 003"/>
      </w:pPr>
      <w:r>
        <w:t>type description attributes</w:t>
        <w:t xml:space="preserve">, </w:t>
      </w:r>
      <w:hyperlink w:anchor="idm45965197668400">
        <w:r>
          <w:rPr>
            <w:rStyle w:val="Text1"/>
          </w:rPr>
          <w:t>Type Description Attributes</w:t>
        </w:r>
      </w:hyperlink>
    </w:p>
    <w:p>
      <w:pPr>
        <w:pStyle w:val="Para 004"/>
      </w:pPr>
      <w:r>
        <w:rPr>
          <w:rStyle w:val="Text2"/>
        </w:rPr>
        <w:t>DataBase Manager (DBM) modules</w:t>
        <w:t xml:space="preserve">, </w:t>
      </w:r>
      <w:hyperlink w:anchor="dataman12">
        <w:r>
          <w:t>DBM Modules</w:t>
        </w:r>
      </w:hyperlink>
      <w:r>
        <w:rPr>
          <w:rStyle w:val="Text2"/>
        </w:rPr>
        <w:t>-</w:t>
      </w:r>
      <w:hyperlink w:anchor="idm45965198319792">
        <w:r>
          <w:t>Examples of DBM-Like File Use</w:t>
        </w:r>
      </w:hyperlink>
    </w:p>
    <w:p>
      <w:pPr>
        <w:pStyle w:val="Para 003"/>
      </w:pPr>
      <w:r>
        <w:t>databases</w:t>
        <w:t xml:space="preserve"> (</w:t>
        <w:t>see</w:t>
        <w:t xml:space="preserve"> persistence and databases)</w:t>
      </w:r>
    </w:p>
    <w:p>
      <w:pPr>
        <w:pStyle w:val="Para 003"/>
      </w:pPr>
      <w:r>
        <w:t>dataclasses module</w:t>
        <w:t xml:space="preserve">, </w:t>
      </w:r>
      <w:hyperlink w:anchor="idm45965253499840">
        <w:r>
          <w:rPr>
            <w:rStyle w:val="Text1"/>
          </w:rPr>
          <w:t>Data Classes</w:t>
        </w:r>
      </w:hyperlink>
    </w:p>
    <w:p>
      <w:pPr>
        <w:pStyle w:val="Para 003"/>
      </w:pPr>
      <w:r>
        <w:t>datagram protocols</w:t>
        <w:t xml:space="preserve">, </w:t>
      </w:r>
      <w:hyperlink w:anchor="idm45965177688048">
        <w:r>
          <w:rPr>
            <w:rStyle w:val="Text1"/>
          </w:rPr>
          <w:t>Networking Basics</w:t>
        </w:r>
      </w:hyperlink>
    </w:p>
    <w:p>
      <w:pPr>
        <w:pStyle w:val="Para 003"/>
      </w:pPr>
      <w:r>
        <w:t>date (datetime.datetime class)</w:t>
        <w:t xml:space="preserve">, </w:t>
      </w:r>
      <w:hyperlink w:anchor="idm45965196055344">
        <w:r>
          <w:rPr>
            <w:rStyle w:val="Text1"/>
          </w:rPr>
          <w:t>The datetime Class</w:t>
        </w:r>
      </w:hyperlink>
    </w:p>
    <w:p>
      <w:pPr>
        <w:pStyle w:val="Para 003"/>
      </w:pPr>
      <w:r>
        <w:t>date class (datetime module)</w:t>
        <w:t xml:space="preserve">, </w:t>
      </w:r>
      <w:hyperlink w:anchor="dateclass13">
        <w:r>
          <w:rPr>
            <w:rStyle w:val="Text1"/>
          </w:rPr>
          <w:t>The date Class</w:t>
        </w:r>
      </w:hyperlink>
      <w:r>
        <w:t>-</w:t>
      </w:r>
      <w:hyperlink w:anchor="idm45965196366048">
        <w:r>
          <w:rPr>
            <w:rStyle w:val="Text1"/>
          </w:rPr>
          <w:t>The date Class</w:t>
        </w:r>
      </w:hyperlink>
    </w:p>
    <w:p>
      <w:pPr>
        <w:pStyle w:val="Para 004"/>
      </w:pPr>
      <w:r>
        <w:rPr>
          <w:rStyle w:val="Text2"/>
        </w:rPr>
        <w:t>datetime class (datetime module)</w:t>
        <w:t xml:space="preserve">, </w:t>
      </w:r>
      <w:hyperlink w:anchor="datetimecl13">
        <w:r>
          <w:t>The datetime Class</w:t>
        </w:r>
      </w:hyperlink>
      <w:r>
        <w:rPr>
          <w:rStyle w:val="Text2"/>
        </w:rPr>
        <w:t>-</w:t>
      </w:r>
      <w:hyperlink w:anchor="idm45965195884112">
        <w:r>
          <w:t>The datetime Class</w:t>
        </w:r>
      </w:hyperlink>
    </w:p>
    <w:p>
      <w:pPr>
        <w:pStyle w:val="Para 004"/>
      </w:pPr>
      <w:r>
        <w:rPr>
          <w:rStyle w:val="Text2"/>
        </w:rPr>
        <w:t>datetime module</w:t>
        <w:t xml:space="preserve">, </w:t>
      </w:r>
      <w:hyperlink w:anchor="datetimemod13">
        <w:r>
          <w:t>The datetime Module</w:t>
        </w:r>
      </w:hyperlink>
      <w:r>
        <w:rPr>
          <w:rStyle w:val="Text2"/>
        </w:rPr>
        <w:t>-</w:t>
      </w:r>
      <w:hyperlink w:anchor="idm45965195749568">
        <w:r>
          <w:t>The timezone Class</w:t>
        </w:r>
      </w:hyperlink>
    </w:p>
    <w:p>
      <w:pPr>
        <w:pStyle w:val="Para 004"/>
      </w:pPr>
      <w:r>
        <w:rPr>
          <w:rStyle w:val="Text2"/>
        </w:rPr>
        <w:t>date class</w:t>
        <w:t xml:space="preserve">, </w:t>
      </w:r>
      <w:hyperlink w:anchor="idm45965196597456">
        <w:r>
          <w:t>The date Class</w:t>
        </w:r>
      </w:hyperlink>
    </w:p>
    <w:p>
      <w:pPr>
        <w:pStyle w:val="Para 004"/>
      </w:pPr>
      <w:r>
        <w:rPr>
          <w:rStyle w:val="Text2"/>
        </w:rPr>
        <w:t>datetime class</w:t>
        <w:t xml:space="preserve">, </w:t>
      </w:r>
      <w:hyperlink w:anchor="idm45965196252400">
        <w:r>
          <w:t>The datetime Class</w:t>
        </w:r>
      </w:hyperlink>
    </w:p>
    <w:p>
      <w:pPr>
        <w:pStyle w:val="Para 004"/>
      </w:pPr>
      <w:r>
        <w:rPr>
          <w:rStyle w:val="Text2"/>
        </w:rPr>
        <w:t>time class</w:t>
        <w:t xml:space="preserve">, </w:t>
      </w:r>
      <w:hyperlink w:anchor="idm45965196362640">
        <w:r>
          <w:t>The time Class</w:t>
        </w:r>
      </w:hyperlink>
    </w:p>
    <w:p>
      <w:pPr>
        <w:pStyle w:val="Para 004"/>
      </w:pPr>
      <w:r>
        <w:rPr>
          <w:rStyle w:val="Text2"/>
        </w:rPr>
        <w:t>timedelta class</w:t>
        <w:t xml:space="preserve">, </w:t>
      </w:r>
      <w:hyperlink w:anchor="idm45965195880000">
        <w:r>
          <w:t>The timedelta Class</w:t>
        </w:r>
      </w:hyperlink>
    </w:p>
    <w:p>
      <w:pPr>
        <w:pStyle w:val="Para 004"/>
      </w:pPr>
      <w:r>
        <w:rPr>
          <w:rStyle w:val="Text2"/>
        </w:rPr>
        <w:t>timezone class</w:t>
        <w:t xml:space="preserve">, </w:t>
      </w:r>
      <w:hyperlink w:anchor="idm45965195759792">
        <w:r>
          <w:t>The timezone Class</w:t>
        </w:r>
      </w:hyperlink>
    </w:p>
    <w:p>
      <w:pPr>
        <w:pStyle w:val="Para 004"/>
      </w:pPr>
      <w:r>
        <w:rPr>
          <w:rStyle w:val="Text2"/>
        </w:rPr>
        <w:t>tzinfo abstract class</w:t>
        <w:t xml:space="preserve">, </w:t>
      </w:r>
      <w:hyperlink w:anchor="idm45965195788080">
        <w:r>
          <w:t>The tzinfo Abstract Class</w:t>
        </w:r>
      </w:hyperlink>
    </w:p>
    <w:p>
      <w:pPr>
        <w:pStyle w:val="Para 004"/>
      </w:pPr>
      <w:r>
        <w:rPr>
          <w:rStyle w:val="Text2"/>
        </w:rPr>
        <w:t>dateutil module</w:t>
        <w:t xml:space="preserve">, </w:t>
      </w:r>
      <w:hyperlink w:anchor="idm45965195367328">
        <w:r>
          <w:t>The dateutil Module</w:t>
        </w:r>
      </w:hyperlink>
    </w:p>
    <w:p>
      <w:pPr>
        <w:pStyle w:val="Para 003"/>
      </w:pPr>
      <w:r>
        <w:t>DBAPI</w:t>
        <w:t xml:space="preserve"> (</w:t>
        <w:t>see</w:t>
        <w:t xml:space="preserve"> Database API)</w:t>
      </w:r>
    </w:p>
    <w:p>
      <w:pPr>
        <w:pStyle w:val="Para 004"/>
      </w:pPr>
      <w:r>
        <w:rPr>
          <w:rStyle w:val="Text2"/>
        </w:rPr>
        <w:t>DBM (DataBase Manager) modules</w:t>
        <w:t xml:space="preserve">, </w:t>
      </w:r>
      <w:hyperlink w:anchor="DBMmod12">
        <w:r>
          <w:t>DBM Modules</w:t>
        </w:r>
      </w:hyperlink>
      <w:r>
        <w:rPr>
          <w:rStyle w:val="Text2"/>
        </w:rPr>
        <w:t>-</w:t>
      </w:r>
      <w:hyperlink w:anchor="idm45965198321008">
        <w:r>
          <w:t>Examples of DBM-Like File Use</w:t>
        </w:r>
      </w:hyperlink>
    </w:p>
    <w:p>
      <w:pPr>
        <w:pStyle w:val="Para 004"/>
      </w:pPr>
      <w:r>
        <w:rPr>
          <w:rStyle w:val="Text2"/>
        </w:rPr>
        <w:t>deadlocks</w:t>
        <w:t xml:space="preserve">, </w:t>
      </w:r>
      <w:hyperlink w:anchor="idm45965193633760">
        <w:r>
          <w:t>Concurrency: Threads and Processes</w:t>
        </w:r>
      </w:hyperlink>
    </w:p>
    <w:p>
      <w:pPr>
        <w:pStyle w:val="Para 003"/>
      </w:pPr>
      <w:r>
        <w:t>debugging</w:t>
      </w:r>
    </w:p>
    <w:p>
      <w:pPr>
        <w:pStyle w:val="Para 004"/>
      </w:pPr>
      <w:r>
        <w:rPr>
          <w:rStyle w:val="Text2"/>
        </w:rPr>
        <w:t>definition of term</w:t>
        <w:t xml:space="preserve">, </w:t>
      </w:r>
      <w:hyperlink w:anchor="idm45965183827584">
        <w:r>
          <w:t>Testing, Debugging, and Optimizing</w:t>
        </w:r>
      </w:hyperlink>
    </w:p>
    <w:p>
      <w:pPr>
        <w:pStyle w:val="Para 004"/>
      </w:pPr>
      <w:r>
        <w:rPr>
          <w:rStyle w:val="Text2"/>
        </w:rPr>
        <w:t>initial steps</w:t>
        <w:t xml:space="preserve">, </w:t>
      </w:r>
      <w:hyperlink w:anchor="idm45965182428576">
        <w:r>
          <w:t>Before You Debug</w:t>
        </w:r>
      </w:hyperlink>
    </w:p>
    <w:p>
      <w:pPr>
        <w:pStyle w:val="Para 004"/>
      </w:pPr>
      <w:r>
        <w:rPr>
          <w:rStyle w:val="Text2"/>
        </w:rPr>
        <w:t>inspect module</w:t>
        <w:t xml:space="preserve">, </w:t>
      </w:r>
      <w:hyperlink w:anchor="Dinspect17">
        <w:r>
          <w:t>The inspect Module</w:t>
        </w:r>
      </w:hyperlink>
      <w:r>
        <w:rPr>
          <w:rStyle w:val="Text2"/>
        </w:rPr>
        <w:t>-</w:t>
      </w:r>
      <w:hyperlink w:anchor="idm45965181706544">
        <w:r>
          <w:t>An example of using inspect</w:t>
        </w:r>
      </w:hyperlink>
    </w:p>
    <w:p>
      <w:pPr>
        <w:pStyle w:val="Para 004"/>
      </w:pPr>
      <w:r>
        <w:rPr>
          <w:rStyle w:val="Text2"/>
        </w:rPr>
        <w:t>ipdb module</w:t>
        <w:t xml:space="preserve">, </w:t>
      </w:r>
      <w:hyperlink w:anchor="idm45965181372336">
        <w:r>
          <w:t>Other Debugging Modules</w:t>
        </w:r>
      </w:hyperlink>
    </w:p>
    <w:p>
      <w:pPr>
        <w:pStyle w:val="Para 004"/>
      </w:pPr>
      <w:r>
        <w:rPr>
          <w:rStyle w:val="Text2"/>
        </w:rPr>
        <w:t>pdb module</w:t>
        <w:t xml:space="preserve">, </w:t>
      </w:r>
      <w:hyperlink w:anchor="Dpdbmod17">
        <w:r>
          <w:t>The pdb Module</w:t>
        </w:r>
      </w:hyperlink>
      <w:r>
        <w:rPr>
          <w:rStyle w:val="Text2"/>
        </w:rPr>
        <w:t>-</w:t>
      </w:r>
      <w:hyperlink w:anchor="idm45965181375904">
        <w:r>
          <w:t>The pdb Module</w:t>
        </w:r>
      </w:hyperlink>
    </w:p>
    <w:p>
      <w:pPr>
        <w:pStyle w:val="Para 003"/>
      </w:pPr>
      <w:r>
        <w:t>printing versus logging information</w:t>
        <w:t xml:space="preserve">, </w:t>
      </w:r>
      <w:hyperlink w:anchor="idm45965182443984">
        <w:r>
          <w:rPr>
            <w:rStyle w:val="Text1"/>
          </w:rPr>
          <w:t>Debugging</w:t>
        </w:r>
      </w:hyperlink>
    </w:p>
    <w:p>
      <w:pPr>
        <w:pStyle w:val="Para 003"/>
      </w:pPr>
      <w:r>
        <w:t>pudb module</w:t>
        <w:t xml:space="preserve">, </w:t>
      </w:r>
      <w:hyperlink w:anchor="idm45965181352224">
        <w:r>
          <w:rPr>
            <w:rStyle w:val="Text1"/>
          </w:rPr>
          <w:t>pudb</w:t>
        </w:r>
      </w:hyperlink>
    </w:p>
    <w:p>
      <w:pPr>
        <w:pStyle w:val="Para 003"/>
      </w:pPr>
      <w:r>
        <w:t>timing of</w:t>
        <w:t xml:space="preserve">, </w:t>
      </w:r>
      <w:hyperlink w:anchor="idm45965182481776">
        <w:r>
          <w:rPr>
            <w:rStyle w:val="Text1"/>
          </w:rPr>
          <w:t>Debugging</w:t>
        </w:r>
      </w:hyperlink>
    </w:p>
    <w:p>
      <w:pPr>
        <w:pStyle w:val="Para 004"/>
      </w:pPr>
      <w:r>
        <w:rPr>
          <w:rStyle w:val="Text2"/>
        </w:rPr>
        <w:t>traceback module</w:t>
        <w:t xml:space="preserve">, </w:t>
      </w:r>
      <w:hyperlink w:anchor="idm45965181703600">
        <w:r>
          <w:t>The traceback Module</w:t>
        </w:r>
      </w:hyperlink>
    </w:p>
    <w:p>
      <w:pPr>
        <w:pStyle w:val="Para 004"/>
      </w:pPr>
      <w:r>
        <w:rPr>
          <w:rStyle w:val="Text2"/>
        </w:rPr>
        <w:t>using f-strings</w:t>
        <w:t xml:space="preserve">, </w:t>
      </w:r>
      <w:hyperlink w:anchor="idm45965211954304">
        <w:r>
          <w:t>Debug printing with f-strings</w:t>
        </w:r>
      </w:hyperlink>
    </w:p>
    <w:p>
      <w:pPr>
        <w:pStyle w:val="Para 003"/>
      </w:pPr>
      <w:r>
        <w:t>decimal literals</w:t>
        <w:t xml:space="preserve">, </w:t>
      </w:r>
      <w:hyperlink w:anchor="idm45965281901040">
        <w:r>
          <w:rPr>
            <w:rStyle w:val="Text1"/>
          </w:rPr>
          <w:t>Integer numbers</w:t>
        </w:r>
      </w:hyperlink>
    </w:p>
    <w:p>
      <w:pPr>
        <w:pStyle w:val="Para 004"/>
      </w:pPr>
      <w:r>
        <w:rPr>
          <w:rStyle w:val="Text2"/>
        </w:rPr>
        <w:t>decimal module</w:t>
        <w:t xml:space="preserve">, </w:t>
      </w:r>
      <w:hyperlink w:anchor="decmod16">
        <w:r>
          <w:t>The decimal Module</w:t>
        </w:r>
      </w:hyperlink>
      <w:r>
        <w:rPr>
          <w:rStyle w:val="Text2"/>
        </w:rPr>
        <w:t>-</w:t>
      </w:r>
      <w:hyperlink w:anchor="idm45965185580272">
        <w:r>
          <w:t>The decimal Module</w:t>
        </w:r>
      </w:hyperlink>
    </w:p>
    <w:p>
      <w:pPr>
        <w:pStyle w:val="Para 003"/>
      </w:pPr>
      <w:r>
        <w:t>decode method (bytes type)</w:t>
        <w:t xml:space="preserve">, </w:t>
      </w:r>
      <w:hyperlink w:anchor="idm45965264172608">
        <w:r>
          <w:rPr>
            <w:rStyle w:val="Text1"/>
          </w:rPr>
          <w:t>bytes objects</w:t>
        </w:r>
      </w:hyperlink>
    </w:p>
    <w:p>
      <w:pPr>
        <w:pStyle w:val="Para 003"/>
      </w:pPr>
      <w:r>
        <w:t>decorate–sort–undecorate (DSU) idiom</w:t>
        <w:t xml:space="preserve">, </w:t>
      </w:r>
      <w:hyperlink w:anchor="idm45965277126912">
        <w:r>
          <w:rPr>
            <w:rStyle w:val="Text1"/>
          </w:rPr>
          <w:t>The Decorate–Sort–Undecorate Idiom</w:t>
        </w:r>
      </w:hyperlink>
    </w:p>
    <w:p>
      <w:pPr>
        <w:pStyle w:val="Para 004"/>
      </w:pPr>
      <w:r>
        <w:rPr>
          <w:rStyle w:val="Text2"/>
        </w:rPr>
        <w:t>decorators</w:t>
        <w:t xml:space="preserve">, </w:t>
      </w:r>
      <w:hyperlink w:anchor="decor04">
        <w:r>
          <w:t>Decorators</w:t>
        </w:r>
      </w:hyperlink>
      <w:r>
        <w:rPr>
          <w:rStyle w:val="Text2"/>
        </w:rPr>
        <w:t>-</w:t>
      </w:r>
      <w:hyperlink w:anchor="idm45965280985712">
        <w:r>
          <w:t>Decorators</w:t>
        </w:r>
      </w:hyperlink>
      <w:r>
        <w:rPr>
          <w:rStyle w:val="Text2"/>
        </w:rPr>
        <w:t xml:space="preserve">, </w:t>
      </w:r>
      <w:hyperlink w:anchor="decor05">
        <w:r>
          <w:t>Utilities and Decorators</w:t>
        </w:r>
      </w:hyperlink>
      <w:r>
        <w:rPr>
          <w:rStyle w:val="Text2"/>
        </w:rPr>
        <w:t>-</w:t>
      </w:r>
      <w:hyperlink w:anchor="idm45965267803680">
        <w:r>
          <w:t>Utilities and Decorators</w:t>
        </w:r>
      </w:hyperlink>
    </w:p>
    <w:p>
      <w:pPr>
        <w:pStyle w:val="Para 003"/>
      </w:pPr>
      <w:r>
        <w:t>dedent (textwrap module)</w:t>
        <w:t xml:space="preserve">, </w:t>
      </w:r>
      <w:hyperlink w:anchor="idm45965209443168">
        <w:r>
          <w:rPr>
            <w:rStyle w:val="Text1"/>
          </w:rPr>
          <w:t>Text Wrapping and Filling</w:t>
        </w:r>
      </w:hyperlink>
    </w:p>
    <w:p>
      <w:pPr>
        <w:pStyle w:val="Para 003"/>
      </w:pPr>
      <w:r>
        <w:t>deepcopy (copy module)</w:t>
        <w:t xml:space="preserve">, </w:t>
      </w:r>
      <w:hyperlink w:anchor="idm45965214613376">
        <w:r>
          <w:rPr>
            <w:rStyle w:val="Text1"/>
          </w:rPr>
          <w:t>The copy Module</w:t>
        </w:r>
      </w:hyperlink>
    </w:p>
    <w:p>
      <w:pPr>
        <w:pStyle w:val="Para 004"/>
      </w:pPr>
      <w:r>
        <w:rPr>
          <w:rStyle w:val="Text2"/>
        </w:rPr>
        <w:t>def statement</w:t>
        <w:t xml:space="preserve">, </w:t>
      </w:r>
      <w:hyperlink w:anchor="idm45965262765264">
        <w:r>
          <w:t>Defining Functions: The def Statement</w:t>
        </w:r>
      </w:hyperlink>
      <w:r>
        <w:rPr>
          <w:rStyle w:val="Text2"/>
        </w:rPr>
        <w:t xml:space="preserve">, </w:t>
      </w:r>
      <w:hyperlink w:anchor="idm45965271709520">
        <w:r>
          <w:t>Function definitions in a class body</w:t>
        </w:r>
      </w:hyperlink>
    </w:p>
    <w:p>
      <w:pPr>
        <w:pStyle w:val="Para 003"/>
      </w:pPr>
      <w:r>
        <w:t>default parameters</w:t>
        <w:t xml:space="preserve">, </w:t>
      </w:r>
      <w:hyperlink w:anchor="idm45965262630160">
        <w:r>
          <w:rPr>
            <w:rStyle w:val="Text1"/>
          </w:rPr>
          <w:t>Named parameters</w:t>
        </w:r>
      </w:hyperlink>
    </w:p>
    <w:p>
      <w:pPr>
        <w:pStyle w:val="Para 004"/>
      </w:pPr>
      <w:r>
        <w:rPr>
          <w:rStyle w:val="Text2"/>
        </w:rPr>
        <w:t>default values</w:t>
        <w:t xml:space="preserve">, </w:t>
      </w:r>
      <w:hyperlink w:anchor="idm45965262618960">
        <w:r>
          <w:t>Named parameters</w:t>
        </w:r>
      </w:hyperlink>
      <w:r>
        <w:rPr>
          <w:rStyle w:val="Text2"/>
        </w:rPr>
        <w:t xml:space="preserve">, </w:t>
      </w:r>
      <w:hyperlink w:anchor="idm45965262491392">
        <w:r>
          <w:t>Mutable default parameter values</w:t>
        </w:r>
      </w:hyperlink>
    </w:p>
    <w:p>
      <w:pPr>
        <w:pStyle w:val="Para 003"/>
      </w:pPr>
      <w:r>
        <w:t>defaultdict class (collections module)</w:t>
        <w:t xml:space="preserve">, </w:t>
      </w:r>
      <w:hyperlink w:anchor="idm45965278147776">
        <w:r>
          <w:rPr>
            <w:rStyle w:val="Text1"/>
          </w:rPr>
          <w:t>defaultdict</w:t>
        </w:r>
      </w:hyperlink>
    </w:p>
    <w:p>
      <w:pPr>
        <w:pStyle w:val="Para 003"/>
      </w:pPr>
      <w:r>
        <w:t>deflate file compression</w:t>
        <w:t xml:space="preserve">, </w:t>
      </w:r>
      <w:hyperlink w:anchor="idm45965206430224">
        <w:r>
          <w:rPr>
            <w:rStyle w:val="Text1"/>
          </w:rPr>
          <w:t>File and Text Operations</w:t>
        </w:r>
      </w:hyperlink>
    </w:p>
    <w:p>
      <w:pPr>
        <w:pStyle w:val="Para 003"/>
      </w:pPr>
      <w:r>
        <w:t>del statement</w:t>
        <w:t xml:space="preserve">, </w:t>
      </w:r>
      <w:hyperlink w:anchor="idm45965283245392">
        <w:r>
          <w:rPr>
            <w:rStyle w:val="Text1"/>
          </w:rPr>
          <w:t>del Statements</w:t>
        </w:r>
      </w:hyperlink>
    </w:p>
    <w:p>
      <w:pPr>
        <w:pStyle w:val="Para 003"/>
      </w:pPr>
      <w:r>
        <w:t>delattr (built-in function)</w:t>
        <w:t xml:space="preserve">, </w:t>
      </w:r>
      <w:hyperlink w:anchor="idm45965216133760">
        <w:r>
          <w:rPr>
            <w:rStyle w:val="Text1"/>
          </w:rPr>
          <w:t>Built-in Functions</w:t>
        </w:r>
      </w:hyperlink>
    </w:p>
    <w:p>
      <w:pPr>
        <w:pStyle w:val="Para 003"/>
      </w:pPr>
      <w:r>
        <w:t>delimiters</w:t>
        <w:t xml:space="preserve">, </w:t>
      </w:r>
      <w:hyperlink w:anchor="idm45965276534752">
        <w:r>
          <w:rPr>
            <w:rStyle w:val="Text1"/>
          </w:rPr>
          <w:t>Delimiters</w:t>
        </w:r>
      </w:hyperlink>
    </w:p>
    <w:p>
      <w:pPr>
        <w:pStyle w:val="Para 004"/>
      </w:pPr>
      <w:r>
        <w:rPr>
          <w:rStyle w:val="Text2"/>
        </w:rPr>
        <w:t>denominators</w:t>
        <w:t xml:space="preserve">, </w:t>
      </w:r>
      <w:hyperlink w:anchor="idm45965186240832">
        <w:r>
          <w:t>The fractions Module</w:t>
        </w:r>
      </w:hyperlink>
    </w:p>
    <w:p>
      <w:pPr>
        <w:pStyle w:val="Para 004"/>
      </w:pPr>
      <w:r>
        <w:rPr>
          <w:rStyle w:val="Text2"/>
        </w:rPr>
        <w:t>deployment</w:t>
        <w:t xml:space="preserve">, </w:t>
      </w:r>
      <w:hyperlink w:anchor="idm45965162490208">
        <w:r>
          <w:t>Use a Controlled Deployment Process</w:t>
        </w:r>
      </w:hyperlink>
    </w:p>
    <w:p>
      <w:pPr>
        <w:pStyle w:val="Para 003"/>
      </w:pPr>
      <w:r>
        <w:t>DeprecationWarning class</w:t>
        <w:t xml:space="preserve">, </w:t>
      </w:r>
      <w:hyperlink w:anchor="idm45965181329552">
        <w:r>
          <w:rPr>
            <w:rStyle w:val="Text1"/>
          </w:rPr>
          <w:t>Classes</w:t>
        </w:r>
      </w:hyperlink>
    </w:p>
    <w:p>
      <w:pPr>
        <w:pStyle w:val="Para 003"/>
      </w:pPr>
      <w:r>
        <w:t>deque (double-ended queue) (collections module)</w:t>
      </w:r>
    </w:p>
    <w:p>
      <w:pPr>
        <w:pStyle w:val="Para 003"/>
      </w:pPr>
      <w:r>
        <w:t>deque class (collections module)</w:t>
        <w:t xml:space="preserve">, </w:t>
      </w:r>
      <w:hyperlink w:anchor="idm45965277771696">
        <w:r>
          <w:rPr>
            <w:rStyle w:val="Text1"/>
          </w:rPr>
          <w:t>deque</w:t>
        </w:r>
      </w:hyperlink>
    </w:p>
    <w:p>
      <w:pPr>
        <w:pStyle w:val="Para 004"/>
      </w:pPr>
      <w:r>
        <w:rPr>
          <w:rStyle w:val="Text2"/>
        </w:rPr>
        <w:t>descendants</w:t>
        <w:t xml:space="preserve">, </w:t>
      </w:r>
      <w:hyperlink w:anchor="idm45965271963504">
        <w:r>
          <w:t>The class Statement</w:t>
        </w:r>
      </w:hyperlink>
    </w:p>
    <w:p>
      <w:pPr>
        <w:pStyle w:val="Para 004"/>
      </w:pPr>
      <w:r>
        <w:rPr>
          <w:rStyle w:val="Text2"/>
        </w:rPr>
        <w:t>descriptors</w:t>
        <w:t xml:space="preserve">, </w:t>
      </w:r>
      <w:hyperlink w:anchor="idm45965272044976">
        <w:r>
          <w:t>Python Classes</w:t>
        </w:r>
      </w:hyperlink>
      <w:r>
        <w:rPr>
          <w:rStyle w:val="Text2"/>
        </w:rPr>
        <w:t xml:space="preserve">, </w:t>
      </w:r>
      <w:hyperlink w:anchor="idm45965271605248">
        <w:r>
          <w:t>Descriptors</w:t>
        </w:r>
      </w:hyperlink>
    </w:p>
    <w:p>
      <w:pPr>
        <w:pStyle w:val="Para 003"/>
      </w:pPr>
      <w:r>
        <w:t>deserialization</w:t>
        <w:t xml:space="preserve">, </w:t>
      </w:r>
      <w:hyperlink w:anchor="idm45965200539168">
        <w:r>
          <w:rPr>
            <w:rStyle w:val="Text1"/>
          </w:rPr>
          <w:t>Serialization</w:t>
        </w:r>
      </w:hyperlink>
    </w:p>
    <w:p>
      <w:pPr>
        <w:pStyle w:val="Para 004"/>
      </w:pPr>
      <w:r>
        <w:rPr>
          <w:rStyle w:val="Text2"/>
        </w:rPr>
        <w:t>development environments</w:t>
        <w:t xml:space="preserve">, </w:t>
      </w:r>
      <w:hyperlink w:anchor="devenv02">
        <w:r>
          <w:t>Python Development Environments</w:t>
        </w:r>
      </w:hyperlink>
      <w:r>
        <w:rPr>
          <w:rStyle w:val="Text2"/>
        </w:rPr>
        <w:t>-</w:t>
      </w:r>
      <w:hyperlink w:anchor="idm45965276429712">
        <w:r>
          <w:t>Tools for Checking Python Programs</w:t>
        </w:r>
      </w:hyperlink>
    </w:p>
    <w:p>
      <w:pPr>
        <w:pStyle w:val="Para 004"/>
      </w:pPr>
      <w:r>
        <w:rPr>
          <w:rStyle w:val="Text2"/>
        </w:rPr>
        <w:t>free text editors</w:t>
        <w:t xml:space="preserve">, </w:t>
      </w:r>
      <w:hyperlink w:anchor="idm45965276474544">
        <w:r>
          <w:t>Free Text Editors with Python Support</w:t>
        </w:r>
      </w:hyperlink>
    </w:p>
    <w:p>
      <w:pPr>
        <w:pStyle w:val="Para 003"/>
      </w:pPr>
      <w:r>
        <w:t>Integrated Development and Learning Environment (IDLE)</w:t>
        <w:t xml:space="preserve">, </w:t>
      </w:r>
      <w:hyperlink w:anchor="idm45965276490912">
        <w:r>
          <w:rPr>
            <w:rStyle w:val="Text1"/>
          </w:rPr>
          <w:t>IDLE</w:t>
        </w:r>
      </w:hyperlink>
    </w:p>
    <w:p>
      <w:pPr>
        <w:pStyle w:val="Para 003"/>
      </w:pPr>
      <w:r>
        <w:t>other Python IDEs</w:t>
        <w:t xml:space="preserve">, </w:t>
      </w:r>
      <w:hyperlink w:anchor="idm45965276484640">
        <w:r>
          <w:rPr>
            <w:rStyle w:val="Text1"/>
          </w:rPr>
          <w:t>Other Python IDEs</w:t>
        </w:r>
      </w:hyperlink>
    </w:p>
    <w:p>
      <w:pPr>
        <w:pStyle w:val="Para 004"/>
      </w:pPr>
      <w:r>
        <w:rPr>
          <w:rStyle w:val="Text2"/>
        </w:rPr>
        <w:t>tools for checking programs</w:t>
        <w:t xml:space="preserve">, </w:t>
      </w:r>
      <w:hyperlink w:anchor="idm45965276453968">
        <w:r>
          <w:t>Tools for Checking Python Programs</w:t>
        </w:r>
      </w:hyperlink>
    </w:p>
    <w:p>
      <w:pPr>
        <w:pStyle w:val="Para 004"/>
      </w:pPr>
      <w:r>
        <w:rPr>
          <w:rStyle w:val="Text2"/>
        </w:rPr>
        <w:t>dict (built-in type)</w:t>
        <w:t xml:space="preserve">, </w:t>
      </w:r>
      <w:hyperlink w:anchor="idm45965216721776">
        <w:r>
          <w:t>Built-in Types</w:t>
        </w:r>
      </w:hyperlink>
      <w:r>
        <w:rPr>
          <w:rStyle w:val="Text2"/>
        </w:rPr>
        <w:t xml:space="preserve">, </w:t>
      </w:r>
      <w:hyperlink w:anchor="idm45965277801488">
        <w:r>
          <w:t>defaultdict</w:t>
        </w:r>
      </w:hyperlink>
    </w:p>
    <w:p>
      <w:pPr>
        <w:pStyle w:val="Para 004"/>
      </w:pPr>
      <w:r>
        <w:rPr>
          <w:rStyle w:val="Text2"/>
        </w:rPr>
        <w:t>dictionaries</w:t>
        <w:t xml:space="preserve">, </w:t>
      </w:r>
      <w:hyperlink w:anchor="dict03">
        <w:r>
          <w:t>Dictionaries</w:t>
        </w:r>
      </w:hyperlink>
      <w:r>
        <w:rPr>
          <w:rStyle w:val="Text2"/>
        </w:rPr>
        <w:t>-</w:t>
      </w:r>
      <w:hyperlink w:anchor="idm45965279297392">
        <w:r>
          <w:t>Dictionaries</w:t>
        </w:r>
      </w:hyperlink>
    </w:p>
    <w:p>
      <w:pPr>
        <w:pStyle w:val="Para 003"/>
      </w:pPr>
      <w:r>
        <w:t>dictionary comprehensions</w:t>
        <w:t xml:space="preserve">, </w:t>
      </w:r>
      <w:hyperlink w:anchor="idm45965257534336">
        <w:r>
          <w:rPr>
            <w:rStyle w:val="Text1"/>
          </w:rPr>
          <w:t>Dictionary comprehensions</w:t>
        </w:r>
      </w:hyperlink>
    </w:p>
    <w:p>
      <w:pPr>
        <w:pStyle w:val="Para 004"/>
      </w:pPr>
      <w:r>
        <w:rPr>
          <w:rStyle w:val="Text2"/>
        </w:rPr>
        <w:t>dictionary operations</w:t>
        <w:t xml:space="preserve">, </w:t>
      </w:r>
      <w:hyperlink w:anchor="dictop03">
        <w:r>
          <w:t>Dictionary Operations</w:t>
        </w:r>
      </w:hyperlink>
      <w:r>
        <w:rPr>
          <w:rStyle w:val="Text2"/>
        </w:rPr>
        <w:t>-</w:t>
      </w:r>
      <w:hyperlink w:anchor="idm45965282482928">
        <w:r>
          <w:t>Dictionary Methods</w:t>
        </w:r>
      </w:hyperlink>
      <w:r>
        <w:rPr>
          <w:rStyle w:val="Text2"/>
        </w:rPr>
        <w:t xml:space="preserve">, </w:t>
      </w:r>
      <w:hyperlink w:anchor="idm45965180790672">
        <w:r>
          <w:t>Dictionary operations</w:t>
        </w:r>
      </w:hyperlink>
    </w:p>
    <w:p>
      <w:pPr>
        <w:pStyle w:val="Para 003"/>
      </w:pPr>
      <w:r>
        <w:t>dictionary membership</w:t>
        <w:t xml:space="preserve">, </w:t>
      </w:r>
      <w:hyperlink w:anchor="idm45965283673664">
        <w:r>
          <w:rPr>
            <w:rStyle w:val="Text1"/>
          </w:rPr>
          <w:t>Dictionary Membership</w:t>
        </w:r>
      </w:hyperlink>
    </w:p>
    <w:p>
      <w:pPr>
        <w:pStyle w:val="Para 003"/>
      </w:pPr>
      <w:r>
        <w:t>dictionary methods</w:t>
        <w:t xml:space="preserve">, </w:t>
      </w:r>
      <w:hyperlink w:anchor="idm45965283514560">
        <w:r>
          <w:rPr>
            <w:rStyle w:val="Text1"/>
          </w:rPr>
          <w:t>Dictionary Methods</w:t>
        </w:r>
      </w:hyperlink>
    </w:p>
    <w:p>
      <w:pPr>
        <w:pStyle w:val="Para 003"/>
      </w:pPr>
      <w:r>
        <w:t>indexing dictionaries</w:t>
        <w:t xml:space="preserve">, </w:t>
      </w:r>
      <w:hyperlink w:anchor="idm45965283658016">
        <w:r>
          <w:rPr>
            <w:rStyle w:val="Text1"/>
          </w:rPr>
          <w:t>Indexing a Dictionary</w:t>
        </w:r>
      </w:hyperlink>
    </w:p>
    <w:p>
      <w:pPr>
        <w:pStyle w:val="Para 004"/>
      </w:pPr>
      <w:r>
        <w:rPr>
          <w:rStyle w:val="Text2"/>
        </w:rPr>
        <w:t>optimizing</w:t>
        <w:t xml:space="preserve">, </w:t>
      </w:r>
      <w:hyperlink w:anchor="idm45965180792080">
        <w:r>
          <w:t>Dictionary operations</w:t>
        </w:r>
      </w:hyperlink>
    </w:p>
    <w:p>
      <w:pPr>
        <w:pStyle w:val="Para 003"/>
      </w:pPr>
      <w:r>
        <w:t>difference (set method)</w:t>
        <w:t xml:space="preserve">, </w:t>
      </w:r>
      <w:hyperlink w:anchor="idm45965278593408">
        <w:r>
          <w:rPr>
            <w:rStyle w:val="Text1"/>
          </w:rPr>
          <w:t>Set Methods</w:t>
        </w:r>
      </w:hyperlink>
    </w:p>
    <w:p>
      <w:pPr>
        <w:pStyle w:val="Para 003"/>
      </w:pPr>
      <w:r>
        <w:t>digit grouping (f-strings)</w:t>
        <w:t xml:space="preserve">, </w:t>
      </w:r>
      <w:hyperlink w:anchor="idm45965210651568">
        <w:r>
          <w:rPr>
            <w:rStyle w:val="Text1"/>
          </w:rPr>
          <w:t>Grouping option</w:t>
        </w:r>
      </w:hyperlink>
    </w:p>
    <w:p>
      <w:pPr>
        <w:pStyle w:val="Para 003"/>
      </w:pPr>
      <w:r>
        <w:t>dir (built-in function)</w:t>
        <w:t xml:space="preserve">, </w:t>
      </w:r>
      <w:hyperlink w:anchor="idm45965216119344">
        <w:r>
          <w:rPr>
            <w:rStyle w:val="Text1"/>
          </w:rPr>
          <w:t>Built-in Functions</w:t>
        </w:r>
      </w:hyperlink>
    </w:p>
    <w:p>
      <w:pPr>
        <w:pStyle w:val="Para 003"/>
      </w:pPr>
      <w:r>
        <w:t>direct subclasses</w:t>
        <w:t xml:space="preserve">, </w:t>
      </w:r>
      <w:hyperlink w:anchor="idm45965271965216">
        <w:r>
          <w:rPr>
            <w:rStyle w:val="Text1"/>
          </w:rPr>
          <w:t>The class Statement</w:t>
        </w:r>
      </w:hyperlink>
    </w:p>
    <w:p>
      <w:pPr>
        <w:pStyle w:val="Para 003"/>
      </w:pPr>
      <w:r>
        <w:t>dirname (os.path module)</w:t>
        <w:t xml:space="preserve">, </w:t>
      </w:r>
      <w:hyperlink w:anchor="idm45965203812624">
        <w:r>
          <w:rPr>
            <w:rStyle w:val="Text1"/>
          </w:rPr>
          <w:t>The os.path Module</w:t>
        </w:r>
      </w:hyperlink>
    </w:p>
    <w:p>
      <w:pPr>
        <w:pStyle w:val="Para 003"/>
      </w:pPr>
      <w:r>
        <w:t>disable (gc module)</w:t>
        <w:t xml:space="preserve">, </w:t>
      </w:r>
      <w:hyperlink w:anchor="idm45965194159680">
        <w:r>
          <w:rPr>
            <w:rStyle w:val="Text1"/>
          </w:rPr>
          <w:t>The gc Module</w:t>
        </w:r>
      </w:hyperlink>
    </w:p>
    <w:p>
      <w:pPr>
        <w:pStyle w:val="Para 003"/>
      </w:pPr>
      <w:r>
        <w:t>discard (set method)</w:t>
        <w:t xml:space="preserve">, </w:t>
      </w:r>
      <w:hyperlink w:anchor="idm45965278512768">
        <w:r>
          <w:rPr>
            <w:rStyle w:val="Text1"/>
          </w:rPr>
          <w:t>Set Methods</w:t>
        </w:r>
      </w:hyperlink>
    </w:p>
    <w:p>
      <w:pPr>
        <w:pStyle w:val="Para 003"/>
      </w:pPr>
      <w:r>
        <w:t>displayhook (sys module)</w:t>
        <w:t xml:space="preserve">, </w:t>
      </w:r>
      <w:hyperlink w:anchor="idm45965215115120">
        <w:r>
          <w:rPr>
            <w:rStyle w:val="Text1"/>
          </w:rPr>
          <w:t>The sys Module</w:t>
        </w:r>
      </w:hyperlink>
    </w:p>
    <w:p>
      <w:pPr>
        <w:pStyle w:val="Para 004"/>
      </w:pPr>
      <w:r>
        <w:rPr>
          <w:rStyle w:val="Text2"/>
        </w:rPr>
        <w:t>dist (math module)</w:t>
        <w:t xml:space="preserve">, </w:t>
      </w:r>
      <w:hyperlink w:anchor="idm45965187339184">
        <w:r>
          <w:t>The math and cmath Modules</w:t>
        </w:r>
      </w:hyperlink>
    </w:p>
    <w:p>
      <w:pPr>
        <w:pStyle w:val="Para 004"/>
      </w:pPr>
      <w:r>
        <w:rPr>
          <w:rStyle w:val="Text2"/>
        </w:rPr>
        <w:t>distributed computing</w:t>
        <w:t xml:space="preserve">, </w:t>
      </w:r>
      <w:hyperlink w:anchor="distcomp15">
        <w:r>
          <w:t>Concurrency: Threads and Processes</w:t>
        </w:r>
      </w:hyperlink>
      <w:r>
        <w:rPr>
          <w:rStyle w:val="Text2"/>
        </w:rPr>
        <w:t>-</w:t>
      </w:r>
      <w:hyperlink w:anchor="idm45965193591632">
        <w:r>
          <w:t>Concurrency: Threads and Processes</w:t>
        </w:r>
      </w:hyperlink>
    </w:p>
    <w:p>
      <w:pPr>
        <w:pStyle w:val="Para 004"/>
      </w:pPr>
      <w:r>
        <w:rPr>
          <w:rStyle w:val="Text2"/>
        </w:rPr>
        <w:t>distribution utilities (distutils)</w:t>
        <w:t xml:space="preserve">, </w:t>
      </w:r>
      <w:hyperlink w:anchor="dist07">
        <w:r>
          <w:t>Distribution Utilities (distutils) and setuptools</w:t>
        </w:r>
      </w:hyperlink>
      <w:r>
        <w:rPr>
          <w:rStyle w:val="Text2"/>
        </w:rPr>
        <w:t>-</w:t>
      </w:r>
      <w:hyperlink w:anchor="idm45965217061168">
        <w:r>
          <w:t>Distribution Utilities (distutils) and setuptools</w:t>
        </w:r>
      </w:hyperlink>
    </w:p>
    <w:p>
      <w:pPr>
        <w:pStyle w:val="Para 003"/>
      </w:pPr>
      <w:r>
        <w:t>Diversity and Inclusion workgroup</w:t>
        <w:t xml:space="preserve">, </w:t>
      </w:r>
      <w:hyperlink w:anchor="idm45965284032176">
        <w:r>
          <w:rPr>
            <w:rStyle w:val="Text1"/>
          </w:rPr>
          <w:t>Workgroups</w:t>
        </w:r>
      </w:hyperlink>
    </w:p>
    <w:p>
      <w:pPr>
        <w:pStyle w:val="Para 003"/>
      </w:pPr>
      <w:r>
        <w:t>division</w:t>
        <w:t xml:space="preserve">, </w:t>
      </w:r>
      <w:hyperlink w:anchor="idm45965276265568">
        <w:r>
          <w:rPr>
            <w:rStyle w:val="Text1"/>
          </w:rPr>
          <w:t>Division</w:t>
        </w:r>
      </w:hyperlink>
    </w:p>
    <w:p>
      <w:pPr>
        <w:pStyle w:val="Para 003"/>
      </w:pPr>
      <w:r>
        <w:t>divmod (built-in function)</w:t>
        <w:t xml:space="preserve">, </w:t>
      </w:r>
      <w:hyperlink w:anchor="idm45965276240400">
        <w:r>
          <w:rPr>
            <w:rStyle w:val="Text1"/>
          </w:rPr>
          <w:t>Division</w:t>
        </w:r>
      </w:hyperlink>
      <w:r>
        <w:t xml:space="preserve">, </w:t>
      </w:r>
      <w:hyperlink w:anchor="idm45965216109392">
        <w:r>
          <w:rPr>
            <w:rStyle w:val="Text1"/>
          </w:rPr>
          <w:t>Built-in Functions</w:t>
        </w:r>
      </w:hyperlink>
    </w:p>
    <w:p>
      <w:pPr>
        <w:pStyle w:val="Para 004"/>
      </w:pPr>
      <w:r>
        <w:rPr>
          <w:rStyle w:val="Text2"/>
        </w:rPr>
        <w:t>Django</w:t>
        <w:t xml:space="preserve">, </w:t>
      </w:r>
      <w:hyperlink w:anchor="idm45965174881488">
        <w:r>
          <w:t>A Few Popular Full-Stack Frameworks</w:t>
        </w:r>
      </w:hyperlink>
    </w:p>
    <w:p>
      <w:pPr>
        <w:pStyle w:val="Para 003"/>
      </w:pPr>
      <w:r>
        <w:t>docstrings (documentation strings)</w:t>
        <w:t xml:space="preserve">, </w:t>
      </w:r>
      <w:hyperlink w:anchor="idm45965263476240">
        <w:r>
          <w:rPr>
            <w:rStyle w:val="Text1"/>
          </w:rPr>
          <w:t>Docstrings</w:t>
        </w:r>
      </w:hyperlink>
      <w:r>
        <w:t xml:space="preserve">, </w:t>
      </w:r>
      <w:hyperlink w:anchor="idm45965271615168">
        <w:r>
          <w:rPr>
            <w:rStyle w:val="Text1"/>
          </w:rPr>
          <w:t>Class documentation strings</w:t>
        </w:r>
      </w:hyperlink>
    </w:p>
    <w:p>
      <w:pPr>
        <w:pStyle w:val="Para 004"/>
      </w:pPr>
      <w:r>
        <w:rPr>
          <w:rStyle w:val="Text2"/>
        </w:rPr>
        <w:t>doctest module</w:t>
        <w:t xml:space="preserve">, </w:t>
      </w:r>
      <w:hyperlink w:anchor="dtmod17">
        <w:r>
          <w:t>The doctest Module</w:t>
        </w:r>
      </w:hyperlink>
      <w:r>
        <w:rPr>
          <w:rStyle w:val="Text2"/>
        </w:rPr>
        <w:t>-</w:t>
      </w:r>
      <w:hyperlink w:anchor="idm45965183509456">
        <w:r>
          <w:t>The doctest Module</w:t>
        </w:r>
      </w:hyperlink>
    </w:p>
    <w:p>
      <w:pPr>
        <w:pStyle w:val="Para 004"/>
      </w:pPr>
      <w:r>
        <w:rPr>
          <w:rStyle w:val="Text2"/>
        </w:rPr>
        <w:t>documentation</w:t>
        <w:t xml:space="preserve">, </w:t>
      </w:r>
      <w:hyperlink w:anchor="doc01">
        <w:r>
          <w:t>Documentation</w:t>
        </w:r>
      </w:hyperlink>
      <w:r>
        <w:rPr>
          <w:rStyle w:val="Text2"/>
        </w:rPr>
        <w:t>-</w:t>
      </w:r>
      <w:hyperlink w:anchor="idm45965284062080">
        <w:r>
          <w:t>Books</w:t>
        </w:r>
      </w:hyperlink>
    </w:p>
    <w:p>
      <w:pPr>
        <w:pStyle w:val="Para 003"/>
      </w:pPr>
      <w:r>
        <w:t>documentation strings (docstrings)</w:t>
        <w:t xml:space="preserve">, </w:t>
      </w:r>
      <w:hyperlink w:anchor="idm45965263477344">
        <w:r>
          <w:rPr>
            <w:rStyle w:val="Text1"/>
          </w:rPr>
          <w:t>Docstrings</w:t>
        </w:r>
      </w:hyperlink>
      <w:r>
        <w:t xml:space="preserve">, </w:t>
      </w:r>
      <w:hyperlink w:anchor="idm45965271616288">
        <w:r>
          <w:rPr>
            <w:rStyle w:val="Text1"/>
          </w:rPr>
          <w:t>Class documentation strings</w:t>
        </w:r>
      </w:hyperlink>
    </w:p>
    <w:p>
      <w:pPr>
        <w:pStyle w:val="Para 004"/>
      </w:pPr>
      <w:r>
        <w:rPr>
          <w:rStyle w:val="Text2"/>
        </w:rPr>
        <w:t>dollar sign ($)</w:t>
        <w:t xml:space="preserve">, </w:t>
      </w:r>
      <w:hyperlink w:anchor="idm45965284327568">
        <w:r>
          <w:t>Identifiers</w:t>
        </w:r>
      </w:hyperlink>
      <w:r>
        <w:rPr>
          <w:rStyle w:val="Text2"/>
        </w:rPr>
        <w:t xml:space="preserve">, </w:t>
      </w:r>
      <w:hyperlink w:anchor="idm45965282197296">
        <w:r>
          <w:t>Delimiters</w:t>
        </w:r>
      </w:hyperlink>
    </w:p>
    <w:p>
      <w:pPr>
        <w:pStyle w:val="Para 003"/>
      </w:pPr>
      <w:r>
        <w:t>double quote (")</w:t>
        <w:t xml:space="preserve">, </w:t>
      </w:r>
      <w:hyperlink w:anchor="idm45965276499424">
        <w:r>
          <w:rPr>
            <w:rStyle w:val="Text1"/>
          </w:rPr>
          <w:t>Delimiters</w:t>
        </w:r>
      </w:hyperlink>
      <w:r>
        <w:t xml:space="preserve">, </w:t>
      </w:r>
      <w:hyperlink w:anchor="idm45965282813344">
        <w:r>
          <w:rPr>
            <w:rStyle w:val="Text1"/>
          </w:rPr>
          <w:t>Strings</w:t>
        </w:r>
      </w:hyperlink>
    </w:p>
    <w:p>
      <w:pPr>
        <w:pStyle w:val="Para 003"/>
      </w:pPr>
      <w:r>
        <w:t>double quote escaped (\")</w:t>
        <w:t xml:space="preserve">, </w:t>
      </w:r>
      <w:hyperlink w:anchor="idm45965276653088">
        <w:r>
          <w:rPr>
            <w:rStyle w:val="Text1"/>
          </w:rPr>
          <w:t>Strings</w:t>
        </w:r>
      </w:hyperlink>
    </w:p>
    <w:p>
      <w:pPr>
        <w:pStyle w:val="Para 003"/>
      </w:pPr>
      <w:r>
        <w:t>double star (**) operator</w:t>
      </w:r>
    </w:p>
    <w:p>
      <w:pPr>
        <w:pStyle w:val="Para 003"/>
      </w:pPr>
      <w:r>
        <w:t>dict unpacking</w:t>
        <w:t xml:space="preserve">, </w:t>
      </w:r>
      <w:hyperlink w:anchor="idm45965258221888">
        <w:r>
          <w:rPr>
            <w:rStyle w:val="Text1"/>
          </w:rPr>
          <w:t>Dictionaries</w:t>
        </w:r>
      </w:hyperlink>
    </w:p>
    <w:p>
      <w:pPr>
        <w:pStyle w:val="Para 003"/>
      </w:pPr>
      <w:r>
        <w:t>exponentiation operator</w:t>
        <w:t xml:space="preserve">, </w:t>
      </w:r>
      <w:hyperlink w:anchor="idm45965276227936">
        <w:r>
          <w:rPr>
            <w:rStyle w:val="Text1"/>
          </w:rPr>
          <w:t>Exponentiation</w:t>
        </w:r>
      </w:hyperlink>
    </w:p>
    <w:p>
      <w:pPr>
        <w:pStyle w:val="Para 004"/>
      </w:pPr>
      <w:r>
        <w:rPr>
          <w:rStyle w:val="Text2"/>
        </w:rPr>
        <w:t>glob recursive wildcard</w:t>
        <w:t xml:space="preserve">, </w:t>
      </w:r>
      <w:hyperlink w:anchor="idm45965203305584">
        <w:r>
          <w:t>The pathlib Module</w:t>
        </w:r>
      </w:hyperlink>
      <w:r>
        <w:rPr>
          <w:rStyle w:val="Text2"/>
        </w:rPr>
        <w:t xml:space="preserve">, </w:t>
      </w:r>
      <w:hyperlink w:anchor="idm45965202283360">
        <w:r>
          <w:t>The glob Module</w:t>
        </w:r>
      </w:hyperlink>
    </w:p>
    <w:p>
      <w:pPr>
        <w:pStyle w:val="Para 004"/>
      </w:pPr>
      <w:r>
        <w:rPr>
          <w:rStyle w:val="Text2"/>
        </w:rPr>
        <w:t>kwargs</w:t>
        <w:t xml:space="preserve">, </w:t>
      </w:r>
      <w:hyperlink w:anchor="idm45965262237216">
        <w:r>
          <w:t>Argument collector parameters</w:t>
        </w:r>
      </w:hyperlink>
      <w:r>
        <w:rPr>
          <w:rStyle w:val="Text2"/>
        </w:rPr>
        <w:t xml:space="preserve">, </w:t>
      </w:r>
      <w:hyperlink w:anchor="idm45965270467424">
        <w:r>
          <w:t>Positional and named arguments</w:t>
        </w:r>
      </w:hyperlink>
    </w:p>
    <w:p>
      <w:pPr>
        <w:pStyle w:val="Para 004"/>
      </w:pPr>
      <w:r>
        <w:rPr>
          <w:rStyle w:val="Text2"/>
        </w:rPr>
        <w:t>kwds</w:t>
        <w:t xml:space="preserve">, </w:t>
      </w:r>
      <w:hyperlink w:anchor="idm45965263646192">
        <w:r>
          <w:t>Argument collector parameters</w:t>
        </w:r>
      </w:hyperlink>
      <w:r>
        <w:rPr>
          <w:rStyle w:val="Text2"/>
        </w:rPr>
        <w:t xml:space="preserve">, </w:t>
      </w:r>
      <w:hyperlink w:anchor="idm45965270441712">
        <w:r>
          <w:t>“Keyword-only” parameters</w:t>
        </w:r>
      </w:hyperlink>
    </w:p>
    <w:p>
      <w:pPr>
        <w:pStyle w:val="Para 003"/>
      </w:pPr>
      <w:r>
        <w:t>mapping pattern (structural pattern matching)</w:t>
        <w:t xml:space="preserve">, </w:t>
      </w:r>
      <w:hyperlink w:anchor="idm45965279424368">
        <w:r>
          <w:rPr>
            <w:rStyle w:val="Text1"/>
          </w:rPr>
          <w:t>Mapping patterns</w:t>
        </w:r>
      </w:hyperlink>
    </w:p>
    <w:p>
      <w:pPr>
        <w:pStyle w:val="Para 004"/>
      </w:pPr>
      <w:r>
        <w:rPr>
          <w:rStyle w:val="Text2"/>
        </w:rPr>
        <w:t>metaclass arguments</w:t>
        <w:t xml:space="preserve">, </w:t>
      </w:r>
      <w:hyperlink w:anchor="idm45965271959008">
        <w:r>
          <w:t>The class Statement</w:t>
        </w:r>
      </w:hyperlink>
      <w:r>
        <w:rPr>
          <w:rStyle w:val="Text2"/>
        </w:rPr>
        <w:t xml:space="preserve">, </w:t>
      </w:r>
      <w:hyperlink w:anchor="idm45965273341728">
        <w:r>
          <w:t>Dynamic class definition using the type built-in function</w:t>
        </w:r>
      </w:hyperlink>
    </w:p>
    <w:p>
      <w:pPr>
        <w:pStyle w:val="Para 004"/>
      </w:pPr>
      <w:r>
        <w:rPr>
          <w:rStyle w:val="Text2"/>
        </w:rPr>
        <w:t>named argument collector</w:t>
        <w:t xml:space="preserve">, </w:t>
      </w:r>
      <w:hyperlink w:anchor="DSOname03">
        <w:r>
          <w:t>Named argument collector</w:t>
        </w:r>
      </w:hyperlink>
      <w:r>
        <w:rPr>
          <w:rStyle w:val="Text2"/>
        </w:rPr>
        <w:t>-</w:t>
      </w:r>
      <w:hyperlink w:anchor="idm45965263512992">
        <w:r>
          <w:t>Argument collector parameters</w:t>
        </w:r>
      </w:hyperlink>
    </w:p>
    <w:p>
      <w:pPr>
        <w:pStyle w:val="Para 003"/>
      </w:pPr>
      <w:r>
        <w:t>double-ended queue (deque)</w:t>
        <w:t xml:space="preserve">, </w:t>
      </w:r>
      <w:hyperlink w:anchor="idm45965277770384">
        <w:r>
          <w:rPr>
            <w:rStyle w:val="Text1"/>
          </w:rPr>
          <w:t>deque</w:t>
        </w:r>
      </w:hyperlink>
    </w:p>
    <w:p>
      <w:pPr>
        <w:pStyle w:val="Para 003"/>
      </w:pPr>
      <w:r>
        <w:t>dropwhile (itertools module)</w:t>
        <w:t xml:space="preserve">, </w:t>
      </w:r>
      <w:hyperlink w:anchor="idm45965213576864">
        <w:r>
          <w:rPr>
            <w:rStyle w:val="Text1"/>
          </w:rPr>
          <w:t>The itertools Module</w:t>
        </w:r>
      </w:hyperlink>
    </w:p>
    <w:p>
      <w:pPr>
        <w:pStyle w:val="Para 003"/>
      </w:pPr>
      <w:r>
        <w:t>dst (datetime.time class)</w:t>
        <w:t xml:space="preserve">, </w:t>
      </w:r>
      <w:hyperlink w:anchor="idm45965196265120">
        <w:r>
          <w:rPr>
            <w:rStyle w:val="Text1"/>
          </w:rPr>
          <w:t>The time Class</w:t>
        </w:r>
      </w:hyperlink>
    </w:p>
    <w:p>
      <w:pPr>
        <w:pStyle w:val="Para 004"/>
      </w:pPr>
      <w:r>
        <w:rPr>
          <w:rStyle w:val="Text2"/>
        </w:rPr>
        <w:t>dst (tzinfo class)</w:t>
        <w:t xml:space="preserve">, </w:t>
      </w:r>
      <w:hyperlink w:anchor="idm45965195777344">
        <w:r>
          <w:t>The tzinfo Abstract Class</w:t>
        </w:r>
      </w:hyperlink>
    </w:p>
    <w:p>
      <w:pPr>
        <w:pStyle w:val="Para 003"/>
      </w:pPr>
      <w:r>
        <w:t>DSU (decorate–sort–undecorate) idiom</w:t>
        <w:t xml:space="preserve">, </w:t>
      </w:r>
      <w:hyperlink w:anchor="idm45965277125840">
        <w:r>
          <w:rPr>
            <w:rStyle w:val="Text1"/>
          </w:rPr>
          <w:t>The Decorate–Sort–Undecorate Idiom</w:t>
        </w:r>
      </w:hyperlink>
    </w:p>
    <w:p>
      <w:pPr>
        <w:pStyle w:val="Para 003"/>
      </w:pPr>
      <w:r>
        <w:t>dtype</w:t>
        <w:t xml:space="preserve">, </w:t>
      </w:r>
      <w:hyperlink w:anchor="idm45965185315872">
        <w:r>
          <w:rPr>
            <w:rStyle w:val="Text1"/>
          </w:rPr>
          <w:t>NumPy</w:t>
        </w:r>
      </w:hyperlink>
    </w:p>
    <w:p>
      <w:pPr>
        <w:pStyle w:val="Para 004"/>
      </w:pPr>
      <w:r>
        <w:rPr>
          <w:rStyle w:val="Text2"/>
        </w:rPr>
        <w:t>duck typing</w:t>
        <w:t xml:space="preserve">, </w:t>
      </w:r>
      <w:hyperlink w:anchor="idm45965216419152">
        <w:r>
          <w:t>Built-in Types</w:t>
        </w:r>
      </w:hyperlink>
    </w:p>
    <w:p>
      <w:pPr>
        <w:pStyle w:val="Para 003"/>
      </w:pPr>
      <w:r>
        <w:t>dunder (double underscore)</w:t>
      </w:r>
    </w:p>
    <w:p>
      <w:pPr>
        <w:pStyle w:val="Para 004"/>
      </w:pPr>
      <w:r>
        <w:rPr>
          <w:rStyle w:val="Text2"/>
        </w:rPr>
        <w:t>attribute references</w:t>
        <w:t xml:space="preserve">, </w:t>
      </w:r>
      <w:hyperlink w:anchor="idm45965266613984">
        <w:r>
          <w:t>Attribute Reference Basics</w:t>
        </w:r>
      </w:hyperlink>
    </w:p>
    <w:p>
      <w:pPr>
        <w:pStyle w:val="Para 004"/>
      </w:pPr>
      <w:r>
        <w:rPr>
          <w:rStyle w:val="Text2"/>
        </w:rPr>
        <w:t>availability of</w:t>
        <w:t xml:space="preserve">, </w:t>
      </w:r>
      <w:hyperlink w:anchor="idm45965271647488">
        <w:r>
          <w:t>Class-private variables</w:t>
        </w:r>
      </w:hyperlink>
    </w:p>
    <w:p>
      <w:pPr>
        <w:pStyle w:val="Para 004"/>
      </w:pPr>
      <w:r>
        <w:rPr>
          <w:rStyle w:val="Text2"/>
        </w:rPr>
        <w:t>definition of term</w:t>
        <w:t xml:space="preserve">, </w:t>
      </w:r>
      <w:hyperlink w:anchor="idm45965272036016">
        <w:r>
          <w:t>Python Classes</w:t>
        </w:r>
      </w:hyperlink>
      <w:r>
        <w:rPr>
          <w:rStyle w:val="Text2"/>
        </w:rPr>
        <w:t xml:space="preserve">, </w:t>
      </w:r>
      <w:hyperlink w:anchor="idm45965265063056">
        <w:r>
          <w:t>Special Methods</w:t>
        </w:r>
      </w:hyperlink>
    </w:p>
    <w:p>
      <w:pPr>
        <w:pStyle w:val="Para 003"/>
      </w:pPr>
      <w:r>
        <w:t>general-purpose special methods</w:t>
        <w:t xml:space="preserve">, </w:t>
      </w:r>
      <w:hyperlink w:anchor="idm45965265047248">
        <w:r>
          <w:rPr>
            <w:rStyle w:val="Text1"/>
          </w:rPr>
          <w:t>General-Purpose Special Methods</w:t>
        </w:r>
      </w:hyperlink>
    </w:p>
    <w:p>
      <w:pPr>
        <w:pStyle w:val="Para 003"/>
      </w:pPr>
      <w:r>
        <w:t>import hooks</w:t>
        <w:t xml:space="preserve">, </w:t>
      </w:r>
      <w:hyperlink w:anchor="idm45965217328416">
        <w:r>
          <w:rPr>
            <w:rStyle w:val="Text1"/>
          </w:rPr>
          <w:t>Import hooks</w:t>
        </w:r>
      </w:hyperlink>
    </w:p>
    <w:p>
      <w:pPr>
        <w:pStyle w:val="Para 003"/>
      </w:pPr>
      <w:r>
        <w:t>inheritance and</w:t>
        <w:t xml:space="preserve">, </w:t>
      </w:r>
      <w:hyperlink w:anchor="idm45965272030512">
        <w:r>
          <w:rPr>
            <w:rStyle w:val="Text1"/>
          </w:rPr>
          <w:t>Python Classes</w:t>
        </w:r>
      </w:hyperlink>
    </w:p>
    <w:p>
      <w:pPr>
        <w:pStyle w:val="Para 004"/>
      </w:pPr>
      <w:r>
        <w:rPr>
          <w:rStyle w:val="Text2"/>
        </w:rPr>
        <w:t>module metadata</w:t>
        <w:t xml:space="preserve">, </w:t>
      </w:r>
      <w:hyperlink w:anchor="idm45965254751616">
        <w:r>
          <w:t>Attributes of module objects</w:t>
        </w:r>
      </w:hyperlink>
    </w:p>
    <w:p>
      <w:pPr>
        <w:pStyle w:val="Para 004"/>
      </w:pPr>
      <w:r>
        <w:rPr>
          <w:rStyle w:val="Text2"/>
        </w:rPr>
        <w:t>object type</w:t>
        <w:t xml:space="preserve">, </w:t>
      </w:r>
      <w:hyperlink w:anchor="idm45965276841184">
        <w:r>
          <w:t>The Built-in object Type</w:t>
        </w:r>
      </w:hyperlink>
    </w:p>
    <w:p>
      <w:pPr>
        <w:pStyle w:val="Para 004"/>
      </w:pPr>
      <w:r>
        <w:rPr>
          <w:rStyle w:val="Text2"/>
        </w:rPr>
        <w:t>operator module</w:t>
        <w:t xml:space="preserve">, </w:t>
      </w:r>
      <w:hyperlink w:anchor="idm45965186844928">
        <w:r>
          <w:t>The operator Module</w:t>
        </w:r>
      </w:hyperlink>
    </w:p>
    <w:p>
      <w:pPr>
        <w:pStyle w:val="Para 003"/>
      </w:pPr>
      <w:r>
        <w:t>overriding and nonoverriding descriptors</w:t>
        <w:t xml:space="preserve">, </w:t>
      </w:r>
      <w:hyperlink w:anchor="idm45965271394224">
        <w:r>
          <w:rPr>
            <w:rStyle w:val="Text1"/>
          </w:rPr>
          <w:t>Overriding and nonoverriding descriptors</w:t>
        </w:r>
      </w:hyperlink>
    </w:p>
    <w:p>
      <w:pPr>
        <w:pStyle w:val="Para 003"/>
      </w:pPr>
      <w:r>
        <w:t>dynamic arrays</w:t>
        <w:t xml:space="preserve">, </w:t>
      </w:r>
      <w:hyperlink w:anchor="idm45965180879360">
        <w:r>
          <w:rPr>
            <w:rStyle w:val="Text1"/>
          </w:rPr>
          <w:t>List operations</w:t>
        </w:r>
      </w:hyperlink>
    </w:p>
    <w:p>
      <w:pPr>
        <w:pStyle w:val="Para 004"/>
      </w:pPr>
      <w:r>
        <w:rPr>
          <w:rStyle w:val="Text2"/>
        </w:rPr>
        <w:t>dynamic execution</w:t>
        <w:t xml:space="preserve">, </w:t>
      </w:r>
      <w:hyperlink w:anchor="dynexec14">
        <w:r>
          <w:t>Dynamic Execution and exec</w:t>
        </w:r>
      </w:hyperlink>
      <w:r>
        <w:rPr>
          <w:rStyle w:val="Text2"/>
        </w:rPr>
        <w:t>-</w:t>
      </w:r>
      <w:hyperlink w:anchor="idm45965194326672">
        <w:r>
          <w:t>Never exec or eval Untrusted Code</w:t>
        </w:r>
      </w:hyperlink>
    </w:p>
    <w:p>
      <w:pPr>
        <w:pStyle w:val="Para 003"/>
      </w:pPr>
      <w:r>
        <w:t>dynamically typed languages</w:t>
        <w:t xml:space="preserve">, </w:t>
      </w:r>
      <w:hyperlink w:anchor="idm45965269237728">
        <w:r>
          <w:rPr>
            <w:rStyle w:val="Text1"/>
          </w:rPr>
          <w:t>History</w:t>
        </w:r>
      </w:hyperlink>
    </w:p>
    <w:p>
      <w:pPr>
        <w:keepNext/>
        <w:pStyle w:val="Heading 3"/>
      </w:pPr>
      <w:r>
        <w:t>E</w:t>
      </w:r>
    </w:p>
    <w:p>
      <w:pPr>
        <w:pStyle w:val="Para 003"/>
      </w:pPr>
      <w:r>
        <w:t>EAFP (It’s easier to ask forgiveness than permission)</w:t>
        <w:t xml:space="preserve">, </w:t>
      </w:r>
      <w:hyperlink w:anchor="idm45965255784848">
        <w:r>
          <w:rPr>
            <w:rStyle w:val="Text1"/>
          </w:rPr>
          <w:t>LBYL Versus EAFP</w:t>
        </w:r>
      </w:hyperlink>
      <w:r>
        <w:t xml:space="preserve">, </w:t>
      </w:r>
      <w:hyperlink w:anchor="idm45965191834512">
        <w:r>
          <w:rPr>
            <w:rStyle w:val="Text1"/>
          </w:rPr>
          <w:t>The queue Module</w:t>
        </w:r>
      </w:hyperlink>
    </w:p>
    <w:p>
      <w:pPr>
        <w:pStyle w:val="Para 003"/>
      </w:pPr>
      <w:r>
        <w:t>elements (collections.Counter class)</w:t>
        <w:t xml:space="preserve">, </w:t>
      </w:r>
      <w:hyperlink w:anchor="idm45965278209712">
        <w:r>
          <w:rPr>
            <w:rStyle w:val="Text1"/>
          </w:rPr>
          <w:t>Counter</w:t>
        </w:r>
      </w:hyperlink>
    </w:p>
    <w:p>
      <w:pPr>
        <w:pStyle w:val="Para 003"/>
      </w:pPr>
      <w:r>
        <w:t>ElementTree</w:t>
      </w:r>
    </w:p>
    <w:p>
      <w:pPr>
        <w:pStyle w:val="Para 003"/>
      </w:pPr>
      <w:r>
        <w:t>building an ElementTree from scratch</w:t>
        <w:t xml:space="preserve">, </w:t>
      </w:r>
      <w:hyperlink w:anchor="idm45965163477248">
        <w:r>
          <w:rPr>
            <w:rStyle w:val="Text1"/>
          </w:rPr>
          <w:t>Building an ElementTree from Scratch</w:t>
        </w:r>
      </w:hyperlink>
    </w:p>
    <w:p>
      <w:pPr>
        <w:pStyle w:val="Para 004"/>
      </w:pPr>
      <w:r>
        <w:rPr>
          <w:rStyle w:val="Text2"/>
        </w:rPr>
        <w:t>Element class</w:t>
        <w:t xml:space="preserve">, </w:t>
      </w:r>
      <w:hyperlink w:anchor="ETelclass23">
        <w:r>
          <w:t>The Element Class</w:t>
        </w:r>
      </w:hyperlink>
      <w:r>
        <w:rPr>
          <w:rStyle w:val="Text2"/>
        </w:rPr>
        <w:t>-</w:t>
      </w:r>
      <w:hyperlink w:anchor="idm45965168855472">
        <w:r>
          <w:t>The Element Class</w:t>
        </w:r>
      </w:hyperlink>
    </w:p>
    <w:p>
      <w:pPr>
        <w:pStyle w:val="Para 004"/>
      </w:pPr>
      <w:r>
        <w:rPr>
          <w:rStyle w:val="Text2"/>
        </w:rPr>
        <w:t>ElementTree class</w:t>
        <w:t xml:space="preserve">, </w:t>
      </w:r>
      <w:hyperlink w:anchor="idm45965168852224">
        <w:r>
          <w:t>The ElementTree Class</w:t>
        </w:r>
      </w:hyperlink>
    </w:p>
    <w:p>
      <w:pPr>
        <w:pStyle w:val="Para 004"/>
      </w:pPr>
      <w:r>
        <w:rPr>
          <w:rStyle w:val="Text2"/>
        </w:rPr>
        <w:t>functions in ElementTree module</w:t>
        <w:t xml:space="preserve">, </w:t>
      </w:r>
      <w:hyperlink w:anchor="ETfunc23">
        <w:r>
          <w:t>Functions in the ElementTree Module</w:t>
        </w:r>
      </w:hyperlink>
      <w:r>
        <w:rPr>
          <w:rStyle w:val="Text2"/>
        </w:rPr>
        <w:t>-</w:t>
      </w:r>
      <w:hyperlink w:anchor="idm45965168636640">
        <w:r>
          <w:t>Functions in the ElementTree Module</w:t>
        </w:r>
      </w:hyperlink>
    </w:p>
    <w:p>
      <w:pPr>
        <w:pStyle w:val="Para 003"/>
      </w:pPr>
      <w:r>
        <w:t>packages implementing</w:t>
        <w:t xml:space="preserve">, </w:t>
      </w:r>
      <w:hyperlink w:anchor="idm45965169150336">
        <w:r>
          <w:rPr>
            <w:rStyle w:val="Text1"/>
          </w:rPr>
          <w:t>ElementTree</w:t>
        </w:r>
      </w:hyperlink>
    </w:p>
    <w:p>
      <w:pPr>
        <w:pStyle w:val="Para 004"/>
      </w:pPr>
      <w:r>
        <w:rPr>
          <w:rStyle w:val="Text2"/>
        </w:rPr>
        <w:t>parsing XML with ElementTree.parse</w:t>
        <w:t xml:space="preserve">, </w:t>
      </w:r>
      <w:hyperlink w:anchor="ETpars23">
        <w:r>
          <w:t>Parsing XML with ElementTree.parse</w:t>
        </w:r>
      </w:hyperlink>
      <w:r>
        <w:rPr>
          <w:rStyle w:val="Text2"/>
        </w:rPr>
        <w:t>-</w:t>
      </w:r>
      <w:hyperlink w:anchor="idm45965163483520">
        <w:r>
          <w:t>Editing an ElementTree</w:t>
        </w:r>
      </w:hyperlink>
    </w:p>
    <w:p>
      <w:pPr>
        <w:pStyle w:val="Para 004"/>
      </w:pPr>
      <w:r>
        <w:rPr>
          <w:rStyle w:val="Text2"/>
        </w:rPr>
        <w:t>elif clauses</w:t>
        <w:t xml:space="preserve">, </w:t>
      </w:r>
      <w:hyperlink w:anchor="idm45965282465136">
        <w:r>
          <w:t>The if Statement</w:t>
        </w:r>
      </w:hyperlink>
    </w:p>
    <w:p>
      <w:pPr>
        <w:pStyle w:val="Para 004"/>
      </w:pPr>
      <w:r>
        <w:rPr>
          <w:rStyle w:val="Text2"/>
        </w:rPr>
        <w:t>ellipsis (...)</w:t>
        <w:t xml:space="preserve">, </w:t>
      </w:r>
      <w:hyperlink w:anchor="idm45965278338640">
        <w:r>
          <w:t>Interactive Sessions</w:t>
        </w:r>
      </w:hyperlink>
      <w:r>
        <w:rPr>
          <w:rStyle w:val="Text2"/>
        </w:rPr>
        <w:t xml:space="preserve">, </w:t>
      </w:r>
      <w:hyperlink w:anchor="idm45965279252544">
        <w:r>
          <w:t>Ellipsis (...)</w:t>
        </w:r>
      </w:hyperlink>
    </w:p>
    <w:p>
      <w:pPr>
        <w:pStyle w:val="Para 003"/>
      </w:pPr>
      <w:r>
        <w:t>else clause</w:t>
      </w:r>
    </w:p>
    <w:p>
      <w:pPr>
        <w:pStyle w:val="Para 004"/>
      </w:pPr>
      <w:r>
        <w:rPr>
          <w:rStyle w:val="Text2"/>
        </w:rPr>
        <w:t>if/else</w:t>
        <w:t xml:space="preserve">, </w:t>
      </w:r>
      <w:hyperlink w:anchor="idm45965282464032">
        <w:r>
          <w:t>The if Statement</w:t>
        </w:r>
      </w:hyperlink>
    </w:p>
    <w:p>
      <w:pPr>
        <w:pStyle w:val="Para 003"/>
      </w:pPr>
      <w:r>
        <w:t>try-except-else</w:t>
        <w:t xml:space="preserve">, </w:t>
      </w:r>
      <w:hyperlink w:anchor="idm45965260411920">
        <w:r>
          <w:rPr>
            <w:rStyle w:val="Text1"/>
          </w:rPr>
          <w:t>try/except</w:t>
        </w:r>
      </w:hyperlink>
    </w:p>
    <w:p>
      <w:pPr>
        <w:pStyle w:val="Para 004"/>
      </w:pPr>
      <w:r>
        <w:rPr>
          <w:rStyle w:val="Text2"/>
        </w:rPr>
        <w:t>on while and for loops</w:t>
        <w:t xml:space="preserve">, </w:t>
      </w:r>
      <w:hyperlink w:anchor="idm45965270806336">
        <w:r>
          <w:t>The else Clause on Loop Statements</w:t>
        </w:r>
      </w:hyperlink>
    </w:p>
    <w:p>
      <w:pPr>
        <w:pStyle w:val="Para 004"/>
      </w:pPr>
      <w:r>
        <w:rPr>
          <w:rStyle w:val="Text2"/>
        </w:rPr>
        <w:t>Emacs text editor</w:t>
        <w:t xml:space="preserve">, </w:t>
      </w:r>
      <w:hyperlink w:anchor="idm45965276470256">
        <w:r>
          <w:t>Free Text Editors with Python Support</w:t>
        </w:r>
      </w:hyperlink>
    </w:p>
    <w:p>
      <w:pPr>
        <w:pStyle w:val="Para 003"/>
      </w:pPr>
      <w:r>
        <w:t>email module</w:t>
      </w:r>
    </w:p>
    <w:p>
      <w:pPr>
        <w:pStyle w:val="Para 003"/>
      </w:pPr>
      <w:r>
        <w:t>creating messages</w:t>
        <w:t xml:space="preserve">, </w:t>
      </w:r>
      <w:hyperlink w:anchor="idm45965172913616">
        <w:r>
          <w:rPr>
            <w:rStyle w:val="Text1"/>
          </w:rPr>
          <w:t>Creating Messages</w:t>
        </w:r>
      </w:hyperlink>
    </w:p>
    <w:p>
      <w:pPr>
        <w:pStyle w:val="Para 004"/>
      </w:pPr>
      <w:r>
        <w:rPr>
          <w:rStyle w:val="Text2"/>
        </w:rPr>
        <w:t>email.encoders module</w:t>
        <w:t xml:space="preserve">, </w:t>
      </w:r>
      <w:hyperlink w:anchor="idm45965172720496">
        <w:r>
          <w:t>The email.encoders Module</w:t>
        </w:r>
      </w:hyperlink>
    </w:p>
    <w:p>
      <w:pPr>
        <w:pStyle w:val="Para 004"/>
      </w:pPr>
      <w:r>
        <w:rPr>
          <w:rStyle w:val="Text2"/>
        </w:rPr>
        <w:t>email.Generator module</w:t>
        <w:t xml:space="preserve">, </w:t>
      </w:r>
      <w:hyperlink w:anchor="idm45965172984000">
        <w:r>
          <w:t>The email.Generator Module</w:t>
        </w:r>
      </w:hyperlink>
    </w:p>
    <w:p>
      <w:pPr>
        <w:pStyle w:val="Para 004"/>
      </w:pPr>
      <w:r>
        <w:rPr>
          <w:rStyle w:val="Text2"/>
        </w:rPr>
        <w:t>email.message module</w:t>
        <w:t xml:space="preserve">, </w:t>
      </w:r>
      <w:hyperlink w:anchor="EPmesmod21">
        <w:r>
          <w:t>The email.message Module</w:t>
        </w:r>
      </w:hyperlink>
      <w:r>
        <w:rPr>
          <w:rStyle w:val="Text2"/>
        </w:rPr>
        <w:t>-</w:t>
      </w:r>
      <w:hyperlink w:anchor="idm45965172986768">
        <w:r>
          <w:t>The email.message Module</w:t>
        </w:r>
      </w:hyperlink>
    </w:p>
    <w:p>
      <w:pPr>
        <w:pStyle w:val="Para 004"/>
      </w:pPr>
      <w:r>
        <w:rPr>
          <w:rStyle w:val="Text2"/>
        </w:rPr>
        <w:t>email.utils module</w:t>
        <w:t xml:space="preserve">, </w:t>
      </w:r>
      <w:hyperlink w:anchor="idm45965172690928">
        <w:r>
          <w:t>The email.utils Module</w:t>
        </w:r>
      </w:hyperlink>
    </w:p>
    <w:p>
      <w:pPr>
        <w:pStyle w:val="Para 004"/>
      </w:pPr>
      <w:r>
        <w:rPr>
          <w:rStyle w:val="Text2"/>
        </w:rPr>
        <w:t>example uses of</w:t>
        <w:t xml:space="preserve">, </w:t>
      </w:r>
      <w:hyperlink w:anchor="idm45965172593072">
        <w:r>
          <w:t>Example Uses of the email Package</w:t>
        </w:r>
      </w:hyperlink>
    </w:p>
    <w:p>
      <w:pPr>
        <w:pStyle w:val="Para 004"/>
      </w:pPr>
      <w:r>
        <w:rPr>
          <w:rStyle w:val="Text2"/>
        </w:rPr>
        <w:t>functions in</w:t>
        <w:t xml:space="preserve">, </w:t>
      </w:r>
      <w:hyperlink w:anchor="idm45965173296320">
        <w:r>
          <w:t>Functions in the email Package</w:t>
        </w:r>
      </w:hyperlink>
    </w:p>
    <w:p>
      <w:pPr>
        <w:pStyle w:val="Para 003"/>
      </w:pPr>
      <w:r>
        <w:t>versus imaplib, poplib, and smtplib modules</w:t>
        <w:t xml:space="preserve">, </w:t>
      </w:r>
      <w:hyperlink w:anchor="idm45965173308496">
        <w:r>
          <w:rPr>
            <w:rStyle w:val="Text1"/>
          </w:rPr>
          <w:t>MIME and Email Format Handling</w:t>
        </w:r>
      </w:hyperlink>
    </w:p>
    <w:p>
      <w:pPr>
        <w:pStyle w:val="Para 004"/>
      </w:pPr>
      <w:r>
        <w:rPr>
          <w:rStyle w:val="Text2"/>
        </w:rPr>
        <w:t>email protocols</w:t>
        <w:t xml:space="preserve">, </w:t>
      </w:r>
      <w:hyperlink w:anchor="eprot19">
        <w:r>
          <w:t>Email Protocols</w:t>
        </w:r>
      </w:hyperlink>
      <w:r>
        <w:rPr>
          <w:rStyle w:val="Text2"/>
        </w:rPr>
        <w:t>-</w:t>
      </w:r>
      <w:hyperlink w:anchor="idm45965175770816">
        <w:r>
          <w:t>The smtplib Module</w:t>
        </w:r>
      </w:hyperlink>
    </w:p>
    <w:p>
      <w:pPr>
        <w:pStyle w:val="Para 004"/>
      </w:pPr>
      <w:r>
        <w:rPr>
          <w:rStyle w:val="Text2"/>
        </w:rPr>
        <w:t>embedding</w:t>
        <w:t xml:space="preserve">, </w:t>
      </w:r>
      <w:hyperlink w:anchor="idm45965162815088">
        <w:r>
          <w:t>Extending and Embedding Classic Python</w:t>
        </w:r>
      </w:hyperlink>
    </w:p>
    <w:p>
      <w:pPr>
        <w:pStyle w:val="Para 004"/>
      </w:pPr>
      <w:r>
        <w:rPr>
          <w:rStyle w:val="Text2"/>
        </w:rPr>
        <w:t>empty lines</w:t>
        <w:t xml:space="preserve">, </w:t>
      </w:r>
      <w:hyperlink w:anchor="idm45965274419408">
        <w:r>
          <w:t>Lines and Indentation</w:t>
        </w:r>
      </w:hyperlink>
    </w:p>
    <w:p>
      <w:pPr>
        <w:pStyle w:val="Para 003"/>
      </w:pPr>
      <w:r>
        <w:t>enable (gc module)</w:t>
        <w:t xml:space="preserve">, </w:t>
      </w:r>
      <w:hyperlink w:anchor="idm45965194156016">
        <w:r>
          <w:rPr>
            <w:rStyle w:val="Text1"/>
          </w:rPr>
          <w:t>The gc Module</w:t>
        </w:r>
      </w:hyperlink>
    </w:p>
    <w:p>
      <w:pPr>
        <w:pStyle w:val="Para 004"/>
      </w:pPr>
      <w:r>
        <w:rPr>
          <w:rStyle w:val="Text2"/>
        </w:rPr>
        <w:t>encode (str method)</w:t>
        <w:t xml:space="preserve">, </w:t>
      </w:r>
      <w:hyperlink w:anchor="idm45965212732608">
        <w:r>
          <w:t>Methods of String Objects</w:t>
        </w:r>
      </w:hyperlink>
    </w:p>
    <w:p>
      <w:pPr>
        <w:pStyle w:val="Para 004"/>
      </w:pPr>
      <w:r>
        <w:rPr>
          <w:rStyle w:val="Text2"/>
        </w:rPr>
        <w:t>encoding binary data</w:t>
        <w:t xml:space="preserve">, </w:t>
      </w:r>
      <w:hyperlink w:anchor="enbin21">
        <w:r>
          <w:t>Encoding Binary Data as ASCII Text</w:t>
        </w:r>
      </w:hyperlink>
      <w:r>
        <w:rPr>
          <w:rStyle w:val="Text2"/>
        </w:rPr>
        <w:t>-</w:t>
      </w:r>
      <w:hyperlink w:anchor="idm45965171996656">
        <w:r>
          <w:t>The uu Module</w:t>
        </w:r>
      </w:hyperlink>
    </w:p>
    <w:p>
      <w:pPr>
        <w:pStyle w:val="Para 003"/>
      </w:pPr>
      <w:r>
        <w:t>encoding declarations</w:t>
        <w:t xml:space="preserve">, </w:t>
      </w:r>
      <w:hyperlink w:anchor="idm45965284072640">
        <w:r>
          <w:rPr>
            <w:rStyle w:val="Text1"/>
          </w:rPr>
          <w:t>Character Sets</w:t>
        </w:r>
      </w:hyperlink>
    </w:p>
    <w:p>
      <w:pPr>
        <w:pStyle w:val="Para 004"/>
      </w:pPr>
      <w:r>
        <w:rPr>
          <w:rStyle w:val="Text2"/>
        </w:rPr>
        <w:t xml:space="preserve"> end-to-end testing</w:t>
        <w:t xml:space="preserve">, </w:t>
      </w:r>
      <w:hyperlink w:anchor="idm45965183800960">
        <w:r>
          <w:t>Unit Testing and System Testing</w:t>
        </w:r>
      </w:hyperlink>
    </w:p>
    <w:p>
      <w:pPr>
        <w:pStyle w:val="Para 003"/>
      </w:pPr>
      <w:r>
        <w:t>endswith (str and bytes method)</w:t>
        <w:t xml:space="preserve">, </w:t>
      </w:r>
      <w:hyperlink w:anchor="idm45965212720992">
        <w:r>
          <w:rPr>
            <w:rStyle w:val="Text1"/>
          </w:rPr>
          <w:t>Methods of String Objects</w:t>
        </w:r>
      </w:hyperlink>
    </w:p>
    <w:p>
      <w:pPr>
        <w:pStyle w:val="Para 003"/>
      </w:pPr>
      <w:r>
        <w:t>English language</w:t>
        <w:t xml:space="preserve">, </w:t>
      </w:r>
      <w:hyperlink w:anchor="idm45965258448688">
        <w:r>
          <w:rPr>
            <w:rStyle w:val="Text1"/>
          </w:rPr>
          <w:t>Identifiers</w:t>
        </w:r>
      </w:hyperlink>
    </w:p>
    <w:p>
      <w:pPr>
        <w:pStyle w:val="Para 004"/>
      </w:pPr>
      <w:r>
        <w:rPr>
          <w:rStyle w:val="Text2"/>
        </w:rPr>
        <w:t>enum module</w:t>
        <w:t xml:space="preserve">, </w:t>
      </w:r>
      <w:hyperlink w:anchor="idm45965253086544">
        <w:r>
          <w:t>Enumerated Types (Enums)</w:t>
        </w:r>
      </w:hyperlink>
    </w:p>
    <w:p>
      <w:pPr>
        <w:pStyle w:val="Para 003"/>
      </w:pPr>
      <w:r>
        <w:t>enumerate (built-in function)</w:t>
        <w:t xml:space="preserve">, </w:t>
      </w:r>
      <w:hyperlink w:anchor="idm45965216103904">
        <w:r>
          <w:rPr>
            <w:rStyle w:val="Text1"/>
          </w:rPr>
          <w:t>Built-in Functions</w:t>
        </w:r>
      </w:hyperlink>
    </w:p>
    <w:p>
      <w:pPr>
        <w:pStyle w:val="Para 004"/>
      </w:pPr>
      <w:r>
        <w:rPr>
          <w:rStyle w:val="Text2"/>
        </w:rPr>
        <w:t>enumerated types (enums)</w:t>
        <w:t xml:space="preserve">, </w:t>
      </w:r>
      <w:hyperlink w:anchor="enum04">
        <w:r>
          <w:t>Enumerated Types (Enums)</w:t>
        </w:r>
      </w:hyperlink>
      <w:r>
        <w:rPr>
          <w:rStyle w:val="Text2"/>
        </w:rPr>
        <w:t>-</w:t>
      </w:r>
      <w:hyperlink w:anchor="idm45965269289072">
        <w:r>
          <w:t>Enumerated Types (Enums)</w:t>
        </w:r>
      </w:hyperlink>
    </w:p>
    <w:p>
      <w:pPr>
        <w:pStyle w:val="Para 003"/>
      </w:pPr>
      <w:r>
        <w:t>environment variables</w:t>
      </w:r>
    </w:p>
    <w:p>
      <w:pPr>
        <w:pStyle w:val="Para 004"/>
      </w:pPr>
      <w:r>
        <w:rPr>
          <w:rStyle w:val="Text2"/>
        </w:rPr>
        <w:t>documentation</w:t>
        <w:t xml:space="preserve">, </w:t>
      </w:r>
      <w:hyperlink w:anchor="idm45965274950928">
        <w:r>
          <w:t>Environment Variables</w:t>
        </w:r>
      </w:hyperlink>
    </w:p>
    <w:p>
      <w:pPr>
        <w:pStyle w:val="Para 004"/>
      </w:pPr>
      <w:r>
        <w:rPr>
          <w:rStyle w:val="Text2"/>
        </w:rPr>
        <w:t>PYTHONDONTWRITEBYTECODE</w:t>
        <w:t xml:space="preserve">, </w:t>
      </w:r>
      <w:hyperlink w:anchor="idm45965265825600">
        <w:r>
          <w:t>Command-Line Syntax and Options</w:t>
        </w:r>
      </w:hyperlink>
    </w:p>
    <w:p>
      <w:pPr>
        <w:pStyle w:val="Para 004"/>
      </w:pPr>
      <w:r>
        <w:rPr>
          <w:rStyle w:val="Text2"/>
        </w:rPr>
        <w:t>PYTHONHOME</w:t>
        <w:t xml:space="preserve">, </w:t>
      </w:r>
      <w:hyperlink w:anchor="idm45965274946528">
        <w:r>
          <w:t>Environment Variables</w:t>
        </w:r>
      </w:hyperlink>
    </w:p>
    <w:p>
      <w:pPr>
        <w:pStyle w:val="Para 004"/>
      </w:pPr>
      <w:r>
        <w:rPr>
          <w:rStyle w:val="Text2"/>
        </w:rPr>
        <w:t>PYTHONINSPECT</w:t>
        <w:t xml:space="preserve">, </w:t>
      </w:r>
      <w:hyperlink w:anchor="idm45965265815984">
        <w:r>
          <w:t>Command-Line Syntax and Options</w:t>
        </w:r>
      </w:hyperlink>
    </w:p>
    <w:p>
      <w:pPr>
        <w:pStyle w:val="Para 004"/>
      </w:pPr>
      <w:r>
        <w:rPr>
          <w:rStyle w:val="Text2"/>
        </w:rPr>
        <w:t>PYTHONOPTIMIZE</w:t>
        <w:t xml:space="preserve">, </w:t>
      </w:r>
      <w:hyperlink w:anchor="idm45965265810048">
        <w:r>
          <w:t>Command-Line Syntax and Options</w:t>
        </w:r>
      </w:hyperlink>
    </w:p>
    <w:p>
      <w:pPr>
        <w:pStyle w:val="Para 004"/>
      </w:pPr>
      <w:r>
        <w:rPr>
          <w:rStyle w:val="Text2"/>
        </w:rPr>
        <w:t>PYTHONPATH</w:t>
        <w:t xml:space="preserve">, </w:t>
      </w:r>
      <w:hyperlink w:anchor="idm45965274941008">
        <w:r>
          <w:t>Environment Variables</w:t>
        </w:r>
      </w:hyperlink>
    </w:p>
    <w:p>
      <w:pPr>
        <w:pStyle w:val="Para 004"/>
      </w:pPr>
      <w:r>
        <w:rPr>
          <w:rStyle w:val="Text2"/>
        </w:rPr>
        <w:t>PYTHONSTARTUP</w:t>
        <w:t xml:space="preserve">, </w:t>
      </w:r>
      <w:hyperlink w:anchor="idm45965274935280">
        <w:r>
          <w:t>Environment Variables</w:t>
        </w:r>
      </w:hyperlink>
    </w:p>
    <w:p>
      <w:pPr>
        <w:pStyle w:val="Para 004"/>
      </w:pPr>
      <w:r>
        <w:rPr>
          <w:rStyle w:val="Text2"/>
        </w:rPr>
        <w:t>PYTHONUNBUFFERED</w:t>
        <w:t xml:space="preserve">, </w:t>
      </w:r>
      <w:hyperlink w:anchor="idm45965265793952">
        <w:r>
          <w:t>Command-Line Syntax and Options</w:t>
        </w:r>
      </w:hyperlink>
    </w:p>
    <w:p>
      <w:pPr>
        <w:pStyle w:val="Para 004"/>
      </w:pPr>
      <w:r>
        <w:rPr>
          <w:rStyle w:val="Text2"/>
        </w:rPr>
        <w:t>PYTHONVERBOSE</w:t>
        <w:t xml:space="preserve">, </w:t>
      </w:r>
      <w:hyperlink w:anchor="idm45965265789792">
        <w:r>
          <w:t>Command-Line Syntax and Options</w:t>
        </w:r>
      </w:hyperlink>
    </w:p>
    <w:p>
      <w:pPr>
        <w:pStyle w:val="Para 004"/>
      </w:pPr>
      <w:r>
        <w:rPr>
          <w:rStyle w:val="Text2"/>
        </w:rPr>
        <w:t>epochs</w:t>
        <w:t xml:space="preserve">, </w:t>
      </w:r>
      <w:hyperlink w:anchor="idm45965196977040">
        <w:r>
          <w:t>Time Operations</w:t>
        </w:r>
      </w:hyperlink>
    </w:p>
    <w:p>
      <w:pPr>
        <w:pStyle w:val="Para 003"/>
      </w:pPr>
      <w:r>
        <w:t>(</w:t>
        <w:t>see also</w:t>
        <w:t xml:space="preserve"> time operations)</w:t>
      </w:r>
    </w:p>
    <w:p>
      <w:pPr>
        <w:pStyle w:val="Para 003"/>
      </w:pPr>
      <w:r>
        <w:t>equal sign (=)</w:t>
      </w:r>
    </w:p>
    <w:p>
      <w:pPr>
        <w:pStyle w:val="Para 003"/>
      </w:pPr>
      <w:r>
        <w:t>alignment indicator (f-strings)</w:t>
        <w:t xml:space="preserve">, </w:t>
      </w:r>
      <w:hyperlink w:anchor="idm45965211233040">
        <w:r>
          <w:rPr>
            <w:rStyle w:val="Text1"/>
          </w:rPr>
          <w:t>Fill and alignment</w:t>
        </w:r>
      </w:hyperlink>
    </w:p>
    <w:p>
      <w:pPr>
        <w:pStyle w:val="Para 003"/>
      </w:pPr>
      <w:r>
        <w:t>assignment statements</w:t>
        <w:t xml:space="preserve">, </w:t>
      </w:r>
      <w:hyperlink w:anchor="idm45965281970304">
        <w:r>
          <w:rPr>
            <w:rStyle w:val="Text1"/>
          </w:rPr>
          <w:t>Simple statements</w:t>
        </w:r>
      </w:hyperlink>
    </w:p>
    <w:p>
      <w:pPr>
        <w:pStyle w:val="Para 003"/>
      </w:pPr>
      <w:r>
        <w:t>delimiters</w:t>
        <w:t xml:space="preserve">, </w:t>
      </w:r>
      <w:hyperlink w:anchor="idm45965276525584">
        <w:r>
          <w:rPr>
            <w:rStyle w:val="Text1"/>
          </w:rPr>
          <w:t>Delimiters</w:t>
        </w:r>
      </w:hyperlink>
    </w:p>
    <w:p>
      <w:pPr>
        <w:pStyle w:val="Para 003"/>
      </w:pPr>
      <w:r>
        <w:t>in plain assignment</w:t>
        <w:t xml:space="preserve">, </w:t>
      </w:r>
      <w:hyperlink w:anchor="idm45965258559040">
        <w:r>
          <w:rPr>
            <w:rStyle w:val="Text1"/>
          </w:rPr>
          <w:t>Plain assignment</w:t>
        </w:r>
      </w:hyperlink>
    </w:p>
    <w:p>
      <w:pPr>
        <w:pStyle w:val="Para 003"/>
      </w:pPr>
      <w:r>
        <w:t>struct format strings</w:t>
        <w:t xml:space="preserve">, </w:t>
      </w:r>
      <w:hyperlink w:anchor="idm45965205432288">
        <w:r>
          <w:rPr>
            <w:rStyle w:val="Text1"/>
          </w:rPr>
          <w:t>The struct Module</w:t>
        </w:r>
      </w:hyperlink>
    </w:p>
    <w:p>
      <w:pPr>
        <w:pStyle w:val="Para 004"/>
      </w:pPr>
      <w:r>
        <w:rPr>
          <w:rStyle w:val="Text2"/>
        </w:rPr>
        <w:t>equal to operator (==)</w:t>
        <w:t xml:space="preserve">, </w:t>
      </w:r>
      <w:hyperlink w:anchor="idm45965276200352">
        <w:r>
          <w:t>Comparisons</w:t>
        </w:r>
      </w:hyperlink>
      <w:r>
        <w:rPr>
          <w:rStyle w:val="Text2"/>
        </w:rPr>
        <w:t xml:space="preserve">, </w:t>
      </w:r>
      <w:hyperlink w:anchor="idm45965188001792">
        <w:r>
          <w:t>Floating-Point Values</w:t>
        </w:r>
      </w:hyperlink>
    </w:p>
    <w:p>
      <w:pPr>
        <w:pStyle w:val="Para 003"/>
      </w:pPr>
      <w:r>
        <w:t>equality checking</w:t>
        <w:t xml:space="preserve">, </w:t>
      </w:r>
      <w:hyperlink w:anchor="idm45965216433312">
        <w:r>
          <w:rPr>
            <w:rStyle w:val="Text1"/>
          </w:rPr>
          <w:t>Built-in Types</w:t>
        </w:r>
      </w:hyperlink>
    </w:p>
    <w:p>
      <w:pPr>
        <w:pStyle w:val="Para 004"/>
      </w:pPr>
      <w:r>
        <w:rPr>
          <w:rStyle w:val="Text2"/>
        </w:rPr>
        <w:t>errno module</w:t>
        <w:t xml:space="preserve">, </w:t>
      </w:r>
      <w:hyperlink w:anchor="idm45965203475824">
        <w:r>
          <w:t>The errno Module</w:t>
        </w:r>
      </w:hyperlink>
    </w:p>
    <w:p>
      <w:pPr>
        <w:pStyle w:val="Para 003"/>
      </w:pPr>
      <w:r>
        <w:t>error-checking strategies</w:t>
      </w:r>
    </w:p>
    <w:p>
      <w:pPr>
        <w:pStyle w:val="Para 003"/>
      </w:pPr>
      <w:r>
        <w:t>handling errors in large programs</w:t>
        <w:t xml:space="preserve">, </w:t>
      </w:r>
      <w:hyperlink w:anchor="idm45965255491568">
        <w:r>
          <w:rPr>
            <w:rStyle w:val="Text1"/>
          </w:rPr>
          <w:t>Handling Errors in Large Programs</w:t>
        </w:r>
      </w:hyperlink>
    </w:p>
    <w:p>
      <w:pPr>
        <w:pStyle w:val="Para 004"/>
      </w:pPr>
      <w:r>
        <w:rPr>
          <w:rStyle w:val="Text2"/>
        </w:rPr>
        <w:t>logging errors</w:t>
        <w:t xml:space="preserve">, </w:t>
      </w:r>
      <w:hyperlink w:anchor="ECSlog06">
        <w:r>
          <w:t>Logging Errors</w:t>
        </w:r>
      </w:hyperlink>
      <w:r>
        <w:rPr>
          <w:rStyle w:val="Text2"/>
        </w:rPr>
        <w:t>-</w:t>
      </w:r>
      <w:hyperlink w:anchor="idm45965255189168">
        <w:r>
          <w:t>Configuring logging</w:t>
        </w:r>
      </w:hyperlink>
    </w:p>
    <w:p>
      <w:pPr>
        <w:pStyle w:val="Para 003"/>
      </w:pPr>
      <w:r>
        <w:t>look before you leap (LBYL)</w:t>
        <w:t xml:space="preserve">, </w:t>
      </w:r>
      <w:hyperlink w:anchor="idm45965255794144">
        <w:r>
          <w:rPr>
            <w:rStyle w:val="Text1"/>
          </w:rPr>
          <w:t>LBYL Versus EAFP</w:t>
        </w:r>
      </w:hyperlink>
    </w:p>
    <w:p>
      <w:pPr>
        <w:pStyle w:val="Para 003"/>
      </w:pPr>
      <w:r>
        <w:t>errors</w:t>
      </w:r>
    </w:p>
    <w:p>
      <w:pPr>
        <w:pStyle w:val="Para 004"/>
      </w:pPr>
      <w:r>
        <w:rPr>
          <w:rStyle w:val="Text2"/>
        </w:rPr>
        <w:t>diagnosing</w:t>
        <w:t xml:space="preserve">, </w:t>
      </w:r>
      <w:hyperlink w:anchor="idm45965258661728">
        <w:r>
          <w:t>Accessing nonexistent references</w:t>
        </w:r>
      </w:hyperlink>
    </w:p>
    <w:p>
      <w:pPr>
        <w:pStyle w:val="Para 004"/>
      </w:pPr>
      <w:r>
        <w:rPr>
          <w:rStyle w:val="Text2"/>
        </w:rPr>
        <w:t>ValueError</w:t>
        <w:t xml:space="preserve">, </w:t>
      </w:r>
      <w:hyperlink w:anchor="idm45965276139408">
        <w:r>
          <w:t>Sequences in General</w:t>
        </w:r>
      </w:hyperlink>
    </w:p>
    <w:p>
      <w:pPr>
        <w:pStyle w:val="Para 003"/>
      </w:pPr>
      <w:r>
        <w:t>escape sequences</w:t>
        <w:t xml:space="preserve">, </w:t>
      </w:r>
      <w:hyperlink w:anchor="idm45965276672128">
        <w:r>
          <w:rPr>
            <w:rStyle w:val="Text1"/>
          </w:rPr>
          <w:t>Strings</w:t>
        </w:r>
      </w:hyperlink>
      <w:r>
        <w:t xml:space="preserve">, </w:t>
      </w:r>
      <w:hyperlink w:anchor="idm45965208572336">
        <w:r>
          <w:rPr>
            <w:rStyle w:val="Text1"/>
          </w:rPr>
          <w:t>Alternatives</w:t>
        </w:r>
      </w:hyperlink>
    </w:p>
    <w:p>
      <w:pPr>
        <w:pStyle w:val="Para 004"/>
      </w:pPr>
      <w:r>
        <w:rPr>
          <w:rStyle w:val="Text2"/>
        </w:rPr>
        <w:t>eval (built-in function)</w:t>
        <w:t xml:space="preserve">, </w:t>
      </w:r>
      <w:hyperlink w:anchor="idm45965216061408">
        <w:r>
          <w:t>Built-in Functions</w:t>
        </w:r>
      </w:hyperlink>
      <w:r>
        <w:rPr>
          <w:rStyle w:val="Text2"/>
        </w:rPr>
        <w:t xml:space="preserve">, </w:t>
      </w:r>
      <w:hyperlink w:anchor="evalfunc14">
        <w:r>
          <w:t>Expressions</w:t>
        </w:r>
      </w:hyperlink>
      <w:r>
        <w:rPr>
          <w:rStyle w:val="Text2"/>
        </w:rPr>
        <w:t>-</w:t>
      </w:r>
      <w:hyperlink w:anchor="idm45965194329104">
        <w:r>
          <w:t>Never exec or eval Untrusted Code</w:t>
        </w:r>
      </w:hyperlink>
    </w:p>
    <w:p>
      <w:pPr>
        <w:pStyle w:val="Para 003"/>
      </w:pPr>
      <w:r>
        <w:t>Event (threading module)</w:t>
        <w:t xml:space="preserve">, </w:t>
      </w:r>
      <w:hyperlink w:anchor="idm45965192920560">
        <w:r>
          <w:rPr>
            <w:rStyle w:val="Text1"/>
          </w:rPr>
          <w:t>Event objects</w:t>
        </w:r>
      </w:hyperlink>
    </w:p>
    <w:p>
      <w:pPr>
        <w:pStyle w:val="Para 003"/>
      </w:pPr>
      <w:r>
        <w:t>Event objects</w:t>
        <w:t xml:space="preserve">, </w:t>
      </w:r>
      <w:hyperlink w:anchor="idm45965192959968">
        <w:r>
          <w:rPr>
            <w:rStyle w:val="Text1"/>
          </w:rPr>
          <w:t>Event objects</w:t>
        </w:r>
      </w:hyperlink>
    </w:p>
    <w:p>
      <w:pPr>
        <w:pStyle w:val="Para 003"/>
      </w:pPr>
      <w:r>
        <w:t>eviction policies</w:t>
        <w:t xml:space="preserve">, </w:t>
      </w:r>
      <w:hyperlink w:anchor="idm45965178914672">
        <w:r>
          <w:rPr>
            <w:rStyle w:val="Text1"/>
          </w:rPr>
          <w:t>Memoizing</w:t>
        </w:r>
      </w:hyperlink>
    </w:p>
    <w:p>
      <w:pPr>
        <w:pStyle w:val="Para 004"/>
      </w:pPr>
      <w:r>
        <w:rPr>
          <w:rStyle w:val="Text2"/>
        </w:rPr>
        <w:t>except clause</w:t>
        <w:t xml:space="preserve">, </w:t>
      </w:r>
      <w:hyperlink w:anchor="exccla06">
        <w:r>
          <w:t>try/except</w:t>
        </w:r>
      </w:hyperlink>
      <w:r>
        <w:rPr>
          <w:rStyle w:val="Text2"/>
        </w:rPr>
        <w:t>-</w:t>
      </w:r>
      <w:hyperlink w:anchor="idm45965259957392">
        <w:r>
          <w:t>try/except/finally</w:t>
        </w:r>
      </w:hyperlink>
      <w:r>
        <w:rPr>
          <w:rStyle w:val="Text2"/>
        </w:rPr>
        <w:t xml:space="preserve">, </w:t>
      </w:r>
      <w:hyperlink w:anchor="idm45965256885328">
        <w:r>
          <w:t>The Hierarchy of Standard Exceptions</w:t>
        </w:r>
      </w:hyperlink>
      <w:r>
        <w:rPr>
          <w:rStyle w:val="Text2"/>
        </w:rPr>
        <w:t xml:space="preserve">, </w:t>
      </w:r>
      <w:hyperlink w:anchor="idm45965192614288">
        <w:r>
          <w:t>Timer objects</w:t>
        </w:r>
      </w:hyperlink>
    </w:p>
    <w:p>
      <w:pPr>
        <w:pStyle w:val="Para 003"/>
      </w:pPr>
      <w:r>
        <w:t>excepthook (sys module)</w:t>
        <w:t xml:space="preserve">, </w:t>
      </w:r>
      <w:hyperlink w:anchor="idm45965215041488">
        <w:r>
          <w:rPr>
            <w:rStyle w:val="Text1"/>
          </w:rPr>
          <w:t>The sys Module</w:t>
        </w:r>
      </w:hyperlink>
    </w:p>
    <w:p>
      <w:pPr>
        <w:pStyle w:val="Para 003"/>
      </w:pPr>
      <w:r>
        <w:t>exception (sys module)</w:t>
        <w:t xml:space="preserve">, </w:t>
      </w:r>
      <w:hyperlink w:anchor="idm45965215033632">
        <w:r>
          <w:rPr>
            <w:rStyle w:val="Text1"/>
          </w:rPr>
          <w:t>The sys Module</w:t>
        </w:r>
      </w:hyperlink>
    </w:p>
    <w:p>
      <w:pPr>
        <w:pStyle w:val="Para 003"/>
      </w:pPr>
      <w:r>
        <w:t>exception classes</w:t>
        <w:t xml:space="preserve">, </w:t>
      </w:r>
      <w:hyperlink w:anchor="idm45965198047744">
        <w:r>
          <w:rPr>
            <w:rStyle w:val="Text1"/>
          </w:rPr>
          <w:t>Exception Classes</w:t>
        </w:r>
      </w:hyperlink>
    </w:p>
    <w:p>
      <w:pPr>
        <w:pStyle w:val="Para 003"/>
      </w:pPr>
      <w:r>
        <w:t>exception handlers</w:t>
        <w:t xml:space="preserve">, </w:t>
      </w:r>
      <w:hyperlink w:anchor="idm45965260596720">
        <w:r>
          <w:rPr>
            <w:rStyle w:val="Text1"/>
          </w:rPr>
          <w:t>try/except</w:t>
        </w:r>
      </w:hyperlink>
    </w:p>
    <w:p>
      <w:pPr>
        <w:pStyle w:val="Para 004"/>
      </w:pPr>
      <w:r>
        <w:rPr>
          <w:rStyle w:val="Text2"/>
        </w:rPr>
        <w:t>exception handling</w:t>
        <w:t xml:space="preserve">, </w:t>
      </w:r>
      <w:hyperlink w:anchor="idm45965270612816">
        <w:r>
          <w:t>The try and raise Statements</w:t>
        </w:r>
      </w:hyperlink>
      <w:r>
        <w:rPr>
          <w:rStyle w:val="Text2"/>
        </w:rPr>
        <w:t xml:space="preserve">, </w:t>
      </w:r>
      <w:hyperlink w:anchor="idm45965260683568">
        <w:r>
          <w:t>Exceptions</w:t>
        </w:r>
      </w:hyperlink>
    </w:p>
    <w:p>
      <w:pPr>
        <w:pStyle w:val="Para 003"/>
      </w:pPr>
      <w:r>
        <w:t>exceptions</w:t>
      </w:r>
    </w:p>
    <w:p>
      <w:pPr>
        <w:pStyle w:val="Para 004"/>
      </w:pPr>
      <w:r>
        <w:rPr>
          <w:rStyle w:val="Text2"/>
        </w:rPr>
        <w:t>assert statement</w:t>
        <w:t xml:space="preserve">, </w:t>
      </w:r>
      <w:hyperlink w:anchor="idm45965255184608">
        <w:r>
          <w:t>The assert Statement</w:t>
        </w:r>
      </w:hyperlink>
    </w:p>
    <w:p>
      <w:pPr>
        <w:pStyle w:val="Para 004"/>
      </w:pPr>
      <w:r>
        <w:rPr>
          <w:rStyle w:val="Text2"/>
        </w:rPr>
        <w:t>custom classes</w:t>
        <w:t xml:space="preserve">, </w:t>
      </w:r>
      <w:hyperlink w:anchor="Ecustom06">
        <w:r>
          <w:t>Custom Exception Classes</w:t>
        </w:r>
      </w:hyperlink>
      <w:r>
        <w:rPr>
          <w:rStyle w:val="Text2"/>
        </w:rPr>
        <w:t>-</w:t>
      </w:r>
      <w:hyperlink w:anchor="idm45965256223840">
        <w:r>
          <w:t>Other Exceptions Used in the Standard Library</w:t>
        </w:r>
      </w:hyperlink>
    </w:p>
    <w:p>
      <w:pPr>
        <w:pStyle w:val="Para 004"/>
      </w:pPr>
      <w:r>
        <w:rPr>
          <w:rStyle w:val="Text2"/>
        </w:rPr>
        <w:t>error-checking strategies</w:t>
        <w:t xml:space="preserve">, </w:t>
      </w:r>
      <w:hyperlink w:anchor="EXerchk06">
        <w:r>
          <w:t>Error-Checking Strategies</w:t>
        </w:r>
      </w:hyperlink>
      <w:r>
        <w:rPr>
          <w:rStyle w:val="Text2"/>
        </w:rPr>
        <w:t>-</w:t>
      </w:r>
      <w:hyperlink w:anchor="idm45965255190576">
        <w:r>
          <w:t>Configuring logging</w:t>
        </w:r>
      </w:hyperlink>
    </w:p>
    <w:p>
      <w:pPr>
        <w:pStyle w:val="Para 004"/>
      </w:pPr>
      <w:r>
        <w:rPr>
          <w:rStyle w:val="Text2"/>
        </w:rPr>
        <w:t>exception objects</w:t>
        <w:t xml:space="preserve">, </w:t>
      </w:r>
      <w:hyperlink w:anchor="Eexobj06">
        <w:r>
          <w:t>Exception Objects</w:t>
        </w:r>
      </w:hyperlink>
      <w:r>
        <w:rPr>
          <w:rStyle w:val="Text2"/>
        </w:rPr>
        <w:t>-</w:t>
      </w:r>
      <w:hyperlink w:anchor="idm45965256517968">
        <w:r>
          <w:t>Exceptions “wrapping” other exceptions or tracebacks</w:t>
        </w:r>
      </w:hyperlink>
    </w:p>
    <w:p>
      <w:pPr>
        <w:pStyle w:val="Para 003"/>
      </w:pPr>
      <w:r>
        <w:t>exception propagation</w:t>
        <w:t xml:space="preserve">, </w:t>
      </w:r>
      <w:hyperlink w:anchor="idm45965257084064">
        <w:r>
          <w:rPr>
            <w:rStyle w:val="Text1"/>
          </w:rPr>
          <w:t>Exception Propagation</w:t>
        </w:r>
      </w:hyperlink>
    </w:p>
    <w:p>
      <w:pPr>
        <w:pStyle w:val="Para 004"/>
      </w:pPr>
      <w:r>
        <w:rPr>
          <w:rStyle w:val="Text2"/>
        </w:rPr>
        <w:t>ExceptionGroup and except*</w:t>
        <w:t xml:space="preserve">, </w:t>
      </w:r>
      <w:hyperlink w:anchor="EXgrpstar06">
        <w:r>
          <w:t>ExceptionGroup and except*</w:t>
        </w:r>
      </w:hyperlink>
      <w:r>
        <w:rPr>
          <w:rStyle w:val="Text2"/>
        </w:rPr>
        <w:t>-</w:t>
      </w:r>
      <w:hyperlink w:anchor="idm45965255845840">
        <w:r>
          <w:t>ExceptionGroup and except*</w:t>
        </w:r>
      </w:hyperlink>
    </w:p>
    <w:p>
      <w:pPr>
        <w:pStyle w:val="Para 004"/>
      </w:pPr>
      <w:r>
        <w:rPr>
          <w:rStyle w:val="Text2"/>
        </w:rPr>
        <w:t>generators and</w:t>
        <w:t xml:space="preserve">, </w:t>
      </w:r>
      <w:hyperlink w:anchor="idm45965257153984">
        <w:r>
          <w:t>Generators and Exceptions</w:t>
        </w:r>
      </w:hyperlink>
    </w:p>
    <w:p>
      <w:pPr>
        <w:pStyle w:val="Para 003"/>
      </w:pPr>
      <w:r>
        <w:t>purpose of</w:t>
        <w:t xml:space="preserve">, </w:t>
      </w:r>
      <w:hyperlink w:anchor="idm45965260687392">
        <w:r>
          <w:rPr>
            <w:rStyle w:val="Text1"/>
          </w:rPr>
          <w:t>Exceptions</w:t>
        </w:r>
      </w:hyperlink>
    </w:p>
    <w:p>
      <w:pPr>
        <w:pStyle w:val="Para 004"/>
      </w:pPr>
      <w:r>
        <w:rPr>
          <w:rStyle w:val="Text2"/>
        </w:rPr>
        <w:t>raise statement</w:t>
        <w:t xml:space="preserve">, </w:t>
      </w:r>
      <w:hyperlink w:anchor="idm45965259954288">
        <w:r>
          <w:t>The raise Statement</w:t>
        </w:r>
      </w:hyperlink>
    </w:p>
    <w:p>
      <w:pPr>
        <w:pStyle w:val="Para 004"/>
      </w:pPr>
      <w:r>
        <w:rPr>
          <w:rStyle w:val="Text2"/>
        </w:rPr>
        <w:t>standard exceptions</w:t>
        <w:t xml:space="preserve">, </w:t>
      </w:r>
      <w:hyperlink w:anchor="idm45965256857712">
        <w:r>
          <w:t>Standard Exception Classes</w:t>
        </w:r>
      </w:hyperlink>
    </w:p>
    <w:p>
      <w:pPr>
        <w:pStyle w:val="Para 004"/>
      </w:pPr>
      <w:r>
        <w:rPr>
          <w:rStyle w:val="Text2"/>
        </w:rPr>
        <w:t>try statement</w:t>
        <w:t xml:space="preserve">, </w:t>
      </w:r>
      <w:hyperlink w:anchor="Etry06">
        <w:r>
          <w:t>The try Statement</w:t>
        </w:r>
      </w:hyperlink>
      <w:r>
        <w:rPr>
          <w:rStyle w:val="Text2"/>
        </w:rPr>
        <w:t>-</w:t>
      </w:r>
      <w:hyperlink w:anchor="idm45965259989856">
        <w:r>
          <w:t>try/except/finally</w:t>
        </w:r>
      </w:hyperlink>
    </w:p>
    <w:p>
      <w:pPr>
        <w:pStyle w:val="Para 004"/>
      </w:pPr>
      <w:r>
        <w:rPr>
          <w:rStyle w:val="Text2"/>
        </w:rPr>
        <w:t>with statement and context managers</w:t>
        <w:t xml:space="preserve">, </w:t>
      </w:r>
      <w:hyperlink w:anchor="Ewith06">
        <w:r>
          <w:t>The with Statement and Context Managers</w:t>
        </w:r>
      </w:hyperlink>
      <w:r>
        <w:rPr>
          <w:rStyle w:val="Text2"/>
        </w:rPr>
        <w:t>-</w:t>
      </w:r>
      <w:hyperlink w:anchor="idm45965257159920">
        <w:r>
          <w:t>The with Statement and Context Managers</w:t>
        </w:r>
      </w:hyperlink>
    </w:p>
    <w:p>
      <w:pPr>
        <w:pStyle w:val="Para 003"/>
      </w:pPr>
      <w:r>
        <w:t>exclamation point (!)</w:t>
        <w:t xml:space="preserve">, </w:t>
      </w:r>
      <w:hyperlink w:anchor="idm45965284325360">
        <w:r>
          <w:rPr>
            <w:rStyle w:val="Text1"/>
          </w:rPr>
          <w:t>Identifiers</w:t>
        </w:r>
      </w:hyperlink>
    </w:p>
    <w:p>
      <w:pPr>
        <w:pStyle w:val="Para 003"/>
      </w:pPr>
      <w:r>
        <w:t>exc_info (sys module)</w:t>
        <w:t xml:space="preserve">, </w:t>
      </w:r>
      <w:hyperlink w:anchor="idm45965215028192">
        <w:r>
          <w:rPr>
            <w:rStyle w:val="Text1"/>
          </w:rPr>
          <w:t>The sys Module</w:t>
        </w:r>
      </w:hyperlink>
    </w:p>
    <w:p>
      <w:pPr>
        <w:pStyle w:val="Para 004"/>
      </w:pPr>
      <w:r>
        <w:rPr>
          <w:rStyle w:val="Text2"/>
        </w:rPr>
        <w:t>exec (built-in function)</w:t>
        <w:t xml:space="preserve">, </w:t>
      </w:r>
      <w:hyperlink w:anchor="idm45965216016544">
        <w:r>
          <w:t>Built-in Functions</w:t>
        </w:r>
      </w:hyperlink>
      <w:r>
        <w:rPr>
          <w:rStyle w:val="Text2"/>
        </w:rPr>
        <w:t xml:space="preserve">, </w:t>
      </w:r>
      <w:hyperlink w:anchor="execf14">
        <w:r>
          <w:t>Dynamic Execution and exec</w:t>
        </w:r>
      </w:hyperlink>
      <w:r>
        <w:rPr>
          <w:rStyle w:val="Text2"/>
        </w:rPr>
        <w:t>-</w:t>
      </w:r>
      <w:hyperlink w:anchor="idm45965194325456">
        <w:r>
          <w:t>Never exec or eval Untrusted Code</w:t>
        </w:r>
      </w:hyperlink>
      <w:r>
        <w:rPr>
          <w:rStyle w:val="Text2"/>
        </w:rPr>
        <w:t xml:space="preserve">, </w:t>
      </w:r>
      <w:hyperlink w:anchor="idm45965188814512">
        <w:r>
          <w:t>Running Other Programs with the os Module</w:t>
        </w:r>
      </w:hyperlink>
      <w:r>
        <w:rPr>
          <w:rStyle w:val="Text2"/>
        </w:rPr>
        <w:t xml:space="preserve">, </w:t>
      </w:r>
      <w:hyperlink w:anchor="idm45965178393136">
        <w:r>
          <w:t>Avoid exec and from ... import *</w:t>
        </w:r>
      </w:hyperlink>
    </w:p>
    <w:p>
      <w:pPr>
        <w:pStyle w:val="Para 004"/>
      </w:pPr>
      <w:r>
        <w:rPr>
          <w:rStyle w:val="Text2"/>
        </w:rPr>
        <w:t>executable files</w:t>
        <w:t xml:space="preserve">, </w:t>
      </w:r>
      <w:hyperlink w:anchor="idm45965188800752">
        <w:r>
          <w:t>Running Other Programs with the os Module</w:t>
        </w:r>
      </w:hyperlink>
    </w:p>
    <w:p>
      <w:pPr>
        <w:pStyle w:val="Para 004"/>
      </w:pPr>
      <w:r>
        <w:rPr>
          <w:rStyle w:val="Text2"/>
        </w:rPr>
        <w:t>executing system commands</w:t>
        <w:t xml:space="preserve">, </w:t>
      </w:r>
      <w:hyperlink w:anchor="idm45965188802704">
        <w:r>
          <w:t>Running Other Programs with the os Module</w:t>
        </w:r>
      </w:hyperlink>
    </w:p>
    <w:p>
      <w:pPr>
        <w:pStyle w:val="Para 003"/>
      </w:pPr>
      <w:r>
        <w:t>execution, customizing</w:t>
      </w:r>
    </w:p>
    <w:p>
      <w:pPr>
        <w:pStyle w:val="Para 004"/>
      </w:pPr>
      <w:r>
        <w:rPr>
          <w:rStyle w:val="Text2"/>
        </w:rPr>
        <w:t>dynamic execution and exec function</w:t>
        <w:t xml:space="preserve">, </w:t>
      </w:r>
      <w:hyperlink w:anchor="ECdyn14">
        <w:r>
          <w:t>Dynamic Execution and exec</w:t>
        </w:r>
      </w:hyperlink>
      <w:r>
        <w:rPr>
          <w:rStyle w:val="Text2"/>
        </w:rPr>
        <w:t>-</w:t>
      </w:r>
      <w:hyperlink w:anchor="idm45965194327888">
        <w:r>
          <w:t>Never exec or eval Untrusted Code</w:t>
        </w:r>
      </w:hyperlink>
    </w:p>
    <w:p>
      <w:pPr>
        <w:pStyle w:val="Para 004"/>
      </w:pPr>
      <w:r>
        <w:rPr>
          <w:rStyle w:val="Text2"/>
        </w:rPr>
        <w:t>garbage collection</w:t>
        <w:t xml:space="preserve">, </w:t>
      </w:r>
      <w:hyperlink w:anchor="ECgarbage14">
        <w:r>
          <w:t>Garbage Collection</w:t>
        </w:r>
      </w:hyperlink>
      <w:r>
        <w:rPr>
          <w:rStyle w:val="Text2"/>
        </w:rPr>
        <w:t>-</w:t>
      </w:r>
      <w:hyperlink w:anchor="idm45965193705072">
        <w:r>
          <w:t>The weakref Module</w:t>
        </w:r>
      </w:hyperlink>
    </w:p>
    <w:p>
      <w:pPr>
        <w:pStyle w:val="Para 003"/>
      </w:pPr>
      <w:r>
        <w:t>internal types</w:t>
        <w:t xml:space="preserve">, </w:t>
      </w:r>
      <w:hyperlink w:anchor="idm45965194322368">
        <w:r>
          <w:rPr>
            <w:rStyle w:val="Text1"/>
          </w:rPr>
          <w:t>Internal Types</w:t>
        </w:r>
      </w:hyperlink>
    </w:p>
    <w:p>
      <w:pPr>
        <w:pStyle w:val="Para 003"/>
      </w:pPr>
      <w:r>
        <w:t>per-site customization</w:t>
        <w:t xml:space="preserve">, </w:t>
      </w:r>
      <w:hyperlink w:anchor="idm45965194928048">
        <w:r>
          <w:rPr>
            <w:rStyle w:val="Text1"/>
          </w:rPr>
          <w:t>Per-Site Customization</w:t>
        </w:r>
      </w:hyperlink>
    </w:p>
    <w:p>
      <w:pPr>
        <w:pStyle w:val="Para 003"/>
      </w:pPr>
      <w:r>
        <w:t>termination functions</w:t>
        <w:t xml:space="preserve">, </w:t>
      </w:r>
      <w:hyperlink w:anchor="idm45965194895280">
        <w:r>
          <w:rPr>
            <w:rStyle w:val="Text1"/>
          </w:rPr>
          <w:t>Termination Functions</w:t>
        </w:r>
      </w:hyperlink>
    </w:p>
    <w:p>
      <w:pPr>
        <w:pStyle w:val="Para 003"/>
      </w:pPr>
      <w:r>
        <w:t>Executor class (concurrent package)</w:t>
        <w:t xml:space="preserve">, </w:t>
      </w:r>
      <w:hyperlink w:anchor="idm45965190628368">
        <w:r>
          <w:rPr>
            <w:rStyle w:val="Text1"/>
          </w:rPr>
          <w:t>The concurrent.futures Module</w:t>
        </w:r>
      </w:hyperlink>
    </w:p>
    <w:p>
      <w:pPr>
        <w:pStyle w:val="Para 004"/>
      </w:pPr>
      <w:r>
        <w:rPr>
          <w:rStyle w:val="Text2"/>
        </w:rPr>
        <w:t>execvpe (os module)</w:t>
        <w:t xml:space="preserve">, </w:t>
      </w:r>
      <w:hyperlink w:anchor="idm45965188766384">
        <w:r>
          <w:t>Running Other Programs with the os Module</w:t>
        </w:r>
      </w:hyperlink>
    </w:p>
    <w:p>
      <w:pPr>
        <w:pStyle w:val="Para 003"/>
      </w:pPr>
      <w:r>
        <w:t>exists (os.path module)</w:t>
        <w:t xml:space="preserve">, </w:t>
      </w:r>
      <w:hyperlink w:anchor="idm45965203802144">
        <w:r>
          <w:rPr>
            <w:rStyle w:val="Text1"/>
          </w:rPr>
          <w:t>The os.path Module</w:t>
        </w:r>
      </w:hyperlink>
    </w:p>
    <w:p>
      <w:pPr>
        <w:pStyle w:val="Para 003"/>
      </w:pPr>
      <w:r>
        <w:t>exists (pathlib.Path class)</w:t>
        <w:t xml:space="preserve">, </w:t>
      </w:r>
      <w:hyperlink w:anchor="idm45965203328800">
        <w:r>
          <w:rPr>
            <w:rStyle w:val="Text1"/>
          </w:rPr>
          <w:t>The pathlib Module</w:t>
        </w:r>
      </w:hyperlink>
    </w:p>
    <w:p>
      <w:pPr>
        <w:pStyle w:val="Para 003"/>
      </w:pPr>
      <w:r>
        <w:t>exit (sys module)</w:t>
        <w:t xml:space="preserve">, </w:t>
      </w:r>
      <w:hyperlink w:anchor="idm45965215006688">
        <w:r>
          <w:rPr>
            <w:rStyle w:val="Text1"/>
          </w:rPr>
          <w:t>The sys Module</w:t>
        </w:r>
      </w:hyperlink>
    </w:p>
    <w:p>
      <w:pPr>
        <w:pStyle w:val="Para 004"/>
      </w:pPr>
      <w:r>
        <w:rPr>
          <w:rStyle w:val="Text2"/>
        </w:rPr>
        <w:t>exp (math module)</w:t>
        <w:t xml:space="preserve">, </w:t>
      </w:r>
      <w:hyperlink w:anchor="idm45965187316192">
        <w:r>
          <w:t>The math and cmath Modules</w:t>
        </w:r>
      </w:hyperlink>
    </w:p>
    <w:p>
      <w:pPr>
        <w:pStyle w:val="Para 003"/>
      </w:pPr>
      <w:r>
        <w:t>expandtabs method (string method)</w:t>
        <w:t xml:space="preserve">, </w:t>
      </w:r>
      <w:hyperlink w:anchor="idm45965212706848">
        <w:r>
          <w:rPr>
            <w:rStyle w:val="Text1"/>
          </w:rPr>
          <w:t>Methods of String Objects</w:t>
        </w:r>
      </w:hyperlink>
    </w:p>
    <w:p>
      <w:pPr>
        <w:pStyle w:val="Para 003"/>
      </w:pPr>
      <w:r>
        <w:t>expanduser (os.path module)</w:t>
        <w:t xml:space="preserve">, </w:t>
      </w:r>
      <w:hyperlink w:anchor="idm45965203783888">
        <w:r>
          <w:rPr>
            <w:rStyle w:val="Text1"/>
          </w:rPr>
          <w:t>The os.path Module</w:t>
        </w:r>
      </w:hyperlink>
    </w:p>
    <w:p>
      <w:pPr>
        <w:pStyle w:val="Para 003"/>
      </w:pPr>
      <w:r>
        <w:t>expanduser (pathlib.Path class)</w:t>
        <w:t xml:space="preserve">, </w:t>
      </w:r>
      <w:hyperlink w:anchor="idm45965203321696">
        <w:r>
          <w:rPr>
            <w:rStyle w:val="Text1"/>
          </w:rPr>
          <w:t>The pathlib Module</w:t>
        </w:r>
      </w:hyperlink>
    </w:p>
    <w:p>
      <w:pPr>
        <w:pStyle w:val="Para 003"/>
      </w:pPr>
      <w:r>
        <w:t>expression is true/false</w:t>
        <w:t xml:space="preserve">, </w:t>
      </w:r>
      <w:hyperlink w:anchor="idm45965279117344">
        <w:r>
          <w:rPr>
            <w:rStyle w:val="Text1"/>
          </w:rPr>
          <w:t>Boolean Values</w:t>
        </w:r>
      </w:hyperlink>
    </w:p>
    <w:p>
      <w:pPr>
        <w:pStyle w:val="Para 003"/>
      </w:pPr>
      <w:r>
        <w:t>expression statements</w:t>
        <w:t xml:space="preserve">, </w:t>
      </w:r>
      <w:hyperlink w:anchor="idm45965194733808">
        <w:r>
          <w:rPr>
            <w:rStyle w:val="Text1"/>
          </w:rPr>
          <w:t>Expressions</w:t>
        </w:r>
      </w:hyperlink>
    </w:p>
    <w:p>
      <w:pPr>
        <w:pStyle w:val="Para 003"/>
      </w:pPr>
      <w:r>
        <w:t>expressions and operators</w:t>
      </w:r>
    </w:p>
    <w:p>
      <w:pPr>
        <w:pStyle w:val="Para 003"/>
      </w:pPr>
      <w:r>
        <w:t>assignment expressions</w:t>
        <w:t xml:space="preserve">, </w:t>
      </w:r>
      <w:hyperlink w:anchor="idm45965274992336">
        <w:r>
          <w:rPr>
            <w:rStyle w:val="Text1"/>
          </w:rPr>
          <w:t>Assignment Expressions</w:t>
        </w:r>
      </w:hyperlink>
    </w:p>
    <w:p>
      <w:pPr>
        <w:pStyle w:val="Para 003"/>
      </w:pPr>
      <w:r>
        <w:t>Boolean context of</w:t>
        <w:t xml:space="preserve">, </w:t>
      </w:r>
      <w:hyperlink w:anchor="idm45965282342016">
        <w:r>
          <w:rPr>
            <w:rStyle w:val="Text1"/>
          </w:rPr>
          <w:t>The if Statement</w:t>
        </w:r>
      </w:hyperlink>
    </w:p>
    <w:p>
      <w:pPr>
        <w:pStyle w:val="Para 003"/>
      </w:pPr>
      <w:r>
        <w:t>comparison chaining</w:t>
        <w:t xml:space="preserve">, </w:t>
      </w:r>
      <w:hyperlink w:anchor="idm45965275129856">
        <w:r>
          <w:rPr>
            <w:rStyle w:val="Text1"/>
          </w:rPr>
          <w:t>Comparison Chaining</w:t>
        </w:r>
      </w:hyperlink>
    </w:p>
    <w:p>
      <w:pPr>
        <w:pStyle w:val="Para 003"/>
      </w:pPr>
      <w:r>
        <w:t>evaluation of versus returns from</w:t>
        <w:t xml:space="preserve">, </w:t>
      </w:r>
      <w:hyperlink w:anchor="idm45965282263664">
        <w:r>
          <w:rPr>
            <w:rStyle w:val="Text1"/>
          </w:rPr>
          <w:t>The if Statement</w:t>
        </w:r>
      </w:hyperlink>
    </w:p>
    <w:p>
      <w:pPr>
        <w:pStyle w:val="Para 003"/>
      </w:pPr>
      <w:r>
        <w:t>expressions as simple statements</w:t>
        <w:t xml:space="preserve">, </w:t>
      </w:r>
      <w:hyperlink w:anchor="idm45965281989392">
        <w:r>
          <w:rPr>
            <w:rStyle w:val="Text1"/>
          </w:rPr>
          <w:t>Simple statements</w:t>
        </w:r>
      </w:hyperlink>
    </w:p>
    <w:p>
      <w:pPr>
        <w:pStyle w:val="Para 003"/>
      </w:pPr>
      <w:r>
        <w:t>obtaining expression values</w:t>
        <w:t xml:space="preserve">, </w:t>
      </w:r>
      <w:hyperlink w:anchor="idm45965194735280">
        <w:r>
          <w:rPr>
            <w:rStyle w:val="Text1"/>
          </w:rPr>
          <w:t>Expressions</w:t>
        </w:r>
      </w:hyperlink>
    </w:p>
    <w:p>
      <w:pPr>
        <w:pStyle w:val="Para 003"/>
      </w:pPr>
      <w:r>
        <w:t>short-circuiting operators</w:t>
        <w:t xml:space="preserve">, </w:t>
      </w:r>
      <w:hyperlink w:anchor="idm45965275065344">
        <w:r>
          <w:rPr>
            <w:rStyle w:val="Text1"/>
          </w:rPr>
          <w:t>Short-Circuiting Operators</w:t>
        </w:r>
      </w:hyperlink>
    </w:p>
    <w:p>
      <w:pPr>
        <w:pStyle w:val="Para 003"/>
      </w:pPr>
      <w:r>
        <w:t>extend method</w:t>
      </w:r>
    </w:p>
    <w:p>
      <w:pPr>
        <w:pStyle w:val="Para 004"/>
      </w:pPr>
      <w:r>
        <w:rPr>
          <w:rStyle w:val="Text2"/>
        </w:rPr>
        <w:t>array</w:t>
        <w:t xml:space="preserve">, </w:t>
      </w:r>
      <w:hyperlink w:anchor="idm45965185448416">
        <w:r>
          <w:t>The array Module</w:t>
        </w:r>
      </w:hyperlink>
      <w:r>
        <w:rPr>
          <w:rStyle w:val="Text2"/>
        </w:rPr>
        <w:t xml:space="preserve">, </w:t>
      </w:r>
      <w:hyperlink w:anchor="idm45965178568448">
        <w:r>
          <w:t>Building up a string from pieces</w:t>
        </w:r>
      </w:hyperlink>
    </w:p>
    <w:p>
      <w:pPr>
        <w:pStyle w:val="Para 003"/>
      </w:pPr>
      <w:r>
        <w:t>collections.deque</w:t>
        <w:t xml:space="preserve">, </w:t>
      </w:r>
      <w:hyperlink w:anchor="idm45965277720112">
        <w:r>
          <w:rPr>
            <w:rStyle w:val="Text1"/>
          </w:rPr>
          <w:t>deque</w:t>
        </w:r>
      </w:hyperlink>
    </w:p>
    <w:p>
      <w:pPr>
        <w:pStyle w:val="Para 004"/>
      </w:pPr>
      <w:r>
        <w:rPr>
          <w:rStyle w:val="Text2"/>
        </w:rPr>
        <w:t>list</w:t>
        <w:t xml:space="preserve">, </w:t>
      </w:r>
      <w:hyperlink w:anchor="idm45965278814608">
        <w:r>
          <w:t>List methods</w:t>
        </w:r>
      </w:hyperlink>
    </w:p>
    <w:p>
      <w:pPr>
        <w:pStyle w:val="Para 004"/>
      </w:pPr>
      <w:r>
        <w:rPr>
          <w:rStyle w:val="Text2"/>
        </w:rPr>
        <w:t>MutableSequence</w:t>
        <w:t xml:space="preserve">, </w:t>
      </w:r>
      <w:hyperlink w:anchor="idm45965281709248">
        <w:r>
          <w:t>ABCs in the collections module</w:t>
        </w:r>
      </w:hyperlink>
    </w:p>
    <w:p>
      <w:pPr>
        <w:pStyle w:val="Para 003"/>
      </w:pPr>
      <w:r>
        <w:t>sequence type</w:t>
        <w:t xml:space="preserve">, </w:t>
      </w:r>
      <w:hyperlink w:anchor="idm45965264569712">
        <w:r>
          <w:rPr>
            <w:rStyle w:val="Text1"/>
          </w:rPr>
          <w:t>Sequences</w:t>
        </w:r>
      </w:hyperlink>
    </w:p>
    <w:p>
      <w:pPr>
        <w:pStyle w:val="Para 003"/>
      </w:pPr>
      <w:r>
        <w:t>extendleft (collections.deque)</w:t>
        <w:t xml:space="preserve">, </w:t>
      </w:r>
      <w:hyperlink w:anchor="idm45965277713312">
        <w:r>
          <w:rPr>
            <w:rStyle w:val="Text1"/>
          </w:rPr>
          <w:t>deque</w:t>
        </w:r>
      </w:hyperlink>
    </w:p>
    <w:p>
      <w:pPr>
        <w:pStyle w:val="Para 003"/>
      </w:pPr>
      <w:r>
        <w:t>Extensible HyperText Markup Language (XHTML)</w:t>
        <w:t xml:space="preserve">, </w:t>
      </w:r>
      <w:hyperlink w:anchor="idm45965171976176">
        <w:r>
          <w:rPr>
            <w:rStyle w:val="Text1"/>
          </w:rPr>
          <w:t>Structured Text: HTML</w:t>
        </w:r>
      </w:hyperlink>
    </w:p>
    <w:p>
      <w:pPr>
        <w:pStyle w:val="Para 004"/>
      </w:pPr>
      <w:r>
        <w:rPr>
          <w:rStyle w:val="Text2"/>
        </w:rPr>
        <w:t>eXtensible Markup Language (XML)</w:t>
        <w:t xml:space="preserve">, </w:t>
      </w:r>
      <w:hyperlink w:anchor="idm45965171977296">
        <w:r>
          <w:t>Structured Text: HTML</w:t>
        </w:r>
      </w:hyperlink>
      <w:r>
        <w:rPr>
          <w:rStyle w:val="Text2"/>
        </w:rPr>
        <w:t xml:space="preserve">, </w:t>
      </w:r>
      <w:hyperlink w:anchor="idm45965169202480">
        <w:r>
          <w:t>Structured Text: XML</w:t>
        </w:r>
      </w:hyperlink>
    </w:p>
    <w:p>
      <w:pPr>
        <w:pStyle w:val="Para 003"/>
      </w:pPr>
      <w:r>
        <w:t>Extensible Markup Language remote procedure call (XML-RPC) protocol</w:t>
        <w:t xml:space="preserve">, </w:t>
      </w:r>
      <w:hyperlink w:anchor="idm45965174991360">
        <w:r>
          <w:rPr>
            <w:rStyle w:val="Text1"/>
          </w:rPr>
          <w:t>Other Network Protocols</w:t>
        </w:r>
      </w:hyperlink>
    </w:p>
    <w:p>
      <w:pPr>
        <w:pStyle w:val="Para 003"/>
      </w:pPr>
      <w:r>
        <w:t>extension modules</w:t>
      </w:r>
    </w:p>
    <w:p>
      <w:pPr>
        <w:pStyle w:val="Para 004"/>
      </w:pPr>
      <w:r>
        <w:rPr>
          <w:rStyle w:val="Text2"/>
        </w:rPr>
        <w:t>benefits of</w:t>
        <w:t xml:space="preserve">, </w:t>
      </w:r>
      <w:hyperlink w:anchor="idm45965255074816">
        <w:r>
          <w:t>Modules and Packages</w:t>
        </w:r>
      </w:hyperlink>
    </w:p>
    <w:p>
      <w:pPr>
        <w:pStyle w:val="Para 004"/>
      </w:pPr>
      <w:r>
        <w:rPr>
          <w:rStyle w:val="Text2"/>
        </w:rPr>
        <w:t>versus built-in modules</w:t>
        <w:t xml:space="preserve">, </w:t>
      </w:r>
      <w:hyperlink w:anchor="idm45965216806992">
        <w:r>
          <w:t>Core Built-ins and Standard Library Modules</w:t>
        </w:r>
      </w:hyperlink>
    </w:p>
    <w:p>
      <w:pPr>
        <w:pStyle w:val="Para 004"/>
      </w:pPr>
      <w:r>
        <w:rPr>
          <w:rStyle w:val="Text2"/>
        </w:rPr>
        <w:t>in collections.abc</w:t>
        <w:t xml:space="preserve">, </w:t>
      </w:r>
      <w:hyperlink w:anchor="idm45965281808848">
        <w:r>
          <w:t>ABCs in the collections module</w:t>
        </w:r>
      </w:hyperlink>
    </w:p>
    <w:p>
      <w:pPr>
        <w:pStyle w:val="Para 004"/>
      </w:pPr>
      <w:r>
        <w:rPr>
          <w:rStyle w:val="Text2"/>
        </w:rPr>
        <w:t>documentation</w:t>
        <w:t xml:space="preserve">, </w:t>
      </w:r>
      <w:hyperlink w:anchor="idm45965278366320">
        <w:r>
          <w:t>Extension modules and Python sources</w:t>
        </w:r>
      </w:hyperlink>
    </w:p>
    <w:p>
      <w:pPr>
        <w:pStyle w:val="Para 004"/>
      </w:pPr>
      <w:r>
        <w:rPr>
          <w:rStyle w:val="Text2"/>
        </w:rPr>
        <w:t>introduction to</w:t>
        <w:t xml:space="preserve">, </w:t>
      </w:r>
      <w:hyperlink w:anchor="idm45965283902928">
        <w:r>
          <w:t>The Python Standard Library and Extension Modules</w:t>
        </w:r>
      </w:hyperlink>
    </w:p>
    <w:p>
      <w:pPr>
        <w:pStyle w:val="Para 004"/>
      </w:pPr>
      <w:r>
        <w:rPr>
          <w:rStyle w:val="Text2"/>
        </w:rPr>
        <w:t>packaging programs and extensions</w:t>
        <w:t xml:space="preserve">, </w:t>
      </w:r>
      <w:hyperlink w:anchor="EMpack24">
        <w:r>
          <w:t>Packaging Programs and Extensions</w:t>
        </w:r>
      </w:hyperlink>
      <w:r>
        <w:rPr>
          <w:rStyle w:val="Text2"/>
        </w:rPr>
        <w:t>-</w:t>
      </w:r>
      <w:hyperlink w:anchor="idm45965162822096">
        <w:r>
          <w:t>Online Material</w:t>
        </w:r>
      </w:hyperlink>
    </w:p>
    <w:p>
      <w:pPr>
        <w:keepNext/>
        <w:pStyle w:val="Heading 3"/>
      </w:pPr>
      <w:r>
        <w:t>F</w:t>
      </w:r>
    </w:p>
    <w:p>
      <w:pPr>
        <w:pStyle w:val="Para 004"/>
      </w:pPr>
      <w:r>
        <w:rPr>
          <w:rStyle w:val="Text2"/>
        </w:rPr>
        <w:t>f-strings (formatted string literals)</w:t>
        <w:t xml:space="preserve">, </w:t>
      </w:r>
      <w:hyperlink w:anchor="idm45965278913616">
        <w:r>
          <w:t>Strings</w:t>
        </w:r>
      </w:hyperlink>
      <w:r>
        <w:rPr>
          <w:rStyle w:val="Text2"/>
        </w:rPr>
        <w:t xml:space="preserve">, </w:t>
      </w:r>
      <w:hyperlink w:anchor="idm45965212098928">
        <w:r>
          <w:t>Formatted String Literals (F-Strings)</w:t>
        </w:r>
      </w:hyperlink>
    </w:p>
    <w:p>
      <w:pPr>
        <w:pStyle w:val="Para 003"/>
      </w:pPr>
      <w:r>
        <w:t>factory functions (DBAPI-compliant)</w:t>
        <w:t xml:space="preserve">, </w:t>
      </w:r>
      <w:hyperlink w:anchor="idm45965197719024">
        <w:r>
          <w:rPr>
            <w:rStyle w:val="Text1"/>
          </w:rPr>
          <w:t>Factory Functions</w:t>
        </w:r>
      </w:hyperlink>
    </w:p>
    <w:p>
      <w:pPr>
        <w:pStyle w:val="Para 003"/>
      </w:pPr>
      <w:r>
        <w:t>falsy</w:t>
      </w:r>
    </w:p>
    <w:p>
      <w:pPr>
        <w:pStyle w:val="Para 003"/>
      </w:pPr>
      <w:r>
        <w:t>definition of term</w:t>
        <w:t xml:space="preserve">, </w:t>
      </w:r>
      <w:hyperlink w:anchor="idm45965279164976">
        <w:r>
          <w:rPr>
            <w:rStyle w:val="Text1"/>
          </w:rPr>
          <w:t>Boolean Values</w:t>
        </w:r>
      </w:hyperlink>
    </w:p>
    <w:p>
      <w:pPr>
        <w:pStyle w:val="Para 003"/>
      </w:pPr>
      <w:r>
        <w:t>evaluates as versus returns</w:t>
        <w:t xml:space="preserve">, </w:t>
      </w:r>
      <w:hyperlink w:anchor="idm45965282236848">
        <w:r>
          <w:rPr>
            <w:rStyle w:val="Text1"/>
          </w:rPr>
          <w:t>The if Statement</w:t>
        </w:r>
      </w:hyperlink>
    </w:p>
    <w:p>
      <w:pPr>
        <w:pStyle w:val="Para 004"/>
      </w:pPr>
      <w:r>
        <w:rPr>
          <w:rStyle w:val="Text2"/>
        </w:rPr>
        <w:t>evaluation in Boolean contexts</w:t>
        <w:t xml:space="preserve">, </w:t>
      </w:r>
      <w:hyperlink w:anchor="idm45965265008176">
        <w:r>
          <w:t>General-Purpose Special Methods</w:t>
        </w:r>
      </w:hyperlink>
      <w:r>
        <w:rPr>
          <w:rStyle w:val="Text2"/>
        </w:rPr>
        <w:t xml:space="preserve">, </w:t>
      </w:r>
      <w:hyperlink w:anchor="idm45965216773232">
        <w:r>
          <w:t>Built-in Types</w:t>
        </w:r>
      </w:hyperlink>
    </w:p>
    <w:p>
      <w:pPr>
        <w:pStyle w:val="Para 004"/>
      </w:pPr>
      <w:r>
        <w:rPr>
          <w:rStyle w:val="Text2"/>
        </w:rPr>
        <w:t>FastAPI</w:t>
        <w:t xml:space="preserve">, </w:t>
      </w:r>
      <w:hyperlink w:anchor="fastapi20">
        <w:r>
          <w:t>FastAPI</w:t>
        </w:r>
      </w:hyperlink>
      <w:r>
        <w:rPr>
          <w:rStyle w:val="Text2"/>
        </w:rPr>
        <w:t>-</w:t>
      </w:r>
      <w:hyperlink w:anchor="idm45965173322032">
        <w:r>
          <w:t>FastAPI</w:t>
        </w:r>
      </w:hyperlink>
    </w:p>
    <w:p>
      <w:pPr>
        <w:pStyle w:val="Para 004"/>
      </w:pPr>
      <w:r>
        <w:rPr>
          <w:rStyle w:val="Text2"/>
        </w:rPr>
        <w:t>fdopen (os module)</w:t>
        <w:t xml:space="preserve">, </w:t>
      </w:r>
      <w:hyperlink w:anchor="idm45965203944736">
        <w:r>
          <w:t>File descriptor operations</w:t>
        </w:r>
      </w:hyperlink>
    </w:p>
    <w:p>
      <w:pPr>
        <w:pStyle w:val="Para 003"/>
      </w:pPr>
      <w:r>
        <w:t>field width (f-strings)</w:t>
        <w:t xml:space="preserve">, </w:t>
      </w:r>
      <w:hyperlink w:anchor="idm45965210771296">
        <w:r>
          <w:rPr>
            <w:rStyle w:val="Text1"/>
          </w:rPr>
          <w:t>Field width</w:t>
        </w:r>
      </w:hyperlink>
    </w:p>
    <w:p>
      <w:pPr>
        <w:pStyle w:val="Para 003"/>
      </w:pPr>
      <w:r>
        <w:t>file and text operations</w:t>
        <w:t xml:space="preserve"> (</w:t>
        <w:t>see</w:t>
        <w:t xml:space="preserve"> also structured text)</w:t>
      </w:r>
    </w:p>
    <w:p>
      <w:pPr>
        <w:pStyle w:val="Para 004"/>
      </w:pPr>
      <w:r>
        <w:rPr>
          <w:rStyle w:val="Text2"/>
        </w:rPr>
        <w:t>archived and compressed files</w:t>
        <w:t xml:space="preserve">, </w:t>
      </w:r>
      <w:hyperlink w:anchor="FTarchive11">
        <w:r>
          <w:t>Archived and Compressed Files</w:t>
        </w:r>
      </w:hyperlink>
      <w:r>
        <w:rPr>
          <w:rStyle w:val="Text2"/>
        </w:rPr>
        <w:t>-</w:t>
      </w:r>
      <w:hyperlink w:anchor="idm45965204535856">
        <w:r>
          <w:t>The ZipInfo class</w:t>
        </w:r>
      </w:hyperlink>
    </w:p>
    <w:p>
      <w:pPr>
        <w:pStyle w:val="Para 003"/>
      </w:pPr>
      <w:r>
        <w:t>chapters discussing files</w:t>
        <w:t xml:space="preserve">, </w:t>
      </w:r>
      <w:hyperlink w:anchor="idm45965206460256">
        <w:r>
          <w:rPr>
            <w:rStyle w:val="Text1"/>
          </w:rPr>
          <w:t>File and Text Operations</w:t>
        </w:r>
      </w:hyperlink>
    </w:p>
    <w:p>
      <w:pPr>
        <w:pStyle w:val="Para 004"/>
      </w:pPr>
      <w:r>
        <w:rPr>
          <w:rStyle w:val="Text2"/>
        </w:rPr>
        <w:t>definition of file</w:t>
        <w:t xml:space="preserve">, </w:t>
      </w:r>
      <w:hyperlink w:anchor="idm45965206465008">
        <w:r>
          <w:t>File and Text Operations</w:t>
        </w:r>
      </w:hyperlink>
    </w:p>
    <w:p>
      <w:pPr>
        <w:pStyle w:val="Para 004"/>
      </w:pPr>
      <w:r>
        <w:rPr>
          <w:rStyle w:val="Text2"/>
        </w:rPr>
        <w:t>errno module</w:t>
        <w:t xml:space="preserve">, </w:t>
      </w:r>
      <w:hyperlink w:anchor="idm45965203477168">
        <w:r>
          <w:t>The errno Module</w:t>
        </w:r>
      </w:hyperlink>
    </w:p>
    <w:p>
      <w:pPr>
        <w:pStyle w:val="Para 004"/>
      </w:pPr>
      <w:r>
        <w:rPr>
          <w:rStyle w:val="Text2"/>
        </w:rPr>
        <w:t>filecmp module</w:t>
        <w:t xml:space="preserve">, </w:t>
      </w:r>
      <w:hyperlink w:anchor="FTOfilecmp11">
        <w:r>
          <w:t>The filecmp Module</w:t>
        </w:r>
      </w:hyperlink>
      <w:r>
        <w:rPr>
          <w:rStyle w:val="Text2"/>
        </w:rPr>
        <w:t>-</w:t>
      </w:r>
      <w:hyperlink w:anchor="idm45965202370736">
        <w:r>
          <w:t>The filecmp Module</w:t>
        </w:r>
      </w:hyperlink>
    </w:p>
    <w:p>
      <w:pPr>
        <w:pStyle w:val="Para 004"/>
      </w:pPr>
      <w:r>
        <w:rPr>
          <w:rStyle w:val="Text2"/>
        </w:rPr>
        <w:t>fileinput module</w:t>
        <w:t xml:space="preserve">, </w:t>
      </w:r>
      <w:hyperlink w:anchor="FTfileinput11">
        <w:r>
          <w:t>The fileinput Module</w:t>
        </w:r>
      </w:hyperlink>
      <w:r>
        <w:rPr>
          <w:rStyle w:val="Text2"/>
        </w:rPr>
        <w:t>-</w:t>
      </w:r>
      <w:hyperlink w:anchor="idm45965205509824">
        <w:r>
          <w:t>The fileinput Module</w:t>
        </w:r>
      </w:hyperlink>
    </w:p>
    <w:p>
      <w:pPr>
        <w:pStyle w:val="Para 004"/>
      </w:pPr>
      <w:r>
        <w:rPr>
          <w:rStyle w:val="Text2"/>
        </w:rPr>
        <w:t>fnmatch module</w:t>
        <w:t xml:space="preserve">, </w:t>
      </w:r>
      <w:hyperlink w:anchor="idm45965202366016">
        <w:r>
          <w:t>The fnmatch Module</w:t>
        </w:r>
      </w:hyperlink>
    </w:p>
    <w:p>
      <w:pPr>
        <w:pStyle w:val="Para 004"/>
      </w:pPr>
      <w:r>
        <w:rPr>
          <w:rStyle w:val="Text2"/>
        </w:rPr>
        <w:t>glob module</w:t>
        <w:t xml:space="preserve">, </w:t>
      </w:r>
      <w:hyperlink w:anchor="idm45965202299296">
        <w:r>
          <w:t>The glob Module</w:t>
        </w:r>
      </w:hyperlink>
    </w:p>
    <w:p>
      <w:pPr>
        <w:pStyle w:val="Para 004"/>
      </w:pPr>
      <w:r>
        <w:rPr>
          <w:rStyle w:val="Text2"/>
        </w:rPr>
        <w:t>in-memory files</w:t>
        <w:t xml:space="preserve">, </w:t>
      </w:r>
      <w:hyperlink w:anchor="idm45965205279120">
        <w:r>
          <w:t>In-Memory Files: io.StringIO and io.BytesIO</w:t>
        </w:r>
      </w:hyperlink>
    </w:p>
    <w:p>
      <w:pPr>
        <w:pStyle w:val="Para 004"/>
      </w:pPr>
      <w:r>
        <w:rPr>
          <w:rStyle w:val="Text2"/>
        </w:rPr>
        <w:t>internationalization</w:t>
        <w:t xml:space="preserve">, </w:t>
      </w:r>
      <w:hyperlink w:anchor="idm45965211994096">
        <w:r>
          <w:t>Formatted String Literals (F-Strings)</w:t>
        </w:r>
      </w:hyperlink>
      <w:r>
        <w:rPr>
          <w:rStyle w:val="Text2"/>
        </w:rPr>
        <w:t xml:space="preserve">, </w:t>
      </w:r>
      <w:hyperlink w:anchor="FTOinter11">
        <w:r>
          <w:t>Internationalization</w:t>
        </w:r>
      </w:hyperlink>
      <w:r>
        <w:rPr>
          <w:rStyle w:val="Text2"/>
        </w:rPr>
        <w:t>-</w:t>
      </w:r>
      <w:hyperlink w:anchor="idm45965200568128">
        <w:r>
          <w:t>More Internationalization Resources</w:t>
        </w:r>
      </w:hyperlink>
    </w:p>
    <w:p>
      <w:pPr>
        <w:pStyle w:val="Para 004"/>
      </w:pPr>
      <w:r>
        <w:rPr>
          <w:rStyle w:val="Text2"/>
        </w:rPr>
        <w:t>io module</w:t>
        <w:t xml:space="preserve">, </w:t>
      </w:r>
      <w:hyperlink w:anchor="FTiomod11">
        <w:r>
          <w:t>The io Module</w:t>
        </w:r>
      </w:hyperlink>
      <w:r>
        <w:rPr>
          <w:rStyle w:val="Text2"/>
        </w:rPr>
        <w:t>-</w:t>
      </w:r>
      <w:hyperlink w:anchor="idm45965205921664">
        <w:r>
          <w:t>File-Like Objects and Polymorphism</w:t>
        </w:r>
      </w:hyperlink>
    </w:p>
    <w:p>
      <w:pPr>
        <w:pStyle w:val="Para 004"/>
      </w:pPr>
      <w:r>
        <w:rPr>
          <w:rStyle w:val="Text2"/>
        </w:rPr>
        <w:t>os module</w:t>
        <w:t xml:space="preserve">, </w:t>
      </w:r>
      <w:hyperlink w:anchor="FTOosmod11">
        <w:r>
          <w:t>The os Module</w:t>
        </w:r>
      </w:hyperlink>
      <w:r>
        <w:rPr>
          <w:rStyle w:val="Text2"/>
        </w:rPr>
        <w:t>-</w:t>
      </w:r>
      <w:hyperlink w:anchor="idm45965202026160">
        <w:r>
          <w:t>The shutil Module</w:t>
        </w:r>
      </w:hyperlink>
    </w:p>
    <w:p>
      <w:pPr>
        <w:pStyle w:val="Para 004"/>
      </w:pPr>
      <w:r>
        <w:rPr>
          <w:rStyle w:val="Text2"/>
        </w:rPr>
        <w:t>overview of</w:t>
        <w:t xml:space="preserve">, </w:t>
      </w:r>
      <w:hyperlink w:anchor="idm45965206449520">
        <w:r>
          <w:t>File and Text Operations</w:t>
        </w:r>
      </w:hyperlink>
    </w:p>
    <w:p>
      <w:pPr>
        <w:pStyle w:val="Para 004"/>
      </w:pPr>
      <w:r>
        <w:rPr>
          <w:rStyle w:val="Text2"/>
        </w:rPr>
        <w:t>pathlib module</w:t>
        <w:t xml:space="preserve">, </w:t>
      </w:r>
      <w:hyperlink w:anchor="FTOpathlib11">
        <w:r>
          <w:t>The pathlib Module</w:t>
        </w:r>
      </w:hyperlink>
      <w:r>
        <w:rPr>
          <w:rStyle w:val="Text2"/>
        </w:rPr>
        <w:t>-</w:t>
      </w:r>
      <w:hyperlink w:anchor="idm45965202592080">
        <w:r>
          <w:t>The pathlib Module</w:t>
        </w:r>
      </w:hyperlink>
    </w:p>
    <w:p>
      <w:pPr>
        <w:pStyle w:val="Para 004"/>
      </w:pPr>
      <w:r>
        <w:rPr>
          <w:rStyle w:val="Text2"/>
        </w:rPr>
        <w:t>richer-text I/O</w:t>
        <w:t xml:space="preserve">, </w:t>
      </w:r>
      <w:hyperlink w:anchor="FTOricher11">
        <w:r>
          <w:t>Richer-Text I/O</w:t>
        </w:r>
      </w:hyperlink>
      <w:r>
        <w:rPr>
          <w:rStyle w:val="Text2"/>
        </w:rPr>
        <w:t>-</w:t>
      </w:r>
      <w:hyperlink w:anchor="idm45965201412864">
        <w:r>
          <w:t>The msvcrt module</w:t>
        </w:r>
      </w:hyperlink>
    </w:p>
    <w:p>
      <w:pPr>
        <w:pStyle w:val="Para 004"/>
      </w:pPr>
      <w:r>
        <w:rPr>
          <w:rStyle w:val="Text2"/>
        </w:rPr>
        <w:t>shutil module</w:t>
        <w:t xml:space="preserve">, </w:t>
      </w:r>
      <w:hyperlink w:anchor="FTOshutil11">
        <w:r>
          <w:t>The shutil Module</w:t>
        </w:r>
      </w:hyperlink>
      <w:r>
        <w:rPr>
          <w:rStyle w:val="Text2"/>
        </w:rPr>
        <w:t>-</w:t>
      </w:r>
      <w:hyperlink w:anchor="idm45965202028912">
        <w:r>
          <w:t>The shutil Module</w:t>
        </w:r>
      </w:hyperlink>
    </w:p>
    <w:p>
      <w:pPr>
        <w:pStyle w:val="Para 004"/>
      </w:pPr>
      <w:r>
        <w:rPr>
          <w:rStyle w:val="Text2"/>
        </w:rPr>
        <w:t>stat module</w:t>
        <w:t xml:space="preserve">, </w:t>
      </w:r>
      <w:hyperlink w:anchor="idm45965202585952">
        <w:r>
          <w:t>The stat Module</w:t>
        </w:r>
      </w:hyperlink>
    </w:p>
    <w:p>
      <w:pPr>
        <w:pStyle w:val="Para 004"/>
      </w:pPr>
      <w:r>
        <w:rPr>
          <w:rStyle w:val="Text2"/>
        </w:rPr>
        <w:t>struct module</w:t>
        <w:t xml:space="preserve">, </w:t>
      </w:r>
      <w:hyperlink w:anchor="FTstruct11">
        <w:r>
          <w:t>The struct Module</w:t>
        </w:r>
      </w:hyperlink>
      <w:r>
        <w:rPr>
          <w:rStyle w:val="Text2"/>
        </w:rPr>
        <w:t>-</w:t>
      </w:r>
      <w:hyperlink w:anchor="idm45965205284912">
        <w:r>
          <w:t>The struct Module</w:t>
        </w:r>
      </w:hyperlink>
    </w:p>
    <w:p>
      <w:pPr>
        <w:pStyle w:val="Para 004"/>
      </w:pPr>
      <w:r>
        <w:rPr>
          <w:rStyle w:val="Text2"/>
        </w:rPr>
        <w:t>tempfile module</w:t>
        <w:t xml:space="preserve">, </w:t>
      </w:r>
      <w:hyperlink w:anchor="FTtemp11">
        <w:r>
          <w:t>The tempfile Module</w:t>
        </w:r>
      </w:hyperlink>
      <w:r>
        <w:rPr>
          <w:rStyle w:val="Text2"/>
        </w:rPr>
        <w:t>-</w:t>
      </w:r>
      <w:hyperlink w:anchor="idm45965205699184">
        <w:r>
          <w:t>The tempfile Module</w:t>
        </w:r>
      </w:hyperlink>
    </w:p>
    <w:p>
      <w:pPr>
        <w:pStyle w:val="Para 004"/>
      </w:pPr>
      <w:r>
        <w:rPr>
          <w:rStyle w:val="Text2"/>
        </w:rPr>
        <w:t>text input and output</w:t>
        <w:t xml:space="preserve">, </w:t>
      </w:r>
      <w:hyperlink w:anchor="FTOtinout11">
        <w:r>
          <w:t>Text Input and Output</w:t>
        </w:r>
      </w:hyperlink>
      <w:r>
        <w:rPr>
          <w:rStyle w:val="Text2"/>
        </w:rPr>
        <w:t>-</w:t>
      </w:r>
      <w:hyperlink w:anchor="idm45965201692256">
        <w:r>
          <w:t>The getpass Module</w:t>
        </w:r>
      </w:hyperlink>
    </w:p>
    <w:p>
      <w:pPr>
        <w:pStyle w:val="Para 004"/>
      </w:pPr>
      <w:r>
        <w:rPr>
          <w:rStyle w:val="Text2"/>
        </w:rPr>
        <w:t>file descriptor (fd)</w:t>
        <w:t xml:space="preserve">, </w:t>
      </w:r>
      <w:hyperlink w:anchor="idm45965206332032">
        <w:r>
          <w:t>Creating a File Object with open</w:t>
        </w:r>
      </w:hyperlink>
      <w:r>
        <w:rPr>
          <w:rStyle w:val="Text2"/>
        </w:rPr>
        <w:t xml:space="preserve">, </w:t>
      </w:r>
      <w:hyperlink w:anchor="idm45965204442544">
        <w:r>
          <w:t>File and directory functions of the os module</w:t>
        </w:r>
      </w:hyperlink>
      <w:r>
        <w:rPr>
          <w:rStyle w:val="Text2"/>
        </w:rPr>
        <w:t xml:space="preserve">, </w:t>
      </w:r>
      <w:hyperlink w:anchor="fdescript11">
        <w:r>
          <w:t>File descriptor operations</w:t>
        </w:r>
      </w:hyperlink>
      <w:r>
        <w:rPr>
          <w:rStyle w:val="Text2"/>
        </w:rPr>
        <w:t>-</w:t>
      </w:r>
      <w:hyperlink w:anchor="idm45965203864032">
        <w:r>
          <w:t>File descriptor operations</w:t>
        </w:r>
      </w:hyperlink>
    </w:p>
    <w:p>
      <w:pPr>
        <w:pStyle w:val="Para 004"/>
      </w:pPr>
      <w:r>
        <w:rPr>
          <w:rStyle w:val="Text2"/>
        </w:rPr>
        <w:t>file-like objects</w:t>
        <w:t xml:space="preserve">, </w:t>
      </w:r>
      <w:hyperlink w:anchor="idm45965205952576">
        <w:r>
          <w:t>File-Like Objects and Polymorphism</w:t>
        </w:r>
      </w:hyperlink>
      <w:r>
        <w:rPr>
          <w:rStyle w:val="Text2"/>
        </w:rPr>
        <w:t xml:space="preserve">, </w:t>
      </w:r>
      <w:hyperlink w:anchor="idm45965205276256">
        <w:r>
          <w:t>In-Memory Files: io.StringIO and io.BytesIO</w:t>
        </w:r>
      </w:hyperlink>
    </w:p>
    <w:p>
      <w:pPr>
        <w:pStyle w:val="Para 004"/>
      </w:pPr>
      <w:r>
        <w:rPr>
          <w:rStyle w:val="Text2"/>
        </w:rPr>
        <w:t>filecmp module</w:t>
        <w:t xml:space="preserve">, </w:t>
      </w:r>
      <w:hyperlink w:anchor="filecmpmod11">
        <w:r>
          <w:t>The filecmp Module</w:t>
        </w:r>
      </w:hyperlink>
      <w:r>
        <w:rPr>
          <w:rStyle w:val="Text2"/>
        </w:rPr>
        <w:t>-</w:t>
      </w:r>
      <w:hyperlink w:anchor="idm45965202372112">
        <w:r>
          <w:t>The filecmp Module</w:t>
        </w:r>
      </w:hyperlink>
    </w:p>
    <w:p>
      <w:pPr>
        <w:pStyle w:val="Para 003"/>
      </w:pPr>
      <w:r>
        <w:t>FileInput class (fileinput module)</w:t>
        <w:t xml:space="preserve">, </w:t>
      </w:r>
      <w:hyperlink w:anchor="idm45965205673936">
        <w:r>
          <w:rPr>
            <w:rStyle w:val="Text1"/>
          </w:rPr>
          <w:t>The fileinput Module</w:t>
        </w:r>
      </w:hyperlink>
    </w:p>
    <w:p>
      <w:pPr>
        <w:pStyle w:val="Para 004"/>
      </w:pPr>
      <w:r>
        <w:rPr>
          <w:rStyle w:val="Text2"/>
        </w:rPr>
        <w:t>fileinput module</w:t>
        <w:t xml:space="preserve">, </w:t>
      </w:r>
      <w:hyperlink w:anchor="fileinput11">
        <w:r>
          <w:t>The fileinput Module</w:t>
        </w:r>
      </w:hyperlink>
      <w:r>
        <w:rPr>
          <w:rStyle w:val="Text2"/>
        </w:rPr>
        <w:t>-</w:t>
      </w:r>
      <w:hyperlink w:anchor="idm45965205539904">
        <w:r>
          <w:t>The fileinput Module</w:t>
        </w:r>
      </w:hyperlink>
    </w:p>
    <w:p>
      <w:pPr>
        <w:pStyle w:val="Para 003"/>
      </w:pPr>
      <w:r>
        <w:t>filelineno (fileinput module)</w:t>
        <w:t xml:space="preserve">, </w:t>
      </w:r>
      <w:hyperlink w:anchor="idm45965205611456">
        <w:r>
          <w:rPr>
            <w:rStyle w:val="Text1"/>
          </w:rPr>
          <w:t>The fileinput Module</w:t>
        </w:r>
      </w:hyperlink>
    </w:p>
    <w:p>
      <w:pPr>
        <w:pStyle w:val="Para 003"/>
      </w:pPr>
      <w:r>
        <w:t>filename (fileinput module)</w:t>
        <w:t xml:space="preserve">, </w:t>
      </w:r>
      <w:hyperlink w:anchor="idm45965205607056">
        <w:r>
          <w:rPr>
            <w:rStyle w:val="Text1"/>
          </w:rPr>
          <w:t>The fileinput Module</w:t>
        </w:r>
      </w:hyperlink>
    </w:p>
    <w:p>
      <w:pPr>
        <w:pStyle w:val="Para 003"/>
      </w:pPr>
      <w:r>
        <w:t>filename matching</w:t>
        <w:t xml:space="preserve">, </w:t>
      </w:r>
      <w:hyperlink w:anchor="idm45965202363536">
        <w:r>
          <w:rPr>
            <w:rStyle w:val="Text1"/>
          </w:rPr>
          <w:t>The fnmatch Module</w:t>
        </w:r>
      </w:hyperlink>
    </w:p>
    <w:p>
      <w:pPr>
        <w:pStyle w:val="Para 003"/>
      </w:pPr>
      <w:r>
        <w:t>fileno method</w:t>
      </w:r>
    </w:p>
    <w:p>
      <w:pPr>
        <w:pStyle w:val="Para 003"/>
      </w:pPr>
      <w:r>
        <w:t>socket module</w:t>
        <w:t xml:space="preserve">, </w:t>
      </w:r>
      <w:hyperlink w:anchor="idm45965177320720">
        <w:r>
          <w:rPr>
            <w:rStyle w:val="Text1"/>
          </w:rPr>
          <w:t>Socket Objects</w:t>
        </w:r>
      </w:hyperlink>
    </w:p>
    <w:p>
      <w:pPr>
        <w:pStyle w:val="Para 003"/>
      </w:pPr>
      <w:r>
        <w:t>fileno method)</w:t>
      </w:r>
    </w:p>
    <w:p>
      <w:pPr>
        <w:pStyle w:val="Para 004"/>
      </w:pPr>
      <w:r>
        <w:rPr>
          <w:rStyle w:val="Text2"/>
        </w:rPr>
        <w:t>file object</w:t>
        <w:t xml:space="preserve">, </w:t>
      </w:r>
      <w:hyperlink w:anchor="idm45965206153200">
        <w:r>
          <w:t>Attributes and Methods of File Objects</w:t>
        </w:r>
      </w:hyperlink>
    </w:p>
    <w:p>
      <w:pPr>
        <w:pStyle w:val="Para 003"/>
      </w:pPr>
      <w:r>
        <w:t>filesystem</w:t>
      </w:r>
    </w:p>
    <w:p>
      <w:pPr>
        <w:pStyle w:val="Para 004"/>
      </w:pPr>
      <w:r>
        <w:rPr>
          <w:rStyle w:val="Text2"/>
        </w:rPr>
        <w:t>definition of term</w:t>
        <w:t xml:space="preserve">, </w:t>
      </w:r>
      <w:hyperlink w:anchor="idm45965206463280">
        <w:r>
          <w:t>File and Text Operations</w:t>
        </w:r>
      </w:hyperlink>
    </w:p>
    <w:p>
      <w:pPr>
        <w:pStyle w:val="Para 004"/>
      </w:pPr>
      <w:r>
        <w:rPr>
          <w:rStyle w:val="Text2"/>
        </w:rPr>
        <w:t>searching for modules</w:t>
        <w:t xml:space="preserve">, </w:t>
      </w:r>
      <w:hyperlink w:anchor="FSmod07">
        <w:r>
          <w:t>Searching the Filesystem for a Module</w:t>
        </w:r>
      </w:hyperlink>
      <w:r>
        <w:rPr>
          <w:rStyle w:val="Text2"/>
        </w:rPr>
        <w:t>-</w:t>
      </w:r>
      <w:hyperlink w:anchor="idm45965254188896">
        <w:r>
          <w:t>Searching the Filesystem for a Module</w:t>
        </w:r>
      </w:hyperlink>
    </w:p>
    <w:p>
      <w:pPr>
        <w:pStyle w:val="Para 003"/>
      </w:pPr>
      <w:r>
        <w:t>filesystem operations (os module)</w:t>
      </w:r>
    </w:p>
    <w:p>
      <w:pPr>
        <w:pStyle w:val="Para 004"/>
      </w:pPr>
      <w:r>
        <w:rPr>
          <w:rStyle w:val="Text2"/>
        </w:rPr>
        <w:t>file and directory functions</w:t>
        <w:t xml:space="preserve">, </w:t>
      </w:r>
      <w:hyperlink w:anchor="FOfiledir11">
        <w:r>
          <w:t>File and directory functions of the os module</w:t>
        </w:r>
      </w:hyperlink>
      <w:r>
        <w:rPr>
          <w:rStyle w:val="Text2"/>
        </w:rPr>
        <w:t>-</w:t>
      </w:r>
      <w:hyperlink w:anchor="idm45965204003776">
        <w:r>
          <w:t>File and directory functions of the os module</w:t>
        </w:r>
      </w:hyperlink>
    </w:p>
    <w:p>
      <w:pPr>
        <w:pStyle w:val="Para 004"/>
      </w:pPr>
      <w:r>
        <w:rPr>
          <w:rStyle w:val="Text2"/>
        </w:rPr>
        <w:t>file descriptor operations</w:t>
        <w:t xml:space="preserve">, </w:t>
      </w:r>
      <w:hyperlink w:anchor="FSOfdes11">
        <w:r>
          <w:t>File descriptor operations</w:t>
        </w:r>
      </w:hyperlink>
      <w:r>
        <w:rPr>
          <w:rStyle w:val="Text2"/>
        </w:rPr>
        <w:t>-</w:t>
      </w:r>
      <w:hyperlink w:anchor="idm45965203862688">
        <w:r>
          <w:t>File descriptor operations</w:t>
        </w:r>
      </w:hyperlink>
    </w:p>
    <w:p>
      <w:pPr>
        <w:pStyle w:val="Para 004"/>
      </w:pPr>
      <w:r>
        <w:rPr>
          <w:rStyle w:val="Text2"/>
        </w:rPr>
        <w:t>path-string attributes</w:t>
        <w:t xml:space="preserve">, </w:t>
      </w:r>
      <w:hyperlink w:anchor="idm45965204504976">
        <w:r>
          <w:t>Path-string attributes of the os module</w:t>
        </w:r>
      </w:hyperlink>
    </w:p>
    <w:p>
      <w:pPr>
        <w:pStyle w:val="Para 003"/>
      </w:pPr>
      <w:r>
        <w:t>permissions</w:t>
        <w:t xml:space="preserve">, </w:t>
      </w:r>
      <w:hyperlink w:anchor="idm45965204464400">
        <w:r>
          <w:rPr>
            <w:rStyle w:val="Text1"/>
          </w:rPr>
          <w:t>Permissions</w:t>
        </w:r>
      </w:hyperlink>
    </w:p>
    <w:p>
      <w:pPr>
        <w:pStyle w:val="Para 004"/>
      </w:pPr>
      <w:r>
        <w:rPr>
          <w:rStyle w:val="Text2"/>
        </w:rPr>
        <w:t>fill (textwrap module)</w:t>
        <w:t xml:space="preserve">, </w:t>
      </w:r>
      <w:hyperlink w:anchor="idm45965209439536">
        <w:r>
          <w:t>Text Wrapping and Filling</w:t>
        </w:r>
      </w:hyperlink>
    </w:p>
    <w:p>
      <w:pPr>
        <w:pStyle w:val="Para 003"/>
      </w:pPr>
      <w:r>
        <w:t>fill character (f-strings)</w:t>
        <w:t xml:space="preserve">, </w:t>
      </w:r>
      <w:hyperlink w:anchor="idm45965211287648">
        <w:r>
          <w:rPr>
            <w:rStyle w:val="Text1"/>
          </w:rPr>
          <w:t>Fill and alignment</w:t>
        </w:r>
      </w:hyperlink>
    </w:p>
    <w:p>
      <w:pPr>
        <w:pStyle w:val="Para 003"/>
      </w:pPr>
      <w:r>
        <w:t>filter (built-in function)</w:t>
        <w:t xml:space="preserve">, </w:t>
      </w:r>
      <w:hyperlink w:anchor="idm45965216005888">
        <w:r>
          <w:rPr>
            <w:rStyle w:val="Text1"/>
          </w:rPr>
          <w:t>Built-in Functions</w:t>
        </w:r>
      </w:hyperlink>
    </w:p>
    <w:p>
      <w:pPr>
        <w:pStyle w:val="Para 003"/>
      </w:pPr>
      <w:r>
        <w:t>filter (fnmatch module)</w:t>
        <w:t xml:space="preserve">, </w:t>
      </w:r>
      <w:hyperlink w:anchor="idm45965202326560">
        <w:r>
          <w:rPr>
            <w:rStyle w:val="Text1"/>
          </w:rPr>
          <w:t>The fnmatch Module</w:t>
        </w:r>
      </w:hyperlink>
    </w:p>
    <w:p>
      <w:pPr>
        <w:pStyle w:val="Para 003"/>
      </w:pPr>
      <w:r>
        <w:t>filterfalse (itertools module)</w:t>
        <w:t xml:space="preserve">, </w:t>
      </w:r>
      <w:hyperlink w:anchor="idm45965213494208">
        <w:r>
          <w:rPr>
            <w:rStyle w:val="Text1"/>
          </w:rPr>
          <w:t>The itertools Module</w:t>
        </w:r>
      </w:hyperlink>
    </w:p>
    <w:p>
      <w:pPr>
        <w:pStyle w:val="Para 004"/>
      </w:pPr>
      <w:r>
        <w:rPr>
          <w:rStyle w:val="Text2"/>
        </w:rPr>
        <w:t>final (typing module)</w:t>
        <w:t xml:space="preserve">, </w:t>
      </w:r>
      <w:hyperlink w:anchor="idm45965268101488">
        <w:r>
          <w:t>Utilities and Decorators</w:t>
        </w:r>
      </w:hyperlink>
    </w:p>
    <w:p>
      <w:pPr>
        <w:pStyle w:val="Para 004"/>
      </w:pPr>
      <w:r>
        <w:rPr>
          <w:rStyle w:val="Text2"/>
        </w:rPr>
        <w:t>finalization</w:t>
        <w:t xml:space="preserve">, </w:t>
      </w:r>
      <w:hyperlink w:anchor="idm45965265042768">
        <w:r>
          <w:t>General-Purpose Special Methods</w:t>
        </w:r>
      </w:hyperlink>
    </w:p>
    <w:p>
      <w:pPr>
        <w:pStyle w:val="Para 003"/>
      </w:pPr>
      <w:r>
        <w:t>finally clauses</w:t>
        <w:t xml:space="preserve">, </w:t>
      </w:r>
      <w:hyperlink w:anchor="idm45965260255792">
        <w:r>
          <w:rPr>
            <w:rStyle w:val="Text1"/>
          </w:rPr>
          <w:t>try/finally</w:t>
        </w:r>
      </w:hyperlink>
    </w:p>
    <w:p>
      <w:pPr>
        <w:pStyle w:val="Para 003"/>
      </w:pPr>
      <w:r>
        <w:t>find method</w:t>
      </w:r>
    </w:p>
    <w:p>
      <w:pPr>
        <w:pStyle w:val="Para 004"/>
      </w:pPr>
      <w:r>
        <w:rPr>
          <w:rStyle w:val="Text2"/>
        </w:rPr>
        <w:t>bs4.BeautifulSoup</w:t>
        <w:t xml:space="preserve">, </w:t>
      </w:r>
      <w:hyperlink w:anchor="idm45965170902160">
        <w:r>
          <w:t>bs4 find… Methods (aka Search Methods)</w:t>
        </w:r>
      </w:hyperlink>
    </w:p>
    <w:p>
      <w:pPr>
        <w:pStyle w:val="Para 003"/>
      </w:pPr>
      <w:r>
        <w:t>ElementTree.Element</w:t>
        <w:t xml:space="preserve">, </w:t>
      </w:r>
      <w:hyperlink w:anchor="idm45965168917104">
        <w:r>
          <w:rPr>
            <w:rStyle w:val="Text1"/>
          </w:rPr>
          <w:t>The Element Class</w:t>
        </w:r>
      </w:hyperlink>
    </w:p>
    <w:p>
      <w:pPr>
        <w:pStyle w:val="Para 004"/>
      </w:pPr>
      <w:r>
        <w:rPr>
          <w:rStyle w:val="Text2"/>
        </w:rPr>
        <w:t>mmap module</w:t>
        <w:t xml:space="preserve">, </w:t>
      </w:r>
      <w:hyperlink w:anchor="idm45965188526272">
        <w:r>
          <w:t>Methods of mmap Objects</w:t>
        </w:r>
      </w:hyperlink>
    </w:p>
    <w:p>
      <w:pPr>
        <w:pStyle w:val="Para 004"/>
      </w:pPr>
      <w:r>
        <w:rPr>
          <w:rStyle w:val="Text2"/>
        </w:rPr>
        <w:t>string and bytes types</w:t>
        <w:t xml:space="preserve">, </w:t>
      </w:r>
      <w:hyperlink w:anchor="idm45965212696656">
        <w:r>
          <w:t>Methods of String Objects</w:t>
        </w:r>
      </w:hyperlink>
    </w:p>
    <w:p>
      <w:pPr>
        <w:pStyle w:val="Para 004"/>
      </w:pPr>
      <w:r>
        <w:rPr>
          <w:rStyle w:val="Text2"/>
        </w:rPr>
        <w:t>first-class objects</w:t>
        <w:t xml:space="preserve">, </w:t>
      </w:r>
      <w:hyperlink w:anchor="idm45965258624240">
        <w:r>
          <w:t>Plain assignment</w:t>
        </w:r>
      </w:hyperlink>
      <w:r>
        <w:rPr>
          <w:rStyle w:val="Text2"/>
        </w:rPr>
        <w:t xml:space="preserve">, </w:t>
      </w:r>
      <w:hyperlink w:anchor="idm45965270579264">
        <w:r>
          <w:t>Functions</w:t>
        </w:r>
      </w:hyperlink>
    </w:p>
    <w:p>
      <w:pPr>
        <w:pStyle w:val="Para 004"/>
      </w:pPr>
      <w:r>
        <w:rPr>
          <w:rStyle w:val="Text2"/>
        </w:rPr>
        <w:t>flake 8 tool</w:t>
        <w:t xml:space="preserve">, </w:t>
      </w:r>
      <w:hyperlink w:anchor="idm45965276442512">
        <w:r>
          <w:t>Tools for Checking Python Programs</w:t>
        </w:r>
      </w:hyperlink>
    </w:p>
    <w:p>
      <w:pPr>
        <w:pStyle w:val="Para 004"/>
      </w:pPr>
      <w:r>
        <w:rPr>
          <w:rStyle w:val="Text2"/>
        </w:rPr>
        <w:t>Flask</w:t>
        <w:t xml:space="preserve">, </w:t>
      </w:r>
      <w:hyperlink w:anchor="flask20">
        <w:r>
          <w:t>Flask</w:t>
        </w:r>
      </w:hyperlink>
      <w:r>
        <w:rPr>
          <w:rStyle w:val="Text2"/>
        </w:rPr>
        <w:t>-</w:t>
      </w:r>
      <w:hyperlink w:anchor="idm45965174463552">
        <w:r>
          <w:t>Flask response objects</w:t>
        </w:r>
      </w:hyperlink>
    </w:p>
    <w:p>
      <w:pPr>
        <w:pStyle w:val="Para 004"/>
      </w:pPr>
      <w:r>
        <w:rPr>
          <w:rStyle w:val="Text2"/>
        </w:rPr>
        <w:t>flit tool</w:t>
        <w:t xml:space="preserve">, </w:t>
      </w:r>
      <w:hyperlink w:anchor="idm45965162871376">
        <w:r>
          <w:t>Packaging Programs and Extensions</w:t>
        </w:r>
      </w:hyperlink>
    </w:p>
    <w:p>
      <w:pPr>
        <w:pStyle w:val="Para 003"/>
      </w:pPr>
      <w:r>
        <w:t>float (built-in type)</w:t>
        <w:t xml:space="preserve">, </w:t>
      </w:r>
      <w:hyperlink w:anchor="idm45965216677408">
        <w:r>
          <w:rPr>
            <w:rStyle w:val="Text1"/>
          </w:rPr>
          <w:t>Built-in Types</w:t>
        </w:r>
      </w:hyperlink>
    </w:p>
    <w:p>
      <w:pPr>
        <w:pStyle w:val="Para 004"/>
      </w:pPr>
      <w:r>
        <w:rPr>
          <w:rStyle w:val="Text2"/>
        </w:rPr>
        <w:t>float methods</w:t>
        <w:t xml:space="preserve">, </w:t>
      </w:r>
      <w:hyperlink w:anchor="idm45965282646736">
        <w:r>
          <w:t>Floating-point numbers</w:t>
        </w:r>
      </w:hyperlink>
    </w:p>
    <w:p>
      <w:pPr>
        <w:pStyle w:val="Para 003"/>
      </w:pPr>
      <w:r>
        <w:t>floating-point numbers</w:t>
      </w:r>
    </w:p>
    <w:p>
      <w:pPr>
        <w:pStyle w:val="Para 004"/>
      </w:pPr>
      <w:r>
        <w:rPr>
          <w:rStyle w:val="Text2"/>
        </w:rPr>
        <w:t>basics of</w:t>
        <w:t xml:space="preserve">, </w:t>
      </w:r>
      <w:hyperlink w:anchor="idm45965282714576">
        <w:r>
          <w:t>Floating-point numbers</w:t>
        </w:r>
      </w:hyperlink>
    </w:p>
    <w:p>
      <w:pPr>
        <w:pStyle w:val="Para 003"/>
      </w:pPr>
      <w:r>
        <w:t>caching and</w:t>
        <w:t xml:space="preserve">, </w:t>
      </w:r>
      <w:hyperlink w:anchor="idm45965178724800">
        <w:r>
          <w:rPr>
            <w:rStyle w:val="Text1"/>
          </w:rPr>
          <w:t>Memoizing</w:t>
        </w:r>
      </w:hyperlink>
    </w:p>
    <w:p>
      <w:pPr>
        <w:pStyle w:val="Para 003"/>
      </w:pPr>
      <w:r>
        <w:t>comparing for equality</w:t>
        <w:t xml:space="preserve">, </w:t>
      </w:r>
      <w:hyperlink w:anchor="idm45965276181920">
        <w:r>
          <w:rPr>
            <w:rStyle w:val="Text1"/>
          </w:rPr>
          <w:t>Comparisons</w:t>
        </w:r>
      </w:hyperlink>
    </w:p>
    <w:p>
      <w:pPr>
        <w:pStyle w:val="Para 004"/>
      </w:pPr>
      <w:r>
        <w:rPr>
          <w:rStyle w:val="Text2"/>
        </w:rPr>
        <w:t>decimal numbers</w:t>
        <w:t xml:space="preserve">, </w:t>
      </w:r>
      <w:hyperlink w:anchor="idm45965185992720">
        <w:r>
          <w:t>The decimal Module</w:t>
        </w:r>
      </w:hyperlink>
    </w:p>
    <w:p>
      <w:pPr>
        <w:pStyle w:val="Para 003"/>
      </w:pPr>
      <w:r>
        <w:t>formatting</w:t>
        <w:t xml:space="preserve">, </w:t>
      </w:r>
      <w:hyperlink w:anchor="idm45965210456848">
        <w:r>
          <w:rPr>
            <w:rStyle w:val="Text1"/>
          </w:rPr>
          <w:t>Format type</w:t>
        </w:r>
      </w:hyperlink>
    </w:p>
    <w:p>
      <w:pPr>
        <w:pStyle w:val="Para 004"/>
      </w:pPr>
      <w:r>
        <w:rPr>
          <w:rStyle w:val="Text2"/>
        </w:rPr>
        <w:t>numeric processing of</w:t>
        <w:t xml:space="preserve">, </w:t>
      </w:r>
      <w:hyperlink w:anchor="FPNnumeric16">
        <w:r>
          <w:t>Floating-Point Values</w:t>
        </w:r>
      </w:hyperlink>
      <w:r>
        <w:rPr>
          <w:rStyle w:val="Text2"/>
        </w:rPr>
        <w:t>-</w:t>
      </w:r>
      <w:hyperlink w:anchor="idm45965187526240">
        <w:r>
          <w:t>Floating-Point Values</w:t>
        </w:r>
      </w:hyperlink>
    </w:p>
    <w:p>
      <w:pPr>
        <w:pStyle w:val="Para 003"/>
      </w:pPr>
      <w:r>
        <w:t>floor division operator (//)</w:t>
        <w:t xml:space="preserve">, </w:t>
      </w:r>
      <w:hyperlink w:anchor="idm45965276251872">
        <w:r>
          <w:rPr>
            <w:rStyle w:val="Text1"/>
          </w:rPr>
          <w:t>Division</w:t>
        </w:r>
      </w:hyperlink>
    </w:p>
    <w:p>
      <w:pPr>
        <w:pStyle w:val="Para 004"/>
      </w:pPr>
      <w:r>
        <w:rPr>
          <w:rStyle w:val="Text2"/>
        </w:rPr>
        <w:t>fnmatch module</w:t>
        <w:t xml:space="preserve">, </w:t>
      </w:r>
      <w:hyperlink w:anchor="idm45965202364672">
        <w:r>
          <w:t>The fnmatch Module</w:t>
        </w:r>
      </w:hyperlink>
    </w:p>
    <w:p>
      <w:pPr>
        <w:pStyle w:val="Para 004"/>
      </w:pPr>
      <w:r>
        <w:rPr>
          <w:rStyle w:val="Text2"/>
        </w:rPr>
        <w:t>for statement</w:t>
        <w:t xml:space="preserve">, </w:t>
      </w:r>
      <w:hyperlink w:anchor="forstate03">
        <w:r>
          <w:t>The for Statement</w:t>
        </w:r>
      </w:hyperlink>
      <w:r>
        <w:rPr>
          <w:rStyle w:val="Text2"/>
        </w:rPr>
        <w:t>-</w:t>
      </w:r>
      <w:hyperlink w:anchor="idm45965257503760">
        <w:r>
          <w:t>Dictionary comprehensions</w:t>
        </w:r>
      </w:hyperlink>
    </w:p>
    <w:p>
      <w:pPr>
        <w:pStyle w:val="Para 004"/>
      </w:pPr>
      <w:r>
        <w:rPr>
          <w:rStyle w:val="Text2"/>
        </w:rPr>
        <w:t>basics of</w:t>
        <w:t xml:space="preserve">, </w:t>
      </w:r>
      <w:hyperlink w:anchor="idm45965274581280">
        <w:r>
          <w:t>The for Statement</w:t>
        </w:r>
      </w:hyperlink>
    </w:p>
    <w:p>
      <w:pPr>
        <w:pStyle w:val="Para 003"/>
      </w:pPr>
      <w:r>
        <w:t>dictionary comprehensions</w:t>
        <w:t xml:space="preserve">, </w:t>
      </w:r>
      <w:hyperlink w:anchor="idm45965257535712">
        <w:r>
          <w:rPr>
            <w:rStyle w:val="Text1"/>
          </w:rPr>
          <w:t>Dictionary comprehensions</w:t>
        </w:r>
      </w:hyperlink>
    </w:p>
    <w:p>
      <w:pPr>
        <w:pStyle w:val="Para 003"/>
      </w:pPr>
      <w:r>
        <w:t>iterables versus iterators</w:t>
        <w:t xml:space="preserve">, </w:t>
      </w:r>
      <w:hyperlink w:anchor="idm45965275845520">
        <w:r>
          <w:rPr>
            <w:rStyle w:val="Text1"/>
          </w:rPr>
          <w:t>Iterables versus iterators</w:t>
        </w:r>
      </w:hyperlink>
    </w:p>
    <w:p>
      <w:pPr>
        <w:pStyle w:val="Para 003"/>
      </w:pPr>
      <w:r>
        <w:t>iterators</w:t>
        <w:t xml:space="preserve">, </w:t>
      </w:r>
      <w:hyperlink w:anchor="idm45965275998912">
        <w:r>
          <w:rPr>
            <w:rStyle w:val="Text1"/>
          </w:rPr>
          <w:t>Iterators</w:t>
        </w:r>
      </w:hyperlink>
    </w:p>
    <w:p>
      <w:pPr>
        <w:pStyle w:val="Para 003"/>
      </w:pPr>
      <w:r>
        <w:t>list comprehensions (listcomps)</w:t>
        <w:t xml:space="preserve">, </w:t>
      </w:r>
      <w:hyperlink w:anchor="idm45965257982256">
        <w:r>
          <w:rPr>
            <w:rStyle w:val="Text1"/>
          </w:rPr>
          <w:t>List comprehensions</w:t>
        </w:r>
      </w:hyperlink>
    </w:p>
    <w:p>
      <w:pPr>
        <w:pStyle w:val="Para 003"/>
      </w:pPr>
      <w:r>
        <w:t>mutable objects and</w:t>
        <w:t xml:space="preserve">, </w:t>
      </w:r>
      <w:hyperlink w:anchor="idm45965276061600">
        <w:r>
          <w:rPr>
            <w:rStyle w:val="Text1"/>
          </w:rPr>
          <w:t>The for Statement</w:t>
        </w:r>
      </w:hyperlink>
    </w:p>
    <w:p>
      <w:pPr>
        <w:pStyle w:val="Para 003"/>
      </w:pPr>
      <w:r>
        <w:t>range function</w:t>
        <w:t xml:space="preserve">, </w:t>
      </w:r>
      <w:hyperlink w:anchor="idm45965275715792">
        <w:r>
          <w:rPr>
            <w:rStyle w:val="Text1"/>
          </w:rPr>
          <w:t>range</w:t>
        </w:r>
      </w:hyperlink>
    </w:p>
    <w:p>
      <w:pPr>
        <w:pStyle w:val="Para 003"/>
      </w:pPr>
      <w:r>
        <w:t>set comprehensions</w:t>
        <w:t xml:space="preserve">, </w:t>
      </w:r>
      <w:hyperlink w:anchor="idm45965257567904">
        <w:r>
          <w:rPr>
            <w:rStyle w:val="Text1"/>
          </w:rPr>
          <w:t>Set comprehensions</w:t>
        </w:r>
      </w:hyperlink>
    </w:p>
    <w:p>
      <w:pPr>
        <w:pStyle w:val="Para 004"/>
      </w:pPr>
      <w:r>
        <w:rPr>
          <w:rStyle w:val="Text2"/>
        </w:rPr>
        <w:t>syntax of</w:t>
        <w:t xml:space="preserve">, </w:t>
      </w:r>
      <w:hyperlink w:anchor="idm45965274587792">
        <w:r>
          <w:t>The for Statement</w:t>
        </w:r>
      </w:hyperlink>
    </w:p>
    <w:p>
      <w:pPr>
        <w:pStyle w:val="Para 003"/>
      </w:pPr>
      <w:r>
        <w:t>form feed (\f)</w:t>
        <w:t xml:space="preserve">, </w:t>
      </w:r>
      <w:hyperlink w:anchor="idm45965279008544">
        <w:r>
          <w:rPr>
            <w:rStyle w:val="Text1"/>
          </w:rPr>
          <w:t>Strings</w:t>
        </w:r>
      </w:hyperlink>
    </w:p>
    <w:p>
      <w:pPr>
        <w:pStyle w:val="Para 003"/>
      </w:pPr>
      <w:r>
        <w:t>formal parameters</w:t>
        <w:t xml:space="preserve">, </w:t>
      </w:r>
      <w:hyperlink w:anchor="idm45965262658304">
        <w:r>
          <w:rPr>
            <w:rStyle w:val="Text1"/>
          </w:rPr>
          <w:t>Parameters</w:t>
        </w:r>
      </w:hyperlink>
    </w:p>
    <w:p>
      <w:pPr>
        <w:pStyle w:val="Para 003"/>
      </w:pPr>
      <w:r>
        <w:t>format (built-in function)</w:t>
        <w:t xml:space="preserve">, </w:t>
      </w:r>
      <w:hyperlink w:anchor="idm45965215940416">
        <w:r>
          <w:rPr>
            <w:rStyle w:val="Text1"/>
          </w:rPr>
          <w:t>Built-in Functions</w:t>
        </w:r>
      </w:hyperlink>
    </w:p>
    <w:p>
      <w:pPr>
        <w:pStyle w:val="Para 004"/>
      </w:pPr>
      <w:r>
        <w:rPr>
          <w:rStyle w:val="Text2"/>
        </w:rPr>
        <w:t>format (str method)</w:t>
        <w:t xml:space="preserve">, </w:t>
      </w:r>
      <w:hyperlink w:anchor="idm45965212677200">
        <w:r>
          <w:t>Methods of String Objects</w:t>
        </w:r>
      </w:hyperlink>
      <w:r>
        <w:rPr>
          <w:rStyle w:val="Text2"/>
        </w:rPr>
        <w:t xml:space="preserve">, </w:t>
      </w:r>
      <w:hyperlink w:anchor="idm45965211995232">
        <w:r>
          <w:t>Formatted String Literals (F-Strings)</w:t>
        </w:r>
      </w:hyperlink>
    </w:p>
    <w:p>
      <w:pPr>
        <w:pStyle w:val="Para 004"/>
      </w:pPr>
      <w:r>
        <w:rPr>
          <w:rStyle w:val="Text2"/>
        </w:rPr>
        <w:t>format calls</w:t>
        <w:t xml:space="preserve">, </w:t>
      </w:r>
      <w:hyperlink w:anchor="idm45965211821648">
        <w:r>
          <w:t>Formatting Using format Calls</w:t>
        </w:r>
      </w:hyperlink>
    </w:p>
    <w:p>
      <w:pPr>
        <w:pStyle w:val="Para 003"/>
      </w:pPr>
      <w:r>
        <w:t>format specifier</w:t>
      </w:r>
    </w:p>
    <w:p>
      <w:pPr>
        <w:pStyle w:val="Para 004"/>
      </w:pPr>
      <w:r>
        <w:rPr>
          <w:rStyle w:val="Text2"/>
        </w:rPr>
        <w:t>f-strings</w:t>
        <w:t xml:space="preserve">, </w:t>
      </w:r>
      <w:hyperlink w:anchor="fspec09">
        <w:r>
          <w:t>Value Formatting: The Format Specifier</w:t>
        </w:r>
      </w:hyperlink>
      <w:r>
        <w:rPr>
          <w:rStyle w:val="Text2"/>
        </w:rPr>
        <w:t>-</w:t>
      </w:r>
      <w:hyperlink w:anchor="idm45965210429984">
        <w:r>
          <w:t>Format type</w:t>
        </w:r>
      </w:hyperlink>
    </w:p>
    <w:p>
      <w:pPr>
        <w:pStyle w:val="Para 003"/>
      </w:pPr>
      <w:r>
        <w:t>legacy str formatting</w:t>
        <w:t xml:space="preserve">, </w:t>
      </w:r>
      <w:hyperlink w:anchor="idm45965209529488">
        <w:r>
          <w:rPr>
            <w:rStyle w:val="Text1"/>
          </w:rPr>
          <w:t>Format Specifier Syntax</w:t>
        </w:r>
      </w:hyperlink>
    </w:p>
    <w:p>
      <w:pPr>
        <w:pStyle w:val="Para 003"/>
      </w:pPr>
      <w:r>
        <w:t>format types</w:t>
        <w:t xml:space="preserve">, </w:t>
      </w:r>
      <w:hyperlink w:anchor="idm45965210500416">
        <w:r>
          <w:rPr>
            <w:rStyle w:val="Text1"/>
          </w:rPr>
          <w:t>Format type</w:t>
        </w:r>
      </w:hyperlink>
    </w:p>
    <w:p>
      <w:pPr>
        <w:pStyle w:val="Para 003"/>
      </w:pPr>
      <w:r>
        <w:t>formatargspec (inspect module)</w:t>
        <w:t xml:space="preserve">, </w:t>
      </w:r>
      <w:hyperlink w:anchor="idm45965182398112">
        <w:r>
          <w:rPr>
            <w:rStyle w:val="Text1"/>
          </w:rPr>
          <w:t>The inspect Module</w:t>
        </w:r>
      </w:hyperlink>
    </w:p>
    <w:p>
      <w:pPr>
        <w:pStyle w:val="Para 003"/>
      </w:pPr>
      <w:r>
        <w:t>formatargvalues (inspect module)</w:t>
        <w:t xml:space="preserve">, </w:t>
      </w:r>
      <w:hyperlink w:anchor="idm45965182388608">
        <w:r>
          <w:rPr>
            <w:rStyle w:val="Text1"/>
          </w:rPr>
          <w:t>The inspect Module</w:t>
        </w:r>
      </w:hyperlink>
    </w:p>
    <w:p>
      <w:pPr>
        <w:pStyle w:val="Para 004"/>
      </w:pPr>
      <w:r>
        <w:rPr>
          <w:rStyle w:val="Text2"/>
        </w:rPr>
        <w:t>formatted string literals (f-strings)</w:t>
        <w:t xml:space="preserve">, </w:t>
      </w:r>
      <w:hyperlink w:anchor="idm45965278914768">
        <w:r>
          <w:t>Strings</w:t>
        </w:r>
      </w:hyperlink>
      <w:r>
        <w:rPr>
          <w:rStyle w:val="Text2"/>
        </w:rPr>
        <w:t xml:space="preserve">, </w:t>
      </w:r>
      <w:hyperlink w:anchor="idm45965212100096">
        <w:r>
          <w:t>Formatted String Literals (F-Strings)</w:t>
        </w:r>
      </w:hyperlink>
    </w:p>
    <w:p>
      <w:pPr>
        <w:pStyle w:val="Para 003"/>
      </w:pPr>
      <w:r>
        <w:t>format_map method (str method)</w:t>
        <w:t xml:space="preserve">, </w:t>
      </w:r>
      <w:hyperlink w:anchor="idm45965212668864">
        <w:r>
          <w:rPr>
            <w:rStyle w:val="Text1"/>
          </w:rPr>
          <w:t>Methods of String Objects</w:t>
        </w:r>
      </w:hyperlink>
    </w:p>
    <w:p>
      <w:pPr>
        <w:pStyle w:val="Para 003"/>
      </w:pPr>
      <w:r>
        <w:t>forward-referencing types</w:t>
        <w:t xml:space="preserve">, </w:t>
      </w:r>
      <w:hyperlink w:anchor="idm45965268698208">
        <w:r>
          <w:rPr>
            <w:rStyle w:val="Text1"/>
          </w:rPr>
          <w:t>Type Annotation Syntax</w:t>
        </w:r>
      </w:hyperlink>
    </w:p>
    <w:p>
      <w:pPr>
        <w:pStyle w:val="Para 004"/>
      </w:pPr>
      <w:r>
        <w:rPr>
          <w:rStyle w:val="Text2"/>
        </w:rPr>
        <w:t>fractions module</w:t>
        <w:t xml:space="preserve">, </w:t>
      </w:r>
      <w:hyperlink w:anchor="idm45965186248624">
        <w:r>
          <w:t>The fractions Module</w:t>
        </w:r>
      </w:hyperlink>
    </w:p>
    <w:p>
      <w:pPr>
        <w:pStyle w:val="Para 003"/>
      </w:pPr>
      <w:r>
        <w:t>frame objects</w:t>
        <w:t xml:space="preserve">, </w:t>
      </w:r>
      <w:hyperlink w:anchor="idm45965194255968">
        <w:r>
          <w:rPr>
            <w:rStyle w:val="Text1"/>
          </w:rPr>
          <w:t>The Frame Type</w:t>
        </w:r>
      </w:hyperlink>
    </w:p>
    <w:p>
      <w:pPr>
        <w:pStyle w:val="Para 004"/>
      </w:pPr>
      <w:r>
        <w:rPr>
          <w:rStyle w:val="Text2"/>
        </w:rPr>
        <w:t>free variables</w:t>
        <w:t xml:space="preserve">, </w:t>
      </w:r>
      <w:hyperlink w:anchor="idm45965270054672">
        <w:r>
          <w:t>Nested functions and nested scopes</w:t>
        </w:r>
      </w:hyperlink>
    </w:p>
    <w:p>
      <w:pPr>
        <w:pStyle w:val="Para 003"/>
      </w:pPr>
      <w:r>
        <w:t>freeze (gc module)</w:t>
        <w:t xml:space="preserve">, </w:t>
      </w:r>
      <w:hyperlink w:anchor="idm45965194151552">
        <w:r>
          <w:rPr>
            <w:rStyle w:val="Text1"/>
          </w:rPr>
          <w:t>The gc Module</w:t>
        </w:r>
      </w:hyperlink>
    </w:p>
    <w:p>
      <w:pPr>
        <w:pStyle w:val="Para 004"/>
      </w:pPr>
      <w:r>
        <w:rPr>
          <w:rStyle w:val="Text2"/>
        </w:rPr>
        <w:t>from ... import</w:t>
        <w:t xml:space="preserve">, </w:t>
      </w:r>
      <w:hyperlink w:anchor="frmimp07">
        <w:r>
          <w:t>The from Statement</w:t>
        </w:r>
      </w:hyperlink>
      <w:r>
        <w:rPr>
          <w:rStyle w:val="Text2"/>
        </w:rPr>
        <w:t>-</w:t>
      </w:r>
      <w:hyperlink w:anchor="idm45965254363040">
        <w:r>
          <w:t>Handling import failures</w:t>
        </w:r>
      </w:hyperlink>
      <w:r>
        <w:rPr>
          <w:rStyle w:val="Text2"/>
        </w:rPr>
        <w:t xml:space="preserve">, </w:t>
      </w:r>
      <w:hyperlink w:anchor="idm45965178391968">
        <w:r>
          <w:t>Avoid exec and from ... import *</w:t>
        </w:r>
      </w:hyperlink>
    </w:p>
    <w:p>
      <w:pPr>
        <w:pStyle w:val="Para 003"/>
      </w:pPr>
      <w:r>
        <w:t>fromordinal (datetime.datetime class)</w:t>
        <w:t xml:space="preserve">, </w:t>
      </w:r>
      <w:hyperlink w:anchor="idm45965196143696">
        <w:r>
          <w:rPr>
            <w:rStyle w:val="Text1"/>
          </w:rPr>
          <w:t>The datetime Class</w:t>
        </w:r>
      </w:hyperlink>
    </w:p>
    <w:p>
      <w:pPr>
        <w:pStyle w:val="Para 003"/>
      </w:pPr>
      <w:r>
        <w:t>fromtimestamp (datetime.datetime class)</w:t>
        <w:t xml:space="preserve">, </w:t>
      </w:r>
      <w:hyperlink w:anchor="idm45965196129184">
        <w:r>
          <w:rPr>
            <w:rStyle w:val="Text1"/>
          </w:rPr>
          <w:t>The datetime Class</w:t>
        </w:r>
      </w:hyperlink>
    </w:p>
    <w:p>
      <w:pPr>
        <w:pStyle w:val="Para 003"/>
      </w:pPr>
      <w:r>
        <w:t>from_bytes (int method)</w:t>
        <w:t xml:space="preserve">, </w:t>
      </w:r>
      <w:hyperlink w:anchor="idm45965282747648">
        <w:r>
          <w:rPr>
            <w:rStyle w:val="Text1"/>
          </w:rPr>
          <w:t>Integer numbers</w:t>
        </w:r>
      </w:hyperlink>
    </w:p>
    <w:p>
      <w:pPr>
        <w:pStyle w:val="Para 003"/>
      </w:pPr>
      <w:r>
        <w:t>from_hex (float method)</w:t>
        <w:t xml:space="preserve">, </w:t>
      </w:r>
      <w:hyperlink w:anchor="idm45965282949456">
        <w:r>
          <w:rPr>
            <w:rStyle w:val="Text1"/>
          </w:rPr>
          <w:t>Floating-point numbers</w:t>
        </w:r>
      </w:hyperlink>
    </w:p>
    <w:p>
      <w:pPr>
        <w:pStyle w:val="Para 003"/>
      </w:pPr>
      <w:r>
        <w:t>frozenset (built-in type)</w:t>
        <w:t xml:space="preserve">, </w:t>
      </w:r>
      <w:hyperlink w:anchor="idm45965216649008">
        <w:r>
          <w:rPr>
            <w:rStyle w:val="Text1"/>
          </w:rPr>
          <w:t>Built-in Types</w:t>
        </w:r>
      </w:hyperlink>
    </w:p>
    <w:p>
      <w:pPr>
        <w:pStyle w:val="Para 003"/>
      </w:pPr>
      <w:r>
        <w:t>frozensets</w:t>
        <w:t xml:space="preserve">, </w:t>
      </w:r>
      <w:hyperlink w:anchor="idm45965269575776">
        <w:r>
          <w:rPr>
            <w:rStyle w:val="Text1"/>
          </w:rPr>
          <w:t>Sets</w:t>
        </w:r>
      </w:hyperlink>
    </w:p>
    <w:p>
      <w:pPr>
        <w:pStyle w:val="Para 004"/>
      </w:pPr>
      <w:r>
        <w:rPr>
          <w:rStyle w:val="Text2"/>
        </w:rPr>
        <w:t>fsum (math module)</w:t>
        <w:t xml:space="preserve">, </w:t>
      </w:r>
      <w:hyperlink w:anchor="idm45965187241552">
        <w:r>
          <w:t>The math and cmath Modules</w:t>
        </w:r>
      </w:hyperlink>
    </w:p>
    <w:p>
      <w:pPr>
        <w:pStyle w:val="Para 004"/>
      </w:pPr>
      <w:r>
        <w:rPr>
          <w:rStyle w:val="Text2"/>
        </w:rPr>
        <w:t>ftplib module</w:t>
        <w:t xml:space="preserve">, </w:t>
      </w:r>
      <w:hyperlink w:anchor="idm45965175765280">
        <w:r>
          <w:t>HTTP and URL Clients</w:t>
        </w:r>
      </w:hyperlink>
    </w:p>
    <w:p>
      <w:pPr>
        <w:pStyle w:val="Para 004"/>
      </w:pPr>
      <w:r>
        <w:rPr>
          <w:rStyle w:val="Text2"/>
        </w:rPr>
        <w:t>full-stack frameworks</w:t>
        <w:t xml:space="preserve">, </w:t>
      </w:r>
      <w:hyperlink w:anchor="idm45965174887808">
        <w:r>
          <w:t>“Full-Stack” Versus “Lightweight” Frameworks</w:t>
        </w:r>
      </w:hyperlink>
    </w:p>
    <w:p>
      <w:pPr>
        <w:pStyle w:val="Para 003"/>
      </w:pPr>
      <w:r>
        <w:t>function calls</w:t>
        <w:t xml:space="preserve">, </w:t>
      </w:r>
      <w:hyperlink w:anchor="idm45965270587088">
        <w:r>
          <w:rPr>
            <w:rStyle w:val="Text1"/>
          </w:rPr>
          <w:t>Functions</w:t>
        </w:r>
      </w:hyperlink>
    </w:p>
    <w:p>
      <w:pPr>
        <w:pStyle w:val="Para 003"/>
      </w:pPr>
      <w:r>
        <w:t>function signatures</w:t>
      </w:r>
    </w:p>
    <w:p>
      <w:pPr>
        <w:pStyle w:val="Para 004"/>
      </w:pPr>
      <w:r>
        <w:rPr>
          <w:rStyle w:val="Text2"/>
        </w:rPr>
        <w:t>*args and **kwds in</w:t>
        <w:t xml:space="preserve">, </w:t>
      </w:r>
      <w:hyperlink w:anchor="idm45965262227120">
        <w:r>
          <w:t>Argument collector parameters</w:t>
        </w:r>
      </w:hyperlink>
    </w:p>
    <w:p>
      <w:pPr>
        <w:pStyle w:val="Para 003"/>
      </w:pPr>
      <w:r>
        <w:t>adding type annotations to new code</w:t>
        <w:t xml:space="preserve">, </w:t>
      </w:r>
      <w:hyperlink w:anchor="idm45965260731392">
        <w:r>
          <w:rPr>
            <w:rStyle w:val="Text1"/>
          </w:rPr>
          <w:t>Adding Type Annotations to New Code</w:t>
        </w:r>
      </w:hyperlink>
    </w:p>
    <w:p>
      <w:pPr>
        <w:pStyle w:val="Para 003"/>
      </w:pPr>
      <w:r>
        <w:t>argument collector parameters</w:t>
        <w:t xml:space="preserve">, </w:t>
      </w:r>
      <w:hyperlink w:anchor="idm45965262277792">
        <w:r>
          <w:rPr>
            <w:rStyle w:val="Text1"/>
          </w:rPr>
          <w:t>Argument collector parameters</w:t>
        </w:r>
      </w:hyperlink>
    </w:p>
    <w:p>
      <w:pPr>
        <w:pStyle w:val="Para 003"/>
      </w:pPr>
      <w:r>
        <w:t>Array class (multiprocessing module)</w:t>
        <w:t xml:space="preserve">, </w:t>
      </w:r>
      <w:hyperlink w:anchor="idm45965191470304">
        <w:r>
          <w:rPr>
            <w:rStyle w:val="Text1"/>
          </w:rPr>
          <w:t>The Array class</w:t>
        </w:r>
      </w:hyperlink>
    </w:p>
    <w:p>
      <w:pPr>
        <w:pStyle w:val="Para 003"/>
      </w:pPr>
      <w:r>
        <w:t>callable object</w:t>
        <w:t xml:space="preserve">, </w:t>
      </w:r>
      <w:hyperlink w:anchor="idm45965268543840">
        <w:r>
          <w:rPr>
            <w:rStyle w:val="Text1"/>
          </w:rPr>
          <w:t>Types</w:t>
        </w:r>
      </w:hyperlink>
    </w:p>
    <w:p>
      <w:pPr>
        <w:pStyle w:val="Para 003"/>
      </w:pPr>
      <w:r>
        <w:t>forward-referencing types</w:t>
        <w:t xml:space="preserve">, </w:t>
      </w:r>
      <w:hyperlink w:anchor="idm45965268711568">
        <w:r>
          <w:rPr>
            <w:rStyle w:val="Text1"/>
          </w:rPr>
          <w:t>Type Annotation Syntax</w:t>
        </w:r>
      </w:hyperlink>
    </w:p>
    <w:p>
      <w:pPr>
        <w:pStyle w:val="Para 003"/>
      </w:pPr>
      <w:r>
        <w:t>generics and TypeVars</w:t>
        <w:t xml:space="preserve">, </w:t>
      </w:r>
      <w:hyperlink w:anchor="idm45965267737504">
        <w:r>
          <w:rPr>
            <w:rStyle w:val="Text1"/>
          </w:rPr>
          <w:t>Generics and TypeVars</w:t>
        </w:r>
      </w:hyperlink>
    </w:p>
    <w:p>
      <w:pPr>
        <w:pStyle w:val="Para 003"/>
      </w:pPr>
      <w:r>
        <w:t>keyword-only parameters</w:t>
        <w:t xml:space="preserve">, </w:t>
      </w:r>
      <w:hyperlink w:anchor="idm45965270459408">
        <w:r>
          <w:rPr>
            <w:rStyle w:val="Text1"/>
          </w:rPr>
          <w:t>“Keyword-only” parameters</w:t>
        </w:r>
      </w:hyperlink>
    </w:p>
    <w:p>
      <w:pPr>
        <w:pStyle w:val="Para 003"/>
      </w:pPr>
      <w:r>
        <w:t>matching arguments to parameters</w:t>
        <w:t xml:space="preserve">, </w:t>
      </w:r>
      <w:hyperlink w:anchor="idm45965270288464">
        <w:r>
          <w:rPr>
            <w:rStyle w:val="Text1"/>
          </w:rPr>
          <w:t>Matching arguments to parameters</w:t>
        </w:r>
      </w:hyperlink>
    </w:p>
    <w:p>
      <w:pPr>
        <w:pStyle w:val="Para 004"/>
      </w:pPr>
      <w:r>
        <w:rPr>
          <w:rStyle w:val="Text2"/>
        </w:rPr>
        <w:t>overload decorator</w:t>
        <w:t xml:space="preserve">, </w:t>
      </w:r>
      <w:hyperlink w:anchor="idm45965268066848">
        <w:r>
          <w:t>Utilities and Decorators</w:t>
        </w:r>
      </w:hyperlink>
    </w:p>
    <w:p>
      <w:pPr>
        <w:pStyle w:val="Para 003"/>
      </w:pPr>
      <w:r>
        <w:t>Pool class (multiprocessing module)</w:t>
        <w:t xml:space="preserve">, </w:t>
      </w:r>
      <w:hyperlink w:anchor="idm45965191058016">
        <w:r>
          <w:rPr>
            <w:rStyle w:val="Text1"/>
          </w:rPr>
          <w:t>The Pool class</w:t>
        </w:r>
      </w:hyperlink>
    </w:p>
    <w:p>
      <w:pPr>
        <w:pStyle w:val="Para 003"/>
      </w:pPr>
      <w:r>
        <w:t>Popen class (subprocess module)</w:t>
        <w:t xml:space="preserve">, </w:t>
      </w:r>
      <w:hyperlink w:anchor="idm45965188941312">
        <w:r>
          <w:rPr>
            <w:rStyle w:val="Text1"/>
          </w:rPr>
          <w:t>Using the Subprocess Module</w:t>
        </w:r>
      </w:hyperlink>
    </w:p>
    <w:p>
      <w:pPr>
        <w:pStyle w:val="Para 003"/>
      </w:pPr>
      <w:r>
        <w:t>positional argument collector (*)</w:t>
        <w:t xml:space="preserve">, </w:t>
      </w:r>
      <w:hyperlink w:anchor="idm45965262551520">
        <w:r>
          <w:rPr>
            <w:rStyle w:val="Text1"/>
          </w:rPr>
          <w:t>Positional argument collector</w:t>
        </w:r>
      </w:hyperlink>
    </w:p>
    <w:p>
      <w:pPr>
        <w:pStyle w:val="Para 003"/>
      </w:pPr>
      <w:r>
        <w:t>positional-only marker (/)</w:t>
        <w:t xml:space="preserve">, </w:t>
      </w:r>
      <w:hyperlink w:anchor="idm45965262606608">
        <w:r>
          <w:rPr>
            <w:rStyle w:val="Text1"/>
          </w:rPr>
          <w:t>Positional-only marker</w:t>
        </w:r>
      </w:hyperlink>
    </w:p>
    <w:p>
      <w:pPr>
        <w:pStyle w:val="Para 003"/>
      </w:pPr>
      <w:r>
        <w:t>Process class (multiprocessing module)</w:t>
        <w:t xml:space="preserve">, </w:t>
      </w:r>
      <w:hyperlink w:anchor="idm45965191651360">
        <w:r>
          <w:rPr>
            <w:rStyle w:val="Text1"/>
          </w:rPr>
          <w:t>The Process class</w:t>
        </w:r>
      </w:hyperlink>
    </w:p>
    <w:p>
      <w:pPr>
        <w:pStyle w:val="Para 003"/>
      </w:pPr>
      <w:r>
        <w:t>Value class (multiprocessing module)</w:t>
        <w:t xml:space="preserve">, </w:t>
      </w:r>
      <w:hyperlink w:anchor="idm45965191559504">
        <w:r>
          <w:rPr>
            <w:rStyle w:val="Text1"/>
          </w:rPr>
          <w:t>The Value class</w:t>
        </w:r>
      </w:hyperlink>
    </w:p>
    <w:p>
      <w:pPr>
        <w:pStyle w:val="Para 004"/>
      </w:pPr>
      <w:r>
        <w:rPr>
          <w:rStyle w:val="Text2"/>
        </w:rPr>
        <w:t>functional testing</w:t>
        <w:t xml:space="preserve">, </w:t>
      </w:r>
      <w:hyperlink w:anchor="idm45965183803200">
        <w:r>
          <w:t>Unit Testing and System Testing</w:t>
        </w:r>
      </w:hyperlink>
    </w:p>
    <w:p>
      <w:pPr>
        <w:pStyle w:val="Para 003"/>
      </w:pPr>
      <w:r>
        <w:t>functions</w:t>
      </w:r>
    </w:p>
    <w:p>
      <w:pPr>
        <w:pStyle w:val="Para 003"/>
      </w:pPr>
      <w:r>
        <w:t>attributes of function objects</w:t>
        <w:t xml:space="preserve">, </w:t>
      </w:r>
      <w:hyperlink w:anchor="idm45965263526704">
        <w:r>
          <w:rPr>
            <w:rStyle w:val="Text1"/>
          </w:rPr>
          <w:t>Attributes of Function Objects</w:t>
        </w:r>
      </w:hyperlink>
    </w:p>
    <w:p>
      <w:pPr>
        <w:pStyle w:val="Para 004"/>
      </w:pPr>
      <w:r>
        <w:rPr>
          <w:rStyle w:val="Text2"/>
        </w:rPr>
        <w:t>built-in functions</w:t>
        <w:t xml:space="preserve">, </w:t>
      </w:r>
      <w:hyperlink w:anchor="Fbuiltin08">
        <w:r>
          <w:t>Built-in Functions</w:t>
        </w:r>
      </w:hyperlink>
      <w:r>
        <w:rPr>
          <w:rStyle w:val="Text2"/>
        </w:rPr>
        <w:t>-</w:t>
      </w:r>
      <w:hyperlink w:anchor="idm45965215156400">
        <w:r>
          <w:t>Built-in Functions</w:t>
        </w:r>
      </w:hyperlink>
    </w:p>
    <w:p>
      <w:pPr>
        <w:pStyle w:val="Para 003"/>
      </w:pPr>
      <w:r>
        <w:t>calling functions</w:t>
        <w:t xml:space="preserve">, </w:t>
      </w:r>
      <w:hyperlink w:anchor="idm45965263273312">
        <w:r>
          <w:rPr>
            <w:rStyle w:val="Text1"/>
          </w:rPr>
          <w:t>Calling Functions</w:t>
        </w:r>
      </w:hyperlink>
    </w:p>
    <w:p>
      <w:pPr>
        <w:pStyle w:val="Para 004"/>
      </w:pPr>
      <w:r>
        <w:rPr>
          <w:rStyle w:val="Text2"/>
        </w:rPr>
        <w:t>defining with def statement</w:t>
        <w:t xml:space="preserve">, </w:t>
      </w:r>
      <w:hyperlink w:anchor="idm45965262766640">
        <w:r>
          <w:t>Defining Functions: The def Statement</w:t>
        </w:r>
      </w:hyperlink>
    </w:p>
    <w:p>
      <w:pPr>
        <w:pStyle w:val="Para 003"/>
      </w:pPr>
      <w:r>
        <w:t>definition of term</w:t>
        <w:t xml:space="preserve">, </w:t>
      </w:r>
      <w:hyperlink w:anchor="idm45965270589072">
        <w:r>
          <w:rPr>
            <w:rStyle w:val="Text1"/>
          </w:rPr>
          <w:t>Functions</w:t>
        </w:r>
      </w:hyperlink>
    </w:p>
    <w:p>
      <w:pPr>
        <w:pStyle w:val="Para 003"/>
      </w:pPr>
      <w:r>
        <w:t>function annotations</w:t>
        <w:t xml:space="preserve">, </w:t>
      </w:r>
      <w:hyperlink w:anchor="idm45965263388160">
        <w:r>
          <w:rPr>
            <w:rStyle w:val="Text1"/>
          </w:rPr>
          <w:t>Function Annotations</w:t>
        </w:r>
      </w:hyperlink>
    </w:p>
    <w:p>
      <w:pPr>
        <w:pStyle w:val="Para 003"/>
      </w:pPr>
      <w:r>
        <w:t>function definitions in class bodies</w:t>
        <w:t xml:space="preserve">, </w:t>
      </w:r>
      <w:hyperlink w:anchor="idm45965271711392">
        <w:r>
          <w:rPr>
            <w:rStyle w:val="Text1"/>
          </w:rPr>
          <w:t>Function definitions in a class body</w:t>
        </w:r>
      </w:hyperlink>
    </w:p>
    <w:p>
      <w:pPr>
        <w:pStyle w:val="Para 003"/>
      </w:pPr>
      <w:r>
        <w:t>generators</w:t>
        <w:t xml:space="preserve">, </w:t>
      </w:r>
      <w:hyperlink w:anchor="idm45965259623888">
        <w:r>
          <w:rPr>
            <w:rStyle w:val="Text1"/>
          </w:rPr>
          <w:t>Generators</w:t>
        </w:r>
      </w:hyperlink>
    </w:p>
    <w:p>
      <w:pPr>
        <w:pStyle w:val="Para 004"/>
      </w:pPr>
      <w:r>
        <w:rPr>
          <w:rStyle w:val="Text2"/>
        </w:rPr>
        <w:t>higher-order functions</w:t>
        <w:t xml:space="preserve">, </w:t>
      </w:r>
      <w:hyperlink w:anchor="idm45965281265312">
        <w:r>
          <w:t>Decorators</w:t>
        </w:r>
      </w:hyperlink>
      <w:r>
        <w:rPr>
          <w:rStyle w:val="Text2"/>
        </w:rPr>
        <w:t xml:space="preserve">, </w:t>
      </w:r>
      <w:hyperlink w:anchor="idm45965186571568">
        <w:r>
          <w:t>The operator Module</w:t>
        </w:r>
      </w:hyperlink>
    </w:p>
    <w:p>
      <w:pPr>
        <w:pStyle w:val="Para 003"/>
      </w:pPr>
      <w:r>
        <w:t>namespaces</w:t>
        <w:t xml:space="preserve">, </w:t>
      </w:r>
      <w:hyperlink w:anchor="idm45965270169696">
        <w:r>
          <w:rPr>
            <w:rStyle w:val="Text1"/>
          </w:rPr>
          <w:t>Namespaces</w:t>
        </w:r>
      </w:hyperlink>
    </w:p>
    <w:p>
      <w:pPr>
        <w:pStyle w:val="Para 004"/>
      </w:pPr>
      <w:r>
        <w:rPr>
          <w:rStyle w:val="Text2"/>
        </w:rPr>
        <w:t>nested functions</w:t>
        <w:t xml:space="preserve">, </w:t>
      </w:r>
      <w:hyperlink w:anchor="idm45965270063440">
        <w:r>
          <w:t>Nested functions and nested scopes</w:t>
        </w:r>
      </w:hyperlink>
    </w:p>
    <w:p>
      <w:pPr>
        <w:pStyle w:val="Para 003"/>
      </w:pPr>
      <w:r>
        <w:t>parameters</w:t>
        <w:t xml:space="preserve">, </w:t>
      </w:r>
      <w:hyperlink w:anchor="idm45965262661088">
        <w:r>
          <w:rPr>
            <w:rStyle w:val="Text1"/>
          </w:rPr>
          <w:t>Parameters</w:t>
        </w:r>
      </w:hyperlink>
    </w:p>
    <w:p>
      <w:pPr>
        <w:pStyle w:val="Para 004"/>
      </w:pPr>
      <w:r>
        <w:rPr>
          <w:rStyle w:val="Text2"/>
        </w:rPr>
        <w:t>positional and named arguments</w:t>
        <w:t xml:space="preserve">, </w:t>
      </w:r>
      <w:hyperlink w:anchor="FSpnarg03">
        <w:r>
          <w:t>Positional and named arguments</w:t>
        </w:r>
      </w:hyperlink>
      <w:r>
        <w:rPr>
          <w:rStyle w:val="Text2"/>
        </w:rPr>
        <w:t>-</w:t>
      </w:r>
      <w:hyperlink w:anchor="idm45965270464512">
        <w:r>
          <w:t>Positional and named arguments</w:t>
        </w:r>
      </w:hyperlink>
    </w:p>
    <w:p>
      <w:pPr>
        <w:pStyle w:val="Para 003"/>
      </w:pPr>
      <w:r>
        <w:t>recursion</w:t>
        <w:t xml:space="preserve">, </w:t>
      </w:r>
      <w:hyperlink w:anchor="idm45965258956192">
        <w:r>
          <w:rPr>
            <w:rStyle w:val="Text1"/>
          </w:rPr>
          <w:t>Recursion</w:t>
        </w:r>
      </w:hyperlink>
    </w:p>
    <w:p>
      <w:pPr>
        <w:pStyle w:val="Para 004"/>
      </w:pPr>
      <w:r>
        <w:rPr>
          <w:rStyle w:val="Text2"/>
        </w:rPr>
        <w:t>return statement</w:t>
        <w:t xml:space="preserve">, </w:t>
      </w:r>
      <w:hyperlink w:anchor="idm45965263312656">
        <w:r>
          <w:t>The return Statement</w:t>
        </w:r>
      </w:hyperlink>
    </w:p>
    <w:p>
      <w:pPr>
        <w:pStyle w:val="Para 004"/>
      </w:pPr>
      <w:r>
        <w:rPr>
          <w:rStyle w:val="Text2"/>
        </w:rPr>
        <w:t>functools module</w:t>
        <w:t xml:space="preserve">, </w:t>
      </w:r>
      <w:hyperlink w:anchor="funcmod08">
        <w:r>
          <w:t>The functools Module</w:t>
        </w:r>
      </w:hyperlink>
      <w:r>
        <w:rPr>
          <w:rStyle w:val="Text2"/>
        </w:rPr>
        <w:t>-</w:t>
      </w:r>
      <w:hyperlink w:anchor="idm45965277346880">
        <w:r>
          <w:t>The functools Module</w:t>
        </w:r>
      </w:hyperlink>
    </w:p>
    <w:p>
      <w:pPr>
        <w:pStyle w:val="Para 003"/>
      </w:pPr>
      <w:r>
        <w:t>Future class (concurrent.futures module)</w:t>
        <w:t xml:space="preserve">, </w:t>
      </w:r>
      <w:hyperlink w:anchor="idm45965190495296">
        <w:r>
          <w:rPr>
            <w:rStyle w:val="Text1"/>
          </w:rPr>
          <w:t>The concurrent.futures Module</w:t>
        </w:r>
      </w:hyperlink>
    </w:p>
    <w:p>
      <w:pPr>
        <w:pStyle w:val="Para 004"/>
      </w:pPr>
      <w:r>
        <w:rPr>
          <w:rStyle w:val="Text2"/>
        </w:rPr>
        <w:t>fuzzing</w:t>
        <w:t xml:space="preserve">, </w:t>
      </w:r>
      <w:hyperlink w:anchor="idm45965182820016">
        <w:r>
          <w:t>Unit tests dealing with large amounts of data</w:t>
        </w:r>
      </w:hyperlink>
    </w:p>
    <w:p>
      <w:pPr>
        <w:keepNext/>
        <w:pStyle w:val="Heading 3"/>
      </w:pPr>
      <w:r>
        <w:t>G</w:t>
      </w:r>
    </w:p>
    <w:p>
      <w:pPr>
        <w:pStyle w:val="Para 004"/>
      </w:pPr>
      <w:r>
        <w:rPr>
          <w:rStyle w:val="Text2"/>
        </w:rPr>
        <w:t>garbage collection</w:t>
        <w:t xml:space="preserve">, </w:t>
      </w:r>
      <w:hyperlink w:anchor="idm45965258703152">
        <w:r>
          <w:t>Variables</w:t>
        </w:r>
      </w:hyperlink>
      <w:r>
        <w:rPr>
          <w:rStyle w:val="Text2"/>
        </w:rPr>
        <w:t xml:space="preserve">, </w:t>
      </w:r>
      <w:hyperlink w:anchor="idm45965283237680">
        <w:r>
          <w:t>del Statements</w:t>
        </w:r>
      </w:hyperlink>
      <w:r>
        <w:rPr>
          <w:rStyle w:val="Text2"/>
        </w:rPr>
        <w:t xml:space="preserve">, </w:t>
      </w:r>
      <w:hyperlink w:anchor="gcollect14">
        <w:r>
          <w:t>Garbage Collection</w:t>
        </w:r>
      </w:hyperlink>
      <w:r>
        <w:rPr>
          <w:rStyle w:val="Text2"/>
        </w:rPr>
        <w:t>-</w:t>
      </w:r>
      <w:hyperlink w:anchor="idm45965193706448">
        <w:r>
          <w:t>The weakref Module</w:t>
        </w:r>
      </w:hyperlink>
    </w:p>
    <w:p>
      <w:pPr>
        <w:pStyle w:val="Para 004"/>
      </w:pPr>
      <w:r>
        <w:rPr>
          <w:rStyle w:val="Text2"/>
        </w:rPr>
        <w:t>gc module</w:t>
        <w:t xml:space="preserve">, </w:t>
      </w:r>
      <w:hyperlink w:anchor="gcmod14">
        <w:r>
          <w:t>The gc Module</w:t>
        </w:r>
      </w:hyperlink>
      <w:r>
        <w:rPr>
          <w:rStyle w:val="Text2"/>
        </w:rPr>
        <w:t>-</w:t>
      </w:r>
      <w:hyperlink w:anchor="idm45965193707824">
        <w:r>
          <w:t>The weakref Module</w:t>
        </w:r>
      </w:hyperlink>
    </w:p>
    <w:p>
      <w:pPr>
        <w:pStyle w:val="Para 004"/>
      </w:pPr>
      <w:r>
        <w:rPr>
          <w:rStyle w:val="Text2"/>
        </w:rPr>
        <w:t>generator expressions (genexps)</w:t>
        <w:t xml:space="preserve">, </w:t>
      </w:r>
      <w:hyperlink w:anchor="idm45965257822064">
        <w:r>
          <w:t>List comprehensions</w:t>
        </w:r>
      </w:hyperlink>
      <w:r>
        <w:rPr>
          <w:rStyle w:val="Text2"/>
        </w:rPr>
        <w:t xml:space="preserve">, </w:t>
      </w:r>
      <w:hyperlink w:anchor="idm45965259212976">
        <w:r>
          <w:t>Generator expressions</w:t>
        </w:r>
      </w:hyperlink>
    </w:p>
    <w:p>
      <w:pPr>
        <w:pStyle w:val="Para 003"/>
      </w:pPr>
      <w:r>
        <w:t>generator functions</w:t>
        <w:t xml:space="preserve">, </w:t>
      </w:r>
      <w:hyperlink w:anchor="idm45965259591232">
        <w:r>
          <w:rPr>
            <w:rStyle w:val="Text1"/>
          </w:rPr>
          <w:t>Generators</w:t>
        </w:r>
      </w:hyperlink>
    </w:p>
    <w:p>
      <w:pPr>
        <w:pStyle w:val="Para 003"/>
      </w:pPr>
      <w:r>
        <w:t>generator objects</w:t>
        <w:t xml:space="preserve">, </w:t>
      </w:r>
      <w:hyperlink w:anchor="idm45965259589360">
        <w:r>
          <w:rPr>
            <w:rStyle w:val="Text1"/>
          </w:rPr>
          <w:t>Generators</w:t>
        </w:r>
      </w:hyperlink>
    </w:p>
    <w:p>
      <w:pPr>
        <w:pStyle w:val="Para 004"/>
      </w:pPr>
      <w:r>
        <w:rPr>
          <w:rStyle w:val="Text2"/>
        </w:rPr>
        <w:t>generators</w:t>
        <w:t xml:space="preserve">, </w:t>
      </w:r>
      <w:hyperlink w:anchor="gene03">
        <w:r>
          <w:t>Generators</w:t>
        </w:r>
      </w:hyperlink>
      <w:r>
        <w:rPr>
          <w:rStyle w:val="Text2"/>
        </w:rPr>
        <w:t>-</w:t>
      </w:r>
      <w:hyperlink w:anchor="idm45965259196960">
        <w:r>
          <w:t>Generator expressions</w:t>
        </w:r>
      </w:hyperlink>
      <w:r>
        <w:rPr>
          <w:rStyle w:val="Text2"/>
        </w:rPr>
        <w:t xml:space="preserve">, </w:t>
      </w:r>
      <w:hyperlink w:anchor="idm45965257133184">
        <w:r>
          <w:t>Generators and Exceptions</w:t>
        </w:r>
      </w:hyperlink>
      <w:r>
        <w:rPr>
          <w:rStyle w:val="Text2"/>
        </w:rPr>
        <w:t xml:space="preserve">, </w:t>
      </w:r>
      <w:hyperlink w:anchor="idm45965213848496">
        <w:r>
          <w:t>The itertools Module</w:t>
        </w:r>
      </w:hyperlink>
    </w:p>
    <w:p>
      <w:pPr>
        <w:pStyle w:val="Para 003"/>
      </w:pPr>
      <w:r>
        <w:t>Generic (typing module)</w:t>
        <w:t xml:space="preserve">, </w:t>
      </w:r>
      <w:hyperlink w:anchor="idm45965267755296">
        <w:r>
          <w:rPr>
            <w:rStyle w:val="Text1"/>
          </w:rPr>
          <w:t>Defining Custom Types</w:t>
        </w:r>
      </w:hyperlink>
    </w:p>
    <w:p>
      <w:pPr>
        <w:pStyle w:val="Para 003"/>
      </w:pPr>
      <w:r>
        <w:t>get (dict method)</w:t>
        <w:t xml:space="preserve">, </w:t>
      </w:r>
      <w:hyperlink w:anchor="idm45965283493280">
        <w:r>
          <w:rPr>
            <w:rStyle w:val="Text1"/>
          </w:rPr>
          <w:t>Dictionary Methods</w:t>
        </w:r>
      </w:hyperlink>
    </w:p>
    <w:p>
      <w:pPr>
        <w:pStyle w:val="Para 003"/>
      </w:pPr>
      <w:r>
        <w:t>getargspec (inspect module)</w:t>
        <w:t xml:space="preserve">, </w:t>
      </w:r>
      <w:hyperlink w:anchor="idm45965182399216">
        <w:r>
          <w:rPr>
            <w:rStyle w:val="Text1"/>
          </w:rPr>
          <w:t>The inspect Module</w:t>
        </w:r>
      </w:hyperlink>
    </w:p>
    <w:p>
      <w:pPr>
        <w:pStyle w:val="Para 003"/>
      </w:pPr>
      <w:r>
        <w:t>getargvalues (inspect module)</w:t>
        <w:t xml:space="preserve">, </w:t>
      </w:r>
      <w:hyperlink w:anchor="idm45965182389680">
        <w:r>
          <w:rPr>
            <w:rStyle w:val="Text1"/>
          </w:rPr>
          <w:t>The inspect Module</w:t>
        </w:r>
      </w:hyperlink>
    </w:p>
    <w:p>
      <w:pPr>
        <w:pStyle w:val="Para 003"/>
      </w:pPr>
      <w:r>
        <w:t>getattr (built-in function)</w:t>
        <w:t xml:space="preserve">, </w:t>
      </w:r>
      <w:hyperlink w:anchor="idm45965215909936">
        <w:r>
          <w:rPr>
            <w:rStyle w:val="Text1"/>
          </w:rPr>
          <w:t>Built-in Functions</w:t>
        </w:r>
      </w:hyperlink>
    </w:p>
    <w:p>
      <w:pPr>
        <w:pStyle w:val="Para 003"/>
      </w:pPr>
      <w:r>
        <w:t>getch (msvcrt module)</w:t>
        <w:t xml:space="preserve">, </w:t>
      </w:r>
      <w:hyperlink w:anchor="idm45965201518528">
        <w:r>
          <w:rPr>
            <w:rStyle w:val="Text1"/>
          </w:rPr>
          <w:t>The msvcrt module</w:t>
        </w:r>
      </w:hyperlink>
    </w:p>
    <w:p>
      <w:pPr>
        <w:pStyle w:val="Para 004"/>
      </w:pPr>
      <w:r>
        <w:rPr>
          <w:rStyle w:val="Text2"/>
        </w:rPr>
        <w:t>getcwd (os module)</w:t>
        <w:t xml:space="preserve">, </w:t>
      </w:r>
      <w:hyperlink w:anchor="idm45965204341200">
        <w:r>
          <w:t>File and directory functions of the os module</w:t>
        </w:r>
      </w:hyperlink>
    </w:p>
    <w:p>
      <w:pPr>
        <w:pStyle w:val="Para 003"/>
      </w:pPr>
      <w:r>
        <w:t>getdefaultlocale (locale module)</w:t>
        <w:t xml:space="preserve">, </w:t>
      </w:r>
      <w:hyperlink w:anchor="idm45965201027616">
        <w:r>
          <w:rPr>
            <w:rStyle w:val="Text1"/>
          </w:rPr>
          <w:t>The locale Module</w:t>
        </w:r>
      </w:hyperlink>
    </w:p>
    <w:p>
      <w:pPr>
        <w:pStyle w:val="Para 003"/>
      </w:pPr>
      <w:r>
        <w:t>getdoc (inspect module)</w:t>
        <w:t xml:space="preserve">, </w:t>
      </w:r>
      <w:hyperlink w:anchor="idm45965182325056">
        <w:r>
          <w:rPr>
            <w:rStyle w:val="Text1"/>
          </w:rPr>
          <w:t>The inspect Module</w:t>
        </w:r>
      </w:hyperlink>
    </w:p>
    <w:p>
      <w:pPr>
        <w:pStyle w:val="Para 003"/>
      </w:pPr>
      <w:r>
        <w:t>getfile (inspect module)</w:t>
        <w:t xml:space="preserve">, </w:t>
      </w:r>
      <w:hyperlink w:anchor="idm45965182287760">
        <w:r>
          <w:rPr>
            <w:rStyle w:val="Text1"/>
          </w:rPr>
          <w:t>The inspect Module</w:t>
        </w:r>
      </w:hyperlink>
    </w:p>
    <w:p>
      <w:pPr>
        <w:pStyle w:val="Para 003"/>
      </w:pPr>
      <w:r>
        <w:t>gethostbyaddr (socket module)</w:t>
        <w:t xml:space="preserve">, </w:t>
      </w:r>
      <w:hyperlink w:anchor="idm45965177469712">
        <w:r>
          <w:rPr>
            <w:rStyle w:val="Text1"/>
          </w:rPr>
          <w:t>The socket Module</w:t>
        </w:r>
      </w:hyperlink>
    </w:p>
    <w:p>
      <w:pPr>
        <w:pStyle w:val="Para 003"/>
      </w:pPr>
      <w:r>
        <w:t>gethostbyname (socket module)</w:t>
        <w:t xml:space="preserve">, </w:t>
      </w:r>
      <w:hyperlink w:anchor="idm45965177459536">
        <w:r>
          <w:rPr>
            <w:rStyle w:val="Text1"/>
          </w:rPr>
          <w:t>The socket Module</w:t>
        </w:r>
      </w:hyperlink>
    </w:p>
    <w:p>
      <w:pPr>
        <w:pStyle w:val="Para 003"/>
      </w:pPr>
      <w:r>
        <w:t>getlocale (locale module)</w:t>
        <w:t xml:space="preserve">, </w:t>
      </w:r>
      <w:hyperlink w:anchor="idm45965200996272">
        <w:r>
          <w:rPr>
            <w:rStyle w:val="Text1"/>
          </w:rPr>
          <w:t>The locale Module</w:t>
        </w:r>
      </w:hyperlink>
    </w:p>
    <w:p>
      <w:pPr>
        <w:pStyle w:val="Para 003"/>
      </w:pPr>
      <w:r>
        <w:t>getmembers (inspect module)</w:t>
        <w:t xml:space="preserve">, </w:t>
      </w:r>
      <w:hyperlink w:anchor="idm45965182277600">
        <w:r>
          <w:rPr>
            <w:rStyle w:val="Text1"/>
          </w:rPr>
          <w:t>The inspect Module</w:t>
        </w:r>
      </w:hyperlink>
    </w:p>
    <w:p>
      <w:pPr>
        <w:pStyle w:val="Para 003"/>
      </w:pPr>
      <w:r>
        <w:t>getmodule (inspect module)</w:t>
        <w:t xml:space="preserve">, </w:t>
      </w:r>
      <w:hyperlink w:anchor="idm45965182243728">
        <w:r>
          <w:rPr>
            <w:rStyle w:val="Text1"/>
          </w:rPr>
          <w:t>The inspect Module</w:t>
        </w:r>
      </w:hyperlink>
    </w:p>
    <w:p>
      <w:pPr>
        <w:pStyle w:val="Para 003"/>
      </w:pPr>
      <w:r>
        <w:t>getmro (inspect module)</w:t>
        <w:t xml:space="preserve">, </w:t>
      </w:r>
      <w:hyperlink w:anchor="idm45965182213712">
        <w:r>
          <w:rPr>
            <w:rStyle w:val="Text1"/>
          </w:rPr>
          <w:t>The inspect Module</w:t>
        </w:r>
      </w:hyperlink>
    </w:p>
    <w:p>
      <w:pPr>
        <w:pStyle w:val="Para 003"/>
      </w:pPr>
      <w:r>
        <w:t>getpass (getpass module)</w:t>
        <w:t xml:space="preserve">, </w:t>
      </w:r>
      <w:hyperlink w:anchor="idm45965201705040">
        <w:r>
          <w:rPr>
            <w:rStyle w:val="Text1"/>
          </w:rPr>
          <w:t>The getpass Module</w:t>
        </w:r>
      </w:hyperlink>
    </w:p>
    <w:p>
      <w:pPr>
        <w:pStyle w:val="Para 004"/>
      </w:pPr>
      <w:r>
        <w:rPr>
          <w:rStyle w:val="Text2"/>
        </w:rPr>
        <w:t>getpass module</w:t>
        <w:t xml:space="preserve">, </w:t>
      </w:r>
      <w:hyperlink w:anchor="idm45965201750976">
        <w:r>
          <w:t>The getpass Module</w:t>
        </w:r>
      </w:hyperlink>
    </w:p>
    <w:p>
      <w:pPr>
        <w:pStyle w:val="Para 003"/>
      </w:pPr>
      <w:r>
        <w:t>getrecursion limit (sys module)</w:t>
        <w:t xml:space="preserve">, </w:t>
      </w:r>
      <w:hyperlink w:anchor="idm45965214987024">
        <w:r>
          <w:rPr>
            <w:rStyle w:val="Text1"/>
          </w:rPr>
          <w:t>The sys Module</w:t>
        </w:r>
      </w:hyperlink>
    </w:p>
    <w:p>
      <w:pPr>
        <w:pStyle w:val="Para 004"/>
      </w:pPr>
      <w:r>
        <w:rPr>
          <w:rStyle w:val="Text2"/>
        </w:rPr>
        <w:t>getrefcount (sys module)</w:t>
        <w:t xml:space="preserve">, </w:t>
      </w:r>
      <w:hyperlink w:anchor="idm45965214981152">
        <w:r>
          <w:t>The sys Module</w:t>
        </w:r>
      </w:hyperlink>
      <w:r>
        <w:rPr>
          <w:rStyle w:val="Text2"/>
        </w:rPr>
        <w:t xml:space="preserve">, </w:t>
      </w:r>
      <w:hyperlink w:anchor="idm45965194197872">
        <w:r>
          <w:t>Garbage Collection</w:t>
        </w:r>
      </w:hyperlink>
    </w:p>
    <w:p>
      <w:pPr>
        <w:pStyle w:val="Para 003"/>
      </w:pPr>
      <w:r>
        <w:t>getsizeof (sys module)</w:t>
        <w:t xml:space="preserve">, </w:t>
      </w:r>
      <w:hyperlink w:anchor="idm45965214973520">
        <w:r>
          <w:rPr>
            <w:rStyle w:val="Text1"/>
          </w:rPr>
          <w:t>The sys Module</w:t>
        </w:r>
      </w:hyperlink>
    </w:p>
    <w:p>
      <w:pPr>
        <w:pStyle w:val="Para 003"/>
      </w:pPr>
      <w:r>
        <w:t>getsource (inspect module)</w:t>
        <w:t xml:space="preserve">, </w:t>
      </w:r>
      <w:hyperlink w:anchor="idm45965182148960">
        <w:r>
          <w:rPr>
            <w:rStyle w:val="Text1"/>
          </w:rPr>
          <w:t>The inspect Module</w:t>
        </w:r>
      </w:hyperlink>
    </w:p>
    <w:p>
      <w:pPr>
        <w:pStyle w:val="Para 003"/>
      </w:pPr>
      <w:r>
        <w:t>getsourcefile (inspect module)</w:t>
        <w:t xml:space="preserve">, </w:t>
      </w:r>
      <w:hyperlink w:anchor="idm45965182286656">
        <w:r>
          <w:rPr>
            <w:rStyle w:val="Text1"/>
          </w:rPr>
          <w:t>The inspect Module</w:t>
        </w:r>
      </w:hyperlink>
    </w:p>
    <w:p>
      <w:pPr>
        <w:pStyle w:val="Para 003"/>
      </w:pPr>
      <w:r>
        <w:t>getsourcelines (inspect module)</w:t>
        <w:t xml:space="preserve">, </w:t>
      </w:r>
      <w:hyperlink w:anchor="idm45965182147856">
        <w:r>
          <w:rPr>
            <w:rStyle w:val="Text1"/>
          </w:rPr>
          <w:t>The inspect Module</w:t>
        </w:r>
      </w:hyperlink>
    </w:p>
    <w:p>
      <w:pPr>
        <w:pStyle w:val="Para 004"/>
      </w:pPr>
      <w:r>
        <w:rPr>
          <w:rStyle w:val="Text2"/>
        </w:rPr>
        <w:t>gettext module</w:t>
        <w:t xml:space="preserve">, </w:t>
      </w:r>
      <w:hyperlink w:anchor="gettextmod11">
        <w:r>
          <w:t>The gettext Module</w:t>
        </w:r>
      </w:hyperlink>
      <w:r>
        <w:rPr>
          <w:rStyle w:val="Text2"/>
        </w:rPr>
        <w:t>-</w:t>
      </w:r>
      <w:hyperlink w:anchor="idm45965200608848">
        <w:r>
          <w:t>Essential gettext functions</w:t>
        </w:r>
      </w:hyperlink>
    </w:p>
    <w:p>
      <w:pPr>
        <w:pStyle w:val="Para 003"/>
      </w:pPr>
      <w:r>
        <w:t>getuser (getpass module)</w:t>
        <w:t xml:space="preserve">, </w:t>
      </w:r>
      <w:hyperlink w:anchor="idm45965201698464">
        <w:r>
          <w:rPr>
            <w:rStyle w:val="Text1"/>
          </w:rPr>
          <w:t>The getpass Module</w:t>
        </w:r>
      </w:hyperlink>
    </w:p>
    <w:p>
      <w:pPr>
        <w:pStyle w:val="Para 004"/>
      </w:pPr>
      <w:r>
        <w:rPr>
          <w:rStyle w:val="Text2"/>
        </w:rPr>
        <w:t>getvalue (io.BytesIO, io.StringIO)</w:t>
        <w:t xml:space="preserve">, </w:t>
      </w:r>
      <w:hyperlink w:anchor="idm45965205251440">
        <w:r>
          <w:t>In-Memory Files: io.StringIO and io.BytesIO</w:t>
        </w:r>
      </w:hyperlink>
    </w:p>
    <w:p>
      <w:pPr>
        <w:pStyle w:val="Para 003"/>
      </w:pPr>
      <w:r>
        <w:t>getweakrefcount (weakref module)</w:t>
        <w:t xml:space="preserve">, </w:t>
      </w:r>
      <w:hyperlink w:anchor="idm45965193858176">
        <w:r>
          <w:rPr>
            <w:rStyle w:val="Text1"/>
          </w:rPr>
          <w:t>The weakref Module</w:t>
        </w:r>
      </w:hyperlink>
    </w:p>
    <w:p>
      <w:pPr>
        <w:pStyle w:val="Para 003"/>
      </w:pPr>
      <w:r>
        <w:t>getweakrefs (weakref module)</w:t>
        <w:t xml:space="preserve">, </w:t>
      </w:r>
      <w:hyperlink w:anchor="idm45965193852864">
        <w:r>
          <w:rPr>
            <w:rStyle w:val="Text1"/>
          </w:rPr>
          <w:t>The weakref Module</w:t>
        </w:r>
      </w:hyperlink>
    </w:p>
    <w:p>
      <w:pPr>
        <w:pStyle w:val="Para 003"/>
      </w:pPr>
      <w:r>
        <w:t>get_stats (gc module)</w:t>
        <w:t xml:space="preserve">, </w:t>
      </w:r>
      <w:hyperlink w:anchor="idm45965194122512">
        <w:r>
          <w:rPr>
            <w:rStyle w:val="Text1"/>
          </w:rPr>
          <w:t>The gc Module</w:t>
        </w:r>
      </w:hyperlink>
    </w:p>
    <w:p>
      <w:pPr>
        <w:pStyle w:val="Para 003"/>
      </w:pPr>
      <w:r>
        <w:t>get_threshold (gc module)</w:t>
        <w:t xml:space="preserve">, </w:t>
      </w:r>
      <w:hyperlink w:anchor="idm45965194117968">
        <w:r>
          <w:rPr>
            <w:rStyle w:val="Text1"/>
          </w:rPr>
          <w:t>The gc Module</w:t>
        </w:r>
      </w:hyperlink>
    </w:p>
    <w:p>
      <w:pPr>
        <w:pStyle w:val="Para 004"/>
      </w:pPr>
      <w:r>
        <w:rPr>
          <w:rStyle w:val="Text2"/>
        </w:rPr>
        <w:t>GIL (global interpreter lock)</w:t>
        <w:t xml:space="preserve">, </w:t>
      </w:r>
      <w:hyperlink w:anchor="idm45965193615232">
        <w:r>
          <w:t>Concurrency: Threads and Processes</w:t>
        </w:r>
      </w:hyperlink>
    </w:p>
    <w:p>
      <w:pPr>
        <w:pStyle w:val="Para 004"/>
      </w:pPr>
      <w:r>
        <w:rPr>
          <w:rStyle w:val="Text2"/>
        </w:rPr>
        <w:t>GitHub repository</w:t>
        <w:t xml:space="preserve">, </w:t>
      </w:r>
      <w:hyperlink w:anchor="idm45965252648320">
        <w:r>
          <w:t>How to Contact Us</w:t>
        </w:r>
      </w:hyperlink>
      <w:r>
        <w:rPr>
          <w:rStyle w:val="Text2"/>
        </w:rPr>
        <w:t xml:space="preserve">, </w:t>
      </w:r>
      <w:hyperlink w:anchor="idm45965162958608">
        <w:r>
          <w:t>Packaging Programs and Extensions</w:t>
        </w:r>
      </w:hyperlink>
    </w:p>
    <w:p>
      <w:pPr>
        <w:pStyle w:val="Para 003"/>
      </w:pPr>
      <w:r>
        <w:t>glob (glob module)</w:t>
        <w:t xml:space="preserve">, </w:t>
      </w:r>
      <w:hyperlink w:anchor="idm45965202297536">
        <w:r>
          <w:rPr>
            <w:rStyle w:val="Text1"/>
          </w:rPr>
          <w:t>The glob Module</w:t>
        </w:r>
      </w:hyperlink>
    </w:p>
    <w:p>
      <w:pPr>
        <w:pStyle w:val="Para 003"/>
      </w:pPr>
      <w:r>
        <w:t>glob (pathlib.Path class)</w:t>
        <w:t xml:space="preserve">, </w:t>
      </w:r>
      <w:hyperlink w:anchor="idm45965203311088">
        <w:r>
          <w:rPr>
            <w:rStyle w:val="Text1"/>
          </w:rPr>
          <w:t>The pathlib Module</w:t>
        </w:r>
      </w:hyperlink>
    </w:p>
    <w:p>
      <w:pPr>
        <w:pStyle w:val="Para 004"/>
      </w:pPr>
      <w:r>
        <w:rPr>
          <w:rStyle w:val="Text2"/>
        </w:rPr>
        <w:t>global interpreter lock (GIL)</w:t>
        <w:t xml:space="preserve">, </w:t>
      </w:r>
      <w:hyperlink w:anchor="idm45965193616304">
        <w:r>
          <w:t>Concurrency: Threads and Processes</w:t>
        </w:r>
      </w:hyperlink>
    </w:p>
    <w:p>
      <w:pPr>
        <w:pStyle w:val="Para 004"/>
      </w:pPr>
      <w:r>
        <w:rPr>
          <w:rStyle w:val="Text2"/>
        </w:rPr>
        <w:t>global variables</w:t>
        <w:t xml:space="preserve">, </w:t>
      </w:r>
      <w:hyperlink w:anchor="idm45965258699712">
        <w:r>
          <w:t>Variables</w:t>
        </w:r>
      </w:hyperlink>
      <w:r>
        <w:rPr>
          <w:rStyle w:val="Text2"/>
        </w:rPr>
        <w:t xml:space="preserve">, </w:t>
      </w:r>
      <w:hyperlink w:anchor="idm45965270161712">
        <w:r>
          <w:t>Namespaces</w:t>
        </w:r>
      </w:hyperlink>
      <w:r>
        <w:rPr>
          <w:rStyle w:val="Text2"/>
        </w:rPr>
        <w:t xml:space="preserve">, </w:t>
      </w:r>
      <w:hyperlink w:anchor="idm45965194820528">
        <w:r>
          <w:t>Avoiding exec</w:t>
        </w:r>
      </w:hyperlink>
    </w:p>
    <w:p>
      <w:pPr>
        <w:pStyle w:val="Para 003"/>
      </w:pPr>
      <w:r>
        <w:t>globals (built-in function)</w:t>
        <w:t xml:space="preserve">, </w:t>
      </w:r>
      <w:hyperlink w:anchor="idm45965215895680">
        <w:r>
          <w:rPr>
            <w:rStyle w:val="Text1"/>
          </w:rPr>
          <w:t>Built-in Functions</w:t>
        </w:r>
      </w:hyperlink>
    </w:p>
    <w:p>
      <w:pPr>
        <w:pStyle w:val="Para 004"/>
      </w:pPr>
      <w:r>
        <w:rPr>
          <w:rStyle w:val="Text2"/>
        </w:rPr>
        <w:t>gmpy2</w:t>
        <w:t xml:space="preserve">, </w:t>
      </w:r>
      <w:hyperlink w:anchor="idm45965183844448">
        <w:r>
          <w:t>Additional numeric packages</w:t>
        </w:r>
      </w:hyperlink>
    </w:p>
    <w:p>
      <w:pPr>
        <w:pStyle w:val="Para 003"/>
      </w:pPr>
      <w:r>
        <w:t xml:space="preserve"> GNU Public License (GPL)</w:t>
        <w:t xml:space="preserve">, </w:t>
      </w:r>
      <w:hyperlink w:anchor="idm45965258727968">
        <w:r>
          <w:rPr>
            <w:rStyle w:val="Text1"/>
          </w:rPr>
          <w:t>Licensing and Price Issues</w:t>
        </w:r>
      </w:hyperlink>
    </w:p>
    <w:p>
      <w:pPr>
        <w:pStyle w:val="Para 003"/>
      </w:pPr>
      <w:r>
        <w:t>GNU Readline Library</w:t>
        <w:t xml:space="preserve">, </w:t>
      </w:r>
      <w:hyperlink w:anchor="idm45965201675200">
        <w:r>
          <w:rPr>
            <w:rStyle w:val="Text1"/>
          </w:rPr>
          <w:t>The readline Module</w:t>
        </w:r>
      </w:hyperlink>
    </w:p>
    <w:p>
      <w:pPr>
        <w:pStyle w:val="Para 004"/>
      </w:pPr>
      <w:r>
        <w:rPr>
          <w:rStyle w:val="Text2"/>
        </w:rPr>
        <w:t>GraalVM Python</w:t>
        <w:t xml:space="preserve">, </w:t>
      </w:r>
      <w:hyperlink w:anchor="idm45965262192240">
        <w:r>
          <w:t>Python Implementations</w:t>
        </w:r>
      </w:hyperlink>
      <w:r>
        <w:rPr>
          <w:rStyle w:val="Text2"/>
        </w:rPr>
        <w:t xml:space="preserve">, </w:t>
      </w:r>
      <w:hyperlink w:anchor="idm45965284094624">
        <w:r>
          <w:t>Jython and IronPython</w:t>
        </w:r>
      </w:hyperlink>
    </w:p>
    <w:p>
      <w:pPr>
        <w:pStyle w:val="Para 004"/>
      </w:pPr>
      <w:r>
        <w:rPr>
          <w:rStyle w:val="Text2"/>
        </w:rPr>
        <w:t>gradual typing</w:t>
        <w:t xml:space="preserve">, </w:t>
      </w:r>
      <w:hyperlink w:anchor="idm45965260721920">
        <w:r>
          <w:t>Adding Type Annotations to Existing Code (Gradual Typing)</w:t>
        </w:r>
      </w:hyperlink>
    </w:p>
    <w:p>
      <w:pPr>
        <w:pStyle w:val="Para 004"/>
      </w:pPr>
      <w:r>
        <w:rPr>
          <w:rStyle w:val="Text2"/>
        </w:rPr>
        <w:t>greedy matching</w:t>
        <w:t xml:space="preserve">, </w:t>
      </w:r>
      <w:hyperlink w:anchor="idm45965208834528">
        <w:r>
          <w:t>Common Regular Expression Idioms</w:t>
        </w:r>
      </w:hyperlink>
    </w:p>
    <w:p>
      <w:pPr>
        <w:pStyle w:val="Para 003"/>
      </w:pPr>
      <w:r>
        <w:t>group patterns</w:t>
        <w:t xml:space="preserve">, </w:t>
      </w:r>
      <w:hyperlink w:anchor="idm45965275400816">
        <w:r>
          <w:rPr>
            <w:rStyle w:val="Text1"/>
          </w:rPr>
          <w:t>Group patterns</w:t>
        </w:r>
      </w:hyperlink>
    </w:p>
    <w:p>
      <w:pPr>
        <w:pStyle w:val="Para 003"/>
      </w:pPr>
      <w:r>
        <w:t>groupby (itertools module)</w:t>
        <w:t xml:space="preserve">, </w:t>
      </w:r>
      <w:hyperlink w:anchor="idm45965213400240">
        <w:r>
          <w:rPr>
            <w:rStyle w:val="Text1"/>
          </w:rPr>
          <w:t>The itertools Module</w:t>
        </w:r>
      </w:hyperlink>
    </w:p>
    <w:p>
      <w:pPr>
        <w:pStyle w:val="Para 003"/>
      </w:pPr>
      <w:r>
        <w:t>grouping option</w:t>
        <w:t xml:space="preserve">, </w:t>
      </w:r>
      <w:hyperlink w:anchor="idm45965210653584">
        <w:r>
          <w:rPr>
            <w:rStyle w:val="Text1"/>
          </w:rPr>
          <w:t>Grouping option</w:t>
        </w:r>
      </w:hyperlink>
    </w:p>
    <w:p>
      <w:pPr>
        <w:pStyle w:val="Para 003"/>
      </w:pPr>
      <w:r>
        <w:t>groups</w:t>
        <w:t xml:space="preserve">, </w:t>
      </w:r>
      <w:hyperlink w:anchor="idm45965208513168">
        <w:r>
          <w:rPr>
            <w:rStyle w:val="Text1"/>
          </w:rPr>
          <w:t>Groups</w:t>
        </w:r>
      </w:hyperlink>
    </w:p>
    <w:p>
      <w:pPr>
        <w:pStyle w:val="Para 004"/>
      </w:pPr>
      <w:r>
        <w:rPr>
          <w:rStyle w:val="Text2"/>
        </w:rPr>
        <w:t>gRPC protocol</w:t>
        <w:t xml:space="preserve">, </w:t>
      </w:r>
      <w:hyperlink w:anchor="idm45965174987520">
        <w:r>
          <w:t>Other Network Protocols</w:t>
        </w:r>
      </w:hyperlink>
    </w:p>
    <w:p>
      <w:pPr>
        <w:pStyle w:val="Para 004"/>
      </w:pPr>
      <w:r>
        <w:rPr>
          <w:rStyle w:val="Text2"/>
        </w:rPr>
        <w:t>grpcio module</w:t>
        <w:t xml:space="preserve">, </w:t>
      </w:r>
      <w:hyperlink w:anchor="idm45965174986256">
        <w:r>
          <w:t>Other Network Protocols</w:t>
        </w:r>
      </w:hyperlink>
    </w:p>
    <w:p>
      <w:pPr>
        <w:pStyle w:val="Para 004"/>
      </w:pPr>
      <w:r>
        <w:rPr>
          <w:rStyle w:val="Text2"/>
        </w:rPr>
        <w:t>guards</w:t>
        <w:t xml:space="preserve">, </w:t>
      </w:r>
      <w:hyperlink w:anchor="idm45965275016960">
        <w:r>
          <w:t>Short-Circuiting Operators</w:t>
        </w:r>
      </w:hyperlink>
      <w:r>
        <w:rPr>
          <w:rStyle w:val="Text2"/>
        </w:rPr>
        <w:t xml:space="preserve">, </w:t>
      </w:r>
      <w:hyperlink w:anchor="idm45965264014720">
        <w:r>
          <w:t>The match Statement</w:t>
        </w:r>
      </w:hyperlink>
      <w:r>
        <w:rPr>
          <w:rStyle w:val="Text2"/>
        </w:rPr>
        <w:t xml:space="preserve">, </w:t>
      </w:r>
      <w:hyperlink w:anchor="idm45965272415520">
        <w:r>
          <w:t>Guards</w:t>
        </w:r>
      </w:hyperlink>
    </w:p>
    <w:p>
      <w:pPr>
        <w:pStyle w:val="Para 004"/>
      </w:pPr>
      <w:r>
        <w:rPr>
          <w:rStyle w:val="Text2"/>
        </w:rPr>
        <w:t>Gunicorn</w:t>
        <w:t xml:space="preserve">, </w:t>
      </w:r>
      <w:hyperlink w:anchor="idm45965174914592">
        <w:r>
          <w:t>WSGI Servers</w:t>
        </w:r>
      </w:hyperlink>
    </w:p>
    <w:p>
      <w:pPr>
        <w:keepNext/>
        <w:pStyle w:val="Heading 3"/>
      </w:pPr>
      <w:r>
        <w:t>H</w:t>
      </w:r>
    </w:p>
    <w:p>
      <w:pPr>
        <w:pStyle w:val="Para 003"/>
      </w:pPr>
      <w:r>
        <w:t>hardlink_to (pathlib.Path class)</w:t>
        <w:t xml:space="preserve">, </w:t>
      </w:r>
      <w:hyperlink w:anchor="idm45965203181856">
        <w:r>
          <w:rPr>
            <w:rStyle w:val="Text1"/>
          </w:rPr>
          <w:t>The pathlib Module</w:t>
        </w:r>
      </w:hyperlink>
    </w:p>
    <w:p>
      <w:pPr>
        <w:pStyle w:val="Para 003"/>
      </w:pPr>
      <w:r>
        <w:t>hasattr (built-in function)</w:t>
        <w:t xml:space="preserve">, </w:t>
      </w:r>
      <w:hyperlink w:anchor="idm45965215885632">
        <w:r>
          <w:rPr>
            <w:rStyle w:val="Text1"/>
          </w:rPr>
          <w:t>Built-in Functions</w:t>
        </w:r>
      </w:hyperlink>
    </w:p>
    <w:p>
      <w:pPr>
        <w:pStyle w:val="Para 003"/>
      </w:pPr>
      <w:r>
        <w:t>hash (built-in function)</w:t>
        <w:t xml:space="preserve">, </w:t>
      </w:r>
      <w:hyperlink w:anchor="idm45965215874832">
        <w:r>
          <w:rPr>
            <w:rStyle w:val="Text1"/>
          </w:rPr>
          <w:t>Built-in Functions</w:t>
        </w:r>
      </w:hyperlink>
    </w:p>
    <w:p>
      <w:pPr>
        <w:pStyle w:val="Para 004"/>
      </w:pPr>
      <w:r>
        <w:rPr>
          <w:rStyle w:val="Text2"/>
        </w:rPr>
        <w:t>hash sign (#)</w:t>
        <w:t xml:space="preserve">, </w:t>
      </w:r>
      <w:hyperlink w:anchor="idm45965274424832">
        <w:r>
          <w:t>Lines and Indentation</w:t>
        </w:r>
      </w:hyperlink>
      <w:r>
        <w:rPr>
          <w:rStyle w:val="Text2"/>
        </w:rPr>
        <w:t xml:space="preserve">, </w:t>
      </w:r>
      <w:hyperlink w:anchor="idm45965276498320">
        <w:r>
          <w:t>Delimiters</w:t>
        </w:r>
      </w:hyperlink>
    </w:p>
    <w:p>
      <w:pPr>
        <w:pStyle w:val="Para 003"/>
      </w:pPr>
      <w:r>
        <w:t>hashing</w:t>
      </w:r>
    </w:p>
    <w:p>
      <w:pPr>
        <w:pStyle w:val="Para 003"/>
      </w:pPr>
      <w:r>
        <w:t>hashable items (sets)</w:t>
        <w:t xml:space="preserve">, </w:t>
      </w:r>
      <w:hyperlink w:anchor="idm45965265501520">
        <w:r>
          <w:rPr>
            <w:rStyle w:val="Text1"/>
          </w:rPr>
          <w:t>Sets</w:t>
        </w:r>
      </w:hyperlink>
    </w:p>
    <w:p>
      <w:pPr>
        <w:pStyle w:val="Para 003"/>
      </w:pPr>
      <w:r>
        <w:t>hashable keys</w:t>
        <w:t xml:space="preserve">, </w:t>
      </w:r>
      <w:hyperlink w:anchor="idm45965269505392">
        <w:r>
          <w:rPr>
            <w:rStyle w:val="Text1"/>
          </w:rPr>
          <w:t>Dictionaries</w:t>
        </w:r>
      </w:hyperlink>
    </w:p>
    <w:p>
      <w:pPr>
        <w:pStyle w:val="Para 004"/>
      </w:pPr>
      <w:r>
        <w:rPr>
          <w:rStyle w:val="Text2"/>
        </w:rPr>
        <w:t>special methods for</w:t>
        <w:t xml:space="preserve">, </w:t>
      </w:r>
      <w:hyperlink w:anchor="idm45965265024880">
        <w:r>
          <w:t>General-Purpose Special Methods</w:t>
        </w:r>
      </w:hyperlink>
    </w:p>
    <w:p>
      <w:pPr>
        <w:pStyle w:val="Para 004"/>
      </w:pPr>
      <w:r>
        <w:rPr>
          <w:rStyle w:val="Text2"/>
        </w:rPr>
        <w:t>hatch tool</w:t>
        <w:t xml:space="preserve">, </w:t>
      </w:r>
      <w:hyperlink w:anchor="idm45965162872352">
        <w:r>
          <w:t>Packaging Programs and Extensions</w:t>
        </w:r>
      </w:hyperlink>
    </w:p>
    <w:p>
      <w:pPr>
        <w:pStyle w:val="Para 004"/>
      </w:pPr>
      <w:r>
        <w:rPr>
          <w:rStyle w:val="Text2"/>
        </w:rPr>
        <w:t>header lines</w:t>
        <w:t xml:space="preserve">, </w:t>
      </w:r>
      <w:hyperlink w:anchor="idm45965282347648">
        <w:r>
          <w:t>The if Statement</w:t>
        </w:r>
      </w:hyperlink>
    </w:p>
    <w:p>
      <w:pPr>
        <w:pStyle w:val="Para 004"/>
      </w:pPr>
      <w:r>
        <w:rPr>
          <w:rStyle w:val="Text2"/>
        </w:rPr>
        <w:t>headers</w:t>
        <w:t xml:space="preserve">, </w:t>
      </w:r>
      <w:hyperlink w:anchor="idm45965281961696">
        <w:r>
          <w:t>Compound statements</w:t>
        </w:r>
      </w:hyperlink>
      <w:r>
        <w:rPr>
          <w:rStyle w:val="Text2"/>
        </w:rPr>
        <w:t xml:space="preserve">, </w:t>
      </w:r>
      <w:hyperlink w:anchor="idm45965173260912">
        <w:r>
          <w:t>The email.message Module</w:t>
        </w:r>
      </w:hyperlink>
    </w:p>
    <w:p>
      <w:pPr>
        <w:pStyle w:val="Para 004"/>
      </w:pPr>
      <w:r>
        <w:rPr>
          <w:rStyle w:val="Text2"/>
        </w:rPr>
        <w:t>heapq module</w:t>
        <w:t xml:space="preserve">, </w:t>
      </w:r>
      <w:hyperlink w:anchor="heapqmod08">
        <w:r>
          <w:t>The heapq Module</w:t>
        </w:r>
      </w:hyperlink>
      <w:r>
        <w:rPr>
          <w:rStyle w:val="Text2"/>
        </w:rPr>
        <w:t>-</w:t>
      </w:r>
      <w:hyperlink w:anchor="idm45965214093840">
        <w:r>
          <w:t>The Decorate–Sort–Undecorate Idiom</w:t>
        </w:r>
      </w:hyperlink>
    </w:p>
    <w:p>
      <w:pPr>
        <w:pStyle w:val="Para 004"/>
      </w:pPr>
      <w:r>
        <w:rPr>
          <w:rStyle w:val="Text2"/>
        </w:rPr>
        <w:t>help (built-in function)</w:t>
        <w:t xml:space="preserve">, </w:t>
      </w:r>
      <w:hyperlink w:anchor="idm45965278334160">
        <w:r>
          <w:t>Interactive Sessions</w:t>
        </w:r>
      </w:hyperlink>
      <w:r>
        <w:rPr>
          <w:rStyle w:val="Text2"/>
        </w:rPr>
        <w:t xml:space="preserve">, </w:t>
      </w:r>
      <w:hyperlink w:anchor="idm45965215862048">
        <w:r>
          <w:t>Built-in Functions</w:t>
        </w:r>
      </w:hyperlink>
    </w:p>
    <w:p>
      <w:pPr>
        <w:pStyle w:val="Para 004"/>
      </w:pPr>
      <w:r>
        <w:rPr>
          <w:rStyle w:val="Text2"/>
        </w:rPr>
        <w:t>help argument</w:t>
        <w:t xml:space="preserve">, </w:t>
      </w:r>
      <w:hyperlink w:anchor="idm45965214010864">
        <w:r>
          <w:t>The argparse Module</w:t>
        </w:r>
      </w:hyperlink>
    </w:p>
    <w:p>
      <w:pPr>
        <w:pStyle w:val="Para 003"/>
      </w:pPr>
      <w:r>
        <w:t>help, getting</w:t>
        <w:t xml:space="preserve">, </w:t>
      </w:r>
      <w:hyperlink w:anchor="idm45965279040352">
        <w:r>
          <w:rPr>
            <w:rStyle w:val="Text1"/>
          </w:rPr>
          <w:t>Mailing lists</w:t>
        </w:r>
      </w:hyperlink>
    </w:p>
    <w:p>
      <w:pPr>
        <w:pStyle w:val="Para 003"/>
      </w:pPr>
      <w:r>
        <w:t>hex (built-in function)</w:t>
        <w:t xml:space="preserve">, </w:t>
      </w:r>
      <w:hyperlink w:anchor="idm45965215852128">
        <w:r>
          <w:rPr>
            <w:rStyle w:val="Text1"/>
          </w:rPr>
          <w:t>Built-in Functions</w:t>
        </w:r>
      </w:hyperlink>
    </w:p>
    <w:p>
      <w:pPr>
        <w:pStyle w:val="Para 004"/>
      </w:pPr>
      <w:r>
        <w:rPr>
          <w:rStyle w:val="Text2"/>
        </w:rPr>
        <w:t>hex (float method)</w:t>
        <w:t xml:space="preserve">, </w:t>
      </w:r>
      <w:hyperlink w:anchor="idm45965282916784">
        <w:r>
          <w:t>Floating-point numbers</w:t>
        </w:r>
      </w:hyperlink>
    </w:p>
    <w:p>
      <w:pPr>
        <w:pStyle w:val="Para 003"/>
      </w:pPr>
      <w:r>
        <w:t>hexadecimal literals</w:t>
        <w:t xml:space="preserve">, </w:t>
      </w:r>
      <w:hyperlink w:anchor="idm45965281894192">
        <w:r>
          <w:rPr>
            <w:rStyle w:val="Text1"/>
          </w:rPr>
          <w:t>Integer numbers</w:t>
        </w:r>
      </w:hyperlink>
    </w:p>
    <w:p>
      <w:pPr>
        <w:pStyle w:val="Para 003"/>
      </w:pPr>
      <w:r>
        <w:t>escape sequence (\x XX)</w:t>
        <w:t xml:space="preserve">, </w:t>
      </w:r>
      <w:hyperlink w:anchor="idm45965278996464">
        <w:r>
          <w:rPr>
            <w:rStyle w:val="Text1"/>
          </w:rPr>
          <w:t>Strings</w:t>
        </w:r>
      </w:hyperlink>
    </w:p>
    <w:p>
      <w:pPr>
        <w:pStyle w:val="Para 004"/>
      </w:pPr>
      <w:r>
        <w:rPr>
          <w:rStyle w:val="Text2"/>
        </w:rPr>
        <w:t>higher-order functions</w:t>
        <w:t xml:space="preserve">, </w:t>
      </w:r>
      <w:hyperlink w:anchor="idm45965281266416">
        <w:r>
          <w:t>Decorators</w:t>
        </w:r>
      </w:hyperlink>
      <w:r>
        <w:rPr>
          <w:rStyle w:val="Text2"/>
        </w:rPr>
        <w:t xml:space="preserve">, </w:t>
      </w:r>
      <w:hyperlink w:anchor="idm45965186572672">
        <w:r>
          <w:t>The operator Module</w:t>
        </w:r>
      </w:hyperlink>
    </w:p>
    <w:p>
      <w:pPr>
        <w:pStyle w:val="Para 003"/>
      </w:pPr>
      <w:r>
        <w:t>home (pathlib.Path class)</w:t>
        <w:t xml:space="preserve">, </w:t>
      </w:r>
      <w:hyperlink w:anchor="idm45965203147968">
        <w:r>
          <w:rPr>
            <w:rStyle w:val="Text1"/>
          </w:rPr>
          <w:t>The pathlib Module</w:t>
        </w:r>
      </w:hyperlink>
    </w:p>
    <w:p>
      <w:pPr>
        <w:pStyle w:val="Para 003"/>
      </w:pPr>
      <w:r>
        <w:t>homoglyphs</w:t>
        <w:t xml:space="preserve">, </w:t>
      </w:r>
      <w:hyperlink w:anchor="idm45965252600240">
        <w:r>
          <w:rPr>
            <w:rStyle w:val="Text1"/>
          </w:rPr>
          <w:t>Identifiers</w:t>
        </w:r>
      </w:hyperlink>
    </w:p>
    <w:p>
      <w:pPr>
        <w:pStyle w:val="Para 004"/>
      </w:pPr>
      <w:r>
        <w:rPr>
          <w:rStyle w:val="Text2"/>
        </w:rPr>
        <w:t>hot spots</w:t>
        <w:t xml:space="preserve">, </w:t>
      </w:r>
      <w:hyperlink w:anchor="idm45965181081200">
        <w:r>
          <w:t>Optimization</w:t>
        </w:r>
      </w:hyperlink>
    </w:p>
    <w:p>
      <w:pPr>
        <w:pStyle w:val="Para 004"/>
      </w:pPr>
      <w:r>
        <w:rPr>
          <w:rStyle w:val="Text2"/>
        </w:rPr>
        <w:t>HTML (HyperText Markup Language)</w:t>
        <w:t xml:space="preserve">, </w:t>
      </w:r>
      <w:hyperlink w:anchor="idm45965171988416">
        <w:r>
          <w:t>Structured Text: HTML</w:t>
        </w:r>
      </w:hyperlink>
      <w:r>
        <w:rPr>
          <w:rStyle w:val="Text2"/>
        </w:rPr>
        <w:t xml:space="preserve">, </w:t>
      </w:r>
      <w:hyperlink w:anchor="htmlgen22">
        <w:r>
          <w:t>Generating HTML</w:t>
        </w:r>
      </w:hyperlink>
      <w:r>
        <w:rPr>
          <w:rStyle w:val="Text2"/>
        </w:rPr>
        <w:t>-</w:t>
      </w:r>
      <w:hyperlink w:anchor="idm45965169239584">
        <w:r>
          <w:t>Building HTML with jinja2</w:t>
        </w:r>
      </w:hyperlink>
    </w:p>
    <w:p>
      <w:pPr>
        <w:pStyle w:val="Para 004"/>
      </w:pPr>
      <w:r>
        <w:rPr>
          <w:rStyle w:val="Text2"/>
        </w:rPr>
        <w:t>html.entities module</w:t>
        <w:t xml:space="preserve">, </w:t>
      </w:r>
      <w:hyperlink w:anchor="idm45965171956416">
        <w:r>
          <w:t>The html.entities Module</w:t>
        </w:r>
      </w:hyperlink>
    </w:p>
    <w:p>
      <w:pPr>
        <w:pStyle w:val="Para 003"/>
      </w:pPr>
      <w:r>
        <w:t>HTTP (Hypertext Transfer Protocol)</w:t>
        <w:t xml:space="preserve">, </w:t>
      </w:r>
      <w:hyperlink w:anchor="idm45965174953920">
        <w:r>
          <w:rPr>
            <w:rStyle w:val="Text1"/>
          </w:rPr>
          <w:t>Serving HTTP</w:t>
        </w:r>
      </w:hyperlink>
    </w:p>
    <w:p>
      <w:pPr>
        <w:pStyle w:val="Para 003"/>
      </w:pPr>
      <w:r>
        <w:t>http.server module</w:t>
        <w:t xml:space="preserve">, </w:t>
      </w:r>
      <w:hyperlink w:anchor="idm45965174945760">
        <w:r>
          <w:rPr>
            <w:rStyle w:val="Text1"/>
          </w:rPr>
          <w:t>http.server</w:t>
        </w:r>
      </w:hyperlink>
    </w:p>
    <w:p>
      <w:pPr>
        <w:pStyle w:val="Para 004"/>
      </w:pPr>
      <w:r>
        <w:rPr>
          <w:rStyle w:val="Text2"/>
        </w:rPr>
        <w:t>httpx module</w:t>
        <w:t xml:space="preserve">, </w:t>
      </w:r>
      <w:hyperlink w:anchor="idm45965175757632">
        <w:r>
          <w:t>HTTP and URL Clients</w:t>
        </w:r>
      </w:hyperlink>
    </w:p>
    <w:p>
      <w:pPr>
        <w:pStyle w:val="Para 003"/>
      </w:pPr>
      <w:r>
        <w:t>Hypercorn</w:t>
        <w:t xml:space="preserve">, </w:t>
      </w:r>
      <w:hyperlink w:anchor="idm45965174419024">
        <w:r>
          <w:rPr>
            <w:rStyle w:val="Text1"/>
          </w:rPr>
          <w:t>FastAPI</w:t>
        </w:r>
      </w:hyperlink>
    </w:p>
    <w:p>
      <w:pPr>
        <w:pStyle w:val="Para 004"/>
      </w:pPr>
      <w:r>
        <w:rPr>
          <w:rStyle w:val="Text2"/>
        </w:rPr>
        <w:t>HyperText Markup Language (HTML)</w:t>
        <w:t xml:space="preserve">, </w:t>
      </w:r>
      <w:hyperlink w:anchor="idm45965171989568">
        <w:r>
          <w:t>Structured Text: HTML</w:t>
        </w:r>
      </w:hyperlink>
      <w:r>
        <w:rPr>
          <w:rStyle w:val="Text2"/>
        </w:rPr>
        <w:t xml:space="preserve">, </w:t>
      </w:r>
      <w:hyperlink w:anchor="hypegen22">
        <w:r>
          <w:t>Generating HTML</w:t>
        </w:r>
      </w:hyperlink>
      <w:r>
        <w:rPr>
          <w:rStyle w:val="Text2"/>
        </w:rPr>
        <w:t>-</w:t>
      </w:r>
      <w:hyperlink w:anchor="idm45965169240960">
        <w:r>
          <w:t>Building HTML with jinja2</w:t>
        </w:r>
      </w:hyperlink>
    </w:p>
    <w:p>
      <w:pPr>
        <w:pStyle w:val="Para 003"/>
      </w:pPr>
      <w:r>
        <w:t>Hypertext Transfer Protocol (HTTP)</w:t>
        <w:t xml:space="preserve">, </w:t>
      </w:r>
      <w:hyperlink w:anchor="idm45965174952720">
        <w:r>
          <w:rPr>
            <w:rStyle w:val="Text1"/>
          </w:rPr>
          <w:t>Serving HTTP</w:t>
        </w:r>
      </w:hyperlink>
    </w:p>
    <w:p>
      <w:pPr>
        <w:keepNext/>
        <w:pStyle w:val="Heading 3"/>
      </w:pPr>
      <w:r>
        <w:t>I</w:t>
      </w:r>
    </w:p>
    <w:p>
      <w:pPr>
        <w:pStyle w:val="Para 003"/>
      </w:pPr>
      <w:r>
        <w:t>I/O (input/output)</w:t>
        <w:t xml:space="preserve">, </w:t>
      </w:r>
      <w:hyperlink w:anchor="idm45965206415552">
        <w:r>
          <w:rPr>
            <w:rStyle w:val="Text1"/>
          </w:rPr>
          <w:t>File and Text Operations</w:t>
        </w:r>
      </w:hyperlink>
      <w:r>
        <w:t xml:space="preserve"> (</w:t>
        <w:t>see</w:t>
        <w:t xml:space="preserve"> also console I/O; file and text operations; richer-text I/O)</w:t>
      </w:r>
    </w:p>
    <w:p>
      <w:pPr>
        <w:pStyle w:val="Para 004"/>
      </w:pPr>
      <w:r>
        <w:rPr>
          <w:rStyle w:val="Text2"/>
        </w:rPr>
        <w:t>I/O-bound programs</w:t>
        <w:t xml:space="preserve">, </w:t>
      </w:r>
      <w:hyperlink w:anchor="idm45965193605776">
        <w:r>
          <w:t>Concurrency: Threads and Processes</w:t>
        </w:r>
      </w:hyperlink>
      <w:r>
        <w:rPr>
          <w:rStyle w:val="Text2"/>
        </w:rPr>
        <w:t xml:space="preserve">, </w:t>
      </w:r>
      <w:hyperlink w:anchor="idm45965177710688">
        <w:r>
          <w:t>Optimizing I/O</w:t>
        </w:r>
      </w:hyperlink>
    </w:p>
    <w:p>
      <w:pPr>
        <w:pStyle w:val="Para 004"/>
      </w:pPr>
      <w:r>
        <w:rPr>
          <w:rStyle w:val="Text2"/>
        </w:rPr>
        <w:t>i18n (internationalization)</w:t>
        <w:t xml:space="preserve">, </w:t>
      </w:r>
      <w:hyperlink w:anchor="idm45965211959056">
        <w:r>
          <w:t>Formatted String Literals (F-Strings)</w:t>
        </w:r>
      </w:hyperlink>
      <w:r>
        <w:rPr>
          <w:rStyle w:val="Text2"/>
        </w:rPr>
        <w:t xml:space="preserve">, </w:t>
      </w:r>
      <w:hyperlink w:anchor="i18n11">
        <w:r>
          <w:t>Internationalization</w:t>
        </w:r>
      </w:hyperlink>
      <w:r>
        <w:rPr>
          <w:rStyle w:val="Text2"/>
        </w:rPr>
        <w:t>-</w:t>
      </w:r>
      <w:hyperlink w:anchor="idm45965200565536">
        <w:r>
          <w:t>More Internationalization Resources</w:t>
        </w:r>
      </w:hyperlink>
    </w:p>
    <w:p>
      <w:pPr>
        <w:pStyle w:val="Para 003"/>
      </w:pPr>
      <w:r>
        <w:t>id (built-in function)</w:t>
        <w:t xml:space="preserve">, </w:t>
      </w:r>
      <w:hyperlink w:anchor="idm45965215844544">
        <w:r>
          <w:rPr>
            <w:rStyle w:val="Text1"/>
          </w:rPr>
          <w:t>Built-in Functions</w:t>
        </w:r>
      </w:hyperlink>
    </w:p>
    <w:p>
      <w:pPr>
        <w:pStyle w:val="Para 004"/>
      </w:pPr>
      <w:r>
        <w:rPr>
          <w:rStyle w:val="Text2"/>
        </w:rPr>
        <w:t>identifiers</w:t>
        <w:t xml:space="preserve">, </w:t>
      </w:r>
      <w:hyperlink w:anchor="idm45965274349072">
        <w:r>
          <w:t>Identifiers</w:t>
        </w:r>
      </w:hyperlink>
      <w:r>
        <w:rPr>
          <w:rStyle w:val="Text2"/>
        </w:rPr>
        <w:t xml:space="preserve">, </w:t>
      </w:r>
      <w:hyperlink w:anchor="idm45965258619328">
        <w:r>
          <w:t>Plain assignment</w:t>
        </w:r>
      </w:hyperlink>
    </w:p>
    <w:p>
      <w:pPr>
        <w:pStyle w:val="Para 003"/>
      </w:pPr>
      <w:r>
        <w:t>IDLE (Integrated Development and Learning Environment)</w:t>
        <w:t xml:space="preserve">, </w:t>
      </w:r>
      <w:hyperlink w:anchor="idm45965276493088">
        <w:r>
          <w:rPr>
            <w:rStyle w:val="Text1"/>
          </w:rPr>
          <w:t>IDLE</w:t>
        </w:r>
      </w:hyperlink>
    </w:p>
    <w:p>
      <w:pPr>
        <w:pStyle w:val="Para 004"/>
      </w:pPr>
      <w:r>
        <w:rPr>
          <w:rStyle w:val="Text2"/>
        </w:rPr>
        <w:t>if statement</w:t>
        <w:t xml:space="preserve">, </w:t>
      </w:r>
      <w:hyperlink w:anchor="idm45965282466240">
        <w:r>
          <w:t>The if Statement</w:t>
        </w:r>
      </w:hyperlink>
    </w:p>
    <w:p>
      <w:pPr>
        <w:pStyle w:val="Para 004"/>
      </w:pPr>
      <w:r>
        <w:rPr>
          <w:rStyle w:val="Text2"/>
        </w:rPr>
        <w:t>if/else conditional expression</w:t>
        <w:t xml:space="preserve">, </w:t>
      </w:r>
      <w:hyperlink w:anchor="IFiselse03">
        <w:r>
          <w:t>Comparison Chaining</w:t>
        </w:r>
      </w:hyperlink>
      <w:r>
        <w:rPr>
          <w:rStyle w:val="Text2"/>
        </w:rPr>
        <w:t>-</w:t>
      </w:r>
      <w:hyperlink w:anchor="idm45965274996592">
        <w:r>
          <w:t>The conditional operator</w:t>
        </w:r>
      </w:hyperlink>
    </w:p>
    <w:p>
      <w:pPr>
        <w:pStyle w:val="Para 003"/>
      </w:pPr>
      <w:r>
        <w:t>ignore end of line (\&lt;newline&gt;)</w:t>
        <w:t xml:space="preserve">, </w:t>
      </w:r>
      <w:hyperlink w:anchor="idm45965276668176">
        <w:r>
          <w:rPr>
            <w:rStyle w:val="Text1"/>
          </w:rPr>
          <w:t>Strings</w:t>
        </w:r>
      </w:hyperlink>
    </w:p>
    <w:p>
      <w:pPr>
        <w:pStyle w:val="Para 003"/>
      </w:pPr>
      <w:r>
        <w:t>IMAP4 (Internet Message Access Protocol version 4)</w:t>
        <w:t xml:space="preserve">, </w:t>
      </w:r>
      <w:hyperlink w:anchor="idm45965175952176">
        <w:r>
          <w:rPr>
            <w:rStyle w:val="Text1"/>
          </w:rPr>
          <w:t>Email Protocols</w:t>
        </w:r>
      </w:hyperlink>
    </w:p>
    <w:p>
      <w:pPr>
        <w:pStyle w:val="Para 003"/>
      </w:pPr>
      <w:r>
        <w:t>imaplib module</w:t>
        <w:t xml:space="preserve">, </w:t>
      </w:r>
      <w:hyperlink w:anchor="idm45965175947104">
        <w:r>
          <w:rPr>
            <w:rStyle w:val="Text1"/>
          </w:rPr>
          <w:t>Email Protocols</w:t>
        </w:r>
      </w:hyperlink>
    </w:p>
    <w:p>
      <w:pPr>
        <w:pStyle w:val="Para 003"/>
      </w:pPr>
      <w:r>
        <w:t>immutable objects</w:t>
        <w:t xml:space="preserve">, </w:t>
      </w:r>
      <w:hyperlink w:anchor="idm45965281935088">
        <w:r>
          <w:rPr>
            <w:rStyle w:val="Text1"/>
          </w:rPr>
          <w:t>Data Types</w:t>
        </w:r>
      </w:hyperlink>
    </w:p>
    <w:p>
      <w:pPr>
        <w:pStyle w:val="Para 003"/>
      </w:pPr>
      <w:r>
        <w:t>immutable strings</w:t>
        <w:t xml:space="preserve">, </w:t>
      </w:r>
      <w:hyperlink w:anchor="idm45965282819904">
        <w:r>
          <w:rPr>
            <w:rStyle w:val="Text1"/>
          </w:rPr>
          <w:t>Strings</w:t>
        </w:r>
      </w:hyperlink>
    </w:p>
    <w:p>
      <w:pPr>
        <w:pStyle w:val="Para 003"/>
      </w:pPr>
      <w:r>
        <w:t>import</w:t>
      </w:r>
    </w:p>
    <w:p>
      <w:pPr>
        <w:pStyle w:val="Para 003"/>
      </w:pPr>
      <w:r>
        <w:t>absolute versus relative imports</w:t>
        <w:t xml:space="preserve">, </w:t>
      </w:r>
      <w:hyperlink w:anchor="idm45965217196848">
        <w:r>
          <w:rPr>
            <w:rStyle w:val="Text1"/>
          </w:rPr>
          <w:t>Absolute Versus Relative Imports</w:t>
        </w:r>
      </w:hyperlink>
    </w:p>
    <w:p>
      <w:pPr>
        <w:pStyle w:val="Para 003"/>
      </w:pPr>
      <w:r>
        <w:t>from M import</w:t>
        <w:t xml:space="preserve">, </w:t>
      </w:r>
      <w:hyperlink w:anchor="idm45965254412832">
        <w:r>
          <w:rPr>
            <w:rStyle w:val="Text1"/>
          </w:rPr>
          <w:t>from...import *</w:t>
        </w:r>
      </w:hyperlink>
    </w:p>
    <w:p>
      <w:pPr>
        <w:pStyle w:val="Para 004"/>
      </w:pPr>
      <w:r>
        <w:rPr>
          <w:rStyle w:val="Text2"/>
        </w:rPr>
        <w:t>import failures</w:t>
        <w:t xml:space="preserve">, </w:t>
      </w:r>
      <w:hyperlink w:anchor="idm45965254373264">
        <w:r>
          <w:t>Handling import failures</w:t>
        </w:r>
      </w:hyperlink>
    </w:p>
    <w:p>
      <w:pPr>
        <w:pStyle w:val="Para 003"/>
      </w:pPr>
      <w:r>
        <w:t>import hooks</w:t>
        <w:t xml:space="preserve">, </w:t>
      </w:r>
      <w:hyperlink w:anchor="idm45965217510288">
        <w:r>
          <w:rPr>
            <w:rStyle w:val="Text1"/>
          </w:rPr>
          <w:t>Import hooks</w:t>
        </w:r>
      </w:hyperlink>
    </w:p>
    <w:p>
      <w:pPr>
        <w:pStyle w:val="Para 004"/>
      </w:pPr>
      <w:r>
        <w:rPr>
          <w:rStyle w:val="Text2"/>
        </w:rPr>
        <w:t>import statement</w:t>
        <w:t xml:space="preserve">, </w:t>
      </w:r>
      <w:hyperlink w:anchor="importstat07">
        <w:r>
          <w:t>The import Statement</w:t>
        </w:r>
      </w:hyperlink>
      <w:r>
        <w:rPr>
          <w:rStyle w:val="Text2"/>
        </w:rPr>
        <w:t>-</w:t>
      </w:r>
      <w:hyperlink w:anchor="idm45965254602960">
        <w:r>
          <w:t>Module-private variables</w:t>
        </w:r>
      </w:hyperlink>
      <w:r>
        <w:rPr>
          <w:rStyle w:val="Text2"/>
        </w:rPr>
        <w:t xml:space="preserve">, </w:t>
      </w:r>
      <w:hyperlink w:anchor="idm45965254387600">
        <w:r>
          <w:t>from versus import</w:t>
        </w:r>
      </w:hyperlink>
    </w:p>
    <w:p>
      <w:pPr>
        <w:pStyle w:val="Para 003"/>
      </w:pPr>
      <w:r>
        <w:t>importer factory</w:t>
        <w:t xml:space="preserve">, </w:t>
      </w:r>
      <w:hyperlink w:anchor="idm45965217508336">
        <w:r>
          <w:rPr>
            <w:rStyle w:val="Text1"/>
          </w:rPr>
          <w:t>Import hooks</w:t>
        </w:r>
      </w:hyperlink>
    </w:p>
    <w:p>
      <w:pPr>
        <w:pStyle w:val="Para 003"/>
      </w:pPr>
      <w:r>
        <w:t>__import__ function</w:t>
        <w:t xml:space="preserve">, </w:t>
      </w:r>
      <w:hyperlink w:anchor="idm45965216364816">
        <w:r>
          <w:rPr>
            <w:rStyle w:val="Text1"/>
          </w:rPr>
          <w:t>Built-in Functions</w:t>
        </w:r>
      </w:hyperlink>
    </w:p>
    <w:p>
      <w:pPr>
        <w:pStyle w:val="Para 003"/>
      </w:pPr>
      <w:r>
        <w:t>in keyword</w:t>
      </w:r>
    </w:p>
    <w:p>
      <w:pPr>
        <w:pStyle w:val="Para 004"/>
      </w:pPr>
      <w:r>
        <w:rPr>
          <w:rStyle w:val="Text2"/>
        </w:rPr>
        <w:t>dict membership</w:t>
        <w:t xml:space="preserve">, </w:t>
      </w:r>
      <w:hyperlink w:anchor="idm45965283672288">
        <w:r>
          <w:t>Dictionary Membership</w:t>
        </w:r>
      </w:hyperlink>
    </w:p>
    <w:p>
      <w:pPr>
        <w:pStyle w:val="Para 003"/>
      </w:pPr>
      <w:r>
        <w:t>in for statement</w:t>
        <w:t xml:space="preserve">, </w:t>
      </w:r>
      <w:hyperlink w:anchor="idm45965274578976">
        <w:r>
          <w:rPr>
            <w:rStyle w:val="Text1"/>
          </w:rPr>
          <w:t>The for Statement</w:t>
        </w:r>
      </w:hyperlink>
    </w:p>
    <w:p>
      <w:pPr>
        <w:pStyle w:val="Para 004"/>
      </w:pPr>
      <w:r>
        <w:rPr>
          <w:rStyle w:val="Text2"/>
        </w:rPr>
        <w:t>membership testing</w:t>
        <w:t xml:space="preserve">, </w:t>
      </w:r>
      <w:hyperlink w:anchor="idm45965275178896">
        <w:r>
          <w:t>Expressions and Operators</w:t>
        </w:r>
      </w:hyperlink>
      <w:r>
        <w:rPr>
          <w:rStyle w:val="Text2"/>
        </w:rPr>
        <w:t xml:space="preserve">, </w:t>
      </w:r>
      <w:hyperlink w:anchor="idm45965276105520">
        <w:r>
          <w:t>Membership testing</w:t>
        </w:r>
      </w:hyperlink>
    </w:p>
    <w:p>
      <w:pPr>
        <w:pStyle w:val="Para 003"/>
      </w:pPr>
      <w:r>
        <w:t>searching and sorting</w:t>
        <w:t xml:space="preserve">, </w:t>
      </w:r>
      <w:hyperlink w:anchor="idm45965178488544">
        <w:r>
          <w:rPr>
            <w:rStyle w:val="Text1"/>
          </w:rPr>
          <w:t>Searching and sorting</w:t>
        </w:r>
      </w:hyperlink>
    </w:p>
    <w:p>
      <w:pPr>
        <w:pStyle w:val="Para 003"/>
      </w:pPr>
      <w:r>
        <w:t>set membership</w:t>
        <w:t xml:space="preserve">, </w:t>
      </w:r>
      <w:hyperlink w:anchor="idm45965278630976">
        <w:r>
          <w:rPr>
            <w:rStyle w:val="Text1"/>
          </w:rPr>
          <w:t>Set Membership</w:t>
        </w:r>
      </w:hyperlink>
    </w:p>
    <w:p>
      <w:pPr>
        <w:pStyle w:val="Para 004"/>
      </w:pPr>
      <w:r>
        <w:rPr>
          <w:rStyle w:val="Text2"/>
        </w:rPr>
        <w:t>in-memory files</w:t>
        <w:t xml:space="preserve">, </w:t>
      </w:r>
      <w:hyperlink w:anchor="idm45965205277360">
        <w:r>
          <w:t>In-Memory Files: io.StringIO and io.BytesIO</w:t>
        </w:r>
      </w:hyperlink>
    </w:p>
    <w:p>
      <w:pPr>
        <w:pStyle w:val="Para 003"/>
      </w:pPr>
      <w:r>
        <w:t>in-place assignment</w:t>
        <w:t xml:space="preserve">, </w:t>
      </w:r>
      <w:hyperlink w:anchor="idm45965283339008">
        <w:r>
          <w:rPr>
            <w:rStyle w:val="Text1"/>
          </w:rPr>
          <w:t>Augmented assignment</w:t>
        </w:r>
      </w:hyperlink>
    </w:p>
    <w:p>
      <w:pPr>
        <w:pStyle w:val="Para 004"/>
      </w:pPr>
      <w:r>
        <w:rPr>
          <w:rStyle w:val="Text2"/>
        </w:rPr>
        <w:t>indentation</w:t>
        <w:t xml:space="preserve">, </w:t>
      </w:r>
      <w:hyperlink w:anchor="idm45965274426896">
        <w:r>
          <w:t>Lines and Indentation</w:t>
        </w:r>
      </w:hyperlink>
    </w:p>
    <w:p>
      <w:pPr>
        <w:pStyle w:val="Para 003"/>
      </w:pPr>
      <w:r>
        <w:t>index (list method)</w:t>
        <w:t xml:space="preserve">, </w:t>
      </w:r>
      <w:hyperlink w:anchor="idm45965280074064">
        <w:r>
          <w:rPr>
            <w:rStyle w:val="Text1"/>
          </w:rPr>
          <w:t>List methods</w:t>
        </w:r>
      </w:hyperlink>
    </w:p>
    <w:p>
      <w:pPr>
        <w:pStyle w:val="Para 004"/>
      </w:pPr>
      <w:r>
        <w:rPr>
          <w:rStyle w:val="Text2"/>
        </w:rPr>
        <w:t>index (string method)</w:t>
        <w:t xml:space="preserve">, </w:t>
      </w:r>
      <w:hyperlink w:anchor="idm45965212657520">
        <w:r>
          <w:t>Methods of String Objects</w:t>
        </w:r>
      </w:hyperlink>
    </w:p>
    <w:p>
      <w:pPr>
        <w:pStyle w:val="Para 004"/>
      </w:pPr>
      <w:r>
        <w:rPr>
          <w:rStyle w:val="Text2"/>
        </w:rPr>
        <w:t>indexfile</w:t>
        <w:t xml:space="preserve">, </w:t>
      </w:r>
      <w:hyperlink w:anchor="idm45965198318176">
        <w:r>
          <w:t>Examples of DBM-Like File Use</w:t>
        </w:r>
      </w:hyperlink>
    </w:p>
    <w:p>
      <w:pPr>
        <w:pStyle w:val="Para 003"/>
      </w:pPr>
      <w:r>
        <w:t>indexing</w:t>
      </w:r>
    </w:p>
    <w:p>
      <w:pPr>
        <w:pStyle w:val="Para 004"/>
      </w:pPr>
      <w:r>
        <w:rPr>
          <w:rStyle w:val="Text2"/>
        </w:rPr>
        <w:t>arrays</w:t>
        <w:t xml:space="preserve">, </w:t>
      </w:r>
      <w:hyperlink w:anchor="idm45965184619056">
        <w:r>
          <w:t>Shape, indexing, and slicing</w:t>
        </w:r>
      </w:hyperlink>
    </w:p>
    <w:p>
      <w:pPr>
        <w:pStyle w:val="Para 004"/>
      </w:pPr>
      <w:r>
        <w:rPr>
          <w:rStyle w:val="Text2"/>
        </w:rPr>
        <w:t>dictionaries</w:t>
        <w:t xml:space="preserve">, </w:t>
      </w:r>
      <w:hyperlink w:anchor="idm45965283656608">
        <w:r>
          <w:t>Indexing a Dictionary</w:t>
        </w:r>
      </w:hyperlink>
    </w:p>
    <w:p>
      <w:pPr>
        <w:pStyle w:val="Para 004"/>
      </w:pPr>
      <w:r>
        <w:rPr>
          <w:rStyle w:val="Text2"/>
        </w:rPr>
        <w:t>index</w:t>
        <w:t xml:space="preserve">, </w:t>
      </w:r>
      <w:hyperlink w:anchor="idm45965258677664">
        <w:r>
          <w:t>Object attributes and items</w:t>
        </w:r>
      </w:hyperlink>
    </w:p>
    <w:p>
      <w:pPr>
        <w:pStyle w:val="Para 003"/>
      </w:pPr>
      <w:r>
        <w:t>in plain assignment</w:t>
        <w:t xml:space="preserve">, </w:t>
      </w:r>
      <w:hyperlink w:anchor="idm45965258609520">
        <w:r>
          <w:rPr>
            <w:rStyle w:val="Text1"/>
          </w:rPr>
          <w:t>Plain assignment</w:t>
        </w:r>
      </w:hyperlink>
    </w:p>
    <w:p>
      <w:pPr>
        <w:pStyle w:val="Para 004"/>
      </w:pPr>
      <w:r>
        <w:rPr>
          <w:rStyle w:val="Text2"/>
        </w:rPr>
        <w:t>sequences</w:t>
        <w:t xml:space="preserve">, </w:t>
      </w:r>
      <w:hyperlink w:anchor="idm45965280036400">
        <w:r>
          <w:t>Indexing a sequence</w:t>
        </w:r>
      </w:hyperlink>
    </w:p>
    <w:p>
      <w:pPr>
        <w:pStyle w:val="Para 003"/>
      </w:pPr>
      <w:r>
        <w:t>inequality operator (!=)</w:t>
        <w:t xml:space="preserve">, </w:t>
      </w:r>
      <w:hyperlink w:anchor="idm45965276196128">
        <w:r>
          <w:rPr>
            <w:rStyle w:val="Text1"/>
          </w:rPr>
          <w:t>Comparisons</w:t>
        </w:r>
      </w:hyperlink>
    </w:p>
    <w:p>
      <w:pPr>
        <w:pStyle w:val="Para 004"/>
      </w:pPr>
      <w:r>
        <w:rPr>
          <w:rStyle w:val="Text2"/>
        </w:rPr>
        <w:t>inf (math module)</w:t>
        <w:t xml:space="preserve">, </w:t>
      </w:r>
      <w:hyperlink w:anchor="idm45965187149808">
        <w:r>
          <w:t>The math and cmath Modules</w:t>
        </w:r>
      </w:hyperlink>
    </w:p>
    <w:p>
      <w:pPr>
        <w:pStyle w:val="Para 004"/>
      </w:pPr>
      <w:r>
        <w:rPr>
          <w:rStyle w:val="Text2"/>
        </w:rPr>
        <w:t>infj (cmath module)</w:t>
        <w:t xml:space="preserve">, </w:t>
      </w:r>
      <w:hyperlink w:anchor="idm45965187207440">
        <w:r>
          <w:t>The math and cmath Modules</w:t>
        </w:r>
      </w:hyperlink>
    </w:p>
    <w:p>
      <w:pPr>
        <w:pStyle w:val="Para 003"/>
      </w:pPr>
      <w:r>
        <w:t>inheritance</w:t>
      </w:r>
    </w:p>
    <w:p>
      <w:pPr>
        <w:pStyle w:val="Para 004"/>
      </w:pPr>
      <w:r>
        <w:rPr>
          <w:rStyle w:val="Text2"/>
        </w:rPr>
        <w:t>basics of</w:t>
        <w:t xml:space="preserve">, </w:t>
      </w:r>
      <w:hyperlink w:anchor="idm45965272032496">
        <w:r>
          <w:t>Python Classes</w:t>
        </w:r>
      </w:hyperlink>
    </w:p>
    <w:p>
      <w:pPr>
        <w:pStyle w:val="Para 004"/>
      </w:pPr>
      <w:r>
        <w:rPr>
          <w:rStyle w:val="Text2"/>
        </w:rPr>
        <w:t>from built-in types</w:t>
        <w:t xml:space="preserve">, </w:t>
      </w:r>
      <w:hyperlink w:anchor="idm45965265131280">
        <w:r>
          <w:t>Inheritance from Built-in Types</w:t>
        </w:r>
      </w:hyperlink>
    </w:p>
    <w:p>
      <w:pPr>
        <w:pStyle w:val="Para 003"/>
      </w:pPr>
      <w:r>
        <w:t>checking instances to support</w:t>
        <w:t xml:space="preserve">, </w:t>
      </w:r>
      <w:hyperlink w:anchor="idm45965216428656">
        <w:r>
          <w:rPr>
            <w:rStyle w:val="Text1"/>
          </w:rPr>
          <w:t>Built-in Types</w:t>
        </w:r>
      </w:hyperlink>
    </w:p>
    <w:p>
      <w:pPr>
        <w:pStyle w:val="Para 003"/>
      </w:pPr>
      <w:r>
        <w:t>custom exceptions and multiple inheritance</w:t>
        <w:t xml:space="preserve">, </w:t>
      </w:r>
      <w:hyperlink w:anchor="idm45965256298576">
        <w:r>
          <w:rPr>
            <w:rStyle w:val="Text1"/>
          </w:rPr>
          <w:t>Custom Exceptions and Multiple Inheritance</w:t>
        </w:r>
      </w:hyperlink>
    </w:p>
    <w:p>
      <w:pPr>
        <w:pStyle w:val="Para 004"/>
      </w:pPr>
      <w:r>
        <w:rPr>
          <w:rStyle w:val="Text2"/>
        </w:rPr>
        <w:t>details of</w:t>
        <w:t xml:space="preserve">, </w:t>
      </w:r>
      <w:hyperlink w:anchor="inherit04">
        <w:r>
          <w:t>Inheritance</w:t>
        </w:r>
      </w:hyperlink>
      <w:r>
        <w:rPr>
          <w:rStyle w:val="Text2"/>
        </w:rPr>
        <w:t>-</w:t>
      </w:r>
      <w:hyperlink w:anchor="idm45965276864032">
        <w:r>
          <w:t>“Deleting” class attributes</w:t>
        </w:r>
      </w:hyperlink>
    </w:p>
    <w:p>
      <w:pPr>
        <w:pStyle w:val="Para 004"/>
      </w:pPr>
      <w:r>
        <w:rPr>
          <w:rStyle w:val="Text2"/>
        </w:rPr>
        <w:t>initialization</w:t>
        <w:t xml:space="preserve">, </w:t>
      </w:r>
      <w:hyperlink w:anchor="idm45965265043904">
        <w:r>
          <w:t>General-Purpose Special Methods</w:t>
        </w:r>
      </w:hyperlink>
    </w:p>
    <w:p>
      <w:pPr>
        <w:pStyle w:val="Para 003"/>
      </w:pPr>
      <w:r>
        <w:t>input (built-in function)</w:t>
        <w:t xml:space="preserve">, </w:t>
      </w:r>
      <w:hyperlink w:anchor="idm45965215827216">
        <w:r>
          <w:rPr>
            <w:rStyle w:val="Text1"/>
          </w:rPr>
          <w:t>Built-in Functions</w:t>
        </w:r>
      </w:hyperlink>
    </w:p>
    <w:p>
      <w:pPr>
        <w:pStyle w:val="Para 003"/>
      </w:pPr>
      <w:r>
        <w:t>input (fileinput module)</w:t>
        <w:t xml:space="preserve">, </w:t>
      </w:r>
      <w:hyperlink w:anchor="idm45965205659696">
        <w:r>
          <w:rPr>
            <w:rStyle w:val="Text1"/>
          </w:rPr>
          <w:t>The fileinput Module</w:t>
        </w:r>
      </w:hyperlink>
    </w:p>
    <w:p>
      <w:pPr>
        <w:pStyle w:val="Para 003"/>
      </w:pPr>
      <w:r>
        <w:t>input/output (I/O)</w:t>
        <w:t xml:space="preserve">, </w:t>
      </w:r>
      <w:hyperlink w:anchor="idm45965206416656">
        <w:r>
          <w:rPr>
            <w:rStyle w:val="Text1"/>
          </w:rPr>
          <w:t>File and Text Operations</w:t>
        </w:r>
      </w:hyperlink>
      <w:r>
        <w:t xml:space="preserve"> (</w:t>
        <w:t>see</w:t>
        <w:t xml:space="preserve"> also console I/O; file and text operations; richer-text I/O)</w:t>
      </w:r>
    </w:p>
    <w:p>
      <w:pPr>
        <w:pStyle w:val="Para 003"/>
      </w:pPr>
      <w:r>
        <w:t>insert (list method)</w:t>
        <w:t xml:space="preserve">, </w:t>
      </w:r>
      <w:hyperlink w:anchor="idm45965278801296">
        <w:r>
          <w:rPr>
            <w:rStyle w:val="Text1"/>
          </w:rPr>
          <w:t>List methods</w:t>
        </w:r>
      </w:hyperlink>
    </w:p>
    <w:p>
      <w:pPr>
        <w:pStyle w:val="Para 004"/>
      </w:pPr>
      <w:r>
        <w:rPr>
          <w:rStyle w:val="Text2"/>
        </w:rPr>
        <w:t>inspect module</w:t>
        <w:t xml:space="preserve">, </w:t>
      </w:r>
      <w:hyperlink w:anchor="idm45965194222512">
        <w:r>
          <w:t>The Frame Type</w:t>
        </w:r>
      </w:hyperlink>
      <w:r>
        <w:rPr>
          <w:rStyle w:val="Text2"/>
        </w:rPr>
        <w:t xml:space="preserve">, </w:t>
      </w:r>
      <w:hyperlink w:anchor="insmod17">
        <w:r>
          <w:t>The inspect Module</w:t>
        </w:r>
      </w:hyperlink>
      <w:r>
        <w:rPr>
          <w:rStyle w:val="Text2"/>
        </w:rPr>
        <w:t>-</w:t>
      </w:r>
      <w:hyperlink w:anchor="idm45965181707920">
        <w:r>
          <w:t>An example of using inspect</w:t>
        </w:r>
      </w:hyperlink>
    </w:p>
    <w:p>
      <w:pPr>
        <w:pStyle w:val="Para 004"/>
      </w:pPr>
      <w:r>
        <w:rPr>
          <w:rStyle w:val="Text2"/>
        </w:rPr>
        <w:t>installation</w:t>
        <w:t xml:space="preserve">, </w:t>
      </w:r>
      <w:hyperlink w:anchor="install01">
        <w:r>
          <w:t>Installation</w:t>
        </w:r>
      </w:hyperlink>
      <w:r>
        <w:rPr>
          <w:rStyle w:val="Text2"/>
        </w:rPr>
        <w:t>-</w:t>
      </w:r>
      <w:hyperlink w:anchor="idm45965274974832">
        <w:r>
          <w:t>Installing after the build</w:t>
        </w:r>
      </w:hyperlink>
    </w:p>
    <w:p>
      <w:pPr>
        <w:pStyle w:val="Para 004"/>
      </w:pPr>
      <w:r>
        <w:rPr>
          <w:rStyle w:val="Text2"/>
        </w:rPr>
        <w:t>from binaries</w:t>
        <w:t xml:space="preserve">, </w:t>
      </w:r>
      <w:hyperlink w:anchor="idm45965283801296">
        <w:r>
          <w:t>Installing Python from Binaries</w:t>
        </w:r>
      </w:hyperlink>
    </w:p>
    <w:p>
      <w:pPr>
        <w:pStyle w:val="Para 004"/>
      </w:pPr>
      <w:r>
        <w:rPr>
          <w:rStyle w:val="Text2"/>
        </w:rPr>
        <w:t>from source code</w:t>
        <w:t xml:space="preserve">, </w:t>
      </w:r>
      <w:hyperlink w:anchor="idm45965283070864">
        <w:r>
          <w:t>Installing Python from Source Code</w:t>
        </w:r>
      </w:hyperlink>
    </w:p>
    <w:p>
      <w:pPr>
        <w:pStyle w:val="Para 004"/>
      </w:pPr>
      <w:r>
        <w:rPr>
          <w:rStyle w:val="Text2"/>
        </w:rPr>
        <w:t>macOS</w:t>
        <w:t xml:space="preserve">, </w:t>
      </w:r>
      <w:hyperlink w:anchor="idm45965283786592">
        <w:r>
          <w:t>Installing Python from Binaries</w:t>
        </w:r>
      </w:hyperlink>
    </w:p>
    <w:p>
      <w:pPr>
        <w:pStyle w:val="Para 003"/>
      </w:pPr>
      <w:r>
        <w:t>Microsoft Windows</w:t>
        <w:t xml:space="preserve">, </w:t>
      </w:r>
      <w:hyperlink w:anchor="idm45965283058400">
        <w:r>
          <w:rPr>
            <w:rStyle w:val="Text1"/>
          </w:rPr>
          <w:t>Microsoft Windows</w:t>
        </w:r>
      </w:hyperlink>
    </w:p>
    <w:p>
      <w:pPr>
        <w:pStyle w:val="Para 003"/>
      </w:pPr>
      <w:r>
        <w:t>pre-installed versions</w:t>
        <w:t xml:space="preserve">, </w:t>
      </w:r>
      <w:hyperlink w:anchor="idm45965283805888">
        <w:r>
          <w:rPr>
            <w:rStyle w:val="Text1"/>
          </w:rPr>
          <w:t>Installation</w:t>
        </w:r>
      </w:hyperlink>
    </w:p>
    <w:p>
      <w:pPr>
        <w:pStyle w:val="Para 003"/>
      </w:pPr>
      <w:r>
        <w:t>Unix-like platforms</w:t>
        <w:t xml:space="preserve">, </w:t>
      </w:r>
      <w:hyperlink w:anchor="idm45965283036864">
        <w:r>
          <w:rPr>
            <w:rStyle w:val="Text1"/>
          </w:rPr>
          <w:t>Unix-Like Platforms</w:t>
        </w:r>
      </w:hyperlink>
    </w:p>
    <w:p>
      <w:pPr>
        <w:pStyle w:val="Para 004"/>
      </w:pPr>
      <w:r>
        <w:rPr>
          <w:rStyle w:val="Text2"/>
        </w:rPr>
        <w:t>installers</w:t>
        <w:t xml:space="preserve">, </w:t>
      </w:r>
      <w:hyperlink w:anchor="idm45965264039776">
        <w:r>
          <w:t>Other Developments, Implementations, and Distributions</w:t>
        </w:r>
      </w:hyperlink>
    </w:p>
    <w:p>
      <w:pPr>
        <w:pStyle w:val="Para 003"/>
      </w:pPr>
      <w:r>
        <w:t>instances</w:t>
      </w:r>
    </w:p>
    <w:p>
      <w:pPr>
        <w:pStyle w:val="Para 004"/>
      </w:pPr>
      <w:r>
        <w:rPr>
          <w:rStyle w:val="Text2"/>
        </w:rPr>
        <w:t>basics of</w:t>
        <w:t xml:space="preserve">, </w:t>
      </w:r>
      <w:hyperlink w:anchor="idm45965272028448">
        <w:r>
          <w:t>Python Classes</w:t>
        </w:r>
      </w:hyperlink>
    </w:p>
    <w:p>
      <w:pPr>
        <w:pStyle w:val="Para 004"/>
      </w:pPr>
      <w:r>
        <w:rPr>
          <w:rStyle w:val="Text2"/>
        </w:rPr>
        <w:t>details of</w:t>
        <w:t xml:space="preserve">, </w:t>
      </w:r>
      <w:hyperlink w:anchor="instances04">
        <w:r>
          <w:t>Instances</w:t>
        </w:r>
      </w:hyperlink>
      <w:r>
        <w:rPr>
          <w:rStyle w:val="Text2"/>
        </w:rPr>
        <w:t>-</w:t>
      </w:r>
      <w:hyperlink w:anchor="idm45965266747712">
        <w:r>
          <w:t>__new__</w:t>
        </w:r>
      </w:hyperlink>
    </w:p>
    <w:p>
      <w:pPr>
        <w:pStyle w:val="Para 003"/>
      </w:pPr>
      <w:r>
        <w:t>per instance methods</w:t>
        <w:t xml:space="preserve">, </w:t>
      </w:r>
      <w:hyperlink w:anchor="idm45965265182208">
        <w:r>
          <w:rPr>
            <w:rStyle w:val="Text1"/>
          </w:rPr>
          <w:t>Per Instance Methods</w:t>
        </w:r>
      </w:hyperlink>
    </w:p>
    <w:p>
      <w:pPr>
        <w:pStyle w:val="Para 003"/>
      </w:pPr>
      <w:r>
        <w:t>instantiation</w:t>
        <w:t xml:space="preserve">, </w:t>
      </w:r>
      <w:hyperlink w:anchor="idm45965272050352">
        <w:r>
          <w:rPr>
            <w:rStyle w:val="Text1"/>
          </w:rPr>
          <w:t>Python Classes</w:t>
        </w:r>
      </w:hyperlink>
    </w:p>
    <w:p>
      <w:pPr>
        <w:pStyle w:val="Para 003"/>
      </w:pPr>
      <w:r>
        <w:t>instants (time)</w:t>
        <w:t xml:space="preserve">, </w:t>
      </w:r>
      <w:hyperlink w:anchor="idm45965196955584">
        <w:r>
          <w:rPr>
            <w:rStyle w:val="Text1"/>
          </w:rPr>
          <w:t>Time Operations</w:t>
        </w:r>
      </w:hyperlink>
    </w:p>
    <w:p>
      <w:pPr>
        <w:pStyle w:val="Para 003"/>
      </w:pPr>
      <w:r>
        <w:t>int (built-in type)</w:t>
        <w:t xml:space="preserve">, </w:t>
      </w:r>
      <w:hyperlink w:anchor="idm45965216638320">
        <w:r>
          <w:rPr>
            <w:rStyle w:val="Text1"/>
          </w:rPr>
          <w:t>Built-in Types</w:t>
        </w:r>
      </w:hyperlink>
    </w:p>
    <w:p>
      <w:pPr>
        <w:pStyle w:val="Para 003"/>
      </w:pPr>
      <w:r>
        <w:t>int type</w:t>
      </w:r>
    </w:p>
    <w:p>
      <w:pPr>
        <w:pStyle w:val="Para 004"/>
      </w:pPr>
      <w:r>
        <w:rPr>
          <w:rStyle w:val="Text2"/>
        </w:rPr>
        <w:t>int methods</w:t>
        <w:t xml:space="preserve">, </w:t>
      </w:r>
      <w:hyperlink w:anchor="idm45965282784176">
        <w:r>
          <w:t>Integer numbers</w:t>
        </w:r>
      </w:hyperlink>
    </w:p>
    <w:p>
      <w:pPr>
        <w:pStyle w:val="Para 004"/>
      </w:pPr>
      <w:r>
        <w:rPr>
          <w:rStyle w:val="Text2"/>
        </w:rPr>
        <w:t>integer numbers</w:t>
        <w:t xml:space="preserve">, </w:t>
      </w:r>
      <w:hyperlink w:anchor="idm45965281902688">
        <w:r>
          <w:t>Integer numbers</w:t>
        </w:r>
      </w:hyperlink>
      <w:r>
        <w:rPr>
          <w:rStyle w:val="Text2"/>
        </w:rPr>
        <w:t xml:space="preserve">, </w:t>
      </w:r>
      <w:hyperlink w:anchor="idm45965210497184">
        <w:r>
          <w:t>Format type</w:t>
        </w:r>
      </w:hyperlink>
    </w:p>
    <w:p>
      <w:pPr>
        <w:pStyle w:val="Para 003"/>
      </w:pPr>
      <w:r>
        <w:t>Integrated Development and Learning Environment (IDLE)</w:t>
        <w:t xml:space="preserve">, </w:t>
      </w:r>
      <w:hyperlink w:anchor="idm45965276491984">
        <w:r>
          <w:rPr>
            <w:rStyle w:val="Text1"/>
          </w:rPr>
          <w:t>IDLE</w:t>
        </w:r>
      </w:hyperlink>
    </w:p>
    <w:p>
      <w:pPr>
        <w:pStyle w:val="Para 004"/>
      </w:pPr>
      <w:r>
        <w:rPr>
          <w:rStyle w:val="Text2"/>
        </w:rPr>
        <w:t>integration testing</w:t>
        <w:t xml:space="preserve">, </w:t>
      </w:r>
      <w:hyperlink w:anchor="idm45965183802064">
        <w:r>
          <w:t>Unit Testing and System Testing</w:t>
        </w:r>
      </w:hyperlink>
    </w:p>
    <w:p>
      <w:pPr>
        <w:pStyle w:val="Para 004"/>
      </w:pPr>
      <w:r>
        <w:rPr>
          <w:rStyle w:val="Text2"/>
        </w:rPr>
        <w:t>interactive sessions</w:t>
        <w:t xml:space="preserve">, </w:t>
      </w:r>
      <w:hyperlink w:anchor="intses02">
        <w:r>
          <w:t>Interactive Sessions</w:t>
        </w:r>
      </w:hyperlink>
      <w:r>
        <w:rPr>
          <w:rStyle w:val="Text2"/>
        </w:rPr>
        <w:t>-</w:t>
      </w:r>
      <w:hyperlink w:anchor="idm45965278299504">
        <w:r>
          <w:t>Interactive Sessions</w:t>
        </w:r>
      </w:hyperlink>
      <w:r>
        <w:rPr>
          <w:rStyle w:val="Text2"/>
        </w:rPr>
        <w:t xml:space="preserve">, </w:t>
      </w:r>
      <w:hyperlink w:anchor="idm45965194915264">
        <w:r>
          <w:t>Per-Site Customization</w:t>
        </w:r>
      </w:hyperlink>
    </w:p>
    <w:p>
      <w:pPr>
        <w:pStyle w:val="Para 003"/>
      </w:pPr>
      <w:r>
        <w:t>internal types</w:t>
        <w:t xml:space="preserve">, </w:t>
      </w:r>
      <w:hyperlink w:anchor="idm45965194321152">
        <w:r>
          <w:rPr>
            <w:rStyle w:val="Text1"/>
          </w:rPr>
          <w:t>Internal Types</w:t>
        </w:r>
      </w:hyperlink>
    </w:p>
    <w:p>
      <w:pPr>
        <w:pStyle w:val="Para 004"/>
      </w:pPr>
      <w:r>
        <w:rPr>
          <w:rStyle w:val="Text2"/>
        </w:rPr>
        <w:t>internationalization (i18n)</w:t>
        <w:t xml:space="preserve">, </w:t>
      </w:r>
      <w:hyperlink w:anchor="idm45965211992752">
        <w:r>
          <w:t>Formatted String Literals (F-Strings)</w:t>
        </w:r>
      </w:hyperlink>
      <w:r>
        <w:rPr>
          <w:rStyle w:val="Text2"/>
        </w:rPr>
        <w:t xml:space="preserve">, </w:t>
      </w:r>
      <w:hyperlink w:anchor="inter11">
        <w:r>
          <w:t>Internationalization</w:t>
        </w:r>
      </w:hyperlink>
      <w:r>
        <w:rPr>
          <w:rStyle w:val="Text2"/>
        </w:rPr>
        <w:t>-</w:t>
      </w:r>
      <w:hyperlink w:anchor="idm45965200566912">
        <w:r>
          <w:t>More Internationalization Resources</w:t>
        </w:r>
      </w:hyperlink>
    </w:p>
    <w:p>
      <w:pPr>
        <w:pStyle w:val="Para 003"/>
      </w:pPr>
      <w:r>
        <w:t>Internet Message Access Protocol version 4 (IMAP4)</w:t>
        <w:t xml:space="preserve">, </w:t>
      </w:r>
      <w:hyperlink w:anchor="idm45965175953248">
        <w:r>
          <w:rPr>
            <w:rStyle w:val="Text1"/>
          </w:rPr>
          <w:t>Email Protocols</w:t>
        </w:r>
      </w:hyperlink>
    </w:p>
    <w:p>
      <w:pPr>
        <w:pStyle w:val="Para 004"/>
      </w:pPr>
      <w:r>
        <w:rPr>
          <w:rStyle w:val="Text2"/>
        </w:rPr>
        <w:t>internet sockets</w:t>
        <w:t xml:space="preserve">, </w:t>
      </w:r>
      <w:hyperlink w:anchor="idm45965177670416">
        <w:r>
          <w:t>The Berkeley Socket Interface</w:t>
        </w:r>
      </w:hyperlink>
    </w:p>
    <w:p>
      <w:pPr>
        <w:pStyle w:val="Para 003"/>
      </w:pPr>
      <w:r>
        <w:t>interpreter</w:t>
        <w:t xml:space="preserve"> (</w:t>
        <w:t>see</w:t>
        <w:t xml:space="preserve"> Python interpreter)</w:t>
      </w:r>
    </w:p>
    <w:p>
      <w:pPr>
        <w:pStyle w:val="Para 004"/>
      </w:pPr>
      <w:r>
        <w:rPr>
          <w:rStyle w:val="Text2"/>
        </w:rPr>
        <w:t xml:space="preserve"> interprocess communication (IPC)</w:t>
        <w:t xml:space="preserve">, </w:t>
      </w:r>
      <w:hyperlink w:anchor="idm45965193664672">
        <w:r>
          <w:t>Concurrency: Threads and Processes</w:t>
        </w:r>
      </w:hyperlink>
      <w:r>
        <w:rPr>
          <w:rStyle w:val="Text2"/>
        </w:rPr>
        <w:t xml:space="preserve">, </w:t>
      </w:r>
      <w:hyperlink w:anchor="idm45965188343488">
        <w:r>
          <w:t>Using mmap Objects for IPC</w:t>
        </w:r>
      </w:hyperlink>
    </w:p>
    <w:p>
      <w:pPr>
        <w:pStyle w:val="Para 003"/>
      </w:pPr>
      <w:r>
        <w:t>intersection (set method)</w:t>
        <w:t xml:space="preserve">, </w:t>
      </w:r>
      <w:hyperlink w:anchor="idm45965278584560">
        <w:r>
          <w:rPr>
            <w:rStyle w:val="Text1"/>
          </w:rPr>
          <w:t>Set Methods</w:t>
        </w:r>
      </w:hyperlink>
    </w:p>
    <w:p>
      <w:pPr>
        <w:pStyle w:val="Para 003"/>
      </w:pPr>
      <w:r>
        <w:t>intervals (time)</w:t>
        <w:t xml:space="preserve">, </w:t>
      </w:r>
      <w:hyperlink w:anchor="idm45965196957552">
        <w:r>
          <w:rPr>
            <w:rStyle w:val="Text1"/>
          </w:rPr>
          <w:t>Time Operations</w:t>
        </w:r>
      </w:hyperlink>
    </w:p>
    <w:p>
      <w:pPr>
        <w:pStyle w:val="Para 003"/>
      </w:pPr>
      <w:r>
        <w:t>introspection</w:t>
        <w:t xml:space="preserve">, </w:t>
      </w:r>
      <w:hyperlink w:anchor="idm45965182446304">
        <w:r>
          <w:rPr>
            <w:rStyle w:val="Text1"/>
          </w:rPr>
          <w:t>Debugging</w:t>
        </w:r>
      </w:hyperlink>
    </w:p>
    <w:p>
      <w:pPr>
        <w:pStyle w:val="Para 004"/>
      </w:pPr>
      <w:r>
        <w:rPr>
          <w:rStyle w:val="Text2"/>
        </w:rPr>
        <w:t>io module</w:t>
        <w:t xml:space="preserve">, </w:t>
      </w:r>
      <w:hyperlink w:anchor="iomod11">
        <w:r>
          <w:t>The io Module</w:t>
        </w:r>
      </w:hyperlink>
      <w:r>
        <w:rPr>
          <w:rStyle w:val="Text2"/>
        </w:rPr>
        <w:t>-</w:t>
      </w:r>
      <w:hyperlink w:anchor="idm45965205920288">
        <w:r>
          <w:t>File-Like Objects and Polymorphism</w:t>
        </w:r>
      </w:hyperlink>
    </w:p>
    <w:p>
      <w:pPr>
        <w:pStyle w:val="Para 004"/>
      </w:pPr>
      <w:r>
        <w:rPr>
          <w:rStyle w:val="Text2"/>
        </w:rPr>
        <w:t>io.BytesIO</w:t>
        <w:t xml:space="preserve">, </w:t>
      </w:r>
      <w:hyperlink w:anchor="idm45965205273776">
        <w:r>
          <w:t>In-Memory Files: io.StringIO and io.BytesIO</w:t>
        </w:r>
      </w:hyperlink>
    </w:p>
    <w:p>
      <w:pPr>
        <w:pStyle w:val="Para 004"/>
      </w:pPr>
      <w:r>
        <w:rPr>
          <w:rStyle w:val="Text2"/>
        </w:rPr>
        <w:t>io.StringIO</w:t>
        <w:t xml:space="preserve">, </w:t>
      </w:r>
      <w:hyperlink w:anchor="idm45965205275152">
        <w:r>
          <w:t>In-Memory Files: io.StringIO and io.BytesIO</w:t>
        </w:r>
      </w:hyperlink>
    </w:p>
    <w:p>
      <w:pPr>
        <w:pStyle w:val="Para 004"/>
      </w:pPr>
      <w:r>
        <w:rPr>
          <w:rStyle w:val="Text2"/>
        </w:rPr>
        <w:t>IPC (interprocess communication)</w:t>
        <w:t xml:space="preserve">, </w:t>
      </w:r>
      <w:hyperlink w:anchor="idm45965193663632">
        <w:r>
          <w:t>Concurrency: Threads and Processes</w:t>
        </w:r>
      </w:hyperlink>
      <w:r>
        <w:rPr>
          <w:rStyle w:val="Text2"/>
        </w:rPr>
        <w:t xml:space="preserve">, </w:t>
      </w:r>
      <w:hyperlink w:anchor="idm45965188342320">
        <w:r>
          <w:t>Using mmap Objects for IPC</w:t>
        </w:r>
      </w:hyperlink>
    </w:p>
    <w:p>
      <w:pPr>
        <w:pStyle w:val="Para 003"/>
      </w:pPr>
      <w:r>
        <w:t>ipdb debugger</w:t>
        <w:t xml:space="preserve">, </w:t>
      </w:r>
      <w:hyperlink w:anchor="idm45965181366464">
        <w:r>
          <w:rPr>
            <w:rStyle w:val="Text1"/>
          </w:rPr>
          <w:t>ipdb</w:t>
        </w:r>
      </w:hyperlink>
    </w:p>
    <w:p>
      <w:pPr>
        <w:pStyle w:val="Para 003"/>
      </w:pPr>
      <w:r>
        <w:t>IPython</w:t>
        <w:t xml:space="preserve">, </w:t>
      </w:r>
      <w:hyperlink w:anchor="idm45965283414384">
        <w:r>
          <w:rPr>
            <w:rStyle w:val="Text1"/>
          </w:rPr>
          <w:t>IPython</w:t>
        </w:r>
      </w:hyperlink>
    </w:p>
    <w:p>
      <w:pPr>
        <w:pStyle w:val="Para 004"/>
      </w:pPr>
      <w:r>
        <w:rPr>
          <w:rStyle w:val="Text2"/>
        </w:rPr>
        <w:t>IronPython</w:t>
        <w:t xml:space="preserve">, </w:t>
      </w:r>
      <w:hyperlink w:anchor="idm45965284097984">
        <w:r>
          <w:t>Jython and IronPython</w:t>
        </w:r>
      </w:hyperlink>
    </w:p>
    <w:p>
      <w:pPr>
        <w:pStyle w:val="Para 004"/>
      </w:pPr>
      <w:r>
        <w:rPr>
          <w:rStyle w:val="Text2"/>
        </w:rPr>
        <w:t>is keyword</w:t>
        <w:t xml:space="preserve">, </w:t>
      </w:r>
      <w:hyperlink w:anchor="idm45965252804752">
        <w:r>
          <w:t>Enumerated Types (Enums)</w:t>
        </w:r>
      </w:hyperlink>
      <w:r>
        <w:rPr>
          <w:rStyle w:val="Text2"/>
        </w:rPr>
        <w:t xml:space="preserve">, </w:t>
      </w:r>
      <w:hyperlink w:anchor="idm45965216410560">
        <w:r>
          <w:t>Built-in Types</w:t>
        </w:r>
      </w:hyperlink>
      <w:r>
        <w:rPr>
          <w:rStyle w:val="Text2"/>
        </w:rPr>
        <w:t xml:space="preserve">, </w:t>
      </w:r>
      <w:hyperlink w:anchor="idm45965203718080">
        <w:r>
          <w:t>The os.path Module</w:t>
        </w:r>
      </w:hyperlink>
      <w:r>
        <w:rPr>
          <w:rStyle w:val="Text2"/>
        </w:rPr>
        <w:t xml:space="preserve">, </w:t>
      </w:r>
      <w:hyperlink w:anchor="iskey18">
        <w:r>
          <w:t>The socket Module</w:t>
        </w:r>
      </w:hyperlink>
      <w:r>
        <w:rPr>
          <w:rStyle w:val="Text2"/>
        </w:rPr>
        <w:t>-</w:t>
      </w:r>
      <w:hyperlink w:anchor="idm45965177438912">
        <w:r>
          <w:t>The socket Module</w:t>
        </w:r>
      </w:hyperlink>
    </w:p>
    <w:p>
      <w:pPr>
        <w:pStyle w:val="Para 004"/>
      </w:pPr>
      <w:r>
        <w:rPr>
          <w:rStyle w:val="Text2"/>
        </w:rPr>
        <w:t>isclose (math module)</w:t>
        <w:t xml:space="preserve">, </w:t>
      </w:r>
      <w:hyperlink w:anchor="idm45965187997504">
        <w:r>
          <w:t>Floating-Point Values</w:t>
        </w:r>
      </w:hyperlink>
      <w:r>
        <w:rPr>
          <w:rStyle w:val="Text2"/>
        </w:rPr>
        <w:t xml:space="preserve">, </w:t>
      </w:r>
      <w:hyperlink w:anchor="idm45965187198816">
        <w:r>
          <w:t>The math and cmath Modules</w:t>
        </w:r>
      </w:hyperlink>
    </w:p>
    <w:p>
      <w:pPr>
        <w:pStyle w:val="Para 003"/>
      </w:pPr>
      <w:r>
        <w:t>isdir (os.path module)</w:t>
        <w:t xml:space="preserve">, </w:t>
      </w:r>
      <w:hyperlink w:anchor="idm45965203708368">
        <w:r>
          <w:rPr>
            <w:rStyle w:val="Text1"/>
          </w:rPr>
          <w:t>The os.path Module</w:t>
        </w:r>
      </w:hyperlink>
    </w:p>
    <w:p>
      <w:pPr>
        <w:pStyle w:val="Para 003"/>
      </w:pPr>
      <w:r>
        <w:t>isdisjoint (set method)</w:t>
        <w:t xml:space="preserve">, </w:t>
      </w:r>
      <w:hyperlink w:anchor="idm45965278575744">
        <w:r>
          <w:rPr>
            <w:rStyle w:val="Text1"/>
          </w:rPr>
          <w:t>Set Methods</w:t>
        </w:r>
      </w:hyperlink>
    </w:p>
    <w:p>
      <w:pPr>
        <w:pStyle w:val="Para 003"/>
      </w:pPr>
      <w:r>
        <w:t>isenabled (gc module)</w:t>
        <w:t xml:space="preserve">, </w:t>
      </w:r>
      <w:hyperlink w:anchor="idm45965194113536">
        <w:r>
          <w:rPr>
            <w:rStyle w:val="Text1"/>
          </w:rPr>
          <w:t>The gc Module</w:t>
        </w:r>
      </w:hyperlink>
    </w:p>
    <w:p>
      <w:pPr>
        <w:pStyle w:val="Para 003"/>
      </w:pPr>
      <w:r>
        <w:t>isfile (os.path module)</w:t>
        <w:t xml:space="preserve">, </w:t>
      </w:r>
      <w:hyperlink w:anchor="idm45965203698608">
        <w:r>
          <w:rPr>
            <w:rStyle w:val="Text1"/>
          </w:rPr>
          <w:t>The os.path Module</w:t>
        </w:r>
      </w:hyperlink>
    </w:p>
    <w:p>
      <w:pPr>
        <w:pStyle w:val="Para 003"/>
      </w:pPr>
      <w:r>
        <w:t>isfirstline (fileinput module)</w:t>
        <w:t xml:space="preserve">, </w:t>
      </w:r>
      <w:hyperlink w:anchor="idm45965205602176">
        <w:r>
          <w:rPr>
            <w:rStyle w:val="Text1"/>
          </w:rPr>
          <w:t>The fileinput Module</w:t>
        </w:r>
      </w:hyperlink>
    </w:p>
    <w:p>
      <w:pPr>
        <w:pStyle w:val="Para 004"/>
      </w:pPr>
      <w:r>
        <w:rPr>
          <w:rStyle w:val="Text2"/>
        </w:rPr>
        <w:t>isinstance (built-in function)</w:t>
        <w:t xml:space="preserve">, </w:t>
      </w:r>
      <w:hyperlink w:anchor="idm45965271378304">
        <w:r>
          <w:t>Instances</w:t>
        </w:r>
      </w:hyperlink>
      <w:r>
        <w:rPr>
          <w:rStyle w:val="Text2"/>
        </w:rPr>
        <w:t xml:space="preserve">, </w:t>
      </w:r>
      <w:hyperlink w:anchor="idm45965216432208">
        <w:r>
          <w:t>Built-in Types</w:t>
        </w:r>
      </w:hyperlink>
      <w:r>
        <w:rPr>
          <w:rStyle w:val="Text2"/>
        </w:rPr>
        <w:t xml:space="preserve">, </w:t>
      </w:r>
      <w:hyperlink w:anchor="idm45965215819232">
        <w:r>
          <w:t>Built-in Functions</w:t>
        </w:r>
      </w:hyperlink>
    </w:p>
    <w:p>
      <w:pPr>
        <w:pStyle w:val="Para 003"/>
      </w:pPr>
      <w:r>
        <w:t>islice (itertools module)</w:t>
        <w:t xml:space="preserve">, </w:t>
      </w:r>
      <w:hyperlink w:anchor="idm45965213276096">
        <w:r>
          <w:rPr>
            <w:rStyle w:val="Text1"/>
          </w:rPr>
          <w:t>The itertools Module</w:t>
        </w:r>
      </w:hyperlink>
    </w:p>
    <w:p>
      <w:pPr>
        <w:pStyle w:val="Para 003"/>
      </w:pPr>
      <w:r>
        <w:t>isocalendar (datetime.date class)</w:t>
        <w:t xml:space="preserve">, </w:t>
      </w:r>
      <w:hyperlink w:anchor="idm45965196530592">
        <w:r>
          <w:rPr>
            <w:rStyle w:val="Text1"/>
          </w:rPr>
          <w:t>The date Class</w:t>
        </w:r>
      </w:hyperlink>
    </w:p>
    <w:p>
      <w:pPr>
        <w:pStyle w:val="Para 003"/>
      </w:pPr>
      <w:r>
        <w:t>isocalendar (datetime.datetime class)</w:t>
        <w:t xml:space="preserve">, </w:t>
      </w:r>
      <w:hyperlink w:anchor="idm45965196050016">
        <w:r>
          <w:rPr>
            <w:rStyle w:val="Text1"/>
          </w:rPr>
          <w:t>The datetime Class</w:t>
        </w:r>
      </w:hyperlink>
    </w:p>
    <w:p>
      <w:pPr>
        <w:pStyle w:val="Para 003"/>
      </w:pPr>
      <w:r>
        <w:t>isoformat (datetime.date class)</w:t>
        <w:t xml:space="preserve">, </w:t>
      </w:r>
      <w:hyperlink w:anchor="idm45965196525312">
        <w:r>
          <w:rPr>
            <w:rStyle w:val="Text1"/>
          </w:rPr>
          <w:t>The date Class</w:t>
        </w:r>
      </w:hyperlink>
    </w:p>
    <w:p>
      <w:pPr>
        <w:pStyle w:val="Para 003"/>
      </w:pPr>
      <w:r>
        <w:t>isoformat (datetime.datetime class)</w:t>
        <w:t xml:space="preserve">, </w:t>
      </w:r>
      <w:hyperlink w:anchor="idm45965196044368">
        <w:r>
          <w:rPr>
            <w:rStyle w:val="Text1"/>
          </w:rPr>
          <w:t>The datetime Class</w:t>
        </w:r>
      </w:hyperlink>
    </w:p>
    <w:p>
      <w:pPr>
        <w:pStyle w:val="Para 003"/>
      </w:pPr>
      <w:r>
        <w:t>isoformat (datetime.time class)</w:t>
        <w:t xml:space="preserve">, </w:t>
      </w:r>
      <w:hyperlink w:anchor="idm45965196336848">
        <w:r>
          <w:rPr>
            <w:rStyle w:val="Text1"/>
          </w:rPr>
          <w:t>The time Class</w:t>
        </w:r>
      </w:hyperlink>
    </w:p>
    <w:p>
      <w:pPr>
        <w:pStyle w:val="Para 003"/>
      </w:pPr>
      <w:r>
        <w:t>isoweekday (datetime.date class)</w:t>
        <w:t xml:space="preserve">, </w:t>
      </w:r>
      <w:hyperlink w:anchor="idm45965196518192">
        <w:r>
          <w:rPr>
            <w:rStyle w:val="Text1"/>
          </w:rPr>
          <w:t>The date Class</w:t>
        </w:r>
      </w:hyperlink>
    </w:p>
    <w:p>
      <w:pPr>
        <w:pStyle w:val="Para 003"/>
      </w:pPr>
      <w:r>
        <w:t>isoweekday (datetime.datetime class)</w:t>
        <w:t xml:space="preserve">, </w:t>
      </w:r>
      <w:hyperlink w:anchor="idm45965196029744">
        <w:r>
          <w:rPr>
            <w:rStyle w:val="Text1"/>
          </w:rPr>
          <w:t>The datetime Class</w:t>
        </w:r>
      </w:hyperlink>
    </w:p>
    <w:p>
      <w:pPr>
        <w:pStyle w:val="Para 003"/>
      </w:pPr>
      <w:r>
        <w:t>isstdin (fileinput module)</w:t>
        <w:t xml:space="preserve">, </w:t>
      </w:r>
      <w:hyperlink w:anchor="idm45965205595984">
        <w:r>
          <w:rPr>
            <w:rStyle w:val="Text1"/>
          </w:rPr>
          <w:t>The fileinput Module</w:t>
        </w:r>
      </w:hyperlink>
    </w:p>
    <w:p>
      <w:pPr>
        <w:pStyle w:val="Para 003"/>
      </w:pPr>
      <w:r>
        <w:t>issubclass (built-in function)</w:t>
        <w:t xml:space="preserve">, </w:t>
      </w:r>
      <w:hyperlink w:anchor="idm45965215799744">
        <w:r>
          <w:rPr>
            <w:rStyle w:val="Text1"/>
          </w:rPr>
          <w:t>Built-in Functions</w:t>
        </w:r>
      </w:hyperlink>
    </w:p>
    <w:p>
      <w:pPr>
        <w:pStyle w:val="Para 003"/>
      </w:pPr>
      <w:r>
        <w:t>issubset (set method)</w:t>
        <w:t xml:space="preserve">, </w:t>
      </w:r>
      <w:hyperlink w:anchor="idm45965278567648">
        <w:r>
          <w:rPr>
            <w:rStyle w:val="Text1"/>
          </w:rPr>
          <w:t>Set Methods</w:t>
        </w:r>
      </w:hyperlink>
    </w:p>
    <w:p>
      <w:pPr>
        <w:pStyle w:val="Para 003"/>
      </w:pPr>
      <w:r>
        <w:t>issuperset (set method)</w:t>
        <w:t xml:space="preserve">, </w:t>
      </w:r>
      <w:hyperlink w:anchor="idm45965278556928">
        <w:r>
          <w:rPr>
            <w:rStyle w:val="Text1"/>
          </w:rPr>
          <w:t>Set Methods</w:t>
        </w:r>
      </w:hyperlink>
    </w:p>
    <w:p>
      <w:pPr>
        <w:pStyle w:val="Para 003"/>
      </w:pPr>
      <w:r>
        <w:t>is_dir (pathlib.Path class)</w:t>
        <w:t xml:space="preserve">, </w:t>
      </w:r>
      <w:hyperlink w:anchor="idm45965203143360">
        <w:r>
          <w:rPr>
            <w:rStyle w:val="Text1"/>
          </w:rPr>
          <w:t>The pathlib Module</w:t>
        </w:r>
      </w:hyperlink>
    </w:p>
    <w:p>
      <w:pPr>
        <w:pStyle w:val="Para 003"/>
      </w:pPr>
      <w:r>
        <w:t>is_file (pathlib.Path class)</w:t>
        <w:t xml:space="preserve">, </w:t>
      </w:r>
      <w:hyperlink w:anchor="idm45965203136400">
        <w:r>
          <w:rPr>
            <w:rStyle w:val="Text1"/>
          </w:rPr>
          <w:t>The pathlib Module</w:t>
        </w:r>
      </w:hyperlink>
    </w:p>
    <w:p>
      <w:pPr>
        <w:pStyle w:val="Para 003"/>
      </w:pPr>
      <w:r>
        <w:t>is_integer (float method)</w:t>
        <w:t xml:space="preserve">, </w:t>
      </w:r>
      <w:hyperlink w:anchor="idm45965282908672">
        <w:r>
          <w:rPr>
            <w:rStyle w:val="Text1"/>
          </w:rPr>
          <w:t>Floating-point numbers</w:t>
        </w:r>
      </w:hyperlink>
    </w:p>
    <w:p>
      <w:pPr>
        <w:pStyle w:val="Para 003"/>
      </w:pPr>
      <w:r>
        <w:t>itemgetter (operator module)</w:t>
        <w:t xml:space="preserve">, </w:t>
      </w:r>
      <w:hyperlink w:anchor="idm45965186535408">
        <w:r>
          <w:rPr>
            <w:rStyle w:val="Text1"/>
          </w:rPr>
          <w:t>The operator Module</w:t>
        </w:r>
      </w:hyperlink>
    </w:p>
    <w:p>
      <w:pPr>
        <w:pStyle w:val="Para 004"/>
      </w:pPr>
      <w:r>
        <w:rPr>
          <w:rStyle w:val="Text2"/>
        </w:rPr>
        <w:t>items</w:t>
        <w:t xml:space="preserve">, </w:t>
      </w:r>
      <w:hyperlink w:anchor="idm45965281939008">
        <w:r>
          <w:t>Data Types</w:t>
        </w:r>
      </w:hyperlink>
      <w:r>
        <w:rPr>
          <w:rStyle w:val="Text2"/>
        </w:rPr>
        <w:t xml:space="preserve">, </w:t>
      </w:r>
      <w:hyperlink w:anchor="idm45965258679504">
        <w:r>
          <w:t>Object attributes and items</w:t>
        </w:r>
      </w:hyperlink>
    </w:p>
    <w:p>
      <w:pPr>
        <w:pStyle w:val="Para 003"/>
      </w:pPr>
      <w:r>
        <w:t>items (dict method)</w:t>
        <w:t xml:space="preserve">, </w:t>
      </w:r>
      <w:hyperlink w:anchor="idm45965283483232">
        <w:r>
          <w:rPr>
            <w:rStyle w:val="Text1"/>
          </w:rPr>
          <w:t>Dictionary Methods</w:t>
        </w:r>
      </w:hyperlink>
    </w:p>
    <w:p>
      <w:pPr>
        <w:pStyle w:val="Para 003"/>
      </w:pPr>
      <w:r>
        <w:t>iter (built-in function)</w:t>
        <w:t xml:space="preserve">, </w:t>
      </w:r>
      <w:hyperlink w:anchor="idm45965215777840">
        <w:r>
          <w:rPr>
            <w:rStyle w:val="Text1"/>
          </w:rPr>
          <w:t>Built-in Functions</w:t>
        </w:r>
      </w:hyperlink>
    </w:p>
    <w:p>
      <w:pPr>
        <w:pStyle w:val="Para 003"/>
      </w:pPr>
      <w:r>
        <w:t>iterables</w:t>
        <w:t xml:space="preserve">, </w:t>
      </w:r>
      <w:hyperlink w:anchor="idm45965282835312">
        <w:r>
          <w:rPr>
            <w:rStyle w:val="Text1"/>
          </w:rPr>
          <w:t>Iterables</w:t>
        </w:r>
      </w:hyperlink>
    </w:p>
    <w:p>
      <w:pPr>
        <w:pStyle w:val="Para 004"/>
      </w:pPr>
      <w:r>
        <w:rPr>
          <w:rStyle w:val="Text2"/>
        </w:rPr>
        <w:t>iterators</w:t>
        <w:t xml:space="preserve">, </w:t>
      </w:r>
      <w:hyperlink w:anchor="idm45965275997152">
        <w:r>
          <w:t>Iterators</w:t>
        </w:r>
      </w:hyperlink>
      <w:r>
        <w:rPr>
          <w:rStyle w:val="Text2"/>
        </w:rPr>
        <w:t xml:space="preserve">, </w:t>
      </w:r>
      <w:hyperlink w:anchor="idm45965178239792">
        <w:r>
          <w:t>Short-circuiting of iterators</w:t>
        </w:r>
      </w:hyperlink>
    </w:p>
    <w:p>
      <w:pPr>
        <w:pStyle w:val="Para 004"/>
      </w:pPr>
      <w:r>
        <w:rPr>
          <w:rStyle w:val="Text2"/>
        </w:rPr>
        <w:t>itertools module</w:t>
        <w:t xml:space="preserve">, </w:t>
      </w:r>
      <w:hyperlink w:anchor="itermod08">
        <w:r>
          <w:t>The itertools Module</w:t>
        </w:r>
      </w:hyperlink>
      <w:r>
        <w:rPr>
          <w:rStyle w:val="Text2"/>
        </w:rPr>
        <w:t>-</w:t>
      </w:r>
      <w:hyperlink w:anchor="idm45965212883232">
        <w:r>
          <w:t>The itertools Module</w:t>
        </w:r>
      </w:hyperlink>
    </w:p>
    <w:p>
      <w:pPr>
        <w:pStyle w:val="Para 003"/>
      </w:pPr>
      <w:r>
        <w:t>It’s easier to ask forgiveness than permission (EAFP)</w:t>
        <w:t xml:space="preserve">, </w:t>
      </w:r>
      <w:hyperlink w:anchor="idm45965255785952">
        <w:r>
          <w:rPr>
            <w:rStyle w:val="Text1"/>
          </w:rPr>
          <w:t>LBYL Versus EAFP</w:t>
        </w:r>
      </w:hyperlink>
      <w:r>
        <w:t xml:space="preserve">, </w:t>
      </w:r>
      <w:hyperlink w:anchor="idm45965191835712">
        <w:r>
          <w:rPr>
            <w:rStyle w:val="Text1"/>
          </w:rPr>
          <w:t>The queue Module</w:t>
        </w:r>
      </w:hyperlink>
    </w:p>
    <w:p>
      <w:pPr>
        <w:keepNext/>
        <w:pStyle w:val="Heading 3"/>
      </w:pPr>
      <w:r>
        <w:t>J</w:t>
      </w:r>
    </w:p>
    <w:p>
      <w:pPr>
        <w:pStyle w:val="Para 004"/>
      </w:pPr>
      <w:r>
        <w:rPr>
          <w:rStyle w:val="Text2"/>
        </w:rPr>
        <w:t>jinja2 package</w:t>
        <w:t xml:space="preserve">, </w:t>
      </w:r>
      <w:hyperlink w:anchor="jinja22">
        <w:r>
          <w:t>The jinja2 Package</w:t>
        </w:r>
      </w:hyperlink>
      <w:r>
        <w:rPr>
          <w:rStyle w:val="Text2"/>
        </w:rPr>
        <w:t>-</w:t>
      </w:r>
      <w:hyperlink w:anchor="idm45965169243712">
        <w:r>
          <w:t>Building HTML with jinja2</w:t>
        </w:r>
      </w:hyperlink>
    </w:p>
    <w:p>
      <w:pPr>
        <w:pStyle w:val="Para 003"/>
      </w:pPr>
      <w:r>
        <w:t>join (os.path module)</w:t>
        <w:t xml:space="preserve">, </w:t>
      </w:r>
      <w:hyperlink w:anchor="idm45965203676464">
        <w:r>
          <w:rPr>
            <w:rStyle w:val="Text1"/>
          </w:rPr>
          <w:t>The os.path Module</w:t>
        </w:r>
      </w:hyperlink>
    </w:p>
    <w:p>
      <w:pPr>
        <w:pStyle w:val="Para 004"/>
      </w:pPr>
      <w:r>
        <w:rPr>
          <w:rStyle w:val="Text2"/>
        </w:rPr>
        <w:t>join (string method)</w:t>
        <w:t xml:space="preserve">, </w:t>
      </w:r>
      <w:hyperlink w:anchor="idm45965212537296">
        <w:r>
          <w:t>Methods of String Objects</w:t>
        </w:r>
      </w:hyperlink>
    </w:p>
    <w:p>
      <w:pPr>
        <w:pStyle w:val="Para 004"/>
      </w:pPr>
      <w:r>
        <w:rPr>
          <w:rStyle w:val="Text2"/>
        </w:rPr>
        <w:t>json module</w:t>
        <w:t xml:space="preserve">, </w:t>
      </w:r>
      <w:hyperlink w:anchor="jsonmod12">
        <w:r>
          <w:t>The json Module</w:t>
        </w:r>
      </w:hyperlink>
      <w:r>
        <w:rPr>
          <w:rStyle w:val="Text2"/>
        </w:rPr>
        <w:t>-</w:t>
      </w:r>
      <w:hyperlink w:anchor="idm45965200044688">
        <w:r>
          <w:t>A json example</w:t>
        </w:r>
      </w:hyperlink>
    </w:p>
    <w:p>
      <w:pPr>
        <w:pStyle w:val="Para 003"/>
      </w:pPr>
      <w:r>
        <w:t>Jupyter</w:t>
        <w:t xml:space="preserve">, </w:t>
      </w:r>
      <w:hyperlink w:anchor="idm45965274031616">
        <w:r>
          <w:rPr>
            <w:rStyle w:val="Text1"/>
          </w:rPr>
          <w:t>Jupyter</w:t>
        </w:r>
      </w:hyperlink>
    </w:p>
    <w:p>
      <w:pPr>
        <w:pStyle w:val="Para 004"/>
      </w:pPr>
      <w:r>
        <w:rPr>
          <w:rStyle w:val="Text2"/>
        </w:rPr>
        <w:t>Jython</w:t>
        <w:t xml:space="preserve">, </w:t>
      </w:r>
      <w:hyperlink w:anchor="idm45965284099120">
        <w:r>
          <w:t>Jython and IronPython</w:t>
        </w:r>
      </w:hyperlink>
    </w:p>
    <w:p>
      <w:pPr>
        <w:keepNext/>
        <w:pStyle w:val="Heading 3"/>
      </w:pPr>
      <w:r>
        <w:t>K</w:t>
      </w:r>
    </w:p>
    <w:p>
      <w:pPr>
        <w:pStyle w:val="Para 003"/>
      </w:pPr>
      <w:r>
        <w:t>key argument</w:t>
      </w:r>
    </w:p>
    <w:p>
      <w:pPr>
        <w:pStyle w:val="Para 004"/>
      </w:pPr>
      <w:r>
        <w:rPr>
          <w:rStyle w:val="Text2"/>
        </w:rPr>
        <w:t>heapq</w:t>
        <w:t xml:space="preserve">, </w:t>
      </w:r>
      <w:hyperlink w:anchor="idm45965277129776">
        <w:r>
          <w:t>The Decorate–Sort–Undecorate Idiom</w:t>
        </w:r>
      </w:hyperlink>
    </w:p>
    <w:p>
      <w:pPr>
        <w:pStyle w:val="Para 004"/>
      </w:pPr>
      <w:r>
        <w:rPr>
          <w:rStyle w:val="Text2"/>
        </w:rPr>
        <w:t>itertools.groupby</w:t>
        <w:t xml:space="preserve">, </w:t>
      </w:r>
      <w:hyperlink w:anchor="idm45965213359136">
        <w:r>
          <w:t>The itertools Module</w:t>
        </w:r>
      </w:hyperlink>
    </w:p>
    <w:p>
      <w:pPr>
        <w:pStyle w:val="Para 003"/>
      </w:pPr>
      <w:r>
        <w:t>sequence comparisons</w:t>
        <w:t xml:space="preserve">, </w:t>
      </w:r>
      <w:hyperlink w:anchor="idm45965276142864">
        <w:r>
          <w:rPr>
            <w:rStyle w:val="Text1"/>
          </w:rPr>
          <w:t>Sequences in General</w:t>
        </w:r>
      </w:hyperlink>
    </w:p>
    <w:p>
      <w:pPr>
        <w:pStyle w:val="Para 004"/>
      </w:pPr>
      <w:r>
        <w:rPr>
          <w:rStyle w:val="Text2"/>
        </w:rPr>
        <w:t>sorting</w:t>
        <w:t xml:space="preserve">, </w:t>
      </w:r>
      <w:hyperlink w:anchor="idm45965278757984">
        <w:r>
          <w:t>List methods</w:t>
        </w:r>
      </w:hyperlink>
    </w:p>
    <w:p>
      <w:pPr>
        <w:pStyle w:val="Para 003"/>
      </w:pPr>
      <w:r>
        <w:t>key value pairs</w:t>
        <w:t xml:space="preserve">, </w:t>
      </w:r>
      <w:hyperlink w:anchor="idm45965269489088">
        <w:r>
          <w:rPr>
            <w:rStyle w:val="Text1"/>
          </w:rPr>
          <w:t>Dictionaries</w:t>
        </w:r>
      </w:hyperlink>
    </w:p>
    <w:p>
      <w:pPr>
        <w:pStyle w:val="Para 003"/>
      </w:pPr>
      <w:r>
        <w:t>key: pattern pairs</w:t>
        <w:t xml:space="preserve">, </w:t>
      </w:r>
      <w:hyperlink w:anchor="idm45965279583920">
        <w:r>
          <w:rPr>
            <w:rStyle w:val="Text1"/>
          </w:rPr>
          <w:t>Mapping patterns</w:t>
        </w:r>
      </w:hyperlink>
    </w:p>
    <w:p>
      <w:pPr>
        <w:pStyle w:val="Para 003"/>
      </w:pPr>
      <w:r>
        <w:t>keydefaultdict class</w:t>
        <w:t xml:space="preserve"> (</w:t>
        <w:t>see</w:t>
        <w:t xml:space="preserve"> default dict)</w:t>
      </w:r>
    </w:p>
    <w:p>
      <w:pPr>
        <w:pStyle w:val="Para 003"/>
      </w:pPr>
      <w:r>
        <w:t>keyed access</w:t>
        <w:t xml:space="preserve">, </w:t>
      </w:r>
      <w:hyperlink w:anchor="idm45965198587008">
        <w:r>
          <w:rPr>
            <w:rStyle w:val="Text1"/>
          </w:rPr>
          <w:t>DBM Modules</w:t>
        </w:r>
      </w:hyperlink>
    </w:p>
    <w:p>
      <w:pPr>
        <w:pStyle w:val="Para 004"/>
      </w:pPr>
      <w:r>
        <w:rPr>
          <w:rStyle w:val="Text2"/>
        </w:rPr>
        <w:t>keys</w:t>
        <w:t xml:space="preserve">, </w:t>
      </w:r>
      <w:hyperlink w:anchor="idm45965269510704">
        <w:r>
          <w:t>Dictionaries</w:t>
        </w:r>
      </w:hyperlink>
      <w:r>
        <w:rPr>
          <w:rStyle w:val="Text2"/>
        </w:rPr>
        <w:t xml:space="preserve">, </w:t>
      </w:r>
      <w:hyperlink w:anchor="idm45965258676288">
        <w:r>
          <w:t>Object attributes and items</w:t>
        </w:r>
      </w:hyperlink>
    </w:p>
    <w:p>
      <w:pPr>
        <w:pStyle w:val="Para 003"/>
      </w:pPr>
      <w:r>
        <w:t>keys (dict method)</w:t>
        <w:t xml:space="preserve">, </w:t>
      </w:r>
      <w:hyperlink w:anchor="idm45965283478192">
        <w:r>
          <w:rPr>
            <w:rStyle w:val="Text1"/>
          </w:rPr>
          <w:t>Dictionary Methods</w:t>
        </w:r>
      </w:hyperlink>
    </w:p>
    <w:p>
      <w:pPr>
        <w:pStyle w:val="Para 003"/>
      </w:pPr>
      <w:r>
        <w:t>keyword module</w:t>
        <w:t xml:space="preserve">, </w:t>
      </w:r>
      <w:hyperlink w:anchor="idm45965276600976">
        <w:r>
          <w:rPr>
            <w:rStyle w:val="Text1"/>
          </w:rPr>
          <w:t>Keywords</w:t>
        </w:r>
      </w:hyperlink>
    </w:p>
    <w:p>
      <w:pPr>
        <w:pStyle w:val="Para 003"/>
      </w:pPr>
      <w:r>
        <w:t>keyword parameters</w:t>
        <w:t xml:space="preserve">, </w:t>
      </w:r>
      <w:hyperlink w:anchor="idm45965262627952">
        <w:r>
          <w:rPr>
            <w:rStyle w:val="Text1"/>
          </w:rPr>
          <w:t>Named parameters</w:t>
        </w:r>
      </w:hyperlink>
    </w:p>
    <w:p>
      <w:pPr>
        <w:pStyle w:val="Para 003"/>
      </w:pPr>
      <w:r>
        <w:t>keyword-only parameters</w:t>
        <w:t xml:space="preserve">, </w:t>
      </w:r>
      <w:hyperlink w:anchor="idm45965270461920">
        <w:r>
          <w:rPr>
            <w:rStyle w:val="Text1"/>
          </w:rPr>
          <w:t>“Keyword-only” parameters</w:t>
        </w:r>
      </w:hyperlink>
    </w:p>
    <w:p>
      <w:pPr>
        <w:pStyle w:val="Para 003"/>
      </w:pPr>
      <w:r>
        <w:t>kill commands</w:t>
        <w:t xml:space="preserve">, </w:t>
      </w:r>
      <w:hyperlink w:anchor="idm45965260478528">
        <w:r>
          <w:rPr>
            <w:rStyle w:val="Text1"/>
          </w:rPr>
          <w:t>try/except</w:t>
        </w:r>
      </w:hyperlink>
    </w:p>
    <w:p>
      <w:pPr>
        <w:keepNext/>
        <w:pStyle w:val="Heading 3"/>
      </w:pPr>
      <w:r>
        <w:t>L</w:t>
      </w:r>
    </w:p>
    <w:p>
      <w:pPr>
        <w:pStyle w:val="Para 004"/>
      </w:pPr>
      <w:r>
        <w:rPr>
          <w:rStyle w:val="Text2"/>
        </w:rPr>
        <w:t>l10n (localization)</w:t>
        <w:t xml:space="preserve">, </w:t>
      </w:r>
      <w:hyperlink w:anchor="l10n11">
        <w:r>
          <w:t>The gettext Module</w:t>
        </w:r>
      </w:hyperlink>
      <w:r>
        <w:rPr>
          <w:rStyle w:val="Text2"/>
        </w:rPr>
        <w:t>-</w:t>
      </w:r>
      <w:hyperlink w:anchor="idm45965200611600">
        <w:r>
          <w:t>Essential gettext functions</w:t>
        </w:r>
      </w:hyperlink>
    </w:p>
    <w:p>
      <w:pPr>
        <w:pStyle w:val="Para 004"/>
      </w:pPr>
      <w:r>
        <w:rPr>
          <w:rStyle w:val="Text2"/>
        </w:rPr>
        <w:t>lambda</w:t>
        <w:t xml:space="preserve">, </w:t>
      </w:r>
      <w:hyperlink w:anchor="idm45965275149584">
        <w:r>
          <w:t>Expressions and Operators</w:t>
        </w:r>
      </w:hyperlink>
      <w:r>
        <w:rPr>
          <w:rStyle w:val="Text2"/>
        </w:rPr>
        <w:t xml:space="preserve">, </w:t>
      </w:r>
      <w:hyperlink w:anchor="idm45965269698592">
        <w:r>
          <w:t>lambda Expressions</w:t>
        </w:r>
      </w:hyperlink>
      <w:r>
        <w:rPr>
          <w:rStyle w:val="Text2"/>
        </w:rPr>
        <w:t xml:space="preserve">, </w:t>
      </w:r>
      <w:hyperlink w:anchor="idm45965268985648">
        <w:r>
          <w:t>Type Annotation Syntax</w:t>
        </w:r>
      </w:hyperlink>
    </w:p>
    <w:p>
      <w:pPr>
        <w:pStyle w:val="Para 003"/>
      </w:pPr>
      <w:r>
        <w:t>last-in, first-out (LIFO)</w:t>
        <w:t xml:space="preserve">, </w:t>
      </w:r>
      <w:hyperlink w:anchor="idm45965258892112">
        <w:r>
          <w:rPr>
            <w:rStyle w:val="Text1"/>
          </w:rPr>
          <w:t>Recursion</w:t>
        </w:r>
      </w:hyperlink>
    </w:p>
    <w:p>
      <w:pPr>
        <w:pStyle w:val="Para 004"/>
      </w:pPr>
      <w:r>
        <w:rPr>
          <w:rStyle w:val="Text2"/>
        </w:rPr>
        <w:t>lazy evaluation</w:t>
        <w:t xml:space="preserve">, </w:t>
      </w:r>
      <w:hyperlink w:anchor="idm45965259375792">
        <w:r>
          <w:t>Generators</w:t>
        </w:r>
      </w:hyperlink>
      <w:r>
        <w:rPr>
          <w:rStyle w:val="Text2"/>
        </w:rPr>
        <w:t xml:space="preserve">, </w:t>
      </w:r>
      <w:hyperlink w:anchor="idm45965213852976">
        <w:r>
          <w:t>The itertools Module</w:t>
        </w:r>
      </w:hyperlink>
    </w:p>
    <w:p>
      <w:pPr>
        <w:pStyle w:val="Para 004"/>
      </w:pPr>
      <w:r>
        <w:rPr>
          <w:rStyle w:val="Text2"/>
        </w:rPr>
        <w:t>LBYL (look before you leap)</w:t>
        <w:t xml:space="preserve">, </w:t>
      </w:r>
      <w:hyperlink w:anchor="idm45965255791728">
        <w:r>
          <w:t>LBYL Versus EAFP</w:t>
        </w:r>
      </w:hyperlink>
      <w:r>
        <w:rPr>
          <w:rStyle w:val="Text2"/>
        </w:rPr>
        <w:t xml:space="preserve">, </w:t>
      </w:r>
      <w:hyperlink w:anchor="idm45965191827248">
        <w:r>
          <w:t>The queue Module</w:t>
        </w:r>
      </w:hyperlink>
    </w:p>
    <w:p>
      <w:pPr>
        <w:pStyle w:val="Para 003"/>
      </w:pPr>
      <w:r>
        <w:t>lc-clauses (in list comprehensions)</w:t>
        <w:t xml:space="preserve">, </w:t>
      </w:r>
      <w:hyperlink w:anchor="idm45965257931600">
        <w:r>
          <w:rPr>
            <w:rStyle w:val="Text1"/>
          </w:rPr>
          <w:t>List comprehensions</w:t>
        </w:r>
      </w:hyperlink>
    </w:p>
    <w:p>
      <w:pPr>
        <w:pStyle w:val="Para 003"/>
      </w:pPr>
      <w:r>
        <w:t>leading zero indicator (0) (f-strings)</w:t>
        <w:t xml:space="preserve">, </w:t>
      </w:r>
      <w:hyperlink w:anchor="idm45965210817152">
        <w:r>
          <w:rPr>
            <w:rStyle w:val="Text1"/>
          </w:rPr>
          <w:t>Leading zero indicator (0)</w:t>
        </w:r>
      </w:hyperlink>
    </w:p>
    <w:p>
      <w:pPr>
        <w:pStyle w:val="Para 003"/>
      </w:pPr>
      <w:r>
        <w:t>lefthand side (LHS)</w:t>
        <w:t xml:space="preserve">, </w:t>
      </w:r>
      <w:hyperlink w:anchor="idm45965258629008">
        <w:r>
          <w:rPr>
            <w:rStyle w:val="Text1"/>
          </w:rPr>
          <w:t>Plain assignment</w:t>
        </w:r>
      </w:hyperlink>
    </w:p>
    <w:p>
      <w:pPr>
        <w:pStyle w:val="Para 004"/>
      </w:pPr>
      <w:r>
        <w:rPr>
          <w:rStyle w:val="Text2"/>
        </w:rPr>
        <w:t>legacy string formatting</w:t>
        <w:t xml:space="preserve">, </w:t>
      </w:r>
      <w:hyperlink w:anchor="idm45965209755024">
        <w:r>
          <w:t>Legacy String Formatting with %</w:t>
        </w:r>
      </w:hyperlink>
    </w:p>
    <w:p>
      <w:pPr>
        <w:pStyle w:val="Para 004"/>
      </w:pPr>
      <w:r>
        <w:rPr>
          <w:rStyle w:val="Text2"/>
        </w:rPr>
        <w:t>len (built-in function)</w:t>
        <w:t xml:space="preserve">, </w:t>
      </w:r>
      <w:hyperlink w:anchor="idm45965276153536">
        <w:r>
          <w:t>Sequences in General</w:t>
        </w:r>
      </w:hyperlink>
      <w:r>
        <w:rPr>
          <w:rStyle w:val="Text2"/>
        </w:rPr>
        <w:t xml:space="preserve">, </w:t>
      </w:r>
      <w:hyperlink w:anchor="idm45965215617408">
        <w:r>
          <w:t>Built-in Functions</w:t>
        </w:r>
      </w:hyperlink>
    </w:p>
    <w:p>
      <w:pPr>
        <w:pStyle w:val="Para 003"/>
      </w:pPr>
      <w:r>
        <w:t>less than or equal to operator (&lt;=)</w:t>
        <w:t xml:space="preserve">, </w:t>
      </w:r>
      <w:hyperlink w:anchor="idm45965276192784">
        <w:r>
          <w:rPr>
            <w:rStyle w:val="Text1"/>
          </w:rPr>
          <w:t>Comparisons</w:t>
        </w:r>
      </w:hyperlink>
    </w:p>
    <w:p>
      <w:pPr>
        <w:pStyle w:val="Para 003"/>
      </w:pPr>
      <w:r>
        <w:t>less than symbol (&lt;)</w:t>
      </w:r>
    </w:p>
    <w:p>
      <w:pPr>
        <w:pStyle w:val="Para 003"/>
      </w:pPr>
      <w:r>
        <w:t>alignment indicator (f-strings)</w:t>
        <w:t xml:space="preserve">, </w:t>
      </w:r>
      <w:hyperlink w:anchor="idm45965211250544">
        <w:r>
          <w:rPr>
            <w:rStyle w:val="Text1"/>
          </w:rPr>
          <w:t>Fill and alignment</w:t>
        </w:r>
      </w:hyperlink>
    </w:p>
    <w:p>
      <w:pPr>
        <w:pStyle w:val="Para 003"/>
      </w:pPr>
      <w:r>
        <w:t>comparison operator</w:t>
        <w:t xml:space="preserve">, </w:t>
      </w:r>
      <w:hyperlink w:anchor="idm45965276194160">
        <w:r>
          <w:rPr>
            <w:rStyle w:val="Text1"/>
          </w:rPr>
          <w:t>Comparisons</w:t>
        </w:r>
      </w:hyperlink>
    </w:p>
    <w:p>
      <w:pPr>
        <w:pStyle w:val="Para 004"/>
      </w:pPr>
      <w:r>
        <w:rPr>
          <w:rStyle w:val="Text2"/>
        </w:rPr>
        <w:t>Lesser GPL (LGPL)</w:t>
        <w:t xml:space="preserve">, </w:t>
      </w:r>
      <w:hyperlink w:anchor="idm45965258726432">
        <w:r>
          <w:t>Licensing and Price Issues</w:t>
        </w:r>
      </w:hyperlink>
    </w:p>
    <w:p>
      <w:pPr>
        <w:pStyle w:val="Para 004"/>
      </w:pPr>
      <w:r>
        <w:rPr>
          <w:rStyle w:val="Text2"/>
        </w:rPr>
        <w:t>lexical structure</w:t>
        <w:t xml:space="preserve">, </w:t>
      </w:r>
      <w:hyperlink w:anchor="lexst03">
        <w:r>
          <w:t>Lexical Structure</w:t>
        </w:r>
      </w:hyperlink>
      <w:r>
        <w:rPr>
          <w:rStyle w:val="Text2"/>
        </w:rPr>
        <w:t>-</w:t>
      </w:r>
      <w:hyperlink w:anchor="idm45965281952768">
        <w:r>
          <w:t>Compound statements</w:t>
        </w:r>
      </w:hyperlink>
    </w:p>
    <w:p>
      <w:pPr>
        <w:pStyle w:val="Para 003"/>
      </w:pPr>
      <w:r>
        <w:t>character sets</w:t>
        <w:t xml:space="preserve">, </w:t>
      </w:r>
      <w:hyperlink w:anchor="idm45965274383504">
        <w:r>
          <w:rPr>
            <w:rStyle w:val="Text1"/>
          </w:rPr>
          <w:t>Character Sets</w:t>
        </w:r>
      </w:hyperlink>
    </w:p>
    <w:p>
      <w:pPr>
        <w:pStyle w:val="Para 003"/>
      </w:pPr>
      <w:r>
        <w:t>definition of term</w:t>
        <w:t xml:space="preserve">, </w:t>
      </w:r>
      <w:hyperlink w:anchor="idm45965274436208">
        <w:r>
          <w:rPr>
            <w:rStyle w:val="Text1"/>
          </w:rPr>
          <w:t>Lexical Structure</w:t>
        </w:r>
      </w:hyperlink>
    </w:p>
    <w:p>
      <w:pPr>
        <w:pStyle w:val="Para 003"/>
      </w:pPr>
      <w:r>
        <w:t>lines and indentation</w:t>
        <w:t xml:space="preserve">, </w:t>
      </w:r>
      <w:hyperlink w:anchor="idm45965274431616">
        <w:r>
          <w:rPr>
            <w:rStyle w:val="Text1"/>
          </w:rPr>
          <w:t>Lines and Indentation</w:t>
        </w:r>
      </w:hyperlink>
    </w:p>
    <w:p>
      <w:pPr>
        <w:pStyle w:val="Para 003"/>
      </w:pPr>
      <w:r>
        <w:t>statements</w:t>
        <w:t xml:space="preserve">, </w:t>
      </w:r>
      <w:hyperlink w:anchor="idm45965282085216">
        <w:r>
          <w:rPr>
            <w:rStyle w:val="Text1"/>
          </w:rPr>
          <w:t>Statements</w:t>
        </w:r>
      </w:hyperlink>
    </w:p>
    <w:p>
      <w:pPr>
        <w:pStyle w:val="Para 003"/>
      </w:pPr>
      <w:r>
        <w:t>tokens</w:t>
        <w:t xml:space="preserve">, </w:t>
      </w:r>
      <w:hyperlink w:anchor="idm45965274371104">
        <w:r>
          <w:rPr>
            <w:rStyle w:val="Text1"/>
          </w:rPr>
          <w:t>Tokens</w:t>
        </w:r>
      </w:hyperlink>
    </w:p>
    <w:p>
      <w:pPr>
        <w:pStyle w:val="Para 003"/>
      </w:pPr>
      <w:r>
        <w:t>lexicographic comparison</w:t>
        <w:t xml:space="preserve">, </w:t>
      </w:r>
      <w:hyperlink w:anchor="idm45965264580864">
        <w:r>
          <w:rPr>
            <w:rStyle w:val="Text1"/>
          </w:rPr>
          <w:t>Sequences</w:t>
        </w:r>
      </w:hyperlink>
    </w:p>
    <w:p>
      <w:pPr>
        <w:pStyle w:val="Para 004"/>
      </w:pPr>
      <w:r>
        <w:rPr>
          <w:rStyle w:val="Text2"/>
        </w:rPr>
        <w:t>LGPL (Lesser GPL)</w:t>
        <w:t xml:space="preserve">, </w:t>
      </w:r>
      <w:hyperlink w:anchor="idm45965258725328">
        <w:r>
          <w:t>Licensing and Price Issues</w:t>
        </w:r>
      </w:hyperlink>
    </w:p>
    <w:p>
      <w:pPr>
        <w:pStyle w:val="Para 003"/>
      </w:pPr>
      <w:r>
        <w:t>LHS (lefthand side)</w:t>
        <w:t xml:space="preserve">, </w:t>
      </w:r>
      <w:hyperlink w:anchor="idm45965258627872">
        <w:r>
          <w:rPr>
            <w:rStyle w:val="Text1"/>
          </w:rPr>
          <w:t>Plain assignment</w:t>
        </w:r>
      </w:hyperlink>
    </w:p>
    <w:p>
      <w:pPr>
        <w:pStyle w:val="Para 004"/>
      </w:pPr>
      <w:r>
        <w:rPr>
          <w:rStyle w:val="Text2"/>
        </w:rPr>
        <w:t>licensing issues</w:t>
        <w:t xml:space="preserve">, </w:t>
      </w:r>
      <w:hyperlink w:anchor="idm45965258732656">
        <w:r>
          <w:t>Licensing and Price Issues</w:t>
        </w:r>
      </w:hyperlink>
    </w:p>
    <w:p>
      <w:pPr>
        <w:pStyle w:val="Para 003"/>
      </w:pPr>
      <w:r>
        <w:t>LIFO (last-in, first-out)</w:t>
        <w:t xml:space="preserve">, </w:t>
      </w:r>
      <w:hyperlink w:anchor="idm45965258891200">
        <w:r>
          <w:rPr>
            <w:rStyle w:val="Text1"/>
          </w:rPr>
          <w:t>Recursion</w:t>
        </w:r>
      </w:hyperlink>
    </w:p>
    <w:p>
      <w:pPr>
        <w:pStyle w:val="Para 004"/>
      </w:pPr>
      <w:r>
        <w:rPr>
          <w:rStyle w:val="Text2"/>
        </w:rPr>
        <w:t>lightweight frameworks</w:t>
        <w:t xml:space="preserve">, </w:t>
      </w:r>
      <w:hyperlink w:anchor="lightframe20">
        <w:r>
          <w:t>“Full-Stack” Versus “Lightweight” Frameworks</w:t>
        </w:r>
      </w:hyperlink>
      <w:r>
        <w:rPr>
          <w:rStyle w:val="Text2"/>
        </w:rPr>
        <w:t>-</w:t>
      </w:r>
      <w:hyperlink w:anchor="idm45965173350736">
        <w:r>
          <w:t>FastAPI</w:t>
        </w:r>
      </w:hyperlink>
    </w:p>
    <w:p>
      <w:pPr>
        <w:pStyle w:val="Para 004"/>
      </w:pPr>
      <w:r>
        <w:rPr>
          <w:rStyle w:val="Text2"/>
        </w:rPr>
        <w:t>lightweight processes</w:t>
        <w:t xml:space="preserve">, </w:t>
      </w:r>
      <w:hyperlink w:anchor="idm45965193650320">
        <w:r>
          <w:t>Concurrency: Threads and Processes</w:t>
        </w:r>
      </w:hyperlink>
    </w:p>
    <w:p>
      <w:pPr>
        <w:pStyle w:val="Para 003"/>
      </w:pPr>
      <w:r>
        <w:t>linear time performance (O(N))</w:t>
        <w:t xml:space="preserve">, </w:t>
      </w:r>
      <w:hyperlink w:anchor="idm45965181041984">
        <w:r>
          <w:rPr>
            <w:rStyle w:val="Text1"/>
          </w:rPr>
          <w:t>Large-Scale Optimization</w:t>
        </w:r>
      </w:hyperlink>
    </w:p>
    <w:p>
      <w:pPr>
        <w:pStyle w:val="Para 003"/>
      </w:pPr>
      <w:r>
        <w:t>lineno (fileinput module)</w:t>
        <w:t xml:space="preserve">, </w:t>
      </w:r>
      <w:hyperlink w:anchor="idm45965205590064">
        <w:r>
          <w:rPr>
            <w:rStyle w:val="Text1"/>
          </w:rPr>
          <w:t>The fileinput Module</w:t>
        </w:r>
      </w:hyperlink>
    </w:p>
    <w:p>
      <w:pPr>
        <w:pStyle w:val="Para 004"/>
      </w:pPr>
      <w:r>
        <w:rPr>
          <w:rStyle w:val="Text2"/>
        </w:rPr>
        <w:t>lines</w:t>
        <w:t xml:space="preserve">, </w:t>
      </w:r>
      <w:hyperlink w:anchor="idm45965274430208">
        <w:r>
          <w:t>Lines and Indentation</w:t>
        </w:r>
      </w:hyperlink>
    </w:p>
    <w:p>
      <w:pPr>
        <w:pStyle w:val="Para 004"/>
      </w:pPr>
      <w:r>
        <w:rPr>
          <w:rStyle w:val="Text2"/>
        </w:rPr>
        <w:t>linesep (os module)</w:t>
        <w:t xml:space="preserve">, </w:t>
      </w:r>
      <w:hyperlink w:anchor="idm45965204480192">
        <w:r>
          <w:t>Path-string attributes of the os module</w:t>
        </w:r>
      </w:hyperlink>
    </w:p>
    <w:p>
      <w:pPr>
        <w:pStyle w:val="Para 004"/>
      </w:pPr>
      <w:r>
        <w:rPr>
          <w:rStyle w:val="Text2"/>
        </w:rPr>
        <w:t>link (os module)</w:t>
        <w:t xml:space="preserve">, </w:t>
      </w:r>
      <w:hyperlink w:anchor="idm45965204329520">
        <w:r>
          <w:t>File and directory functions of the os module</w:t>
        </w:r>
      </w:hyperlink>
    </w:p>
    <w:p>
      <w:pPr>
        <w:pStyle w:val="Para 003"/>
      </w:pPr>
      <w:r>
        <w:t>list (built-in type)</w:t>
        <w:t xml:space="preserve">, </w:t>
      </w:r>
      <w:hyperlink w:anchor="idm45965216621136">
        <w:r>
          <w:rPr>
            <w:rStyle w:val="Text1"/>
          </w:rPr>
          <w:t>Built-in Types</w:t>
        </w:r>
      </w:hyperlink>
    </w:p>
    <w:p>
      <w:pPr>
        <w:pStyle w:val="Para 004"/>
      </w:pPr>
      <w:r>
        <w:rPr>
          <w:rStyle w:val="Text2"/>
        </w:rPr>
        <w:t>list comprehension filters</w:t>
        <w:t xml:space="preserve">, </w:t>
      </w:r>
      <w:hyperlink w:anchor="idm45965274146320">
        <w:r>
          <w:t>:= in a list comprehension filter</w:t>
        </w:r>
      </w:hyperlink>
    </w:p>
    <w:p>
      <w:pPr>
        <w:pStyle w:val="Para 004"/>
      </w:pPr>
      <w:r>
        <w:rPr>
          <w:rStyle w:val="Text2"/>
        </w:rPr>
        <w:t>list comprehensions (listcomps)</w:t>
        <w:t xml:space="preserve">, </w:t>
      </w:r>
      <w:hyperlink w:anchor="listcomp03">
        <w:r>
          <w:t>List comprehensions</w:t>
        </w:r>
      </w:hyperlink>
      <w:r>
        <w:rPr>
          <w:rStyle w:val="Text2"/>
        </w:rPr>
        <w:t>-</w:t>
      </w:r>
      <w:hyperlink w:anchor="idm45965257571088">
        <w:r>
          <w:t>List comprehensions</w:t>
        </w:r>
      </w:hyperlink>
    </w:p>
    <w:p>
      <w:pPr>
        <w:pStyle w:val="Para 004"/>
      </w:pPr>
      <w:r>
        <w:rPr>
          <w:rStyle w:val="Text2"/>
        </w:rPr>
        <w:t>listdir (os module)</w:t>
        <w:t xml:space="preserve">, </w:t>
      </w:r>
      <w:hyperlink w:anchor="idm45965204319280">
        <w:r>
          <w:t>File and directory functions of the os module</w:t>
        </w:r>
      </w:hyperlink>
    </w:p>
    <w:p>
      <w:pPr>
        <w:pStyle w:val="Para 003"/>
      </w:pPr>
      <w:r>
        <w:t>lists</w:t>
      </w:r>
    </w:p>
    <w:p>
      <w:pPr>
        <w:pStyle w:val="Para 003"/>
      </w:pPr>
      <w:r>
        <w:t>basics of</w:t>
        <w:t xml:space="preserve">, </w:t>
      </w:r>
      <w:hyperlink w:anchor="idm45965265613728">
        <w:r>
          <w:rPr>
            <w:rStyle w:val="Text1"/>
          </w:rPr>
          <w:t>Lists</w:t>
        </w:r>
      </w:hyperlink>
    </w:p>
    <w:p>
      <w:pPr>
        <w:pStyle w:val="Para 003"/>
      </w:pPr>
      <w:r>
        <w:t>versus generator expressions</w:t>
        <w:t xml:space="preserve">, </w:t>
      </w:r>
      <w:hyperlink w:anchor="idm45965257823552">
        <w:r>
          <w:rPr>
            <w:rStyle w:val="Text1"/>
          </w:rPr>
          <w:t>List comprehensions</w:t>
        </w:r>
      </w:hyperlink>
    </w:p>
    <w:p>
      <w:pPr>
        <w:pStyle w:val="Para 004"/>
      </w:pPr>
      <w:r>
        <w:rPr>
          <w:rStyle w:val="Text2"/>
        </w:rPr>
        <w:t>in-place operations on</w:t>
        <w:t xml:space="preserve">, </w:t>
      </w:r>
      <w:hyperlink w:anchor="idm45965280149392">
        <w:r>
          <w:t>In-place operations on a list</w:t>
        </w:r>
      </w:hyperlink>
    </w:p>
    <w:p>
      <w:pPr>
        <w:pStyle w:val="Para 004"/>
      </w:pPr>
      <w:r>
        <w:rPr>
          <w:rStyle w:val="Text2"/>
        </w:rPr>
        <w:t>methods</w:t>
        <w:t xml:space="preserve">, </w:t>
      </w:r>
      <w:hyperlink w:anchor="idm45965280094560">
        <w:r>
          <w:t>List methods</w:t>
        </w:r>
      </w:hyperlink>
    </w:p>
    <w:p>
      <w:pPr>
        <w:pStyle w:val="Para 004"/>
      </w:pPr>
      <w:r>
        <w:rPr>
          <w:rStyle w:val="Text2"/>
        </w:rPr>
        <w:t>modifying</w:t>
        <w:t xml:space="preserve">, </w:t>
      </w:r>
      <w:hyperlink w:anchor="idm45965280329072">
        <w:r>
          <w:t>Modifying a list</w:t>
        </w:r>
      </w:hyperlink>
    </w:p>
    <w:p>
      <w:pPr>
        <w:pStyle w:val="Para 003"/>
      </w:pPr>
      <w:r>
        <w:t>optimizing operations</w:t>
        <w:t xml:space="preserve">, </w:t>
      </w:r>
      <w:hyperlink w:anchor="idm45965180885536">
        <w:r>
          <w:rPr>
            <w:rStyle w:val="Text1"/>
          </w:rPr>
          <w:t>List operations</w:t>
        </w:r>
      </w:hyperlink>
    </w:p>
    <w:p>
      <w:pPr>
        <w:pStyle w:val="Para 004"/>
      </w:pPr>
      <w:r>
        <w:rPr>
          <w:rStyle w:val="Text2"/>
        </w:rPr>
        <w:t>sorting</w:t>
        <w:t xml:space="preserve">, </w:t>
      </w:r>
      <w:hyperlink w:anchor="idm45965278748768">
        <w:r>
          <w:t>Sorting a list</w:t>
        </w:r>
      </w:hyperlink>
    </w:p>
    <w:p>
      <w:pPr>
        <w:pStyle w:val="Para 003"/>
      </w:pPr>
      <w:r>
        <w:t>Literal (typing module)</w:t>
        <w:t xml:space="preserve">, </w:t>
      </w:r>
      <w:hyperlink w:anchor="idm45965268534864">
        <w:r>
          <w:rPr>
            <w:rStyle w:val="Text1"/>
          </w:rPr>
          <w:t>Types</w:t>
        </w:r>
      </w:hyperlink>
    </w:p>
    <w:p>
      <w:pPr>
        <w:pStyle w:val="Para 003"/>
      </w:pPr>
      <w:r>
        <w:t>literals</w:t>
        <w:t xml:space="preserve">, </w:t>
      </w:r>
      <w:hyperlink w:anchor="idm45965282182000">
        <w:r>
          <w:rPr>
            <w:rStyle w:val="Text1"/>
          </w:rPr>
          <w:t>Literals</w:t>
        </w:r>
      </w:hyperlink>
    </w:p>
    <w:p>
      <w:pPr>
        <w:pStyle w:val="Para 003"/>
      </w:pPr>
      <w:r>
        <w:t>literal_eval function (ast module)</w:t>
        <w:t xml:space="preserve">, </w:t>
      </w:r>
      <w:hyperlink w:anchor="idm45965201825904">
        <w:r>
          <w:rPr>
            <w:rStyle w:val="Text1"/>
          </w:rPr>
          <w:t>Standard Input</w:t>
        </w:r>
      </w:hyperlink>
    </w:p>
    <w:p>
      <w:pPr>
        <w:pStyle w:val="Para 003"/>
      </w:pPr>
      <w:r>
        <w:t>little-endian byte order (&lt;)</w:t>
        <w:t xml:space="preserve">, </w:t>
      </w:r>
      <w:hyperlink w:anchor="idm45965205427968">
        <w:r>
          <w:rPr>
            <w:rStyle w:val="Text1"/>
          </w:rPr>
          <w:t>The struct Module</w:t>
        </w:r>
      </w:hyperlink>
    </w:p>
    <w:p>
      <w:pPr>
        <w:pStyle w:val="Para 004"/>
      </w:pPr>
      <w:r>
        <w:rPr>
          <w:rStyle w:val="Text2"/>
        </w:rPr>
        <w:t>ljust (string method)</w:t>
        <w:t xml:space="preserve">, </w:t>
      </w:r>
      <w:hyperlink w:anchor="idm45965212522960">
        <w:r>
          <w:t>Methods of String Objects</w:t>
        </w:r>
      </w:hyperlink>
    </w:p>
    <w:p>
      <w:pPr>
        <w:pStyle w:val="Para 003"/>
      </w:pPr>
      <w:r>
        <w:t>load testing</w:t>
        <w:t xml:space="preserve">, </w:t>
      </w:r>
      <w:hyperlink w:anchor="idm45965181062576">
        <w:r>
          <w:rPr>
            <w:rStyle w:val="Text1"/>
          </w:rPr>
          <w:t>Benchmarking</w:t>
        </w:r>
      </w:hyperlink>
    </w:p>
    <w:p>
      <w:pPr>
        <w:pStyle w:val="Para 003"/>
      </w:pPr>
      <w:r>
        <w:t>local namespace/scope</w:t>
        <w:t xml:space="preserve">, </w:t>
      </w:r>
      <w:hyperlink w:anchor="idm45965270165808">
        <w:r>
          <w:rPr>
            <w:rStyle w:val="Text1"/>
          </w:rPr>
          <w:t>Namespaces</w:t>
        </w:r>
      </w:hyperlink>
    </w:p>
    <w:p>
      <w:pPr>
        <w:pStyle w:val="Para 003"/>
      </w:pPr>
      <w:r>
        <w:t>local scope</w:t>
        <w:t xml:space="preserve">, </w:t>
      </w:r>
      <w:hyperlink w:anchor="idm45965270164160">
        <w:r>
          <w:rPr>
            <w:rStyle w:val="Text1"/>
          </w:rPr>
          <w:t>Namespaces</w:t>
        </w:r>
      </w:hyperlink>
    </w:p>
    <w:p>
      <w:pPr>
        <w:pStyle w:val="Para 003"/>
      </w:pPr>
      <w:r>
        <w:t>local variables</w:t>
        <w:t xml:space="preserve">, </w:t>
      </w:r>
      <w:hyperlink w:anchor="idm45965258697072">
        <w:r>
          <w:rPr>
            <w:rStyle w:val="Text1"/>
          </w:rPr>
          <w:t>Variables</w:t>
        </w:r>
      </w:hyperlink>
    </w:p>
    <w:p>
      <w:pPr>
        <w:pStyle w:val="Para 004"/>
      </w:pPr>
      <w:r>
        <w:rPr>
          <w:rStyle w:val="Text2"/>
        </w:rPr>
        <w:t>locale module</w:t>
        <w:t xml:space="preserve">, </w:t>
      </w:r>
      <w:hyperlink w:anchor="localmod11">
        <w:r>
          <w:t>The locale Module</w:t>
        </w:r>
      </w:hyperlink>
      <w:r>
        <w:rPr>
          <w:rStyle w:val="Text2"/>
        </w:rPr>
        <w:t>-</w:t>
      </w:r>
      <w:hyperlink w:anchor="idm45965200881744">
        <w:r>
          <w:t>The locale Module</w:t>
        </w:r>
      </w:hyperlink>
    </w:p>
    <w:p>
      <w:pPr>
        <w:pStyle w:val="Para 004"/>
      </w:pPr>
      <w:r>
        <w:rPr>
          <w:rStyle w:val="Text2"/>
        </w:rPr>
        <w:t>localization (l10n)</w:t>
        <w:t xml:space="preserve">, </w:t>
      </w:r>
      <w:hyperlink w:anchor="loal11">
        <w:r>
          <w:t>The gettext Module</w:t>
        </w:r>
      </w:hyperlink>
      <w:r>
        <w:rPr>
          <w:rStyle w:val="Text2"/>
        </w:rPr>
        <w:t>-</w:t>
      </w:r>
      <w:hyperlink w:anchor="idm45965200610224">
        <w:r>
          <w:t>Essential gettext functions</w:t>
        </w:r>
      </w:hyperlink>
    </w:p>
    <w:p>
      <w:pPr>
        <w:pStyle w:val="Para 003"/>
      </w:pPr>
      <w:r>
        <w:t>localize (locale module)</w:t>
        <w:t xml:space="preserve">, </w:t>
      </w:r>
      <w:hyperlink w:anchor="idm45965200935920">
        <w:r>
          <w:rPr>
            <w:rStyle w:val="Text1"/>
          </w:rPr>
          <w:t>The locale Module</w:t>
        </w:r>
      </w:hyperlink>
    </w:p>
    <w:p>
      <w:pPr>
        <w:pStyle w:val="Para 003"/>
      </w:pPr>
      <w:r>
        <w:t>locals (built-in function)</w:t>
        <w:t xml:space="preserve">, </w:t>
      </w:r>
      <w:hyperlink w:anchor="idm45965215611376">
        <w:r>
          <w:rPr>
            <w:rStyle w:val="Text1"/>
          </w:rPr>
          <w:t>Built-in Functions</w:t>
        </w:r>
      </w:hyperlink>
    </w:p>
    <w:p>
      <w:pPr>
        <w:pStyle w:val="Para 004"/>
      </w:pPr>
      <w:r>
        <w:rPr>
          <w:rStyle w:val="Text2"/>
        </w:rPr>
        <w:t>Lock (threading module)</w:t>
        <w:t xml:space="preserve">, </w:t>
      </w:r>
      <w:hyperlink w:anchor="locktm15">
        <w:r>
          <w:t>Lock and RLock objects</w:t>
        </w:r>
      </w:hyperlink>
      <w:r>
        <w:rPr>
          <w:rStyle w:val="Text2"/>
        </w:rPr>
        <w:t>-</w:t>
      </w:r>
      <w:hyperlink w:anchor="idm45965193038528">
        <w:r>
          <w:t>Condition objects</w:t>
        </w:r>
      </w:hyperlink>
    </w:p>
    <w:p>
      <w:pPr>
        <w:pStyle w:val="Para 004"/>
      </w:pPr>
      <w:r>
        <w:rPr>
          <w:rStyle w:val="Text2"/>
        </w:rPr>
        <w:t>Lock objects</w:t>
        <w:t xml:space="preserve">, </w:t>
      </w:r>
      <w:hyperlink w:anchor="idm45965193363952">
        <w:r>
          <w:t>Lock and RLock objects</w:t>
        </w:r>
      </w:hyperlink>
    </w:p>
    <w:p>
      <w:pPr>
        <w:pStyle w:val="Para 003"/>
      </w:pPr>
      <w:r>
        <w:t>locked (threading module)</w:t>
        <w:t xml:space="preserve">, </w:t>
      </w:r>
      <w:hyperlink w:anchor="idm45965193332864">
        <w:r>
          <w:rPr>
            <w:rStyle w:val="Text1"/>
          </w:rPr>
          <w:t>Lock and RLock objects</w:t>
        </w:r>
      </w:hyperlink>
    </w:p>
    <w:p>
      <w:pPr>
        <w:pStyle w:val="Para 004"/>
      </w:pPr>
      <w:r>
        <w:rPr>
          <w:rStyle w:val="Text2"/>
        </w:rPr>
        <w:t>log (math module)</w:t>
        <w:t xml:space="preserve">, </w:t>
      </w:r>
      <w:hyperlink w:anchor="idm45965187075824">
        <w:r>
          <w:t>The math and cmath Modules</w:t>
        </w:r>
      </w:hyperlink>
    </w:p>
    <w:p>
      <w:pPr>
        <w:pStyle w:val="Para 003"/>
      </w:pPr>
      <w:r>
        <w:t>logging</w:t>
      </w:r>
    </w:p>
    <w:p>
      <w:pPr>
        <w:pStyle w:val="Para 003"/>
      </w:pPr>
      <w:r>
        <w:t>debugging information</w:t>
        <w:t xml:space="preserve">, </w:t>
      </w:r>
      <w:hyperlink w:anchor="idm45965182442224">
        <w:r>
          <w:rPr>
            <w:rStyle w:val="Text1"/>
          </w:rPr>
          <w:t>Debugging</w:t>
        </w:r>
      </w:hyperlink>
    </w:p>
    <w:p>
      <w:pPr>
        <w:pStyle w:val="Para 004"/>
      </w:pPr>
      <w:r>
        <w:rPr>
          <w:rStyle w:val="Text2"/>
        </w:rPr>
        <w:t>errors</w:t>
        <w:t xml:space="preserve">, </w:t>
      </w:r>
      <w:hyperlink w:anchor="Lerror06">
        <w:r>
          <w:t>Logging Errors</w:t>
        </w:r>
      </w:hyperlink>
      <w:r>
        <w:rPr>
          <w:rStyle w:val="Text2"/>
        </w:rPr>
        <w:t>-</w:t>
      </w:r>
      <w:hyperlink w:anchor="idm45965255187792">
        <w:r>
          <w:t>Configuring logging</w:t>
        </w:r>
      </w:hyperlink>
    </w:p>
    <w:p>
      <w:pPr>
        <w:pStyle w:val="Para 004"/>
      </w:pPr>
      <w:r>
        <w:rPr>
          <w:rStyle w:val="Text2"/>
        </w:rPr>
        <w:t>logging module</w:t>
        <w:t xml:space="preserve">, </w:t>
      </w:r>
      <w:hyperlink w:anchor="idm45965255454000">
        <w:r>
          <w:t>The logging module</w:t>
        </w:r>
      </w:hyperlink>
    </w:p>
    <w:p>
      <w:pPr>
        <w:pStyle w:val="Para 004"/>
      </w:pPr>
      <w:r>
        <w:rPr>
          <w:rStyle w:val="Text2"/>
        </w:rPr>
        <w:t>logical lines</w:t>
        <w:t xml:space="preserve">, </w:t>
      </w:r>
      <w:hyperlink w:anchor="idm45965274429104">
        <w:r>
          <w:t>Lines and Indentation</w:t>
        </w:r>
      </w:hyperlink>
    </w:p>
    <w:p>
      <w:pPr>
        <w:pStyle w:val="Para 004"/>
      </w:pPr>
      <w:r>
        <w:rPr>
          <w:rStyle w:val="Text2"/>
        </w:rPr>
        <w:t>look before you leap (LBYL)</w:t>
        <w:t xml:space="preserve">, </w:t>
      </w:r>
      <w:hyperlink w:anchor="idm45965255792800">
        <w:r>
          <w:t>LBYL Versus EAFP</w:t>
        </w:r>
      </w:hyperlink>
      <w:r>
        <w:rPr>
          <w:rStyle w:val="Text2"/>
        </w:rPr>
        <w:t xml:space="preserve">, </w:t>
      </w:r>
      <w:hyperlink w:anchor="idm45965191828384">
        <w:r>
          <w:t>The queue Module</w:t>
        </w:r>
      </w:hyperlink>
    </w:p>
    <w:p>
      <w:pPr>
        <w:pStyle w:val="Para 004"/>
      </w:pPr>
      <w:r>
        <w:rPr>
          <w:rStyle w:val="Text2"/>
        </w:rPr>
        <w:t>lookup tables</w:t>
        <w:t xml:space="preserve">, </w:t>
      </w:r>
      <w:hyperlink w:anchor="idm45965178685680">
        <w:r>
          <w:t>Precomputing a lookup table</w:t>
        </w:r>
      </w:hyperlink>
    </w:p>
    <w:p>
      <w:pPr>
        <w:pStyle w:val="Para 003"/>
      </w:pPr>
      <w:r>
        <w:t>loops</w:t>
      </w:r>
    </w:p>
    <w:p>
      <w:pPr>
        <w:pStyle w:val="Para 004"/>
      </w:pPr>
      <w:r>
        <w:rPr>
          <w:rStyle w:val="Text2"/>
        </w:rPr>
        <w:t>else clause</w:t>
        <w:t xml:space="preserve">, </w:t>
      </w:r>
      <w:hyperlink w:anchor="idm45965270774048">
        <w:r>
          <w:t>The else Clause on Loop Statements</w:t>
        </w:r>
      </w:hyperlink>
    </w:p>
    <w:p>
      <w:pPr>
        <w:pStyle w:val="Para 003"/>
      </w:pPr>
      <w:r>
        <w:t>floating-point values and</w:t>
        <w:t xml:space="preserve">, </w:t>
      </w:r>
      <w:hyperlink w:anchor="idm45965187810960">
        <w:r>
          <w:rPr>
            <w:rStyle w:val="Text1"/>
          </w:rPr>
          <w:t>Floating-Point Values</w:t>
        </w:r>
      </w:hyperlink>
    </w:p>
    <w:p>
      <w:pPr>
        <w:pStyle w:val="Para 004"/>
      </w:pPr>
      <w:r>
        <w:rPr>
          <w:rStyle w:val="Text2"/>
        </w:rPr>
        <w:t>optimizing</w:t>
        <w:t xml:space="preserve">, </w:t>
      </w:r>
      <w:hyperlink w:anchor="loopcon17">
        <w:r>
          <w:t>Optimizing loops</w:t>
        </w:r>
      </w:hyperlink>
      <w:r>
        <w:rPr>
          <w:rStyle w:val="Text2"/>
        </w:rPr>
        <w:t>-</w:t>
      </w:r>
      <w:hyperlink w:anchor="idm45965177722272">
        <w:r>
          <w:t>Optimizing loops</w:t>
        </w:r>
      </w:hyperlink>
    </w:p>
    <w:p>
      <w:pPr>
        <w:pStyle w:val="Para 004"/>
      </w:pPr>
      <w:r>
        <w:rPr>
          <w:rStyle w:val="Text2"/>
        </w:rPr>
        <w:t>while statement</w:t>
        <w:t xml:space="preserve">, </w:t>
      </w:r>
      <w:hyperlink w:anchor="idm45965274621568">
        <w:r>
          <w:t>The while Statement</w:t>
        </w:r>
      </w:hyperlink>
    </w:p>
    <w:p>
      <w:pPr>
        <w:pStyle w:val="Para 004"/>
      </w:pPr>
      <w:r>
        <w:rPr>
          <w:rStyle w:val="Text2"/>
        </w:rPr>
        <w:t>lossless compression</w:t>
        <w:t xml:space="preserve">, </w:t>
      </w:r>
      <w:hyperlink w:anchor="idm45965206444128">
        <w:r>
          <w:t>File and Text Operations</w:t>
        </w:r>
      </w:hyperlink>
    </w:p>
    <w:p>
      <w:pPr>
        <w:pStyle w:val="Para 004"/>
      </w:pPr>
      <w:r>
        <w:rPr>
          <w:rStyle w:val="Text2"/>
        </w:rPr>
        <w:t>lower (string method)</w:t>
        <w:t xml:space="preserve">, </w:t>
      </w:r>
      <w:hyperlink w:anchor="idm45965212514880">
        <w:r>
          <w:t>Methods of String Objects</w:t>
        </w:r>
      </w:hyperlink>
    </w:p>
    <w:p>
      <w:pPr>
        <w:pStyle w:val="Para 004"/>
      </w:pPr>
      <w:r>
        <w:rPr>
          <w:rStyle w:val="Text2"/>
        </w:rPr>
        <w:t>lowercase letters</w:t>
        <w:t xml:space="preserve">, </w:t>
      </w:r>
      <w:hyperlink w:anchor="lcletter03">
        <w:r>
          <w:t>Identifiers</w:t>
        </w:r>
      </w:hyperlink>
      <w:r>
        <w:rPr>
          <w:rStyle w:val="Text2"/>
        </w:rPr>
        <w:t>-</w:t>
      </w:r>
      <w:hyperlink w:anchor="idm45965276615552">
        <w:r>
          <w:t>Identifiers</w:t>
        </w:r>
      </w:hyperlink>
    </w:p>
    <w:p>
      <w:pPr>
        <w:pStyle w:val="Para 003"/>
      </w:pPr>
      <w:r>
        <w:t>lru_cache (functools module)</w:t>
        <w:t xml:space="preserve">, </w:t>
      </w:r>
      <w:hyperlink w:anchor="idm45965277658240">
        <w:r>
          <w:rPr>
            <w:rStyle w:val="Text1"/>
          </w:rPr>
          <w:t>The functools Module</w:t>
        </w:r>
      </w:hyperlink>
    </w:p>
    <w:p>
      <w:pPr>
        <w:pStyle w:val="Para 004"/>
      </w:pPr>
      <w:r>
        <w:rPr>
          <w:rStyle w:val="Text2"/>
        </w:rPr>
        <w:t>lstrip (string method)</w:t>
        <w:t xml:space="preserve">, </w:t>
      </w:r>
      <w:hyperlink w:anchor="idm45965212508496">
        <w:r>
          <w:t>Methods of String Objects</w:t>
        </w:r>
      </w:hyperlink>
    </w:p>
    <w:p>
      <w:pPr>
        <w:pStyle w:val="Para 004"/>
      </w:pPr>
      <w:r>
        <w:rPr>
          <w:rStyle w:val="Text2"/>
        </w:rPr>
        <w:t>LZMA file compression</w:t>
        <w:t xml:space="preserve">, </w:t>
      </w:r>
      <w:hyperlink w:anchor="idm45965206440144">
        <w:r>
          <w:t>File and Text Operations</w:t>
        </w:r>
      </w:hyperlink>
    </w:p>
    <w:p>
      <w:pPr>
        <w:keepNext/>
        <w:pStyle w:val="Heading 3"/>
      </w:pPr>
      <w:r>
        <w:t>M</w:t>
      </w:r>
    </w:p>
    <w:p>
      <w:pPr>
        <w:pStyle w:val="Para 003"/>
      </w:pPr>
      <w:r>
        <w:t>mailing lists</w:t>
        <w:t xml:space="preserve">, </w:t>
      </w:r>
      <w:hyperlink w:anchor="idm45965279045664">
        <w:r>
          <w:rPr>
            <w:rStyle w:val="Text1"/>
          </w:rPr>
          <w:t>Mailing lists</w:t>
        </w:r>
      </w:hyperlink>
    </w:p>
    <w:p>
      <w:pPr>
        <w:pStyle w:val="Para 004"/>
      </w:pPr>
      <w:r>
        <w:rPr>
          <w:rStyle w:val="Text2"/>
        </w:rPr>
        <w:t>main program</w:t>
        <w:t xml:space="preserve">, </w:t>
      </w:r>
      <w:hyperlink w:anchor="idm45965254185520">
        <w:r>
          <w:t>The Main Program</w:t>
        </w:r>
      </w:hyperlink>
    </w:p>
    <w:p>
      <w:pPr>
        <w:pStyle w:val="Para 003"/>
      </w:pPr>
      <w:r>
        <w:t>Manager class (multiprocessing module)</w:t>
        <w:t xml:space="preserve">, </w:t>
      </w:r>
      <w:hyperlink w:anchor="idm45965191376016">
        <w:r>
          <w:rPr>
            <w:rStyle w:val="Text1"/>
          </w:rPr>
          <w:t>The Manager class</w:t>
        </w:r>
      </w:hyperlink>
    </w:p>
    <w:p>
      <w:pPr>
        <w:pStyle w:val="Para 003"/>
      </w:pPr>
      <w:r>
        <w:t>map (built-in function)</w:t>
        <w:t xml:space="preserve">, </w:t>
      </w:r>
      <w:hyperlink w:anchor="idm45965215602704">
        <w:r>
          <w:rPr>
            <w:rStyle w:val="Text1"/>
          </w:rPr>
          <w:t>Built-in Functions</w:t>
        </w:r>
      </w:hyperlink>
    </w:p>
    <w:p>
      <w:pPr>
        <w:pStyle w:val="Para 003"/>
      </w:pPr>
      <w:r>
        <w:t>mapping patterns</w:t>
        <w:t xml:space="preserve">, </w:t>
      </w:r>
      <w:hyperlink w:anchor="idm45965279585024">
        <w:r>
          <w:rPr>
            <w:rStyle w:val="Text1"/>
          </w:rPr>
          <w:t>Mapping patterns</w:t>
        </w:r>
      </w:hyperlink>
    </w:p>
    <w:p>
      <w:pPr>
        <w:pStyle w:val="Para 003"/>
      </w:pPr>
      <w:r>
        <w:t>mappings</w:t>
      </w:r>
    </w:p>
    <w:p>
      <w:pPr>
        <w:pStyle w:val="Para 003"/>
      </w:pPr>
      <w:r>
        <w:t>in dictionaries</w:t>
        <w:t xml:space="preserve">, </w:t>
      </w:r>
      <w:hyperlink w:anchor="idm45965269531328">
        <w:r>
          <w:rPr>
            <w:rStyle w:val="Text1"/>
          </w:rPr>
          <w:t>Dictionaries</w:t>
        </w:r>
      </w:hyperlink>
    </w:p>
    <w:p>
      <w:pPr>
        <w:pStyle w:val="Para 003"/>
      </w:pPr>
      <w:r>
        <w:t>special methods for containers</w:t>
        <w:t xml:space="preserve">, </w:t>
      </w:r>
      <w:hyperlink w:anchor="idm45965264560480">
        <w:r>
          <w:rPr>
            <w:rStyle w:val="Text1"/>
          </w:rPr>
          <w:t>Mappings</w:t>
        </w:r>
      </w:hyperlink>
    </w:p>
    <w:p>
      <w:pPr>
        <w:pStyle w:val="Para 004"/>
      </w:pPr>
      <w:r>
        <w:rPr>
          <w:rStyle w:val="Text2"/>
        </w:rPr>
        <w:t>markup</w:t>
        <w:t xml:space="preserve">, </w:t>
      </w:r>
      <w:hyperlink w:anchor="idm45965171986880">
        <w:r>
          <w:t>Structured Text: HTML</w:t>
        </w:r>
      </w:hyperlink>
    </w:p>
    <w:p>
      <w:pPr>
        <w:pStyle w:val="Para 004"/>
      </w:pPr>
      <w:r>
        <w:rPr>
          <w:rStyle w:val="Text2"/>
        </w:rPr>
        <w:t>marshaling</w:t>
        <w:t xml:space="preserve">, </w:t>
      </w:r>
      <w:hyperlink w:anchor="idm45965200537488">
        <w:r>
          <w:t>Serialization</w:t>
        </w:r>
      </w:hyperlink>
      <w:r>
        <w:rPr>
          <w:rStyle w:val="Text2"/>
        </w:rPr>
        <w:t xml:space="preserve">, </w:t>
      </w:r>
      <w:hyperlink w:anchor="idm45965199078528">
        <w:r>
          <w:t>Pickling customization with the copyreg module</w:t>
        </w:r>
      </w:hyperlink>
    </w:p>
    <w:p>
      <w:pPr>
        <w:pStyle w:val="Para 004"/>
      </w:pPr>
      <w:r>
        <w:rPr>
          <w:rStyle w:val="Text2"/>
        </w:rPr>
        <w:t>match</w:t>
        <w:t xml:space="preserve">, </w:t>
      </w:r>
      <w:hyperlink w:anchor="idm45965282211712">
        <w:r>
          <w:t>The match Statement</w:t>
        </w:r>
      </w:hyperlink>
    </w:p>
    <w:p>
      <w:pPr>
        <w:pStyle w:val="Para 003"/>
      </w:pPr>
      <w:r>
        <w:t>as patterns</w:t>
        <w:t xml:space="preserve">, </w:t>
      </w:r>
      <w:hyperlink w:anchor="idm45965275246784">
        <w:r>
          <w:rPr>
            <w:rStyle w:val="Text1"/>
          </w:rPr>
          <w:t>as patterns</w:t>
        </w:r>
      </w:hyperlink>
    </w:p>
    <w:p>
      <w:pPr>
        <w:pStyle w:val="Para 003"/>
      </w:pPr>
      <w:r>
        <w:t>building patterns</w:t>
        <w:t xml:space="preserve">, </w:t>
      </w:r>
      <w:hyperlink w:anchor="idm45965263971920">
        <w:r>
          <w:rPr>
            <w:rStyle w:val="Text1"/>
          </w:rPr>
          <w:t>Building patterns</w:t>
        </w:r>
      </w:hyperlink>
    </w:p>
    <w:p>
      <w:pPr>
        <w:pStyle w:val="Para 003"/>
      </w:pPr>
      <w:r>
        <w:t>capture patterns</w:t>
        <w:t xml:space="preserve">, </w:t>
      </w:r>
      <w:hyperlink w:anchor="idm45965263810080">
        <w:r>
          <w:rPr>
            <w:rStyle w:val="Text1"/>
          </w:rPr>
          <w:t>Capture patterns</w:t>
        </w:r>
      </w:hyperlink>
    </w:p>
    <w:p>
      <w:pPr>
        <w:pStyle w:val="Para 003"/>
      </w:pPr>
      <w:r>
        <w:t>class patterns</w:t>
        <w:t xml:space="preserve">, </w:t>
      </w:r>
      <w:hyperlink w:anchor="idm45965279358976">
        <w:r>
          <w:rPr>
            <w:rStyle w:val="Text1"/>
          </w:rPr>
          <w:t>Class patterns</w:t>
        </w:r>
      </w:hyperlink>
    </w:p>
    <w:p>
      <w:pPr>
        <w:pStyle w:val="Para 003"/>
      </w:pPr>
      <w:r>
        <w:t>configuring classes for positional matching</w:t>
        <w:t xml:space="preserve">, </w:t>
      </w:r>
      <w:hyperlink w:anchor="idm45965272328016">
        <w:r>
          <w:rPr>
            <w:rStyle w:val="Text1"/>
          </w:rPr>
          <w:t>Configuring classes for positional matching</w:t>
        </w:r>
      </w:hyperlink>
    </w:p>
    <w:p>
      <w:pPr>
        <w:pStyle w:val="Para 003"/>
      </w:pPr>
      <w:r>
        <w:t>group patterns</w:t>
        <w:t xml:space="preserve">, </w:t>
      </w:r>
      <w:hyperlink w:anchor="idm45965275402224">
        <w:r>
          <w:rPr>
            <w:rStyle w:val="Text1"/>
          </w:rPr>
          <w:t>Group patterns</w:t>
        </w:r>
      </w:hyperlink>
    </w:p>
    <w:p>
      <w:pPr>
        <w:pStyle w:val="Para 003"/>
      </w:pPr>
      <w:r>
        <w:t>guards</w:t>
        <w:t xml:space="preserve">, </w:t>
      </w:r>
      <w:hyperlink w:anchor="idm45965272416928">
        <w:r>
          <w:rPr>
            <w:rStyle w:val="Text1"/>
          </w:rPr>
          <w:t>Guards</w:t>
        </w:r>
      </w:hyperlink>
    </w:p>
    <w:p>
      <w:pPr>
        <w:pStyle w:val="Para 003"/>
      </w:pPr>
      <w:r>
        <w:t>literal patterns</w:t>
        <w:t xml:space="preserve">, </w:t>
      </w:r>
      <w:hyperlink w:anchor="idm45965263967360">
        <w:r>
          <w:rPr>
            <w:rStyle w:val="Text1"/>
          </w:rPr>
          <w:t>Literal patterns</w:t>
        </w:r>
      </w:hyperlink>
    </w:p>
    <w:p>
      <w:pPr>
        <w:pStyle w:val="Para 003"/>
      </w:pPr>
      <w:r>
        <w:t>mapping patterns</w:t>
        <w:t xml:space="preserve">, </w:t>
      </w:r>
      <w:hyperlink w:anchor="idm45965279586432">
        <w:r>
          <w:rPr>
            <w:rStyle w:val="Text1"/>
          </w:rPr>
          <w:t>Mapping patterns</w:t>
        </w:r>
      </w:hyperlink>
    </w:p>
    <w:p>
      <w:pPr>
        <w:pStyle w:val="Para 003"/>
      </w:pPr>
      <w:r>
        <w:t>OR patterns</w:t>
        <w:t xml:space="preserve">, </w:t>
      </w:r>
      <w:hyperlink w:anchor="idm45965275506960">
        <w:r>
          <w:rPr>
            <w:rStyle w:val="Text1"/>
          </w:rPr>
          <w:t>OR patterns</w:t>
        </w:r>
      </w:hyperlink>
    </w:p>
    <w:p>
      <w:pPr>
        <w:pStyle w:val="Para 003"/>
      </w:pPr>
      <w:r>
        <w:t>pattern matching with</w:t>
        <w:t xml:space="preserve">, </w:t>
      </w:r>
      <w:hyperlink w:anchor="idm45965282222944">
        <w:r>
          <w:rPr>
            <w:rStyle w:val="Text1"/>
          </w:rPr>
          <w:t>The match Statement</w:t>
        </w:r>
      </w:hyperlink>
    </w:p>
    <w:p>
      <w:pPr>
        <w:pStyle w:val="Para 004"/>
      </w:pPr>
      <w:r>
        <w:rPr>
          <w:rStyle w:val="Text2"/>
        </w:rPr>
        <w:t>in regular expressions</w:t>
        <w:t xml:space="preserve">, </w:t>
      </w:r>
      <w:hyperlink w:anchor="idm45965207769232">
        <w:r>
          <w:t>Regular Expression Objects</w:t>
        </w:r>
      </w:hyperlink>
    </w:p>
    <w:p>
      <w:pPr>
        <w:pStyle w:val="Para 003"/>
      </w:pPr>
      <w:r>
        <w:t>sequence patterns</w:t>
        <w:t xml:space="preserve">, </w:t>
      </w:r>
      <w:hyperlink w:anchor="idm45965275363408">
        <w:r>
          <w:rPr>
            <w:rStyle w:val="Text1"/>
          </w:rPr>
          <w:t>Sequence patterns</w:t>
        </w:r>
      </w:hyperlink>
    </w:p>
    <w:p>
      <w:pPr>
        <w:pStyle w:val="Para 003"/>
      </w:pPr>
      <w:r>
        <w:t>value patterns</w:t>
        <w:t xml:space="preserve">, </w:t>
      </w:r>
      <w:hyperlink w:anchor="idm45965263714592">
        <w:r>
          <w:rPr>
            <w:rStyle w:val="Text1"/>
          </w:rPr>
          <w:t>Value patterns</w:t>
        </w:r>
      </w:hyperlink>
    </w:p>
    <w:p>
      <w:pPr>
        <w:pStyle w:val="Para 004"/>
      </w:pPr>
      <w:r>
        <w:rPr>
          <w:rStyle w:val="Text2"/>
        </w:rPr>
        <w:t>wildcard pattern</w:t>
        <w:t xml:space="preserve">, </w:t>
      </w:r>
      <w:hyperlink w:anchor="idm45965263876928">
        <w:r>
          <w:t>The wildcard pattern</w:t>
        </w:r>
      </w:hyperlink>
    </w:p>
    <w:p>
      <w:pPr>
        <w:pStyle w:val="Para 004"/>
      </w:pPr>
      <w:r>
        <w:rPr>
          <w:rStyle w:val="Text2"/>
        </w:rPr>
        <w:t>match objects</w:t>
        <w:t xml:space="preserve">, </w:t>
      </w:r>
      <w:hyperlink w:anchor="mobj10">
        <w:r>
          <w:t>Match Objects</w:t>
        </w:r>
      </w:hyperlink>
      <w:r>
        <w:rPr>
          <w:rStyle w:val="Text2"/>
        </w:rPr>
        <w:t>-</w:t>
      </w:r>
      <w:hyperlink w:anchor="idm45965206992304">
        <w:r>
          <w:t>Match Objects</w:t>
        </w:r>
      </w:hyperlink>
    </w:p>
    <w:p>
      <w:pPr>
        <w:pStyle w:val="Para 004"/>
      </w:pPr>
      <w:r>
        <w:rPr>
          <w:rStyle w:val="Text2"/>
        </w:rPr>
        <w:t>math module</w:t>
        <w:t xml:space="preserve">, </w:t>
      </w:r>
      <w:hyperlink w:anchor="mathmod16">
        <w:r>
          <w:t>The math and cmath Modules</w:t>
        </w:r>
      </w:hyperlink>
      <w:r>
        <w:rPr>
          <w:rStyle w:val="Text2"/>
        </w:rPr>
        <w:t>-</w:t>
      </w:r>
      <w:hyperlink w:anchor="idm45965186889072">
        <w:r>
          <w:t>The math and cmath Modules</w:t>
        </w:r>
      </w:hyperlink>
    </w:p>
    <w:p>
      <w:pPr>
        <w:pStyle w:val="Para 004"/>
      </w:pPr>
      <w:r>
        <w:rPr>
          <w:rStyle w:val="Text2"/>
        </w:rPr>
        <w:t>matrix multiplication</w:t>
        <w:t xml:space="preserve">, </w:t>
      </w:r>
      <w:hyperlink w:anchor="idm45965186837104">
        <w:r>
          <w:t>The operator Module</w:t>
        </w:r>
      </w:hyperlink>
      <w:r>
        <w:rPr>
          <w:rStyle w:val="Text2"/>
        </w:rPr>
        <w:t xml:space="preserve">, </w:t>
      </w:r>
      <w:hyperlink w:anchor="idm45965184189312">
        <w:r>
          <w:t>Matrix operations in NumPy</w:t>
        </w:r>
      </w:hyperlink>
    </w:p>
    <w:p>
      <w:pPr>
        <w:pStyle w:val="Para 004"/>
      </w:pPr>
      <w:r>
        <w:rPr>
          <w:rStyle w:val="Text2"/>
        </w:rPr>
        <w:t>max (built-in function)</w:t>
        <w:t xml:space="preserve">, </w:t>
      </w:r>
      <w:hyperlink w:anchor="idm45965276149568">
        <w:r>
          <w:t>Sequences in General</w:t>
        </w:r>
      </w:hyperlink>
      <w:r>
        <w:rPr>
          <w:rStyle w:val="Text2"/>
        </w:rPr>
        <w:t xml:space="preserve">, </w:t>
      </w:r>
      <w:hyperlink w:anchor="idm45965215514560">
        <w:r>
          <w:t>Built-in Functions</w:t>
        </w:r>
      </w:hyperlink>
    </w:p>
    <w:p>
      <w:pPr>
        <w:pStyle w:val="Para 003"/>
      </w:pPr>
      <w:r>
        <w:t>membership testing</w:t>
        <w:t xml:space="preserve">, </w:t>
      </w:r>
      <w:hyperlink w:anchor="idm45965276107376">
        <w:r>
          <w:rPr>
            <w:rStyle w:val="Text1"/>
          </w:rPr>
          <w:t>Membership testing</w:t>
        </w:r>
      </w:hyperlink>
    </w:p>
    <w:p>
      <w:pPr>
        <w:pStyle w:val="Para 004"/>
      </w:pPr>
      <w:r>
        <w:rPr>
          <w:rStyle w:val="Text2"/>
        </w:rPr>
        <w:t>memoization</w:t>
        <w:t xml:space="preserve">, </w:t>
      </w:r>
      <w:hyperlink w:anchor="idm45965277659504">
        <w:r>
          <w:t>The functools Module</w:t>
        </w:r>
      </w:hyperlink>
      <w:r>
        <w:rPr>
          <w:rStyle w:val="Text2"/>
        </w:rPr>
        <w:t xml:space="preserve">, </w:t>
      </w:r>
      <w:hyperlink w:anchor="memoiz17">
        <w:r>
          <w:t>Memoizing</w:t>
        </w:r>
      </w:hyperlink>
      <w:r>
        <w:rPr>
          <w:rStyle w:val="Text2"/>
        </w:rPr>
        <w:t>-</w:t>
      </w:r>
      <w:hyperlink w:anchor="idm45965178688800">
        <w:r>
          <w:t>Memoizing</w:t>
        </w:r>
      </w:hyperlink>
    </w:p>
    <w:p>
      <w:pPr>
        <w:pStyle w:val="Para 004"/>
      </w:pPr>
      <w:r>
        <w:rPr>
          <w:rStyle w:val="Text2"/>
        </w:rPr>
        <w:t xml:space="preserve"> memory-mapped files</w:t>
        <w:t xml:space="preserve">, </w:t>
      </w:r>
      <w:hyperlink w:anchor="idm45965193655152">
        <w:r>
          <w:t>Concurrency: Threads and Processes</w:t>
        </w:r>
      </w:hyperlink>
      <w:r>
        <w:rPr>
          <w:rStyle w:val="Text2"/>
        </w:rPr>
        <w:t xml:space="preserve">, </w:t>
      </w:r>
      <w:hyperlink w:anchor="idm45965188604560">
        <w:r>
          <w:t>The mmap Module</w:t>
        </w:r>
      </w:hyperlink>
    </w:p>
    <w:p>
      <w:pPr>
        <w:pStyle w:val="Para 003"/>
      </w:pPr>
      <w:r>
        <w:t>memoryview (built-in type)</w:t>
        <w:t xml:space="preserve">, </w:t>
      </w:r>
      <w:hyperlink w:anchor="idm45965216610416">
        <w:r>
          <w:rPr>
            <w:rStyle w:val="Text1"/>
          </w:rPr>
          <w:t>Built-in Types</w:t>
        </w:r>
      </w:hyperlink>
    </w:p>
    <w:p>
      <w:pPr>
        <w:pStyle w:val="Para 003"/>
      </w:pPr>
      <w:r>
        <w:t>merge (heaapq module)</w:t>
        <w:t xml:space="preserve">, </w:t>
      </w:r>
      <w:hyperlink w:anchor="idm45965277195424">
        <w:r>
          <w:rPr>
            <w:rStyle w:val="Text1"/>
          </w:rPr>
          <w:t>The heapq Module</w:t>
        </w:r>
      </w:hyperlink>
    </w:p>
    <w:p>
      <w:pPr>
        <w:pStyle w:val="Para 004"/>
      </w:pPr>
      <w:r>
        <w:rPr>
          <w:rStyle w:val="Text2"/>
        </w:rPr>
        <w:t>metaclasses</w:t>
        <w:t xml:space="preserve">, </w:t>
      </w:r>
      <w:hyperlink w:anchor="meta04">
        <w:r>
          <w:t>Metaclasses</w:t>
        </w:r>
      </w:hyperlink>
      <w:r>
        <w:rPr>
          <w:rStyle w:val="Text2"/>
        </w:rPr>
        <w:t>-</w:t>
      </w:r>
      <w:hyperlink w:anchor="idm45965269266656">
        <w:r>
          <w:t>Enumerated Types (Enums)</w:t>
        </w:r>
      </w:hyperlink>
    </w:p>
    <w:p>
      <w:pPr>
        <w:pStyle w:val="Para 004"/>
      </w:pPr>
      <w:r>
        <w:rPr>
          <w:rStyle w:val="Text2"/>
        </w:rPr>
        <w:t>alternatives to</w:t>
        <w:t xml:space="preserve">, </w:t>
      </w:r>
      <w:hyperlink w:anchor="idm45965280934912">
        <w:r>
          <w:t>Alternatives to Custom Metaclasses for Simple Class Customization</w:t>
        </w:r>
      </w:hyperlink>
    </w:p>
    <w:p>
      <w:pPr>
        <w:pStyle w:val="Para 004"/>
      </w:pPr>
      <w:r>
        <w:rPr>
          <w:rStyle w:val="Text2"/>
        </w:rPr>
        <w:t>class creation by</w:t>
        <w:t xml:space="preserve">, </w:t>
      </w:r>
      <w:hyperlink w:anchor="idm45965280586432">
        <w:r>
          <w:t>How a Metaclass Creates a Class</w:t>
        </w:r>
      </w:hyperlink>
    </w:p>
    <w:p>
      <w:pPr>
        <w:pStyle w:val="Para 004"/>
      </w:pPr>
      <w:r>
        <w:rPr>
          <w:rStyle w:val="Text2"/>
        </w:rPr>
        <w:t>custom metaclass example</w:t>
        <w:t xml:space="preserve">, </w:t>
      </w:r>
      <w:hyperlink w:anchor="idm45965280446672">
        <w:r>
          <w:t>A substantial custom metaclass example</w:t>
        </w:r>
      </w:hyperlink>
    </w:p>
    <w:p>
      <w:pPr>
        <w:pStyle w:val="Para 003"/>
      </w:pPr>
      <w:r>
        <w:t>data classes</w:t>
        <w:t xml:space="preserve">, </w:t>
      </w:r>
      <w:hyperlink w:anchor="idm45965253501056">
        <w:r>
          <w:rPr>
            <w:rStyle w:val="Text1"/>
          </w:rPr>
          <w:t>Data Classes</w:t>
        </w:r>
      </w:hyperlink>
    </w:p>
    <w:p>
      <w:pPr>
        <w:pStyle w:val="Para 004"/>
      </w:pPr>
      <w:r>
        <w:rPr>
          <w:rStyle w:val="Text2"/>
        </w:rPr>
        <w:t>defining and using your own</w:t>
        <w:t xml:space="preserve">, </w:t>
      </w:r>
      <w:hyperlink w:anchor="idm45965280522752">
        <w:r>
          <w:t>Defining and using your own metaclasses</w:t>
        </w:r>
      </w:hyperlink>
    </w:p>
    <w:p>
      <w:pPr>
        <w:pStyle w:val="Para 003"/>
      </w:pPr>
      <w:r>
        <w:t>definition of term</w:t>
        <w:t xml:space="preserve">, </w:t>
      </w:r>
      <w:hyperlink w:anchor="idm45965280942848">
        <w:r>
          <w:rPr>
            <w:rStyle w:val="Text1"/>
          </w:rPr>
          <w:t>Metaclasses</w:t>
        </w:r>
      </w:hyperlink>
    </w:p>
    <w:p>
      <w:pPr>
        <w:pStyle w:val="Para 003"/>
      </w:pPr>
      <w:r>
        <w:t>methodcaller (operator module)</w:t>
        <w:t xml:space="preserve">, </w:t>
      </w:r>
      <w:hyperlink w:anchor="idm45965186491472">
        <w:r>
          <w:rPr>
            <w:rStyle w:val="Text1"/>
          </w:rPr>
          <w:t>The operator Module</w:t>
        </w:r>
      </w:hyperlink>
    </w:p>
    <w:p>
      <w:pPr>
        <w:pStyle w:val="Para 003"/>
      </w:pPr>
      <w:r>
        <w:t>methods</w:t>
      </w:r>
    </w:p>
    <w:p>
      <w:pPr>
        <w:pStyle w:val="Para 004"/>
      </w:pPr>
      <w:r>
        <w:rPr>
          <w:rStyle w:val="Text2"/>
        </w:rPr>
        <w:t>basics of</w:t>
        <w:t xml:space="preserve">, </w:t>
      </w:r>
      <w:hyperlink w:anchor="idm45965272041472">
        <w:r>
          <w:t>Python Classes</w:t>
        </w:r>
      </w:hyperlink>
    </w:p>
    <w:p>
      <w:pPr>
        <w:pStyle w:val="Para 004"/>
      </w:pPr>
      <w:r>
        <w:rPr>
          <w:rStyle w:val="Text2"/>
        </w:rPr>
        <w:t>bound and unbound methods</w:t>
        <w:t xml:space="preserve">, </w:t>
      </w:r>
      <w:hyperlink w:anchor="Mbandumeth04">
        <w:r>
          <w:t>Bound and Unbound Methods</w:t>
        </w:r>
      </w:hyperlink>
      <w:r>
        <w:rPr>
          <w:rStyle w:val="Text2"/>
        </w:rPr>
        <w:t>-</w:t>
      </w:r>
      <w:hyperlink w:anchor="idm45965266002240">
        <w:r>
          <w:t>Bound and Unbound Methods</w:t>
        </w:r>
      </w:hyperlink>
    </w:p>
    <w:p>
      <w:pPr>
        <w:pStyle w:val="Para 003"/>
      </w:pPr>
      <w:r>
        <w:t>class-level methods</w:t>
        <w:t xml:space="preserve">, </w:t>
      </w:r>
      <w:hyperlink w:anchor="idm45965276835120">
        <w:r>
          <w:rPr>
            <w:rStyle w:val="Text1"/>
          </w:rPr>
          <w:t>Class-Level Methods</w:t>
        </w:r>
      </w:hyperlink>
    </w:p>
    <w:p>
      <w:pPr>
        <w:pStyle w:val="Para 004"/>
      </w:pPr>
      <w:r>
        <w:rPr>
          <w:rStyle w:val="Text2"/>
        </w:rPr>
        <w:t>definition of term</w:t>
        <w:t xml:space="preserve">, </w:t>
      </w:r>
      <w:hyperlink w:anchor="idm45965258668560">
        <w:r>
          <w:t>Object attributes and items</w:t>
        </w:r>
      </w:hyperlink>
      <w:r>
        <w:rPr>
          <w:rStyle w:val="Text2"/>
        </w:rPr>
        <w:t xml:space="preserve">, </w:t>
      </w:r>
      <w:hyperlink w:anchor="idm45965270583744">
        <w:r>
          <w:t>Functions</w:t>
        </w:r>
      </w:hyperlink>
    </w:p>
    <w:p>
      <w:pPr>
        <w:pStyle w:val="Para 003"/>
      </w:pPr>
      <w:r>
        <w:t>function definitions in class bodies</w:t>
        <w:t xml:space="preserve">, </w:t>
      </w:r>
      <w:hyperlink w:anchor="idm45965271707104">
        <w:r>
          <w:rPr>
            <w:rStyle w:val="Text1"/>
          </w:rPr>
          <w:t>Function definitions in a class body</w:t>
        </w:r>
      </w:hyperlink>
    </w:p>
    <w:p>
      <w:pPr>
        <w:pStyle w:val="Para 004"/>
      </w:pPr>
      <w:r>
        <w:rPr>
          <w:rStyle w:val="Text2"/>
        </w:rPr>
        <w:t>mixin methods</w:t>
        <w:t xml:space="preserve">, </w:t>
      </w:r>
      <w:hyperlink w:anchor="idm45965281813248">
        <w:r>
          <w:t>ABCs in the collections module</w:t>
        </w:r>
      </w:hyperlink>
    </w:p>
    <w:p>
      <w:pPr>
        <w:pStyle w:val="Para 004"/>
      </w:pPr>
      <w:r>
        <w:rPr>
          <w:rStyle w:val="Text2"/>
        </w:rPr>
        <w:t>of file objects</w:t>
        <w:t xml:space="preserve">, </w:t>
      </w:r>
      <w:hyperlink w:anchor="Mfileob1">
        <w:r>
          <w:t>Attributes and Methods of File Objects</w:t>
        </w:r>
      </w:hyperlink>
      <w:r>
        <w:rPr>
          <w:rStyle w:val="Text2"/>
        </w:rPr>
        <w:t>-</w:t>
      </w:r>
      <w:hyperlink w:anchor="idm45965206016480">
        <w:r>
          <w:t>Attributes and Methods of File Objects</w:t>
        </w:r>
      </w:hyperlink>
    </w:p>
    <w:p>
      <w:pPr>
        <w:pStyle w:val="Para 003"/>
      </w:pPr>
      <w:r>
        <w:t>per instance methods</w:t>
        <w:t xml:space="preserve">, </w:t>
      </w:r>
      <w:hyperlink w:anchor="idm45965265183584">
        <w:r>
          <w:rPr>
            <w:rStyle w:val="Text1"/>
          </w:rPr>
          <w:t>Per Instance Methods</w:t>
        </w:r>
      </w:hyperlink>
    </w:p>
    <w:p>
      <w:pPr>
        <w:pStyle w:val="Para 003"/>
      </w:pPr>
      <w:r>
        <w:t>special methods</w:t>
        <w:t xml:space="preserve">, </w:t>
      </w:r>
      <w:hyperlink w:anchor="idm45965279177648">
        <w:r>
          <w:rPr>
            <w:rStyle w:val="Text1"/>
          </w:rPr>
          <w:t>Callables</w:t>
        </w:r>
      </w:hyperlink>
    </w:p>
    <w:p>
      <w:pPr>
        <w:pStyle w:val="Para 003"/>
      </w:pPr>
      <w:r>
        <w:t>MicroPython</w:t>
        <w:t xml:space="preserve">, </w:t>
      </w:r>
      <w:hyperlink w:anchor="idm45965283401168">
        <w:r>
          <w:rPr>
            <w:rStyle w:val="Text1"/>
          </w:rPr>
          <w:t>MicroPython</w:t>
        </w:r>
      </w:hyperlink>
    </w:p>
    <w:p>
      <w:pPr>
        <w:pStyle w:val="Para 003"/>
      </w:pPr>
      <w:r>
        <w:t>Microsoft Windows</w:t>
      </w:r>
    </w:p>
    <w:p>
      <w:pPr>
        <w:pStyle w:val="Para 003"/>
      </w:pPr>
      <w:r>
        <w:t>installing Python</w:t>
        <w:t xml:space="preserve">, </w:t>
      </w:r>
      <w:hyperlink w:anchor="idm45965283056992">
        <w:r>
          <w:rPr>
            <w:rStyle w:val="Text1"/>
          </w:rPr>
          <w:t>Microsoft Windows</w:t>
        </w:r>
      </w:hyperlink>
    </w:p>
    <w:p>
      <w:pPr>
        <w:pStyle w:val="Para 004"/>
      </w:pPr>
      <w:r>
        <w:rPr>
          <w:rStyle w:val="Text2"/>
        </w:rPr>
        <w:t>py launcher</w:t>
        <w:t xml:space="preserve">, </w:t>
      </w:r>
      <w:hyperlink w:anchor="idm45965265741680">
        <w:r>
          <w:t>The Windows py Launcher</w:t>
        </w:r>
      </w:hyperlink>
    </w:p>
    <w:p>
      <w:pPr>
        <w:pStyle w:val="Para 004"/>
      </w:pPr>
      <w:r>
        <w:rPr>
          <w:rStyle w:val="Text2"/>
        </w:rPr>
        <w:t>python.exe</w:t>
        <w:t xml:space="preserve">, </w:t>
      </w:r>
      <w:hyperlink w:anchor="idm45965274962608">
        <w:r>
          <w:t>The python Program</w:t>
        </w:r>
      </w:hyperlink>
    </w:p>
    <w:p>
      <w:pPr>
        <w:pStyle w:val="Para 003"/>
      </w:pPr>
      <w:r>
        <w:t>running Python programs</w:t>
        <w:t xml:space="preserve">, </w:t>
      </w:r>
      <w:hyperlink w:anchor="idm45965278445808">
        <w:r>
          <w:rPr>
            <w:rStyle w:val="Text1"/>
          </w:rPr>
          <w:t>Running Python Programs</w:t>
        </w:r>
      </w:hyperlink>
    </w:p>
    <w:p>
      <w:pPr>
        <w:pStyle w:val="Para 004"/>
      </w:pPr>
      <w:r>
        <w:rPr>
          <w:rStyle w:val="Text2"/>
        </w:rPr>
        <w:t>virtual environments</w:t>
        <w:t xml:space="preserve">, </w:t>
      </w:r>
      <w:hyperlink w:anchor="idm45965216931712">
        <w:r>
          <w:t>Working with Virtual Environments</w:t>
        </w:r>
      </w:hyperlink>
    </w:p>
    <w:p>
      <w:pPr>
        <w:pStyle w:val="Para 003"/>
      </w:pPr>
      <w:r>
        <w:t>middle dot (·)</w:t>
        <w:t xml:space="preserve">, </w:t>
      </w:r>
      <w:hyperlink w:anchor="idm45965284337616">
        <w:r>
          <w:rPr>
            <w:rStyle w:val="Text1"/>
          </w:rPr>
          <w:t>Identifiers</w:t>
        </w:r>
      </w:hyperlink>
    </w:p>
    <w:p>
      <w:pPr>
        <w:pStyle w:val="Para 003"/>
      </w:pPr>
      <w:r>
        <w:t>middleware</w:t>
        <w:t xml:space="preserve">, </w:t>
      </w:r>
      <w:hyperlink w:anchor="idm45965174907488">
        <w:r>
          <w:rPr>
            <w:rStyle w:val="Text1"/>
          </w:rPr>
          <w:t>WSGI Servers</w:t>
        </w:r>
      </w:hyperlink>
    </w:p>
    <w:p>
      <w:pPr>
        <w:pStyle w:val="Para 004"/>
      </w:pPr>
      <w:r>
        <w:rPr>
          <w:rStyle w:val="Text2"/>
        </w:rPr>
        <w:t>migration</w:t>
        <w:t xml:space="preserve">, </w:t>
      </w:r>
      <w:hyperlink w:anchor="mig26">
        <w:r>
          <w:t>v3.7 to v3.n Migration</w:t>
        </w:r>
      </w:hyperlink>
      <w:r>
        <w:rPr>
          <w:rStyle w:val="Text2"/>
        </w:rPr>
        <w:t>-</w:t>
      </w:r>
      <w:hyperlink w:anchor="idm45965162480144">
        <w:r>
          <w:t>Summary</w:t>
        </w:r>
      </w:hyperlink>
    </w:p>
    <w:p>
      <w:pPr>
        <w:pStyle w:val="Para 003"/>
      </w:pPr>
      <w:r>
        <w:t>MIME (Multipurpose Internet Mail Extensions)</w:t>
        <w:t xml:space="preserve">, </w:t>
      </w:r>
      <w:hyperlink w:anchor="idm45965173317232">
        <w:r>
          <w:rPr>
            <w:rStyle w:val="Text1"/>
          </w:rPr>
          <w:t>Email, MIME, and Other Network Encodings</w:t>
        </w:r>
      </w:hyperlink>
    </w:p>
    <w:p>
      <w:pPr>
        <w:pStyle w:val="Para 004"/>
      </w:pPr>
      <w:r>
        <w:rPr>
          <w:rStyle w:val="Text2"/>
        </w:rPr>
        <w:t>min (built-in function)</w:t>
        <w:t xml:space="preserve">, </w:t>
      </w:r>
      <w:hyperlink w:anchor="idm45965276150704">
        <w:r>
          <w:t>Sequences in General</w:t>
        </w:r>
      </w:hyperlink>
      <w:r>
        <w:rPr>
          <w:rStyle w:val="Text2"/>
        </w:rPr>
        <w:t xml:space="preserve">, </w:t>
      </w:r>
      <w:hyperlink w:anchor="idm45965215474256">
        <w:r>
          <w:t>Built-in Functions</w:t>
        </w:r>
      </w:hyperlink>
    </w:p>
    <w:p>
      <w:pPr>
        <w:pStyle w:val="Para 004"/>
      </w:pPr>
      <w:r>
        <w:rPr>
          <w:rStyle w:val="Text2"/>
        </w:rPr>
        <w:t>Miniconda</w:t>
        <w:t xml:space="preserve">, </w:t>
      </w:r>
      <w:hyperlink w:anchor="idm45965258111456">
        <w:r>
          <w:t>Anaconda and Miniconda</w:t>
        </w:r>
      </w:hyperlink>
    </w:p>
    <w:p>
      <w:pPr>
        <w:pStyle w:val="Para 004"/>
      </w:pPr>
      <w:r>
        <w:rPr>
          <w:rStyle w:val="Text2"/>
        </w:rPr>
        <w:t>mixin methods</w:t>
        <w:t xml:space="preserve">, </w:t>
      </w:r>
      <w:hyperlink w:anchor="idm45965281814352">
        <w:r>
          <w:t>ABCs in the collections module</w:t>
        </w:r>
      </w:hyperlink>
    </w:p>
    <w:p>
      <w:pPr>
        <w:pStyle w:val="Para 004"/>
      </w:pPr>
      <w:r>
        <w:rPr>
          <w:rStyle w:val="Text2"/>
        </w:rPr>
        <w:t>mkdir (os module)</w:t>
        <w:t xml:space="preserve">, </w:t>
      </w:r>
      <w:hyperlink w:anchor="idm45965204304208">
        <w:r>
          <w:t>File and directory functions of the os module</w:t>
        </w:r>
      </w:hyperlink>
    </w:p>
    <w:p>
      <w:pPr>
        <w:pStyle w:val="Para 003"/>
      </w:pPr>
      <w:r>
        <w:t>mkdir (pathlib.Path class)</w:t>
        <w:t xml:space="preserve">, </w:t>
      </w:r>
      <w:hyperlink w:anchor="idm45965203106960">
        <w:r>
          <w:rPr>
            <w:rStyle w:val="Text1"/>
          </w:rPr>
          <w:t>The pathlib Module</w:t>
        </w:r>
      </w:hyperlink>
    </w:p>
    <w:p>
      <w:pPr>
        <w:pStyle w:val="Para 003"/>
      </w:pPr>
      <w:r>
        <w:t>mkdtemp (tempfile module)</w:t>
        <w:t xml:space="preserve">, </w:t>
      </w:r>
      <w:hyperlink w:anchor="idm45965205901712">
        <w:r>
          <w:rPr>
            <w:rStyle w:val="Text1"/>
          </w:rPr>
          <w:t>The tempfile Module</w:t>
        </w:r>
      </w:hyperlink>
    </w:p>
    <w:p>
      <w:pPr>
        <w:pStyle w:val="Para 003"/>
      </w:pPr>
      <w:r>
        <w:t>mkstemp (tempfile module)</w:t>
        <w:t xml:space="preserve">, </w:t>
      </w:r>
      <w:hyperlink w:anchor="idm45965205861712">
        <w:r>
          <w:rPr>
            <w:rStyle w:val="Text1"/>
          </w:rPr>
          <w:t>The tempfile Module</w:t>
        </w:r>
      </w:hyperlink>
    </w:p>
    <w:p>
      <w:pPr>
        <w:pStyle w:val="Para 004"/>
      </w:pPr>
      <w:r>
        <w:rPr>
          <w:rStyle w:val="Text2"/>
        </w:rPr>
        <w:t>mmap module</w:t>
        <w:t xml:space="preserve">, </w:t>
      </w:r>
      <w:hyperlink w:anchor="nmap15">
        <w:r>
          <w:t>The mmap Module</w:t>
        </w:r>
      </w:hyperlink>
      <w:r>
        <w:rPr>
          <w:rStyle w:val="Text2"/>
        </w:rPr>
        <w:t>-</w:t>
      </w:r>
      <w:hyperlink w:anchor="idm45965188284496">
        <w:r>
          <w:t>Using mmap Objects for IPC</w:t>
        </w:r>
      </w:hyperlink>
    </w:p>
    <w:p>
      <w:pPr>
        <w:pStyle w:val="Para 004"/>
      </w:pPr>
      <w:r>
        <w:rPr>
          <w:rStyle w:val="Text2"/>
        </w:rPr>
        <w:t>mocks</w:t>
        <w:t xml:space="preserve">, </w:t>
      </w:r>
      <w:hyperlink w:anchor="idm45965183785552">
        <w:r>
          <w:t>Unit Testing and System Testing</w:t>
        </w:r>
      </w:hyperlink>
    </w:p>
    <w:p>
      <w:pPr>
        <w:pStyle w:val="Para 003"/>
      </w:pPr>
      <w:r>
        <w:t>mode (files)</w:t>
        <w:t xml:space="preserve">, </w:t>
      </w:r>
      <w:hyperlink w:anchor="idm45965204461376">
        <w:r>
          <w:rPr>
            <w:rStyle w:val="Text1"/>
          </w:rPr>
          <w:t>Permissions</w:t>
        </w:r>
      </w:hyperlink>
    </w:p>
    <w:p>
      <w:pPr>
        <w:pStyle w:val="Para 004"/>
      </w:pPr>
      <w:r>
        <w:rPr>
          <w:rStyle w:val="Text2"/>
        </w:rPr>
        <w:t>modf (math module)</w:t>
        <w:t xml:space="preserve">, </w:t>
      </w:r>
      <w:hyperlink w:anchor="idm45965187052944">
        <w:r>
          <w:t>The math and cmath Modules</w:t>
        </w:r>
      </w:hyperlink>
    </w:p>
    <w:p>
      <w:pPr>
        <w:pStyle w:val="Para 003"/>
      </w:pPr>
      <w:r>
        <w:t>module spec concept</w:t>
        <w:t xml:space="preserve">, </w:t>
      </w:r>
      <w:hyperlink w:anchor="idm45965217326096">
        <w:r>
          <w:rPr>
            <w:rStyle w:val="Text1"/>
          </w:rPr>
          <w:t>Import hooks</w:t>
        </w:r>
      </w:hyperlink>
    </w:p>
    <w:p>
      <w:pPr>
        <w:pStyle w:val="Para 003"/>
      </w:pPr>
      <w:r>
        <w:t>modules</w:t>
        <w:t xml:space="preserve"> (</w:t>
        <w:t>see</w:t>
        <w:t xml:space="preserve"> also extension modules; standard library modules)</w:t>
      </w:r>
    </w:p>
    <w:p>
      <w:pPr>
        <w:pStyle w:val="Para 003"/>
      </w:pPr>
      <w:r>
        <w:t>attribute (sys module)</w:t>
        <w:t xml:space="preserve">, </w:t>
      </w:r>
      <w:hyperlink w:anchor="idm45965214938880">
        <w:r>
          <w:rPr>
            <w:rStyle w:val="Text1"/>
          </w:rPr>
          <w:t>The sys Module</w:t>
        </w:r>
      </w:hyperlink>
    </w:p>
    <w:p>
      <w:pPr>
        <w:pStyle w:val="Para 004"/>
      </w:pPr>
      <w:r>
        <w:rPr>
          <w:rStyle w:val="Text2"/>
        </w:rPr>
        <w:t>basics of</w:t>
        <w:t xml:space="preserve">, </w:t>
      </w:r>
      <w:hyperlink w:anchor="idm45965255078656">
        <w:r>
          <w:t>Modules and Packages</w:t>
        </w:r>
      </w:hyperlink>
    </w:p>
    <w:p>
      <w:pPr>
        <w:pStyle w:val="Para 004"/>
      </w:pPr>
      <w:r>
        <w:rPr>
          <w:rStyle w:val="Text2"/>
        </w:rPr>
        <w:t>built-in versus extension</w:t>
        <w:t xml:space="preserve">, </w:t>
      </w:r>
      <w:hyperlink w:anchor="idm45965216808368">
        <w:r>
          <w:t>Core Built-ins and Standard Library Modules</w:t>
        </w:r>
      </w:hyperlink>
    </w:p>
    <w:p>
      <w:pPr>
        <w:pStyle w:val="Para 003"/>
      </w:pPr>
      <w:r>
        <w:t>DBAPI-compliant modules</w:t>
        <w:t xml:space="preserve">, </w:t>
      </w:r>
      <w:hyperlink w:anchor="idm45965197469120">
        <w:r>
          <w:rPr>
            <w:rStyle w:val="Text1"/>
          </w:rPr>
          <w:t>DBAPI-Compliant Modules</w:t>
        </w:r>
      </w:hyperlink>
    </w:p>
    <w:p>
      <w:pPr>
        <w:pStyle w:val="Para 004"/>
      </w:pPr>
      <w:r>
        <w:rPr>
          <w:rStyle w:val="Text2"/>
        </w:rPr>
        <w:t>definition of term</w:t>
        <w:t xml:space="preserve">, </w:t>
      </w:r>
      <w:hyperlink w:anchor="idm45965276420688">
        <w:r>
          <w:t>Running Python Programs</w:t>
        </w:r>
      </w:hyperlink>
      <w:r>
        <w:rPr>
          <w:rStyle w:val="Text2"/>
        </w:rPr>
        <w:t xml:space="preserve">, </w:t>
      </w:r>
      <w:hyperlink w:anchor="idm45965255082976">
        <w:r>
          <w:t>Modules and Packages</w:t>
        </w:r>
      </w:hyperlink>
    </w:p>
    <w:p>
      <w:pPr>
        <w:pStyle w:val="Para 004"/>
      </w:pPr>
      <w:r>
        <w:rPr>
          <w:rStyle w:val="Text2"/>
        </w:rPr>
        <w:t>distutils and setuptools</w:t>
        <w:t xml:space="preserve">, </w:t>
      </w:r>
      <w:hyperlink w:anchor="Mdist07">
        <w:r>
          <w:t>Distribution Utilities (distutils) and setuptools</w:t>
        </w:r>
      </w:hyperlink>
      <w:r>
        <w:rPr>
          <w:rStyle w:val="Text2"/>
        </w:rPr>
        <w:t>-</w:t>
      </w:r>
      <w:hyperlink w:anchor="idm45965217062384">
        <w:r>
          <w:t>Distribution Utilities (distutils) and setuptools</w:t>
        </w:r>
      </w:hyperlink>
    </w:p>
    <w:p>
      <w:pPr>
        <w:pStyle w:val="Para 004"/>
      </w:pPr>
      <w:r>
        <w:rPr>
          <w:rStyle w:val="Text2"/>
        </w:rPr>
        <w:t>module objects</w:t>
        <w:t xml:space="preserve">, </w:t>
      </w:r>
      <w:hyperlink w:anchor="Mobje07">
        <w:r>
          <w:t>Module Objects</w:t>
        </w:r>
      </w:hyperlink>
      <w:r>
        <w:rPr>
          <w:rStyle w:val="Text2"/>
        </w:rPr>
        <w:t>-</w:t>
      </w:r>
      <w:hyperlink w:anchor="idm45965254376224">
        <w:r>
          <w:t>from versus import</w:t>
        </w:r>
      </w:hyperlink>
    </w:p>
    <w:p>
      <w:pPr>
        <w:pStyle w:val="Para 003"/>
      </w:pPr>
      <w:r>
        <w:t>module-loading operations</w:t>
        <w:t xml:space="preserve">, </w:t>
      </w:r>
      <w:hyperlink w:anchor="Mload07">
        <w:r>
          <w:rPr>
            <w:rStyle w:val="Text1"/>
          </w:rPr>
          <w:t>Module Loading</w:t>
        </w:r>
      </w:hyperlink>
      <w:r>
        <w:t>-</w:t>
      </w:r>
      <w:hyperlink w:anchor="idm45965217349136">
        <w:r>
          <w:rPr>
            <w:rStyle w:val="Text1"/>
          </w:rPr>
          <w:t>Import hooks</w:t>
        </w:r>
      </w:hyperlink>
    </w:p>
    <w:p>
      <w:pPr>
        <w:pStyle w:val="Para 004"/>
      </w:pPr>
      <w:r>
        <w:rPr>
          <w:rStyle w:val="Text2"/>
        </w:rPr>
        <w:t>Python environments</w:t>
        <w:t xml:space="preserve">, </w:t>
      </w:r>
      <w:hyperlink w:anchor="MDpenv07">
        <w:r>
          <w:t>Python Environments</w:t>
        </w:r>
      </w:hyperlink>
      <w:r>
        <w:rPr>
          <w:rStyle w:val="Text2"/>
        </w:rPr>
        <w:t>-</w:t>
      </w:r>
      <w:hyperlink w:anchor="idm45965216826512">
        <w:r>
          <w:t>Best Practices with Virtualenvs</w:t>
        </w:r>
      </w:hyperlink>
    </w:p>
    <w:p>
      <w:pPr>
        <w:pStyle w:val="Para 003"/>
      </w:pPr>
      <w:r>
        <w:t>sharing objects among</w:t>
        <w:t xml:space="preserve">, </w:t>
      </w:r>
      <w:hyperlink w:anchor="idm45965217231744">
        <w:r>
          <w:rPr>
            <w:rStyle w:val="Text1"/>
          </w:rPr>
          <w:t>Packages</w:t>
        </w:r>
      </w:hyperlink>
    </w:p>
    <w:p>
      <w:pPr>
        <w:pStyle w:val="Para 003"/>
      </w:pPr>
      <w:r>
        <w:t>monetary formatting</w:t>
        <w:t xml:space="preserve">, </w:t>
      </w:r>
      <w:hyperlink w:anchor="idm45965185584016">
        <w:r>
          <w:rPr>
            <w:rStyle w:val="Text1"/>
          </w:rPr>
          <w:t>The decimal Module</w:t>
        </w:r>
      </w:hyperlink>
    </w:p>
    <w:p>
      <w:pPr>
        <w:pStyle w:val="Para 004"/>
      </w:pPr>
      <w:r>
        <w:rPr>
          <w:rStyle w:val="Text2"/>
        </w:rPr>
        <w:t>MonkeyType</w:t>
        <w:t xml:space="preserve">, </w:t>
      </w:r>
      <w:hyperlink w:anchor="idm45965269200736">
        <w:r>
          <w:t>Other Type Checkers</w:t>
        </w:r>
      </w:hyperlink>
    </w:p>
    <w:p>
      <w:pPr>
        <w:pStyle w:val="Para 003"/>
      </w:pPr>
      <w:r>
        <w:t>monotonic (time module)</w:t>
        <w:t xml:space="preserve">, </w:t>
      </w:r>
      <w:hyperlink w:anchor="idm45965196790800">
        <w:r>
          <w:rPr>
            <w:rStyle w:val="Text1"/>
          </w:rPr>
          <w:t>The time Module</w:t>
        </w:r>
      </w:hyperlink>
    </w:p>
    <w:p>
      <w:pPr>
        <w:pStyle w:val="Para 003"/>
      </w:pPr>
      <w:r>
        <w:t>most_common (collections.Counter class)</w:t>
        <w:t xml:space="preserve">, </w:t>
      </w:r>
      <w:hyperlink w:anchor="idm45965278202032">
        <w:r>
          <w:rPr>
            <w:rStyle w:val="Text1"/>
          </w:rPr>
          <w:t>Counter</w:t>
        </w:r>
      </w:hyperlink>
    </w:p>
    <w:p>
      <w:pPr>
        <w:pStyle w:val="Para 003"/>
      </w:pPr>
      <w:r>
        <w:t>move function (shutil module)</w:t>
        <w:t xml:space="preserve">, </w:t>
      </w:r>
      <w:hyperlink w:anchor="idm45965202070784">
        <w:r>
          <w:rPr>
            <w:rStyle w:val="Text1"/>
          </w:rPr>
          <w:t>The shutil Module</w:t>
        </w:r>
      </w:hyperlink>
    </w:p>
    <w:p>
      <w:pPr>
        <w:pStyle w:val="Para 004"/>
      </w:pPr>
      <w:r>
        <w:rPr>
          <w:rStyle w:val="Text2"/>
        </w:rPr>
        <w:t>msvcrt module</w:t>
        <w:t xml:space="preserve">, </w:t>
      </w:r>
      <w:hyperlink w:anchor="idm45965201529424">
        <w:r>
          <w:t>The msvcrt module</w:t>
        </w:r>
      </w:hyperlink>
    </w:p>
    <w:p>
      <w:pPr>
        <w:pStyle w:val="Para 004"/>
      </w:pPr>
      <w:r>
        <w:rPr>
          <w:rStyle w:val="Text2"/>
        </w:rPr>
        <w:t>multipart messages</w:t>
        <w:t xml:space="preserve">, </w:t>
      </w:r>
      <w:hyperlink w:anchor="idm45965173250544">
        <w:r>
          <w:t>The email.message Module</w:t>
        </w:r>
      </w:hyperlink>
    </w:p>
    <w:p>
      <w:pPr>
        <w:pStyle w:val="Para 004"/>
      </w:pPr>
      <w:r>
        <w:rPr>
          <w:rStyle w:val="Text2"/>
        </w:rPr>
        <w:t>multiple inheritance</w:t>
        <w:t xml:space="preserve">, </w:t>
      </w:r>
      <w:hyperlink w:anchor="idm45965261663920">
        <w:r>
          <w:t>Custom Exceptions and Multiple Inheritance</w:t>
        </w:r>
      </w:hyperlink>
    </w:p>
    <w:p>
      <w:pPr>
        <w:pStyle w:val="Para 004"/>
      </w:pPr>
      <w:r>
        <w:rPr>
          <w:rStyle w:val="Text2"/>
        </w:rPr>
        <w:t>multiprocessing module</w:t>
        <w:t xml:space="preserve">, </w:t>
      </w:r>
      <w:hyperlink w:anchor="multimod15">
        <w:r>
          <w:t>The multiprocessing Module</w:t>
        </w:r>
      </w:hyperlink>
      <w:r>
        <w:rPr>
          <w:rStyle w:val="Text2"/>
        </w:rPr>
        <w:t>-</w:t>
      </w:r>
      <w:hyperlink w:anchor="idm45965190641344">
        <w:r>
          <w:t>The ThreadPool class</w:t>
        </w:r>
      </w:hyperlink>
    </w:p>
    <w:p>
      <w:pPr>
        <w:pStyle w:val="Para 004"/>
      </w:pPr>
      <w:r>
        <w:rPr>
          <w:rStyle w:val="Text2"/>
        </w:rPr>
        <w:t>basics of</w:t>
        <w:t xml:space="preserve">, </w:t>
      </w:r>
      <w:hyperlink w:anchor="idm45965191732176">
        <w:r>
          <w:t>The multiprocessing Module</w:t>
        </w:r>
      </w:hyperlink>
    </w:p>
    <w:p>
      <w:pPr>
        <w:pStyle w:val="Para 004"/>
      </w:pPr>
      <w:r>
        <w:rPr>
          <w:rStyle w:val="Text2"/>
        </w:rPr>
        <w:t>multiprocessing versus threading</w:t>
        <w:t xml:space="preserve">, </w:t>
      </w:r>
      <w:hyperlink w:anchor="idm45965191670160">
        <w:r>
          <w:t>Differences Between multiprocessing and threading</w:t>
        </w:r>
      </w:hyperlink>
    </w:p>
    <w:p>
      <w:pPr>
        <w:pStyle w:val="Para 003"/>
      </w:pPr>
      <w:r>
        <w:t>process pools</w:t>
        <w:t xml:space="preserve">, </w:t>
      </w:r>
      <w:hyperlink w:anchor="idm45965191039584">
        <w:r>
          <w:rPr>
            <w:rStyle w:val="Text1"/>
          </w:rPr>
          <w:t>Process Pools</w:t>
        </w:r>
      </w:hyperlink>
    </w:p>
    <w:p>
      <w:pPr>
        <w:pStyle w:val="Para 004"/>
      </w:pPr>
      <w:r>
        <w:rPr>
          <w:rStyle w:val="Text2"/>
        </w:rPr>
        <w:t>sharing state</w:t>
        <w:t xml:space="preserve">, </w:t>
      </w:r>
      <w:hyperlink w:anchor="idm45965191569024">
        <w:r>
          <w:t>Sharing State: Classes Value, Array, and Manager</w:t>
        </w:r>
      </w:hyperlink>
    </w:p>
    <w:p>
      <w:pPr>
        <w:pStyle w:val="Para 003"/>
      </w:pPr>
      <w:r>
        <w:t>Multipurpose Internet Mail Extensions (MIME)</w:t>
        <w:t xml:space="preserve">, </w:t>
      </w:r>
      <w:hyperlink w:anchor="idm45965173318208">
        <w:r>
          <w:rPr>
            <w:rStyle w:val="Text1"/>
          </w:rPr>
          <w:t>Email, MIME, and Other Network Encodings</w:t>
        </w:r>
      </w:hyperlink>
    </w:p>
    <w:p>
      <w:pPr>
        <w:pStyle w:val="Para 003"/>
      </w:pPr>
      <w:r>
        <w:t>multithreading</w:t>
        <w:t xml:space="preserve">, </w:t>
      </w:r>
      <w:hyperlink w:anchor="idm45965193649056">
        <w:r>
          <w:rPr>
            <w:rStyle w:val="Text1"/>
          </w:rPr>
          <w:t>Concurrency: Threads and Processes</w:t>
        </w:r>
      </w:hyperlink>
      <w:r>
        <w:t xml:space="preserve"> (</w:t>
        <w:t>see</w:t>
        <w:t xml:space="preserve"> also threads and processes)</w:t>
      </w:r>
    </w:p>
    <w:p>
      <w:pPr>
        <w:pStyle w:val="Para 003"/>
      </w:pPr>
      <w:r>
        <w:t>multiversion testing</w:t>
        <w:t xml:space="preserve">, </w:t>
      </w:r>
      <w:hyperlink w:anchor="idm45965162496528">
        <w:r>
          <w:rPr>
            <w:rStyle w:val="Text1"/>
          </w:rPr>
          <w:t>Multiversion Testing</w:t>
        </w:r>
      </w:hyperlink>
    </w:p>
    <w:p>
      <w:pPr>
        <w:pStyle w:val="Para 003"/>
      </w:pPr>
      <w:r>
        <w:t>mutable objects</w:t>
        <w:t xml:space="preserve">, </w:t>
      </w:r>
      <w:hyperlink w:anchor="idm45965281936768">
        <w:r>
          <w:rPr>
            <w:rStyle w:val="Text1"/>
          </w:rPr>
          <w:t>Data Types</w:t>
        </w:r>
      </w:hyperlink>
    </w:p>
    <w:p>
      <w:pPr>
        <w:pStyle w:val="Para 003"/>
      </w:pPr>
      <w:r>
        <w:t>mutual reference loops</w:t>
        <w:t xml:space="preserve">, </w:t>
      </w:r>
      <w:hyperlink w:anchor="idm45965194206016">
        <w:r>
          <w:rPr>
            <w:rStyle w:val="Text1"/>
          </w:rPr>
          <w:t>Garbage Collection</w:t>
        </w:r>
      </w:hyperlink>
    </w:p>
    <w:p>
      <w:pPr>
        <w:pStyle w:val="Para 003"/>
      </w:pPr>
      <w:r>
        <w:t>mypy utility</w:t>
        <w:t xml:space="preserve">, </w:t>
      </w:r>
      <w:hyperlink w:anchor="mypy05">
        <w:r>
          <w:rPr>
            <w:rStyle w:val="Text1"/>
          </w:rPr>
          <w:t>History</w:t>
        </w:r>
      </w:hyperlink>
      <w:r>
        <w:t>-</w:t>
      </w:r>
      <w:hyperlink w:anchor="idm45965269206816">
        <w:r>
          <w:rPr>
            <w:rStyle w:val="Text1"/>
          </w:rPr>
          <w:t>mypy</w:t>
        </w:r>
      </w:hyperlink>
    </w:p>
    <w:p>
      <w:pPr>
        <w:pStyle w:val="Para 004"/>
      </w:pPr>
      <w:r>
        <w:rPr>
          <w:rStyle w:val="Text2"/>
        </w:rPr>
        <w:t>MySQL modules</w:t>
        <w:t xml:space="preserve">, </w:t>
      </w:r>
      <w:hyperlink w:anchor="idm45965197448192">
        <w:r>
          <w:t>DBAPI-Compliant Modules</w:t>
        </w:r>
      </w:hyperlink>
    </w:p>
    <w:p>
      <w:pPr>
        <w:keepNext/>
        <w:pStyle w:val="Heading 3"/>
      </w:pPr>
      <w:r>
        <w:t>N</w:t>
      </w:r>
    </w:p>
    <w:p>
      <w:pPr>
        <w:pStyle w:val="Para 003"/>
      </w:pPr>
      <w:r>
        <w:t>naive</w:t>
        <w:t xml:space="preserve"> (</w:t>
        <w:t>see</w:t>
        <w:t xml:space="preserve"> datetime module)</w:t>
      </w:r>
    </w:p>
    <w:p>
      <w:pPr>
        <w:pStyle w:val="Para 003"/>
      </w:pPr>
      <w:r>
        <w:t>named argument collector</w:t>
        <w:t xml:space="preserve">, </w:t>
      </w:r>
      <w:hyperlink w:anchor="idm45965262523456">
        <w:r>
          <w:rPr>
            <w:rStyle w:val="Text1"/>
          </w:rPr>
          <w:t>Named argument collector</w:t>
        </w:r>
      </w:hyperlink>
    </w:p>
    <w:p>
      <w:pPr>
        <w:pStyle w:val="Para 004"/>
      </w:pPr>
      <w:r>
        <w:rPr>
          <w:rStyle w:val="Text2"/>
        </w:rPr>
        <w:t>named arguments</w:t>
        <w:t xml:space="preserve">, </w:t>
      </w:r>
      <w:hyperlink w:anchor="idm45965258228512">
        <w:r>
          <w:t>Dictionaries</w:t>
        </w:r>
      </w:hyperlink>
      <w:r>
        <w:rPr>
          <w:rStyle w:val="Text2"/>
        </w:rPr>
        <w:t xml:space="preserve">, </w:t>
      </w:r>
      <w:hyperlink w:anchor="idm45965263234736">
        <w:r>
          <w:t>Positional and named arguments</w:t>
        </w:r>
      </w:hyperlink>
    </w:p>
    <w:p>
      <w:pPr>
        <w:pStyle w:val="Para 003"/>
      </w:pPr>
      <w:r>
        <w:t>named parameters</w:t>
        <w:t xml:space="preserve">, </w:t>
      </w:r>
      <w:hyperlink w:anchor="idm45965262631616">
        <w:r>
          <w:rPr>
            <w:rStyle w:val="Text1"/>
          </w:rPr>
          <w:t>Named parameters</w:t>
        </w:r>
      </w:hyperlink>
    </w:p>
    <w:p>
      <w:pPr>
        <w:pStyle w:val="Para 003"/>
      </w:pPr>
      <w:r>
        <w:t>NamedTemporaryFile class (tempfile module)</w:t>
        <w:t xml:space="preserve">, </w:t>
      </w:r>
      <w:hyperlink w:anchor="idm45965205772960">
        <w:r>
          <w:rPr>
            <w:rStyle w:val="Text1"/>
          </w:rPr>
          <w:t>The tempfile Module</w:t>
        </w:r>
      </w:hyperlink>
    </w:p>
    <w:p>
      <w:pPr>
        <w:pStyle w:val="Para 004"/>
      </w:pPr>
      <w:r>
        <w:rPr>
          <w:rStyle w:val="Text2"/>
        </w:rPr>
        <w:t>NamedTuple</w:t>
        <w:t xml:space="preserve">, </w:t>
      </w:r>
      <w:hyperlink w:anchor="idm45965267165888">
        <w:r>
          <w:t>NamedTuple</w:t>
        </w:r>
      </w:hyperlink>
      <w:r>
        <w:rPr>
          <w:rStyle w:val="Text2"/>
        </w:rPr>
        <w:t xml:space="preserve">, </w:t>
      </w:r>
      <w:hyperlink w:anchor="idm45965261362640">
        <w:r>
          <w:t>TypedDict</w:t>
        </w:r>
      </w:hyperlink>
    </w:p>
    <w:p>
      <w:pPr>
        <w:pStyle w:val="Para 003"/>
      </w:pPr>
      <w:r>
        <w:t>NamedTuple (typing module)</w:t>
        <w:t xml:space="preserve">, </w:t>
      </w:r>
      <w:hyperlink w:anchor="idm45965267750944">
        <w:r>
          <w:rPr>
            <w:rStyle w:val="Text1"/>
          </w:rPr>
          <w:t>Defining Custom Types</w:t>
        </w:r>
      </w:hyperlink>
    </w:p>
    <w:p>
      <w:pPr>
        <w:pStyle w:val="Para 003"/>
      </w:pPr>
      <w:r>
        <w:t>names and naming</w:t>
      </w:r>
    </w:p>
    <w:p>
      <w:pPr>
        <w:pStyle w:val="Para 003"/>
      </w:pPr>
      <w:r>
        <w:t>avoiding reuse of built-in names</w:t>
        <w:t xml:space="preserve">, </w:t>
      </w:r>
      <w:hyperlink w:anchor="idm45965216384176">
        <w:r>
          <w:rPr>
            <w:rStyle w:val="Text1"/>
          </w:rPr>
          <w:t>Built-in Functions</w:t>
        </w:r>
      </w:hyperlink>
    </w:p>
    <w:p>
      <w:pPr>
        <w:pStyle w:val="Para 003"/>
      </w:pPr>
      <w:r>
        <w:t>of classes</w:t>
        <w:t xml:space="preserve">, </w:t>
      </w:r>
      <w:hyperlink w:anchor="idm45965258394816">
        <w:r>
          <w:rPr>
            <w:rStyle w:val="Text1"/>
          </w:rPr>
          <w:t>Identifiers</w:t>
        </w:r>
      </w:hyperlink>
    </w:p>
    <w:p>
      <w:pPr>
        <w:pStyle w:val="Para 003"/>
      </w:pPr>
      <w:r>
        <w:t>of identifiers</w:t>
        <w:t xml:space="preserve">, </w:t>
      </w:r>
      <w:hyperlink w:anchor="idm45965284330176">
        <w:r>
          <w:rPr>
            <w:rStyle w:val="Text1"/>
          </w:rPr>
          <w:t>Identifiers</w:t>
        </w:r>
      </w:hyperlink>
    </w:p>
    <w:p>
      <w:pPr>
        <w:pStyle w:val="Para 004"/>
      </w:pPr>
      <w:r>
        <w:rPr>
          <w:rStyle w:val="Text2"/>
        </w:rPr>
        <w:t>project .py files</w:t>
        <w:t xml:space="preserve">, </w:t>
      </w:r>
      <w:hyperlink w:anchor="idm45965254199440">
        <w:r>
          <w:t>Searching the Filesystem for a Module</w:t>
        </w:r>
      </w:hyperlink>
    </w:p>
    <w:p>
      <w:pPr>
        <w:pStyle w:val="Para 004"/>
      </w:pPr>
      <w:r>
        <w:rPr>
          <w:rStyle w:val="Text2"/>
        </w:rPr>
        <w:t>namespaces</w:t>
        <w:t xml:space="preserve">, </w:t>
      </w:r>
      <w:hyperlink w:anchor="namepsp03">
        <w:r>
          <w:t>Namespaces</w:t>
        </w:r>
      </w:hyperlink>
      <w:r>
        <w:rPr>
          <w:rStyle w:val="Text2"/>
        </w:rPr>
        <w:t>-</w:t>
      </w:r>
      <w:hyperlink w:anchor="idm45965259627424">
        <w:r>
          <w:t>lambda Expressions</w:t>
        </w:r>
      </w:hyperlink>
    </w:p>
    <w:p>
      <w:pPr>
        <w:pStyle w:val="Para 004"/>
      </w:pPr>
      <w:r>
        <w:rPr>
          <w:rStyle w:val="Text2"/>
        </w:rPr>
        <w:t>nan (math module)</w:t>
        <w:t xml:space="preserve">, </w:t>
      </w:r>
      <w:hyperlink w:anchor="idm45965187038848">
        <w:r>
          <w:t>The math and cmath Modules</w:t>
        </w:r>
      </w:hyperlink>
    </w:p>
    <w:p>
      <w:pPr>
        <w:pStyle w:val="Para 004"/>
      </w:pPr>
      <w:r>
        <w:rPr>
          <w:rStyle w:val="Text2"/>
        </w:rPr>
        <w:t>nanj (cmath module)</w:t>
        <w:t xml:space="preserve">, </w:t>
      </w:r>
      <w:hyperlink w:anchor="idm45965187032432">
        <w:r>
          <w:t>The math and cmath Modules</w:t>
        </w:r>
      </w:hyperlink>
    </w:p>
    <w:p>
      <w:pPr>
        <w:pStyle w:val="Para 004"/>
      </w:pPr>
      <w:r>
        <w:rPr>
          <w:rStyle w:val="Text2"/>
        </w:rPr>
        <w:t>navigable classes (BeautifulSoup)</w:t>
        <w:t xml:space="preserve">, </w:t>
      </w:r>
      <w:hyperlink w:anchor="navclass22">
        <w:r>
          <w:t>The Navigable Classes of bs4</w:t>
        </w:r>
      </w:hyperlink>
      <w:r>
        <w:rPr>
          <w:rStyle w:val="Text2"/>
        </w:rPr>
        <w:t>-</w:t>
      </w:r>
      <w:hyperlink w:anchor="idm45965170907472">
        <w:r>
          <w:t>next_element, previous_element, next_elements, and previous_elements</w:t>
        </w:r>
      </w:hyperlink>
    </w:p>
    <w:p>
      <w:pPr>
        <w:pStyle w:val="Para 003"/>
      </w:pPr>
      <w:r>
        <w:t>ndarray class (NumPy package)</w:t>
        <w:t xml:space="preserve">, </w:t>
      </w:r>
      <w:hyperlink w:anchor="idm45965185316816">
        <w:r>
          <w:rPr>
            <w:rStyle w:val="Text1"/>
          </w:rPr>
          <w:t>NumPy</w:t>
        </w:r>
      </w:hyperlink>
    </w:p>
    <w:p>
      <w:pPr>
        <w:pStyle w:val="Para 003"/>
      </w:pPr>
      <w:r>
        <w:t>negative numbers</w:t>
        <w:t xml:space="preserve">, </w:t>
      </w:r>
      <w:hyperlink w:anchor="idm45965211145312">
        <w:r>
          <w:rPr>
            <w:rStyle w:val="Text1"/>
          </w:rPr>
          <w:t>Sign indication</w:t>
        </w:r>
      </w:hyperlink>
    </w:p>
    <w:p>
      <w:pPr>
        <w:pStyle w:val="Para 004"/>
      </w:pPr>
      <w:r>
        <w:rPr>
          <w:rStyle w:val="Text2"/>
        </w:rPr>
        <w:t>negative zero</w:t>
        <w:t xml:space="preserve">, </w:t>
      </w:r>
      <w:hyperlink w:anchor="idm45965210951872">
        <w:r>
          <w:t>Zero normalization (z)</w:t>
        </w:r>
      </w:hyperlink>
    </w:p>
    <w:p>
      <w:pPr>
        <w:pStyle w:val="Para 003"/>
      </w:pPr>
      <w:r>
        <w:t>nested format specifications</w:t>
        <w:t xml:space="preserve">, </w:t>
      </w:r>
      <w:hyperlink w:anchor="idm45965210395232">
        <w:r>
          <w:rPr>
            <w:rStyle w:val="Text1"/>
          </w:rPr>
          <w:t>Nested Format Specifications</w:t>
        </w:r>
      </w:hyperlink>
    </w:p>
    <w:p>
      <w:pPr>
        <w:pStyle w:val="Para 004"/>
      </w:pPr>
      <w:r>
        <w:rPr>
          <w:rStyle w:val="Text2"/>
        </w:rPr>
        <w:t>nested functions</w:t>
        <w:t xml:space="preserve">, </w:t>
      </w:r>
      <w:hyperlink w:anchor="idm45965270064512">
        <w:r>
          <w:t>Nested functions and nested scopes</w:t>
        </w:r>
      </w:hyperlink>
    </w:p>
    <w:p>
      <w:pPr>
        <w:pStyle w:val="Para 004"/>
      </w:pPr>
      <w:r>
        <w:rPr>
          <w:rStyle w:val="Text2"/>
        </w:rPr>
        <w:t>nested scopes</w:t>
        <w:t xml:space="preserve">, </w:t>
      </w:r>
      <w:hyperlink w:anchor="idm45965270060688">
        <w:r>
          <w:t>Nested functions and nested scopes</w:t>
        </w:r>
      </w:hyperlink>
    </w:p>
    <w:p>
      <w:pPr>
        <w:pStyle w:val="Para 003"/>
      </w:pPr>
      <w:r>
        <w:t>net location (netloc)</w:t>
        <w:t xml:space="preserve">, </w:t>
      </w:r>
      <w:hyperlink w:anchor="idm45965175745920">
        <w:r>
          <w:rPr>
            <w:rStyle w:val="Text1"/>
          </w:rPr>
          <w:t>URL Access</w:t>
        </w:r>
      </w:hyperlink>
    </w:p>
    <w:p>
      <w:pPr>
        <w:pStyle w:val="Para 003"/>
      </w:pPr>
      <w:r>
        <w:t>network encodings</w:t>
      </w:r>
    </w:p>
    <w:p>
      <w:pPr>
        <w:pStyle w:val="Para 004"/>
      </w:pPr>
      <w:r>
        <w:rPr>
          <w:rStyle w:val="Text2"/>
        </w:rPr>
        <w:t>encoding binary data as ASCII text</w:t>
        <w:t xml:space="preserve">, </w:t>
      </w:r>
      <w:hyperlink w:anchor="NEbinary21">
        <w:r>
          <w:t>Encoding Binary Data as ASCII Text</w:t>
        </w:r>
      </w:hyperlink>
      <w:r>
        <w:rPr>
          <w:rStyle w:val="Text2"/>
        </w:rPr>
        <w:t>-</w:t>
      </w:r>
      <w:hyperlink w:anchor="idm45965171995280">
        <w:r>
          <w:t>The uu Module</w:t>
        </w:r>
      </w:hyperlink>
    </w:p>
    <w:p>
      <w:pPr>
        <w:pStyle w:val="Para 004"/>
      </w:pPr>
      <w:r>
        <w:rPr>
          <w:rStyle w:val="Text2"/>
        </w:rPr>
        <w:t>MIME and email format handling</w:t>
        <w:t xml:space="preserve">, </w:t>
      </w:r>
      <w:hyperlink w:anchor="NEmime21">
        <w:r>
          <w:t>MIME and Email Format Handling</w:t>
        </w:r>
      </w:hyperlink>
      <w:r>
        <w:rPr>
          <w:rStyle w:val="Text2"/>
        </w:rPr>
        <w:t>-</w:t>
      </w:r>
      <w:hyperlink w:anchor="idm45965172412944">
        <w:r>
          <w:t>Example Uses of the email Package</w:t>
        </w:r>
      </w:hyperlink>
    </w:p>
    <w:p>
      <w:pPr>
        <w:pStyle w:val="Para 003"/>
      </w:pPr>
      <w:r>
        <w:t>network endpoints</w:t>
        <w:t xml:space="preserve">, </w:t>
      </w:r>
      <w:hyperlink w:anchor="idm45965177694128">
        <w:r>
          <w:rPr>
            <w:rStyle w:val="Text1"/>
          </w:rPr>
          <w:t>Networking Basics</w:t>
        </w:r>
      </w:hyperlink>
    </w:p>
    <w:p>
      <w:pPr>
        <w:pStyle w:val="Para 004"/>
      </w:pPr>
      <w:r>
        <w:rPr>
          <w:rStyle w:val="Text2"/>
        </w:rPr>
        <w:t>Network News Transfer Protocol (NNTP)</w:t>
        <w:t xml:space="preserve">, </w:t>
      </w:r>
      <w:hyperlink w:anchor="idm45965174995696">
        <w:r>
          <w:t>Other Network Protocols</w:t>
        </w:r>
      </w:hyperlink>
      <w:r>
        <w:rPr>
          <w:rStyle w:val="Text2"/>
        </w:rPr>
        <w:t xml:space="preserve">, </w:t>
      </w:r>
      <w:hyperlink w:anchor="idm45965173306288">
        <w:r>
          <w:t>MIME and Email Format Handling</w:t>
        </w:r>
      </w:hyperlink>
    </w:p>
    <w:p>
      <w:pPr>
        <w:pStyle w:val="Para 003"/>
      </w:pPr>
      <w:r>
        <w:t>network protocol modules (client-side)</w:t>
      </w:r>
    </w:p>
    <w:p>
      <w:pPr>
        <w:pStyle w:val="Para 004"/>
      </w:pPr>
      <w:r>
        <w:rPr>
          <w:rStyle w:val="Text2"/>
        </w:rPr>
        <w:t>availability of</w:t>
        <w:t xml:space="preserve">, </w:t>
      </w:r>
      <w:hyperlink w:anchor="idm45965176005760">
        <w:r>
          <w:t>Client-Side Network Protocol Modules</w:t>
        </w:r>
      </w:hyperlink>
    </w:p>
    <w:p>
      <w:pPr>
        <w:pStyle w:val="Para 004"/>
      </w:pPr>
      <w:r>
        <w:rPr>
          <w:rStyle w:val="Text2"/>
        </w:rPr>
        <w:t>email protocols</w:t>
        <w:t xml:space="preserve">, </w:t>
      </w:r>
      <w:hyperlink w:anchor="NPMemail19">
        <w:r>
          <w:t>Email Protocols</w:t>
        </w:r>
      </w:hyperlink>
      <w:r>
        <w:rPr>
          <w:rStyle w:val="Text2"/>
        </w:rPr>
        <w:t>-</w:t>
      </w:r>
      <w:hyperlink w:anchor="idm45965175772160">
        <w:r>
          <w:t>The smtplib Module</w:t>
        </w:r>
      </w:hyperlink>
    </w:p>
    <w:p>
      <w:pPr>
        <w:pStyle w:val="Para 004"/>
      </w:pPr>
      <w:r>
        <w:rPr>
          <w:rStyle w:val="Text2"/>
        </w:rPr>
        <w:t>HTTP and URL clients</w:t>
        <w:t xml:space="preserve">, </w:t>
      </w:r>
      <w:hyperlink w:anchor="NPMhttp19">
        <w:r>
          <w:t>HTTP and URL Clients</w:t>
        </w:r>
      </w:hyperlink>
      <w:r>
        <w:rPr>
          <w:rStyle w:val="Text2"/>
        </w:rPr>
        <w:t>-</w:t>
      </w:r>
      <w:hyperlink w:anchor="idm45965175019264">
        <w:r>
          <w:t>The Response class</w:t>
        </w:r>
      </w:hyperlink>
    </w:p>
    <w:p>
      <w:pPr>
        <w:pStyle w:val="Para 003"/>
      </w:pPr>
      <w:r>
        <w:t>other network protocols</w:t>
        <w:t xml:space="preserve">, </w:t>
      </w:r>
      <w:hyperlink w:anchor="idm45965175014384">
        <w:r>
          <w:rPr>
            <w:rStyle w:val="Text1"/>
          </w:rPr>
          <w:t>Other Network Protocols</w:t>
        </w:r>
      </w:hyperlink>
    </w:p>
    <w:p>
      <w:pPr>
        <w:pStyle w:val="Para 003"/>
      </w:pPr>
      <w:r>
        <w:t>Network Time Protocol (NTP)</w:t>
        <w:t xml:space="preserve">, </w:t>
      </w:r>
      <w:hyperlink w:anchor="idm45965174978880">
        <w:r>
          <w:rPr>
            <w:rStyle w:val="Text1"/>
          </w:rPr>
          <w:t>Other Network Protocols</w:t>
        </w:r>
      </w:hyperlink>
    </w:p>
    <w:p>
      <w:pPr>
        <w:pStyle w:val="Para 003"/>
      </w:pPr>
      <w:r>
        <w:t>networking basics</w:t>
      </w:r>
    </w:p>
    <w:p>
      <w:pPr>
        <w:pStyle w:val="Para 004"/>
      </w:pPr>
      <w:r>
        <w:rPr>
          <w:rStyle w:val="Text2"/>
        </w:rPr>
        <w:t>Berkeley socket interface</w:t>
        <w:t xml:space="preserve">, </w:t>
      </w:r>
      <w:hyperlink w:anchor="NBbsocket18">
        <w:r>
          <w:t>The Berkeley Socket Interface</w:t>
        </w:r>
      </w:hyperlink>
      <w:r>
        <w:rPr>
          <w:rStyle w:val="Text2"/>
        </w:rPr>
        <w:t>-</w:t>
      </w:r>
      <w:hyperlink w:anchor="idm45965176268944">
        <w:r>
          <w:t>A Connection-Oriented Socket Server</w:t>
        </w:r>
      </w:hyperlink>
    </w:p>
    <w:p>
      <w:pPr>
        <w:pStyle w:val="Para 004"/>
      </w:pPr>
      <w:r>
        <w:rPr>
          <w:rStyle w:val="Text2"/>
        </w:rPr>
        <w:t>overview of</w:t>
        <w:t xml:space="preserve">, </w:t>
      </w:r>
      <w:hyperlink w:anchor="idm45965177696736">
        <w:r>
          <w:t>Networking Basics</w:t>
        </w:r>
      </w:hyperlink>
    </w:p>
    <w:p>
      <w:pPr>
        <w:pStyle w:val="Para 003"/>
      </w:pPr>
      <w:r>
        <w:t>SSLContext class</w:t>
        <w:t xml:space="preserve">, </w:t>
      </w:r>
      <w:hyperlink w:anchor="idm45965176198288">
        <w:r>
          <w:rPr>
            <w:rStyle w:val="Text1"/>
          </w:rPr>
          <w:t>SSLContext</w:t>
        </w:r>
      </w:hyperlink>
    </w:p>
    <w:p>
      <w:pPr>
        <w:pStyle w:val="Para 003"/>
      </w:pPr>
      <w:r>
        <w:t>transport layer security (TLS)</w:t>
        <w:t xml:space="preserve">, </w:t>
      </w:r>
      <w:hyperlink w:anchor="idm45965176265344">
        <w:r>
          <w:rPr>
            <w:rStyle w:val="Text1"/>
          </w:rPr>
          <w:t>Transport Layer Security</w:t>
        </w:r>
      </w:hyperlink>
    </w:p>
    <w:p>
      <w:pPr>
        <w:pStyle w:val="Para 003"/>
      </w:pPr>
      <w:r>
        <w:t>new features</w:t>
      </w:r>
    </w:p>
    <w:p>
      <w:pPr>
        <w:pStyle w:val="Para 004"/>
      </w:pPr>
      <w:r>
        <w:rPr>
          <w:rStyle w:val="Text2"/>
        </w:rPr>
        <w:t>significant changes</w:t>
        <w:t xml:space="preserve">, </w:t>
      </w:r>
      <w:hyperlink w:anchor="idm45965162720720">
        <w:r>
          <w:t>Significant Changes in Python Through 3.11</w:t>
        </w:r>
      </w:hyperlink>
    </w:p>
    <w:p>
      <w:pPr>
        <w:pStyle w:val="Para 003"/>
      </w:pPr>
      <w:r>
        <w:t>version notations in text</w:t>
        <w:t xml:space="preserve">, </w:t>
      </w:r>
      <w:hyperlink w:anchor="idm45965284111760">
        <w:r>
          <w:rPr>
            <w:rStyle w:val="Text1"/>
          </w:rPr>
          <w:t>Version Conventions</w:t>
        </w:r>
      </w:hyperlink>
    </w:p>
    <w:p>
      <w:pPr>
        <w:pStyle w:val="Para 004"/>
      </w:pPr>
      <w:r>
        <w:rPr>
          <w:rStyle w:val="Text2"/>
        </w:rPr>
        <w:t>versions 3.7 to 3.11</w:t>
        <w:t xml:space="preserve">, </w:t>
      </w:r>
      <w:hyperlink w:anchor="nfvers27">
        <w:r>
          <w:t>New Features and Changes in Python 3.7 Through 3.11</w:t>
        </w:r>
      </w:hyperlink>
      <w:r>
        <w:rPr>
          <w:rStyle w:val="Text2"/>
        </w:rPr>
        <w:t>-</w:t>
      </w:r>
      <w:hyperlink w:anchor="idm45965160897424">
        <w:r>
          <w:t>Python 3.11</w:t>
        </w:r>
      </w:hyperlink>
    </w:p>
    <w:p>
      <w:pPr>
        <w:pStyle w:val="Para 003"/>
      </w:pPr>
      <w:r>
        <w:t>newline (\n)</w:t>
        <w:t xml:space="preserve">, </w:t>
      </w:r>
      <w:hyperlink w:anchor="idm45965279006336">
        <w:r>
          <w:rPr>
            <w:rStyle w:val="Text1"/>
          </w:rPr>
          <w:t>Strings</w:t>
        </w:r>
      </w:hyperlink>
    </w:p>
    <w:p>
      <w:pPr>
        <w:pStyle w:val="Para 003"/>
      </w:pPr>
      <w:r>
        <w:t>NewType</w:t>
        <w:t xml:space="preserve">, </w:t>
      </w:r>
      <w:hyperlink w:anchor="idm45965261228640">
        <w:r>
          <w:rPr>
            <w:rStyle w:val="Text1"/>
          </w:rPr>
          <w:t>NewType</w:t>
        </w:r>
      </w:hyperlink>
    </w:p>
    <w:p>
      <w:pPr>
        <w:pStyle w:val="Para 003"/>
      </w:pPr>
      <w:r>
        <w:t>NewType (typing module)</w:t>
        <w:t xml:space="preserve">, </w:t>
      </w:r>
      <w:hyperlink w:anchor="idm45965268082048">
        <w:r>
          <w:rPr>
            <w:rStyle w:val="Text1"/>
          </w:rPr>
          <w:t>Utilities and Decorators</w:t>
        </w:r>
      </w:hyperlink>
    </w:p>
    <w:p>
      <w:pPr>
        <w:pStyle w:val="Para 003"/>
      </w:pPr>
      <w:r>
        <w:t>next (built-in function)</w:t>
        <w:t xml:space="preserve">, </w:t>
      </w:r>
      <w:hyperlink w:anchor="idm45965215459344">
        <w:r>
          <w:rPr>
            <w:rStyle w:val="Text1"/>
          </w:rPr>
          <w:t>Built-in Functions</w:t>
        </w:r>
      </w:hyperlink>
    </w:p>
    <w:p>
      <w:pPr>
        <w:pStyle w:val="Para 004"/>
      </w:pPr>
      <w:r>
        <w:rPr>
          <w:rStyle w:val="Text2"/>
        </w:rPr>
        <w:t>nextafter (math module)</w:t>
        <w:t xml:space="preserve">, </w:t>
      </w:r>
      <w:hyperlink w:anchor="idm45965187023360">
        <w:r>
          <w:t>The math and cmath Modules</w:t>
        </w:r>
      </w:hyperlink>
    </w:p>
    <w:p>
      <w:pPr>
        <w:pStyle w:val="Para 003"/>
      </w:pPr>
      <w:r>
        <w:t>nextfile (fileinput module)</w:t>
        <w:t xml:space="preserve">, </w:t>
      </w:r>
      <w:hyperlink w:anchor="idm45965205585568">
        <w:r>
          <w:rPr>
            <w:rStyle w:val="Text1"/>
          </w:rPr>
          <w:t>The fileinput Module</w:t>
        </w:r>
      </w:hyperlink>
    </w:p>
    <w:p>
      <w:pPr>
        <w:pStyle w:val="Para 003"/>
      </w:pPr>
      <w:r>
        <w:t>NFKC normalization</w:t>
        <w:t xml:space="preserve">, </w:t>
      </w:r>
      <w:hyperlink w:anchor="idm45965258444560">
        <w:r>
          <w:rPr>
            <w:rStyle w:val="Text1"/>
          </w:rPr>
          <w:t>Identifiers</w:t>
        </w:r>
      </w:hyperlink>
    </w:p>
    <w:p>
      <w:pPr>
        <w:pStyle w:val="Para 003"/>
      </w:pPr>
      <w:r>
        <w:t>nlargest (heapq module)</w:t>
        <w:t xml:space="preserve">, </w:t>
      </w:r>
      <w:hyperlink w:anchor="idm45965277167760">
        <w:r>
          <w:rPr>
            <w:rStyle w:val="Text1"/>
          </w:rPr>
          <w:t>The heapq Module</w:t>
        </w:r>
      </w:hyperlink>
    </w:p>
    <w:p>
      <w:pPr>
        <w:pStyle w:val="Para 004"/>
      </w:pPr>
      <w:r>
        <w:rPr>
          <w:rStyle w:val="Text2"/>
        </w:rPr>
        <w:t>NNTP (Network News Transfer Protocol)</w:t>
        <w:t xml:space="preserve">, </w:t>
      </w:r>
      <w:hyperlink w:anchor="idm45965174996800">
        <w:r>
          <w:t>Other Network Protocols</w:t>
        </w:r>
      </w:hyperlink>
      <w:r>
        <w:rPr>
          <w:rStyle w:val="Text2"/>
        </w:rPr>
        <w:t xml:space="preserve">, </w:t>
      </w:r>
      <w:hyperlink w:anchor="idm45965173305312">
        <w:r>
          <w:t>MIME and Email Format Handling</w:t>
        </w:r>
      </w:hyperlink>
    </w:p>
    <w:p>
      <w:pPr>
        <w:pStyle w:val="Para 004"/>
      </w:pPr>
      <w:r>
        <w:rPr>
          <w:rStyle w:val="Text2"/>
        </w:rPr>
        <w:t>non-multipart messages</w:t>
        <w:t xml:space="preserve">, </w:t>
      </w:r>
      <w:hyperlink w:anchor="idm45965172718240">
        <w:r>
          <w:t>The email.encoders Module</w:t>
        </w:r>
      </w:hyperlink>
    </w:p>
    <w:p>
      <w:pPr>
        <w:pStyle w:val="Para 004"/>
      </w:pPr>
      <w:r>
        <w:rPr>
          <w:rStyle w:val="Text2"/>
        </w:rPr>
        <w:t>nonblocking operations</w:t>
        <w:t xml:space="preserve">, </w:t>
      </w:r>
      <w:hyperlink w:anchor="idm45965193603952">
        <w:r>
          <w:t>Concurrency: Threads and Processes</w:t>
        </w:r>
      </w:hyperlink>
    </w:p>
    <w:p>
      <w:pPr>
        <w:pStyle w:val="Para 003"/>
      </w:pPr>
      <w:r>
        <w:t>None</w:t>
        <w:t xml:space="preserve">, </w:t>
      </w:r>
      <w:hyperlink w:anchor="idm45965279293088">
        <w:r>
          <w:rPr>
            <w:rStyle w:val="Text1"/>
          </w:rPr>
          <w:t>None</w:t>
        </w:r>
      </w:hyperlink>
    </w:p>
    <w:p>
      <w:pPr>
        <w:pStyle w:val="Para 004"/>
      </w:pPr>
      <w:r>
        <w:rPr>
          <w:rStyle w:val="Text2"/>
        </w:rPr>
        <w:t>nongreedy matching</w:t>
        <w:t xml:space="preserve">, </w:t>
      </w:r>
      <w:hyperlink w:anchor="idm45965208809472">
        <w:r>
          <w:t>Common Regular Expression Idioms</w:t>
        </w:r>
      </w:hyperlink>
    </w:p>
    <w:p>
      <w:pPr>
        <w:pStyle w:val="Para 004"/>
      </w:pPr>
      <w:r>
        <w:rPr>
          <w:rStyle w:val="Text2"/>
        </w:rPr>
        <w:t>nonlocal keyword</w:t>
        <w:t xml:space="preserve">, </w:t>
      </w:r>
      <w:hyperlink w:anchor="idm45965269819680">
        <w:r>
          <w:t>Nested functions and nested scopes</w:t>
        </w:r>
      </w:hyperlink>
    </w:p>
    <w:p>
      <w:pPr>
        <w:pStyle w:val="Para 004"/>
      </w:pPr>
      <w:r>
        <w:rPr>
          <w:rStyle w:val="Text2"/>
        </w:rPr>
        <w:t>nonoverriding descriptors</w:t>
        <w:t xml:space="preserve">, </w:t>
      </w:r>
      <w:hyperlink w:anchor="idm45965271449872">
        <w:r>
          <w:t>Overriding and nonoverriding descriptors</w:t>
        </w:r>
      </w:hyperlink>
    </w:p>
    <w:p>
      <w:pPr>
        <w:pStyle w:val="Para 004"/>
      </w:pPr>
      <w:r>
        <w:rPr>
          <w:rStyle w:val="Text2"/>
        </w:rPr>
        <w:t>nonsequential file access</w:t>
        <w:t xml:space="preserve">, </w:t>
      </w:r>
      <w:hyperlink w:anchor="idm45965206210512">
        <w:r>
          <w:t>Sequential and nonsequential (“random”) access</w:t>
        </w:r>
      </w:hyperlink>
    </w:p>
    <w:p>
      <w:pPr>
        <w:pStyle w:val="Para 004"/>
      </w:pPr>
      <w:r>
        <w:rPr>
          <w:rStyle w:val="Text2"/>
        </w:rPr>
        <w:t>normalization strategies</w:t>
        <w:t xml:space="preserve">, </w:t>
      </w:r>
      <w:hyperlink w:anchor="idm45965258443456">
        <w:r>
          <w:t>Identifiers</w:t>
        </w:r>
      </w:hyperlink>
      <w:r>
        <w:rPr>
          <w:rStyle w:val="Text2"/>
        </w:rPr>
        <w:t xml:space="preserve">, </w:t>
      </w:r>
      <w:hyperlink w:anchor="idm45965210950768">
        <w:r>
          <w:t>Zero normalization (z)</w:t>
        </w:r>
      </w:hyperlink>
    </w:p>
    <w:p>
      <w:pPr>
        <w:pStyle w:val="Para 003"/>
      </w:pPr>
      <w:r>
        <w:t>normpath (os.path module)</w:t>
        <w:t xml:space="preserve">, </w:t>
      </w:r>
      <w:hyperlink w:anchor="idm45965203588320">
        <w:r>
          <w:rPr>
            <w:rStyle w:val="Text1"/>
          </w:rPr>
          <w:t>The os.path Module</w:t>
        </w:r>
      </w:hyperlink>
    </w:p>
    <w:p>
      <w:pPr>
        <w:pStyle w:val="Para 003"/>
      </w:pPr>
      <w:r>
        <w:t>nose2 utility and framework</w:t>
        <w:t xml:space="preserve">, </w:t>
      </w:r>
      <w:hyperlink w:anchor="idm45965182811600">
        <w:r>
          <w:rPr>
            <w:rStyle w:val="Text1"/>
          </w:rPr>
          <w:t>Testing with nose2</w:t>
        </w:r>
      </w:hyperlink>
    </w:p>
    <w:p>
      <w:pPr>
        <w:pStyle w:val="Para 004"/>
      </w:pPr>
      <w:r>
        <w:rPr>
          <w:rStyle w:val="Text2"/>
        </w:rPr>
        <w:t>not</w:t>
        <w:t xml:space="preserve">, </w:t>
      </w:r>
      <w:hyperlink w:anchor="idm45965275174080">
        <w:r>
          <w:t>Expressions and Operators</w:t>
        </w:r>
      </w:hyperlink>
      <w:r>
        <w:rPr>
          <w:rStyle w:val="Text2"/>
        </w:rPr>
        <w:t xml:space="preserve">, </w:t>
      </w:r>
      <w:hyperlink w:anchor="idm45965252802640">
        <w:r>
          <w:t>Enumerated Types (Enums)</w:t>
        </w:r>
      </w:hyperlink>
    </w:p>
    <w:p>
      <w:pPr>
        <w:pStyle w:val="Para 003"/>
      </w:pPr>
      <w:r>
        <w:t>not equal to operator (!=)</w:t>
        <w:t xml:space="preserve">, </w:t>
      </w:r>
      <w:hyperlink w:anchor="idm45965276197248">
        <w:r>
          <w:rPr>
            <w:rStyle w:val="Text1"/>
          </w:rPr>
          <w:t>Comparisons</w:t>
        </w:r>
      </w:hyperlink>
    </w:p>
    <w:p>
      <w:pPr>
        <w:pStyle w:val="Para 003"/>
      </w:pPr>
      <w:r>
        <w:t>notify (threading module)</w:t>
        <w:t xml:space="preserve">, </w:t>
      </w:r>
      <w:hyperlink w:anchor="idm45965193064432">
        <w:r>
          <w:rPr>
            <w:rStyle w:val="Text1"/>
          </w:rPr>
          <w:t>Condition objects</w:t>
        </w:r>
      </w:hyperlink>
    </w:p>
    <w:p>
      <w:pPr>
        <w:pStyle w:val="Para 004"/>
      </w:pPr>
      <w:r>
        <w:rPr>
          <w:rStyle w:val="Text2"/>
        </w:rPr>
        <w:t>NotImplemented</w:t>
        <w:t xml:space="preserve">, </w:t>
      </w:r>
      <w:hyperlink w:anchor="idm45965264848000">
        <w:r>
          <w:t>General-Purpose Special Methods</w:t>
        </w:r>
      </w:hyperlink>
      <w:r>
        <w:rPr>
          <w:rStyle w:val="Text2"/>
        </w:rPr>
        <w:t xml:space="preserve">, </w:t>
      </w:r>
      <w:hyperlink w:anchor="idm45965281857840">
        <w:r>
          <w:t>The abc module</w:t>
        </w:r>
      </w:hyperlink>
      <w:r>
        <w:rPr>
          <w:rStyle w:val="Text2"/>
        </w:rPr>
        <w:t xml:space="preserve">, </w:t>
      </w:r>
      <w:hyperlink w:anchor="idm45965281615008">
        <w:r>
          <w:t>Special Methods for Numeric Objects</w:t>
        </w:r>
      </w:hyperlink>
      <w:r>
        <w:rPr>
          <w:rStyle w:val="Text2"/>
        </w:rPr>
        <w:t xml:space="preserve">, </w:t>
      </w:r>
      <w:hyperlink w:anchor="idm45965281337872">
        <w:r>
          <w:t>Special Methods for Numeric Objects</w:t>
        </w:r>
      </w:hyperlink>
    </w:p>
    <w:p>
      <w:pPr>
        <w:pStyle w:val="Para 003"/>
      </w:pPr>
      <w:r>
        <w:t>now (datetime.datetime class)</w:t>
        <w:t xml:space="preserve">, </w:t>
      </w:r>
      <w:hyperlink w:anchor="idm45965196119776">
        <w:r>
          <w:rPr>
            <w:rStyle w:val="Text1"/>
          </w:rPr>
          <w:t>The datetime Class</w:t>
        </w:r>
      </w:hyperlink>
    </w:p>
    <w:p>
      <w:pPr>
        <w:pStyle w:val="Para 003"/>
      </w:pPr>
      <w:r>
        <w:t>nsmallest (heapq module)</w:t>
        <w:t xml:space="preserve">, </w:t>
      </w:r>
      <w:hyperlink w:anchor="idm45965277144512">
        <w:r>
          <w:rPr>
            <w:rStyle w:val="Text1"/>
          </w:rPr>
          <w:t>The heapq Module</w:t>
        </w:r>
      </w:hyperlink>
    </w:p>
    <w:p>
      <w:pPr>
        <w:pStyle w:val="Para 003"/>
      </w:pPr>
      <w:r>
        <w:t>NTP (Network Time Protocol)</w:t>
        <w:t xml:space="preserve">, </w:t>
      </w:r>
      <w:hyperlink w:anchor="idm45965174981104">
        <w:r>
          <w:rPr>
            <w:rStyle w:val="Text1"/>
          </w:rPr>
          <w:t>Other Network Protocols</w:t>
        </w:r>
      </w:hyperlink>
    </w:p>
    <w:p>
      <w:pPr>
        <w:pStyle w:val="Para 004"/>
      </w:pPr>
      <w:r>
        <w:rPr>
          <w:rStyle w:val="Text2"/>
        </w:rPr>
        <w:t>ntplib module</w:t>
        <w:t xml:space="preserve">, </w:t>
      </w:r>
      <w:hyperlink w:anchor="idm45965174979984">
        <w:r>
          <w:t>Other Network Protocols</w:t>
        </w:r>
      </w:hyperlink>
    </w:p>
    <w:p>
      <w:pPr>
        <w:pStyle w:val="Para 004"/>
      </w:pPr>
      <w:r>
        <w:rPr>
          <w:rStyle w:val="Text2"/>
        </w:rPr>
        <w:t>Nuitka</w:t>
        <w:t xml:space="preserve">, </w:t>
      </w:r>
      <w:hyperlink w:anchor="idm45965262191136">
        <w:r>
          <w:t>Python Implementations</w:t>
        </w:r>
      </w:hyperlink>
    </w:p>
    <w:p>
      <w:pPr>
        <w:pStyle w:val="Para 003"/>
      </w:pPr>
      <w:r>
        <w:t>null objects (none)</w:t>
        <w:t xml:space="preserve">, </w:t>
      </w:r>
      <w:hyperlink w:anchor="idm45965279291984">
        <w:r>
          <w:rPr>
            <w:rStyle w:val="Text1"/>
          </w:rPr>
          <w:t>None</w:t>
        </w:r>
      </w:hyperlink>
    </w:p>
    <w:p>
      <w:pPr>
        <w:pStyle w:val="Para 004"/>
      </w:pPr>
      <w:r>
        <w:rPr>
          <w:rStyle w:val="Text2"/>
        </w:rPr>
        <w:t>nullcontext (contextlib module)</w:t>
        <w:t xml:space="preserve">, </w:t>
      </w:r>
      <w:hyperlink w:anchor="idm45965257210080">
        <w:r>
          <w:t>The with Statement and Context Managers</w:t>
        </w:r>
      </w:hyperlink>
    </w:p>
    <w:p>
      <w:pPr>
        <w:pStyle w:val="Para 004"/>
      </w:pPr>
      <w:r>
        <w:rPr>
          <w:rStyle w:val="Text2"/>
        </w:rPr>
        <w:t>Numba</w:t>
        <w:t xml:space="preserve">, </w:t>
      </w:r>
      <w:hyperlink w:anchor="idm45965284090528">
        <w:r>
          <w:t>Numba</w:t>
        </w:r>
      </w:hyperlink>
      <w:r>
        <w:rPr>
          <w:rStyle w:val="Text2"/>
        </w:rPr>
        <w:t xml:space="preserve">, </w:t>
      </w:r>
      <w:hyperlink w:anchor="idm45965183840944">
        <w:r>
          <w:t>Additional numeric packages</w:t>
        </w:r>
      </w:hyperlink>
    </w:p>
    <w:p>
      <w:pPr>
        <w:pStyle w:val="Para 004"/>
      </w:pPr>
      <w:r>
        <w:rPr>
          <w:rStyle w:val="Text2"/>
        </w:rPr>
        <w:t>numbers</w:t>
        <w:t xml:space="preserve">, </w:t>
      </w:r>
      <w:hyperlink w:anchor="numb03">
        <w:r>
          <w:t>Numbers</w:t>
        </w:r>
      </w:hyperlink>
      <w:r>
        <w:rPr>
          <w:rStyle w:val="Text2"/>
        </w:rPr>
        <w:t>-</w:t>
      </w:r>
      <w:hyperlink w:anchor="idm45965282847360">
        <w:r>
          <w:t>Underscores in numeric literals</w:t>
        </w:r>
      </w:hyperlink>
      <w:r>
        <w:rPr>
          <w:rStyle w:val="Text2"/>
        </w:rPr>
        <w:t xml:space="preserve">, </w:t>
      </w:r>
      <w:hyperlink w:anchor="idm45965211144208">
        <w:r>
          <w:t>Sign indication</w:t>
        </w:r>
      </w:hyperlink>
    </w:p>
    <w:p>
      <w:pPr>
        <w:pStyle w:val="Para 004"/>
      </w:pPr>
      <w:r>
        <w:rPr>
          <w:rStyle w:val="Text2"/>
        </w:rPr>
        <w:t>numbers module</w:t>
        <w:t xml:space="preserve">, </w:t>
      </w:r>
      <w:hyperlink w:anchor="idm45965281684240">
        <w:r>
          <w:t>ABCs in the numbers module</w:t>
        </w:r>
      </w:hyperlink>
    </w:p>
    <w:p>
      <w:pPr>
        <w:pStyle w:val="Para 003"/>
      </w:pPr>
      <w:r>
        <w:t>numeric conversions</w:t>
        <w:t xml:space="preserve">, </w:t>
      </w:r>
      <w:hyperlink w:anchor="idm45965276286240">
        <w:r>
          <w:rPr>
            <w:rStyle w:val="Text1"/>
          </w:rPr>
          <w:t>Numeric Conversions</w:t>
        </w:r>
      </w:hyperlink>
    </w:p>
    <w:p>
      <w:pPr>
        <w:pStyle w:val="Para 004"/>
      </w:pPr>
      <w:r>
        <w:rPr>
          <w:rStyle w:val="Text2"/>
        </w:rPr>
        <w:t>numeric objects, special methods for</w:t>
        <w:t xml:space="preserve">, </w:t>
      </w:r>
      <w:hyperlink w:anchor="numobspec04">
        <w:r>
          <w:t>Special Methods for Numeric Objects</w:t>
        </w:r>
      </w:hyperlink>
      <w:r>
        <w:rPr>
          <w:rStyle w:val="Text2"/>
        </w:rPr>
        <w:t>-</w:t>
      </w:r>
      <w:hyperlink w:anchor="idm45965281273232">
        <w:r>
          <w:t>Special Methods for Numeric Objects</w:t>
        </w:r>
      </w:hyperlink>
    </w:p>
    <w:p>
      <w:pPr>
        <w:pStyle w:val="Para 004"/>
      </w:pPr>
      <w:r>
        <w:rPr>
          <w:rStyle w:val="Text2"/>
        </w:rPr>
        <w:t>numeric operations</w:t>
        <w:t xml:space="preserve">, </w:t>
      </w:r>
      <w:hyperlink w:anchor="numop03">
        <w:r>
          <w:t>Numeric Operations</w:t>
        </w:r>
      </w:hyperlink>
      <w:r>
        <w:rPr>
          <w:rStyle w:val="Text2"/>
        </w:rPr>
        <w:t>-</w:t>
      </w:r>
      <w:hyperlink w:anchor="idm45965276168848">
        <w:r>
          <w:t>Bitwise Operations on Integers</w:t>
        </w:r>
      </w:hyperlink>
    </w:p>
    <w:p>
      <w:pPr>
        <w:pStyle w:val="Para 003"/>
      </w:pPr>
      <w:r>
        <w:t>arithmetic operations</w:t>
        <w:t xml:space="preserve">, </w:t>
      </w:r>
      <w:hyperlink w:anchor="idm45965276270896">
        <w:r>
          <w:rPr>
            <w:rStyle w:val="Text1"/>
          </w:rPr>
          <w:t>Arithmetic Operations</w:t>
        </w:r>
      </w:hyperlink>
    </w:p>
    <w:p>
      <w:pPr>
        <w:pStyle w:val="Para 003"/>
      </w:pPr>
      <w:r>
        <w:t>bitwise operations on integers</w:t>
        <w:t xml:space="preserve">, </w:t>
      </w:r>
      <w:hyperlink w:anchor="idm45965276176288">
        <w:r>
          <w:rPr>
            <w:rStyle w:val="Text1"/>
          </w:rPr>
          <w:t>Bitwise Operations on Integers</w:t>
        </w:r>
      </w:hyperlink>
    </w:p>
    <w:p>
      <w:pPr>
        <w:pStyle w:val="Para 003"/>
      </w:pPr>
      <w:r>
        <w:t>numeric conversions</w:t>
        <w:t xml:space="preserve">, </w:t>
      </w:r>
      <w:hyperlink w:anchor="idm45965276288032">
        <w:r>
          <w:rPr>
            <w:rStyle w:val="Text1"/>
          </w:rPr>
          <w:t>Numeric Conversions</w:t>
        </w:r>
      </w:hyperlink>
    </w:p>
    <w:p>
      <w:pPr>
        <w:pStyle w:val="Para 003"/>
      </w:pPr>
      <w:r>
        <w:t>numeric processing</w:t>
      </w:r>
    </w:p>
    <w:p>
      <w:pPr>
        <w:pStyle w:val="Para 004"/>
      </w:pPr>
      <w:r>
        <w:rPr>
          <w:rStyle w:val="Text2"/>
        </w:rPr>
        <w:t>array processing</w:t>
        <w:t xml:space="preserve">, </w:t>
      </w:r>
      <w:hyperlink w:anchor="NParray16">
        <w:r>
          <w:t>Array Processing</w:t>
        </w:r>
      </w:hyperlink>
      <w:r>
        <w:rPr>
          <w:rStyle w:val="Text2"/>
        </w:rPr>
        <w:t>-</w:t>
      </w:r>
      <w:hyperlink w:anchor="idm45965183834592">
        <w:r>
          <w:t>Additional numeric packages</w:t>
        </w:r>
      </w:hyperlink>
    </w:p>
    <w:p>
      <w:pPr>
        <w:pStyle w:val="Para 004"/>
      </w:pPr>
      <w:r>
        <w:rPr>
          <w:rStyle w:val="Text2"/>
        </w:rPr>
        <w:t>decimal module</w:t>
        <w:t xml:space="preserve">, </w:t>
      </w:r>
      <w:hyperlink w:anchor="NPdecimal16">
        <w:r>
          <w:t>The decimal Module</w:t>
        </w:r>
      </w:hyperlink>
      <w:r>
        <w:rPr>
          <w:rStyle w:val="Text2"/>
        </w:rPr>
        <w:t>-</w:t>
      </w:r>
      <w:hyperlink w:anchor="idm45965185581648">
        <w:r>
          <w:t>The decimal Module</w:t>
        </w:r>
      </w:hyperlink>
    </w:p>
    <w:p>
      <w:pPr>
        <w:pStyle w:val="Para 003"/>
      </w:pPr>
      <w:r>
        <w:t>floating-point values</w:t>
        <w:t xml:space="preserve">, </w:t>
      </w:r>
      <w:hyperlink w:anchor="NPfloat16">
        <w:r>
          <w:rPr>
            <w:rStyle w:val="Text1"/>
          </w:rPr>
          <w:t>Floating-Point Values</w:t>
        </w:r>
      </w:hyperlink>
    </w:p>
    <w:p>
      <w:pPr>
        <w:pStyle w:val="Para 004"/>
      </w:pPr>
      <w:r>
        <w:rPr>
          <w:rStyle w:val="Text2"/>
        </w:rPr>
        <w:t>fractions module</w:t>
        <w:t xml:space="preserve">, </w:t>
      </w:r>
      <w:hyperlink w:anchor="idm45965186250416">
        <w:r>
          <w:t>The fractions Module</w:t>
        </w:r>
      </w:hyperlink>
    </w:p>
    <w:p>
      <w:pPr>
        <w:pStyle w:val="Para 004"/>
      </w:pPr>
      <w:r>
        <w:rPr>
          <w:rStyle w:val="Text2"/>
        </w:rPr>
        <w:t>math and cmath modules</w:t>
        <w:t xml:space="preserve">, </w:t>
      </w:r>
      <w:hyperlink w:anchor="NPmath16">
        <w:r>
          <w:t>The math and cmath Modules</w:t>
        </w:r>
      </w:hyperlink>
      <w:r>
        <w:rPr>
          <w:rStyle w:val="Text2"/>
        </w:rPr>
        <w:t>-</w:t>
      </w:r>
      <w:hyperlink w:anchor="idm45965186890448">
        <w:r>
          <w:t>The math and cmath Modules</w:t>
        </w:r>
      </w:hyperlink>
    </w:p>
    <w:p>
      <w:pPr>
        <w:pStyle w:val="Para 004"/>
      </w:pPr>
      <w:r>
        <w:rPr>
          <w:rStyle w:val="Text2"/>
        </w:rPr>
        <w:t>operator module</w:t>
        <w:t xml:space="preserve">, </w:t>
      </w:r>
      <w:hyperlink w:anchor="NPoperator16">
        <w:r>
          <w:t>The operator Module</w:t>
        </w:r>
      </w:hyperlink>
      <w:r>
        <w:rPr>
          <w:rStyle w:val="Text2"/>
        </w:rPr>
        <w:t>-</w:t>
      </w:r>
      <w:hyperlink w:anchor="idm45965186485616">
        <w:r>
          <w:t>The operator Module</w:t>
        </w:r>
      </w:hyperlink>
    </w:p>
    <w:p>
      <w:pPr>
        <w:pStyle w:val="Para 004"/>
      </w:pPr>
      <w:r>
        <w:rPr>
          <w:rStyle w:val="Text2"/>
        </w:rPr>
        <w:t>random and pseudorandom numbers</w:t>
        <w:t xml:space="preserve">, </w:t>
      </w:r>
      <w:hyperlink w:anchor="NPrandom16">
        <w:r>
          <w:t>Random and Pseudorandom Numbers</w:t>
        </w:r>
      </w:hyperlink>
      <w:r>
        <w:rPr>
          <w:rStyle w:val="Text2"/>
        </w:rPr>
        <w:t>-</w:t>
      </w:r>
      <w:hyperlink w:anchor="idm45965186257008">
        <w:r>
          <w:t>Crypto-Quality Random Numbers: The secrets Module</w:t>
        </w:r>
      </w:hyperlink>
    </w:p>
    <w:p>
      <w:pPr>
        <w:pStyle w:val="Para 004"/>
      </w:pPr>
      <w:r>
        <w:rPr>
          <w:rStyle w:val="Text2"/>
        </w:rPr>
        <w:t>statistics module</w:t>
        <w:t xml:space="preserve">, </w:t>
      </w:r>
      <w:hyperlink w:anchor="idm45965186884224">
        <w:r>
          <w:t>The statistics Module</w:t>
        </w:r>
      </w:hyperlink>
    </w:p>
    <w:p>
      <w:pPr>
        <w:pStyle w:val="Para 004"/>
      </w:pPr>
      <w:r>
        <w:rPr>
          <w:rStyle w:val="Text2"/>
        </w:rPr>
        <w:t>NumPy</w:t>
        <w:t xml:space="preserve">, </w:t>
      </w:r>
      <w:hyperlink w:anchor="numpy16">
        <w:r>
          <w:t>NumPy</w:t>
        </w:r>
      </w:hyperlink>
      <w:r>
        <w:rPr>
          <w:rStyle w:val="Text2"/>
        </w:rPr>
        <w:t>-</w:t>
      </w:r>
      <w:hyperlink w:anchor="idm45965183881920">
        <w:r>
          <w:t>Matrix operations in NumPy</w:t>
        </w:r>
      </w:hyperlink>
    </w:p>
    <w:p>
      <w:pPr>
        <w:keepNext/>
        <w:pStyle w:val="Heading 3"/>
      </w:pPr>
      <w:r>
        <w:t>O</w:t>
      </w:r>
    </w:p>
    <w:p>
      <w:pPr>
        <w:pStyle w:val="Para 003"/>
      </w:pPr>
      <w:r>
        <w:t>object (built-in type)</w:t>
        <w:t xml:space="preserve">, </w:t>
      </w:r>
      <w:hyperlink w:anchor="idm45965216581136">
        <w:r>
          <w:rPr>
            <w:rStyle w:val="Text1"/>
          </w:rPr>
          <w:t>Built-in Types</w:t>
        </w:r>
      </w:hyperlink>
    </w:p>
    <w:p>
      <w:pPr>
        <w:pStyle w:val="Para 003"/>
      </w:pPr>
      <w:r>
        <w:t>object-oriented Python</w:t>
        <w:t xml:space="preserve"> (</w:t>
        <w:t>see</w:t>
        <w:t xml:space="preserve"> also Python language)</w:t>
      </w:r>
    </w:p>
    <w:p>
      <w:pPr>
        <w:pStyle w:val="Para 004"/>
      </w:pPr>
      <w:r>
        <w:rPr>
          <w:rStyle w:val="Text2"/>
        </w:rPr>
        <w:t>benefits of</w:t>
        <w:t xml:space="preserve">, </w:t>
      </w:r>
      <w:hyperlink w:anchor="idm45965272066128">
        <w:r>
          <w:t>Object-Oriented Python</w:t>
        </w:r>
      </w:hyperlink>
    </w:p>
    <w:p>
      <w:pPr>
        <w:pStyle w:val="Para 004"/>
      </w:pPr>
      <w:r>
        <w:rPr>
          <w:rStyle w:val="Text2"/>
        </w:rPr>
        <w:t>classes and instances</w:t>
        <w:t xml:space="preserve">, </w:t>
      </w:r>
      <w:hyperlink w:anchor="OOPclasinst04">
        <w:r>
          <w:t>Classes and Instances</w:t>
        </w:r>
      </w:hyperlink>
      <w:r>
        <w:rPr>
          <w:rStyle w:val="Text2"/>
        </w:rPr>
        <w:t>-</w:t>
      </w:r>
      <w:hyperlink w:anchor="idm45965265088320">
        <w:r>
          <w:t>Inheritance from Built-in Types</w:t>
        </w:r>
      </w:hyperlink>
    </w:p>
    <w:p>
      <w:pPr>
        <w:pStyle w:val="Para 004"/>
      </w:pPr>
      <w:r>
        <w:rPr>
          <w:rStyle w:val="Text2"/>
        </w:rPr>
        <w:t>decorators</w:t>
        <w:t xml:space="preserve">, </w:t>
      </w:r>
      <w:hyperlink w:anchor="OOPdecor04">
        <w:r>
          <w:t>Decorators</w:t>
        </w:r>
      </w:hyperlink>
      <w:r>
        <w:rPr>
          <w:rStyle w:val="Text2"/>
        </w:rPr>
        <w:t>-</w:t>
      </w:r>
      <w:hyperlink w:anchor="idm45965280984336">
        <w:r>
          <w:t>Decorators</w:t>
        </w:r>
      </w:hyperlink>
    </w:p>
    <w:p>
      <w:pPr>
        <w:pStyle w:val="Para 004"/>
      </w:pPr>
      <w:r>
        <w:rPr>
          <w:rStyle w:val="Text2"/>
        </w:rPr>
        <w:t>metaclasses</w:t>
        <w:t xml:space="preserve">, </w:t>
      </w:r>
      <w:hyperlink w:anchor="OOPmeta04">
        <w:r>
          <w:t>Metaclasses</w:t>
        </w:r>
      </w:hyperlink>
      <w:r>
        <w:rPr>
          <w:rStyle w:val="Text2"/>
        </w:rPr>
        <w:t>-</w:t>
      </w:r>
      <w:hyperlink w:anchor="idm45965269265248">
        <w:r>
          <w:t>Enumerated Types (Enums)</w:t>
        </w:r>
      </w:hyperlink>
    </w:p>
    <w:p>
      <w:pPr>
        <w:pStyle w:val="Para 004"/>
      </w:pPr>
      <w:r>
        <w:rPr>
          <w:rStyle w:val="Text2"/>
        </w:rPr>
        <w:t>polymorphism</w:t>
        <w:t xml:space="preserve">, </w:t>
      </w:r>
      <w:hyperlink w:anchor="idm45965205940112">
        <w:r>
          <w:t>File-Like Objects and Polymorphism</w:t>
        </w:r>
      </w:hyperlink>
    </w:p>
    <w:p>
      <w:pPr>
        <w:pStyle w:val="Para 004"/>
      </w:pPr>
      <w:r>
        <w:rPr>
          <w:rStyle w:val="Text2"/>
        </w:rPr>
        <w:t>special methods</w:t>
        <w:t xml:space="preserve">, </w:t>
      </w:r>
      <w:hyperlink w:anchor="OOPspmeth04">
        <w:r>
          <w:t>Special Methods</w:t>
        </w:r>
      </w:hyperlink>
      <w:r>
        <w:rPr>
          <w:rStyle w:val="Text2"/>
        </w:rPr>
        <w:t>-</w:t>
      </w:r>
      <w:hyperlink w:anchor="idm45965281274608">
        <w:r>
          <w:t>Special Methods for Numeric Objects</w:t>
        </w:r>
      </w:hyperlink>
    </w:p>
    <w:p>
      <w:pPr>
        <w:pStyle w:val="Para 003"/>
      </w:pPr>
      <w:r>
        <w:t>objects</w:t>
      </w:r>
    </w:p>
    <w:p>
      <w:pPr>
        <w:pStyle w:val="Para 004"/>
      </w:pPr>
      <w:r>
        <w:rPr>
          <w:rStyle w:val="Text2"/>
        </w:rPr>
        <w:t>attributes of</w:t>
        <w:t xml:space="preserve">, </w:t>
      </w:r>
      <w:hyperlink w:anchor="idm45965258692336">
        <w:r>
          <w:t>Object attributes and items</w:t>
        </w:r>
      </w:hyperlink>
    </w:p>
    <w:p>
      <w:pPr>
        <w:pStyle w:val="Para 003"/>
      </w:pPr>
      <w:r>
        <w:t>built-in object type</w:t>
        <w:t xml:space="preserve">, </w:t>
      </w:r>
      <w:hyperlink w:anchor="idm45965254723088">
        <w:r>
          <w:rPr>
            <w:rStyle w:val="Text1"/>
          </w:rPr>
          <w:t>Python built-ins</w:t>
        </w:r>
      </w:hyperlink>
    </w:p>
    <w:p>
      <w:pPr>
        <w:pStyle w:val="Para 004"/>
      </w:pPr>
      <w:r>
        <w:rPr>
          <w:rStyle w:val="Text2"/>
        </w:rPr>
        <w:t>deleting</w:t>
        <w:t xml:space="preserve">, </w:t>
      </w:r>
      <w:hyperlink w:anchor="idm45965283239056">
        <w:r>
          <w:t>del Statements</w:t>
        </w:r>
      </w:hyperlink>
    </w:p>
    <w:p>
      <w:pPr>
        <w:pStyle w:val="Para 004"/>
      </w:pPr>
      <w:r>
        <w:rPr>
          <w:rStyle w:val="Text2"/>
        </w:rPr>
        <w:t>first-class objects</w:t>
        <w:t xml:space="preserve">, </w:t>
      </w:r>
      <w:hyperlink w:anchor="idm45965258623136">
        <w:r>
          <w:t>Plain assignment</w:t>
        </w:r>
      </w:hyperlink>
      <w:r>
        <w:rPr>
          <w:rStyle w:val="Text2"/>
        </w:rPr>
        <w:t xml:space="preserve">, </w:t>
      </w:r>
      <w:hyperlink w:anchor="idm45965270580640">
        <w:r>
          <w:t>Functions</w:t>
        </w:r>
      </w:hyperlink>
    </w:p>
    <w:p>
      <w:pPr>
        <w:pStyle w:val="Para 004"/>
      </w:pPr>
      <w:r>
        <w:rPr>
          <w:rStyle w:val="Text2"/>
        </w:rPr>
        <w:t>items of</w:t>
        <w:t xml:space="preserve">, </w:t>
      </w:r>
      <w:hyperlink w:anchor="idm45965258680912">
        <w:r>
          <w:t>Object attributes and items</w:t>
        </w:r>
      </w:hyperlink>
    </w:p>
    <w:p>
      <w:pPr>
        <w:pStyle w:val="Para 003"/>
      </w:pPr>
      <w:r>
        <w:t>mutable and immutable</w:t>
        <w:t xml:space="preserve">, </w:t>
      </w:r>
      <w:hyperlink w:anchor="idm45965281944336">
        <w:r>
          <w:rPr>
            <w:rStyle w:val="Text1"/>
          </w:rPr>
          <w:t>Data Types</w:t>
        </w:r>
      </w:hyperlink>
    </w:p>
    <w:p>
      <w:pPr>
        <w:pStyle w:val="Para 003"/>
      </w:pPr>
      <w:r>
        <w:t>null objects</w:t>
        <w:t xml:space="preserve">, </w:t>
      </w:r>
      <w:hyperlink w:anchor="idm45965279263312">
        <w:r>
          <w:rPr>
            <w:rStyle w:val="Text1"/>
          </w:rPr>
          <w:t>None</w:t>
        </w:r>
      </w:hyperlink>
    </w:p>
    <w:p>
      <w:pPr>
        <w:pStyle w:val="Para 003"/>
      </w:pPr>
      <w:r>
        <w:t>oct (built-in function)</w:t>
        <w:t xml:space="preserve">, </w:t>
      </w:r>
      <w:hyperlink w:anchor="idm45965215450368">
        <w:r>
          <w:rPr>
            <w:rStyle w:val="Text1"/>
          </w:rPr>
          <w:t>Built-in Functions</w:t>
        </w:r>
      </w:hyperlink>
    </w:p>
    <w:p>
      <w:pPr>
        <w:pStyle w:val="Para 003"/>
      </w:pPr>
      <w:r>
        <w:t>octal value (\DDD escape sequence in strings)</w:t>
        <w:t xml:space="preserve">, </w:t>
      </w:r>
      <w:hyperlink w:anchor="idm45965278997536">
        <w:r>
          <w:rPr>
            <w:rStyle w:val="Text1"/>
          </w:rPr>
          <w:t>Strings</w:t>
        </w:r>
      </w:hyperlink>
    </w:p>
    <w:p>
      <w:pPr>
        <w:pStyle w:val="Para 003"/>
      </w:pPr>
      <w:r>
        <w:t>online material</w:t>
      </w:r>
    </w:p>
    <w:p>
      <w:pPr>
        <w:pStyle w:val="Para 003"/>
      </w:pPr>
      <w:r>
        <w:t>extending and embedding Python</w:t>
        <w:t xml:space="preserve">, </w:t>
      </w:r>
      <w:hyperlink w:anchor="idm45965162799840">
        <w:r>
          <w:rPr>
            <w:rStyle w:val="Text1"/>
          </w:rPr>
          <w:t>Online Material</w:t>
        </w:r>
      </w:hyperlink>
    </w:p>
    <w:p>
      <w:pPr>
        <w:pStyle w:val="Para 003"/>
      </w:pPr>
      <w:r>
        <w:t>packaging programs and extensions</w:t>
        <w:t xml:space="preserve">, </w:t>
      </w:r>
      <w:hyperlink w:anchor="idm45965162961552">
        <w:r>
          <w:rPr>
            <w:rStyle w:val="Text1"/>
          </w:rPr>
          <w:t>Packaging Programs and Extensions</w:t>
        </w:r>
      </w:hyperlink>
    </w:p>
    <w:p>
      <w:pPr>
        <w:pStyle w:val="Para 003"/>
      </w:pPr>
      <w:r>
        <w:t>open (built-in function)</w:t>
        <w:t xml:space="preserve">, </w:t>
      </w:r>
      <w:hyperlink w:anchor="idm45965215443424">
        <w:r>
          <w:rPr>
            <w:rStyle w:val="Text1"/>
          </w:rPr>
          <w:t>Built-in Functions</w:t>
        </w:r>
      </w:hyperlink>
    </w:p>
    <w:p>
      <w:pPr>
        <w:pStyle w:val="Para 003"/>
      </w:pPr>
      <w:r>
        <w:t>open (pathlib.Path class)</w:t>
        <w:t xml:space="preserve">, </w:t>
      </w:r>
      <w:hyperlink w:anchor="idm45965203047152">
        <w:r>
          <w:rPr>
            <w:rStyle w:val="Text1"/>
          </w:rPr>
          <w:t>The pathlib Module</w:t>
        </w:r>
      </w:hyperlink>
    </w:p>
    <w:p>
      <w:pPr>
        <w:pStyle w:val="Para 004"/>
      </w:pPr>
      <w:r>
        <w:rPr>
          <w:rStyle w:val="Text2"/>
        </w:rPr>
        <w:t>open (with open)</w:t>
        <w:t xml:space="preserve">, </w:t>
      </w:r>
      <w:hyperlink w:anchor="idm45965206290160">
        <w:r>
          <w:t>Creating a File Object with open</w:t>
        </w:r>
      </w:hyperlink>
    </w:p>
    <w:p>
      <w:pPr>
        <w:pStyle w:val="Para 003"/>
      </w:pPr>
      <w:r>
        <w:t>Open DataBase Connectivity (ODBC)</w:t>
        <w:t xml:space="preserve">, </w:t>
      </w:r>
      <w:hyperlink w:anchor="idm45965197465104">
        <w:r>
          <w:rPr>
            <w:rStyle w:val="Text1"/>
          </w:rPr>
          <w:t>DBAPI-Compliant Modules</w:t>
        </w:r>
      </w:hyperlink>
    </w:p>
    <w:p>
      <w:pPr>
        <w:pStyle w:val="Para 004"/>
      </w:pPr>
      <w:r>
        <w:rPr>
          <w:rStyle w:val="Text2"/>
        </w:rPr>
        <w:t>operator module</w:t>
        <w:t xml:space="preserve">, </w:t>
      </w:r>
      <w:hyperlink w:anchor="opmod16">
        <w:r>
          <w:t>The operator Module</w:t>
        </w:r>
      </w:hyperlink>
      <w:r>
        <w:rPr>
          <w:rStyle w:val="Text2"/>
        </w:rPr>
        <w:t>-</w:t>
      </w:r>
      <w:hyperlink w:anchor="idm45965186484240">
        <w:r>
          <w:t>The operator Module</w:t>
        </w:r>
      </w:hyperlink>
    </w:p>
    <w:p>
      <w:pPr>
        <w:pStyle w:val="Para 003"/>
      </w:pPr>
      <w:r>
        <w:t>operators</w:t>
      </w:r>
    </w:p>
    <w:p>
      <w:pPr>
        <w:pStyle w:val="Para 003"/>
      </w:pPr>
      <w:r>
        <w:t>precedence (in expressions)</w:t>
        <w:t xml:space="preserve">, </w:t>
      </w:r>
      <w:hyperlink w:anchor="idm45965283200528">
        <w:r>
          <w:rPr>
            <w:rStyle w:val="Text1"/>
          </w:rPr>
          <w:t>Expressions and Operators</w:t>
        </w:r>
      </w:hyperlink>
    </w:p>
    <w:p>
      <w:pPr>
        <w:pStyle w:val="Para 003"/>
      </w:pPr>
      <w:r>
        <w:t>short-circuiting operators</w:t>
        <w:t xml:space="preserve">, </w:t>
      </w:r>
      <w:hyperlink w:anchor="idm45965275063024">
        <w:r>
          <w:rPr>
            <w:rStyle w:val="Text1"/>
          </w:rPr>
          <w:t>Short-Circuiting Operators</w:t>
        </w:r>
      </w:hyperlink>
    </w:p>
    <w:p>
      <w:pPr>
        <w:pStyle w:val="Para 003"/>
      </w:pPr>
      <w:r>
        <w:t>optimization</w:t>
      </w:r>
    </w:p>
    <w:p>
      <w:pPr>
        <w:pStyle w:val="Para 003"/>
      </w:pPr>
      <w:r>
        <w:t>avoiding premature</w:t>
        <w:t xml:space="preserve">, </w:t>
      </w:r>
      <w:hyperlink w:anchor="idm45965181121824">
        <w:r>
          <w:rPr>
            <w:rStyle w:val="Text1"/>
          </w:rPr>
          <w:t>Optimization</w:t>
        </w:r>
      </w:hyperlink>
    </w:p>
    <w:p>
      <w:pPr>
        <w:pStyle w:val="Para 003"/>
      </w:pPr>
      <w:r>
        <w:t>benchmarking</w:t>
        <w:t xml:space="preserve">, </w:t>
      </w:r>
      <w:hyperlink w:anchor="idm45965181061472">
        <w:r>
          <w:rPr>
            <w:rStyle w:val="Text1"/>
          </w:rPr>
          <w:t>Benchmarking</w:t>
        </w:r>
      </w:hyperlink>
    </w:p>
    <w:p>
      <w:pPr>
        <w:pStyle w:val="Para 004"/>
      </w:pPr>
      <w:r>
        <w:rPr>
          <w:rStyle w:val="Text2"/>
        </w:rPr>
        <w:t>definition of term</w:t>
        <w:t xml:space="preserve">, </w:t>
      </w:r>
      <w:hyperlink w:anchor="idm45965183825504">
        <w:r>
          <w:t>Testing, Debugging, and Optimizing</w:t>
        </w:r>
      </w:hyperlink>
    </w:p>
    <w:p>
      <w:pPr>
        <w:pStyle w:val="Para 004"/>
      </w:pPr>
      <w:r>
        <w:rPr>
          <w:rStyle w:val="Text2"/>
        </w:rPr>
        <w:t>fast-enough applications</w:t>
        <w:t xml:space="preserve">, </w:t>
      </w:r>
      <w:hyperlink w:anchor="Ofast17">
        <w:r>
          <w:t>Developing a Fast-Enough Python Application</w:t>
        </w:r>
      </w:hyperlink>
      <w:r>
        <w:rPr>
          <w:rStyle w:val="Text2"/>
        </w:rPr>
        <w:t>-</w:t>
      </w:r>
      <w:hyperlink w:anchor="idm45965181066960">
        <w:r>
          <w:t>Developing a Fast-Enough Python Application</w:t>
        </w:r>
      </w:hyperlink>
    </w:p>
    <w:p>
      <w:pPr>
        <w:pStyle w:val="Para 004"/>
      </w:pPr>
      <w:r>
        <w:rPr>
          <w:rStyle w:val="Text2"/>
        </w:rPr>
        <w:t>large-scale</w:t>
        <w:t xml:space="preserve">, </w:t>
      </w:r>
      <w:hyperlink w:anchor="Olarge17">
        <w:r>
          <w:t>Large-Scale Optimization</w:t>
        </w:r>
      </w:hyperlink>
      <w:r>
        <w:rPr>
          <w:rStyle w:val="Text2"/>
        </w:rPr>
        <w:t>-</w:t>
      </w:r>
      <w:hyperlink w:anchor="idm45965180705568">
        <w:r>
          <w:t>Summary of big-O times for operations on Python built-in types</w:t>
        </w:r>
      </w:hyperlink>
    </w:p>
    <w:p>
      <w:pPr>
        <w:pStyle w:val="Para 004"/>
      </w:pPr>
      <w:r>
        <w:rPr>
          <w:rStyle w:val="Text2"/>
        </w:rPr>
        <w:t>profiling</w:t>
        <w:t xml:space="preserve">, </w:t>
      </w:r>
      <w:hyperlink w:anchor="Oprofile17">
        <w:r>
          <w:t>Profiling</w:t>
        </w:r>
      </w:hyperlink>
      <w:r>
        <w:rPr>
          <w:rStyle w:val="Text2"/>
        </w:rPr>
        <w:t>-</w:t>
      </w:r>
      <w:hyperlink w:anchor="idm45965180497376">
        <w:r>
          <w:t>The pstats module</w:t>
        </w:r>
      </w:hyperlink>
    </w:p>
    <w:p>
      <w:pPr>
        <w:pStyle w:val="Para 004"/>
      </w:pPr>
      <w:r>
        <w:rPr>
          <w:rStyle w:val="Text2"/>
        </w:rPr>
        <w:t>small-scale</w:t>
        <w:t xml:space="preserve">, </w:t>
      </w:r>
      <w:hyperlink w:anchor="Osmall17">
        <w:r>
          <w:t>Small-Scale Optimization</w:t>
        </w:r>
      </w:hyperlink>
      <w:r>
        <w:rPr>
          <w:rStyle w:val="Text2"/>
        </w:rPr>
        <w:t>-</w:t>
      </w:r>
      <w:hyperlink w:anchor="idm45965178690016">
        <w:r>
          <w:t>Memoizing</w:t>
        </w:r>
      </w:hyperlink>
    </w:p>
    <w:p>
      <w:pPr>
        <w:pStyle w:val="Para 003"/>
      </w:pPr>
      <w:r>
        <w:t>Optional (typing module)</w:t>
        <w:t xml:space="preserve">, </w:t>
      </w:r>
      <w:hyperlink w:anchor="idm45965268443984">
        <w:r>
          <w:rPr>
            <w:rStyle w:val="Text1"/>
          </w:rPr>
          <w:t>Type Expression Parameters</w:t>
        </w:r>
      </w:hyperlink>
    </w:p>
    <w:p>
      <w:pPr>
        <w:pStyle w:val="Para 003"/>
      </w:pPr>
      <w:r>
        <w:t>optional parameters</w:t>
        <w:t xml:space="preserve">, </w:t>
      </w:r>
      <w:hyperlink w:anchor="idm45965262629056">
        <w:r>
          <w:rPr>
            <w:rStyle w:val="Text1"/>
          </w:rPr>
          <w:t>Named parameters</w:t>
        </w:r>
      </w:hyperlink>
    </w:p>
    <w:p>
      <w:pPr>
        <w:pStyle w:val="Para 003"/>
      </w:pPr>
      <w:r>
        <w:t>options, command line</w:t>
      </w:r>
    </w:p>
    <w:p>
      <w:pPr>
        <w:pStyle w:val="Para 004"/>
      </w:pPr>
      <w:r>
        <w:rPr>
          <w:rStyle w:val="Text2"/>
        </w:rPr>
        <w:t>py launcher</w:t>
        <w:t xml:space="preserve">, </w:t>
      </w:r>
      <w:hyperlink w:anchor="idm45965265739200">
        <w:r>
          <w:t>The Windows py Launcher</w:t>
        </w:r>
      </w:hyperlink>
    </w:p>
    <w:p>
      <w:pPr>
        <w:pStyle w:val="Para 004"/>
      </w:pPr>
      <w:r>
        <w:rPr>
          <w:rStyle w:val="Text2"/>
        </w:rPr>
        <w:t>Python interpreter</w:t>
        <w:t xml:space="preserve">, </w:t>
      </w:r>
      <w:hyperlink w:anchor="opcl02">
        <w:r>
          <w:t>Command-Line Syntax and Options</w:t>
        </w:r>
      </w:hyperlink>
      <w:r>
        <w:rPr>
          <w:rStyle w:val="Text2"/>
        </w:rPr>
        <w:t>-</w:t>
      </w:r>
      <w:hyperlink w:anchor="idm45965265746016">
        <w:r>
          <w:t>Command-Line Syntax and Options</w:t>
        </w:r>
      </w:hyperlink>
    </w:p>
    <w:p>
      <w:pPr>
        <w:pStyle w:val="Para 004"/>
      </w:pPr>
      <w:r>
        <w:rPr>
          <w:rStyle w:val="Text2"/>
        </w:rPr>
        <w:t>or</w:t>
        <w:t xml:space="preserve">, </w:t>
      </w:r>
      <w:hyperlink w:anchor="idm45965275163024">
        <w:r>
          <w:t>Expressions and Operators</w:t>
        </w:r>
      </w:hyperlink>
    </w:p>
    <w:p>
      <w:pPr>
        <w:pStyle w:val="Para 003"/>
      </w:pPr>
      <w:r>
        <w:t>OR patterns</w:t>
        <w:t xml:space="preserve">, </w:t>
      </w:r>
      <w:hyperlink w:anchor="idm45965275505552">
        <w:r>
          <w:rPr>
            <w:rStyle w:val="Text1"/>
          </w:rPr>
          <w:t>OR patterns</w:t>
        </w:r>
      </w:hyperlink>
    </w:p>
    <w:p>
      <w:pPr>
        <w:pStyle w:val="Para 003"/>
      </w:pPr>
      <w:r>
        <w:t>ord (built-in function)</w:t>
        <w:t xml:space="preserve">, </w:t>
      </w:r>
      <w:hyperlink w:anchor="idm45965215436464">
        <w:r>
          <w:rPr>
            <w:rStyle w:val="Text1"/>
          </w:rPr>
          <w:t>Built-in Functions</w:t>
        </w:r>
      </w:hyperlink>
    </w:p>
    <w:p>
      <w:pPr>
        <w:pStyle w:val="Para 003"/>
      </w:pPr>
      <w:r>
        <w:t>OrderedDict class (collections module)</w:t>
        <w:t xml:space="preserve">, </w:t>
      </w:r>
      <w:hyperlink w:anchor="idm45965278168048">
        <w:r>
          <w:rPr>
            <w:rStyle w:val="Text1"/>
          </w:rPr>
          <w:t>OrderedDict</w:t>
        </w:r>
      </w:hyperlink>
    </w:p>
    <w:p>
      <w:pPr>
        <w:pStyle w:val="Para 003"/>
      </w:pPr>
      <w:r>
        <w:t>os module</w:t>
      </w:r>
    </w:p>
    <w:p>
      <w:pPr>
        <w:pStyle w:val="Para 004"/>
      </w:pPr>
      <w:r>
        <w:rPr>
          <w:rStyle w:val="Text2"/>
        </w:rPr>
        <w:t>basics of</w:t>
        <w:t xml:space="preserve">, </w:t>
      </w:r>
      <w:hyperlink w:anchor="idm45965204525632">
        <w:r>
          <w:t>The os Module</w:t>
        </w:r>
      </w:hyperlink>
    </w:p>
    <w:p>
      <w:pPr>
        <w:pStyle w:val="Para 004"/>
      </w:pPr>
      <w:r>
        <w:rPr>
          <w:rStyle w:val="Text2"/>
        </w:rPr>
        <w:t>filesystem operations</w:t>
        <w:t xml:space="preserve">, </w:t>
      </w:r>
      <w:hyperlink w:anchor="OSMfilesys11">
        <w:r>
          <w:t>Filesystem Operations</w:t>
        </w:r>
      </w:hyperlink>
      <w:r>
        <w:rPr>
          <w:rStyle w:val="Text2"/>
        </w:rPr>
        <w:t>-</w:t>
      </w:r>
      <w:hyperlink w:anchor="idm45965203861312">
        <w:r>
          <w:t>File descriptor operations</w:t>
        </w:r>
      </w:hyperlink>
    </w:p>
    <w:p>
      <w:pPr>
        <w:pStyle w:val="Para 004"/>
      </w:pPr>
      <w:r>
        <w:rPr>
          <w:rStyle w:val="Text2"/>
        </w:rPr>
        <w:t>os.path module</w:t>
        <w:t xml:space="preserve">, </w:t>
      </w:r>
      <w:hyperlink w:anchor="OSpath11">
        <w:r>
          <w:t>The os.path Module</w:t>
        </w:r>
      </w:hyperlink>
      <w:r>
        <w:rPr>
          <w:rStyle w:val="Text2"/>
        </w:rPr>
        <w:t>-</w:t>
      </w:r>
      <w:hyperlink w:anchor="idm45965203504080">
        <w:r>
          <w:t>The os.path Module</w:t>
        </w:r>
      </w:hyperlink>
    </w:p>
    <w:p>
      <w:pPr>
        <w:pStyle w:val="Para 003"/>
      </w:pPr>
      <w:r>
        <w:t>(</w:t>
        <w:t>see also</w:t>
        <w:t xml:space="preserve"> pathlib module)</w:t>
      </w:r>
    </w:p>
    <w:p>
      <w:pPr>
        <w:pStyle w:val="Para 003"/>
      </w:pPr>
      <w:r>
        <w:t>OSError exceptions</w:t>
        <w:t xml:space="preserve">, </w:t>
      </w:r>
      <w:hyperlink w:anchor="idm45965203499584">
        <w:r>
          <w:rPr>
            <w:rStyle w:val="Text1"/>
          </w:rPr>
          <w:t>OSError Exceptions</w:t>
        </w:r>
      </w:hyperlink>
    </w:p>
    <w:p>
      <w:pPr>
        <w:pStyle w:val="Para 003"/>
      </w:pPr>
      <w:r>
        <w:t>in process environments</w:t>
        <w:t xml:space="preserve">, </w:t>
      </w:r>
      <w:hyperlink w:anchor="idm45965189148560">
        <w:r>
          <w:rPr>
            <w:rStyle w:val="Text1"/>
          </w:rPr>
          <w:t>Process Environment</w:t>
        </w:r>
      </w:hyperlink>
    </w:p>
    <w:p>
      <w:pPr>
        <w:pStyle w:val="Para 004"/>
      </w:pPr>
      <w:r>
        <w:rPr>
          <w:rStyle w:val="Text2"/>
        </w:rPr>
        <w:t>running programs with</w:t>
        <w:t xml:space="preserve">, </w:t>
      </w:r>
      <w:hyperlink w:anchor="idm45965188821776">
        <w:r>
          <w:t>Running Other Programs with the os Module</w:t>
        </w:r>
      </w:hyperlink>
    </w:p>
    <w:p>
      <w:pPr>
        <w:pStyle w:val="Para 004"/>
      </w:pPr>
      <w:r>
        <w:rPr>
          <w:rStyle w:val="Text2"/>
        </w:rPr>
        <w:t>OSError</w:t>
        <w:t xml:space="preserve">, </w:t>
      </w:r>
      <w:hyperlink w:anchor="idm45965256792256">
        <w:r>
          <w:t>OSError subclasses</w:t>
        </w:r>
      </w:hyperlink>
      <w:r>
        <w:rPr>
          <w:rStyle w:val="Text2"/>
        </w:rPr>
        <w:t xml:space="preserve">, </w:t>
      </w:r>
      <w:hyperlink w:anchor="idm45965206388064">
        <w:r>
          <w:t>The io Module</w:t>
        </w:r>
      </w:hyperlink>
      <w:r>
        <w:rPr>
          <w:rStyle w:val="Text2"/>
        </w:rPr>
        <w:t xml:space="preserve">, </w:t>
      </w:r>
      <w:hyperlink w:anchor="idm45965203498208">
        <w:r>
          <w:t>OSError Exceptions</w:t>
        </w:r>
      </w:hyperlink>
    </w:p>
    <w:p>
      <w:pPr>
        <w:pStyle w:val="Para 004"/>
      </w:pPr>
      <w:r>
        <w:rPr>
          <w:rStyle w:val="Text2"/>
        </w:rPr>
        <w:t>Oso</w:t>
        <w:t xml:space="preserve">, </w:t>
      </w:r>
      <w:hyperlink w:anchor="idm45965174869344">
        <w:r>
          <w:t>Considerations When Using Lightweight Frameworks</w:t>
        </w:r>
      </w:hyperlink>
    </w:p>
    <w:p>
      <w:pPr>
        <w:pStyle w:val="Para 004"/>
      </w:pPr>
      <w:r>
        <w:rPr>
          <w:rStyle w:val="Text2"/>
        </w:rPr>
        <w:t>outer functions</w:t>
        <w:t xml:space="preserve">, </w:t>
      </w:r>
      <w:hyperlink w:anchor="idm45965270058160">
        <w:r>
          <w:t>Nested functions and nested scopes</w:t>
        </w:r>
      </w:hyperlink>
    </w:p>
    <w:p>
      <w:pPr>
        <w:pStyle w:val="Para 003"/>
      </w:pPr>
      <w:r>
        <w:t>overload (typing module)</w:t>
        <w:t xml:space="preserve">, </w:t>
      </w:r>
      <w:hyperlink w:anchor="idm45965268068144">
        <w:r>
          <w:rPr>
            <w:rStyle w:val="Text1"/>
          </w:rPr>
          <w:t>Utilities and Decorators</w:t>
        </w:r>
      </w:hyperlink>
    </w:p>
    <w:p>
      <w:pPr>
        <w:pStyle w:val="Para 004"/>
      </w:pPr>
      <w:r>
        <w:rPr>
          <w:rStyle w:val="Text2"/>
        </w:rPr>
        <w:t xml:space="preserve"> overriding descriptors</w:t>
        <w:t xml:space="preserve">, </w:t>
      </w:r>
      <w:hyperlink w:anchor="idm45965271431792">
        <w:r>
          <w:t>Overriding and nonoverriding descriptors</w:t>
        </w:r>
      </w:hyperlink>
    </w:p>
    <w:p>
      <w:pPr>
        <w:pStyle w:val="Para 004"/>
      </w:pPr>
      <w:r>
        <w:rPr>
          <w:rStyle w:val="Text2"/>
        </w:rPr>
        <w:t>owning threads</w:t>
        <w:t xml:space="preserve">, </w:t>
      </w:r>
      <w:hyperlink w:anchor="idm45965193217072">
        <w:r>
          <w:t>Lock and RLock objects</w:t>
        </w:r>
      </w:hyperlink>
      <w:r>
        <w:rPr>
          <w:rStyle w:val="Text2"/>
        </w:rPr>
        <w:t xml:space="preserve">, </w:t>
      </w:r>
      <w:hyperlink w:anchor="idm45965190307696">
        <w:r>
          <w:t>Threaded Program Architecture</w:t>
        </w:r>
      </w:hyperlink>
    </w:p>
    <w:p>
      <w:pPr>
        <w:keepNext/>
        <w:pStyle w:val="Heading 3"/>
      </w:pPr>
      <w:r>
        <w:t>P</w:t>
      </w:r>
    </w:p>
    <w:p>
      <w:pPr>
        <w:pStyle w:val="Para 003"/>
      </w:pPr>
      <w:r>
        <w:t>pack function (struct module)</w:t>
        <w:t xml:space="preserve">, </w:t>
      </w:r>
      <w:hyperlink w:anchor="idm45965205332432">
        <w:r>
          <w:rPr>
            <w:rStyle w:val="Text1"/>
          </w:rPr>
          <w:t>The struct Module</w:t>
        </w:r>
      </w:hyperlink>
    </w:p>
    <w:p>
      <w:pPr>
        <w:pStyle w:val="Para 003"/>
      </w:pPr>
      <w:r>
        <w:t>packages</w:t>
      </w:r>
    </w:p>
    <w:p>
      <w:pPr>
        <w:pStyle w:val="Para 003"/>
      </w:pPr>
      <w:r>
        <w:t>absolute versus relative imports</w:t>
        <w:t xml:space="preserve">, </w:t>
      </w:r>
      <w:hyperlink w:anchor="idm45965217194816">
        <w:r>
          <w:rPr>
            <w:rStyle w:val="Text1"/>
          </w:rPr>
          <w:t>Absolute Versus Relative Imports</w:t>
        </w:r>
      </w:hyperlink>
    </w:p>
    <w:p>
      <w:pPr>
        <w:pStyle w:val="Para 003"/>
      </w:pPr>
      <w:r>
        <w:t>basics of</w:t>
        <w:t xml:space="preserve">, </w:t>
      </w:r>
      <w:hyperlink w:anchor="idm45965217345824">
        <w:r>
          <w:rPr>
            <w:rStyle w:val="Text1"/>
          </w:rPr>
          <w:t>Packages</w:t>
        </w:r>
      </w:hyperlink>
    </w:p>
    <w:p>
      <w:pPr>
        <w:pStyle w:val="Para 003"/>
      </w:pPr>
      <w:r>
        <w:t>definition of term</w:t>
        <w:t xml:space="preserve">, </w:t>
      </w:r>
      <w:hyperlink w:anchor="idm45965255081024">
        <w:r>
          <w:rPr>
            <w:rStyle w:val="Text1"/>
          </w:rPr>
          <w:t>Modules and Packages</w:t>
        </w:r>
      </w:hyperlink>
    </w:p>
    <w:p>
      <w:pPr>
        <w:pStyle w:val="Para 004"/>
      </w:pPr>
      <w:r>
        <w:rPr>
          <w:rStyle w:val="Text2"/>
        </w:rPr>
        <w:t>distutils and setuptools</w:t>
        <w:t xml:space="preserve">, </w:t>
      </w:r>
      <w:hyperlink w:anchor="PCKdist07">
        <w:r>
          <w:t>Distribution Utilities (distutils) and setuptools</w:t>
        </w:r>
      </w:hyperlink>
      <w:r>
        <w:rPr>
          <w:rStyle w:val="Text2"/>
        </w:rPr>
        <w:t>-</w:t>
      </w:r>
      <w:hyperlink w:anchor="idm45965217058736">
        <w:r>
          <w:t>Distribution Utilities (distutils) and setuptools</w:t>
        </w:r>
      </w:hyperlink>
    </w:p>
    <w:p>
      <w:pPr>
        <w:pStyle w:val="Para 004"/>
      </w:pPr>
      <w:r>
        <w:rPr>
          <w:rStyle w:val="Text2"/>
        </w:rPr>
        <w:t>Python environments</w:t>
        <w:t xml:space="preserve">, </w:t>
      </w:r>
      <w:hyperlink w:anchor="PCKpyenv07">
        <w:r>
          <w:t>Python Environments</w:t>
        </w:r>
      </w:hyperlink>
      <w:r>
        <w:rPr>
          <w:rStyle w:val="Text2"/>
        </w:rPr>
        <w:t>-</w:t>
      </w:r>
      <w:hyperlink w:anchor="idm45965216825136">
        <w:r>
          <w:t>Best Practices with Virtualenvs</w:t>
        </w:r>
      </w:hyperlink>
    </w:p>
    <w:p>
      <w:pPr>
        <w:pStyle w:val="Para 003"/>
      </w:pPr>
      <w:r>
        <w:t>sharing objects among modules in</w:t>
        <w:t xml:space="preserve">, </w:t>
      </w:r>
      <w:hyperlink w:anchor="idm45965217230112">
        <w:r>
          <w:rPr>
            <w:rStyle w:val="Text1"/>
          </w:rPr>
          <w:t>Packages</w:t>
        </w:r>
      </w:hyperlink>
    </w:p>
    <w:p>
      <w:pPr>
        <w:pStyle w:val="Para 003"/>
      </w:pPr>
      <w:r>
        <w:t>special attributes of package objects</w:t>
        <w:t xml:space="preserve">, </w:t>
      </w:r>
      <w:hyperlink w:anchor="idm45965217220368">
        <w:r>
          <w:rPr>
            <w:rStyle w:val="Text1"/>
          </w:rPr>
          <w:t>Special Attributes of Package Objects</w:t>
        </w:r>
      </w:hyperlink>
    </w:p>
    <w:p>
      <w:pPr>
        <w:pStyle w:val="Para 004"/>
      </w:pPr>
      <w:r>
        <w:rPr>
          <w:rStyle w:val="Text2"/>
        </w:rPr>
        <w:t>packaging programs and extensions</w:t>
        <w:t xml:space="preserve">, </w:t>
      </w:r>
      <w:hyperlink w:anchor="pacprog24">
        <w:r>
          <w:t>Packaging Programs and Extensions</w:t>
        </w:r>
      </w:hyperlink>
      <w:r>
        <w:rPr>
          <w:rStyle w:val="Text2"/>
        </w:rPr>
        <w:t>-</w:t>
      </w:r>
      <w:hyperlink w:anchor="idm45965162823312">
        <w:r>
          <w:t>Online Material</w:t>
        </w:r>
      </w:hyperlink>
    </w:p>
    <w:p>
      <w:pPr>
        <w:pStyle w:val="Para 004"/>
      </w:pPr>
      <w:r>
        <w:rPr>
          <w:rStyle w:val="Text2"/>
        </w:rPr>
        <w:t>packet sniffing</w:t>
        <w:t xml:space="preserve">, </w:t>
      </w:r>
      <w:hyperlink w:anchor="idm45965177657504">
        <w:r>
          <w:t>The Berkeley Socket Interface</w:t>
        </w:r>
      </w:hyperlink>
    </w:p>
    <w:p>
      <w:pPr>
        <w:pStyle w:val="Para 003"/>
      </w:pPr>
      <w:r>
        <w:t>pack_into function (struct module)</w:t>
        <w:t xml:space="preserve">, </w:t>
      </w:r>
      <w:hyperlink w:anchor="idm45965205321312">
        <w:r>
          <w:rPr>
            <w:rStyle w:val="Text1"/>
          </w:rPr>
          <w:t>The struct Module</w:t>
        </w:r>
      </w:hyperlink>
    </w:p>
    <w:p>
      <w:pPr>
        <w:pStyle w:val="Para 003"/>
      </w:pPr>
      <w:r>
        <w:t>pairs</w:t>
        <w:t xml:space="preserve">, </w:t>
      </w:r>
      <w:hyperlink w:anchor="idm45965264069600">
        <w:r>
          <w:rPr>
            <w:rStyle w:val="Text1"/>
          </w:rPr>
          <w:t>Tuples</w:t>
        </w:r>
      </w:hyperlink>
    </w:p>
    <w:p>
      <w:pPr>
        <w:pStyle w:val="Para 003"/>
      </w:pPr>
      <w:r>
        <w:t>pairwise (itertools module)</w:t>
        <w:t xml:space="preserve">, </w:t>
      </w:r>
      <w:hyperlink w:anchor="idm45965213156176">
        <w:r>
          <w:rPr>
            <w:rStyle w:val="Text1"/>
          </w:rPr>
          <w:t>The itertools Module</w:t>
        </w:r>
      </w:hyperlink>
    </w:p>
    <w:p>
      <w:pPr>
        <w:pStyle w:val="Para 003"/>
      </w:pPr>
      <w:r>
        <w:t>parameter style (DBAPI-compliant)</w:t>
        <w:t xml:space="preserve">, </w:t>
      </w:r>
      <w:hyperlink w:anchor="idm45965197993328">
        <w:r>
          <w:rPr>
            <w:rStyle w:val="Text1"/>
          </w:rPr>
          <w:t>Parameter Style</w:t>
        </w:r>
      </w:hyperlink>
    </w:p>
    <w:p>
      <w:pPr>
        <w:pStyle w:val="Para 003"/>
      </w:pPr>
      <w:r>
        <w:t>parameter substitution</w:t>
        <w:t xml:space="preserve">, </w:t>
      </w:r>
      <w:hyperlink w:anchor="idm45965197962128">
        <w:r>
          <w:rPr>
            <w:rStyle w:val="Text1"/>
          </w:rPr>
          <w:t>Parameter Style</w:t>
        </w:r>
      </w:hyperlink>
    </w:p>
    <w:p>
      <w:pPr>
        <w:pStyle w:val="Para 004"/>
      </w:pPr>
      <w:r>
        <w:rPr>
          <w:rStyle w:val="Text2"/>
        </w:rPr>
        <w:t>parameters</w:t>
        <w:t xml:space="preserve">, </w:t>
      </w:r>
      <w:hyperlink w:anchor="param03">
        <w:r>
          <w:t>Parameters</w:t>
        </w:r>
      </w:hyperlink>
      <w:r>
        <w:rPr>
          <w:rStyle w:val="Text2"/>
        </w:rPr>
        <w:t>-</w:t>
      </w:r>
      <w:hyperlink w:anchor="idm45965263514208">
        <w:r>
          <w:t>Argument collector parameters</w:t>
        </w:r>
      </w:hyperlink>
      <w:r>
        <w:rPr>
          <w:rStyle w:val="Text2"/>
        </w:rPr>
        <w:t xml:space="preserve">, </w:t>
      </w:r>
      <w:hyperlink w:anchor="parameter03">
        <w:r>
          <w:t>“Keyword-only” parameters</w:t>
        </w:r>
      </w:hyperlink>
      <w:r>
        <w:rPr>
          <w:rStyle w:val="Text2"/>
        </w:rPr>
        <w:t>-</w:t>
      </w:r>
      <w:hyperlink w:anchor="idm45965270267440">
        <w:r>
          <w:t>Matching arguments to parameters</w:t>
        </w:r>
      </w:hyperlink>
    </w:p>
    <w:p>
      <w:pPr>
        <w:pStyle w:val="Para 004"/>
      </w:pPr>
      <w:r>
        <w:rPr>
          <w:rStyle w:val="Text2"/>
        </w:rPr>
        <w:t>paramiko package</w:t>
        <w:t xml:space="preserve">, </w:t>
      </w:r>
      <w:hyperlink w:anchor="idm45965175008272">
        <w:r>
          <w:t>Other Network Protocols</w:t>
        </w:r>
      </w:hyperlink>
    </w:p>
    <w:p>
      <w:pPr>
        <w:pStyle w:val="Para 003"/>
      </w:pPr>
      <w:r>
        <w:t>parentheses (())</w:t>
      </w:r>
    </w:p>
    <w:p>
      <w:pPr>
        <w:pStyle w:val="Para 004"/>
      </w:pPr>
      <w:r>
        <w:rPr>
          <w:rStyle w:val="Text2"/>
        </w:rPr>
        <w:t>function calls</w:t>
        <w:t xml:space="preserve">, </w:t>
      </w:r>
      <w:hyperlink w:anchor="idm45965263258800">
        <w:r>
          <w:t>Calling Functions</w:t>
        </w:r>
      </w:hyperlink>
    </w:p>
    <w:p>
      <w:pPr>
        <w:pStyle w:val="Para 003"/>
      </w:pPr>
      <w:r>
        <w:t>in generator expressions</w:t>
        <w:t xml:space="preserve">, </w:t>
      </w:r>
      <w:hyperlink w:anchor="idm45965259209552">
        <w:r>
          <w:rPr>
            <w:rStyle w:val="Text1"/>
          </w:rPr>
          <w:t>Generator expressions</w:t>
        </w:r>
      </w:hyperlink>
    </w:p>
    <w:p>
      <w:pPr>
        <w:pStyle w:val="Para 003"/>
      </w:pPr>
      <w:r>
        <w:t>lines and indentation</w:t>
        <w:t xml:space="preserve">, </w:t>
      </w:r>
      <w:hyperlink w:anchor="idm45965274409952">
        <w:r>
          <w:rPr>
            <w:rStyle w:val="Text1"/>
          </w:rPr>
          <w:t>Lines and Indentation</w:t>
        </w:r>
      </w:hyperlink>
    </w:p>
    <w:p>
      <w:pPr>
        <w:pStyle w:val="Para 004"/>
      </w:pPr>
      <w:r>
        <w:rPr>
          <w:rStyle w:val="Text2"/>
        </w:rPr>
        <w:t>parents</w:t>
        <w:t xml:space="preserve">, </w:t>
      </w:r>
      <w:hyperlink w:anchor="idm45965271988912">
        <w:r>
          <w:t>The class Statement</w:t>
        </w:r>
      </w:hyperlink>
    </w:p>
    <w:p>
      <w:pPr>
        <w:pStyle w:val="Para 003"/>
      </w:pPr>
      <w:r>
        <w:t>parse_and_bind (readline module)</w:t>
        <w:t xml:space="preserve">, </w:t>
      </w:r>
      <w:hyperlink w:anchor="idm45965201632064">
        <w:r>
          <w:rPr>
            <w:rStyle w:val="Text1"/>
          </w:rPr>
          <w:t>The readline Module</w:t>
        </w:r>
      </w:hyperlink>
    </w:p>
    <w:p>
      <w:pPr>
        <w:pStyle w:val="Para 003"/>
      </w:pPr>
      <w:r>
        <w:t>partial (functools module)</w:t>
        <w:t xml:space="preserve">, </w:t>
      </w:r>
      <w:hyperlink w:anchor="idm45965277642336">
        <w:r>
          <w:rPr>
            <w:rStyle w:val="Text1"/>
          </w:rPr>
          <w:t>The functools Module</w:t>
        </w:r>
      </w:hyperlink>
    </w:p>
    <w:p>
      <w:pPr>
        <w:pStyle w:val="Para 003"/>
      </w:pPr>
      <w:r>
        <w:t>parties (threading module)</w:t>
        <w:t xml:space="preserve">, </w:t>
      </w:r>
      <w:hyperlink w:anchor="idm45965192404640">
        <w:r>
          <w:rPr>
            <w:rStyle w:val="Text1"/>
          </w:rPr>
          <w:t>Barrier objects</w:t>
        </w:r>
      </w:hyperlink>
    </w:p>
    <w:p>
      <w:pPr>
        <w:pStyle w:val="Para 004"/>
      </w:pPr>
      <w:r>
        <w:rPr>
          <w:rStyle w:val="Text2"/>
        </w:rPr>
        <w:t>pass statement</w:t>
        <w:t xml:space="preserve">, </w:t>
      </w:r>
      <w:hyperlink w:anchor="idm45965270731536">
        <w:r>
          <w:t>The pass Statement</w:t>
        </w:r>
      </w:hyperlink>
    </w:p>
    <w:p>
      <w:pPr>
        <w:pStyle w:val="Para 003"/>
      </w:pPr>
      <w:r>
        <w:t>path (sys module)</w:t>
        <w:t xml:space="preserve">, </w:t>
      </w:r>
      <w:hyperlink w:anchor="idm45965214954480">
        <w:r>
          <w:rPr>
            <w:rStyle w:val="Text1"/>
          </w:rPr>
          <w:t>The sys Module</w:t>
        </w:r>
      </w:hyperlink>
    </w:p>
    <w:p>
      <w:pPr>
        <w:pStyle w:val="Para 003"/>
      </w:pPr>
      <w:r>
        <w:t>PATH environment variable</w:t>
        <w:t xml:space="preserve">, </w:t>
      </w:r>
      <w:hyperlink w:anchor="idm45965217043008">
        <w:r>
          <w:rPr>
            <w:rStyle w:val="Text1"/>
          </w:rPr>
          <w:t>Python Environments</w:t>
        </w:r>
      </w:hyperlink>
    </w:p>
    <w:p>
      <w:pPr>
        <w:pStyle w:val="Para 003"/>
      </w:pPr>
      <w:r>
        <w:t xml:space="preserve"> path patterns</w:t>
        <w:t xml:space="preserve">, </w:t>
      </w:r>
      <w:hyperlink w:anchor="idm45965202296432">
        <w:r>
          <w:rPr>
            <w:rStyle w:val="Text1"/>
          </w:rPr>
          <w:t>The glob Module</w:t>
        </w:r>
      </w:hyperlink>
    </w:p>
    <w:p>
      <w:pPr>
        <w:pStyle w:val="Para 004"/>
      </w:pPr>
      <w:r>
        <w:rPr>
          <w:rStyle w:val="Text2"/>
        </w:rPr>
        <w:t>pathlib module</w:t>
        <w:t xml:space="preserve">, </w:t>
      </w:r>
      <w:hyperlink w:anchor="pathlib11">
        <w:r>
          <w:t>The pathlib Module</w:t>
        </w:r>
      </w:hyperlink>
      <w:r>
        <w:rPr>
          <w:rStyle w:val="Text2"/>
        </w:rPr>
        <w:t>-</w:t>
      </w:r>
      <w:hyperlink w:anchor="idm45965202590704">
        <w:r>
          <w:t>The pathlib Module</w:t>
        </w:r>
      </w:hyperlink>
    </w:p>
    <w:p>
      <w:pPr>
        <w:pStyle w:val="Para 003"/>
      </w:pPr>
      <w:r>
        <w:t>pathlib.Path class</w:t>
        <w:t xml:space="preserve">, </w:t>
      </w:r>
      <w:hyperlink w:anchor="idm45965202655600">
        <w:r>
          <w:rPr>
            <w:rStyle w:val="Text1"/>
          </w:rPr>
          <w:t>The pathlib Module</w:t>
        </w:r>
      </w:hyperlink>
    </w:p>
    <w:p>
      <w:pPr>
        <w:pStyle w:val="Para 004"/>
      </w:pPr>
      <w:r>
        <w:rPr>
          <w:rStyle w:val="Text2"/>
        </w:rPr>
        <w:t>paths</w:t>
        <w:t xml:space="preserve">, </w:t>
      </w:r>
      <w:hyperlink w:anchor="paths11">
        <w:r>
          <w:t>Path-string attributes of the os module</w:t>
        </w:r>
      </w:hyperlink>
      <w:r>
        <w:rPr>
          <w:rStyle w:val="Text2"/>
        </w:rPr>
        <w:t>-</w:t>
      </w:r>
      <w:hyperlink w:anchor="idm45965204002368">
        <w:r>
          <w:t>File and directory functions of the os module</w:t>
        </w:r>
      </w:hyperlink>
    </w:p>
    <w:p>
      <w:pPr>
        <w:pStyle w:val="Para 003"/>
      </w:pPr>
      <w:r>
        <w:t>pattern expressions</w:t>
        <w:t xml:space="preserve">, </w:t>
      </w:r>
      <w:hyperlink w:anchor="idm45965263978336">
        <w:r>
          <w:rPr>
            <w:rStyle w:val="Text1"/>
          </w:rPr>
          <w:t>The match Statement</w:t>
        </w:r>
      </w:hyperlink>
    </w:p>
    <w:p>
      <w:pPr>
        <w:pStyle w:val="Para 003"/>
      </w:pPr>
      <w:r>
        <w:t>(</w:t>
        <w:t>see also</w:t>
        <w:t xml:space="preserve"> match)</w:t>
      </w:r>
    </w:p>
    <w:p>
      <w:pPr>
        <w:pStyle w:val="Para 003"/>
      </w:pPr>
      <w:r>
        <w:t>pattern matching</w:t>
        <w:t xml:space="preserve"> (</w:t>
        <w:t>see</w:t>
        <w:t xml:space="preserve"> fnmatch module; match; regular expressions)</w:t>
      </w:r>
    </w:p>
    <w:p>
      <w:pPr>
        <w:pStyle w:val="Para 003"/>
      </w:pPr>
      <w:r>
        <w:t>pattern string syntax</w:t>
        <w:t xml:space="preserve">, </w:t>
      </w:r>
      <w:hyperlink w:anchor="idm45965209053328">
        <w:r>
          <w:rPr>
            <w:rStyle w:val="Text1"/>
          </w:rPr>
          <w:t>Pattern String Syntax</w:t>
        </w:r>
      </w:hyperlink>
    </w:p>
    <w:p>
      <w:pPr>
        <w:pStyle w:val="Para 004"/>
      </w:pPr>
      <w:r>
        <w:rPr>
          <w:rStyle w:val="Text2"/>
        </w:rPr>
        <w:t>payload</w:t>
        <w:t xml:space="preserve">, </w:t>
      </w:r>
      <w:hyperlink w:anchor="idm45965173259808">
        <w:r>
          <w:t>The email.message Module</w:t>
        </w:r>
      </w:hyperlink>
    </w:p>
    <w:p>
      <w:pPr>
        <w:pStyle w:val="Para 004"/>
      </w:pPr>
      <w:r>
        <w:rPr>
          <w:rStyle w:val="Text2"/>
        </w:rPr>
        <w:t>pdb module</w:t>
        <w:t xml:space="preserve">, </w:t>
      </w:r>
      <w:hyperlink w:anchor="pdbmod17">
        <w:r>
          <w:t>The pdb Module</w:t>
        </w:r>
      </w:hyperlink>
      <w:r>
        <w:rPr>
          <w:rStyle w:val="Text2"/>
        </w:rPr>
        <w:t>-</w:t>
      </w:r>
      <w:hyperlink w:anchor="idm45965181377312">
        <w:r>
          <w:t>The pdb Module</w:t>
        </w:r>
      </w:hyperlink>
    </w:p>
    <w:p>
      <w:pPr>
        <w:pStyle w:val="Para 003"/>
      </w:pPr>
      <w:r>
        <w:t>peer-to-peer networking</w:t>
        <w:t xml:space="preserve">, </w:t>
      </w:r>
      <w:hyperlink w:anchor="idm45965177620592">
        <w:r>
          <w:rPr>
            <w:rStyle w:val="Text1"/>
          </w:rPr>
          <w:t>Client/Server Computing</w:t>
        </w:r>
      </w:hyperlink>
    </w:p>
    <w:p>
      <w:pPr>
        <w:pStyle w:val="Para 003"/>
      </w:pPr>
      <w:r>
        <w:t>PEPs (Python Enhancement Proposals)</w:t>
        <w:t xml:space="preserve">, </w:t>
      </w:r>
      <w:hyperlink w:anchor="idm45965283891552">
        <w:r>
          <w:rPr>
            <w:rStyle w:val="Text1"/>
          </w:rPr>
          <w:t>Python Development and Versions</w:t>
        </w:r>
      </w:hyperlink>
    </w:p>
    <w:p>
      <w:pPr>
        <w:pStyle w:val="Para 003"/>
      </w:pPr>
      <w:r>
        <w:t>per instance methods</w:t>
        <w:t xml:space="preserve">, </w:t>
      </w:r>
      <w:hyperlink w:anchor="idm45965265184688">
        <w:r>
          <w:rPr>
            <w:rStyle w:val="Text1"/>
          </w:rPr>
          <w:t>Per Instance Methods</w:t>
        </w:r>
      </w:hyperlink>
    </w:p>
    <w:p>
      <w:pPr>
        <w:pStyle w:val="Para 003"/>
      </w:pPr>
      <w:r>
        <w:t>per-site customization</w:t>
        <w:t xml:space="preserve">, </w:t>
      </w:r>
      <w:hyperlink w:anchor="idm45965194925152">
        <w:r>
          <w:rPr>
            <w:rStyle w:val="Text1"/>
          </w:rPr>
          <w:t>Per-Site Customization</w:t>
        </w:r>
      </w:hyperlink>
    </w:p>
    <w:p>
      <w:pPr>
        <w:pStyle w:val="Para 004"/>
      </w:pPr>
      <w:r>
        <w:rPr>
          <w:rStyle w:val="Text2"/>
        </w:rPr>
        <w:t xml:space="preserve"> per-thread data</w:t>
        <w:t xml:space="preserve">, </w:t>
      </w:r>
      <w:hyperlink w:anchor="idm45965192214480">
        <w:r>
          <w:t>Thread Local Storage</w:t>
        </w:r>
      </w:hyperlink>
    </w:p>
    <w:p>
      <w:pPr>
        <w:pStyle w:val="Para 003"/>
      </w:pPr>
      <w:r>
        <w:t>percent sign (%)</w:t>
      </w:r>
    </w:p>
    <w:p>
      <w:pPr>
        <w:pStyle w:val="Para 003"/>
      </w:pPr>
      <w:r>
        <w:t>legacy string format operator</w:t>
        <w:t xml:space="preserve">, </w:t>
      </w:r>
      <w:hyperlink w:anchor="idm45965209752576">
        <w:r>
          <w:rPr>
            <w:rStyle w:val="Text1"/>
          </w:rPr>
          <w:t>Legacy String Formatting with %</w:t>
        </w:r>
      </w:hyperlink>
    </w:p>
    <w:p>
      <w:pPr>
        <w:pStyle w:val="Para 003"/>
      </w:pPr>
      <w:r>
        <w:t>log message placeholder</w:t>
        <w:t xml:space="preserve">, </w:t>
      </w:r>
      <w:hyperlink w:anchor="idm45965255437984">
        <w:r>
          <w:rPr>
            <w:rStyle w:val="Text1"/>
          </w:rPr>
          <w:t>The logging module</w:t>
        </w:r>
      </w:hyperlink>
    </w:p>
    <w:p>
      <w:pPr>
        <w:pStyle w:val="Para 003"/>
      </w:pPr>
      <w:r>
        <w:t>modulus division operator</w:t>
        <w:t xml:space="preserve">, </w:t>
      </w:r>
      <w:hyperlink w:anchor="idm45965276259696">
        <w:r>
          <w:rPr>
            <w:rStyle w:val="Text1"/>
          </w:rPr>
          <w:t>Division</w:t>
        </w:r>
      </w:hyperlink>
    </w:p>
    <w:p>
      <w:pPr>
        <w:pStyle w:val="Para 003"/>
      </w:pPr>
      <w:r>
        <w:t>SQL statement placeholder</w:t>
        <w:t xml:space="preserve">, </w:t>
      </w:r>
      <w:hyperlink w:anchor="idm45965197919056">
        <w:r>
          <w:rPr>
            <w:rStyle w:val="Text1"/>
          </w:rPr>
          <w:t>Parameter Style</w:t>
        </w:r>
      </w:hyperlink>
    </w:p>
    <w:p>
      <w:pPr>
        <w:pStyle w:val="Para 003"/>
      </w:pPr>
      <w:r>
        <w:t>perf_counter (time module)</w:t>
        <w:t xml:space="preserve">, </w:t>
      </w:r>
      <w:hyperlink w:anchor="idm45965196785472">
        <w:r>
          <w:rPr>
            <w:rStyle w:val="Text1"/>
          </w:rPr>
          <w:t>The time Module</w:t>
        </w:r>
      </w:hyperlink>
    </w:p>
    <w:p>
      <w:pPr>
        <w:pStyle w:val="Para 003"/>
      </w:pPr>
      <w:r>
        <w:t>period (.)</w:t>
      </w:r>
    </w:p>
    <w:p>
      <w:pPr>
        <w:pStyle w:val="Para 003"/>
      </w:pPr>
      <w:r>
        <w:t>floating-point numbers</w:t>
        <w:t xml:space="preserve">, </w:t>
      </w:r>
      <w:hyperlink w:anchor="idm45965282711408">
        <w:r>
          <w:rPr>
            <w:rStyle w:val="Text1"/>
          </w:rPr>
          <w:t>Floating-point numbers</w:t>
        </w:r>
      </w:hyperlink>
    </w:p>
    <w:p>
      <w:pPr>
        <w:pStyle w:val="Para 004"/>
      </w:pPr>
      <w:r>
        <w:rPr>
          <w:rStyle w:val="Text2"/>
        </w:rPr>
        <w:t>import statement</w:t>
        <w:t xml:space="preserve">, </w:t>
      </w:r>
      <w:hyperlink w:anchor="idm45965255001408">
        <w:r>
          <w:t>The import Statement</w:t>
        </w:r>
      </w:hyperlink>
    </w:p>
    <w:p>
      <w:pPr>
        <w:pStyle w:val="Para 004"/>
      </w:pPr>
      <w:r>
        <w:rPr>
          <w:rStyle w:val="Text2"/>
        </w:rPr>
        <w:t>object attributes</w:t>
        <w:t xml:space="preserve">, </w:t>
      </w:r>
      <w:hyperlink w:anchor="idm45965258687344">
        <w:r>
          <w:t>Object attributes and items</w:t>
        </w:r>
      </w:hyperlink>
    </w:p>
    <w:p>
      <w:pPr>
        <w:pStyle w:val="Para 003"/>
      </w:pPr>
      <w:r>
        <w:t>treatment by glob module</w:t>
        <w:t xml:space="preserve">, </w:t>
      </w:r>
      <w:hyperlink w:anchor="idm45965202288000">
        <w:r>
          <w:rPr>
            <w:rStyle w:val="Text1"/>
          </w:rPr>
          <w:t>The glob Module</w:t>
        </w:r>
      </w:hyperlink>
    </w:p>
    <w:p>
      <w:pPr>
        <w:pStyle w:val="Para 004"/>
      </w:pPr>
      <w:r>
        <w:rPr>
          <w:rStyle w:val="Text2"/>
        </w:rPr>
        <w:t>perm (math module)</w:t>
        <w:t xml:space="preserve">, </w:t>
      </w:r>
      <w:hyperlink w:anchor="idm45965187013008">
        <w:r>
          <w:t>The math and cmath Modules</w:t>
        </w:r>
      </w:hyperlink>
    </w:p>
    <w:p>
      <w:pPr>
        <w:pStyle w:val="Para 003"/>
      </w:pPr>
      <w:r>
        <w:t>permission bits</w:t>
        <w:t xml:space="preserve">, </w:t>
      </w:r>
      <w:hyperlink w:anchor="idm45965204463056">
        <w:r>
          <w:rPr>
            <w:rStyle w:val="Text1"/>
          </w:rPr>
          <w:t>Permissions</w:t>
        </w:r>
      </w:hyperlink>
    </w:p>
    <w:p>
      <w:pPr>
        <w:pStyle w:val="Para 003"/>
      </w:pPr>
      <w:r>
        <w:t>persistence and databases</w:t>
      </w:r>
    </w:p>
    <w:p>
      <w:pPr>
        <w:pStyle w:val="Para 004"/>
      </w:pPr>
      <w:r>
        <w:rPr>
          <w:rStyle w:val="Text2"/>
        </w:rPr>
        <w:t>DBM modules</w:t>
        <w:t xml:space="preserve">, </w:t>
      </w:r>
      <w:hyperlink w:anchor="PADdbm12">
        <w:r>
          <w:t>DBM Modules</w:t>
        </w:r>
      </w:hyperlink>
      <w:r>
        <w:rPr>
          <w:rStyle w:val="Text2"/>
        </w:rPr>
        <w:t>-</w:t>
      </w:r>
      <w:hyperlink w:anchor="idm45965198341168">
        <w:r>
          <w:t>Examples of DBM-Like File Use</w:t>
        </w:r>
      </w:hyperlink>
    </w:p>
    <w:p>
      <w:pPr>
        <w:pStyle w:val="Para 004"/>
      </w:pPr>
      <w:r>
        <w:rPr>
          <w:rStyle w:val="Text2"/>
        </w:rPr>
        <w:t>overview of</w:t>
        <w:t xml:space="preserve">, </w:t>
      </w:r>
      <w:hyperlink w:anchor="idm45965200562096">
        <w:r>
          <w:t>Persistence and Databases</w:t>
        </w:r>
      </w:hyperlink>
    </w:p>
    <w:p>
      <w:pPr>
        <w:pStyle w:val="Para 004"/>
      </w:pPr>
      <w:r>
        <w:rPr>
          <w:rStyle w:val="Text2"/>
        </w:rPr>
        <w:t>Python Database API 2.0 standard (DBAPI)</w:t>
        <w:t xml:space="preserve">, </w:t>
      </w:r>
      <w:hyperlink w:anchor="PADdstand12">
        <w:r>
          <w:t>The Python Database API (DBAPI)</w:t>
        </w:r>
      </w:hyperlink>
      <w:r>
        <w:rPr>
          <w:rStyle w:val="Text2"/>
        </w:rPr>
        <w:t>-</w:t>
      </w:r>
      <w:hyperlink w:anchor="idm45965197162608">
        <w:r>
          <w:t>A sqlite3 example</w:t>
        </w:r>
      </w:hyperlink>
    </w:p>
    <w:p>
      <w:pPr>
        <w:pStyle w:val="Para 004"/>
      </w:pPr>
      <w:r>
        <w:rPr>
          <w:rStyle w:val="Text2"/>
        </w:rPr>
        <w:t>serialization</w:t>
        <w:t xml:space="preserve">, </w:t>
      </w:r>
      <w:hyperlink w:anchor="PADserial12">
        <w:r>
          <w:t>Serialization</w:t>
        </w:r>
      </w:hyperlink>
      <w:r>
        <w:rPr>
          <w:rStyle w:val="Text2"/>
        </w:rPr>
        <w:t>-</w:t>
      </w:r>
      <w:hyperlink w:anchor="idm45965198624512">
        <w:r>
          <w:t>A shelving example</w:t>
        </w:r>
      </w:hyperlink>
    </w:p>
    <w:p>
      <w:pPr>
        <w:pStyle w:val="Para 004"/>
      </w:pPr>
      <w:r>
        <w:rPr>
          <w:rStyle w:val="Text2"/>
        </w:rPr>
        <w:t>phase (cmath module)</w:t>
        <w:t xml:space="preserve">, </w:t>
      </w:r>
      <w:hyperlink w:anchor="idm45965186992064">
        <w:r>
          <w:t>The math and cmath Modules</w:t>
        </w:r>
      </w:hyperlink>
    </w:p>
    <w:p>
      <w:pPr>
        <w:pStyle w:val="Para 004"/>
      </w:pPr>
      <w:r>
        <w:rPr>
          <w:rStyle w:val="Text2"/>
        </w:rPr>
        <w:t>physical lines</w:t>
        <w:t xml:space="preserve">, </w:t>
      </w:r>
      <w:hyperlink w:anchor="idm45965274428000">
        <w:r>
          <w:t>Lines and Indentation</w:t>
        </w:r>
      </w:hyperlink>
    </w:p>
    <w:p>
      <w:pPr>
        <w:pStyle w:val="Para 004"/>
      </w:pPr>
      <w:r>
        <w:rPr>
          <w:rStyle w:val="Text2"/>
        </w:rPr>
        <w:t>pickle module</w:t>
        <w:t xml:space="preserve">, </w:t>
      </w:r>
      <w:hyperlink w:anchor="picmod12">
        <w:r>
          <w:t>The pickle Module</w:t>
        </w:r>
      </w:hyperlink>
      <w:r>
        <w:rPr>
          <w:rStyle w:val="Text2"/>
        </w:rPr>
        <w:t>-</w:t>
      </w:r>
      <w:hyperlink w:anchor="idm45965199094400">
        <w:r>
          <w:t>Pickling customization with the copyreg module</w:t>
        </w:r>
      </w:hyperlink>
    </w:p>
    <w:p>
      <w:pPr>
        <w:pStyle w:val="Para 004"/>
      </w:pPr>
      <w:r>
        <w:rPr>
          <w:rStyle w:val="Text2"/>
        </w:rPr>
        <w:t>pipenv package</w:t>
        <w:t xml:space="preserve">, </w:t>
      </w:r>
      <w:hyperlink w:anchor="idm45965216856560">
        <w:r>
          <w:t>Other Environment Management Solutions</w:t>
        </w:r>
      </w:hyperlink>
    </w:p>
    <w:p>
      <w:pPr>
        <w:pStyle w:val="Para 004"/>
      </w:pPr>
      <w:r>
        <w:rPr>
          <w:rStyle w:val="Text2"/>
        </w:rPr>
        <w:t>pipes</w:t>
        <w:t xml:space="preserve">, </w:t>
      </w:r>
      <w:hyperlink w:anchor="idm45965193656832">
        <w:r>
          <w:t>Concurrency: Threads and Processes</w:t>
        </w:r>
      </w:hyperlink>
    </w:p>
    <w:p>
      <w:pPr>
        <w:pStyle w:val="Para 003"/>
      </w:pPr>
      <w:r>
        <w:t>placeholders</w:t>
        <w:t xml:space="preserve">, </w:t>
      </w:r>
      <w:hyperlink w:anchor="idm45965169453776">
        <w:r>
          <w:rPr>
            <w:rStyle w:val="Text1"/>
          </w:rPr>
          <w:t>Templating</w:t>
        </w:r>
      </w:hyperlink>
    </w:p>
    <w:p>
      <w:pPr>
        <w:pStyle w:val="Para 003"/>
      </w:pPr>
      <w:r>
        <w:t>plain assignment statements</w:t>
        <w:t xml:space="preserve">, </w:t>
      </w:r>
      <w:hyperlink w:anchor="idm45965258633536">
        <w:r>
          <w:rPr>
            <w:rStyle w:val="Text1"/>
          </w:rPr>
          <w:t>Plain assignment</w:t>
        </w:r>
      </w:hyperlink>
    </w:p>
    <w:p>
      <w:pPr>
        <w:pStyle w:val="Para 003"/>
      </w:pPr>
      <w:r>
        <w:t>platform (sys module)</w:t>
        <w:t xml:space="preserve">, </w:t>
      </w:r>
      <w:hyperlink w:anchor="idm45965214949520">
        <w:r>
          <w:rPr>
            <w:rStyle w:val="Text1"/>
          </w:rPr>
          <w:t>The sys Module</w:t>
        </w:r>
      </w:hyperlink>
    </w:p>
    <w:p>
      <w:pPr>
        <w:pStyle w:val="Para 004"/>
      </w:pPr>
      <w:r>
        <w:rPr>
          <w:rStyle w:val="Text2"/>
        </w:rPr>
        <w:t>plus sign (+)</w:t>
        <w:t xml:space="preserve">, </w:t>
      </w:r>
      <w:hyperlink w:anchor="idm45965276125568">
        <w:r>
          <w:t>Concatenation and repetition</w:t>
        </w:r>
      </w:hyperlink>
    </w:p>
    <w:p>
      <w:pPr>
        <w:pStyle w:val="Para 004"/>
      </w:pPr>
      <w:r>
        <w:rPr>
          <w:rStyle w:val="Text2"/>
        </w:rPr>
        <w:t>polar (cmath module)</w:t>
        <w:t xml:space="preserve">, </w:t>
      </w:r>
      <w:hyperlink w:anchor="idm45965186980080">
        <w:r>
          <w:t>The math and cmath Modules</w:t>
        </w:r>
      </w:hyperlink>
    </w:p>
    <w:p>
      <w:pPr>
        <w:pStyle w:val="Para 004"/>
      </w:pPr>
      <w:r>
        <w:rPr>
          <w:rStyle w:val="Text2"/>
        </w:rPr>
        <w:t>polling</w:t>
        <w:t xml:space="preserve">, </w:t>
      </w:r>
      <w:hyperlink w:anchor="idm45965189570208">
        <w:r>
          <w:t>Threaded Program Architecture</w:t>
        </w:r>
      </w:hyperlink>
    </w:p>
    <w:p>
      <w:pPr>
        <w:pStyle w:val="Para 004"/>
      </w:pPr>
      <w:r>
        <w:rPr>
          <w:rStyle w:val="Text2"/>
        </w:rPr>
        <w:t>polymorphism</w:t>
        <w:t xml:space="preserve">, </w:t>
      </w:r>
      <w:hyperlink w:anchor="idm45965205951184">
        <w:r>
          <w:t>File-Like Objects and Polymorphism</w:t>
        </w:r>
      </w:hyperlink>
    </w:p>
    <w:p>
      <w:pPr>
        <w:pStyle w:val="Para 003"/>
      </w:pPr>
      <w:r>
        <w:t>Pool class (multiprocessing module)</w:t>
        <w:t xml:space="preserve">, </w:t>
      </w:r>
      <w:hyperlink w:anchor="idm45965191042336">
        <w:r>
          <w:rPr>
            <w:rStyle w:val="Text1"/>
          </w:rPr>
          <w:t>Process Pools</w:t>
        </w:r>
      </w:hyperlink>
    </w:p>
    <w:p>
      <w:pPr>
        <w:pStyle w:val="Para 003"/>
      </w:pPr>
      <w:r>
        <w:t>pop method</w:t>
      </w:r>
    </w:p>
    <w:p>
      <w:pPr>
        <w:pStyle w:val="Para 004"/>
      </w:pPr>
      <w:r>
        <w:rPr>
          <w:rStyle w:val="Text2"/>
        </w:rPr>
        <w:t>dict type</w:t>
        <w:t xml:space="preserve">, </w:t>
      </w:r>
      <w:hyperlink w:anchor="idm45965283458032">
        <w:r>
          <w:t>Dictionary Methods</w:t>
        </w:r>
      </w:hyperlink>
    </w:p>
    <w:p>
      <w:pPr>
        <w:pStyle w:val="Para 004"/>
      </w:pPr>
      <w:r>
        <w:rPr>
          <w:rStyle w:val="Text2"/>
        </w:rPr>
        <w:t>list type</w:t>
        <w:t xml:space="preserve">, </w:t>
      </w:r>
      <w:hyperlink w:anchor="idm45965278789344">
        <w:r>
          <w:t>List methods</w:t>
        </w:r>
      </w:hyperlink>
    </w:p>
    <w:p>
      <w:pPr>
        <w:pStyle w:val="Para 004"/>
      </w:pPr>
      <w:r>
        <w:rPr>
          <w:rStyle w:val="Text2"/>
        </w:rPr>
        <w:t>set type</w:t>
        <w:t xml:space="preserve">, </w:t>
      </w:r>
      <w:hyperlink w:anchor="idm45965278505280">
        <w:r>
          <w:t>Set Methods</w:t>
        </w:r>
      </w:hyperlink>
    </w:p>
    <w:p>
      <w:pPr>
        <w:pStyle w:val="Para 003"/>
      </w:pPr>
      <w:r>
        <w:t>POP3 (Post Office Protocol version 3)</w:t>
        <w:t xml:space="preserve">, </w:t>
      </w:r>
      <w:hyperlink w:anchor="idm45965175954448">
        <w:r>
          <w:rPr>
            <w:rStyle w:val="Text1"/>
          </w:rPr>
          <w:t>Email Protocols</w:t>
        </w:r>
      </w:hyperlink>
    </w:p>
    <w:p>
      <w:pPr>
        <w:pStyle w:val="Para 004"/>
      </w:pPr>
      <w:r>
        <w:rPr>
          <w:rStyle w:val="Text2"/>
        </w:rPr>
        <w:t>popen (os module)</w:t>
        <w:t xml:space="preserve">, </w:t>
      </w:r>
      <w:hyperlink w:anchor="idm45965188738416">
        <w:r>
          <w:t>Running Other Programs with the os Module</w:t>
        </w:r>
      </w:hyperlink>
    </w:p>
    <w:p>
      <w:pPr>
        <w:pStyle w:val="Para 003"/>
      </w:pPr>
      <w:r>
        <w:t>Popen class (subprocess module)</w:t>
        <w:t xml:space="preserve">, </w:t>
      </w:r>
      <w:hyperlink w:anchor="idm45965188943520">
        <w:r>
          <w:rPr>
            <w:rStyle w:val="Text1"/>
          </w:rPr>
          <w:t>Using the Subprocess Module</w:t>
        </w:r>
      </w:hyperlink>
    </w:p>
    <w:p>
      <w:pPr>
        <w:pStyle w:val="Para 003"/>
      </w:pPr>
      <w:r>
        <w:t>popitem (dict method)</w:t>
        <w:t xml:space="preserve">, </w:t>
      </w:r>
      <w:hyperlink w:anchor="idm45965283447840">
        <w:r>
          <w:rPr>
            <w:rStyle w:val="Text1"/>
          </w:rPr>
          <w:t>Dictionary Methods</w:t>
        </w:r>
      </w:hyperlink>
    </w:p>
    <w:p>
      <w:pPr>
        <w:pStyle w:val="Para 004"/>
      </w:pPr>
      <w:r>
        <w:rPr>
          <w:rStyle w:val="Text2"/>
        </w:rPr>
        <w:t>poplib module</w:t>
        <w:t xml:space="preserve">, </w:t>
      </w:r>
      <w:hyperlink w:anchor="idm45965175934704">
        <w:r>
          <w:t>The poplib Module</w:t>
        </w:r>
      </w:hyperlink>
    </w:p>
    <w:p>
      <w:pPr>
        <w:pStyle w:val="Para 004"/>
      </w:pPr>
      <w:r>
        <w:rPr>
          <w:rStyle w:val="Text2"/>
        </w:rPr>
        <w:t>port numbers</w:t>
        <w:t xml:space="preserve">, </w:t>
      </w:r>
      <w:hyperlink w:anchor="idm45965177666704">
        <w:r>
          <w:t>The Berkeley Socket Interface</w:t>
        </w:r>
      </w:hyperlink>
    </w:p>
    <w:p>
      <w:pPr>
        <w:pStyle w:val="Para 003"/>
      </w:pPr>
      <w:r>
        <w:t>positional argument collector</w:t>
        <w:t xml:space="preserve">, </w:t>
      </w:r>
      <w:hyperlink w:anchor="idm45965262579968">
        <w:r>
          <w:rPr>
            <w:rStyle w:val="Text1"/>
          </w:rPr>
          <w:t>Positional argument collector</w:t>
        </w:r>
      </w:hyperlink>
    </w:p>
    <w:p>
      <w:pPr>
        <w:pStyle w:val="Para 004"/>
      </w:pPr>
      <w:r>
        <w:rPr>
          <w:rStyle w:val="Text2"/>
        </w:rPr>
        <w:t>positional arguments</w:t>
        <w:t xml:space="preserve">, </w:t>
      </w:r>
      <w:hyperlink w:anchor="idm45965263235872">
        <w:r>
          <w:t>Positional and named arguments</w:t>
        </w:r>
      </w:hyperlink>
    </w:p>
    <w:p>
      <w:pPr>
        <w:pStyle w:val="Para 004"/>
      </w:pPr>
      <w:r>
        <w:rPr>
          <w:rStyle w:val="Text2"/>
        </w:rPr>
        <w:t>positional matching</w:t>
        <w:t xml:space="preserve">, </w:t>
      </w:r>
      <w:hyperlink w:anchor="idm45965272326640">
        <w:r>
          <w:t>Configuring classes for positional matching</w:t>
        </w:r>
      </w:hyperlink>
    </w:p>
    <w:p>
      <w:pPr>
        <w:pStyle w:val="Para 003"/>
      </w:pPr>
      <w:r>
        <w:t>positional parameters</w:t>
        <w:t xml:space="preserve">, </w:t>
      </w:r>
      <w:hyperlink w:anchor="idm45965262636656">
        <w:r>
          <w:rPr>
            <w:rStyle w:val="Text1"/>
          </w:rPr>
          <w:t>Positional parameters</w:t>
        </w:r>
      </w:hyperlink>
    </w:p>
    <w:p>
      <w:pPr>
        <w:pStyle w:val="Para 003"/>
      </w:pPr>
      <w:r>
        <w:t>positional-only parameters</w:t>
        <w:t xml:space="preserve">, </w:t>
      </w:r>
      <w:hyperlink w:anchor="idm45965262601472">
        <w:r>
          <w:rPr>
            <w:rStyle w:val="Text1"/>
          </w:rPr>
          <w:t>Positional-only marker</w:t>
        </w:r>
      </w:hyperlink>
    </w:p>
    <w:p>
      <w:pPr>
        <w:pStyle w:val="Para 003"/>
      </w:pPr>
      <w:r>
        <w:t>positional-only marker (/)</w:t>
        <w:t xml:space="preserve">, </w:t>
      </w:r>
      <w:hyperlink w:anchor="idm45965262605056">
        <w:r>
          <w:rPr>
            <w:rStyle w:val="Text1"/>
          </w:rPr>
          <w:t>Positional-only marker</w:t>
        </w:r>
      </w:hyperlink>
    </w:p>
    <w:p>
      <w:pPr>
        <w:pStyle w:val="Para 003"/>
      </w:pPr>
      <w:r>
        <w:t>positive numbers</w:t>
        <w:t xml:space="preserve">, </w:t>
      </w:r>
      <w:hyperlink w:anchor="idm45965211146416">
        <w:r>
          <w:rPr>
            <w:rStyle w:val="Text1"/>
          </w:rPr>
          <w:t>Sign indication</w:t>
        </w:r>
      </w:hyperlink>
    </w:p>
    <w:p>
      <w:pPr>
        <w:pStyle w:val="Para 003"/>
      </w:pPr>
      <w:r>
        <w:t>Post Office Protocol version 3 (POP3)</w:t>
        <w:t xml:space="preserve">, </w:t>
      </w:r>
      <w:hyperlink w:anchor="idm45965175955520">
        <w:r>
          <w:rPr>
            <w:rStyle w:val="Text1"/>
          </w:rPr>
          <w:t>Email Protocols</w:t>
        </w:r>
      </w:hyperlink>
    </w:p>
    <w:p>
      <w:pPr>
        <w:pStyle w:val="Para 004"/>
      </w:pPr>
      <w:r>
        <w:rPr>
          <w:rStyle w:val="Text2"/>
        </w:rPr>
        <w:t>PostgreSQL modules</w:t>
        <w:t xml:space="preserve">, </w:t>
      </w:r>
      <w:hyperlink w:anchor="idm45965197441456">
        <w:r>
          <w:t>DBAPI-Compliant Modules</w:t>
        </w:r>
      </w:hyperlink>
    </w:p>
    <w:p>
      <w:pPr>
        <w:pStyle w:val="Para 003"/>
      </w:pPr>
      <w:r>
        <w:t>pow (built-in function)</w:t>
        <w:t xml:space="preserve">, </w:t>
      </w:r>
      <w:hyperlink w:anchor="idm45965215423856">
        <w:r>
          <w:rPr>
            <w:rStyle w:val="Text1"/>
          </w:rPr>
          <w:t>Built-in Functions</w:t>
        </w:r>
      </w:hyperlink>
    </w:p>
    <w:p>
      <w:pPr>
        <w:pStyle w:val="Para 004"/>
      </w:pPr>
      <w:r>
        <w:rPr>
          <w:rStyle w:val="Text2"/>
        </w:rPr>
        <w:t>pow (math module)</w:t>
        <w:t xml:space="preserve">, </w:t>
      </w:r>
      <w:hyperlink w:anchor="idm45965186965632">
        <w:r>
          <w:t>The math and cmath Modules</w:t>
        </w:r>
      </w:hyperlink>
    </w:p>
    <w:p>
      <w:pPr>
        <w:pStyle w:val="Para 004"/>
      </w:pPr>
      <w:r>
        <w:rPr>
          <w:rStyle w:val="Text2"/>
        </w:rPr>
        <w:t>pprint module</w:t>
        <w:t xml:space="preserve">, </w:t>
      </w:r>
      <w:hyperlink w:anchor="idm45965209425568">
        <w:r>
          <w:t>The pprint Module</w:t>
        </w:r>
      </w:hyperlink>
    </w:p>
    <w:p>
      <w:pPr>
        <w:pStyle w:val="Para 004"/>
      </w:pPr>
      <w:r>
        <w:rPr>
          <w:rStyle w:val="Text2"/>
        </w:rPr>
        <w:t>pre-commit package</w:t>
        <w:t xml:space="preserve">, </w:t>
      </w:r>
      <w:hyperlink w:anchor="idm45965276435920">
        <w:r>
          <w:t>Tools for Checking Python Programs</w:t>
        </w:r>
      </w:hyperlink>
    </w:p>
    <w:p>
      <w:pPr>
        <w:pStyle w:val="Para 003"/>
      </w:pPr>
      <w:r>
        <w:t>precision specification (f-strings)</w:t>
        <w:t xml:space="preserve">, </w:t>
      </w:r>
      <w:hyperlink w:anchor="idm45965210621920">
        <w:r>
          <w:rPr>
            <w:rStyle w:val="Text1"/>
          </w:rPr>
          <w:t>Precision specification</w:t>
        </w:r>
      </w:hyperlink>
    </w:p>
    <w:p>
      <w:pPr>
        <w:pStyle w:val="Para 004"/>
      </w:pPr>
      <w:r>
        <w:rPr>
          <w:rStyle w:val="Text2"/>
        </w:rPr>
        <w:t>price issues</w:t>
        <w:t xml:space="preserve">, </w:t>
      </w:r>
      <w:hyperlink w:anchor="idm45965258731552">
        <w:r>
          <w:t>Licensing and Price Issues</w:t>
        </w:r>
      </w:hyperlink>
    </w:p>
    <w:p>
      <w:pPr>
        <w:pStyle w:val="Para 004"/>
      </w:pPr>
      <w:r>
        <w:rPr>
          <w:rStyle w:val="Text2"/>
        </w:rPr>
        <w:t>print (built-in function)</w:t>
        <w:t xml:space="preserve">, </w:t>
      </w:r>
      <w:hyperlink w:anchor="idm45965215385072">
        <w:r>
          <w:t>Built-in Functions</w:t>
        </w:r>
      </w:hyperlink>
      <w:r>
        <w:rPr>
          <w:rStyle w:val="Text2"/>
        </w:rPr>
        <w:t xml:space="preserve">, </w:t>
      </w:r>
      <w:hyperlink w:anchor="idm45965201996784">
        <w:r>
          <w:t>The print Function</w:t>
        </w:r>
      </w:hyperlink>
    </w:p>
    <w:p>
      <w:pPr>
        <w:pStyle w:val="Para 003"/>
      </w:pPr>
      <w:r>
        <w:t>private versus public variables</w:t>
        <w:t xml:space="preserve">, </w:t>
      </w:r>
      <w:hyperlink w:anchor="idm45965254640736">
        <w:r>
          <w:rPr>
            <w:rStyle w:val="Text1"/>
          </w:rPr>
          <w:t>Module-private variables</w:t>
        </w:r>
      </w:hyperlink>
    </w:p>
    <w:p>
      <w:pPr>
        <w:pStyle w:val="Para 003"/>
      </w:pPr>
      <w:r>
        <w:t>procedural programming</w:t>
        <w:t xml:space="preserve">, </w:t>
      </w:r>
      <w:hyperlink w:anchor="idm45965258747328">
        <w:r>
          <w:rPr>
            <w:rStyle w:val="Text1"/>
          </w:rPr>
          <w:t>Object-Oriented Python</w:t>
        </w:r>
      </w:hyperlink>
    </w:p>
    <w:p>
      <w:pPr>
        <w:pStyle w:val="Para 003"/>
      </w:pPr>
      <w:r>
        <w:t>Process class (multiprocessing module)</w:t>
        <w:t xml:space="preserve">, </w:t>
      </w:r>
      <w:hyperlink w:anchor="idm45965191656048">
        <w:r>
          <w:rPr>
            <w:rStyle w:val="Text1"/>
          </w:rPr>
          <w:t>The Process class</w:t>
        </w:r>
      </w:hyperlink>
    </w:p>
    <w:p>
      <w:pPr>
        <w:pStyle w:val="Para 003"/>
      </w:pPr>
      <w:r>
        <w:t>process environment</w:t>
        <w:t xml:space="preserve">, </w:t>
      </w:r>
      <w:hyperlink w:anchor="idm45965189132736">
        <w:r>
          <w:rPr>
            <w:rStyle w:val="Text1"/>
          </w:rPr>
          <w:t>Process Environment</w:t>
        </w:r>
      </w:hyperlink>
    </w:p>
    <w:p>
      <w:pPr>
        <w:pStyle w:val="Para 003"/>
      </w:pPr>
      <w:r>
        <w:t>process pools</w:t>
        <w:t xml:space="preserve">, </w:t>
      </w:r>
      <w:hyperlink w:anchor="idm45965191043312">
        <w:r>
          <w:rPr>
            <w:rStyle w:val="Text1"/>
          </w:rPr>
          <w:t>Process Pools</w:t>
        </w:r>
      </w:hyperlink>
    </w:p>
    <w:p>
      <w:pPr>
        <w:pStyle w:val="Para 003"/>
      </w:pPr>
      <w:r>
        <w:t>processes, definition of term</w:t>
        <w:t xml:space="preserve">, </w:t>
      </w:r>
      <w:hyperlink w:anchor="idm45965193666992">
        <w:r>
          <w:rPr>
            <w:rStyle w:val="Text1"/>
          </w:rPr>
          <w:t>Concurrency: Threads and Processes</w:t>
        </w:r>
      </w:hyperlink>
      <w:r>
        <w:t xml:space="preserve"> (</w:t>
        <w:t>see</w:t>
        <w:t xml:space="preserve"> also threads and processes)</w:t>
      </w:r>
    </w:p>
    <w:p>
      <w:pPr>
        <w:pStyle w:val="Para 003"/>
      </w:pPr>
      <w:r>
        <w:t>process_time (time module)</w:t>
        <w:t xml:space="preserve">, </w:t>
      </w:r>
      <w:hyperlink w:anchor="idm45965196779648">
        <w:r>
          <w:rPr>
            <w:rStyle w:val="Text1"/>
          </w:rPr>
          <w:t>The time Module</w:t>
        </w:r>
      </w:hyperlink>
    </w:p>
    <w:p>
      <w:pPr>
        <w:pStyle w:val="Para 004"/>
      </w:pPr>
      <w:r>
        <w:rPr>
          <w:rStyle w:val="Text2"/>
        </w:rPr>
        <w:t>profile module</w:t>
        <w:t xml:space="preserve">, </w:t>
      </w:r>
      <w:hyperlink w:anchor="idm45965180688560">
        <w:r>
          <w:t>The profile module</w:t>
        </w:r>
      </w:hyperlink>
    </w:p>
    <w:p>
      <w:pPr>
        <w:pStyle w:val="Para 004"/>
      </w:pPr>
      <w:r>
        <w:rPr>
          <w:rStyle w:val="Text2"/>
        </w:rPr>
        <w:t>profiling</w:t>
        <w:t xml:space="preserve">, </w:t>
      </w:r>
      <w:hyperlink w:anchor="idm45965181071872">
        <w:r>
          <w:t>Developing a Fast-Enough Python Application</w:t>
        </w:r>
      </w:hyperlink>
      <w:r>
        <w:rPr>
          <w:rStyle w:val="Text2"/>
        </w:rPr>
        <w:t xml:space="preserve">, </w:t>
      </w:r>
      <w:hyperlink w:anchor="prof17">
        <w:r>
          <w:t>Profiling</w:t>
        </w:r>
      </w:hyperlink>
      <w:r>
        <w:rPr>
          <w:rStyle w:val="Text2"/>
        </w:rPr>
        <w:t>-</w:t>
      </w:r>
      <w:hyperlink w:anchor="idm45965180498512">
        <w:r>
          <w:t>The pstats module</w:t>
        </w:r>
      </w:hyperlink>
    </w:p>
    <w:p>
      <w:pPr>
        <w:pStyle w:val="Para 003"/>
      </w:pPr>
      <w:r>
        <w:t>programs</w:t>
      </w:r>
    </w:p>
    <w:p>
      <w:pPr>
        <w:pStyle w:val="Para 004"/>
      </w:pPr>
      <w:r>
        <w:rPr>
          <w:rStyle w:val="Text2"/>
        </w:rPr>
        <w:t>block structure of</w:t>
        <w:t xml:space="preserve">, </w:t>
      </w:r>
      <w:hyperlink w:anchor="idm45965274395888">
        <w:r>
          <w:t>Lines and Indentation</w:t>
        </w:r>
      </w:hyperlink>
    </w:p>
    <w:p>
      <w:pPr>
        <w:pStyle w:val="Para 004"/>
      </w:pPr>
      <w:r>
        <w:rPr>
          <w:rStyle w:val="Text2"/>
        </w:rPr>
        <w:t>CPU-bound programs</w:t>
        <w:t xml:space="preserve">, </w:t>
      </w:r>
      <w:hyperlink w:anchor="idm45965193598704">
        <w:r>
          <w:t>Concurrency: Threads and Processes</w:t>
        </w:r>
      </w:hyperlink>
    </w:p>
    <w:p>
      <w:pPr>
        <w:pStyle w:val="Para 004"/>
      </w:pPr>
      <w:r>
        <w:rPr>
          <w:rStyle w:val="Text2"/>
        </w:rPr>
        <w:t>I/O-bound programs</w:t>
        <w:t xml:space="preserve">, </w:t>
      </w:r>
      <w:hyperlink w:anchor="idm45965193607184">
        <w:r>
          <w:t>Concurrency: Threads and Processes</w:t>
        </w:r>
      </w:hyperlink>
      <w:r>
        <w:rPr>
          <w:rStyle w:val="Text2"/>
        </w:rPr>
        <w:t xml:space="preserve">, </w:t>
      </w:r>
      <w:hyperlink w:anchor="idm45965177709552">
        <w:r>
          <w:t>Optimizing I/O</w:t>
        </w:r>
      </w:hyperlink>
    </w:p>
    <w:p>
      <w:pPr>
        <w:pStyle w:val="Para 004"/>
      </w:pPr>
      <w:r>
        <w:rPr>
          <w:rStyle w:val="Text2"/>
        </w:rPr>
        <w:t>running</w:t>
        <w:t xml:space="preserve">, </w:t>
      </w:r>
      <w:hyperlink w:anchor="idm45965276426080">
        <w:r>
          <w:t>Running Python Programs</w:t>
        </w:r>
      </w:hyperlink>
    </w:p>
    <w:p>
      <w:pPr>
        <w:pStyle w:val="Para 004"/>
      </w:pPr>
      <w:r>
        <w:rPr>
          <w:rStyle w:val="Text2"/>
        </w:rPr>
        <w:t>running in browsers</w:t>
        <w:t xml:space="preserve">, </w:t>
      </w:r>
      <w:hyperlink w:anchor="idm45965278393008">
        <w:r>
          <w:t>Running Python in the Browser</w:t>
        </w:r>
      </w:hyperlink>
    </w:p>
    <w:p>
      <w:pPr>
        <w:pStyle w:val="Para 004"/>
      </w:pPr>
      <w:r>
        <w:rPr>
          <w:rStyle w:val="Text2"/>
        </w:rPr>
        <w:t>threaded program architecture</w:t>
        <w:t xml:space="preserve">, </w:t>
      </w:r>
      <w:hyperlink w:anchor="Pthread15">
        <w:r>
          <w:t>Threaded Program Architecture</w:t>
        </w:r>
      </w:hyperlink>
      <w:r>
        <w:rPr>
          <w:rStyle w:val="Text2"/>
        </w:rPr>
        <w:t>-</w:t>
      </w:r>
      <w:hyperlink w:anchor="idm45965189529664">
        <w:r>
          <w:t>Threaded Program Architecture</w:t>
        </w:r>
      </w:hyperlink>
    </w:p>
    <w:p>
      <w:pPr>
        <w:pStyle w:val="Para 004"/>
      </w:pPr>
      <w:r>
        <w:rPr>
          <w:rStyle w:val="Text2"/>
        </w:rPr>
        <w:t>tools for checking</w:t>
        <w:t xml:space="preserve">, </w:t>
      </w:r>
      <w:hyperlink w:anchor="idm45965276452224">
        <w:r>
          <w:t>Tools for Checking Python Programs</w:t>
        </w:r>
      </w:hyperlink>
      <w:r>
        <w:rPr>
          <w:rStyle w:val="Text2"/>
        </w:rPr>
        <w:t xml:space="preserve">, </w:t>
      </w:r>
      <w:hyperlink w:anchor="idm45965182426912">
        <w:r>
          <w:t>Before You Debug</w:t>
        </w:r>
      </w:hyperlink>
    </w:p>
    <w:p>
      <w:pPr>
        <w:pStyle w:val="Para 004"/>
      </w:pPr>
      <w:r>
        <w:rPr>
          <w:rStyle w:val="Text2"/>
        </w:rPr>
        <w:t>prompt (˃˃˃)</w:t>
        <w:t xml:space="preserve">, </w:t>
      </w:r>
      <w:hyperlink w:anchor="idm45965278340592">
        <w:r>
          <w:t>Interactive Sessions</w:t>
        </w:r>
      </w:hyperlink>
      <w:r>
        <w:rPr>
          <w:rStyle w:val="Text2"/>
        </w:rPr>
        <w:t xml:space="preserve">, </w:t>
      </w:r>
      <w:hyperlink w:anchor="idm45965281986416">
        <w:r>
          <w:t>Simple statements</w:t>
        </w:r>
      </w:hyperlink>
    </w:p>
    <w:p>
      <w:pPr>
        <w:pStyle w:val="Para 004"/>
      </w:pPr>
      <w:r>
        <w:rPr>
          <w:rStyle w:val="Text2"/>
        </w:rPr>
        <w:t>properties</w:t>
        <w:t xml:space="preserve">, </w:t>
      </w:r>
      <w:hyperlink w:anchor="prop04">
        <w:r>
          <w:t>Properties</w:t>
        </w:r>
      </w:hyperlink>
      <w:r>
        <w:rPr>
          <w:rStyle w:val="Text2"/>
        </w:rPr>
        <w:t>-</w:t>
      </w:r>
      <w:hyperlink w:anchor="idm45965265428416">
        <w:r>
          <w:t>Properties and inheritance</w:t>
        </w:r>
      </w:hyperlink>
    </w:p>
    <w:p>
      <w:pPr>
        <w:pStyle w:val="Para 004"/>
      </w:pPr>
      <w:r>
        <w:rPr>
          <w:rStyle w:val="Text2"/>
        </w:rPr>
        <w:t>protocol adapters</w:t>
        <w:t xml:space="preserve">, </w:t>
      </w:r>
      <w:hyperlink w:anchor="idm45965175343168">
        <w:r>
          <w:t>The Third-Party requests Package</w:t>
        </w:r>
      </w:hyperlink>
    </w:p>
    <w:p>
      <w:pPr>
        <w:pStyle w:val="Para 003"/>
      </w:pPr>
      <w:r>
        <w:t>proxy (weakref module)</w:t>
        <w:t xml:space="preserve">, </w:t>
      </w:r>
      <w:hyperlink w:anchor="idm45965193845872">
        <w:r>
          <w:rPr>
            <w:rStyle w:val="Text1"/>
          </w:rPr>
          <w:t>The weakref Module</w:t>
        </w:r>
      </w:hyperlink>
    </w:p>
    <w:p>
      <w:pPr>
        <w:pStyle w:val="Para 004"/>
      </w:pPr>
      <w:r>
        <w:rPr>
          <w:rStyle w:val="Text2"/>
        </w:rPr>
        <w:t>pseudorandom numbers</w:t>
        <w:t xml:space="preserve">, </w:t>
      </w:r>
      <w:hyperlink w:anchor="pseudoran16">
        <w:r>
          <w:t>Random and Pseudorandom Numbers</w:t>
        </w:r>
      </w:hyperlink>
      <w:r>
        <w:rPr>
          <w:rStyle w:val="Text2"/>
        </w:rPr>
        <w:t>-</w:t>
      </w:r>
      <w:hyperlink w:anchor="idm45965186254224">
        <w:r>
          <w:t>Crypto-Quality Random Numbers: The secrets Module</w:t>
        </w:r>
      </w:hyperlink>
      <w:r>
        <w:rPr>
          <w:rStyle w:val="Text2"/>
        </w:rPr>
        <w:t xml:space="preserve">, </w:t>
      </w:r>
      <w:hyperlink w:anchor="idm45965182825200">
        <w:r>
          <w:t>Unit tests dealing with large amounts of data</w:t>
        </w:r>
      </w:hyperlink>
    </w:p>
    <w:p>
      <w:pPr>
        <w:pStyle w:val="Para 004"/>
      </w:pPr>
      <w:r>
        <w:rPr>
          <w:rStyle w:val="Text2"/>
        </w:rPr>
        <w:t>pstats module</w:t>
        <w:t xml:space="preserve">, </w:t>
      </w:r>
      <w:hyperlink w:anchor="pstatmod17">
        <w:r>
          <w:t>The pstats module</w:t>
        </w:r>
      </w:hyperlink>
      <w:r>
        <w:rPr>
          <w:rStyle w:val="Text2"/>
        </w:rPr>
        <w:t>-</w:t>
      </w:r>
      <w:hyperlink w:anchor="idm45965180496272">
        <w:r>
          <w:t>The pstats module</w:t>
        </w:r>
      </w:hyperlink>
    </w:p>
    <w:p>
      <w:pPr>
        <w:pStyle w:val="Para 003"/>
      </w:pPr>
      <w:r>
        <w:t>pudb debugger</w:t>
        <w:t xml:space="preserve">, </w:t>
      </w:r>
      <w:hyperlink w:anchor="idm45965181350848">
        <w:r>
          <w:rPr>
            <w:rStyle w:val="Text1"/>
          </w:rPr>
          <w:t>pudb</w:t>
        </w:r>
      </w:hyperlink>
    </w:p>
    <w:p>
      <w:pPr>
        <w:pStyle w:val="Para 003"/>
      </w:pPr>
      <w:r>
        <w:t>py launcher (Windows)</w:t>
        <w:t xml:space="preserve">, </w:t>
      </w:r>
      <w:hyperlink w:anchor="idm45965265740304">
        <w:r>
          <w:rPr>
            <w:rStyle w:val="Text1"/>
          </w:rPr>
          <w:t>The Windows py Launcher</w:t>
        </w:r>
      </w:hyperlink>
    </w:p>
    <w:p>
      <w:pPr>
        <w:pStyle w:val="Para 004"/>
      </w:pPr>
      <w:r>
        <w:rPr>
          <w:rStyle w:val="Text2"/>
        </w:rPr>
        <w:t>pydantic</w:t>
        <w:t xml:space="preserve">, </w:t>
      </w:r>
      <w:hyperlink w:anchor="idm45965269195136">
        <w:r>
          <w:t>Other Type Checkers</w:t>
        </w:r>
      </w:hyperlink>
      <w:r>
        <w:rPr>
          <w:rStyle w:val="Text2"/>
        </w:rPr>
        <w:t xml:space="preserve">, </w:t>
      </w:r>
      <w:hyperlink w:anchor="idm45965174455952">
        <w:r>
          <w:t>FastAPI</w:t>
        </w:r>
      </w:hyperlink>
    </w:p>
    <w:p>
      <w:pPr>
        <w:pStyle w:val="Para 004"/>
      </w:pPr>
      <w:r>
        <w:rPr>
          <w:rStyle w:val="Text2"/>
        </w:rPr>
        <w:t>pyenv</w:t>
        <w:t xml:space="preserve">, </w:t>
      </w:r>
      <w:hyperlink w:anchor="idm45965258106592">
        <w:r>
          <w:t>pyenv: Simple support for multiple versions</w:t>
        </w:r>
      </w:hyperlink>
    </w:p>
    <w:p>
      <w:pPr>
        <w:pStyle w:val="Para 004"/>
      </w:pPr>
      <w:r>
        <w:rPr>
          <w:rStyle w:val="Text2"/>
        </w:rPr>
        <w:t>pyflakes tool</w:t>
        <w:t xml:space="preserve">, </w:t>
      </w:r>
      <w:hyperlink w:anchor="idm45965276449600">
        <w:r>
          <w:t>Tools for Checking Python Programs</w:t>
        </w:r>
      </w:hyperlink>
    </w:p>
    <w:p>
      <w:pPr>
        <w:pStyle w:val="Para 004"/>
      </w:pPr>
      <w:r>
        <w:rPr>
          <w:rStyle w:val="Text2"/>
        </w:rPr>
        <w:t>pyftpdlib module</w:t>
        <w:t xml:space="preserve">, </w:t>
      </w:r>
      <w:hyperlink w:anchor="idm45965175760464">
        <w:r>
          <w:t>HTTP and URL Clients</w:t>
        </w:r>
      </w:hyperlink>
    </w:p>
    <w:p>
      <w:pPr>
        <w:pStyle w:val="Para 004"/>
      </w:pPr>
      <w:r>
        <w:rPr>
          <w:rStyle w:val="Text2"/>
        </w:rPr>
        <w:t>PyICU</w:t>
        <w:t xml:space="preserve">, </w:t>
      </w:r>
      <w:hyperlink w:anchor="idm45965200591008">
        <w:r>
          <w:t>More Internationalization Resources</w:t>
        </w:r>
      </w:hyperlink>
    </w:p>
    <w:p>
      <w:pPr>
        <w:pStyle w:val="Para 003"/>
      </w:pPr>
      <w:r>
        <w:t>Pyjion</w:t>
        <w:t xml:space="preserve">, </w:t>
      </w:r>
      <w:hyperlink w:anchor="idm45965283420368">
        <w:r>
          <w:rPr>
            <w:rStyle w:val="Text1"/>
          </w:rPr>
          <w:t>Pyjion</w:t>
        </w:r>
      </w:hyperlink>
    </w:p>
    <w:p>
      <w:pPr>
        <w:pStyle w:val="Para 004"/>
      </w:pPr>
      <w:r>
        <w:rPr>
          <w:rStyle w:val="Text2"/>
        </w:rPr>
        <w:t>Pylance</w:t>
        <w:t xml:space="preserve">, </w:t>
      </w:r>
      <w:hyperlink w:anchor="idm45965269190800">
        <w:r>
          <w:t>Other Type Checkers</w:t>
        </w:r>
      </w:hyperlink>
    </w:p>
    <w:p>
      <w:pPr>
        <w:pStyle w:val="Para 004"/>
      </w:pPr>
      <w:r>
        <w:rPr>
          <w:rStyle w:val="Text2"/>
        </w:rPr>
        <w:t>PyPA (Python Packaging Authority)</w:t>
        <w:t xml:space="preserve">, </w:t>
      </w:r>
      <w:hyperlink w:anchor="idm45965284038608">
        <w:r>
          <w:t>Workgroups</w:t>
        </w:r>
      </w:hyperlink>
      <w:r>
        <w:rPr>
          <w:rStyle w:val="Text2"/>
        </w:rPr>
        <w:t xml:space="preserve">, </w:t>
      </w:r>
      <w:hyperlink w:anchor="idm45965162875312">
        <w:r>
          <w:t>Packaging Programs and Extensions</w:t>
        </w:r>
      </w:hyperlink>
    </w:p>
    <w:p>
      <w:pPr>
        <w:pStyle w:val="Para 004"/>
      </w:pPr>
      <w:r>
        <w:rPr>
          <w:rStyle w:val="Text2"/>
        </w:rPr>
        <w:t>PyPI (Python Package Index)</w:t>
        <w:t xml:space="preserve">, </w:t>
      </w:r>
      <w:hyperlink w:anchor="idm45965278364784">
        <w:r>
          <w:t>Extension modules and Python sources</w:t>
        </w:r>
      </w:hyperlink>
      <w:r>
        <w:rPr>
          <w:rStyle w:val="Text2"/>
        </w:rPr>
        <w:t xml:space="preserve">, </w:t>
      </w:r>
      <w:hyperlink w:anchor="idm45965176003216">
        <w:r>
          <w:t>Client-Side Network Protocol Modules</w:t>
        </w:r>
      </w:hyperlink>
    </w:p>
    <w:p>
      <w:pPr>
        <w:pStyle w:val="Para 004"/>
      </w:pPr>
      <w:r>
        <w:rPr>
          <w:rStyle w:val="Text2"/>
        </w:rPr>
        <w:t>PyPy</w:t>
        <w:t xml:space="preserve">, </w:t>
      </w:r>
      <w:hyperlink w:anchor="idm45965264051040">
        <w:r>
          <w:t>PyPy</w:t>
        </w:r>
      </w:hyperlink>
      <w:r>
        <w:rPr>
          <w:rStyle w:val="Text2"/>
        </w:rPr>
        <w:t xml:space="preserve">, </w:t>
      </w:r>
      <w:hyperlink w:anchor="idm45965278380592">
        <w:r>
          <w:t>Documentation</w:t>
        </w:r>
      </w:hyperlink>
      <w:r>
        <w:rPr>
          <w:rStyle w:val="Text2"/>
        </w:rPr>
        <w:t xml:space="preserve">, </w:t>
      </w:r>
      <w:hyperlink w:anchor="idm45965265701680">
        <w:r>
          <w:t>The PyPy Interpreter</w:t>
        </w:r>
      </w:hyperlink>
    </w:p>
    <w:p>
      <w:pPr>
        <w:pStyle w:val="Para 004"/>
      </w:pPr>
      <w:r>
        <w:rPr>
          <w:rStyle w:val="Text2"/>
        </w:rPr>
        <w:t>Pyramid</w:t>
        <w:t xml:space="preserve">, </w:t>
      </w:r>
      <w:hyperlink w:anchor="idm45965174873296">
        <w:r>
          <w:t>A Few Popular Full-Stack Frameworks</w:t>
        </w:r>
      </w:hyperlink>
    </w:p>
    <w:p>
      <w:pPr>
        <w:pStyle w:val="Para 004"/>
      </w:pPr>
      <w:r>
        <w:rPr>
          <w:rStyle w:val="Text2"/>
        </w:rPr>
        <w:t>Pyre</w:t>
        <w:t xml:space="preserve">, </w:t>
      </w:r>
      <w:hyperlink w:anchor="idm45965269187984">
        <w:r>
          <w:t>Other Type Checkers</w:t>
        </w:r>
      </w:hyperlink>
    </w:p>
    <w:p>
      <w:pPr>
        <w:pStyle w:val="Para 004"/>
      </w:pPr>
      <w:r>
        <w:rPr>
          <w:rStyle w:val="Text2"/>
        </w:rPr>
        <w:t>Pyright</w:t>
        <w:t xml:space="preserve">, </w:t>
      </w:r>
      <w:hyperlink w:anchor="idm45965269184160">
        <w:r>
          <w:t>Other Type Checkers</w:t>
        </w:r>
      </w:hyperlink>
    </w:p>
    <w:p>
      <w:pPr>
        <w:pStyle w:val="Para 003"/>
      </w:pPr>
      <w:r>
        <w:t>PyScript</w:t>
        <w:t xml:space="preserve">, </w:t>
      </w:r>
      <w:hyperlink w:anchor="idm45965278388144">
        <w:r>
          <w:rPr>
            <w:rStyle w:val="Text1"/>
          </w:rPr>
          <w:t>PyScript</w:t>
        </w:r>
      </w:hyperlink>
    </w:p>
    <w:p>
      <w:pPr>
        <w:pStyle w:val="Para 004"/>
      </w:pPr>
      <w:r>
        <w:rPr>
          <w:rStyle w:val="Text2"/>
        </w:rPr>
        <w:t>pysnmp module</w:t>
        <w:t xml:space="preserve">, </w:t>
      </w:r>
      <w:hyperlink w:anchor="idm45965174972672">
        <w:r>
          <w:t>Other Network Protocols</w:t>
        </w:r>
      </w:hyperlink>
    </w:p>
    <w:p>
      <w:pPr>
        <w:pStyle w:val="Para 004"/>
      </w:pPr>
      <w:r>
        <w:rPr>
          <w:rStyle w:val="Text2"/>
        </w:rPr>
        <w:t>pytest package</w:t>
        <w:t xml:space="preserve">, </w:t>
      </w:r>
      <w:hyperlink w:anchor="idm45965182705424">
        <w:r>
          <w:t>Testing with pytest</w:t>
        </w:r>
      </w:hyperlink>
    </w:p>
    <w:p>
      <w:pPr>
        <w:pStyle w:val="Para 004"/>
      </w:pPr>
      <w:r>
        <w:rPr>
          <w:rStyle w:val="Text2"/>
        </w:rPr>
        <w:t>Pythex site</w:t>
        <w:t xml:space="preserve">, </w:t>
      </w:r>
      <w:hyperlink w:anchor="idm45965209109840">
        <w:r>
          <w:t>Regular Expressions and the re Module</w:t>
        </w:r>
      </w:hyperlink>
    </w:p>
    <w:p>
      <w:pPr>
        <w:pStyle w:val="Para 003"/>
      </w:pPr>
      <w:r>
        <w:t>Python</w:t>
      </w:r>
    </w:p>
    <w:p>
      <w:pPr>
        <w:pStyle w:val="Para 004"/>
      </w:pPr>
      <w:r>
        <w:rPr>
          <w:rStyle w:val="Text2"/>
        </w:rPr>
        <w:t>chapter overviews</w:t>
        <w:t xml:space="preserve">, </w:t>
      </w:r>
      <w:hyperlink w:anchor="idm45965284108752">
        <w:r>
          <w:t>How To Use This Book</w:t>
        </w:r>
      </w:hyperlink>
    </w:p>
    <w:p>
      <w:pPr>
        <w:pStyle w:val="Para 004"/>
      </w:pPr>
      <w:r>
        <w:rPr>
          <w:rStyle w:val="Text2"/>
        </w:rPr>
        <w:t>development and versions</w:t>
        <w:t xml:space="preserve">, </w:t>
      </w:r>
      <w:hyperlink w:anchor="idm45965258720272">
        <w:r>
          <w:t>Python Development and Versions</w:t>
        </w:r>
      </w:hyperlink>
    </w:p>
    <w:p>
      <w:pPr>
        <w:pStyle w:val="Para 004"/>
      </w:pPr>
      <w:r>
        <w:rPr>
          <w:rStyle w:val="Text2"/>
        </w:rPr>
        <w:t>extending and embedding</w:t>
        <w:t xml:space="preserve">, </w:t>
      </w:r>
      <w:hyperlink w:anchor="Pextend25">
        <w:r>
          <w:t>Extending and Embedding Classic Python</w:t>
        </w:r>
      </w:hyperlink>
      <w:r>
        <w:rPr>
          <w:rStyle w:val="Text2"/>
        </w:rPr>
        <w:t>-</w:t>
      </w:r>
      <w:hyperlink w:anchor="idm45965162777440">
        <w:r>
          <w:t>Online Material</w:t>
        </w:r>
      </w:hyperlink>
    </w:p>
    <w:p>
      <w:pPr>
        <w:pStyle w:val="Para 004"/>
      </w:pPr>
      <w:r>
        <w:rPr>
          <w:rStyle w:val="Text2"/>
        </w:rPr>
        <w:t>implementations of</w:t>
        <w:t xml:space="preserve">, </w:t>
      </w:r>
      <w:hyperlink w:anchor="PLimp01">
        <w:r>
          <w:t>Python Implementations</w:t>
        </w:r>
      </w:hyperlink>
      <w:r>
        <w:rPr>
          <w:rStyle w:val="Text2"/>
        </w:rPr>
        <w:t>-</w:t>
      </w:r>
      <w:hyperlink w:anchor="idm45965258737520">
        <w:r>
          <w:t>Transcrypt: Convert your Python to JavaScript</w:t>
        </w:r>
      </w:hyperlink>
    </w:p>
    <w:p>
      <w:pPr>
        <w:pStyle w:val="Para 004"/>
      </w:pPr>
      <w:r>
        <w:rPr>
          <w:rStyle w:val="Text2"/>
        </w:rPr>
        <w:t>installation</w:t>
        <w:t xml:space="preserve">, </w:t>
      </w:r>
      <w:hyperlink w:anchor="PLinstall01">
        <w:r>
          <w:t>Installation</w:t>
        </w:r>
      </w:hyperlink>
      <w:r>
        <w:rPr>
          <w:rStyle w:val="Text2"/>
        </w:rPr>
        <w:t>-</w:t>
      </w:r>
      <w:hyperlink w:anchor="idm45965284278176">
        <w:r>
          <w:t>Installing after the build</w:t>
        </w:r>
      </w:hyperlink>
    </w:p>
    <w:p>
      <w:pPr>
        <w:pStyle w:val="Para 004"/>
      </w:pPr>
      <w:r>
        <w:rPr>
          <w:rStyle w:val="Text2"/>
        </w:rPr>
        <w:t>introduction to</w:t>
        <w:t xml:space="preserve">, </w:t>
      </w:r>
      <w:hyperlink w:anchor="PLintro01">
        <w:r>
          <w:t>Introduction to Python</w:t>
        </w:r>
      </w:hyperlink>
      <w:r>
        <w:rPr>
          <w:rStyle w:val="Text2"/>
        </w:rPr>
        <w:t>-</w:t>
      </w:r>
      <w:hyperlink w:anchor="idm45965283907520">
        <w:r>
          <w:t>The Python Language</w:t>
        </w:r>
      </w:hyperlink>
    </w:p>
    <w:p>
      <w:pPr>
        <w:pStyle w:val="Para 003"/>
      </w:pPr>
      <w:r>
        <w:t>licensing and price issues</w:t>
        <w:t xml:space="preserve">, </w:t>
      </w:r>
      <w:hyperlink w:anchor="idm45965258734080">
        <w:r>
          <w:rPr>
            <w:rStyle w:val="Text1"/>
          </w:rPr>
          <w:t>Licensing and Price Issues</w:t>
        </w:r>
      </w:hyperlink>
    </w:p>
    <w:p>
      <w:pPr>
        <w:pStyle w:val="Para 004"/>
      </w:pPr>
      <w:r>
        <w:rPr>
          <w:rStyle w:val="Text2"/>
        </w:rPr>
        <w:t>resources</w:t>
        <w:t xml:space="preserve">, </w:t>
      </w:r>
      <w:hyperlink w:anchor="PLresource01">
        <w:r>
          <w:t>Python Resources</w:t>
        </w:r>
      </w:hyperlink>
      <w:r>
        <w:rPr>
          <w:rStyle w:val="Text2"/>
        </w:rPr>
        <w:t>-</w:t>
      </w:r>
      <w:hyperlink w:anchor="idm45965283813648">
        <w:r>
          <w:t>Social media</w:t>
        </w:r>
      </w:hyperlink>
    </w:p>
    <w:p>
      <w:pPr>
        <w:pStyle w:val="Para 004"/>
      </w:pPr>
      <w:r>
        <w:rPr>
          <w:rStyle w:val="Text2"/>
        </w:rPr>
        <w:t>significant changes through 3.11</w:t>
        <w:t xml:space="preserve">, </w:t>
      </w:r>
      <w:hyperlink w:anchor="Pchange26">
        <w:r>
          <w:t>Significant Changes in Python Through 3.11</w:t>
        </w:r>
      </w:hyperlink>
      <w:r>
        <w:rPr>
          <w:rStyle w:val="Text2"/>
        </w:rPr>
        <w:t>-</w:t>
      </w:r>
      <w:hyperlink w:anchor="idm45965162607984">
        <w:r>
          <w:t>Significant Changes in Python Through 3.11</w:t>
        </w:r>
      </w:hyperlink>
      <w:r>
        <w:rPr>
          <w:rStyle w:val="Text2"/>
        </w:rPr>
        <w:t xml:space="preserve">, </w:t>
      </w:r>
      <w:hyperlink w:anchor="Psigch27">
        <w:r>
          <w:t>New Features and Changes in Python 3.7 Through 3.11</w:t>
        </w:r>
      </w:hyperlink>
      <w:r>
        <w:rPr>
          <w:rStyle w:val="Text2"/>
        </w:rPr>
        <w:t>-</w:t>
      </w:r>
      <w:hyperlink w:anchor="idm45965160900176">
        <w:r>
          <w:t>Python 3.11</w:t>
        </w:r>
      </w:hyperlink>
    </w:p>
    <w:p>
      <w:pPr>
        <w:pStyle w:val="Para 004"/>
      </w:pPr>
      <w:r>
        <w:rPr>
          <w:rStyle w:val="Text2"/>
        </w:rPr>
        <w:t>standard library and extension modules</w:t>
        <w:t xml:space="preserve">, </w:t>
      </w:r>
      <w:hyperlink w:anchor="idm45965283904352">
        <w:r>
          <w:t>The Python Standard Library and Extension Modules</w:t>
        </w:r>
      </w:hyperlink>
    </w:p>
    <w:p>
      <w:pPr>
        <w:pStyle w:val="Para 004"/>
      </w:pPr>
      <w:r>
        <w:rPr>
          <w:rStyle w:val="Text2"/>
        </w:rPr>
        <w:t>upgrading</w:t>
        <w:t xml:space="preserve">, </w:t>
      </w:r>
      <w:hyperlink w:anchor="Pupgrade26">
        <w:r>
          <w:t>Planning a Python Version Upgrade</w:t>
        </w:r>
      </w:hyperlink>
      <w:r>
        <w:rPr>
          <w:rStyle w:val="Text2"/>
        </w:rPr>
        <w:t>-</w:t>
      </w:r>
      <w:hyperlink w:anchor="idm45965162484624">
        <w:r>
          <w:t>How Often Should You Upgrade?</w:t>
        </w:r>
      </w:hyperlink>
    </w:p>
    <w:p>
      <w:pPr>
        <w:pStyle w:val="Para 004"/>
      </w:pPr>
      <w:r>
        <w:rPr>
          <w:rStyle w:val="Text2"/>
        </w:rPr>
        <w:t>v3.7-v3.n migration</w:t>
        <w:t xml:space="preserve">, </w:t>
      </w:r>
      <w:hyperlink w:anchor="Pmig26">
        <w:r>
          <w:t>v3.7 to v3.n Migration</w:t>
        </w:r>
      </w:hyperlink>
      <w:r>
        <w:rPr>
          <w:rStyle w:val="Text2"/>
        </w:rPr>
        <w:t>-</w:t>
      </w:r>
      <w:hyperlink w:anchor="idm45965162481520">
        <w:r>
          <w:t>Summary</w:t>
        </w:r>
      </w:hyperlink>
    </w:p>
    <w:p>
      <w:pPr>
        <w:pStyle w:val="Para 004"/>
      </w:pPr>
      <w:r>
        <w:rPr>
          <w:rStyle w:val="Text2"/>
        </w:rPr>
        <w:t>versions covered</w:t>
        <w:t xml:space="preserve">, </w:t>
      </w:r>
      <w:hyperlink w:anchor="idm45965284116816">
        <w:r>
          <w:t>Version Conventions</w:t>
        </w:r>
      </w:hyperlink>
    </w:p>
    <w:p>
      <w:pPr>
        <w:pStyle w:val="Para 004"/>
      </w:pPr>
      <w:r>
        <w:rPr>
          <w:rStyle w:val="Text2"/>
        </w:rPr>
        <w:t>Python community</w:t>
        <w:t xml:space="preserve">, </w:t>
      </w:r>
      <w:hyperlink w:anchor="Pcom01">
        <w:r>
          <w:t>Community</w:t>
        </w:r>
      </w:hyperlink>
      <w:r>
        <w:rPr>
          <w:rStyle w:val="Text2"/>
        </w:rPr>
        <w:t>-</w:t>
      </w:r>
      <w:hyperlink w:anchor="idm45965283816432">
        <w:r>
          <w:t>Social media</w:t>
        </w:r>
      </w:hyperlink>
      <w:r>
        <w:rPr>
          <w:rStyle w:val="Text2"/>
        </w:rPr>
        <w:t xml:space="preserve">, </w:t>
      </w:r>
      <w:hyperlink w:anchor="idm45965174967280">
        <w:r>
          <w:t>Other Network Protocols</w:t>
        </w:r>
      </w:hyperlink>
    </w:p>
    <w:p>
      <w:pPr>
        <w:pStyle w:val="Para 003"/>
      </w:pPr>
      <w:r>
        <w:t>Python Database API 2.0 standard (DBAPI)</w:t>
        <w:t xml:space="preserve"> (</w:t>
        <w:t>see</w:t>
        <w:t xml:space="preserve"> Database API)</w:t>
      </w:r>
    </w:p>
    <w:p>
      <w:pPr>
        <w:pStyle w:val="Para 004"/>
      </w:pPr>
      <w:r>
        <w:rPr>
          <w:rStyle w:val="Text2"/>
        </w:rPr>
        <w:t>Python Developer's Guide</w:t>
        <w:t xml:space="preserve">, </w:t>
      </w:r>
      <w:hyperlink w:anchor="idm45965283894464">
        <w:r>
          <w:t>Python Development and Versions</w:t>
        </w:r>
      </w:hyperlink>
    </w:p>
    <w:p>
      <w:pPr>
        <w:pStyle w:val="Para 003"/>
      </w:pPr>
      <w:r>
        <w:t>Python Education workgroup</w:t>
        <w:t xml:space="preserve">, </w:t>
      </w:r>
      <w:hyperlink w:anchor="idm45965284035056">
        <w:r>
          <w:rPr>
            <w:rStyle w:val="Text1"/>
          </w:rPr>
          <w:t>Workgroups</w:t>
        </w:r>
      </w:hyperlink>
    </w:p>
    <w:p>
      <w:pPr>
        <w:pStyle w:val="Para 003"/>
      </w:pPr>
      <w:r>
        <w:t>Python Enhancement Proposals (PEPs)</w:t>
        <w:t xml:space="preserve">, </w:t>
      </w:r>
      <w:hyperlink w:anchor="idm45965283892704">
        <w:r>
          <w:rPr>
            <w:rStyle w:val="Text1"/>
          </w:rPr>
          <w:t>Python Development and Versions</w:t>
        </w:r>
      </w:hyperlink>
    </w:p>
    <w:p>
      <w:pPr>
        <w:pStyle w:val="Para 004"/>
      </w:pPr>
      <w:r>
        <w:rPr>
          <w:rStyle w:val="Text2"/>
        </w:rPr>
        <w:t>Python environments</w:t>
        <w:t xml:space="preserve">, </w:t>
      </w:r>
      <w:hyperlink w:anchor="pyenv07">
        <w:r>
          <w:t>Python Environments</w:t>
        </w:r>
      </w:hyperlink>
      <w:r>
        <w:rPr>
          <w:rStyle w:val="Text2"/>
        </w:rPr>
        <w:t>-</w:t>
      </w:r>
      <w:hyperlink w:anchor="idm45965216839920">
        <w:r>
          <w:t>Other Environment Management Solutions</w:t>
        </w:r>
      </w:hyperlink>
    </w:p>
    <w:p>
      <w:pPr>
        <w:pStyle w:val="Para 004"/>
      </w:pPr>
      <w:r>
        <w:rPr>
          <w:rStyle w:val="Text2"/>
        </w:rPr>
        <w:t>other environment solutions</w:t>
        <w:t xml:space="preserve">, </w:t>
      </w:r>
      <w:hyperlink w:anchor="idm45965216863712">
        <w:r>
          <w:t>Other Environment Management Solutions</w:t>
        </w:r>
      </w:hyperlink>
    </w:p>
    <w:p>
      <w:pPr>
        <w:pStyle w:val="Para 003"/>
      </w:pPr>
      <w:r>
        <w:t>Python interpreter</w:t>
      </w:r>
    </w:p>
    <w:p>
      <w:pPr>
        <w:pStyle w:val="Para 004"/>
      </w:pPr>
      <w:r>
        <w:rPr>
          <w:rStyle w:val="Text2"/>
        </w:rPr>
        <w:t>development environments</w:t>
        <w:t xml:space="preserve">, </w:t>
      </w:r>
      <w:hyperlink w:anchor="PIdevenv02">
        <w:r>
          <w:t>Python Development Environments</w:t>
        </w:r>
      </w:hyperlink>
      <w:r>
        <w:rPr>
          <w:rStyle w:val="Text2"/>
        </w:rPr>
        <w:t>-</w:t>
      </w:r>
      <w:hyperlink w:anchor="idm45965276431088">
        <w:r>
          <w:t>Tools for Checking Python Programs</w:t>
        </w:r>
      </w:hyperlink>
    </w:p>
    <w:p>
      <w:pPr>
        <w:pStyle w:val="Para 003"/>
      </w:pPr>
      <w:r>
        <w:t>for multiple environments</w:t>
        <w:t xml:space="preserve">, </w:t>
      </w:r>
      <w:hyperlink w:anchor="idm45965217054128">
        <w:r>
          <w:rPr>
            <w:rStyle w:val="Text1"/>
          </w:rPr>
          <w:t>Python Environments</w:t>
        </w:r>
      </w:hyperlink>
    </w:p>
    <w:p>
      <w:pPr>
        <w:pStyle w:val="Para 004"/>
      </w:pPr>
      <w:r>
        <w:rPr>
          <w:rStyle w:val="Text2"/>
        </w:rPr>
        <w:t>purpose of</w:t>
        <w:t xml:space="preserve">, </w:t>
      </w:r>
      <w:hyperlink w:anchor="idm45965274971376">
        <w:r>
          <w:t>The Python Interpreter</w:t>
        </w:r>
      </w:hyperlink>
    </w:p>
    <w:p>
      <w:pPr>
        <w:pStyle w:val="Para 004"/>
      </w:pPr>
      <w:r>
        <w:rPr>
          <w:rStyle w:val="Text2"/>
        </w:rPr>
        <w:t>python program</w:t>
        <w:t xml:space="preserve">, </w:t>
      </w:r>
      <w:hyperlink w:anchor="PIppyprog02">
        <w:r>
          <w:t>The python Program</w:t>
        </w:r>
      </w:hyperlink>
      <w:r>
        <w:rPr>
          <w:rStyle w:val="Text2"/>
        </w:rPr>
        <w:t>-</w:t>
      </w:r>
      <w:hyperlink w:anchor="idm45965278302256">
        <w:r>
          <w:t>Interactive Sessions</w:t>
        </w:r>
      </w:hyperlink>
    </w:p>
    <w:p>
      <w:pPr>
        <w:pStyle w:val="Para 004"/>
      </w:pPr>
      <w:r>
        <w:rPr>
          <w:rStyle w:val="Text2"/>
        </w:rPr>
        <w:t>running programs</w:t>
        <w:t xml:space="preserve">, </w:t>
      </w:r>
      <w:hyperlink w:anchor="idm45965276424288">
        <w:r>
          <w:t>Running Python Programs</w:t>
        </w:r>
      </w:hyperlink>
    </w:p>
    <w:p>
      <w:pPr>
        <w:pStyle w:val="Para 004"/>
      </w:pPr>
      <w:r>
        <w:rPr>
          <w:rStyle w:val="Text2"/>
        </w:rPr>
        <w:t>running Python in browsers</w:t>
        <w:t xml:space="preserve">, </w:t>
      </w:r>
      <w:hyperlink w:anchor="idm45965278410448">
        <w:r>
          <w:t>Running Python in the Browser</w:t>
        </w:r>
      </w:hyperlink>
    </w:p>
    <w:p>
      <w:pPr>
        <w:pStyle w:val="Para 003"/>
      </w:pPr>
      <w:r>
        <w:t>Python language</w:t>
        <w:t xml:space="preserve"> (</w:t>
        <w:t>see</w:t>
        <w:t xml:space="preserve"> also object-oriented Python)</w:t>
      </w:r>
    </w:p>
    <w:p>
      <w:pPr>
        <w:pStyle w:val="Para 004"/>
      </w:pPr>
      <w:r>
        <w:rPr>
          <w:rStyle w:val="Text2"/>
        </w:rPr>
        <w:t>control flow statements</w:t>
        <w:t xml:space="preserve">, </w:t>
      </w:r>
      <w:hyperlink w:anchor="PLconflo03">
        <w:r>
          <w:t>Control Flow Statements</w:t>
        </w:r>
      </w:hyperlink>
      <w:r>
        <w:rPr>
          <w:rStyle w:val="Text2"/>
        </w:rPr>
        <w:t>-</w:t>
      </w:r>
      <w:hyperlink w:anchor="idm45965270597296">
        <w:r>
          <w:t>The with Statement</w:t>
        </w:r>
      </w:hyperlink>
    </w:p>
    <w:p>
      <w:pPr>
        <w:pStyle w:val="Para 003"/>
      </w:pPr>
      <w:r>
        <w:t>data types</w:t>
        <w:t xml:space="preserve">, </w:t>
      </w:r>
      <w:hyperlink w:anchor="PLdtypes03">
        <w:r>
          <w:rPr>
            <w:rStyle w:val="Text1"/>
          </w:rPr>
          <w:t>Data Types</w:t>
        </w:r>
      </w:hyperlink>
    </w:p>
    <w:p>
      <w:pPr>
        <w:pStyle w:val="Para 004"/>
      </w:pPr>
      <w:r>
        <w:rPr>
          <w:rStyle w:val="Text2"/>
        </w:rPr>
        <w:t>dictionary operations</w:t>
        <w:t xml:space="preserve">, </w:t>
      </w:r>
      <w:hyperlink w:anchor="PLdict03">
        <w:r>
          <w:t>Dictionary Operations</w:t>
        </w:r>
      </w:hyperlink>
      <w:r>
        <w:rPr>
          <w:rStyle w:val="Text2"/>
        </w:rPr>
        <w:t>-</w:t>
      </w:r>
      <w:hyperlink w:anchor="idm45965282484336">
        <w:r>
          <w:t>Dictionary Methods</w:t>
        </w:r>
      </w:hyperlink>
    </w:p>
    <w:p>
      <w:pPr>
        <w:pStyle w:val="Para 004"/>
      </w:pPr>
      <w:r>
        <w:rPr>
          <w:rStyle w:val="Text2"/>
        </w:rPr>
        <w:t>documentation</w:t>
        <w:t xml:space="preserve">, </w:t>
      </w:r>
      <w:hyperlink w:anchor="idm45965273972560">
        <w:r>
          <w:t>The Python Language</w:t>
        </w:r>
      </w:hyperlink>
    </w:p>
    <w:p>
      <w:pPr>
        <w:pStyle w:val="Para 004"/>
      </w:pPr>
      <w:r>
        <w:rPr>
          <w:rStyle w:val="Text2"/>
        </w:rPr>
        <w:t>expressions and operators</w:t>
        <w:t xml:space="preserve">, </w:t>
      </w:r>
      <w:hyperlink w:anchor="PLexp03">
        <w:r>
          <w:t>Expressions and Operators</w:t>
        </w:r>
      </w:hyperlink>
      <w:r>
        <w:rPr>
          <w:rStyle w:val="Text2"/>
        </w:rPr>
        <w:t>-</w:t>
      </w:r>
      <w:hyperlink w:anchor="idm45965276332128">
        <w:r>
          <w:t>:= in a list comprehension filter</w:t>
        </w:r>
      </w:hyperlink>
    </w:p>
    <w:p>
      <w:pPr>
        <w:pStyle w:val="Para 004"/>
      </w:pPr>
      <w:r>
        <w:rPr>
          <w:rStyle w:val="Text2"/>
        </w:rPr>
        <w:t>functions</w:t>
        <w:t xml:space="preserve">, </w:t>
      </w:r>
      <w:hyperlink w:anchor="PLfunc03">
        <w:r>
          <w:t>Functions</w:t>
        </w:r>
      </w:hyperlink>
      <w:r>
        <w:rPr>
          <w:rStyle w:val="Text2"/>
        </w:rPr>
        <w:t>-</w:t>
      </w:r>
      <w:hyperlink w:anchor="idm45965258751952">
        <w:r>
          <w:t>Recursion</w:t>
        </w:r>
      </w:hyperlink>
    </w:p>
    <w:p>
      <w:pPr>
        <w:pStyle w:val="Para 004"/>
      </w:pPr>
      <w:r>
        <w:rPr>
          <w:rStyle w:val="Text2"/>
        </w:rPr>
        <w:t>lexical structure</w:t>
        <w:t xml:space="preserve">, </w:t>
      </w:r>
      <w:hyperlink w:anchor="PLlex03">
        <w:r>
          <w:t>Lexical Structure</w:t>
        </w:r>
      </w:hyperlink>
      <w:r>
        <w:rPr>
          <w:rStyle w:val="Text2"/>
        </w:rPr>
        <w:t>-</w:t>
      </w:r>
      <w:hyperlink w:anchor="idm45965281951392">
        <w:r>
          <w:t>Compound statements</w:t>
        </w:r>
      </w:hyperlink>
    </w:p>
    <w:p>
      <w:pPr>
        <w:pStyle w:val="Para 004"/>
      </w:pPr>
      <w:r>
        <w:rPr>
          <w:rStyle w:val="Text2"/>
        </w:rPr>
        <w:t>numeric operations</w:t>
        <w:t xml:space="preserve">, </w:t>
      </w:r>
      <w:hyperlink w:anchor="PLnumop03">
        <w:r>
          <w:t>Numeric Operations</w:t>
        </w:r>
      </w:hyperlink>
      <w:r>
        <w:rPr>
          <w:rStyle w:val="Text2"/>
        </w:rPr>
        <w:t>-</w:t>
      </w:r>
      <w:hyperlink w:anchor="idm45965276167472">
        <w:r>
          <w:t>Bitwise Operations on Integers</w:t>
        </w:r>
      </w:hyperlink>
    </w:p>
    <w:p>
      <w:pPr>
        <w:pStyle w:val="Para 004"/>
      </w:pPr>
      <w:r>
        <w:rPr>
          <w:rStyle w:val="Text2"/>
        </w:rPr>
        <w:t>sequence operations</w:t>
        <w:t xml:space="preserve">, </w:t>
      </w:r>
      <w:hyperlink w:anchor="PLseq03">
        <w:r>
          <w:t>Sequence Operations</w:t>
        </w:r>
      </w:hyperlink>
      <w:r>
        <w:rPr>
          <w:rStyle w:val="Text2"/>
        </w:rPr>
        <w:t>-</w:t>
      </w:r>
      <w:hyperlink w:anchor="idm45965278646416">
        <w:r>
          <w:t>Sorting a list</w:t>
        </w:r>
      </w:hyperlink>
    </w:p>
    <w:p>
      <w:pPr>
        <w:pStyle w:val="Para 004"/>
      </w:pPr>
      <w:r>
        <w:rPr>
          <w:rStyle w:val="Text2"/>
        </w:rPr>
        <w:t>set operations</w:t>
        <w:t xml:space="preserve">, </w:t>
      </w:r>
      <w:hyperlink w:anchor="PLset03">
        <w:r>
          <w:t>Set Operations</w:t>
        </w:r>
      </w:hyperlink>
      <w:r>
        <w:rPr>
          <w:rStyle w:val="Text2"/>
        </w:rPr>
        <w:t>-</w:t>
      </w:r>
      <w:hyperlink w:anchor="idm45965283688752">
        <w:r>
          <w:t>Set Methods</w:t>
        </w:r>
      </w:hyperlink>
    </w:p>
    <w:p>
      <w:pPr>
        <w:pStyle w:val="Para 004"/>
      </w:pPr>
      <w:r>
        <w:rPr>
          <w:rStyle w:val="Text2"/>
        </w:rPr>
        <w:t>style guide</w:t>
        <w:t xml:space="preserve">, </w:t>
      </w:r>
      <w:hyperlink w:anchor="idm45965273969408">
        <w:r>
          <w:t>The Python Language</w:t>
        </w:r>
      </w:hyperlink>
    </w:p>
    <w:p>
      <w:pPr>
        <w:pStyle w:val="Para 004"/>
      </w:pPr>
      <w:r>
        <w:rPr>
          <w:rStyle w:val="Text2"/>
        </w:rPr>
        <w:t>Python Package Index (PyPI)</w:t>
        <w:t xml:space="preserve">, </w:t>
      </w:r>
      <w:hyperlink w:anchor="idm45965278363616">
        <w:r>
          <w:t>Extension modules and Python sources</w:t>
        </w:r>
      </w:hyperlink>
      <w:r>
        <w:rPr>
          <w:rStyle w:val="Text2"/>
        </w:rPr>
        <w:t xml:space="preserve">, </w:t>
      </w:r>
      <w:hyperlink w:anchor="idm45965176004288">
        <w:r>
          <w:t>Client-Side Network Protocol Modules</w:t>
        </w:r>
      </w:hyperlink>
    </w:p>
    <w:p>
      <w:pPr>
        <w:pStyle w:val="Para 004"/>
      </w:pPr>
      <w:r>
        <w:rPr>
          <w:rStyle w:val="Text2"/>
        </w:rPr>
        <w:t>Python Packaging Authority (PyPA)</w:t>
        <w:t xml:space="preserve">, </w:t>
      </w:r>
      <w:hyperlink w:anchor="idm45965284039808">
        <w:r>
          <w:t>Workgroups</w:t>
        </w:r>
      </w:hyperlink>
      <w:r>
        <w:rPr>
          <w:rStyle w:val="Text2"/>
        </w:rPr>
        <w:t xml:space="preserve">, </w:t>
      </w:r>
      <w:hyperlink w:anchor="idm45965162876288">
        <w:r>
          <w:t>Packaging Programs and Extensions</w:t>
        </w:r>
      </w:hyperlink>
    </w:p>
    <w:p>
      <w:pPr>
        <w:pStyle w:val="Para 004"/>
      </w:pPr>
      <w:r>
        <w:rPr>
          <w:rStyle w:val="Text2"/>
        </w:rPr>
        <w:t>python program</w:t>
        <w:t xml:space="preserve">, </w:t>
      </w:r>
      <w:hyperlink w:anchor="pyprog02">
        <w:r>
          <w:t>The python Program</w:t>
        </w:r>
      </w:hyperlink>
      <w:r>
        <w:rPr>
          <w:rStyle w:val="Text2"/>
        </w:rPr>
        <w:t>-</w:t>
      </w:r>
      <w:hyperlink w:anchor="idm45965278300880">
        <w:r>
          <w:t>Interactive Sessions</w:t>
        </w:r>
      </w:hyperlink>
    </w:p>
    <w:p>
      <w:pPr>
        <w:pStyle w:val="Para 003"/>
      </w:pPr>
      <w:r>
        <w:t>command-line syntax and options</w:t>
        <w:t xml:space="preserve">, </w:t>
      </w:r>
      <w:hyperlink w:anchor="idm45965274926432">
        <w:r>
          <w:rPr>
            <w:rStyle w:val="Text1"/>
          </w:rPr>
          <w:t>Command-Line Syntax and Options</w:t>
        </w:r>
      </w:hyperlink>
    </w:p>
    <w:p>
      <w:pPr>
        <w:pStyle w:val="Para 003"/>
      </w:pPr>
      <w:r>
        <w:t>environment variables</w:t>
        <w:t xml:space="preserve">, </w:t>
      </w:r>
      <w:hyperlink w:anchor="idm45965274955232">
        <w:r>
          <w:rPr>
            <w:rStyle w:val="Text1"/>
          </w:rPr>
          <w:t>Environment Variables</w:t>
        </w:r>
      </w:hyperlink>
    </w:p>
    <w:p>
      <w:pPr>
        <w:pStyle w:val="Para 004"/>
      </w:pPr>
      <w:r>
        <w:rPr>
          <w:rStyle w:val="Text2"/>
        </w:rPr>
        <w:t>interactive sessions</w:t>
        <w:t xml:space="preserve">, </w:t>
      </w:r>
      <w:hyperlink w:anchor="idm45965265690816">
        <w:r>
          <w:t>Interactive Sessions</w:t>
        </w:r>
      </w:hyperlink>
      <w:r>
        <w:rPr>
          <w:rStyle w:val="Text2"/>
        </w:rPr>
        <w:t xml:space="preserve">, </w:t>
      </w:r>
      <w:hyperlink w:anchor="idm45965276612464">
        <w:r>
          <w:t>Identifiers</w:t>
        </w:r>
      </w:hyperlink>
    </w:p>
    <w:p>
      <w:pPr>
        <w:pStyle w:val="Para 004"/>
      </w:pPr>
      <w:r>
        <w:rPr>
          <w:rStyle w:val="Text2"/>
        </w:rPr>
        <w:t>PyPy interpreter</w:t>
        <w:t xml:space="preserve">, </w:t>
      </w:r>
      <w:hyperlink w:anchor="idm45965265703088">
        <w:r>
          <w:t>The PyPy Interpreter</w:t>
        </w:r>
      </w:hyperlink>
    </w:p>
    <w:p>
      <w:pPr>
        <w:pStyle w:val="Para 004"/>
      </w:pPr>
      <w:r>
        <w:rPr>
          <w:rStyle w:val="Text2"/>
        </w:rPr>
        <w:t>Windows py launcher</w:t>
        <w:t xml:space="preserve">, </w:t>
      </w:r>
      <w:hyperlink w:anchor="idm45965265743088">
        <w:r>
          <w:t>The Windows py Launcher</w:t>
        </w:r>
      </w:hyperlink>
    </w:p>
    <w:p>
      <w:pPr>
        <w:pStyle w:val="Para 003"/>
      </w:pPr>
      <w:r>
        <w:t>Python Software Foundation (PSF)</w:t>
      </w:r>
    </w:p>
    <w:p>
      <w:pPr>
        <w:pStyle w:val="Para 004"/>
      </w:pPr>
      <w:r>
        <w:rPr>
          <w:rStyle w:val="Text2"/>
        </w:rPr>
        <w:t>development and versions</w:t>
        <w:t xml:space="preserve">, </w:t>
      </w:r>
      <w:hyperlink w:anchor="idm45965258718848">
        <w:r>
          <w:t>Python Development and Versions</w:t>
        </w:r>
      </w:hyperlink>
    </w:p>
    <w:p>
      <w:pPr>
        <w:pStyle w:val="Para 003"/>
      </w:pPr>
      <w:r>
        <w:t>licensing and price issues</w:t>
        <w:t xml:space="preserve">, </w:t>
      </w:r>
      <w:hyperlink w:anchor="idm45965258730320">
        <w:r>
          <w:rPr>
            <w:rStyle w:val="Text1"/>
          </w:rPr>
          <w:t>Licensing and Price Issues</w:t>
        </w:r>
      </w:hyperlink>
    </w:p>
    <w:p>
      <w:pPr>
        <w:pStyle w:val="Para 004"/>
      </w:pPr>
      <w:r>
        <w:rPr>
          <w:rStyle w:val="Text2"/>
        </w:rPr>
        <w:t>resources available</w:t>
        <w:t xml:space="preserve">, </w:t>
      </w:r>
      <w:hyperlink w:anchor="idm45965284050912">
        <w:r>
          <w:t>Python Software Foundation</w:t>
        </w:r>
      </w:hyperlink>
    </w:p>
    <w:p>
      <w:pPr>
        <w:pStyle w:val="Para 004"/>
      </w:pPr>
      <w:r>
        <w:rPr>
          <w:rStyle w:val="Text2"/>
        </w:rPr>
        <w:t>Python wheels</w:t>
        <w:t xml:space="preserve">, </w:t>
      </w:r>
      <w:hyperlink w:anchor="idm45965217160448">
        <w:r>
          <w:t>Distribution Utilities (distutils) and setuptools</w:t>
        </w:r>
      </w:hyperlink>
    </w:p>
    <w:p>
      <w:pPr>
        <w:pStyle w:val="Para 004"/>
      </w:pPr>
      <w:r>
        <w:rPr>
          <w:rStyle w:val="Text2"/>
        </w:rPr>
        <w:t>PyTorch</w:t>
        <w:t xml:space="preserve">, </w:t>
      </w:r>
      <w:hyperlink w:anchor="idm45965183838416">
        <w:r>
          <w:t>Additional numeric packages</w:t>
        </w:r>
      </w:hyperlink>
    </w:p>
    <w:p>
      <w:pPr>
        <w:pStyle w:val="Para 004"/>
      </w:pPr>
      <w:r>
        <w:rPr>
          <w:rStyle w:val="Text2"/>
        </w:rPr>
        <w:t>pytype</w:t>
        <w:t xml:space="preserve">, </w:t>
      </w:r>
      <w:hyperlink w:anchor="idm45965269180176">
        <w:r>
          <w:t>Other Type Checkers</w:t>
        </w:r>
      </w:hyperlink>
    </w:p>
    <w:p>
      <w:pPr>
        <w:pStyle w:val="Para 004"/>
      </w:pPr>
      <w:r>
        <w:rPr>
          <w:rStyle w:val="Text2"/>
        </w:rPr>
        <w:t>pyupgrade package</w:t>
        <w:t xml:space="preserve">, </w:t>
      </w:r>
      <w:hyperlink w:anchor="idm45965162527328">
        <w:r>
          <w:t>Upgrade Automation Using pyupgrade</w:t>
        </w:r>
      </w:hyperlink>
    </w:p>
    <w:p>
      <w:pPr>
        <w:keepNext/>
        <w:pStyle w:val="Heading 3"/>
      </w:pPr>
      <w:r>
        <w:t>Q</w:t>
      </w:r>
    </w:p>
    <w:p>
      <w:pPr>
        <w:pStyle w:val="Para 003"/>
      </w:pPr>
      <w:r>
        <w:t>quadratic time performance (O(N²))</w:t>
        <w:t xml:space="preserve">, </w:t>
      </w:r>
      <w:hyperlink w:anchor="idm45965181038928">
        <w:r>
          <w:rPr>
            <w:rStyle w:val="Text1"/>
          </w:rPr>
          <w:t>Large-Scale Optimization</w:t>
        </w:r>
      </w:hyperlink>
    </w:p>
    <w:p>
      <w:pPr>
        <w:pStyle w:val="Para 004"/>
      </w:pPr>
      <w:r>
        <w:rPr>
          <w:rStyle w:val="Text2"/>
        </w:rPr>
        <w:t>question mark (?)</w:t>
        <w:t xml:space="preserve">, </w:t>
      </w:r>
      <w:hyperlink w:anchor="idm45965208979392">
        <w:r>
          <w:t>Pattern String Syntax</w:t>
        </w:r>
      </w:hyperlink>
      <w:r>
        <w:rPr>
          <w:rStyle w:val="Text2"/>
        </w:rPr>
        <w:t xml:space="preserve">, </w:t>
      </w:r>
      <w:hyperlink w:anchor="idm45965202359712">
        <w:r>
          <w:t>The fnmatch Module</w:t>
        </w:r>
      </w:hyperlink>
    </w:p>
    <w:p>
      <w:pPr>
        <w:pStyle w:val="Para 003"/>
      </w:pPr>
      <w:r>
        <w:t>questions and comments</w:t>
        <w:t xml:space="preserve">, </w:t>
      </w:r>
      <w:hyperlink w:anchor="idm45965252642592">
        <w:r>
          <w:rPr>
            <w:rStyle w:val="Text1"/>
          </w:rPr>
          <w:t>How to Contact Us</w:t>
        </w:r>
      </w:hyperlink>
    </w:p>
    <w:p>
      <w:pPr>
        <w:pStyle w:val="Para 004"/>
      </w:pPr>
      <w:r>
        <w:rPr>
          <w:rStyle w:val="Text2"/>
        </w:rPr>
        <w:t>queue module</w:t>
        <w:t xml:space="preserve">, </w:t>
      </w:r>
      <w:hyperlink w:anchor="qmod15">
        <w:r>
          <w:t>The queue Module</w:t>
        </w:r>
      </w:hyperlink>
      <w:r>
        <w:rPr>
          <w:rStyle w:val="Text2"/>
        </w:rPr>
        <w:t>-</w:t>
      </w:r>
      <w:hyperlink w:anchor="idm45965191795040">
        <w:r>
          <w:t>The queue Module</w:t>
        </w:r>
      </w:hyperlink>
    </w:p>
    <w:p>
      <w:pPr>
        <w:pStyle w:val="Para 004"/>
      </w:pPr>
      <w:r>
        <w:rPr>
          <w:rStyle w:val="Text2"/>
        </w:rPr>
        <w:t>quopri module</w:t>
        <w:t xml:space="preserve">, </w:t>
      </w:r>
      <w:hyperlink w:anchor="idm45965172096080">
        <w:r>
          <w:t>The quopri Module</w:t>
        </w:r>
      </w:hyperlink>
    </w:p>
    <w:p>
      <w:pPr>
        <w:pStyle w:val="Para 003"/>
      </w:pPr>
      <w:r>
        <w:t>Quoted Printable (QP) encoding</w:t>
        <w:t xml:space="preserve">, </w:t>
      </w:r>
      <w:hyperlink w:anchor="idm45965172092688">
        <w:r>
          <w:rPr>
            <w:rStyle w:val="Text1"/>
          </w:rPr>
          <w:t>The quopri Module</w:t>
        </w:r>
      </w:hyperlink>
    </w:p>
    <w:p>
      <w:pPr>
        <w:pStyle w:val="Para 003"/>
      </w:pPr>
      <w:r>
        <w:t>quotes</w:t>
      </w:r>
    </w:p>
    <w:p>
      <w:pPr>
        <w:pStyle w:val="Para 003"/>
      </w:pPr>
      <w:r>
        <w:t>double quote (")</w:t>
        <w:t xml:space="preserve">, </w:t>
      </w:r>
      <w:hyperlink w:anchor="idm45965282199776">
        <w:r>
          <w:rPr>
            <w:rStyle w:val="Text1"/>
          </w:rPr>
          <w:t>Delimiters</w:t>
        </w:r>
      </w:hyperlink>
      <w:r>
        <w:t xml:space="preserve">, </w:t>
      </w:r>
      <w:hyperlink w:anchor="idm45965282810864">
        <w:r>
          <w:rPr>
            <w:rStyle w:val="Text1"/>
          </w:rPr>
          <w:t>Strings</w:t>
        </w:r>
      </w:hyperlink>
    </w:p>
    <w:p>
      <w:pPr>
        <w:pStyle w:val="Para 003"/>
      </w:pPr>
      <w:r>
        <w:t>double quote escaped (\")</w:t>
        <w:t xml:space="preserve">, </w:t>
      </w:r>
      <w:hyperlink w:anchor="idm45965276658096">
        <w:r>
          <w:rPr>
            <w:rStyle w:val="Text1"/>
          </w:rPr>
          <w:t>Strings</w:t>
        </w:r>
      </w:hyperlink>
    </w:p>
    <w:p>
      <w:pPr>
        <w:pStyle w:val="Para 003"/>
      </w:pPr>
      <w:r>
        <w:t>single quote (')</w:t>
        <w:t xml:space="preserve">, </w:t>
      </w:r>
      <w:hyperlink w:anchor="idm45965276497216">
        <w:r>
          <w:rPr>
            <w:rStyle w:val="Text1"/>
          </w:rPr>
          <w:t>Delimiters</w:t>
        </w:r>
      </w:hyperlink>
      <w:r>
        <w:t xml:space="preserve">, </w:t>
      </w:r>
      <w:hyperlink w:anchor="idm45965282812240">
        <w:r>
          <w:rPr>
            <w:rStyle w:val="Text1"/>
          </w:rPr>
          <w:t>Strings</w:t>
        </w:r>
      </w:hyperlink>
    </w:p>
    <w:p>
      <w:pPr>
        <w:pStyle w:val="Para 003"/>
      </w:pPr>
      <w:r>
        <w:t>single quote escaped (\")</w:t>
        <w:t xml:space="preserve">, </w:t>
      </w:r>
      <w:hyperlink w:anchor="idm45965276664848">
        <w:r>
          <w:rPr>
            <w:rStyle w:val="Text1"/>
          </w:rPr>
          <w:t>Strings</w:t>
        </w:r>
      </w:hyperlink>
    </w:p>
    <w:p>
      <w:pPr>
        <w:pStyle w:val="Para 003"/>
      </w:pPr>
      <w:r>
        <w:t>triple double quotes (""")</w:t>
        <w:t xml:space="preserve">, </w:t>
      </w:r>
      <w:hyperlink w:anchor="idm45965276710832">
        <w:r>
          <w:rPr>
            <w:rStyle w:val="Text1"/>
          </w:rPr>
          <w:t>Strings</w:t>
        </w:r>
      </w:hyperlink>
    </w:p>
    <w:p>
      <w:pPr>
        <w:pStyle w:val="Para 003"/>
      </w:pPr>
      <w:r>
        <w:t>triple single quotes (''')</w:t>
        <w:t xml:space="preserve">, </w:t>
      </w:r>
      <w:hyperlink w:anchor="idm45965276714464">
        <w:r>
          <w:rPr>
            <w:rStyle w:val="Text1"/>
          </w:rPr>
          <w:t>Strings</w:t>
        </w:r>
      </w:hyperlink>
    </w:p>
    <w:p>
      <w:pPr>
        <w:keepNext/>
        <w:pStyle w:val="Heading 3"/>
      </w:pPr>
      <w:r>
        <w:t>R</w:t>
      </w:r>
    </w:p>
    <w:p>
      <w:pPr>
        <w:pStyle w:val="Para 003"/>
      </w:pPr>
      <w:r>
        <w:t>radix indicator (#) (f-strings)</w:t>
        <w:t xml:space="preserve">, </w:t>
      </w:r>
      <w:hyperlink w:anchor="idm45965210863104">
        <w:r>
          <w:rPr>
            <w:rStyle w:val="Text1"/>
          </w:rPr>
          <w:t>Radix indicator (#)</w:t>
        </w:r>
      </w:hyperlink>
    </w:p>
    <w:p>
      <w:pPr>
        <w:pStyle w:val="Para 003"/>
      </w:pPr>
      <w:r>
        <w:t>RAII (resource acquisition is initialization)</w:t>
        <w:t xml:space="preserve">, </w:t>
      </w:r>
      <w:hyperlink w:anchor="idm45965259710400">
        <w:r>
          <w:rPr>
            <w:rStyle w:val="Text1"/>
          </w:rPr>
          <w:t>The with Statement and Context Managers</w:t>
        </w:r>
      </w:hyperlink>
    </w:p>
    <w:p>
      <w:pPr>
        <w:pStyle w:val="Para 004"/>
      </w:pPr>
      <w:r>
        <w:rPr>
          <w:rStyle w:val="Text2"/>
        </w:rPr>
        <w:t>raise statement</w:t>
        <w:t xml:space="preserve">, </w:t>
      </w:r>
      <w:hyperlink w:anchor="idm45965270645520">
        <w:r>
          <w:t>The try and raise Statements</w:t>
        </w:r>
      </w:hyperlink>
      <w:r>
        <w:rPr>
          <w:rStyle w:val="Text2"/>
        </w:rPr>
        <w:t xml:space="preserve">, </w:t>
      </w:r>
      <w:hyperlink w:anchor="idm45965259952880">
        <w:r>
          <w:t>The raise Statement</w:t>
        </w:r>
      </w:hyperlink>
    </w:p>
    <w:p>
      <w:pPr>
        <w:pStyle w:val="Para 003"/>
      </w:pPr>
      <w:r>
        <w:t>raise to power operator (**)</w:t>
        <w:t xml:space="preserve">, </w:t>
      </w:r>
      <w:hyperlink w:anchor="idm45965276231200">
        <w:r>
          <w:rPr>
            <w:rStyle w:val="Text1"/>
          </w:rPr>
          <w:t>Exponentiation</w:t>
        </w:r>
      </w:hyperlink>
    </w:p>
    <w:p>
      <w:pPr>
        <w:pStyle w:val="Para 003"/>
      </w:pPr>
      <w:r>
        <w:t>randint (random module)</w:t>
        <w:t xml:space="preserve">, </w:t>
      </w:r>
      <w:hyperlink w:anchor="idm45965186389744">
        <w:r>
          <w:rPr>
            <w:rStyle w:val="Text1"/>
          </w:rPr>
          <w:t>The random Module</w:t>
        </w:r>
      </w:hyperlink>
    </w:p>
    <w:p>
      <w:pPr>
        <w:pStyle w:val="Para 003"/>
      </w:pPr>
      <w:r>
        <w:t>random (random module)</w:t>
        <w:t xml:space="preserve">, </w:t>
      </w:r>
      <w:hyperlink w:anchor="idm45965186379792">
        <w:r>
          <w:rPr>
            <w:rStyle w:val="Text1"/>
          </w:rPr>
          <w:t>The random Module</w:t>
        </w:r>
      </w:hyperlink>
    </w:p>
    <w:p>
      <w:pPr>
        <w:pStyle w:val="Para 004"/>
      </w:pPr>
      <w:r>
        <w:rPr>
          <w:rStyle w:val="Text2"/>
        </w:rPr>
        <w:t>random access</w:t>
        <w:t xml:space="preserve">, </w:t>
      </w:r>
      <w:hyperlink w:anchor="idm45965206446224">
        <w:r>
          <w:t>File and Text Operations</w:t>
        </w:r>
      </w:hyperlink>
      <w:r>
        <w:rPr>
          <w:rStyle w:val="Text2"/>
        </w:rPr>
        <w:t xml:space="preserve">, </w:t>
      </w:r>
      <w:hyperlink w:anchor="idm45965206212752">
        <w:r>
          <w:t>Sequential and nonsequential (“random”) access</w:t>
        </w:r>
      </w:hyperlink>
    </w:p>
    <w:p>
      <w:pPr>
        <w:pStyle w:val="Para 004"/>
      </w:pPr>
      <w:r>
        <w:rPr>
          <w:rStyle w:val="Text2"/>
        </w:rPr>
        <w:t>random module</w:t>
        <w:t xml:space="preserve">, </w:t>
      </w:r>
      <w:hyperlink w:anchor="randmod16">
        <w:r>
          <w:t>Random and Pseudorandom Numbers</w:t>
        </w:r>
      </w:hyperlink>
      <w:r>
        <w:rPr>
          <w:rStyle w:val="Text2"/>
        </w:rPr>
        <w:t>-</w:t>
      </w:r>
      <w:hyperlink w:anchor="idm45965186255600">
        <w:r>
          <w:t>Crypto-Quality Random Numbers: The secrets Module</w:t>
        </w:r>
      </w:hyperlink>
    </w:p>
    <w:p>
      <w:pPr>
        <w:pStyle w:val="Para 003"/>
      </w:pPr>
      <w:r>
        <w:t>randrange (random module)</w:t>
        <w:t xml:space="preserve">, </w:t>
      </w:r>
      <w:hyperlink w:anchor="idm45965186370832">
        <w:r>
          <w:rPr>
            <w:rStyle w:val="Text1"/>
          </w:rPr>
          <w:t>The random Module</w:t>
        </w:r>
      </w:hyperlink>
    </w:p>
    <w:p>
      <w:pPr>
        <w:pStyle w:val="Para 003"/>
      </w:pPr>
      <w:r>
        <w:t>range (built-in function)</w:t>
        <w:t xml:space="preserve">, </w:t>
      </w:r>
      <w:hyperlink w:anchor="idm45965275714384">
        <w:r>
          <w:rPr>
            <w:rStyle w:val="Text1"/>
          </w:rPr>
          <w:t>range</w:t>
        </w:r>
      </w:hyperlink>
      <w:r>
        <w:t xml:space="preserve">, </w:t>
      </w:r>
      <w:hyperlink w:anchor="idm45965215375872">
        <w:r>
          <w:rPr>
            <w:rStyle w:val="Text1"/>
          </w:rPr>
          <w:t>Built-in Functions</w:t>
        </w:r>
      </w:hyperlink>
    </w:p>
    <w:p>
      <w:pPr>
        <w:pStyle w:val="Para 004"/>
      </w:pPr>
      <w:r>
        <w:rPr>
          <w:rStyle w:val="Text2"/>
        </w:rPr>
        <w:t>rapid prototyping</w:t>
        <w:t xml:space="preserve">, </w:t>
      </w:r>
      <w:hyperlink w:anchor="idm45965181068992">
        <w:r>
          <w:t>Developing a Fast-Enough Python Application</w:t>
        </w:r>
      </w:hyperlink>
    </w:p>
    <w:p>
      <w:pPr>
        <w:pStyle w:val="Para 004"/>
      </w:pPr>
      <w:r>
        <w:rPr>
          <w:rStyle w:val="Text2"/>
        </w:rPr>
        <w:t>raw sockets</w:t>
        <w:t xml:space="preserve">, </w:t>
      </w:r>
      <w:hyperlink w:anchor="idm45965177660560">
        <w:r>
          <w:t>The Berkeley Socket Interface</w:t>
        </w:r>
      </w:hyperlink>
    </w:p>
    <w:p>
      <w:pPr>
        <w:pStyle w:val="Para 003"/>
      </w:pPr>
      <w:r>
        <w:t>raw string literals</w:t>
        <w:t xml:space="preserve">, </w:t>
      </w:r>
      <w:hyperlink w:anchor="idm45965278942688">
        <w:r>
          <w:rPr>
            <w:rStyle w:val="Text1"/>
          </w:rPr>
          <w:t>Strings</w:t>
        </w:r>
      </w:hyperlink>
    </w:p>
    <w:p>
      <w:pPr>
        <w:pStyle w:val="Para 004"/>
      </w:pPr>
      <w:r>
        <w:rPr>
          <w:rStyle w:val="Text2"/>
        </w:rPr>
        <w:t>RDBMS (relational DB management system)</w:t>
        <w:t xml:space="preserve">, </w:t>
      </w:r>
      <w:hyperlink w:anchor="idm45965200555904">
        <w:r>
          <w:t>Persistence and Databases</w:t>
        </w:r>
      </w:hyperlink>
      <w:r>
        <w:rPr>
          <w:rStyle w:val="Text2"/>
        </w:rPr>
        <w:t xml:space="preserve">, </w:t>
      </w:r>
      <w:hyperlink w:anchor="idm45965197593072">
        <w:r>
          <w:t>Cursor Objects</w:t>
        </w:r>
      </w:hyperlink>
      <w:r>
        <w:rPr>
          <w:rStyle w:val="Text2"/>
        </w:rPr>
        <w:t xml:space="preserve">, </w:t>
      </w:r>
      <w:hyperlink w:anchor="idm45965197446928">
        <w:r>
          <w:t>DBAPI-Compliant Modules</w:t>
        </w:r>
      </w:hyperlink>
    </w:p>
    <w:p>
      <w:pPr>
        <w:pStyle w:val="Para 003"/>
      </w:pPr>
      <w:r>
        <w:t>re module</w:t>
        <w:t xml:space="preserve">, </w:t>
      </w:r>
      <w:hyperlink w:anchor="remodule10">
        <w:r>
          <w:rPr>
            <w:rStyle w:val="Text1"/>
          </w:rPr>
          <w:t>Regular Expressions and the re Module</w:t>
        </w:r>
      </w:hyperlink>
      <w:r>
        <w:t>-</w:t>
      </w:r>
      <w:hyperlink w:anchor="idm45965208475552">
        <w:r>
          <w:rPr>
            <w:rStyle w:val="Text1"/>
          </w:rPr>
          <w:t>Groups</w:t>
        </w:r>
      </w:hyperlink>
      <w:r>
        <w:t xml:space="preserve"> (</w:t>
        <w:t>see</w:t>
        <w:t xml:space="preserve"> also regular expressions)</w:t>
      </w:r>
    </w:p>
    <w:p>
      <w:pPr>
        <w:pStyle w:val="Para 004"/>
      </w:pPr>
      <w:r>
        <w:rPr>
          <w:rStyle w:val="Text2"/>
        </w:rPr>
        <w:t>read (file method)</w:t>
        <w:t xml:space="preserve">, </w:t>
      </w:r>
      <w:hyperlink w:anchor="idm45965206118912">
        <w:r>
          <w:t>Attributes and Methods of File Objects</w:t>
        </w:r>
      </w:hyperlink>
    </w:p>
    <w:p>
      <w:pPr>
        <w:pStyle w:val="Para 004"/>
      </w:pPr>
      <w:r>
        <w:rPr>
          <w:rStyle w:val="Text2"/>
        </w:rPr>
        <w:t>readline (file method)</w:t>
        <w:t xml:space="preserve">, </w:t>
      </w:r>
      <w:hyperlink w:anchor="idm45965206102576">
        <w:r>
          <w:t>Attributes and Methods of File Objects</w:t>
        </w:r>
      </w:hyperlink>
    </w:p>
    <w:p>
      <w:pPr>
        <w:pStyle w:val="Para 004"/>
      </w:pPr>
      <w:r>
        <w:rPr>
          <w:rStyle w:val="Text2"/>
        </w:rPr>
        <w:t>readline module</w:t>
        <w:t xml:space="preserve">, </w:t>
      </w:r>
      <w:hyperlink w:anchor="idm45965201678528">
        <w:r>
          <w:t>The readline Module</w:t>
        </w:r>
      </w:hyperlink>
    </w:p>
    <w:p>
      <w:pPr>
        <w:pStyle w:val="Para 004"/>
      </w:pPr>
      <w:r>
        <w:rPr>
          <w:rStyle w:val="Text2"/>
        </w:rPr>
        <w:t>readlines (file method)</w:t>
        <w:t xml:space="preserve">, </w:t>
      </w:r>
      <w:hyperlink w:anchor="idm45965206089168">
        <w:r>
          <w:t>Attributes and Methods of File Objects</w:t>
        </w:r>
      </w:hyperlink>
    </w:p>
    <w:p>
      <w:pPr>
        <w:pStyle w:val="Para 003"/>
      </w:pPr>
      <w:r>
        <w:t>readlink (pathlib.Path class)</w:t>
        <w:t xml:space="preserve">, </w:t>
      </w:r>
      <w:hyperlink w:anchor="idm45965203029440">
        <w:r>
          <w:rPr>
            <w:rStyle w:val="Text1"/>
          </w:rPr>
          <w:t>The pathlib Module</w:t>
        </w:r>
      </w:hyperlink>
    </w:p>
    <w:p>
      <w:pPr>
        <w:pStyle w:val="Para 003"/>
      </w:pPr>
      <w:r>
        <w:t>read_bytes (pathlib.Path class)</w:t>
        <w:t xml:space="preserve">, </w:t>
      </w:r>
      <w:hyperlink w:anchor="idm45965203042080">
        <w:r>
          <w:rPr>
            <w:rStyle w:val="Text1"/>
          </w:rPr>
          <w:t>The pathlib Module</w:t>
        </w:r>
      </w:hyperlink>
    </w:p>
    <w:p>
      <w:pPr>
        <w:pStyle w:val="Para 003"/>
      </w:pPr>
      <w:r>
        <w:t>read_history_file (readline module)</w:t>
        <w:t xml:space="preserve">, </w:t>
      </w:r>
      <w:hyperlink w:anchor="idm45965201613616">
        <w:r>
          <w:rPr>
            <w:rStyle w:val="Text1"/>
          </w:rPr>
          <w:t>The readline Module</w:t>
        </w:r>
      </w:hyperlink>
    </w:p>
    <w:p>
      <w:pPr>
        <w:pStyle w:val="Para 003"/>
      </w:pPr>
      <w:r>
        <w:t>read_text (pathlib.Path class)</w:t>
        <w:t xml:space="preserve">, </w:t>
      </w:r>
      <w:hyperlink w:anchor="idm45965203035296">
        <w:r>
          <w:rPr>
            <w:rStyle w:val="Text1"/>
          </w:rPr>
          <w:t>The pathlib Module</w:t>
        </w:r>
      </w:hyperlink>
    </w:p>
    <w:p>
      <w:pPr>
        <w:pStyle w:val="Para 003"/>
      </w:pPr>
      <w:r>
        <w:t>realpath (os.path module)</w:t>
        <w:t xml:space="preserve">, </w:t>
      </w:r>
      <w:hyperlink w:anchor="idm45965203575648">
        <w:r>
          <w:rPr>
            <w:rStyle w:val="Text1"/>
          </w:rPr>
          <w:t>The os.path Module</w:t>
        </w:r>
      </w:hyperlink>
    </w:p>
    <w:p>
      <w:pPr>
        <w:pStyle w:val="Para 003"/>
      </w:pPr>
      <w:r>
        <w:t>rebinding</w:t>
        <w:t xml:space="preserve">, </w:t>
      </w:r>
      <w:hyperlink w:anchor="idm45965258704832">
        <w:r>
          <w:rPr>
            <w:rStyle w:val="Text1"/>
          </w:rPr>
          <w:t>Variables</w:t>
        </w:r>
      </w:hyperlink>
    </w:p>
    <w:p>
      <w:pPr>
        <w:pStyle w:val="Para 004"/>
      </w:pPr>
      <w:r>
        <w:rPr>
          <w:rStyle w:val="Text2"/>
        </w:rPr>
        <w:t>rect (cmath module)</w:t>
        <w:t xml:space="preserve">, </w:t>
      </w:r>
      <w:hyperlink w:anchor="idm45965186938432">
        <w:r>
          <w:t>The math and cmath Modules</w:t>
        </w:r>
      </w:hyperlink>
    </w:p>
    <w:p>
      <w:pPr>
        <w:pStyle w:val="Para 004"/>
      </w:pPr>
      <w:r>
        <w:rPr>
          <w:rStyle w:val="Text2"/>
        </w:rPr>
        <w:t>recursion</w:t>
        <w:t xml:space="preserve">, </w:t>
      </w:r>
      <w:hyperlink w:anchor="recur03">
        <w:r>
          <w:t>Recursion</w:t>
        </w:r>
      </w:hyperlink>
      <w:r>
        <w:rPr>
          <w:rStyle w:val="Text2"/>
        </w:rPr>
        <w:t>-</w:t>
      </w:r>
      <w:hyperlink w:anchor="idm45965258750544">
        <w:r>
          <w:t>Recursion</w:t>
        </w:r>
      </w:hyperlink>
    </w:p>
    <w:p>
      <w:pPr>
        <w:pStyle w:val="Para 004"/>
      </w:pPr>
      <w:r>
        <w:rPr>
          <w:rStyle w:val="Text2"/>
        </w:rPr>
        <w:t>redirect_stderr (contextlib module)</w:t>
        <w:t xml:space="preserve">, </w:t>
      </w:r>
      <w:hyperlink w:anchor="idm45965257202736">
        <w:r>
          <w:t>The with Statement and Context Managers</w:t>
        </w:r>
      </w:hyperlink>
    </w:p>
    <w:p>
      <w:pPr>
        <w:pStyle w:val="Para 004"/>
      </w:pPr>
      <w:r>
        <w:rPr>
          <w:rStyle w:val="Text2"/>
        </w:rPr>
        <w:t>redirect_stdout (contextlib module)</w:t>
        <w:t xml:space="preserve">, </w:t>
      </w:r>
      <w:hyperlink w:anchor="idm45965257196176">
        <w:r>
          <w:t>The with Statement and Context Managers</w:t>
        </w:r>
      </w:hyperlink>
    </w:p>
    <w:p>
      <w:pPr>
        <w:pStyle w:val="Para 003"/>
      </w:pPr>
      <w:r>
        <w:t>reduce (functools module)</w:t>
        <w:t xml:space="preserve">, </w:t>
      </w:r>
      <w:hyperlink w:anchor="idm45965277505152">
        <w:r>
          <w:rPr>
            <w:rStyle w:val="Text1"/>
          </w:rPr>
          <w:t>The functools Module</w:t>
        </w:r>
      </w:hyperlink>
    </w:p>
    <w:p>
      <w:pPr>
        <w:pStyle w:val="Para 004"/>
      </w:pPr>
      <w:r>
        <w:rPr>
          <w:rStyle w:val="Text2"/>
        </w:rPr>
        <w:t>reentrant locks</w:t>
        <w:t xml:space="preserve">, </w:t>
      </w:r>
      <w:hyperlink w:anchor="idm45965193219632">
        <w:r>
          <w:t>Lock and RLock objects</w:t>
        </w:r>
      </w:hyperlink>
    </w:p>
    <w:p>
      <w:pPr>
        <w:pStyle w:val="Para 003"/>
      </w:pPr>
      <w:r>
        <w:t>ref (weakref module)</w:t>
        <w:t xml:space="preserve">, </w:t>
      </w:r>
      <w:hyperlink w:anchor="idm45965193823008">
        <w:r>
          <w:rPr>
            <w:rStyle w:val="Text1"/>
          </w:rPr>
          <w:t>The weakref Module</w:t>
        </w:r>
      </w:hyperlink>
    </w:p>
    <w:p>
      <w:pPr>
        <w:pStyle w:val="Para 003"/>
      </w:pPr>
      <w:r>
        <w:t xml:space="preserve"> reference counts</w:t>
        <w:t xml:space="preserve">, </w:t>
      </w:r>
      <w:hyperlink w:anchor="idm45965194202752">
        <w:r>
          <w:rPr>
            <w:rStyle w:val="Text1"/>
          </w:rPr>
          <w:t>Garbage Collection</w:t>
        </w:r>
      </w:hyperlink>
    </w:p>
    <w:p>
      <w:pPr>
        <w:pStyle w:val="Para 004"/>
      </w:pPr>
      <w:r>
        <w:rPr>
          <w:rStyle w:val="Text2"/>
        </w:rPr>
        <w:t>reference loops</w:t>
        <w:t xml:space="preserve">, </w:t>
      </w:r>
      <w:hyperlink w:anchor="idm45965193881024">
        <w:r>
          <w:t>The weakref Module</w:t>
        </w:r>
      </w:hyperlink>
    </w:p>
    <w:p>
      <w:pPr>
        <w:pStyle w:val="Para 003"/>
      </w:pPr>
      <w:r>
        <w:t>references</w:t>
        <w:t xml:space="preserve"> (</w:t>
        <w:t>see</w:t>
        <w:t xml:space="preserve"> also variables and other references)</w:t>
      </w:r>
    </w:p>
    <w:p>
      <w:pPr>
        <w:pStyle w:val="Para 004"/>
      </w:pPr>
      <w:r>
        <w:rPr>
          <w:rStyle w:val="Text2"/>
        </w:rPr>
        <w:t>accessing nonexistent</w:t>
        <w:t xml:space="preserve">, </w:t>
      </w:r>
      <w:hyperlink w:anchor="idm45965258663264">
        <w:r>
          <w:t>Accessing nonexistent references</w:t>
        </w:r>
      </w:hyperlink>
    </w:p>
    <w:p>
      <w:pPr>
        <w:pStyle w:val="Para 004"/>
      </w:pPr>
      <w:r>
        <w:rPr>
          <w:rStyle w:val="Text2"/>
        </w:rPr>
        <w:t>creating new</w:t>
        <w:t xml:space="preserve">, </w:t>
      </w:r>
      <w:hyperlink w:anchor="idm45965258639984">
        <w:r>
          <w:t>Assignment Statements</w:t>
        </w:r>
      </w:hyperlink>
    </w:p>
    <w:p>
      <w:pPr>
        <w:pStyle w:val="Para 004"/>
      </w:pPr>
      <w:r>
        <w:rPr>
          <w:rStyle w:val="Text2"/>
        </w:rPr>
        <w:t>definition of term</w:t>
        <w:t xml:space="preserve">, </w:t>
      </w:r>
      <w:hyperlink w:anchor="idm45965279089456">
        <w:r>
          <w:t>Variables and Other References</w:t>
        </w:r>
      </w:hyperlink>
    </w:p>
    <w:p>
      <w:pPr>
        <w:pStyle w:val="Para 004"/>
      </w:pPr>
      <w:r>
        <w:rPr>
          <w:rStyle w:val="Text2"/>
        </w:rPr>
        <w:t>unbinding</w:t>
        <w:t xml:space="preserve">, </w:t>
      </w:r>
      <w:hyperlink w:anchor="idm45965283241904">
        <w:r>
          <w:t>del Statements</w:t>
        </w:r>
      </w:hyperlink>
    </w:p>
    <w:p>
      <w:pPr>
        <w:pStyle w:val="Para 003"/>
      </w:pPr>
      <w:r>
        <w:t>reflection</w:t>
        <w:t xml:space="preserve">, </w:t>
      </w:r>
      <w:hyperlink w:anchor="idm45965182447280">
        <w:r>
          <w:rPr>
            <w:rStyle w:val="Text1"/>
          </w:rPr>
          <w:t>Debugging</w:t>
        </w:r>
      </w:hyperlink>
    </w:p>
    <w:p>
      <w:pPr>
        <w:pStyle w:val="Para 004"/>
      </w:pPr>
      <w:r>
        <w:rPr>
          <w:rStyle w:val="Text2"/>
        </w:rPr>
        <w:t>regex module</w:t>
        <w:t xml:space="preserve">, </w:t>
      </w:r>
      <w:hyperlink w:anchor="idm45965206525664">
        <w:r>
          <w:t>The Third-Party regex Module</w:t>
        </w:r>
      </w:hyperlink>
    </w:p>
    <w:p>
      <w:pPr>
        <w:pStyle w:val="Para 004"/>
      </w:pPr>
      <w:r>
        <w:rPr>
          <w:rStyle w:val="Text2"/>
        </w:rPr>
        <w:t>regex101 site</w:t>
        <w:t xml:space="preserve">, </w:t>
      </w:r>
      <w:hyperlink w:anchor="idm45965209108016">
        <w:r>
          <w:t>Regular Expressions and the re Module</w:t>
        </w:r>
      </w:hyperlink>
    </w:p>
    <w:p>
      <w:pPr>
        <w:pStyle w:val="Para 004"/>
      </w:pPr>
      <w:r>
        <w:rPr>
          <w:rStyle w:val="Text2"/>
        </w:rPr>
        <w:t>regexps</w:t>
        <w:t xml:space="preserve">, </w:t>
      </w:r>
      <w:hyperlink w:anchor="idm45965209143072">
        <w:r>
          <w:t>Regular Expressions</w:t>
        </w:r>
      </w:hyperlink>
    </w:p>
    <w:p>
      <w:pPr>
        <w:pStyle w:val="Para 003"/>
      </w:pPr>
      <w:r>
        <w:t>regular expressions (REs)</w:t>
      </w:r>
    </w:p>
    <w:p>
      <w:pPr>
        <w:pStyle w:val="Para 004"/>
      </w:pPr>
      <w:r>
        <w:rPr>
          <w:rStyle w:val="Text2"/>
        </w:rPr>
        <w:t>:= operator</w:t>
        <w:t xml:space="preserve">, </w:t>
      </w:r>
      <w:hyperlink w:anchor="idm45965206875728">
        <w:r>
          <w:t>REs and the := Operator</w:t>
        </w:r>
      </w:hyperlink>
    </w:p>
    <w:p>
      <w:pPr>
        <w:pStyle w:val="Para 003"/>
      </w:pPr>
      <w:r>
        <w:t>anchoring at string start and end</w:t>
        <w:t xml:space="preserve">, </w:t>
      </w:r>
      <w:hyperlink w:anchor="idm45965208173040">
        <w:r>
          <w:rPr>
            <w:rStyle w:val="Text1"/>
          </w:rPr>
          <w:t>Anchoring at String Start and End</w:t>
        </w:r>
      </w:hyperlink>
    </w:p>
    <w:p>
      <w:pPr>
        <w:pStyle w:val="Para 004"/>
      </w:pPr>
      <w:r>
        <w:rPr>
          <w:rStyle w:val="Text2"/>
        </w:rPr>
        <w:t>functions of re module</w:t>
        <w:t xml:space="preserve">, </w:t>
      </w:r>
      <w:hyperlink w:anchor="idm45965206981424">
        <w:r>
          <w:t>Functions of the re Module</w:t>
        </w:r>
      </w:hyperlink>
    </w:p>
    <w:p>
      <w:pPr>
        <w:pStyle w:val="Para 004"/>
      </w:pPr>
      <w:r>
        <w:rPr>
          <w:rStyle w:val="Text2"/>
        </w:rPr>
        <w:t>match objects</w:t>
        <w:t xml:space="preserve">, </w:t>
      </w:r>
      <w:hyperlink w:anchor="REmatcho10">
        <w:r>
          <w:t>Match Objects</w:t>
        </w:r>
      </w:hyperlink>
      <w:r>
        <w:rPr>
          <w:rStyle w:val="Text2"/>
        </w:rPr>
        <w:t>-</w:t>
      </w:r>
      <w:hyperlink w:anchor="idm45965206990928">
        <w:r>
          <w:t>Match Objects</w:t>
        </w:r>
      </w:hyperlink>
    </w:p>
    <w:p>
      <w:pPr>
        <w:pStyle w:val="Para 003"/>
      </w:pPr>
      <w:r>
        <w:t>match versus search</w:t>
        <w:t xml:space="preserve">, </w:t>
      </w:r>
      <w:hyperlink w:anchor="idm45965208285424">
        <w:r>
          <w:rPr>
            <w:rStyle w:val="Text1"/>
          </w:rPr>
          <w:t>Match Versus Search</w:t>
        </w:r>
      </w:hyperlink>
    </w:p>
    <w:p>
      <w:pPr>
        <w:pStyle w:val="Para 004"/>
      </w:pPr>
      <w:r>
        <w:rPr>
          <w:rStyle w:val="Text2"/>
        </w:rPr>
        <w:t>optional flags</w:t>
        <w:t xml:space="preserve">, </w:t>
      </w:r>
      <w:hyperlink w:anchor="REflag10">
        <w:r>
          <w:t>Optional Flags</w:t>
        </w:r>
      </w:hyperlink>
      <w:r>
        <w:rPr>
          <w:rStyle w:val="Text2"/>
        </w:rPr>
        <w:t>-</w:t>
      </w:r>
      <w:hyperlink w:anchor="idm45965208276752">
        <w:r>
          <w:t>Optional Flags</w:t>
        </w:r>
      </w:hyperlink>
    </w:p>
    <w:p>
      <w:pPr>
        <w:pStyle w:val="Para 004"/>
      </w:pPr>
      <w:r>
        <w:rPr>
          <w:rStyle w:val="Text2"/>
        </w:rPr>
        <w:t>re module</w:t>
        <w:t xml:space="preserve">, </w:t>
      </w:r>
      <w:hyperlink w:anchor="REremof10">
        <w:r>
          <w:t>Regular Expressions and the re Module</w:t>
        </w:r>
      </w:hyperlink>
      <w:r>
        <w:rPr>
          <w:rStyle w:val="Text2"/>
        </w:rPr>
        <w:t>-</w:t>
      </w:r>
      <w:hyperlink w:anchor="idm45965208476928">
        <w:r>
          <w:t>Groups</w:t>
        </w:r>
      </w:hyperlink>
    </w:p>
    <w:p>
      <w:pPr>
        <w:pStyle w:val="Para 004"/>
      </w:pPr>
      <w:r>
        <w:rPr>
          <w:rStyle w:val="Text2"/>
        </w:rPr>
        <w:t>regex module</w:t>
        <w:t xml:space="preserve">, </w:t>
      </w:r>
      <w:hyperlink w:anchor="idm45965206507840">
        <w:r>
          <w:t>The Third-Party regex Module</w:t>
        </w:r>
      </w:hyperlink>
    </w:p>
    <w:p>
      <w:pPr>
        <w:pStyle w:val="Para 004"/>
      </w:pPr>
      <w:r>
        <w:rPr>
          <w:rStyle w:val="Text2"/>
        </w:rPr>
        <w:t>regular expression objects</w:t>
        <w:t xml:space="preserve">, </w:t>
      </w:r>
      <w:hyperlink w:anchor="REobject10">
        <w:r>
          <w:t>Regular Expression Objects</w:t>
        </w:r>
      </w:hyperlink>
      <w:r>
        <w:rPr>
          <w:rStyle w:val="Text2"/>
        </w:rPr>
        <w:t>-</w:t>
      </w:r>
      <w:hyperlink w:anchor="idm45965207164608">
        <w:r>
          <w:t>Regular Expression Objects</w:t>
        </w:r>
      </w:hyperlink>
    </w:p>
    <w:p>
      <w:pPr>
        <w:pStyle w:val="Para 004"/>
      </w:pPr>
      <w:r>
        <w:rPr>
          <w:rStyle w:val="Text2"/>
        </w:rPr>
        <w:t>relational DB management system (RDBMS)</w:t>
        <w:t xml:space="preserve">, </w:t>
      </w:r>
      <w:hyperlink w:anchor="idm45965200557056">
        <w:r>
          <w:t>Persistence and Databases</w:t>
        </w:r>
      </w:hyperlink>
      <w:r>
        <w:rPr>
          <w:rStyle w:val="Text2"/>
        </w:rPr>
        <w:t xml:space="preserve">, </w:t>
      </w:r>
      <w:hyperlink w:anchor="idm45965197594240">
        <w:r>
          <w:t>Cursor Objects</w:t>
        </w:r>
      </w:hyperlink>
      <w:r>
        <w:rPr>
          <w:rStyle w:val="Text2"/>
        </w:rPr>
        <w:t xml:space="preserve">, </w:t>
      </w:r>
      <w:hyperlink w:anchor="idm45965197445856">
        <w:r>
          <w:t>DBAPI-Compliant Modules</w:t>
        </w:r>
      </w:hyperlink>
    </w:p>
    <w:p>
      <w:pPr>
        <w:pStyle w:val="Para 004"/>
      </w:pPr>
      <w:r>
        <w:rPr>
          <w:rStyle w:val="Text2"/>
        </w:rPr>
        <w:t>relative imports</w:t>
        <w:t xml:space="preserve">, </w:t>
      </w:r>
      <w:hyperlink w:anchor="idm45965217192624">
        <w:r>
          <w:t>Absolute Versus Relative Imports</w:t>
        </w:r>
      </w:hyperlink>
    </w:p>
    <w:p>
      <w:pPr>
        <w:pStyle w:val="Para 003"/>
      </w:pPr>
      <w:r>
        <w:t>relative paths</w:t>
        <w:t xml:space="preserve">, </w:t>
      </w:r>
      <w:hyperlink w:anchor="idm45965217239632">
        <w:r>
          <w:rPr>
            <w:rStyle w:val="Text1"/>
          </w:rPr>
          <w:t>Packages</w:t>
        </w:r>
      </w:hyperlink>
    </w:p>
    <w:p>
      <w:pPr>
        <w:pStyle w:val="Para 004"/>
      </w:pPr>
      <w:r>
        <w:rPr>
          <w:rStyle w:val="Text2"/>
        </w:rPr>
        <w:t>release (threading module)</w:t>
        <w:t xml:space="preserve">, </w:t>
      </w:r>
      <w:hyperlink w:anchor="idm45965193324944">
        <w:r>
          <w:t>Lock and RLock objects</w:t>
        </w:r>
      </w:hyperlink>
      <w:r>
        <w:rPr>
          <w:rStyle w:val="Text2"/>
        </w:rPr>
        <w:t xml:space="preserve">, </w:t>
      </w:r>
      <w:hyperlink w:anchor="idm45965193075984">
        <w:r>
          <w:t>Condition objects</w:t>
        </w:r>
      </w:hyperlink>
      <w:r>
        <w:rPr>
          <w:rStyle w:val="Text2"/>
        </w:rPr>
        <w:t xml:space="preserve">, </w:t>
      </w:r>
      <w:hyperlink w:anchor="idm45965192660224">
        <w:r>
          <w:t>Semaphore and BoundedSemaphore objects</w:t>
        </w:r>
      </w:hyperlink>
    </w:p>
    <w:p>
      <w:pPr>
        <w:pStyle w:val="Para 003"/>
      </w:pPr>
      <w:r>
        <w:t>relpath (os.path module)</w:t>
        <w:t xml:space="preserve">, </w:t>
      </w:r>
      <w:hyperlink w:anchor="idm45965203567648">
        <w:r>
          <w:rPr>
            <w:rStyle w:val="Text1"/>
          </w:rPr>
          <w:t>The os.path Module</w:t>
        </w:r>
      </w:hyperlink>
    </w:p>
    <w:p>
      <w:pPr>
        <w:pStyle w:val="Para 004"/>
      </w:pPr>
      <w:r>
        <w:rPr>
          <w:rStyle w:val="Text2"/>
        </w:rPr>
        <w:t>remainder (math module)</w:t>
        <w:t xml:space="preserve">, </w:t>
      </w:r>
      <w:hyperlink w:anchor="idm45965186925680">
        <w:r>
          <w:t>The math and cmath Modules</w:t>
        </w:r>
      </w:hyperlink>
    </w:p>
    <w:p>
      <w:pPr>
        <w:pStyle w:val="Para 004"/>
      </w:pPr>
      <w:r>
        <w:rPr>
          <w:rStyle w:val="Text2"/>
        </w:rPr>
        <w:t>remote endpoints</w:t>
        <w:t xml:space="preserve">, </w:t>
      </w:r>
      <w:hyperlink w:anchor="idm45965177665024">
        <w:r>
          <w:t>The Berkeley Socket Interface</w:t>
        </w:r>
      </w:hyperlink>
    </w:p>
    <w:p>
      <w:pPr>
        <w:pStyle w:val="Para 004"/>
      </w:pPr>
      <w:r>
        <w:rPr>
          <w:rStyle w:val="Text2"/>
        </w:rPr>
        <w:t>remove (os module)</w:t>
        <w:t xml:space="preserve">, </w:t>
      </w:r>
      <w:hyperlink w:anchor="idm45965204282944">
        <w:r>
          <w:t>File and directory functions of the os module</w:t>
        </w:r>
      </w:hyperlink>
    </w:p>
    <w:p>
      <w:pPr>
        <w:pStyle w:val="Para 003"/>
      </w:pPr>
      <w:r>
        <w:t>remove method</w:t>
      </w:r>
    </w:p>
    <w:p>
      <w:pPr>
        <w:pStyle w:val="Para 004"/>
      </w:pPr>
      <w:r>
        <w:rPr>
          <w:rStyle w:val="Text2"/>
        </w:rPr>
        <w:t>list type</w:t>
        <w:t xml:space="preserve">, </w:t>
      </w:r>
      <w:hyperlink w:anchor="idm45965278779152">
        <w:r>
          <w:t>List methods</w:t>
        </w:r>
      </w:hyperlink>
    </w:p>
    <w:p>
      <w:pPr>
        <w:pStyle w:val="Para 004"/>
      </w:pPr>
      <w:r>
        <w:rPr>
          <w:rStyle w:val="Text2"/>
        </w:rPr>
        <w:t>set type</w:t>
        <w:t xml:space="preserve">, </w:t>
      </w:r>
      <w:hyperlink w:anchor="idm45965278499296">
        <w:r>
          <w:t>Set Methods</w:t>
        </w:r>
      </w:hyperlink>
    </w:p>
    <w:p>
      <w:pPr>
        <w:pStyle w:val="Para 003"/>
      </w:pPr>
      <w:r>
        <w:t>removeprefix (string method)</w:t>
        <w:t xml:space="preserve">, </w:t>
      </w:r>
      <w:hyperlink w:anchor="idm45965212499296">
        <w:r>
          <w:rPr>
            <w:rStyle w:val="Text1"/>
          </w:rPr>
          <w:t>Methods of String Objects</w:t>
        </w:r>
      </w:hyperlink>
    </w:p>
    <w:p>
      <w:pPr>
        <w:pStyle w:val="Para 003"/>
      </w:pPr>
      <w:r>
        <w:t>removessuffic method (string method)</w:t>
        <w:t xml:space="preserve">, </w:t>
      </w:r>
      <w:hyperlink w:anchor="idm45965212489872">
        <w:r>
          <w:rPr>
            <w:rStyle w:val="Text1"/>
          </w:rPr>
          <w:t>Methods of String Objects</w:t>
        </w:r>
      </w:hyperlink>
    </w:p>
    <w:p>
      <w:pPr>
        <w:pStyle w:val="Para 004"/>
      </w:pPr>
      <w:r>
        <w:rPr>
          <w:rStyle w:val="Text2"/>
        </w:rPr>
        <w:t>rename (os module)</w:t>
        <w:t xml:space="preserve">, </w:t>
      </w:r>
      <w:hyperlink w:anchor="idm45965204263312">
        <w:r>
          <w:t>File and directory functions of the os module</w:t>
        </w:r>
      </w:hyperlink>
    </w:p>
    <w:p>
      <w:pPr>
        <w:pStyle w:val="Para 003"/>
      </w:pPr>
      <w:r>
        <w:t>repeat (itertools module)</w:t>
        <w:t xml:space="preserve">, </w:t>
      </w:r>
      <w:hyperlink w:anchor="idm45965213109360">
        <w:r>
          <w:rPr>
            <w:rStyle w:val="Text1"/>
          </w:rPr>
          <w:t>The itertools Module</w:t>
        </w:r>
      </w:hyperlink>
    </w:p>
    <w:p>
      <w:pPr>
        <w:pStyle w:val="Para 004"/>
      </w:pPr>
      <w:r>
        <w:rPr>
          <w:rStyle w:val="Text2"/>
        </w:rPr>
        <w:t>repetition</w:t>
        <w:t xml:space="preserve">, </w:t>
      </w:r>
      <w:hyperlink w:anchor="idm45965276127904">
        <w:r>
          <w:t>Concatenation and repetition</w:t>
        </w:r>
      </w:hyperlink>
    </w:p>
    <w:p>
      <w:pPr>
        <w:pStyle w:val="Para 003"/>
      </w:pPr>
      <w:r>
        <w:t>replace (datetime.date class)</w:t>
        <w:t xml:space="preserve">, </w:t>
      </w:r>
      <w:hyperlink w:anchor="idm45965196509376">
        <w:r>
          <w:rPr>
            <w:rStyle w:val="Text1"/>
          </w:rPr>
          <w:t>The date Class</w:t>
        </w:r>
      </w:hyperlink>
    </w:p>
    <w:p>
      <w:pPr>
        <w:pStyle w:val="Para 003"/>
      </w:pPr>
      <w:r>
        <w:t>replace (datetime.datetime class)</w:t>
        <w:t xml:space="preserve">, </w:t>
      </w:r>
      <w:hyperlink w:anchor="idm45965196014320">
        <w:r>
          <w:rPr>
            <w:rStyle w:val="Text1"/>
          </w:rPr>
          <w:t>The datetime Class</w:t>
        </w:r>
      </w:hyperlink>
    </w:p>
    <w:p>
      <w:pPr>
        <w:pStyle w:val="Para 003"/>
      </w:pPr>
      <w:r>
        <w:t>replace (datetime.time class)</w:t>
        <w:t xml:space="preserve">, </w:t>
      </w:r>
      <w:hyperlink w:anchor="idm45965196322288">
        <w:r>
          <w:rPr>
            <w:rStyle w:val="Text1"/>
          </w:rPr>
          <w:t>The time Class</w:t>
        </w:r>
      </w:hyperlink>
    </w:p>
    <w:p>
      <w:pPr>
        <w:pStyle w:val="Para 003"/>
      </w:pPr>
      <w:r>
        <w:t>replace method (string method)</w:t>
        <w:t xml:space="preserve">, </w:t>
      </w:r>
      <w:hyperlink w:anchor="idm45965212478176">
        <w:r>
          <w:rPr>
            <w:rStyle w:val="Text1"/>
          </w:rPr>
          <w:t>Methods of String Objects</w:t>
        </w:r>
      </w:hyperlink>
    </w:p>
    <w:p>
      <w:pPr>
        <w:pStyle w:val="Para 003"/>
      </w:pPr>
      <w:r>
        <w:t>repr (built-in function)</w:t>
        <w:t xml:space="preserve">, </w:t>
      </w:r>
      <w:hyperlink w:anchor="idm45965215311504">
        <w:r>
          <w:rPr>
            <w:rStyle w:val="Text1"/>
          </w:rPr>
          <w:t>Built-in Functions</w:t>
        </w:r>
      </w:hyperlink>
    </w:p>
    <w:p>
      <w:pPr>
        <w:pStyle w:val="Para 004"/>
      </w:pPr>
      <w:r>
        <w:rPr>
          <w:rStyle w:val="Text2"/>
        </w:rPr>
        <w:t>reprlib module</w:t>
        <w:t xml:space="preserve">, </w:t>
      </w:r>
      <w:hyperlink w:anchor="idm45965209356368">
        <w:r>
          <w:t>The reprlib Module</w:t>
        </w:r>
      </w:hyperlink>
    </w:p>
    <w:p>
      <w:pPr>
        <w:pStyle w:val="Para 004"/>
      </w:pPr>
      <w:r>
        <w:rPr>
          <w:rStyle w:val="Text2"/>
        </w:rPr>
        <w:t>reproducibility</w:t>
        <w:t xml:space="preserve">, </w:t>
      </w:r>
      <w:hyperlink w:anchor="idm45965182822256">
        <w:r>
          <w:t>Unit tests dealing with large amounts of data</w:t>
        </w:r>
      </w:hyperlink>
    </w:p>
    <w:p>
      <w:pPr>
        <w:pStyle w:val="Para 004"/>
      </w:pPr>
      <w:r>
        <w:rPr>
          <w:rStyle w:val="Text2"/>
        </w:rPr>
        <w:t>requests package</w:t>
        <w:t xml:space="preserve">, </w:t>
      </w:r>
      <w:hyperlink w:anchor="reqpack19">
        <w:r>
          <w:t>The Third-Party requests Package</w:t>
        </w:r>
      </w:hyperlink>
      <w:r>
        <w:rPr>
          <w:rStyle w:val="Text2"/>
        </w:rPr>
        <w:t>-</w:t>
      </w:r>
      <w:hyperlink w:anchor="idm45965175017888">
        <w:r>
          <w:t>The Response class</w:t>
        </w:r>
      </w:hyperlink>
    </w:p>
    <w:p>
      <w:pPr>
        <w:pStyle w:val="Para 004"/>
      </w:pPr>
      <w:r>
        <w:rPr>
          <w:rStyle w:val="Text2"/>
        </w:rPr>
        <w:t>Response class</w:t>
        <w:t xml:space="preserve">, </w:t>
      </w:r>
      <w:hyperlink w:anchor="idm45965175072192">
        <w:r>
          <w:t>The Response class</w:t>
        </w:r>
      </w:hyperlink>
    </w:p>
    <w:p>
      <w:pPr>
        <w:pStyle w:val="Para 003"/>
      </w:pPr>
      <w:r>
        <w:t>reserved words</w:t>
        <w:t xml:space="preserve">, </w:t>
      </w:r>
      <w:hyperlink w:anchor="idm45965276599872">
        <w:r>
          <w:rPr>
            <w:rStyle w:val="Text1"/>
          </w:rPr>
          <w:t>Keywords</w:t>
        </w:r>
      </w:hyperlink>
    </w:p>
    <w:p>
      <w:pPr>
        <w:pStyle w:val="Para 003"/>
      </w:pPr>
      <w:r>
        <w:t>resolve (pathlib.Path class)</w:t>
        <w:t xml:space="preserve">, </w:t>
      </w:r>
      <w:hyperlink w:anchor="idm45965202877840">
        <w:r>
          <w:rPr>
            <w:rStyle w:val="Text1"/>
          </w:rPr>
          <w:t>The pathlib Module</w:t>
        </w:r>
      </w:hyperlink>
    </w:p>
    <w:p>
      <w:pPr>
        <w:pStyle w:val="Para 003"/>
      </w:pPr>
      <w:r>
        <w:t>resource acquisition is initialization (RAII)</w:t>
        <w:t xml:space="preserve">, </w:t>
      </w:r>
      <w:hyperlink w:anchor="idm45965259711504">
        <w:r>
          <w:rPr>
            <w:rStyle w:val="Text1"/>
          </w:rPr>
          <w:t>The with Statement and Context Managers</w:t>
        </w:r>
      </w:hyperlink>
    </w:p>
    <w:p>
      <w:pPr>
        <w:pStyle w:val="Para 003"/>
      </w:pPr>
      <w:r>
        <w:t>resources</w:t>
      </w:r>
    </w:p>
    <w:p>
      <w:pPr>
        <w:pStyle w:val="Para 003"/>
      </w:pPr>
      <w:r>
        <w:t>books</w:t>
        <w:t xml:space="preserve">, </w:t>
      </w:r>
      <w:hyperlink w:anchor="idm45965278355312">
        <w:r>
          <w:rPr>
            <w:rStyle w:val="Text1"/>
          </w:rPr>
          <w:t>Books</w:t>
        </w:r>
      </w:hyperlink>
    </w:p>
    <w:p>
      <w:pPr>
        <w:pStyle w:val="Para 004"/>
      </w:pPr>
      <w:r>
        <w:rPr>
          <w:rStyle w:val="Text2"/>
        </w:rPr>
        <w:t>community</w:t>
        <w:t xml:space="preserve">, </w:t>
      </w:r>
      <w:hyperlink w:anchor="Rcommun01">
        <w:r>
          <w:t>Community</w:t>
        </w:r>
      </w:hyperlink>
      <w:r>
        <w:rPr>
          <w:rStyle w:val="Text2"/>
        </w:rPr>
        <w:t>-</w:t>
      </w:r>
      <w:hyperlink w:anchor="idm45965283815024">
        <w:r>
          <w:t>Social media</w:t>
        </w:r>
      </w:hyperlink>
      <w:r>
        <w:rPr>
          <w:rStyle w:val="Text2"/>
        </w:rPr>
        <w:t xml:space="preserve">, </w:t>
      </w:r>
      <w:hyperlink w:anchor="idm45965174968688">
        <w:r>
          <w:t>Other Network Protocols</w:t>
        </w:r>
      </w:hyperlink>
    </w:p>
    <w:p>
      <w:pPr>
        <w:pStyle w:val="Para 004"/>
      </w:pPr>
      <w:r>
        <w:rPr>
          <w:rStyle w:val="Text2"/>
        </w:rPr>
        <w:t>documentation</w:t>
        <w:t xml:space="preserve">, </w:t>
      </w:r>
      <w:hyperlink w:anchor="Rdoc01">
        <w:r>
          <w:t>Documentation</w:t>
        </w:r>
      </w:hyperlink>
      <w:r>
        <w:rPr>
          <w:rStyle w:val="Text2"/>
        </w:rPr>
        <w:t>-</w:t>
      </w:r>
      <w:hyperlink w:anchor="idm45965278345408">
        <w:r>
          <w:t>Books</w:t>
        </w:r>
      </w:hyperlink>
    </w:p>
    <w:p>
      <w:pPr>
        <w:pStyle w:val="Para 004"/>
      </w:pPr>
      <w:r>
        <w:rPr>
          <w:rStyle w:val="Text2"/>
        </w:rPr>
        <w:t>new features and changes v3.7 to 3.11</w:t>
        <w:t xml:space="preserve">, </w:t>
      </w:r>
      <w:hyperlink w:anchor="idm45965284113200">
        <w:r>
          <w:t>Version Conventions</w:t>
        </w:r>
      </w:hyperlink>
      <w:r>
        <w:rPr>
          <w:rStyle w:val="Text2"/>
        </w:rPr>
        <w:t xml:space="preserve">, </w:t>
      </w:r>
      <w:hyperlink w:anchor="Rnew26">
        <w:r>
          <w:t>Significant Changes in Python Through 3.11</w:t>
        </w:r>
      </w:hyperlink>
      <w:r>
        <w:rPr>
          <w:rStyle w:val="Text2"/>
        </w:rPr>
        <w:t>-</w:t>
      </w:r>
      <w:hyperlink w:anchor="idm45965162603856">
        <w:r>
          <w:t>Significant Changes in Python Through 3.11</w:t>
        </w:r>
      </w:hyperlink>
      <w:r>
        <w:rPr>
          <w:rStyle w:val="Text2"/>
        </w:rPr>
        <w:t xml:space="preserve">, </w:t>
      </w:r>
      <w:hyperlink w:anchor="Rnewfeat27">
        <w:r>
          <w:t>New Features and Changes in Python 3.7 Through 3.11</w:t>
        </w:r>
      </w:hyperlink>
      <w:r>
        <w:rPr>
          <w:rStyle w:val="Text2"/>
        </w:rPr>
        <w:t>-</w:t>
      </w:r>
      <w:hyperlink w:anchor="idm45965160898800">
        <w:r>
          <w:t>Python 3.11</w:t>
        </w:r>
      </w:hyperlink>
    </w:p>
    <w:p>
      <w:pPr>
        <w:pStyle w:val="Para 004"/>
      </w:pPr>
      <w:r>
        <w:rPr>
          <w:rStyle w:val="Text2"/>
        </w:rPr>
        <w:t>restricted execution</w:t>
        <w:t xml:space="preserve">, </w:t>
      </w:r>
      <w:hyperlink w:anchor="idm45965194375376">
        <w:r>
          <w:t>Never exec or eval Untrusted Code</w:t>
        </w:r>
      </w:hyperlink>
    </w:p>
    <w:p>
      <w:pPr>
        <w:pStyle w:val="Para 004"/>
      </w:pPr>
      <w:r>
        <w:rPr>
          <w:rStyle w:val="Text2"/>
        </w:rPr>
        <w:t>return statement</w:t>
        <w:t xml:space="preserve">, </w:t>
      </w:r>
      <w:hyperlink w:anchor="idm45965263311248">
        <w:r>
          <w:t>The return Statement</w:t>
        </w:r>
      </w:hyperlink>
    </w:p>
    <w:p>
      <w:pPr>
        <w:pStyle w:val="Para 003"/>
      </w:pPr>
      <w:r>
        <w:t>reverse (list method)</w:t>
        <w:t xml:space="preserve">, </w:t>
      </w:r>
      <w:hyperlink w:anchor="idm45965278771296">
        <w:r>
          <w:rPr>
            <w:rStyle w:val="Text1"/>
          </w:rPr>
          <w:t>List methods</w:t>
        </w:r>
      </w:hyperlink>
    </w:p>
    <w:p>
      <w:pPr>
        <w:pStyle w:val="Para 003"/>
      </w:pPr>
      <w:r>
        <w:t>reversed (built-in function)</w:t>
        <w:t xml:space="preserve">, </w:t>
      </w:r>
      <w:hyperlink w:anchor="idm45965215301168">
        <w:r>
          <w:rPr>
            <w:rStyle w:val="Text1"/>
          </w:rPr>
          <w:t>Built-in Functions</w:t>
        </w:r>
      </w:hyperlink>
    </w:p>
    <w:p>
      <w:pPr>
        <w:pStyle w:val="Para 003"/>
      </w:pPr>
      <w:r>
        <w:t>rglob (glob module)</w:t>
        <w:t xml:space="preserve">, </w:t>
      </w:r>
      <w:hyperlink w:anchor="idm45965202293104">
        <w:r>
          <w:rPr>
            <w:rStyle w:val="Text1"/>
          </w:rPr>
          <w:t>The glob Module</w:t>
        </w:r>
      </w:hyperlink>
    </w:p>
    <w:p>
      <w:pPr>
        <w:pStyle w:val="Para 003"/>
      </w:pPr>
      <w:r>
        <w:t>rglob (pathlib.Path class)</w:t>
        <w:t xml:space="preserve">, </w:t>
      </w:r>
      <w:hyperlink w:anchor="idm45965203309968">
        <w:r>
          <w:rPr>
            <w:rStyle w:val="Text1"/>
          </w:rPr>
          <w:t>The pathlib Module</w:t>
        </w:r>
      </w:hyperlink>
    </w:p>
    <w:p>
      <w:pPr>
        <w:pStyle w:val="Para 003"/>
      </w:pPr>
      <w:r>
        <w:t>RHS (righthand side)</w:t>
        <w:t xml:space="preserve">, </w:t>
      </w:r>
      <w:hyperlink w:anchor="idm45965258626576">
        <w:r>
          <w:rPr>
            <w:rStyle w:val="Text1"/>
          </w:rPr>
          <w:t>Plain assignment</w:t>
        </w:r>
      </w:hyperlink>
    </w:p>
    <w:p>
      <w:pPr>
        <w:pStyle w:val="Para 004"/>
      </w:pPr>
      <w:r>
        <w:rPr>
          <w:rStyle w:val="Text2"/>
        </w:rPr>
        <w:t>richer-text I/O</w:t>
        <w:t xml:space="preserve">, </w:t>
      </w:r>
      <w:hyperlink w:anchor="richertextio11">
        <w:r>
          <w:t>Richer-Text I/O</w:t>
        </w:r>
      </w:hyperlink>
      <w:r>
        <w:rPr>
          <w:rStyle w:val="Text2"/>
        </w:rPr>
        <w:t>-</w:t>
      </w:r>
      <w:hyperlink w:anchor="idm45965201411456">
        <w:r>
          <w:t>The msvcrt module</w:t>
        </w:r>
      </w:hyperlink>
    </w:p>
    <w:p>
      <w:pPr>
        <w:pStyle w:val="Para 003"/>
      </w:pPr>
      <w:r>
        <w:t>righthand side (RHS)</w:t>
        <w:t xml:space="preserve">, </w:t>
      </w:r>
      <w:hyperlink w:anchor="idm45965258625472">
        <w:r>
          <w:rPr>
            <w:rStyle w:val="Text1"/>
          </w:rPr>
          <w:t>Plain assignment</w:t>
        </w:r>
      </w:hyperlink>
    </w:p>
    <w:p>
      <w:pPr>
        <w:pStyle w:val="Para 003"/>
      </w:pPr>
      <w:r>
        <w:t>rjust method (string method)</w:t>
        <w:t xml:space="preserve">, </w:t>
      </w:r>
      <w:hyperlink w:anchor="idm45965212442400">
        <w:r>
          <w:rPr>
            <w:rStyle w:val="Text1"/>
          </w:rPr>
          <w:t>Methods of String Objects</w:t>
        </w:r>
      </w:hyperlink>
    </w:p>
    <w:p>
      <w:pPr>
        <w:pStyle w:val="Para 004"/>
      </w:pPr>
      <w:r>
        <w:rPr>
          <w:rStyle w:val="Text2"/>
        </w:rPr>
        <w:t>rmdir (os module)</w:t>
        <w:t xml:space="preserve">, </w:t>
      </w:r>
      <w:hyperlink w:anchor="idm45965204245088">
        <w:r>
          <w:t>File and directory functions of the os module</w:t>
        </w:r>
      </w:hyperlink>
    </w:p>
    <w:p>
      <w:pPr>
        <w:pStyle w:val="Para 003"/>
      </w:pPr>
      <w:r>
        <w:t>rmdir (pathlib.Path class)</w:t>
        <w:t xml:space="preserve">, </w:t>
      </w:r>
      <w:hyperlink w:anchor="idm45965202836128">
        <w:r>
          <w:rPr>
            <w:rStyle w:val="Text1"/>
          </w:rPr>
          <w:t>The pathlib Module</w:t>
        </w:r>
      </w:hyperlink>
    </w:p>
    <w:p>
      <w:pPr>
        <w:pStyle w:val="Para 003"/>
      </w:pPr>
      <w:r>
        <w:t>rmtree function (shutil module)</w:t>
        <w:t xml:space="preserve">, </w:t>
      </w:r>
      <w:hyperlink w:anchor="idm45965202051120">
        <w:r>
          <w:rPr>
            <w:rStyle w:val="Text1"/>
          </w:rPr>
          <w:t>The shutil Module</w:t>
        </w:r>
      </w:hyperlink>
    </w:p>
    <w:p>
      <w:pPr>
        <w:pStyle w:val="Para 004"/>
      </w:pPr>
      <w:r>
        <w:rPr>
          <w:rStyle w:val="Text2"/>
        </w:rPr>
        <w:t>root privileges</w:t>
        <w:t xml:space="preserve">, </w:t>
      </w:r>
      <w:hyperlink w:anchor="idm45965177651824">
        <w:r>
          <w:t>The Berkeley Socket Interface</w:t>
        </w:r>
      </w:hyperlink>
    </w:p>
    <w:p>
      <w:pPr>
        <w:pStyle w:val="Para 003"/>
      </w:pPr>
      <w:r>
        <w:t>round (built-in function)</w:t>
        <w:t xml:space="preserve">, </w:t>
      </w:r>
      <w:hyperlink w:anchor="idm45965215296336">
        <w:r>
          <w:rPr>
            <w:rStyle w:val="Text1"/>
          </w:rPr>
          <w:t>Built-in Functions</w:t>
        </w:r>
      </w:hyperlink>
    </w:p>
    <w:p>
      <w:pPr>
        <w:pStyle w:val="Para 004"/>
      </w:pPr>
      <w:r>
        <w:rPr>
          <w:rStyle w:val="Text2"/>
        </w:rPr>
        <w:t>rounding values</w:t>
        <w:t xml:space="preserve">, </w:t>
      </w:r>
      <w:hyperlink w:anchor="idm45965210595168">
        <w:r>
          <w:t>Precision specification</w:t>
        </w:r>
      </w:hyperlink>
    </w:p>
    <w:p>
      <w:pPr>
        <w:pStyle w:val="Para 003"/>
      </w:pPr>
      <w:r>
        <w:t>rstrip method (string method)</w:t>
        <w:t xml:space="preserve">, </w:t>
      </w:r>
      <w:hyperlink w:anchor="idm45965212433696">
        <w:r>
          <w:rPr>
            <w:rStyle w:val="Text1"/>
          </w:rPr>
          <w:t>Methods of String Objects</w:t>
        </w:r>
      </w:hyperlink>
    </w:p>
    <w:p>
      <w:pPr>
        <w:pStyle w:val="Para 004"/>
      </w:pPr>
      <w:r>
        <w:rPr>
          <w:rStyle w:val="Text2"/>
        </w:rPr>
        <w:t>runtime errors</w:t>
        <w:t xml:space="preserve">, </w:t>
      </w:r>
      <w:hyperlink w:anchor="idm45965258657696">
        <w:r>
          <w:t>Accessing nonexistent references</w:t>
        </w:r>
      </w:hyperlink>
    </w:p>
    <w:p>
      <w:pPr>
        <w:pStyle w:val="Para 003"/>
      </w:pPr>
      <w:r>
        <w:t>RuntimeWarning class</w:t>
        <w:t xml:space="preserve">, </w:t>
      </w:r>
      <w:hyperlink w:anchor="idm45965181326688">
        <w:r>
          <w:rPr>
            <w:rStyle w:val="Text1"/>
          </w:rPr>
          <w:t>Classes</w:t>
        </w:r>
      </w:hyperlink>
    </w:p>
    <w:p>
      <w:pPr>
        <w:pStyle w:val="Para 003"/>
      </w:pPr>
      <w:r>
        <w:t>runtime_checkable (typing module)</w:t>
        <w:t xml:space="preserve">, </w:t>
      </w:r>
      <w:hyperlink w:anchor="idm45965268062000">
        <w:r>
          <w:rPr>
            <w:rStyle w:val="Text1"/>
          </w:rPr>
          <w:t>Utilities and Decorators</w:t>
        </w:r>
      </w:hyperlink>
    </w:p>
    <w:p>
      <w:pPr>
        <w:pStyle w:val="Para 004"/>
      </w:pPr>
      <w:r>
        <w:rPr>
          <w:rStyle w:val="Text2"/>
        </w:rPr>
        <w:t>RustPython</w:t>
        <w:t xml:space="preserve">, </w:t>
      </w:r>
      <w:hyperlink w:anchor="idm45965262190032">
        <w:r>
          <w:t>Python Implementations</w:t>
        </w:r>
      </w:hyperlink>
    </w:p>
    <w:p>
      <w:pPr>
        <w:keepNext/>
        <w:pStyle w:val="Heading 3"/>
      </w:pPr>
      <w:r>
        <w:t>S</w:t>
      </w:r>
    </w:p>
    <w:p>
      <w:pPr>
        <w:pStyle w:val="Para 003"/>
      </w:pPr>
      <w:r>
        <w:t>sample (random module)</w:t>
        <w:t xml:space="preserve">, </w:t>
      </w:r>
      <w:hyperlink w:anchor="idm45965186361264">
        <w:r>
          <w:rPr>
            <w:rStyle w:val="Text1"/>
          </w:rPr>
          <w:t>The random Module</w:t>
        </w:r>
      </w:hyperlink>
    </w:p>
    <w:p>
      <w:pPr>
        <w:pStyle w:val="Para 004"/>
      </w:pPr>
      <w:r>
        <w:rPr>
          <w:rStyle w:val="Text2"/>
        </w:rPr>
        <w:t>scandir (os module)</w:t>
        <w:t xml:space="preserve">, </w:t>
      </w:r>
      <w:hyperlink w:anchor="idm45965204238832">
        <w:r>
          <w:t>File and directory functions of the os module</w:t>
        </w:r>
      </w:hyperlink>
    </w:p>
    <w:p>
      <w:pPr>
        <w:pStyle w:val="Para 004"/>
      </w:pPr>
      <w:r>
        <w:rPr>
          <w:rStyle w:val="Text2"/>
        </w:rPr>
        <w:t>sched module</w:t>
        <w:t xml:space="preserve">, </w:t>
      </w:r>
      <w:hyperlink w:anchor="idm45965195220688">
        <w:r>
          <w:t>The sched Module</w:t>
        </w:r>
      </w:hyperlink>
    </w:p>
    <w:p>
      <w:pPr>
        <w:pStyle w:val="Para 003"/>
      </w:pPr>
      <w:r>
        <w:t>SciPy</w:t>
        <w:t xml:space="preserve">, </w:t>
      </w:r>
      <w:hyperlink w:anchor="idm45965183879248">
        <w:r>
          <w:rPr>
            <w:rStyle w:val="Text1"/>
          </w:rPr>
          <w:t>SciPy</w:t>
        </w:r>
      </w:hyperlink>
    </w:p>
    <w:p>
      <w:pPr>
        <w:pStyle w:val="Para 004"/>
      </w:pPr>
      <w:r>
        <w:rPr>
          <w:rStyle w:val="Text2"/>
        </w:rPr>
        <w:t xml:space="preserve"> SciTE text editor</w:t>
        <w:t xml:space="preserve">, </w:t>
      </w:r>
      <w:hyperlink w:anchor="idm45965276456848">
        <w:r>
          <w:t>Free Text Editors with Python Support</w:t>
        </w:r>
      </w:hyperlink>
    </w:p>
    <w:p>
      <w:pPr>
        <w:pStyle w:val="Para 003"/>
      </w:pPr>
      <w:r>
        <w:t>scope</w:t>
      </w:r>
    </w:p>
    <w:p>
      <w:pPr>
        <w:pStyle w:val="Para 004"/>
      </w:pPr>
      <w:r>
        <w:rPr>
          <w:rStyle w:val="Text2"/>
        </w:rPr>
        <w:t>nested scope</w:t>
        <w:t xml:space="preserve">, </w:t>
      </w:r>
      <w:hyperlink w:anchor="idm45965270062064">
        <w:r>
          <w:t>Nested functions and nested scopes</w:t>
        </w:r>
      </w:hyperlink>
    </w:p>
    <w:p>
      <w:pPr>
        <w:pStyle w:val="Para 004"/>
      </w:pPr>
      <w:r>
        <w:rPr>
          <w:rStyle w:val="Text2"/>
        </w:rPr>
        <w:t>variable scope</w:t>
        <w:t xml:space="preserve">, </w:t>
      </w:r>
      <w:hyperlink w:anchor="idm45965257598864">
        <w:r>
          <w:t>List comprehensions</w:t>
        </w:r>
      </w:hyperlink>
    </w:p>
    <w:p>
      <w:pPr>
        <w:pStyle w:val="Para 004"/>
      </w:pPr>
      <w:r>
        <w:rPr>
          <w:rStyle w:val="Text2"/>
        </w:rPr>
        <w:t>scraping</w:t>
        <w:t xml:space="preserve">, </w:t>
      </w:r>
      <w:hyperlink w:anchor="idm45965171971008">
        <w:r>
          <w:t>Structured Text: HTML</w:t>
        </w:r>
      </w:hyperlink>
    </w:p>
    <w:p>
      <w:pPr>
        <w:pStyle w:val="Para 003"/>
      </w:pPr>
      <w:r>
        <w:t>scripts, definition of term</w:t>
        <w:t xml:space="preserve">, </w:t>
      </w:r>
      <w:hyperlink w:anchor="idm45965276422368">
        <w:r>
          <w:rPr>
            <w:rStyle w:val="Text1"/>
          </w:rPr>
          <w:t>Running Python Programs</w:t>
        </w:r>
      </w:hyperlink>
    </w:p>
    <w:p>
      <w:pPr>
        <w:pStyle w:val="Para 003"/>
      </w:pPr>
      <w:r>
        <w:t>search (re instance methods)</w:t>
        <w:t xml:space="preserve">, </w:t>
      </w:r>
      <w:hyperlink w:anchor="idm45965207704688">
        <w:r>
          <w:rPr>
            <w:rStyle w:val="Text1"/>
          </w:rPr>
          <w:t>Regular Expression Objects</w:t>
        </w:r>
      </w:hyperlink>
    </w:p>
    <w:p>
      <w:pPr>
        <w:pStyle w:val="Para 004"/>
      </w:pPr>
      <w:r>
        <w:rPr>
          <w:rStyle w:val="Text2"/>
        </w:rPr>
        <w:t>search methods</w:t>
        <w:t xml:space="preserve">, </w:t>
      </w:r>
      <w:hyperlink w:anchor="searmeth22">
        <w:r>
          <w:t>bs4 find… Methods (aka Search Methods)</w:t>
        </w:r>
      </w:hyperlink>
      <w:r>
        <w:rPr>
          <w:rStyle w:val="Text2"/>
        </w:rPr>
        <w:t>-</w:t>
      </w:r>
      <w:hyperlink w:anchor="idm45965170437840">
        <w:r>
          <w:t>Other named arguments</w:t>
        </w:r>
      </w:hyperlink>
    </w:p>
    <w:p>
      <w:pPr>
        <w:pStyle w:val="Para 003"/>
      </w:pPr>
      <w:r>
        <w:t>searches, optimization of</w:t>
        <w:t xml:space="preserve">, </w:t>
      </w:r>
      <w:hyperlink w:anchor="idm45965178491440">
        <w:r>
          <w:rPr>
            <w:rStyle w:val="Text1"/>
          </w:rPr>
          <w:t>Searching and sorting</w:t>
        </w:r>
      </w:hyperlink>
    </w:p>
    <w:p>
      <w:pPr>
        <w:pStyle w:val="Para 004"/>
      </w:pPr>
      <w:r>
        <w:rPr>
          <w:rStyle w:val="Text2"/>
        </w:rPr>
        <w:t>secrets module</w:t>
        <w:t xml:space="preserve">, </w:t>
      </w:r>
      <w:hyperlink w:anchor="idm45965186314352">
        <w:r>
          <w:t>Crypto-Quality Random Numbers: The secrets Module</w:t>
        </w:r>
      </w:hyperlink>
    </w:p>
    <w:p>
      <w:pPr>
        <w:pStyle w:val="Para 003"/>
      </w:pPr>
      <w:r>
        <w:t>Secure Shell (SSH) protocol</w:t>
        <w:t xml:space="preserve">, </w:t>
      </w:r>
      <w:hyperlink w:anchor="idm45965175011232">
        <w:r>
          <w:rPr>
            <w:rStyle w:val="Text1"/>
          </w:rPr>
          <w:t>Other Network Protocols</w:t>
        </w:r>
      </w:hyperlink>
    </w:p>
    <w:p>
      <w:pPr>
        <w:pStyle w:val="Para 003"/>
      </w:pPr>
      <w:r>
        <w:t>Secure Sockets Layer (SSL)</w:t>
        <w:t xml:space="preserve">, </w:t>
      </w:r>
      <w:hyperlink w:anchor="idm45965176288480">
        <w:r>
          <w:rPr>
            <w:rStyle w:val="Text1"/>
          </w:rPr>
          <w:t>Transport Layer Security</w:t>
        </w:r>
      </w:hyperlink>
    </w:p>
    <w:p>
      <w:pPr>
        <w:pStyle w:val="Para 004"/>
      </w:pPr>
      <w:r>
        <w:rPr>
          <w:rStyle w:val="Text2"/>
        </w:rPr>
        <w:t>seed (random module)</w:t>
        <w:t xml:space="preserve">, </w:t>
      </w:r>
      <w:hyperlink w:anchor="idm45965186353360">
        <w:r>
          <w:t>The random Module</w:t>
        </w:r>
      </w:hyperlink>
      <w:r>
        <w:rPr>
          <w:rStyle w:val="Text2"/>
        </w:rPr>
        <w:t xml:space="preserve">, </w:t>
      </w:r>
      <w:hyperlink w:anchor="idm45965182824224">
        <w:r>
          <w:t>Unit tests dealing with large amounts of data</w:t>
        </w:r>
      </w:hyperlink>
    </w:p>
    <w:p>
      <w:pPr>
        <w:pStyle w:val="Para 004"/>
      </w:pPr>
      <w:r>
        <w:rPr>
          <w:rStyle w:val="Text2"/>
        </w:rPr>
        <w:t>seek (file method)</w:t>
        <w:t xml:space="preserve">, </w:t>
      </w:r>
      <w:hyperlink w:anchor="idm45965206076896">
        <w:r>
          <w:t>Attributes and Methods of File Objects</w:t>
        </w:r>
      </w:hyperlink>
    </w:p>
    <w:p>
      <w:pPr>
        <w:pStyle w:val="Para 004"/>
      </w:pPr>
      <w:r>
        <w:rPr>
          <w:rStyle w:val="Text2"/>
        </w:rPr>
        <w:t>self parameter</w:t>
        <w:t xml:space="preserve">, </w:t>
      </w:r>
      <w:hyperlink w:anchor="idm45965275965888">
        <w:r>
          <w:t>Iterators</w:t>
        </w:r>
      </w:hyperlink>
      <w:r>
        <w:rPr>
          <w:rStyle w:val="Text2"/>
        </w:rPr>
        <w:t xml:space="preserve">, </w:t>
      </w:r>
      <w:hyperlink w:anchor="idm45965271679248">
        <w:r>
          <w:t>Function definitions in a class body</w:t>
        </w:r>
      </w:hyperlink>
      <w:r>
        <w:rPr>
          <w:rStyle w:val="Text2"/>
        </w:rPr>
        <w:t xml:space="preserve">, </w:t>
      </w:r>
      <w:hyperlink w:anchor="idm45965267071584">
        <w:r>
          <w:t>The factory function idiom</w:t>
        </w:r>
      </w:hyperlink>
      <w:r>
        <w:rPr>
          <w:rStyle w:val="Text2"/>
        </w:rPr>
        <w:t xml:space="preserve">, </w:t>
      </w:r>
      <w:hyperlink w:anchor="idm45965266354496">
        <w:r>
          <w:t>Bound and Unbound Methods</w:t>
        </w:r>
      </w:hyperlink>
    </w:p>
    <w:p>
      <w:pPr>
        <w:pStyle w:val="Para 004"/>
      </w:pPr>
      <w:r>
        <w:rPr>
          <w:rStyle w:val="Text2"/>
        </w:rPr>
        <w:t>semantic errors</w:t>
        <w:t xml:space="preserve">, </w:t>
      </w:r>
      <w:hyperlink w:anchor="idm45965258658928">
        <w:r>
          <w:t>Accessing nonexistent references</w:t>
        </w:r>
      </w:hyperlink>
    </w:p>
    <w:p>
      <w:pPr>
        <w:pStyle w:val="Para 004"/>
      </w:pPr>
      <w:r>
        <w:rPr>
          <w:rStyle w:val="Text2"/>
        </w:rPr>
        <w:t>semantic markup</w:t>
        <w:t xml:space="preserve">, </w:t>
      </w:r>
      <w:hyperlink w:anchor="idm45965171980048">
        <w:r>
          <w:t>Structured Text: HTML</w:t>
        </w:r>
      </w:hyperlink>
    </w:p>
    <w:p>
      <w:pPr>
        <w:pStyle w:val="Para 004"/>
      </w:pPr>
      <w:r>
        <w:rPr>
          <w:rStyle w:val="Text2"/>
        </w:rPr>
        <w:t>Semaphore (threading module)</w:t>
        <w:t xml:space="preserve">, </w:t>
      </w:r>
      <w:hyperlink w:anchor="idm45965192690144">
        <w:r>
          <w:t>Semaphore and BoundedSemaphore objects</w:t>
        </w:r>
      </w:hyperlink>
    </w:p>
    <w:p>
      <w:pPr>
        <w:pStyle w:val="Para 004"/>
      </w:pPr>
      <w:r>
        <w:rPr>
          <w:rStyle w:val="Text2"/>
        </w:rPr>
        <w:t>Semaphore objects</w:t>
        <w:t xml:space="preserve">, </w:t>
      </w:r>
      <w:hyperlink w:anchor="idm45965192762000">
        <w:r>
          <w:t>Semaphore and BoundedSemaphore objects</w:t>
        </w:r>
      </w:hyperlink>
    </w:p>
    <w:p>
      <w:pPr>
        <w:pStyle w:val="Para 003"/>
      </w:pPr>
      <w:r>
        <w:t>semicolon (;)</w:t>
      </w:r>
    </w:p>
    <w:p>
      <w:pPr>
        <w:pStyle w:val="Para 003"/>
      </w:pPr>
      <w:r>
        <w:t>in simple statements</w:t>
        <w:t xml:space="preserve">, </w:t>
      </w:r>
      <w:hyperlink w:anchor="idm45965281992416">
        <w:r>
          <w:rPr>
            <w:rStyle w:val="Text1"/>
          </w:rPr>
          <w:t>Simple statements</w:t>
        </w:r>
      </w:hyperlink>
    </w:p>
    <w:p>
      <w:pPr>
        <w:pStyle w:val="Para 003"/>
      </w:pPr>
      <w:r>
        <w:t>lines and indentation</w:t>
        <w:t xml:space="preserve">, </w:t>
      </w:r>
      <w:hyperlink w:anchor="idm45965274417936">
        <w:r>
          <w:rPr>
            <w:rStyle w:val="Text1"/>
          </w:rPr>
          <w:t>Lines and Indentation</w:t>
        </w:r>
      </w:hyperlink>
    </w:p>
    <w:p>
      <w:pPr>
        <w:pStyle w:val="Para 004"/>
      </w:pPr>
      <w:r>
        <w:rPr>
          <w:rStyle w:val="Text2"/>
        </w:rPr>
        <w:t>sep (os module)</w:t>
        <w:t xml:space="preserve">, </w:t>
      </w:r>
      <w:hyperlink w:anchor="idm45965204469280">
        <w:r>
          <w:t>Path-string attributes of the os module</w:t>
        </w:r>
      </w:hyperlink>
    </w:p>
    <w:p>
      <w:pPr>
        <w:pStyle w:val="Para 004"/>
      </w:pPr>
      <w:r>
        <w:rPr>
          <w:rStyle w:val="Text2"/>
        </w:rPr>
        <w:t>sequence operations</w:t>
        <w:t xml:space="preserve">, </w:t>
      </w:r>
      <w:hyperlink w:anchor="seqop03">
        <w:r>
          <w:t>Sequence Operations</w:t>
        </w:r>
      </w:hyperlink>
      <w:r>
        <w:rPr>
          <w:rStyle w:val="Text2"/>
        </w:rPr>
        <w:t>-</w:t>
      </w:r>
      <w:hyperlink w:anchor="idm45965278647824">
        <w:r>
          <w:t>Sorting a list</w:t>
        </w:r>
      </w:hyperlink>
      <w:r>
        <w:rPr>
          <w:rStyle w:val="Text2"/>
        </w:rPr>
        <w:t xml:space="preserve">, </w:t>
      </w:r>
      <w:hyperlink w:anchor="idm45965264613024">
        <w:r>
          <w:t>Sequences</w:t>
        </w:r>
      </w:hyperlink>
    </w:p>
    <w:p>
      <w:pPr>
        <w:pStyle w:val="Para 003"/>
      </w:pPr>
      <w:r>
        <w:t>lists</w:t>
        <w:t xml:space="preserve">, </w:t>
      </w:r>
      <w:hyperlink w:anchor="idm45965280332736">
        <w:r>
          <w:rPr>
            <w:rStyle w:val="Text1"/>
          </w:rPr>
          <w:t>Lists</w:t>
        </w:r>
      </w:hyperlink>
    </w:p>
    <w:p>
      <w:pPr>
        <w:pStyle w:val="Para 003"/>
      </w:pPr>
      <w:r>
        <w:t>sequences in general</w:t>
        <w:t xml:space="preserve">, </w:t>
      </w:r>
      <w:hyperlink w:anchor="idm45965276155488">
        <w:r>
          <w:rPr>
            <w:rStyle w:val="Text1"/>
          </w:rPr>
          <w:t>Sequences in General</w:t>
        </w:r>
      </w:hyperlink>
    </w:p>
    <w:p>
      <w:pPr>
        <w:pStyle w:val="Para 003"/>
      </w:pPr>
      <w:r>
        <w:t>special methods for containers</w:t>
        <w:t xml:space="preserve">, </w:t>
      </w:r>
      <w:hyperlink w:anchor="idm45965264615168">
        <w:r>
          <w:rPr>
            <w:rStyle w:val="Text1"/>
          </w:rPr>
          <w:t>Sequences</w:t>
        </w:r>
      </w:hyperlink>
    </w:p>
    <w:p>
      <w:pPr>
        <w:pStyle w:val="Para 003"/>
      </w:pPr>
      <w:r>
        <w:t>strings</w:t>
        <w:t xml:space="preserve">, </w:t>
      </w:r>
      <w:hyperlink w:anchor="idm45965280376320">
        <w:r>
          <w:rPr>
            <w:rStyle w:val="Text1"/>
          </w:rPr>
          <w:t>Strings</w:t>
        </w:r>
      </w:hyperlink>
    </w:p>
    <w:p>
      <w:pPr>
        <w:pStyle w:val="Para 003"/>
      </w:pPr>
      <w:r>
        <w:t>tuples</w:t>
        <w:t xml:space="preserve">, </w:t>
      </w:r>
      <w:hyperlink w:anchor="idm45965280342768">
        <w:r>
          <w:rPr>
            <w:rStyle w:val="Text1"/>
          </w:rPr>
          <w:t>Tuples</w:t>
        </w:r>
      </w:hyperlink>
    </w:p>
    <w:p>
      <w:pPr>
        <w:pStyle w:val="Para 003"/>
      </w:pPr>
      <w:r>
        <w:t>sequence patterns</w:t>
        <w:t xml:space="preserve">, </w:t>
      </w:r>
      <w:hyperlink w:anchor="idm45965275362000">
        <w:r>
          <w:rPr>
            <w:rStyle w:val="Text1"/>
          </w:rPr>
          <w:t>Sequence patterns</w:t>
        </w:r>
      </w:hyperlink>
    </w:p>
    <w:p>
      <w:pPr>
        <w:pStyle w:val="Para 004"/>
      </w:pPr>
      <w:r>
        <w:rPr>
          <w:rStyle w:val="Text2"/>
        </w:rPr>
        <w:t>sequences</w:t>
        <w:t xml:space="preserve">, </w:t>
      </w:r>
      <w:hyperlink w:anchor="seq03">
        <w:r>
          <w:t>Sequences</w:t>
        </w:r>
      </w:hyperlink>
      <w:r>
        <w:rPr>
          <w:rStyle w:val="Text2"/>
        </w:rPr>
        <w:t>-</w:t>
      </w:r>
      <w:hyperlink w:anchor="idm45965265493136">
        <w:r>
          <w:t>Lists</w:t>
        </w:r>
      </w:hyperlink>
    </w:p>
    <w:p>
      <w:pPr>
        <w:pStyle w:val="Para 004"/>
      </w:pPr>
      <w:r>
        <w:rPr>
          <w:rStyle w:val="Text2"/>
        </w:rPr>
        <w:t>sequential file access</w:t>
        <w:t xml:space="preserve">, </w:t>
      </w:r>
      <w:hyperlink w:anchor="idm45965206211616">
        <w:r>
          <w:t>Sequential and nonsequential (“random”) access</w:t>
        </w:r>
      </w:hyperlink>
    </w:p>
    <w:p>
      <w:pPr>
        <w:pStyle w:val="Para 004"/>
      </w:pPr>
      <w:r>
        <w:rPr>
          <w:rStyle w:val="Text2"/>
        </w:rPr>
        <w:t>serialization</w:t>
        <w:t xml:space="preserve">, </w:t>
      </w:r>
      <w:hyperlink w:anchor="serail12">
        <w:r>
          <w:t>Serialization</w:t>
        </w:r>
      </w:hyperlink>
      <w:r>
        <w:rPr>
          <w:rStyle w:val="Text2"/>
        </w:rPr>
        <w:t>-</w:t>
      </w:r>
      <w:hyperlink w:anchor="idm45965198626016">
        <w:r>
          <w:t>A shelving example</w:t>
        </w:r>
      </w:hyperlink>
    </w:p>
    <w:p>
      <w:pPr>
        <w:pStyle w:val="Para 004"/>
      </w:pPr>
      <w:r>
        <w:rPr>
          <w:rStyle w:val="Text2"/>
        </w:rPr>
        <w:t>csv module</w:t>
        <w:t xml:space="preserve">, </w:t>
      </w:r>
      <w:hyperlink w:anchor="idm45965200522032">
        <w:r>
          <w:t>The csv Module</w:t>
        </w:r>
      </w:hyperlink>
    </w:p>
    <w:p>
      <w:pPr>
        <w:pStyle w:val="Para 004"/>
      </w:pPr>
      <w:r>
        <w:rPr>
          <w:rStyle w:val="Text2"/>
        </w:rPr>
        <w:t>json module</w:t>
        <w:t xml:space="preserve">, </w:t>
      </w:r>
      <w:hyperlink w:anchor="idm45965200375904">
        <w:r>
          <w:t>The json Module</w:t>
        </w:r>
      </w:hyperlink>
    </w:p>
    <w:p>
      <w:pPr>
        <w:pStyle w:val="Para 004"/>
      </w:pPr>
      <w:r>
        <w:rPr>
          <w:rStyle w:val="Text2"/>
        </w:rPr>
        <w:t>pickle module</w:t>
        <w:t xml:space="preserve">, </w:t>
      </w:r>
      <w:hyperlink w:anchor="idm45965199875712">
        <w:r>
          <w:t>The pickle Module</w:t>
        </w:r>
      </w:hyperlink>
    </w:p>
    <w:p>
      <w:pPr>
        <w:pStyle w:val="Para 004"/>
      </w:pPr>
      <w:r>
        <w:rPr>
          <w:rStyle w:val="Text2"/>
        </w:rPr>
        <w:t>shelve module</w:t>
        <w:t xml:space="preserve">, </w:t>
      </w:r>
      <w:hyperlink w:anchor="idm45965199090272">
        <w:r>
          <w:t>The shelve Module</w:t>
        </w:r>
      </w:hyperlink>
    </w:p>
    <w:p>
      <w:pPr>
        <w:pStyle w:val="Para 003"/>
      </w:pPr>
      <w:r>
        <w:t>serialized calls (threading)</w:t>
        <w:t xml:space="preserve">, </w:t>
      </w:r>
      <w:hyperlink w:anchor="idm45965190116448">
        <w:r>
          <w:rPr>
            <w:rStyle w:val="Text1"/>
          </w:rPr>
          <w:t>Threaded Program Architecture</w:t>
        </w:r>
      </w:hyperlink>
    </w:p>
    <w:p>
      <w:pPr>
        <w:pStyle w:val="Para 003"/>
      </w:pPr>
      <w:r>
        <w:t>server-side web programming</w:t>
        <w:t xml:space="preserve"> (</w:t>
        <w:t>see</w:t>
        <w:t xml:space="preserve"> web programming)</w:t>
      </w:r>
    </w:p>
    <w:p>
      <w:pPr>
        <w:pStyle w:val="Para 003"/>
      </w:pPr>
      <w:r>
        <w:t>serving HTTP</w:t>
        <w:t xml:space="preserve"> (</w:t>
        <w:t>see</w:t>
        <w:t xml:space="preserve"> web programming)</w:t>
      </w:r>
    </w:p>
    <w:p>
      <w:pPr>
        <w:pStyle w:val="Para 003"/>
      </w:pPr>
      <w:r>
        <w:t>set (built-in type)</w:t>
        <w:t xml:space="preserve">, </w:t>
      </w:r>
      <w:hyperlink w:anchor="idm45965216535952">
        <w:r>
          <w:rPr>
            <w:rStyle w:val="Text1"/>
          </w:rPr>
          <w:t>Built-in Types</w:t>
        </w:r>
      </w:hyperlink>
    </w:p>
    <w:p>
      <w:pPr>
        <w:pStyle w:val="Para 003"/>
      </w:pPr>
      <w:r>
        <w:t>set (threading module)</w:t>
        <w:t xml:space="preserve">, </w:t>
      </w:r>
      <w:hyperlink w:anchor="idm45965192901072">
        <w:r>
          <w:rPr>
            <w:rStyle w:val="Text1"/>
          </w:rPr>
          <w:t>Event objects</w:t>
        </w:r>
      </w:hyperlink>
    </w:p>
    <w:p>
      <w:pPr>
        <w:pStyle w:val="Para 003"/>
      </w:pPr>
      <w:r>
        <w:t>set comprehensions</w:t>
        <w:t xml:space="preserve">, </w:t>
      </w:r>
      <w:hyperlink w:anchor="idm45965257566496">
        <w:r>
          <w:rPr>
            <w:rStyle w:val="Text1"/>
          </w:rPr>
          <w:t>Set comprehensions</w:t>
        </w:r>
      </w:hyperlink>
    </w:p>
    <w:p>
      <w:pPr>
        <w:pStyle w:val="Para 003"/>
      </w:pPr>
      <w:r>
        <w:t>set operations</w:t>
      </w:r>
    </w:p>
    <w:p>
      <w:pPr>
        <w:pStyle w:val="Para 004"/>
      </w:pPr>
      <w:r>
        <w:rPr>
          <w:rStyle w:val="Text2"/>
        </w:rPr>
        <w:t>optimizing</w:t>
        <w:t xml:space="preserve">, </w:t>
      </w:r>
      <w:hyperlink w:anchor="idm45965180771376">
        <w:r>
          <w:t>Set operations</w:t>
        </w:r>
      </w:hyperlink>
    </w:p>
    <w:p>
      <w:pPr>
        <w:pStyle w:val="Para 003"/>
      </w:pPr>
      <w:r>
        <w:t>set membership</w:t>
        <w:t xml:space="preserve">, </w:t>
      </w:r>
      <w:hyperlink w:anchor="idm45965278632352">
        <w:r>
          <w:rPr>
            <w:rStyle w:val="Text1"/>
          </w:rPr>
          <w:t>Set Membership</w:t>
        </w:r>
      </w:hyperlink>
    </w:p>
    <w:p>
      <w:pPr>
        <w:pStyle w:val="Para 003"/>
      </w:pPr>
      <w:r>
        <w:t>set methods</w:t>
        <w:t xml:space="preserve">, </w:t>
      </w:r>
      <w:hyperlink w:anchor="idm45965278615904">
        <w:r>
          <w:rPr>
            <w:rStyle w:val="Text1"/>
          </w:rPr>
          <w:t>Set Methods</w:t>
        </w:r>
      </w:hyperlink>
    </w:p>
    <w:p>
      <w:pPr>
        <w:pStyle w:val="Para 003"/>
      </w:pPr>
      <w:r>
        <w:t>special methods for containers</w:t>
        <w:t xml:space="preserve">, </w:t>
      </w:r>
      <w:hyperlink w:anchor="idm45965264543792">
        <w:r>
          <w:rPr>
            <w:rStyle w:val="Text1"/>
          </w:rPr>
          <w:t>Sets</w:t>
        </w:r>
      </w:hyperlink>
    </w:p>
    <w:p>
      <w:pPr>
        <w:pStyle w:val="Para 003"/>
      </w:pPr>
      <w:r>
        <w:t>setattr (built-in function)</w:t>
        <w:t xml:space="preserve">, </w:t>
      </w:r>
      <w:hyperlink w:anchor="idm45965215279072">
        <w:r>
          <w:rPr>
            <w:rStyle w:val="Text1"/>
          </w:rPr>
          <w:t>Built-in Functions</w:t>
        </w:r>
      </w:hyperlink>
    </w:p>
    <w:p>
      <w:pPr>
        <w:pStyle w:val="Para 003"/>
      </w:pPr>
      <w:r>
        <w:t>setdefault (dict method)</w:t>
        <w:t xml:space="preserve">, </w:t>
      </w:r>
      <w:hyperlink w:anchor="idm45965283440320">
        <w:r>
          <w:rPr>
            <w:rStyle w:val="Text1"/>
          </w:rPr>
          <w:t>Dictionary Methods</w:t>
        </w:r>
      </w:hyperlink>
    </w:p>
    <w:p>
      <w:pPr>
        <w:pStyle w:val="Para 003"/>
      </w:pPr>
      <w:r>
        <w:t>setdefaulttimeout (socket module)</w:t>
        <w:t xml:space="preserve">, </w:t>
      </w:r>
      <w:hyperlink w:anchor="idm45965177445376">
        <w:r>
          <w:rPr>
            <w:rStyle w:val="Text1"/>
          </w:rPr>
          <w:t>The socket Module</w:t>
        </w:r>
      </w:hyperlink>
    </w:p>
    <w:p>
      <w:pPr>
        <w:pStyle w:val="Para 003"/>
      </w:pPr>
      <w:r>
        <w:t>setrecursionlimit (sys module)</w:t>
        <w:t xml:space="preserve">, </w:t>
      </w:r>
      <w:hyperlink w:anchor="idm45965258951696">
        <w:r>
          <w:rPr>
            <w:rStyle w:val="Text1"/>
          </w:rPr>
          <w:t>Recursion</w:t>
        </w:r>
      </w:hyperlink>
      <w:r>
        <w:t xml:space="preserve">, </w:t>
      </w:r>
      <w:hyperlink w:anchor="idm45965214721376">
        <w:r>
          <w:rPr>
            <w:rStyle w:val="Text1"/>
          </w:rPr>
          <w:t>The sys Module</w:t>
        </w:r>
      </w:hyperlink>
    </w:p>
    <w:p>
      <w:pPr>
        <w:pStyle w:val="Para 003"/>
      </w:pPr>
      <w:r>
        <w:t>sets</w:t>
        <w:t xml:space="preserve">, </w:t>
      </w:r>
      <w:hyperlink w:anchor="idm45965265504160">
        <w:r>
          <w:rPr>
            <w:rStyle w:val="Text1"/>
          </w:rPr>
          <w:t>Sets</w:t>
        </w:r>
      </w:hyperlink>
    </w:p>
    <w:p>
      <w:pPr>
        <w:pStyle w:val="Para 003"/>
      </w:pPr>
      <w:r>
        <w:t>sets of characters</w:t>
        <w:t xml:space="preserve">, </w:t>
      </w:r>
      <w:hyperlink w:anchor="idm45965208696080">
        <w:r>
          <w:rPr>
            <w:rStyle w:val="Text1"/>
          </w:rPr>
          <w:t>Sets of Characters</w:t>
        </w:r>
      </w:hyperlink>
    </w:p>
    <w:p>
      <w:pPr>
        <w:pStyle w:val="Para 003"/>
      </w:pPr>
      <w:r>
        <w:t>setUp (unittest.TestCase class)</w:t>
        <w:t xml:space="preserve">, </w:t>
      </w:r>
      <w:hyperlink w:anchor="idm45965182957104">
        <w:r>
          <w:rPr>
            <w:rStyle w:val="Text1"/>
          </w:rPr>
          <w:t>The TestCase class</w:t>
        </w:r>
      </w:hyperlink>
    </w:p>
    <w:p>
      <w:pPr>
        <w:pStyle w:val="Para 004"/>
      </w:pPr>
      <w:r>
        <w:rPr>
          <w:rStyle w:val="Text2"/>
        </w:rPr>
        <w:t>setuptools</w:t>
        <w:t xml:space="preserve">, </w:t>
      </w:r>
      <w:hyperlink w:anchor="seetuptools07">
        <w:r>
          <w:t>Distribution Utilities (distutils) and setuptools</w:t>
        </w:r>
      </w:hyperlink>
      <w:r>
        <w:rPr>
          <w:rStyle w:val="Text2"/>
        </w:rPr>
        <w:t>-</w:t>
      </w:r>
      <w:hyperlink w:anchor="idm45965217059952">
        <w:r>
          <w:t>Distribution Utilities (distutils) and setuptools</w:t>
        </w:r>
      </w:hyperlink>
    </w:p>
    <w:p>
      <w:pPr>
        <w:pStyle w:val="Para 003"/>
      </w:pPr>
      <w:r>
        <w:t>set_completer (readline module)</w:t>
        <w:t xml:space="preserve">, </w:t>
      </w:r>
      <w:hyperlink w:anchor="idm45965201579936">
        <w:r>
          <w:rPr>
            <w:rStyle w:val="Text1"/>
          </w:rPr>
          <w:t>The readline Module</w:t>
        </w:r>
      </w:hyperlink>
    </w:p>
    <w:p>
      <w:pPr>
        <w:pStyle w:val="Para 003"/>
      </w:pPr>
      <w:r>
        <w:t>set_debug (gc module)</w:t>
        <w:t xml:space="preserve">, </w:t>
      </w:r>
      <w:hyperlink w:anchor="idm45965194095536">
        <w:r>
          <w:rPr>
            <w:rStyle w:val="Text1"/>
          </w:rPr>
          <w:t>The gc Module</w:t>
        </w:r>
      </w:hyperlink>
    </w:p>
    <w:p>
      <w:pPr>
        <w:pStyle w:val="Para 003"/>
      </w:pPr>
      <w:r>
        <w:t>set_threshold (gc module)</w:t>
        <w:t xml:space="preserve">, </w:t>
      </w:r>
      <w:hyperlink w:anchor="idm45965194074528">
        <w:r>
          <w:rPr>
            <w:rStyle w:val="Text1"/>
          </w:rPr>
          <w:t>The gc Module</w:t>
        </w:r>
      </w:hyperlink>
    </w:p>
    <w:p>
      <w:pPr>
        <w:pStyle w:val="Para 003"/>
      </w:pPr>
      <w:r>
        <w:t>SGML (Standard Generalized Markup Language)</w:t>
        <w:t xml:space="preserve">, </w:t>
      </w:r>
      <w:hyperlink w:anchor="idm45965171983904">
        <w:r>
          <w:rPr>
            <w:rStyle w:val="Text1"/>
          </w:rPr>
          <w:t>Structured Text: HTML</w:t>
        </w:r>
      </w:hyperlink>
    </w:p>
    <w:p>
      <w:pPr>
        <w:pStyle w:val="Para 003"/>
      </w:pPr>
      <w:r>
        <w:t>shallow copies</w:t>
        <w:t xml:space="preserve">, </w:t>
      </w:r>
      <w:hyperlink w:anchor="idm45965214637616">
        <w:r>
          <w:rPr>
            <w:rStyle w:val="Text1"/>
          </w:rPr>
          <w:t>The copy Module</w:t>
        </w:r>
      </w:hyperlink>
    </w:p>
    <w:p>
      <w:pPr>
        <w:pStyle w:val="Para 004"/>
      </w:pPr>
      <w:r>
        <w:rPr>
          <w:rStyle w:val="Text2"/>
        </w:rPr>
        <w:t>shebang (#!)</w:t>
        <w:t xml:space="preserve">, </w:t>
      </w:r>
      <w:hyperlink w:anchor="idm45965278465216">
        <w:r>
          <w:t>Running Python Programs</w:t>
        </w:r>
      </w:hyperlink>
      <w:r>
        <w:rPr>
          <w:rStyle w:val="Text2"/>
        </w:rPr>
        <w:t xml:space="preserve">, </w:t>
      </w:r>
      <w:hyperlink w:anchor="idm45965284070160">
        <w:r>
          <w:t>Character Sets</w:t>
        </w:r>
      </w:hyperlink>
    </w:p>
    <w:p>
      <w:pPr>
        <w:pStyle w:val="Para 003"/>
      </w:pPr>
      <w:r>
        <w:t>shell environments</w:t>
        <w:t xml:space="preserve">, </w:t>
      </w:r>
      <w:hyperlink w:anchor="idm45965217046912">
        <w:r>
          <w:rPr>
            <w:rStyle w:val="Text1"/>
          </w:rPr>
          <w:t>Python Environments</w:t>
        </w:r>
      </w:hyperlink>
    </w:p>
    <w:p>
      <w:pPr>
        <w:pStyle w:val="Para 004"/>
      </w:pPr>
      <w:r>
        <w:rPr>
          <w:rStyle w:val="Text2"/>
        </w:rPr>
        <w:t>shell utilities</w:t>
        <w:t xml:space="preserve">, </w:t>
      </w:r>
      <w:hyperlink w:anchor="shelutil11">
        <w:r>
          <w:t>The shutil Module</w:t>
        </w:r>
      </w:hyperlink>
      <w:r>
        <w:rPr>
          <w:rStyle w:val="Text2"/>
        </w:rPr>
        <w:t>-</w:t>
      </w:r>
      <w:hyperlink w:anchor="idm45965202027536">
        <w:r>
          <w:t>The shutil Module</w:t>
        </w:r>
      </w:hyperlink>
    </w:p>
    <w:p>
      <w:pPr>
        <w:pStyle w:val="Para 004"/>
      </w:pPr>
      <w:r>
        <w:rPr>
          <w:rStyle w:val="Text2"/>
        </w:rPr>
        <w:t>shelve module</w:t>
        <w:t xml:space="preserve">, </w:t>
      </w:r>
      <w:hyperlink w:anchor="idm45965199044112">
        <w:r>
          <w:t>The shelve Module</w:t>
        </w:r>
      </w:hyperlink>
    </w:p>
    <w:p>
      <w:pPr>
        <w:pStyle w:val="Para 003"/>
      </w:pPr>
      <w:r>
        <w:t>short-circuiting operators</w:t>
        <w:t xml:space="preserve">, </w:t>
      </w:r>
      <w:hyperlink w:anchor="idm45965275064096">
        <w:r>
          <w:rPr>
            <w:rStyle w:val="Text1"/>
          </w:rPr>
          <w:t>Short-Circuiting Operators</w:t>
        </w:r>
      </w:hyperlink>
    </w:p>
    <w:p>
      <w:pPr>
        <w:pStyle w:val="Para 003"/>
      </w:pPr>
      <w:r>
        <w:t>shuffle (random module)</w:t>
        <w:t xml:space="preserve">, </w:t>
      </w:r>
      <w:hyperlink w:anchor="idm45965186328976">
        <w:r>
          <w:rPr>
            <w:rStyle w:val="Text1"/>
          </w:rPr>
          <w:t>The random Module</w:t>
        </w:r>
      </w:hyperlink>
    </w:p>
    <w:p>
      <w:pPr>
        <w:pStyle w:val="Para 004"/>
      </w:pPr>
      <w:r>
        <w:rPr>
          <w:rStyle w:val="Text2"/>
        </w:rPr>
        <w:t>shutil module</w:t>
        <w:t xml:space="preserve">, </w:t>
      </w:r>
      <w:hyperlink w:anchor="shutilmod11">
        <w:r>
          <w:t>The shutil Module</w:t>
        </w:r>
      </w:hyperlink>
      <w:r>
        <w:rPr>
          <w:rStyle w:val="Text2"/>
        </w:rPr>
        <w:t>-</w:t>
      </w:r>
      <w:hyperlink w:anchor="idm45965202030320">
        <w:r>
          <w:t>The shutil Module</w:t>
        </w:r>
      </w:hyperlink>
    </w:p>
    <w:p>
      <w:pPr>
        <w:pStyle w:val="Para 003"/>
      </w:pPr>
      <w:r>
        <w:t>sign indication</w:t>
        <w:t xml:space="preserve">, </w:t>
      </w:r>
      <w:hyperlink w:anchor="idm45965211147552">
        <w:r>
          <w:rPr>
            <w:rStyle w:val="Text1"/>
          </w:rPr>
          <w:t>Sign indication</w:t>
        </w:r>
      </w:hyperlink>
    </w:p>
    <w:p>
      <w:pPr>
        <w:pStyle w:val="Para 003"/>
      </w:pPr>
      <w:r>
        <w:t>signatures</w:t>
        <w:t xml:space="preserve"> (</w:t>
        <w:t>see</w:t>
        <w:t xml:space="preserve"> function signatures)</w:t>
      </w:r>
    </w:p>
    <w:p>
      <w:pPr>
        <w:pStyle w:val="Para 004"/>
      </w:pPr>
      <w:r>
        <w:rPr>
          <w:rStyle w:val="Text2"/>
        </w:rPr>
        <w:t>significand</w:t>
        <w:t xml:space="preserve">, </w:t>
      </w:r>
      <w:hyperlink w:anchor="idm45965188117872">
        <w:r>
          <w:t>Floating-Point Values</w:t>
        </w:r>
      </w:hyperlink>
    </w:p>
    <w:p>
      <w:pPr>
        <w:pStyle w:val="Para 004"/>
      </w:pPr>
      <w:r>
        <w:rPr>
          <w:rStyle w:val="Text2"/>
        </w:rPr>
        <w:t>significant changes</w:t>
        <w:t xml:space="preserve">, </w:t>
      </w:r>
      <w:hyperlink w:anchor="idm45965284115408">
        <w:r>
          <w:t>Version Conventions</w:t>
        </w:r>
      </w:hyperlink>
      <w:r>
        <w:rPr>
          <w:rStyle w:val="Text2"/>
        </w:rPr>
        <w:t xml:space="preserve">, </w:t>
      </w:r>
      <w:hyperlink w:anchor="sigch26">
        <w:r>
          <w:t>Significant Changes in Python Through 3.11</w:t>
        </w:r>
      </w:hyperlink>
      <w:r>
        <w:rPr>
          <w:rStyle w:val="Text2"/>
        </w:rPr>
        <w:t>-</w:t>
      </w:r>
      <w:hyperlink w:anchor="idm45965162605232">
        <w:r>
          <w:t>Significant Changes in Python Through 3.11</w:t>
        </w:r>
      </w:hyperlink>
      <w:r>
        <w:rPr>
          <w:rStyle w:val="Text2"/>
        </w:rPr>
        <w:t xml:space="preserve">, </w:t>
      </w:r>
      <w:hyperlink w:anchor="sigch27">
        <w:r>
          <w:t>New Features and Changes in Python 3.7 Through 3.11</w:t>
        </w:r>
      </w:hyperlink>
      <w:r>
        <w:rPr>
          <w:rStyle w:val="Text2"/>
        </w:rPr>
        <w:t>-</w:t>
      </w:r>
      <w:hyperlink w:anchor="idm45965160902960">
        <w:r>
          <w:t>Python 3.11</w:t>
        </w:r>
      </w:hyperlink>
    </w:p>
    <w:p>
      <w:pPr>
        <w:pStyle w:val="Para 004"/>
      </w:pPr>
      <w:r>
        <w:rPr>
          <w:rStyle w:val="Text2"/>
        </w:rPr>
        <w:t>significant digits</w:t>
        <w:t xml:space="preserve">, </w:t>
      </w:r>
      <w:hyperlink w:anchor="idm45965210596528">
        <w:r>
          <w:t>Precision specification</w:t>
        </w:r>
      </w:hyperlink>
    </w:p>
    <w:p>
      <w:pPr>
        <w:pStyle w:val="Para 003"/>
      </w:pPr>
      <w:r>
        <w:t>Simple Mail Transport Protocol (SMTP)</w:t>
        <w:t xml:space="preserve">, </w:t>
      </w:r>
      <w:hyperlink w:anchor="idm45965175958144">
        <w:r>
          <w:rPr>
            <w:rStyle w:val="Text1"/>
          </w:rPr>
          <w:t>Email Protocols</w:t>
        </w:r>
      </w:hyperlink>
    </w:p>
    <w:p>
      <w:pPr>
        <w:pStyle w:val="Para 003"/>
      </w:pPr>
      <w:r>
        <w:t>Simple Network Management Protocol (SNMP)</w:t>
        <w:t xml:space="preserve">, </w:t>
      </w:r>
      <w:hyperlink w:anchor="idm45965174973936">
        <w:r>
          <w:rPr>
            <w:rStyle w:val="Text1"/>
          </w:rPr>
          <w:t>Other Network Protocols</w:t>
        </w:r>
      </w:hyperlink>
    </w:p>
    <w:p>
      <w:pPr>
        <w:pStyle w:val="Para 003"/>
      </w:pPr>
      <w:r>
        <w:t>simple statements</w:t>
        <w:t xml:space="preserve">, </w:t>
      </w:r>
      <w:hyperlink w:anchor="idm45965281995504">
        <w:r>
          <w:rPr>
            <w:rStyle w:val="Text1"/>
          </w:rPr>
          <w:t>Simple statements</w:t>
        </w:r>
      </w:hyperlink>
    </w:p>
    <w:p>
      <w:pPr>
        <w:pStyle w:val="Para 004"/>
      </w:pPr>
      <w:r>
        <w:rPr>
          <w:rStyle w:val="Text2"/>
        </w:rPr>
        <w:t>sin (math module)</w:t>
        <w:t xml:space="preserve">, </w:t>
      </w:r>
      <w:hyperlink w:anchor="idm45965187482016">
        <w:r>
          <w:t>The math and cmath Modules</w:t>
        </w:r>
      </w:hyperlink>
    </w:p>
    <w:p>
      <w:pPr>
        <w:pStyle w:val="Para 003"/>
      </w:pPr>
      <w:r>
        <w:t>single quote (')</w:t>
        <w:t xml:space="preserve">, </w:t>
      </w:r>
      <w:hyperlink w:anchor="idm45965276500528">
        <w:r>
          <w:rPr>
            <w:rStyle w:val="Text1"/>
          </w:rPr>
          <w:t>Delimiters</w:t>
        </w:r>
      </w:hyperlink>
      <w:r>
        <w:t xml:space="preserve">, </w:t>
      </w:r>
      <w:hyperlink w:anchor="idm45965282814448">
        <w:r>
          <w:rPr>
            <w:rStyle w:val="Text1"/>
          </w:rPr>
          <w:t>Strings</w:t>
        </w:r>
      </w:hyperlink>
    </w:p>
    <w:p>
      <w:pPr>
        <w:pStyle w:val="Para 003"/>
      </w:pPr>
      <w:r>
        <w:t>escaped (\')</w:t>
        <w:t xml:space="preserve">, </w:t>
      </w:r>
      <w:hyperlink w:anchor="idm45965276655584">
        <w:r>
          <w:rPr>
            <w:rStyle w:val="Text1"/>
          </w:rPr>
          <w:t>Strings</w:t>
        </w:r>
      </w:hyperlink>
    </w:p>
    <w:p>
      <w:pPr>
        <w:pStyle w:val="Para 003"/>
      </w:pPr>
      <w:r>
        <w:t>single-line loops</w:t>
        <w:t xml:space="preserve">, </w:t>
      </w:r>
      <w:hyperlink w:anchor="idm45965257819856">
        <w:r>
          <w:rPr>
            <w:rStyle w:val="Text1"/>
          </w:rPr>
          <w:t>List comprehensions</w:t>
        </w:r>
      </w:hyperlink>
    </w:p>
    <w:p>
      <w:pPr>
        <w:pStyle w:val="Para 003"/>
      </w:pPr>
      <w:r>
        <w:t>singledispatch (functools module)</w:t>
        <w:t xml:space="preserve">, </w:t>
      </w:r>
      <w:hyperlink w:anchor="idm45965277420720">
        <w:r>
          <w:rPr>
            <w:rStyle w:val="Text1"/>
          </w:rPr>
          <w:t>The functools Module</w:t>
        </w:r>
      </w:hyperlink>
    </w:p>
    <w:p>
      <w:pPr>
        <w:pStyle w:val="Para 003"/>
      </w:pPr>
      <w:r>
        <w:t>singledispatchmethod (functools module)</w:t>
        <w:t xml:space="preserve">, </w:t>
      </w:r>
      <w:hyperlink w:anchor="idm45965277390544">
        <w:r>
          <w:rPr>
            <w:rStyle w:val="Text1"/>
          </w:rPr>
          <w:t>The functools Module</w:t>
        </w:r>
      </w:hyperlink>
    </w:p>
    <w:p>
      <w:pPr>
        <w:pStyle w:val="Para 004"/>
      </w:pPr>
      <w:r>
        <w:rPr>
          <w:rStyle w:val="Text2"/>
        </w:rPr>
        <w:t>site customization</w:t>
        <w:t xml:space="preserve">, </w:t>
      </w:r>
      <w:hyperlink w:anchor="idm45965194926256">
        <w:r>
          <w:t>Per-Site Customization</w:t>
        </w:r>
      </w:hyperlink>
    </w:p>
    <w:p>
      <w:pPr>
        <w:pStyle w:val="Para 004"/>
      </w:pPr>
      <w:r>
        <w:rPr>
          <w:rStyle w:val="Text2"/>
        </w:rPr>
        <w:t>site module</w:t>
        <w:t xml:space="preserve">, </w:t>
      </w:r>
      <w:hyperlink w:anchor="idm45965194923920">
        <w:r>
          <w:t>Per-Site Customization</w:t>
        </w:r>
      </w:hyperlink>
    </w:p>
    <w:p>
      <w:pPr>
        <w:pStyle w:val="Para 004"/>
      </w:pPr>
      <w:r>
        <w:rPr>
          <w:rStyle w:val="Text2"/>
        </w:rPr>
        <w:t>site-packages directory</w:t>
        <w:t xml:space="preserve">, </w:t>
      </w:r>
      <w:hyperlink w:anchor="idm45965217049008">
        <w:r>
          <w:t>Python Environments</w:t>
        </w:r>
      </w:hyperlink>
      <w:r>
        <w:rPr>
          <w:rStyle w:val="Text2"/>
        </w:rPr>
        <w:t xml:space="preserve">, </w:t>
      </w:r>
      <w:hyperlink w:anchor="idm45965216960112">
        <w:r>
          <w:t>Working with Virtual Environments</w:t>
        </w:r>
      </w:hyperlink>
    </w:p>
    <w:p>
      <w:pPr>
        <w:pStyle w:val="Para 004"/>
      </w:pPr>
      <w:r>
        <w:rPr>
          <w:rStyle w:val="Text2"/>
        </w:rPr>
        <w:t>site.py</w:t>
        <w:t xml:space="preserve">, </w:t>
      </w:r>
      <w:hyperlink w:anchor="idm45965194906336">
        <w:r>
          <w:t>Per-Site Customization</w:t>
        </w:r>
      </w:hyperlink>
    </w:p>
    <w:p>
      <w:pPr>
        <w:pStyle w:val="Para 004"/>
      </w:pPr>
      <w:r>
        <w:rPr>
          <w:rStyle w:val="Text2"/>
        </w:rPr>
        <w:t>sitecustomize.py</w:t>
        <w:t xml:space="preserve">, </w:t>
      </w:r>
      <w:hyperlink w:anchor="idm45965194909984">
        <w:r>
          <w:t>Per-Site Customization</w:t>
        </w:r>
      </w:hyperlink>
    </w:p>
    <w:p>
      <w:pPr>
        <w:pStyle w:val="Para 003"/>
      </w:pPr>
      <w:r>
        <w:t>slash (/)</w:t>
      </w:r>
    </w:p>
    <w:p>
      <w:pPr>
        <w:pStyle w:val="Para 003"/>
      </w:pPr>
      <w:r>
        <w:t>in arithmetic operations</w:t>
        <w:t xml:space="preserve">, </w:t>
      </w:r>
      <w:hyperlink w:anchor="idm45965276264304">
        <w:r>
          <w:rPr>
            <w:rStyle w:val="Text1"/>
          </w:rPr>
          <w:t>Division</w:t>
        </w:r>
      </w:hyperlink>
    </w:p>
    <w:p>
      <w:pPr>
        <w:pStyle w:val="Para 004"/>
      </w:pPr>
      <w:r>
        <w:rPr>
          <w:rStyle w:val="Text2"/>
        </w:rPr>
        <w:t>in file paths</w:t>
        <w:t xml:space="preserve">, </w:t>
      </w:r>
      <w:hyperlink w:anchor="idm45965283006752">
        <w:r>
          <w:t>Command-Line Syntax and Options</w:t>
        </w:r>
      </w:hyperlink>
    </w:p>
    <w:p>
      <w:pPr>
        <w:pStyle w:val="Para 003"/>
      </w:pPr>
      <w:r>
        <w:t>in glob module</w:t>
        <w:t xml:space="preserve">, </w:t>
      </w:r>
      <w:hyperlink w:anchor="idm45965202285008">
        <w:r>
          <w:rPr>
            <w:rStyle w:val="Text1"/>
          </w:rPr>
          <w:t>The glob Module</w:t>
        </w:r>
      </w:hyperlink>
    </w:p>
    <w:p>
      <w:pPr>
        <w:pStyle w:val="Para 003"/>
      </w:pPr>
      <w:r>
        <w:t>pathlib.Path join operator</w:t>
        <w:t xml:space="preserve">, </w:t>
      </w:r>
      <w:hyperlink w:anchor="idm45965202598240">
        <w:r>
          <w:rPr>
            <w:rStyle w:val="Text1"/>
          </w:rPr>
          <w:t>The pathlib Module</w:t>
        </w:r>
      </w:hyperlink>
    </w:p>
    <w:p>
      <w:pPr>
        <w:pStyle w:val="Para 003"/>
      </w:pPr>
      <w:r>
        <w:t>sleep (time module)</w:t>
        <w:t xml:space="preserve">, </w:t>
      </w:r>
      <w:hyperlink w:anchor="idm45965196773472">
        <w:r>
          <w:rPr>
            <w:rStyle w:val="Text1"/>
          </w:rPr>
          <w:t>The time Module</w:t>
        </w:r>
      </w:hyperlink>
    </w:p>
    <w:p>
      <w:pPr>
        <w:pStyle w:val="Para 003"/>
      </w:pPr>
      <w:r>
        <w:t>slice (built-in type)</w:t>
        <w:t xml:space="preserve">, </w:t>
      </w:r>
      <w:hyperlink w:anchor="idm45965216499488">
        <w:r>
          <w:rPr>
            <w:rStyle w:val="Text1"/>
          </w:rPr>
          <w:t>Built-in Types</w:t>
        </w:r>
      </w:hyperlink>
    </w:p>
    <w:p>
      <w:pPr>
        <w:pStyle w:val="Para 003"/>
      </w:pPr>
      <w:r>
        <w:t>slicing</w:t>
      </w:r>
    </w:p>
    <w:p>
      <w:pPr>
        <w:pStyle w:val="Para 004"/>
      </w:pPr>
      <w:r>
        <w:rPr>
          <w:rStyle w:val="Text2"/>
        </w:rPr>
        <w:t>arrays</w:t>
        <w:t xml:space="preserve">, </w:t>
      </w:r>
      <w:hyperlink w:anchor="idm45965184616928">
        <w:r>
          <w:t>Shape, indexing, and slicing</w:t>
        </w:r>
      </w:hyperlink>
    </w:p>
    <w:p>
      <w:pPr>
        <w:pStyle w:val="Para 003"/>
      </w:pPr>
      <w:r>
        <w:t>plain assignment and</w:t>
        <w:t xml:space="preserve">, </w:t>
      </w:r>
      <w:hyperlink w:anchor="idm45965258599296">
        <w:r>
          <w:rPr>
            <w:rStyle w:val="Text1"/>
          </w:rPr>
          <w:t>Plain assignment</w:t>
        </w:r>
      </w:hyperlink>
    </w:p>
    <w:p>
      <w:pPr>
        <w:pStyle w:val="Para 004"/>
      </w:pPr>
      <w:r>
        <w:rPr>
          <w:rStyle w:val="Text2"/>
        </w:rPr>
        <w:t>sequences</w:t>
        <w:t xml:space="preserve">, </w:t>
      </w:r>
      <w:hyperlink w:anchor="idm45965279980608">
        <w:r>
          <w:t>Slicing a sequence</w:t>
        </w:r>
      </w:hyperlink>
    </w:p>
    <w:p>
      <w:pPr>
        <w:pStyle w:val="Para 003"/>
      </w:pPr>
      <w:r>
        <w:t>special methods for containers</w:t>
        <w:t xml:space="preserve">, </w:t>
      </w:r>
      <w:hyperlink w:anchor="idm45965264532992">
        <w:r>
          <w:rPr>
            <w:rStyle w:val="Text1"/>
          </w:rPr>
          <w:t>Container slicing</w:t>
        </w:r>
      </w:hyperlink>
    </w:p>
    <w:p>
      <w:pPr>
        <w:pStyle w:val="Para 003"/>
      </w:pPr>
      <w:r>
        <w:t>SMTP (Simple Mail Transport Protocol)</w:t>
        <w:t xml:space="preserve">, </w:t>
      </w:r>
      <w:hyperlink w:anchor="idm45965175957136">
        <w:r>
          <w:rPr>
            <w:rStyle w:val="Text1"/>
          </w:rPr>
          <w:t>Email Protocols</w:t>
        </w:r>
      </w:hyperlink>
    </w:p>
    <w:p>
      <w:pPr>
        <w:pStyle w:val="Para 004"/>
      </w:pPr>
      <w:r>
        <w:rPr>
          <w:rStyle w:val="Text2"/>
        </w:rPr>
        <w:t>smtplib module</w:t>
        <w:t xml:space="preserve">, </w:t>
      </w:r>
      <w:hyperlink w:anchor="idm45965175836960">
        <w:r>
          <w:t>The smtplib Module</w:t>
        </w:r>
      </w:hyperlink>
    </w:p>
    <w:p>
      <w:pPr>
        <w:pStyle w:val="Para 003"/>
      </w:pPr>
      <w:r>
        <w:t>snake case</w:t>
        <w:t xml:space="preserve">, </w:t>
      </w:r>
      <w:hyperlink w:anchor="idm45965276616656">
        <w:r>
          <w:rPr>
            <w:rStyle w:val="Text1"/>
          </w:rPr>
          <w:t>Identifiers</w:t>
        </w:r>
      </w:hyperlink>
    </w:p>
    <w:p>
      <w:pPr>
        <w:pStyle w:val="Para 003"/>
      </w:pPr>
      <w:r>
        <w:t>SNMP (Simple Network Management Protocol)</w:t>
        <w:t xml:space="preserve">, </w:t>
      </w:r>
      <w:hyperlink w:anchor="idm45965174975168">
        <w:r>
          <w:rPr>
            <w:rStyle w:val="Text1"/>
          </w:rPr>
          <w:t>Other Network Protocols</w:t>
        </w:r>
      </w:hyperlink>
    </w:p>
    <w:p>
      <w:pPr>
        <w:pStyle w:val="Para 003"/>
      </w:pPr>
      <w:r>
        <w:t>social media</w:t>
        <w:t xml:space="preserve">, </w:t>
      </w:r>
      <w:hyperlink w:anchor="idm45965279033632">
        <w:r>
          <w:rPr>
            <w:rStyle w:val="Text1"/>
          </w:rPr>
          <w:t>Social media</w:t>
        </w:r>
      </w:hyperlink>
    </w:p>
    <w:p>
      <w:pPr>
        <w:pStyle w:val="Para 004"/>
      </w:pPr>
      <w:r>
        <w:rPr>
          <w:rStyle w:val="Text2"/>
        </w:rPr>
        <w:t>socket module</w:t>
        <w:t xml:space="preserve">, </w:t>
      </w:r>
      <w:hyperlink w:anchor="socmod18">
        <w:r>
          <w:t>The socket Module</w:t>
        </w:r>
      </w:hyperlink>
      <w:r>
        <w:rPr>
          <w:rStyle w:val="Text2"/>
        </w:rPr>
        <w:t>-</w:t>
      </w:r>
      <w:hyperlink w:anchor="idm45965177440288">
        <w:r>
          <w:t>The socket Module</w:t>
        </w:r>
      </w:hyperlink>
    </w:p>
    <w:p>
      <w:pPr>
        <w:pStyle w:val="Para 004"/>
      </w:pPr>
      <w:r>
        <w:rPr>
          <w:rStyle w:val="Text2"/>
        </w:rPr>
        <w:t>socket objects</w:t>
        <w:t xml:space="preserve">, </w:t>
      </w:r>
      <w:hyperlink w:anchor="sockobj18">
        <w:r>
          <w:t>Socket Objects</w:t>
        </w:r>
      </w:hyperlink>
      <w:r>
        <w:rPr>
          <w:rStyle w:val="Text2"/>
        </w:rPr>
        <w:t>-</w:t>
      </w:r>
      <w:hyperlink w:anchor="idm45965177140880">
        <w:r>
          <w:t>Socket Objects</w:t>
        </w:r>
      </w:hyperlink>
    </w:p>
    <w:p>
      <w:pPr>
        <w:pStyle w:val="Para 003"/>
      </w:pPr>
      <w:r>
        <w:t>sockets</w:t>
      </w:r>
    </w:p>
    <w:p>
      <w:pPr>
        <w:pStyle w:val="Para 004"/>
      </w:pPr>
      <w:r>
        <w:rPr>
          <w:rStyle w:val="Text2"/>
        </w:rPr>
        <w:t>internet and Unix sockets</w:t>
        <w:t xml:space="preserve">, </w:t>
      </w:r>
      <w:hyperlink w:anchor="idm45965177671792">
        <w:r>
          <w:t>The Berkeley Socket Interface</w:t>
        </w:r>
      </w:hyperlink>
    </w:p>
    <w:p>
      <w:pPr>
        <w:pStyle w:val="Para 004"/>
      </w:pPr>
      <w:r>
        <w:rPr>
          <w:rStyle w:val="Text2"/>
        </w:rPr>
        <w:t>networking using</w:t>
        <w:t xml:space="preserve">, </w:t>
      </w:r>
      <w:hyperlink w:anchor="idm45965177678528">
        <w:r>
          <w:t>The Berkeley Socket Interface</w:t>
        </w:r>
      </w:hyperlink>
    </w:p>
    <w:p>
      <w:pPr>
        <w:pStyle w:val="Para 004"/>
      </w:pPr>
      <w:r>
        <w:rPr>
          <w:rStyle w:val="Text2"/>
        </w:rPr>
        <w:t>raw sockets</w:t>
        <w:t xml:space="preserve">, </w:t>
      </w:r>
      <w:hyperlink w:anchor="idm45965177659456">
        <w:r>
          <w:t>The Berkeley Socket Interface</w:t>
        </w:r>
      </w:hyperlink>
    </w:p>
    <w:p>
      <w:pPr>
        <w:pStyle w:val="Para 003"/>
      </w:pPr>
      <w:r>
        <w:t>socket addresses</w:t>
        <w:t xml:space="preserve">, </w:t>
      </w:r>
      <w:hyperlink w:anchor="idm45965177643792">
        <w:r>
          <w:rPr>
            <w:rStyle w:val="Text1"/>
          </w:rPr>
          <w:t>Socket Addresses</w:t>
        </w:r>
      </w:hyperlink>
    </w:p>
    <w:p>
      <w:pPr>
        <w:pStyle w:val="Para 003"/>
      </w:pPr>
      <w:r>
        <w:t>socket clients</w:t>
      </w:r>
    </w:p>
    <w:p>
      <w:pPr>
        <w:pStyle w:val="Para 004"/>
      </w:pPr>
      <w:r>
        <w:rPr>
          <w:rStyle w:val="Text2"/>
        </w:rPr>
        <w:t>connection-oriented</w:t>
        <w:t xml:space="preserve">, </w:t>
      </w:r>
      <w:hyperlink w:anchor="idm45965176776400">
        <w:r>
          <w:t>A Connection-Oriented Socket Client</w:t>
        </w:r>
      </w:hyperlink>
    </w:p>
    <w:p>
      <w:pPr>
        <w:pStyle w:val="Para 004"/>
      </w:pPr>
      <w:r>
        <w:rPr>
          <w:rStyle w:val="Text2"/>
        </w:rPr>
        <w:t>connectionless</w:t>
        <w:t xml:space="preserve">, </w:t>
      </w:r>
      <w:hyperlink w:anchor="idm45965177135152">
        <w:r>
          <w:t>A Connectionless Socket Client</w:t>
        </w:r>
      </w:hyperlink>
    </w:p>
    <w:p>
      <w:pPr>
        <w:pStyle w:val="Para 003"/>
      </w:pPr>
      <w:r>
        <w:t>socket servers</w:t>
      </w:r>
    </w:p>
    <w:p>
      <w:pPr>
        <w:pStyle w:val="Para 004"/>
      </w:pPr>
      <w:r>
        <w:rPr>
          <w:rStyle w:val="Text2"/>
        </w:rPr>
        <w:t>connection-oriented</w:t>
        <w:t xml:space="preserve">, </w:t>
      </w:r>
      <w:hyperlink w:anchor="idm45965176534096">
        <w:r>
          <w:t>A Connection-Oriented Socket Server</w:t>
        </w:r>
      </w:hyperlink>
    </w:p>
    <w:p>
      <w:pPr>
        <w:pStyle w:val="Para 004"/>
      </w:pPr>
      <w:r>
        <w:rPr>
          <w:rStyle w:val="Text2"/>
        </w:rPr>
        <w:t>connectionless</w:t>
        <w:t xml:space="preserve">, </w:t>
      </w:r>
      <w:hyperlink w:anchor="idm45965176944576">
        <w:r>
          <w:t>A Connectionless Socket Server</w:t>
        </w:r>
      </w:hyperlink>
    </w:p>
    <w:p>
      <w:pPr>
        <w:pStyle w:val="Para 003"/>
      </w:pPr>
      <w:r>
        <w:t>soft keywords</w:t>
        <w:t xml:space="preserve">, </w:t>
      </w:r>
      <w:hyperlink w:anchor="idm45965276553584">
        <w:r>
          <w:rPr>
            <w:rStyle w:val="Text1"/>
          </w:rPr>
          <w:t>Keywords</w:t>
        </w:r>
      </w:hyperlink>
    </w:p>
    <w:p>
      <w:pPr>
        <w:pStyle w:val="Para 003"/>
      </w:pPr>
      <w:r>
        <w:t>sort (list method)</w:t>
        <w:t xml:space="preserve">, </w:t>
      </w:r>
      <w:hyperlink w:anchor="idm45965278762208">
        <w:r>
          <w:rPr>
            <w:rStyle w:val="Text1"/>
          </w:rPr>
          <w:t>List methods</w:t>
        </w:r>
      </w:hyperlink>
    </w:p>
    <w:p>
      <w:pPr>
        <w:pStyle w:val="Para 003"/>
      </w:pPr>
      <w:r>
        <w:t>sorted (built-in function)</w:t>
        <w:t xml:space="preserve">, </w:t>
      </w:r>
      <w:hyperlink w:anchor="idm45965215263264">
        <w:r>
          <w:rPr>
            <w:rStyle w:val="Text1"/>
          </w:rPr>
          <w:t>Built-in Functions</w:t>
        </w:r>
      </w:hyperlink>
    </w:p>
    <w:p>
      <w:pPr>
        <w:pStyle w:val="Para 003"/>
      </w:pPr>
      <w:r>
        <w:t>sorting, optimization of</w:t>
        <w:t xml:space="preserve">, </w:t>
      </w:r>
      <w:hyperlink w:anchor="idm45965178489616">
        <w:r>
          <w:rPr>
            <w:rStyle w:val="Text1"/>
          </w:rPr>
          <w:t>Searching and sorting</w:t>
        </w:r>
      </w:hyperlink>
    </w:p>
    <w:p>
      <w:pPr>
        <w:pStyle w:val="Para 004"/>
      </w:pPr>
      <w:r>
        <w:rPr>
          <w:rStyle w:val="Text2"/>
        </w:rPr>
        <w:t>source distribution</w:t>
        <w:t xml:space="preserve">, </w:t>
      </w:r>
      <w:hyperlink w:anchor="idm45965278361232">
        <w:r>
          <w:t>Extension modules and Python sources</w:t>
        </w:r>
      </w:hyperlink>
      <w:r>
        <w:rPr>
          <w:rStyle w:val="Text2"/>
        </w:rPr>
        <w:t xml:space="preserve">, </w:t>
      </w:r>
      <w:hyperlink w:anchor="idm45965283069456">
        <w:r>
          <w:t>Installing Python from Source Code</w:t>
        </w:r>
      </w:hyperlink>
    </w:p>
    <w:p>
      <w:pPr>
        <w:pStyle w:val="Para 004"/>
      </w:pPr>
      <w:r>
        <w:rPr>
          <w:rStyle w:val="Text2"/>
        </w:rPr>
        <w:t>spaces</w:t>
        <w:t xml:space="preserve">, </w:t>
      </w:r>
      <w:hyperlink w:anchor="idm45965274388176">
        <w:r>
          <w:t>Lines and Indentation</w:t>
        </w:r>
      </w:hyperlink>
    </w:p>
    <w:p>
      <w:pPr>
        <w:pStyle w:val="Para 004"/>
      </w:pPr>
      <w:r>
        <w:rPr>
          <w:rStyle w:val="Text2"/>
        </w:rPr>
        <w:t>spawn function (os module)</w:t>
        <w:t xml:space="preserve">, </w:t>
      </w:r>
      <w:hyperlink w:anchor="idm45965188807088">
        <w:r>
          <w:t>Running Other Programs with the os Module</w:t>
        </w:r>
      </w:hyperlink>
    </w:p>
    <w:p>
      <w:pPr>
        <w:pStyle w:val="Para 004"/>
      </w:pPr>
      <w:r>
        <w:rPr>
          <w:rStyle w:val="Text2"/>
        </w:rPr>
        <w:t>spawnv function (os module)</w:t>
        <w:t xml:space="preserve">, </w:t>
      </w:r>
      <w:hyperlink w:anchor="idm45965188696640">
        <w:r>
          <w:t>Running Other Programs with the os Module</w:t>
        </w:r>
      </w:hyperlink>
    </w:p>
    <w:p>
      <w:pPr>
        <w:pStyle w:val="Para 004"/>
      </w:pPr>
      <w:r>
        <w:rPr>
          <w:rStyle w:val="Text2"/>
        </w:rPr>
        <w:t>special methods</w:t>
        <w:t xml:space="preserve">, </w:t>
      </w:r>
      <w:hyperlink w:anchor="spmeth04">
        <w:r>
          <w:t>Special Methods</w:t>
        </w:r>
      </w:hyperlink>
      <w:r>
        <w:rPr>
          <w:rStyle w:val="Text2"/>
        </w:rPr>
        <w:t>-</w:t>
      </w:r>
      <w:hyperlink w:anchor="idm45965281275984">
        <w:r>
          <w:t>Special Methods for Numeric Objects</w:t>
        </w:r>
      </w:hyperlink>
    </w:p>
    <w:p>
      <w:pPr>
        <w:pStyle w:val="Para 003"/>
      </w:pPr>
      <w:r>
        <w:t>abstract base classes (ABCs)</w:t>
        <w:t xml:space="preserve">, </w:t>
      </w:r>
      <w:hyperlink w:anchor="idm45965264215472">
        <w:r>
          <w:rPr>
            <w:rStyle w:val="Text1"/>
          </w:rPr>
          <w:t>Abstract Base Classes</w:t>
        </w:r>
      </w:hyperlink>
    </w:p>
    <w:p>
      <w:pPr>
        <w:pStyle w:val="Para 004"/>
      </w:pPr>
      <w:r>
        <w:rPr>
          <w:rStyle w:val="Text2"/>
        </w:rPr>
        <w:t>basics of</w:t>
        <w:t xml:space="preserve">, </w:t>
      </w:r>
      <w:hyperlink w:anchor="idm45965265082080">
        <w:r>
          <w:t>Special Methods</w:t>
        </w:r>
      </w:hyperlink>
    </w:p>
    <w:p>
      <w:pPr>
        <w:pStyle w:val="Para 004"/>
      </w:pPr>
      <w:r>
        <w:rPr>
          <w:rStyle w:val="Text2"/>
        </w:rPr>
        <w:t>for containers</w:t>
        <w:t xml:space="preserve">, </w:t>
      </w:r>
      <w:hyperlink w:anchor="idm45965264628800">
        <w:r>
          <w:t>Special Methods for Containers</w:t>
        </w:r>
      </w:hyperlink>
    </w:p>
    <w:p>
      <w:pPr>
        <w:pStyle w:val="Para 004"/>
      </w:pPr>
      <w:r>
        <w:rPr>
          <w:rStyle w:val="Text2"/>
        </w:rPr>
        <w:t>general-purpose</w:t>
        <w:t xml:space="preserve">, </w:t>
      </w:r>
      <w:hyperlink w:anchor="idm45965265048656">
        <w:r>
          <w:t>General-Purpose Special Methods</w:t>
        </w:r>
      </w:hyperlink>
    </w:p>
    <w:p>
      <w:pPr>
        <w:pStyle w:val="Para 004"/>
      </w:pPr>
      <w:r>
        <w:rPr>
          <w:rStyle w:val="Text2"/>
        </w:rPr>
        <w:t>for numeric objects</w:t>
        <w:t xml:space="preserve">, </w:t>
      </w:r>
      <w:hyperlink w:anchor="idm45965281626272">
        <w:r>
          <w:t>Special Methods for Numeric Objects</w:t>
        </w:r>
      </w:hyperlink>
    </w:p>
    <w:p>
      <w:pPr>
        <w:pStyle w:val="Para 004"/>
      </w:pPr>
      <w:r>
        <w:rPr>
          <w:rStyle w:val="Text2"/>
        </w:rPr>
        <w:t>spidering</w:t>
        <w:t xml:space="preserve">, </w:t>
      </w:r>
      <w:hyperlink w:anchor="idm45965171970000">
        <w:r>
          <w:t>Structured Text: HTML</w:t>
        </w:r>
      </w:hyperlink>
    </w:p>
    <w:p>
      <w:pPr>
        <w:pStyle w:val="Para 003"/>
      </w:pPr>
      <w:r>
        <w:t>split (os.path module)</w:t>
        <w:t xml:space="preserve">, </w:t>
      </w:r>
      <w:hyperlink w:anchor="idm45965203544128">
        <w:r>
          <w:rPr>
            <w:rStyle w:val="Text1"/>
          </w:rPr>
          <w:t>The os.path Module</w:t>
        </w:r>
      </w:hyperlink>
    </w:p>
    <w:p>
      <w:pPr>
        <w:pStyle w:val="Para 004"/>
      </w:pPr>
      <w:r>
        <w:rPr>
          <w:rStyle w:val="Text2"/>
        </w:rPr>
        <w:t>split (string method)</w:t>
        <w:t xml:space="preserve">, </w:t>
      </w:r>
      <w:hyperlink w:anchor="idm45965212424496">
        <w:r>
          <w:t>Methods of String Objects</w:t>
        </w:r>
      </w:hyperlink>
    </w:p>
    <w:p>
      <w:pPr>
        <w:pStyle w:val="Para 003"/>
      </w:pPr>
      <w:r>
        <w:t>splitlines (string method)</w:t>
        <w:t xml:space="preserve">, </w:t>
      </w:r>
      <w:hyperlink w:anchor="idm45965212382304">
        <w:r>
          <w:rPr>
            <w:rStyle w:val="Text1"/>
          </w:rPr>
          <w:t>Methods of String Objects</w:t>
        </w:r>
      </w:hyperlink>
    </w:p>
    <w:p>
      <w:pPr>
        <w:pStyle w:val="Para 003"/>
      </w:pPr>
      <w:r>
        <w:t>SpooledTemporaryFile class (tempfile module)</w:t>
        <w:t xml:space="preserve">, </w:t>
      </w:r>
      <w:hyperlink w:anchor="idm45965205731696">
        <w:r>
          <w:rPr>
            <w:rStyle w:val="Text1"/>
          </w:rPr>
          <w:t>The tempfile Module</w:t>
        </w:r>
      </w:hyperlink>
    </w:p>
    <w:p>
      <w:pPr>
        <w:pStyle w:val="Para 004"/>
      </w:pPr>
      <w:r>
        <w:rPr>
          <w:rStyle w:val="Text2"/>
        </w:rPr>
        <w:t>spur module</w:t>
        <w:t xml:space="preserve">, </w:t>
      </w:r>
      <w:hyperlink w:anchor="idm45965175005888">
        <w:r>
          <w:t>Other Network Protocols</w:t>
        </w:r>
      </w:hyperlink>
    </w:p>
    <w:p>
      <w:pPr>
        <w:pStyle w:val="Para 003"/>
      </w:pPr>
      <w:r>
        <w:t>SQL injection attacks</w:t>
        <w:t xml:space="preserve">, </w:t>
      </w:r>
      <w:hyperlink w:anchor="idm45965197980272">
        <w:r>
          <w:rPr>
            <w:rStyle w:val="Text1"/>
          </w:rPr>
          <w:t>Parameter Style</w:t>
        </w:r>
      </w:hyperlink>
    </w:p>
    <w:p>
      <w:pPr>
        <w:pStyle w:val="Para 003"/>
      </w:pPr>
      <w:r>
        <w:t>SQLite library (sqlite3 module)</w:t>
        <w:t xml:space="preserve">, </w:t>
      </w:r>
      <w:hyperlink w:anchor="sqlite12">
        <w:r>
          <w:rPr>
            <w:rStyle w:val="Text1"/>
          </w:rPr>
          <w:t>SQLite</w:t>
        </w:r>
      </w:hyperlink>
      <w:r>
        <w:t>-</w:t>
      </w:r>
      <w:hyperlink w:anchor="idm45965197142256">
        <w:r>
          <w:rPr>
            <w:rStyle w:val="Text1"/>
          </w:rPr>
          <w:t>A sqlite3 example</w:t>
        </w:r>
      </w:hyperlink>
    </w:p>
    <w:p>
      <w:pPr>
        <w:pStyle w:val="Para 004"/>
      </w:pPr>
      <w:r>
        <w:rPr>
          <w:rStyle w:val="Text2"/>
        </w:rPr>
        <w:t>sqlite3.Connection class</w:t>
        <w:t xml:space="preserve">, </w:t>
      </w:r>
      <w:hyperlink w:anchor="idm45965197337184">
        <w:r>
          <w:t>The sqlite3.Connection class</w:t>
        </w:r>
      </w:hyperlink>
    </w:p>
    <w:p>
      <w:pPr>
        <w:pStyle w:val="Para 003"/>
      </w:pPr>
      <w:r>
        <w:t>SSH (Secure Shell) protocol</w:t>
        <w:t xml:space="preserve">, </w:t>
      </w:r>
      <w:hyperlink w:anchor="idm45965175010256">
        <w:r>
          <w:rPr>
            <w:rStyle w:val="Text1"/>
          </w:rPr>
          <w:t>Other Network Protocols</w:t>
        </w:r>
      </w:hyperlink>
    </w:p>
    <w:p>
      <w:pPr>
        <w:pStyle w:val="Para 003"/>
      </w:pPr>
      <w:r>
        <w:t>SSL (Secure Sockets Layer)</w:t>
        <w:t xml:space="preserve">, </w:t>
      </w:r>
      <w:hyperlink w:anchor="idm45965176287376">
        <w:r>
          <w:rPr>
            <w:rStyle w:val="Text1"/>
          </w:rPr>
          <w:t>Transport Layer Security</w:t>
        </w:r>
      </w:hyperlink>
    </w:p>
    <w:p>
      <w:pPr>
        <w:pStyle w:val="Para 003"/>
      </w:pPr>
      <w:r>
        <w:t>ssl module</w:t>
        <w:t xml:space="preserve">, </w:t>
      </w:r>
      <w:hyperlink w:anchor="idm45965176197072">
        <w:r>
          <w:rPr>
            <w:rStyle w:val="Text1"/>
          </w:rPr>
          <w:t>SSLContext</w:t>
        </w:r>
      </w:hyperlink>
    </w:p>
    <w:p>
      <w:pPr>
        <w:pStyle w:val="Para 003"/>
      </w:pPr>
      <w:r>
        <w:t>SSLContext class (ssl module)</w:t>
        <w:t xml:space="preserve">, </w:t>
      </w:r>
      <w:hyperlink w:anchor="idm45965176196096">
        <w:r>
          <w:rPr>
            <w:rStyle w:val="Text1"/>
          </w:rPr>
          <w:t>SSLContext</w:t>
        </w:r>
      </w:hyperlink>
    </w:p>
    <w:p>
      <w:pPr>
        <w:pStyle w:val="Para 003"/>
      </w:pPr>
      <w:r>
        <w:t>stack (inspect module)</w:t>
        <w:t xml:space="preserve">, </w:t>
      </w:r>
      <w:hyperlink w:anchor="idm45965182093808">
        <w:r>
          <w:rPr>
            <w:rStyle w:val="Text1"/>
          </w:rPr>
          <w:t>The inspect Module</w:t>
        </w:r>
      </w:hyperlink>
    </w:p>
    <w:p>
      <w:pPr>
        <w:pStyle w:val="Para 004"/>
      </w:pPr>
      <w:r>
        <w:rPr>
          <w:rStyle w:val="Text2"/>
        </w:rPr>
        <w:t>standard error</w:t>
        <w:t xml:space="preserve">, </w:t>
      </w:r>
      <w:hyperlink w:anchor="idm45965202000896">
        <w:r>
          <w:t>Standard Output and Standard Error</w:t>
        </w:r>
      </w:hyperlink>
    </w:p>
    <w:p>
      <w:pPr>
        <w:pStyle w:val="Para 003"/>
      </w:pPr>
      <w:r>
        <w:t>standard exceptions</w:t>
      </w:r>
    </w:p>
    <w:p>
      <w:pPr>
        <w:pStyle w:val="Para 003"/>
      </w:pPr>
      <w:r>
        <w:t>classes raised by runtime errors</w:t>
        <w:t xml:space="preserve">, </w:t>
      </w:r>
      <w:hyperlink w:anchor="idm45965256859152">
        <w:r>
          <w:rPr>
            <w:rStyle w:val="Text1"/>
          </w:rPr>
          <w:t>Standard Exception Classes</w:t>
        </w:r>
      </w:hyperlink>
    </w:p>
    <w:p>
      <w:pPr>
        <w:pStyle w:val="Para 004"/>
      </w:pPr>
      <w:r>
        <w:rPr>
          <w:rStyle w:val="Text2"/>
        </w:rPr>
        <w:t>hierarchy of</w:t>
        <w:t xml:space="preserve">, </w:t>
      </w:r>
      <w:hyperlink w:anchor="idm45965256887456">
        <w:r>
          <w:t>The Hierarchy of Standard Exceptions</w:t>
        </w:r>
      </w:hyperlink>
    </w:p>
    <w:p>
      <w:pPr>
        <w:pStyle w:val="Para 003"/>
      </w:pPr>
      <w:r>
        <w:t>OSError subclasses</w:t>
        <w:t xml:space="preserve">, </w:t>
      </w:r>
      <w:hyperlink w:anchor="idm45965256793664">
        <w:r>
          <w:rPr>
            <w:rStyle w:val="Text1"/>
          </w:rPr>
          <w:t>OSError subclasses</w:t>
        </w:r>
      </w:hyperlink>
    </w:p>
    <w:p>
      <w:pPr>
        <w:pStyle w:val="Para 003"/>
      </w:pPr>
      <w:r>
        <w:t>Standard Generalized Markup Language (SGML)</w:t>
        <w:t xml:space="preserve">, </w:t>
      </w:r>
      <w:hyperlink w:anchor="idm45965171982704">
        <w:r>
          <w:rPr>
            <w:rStyle w:val="Text1"/>
          </w:rPr>
          <w:t>Structured Text: HTML</w:t>
        </w:r>
      </w:hyperlink>
    </w:p>
    <w:p>
      <w:pPr>
        <w:pStyle w:val="Para 003"/>
      </w:pPr>
      <w:r>
        <w:t>standard input</w:t>
        <w:t xml:space="preserve">, </w:t>
      </w:r>
      <w:hyperlink w:anchor="idm45965201859824">
        <w:r>
          <w:rPr>
            <w:rStyle w:val="Text1"/>
          </w:rPr>
          <w:t>Standard Input</w:t>
        </w:r>
      </w:hyperlink>
    </w:p>
    <w:p>
      <w:pPr>
        <w:pStyle w:val="Para 003"/>
      </w:pPr>
      <w:r>
        <w:t>standard library modules</w:t>
      </w:r>
    </w:p>
    <w:p>
      <w:pPr>
        <w:pStyle w:val="Para 004"/>
      </w:pPr>
      <w:r>
        <w:rPr>
          <w:rStyle w:val="Text2"/>
        </w:rPr>
        <w:t>abc</w:t>
        <w:t xml:space="preserve">, </w:t>
      </w:r>
      <w:hyperlink w:anchor="idm45965264201872">
        <w:r>
          <w:t>The abc module</w:t>
        </w:r>
      </w:hyperlink>
    </w:p>
    <w:p>
      <w:pPr>
        <w:pStyle w:val="Para 004"/>
      </w:pPr>
      <w:r>
        <w:rPr>
          <w:rStyle w:val="Text2"/>
        </w:rPr>
        <w:t>argparse</w:t>
        <w:t xml:space="preserve">, </w:t>
      </w:r>
      <w:hyperlink w:anchor="SLarg08">
        <w:r>
          <w:t>The argparse Module</w:t>
        </w:r>
      </w:hyperlink>
      <w:r>
        <w:rPr>
          <w:rStyle w:val="Text2"/>
        </w:rPr>
        <w:t>-</w:t>
      </w:r>
      <w:hyperlink w:anchor="idm45965213903168">
        <w:r>
          <w:t>The argparse Module</w:t>
        </w:r>
      </w:hyperlink>
    </w:p>
    <w:p>
      <w:pPr>
        <w:pStyle w:val="Para 004"/>
      </w:pPr>
      <w:r>
        <w:rPr>
          <w:rStyle w:val="Text2"/>
        </w:rPr>
        <w:t>ast</w:t>
        <w:t xml:space="preserve">, </w:t>
      </w:r>
      <w:hyperlink w:anchor="idm45965201823200">
        <w:r>
          <w:t>Standard Input</w:t>
        </w:r>
      </w:hyperlink>
    </w:p>
    <w:p>
      <w:pPr>
        <w:pStyle w:val="Para 004"/>
      </w:pPr>
      <w:r>
        <w:rPr>
          <w:rStyle w:val="Text2"/>
        </w:rPr>
        <w:t>atexit</w:t>
        <w:t xml:space="preserve">, </w:t>
      </w:r>
      <w:hyperlink w:anchor="idm45965194892528">
        <w:r>
          <w:t>Termination Functions</w:t>
        </w:r>
      </w:hyperlink>
    </w:p>
    <w:p>
      <w:pPr>
        <w:pStyle w:val="Para 004"/>
      </w:pPr>
      <w:r>
        <w:rPr>
          <w:rStyle w:val="Text2"/>
        </w:rPr>
        <w:t>base64</w:t>
        <w:t xml:space="preserve">, </w:t>
      </w:r>
      <w:hyperlink w:anchor="idm45965172233248">
        <w:r>
          <w:t>The base64 Module</w:t>
        </w:r>
      </w:hyperlink>
    </w:p>
    <w:p>
      <w:pPr>
        <w:pStyle w:val="Para 004"/>
      </w:pPr>
      <w:r>
        <w:rPr>
          <w:rStyle w:val="Text2"/>
        </w:rPr>
        <w:t>calendar</w:t>
        <w:t xml:space="preserve">, </w:t>
      </w:r>
      <w:hyperlink w:anchor="idm45965195042336">
        <w:r>
          <w:t>The calendar Module</w:t>
        </w:r>
      </w:hyperlink>
    </w:p>
    <w:p>
      <w:pPr>
        <w:pStyle w:val="Para 004"/>
      </w:pPr>
      <w:r>
        <w:rPr>
          <w:rStyle w:val="Text2"/>
        </w:rPr>
        <w:t>codecs</w:t>
        <w:t xml:space="preserve">, </w:t>
      </w:r>
      <w:hyperlink w:anchor="idm45965209325680">
        <w:r>
          <w:t>The codecs Module</w:t>
        </w:r>
      </w:hyperlink>
    </w:p>
    <w:p>
      <w:pPr>
        <w:pStyle w:val="Para 004"/>
      </w:pPr>
      <w:r>
        <w:rPr>
          <w:rStyle w:val="Text2"/>
        </w:rPr>
        <w:t>collections</w:t>
        <w:t xml:space="preserve">, </w:t>
      </w:r>
      <w:hyperlink w:anchor="SLcollect08">
        <w:r>
          <w:t>The collections Module</w:t>
        </w:r>
      </w:hyperlink>
      <w:r>
        <w:rPr>
          <w:rStyle w:val="Text2"/>
        </w:rPr>
        <w:t>-</w:t>
      </w:r>
      <w:hyperlink w:anchor="idm45965277692288">
        <w:r>
          <w:t>deque</w:t>
        </w:r>
      </w:hyperlink>
    </w:p>
    <w:p>
      <w:pPr>
        <w:pStyle w:val="Para 004"/>
      </w:pPr>
      <w:r>
        <w:rPr>
          <w:rStyle w:val="Text2"/>
        </w:rPr>
        <w:t>contextlib</w:t>
        <w:t xml:space="preserve">, </w:t>
      </w:r>
      <w:hyperlink w:anchor="idm45965257345200">
        <w:r>
          <w:t>The with Statement and Context Managers</w:t>
        </w:r>
      </w:hyperlink>
    </w:p>
    <w:p>
      <w:pPr>
        <w:pStyle w:val="Para 004"/>
      </w:pPr>
      <w:r>
        <w:rPr>
          <w:rStyle w:val="Text2"/>
        </w:rPr>
        <w:t>copy</w:t>
        <w:t xml:space="preserve">, </w:t>
      </w:r>
      <w:hyperlink w:anchor="SLcopy08">
        <w:r>
          <w:t>The copy Module</w:t>
        </w:r>
      </w:hyperlink>
      <w:r>
        <w:rPr>
          <w:rStyle w:val="Text2"/>
        </w:rPr>
        <w:t>-</w:t>
      </w:r>
      <w:hyperlink w:anchor="idm45965214533424">
        <w:r>
          <w:t>The copy Module</w:t>
        </w:r>
      </w:hyperlink>
    </w:p>
    <w:p>
      <w:pPr>
        <w:pStyle w:val="Para 004"/>
      </w:pPr>
      <w:r>
        <w:rPr>
          <w:rStyle w:val="Text2"/>
        </w:rPr>
        <w:t>copyreg</w:t>
        <w:t xml:space="preserve">, </w:t>
      </w:r>
      <w:hyperlink w:anchor="idm45965199247712">
        <w:r>
          <w:t>Pickling customization with the copyreg module</w:t>
        </w:r>
      </w:hyperlink>
    </w:p>
    <w:p>
      <w:pPr>
        <w:pStyle w:val="Para 004"/>
      </w:pPr>
      <w:r>
        <w:rPr>
          <w:rStyle w:val="Text2"/>
        </w:rPr>
        <w:t>csv</w:t>
        <w:t xml:space="preserve">, </w:t>
      </w:r>
      <w:hyperlink w:anchor="SLMcsv11">
        <w:r>
          <w:t>The csv Module</w:t>
        </w:r>
      </w:hyperlink>
      <w:r>
        <w:rPr>
          <w:rStyle w:val="Text2"/>
        </w:rPr>
        <w:t>-</w:t>
      </w:r>
      <w:hyperlink w:anchor="idm45965200379184">
        <w:r>
          <w:t>A csv example</w:t>
        </w:r>
      </w:hyperlink>
    </w:p>
    <w:p>
      <w:pPr>
        <w:pStyle w:val="Para 004"/>
      </w:pPr>
      <w:r>
        <w:rPr>
          <w:rStyle w:val="Text2"/>
        </w:rPr>
        <w:t>ctypes</w:t>
        <w:t xml:space="preserve">, </w:t>
      </w:r>
      <w:hyperlink w:anchor="idm45965162780528">
        <w:r>
          <w:t>Online Material</w:t>
        </w:r>
      </w:hyperlink>
    </w:p>
    <w:p>
      <w:pPr>
        <w:pStyle w:val="Para 003"/>
      </w:pPr>
      <w:r>
        <w:t>curses</w:t>
        <w:t xml:space="preserve">, </w:t>
      </w:r>
      <w:hyperlink w:anchor="idm45965201537008">
        <w:r>
          <w:rPr>
            <w:rStyle w:val="Text1"/>
          </w:rPr>
          <w:t>curses</w:t>
        </w:r>
      </w:hyperlink>
    </w:p>
    <w:p>
      <w:pPr>
        <w:pStyle w:val="Para 003"/>
      </w:pPr>
      <w:r>
        <w:t>data classes</w:t>
        <w:t xml:space="preserve">, </w:t>
      </w:r>
      <w:hyperlink w:anchor="idm45965253502272">
        <w:r>
          <w:rPr>
            <w:rStyle w:val="Text1"/>
          </w:rPr>
          <w:t>Data Classes</w:t>
        </w:r>
      </w:hyperlink>
    </w:p>
    <w:p>
      <w:pPr>
        <w:pStyle w:val="Para 004"/>
      </w:pPr>
      <w:r>
        <w:rPr>
          <w:rStyle w:val="Text2"/>
        </w:rPr>
        <w:t>datetime</w:t>
        <w:t xml:space="preserve">, </w:t>
      </w:r>
      <w:hyperlink w:anchor="SLBdatetime13">
        <w:r>
          <w:t>The datetime Module</w:t>
        </w:r>
      </w:hyperlink>
      <w:r>
        <w:rPr>
          <w:rStyle w:val="Text2"/>
        </w:rPr>
        <w:t>-</w:t>
      </w:r>
      <w:hyperlink w:anchor="idm45965195748192">
        <w:r>
          <w:t>The timezone Class</w:t>
        </w:r>
      </w:hyperlink>
    </w:p>
    <w:p>
      <w:pPr>
        <w:pStyle w:val="Para 004"/>
      </w:pPr>
      <w:r>
        <w:rPr>
          <w:rStyle w:val="Text2"/>
        </w:rPr>
        <w:t>dbm</w:t>
        <w:t xml:space="preserve">, </w:t>
      </w:r>
      <w:hyperlink w:anchor="idm45965198638800">
        <w:r>
          <w:t>DBM Modules</w:t>
        </w:r>
      </w:hyperlink>
    </w:p>
    <w:p>
      <w:pPr>
        <w:pStyle w:val="Para 004"/>
      </w:pPr>
      <w:r>
        <w:rPr>
          <w:rStyle w:val="Text2"/>
        </w:rPr>
        <w:t>decimal</w:t>
        <w:t xml:space="preserve">, </w:t>
      </w:r>
      <w:hyperlink w:anchor="idm45965185997456">
        <w:r>
          <w:t>The decimal Module</w:t>
        </w:r>
      </w:hyperlink>
    </w:p>
    <w:p>
      <w:pPr>
        <w:pStyle w:val="Para 004"/>
      </w:pPr>
      <w:r>
        <w:rPr>
          <w:rStyle w:val="Text2"/>
        </w:rPr>
        <w:t>doctest</w:t>
        <w:t xml:space="preserve">, </w:t>
      </w:r>
      <w:hyperlink w:anchor="idm45965183750560">
        <w:r>
          <w:t>The doctest Module</w:t>
        </w:r>
      </w:hyperlink>
    </w:p>
    <w:p>
      <w:pPr>
        <w:pStyle w:val="Para 004"/>
      </w:pPr>
      <w:r>
        <w:rPr>
          <w:rStyle w:val="Text2"/>
        </w:rPr>
        <w:t>email</w:t>
        <w:t xml:space="preserve">, </w:t>
      </w:r>
      <w:hyperlink w:anchor="idm45965173295104">
        <w:r>
          <w:t>Functions in the email Package</w:t>
        </w:r>
      </w:hyperlink>
    </w:p>
    <w:p>
      <w:pPr>
        <w:pStyle w:val="Para 004"/>
      </w:pPr>
      <w:r>
        <w:rPr>
          <w:rStyle w:val="Text2"/>
        </w:rPr>
        <w:t>enum</w:t>
        <w:t xml:space="preserve">, </w:t>
      </w:r>
      <w:hyperlink w:anchor="idm45965253085440">
        <w:r>
          <w:t>Enumerated Types (Enums)</w:t>
        </w:r>
      </w:hyperlink>
    </w:p>
    <w:p>
      <w:pPr>
        <w:pStyle w:val="Para 004"/>
      </w:pPr>
      <w:r>
        <w:rPr>
          <w:rStyle w:val="Text2"/>
        </w:rPr>
        <w:t>errno</w:t>
        <w:t xml:space="preserve">, </w:t>
      </w:r>
      <w:hyperlink w:anchor="idm45965203474688">
        <w:r>
          <w:t>The errno Module</w:t>
        </w:r>
      </w:hyperlink>
    </w:p>
    <w:p>
      <w:pPr>
        <w:pStyle w:val="Para 004"/>
      </w:pPr>
      <w:r>
        <w:rPr>
          <w:rStyle w:val="Text2"/>
        </w:rPr>
        <w:t>filecmp</w:t>
        <w:t xml:space="preserve">, </w:t>
      </w:r>
      <w:hyperlink w:anchor="SLMfilecmp11">
        <w:r>
          <w:t>The filecmp Module</w:t>
        </w:r>
      </w:hyperlink>
      <w:r>
        <w:rPr>
          <w:rStyle w:val="Text2"/>
        </w:rPr>
        <w:t>-</w:t>
      </w:r>
      <w:hyperlink w:anchor="idm45965202369360">
        <w:r>
          <w:t>The filecmp Module</w:t>
        </w:r>
      </w:hyperlink>
    </w:p>
    <w:p>
      <w:pPr>
        <w:pStyle w:val="Para 004"/>
      </w:pPr>
      <w:r>
        <w:rPr>
          <w:rStyle w:val="Text2"/>
        </w:rPr>
        <w:t>fileinput</w:t>
        <w:t xml:space="preserve">, </w:t>
      </w:r>
      <w:hyperlink w:anchor="SLMfileinput11">
        <w:r>
          <w:t>The fileinput Module</w:t>
        </w:r>
      </w:hyperlink>
      <w:r>
        <w:rPr>
          <w:rStyle w:val="Text2"/>
        </w:rPr>
        <w:t>-</w:t>
      </w:r>
      <w:hyperlink w:anchor="idm45965205508448">
        <w:r>
          <w:t>The fileinput Module</w:t>
        </w:r>
      </w:hyperlink>
    </w:p>
    <w:p>
      <w:pPr>
        <w:pStyle w:val="Para 004"/>
      </w:pPr>
      <w:r>
        <w:rPr>
          <w:rStyle w:val="Text2"/>
        </w:rPr>
        <w:t>fnmatch</w:t>
        <w:t xml:space="preserve">, </w:t>
      </w:r>
      <w:hyperlink w:anchor="idm45965202362432">
        <w:r>
          <w:t>The fnmatch Module</w:t>
        </w:r>
      </w:hyperlink>
    </w:p>
    <w:p>
      <w:pPr>
        <w:pStyle w:val="Para 004"/>
      </w:pPr>
      <w:r>
        <w:rPr>
          <w:rStyle w:val="Text2"/>
        </w:rPr>
        <w:t>fractions</w:t>
        <w:t xml:space="preserve">, </w:t>
      </w:r>
      <w:hyperlink w:anchor="idm45965186247520">
        <w:r>
          <w:t>The fractions Module</w:t>
        </w:r>
      </w:hyperlink>
    </w:p>
    <w:p>
      <w:pPr>
        <w:pStyle w:val="Para 004"/>
      </w:pPr>
      <w:r>
        <w:rPr>
          <w:rStyle w:val="Text2"/>
        </w:rPr>
        <w:t>ftplib</w:t>
        <w:t xml:space="preserve">, </w:t>
      </w:r>
      <w:hyperlink w:anchor="idm45965175764176">
        <w:r>
          <w:t>HTTP and URL Clients</w:t>
        </w:r>
      </w:hyperlink>
    </w:p>
    <w:p>
      <w:pPr>
        <w:pStyle w:val="Para 004"/>
      </w:pPr>
      <w:r>
        <w:rPr>
          <w:rStyle w:val="Text2"/>
        </w:rPr>
        <w:t>functools</w:t>
        <w:t xml:space="preserve">, </w:t>
      </w:r>
      <w:hyperlink w:anchor="SLfunc08">
        <w:r>
          <w:t>The functools Module</w:t>
        </w:r>
      </w:hyperlink>
      <w:r>
        <w:rPr>
          <w:rStyle w:val="Text2"/>
        </w:rPr>
        <w:t>-</w:t>
      </w:r>
      <w:hyperlink w:anchor="idm45965277348288">
        <w:r>
          <w:t>The functools Module</w:t>
        </w:r>
      </w:hyperlink>
    </w:p>
    <w:p>
      <w:pPr>
        <w:pStyle w:val="Para 004"/>
      </w:pPr>
      <w:r>
        <w:rPr>
          <w:rStyle w:val="Text2"/>
        </w:rPr>
        <w:t>gc</w:t>
        <w:t xml:space="preserve">, </w:t>
      </w:r>
      <w:hyperlink w:anchor="SLMgc14">
        <w:r>
          <w:t>The gc Module</w:t>
        </w:r>
      </w:hyperlink>
      <w:r>
        <w:rPr>
          <w:rStyle w:val="Text2"/>
        </w:rPr>
        <w:t>-</w:t>
      </w:r>
      <w:hyperlink w:anchor="idm45965193886832">
        <w:r>
          <w:t>Instrumenting garbage collection</w:t>
        </w:r>
      </w:hyperlink>
    </w:p>
    <w:p>
      <w:pPr>
        <w:pStyle w:val="Para 004"/>
      </w:pPr>
      <w:r>
        <w:rPr>
          <w:rStyle w:val="Text2"/>
        </w:rPr>
        <w:t>getpass</w:t>
        <w:t xml:space="preserve">, </w:t>
      </w:r>
      <w:hyperlink w:anchor="idm45965201749840">
        <w:r>
          <w:t>The getpass Module</w:t>
        </w:r>
      </w:hyperlink>
    </w:p>
    <w:p>
      <w:pPr>
        <w:pStyle w:val="Para 004"/>
      </w:pPr>
      <w:r>
        <w:rPr>
          <w:rStyle w:val="Text2"/>
        </w:rPr>
        <w:t>gettext</w:t>
        <w:t xml:space="preserve">, </w:t>
      </w:r>
      <w:hyperlink w:anchor="SLMgettext11">
        <w:r>
          <w:t>The gettext Module</w:t>
        </w:r>
      </w:hyperlink>
      <w:r>
        <w:rPr>
          <w:rStyle w:val="Text2"/>
        </w:rPr>
        <w:t>-</w:t>
      </w:r>
      <w:hyperlink w:anchor="idm45965200607472">
        <w:r>
          <w:t>Essential gettext functions</w:t>
        </w:r>
      </w:hyperlink>
    </w:p>
    <w:p>
      <w:pPr>
        <w:pStyle w:val="Para 004"/>
      </w:pPr>
      <w:r>
        <w:rPr>
          <w:rStyle w:val="Text2"/>
        </w:rPr>
        <w:t>glob</w:t>
        <w:t xml:space="preserve">, </w:t>
      </w:r>
      <w:hyperlink w:anchor="idm45965202294480">
        <w:r>
          <w:t>The glob Module</w:t>
        </w:r>
      </w:hyperlink>
    </w:p>
    <w:p>
      <w:pPr>
        <w:pStyle w:val="Para 004"/>
      </w:pPr>
      <w:r>
        <w:rPr>
          <w:rStyle w:val="Text2"/>
        </w:rPr>
        <w:t>html.entities</w:t>
        <w:t xml:space="preserve">, </w:t>
      </w:r>
      <w:hyperlink w:anchor="idm45965171957840">
        <w:r>
          <w:t>The html.entities Module</w:t>
        </w:r>
      </w:hyperlink>
    </w:p>
    <w:p>
      <w:pPr>
        <w:pStyle w:val="Para 004"/>
      </w:pPr>
      <w:r>
        <w:rPr>
          <w:rStyle w:val="Text2"/>
        </w:rPr>
        <w:t>html.parser</w:t>
        <w:t xml:space="preserve">, </w:t>
      </w:r>
      <w:hyperlink w:anchor="idm45965171904304">
        <w:r>
          <w:t>Which parser BeautifulSoup uses</w:t>
        </w:r>
      </w:hyperlink>
    </w:p>
    <w:p>
      <w:pPr>
        <w:pStyle w:val="Para 003"/>
      </w:pPr>
      <w:r>
        <w:t>http.server</w:t>
        <w:t xml:space="preserve">, </w:t>
      </w:r>
      <w:hyperlink w:anchor="idm45965174943184">
        <w:r>
          <w:rPr>
            <w:rStyle w:val="Text1"/>
          </w:rPr>
          <w:t>http.server</w:t>
        </w:r>
      </w:hyperlink>
    </w:p>
    <w:p>
      <w:pPr>
        <w:pStyle w:val="Para 004"/>
      </w:pPr>
      <w:r>
        <w:rPr>
          <w:rStyle w:val="Text2"/>
        </w:rPr>
        <w:t>imaplib</w:t>
        <w:t xml:space="preserve">, </w:t>
      </w:r>
      <w:hyperlink w:anchor="idm45965175945968">
        <w:r>
          <w:t>Email Protocols</w:t>
        </w:r>
      </w:hyperlink>
    </w:p>
    <w:p>
      <w:pPr>
        <w:pStyle w:val="Para 004"/>
      </w:pPr>
      <w:r>
        <w:rPr>
          <w:rStyle w:val="Text2"/>
        </w:rPr>
        <w:t>inspect</w:t>
        <w:t xml:space="preserve">, </w:t>
      </w:r>
      <w:hyperlink w:anchor="idm45965194221536">
        <w:r>
          <w:t>The Frame Type</w:t>
        </w:r>
      </w:hyperlink>
      <w:r>
        <w:rPr>
          <w:rStyle w:val="Text2"/>
        </w:rPr>
        <w:t xml:space="preserve">, </w:t>
      </w:r>
      <w:hyperlink w:anchor="idm45965182415696">
        <w:r>
          <w:t>The inspect Module</w:t>
        </w:r>
      </w:hyperlink>
    </w:p>
    <w:p>
      <w:pPr>
        <w:pStyle w:val="Para 004"/>
      </w:pPr>
      <w:r>
        <w:rPr>
          <w:rStyle w:val="Text2"/>
        </w:rPr>
        <w:t>io</w:t>
        <w:t xml:space="preserve">, </w:t>
      </w:r>
      <w:hyperlink w:anchor="SLMio11">
        <w:r>
          <w:t>The io Module</w:t>
        </w:r>
      </w:hyperlink>
      <w:r>
        <w:rPr>
          <w:rStyle w:val="Text2"/>
        </w:rPr>
        <w:t>-</w:t>
      </w:r>
      <w:hyperlink w:anchor="idm45965205918912">
        <w:r>
          <w:t>File-Like Objects and Polymorphism</w:t>
        </w:r>
      </w:hyperlink>
    </w:p>
    <w:p>
      <w:pPr>
        <w:pStyle w:val="Para 004"/>
      </w:pPr>
      <w:r>
        <w:rPr>
          <w:rStyle w:val="Text2"/>
        </w:rPr>
        <w:t>itertools</w:t>
        <w:t xml:space="preserve">, </w:t>
      </w:r>
      <w:hyperlink w:anchor="SLiter08">
        <w:r>
          <w:t>The itertools Module</w:t>
        </w:r>
      </w:hyperlink>
      <w:r>
        <w:rPr>
          <w:rStyle w:val="Text2"/>
        </w:rPr>
        <w:t>-</w:t>
      </w:r>
      <w:hyperlink w:anchor="idm45965212884400">
        <w:r>
          <w:t>The itertools Module</w:t>
        </w:r>
      </w:hyperlink>
    </w:p>
    <w:p>
      <w:pPr>
        <w:pStyle w:val="Para 004"/>
      </w:pPr>
      <w:r>
        <w:rPr>
          <w:rStyle w:val="Text2"/>
        </w:rPr>
        <w:t>json</w:t>
        <w:t xml:space="preserve">, </w:t>
      </w:r>
      <w:hyperlink w:anchor="SLMjson12">
        <w:r>
          <w:t>The json Module</w:t>
        </w:r>
      </w:hyperlink>
      <w:r>
        <w:rPr>
          <w:rStyle w:val="Text2"/>
        </w:rPr>
        <w:t>-</w:t>
      </w:r>
      <w:hyperlink w:anchor="idm45965200043312">
        <w:r>
          <w:t>A json example</w:t>
        </w:r>
      </w:hyperlink>
    </w:p>
    <w:p>
      <w:pPr>
        <w:pStyle w:val="Para 003"/>
      </w:pPr>
      <w:r>
        <w:t>keyword</w:t>
        <w:t xml:space="preserve">, </w:t>
      </w:r>
      <w:hyperlink w:anchor="idm45965276603728">
        <w:r>
          <w:rPr>
            <w:rStyle w:val="Text1"/>
          </w:rPr>
          <w:t>Keywords</w:t>
        </w:r>
      </w:hyperlink>
    </w:p>
    <w:p>
      <w:pPr>
        <w:pStyle w:val="Para 004"/>
      </w:pPr>
      <w:r>
        <w:rPr>
          <w:rStyle w:val="Text2"/>
        </w:rPr>
        <w:t>locale</w:t>
        <w:t xml:space="preserve">, </w:t>
      </w:r>
      <w:hyperlink w:anchor="SLMlocale11">
        <w:r>
          <w:t>The locale Module</w:t>
        </w:r>
      </w:hyperlink>
      <w:r>
        <w:rPr>
          <w:rStyle w:val="Text2"/>
        </w:rPr>
        <w:t>-</w:t>
      </w:r>
      <w:hyperlink w:anchor="idm45965200880288">
        <w:r>
          <w:t>The locale Module</w:t>
        </w:r>
      </w:hyperlink>
    </w:p>
    <w:p>
      <w:pPr>
        <w:pStyle w:val="Para 004"/>
      </w:pPr>
      <w:r>
        <w:rPr>
          <w:rStyle w:val="Text2"/>
        </w:rPr>
        <w:t>logging</w:t>
        <w:t xml:space="preserve">, </w:t>
      </w:r>
      <w:hyperlink w:anchor="idm45965255452624">
        <w:r>
          <w:t>The logging module</w:t>
        </w:r>
      </w:hyperlink>
    </w:p>
    <w:p>
      <w:pPr>
        <w:pStyle w:val="Para 004"/>
      </w:pPr>
      <w:r>
        <w:rPr>
          <w:rStyle w:val="Text2"/>
        </w:rPr>
        <w:t>math and cmath</w:t>
        <w:t xml:space="preserve">, </w:t>
      </w:r>
      <w:hyperlink w:anchor="idm45965187520176">
        <w:r>
          <w:t>The math and cmath Modules</w:t>
        </w:r>
      </w:hyperlink>
    </w:p>
    <w:p>
      <w:pPr>
        <w:pStyle w:val="Para 004"/>
      </w:pPr>
      <w:r>
        <w:rPr>
          <w:rStyle w:val="Text2"/>
        </w:rPr>
        <w:t>mmap</w:t>
        <w:t xml:space="preserve">, </w:t>
      </w:r>
      <w:hyperlink w:anchor="idm45965188606752">
        <w:r>
          <w:t>The mmap Module</w:t>
        </w:r>
      </w:hyperlink>
    </w:p>
    <w:p>
      <w:pPr>
        <w:pStyle w:val="Para 004"/>
      </w:pPr>
      <w:r>
        <w:rPr>
          <w:rStyle w:val="Text2"/>
        </w:rPr>
        <w:t>multiprocessing</w:t>
        <w:t xml:space="preserve">, </w:t>
      </w:r>
      <w:hyperlink w:anchor="idm45965191730800">
        <w:r>
          <w:t>The multiprocessing Module</w:t>
        </w:r>
      </w:hyperlink>
    </w:p>
    <w:p>
      <w:pPr>
        <w:pStyle w:val="Para 004"/>
      </w:pPr>
      <w:r>
        <w:rPr>
          <w:rStyle w:val="Text2"/>
        </w:rPr>
        <w:t>ntplib</w:t>
        <w:t xml:space="preserve">, </w:t>
      </w:r>
      <w:hyperlink w:anchor="idm45965174982528">
        <w:r>
          <w:t>Other Network Protocols</w:t>
        </w:r>
      </w:hyperlink>
    </w:p>
    <w:p>
      <w:pPr>
        <w:pStyle w:val="Para 004"/>
      </w:pPr>
      <w:r>
        <w:rPr>
          <w:rStyle w:val="Text2"/>
        </w:rPr>
        <w:t>numbers</w:t>
        <w:t xml:space="preserve">, </w:t>
      </w:r>
      <w:hyperlink w:anchor="idm45965281683104">
        <w:r>
          <w:t>ABCs in the numbers module</w:t>
        </w:r>
      </w:hyperlink>
    </w:p>
    <w:p>
      <w:pPr>
        <w:pStyle w:val="Para 004"/>
      </w:pPr>
      <w:r>
        <w:rPr>
          <w:rStyle w:val="Text2"/>
        </w:rPr>
        <w:t>operator</w:t>
        <w:t xml:space="preserve">, </w:t>
      </w:r>
      <w:hyperlink w:anchor="idm45965186848912">
        <w:r>
          <w:t>The operator Module</w:t>
        </w:r>
      </w:hyperlink>
    </w:p>
    <w:p>
      <w:pPr>
        <w:pStyle w:val="Para 004"/>
      </w:pPr>
      <w:r>
        <w:rPr>
          <w:rStyle w:val="Text2"/>
        </w:rPr>
        <w:t>os</w:t>
        <w:t xml:space="preserve">, </w:t>
      </w:r>
      <w:hyperlink w:anchor="SLMos11">
        <w:r>
          <w:t>The os Module</w:t>
        </w:r>
      </w:hyperlink>
      <w:r>
        <w:rPr>
          <w:rStyle w:val="Text2"/>
        </w:rPr>
        <w:t>-</w:t>
      </w:r>
      <w:hyperlink w:anchor="idm45965203859936">
        <w:r>
          <w:t>File descriptor operations</w:t>
        </w:r>
      </w:hyperlink>
    </w:p>
    <w:p>
      <w:pPr>
        <w:pStyle w:val="Para 004"/>
      </w:pPr>
      <w:r>
        <w:rPr>
          <w:rStyle w:val="Text2"/>
        </w:rPr>
        <w:t>os.path</w:t>
        <w:t xml:space="preserve">, </w:t>
      </w:r>
      <w:hyperlink w:anchor="SLBospath11">
        <w:r>
          <w:t>The os.path Module</w:t>
        </w:r>
      </w:hyperlink>
      <w:r>
        <w:rPr>
          <w:rStyle w:val="Text2"/>
        </w:rPr>
        <w:t>-</w:t>
      </w:r>
      <w:hyperlink w:anchor="idm45965203502672">
        <w:r>
          <w:t>The os.path Module</w:t>
        </w:r>
      </w:hyperlink>
    </w:p>
    <w:p>
      <w:pPr>
        <w:pStyle w:val="Para 004"/>
      </w:pPr>
      <w:r>
        <w:rPr>
          <w:rStyle w:val="Text2"/>
        </w:rPr>
        <w:t>pathlib</w:t>
        <w:t xml:space="preserve">, </w:t>
      </w:r>
      <w:hyperlink w:anchor="SLMpathlib11">
        <w:r>
          <w:t>The pathlib Module</w:t>
        </w:r>
      </w:hyperlink>
      <w:r>
        <w:rPr>
          <w:rStyle w:val="Text2"/>
        </w:rPr>
        <w:t>-</w:t>
      </w:r>
      <w:hyperlink w:anchor="idm45965202589328">
        <w:r>
          <w:t>The pathlib Module</w:t>
        </w:r>
      </w:hyperlink>
    </w:p>
    <w:p>
      <w:pPr>
        <w:pStyle w:val="Para 004"/>
      </w:pPr>
      <w:r>
        <w:rPr>
          <w:rStyle w:val="Text2"/>
        </w:rPr>
        <w:t>pdb</w:t>
        <w:t xml:space="preserve">, </w:t>
      </w:r>
      <w:hyperlink w:anchor="idm45965181660512">
        <w:r>
          <w:t>The pdb Module</w:t>
        </w:r>
      </w:hyperlink>
    </w:p>
    <w:p>
      <w:pPr>
        <w:pStyle w:val="Para 004"/>
      </w:pPr>
      <w:r>
        <w:rPr>
          <w:rStyle w:val="Text2"/>
        </w:rPr>
        <w:t>pickle</w:t>
        <w:t xml:space="preserve">, </w:t>
      </w:r>
      <w:hyperlink w:anchor="SLBpickle12">
        <w:r>
          <w:t>The pickle Module</w:t>
        </w:r>
      </w:hyperlink>
      <w:r>
        <w:rPr>
          <w:rStyle w:val="Text2"/>
        </w:rPr>
        <w:t>-</w:t>
      </w:r>
      <w:hyperlink w:anchor="idm45965199093024">
        <w:r>
          <w:t>Pickling customization with the copyreg module</w:t>
        </w:r>
      </w:hyperlink>
    </w:p>
    <w:p>
      <w:pPr>
        <w:pStyle w:val="Para 004"/>
      </w:pPr>
      <w:r>
        <w:rPr>
          <w:rStyle w:val="Text2"/>
        </w:rPr>
        <w:t>poplib</w:t>
        <w:t xml:space="preserve">, </w:t>
      </w:r>
      <w:hyperlink w:anchor="idm45965175933568">
        <w:r>
          <w:t>The poplib Module</w:t>
        </w:r>
      </w:hyperlink>
    </w:p>
    <w:p>
      <w:pPr>
        <w:pStyle w:val="Para 004"/>
      </w:pPr>
      <w:r>
        <w:rPr>
          <w:rStyle w:val="Text2"/>
        </w:rPr>
        <w:t>pprint</w:t>
        <w:t xml:space="preserve">, </w:t>
      </w:r>
      <w:hyperlink w:anchor="idm45965209426912">
        <w:r>
          <w:t>The pprint Module</w:t>
        </w:r>
      </w:hyperlink>
    </w:p>
    <w:p>
      <w:pPr>
        <w:pStyle w:val="Para 004"/>
      </w:pPr>
      <w:r>
        <w:rPr>
          <w:rStyle w:val="Text2"/>
        </w:rPr>
        <w:t>profile</w:t>
        <w:t xml:space="preserve">, </w:t>
      </w:r>
      <w:hyperlink w:anchor="idm45965180687424">
        <w:r>
          <w:t>The profile module</w:t>
        </w:r>
      </w:hyperlink>
    </w:p>
    <w:p>
      <w:pPr>
        <w:pStyle w:val="Para 004"/>
      </w:pPr>
      <w:r>
        <w:rPr>
          <w:rStyle w:val="Text2"/>
        </w:rPr>
        <w:t>pstats</w:t>
        <w:t xml:space="preserve">, </w:t>
      </w:r>
      <w:hyperlink w:anchor="idm45965180616592">
        <w:r>
          <w:t>The pstats module</w:t>
        </w:r>
      </w:hyperlink>
    </w:p>
    <w:p>
      <w:pPr>
        <w:pStyle w:val="Para 004"/>
      </w:pPr>
      <w:r>
        <w:rPr>
          <w:rStyle w:val="Text2"/>
        </w:rPr>
        <w:t>queue</w:t>
        <w:t xml:space="preserve">, </w:t>
      </w:r>
      <w:hyperlink w:anchor="idm45965192047840">
        <w:r>
          <w:t>The queue Module</w:t>
        </w:r>
      </w:hyperlink>
    </w:p>
    <w:p>
      <w:pPr>
        <w:pStyle w:val="Para 004"/>
      </w:pPr>
      <w:r>
        <w:rPr>
          <w:rStyle w:val="Text2"/>
        </w:rPr>
        <w:t>quopri</w:t>
        <w:t xml:space="preserve">, </w:t>
      </w:r>
      <w:hyperlink w:anchor="idm45965172094976">
        <w:r>
          <w:t>The quopri Module</w:t>
        </w:r>
      </w:hyperlink>
    </w:p>
    <w:p>
      <w:pPr>
        <w:pStyle w:val="Para 004"/>
      </w:pPr>
      <w:r>
        <w:rPr>
          <w:rStyle w:val="Text2"/>
        </w:rPr>
        <w:t>random</w:t>
        <w:t xml:space="preserve">, </w:t>
      </w:r>
      <w:hyperlink w:anchor="idm45965186461344">
        <w:r>
          <w:t>Random and Pseudorandom Numbers</w:t>
        </w:r>
      </w:hyperlink>
    </w:p>
    <w:p>
      <w:pPr>
        <w:pStyle w:val="Para 004"/>
      </w:pPr>
      <w:r>
        <w:rPr>
          <w:rStyle w:val="Text2"/>
        </w:rPr>
        <w:t>re</w:t>
        <w:t xml:space="preserve">, </w:t>
      </w:r>
      <w:hyperlink w:anchor="SLMre10">
        <w:r>
          <w:t>Regular Expressions and the re Module</w:t>
        </w:r>
      </w:hyperlink>
      <w:r>
        <w:rPr>
          <w:rStyle w:val="Text2"/>
        </w:rPr>
        <w:t>-</w:t>
      </w:r>
      <w:hyperlink w:anchor="idm45965208470224">
        <w:r>
          <w:t>Groups</w:t>
        </w:r>
      </w:hyperlink>
    </w:p>
    <w:p>
      <w:pPr>
        <w:pStyle w:val="Para 004"/>
      </w:pPr>
      <w:r>
        <w:rPr>
          <w:rStyle w:val="Text2"/>
        </w:rPr>
        <w:t>readline</w:t>
        <w:t xml:space="preserve">, </w:t>
      </w:r>
      <w:hyperlink w:anchor="idm45965201677424">
        <w:r>
          <w:t>The readline Module</w:t>
        </w:r>
      </w:hyperlink>
    </w:p>
    <w:p>
      <w:pPr>
        <w:pStyle w:val="Para 004"/>
      </w:pPr>
      <w:r>
        <w:rPr>
          <w:rStyle w:val="Text2"/>
        </w:rPr>
        <w:t xml:space="preserve">reprlib </w:t>
        <w:t xml:space="preserve">, </w:t>
      </w:r>
      <w:hyperlink w:anchor="idm45965209355232">
        <w:r>
          <w:t>The reprlib Module</w:t>
        </w:r>
      </w:hyperlink>
    </w:p>
    <w:p>
      <w:pPr>
        <w:pStyle w:val="Para 004"/>
      </w:pPr>
      <w:r>
        <w:rPr>
          <w:rStyle w:val="Text2"/>
        </w:rPr>
        <w:t>sched</w:t>
        <w:t xml:space="preserve">, </w:t>
      </w:r>
      <w:hyperlink w:anchor="idm45965195219552">
        <w:r>
          <w:t>The sched Module</w:t>
        </w:r>
      </w:hyperlink>
    </w:p>
    <w:p>
      <w:pPr>
        <w:pStyle w:val="Para 004"/>
      </w:pPr>
      <w:r>
        <w:rPr>
          <w:rStyle w:val="Text2"/>
        </w:rPr>
        <w:t>secrets</w:t>
        <w:t xml:space="preserve">, </w:t>
      </w:r>
      <w:hyperlink w:anchor="idm45965186311760">
        <w:r>
          <w:t>Crypto-Quality Random Numbers: The secrets Module</w:t>
        </w:r>
      </w:hyperlink>
    </w:p>
    <w:p>
      <w:pPr>
        <w:pStyle w:val="Para 004"/>
      </w:pPr>
      <w:r>
        <w:rPr>
          <w:rStyle w:val="Text2"/>
        </w:rPr>
        <w:t>shelve</w:t>
        <w:t xml:space="preserve">, </w:t>
      </w:r>
      <w:hyperlink w:anchor="idm45965199043136">
        <w:r>
          <w:t>The shelve Module</w:t>
        </w:r>
      </w:hyperlink>
    </w:p>
    <w:p>
      <w:pPr>
        <w:pStyle w:val="Para 004"/>
      </w:pPr>
      <w:r>
        <w:rPr>
          <w:rStyle w:val="Text2"/>
        </w:rPr>
        <w:t>shutil</w:t>
        <w:t xml:space="preserve">, </w:t>
      </w:r>
      <w:hyperlink w:anchor="SLMshutil11">
        <w:r>
          <w:t>The shutil Module</w:t>
        </w:r>
      </w:hyperlink>
      <w:r>
        <w:rPr>
          <w:rStyle w:val="Text2"/>
        </w:rPr>
        <w:t>-</w:t>
      </w:r>
      <w:hyperlink w:anchor="idm45965202031696">
        <w:r>
          <w:t>The shutil Module</w:t>
        </w:r>
      </w:hyperlink>
    </w:p>
    <w:p>
      <w:pPr>
        <w:pStyle w:val="Para 004"/>
      </w:pPr>
      <w:r>
        <w:rPr>
          <w:rStyle w:val="Text2"/>
        </w:rPr>
        <w:t>site</w:t>
        <w:t xml:space="preserve">, </w:t>
      </w:r>
      <w:hyperlink w:anchor="idm45965194922816">
        <w:r>
          <w:t>Per-Site Customization</w:t>
        </w:r>
      </w:hyperlink>
    </w:p>
    <w:p>
      <w:pPr>
        <w:pStyle w:val="Para 004"/>
      </w:pPr>
      <w:r>
        <w:rPr>
          <w:rStyle w:val="Text2"/>
        </w:rPr>
        <w:t>smtplib</w:t>
        <w:t xml:space="preserve">, </w:t>
      </w:r>
      <w:hyperlink w:anchor="idm45965175835824">
        <w:r>
          <w:t>The smtplib Module</w:t>
        </w:r>
      </w:hyperlink>
    </w:p>
    <w:p>
      <w:pPr>
        <w:pStyle w:val="Para 004"/>
      </w:pPr>
      <w:r>
        <w:rPr>
          <w:rStyle w:val="Text2"/>
        </w:rPr>
        <w:t>socket</w:t>
        <w:t xml:space="preserve">, </w:t>
      </w:r>
      <w:hyperlink w:anchor="idm45965177542720">
        <w:r>
          <w:t>The socket Module</w:t>
        </w:r>
      </w:hyperlink>
    </w:p>
    <w:p>
      <w:pPr>
        <w:pStyle w:val="Para 004"/>
      </w:pPr>
      <w:r>
        <w:rPr>
          <w:rStyle w:val="Text2"/>
        </w:rPr>
        <w:t>sqlite3</w:t>
        <w:t xml:space="preserve">, </w:t>
      </w:r>
      <w:hyperlink w:anchor="SLMsqlite12">
        <w:r>
          <w:t>SQLite</w:t>
        </w:r>
      </w:hyperlink>
      <w:r>
        <w:rPr>
          <w:rStyle w:val="Text2"/>
        </w:rPr>
        <w:t>-</w:t>
      </w:r>
      <w:hyperlink w:anchor="idm45965197161232">
        <w:r>
          <w:t>A sqlite3 example</w:t>
        </w:r>
      </w:hyperlink>
    </w:p>
    <w:p>
      <w:pPr>
        <w:pStyle w:val="Para 004"/>
      </w:pPr>
      <w:r>
        <w:rPr>
          <w:rStyle w:val="Text2"/>
        </w:rPr>
        <w:t>ssl</w:t>
        <w:t xml:space="preserve">, </w:t>
      </w:r>
      <w:hyperlink w:anchor="idm45965176195120">
        <w:r>
          <w:t>SSLContext</w:t>
        </w:r>
      </w:hyperlink>
    </w:p>
    <w:p>
      <w:pPr>
        <w:pStyle w:val="Para 004"/>
      </w:pPr>
      <w:r>
        <w:rPr>
          <w:rStyle w:val="Text2"/>
        </w:rPr>
        <w:t>stat</w:t>
        <w:t xml:space="preserve">, </w:t>
      </w:r>
      <w:hyperlink w:anchor="idm45965202583472">
        <w:r>
          <w:t>The stat Module</w:t>
        </w:r>
      </w:hyperlink>
    </w:p>
    <w:p>
      <w:pPr>
        <w:pStyle w:val="Para 004"/>
      </w:pPr>
      <w:r>
        <w:rPr>
          <w:rStyle w:val="Text2"/>
        </w:rPr>
        <w:t>statistics</w:t>
        <w:t xml:space="preserve">, </w:t>
      </w:r>
      <w:hyperlink w:anchor="idm45965186881712">
        <w:r>
          <w:t>The statistics Module</w:t>
        </w:r>
      </w:hyperlink>
    </w:p>
    <w:p>
      <w:pPr>
        <w:pStyle w:val="Para 004"/>
      </w:pPr>
      <w:r>
        <w:rPr>
          <w:rStyle w:val="Text2"/>
        </w:rPr>
        <w:t>string</w:t>
        <w:t xml:space="preserve">, </w:t>
      </w:r>
      <w:hyperlink w:anchor="idm45965212186880">
        <w:r>
          <w:t>The string Module</w:t>
        </w:r>
      </w:hyperlink>
    </w:p>
    <w:p>
      <w:pPr>
        <w:pStyle w:val="Para 004"/>
      </w:pPr>
      <w:r>
        <w:rPr>
          <w:rStyle w:val="Text2"/>
        </w:rPr>
        <w:t>struct</w:t>
        <w:t xml:space="preserve">, </w:t>
      </w:r>
      <w:hyperlink w:anchor="SLMstruct11">
        <w:r>
          <w:t>The struct Module</w:t>
        </w:r>
      </w:hyperlink>
      <w:r>
        <w:rPr>
          <w:rStyle w:val="Text2"/>
        </w:rPr>
        <w:t>-</w:t>
      </w:r>
      <w:hyperlink w:anchor="idm45965205282080">
        <w:r>
          <w:t>The struct Module</w:t>
        </w:r>
      </w:hyperlink>
    </w:p>
    <w:p>
      <w:pPr>
        <w:pStyle w:val="Para 004"/>
      </w:pPr>
      <w:r>
        <w:rPr>
          <w:rStyle w:val="Text2"/>
        </w:rPr>
        <w:t>subprocess</w:t>
        <w:t xml:space="preserve">, </w:t>
      </w:r>
      <w:hyperlink w:anchor="idm45965188985952">
        <w:r>
          <w:t>Using the Subprocess Module</w:t>
        </w:r>
      </w:hyperlink>
    </w:p>
    <w:p>
      <w:pPr>
        <w:pStyle w:val="Para 004"/>
      </w:pPr>
      <w:r>
        <w:rPr>
          <w:rStyle w:val="Text2"/>
        </w:rPr>
        <w:t>sys</w:t>
        <w:t xml:space="preserve">, </w:t>
      </w:r>
      <w:hyperlink w:anchor="SLsys08">
        <w:r>
          <w:t>The sys Module</w:t>
        </w:r>
      </w:hyperlink>
      <w:r>
        <w:rPr>
          <w:rStyle w:val="Text2"/>
        </w:rPr>
        <w:t>-</w:t>
      </w:r>
      <w:hyperlink w:anchor="idm45965214670240">
        <w:r>
          <w:t>The sys Module</w:t>
        </w:r>
      </w:hyperlink>
      <w:r>
        <w:rPr>
          <w:rStyle w:val="Text2"/>
        </w:rPr>
        <w:t xml:space="preserve">, </w:t>
      </w:r>
      <w:hyperlink w:anchor="idm45965202015536">
        <w:r>
          <w:t>Standard Output and Standard Error</w:t>
        </w:r>
      </w:hyperlink>
    </w:p>
    <w:p>
      <w:pPr>
        <w:pStyle w:val="Para 004"/>
      </w:pPr>
      <w:r>
        <w:rPr>
          <w:rStyle w:val="Text2"/>
        </w:rPr>
        <w:t>tarfile</w:t>
        <w:t xml:space="preserve">, </w:t>
      </w:r>
      <w:hyperlink w:anchor="idm45965206420592">
        <w:r>
          <w:t>File and Text Operations</w:t>
        </w:r>
      </w:hyperlink>
    </w:p>
    <w:p>
      <w:pPr>
        <w:pStyle w:val="Para 004"/>
      </w:pPr>
      <w:r>
        <w:rPr>
          <w:rStyle w:val="Text2"/>
        </w:rPr>
        <w:t>telnetlib</w:t>
        <w:t xml:space="preserve">, </w:t>
      </w:r>
      <w:hyperlink w:anchor="idm45965175001648">
        <w:r>
          <w:t>Other Network Protocols</w:t>
        </w:r>
      </w:hyperlink>
    </w:p>
    <w:p>
      <w:pPr>
        <w:pStyle w:val="Para 004"/>
      </w:pPr>
      <w:r>
        <w:rPr>
          <w:rStyle w:val="Text2"/>
        </w:rPr>
        <w:t>tempfile</w:t>
        <w:t xml:space="preserve">, </w:t>
      </w:r>
      <w:hyperlink w:anchor="SLMtemp11">
        <w:r>
          <w:t>The tempfile Module</w:t>
        </w:r>
      </w:hyperlink>
      <w:r>
        <w:rPr>
          <w:rStyle w:val="Text2"/>
        </w:rPr>
        <w:t>-</w:t>
      </w:r>
      <w:hyperlink w:anchor="idm45965205696464">
        <w:r>
          <w:t>The tempfile Module</w:t>
        </w:r>
      </w:hyperlink>
    </w:p>
    <w:p>
      <w:pPr>
        <w:pStyle w:val="Para 004"/>
      </w:pPr>
      <w:r>
        <w:rPr>
          <w:rStyle w:val="Text2"/>
        </w:rPr>
        <w:t>textwrap</w:t>
        <w:t xml:space="preserve">, </w:t>
      </w:r>
      <w:hyperlink w:anchor="idm45965209453280">
        <w:r>
          <w:t>Text Wrapping and Filling</w:t>
        </w:r>
      </w:hyperlink>
    </w:p>
    <w:p>
      <w:pPr>
        <w:pStyle w:val="Para 004"/>
      </w:pPr>
      <w:r>
        <w:rPr>
          <w:rStyle w:val="Text2"/>
        </w:rPr>
        <w:t>threading</w:t>
        <w:t xml:space="preserve">, </w:t>
      </w:r>
      <w:hyperlink w:anchor="idm45965193576304">
        <w:r>
          <w:t>The threading Module</w:t>
        </w:r>
      </w:hyperlink>
    </w:p>
    <w:p>
      <w:pPr>
        <w:pStyle w:val="Para 004"/>
      </w:pPr>
      <w:r>
        <w:rPr>
          <w:rStyle w:val="Text2"/>
        </w:rPr>
        <w:t>time</w:t>
        <w:t xml:space="preserve">, </w:t>
      </w:r>
      <w:hyperlink w:anchor="SLMtime11">
        <w:r>
          <w:t>The time Module</w:t>
        </w:r>
      </w:hyperlink>
      <w:r>
        <w:rPr>
          <w:rStyle w:val="Text2"/>
        </w:rPr>
        <w:t>-</w:t>
      </w:r>
      <w:hyperlink w:anchor="idm45965196700096">
        <w:r>
          <w:t>The time Module</w:t>
        </w:r>
      </w:hyperlink>
    </w:p>
    <w:p>
      <w:pPr>
        <w:pStyle w:val="Para 004"/>
      </w:pPr>
      <w:r>
        <w:rPr>
          <w:rStyle w:val="Text2"/>
        </w:rPr>
        <w:t>timeit</w:t>
        <w:t xml:space="preserve">, </w:t>
      </w:r>
      <w:hyperlink w:anchor="idm45965180475776">
        <w:r>
          <w:t>The timeit module</w:t>
        </w:r>
      </w:hyperlink>
    </w:p>
    <w:p>
      <w:pPr>
        <w:pStyle w:val="Para 004"/>
      </w:pPr>
      <w:r>
        <w:rPr>
          <w:rStyle w:val="Text2"/>
        </w:rPr>
        <w:t>tomllib</w:t>
        <w:t xml:space="preserve">, </w:t>
      </w:r>
      <w:hyperlink w:anchor="idm45965162884576">
        <w:r>
          <w:t>Packaging Programs and Extensions</w:t>
        </w:r>
      </w:hyperlink>
    </w:p>
    <w:p>
      <w:pPr>
        <w:pStyle w:val="Para 004"/>
      </w:pPr>
      <w:r>
        <w:rPr>
          <w:rStyle w:val="Text2"/>
        </w:rPr>
        <w:t>traceback</w:t>
        <w:t xml:space="preserve">, </w:t>
      </w:r>
      <w:hyperlink w:anchor="idm45965194220320">
        <w:r>
          <w:t>The Frame Type</w:t>
        </w:r>
      </w:hyperlink>
    </w:p>
    <w:p>
      <w:pPr>
        <w:pStyle w:val="Para 004"/>
      </w:pPr>
      <w:r>
        <w:rPr>
          <w:rStyle w:val="Text2"/>
        </w:rPr>
        <w:t>unicodedata</w:t>
        <w:t xml:space="preserve">, </w:t>
      </w:r>
      <w:hyperlink w:anchor="idm45965209286640">
        <w:r>
          <w:t>The unicodedata Module</w:t>
        </w:r>
      </w:hyperlink>
    </w:p>
    <w:p>
      <w:pPr>
        <w:pStyle w:val="Para 004"/>
      </w:pPr>
      <w:r>
        <w:rPr>
          <w:rStyle w:val="Text2"/>
        </w:rPr>
        <w:t>unittest</w:t>
        <w:t xml:space="preserve">, </w:t>
      </w:r>
      <w:hyperlink w:anchor="idm45965183503056">
        <w:r>
          <w:t>The unittest Module</w:t>
        </w:r>
      </w:hyperlink>
    </w:p>
    <w:p>
      <w:pPr>
        <w:pStyle w:val="Para 004"/>
      </w:pPr>
      <w:r>
        <w:rPr>
          <w:rStyle w:val="Text2"/>
        </w:rPr>
        <w:t>urlib</w:t>
        <w:t xml:space="preserve">, </w:t>
      </w:r>
      <w:hyperlink w:anchor="idm45965175732000">
        <w:r>
          <w:t>The urllib Package</w:t>
        </w:r>
      </w:hyperlink>
    </w:p>
    <w:p>
      <w:pPr>
        <w:pStyle w:val="Para 004"/>
      </w:pPr>
      <w:r>
        <w:rPr>
          <w:rStyle w:val="Text2"/>
        </w:rPr>
        <w:t>uu</w:t>
        <w:t xml:space="preserve">, </w:t>
      </w:r>
      <w:hyperlink w:anchor="idm45965172041792">
        <w:r>
          <w:t>The uu Module</w:t>
        </w:r>
      </w:hyperlink>
    </w:p>
    <w:p>
      <w:pPr>
        <w:pStyle w:val="Para 004"/>
      </w:pPr>
      <w:r>
        <w:rPr>
          <w:rStyle w:val="Text2"/>
        </w:rPr>
        <w:t>warnings</w:t>
        <w:t xml:space="preserve">, </w:t>
      </w:r>
      <w:hyperlink w:anchor="idm45965181340016">
        <w:r>
          <w:t>The warnings Module</w:t>
        </w:r>
      </w:hyperlink>
    </w:p>
    <w:p>
      <w:pPr>
        <w:pStyle w:val="Para 004"/>
      </w:pPr>
      <w:r>
        <w:rPr>
          <w:rStyle w:val="Text2"/>
        </w:rPr>
        <w:t>weakref</w:t>
        <w:t xml:space="preserve">, </w:t>
      </w:r>
      <w:hyperlink w:anchor="idm45965193882496">
        <w:r>
          <w:t>The weakref Module</w:t>
        </w:r>
      </w:hyperlink>
    </w:p>
    <w:p>
      <w:pPr>
        <w:pStyle w:val="Para 003"/>
      </w:pPr>
      <w:r>
        <w:t>xml.etree.ElementTree</w:t>
        <w:t xml:space="preserve">, </w:t>
      </w:r>
      <w:hyperlink w:anchor="idm45965169147072">
        <w:r>
          <w:rPr>
            <w:rStyle w:val="Text1"/>
          </w:rPr>
          <w:t>ElementTree</w:t>
        </w:r>
      </w:hyperlink>
    </w:p>
    <w:p>
      <w:pPr>
        <w:pStyle w:val="Para 004"/>
      </w:pPr>
      <w:r>
        <w:rPr>
          <w:rStyle w:val="Text2"/>
        </w:rPr>
        <w:t>zipfile</w:t>
        <w:t xml:space="preserve">, </w:t>
      </w:r>
      <w:hyperlink w:anchor="SLMzipfile11">
        <w:r>
          <w:t>The zipfile Module</w:t>
        </w:r>
      </w:hyperlink>
      <w:r>
        <w:rPr>
          <w:rStyle w:val="Text2"/>
        </w:rPr>
        <w:t>-</w:t>
      </w:r>
      <w:hyperlink w:anchor="idm45965204531728">
        <w:r>
          <w:t>The ZipInfo class</w:t>
        </w:r>
      </w:hyperlink>
    </w:p>
    <w:p>
      <w:pPr>
        <w:pStyle w:val="Para 004"/>
      </w:pPr>
      <w:r>
        <w:rPr>
          <w:rStyle w:val="Text2"/>
        </w:rPr>
        <w:t>zoneinfo</w:t>
        <w:t xml:space="preserve">, </w:t>
      </w:r>
      <w:hyperlink w:anchor="idm45965195740608">
        <w:r>
          <w:t>The zoneinfo Module</w:t>
        </w:r>
      </w:hyperlink>
    </w:p>
    <w:p>
      <w:pPr>
        <w:pStyle w:val="Para 004"/>
      </w:pPr>
      <w:r>
        <w:rPr>
          <w:rStyle w:val="Text2"/>
        </w:rPr>
        <w:t>__future__</w:t>
        <w:t xml:space="preserve">, </w:t>
      </w:r>
      <w:hyperlink w:anchor="idm45965162577424">
        <w:r>
          <w:t>Applying the Code Changes</w:t>
        </w:r>
      </w:hyperlink>
    </w:p>
    <w:p>
      <w:pPr>
        <w:pStyle w:val="Para 004"/>
      </w:pPr>
      <w:r>
        <w:rPr>
          <w:rStyle w:val="Text2"/>
        </w:rPr>
        <w:t>standard output</w:t>
        <w:t xml:space="preserve">, </w:t>
      </w:r>
      <w:hyperlink w:anchor="idm45965202003296">
        <w:r>
          <w:t>Standard Output and Standard Error</w:t>
        </w:r>
      </w:hyperlink>
    </w:p>
    <w:p>
      <w:pPr>
        <w:pStyle w:val="Para 003"/>
      </w:pPr>
      <w:r>
        <w:t>Starlette</w:t>
        <w:t xml:space="preserve">, </w:t>
      </w:r>
      <w:hyperlink w:anchor="idm45965174422592">
        <w:r>
          <w:rPr>
            <w:rStyle w:val="Text1"/>
          </w:rPr>
          <w:t>FastAPI</w:t>
        </w:r>
      </w:hyperlink>
    </w:p>
    <w:p>
      <w:pPr>
        <w:pStyle w:val="Para 003"/>
      </w:pPr>
      <w:r>
        <w:t>starmap (itertools module)</w:t>
        <w:t xml:space="preserve">, </w:t>
      </w:r>
      <w:hyperlink w:anchor="idm45965213056768">
        <w:r>
          <w:rPr>
            <w:rStyle w:val="Text1"/>
          </w:rPr>
          <w:t>The itertools Module</w:t>
        </w:r>
      </w:hyperlink>
    </w:p>
    <w:p>
      <w:pPr>
        <w:pStyle w:val="Para 003"/>
      </w:pPr>
      <w:r>
        <w:t>starred targets</w:t>
        <w:t xml:space="preserve">, </w:t>
      </w:r>
      <w:hyperlink w:anchor="idm45965258474816">
        <w:r>
          <w:rPr>
            <w:rStyle w:val="Text1"/>
          </w:rPr>
          <w:t>Plain assignment</w:t>
        </w:r>
      </w:hyperlink>
    </w:p>
    <w:p>
      <w:pPr>
        <w:pStyle w:val="Para 003"/>
      </w:pPr>
      <w:r>
        <w:t>start (threading module)</w:t>
        <w:t xml:space="preserve">, </w:t>
      </w:r>
      <w:hyperlink w:anchor="idm45965192622080">
        <w:r>
          <w:rPr>
            <w:rStyle w:val="Text1"/>
          </w:rPr>
          <w:t>Timer objects</w:t>
        </w:r>
      </w:hyperlink>
    </w:p>
    <w:p>
      <w:pPr>
        <w:pStyle w:val="Para 003"/>
      </w:pPr>
      <w:r>
        <w:t>startswith (string method)</w:t>
        <w:t xml:space="preserve">, </w:t>
      </w:r>
      <w:hyperlink w:anchor="idm45965212316544">
        <w:r>
          <w:rPr>
            <w:rStyle w:val="Text1"/>
          </w:rPr>
          <w:t>Methods of String Objects</w:t>
        </w:r>
      </w:hyperlink>
    </w:p>
    <w:p>
      <w:pPr>
        <w:pStyle w:val="Para 004"/>
      </w:pPr>
      <w:r>
        <w:rPr>
          <w:rStyle w:val="Text2"/>
        </w:rPr>
        <w:t>stat (os module)</w:t>
        <w:t xml:space="preserve">, </w:t>
      </w:r>
      <w:hyperlink w:anchor="idm45965204216480">
        <w:r>
          <w:t>File and directory functions of the os module</w:t>
        </w:r>
      </w:hyperlink>
    </w:p>
    <w:p>
      <w:pPr>
        <w:pStyle w:val="Para 003"/>
      </w:pPr>
      <w:r>
        <w:t>stat (pathlib.Path class)</w:t>
        <w:t xml:space="preserve">, </w:t>
      </w:r>
      <w:hyperlink w:anchor="idm45965202801024">
        <w:r>
          <w:rPr>
            <w:rStyle w:val="Text1"/>
          </w:rPr>
          <w:t>The pathlib Module</w:t>
        </w:r>
      </w:hyperlink>
    </w:p>
    <w:p>
      <w:pPr>
        <w:pStyle w:val="Para 004"/>
      </w:pPr>
      <w:r>
        <w:rPr>
          <w:rStyle w:val="Text2"/>
        </w:rPr>
        <w:t>stat module</w:t>
        <w:t xml:space="preserve">, </w:t>
      </w:r>
      <w:hyperlink w:anchor="idm45965202584608">
        <w:r>
          <w:t>The stat Module</w:t>
        </w:r>
      </w:hyperlink>
    </w:p>
    <w:p>
      <w:pPr>
        <w:pStyle w:val="Para 003"/>
      </w:pPr>
      <w:r>
        <w:t>statements</w:t>
        <w:t xml:space="preserve">, </w:t>
      </w:r>
      <w:hyperlink w:anchor="idm45965282083808">
        <w:r>
          <w:rPr>
            <w:rStyle w:val="Text1"/>
          </w:rPr>
          <w:t>Statements</w:t>
        </w:r>
      </w:hyperlink>
    </w:p>
    <w:p>
      <w:pPr>
        <w:pStyle w:val="Para 004"/>
      </w:pPr>
      <w:r>
        <w:rPr>
          <w:rStyle w:val="Text2"/>
        </w:rPr>
        <w:t>statistics module</w:t>
        <w:t xml:space="preserve">, </w:t>
      </w:r>
      <w:hyperlink w:anchor="idm45965186882848">
        <w:r>
          <w:t>The statistics Module</w:t>
        </w:r>
      </w:hyperlink>
    </w:p>
    <w:p>
      <w:pPr>
        <w:pStyle w:val="Para 004"/>
      </w:pPr>
      <w:r>
        <w:rPr>
          <w:rStyle w:val="Text2"/>
        </w:rPr>
        <w:t>stderr (sys module)</w:t>
        <w:t xml:space="preserve">, </w:t>
      </w:r>
      <w:hyperlink w:anchor="idm45965214712720">
        <w:r>
          <w:t>The sys Module</w:t>
        </w:r>
      </w:hyperlink>
      <w:r>
        <w:rPr>
          <w:rStyle w:val="Text2"/>
        </w:rPr>
        <w:t xml:space="preserve">, </w:t>
      </w:r>
      <w:hyperlink w:anchor="idm45965202011136">
        <w:r>
          <w:t>Standard Output and Standard Error</w:t>
        </w:r>
      </w:hyperlink>
    </w:p>
    <w:p>
      <w:pPr>
        <w:pStyle w:val="Para 004"/>
      </w:pPr>
      <w:r>
        <w:rPr>
          <w:rStyle w:val="Text2"/>
        </w:rPr>
        <w:t>stdin (sys module)</w:t>
        <w:t xml:space="preserve">, </w:t>
      </w:r>
      <w:hyperlink w:anchor="idm45965214714928">
        <w:r>
          <w:t>The sys Module</w:t>
        </w:r>
      </w:hyperlink>
      <w:r>
        <w:rPr>
          <w:rStyle w:val="Text2"/>
        </w:rPr>
        <w:t xml:space="preserve">, </w:t>
      </w:r>
      <w:hyperlink w:anchor="idm45965201877056">
        <w:r>
          <w:t>Standard Input</w:t>
        </w:r>
      </w:hyperlink>
    </w:p>
    <w:p>
      <w:pPr>
        <w:pStyle w:val="Para 004"/>
      </w:pPr>
      <w:r>
        <w:rPr>
          <w:rStyle w:val="Text2"/>
        </w:rPr>
        <w:t>stdout (sys module)</w:t>
        <w:t xml:space="preserve">, </w:t>
      </w:r>
      <w:hyperlink w:anchor="idm45965214713824">
        <w:r>
          <w:t>The sys Module</w:t>
        </w:r>
      </w:hyperlink>
      <w:r>
        <w:rPr>
          <w:rStyle w:val="Text2"/>
        </w:rPr>
        <w:t xml:space="preserve">, </w:t>
      </w:r>
      <w:hyperlink w:anchor="idm45965202012272">
        <w:r>
          <w:t>Standard Output and Standard Error</w:t>
        </w:r>
      </w:hyperlink>
    </w:p>
    <w:p>
      <w:pPr>
        <w:pStyle w:val="Para 004"/>
      </w:pPr>
      <w:r>
        <w:rPr>
          <w:rStyle w:val="Text2"/>
        </w:rPr>
        <w:t>str (built-in type)</w:t>
        <w:t xml:space="preserve">, </w:t>
      </w:r>
      <w:hyperlink w:anchor="idm45965216484352">
        <w:r>
          <w:t>Built-in Types</w:t>
        </w:r>
      </w:hyperlink>
      <w:r>
        <w:rPr>
          <w:rStyle w:val="Text2"/>
        </w:rPr>
        <w:t xml:space="preserve">, </w:t>
      </w:r>
      <w:hyperlink w:anchor="idm45965212846112">
        <w:r>
          <w:t>Strings and Things</w:t>
        </w:r>
      </w:hyperlink>
    </w:p>
    <w:p>
      <w:pPr>
        <w:pStyle w:val="Para 003"/>
      </w:pPr>
      <w:r>
        <w:t>strftime (datetime.datetime class)</w:t>
        <w:t xml:space="preserve">, </w:t>
      </w:r>
      <w:hyperlink w:anchor="idm45965195967936">
        <w:r>
          <w:rPr>
            <w:rStyle w:val="Text1"/>
          </w:rPr>
          <w:t>The datetime Class</w:t>
        </w:r>
      </w:hyperlink>
    </w:p>
    <w:p>
      <w:pPr>
        <w:pStyle w:val="Para 003"/>
      </w:pPr>
      <w:r>
        <w:t>strftime (time module)</w:t>
        <w:t xml:space="preserve">, </w:t>
      </w:r>
      <w:hyperlink w:anchor="idm45965196764256">
        <w:r>
          <w:rPr>
            <w:rStyle w:val="Text1"/>
          </w:rPr>
          <w:t>The time Module</w:t>
        </w:r>
      </w:hyperlink>
    </w:p>
    <w:p>
      <w:pPr>
        <w:pStyle w:val="Para 004"/>
      </w:pPr>
      <w:r>
        <w:rPr>
          <w:rStyle w:val="Text2"/>
        </w:rPr>
        <w:t>string module</w:t>
        <w:t xml:space="preserve">, </w:t>
      </w:r>
      <w:hyperlink w:anchor="idm45965212187984">
        <w:r>
          <w:t>The string Module</w:t>
        </w:r>
      </w:hyperlink>
    </w:p>
    <w:p>
      <w:pPr>
        <w:pStyle w:val="Para 004"/>
      </w:pPr>
      <w:r>
        <w:rPr>
          <w:rStyle w:val="Text2"/>
        </w:rPr>
        <w:t>StringIO class (io module)</w:t>
        <w:t xml:space="preserve">, </w:t>
      </w:r>
      <w:hyperlink w:anchor="idm45965205272272">
        <w:r>
          <w:t>In-Memory Files: io.StringIO and io.BytesIO</w:t>
        </w:r>
      </w:hyperlink>
    </w:p>
    <w:p>
      <w:pPr>
        <w:pStyle w:val="Para 003"/>
      </w:pPr>
      <w:r>
        <w:t>strings</w:t>
      </w:r>
    </w:p>
    <w:p>
      <w:pPr>
        <w:pStyle w:val="Para 004"/>
      </w:pPr>
      <w:r>
        <w:rPr>
          <w:rStyle w:val="Text2"/>
        </w:rPr>
        <w:t>building from pieces</w:t>
        <w:t xml:space="preserve">, </w:t>
      </w:r>
      <w:hyperlink w:anchor="idm45965178642544">
        <w:r>
          <w:t>Building up a string from pieces</w:t>
        </w:r>
      </w:hyperlink>
    </w:p>
    <w:p>
      <w:pPr>
        <w:pStyle w:val="Para 003"/>
      </w:pPr>
      <w:r>
        <w:t>built-in string types</w:t>
        <w:t xml:space="preserve">, </w:t>
      </w:r>
      <w:hyperlink w:anchor="strings03">
        <w:r>
          <w:rPr>
            <w:rStyle w:val="Text1"/>
          </w:rPr>
          <w:t>Strings</w:t>
        </w:r>
      </w:hyperlink>
      <w:r>
        <w:t>-</w:t>
      </w:r>
      <w:hyperlink w:anchor="idm45965278887664">
        <w:r>
          <w:rPr>
            <w:rStyle w:val="Text1"/>
          </w:rPr>
          <w:t>Strings</w:t>
        </w:r>
      </w:hyperlink>
    </w:p>
    <w:p>
      <w:pPr>
        <w:pStyle w:val="Para 004"/>
      </w:pPr>
      <w:r>
        <w:rPr>
          <w:rStyle w:val="Text2"/>
        </w:rPr>
        <w:t>methods of string objects</w:t>
        <w:t xml:space="preserve">, </w:t>
      </w:r>
      <w:hyperlink w:anchor="Smethod11">
        <w:r>
          <w:t>Methods of String Objects</w:t>
        </w:r>
      </w:hyperlink>
      <w:r>
        <w:rPr>
          <w:rStyle w:val="Text2"/>
        </w:rPr>
        <w:t>-</w:t>
      </w:r>
      <w:hyperlink w:anchor="idm45965212192176">
        <w:r>
          <w:t>Methods of String Objects</w:t>
        </w:r>
      </w:hyperlink>
    </w:p>
    <w:p>
      <w:pPr>
        <w:pStyle w:val="Para 003"/>
      </w:pPr>
      <w:r>
        <w:t>optimizing string operations</w:t>
        <w:t xml:space="preserve">, </w:t>
      </w:r>
      <w:hyperlink w:anchor="idm45965180801152">
        <w:r>
          <w:rPr>
            <w:rStyle w:val="Text1"/>
          </w:rPr>
          <w:t>String operations</w:t>
        </w:r>
      </w:hyperlink>
    </w:p>
    <w:p>
      <w:pPr>
        <w:pStyle w:val="Para 004"/>
      </w:pPr>
      <w:r>
        <w:rPr>
          <w:rStyle w:val="Text2"/>
        </w:rPr>
        <w:t>pprint module</w:t>
        <w:t xml:space="preserve">, </w:t>
      </w:r>
      <w:hyperlink w:anchor="idm45965209428704">
        <w:r>
          <w:t>The pprint Module</w:t>
        </w:r>
      </w:hyperlink>
    </w:p>
    <w:p>
      <w:pPr>
        <w:pStyle w:val="Para 004"/>
      </w:pPr>
      <w:r>
        <w:rPr>
          <w:rStyle w:val="Text2"/>
        </w:rPr>
        <w:t>reprlib module</w:t>
        <w:t xml:space="preserve">, </w:t>
      </w:r>
      <w:hyperlink w:anchor="idm45965209357744">
        <w:r>
          <w:t>The reprlib Module</w:t>
        </w:r>
      </w:hyperlink>
    </w:p>
    <w:p>
      <w:pPr>
        <w:pStyle w:val="Para 003"/>
      </w:pPr>
      <w:r>
        <w:t>sequence operations</w:t>
        <w:t xml:space="preserve">, </w:t>
      </w:r>
      <w:hyperlink w:anchor="idm45965280374528">
        <w:r>
          <w:rPr>
            <w:rStyle w:val="Text1"/>
          </w:rPr>
          <w:t>Strings</w:t>
        </w:r>
      </w:hyperlink>
    </w:p>
    <w:p>
      <w:pPr>
        <w:pStyle w:val="Para 003"/>
      </w:pPr>
      <w:r>
        <w:t>special methods for string representation</w:t>
        <w:t xml:space="preserve">, </w:t>
      </w:r>
      <w:hyperlink w:anchor="idm45965265035024">
        <w:r>
          <w:rPr>
            <w:rStyle w:val="Text1"/>
          </w:rPr>
          <w:t>General-Purpose Special Methods</w:t>
        </w:r>
      </w:hyperlink>
    </w:p>
    <w:p>
      <w:pPr>
        <w:pStyle w:val="Para 004"/>
      </w:pPr>
      <w:r>
        <w:rPr>
          <w:rStyle w:val="Text2"/>
        </w:rPr>
        <w:t>string formatting</w:t>
        <w:t xml:space="preserve">, </w:t>
      </w:r>
      <w:hyperlink w:anchor="Sformat09">
        <w:r>
          <w:t>String Formatting</w:t>
        </w:r>
      </w:hyperlink>
      <w:r>
        <w:rPr>
          <w:rStyle w:val="Text2"/>
        </w:rPr>
        <w:t>-</w:t>
      </w:r>
      <w:hyperlink w:anchor="idm45965209459968">
        <w:r>
          <w:t>Format Specifier Syntax</w:t>
        </w:r>
      </w:hyperlink>
      <w:r>
        <w:rPr>
          <w:rStyle w:val="Text2"/>
        </w:rPr>
        <w:t xml:space="preserve">, </w:t>
      </w:r>
      <w:hyperlink w:anchor="idm45965197983072">
        <w:r>
          <w:t>Parameter Style</w:t>
        </w:r>
      </w:hyperlink>
    </w:p>
    <w:p>
      <w:pPr>
        <w:pStyle w:val="Para 004"/>
      </w:pPr>
      <w:r>
        <w:rPr>
          <w:rStyle w:val="Text2"/>
        </w:rPr>
        <w:t>string module</w:t>
        <w:t xml:space="preserve">, </w:t>
      </w:r>
      <w:hyperlink w:anchor="idm45965212189392">
        <w:r>
          <w:t>The string Module</w:t>
        </w:r>
      </w:hyperlink>
    </w:p>
    <w:p>
      <w:pPr>
        <w:pStyle w:val="Para 003"/>
      </w:pPr>
      <w:r>
        <w:t>text wrapping and filing</w:t>
        <w:t xml:space="preserve">, </w:t>
      </w:r>
      <w:hyperlink w:anchor="idm45965209456864">
        <w:r>
          <w:rPr>
            <w:rStyle w:val="Text1"/>
          </w:rPr>
          <w:t>Text Wrapping and Filling</w:t>
        </w:r>
      </w:hyperlink>
    </w:p>
    <w:p>
      <w:pPr>
        <w:pStyle w:val="Para 004"/>
      </w:pPr>
      <w:r>
        <w:rPr>
          <w:rStyle w:val="Text2"/>
        </w:rPr>
        <w:t>Unicode</w:t>
        <w:t xml:space="preserve">, </w:t>
      </w:r>
      <w:hyperlink w:anchor="Suni09">
        <w:r>
          <w:t>Unicode</w:t>
        </w:r>
      </w:hyperlink>
      <w:r>
        <w:rPr>
          <w:rStyle w:val="Text2"/>
        </w:rPr>
        <w:t>-</w:t>
      </w:r>
      <w:hyperlink w:anchor="idm45965209283584">
        <w:r>
          <w:t>The unicodedata Module</w:t>
        </w:r>
      </w:hyperlink>
    </w:p>
    <w:p>
      <w:pPr>
        <w:pStyle w:val="Para 004"/>
      </w:pPr>
      <w:r>
        <w:rPr>
          <w:rStyle w:val="Text2"/>
        </w:rPr>
        <w:t>strip (string method)</w:t>
        <w:t xml:space="preserve">, </w:t>
      </w:r>
      <w:hyperlink w:anchor="idm45965212301952">
        <w:r>
          <w:t>Methods of String Objects</w:t>
        </w:r>
      </w:hyperlink>
    </w:p>
    <w:p>
      <w:pPr>
        <w:pStyle w:val="Para 003"/>
      </w:pPr>
      <w:r>
        <w:t>strongly private identifiers</w:t>
        <w:t xml:space="preserve">, </w:t>
      </w:r>
      <w:hyperlink w:anchor="idm45965276619376">
        <w:r>
          <w:rPr>
            <w:rStyle w:val="Text1"/>
          </w:rPr>
          <w:t>Identifiers</w:t>
        </w:r>
      </w:hyperlink>
    </w:p>
    <w:p>
      <w:pPr>
        <w:pStyle w:val="Para 003"/>
      </w:pPr>
      <w:r>
        <w:t>strptime (datetime.datetime class)</w:t>
        <w:t xml:space="preserve">, </w:t>
      </w:r>
      <w:hyperlink w:anchor="idm45965196109680">
        <w:r>
          <w:rPr>
            <w:rStyle w:val="Text1"/>
          </w:rPr>
          <w:t>The datetime Class</w:t>
        </w:r>
      </w:hyperlink>
    </w:p>
    <w:p>
      <w:pPr>
        <w:pStyle w:val="Para 003"/>
      </w:pPr>
      <w:r>
        <w:t>strptime (time module)</w:t>
        <w:t xml:space="preserve">, </w:t>
      </w:r>
      <w:hyperlink w:anchor="idm45965196740352">
        <w:r>
          <w:rPr>
            <w:rStyle w:val="Text1"/>
          </w:rPr>
          <w:t>The time Module</w:t>
        </w:r>
      </w:hyperlink>
    </w:p>
    <w:p>
      <w:pPr>
        <w:pStyle w:val="Para 003"/>
      </w:pPr>
      <w:r>
        <w:t>Struct class (struct module)</w:t>
        <w:t xml:space="preserve">, </w:t>
      </w:r>
      <w:hyperlink w:anchor="idm45965205292976">
        <w:r>
          <w:rPr>
            <w:rStyle w:val="Text1"/>
          </w:rPr>
          <w:t>The struct Module</w:t>
        </w:r>
      </w:hyperlink>
    </w:p>
    <w:p>
      <w:pPr>
        <w:pStyle w:val="Para 003"/>
      </w:pPr>
      <w:r>
        <w:t>struct format strings</w:t>
        <w:t xml:space="preserve">, </w:t>
      </w:r>
      <w:hyperlink w:anchor="idm45965205451520">
        <w:r>
          <w:rPr>
            <w:rStyle w:val="Text1"/>
          </w:rPr>
          <w:t>The struct Module</w:t>
        </w:r>
      </w:hyperlink>
    </w:p>
    <w:p>
      <w:pPr>
        <w:pStyle w:val="Para 004"/>
      </w:pPr>
      <w:r>
        <w:rPr>
          <w:rStyle w:val="Text2"/>
        </w:rPr>
        <w:t>struct module</w:t>
        <w:t xml:space="preserve">, </w:t>
      </w:r>
      <w:hyperlink w:anchor="strct11">
        <w:r>
          <w:t>The struct Module</w:t>
        </w:r>
      </w:hyperlink>
      <w:r>
        <w:rPr>
          <w:rStyle w:val="Text2"/>
        </w:rPr>
        <w:t>-</w:t>
      </w:r>
      <w:hyperlink w:anchor="idm45965205283456">
        <w:r>
          <w:t>The struct Module</w:t>
        </w:r>
      </w:hyperlink>
    </w:p>
    <w:p>
      <w:pPr>
        <w:pStyle w:val="Para 003"/>
      </w:pPr>
      <w:r>
        <w:t>structural pattern matching</w:t>
        <w:t xml:space="preserve">, </w:t>
      </w:r>
      <w:hyperlink w:anchor="idm45965282221440">
        <w:r>
          <w:rPr>
            <w:rStyle w:val="Text1"/>
          </w:rPr>
          <w:t>The match Statement</w:t>
        </w:r>
      </w:hyperlink>
    </w:p>
    <w:p>
      <w:pPr>
        <w:pStyle w:val="Para 003"/>
      </w:pPr>
      <w:r>
        <w:t>structured text</w:t>
      </w:r>
    </w:p>
    <w:p>
      <w:pPr>
        <w:pStyle w:val="Para 003"/>
      </w:pPr>
      <w:r>
        <w:t>eXtensible Markup Language (XML)</w:t>
      </w:r>
    </w:p>
    <w:p>
      <w:pPr>
        <w:pStyle w:val="Para 003"/>
      </w:pPr>
      <w:r>
        <w:t>building an ElementTree from scratch</w:t>
        <w:t xml:space="preserve">, </w:t>
      </w:r>
      <w:hyperlink w:anchor="idm45965163478864">
        <w:r>
          <w:rPr>
            <w:rStyle w:val="Text1"/>
          </w:rPr>
          <w:t>Building an ElementTree from Scratch</w:t>
        </w:r>
      </w:hyperlink>
    </w:p>
    <w:p>
      <w:pPr>
        <w:pStyle w:val="Para 004"/>
      </w:pPr>
      <w:r>
        <w:rPr>
          <w:rStyle w:val="Text2"/>
        </w:rPr>
        <w:t>ElementTree</w:t>
        <w:t xml:space="preserve">, </w:t>
      </w:r>
      <w:hyperlink w:anchor="STxmleltree23">
        <w:r>
          <w:t>ElementTree</w:t>
        </w:r>
      </w:hyperlink>
      <w:r>
        <w:rPr>
          <w:rStyle w:val="Text2"/>
        </w:rPr>
        <w:t>-</w:t>
      </w:r>
      <w:hyperlink w:anchor="idm45965168635264">
        <w:r>
          <w:t>Functions in the ElementTree Module</w:t>
        </w:r>
      </w:hyperlink>
    </w:p>
    <w:p>
      <w:pPr>
        <w:pStyle w:val="Para 003"/>
      </w:pPr>
      <w:r>
        <w:t>parsing XML iteratively</w:t>
        <w:t xml:space="preserve">, </w:t>
      </w:r>
      <w:hyperlink w:anchor="idm45965163284208">
        <w:r>
          <w:rPr>
            <w:rStyle w:val="Text1"/>
          </w:rPr>
          <w:t>Parsing XML Iteratively</w:t>
        </w:r>
      </w:hyperlink>
    </w:p>
    <w:p>
      <w:pPr>
        <w:pStyle w:val="Para 004"/>
      </w:pPr>
      <w:r>
        <w:rPr>
          <w:rStyle w:val="Text2"/>
        </w:rPr>
        <w:t>parsing XML with ElementTree.parse</w:t>
        <w:t xml:space="preserve">, </w:t>
      </w:r>
      <w:hyperlink w:anchor="STxmlpars23">
        <w:r>
          <w:t>Parsing XML with ElementTree.parse</w:t>
        </w:r>
      </w:hyperlink>
      <w:r>
        <w:rPr>
          <w:rStyle w:val="Text2"/>
        </w:rPr>
        <w:t>-</w:t>
      </w:r>
      <w:hyperlink w:anchor="idm45965163482144">
        <w:r>
          <w:t>Editing an ElementTree</w:t>
        </w:r>
      </w:hyperlink>
    </w:p>
    <w:p>
      <w:pPr>
        <w:pStyle w:val="Para 004"/>
      </w:pPr>
      <w:r>
        <w:rPr>
          <w:rStyle w:val="Text2"/>
        </w:rPr>
        <w:t>working with XML</w:t>
        <w:t xml:space="preserve">, </w:t>
      </w:r>
      <w:hyperlink w:anchor="idm45965169201408">
        <w:r>
          <w:t>Structured Text: XML</w:t>
        </w:r>
      </w:hyperlink>
    </w:p>
    <w:p>
      <w:pPr>
        <w:pStyle w:val="Para 003"/>
      </w:pPr>
      <w:r>
        <w:t>HyperText Markup Language (HTML)</w:t>
      </w:r>
    </w:p>
    <w:p>
      <w:pPr>
        <w:pStyle w:val="Para 004"/>
      </w:pPr>
      <w:r>
        <w:rPr>
          <w:rStyle w:val="Text2"/>
        </w:rPr>
        <w:t>BeautifulSoup package</w:t>
        <w:t xml:space="preserve">, </w:t>
      </w:r>
      <w:hyperlink w:anchor="STbsoup22">
        <w:r>
          <w:t>The BeautifulSoup Third-Party Package</w:t>
        </w:r>
      </w:hyperlink>
      <w:r>
        <w:rPr>
          <w:rStyle w:val="Text2"/>
        </w:rPr>
        <w:t>-</w:t>
      </w:r>
      <w:hyperlink w:anchor="idm45965170228224">
        <w:r>
          <w:t>An HTML Parsing Example with BeautifulSoup</w:t>
        </w:r>
      </w:hyperlink>
    </w:p>
    <w:p>
      <w:pPr>
        <w:pStyle w:val="Para 004"/>
      </w:pPr>
      <w:r>
        <w:rPr>
          <w:rStyle w:val="Text2"/>
        </w:rPr>
        <w:t>generating HTML</w:t>
        <w:t xml:space="preserve">, </w:t>
      </w:r>
      <w:hyperlink w:anchor="STgenhtml22">
        <w:r>
          <w:t>Generating HTML</w:t>
        </w:r>
      </w:hyperlink>
      <w:r>
        <w:rPr>
          <w:rStyle w:val="Text2"/>
        </w:rPr>
        <w:t>-</w:t>
      </w:r>
      <w:hyperlink w:anchor="idm45965169238208">
        <w:r>
          <w:t>Building HTML with jinja2</w:t>
        </w:r>
      </w:hyperlink>
    </w:p>
    <w:p>
      <w:pPr>
        <w:pStyle w:val="Para 004"/>
      </w:pPr>
      <w:r>
        <w:rPr>
          <w:rStyle w:val="Text2"/>
        </w:rPr>
        <w:t>html.entities module</w:t>
        <w:t xml:space="preserve">, </w:t>
      </w:r>
      <w:hyperlink w:anchor="idm45965171955312">
        <w:r>
          <w:t>The html.entities Module</w:t>
        </w:r>
      </w:hyperlink>
    </w:p>
    <w:p>
      <w:pPr>
        <w:pStyle w:val="Para 004"/>
      </w:pPr>
      <w:r>
        <w:rPr>
          <w:rStyle w:val="Text2"/>
        </w:rPr>
        <w:t>working with HTML</w:t>
        <w:t xml:space="preserve">, </w:t>
      </w:r>
      <w:hyperlink w:anchor="idm45965171991312">
        <w:r>
          <w:t>Structured Text: HTML</w:t>
        </w:r>
      </w:hyperlink>
    </w:p>
    <w:p>
      <w:pPr>
        <w:pStyle w:val="Para 004"/>
      </w:pPr>
      <w:r>
        <w:rPr>
          <w:rStyle w:val="Text2"/>
        </w:rPr>
        <w:t>stubs</w:t>
        <w:t xml:space="preserve">, </w:t>
      </w:r>
      <w:hyperlink w:anchor="idm45965183786656">
        <w:r>
          <w:t>Unit Testing and System Testing</w:t>
        </w:r>
      </w:hyperlink>
    </w:p>
    <w:p>
      <w:pPr>
        <w:pStyle w:val="Para 003"/>
      </w:pPr>
      <w:r>
        <w:t>sub (re instance methods)</w:t>
        <w:t xml:space="preserve">, </w:t>
      </w:r>
      <w:hyperlink w:anchor="idm45965207421504">
        <w:r>
          <w:rPr>
            <w:rStyle w:val="Text1"/>
          </w:rPr>
          <w:t>Regular Expression Objects</w:t>
        </w:r>
      </w:hyperlink>
    </w:p>
    <w:p>
      <w:pPr>
        <w:pStyle w:val="Para 004"/>
      </w:pPr>
      <w:r>
        <w:rPr>
          <w:rStyle w:val="Text2"/>
        </w:rPr>
        <w:t>Sublime Text text editor</w:t>
        <w:t xml:space="preserve">, </w:t>
      </w:r>
      <w:hyperlink w:anchor="idm45965276459584">
        <w:r>
          <w:t>Free Text Editors with Python Support</w:t>
        </w:r>
      </w:hyperlink>
    </w:p>
    <w:p>
      <w:pPr>
        <w:pStyle w:val="Para 003"/>
      </w:pPr>
      <w:r>
        <w:t>subpackages</w:t>
        <w:t xml:space="preserve">, </w:t>
      </w:r>
      <w:hyperlink w:anchor="idm45965217344480">
        <w:r>
          <w:rPr>
            <w:rStyle w:val="Text1"/>
          </w:rPr>
          <w:t>Packages</w:t>
        </w:r>
      </w:hyperlink>
    </w:p>
    <w:p>
      <w:pPr>
        <w:pStyle w:val="Para 004"/>
      </w:pPr>
      <w:r>
        <w:rPr>
          <w:rStyle w:val="Text2"/>
        </w:rPr>
        <w:t>subprocess module</w:t>
        <w:t xml:space="preserve">, </w:t>
      </w:r>
      <w:hyperlink w:anchor="submod15">
        <w:r>
          <w:t>Using the Subprocess Module</w:t>
        </w:r>
      </w:hyperlink>
      <w:r>
        <w:rPr>
          <w:rStyle w:val="Text2"/>
        </w:rPr>
        <w:t>-</w:t>
      </w:r>
      <w:hyperlink w:anchor="idm45965188613152">
        <w:r>
          <w:t>Running Other Programs with the os Module</w:t>
        </w:r>
      </w:hyperlink>
    </w:p>
    <w:p>
      <w:pPr>
        <w:pStyle w:val="Para 003"/>
      </w:pPr>
      <w:r>
        <w:t>subtract (collections.Counter class)</w:t>
        <w:t xml:space="preserve">, </w:t>
      </w:r>
      <w:hyperlink w:anchor="idm45965278188240">
        <w:r>
          <w:rPr>
            <w:rStyle w:val="Text1"/>
          </w:rPr>
          <w:t>Counter</w:t>
        </w:r>
      </w:hyperlink>
    </w:p>
    <w:p>
      <w:pPr>
        <w:pStyle w:val="Para 003"/>
      </w:pPr>
      <w:r>
        <w:t>sum (built-in function)</w:t>
        <w:t xml:space="preserve">, </w:t>
      </w:r>
      <w:hyperlink w:anchor="idm45965215218272">
        <w:r>
          <w:rPr>
            <w:rStyle w:val="Text1"/>
          </w:rPr>
          <w:t>Built-in Functions</w:t>
        </w:r>
      </w:hyperlink>
    </w:p>
    <w:p>
      <w:pPr>
        <w:pStyle w:val="Para 003"/>
      </w:pPr>
      <w:r>
        <w:t>super (built-in type)</w:t>
        <w:t xml:space="preserve">, </w:t>
      </w:r>
      <w:hyperlink w:anchor="idm45965216471280">
        <w:r>
          <w:rPr>
            <w:rStyle w:val="Text1"/>
          </w:rPr>
          <w:t>Built-in Types</w:t>
        </w:r>
      </w:hyperlink>
    </w:p>
    <w:p>
      <w:pPr>
        <w:pStyle w:val="Para 004"/>
      </w:pPr>
      <w:r>
        <w:rPr>
          <w:rStyle w:val="Text2"/>
        </w:rPr>
        <w:t>superclasses</w:t>
        <w:t xml:space="preserve">, </w:t>
      </w:r>
      <w:hyperlink w:anchor="idm45965271989984">
        <w:r>
          <w:t>The class Statement</w:t>
        </w:r>
      </w:hyperlink>
    </w:p>
    <w:p>
      <w:pPr>
        <w:pStyle w:val="Para 004"/>
      </w:pPr>
      <w:r>
        <w:rPr>
          <w:rStyle w:val="Text2"/>
        </w:rPr>
        <w:t>supplemental material, obtaining</w:t>
        <w:t xml:space="preserve">, </w:t>
      </w:r>
      <w:hyperlink w:anchor="idm45965252649472">
        <w:r>
          <w:t>How to Contact Us</w:t>
        </w:r>
      </w:hyperlink>
      <w:r>
        <w:rPr>
          <w:rStyle w:val="Text2"/>
        </w:rPr>
        <w:t xml:space="preserve">, </w:t>
      </w:r>
      <w:hyperlink w:anchor="idm45965162960336">
        <w:r>
          <w:t>Packaging Programs and Extensions</w:t>
        </w:r>
      </w:hyperlink>
    </w:p>
    <w:p>
      <w:pPr>
        <w:pStyle w:val="Para 003"/>
      </w:pPr>
      <w:r>
        <w:t>SupportsAbs and other protocols (typing module)</w:t>
        <w:t xml:space="preserve">, </w:t>
      </w:r>
      <w:hyperlink w:anchor="idm45965268371728">
        <w:r>
          <w:rPr>
            <w:rStyle w:val="Text1"/>
          </w:rPr>
          <w:t>Protocols</w:t>
        </w:r>
      </w:hyperlink>
    </w:p>
    <w:p>
      <w:pPr>
        <w:pStyle w:val="Para 004"/>
      </w:pPr>
      <w:r>
        <w:rPr>
          <w:rStyle w:val="Text2"/>
        </w:rPr>
        <w:t>suppress (contextlib module)</w:t>
        <w:t xml:space="preserve">, </w:t>
      </w:r>
      <w:hyperlink w:anchor="idm45965257189616">
        <w:r>
          <w:t>The with Statement and Context Managers</w:t>
        </w:r>
      </w:hyperlink>
    </w:p>
    <w:p>
      <w:pPr>
        <w:pStyle w:val="Para 003"/>
      </w:pPr>
      <w:r>
        <w:t>swapcase (string method)</w:t>
        <w:t xml:space="preserve">, </w:t>
      </w:r>
      <w:hyperlink w:anchor="idm45965212294144">
        <w:r>
          <w:rPr>
            <w:rStyle w:val="Text1"/>
          </w:rPr>
          <w:t>Methods of String Objects</w:t>
        </w:r>
      </w:hyperlink>
    </w:p>
    <w:p>
      <w:pPr>
        <w:pStyle w:val="Para 004"/>
      </w:pPr>
      <w:r>
        <w:rPr>
          <w:rStyle w:val="Text2"/>
        </w:rPr>
        <w:t>symlink (os module)</w:t>
        <w:t xml:space="preserve">, </w:t>
      </w:r>
      <w:hyperlink w:anchor="idm45965204119840">
        <w:r>
          <w:t>File and directory functions of the os module</w:t>
        </w:r>
      </w:hyperlink>
    </w:p>
    <w:p>
      <w:pPr>
        <w:pStyle w:val="Para 003"/>
      </w:pPr>
      <w:r>
        <w:t>symlink_to (pathlib.Path class)</w:t>
        <w:t xml:space="preserve">, </w:t>
      </w:r>
      <w:hyperlink w:anchor="idm45965202791264">
        <w:r>
          <w:rPr>
            <w:rStyle w:val="Text1"/>
          </w:rPr>
          <w:t>The pathlib Module</w:t>
        </w:r>
      </w:hyperlink>
    </w:p>
    <w:p>
      <w:pPr>
        <w:pStyle w:val="Para 003"/>
      </w:pPr>
      <w:r>
        <w:t>symmetric_difference (set method)</w:t>
        <w:t xml:space="preserve">, </w:t>
      </w:r>
      <w:hyperlink w:anchor="idm45965278544752">
        <w:r>
          <w:rPr>
            <w:rStyle w:val="Text1"/>
          </w:rPr>
          <w:t>Set Methods</w:t>
        </w:r>
      </w:hyperlink>
    </w:p>
    <w:p>
      <w:pPr>
        <w:pStyle w:val="Para 004"/>
      </w:pPr>
      <w:r>
        <w:rPr>
          <w:rStyle w:val="Text2"/>
        </w:rPr>
        <w:t>synchronization objects (threads)</w:t>
        <w:t xml:space="preserve">, </w:t>
      </w:r>
      <w:hyperlink w:anchor="synobj15">
        <w:r>
          <w:t>Thread Synchronization Objects</w:t>
        </w:r>
      </w:hyperlink>
      <w:r>
        <w:rPr>
          <w:rStyle w:val="Text2"/>
        </w:rPr>
        <w:t>-</w:t>
      </w:r>
      <w:hyperlink w:anchor="idm45965193106848">
        <w:r>
          <w:t>Lock and RLock objects</w:t>
        </w:r>
      </w:hyperlink>
    </w:p>
    <w:p>
      <w:pPr>
        <w:pStyle w:val="Para 003"/>
      </w:pPr>
      <w:r>
        <w:t>syntax</w:t>
        <w:t xml:space="preserve"> (</w:t>
        <w:t>see</w:t>
        <w:t xml:space="preserve"> command-line syntax and options)</w:t>
      </w:r>
    </w:p>
    <w:p>
      <w:pPr>
        <w:pStyle w:val="Para 004"/>
      </w:pPr>
      <w:r>
        <w:rPr>
          <w:rStyle w:val="Text2"/>
        </w:rPr>
        <w:t>syntax errors</w:t>
        <w:t xml:space="preserve">, </w:t>
      </w:r>
      <w:hyperlink w:anchor="idm45965258660224">
        <w:r>
          <w:t>Accessing nonexistent references</w:t>
        </w:r>
      </w:hyperlink>
    </w:p>
    <w:p>
      <w:pPr>
        <w:pStyle w:val="Para 003"/>
      </w:pPr>
      <w:r>
        <w:t>SyntaxWarning class</w:t>
        <w:t xml:space="preserve">, </w:t>
      </w:r>
      <w:hyperlink w:anchor="idm45965181323824">
        <w:r>
          <w:rPr>
            <w:rStyle w:val="Text1"/>
          </w:rPr>
          <w:t>Classes</w:t>
        </w:r>
      </w:hyperlink>
    </w:p>
    <w:p>
      <w:pPr>
        <w:pStyle w:val="Para 004"/>
      </w:pPr>
      <w:r>
        <w:rPr>
          <w:rStyle w:val="Text2"/>
        </w:rPr>
        <w:t>sys module</w:t>
        <w:t xml:space="preserve">, </w:t>
      </w:r>
      <w:hyperlink w:anchor="sysmod08">
        <w:r>
          <w:t>The sys Module</w:t>
        </w:r>
      </w:hyperlink>
      <w:r>
        <w:rPr>
          <w:rStyle w:val="Text2"/>
        </w:rPr>
        <w:t>-</w:t>
      </w:r>
      <w:hyperlink w:anchor="idm45965214671648">
        <w:r>
          <w:t>The sys Module</w:t>
        </w:r>
      </w:hyperlink>
      <w:r>
        <w:rPr>
          <w:rStyle w:val="Text2"/>
        </w:rPr>
        <w:t xml:space="preserve">, </w:t>
      </w:r>
      <w:hyperlink w:anchor="idm45965202016640">
        <w:r>
          <w:t>Standard Output and Standard Error</w:t>
        </w:r>
      </w:hyperlink>
    </w:p>
    <w:p>
      <w:pPr>
        <w:pStyle w:val="Para 004"/>
      </w:pPr>
      <w:r>
        <w:rPr>
          <w:rStyle w:val="Text2"/>
        </w:rPr>
        <w:t>sys.stderr</w:t>
        <w:t xml:space="preserve">, </w:t>
      </w:r>
      <w:hyperlink w:anchor="idm45965202006688">
        <w:r>
          <w:t>Standard Output and Standard Error</w:t>
        </w:r>
      </w:hyperlink>
    </w:p>
    <w:p>
      <w:pPr>
        <w:pStyle w:val="Para 004"/>
      </w:pPr>
      <w:r>
        <w:rPr>
          <w:rStyle w:val="Text2"/>
        </w:rPr>
        <w:t>sys.stdout</w:t>
        <w:t xml:space="preserve">, </w:t>
      </w:r>
      <w:hyperlink w:anchor="idm45965202008176">
        <w:r>
          <w:t>Standard Output and Standard Error</w:t>
        </w:r>
      </w:hyperlink>
    </w:p>
    <w:p>
      <w:pPr>
        <w:pStyle w:val="Para 004"/>
      </w:pPr>
      <w:r>
        <w:rPr>
          <w:rStyle w:val="Text2"/>
        </w:rPr>
        <w:t>system (os module)</w:t>
        <w:t xml:space="preserve">, </w:t>
      </w:r>
      <w:hyperlink w:anchor="idm45965188643056">
        <w:r>
          <w:t>Running Other Programs with the os Module</w:t>
        </w:r>
      </w:hyperlink>
    </w:p>
    <w:p>
      <w:pPr>
        <w:pStyle w:val="Para 004"/>
      </w:pPr>
      <w:r>
        <w:rPr>
          <w:rStyle w:val="Text2"/>
        </w:rPr>
        <w:t>system analysis and design</w:t>
        <w:t xml:space="preserve">, </w:t>
      </w:r>
      <w:hyperlink w:anchor="idm45965183818688">
        <w:r>
          <w:t>Testing, Debugging, and Optimizing</w:t>
        </w:r>
      </w:hyperlink>
    </w:p>
    <w:p>
      <w:pPr>
        <w:pStyle w:val="Para 004"/>
      </w:pPr>
      <w:r>
        <w:rPr>
          <w:rStyle w:val="Text2"/>
        </w:rPr>
        <w:t>system testing</w:t>
        <w:t xml:space="preserve">, </w:t>
      </w:r>
      <w:hyperlink w:anchor="systest17">
        <w:r>
          <w:t>Testing</w:t>
        </w:r>
      </w:hyperlink>
      <w:r>
        <w:rPr>
          <w:rStyle w:val="Text2"/>
        </w:rPr>
        <w:t>-</w:t>
      </w:r>
      <w:hyperlink w:anchor="idm45965183757216">
        <w:r>
          <w:t>Unit Testing and System Testing</w:t>
        </w:r>
      </w:hyperlink>
    </w:p>
    <w:p>
      <w:pPr>
        <w:keepNext/>
        <w:pStyle w:val="Heading 3"/>
      </w:pPr>
      <w:r>
        <w:t>T</w:t>
      </w:r>
    </w:p>
    <w:p>
      <w:pPr>
        <w:pStyle w:val="Para 003"/>
      </w:pPr>
      <w:r>
        <w:t>tab (\t)</w:t>
        <w:t xml:space="preserve">, </w:t>
      </w:r>
      <w:hyperlink w:anchor="idm45965279001920">
        <w:r>
          <w:rPr>
            <w:rStyle w:val="Text1"/>
          </w:rPr>
          <w:t>Strings</w:t>
        </w:r>
      </w:hyperlink>
    </w:p>
    <w:p>
      <w:pPr>
        <w:pStyle w:val="Para 004"/>
      </w:pPr>
      <w:r>
        <w:rPr>
          <w:rStyle w:val="Text2"/>
        </w:rPr>
        <w:t>tables</w:t>
        <w:t xml:space="preserve">, </w:t>
      </w:r>
      <w:hyperlink w:anchor="idm45965162887664">
        <w:r>
          <w:t>Packaging Programs and Extensions</w:t>
        </w:r>
      </w:hyperlink>
    </w:p>
    <w:p>
      <w:pPr>
        <w:pStyle w:val="Para 004"/>
      </w:pPr>
      <w:r>
        <w:rPr>
          <w:rStyle w:val="Text2"/>
        </w:rPr>
        <w:t>tabs</w:t>
        <w:t xml:space="preserve">, </w:t>
      </w:r>
      <w:hyperlink w:anchor="idm45965274390272">
        <w:r>
          <w:t>Lines and Indentation</w:t>
        </w:r>
      </w:hyperlink>
    </w:p>
    <w:p>
      <w:pPr>
        <w:pStyle w:val="Para 004"/>
      </w:pPr>
      <w:r>
        <w:rPr>
          <w:rStyle w:val="Text2"/>
        </w:rPr>
        <w:t>tags</w:t>
        <w:t xml:space="preserve">, </w:t>
      </w:r>
      <w:hyperlink w:anchor="idm45965171985552">
        <w:r>
          <w:t>Structured Text: HTML</w:t>
        </w:r>
      </w:hyperlink>
    </w:p>
    <w:p>
      <w:pPr>
        <w:pStyle w:val="Para 003"/>
      </w:pPr>
      <w:r>
        <w:t>tail-call elimination</w:t>
        <w:t xml:space="preserve">, </w:t>
      </w:r>
      <w:hyperlink w:anchor="idm45965258916848">
        <w:r>
          <w:rPr>
            <w:rStyle w:val="Text1"/>
          </w:rPr>
          <w:t>Recursion</w:t>
        </w:r>
      </w:hyperlink>
    </w:p>
    <w:p>
      <w:pPr>
        <w:pStyle w:val="Para 003"/>
      </w:pPr>
      <w:r>
        <w:t>takewhile (itertools module)</w:t>
        <w:t xml:space="preserve">, </w:t>
      </w:r>
      <w:hyperlink w:anchor="idm45965213003888">
        <w:r>
          <w:rPr>
            <w:rStyle w:val="Text1"/>
          </w:rPr>
          <w:t>The itertools Module</w:t>
        </w:r>
      </w:hyperlink>
    </w:p>
    <w:p>
      <w:pPr>
        <w:pStyle w:val="Para 004"/>
      </w:pPr>
      <w:r>
        <w:rPr>
          <w:rStyle w:val="Text2"/>
        </w:rPr>
        <w:t>tan (math module)</w:t>
        <w:t xml:space="preserve">, </w:t>
      </w:r>
      <w:hyperlink w:anchor="idm45965187484224">
        <w:r>
          <w:t>The math and cmath Modules</w:t>
        </w:r>
      </w:hyperlink>
    </w:p>
    <w:p>
      <w:pPr>
        <w:pStyle w:val="Para 004"/>
      </w:pPr>
      <w:r>
        <w:rPr>
          <w:rStyle w:val="Text2"/>
        </w:rPr>
        <w:t>TarFile class</w:t>
        <w:t xml:space="preserve">, </w:t>
      </w:r>
      <w:hyperlink w:anchor="idm45965205167920">
        <w:r>
          <w:t>The TarFile class</w:t>
        </w:r>
      </w:hyperlink>
    </w:p>
    <w:p>
      <w:pPr>
        <w:pStyle w:val="Para 004"/>
      </w:pPr>
      <w:r>
        <w:rPr>
          <w:rStyle w:val="Text2"/>
        </w:rPr>
        <w:t>tarfile module</w:t>
        <w:t xml:space="preserve">, </w:t>
      </w:r>
      <w:hyperlink w:anchor="idm45965206421728">
        <w:r>
          <w:t>File and Text Operations</w:t>
        </w:r>
      </w:hyperlink>
      <w:r>
        <w:rPr>
          <w:rStyle w:val="Text2"/>
        </w:rPr>
        <w:t xml:space="preserve">, </w:t>
      </w:r>
      <w:hyperlink w:anchor="tarfile11">
        <w:r>
          <w:t>The tarfile Module</w:t>
        </w:r>
      </w:hyperlink>
      <w:r>
        <w:rPr>
          <w:rStyle w:val="Text2"/>
        </w:rPr>
        <w:t>-</w:t>
      </w:r>
      <w:hyperlink w:anchor="idm45965204992288">
        <w:r>
          <w:t>The TarInfo class</w:t>
        </w:r>
      </w:hyperlink>
    </w:p>
    <w:p>
      <w:pPr>
        <w:pStyle w:val="Para 004"/>
      </w:pPr>
      <w:r>
        <w:rPr>
          <w:rStyle w:val="Text2"/>
        </w:rPr>
        <w:t>targets</w:t>
        <w:t xml:space="preserve">, </w:t>
      </w:r>
      <w:hyperlink w:anchor="idm45965258630272">
        <w:r>
          <w:t>Plain assignment</w:t>
        </w:r>
      </w:hyperlink>
    </w:p>
    <w:p>
      <w:pPr>
        <w:pStyle w:val="Para 004"/>
      </w:pPr>
      <w:r>
        <w:rPr>
          <w:rStyle w:val="Text2"/>
        </w:rPr>
        <w:t>TarInfo class</w:t>
        <w:t xml:space="preserve">, </w:t>
      </w:r>
      <w:hyperlink w:anchor="idm45965205032992">
        <w:r>
          <w:t>The TarInfo class</w:t>
        </w:r>
      </w:hyperlink>
    </w:p>
    <w:p>
      <w:pPr>
        <w:pStyle w:val="Para 004"/>
      </w:pPr>
      <w:r>
        <w:rPr>
          <w:rStyle w:val="Text2"/>
        </w:rPr>
        <w:t>tasks</w:t>
        <w:t xml:space="preserve">, </w:t>
      </w:r>
      <w:hyperlink w:anchor="idm45965193637312">
        <w:r>
          <w:t>Concurrency: Threads and Processes</w:t>
        </w:r>
      </w:hyperlink>
    </w:p>
    <w:p>
      <w:pPr>
        <w:pStyle w:val="Para 003"/>
      </w:pPr>
      <w:r>
        <w:t>TCP (Transmission Control Protocol)</w:t>
        <w:t xml:space="preserve">, </w:t>
      </w:r>
      <w:hyperlink w:anchor="idm45965177691376">
        <w:r>
          <w:rPr>
            <w:rStyle w:val="Text1"/>
          </w:rPr>
          <w:t>Networking Basics</w:t>
        </w:r>
      </w:hyperlink>
    </w:p>
    <w:p>
      <w:pPr>
        <w:pStyle w:val="Para 004"/>
      </w:pPr>
      <w:r>
        <w:rPr>
          <w:rStyle w:val="Text2"/>
        </w:rPr>
        <w:t>TCP/IP protocols</w:t>
        <w:t xml:space="preserve">, </w:t>
      </w:r>
      <w:hyperlink w:anchor="idm45965177674704">
        <w:r>
          <w:t>The Berkeley Socket Interface</w:t>
        </w:r>
      </w:hyperlink>
    </w:p>
    <w:p>
      <w:pPr>
        <w:pStyle w:val="Para 003"/>
      </w:pPr>
      <w:r>
        <w:t>TDD (test-driven development)</w:t>
        <w:t xml:space="preserve">, </w:t>
      </w:r>
      <w:hyperlink w:anchor="idm45965183792944">
        <w:r>
          <w:rPr>
            <w:rStyle w:val="Text1"/>
          </w:rPr>
          <w:t>Unit Testing and System Testing</w:t>
        </w:r>
      </w:hyperlink>
    </w:p>
    <w:p>
      <w:pPr>
        <w:pStyle w:val="Para 003"/>
      </w:pPr>
      <w:r>
        <w:t>tearDown (unittest.TestCase class)</w:t>
        <w:t xml:space="preserve">, </w:t>
      </w:r>
      <w:hyperlink w:anchor="idm45965183487136">
        <w:r>
          <w:rPr>
            <w:rStyle w:val="Text1"/>
          </w:rPr>
          <w:t>The unittest Module</w:t>
        </w:r>
      </w:hyperlink>
      <w:r>
        <w:t xml:space="preserve">, </w:t>
      </w:r>
      <w:hyperlink w:anchor="idm45965182917920">
        <w:r>
          <w:rPr>
            <w:rStyle w:val="Text1"/>
          </w:rPr>
          <w:t>The TestCase class</w:t>
        </w:r>
      </w:hyperlink>
    </w:p>
    <w:p>
      <w:pPr>
        <w:pStyle w:val="Para 003"/>
      </w:pPr>
      <w:r>
        <w:t>tee (itertools module)</w:t>
        <w:t xml:space="preserve">, </w:t>
      </w:r>
      <w:hyperlink w:anchor="idm45965212942576">
        <w:r>
          <w:rPr>
            <w:rStyle w:val="Text1"/>
          </w:rPr>
          <w:t>The itertools Module</w:t>
        </w:r>
      </w:hyperlink>
    </w:p>
    <w:p>
      <w:pPr>
        <w:pStyle w:val="Para 004"/>
      </w:pPr>
      <w:r>
        <w:rPr>
          <w:rStyle w:val="Text2"/>
        </w:rPr>
        <w:t>tell (file method)</w:t>
        <w:t xml:space="preserve">, </w:t>
      </w:r>
      <w:hyperlink w:anchor="idm45965206055072">
        <w:r>
          <w:t>Attributes and Methods of File Objects</w:t>
        </w:r>
      </w:hyperlink>
    </w:p>
    <w:p>
      <w:pPr>
        <w:pStyle w:val="Para 004"/>
      </w:pPr>
      <w:r>
        <w:rPr>
          <w:rStyle w:val="Text2"/>
        </w:rPr>
        <w:t>telnetlib module</w:t>
        <w:t xml:space="preserve">, </w:t>
      </w:r>
      <w:hyperlink w:anchor="idm45965175002784">
        <w:r>
          <w:t>Other Network Protocols</w:t>
        </w:r>
      </w:hyperlink>
    </w:p>
    <w:p>
      <w:pPr>
        <w:pStyle w:val="Para 004"/>
      </w:pPr>
      <w:r>
        <w:rPr>
          <w:rStyle w:val="Text2"/>
        </w:rPr>
        <w:t>tempfile module</w:t>
        <w:t xml:space="preserve">, </w:t>
      </w:r>
      <w:hyperlink w:anchor="tempfile11">
        <w:r>
          <w:t>The tempfile Module</w:t>
        </w:r>
      </w:hyperlink>
      <w:r>
        <w:rPr>
          <w:rStyle w:val="Text2"/>
        </w:rPr>
        <w:t>-</w:t>
      </w:r>
      <w:hyperlink w:anchor="idm45965205697840">
        <w:r>
          <w:t>The tempfile Module</w:t>
        </w:r>
      </w:hyperlink>
    </w:p>
    <w:p>
      <w:pPr>
        <w:pStyle w:val="Para 004"/>
      </w:pPr>
      <w:r>
        <w:rPr>
          <w:rStyle w:val="Text2"/>
        </w:rPr>
        <w:t>templating</w:t>
        <w:t xml:space="preserve">, </w:t>
      </w:r>
      <w:hyperlink w:anchor="temp22">
        <w:r>
          <w:t>Templating</w:t>
        </w:r>
      </w:hyperlink>
      <w:r>
        <w:rPr>
          <w:rStyle w:val="Text2"/>
        </w:rPr>
        <w:t>-</w:t>
      </w:r>
      <w:hyperlink w:anchor="idm45965169242336">
        <w:r>
          <w:t>Building HTML with jinja2</w:t>
        </w:r>
      </w:hyperlink>
    </w:p>
    <w:p>
      <w:pPr>
        <w:pStyle w:val="Para 003"/>
      </w:pPr>
      <w:r>
        <w:t>temporary files</w:t>
        <w:t xml:space="preserve">, </w:t>
      </w:r>
      <w:hyperlink w:anchor="idm45965206391328">
        <w:r>
          <w:rPr>
            <w:rStyle w:val="Text1"/>
          </w:rPr>
          <w:t>The io Module</w:t>
        </w:r>
      </w:hyperlink>
    </w:p>
    <w:p>
      <w:pPr>
        <w:pStyle w:val="Para 003"/>
      </w:pPr>
      <w:r>
        <w:t>TemporaryDirectory class (tempfile module)</w:t>
        <w:t xml:space="preserve">, </w:t>
      </w:r>
      <w:hyperlink w:anchor="idm45965205722944">
        <w:r>
          <w:rPr>
            <w:rStyle w:val="Text1"/>
          </w:rPr>
          <w:t>The tempfile Module</w:t>
        </w:r>
      </w:hyperlink>
    </w:p>
    <w:p>
      <w:pPr>
        <w:pStyle w:val="Para 003"/>
      </w:pPr>
      <w:r>
        <w:t>TemporaryFile class (tempfile module)</w:t>
        <w:t xml:space="preserve">, </w:t>
      </w:r>
      <w:hyperlink w:anchor="idm45965205709456">
        <w:r>
          <w:rPr>
            <w:rStyle w:val="Text1"/>
          </w:rPr>
          <w:t>The tempfile Module</w:t>
        </w:r>
      </w:hyperlink>
    </w:p>
    <w:p>
      <w:pPr>
        <w:pStyle w:val="Para 004"/>
      </w:pPr>
      <w:r>
        <w:rPr>
          <w:rStyle w:val="Text2"/>
        </w:rPr>
        <w:t>TensorFlow</w:t>
        <w:t xml:space="preserve">, </w:t>
      </w:r>
      <w:hyperlink w:anchor="idm45965183835856">
        <w:r>
          <w:t>Additional numeric packages</w:t>
        </w:r>
      </w:hyperlink>
    </w:p>
    <w:p>
      <w:pPr>
        <w:pStyle w:val="Para 003"/>
      </w:pPr>
      <w:r>
        <w:t>termination functions</w:t>
        <w:t xml:space="preserve"> (</w:t>
        <w:t>see</w:t>
        <w:t xml:space="preserve"> atexit module)</w:t>
      </w:r>
    </w:p>
    <w:p>
      <w:pPr>
        <w:pStyle w:val="Para 004"/>
      </w:pPr>
      <w:r>
        <w:rPr>
          <w:rStyle w:val="Text2"/>
        </w:rPr>
        <w:t>ternary operator</w:t>
        <w:t xml:space="preserve">, </w:t>
      </w:r>
      <w:hyperlink w:anchor="idm45965275155936">
        <w:r>
          <w:t>Expressions and Operators</w:t>
        </w:r>
      </w:hyperlink>
    </w:p>
    <w:p>
      <w:pPr>
        <w:pStyle w:val="Para 003"/>
      </w:pPr>
      <w:r>
        <w:t>(</w:t>
        <w:t>see also</w:t>
        <w:t xml:space="preserve"> if/else)</w:t>
      </w:r>
    </w:p>
    <w:p>
      <w:pPr>
        <w:pStyle w:val="Para 003"/>
      </w:pPr>
      <w:r>
        <w:t>test case methods</w:t>
        <w:t xml:space="preserve">, </w:t>
      </w:r>
      <w:hyperlink w:anchor="idm45965183490912">
        <w:r>
          <w:rPr>
            <w:rStyle w:val="Text1"/>
          </w:rPr>
          <w:t>The unittest Module</w:t>
        </w:r>
      </w:hyperlink>
    </w:p>
    <w:p>
      <w:pPr>
        <w:pStyle w:val="Para 004"/>
      </w:pPr>
      <w:r>
        <w:rPr>
          <w:rStyle w:val="Text2"/>
        </w:rPr>
        <w:t>test fixtures</w:t>
        <w:t xml:space="preserve">, </w:t>
      </w:r>
      <w:hyperlink w:anchor="idm45965183485216">
        <w:r>
          <w:t>The unittest Module</w:t>
        </w:r>
      </w:hyperlink>
    </w:p>
    <w:p>
      <w:pPr>
        <w:pStyle w:val="Para 004"/>
      </w:pPr>
      <w:r>
        <w:rPr>
          <w:rStyle w:val="Text2"/>
        </w:rPr>
        <w:t>test frameworks</w:t>
        <w:t xml:space="preserve">, </w:t>
      </w:r>
      <w:hyperlink w:anchor="idm45965183569840">
        <w:r>
          <w:t>The doctest Module</w:t>
        </w:r>
      </w:hyperlink>
    </w:p>
    <w:p>
      <w:pPr>
        <w:pStyle w:val="Para 003"/>
      </w:pPr>
      <w:r>
        <w:t>test-driven development (TDD)</w:t>
        <w:t xml:space="preserve">, </w:t>
      </w:r>
      <w:hyperlink w:anchor="idm45965183794064">
        <w:r>
          <w:rPr>
            <w:rStyle w:val="Text1"/>
          </w:rPr>
          <w:t>Unit Testing and System Testing</w:t>
        </w:r>
      </w:hyperlink>
    </w:p>
    <w:p>
      <w:pPr>
        <w:pStyle w:val="Para 004"/>
      </w:pPr>
      <w:r>
        <w:rPr>
          <w:rStyle w:val="Text2"/>
        </w:rPr>
        <w:t>TestCase class (unittest module)</w:t>
        <w:t xml:space="preserve">, </w:t>
      </w:r>
      <w:hyperlink w:anchor="idm45965183492864">
        <w:r>
          <w:t>The unittest Module</w:t>
        </w:r>
      </w:hyperlink>
      <w:r>
        <w:rPr>
          <w:rStyle w:val="Text2"/>
        </w:rPr>
        <w:t xml:space="preserve">, </w:t>
      </w:r>
      <w:hyperlink w:anchor="testcaseclass17">
        <w:r>
          <w:t>The TestCase class</w:t>
        </w:r>
      </w:hyperlink>
      <w:r>
        <w:rPr>
          <w:rStyle w:val="Text2"/>
        </w:rPr>
        <w:t>-</w:t>
      </w:r>
      <w:hyperlink w:anchor="idm45965182860320">
        <w:r>
          <w:t>The TestCase class</w:t>
        </w:r>
      </w:hyperlink>
    </w:p>
    <w:p>
      <w:pPr>
        <w:pStyle w:val="Para 003"/>
      </w:pPr>
      <w:r>
        <w:t>testing</w:t>
      </w:r>
    </w:p>
    <w:p>
      <w:pPr>
        <w:pStyle w:val="Para 004"/>
      </w:pPr>
      <w:r>
        <w:rPr>
          <w:rStyle w:val="Text2"/>
        </w:rPr>
        <w:t>definition of term</w:t>
        <w:t xml:space="preserve">, </w:t>
      </w:r>
      <w:hyperlink w:anchor="idm45965183829536">
        <w:r>
          <w:t>Testing, Debugging, and Optimizing</w:t>
        </w:r>
      </w:hyperlink>
    </w:p>
    <w:p>
      <w:pPr>
        <w:pStyle w:val="Para 004"/>
      </w:pPr>
      <w:r>
        <w:rPr>
          <w:rStyle w:val="Text2"/>
        </w:rPr>
        <w:t>doctest module</w:t>
        <w:t xml:space="preserve">, </w:t>
      </w:r>
      <w:hyperlink w:anchor="Tdoctest17">
        <w:r>
          <w:t>The doctest Module</w:t>
        </w:r>
      </w:hyperlink>
      <w:r>
        <w:rPr>
          <w:rStyle w:val="Text2"/>
        </w:rPr>
        <w:t>-</w:t>
      </w:r>
      <w:hyperlink w:anchor="idm45965183510864">
        <w:r>
          <w:t>The doctest Module</w:t>
        </w:r>
      </w:hyperlink>
    </w:p>
    <w:p>
      <w:pPr>
        <w:pStyle w:val="Para 003"/>
      </w:pPr>
      <w:r>
        <w:t>multiversion testing</w:t>
        <w:t xml:space="preserve">, </w:t>
      </w:r>
      <w:hyperlink w:anchor="idm45965162497936">
        <w:r>
          <w:rPr>
            <w:rStyle w:val="Text1"/>
          </w:rPr>
          <w:t>Multiversion Testing</w:t>
        </w:r>
      </w:hyperlink>
    </w:p>
    <w:p>
      <w:pPr>
        <w:pStyle w:val="Para 003"/>
      </w:pPr>
      <w:r>
        <w:t>nose2 utility and framework</w:t>
        <w:t xml:space="preserve">, </w:t>
      </w:r>
      <w:hyperlink w:anchor="idm45965182812944">
        <w:r>
          <w:rPr>
            <w:rStyle w:val="Text1"/>
          </w:rPr>
          <w:t>Testing with nose2</w:t>
        </w:r>
      </w:hyperlink>
    </w:p>
    <w:p>
      <w:pPr>
        <w:pStyle w:val="Para 004"/>
      </w:pPr>
      <w:r>
        <w:rPr>
          <w:rStyle w:val="Text2"/>
        </w:rPr>
        <w:t>pytest package</w:t>
        <w:t xml:space="preserve">, </w:t>
      </w:r>
      <w:hyperlink w:anchor="idm45965182703904">
        <w:r>
          <w:t>Testing with pytest</w:t>
        </w:r>
      </w:hyperlink>
    </w:p>
    <w:p>
      <w:pPr>
        <w:pStyle w:val="Para 004"/>
      </w:pPr>
      <w:r>
        <w:rPr>
          <w:rStyle w:val="Text2"/>
        </w:rPr>
        <w:t>unit testing and system testing</w:t>
        <w:t xml:space="preserve">, </w:t>
      </w:r>
      <w:hyperlink w:anchor="Tunitsys17">
        <w:r>
          <w:t>Testing</w:t>
        </w:r>
      </w:hyperlink>
      <w:r>
        <w:rPr>
          <w:rStyle w:val="Text2"/>
        </w:rPr>
        <w:t>-</w:t>
      </w:r>
      <w:hyperlink w:anchor="idm45965183760000">
        <w:r>
          <w:t>Unit Testing and System Testing</w:t>
        </w:r>
      </w:hyperlink>
    </w:p>
    <w:p>
      <w:pPr>
        <w:pStyle w:val="Para 004"/>
      </w:pPr>
      <w:r>
        <w:rPr>
          <w:rStyle w:val="Text2"/>
        </w:rPr>
        <w:t>unittest module</w:t>
        <w:t xml:space="preserve">, </w:t>
      </w:r>
      <w:hyperlink w:anchor="Tunit17">
        <w:r>
          <w:t>The unittest Module</w:t>
        </w:r>
      </w:hyperlink>
      <w:r>
        <w:rPr>
          <w:rStyle w:val="Text2"/>
        </w:rPr>
        <w:t>-</w:t>
      </w:r>
      <w:hyperlink w:anchor="idm45965182818064">
        <w:r>
          <w:t>Unit tests dealing with large amounts of data</w:t>
        </w:r>
      </w:hyperlink>
    </w:p>
    <w:p>
      <w:pPr>
        <w:pStyle w:val="Para 004"/>
      </w:pPr>
      <w:r>
        <w:rPr>
          <w:rStyle w:val="Text2"/>
        </w:rPr>
        <w:t>testing frameworks</w:t>
        <w:t xml:space="preserve">, </w:t>
      </w:r>
      <w:hyperlink w:anchor="idm45965183766320">
        <w:r>
          <w:t>Unit Testing and System Testing</w:t>
        </w:r>
      </w:hyperlink>
      <w:r>
        <w:rPr>
          <w:rStyle w:val="Text2"/>
        </w:rPr>
        <w:t xml:space="preserve">, </w:t>
      </w:r>
      <w:hyperlink w:anchor="testframe17">
        <w:r>
          <w:t>Testing with nose2</w:t>
        </w:r>
      </w:hyperlink>
      <w:r>
        <w:rPr>
          <w:rStyle w:val="Text2"/>
        </w:rPr>
        <w:t>-</w:t>
      </w:r>
      <w:hyperlink w:anchor="idm45965182542400">
        <w:r>
          <w:t>Testing with pytest</w:t>
        </w:r>
      </w:hyperlink>
    </w:p>
    <w:p>
      <w:pPr>
        <w:pStyle w:val="Para 004"/>
      </w:pPr>
      <w:r>
        <w:rPr>
          <w:rStyle w:val="Text2"/>
        </w:rPr>
        <w:t>text editors</w:t>
        <w:t xml:space="preserve">, </w:t>
      </w:r>
      <w:hyperlink w:anchor="idm45965276473120">
        <w:r>
          <w:t>Free Text Editors with Python Support</w:t>
        </w:r>
      </w:hyperlink>
    </w:p>
    <w:p>
      <w:pPr>
        <w:pStyle w:val="Para 003"/>
      </w:pPr>
      <w:r>
        <w:t>text input and output</w:t>
        <w:t xml:space="preserve">, </w:t>
      </w:r>
      <w:hyperlink w:anchor="testinout11">
        <w:r>
          <w:rPr>
            <w:rStyle w:val="Text1"/>
          </w:rPr>
          <w:t>Text Input and Output</w:t>
        </w:r>
      </w:hyperlink>
      <w:r>
        <w:t>-</w:t>
      </w:r>
      <w:hyperlink w:anchor="idm45965201690880">
        <w:r>
          <w:rPr>
            <w:rStyle w:val="Text1"/>
          </w:rPr>
          <w:t>The getpass Module</w:t>
        </w:r>
      </w:hyperlink>
      <w:r>
        <w:t xml:space="preserve"> (</w:t>
        <w:t>see</w:t>
        <w:t xml:space="preserve"> also file and text operations; structured text)</w:t>
      </w:r>
    </w:p>
    <w:p>
      <w:pPr>
        <w:pStyle w:val="Para 004"/>
      </w:pPr>
      <w:r>
        <w:rPr>
          <w:rStyle w:val="Text2"/>
        </w:rPr>
        <w:t>text mode</w:t>
        <w:t xml:space="preserve">, </w:t>
      </w:r>
      <w:hyperlink w:anchor="idm45965206244336">
        <w:r>
          <w:t>Binary and text modes</w:t>
        </w:r>
      </w:hyperlink>
    </w:p>
    <w:p>
      <w:pPr>
        <w:pStyle w:val="Para 004"/>
      </w:pPr>
      <w:r>
        <w:rPr>
          <w:rStyle w:val="Text2"/>
        </w:rPr>
        <w:t>textwrap module</w:t>
        <w:t xml:space="preserve">, </w:t>
      </w:r>
      <w:hyperlink w:anchor="idm45965209454384">
        <w:r>
          <w:t>Text Wrapping and Filling</w:t>
        </w:r>
      </w:hyperlink>
    </w:p>
    <w:p>
      <w:pPr>
        <w:pStyle w:val="Para 003"/>
      </w:pPr>
      <w:r>
        <w:t>Thread class (threading module)</w:t>
        <w:t xml:space="preserve">, </w:t>
      </w:r>
      <w:hyperlink w:anchor="idm45965193490384">
        <w:r>
          <w:rPr>
            <w:rStyle w:val="Text1"/>
          </w:rPr>
          <w:t>Thread Objects</w:t>
        </w:r>
      </w:hyperlink>
    </w:p>
    <w:p>
      <w:pPr>
        <w:pStyle w:val="Para 003"/>
      </w:pPr>
      <w:r>
        <w:t>thread local storage</w:t>
        <w:t xml:space="preserve">, </w:t>
      </w:r>
      <w:hyperlink w:anchor="idm45965192194784">
        <w:r>
          <w:rPr>
            <w:rStyle w:val="Text1"/>
          </w:rPr>
          <w:t>Thread Local Storage</w:t>
        </w:r>
      </w:hyperlink>
    </w:p>
    <w:p>
      <w:pPr>
        <w:pStyle w:val="Para 004"/>
      </w:pPr>
      <w:r>
        <w:rPr>
          <w:rStyle w:val="Text2"/>
        </w:rPr>
        <w:t>thread pools</w:t>
        <w:t xml:space="preserve">, </w:t>
      </w:r>
      <w:hyperlink w:anchor="idm45965189905536">
        <w:r>
          <w:t>Threaded Program Architecture</w:t>
        </w:r>
      </w:hyperlink>
    </w:p>
    <w:p>
      <w:pPr>
        <w:pStyle w:val="Para 003"/>
      </w:pPr>
      <w:r>
        <w:t>thread safety</w:t>
        <w:t xml:space="preserve">, </w:t>
      </w:r>
      <w:hyperlink w:anchor="idm45965198024752">
        <w:r>
          <w:rPr>
            <w:rStyle w:val="Text1"/>
          </w:rPr>
          <w:t>Thread Safety</w:t>
        </w:r>
      </w:hyperlink>
    </w:p>
    <w:p>
      <w:pPr>
        <w:pStyle w:val="Para 004"/>
      </w:pPr>
      <w:r>
        <w:rPr>
          <w:rStyle w:val="Text2"/>
        </w:rPr>
        <w:t>threading module</w:t>
        <w:t xml:space="preserve">, </w:t>
      </w:r>
      <w:hyperlink w:anchor="thmod15">
        <w:r>
          <w:t>The threading Module</w:t>
        </w:r>
      </w:hyperlink>
      <w:r>
        <w:rPr>
          <w:rStyle w:val="Text2"/>
        </w:rPr>
        <w:t>-</w:t>
      </w:r>
      <w:hyperlink w:anchor="idm45965192034432">
        <w:r>
          <w:t>Thread Local Storage</w:t>
        </w:r>
      </w:hyperlink>
    </w:p>
    <w:p>
      <w:pPr>
        <w:pStyle w:val="Para 004"/>
      </w:pPr>
      <w:r>
        <w:rPr>
          <w:rStyle w:val="Text2"/>
        </w:rPr>
        <w:t>functions of</w:t>
        <w:t xml:space="preserve">, </w:t>
      </w:r>
      <w:hyperlink w:anchor="idm45965193561088">
        <w:r>
          <w:t>The threading Module</w:t>
        </w:r>
      </w:hyperlink>
    </w:p>
    <w:p>
      <w:pPr>
        <w:pStyle w:val="Para 003"/>
      </w:pPr>
      <w:r>
        <w:t>Thread class</w:t>
        <w:t xml:space="preserve">, </w:t>
      </w:r>
      <w:hyperlink w:anchor="idm45965193516944">
        <w:r>
          <w:rPr>
            <w:rStyle w:val="Text1"/>
          </w:rPr>
          <w:t>Thread Objects</w:t>
        </w:r>
      </w:hyperlink>
    </w:p>
    <w:p>
      <w:pPr>
        <w:pStyle w:val="Para 003"/>
      </w:pPr>
      <w:r>
        <w:t>thread local storage</w:t>
        <w:t xml:space="preserve">, </w:t>
      </w:r>
      <w:hyperlink w:anchor="idm45965192191888">
        <w:r>
          <w:rPr>
            <w:rStyle w:val="Text1"/>
          </w:rPr>
          <w:t>Thread Local Storage</w:t>
        </w:r>
      </w:hyperlink>
    </w:p>
    <w:p>
      <w:pPr>
        <w:pStyle w:val="Para 003"/>
      </w:pPr>
      <w:r>
        <w:t>thread synchronization objects</w:t>
        <w:t xml:space="preserve">, </w:t>
      </w:r>
      <w:hyperlink w:anchor="idm45965193393536">
        <w:r>
          <w:rPr>
            <w:rStyle w:val="Text1"/>
          </w:rPr>
          <w:t>Thread Synchronization Objects</w:t>
        </w:r>
      </w:hyperlink>
    </w:p>
    <w:p>
      <w:pPr>
        <w:pStyle w:val="Para 003"/>
      </w:pPr>
      <w:r>
        <w:t>ThreadPool class (multiprocessing.pool module)</w:t>
        <w:t xml:space="preserve">, </w:t>
      </w:r>
      <w:hyperlink w:anchor="idm45965190728448">
        <w:r>
          <w:rPr>
            <w:rStyle w:val="Text1"/>
          </w:rPr>
          <w:t>The ThreadPool class</w:t>
        </w:r>
      </w:hyperlink>
    </w:p>
    <w:p>
      <w:pPr>
        <w:pStyle w:val="Para 003"/>
      </w:pPr>
      <w:r>
        <w:t>threads and processes</w:t>
      </w:r>
    </w:p>
    <w:p>
      <w:pPr>
        <w:pStyle w:val="Para 004"/>
      </w:pPr>
      <w:r>
        <w:rPr>
          <w:rStyle w:val="Text2"/>
        </w:rPr>
        <w:t>basics of</w:t>
        <w:t xml:space="preserve">, </w:t>
      </w:r>
      <w:hyperlink w:anchor="idm45965193666016">
        <w:r>
          <w:t>Concurrency: Threads and Processes</w:t>
        </w:r>
      </w:hyperlink>
    </w:p>
    <w:p>
      <w:pPr>
        <w:pStyle w:val="Para 004"/>
      </w:pPr>
      <w:r>
        <w:rPr>
          <w:rStyle w:val="Text2"/>
        </w:rPr>
        <w:t>concurrent.futures module</w:t>
        <w:t xml:space="preserve">, </w:t>
      </w:r>
      <w:hyperlink w:anchor="TAPconmod15">
        <w:r>
          <w:t>The concurrent.futures Module</w:t>
        </w:r>
      </w:hyperlink>
      <w:r>
        <w:rPr>
          <w:rStyle w:val="Text2"/>
        </w:rPr>
        <w:t>-</w:t>
      </w:r>
      <w:hyperlink w:anchor="idm45965190383248">
        <w:r>
          <w:t>The concurrent.futures Module</w:t>
        </w:r>
      </w:hyperlink>
    </w:p>
    <w:p>
      <w:pPr>
        <w:pStyle w:val="Para 004"/>
      </w:pPr>
      <w:r>
        <w:rPr>
          <w:rStyle w:val="Text2"/>
        </w:rPr>
        <w:t>mmap module</w:t>
        <w:t xml:space="preserve">, </w:t>
      </w:r>
      <w:hyperlink w:anchor="TAPnmap15">
        <w:r>
          <w:t>The mmap Module</w:t>
        </w:r>
      </w:hyperlink>
      <w:r>
        <w:rPr>
          <w:rStyle w:val="Text2"/>
        </w:rPr>
        <w:t>-</w:t>
      </w:r>
      <w:hyperlink w:anchor="idm45965188285840">
        <w:r>
          <w:t>Using mmap Objects for IPC</w:t>
        </w:r>
      </w:hyperlink>
    </w:p>
    <w:p>
      <w:pPr>
        <w:pStyle w:val="Para 004"/>
      </w:pPr>
      <w:r>
        <w:rPr>
          <w:rStyle w:val="Text2"/>
        </w:rPr>
        <w:t>multiprocessing module</w:t>
        <w:t xml:space="preserve">, </w:t>
      </w:r>
      <w:hyperlink w:anchor="TAPmulti15">
        <w:r>
          <w:t>The multiprocessing Module</w:t>
        </w:r>
      </w:hyperlink>
      <w:r>
        <w:rPr>
          <w:rStyle w:val="Text2"/>
        </w:rPr>
        <w:t>-</w:t>
      </w:r>
      <w:hyperlink w:anchor="idm45965190642752">
        <w:r>
          <w:t>The ThreadPool class</w:t>
        </w:r>
      </w:hyperlink>
    </w:p>
    <w:p>
      <w:pPr>
        <w:pStyle w:val="Para 003"/>
      </w:pPr>
      <w:r>
        <w:t>process environments</w:t>
        <w:t xml:space="preserve">, </w:t>
      </w:r>
      <w:hyperlink w:anchor="idm45965189133952">
        <w:r>
          <w:rPr>
            <w:rStyle w:val="Text1"/>
          </w:rPr>
          <w:t>Process Environment</w:t>
        </w:r>
      </w:hyperlink>
    </w:p>
    <w:p>
      <w:pPr>
        <w:pStyle w:val="Para 004"/>
      </w:pPr>
      <w:r>
        <w:rPr>
          <w:rStyle w:val="Text2"/>
        </w:rPr>
        <w:t>queue module</w:t>
        <w:t xml:space="preserve">, </w:t>
      </w:r>
      <w:hyperlink w:anchor="TAPque15">
        <w:r>
          <w:t>The queue Module</w:t>
        </w:r>
      </w:hyperlink>
      <w:r>
        <w:rPr>
          <w:rStyle w:val="Text2"/>
        </w:rPr>
        <w:t>-</w:t>
      </w:r>
      <w:hyperlink w:anchor="idm45965191786480">
        <w:r>
          <w:t>The queue Module</w:t>
        </w:r>
      </w:hyperlink>
    </w:p>
    <w:p>
      <w:pPr>
        <w:pStyle w:val="Para 004"/>
      </w:pPr>
      <w:r>
        <w:rPr>
          <w:rStyle w:val="Text2"/>
        </w:rPr>
        <w:t>running other programs</w:t>
        <w:t xml:space="preserve">, </w:t>
      </w:r>
      <w:hyperlink w:anchor="TAPother15">
        <w:r>
          <w:t>Running Other Programs</w:t>
        </w:r>
      </w:hyperlink>
      <w:r>
        <w:rPr>
          <w:rStyle w:val="Text2"/>
        </w:rPr>
        <w:t>-</w:t>
      </w:r>
      <w:hyperlink w:anchor="idm45965188638800">
        <w:r>
          <w:t>Running Other Programs with the os Module</w:t>
        </w:r>
      </w:hyperlink>
    </w:p>
    <w:p>
      <w:pPr>
        <w:pStyle w:val="Para 004"/>
      </w:pPr>
      <w:r>
        <w:rPr>
          <w:rStyle w:val="Text2"/>
        </w:rPr>
        <w:t>selecting the best approach</w:t>
        <w:t xml:space="preserve">, </w:t>
      </w:r>
      <w:hyperlink w:anchor="idm45965193610896">
        <w:r>
          <w:t>Concurrency: Threads and Processes</w:t>
        </w:r>
      </w:hyperlink>
    </w:p>
    <w:p>
      <w:pPr>
        <w:pStyle w:val="Para 004"/>
      </w:pPr>
      <w:r>
        <w:rPr>
          <w:rStyle w:val="Text2"/>
        </w:rPr>
        <w:t>threaded program architecture</w:t>
        <w:t xml:space="preserve">, </w:t>
      </w:r>
      <w:hyperlink w:anchor="TAParch15">
        <w:r>
          <w:t>Threaded Program Architecture</w:t>
        </w:r>
      </w:hyperlink>
      <w:r>
        <w:rPr>
          <w:rStyle w:val="Text2"/>
        </w:rPr>
        <w:t>-</w:t>
      </w:r>
      <w:hyperlink w:anchor="idm45965189530880">
        <w:r>
          <w:t>Threaded Program Architecture</w:t>
        </w:r>
      </w:hyperlink>
    </w:p>
    <w:p>
      <w:pPr>
        <w:pStyle w:val="Para 004"/>
      </w:pPr>
      <w:r>
        <w:rPr>
          <w:rStyle w:val="Text2"/>
        </w:rPr>
        <w:t>threading module</w:t>
        <w:t xml:space="preserve">, </w:t>
      </w:r>
      <w:hyperlink w:anchor="TAPthmod15">
        <w:r>
          <w:t>The threading Module</w:t>
        </w:r>
      </w:hyperlink>
      <w:r>
        <w:rPr>
          <w:rStyle w:val="Text2"/>
        </w:rPr>
        <w:t>-</w:t>
      </w:r>
      <w:hyperlink w:anchor="idm45965192035648">
        <w:r>
          <w:t>Thread Local Storage</w:t>
        </w:r>
      </w:hyperlink>
    </w:p>
    <w:p>
      <w:pPr>
        <w:pStyle w:val="Para 003"/>
      </w:pPr>
      <w:r>
        <w:t>threads in Python</w:t>
        <w:t xml:space="preserve">, </w:t>
      </w:r>
      <w:hyperlink w:anchor="idm45965193588304">
        <w:r>
          <w:rPr>
            <w:rStyle w:val="Text1"/>
          </w:rPr>
          <w:t>Threads in Python</w:t>
        </w:r>
      </w:hyperlink>
    </w:p>
    <w:p>
      <w:pPr>
        <w:pStyle w:val="Para 004"/>
      </w:pPr>
      <w:r>
        <w:rPr>
          <w:rStyle w:val="Text2"/>
        </w:rPr>
        <w:t>using for optimization</w:t>
        <w:t xml:space="preserve">, </w:t>
      </w:r>
      <w:hyperlink w:anchor="idm45965177716256">
        <w:r>
          <w:t>Using multiprocessing for heavy CPU work</w:t>
        </w:r>
      </w:hyperlink>
    </w:p>
    <w:p>
      <w:pPr>
        <w:pStyle w:val="Para 004"/>
      </w:pPr>
      <w:r>
        <w:rPr>
          <w:rStyle w:val="Text2"/>
        </w:rPr>
        <w:t>tilde (~)</w:t>
        <w:t xml:space="preserve">, </w:t>
      </w:r>
      <w:hyperlink w:anchor="idm45965283143072">
        <w:r>
          <w:t>Expressions and Operators</w:t>
        </w:r>
      </w:hyperlink>
    </w:p>
    <w:p>
      <w:pPr>
        <w:pStyle w:val="Para 003"/>
      </w:pPr>
      <w:r>
        <w:t>time class (datetime module)</w:t>
        <w:t xml:space="preserve">, </w:t>
      </w:r>
      <w:hyperlink w:anchor="idm45965196360848">
        <w:r>
          <w:rPr>
            <w:rStyle w:val="Text1"/>
          </w:rPr>
          <w:t>The time Class</w:t>
        </w:r>
      </w:hyperlink>
    </w:p>
    <w:p>
      <w:pPr>
        <w:pStyle w:val="Para 003"/>
      </w:pPr>
      <w:r>
        <w:t>time method (datetime.datetime class)</w:t>
        <w:t xml:space="preserve">, </w:t>
      </w:r>
      <w:hyperlink w:anchor="idm45965195931760">
        <w:r>
          <w:rPr>
            <w:rStyle w:val="Text1"/>
          </w:rPr>
          <w:t>The datetime Class</w:t>
        </w:r>
      </w:hyperlink>
    </w:p>
    <w:p>
      <w:pPr>
        <w:pStyle w:val="Para 004"/>
      </w:pPr>
      <w:r>
        <w:rPr>
          <w:rStyle w:val="Text2"/>
        </w:rPr>
        <w:t>time module</w:t>
        <w:t xml:space="preserve">, </w:t>
      </w:r>
      <w:hyperlink w:anchor="timemod13">
        <w:r>
          <w:t>The time Module</w:t>
        </w:r>
      </w:hyperlink>
      <w:r>
        <w:rPr>
          <w:rStyle w:val="Text2"/>
        </w:rPr>
        <w:t>-</w:t>
      </w:r>
      <w:hyperlink w:anchor="idm45965196701472">
        <w:r>
          <w:t>The time Module</w:t>
        </w:r>
      </w:hyperlink>
    </w:p>
    <w:p>
      <w:pPr>
        <w:pStyle w:val="Para 003"/>
      </w:pPr>
      <w:r>
        <w:t>time operations</w:t>
      </w:r>
    </w:p>
    <w:p>
      <w:pPr>
        <w:pStyle w:val="Para 004"/>
      </w:pPr>
      <w:r>
        <w:rPr>
          <w:rStyle w:val="Text2"/>
        </w:rPr>
        <w:t>calendar module</w:t>
        <w:t xml:space="preserve">, </w:t>
      </w:r>
      <w:hyperlink w:anchor="idm45965195044848">
        <w:r>
          <w:t>The calendar Module</w:t>
        </w:r>
      </w:hyperlink>
    </w:p>
    <w:p>
      <w:pPr>
        <w:pStyle w:val="Para 004"/>
      </w:pPr>
      <w:r>
        <w:rPr>
          <w:rStyle w:val="Text2"/>
        </w:rPr>
        <w:t>datetime module</w:t>
        <w:t xml:space="preserve">, </w:t>
      </w:r>
      <w:hyperlink w:anchor="TOdatetime13">
        <w:r>
          <w:t>The datetime Module</w:t>
        </w:r>
      </w:hyperlink>
      <w:r>
        <w:rPr>
          <w:rStyle w:val="Text2"/>
        </w:rPr>
        <w:t>-</w:t>
      </w:r>
      <w:hyperlink w:anchor="idm45965195750976">
        <w:r>
          <w:t>The timezone Class</w:t>
        </w:r>
      </w:hyperlink>
    </w:p>
    <w:p>
      <w:pPr>
        <w:pStyle w:val="Para 004"/>
      </w:pPr>
      <w:r>
        <w:rPr>
          <w:rStyle w:val="Text2"/>
        </w:rPr>
        <w:t>dateutil module</w:t>
        <w:t xml:space="preserve">, </w:t>
      </w:r>
      <w:hyperlink w:anchor="idm45965195368736">
        <w:r>
          <w:t>The dateutil Module</w:t>
        </w:r>
      </w:hyperlink>
    </w:p>
    <w:p>
      <w:pPr>
        <w:pStyle w:val="Para 004"/>
      </w:pPr>
      <w:r>
        <w:rPr>
          <w:rStyle w:val="Text2"/>
        </w:rPr>
        <w:t>sched module</w:t>
        <w:t xml:space="preserve">, </w:t>
      </w:r>
      <w:hyperlink w:anchor="idm45965195222064">
        <w:r>
          <w:t>The sched Module</w:t>
        </w:r>
      </w:hyperlink>
    </w:p>
    <w:p>
      <w:pPr>
        <w:pStyle w:val="Para 004"/>
      </w:pPr>
      <w:r>
        <w:rPr>
          <w:rStyle w:val="Text2"/>
        </w:rPr>
        <w:t>time module</w:t>
        <w:t xml:space="preserve">, </w:t>
      </w:r>
      <w:hyperlink w:anchor="TOtmod13">
        <w:r>
          <w:t>The time Module</w:t>
        </w:r>
      </w:hyperlink>
      <w:r>
        <w:rPr>
          <w:rStyle w:val="Text2"/>
        </w:rPr>
        <w:t>-</w:t>
      </w:r>
      <w:hyperlink w:anchor="idm45965196702848">
        <w:r>
          <w:t>The time Module</w:t>
        </w:r>
      </w:hyperlink>
    </w:p>
    <w:p>
      <w:pPr>
        <w:pStyle w:val="Para 004"/>
      </w:pPr>
      <w:r>
        <w:rPr>
          <w:rStyle w:val="Text2"/>
        </w:rPr>
        <w:t>zoneinfo module</w:t>
        <w:t xml:space="preserve">, </w:t>
      </w:r>
      <w:hyperlink w:anchor="idm45965195743088">
        <w:r>
          <w:t>The zoneinfo Module</w:t>
        </w:r>
      </w:hyperlink>
    </w:p>
    <w:p>
      <w:pPr>
        <w:pStyle w:val="Para 004"/>
      </w:pPr>
      <w:r>
        <w:rPr>
          <w:rStyle w:val="Text2"/>
        </w:rPr>
        <w:t>time zone</w:t>
        <w:t xml:space="preserve">, </w:t>
      </w:r>
      <w:hyperlink w:anchor="idm45965196608304">
        <w:r>
          <w:t>The datetime Module</w:t>
        </w:r>
      </w:hyperlink>
      <w:r>
        <w:rPr>
          <w:rStyle w:val="Text2"/>
        </w:rPr>
        <w:t xml:space="preserve">, </w:t>
      </w:r>
      <w:hyperlink w:anchor="timezone13">
        <w:r>
          <w:t>The time Class</w:t>
        </w:r>
      </w:hyperlink>
      <w:r>
        <w:rPr>
          <w:rStyle w:val="Text2"/>
        </w:rPr>
        <w:t>-</w:t>
      </w:r>
      <w:hyperlink w:anchor="idm45965195372048">
        <w:r>
          <w:t>The zoneinfo Module</w:t>
        </w:r>
      </w:hyperlink>
    </w:p>
    <w:p>
      <w:pPr>
        <w:pStyle w:val="Para 004"/>
      </w:pPr>
      <w:r>
        <w:rPr>
          <w:rStyle w:val="Text2"/>
        </w:rPr>
        <w:t>in email</w:t>
        <w:t xml:space="preserve">, </w:t>
      </w:r>
      <w:hyperlink w:anchor="idm45965172665328">
        <w:r>
          <w:t>The email.utils Module</w:t>
        </w:r>
      </w:hyperlink>
    </w:p>
    <w:p>
      <w:pPr>
        <w:pStyle w:val="Para 003"/>
      </w:pPr>
      <w:r>
        <w:t>timedelta (datetime.datetime class)</w:t>
        <w:t xml:space="preserve">, </w:t>
      </w:r>
      <w:hyperlink w:anchor="idm45965196549808">
        <w:r>
          <w:rPr>
            <w:rStyle w:val="Text1"/>
          </w:rPr>
          <w:t>The date Class</w:t>
        </w:r>
      </w:hyperlink>
      <w:r>
        <w:t xml:space="preserve">, </w:t>
      </w:r>
      <w:hyperlink w:anchor="idm45965195881072">
        <w:r>
          <w:rPr>
            <w:rStyle w:val="Text1"/>
          </w:rPr>
          <w:t>The timedelta Class</w:t>
        </w:r>
      </w:hyperlink>
    </w:p>
    <w:p>
      <w:pPr>
        <w:pStyle w:val="Para 004"/>
      </w:pPr>
      <w:r>
        <w:rPr>
          <w:rStyle w:val="Text2"/>
        </w:rPr>
        <w:t>timeit module</w:t>
        <w:t xml:space="preserve">, </w:t>
      </w:r>
      <w:hyperlink w:anchor="idm45965180476912">
        <w:r>
          <w:t>The timeit module</w:t>
        </w:r>
      </w:hyperlink>
    </w:p>
    <w:p>
      <w:pPr>
        <w:pStyle w:val="Para 003"/>
      </w:pPr>
      <w:r>
        <w:t>Timer (threading module)</w:t>
        <w:t xml:space="preserve">, </w:t>
      </w:r>
      <w:hyperlink w:anchor="idm45965192635984">
        <w:r>
          <w:rPr>
            <w:rStyle w:val="Text1"/>
          </w:rPr>
          <w:t>Timer objects</w:t>
        </w:r>
      </w:hyperlink>
    </w:p>
    <w:p>
      <w:pPr>
        <w:pStyle w:val="Para 003"/>
      </w:pPr>
      <w:r>
        <w:t>timestamp (datetime.datetime class)</w:t>
        <w:t xml:space="preserve">, </w:t>
      </w:r>
      <w:hyperlink w:anchor="idm45965195926000">
        <w:r>
          <w:rPr>
            <w:rStyle w:val="Text1"/>
          </w:rPr>
          <w:t>The datetime Class</w:t>
        </w:r>
      </w:hyperlink>
    </w:p>
    <w:p>
      <w:pPr>
        <w:pStyle w:val="Para 003"/>
      </w:pPr>
      <w:r>
        <w:t>timetuple (datetime.datetime class)</w:t>
        <w:t xml:space="preserve">, </w:t>
      </w:r>
      <w:hyperlink w:anchor="idm45965195921568">
        <w:r>
          <w:rPr>
            <w:rStyle w:val="Text1"/>
          </w:rPr>
          <w:t>The datetime Class</w:t>
        </w:r>
      </w:hyperlink>
    </w:p>
    <w:p>
      <w:pPr>
        <w:pStyle w:val="Para 004"/>
      </w:pPr>
      <w:r>
        <w:rPr>
          <w:rStyle w:val="Text2"/>
        </w:rPr>
        <w:t>timetuples</w:t>
        <w:t xml:space="preserve">, </w:t>
      </w:r>
      <w:hyperlink w:anchor="idm45965196902752">
        <w:r>
          <w:t>The time Module</w:t>
        </w:r>
      </w:hyperlink>
    </w:p>
    <w:p>
      <w:pPr>
        <w:pStyle w:val="Para 003"/>
      </w:pPr>
      <w:r>
        <w:t>timetz (datetime.datetime class)</w:t>
        <w:t xml:space="preserve">, </w:t>
      </w:r>
      <w:hyperlink w:anchor="idm45965195916176">
        <w:r>
          <w:rPr>
            <w:rStyle w:val="Text1"/>
          </w:rPr>
          <w:t>The datetime Class</w:t>
        </w:r>
      </w:hyperlink>
    </w:p>
    <w:p>
      <w:pPr>
        <w:pStyle w:val="Para 003"/>
      </w:pPr>
      <w:r>
        <w:t>timezone (time module)</w:t>
        <w:t xml:space="preserve">, </w:t>
      </w:r>
      <w:hyperlink w:anchor="idm45965196708624">
        <w:r>
          <w:rPr>
            <w:rStyle w:val="Text1"/>
          </w:rPr>
          <w:t>The time Module</w:t>
        </w:r>
      </w:hyperlink>
    </w:p>
    <w:p>
      <w:pPr>
        <w:pStyle w:val="Para 004"/>
      </w:pPr>
      <w:r>
        <w:rPr>
          <w:rStyle w:val="Text2"/>
        </w:rPr>
        <w:t>timezone class</w:t>
        <w:t xml:space="preserve">, </w:t>
      </w:r>
      <w:hyperlink w:anchor="idm45965195758000">
        <w:r>
          <w:t>The timezone Class</w:t>
        </w:r>
      </w:hyperlink>
    </w:p>
    <w:p>
      <w:pPr>
        <w:pStyle w:val="Para 003"/>
      </w:pPr>
      <w:r>
        <w:t>time–memory trade-off</w:t>
        <w:t xml:space="preserve">, </w:t>
      </w:r>
      <w:hyperlink w:anchor="idm45965178905152">
        <w:r>
          <w:rPr>
            <w:rStyle w:val="Text1"/>
          </w:rPr>
          <w:t>Memoizing</w:t>
        </w:r>
      </w:hyperlink>
    </w:p>
    <w:p>
      <w:pPr>
        <w:pStyle w:val="Para 003"/>
      </w:pPr>
      <w:r>
        <w:t>timsort algorithm</w:t>
        <w:t xml:space="preserve">, </w:t>
      </w:r>
      <w:hyperlink w:anchor="idm45965278744592">
        <w:r>
          <w:rPr>
            <w:rStyle w:val="Text1"/>
          </w:rPr>
          <w:t>Sorting a list</w:t>
        </w:r>
      </w:hyperlink>
    </w:p>
    <w:p>
      <w:pPr>
        <w:pStyle w:val="Para 004"/>
      </w:pPr>
      <w:r>
        <w:rPr>
          <w:rStyle w:val="Text2"/>
        </w:rPr>
        <w:t>title (string method)</w:t>
        <w:t xml:space="preserve">, </w:t>
      </w:r>
      <w:hyperlink w:anchor="idm45965212288528">
        <w:r>
          <w:t>Methods of String Objects</w:t>
        </w:r>
      </w:hyperlink>
    </w:p>
    <w:p>
      <w:pPr>
        <w:pStyle w:val="Para 004"/>
      </w:pPr>
      <w:r>
        <w:rPr>
          <w:rStyle w:val="Text2"/>
        </w:rPr>
        <w:t>tkinter GUI toolkit</w:t>
        <w:t xml:space="preserve">, </w:t>
      </w:r>
      <w:hyperlink w:anchor="idm45965189567008">
        <w:r>
          <w:t>Threaded Program Architecture</w:t>
        </w:r>
      </w:hyperlink>
    </w:p>
    <w:p>
      <w:pPr>
        <w:pStyle w:val="Para 003"/>
      </w:pPr>
      <w:r>
        <w:t>TLS (transport layer security)</w:t>
        <w:t xml:space="preserve">, </w:t>
      </w:r>
      <w:hyperlink w:anchor="idm45965176289680">
        <w:r>
          <w:rPr>
            <w:rStyle w:val="Text1"/>
          </w:rPr>
          <w:t>Transport Layer Security</w:t>
        </w:r>
      </w:hyperlink>
    </w:p>
    <w:p>
      <w:pPr>
        <w:pStyle w:val="Para 003"/>
      </w:pPr>
      <w:r>
        <w:t>today (datetime.date class)</w:t>
        <w:t xml:space="preserve">, </w:t>
      </w:r>
      <w:hyperlink w:anchor="idm45965196554272">
        <w:r>
          <w:rPr>
            <w:rStyle w:val="Text1"/>
          </w:rPr>
          <w:t>The date Class</w:t>
        </w:r>
      </w:hyperlink>
    </w:p>
    <w:p>
      <w:pPr>
        <w:pStyle w:val="Para 003"/>
      </w:pPr>
      <w:r>
        <w:t>today (datetime.datetime class)</w:t>
        <w:t xml:space="preserve">, </w:t>
      </w:r>
      <w:hyperlink w:anchor="idm45965196101280">
        <w:r>
          <w:rPr>
            <w:rStyle w:val="Text1"/>
          </w:rPr>
          <w:t>The datetime Class</w:t>
        </w:r>
      </w:hyperlink>
    </w:p>
    <w:p>
      <w:pPr>
        <w:pStyle w:val="Para 004"/>
      </w:pPr>
      <w:r>
        <w:rPr>
          <w:rStyle w:val="Text2"/>
        </w:rPr>
        <w:t>tokens</w:t>
        <w:t xml:space="preserve">, </w:t>
      </w:r>
      <w:hyperlink w:anchor="tokens03">
        <w:r>
          <w:t>Tokens</w:t>
        </w:r>
      </w:hyperlink>
      <w:r>
        <w:rPr>
          <w:rStyle w:val="Text2"/>
        </w:rPr>
        <w:t>-</w:t>
      </w:r>
      <w:hyperlink w:anchor="idm45965282088496">
        <w:r>
          <w:t>Literals</w:t>
        </w:r>
      </w:hyperlink>
    </w:p>
    <w:p>
      <w:pPr>
        <w:pStyle w:val="Para 003"/>
      </w:pPr>
      <w:r>
        <w:t>identifiers</w:t>
        <w:t xml:space="preserve">, </w:t>
      </w:r>
      <w:hyperlink w:anchor="idm45965274350480">
        <w:r>
          <w:rPr>
            <w:rStyle w:val="Text1"/>
          </w:rPr>
          <w:t>Identifiers</w:t>
        </w:r>
      </w:hyperlink>
    </w:p>
    <w:p>
      <w:pPr>
        <w:pStyle w:val="Para 003"/>
      </w:pPr>
      <w:r>
        <w:t>keywords</w:t>
        <w:t xml:space="preserve">, </w:t>
      </w:r>
      <w:hyperlink w:anchor="idm45965276602352">
        <w:r>
          <w:rPr>
            <w:rStyle w:val="Text1"/>
          </w:rPr>
          <w:t>Keywords</w:t>
        </w:r>
      </w:hyperlink>
    </w:p>
    <w:p>
      <w:pPr>
        <w:pStyle w:val="Para 003"/>
      </w:pPr>
      <w:r>
        <w:t>types of</w:t>
        <w:t xml:space="preserve">, </w:t>
      </w:r>
      <w:hyperlink w:anchor="idm45965274364112">
        <w:r>
          <w:rPr>
            <w:rStyle w:val="Text1"/>
          </w:rPr>
          <w:t>Tokens</w:t>
        </w:r>
      </w:hyperlink>
    </w:p>
    <w:p>
      <w:pPr>
        <w:pStyle w:val="Para 004"/>
      </w:pPr>
      <w:r>
        <w:rPr>
          <w:rStyle w:val="Text2"/>
        </w:rPr>
        <w:t>tomllib module</w:t>
        <w:t xml:space="preserve">, </w:t>
      </w:r>
      <w:hyperlink w:anchor="idm45965162885552">
        <w:r>
          <w:t>Packaging Programs and Extensions</w:t>
        </w:r>
      </w:hyperlink>
    </w:p>
    <w:p>
      <w:pPr>
        <w:pStyle w:val="Para 003"/>
      </w:pPr>
      <w:r>
        <w:t>toordinal (datetime.date class)</w:t>
        <w:t xml:space="preserve">, </w:t>
      </w:r>
      <w:hyperlink w:anchor="idm45965196426592">
        <w:r>
          <w:rPr>
            <w:rStyle w:val="Text1"/>
          </w:rPr>
          <w:t>The date Class</w:t>
        </w:r>
      </w:hyperlink>
    </w:p>
    <w:p>
      <w:pPr>
        <w:pStyle w:val="Para 003"/>
      </w:pPr>
      <w:r>
        <w:t>toordinal (datetime.datetime class)</w:t>
        <w:t xml:space="preserve">, </w:t>
      </w:r>
      <w:hyperlink w:anchor="idm45965195909504">
        <w:r>
          <w:rPr>
            <w:rStyle w:val="Text1"/>
          </w:rPr>
          <w:t>The datetime Class</w:t>
        </w:r>
      </w:hyperlink>
    </w:p>
    <w:p>
      <w:pPr>
        <w:pStyle w:val="Para 003"/>
      </w:pPr>
      <w:r>
        <w:t>total (collections.Counter class)</w:t>
        <w:t xml:space="preserve">, </w:t>
      </w:r>
      <w:hyperlink w:anchor="idm45965278178912">
        <w:r>
          <w:rPr>
            <w:rStyle w:val="Text1"/>
          </w:rPr>
          <w:t>Counter</w:t>
        </w:r>
      </w:hyperlink>
    </w:p>
    <w:p>
      <w:pPr>
        <w:pStyle w:val="Para 003"/>
      </w:pPr>
      <w:r>
        <w:t>total_ordering (functools module)</w:t>
        <w:t xml:space="preserve">, </w:t>
      </w:r>
      <w:hyperlink w:anchor="idm45965277386928">
        <w:r>
          <w:rPr>
            <w:rStyle w:val="Text1"/>
          </w:rPr>
          <w:t>The functools Module</w:t>
        </w:r>
      </w:hyperlink>
    </w:p>
    <w:p>
      <w:pPr>
        <w:pStyle w:val="Para 003"/>
      </w:pPr>
      <w:r>
        <w:t>touch (pathlib.Path class)</w:t>
        <w:t xml:space="preserve">, </w:t>
      </w:r>
      <w:hyperlink w:anchor="idm45965202778688">
        <w:r>
          <w:rPr>
            <w:rStyle w:val="Text1"/>
          </w:rPr>
          <w:t>The pathlib Module</w:t>
        </w:r>
      </w:hyperlink>
    </w:p>
    <w:p>
      <w:pPr>
        <w:pStyle w:val="Para 003"/>
      </w:pPr>
      <w:r>
        <w:t>to_bytes (int method)</w:t>
        <w:t xml:space="preserve">, </w:t>
      </w:r>
      <w:hyperlink w:anchor="idm45965282735392">
        <w:r>
          <w:rPr>
            <w:rStyle w:val="Text1"/>
          </w:rPr>
          <w:t>Integer numbers</w:t>
        </w:r>
      </w:hyperlink>
    </w:p>
    <w:p>
      <w:pPr>
        <w:pStyle w:val="Para 004"/>
      </w:pPr>
      <w:r>
        <w:rPr>
          <w:rStyle w:val="Text2"/>
        </w:rPr>
        <w:t>traceback module</w:t>
        <w:t xml:space="preserve">, </w:t>
      </w:r>
      <w:hyperlink w:anchor="idm45965194254704">
        <w:r>
          <w:t>The Frame Type</w:t>
        </w:r>
      </w:hyperlink>
      <w:r>
        <w:rPr>
          <w:rStyle w:val="Text2"/>
        </w:rPr>
        <w:t xml:space="preserve">, </w:t>
      </w:r>
      <w:hyperlink w:anchor="idm45965181702192">
        <w:r>
          <w:t>The traceback Module</w:t>
        </w:r>
      </w:hyperlink>
    </w:p>
    <w:p>
      <w:pPr>
        <w:pStyle w:val="Para 004"/>
      </w:pPr>
      <w:r>
        <w:rPr>
          <w:rStyle w:val="Text2"/>
        </w:rPr>
        <w:t>transaction processing</w:t>
        <w:t xml:space="preserve">, </w:t>
      </w:r>
      <w:hyperlink w:anchor="idm45965255468768">
        <w:r>
          <w:t>Handling Errors in Large Programs</w:t>
        </w:r>
      </w:hyperlink>
    </w:p>
    <w:p>
      <w:pPr>
        <w:pStyle w:val="Para 004"/>
      </w:pPr>
      <w:r>
        <w:rPr>
          <w:rStyle w:val="Text2"/>
        </w:rPr>
        <w:t>Transcrypt</w:t>
        <w:t xml:space="preserve">, </w:t>
      </w:r>
      <w:hyperlink w:anchor="idm45965258090080">
        <w:r>
          <w:t>Transcrypt: Convert your Python to JavaScript</w:t>
        </w:r>
      </w:hyperlink>
    </w:p>
    <w:p>
      <w:pPr>
        <w:pStyle w:val="Para 003"/>
      </w:pPr>
      <w:r>
        <w:t>translate (fnmatch module)</w:t>
        <w:t xml:space="preserve">, </w:t>
      </w:r>
      <w:hyperlink w:anchor="idm45965202305104">
        <w:r>
          <w:rPr>
            <w:rStyle w:val="Text1"/>
          </w:rPr>
          <w:t>The fnmatch Module</w:t>
        </w:r>
      </w:hyperlink>
    </w:p>
    <w:p>
      <w:pPr>
        <w:pStyle w:val="Para 003"/>
      </w:pPr>
      <w:r>
        <w:t>translate (string method)</w:t>
        <w:t xml:space="preserve">, </w:t>
      </w:r>
      <w:hyperlink w:anchor="idm45965212281168">
        <w:r>
          <w:rPr>
            <w:rStyle w:val="Text1"/>
          </w:rPr>
          <w:t>Methods of String Objects</w:t>
        </w:r>
      </w:hyperlink>
    </w:p>
    <w:p>
      <w:pPr>
        <w:pStyle w:val="Para 003"/>
      </w:pPr>
      <w:r>
        <w:t>Transmission Control Protocol (TCP)</w:t>
        <w:t xml:space="preserve">, </w:t>
      </w:r>
      <w:hyperlink w:anchor="idm45965177692448">
        <w:r>
          <w:rPr>
            <w:rStyle w:val="Text1"/>
          </w:rPr>
          <w:t>Networking Basics</w:t>
        </w:r>
      </w:hyperlink>
    </w:p>
    <w:p>
      <w:pPr>
        <w:pStyle w:val="Para 004"/>
      </w:pPr>
      <w:r>
        <w:rPr>
          <w:rStyle w:val="Text2"/>
        </w:rPr>
        <w:t>transport layer protocol</w:t>
        <w:t xml:space="preserve">, </w:t>
      </w:r>
      <w:hyperlink w:anchor="idm45965177676608">
        <w:r>
          <w:t>The Berkeley Socket Interface</w:t>
        </w:r>
      </w:hyperlink>
    </w:p>
    <w:p>
      <w:pPr>
        <w:pStyle w:val="Para 003"/>
      </w:pPr>
      <w:r>
        <w:t>transport layer security (TLS)</w:t>
        <w:t xml:space="preserve">, </w:t>
      </w:r>
      <w:hyperlink w:anchor="idm45965176290752">
        <w:r>
          <w:rPr>
            <w:rStyle w:val="Text1"/>
          </w:rPr>
          <w:t>Transport Layer Security</w:t>
        </w:r>
      </w:hyperlink>
    </w:p>
    <w:p>
      <w:pPr>
        <w:pStyle w:val="Para 003"/>
      </w:pPr>
      <w:r>
        <w:t>triple double quotes (""")</w:t>
        <w:t xml:space="preserve">, </w:t>
      </w:r>
      <w:hyperlink w:anchor="idm45965276711952">
        <w:r>
          <w:rPr>
            <w:rStyle w:val="Text1"/>
          </w:rPr>
          <w:t>Strings</w:t>
        </w:r>
      </w:hyperlink>
    </w:p>
    <w:p>
      <w:pPr>
        <w:pStyle w:val="Para 003"/>
      </w:pPr>
      <w:r>
        <w:t>triple single quotes (''')</w:t>
        <w:t xml:space="preserve">, </w:t>
      </w:r>
      <w:hyperlink w:anchor="idm45965276716400">
        <w:r>
          <w:rPr>
            <w:rStyle w:val="Text1"/>
          </w:rPr>
          <w:t>Strings</w:t>
        </w:r>
      </w:hyperlink>
    </w:p>
    <w:p>
      <w:pPr>
        <w:pStyle w:val="Para 004"/>
      </w:pPr>
      <w:r>
        <w:rPr>
          <w:rStyle w:val="Text2"/>
        </w:rPr>
        <w:t>True</w:t>
        <w:t xml:space="preserve">, </w:t>
      </w:r>
      <w:hyperlink w:anchor="idm45965281919904">
        <w:r>
          <w:t>Data Types</w:t>
        </w:r>
      </w:hyperlink>
      <w:r>
        <w:rPr>
          <w:rStyle w:val="Text2"/>
        </w:rPr>
        <w:t xml:space="preserve">, </w:t>
      </w:r>
      <w:hyperlink w:anchor="idm45965279156896">
        <w:r>
          <w:t>Boolean Values</w:t>
        </w:r>
      </w:hyperlink>
      <w:r>
        <w:rPr>
          <w:rStyle w:val="Text2"/>
        </w:rPr>
        <w:t xml:space="preserve">, </w:t>
      </w:r>
      <w:hyperlink w:anchor="idm45965282260528">
        <w:r>
          <w:t>The if Statement</w:t>
        </w:r>
      </w:hyperlink>
      <w:r>
        <w:rPr>
          <w:rStyle w:val="Text2"/>
        </w:rPr>
        <w:t xml:space="preserve">, </w:t>
      </w:r>
      <w:hyperlink w:anchor="idm45965265009280">
        <w:r>
          <w:t>General-Purpose Special Methods</w:t>
        </w:r>
      </w:hyperlink>
      <w:r>
        <w:rPr>
          <w:rStyle w:val="Text2"/>
        </w:rPr>
        <w:t xml:space="preserve">, </w:t>
      </w:r>
      <w:hyperlink w:anchor="idm45965216771840">
        <w:r>
          <w:t>Built-in Types</w:t>
        </w:r>
      </w:hyperlink>
    </w:p>
    <w:p>
      <w:pPr>
        <w:pStyle w:val="Para 003"/>
      </w:pPr>
      <w:r>
        <w:t>true division</w:t>
        <w:t xml:space="preserve">, </w:t>
      </w:r>
      <w:hyperlink w:anchor="idm45965276254656">
        <w:r>
          <w:rPr>
            <w:rStyle w:val="Text1"/>
          </w:rPr>
          <w:t>Division</w:t>
        </w:r>
      </w:hyperlink>
    </w:p>
    <w:p>
      <w:pPr>
        <w:pStyle w:val="Para 004"/>
      </w:pPr>
      <w:r>
        <w:rPr>
          <w:rStyle w:val="Text2"/>
        </w:rPr>
        <w:t>trunc (math module)</w:t>
        <w:t xml:space="preserve">, </w:t>
      </w:r>
      <w:hyperlink w:anchor="idm45965186907584">
        <w:r>
          <w:t>The math and cmath Modules</w:t>
        </w:r>
      </w:hyperlink>
    </w:p>
    <w:p>
      <w:pPr>
        <w:pStyle w:val="Para 004"/>
      </w:pPr>
      <w:r>
        <w:rPr>
          <w:rStyle w:val="Text2"/>
        </w:rPr>
        <w:t>truncation</w:t>
        <w:t xml:space="preserve">, </w:t>
      </w:r>
      <w:hyperlink w:anchor="idm45965210593680">
        <w:r>
          <w:t>Precision specification</w:t>
        </w:r>
      </w:hyperlink>
    </w:p>
    <w:p>
      <w:pPr>
        <w:pStyle w:val="Para 004"/>
      </w:pPr>
      <w:r>
        <w:rPr>
          <w:rStyle w:val="Text2"/>
        </w:rPr>
        <w:t>truthy</w:t>
        <w:t xml:space="preserve">, </w:t>
      </w:r>
      <w:hyperlink w:anchor="idm45965279166048">
        <w:r>
          <w:t>Boolean Values</w:t>
        </w:r>
      </w:hyperlink>
    </w:p>
    <w:p>
      <w:pPr>
        <w:pStyle w:val="Para 004"/>
      </w:pPr>
      <w:r>
        <w:rPr>
          <w:rStyle w:val="Text2"/>
        </w:rPr>
        <w:t>try statement</w:t>
        <w:t xml:space="preserve">, </w:t>
      </w:r>
      <w:hyperlink w:anchor="idm45965270646624">
        <w:r>
          <w:t>The try and raise Statements</w:t>
        </w:r>
      </w:hyperlink>
      <w:r>
        <w:rPr>
          <w:rStyle w:val="Text2"/>
        </w:rPr>
        <w:t xml:space="preserve">, </w:t>
      </w:r>
      <w:hyperlink w:anchor="tryst06">
        <w:r>
          <w:t>The try Statement</w:t>
        </w:r>
      </w:hyperlink>
      <w:r>
        <w:rPr>
          <w:rStyle w:val="Text2"/>
        </w:rPr>
        <w:t>-</w:t>
      </w:r>
      <w:hyperlink w:anchor="idm45965259958768">
        <w:r>
          <w:t>try/except/finally</w:t>
        </w:r>
      </w:hyperlink>
    </w:p>
    <w:p>
      <w:pPr>
        <w:pStyle w:val="Para 003"/>
      </w:pPr>
      <w:r>
        <w:t>tuple (built-in type)</w:t>
        <w:t xml:space="preserve">, </w:t>
      </w:r>
      <w:hyperlink w:anchor="idm45965216457200">
        <w:r>
          <w:rPr>
            <w:rStyle w:val="Text1"/>
          </w:rPr>
          <w:t>Built-in Types</w:t>
        </w:r>
      </w:hyperlink>
    </w:p>
    <w:p>
      <w:pPr>
        <w:pStyle w:val="Para 004"/>
      </w:pPr>
      <w:r>
        <w:rPr>
          <w:rStyle w:val="Text2"/>
        </w:rPr>
        <w:t>tuples</w:t>
        <w:t xml:space="preserve">, </w:t>
      </w:r>
      <w:hyperlink w:anchor="idm45965264104864">
        <w:r>
          <w:t>Tuples</w:t>
        </w:r>
      </w:hyperlink>
      <w:r>
        <w:rPr>
          <w:rStyle w:val="Text2"/>
        </w:rPr>
        <w:t xml:space="preserve">, </w:t>
      </w:r>
      <w:hyperlink w:anchor="idm45965280341360">
        <w:r>
          <w:t>Tuples</w:t>
        </w:r>
      </w:hyperlink>
      <w:r>
        <w:rPr>
          <w:rStyle w:val="Text2"/>
        </w:rPr>
        <w:t xml:space="preserve">, </w:t>
      </w:r>
      <w:hyperlink w:anchor="idm45965196903728">
        <w:r>
          <w:t>The time Module</w:t>
        </w:r>
      </w:hyperlink>
    </w:p>
    <w:p>
      <w:pPr>
        <w:pStyle w:val="Para 004"/>
      </w:pPr>
      <w:r>
        <w:rPr>
          <w:rStyle w:val="Text2"/>
        </w:rPr>
        <w:t>TurboGears</w:t>
        <w:t xml:space="preserve">, </w:t>
      </w:r>
      <w:hyperlink w:anchor="idm45965174875248">
        <w:r>
          <w:t>A Few Popular Full-Stack Frameworks</w:t>
        </w:r>
      </w:hyperlink>
    </w:p>
    <w:p>
      <w:pPr>
        <w:pStyle w:val="Para 004"/>
      </w:pPr>
      <w:r>
        <w:rPr>
          <w:rStyle w:val="Text2"/>
        </w:rPr>
        <w:t>tutors</w:t>
        <w:t xml:space="preserve">, </w:t>
      </w:r>
      <w:hyperlink w:anchor="idm45965279039248">
        <w:r>
          <w:t>Mailing lists</w:t>
        </w:r>
      </w:hyperlink>
    </w:p>
    <w:p>
      <w:pPr>
        <w:pStyle w:val="Para 004"/>
      </w:pPr>
      <w:r>
        <w:rPr>
          <w:rStyle w:val="Text2"/>
        </w:rPr>
        <w:t>Two Function Rule</w:t>
        <w:t xml:space="preserve">, </w:t>
      </w:r>
      <w:hyperlink w:anchor="idm45965260751888">
        <w:r>
          <w:t>Adding Type Annotations to New Code</w:t>
        </w:r>
      </w:hyperlink>
    </w:p>
    <w:p>
      <w:pPr>
        <w:pStyle w:val="Para 004"/>
      </w:pPr>
      <w:r>
        <w:rPr>
          <w:rStyle w:val="Text2"/>
        </w:rPr>
        <w:t>Two Pizza Rule</w:t>
        <w:t xml:space="preserve">, </w:t>
      </w:r>
      <w:hyperlink w:anchor="idm45965260754224">
        <w:r>
          <w:t>Adding Type Annotations to New Code</w:t>
        </w:r>
      </w:hyperlink>
    </w:p>
    <w:p>
      <w:pPr>
        <w:pStyle w:val="Para 004"/>
      </w:pPr>
      <w:r>
        <w:rPr>
          <w:rStyle w:val="Text2"/>
        </w:rPr>
        <w:t>type (built-in type)</w:t>
        <w:t xml:space="preserve">, </w:t>
      </w:r>
      <w:hyperlink w:anchor="idm45965273401392">
        <w:r>
          <w:t>Dynamic class definition using the type built-in function</w:t>
        </w:r>
      </w:hyperlink>
      <w:r>
        <w:rPr>
          <w:rStyle w:val="Text2"/>
        </w:rPr>
        <w:t xml:space="preserve">, </w:t>
      </w:r>
      <w:hyperlink w:anchor="idm45965216447184">
        <w:r>
          <w:t>Built-in Types</w:t>
        </w:r>
      </w:hyperlink>
    </w:p>
    <w:p>
      <w:pPr>
        <w:pStyle w:val="Para 003"/>
      </w:pPr>
      <w:r>
        <w:t>type annotations</w:t>
      </w:r>
    </w:p>
    <w:p>
      <w:pPr>
        <w:pStyle w:val="Para 004"/>
      </w:pPr>
      <w:r>
        <w:rPr>
          <w:rStyle w:val="Text2"/>
        </w:rPr>
        <w:t>adding to code</w:t>
        <w:t xml:space="preserve">, </w:t>
      </w:r>
      <w:hyperlink w:anchor="TAadd05">
        <w:r>
          <w:t>How to Add Type Annotations to Your Code</w:t>
        </w:r>
      </w:hyperlink>
      <w:r>
        <w:rPr>
          <w:rStyle w:val="Text2"/>
        </w:rPr>
        <w:t>-</w:t>
      </w:r>
      <w:hyperlink w:anchor="idm45965260704688">
        <w:r>
          <w:t>Using .pyi Stub Files</w:t>
        </w:r>
      </w:hyperlink>
    </w:p>
    <w:p>
      <w:pPr>
        <w:pStyle w:val="Para 003"/>
      </w:pPr>
      <w:r>
        <w:t>history of</w:t>
        <w:t xml:space="preserve">, </w:t>
      </w:r>
      <w:hyperlink w:anchor="idm45965269239264">
        <w:r>
          <w:rPr>
            <w:rStyle w:val="Text1"/>
          </w:rPr>
          <w:t>History</w:t>
        </w:r>
      </w:hyperlink>
    </w:p>
    <w:p>
      <w:pPr>
        <w:pStyle w:val="Para 004"/>
      </w:pPr>
      <w:r>
        <w:rPr>
          <w:rStyle w:val="Text2"/>
        </w:rPr>
        <w:t>syntax for</w:t>
        <w:t xml:space="preserve">, </w:t>
      </w:r>
      <w:hyperlink w:anchor="TAsyntax05">
        <w:r>
          <w:t>Type Annotation Syntax</w:t>
        </w:r>
      </w:hyperlink>
      <w:r>
        <w:rPr>
          <w:rStyle w:val="Text2"/>
        </w:rPr>
        <w:t>-</w:t>
      </w:r>
      <w:hyperlink w:anchor="idm45965268601328">
        <w:r>
          <w:t>Type Annotation Syntax</w:t>
        </w:r>
      </w:hyperlink>
    </w:p>
    <w:p>
      <w:pPr>
        <w:pStyle w:val="Para 004"/>
      </w:pPr>
      <w:r>
        <w:rPr>
          <w:rStyle w:val="Text2"/>
        </w:rPr>
        <w:t>typing module</w:t>
        <w:t xml:space="preserve">, </w:t>
      </w:r>
      <w:hyperlink w:anchor="TAmod05">
        <w:r>
          <w:t>The typing Module</w:t>
        </w:r>
      </w:hyperlink>
      <w:r>
        <w:rPr>
          <w:rStyle w:val="Text2"/>
        </w:rPr>
        <w:t>-</w:t>
      </w:r>
      <w:hyperlink w:anchor="idm45965261042368">
        <w:r>
          <w:t>NewType</w:t>
        </w:r>
      </w:hyperlink>
    </w:p>
    <w:p>
      <w:pPr>
        <w:pStyle w:val="Para 004"/>
      </w:pPr>
      <w:r>
        <w:rPr>
          <w:rStyle w:val="Text2"/>
        </w:rPr>
        <w:t>using at runtime</w:t>
        <w:t xml:space="preserve">, </w:t>
      </w:r>
      <w:hyperlink w:anchor="idm45965261039424">
        <w:r>
          <w:t>Using Type Annotations at Runtime</w:t>
        </w:r>
      </w:hyperlink>
    </w:p>
    <w:p>
      <w:pPr>
        <w:pStyle w:val="Para 003"/>
      </w:pPr>
      <w:r>
        <w:t>utilities for type checking</w:t>
        <w:t xml:space="preserve">, </w:t>
      </w:r>
      <w:hyperlink w:anchor="idm45965269218864">
        <w:r>
          <w:rPr>
            <w:rStyle w:val="Text1"/>
          </w:rPr>
          <w:t>Type-Checking Utilities</w:t>
        </w:r>
      </w:hyperlink>
    </w:p>
    <w:p>
      <w:pPr>
        <w:pStyle w:val="Para 003"/>
      </w:pPr>
      <w:r>
        <w:t>type checking</w:t>
      </w:r>
    </w:p>
    <w:p>
      <w:pPr>
        <w:pStyle w:val="Para 003"/>
      </w:pPr>
      <w:r>
        <w:t>with isinstance</w:t>
        <w:t xml:space="preserve">, </w:t>
      </w:r>
      <w:hyperlink w:anchor="idm45965216415616">
        <w:r>
          <w:rPr>
            <w:rStyle w:val="Text1"/>
          </w:rPr>
          <w:t>Built-in Types</w:t>
        </w:r>
      </w:hyperlink>
    </w:p>
    <w:p>
      <w:pPr>
        <w:pStyle w:val="Para 004"/>
      </w:pPr>
      <w:r>
        <w:rPr>
          <w:rStyle w:val="Text2"/>
        </w:rPr>
        <w:t>utilities for</w:t>
        <w:t xml:space="preserve">, </w:t>
      </w:r>
      <w:hyperlink w:anchor="idm45965269217488">
        <w:r>
          <w:t>Type-Checking Utilities</w:t>
        </w:r>
      </w:hyperlink>
    </w:p>
    <w:p>
      <w:pPr>
        <w:pStyle w:val="Para 003"/>
      </w:pPr>
      <w:r>
        <w:t>type equality checking</w:t>
        <w:t xml:space="preserve">, </w:t>
      </w:r>
      <w:hyperlink w:anchor="idm45965216434832">
        <w:r>
          <w:rPr>
            <w:rStyle w:val="Text1"/>
          </w:rPr>
          <w:t>Built-in Types</w:t>
        </w:r>
      </w:hyperlink>
    </w:p>
    <w:p>
      <w:pPr>
        <w:pStyle w:val="Para 004"/>
      </w:pPr>
      <w:r>
        <w:rPr>
          <w:rStyle w:val="Text2"/>
        </w:rPr>
        <w:t>type hints</w:t>
        <w:t xml:space="preserve">, </w:t>
      </w:r>
      <w:hyperlink w:anchor="idm45965269285056">
        <w:r>
          <w:t>Type Annotations</w:t>
        </w:r>
      </w:hyperlink>
    </w:p>
    <w:p>
      <w:pPr>
        <w:pStyle w:val="Para 004"/>
      </w:pPr>
      <w:r>
        <w:rPr>
          <w:rStyle w:val="Text2"/>
        </w:rPr>
        <w:t>type inferencing</w:t>
        <w:t xml:space="preserve">, </w:t>
      </w:r>
      <w:hyperlink w:anchor="idm45965269178944">
        <w:r>
          <w:t>Other Type Checkers</w:t>
        </w:r>
      </w:hyperlink>
      <w:r>
        <w:rPr>
          <w:rStyle w:val="Text2"/>
        </w:rPr>
        <w:t xml:space="preserve">, </w:t>
      </w:r>
      <w:hyperlink w:anchor="idm45965185288800">
        <w:r>
          <w:t>Creating a NumPy array</w:t>
        </w:r>
      </w:hyperlink>
    </w:p>
    <w:p>
      <w:pPr>
        <w:pStyle w:val="Para 003"/>
      </w:pPr>
      <w:r>
        <w:t>type objects</w:t>
        <w:t xml:space="preserve">, </w:t>
      </w:r>
      <w:hyperlink w:anchor="idm45965194318544">
        <w:r>
          <w:rPr>
            <w:rStyle w:val="Text1"/>
          </w:rPr>
          <w:t>Type Objects</w:t>
        </w:r>
      </w:hyperlink>
    </w:p>
    <w:p>
      <w:pPr>
        <w:pStyle w:val="Para 003"/>
      </w:pPr>
      <w:r>
        <w:t>type, definition of term</w:t>
        <w:t xml:space="preserve">, </w:t>
      </w:r>
      <w:hyperlink w:anchor="idm45965272048256">
        <w:r>
          <w:rPr>
            <w:rStyle w:val="Text1"/>
          </w:rPr>
          <w:t>Python Classes</w:t>
        </w:r>
      </w:hyperlink>
    </w:p>
    <w:p>
      <w:pPr>
        <w:pStyle w:val="Para 004"/>
      </w:pPr>
      <w:r>
        <w:rPr>
          <w:rStyle w:val="Text2"/>
        </w:rPr>
        <w:t>TypeAlias (typing module)</w:t>
        <w:t xml:space="preserve">, </w:t>
      </w:r>
      <w:hyperlink w:anchor="idm45965268053568">
        <w:r>
          <w:t>Utilities and Decorators</w:t>
        </w:r>
      </w:hyperlink>
      <w:r>
        <w:rPr>
          <w:rStyle w:val="Text2"/>
        </w:rPr>
        <w:t xml:space="preserve">, </w:t>
      </w:r>
      <w:hyperlink w:anchor="idm45965261304224">
        <w:r>
          <w:t>TypeAlias</w:t>
        </w:r>
      </w:hyperlink>
    </w:p>
    <w:p>
      <w:pPr>
        <w:pStyle w:val="Para 004"/>
      </w:pPr>
      <w:r>
        <w:rPr>
          <w:rStyle w:val="Text2"/>
        </w:rPr>
        <w:t>TypedDict (typing module)</w:t>
        <w:t xml:space="preserve">, </w:t>
      </w:r>
      <w:hyperlink w:anchor="idm45965267744784">
        <w:r>
          <w:t>Defining Custom Types</w:t>
        </w:r>
      </w:hyperlink>
      <w:r>
        <w:rPr>
          <w:rStyle w:val="Text2"/>
        </w:rPr>
        <w:t xml:space="preserve">, </w:t>
      </w:r>
      <w:hyperlink w:anchor="idm45965262006368">
        <w:r>
          <w:t>TypedDict</w:t>
        </w:r>
      </w:hyperlink>
      <w:r>
        <w:rPr>
          <w:rStyle w:val="Text2"/>
        </w:rPr>
        <w:t xml:space="preserve">, </w:t>
      </w:r>
      <w:hyperlink w:anchor="idm45965260729888">
        <w:r>
          <w:t>Adding Type Annotations to New Code</w:t>
        </w:r>
      </w:hyperlink>
    </w:p>
    <w:p>
      <w:pPr>
        <w:pStyle w:val="Para 004"/>
      </w:pPr>
      <w:r>
        <w:rPr>
          <w:rStyle w:val="Text2"/>
        </w:rPr>
        <w:t>types</w:t>
        <w:t xml:space="preserve">, </w:t>
      </w:r>
      <w:hyperlink w:anchor="idm45965281942960">
        <w:r>
          <w:t>Data Types</w:t>
        </w:r>
      </w:hyperlink>
    </w:p>
    <w:p>
      <w:pPr>
        <w:pStyle w:val="Para 004"/>
      </w:pPr>
      <w:r>
        <w:rPr>
          <w:rStyle w:val="Text2"/>
        </w:rPr>
        <w:t>TypeVar (typing module)</w:t>
        <w:t xml:space="preserve">, </w:t>
      </w:r>
      <w:hyperlink w:anchor="idm45965268037504">
        <w:r>
          <w:t>Utilities and Decorators</w:t>
        </w:r>
      </w:hyperlink>
      <w:r>
        <w:rPr>
          <w:rStyle w:val="Text2"/>
        </w:rPr>
        <w:t xml:space="preserve">, </w:t>
      </w:r>
      <w:hyperlink w:anchor="typevar05">
        <w:r>
          <w:t>Generics and TypeVars</w:t>
        </w:r>
      </w:hyperlink>
      <w:r>
        <w:rPr>
          <w:rStyle w:val="Text2"/>
        </w:rPr>
        <w:t>-</w:t>
      </w:r>
      <w:hyperlink w:anchor="idm45965267169488">
        <w:r>
          <w:t>Restricting TypeVar to specific types</w:t>
        </w:r>
      </w:hyperlink>
    </w:p>
    <w:p>
      <w:pPr>
        <w:pStyle w:val="Para 003"/>
      </w:pPr>
      <w:r>
        <w:t>TYPE_CHECKING (typing module)</w:t>
        <w:t xml:space="preserve">, </w:t>
      </w:r>
      <w:hyperlink w:anchor="idm45965268044896">
        <w:r>
          <w:rPr>
            <w:rStyle w:val="Text1"/>
          </w:rPr>
          <w:t>Utilities and Decorators</w:t>
        </w:r>
      </w:hyperlink>
    </w:p>
    <w:p>
      <w:pPr>
        <w:pStyle w:val="Para 003"/>
      </w:pPr>
      <w:r>
        <w:t>typing module</w:t>
      </w:r>
    </w:p>
    <w:p>
      <w:pPr>
        <w:pStyle w:val="Para 003"/>
      </w:pPr>
      <w:r>
        <w:t>abstract base classes (ABCs)</w:t>
        <w:t xml:space="preserve">, </w:t>
      </w:r>
      <w:hyperlink w:anchor="idm45965268431520">
        <w:r>
          <w:rPr>
            <w:rStyle w:val="Text1"/>
          </w:rPr>
          <w:t>Abstract Base Classes</w:t>
        </w:r>
      </w:hyperlink>
    </w:p>
    <w:p>
      <w:pPr>
        <w:pStyle w:val="Para 004"/>
      </w:pPr>
      <w:r>
        <w:rPr>
          <w:rStyle w:val="Text2"/>
        </w:rPr>
        <w:t>defining custom types</w:t>
        <w:t xml:space="preserve">, </w:t>
      </w:r>
      <w:hyperlink w:anchor="TMcustom05">
        <w:r>
          <w:t>Defining Custom Types</w:t>
        </w:r>
      </w:hyperlink>
      <w:r>
        <w:rPr>
          <w:rStyle w:val="Text2"/>
        </w:rPr>
        <w:t>-</w:t>
      </w:r>
      <w:hyperlink w:anchor="idm45965261043744">
        <w:r>
          <w:t>NewType</w:t>
        </w:r>
      </w:hyperlink>
    </w:p>
    <w:p>
      <w:pPr>
        <w:pStyle w:val="Para 003"/>
      </w:pPr>
      <w:r>
        <w:t>protocols</w:t>
        <w:t xml:space="preserve">, </w:t>
      </w:r>
      <w:hyperlink w:anchor="idm45965268384544">
        <w:r>
          <w:rPr>
            <w:rStyle w:val="Text1"/>
          </w:rPr>
          <w:t>Protocols</w:t>
        </w:r>
      </w:hyperlink>
    </w:p>
    <w:p>
      <w:pPr>
        <w:pStyle w:val="Para 003"/>
      </w:pPr>
      <w:r>
        <w:t>type expression parameters</w:t>
        <w:t xml:space="preserve">, </w:t>
      </w:r>
      <w:hyperlink w:anchor="idm45965268470432">
        <w:r>
          <w:rPr>
            <w:rStyle w:val="Text1"/>
          </w:rPr>
          <w:t>Type Expression Parameters</w:t>
        </w:r>
      </w:hyperlink>
    </w:p>
    <w:p>
      <w:pPr>
        <w:pStyle w:val="Para 004"/>
      </w:pPr>
      <w:r>
        <w:rPr>
          <w:rStyle w:val="Text2"/>
        </w:rPr>
        <w:t>types</w:t>
        <w:t xml:space="preserve">, </w:t>
      </w:r>
      <w:hyperlink w:anchor="TMtypes05">
        <w:r>
          <w:t>Types</w:t>
        </w:r>
      </w:hyperlink>
      <w:r>
        <w:rPr>
          <w:rStyle w:val="Text2"/>
        </w:rPr>
        <w:t>-</w:t>
      </w:r>
      <w:hyperlink w:anchor="idm45965268473536">
        <w:r>
          <w:t>Types</w:t>
        </w:r>
      </w:hyperlink>
    </w:p>
    <w:p>
      <w:pPr>
        <w:pStyle w:val="Para 004"/>
      </w:pPr>
      <w:r>
        <w:rPr>
          <w:rStyle w:val="Text2"/>
        </w:rPr>
        <w:t>utilities and decorators</w:t>
        <w:t xml:space="preserve">, </w:t>
      </w:r>
      <w:hyperlink w:anchor="TMutil05">
        <w:r>
          <w:t>Utilities and Decorators</w:t>
        </w:r>
      </w:hyperlink>
      <w:r>
        <w:rPr>
          <w:rStyle w:val="Text2"/>
        </w:rPr>
        <w:t>-</w:t>
      </w:r>
      <w:hyperlink w:anchor="idm45965267805088">
        <w:r>
          <w:t>Utilities and Decorators</w:t>
        </w:r>
      </w:hyperlink>
    </w:p>
    <w:p>
      <w:pPr>
        <w:pStyle w:val="Para 004"/>
      </w:pPr>
      <w:r>
        <w:rPr>
          <w:rStyle w:val="Text2"/>
        </w:rPr>
        <w:t>tzdata</w:t>
        <w:t xml:space="preserve">, </w:t>
      </w:r>
      <w:hyperlink w:anchor="idm45965195734400">
        <w:r>
          <w:t>The zoneinfo Module</w:t>
        </w:r>
      </w:hyperlink>
    </w:p>
    <w:p>
      <w:pPr>
        <w:pStyle w:val="Para 004"/>
      </w:pPr>
      <w:r>
        <w:rPr>
          <w:rStyle w:val="Text2"/>
        </w:rPr>
        <w:t>tzinfo abstract class</w:t>
        <w:t xml:space="preserve">, </w:t>
      </w:r>
      <w:hyperlink w:anchor="idm45965195786704">
        <w:r>
          <w:t>The tzinfo Abstract Class</w:t>
        </w:r>
      </w:hyperlink>
    </w:p>
    <w:p>
      <w:pPr>
        <w:pStyle w:val="Para 003"/>
      </w:pPr>
      <w:r>
        <w:t>tzname (datetime.time class)</w:t>
        <w:t xml:space="preserve">, </w:t>
      </w:r>
      <w:hyperlink w:anchor="idm45965196264016">
        <w:r>
          <w:rPr>
            <w:rStyle w:val="Text1"/>
          </w:rPr>
          <w:t>The time Class</w:t>
        </w:r>
      </w:hyperlink>
    </w:p>
    <w:p>
      <w:pPr>
        <w:pStyle w:val="Para 003"/>
      </w:pPr>
      <w:r>
        <w:t>tzname (time module)</w:t>
        <w:t xml:space="preserve">, </w:t>
      </w:r>
      <w:hyperlink w:anchor="idm45965196704240">
        <w:r>
          <w:rPr>
            <w:rStyle w:val="Text1"/>
          </w:rPr>
          <w:t>The time Module</w:t>
        </w:r>
      </w:hyperlink>
    </w:p>
    <w:p>
      <w:pPr>
        <w:pStyle w:val="Para 004"/>
      </w:pPr>
      <w:r>
        <w:rPr>
          <w:rStyle w:val="Text2"/>
        </w:rPr>
        <w:t>tzname (tzinfo class)</w:t>
        <w:t xml:space="preserve">, </w:t>
      </w:r>
      <w:hyperlink w:anchor="idm45965195771728">
        <w:r>
          <w:t>The tzinfo Abstract Class</w:t>
        </w:r>
      </w:hyperlink>
    </w:p>
    <w:p>
      <w:pPr>
        <w:keepNext/>
        <w:pStyle w:val="Heading 3"/>
      </w:pPr>
      <w:r>
        <w:t>U</w:t>
      </w:r>
    </w:p>
    <w:p>
      <w:pPr>
        <w:pStyle w:val="Para 003"/>
      </w:pPr>
      <w:r>
        <w:t>UDP (User Datagram Protocol)</w:t>
        <w:t xml:space="preserve">, </w:t>
      </w:r>
      <w:hyperlink w:anchor="idm45965177685744">
        <w:r>
          <w:rPr>
            <w:rStyle w:val="Text1"/>
          </w:rPr>
          <w:t>Networking Basics</w:t>
        </w:r>
      </w:hyperlink>
    </w:p>
    <w:p>
      <w:pPr>
        <w:pStyle w:val="Para 003"/>
      </w:pPr>
      <w:r>
        <w:t>umask (file)</w:t>
        <w:t xml:space="preserve">, </w:t>
      </w:r>
      <w:hyperlink w:anchor="idm45965204459008">
        <w:r>
          <w:rPr>
            <w:rStyle w:val="Text1"/>
          </w:rPr>
          <w:t>Permissions</w:t>
        </w:r>
      </w:hyperlink>
    </w:p>
    <w:p>
      <w:pPr>
        <w:pStyle w:val="Para 004"/>
      </w:pPr>
      <w:r>
        <w:rPr>
          <w:rStyle w:val="Text2"/>
        </w:rPr>
        <w:t>unbinding</w:t>
        <w:t xml:space="preserve">, </w:t>
      </w:r>
      <w:hyperlink w:anchor="idm45965258707776">
        <w:r>
          <w:t>Variables</w:t>
        </w:r>
      </w:hyperlink>
      <w:r>
        <w:rPr>
          <w:rStyle w:val="Text2"/>
        </w:rPr>
        <w:t xml:space="preserve">, </w:t>
      </w:r>
      <w:hyperlink w:anchor="idm45965283247872">
        <w:r>
          <w:t>del Statements</w:t>
        </w:r>
      </w:hyperlink>
      <w:r>
        <w:rPr>
          <w:rStyle w:val="Text2"/>
        </w:rPr>
        <w:t xml:space="preserve">, </w:t>
      </w:r>
      <w:hyperlink w:anchor="idm45965265002416">
        <w:r>
          <w:t>General-Purpose Special Methods</w:t>
        </w:r>
      </w:hyperlink>
    </w:p>
    <w:p>
      <w:pPr>
        <w:pStyle w:val="Para 004"/>
      </w:pPr>
      <w:r>
        <w:rPr>
          <w:rStyle w:val="Text2"/>
        </w:rPr>
        <w:t>unbound methods</w:t>
        <w:t xml:space="preserve">, </w:t>
      </w:r>
      <w:hyperlink w:anchor="ubmeth04">
        <w:r>
          <w:t>Bound and Unbound Methods</w:t>
        </w:r>
      </w:hyperlink>
      <w:r>
        <w:rPr>
          <w:rStyle w:val="Text2"/>
        </w:rPr>
        <w:t>-</w:t>
      </w:r>
      <w:hyperlink w:anchor="idm45965266013584">
        <w:r>
          <w:t>Bound and Unbound Methods</w:t>
        </w:r>
      </w:hyperlink>
    </w:p>
    <w:p>
      <w:pPr>
        <w:pStyle w:val="Para 003"/>
      </w:pPr>
      <w:r>
        <w:t>unbounded iterators</w:t>
        <w:t xml:space="preserve">, </w:t>
      </w:r>
      <w:hyperlink w:anchor="idm45965275891072">
        <w:r>
          <w:rPr>
            <w:rStyle w:val="Text1"/>
          </w:rPr>
          <w:t>Iterators</w:t>
        </w:r>
      </w:hyperlink>
    </w:p>
    <w:p>
      <w:pPr>
        <w:pStyle w:val="Para 003"/>
      </w:pPr>
      <w:r>
        <w:t>underscore (_)</w:t>
      </w:r>
    </w:p>
    <w:p>
      <w:pPr>
        <w:pStyle w:val="Para 004"/>
      </w:pPr>
      <w:r>
        <w:rPr>
          <w:rStyle w:val="Text2"/>
        </w:rPr>
        <w:t>double (__ dunder)</w:t>
        <w:t xml:space="preserve">, </w:t>
      </w:r>
      <w:hyperlink w:anchor="idm45965272037520">
        <w:r>
          <w:t>Python Classes</w:t>
        </w:r>
      </w:hyperlink>
      <w:r>
        <w:rPr>
          <w:rStyle w:val="Text2"/>
        </w:rPr>
        <w:t xml:space="preserve">, </w:t>
      </w:r>
      <w:hyperlink w:anchor="idm45965271627840">
        <w:r>
          <w:t>Class-private variables</w:t>
        </w:r>
      </w:hyperlink>
      <w:r>
        <w:rPr>
          <w:rStyle w:val="Text2"/>
        </w:rPr>
        <w:t xml:space="preserve">, </w:t>
      </w:r>
      <w:hyperlink w:anchor="idm45965265061712">
        <w:r>
          <w:t>Special Methods</w:t>
        </w:r>
      </w:hyperlink>
    </w:p>
    <w:p>
      <w:pPr>
        <w:pStyle w:val="Para 004"/>
      </w:pPr>
      <w:r>
        <w:rPr>
          <w:rStyle w:val="Text2"/>
        </w:rPr>
        <w:t>with gettext module</w:t>
        <w:t xml:space="preserve">, </w:t>
      </w:r>
      <w:hyperlink w:anchor="idm45965200809792">
        <w:r>
          <w:t>Using gettext for localization</w:t>
        </w:r>
      </w:hyperlink>
    </w:p>
    <w:p>
      <w:pPr>
        <w:pStyle w:val="Para 004"/>
      </w:pPr>
      <w:r>
        <w:rPr>
          <w:rStyle w:val="Text2"/>
        </w:rPr>
        <w:t>in identifiers</w:t>
        <w:t xml:space="preserve">, </w:t>
      </w:r>
      <w:hyperlink w:anchor="idm45965274347392">
        <w:r>
          <w:t>Identifiers</w:t>
        </w:r>
      </w:hyperlink>
      <w:r>
        <w:rPr>
          <w:rStyle w:val="Text2"/>
        </w:rPr>
        <w:t xml:space="preserve">, </w:t>
      </w:r>
      <w:hyperlink w:anchor="idm45965271620688">
        <w:r>
          <w:t>Class-private variables</w:t>
        </w:r>
      </w:hyperlink>
    </w:p>
    <w:p>
      <w:pPr>
        <w:pStyle w:val="Para 003"/>
      </w:pPr>
      <w:r>
        <w:t>in interactive interpreter</w:t>
        <w:t xml:space="preserve">, </w:t>
      </w:r>
      <w:hyperlink w:anchor="idm45965276611056">
        <w:r>
          <w:rPr>
            <w:rStyle w:val="Text1"/>
          </w:rPr>
          <w:t>Identifiers</w:t>
        </w:r>
      </w:hyperlink>
    </w:p>
    <w:p>
      <w:pPr>
        <w:pStyle w:val="Para 003"/>
      </w:pPr>
      <w:r>
        <w:t>module-private variables</w:t>
        <w:t xml:space="preserve">, </w:t>
      </w:r>
      <w:hyperlink w:anchor="idm45965254639424">
        <w:r>
          <w:rPr>
            <w:rStyle w:val="Text1"/>
          </w:rPr>
          <w:t>Module-private variables</w:t>
        </w:r>
      </w:hyperlink>
    </w:p>
    <w:p>
      <w:pPr>
        <w:pStyle w:val="Para 004"/>
      </w:pPr>
      <w:r>
        <w:rPr>
          <w:rStyle w:val="Text2"/>
        </w:rPr>
        <w:t>numeric literals</w:t>
        <w:t xml:space="preserve">, </w:t>
      </w:r>
      <w:hyperlink w:anchor="idm45965282861296">
        <w:r>
          <w:t>Underscores in numeric literals</w:t>
        </w:r>
      </w:hyperlink>
    </w:p>
    <w:p>
      <w:pPr>
        <w:pStyle w:val="Para 003"/>
      </w:pPr>
      <w:r>
        <w:t>simple statements</w:t>
        <w:t xml:space="preserve">, </w:t>
      </w:r>
      <w:hyperlink w:anchor="idm45965281983392">
        <w:r>
          <w:rPr>
            <w:rStyle w:val="Text1"/>
          </w:rPr>
          <w:t>Simple statements</w:t>
        </w:r>
      </w:hyperlink>
    </w:p>
    <w:p>
      <w:pPr>
        <w:pStyle w:val="Para 004"/>
      </w:pPr>
      <w:r>
        <w:rPr>
          <w:rStyle w:val="Text2"/>
        </w:rPr>
        <w:t>wildcard pattern</w:t>
        <w:t xml:space="preserve">, </w:t>
      </w:r>
      <w:hyperlink w:anchor="idm45965263873984">
        <w:r>
          <w:t>The wildcard pattern</w:t>
        </w:r>
      </w:hyperlink>
    </w:p>
    <w:p>
      <w:pPr>
        <w:pStyle w:val="Para 003"/>
      </w:pPr>
      <w:r>
        <w:t>unfinished tasks (in queues)</w:t>
        <w:t xml:space="preserve">, </w:t>
      </w:r>
      <w:hyperlink w:anchor="idm45965191847504">
        <w:r>
          <w:rPr>
            <w:rStyle w:val="Text1"/>
          </w:rPr>
          <w:t>The queue Module</w:t>
        </w:r>
      </w:hyperlink>
    </w:p>
    <w:p>
      <w:pPr>
        <w:pStyle w:val="Para 003"/>
      </w:pPr>
      <w:r>
        <w:t>unfreeze (gc module)</w:t>
        <w:t xml:space="preserve">, </w:t>
      </w:r>
      <w:hyperlink w:anchor="idm45965194068704">
        <w:r>
          <w:rPr>
            <w:rStyle w:val="Text1"/>
          </w:rPr>
          <w:t>The gc Module</w:t>
        </w:r>
      </w:hyperlink>
    </w:p>
    <w:p>
      <w:pPr>
        <w:pStyle w:val="Para 003"/>
      </w:pPr>
      <w:r>
        <w:t>ungetch (msvcrt module)</w:t>
        <w:t xml:space="preserve">, </w:t>
      </w:r>
      <w:hyperlink w:anchor="idm45965201452304">
        <w:r>
          <w:rPr>
            <w:rStyle w:val="Text1"/>
          </w:rPr>
          <w:t>The msvcrt module</w:t>
        </w:r>
      </w:hyperlink>
    </w:p>
    <w:p>
      <w:pPr>
        <w:pStyle w:val="Para 003"/>
      </w:pPr>
      <w:r>
        <w:t>Unicode characters</w:t>
      </w:r>
    </w:p>
    <w:p>
      <w:pPr>
        <w:pStyle w:val="Para 003"/>
      </w:pPr>
      <w:r>
        <w:t>avoiding homoglyphs</w:t>
        <w:t xml:space="preserve">, </w:t>
      </w:r>
      <w:hyperlink w:anchor="idm45965252601776">
        <w:r>
          <w:rPr>
            <w:rStyle w:val="Text1"/>
          </w:rPr>
          <w:t>Identifiers</w:t>
        </w:r>
      </w:hyperlink>
    </w:p>
    <w:p>
      <w:pPr>
        <w:pStyle w:val="Para 004"/>
      </w:pPr>
      <w:r>
        <w:rPr>
          <w:rStyle w:val="Text2"/>
        </w:rPr>
        <w:t>BeautifulSoup package and</w:t>
        <w:t xml:space="preserve">, </w:t>
      </w:r>
      <w:hyperlink w:anchor="idm45965171736496">
        <w:r>
          <w:t>BeautifulSoup, Unicode, and encoding</w:t>
        </w:r>
      </w:hyperlink>
    </w:p>
    <w:p>
      <w:pPr>
        <w:pStyle w:val="Para 003"/>
      </w:pPr>
      <w:r>
        <w:t>converting bytestrings into</w:t>
        <w:t xml:space="preserve">, </w:t>
      </w:r>
      <w:hyperlink w:anchor="Uconvbyte09">
        <w:r>
          <w:rPr>
            <w:rStyle w:val="Text1"/>
          </w:rPr>
          <w:t>Unicode</w:t>
        </w:r>
      </w:hyperlink>
      <w:r>
        <w:t>-</w:t>
      </w:r>
      <w:hyperlink w:anchor="idm45965209282208">
        <w:r>
          <w:rPr>
            <w:rStyle w:val="Text1"/>
          </w:rPr>
          <w:t>The unicodedata Module</w:t>
        </w:r>
      </w:hyperlink>
    </w:p>
    <w:p>
      <w:pPr>
        <w:pStyle w:val="Para 003"/>
      </w:pPr>
      <w:r>
        <w:t>escaped Unicode character (\{name})</w:t>
        <w:t xml:space="preserve">, </w:t>
      </w:r>
      <w:hyperlink w:anchor="idm45965278992848">
        <w:r>
          <w:rPr>
            <w:rStyle w:val="Text1"/>
          </w:rPr>
          <w:t>Strings</w:t>
        </w:r>
      </w:hyperlink>
    </w:p>
    <w:p>
      <w:pPr>
        <w:pStyle w:val="Para 003"/>
      </w:pPr>
      <w:r>
        <w:t>normalization strategies</w:t>
        <w:t xml:space="preserve">, </w:t>
      </w:r>
      <w:hyperlink w:anchor="idm45965258446064">
        <w:r>
          <w:rPr>
            <w:rStyle w:val="Text1"/>
          </w:rPr>
          <w:t>Identifiers</w:t>
        </w:r>
      </w:hyperlink>
    </w:p>
    <w:p>
      <w:pPr>
        <w:pStyle w:val="Para 003"/>
      </w:pPr>
      <w:r>
        <w:t>in string literals</w:t>
        <w:t xml:space="preserve">, </w:t>
      </w:r>
      <w:hyperlink w:anchor="idm45965278930880">
        <w:r>
          <w:rPr>
            <w:rStyle w:val="Text1"/>
          </w:rPr>
          <w:t>Strings</w:t>
        </w:r>
      </w:hyperlink>
    </w:p>
    <w:p>
      <w:pPr>
        <w:pStyle w:val="Para 003"/>
      </w:pPr>
      <w:r>
        <w:t>\U (eight hex digits)</w:t>
        <w:t xml:space="preserve">, </w:t>
      </w:r>
      <w:hyperlink w:anchor="idm45965278926608">
        <w:r>
          <w:rPr>
            <w:rStyle w:val="Text1"/>
          </w:rPr>
          <w:t>Strings</w:t>
        </w:r>
      </w:hyperlink>
    </w:p>
    <w:p>
      <w:pPr>
        <w:pStyle w:val="Para 003"/>
      </w:pPr>
      <w:r>
        <w:t>\u (four hex digits)</w:t>
        <w:t xml:space="preserve">, </w:t>
      </w:r>
      <w:hyperlink w:anchor="idm45965278925232">
        <w:r>
          <w:rPr>
            <w:rStyle w:val="Text1"/>
          </w:rPr>
          <w:t>Strings</w:t>
        </w:r>
      </w:hyperlink>
    </w:p>
    <w:p>
      <w:pPr>
        <w:pStyle w:val="Para 004"/>
      </w:pPr>
      <w:r>
        <w:rPr>
          <w:rStyle w:val="Text2"/>
        </w:rPr>
        <w:t>unicodedata module</w:t>
        <w:t xml:space="preserve">, </w:t>
      </w:r>
      <w:hyperlink w:anchor="idm45965209287744">
        <w:r>
          <w:t>The unicodedata Module</w:t>
        </w:r>
      </w:hyperlink>
    </w:p>
    <w:p>
      <w:pPr>
        <w:pStyle w:val="Para 003"/>
      </w:pPr>
      <w:r>
        <w:t>uniform resource identifier (URI)</w:t>
        <w:t xml:space="preserve">, </w:t>
      </w:r>
      <w:hyperlink w:anchor="idm45965175753920">
        <w:r>
          <w:rPr>
            <w:rStyle w:val="Text1"/>
          </w:rPr>
          <w:t>URL Access</w:t>
        </w:r>
      </w:hyperlink>
    </w:p>
    <w:p>
      <w:pPr>
        <w:pStyle w:val="Para 003"/>
      </w:pPr>
      <w:r>
        <w:t>Uniform Resource Locator (URL)</w:t>
        <w:t xml:space="preserve">, </w:t>
      </w:r>
      <w:hyperlink w:anchor="idm45965175750272">
        <w:r>
          <w:rPr>
            <w:rStyle w:val="Text1"/>
          </w:rPr>
          <w:t>URL Access</w:t>
        </w:r>
      </w:hyperlink>
    </w:p>
    <w:p>
      <w:pPr>
        <w:pStyle w:val="Para 003"/>
      </w:pPr>
      <w:r>
        <w:t>union (set method)</w:t>
        <w:t xml:space="preserve">, </w:t>
      </w:r>
      <w:hyperlink w:anchor="idm45965278537504">
        <w:r>
          <w:rPr>
            <w:rStyle w:val="Text1"/>
          </w:rPr>
          <w:t>Set Methods</w:t>
        </w:r>
      </w:hyperlink>
    </w:p>
    <w:p>
      <w:pPr>
        <w:pStyle w:val="Para 004"/>
      </w:pPr>
      <w:r>
        <w:rPr>
          <w:rStyle w:val="Text2"/>
        </w:rPr>
        <w:t>unit testing</w:t>
        <w:t xml:space="preserve">, </w:t>
      </w:r>
      <w:hyperlink w:anchor="untest17">
        <w:r>
          <w:t>Testing</w:t>
        </w:r>
      </w:hyperlink>
      <w:r>
        <w:rPr>
          <w:rStyle w:val="Text2"/>
        </w:rPr>
        <w:t>-</w:t>
      </w:r>
      <w:hyperlink w:anchor="idm45965183758592">
        <w:r>
          <w:t>Unit Testing and System Testing</w:t>
        </w:r>
      </w:hyperlink>
    </w:p>
    <w:p>
      <w:pPr>
        <w:pStyle w:val="Para 004"/>
      </w:pPr>
      <w:r>
        <w:rPr>
          <w:rStyle w:val="Text2"/>
        </w:rPr>
        <w:t>unittest module</w:t>
        <w:t xml:space="preserve">, </w:t>
      </w:r>
      <w:hyperlink w:anchor="unimod17">
        <w:r>
          <w:t>The unittest Module</w:t>
        </w:r>
      </w:hyperlink>
      <w:r>
        <w:rPr>
          <w:rStyle w:val="Text2"/>
        </w:rPr>
        <w:t>-</w:t>
      </w:r>
      <w:hyperlink w:anchor="idm45965182816656">
        <w:r>
          <w:t>Unit tests dealing with large amounts of data</w:t>
        </w:r>
      </w:hyperlink>
    </w:p>
    <w:p>
      <w:pPr>
        <w:pStyle w:val="Para 003"/>
      </w:pPr>
      <w:r>
        <w:t>Universal Coordinated Time (UTC)</w:t>
        <w:t xml:space="preserve">, </w:t>
      </w:r>
      <w:hyperlink w:anchor="idm45965196909328">
        <w:r>
          <w:rPr>
            <w:rStyle w:val="Text1"/>
          </w:rPr>
          <w:t>The time Module</w:t>
        </w:r>
      </w:hyperlink>
    </w:p>
    <w:p>
      <w:pPr>
        <w:pStyle w:val="Para 004"/>
      </w:pPr>
      <w:r>
        <w:rPr>
          <w:rStyle w:val="Text2"/>
        </w:rPr>
        <w:t>Unix sockets</w:t>
        <w:t xml:space="preserve">, </w:t>
      </w:r>
      <w:hyperlink w:anchor="idm45965177669312">
        <w:r>
          <w:t>The Berkeley Socket Interface</w:t>
        </w:r>
      </w:hyperlink>
    </w:p>
    <w:p>
      <w:pPr>
        <w:pStyle w:val="Para 003"/>
      </w:pPr>
      <w:r>
        <w:t>Unix-like platforms</w:t>
        <w:t xml:space="preserve">, </w:t>
      </w:r>
      <w:hyperlink w:anchor="idm45965283035456">
        <w:r>
          <w:rPr>
            <w:rStyle w:val="Text1"/>
          </w:rPr>
          <w:t>Unix-Like Platforms</w:t>
        </w:r>
      </w:hyperlink>
    </w:p>
    <w:p>
      <w:pPr>
        <w:pStyle w:val="Para 004"/>
      </w:pPr>
      <w:r>
        <w:rPr>
          <w:rStyle w:val="Text2"/>
        </w:rPr>
        <w:t>unlink (os module)</w:t>
        <w:t xml:space="preserve">, </w:t>
      </w:r>
      <w:hyperlink w:anchor="idm45965204281840">
        <w:r>
          <w:t>File and directory functions of the os module</w:t>
        </w:r>
      </w:hyperlink>
    </w:p>
    <w:p>
      <w:pPr>
        <w:pStyle w:val="Para 003"/>
      </w:pPr>
      <w:r>
        <w:t>unlink (pathlib.Path class)</w:t>
        <w:t xml:space="preserve">, </w:t>
      </w:r>
      <w:hyperlink w:anchor="idm45965202702416">
        <w:r>
          <w:rPr>
            <w:rStyle w:val="Text1"/>
          </w:rPr>
          <w:t>The pathlib Module</w:t>
        </w:r>
      </w:hyperlink>
    </w:p>
    <w:p>
      <w:pPr>
        <w:pStyle w:val="Para 003"/>
      </w:pPr>
      <w:r>
        <w:t>unpack function (struct module)</w:t>
        <w:t xml:space="preserve">, </w:t>
      </w:r>
      <w:hyperlink w:anchor="idm45965205308992">
        <w:r>
          <w:rPr>
            <w:rStyle w:val="Text1"/>
          </w:rPr>
          <w:t>The struct Module</w:t>
        </w:r>
      </w:hyperlink>
    </w:p>
    <w:p>
      <w:pPr>
        <w:pStyle w:val="Para 003"/>
      </w:pPr>
      <w:r>
        <w:t>unpacking assignment</w:t>
        <w:t xml:space="preserve">, </w:t>
      </w:r>
      <w:hyperlink w:anchor="idm45965258528672">
        <w:r>
          <w:rPr>
            <w:rStyle w:val="Text1"/>
          </w:rPr>
          <w:t>Plain assignment</w:t>
        </w:r>
      </w:hyperlink>
    </w:p>
    <w:p>
      <w:pPr>
        <w:pStyle w:val="Para 003"/>
      </w:pPr>
      <w:r>
        <w:t>unpack_from function (struct module)</w:t>
        <w:t xml:space="preserve">, </w:t>
      </w:r>
      <w:hyperlink w:anchor="idm45965205300416">
        <w:r>
          <w:rPr>
            <w:rStyle w:val="Text1"/>
          </w:rPr>
          <w:t>The struct Module</w:t>
        </w:r>
      </w:hyperlink>
    </w:p>
    <w:p>
      <w:pPr>
        <w:pStyle w:val="Para 003"/>
      </w:pPr>
      <w:r>
        <w:t>Unpickler function (pickle module)</w:t>
        <w:t xml:space="preserve">, </w:t>
      </w:r>
      <w:hyperlink w:anchor="idm45965199893616">
        <w:r>
          <w:rPr>
            <w:rStyle w:val="Text1"/>
          </w:rPr>
          <w:t>The pickle Module</w:t>
        </w:r>
      </w:hyperlink>
    </w:p>
    <w:p>
      <w:pPr>
        <w:pStyle w:val="Para 004"/>
      </w:pPr>
      <w:r>
        <w:rPr>
          <w:rStyle w:val="Text2"/>
        </w:rPr>
        <w:t>untrusted code (eval, exec)</w:t>
        <w:t xml:space="preserve">, </w:t>
      </w:r>
      <w:hyperlink w:anchor="idm45965194378768">
        <w:r>
          <w:t>Never exec or eval Untrusted Code</w:t>
        </w:r>
      </w:hyperlink>
    </w:p>
    <w:p>
      <w:pPr>
        <w:pStyle w:val="Para 003"/>
      </w:pPr>
      <w:r>
        <w:t>update (dict method)</w:t>
        <w:t xml:space="preserve">, </w:t>
      </w:r>
      <w:hyperlink w:anchor="idm45965283426096">
        <w:r>
          <w:rPr>
            <w:rStyle w:val="Text1"/>
          </w:rPr>
          <w:t>Dictionary Methods</w:t>
        </w:r>
      </w:hyperlink>
    </w:p>
    <w:p>
      <w:pPr>
        <w:pStyle w:val="Para 004"/>
      </w:pPr>
      <w:r>
        <w:rPr>
          <w:rStyle w:val="Text2"/>
        </w:rPr>
        <w:t>updates</w:t>
        <w:t xml:space="preserve">, </w:t>
      </w:r>
      <w:hyperlink w:anchor="idm45965284114304">
        <w:r>
          <w:t>Version Conventions</w:t>
        </w:r>
      </w:hyperlink>
      <w:r>
        <w:rPr>
          <w:rStyle w:val="Text2"/>
        </w:rPr>
        <w:t xml:space="preserve">, </w:t>
      </w:r>
      <w:hyperlink w:anchor="idm45965162721824">
        <w:r>
          <w:t>Significant Changes in Python Through 3.11</w:t>
        </w:r>
      </w:hyperlink>
      <w:r>
        <w:rPr>
          <w:rStyle w:val="Text2"/>
        </w:rPr>
        <w:t xml:space="preserve">, </w:t>
      </w:r>
      <w:hyperlink w:anchor="updt27">
        <w:r>
          <w:t>New Features and Changes in Python 3.7 Through 3.11</w:t>
        </w:r>
      </w:hyperlink>
      <w:r>
        <w:rPr>
          <w:rStyle w:val="Text2"/>
        </w:rPr>
        <w:t>-</w:t>
      </w:r>
      <w:hyperlink w:anchor="idm45965160901552">
        <w:r>
          <w:t>Python 3.11</w:t>
        </w:r>
      </w:hyperlink>
    </w:p>
    <w:p>
      <w:pPr>
        <w:pStyle w:val="Para 004"/>
      </w:pPr>
      <w:r>
        <w:rPr>
          <w:rStyle w:val="Text2"/>
        </w:rPr>
        <w:t>upgrading</w:t>
        <w:t xml:space="preserve">, </w:t>
      </w:r>
      <w:hyperlink w:anchor="brch26">
        <w:r>
          <w:t>Significant Changes in Python Through 3.11</w:t>
        </w:r>
      </w:hyperlink>
      <w:r>
        <w:rPr>
          <w:rStyle w:val="Text2"/>
        </w:rPr>
        <w:t>-</w:t>
      </w:r>
      <w:hyperlink w:anchor="idm45965162606608">
        <w:r>
          <w:t>Significant Changes in Python Through 3.11</w:t>
        </w:r>
      </w:hyperlink>
      <w:r>
        <w:rPr>
          <w:rStyle w:val="Text2"/>
        </w:rPr>
        <w:t xml:space="preserve">, </w:t>
      </w:r>
      <w:hyperlink w:anchor="upgrad26">
        <w:r>
          <w:t>Planning a Python Version Upgrade</w:t>
        </w:r>
      </w:hyperlink>
      <w:r>
        <w:rPr>
          <w:rStyle w:val="Text2"/>
        </w:rPr>
        <w:t>-</w:t>
      </w:r>
      <w:hyperlink w:anchor="idm45965162486000">
        <w:r>
          <w:t>How Often Should You Upgrade?</w:t>
        </w:r>
      </w:hyperlink>
    </w:p>
    <w:p>
      <w:pPr>
        <w:pStyle w:val="Para 004"/>
      </w:pPr>
      <w:r>
        <w:rPr>
          <w:rStyle w:val="Text2"/>
        </w:rPr>
        <w:t>breaking changes</w:t>
        <w:t xml:space="preserve">, </w:t>
      </w:r>
      <w:hyperlink w:anchor="idm45965162466416">
        <w:r>
          <w:t>New Features and Changes in Python 3.7 Through 3.11</w:t>
        </w:r>
      </w:hyperlink>
    </w:p>
    <w:p>
      <w:pPr>
        <w:pStyle w:val="Para 004"/>
      </w:pPr>
      <w:r>
        <w:rPr>
          <w:rStyle w:val="Text2"/>
        </w:rPr>
        <w:t>upper (string method)</w:t>
        <w:t xml:space="preserve">, </w:t>
      </w:r>
      <w:hyperlink w:anchor="idm45965212194288">
        <w:r>
          <w:t>Methods of String Objects</w:t>
        </w:r>
      </w:hyperlink>
    </w:p>
    <w:p>
      <w:pPr>
        <w:pStyle w:val="Para 003"/>
      </w:pPr>
      <w:r>
        <w:t>uppercase letters</w:t>
      </w:r>
    </w:p>
    <w:p>
      <w:pPr>
        <w:pStyle w:val="Para 003"/>
      </w:pPr>
      <w:r>
        <w:t>in class names</w:t>
        <w:t xml:space="preserve">, </w:t>
      </w:r>
      <w:hyperlink w:anchor="idm45965276621840">
        <w:r>
          <w:rPr>
            <w:rStyle w:val="Text1"/>
          </w:rPr>
          <w:t>Identifiers</w:t>
        </w:r>
      </w:hyperlink>
    </w:p>
    <w:p>
      <w:pPr>
        <w:pStyle w:val="Para 003"/>
      </w:pPr>
      <w:r>
        <w:t>in identifier names</w:t>
        <w:t xml:space="preserve">, </w:t>
      </w:r>
      <w:hyperlink w:anchor="idm45965284331552">
        <w:r>
          <w:rPr>
            <w:rStyle w:val="Text1"/>
          </w:rPr>
          <w:t>Identifiers</w:t>
        </w:r>
      </w:hyperlink>
    </w:p>
    <w:p>
      <w:pPr>
        <w:pStyle w:val="Para 003"/>
      </w:pPr>
      <w:r>
        <w:t>URI (uniform resource identifier)</w:t>
        <w:t xml:space="preserve">, </w:t>
      </w:r>
      <w:hyperlink w:anchor="idm45965175752432">
        <w:r>
          <w:rPr>
            <w:rStyle w:val="Text1"/>
          </w:rPr>
          <w:t>URL Access</w:t>
        </w:r>
      </w:hyperlink>
    </w:p>
    <w:p>
      <w:pPr>
        <w:pStyle w:val="Para 003"/>
      </w:pPr>
      <w:r>
        <w:t>URL (Uniform Resource Locator)</w:t>
        <w:t xml:space="preserve">, </w:t>
      </w:r>
      <w:hyperlink w:anchor="idm45965175749072">
        <w:r>
          <w:rPr>
            <w:rStyle w:val="Text1"/>
          </w:rPr>
          <w:t>URL Access</w:t>
        </w:r>
      </w:hyperlink>
    </w:p>
    <w:p>
      <w:pPr>
        <w:pStyle w:val="Para 003"/>
      </w:pPr>
      <w:r>
        <w:t>urljoin (urllib.parse module)</w:t>
        <w:t xml:space="preserve">, </w:t>
      </w:r>
      <w:hyperlink w:anchor="idm45965175709568">
        <w:r>
          <w:rPr>
            <w:rStyle w:val="Text1"/>
          </w:rPr>
          <w:t>The urllib.parse module</w:t>
        </w:r>
      </w:hyperlink>
    </w:p>
    <w:p>
      <w:pPr>
        <w:pStyle w:val="Para 004"/>
      </w:pPr>
      <w:r>
        <w:rPr>
          <w:rStyle w:val="Text2"/>
        </w:rPr>
        <w:t>urllib module</w:t>
        <w:t xml:space="preserve">, </w:t>
      </w:r>
      <w:hyperlink w:anchor="urlibpckg19">
        <w:r>
          <w:t>The urllib Package</w:t>
        </w:r>
      </w:hyperlink>
      <w:r>
        <w:rPr>
          <w:rStyle w:val="Text2"/>
        </w:rPr>
        <w:t>-</w:t>
      </w:r>
      <w:hyperlink w:anchor="idm45965175352352">
        <w:r>
          <w:t>The urllib.request module</w:t>
        </w:r>
      </w:hyperlink>
    </w:p>
    <w:p>
      <w:pPr>
        <w:pStyle w:val="Para 003"/>
      </w:pPr>
      <w:r>
        <w:t>urlopen (urllib.request module)</w:t>
        <w:t xml:space="preserve">, </w:t>
      </w:r>
      <w:hyperlink w:anchor="idm45965175492960">
        <w:r>
          <w:rPr>
            <w:rStyle w:val="Text1"/>
          </w:rPr>
          <w:t>The urllib.request module</w:t>
        </w:r>
      </w:hyperlink>
    </w:p>
    <w:p>
      <w:pPr>
        <w:pStyle w:val="Para 003"/>
      </w:pPr>
      <w:r>
        <w:t>urlretrieve (urllib.request module)</w:t>
        <w:t xml:space="preserve">, </w:t>
      </w:r>
      <w:hyperlink w:anchor="idm45965175437968">
        <w:r>
          <w:rPr>
            <w:rStyle w:val="Text1"/>
          </w:rPr>
          <w:t>The urllib.request module</w:t>
        </w:r>
      </w:hyperlink>
    </w:p>
    <w:p>
      <w:pPr>
        <w:pStyle w:val="Para 003"/>
      </w:pPr>
      <w:r>
        <w:t>urlsplit (urllib.parse module)</w:t>
        <w:t xml:space="preserve">, </w:t>
      </w:r>
      <w:hyperlink w:anchor="idm45965175668864">
        <w:r>
          <w:rPr>
            <w:rStyle w:val="Text1"/>
          </w:rPr>
          <w:t>The urllib.parse module</w:t>
        </w:r>
      </w:hyperlink>
    </w:p>
    <w:p>
      <w:pPr>
        <w:pStyle w:val="Para 003"/>
      </w:pPr>
      <w:r>
        <w:t>urlunsplit (urllib.parse module)</w:t>
        <w:t xml:space="preserve">, </w:t>
      </w:r>
      <w:hyperlink w:anchor="idm45965175618112">
        <w:r>
          <w:rPr>
            <w:rStyle w:val="Text1"/>
          </w:rPr>
          <w:t>The urllib.parse module</w:t>
        </w:r>
      </w:hyperlink>
    </w:p>
    <w:p>
      <w:pPr>
        <w:pStyle w:val="Para 003"/>
      </w:pPr>
      <w:r>
        <w:t>User Datagram Protocol (UDP)</w:t>
        <w:t xml:space="preserve">, </w:t>
      </w:r>
      <w:hyperlink w:anchor="idm45965177686816">
        <w:r>
          <w:rPr>
            <w:rStyle w:val="Text1"/>
          </w:rPr>
          <w:t>Networking Basics</w:t>
        </w:r>
      </w:hyperlink>
    </w:p>
    <w:p>
      <w:pPr>
        <w:pStyle w:val="Para 004"/>
      </w:pPr>
      <w:r>
        <w:rPr>
          <w:rStyle w:val="Text2"/>
        </w:rPr>
        <w:t>user groups</w:t>
        <w:t xml:space="preserve">, </w:t>
      </w:r>
      <w:hyperlink w:anchor="idm45965279054480">
        <w:r>
          <w:t>User groups and organizations</w:t>
        </w:r>
      </w:hyperlink>
    </w:p>
    <w:p>
      <w:pPr>
        <w:pStyle w:val="Para 004"/>
      </w:pPr>
      <w:r>
        <w:rPr>
          <w:rStyle w:val="Text2"/>
        </w:rPr>
        <w:t>user-coded classes</w:t>
        <w:t xml:space="preserve">, </w:t>
      </w:r>
      <w:hyperlink w:anchor="idm45965210136960">
        <w:r>
          <w:t>Formatting of User-Coded Classes</w:t>
        </w:r>
      </w:hyperlink>
    </w:p>
    <w:p>
      <w:pPr>
        <w:pStyle w:val="Para 003"/>
      </w:pPr>
      <w:r>
        <w:t>UserWarning class</w:t>
        <w:t xml:space="preserve">, </w:t>
      </w:r>
      <w:hyperlink w:anchor="idm45965181320960">
        <w:r>
          <w:rPr>
            <w:rStyle w:val="Text1"/>
          </w:rPr>
          <w:t>Classes</w:t>
        </w:r>
      </w:hyperlink>
    </w:p>
    <w:p>
      <w:pPr>
        <w:pStyle w:val="Para 003"/>
      </w:pPr>
      <w:r>
        <w:t>UTC (Universal Coordinated Time)</w:t>
        <w:t xml:space="preserve">, </w:t>
      </w:r>
      <w:hyperlink w:anchor="idm45965196910304">
        <w:r>
          <w:rPr>
            <w:rStyle w:val="Text1"/>
          </w:rPr>
          <w:t>The time Module</w:t>
        </w:r>
      </w:hyperlink>
    </w:p>
    <w:p>
      <w:pPr>
        <w:pStyle w:val="Para 003"/>
      </w:pPr>
      <w:r>
        <w:t>utcfromtimestamp (datetime.datetime class)</w:t>
        <w:t xml:space="preserve">, </w:t>
      </w:r>
      <w:hyperlink w:anchor="idm45965196095584">
        <w:r>
          <w:rPr>
            <w:rStyle w:val="Text1"/>
          </w:rPr>
          <w:t>The datetime Class</w:t>
        </w:r>
      </w:hyperlink>
    </w:p>
    <w:p>
      <w:pPr>
        <w:pStyle w:val="Para 003"/>
      </w:pPr>
      <w:r>
        <w:t>utcnow (datetime.datetime class)</w:t>
        <w:t xml:space="preserve">, </w:t>
      </w:r>
      <w:hyperlink w:anchor="idm45965196090288">
        <w:r>
          <w:rPr>
            <w:rStyle w:val="Text1"/>
          </w:rPr>
          <w:t>The datetime Class</w:t>
        </w:r>
      </w:hyperlink>
    </w:p>
    <w:p>
      <w:pPr>
        <w:pStyle w:val="Para 003"/>
      </w:pPr>
      <w:r>
        <w:t>utcoffset (datetime.time class)</w:t>
        <w:t xml:space="preserve">, </w:t>
      </w:r>
      <w:hyperlink w:anchor="idm45965196261504">
        <w:r>
          <w:rPr>
            <w:rStyle w:val="Text1"/>
          </w:rPr>
          <w:t>The time Class</w:t>
        </w:r>
      </w:hyperlink>
    </w:p>
    <w:p>
      <w:pPr>
        <w:pStyle w:val="Para 003"/>
      </w:pPr>
      <w:r>
        <w:t>utcoffset (tzinfo class)</w:t>
        <w:t xml:space="preserve">, </w:t>
      </w:r>
      <w:hyperlink w:anchor="idm45965195766992">
        <w:r>
          <w:rPr>
            <w:rStyle w:val="Text1"/>
          </w:rPr>
          <w:t>The tzinfo Abstract Class</w:t>
        </w:r>
      </w:hyperlink>
    </w:p>
    <w:p>
      <w:pPr>
        <w:pStyle w:val="Para 003"/>
      </w:pPr>
      <w:r>
        <w:t>utctimetuple (datetime.datetime class)</w:t>
        <w:t xml:space="preserve">, </w:t>
      </w:r>
      <w:hyperlink w:anchor="idm45965195903648">
        <w:r>
          <w:rPr>
            <w:rStyle w:val="Text1"/>
          </w:rPr>
          <w:t>The datetime Class</w:t>
        </w:r>
      </w:hyperlink>
    </w:p>
    <w:p>
      <w:pPr>
        <w:pStyle w:val="Para 003"/>
      </w:pPr>
      <w:r>
        <w:t>UTF-8 encoding</w:t>
        <w:t xml:space="preserve">, </w:t>
      </w:r>
      <w:hyperlink w:anchor="idm45965274380864">
        <w:r>
          <w:rPr>
            <w:rStyle w:val="Text1"/>
          </w:rPr>
          <w:t>Character Sets</w:t>
        </w:r>
      </w:hyperlink>
    </w:p>
    <w:p>
      <w:pPr>
        <w:pStyle w:val="Para 004"/>
      </w:pPr>
      <w:r>
        <w:rPr>
          <w:rStyle w:val="Text2"/>
        </w:rPr>
        <w:t>utime (os module)</w:t>
        <w:t xml:space="preserve">, </w:t>
      </w:r>
      <w:hyperlink w:anchor="idm45965204075456">
        <w:r>
          <w:t>File and directory functions of the os module</w:t>
        </w:r>
      </w:hyperlink>
    </w:p>
    <w:p>
      <w:pPr>
        <w:pStyle w:val="Para 004"/>
      </w:pPr>
      <w:r>
        <w:rPr>
          <w:rStyle w:val="Text2"/>
        </w:rPr>
        <w:t>uu module</w:t>
        <w:t xml:space="preserve">, </w:t>
      </w:r>
      <w:hyperlink w:anchor="idm45965172043312">
        <w:r>
          <w:t>The uu Module</w:t>
        </w:r>
      </w:hyperlink>
    </w:p>
    <w:p>
      <w:pPr>
        <w:pStyle w:val="Para 003"/>
      </w:pPr>
      <w:r>
        <w:t>Uvicorn</w:t>
        <w:t xml:space="preserve">, </w:t>
      </w:r>
      <w:hyperlink w:anchor="idm45965174420752">
        <w:r>
          <w:rPr>
            <w:rStyle w:val="Text1"/>
          </w:rPr>
          <w:t>FastAPI</w:t>
        </w:r>
      </w:hyperlink>
    </w:p>
    <w:p>
      <w:pPr>
        <w:pStyle w:val="Para 004"/>
      </w:pPr>
      <w:r>
        <w:rPr>
          <w:rStyle w:val="Text2"/>
        </w:rPr>
        <w:t>uWSGI</w:t>
        <w:t xml:space="preserve">, </w:t>
      </w:r>
      <w:hyperlink w:anchor="idm45965174910688">
        <w:r>
          <w:t>WSGI Servers</w:t>
        </w:r>
      </w:hyperlink>
    </w:p>
    <w:p>
      <w:pPr>
        <w:keepNext/>
        <w:pStyle w:val="Heading 3"/>
      </w:pPr>
      <w:r>
        <w:t>V</w:t>
      </w:r>
    </w:p>
    <w:p>
      <w:pPr>
        <w:pStyle w:val="Para 003"/>
      </w:pPr>
      <w:r>
        <w:t>Value class (multiprocessing module)</w:t>
        <w:t xml:space="preserve">, </w:t>
      </w:r>
      <w:hyperlink w:anchor="idm45965191561424">
        <w:r>
          <w:rPr>
            <w:rStyle w:val="Text1"/>
          </w:rPr>
          <w:t>The Value class</w:t>
        </w:r>
      </w:hyperlink>
    </w:p>
    <w:p>
      <w:pPr>
        <w:pStyle w:val="Para 003"/>
      </w:pPr>
      <w:r>
        <w:t>value conversion</w:t>
        <w:t xml:space="preserve">, </w:t>
      </w:r>
      <w:hyperlink w:anchor="idm45965211419888">
        <w:r>
          <w:rPr>
            <w:rStyle w:val="Text1"/>
          </w:rPr>
          <w:t>Value Conversion</w:t>
        </w:r>
      </w:hyperlink>
    </w:p>
    <w:p>
      <w:pPr>
        <w:pStyle w:val="Para 004"/>
      </w:pPr>
      <w:r>
        <w:rPr>
          <w:rStyle w:val="Text2"/>
        </w:rPr>
        <w:t>value formatting</w:t>
        <w:t xml:space="preserve">, </w:t>
      </w:r>
      <w:hyperlink w:anchor="idm45965211331840">
        <w:r>
          <w:t>Value Formatting: The Format Specifier</w:t>
        </w:r>
      </w:hyperlink>
    </w:p>
    <w:p>
      <w:pPr>
        <w:pStyle w:val="Para 003"/>
      </w:pPr>
      <w:r>
        <w:t>value patterns</w:t>
        <w:t xml:space="preserve">, </w:t>
      </w:r>
      <w:hyperlink w:anchor="idm45965263713392">
        <w:r>
          <w:rPr>
            <w:rStyle w:val="Text1"/>
          </w:rPr>
          <w:t>Value patterns</w:t>
        </w:r>
      </w:hyperlink>
    </w:p>
    <w:p>
      <w:pPr>
        <w:pStyle w:val="Para 004"/>
      </w:pPr>
      <w:r>
        <w:rPr>
          <w:rStyle w:val="Text2"/>
        </w:rPr>
        <w:t>ValueError</w:t>
        <w:t xml:space="preserve">, </w:t>
      </w:r>
      <w:hyperlink w:anchor="idm45965276140512">
        <w:r>
          <w:t>Sequences in General</w:t>
        </w:r>
      </w:hyperlink>
    </w:p>
    <w:p>
      <w:pPr>
        <w:pStyle w:val="Para 003"/>
      </w:pPr>
      <w:r>
        <w:t>values (dict method)</w:t>
        <w:t xml:space="preserve">, </w:t>
      </w:r>
      <w:hyperlink w:anchor="idm45965283473152">
        <w:r>
          <w:rPr>
            <w:rStyle w:val="Text1"/>
          </w:rPr>
          <w:t>Dictionary Methods</w:t>
        </w:r>
      </w:hyperlink>
    </w:p>
    <w:p>
      <w:pPr>
        <w:pStyle w:val="Para 004"/>
      </w:pPr>
      <w:r>
        <w:rPr>
          <w:rStyle w:val="Text2"/>
        </w:rPr>
        <w:t>van Rossum, Guido</w:t>
        <w:t xml:space="preserve">, </w:t>
      </w:r>
      <w:hyperlink w:anchor="idm45965258716208">
        <w:r>
          <w:t>Python Development and Versions</w:t>
        </w:r>
      </w:hyperlink>
      <w:r>
        <w:rPr>
          <w:rStyle w:val="Text2"/>
        </w:rPr>
        <w:t xml:space="preserve">, </w:t>
      </w:r>
      <w:hyperlink w:anchor="idm45965269231008">
        <w:r>
          <w:t>History</w:t>
        </w:r>
      </w:hyperlink>
    </w:p>
    <w:p>
      <w:pPr>
        <w:pStyle w:val="Para 004"/>
      </w:pPr>
      <w:r>
        <w:rPr>
          <w:rStyle w:val="Text2"/>
        </w:rPr>
        <w:t>variable scope</w:t>
        <w:t xml:space="preserve">, </w:t>
      </w:r>
      <w:hyperlink w:anchor="idm45965257597456">
        <w:r>
          <w:t>List comprehensions</w:t>
        </w:r>
      </w:hyperlink>
    </w:p>
    <w:p>
      <w:pPr>
        <w:pStyle w:val="Para 003"/>
      </w:pPr>
      <w:r>
        <w:t>variables and other references</w:t>
      </w:r>
    </w:p>
    <w:p>
      <w:pPr>
        <w:pStyle w:val="Para 004"/>
      </w:pPr>
      <w:r>
        <w:rPr>
          <w:rStyle w:val="Text2"/>
        </w:rPr>
        <w:t>assignment statement</w:t>
        <w:t xml:space="preserve">, </w:t>
      </w:r>
      <w:hyperlink w:anchor="idm45965258652992">
        <w:r>
          <w:t>Assignment Statements</w:t>
        </w:r>
      </w:hyperlink>
      <w:r>
        <w:rPr>
          <w:rStyle w:val="Text2"/>
        </w:rPr>
        <w:t xml:space="preserve">, </w:t>
      </w:r>
      <w:hyperlink w:anchor="idm45965214665760">
        <w:r>
          <w:t>The copy Module</w:t>
        </w:r>
      </w:hyperlink>
    </w:p>
    <w:p>
      <w:pPr>
        <w:pStyle w:val="Para 003"/>
      </w:pPr>
      <w:r>
        <w:t>class-private variables</w:t>
        <w:t xml:space="preserve">, </w:t>
      </w:r>
      <w:hyperlink w:anchor="idm45965271650192">
        <w:r>
          <w:rPr>
            <w:rStyle w:val="Text1"/>
          </w:rPr>
          <w:t>Class-private variables</w:t>
        </w:r>
      </w:hyperlink>
    </w:p>
    <w:p>
      <w:pPr>
        <w:pStyle w:val="Para 003"/>
      </w:pPr>
      <w:r>
        <w:t>del statement</w:t>
        <w:t xml:space="preserve">, </w:t>
      </w:r>
      <w:hyperlink w:anchor="idm45965283246736">
        <w:r>
          <w:rPr>
            <w:rStyle w:val="Text1"/>
          </w:rPr>
          <w:t>del Statements</w:t>
        </w:r>
      </w:hyperlink>
    </w:p>
    <w:p>
      <w:pPr>
        <w:pStyle w:val="Para 004"/>
      </w:pPr>
      <w:r>
        <w:rPr>
          <w:rStyle w:val="Text2"/>
        </w:rPr>
        <w:t>free variables</w:t>
        <w:t xml:space="preserve">, </w:t>
      </w:r>
      <w:hyperlink w:anchor="idm45965270056064">
        <w:r>
          <w:t>Nested functions and nested scopes</w:t>
        </w:r>
      </w:hyperlink>
    </w:p>
    <w:p>
      <w:pPr>
        <w:pStyle w:val="Para 003"/>
      </w:pPr>
      <w:r>
        <w:t>global variables</w:t>
        <w:t xml:space="preserve">, </w:t>
      </w:r>
      <w:hyperlink w:anchor="idm45965270160608">
        <w:r>
          <w:rPr>
            <w:rStyle w:val="Text1"/>
          </w:rPr>
          <w:t>Namespaces</w:t>
        </w:r>
      </w:hyperlink>
    </w:p>
    <w:p>
      <w:pPr>
        <w:pStyle w:val="Para 003"/>
      </w:pPr>
      <w:r>
        <w:t>module-private variables</w:t>
        <w:t xml:space="preserve">, </w:t>
      </w:r>
      <w:hyperlink w:anchor="idm45965254642080">
        <w:r>
          <w:rPr>
            <w:rStyle w:val="Text1"/>
          </w:rPr>
          <w:t>Module-private variables</w:t>
        </w:r>
      </w:hyperlink>
    </w:p>
    <w:p>
      <w:pPr>
        <w:pStyle w:val="Para 003"/>
      </w:pPr>
      <w:r>
        <w:t>variables</w:t>
        <w:t xml:space="preserve">, </w:t>
      </w:r>
      <w:hyperlink w:anchor="idm45965258711728">
        <w:r>
          <w:rPr>
            <w:rStyle w:val="Text1"/>
          </w:rPr>
          <w:t>Variables</w:t>
        </w:r>
      </w:hyperlink>
    </w:p>
    <w:p>
      <w:pPr>
        <w:pStyle w:val="Para 003"/>
      </w:pPr>
      <w:r>
        <w:t>vars (built-in function)</w:t>
        <w:t xml:space="preserve">, </w:t>
      </w:r>
      <w:hyperlink w:anchor="idm45965215179168">
        <w:r>
          <w:rPr>
            <w:rStyle w:val="Text1"/>
          </w:rPr>
          <w:t>Built-in Functions</w:t>
        </w:r>
      </w:hyperlink>
    </w:p>
    <w:p>
      <w:pPr>
        <w:pStyle w:val="Para 004"/>
      </w:pPr>
      <w:r>
        <w:rPr>
          <w:rStyle w:val="Text2"/>
        </w:rPr>
        <w:t>vectors</w:t>
        <w:t xml:space="preserve">, </w:t>
      </w:r>
      <w:hyperlink w:anchor="idm45965180884128">
        <w:r>
          <w:t>List operations</w:t>
        </w:r>
      </w:hyperlink>
    </w:p>
    <w:p>
      <w:pPr>
        <w:pStyle w:val="Para 003"/>
      </w:pPr>
      <w:r>
        <w:t>version (sys module)</w:t>
        <w:t xml:space="preserve">, </w:t>
      </w:r>
      <w:hyperlink w:anchor="idm45965214687872">
        <w:r>
          <w:rPr>
            <w:rStyle w:val="Text1"/>
          </w:rPr>
          <w:t>The sys Module</w:t>
        </w:r>
      </w:hyperlink>
    </w:p>
    <w:p>
      <w:pPr>
        <w:pStyle w:val="Para 004"/>
      </w:pPr>
      <w:r>
        <w:rPr>
          <w:rStyle w:val="Text2"/>
        </w:rPr>
        <w:t>versions</w:t>
        <w:t xml:space="preserve">, </w:t>
      </w:r>
      <w:hyperlink w:anchor="idm45965258717440">
        <w:r>
          <w:t>Python Development and Versions</w:t>
        </w:r>
      </w:hyperlink>
    </w:p>
    <w:p>
      <w:pPr>
        <w:pStyle w:val="Para 003"/>
      </w:pPr>
      <w:r>
        <w:t>version_info (sys module)</w:t>
        <w:t xml:space="preserve">, </w:t>
      </w:r>
      <w:hyperlink w:anchor="idm45965214683376">
        <w:r>
          <w:rPr>
            <w:rStyle w:val="Text1"/>
          </w:rPr>
          <w:t>The sys Module</w:t>
        </w:r>
      </w:hyperlink>
    </w:p>
    <w:p>
      <w:pPr>
        <w:pStyle w:val="Para 004"/>
      </w:pPr>
      <w:r>
        <w:rPr>
          <w:rStyle w:val="Text2"/>
        </w:rPr>
        <w:t>vertical bar (|)</w:t>
        <w:t xml:space="preserve">, </w:t>
      </w:r>
      <w:hyperlink w:anchor="idm45965283009808">
        <w:r>
          <w:t>Command-Line Syntax and Options</w:t>
        </w:r>
      </w:hyperlink>
      <w:r>
        <w:rPr>
          <w:rStyle w:val="Text2"/>
        </w:rPr>
        <w:t xml:space="preserve">, </w:t>
      </w:r>
      <w:hyperlink w:anchor="idm45965258180816">
        <w:r>
          <w:t>Dictionaries</w:t>
        </w:r>
      </w:hyperlink>
    </w:p>
    <w:p>
      <w:pPr>
        <w:pStyle w:val="Para 003"/>
      </w:pPr>
      <w:r>
        <w:t>vertical tab (\v)</w:t>
        <w:t xml:space="preserve">, </w:t>
      </w:r>
      <w:hyperlink w:anchor="idm45965278999712">
        <w:r>
          <w:rPr>
            <w:rStyle w:val="Text1"/>
          </w:rPr>
          <w:t>Strings</w:t>
        </w:r>
      </w:hyperlink>
    </w:p>
    <w:p>
      <w:pPr>
        <w:pStyle w:val="Para 003"/>
      </w:pPr>
      <w:r>
        <w:t>very high-level language (VHLL)</w:t>
        <w:t xml:space="preserve">, </w:t>
      </w:r>
      <w:hyperlink w:anchor="idm45965283910752">
        <w:r>
          <w:rPr>
            <w:rStyle w:val="Text1"/>
          </w:rPr>
          <w:t>The Python Language</w:t>
        </w:r>
      </w:hyperlink>
    </w:p>
    <w:p>
      <w:pPr>
        <w:pStyle w:val="Para 004"/>
      </w:pPr>
      <w:r>
        <w:rPr>
          <w:rStyle w:val="Text2"/>
        </w:rPr>
        <w:t>view objects</w:t>
        <w:t xml:space="preserve">, </w:t>
      </w:r>
      <w:hyperlink w:anchor="idm45965282566512">
        <w:r>
          <w:t>Dictionary Methods</w:t>
        </w:r>
      </w:hyperlink>
    </w:p>
    <w:p>
      <w:pPr>
        <w:pStyle w:val="Para 004"/>
      </w:pPr>
      <w:r>
        <w:rPr>
          <w:rStyle w:val="Text2"/>
        </w:rPr>
        <w:t>Vim text editor</w:t>
        <w:t xml:space="preserve">, </w:t>
      </w:r>
      <w:hyperlink w:anchor="idm45965276464160">
        <w:r>
          <w:t>Free Text Editors with Python Support</w:t>
        </w:r>
      </w:hyperlink>
    </w:p>
    <w:p>
      <w:pPr>
        <w:pStyle w:val="Para 004"/>
      </w:pPr>
      <w:r>
        <w:rPr>
          <w:rStyle w:val="Text2"/>
        </w:rPr>
        <w:t>virtual circuits</w:t>
        <w:t xml:space="preserve">, </w:t>
      </w:r>
      <w:hyperlink w:anchor="idm45965177614960">
        <w:r>
          <w:t>Client/Server Computing</w:t>
        </w:r>
      </w:hyperlink>
    </w:p>
    <w:p>
      <w:pPr>
        <w:pStyle w:val="Para 003"/>
      </w:pPr>
      <w:r>
        <w:t>virtual environments</w:t>
      </w:r>
    </w:p>
    <w:p>
      <w:pPr>
        <w:pStyle w:val="Para 004"/>
      </w:pPr>
      <w:r>
        <w:rPr>
          <w:rStyle w:val="Text2"/>
        </w:rPr>
        <w:t>benefits of</w:t>
        <w:t xml:space="preserve">, </w:t>
      </w:r>
      <w:hyperlink w:anchor="idm45965284104992">
        <w:r>
          <w:t>Other Developments, Implementations, and Distributions</w:t>
        </w:r>
      </w:hyperlink>
      <w:r>
        <w:rPr>
          <w:rStyle w:val="Text2"/>
        </w:rPr>
        <w:t xml:space="preserve">, </w:t>
      </w:r>
      <w:hyperlink w:anchor="idm45965217034800">
        <w:r>
          <w:t>Enter the Virtual Environment</w:t>
        </w:r>
      </w:hyperlink>
    </w:p>
    <w:p>
      <w:pPr>
        <w:pStyle w:val="Para 004"/>
      </w:pPr>
      <w:r>
        <w:rPr>
          <w:rStyle w:val="Text2"/>
        </w:rPr>
        <w:t>best practices</w:t>
        <w:t xml:space="preserve">, </w:t>
      </w:r>
      <w:hyperlink w:anchor="idm45965216836304">
        <w:r>
          <w:t>Best Practices with Virtualenvs</w:t>
        </w:r>
      </w:hyperlink>
    </w:p>
    <w:p>
      <w:pPr>
        <w:pStyle w:val="Para 004"/>
      </w:pPr>
      <w:r>
        <w:rPr>
          <w:rStyle w:val="Text2"/>
        </w:rPr>
        <w:t>creating and deleting</w:t>
        <w:t xml:space="preserve">, </w:t>
      </w:r>
      <w:hyperlink w:anchor="VEcre07">
        <w:r>
          <w:t>Creating and Deleting Virtual Environments</w:t>
        </w:r>
      </w:hyperlink>
      <w:r>
        <w:rPr>
          <w:rStyle w:val="Text2"/>
        </w:rPr>
        <w:t>-</w:t>
      </w:r>
      <w:hyperlink w:anchor="idm45965216966352">
        <w:r>
          <w:t>Creating and Deleting Virtual Environments</w:t>
        </w:r>
      </w:hyperlink>
    </w:p>
    <w:p>
      <w:pPr>
        <w:pStyle w:val="Para 004"/>
      </w:pPr>
      <w:r>
        <w:rPr>
          <w:rStyle w:val="Text2"/>
        </w:rPr>
        <w:t>dependency requirements</w:t>
        <w:t xml:space="preserve">, </w:t>
      </w:r>
      <w:hyperlink w:anchor="idm45965216902800">
        <w:r>
          <w:t>Managing Dependency Requirements</w:t>
        </w:r>
      </w:hyperlink>
    </w:p>
    <w:p>
      <w:pPr>
        <w:pStyle w:val="Para 004"/>
      </w:pPr>
      <w:r>
        <w:rPr>
          <w:rStyle w:val="Text2"/>
        </w:rPr>
        <w:t>other environment solutions</w:t>
        <w:t xml:space="preserve">, </w:t>
      </w:r>
      <w:hyperlink w:anchor="idm45965216862272">
        <w:r>
          <w:t>Other Environment Management Solutions</w:t>
        </w:r>
      </w:hyperlink>
    </w:p>
    <w:p>
      <w:pPr>
        <w:pStyle w:val="Para 004"/>
      </w:pPr>
      <w:r>
        <w:rPr>
          <w:rStyle w:val="Text2"/>
        </w:rPr>
        <w:t>working with</w:t>
        <w:t xml:space="preserve">, </w:t>
      </w:r>
      <w:hyperlink w:anchor="idm45965216962096">
        <w:r>
          <w:t>Working with Virtual Environments</w:t>
        </w:r>
      </w:hyperlink>
    </w:p>
    <w:p>
      <w:pPr>
        <w:pStyle w:val="Para 003"/>
      </w:pPr>
      <w:r>
        <w:t>virtual subclasses</w:t>
        <w:t xml:space="preserve">, </w:t>
      </w:r>
      <w:hyperlink w:anchor="idm45965264188144">
        <w:r>
          <w:rPr>
            <w:rStyle w:val="Text1"/>
          </w:rPr>
          <w:t>The abc module</w:t>
        </w:r>
      </w:hyperlink>
    </w:p>
    <w:p>
      <w:pPr>
        <w:pStyle w:val="Para 004"/>
      </w:pPr>
      <w:r>
        <w:rPr>
          <w:rStyle w:val="Text2"/>
        </w:rPr>
        <w:t>virtualenv package</w:t>
        <w:t xml:space="preserve">, </w:t>
      </w:r>
      <w:hyperlink w:anchor="idm45965216860768">
        <w:r>
          <w:t>Other Environment Management Solutions</w:t>
        </w:r>
      </w:hyperlink>
    </w:p>
    <w:p>
      <w:pPr>
        <w:keepNext/>
        <w:pStyle w:val="Heading 3"/>
      </w:pPr>
      <w:r>
        <w:t>W</w:t>
      </w:r>
    </w:p>
    <w:p>
      <w:pPr>
        <w:pStyle w:val="Para 004"/>
      </w:pPr>
      <w:r>
        <w:rPr>
          <w:rStyle w:val="Text2"/>
        </w:rPr>
        <w:t>wait (threading module)</w:t>
        <w:t xml:space="preserve">, </w:t>
      </w:r>
      <w:hyperlink w:anchor="idm45965193050208">
        <w:r>
          <w:t>Condition objects</w:t>
        </w:r>
      </w:hyperlink>
      <w:r>
        <w:rPr>
          <w:rStyle w:val="Text2"/>
        </w:rPr>
        <w:t xml:space="preserve">, </w:t>
      </w:r>
      <w:hyperlink w:anchor="idm45965192893664">
        <w:r>
          <w:t>Event objects</w:t>
        </w:r>
      </w:hyperlink>
      <w:r>
        <w:rPr>
          <w:rStyle w:val="Text2"/>
        </w:rPr>
        <w:t xml:space="preserve">, </w:t>
      </w:r>
      <w:hyperlink w:anchor="idm45965192392720">
        <w:r>
          <w:t>Barrier objects</w:t>
        </w:r>
      </w:hyperlink>
    </w:p>
    <w:p>
      <w:pPr>
        <w:pStyle w:val="Para 004"/>
      </w:pPr>
      <w:r>
        <w:rPr>
          <w:rStyle w:val="Text2"/>
        </w:rPr>
        <w:t>Waitress</w:t>
        <w:t xml:space="preserve">, </w:t>
      </w:r>
      <w:hyperlink w:anchor="idm45965174912640">
        <w:r>
          <w:t>WSGI Servers</w:t>
        </w:r>
      </w:hyperlink>
    </w:p>
    <w:p>
      <w:pPr>
        <w:pStyle w:val="Para 003"/>
      </w:pPr>
      <w:r>
        <w:t>walrus operator (:=)</w:t>
      </w:r>
    </w:p>
    <w:p>
      <w:pPr>
        <w:pStyle w:val="Para 003"/>
      </w:pPr>
      <w:r>
        <w:t>assignment expressions</w:t>
        <w:t xml:space="preserve">, </w:t>
      </w:r>
      <w:hyperlink w:anchor="idm45965274986976">
        <w:r>
          <w:rPr>
            <w:rStyle w:val="Text1"/>
          </w:rPr>
          <w:t>Assignment Expressions</w:t>
        </w:r>
      </w:hyperlink>
    </w:p>
    <w:p>
      <w:pPr>
        <w:pStyle w:val="Para 003"/>
      </w:pPr>
      <w:r>
        <w:t>regular expressions and</w:t>
        <w:t xml:space="preserve">, </w:t>
      </w:r>
      <w:hyperlink w:anchor="idm45965206878480">
        <w:r>
          <w:rPr>
            <w:rStyle w:val="Text1"/>
          </w:rPr>
          <w:t>REs and the := Operator</w:t>
        </w:r>
      </w:hyperlink>
    </w:p>
    <w:p>
      <w:pPr>
        <w:pStyle w:val="Para 003"/>
      </w:pPr>
      <w:r>
        <w:t>simple statements</w:t>
        <w:t xml:space="preserve">, </w:t>
      </w:r>
      <w:hyperlink w:anchor="idm45965281974400">
        <w:r>
          <w:rPr>
            <w:rStyle w:val="Text1"/>
          </w:rPr>
          <w:t>Simple statements</w:t>
        </w:r>
      </w:hyperlink>
    </w:p>
    <w:p>
      <w:pPr>
        <w:pStyle w:val="Para 003"/>
      </w:pPr>
      <w:r>
        <w:t>warn (warnings module)</w:t>
        <w:t xml:space="preserve">, </w:t>
      </w:r>
      <w:hyperlink w:anchor="idm45965181185888">
        <w:r>
          <w:rPr>
            <w:rStyle w:val="Text1"/>
          </w:rPr>
          <w:t>Functions</w:t>
        </w:r>
      </w:hyperlink>
    </w:p>
    <w:p>
      <w:pPr>
        <w:pStyle w:val="Para 004"/>
      </w:pPr>
      <w:r>
        <w:rPr>
          <w:rStyle w:val="Text2"/>
        </w:rPr>
        <w:t>warnings module</w:t>
        <w:t xml:space="preserve">, </w:t>
      </w:r>
      <w:hyperlink w:anchor="warnmod17">
        <w:r>
          <w:t>The warnings Module</w:t>
        </w:r>
      </w:hyperlink>
    </w:p>
    <w:p>
      <w:pPr>
        <w:pStyle w:val="Para 004"/>
      </w:pPr>
      <w:r>
        <w:rPr>
          <w:rStyle w:val="Text2"/>
        </w:rPr>
        <w:t>weak references</w:t>
        <w:t xml:space="preserve">, </w:t>
      </w:r>
      <w:hyperlink w:anchor="idm45965193879344">
        <w:r>
          <w:t>The weakref Module</w:t>
        </w:r>
      </w:hyperlink>
    </w:p>
    <w:p>
      <w:pPr>
        <w:pStyle w:val="Para 003"/>
      </w:pPr>
      <w:r>
        <w:t>WeakKeyDictionary (weakref module)</w:t>
        <w:t xml:space="preserve">, </w:t>
      </w:r>
      <w:hyperlink w:anchor="idm45965193794480">
        <w:r>
          <w:rPr>
            <w:rStyle w:val="Text1"/>
          </w:rPr>
          <w:t>The weakref Module</w:t>
        </w:r>
      </w:hyperlink>
    </w:p>
    <w:p>
      <w:pPr>
        <w:pStyle w:val="Para 004"/>
      </w:pPr>
      <w:r>
        <w:rPr>
          <w:rStyle w:val="Text2"/>
        </w:rPr>
        <w:t>weakref module</w:t>
        <w:t xml:space="preserve">, </w:t>
      </w:r>
      <w:hyperlink w:anchor="weakrefm14">
        <w:r>
          <w:t>The weakref Module</w:t>
        </w:r>
      </w:hyperlink>
      <w:r>
        <w:rPr>
          <w:rStyle w:val="Text2"/>
        </w:rPr>
        <w:t>-</w:t>
      </w:r>
      <w:hyperlink w:anchor="idm45965193703696">
        <w:r>
          <w:t>The weakref Module</w:t>
        </w:r>
      </w:hyperlink>
    </w:p>
    <w:p>
      <w:pPr>
        <w:pStyle w:val="Para 003"/>
      </w:pPr>
      <w:r>
        <w:t>WeakSet (weakref module)</w:t>
        <w:t xml:space="preserve">, </w:t>
      </w:r>
      <w:hyperlink w:anchor="idm45965193784608">
        <w:r>
          <w:rPr>
            <w:rStyle w:val="Text1"/>
          </w:rPr>
          <w:t>The weakref Module</w:t>
        </w:r>
      </w:hyperlink>
    </w:p>
    <w:p>
      <w:pPr>
        <w:pStyle w:val="Para 003"/>
      </w:pPr>
      <w:r>
        <w:t>WeakValueDictionary (weakref module)</w:t>
        <w:t xml:space="preserve">, </w:t>
      </w:r>
      <w:hyperlink w:anchor="idm45965193774400">
        <w:r>
          <w:rPr>
            <w:rStyle w:val="Text1"/>
          </w:rPr>
          <w:t>The weakref Module</w:t>
        </w:r>
      </w:hyperlink>
    </w:p>
    <w:p>
      <w:pPr>
        <w:pStyle w:val="Para 003"/>
      </w:pPr>
      <w:r>
        <w:t>web programming (server-side)</w:t>
      </w:r>
    </w:p>
    <w:p>
      <w:pPr>
        <w:pStyle w:val="Para 003"/>
      </w:pPr>
      <w:r>
        <w:t>http.server</w:t>
        <w:t xml:space="preserve">, </w:t>
      </w:r>
      <w:hyperlink w:anchor="idm45965174944624">
        <w:r>
          <w:rPr>
            <w:rStyle w:val="Text1"/>
          </w:rPr>
          <w:t>http.server</w:t>
        </w:r>
      </w:hyperlink>
    </w:p>
    <w:p>
      <w:pPr>
        <w:pStyle w:val="Para 004"/>
      </w:pPr>
      <w:r>
        <w:rPr>
          <w:rStyle w:val="Text2"/>
        </w:rPr>
        <w:t>Python web frameworks</w:t>
        <w:t xml:space="preserve">, </w:t>
      </w:r>
      <w:hyperlink w:anchor="WPSSpwebframe20">
        <w:r>
          <w:t>Python Web Frameworks</w:t>
        </w:r>
      </w:hyperlink>
      <w:r>
        <w:rPr>
          <w:rStyle w:val="Text2"/>
        </w:rPr>
        <w:t>-</w:t>
      </w:r>
      <w:hyperlink w:anchor="idm45965173352112">
        <w:r>
          <w:t>FastAPI</w:t>
        </w:r>
      </w:hyperlink>
    </w:p>
    <w:p>
      <w:pPr>
        <w:pStyle w:val="Para 003"/>
      </w:pPr>
      <w:r>
        <w:t>serving HTTP</w:t>
        <w:t xml:space="preserve">, </w:t>
      </w:r>
      <w:hyperlink w:anchor="idm45965174963872">
        <w:r>
          <w:rPr>
            <w:rStyle w:val="Text1"/>
          </w:rPr>
          <w:t>Serving HTTP</w:t>
        </w:r>
      </w:hyperlink>
    </w:p>
    <w:p>
      <w:pPr>
        <w:pStyle w:val="Para 003"/>
      </w:pPr>
      <w:r>
        <w:t>Web Server Gateway Interface (WSGI)</w:t>
        <w:t xml:space="preserve">, </w:t>
      </w:r>
      <w:hyperlink w:anchor="websgi20">
        <w:r>
          <w:rPr>
            <w:rStyle w:val="Text1"/>
          </w:rPr>
          <w:t>WSGI</w:t>
        </w:r>
      </w:hyperlink>
      <w:r>
        <w:t>-</w:t>
      </w:r>
      <w:hyperlink w:anchor="idm45965174898848">
        <w:r>
          <w:rPr>
            <w:rStyle w:val="Text1"/>
          </w:rPr>
          <w:t>ASGI</w:t>
        </w:r>
      </w:hyperlink>
    </w:p>
    <w:p>
      <w:pPr>
        <w:pStyle w:val="Para 004"/>
      </w:pPr>
      <w:r>
        <w:rPr>
          <w:rStyle w:val="Text2"/>
        </w:rPr>
        <w:t>web scraping</w:t>
        <w:t xml:space="preserve">, </w:t>
      </w:r>
      <w:hyperlink w:anchor="idm45965171972048">
        <w:r>
          <w:t>Structured Text: HTML</w:t>
        </w:r>
      </w:hyperlink>
    </w:p>
    <w:p>
      <w:pPr>
        <w:pStyle w:val="Para 003"/>
      </w:pPr>
      <w:r>
        <w:t>Web Server Gateway Interface (WSGI)</w:t>
        <w:t xml:space="preserve">, </w:t>
      </w:r>
      <w:hyperlink w:anchor="idm45965174929728">
        <w:r>
          <w:rPr>
            <w:rStyle w:val="Text1"/>
          </w:rPr>
          <w:t>WSGI</w:t>
        </w:r>
      </w:hyperlink>
    </w:p>
    <w:p>
      <w:pPr>
        <w:pStyle w:val="Para 004"/>
      </w:pPr>
      <w:r>
        <w:rPr>
          <w:rStyle w:val="Text2"/>
        </w:rPr>
        <w:t>web2py</w:t>
        <w:t xml:space="preserve">, </w:t>
      </w:r>
      <w:hyperlink w:anchor="idm45965174877664">
        <w:r>
          <w:t>A Few Popular Full-Stack Frameworks</w:t>
        </w:r>
      </w:hyperlink>
    </w:p>
    <w:p>
      <w:pPr>
        <w:pStyle w:val="Para 003"/>
      </w:pPr>
      <w:r>
        <w:t>weekday (datetime.date class)</w:t>
        <w:t xml:space="preserve">, </w:t>
      </w:r>
      <w:hyperlink w:anchor="idm45965196391136">
        <w:r>
          <w:rPr>
            <w:rStyle w:val="Text1"/>
          </w:rPr>
          <w:t>The date Class</w:t>
        </w:r>
      </w:hyperlink>
    </w:p>
    <w:p>
      <w:pPr>
        <w:pStyle w:val="Para 003"/>
      </w:pPr>
      <w:r>
        <w:t>weekday (datetime.datetime class)</w:t>
        <w:t xml:space="preserve">, </w:t>
      </w:r>
      <w:hyperlink w:anchor="idm45965195897408">
        <w:r>
          <w:rPr>
            <w:rStyle w:val="Text1"/>
          </w:rPr>
          <w:t>The datetime Class</w:t>
        </w:r>
      </w:hyperlink>
    </w:p>
    <w:p>
      <w:pPr>
        <w:pStyle w:val="Para 004"/>
      </w:pPr>
      <w:r>
        <w:rPr>
          <w:rStyle w:val="Text2"/>
        </w:rPr>
        <w:t>Werkzeug</w:t>
        <w:t xml:space="preserve">, </w:t>
      </w:r>
      <w:hyperlink w:anchor="idm45965174864736">
        <w:r>
          <w:t>Considerations When Using Lightweight Frameworks</w:t>
        </w:r>
      </w:hyperlink>
    </w:p>
    <w:p>
      <w:pPr>
        <w:pStyle w:val="Para 004"/>
      </w:pPr>
      <w:r>
        <w:rPr>
          <w:rStyle w:val="Text2"/>
        </w:rPr>
        <w:t>while statement</w:t>
        <w:t xml:space="preserve">, </w:t>
      </w:r>
      <w:hyperlink w:anchor="idm45965274280224">
        <w:r>
          <w:t>:= in a while statement</w:t>
        </w:r>
      </w:hyperlink>
      <w:r>
        <w:rPr>
          <w:rStyle w:val="Text2"/>
        </w:rPr>
        <w:t xml:space="preserve">, </w:t>
      </w:r>
      <w:hyperlink w:anchor="idm45965274700096">
        <w:r>
          <w:t>The while Statement</w:t>
        </w:r>
      </w:hyperlink>
    </w:p>
    <w:p>
      <w:pPr>
        <w:pStyle w:val="Para 004"/>
      </w:pPr>
      <w:r>
        <w:rPr>
          <w:rStyle w:val="Text2"/>
        </w:rPr>
        <w:t>white-box testing</w:t>
        <w:t xml:space="preserve">, </w:t>
      </w:r>
      <w:hyperlink w:anchor="idm45965183798384">
        <w:r>
          <w:t>Unit Testing and System Testing</w:t>
        </w:r>
      </w:hyperlink>
    </w:p>
    <w:p>
      <w:pPr>
        <w:pStyle w:val="Para 004"/>
      </w:pPr>
      <w:r>
        <w:rPr>
          <w:rStyle w:val="Text2"/>
        </w:rPr>
        <w:t>whitespace</w:t>
        <w:t xml:space="preserve">, </w:t>
      </w:r>
      <w:hyperlink w:anchor="idm45965274393968">
        <w:r>
          <w:t>Lines and Indentation</w:t>
        </w:r>
      </w:hyperlink>
      <w:r>
        <w:rPr>
          <w:rStyle w:val="Text2"/>
        </w:rPr>
        <w:t xml:space="preserve">, </w:t>
      </w:r>
      <w:hyperlink w:anchor="idm45965282185024">
        <w:r>
          <w:t>Delimiters</w:t>
        </w:r>
      </w:hyperlink>
      <w:r>
        <w:rPr>
          <w:rStyle w:val="Text2"/>
        </w:rPr>
        <w:t xml:space="preserve">, </w:t>
      </w:r>
      <w:hyperlink w:anchor="idm45965211286512">
        <w:r>
          <w:t>Fill and alignment</w:t>
        </w:r>
      </w:hyperlink>
    </w:p>
    <w:p>
      <w:pPr>
        <w:pStyle w:val="Para 003"/>
      </w:pPr>
      <w:r>
        <w:t>wildcard patterns</w:t>
        <w:t xml:space="preserve">, </w:t>
      </w:r>
      <w:hyperlink w:anchor="idm45965263987936">
        <w:r>
          <w:rPr>
            <w:rStyle w:val="Text1"/>
          </w:rPr>
          <w:t>The match Statement</w:t>
        </w:r>
      </w:hyperlink>
    </w:p>
    <w:p>
      <w:pPr>
        <w:pStyle w:val="Para 004"/>
      </w:pPr>
      <w:r>
        <w:rPr>
          <w:rStyle w:val="Text2"/>
        </w:rPr>
        <w:t>with statement</w:t>
        <w:t xml:space="preserve">, </w:t>
      </w:r>
      <w:hyperlink w:anchor="idm45965270602496">
        <w:r>
          <w:t>The with Statement</w:t>
        </w:r>
      </w:hyperlink>
      <w:r>
        <w:rPr>
          <w:rStyle w:val="Text2"/>
        </w:rPr>
        <w:t xml:space="preserve">, </w:t>
      </w:r>
      <w:hyperlink w:anchor="with06">
        <w:r>
          <w:t>The with Statement and Context Managers</w:t>
        </w:r>
      </w:hyperlink>
      <w:r>
        <w:rPr>
          <w:rStyle w:val="Text2"/>
        </w:rPr>
        <w:t>-</w:t>
      </w:r>
      <w:hyperlink w:anchor="idm45965257158704">
        <w:r>
          <w:t>The with Statement and Context Managers</w:t>
        </w:r>
      </w:hyperlink>
      <w:r>
        <w:rPr>
          <w:rStyle w:val="Text2"/>
        </w:rPr>
        <w:t xml:space="preserve">, </w:t>
      </w:r>
      <w:hyperlink w:anchor="idm45965206376320">
        <w:r>
          <w:t>Creating a File Object with open</w:t>
        </w:r>
      </w:hyperlink>
      <w:r>
        <w:rPr>
          <w:rStyle w:val="Text2"/>
        </w:rPr>
        <w:t xml:space="preserve">, </w:t>
      </w:r>
      <w:hyperlink w:anchor="idm45965177429968">
        <w:r>
          <w:t>Socket Objects</w:t>
        </w:r>
      </w:hyperlink>
    </w:p>
    <w:p>
      <w:pPr>
        <w:pStyle w:val="Para 004"/>
      </w:pPr>
      <w:r>
        <w:rPr>
          <w:rStyle w:val="Text2"/>
        </w:rPr>
        <w:t>with open</w:t>
        <w:t xml:space="preserve">, </w:t>
      </w:r>
      <w:hyperlink w:anchor="idm45965206289056">
        <w:r>
          <w:t>Creating a File Object with open</w:t>
        </w:r>
      </w:hyperlink>
    </w:p>
    <w:p>
      <w:pPr>
        <w:pStyle w:val="Para 004"/>
      </w:pPr>
      <w:r>
        <w:rPr>
          <w:rStyle w:val="Text2"/>
        </w:rPr>
        <w:t>worker threads</w:t>
        <w:t xml:space="preserve">, </w:t>
      </w:r>
      <w:hyperlink w:anchor="idm45965189907456">
        <w:r>
          <w:t>Threaded Program Architecture</w:t>
        </w:r>
      </w:hyperlink>
    </w:p>
    <w:p>
      <w:pPr>
        <w:pStyle w:val="Para 003"/>
      </w:pPr>
      <w:r>
        <w:t>workgroups (PSF)</w:t>
        <w:t xml:space="preserve">, </w:t>
      </w:r>
      <w:hyperlink w:anchor="idm45965284042288">
        <w:r>
          <w:rPr>
            <w:rStyle w:val="Text1"/>
          </w:rPr>
          <w:t>Workgroups</w:t>
        </w:r>
      </w:hyperlink>
    </w:p>
    <w:p>
      <w:pPr>
        <w:pStyle w:val="Para 004"/>
      </w:pPr>
      <w:r>
        <w:rPr>
          <w:rStyle w:val="Text2"/>
        </w:rPr>
        <w:t>wrap (textwrap module)</w:t>
        <w:t xml:space="preserve">, </w:t>
      </w:r>
      <w:hyperlink w:anchor="idm45965209434832">
        <w:r>
          <w:t>Text Wrapping and Filling</w:t>
        </w:r>
      </w:hyperlink>
    </w:p>
    <w:p>
      <w:pPr>
        <w:pStyle w:val="Para 004"/>
      </w:pPr>
      <w:r>
        <w:rPr>
          <w:rStyle w:val="Text2"/>
        </w:rPr>
        <w:t>wrapping</w:t>
        <w:t xml:space="preserve">, </w:t>
      </w:r>
      <w:hyperlink w:anchor="idm45965209455520">
        <w:r>
          <w:t>Text Wrapping and Filling</w:t>
        </w:r>
      </w:hyperlink>
      <w:r>
        <w:rPr>
          <w:rStyle w:val="Text2"/>
        </w:rPr>
        <w:t xml:space="preserve">, </w:t>
      </w:r>
      <w:hyperlink w:anchor="idm45965206381488">
        <w:r>
          <w:t>The io Module</w:t>
        </w:r>
      </w:hyperlink>
    </w:p>
    <w:p>
      <w:pPr>
        <w:pStyle w:val="Para 003"/>
      </w:pPr>
      <w:r>
        <w:t>wraps (functools module)</w:t>
        <w:t xml:space="preserve">, </w:t>
      </w:r>
      <w:hyperlink w:anchor="idm45965277355392">
        <w:r>
          <w:rPr>
            <w:rStyle w:val="Text1"/>
          </w:rPr>
          <w:t>The functools Module</w:t>
        </w:r>
      </w:hyperlink>
    </w:p>
    <w:p>
      <w:pPr>
        <w:pStyle w:val="Para 004"/>
      </w:pPr>
      <w:r>
        <w:rPr>
          <w:rStyle w:val="Text2"/>
        </w:rPr>
        <w:t>write (file method)</w:t>
        <w:t xml:space="preserve">, </w:t>
      </w:r>
      <w:hyperlink w:anchor="idm45965206039936">
        <w:r>
          <w:t>Attributes and Methods of File Objects</w:t>
        </w:r>
      </w:hyperlink>
    </w:p>
    <w:p>
      <w:pPr>
        <w:pStyle w:val="Para 004"/>
      </w:pPr>
      <w:r>
        <w:rPr>
          <w:rStyle w:val="Text2"/>
        </w:rPr>
        <w:t>writelines (file method)</w:t>
        <w:t xml:space="preserve">, </w:t>
      </w:r>
      <w:hyperlink w:anchor="idm45965206019728">
        <w:r>
          <w:t>Attributes and Methods of File Objects</w:t>
        </w:r>
      </w:hyperlink>
    </w:p>
    <w:p>
      <w:pPr>
        <w:pStyle w:val="Para 003"/>
      </w:pPr>
      <w:r>
        <w:t>write_bytes (pathlib.Path class)</w:t>
        <w:t xml:space="preserve">, </w:t>
      </w:r>
      <w:hyperlink w:anchor="idm45965202671552">
        <w:r>
          <w:rPr>
            <w:rStyle w:val="Text1"/>
          </w:rPr>
          <w:t>The pathlib Module</w:t>
        </w:r>
      </w:hyperlink>
    </w:p>
    <w:p>
      <w:pPr>
        <w:pStyle w:val="Para 003"/>
      </w:pPr>
      <w:r>
        <w:t>write_history_file (readline module)</w:t>
        <w:t xml:space="preserve">, </w:t>
      </w:r>
      <w:hyperlink w:anchor="idm45965201553792">
        <w:r>
          <w:rPr>
            <w:rStyle w:val="Text1"/>
          </w:rPr>
          <w:t>The readline Module</w:t>
        </w:r>
      </w:hyperlink>
    </w:p>
    <w:p>
      <w:pPr>
        <w:pStyle w:val="Para 003"/>
      </w:pPr>
      <w:r>
        <w:t>write_text (pathlib.Path class)</w:t>
        <w:t xml:space="preserve">, </w:t>
      </w:r>
      <w:hyperlink w:anchor="idm45965202664768">
        <w:r>
          <w:rPr>
            <w:rStyle w:val="Text1"/>
          </w:rPr>
          <w:t>The pathlib Module</w:t>
        </w:r>
      </w:hyperlink>
    </w:p>
    <w:p>
      <w:pPr>
        <w:pStyle w:val="Para 003"/>
      </w:pPr>
      <w:r>
        <w:t>WSGI (Web Server Gateway Interface)</w:t>
        <w:t xml:space="preserve">, </w:t>
      </w:r>
      <w:hyperlink w:anchor="wsgi20">
        <w:r>
          <w:rPr>
            <w:rStyle w:val="Text1"/>
          </w:rPr>
          <w:t>WSGI</w:t>
        </w:r>
      </w:hyperlink>
      <w:r>
        <w:t>-</w:t>
      </w:r>
      <w:hyperlink w:anchor="idm45965174897472">
        <w:r>
          <w:rPr>
            <w:rStyle w:val="Text1"/>
          </w:rPr>
          <w:t>ASGI</w:t>
        </w:r>
      </w:hyperlink>
    </w:p>
    <w:p>
      <w:pPr>
        <w:keepNext/>
        <w:pStyle w:val="Heading 3"/>
      </w:pPr>
      <w:r>
        <w:t>X</w:t>
      </w:r>
    </w:p>
    <w:p>
      <w:pPr>
        <w:pStyle w:val="Para 003"/>
      </w:pPr>
      <w:r>
        <w:t>XHTML (Extensible HyperText Markup Language)</w:t>
        <w:t xml:space="preserve">, </w:t>
      </w:r>
      <w:hyperlink w:anchor="idm45965171975040">
        <w:r>
          <w:rPr>
            <w:rStyle w:val="Text1"/>
          </w:rPr>
          <w:t>Structured Text: HTML</w:t>
        </w:r>
      </w:hyperlink>
    </w:p>
    <w:p>
      <w:pPr>
        <w:pStyle w:val="Para 004"/>
      </w:pPr>
      <w:r>
        <w:rPr>
          <w:rStyle w:val="Text2"/>
        </w:rPr>
        <w:t>XML (eXtensible Markup Language)</w:t>
        <w:t xml:space="preserve">, </w:t>
      </w:r>
      <w:hyperlink w:anchor="idm45965171978368">
        <w:r>
          <w:t>Structured Text: HTML</w:t>
        </w:r>
      </w:hyperlink>
      <w:r>
        <w:rPr>
          <w:rStyle w:val="Text2"/>
        </w:rPr>
        <w:t xml:space="preserve">, </w:t>
      </w:r>
      <w:hyperlink w:anchor="idm45965169203584">
        <w:r>
          <w:t>Structured Text: XML</w:t>
        </w:r>
      </w:hyperlink>
    </w:p>
    <w:p>
      <w:pPr>
        <w:pStyle w:val="Para 003"/>
      </w:pPr>
      <w:r>
        <w:t>XML-RPC (Extensible Markup Language remote procedure call) protocol</w:t>
        <w:t xml:space="preserve">, </w:t>
      </w:r>
      <w:hyperlink w:anchor="idm45965174992464">
        <w:r>
          <w:rPr>
            <w:rStyle w:val="Text1"/>
          </w:rPr>
          <w:t>Other Network Protocols</w:t>
        </w:r>
      </w:hyperlink>
    </w:p>
    <w:p>
      <w:pPr>
        <w:pStyle w:val="Para 003"/>
      </w:pPr>
      <w:r>
        <w:t>xml.etree.ElementTree module</w:t>
        <w:t xml:space="preserve">, </w:t>
      </w:r>
      <w:hyperlink w:anchor="idm45965169148144">
        <w:r>
          <w:rPr>
            <w:rStyle w:val="Text1"/>
          </w:rPr>
          <w:t>ElementTree</w:t>
        </w:r>
      </w:hyperlink>
    </w:p>
    <w:p>
      <w:pPr>
        <w:keepNext/>
        <w:pStyle w:val="Heading 3"/>
      </w:pPr>
      <w:r>
        <w:t>Y</w:t>
      </w:r>
    </w:p>
    <w:p>
      <w:pPr>
        <w:pStyle w:val="Para 003"/>
      </w:pPr>
      <w:r>
        <w:t>yield from expression</w:t>
        <w:t xml:space="preserve">, </w:t>
      </w:r>
      <w:hyperlink w:anchor="idm45965259327200">
        <w:r>
          <w:rPr>
            <w:rStyle w:val="Text1"/>
          </w:rPr>
          <w:t>yield from</w:t>
        </w:r>
      </w:hyperlink>
    </w:p>
    <w:p>
      <w:pPr>
        <w:keepNext/>
        <w:pStyle w:val="Heading 3"/>
      </w:pPr>
      <w:r>
        <w:t>Z</w:t>
      </w:r>
    </w:p>
    <w:p>
      <w:pPr>
        <w:pStyle w:val="Para 003"/>
      </w:pPr>
      <w:r>
        <w:t>zero normalization (z) (f-strings)</w:t>
        <w:t xml:space="preserve">, </w:t>
      </w:r>
      <w:hyperlink w:anchor="idm45965210952976">
        <w:r>
          <w:rPr>
            <w:rStyle w:val="Text1"/>
          </w:rPr>
          <w:t>Zero normalization (z)</w:t>
        </w:r>
      </w:hyperlink>
    </w:p>
    <w:p>
      <w:pPr>
        <w:pStyle w:val="Para 003"/>
      </w:pPr>
      <w:r>
        <w:t>zip (built-in function)</w:t>
        <w:t xml:space="preserve">, </w:t>
      </w:r>
      <w:hyperlink w:anchor="idm45965215168288">
        <w:r>
          <w:rPr>
            <w:rStyle w:val="Text1"/>
          </w:rPr>
          <w:t>Built-in Functions</w:t>
        </w:r>
      </w:hyperlink>
    </w:p>
    <w:p>
      <w:pPr>
        <w:pStyle w:val="Para 003"/>
      </w:pPr>
      <w:r>
        <w:t>ZipFile class (zipfile module)</w:t>
        <w:t xml:space="preserve">, </w:t>
      </w:r>
      <w:hyperlink w:anchor="idm45965204941296">
        <w:r>
          <w:rPr>
            <w:rStyle w:val="Text1"/>
          </w:rPr>
          <w:t>The ZipFile class</w:t>
        </w:r>
      </w:hyperlink>
    </w:p>
    <w:p>
      <w:pPr>
        <w:pStyle w:val="Para 004"/>
      </w:pPr>
      <w:r>
        <w:rPr>
          <w:rStyle w:val="Text2"/>
        </w:rPr>
        <w:t>zipfile module</w:t>
        <w:t xml:space="preserve">, </w:t>
      </w:r>
      <w:hyperlink w:anchor="zipmod11">
        <w:r>
          <w:t>The zipfile Module</w:t>
        </w:r>
      </w:hyperlink>
      <w:r>
        <w:rPr>
          <w:rStyle w:val="Text2"/>
        </w:rPr>
        <w:t>-</w:t>
      </w:r>
      <w:hyperlink w:anchor="idm45965204537232">
        <w:r>
          <w:t>The ZipInfo class</w:t>
        </w:r>
      </w:hyperlink>
    </w:p>
    <w:p>
      <w:pPr>
        <w:pStyle w:val="Para 003"/>
      </w:pPr>
      <w:r>
        <w:t>ZipInfo class (zipfile module)</w:t>
        <w:t xml:space="preserve">, </w:t>
      </w:r>
      <w:hyperlink w:anchor="idm45965204578480">
        <w:r>
          <w:rPr>
            <w:rStyle w:val="Text1"/>
          </w:rPr>
          <w:t>The ZipInfo class</w:t>
        </w:r>
      </w:hyperlink>
    </w:p>
    <w:p>
      <w:pPr>
        <w:pStyle w:val="Para 003"/>
      </w:pPr>
      <w:r>
        <w:t>zip_longest (itertools module)</w:t>
        <w:t xml:space="preserve">, </w:t>
      </w:r>
      <w:hyperlink w:anchor="idm45965212907424">
        <w:r>
          <w:rPr>
            <w:rStyle w:val="Text1"/>
          </w:rPr>
          <w:t>The itertools Module</w:t>
        </w:r>
      </w:hyperlink>
    </w:p>
    <w:p>
      <w:pPr>
        <w:pStyle w:val="Para 004"/>
      </w:pPr>
      <w:r>
        <w:rPr>
          <w:rStyle w:val="Text2"/>
        </w:rPr>
        <w:t>zoneinfo module</w:t>
        <w:t xml:space="preserve">, </w:t>
      </w:r>
      <w:hyperlink w:anchor="idm45965195741712">
        <w:r>
          <w:t>The zoneinfo Module</w:t>
        </w:r>
      </w:hyperlink>
    </w:p>
    <w:p>
      <w:bookmarkStart w:id="4560" w:name="Top_of_colophon01_html"/>
      <w:bookmarkStart w:id="4561" w:name="About_the_Authors__Alex_Martelli_1"/>
      <w:bookmarkStart w:id="4562" w:name="About_the_Authors__Alex_Martelli"/>
      <w:bookmarkStart w:id="4563" w:name="About_the_Authors__Alex_Martelli_2"/>
      <w:pPr>
        <w:keepNext/>
        <w:pStyle w:val="Heading 1"/>
        <w:pageBreakBefore w:val="on"/>
      </w:pPr>
      <w:r>
        <w:t>About the Authors</w:t>
      </w:r>
      <w:bookmarkEnd w:id="4560"/>
      <w:bookmarkEnd w:id="4561"/>
      <w:bookmarkEnd w:id="4562"/>
      <w:bookmarkEnd w:id="4563"/>
    </w:p>
    <w:p>
      <w:pPr>
        <w:pStyle w:val="Normal"/>
      </w:pPr>
      <w:r>
        <w:rPr>
          <w:rStyle w:val="Text37"/>
        </w:rPr>
        <w:t>Alex Martelli</w:t>
      </w:r>
      <w:r>
        <w:t xml:space="preserve"> has been programming for 40 years, mainly in Python for the recent half of that time. He wrote the first two editions of Python in a Nutshell, and coauthored the first two editions of the </w:t>
      </w:r>
      <w:r>
        <w:rPr>
          <w:rStyle w:val="Text4"/>
        </w:rPr>
        <w:t>Python Cookbook</w:t>
      </w:r>
      <w:r>
        <w:t xml:space="preserve"> and the third edition of </w:t>
      </w:r>
      <w:r>
        <w:rPr>
          <w:rStyle w:val="Text4"/>
        </w:rPr>
        <w:t>Python in a Nutshell</w:t>
      </w:r>
      <w:r>
        <w:t>. He is a PSF Fellow and Core Committer (emeritus), and won the 2002 Activators’ Choice Award and the 2006 Frank Willison Memorial Award for contributions to the Python community. He is active on Stack Overflow and a frequent speaker at technical conferences. He’s been living in Silicon Valley with his wife Anna for 17 years, and working at Google throughout this time, currently as Senior Staff Engineer in Google Cloud Tech Support.</w:t>
      </w:r>
    </w:p>
    <w:p>
      <w:pPr>
        <w:pStyle w:val="Normal"/>
      </w:pPr>
      <w:r>
        <w:rPr>
          <w:rStyle w:val="Text37"/>
        </w:rPr>
        <w:t>Anna Martelli Ravenscroft</w:t>
      </w:r>
      <w:r>
        <w:t xml:space="preserve"> is a PSF Fellow and winner of the 2013 Frank Willison Memorial Award for contributions to the Python community. She coauthored the second edition of the </w:t>
      </w:r>
      <w:r>
        <w:rPr>
          <w:rStyle w:val="Text4"/>
        </w:rPr>
        <w:t>Python Cookbook</w:t>
      </w:r>
      <w:r>
        <w:t xml:space="preserve"> and third edition of </w:t>
      </w:r>
      <w:r>
        <w:rPr>
          <w:rStyle w:val="Text4"/>
        </w:rPr>
        <w:t>Python in a Nutshell</w:t>
      </w:r>
      <w:r>
        <w:t>. She has been a technical reviewer for many Python books and is a regular speaker and track chair at technical conferences. Anna lives in Silicon Valley with her husband Alex, two dogs, one cat, and several chickens.</w:t>
      </w:r>
    </w:p>
    <w:p>
      <w:pPr>
        <w:pStyle w:val="Normal"/>
      </w:pPr>
      <w:r>
        <w:t xml:space="preserve">Passionate about programming and community, </w:t>
      </w:r>
      <w:r>
        <w:rPr>
          <w:rStyle w:val="Text37"/>
        </w:rPr>
        <w:t>Steve Holden</w:t>
      </w:r>
      <w:r>
        <w:t xml:space="preserve"> has worked with computers since 1967 and started using Python at version 1.4 in 1995. He has since written about Python, created instructor-led training, delivered it to an international audience, and built 40 hours of video training for “reluctant Python users.” An Emeritus Fellow of the Python Software Foundation, Steve served as a director of the Foundation for eight years and as its chairman for three; he created PyCon, the Python community’s international conference series, and was presented with the 2007 Frank Willison Memorial Award for services to the Python community. He lives in Hastings, England, and works as Technical Architect for the UK Department for International Trade, where he is responsible for the systems that maintain and regulate the trading environment.</w:t>
      </w:r>
    </w:p>
    <w:p>
      <w:pPr>
        <w:pStyle w:val="Normal"/>
      </w:pPr>
      <w:r>
        <w:rPr>
          <w:rStyle w:val="Text37"/>
        </w:rPr>
        <w:t>Paul McGuire</w:t>
      </w:r>
      <w:r>
        <w:t xml:space="preserve"> has been programming for 40+ years, in languages ranging from FORTRAN to Pascal, PL/I, COBOL, Smalltalk, Java, C/C++/C#, and Tcl, settling on Python as his language of choice in 2001. He is a PSF Fellow, and is the author and maintainer of the popular pyparsing module, as well as littletable and plusminus. Paul authored the O’Reilly book </w:t>
      </w:r>
      <w:r>
        <w:rPr>
          <w:rStyle w:val="Text4"/>
        </w:rPr>
        <w:t>Getting Started with Pyparsing</w:t>
      </w:r>
      <w:r>
        <w:t xml:space="preserve">, and has written and edited articles for </w:t>
      </w:r>
      <w:r>
        <w:rPr>
          <w:rStyle w:val="Text4"/>
        </w:rPr>
        <w:t>Python Magazine</w:t>
      </w:r>
      <w:r>
        <w:t>. He has also spoken at PyCon, PyTexas, and at the Austin Python User’s Group, and is active on StackOverflow. Paul now lives in Austin, Texas, with his wife and dog, and works for Indeed as a Site Reliability Engineer, helping people get jobs!</w:t>
      </w:r>
    </w:p>
    <w:p>
      <w:bookmarkStart w:id="4564" w:name="Top_of_colophon02_html"/>
      <w:bookmarkStart w:id="4565" w:name="Colophon__The_animal_on_the_cove"/>
      <w:bookmarkStart w:id="4566" w:name="Colophon__The_animal_on_the_cove_2"/>
      <w:bookmarkStart w:id="4567" w:name="Colophon__The_animal_on_the_cove_1"/>
      <w:pPr>
        <w:keepNext/>
        <w:pStyle w:val="Heading 1"/>
        <w:pageBreakBefore w:val="on"/>
      </w:pPr>
      <w:r>
        <w:t>Colophon</w:t>
      </w:r>
      <w:bookmarkEnd w:id="4564"/>
      <w:bookmarkEnd w:id="4565"/>
      <w:bookmarkEnd w:id="4566"/>
      <w:bookmarkEnd w:id="4567"/>
    </w:p>
    <w:p>
      <w:pPr>
        <w:pStyle w:val="Normal"/>
      </w:pPr>
      <w:r>
        <w:t xml:space="preserve">The animal on the cover of </w:t>
      </w:r>
      <w:r>
        <w:rPr>
          <w:rStyle w:val="Text4"/>
        </w:rPr>
        <w:t>Python in a Nutshell</w:t>
      </w:r>
      <w:r>
        <w:t>, fourth edition, is an African rock python (</w:t>
      </w:r>
      <w:r>
        <w:rPr>
          <w:rStyle w:val="Text4"/>
        </w:rPr>
        <w:t>Python sebae</w:t>
      </w:r>
      <w:r>
        <w:t>), one of the six largest snake species in the world. They are native to sub-Saharan Africa, but can also be found in other parts of the world. They can live in a wide range of habitats from temperate forests and grasslands to tropical savanna and forests. While they live mainly on the ground, they are also excellent swimmers and climbers and like to live near areas with a permanent water source. Additionally, they can be found near human settlements due to the presence of rats, mice, and other vermin.</w:t>
      </w:r>
    </w:p>
    <w:p>
      <w:pPr>
        <w:pStyle w:val="Normal"/>
      </w:pPr>
      <w:r>
        <w:t>The average size of this species of python is between ten and thirteen feet. They have large, stout bodies covered in colored blotches and irregular stripes, varying in color between brown, olive, chestnut, and yellow, fading to white on their underside. African rock pythons have triangular heads with a brown spearhead shape on top, outlined in yellow.</w:t>
      </w:r>
    </w:p>
    <w:p>
      <w:pPr>
        <w:pStyle w:val="Normal"/>
      </w:pPr>
      <w:r>
        <w:t>Pythons are nonvenomous constrictor snakes that kill their prey by suffocation. While the snake’s sharp teeth grip and hold the prey in place, the python’s long body coils around its victim’s chest, constricting tighter each time it exhales. African rock pythons feed on a wide range of mammals and birds, such as rodents, lizards, vultures, fowl, dogs, and goats. Python attacks on humans are extremely rare and only occur when provoked.</w:t>
      </w:r>
    </w:p>
    <w:p>
      <w:pPr>
        <w:pStyle w:val="Normal"/>
      </w:pPr>
      <w:r>
        <w:t>African rock pythons are not endangered, but there are threats to their species due to habitat loss, hunting, and the pet trade. Many of the animals on O’Reilly covers are endangered; all of them are important to the world.</w:t>
      </w:r>
    </w:p>
    <w:p>
      <w:pPr>
        <w:pStyle w:val="Normal"/>
      </w:pPr>
      <w:r>
        <w:t>The cover image is by Karen Montgomery, based on a black and white 19th-century engraving from the Dover Pictorial Archive.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MyriadPro"/>
  <w:font w:name="Noto"/>
  <w:font w:name="Noto Serif"/>
  <w:font w:name="Ubuntu"/>
  <w:font w:name="Ubuntu Mono"/>
  <w:font w:name="Ubuntu Mono Bold"/>
  <w:font w:name="Ubuntu Mono BoldItal"/>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lvl w:ilvl="1">
      <w:start w:val="1"/>
      <w:numFmt w:val="lowerLetter"/>
      <w:lvlText w:val="%2."/>
      <w:lvlJc w:val="left"/>
      <w:pPr>
        <w:ind w:hanging="360" w:left="151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lowerLetter"/>
      <w:lvlText w:val="%1."/>
      <w:lvlJc w:val="left"/>
      <w:pPr>
        <w:ind w:hanging="360" w:left="1152"/>
      </w:pPr>
    </w:lvl>
  </w:abstractNum>
  <w:abstractNum w:abstractNumId="4">
    <w:multiLevelType w:val="hybridMultilevel"/>
    <w:name w:val="List 5"/>
    <w:lvl w:ilvl="0">
      <w:start w:val="1"/>
      <w:numFmt w:val="lowerLetter"/>
      <w:lvlText w:val="%1."/>
      <w:lvlJc w:val="left"/>
      <w:pPr>
        <w:ind w:hanging="360" w:left="115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01" w:type="paragraph">
    <w:name w:val="Para 001"/>
    <w:qFormat/>
    <w:basedOn w:val="Normal"/>
    <w:pPr>
      <w:spacing w:after="0"/>
      <w:pBdr>
        <w:left w:val="none" w:sz="0" w:color="auto"/>
        <w:top w:val="none" w:sz="0" w:color="auto"/>
        <w:right w:val="none" w:sz="0" w:color="auto"/>
        <w:bottom w:val="none" w:sz="0" w:color="auto"/>
      </w:pBdr>
    </w:pPr>
    <w:rPr>
      <w:rFonts w:ascii="Ubuntu Mono" w:cs="Ubuntu Mono" w:eastAsia="Ubuntu Mono" w:hAnsi="Ubuntu Mono"/>
    </w:rPr>
  </w:style>
  <w:style w:styleId="Para 002" w:type="paragraph">
    <w:name w:val="Para 002"/>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03" w:type="paragraph">
    <w:name w:val="Para 0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04" w:type="paragraph">
    <w:name w:val="Para 004"/>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06" w:type="paragraph">
    <w:name w:val="Para 006"/>
    <w:qFormat/>
    <w:basedOn w:val="Normal"/>
    <w:pPr>
      <w:spacing w:after="0"/>
      <w:pBdr>
        <w:left w:val="none" w:sz="0" w:color="auto"/>
        <w:top w:val="none" w:sz="0" w:color="auto"/>
        <w:right w:val="none" w:sz="0" w:color="auto"/>
        <w:bottom w:val="none" w:sz="0" w:color="auto"/>
      </w:pBdr>
      <w:jc w:val="center"/>
    </w:pPr>
    <w:rPr>
      <w:b w:val="on"/>
      <w:bCs w:val="on"/>
    </w:rPr>
  </w:style>
  <w:style w:styleId="Para 007" w:type="paragraph">
    <w:name w:val="Para 0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08" w:type="paragraph">
    <w:name w:val="Para 008"/>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10" w:type="paragraph">
    <w:name w:val="Para 0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1" w:type="paragraph">
    <w:name w:val="Para 011"/>
    <w:qFormat/>
    <w:basedOn w:val="Normal"/>
    <w:pPr>
      <w:spacing w:line="360" w:lineRule="atLeast"/>
      <w:shd w:val="clear" w:color="auto" w:fill="FFFFFF"/>
    </w:pPr>
    <w:rPr>
      <w:sz w:val="18"/>
      <w:szCs w:val="18"/>
    </w:rPr>
  </w:style>
  <w:style w:styleId="Para 012" w:type="paragraph">
    <w:name w:val="Para 012"/>
    <w:qFormat/>
    <w:basedOn w:val="Normal"/>
    <w:pPr>
      <w:spacing w:line="349" w:lineRule="atLeast"/>
    </w:pPr>
    <w:rPr>
      <w:sz w:val="19"/>
      <w:szCs w:val="19"/>
    </w:rPr>
  </w:style>
  <w:style w:styleId="Para 013" w:type="paragraph">
    <w:name w:val="Para 013"/>
    <w:qFormat/>
    <w:basedOn w:val="Normal"/>
    <w:pPr>
      <w:spacing w:after="0"/>
      <w:pBdr>
        <w:left w:val="none" w:sz="0" w:color="auto"/>
        <w:top w:val="none" w:sz="0" w:color="auto"/>
        <w:right w:val="none" w:sz="0" w:color="auto"/>
        <w:bottom w:val="none" w:sz="0" w:color="auto"/>
      </w:pBdr>
    </w:pPr>
    <w:rPr>
      <w:b w:val="on"/>
      <w:bCs w:val="on"/>
    </w:rPr>
  </w:style>
  <w:style w:styleId="Para 014" w:type="paragraph">
    <w:name w:val="Para 014"/>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5586C"/>
      <w:shd w:fill="EEF2F6"/>
    </w:rPr>
  </w:style>
  <w:style w:styleId="Para 015" w:type="paragraph">
    <w:name w:val="Para 015"/>
    <w:qFormat/>
    <w:basedOn w:val="Normal"/>
    <w:pPr>
      <w:spacing w:line="349" w:lineRule="atLeast"/>
      <w:ind w:hangingChars="229"/>
    </w:pPr>
    <w:rPr>
      <w:sz w:val="19"/>
      <w:szCs w:val="19"/>
    </w:rPr>
  </w:style>
  <w:style w:styleId="Para 016" w:type="paragraph">
    <w:name w:val="Para 016"/>
    <w:qFormat/>
    <w:basedOn w:val="Normal"/>
    <w:pPr>
      <w:spacing w:after="0" w:line="360" w:lineRule="atLeast"/>
      <w:ind w:leftChars="150"/>
    </w:pPr>
    <w:rPr>
      <w:rFonts w:ascii="Cambria" w:cs="Cambria" w:eastAsia="Cambria" w:hAnsi="Cambria"/>
    </w:rPr>
  </w:style>
  <w:style w:styleId="Para 017" w:type="paragraph">
    <w:name w:val="Para 017"/>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8" w:type="paragraph">
    <w:name w:val="Para 0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020" w:type="paragraph">
    <w:name w:val="Para 02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021" w:type="paragraph">
    <w:name w:val="Para 021"/>
    <w:qFormat/>
    <w:basedOn w:val="Normal"/>
    <w:pPr>
      <w:spacing w:after="0"/>
      <w:pBdr>
        <w:left w:val="none" w:sz="0" w:color="auto"/>
        <w:top w:val="none" w:sz="0" w:color="auto"/>
        <w:right w:val="none" w:sz="0" w:color="auto"/>
        <w:bottom w:val="none" w:sz="0" w:color="auto"/>
      </w:pBdr>
    </w:pPr>
    <w:rPr>
      <w:rFonts w:ascii="Ubuntu Mono Bold" w:cs="Ubuntu Mono Bold" w:eastAsia="Ubuntu Mono Bold" w:hAnsi="Ubuntu Mono Bold"/>
      <w:b w:val="on"/>
      <w:bCs w:val="on"/>
    </w:rPr>
  </w:style>
  <w:style w:styleId="Para 022" w:type="paragraph">
    <w:name w:val="Para 022"/>
    <w:qFormat/>
    <w:basedOn w:val="Normal"/>
    <w:pPr>
      <w:spacing w:after="0"/>
      <w:pBdr>
        <w:left w:space="10"/>
        <w:top w:space="10"/>
        <w:right w:space="10"/>
        <w:bottom w:space="10"/>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3" w:type="paragraph">
    <w:name w:val="Para 02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4" w:type="paragraph">
    <w:name w:val="Para 024"/>
    <w:qFormat/>
    <w:basedOn w:val="Normal"/>
    <w:pPr>
      <w:spacing w:after="0"/>
    </w:pPr>
    <w:rPr>
      <w:rFonts w:ascii="Ubuntu Mono" w:cs="Ubuntu Mono" w:eastAsia="Ubuntu Mono" w:hAnsi="Ubuntu Mono"/>
    </w:rPr>
  </w:style>
  <w:style w:styleId="Para 025" w:type="paragraph">
    <w:name w:val="Para 025"/>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EEF2F6"/>
    </w:rPr>
  </w:style>
  <w:style w:styleId="Para 026" w:type="paragraph">
    <w:name w:val="Para 026"/>
    <w:qFormat/>
    <w:basedOn w:val="Normal"/>
    <w:pPr>
      <w:spacing w:after="0"/>
      <w:pBdr>
        <w:left w:val="none" w:sz="0" w:color="auto"/>
        <w:top w:val="none" w:sz="0" w:color="auto"/>
        <w:right w:val="none" w:sz="0" w:color="auto"/>
        <w:bottom w:val="none" w:sz="0" w:color="auto"/>
      </w:pBdr>
    </w:pPr>
    <w:rPr>
      <w:rFonts w:ascii="Ubuntu Mono Ital" w:cs="Ubuntu Mono Ital" w:eastAsia="Ubuntu Mono Ital" w:hAnsi="Ubuntu Mono Ital"/>
      <w:i w:val="on"/>
      <w:iCs w:val="on"/>
    </w:rPr>
  </w:style>
  <w:style w:styleId="Heading 6" w:type="paragraph">
    <w:name w:val="Heading 6"/>
    <w:qFormat/>
    <w:basedOn w:val="Normal"/>
    <w:pPr>
      <w:spacing w:before="119" w:after="59" w:line="179" w:lineRule="atLeast"/>
      <w:pBdr>
        <w:left w:val="none" w:sz="8" w:color="auto"/>
        <w:top w:val="none" w:sz="8" w:color="auto"/>
        <w:right w:val="none" w:sz="8" w:color="auto"/>
        <w:bottom w:val="none" w:sz="8" w:color="auto"/>
      </w:pBdr>
      <w:outlineLvl w:val="6"/>
    </w:pPr>
    <w:rPr>
      <w:rFonts w:ascii="Guardian" w:cs="Guardian" w:eastAsia="Guardian" w:hAnsi="Guardian"/>
      <w:sz w:val="14"/>
      <w:szCs w:val="14"/>
      <w:b w:val="on"/>
      <w:bCs w:val="on"/>
      <w:color w:val="AA8F00"/>
      <w:caps w:val="on"/>
      <w:spacing w:val="8"/>
    </w:rPr>
  </w:style>
  <w:style w:styleId="Para 028" w:type="paragraph">
    <w:name w:val="Para 028"/>
    <w:qFormat/>
    <w:basedOn w:val="Normal"/>
    <w:pPr>
      <w:spacing w:after="0" w:line="360" w:lineRule="atLeast"/>
      <w:ind w:leftChars="15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9" w:type="paragraph">
    <w:name w:val="Para 029"/>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FFFFFF"/>
    </w:rPr>
  </w:style>
  <w:style w:styleId="Para 030" w:type="paragraph">
    <w:name w:val="Para 030"/>
    <w:qFormat/>
    <w:basedOn w:val="Normal"/>
    <w:pPr>
      <w:spacing w:after="0"/>
    </w:pPr>
    <w:rPr>
      <w:rFonts w:ascii="Ubuntu Mono" w:cs="Ubuntu Mono" w:eastAsia="Ubuntu Mono" w:hAnsi="Ubuntu Mono"/>
    </w:rPr>
  </w:style>
  <w:style w:styleId="Para 031" w:type="paragraph">
    <w:name w:val="Para 031"/>
    <w:qFormat/>
    <w:basedOn w:val="Normal"/>
    <w:pPr>
      <w:spacing w:after="0"/>
    </w:pPr>
    <w:rPr>
      <w:color w:val="0000FF"/>
      <w:u w:val="single"/>
    </w:rPr>
  </w:style>
  <w:style w:styleId="Para 032" w:type="paragraph">
    <w:name w:val="Para 032"/>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000088"/>
      <w:shd w:fill="EEF2F6"/>
    </w:rPr>
  </w:style>
  <w:style w:styleId="Para 033" w:type="paragraph">
    <w:name w:val="Para 03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Ubuntu Mono Bold" w:cs="Ubuntu Mono Bold" w:eastAsia="Ubuntu Mono Bold" w:hAnsi="Ubuntu Mono Bold"/>
      <w:b w:val="on"/>
      <w:bCs w:val="on"/>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035" w:type="paragraph">
    <w:name w:val="Para 035"/>
    <w:qFormat/>
    <w:basedOn w:val="Normal"/>
    <w:pPr>
      <w:spacing w:before="205" w:line="349" w:lineRule="atLeast"/>
      <w:ind w:hangingChars="229"/>
    </w:pPr>
    <w:rPr>
      <w:sz w:val="19"/>
      <w:szCs w:val="19"/>
    </w:rPr>
  </w:style>
  <w:style w:styleId="Para 036" w:type="paragraph">
    <w:name w:val="Para 036"/>
    <w:qFormat/>
    <w:basedOn w:val="Normal"/>
    <w:pPr>
      <w:spacing w:before="205" w:after="0" w:line="349" w:lineRule="atLeast"/>
      <w:ind w:hangingChars="229"/>
      <w:pBdr>
        <w:left w:space="9"/>
      </w:pBdr>
    </w:pPr>
    <w:rPr>
      <w:sz w:val="19"/>
      <w:szCs w:val="19"/>
    </w:rPr>
  </w:style>
  <w:style w:styleId="Para 037" w:type="paragraph">
    <w:name w:val="Para 037"/>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006699"/>
      <w:shd w:fill="EEF2F6"/>
    </w:rPr>
  </w:style>
  <w:style w:styleId="Para 038" w:type="paragraph">
    <w:name w:val="Para 03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9" w:type="paragraph">
    <w:name w:val="Para 03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555555"/>
      <w:shd w:fill="EEF2F6"/>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41" w:type="paragraph">
    <w:name w:val="Para 041"/>
    <w:qFormat/>
    <w:basedOn w:val="Normal"/>
    <w:pPr>
      <w:spacing w:after="0" w:line="349" w:lineRule="atLeast"/>
    </w:pPr>
    <w:rPr>
      <w:sz w:val="19"/>
      <w:szCs w:val="19"/>
    </w:rPr>
  </w:style>
  <w:style w:styleId="Para 042" w:type="paragraph">
    <w:name w:val="Para 042"/>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043" w:type="paragraph">
    <w:name w:val="Para 043"/>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CC3300"/>
      <w:shd w:fill="EEF2F6"/>
    </w:rPr>
  </w:style>
  <w:style w:styleId="Para 044" w:type="paragraph">
    <w:name w:val="Para 044"/>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CC3300"/>
      <w:shd w:fill="EEF2F6"/>
    </w:rPr>
  </w:style>
  <w:style w:styleId="Para 045" w:type="paragraph">
    <w:name w:val="Para 045"/>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CC3300"/>
      <w:shd w:fill="FFFFFF"/>
    </w:rPr>
  </w:style>
  <w:style w:styleId="Para 046" w:type="paragraph">
    <w:name w:val="Para 04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047" w:type="paragraph">
    <w:name w:val="Para 047"/>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i w:val="on"/>
      <w:iCs w:val="on"/>
      <w:color w:val="35586C"/>
      <w:shd w:fill="EEF2F6"/>
    </w:rPr>
  </w:style>
  <w:style w:styleId="Para 048" w:type="paragraph">
    <w:name w:val="Para 048"/>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049" w:type="paragraph">
    <w:name w:val="Para 04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66"/>
      <w:shd w:fill="EEF2F6"/>
    </w:rPr>
  </w:style>
  <w:style w:styleId="Para 050" w:type="paragraph">
    <w:name w:val="Para 05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051" w:type="paragraph">
    <w:name w:val="Para 051"/>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i w:val="on"/>
      <w:iCs w:val="on"/>
      <w:color w:val="000088"/>
      <w:shd w:fill="EEF2F6"/>
    </w:rPr>
  </w:style>
  <w:style w:styleId="Para 052" w:type="paragraph">
    <w:name w:val="Para 052"/>
    <w:qFormat/>
    <w:basedOn w:val="Normal"/>
    <w:pPr>
      <w:spacing w:after="0"/>
      <w:pBdr>
        <w:left w:val="none" w:sz="0" w:color="auto"/>
        <w:top w:val="none" w:sz="0" w:color="auto"/>
        <w:right w:val="none" w:sz="0" w:color="auto"/>
        <w:bottom w:val="none" w:sz="0" w:color="auto"/>
      </w:pBdr>
    </w:pPr>
    <w:rPr>
      <w:i w:val="on"/>
      <w:iCs w:val="on"/>
    </w:rPr>
  </w:style>
  <w:style w:styleId="Para 053" w:type="paragraph">
    <w:name w:val="Para 05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i w:val="on"/>
      <w:iCs w:val="on"/>
      <w:color w:val="000088"/>
      <w:shd w:fill="FFFFFF"/>
    </w:rPr>
  </w:style>
  <w:style w:styleId="Para 054" w:type="paragraph">
    <w:name w:val="Para 054"/>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i w:val="on"/>
      <w:iCs w:val="on"/>
      <w:color w:val="35586C"/>
      <w:shd w:fill="EEF2F6"/>
    </w:rPr>
  </w:style>
  <w:style w:styleId="Para 055" w:type="paragraph">
    <w:name w:val="Para 055"/>
    <w:qFormat/>
    <w:basedOn w:val="Normal"/>
    <w:pPr>
      <w:spacing w:after="0"/>
    </w:pPr>
    <w:rPr>
      <w:rFonts w:ascii="Ubuntu Mono Ital" w:cs="Ubuntu Mono Ital" w:eastAsia="Ubuntu Mono Ital" w:hAnsi="Ubuntu Mono Ital"/>
      <w:i w:val="on"/>
      <w:iCs w:val="on"/>
    </w:rPr>
  </w:style>
  <w:style w:styleId="Para 056" w:type="paragraph">
    <w:name w:val="Para 056"/>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057" w:type="paragraph">
    <w:name w:val="Para 057"/>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EEF2F6"/>
    </w:rPr>
  </w:style>
  <w:style w:styleId="Para 058" w:type="paragraph">
    <w:name w:val="Para 058"/>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i w:val="on"/>
      <w:iCs w:val="on"/>
      <w:color w:val="35586C"/>
      <w:shd w:fill="FFFFFF"/>
    </w:rPr>
  </w:style>
  <w:style w:styleId="Para 059" w:type="paragraph">
    <w:name w:val="Para 059"/>
    <w:qFormat/>
    <w:basedOn w:val="Normal"/>
    <w:pPr>
      <w:spacing w:after="0" w:line="360" w:lineRule="atLeast"/>
      <w:ind w:leftChars="15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0" w:type="paragraph">
    <w:name w:val="Para 060"/>
    <w:qFormat/>
    <w:basedOn w:val="Normal"/>
    <w:pPr>
      <w:spacing w:after="205" w:line="420" w:lineRule="atLeast"/>
      <w:jc w:val="left"/>
    </w:pPr>
    <w:rPr>
      <w:i w:val="on"/>
      <w:iCs w:val="on"/>
      <w:color w:val="0000FF"/>
      <w:u w:val="single"/>
    </w:rPr>
  </w:style>
  <w:style w:styleId="Para 061" w:type="paragraph">
    <w:name w:val="Para 06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062" w:type="paragraph">
    <w:name w:val="Para 062"/>
    <w:qFormat/>
    <w:basedOn w:val="Normal"/>
    <w:pPr>
      <w:spacing w:after="0" w:line="349" w:lineRule="atLeast"/>
      <w:ind w:hangingChars="229"/>
      <w:pBdr>
        <w:left w:space="9"/>
      </w:pBdr>
    </w:pPr>
    <w:rPr>
      <w:sz w:val="19"/>
      <w:szCs w:val="19"/>
    </w:rPr>
  </w:style>
  <w:style w:styleId="Para 063" w:type="paragraph">
    <w:name w:val="Para 06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FFFFFF"/>
    </w:rPr>
  </w:style>
  <w:style w:styleId="Para 064" w:type="paragraph">
    <w:name w:val="Para 064"/>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Ubuntu Mono Ital" w:cs="Ubuntu Mono Ital" w:eastAsia="Ubuntu Mono Ital" w:hAnsi="Ubuntu Mono Ital"/>
      <w:i w:val="on"/>
      <w:iCs w:val="on"/>
      <w:color w:val="3D3B49"/>
    </w:rPr>
  </w:style>
  <w:style w:styleId="Para 065" w:type="paragraph">
    <w:name w:val="Para 065"/>
    <w:qFormat/>
    <w:basedOn w:val="Normal"/>
    <w:pPr>
      <w:spacing w:after="0"/>
    </w:pPr>
    <w:rPr>
      <w:rFonts w:ascii="Ubuntu Mono" w:cs="Ubuntu Mono" w:eastAsia="Ubuntu Mono" w:hAnsi="Ubuntu Mono"/>
    </w:rPr>
  </w:style>
  <w:style w:styleId="Para 066" w:type="paragraph">
    <w:name w:val="Para 066"/>
    <w:qFormat/>
    <w:basedOn w:val="Normal"/>
    <w:pPr>
      <w:spacing w:after="0"/>
    </w:pPr>
    <w:rPr>
      <w:i w:val="on"/>
      <w:iCs w:val="on"/>
    </w:rPr>
  </w:style>
  <w:style w:styleId="Para 067" w:type="paragraph">
    <w:name w:val="Para 067"/>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068" w:type="paragraph">
    <w:name w:val="Para 068"/>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069" w:type="paragraph">
    <w:name w:val="Para 069"/>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070" w:type="paragraph">
    <w:name w:val="Para 070"/>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000088"/>
      <w:shd w:fill="EEF2F6"/>
    </w:rPr>
  </w:style>
  <w:style w:styleId="Para 071" w:type="paragraph">
    <w:name w:val="Para 07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AA0000"/>
      <w:shd w:fill="EEF2F6"/>
    </w:rPr>
  </w:style>
  <w:style w:styleId="Para 072" w:type="paragraph">
    <w:name w:val="Para 07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CCFF"/>
      <w:shd w:fill="EEF2F6"/>
    </w:rPr>
  </w:style>
  <w:style w:styleId="Para 073" w:type="paragraph">
    <w:name w:val="Para 07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555555"/>
      <w:shd w:fill="EEF2F6"/>
    </w:rPr>
  </w:style>
  <w:style w:styleId="Para 074" w:type="paragraph">
    <w:name w:val="Para 074"/>
    <w:qFormat/>
    <w:basedOn w:val="Normal"/>
    <w:pPr>
      <w:spacing w:line="360" w:lineRule="atLeast"/>
      <w:shd w:val="clear" w:color="auto" w:fill="FFFFFF"/>
    </w:pPr>
    <w:rPr>
      <w:sz w:val="18"/>
      <w:szCs w:val="18"/>
      <w:i w:val="on"/>
      <w:iCs w:val="on"/>
    </w:rPr>
  </w:style>
  <w:style w:styleId="Para 075" w:type="paragraph">
    <w:name w:val="Para 075"/>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076" w:type="paragraph">
    <w:name w:val="Para 076"/>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i w:val="on"/>
      <w:iCs w:val="on"/>
    </w:rPr>
  </w:style>
  <w:style w:styleId="Para 077" w:type="paragraph">
    <w:name w:val="Para 077"/>
    <w:qFormat/>
    <w:basedOn w:val="Normal"/>
    <w:pPr>
      <w:spacing w:after="205" w:line="420" w:lineRule="atLeast"/>
      <w:jc w:val="left"/>
    </w:pPr>
    <w:rPr>
      <w:i w:val="on"/>
      <w:iCs w:val="on"/>
    </w:rPr>
  </w:style>
  <w:style w:styleId="Para 078" w:type="paragraph">
    <w:name w:val="Para 07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079" w:type="paragraph">
    <w:name w:val="Para 079"/>
    <w:qFormat/>
    <w:basedOn w:val="Normal"/>
    <w:pPr>
      <w:spacing w:after="0"/>
    </w:pPr>
    <w:rPr>
      <w:rFonts w:ascii="Ubuntu Mono Bold" w:cs="Ubuntu Mono Bold" w:eastAsia="Ubuntu Mono Bold" w:hAnsi="Ubuntu Mono Bold"/>
      <w:b w:val="on"/>
      <w:bCs w:val="on"/>
    </w:rPr>
  </w:style>
  <w:style w:styleId="Para 080" w:type="paragraph">
    <w:name w:val="Para 080"/>
    <w:qFormat/>
    <w:basedOn w:val="Normal"/>
    <w:pPr>
      <w:spacing w:before="205" w:line="299" w:lineRule="atLeast"/>
      <w:shd w:val="clear" w:color="auto" w:fill="EEF2F6"/>
      <w:pBdr>
        <w:left w:space="14"/>
        <w:top w:space="7"/>
        <w:right w:space="14"/>
        <w:bottom w:space="7"/>
      </w:pBdr>
    </w:pPr>
    <w:rPr>
      <w:rFonts w:ascii="Ubuntu Mono Bold" w:cs="Ubuntu Mono Bold" w:eastAsia="Ubuntu Mono Bold" w:hAnsi="Ubuntu Mono Bold"/>
      <w:sz w:val="19"/>
      <w:szCs w:val="19"/>
      <w:b w:val="on"/>
      <w:bCs w:val="on"/>
      <w:color w:val="3D3B49"/>
    </w:rPr>
  </w:style>
  <w:style w:styleId="Para 081" w:type="paragraph">
    <w:name w:val="Para 081"/>
    <w:qFormat/>
    <w:basedOn w:val="Normal"/>
    <w:pPr>
      <w:spacing w:line="349" w:lineRule="atLeast"/>
      <w:ind w:hangingChars="229"/>
    </w:pPr>
    <w:rPr>
      <w:sz w:val="19"/>
      <w:szCs w:val="19"/>
      <w:color w:val="0000FF"/>
      <w:u w:val="single"/>
    </w:rPr>
  </w:style>
  <w:style w:styleId="Para 082" w:type="paragraph">
    <w:name w:val="Para 082"/>
    <w:qFormat/>
    <w:basedOn w:val="Normal"/>
    <w:pPr>
      <w:spacing w:after="205" w:line="420" w:lineRule="atLeast"/>
      <w:jc w:val="left"/>
    </w:pPr>
    <w:rPr>
      <w:color w:val="0000FF"/>
      <w:u w:val="single"/>
    </w:rPr>
  </w:style>
  <w:style w:styleId="Para 083" w:type="paragraph">
    <w:name w:val="Para 08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b w:val="on"/>
      <w:bCs w:val="on"/>
      <w:color w:val="006699"/>
      <w:shd w:fill="EEF2F6"/>
    </w:rPr>
  </w:style>
  <w:style w:styleId="Para 084" w:type="paragraph">
    <w:name w:val="Para 08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0000"/>
      <w:shd w:fill="EEF2F6"/>
    </w:rPr>
  </w:style>
  <w:style w:styleId="Para 085" w:type="paragraph">
    <w:name w:val="Para 08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000088"/>
      <w:shd w:fill="EEF2F6"/>
    </w:rPr>
  </w:style>
  <w:style w:styleId="Para 086" w:type="paragraph">
    <w:name w:val="Para 086"/>
    <w:qFormat/>
    <w:basedOn w:val="Normal"/>
    <w:pPr>
      <w:spacing w:after="205" w:line="420" w:lineRule="atLeast"/>
      <w:jc w:val="left"/>
    </w:pPr>
    <w:rPr>
      <w:rFonts w:ascii="Ubuntu Mono" w:cs="Ubuntu Mono" w:eastAsia="Ubuntu Mono" w:hAnsi="Ubuntu Mono"/>
    </w:rPr>
  </w:style>
  <w:style w:styleId="Para 087" w:type="paragraph">
    <w:name w:val="Para 087"/>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b w:val="on"/>
      <w:bCs w:val="on"/>
      <w:color w:val="006699"/>
      <w:shd w:fill="FFFFFF"/>
    </w:rPr>
  </w:style>
  <w:style w:styleId="Para 088" w:type="paragraph">
    <w:name w:val="Para 088"/>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36666"/>
      <w:shd w:fill="EEF2F6"/>
    </w:rPr>
  </w:style>
  <w:style w:styleId="Para 089" w:type="paragraph">
    <w:name w:val="Para 089"/>
    <w:qFormat/>
    <w:basedOn w:val="Normal"/>
    <w:pPr>
      <w:shd w:val="clear" w:color="auto" w:fill="FFFFFF"/>
    </w:pPr>
    <w:rPr>
      <w:sz w:val="18"/>
      <w:szCs w:val="18"/>
    </w:rPr>
  </w:style>
  <w:style w:styleId="Para 090" w:type="paragraph">
    <w:name w:val="Para 090"/>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36666"/>
      <w:shd w:fill="EEF2F6"/>
    </w:rPr>
  </w:style>
  <w:style w:styleId="Para 091" w:type="paragraph">
    <w:name w:val="Para 091"/>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rPr>
  </w:style>
  <w:style w:styleId="Para 092" w:type="paragraph">
    <w:name w:val="Para 092"/>
    <w:qFormat/>
    <w:basedOn w:val="Normal"/>
    <w:pPr>
      <w:spacing w:after="0"/>
      <w:pBdr>
        <w:left w:val="none" w:sz="0" w:color="auto"/>
        <w:top w:val="none" w:sz="0" w:color="auto"/>
        <w:right w:val="none" w:sz="0" w:color="auto"/>
        <w:bottom w:val="none" w:sz="0" w:color="auto"/>
      </w:pBdr>
    </w:pPr>
    <w:rPr>
      <w:rFonts w:ascii="MyriadPro" w:cs="MyriadPro" w:eastAsia="MyriadPro" w:hAnsi="MyriadPro"/>
      <w:sz w:val="19"/>
      <w:szCs w:val="19"/>
      <w:b w:val="on"/>
      <w:bCs w:val="on"/>
      <w:color w:val="FFFFFF"/>
      <w:shd w:fill="000000"/>
    </w:rPr>
  </w:style>
  <w:style w:styleId="Para 093" w:type="paragraph">
    <w:name w:val="Para 093"/>
    <w:qFormat/>
    <w:basedOn w:val="Normal"/>
    <w:pPr>
      <w:spacing w:after="205" w:line="420" w:lineRule="atLeast"/>
      <w:jc w:val="left"/>
    </w:pPr>
    <w:rPr>
      <w:caps w:val="on"/>
    </w:rPr>
  </w:style>
  <w:style w:styleId="Para 094" w:type="paragraph">
    <w:name w:val="Para 094"/>
    <w:qFormat/>
    <w:basedOn w:val="Normal"/>
    <w:pPr>
      <w:spacing w:after="0"/>
    </w:pPr>
    <w:rPr>
      <w:i w:val="on"/>
      <w:iCs w:val="on"/>
    </w:rPr>
  </w:style>
  <w:style w:styleId="Para 095" w:type="paragraph">
    <w:name w:val="Para 095"/>
    <w:qFormat/>
    <w:basedOn w:val="Normal"/>
    <w:pPr>
      <w:spacing w:after="273" w:line="360" w:lineRule="atLeast"/>
      <w:pBdr>
        <w:left w:val="none" w:sz="8" w:color="auto"/>
        <w:top w:val="none" w:sz="8" w:color="auto"/>
        <w:right w:val="none" w:sz="8" w:color="auto"/>
        <w:bottom w:val="none" w:sz="8" w:color="auto"/>
      </w:pBdr>
    </w:pPr>
    <w:rPr>
      <w:rFonts w:ascii="Cambria" w:cs="Cambria" w:eastAsia="Cambria" w:hAnsi="Cambria"/>
    </w:rPr>
  </w:style>
  <w:style w:styleId="Para 096" w:type="paragraph">
    <w:name w:val="Para 096"/>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36666"/>
      <w:shd w:fill="EEF2F6"/>
    </w:rPr>
  </w:style>
  <w:style w:styleId="Para 097" w:type="paragraph">
    <w:name w:val="Para 097"/>
    <w:qFormat/>
    <w:basedOn w:val="Normal"/>
    <w:pPr>
      <w:spacing w:before="205" w:line="299" w:lineRule="atLeast"/>
      <w:shd w:val="clear" w:color="auto" w:fill="EEF2F6"/>
      <w:pBdr>
        <w:left w:space="14"/>
        <w:top w:space="7"/>
        <w:right w:space="14"/>
        <w:bottom w:space="7"/>
      </w:pBdr>
    </w:pPr>
    <w:rPr>
      <w:rFonts w:ascii="Ubuntu Mono Ital" w:cs="Ubuntu Mono Ital" w:eastAsia="Ubuntu Mono Ital" w:hAnsi="Ubuntu Mono Ital"/>
      <w:sz w:val="19"/>
      <w:szCs w:val="19"/>
      <w:i w:val="on"/>
      <w:iCs w:val="on"/>
      <w:color w:val="3D3B49"/>
    </w:rPr>
  </w:style>
  <w:style w:styleId="Para 098" w:type="paragraph">
    <w:name w:val="Para 098"/>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i w:val="on"/>
      <w:iCs w:val="on"/>
      <w:color w:val="CC3300"/>
      <w:shd w:fill="EEF2F6"/>
    </w:rPr>
  </w:style>
  <w:style w:styleId="Para 099" w:type="paragraph">
    <w:name w:val="Para 09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AA88"/>
      <w:shd w:fill="EEF2F6"/>
    </w:rPr>
  </w:style>
  <w:style w:styleId="Para 100" w:type="paragraph">
    <w:name w:val="Para 100"/>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CC3300"/>
      <w:shd w:fill="EEF2F6"/>
    </w:rPr>
  </w:style>
  <w:style w:styleId="Para 101" w:type="paragraph">
    <w:name w:val="Para 101"/>
    <w:qFormat/>
    <w:basedOn w:val="Normal"/>
    <w:pPr>
      <w:spacing w:line="349" w:lineRule="atLeast"/>
      <w:ind w:hangingChars="229"/>
    </w:pPr>
    <w:rPr>
      <w:rFonts w:ascii="Ubuntu" w:cs="Ubuntu" w:eastAsia="Ubuntu" w:hAnsi="Ubuntu"/>
      <w:sz w:val="19"/>
      <w:szCs w:val="19"/>
    </w:rPr>
  </w:style>
  <w:style w:styleId="Para 102" w:type="paragraph">
    <w:name w:val="Para 102"/>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3" w:type="paragraph">
    <w:name w:val="Para 103"/>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b w:val="on"/>
      <w:bCs w:val="on"/>
      <w:color w:val="000088"/>
      <w:shd w:fill="EEF2F6"/>
    </w:rPr>
  </w:style>
  <w:style w:styleId="Para 104" w:type="paragraph">
    <w:name w:val="Para 104"/>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b w:val="on"/>
      <w:bCs w:val="on"/>
      <w:color w:val="3D3B49"/>
      <w:shd w:fill="EEF2F6"/>
    </w:rPr>
  </w:style>
  <w:style w:styleId="Para 105" w:type="paragraph">
    <w:name w:val="Para 105"/>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shd w:fill="EEF2F6"/>
    </w:rPr>
  </w:style>
  <w:style w:styleId="Para 106" w:type="paragraph">
    <w:name w:val="Para 106"/>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shd w:fill="EEF2F6"/>
    </w:rPr>
  </w:style>
  <w:style w:styleId="Para 107" w:type="paragraph">
    <w:name w:val="Para 107"/>
    <w:qFormat/>
    <w:basedOn w:val="Normal"/>
    <w:pPr>
      <w:spacing w:after="0"/>
    </w:pPr>
    <w:rPr>
      <w:rFonts w:ascii="Ubuntu Mono Ital" w:cs="Ubuntu Mono Ital" w:eastAsia="Ubuntu Mono Ital" w:hAnsi="Ubuntu Mono Ital"/>
      <w:i w:val="on"/>
      <w:iCs w:val="on"/>
    </w:rPr>
  </w:style>
  <w:style w:styleId="Para 108" w:type="paragraph">
    <w:name w:val="Para 108"/>
    <w:qFormat/>
    <w:basedOn w:val="Normal"/>
    <w:pPr>
      <w:spacing w:line="349" w:lineRule="atLeast"/>
      <w:ind w:hangingChars="229"/>
    </w:pPr>
    <w:rPr>
      <w:sz w:val="19"/>
      <w:szCs w:val="19"/>
      <w:i w:val="on"/>
      <w:iCs w:val="on"/>
      <w:color w:val="0000FF"/>
      <w:u w:val="single"/>
    </w:rPr>
  </w:style>
  <w:style w:styleId="Para 109" w:type="paragraph">
    <w:name w:val="Para 109"/>
    <w:qFormat/>
    <w:basedOn w:val="Normal"/>
    <w:pPr>
      <w:spacing w:before="205" w:line="349" w:lineRule="atLeast"/>
      <w:ind w:hangingChars="229"/>
    </w:pPr>
    <w:rPr>
      <w:sz w:val="19"/>
      <w:szCs w:val="19"/>
      <w:color w:val="0000FF"/>
      <w:u w:val="single"/>
    </w:rPr>
  </w:style>
  <w:style w:styleId="Para 110" w:type="paragraph">
    <w:name w:val="Para 110"/>
    <w:qFormat/>
    <w:basedOn w:val="Normal"/>
    <w:pPr>
      <w:spacing w:after="0"/>
    </w:pPr>
    <w:rPr>
      <w:rFonts w:ascii="Ubuntu Mono" w:cs="Ubuntu Mono" w:eastAsia="Ubuntu Mono" w:hAnsi="Ubuntu Mono"/>
      <w:color w:val="0000FF"/>
      <w:u w:val="single"/>
    </w:rPr>
  </w:style>
  <w:style w:styleId="Para 111" w:type="paragraph">
    <w:name w:val="Para 111"/>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FF6600"/>
      <w:shd w:fill="EEF2F6"/>
    </w:rPr>
  </w:style>
  <w:style w:styleId="Para 112" w:type="paragraph">
    <w:name w:val="Para 112"/>
    <w:qFormat/>
    <w:basedOn w:val="Normal"/>
    <w:pPr>
      <w:spacing w:before="205" w:line="360" w:lineRule="atLeast"/>
      <w:shd w:val="clear" w:color="auto" w:fill="EEF2F6"/>
      <w:pBdr>
        <w:left w:space="18"/>
        <w:top w:space="9"/>
        <w:right w:space="18"/>
        <w:bottom w:space="9"/>
      </w:pBdr>
    </w:pPr>
    <w:rPr>
      <w:rFonts w:ascii="Ubuntu Mono BoldItal" w:cs="Ubuntu Mono BoldItal" w:eastAsia="Ubuntu Mono BoldItal" w:hAnsi="Ubuntu Mono BoldItal"/>
      <w:b w:val="on"/>
      <w:bCs w:val="on"/>
      <w:i w:val="on"/>
      <w:iCs w:val="on"/>
      <w:color w:val="3D3B49"/>
    </w:rPr>
  </w:style>
  <w:style w:styleId="Para 113" w:type="paragraph">
    <w:name w:val="Para 113"/>
    <w:qFormat/>
    <w:basedOn w:val="Normal"/>
    <w:pPr>
      <w:spacing w:after="0"/>
    </w:pPr>
    <w:rPr>
      <w:i w:val="on"/>
      <w:iCs w:val="on"/>
    </w:rPr>
  </w:style>
  <w:style w:styleId="Para 114" w:type="paragraph">
    <w:name w:val="Para 114"/>
    <w:qFormat/>
    <w:basedOn w:val="Normal"/>
    <w:pPr>
      <w:spacing w:before="205" w:after="0" w:line="349" w:lineRule="atLeast"/>
      <w:ind w:hangingChars="229"/>
      <w:pBdr>
        <w:left w:space="9"/>
      </w:pBdr>
    </w:pPr>
    <w:rPr>
      <w:sz w:val="19"/>
      <w:szCs w:val="19"/>
      <w:color w:val="0000FF"/>
      <w:u w:val="single"/>
    </w:rPr>
  </w:style>
  <w:style w:styleId="Para 115" w:type="paragraph">
    <w:name w:val="Para 1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116" w:type="paragraph">
    <w:name w:val="Para 11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30099"/>
      <w:shd w:fill="EEF2F6"/>
    </w:rPr>
  </w:style>
  <w:style w:styleId="Para 117" w:type="paragraph">
    <w:name w:val="Para 117"/>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b w:val="on"/>
      <w:bCs w:val="on"/>
      <w:color w:val="006699"/>
      <w:shd w:fill="EEF2F6"/>
    </w:rPr>
  </w:style>
  <w:style w:styleId="Para 118" w:type="paragraph">
    <w:name w:val="Para 11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119" w:type="paragraph">
    <w:name w:val="Para 119"/>
    <w:qFormat/>
    <w:basedOn w:val="Normal"/>
    <w:pPr>
      <w:spacing w:line="360" w:lineRule="atLeast"/>
      <w:shd w:val="clear" w:color="auto" w:fill="FFFFFF"/>
    </w:pPr>
    <w:rPr>
      <w:rFonts w:ascii="Cambria" w:cs="Cambria" w:eastAsia="Cambria" w:hAnsi="Cambria"/>
    </w:rPr>
  </w:style>
  <w:style w:styleId="Text0" w:type="character">
    <w:name w:val="000 Text"/>
    <w:rPr>
      <w:rFonts w:cs="Ubuntu Mono" w:hAnsi="Ubuntu Mono" w:eastAsia="Ubuntu Mono" w:ascii="Ubuntu Mono"/>
    </w:rPr>
  </w:style>
  <w:style w:styleId="Text1" w:type="character">
    <w:name w:val="001 Text"/>
    <w:rPr>
      <w:color w:val="0000FF"/>
      <w:u w:val="single"/>
    </w:rPr>
  </w:style>
  <w:style w:styleId="Text2" w:type="character">
    <w:name w:val="002 Text"/>
    <w:rPr>
      <w:color w:val="000000"/>
      <w:u w:val="none"/>
    </w:rPr>
  </w:style>
  <w:style w:styleId="Text3" w:type="character">
    <w:name w:val="003 Text"/>
    <w:rPr>
      <w:rFonts w:cs="Ubuntu Mono Ital" w:hAnsi="Ubuntu Mono Ital" w:eastAsia="Ubuntu Mono Ital" w:ascii="Ubuntu Mono Ital"/>
      <w:i w:val="on"/>
      <w:iCs w:val="on"/>
    </w:rPr>
  </w:style>
  <w:style w:styleId="Text4" w:type="character">
    <w:name w:val="004 Text"/>
    <w:rPr>
      <w:i w:val="on"/>
      <w:iCs w:val="on"/>
    </w:rPr>
  </w:style>
  <w:style w:styleId="Text5" w:type="character">
    <w:name w:val="005 Text"/>
    <w:rPr>
      <w:rFonts w:hAnsi="Ubuntu Mono Bold" w:ascii="Ubuntu Mono Bold" w:eastAsia="Ubuntu Mono Bold" w:cs="Ubuntu Mono Bold"/>
      <w:b w:val="on"/>
      <w:bCs w:val="on"/>
    </w:rPr>
  </w:style>
  <w:style w:styleId="Text6" w:type="character">
    <w:name w:val="006 Text"/>
    <w:rPr>
      <w:color w:val="3D3B49"/>
    </w:rPr>
  </w:style>
  <w:style w:styleId="Text7" w:type="character">
    <w:name w:val="007 Text"/>
    <w:rPr>
      <w:color w:val="000000"/>
    </w:rPr>
  </w:style>
  <w:style w:styleId="Text8" w:type="character">
    <w:name w:val="008 Text"/>
    <w:rPr>
      <w:color w:val="CC3300"/>
    </w:rPr>
  </w:style>
  <w:style w:styleId="Text9" w:type="character">
    <w:name w:val="009 Text"/>
    <w:rPr>
      <w:color w:val="000088"/>
    </w:rPr>
  </w:style>
  <w:style w:styleId="Text10" w:type="character">
    <w:name w:val="010 Text"/>
    <w:rPr>
      <w:b w:val="on"/>
      <w:bCs w:val="on"/>
      <w:color w:val="006699"/>
    </w:rPr>
  </w:style>
  <w:style w:styleId="Text11" w:type="character">
    <w:name w:val="011 Text"/>
    <w:rPr>
      <w:i w:val="on"/>
      <w:iCs w:val="on"/>
      <w:color w:val="3D3B49"/>
    </w:rPr>
  </w:style>
  <w:style w:styleId="Text12" w:type="character">
    <w:name w:val="012 Text"/>
    <w:rPr>
      <w:rFonts w:hAnsi="Noto serif" w:eastAsia="Noto serif" w:ascii="Noto serif" w:cs="Noto serif"/>
    </w:rPr>
  </w:style>
  <w:style w:styleId="Text13" w:type="character">
    <w:name w:val="013 Text"/>
    <w:rPr>
      <w:color w:val="555555"/>
    </w:rPr>
  </w:style>
  <w:style w:styleId="Text14" w:type="character">
    <w:name w:val="014 Text"/>
    <w:rPr>
      <w:i w:val="on"/>
      <w:iCs w:val="on"/>
      <w:color w:val="000088"/>
    </w:rPr>
  </w:style>
  <w:style w:styleId="Text15" w:type="character">
    <w:name w:val="015 Text"/>
    <w:rPr>
      <w:i w:val="on"/>
      <w:iCs w:val="on"/>
      <w:color w:val="35586C"/>
    </w:rPr>
  </w:style>
  <w:style w:styleId="Text16" w:type="character">
    <w:name w:val="016 Text"/>
    <w:rPr>
      <w:color w:val="336666"/>
    </w:rPr>
  </w:style>
  <w:style w:styleId="Text17" w:type="character">
    <w:name w:val="017 Text"/>
    <w:rPr>
      <w:i w:val="on"/>
      <w:iCs w:val="on"/>
      <w:color w:val="CC3300"/>
    </w:rPr>
  </w:style>
  <w:style w:styleId="Text18" w:type="character">
    <w:name w:val="018 Text"/>
    <w:rPr>
      <w:color w:val="CC00FF"/>
    </w:rPr>
  </w:style>
  <w:style w:styleId="Text19" w:type="character">
    <w:name w:val="019 Text"/>
    <w:rPr>
      <w:i w:val="on"/>
      <w:iCs w:val="on"/>
      <w:color w:val="000000"/>
    </w:rPr>
  </w:style>
  <w:style w:styleId="Text20" w:type="character">
    <w:name w:val="020 Text"/>
    <w:rPr>
      <w:color w:val="00CCFF"/>
    </w:rPr>
  </w:style>
  <w:style w:styleId="Text21" w:type="character">
    <w:name w:val="021 Text"/>
    <w:rPr>
      <w:i w:val="on"/>
      <w:iCs w:val="on"/>
      <w:color w:val="336666"/>
    </w:rPr>
  </w:style>
  <w:style w:styleId="Text22" w:type="character">
    <w:name w:val="022 Text"/>
    <w:rPr>
      <w:b w:val="on"/>
      <w:bCs w:val="on"/>
      <w:i w:val="on"/>
      <w:iCs w:val="on"/>
      <w:color w:val="006699"/>
    </w:rPr>
  </w:style>
  <w:style w:styleId="Text23" w:type="character">
    <w:name w:val="023 Text"/>
    <w:rPr>
      <w:color w:val="3D3B49"/>
      <w:shd w:fill="auto"/>
    </w:rPr>
  </w:style>
  <w:style w:styleId="Text24" w:type="character">
    <w:name w:val="024 Text"/>
    <w:rPr>
      <w:i w:val="on"/>
      <w:iCs w:val="on"/>
      <w:color w:val="0000FF"/>
      <w:u w:val="single"/>
    </w:rPr>
  </w:style>
  <w:style w:styleId="Text25" w:type="character">
    <w:name w:val="025 Text"/>
    <w:rPr>
      <w:rFonts w:eastAsia="Ubuntu" w:ascii="Ubuntu" w:cs="Ubuntu" w:hAnsi="Ubuntu"/>
    </w:rPr>
  </w:style>
  <w:style w:styleId="Text26" w:type="character">
    <w:name w:val="026 Text"/>
    <w:rPr>
      <w:color w:val="35586C"/>
    </w:rPr>
  </w:style>
  <w:style w:styleId="Text27" w:type="character">
    <w:name w:val="027 Text"/>
    <w:rPr>
      <w:color w:val="FF6600"/>
    </w:rPr>
  </w:style>
  <w:style w:styleId="Text28" w:type="character">
    <w:name w:val="028 Text"/>
    <w:rPr>
      <w:i w:val="on"/>
      <w:iCs w:val="on"/>
      <w:color w:val="555555"/>
    </w:rPr>
  </w:style>
  <w:style w:styleId="Text29" w:type="character">
    <w:name w:val="029 Text"/>
    <w:rPr>
      <w:b w:val="on"/>
      <w:bCs w:val="on"/>
      <w:color w:val="3D3B49"/>
    </w:rPr>
  </w:style>
  <w:style w:styleId="Text30" w:type="character">
    <w:name w:val="030 Text"/>
    <w:rPr>
      <w:rFonts w:cs="Ubuntu Mono" w:hAnsi="Ubuntu Mono" w:eastAsia="Ubuntu Mono" w:ascii="Ubuntu Mono"/>
      <w:color w:val="0000FF"/>
      <w:u w:val="single"/>
    </w:rPr>
  </w:style>
  <w:style w:styleId="Text31" w:type="character">
    <w:name w:val="031 Text"/>
    <w:rPr>
      <w:b w:val="on"/>
      <w:bCs w:val="on"/>
      <w:color w:val="000000"/>
    </w:rPr>
  </w:style>
  <w:style w:styleId="Text32" w:type="character">
    <w:name w:val="032 Text"/>
    <w:rPr>
      <w:color w:val="AA0000"/>
    </w:rPr>
  </w:style>
  <w:style w:styleId="Text33" w:type="character">
    <w:name w:val="033 Text"/>
    <w:rPr>
      <w:color w:val="00AA88"/>
    </w:rPr>
  </w:style>
  <w:style w:styleId="Text34" w:type="character">
    <w:name w:val="034 Text"/>
    <w:rPr>
      <w:rFonts w:eastAsia="MyriadPro" w:ascii="MyriadPro" w:cs="MyriadPro" w:hAnsi="MyriadPro"/>
      <w:sz w:val="19"/>
      <w:szCs w:val="19"/>
      <w:b w:val="on"/>
      <w:bCs w:val="on"/>
      <w:color w:val="FFFFFF"/>
      <w:shd w:fill="000000"/>
    </w:rPr>
  </w:style>
  <w:style w:styleId="Text35" w:type="character">
    <w:name w:val="035 Text"/>
    <w:rPr>
      <w:i w:val="on"/>
      <w:iCs w:val="on"/>
      <w:color w:val="FF6600"/>
    </w:rPr>
  </w:style>
  <w:style w:styleId="Text36" w:type="character">
    <w:name w:val="036 Text"/>
    <w:rPr>
      <w:color w:val="CC0000"/>
    </w:rPr>
  </w:style>
  <w:style w:styleId="Text37" w:type="character">
    <w:name w:val="037 Text"/>
    <w:rPr>
      <w:b w:val="on"/>
      <w:bCs w:val="on"/>
    </w:rPr>
  </w:style>
  <w:style w:styleId="Text38" w:type="character">
    <w:name w:val="038 Text"/>
    <w:rPr>
      <w:b w:val="on"/>
      <w:bCs w:val="on"/>
      <w:color w:val="000088"/>
    </w:rPr>
  </w:style>
  <w:style w:styleId="Text39" w:type="character">
    <w:name w:val="039 Text"/>
    <w:rPr>
      <w:color w:val="006699"/>
    </w:rPr>
  </w:style>
  <w:style w:styleId="Text40" w:type="character">
    <w:name w:val="040 Text"/>
    <w:rPr>
      <w:rFonts w:hAnsi="Ubuntu Mono Bold" w:ascii="Ubuntu Mono Bold" w:eastAsia="Ubuntu Mono Bold" w:cs="Ubuntu Mono Bold"/>
      <w:b w:val="on"/>
      <w:bCs w:val="on"/>
      <w:i w:val="on"/>
      <w:iCs w:val="on"/>
    </w:rPr>
  </w:style>
  <w:style w:styleId="Text41" w:type="character">
    <w:name w:val="041 Text"/>
    <w:rPr>
      <w:sz w:val="18"/>
      <w:szCs w:val="18"/>
      <w:color w:val="0000FF"/>
      <w:u w:val="single"/>
    </w:rPr>
  </w:style>
  <w:style w:styleId="Text42" w:type="character">
    <w:name w:val="042 Text"/>
    <w:rPr>
      <w:i w:val="on"/>
      <w:iCs w:val="on"/>
      <w:color w:val="CC00FF"/>
    </w:rPr>
  </w:style>
  <w:style w:styleId="Text43" w:type="character">
    <w:name w:val="043 Text"/>
    <w:rPr>
      <w:rFonts w:hAnsi="Noto serif" w:eastAsia="Noto serif" w:ascii="Noto serif" w:cs="Noto serif"/>
      <w:color w:val="0000FF"/>
      <w:u w:val="single"/>
    </w:rPr>
  </w:style>
  <w:style w:styleId="Text44" w:type="character">
    <w:name w:val="044 Text"/>
    <w:rPr>
      <w:color w:val="9999FF"/>
    </w:rPr>
  </w:style>
  <w:style w:styleId="Text45" w:type="character">
    <w:name w:val="045 Text"/>
    <w:rPr>
      <w:i w:val="on"/>
      <w:iCs w:val="on"/>
      <w:color w:val="00AA88"/>
    </w:rPr>
  </w:style>
  <w:style w:styleId="Text46" w:type="character">
    <w:name w:val="046 Text"/>
    <w:rPr>
      <w:color w:val="CC3300"/>
      <w:shd w:fill="EEF2F6"/>
    </w:rPr>
  </w:style>
  <w:style w:styleId="Text47" w:type="character">
    <w:name w:val="047 Text"/>
    <w:rPr>
      <w:rFonts w:hAnsi="Noto serif" w:eastAsia="Noto serif" w:ascii="Noto serif" w:cs="Noto serif"/>
      <w:i w:val="on"/>
      <w:iCs w:val="on"/>
    </w:rPr>
  </w:style>
  <w:style w:styleId="Text48" w:type="character">
    <w:name w:val="048 Text"/>
    <w:rPr>
      <w:rFonts w:cs="Consolas" w:hAnsi="Consolas" w:eastAsia="Consolas" w:ascii="Consolas"/>
      <w:b w:val="on"/>
      <w:bCs w:val="on"/>
    </w:rPr>
  </w:style>
  <w:style w:styleId="Text49" w:type="character">
    <w:name w:val="049 Text"/>
    <w:rPr>
      <w:color w:val="000088"/>
      <w:shd w:fill="EEF2F6"/>
    </w:rPr>
  </w:style>
  <w:style w:styleId="Text50" w:type="character">
    <w:name w:val="050 Text"/>
    <w:rPr>
      <w:rFonts w:cs="Ubuntu Mono" w:hAnsi="Ubuntu Mono" w:eastAsia="Ubuntu Mono" w:ascii="Ubuntu Mono"/>
      <w:i w:val="on"/>
      <w:iCs w:val="on"/>
    </w:rPr>
  </w:style>
  <w:style w:styleId="Text51" w:type="character">
    <w:name w:val="051 Text"/>
    <w:rPr>
      <w:b w:val="on"/>
      <w:bCs w:val="on"/>
      <w:i w:val="on"/>
      <w:iCs w:val="on"/>
      <w:color w:val="000000"/>
    </w:rPr>
  </w:style>
  <w:style w:styleId="Text52" w:type="character">
    <w:name w:val="052 Text"/>
    <w:rPr>
      <w:i w:val="on"/>
      <w:iCs w:val="on"/>
      <w:color w:val="000000"/>
      <w:u w:val="none"/>
    </w:rPr>
  </w:style>
  <w:style w:styleId="Text53" w:type="character">
    <w:name w:val="053 Text"/>
    <w:rPr>
      <w:i w:val="on"/>
      <w:iCs w:val="on"/>
      <w:color w:val="00CCFF"/>
    </w:rPr>
  </w:style>
  <w:style w:styleId="Text54" w:type="character">
    <w:name w:val="054 Text"/>
    <w:rPr>
      <w:b w:val="on"/>
      <w:bCs w:val="on"/>
      <w:color w:val="00CCFF"/>
    </w:rPr>
  </w:style>
  <w:style w:styleId="Text55" w:type="character">
    <w:name w:val="055 Text"/>
    <w:rPr>
      <w:rFonts w:cs="Consolas" w:hAnsi="Consolas" w:eastAsia="Consolas" w:ascii="Consolas"/>
      <w:i w:val="on"/>
      <w:iCs w:val="on"/>
    </w:rPr>
  </w:style>
  <w:style w:styleId="Text56" w:type="character">
    <w:name w:val="056 Text"/>
    <w:rPr>
      <w:i w:val="on"/>
      <w:iCs w:val="on"/>
      <w:color w:val="CC0000"/>
    </w:rPr>
  </w:style>
  <w:style w:styleId="Text57" w:type="character">
    <w:name w:val="057 Text"/>
    <w:rPr>
      <w:b w:val="on"/>
      <w:bCs w:val="on"/>
      <w:color w:val="CC0000"/>
    </w:rPr>
  </w:style>
  <w:style w:styleId="Text58" w:type="character">
    <w:name w:val="058 Text"/>
    <w:rPr>
      <w:color w:val="000000"/>
      <w:shd w:fill="EEF2F6"/>
    </w:rPr>
  </w:style>
  <w:style w:styleId="Text59" w:type="character">
    <w:name w:val="059 Text"/>
    <w:rPr>
      <w:b w:val="on"/>
      <w:bCs w:val="on"/>
      <w:i w:val="on"/>
      <w:iCs w:val="on"/>
      <w:color w:val="3D3B49"/>
    </w:rPr>
  </w:style>
  <w:style w:styleId="Text60" w:type="character">
    <w:name w:val="060 Text"/>
    <w:rPr>
      <w:rFonts w:hAnsi="Noto serif" w:eastAsia="Noto serif" w:ascii="Noto serif" w:cs="Noto serif"/>
      <w:b w:val="on"/>
      <w:bCs w:val="on"/>
    </w:rPr>
  </w:style>
  <w:style w:styleId="Text61" w:type="character">
    <w:name w:val="061 Text"/>
    <w:rPr>
      <w:b w:val="on"/>
      <w:bCs w:val="on"/>
      <w:color w:val="CC00FF"/>
    </w:rPr>
  </w:style>
  <w:style w:styleId="Text62" w:type="character">
    <w:name w:val="062 Text"/>
    <w:rPr>
      <w:color w:val="336666"/>
      <w:shd w:fill="EEF2F6"/>
    </w:rPr>
  </w:style>
  <w:style w:styleId="Text63" w:type="character">
    <w:name w:val="063 Text"/>
    <w:rPr>
      <w:b w:val="on"/>
      <w:bCs w:val="on"/>
      <w:color w:val="555555"/>
    </w:rPr>
  </w:style>
  <w:style w:styleId="Text64" w:type="character">
    <w:name w:val="064 Text"/>
    <w:rPr>
      <w:i w:val="on"/>
      <w:iCs w:val="on"/>
      <w:color w:val="AA0000"/>
    </w:rPr>
  </w:style>
  <w:style w:styleId="Text65" w:type="character">
    <w:name w:val="065 Text"/>
    <w:rPr>
      <w:color w:val="555555"/>
      <w:shd w:fill="EEF2F6"/>
    </w:rPr>
  </w:style>
  <w:style w:styleId="Text66" w:type="character">
    <w:name w:val="066 Text"/>
    <w:rPr>
      <w:i w:val="on"/>
      <w:iCs w:val="on"/>
      <w:color w:val="9999FF"/>
    </w:rPr>
  </w:style>
  <w:style w:styleId="Text67" w:type="character">
    <w:name w:val="067 Text"/>
    <w:rPr>
      <w:b w:val="on"/>
      <w:bCs w:val="on"/>
      <w:color w:val="336666"/>
    </w:rPr>
  </w:style>
  <w:style w:styleId="Text68" w:type="character">
    <w:name w:val="068 Text"/>
    <w:rPr>
      <w:b w:val="on"/>
      <w:bCs w:val="on"/>
      <w:color w:val="BBBBBB"/>
    </w:rPr>
  </w:style>
  <w:style w:styleId="Text69" w:type="character">
    <w:name w:val="069 Text"/>
    <w:rPr>
      <w:b w:val="on"/>
      <w:bCs w:val="on"/>
      <w:i w:val="on"/>
      <w:iCs w:val="on"/>
      <w:color w:val="000088"/>
    </w:rPr>
  </w:style>
  <w:style w:styleId="Text70" w:type="character">
    <w:name w:val="070 Text"/>
    <w:rPr>
      <w:rFonts w:cs="Ubuntu Mono Ital" w:hAnsi="Ubuntu Mono Ital" w:eastAsia="Ubuntu Mono Ital" w:ascii="Ubuntu Mono Ital"/>
      <w:b w:val="on"/>
      <w:bCs w:val="on"/>
      <w:i w:val="on"/>
      <w:iCs w:val="on"/>
    </w:rPr>
  </w:style>
  <w:style w:styleId="Text71" w:type="character">
    <w:name w:val="071 Text"/>
    <w:rPr>
      <w:rFonts w:cs="Ubuntu Mono Ital" w:hAnsi="Ubuntu Mono Ital" w:eastAsia="Ubuntu Mono Ital" w:ascii="Ubuntu Mono Ital"/>
    </w:rPr>
  </w:style>
  <w:style w:styleId="Text72" w:type="character">
    <w:name w:val="072 Text"/>
    <w:rPr>
      <w:rFonts w:cs="Ubuntu Mono" w:hAnsi="Ubuntu Mono" w:eastAsia="Ubuntu Mono" w:ascii="Ubuntu Mono"/>
      <w:b w:val="on"/>
      <w:bCs w:val="on"/>
    </w:rPr>
  </w:style>
  <w:style w:styleId="Text73" w:type="character">
    <w:name w:val="073 Text"/>
    <w:rPr>
      <w:color w:val="000088"/>
      <w:shd w:fill="FFFFFF"/>
    </w:rPr>
  </w:style>
  <w:style w:styleId="Text74" w:type="character">
    <w:name w:val="074 Text"/>
    <w:rPr>
      <w:rFonts w:eastAsia="Ubuntu" w:ascii="Ubuntu" w:cs="Ubuntu" w:hAnsi="Ubuntu"/>
      <w:color w:val="0000FF"/>
      <w:u w:val="single"/>
    </w:rPr>
  </w:style>
  <w:style w:styleId="Text75" w:type="character">
    <w:name w:val="075 Text"/>
    <w:rPr>
      <w:b w:val="on"/>
      <w:bCs w:val="on"/>
      <w:i w:val="on"/>
      <w:iCs w:val="on"/>
      <w:color w:val="00CCFF"/>
    </w:rPr>
  </w:style>
  <w:style w:styleId="Text76" w:type="character">
    <w:name w:val="076 Text"/>
    <w:rPr>
      <w:color w:val="CC3300"/>
      <w:u w:val="single"/>
    </w:rPr>
  </w:style>
  <w:style w:styleId="Text77" w:type="character">
    <w:name w:val="077 Text"/>
    <w:rPr>
      <w:b w:val="on"/>
      <w:bCs w:val="on"/>
      <w:color w:val="CC3300"/>
    </w:rPr>
  </w:style>
  <w:style w:styleId="Text78" w:type="character">
    <w:name w:val="078 Text"/>
    <w:rPr>
      <w:rFonts w:hAnsi="Ubuntu Mono Bold" w:ascii="Ubuntu Mono Bold" w:eastAsia="Ubuntu Mono Bold" w:cs="Ubuntu Mono Bold"/>
      <w:i w:val="on"/>
      <w:iCs w:val="on"/>
    </w:rPr>
  </w:style>
  <w:style w:styleId="Text79" w:type="character">
    <w:name w:val="079 Text"/>
    <w:rPr>
      <w:rFonts w:hAnsi="Ubuntu Mono BoldItal" w:eastAsia="Ubuntu Mono BoldItal" w:ascii="Ubuntu Mono BoldItal" w:cs="Ubuntu Mono BoldItal"/>
      <w:i w:val="on"/>
      <w:iCs w:val="on"/>
    </w:rPr>
  </w:style>
  <w:style w:styleId="Text80" w:type="character">
    <w:name w:val="080 Text"/>
    <w:rPr>
      <w:i w:val="on"/>
      <w:iCs w:val="on"/>
      <w:color w:val="006699"/>
    </w:rPr>
  </w:style>
  <w:style w:styleId="Text81" w:type="character">
    <w:name w:val="081 Text"/>
    <w:rPr>
      <w:color w:val="AA0000"/>
      <w:shd w:fill="EEF2F6"/>
    </w:rPr>
  </w:style>
  <w:style w:styleId="Text82" w:type="character">
    <w:name w:val="082 Text"/>
    <w:rPr>
      <w:b w:val="on"/>
      <w:bCs w:val="on"/>
      <w:i w:val="on"/>
      <w:iCs w:val="on"/>
      <w:color w:val="35586C"/>
    </w:rPr>
  </w:style>
  <w:style w:styleId="Text83" w:type="character">
    <w:name w:val="083 Text"/>
    <w:rPr>
      <w:color w:val="BBBBBB"/>
    </w:rPr>
  </w:style>
  <w:style w:styleId="Text84" w:type="character">
    <w:name w:val="084 Text"/>
    <w:rPr>
      <w:rFonts w:hAnsi="Ubuntu Mono BoldItal" w:eastAsia="Ubuntu Mono BoldItal" w:ascii="Ubuntu Mono BoldItal" w:cs="Ubuntu Mono BoldItal"/>
      <w:b w:val="on"/>
      <w:bCs w:val="on"/>
      <w:i w:val="on"/>
      <w:iCs w:val="on"/>
    </w:rPr>
  </w:style>
  <w:style w:styleId="Text85" w:type="character">
    <w:name w:val="085 Text"/>
    <w:rPr>
      <w:color w:val="009999"/>
    </w:rPr>
  </w:style>
  <w:style w:styleId="Text86" w:type="character">
    <w:name w:val="086 Text"/>
    <w:rPr>
      <w:color w:val="FF6600"/>
      <w:shd w:fill="EEF2F6"/>
    </w:rPr>
  </w:style>
  <w:style w:styleId="Text87" w:type="character">
    <w:name w:val="087 Text"/>
    <w:rPr>
      <w:rFonts w:eastAsia="MyriadPro" w:ascii="MyriadPro" w:cs="MyriadPro" w:hAnsi="MyriadPro"/>
      <w:b w:val="on"/>
      <w:bCs w:val="on"/>
      <w:color w:val="FFFFFF"/>
      <w:shd w:fill="000000"/>
    </w:rPr>
  </w:style>
  <w:style w:styleId="Text88" w:type="character">
    <w:name w:val="088 Text"/>
    <w:rPr>
      <w:color w:val="555555"/>
      <w:shd w:fill="FFFFFF"/>
    </w:rPr>
  </w:style>
  <w:style w:styleId="Text89" w:type="character">
    <w:name w:val="089 Text"/>
    <w:rPr>
      <w:b w:val="on"/>
      <w:bCs w:val="on"/>
      <w:i w:val="on"/>
      <w:iCs w:val="on"/>
      <w:color w:val="CC0000"/>
    </w:rPr>
  </w:style>
  <w:style w:styleId="Text90" w:type="character">
    <w:name w:val="090 Text"/>
    <w:rPr>
      <w:sz w:val="18"/>
      <w:szCs w:val="18"/>
    </w:rPr>
  </w:style>
  <w:style w:styleId="Text91" w:type="character">
    <w:name w:val="091 Text"/>
    <w:rPr>
      <w:b w:val="on"/>
      <w:bCs w:val="on"/>
      <w:color w:val="00AA88"/>
    </w:rPr>
  </w:style>
  <w:style w:styleId="Text92" w:type="character">
    <w:name w:val="092 Text"/>
    <w:rPr>
      <w:b w:val="on"/>
      <w:bCs w:val="on"/>
      <w:i w:val="on"/>
      <w:iCs w:val="on"/>
    </w:rPr>
  </w:style>
  <w:style w:styleId="Text93" w:type="character">
    <w:name w:val="093 Text"/>
    <w:rPr>
      <w:b w:val="on"/>
      <w:bCs w:val="on"/>
      <w:color w:val="FF6600"/>
    </w:rPr>
  </w:style>
  <w:style w:styleId="Text94" w:type="character">
    <w:name w:val="094 Text"/>
    <w:rPr>
      <w:color w:val="006699"/>
      <w:shd w:fill="FFFFFF"/>
    </w:rPr>
  </w:style>
  <w:style w:styleId="Text95" w:type="character">
    <w:name w:val="095 Text"/>
    <w:rPr>
      <w:rFonts w:hAnsi="Noto serif" w:eastAsia="Noto serif" w:ascii="Noto serif" w:cs="Noto serif"/>
      <w:sz w:val="18"/>
      <w:szCs w:val="18"/>
      <w:color w:val="0000FF"/>
      <w:u w:val="single"/>
    </w:rPr>
  </w:style>
  <w:style w:styleId="Text96" w:type="character">
    <w:name w:val="096 Text"/>
    <w:rPr>
      <w:sz w:val="14"/>
      <w:szCs w:val="14"/>
      <w:color w:val="0000FF"/>
      <w:u w:val="single"/>
    </w:rPr>
  </w:style>
  <w:style w:styleId="Text97" w:type="character">
    <w:name w:val="097 Text"/>
    <w:rPr>
      <w:b w:val="on"/>
      <w:bCs w:val="on"/>
      <w:i w:val="on"/>
      <w:iCs w:val="on"/>
      <w:color w:val="00AA88"/>
    </w:rPr>
  </w:style>
  <w:style w:styleId="Text98" w:type="character">
    <w:name w:val="098 Text"/>
    <w:rPr>
      <w:b w:val="on"/>
      <w:bCs w:val="on"/>
      <w:i w:val="on"/>
      <w:iCs w:val="on"/>
      <w:color w:val="555555"/>
    </w:rPr>
  </w:style>
  <w:style w:styleId="Text99" w:type="character">
    <w:name w:val="099 Text"/>
    <w:rPr>
      <w:rFonts w:cs="Ubuntu Mono" w:hAnsi="Ubuntu Mono" w:eastAsia="Ubuntu Mono" w:ascii="Ubuntu Mono"/>
      <w:sz w:val="18"/>
      <w:szCs w:val="18"/>
    </w:rPr>
  </w:style>
  <w:style w:styleId="Text100" w:type="character">
    <w:name w:val="100 Text"/>
    <w:rPr>
      <w:rFonts w:cs="Ubuntu Mono" w:hAnsi="Ubuntu Mono" w:eastAsia="Ubuntu Mono" w:ascii="Ubuntu Mono"/>
      <w:color w:val="000000"/>
      <w:u w:val="none"/>
    </w:rPr>
  </w:style>
  <w:style w:styleId="Text101" w:type="character">
    <w:name w:val="101 Text"/>
    <w:rPr>
      <w:color w:val="000000"/>
      <w:shd w:fill="FFFFFF"/>
    </w:rPr>
  </w:style>
  <w:style w:styleId="Text102" w:type="character">
    <w:name w:val="102 Text"/>
    <w:rPr>
      <w:color w:val="AA0000"/>
      <w:shd w:fill="FFFFFF"/>
    </w:rPr>
  </w:style>
  <w:style w:styleId="Text103" w:type="character">
    <w:name w:val="103 Text"/>
    <w:rPr>
      <w:rFonts w:hAnsi="Ubuntu Mono Bold" w:ascii="Ubuntu Mono Bold" w:eastAsia="Ubuntu Mono Bold" w:cs="Ubuntu Mono Bold"/>
      <w:b w:val="on"/>
      <w:bCs w:val="on"/>
      <w:color w:val="0000FF"/>
    </w:rPr>
  </w:style>
  <w:style w:styleId="Text104" w:type="character">
    <w:name w:val="104 Text"/>
    <w:rPr>
      <w:shd w:fill="auto"/>
    </w:rPr>
  </w:style>
  <w:style w:styleId="Text105" w:type="character">
    <w:name w:val="105 Text"/>
    <w:rPr>
      <w:i w:val="on"/>
      <w:iCs w:val="on"/>
      <w:color w:val="D3002D"/>
      <w:u w:val="single"/>
    </w:rPr>
  </w:style>
  <w:style w:styleId="Text106" w:type="character">
    <w:name w:val="106 Text"/>
    <w:rPr>
      <w:b w:val="on"/>
      <w:bCs w:val="on"/>
      <w:i w:val="on"/>
      <w:iCs w:val="on"/>
      <w:color w:val="336666"/>
    </w:rPr>
  </w:style>
  <w:style w:styleId="Text107" w:type="character">
    <w:name w:val="107 Text"/>
    <w:rPr>
      <w:rFonts w:eastAsia="Ubuntu" w:ascii="Ubuntu" w:cs="Ubuntu" w:hAnsi="Ubuntu"/>
      <w:b w:val="on"/>
      <w:bCs w:val="on"/>
    </w:rPr>
  </w:style>
  <w:style w:styleId="Text108" w:type="character">
    <w:name w:val="108 Text"/>
    <w:rPr>
      <w:color w:val="006699"/>
      <w:shd w:fill="EEF2F6"/>
    </w:rPr>
  </w:style>
  <w:style w:styleId="Text109" w:type="character">
    <w:name w:val="109 Text"/>
    <w:rPr>
      <w:color w:val="CC3300"/>
      <w:shd w:fill="FFFFFF"/>
    </w:rPr>
  </w:style>
  <w:style w:styleId="Text110" w:type="character">
    <w:name w:val="110 Text"/>
    <w:rPr>
      <w:rFonts w:cs="Consolas" w:hAnsi="Consolas" w:eastAsia="Consolas" w:ascii="Consolas"/>
      <w:b w:val="on"/>
      <w:bCs w:val="on"/>
      <w:i w:val="on"/>
      <w:iCs w:val="on"/>
    </w:rPr>
  </w:style>
  <w:style w:styleId="Text111" w:type="character">
    <w:name w:val="111 Text"/>
    <w:rPr>
      <w:color w:val="D3002D"/>
      <w:u w:val="single"/>
    </w:rPr>
  </w:style>
  <w:style w:styleId="Text112" w:type="character">
    <w:name w:val="112 Text"/>
    <w:rPr>
      <w:b w:val="on"/>
      <w:bCs w:val="on"/>
      <w:color w:val="9999FF"/>
    </w:rPr>
  </w:style>
  <w:style w:styleId="Text113" w:type="character">
    <w:name w:val="113 Text"/>
    <w:rPr>
      <w:rFonts w:eastAsia="Ubuntu" w:ascii="Ubuntu" w:cs="Ubuntu" w:hAnsi="Ubuntu"/>
      <w:i w:val="on"/>
      <w:iCs w:val="on"/>
    </w:rPr>
  </w:style>
  <w:style w:styleId="Text114" w:type="character">
    <w:name w:val="114 Text"/>
    <w:rPr>
      <w:rFonts w:cs="Ubuntu Mono Ital" w:hAnsi="Ubuntu Mono Ital" w:eastAsia="Ubuntu Mono Ital" w:ascii="Ubuntu Mono Ital"/>
      <w:i w:val="on"/>
      <w:iCs w:val="on"/>
      <w:color w:val="0000FF"/>
    </w:rPr>
  </w:style>
  <w:style w:styleId="Text115" w:type="character">
    <w:name w:val="115 Text"/>
    <w:rPr>
      <w:rFonts w:hAnsi="Noto serif" w:eastAsia="Noto serif" w:ascii="Noto serif" w:cs="Noto serif"/>
      <w:color w:val="D3002D"/>
      <w:u w:val="single"/>
    </w:rPr>
  </w:style>
  <w:style w:styleId="Text116" w:type="character">
    <w:name w:val="116 Text"/>
    <w:rPr>
      <w:i w:val="on"/>
      <w:iCs w:val="on"/>
      <w:color w:val="3D3B49"/>
      <w:shd w:fill="auto"/>
    </w:rPr>
  </w:style>
  <w:style w:styleId="Text117" w:type="character">
    <w:name w:val="117 Text"/>
    <w:rPr>
      <w:rFonts w:cs="Cambria" w:hAnsi="Cambria" w:eastAsia="Cambria" w:ascii="Cambria"/>
      <w:sz w:val="24"/>
      <w:szCs w:val="24"/>
    </w:rPr>
  </w:style>
  <w:style w:styleId="Text118" w:type="character">
    <w:name w:val="118 Text"/>
    <w:rPr>
      <w:b w:val="on"/>
      <w:bCs w:val="on"/>
      <w:color w:val="3D3B49"/>
      <w:shd w:fill="auto"/>
    </w:rPr>
  </w:style>
  <w:style w:styleId="Text119" w:type="character">
    <w:name w:val="119 Text"/>
    <w:rPr>
      <w:rFonts w:hAnsi="Noto serif" w:eastAsia="Noto serif" w:ascii="Noto serif" w:cs="Noto serif"/>
      <w:color w:val="0000FF"/>
      <w:shd w:fill="auto"/>
      <w:u w:val="single"/>
    </w:rPr>
  </w:style>
  <w:style w:styleId="Text120" w:type="character">
    <w:name w:val="120 Text"/>
    <w:rPr>
      <w:b w:val="on"/>
      <w:bCs w:val="on"/>
      <w:shd w:fill="auto"/>
    </w:rPr>
  </w:style>
  <w:style w:styleId="Text121" w:type="character">
    <w:name w:val="121 Text"/>
    <w:rPr>
      <w:rFonts w:hAnsi="Noto serif" w:eastAsia="Noto serif" w:ascii="Noto serif" w:cs="Noto serif"/>
      <w:color w:val="D3002D"/>
      <w:shd w:fill="auto"/>
      <w:u w:val="single"/>
    </w:rPr>
  </w:style>
  <w:style w:styleId="Text122" w:type="character">
    <w:name w:val="122 Text"/>
    <w:rPr>
      <w:sz w:val="24"/>
      <w:szCs w:val="24"/>
    </w:rPr>
  </w:style>
  <w:style w:styleId="Text123" w:type="character">
    <w:name w:val="123 Text"/>
    <w:rPr>
      <w:rFonts w:cs="Cambria" w:hAnsi="Cambria" w:eastAsia="Cambria" w:ascii="Cambria"/>
      <w:sz w:val="24"/>
      <w:szCs w:val="24"/>
      <w:i w:val="on"/>
      <w:iCs w:val="on"/>
    </w:rPr>
  </w:style>
  <w:style w:styleId="Text124" w:type="character">
    <w:name w:val="124 Text"/>
    <w:rPr>
      <w:rFonts w:hAnsi="Noto serif" w:eastAsia="Noto serif" w:ascii="Noto serif" w:cs="Noto serif"/>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ns4_0101.png"/><Relationship Id="rId6" Type="http://schemas.openxmlformats.org/officeDocument/2006/relationships/image" Target="media/pns4_0301.png"/><Relationship Id="rId7" Type="http://schemas.openxmlformats.org/officeDocument/2006/relationships/image" Target="media/1.png"/><Relationship Id="rId8" Type="http://schemas.openxmlformats.org/officeDocument/2006/relationships/image" Target="media/pns4_1701.png"/><Relationship Id="rId9" Type="http://schemas.openxmlformats.org/officeDocument/2006/relationships/image" Target="media/pns4_1702.png"/><Relationship Id="rId10" Type="http://schemas.openxmlformats.org/officeDocument/2006/relationships/image" Target="media/pns4_1703.png"/><Relationship Id="rId11" Type="http://schemas.openxmlformats.org/officeDocument/2006/relationships/image" Target="media/pns4_2001.png"/><Relationship Id="rId12" Type="http://schemas.openxmlformats.org/officeDocument/2006/relationships/image" Target="media/cover.jpeg"/><Relationship Id="rId13" Type="http://schemas.openxmlformats.org/officeDocument/2006/relationships/hyperlink" Target="http://oreilly.com" TargetMode="External"/><Relationship Id="rId14" Type="http://schemas.openxmlformats.org/officeDocument/2006/relationships/hyperlink" Target="https://www.oreilly.com/catalog/errata.csp?isbn=0636920602804" TargetMode="External"/><Relationship Id="rId15" Type="http://schemas.openxmlformats.org/officeDocument/2006/relationships/hyperlink" Target="https://oreil.ly/u0RLL" TargetMode="External"/><Relationship Id="rId16" Type="http://schemas.openxmlformats.org/officeDocument/2006/relationships/hyperlink" Target="https://oreil.ly/BM68x" TargetMode="External"/><Relationship Id="rId17" Type="http://schemas.openxmlformats.org/officeDocument/2006/relationships/hyperlink" Target="https://oreilly.com" TargetMode="External"/><Relationship Id="rId18" Type="http://schemas.openxmlformats.org/officeDocument/2006/relationships/hyperlink" Target="https://github.com/pynutshell/pynut4" TargetMode="External"/><Relationship Id="rId19" Type="http://schemas.openxmlformats.org/officeDocument/2006/relationships/hyperlink" Target="https://oreil.ly/python-nutshell-4e" TargetMode="External"/><Relationship Id="rId20" Type="http://schemas.openxmlformats.org/officeDocument/2006/relationships/hyperlink" Target="https://linkedin.com/company/oreilly-media" TargetMode="External"/><Relationship Id="rId21" Type="http://schemas.openxmlformats.org/officeDocument/2006/relationships/hyperlink" Target="https://twitter.com/oreillymedia" TargetMode="External"/><Relationship Id="rId22" Type="http://schemas.openxmlformats.org/officeDocument/2006/relationships/hyperlink" Target="https://www.youtube.com/oreillymedia" TargetMode="External"/><Relationship Id="rId23" Type="http://schemas.openxmlformats.org/officeDocument/2006/relationships/hyperlink" Target="https://oreil.ly/qxdeK" TargetMode="External"/><Relationship Id="rId24" Type="http://schemas.openxmlformats.org/officeDocument/2006/relationships/hyperlink" Target="https://oreil.ly/python-nutshell-25" TargetMode="External"/><Relationship Id="rId25" Type="http://schemas.openxmlformats.org/officeDocument/2006/relationships/hyperlink" Target="https://nuitka.net" TargetMode="External"/><Relationship Id="rId26" Type="http://schemas.openxmlformats.org/officeDocument/2006/relationships/hyperlink" Target="https://oreil.ly/1oUWk" TargetMode="External"/><Relationship Id="rId27" Type="http://schemas.openxmlformats.org/officeDocument/2006/relationships/hyperlink" Target="https://oreil.ly/1XRt_" TargetMode="External"/><Relationship Id="rId28" Type="http://schemas.openxmlformats.org/officeDocument/2006/relationships/hyperlink" Target="https://www.pyston.org" TargetMode="External"/><Relationship Id="rId29" Type="http://schemas.openxmlformats.org/officeDocument/2006/relationships/hyperlink" Target="https://www.python.org" TargetMode="External"/><Relationship Id="rId30" Type="http://schemas.openxmlformats.org/officeDocument/2006/relationships/hyperlink" Target="https://pypy.org" TargetMode="External"/><Relationship Id="rId31" Type="http://schemas.openxmlformats.org/officeDocument/2006/relationships/hyperlink" Target="https://oreil.ly/c-TxU" TargetMode="External"/><Relationship Id="rId32" Type="http://schemas.openxmlformats.org/officeDocument/2006/relationships/hyperlink" Target="https://www.jython.org" TargetMode="External"/><Relationship Id="rId33" Type="http://schemas.openxmlformats.org/officeDocument/2006/relationships/hyperlink" Target="https://oreil.ly/Q8EQB" TargetMode="External"/><Relationship Id="rId34" Type="http://schemas.openxmlformats.org/officeDocument/2006/relationships/hyperlink" Target="https://ironpython.net" TargetMode="External"/><Relationship Id="rId35" Type="http://schemas.openxmlformats.org/officeDocument/2006/relationships/hyperlink" Target="https://oreil.ly/o_MTn" TargetMode="External"/><Relationship Id="rId36" Type="http://schemas.openxmlformats.org/officeDocument/2006/relationships/hyperlink" Target="https://numba.pydata.org" TargetMode="External"/><Relationship Id="rId37" Type="http://schemas.openxmlformats.org/officeDocument/2006/relationships/hyperlink" Target="https://oreil.ly/P7wKC" TargetMode="External"/><Relationship Id="rId38" Type="http://schemas.openxmlformats.org/officeDocument/2006/relationships/hyperlink" Target="https://oreil.ly/5zjOG" TargetMode="External"/><Relationship Id="rId39" Type="http://schemas.openxmlformats.org/officeDocument/2006/relationships/hyperlink" Target="https://oreil.ly/lFDGw" TargetMode="External"/><Relationship Id="rId40" Type="http://schemas.openxmlformats.org/officeDocument/2006/relationships/hyperlink" Target="https://ipython.org" TargetMode="External"/><Relationship Id="rId41" Type="http://schemas.openxmlformats.org/officeDocument/2006/relationships/hyperlink" Target="https://oreil.ly/tx5B3" TargetMode="External"/><Relationship Id="rId42" Type="http://schemas.openxmlformats.org/officeDocument/2006/relationships/hyperlink" Target="https://www.raspberrypi.org" TargetMode="External"/><Relationship Id="rId43" Type="http://schemas.openxmlformats.org/officeDocument/2006/relationships/hyperlink" Target="https://beagleboard.org" TargetMode="External"/><Relationship Id="rId44" Type="http://schemas.openxmlformats.org/officeDocument/2006/relationships/hyperlink" Target="https://micropython.org" TargetMode="External"/><Relationship Id="rId45" Type="http://schemas.openxmlformats.org/officeDocument/2006/relationships/hyperlink" Target="https://oreil.ly/6Ifug" TargetMode="External"/><Relationship Id="rId46" Type="http://schemas.openxmlformats.org/officeDocument/2006/relationships/hyperlink" Target="https://microbit.org" TargetMode="External"/><Relationship Id="rId47" Type="http://schemas.openxmlformats.org/officeDocument/2006/relationships/hyperlink" Target="https://www.arduino.cc/" TargetMode="External"/><Relationship Id="rId48" Type="http://schemas.openxmlformats.org/officeDocument/2006/relationships/hyperlink" Target="https://store.micropython.org/product/PYBv1.1" TargetMode="External"/><Relationship Id="rId49" Type="http://schemas.openxmlformats.org/officeDocument/2006/relationships/hyperlink" Target="https://en.wikipedia.org/wiki/Lego_Mindstorms_EV3" TargetMode="External"/><Relationship Id="rId50" Type="http://schemas.openxmlformats.org/officeDocument/2006/relationships/hyperlink" Target="https://www.hifiveinventor.com" TargetMode="External"/><Relationship Id="rId51" Type="http://schemas.openxmlformats.org/officeDocument/2006/relationships/hyperlink" Target="https://oreil.ly/6-s7Q" TargetMode="External"/><Relationship Id="rId52" Type="http://schemas.openxmlformats.org/officeDocument/2006/relationships/hyperlink" Target="https://oreil.ly/Xe5YP" TargetMode="External"/><Relationship Id="rId53" Type="http://schemas.openxmlformats.org/officeDocument/2006/relationships/hyperlink" Target="https://oreil.ly/sch3F" TargetMode="External"/><Relationship Id="rId54" Type="http://schemas.openxmlformats.org/officeDocument/2006/relationships/hyperlink" Target="https://www.anaconda.com" TargetMode="External"/><Relationship Id="rId55" Type="http://schemas.openxmlformats.org/officeDocument/2006/relationships/hyperlink" Target="https://oreil.ly/dfX4M" TargetMode="External"/><Relationship Id="rId56" Type="http://schemas.openxmlformats.org/officeDocument/2006/relationships/hyperlink" Target="https://oreil.ly/88o8b" TargetMode="External"/><Relationship Id="rId57" Type="http://schemas.openxmlformats.org/officeDocument/2006/relationships/hyperlink" Target="https://www.transcrypt.org" TargetMode="External"/><Relationship Id="rId58" Type="http://schemas.openxmlformats.org/officeDocument/2006/relationships/hyperlink" Target="https://oreil.ly/WjVAa" TargetMode="External"/><Relationship Id="rId59" Type="http://schemas.openxmlformats.org/officeDocument/2006/relationships/hyperlink" Target="https://brython.info" TargetMode="External"/><Relationship Id="rId60" Type="http://schemas.openxmlformats.org/officeDocument/2006/relationships/hyperlink" Target="https://skulpt.org" TargetMode="External"/><Relationship Id="rId61" Type="http://schemas.openxmlformats.org/officeDocument/2006/relationships/hyperlink" Target="https://pypyjs.org" TargetMode="External"/><Relationship Id="rId62" Type="http://schemas.openxmlformats.org/officeDocument/2006/relationships/hyperlink" Target="https://oreil.ly/jb_US" TargetMode="External"/><Relationship Id="rId63" Type="http://schemas.openxmlformats.org/officeDocument/2006/relationships/hyperlink" Target="https://webassembly.org" TargetMode="External"/><Relationship Id="rId64" Type="http://schemas.openxmlformats.org/officeDocument/2006/relationships/hyperlink" Target="https://pyscript.net" TargetMode="External"/><Relationship Id="rId65" Type="http://schemas.openxmlformats.org/officeDocument/2006/relationships/hyperlink" Target="https://oreil.ly/NjjDu" TargetMode="External"/><Relationship Id="rId66" Type="http://schemas.openxmlformats.org/officeDocument/2006/relationships/hyperlink" Target="https://github.com/python" TargetMode="External"/><Relationship Id="rId67" Type="http://schemas.openxmlformats.org/officeDocument/2006/relationships/hyperlink" Target="https://oreil.ly/WKjXc" TargetMode="External"/><Relationship Id="rId68" Type="http://schemas.openxmlformats.org/officeDocument/2006/relationships/hyperlink" Target="https://oreil.ly/HxHfs" TargetMode="External"/><Relationship Id="rId69" Type="http://schemas.openxmlformats.org/officeDocument/2006/relationships/hyperlink" Target="https://oreil.ly/VYX-k" TargetMode="External"/><Relationship Id="rId70" Type="http://schemas.openxmlformats.org/officeDocument/2006/relationships/hyperlink" Target="https://oreil.ly/JbCv3" TargetMode="External"/><Relationship Id="rId71" Type="http://schemas.openxmlformats.org/officeDocument/2006/relationships/hyperlink" Target="https://docs.python.org/3" TargetMode="External"/><Relationship Id="rId72" Type="http://schemas.openxmlformats.org/officeDocument/2006/relationships/hyperlink" Target="https://www.python.org/doc" TargetMode="External"/><Relationship Id="rId73" Type="http://schemas.openxmlformats.org/officeDocument/2006/relationships/hyperlink" Target="http://doc.pypy.org" TargetMode="External"/><Relationship Id="rId74" Type="http://schemas.openxmlformats.org/officeDocument/2006/relationships/hyperlink" Target="https://oreil.ly/-NU8p" TargetMode="External"/><Relationship Id="rId75" Type="http://schemas.openxmlformats.org/officeDocument/2006/relationships/hyperlink" Target="https://oreil.ly/ajNWC" TargetMode="External"/><Relationship Id="rId76" Type="http://schemas.openxmlformats.org/officeDocument/2006/relationships/hyperlink" Target="https://oreil.ly/HnXMA" TargetMode="External"/><Relationship Id="rId77" Type="http://schemas.openxmlformats.org/officeDocument/2006/relationships/hyperlink" Target="https://oreil.ly/FQExV" TargetMode="External"/><Relationship Id="rId78" Type="http://schemas.openxmlformats.org/officeDocument/2006/relationships/hyperlink" Target="https://oreil.ly/kg6Yd" TargetMode="External"/><Relationship Id="rId79" Type="http://schemas.openxmlformats.org/officeDocument/2006/relationships/hyperlink" Target="https://oreil.ly/Yf5cK" TargetMode="External"/><Relationship Id="rId80" Type="http://schemas.openxmlformats.org/officeDocument/2006/relationships/hyperlink" Target="https://oreil.ly/PGIim" TargetMode="External"/><Relationship Id="rId81" Type="http://schemas.openxmlformats.org/officeDocument/2006/relationships/hyperlink" Target="https://oreil.ly/rqYZ9" TargetMode="External"/><Relationship Id="rId82" Type="http://schemas.openxmlformats.org/officeDocument/2006/relationships/hyperlink" Target="https://oreil.ly/zDQ1Z" TargetMode="External"/><Relationship Id="rId83" Type="http://schemas.openxmlformats.org/officeDocument/2006/relationships/hyperlink" Target="https://learning.oreilly.com/library/view/head-first-python/9781491919521/" TargetMode="External"/><Relationship Id="rId84" Type="http://schemas.openxmlformats.org/officeDocument/2006/relationships/hyperlink" Target="https://diveintopython3.net" TargetMode="External"/><Relationship Id="rId85" Type="http://schemas.openxmlformats.org/officeDocument/2006/relationships/hyperlink" Target="https://oreil.ly/YtWRs" TargetMode="External"/><Relationship Id="rId86" Type="http://schemas.openxmlformats.org/officeDocument/2006/relationships/hyperlink" Target="https://www.oreilly.com/library/view/fluent-python/9781491946237/" TargetMode="External"/><Relationship Id="rId87" Type="http://schemas.openxmlformats.org/officeDocument/2006/relationships/hyperlink" Target="https://oreil.ly/oQceG" TargetMode="External"/><Relationship Id="rId88" Type="http://schemas.openxmlformats.org/officeDocument/2006/relationships/hyperlink" Target="https://www.python.org/community" TargetMode="External"/><Relationship Id="rId89" Type="http://schemas.openxmlformats.org/officeDocument/2006/relationships/hyperlink" Target="https://oreil.ly/maILY" TargetMode="External"/><Relationship Id="rId90" Type="http://schemas.openxmlformats.org/officeDocument/2006/relationships/hyperlink" Target="https://oreil.ly/MiQRf" TargetMode="External"/><Relationship Id="rId91" Type="http://schemas.openxmlformats.org/officeDocument/2006/relationships/hyperlink" Target="https://oreil.ly/FFOZ7" TargetMode="External"/><Relationship Id="rId92" Type="http://schemas.openxmlformats.org/officeDocument/2006/relationships/hyperlink" Target="https://oreil.ly/MzdRK" TargetMode="External"/><Relationship Id="rId93" Type="http://schemas.openxmlformats.org/officeDocument/2006/relationships/hyperlink" Target="https://oreil.ly/1Jwwb" TargetMode="External"/><Relationship Id="rId94" Type="http://schemas.openxmlformats.org/officeDocument/2006/relationships/hyperlink" Target="https://oreil.ly/0GmfI" TargetMode="External"/><Relationship Id="rId95" Type="http://schemas.openxmlformats.org/officeDocument/2006/relationships/hyperlink" Target="https://oreil.ly/0Zxm7" TargetMode="External"/><Relationship Id="rId96" Type="http://schemas.openxmlformats.org/officeDocument/2006/relationships/hyperlink" Target="https://packaging.python.org" TargetMode="External"/><Relationship Id="rId97" Type="http://schemas.openxmlformats.org/officeDocument/2006/relationships/hyperlink" Target="https://oreil.ly/ZljIc" TargetMode="External"/><Relationship Id="rId98" Type="http://schemas.openxmlformats.org/officeDocument/2006/relationships/hyperlink" Target="https://oreil.ly/koEo4" TargetMode="External"/><Relationship Id="rId99" Type="http://schemas.openxmlformats.org/officeDocument/2006/relationships/hyperlink" Target="https://us.pycon.org" TargetMode="External"/><Relationship Id="rId100" Type="http://schemas.openxmlformats.org/officeDocument/2006/relationships/hyperlink" Target="https://oreil.ly/nF74d" TargetMode="External"/><Relationship Id="rId101" Type="http://schemas.openxmlformats.org/officeDocument/2006/relationships/hyperlink" Target="http://www.pyohio.org" TargetMode="External"/><Relationship Id="rId102" Type="http://schemas.openxmlformats.org/officeDocument/2006/relationships/hyperlink" Target="https://www.pycon.it/en" TargetMode="External"/><Relationship Id="rId103" Type="http://schemas.openxmlformats.org/officeDocument/2006/relationships/hyperlink" Target="https://www.scipy2022.scipy.org" TargetMode="External"/><Relationship Id="rId104" Type="http://schemas.openxmlformats.org/officeDocument/2006/relationships/hyperlink" Target="http://pydata.org/events.html" TargetMode="External"/><Relationship Id="rId105" Type="http://schemas.openxmlformats.org/officeDocument/2006/relationships/hyperlink" Target="https://oreil.ly/asosj" TargetMode="External"/><Relationship Id="rId106" Type="http://schemas.openxmlformats.org/officeDocument/2006/relationships/hyperlink" Target="https://pyvideo.org" TargetMode="External"/><Relationship Id="rId107" Type="http://schemas.openxmlformats.org/officeDocument/2006/relationships/hyperlink" Target="https://oreil.ly/cY6Mk" TargetMode="External"/><Relationship Id="rId108" Type="http://schemas.openxmlformats.org/officeDocument/2006/relationships/hyperlink" Target="https://oreil.ly/h6oEs" TargetMode="External"/><Relationship Id="rId109" Type="http://schemas.openxmlformats.org/officeDocument/2006/relationships/hyperlink" Target="http://www.pyladies.com" TargetMode="External"/><Relationship Id="rId110" Type="http://schemas.openxmlformats.org/officeDocument/2006/relationships/hyperlink" Target="https://numfocus.org" TargetMode="External"/><Relationship Id="rId111" Type="http://schemas.openxmlformats.org/officeDocument/2006/relationships/hyperlink" Target="https://www.python.org/community/lists" TargetMode="External"/><Relationship Id="rId112" Type="http://schemas.openxmlformats.org/officeDocument/2006/relationships/hyperlink" Target="https://oreil.ly/5qYdq" TargetMode="External"/><Relationship Id="rId113" Type="http://schemas.openxmlformats.org/officeDocument/2006/relationships/hyperlink" Target="https://mail.python.org/archives" TargetMode="External"/><Relationship Id="rId114" Type="http://schemas.openxmlformats.org/officeDocument/2006/relationships/hyperlink" Target="https://oreil.ly/eg9Ft" TargetMode="External"/><Relationship Id="rId115" Type="http://schemas.openxmlformats.org/officeDocument/2006/relationships/hyperlink" Target="https://oreil.ly/iEQJF" TargetMode="External"/><Relationship Id="rId116" Type="http://schemas.openxmlformats.org/officeDocument/2006/relationships/hyperlink" Target="http://www.pythonweekly.com" TargetMode="External"/><Relationship Id="rId117" Type="http://schemas.openxmlformats.org/officeDocument/2006/relationships/hyperlink" Target="https://oreil.ly/pf4AS" TargetMode="External"/><Relationship Id="rId118" Type="http://schemas.openxmlformats.org/officeDocument/2006/relationships/hyperlink" Target="http://planetpython.org" TargetMode="External"/><Relationship Id="rId119" Type="http://schemas.openxmlformats.org/officeDocument/2006/relationships/hyperlink" Target="http://discuss.python.org" TargetMode="External"/><Relationship Id="rId120" Type="http://schemas.openxmlformats.org/officeDocument/2006/relationships/hyperlink" Target="https://libera.chat" TargetMode="External"/><Relationship Id="rId121" Type="http://schemas.openxmlformats.org/officeDocument/2006/relationships/hyperlink" Target="https://oreil.ly/AXMAf" TargetMode="External"/><Relationship Id="rId122" Type="http://schemas.openxmlformats.org/officeDocument/2006/relationships/hyperlink" Target="https://www.linkedin.com" TargetMode="External"/><Relationship Id="rId123" Type="http://schemas.openxmlformats.org/officeDocument/2006/relationships/hyperlink" Target="https://oreil.ly/-LKFZ" TargetMode="External"/><Relationship Id="rId124" Type="http://schemas.openxmlformats.org/officeDocument/2006/relationships/hyperlink" Target="https://pyslackers.com" TargetMode="External"/><Relationship Id="rId125" Type="http://schemas.openxmlformats.org/officeDocument/2006/relationships/hyperlink" Target="https://pythondiscord.com" TargetMode="External"/><Relationship Id="rId126" Type="http://schemas.openxmlformats.org/officeDocument/2006/relationships/hyperlink" Target="http://stackoverflow.com" TargetMode="External"/><Relationship Id="rId127" Type="http://schemas.openxmlformats.org/officeDocument/2006/relationships/hyperlink" Target="https://oreil.ly/GHoVY" TargetMode="External"/><Relationship Id="rId128" Type="http://schemas.openxmlformats.org/officeDocument/2006/relationships/hyperlink" Target="https://oreil.ly/K3oK3" TargetMode="External"/><Relationship Id="rId129" Type="http://schemas.openxmlformats.org/officeDocument/2006/relationships/hyperlink" Target="https://pythonbytes.fm" TargetMode="External"/><Relationship Id="rId130" Type="http://schemas.openxmlformats.org/officeDocument/2006/relationships/hyperlink" Target="https://oreil.ly/b3AP7" TargetMode="External"/><Relationship Id="rId131" Type="http://schemas.openxmlformats.org/officeDocument/2006/relationships/hyperlink" Target="http://rpmfind.net" TargetMode="External"/><Relationship Id="rId132" Type="http://schemas.openxmlformats.org/officeDocument/2006/relationships/hyperlink" Target="http://www.debian.org" TargetMode="External"/><Relationship Id="rId133" Type="http://schemas.openxmlformats.org/officeDocument/2006/relationships/hyperlink" Target="https://oreil.ly/xvFYV" TargetMode="External"/><Relationship Id="rId134" Type="http://schemas.openxmlformats.org/officeDocument/2006/relationships/hyperlink" Target="https://oreil.ly/gnJND" TargetMode="External"/><Relationship Id="rId135" Type="http://schemas.openxmlformats.org/officeDocument/2006/relationships/hyperlink" Target="https://oreil.ly/RelC0" TargetMode="External"/><Relationship Id="rId136" Type="http://schemas.openxmlformats.org/officeDocument/2006/relationships/hyperlink" Target="https://oreil.ly/Sb7_n" TargetMode="External"/><Relationship Id="rId137" Type="http://schemas.openxmlformats.org/officeDocument/2006/relationships/hyperlink" Target="https://oreil.ly/DxmAG" TargetMode="External"/><Relationship Id="rId138" Type="http://schemas.openxmlformats.org/officeDocument/2006/relationships/hyperlink" Target="http://conda.pydata.org/docs" TargetMode="External"/><Relationship Id="rId139" Type="http://schemas.openxmlformats.org/officeDocument/2006/relationships/hyperlink" Target="https://oreil.ly/RrY5_" TargetMode="External"/><Relationship Id="rId140" Type="http://schemas.openxmlformats.org/officeDocument/2006/relationships/hyperlink" Target="http://brew.sh" TargetMode="External"/><Relationship Id="rId141" Type="http://schemas.openxmlformats.org/officeDocument/2006/relationships/hyperlink" Target="https://oreil.ly/rnK6U" TargetMode="External"/><Relationship Id="rId142" Type="http://schemas.openxmlformats.org/officeDocument/2006/relationships/hyperlink" Target="https://oreil.ly/eblTI" TargetMode="External"/><Relationship Id="rId143" Type="http://schemas.openxmlformats.org/officeDocument/2006/relationships/hyperlink" Target="https://oreil.ly/2j1dK" TargetMode="External"/><Relationship Id="rId144" Type="http://schemas.openxmlformats.org/officeDocument/2006/relationships/hyperlink" Target="https://oreil.ly/HeGVY" TargetMode="External"/><Relationship Id="rId145" Type="http://schemas.openxmlformats.org/officeDocument/2006/relationships/hyperlink" Target="https://oreil.ly/wNIMo" TargetMode="External"/><Relationship Id="rId146" Type="http://schemas.openxmlformats.org/officeDocument/2006/relationships/hyperlink" Target="http://www.7-zip.org" TargetMode="External"/><Relationship Id="rId147" Type="http://schemas.openxmlformats.org/officeDocument/2006/relationships/hyperlink" Target="https://oreil.ly/Fwv5d" TargetMode="External"/><Relationship Id="rId148" Type="http://schemas.openxmlformats.org/officeDocument/2006/relationships/hyperlink" Target="https://oreil.ly/SsGHY" TargetMode="External"/><Relationship Id="rId149" Type="http://schemas.openxmlformats.org/officeDocument/2006/relationships/hyperlink" Target="https://wiki.python.org/moin/Android" TargetMode="External"/><Relationship Id="rId150" Type="http://schemas.openxmlformats.org/officeDocument/2006/relationships/hyperlink" Target="https://oreil.ly/iYnk3" TargetMode="External"/><Relationship Id="rId151" Type="http://schemas.openxmlformats.org/officeDocument/2006/relationships/hyperlink" Target="https://en.wikipedia.org/wiki/Penguin" TargetMode="External"/><Relationship Id="rId152" Type="http://schemas.openxmlformats.org/officeDocument/2006/relationships/hyperlink" Target="https://oreil.ly/_Cu97" TargetMode="External"/><Relationship Id="rId153" Type="http://schemas.openxmlformats.org/officeDocument/2006/relationships/hyperlink" Target="https://oreil.ly/j3XJs" TargetMode="External"/><Relationship Id="rId154" Type="http://schemas.openxmlformats.org/officeDocument/2006/relationships/hyperlink" Target="https://oreil.ly/isww-" TargetMode="External"/><Relationship Id="rId155" Type="http://schemas.openxmlformats.org/officeDocument/2006/relationships/hyperlink" Target="https://oreil.ly/sYdEK" TargetMode="External"/><Relationship Id="rId156" Type="http://schemas.openxmlformats.org/officeDocument/2006/relationships/hyperlink" Target="https://oreil.ly/Co1au" TargetMode="External"/><Relationship Id="rId157" Type="http://schemas.openxmlformats.org/officeDocument/2006/relationships/hyperlink" Target="https://oreil.ly/1ZcA9" TargetMode="External"/><Relationship Id="rId158" Type="http://schemas.openxmlformats.org/officeDocument/2006/relationships/hyperlink" Target="https://oreil.ly/seIne" TargetMode="External"/><Relationship Id="rId159" Type="http://schemas.openxmlformats.org/officeDocument/2006/relationships/hyperlink" Target="http://pypy.org" TargetMode="External"/><Relationship Id="rId160" Type="http://schemas.openxmlformats.org/officeDocument/2006/relationships/hyperlink" Target="http://ipython.org" TargetMode="External"/><Relationship Id="rId161" Type="http://schemas.openxmlformats.org/officeDocument/2006/relationships/hyperlink" Target="https://oreil.ly/UBZVL" TargetMode="External"/><Relationship Id="rId162" Type="http://schemas.openxmlformats.org/officeDocument/2006/relationships/hyperlink" Target="https://oreil.ly/1vXr6" TargetMode="External"/><Relationship Id="rId163" Type="http://schemas.openxmlformats.org/officeDocument/2006/relationships/hyperlink" Target="https://oreil.ly/cU_aD" TargetMode="External"/><Relationship Id="rId164" Type="http://schemas.openxmlformats.org/officeDocument/2006/relationships/hyperlink" Target="https://oreil.ly/wHA6I" TargetMode="External"/><Relationship Id="rId165" Type="http://schemas.openxmlformats.org/officeDocument/2006/relationships/hyperlink" Target="https://oreil.ly/EMpSD" TargetMode="External"/><Relationship Id="rId166" Type="http://schemas.openxmlformats.org/officeDocument/2006/relationships/hyperlink" Target="http://www.pydev.org" TargetMode="External"/><Relationship Id="rId167" Type="http://schemas.openxmlformats.org/officeDocument/2006/relationships/hyperlink" Target="http://www.eclipse.org" TargetMode="External"/><Relationship Id="rId168" Type="http://schemas.openxmlformats.org/officeDocument/2006/relationships/hyperlink" Target="https://wingware.com" TargetMode="External"/><Relationship Id="rId169" Type="http://schemas.openxmlformats.org/officeDocument/2006/relationships/hyperlink" Target="https://oreil.ly/uQWxm" TargetMode="External"/><Relationship Id="rId170" Type="http://schemas.openxmlformats.org/officeDocument/2006/relationships/hyperlink" Target="https://thonny.org" TargetMode="External"/><Relationship Id="rId171" Type="http://schemas.openxmlformats.org/officeDocument/2006/relationships/hyperlink" Target="https://code.visualstudio.com" TargetMode="External"/><Relationship Id="rId172" Type="http://schemas.openxmlformats.org/officeDocument/2006/relationships/hyperlink" Target="https://oreil.ly/VZ7Dl" TargetMode="External"/><Relationship Id="rId173" Type="http://schemas.openxmlformats.org/officeDocument/2006/relationships/hyperlink" Target="https://oreil.ly/HGAzB" TargetMode="External"/><Relationship Id="rId174" Type="http://schemas.openxmlformats.org/officeDocument/2006/relationships/hyperlink" Target="https://oreil.ly/MnEBy" TargetMode="External"/><Relationship Id="rId175" Type="http://schemas.openxmlformats.org/officeDocument/2006/relationships/hyperlink" Target="https://oreil.ly/AIocZ" TargetMode="External"/><Relationship Id="rId176" Type="http://schemas.openxmlformats.org/officeDocument/2006/relationships/hyperlink" Target="http://www.vim.org" TargetMode="External"/><Relationship Id="rId177" Type="http://schemas.openxmlformats.org/officeDocument/2006/relationships/hyperlink" Target="https://www.oreilly.com/library/view/learning-the-vi/9781492078791/" TargetMode="External"/><Relationship Id="rId178" Type="http://schemas.openxmlformats.org/officeDocument/2006/relationships/hyperlink" Target="https://oreil.ly/6pQ6t" TargetMode="External"/><Relationship Id="rId179" Type="http://schemas.openxmlformats.org/officeDocument/2006/relationships/hyperlink" Target="https://www.sublimetext.com" TargetMode="External"/><Relationship Id="rId180" Type="http://schemas.openxmlformats.org/officeDocument/2006/relationships/hyperlink" Target="https://scintilla.org/SciTE.html" TargetMode="External"/><Relationship Id="rId181" Type="http://schemas.openxmlformats.org/officeDocument/2006/relationships/hyperlink" Target="https://oreil.ly/RPeeJ" TargetMode="External"/><Relationship Id="rId182" Type="http://schemas.openxmlformats.org/officeDocument/2006/relationships/hyperlink" Target="https://www.pylint.org" TargetMode="External"/><Relationship Id="rId183" Type="http://schemas.openxmlformats.org/officeDocument/2006/relationships/hyperlink" Target="https://pypi.org/project/flake8" TargetMode="External"/><Relationship Id="rId184" Type="http://schemas.openxmlformats.org/officeDocument/2006/relationships/hyperlink" Target="https://pypi.org/project/black" TargetMode="External"/><Relationship Id="rId185" Type="http://schemas.openxmlformats.org/officeDocument/2006/relationships/hyperlink" Target="https://pypi.org/project/blue" TargetMode="External"/><Relationship Id="rId186" Type="http://schemas.openxmlformats.org/officeDocument/2006/relationships/hyperlink" Target="https://pypi.org/project/pre-commit" TargetMode="External"/><Relationship Id="rId187" Type="http://schemas.openxmlformats.org/officeDocument/2006/relationships/hyperlink" Target="http://mypy-lang.org" TargetMode="External"/><Relationship Id="rId188" Type="http://schemas.openxmlformats.org/officeDocument/2006/relationships/hyperlink" Target="https://oreil.ly/python-nutshell-24" TargetMode="External"/><Relationship Id="rId189" Type="http://schemas.openxmlformats.org/officeDocument/2006/relationships/hyperlink" Target="https://oreil.ly/lmMal" TargetMode="External"/><Relationship Id="rId190" Type="http://schemas.openxmlformats.org/officeDocument/2006/relationships/hyperlink" Target="https://jupyter.org" TargetMode="External"/><Relationship Id="rId191" Type="http://schemas.openxmlformats.org/officeDocument/2006/relationships/hyperlink" Target="https://oreil.ly/yvn4z" TargetMode="External"/><Relationship Id="rId192" Type="http://schemas.openxmlformats.org/officeDocument/2006/relationships/hyperlink" Target="https://revealjs.com" TargetMode="External"/><Relationship Id="rId193" Type="http://schemas.openxmlformats.org/officeDocument/2006/relationships/hyperlink" Target="https://jupyterbook.org" TargetMode="External"/><Relationship Id="rId194" Type="http://schemas.openxmlformats.org/officeDocument/2006/relationships/hyperlink" Target="https://oreil.ly/Y2WS0" TargetMode="External"/><Relationship Id="rId195" Type="http://schemas.openxmlformats.org/officeDocument/2006/relationships/hyperlink" Target="https://learning.oreilly.com/library/view/learning-gnu-emacs/0596006489" TargetMode="External"/><Relationship Id="rId196" Type="http://schemas.openxmlformats.org/officeDocument/2006/relationships/hyperlink" Target="https://oreil.ly/vSs_v" TargetMode="External"/><Relationship Id="rId197" Type="http://schemas.openxmlformats.org/officeDocument/2006/relationships/hyperlink" Target="https://learning.oreilly.com/library/view/uml-2-0-in/0596007957" TargetMode="External"/><Relationship Id="rId198" Type="http://schemas.openxmlformats.org/officeDocument/2006/relationships/hyperlink" Target="https://oreil.ly/GVT93" TargetMode="External"/><Relationship Id="rId199" Type="http://schemas.openxmlformats.org/officeDocument/2006/relationships/hyperlink" Target="https://oreil.ly/lVDFK" TargetMode="External"/><Relationship Id="rId200" Type="http://schemas.openxmlformats.org/officeDocument/2006/relationships/hyperlink" Target="https://oreil.ly/biw1p" TargetMode="External"/><Relationship Id="rId201" Type="http://schemas.openxmlformats.org/officeDocument/2006/relationships/hyperlink" Target="https://oreil.ly/gKFLA" TargetMode="External"/><Relationship Id="rId202" Type="http://schemas.openxmlformats.org/officeDocument/2006/relationships/hyperlink" Target="https://oreil.ly/0nj5h" TargetMode="External"/><Relationship Id="rId203" Type="http://schemas.openxmlformats.org/officeDocument/2006/relationships/hyperlink" Target="https://oreil.ly/q9_k_" TargetMode="External"/><Relationship Id="rId204" Type="http://schemas.openxmlformats.org/officeDocument/2006/relationships/hyperlink" Target="https://oreil.ly/iL3qY" TargetMode="External"/><Relationship Id="rId205" Type="http://schemas.openxmlformats.org/officeDocument/2006/relationships/hyperlink" Target="https://oreil.ly/jVK5H" TargetMode="External"/><Relationship Id="rId206" Type="http://schemas.openxmlformats.org/officeDocument/2006/relationships/hyperlink" Target="https://oreil.ly/q944n" TargetMode="External"/><Relationship Id="rId207" Type="http://schemas.openxmlformats.org/officeDocument/2006/relationships/hyperlink" Target="https://learning.oreilly.com/library/view/unicode-explained/059610121X" TargetMode="External"/><Relationship Id="rId208" Type="http://schemas.openxmlformats.org/officeDocument/2006/relationships/hyperlink" Target="https://unicode.org" TargetMode="External"/><Relationship Id="rId209" Type="http://schemas.openxmlformats.org/officeDocument/2006/relationships/hyperlink" Target="https://oreil.ly/92fm2" TargetMode="External"/><Relationship Id="rId210" Type="http://schemas.openxmlformats.org/officeDocument/2006/relationships/hyperlink" Target="https://oreil.ly/kEa6H" TargetMode="External"/><Relationship Id="rId211" Type="http://schemas.openxmlformats.org/officeDocument/2006/relationships/hyperlink" Target="https://oreil.ly/RmvLN" TargetMode="External"/><Relationship Id="rId212" Type="http://schemas.openxmlformats.org/officeDocument/2006/relationships/hyperlink" Target="http://www.unicode.org/charts" TargetMode="External"/><Relationship Id="rId213" Type="http://schemas.openxmlformats.org/officeDocument/2006/relationships/hyperlink" Target="https://oreil.ly/1YhRm" TargetMode="External"/><Relationship Id="rId214" Type="http://schemas.openxmlformats.org/officeDocument/2006/relationships/hyperlink" Target="https://oreil.ly/TSWCX" TargetMode="External"/><Relationship Id="rId215" Type="http://schemas.openxmlformats.org/officeDocument/2006/relationships/hyperlink" Target="https://oreil.ly/Cbu-F" TargetMode="External"/><Relationship Id="rId216" Type="http://schemas.openxmlformats.org/officeDocument/2006/relationships/hyperlink" Target="https://oreil.ly/O3SO-" TargetMode="External"/><Relationship Id="rId217" Type="http://schemas.openxmlformats.org/officeDocument/2006/relationships/hyperlink" Target="https://oreil.ly/UlgQF" TargetMode="External"/><Relationship Id="rId218" Type="http://schemas.openxmlformats.org/officeDocument/2006/relationships/hyperlink" Target="https://oreil.ly/8aebY" TargetMode="External"/><Relationship Id="rId219" Type="http://schemas.openxmlformats.org/officeDocument/2006/relationships/hyperlink" Target="https://oreil.ly/luTv7" TargetMode="External"/><Relationship Id="rId220" Type="http://schemas.openxmlformats.org/officeDocument/2006/relationships/hyperlink" Target="https://oreil.ly/CVF7t" TargetMode="External"/><Relationship Id="rId221" Type="http://schemas.openxmlformats.org/officeDocument/2006/relationships/hyperlink" Target="https://oreil.ly/6lHq_" TargetMode="External"/><Relationship Id="rId222" Type="http://schemas.openxmlformats.org/officeDocument/2006/relationships/hyperlink" Target="https://oreil.ly/kst2h" TargetMode="External"/><Relationship Id="rId223" Type="http://schemas.openxmlformats.org/officeDocument/2006/relationships/hyperlink" Target="https://oreil.ly/KI68p" TargetMode="External"/><Relationship Id="rId224" Type="http://schemas.openxmlformats.org/officeDocument/2006/relationships/hyperlink" Target="https://oreil.ly/ih77Z" TargetMode="External"/><Relationship Id="rId225" Type="http://schemas.openxmlformats.org/officeDocument/2006/relationships/hyperlink" Target="https://oreil.ly/mN_gv" TargetMode="External"/><Relationship Id="rId226" Type="http://schemas.openxmlformats.org/officeDocument/2006/relationships/hyperlink" Target="https://oreil.ly/m-2JQ" TargetMode="External"/><Relationship Id="rId227" Type="http://schemas.openxmlformats.org/officeDocument/2006/relationships/hyperlink" Target="https://oreil.ly/orJJ1" TargetMode="External"/><Relationship Id="rId228" Type="http://schemas.openxmlformats.org/officeDocument/2006/relationships/hyperlink" Target="https://oreil.ly/0yGz3" TargetMode="External"/><Relationship Id="rId229" Type="http://schemas.openxmlformats.org/officeDocument/2006/relationships/hyperlink" Target="https://oreil.ly/pf6RF" TargetMode="External"/><Relationship Id="rId230" Type="http://schemas.openxmlformats.org/officeDocument/2006/relationships/hyperlink" Target="https://oreil.ly/hetjd" TargetMode="External"/><Relationship Id="rId231" Type="http://schemas.openxmlformats.org/officeDocument/2006/relationships/hyperlink" Target="https://oreil.ly/0jxrp" TargetMode="External"/><Relationship Id="rId232" Type="http://schemas.openxmlformats.org/officeDocument/2006/relationships/hyperlink" Target="https://oreil.ly/aNrSu" TargetMode="External"/><Relationship Id="rId233" Type="http://schemas.openxmlformats.org/officeDocument/2006/relationships/hyperlink" Target="https://oreil.ly/byfuT" TargetMode="External"/><Relationship Id="rId234" Type="http://schemas.openxmlformats.org/officeDocument/2006/relationships/hyperlink" Target="https://oreil.ly/AVoUU" TargetMode="External"/><Relationship Id="rId235" Type="http://schemas.openxmlformats.org/officeDocument/2006/relationships/hyperlink" Target="https://oreil.ly/ViRw9" TargetMode="External"/><Relationship Id="rId236" Type="http://schemas.openxmlformats.org/officeDocument/2006/relationships/hyperlink" Target="https://oreil.ly/rOJTW" TargetMode="External"/><Relationship Id="rId237" Type="http://schemas.openxmlformats.org/officeDocument/2006/relationships/hyperlink" Target="https://oreil.ly/d57vE" TargetMode="External"/><Relationship Id="rId238" Type="http://schemas.openxmlformats.org/officeDocument/2006/relationships/hyperlink" Target="https://en.wikipedia.org/wiki/Modula-3" TargetMode="External"/><Relationship Id="rId239" Type="http://schemas.openxmlformats.org/officeDocument/2006/relationships/hyperlink" Target="https://oreil.ly/5B4nm" TargetMode="External"/><Relationship Id="rId240" Type="http://schemas.openxmlformats.org/officeDocument/2006/relationships/hyperlink" Target="https://oreil.ly/xpp5N" TargetMode="External"/><Relationship Id="rId241" Type="http://schemas.openxmlformats.org/officeDocument/2006/relationships/hyperlink" Target="https://oreil.ly/GFMBC" TargetMode="External"/><Relationship Id="rId242" Type="http://schemas.openxmlformats.org/officeDocument/2006/relationships/hyperlink" Target="https://oreil.ly/61GSZ" TargetMode="External"/><Relationship Id="rId243" Type="http://schemas.openxmlformats.org/officeDocument/2006/relationships/hyperlink" Target="https://oreil.ly/S8kI3" TargetMode="External"/><Relationship Id="rId244" Type="http://schemas.openxmlformats.org/officeDocument/2006/relationships/hyperlink" Target="https://oreil.ly/6fMPM" TargetMode="External"/><Relationship Id="rId245" Type="http://schemas.openxmlformats.org/officeDocument/2006/relationships/hyperlink" Target="https://oreil.ly/rQPK0" TargetMode="External"/><Relationship Id="rId246" Type="http://schemas.openxmlformats.org/officeDocument/2006/relationships/hyperlink" Target="https://oreil.ly/CT6FE" TargetMode="External"/><Relationship Id="rId247" Type="http://schemas.openxmlformats.org/officeDocument/2006/relationships/hyperlink" Target="https://oreil.ly/RHqNo" TargetMode="External"/><Relationship Id="rId248" Type="http://schemas.openxmlformats.org/officeDocument/2006/relationships/hyperlink" Target="https://oreil.ly/-zNQj" TargetMode="External"/><Relationship Id="rId249" Type="http://schemas.openxmlformats.org/officeDocument/2006/relationships/hyperlink" Target="https://oreil.ly/0Ucvm" TargetMode="External"/><Relationship Id="rId250" Type="http://schemas.openxmlformats.org/officeDocument/2006/relationships/hyperlink" Target="https://oreil.ly/uB5XN" TargetMode="External"/><Relationship Id="rId251" Type="http://schemas.openxmlformats.org/officeDocument/2006/relationships/hyperlink" Target="https://oreil.ly/HJ-qQ" TargetMode="External"/><Relationship Id="rId252" Type="http://schemas.openxmlformats.org/officeDocument/2006/relationships/hyperlink" Target="https://oreil.ly/DwB82" TargetMode="External"/><Relationship Id="rId253" Type="http://schemas.openxmlformats.org/officeDocument/2006/relationships/hyperlink" Target="https://oreil.ly/wwuA8" TargetMode="External"/><Relationship Id="rId254" Type="http://schemas.openxmlformats.org/officeDocument/2006/relationships/hyperlink" Target="https://oreil.ly/QuhCB" TargetMode="External"/><Relationship Id="rId255" Type="http://schemas.openxmlformats.org/officeDocument/2006/relationships/hyperlink" Target="https://oreil.ly/7G_j-" TargetMode="External"/><Relationship Id="rId256" Type="http://schemas.openxmlformats.org/officeDocument/2006/relationships/hyperlink" Target="https://oreil.ly/NMMaw" TargetMode="External"/><Relationship Id="rId257" Type="http://schemas.openxmlformats.org/officeDocument/2006/relationships/hyperlink" Target="https://oreil.ly/adB9Z" TargetMode="External"/><Relationship Id="rId258" Type="http://schemas.openxmlformats.org/officeDocument/2006/relationships/hyperlink" Target="https://oreil.ly/069u4" TargetMode="External"/><Relationship Id="rId259" Type="http://schemas.openxmlformats.org/officeDocument/2006/relationships/hyperlink" Target="https://oreil.ly/r-YsZ" TargetMode="External"/><Relationship Id="rId260" Type="http://schemas.openxmlformats.org/officeDocument/2006/relationships/hyperlink" Target="https://oreil.ly/SWLnG" TargetMode="External"/><Relationship Id="rId261" Type="http://schemas.openxmlformats.org/officeDocument/2006/relationships/hyperlink" Target="https://oreil.ly/jKhNR" TargetMode="External"/><Relationship Id="rId262" Type="http://schemas.openxmlformats.org/officeDocument/2006/relationships/hyperlink" Target="https://oreil.ly/gE_Kx" TargetMode="External"/><Relationship Id="rId263" Type="http://schemas.openxmlformats.org/officeDocument/2006/relationships/hyperlink" Target="https://oreil.ly/iMCNG" TargetMode="External"/><Relationship Id="rId264" Type="http://schemas.openxmlformats.org/officeDocument/2006/relationships/hyperlink" Target="https://oreil.ly/isBLG" TargetMode="External"/><Relationship Id="rId265" Type="http://schemas.openxmlformats.org/officeDocument/2006/relationships/hyperlink" Target="https://oreil.ly/Zg_NX" TargetMode="External"/><Relationship Id="rId266" Type="http://schemas.openxmlformats.org/officeDocument/2006/relationships/hyperlink" Target="https://oreil.ly/xhq5g" TargetMode="External"/><Relationship Id="rId267" Type="http://schemas.openxmlformats.org/officeDocument/2006/relationships/hyperlink" Target="http://oreilly.com/library/view/fluent-python-2nd/9781492056348" TargetMode="External"/><Relationship Id="rId268" Type="http://schemas.openxmlformats.org/officeDocument/2006/relationships/hyperlink" Target="https://oreil.ly/vROml" TargetMode="External"/><Relationship Id="rId269" Type="http://schemas.openxmlformats.org/officeDocument/2006/relationships/hyperlink" Target="https://oreil.ly/Jwr_w" TargetMode="External"/><Relationship Id="rId270" Type="http://schemas.openxmlformats.org/officeDocument/2006/relationships/hyperlink" Target="https://oreil.ly/pLihr" TargetMode="External"/><Relationship Id="rId271" Type="http://schemas.openxmlformats.org/officeDocument/2006/relationships/hyperlink" Target="https://oreil.ly/3vJ3W" TargetMode="External"/><Relationship Id="rId272" Type="http://schemas.openxmlformats.org/officeDocument/2006/relationships/hyperlink" Target="https://oreil.ly/wE9rL" TargetMode="External"/><Relationship Id="rId273" Type="http://schemas.openxmlformats.org/officeDocument/2006/relationships/hyperlink" Target="https://oreil.ly/rGXC9" TargetMode="External"/><Relationship Id="rId274" Type="http://schemas.openxmlformats.org/officeDocument/2006/relationships/hyperlink" Target="https://oreil.ly/GX4hz" TargetMode="External"/><Relationship Id="rId275" Type="http://schemas.openxmlformats.org/officeDocument/2006/relationships/hyperlink" Target="https://oreil.ly/0MaWS" TargetMode="External"/><Relationship Id="rId276" Type="http://schemas.openxmlformats.org/officeDocument/2006/relationships/hyperlink" Target="https://oreil.ly/AO1Xa" TargetMode="External"/><Relationship Id="rId277" Type="http://schemas.openxmlformats.org/officeDocument/2006/relationships/hyperlink" Target="http://docs.pytest.org/en/latest" TargetMode="External"/><Relationship Id="rId278" Type="http://schemas.openxmlformats.org/officeDocument/2006/relationships/hyperlink" Target="https://oreil.ly/c4JWE" TargetMode="External"/><Relationship Id="rId279" Type="http://schemas.openxmlformats.org/officeDocument/2006/relationships/hyperlink" Target="https://oreil.ly/QrFfL" TargetMode="External"/><Relationship Id="rId280" Type="http://schemas.openxmlformats.org/officeDocument/2006/relationships/hyperlink" Target="https://oreil.ly/9Wd9A" TargetMode="External"/><Relationship Id="rId281" Type="http://schemas.openxmlformats.org/officeDocument/2006/relationships/hyperlink" Target="https://oreil.ly/cVzGw" TargetMode="External"/><Relationship Id="rId282" Type="http://schemas.openxmlformats.org/officeDocument/2006/relationships/hyperlink" Target="http://pythonwheels.com" TargetMode="External"/><Relationship Id="rId283" Type="http://schemas.openxmlformats.org/officeDocument/2006/relationships/hyperlink" Target="https://oreil.ly/MHZby" TargetMode="External"/><Relationship Id="rId284" Type="http://schemas.openxmlformats.org/officeDocument/2006/relationships/hyperlink" Target="https://oreil.ly/G7zMK" TargetMode="External"/><Relationship Id="rId285" Type="http://schemas.openxmlformats.org/officeDocument/2006/relationships/hyperlink" Target="https://oreil.ly/DVwfT" TargetMode="External"/><Relationship Id="rId286" Type="http://schemas.openxmlformats.org/officeDocument/2006/relationships/hyperlink" Target="https://oreil.ly/wB9LB" TargetMode="External"/><Relationship Id="rId287" Type="http://schemas.openxmlformats.org/officeDocument/2006/relationships/hyperlink" Target="https://oreil.ly/bUfe0" TargetMode="External"/><Relationship Id="rId288" Type="http://schemas.openxmlformats.org/officeDocument/2006/relationships/hyperlink" Target="https://oreil.ly/vfi9I" TargetMode="External"/><Relationship Id="rId289" Type="http://schemas.openxmlformats.org/officeDocument/2006/relationships/hyperlink" Target="https://oreil.ly/fEBZo" TargetMode="External"/><Relationship Id="rId290" Type="http://schemas.openxmlformats.org/officeDocument/2006/relationships/hyperlink" Target="https://anaconda.org" TargetMode="External"/><Relationship Id="rId291" Type="http://schemas.openxmlformats.org/officeDocument/2006/relationships/hyperlink" Target="https://oreil.ly/HlOmv" TargetMode="External"/><Relationship Id="rId292" Type="http://schemas.openxmlformats.org/officeDocument/2006/relationships/hyperlink" Target="https://oreil.ly/SIsvF" TargetMode="External"/><Relationship Id="rId293" Type="http://schemas.openxmlformats.org/officeDocument/2006/relationships/hyperlink" Target="https://oreil.ly/ez2v9" TargetMode="External"/><Relationship Id="rId294" Type="http://schemas.openxmlformats.org/officeDocument/2006/relationships/hyperlink" Target="https://oreil.ly/P5Hym" TargetMode="External"/><Relationship Id="rId295" Type="http://schemas.openxmlformats.org/officeDocument/2006/relationships/hyperlink" Target="https://oreil.ly/oYj2U" TargetMode="External"/><Relationship Id="rId296" Type="http://schemas.openxmlformats.org/officeDocument/2006/relationships/hyperlink" Target="https://oreil.ly/qHMNz" TargetMode="External"/><Relationship Id="rId297" Type="http://schemas.openxmlformats.org/officeDocument/2006/relationships/hyperlink" Target="https://oreil.ly/TVFMb" TargetMode="External"/><Relationship Id="rId298" Type="http://schemas.openxmlformats.org/officeDocument/2006/relationships/hyperlink" Target="https://oreil.ly/2KBRg" TargetMode="External"/><Relationship Id="rId299" Type="http://schemas.openxmlformats.org/officeDocument/2006/relationships/hyperlink" Target="https://oreil.ly/YJKQD" TargetMode="External"/><Relationship Id="rId300" Type="http://schemas.openxmlformats.org/officeDocument/2006/relationships/hyperlink" Target="https://oreil.ly/pMcEY" TargetMode="External"/><Relationship Id="rId301" Type="http://schemas.openxmlformats.org/officeDocument/2006/relationships/hyperlink" Target="https://oreil.ly/SjLW1" TargetMode="External"/><Relationship Id="rId302" Type="http://schemas.openxmlformats.org/officeDocument/2006/relationships/hyperlink" Target="https://oreil.ly/4os3i" TargetMode="External"/><Relationship Id="rId303" Type="http://schemas.openxmlformats.org/officeDocument/2006/relationships/hyperlink" Target="https://oreil.ly/9vMpw" TargetMode="External"/><Relationship Id="rId304" Type="http://schemas.openxmlformats.org/officeDocument/2006/relationships/hyperlink" Target="https://oreil.ly/LH4IP" TargetMode="External"/><Relationship Id="rId305" Type="http://schemas.openxmlformats.org/officeDocument/2006/relationships/hyperlink" Target="https://oreil.ly/8Sf4q" TargetMode="External"/><Relationship Id="rId306" Type="http://schemas.openxmlformats.org/officeDocument/2006/relationships/hyperlink" Target="https://oreil.ly/RivIZ" TargetMode="External"/><Relationship Id="rId307" Type="http://schemas.openxmlformats.org/officeDocument/2006/relationships/hyperlink" Target="https://oreil.ly/WgfFo" TargetMode="External"/><Relationship Id="rId308" Type="http://schemas.openxmlformats.org/officeDocument/2006/relationships/hyperlink" Target="https://oreil.ly/MylAp" TargetMode="External"/><Relationship Id="rId309" Type="http://schemas.openxmlformats.org/officeDocument/2006/relationships/hyperlink" Target="https://oreil.ly/JSvPS" TargetMode="External"/><Relationship Id="rId310" Type="http://schemas.openxmlformats.org/officeDocument/2006/relationships/hyperlink" Target="https://oreil.ly/hLRYd" TargetMode="External"/><Relationship Id="rId311" Type="http://schemas.openxmlformats.org/officeDocument/2006/relationships/hyperlink" Target="https://oreil.ly/1nle3" TargetMode="External"/><Relationship Id="rId312" Type="http://schemas.openxmlformats.org/officeDocument/2006/relationships/hyperlink" Target="https://oreil.ly/RU6F_" TargetMode="External"/><Relationship Id="rId313" Type="http://schemas.openxmlformats.org/officeDocument/2006/relationships/hyperlink" Target="https://oreil.ly/nZ_9m" TargetMode="External"/><Relationship Id="rId314" Type="http://schemas.openxmlformats.org/officeDocument/2006/relationships/hyperlink" Target="https://oreil.ly/7iR8O" TargetMode="External"/><Relationship Id="rId315" Type="http://schemas.openxmlformats.org/officeDocument/2006/relationships/hyperlink" Target="https://oreil.ly/v_ml0" TargetMode="External"/><Relationship Id="rId316" Type="http://schemas.openxmlformats.org/officeDocument/2006/relationships/hyperlink" Target="https://oreil.ly/QWg01" TargetMode="External"/><Relationship Id="rId317" Type="http://schemas.openxmlformats.org/officeDocument/2006/relationships/hyperlink" Target="https://oreil.ly/d5Eew" TargetMode="External"/><Relationship Id="rId318" Type="http://schemas.openxmlformats.org/officeDocument/2006/relationships/hyperlink" Target="https://oreil.ly/3jMaN" TargetMode="External"/><Relationship Id="rId319" Type="http://schemas.openxmlformats.org/officeDocument/2006/relationships/hyperlink" Target="https://oreil.ly/FHlZB" TargetMode="External"/><Relationship Id="rId320" Type="http://schemas.openxmlformats.org/officeDocument/2006/relationships/hyperlink" Target="https://oreil.ly/PjWUT" TargetMode="External"/><Relationship Id="rId321" Type="http://schemas.openxmlformats.org/officeDocument/2006/relationships/hyperlink" Target="https://oreil.ly/aUmUs" TargetMode="External"/><Relationship Id="rId322" Type="http://schemas.openxmlformats.org/officeDocument/2006/relationships/hyperlink" Target="https://oreil.ly/TjsSm" TargetMode="External"/><Relationship Id="rId323" Type="http://schemas.openxmlformats.org/officeDocument/2006/relationships/hyperlink" Target="https://oreil.ly/xwrN8" TargetMode="External"/><Relationship Id="rId324" Type="http://schemas.openxmlformats.org/officeDocument/2006/relationships/hyperlink" Target="https://oreil.ly/3iAbC" TargetMode="External"/><Relationship Id="rId325" Type="http://schemas.openxmlformats.org/officeDocument/2006/relationships/hyperlink" Target="https://oreil.ly/tj7jh" TargetMode="External"/><Relationship Id="rId326" Type="http://schemas.openxmlformats.org/officeDocument/2006/relationships/hyperlink" Target="http://pythex.org" TargetMode="External"/><Relationship Id="rId327" Type="http://schemas.openxmlformats.org/officeDocument/2006/relationships/hyperlink" Target="https://regex101.com" TargetMode="External"/><Relationship Id="rId328" Type="http://schemas.openxmlformats.org/officeDocument/2006/relationships/hyperlink" Target="https://oreil.ly/2wV-d" TargetMode="External"/><Relationship Id="rId329" Type="http://schemas.openxmlformats.org/officeDocument/2006/relationships/hyperlink" Target="https://oreil.ly/czLsu" TargetMode="External"/><Relationship Id="rId330" Type="http://schemas.openxmlformats.org/officeDocument/2006/relationships/hyperlink" Target="https://oreil.ly/iwsUw" TargetMode="External"/><Relationship Id="rId331" Type="http://schemas.openxmlformats.org/officeDocument/2006/relationships/hyperlink" Target="https://oreil.ly/DuCbU" TargetMode="External"/><Relationship Id="rId332" Type="http://schemas.openxmlformats.org/officeDocument/2006/relationships/hyperlink" Target="https://tukaani.org/xz" TargetMode="External"/><Relationship Id="rId333" Type="http://schemas.openxmlformats.org/officeDocument/2006/relationships/hyperlink" Target="https://oreil.ly/Kw54K" TargetMode="External"/><Relationship Id="rId334" Type="http://schemas.openxmlformats.org/officeDocument/2006/relationships/hyperlink" Target="https://oreil.ly/9rUEj" TargetMode="External"/><Relationship Id="rId335" Type="http://schemas.openxmlformats.org/officeDocument/2006/relationships/hyperlink" Target="http://www.bzip.org" TargetMode="External"/><Relationship Id="rId336" Type="http://schemas.openxmlformats.org/officeDocument/2006/relationships/hyperlink" Target="https://oreil.ly/LXyg_" TargetMode="External"/><Relationship Id="rId337" Type="http://schemas.openxmlformats.org/officeDocument/2006/relationships/hyperlink" Target="https://oreil.ly/k_iKs" TargetMode="External"/><Relationship Id="rId338" Type="http://schemas.openxmlformats.org/officeDocument/2006/relationships/hyperlink" Target="https://oreil.ly/kCtWx" TargetMode="External"/><Relationship Id="rId339" Type="http://schemas.openxmlformats.org/officeDocument/2006/relationships/hyperlink" Target="https://oreil.ly/an46l" TargetMode="External"/><Relationship Id="rId340" Type="http://schemas.openxmlformats.org/officeDocument/2006/relationships/hyperlink" Target="https://oreil.ly/-lWQP" TargetMode="External"/><Relationship Id="rId341" Type="http://schemas.openxmlformats.org/officeDocument/2006/relationships/hyperlink" Target="https://oreil.ly/WyFJf" TargetMode="External"/><Relationship Id="rId342" Type="http://schemas.openxmlformats.org/officeDocument/2006/relationships/hyperlink" Target="https://oreil.ly/c7VxO" TargetMode="External"/><Relationship Id="rId343" Type="http://schemas.openxmlformats.org/officeDocument/2006/relationships/hyperlink" Target="https://oreil.ly/ZJlzh" TargetMode="External"/><Relationship Id="rId344" Type="http://schemas.openxmlformats.org/officeDocument/2006/relationships/hyperlink" Target="https://oreil.ly/U0-Zx" TargetMode="External"/><Relationship Id="rId345" Type="http://schemas.openxmlformats.org/officeDocument/2006/relationships/hyperlink" Target="https://docs.python.org/3/library/io.html" TargetMode="External"/><Relationship Id="rId346" Type="http://schemas.openxmlformats.org/officeDocument/2006/relationships/hyperlink" Target="https://oreil.ly/QO8-Y" TargetMode="External"/><Relationship Id="rId347" Type="http://schemas.openxmlformats.org/officeDocument/2006/relationships/hyperlink" Target="https://oreil.ly/qXxx1" TargetMode="External"/><Relationship Id="rId348" Type="http://schemas.openxmlformats.org/officeDocument/2006/relationships/hyperlink" Target="https://oreil.ly/rqogV" TargetMode="External"/><Relationship Id="rId349" Type="http://schemas.openxmlformats.org/officeDocument/2006/relationships/hyperlink" Target="https://oreil.ly/yz7bI" TargetMode="External"/><Relationship Id="rId350" Type="http://schemas.openxmlformats.org/officeDocument/2006/relationships/hyperlink" Target="https://oreil.ly/-cD05" TargetMode="External"/><Relationship Id="rId351" Type="http://schemas.openxmlformats.org/officeDocument/2006/relationships/hyperlink" Target="https://oreil.ly/QJzCW" TargetMode="External"/><Relationship Id="rId352" Type="http://schemas.openxmlformats.org/officeDocument/2006/relationships/hyperlink" Target="https://oreil.ly/TvKqN" TargetMode="External"/><Relationship Id="rId353" Type="http://schemas.openxmlformats.org/officeDocument/2006/relationships/hyperlink" Target="https://oreil.ly/RwYNA" TargetMode="External"/><Relationship Id="rId354" Type="http://schemas.openxmlformats.org/officeDocument/2006/relationships/hyperlink" Target="https://oreil.ly/Ugj8v" TargetMode="External"/><Relationship Id="rId355" Type="http://schemas.openxmlformats.org/officeDocument/2006/relationships/hyperlink" Target="https://oreil.ly/7hJ89" TargetMode="External"/><Relationship Id="rId356" Type="http://schemas.openxmlformats.org/officeDocument/2006/relationships/hyperlink" Target="https://oreil.ly/fVfmV" TargetMode="External"/><Relationship Id="rId357" Type="http://schemas.openxmlformats.org/officeDocument/2006/relationships/hyperlink" Target="https://oreil.ly/rMHiL" TargetMode="External"/><Relationship Id="rId358" Type="http://schemas.openxmlformats.org/officeDocument/2006/relationships/hyperlink" Target="https://oreil.ly/sMeC_" TargetMode="External"/><Relationship Id="rId359" Type="http://schemas.openxmlformats.org/officeDocument/2006/relationships/hyperlink" Target="https://oreil.ly/Ue-aa" TargetMode="External"/><Relationship Id="rId360" Type="http://schemas.openxmlformats.org/officeDocument/2006/relationships/hyperlink" Target="https://oreil.ly/4ZsbW" TargetMode="External"/><Relationship Id="rId361" Type="http://schemas.openxmlformats.org/officeDocument/2006/relationships/hyperlink" Target="https://oreil.ly/o7wOH" TargetMode="External"/><Relationship Id="rId362" Type="http://schemas.openxmlformats.org/officeDocument/2006/relationships/hyperlink" Target="https://oreil.ly/JYbY5" TargetMode="External"/><Relationship Id="rId363" Type="http://schemas.openxmlformats.org/officeDocument/2006/relationships/hyperlink" Target="https://oreil.ly/ZWExX" TargetMode="External"/><Relationship Id="rId364" Type="http://schemas.openxmlformats.org/officeDocument/2006/relationships/hyperlink" Target="https://oreil.ly/23S7z" TargetMode="External"/><Relationship Id="rId365" Type="http://schemas.openxmlformats.org/officeDocument/2006/relationships/hyperlink" Target="https://oreil.ly/-g8r0" TargetMode="External"/><Relationship Id="rId366" Type="http://schemas.openxmlformats.org/officeDocument/2006/relationships/hyperlink" Target="https://oreil.ly/yrvuL" TargetMode="External"/><Relationship Id="rId367" Type="http://schemas.openxmlformats.org/officeDocument/2006/relationships/hyperlink" Target="https://oreil.ly/_aI9U" TargetMode="External"/><Relationship Id="rId368" Type="http://schemas.openxmlformats.org/officeDocument/2006/relationships/hyperlink" Target="https://oreil.ly/wuPTp" TargetMode="External"/><Relationship Id="rId369" Type="http://schemas.openxmlformats.org/officeDocument/2006/relationships/hyperlink" Target="https://oreil.ly/uBDrd" TargetMode="External"/><Relationship Id="rId370" Type="http://schemas.openxmlformats.org/officeDocument/2006/relationships/hyperlink" Target="https://oreil.ly/6kb6T" TargetMode="External"/><Relationship Id="rId371" Type="http://schemas.openxmlformats.org/officeDocument/2006/relationships/hyperlink" Target="https://oreil.ly/Z0A5t" TargetMode="External"/><Relationship Id="rId372" Type="http://schemas.openxmlformats.org/officeDocument/2006/relationships/hyperlink" Target="https://oreil.ly/9XExm" TargetMode="External"/><Relationship Id="rId373" Type="http://schemas.openxmlformats.org/officeDocument/2006/relationships/hyperlink" Target="https://oreil.ly/6SMkN" TargetMode="External"/><Relationship Id="rId374" Type="http://schemas.openxmlformats.org/officeDocument/2006/relationships/hyperlink" Target="https://oreil.ly/Wv2dm" TargetMode="External"/><Relationship Id="rId375" Type="http://schemas.openxmlformats.org/officeDocument/2006/relationships/hyperlink" Target="https://oreil.ly/zuTRT" TargetMode="External"/><Relationship Id="rId376" Type="http://schemas.openxmlformats.org/officeDocument/2006/relationships/hyperlink" Target="https://oreil.ly/BHr83" TargetMode="External"/><Relationship Id="rId377" Type="http://schemas.openxmlformats.org/officeDocument/2006/relationships/hyperlink" Target="https://oreil.ly/GYAnd" TargetMode="External"/><Relationship Id="rId378" Type="http://schemas.openxmlformats.org/officeDocument/2006/relationships/hyperlink" Target="https://oreil.ly/JVE1a" TargetMode="External"/><Relationship Id="rId379" Type="http://schemas.openxmlformats.org/officeDocument/2006/relationships/hyperlink" Target="https://oreil.ly/Pbpbh" TargetMode="External"/><Relationship Id="rId380" Type="http://schemas.openxmlformats.org/officeDocument/2006/relationships/hyperlink" Target="https://pypi.org/project/PyICU" TargetMode="External"/><Relationship Id="rId381" Type="http://schemas.openxmlformats.org/officeDocument/2006/relationships/hyperlink" Target="https://oreil.ly/BbYK1" TargetMode="External"/><Relationship Id="rId382" Type="http://schemas.openxmlformats.org/officeDocument/2006/relationships/hyperlink" Target="https://oreil.ly/aT8Js" TargetMode="External"/><Relationship Id="rId383" Type="http://schemas.openxmlformats.org/officeDocument/2006/relationships/hyperlink" Target="https://oreil.ly/43fgn" TargetMode="External"/><Relationship Id="rId384" Type="http://schemas.openxmlformats.org/officeDocument/2006/relationships/hyperlink" Target="https://oreil.ly/Yk1yv" TargetMode="External"/><Relationship Id="rId385" Type="http://schemas.openxmlformats.org/officeDocument/2006/relationships/hyperlink" Target="https://oreil.ly/raRbx" TargetMode="External"/><Relationship Id="rId386" Type="http://schemas.openxmlformats.org/officeDocument/2006/relationships/hyperlink" Target="https://icu.unicode.org" TargetMode="External"/><Relationship Id="rId387" Type="http://schemas.openxmlformats.org/officeDocument/2006/relationships/hyperlink" Target="https://oreil.ly/EkwTk" TargetMode="External"/><Relationship Id="rId388" Type="http://schemas.openxmlformats.org/officeDocument/2006/relationships/hyperlink" Target="https://www.oreilly.com/library/view/sql-in-a/9781492088851" TargetMode="External"/><Relationship Id="rId389" Type="http://schemas.openxmlformats.org/officeDocument/2006/relationships/hyperlink" Target="https://oreil.ly/sktml" TargetMode="External"/><Relationship Id="rId390" Type="http://schemas.openxmlformats.org/officeDocument/2006/relationships/hyperlink" Target="https://oreil.ly/mAq7b" TargetMode="External"/><Relationship Id="rId391" Type="http://schemas.openxmlformats.org/officeDocument/2006/relationships/hyperlink" Target="https://www.sqlite.org" TargetMode="External"/><Relationship Id="rId392" Type="http://schemas.openxmlformats.org/officeDocument/2006/relationships/hyperlink" Target="http://nosql-database.org" TargetMode="External"/><Relationship Id="rId393" Type="http://schemas.openxmlformats.org/officeDocument/2006/relationships/hyperlink" Target="https://redis.io" TargetMode="External"/><Relationship Id="rId394" Type="http://schemas.openxmlformats.org/officeDocument/2006/relationships/hyperlink" Target="https://www.mongodb.com" TargetMode="External"/><Relationship Id="rId395" Type="http://schemas.openxmlformats.org/officeDocument/2006/relationships/hyperlink" Target="http://yaml.org" TargetMode="External"/><Relationship Id="rId396" Type="http://schemas.openxmlformats.org/officeDocument/2006/relationships/hyperlink" Target="https://developers.google.com/protocol-buffers" TargetMode="External"/><Relationship Id="rId397" Type="http://schemas.openxmlformats.org/officeDocument/2006/relationships/hyperlink" Target="http://msgpack.org" TargetMode="External"/><Relationship Id="rId398" Type="http://schemas.openxmlformats.org/officeDocument/2006/relationships/hyperlink" Target="https://oreil.ly/wZZ3s" TargetMode="External"/><Relationship Id="rId399" Type="http://schemas.openxmlformats.org/officeDocument/2006/relationships/hyperlink" Target="https://oreil.ly/3_o6_" TargetMode="External"/><Relationship Id="rId400" Type="http://schemas.openxmlformats.org/officeDocument/2006/relationships/hyperlink" Target="https://oreil.ly/PcSYs" TargetMode="External"/><Relationship Id="rId401" Type="http://schemas.openxmlformats.org/officeDocument/2006/relationships/hyperlink" Target="http://Python.org" TargetMode="External"/><Relationship Id="rId402" Type="http://schemas.openxmlformats.org/officeDocument/2006/relationships/hyperlink" Target="https://oreil.ly/VSepJ" TargetMode="External"/><Relationship Id="rId403" Type="http://schemas.openxmlformats.org/officeDocument/2006/relationships/hyperlink" Target="https://oreil.ly/osARc" TargetMode="External"/><Relationship Id="rId404" Type="http://schemas.openxmlformats.org/officeDocument/2006/relationships/hyperlink" Target="https://oreil.ly/xizEg" TargetMode="External"/><Relationship Id="rId405" Type="http://schemas.openxmlformats.org/officeDocument/2006/relationships/hyperlink" Target="https://oreil.ly/-yhzm" TargetMode="External"/><Relationship Id="rId406" Type="http://schemas.openxmlformats.org/officeDocument/2006/relationships/hyperlink" Target="https://oreil.ly/hpUlv" TargetMode="External"/><Relationship Id="rId407" Type="http://schemas.openxmlformats.org/officeDocument/2006/relationships/hyperlink" Target="https://oreil.ly/ubKe7" TargetMode="External"/><Relationship Id="rId408" Type="http://schemas.openxmlformats.org/officeDocument/2006/relationships/hyperlink" Target="https://oreil.ly/MNAt9" TargetMode="External"/><Relationship Id="rId409" Type="http://schemas.openxmlformats.org/officeDocument/2006/relationships/hyperlink" Target="https://oreil.ly/hPUU0" TargetMode="External"/><Relationship Id="rId410" Type="http://schemas.openxmlformats.org/officeDocument/2006/relationships/hyperlink" Target="https://oreil.ly/iWzpg" TargetMode="External"/><Relationship Id="rId411" Type="http://schemas.openxmlformats.org/officeDocument/2006/relationships/hyperlink" Target="https://oreil.ly/zmCLT" TargetMode="External"/><Relationship Id="rId412" Type="http://schemas.openxmlformats.org/officeDocument/2006/relationships/hyperlink" Target="https://oreil.ly/pXc-t" TargetMode="External"/><Relationship Id="rId413" Type="http://schemas.openxmlformats.org/officeDocument/2006/relationships/hyperlink" Target="https://oreil.ly/gOTn7" TargetMode="External"/><Relationship Id="rId414" Type="http://schemas.openxmlformats.org/officeDocument/2006/relationships/hyperlink" Target="http://www.sqlite.org" TargetMode="External"/><Relationship Id="rId415" Type="http://schemas.openxmlformats.org/officeDocument/2006/relationships/hyperlink" Target="https://oreil.ly/-6LhJ" TargetMode="External"/><Relationship Id="rId416" Type="http://schemas.openxmlformats.org/officeDocument/2006/relationships/hyperlink" Target="https://oreil.ly/S6VE1" TargetMode="External"/><Relationship Id="rId417" Type="http://schemas.openxmlformats.org/officeDocument/2006/relationships/hyperlink" Target="https://learning.oreilly.com/library/view/using-sqlite/9781449394592" TargetMode="External"/><Relationship Id="rId418" Type="http://schemas.openxmlformats.org/officeDocument/2006/relationships/hyperlink" Target="https://oreil.ly/S2h8r" TargetMode="External"/><Relationship Id="rId419" Type="http://schemas.openxmlformats.org/officeDocument/2006/relationships/hyperlink" Target="https://oreil.ly/IuKIz" TargetMode="External"/><Relationship Id="rId420" Type="http://schemas.openxmlformats.org/officeDocument/2006/relationships/hyperlink" Target="https://oreil.ly/AnFtn" TargetMode="External"/><Relationship Id="rId421" Type="http://schemas.openxmlformats.org/officeDocument/2006/relationships/hyperlink" Target="https://oreil.ly/cpWkt" TargetMode="External"/><Relationship Id="rId422" Type="http://schemas.openxmlformats.org/officeDocument/2006/relationships/hyperlink" Target="https://oreil.ly/mU15t" TargetMode="External"/><Relationship Id="rId423" Type="http://schemas.openxmlformats.org/officeDocument/2006/relationships/hyperlink" Target="https://oreil.ly/8Bt8N" TargetMode="External"/><Relationship Id="rId424" Type="http://schemas.openxmlformats.org/officeDocument/2006/relationships/hyperlink" Target="https://oreil.ly/o_Li9" TargetMode="External"/><Relationship Id="rId425" Type="http://schemas.openxmlformats.org/officeDocument/2006/relationships/hyperlink" Target="https://oreil.ly/e5yfG" TargetMode="External"/><Relationship Id="rId426" Type="http://schemas.openxmlformats.org/officeDocument/2006/relationships/hyperlink" Target="https://oreil.ly/i1PF6" TargetMode="External"/><Relationship Id="rId427" Type="http://schemas.openxmlformats.org/officeDocument/2006/relationships/hyperlink" Target="https://oreil.ly/0u4KW" TargetMode="External"/><Relationship Id="rId428" Type="http://schemas.openxmlformats.org/officeDocument/2006/relationships/hyperlink" Target="https://oreil.ly/KKEf6" TargetMode="External"/><Relationship Id="rId429" Type="http://schemas.openxmlformats.org/officeDocument/2006/relationships/hyperlink" Target="https://oreil.ly/1zJqi" TargetMode="External"/><Relationship Id="rId430" Type="http://schemas.openxmlformats.org/officeDocument/2006/relationships/hyperlink" Target="https://oreil.ly/Xs_NN" TargetMode="External"/><Relationship Id="rId431" Type="http://schemas.openxmlformats.org/officeDocument/2006/relationships/hyperlink" Target="https://oreil.ly/dmYej" TargetMode="External"/><Relationship Id="rId432" Type="http://schemas.openxmlformats.org/officeDocument/2006/relationships/hyperlink" Target="https://oreil.ly/F8W_Z" TargetMode="External"/><Relationship Id="rId433" Type="http://schemas.openxmlformats.org/officeDocument/2006/relationships/hyperlink" Target="https://oreil.ly/65xFP" TargetMode="External"/><Relationship Id="rId434" Type="http://schemas.openxmlformats.org/officeDocument/2006/relationships/hyperlink" Target="https://oreil.ly/a4hf4" TargetMode="External"/><Relationship Id="rId435" Type="http://schemas.openxmlformats.org/officeDocument/2006/relationships/hyperlink" Target="https://oreil.ly/pM3m7" TargetMode="External"/><Relationship Id="rId436" Type="http://schemas.openxmlformats.org/officeDocument/2006/relationships/hyperlink" Target="https://oreil.ly/zeGDK" TargetMode="External"/><Relationship Id="rId437" Type="http://schemas.openxmlformats.org/officeDocument/2006/relationships/hyperlink" Target="https://oreil.ly/b3rm6" TargetMode="External"/><Relationship Id="rId438" Type="http://schemas.openxmlformats.org/officeDocument/2006/relationships/hyperlink" Target="https://oreil.ly/GjJF-" TargetMode="External"/><Relationship Id="rId439" Type="http://schemas.openxmlformats.org/officeDocument/2006/relationships/hyperlink" Target="https://oreil.ly/zRZKX" TargetMode="External"/><Relationship Id="rId440" Type="http://schemas.openxmlformats.org/officeDocument/2006/relationships/hyperlink" Target="https://www.ibm.com/docs/en/integration-bus/9.0.0?topic=corba-common-object-request-broker-architecture" TargetMode="External"/><Relationship Id="rId441" Type="http://schemas.openxmlformats.org/officeDocument/2006/relationships/hyperlink" Target="https://whatis.techtarget.com/definition/DCOM-Distributed-Component-Object-Model#:~:text=DCOM%20(Distributed%20Component%20Object%20Model)%20is%20a%20set%20of%20Microsoft,other%20computers%20in%20a%20network." TargetMode="External"/><Relationship Id="rId442" Type="http://schemas.openxmlformats.org/officeDocument/2006/relationships/hyperlink" Target="https://en.wikipedia.org/wiki/Jakarta_Enterprise_Beans#:~:text=EJB%20is%20a%20server%2Dside,processing%2C%20and%20other%20web%20services" TargetMode="External"/><Relationship Id="rId443" Type="http://schemas.openxmlformats.org/officeDocument/2006/relationships/hyperlink" Target="https://en.wikipedia.org/wiki/SOAP" TargetMode="External"/><Relationship Id="rId444" Type="http://schemas.openxmlformats.org/officeDocument/2006/relationships/hyperlink" Target="http://xmlrpc.com" TargetMode="External"/><Relationship Id="rId445" Type="http://schemas.openxmlformats.org/officeDocument/2006/relationships/hyperlink" Target="https://dotnet.microsoft.com/en-us/learn/dotnet/what-is-dotnet" TargetMode="External"/><Relationship Id="rId446" Type="http://schemas.openxmlformats.org/officeDocument/2006/relationships/hyperlink" Target="https://grpc.io" TargetMode="External"/><Relationship Id="rId447" Type="http://schemas.openxmlformats.org/officeDocument/2006/relationships/hyperlink" Target="https://numpy.org" TargetMode="External"/><Relationship Id="rId448" Type="http://schemas.openxmlformats.org/officeDocument/2006/relationships/hyperlink" Target="https://www.pypy.org" TargetMode="External"/><Relationship Id="rId449" Type="http://schemas.openxmlformats.org/officeDocument/2006/relationships/hyperlink" Target="https://oreil.ly/N7PHZ" TargetMode="External"/><Relationship Id="rId450" Type="http://schemas.openxmlformats.org/officeDocument/2006/relationships/hyperlink" Target="https://oreil.ly/ylw7S" TargetMode="External"/><Relationship Id="rId451" Type="http://schemas.openxmlformats.org/officeDocument/2006/relationships/hyperlink" Target="https://oreil.ly/mq8d1" TargetMode="External"/><Relationship Id="rId452" Type="http://schemas.openxmlformats.org/officeDocument/2006/relationships/hyperlink" Target="https://oreil.ly/ApoV0" TargetMode="External"/><Relationship Id="rId453" Type="http://schemas.openxmlformats.org/officeDocument/2006/relationships/hyperlink" Target="https://oreil.ly/dsHxn" TargetMode="External"/><Relationship Id="rId454" Type="http://schemas.openxmlformats.org/officeDocument/2006/relationships/hyperlink" Target="https://www.oreilly.com/library/view/using-asyncio-in/9781492075325/" TargetMode="External"/><Relationship Id="rId455" Type="http://schemas.openxmlformats.org/officeDocument/2006/relationships/hyperlink" Target="https://oreil.ly/HkGpJ" TargetMode="External"/><Relationship Id="rId456" Type="http://schemas.openxmlformats.org/officeDocument/2006/relationships/hyperlink" Target="https://oreil.ly/6EqPh" TargetMode="External"/><Relationship Id="rId457" Type="http://schemas.openxmlformats.org/officeDocument/2006/relationships/hyperlink" Target="https://oreil.ly/JWoAx" TargetMode="External"/><Relationship Id="rId458" Type="http://schemas.openxmlformats.org/officeDocument/2006/relationships/hyperlink" Target="https://oreil.ly/2Sbrf" TargetMode="External"/><Relationship Id="rId459" Type="http://schemas.openxmlformats.org/officeDocument/2006/relationships/hyperlink" Target="https://oreil.ly/gXdbT" TargetMode="External"/><Relationship Id="rId460" Type="http://schemas.openxmlformats.org/officeDocument/2006/relationships/hyperlink" Target="https://oreil.ly/6cN99" TargetMode="External"/><Relationship Id="rId461" Type="http://schemas.openxmlformats.org/officeDocument/2006/relationships/hyperlink" Target="https://oreil.ly/CY8Pi" TargetMode="External"/><Relationship Id="rId462" Type="http://schemas.openxmlformats.org/officeDocument/2006/relationships/hyperlink" Target="https://oreil.ly/WrtUH" TargetMode="External"/><Relationship Id="rId463" Type="http://schemas.openxmlformats.org/officeDocument/2006/relationships/hyperlink" Target="https://oreil.ly/AcAgG" TargetMode="External"/><Relationship Id="rId464" Type="http://schemas.openxmlformats.org/officeDocument/2006/relationships/hyperlink" Target="https://oreil.ly/2n8wP" TargetMode="External"/><Relationship Id="rId465" Type="http://schemas.openxmlformats.org/officeDocument/2006/relationships/hyperlink" Target="https://oreil.ly/Yxh4k" TargetMode="External"/><Relationship Id="rId466" Type="http://schemas.openxmlformats.org/officeDocument/2006/relationships/hyperlink" Target="https://oreil.ly/uNAfT" TargetMode="External"/><Relationship Id="rId467" Type="http://schemas.openxmlformats.org/officeDocument/2006/relationships/hyperlink" Target="https://oreil.ly/xyS7U" TargetMode="External"/><Relationship Id="rId468" Type="http://schemas.openxmlformats.org/officeDocument/2006/relationships/hyperlink" Target="https://oreil.ly/kmCAq" TargetMode="External"/><Relationship Id="rId469" Type="http://schemas.openxmlformats.org/officeDocument/2006/relationships/hyperlink" Target="https://oreil.ly/0SQ-H" TargetMode="External"/><Relationship Id="rId470" Type="http://schemas.openxmlformats.org/officeDocument/2006/relationships/hyperlink" Target="https://oreil.ly/d8HJE" TargetMode="External"/><Relationship Id="rId471" Type="http://schemas.openxmlformats.org/officeDocument/2006/relationships/hyperlink" Target="https://oreil.ly/3np33" TargetMode="External"/><Relationship Id="rId472" Type="http://schemas.openxmlformats.org/officeDocument/2006/relationships/hyperlink" Target="https://oreil.ly/MygnC" TargetMode="External"/><Relationship Id="rId473" Type="http://schemas.openxmlformats.org/officeDocument/2006/relationships/hyperlink" Target="https://oreil.ly/9KnLa" TargetMode="External"/><Relationship Id="rId474" Type="http://schemas.openxmlformats.org/officeDocument/2006/relationships/hyperlink" Target="https://scipy.org" TargetMode="External"/><Relationship Id="rId475" Type="http://schemas.openxmlformats.org/officeDocument/2006/relationships/hyperlink" Target="https://matplotlib.org" TargetMode="External"/><Relationship Id="rId476" Type="http://schemas.openxmlformats.org/officeDocument/2006/relationships/hyperlink" Target="https://oreil.ly/oVs_S" TargetMode="External"/><Relationship Id="rId477" Type="http://schemas.openxmlformats.org/officeDocument/2006/relationships/hyperlink" Target="https://pandas.pydata.org" TargetMode="External"/><Relationship Id="rId478" Type="http://schemas.openxmlformats.org/officeDocument/2006/relationships/hyperlink" Target="https://pytorch.org" TargetMode="External"/><Relationship Id="rId479" Type="http://schemas.openxmlformats.org/officeDocument/2006/relationships/hyperlink" Target="https://cupy.dev" TargetMode="External"/><Relationship Id="rId480" Type="http://schemas.openxmlformats.org/officeDocument/2006/relationships/hyperlink" Target="https://www.tensorflow.org" TargetMode="External"/><Relationship Id="rId481" Type="http://schemas.openxmlformats.org/officeDocument/2006/relationships/hyperlink" Target="https://docs.scipy.org/doc" TargetMode="External"/><Relationship Id="rId482" Type="http://schemas.openxmlformats.org/officeDocument/2006/relationships/hyperlink" Target="https://oreil.ly/QA2xJ" TargetMode="External"/><Relationship Id="rId483" Type="http://schemas.openxmlformats.org/officeDocument/2006/relationships/hyperlink" Target="https://oreil.ly/FK9qK" TargetMode="External"/><Relationship Id="rId484" Type="http://schemas.openxmlformats.org/officeDocument/2006/relationships/hyperlink" Target="https://oreil.ly/HPxtV" TargetMode="External"/><Relationship Id="rId485" Type="http://schemas.openxmlformats.org/officeDocument/2006/relationships/hyperlink" Target="https://oreil.ly/UceLt" TargetMode="External"/><Relationship Id="rId486" Type="http://schemas.openxmlformats.org/officeDocument/2006/relationships/hyperlink" Target="https://oreil.ly/WO3ON" TargetMode="External"/><Relationship Id="rId487" Type="http://schemas.openxmlformats.org/officeDocument/2006/relationships/hyperlink" Target="https://oreil.ly/zf6-O" TargetMode="External"/><Relationship Id="rId488" Type="http://schemas.openxmlformats.org/officeDocument/2006/relationships/hyperlink" Target="https://oreil.ly/fbfld" TargetMode="External"/><Relationship Id="rId489" Type="http://schemas.openxmlformats.org/officeDocument/2006/relationships/hyperlink" Target="http://jupyter.org" TargetMode="External"/><Relationship Id="rId490" Type="http://schemas.openxmlformats.org/officeDocument/2006/relationships/hyperlink" Target="https://mpmath.org" TargetMode="External"/><Relationship Id="rId491" Type="http://schemas.openxmlformats.org/officeDocument/2006/relationships/hyperlink" Target="https://www.sagemath.org" TargetMode="External"/><Relationship Id="rId492" Type="http://schemas.openxmlformats.org/officeDocument/2006/relationships/hyperlink" Target="https://pypi.org/project/gmpy2" TargetMode="External"/><Relationship Id="rId493" Type="http://schemas.openxmlformats.org/officeDocument/2006/relationships/hyperlink" Target="https://www.tensorflow.org/api_docs/python" TargetMode="External"/><Relationship Id="rId494" Type="http://schemas.openxmlformats.org/officeDocument/2006/relationships/hyperlink" Target="https://oreil.ly/qL5nI" TargetMode="External"/><Relationship Id="rId495" Type="http://schemas.openxmlformats.org/officeDocument/2006/relationships/hyperlink" Target="https://oreil.ly/_dTA8" TargetMode="External"/><Relationship Id="rId496" Type="http://schemas.openxmlformats.org/officeDocument/2006/relationships/hyperlink" Target="http://behavior-driven.org" TargetMode="External"/><Relationship Id="rId497" Type="http://schemas.openxmlformats.org/officeDocument/2006/relationships/hyperlink" Target="https://oreil.ly/iJJMn" TargetMode="External"/><Relationship Id="rId498" Type="http://schemas.openxmlformats.org/officeDocument/2006/relationships/hyperlink" Target="https://oreil.ly/msmPd" TargetMode="External"/><Relationship Id="rId499" Type="http://schemas.openxmlformats.org/officeDocument/2006/relationships/hyperlink" Target="https://oreil.ly/5RiTF" TargetMode="External"/><Relationship Id="rId500" Type="http://schemas.openxmlformats.org/officeDocument/2006/relationships/hyperlink" Target="https://oreil.ly/cbdu8" TargetMode="External"/><Relationship Id="rId501" Type="http://schemas.openxmlformats.org/officeDocument/2006/relationships/hyperlink" Target="https://oreil.ly/C17DL" TargetMode="External"/><Relationship Id="rId502" Type="http://schemas.openxmlformats.org/officeDocument/2006/relationships/hyperlink" Target="https://oreil.ly/oFTIV" TargetMode="External"/><Relationship Id="rId503" Type="http://schemas.openxmlformats.org/officeDocument/2006/relationships/hyperlink" Target="https://oreil.ly/a0WBi" TargetMode="External"/><Relationship Id="rId504" Type="http://schemas.openxmlformats.org/officeDocument/2006/relationships/hyperlink" Target="https://oreil.ly/e2Sb_" TargetMode="External"/><Relationship Id="rId505" Type="http://schemas.openxmlformats.org/officeDocument/2006/relationships/hyperlink" Target="https://oreil.ly/t8rV2" TargetMode="External"/><Relationship Id="rId506" Type="http://schemas.openxmlformats.org/officeDocument/2006/relationships/hyperlink" Target="https://oreil.ly/a5PJB" TargetMode="External"/><Relationship Id="rId507" Type="http://schemas.openxmlformats.org/officeDocument/2006/relationships/hyperlink" Target="http://excess.org/urwid" TargetMode="External"/><Relationship Id="rId508" Type="http://schemas.openxmlformats.org/officeDocument/2006/relationships/hyperlink" Target="https://oreil.ly/taMU6" TargetMode="External"/><Relationship Id="rId509" Type="http://schemas.openxmlformats.org/officeDocument/2006/relationships/hyperlink" Target="https://oreil.ly/CCbtt" TargetMode="External"/><Relationship Id="rId510" Type="http://schemas.openxmlformats.org/officeDocument/2006/relationships/hyperlink" Target="https://oreil.ly/UWs_3" TargetMode="External"/><Relationship Id="rId511" Type="http://schemas.openxmlformats.org/officeDocument/2006/relationships/hyperlink" Target="https://oreil.ly/LcncX" TargetMode="External"/><Relationship Id="rId512" Type="http://schemas.openxmlformats.org/officeDocument/2006/relationships/hyperlink" Target="https://oreil.ly/2REWD" TargetMode="External"/><Relationship Id="rId513" Type="http://schemas.openxmlformats.org/officeDocument/2006/relationships/hyperlink" Target="https://oreil.ly/QaPs6" TargetMode="External"/><Relationship Id="rId514" Type="http://schemas.openxmlformats.org/officeDocument/2006/relationships/hyperlink" Target="https://oreil.ly/7usV4" TargetMode="External"/><Relationship Id="rId515" Type="http://schemas.openxmlformats.org/officeDocument/2006/relationships/hyperlink" Target="https://oreil.ly/iJVCX" TargetMode="External"/><Relationship Id="rId516" Type="http://schemas.openxmlformats.org/officeDocument/2006/relationships/hyperlink" Target="https://oreil.ly/e6PEg" TargetMode="External"/><Relationship Id="rId517" Type="http://schemas.openxmlformats.org/officeDocument/2006/relationships/hyperlink" Target="https://oreil.ly/BjZoM" TargetMode="External"/><Relationship Id="rId518" Type="http://schemas.openxmlformats.org/officeDocument/2006/relationships/hyperlink" Target="https://oreil.ly/cFW7U" TargetMode="External"/><Relationship Id="rId519" Type="http://schemas.openxmlformats.org/officeDocument/2006/relationships/hyperlink" Target="https://oreil.ly/9Y5pc" TargetMode="External"/><Relationship Id="rId520" Type="http://schemas.openxmlformats.org/officeDocument/2006/relationships/hyperlink" Target="https://oreil.ly/qvgaC" TargetMode="External"/><Relationship Id="rId521" Type="http://schemas.openxmlformats.org/officeDocument/2006/relationships/hyperlink" Target="https://oreil.ly/bmYSI" TargetMode="External"/><Relationship Id="rId522" Type="http://schemas.openxmlformats.org/officeDocument/2006/relationships/hyperlink" Target="https://oreil.ly/Y2XeE" TargetMode="External"/><Relationship Id="rId523" Type="http://schemas.openxmlformats.org/officeDocument/2006/relationships/hyperlink" Target="https://oreil.ly/RcIfb" TargetMode="External"/><Relationship Id="rId524" Type="http://schemas.openxmlformats.org/officeDocument/2006/relationships/hyperlink" Target="https://oreil.ly/ePVQo" TargetMode="External"/><Relationship Id="rId525" Type="http://schemas.openxmlformats.org/officeDocument/2006/relationships/hyperlink" Target="https://oreil.ly/LU9FI" TargetMode="External"/><Relationship Id="rId526" Type="http://schemas.openxmlformats.org/officeDocument/2006/relationships/hyperlink" Target="https://oreil.ly/UBypi" TargetMode="External"/><Relationship Id="rId527" Type="http://schemas.openxmlformats.org/officeDocument/2006/relationships/hyperlink" Target="https://oreil.ly/boM-c" TargetMode="External"/><Relationship Id="rId528" Type="http://schemas.openxmlformats.org/officeDocument/2006/relationships/hyperlink" Target="https://oreil.ly/JAaNO" TargetMode="External"/><Relationship Id="rId529" Type="http://schemas.openxmlformats.org/officeDocument/2006/relationships/hyperlink" Target="https://oreil.ly/90h4R" TargetMode="External"/><Relationship Id="rId530" Type="http://schemas.openxmlformats.org/officeDocument/2006/relationships/hyperlink" Target="https://oreil.ly/EzLWt" TargetMode="External"/><Relationship Id="rId531" Type="http://schemas.openxmlformats.org/officeDocument/2006/relationships/hyperlink" Target="https://oreil.ly/2EGr0" TargetMode="External"/><Relationship Id="rId532" Type="http://schemas.openxmlformats.org/officeDocument/2006/relationships/hyperlink" Target="https://oreil.ly/ohqtT" TargetMode="External"/><Relationship Id="rId533" Type="http://schemas.openxmlformats.org/officeDocument/2006/relationships/hyperlink" Target="https://oreil.ly/mBPJ0" TargetMode="External"/><Relationship Id="rId534" Type="http://schemas.openxmlformats.org/officeDocument/2006/relationships/hyperlink" Target="https://oreil.ly/r6hQ7" TargetMode="External"/><Relationship Id="rId535" Type="http://schemas.openxmlformats.org/officeDocument/2006/relationships/hyperlink" Target="https://oreil.ly/1XwoM" TargetMode="External"/><Relationship Id="rId536" Type="http://schemas.openxmlformats.org/officeDocument/2006/relationships/hyperlink" Target="https://oreil.ly/uh_1O" TargetMode="External"/><Relationship Id="rId537" Type="http://schemas.openxmlformats.org/officeDocument/2006/relationships/hyperlink" Target="https://oreil.ly/t4X8r" TargetMode="External"/><Relationship Id="rId538" Type="http://schemas.openxmlformats.org/officeDocument/2006/relationships/hyperlink" Target="https://oreil.ly/3ncIi" TargetMode="External"/><Relationship Id="rId539" Type="http://schemas.openxmlformats.org/officeDocument/2006/relationships/hyperlink" Target="https://oreil.ly/xTc4T" TargetMode="External"/><Relationship Id="rId540" Type="http://schemas.openxmlformats.org/officeDocument/2006/relationships/hyperlink" Target="https://oreil.ly/SuiI_" TargetMode="External"/><Relationship Id="rId541" Type="http://schemas.openxmlformats.org/officeDocument/2006/relationships/hyperlink" Target="https://oreil.ly/O_XHc" TargetMode="External"/><Relationship Id="rId542" Type="http://schemas.openxmlformats.org/officeDocument/2006/relationships/hyperlink" Target="https://oreil.ly/Qrvcn" TargetMode="External"/><Relationship Id="rId543" Type="http://schemas.openxmlformats.org/officeDocument/2006/relationships/hyperlink" Target="https://http2.github.io" TargetMode="External"/><Relationship Id="rId544" Type="http://schemas.openxmlformats.org/officeDocument/2006/relationships/hyperlink" Target="https://www.python-httpx.org" TargetMode="External"/><Relationship Id="rId545" Type="http://schemas.openxmlformats.org/officeDocument/2006/relationships/hyperlink" Target="https://oreil.ly/QI7CQ" TargetMode="External"/><Relationship Id="rId546" Type="http://schemas.openxmlformats.org/officeDocument/2006/relationships/hyperlink" Target="https://oreil.ly/T9v1p" TargetMode="External"/><Relationship Id="rId547" Type="http://schemas.openxmlformats.org/officeDocument/2006/relationships/hyperlink" Target="https://oreil.ly/gWFcH" TargetMode="External"/><Relationship Id="rId548" Type="http://schemas.openxmlformats.org/officeDocument/2006/relationships/hyperlink" Target="https://www.unicode.org/Public/" TargetMode="External"/><Relationship Id="rId549" Type="http://schemas.openxmlformats.org/officeDocument/2006/relationships/hyperlink" Target="https://oreil.ly/Vz9IV" TargetMode="External"/><Relationship Id="rId550" Type="http://schemas.openxmlformats.org/officeDocument/2006/relationships/hyperlink" Target="https://oreil.ly/6Lrem" TargetMode="External"/><Relationship Id="rId551" Type="http://schemas.openxmlformats.org/officeDocument/2006/relationships/hyperlink" Target="https://oreil.ly/cOiit" TargetMode="External"/><Relationship Id="rId552" Type="http://schemas.openxmlformats.org/officeDocument/2006/relationships/hyperlink" Target="https://oreil.ly/MiQ76" TargetMode="External"/><Relationship Id="rId553" Type="http://schemas.openxmlformats.org/officeDocument/2006/relationships/hyperlink" Target="https://oreil.ly/efT73" TargetMode="External"/><Relationship Id="rId554" Type="http://schemas.openxmlformats.org/officeDocument/2006/relationships/hyperlink" Target="https://oreil.ly/_6nQe" TargetMode="External"/><Relationship Id="rId555" Type="http://schemas.openxmlformats.org/officeDocument/2006/relationships/hyperlink" Target="https://oreil.ly/0rIwn" TargetMode="External"/><Relationship Id="rId556" Type="http://schemas.openxmlformats.org/officeDocument/2006/relationships/hyperlink" Target="https://oreil.ly/hHKp4" TargetMode="External"/><Relationship Id="rId557" Type="http://schemas.openxmlformats.org/officeDocument/2006/relationships/hyperlink" Target="https://oreil.ly/_nJRX" TargetMode="External"/><Relationship Id="rId558" Type="http://schemas.openxmlformats.org/officeDocument/2006/relationships/hyperlink" Target="https://oreil.ly/4St1s" TargetMode="External"/><Relationship Id="rId559" Type="http://schemas.openxmlformats.org/officeDocument/2006/relationships/hyperlink" Target="https://oreil.ly/HazNC" TargetMode="External"/><Relationship Id="rId560" Type="http://schemas.openxmlformats.org/officeDocument/2006/relationships/hyperlink" Target="http://www.paramiko.org" TargetMode="External"/><Relationship Id="rId561" Type="http://schemas.openxmlformats.org/officeDocument/2006/relationships/hyperlink" Target="https://oreil.ly/vdmrN" TargetMode="External"/><Relationship Id="rId562" Type="http://schemas.openxmlformats.org/officeDocument/2006/relationships/hyperlink" Target="https://oreil.ly/5fw-y" TargetMode="External"/><Relationship Id="rId563" Type="http://schemas.openxmlformats.org/officeDocument/2006/relationships/hyperlink" Target="https://oreil.ly/GYdGi" TargetMode="External"/><Relationship Id="rId564" Type="http://schemas.openxmlformats.org/officeDocument/2006/relationships/hyperlink" Target="https://oreil.ly/zCBov" TargetMode="External"/><Relationship Id="rId565" Type="http://schemas.openxmlformats.org/officeDocument/2006/relationships/hyperlink" Target="https://oreil.ly/7vRm0" TargetMode="External"/><Relationship Id="rId566" Type="http://schemas.openxmlformats.org/officeDocument/2006/relationships/hyperlink" Target="https://oreil.ly/K3oDj" TargetMode="External"/><Relationship Id="rId567" Type="http://schemas.openxmlformats.org/officeDocument/2006/relationships/hyperlink" Target="http://www.grpc.io" TargetMode="External"/><Relationship Id="rId568" Type="http://schemas.openxmlformats.org/officeDocument/2006/relationships/hyperlink" Target="https://oreil.ly/KHQHs" TargetMode="External"/><Relationship Id="rId569" Type="http://schemas.openxmlformats.org/officeDocument/2006/relationships/hyperlink" Target="http://www.ntp.org" TargetMode="External"/><Relationship Id="rId570" Type="http://schemas.openxmlformats.org/officeDocument/2006/relationships/hyperlink" Target="https://oreil.ly/R5SDp" TargetMode="External"/><Relationship Id="rId571" Type="http://schemas.openxmlformats.org/officeDocument/2006/relationships/hyperlink" Target="https://oreil.ly/nlhqH" TargetMode="External"/><Relationship Id="rId572" Type="http://schemas.openxmlformats.org/officeDocument/2006/relationships/hyperlink" Target="https://oreil.ly/syh0_" TargetMode="External"/><Relationship Id="rId573" Type="http://schemas.openxmlformats.org/officeDocument/2006/relationships/hyperlink" Target="https://oreil.ly/fn5aH" TargetMode="External"/><Relationship Id="rId574" Type="http://schemas.openxmlformats.org/officeDocument/2006/relationships/hyperlink" Target="https://oreil.ly/C5N0w" TargetMode="External"/><Relationship Id="rId575" Type="http://schemas.openxmlformats.org/officeDocument/2006/relationships/hyperlink" Target="https://oreil.ly/NLl6b" TargetMode="External"/><Relationship Id="rId576" Type="http://schemas.openxmlformats.org/officeDocument/2006/relationships/hyperlink" Target="https://oreil.ly/J9aCH" TargetMode="External"/><Relationship Id="rId577" Type="http://schemas.openxmlformats.org/officeDocument/2006/relationships/hyperlink" Target="https://oreil.ly/7xsOe" TargetMode="External"/><Relationship Id="rId578" Type="http://schemas.openxmlformats.org/officeDocument/2006/relationships/hyperlink" Target="https://oreil.ly/qNhHr" TargetMode="External"/><Relationship Id="rId579" Type="http://schemas.openxmlformats.org/officeDocument/2006/relationships/hyperlink" Target="https://oreil.ly/h5Fo_" TargetMode="External"/><Relationship Id="rId580" Type="http://schemas.openxmlformats.org/officeDocument/2006/relationships/hyperlink" Target="https://oreil.ly/U4JL9" TargetMode="External"/><Relationship Id="rId581" Type="http://schemas.openxmlformats.org/officeDocument/2006/relationships/hyperlink" Target="https://microservices.io" TargetMode="External"/><Relationship Id="rId582" Type="http://schemas.openxmlformats.org/officeDocument/2006/relationships/hyperlink" Target="https://learning.oreilly.com/library/view/http-the-definitive/1565925092" TargetMode="External"/><Relationship Id="rId583" Type="http://schemas.openxmlformats.org/officeDocument/2006/relationships/hyperlink" Target="https://oreil.ly/5ckN2" TargetMode="External"/><Relationship Id="rId584" Type="http://schemas.openxmlformats.org/officeDocument/2006/relationships/hyperlink" Target="https://oreil.ly/CALIJ" TargetMode="External"/><Relationship Id="rId585" Type="http://schemas.openxmlformats.org/officeDocument/2006/relationships/hyperlink" Target="https://oreil.ly/9HmUO" TargetMode="External"/><Relationship Id="rId586" Type="http://schemas.openxmlformats.org/officeDocument/2006/relationships/hyperlink" Target="https://oreil.ly/UWcaq" TargetMode="External"/><Relationship Id="rId587" Type="http://schemas.openxmlformats.org/officeDocument/2006/relationships/hyperlink" Target="http://WSGI.org" TargetMode="External"/><Relationship Id="rId588" Type="http://schemas.openxmlformats.org/officeDocument/2006/relationships/hyperlink" Target="https://oreil.ly/7De2i" TargetMode="External"/><Relationship Id="rId589" Type="http://schemas.openxmlformats.org/officeDocument/2006/relationships/hyperlink" Target="https://gunicorn.org" TargetMode="External"/><Relationship Id="rId590" Type="http://schemas.openxmlformats.org/officeDocument/2006/relationships/hyperlink" Target="https://oreil.ly/bs4IW" TargetMode="External"/><Relationship Id="rId591" Type="http://schemas.openxmlformats.org/officeDocument/2006/relationships/hyperlink" Target="https://oreil.ly/DwiOe" TargetMode="External"/><Relationship Id="rId592" Type="http://schemas.openxmlformats.org/officeDocument/2006/relationships/hyperlink" Target="https://oreil.ly/ceEuZ" TargetMode="External"/><Relationship Id="rId593" Type="http://schemas.openxmlformats.org/officeDocument/2006/relationships/hyperlink" Target="https://oreil.ly/Me-Ig" TargetMode="External"/><Relationship Id="rId594" Type="http://schemas.openxmlformats.org/officeDocument/2006/relationships/hyperlink" Target="https://oreil.ly/JLnV5" TargetMode="External"/><Relationship Id="rId595" Type="http://schemas.openxmlformats.org/officeDocument/2006/relationships/hyperlink" Target="http://www.web2py.com" TargetMode="External"/><Relationship Id="rId596" Type="http://schemas.openxmlformats.org/officeDocument/2006/relationships/hyperlink" Target="https://turbogears.org" TargetMode="External"/><Relationship Id="rId597" Type="http://schemas.openxmlformats.org/officeDocument/2006/relationships/hyperlink" Target="https://trypyramid.com" TargetMode="External"/><Relationship Id="rId598" Type="http://schemas.openxmlformats.org/officeDocument/2006/relationships/hyperlink" Target="https://oreil.ly/zyXl0" TargetMode="External"/><Relationship Id="rId599" Type="http://schemas.openxmlformats.org/officeDocument/2006/relationships/hyperlink" Target="https://oreil.ly/v8LxQ" TargetMode="External"/><Relationship Id="rId600" Type="http://schemas.openxmlformats.org/officeDocument/2006/relationships/hyperlink" Target="https://oreil.ly/lF9H3" TargetMode="External"/><Relationship Id="rId601" Type="http://schemas.openxmlformats.org/officeDocument/2006/relationships/hyperlink" Target="https://oreil.ly/oCnoc" TargetMode="External"/><Relationship Id="rId602" Type="http://schemas.openxmlformats.org/officeDocument/2006/relationships/hyperlink" Target="https://oreil.ly/-HdvE" TargetMode="External"/><Relationship Id="rId603" Type="http://schemas.openxmlformats.org/officeDocument/2006/relationships/hyperlink" Target="https://oreil.ly/v_YkH" TargetMode="External"/><Relationship Id="rId604" Type="http://schemas.openxmlformats.org/officeDocument/2006/relationships/hyperlink" Target="https://oreil.ly/-76be" TargetMode="External"/><Relationship Id="rId605" Type="http://schemas.openxmlformats.org/officeDocument/2006/relationships/hyperlink" Target="http://appspot.com" TargetMode="External"/><Relationship Id="rId606" Type="http://schemas.openxmlformats.org/officeDocument/2006/relationships/hyperlink" Target="https://oreil.ly/bs0JC" TargetMode="External"/><Relationship Id="rId607" Type="http://schemas.openxmlformats.org/officeDocument/2006/relationships/hyperlink" Target="https://learning.oreilly.com/library/view/flask-web-development/9781491991725/" TargetMode="External"/><Relationship Id="rId608" Type="http://schemas.openxmlformats.org/officeDocument/2006/relationships/hyperlink" Target="https://oreil.ly/IaGCM" TargetMode="External"/><Relationship Id="rId609" Type="http://schemas.openxmlformats.org/officeDocument/2006/relationships/hyperlink" Target="https://oreil.ly/mmYul" TargetMode="External"/><Relationship Id="rId610" Type="http://schemas.openxmlformats.org/officeDocument/2006/relationships/hyperlink" Target="https://oreil.ly/AehLj" TargetMode="External"/><Relationship Id="rId611" Type="http://schemas.openxmlformats.org/officeDocument/2006/relationships/hyperlink" Target="https://oreil.ly/V8mD7" TargetMode="External"/><Relationship Id="rId612" Type="http://schemas.openxmlformats.org/officeDocument/2006/relationships/hyperlink" Target="https://oreil.ly/YmEuJ" TargetMode="External"/><Relationship Id="rId613" Type="http://schemas.openxmlformats.org/officeDocument/2006/relationships/hyperlink" Target="https://oreil.ly/jMIZE" TargetMode="External"/><Relationship Id="rId614" Type="http://schemas.openxmlformats.org/officeDocument/2006/relationships/hyperlink" Target="https://fastapi.tiangolo.com" TargetMode="External"/><Relationship Id="rId615" Type="http://schemas.openxmlformats.org/officeDocument/2006/relationships/hyperlink" Target="https://pydantic-docs.helpmanual.io" TargetMode="External"/><Relationship Id="rId616" Type="http://schemas.openxmlformats.org/officeDocument/2006/relationships/hyperlink" Target="https://www.starlette.io" TargetMode="External"/><Relationship Id="rId617" Type="http://schemas.openxmlformats.org/officeDocument/2006/relationships/hyperlink" Target="https://www.uvicorn.org" TargetMode="External"/><Relationship Id="rId618" Type="http://schemas.openxmlformats.org/officeDocument/2006/relationships/hyperlink" Target="https://oreil.ly/SXsur" TargetMode="External"/><Relationship Id="rId619" Type="http://schemas.openxmlformats.org/officeDocument/2006/relationships/hyperlink" Target="https://oreil.ly/tAyoT" TargetMode="External"/><Relationship Id="rId620" Type="http://schemas.openxmlformats.org/officeDocument/2006/relationships/hyperlink" Target="https://oreil.ly/dwyZi" TargetMode="External"/><Relationship Id="rId621" Type="http://schemas.openxmlformats.org/officeDocument/2006/relationships/hyperlink" Target="https://oreil.ly/xyfF_" TargetMode="External"/><Relationship Id="rId622" Type="http://schemas.openxmlformats.org/officeDocument/2006/relationships/hyperlink" Target="https://oreil.ly/IpSCO" TargetMode="External"/><Relationship Id="rId623" Type="http://schemas.openxmlformats.org/officeDocument/2006/relationships/hyperlink" Target="https://oreil.ly/FKtQA" TargetMode="External"/><Relationship Id="rId624" Type="http://schemas.openxmlformats.org/officeDocument/2006/relationships/hyperlink" Target="https://oreil.ly/Cbhkl" TargetMode="External"/><Relationship Id="rId625" Type="http://schemas.openxmlformats.org/officeDocument/2006/relationships/hyperlink" Target="https://oreil.ly/rndpn" TargetMode="External"/><Relationship Id="rId626" Type="http://schemas.openxmlformats.org/officeDocument/2006/relationships/hyperlink" Target="https://oreil.ly/X-3xi" TargetMode="External"/><Relationship Id="rId627" Type="http://schemas.openxmlformats.org/officeDocument/2006/relationships/hyperlink" Target="https://oreil.ly/9-cUQ" TargetMode="External"/><Relationship Id="rId628" Type="http://schemas.openxmlformats.org/officeDocument/2006/relationships/hyperlink" Target="https://scrapy.org" TargetMode="External"/><Relationship Id="rId629" Type="http://schemas.openxmlformats.org/officeDocument/2006/relationships/hyperlink" Target="http://jinja.pocoo.org" TargetMode="External"/><Relationship Id="rId630" Type="http://schemas.openxmlformats.org/officeDocument/2006/relationships/hyperlink" Target="https://oreil.ly/xx57e" TargetMode="External"/><Relationship Id="rId631" Type="http://schemas.openxmlformats.org/officeDocument/2006/relationships/hyperlink" Target="https://oreil.ly/pxxVI" TargetMode="External"/><Relationship Id="rId632" Type="http://schemas.openxmlformats.org/officeDocument/2006/relationships/hyperlink" Target="https://oreil.ly/8bNZk" TargetMode="External"/><Relationship Id="rId633" Type="http://schemas.openxmlformats.org/officeDocument/2006/relationships/hyperlink" Target="https://www.oreilly.com/library/view/css-the-definitive/9781449325053/" TargetMode="External"/><Relationship Id="rId634" Type="http://schemas.openxmlformats.org/officeDocument/2006/relationships/hyperlink" Target="https://learning.oreilly.com/library/view/python-cookbook/0596001673/ch03s23.html" TargetMode="External"/><Relationship Id="rId635" Type="http://schemas.openxmlformats.org/officeDocument/2006/relationships/hyperlink" Target="https://oreil.ly/PYYm5" TargetMode="External"/><Relationship Id="rId636" Type="http://schemas.openxmlformats.org/officeDocument/2006/relationships/hyperlink" Target="https://oreil.ly/1DgV9" TargetMode="External"/><Relationship Id="rId637" Type="http://schemas.openxmlformats.org/officeDocument/2006/relationships/hyperlink" Target="https://oreil.ly/w6IiV" TargetMode="External"/><Relationship Id="rId638" Type="http://schemas.openxmlformats.org/officeDocument/2006/relationships/hyperlink" Target="https://oreil.ly/yhG7y" TargetMode="External"/><Relationship Id="rId639" Type="http://schemas.openxmlformats.org/officeDocument/2006/relationships/hyperlink" Target="https://oreil.ly/ouZ9A" TargetMode="External"/><Relationship Id="rId640" Type="http://schemas.openxmlformats.org/officeDocument/2006/relationships/hyperlink" Target="https://oreil.ly/2NL9l" TargetMode="External"/><Relationship Id="rId641" Type="http://schemas.openxmlformats.org/officeDocument/2006/relationships/hyperlink" Target="https://oreil.ly/K4wHT" TargetMode="External"/><Relationship Id="rId642" Type="http://schemas.openxmlformats.org/officeDocument/2006/relationships/hyperlink" Target="https://oreil.ly/B-xCI" TargetMode="External"/><Relationship Id="rId643" Type="http://schemas.openxmlformats.org/officeDocument/2006/relationships/hyperlink" Target="https://oreil.ly/vTXcK" TargetMode="External"/><Relationship Id="rId644" Type="http://schemas.openxmlformats.org/officeDocument/2006/relationships/hyperlink" Target="https://oreil.ly/nHs5w" TargetMode="External"/><Relationship Id="rId645" Type="http://schemas.openxmlformats.org/officeDocument/2006/relationships/hyperlink" Target="https://oreil.ly/FjHRs" TargetMode="External"/><Relationship Id="rId646" Type="http://schemas.openxmlformats.org/officeDocument/2006/relationships/hyperlink" Target="https://oreil.ly/pPDh8" TargetMode="External"/><Relationship Id="rId647" Type="http://schemas.openxmlformats.org/officeDocument/2006/relationships/hyperlink" Target="http://shop.oreilly.com/product/9780596007645.do" TargetMode="External"/><Relationship Id="rId648" Type="http://schemas.openxmlformats.org/officeDocument/2006/relationships/hyperlink" Target="https://oreil.ly/jiWUx" TargetMode="External"/><Relationship Id="rId649" Type="http://schemas.openxmlformats.org/officeDocument/2006/relationships/hyperlink" Target="https://oreil.ly/dl21V" TargetMode="External"/><Relationship Id="rId650" Type="http://schemas.openxmlformats.org/officeDocument/2006/relationships/hyperlink" Target="http://lxml.de" TargetMode="External"/><Relationship Id="rId651" Type="http://schemas.openxmlformats.org/officeDocument/2006/relationships/hyperlink" Target="http://lxml.de/api.html" TargetMode="External"/><Relationship Id="rId652" Type="http://schemas.openxmlformats.org/officeDocument/2006/relationships/hyperlink" Target="https://oreil.ly/6E174" TargetMode="External"/><Relationship Id="rId653" Type="http://schemas.openxmlformats.org/officeDocument/2006/relationships/hyperlink" Target="https://oreil.ly/TXwf5" TargetMode="External"/><Relationship Id="rId654" Type="http://schemas.openxmlformats.org/officeDocument/2006/relationships/hyperlink" Target="https://oreil.ly/Vlj0C" TargetMode="External"/><Relationship Id="rId655" Type="http://schemas.openxmlformats.org/officeDocument/2006/relationships/hyperlink" Target="https://oreil.ly/wG429" TargetMode="External"/><Relationship Id="rId656" Type="http://schemas.openxmlformats.org/officeDocument/2006/relationships/hyperlink" Target="http://www.w3schools.com/xml/simple.xml" TargetMode="External"/><Relationship Id="rId657" Type="http://schemas.openxmlformats.org/officeDocument/2006/relationships/hyperlink" Target="https://oreil.ly/WxMoH" TargetMode="External"/><Relationship Id="rId658" Type="http://schemas.openxmlformats.org/officeDocument/2006/relationships/hyperlink" Target="https://oreil.ly/Vm1QZ" TargetMode="External"/><Relationship Id="rId659" Type="http://schemas.openxmlformats.org/officeDocument/2006/relationships/hyperlink" Target="https://oreil.ly/KwMjb" TargetMode="External"/><Relationship Id="rId660" Type="http://schemas.openxmlformats.org/officeDocument/2006/relationships/hyperlink" Target="https://oreil.ly/fdSIV" TargetMode="External"/><Relationship Id="rId661" Type="http://schemas.openxmlformats.org/officeDocument/2006/relationships/hyperlink" Target="https://oreil.ly/aF454" TargetMode="External"/><Relationship Id="rId662" Type="http://schemas.openxmlformats.org/officeDocument/2006/relationships/hyperlink" Target="https://oreil.ly/ttIW6" TargetMode="External"/><Relationship Id="rId663" Type="http://schemas.openxmlformats.org/officeDocument/2006/relationships/hyperlink" Target="https://oreil.ly/sF7Zp" TargetMode="External"/><Relationship Id="rId664" Type="http://schemas.openxmlformats.org/officeDocument/2006/relationships/hyperlink" Target="https://oreil.ly/AKylH" TargetMode="External"/><Relationship Id="rId665" Type="http://schemas.openxmlformats.org/officeDocument/2006/relationships/hyperlink" Target="https://docs.conda.io" TargetMode="External"/><Relationship Id="rId666" Type="http://schemas.openxmlformats.org/officeDocument/2006/relationships/hyperlink" Target="https://docs.docker.com" TargetMode="External"/><Relationship Id="rId667" Type="http://schemas.openxmlformats.org/officeDocument/2006/relationships/hyperlink" Target="https://pyinstaller.org" TargetMode="External"/><Relationship Id="rId668" Type="http://schemas.openxmlformats.org/officeDocument/2006/relationships/hyperlink" Target="https://oreil.ly/GC_5w" TargetMode="External"/><Relationship Id="rId669" Type="http://schemas.openxmlformats.org/officeDocument/2006/relationships/hyperlink" Target="https://oreil.ly/pnWdA" TargetMode="External"/><Relationship Id="rId670" Type="http://schemas.openxmlformats.org/officeDocument/2006/relationships/hyperlink" Target="https://oreil.ly/vB13q" TargetMode="External"/><Relationship Id="rId671" Type="http://schemas.openxmlformats.org/officeDocument/2006/relationships/hyperlink" Target="https://oreil.ly/B_xwu" TargetMode="External"/><Relationship Id="rId672" Type="http://schemas.openxmlformats.org/officeDocument/2006/relationships/hyperlink" Target="https://oreil.ly/XYnsg" TargetMode="External"/><Relationship Id="rId673" Type="http://schemas.openxmlformats.org/officeDocument/2006/relationships/hyperlink" Target="https://oreil.ly/FhWDt" TargetMode="External"/><Relationship Id="rId674" Type="http://schemas.openxmlformats.org/officeDocument/2006/relationships/hyperlink" Target="https://oreil.ly/BMl4L" TargetMode="External"/><Relationship Id="rId675" Type="http://schemas.openxmlformats.org/officeDocument/2006/relationships/hyperlink" Target="https://oreil.ly/OQXBK" TargetMode="External"/><Relationship Id="rId676" Type="http://schemas.openxmlformats.org/officeDocument/2006/relationships/hyperlink" Target="https://oreil.ly/JrP_4" TargetMode="External"/><Relationship Id="rId677" Type="http://schemas.openxmlformats.org/officeDocument/2006/relationships/hyperlink" Target="https://oreil.ly/1l5ub" TargetMode="External"/><Relationship Id="rId678" Type="http://schemas.openxmlformats.org/officeDocument/2006/relationships/hyperlink" Target="https://google.github.io/clif" TargetMode="External"/><Relationship Id="rId679" Type="http://schemas.openxmlformats.org/officeDocument/2006/relationships/hyperlink" Target="https://cppyy.readthedocs.io" TargetMode="External"/><Relationship Id="rId680" Type="http://schemas.openxmlformats.org/officeDocument/2006/relationships/hyperlink" Target="https://pybind11.readthedocs.io" TargetMode="External"/><Relationship Id="rId681" Type="http://schemas.openxmlformats.org/officeDocument/2006/relationships/hyperlink" Target="https://cython.org" TargetMode="External"/><Relationship Id="rId682" Type="http://schemas.openxmlformats.org/officeDocument/2006/relationships/hyperlink" Target="https://cffi.readthedocs.io" TargetMode="External"/><Relationship Id="rId683" Type="http://schemas.openxmlformats.org/officeDocument/2006/relationships/hyperlink" Target="https://hpyproject.org" TargetMode="External"/><Relationship Id="rId684" Type="http://schemas.openxmlformats.org/officeDocument/2006/relationships/hyperlink" Target="https://oreil.ly/xS4bC" TargetMode="External"/><Relationship Id="rId685" Type="http://schemas.openxmlformats.org/officeDocument/2006/relationships/hyperlink" Target="https://oreil.ly/pvEtK" TargetMode="External"/><Relationship Id="rId686" Type="http://schemas.openxmlformats.org/officeDocument/2006/relationships/hyperlink" Target="https://oreil.ly/3NaU5" TargetMode="External"/><Relationship Id="rId687" Type="http://schemas.openxmlformats.org/officeDocument/2006/relationships/hyperlink" Target="https://oreil.ly/01AKX" TargetMode="External"/><Relationship Id="rId688" Type="http://schemas.openxmlformats.org/officeDocument/2006/relationships/hyperlink" Target="https://tox.readthedocs.io" TargetMode="External"/><Relationship Id="rId689" Type="http://schemas.openxmlformats.org/officeDocument/2006/relationships/hyperlink" Target="https://oreil.ly/4Sy73" TargetMode="External"/><Relationship Id="rId690" Type="http://schemas.openxmlformats.org/officeDocument/2006/relationships/hyperlink" Target="https://oreil.ly/iIePL" TargetMode="External"/><Relationship Id="rId691" Type="http://schemas.openxmlformats.org/officeDocument/2006/relationships/hyperlink" Target="https://oreil.ly/wSZXj" TargetMode="External"/><Relationship Id="rId692" Type="http://schemas.openxmlformats.org/officeDocument/2006/relationships/hyperlink" Target="https://oreil.ly/s3V1X" TargetMode="External"/><Relationship Id="rId693" Type="http://schemas.openxmlformats.org/officeDocument/2006/relationships/hyperlink" Target="https://oreil.ly/svOZb" TargetMode="External"/><Relationship Id="rId694" Type="http://schemas.openxmlformats.org/officeDocument/2006/relationships/hyperlink" Target="https://oreil.ly/KIMuX" TargetMode="External"/><Relationship Id="rId695" Type="http://schemas.openxmlformats.org/officeDocument/2006/relationships/hyperlink" Target="https://oreil.ly/TCpF4" TargetMode="External"/><Relationship Id="rId696" Type="http://schemas.openxmlformats.org/officeDocument/2006/relationships/hyperlink" Target="https://oreil.ly/4Df8q" TargetMode="External"/><Relationship Id="rId697" Type="http://schemas.openxmlformats.org/officeDocument/2006/relationships/hyperlink" Target="https://oreil.ly/lS-gO"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2023-07-15T08:58:43Z</dcterms:created>
  <dcterms:modified xsi:type="dcterms:W3CDTF">2023-07-15T08:58:43Z</dcterms:modified>
  <dc:title>Python in a Nutshell (for Asif Ashraf)</dc:title>
  <dc:creator>Alex Martelli, Anna Martelli Ravenscroft, Steve Holden &amp; Paul McGuire</dc:creator>
  <dc:description>Python was recently ranked as today's most popular programming language on the TIOBE index, thanks to its broad applicability to design and prototyping to testing, deployment, and maintenance. Carefully curated by recognized experts in Python, this updated fourth edition focuses on version 3.10, bringing this seminal work on the Python language fully up to date on five releases, including preview coverage of upcoming 3.11 features.</dc:description>
  <dc:language>en</dc:language>
</cp:coreProperties>
</file>